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B0E6BF" w14:textId="77777777" w:rsidR="00007F6C" w:rsidRDefault="00007F6C" w:rsidP="00007F6C">
      <w:pPr>
        <w:jc w:val="center"/>
      </w:pPr>
      <w:r>
        <w:rPr>
          <w:noProof/>
          <w:lang w:eastAsia="en-GB"/>
        </w:rPr>
        <w:drawing>
          <wp:inline distT="0" distB="0" distL="0" distR="0" wp14:anchorId="1AFDEF3F" wp14:editId="1AD01543">
            <wp:extent cx="2819400" cy="1139276"/>
            <wp:effectExtent l="0" t="0" r="0" b="3810"/>
            <wp:docPr id="438" name="Picture 438" descr="C:\Users\Victoria\AppData\Local\Microsoft\Windows\INetCache\Content.Word\TUOS_PRIMARY_LOGO_FULL COLOUR + KEY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ctoria\AppData\Local\Microsoft\Windows\INetCache\Content.Word\TUOS_PRIMARY_LOGO_FULL COLOUR + KEYLIN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47906" cy="1150795"/>
                    </a:xfrm>
                    <a:prstGeom prst="rect">
                      <a:avLst/>
                    </a:prstGeom>
                    <a:noFill/>
                    <a:ln>
                      <a:noFill/>
                    </a:ln>
                  </pic:spPr>
                </pic:pic>
              </a:graphicData>
            </a:graphic>
          </wp:inline>
        </w:drawing>
      </w:r>
    </w:p>
    <w:p w14:paraId="3D9103DB" w14:textId="77777777" w:rsidR="00007F6C" w:rsidRDefault="00007F6C" w:rsidP="00007F6C">
      <w:pPr>
        <w:jc w:val="center"/>
        <w:rPr>
          <w:rFonts w:cstheme="minorHAnsi"/>
          <w:sz w:val="32"/>
        </w:rPr>
      </w:pPr>
    </w:p>
    <w:p w14:paraId="7F4DB38F" w14:textId="77777777" w:rsidR="00007F6C" w:rsidRPr="001E1879" w:rsidRDefault="00007F6C" w:rsidP="00007F6C">
      <w:pPr>
        <w:jc w:val="center"/>
        <w:rPr>
          <w:rFonts w:cstheme="minorHAnsi"/>
          <w:sz w:val="32"/>
        </w:rPr>
      </w:pPr>
      <w:r w:rsidRPr="001E1879">
        <w:rPr>
          <w:rFonts w:cstheme="minorHAnsi"/>
          <w:sz w:val="32"/>
        </w:rPr>
        <w:t xml:space="preserve">Doctoral Thesis </w:t>
      </w:r>
    </w:p>
    <w:p w14:paraId="62EE6E55" w14:textId="77777777" w:rsidR="00007F6C" w:rsidRDefault="00007F6C" w:rsidP="00007F6C">
      <w:pPr>
        <w:jc w:val="center"/>
        <w:rPr>
          <w:rFonts w:cstheme="minorHAnsi"/>
          <w:sz w:val="24"/>
        </w:rPr>
      </w:pPr>
    </w:p>
    <w:p w14:paraId="700B969B" w14:textId="77777777" w:rsidR="00007F6C" w:rsidRPr="001E1879" w:rsidRDefault="00007F6C" w:rsidP="00007F6C">
      <w:pPr>
        <w:jc w:val="center"/>
        <w:rPr>
          <w:rFonts w:cstheme="minorHAnsi"/>
          <w:sz w:val="24"/>
        </w:rPr>
      </w:pPr>
      <w:r>
        <w:rPr>
          <w:rFonts w:cstheme="minorHAnsi"/>
          <w:noProof/>
          <w:sz w:val="24"/>
          <w:lang w:eastAsia="en-GB"/>
        </w:rPr>
        <mc:AlternateContent>
          <mc:Choice Requires="wps">
            <w:drawing>
              <wp:anchor distT="0" distB="0" distL="114300" distR="114300" simplePos="0" relativeHeight="251663360" behindDoc="0" locked="0" layoutInCell="1" allowOverlap="1" wp14:anchorId="3BCC68DB" wp14:editId="2BDF7845">
                <wp:simplePos x="0" y="0"/>
                <wp:positionH relativeFrom="margin">
                  <wp:align>center</wp:align>
                </wp:positionH>
                <wp:positionV relativeFrom="paragraph">
                  <wp:posOffset>112183</wp:posOffset>
                </wp:positionV>
                <wp:extent cx="6300000" cy="0"/>
                <wp:effectExtent l="0" t="0" r="24765" b="19050"/>
                <wp:wrapNone/>
                <wp:docPr id="436" name="Straight Connector 436"/>
                <wp:cNvGraphicFramePr/>
                <a:graphic xmlns:a="http://schemas.openxmlformats.org/drawingml/2006/main">
                  <a:graphicData uri="http://schemas.microsoft.com/office/word/2010/wordprocessingShape">
                    <wps:wsp>
                      <wps:cNvCnPr/>
                      <wps:spPr>
                        <a:xfrm flipV="1">
                          <a:off x="0" y="0"/>
                          <a:ext cx="6300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9C1945" id="Straight Connector 436" o:spid="_x0000_s1026" style="position:absolute;flip:y;z-index:251663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8.85pt" to="496.0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" strokecolor="#4472c4 [3204]" strokeweight=".5pt">
                <v:stroke joinstyle="miter"/>
                <w10:wrap anchorx="margin"/>
              </v:line>
            </w:pict>
          </mc:Fallback>
        </mc:AlternateContent>
      </w:r>
    </w:p>
    <w:p w14:paraId="079DAF73" w14:textId="77777777" w:rsidR="00007F6C" w:rsidRPr="002D4667" w:rsidRDefault="00007F6C" w:rsidP="00007F6C">
      <w:pPr>
        <w:jc w:val="center"/>
        <w:rPr>
          <w:rFonts w:asciiTheme="majorHAnsi" w:hAnsiTheme="majorHAnsi"/>
          <w:b/>
          <w:bCs/>
          <w:sz w:val="52"/>
          <w:szCs w:val="52"/>
        </w:rPr>
      </w:pPr>
      <w:r>
        <w:rPr>
          <w:rFonts w:cstheme="minorHAnsi"/>
          <w:noProof/>
          <w:sz w:val="24"/>
          <w:lang w:eastAsia="en-GB"/>
        </w:rPr>
        <mc:AlternateContent>
          <mc:Choice Requires="wps">
            <w:drawing>
              <wp:anchor distT="0" distB="0" distL="114300" distR="114300" simplePos="0" relativeHeight="251664384" behindDoc="0" locked="0" layoutInCell="1" allowOverlap="1" wp14:anchorId="3715B952" wp14:editId="577358DA">
                <wp:simplePos x="0" y="0"/>
                <wp:positionH relativeFrom="margin">
                  <wp:align>center</wp:align>
                </wp:positionH>
                <wp:positionV relativeFrom="paragraph">
                  <wp:posOffset>1359535</wp:posOffset>
                </wp:positionV>
                <wp:extent cx="6300000" cy="0"/>
                <wp:effectExtent l="0" t="0" r="0" b="0"/>
                <wp:wrapNone/>
                <wp:docPr id="437" name="Straight Connector 437"/>
                <wp:cNvGraphicFramePr/>
                <a:graphic xmlns:a="http://schemas.openxmlformats.org/drawingml/2006/main">
                  <a:graphicData uri="http://schemas.microsoft.com/office/word/2010/wordprocessingShape">
                    <wps:wsp>
                      <wps:cNvCnPr/>
                      <wps:spPr>
                        <a:xfrm flipV="1">
                          <a:off x="0" y="0"/>
                          <a:ext cx="6300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69E0B8" id="Straight Connector 437" o:spid="_x0000_s1026" style="position:absolute;flip:y;z-index:251664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07.05pt" to="496.05pt,10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" strokecolor="#4472c4 [3204]" strokeweight=".5pt">
                <v:stroke joinstyle="miter"/>
                <w10:wrap anchorx="margin"/>
              </v:line>
            </w:pict>
          </mc:Fallback>
        </mc:AlternateContent>
      </w:r>
      <w:r w:rsidRPr="002D4667">
        <w:rPr>
          <w:rFonts w:asciiTheme="majorHAnsi" w:hAnsiTheme="majorHAnsi"/>
          <w:b/>
          <w:bCs/>
          <w:sz w:val="52"/>
          <w:szCs w:val="52"/>
        </w:rPr>
        <w:t xml:space="preserve"> Quantifying the impact of processing conditions on the performance of infiltrated S</w:t>
      </w:r>
      <w:r>
        <w:rPr>
          <w:rFonts w:asciiTheme="majorHAnsi" w:hAnsiTheme="majorHAnsi"/>
          <w:b/>
          <w:bCs/>
          <w:sz w:val="52"/>
          <w:szCs w:val="52"/>
        </w:rPr>
        <w:t xml:space="preserve">olid </w:t>
      </w:r>
      <w:r w:rsidRPr="002D4667">
        <w:rPr>
          <w:rFonts w:asciiTheme="majorHAnsi" w:hAnsiTheme="majorHAnsi"/>
          <w:b/>
          <w:bCs/>
          <w:sz w:val="52"/>
          <w:szCs w:val="52"/>
        </w:rPr>
        <w:t>O</w:t>
      </w:r>
      <w:r>
        <w:rPr>
          <w:rFonts w:asciiTheme="majorHAnsi" w:hAnsiTheme="majorHAnsi"/>
          <w:b/>
          <w:bCs/>
          <w:sz w:val="52"/>
          <w:szCs w:val="52"/>
        </w:rPr>
        <w:t xml:space="preserve">xide </w:t>
      </w:r>
      <w:r w:rsidRPr="002D4667">
        <w:rPr>
          <w:rFonts w:asciiTheme="majorHAnsi" w:hAnsiTheme="majorHAnsi"/>
          <w:b/>
          <w:bCs/>
          <w:sz w:val="52"/>
          <w:szCs w:val="52"/>
        </w:rPr>
        <w:t>F</w:t>
      </w:r>
      <w:r>
        <w:rPr>
          <w:rFonts w:asciiTheme="majorHAnsi" w:hAnsiTheme="majorHAnsi"/>
          <w:b/>
          <w:bCs/>
          <w:sz w:val="52"/>
          <w:szCs w:val="52"/>
        </w:rPr>
        <w:t xml:space="preserve">uel </w:t>
      </w:r>
      <w:r w:rsidRPr="002D4667">
        <w:rPr>
          <w:rFonts w:asciiTheme="majorHAnsi" w:hAnsiTheme="majorHAnsi"/>
          <w:b/>
          <w:bCs/>
          <w:sz w:val="52"/>
          <w:szCs w:val="52"/>
        </w:rPr>
        <w:t>C</w:t>
      </w:r>
      <w:r>
        <w:rPr>
          <w:rFonts w:asciiTheme="majorHAnsi" w:hAnsiTheme="majorHAnsi"/>
          <w:b/>
          <w:bCs/>
          <w:sz w:val="52"/>
          <w:szCs w:val="52"/>
        </w:rPr>
        <w:t>ell</w:t>
      </w:r>
      <w:r w:rsidRPr="002D4667">
        <w:rPr>
          <w:rFonts w:asciiTheme="majorHAnsi" w:hAnsiTheme="majorHAnsi"/>
          <w:b/>
          <w:bCs/>
          <w:sz w:val="52"/>
          <w:szCs w:val="52"/>
        </w:rPr>
        <w:t xml:space="preserve"> electrodes</w:t>
      </w:r>
    </w:p>
    <w:p w14:paraId="47607B0F" w14:textId="77777777" w:rsidR="00007F6C" w:rsidRDefault="00007F6C" w:rsidP="00007F6C">
      <w:pPr>
        <w:jc w:val="center"/>
        <w:rPr>
          <w:rFonts w:cstheme="minorHAnsi"/>
          <w:sz w:val="24"/>
        </w:rPr>
      </w:pPr>
    </w:p>
    <w:p w14:paraId="5B5DD5B3" w14:textId="77777777" w:rsidR="00007F6C" w:rsidRPr="001E1879" w:rsidRDefault="00007F6C" w:rsidP="00007F6C">
      <w:pPr>
        <w:jc w:val="center"/>
        <w:rPr>
          <w:rFonts w:cstheme="minorHAnsi"/>
          <w:sz w:val="24"/>
        </w:rPr>
      </w:pPr>
    </w:p>
    <w:p w14:paraId="39DC1968" w14:textId="77777777" w:rsidR="00007F6C" w:rsidRPr="001E1879" w:rsidRDefault="00007F6C" w:rsidP="00007F6C">
      <w:pPr>
        <w:tabs>
          <w:tab w:val="right" w:pos="9026"/>
        </w:tabs>
        <w:spacing w:after="0"/>
        <w:rPr>
          <w:rFonts w:cstheme="minorHAnsi"/>
          <w:i/>
          <w:sz w:val="28"/>
        </w:rPr>
      </w:pPr>
      <w:r w:rsidRPr="001E1879">
        <w:rPr>
          <w:rFonts w:cstheme="minorHAnsi"/>
          <w:i/>
          <w:sz w:val="28"/>
        </w:rPr>
        <w:t xml:space="preserve">Author:  </w:t>
      </w:r>
      <w:r w:rsidRPr="001E1879">
        <w:rPr>
          <w:rFonts w:cstheme="minorHAnsi"/>
          <w:i/>
          <w:sz w:val="28"/>
        </w:rPr>
        <w:tab/>
        <w:t>Supervisor:</w:t>
      </w:r>
    </w:p>
    <w:p w14:paraId="4BC77B67" w14:textId="77777777" w:rsidR="00007F6C" w:rsidRPr="001E1879" w:rsidRDefault="00007F6C" w:rsidP="00007F6C">
      <w:pPr>
        <w:tabs>
          <w:tab w:val="right" w:pos="9026"/>
        </w:tabs>
        <w:spacing w:after="0"/>
        <w:rPr>
          <w:rFonts w:cstheme="minorHAnsi"/>
          <w:sz w:val="32"/>
        </w:rPr>
      </w:pPr>
      <w:r>
        <w:rPr>
          <w:rFonts w:cstheme="minorHAnsi"/>
          <w:iCs/>
          <w:sz w:val="28"/>
        </w:rPr>
        <w:t>Edward James Rackley</w:t>
      </w:r>
      <w:r>
        <w:rPr>
          <w:rFonts w:cstheme="minorHAnsi"/>
          <w:sz w:val="32"/>
        </w:rPr>
        <w:tab/>
        <w:t>Dr Denis Cumming</w:t>
      </w:r>
    </w:p>
    <w:p w14:paraId="3ED60957" w14:textId="77777777" w:rsidR="00007F6C" w:rsidRPr="001E1879" w:rsidRDefault="00007F6C" w:rsidP="00007F6C">
      <w:pPr>
        <w:rPr>
          <w:rFonts w:cstheme="minorHAnsi"/>
          <w:sz w:val="24"/>
        </w:rPr>
      </w:pPr>
    </w:p>
    <w:p w14:paraId="3431302A" w14:textId="77777777" w:rsidR="00007F6C" w:rsidRPr="001E1879" w:rsidRDefault="00007F6C" w:rsidP="00007F6C">
      <w:pPr>
        <w:rPr>
          <w:rFonts w:cstheme="minorHAnsi"/>
          <w:sz w:val="24"/>
        </w:rPr>
      </w:pPr>
    </w:p>
    <w:p w14:paraId="5E1181C4" w14:textId="77777777" w:rsidR="00007F6C" w:rsidRPr="001E1879" w:rsidRDefault="00007F6C" w:rsidP="00007F6C">
      <w:pPr>
        <w:jc w:val="center"/>
        <w:rPr>
          <w:rFonts w:cstheme="minorHAnsi"/>
          <w:i/>
          <w:sz w:val="32"/>
        </w:rPr>
      </w:pPr>
      <w:r w:rsidRPr="001E1879">
        <w:rPr>
          <w:rFonts w:cstheme="minorHAnsi"/>
          <w:i/>
          <w:sz w:val="32"/>
        </w:rPr>
        <w:t xml:space="preserve">A thesis submitted in fulfilment of the requirements for the degree of Doctor of </w:t>
      </w:r>
      <w:proofErr w:type="gramStart"/>
      <w:r w:rsidRPr="001E1879">
        <w:rPr>
          <w:rFonts w:cstheme="minorHAnsi"/>
          <w:i/>
          <w:sz w:val="32"/>
        </w:rPr>
        <w:t>Philosophy</w:t>
      </w:r>
      <w:proofErr w:type="gramEnd"/>
      <w:r w:rsidRPr="001E1879">
        <w:rPr>
          <w:rFonts w:cstheme="minorHAnsi"/>
          <w:i/>
          <w:sz w:val="32"/>
        </w:rPr>
        <w:t xml:space="preserve"> </w:t>
      </w:r>
    </w:p>
    <w:p w14:paraId="60AC131E" w14:textId="77777777" w:rsidR="00007F6C" w:rsidRPr="001E1879" w:rsidRDefault="00007F6C" w:rsidP="00007F6C">
      <w:pPr>
        <w:jc w:val="center"/>
        <w:rPr>
          <w:rFonts w:cstheme="minorHAnsi"/>
          <w:i/>
          <w:sz w:val="32"/>
        </w:rPr>
      </w:pPr>
      <w:r w:rsidRPr="001E1879">
        <w:rPr>
          <w:rFonts w:cstheme="minorHAnsi"/>
          <w:i/>
          <w:sz w:val="32"/>
        </w:rPr>
        <w:t xml:space="preserve">in the </w:t>
      </w:r>
    </w:p>
    <w:p w14:paraId="44665AB6" w14:textId="77777777" w:rsidR="00007F6C" w:rsidRDefault="00007F6C" w:rsidP="00007F6C">
      <w:pPr>
        <w:jc w:val="center"/>
        <w:rPr>
          <w:rFonts w:cstheme="minorHAnsi"/>
          <w:sz w:val="36"/>
        </w:rPr>
      </w:pPr>
      <w:r w:rsidRPr="001E1879">
        <w:rPr>
          <w:rFonts w:cstheme="minorHAnsi"/>
          <w:sz w:val="36"/>
        </w:rPr>
        <w:t xml:space="preserve">Department of </w:t>
      </w:r>
      <w:r>
        <w:rPr>
          <w:rFonts w:cstheme="minorHAnsi"/>
          <w:sz w:val="36"/>
        </w:rPr>
        <w:t>Chemical and Biological Engineering</w:t>
      </w:r>
    </w:p>
    <w:p w14:paraId="25B2D8C7" w14:textId="766B65B4" w:rsidR="00007F6C" w:rsidRDefault="004E2817" w:rsidP="00007F6C">
      <w:pPr>
        <w:jc w:val="center"/>
        <w:rPr>
          <w:rFonts w:cstheme="minorHAnsi"/>
          <w:sz w:val="36"/>
        </w:rPr>
      </w:pPr>
      <w:r>
        <w:rPr>
          <w:rFonts w:cstheme="minorHAnsi"/>
          <w:sz w:val="36"/>
        </w:rPr>
        <w:t>University of Sheffield</w:t>
      </w:r>
    </w:p>
    <w:p w14:paraId="593309E8" w14:textId="77777777" w:rsidR="00007F6C" w:rsidRPr="001E1879" w:rsidRDefault="00007F6C" w:rsidP="00007F6C">
      <w:pPr>
        <w:jc w:val="center"/>
        <w:rPr>
          <w:rFonts w:cstheme="minorHAnsi"/>
          <w:sz w:val="24"/>
        </w:rPr>
      </w:pPr>
    </w:p>
    <w:p w14:paraId="160FEB4A" w14:textId="77777777" w:rsidR="00007F6C" w:rsidRPr="002D4667" w:rsidRDefault="00007F6C" w:rsidP="00007F6C">
      <w:pPr>
        <w:jc w:val="center"/>
        <w:rPr>
          <w:rFonts w:cstheme="minorHAnsi"/>
          <w:sz w:val="28"/>
        </w:rPr>
      </w:pPr>
      <w:r>
        <w:rPr>
          <w:rFonts w:cstheme="minorHAnsi"/>
          <w:sz w:val="28"/>
        </w:rPr>
        <w:t>September</w:t>
      </w:r>
      <w:r w:rsidRPr="001E1879">
        <w:rPr>
          <w:rFonts w:cstheme="minorHAnsi"/>
          <w:sz w:val="28"/>
        </w:rPr>
        <w:t xml:space="preserve"> 2020</w:t>
      </w:r>
      <w:r w:rsidRPr="007F787F">
        <w:br w:type="page"/>
      </w:r>
    </w:p>
    <w:p w14:paraId="7BC23FD5" w14:textId="77777777" w:rsidR="00007F6C" w:rsidRPr="002D4667" w:rsidRDefault="00007F6C" w:rsidP="00007F6C">
      <w:pPr>
        <w:pStyle w:val="Heading1"/>
      </w:pPr>
      <w:bookmarkStart w:id="0" w:name="_Toc69129343"/>
      <w:bookmarkStart w:id="1" w:name="_Toc474489919"/>
      <w:r w:rsidRPr="002D4667">
        <w:lastRenderedPageBreak/>
        <w:t>Acknowledgements</w:t>
      </w:r>
      <w:bookmarkEnd w:id="0"/>
    </w:p>
    <w:p w14:paraId="6617D94B" w14:textId="77777777" w:rsidR="00007F6C" w:rsidRDefault="00007F6C" w:rsidP="00007F6C"/>
    <w:p w14:paraId="3BF80975" w14:textId="77777777" w:rsidR="00007F6C" w:rsidRDefault="00007F6C" w:rsidP="00007F6C">
      <w:pPr>
        <w:jc w:val="both"/>
      </w:pPr>
      <w:r>
        <w:t>I want to thank Dr Denis Cumming and his SOFC research group at the University of Sheffield for their ongoing support throughout my PhD, both scientifically and on a personal level. In addition, I would like to thank Jen and Ana for being great lab mates but even better friends.</w:t>
      </w:r>
    </w:p>
    <w:p w14:paraId="358FA6F8" w14:textId="77777777" w:rsidR="00007F6C" w:rsidRDefault="00007F6C" w:rsidP="00007F6C">
      <w:pPr>
        <w:jc w:val="both"/>
      </w:pPr>
      <w:r>
        <w:t xml:space="preserve">I am extremely grateful to Dr Tom </w:t>
      </w:r>
      <w:proofErr w:type="spellStart"/>
      <w:r>
        <w:t>Heenan</w:t>
      </w:r>
      <w:proofErr w:type="spellEnd"/>
      <w:r>
        <w:t xml:space="preserve"> of the Electrochemical Impedance Lab at University College London for his help, training, and expertise for the PXCT sample preparation.  The PXCT work would not be possible without his guidance and discussions.</w:t>
      </w:r>
    </w:p>
    <w:p w14:paraId="63054D49" w14:textId="77777777" w:rsidR="00007F6C" w:rsidRDefault="00007F6C" w:rsidP="00007F6C">
      <w:pPr>
        <w:jc w:val="both"/>
      </w:pPr>
      <w:r>
        <w:t xml:space="preserve">Special thanks to Dr Silvia </w:t>
      </w:r>
      <w:proofErr w:type="spellStart"/>
      <w:r>
        <w:t>Cipiccia</w:t>
      </w:r>
      <w:proofErr w:type="spellEnd"/>
      <w:r>
        <w:t xml:space="preserve"> and Dr Darren Batey of the I13 beamline at the Diamond Light Source for their all their help during my beamtimes. Especially Silvia, who was always free to answer any questions I had seemingly 24/7. </w:t>
      </w:r>
    </w:p>
    <w:p w14:paraId="5D72D783" w14:textId="77777777" w:rsidR="00007F6C" w:rsidRDefault="00007F6C" w:rsidP="00007F6C">
      <w:pPr>
        <w:jc w:val="both"/>
      </w:pPr>
      <w:r>
        <w:t>In a similar vein I would like to thank both Dr James McGregor and Dr Alan Dunbar for their time and discussions inspiring some of the experimental work done during this project. Additionally, I would like to thank Dr Will Jacobs and Dr Ge Wang for their help mentoring me throughout my PhD especially during the writing process.</w:t>
      </w:r>
    </w:p>
    <w:p w14:paraId="19C2AF4F" w14:textId="77777777" w:rsidR="00007F6C" w:rsidRDefault="00007F6C" w:rsidP="00007F6C">
      <w:pPr>
        <w:jc w:val="both"/>
      </w:pPr>
      <w:r>
        <w:t>Special thanks are reserved for Gareth and Ana, for their ability to keep me sane throughout my writing process even during lockdown. Turns out when you have great friends, anything is possible.</w:t>
      </w:r>
    </w:p>
    <w:p w14:paraId="5CCC20B2" w14:textId="77777777" w:rsidR="00007F6C" w:rsidRDefault="00007F6C" w:rsidP="00007F6C">
      <w:pPr>
        <w:jc w:val="both"/>
      </w:pPr>
      <w:r>
        <w:t xml:space="preserve">I would like to thank both of my parents for their love, faith, and encouragement throughout my degree. My father has always inspired me to be an engineer from a young age and my mother for being the epitome that hard work can get you anywhere. </w:t>
      </w:r>
    </w:p>
    <w:p w14:paraId="1E0F32F2" w14:textId="77777777" w:rsidR="00007F6C" w:rsidRDefault="00007F6C" w:rsidP="00007F6C">
      <w:pPr>
        <w:jc w:val="both"/>
      </w:pPr>
      <w:r>
        <w:t xml:space="preserve">Last but by no means least, I would like to thank my partner Tori for her </w:t>
      </w:r>
      <w:proofErr w:type="gramStart"/>
      <w:r>
        <w:t>never ending</w:t>
      </w:r>
      <w:proofErr w:type="gramEnd"/>
      <w:r>
        <w:t xml:space="preserve"> supply of patience and support throughout my PhD. This work would not be possible without her.</w:t>
      </w:r>
    </w:p>
    <w:p w14:paraId="48221F11" w14:textId="77777777" w:rsidR="00007F6C" w:rsidRDefault="00007F6C" w:rsidP="00007F6C"/>
    <w:p w14:paraId="600EAF02" w14:textId="77777777" w:rsidR="00007F6C" w:rsidRDefault="00007F6C" w:rsidP="00007F6C"/>
    <w:p w14:paraId="2E5CC5C8" w14:textId="77777777" w:rsidR="00007F6C" w:rsidRPr="00B12D28" w:rsidRDefault="00007F6C" w:rsidP="00007F6C">
      <w:pPr>
        <w:jc w:val="center"/>
      </w:pPr>
      <w:r w:rsidRPr="00B12D28">
        <w:t>“An expert is a person who has made all the mistakes that can be made</w:t>
      </w:r>
      <w:r>
        <w:t>,</w:t>
      </w:r>
      <w:r w:rsidRPr="00B12D28">
        <w:t xml:space="preserve"> in a narrow </w:t>
      </w:r>
      <w:proofErr w:type="gramStart"/>
      <w:r w:rsidRPr="00B12D28">
        <w:t>field”</w:t>
      </w:r>
      <w:proofErr w:type="gramEnd"/>
    </w:p>
    <w:p w14:paraId="381C4C45" w14:textId="77777777" w:rsidR="00007F6C" w:rsidRDefault="00007F6C" w:rsidP="00007F6C">
      <w:pPr>
        <w:jc w:val="center"/>
      </w:pPr>
      <w:r w:rsidRPr="00B12D28">
        <w:t>Niels Bohr</w:t>
      </w:r>
      <w:r>
        <w:t xml:space="preserve"> </w:t>
      </w:r>
      <w:r>
        <w:br w:type="page"/>
      </w:r>
    </w:p>
    <w:sdt>
      <w:sdtPr>
        <w:rPr>
          <w:rFonts w:asciiTheme="minorHAnsi" w:eastAsiaTheme="minorHAnsi" w:hAnsiTheme="minorHAnsi" w:cstheme="minorBidi"/>
          <w:b w:val="0"/>
          <w:color w:val="auto"/>
          <w:sz w:val="22"/>
          <w:szCs w:val="22"/>
          <w:lang w:val="en-GB"/>
        </w:rPr>
        <w:id w:val="2115931761"/>
        <w:docPartObj>
          <w:docPartGallery w:val="Table of Contents"/>
          <w:docPartUnique/>
        </w:docPartObj>
      </w:sdtPr>
      <w:sdtEndPr>
        <w:rPr>
          <w:bCs/>
          <w:noProof/>
        </w:rPr>
      </w:sdtEndPr>
      <w:sdtContent>
        <w:p w14:paraId="30A6B8E7" w14:textId="5D154B96" w:rsidR="00007F6C" w:rsidRPr="00D332DB" w:rsidRDefault="00D332DB" w:rsidP="00007F6C">
          <w:pPr>
            <w:pStyle w:val="TOCHeading"/>
            <w:rPr>
              <w:rStyle w:val="Heading1Char"/>
            </w:rPr>
          </w:pPr>
          <w:r w:rsidRPr="00D332DB">
            <w:rPr>
              <w:rStyle w:val="Heading1Char"/>
            </w:rPr>
            <w:t xml:space="preserve">Table of </w:t>
          </w:r>
          <w:r w:rsidR="00007F6C" w:rsidRPr="00D332DB">
            <w:rPr>
              <w:rStyle w:val="Heading1Char"/>
            </w:rPr>
            <w:t>Contents</w:t>
          </w:r>
        </w:p>
        <w:p w14:paraId="51052B99" w14:textId="13F891A8" w:rsidR="00D332DB" w:rsidRDefault="00007F6C">
          <w:pPr>
            <w:pStyle w:val="TOC1"/>
            <w:rPr>
              <w:rFonts w:asciiTheme="minorHAnsi" w:eastAsiaTheme="minorEastAsia" w:hAnsiTheme="minorHAnsi" w:cstheme="minorBidi"/>
              <w:sz w:val="22"/>
              <w:szCs w:val="22"/>
              <w:lang w:eastAsia="en-GB"/>
            </w:rPr>
          </w:pPr>
          <w:r>
            <w:fldChar w:fldCharType="begin"/>
          </w:r>
          <w:r>
            <w:instrText xml:space="preserve"> TOC \o "1-3" \h \z \u </w:instrText>
          </w:r>
          <w:r>
            <w:fldChar w:fldCharType="separate"/>
          </w:r>
          <w:hyperlink w:anchor="_Toc69129343" w:history="1">
            <w:r w:rsidR="00D332DB" w:rsidRPr="0032584B">
              <w:rPr>
                <w:rStyle w:val="Hyperlink"/>
              </w:rPr>
              <w:t>Acknowledgements</w:t>
            </w:r>
            <w:r w:rsidR="00D332DB">
              <w:rPr>
                <w:webHidden/>
              </w:rPr>
              <w:tab/>
            </w:r>
            <w:r w:rsidR="00D332DB">
              <w:rPr>
                <w:webHidden/>
              </w:rPr>
              <w:fldChar w:fldCharType="begin"/>
            </w:r>
            <w:r w:rsidR="00D332DB">
              <w:rPr>
                <w:webHidden/>
              </w:rPr>
              <w:instrText xml:space="preserve"> PAGEREF _Toc69129343 \h </w:instrText>
            </w:r>
            <w:r w:rsidR="00D332DB">
              <w:rPr>
                <w:webHidden/>
              </w:rPr>
            </w:r>
            <w:r w:rsidR="00D332DB">
              <w:rPr>
                <w:webHidden/>
              </w:rPr>
              <w:fldChar w:fldCharType="separate"/>
            </w:r>
            <w:r w:rsidR="00D332DB">
              <w:rPr>
                <w:webHidden/>
              </w:rPr>
              <w:t>2</w:t>
            </w:r>
            <w:r w:rsidR="00D332DB">
              <w:rPr>
                <w:webHidden/>
              </w:rPr>
              <w:fldChar w:fldCharType="end"/>
            </w:r>
          </w:hyperlink>
        </w:p>
        <w:p w14:paraId="4E667D33" w14:textId="05410882" w:rsidR="00D332DB" w:rsidRDefault="00B51F53">
          <w:pPr>
            <w:pStyle w:val="TOC1"/>
            <w:rPr>
              <w:rFonts w:asciiTheme="minorHAnsi" w:eastAsiaTheme="minorEastAsia" w:hAnsiTheme="minorHAnsi" w:cstheme="minorBidi"/>
              <w:sz w:val="22"/>
              <w:szCs w:val="22"/>
              <w:lang w:eastAsia="en-GB"/>
            </w:rPr>
          </w:pPr>
          <w:hyperlink w:anchor="_Toc69129344" w:history="1">
            <w:r w:rsidR="00D332DB" w:rsidRPr="0032584B">
              <w:rPr>
                <w:rStyle w:val="Hyperlink"/>
              </w:rPr>
              <w:t>Table of Figures</w:t>
            </w:r>
            <w:r w:rsidR="00D332DB">
              <w:rPr>
                <w:webHidden/>
              </w:rPr>
              <w:tab/>
            </w:r>
            <w:r w:rsidR="00D332DB">
              <w:rPr>
                <w:webHidden/>
              </w:rPr>
              <w:fldChar w:fldCharType="begin"/>
            </w:r>
            <w:r w:rsidR="00D332DB">
              <w:rPr>
                <w:webHidden/>
              </w:rPr>
              <w:instrText xml:space="preserve"> PAGEREF _Toc69129344 \h </w:instrText>
            </w:r>
            <w:r w:rsidR="00D332DB">
              <w:rPr>
                <w:webHidden/>
              </w:rPr>
            </w:r>
            <w:r w:rsidR="00D332DB">
              <w:rPr>
                <w:webHidden/>
              </w:rPr>
              <w:fldChar w:fldCharType="separate"/>
            </w:r>
            <w:r w:rsidR="00D332DB">
              <w:rPr>
                <w:webHidden/>
              </w:rPr>
              <w:t>8</w:t>
            </w:r>
            <w:r w:rsidR="00D332DB">
              <w:rPr>
                <w:webHidden/>
              </w:rPr>
              <w:fldChar w:fldCharType="end"/>
            </w:r>
          </w:hyperlink>
        </w:p>
        <w:p w14:paraId="4CDDF30E" w14:textId="3407691C" w:rsidR="00D332DB" w:rsidRDefault="00B51F53">
          <w:pPr>
            <w:pStyle w:val="TOC1"/>
            <w:rPr>
              <w:rFonts w:asciiTheme="minorHAnsi" w:eastAsiaTheme="minorEastAsia" w:hAnsiTheme="minorHAnsi" w:cstheme="minorBidi"/>
              <w:sz w:val="22"/>
              <w:szCs w:val="22"/>
              <w:lang w:eastAsia="en-GB"/>
            </w:rPr>
          </w:pPr>
          <w:hyperlink w:anchor="_Toc69129345" w:history="1">
            <w:r w:rsidR="00D332DB" w:rsidRPr="0032584B">
              <w:rPr>
                <w:rStyle w:val="Hyperlink"/>
              </w:rPr>
              <w:t>Glossary of Terms</w:t>
            </w:r>
            <w:r w:rsidR="00D332DB">
              <w:rPr>
                <w:webHidden/>
              </w:rPr>
              <w:tab/>
            </w:r>
            <w:r w:rsidR="00D332DB">
              <w:rPr>
                <w:webHidden/>
              </w:rPr>
              <w:fldChar w:fldCharType="begin"/>
            </w:r>
            <w:r w:rsidR="00D332DB">
              <w:rPr>
                <w:webHidden/>
              </w:rPr>
              <w:instrText xml:space="preserve"> PAGEREF _Toc69129345 \h </w:instrText>
            </w:r>
            <w:r w:rsidR="00D332DB">
              <w:rPr>
                <w:webHidden/>
              </w:rPr>
            </w:r>
            <w:r w:rsidR="00D332DB">
              <w:rPr>
                <w:webHidden/>
              </w:rPr>
              <w:fldChar w:fldCharType="separate"/>
            </w:r>
            <w:r w:rsidR="00D332DB">
              <w:rPr>
                <w:webHidden/>
              </w:rPr>
              <w:t>18</w:t>
            </w:r>
            <w:r w:rsidR="00D332DB">
              <w:rPr>
                <w:webHidden/>
              </w:rPr>
              <w:fldChar w:fldCharType="end"/>
            </w:r>
          </w:hyperlink>
        </w:p>
        <w:p w14:paraId="79C23EA4" w14:textId="0EB0E3E3" w:rsidR="00D332DB" w:rsidRDefault="00B51F53">
          <w:pPr>
            <w:pStyle w:val="TOC1"/>
            <w:rPr>
              <w:rFonts w:asciiTheme="minorHAnsi" w:eastAsiaTheme="minorEastAsia" w:hAnsiTheme="minorHAnsi" w:cstheme="minorBidi"/>
              <w:sz w:val="22"/>
              <w:szCs w:val="22"/>
              <w:lang w:eastAsia="en-GB"/>
            </w:rPr>
          </w:pPr>
          <w:hyperlink w:anchor="_Toc69129346" w:history="1">
            <w:r w:rsidR="00D332DB" w:rsidRPr="0032584B">
              <w:rPr>
                <w:rStyle w:val="Hyperlink"/>
              </w:rPr>
              <w:t>Abstract</w:t>
            </w:r>
            <w:r w:rsidR="00D332DB">
              <w:rPr>
                <w:webHidden/>
              </w:rPr>
              <w:tab/>
            </w:r>
            <w:r w:rsidR="00D332DB">
              <w:rPr>
                <w:webHidden/>
              </w:rPr>
              <w:fldChar w:fldCharType="begin"/>
            </w:r>
            <w:r w:rsidR="00D332DB">
              <w:rPr>
                <w:webHidden/>
              </w:rPr>
              <w:instrText xml:space="preserve"> PAGEREF _Toc69129346 \h </w:instrText>
            </w:r>
            <w:r w:rsidR="00D332DB">
              <w:rPr>
                <w:webHidden/>
              </w:rPr>
            </w:r>
            <w:r w:rsidR="00D332DB">
              <w:rPr>
                <w:webHidden/>
              </w:rPr>
              <w:fldChar w:fldCharType="separate"/>
            </w:r>
            <w:r w:rsidR="00D332DB">
              <w:rPr>
                <w:webHidden/>
              </w:rPr>
              <w:t>19</w:t>
            </w:r>
            <w:r w:rsidR="00D332DB">
              <w:rPr>
                <w:webHidden/>
              </w:rPr>
              <w:fldChar w:fldCharType="end"/>
            </w:r>
          </w:hyperlink>
        </w:p>
        <w:p w14:paraId="2BEA22A0" w14:textId="1113F5EE" w:rsidR="00D332DB" w:rsidRDefault="00B51F53">
          <w:pPr>
            <w:pStyle w:val="TOC1"/>
            <w:rPr>
              <w:rFonts w:asciiTheme="minorHAnsi" w:eastAsiaTheme="minorEastAsia" w:hAnsiTheme="minorHAnsi" w:cstheme="minorBidi"/>
              <w:sz w:val="22"/>
              <w:szCs w:val="22"/>
              <w:lang w:eastAsia="en-GB"/>
            </w:rPr>
          </w:pPr>
          <w:hyperlink w:anchor="_Toc69129347" w:history="1">
            <w:r w:rsidR="00D332DB" w:rsidRPr="0032584B">
              <w:rPr>
                <w:rStyle w:val="Hyperlink"/>
              </w:rPr>
              <w:t>Chapter 1: Introduction</w:t>
            </w:r>
            <w:r w:rsidR="00D332DB">
              <w:rPr>
                <w:webHidden/>
              </w:rPr>
              <w:tab/>
            </w:r>
            <w:r w:rsidR="00D332DB">
              <w:rPr>
                <w:webHidden/>
              </w:rPr>
              <w:fldChar w:fldCharType="begin"/>
            </w:r>
            <w:r w:rsidR="00D332DB">
              <w:rPr>
                <w:webHidden/>
              </w:rPr>
              <w:instrText xml:space="preserve"> PAGEREF _Toc69129347 \h </w:instrText>
            </w:r>
            <w:r w:rsidR="00D332DB">
              <w:rPr>
                <w:webHidden/>
              </w:rPr>
            </w:r>
            <w:r w:rsidR="00D332DB">
              <w:rPr>
                <w:webHidden/>
              </w:rPr>
              <w:fldChar w:fldCharType="separate"/>
            </w:r>
            <w:r w:rsidR="00D332DB">
              <w:rPr>
                <w:webHidden/>
              </w:rPr>
              <w:t>20</w:t>
            </w:r>
            <w:r w:rsidR="00D332DB">
              <w:rPr>
                <w:webHidden/>
              </w:rPr>
              <w:fldChar w:fldCharType="end"/>
            </w:r>
          </w:hyperlink>
        </w:p>
        <w:p w14:paraId="503F1024" w14:textId="7BB58A40" w:rsidR="00D332DB" w:rsidRDefault="00B51F53">
          <w:pPr>
            <w:pStyle w:val="TOC2"/>
            <w:tabs>
              <w:tab w:val="left" w:pos="660"/>
              <w:tab w:val="right" w:leader="dot" w:pos="9016"/>
            </w:tabs>
            <w:rPr>
              <w:rFonts w:eastAsiaTheme="minorEastAsia"/>
              <w:iCs w:val="0"/>
              <w:noProof/>
              <w:szCs w:val="22"/>
              <w:lang w:eastAsia="en-GB"/>
            </w:rPr>
          </w:pPr>
          <w:hyperlink w:anchor="_Toc69129348" w:history="1">
            <w:r w:rsidR="00D332DB" w:rsidRPr="0032584B">
              <w:rPr>
                <w:rStyle w:val="Hyperlink"/>
                <w:noProof/>
              </w:rPr>
              <w:t xml:space="preserve">1.1 </w:t>
            </w:r>
            <w:r w:rsidR="00D332DB">
              <w:rPr>
                <w:rFonts w:eastAsiaTheme="minorEastAsia"/>
                <w:iCs w:val="0"/>
                <w:noProof/>
                <w:szCs w:val="22"/>
                <w:lang w:eastAsia="en-GB"/>
              </w:rPr>
              <w:tab/>
            </w:r>
            <w:r w:rsidR="00D332DB" w:rsidRPr="0032584B">
              <w:rPr>
                <w:rStyle w:val="Hyperlink"/>
                <w:noProof/>
              </w:rPr>
              <w:t>Historical Background and development of Fuel Cells</w:t>
            </w:r>
            <w:r w:rsidR="00D332DB">
              <w:rPr>
                <w:noProof/>
                <w:webHidden/>
              </w:rPr>
              <w:tab/>
            </w:r>
            <w:r w:rsidR="00D332DB">
              <w:rPr>
                <w:noProof/>
                <w:webHidden/>
              </w:rPr>
              <w:fldChar w:fldCharType="begin"/>
            </w:r>
            <w:r w:rsidR="00D332DB">
              <w:rPr>
                <w:noProof/>
                <w:webHidden/>
              </w:rPr>
              <w:instrText xml:space="preserve"> PAGEREF _Toc69129348 \h </w:instrText>
            </w:r>
            <w:r w:rsidR="00D332DB">
              <w:rPr>
                <w:noProof/>
                <w:webHidden/>
              </w:rPr>
            </w:r>
            <w:r w:rsidR="00D332DB">
              <w:rPr>
                <w:noProof/>
                <w:webHidden/>
              </w:rPr>
              <w:fldChar w:fldCharType="separate"/>
            </w:r>
            <w:r w:rsidR="00D332DB">
              <w:rPr>
                <w:noProof/>
                <w:webHidden/>
              </w:rPr>
              <w:t>20</w:t>
            </w:r>
            <w:r w:rsidR="00D332DB">
              <w:rPr>
                <w:noProof/>
                <w:webHidden/>
              </w:rPr>
              <w:fldChar w:fldCharType="end"/>
            </w:r>
          </w:hyperlink>
        </w:p>
        <w:p w14:paraId="1E5B21E0" w14:textId="1EA5654A" w:rsidR="00D332DB" w:rsidRDefault="00B51F53">
          <w:pPr>
            <w:pStyle w:val="TOC2"/>
            <w:tabs>
              <w:tab w:val="left" w:pos="660"/>
              <w:tab w:val="right" w:leader="dot" w:pos="9016"/>
            </w:tabs>
            <w:rPr>
              <w:rFonts w:eastAsiaTheme="minorEastAsia"/>
              <w:iCs w:val="0"/>
              <w:noProof/>
              <w:szCs w:val="22"/>
              <w:lang w:eastAsia="en-GB"/>
            </w:rPr>
          </w:pPr>
          <w:hyperlink w:anchor="_Toc69129349" w:history="1">
            <w:r w:rsidR="00D332DB" w:rsidRPr="0032584B">
              <w:rPr>
                <w:rStyle w:val="Hyperlink"/>
                <w:noProof/>
              </w:rPr>
              <w:t>1.2</w:t>
            </w:r>
            <w:r w:rsidR="00D332DB">
              <w:rPr>
                <w:rFonts w:eastAsiaTheme="minorEastAsia"/>
                <w:iCs w:val="0"/>
                <w:noProof/>
                <w:szCs w:val="22"/>
                <w:lang w:eastAsia="en-GB"/>
              </w:rPr>
              <w:tab/>
            </w:r>
            <w:r w:rsidR="00D332DB" w:rsidRPr="0032584B">
              <w:rPr>
                <w:rStyle w:val="Hyperlink"/>
                <w:noProof/>
              </w:rPr>
              <w:t>Overview of Fuel Cell Technology</w:t>
            </w:r>
            <w:r w:rsidR="00D332DB">
              <w:rPr>
                <w:noProof/>
                <w:webHidden/>
              </w:rPr>
              <w:tab/>
            </w:r>
            <w:r w:rsidR="00D332DB">
              <w:rPr>
                <w:noProof/>
                <w:webHidden/>
              </w:rPr>
              <w:fldChar w:fldCharType="begin"/>
            </w:r>
            <w:r w:rsidR="00D332DB">
              <w:rPr>
                <w:noProof/>
                <w:webHidden/>
              </w:rPr>
              <w:instrText xml:space="preserve"> PAGEREF _Toc69129349 \h </w:instrText>
            </w:r>
            <w:r w:rsidR="00D332DB">
              <w:rPr>
                <w:noProof/>
                <w:webHidden/>
              </w:rPr>
            </w:r>
            <w:r w:rsidR="00D332DB">
              <w:rPr>
                <w:noProof/>
                <w:webHidden/>
              </w:rPr>
              <w:fldChar w:fldCharType="separate"/>
            </w:r>
            <w:r w:rsidR="00D332DB">
              <w:rPr>
                <w:noProof/>
                <w:webHidden/>
              </w:rPr>
              <w:t>22</w:t>
            </w:r>
            <w:r w:rsidR="00D332DB">
              <w:rPr>
                <w:noProof/>
                <w:webHidden/>
              </w:rPr>
              <w:fldChar w:fldCharType="end"/>
            </w:r>
          </w:hyperlink>
        </w:p>
        <w:p w14:paraId="292F5E53" w14:textId="06A97DC1" w:rsidR="00D332DB" w:rsidRDefault="00B51F53">
          <w:pPr>
            <w:pStyle w:val="TOC3"/>
            <w:tabs>
              <w:tab w:val="left" w:pos="1320"/>
              <w:tab w:val="right" w:leader="dot" w:pos="9016"/>
            </w:tabs>
            <w:rPr>
              <w:rFonts w:eastAsiaTheme="minorEastAsia"/>
              <w:noProof/>
              <w:lang w:eastAsia="en-GB"/>
            </w:rPr>
          </w:pPr>
          <w:hyperlink w:anchor="_Toc69129350" w:history="1">
            <w:r w:rsidR="00D332DB" w:rsidRPr="0032584B">
              <w:rPr>
                <w:rStyle w:val="Hyperlink"/>
                <w:noProof/>
              </w:rPr>
              <w:t>1.2.1</w:t>
            </w:r>
            <w:r w:rsidR="00D332DB">
              <w:rPr>
                <w:rFonts w:eastAsiaTheme="minorEastAsia"/>
                <w:noProof/>
                <w:lang w:eastAsia="en-GB"/>
              </w:rPr>
              <w:tab/>
            </w:r>
            <w:r w:rsidR="00D332DB" w:rsidRPr="0032584B">
              <w:rPr>
                <w:rStyle w:val="Hyperlink"/>
                <w:noProof/>
              </w:rPr>
              <w:t>Basic Fuel Cell Operating Principles</w:t>
            </w:r>
            <w:r w:rsidR="00D332DB">
              <w:rPr>
                <w:noProof/>
                <w:webHidden/>
              </w:rPr>
              <w:tab/>
            </w:r>
            <w:r w:rsidR="00D332DB">
              <w:rPr>
                <w:noProof/>
                <w:webHidden/>
              </w:rPr>
              <w:fldChar w:fldCharType="begin"/>
            </w:r>
            <w:r w:rsidR="00D332DB">
              <w:rPr>
                <w:noProof/>
                <w:webHidden/>
              </w:rPr>
              <w:instrText xml:space="preserve"> PAGEREF _Toc69129350 \h </w:instrText>
            </w:r>
            <w:r w:rsidR="00D332DB">
              <w:rPr>
                <w:noProof/>
                <w:webHidden/>
              </w:rPr>
            </w:r>
            <w:r w:rsidR="00D332DB">
              <w:rPr>
                <w:noProof/>
                <w:webHidden/>
              </w:rPr>
              <w:fldChar w:fldCharType="separate"/>
            </w:r>
            <w:r w:rsidR="00D332DB">
              <w:rPr>
                <w:noProof/>
                <w:webHidden/>
              </w:rPr>
              <w:t>22</w:t>
            </w:r>
            <w:r w:rsidR="00D332DB">
              <w:rPr>
                <w:noProof/>
                <w:webHidden/>
              </w:rPr>
              <w:fldChar w:fldCharType="end"/>
            </w:r>
          </w:hyperlink>
        </w:p>
        <w:p w14:paraId="194268BA" w14:textId="015D697B" w:rsidR="00D332DB" w:rsidRDefault="00B51F53">
          <w:pPr>
            <w:pStyle w:val="TOC2"/>
            <w:tabs>
              <w:tab w:val="right" w:leader="dot" w:pos="9016"/>
            </w:tabs>
            <w:rPr>
              <w:rFonts w:eastAsiaTheme="minorEastAsia"/>
              <w:iCs w:val="0"/>
              <w:noProof/>
              <w:szCs w:val="22"/>
              <w:lang w:eastAsia="en-GB"/>
            </w:rPr>
          </w:pPr>
          <w:hyperlink w:anchor="_Toc69129351" w:history="1">
            <w:r w:rsidR="00D332DB" w:rsidRPr="0032584B">
              <w:rPr>
                <w:rStyle w:val="Hyperlink"/>
                <w:noProof/>
              </w:rPr>
              <w:t>1.3 Solid Oxide Fuel Cells (SOFCs)</w:t>
            </w:r>
            <w:r w:rsidR="00D332DB">
              <w:rPr>
                <w:noProof/>
                <w:webHidden/>
              </w:rPr>
              <w:tab/>
            </w:r>
            <w:r w:rsidR="00D332DB">
              <w:rPr>
                <w:noProof/>
                <w:webHidden/>
              </w:rPr>
              <w:fldChar w:fldCharType="begin"/>
            </w:r>
            <w:r w:rsidR="00D332DB">
              <w:rPr>
                <w:noProof/>
                <w:webHidden/>
              </w:rPr>
              <w:instrText xml:space="preserve"> PAGEREF _Toc69129351 \h </w:instrText>
            </w:r>
            <w:r w:rsidR="00D332DB">
              <w:rPr>
                <w:noProof/>
                <w:webHidden/>
              </w:rPr>
            </w:r>
            <w:r w:rsidR="00D332DB">
              <w:rPr>
                <w:noProof/>
                <w:webHidden/>
              </w:rPr>
              <w:fldChar w:fldCharType="separate"/>
            </w:r>
            <w:r w:rsidR="00D332DB">
              <w:rPr>
                <w:noProof/>
                <w:webHidden/>
              </w:rPr>
              <w:t>23</w:t>
            </w:r>
            <w:r w:rsidR="00D332DB">
              <w:rPr>
                <w:noProof/>
                <w:webHidden/>
              </w:rPr>
              <w:fldChar w:fldCharType="end"/>
            </w:r>
          </w:hyperlink>
        </w:p>
        <w:p w14:paraId="23B8617E" w14:textId="5E025418" w:rsidR="00D332DB" w:rsidRDefault="00B51F53">
          <w:pPr>
            <w:pStyle w:val="TOC2"/>
            <w:tabs>
              <w:tab w:val="left" w:pos="660"/>
              <w:tab w:val="right" w:leader="dot" w:pos="9016"/>
            </w:tabs>
            <w:rPr>
              <w:rFonts w:eastAsiaTheme="minorEastAsia"/>
              <w:iCs w:val="0"/>
              <w:noProof/>
              <w:szCs w:val="22"/>
              <w:lang w:eastAsia="en-GB"/>
            </w:rPr>
          </w:pPr>
          <w:hyperlink w:anchor="_Toc69129352" w:history="1">
            <w:r w:rsidR="00D332DB" w:rsidRPr="0032584B">
              <w:rPr>
                <w:rStyle w:val="Hyperlink"/>
                <w:noProof/>
              </w:rPr>
              <w:t>1.4</w:t>
            </w:r>
            <w:r w:rsidR="00D332DB">
              <w:rPr>
                <w:rFonts w:eastAsiaTheme="minorEastAsia"/>
                <w:iCs w:val="0"/>
                <w:noProof/>
                <w:szCs w:val="22"/>
                <w:lang w:eastAsia="en-GB"/>
              </w:rPr>
              <w:tab/>
            </w:r>
            <w:r w:rsidR="00D332DB" w:rsidRPr="0032584B">
              <w:rPr>
                <w:rStyle w:val="Hyperlink"/>
                <w:noProof/>
              </w:rPr>
              <w:t>Applications, Advantages, and Developments in Fuel Cell Technology</w:t>
            </w:r>
            <w:r w:rsidR="00D332DB">
              <w:rPr>
                <w:noProof/>
                <w:webHidden/>
              </w:rPr>
              <w:tab/>
            </w:r>
            <w:r w:rsidR="00D332DB">
              <w:rPr>
                <w:noProof/>
                <w:webHidden/>
              </w:rPr>
              <w:fldChar w:fldCharType="begin"/>
            </w:r>
            <w:r w:rsidR="00D332DB">
              <w:rPr>
                <w:noProof/>
                <w:webHidden/>
              </w:rPr>
              <w:instrText xml:space="preserve"> PAGEREF _Toc69129352 \h </w:instrText>
            </w:r>
            <w:r w:rsidR="00D332DB">
              <w:rPr>
                <w:noProof/>
                <w:webHidden/>
              </w:rPr>
            </w:r>
            <w:r w:rsidR="00D332DB">
              <w:rPr>
                <w:noProof/>
                <w:webHidden/>
              </w:rPr>
              <w:fldChar w:fldCharType="separate"/>
            </w:r>
            <w:r w:rsidR="00D332DB">
              <w:rPr>
                <w:noProof/>
                <w:webHidden/>
              </w:rPr>
              <w:t>25</w:t>
            </w:r>
            <w:r w:rsidR="00D332DB">
              <w:rPr>
                <w:noProof/>
                <w:webHidden/>
              </w:rPr>
              <w:fldChar w:fldCharType="end"/>
            </w:r>
          </w:hyperlink>
        </w:p>
        <w:p w14:paraId="7380E1E8" w14:textId="02C0CEAD" w:rsidR="00D332DB" w:rsidRDefault="00B51F53">
          <w:pPr>
            <w:pStyle w:val="TOC2"/>
            <w:tabs>
              <w:tab w:val="left" w:pos="660"/>
              <w:tab w:val="right" w:leader="dot" w:pos="9016"/>
            </w:tabs>
            <w:rPr>
              <w:rFonts w:eastAsiaTheme="minorEastAsia"/>
              <w:iCs w:val="0"/>
              <w:noProof/>
              <w:szCs w:val="22"/>
              <w:lang w:eastAsia="en-GB"/>
            </w:rPr>
          </w:pPr>
          <w:hyperlink w:anchor="_Toc69129353" w:history="1">
            <w:r w:rsidR="00D332DB" w:rsidRPr="0032584B">
              <w:rPr>
                <w:rStyle w:val="Hyperlink"/>
                <w:noProof/>
              </w:rPr>
              <w:t>1.5</w:t>
            </w:r>
            <w:r w:rsidR="00D332DB">
              <w:rPr>
                <w:rFonts w:eastAsiaTheme="minorEastAsia"/>
                <w:iCs w:val="0"/>
                <w:noProof/>
                <w:szCs w:val="22"/>
                <w:lang w:eastAsia="en-GB"/>
              </w:rPr>
              <w:tab/>
            </w:r>
            <w:r w:rsidR="00D332DB" w:rsidRPr="0032584B">
              <w:rPr>
                <w:rStyle w:val="Hyperlink"/>
                <w:noProof/>
              </w:rPr>
              <w:t>Solid Oxide Fuel Cell Components</w:t>
            </w:r>
            <w:r w:rsidR="00D332DB">
              <w:rPr>
                <w:noProof/>
                <w:webHidden/>
              </w:rPr>
              <w:tab/>
            </w:r>
            <w:r w:rsidR="00D332DB">
              <w:rPr>
                <w:noProof/>
                <w:webHidden/>
              </w:rPr>
              <w:fldChar w:fldCharType="begin"/>
            </w:r>
            <w:r w:rsidR="00D332DB">
              <w:rPr>
                <w:noProof/>
                <w:webHidden/>
              </w:rPr>
              <w:instrText xml:space="preserve"> PAGEREF _Toc69129353 \h </w:instrText>
            </w:r>
            <w:r w:rsidR="00D332DB">
              <w:rPr>
                <w:noProof/>
                <w:webHidden/>
              </w:rPr>
            </w:r>
            <w:r w:rsidR="00D332DB">
              <w:rPr>
                <w:noProof/>
                <w:webHidden/>
              </w:rPr>
              <w:fldChar w:fldCharType="separate"/>
            </w:r>
            <w:r w:rsidR="00D332DB">
              <w:rPr>
                <w:noProof/>
                <w:webHidden/>
              </w:rPr>
              <w:t>26</w:t>
            </w:r>
            <w:r w:rsidR="00D332DB">
              <w:rPr>
                <w:noProof/>
                <w:webHidden/>
              </w:rPr>
              <w:fldChar w:fldCharType="end"/>
            </w:r>
          </w:hyperlink>
        </w:p>
        <w:p w14:paraId="326777E5" w14:textId="1E454EA0" w:rsidR="00D332DB" w:rsidRDefault="00B51F53">
          <w:pPr>
            <w:pStyle w:val="TOC3"/>
            <w:tabs>
              <w:tab w:val="left" w:pos="1320"/>
              <w:tab w:val="right" w:leader="dot" w:pos="9016"/>
            </w:tabs>
            <w:rPr>
              <w:rFonts w:eastAsiaTheme="minorEastAsia"/>
              <w:noProof/>
              <w:lang w:eastAsia="en-GB"/>
            </w:rPr>
          </w:pPr>
          <w:hyperlink w:anchor="_Toc69129354" w:history="1">
            <w:r w:rsidR="00D332DB" w:rsidRPr="0032584B">
              <w:rPr>
                <w:rStyle w:val="Hyperlink"/>
                <w:noProof/>
              </w:rPr>
              <w:t>1.5.1</w:t>
            </w:r>
            <w:r w:rsidR="00D332DB">
              <w:rPr>
                <w:rFonts w:eastAsiaTheme="minorEastAsia"/>
                <w:noProof/>
                <w:lang w:eastAsia="en-GB"/>
              </w:rPr>
              <w:tab/>
            </w:r>
            <w:r w:rsidR="00D332DB" w:rsidRPr="0032584B">
              <w:rPr>
                <w:rStyle w:val="Hyperlink"/>
                <w:noProof/>
              </w:rPr>
              <w:t>Electrolyte</w:t>
            </w:r>
            <w:r w:rsidR="00D332DB">
              <w:rPr>
                <w:noProof/>
                <w:webHidden/>
              </w:rPr>
              <w:tab/>
            </w:r>
            <w:r w:rsidR="00D332DB">
              <w:rPr>
                <w:noProof/>
                <w:webHidden/>
              </w:rPr>
              <w:fldChar w:fldCharType="begin"/>
            </w:r>
            <w:r w:rsidR="00D332DB">
              <w:rPr>
                <w:noProof/>
                <w:webHidden/>
              </w:rPr>
              <w:instrText xml:space="preserve"> PAGEREF _Toc69129354 \h </w:instrText>
            </w:r>
            <w:r w:rsidR="00D332DB">
              <w:rPr>
                <w:noProof/>
                <w:webHidden/>
              </w:rPr>
            </w:r>
            <w:r w:rsidR="00D332DB">
              <w:rPr>
                <w:noProof/>
                <w:webHidden/>
              </w:rPr>
              <w:fldChar w:fldCharType="separate"/>
            </w:r>
            <w:r w:rsidR="00D332DB">
              <w:rPr>
                <w:noProof/>
                <w:webHidden/>
              </w:rPr>
              <w:t>26</w:t>
            </w:r>
            <w:r w:rsidR="00D332DB">
              <w:rPr>
                <w:noProof/>
                <w:webHidden/>
              </w:rPr>
              <w:fldChar w:fldCharType="end"/>
            </w:r>
          </w:hyperlink>
        </w:p>
        <w:p w14:paraId="466F5459" w14:textId="445D8B6A" w:rsidR="00D332DB" w:rsidRDefault="00B51F53">
          <w:pPr>
            <w:pStyle w:val="TOC3"/>
            <w:tabs>
              <w:tab w:val="right" w:leader="dot" w:pos="9016"/>
            </w:tabs>
            <w:rPr>
              <w:rFonts w:eastAsiaTheme="minorEastAsia"/>
              <w:noProof/>
              <w:lang w:eastAsia="en-GB"/>
            </w:rPr>
          </w:pPr>
          <w:hyperlink w:anchor="_Toc69129355" w:history="1">
            <w:r w:rsidR="00D332DB" w:rsidRPr="0032584B">
              <w:rPr>
                <w:rStyle w:val="Hyperlink"/>
                <w:noProof/>
              </w:rPr>
              <w:t>1.5.2 Electrode</w:t>
            </w:r>
            <w:r w:rsidR="00D332DB">
              <w:rPr>
                <w:noProof/>
                <w:webHidden/>
              </w:rPr>
              <w:tab/>
            </w:r>
            <w:r w:rsidR="00D332DB">
              <w:rPr>
                <w:noProof/>
                <w:webHidden/>
              </w:rPr>
              <w:fldChar w:fldCharType="begin"/>
            </w:r>
            <w:r w:rsidR="00D332DB">
              <w:rPr>
                <w:noProof/>
                <w:webHidden/>
              </w:rPr>
              <w:instrText xml:space="preserve"> PAGEREF _Toc69129355 \h </w:instrText>
            </w:r>
            <w:r w:rsidR="00D332DB">
              <w:rPr>
                <w:noProof/>
                <w:webHidden/>
              </w:rPr>
            </w:r>
            <w:r w:rsidR="00D332DB">
              <w:rPr>
                <w:noProof/>
                <w:webHidden/>
              </w:rPr>
              <w:fldChar w:fldCharType="separate"/>
            </w:r>
            <w:r w:rsidR="00D332DB">
              <w:rPr>
                <w:noProof/>
                <w:webHidden/>
              </w:rPr>
              <w:t>26</w:t>
            </w:r>
            <w:r w:rsidR="00D332DB">
              <w:rPr>
                <w:noProof/>
                <w:webHidden/>
              </w:rPr>
              <w:fldChar w:fldCharType="end"/>
            </w:r>
          </w:hyperlink>
        </w:p>
        <w:p w14:paraId="3803B11A" w14:textId="34EDB6BE" w:rsidR="00D332DB" w:rsidRDefault="00B51F53">
          <w:pPr>
            <w:pStyle w:val="TOC3"/>
            <w:tabs>
              <w:tab w:val="left" w:pos="1320"/>
              <w:tab w:val="right" w:leader="dot" w:pos="9016"/>
            </w:tabs>
            <w:rPr>
              <w:rFonts w:eastAsiaTheme="minorEastAsia"/>
              <w:noProof/>
              <w:lang w:eastAsia="en-GB"/>
            </w:rPr>
          </w:pPr>
          <w:hyperlink w:anchor="_Toc69129356" w:history="1">
            <w:r w:rsidR="00D332DB" w:rsidRPr="0032584B">
              <w:rPr>
                <w:rStyle w:val="Hyperlink"/>
                <w:noProof/>
              </w:rPr>
              <w:t>1.5.3</w:t>
            </w:r>
            <w:r w:rsidR="00D332DB">
              <w:rPr>
                <w:rFonts w:eastAsiaTheme="minorEastAsia"/>
                <w:noProof/>
                <w:lang w:eastAsia="en-GB"/>
              </w:rPr>
              <w:tab/>
            </w:r>
            <w:r w:rsidR="00D332DB" w:rsidRPr="0032584B">
              <w:rPr>
                <w:rStyle w:val="Hyperlink"/>
                <w:noProof/>
              </w:rPr>
              <w:t>Barriers to SOFC Commercialisation</w:t>
            </w:r>
            <w:r w:rsidR="00D332DB">
              <w:rPr>
                <w:noProof/>
                <w:webHidden/>
              </w:rPr>
              <w:tab/>
            </w:r>
            <w:r w:rsidR="00D332DB">
              <w:rPr>
                <w:noProof/>
                <w:webHidden/>
              </w:rPr>
              <w:fldChar w:fldCharType="begin"/>
            </w:r>
            <w:r w:rsidR="00D332DB">
              <w:rPr>
                <w:noProof/>
                <w:webHidden/>
              </w:rPr>
              <w:instrText xml:space="preserve"> PAGEREF _Toc69129356 \h </w:instrText>
            </w:r>
            <w:r w:rsidR="00D332DB">
              <w:rPr>
                <w:noProof/>
                <w:webHidden/>
              </w:rPr>
            </w:r>
            <w:r w:rsidR="00D332DB">
              <w:rPr>
                <w:noProof/>
                <w:webHidden/>
              </w:rPr>
              <w:fldChar w:fldCharType="separate"/>
            </w:r>
            <w:r w:rsidR="00D332DB">
              <w:rPr>
                <w:noProof/>
                <w:webHidden/>
              </w:rPr>
              <w:t>29</w:t>
            </w:r>
            <w:r w:rsidR="00D332DB">
              <w:rPr>
                <w:noProof/>
                <w:webHidden/>
              </w:rPr>
              <w:fldChar w:fldCharType="end"/>
            </w:r>
          </w:hyperlink>
        </w:p>
        <w:p w14:paraId="00ADF2F6" w14:textId="029A5D6B" w:rsidR="00D332DB" w:rsidRDefault="00B51F53">
          <w:pPr>
            <w:pStyle w:val="TOC2"/>
            <w:tabs>
              <w:tab w:val="left" w:pos="660"/>
              <w:tab w:val="right" w:leader="dot" w:pos="9016"/>
            </w:tabs>
            <w:rPr>
              <w:rFonts w:eastAsiaTheme="minorEastAsia"/>
              <w:iCs w:val="0"/>
              <w:noProof/>
              <w:szCs w:val="22"/>
              <w:lang w:eastAsia="en-GB"/>
            </w:rPr>
          </w:pPr>
          <w:hyperlink w:anchor="_Toc69129357" w:history="1">
            <w:r w:rsidR="00D332DB" w:rsidRPr="0032584B">
              <w:rPr>
                <w:rStyle w:val="Hyperlink"/>
                <w:noProof/>
              </w:rPr>
              <w:t>1.6</w:t>
            </w:r>
            <w:r w:rsidR="00D332DB">
              <w:rPr>
                <w:rFonts w:eastAsiaTheme="minorEastAsia"/>
                <w:iCs w:val="0"/>
                <w:noProof/>
                <w:szCs w:val="22"/>
                <w:lang w:eastAsia="en-GB"/>
              </w:rPr>
              <w:tab/>
            </w:r>
            <w:r w:rsidR="00D332DB" w:rsidRPr="0032584B">
              <w:rPr>
                <w:rStyle w:val="Hyperlink"/>
                <w:noProof/>
              </w:rPr>
              <w:t>Materials Challenges for Solid Oxide Fuel Cells</w:t>
            </w:r>
            <w:r w:rsidR="00D332DB">
              <w:rPr>
                <w:noProof/>
                <w:webHidden/>
              </w:rPr>
              <w:tab/>
            </w:r>
            <w:r w:rsidR="00D332DB">
              <w:rPr>
                <w:noProof/>
                <w:webHidden/>
              </w:rPr>
              <w:fldChar w:fldCharType="begin"/>
            </w:r>
            <w:r w:rsidR="00D332DB">
              <w:rPr>
                <w:noProof/>
                <w:webHidden/>
              </w:rPr>
              <w:instrText xml:space="preserve"> PAGEREF _Toc69129357 \h </w:instrText>
            </w:r>
            <w:r w:rsidR="00D332DB">
              <w:rPr>
                <w:noProof/>
                <w:webHidden/>
              </w:rPr>
            </w:r>
            <w:r w:rsidR="00D332DB">
              <w:rPr>
                <w:noProof/>
                <w:webHidden/>
              </w:rPr>
              <w:fldChar w:fldCharType="separate"/>
            </w:r>
            <w:r w:rsidR="00D332DB">
              <w:rPr>
                <w:noProof/>
                <w:webHidden/>
              </w:rPr>
              <w:t>29</w:t>
            </w:r>
            <w:r w:rsidR="00D332DB">
              <w:rPr>
                <w:noProof/>
                <w:webHidden/>
              </w:rPr>
              <w:fldChar w:fldCharType="end"/>
            </w:r>
          </w:hyperlink>
        </w:p>
        <w:p w14:paraId="2C4E89E8" w14:textId="051BC2E8" w:rsidR="00D332DB" w:rsidRDefault="00B51F53">
          <w:pPr>
            <w:pStyle w:val="TOC2"/>
            <w:tabs>
              <w:tab w:val="left" w:pos="660"/>
              <w:tab w:val="right" w:leader="dot" w:pos="9016"/>
            </w:tabs>
            <w:rPr>
              <w:rFonts w:eastAsiaTheme="minorEastAsia"/>
              <w:iCs w:val="0"/>
              <w:noProof/>
              <w:szCs w:val="22"/>
              <w:lang w:eastAsia="en-GB"/>
            </w:rPr>
          </w:pPr>
          <w:hyperlink w:anchor="_Toc69129358" w:history="1">
            <w:r w:rsidR="00D332DB" w:rsidRPr="0032584B">
              <w:rPr>
                <w:rStyle w:val="Hyperlink"/>
                <w:noProof/>
              </w:rPr>
              <w:t>1.7</w:t>
            </w:r>
            <w:r w:rsidR="00D332DB">
              <w:rPr>
                <w:rFonts w:eastAsiaTheme="minorEastAsia"/>
                <w:iCs w:val="0"/>
                <w:noProof/>
                <w:szCs w:val="22"/>
                <w:lang w:eastAsia="en-GB"/>
              </w:rPr>
              <w:tab/>
            </w:r>
            <w:r w:rsidR="00D332DB" w:rsidRPr="0032584B">
              <w:rPr>
                <w:rStyle w:val="Hyperlink"/>
                <w:noProof/>
              </w:rPr>
              <w:t>Thesis Outline</w:t>
            </w:r>
            <w:r w:rsidR="00D332DB">
              <w:rPr>
                <w:noProof/>
                <w:webHidden/>
              </w:rPr>
              <w:tab/>
            </w:r>
            <w:r w:rsidR="00D332DB">
              <w:rPr>
                <w:noProof/>
                <w:webHidden/>
              </w:rPr>
              <w:fldChar w:fldCharType="begin"/>
            </w:r>
            <w:r w:rsidR="00D332DB">
              <w:rPr>
                <w:noProof/>
                <w:webHidden/>
              </w:rPr>
              <w:instrText xml:space="preserve"> PAGEREF _Toc69129358 \h </w:instrText>
            </w:r>
            <w:r w:rsidR="00D332DB">
              <w:rPr>
                <w:noProof/>
                <w:webHidden/>
              </w:rPr>
            </w:r>
            <w:r w:rsidR="00D332DB">
              <w:rPr>
                <w:noProof/>
                <w:webHidden/>
              </w:rPr>
              <w:fldChar w:fldCharType="separate"/>
            </w:r>
            <w:r w:rsidR="00D332DB">
              <w:rPr>
                <w:noProof/>
                <w:webHidden/>
              </w:rPr>
              <w:t>30</w:t>
            </w:r>
            <w:r w:rsidR="00D332DB">
              <w:rPr>
                <w:noProof/>
                <w:webHidden/>
              </w:rPr>
              <w:fldChar w:fldCharType="end"/>
            </w:r>
          </w:hyperlink>
        </w:p>
        <w:p w14:paraId="5C0D4825" w14:textId="5809085E" w:rsidR="00D332DB" w:rsidRDefault="00B51F53">
          <w:pPr>
            <w:pStyle w:val="TOC3"/>
            <w:tabs>
              <w:tab w:val="left" w:pos="1320"/>
              <w:tab w:val="right" w:leader="dot" w:pos="9016"/>
            </w:tabs>
            <w:rPr>
              <w:rFonts w:eastAsiaTheme="minorEastAsia"/>
              <w:noProof/>
              <w:lang w:eastAsia="en-GB"/>
            </w:rPr>
          </w:pPr>
          <w:hyperlink w:anchor="_Toc69129359" w:history="1">
            <w:r w:rsidR="00D332DB" w:rsidRPr="0032584B">
              <w:rPr>
                <w:rStyle w:val="Hyperlink"/>
                <w:noProof/>
              </w:rPr>
              <w:t>1.7.1</w:t>
            </w:r>
            <w:r w:rsidR="00D332DB">
              <w:rPr>
                <w:rFonts w:eastAsiaTheme="minorEastAsia"/>
                <w:noProof/>
                <w:lang w:eastAsia="en-GB"/>
              </w:rPr>
              <w:tab/>
            </w:r>
            <w:r w:rsidR="00D332DB" w:rsidRPr="0032584B">
              <w:rPr>
                <w:rStyle w:val="Hyperlink"/>
                <w:noProof/>
              </w:rPr>
              <w:t>Aims</w:t>
            </w:r>
            <w:r w:rsidR="00D332DB">
              <w:rPr>
                <w:noProof/>
                <w:webHidden/>
              </w:rPr>
              <w:tab/>
            </w:r>
            <w:r w:rsidR="00D332DB">
              <w:rPr>
                <w:noProof/>
                <w:webHidden/>
              </w:rPr>
              <w:fldChar w:fldCharType="begin"/>
            </w:r>
            <w:r w:rsidR="00D332DB">
              <w:rPr>
                <w:noProof/>
                <w:webHidden/>
              </w:rPr>
              <w:instrText xml:space="preserve"> PAGEREF _Toc69129359 \h </w:instrText>
            </w:r>
            <w:r w:rsidR="00D332DB">
              <w:rPr>
                <w:noProof/>
                <w:webHidden/>
              </w:rPr>
            </w:r>
            <w:r w:rsidR="00D332DB">
              <w:rPr>
                <w:noProof/>
                <w:webHidden/>
              </w:rPr>
              <w:fldChar w:fldCharType="separate"/>
            </w:r>
            <w:r w:rsidR="00D332DB">
              <w:rPr>
                <w:noProof/>
                <w:webHidden/>
              </w:rPr>
              <w:t>30</w:t>
            </w:r>
            <w:r w:rsidR="00D332DB">
              <w:rPr>
                <w:noProof/>
                <w:webHidden/>
              </w:rPr>
              <w:fldChar w:fldCharType="end"/>
            </w:r>
          </w:hyperlink>
        </w:p>
        <w:p w14:paraId="0495A7FF" w14:textId="5F8DB076" w:rsidR="00D332DB" w:rsidRDefault="00B51F53">
          <w:pPr>
            <w:pStyle w:val="TOC3"/>
            <w:tabs>
              <w:tab w:val="left" w:pos="1320"/>
              <w:tab w:val="right" w:leader="dot" w:pos="9016"/>
            </w:tabs>
            <w:rPr>
              <w:rFonts w:eastAsiaTheme="minorEastAsia"/>
              <w:noProof/>
              <w:lang w:eastAsia="en-GB"/>
            </w:rPr>
          </w:pPr>
          <w:hyperlink w:anchor="_Toc69129360" w:history="1">
            <w:r w:rsidR="00D332DB" w:rsidRPr="0032584B">
              <w:rPr>
                <w:rStyle w:val="Hyperlink"/>
                <w:noProof/>
              </w:rPr>
              <w:t>1.7.2</w:t>
            </w:r>
            <w:r w:rsidR="00D332DB">
              <w:rPr>
                <w:rFonts w:eastAsiaTheme="minorEastAsia"/>
                <w:noProof/>
                <w:lang w:eastAsia="en-GB"/>
              </w:rPr>
              <w:tab/>
            </w:r>
            <w:r w:rsidR="00D332DB" w:rsidRPr="0032584B">
              <w:rPr>
                <w:rStyle w:val="Hyperlink"/>
                <w:noProof/>
              </w:rPr>
              <w:t>Outline</w:t>
            </w:r>
            <w:r w:rsidR="00D332DB">
              <w:rPr>
                <w:noProof/>
                <w:webHidden/>
              </w:rPr>
              <w:tab/>
            </w:r>
            <w:r w:rsidR="00D332DB">
              <w:rPr>
                <w:noProof/>
                <w:webHidden/>
              </w:rPr>
              <w:fldChar w:fldCharType="begin"/>
            </w:r>
            <w:r w:rsidR="00D332DB">
              <w:rPr>
                <w:noProof/>
                <w:webHidden/>
              </w:rPr>
              <w:instrText xml:space="preserve"> PAGEREF _Toc69129360 \h </w:instrText>
            </w:r>
            <w:r w:rsidR="00D332DB">
              <w:rPr>
                <w:noProof/>
                <w:webHidden/>
              </w:rPr>
            </w:r>
            <w:r w:rsidR="00D332DB">
              <w:rPr>
                <w:noProof/>
                <w:webHidden/>
              </w:rPr>
              <w:fldChar w:fldCharType="separate"/>
            </w:r>
            <w:r w:rsidR="00D332DB">
              <w:rPr>
                <w:noProof/>
                <w:webHidden/>
              </w:rPr>
              <w:t>30</w:t>
            </w:r>
            <w:r w:rsidR="00D332DB">
              <w:rPr>
                <w:noProof/>
                <w:webHidden/>
              </w:rPr>
              <w:fldChar w:fldCharType="end"/>
            </w:r>
          </w:hyperlink>
        </w:p>
        <w:p w14:paraId="7C5A96AF" w14:textId="7A029A91" w:rsidR="00D332DB" w:rsidRDefault="00B51F53">
          <w:pPr>
            <w:pStyle w:val="TOC1"/>
            <w:rPr>
              <w:rFonts w:asciiTheme="minorHAnsi" w:eastAsiaTheme="minorEastAsia" w:hAnsiTheme="minorHAnsi" w:cstheme="minorBidi"/>
              <w:sz w:val="22"/>
              <w:szCs w:val="22"/>
              <w:lang w:eastAsia="en-GB"/>
            </w:rPr>
          </w:pPr>
          <w:hyperlink w:anchor="_Toc69129361" w:history="1">
            <w:r w:rsidR="00D332DB" w:rsidRPr="0032584B">
              <w:rPr>
                <w:rStyle w:val="Hyperlink"/>
              </w:rPr>
              <w:t>Chapter 2: Literature Review</w:t>
            </w:r>
            <w:r w:rsidR="00D332DB">
              <w:rPr>
                <w:webHidden/>
              </w:rPr>
              <w:tab/>
            </w:r>
            <w:r w:rsidR="00D332DB">
              <w:rPr>
                <w:webHidden/>
              </w:rPr>
              <w:fldChar w:fldCharType="begin"/>
            </w:r>
            <w:r w:rsidR="00D332DB">
              <w:rPr>
                <w:webHidden/>
              </w:rPr>
              <w:instrText xml:space="preserve"> PAGEREF _Toc69129361 \h </w:instrText>
            </w:r>
            <w:r w:rsidR="00D332DB">
              <w:rPr>
                <w:webHidden/>
              </w:rPr>
            </w:r>
            <w:r w:rsidR="00D332DB">
              <w:rPr>
                <w:webHidden/>
              </w:rPr>
              <w:fldChar w:fldCharType="separate"/>
            </w:r>
            <w:r w:rsidR="00D332DB">
              <w:rPr>
                <w:webHidden/>
              </w:rPr>
              <w:t>31</w:t>
            </w:r>
            <w:r w:rsidR="00D332DB">
              <w:rPr>
                <w:webHidden/>
              </w:rPr>
              <w:fldChar w:fldCharType="end"/>
            </w:r>
          </w:hyperlink>
        </w:p>
        <w:p w14:paraId="3A53A87E" w14:textId="167689EA" w:rsidR="00D332DB" w:rsidRDefault="00B51F53">
          <w:pPr>
            <w:pStyle w:val="TOC2"/>
            <w:tabs>
              <w:tab w:val="left" w:pos="660"/>
              <w:tab w:val="right" w:leader="dot" w:pos="9016"/>
            </w:tabs>
            <w:rPr>
              <w:rFonts w:eastAsiaTheme="minorEastAsia"/>
              <w:iCs w:val="0"/>
              <w:noProof/>
              <w:szCs w:val="22"/>
              <w:lang w:eastAsia="en-GB"/>
            </w:rPr>
          </w:pPr>
          <w:hyperlink w:anchor="_Toc69129362" w:history="1">
            <w:r w:rsidR="00D332DB" w:rsidRPr="0032584B">
              <w:rPr>
                <w:rStyle w:val="Hyperlink"/>
                <w:noProof/>
              </w:rPr>
              <w:t>2.1</w:t>
            </w:r>
            <w:r w:rsidR="00D332DB">
              <w:rPr>
                <w:rFonts w:eastAsiaTheme="minorEastAsia"/>
                <w:iCs w:val="0"/>
                <w:noProof/>
                <w:szCs w:val="22"/>
                <w:lang w:eastAsia="en-GB"/>
              </w:rPr>
              <w:tab/>
            </w:r>
            <w:r w:rsidR="00D332DB" w:rsidRPr="0032584B">
              <w:rPr>
                <w:rStyle w:val="Hyperlink"/>
                <w:noProof/>
              </w:rPr>
              <w:t>Motivation</w:t>
            </w:r>
            <w:r w:rsidR="00D332DB">
              <w:rPr>
                <w:noProof/>
                <w:webHidden/>
              </w:rPr>
              <w:tab/>
            </w:r>
            <w:r w:rsidR="00D332DB">
              <w:rPr>
                <w:noProof/>
                <w:webHidden/>
              </w:rPr>
              <w:fldChar w:fldCharType="begin"/>
            </w:r>
            <w:r w:rsidR="00D332DB">
              <w:rPr>
                <w:noProof/>
                <w:webHidden/>
              </w:rPr>
              <w:instrText xml:space="preserve"> PAGEREF _Toc69129362 \h </w:instrText>
            </w:r>
            <w:r w:rsidR="00D332DB">
              <w:rPr>
                <w:noProof/>
                <w:webHidden/>
              </w:rPr>
            </w:r>
            <w:r w:rsidR="00D332DB">
              <w:rPr>
                <w:noProof/>
                <w:webHidden/>
              </w:rPr>
              <w:fldChar w:fldCharType="separate"/>
            </w:r>
            <w:r w:rsidR="00D332DB">
              <w:rPr>
                <w:noProof/>
                <w:webHidden/>
              </w:rPr>
              <w:t>31</w:t>
            </w:r>
            <w:r w:rsidR="00D332DB">
              <w:rPr>
                <w:noProof/>
                <w:webHidden/>
              </w:rPr>
              <w:fldChar w:fldCharType="end"/>
            </w:r>
          </w:hyperlink>
        </w:p>
        <w:p w14:paraId="3673B96C" w14:textId="733EEF95" w:rsidR="00D332DB" w:rsidRDefault="00B51F53">
          <w:pPr>
            <w:pStyle w:val="TOC2"/>
            <w:tabs>
              <w:tab w:val="left" w:pos="660"/>
              <w:tab w:val="right" w:leader="dot" w:pos="9016"/>
            </w:tabs>
            <w:rPr>
              <w:rFonts w:eastAsiaTheme="minorEastAsia"/>
              <w:iCs w:val="0"/>
              <w:noProof/>
              <w:szCs w:val="22"/>
              <w:lang w:eastAsia="en-GB"/>
            </w:rPr>
          </w:pPr>
          <w:hyperlink w:anchor="_Toc69129363" w:history="1">
            <w:r w:rsidR="00D332DB" w:rsidRPr="0032584B">
              <w:rPr>
                <w:rStyle w:val="Hyperlink"/>
                <w:noProof/>
              </w:rPr>
              <w:t>2.2</w:t>
            </w:r>
            <w:r w:rsidR="00D332DB">
              <w:rPr>
                <w:rFonts w:eastAsiaTheme="minorEastAsia"/>
                <w:iCs w:val="0"/>
                <w:noProof/>
                <w:szCs w:val="22"/>
                <w:lang w:eastAsia="en-GB"/>
              </w:rPr>
              <w:tab/>
            </w:r>
            <w:r w:rsidR="00D332DB" w:rsidRPr="0032584B">
              <w:rPr>
                <w:rStyle w:val="Hyperlink"/>
                <w:noProof/>
              </w:rPr>
              <w:t>SOFC Anode production methods</w:t>
            </w:r>
            <w:r w:rsidR="00D332DB">
              <w:rPr>
                <w:noProof/>
                <w:webHidden/>
              </w:rPr>
              <w:tab/>
            </w:r>
            <w:r w:rsidR="00D332DB">
              <w:rPr>
                <w:noProof/>
                <w:webHidden/>
              </w:rPr>
              <w:fldChar w:fldCharType="begin"/>
            </w:r>
            <w:r w:rsidR="00D332DB">
              <w:rPr>
                <w:noProof/>
                <w:webHidden/>
              </w:rPr>
              <w:instrText xml:space="preserve"> PAGEREF _Toc69129363 \h </w:instrText>
            </w:r>
            <w:r w:rsidR="00D332DB">
              <w:rPr>
                <w:noProof/>
                <w:webHidden/>
              </w:rPr>
            </w:r>
            <w:r w:rsidR="00D332DB">
              <w:rPr>
                <w:noProof/>
                <w:webHidden/>
              </w:rPr>
              <w:fldChar w:fldCharType="separate"/>
            </w:r>
            <w:r w:rsidR="00D332DB">
              <w:rPr>
                <w:noProof/>
                <w:webHidden/>
              </w:rPr>
              <w:t>32</w:t>
            </w:r>
            <w:r w:rsidR="00D332DB">
              <w:rPr>
                <w:noProof/>
                <w:webHidden/>
              </w:rPr>
              <w:fldChar w:fldCharType="end"/>
            </w:r>
          </w:hyperlink>
        </w:p>
        <w:p w14:paraId="109D414C" w14:textId="397173AA" w:rsidR="00D332DB" w:rsidRDefault="00B51F53">
          <w:pPr>
            <w:pStyle w:val="TOC3"/>
            <w:tabs>
              <w:tab w:val="left" w:pos="1320"/>
              <w:tab w:val="right" w:leader="dot" w:pos="9016"/>
            </w:tabs>
            <w:rPr>
              <w:rFonts w:eastAsiaTheme="minorEastAsia"/>
              <w:noProof/>
              <w:lang w:eastAsia="en-GB"/>
            </w:rPr>
          </w:pPr>
          <w:hyperlink w:anchor="_Toc69129364" w:history="1">
            <w:r w:rsidR="00D332DB" w:rsidRPr="0032584B">
              <w:rPr>
                <w:rStyle w:val="Hyperlink"/>
                <w:noProof/>
              </w:rPr>
              <w:t>2.2.1</w:t>
            </w:r>
            <w:r w:rsidR="00D332DB">
              <w:rPr>
                <w:rFonts w:eastAsiaTheme="minorEastAsia"/>
                <w:noProof/>
                <w:lang w:eastAsia="en-GB"/>
              </w:rPr>
              <w:tab/>
            </w:r>
            <w:r w:rsidR="00D332DB" w:rsidRPr="0032584B">
              <w:rPr>
                <w:rStyle w:val="Hyperlink"/>
                <w:noProof/>
              </w:rPr>
              <w:t>Powder methods</w:t>
            </w:r>
            <w:r w:rsidR="00D332DB">
              <w:rPr>
                <w:noProof/>
                <w:webHidden/>
              </w:rPr>
              <w:tab/>
            </w:r>
            <w:r w:rsidR="00D332DB">
              <w:rPr>
                <w:noProof/>
                <w:webHidden/>
              </w:rPr>
              <w:fldChar w:fldCharType="begin"/>
            </w:r>
            <w:r w:rsidR="00D332DB">
              <w:rPr>
                <w:noProof/>
                <w:webHidden/>
              </w:rPr>
              <w:instrText xml:space="preserve"> PAGEREF _Toc69129364 \h </w:instrText>
            </w:r>
            <w:r w:rsidR="00D332DB">
              <w:rPr>
                <w:noProof/>
                <w:webHidden/>
              </w:rPr>
            </w:r>
            <w:r w:rsidR="00D332DB">
              <w:rPr>
                <w:noProof/>
                <w:webHidden/>
              </w:rPr>
              <w:fldChar w:fldCharType="separate"/>
            </w:r>
            <w:r w:rsidR="00D332DB">
              <w:rPr>
                <w:noProof/>
                <w:webHidden/>
              </w:rPr>
              <w:t>32</w:t>
            </w:r>
            <w:r w:rsidR="00D332DB">
              <w:rPr>
                <w:noProof/>
                <w:webHidden/>
              </w:rPr>
              <w:fldChar w:fldCharType="end"/>
            </w:r>
          </w:hyperlink>
        </w:p>
        <w:p w14:paraId="7BDECB03" w14:textId="292F568E" w:rsidR="00D332DB" w:rsidRDefault="00B51F53">
          <w:pPr>
            <w:pStyle w:val="TOC3"/>
            <w:tabs>
              <w:tab w:val="left" w:pos="1320"/>
              <w:tab w:val="right" w:leader="dot" w:pos="9016"/>
            </w:tabs>
            <w:rPr>
              <w:rFonts w:eastAsiaTheme="minorEastAsia"/>
              <w:noProof/>
              <w:lang w:eastAsia="en-GB"/>
            </w:rPr>
          </w:pPr>
          <w:hyperlink w:anchor="_Toc69129365" w:history="1">
            <w:r w:rsidR="00D332DB" w:rsidRPr="0032584B">
              <w:rPr>
                <w:rStyle w:val="Hyperlink"/>
                <w:noProof/>
              </w:rPr>
              <w:t>2.2.2</w:t>
            </w:r>
            <w:r w:rsidR="00D332DB">
              <w:rPr>
                <w:rFonts w:eastAsiaTheme="minorEastAsia"/>
                <w:noProof/>
                <w:lang w:eastAsia="en-GB"/>
              </w:rPr>
              <w:tab/>
            </w:r>
            <w:r w:rsidR="00D332DB" w:rsidRPr="0032584B">
              <w:rPr>
                <w:rStyle w:val="Hyperlink"/>
                <w:noProof/>
              </w:rPr>
              <w:t>Infiltration</w:t>
            </w:r>
            <w:r w:rsidR="00D332DB">
              <w:rPr>
                <w:noProof/>
                <w:webHidden/>
              </w:rPr>
              <w:tab/>
            </w:r>
            <w:r w:rsidR="00D332DB">
              <w:rPr>
                <w:noProof/>
                <w:webHidden/>
              </w:rPr>
              <w:fldChar w:fldCharType="begin"/>
            </w:r>
            <w:r w:rsidR="00D332DB">
              <w:rPr>
                <w:noProof/>
                <w:webHidden/>
              </w:rPr>
              <w:instrText xml:space="preserve"> PAGEREF _Toc69129365 \h </w:instrText>
            </w:r>
            <w:r w:rsidR="00D332DB">
              <w:rPr>
                <w:noProof/>
                <w:webHidden/>
              </w:rPr>
            </w:r>
            <w:r w:rsidR="00D332DB">
              <w:rPr>
                <w:noProof/>
                <w:webHidden/>
              </w:rPr>
              <w:fldChar w:fldCharType="separate"/>
            </w:r>
            <w:r w:rsidR="00D332DB">
              <w:rPr>
                <w:noProof/>
                <w:webHidden/>
              </w:rPr>
              <w:t>33</w:t>
            </w:r>
            <w:r w:rsidR="00D332DB">
              <w:rPr>
                <w:noProof/>
                <w:webHidden/>
              </w:rPr>
              <w:fldChar w:fldCharType="end"/>
            </w:r>
          </w:hyperlink>
        </w:p>
        <w:p w14:paraId="2D1F1A17" w14:textId="1462AB10" w:rsidR="00D332DB" w:rsidRDefault="00B51F53">
          <w:pPr>
            <w:pStyle w:val="TOC2"/>
            <w:tabs>
              <w:tab w:val="left" w:pos="660"/>
              <w:tab w:val="right" w:leader="dot" w:pos="9016"/>
            </w:tabs>
            <w:rPr>
              <w:rFonts w:eastAsiaTheme="minorEastAsia"/>
              <w:iCs w:val="0"/>
              <w:noProof/>
              <w:szCs w:val="22"/>
              <w:lang w:eastAsia="en-GB"/>
            </w:rPr>
          </w:pPr>
          <w:hyperlink w:anchor="_Toc69129366" w:history="1">
            <w:r w:rsidR="00D332DB" w:rsidRPr="0032584B">
              <w:rPr>
                <w:rStyle w:val="Hyperlink"/>
                <w:noProof/>
              </w:rPr>
              <w:t>2.3</w:t>
            </w:r>
            <w:r w:rsidR="00D332DB">
              <w:rPr>
                <w:rFonts w:eastAsiaTheme="minorEastAsia"/>
                <w:iCs w:val="0"/>
                <w:noProof/>
                <w:szCs w:val="22"/>
                <w:lang w:eastAsia="en-GB"/>
              </w:rPr>
              <w:tab/>
            </w:r>
            <w:r w:rsidR="00D332DB" w:rsidRPr="0032584B">
              <w:rPr>
                <w:rStyle w:val="Hyperlink"/>
                <w:noProof/>
              </w:rPr>
              <w:t>Mechanisms of Degradation</w:t>
            </w:r>
            <w:r w:rsidR="00D332DB">
              <w:rPr>
                <w:noProof/>
                <w:webHidden/>
              </w:rPr>
              <w:tab/>
            </w:r>
            <w:r w:rsidR="00D332DB">
              <w:rPr>
                <w:noProof/>
                <w:webHidden/>
              </w:rPr>
              <w:fldChar w:fldCharType="begin"/>
            </w:r>
            <w:r w:rsidR="00D332DB">
              <w:rPr>
                <w:noProof/>
                <w:webHidden/>
              </w:rPr>
              <w:instrText xml:space="preserve"> PAGEREF _Toc69129366 \h </w:instrText>
            </w:r>
            <w:r w:rsidR="00D332DB">
              <w:rPr>
                <w:noProof/>
                <w:webHidden/>
              </w:rPr>
            </w:r>
            <w:r w:rsidR="00D332DB">
              <w:rPr>
                <w:noProof/>
                <w:webHidden/>
              </w:rPr>
              <w:fldChar w:fldCharType="separate"/>
            </w:r>
            <w:r w:rsidR="00D332DB">
              <w:rPr>
                <w:noProof/>
                <w:webHidden/>
              </w:rPr>
              <w:t>35</w:t>
            </w:r>
            <w:r w:rsidR="00D332DB">
              <w:rPr>
                <w:noProof/>
                <w:webHidden/>
              </w:rPr>
              <w:fldChar w:fldCharType="end"/>
            </w:r>
          </w:hyperlink>
        </w:p>
        <w:p w14:paraId="1D38C2B1" w14:textId="062E8726" w:rsidR="00D332DB" w:rsidRDefault="00B51F53">
          <w:pPr>
            <w:pStyle w:val="TOC3"/>
            <w:tabs>
              <w:tab w:val="left" w:pos="1320"/>
              <w:tab w:val="right" w:leader="dot" w:pos="9016"/>
            </w:tabs>
            <w:rPr>
              <w:rFonts w:eastAsiaTheme="minorEastAsia"/>
              <w:noProof/>
              <w:lang w:eastAsia="en-GB"/>
            </w:rPr>
          </w:pPr>
          <w:hyperlink w:anchor="_Toc69129367" w:history="1">
            <w:r w:rsidR="00D332DB" w:rsidRPr="0032584B">
              <w:rPr>
                <w:rStyle w:val="Hyperlink"/>
                <w:noProof/>
              </w:rPr>
              <w:t>2.3.1</w:t>
            </w:r>
            <w:r w:rsidR="00D332DB">
              <w:rPr>
                <w:rFonts w:eastAsiaTheme="minorEastAsia"/>
                <w:noProof/>
                <w:lang w:eastAsia="en-GB"/>
              </w:rPr>
              <w:tab/>
            </w:r>
            <w:r w:rsidR="00D332DB" w:rsidRPr="0032584B">
              <w:rPr>
                <w:rStyle w:val="Hyperlink"/>
                <w:noProof/>
              </w:rPr>
              <w:t>Electrode Fabrication: Precursor and Infiltrate decomposition</w:t>
            </w:r>
            <w:r w:rsidR="00D332DB">
              <w:rPr>
                <w:noProof/>
                <w:webHidden/>
              </w:rPr>
              <w:tab/>
            </w:r>
            <w:r w:rsidR="00D332DB">
              <w:rPr>
                <w:noProof/>
                <w:webHidden/>
              </w:rPr>
              <w:fldChar w:fldCharType="begin"/>
            </w:r>
            <w:r w:rsidR="00D332DB">
              <w:rPr>
                <w:noProof/>
                <w:webHidden/>
              </w:rPr>
              <w:instrText xml:space="preserve"> PAGEREF _Toc69129367 \h </w:instrText>
            </w:r>
            <w:r w:rsidR="00D332DB">
              <w:rPr>
                <w:noProof/>
                <w:webHidden/>
              </w:rPr>
            </w:r>
            <w:r w:rsidR="00D332DB">
              <w:rPr>
                <w:noProof/>
                <w:webHidden/>
              </w:rPr>
              <w:fldChar w:fldCharType="separate"/>
            </w:r>
            <w:r w:rsidR="00D332DB">
              <w:rPr>
                <w:noProof/>
                <w:webHidden/>
              </w:rPr>
              <w:t>35</w:t>
            </w:r>
            <w:r w:rsidR="00D332DB">
              <w:rPr>
                <w:noProof/>
                <w:webHidden/>
              </w:rPr>
              <w:fldChar w:fldCharType="end"/>
            </w:r>
          </w:hyperlink>
        </w:p>
        <w:p w14:paraId="2591CE14" w14:textId="6BE1B429" w:rsidR="00D332DB" w:rsidRDefault="00B51F53">
          <w:pPr>
            <w:pStyle w:val="TOC3"/>
            <w:tabs>
              <w:tab w:val="left" w:pos="1320"/>
              <w:tab w:val="right" w:leader="dot" w:pos="9016"/>
            </w:tabs>
            <w:rPr>
              <w:rFonts w:eastAsiaTheme="minorEastAsia"/>
              <w:noProof/>
              <w:lang w:eastAsia="en-GB"/>
            </w:rPr>
          </w:pPr>
          <w:hyperlink w:anchor="_Toc69129368" w:history="1">
            <w:r w:rsidR="00D332DB" w:rsidRPr="0032584B">
              <w:rPr>
                <w:rStyle w:val="Hyperlink"/>
                <w:noProof/>
              </w:rPr>
              <w:t>2.3.2</w:t>
            </w:r>
            <w:r w:rsidR="00D332DB">
              <w:rPr>
                <w:rFonts w:eastAsiaTheme="minorEastAsia"/>
                <w:noProof/>
                <w:lang w:eastAsia="en-GB"/>
              </w:rPr>
              <w:tab/>
            </w:r>
            <w:r w:rsidR="00D332DB" w:rsidRPr="0032584B">
              <w:rPr>
                <w:rStyle w:val="Hyperlink"/>
                <w:noProof/>
              </w:rPr>
              <w:t>Fuel Electrode Degradation during Operation</w:t>
            </w:r>
            <w:r w:rsidR="00D332DB">
              <w:rPr>
                <w:noProof/>
                <w:webHidden/>
              </w:rPr>
              <w:tab/>
            </w:r>
            <w:r w:rsidR="00D332DB">
              <w:rPr>
                <w:noProof/>
                <w:webHidden/>
              </w:rPr>
              <w:fldChar w:fldCharType="begin"/>
            </w:r>
            <w:r w:rsidR="00D332DB">
              <w:rPr>
                <w:noProof/>
                <w:webHidden/>
              </w:rPr>
              <w:instrText xml:space="preserve"> PAGEREF _Toc69129368 \h </w:instrText>
            </w:r>
            <w:r w:rsidR="00D332DB">
              <w:rPr>
                <w:noProof/>
                <w:webHidden/>
              </w:rPr>
            </w:r>
            <w:r w:rsidR="00D332DB">
              <w:rPr>
                <w:noProof/>
                <w:webHidden/>
              </w:rPr>
              <w:fldChar w:fldCharType="separate"/>
            </w:r>
            <w:r w:rsidR="00D332DB">
              <w:rPr>
                <w:noProof/>
                <w:webHidden/>
              </w:rPr>
              <w:t>44</w:t>
            </w:r>
            <w:r w:rsidR="00D332DB">
              <w:rPr>
                <w:noProof/>
                <w:webHidden/>
              </w:rPr>
              <w:fldChar w:fldCharType="end"/>
            </w:r>
          </w:hyperlink>
        </w:p>
        <w:p w14:paraId="659B9D92" w14:textId="0201EFD3" w:rsidR="00D332DB" w:rsidRDefault="00B51F53">
          <w:pPr>
            <w:pStyle w:val="TOC2"/>
            <w:tabs>
              <w:tab w:val="right" w:leader="dot" w:pos="9016"/>
            </w:tabs>
            <w:rPr>
              <w:rFonts w:eastAsiaTheme="minorEastAsia"/>
              <w:iCs w:val="0"/>
              <w:noProof/>
              <w:szCs w:val="22"/>
              <w:lang w:eastAsia="en-GB"/>
            </w:rPr>
          </w:pPr>
          <w:hyperlink w:anchor="_Toc69129369" w:history="1">
            <w:r w:rsidR="00D332DB" w:rsidRPr="0032584B">
              <w:rPr>
                <w:rStyle w:val="Hyperlink"/>
                <w:noProof/>
              </w:rPr>
              <w:t>2.4 Sintering Characterisation Methods for SOFCs</w:t>
            </w:r>
            <w:r w:rsidR="00D332DB">
              <w:rPr>
                <w:noProof/>
                <w:webHidden/>
              </w:rPr>
              <w:tab/>
            </w:r>
            <w:r w:rsidR="00D332DB">
              <w:rPr>
                <w:noProof/>
                <w:webHidden/>
              </w:rPr>
              <w:fldChar w:fldCharType="begin"/>
            </w:r>
            <w:r w:rsidR="00D332DB">
              <w:rPr>
                <w:noProof/>
                <w:webHidden/>
              </w:rPr>
              <w:instrText xml:space="preserve"> PAGEREF _Toc69129369 \h </w:instrText>
            </w:r>
            <w:r w:rsidR="00D332DB">
              <w:rPr>
                <w:noProof/>
                <w:webHidden/>
              </w:rPr>
            </w:r>
            <w:r w:rsidR="00D332DB">
              <w:rPr>
                <w:noProof/>
                <w:webHidden/>
              </w:rPr>
              <w:fldChar w:fldCharType="separate"/>
            </w:r>
            <w:r w:rsidR="00D332DB">
              <w:rPr>
                <w:noProof/>
                <w:webHidden/>
              </w:rPr>
              <w:t>56</w:t>
            </w:r>
            <w:r w:rsidR="00D332DB">
              <w:rPr>
                <w:noProof/>
                <w:webHidden/>
              </w:rPr>
              <w:fldChar w:fldCharType="end"/>
            </w:r>
          </w:hyperlink>
        </w:p>
        <w:p w14:paraId="1DF8CEBF" w14:textId="0A404448" w:rsidR="00D332DB" w:rsidRDefault="00B51F53">
          <w:pPr>
            <w:pStyle w:val="TOC3"/>
            <w:tabs>
              <w:tab w:val="left" w:pos="1320"/>
              <w:tab w:val="right" w:leader="dot" w:pos="9016"/>
            </w:tabs>
            <w:rPr>
              <w:rFonts w:eastAsiaTheme="minorEastAsia"/>
              <w:noProof/>
              <w:lang w:eastAsia="en-GB"/>
            </w:rPr>
          </w:pPr>
          <w:hyperlink w:anchor="_Toc69129370" w:history="1">
            <w:r w:rsidR="00D332DB" w:rsidRPr="0032584B">
              <w:rPr>
                <w:rStyle w:val="Hyperlink"/>
                <w:noProof/>
              </w:rPr>
              <w:t>2.4.1</w:t>
            </w:r>
            <w:r w:rsidR="00D332DB">
              <w:rPr>
                <w:rFonts w:eastAsiaTheme="minorEastAsia"/>
                <w:noProof/>
                <w:lang w:eastAsia="en-GB"/>
              </w:rPr>
              <w:tab/>
            </w:r>
            <w:r w:rsidR="00D332DB" w:rsidRPr="0032584B">
              <w:rPr>
                <w:rStyle w:val="Hyperlink"/>
                <w:noProof/>
              </w:rPr>
              <w:t>Sintering Characterisation</w:t>
            </w:r>
            <w:r w:rsidR="00D332DB">
              <w:rPr>
                <w:noProof/>
                <w:webHidden/>
              </w:rPr>
              <w:tab/>
            </w:r>
            <w:r w:rsidR="00D332DB">
              <w:rPr>
                <w:noProof/>
                <w:webHidden/>
              </w:rPr>
              <w:fldChar w:fldCharType="begin"/>
            </w:r>
            <w:r w:rsidR="00D332DB">
              <w:rPr>
                <w:noProof/>
                <w:webHidden/>
              </w:rPr>
              <w:instrText xml:space="preserve"> PAGEREF _Toc69129370 \h </w:instrText>
            </w:r>
            <w:r w:rsidR="00D332DB">
              <w:rPr>
                <w:noProof/>
                <w:webHidden/>
              </w:rPr>
            </w:r>
            <w:r w:rsidR="00D332DB">
              <w:rPr>
                <w:noProof/>
                <w:webHidden/>
              </w:rPr>
              <w:fldChar w:fldCharType="separate"/>
            </w:r>
            <w:r w:rsidR="00D332DB">
              <w:rPr>
                <w:noProof/>
                <w:webHidden/>
              </w:rPr>
              <w:t>56</w:t>
            </w:r>
            <w:r w:rsidR="00D332DB">
              <w:rPr>
                <w:noProof/>
                <w:webHidden/>
              </w:rPr>
              <w:fldChar w:fldCharType="end"/>
            </w:r>
          </w:hyperlink>
        </w:p>
        <w:p w14:paraId="6D202DA8" w14:textId="308A67E8" w:rsidR="00D332DB" w:rsidRDefault="00B51F53">
          <w:pPr>
            <w:pStyle w:val="TOC3"/>
            <w:tabs>
              <w:tab w:val="left" w:pos="1320"/>
              <w:tab w:val="right" w:leader="dot" w:pos="9016"/>
            </w:tabs>
            <w:rPr>
              <w:rFonts w:eastAsiaTheme="minorEastAsia"/>
              <w:noProof/>
              <w:lang w:eastAsia="en-GB"/>
            </w:rPr>
          </w:pPr>
          <w:hyperlink w:anchor="_Toc69129371" w:history="1">
            <w:r w:rsidR="00D332DB" w:rsidRPr="0032584B">
              <w:rPr>
                <w:rStyle w:val="Hyperlink"/>
                <w:noProof/>
              </w:rPr>
              <w:t>2.4.2</w:t>
            </w:r>
            <w:r w:rsidR="00D332DB">
              <w:rPr>
                <w:rFonts w:eastAsiaTheme="minorEastAsia"/>
                <w:noProof/>
                <w:lang w:eastAsia="en-GB"/>
              </w:rPr>
              <w:tab/>
            </w:r>
            <w:r w:rsidR="00D332DB" w:rsidRPr="0032584B">
              <w:rPr>
                <w:rStyle w:val="Hyperlink"/>
                <w:noProof/>
              </w:rPr>
              <w:t>Microstructural Imaging</w:t>
            </w:r>
            <w:r w:rsidR="00D332DB">
              <w:rPr>
                <w:noProof/>
                <w:webHidden/>
              </w:rPr>
              <w:tab/>
            </w:r>
            <w:r w:rsidR="00D332DB">
              <w:rPr>
                <w:noProof/>
                <w:webHidden/>
              </w:rPr>
              <w:fldChar w:fldCharType="begin"/>
            </w:r>
            <w:r w:rsidR="00D332DB">
              <w:rPr>
                <w:noProof/>
                <w:webHidden/>
              </w:rPr>
              <w:instrText xml:space="preserve"> PAGEREF _Toc69129371 \h </w:instrText>
            </w:r>
            <w:r w:rsidR="00D332DB">
              <w:rPr>
                <w:noProof/>
                <w:webHidden/>
              </w:rPr>
            </w:r>
            <w:r w:rsidR="00D332DB">
              <w:rPr>
                <w:noProof/>
                <w:webHidden/>
              </w:rPr>
              <w:fldChar w:fldCharType="separate"/>
            </w:r>
            <w:r w:rsidR="00D332DB">
              <w:rPr>
                <w:noProof/>
                <w:webHidden/>
              </w:rPr>
              <w:t>57</w:t>
            </w:r>
            <w:r w:rsidR="00D332DB">
              <w:rPr>
                <w:noProof/>
                <w:webHidden/>
              </w:rPr>
              <w:fldChar w:fldCharType="end"/>
            </w:r>
          </w:hyperlink>
        </w:p>
        <w:p w14:paraId="06846FAF" w14:textId="048A3C85" w:rsidR="00D332DB" w:rsidRDefault="00B51F53">
          <w:pPr>
            <w:pStyle w:val="TOC3"/>
            <w:tabs>
              <w:tab w:val="left" w:pos="1320"/>
              <w:tab w:val="right" w:leader="dot" w:pos="9016"/>
            </w:tabs>
            <w:rPr>
              <w:rFonts w:eastAsiaTheme="minorEastAsia"/>
              <w:noProof/>
              <w:lang w:eastAsia="en-GB"/>
            </w:rPr>
          </w:pPr>
          <w:hyperlink w:anchor="_Toc69129372" w:history="1">
            <w:r w:rsidR="00D332DB" w:rsidRPr="0032584B">
              <w:rPr>
                <w:rStyle w:val="Hyperlink"/>
                <w:noProof/>
              </w:rPr>
              <w:t>2.4.3</w:t>
            </w:r>
            <w:r w:rsidR="00D332DB">
              <w:rPr>
                <w:rFonts w:eastAsiaTheme="minorEastAsia"/>
                <w:noProof/>
                <w:lang w:eastAsia="en-GB"/>
              </w:rPr>
              <w:tab/>
            </w:r>
            <w:r w:rsidR="00D332DB" w:rsidRPr="0032584B">
              <w:rPr>
                <w:rStyle w:val="Hyperlink"/>
                <w:noProof/>
              </w:rPr>
              <w:t>Electrochemical Testing</w:t>
            </w:r>
            <w:r w:rsidR="00D332DB">
              <w:rPr>
                <w:noProof/>
                <w:webHidden/>
              </w:rPr>
              <w:tab/>
            </w:r>
            <w:r w:rsidR="00D332DB">
              <w:rPr>
                <w:noProof/>
                <w:webHidden/>
              </w:rPr>
              <w:fldChar w:fldCharType="begin"/>
            </w:r>
            <w:r w:rsidR="00D332DB">
              <w:rPr>
                <w:noProof/>
                <w:webHidden/>
              </w:rPr>
              <w:instrText xml:space="preserve"> PAGEREF _Toc69129372 \h </w:instrText>
            </w:r>
            <w:r w:rsidR="00D332DB">
              <w:rPr>
                <w:noProof/>
                <w:webHidden/>
              </w:rPr>
            </w:r>
            <w:r w:rsidR="00D332DB">
              <w:rPr>
                <w:noProof/>
                <w:webHidden/>
              </w:rPr>
              <w:fldChar w:fldCharType="separate"/>
            </w:r>
            <w:r w:rsidR="00D332DB">
              <w:rPr>
                <w:noProof/>
                <w:webHidden/>
              </w:rPr>
              <w:t>65</w:t>
            </w:r>
            <w:r w:rsidR="00D332DB">
              <w:rPr>
                <w:noProof/>
                <w:webHidden/>
              </w:rPr>
              <w:fldChar w:fldCharType="end"/>
            </w:r>
          </w:hyperlink>
        </w:p>
        <w:p w14:paraId="21BD448C" w14:textId="65C4C6D0" w:rsidR="00D332DB" w:rsidRDefault="00B51F53">
          <w:pPr>
            <w:pStyle w:val="TOC3"/>
            <w:tabs>
              <w:tab w:val="left" w:pos="1320"/>
              <w:tab w:val="right" w:leader="dot" w:pos="9016"/>
            </w:tabs>
            <w:rPr>
              <w:rFonts w:eastAsiaTheme="minorEastAsia"/>
              <w:noProof/>
              <w:lang w:eastAsia="en-GB"/>
            </w:rPr>
          </w:pPr>
          <w:hyperlink w:anchor="_Toc69129373" w:history="1">
            <w:r w:rsidR="00D332DB" w:rsidRPr="0032584B">
              <w:rPr>
                <w:rStyle w:val="Hyperlink"/>
                <w:noProof/>
              </w:rPr>
              <w:t>2.4.5</w:t>
            </w:r>
            <w:r w:rsidR="00D332DB">
              <w:rPr>
                <w:rFonts w:eastAsiaTheme="minorEastAsia"/>
                <w:noProof/>
                <w:lang w:eastAsia="en-GB"/>
              </w:rPr>
              <w:tab/>
            </w:r>
            <w:r w:rsidR="00D332DB" w:rsidRPr="0032584B">
              <w:rPr>
                <w:rStyle w:val="Hyperlink"/>
                <w:noProof/>
              </w:rPr>
              <w:t>Chemisorption</w:t>
            </w:r>
            <w:r w:rsidR="00D332DB">
              <w:rPr>
                <w:noProof/>
                <w:webHidden/>
              </w:rPr>
              <w:tab/>
            </w:r>
            <w:r w:rsidR="00D332DB">
              <w:rPr>
                <w:noProof/>
                <w:webHidden/>
              </w:rPr>
              <w:fldChar w:fldCharType="begin"/>
            </w:r>
            <w:r w:rsidR="00D332DB">
              <w:rPr>
                <w:noProof/>
                <w:webHidden/>
              </w:rPr>
              <w:instrText xml:space="preserve"> PAGEREF _Toc69129373 \h </w:instrText>
            </w:r>
            <w:r w:rsidR="00D332DB">
              <w:rPr>
                <w:noProof/>
                <w:webHidden/>
              </w:rPr>
            </w:r>
            <w:r w:rsidR="00D332DB">
              <w:rPr>
                <w:noProof/>
                <w:webHidden/>
              </w:rPr>
              <w:fldChar w:fldCharType="separate"/>
            </w:r>
            <w:r w:rsidR="00D332DB">
              <w:rPr>
                <w:noProof/>
                <w:webHidden/>
              </w:rPr>
              <w:t>71</w:t>
            </w:r>
            <w:r w:rsidR="00D332DB">
              <w:rPr>
                <w:noProof/>
                <w:webHidden/>
              </w:rPr>
              <w:fldChar w:fldCharType="end"/>
            </w:r>
          </w:hyperlink>
        </w:p>
        <w:p w14:paraId="74FB7CA2" w14:textId="08CA5A60" w:rsidR="00D332DB" w:rsidRDefault="00B51F53">
          <w:pPr>
            <w:pStyle w:val="TOC3"/>
            <w:tabs>
              <w:tab w:val="left" w:pos="1320"/>
              <w:tab w:val="right" w:leader="dot" w:pos="9016"/>
            </w:tabs>
            <w:rPr>
              <w:rFonts w:eastAsiaTheme="minorEastAsia"/>
              <w:noProof/>
              <w:lang w:eastAsia="en-GB"/>
            </w:rPr>
          </w:pPr>
          <w:hyperlink w:anchor="_Toc69129374" w:history="1">
            <w:r w:rsidR="00D332DB" w:rsidRPr="0032584B">
              <w:rPr>
                <w:rStyle w:val="Hyperlink"/>
                <w:noProof/>
              </w:rPr>
              <w:t>2.4.6</w:t>
            </w:r>
            <w:r w:rsidR="00D332DB">
              <w:rPr>
                <w:rFonts w:eastAsiaTheme="minorEastAsia"/>
                <w:noProof/>
                <w:lang w:eastAsia="en-GB"/>
              </w:rPr>
              <w:tab/>
            </w:r>
            <w:r w:rsidR="00D332DB" w:rsidRPr="0032584B">
              <w:rPr>
                <w:rStyle w:val="Hyperlink"/>
                <w:noProof/>
              </w:rPr>
              <w:t>Energetic Barriers to Sintering</w:t>
            </w:r>
            <w:r w:rsidR="00D332DB">
              <w:rPr>
                <w:noProof/>
                <w:webHidden/>
              </w:rPr>
              <w:tab/>
            </w:r>
            <w:r w:rsidR="00D332DB">
              <w:rPr>
                <w:noProof/>
                <w:webHidden/>
              </w:rPr>
              <w:fldChar w:fldCharType="begin"/>
            </w:r>
            <w:r w:rsidR="00D332DB">
              <w:rPr>
                <w:noProof/>
                <w:webHidden/>
              </w:rPr>
              <w:instrText xml:space="preserve"> PAGEREF _Toc69129374 \h </w:instrText>
            </w:r>
            <w:r w:rsidR="00D332DB">
              <w:rPr>
                <w:noProof/>
                <w:webHidden/>
              </w:rPr>
            </w:r>
            <w:r w:rsidR="00D332DB">
              <w:rPr>
                <w:noProof/>
                <w:webHidden/>
              </w:rPr>
              <w:fldChar w:fldCharType="separate"/>
            </w:r>
            <w:r w:rsidR="00D332DB">
              <w:rPr>
                <w:noProof/>
                <w:webHidden/>
              </w:rPr>
              <w:t>72</w:t>
            </w:r>
            <w:r w:rsidR="00D332DB">
              <w:rPr>
                <w:noProof/>
                <w:webHidden/>
              </w:rPr>
              <w:fldChar w:fldCharType="end"/>
            </w:r>
          </w:hyperlink>
        </w:p>
        <w:p w14:paraId="6EE94185" w14:textId="5E28ED4C" w:rsidR="00D332DB" w:rsidRDefault="00B51F53">
          <w:pPr>
            <w:pStyle w:val="TOC2"/>
            <w:tabs>
              <w:tab w:val="right" w:leader="dot" w:pos="9016"/>
            </w:tabs>
            <w:rPr>
              <w:rFonts w:eastAsiaTheme="minorEastAsia"/>
              <w:iCs w:val="0"/>
              <w:noProof/>
              <w:szCs w:val="22"/>
              <w:lang w:eastAsia="en-GB"/>
            </w:rPr>
          </w:pPr>
          <w:hyperlink w:anchor="_Toc69129375" w:history="1">
            <w:r w:rsidR="00D332DB" w:rsidRPr="0032584B">
              <w:rPr>
                <w:rStyle w:val="Hyperlink"/>
                <w:noProof/>
              </w:rPr>
              <w:t>2.5 Concluding Remarks</w:t>
            </w:r>
            <w:r w:rsidR="00D332DB">
              <w:rPr>
                <w:noProof/>
                <w:webHidden/>
              </w:rPr>
              <w:tab/>
            </w:r>
            <w:r w:rsidR="00D332DB">
              <w:rPr>
                <w:noProof/>
                <w:webHidden/>
              </w:rPr>
              <w:fldChar w:fldCharType="begin"/>
            </w:r>
            <w:r w:rsidR="00D332DB">
              <w:rPr>
                <w:noProof/>
                <w:webHidden/>
              </w:rPr>
              <w:instrText xml:space="preserve"> PAGEREF _Toc69129375 \h </w:instrText>
            </w:r>
            <w:r w:rsidR="00D332DB">
              <w:rPr>
                <w:noProof/>
                <w:webHidden/>
              </w:rPr>
            </w:r>
            <w:r w:rsidR="00D332DB">
              <w:rPr>
                <w:noProof/>
                <w:webHidden/>
              </w:rPr>
              <w:fldChar w:fldCharType="separate"/>
            </w:r>
            <w:r w:rsidR="00D332DB">
              <w:rPr>
                <w:noProof/>
                <w:webHidden/>
              </w:rPr>
              <w:t>74</w:t>
            </w:r>
            <w:r w:rsidR="00D332DB">
              <w:rPr>
                <w:noProof/>
                <w:webHidden/>
              </w:rPr>
              <w:fldChar w:fldCharType="end"/>
            </w:r>
          </w:hyperlink>
        </w:p>
        <w:p w14:paraId="05837019" w14:textId="322D1326" w:rsidR="00D332DB" w:rsidRDefault="00B51F53">
          <w:pPr>
            <w:pStyle w:val="TOC1"/>
            <w:rPr>
              <w:rFonts w:asciiTheme="minorHAnsi" w:eastAsiaTheme="minorEastAsia" w:hAnsiTheme="minorHAnsi" w:cstheme="minorBidi"/>
              <w:sz w:val="22"/>
              <w:szCs w:val="22"/>
              <w:lang w:eastAsia="en-GB"/>
            </w:rPr>
          </w:pPr>
          <w:hyperlink w:anchor="_Toc69129376" w:history="1">
            <w:r w:rsidR="00D332DB" w:rsidRPr="0032584B">
              <w:rPr>
                <w:rStyle w:val="Hyperlink"/>
              </w:rPr>
              <w:t>Chapter 3: Materials and Methods</w:t>
            </w:r>
            <w:r w:rsidR="00D332DB">
              <w:rPr>
                <w:webHidden/>
              </w:rPr>
              <w:tab/>
            </w:r>
            <w:r w:rsidR="00D332DB">
              <w:rPr>
                <w:webHidden/>
              </w:rPr>
              <w:fldChar w:fldCharType="begin"/>
            </w:r>
            <w:r w:rsidR="00D332DB">
              <w:rPr>
                <w:webHidden/>
              </w:rPr>
              <w:instrText xml:space="preserve"> PAGEREF _Toc69129376 \h </w:instrText>
            </w:r>
            <w:r w:rsidR="00D332DB">
              <w:rPr>
                <w:webHidden/>
              </w:rPr>
            </w:r>
            <w:r w:rsidR="00D332DB">
              <w:rPr>
                <w:webHidden/>
              </w:rPr>
              <w:fldChar w:fldCharType="separate"/>
            </w:r>
            <w:r w:rsidR="00D332DB">
              <w:rPr>
                <w:webHidden/>
              </w:rPr>
              <w:t>75</w:t>
            </w:r>
            <w:r w:rsidR="00D332DB">
              <w:rPr>
                <w:webHidden/>
              </w:rPr>
              <w:fldChar w:fldCharType="end"/>
            </w:r>
          </w:hyperlink>
        </w:p>
        <w:p w14:paraId="1E702E66" w14:textId="7AC41016" w:rsidR="00D332DB" w:rsidRDefault="00B51F53">
          <w:pPr>
            <w:pStyle w:val="TOC2"/>
            <w:tabs>
              <w:tab w:val="left" w:pos="660"/>
              <w:tab w:val="right" w:leader="dot" w:pos="9016"/>
            </w:tabs>
            <w:rPr>
              <w:rFonts w:eastAsiaTheme="minorEastAsia"/>
              <w:iCs w:val="0"/>
              <w:noProof/>
              <w:szCs w:val="22"/>
              <w:lang w:eastAsia="en-GB"/>
            </w:rPr>
          </w:pPr>
          <w:hyperlink w:anchor="_Toc69129377" w:history="1">
            <w:r w:rsidR="00D332DB" w:rsidRPr="0032584B">
              <w:rPr>
                <w:rStyle w:val="Hyperlink"/>
                <w:noProof/>
              </w:rPr>
              <w:t xml:space="preserve">3.1 </w:t>
            </w:r>
            <w:r w:rsidR="00D332DB">
              <w:rPr>
                <w:rFonts w:eastAsiaTheme="minorEastAsia"/>
                <w:iCs w:val="0"/>
                <w:noProof/>
                <w:szCs w:val="22"/>
                <w:lang w:eastAsia="en-GB"/>
              </w:rPr>
              <w:tab/>
            </w:r>
            <w:r w:rsidR="00D332DB" w:rsidRPr="0032584B">
              <w:rPr>
                <w:rStyle w:val="Hyperlink"/>
                <w:noProof/>
              </w:rPr>
              <w:t>Symmetrical Fuel Electrode Sample Preparation</w:t>
            </w:r>
            <w:r w:rsidR="00D332DB">
              <w:rPr>
                <w:noProof/>
                <w:webHidden/>
              </w:rPr>
              <w:tab/>
            </w:r>
            <w:r w:rsidR="00D332DB">
              <w:rPr>
                <w:noProof/>
                <w:webHidden/>
              </w:rPr>
              <w:fldChar w:fldCharType="begin"/>
            </w:r>
            <w:r w:rsidR="00D332DB">
              <w:rPr>
                <w:noProof/>
                <w:webHidden/>
              </w:rPr>
              <w:instrText xml:space="preserve"> PAGEREF _Toc69129377 \h </w:instrText>
            </w:r>
            <w:r w:rsidR="00D332DB">
              <w:rPr>
                <w:noProof/>
                <w:webHidden/>
              </w:rPr>
            </w:r>
            <w:r w:rsidR="00D332DB">
              <w:rPr>
                <w:noProof/>
                <w:webHidden/>
              </w:rPr>
              <w:fldChar w:fldCharType="separate"/>
            </w:r>
            <w:r w:rsidR="00D332DB">
              <w:rPr>
                <w:noProof/>
                <w:webHidden/>
              </w:rPr>
              <w:t>75</w:t>
            </w:r>
            <w:r w:rsidR="00D332DB">
              <w:rPr>
                <w:noProof/>
                <w:webHidden/>
              </w:rPr>
              <w:fldChar w:fldCharType="end"/>
            </w:r>
          </w:hyperlink>
        </w:p>
        <w:p w14:paraId="50B0C530" w14:textId="14DF7195" w:rsidR="00D332DB" w:rsidRDefault="00B51F53">
          <w:pPr>
            <w:pStyle w:val="TOC3"/>
            <w:tabs>
              <w:tab w:val="right" w:leader="dot" w:pos="9016"/>
            </w:tabs>
            <w:rPr>
              <w:rFonts w:eastAsiaTheme="minorEastAsia"/>
              <w:noProof/>
              <w:lang w:eastAsia="en-GB"/>
            </w:rPr>
          </w:pPr>
          <w:hyperlink w:anchor="_Toc69129378" w:history="1">
            <w:r w:rsidR="00D332DB" w:rsidRPr="0032584B">
              <w:rPr>
                <w:rStyle w:val="Hyperlink"/>
                <w:noProof/>
              </w:rPr>
              <w:t>3.1.1 YSZ Electrolyte and Fuel Electrode Backbone Production</w:t>
            </w:r>
            <w:r w:rsidR="00D332DB">
              <w:rPr>
                <w:noProof/>
                <w:webHidden/>
              </w:rPr>
              <w:tab/>
            </w:r>
            <w:r w:rsidR="00D332DB">
              <w:rPr>
                <w:noProof/>
                <w:webHidden/>
              </w:rPr>
              <w:fldChar w:fldCharType="begin"/>
            </w:r>
            <w:r w:rsidR="00D332DB">
              <w:rPr>
                <w:noProof/>
                <w:webHidden/>
              </w:rPr>
              <w:instrText xml:space="preserve"> PAGEREF _Toc69129378 \h </w:instrText>
            </w:r>
            <w:r w:rsidR="00D332DB">
              <w:rPr>
                <w:noProof/>
                <w:webHidden/>
              </w:rPr>
            </w:r>
            <w:r w:rsidR="00D332DB">
              <w:rPr>
                <w:noProof/>
                <w:webHidden/>
              </w:rPr>
              <w:fldChar w:fldCharType="separate"/>
            </w:r>
            <w:r w:rsidR="00D332DB">
              <w:rPr>
                <w:noProof/>
                <w:webHidden/>
              </w:rPr>
              <w:t>75</w:t>
            </w:r>
            <w:r w:rsidR="00D332DB">
              <w:rPr>
                <w:noProof/>
                <w:webHidden/>
              </w:rPr>
              <w:fldChar w:fldCharType="end"/>
            </w:r>
          </w:hyperlink>
        </w:p>
        <w:p w14:paraId="28899CE1" w14:textId="11BF263D" w:rsidR="00D332DB" w:rsidRDefault="00B51F53">
          <w:pPr>
            <w:pStyle w:val="TOC3"/>
            <w:tabs>
              <w:tab w:val="right" w:leader="dot" w:pos="9016"/>
            </w:tabs>
            <w:rPr>
              <w:rFonts w:eastAsiaTheme="minorEastAsia"/>
              <w:noProof/>
              <w:lang w:eastAsia="en-GB"/>
            </w:rPr>
          </w:pPr>
          <w:hyperlink w:anchor="_Toc69129379" w:history="1">
            <w:r w:rsidR="00D332DB" w:rsidRPr="0032584B">
              <w:rPr>
                <w:rStyle w:val="Hyperlink"/>
                <w:rFonts w:cs="Arial"/>
                <w:noProof/>
              </w:rPr>
              <w:t>3.1.2 Infiltrate Solution Production</w:t>
            </w:r>
            <w:r w:rsidR="00D332DB">
              <w:rPr>
                <w:noProof/>
                <w:webHidden/>
              </w:rPr>
              <w:tab/>
            </w:r>
            <w:r w:rsidR="00D332DB">
              <w:rPr>
                <w:noProof/>
                <w:webHidden/>
              </w:rPr>
              <w:fldChar w:fldCharType="begin"/>
            </w:r>
            <w:r w:rsidR="00D332DB">
              <w:rPr>
                <w:noProof/>
                <w:webHidden/>
              </w:rPr>
              <w:instrText xml:space="preserve"> PAGEREF _Toc69129379 \h </w:instrText>
            </w:r>
            <w:r w:rsidR="00D332DB">
              <w:rPr>
                <w:noProof/>
                <w:webHidden/>
              </w:rPr>
            </w:r>
            <w:r w:rsidR="00D332DB">
              <w:rPr>
                <w:noProof/>
                <w:webHidden/>
              </w:rPr>
              <w:fldChar w:fldCharType="separate"/>
            </w:r>
            <w:r w:rsidR="00D332DB">
              <w:rPr>
                <w:noProof/>
                <w:webHidden/>
              </w:rPr>
              <w:t>78</w:t>
            </w:r>
            <w:r w:rsidR="00D332DB">
              <w:rPr>
                <w:noProof/>
                <w:webHidden/>
              </w:rPr>
              <w:fldChar w:fldCharType="end"/>
            </w:r>
          </w:hyperlink>
        </w:p>
        <w:p w14:paraId="4254206E" w14:textId="3F5AF921" w:rsidR="00D332DB" w:rsidRDefault="00B51F53">
          <w:pPr>
            <w:pStyle w:val="TOC3"/>
            <w:tabs>
              <w:tab w:val="right" w:leader="dot" w:pos="9016"/>
            </w:tabs>
            <w:rPr>
              <w:rFonts w:eastAsiaTheme="minorEastAsia"/>
              <w:noProof/>
              <w:lang w:eastAsia="en-GB"/>
            </w:rPr>
          </w:pPr>
          <w:hyperlink w:anchor="_Toc69129380" w:history="1">
            <w:r w:rsidR="00D332DB" w:rsidRPr="0032584B">
              <w:rPr>
                <w:rStyle w:val="Hyperlink"/>
                <w:rFonts w:cs="Arial"/>
                <w:noProof/>
              </w:rPr>
              <w:t>3.1.3 Infiltration and Drying of Nickel Catalysts</w:t>
            </w:r>
            <w:r w:rsidR="00D332DB">
              <w:rPr>
                <w:noProof/>
                <w:webHidden/>
              </w:rPr>
              <w:tab/>
            </w:r>
            <w:r w:rsidR="00D332DB">
              <w:rPr>
                <w:noProof/>
                <w:webHidden/>
              </w:rPr>
              <w:fldChar w:fldCharType="begin"/>
            </w:r>
            <w:r w:rsidR="00D332DB">
              <w:rPr>
                <w:noProof/>
                <w:webHidden/>
              </w:rPr>
              <w:instrText xml:space="preserve"> PAGEREF _Toc69129380 \h </w:instrText>
            </w:r>
            <w:r w:rsidR="00D332DB">
              <w:rPr>
                <w:noProof/>
                <w:webHidden/>
              </w:rPr>
            </w:r>
            <w:r w:rsidR="00D332DB">
              <w:rPr>
                <w:noProof/>
                <w:webHidden/>
              </w:rPr>
              <w:fldChar w:fldCharType="separate"/>
            </w:r>
            <w:r w:rsidR="00D332DB">
              <w:rPr>
                <w:noProof/>
                <w:webHidden/>
              </w:rPr>
              <w:t>79</w:t>
            </w:r>
            <w:r w:rsidR="00D332DB">
              <w:rPr>
                <w:noProof/>
                <w:webHidden/>
              </w:rPr>
              <w:fldChar w:fldCharType="end"/>
            </w:r>
          </w:hyperlink>
        </w:p>
        <w:p w14:paraId="306CFABF" w14:textId="6C169CB5" w:rsidR="00D332DB" w:rsidRDefault="00B51F53">
          <w:pPr>
            <w:pStyle w:val="TOC3"/>
            <w:tabs>
              <w:tab w:val="left" w:pos="1320"/>
              <w:tab w:val="right" w:leader="dot" w:pos="9016"/>
            </w:tabs>
            <w:rPr>
              <w:rFonts w:eastAsiaTheme="minorEastAsia"/>
              <w:noProof/>
              <w:lang w:eastAsia="en-GB"/>
            </w:rPr>
          </w:pPr>
          <w:hyperlink w:anchor="_Toc69129381" w:history="1">
            <w:r w:rsidR="00D332DB" w:rsidRPr="0032584B">
              <w:rPr>
                <w:rStyle w:val="Hyperlink"/>
                <w:noProof/>
              </w:rPr>
              <w:t xml:space="preserve">3.1.4 </w:t>
            </w:r>
            <w:r w:rsidR="00D332DB">
              <w:rPr>
                <w:rFonts w:eastAsiaTheme="minorEastAsia"/>
                <w:noProof/>
                <w:lang w:eastAsia="en-GB"/>
              </w:rPr>
              <w:tab/>
            </w:r>
            <w:r w:rsidR="00D332DB" w:rsidRPr="0032584B">
              <w:rPr>
                <w:rStyle w:val="Hyperlink"/>
                <w:noProof/>
              </w:rPr>
              <w:t>Pillar Sample Preparation</w:t>
            </w:r>
            <w:r w:rsidR="00D332DB">
              <w:rPr>
                <w:noProof/>
                <w:webHidden/>
              </w:rPr>
              <w:tab/>
            </w:r>
            <w:r w:rsidR="00D332DB">
              <w:rPr>
                <w:noProof/>
                <w:webHidden/>
              </w:rPr>
              <w:fldChar w:fldCharType="begin"/>
            </w:r>
            <w:r w:rsidR="00D332DB">
              <w:rPr>
                <w:noProof/>
                <w:webHidden/>
              </w:rPr>
              <w:instrText xml:space="preserve"> PAGEREF _Toc69129381 \h </w:instrText>
            </w:r>
            <w:r w:rsidR="00D332DB">
              <w:rPr>
                <w:noProof/>
                <w:webHidden/>
              </w:rPr>
            </w:r>
            <w:r w:rsidR="00D332DB">
              <w:rPr>
                <w:noProof/>
                <w:webHidden/>
              </w:rPr>
              <w:fldChar w:fldCharType="separate"/>
            </w:r>
            <w:r w:rsidR="00D332DB">
              <w:rPr>
                <w:noProof/>
                <w:webHidden/>
              </w:rPr>
              <w:t>80</w:t>
            </w:r>
            <w:r w:rsidR="00D332DB">
              <w:rPr>
                <w:noProof/>
                <w:webHidden/>
              </w:rPr>
              <w:fldChar w:fldCharType="end"/>
            </w:r>
          </w:hyperlink>
        </w:p>
        <w:p w14:paraId="5FDC429B" w14:textId="7BB49308" w:rsidR="00D332DB" w:rsidRDefault="00B51F53">
          <w:pPr>
            <w:pStyle w:val="TOC3"/>
            <w:tabs>
              <w:tab w:val="right" w:leader="dot" w:pos="9016"/>
            </w:tabs>
            <w:rPr>
              <w:rFonts w:eastAsiaTheme="minorEastAsia"/>
              <w:noProof/>
              <w:lang w:eastAsia="en-GB"/>
            </w:rPr>
          </w:pPr>
          <w:hyperlink w:anchor="_Toc69129382" w:history="1">
            <w:r w:rsidR="00D332DB" w:rsidRPr="0032584B">
              <w:rPr>
                <w:rStyle w:val="Hyperlink"/>
                <w:noProof/>
              </w:rPr>
              <w:t>3.1.5 Witness Sample Preparation</w:t>
            </w:r>
            <w:r w:rsidR="00D332DB">
              <w:rPr>
                <w:noProof/>
                <w:webHidden/>
              </w:rPr>
              <w:tab/>
            </w:r>
            <w:r w:rsidR="00D332DB">
              <w:rPr>
                <w:noProof/>
                <w:webHidden/>
              </w:rPr>
              <w:fldChar w:fldCharType="begin"/>
            </w:r>
            <w:r w:rsidR="00D332DB">
              <w:rPr>
                <w:noProof/>
                <w:webHidden/>
              </w:rPr>
              <w:instrText xml:space="preserve"> PAGEREF _Toc69129382 \h </w:instrText>
            </w:r>
            <w:r w:rsidR="00D332DB">
              <w:rPr>
                <w:noProof/>
                <w:webHidden/>
              </w:rPr>
            </w:r>
            <w:r w:rsidR="00D332DB">
              <w:rPr>
                <w:noProof/>
                <w:webHidden/>
              </w:rPr>
              <w:fldChar w:fldCharType="separate"/>
            </w:r>
            <w:r w:rsidR="00D332DB">
              <w:rPr>
                <w:noProof/>
                <w:webHidden/>
              </w:rPr>
              <w:t>81</w:t>
            </w:r>
            <w:r w:rsidR="00D332DB">
              <w:rPr>
                <w:noProof/>
                <w:webHidden/>
              </w:rPr>
              <w:fldChar w:fldCharType="end"/>
            </w:r>
          </w:hyperlink>
        </w:p>
        <w:p w14:paraId="1FF4309E" w14:textId="60C071F6" w:rsidR="00D332DB" w:rsidRDefault="00B51F53">
          <w:pPr>
            <w:pStyle w:val="TOC2"/>
            <w:tabs>
              <w:tab w:val="left" w:pos="660"/>
              <w:tab w:val="right" w:leader="dot" w:pos="9016"/>
            </w:tabs>
            <w:rPr>
              <w:rFonts w:eastAsiaTheme="minorEastAsia"/>
              <w:iCs w:val="0"/>
              <w:noProof/>
              <w:szCs w:val="22"/>
              <w:lang w:eastAsia="en-GB"/>
            </w:rPr>
          </w:pPr>
          <w:hyperlink w:anchor="_Toc69129383" w:history="1">
            <w:r w:rsidR="00D332DB" w:rsidRPr="0032584B">
              <w:rPr>
                <w:rStyle w:val="Hyperlink"/>
                <w:noProof/>
              </w:rPr>
              <w:t>3.2</w:t>
            </w:r>
            <w:r w:rsidR="00D332DB">
              <w:rPr>
                <w:rFonts w:eastAsiaTheme="minorEastAsia"/>
                <w:iCs w:val="0"/>
                <w:noProof/>
                <w:szCs w:val="22"/>
                <w:lang w:eastAsia="en-GB"/>
              </w:rPr>
              <w:tab/>
            </w:r>
            <w:r w:rsidR="00D332DB" w:rsidRPr="0032584B">
              <w:rPr>
                <w:rStyle w:val="Hyperlink"/>
                <w:noProof/>
              </w:rPr>
              <w:t>Experimental variable changes</w:t>
            </w:r>
            <w:r w:rsidR="00D332DB">
              <w:rPr>
                <w:noProof/>
                <w:webHidden/>
              </w:rPr>
              <w:tab/>
            </w:r>
            <w:r w:rsidR="00D332DB">
              <w:rPr>
                <w:noProof/>
                <w:webHidden/>
              </w:rPr>
              <w:fldChar w:fldCharType="begin"/>
            </w:r>
            <w:r w:rsidR="00D332DB">
              <w:rPr>
                <w:noProof/>
                <w:webHidden/>
              </w:rPr>
              <w:instrText xml:space="preserve"> PAGEREF _Toc69129383 \h </w:instrText>
            </w:r>
            <w:r w:rsidR="00D332DB">
              <w:rPr>
                <w:noProof/>
                <w:webHidden/>
              </w:rPr>
            </w:r>
            <w:r w:rsidR="00D332DB">
              <w:rPr>
                <w:noProof/>
                <w:webHidden/>
              </w:rPr>
              <w:fldChar w:fldCharType="separate"/>
            </w:r>
            <w:r w:rsidR="00D332DB">
              <w:rPr>
                <w:noProof/>
                <w:webHidden/>
              </w:rPr>
              <w:t>82</w:t>
            </w:r>
            <w:r w:rsidR="00D332DB">
              <w:rPr>
                <w:noProof/>
                <w:webHidden/>
              </w:rPr>
              <w:fldChar w:fldCharType="end"/>
            </w:r>
          </w:hyperlink>
        </w:p>
        <w:p w14:paraId="75F9DDFC" w14:textId="16D85B11" w:rsidR="00D332DB" w:rsidRDefault="00B51F53">
          <w:pPr>
            <w:pStyle w:val="TOC3"/>
            <w:tabs>
              <w:tab w:val="right" w:leader="dot" w:pos="9016"/>
            </w:tabs>
            <w:rPr>
              <w:rFonts w:eastAsiaTheme="minorEastAsia"/>
              <w:noProof/>
              <w:lang w:eastAsia="en-GB"/>
            </w:rPr>
          </w:pPr>
          <w:hyperlink w:anchor="_Toc69129384" w:history="1">
            <w:r w:rsidR="00D332DB" w:rsidRPr="0032584B">
              <w:rPr>
                <w:rStyle w:val="Hyperlink"/>
                <w:noProof/>
              </w:rPr>
              <w:t>3.2.1 Scaffold Ink Composition</w:t>
            </w:r>
            <w:r w:rsidR="00D332DB">
              <w:rPr>
                <w:noProof/>
                <w:webHidden/>
              </w:rPr>
              <w:tab/>
            </w:r>
            <w:r w:rsidR="00D332DB">
              <w:rPr>
                <w:noProof/>
                <w:webHidden/>
              </w:rPr>
              <w:fldChar w:fldCharType="begin"/>
            </w:r>
            <w:r w:rsidR="00D332DB">
              <w:rPr>
                <w:noProof/>
                <w:webHidden/>
              </w:rPr>
              <w:instrText xml:space="preserve"> PAGEREF _Toc69129384 \h </w:instrText>
            </w:r>
            <w:r w:rsidR="00D332DB">
              <w:rPr>
                <w:noProof/>
                <w:webHidden/>
              </w:rPr>
            </w:r>
            <w:r w:rsidR="00D332DB">
              <w:rPr>
                <w:noProof/>
                <w:webHidden/>
              </w:rPr>
              <w:fldChar w:fldCharType="separate"/>
            </w:r>
            <w:r w:rsidR="00D332DB">
              <w:rPr>
                <w:noProof/>
                <w:webHidden/>
              </w:rPr>
              <w:t>82</w:t>
            </w:r>
            <w:r w:rsidR="00D332DB">
              <w:rPr>
                <w:noProof/>
                <w:webHidden/>
              </w:rPr>
              <w:fldChar w:fldCharType="end"/>
            </w:r>
          </w:hyperlink>
        </w:p>
        <w:p w14:paraId="0DC5FC6B" w14:textId="42A7D2F3" w:rsidR="00D332DB" w:rsidRDefault="00B51F53">
          <w:pPr>
            <w:pStyle w:val="TOC3"/>
            <w:tabs>
              <w:tab w:val="right" w:leader="dot" w:pos="9016"/>
            </w:tabs>
            <w:rPr>
              <w:rFonts w:eastAsiaTheme="minorEastAsia"/>
              <w:noProof/>
              <w:lang w:eastAsia="en-GB"/>
            </w:rPr>
          </w:pPr>
          <w:hyperlink w:anchor="_Toc69129385" w:history="1">
            <w:r w:rsidR="00D332DB" w:rsidRPr="0032584B">
              <w:rPr>
                <w:rStyle w:val="Hyperlink"/>
                <w:noProof/>
              </w:rPr>
              <w:t>3.2.2 Drying Atmospheres</w:t>
            </w:r>
            <w:r w:rsidR="00D332DB">
              <w:rPr>
                <w:noProof/>
                <w:webHidden/>
              </w:rPr>
              <w:tab/>
            </w:r>
            <w:r w:rsidR="00D332DB">
              <w:rPr>
                <w:noProof/>
                <w:webHidden/>
              </w:rPr>
              <w:fldChar w:fldCharType="begin"/>
            </w:r>
            <w:r w:rsidR="00D332DB">
              <w:rPr>
                <w:noProof/>
                <w:webHidden/>
              </w:rPr>
              <w:instrText xml:space="preserve"> PAGEREF _Toc69129385 \h </w:instrText>
            </w:r>
            <w:r w:rsidR="00D332DB">
              <w:rPr>
                <w:noProof/>
                <w:webHidden/>
              </w:rPr>
            </w:r>
            <w:r w:rsidR="00D332DB">
              <w:rPr>
                <w:noProof/>
                <w:webHidden/>
              </w:rPr>
              <w:fldChar w:fldCharType="separate"/>
            </w:r>
            <w:r w:rsidR="00D332DB">
              <w:rPr>
                <w:noProof/>
                <w:webHidden/>
              </w:rPr>
              <w:t>82</w:t>
            </w:r>
            <w:r w:rsidR="00D332DB">
              <w:rPr>
                <w:noProof/>
                <w:webHidden/>
              </w:rPr>
              <w:fldChar w:fldCharType="end"/>
            </w:r>
          </w:hyperlink>
        </w:p>
        <w:p w14:paraId="7F714FB0" w14:textId="0B12F0CC" w:rsidR="00D332DB" w:rsidRDefault="00B51F53">
          <w:pPr>
            <w:pStyle w:val="TOC3"/>
            <w:tabs>
              <w:tab w:val="right" w:leader="dot" w:pos="9016"/>
            </w:tabs>
            <w:rPr>
              <w:rFonts w:eastAsiaTheme="minorEastAsia"/>
              <w:noProof/>
              <w:lang w:eastAsia="en-GB"/>
            </w:rPr>
          </w:pPr>
          <w:hyperlink w:anchor="_Toc69129386" w:history="1">
            <w:r w:rsidR="00D332DB" w:rsidRPr="0032584B">
              <w:rPr>
                <w:rStyle w:val="Hyperlink"/>
                <w:noProof/>
              </w:rPr>
              <w:t>3.2.3 Current Collector</w:t>
            </w:r>
            <w:r w:rsidR="00D332DB">
              <w:rPr>
                <w:noProof/>
                <w:webHidden/>
              </w:rPr>
              <w:tab/>
            </w:r>
            <w:r w:rsidR="00D332DB">
              <w:rPr>
                <w:noProof/>
                <w:webHidden/>
              </w:rPr>
              <w:fldChar w:fldCharType="begin"/>
            </w:r>
            <w:r w:rsidR="00D332DB">
              <w:rPr>
                <w:noProof/>
                <w:webHidden/>
              </w:rPr>
              <w:instrText xml:space="preserve"> PAGEREF _Toc69129386 \h </w:instrText>
            </w:r>
            <w:r w:rsidR="00D332DB">
              <w:rPr>
                <w:noProof/>
                <w:webHidden/>
              </w:rPr>
            </w:r>
            <w:r w:rsidR="00D332DB">
              <w:rPr>
                <w:noProof/>
                <w:webHidden/>
              </w:rPr>
              <w:fldChar w:fldCharType="separate"/>
            </w:r>
            <w:r w:rsidR="00D332DB">
              <w:rPr>
                <w:noProof/>
                <w:webHidden/>
              </w:rPr>
              <w:t>82</w:t>
            </w:r>
            <w:r w:rsidR="00D332DB">
              <w:rPr>
                <w:noProof/>
                <w:webHidden/>
              </w:rPr>
              <w:fldChar w:fldCharType="end"/>
            </w:r>
          </w:hyperlink>
        </w:p>
        <w:p w14:paraId="390B0355" w14:textId="44EE87B5" w:rsidR="00D332DB" w:rsidRDefault="00B51F53">
          <w:pPr>
            <w:pStyle w:val="TOC3"/>
            <w:tabs>
              <w:tab w:val="right" w:leader="dot" w:pos="9016"/>
            </w:tabs>
            <w:rPr>
              <w:rFonts w:eastAsiaTheme="minorEastAsia"/>
              <w:noProof/>
              <w:lang w:eastAsia="en-GB"/>
            </w:rPr>
          </w:pPr>
          <w:hyperlink w:anchor="_Toc69129387" w:history="1">
            <w:r w:rsidR="00D332DB" w:rsidRPr="0032584B">
              <w:rPr>
                <w:rStyle w:val="Hyperlink"/>
                <w:noProof/>
              </w:rPr>
              <w:t>3.2.5 Ceramic Backbone Material</w:t>
            </w:r>
            <w:r w:rsidR="00D332DB">
              <w:rPr>
                <w:noProof/>
                <w:webHidden/>
              </w:rPr>
              <w:tab/>
            </w:r>
            <w:r w:rsidR="00D332DB">
              <w:rPr>
                <w:noProof/>
                <w:webHidden/>
              </w:rPr>
              <w:fldChar w:fldCharType="begin"/>
            </w:r>
            <w:r w:rsidR="00D332DB">
              <w:rPr>
                <w:noProof/>
                <w:webHidden/>
              </w:rPr>
              <w:instrText xml:space="preserve"> PAGEREF _Toc69129387 \h </w:instrText>
            </w:r>
            <w:r w:rsidR="00D332DB">
              <w:rPr>
                <w:noProof/>
                <w:webHidden/>
              </w:rPr>
            </w:r>
            <w:r w:rsidR="00D332DB">
              <w:rPr>
                <w:noProof/>
                <w:webHidden/>
              </w:rPr>
              <w:fldChar w:fldCharType="separate"/>
            </w:r>
            <w:r w:rsidR="00D332DB">
              <w:rPr>
                <w:noProof/>
                <w:webHidden/>
              </w:rPr>
              <w:t>82</w:t>
            </w:r>
            <w:r w:rsidR="00D332DB">
              <w:rPr>
                <w:noProof/>
                <w:webHidden/>
              </w:rPr>
              <w:fldChar w:fldCharType="end"/>
            </w:r>
          </w:hyperlink>
        </w:p>
        <w:p w14:paraId="768B9909" w14:textId="71CBF17E" w:rsidR="00D332DB" w:rsidRDefault="00B51F53">
          <w:pPr>
            <w:pStyle w:val="TOC2"/>
            <w:tabs>
              <w:tab w:val="left" w:pos="660"/>
              <w:tab w:val="right" w:leader="dot" w:pos="9016"/>
            </w:tabs>
            <w:rPr>
              <w:rFonts w:eastAsiaTheme="minorEastAsia"/>
              <w:iCs w:val="0"/>
              <w:noProof/>
              <w:szCs w:val="22"/>
              <w:lang w:eastAsia="en-GB"/>
            </w:rPr>
          </w:pPr>
          <w:hyperlink w:anchor="_Toc69129388" w:history="1">
            <w:r w:rsidR="00D332DB" w:rsidRPr="0032584B">
              <w:rPr>
                <w:rStyle w:val="Hyperlink"/>
                <w:noProof/>
              </w:rPr>
              <w:t>3.3</w:t>
            </w:r>
            <w:r w:rsidR="00D332DB">
              <w:rPr>
                <w:rFonts w:eastAsiaTheme="minorEastAsia"/>
                <w:iCs w:val="0"/>
                <w:noProof/>
                <w:szCs w:val="22"/>
                <w:lang w:eastAsia="en-GB"/>
              </w:rPr>
              <w:tab/>
            </w:r>
            <w:r w:rsidR="00D332DB" w:rsidRPr="0032584B">
              <w:rPr>
                <w:rStyle w:val="Hyperlink"/>
                <w:noProof/>
              </w:rPr>
              <w:t>Characterisation Techniques</w:t>
            </w:r>
            <w:r w:rsidR="00D332DB">
              <w:rPr>
                <w:noProof/>
                <w:webHidden/>
              </w:rPr>
              <w:tab/>
            </w:r>
            <w:r w:rsidR="00D332DB">
              <w:rPr>
                <w:noProof/>
                <w:webHidden/>
              </w:rPr>
              <w:fldChar w:fldCharType="begin"/>
            </w:r>
            <w:r w:rsidR="00D332DB">
              <w:rPr>
                <w:noProof/>
                <w:webHidden/>
              </w:rPr>
              <w:instrText xml:space="preserve"> PAGEREF _Toc69129388 \h </w:instrText>
            </w:r>
            <w:r w:rsidR="00D332DB">
              <w:rPr>
                <w:noProof/>
                <w:webHidden/>
              </w:rPr>
            </w:r>
            <w:r w:rsidR="00D332DB">
              <w:rPr>
                <w:noProof/>
                <w:webHidden/>
              </w:rPr>
              <w:fldChar w:fldCharType="separate"/>
            </w:r>
            <w:r w:rsidR="00D332DB">
              <w:rPr>
                <w:noProof/>
                <w:webHidden/>
              </w:rPr>
              <w:t>83</w:t>
            </w:r>
            <w:r w:rsidR="00D332DB">
              <w:rPr>
                <w:noProof/>
                <w:webHidden/>
              </w:rPr>
              <w:fldChar w:fldCharType="end"/>
            </w:r>
          </w:hyperlink>
        </w:p>
        <w:p w14:paraId="647AE135" w14:textId="1770F4C5" w:rsidR="00D332DB" w:rsidRDefault="00B51F53">
          <w:pPr>
            <w:pStyle w:val="TOC3"/>
            <w:tabs>
              <w:tab w:val="left" w:pos="1320"/>
              <w:tab w:val="right" w:leader="dot" w:pos="9016"/>
            </w:tabs>
            <w:rPr>
              <w:rFonts w:eastAsiaTheme="minorEastAsia"/>
              <w:noProof/>
              <w:lang w:eastAsia="en-GB"/>
            </w:rPr>
          </w:pPr>
          <w:hyperlink w:anchor="_Toc69129389" w:history="1">
            <w:r w:rsidR="00D332DB" w:rsidRPr="0032584B">
              <w:rPr>
                <w:rStyle w:val="Hyperlink"/>
                <w:rFonts w:cs="Arial"/>
                <w:noProof/>
              </w:rPr>
              <w:t>3.3.1</w:t>
            </w:r>
            <w:r w:rsidR="00D332DB">
              <w:rPr>
                <w:rFonts w:eastAsiaTheme="minorEastAsia"/>
                <w:noProof/>
                <w:lang w:eastAsia="en-GB"/>
              </w:rPr>
              <w:tab/>
            </w:r>
            <w:r w:rsidR="00D332DB" w:rsidRPr="0032584B">
              <w:rPr>
                <w:rStyle w:val="Hyperlink"/>
                <w:rFonts w:cs="Arial"/>
                <w:noProof/>
              </w:rPr>
              <w:t>X-ray Diffraction</w:t>
            </w:r>
            <w:r w:rsidR="00D332DB">
              <w:rPr>
                <w:noProof/>
                <w:webHidden/>
              </w:rPr>
              <w:tab/>
            </w:r>
            <w:r w:rsidR="00D332DB">
              <w:rPr>
                <w:noProof/>
                <w:webHidden/>
              </w:rPr>
              <w:fldChar w:fldCharType="begin"/>
            </w:r>
            <w:r w:rsidR="00D332DB">
              <w:rPr>
                <w:noProof/>
                <w:webHidden/>
              </w:rPr>
              <w:instrText xml:space="preserve"> PAGEREF _Toc69129389 \h </w:instrText>
            </w:r>
            <w:r w:rsidR="00D332DB">
              <w:rPr>
                <w:noProof/>
                <w:webHidden/>
              </w:rPr>
            </w:r>
            <w:r w:rsidR="00D332DB">
              <w:rPr>
                <w:noProof/>
                <w:webHidden/>
              </w:rPr>
              <w:fldChar w:fldCharType="separate"/>
            </w:r>
            <w:r w:rsidR="00D332DB">
              <w:rPr>
                <w:noProof/>
                <w:webHidden/>
              </w:rPr>
              <w:t>83</w:t>
            </w:r>
            <w:r w:rsidR="00D332DB">
              <w:rPr>
                <w:noProof/>
                <w:webHidden/>
              </w:rPr>
              <w:fldChar w:fldCharType="end"/>
            </w:r>
          </w:hyperlink>
        </w:p>
        <w:p w14:paraId="591EA0AB" w14:textId="510DF0DE" w:rsidR="00D332DB" w:rsidRDefault="00B51F53">
          <w:pPr>
            <w:pStyle w:val="TOC3"/>
            <w:tabs>
              <w:tab w:val="right" w:leader="dot" w:pos="9016"/>
            </w:tabs>
            <w:rPr>
              <w:rFonts w:eastAsiaTheme="minorEastAsia"/>
              <w:noProof/>
              <w:lang w:eastAsia="en-GB"/>
            </w:rPr>
          </w:pPr>
          <w:hyperlink w:anchor="_Toc69129390" w:history="1">
            <w:r w:rsidR="00D332DB" w:rsidRPr="0032584B">
              <w:rPr>
                <w:rStyle w:val="Hyperlink"/>
                <w:rFonts w:cs="Arial"/>
                <w:noProof/>
              </w:rPr>
              <w:t>3.3.2 Scanning Electron Microscopy</w:t>
            </w:r>
            <w:r w:rsidR="00D332DB">
              <w:rPr>
                <w:noProof/>
                <w:webHidden/>
              </w:rPr>
              <w:tab/>
            </w:r>
            <w:r w:rsidR="00D332DB">
              <w:rPr>
                <w:noProof/>
                <w:webHidden/>
              </w:rPr>
              <w:fldChar w:fldCharType="begin"/>
            </w:r>
            <w:r w:rsidR="00D332DB">
              <w:rPr>
                <w:noProof/>
                <w:webHidden/>
              </w:rPr>
              <w:instrText xml:space="preserve"> PAGEREF _Toc69129390 \h </w:instrText>
            </w:r>
            <w:r w:rsidR="00D332DB">
              <w:rPr>
                <w:noProof/>
                <w:webHidden/>
              </w:rPr>
            </w:r>
            <w:r w:rsidR="00D332DB">
              <w:rPr>
                <w:noProof/>
                <w:webHidden/>
              </w:rPr>
              <w:fldChar w:fldCharType="separate"/>
            </w:r>
            <w:r w:rsidR="00D332DB">
              <w:rPr>
                <w:noProof/>
                <w:webHidden/>
              </w:rPr>
              <w:t>86</w:t>
            </w:r>
            <w:r w:rsidR="00D332DB">
              <w:rPr>
                <w:noProof/>
                <w:webHidden/>
              </w:rPr>
              <w:fldChar w:fldCharType="end"/>
            </w:r>
          </w:hyperlink>
        </w:p>
        <w:p w14:paraId="0706A7FA" w14:textId="2FE953C5" w:rsidR="00D332DB" w:rsidRDefault="00B51F53">
          <w:pPr>
            <w:pStyle w:val="TOC3"/>
            <w:tabs>
              <w:tab w:val="right" w:leader="dot" w:pos="9016"/>
            </w:tabs>
            <w:rPr>
              <w:rFonts w:eastAsiaTheme="minorEastAsia"/>
              <w:noProof/>
              <w:lang w:eastAsia="en-GB"/>
            </w:rPr>
          </w:pPr>
          <w:hyperlink w:anchor="_Toc69129391" w:history="1">
            <w:r w:rsidR="00D332DB" w:rsidRPr="0032584B">
              <w:rPr>
                <w:rStyle w:val="Hyperlink"/>
                <w:rFonts w:cs="Arial"/>
                <w:noProof/>
              </w:rPr>
              <w:t>3.3.3 Temperature Programmed Reduction</w:t>
            </w:r>
            <w:r w:rsidR="00D332DB">
              <w:rPr>
                <w:noProof/>
                <w:webHidden/>
              </w:rPr>
              <w:tab/>
            </w:r>
            <w:r w:rsidR="00D332DB">
              <w:rPr>
                <w:noProof/>
                <w:webHidden/>
              </w:rPr>
              <w:fldChar w:fldCharType="begin"/>
            </w:r>
            <w:r w:rsidR="00D332DB">
              <w:rPr>
                <w:noProof/>
                <w:webHidden/>
              </w:rPr>
              <w:instrText xml:space="preserve"> PAGEREF _Toc69129391 \h </w:instrText>
            </w:r>
            <w:r w:rsidR="00D332DB">
              <w:rPr>
                <w:noProof/>
                <w:webHidden/>
              </w:rPr>
            </w:r>
            <w:r w:rsidR="00D332DB">
              <w:rPr>
                <w:noProof/>
                <w:webHidden/>
              </w:rPr>
              <w:fldChar w:fldCharType="separate"/>
            </w:r>
            <w:r w:rsidR="00D332DB">
              <w:rPr>
                <w:noProof/>
                <w:webHidden/>
              </w:rPr>
              <w:t>88</w:t>
            </w:r>
            <w:r w:rsidR="00D332DB">
              <w:rPr>
                <w:noProof/>
                <w:webHidden/>
              </w:rPr>
              <w:fldChar w:fldCharType="end"/>
            </w:r>
          </w:hyperlink>
        </w:p>
        <w:p w14:paraId="2566CBDB" w14:textId="7275DCDF" w:rsidR="00D332DB" w:rsidRDefault="00B51F53">
          <w:pPr>
            <w:pStyle w:val="TOC3"/>
            <w:tabs>
              <w:tab w:val="right" w:leader="dot" w:pos="9016"/>
            </w:tabs>
            <w:rPr>
              <w:rFonts w:eastAsiaTheme="minorEastAsia"/>
              <w:noProof/>
              <w:lang w:eastAsia="en-GB"/>
            </w:rPr>
          </w:pPr>
          <w:hyperlink w:anchor="_Toc69129392" w:history="1">
            <w:r w:rsidR="00D332DB" w:rsidRPr="0032584B">
              <w:rPr>
                <w:rStyle w:val="Hyperlink"/>
                <w:noProof/>
              </w:rPr>
              <w:t>3.3.4 Fourier Transform Infra-Red Spectroscopy</w:t>
            </w:r>
            <w:r w:rsidR="00D332DB">
              <w:rPr>
                <w:noProof/>
                <w:webHidden/>
              </w:rPr>
              <w:tab/>
            </w:r>
            <w:r w:rsidR="00D332DB">
              <w:rPr>
                <w:noProof/>
                <w:webHidden/>
              </w:rPr>
              <w:fldChar w:fldCharType="begin"/>
            </w:r>
            <w:r w:rsidR="00D332DB">
              <w:rPr>
                <w:noProof/>
                <w:webHidden/>
              </w:rPr>
              <w:instrText xml:space="preserve"> PAGEREF _Toc69129392 \h </w:instrText>
            </w:r>
            <w:r w:rsidR="00D332DB">
              <w:rPr>
                <w:noProof/>
                <w:webHidden/>
              </w:rPr>
            </w:r>
            <w:r w:rsidR="00D332DB">
              <w:rPr>
                <w:noProof/>
                <w:webHidden/>
              </w:rPr>
              <w:fldChar w:fldCharType="separate"/>
            </w:r>
            <w:r w:rsidR="00D332DB">
              <w:rPr>
                <w:noProof/>
                <w:webHidden/>
              </w:rPr>
              <w:t>90</w:t>
            </w:r>
            <w:r w:rsidR="00D332DB">
              <w:rPr>
                <w:noProof/>
                <w:webHidden/>
              </w:rPr>
              <w:fldChar w:fldCharType="end"/>
            </w:r>
          </w:hyperlink>
        </w:p>
        <w:p w14:paraId="73A76693" w14:textId="0272ECA4" w:rsidR="00D332DB" w:rsidRDefault="00B51F53">
          <w:pPr>
            <w:pStyle w:val="TOC3"/>
            <w:tabs>
              <w:tab w:val="right" w:leader="dot" w:pos="9016"/>
            </w:tabs>
            <w:rPr>
              <w:rFonts w:eastAsiaTheme="minorEastAsia"/>
              <w:noProof/>
              <w:lang w:eastAsia="en-GB"/>
            </w:rPr>
          </w:pPr>
          <w:hyperlink w:anchor="_Toc69129393" w:history="1">
            <w:r w:rsidR="00D332DB" w:rsidRPr="0032584B">
              <w:rPr>
                <w:rStyle w:val="Hyperlink"/>
                <w:rFonts w:cs="Arial"/>
                <w:noProof/>
              </w:rPr>
              <w:t>3.3.5 Electrochemical Impedance Spectroscopy</w:t>
            </w:r>
            <w:r w:rsidR="00D332DB">
              <w:rPr>
                <w:noProof/>
                <w:webHidden/>
              </w:rPr>
              <w:tab/>
            </w:r>
            <w:r w:rsidR="00D332DB">
              <w:rPr>
                <w:noProof/>
                <w:webHidden/>
              </w:rPr>
              <w:fldChar w:fldCharType="begin"/>
            </w:r>
            <w:r w:rsidR="00D332DB">
              <w:rPr>
                <w:noProof/>
                <w:webHidden/>
              </w:rPr>
              <w:instrText xml:space="preserve"> PAGEREF _Toc69129393 \h </w:instrText>
            </w:r>
            <w:r w:rsidR="00D332DB">
              <w:rPr>
                <w:noProof/>
                <w:webHidden/>
              </w:rPr>
            </w:r>
            <w:r w:rsidR="00D332DB">
              <w:rPr>
                <w:noProof/>
                <w:webHidden/>
              </w:rPr>
              <w:fldChar w:fldCharType="separate"/>
            </w:r>
            <w:r w:rsidR="00D332DB">
              <w:rPr>
                <w:noProof/>
                <w:webHidden/>
              </w:rPr>
              <w:t>91</w:t>
            </w:r>
            <w:r w:rsidR="00D332DB">
              <w:rPr>
                <w:noProof/>
                <w:webHidden/>
              </w:rPr>
              <w:fldChar w:fldCharType="end"/>
            </w:r>
          </w:hyperlink>
        </w:p>
        <w:p w14:paraId="78170352" w14:textId="2F7BFE21" w:rsidR="00D332DB" w:rsidRDefault="00B51F53">
          <w:pPr>
            <w:pStyle w:val="TOC3"/>
            <w:tabs>
              <w:tab w:val="right" w:leader="dot" w:pos="9016"/>
            </w:tabs>
            <w:rPr>
              <w:rFonts w:eastAsiaTheme="minorEastAsia"/>
              <w:noProof/>
              <w:lang w:eastAsia="en-GB"/>
            </w:rPr>
          </w:pPr>
          <w:hyperlink w:anchor="_Toc69129394" w:history="1">
            <w:r w:rsidR="00D332DB" w:rsidRPr="0032584B">
              <w:rPr>
                <w:rStyle w:val="Hyperlink"/>
                <w:rFonts w:cs="Arial"/>
                <w:noProof/>
              </w:rPr>
              <w:t>3.3.6 Ptychographic X-ray Computed Tomography (PXCT) (Scanning diffraction microscopy)</w:t>
            </w:r>
            <w:r w:rsidR="00D332DB">
              <w:rPr>
                <w:noProof/>
                <w:webHidden/>
              </w:rPr>
              <w:tab/>
            </w:r>
            <w:r w:rsidR="00D332DB">
              <w:rPr>
                <w:noProof/>
                <w:webHidden/>
              </w:rPr>
              <w:fldChar w:fldCharType="begin"/>
            </w:r>
            <w:r w:rsidR="00D332DB">
              <w:rPr>
                <w:noProof/>
                <w:webHidden/>
              </w:rPr>
              <w:instrText xml:space="preserve"> PAGEREF _Toc69129394 \h </w:instrText>
            </w:r>
            <w:r w:rsidR="00D332DB">
              <w:rPr>
                <w:noProof/>
                <w:webHidden/>
              </w:rPr>
            </w:r>
            <w:r w:rsidR="00D332DB">
              <w:rPr>
                <w:noProof/>
                <w:webHidden/>
              </w:rPr>
              <w:fldChar w:fldCharType="separate"/>
            </w:r>
            <w:r w:rsidR="00D332DB">
              <w:rPr>
                <w:noProof/>
                <w:webHidden/>
              </w:rPr>
              <w:t>94</w:t>
            </w:r>
            <w:r w:rsidR="00D332DB">
              <w:rPr>
                <w:noProof/>
                <w:webHidden/>
              </w:rPr>
              <w:fldChar w:fldCharType="end"/>
            </w:r>
          </w:hyperlink>
        </w:p>
        <w:p w14:paraId="25E74C9D" w14:textId="58610422" w:rsidR="00D332DB" w:rsidRDefault="00B51F53">
          <w:pPr>
            <w:pStyle w:val="TOC2"/>
            <w:tabs>
              <w:tab w:val="right" w:leader="dot" w:pos="9016"/>
            </w:tabs>
            <w:rPr>
              <w:rFonts w:eastAsiaTheme="minorEastAsia"/>
              <w:iCs w:val="0"/>
              <w:noProof/>
              <w:szCs w:val="22"/>
              <w:lang w:eastAsia="en-GB"/>
            </w:rPr>
          </w:pPr>
          <w:hyperlink w:anchor="_Toc69129395" w:history="1">
            <w:r w:rsidR="00D332DB" w:rsidRPr="0032584B">
              <w:rPr>
                <w:rStyle w:val="Hyperlink"/>
                <w:noProof/>
              </w:rPr>
              <w:t>3.4 Experimental Characterisation Methodology</w:t>
            </w:r>
            <w:r w:rsidR="00D332DB">
              <w:rPr>
                <w:noProof/>
                <w:webHidden/>
              </w:rPr>
              <w:tab/>
            </w:r>
            <w:r w:rsidR="00D332DB">
              <w:rPr>
                <w:noProof/>
                <w:webHidden/>
              </w:rPr>
              <w:fldChar w:fldCharType="begin"/>
            </w:r>
            <w:r w:rsidR="00D332DB">
              <w:rPr>
                <w:noProof/>
                <w:webHidden/>
              </w:rPr>
              <w:instrText xml:space="preserve"> PAGEREF _Toc69129395 \h </w:instrText>
            </w:r>
            <w:r w:rsidR="00D332DB">
              <w:rPr>
                <w:noProof/>
                <w:webHidden/>
              </w:rPr>
            </w:r>
            <w:r w:rsidR="00D332DB">
              <w:rPr>
                <w:noProof/>
                <w:webHidden/>
              </w:rPr>
              <w:fldChar w:fldCharType="separate"/>
            </w:r>
            <w:r w:rsidR="00D332DB">
              <w:rPr>
                <w:noProof/>
                <w:webHidden/>
              </w:rPr>
              <w:t>99</w:t>
            </w:r>
            <w:r w:rsidR="00D332DB">
              <w:rPr>
                <w:noProof/>
                <w:webHidden/>
              </w:rPr>
              <w:fldChar w:fldCharType="end"/>
            </w:r>
          </w:hyperlink>
        </w:p>
        <w:p w14:paraId="3572E533" w14:textId="427188B6" w:rsidR="00D332DB" w:rsidRDefault="00B51F53">
          <w:pPr>
            <w:pStyle w:val="TOC1"/>
            <w:rPr>
              <w:rFonts w:asciiTheme="minorHAnsi" w:eastAsiaTheme="minorEastAsia" w:hAnsiTheme="minorHAnsi" w:cstheme="minorBidi"/>
              <w:sz w:val="22"/>
              <w:szCs w:val="22"/>
              <w:lang w:eastAsia="en-GB"/>
            </w:rPr>
          </w:pPr>
          <w:hyperlink w:anchor="_Toc69129396" w:history="1">
            <w:r w:rsidR="00D332DB" w:rsidRPr="0032584B">
              <w:rPr>
                <w:rStyle w:val="Hyperlink"/>
              </w:rPr>
              <w:t>Chapter 4: Quantifying the impact of gas drying atmospheres on infiltrated SOFC fuel electrodes</w:t>
            </w:r>
            <w:r w:rsidR="00D332DB">
              <w:rPr>
                <w:webHidden/>
              </w:rPr>
              <w:tab/>
            </w:r>
            <w:r w:rsidR="00D332DB">
              <w:rPr>
                <w:webHidden/>
              </w:rPr>
              <w:fldChar w:fldCharType="begin"/>
            </w:r>
            <w:r w:rsidR="00D332DB">
              <w:rPr>
                <w:webHidden/>
              </w:rPr>
              <w:instrText xml:space="preserve"> PAGEREF _Toc69129396 \h </w:instrText>
            </w:r>
            <w:r w:rsidR="00D332DB">
              <w:rPr>
                <w:webHidden/>
              </w:rPr>
            </w:r>
            <w:r w:rsidR="00D332DB">
              <w:rPr>
                <w:webHidden/>
              </w:rPr>
              <w:fldChar w:fldCharType="separate"/>
            </w:r>
            <w:r w:rsidR="00D332DB">
              <w:rPr>
                <w:webHidden/>
              </w:rPr>
              <w:t>99</w:t>
            </w:r>
            <w:r w:rsidR="00D332DB">
              <w:rPr>
                <w:webHidden/>
              </w:rPr>
              <w:fldChar w:fldCharType="end"/>
            </w:r>
          </w:hyperlink>
        </w:p>
        <w:p w14:paraId="13CF97EB" w14:textId="74D72A65" w:rsidR="00D332DB" w:rsidRDefault="00B51F53">
          <w:pPr>
            <w:pStyle w:val="TOC1"/>
            <w:tabs>
              <w:tab w:val="left" w:pos="660"/>
            </w:tabs>
            <w:rPr>
              <w:rFonts w:asciiTheme="minorHAnsi" w:eastAsiaTheme="minorEastAsia" w:hAnsiTheme="minorHAnsi" w:cstheme="minorBidi"/>
              <w:sz w:val="22"/>
              <w:szCs w:val="22"/>
              <w:lang w:eastAsia="en-GB"/>
            </w:rPr>
          </w:pPr>
          <w:hyperlink w:anchor="_Toc69129397" w:history="1">
            <w:r w:rsidR="00D332DB" w:rsidRPr="0032584B">
              <w:rPr>
                <w:rStyle w:val="Hyperlink"/>
              </w:rPr>
              <w:t>4.1</w:t>
            </w:r>
            <w:r w:rsidR="00D332DB">
              <w:rPr>
                <w:rFonts w:asciiTheme="minorHAnsi" w:eastAsiaTheme="minorEastAsia" w:hAnsiTheme="minorHAnsi" w:cstheme="minorBidi"/>
                <w:sz w:val="22"/>
                <w:szCs w:val="22"/>
                <w:lang w:eastAsia="en-GB"/>
              </w:rPr>
              <w:tab/>
            </w:r>
            <w:r w:rsidR="00D332DB" w:rsidRPr="0032584B">
              <w:rPr>
                <w:rStyle w:val="Hyperlink"/>
              </w:rPr>
              <w:t>Introduction</w:t>
            </w:r>
            <w:r w:rsidR="00D332DB">
              <w:rPr>
                <w:webHidden/>
              </w:rPr>
              <w:tab/>
            </w:r>
            <w:r w:rsidR="00D332DB">
              <w:rPr>
                <w:webHidden/>
              </w:rPr>
              <w:fldChar w:fldCharType="begin"/>
            </w:r>
            <w:r w:rsidR="00D332DB">
              <w:rPr>
                <w:webHidden/>
              </w:rPr>
              <w:instrText xml:space="preserve"> PAGEREF _Toc69129397 \h </w:instrText>
            </w:r>
            <w:r w:rsidR="00D332DB">
              <w:rPr>
                <w:webHidden/>
              </w:rPr>
            </w:r>
            <w:r w:rsidR="00D332DB">
              <w:rPr>
                <w:webHidden/>
              </w:rPr>
              <w:fldChar w:fldCharType="separate"/>
            </w:r>
            <w:r w:rsidR="00D332DB">
              <w:rPr>
                <w:webHidden/>
              </w:rPr>
              <w:t>99</w:t>
            </w:r>
            <w:r w:rsidR="00D332DB">
              <w:rPr>
                <w:webHidden/>
              </w:rPr>
              <w:fldChar w:fldCharType="end"/>
            </w:r>
          </w:hyperlink>
        </w:p>
        <w:p w14:paraId="1E03C34D" w14:textId="5185EE67" w:rsidR="00D332DB" w:rsidRDefault="00B51F53">
          <w:pPr>
            <w:pStyle w:val="TOC2"/>
            <w:tabs>
              <w:tab w:val="left" w:pos="880"/>
              <w:tab w:val="right" w:leader="dot" w:pos="9016"/>
            </w:tabs>
            <w:rPr>
              <w:rFonts w:eastAsiaTheme="minorEastAsia"/>
              <w:iCs w:val="0"/>
              <w:noProof/>
              <w:szCs w:val="22"/>
              <w:lang w:eastAsia="en-GB"/>
            </w:rPr>
          </w:pPr>
          <w:hyperlink w:anchor="_Toc69129398" w:history="1">
            <w:r w:rsidR="00D332DB" w:rsidRPr="0032584B">
              <w:rPr>
                <w:rStyle w:val="Hyperlink"/>
                <w:noProof/>
              </w:rPr>
              <w:t>4.1.1</w:t>
            </w:r>
            <w:r w:rsidR="00D332DB">
              <w:rPr>
                <w:rFonts w:eastAsiaTheme="minorEastAsia"/>
                <w:iCs w:val="0"/>
                <w:noProof/>
                <w:szCs w:val="22"/>
                <w:lang w:eastAsia="en-GB"/>
              </w:rPr>
              <w:tab/>
            </w:r>
            <w:r w:rsidR="00D332DB" w:rsidRPr="0032584B">
              <w:rPr>
                <w:rStyle w:val="Hyperlink"/>
                <w:noProof/>
              </w:rPr>
              <w:t>Chapter Aims</w:t>
            </w:r>
            <w:r w:rsidR="00D332DB">
              <w:rPr>
                <w:noProof/>
                <w:webHidden/>
              </w:rPr>
              <w:tab/>
            </w:r>
            <w:r w:rsidR="00D332DB">
              <w:rPr>
                <w:noProof/>
                <w:webHidden/>
              </w:rPr>
              <w:fldChar w:fldCharType="begin"/>
            </w:r>
            <w:r w:rsidR="00D332DB">
              <w:rPr>
                <w:noProof/>
                <w:webHidden/>
              </w:rPr>
              <w:instrText xml:space="preserve"> PAGEREF _Toc69129398 \h </w:instrText>
            </w:r>
            <w:r w:rsidR="00D332DB">
              <w:rPr>
                <w:noProof/>
                <w:webHidden/>
              </w:rPr>
            </w:r>
            <w:r w:rsidR="00D332DB">
              <w:rPr>
                <w:noProof/>
                <w:webHidden/>
              </w:rPr>
              <w:fldChar w:fldCharType="separate"/>
            </w:r>
            <w:r w:rsidR="00D332DB">
              <w:rPr>
                <w:noProof/>
                <w:webHidden/>
              </w:rPr>
              <w:t>99</w:t>
            </w:r>
            <w:r w:rsidR="00D332DB">
              <w:rPr>
                <w:noProof/>
                <w:webHidden/>
              </w:rPr>
              <w:fldChar w:fldCharType="end"/>
            </w:r>
          </w:hyperlink>
        </w:p>
        <w:p w14:paraId="11682BE7" w14:textId="68528405" w:rsidR="00D332DB" w:rsidRDefault="00B51F53">
          <w:pPr>
            <w:pStyle w:val="TOC2"/>
            <w:tabs>
              <w:tab w:val="left" w:pos="880"/>
              <w:tab w:val="right" w:leader="dot" w:pos="9016"/>
            </w:tabs>
            <w:rPr>
              <w:rFonts w:eastAsiaTheme="minorEastAsia"/>
              <w:iCs w:val="0"/>
              <w:noProof/>
              <w:szCs w:val="22"/>
              <w:lang w:eastAsia="en-GB"/>
            </w:rPr>
          </w:pPr>
          <w:hyperlink w:anchor="_Toc69129399" w:history="1">
            <w:r w:rsidR="00D332DB" w:rsidRPr="0032584B">
              <w:rPr>
                <w:rStyle w:val="Hyperlink"/>
                <w:noProof/>
              </w:rPr>
              <w:t>4.1.2</w:t>
            </w:r>
            <w:r w:rsidR="00D332DB">
              <w:rPr>
                <w:rFonts w:eastAsiaTheme="minorEastAsia"/>
                <w:iCs w:val="0"/>
                <w:noProof/>
                <w:szCs w:val="22"/>
                <w:lang w:eastAsia="en-GB"/>
              </w:rPr>
              <w:tab/>
            </w:r>
            <w:r w:rsidR="00D332DB" w:rsidRPr="0032584B">
              <w:rPr>
                <w:rStyle w:val="Hyperlink"/>
                <w:noProof/>
              </w:rPr>
              <w:t>Hypotheses</w:t>
            </w:r>
            <w:r w:rsidR="00D332DB">
              <w:rPr>
                <w:noProof/>
                <w:webHidden/>
              </w:rPr>
              <w:tab/>
            </w:r>
            <w:r w:rsidR="00D332DB">
              <w:rPr>
                <w:noProof/>
                <w:webHidden/>
              </w:rPr>
              <w:fldChar w:fldCharType="begin"/>
            </w:r>
            <w:r w:rsidR="00D332DB">
              <w:rPr>
                <w:noProof/>
                <w:webHidden/>
              </w:rPr>
              <w:instrText xml:space="preserve"> PAGEREF _Toc69129399 \h </w:instrText>
            </w:r>
            <w:r w:rsidR="00D332DB">
              <w:rPr>
                <w:noProof/>
                <w:webHidden/>
              </w:rPr>
            </w:r>
            <w:r w:rsidR="00D332DB">
              <w:rPr>
                <w:noProof/>
                <w:webHidden/>
              </w:rPr>
              <w:fldChar w:fldCharType="separate"/>
            </w:r>
            <w:r w:rsidR="00D332DB">
              <w:rPr>
                <w:noProof/>
                <w:webHidden/>
              </w:rPr>
              <w:t>100</w:t>
            </w:r>
            <w:r w:rsidR="00D332DB">
              <w:rPr>
                <w:noProof/>
                <w:webHidden/>
              </w:rPr>
              <w:fldChar w:fldCharType="end"/>
            </w:r>
          </w:hyperlink>
        </w:p>
        <w:p w14:paraId="646908F8" w14:textId="10FD0F4C" w:rsidR="00D332DB" w:rsidRDefault="00B51F53">
          <w:pPr>
            <w:pStyle w:val="TOC1"/>
            <w:tabs>
              <w:tab w:val="left" w:pos="660"/>
            </w:tabs>
            <w:rPr>
              <w:rFonts w:asciiTheme="minorHAnsi" w:eastAsiaTheme="minorEastAsia" w:hAnsiTheme="minorHAnsi" w:cstheme="minorBidi"/>
              <w:sz w:val="22"/>
              <w:szCs w:val="22"/>
              <w:lang w:eastAsia="en-GB"/>
            </w:rPr>
          </w:pPr>
          <w:hyperlink w:anchor="_Toc69129400" w:history="1">
            <w:r w:rsidR="00D332DB" w:rsidRPr="0032584B">
              <w:rPr>
                <w:rStyle w:val="Hyperlink"/>
              </w:rPr>
              <w:t>4.2</w:t>
            </w:r>
            <w:r w:rsidR="00D332DB">
              <w:rPr>
                <w:rFonts w:asciiTheme="minorHAnsi" w:eastAsiaTheme="minorEastAsia" w:hAnsiTheme="minorHAnsi" w:cstheme="minorBidi"/>
                <w:sz w:val="22"/>
                <w:szCs w:val="22"/>
                <w:lang w:eastAsia="en-GB"/>
              </w:rPr>
              <w:tab/>
            </w:r>
            <w:r w:rsidR="00D332DB" w:rsidRPr="0032584B">
              <w:rPr>
                <w:rStyle w:val="Hyperlink"/>
              </w:rPr>
              <w:t>Experimental Procedure Overview</w:t>
            </w:r>
            <w:r w:rsidR="00D332DB">
              <w:rPr>
                <w:webHidden/>
              </w:rPr>
              <w:tab/>
            </w:r>
            <w:r w:rsidR="00D332DB">
              <w:rPr>
                <w:webHidden/>
              </w:rPr>
              <w:fldChar w:fldCharType="begin"/>
            </w:r>
            <w:r w:rsidR="00D332DB">
              <w:rPr>
                <w:webHidden/>
              </w:rPr>
              <w:instrText xml:space="preserve"> PAGEREF _Toc69129400 \h </w:instrText>
            </w:r>
            <w:r w:rsidR="00D332DB">
              <w:rPr>
                <w:webHidden/>
              </w:rPr>
            </w:r>
            <w:r w:rsidR="00D332DB">
              <w:rPr>
                <w:webHidden/>
              </w:rPr>
              <w:fldChar w:fldCharType="separate"/>
            </w:r>
            <w:r w:rsidR="00D332DB">
              <w:rPr>
                <w:webHidden/>
              </w:rPr>
              <w:t>100</w:t>
            </w:r>
            <w:r w:rsidR="00D332DB">
              <w:rPr>
                <w:webHidden/>
              </w:rPr>
              <w:fldChar w:fldCharType="end"/>
            </w:r>
          </w:hyperlink>
        </w:p>
        <w:p w14:paraId="2C89F9F2" w14:textId="6B5C3E8A" w:rsidR="00D332DB" w:rsidRDefault="00B51F53">
          <w:pPr>
            <w:pStyle w:val="TOC2"/>
            <w:tabs>
              <w:tab w:val="left" w:pos="880"/>
              <w:tab w:val="right" w:leader="dot" w:pos="9016"/>
            </w:tabs>
            <w:rPr>
              <w:rFonts w:eastAsiaTheme="minorEastAsia"/>
              <w:iCs w:val="0"/>
              <w:noProof/>
              <w:szCs w:val="22"/>
              <w:lang w:eastAsia="en-GB"/>
            </w:rPr>
          </w:pPr>
          <w:hyperlink w:anchor="_Toc69129401" w:history="1">
            <w:r w:rsidR="00D332DB" w:rsidRPr="0032584B">
              <w:rPr>
                <w:rStyle w:val="Hyperlink"/>
                <w:noProof/>
              </w:rPr>
              <w:t>4.2.1</w:t>
            </w:r>
            <w:r w:rsidR="00D332DB">
              <w:rPr>
                <w:rFonts w:eastAsiaTheme="minorEastAsia"/>
                <w:iCs w:val="0"/>
                <w:noProof/>
                <w:szCs w:val="22"/>
                <w:lang w:eastAsia="en-GB"/>
              </w:rPr>
              <w:tab/>
            </w:r>
            <w:r w:rsidR="00D332DB" w:rsidRPr="0032584B">
              <w:rPr>
                <w:rStyle w:val="Hyperlink"/>
                <w:noProof/>
              </w:rPr>
              <w:t>Sample preparation</w:t>
            </w:r>
            <w:r w:rsidR="00D332DB">
              <w:rPr>
                <w:noProof/>
                <w:webHidden/>
              </w:rPr>
              <w:tab/>
            </w:r>
            <w:r w:rsidR="00D332DB">
              <w:rPr>
                <w:noProof/>
                <w:webHidden/>
              </w:rPr>
              <w:fldChar w:fldCharType="begin"/>
            </w:r>
            <w:r w:rsidR="00D332DB">
              <w:rPr>
                <w:noProof/>
                <w:webHidden/>
              </w:rPr>
              <w:instrText xml:space="preserve"> PAGEREF _Toc69129401 \h </w:instrText>
            </w:r>
            <w:r w:rsidR="00D332DB">
              <w:rPr>
                <w:noProof/>
                <w:webHidden/>
              </w:rPr>
            </w:r>
            <w:r w:rsidR="00D332DB">
              <w:rPr>
                <w:noProof/>
                <w:webHidden/>
              </w:rPr>
              <w:fldChar w:fldCharType="separate"/>
            </w:r>
            <w:r w:rsidR="00D332DB">
              <w:rPr>
                <w:noProof/>
                <w:webHidden/>
              </w:rPr>
              <w:t>100</w:t>
            </w:r>
            <w:r w:rsidR="00D332DB">
              <w:rPr>
                <w:noProof/>
                <w:webHidden/>
              </w:rPr>
              <w:fldChar w:fldCharType="end"/>
            </w:r>
          </w:hyperlink>
        </w:p>
        <w:p w14:paraId="44468950" w14:textId="234CA886" w:rsidR="00D332DB" w:rsidRDefault="00B51F53">
          <w:pPr>
            <w:pStyle w:val="TOC2"/>
            <w:tabs>
              <w:tab w:val="right" w:leader="dot" w:pos="9016"/>
            </w:tabs>
            <w:rPr>
              <w:rFonts w:eastAsiaTheme="minorEastAsia"/>
              <w:iCs w:val="0"/>
              <w:noProof/>
              <w:szCs w:val="22"/>
              <w:lang w:eastAsia="en-GB"/>
            </w:rPr>
          </w:pPr>
          <w:hyperlink w:anchor="_Toc69129402" w:history="1">
            <w:r w:rsidR="00D332DB" w:rsidRPr="0032584B">
              <w:rPr>
                <w:rStyle w:val="Hyperlink"/>
                <w:noProof/>
              </w:rPr>
              <w:t>4.2.2 X-ray Diffraction</w:t>
            </w:r>
            <w:r w:rsidR="00D332DB">
              <w:rPr>
                <w:noProof/>
                <w:webHidden/>
              </w:rPr>
              <w:tab/>
            </w:r>
            <w:r w:rsidR="00D332DB">
              <w:rPr>
                <w:noProof/>
                <w:webHidden/>
              </w:rPr>
              <w:fldChar w:fldCharType="begin"/>
            </w:r>
            <w:r w:rsidR="00D332DB">
              <w:rPr>
                <w:noProof/>
                <w:webHidden/>
              </w:rPr>
              <w:instrText xml:space="preserve"> PAGEREF _Toc69129402 \h </w:instrText>
            </w:r>
            <w:r w:rsidR="00D332DB">
              <w:rPr>
                <w:noProof/>
                <w:webHidden/>
              </w:rPr>
            </w:r>
            <w:r w:rsidR="00D332DB">
              <w:rPr>
                <w:noProof/>
                <w:webHidden/>
              </w:rPr>
              <w:fldChar w:fldCharType="separate"/>
            </w:r>
            <w:r w:rsidR="00D332DB">
              <w:rPr>
                <w:noProof/>
                <w:webHidden/>
              </w:rPr>
              <w:t>100</w:t>
            </w:r>
            <w:r w:rsidR="00D332DB">
              <w:rPr>
                <w:noProof/>
                <w:webHidden/>
              </w:rPr>
              <w:fldChar w:fldCharType="end"/>
            </w:r>
          </w:hyperlink>
        </w:p>
        <w:p w14:paraId="610E9814" w14:textId="53692405" w:rsidR="00D332DB" w:rsidRDefault="00B51F53">
          <w:pPr>
            <w:pStyle w:val="TOC3"/>
            <w:tabs>
              <w:tab w:val="right" w:leader="dot" w:pos="9016"/>
            </w:tabs>
            <w:rPr>
              <w:rFonts w:eastAsiaTheme="minorEastAsia"/>
              <w:noProof/>
              <w:lang w:eastAsia="en-GB"/>
            </w:rPr>
          </w:pPr>
          <w:hyperlink w:anchor="_Toc69129403" w:history="1">
            <w:r w:rsidR="00D332DB" w:rsidRPr="0032584B">
              <w:rPr>
                <w:rStyle w:val="Hyperlink"/>
                <w:noProof/>
              </w:rPr>
              <w:t>4.2.2.1 Particle size analysis</w:t>
            </w:r>
            <w:r w:rsidR="00D332DB">
              <w:rPr>
                <w:noProof/>
                <w:webHidden/>
              </w:rPr>
              <w:tab/>
            </w:r>
            <w:r w:rsidR="00D332DB">
              <w:rPr>
                <w:noProof/>
                <w:webHidden/>
              </w:rPr>
              <w:fldChar w:fldCharType="begin"/>
            </w:r>
            <w:r w:rsidR="00D332DB">
              <w:rPr>
                <w:noProof/>
                <w:webHidden/>
              </w:rPr>
              <w:instrText xml:space="preserve"> PAGEREF _Toc69129403 \h </w:instrText>
            </w:r>
            <w:r w:rsidR="00D332DB">
              <w:rPr>
                <w:noProof/>
                <w:webHidden/>
              </w:rPr>
            </w:r>
            <w:r w:rsidR="00D332DB">
              <w:rPr>
                <w:noProof/>
                <w:webHidden/>
              </w:rPr>
              <w:fldChar w:fldCharType="separate"/>
            </w:r>
            <w:r w:rsidR="00D332DB">
              <w:rPr>
                <w:noProof/>
                <w:webHidden/>
              </w:rPr>
              <w:t>101</w:t>
            </w:r>
            <w:r w:rsidR="00D332DB">
              <w:rPr>
                <w:noProof/>
                <w:webHidden/>
              </w:rPr>
              <w:fldChar w:fldCharType="end"/>
            </w:r>
          </w:hyperlink>
        </w:p>
        <w:p w14:paraId="07ED2530" w14:textId="44872F40" w:rsidR="00D332DB" w:rsidRDefault="00B51F53">
          <w:pPr>
            <w:pStyle w:val="TOC2"/>
            <w:tabs>
              <w:tab w:val="right" w:leader="dot" w:pos="9016"/>
            </w:tabs>
            <w:rPr>
              <w:rFonts w:eastAsiaTheme="minorEastAsia"/>
              <w:iCs w:val="0"/>
              <w:noProof/>
              <w:szCs w:val="22"/>
              <w:lang w:eastAsia="en-GB"/>
            </w:rPr>
          </w:pPr>
          <w:hyperlink w:anchor="_Toc69129404" w:history="1">
            <w:r w:rsidR="00D332DB" w:rsidRPr="0032584B">
              <w:rPr>
                <w:rStyle w:val="Hyperlink"/>
                <w:noProof/>
              </w:rPr>
              <w:t>4.2.3 Fourier Transform Infra-red Spectroscopy</w:t>
            </w:r>
            <w:r w:rsidR="00D332DB">
              <w:rPr>
                <w:noProof/>
                <w:webHidden/>
              </w:rPr>
              <w:tab/>
            </w:r>
            <w:r w:rsidR="00D332DB">
              <w:rPr>
                <w:noProof/>
                <w:webHidden/>
              </w:rPr>
              <w:fldChar w:fldCharType="begin"/>
            </w:r>
            <w:r w:rsidR="00D332DB">
              <w:rPr>
                <w:noProof/>
                <w:webHidden/>
              </w:rPr>
              <w:instrText xml:space="preserve"> PAGEREF _Toc69129404 \h </w:instrText>
            </w:r>
            <w:r w:rsidR="00D332DB">
              <w:rPr>
                <w:noProof/>
                <w:webHidden/>
              </w:rPr>
            </w:r>
            <w:r w:rsidR="00D332DB">
              <w:rPr>
                <w:noProof/>
                <w:webHidden/>
              </w:rPr>
              <w:fldChar w:fldCharType="separate"/>
            </w:r>
            <w:r w:rsidR="00D332DB">
              <w:rPr>
                <w:noProof/>
                <w:webHidden/>
              </w:rPr>
              <w:t>101</w:t>
            </w:r>
            <w:r w:rsidR="00D332DB">
              <w:rPr>
                <w:noProof/>
                <w:webHidden/>
              </w:rPr>
              <w:fldChar w:fldCharType="end"/>
            </w:r>
          </w:hyperlink>
        </w:p>
        <w:p w14:paraId="2FB867D3" w14:textId="062A4DD6" w:rsidR="00D332DB" w:rsidRDefault="00B51F53">
          <w:pPr>
            <w:pStyle w:val="TOC2"/>
            <w:tabs>
              <w:tab w:val="right" w:leader="dot" w:pos="9016"/>
            </w:tabs>
            <w:rPr>
              <w:rFonts w:eastAsiaTheme="minorEastAsia"/>
              <w:iCs w:val="0"/>
              <w:noProof/>
              <w:szCs w:val="22"/>
              <w:lang w:eastAsia="en-GB"/>
            </w:rPr>
          </w:pPr>
          <w:hyperlink w:anchor="_Toc69129405" w:history="1">
            <w:r w:rsidR="00D332DB" w:rsidRPr="0032584B">
              <w:rPr>
                <w:rStyle w:val="Hyperlink"/>
                <w:noProof/>
              </w:rPr>
              <w:t>4.2.4 Temperature Programmed Reduction</w:t>
            </w:r>
            <w:r w:rsidR="00D332DB">
              <w:rPr>
                <w:noProof/>
                <w:webHidden/>
              </w:rPr>
              <w:tab/>
            </w:r>
            <w:r w:rsidR="00D332DB">
              <w:rPr>
                <w:noProof/>
                <w:webHidden/>
              </w:rPr>
              <w:fldChar w:fldCharType="begin"/>
            </w:r>
            <w:r w:rsidR="00D332DB">
              <w:rPr>
                <w:noProof/>
                <w:webHidden/>
              </w:rPr>
              <w:instrText xml:space="preserve"> PAGEREF _Toc69129405 \h </w:instrText>
            </w:r>
            <w:r w:rsidR="00D332DB">
              <w:rPr>
                <w:noProof/>
                <w:webHidden/>
              </w:rPr>
            </w:r>
            <w:r w:rsidR="00D332DB">
              <w:rPr>
                <w:noProof/>
                <w:webHidden/>
              </w:rPr>
              <w:fldChar w:fldCharType="separate"/>
            </w:r>
            <w:r w:rsidR="00D332DB">
              <w:rPr>
                <w:noProof/>
                <w:webHidden/>
              </w:rPr>
              <w:t>101</w:t>
            </w:r>
            <w:r w:rsidR="00D332DB">
              <w:rPr>
                <w:noProof/>
                <w:webHidden/>
              </w:rPr>
              <w:fldChar w:fldCharType="end"/>
            </w:r>
          </w:hyperlink>
        </w:p>
        <w:p w14:paraId="5073C4C5" w14:textId="5ECB3E18" w:rsidR="00D332DB" w:rsidRDefault="00B51F53">
          <w:pPr>
            <w:pStyle w:val="TOC2"/>
            <w:tabs>
              <w:tab w:val="right" w:leader="dot" w:pos="9016"/>
            </w:tabs>
            <w:rPr>
              <w:rFonts w:eastAsiaTheme="minorEastAsia"/>
              <w:iCs w:val="0"/>
              <w:noProof/>
              <w:szCs w:val="22"/>
              <w:lang w:eastAsia="en-GB"/>
            </w:rPr>
          </w:pPr>
          <w:hyperlink w:anchor="_Toc69129406" w:history="1">
            <w:r w:rsidR="00D332DB" w:rsidRPr="0032584B">
              <w:rPr>
                <w:rStyle w:val="Hyperlink"/>
                <w:noProof/>
              </w:rPr>
              <w:t>4.2.5 Scanning Electron Microscopy</w:t>
            </w:r>
            <w:r w:rsidR="00D332DB">
              <w:rPr>
                <w:noProof/>
                <w:webHidden/>
              </w:rPr>
              <w:tab/>
            </w:r>
            <w:r w:rsidR="00D332DB">
              <w:rPr>
                <w:noProof/>
                <w:webHidden/>
              </w:rPr>
              <w:fldChar w:fldCharType="begin"/>
            </w:r>
            <w:r w:rsidR="00D332DB">
              <w:rPr>
                <w:noProof/>
                <w:webHidden/>
              </w:rPr>
              <w:instrText xml:space="preserve"> PAGEREF _Toc69129406 \h </w:instrText>
            </w:r>
            <w:r w:rsidR="00D332DB">
              <w:rPr>
                <w:noProof/>
                <w:webHidden/>
              </w:rPr>
            </w:r>
            <w:r w:rsidR="00D332DB">
              <w:rPr>
                <w:noProof/>
                <w:webHidden/>
              </w:rPr>
              <w:fldChar w:fldCharType="separate"/>
            </w:r>
            <w:r w:rsidR="00D332DB">
              <w:rPr>
                <w:noProof/>
                <w:webHidden/>
              </w:rPr>
              <w:t>101</w:t>
            </w:r>
            <w:r w:rsidR="00D332DB">
              <w:rPr>
                <w:noProof/>
                <w:webHidden/>
              </w:rPr>
              <w:fldChar w:fldCharType="end"/>
            </w:r>
          </w:hyperlink>
        </w:p>
        <w:p w14:paraId="04509F79" w14:textId="55A3E8D7" w:rsidR="00D332DB" w:rsidRDefault="00B51F53">
          <w:pPr>
            <w:pStyle w:val="TOC2"/>
            <w:tabs>
              <w:tab w:val="right" w:leader="dot" w:pos="9016"/>
            </w:tabs>
            <w:rPr>
              <w:rFonts w:eastAsiaTheme="minorEastAsia"/>
              <w:iCs w:val="0"/>
              <w:noProof/>
              <w:szCs w:val="22"/>
              <w:lang w:eastAsia="en-GB"/>
            </w:rPr>
          </w:pPr>
          <w:hyperlink w:anchor="_Toc69129407" w:history="1">
            <w:r w:rsidR="00D332DB" w:rsidRPr="0032584B">
              <w:rPr>
                <w:rStyle w:val="Hyperlink"/>
                <w:noProof/>
              </w:rPr>
              <w:t>4.2.6 Electrochemical Impedance Spectroscopy</w:t>
            </w:r>
            <w:r w:rsidR="00D332DB">
              <w:rPr>
                <w:noProof/>
                <w:webHidden/>
              </w:rPr>
              <w:tab/>
            </w:r>
            <w:r w:rsidR="00D332DB">
              <w:rPr>
                <w:noProof/>
                <w:webHidden/>
              </w:rPr>
              <w:fldChar w:fldCharType="begin"/>
            </w:r>
            <w:r w:rsidR="00D332DB">
              <w:rPr>
                <w:noProof/>
                <w:webHidden/>
              </w:rPr>
              <w:instrText xml:space="preserve"> PAGEREF _Toc69129407 \h </w:instrText>
            </w:r>
            <w:r w:rsidR="00D332DB">
              <w:rPr>
                <w:noProof/>
                <w:webHidden/>
              </w:rPr>
            </w:r>
            <w:r w:rsidR="00D332DB">
              <w:rPr>
                <w:noProof/>
                <w:webHidden/>
              </w:rPr>
              <w:fldChar w:fldCharType="separate"/>
            </w:r>
            <w:r w:rsidR="00D332DB">
              <w:rPr>
                <w:noProof/>
                <w:webHidden/>
              </w:rPr>
              <w:t>101</w:t>
            </w:r>
            <w:r w:rsidR="00D332DB">
              <w:rPr>
                <w:noProof/>
                <w:webHidden/>
              </w:rPr>
              <w:fldChar w:fldCharType="end"/>
            </w:r>
          </w:hyperlink>
        </w:p>
        <w:p w14:paraId="240299A2" w14:textId="2723C01D" w:rsidR="00D332DB" w:rsidRDefault="00B51F53">
          <w:pPr>
            <w:pStyle w:val="TOC1"/>
            <w:tabs>
              <w:tab w:val="left" w:pos="660"/>
            </w:tabs>
            <w:rPr>
              <w:rFonts w:asciiTheme="minorHAnsi" w:eastAsiaTheme="minorEastAsia" w:hAnsiTheme="minorHAnsi" w:cstheme="minorBidi"/>
              <w:sz w:val="22"/>
              <w:szCs w:val="22"/>
              <w:lang w:eastAsia="en-GB"/>
            </w:rPr>
          </w:pPr>
          <w:hyperlink w:anchor="_Toc69129408" w:history="1">
            <w:r w:rsidR="00D332DB" w:rsidRPr="0032584B">
              <w:rPr>
                <w:rStyle w:val="Hyperlink"/>
              </w:rPr>
              <w:t>4.3</w:t>
            </w:r>
            <w:r w:rsidR="00D332DB">
              <w:rPr>
                <w:rFonts w:asciiTheme="minorHAnsi" w:eastAsiaTheme="minorEastAsia" w:hAnsiTheme="minorHAnsi" w:cstheme="minorBidi"/>
                <w:sz w:val="22"/>
                <w:szCs w:val="22"/>
                <w:lang w:eastAsia="en-GB"/>
              </w:rPr>
              <w:tab/>
            </w:r>
            <w:r w:rsidR="00D332DB" w:rsidRPr="0032584B">
              <w:rPr>
                <w:rStyle w:val="Hyperlink"/>
              </w:rPr>
              <w:t>Results</w:t>
            </w:r>
            <w:r w:rsidR="00D332DB">
              <w:rPr>
                <w:webHidden/>
              </w:rPr>
              <w:tab/>
            </w:r>
            <w:r w:rsidR="00D332DB">
              <w:rPr>
                <w:webHidden/>
              </w:rPr>
              <w:fldChar w:fldCharType="begin"/>
            </w:r>
            <w:r w:rsidR="00D332DB">
              <w:rPr>
                <w:webHidden/>
              </w:rPr>
              <w:instrText xml:space="preserve"> PAGEREF _Toc69129408 \h </w:instrText>
            </w:r>
            <w:r w:rsidR="00D332DB">
              <w:rPr>
                <w:webHidden/>
              </w:rPr>
            </w:r>
            <w:r w:rsidR="00D332DB">
              <w:rPr>
                <w:webHidden/>
              </w:rPr>
              <w:fldChar w:fldCharType="separate"/>
            </w:r>
            <w:r w:rsidR="00D332DB">
              <w:rPr>
                <w:webHidden/>
              </w:rPr>
              <w:t>101</w:t>
            </w:r>
            <w:r w:rsidR="00D332DB">
              <w:rPr>
                <w:webHidden/>
              </w:rPr>
              <w:fldChar w:fldCharType="end"/>
            </w:r>
          </w:hyperlink>
        </w:p>
        <w:p w14:paraId="12CCA9EE" w14:textId="609DE586" w:rsidR="00D332DB" w:rsidRDefault="00B51F53">
          <w:pPr>
            <w:pStyle w:val="TOC2"/>
            <w:tabs>
              <w:tab w:val="left" w:pos="880"/>
              <w:tab w:val="right" w:leader="dot" w:pos="9016"/>
            </w:tabs>
            <w:rPr>
              <w:rFonts w:eastAsiaTheme="minorEastAsia"/>
              <w:iCs w:val="0"/>
              <w:noProof/>
              <w:szCs w:val="22"/>
              <w:lang w:eastAsia="en-GB"/>
            </w:rPr>
          </w:pPr>
          <w:hyperlink w:anchor="_Toc69129409" w:history="1">
            <w:r w:rsidR="00D332DB" w:rsidRPr="0032584B">
              <w:rPr>
                <w:rStyle w:val="Hyperlink"/>
                <w:noProof/>
              </w:rPr>
              <w:t>4.3.1</w:t>
            </w:r>
            <w:r w:rsidR="00D332DB">
              <w:rPr>
                <w:rFonts w:eastAsiaTheme="minorEastAsia"/>
                <w:iCs w:val="0"/>
                <w:noProof/>
                <w:szCs w:val="22"/>
                <w:lang w:eastAsia="en-GB"/>
              </w:rPr>
              <w:tab/>
            </w:r>
            <w:r w:rsidR="00D332DB" w:rsidRPr="0032584B">
              <w:rPr>
                <w:rStyle w:val="Hyperlink"/>
                <w:noProof/>
              </w:rPr>
              <w:t>Structural Identification</w:t>
            </w:r>
            <w:r w:rsidR="00D332DB">
              <w:rPr>
                <w:noProof/>
                <w:webHidden/>
              </w:rPr>
              <w:tab/>
            </w:r>
            <w:r w:rsidR="00D332DB">
              <w:rPr>
                <w:noProof/>
                <w:webHidden/>
              </w:rPr>
              <w:fldChar w:fldCharType="begin"/>
            </w:r>
            <w:r w:rsidR="00D332DB">
              <w:rPr>
                <w:noProof/>
                <w:webHidden/>
              </w:rPr>
              <w:instrText xml:space="preserve"> PAGEREF _Toc69129409 \h </w:instrText>
            </w:r>
            <w:r w:rsidR="00D332DB">
              <w:rPr>
                <w:noProof/>
                <w:webHidden/>
              </w:rPr>
            </w:r>
            <w:r w:rsidR="00D332DB">
              <w:rPr>
                <w:noProof/>
                <w:webHidden/>
              </w:rPr>
              <w:fldChar w:fldCharType="separate"/>
            </w:r>
            <w:r w:rsidR="00D332DB">
              <w:rPr>
                <w:noProof/>
                <w:webHidden/>
              </w:rPr>
              <w:t>102</w:t>
            </w:r>
            <w:r w:rsidR="00D332DB">
              <w:rPr>
                <w:noProof/>
                <w:webHidden/>
              </w:rPr>
              <w:fldChar w:fldCharType="end"/>
            </w:r>
          </w:hyperlink>
        </w:p>
        <w:p w14:paraId="509FCD47" w14:textId="0009B3A7" w:rsidR="00D332DB" w:rsidRDefault="00B51F53">
          <w:pPr>
            <w:pStyle w:val="TOC3"/>
            <w:tabs>
              <w:tab w:val="right" w:leader="dot" w:pos="9016"/>
            </w:tabs>
            <w:rPr>
              <w:rFonts w:eastAsiaTheme="minorEastAsia"/>
              <w:noProof/>
              <w:lang w:eastAsia="en-GB"/>
            </w:rPr>
          </w:pPr>
          <w:hyperlink w:anchor="_Toc69129410" w:history="1">
            <w:r w:rsidR="00D332DB" w:rsidRPr="0032584B">
              <w:rPr>
                <w:rStyle w:val="Hyperlink"/>
                <w:noProof/>
              </w:rPr>
              <w:t>4.3.1.1 X-ray Diffraction</w:t>
            </w:r>
            <w:r w:rsidR="00D332DB">
              <w:rPr>
                <w:noProof/>
                <w:webHidden/>
              </w:rPr>
              <w:tab/>
            </w:r>
            <w:r w:rsidR="00D332DB">
              <w:rPr>
                <w:noProof/>
                <w:webHidden/>
              </w:rPr>
              <w:fldChar w:fldCharType="begin"/>
            </w:r>
            <w:r w:rsidR="00D332DB">
              <w:rPr>
                <w:noProof/>
                <w:webHidden/>
              </w:rPr>
              <w:instrText xml:space="preserve"> PAGEREF _Toc69129410 \h </w:instrText>
            </w:r>
            <w:r w:rsidR="00D332DB">
              <w:rPr>
                <w:noProof/>
                <w:webHidden/>
              </w:rPr>
            </w:r>
            <w:r w:rsidR="00D332DB">
              <w:rPr>
                <w:noProof/>
                <w:webHidden/>
              </w:rPr>
              <w:fldChar w:fldCharType="separate"/>
            </w:r>
            <w:r w:rsidR="00D332DB">
              <w:rPr>
                <w:noProof/>
                <w:webHidden/>
              </w:rPr>
              <w:t>102</w:t>
            </w:r>
            <w:r w:rsidR="00D332DB">
              <w:rPr>
                <w:noProof/>
                <w:webHidden/>
              </w:rPr>
              <w:fldChar w:fldCharType="end"/>
            </w:r>
          </w:hyperlink>
        </w:p>
        <w:p w14:paraId="1D92F104" w14:textId="01227984" w:rsidR="00D332DB" w:rsidRDefault="00B51F53">
          <w:pPr>
            <w:pStyle w:val="TOC2"/>
            <w:tabs>
              <w:tab w:val="right" w:leader="dot" w:pos="9016"/>
            </w:tabs>
            <w:rPr>
              <w:rFonts w:eastAsiaTheme="minorEastAsia"/>
              <w:iCs w:val="0"/>
              <w:noProof/>
              <w:szCs w:val="22"/>
              <w:lang w:eastAsia="en-GB"/>
            </w:rPr>
          </w:pPr>
          <w:hyperlink w:anchor="_Toc69129411" w:history="1">
            <w:r w:rsidR="00D332DB" w:rsidRPr="0032584B">
              <w:rPr>
                <w:rStyle w:val="Hyperlink"/>
                <w:noProof/>
              </w:rPr>
              <w:t>4.3.2 Chemical Identification</w:t>
            </w:r>
            <w:r w:rsidR="00D332DB">
              <w:rPr>
                <w:noProof/>
                <w:webHidden/>
              </w:rPr>
              <w:tab/>
            </w:r>
            <w:r w:rsidR="00D332DB">
              <w:rPr>
                <w:noProof/>
                <w:webHidden/>
              </w:rPr>
              <w:fldChar w:fldCharType="begin"/>
            </w:r>
            <w:r w:rsidR="00D332DB">
              <w:rPr>
                <w:noProof/>
                <w:webHidden/>
              </w:rPr>
              <w:instrText xml:space="preserve"> PAGEREF _Toc69129411 \h </w:instrText>
            </w:r>
            <w:r w:rsidR="00D332DB">
              <w:rPr>
                <w:noProof/>
                <w:webHidden/>
              </w:rPr>
            </w:r>
            <w:r w:rsidR="00D332DB">
              <w:rPr>
                <w:noProof/>
                <w:webHidden/>
              </w:rPr>
              <w:fldChar w:fldCharType="separate"/>
            </w:r>
            <w:r w:rsidR="00D332DB">
              <w:rPr>
                <w:noProof/>
                <w:webHidden/>
              </w:rPr>
              <w:t>104</w:t>
            </w:r>
            <w:r w:rsidR="00D332DB">
              <w:rPr>
                <w:noProof/>
                <w:webHidden/>
              </w:rPr>
              <w:fldChar w:fldCharType="end"/>
            </w:r>
          </w:hyperlink>
        </w:p>
        <w:p w14:paraId="2934E039" w14:textId="1199F2C0" w:rsidR="00D332DB" w:rsidRDefault="00B51F53">
          <w:pPr>
            <w:pStyle w:val="TOC3"/>
            <w:tabs>
              <w:tab w:val="right" w:leader="dot" w:pos="9016"/>
            </w:tabs>
            <w:rPr>
              <w:rFonts w:eastAsiaTheme="minorEastAsia"/>
              <w:noProof/>
              <w:lang w:eastAsia="en-GB"/>
            </w:rPr>
          </w:pPr>
          <w:hyperlink w:anchor="_Toc69129412" w:history="1">
            <w:r w:rsidR="00D332DB" w:rsidRPr="0032584B">
              <w:rPr>
                <w:rStyle w:val="Hyperlink"/>
                <w:noProof/>
              </w:rPr>
              <w:t>4.3.2.1 Fourier Transform Infra-red Spectroscopy</w:t>
            </w:r>
            <w:r w:rsidR="00D332DB">
              <w:rPr>
                <w:noProof/>
                <w:webHidden/>
              </w:rPr>
              <w:tab/>
            </w:r>
            <w:r w:rsidR="00D332DB">
              <w:rPr>
                <w:noProof/>
                <w:webHidden/>
              </w:rPr>
              <w:fldChar w:fldCharType="begin"/>
            </w:r>
            <w:r w:rsidR="00D332DB">
              <w:rPr>
                <w:noProof/>
                <w:webHidden/>
              </w:rPr>
              <w:instrText xml:space="preserve"> PAGEREF _Toc69129412 \h </w:instrText>
            </w:r>
            <w:r w:rsidR="00D332DB">
              <w:rPr>
                <w:noProof/>
                <w:webHidden/>
              </w:rPr>
            </w:r>
            <w:r w:rsidR="00D332DB">
              <w:rPr>
                <w:noProof/>
                <w:webHidden/>
              </w:rPr>
              <w:fldChar w:fldCharType="separate"/>
            </w:r>
            <w:r w:rsidR="00D332DB">
              <w:rPr>
                <w:noProof/>
                <w:webHidden/>
              </w:rPr>
              <w:t>104</w:t>
            </w:r>
            <w:r w:rsidR="00D332DB">
              <w:rPr>
                <w:noProof/>
                <w:webHidden/>
              </w:rPr>
              <w:fldChar w:fldCharType="end"/>
            </w:r>
          </w:hyperlink>
        </w:p>
        <w:p w14:paraId="6C8AC644" w14:textId="38ACBC3B" w:rsidR="00D332DB" w:rsidRDefault="00B51F53">
          <w:pPr>
            <w:pStyle w:val="TOC2"/>
            <w:tabs>
              <w:tab w:val="left" w:pos="880"/>
              <w:tab w:val="right" w:leader="dot" w:pos="9016"/>
            </w:tabs>
            <w:rPr>
              <w:rFonts w:eastAsiaTheme="minorEastAsia"/>
              <w:iCs w:val="0"/>
              <w:noProof/>
              <w:szCs w:val="22"/>
              <w:lang w:eastAsia="en-GB"/>
            </w:rPr>
          </w:pPr>
          <w:hyperlink w:anchor="_Toc69129413" w:history="1">
            <w:r w:rsidR="00D332DB" w:rsidRPr="0032584B">
              <w:rPr>
                <w:rStyle w:val="Hyperlink"/>
                <w:noProof/>
              </w:rPr>
              <w:t>4.3.3</w:t>
            </w:r>
            <w:r w:rsidR="00D332DB">
              <w:rPr>
                <w:rFonts w:eastAsiaTheme="minorEastAsia"/>
                <w:iCs w:val="0"/>
                <w:noProof/>
                <w:szCs w:val="22"/>
                <w:lang w:eastAsia="en-GB"/>
              </w:rPr>
              <w:tab/>
            </w:r>
            <w:r w:rsidR="00D332DB" w:rsidRPr="0032584B">
              <w:rPr>
                <w:rStyle w:val="Hyperlink"/>
                <w:noProof/>
              </w:rPr>
              <w:t>Particle size analysis</w:t>
            </w:r>
            <w:r w:rsidR="00D332DB">
              <w:rPr>
                <w:noProof/>
                <w:webHidden/>
              </w:rPr>
              <w:tab/>
            </w:r>
            <w:r w:rsidR="00D332DB">
              <w:rPr>
                <w:noProof/>
                <w:webHidden/>
              </w:rPr>
              <w:fldChar w:fldCharType="begin"/>
            </w:r>
            <w:r w:rsidR="00D332DB">
              <w:rPr>
                <w:noProof/>
                <w:webHidden/>
              </w:rPr>
              <w:instrText xml:space="preserve"> PAGEREF _Toc69129413 \h </w:instrText>
            </w:r>
            <w:r w:rsidR="00D332DB">
              <w:rPr>
                <w:noProof/>
                <w:webHidden/>
              </w:rPr>
            </w:r>
            <w:r w:rsidR="00D332DB">
              <w:rPr>
                <w:noProof/>
                <w:webHidden/>
              </w:rPr>
              <w:fldChar w:fldCharType="separate"/>
            </w:r>
            <w:r w:rsidR="00D332DB">
              <w:rPr>
                <w:noProof/>
                <w:webHidden/>
              </w:rPr>
              <w:t>106</w:t>
            </w:r>
            <w:r w:rsidR="00D332DB">
              <w:rPr>
                <w:noProof/>
                <w:webHidden/>
              </w:rPr>
              <w:fldChar w:fldCharType="end"/>
            </w:r>
          </w:hyperlink>
        </w:p>
        <w:p w14:paraId="22E51D8F" w14:textId="7614F095" w:rsidR="00D332DB" w:rsidRDefault="00B51F53">
          <w:pPr>
            <w:pStyle w:val="TOC3"/>
            <w:tabs>
              <w:tab w:val="right" w:leader="dot" w:pos="9016"/>
            </w:tabs>
            <w:rPr>
              <w:rFonts w:eastAsiaTheme="minorEastAsia"/>
              <w:noProof/>
              <w:lang w:eastAsia="en-GB"/>
            </w:rPr>
          </w:pPr>
          <w:hyperlink w:anchor="_Toc69129414" w:history="1">
            <w:r w:rsidR="00D332DB" w:rsidRPr="0032584B">
              <w:rPr>
                <w:rStyle w:val="Hyperlink"/>
                <w:noProof/>
              </w:rPr>
              <w:t>4.3.3.1 WAXS crystallite size calculations</w:t>
            </w:r>
            <w:r w:rsidR="00D332DB">
              <w:rPr>
                <w:noProof/>
                <w:webHidden/>
              </w:rPr>
              <w:tab/>
            </w:r>
            <w:r w:rsidR="00D332DB">
              <w:rPr>
                <w:noProof/>
                <w:webHidden/>
              </w:rPr>
              <w:fldChar w:fldCharType="begin"/>
            </w:r>
            <w:r w:rsidR="00D332DB">
              <w:rPr>
                <w:noProof/>
                <w:webHidden/>
              </w:rPr>
              <w:instrText xml:space="preserve"> PAGEREF _Toc69129414 \h </w:instrText>
            </w:r>
            <w:r w:rsidR="00D332DB">
              <w:rPr>
                <w:noProof/>
                <w:webHidden/>
              </w:rPr>
            </w:r>
            <w:r w:rsidR="00D332DB">
              <w:rPr>
                <w:noProof/>
                <w:webHidden/>
              </w:rPr>
              <w:fldChar w:fldCharType="separate"/>
            </w:r>
            <w:r w:rsidR="00D332DB">
              <w:rPr>
                <w:noProof/>
                <w:webHidden/>
              </w:rPr>
              <w:t>106</w:t>
            </w:r>
            <w:r w:rsidR="00D332DB">
              <w:rPr>
                <w:noProof/>
                <w:webHidden/>
              </w:rPr>
              <w:fldChar w:fldCharType="end"/>
            </w:r>
          </w:hyperlink>
        </w:p>
        <w:p w14:paraId="4AABBE5B" w14:textId="0D5AA1F7" w:rsidR="00D332DB" w:rsidRDefault="00B51F53">
          <w:pPr>
            <w:pStyle w:val="TOC2"/>
            <w:tabs>
              <w:tab w:val="left" w:pos="880"/>
              <w:tab w:val="right" w:leader="dot" w:pos="9016"/>
            </w:tabs>
            <w:rPr>
              <w:rFonts w:eastAsiaTheme="minorEastAsia"/>
              <w:iCs w:val="0"/>
              <w:noProof/>
              <w:szCs w:val="22"/>
              <w:lang w:eastAsia="en-GB"/>
            </w:rPr>
          </w:pPr>
          <w:hyperlink w:anchor="_Toc69129415" w:history="1">
            <w:r w:rsidR="00D332DB" w:rsidRPr="0032584B">
              <w:rPr>
                <w:rStyle w:val="Hyperlink"/>
                <w:noProof/>
              </w:rPr>
              <w:t>4.3.4</w:t>
            </w:r>
            <w:r w:rsidR="00D332DB">
              <w:rPr>
                <w:rFonts w:eastAsiaTheme="minorEastAsia"/>
                <w:iCs w:val="0"/>
                <w:noProof/>
                <w:szCs w:val="22"/>
                <w:lang w:eastAsia="en-GB"/>
              </w:rPr>
              <w:tab/>
            </w:r>
            <w:r w:rsidR="00D332DB" w:rsidRPr="0032584B">
              <w:rPr>
                <w:rStyle w:val="Hyperlink"/>
                <w:noProof/>
              </w:rPr>
              <w:t>Microstructural Evaluation</w:t>
            </w:r>
            <w:r w:rsidR="00D332DB">
              <w:rPr>
                <w:noProof/>
                <w:webHidden/>
              </w:rPr>
              <w:tab/>
            </w:r>
            <w:r w:rsidR="00D332DB">
              <w:rPr>
                <w:noProof/>
                <w:webHidden/>
              </w:rPr>
              <w:fldChar w:fldCharType="begin"/>
            </w:r>
            <w:r w:rsidR="00D332DB">
              <w:rPr>
                <w:noProof/>
                <w:webHidden/>
              </w:rPr>
              <w:instrText xml:space="preserve"> PAGEREF _Toc69129415 \h </w:instrText>
            </w:r>
            <w:r w:rsidR="00D332DB">
              <w:rPr>
                <w:noProof/>
                <w:webHidden/>
              </w:rPr>
            </w:r>
            <w:r w:rsidR="00D332DB">
              <w:rPr>
                <w:noProof/>
                <w:webHidden/>
              </w:rPr>
              <w:fldChar w:fldCharType="separate"/>
            </w:r>
            <w:r w:rsidR="00D332DB">
              <w:rPr>
                <w:noProof/>
                <w:webHidden/>
              </w:rPr>
              <w:t>108</w:t>
            </w:r>
            <w:r w:rsidR="00D332DB">
              <w:rPr>
                <w:noProof/>
                <w:webHidden/>
              </w:rPr>
              <w:fldChar w:fldCharType="end"/>
            </w:r>
          </w:hyperlink>
        </w:p>
        <w:p w14:paraId="39B286DF" w14:textId="562BBB5A" w:rsidR="00D332DB" w:rsidRDefault="00B51F53">
          <w:pPr>
            <w:pStyle w:val="TOC3"/>
            <w:tabs>
              <w:tab w:val="right" w:leader="dot" w:pos="9016"/>
            </w:tabs>
            <w:rPr>
              <w:rFonts w:eastAsiaTheme="minorEastAsia"/>
              <w:noProof/>
              <w:lang w:eastAsia="en-GB"/>
            </w:rPr>
          </w:pPr>
          <w:hyperlink w:anchor="_Toc69129416" w:history="1">
            <w:r w:rsidR="00D332DB" w:rsidRPr="0032584B">
              <w:rPr>
                <w:rStyle w:val="Hyperlink"/>
                <w:noProof/>
              </w:rPr>
              <w:t>Microstructural evaluation using scanning electron microscopy (Surface, cross-sectional)</w:t>
            </w:r>
            <w:r w:rsidR="00D332DB">
              <w:rPr>
                <w:noProof/>
                <w:webHidden/>
              </w:rPr>
              <w:tab/>
            </w:r>
            <w:r w:rsidR="00D332DB">
              <w:rPr>
                <w:noProof/>
                <w:webHidden/>
              </w:rPr>
              <w:fldChar w:fldCharType="begin"/>
            </w:r>
            <w:r w:rsidR="00D332DB">
              <w:rPr>
                <w:noProof/>
                <w:webHidden/>
              </w:rPr>
              <w:instrText xml:space="preserve"> PAGEREF _Toc69129416 \h </w:instrText>
            </w:r>
            <w:r w:rsidR="00D332DB">
              <w:rPr>
                <w:noProof/>
                <w:webHidden/>
              </w:rPr>
            </w:r>
            <w:r w:rsidR="00D332DB">
              <w:rPr>
                <w:noProof/>
                <w:webHidden/>
              </w:rPr>
              <w:fldChar w:fldCharType="separate"/>
            </w:r>
            <w:r w:rsidR="00D332DB">
              <w:rPr>
                <w:noProof/>
                <w:webHidden/>
              </w:rPr>
              <w:t>108</w:t>
            </w:r>
            <w:r w:rsidR="00D332DB">
              <w:rPr>
                <w:noProof/>
                <w:webHidden/>
              </w:rPr>
              <w:fldChar w:fldCharType="end"/>
            </w:r>
          </w:hyperlink>
        </w:p>
        <w:p w14:paraId="10ECDC60" w14:textId="61CD892E" w:rsidR="00D332DB" w:rsidRDefault="00B51F53">
          <w:pPr>
            <w:pStyle w:val="TOC2"/>
            <w:tabs>
              <w:tab w:val="left" w:pos="880"/>
              <w:tab w:val="right" w:leader="dot" w:pos="9016"/>
            </w:tabs>
            <w:rPr>
              <w:rFonts w:eastAsiaTheme="minorEastAsia"/>
              <w:iCs w:val="0"/>
              <w:noProof/>
              <w:szCs w:val="22"/>
              <w:lang w:eastAsia="en-GB"/>
            </w:rPr>
          </w:pPr>
          <w:hyperlink w:anchor="_Toc69129417" w:history="1">
            <w:r w:rsidR="00D332DB" w:rsidRPr="0032584B">
              <w:rPr>
                <w:rStyle w:val="Hyperlink"/>
                <w:noProof/>
              </w:rPr>
              <w:t>4.3.5</w:t>
            </w:r>
            <w:r w:rsidR="00D332DB">
              <w:rPr>
                <w:rFonts w:eastAsiaTheme="minorEastAsia"/>
                <w:iCs w:val="0"/>
                <w:noProof/>
                <w:szCs w:val="22"/>
                <w:lang w:eastAsia="en-GB"/>
              </w:rPr>
              <w:tab/>
            </w:r>
            <w:r w:rsidR="00D332DB" w:rsidRPr="0032584B">
              <w:rPr>
                <w:rStyle w:val="Hyperlink"/>
                <w:noProof/>
              </w:rPr>
              <w:t>Reactivity analysis</w:t>
            </w:r>
            <w:r w:rsidR="00D332DB">
              <w:rPr>
                <w:noProof/>
                <w:webHidden/>
              </w:rPr>
              <w:tab/>
            </w:r>
            <w:r w:rsidR="00D332DB">
              <w:rPr>
                <w:noProof/>
                <w:webHidden/>
              </w:rPr>
              <w:fldChar w:fldCharType="begin"/>
            </w:r>
            <w:r w:rsidR="00D332DB">
              <w:rPr>
                <w:noProof/>
                <w:webHidden/>
              </w:rPr>
              <w:instrText xml:space="preserve"> PAGEREF _Toc69129417 \h </w:instrText>
            </w:r>
            <w:r w:rsidR="00D332DB">
              <w:rPr>
                <w:noProof/>
                <w:webHidden/>
              </w:rPr>
            </w:r>
            <w:r w:rsidR="00D332DB">
              <w:rPr>
                <w:noProof/>
                <w:webHidden/>
              </w:rPr>
              <w:fldChar w:fldCharType="separate"/>
            </w:r>
            <w:r w:rsidR="00D332DB">
              <w:rPr>
                <w:noProof/>
                <w:webHidden/>
              </w:rPr>
              <w:t>112</w:t>
            </w:r>
            <w:r w:rsidR="00D332DB">
              <w:rPr>
                <w:noProof/>
                <w:webHidden/>
              </w:rPr>
              <w:fldChar w:fldCharType="end"/>
            </w:r>
          </w:hyperlink>
        </w:p>
        <w:p w14:paraId="69CF0DAA" w14:textId="4EA8FA27" w:rsidR="00D332DB" w:rsidRDefault="00B51F53">
          <w:pPr>
            <w:pStyle w:val="TOC3"/>
            <w:tabs>
              <w:tab w:val="right" w:leader="dot" w:pos="9016"/>
            </w:tabs>
            <w:rPr>
              <w:rFonts w:eastAsiaTheme="minorEastAsia"/>
              <w:noProof/>
              <w:lang w:eastAsia="en-GB"/>
            </w:rPr>
          </w:pPr>
          <w:hyperlink w:anchor="_Toc69129418" w:history="1">
            <w:r w:rsidR="00D332DB" w:rsidRPr="0032584B">
              <w:rPr>
                <w:rStyle w:val="Hyperlink"/>
                <w:noProof/>
              </w:rPr>
              <w:t>4.3.5.1 Temperature Programmed Reduction – active area measurements</w:t>
            </w:r>
            <w:r w:rsidR="00D332DB">
              <w:rPr>
                <w:noProof/>
                <w:webHidden/>
              </w:rPr>
              <w:tab/>
            </w:r>
            <w:r w:rsidR="00D332DB">
              <w:rPr>
                <w:noProof/>
                <w:webHidden/>
              </w:rPr>
              <w:fldChar w:fldCharType="begin"/>
            </w:r>
            <w:r w:rsidR="00D332DB">
              <w:rPr>
                <w:noProof/>
                <w:webHidden/>
              </w:rPr>
              <w:instrText xml:space="preserve"> PAGEREF _Toc69129418 \h </w:instrText>
            </w:r>
            <w:r w:rsidR="00D332DB">
              <w:rPr>
                <w:noProof/>
                <w:webHidden/>
              </w:rPr>
            </w:r>
            <w:r w:rsidR="00D332DB">
              <w:rPr>
                <w:noProof/>
                <w:webHidden/>
              </w:rPr>
              <w:fldChar w:fldCharType="separate"/>
            </w:r>
            <w:r w:rsidR="00D332DB">
              <w:rPr>
                <w:noProof/>
                <w:webHidden/>
              </w:rPr>
              <w:t>112</w:t>
            </w:r>
            <w:r w:rsidR="00D332DB">
              <w:rPr>
                <w:noProof/>
                <w:webHidden/>
              </w:rPr>
              <w:fldChar w:fldCharType="end"/>
            </w:r>
          </w:hyperlink>
        </w:p>
        <w:p w14:paraId="474C14D7" w14:textId="4267D2DE" w:rsidR="00D332DB" w:rsidRDefault="00B51F53">
          <w:pPr>
            <w:pStyle w:val="TOC2"/>
            <w:tabs>
              <w:tab w:val="left" w:pos="880"/>
              <w:tab w:val="right" w:leader="dot" w:pos="9016"/>
            </w:tabs>
            <w:rPr>
              <w:rFonts w:eastAsiaTheme="minorEastAsia"/>
              <w:iCs w:val="0"/>
              <w:noProof/>
              <w:szCs w:val="22"/>
              <w:lang w:eastAsia="en-GB"/>
            </w:rPr>
          </w:pPr>
          <w:hyperlink w:anchor="_Toc69129419" w:history="1">
            <w:r w:rsidR="00D332DB" w:rsidRPr="0032584B">
              <w:rPr>
                <w:rStyle w:val="Hyperlink"/>
                <w:noProof/>
              </w:rPr>
              <w:t>4.3.6</w:t>
            </w:r>
            <w:r w:rsidR="00D332DB">
              <w:rPr>
                <w:rFonts w:eastAsiaTheme="minorEastAsia"/>
                <w:iCs w:val="0"/>
                <w:noProof/>
                <w:szCs w:val="22"/>
                <w:lang w:eastAsia="en-GB"/>
              </w:rPr>
              <w:tab/>
            </w:r>
            <w:r w:rsidR="00D332DB" w:rsidRPr="0032584B">
              <w:rPr>
                <w:rStyle w:val="Hyperlink"/>
                <w:noProof/>
              </w:rPr>
              <w:t>Electrochemical Performance</w:t>
            </w:r>
            <w:r w:rsidR="00D332DB">
              <w:rPr>
                <w:noProof/>
                <w:webHidden/>
              </w:rPr>
              <w:tab/>
            </w:r>
            <w:r w:rsidR="00D332DB">
              <w:rPr>
                <w:noProof/>
                <w:webHidden/>
              </w:rPr>
              <w:fldChar w:fldCharType="begin"/>
            </w:r>
            <w:r w:rsidR="00D332DB">
              <w:rPr>
                <w:noProof/>
                <w:webHidden/>
              </w:rPr>
              <w:instrText xml:space="preserve"> PAGEREF _Toc69129419 \h </w:instrText>
            </w:r>
            <w:r w:rsidR="00D332DB">
              <w:rPr>
                <w:noProof/>
                <w:webHidden/>
              </w:rPr>
            </w:r>
            <w:r w:rsidR="00D332DB">
              <w:rPr>
                <w:noProof/>
                <w:webHidden/>
              </w:rPr>
              <w:fldChar w:fldCharType="separate"/>
            </w:r>
            <w:r w:rsidR="00D332DB">
              <w:rPr>
                <w:noProof/>
                <w:webHidden/>
              </w:rPr>
              <w:t>117</w:t>
            </w:r>
            <w:r w:rsidR="00D332DB">
              <w:rPr>
                <w:noProof/>
                <w:webHidden/>
              </w:rPr>
              <w:fldChar w:fldCharType="end"/>
            </w:r>
          </w:hyperlink>
        </w:p>
        <w:p w14:paraId="4CC84D07" w14:textId="7D9251AF" w:rsidR="00D332DB" w:rsidRDefault="00B51F53">
          <w:pPr>
            <w:pStyle w:val="TOC3"/>
            <w:tabs>
              <w:tab w:val="right" w:leader="dot" w:pos="9016"/>
            </w:tabs>
            <w:rPr>
              <w:rFonts w:eastAsiaTheme="minorEastAsia"/>
              <w:noProof/>
              <w:lang w:eastAsia="en-GB"/>
            </w:rPr>
          </w:pPr>
          <w:hyperlink w:anchor="_Toc69129420" w:history="1">
            <w:r w:rsidR="00D332DB" w:rsidRPr="0032584B">
              <w:rPr>
                <w:rStyle w:val="Hyperlink"/>
                <w:noProof/>
              </w:rPr>
              <w:t>4.3.6.1 Electrical Impedance Spectroscopy</w:t>
            </w:r>
            <w:r w:rsidR="00D332DB">
              <w:rPr>
                <w:noProof/>
                <w:webHidden/>
              </w:rPr>
              <w:tab/>
            </w:r>
            <w:r w:rsidR="00D332DB">
              <w:rPr>
                <w:noProof/>
                <w:webHidden/>
              </w:rPr>
              <w:fldChar w:fldCharType="begin"/>
            </w:r>
            <w:r w:rsidR="00D332DB">
              <w:rPr>
                <w:noProof/>
                <w:webHidden/>
              </w:rPr>
              <w:instrText xml:space="preserve"> PAGEREF _Toc69129420 \h </w:instrText>
            </w:r>
            <w:r w:rsidR="00D332DB">
              <w:rPr>
                <w:noProof/>
                <w:webHidden/>
              </w:rPr>
            </w:r>
            <w:r w:rsidR="00D332DB">
              <w:rPr>
                <w:noProof/>
                <w:webHidden/>
              </w:rPr>
              <w:fldChar w:fldCharType="separate"/>
            </w:r>
            <w:r w:rsidR="00D332DB">
              <w:rPr>
                <w:noProof/>
                <w:webHidden/>
              </w:rPr>
              <w:t>117</w:t>
            </w:r>
            <w:r w:rsidR="00D332DB">
              <w:rPr>
                <w:noProof/>
                <w:webHidden/>
              </w:rPr>
              <w:fldChar w:fldCharType="end"/>
            </w:r>
          </w:hyperlink>
        </w:p>
        <w:p w14:paraId="3B3FE5FA" w14:textId="7C079A82" w:rsidR="00D332DB" w:rsidRDefault="00B51F53">
          <w:pPr>
            <w:pStyle w:val="TOC3"/>
            <w:tabs>
              <w:tab w:val="left" w:pos="1320"/>
              <w:tab w:val="right" w:leader="dot" w:pos="9016"/>
            </w:tabs>
            <w:rPr>
              <w:rFonts w:eastAsiaTheme="minorEastAsia"/>
              <w:noProof/>
              <w:lang w:eastAsia="en-GB"/>
            </w:rPr>
          </w:pPr>
          <w:hyperlink w:anchor="_Toc69129421" w:history="1">
            <w:r w:rsidR="00D332DB" w:rsidRPr="0032584B">
              <w:rPr>
                <w:rStyle w:val="Hyperlink"/>
                <w:noProof/>
              </w:rPr>
              <w:t>4.3.6.2</w:t>
            </w:r>
            <w:r w:rsidR="00D332DB">
              <w:rPr>
                <w:rFonts w:eastAsiaTheme="minorEastAsia"/>
                <w:noProof/>
                <w:lang w:eastAsia="en-GB"/>
              </w:rPr>
              <w:tab/>
            </w:r>
            <w:r w:rsidR="00D332DB" w:rsidRPr="0032584B">
              <w:rPr>
                <w:rStyle w:val="Hyperlink"/>
                <w:noProof/>
              </w:rPr>
              <w:t>Equivalent Circuit Fitting</w:t>
            </w:r>
            <w:r w:rsidR="00D332DB">
              <w:rPr>
                <w:noProof/>
                <w:webHidden/>
              </w:rPr>
              <w:tab/>
            </w:r>
            <w:r w:rsidR="00D332DB">
              <w:rPr>
                <w:noProof/>
                <w:webHidden/>
              </w:rPr>
              <w:fldChar w:fldCharType="begin"/>
            </w:r>
            <w:r w:rsidR="00D332DB">
              <w:rPr>
                <w:noProof/>
                <w:webHidden/>
              </w:rPr>
              <w:instrText xml:space="preserve"> PAGEREF _Toc69129421 \h </w:instrText>
            </w:r>
            <w:r w:rsidR="00D332DB">
              <w:rPr>
                <w:noProof/>
                <w:webHidden/>
              </w:rPr>
            </w:r>
            <w:r w:rsidR="00D332DB">
              <w:rPr>
                <w:noProof/>
                <w:webHidden/>
              </w:rPr>
              <w:fldChar w:fldCharType="separate"/>
            </w:r>
            <w:r w:rsidR="00D332DB">
              <w:rPr>
                <w:noProof/>
                <w:webHidden/>
              </w:rPr>
              <w:t>123</w:t>
            </w:r>
            <w:r w:rsidR="00D332DB">
              <w:rPr>
                <w:noProof/>
                <w:webHidden/>
              </w:rPr>
              <w:fldChar w:fldCharType="end"/>
            </w:r>
          </w:hyperlink>
        </w:p>
        <w:p w14:paraId="1D6678E5" w14:textId="52FE43BE" w:rsidR="00D332DB" w:rsidRDefault="00B51F53">
          <w:pPr>
            <w:pStyle w:val="TOC1"/>
            <w:tabs>
              <w:tab w:val="left" w:pos="660"/>
            </w:tabs>
            <w:rPr>
              <w:rFonts w:asciiTheme="minorHAnsi" w:eastAsiaTheme="minorEastAsia" w:hAnsiTheme="minorHAnsi" w:cstheme="minorBidi"/>
              <w:sz w:val="22"/>
              <w:szCs w:val="22"/>
              <w:lang w:eastAsia="en-GB"/>
            </w:rPr>
          </w:pPr>
          <w:hyperlink w:anchor="_Toc69129422" w:history="1">
            <w:r w:rsidR="00D332DB" w:rsidRPr="0032584B">
              <w:rPr>
                <w:rStyle w:val="Hyperlink"/>
              </w:rPr>
              <w:t>4.4</w:t>
            </w:r>
            <w:r w:rsidR="00D332DB">
              <w:rPr>
                <w:rFonts w:asciiTheme="minorHAnsi" w:eastAsiaTheme="minorEastAsia" w:hAnsiTheme="minorHAnsi" w:cstheme="minorBidi"/>
                <w:sz w:val="22"/>
                <w:szCs w:val="22"/>
                <w:lang w:eastAsia="en-GB"/>
              </w:rPr>
              <w:tab/>
            </w:r>
            <w:r w:rsidR="00D332DB" w:rsidRPr="0032584B">
              <w:rPr>
                <w:rStyle w:val="Hyperlink"/>
              </w:rPr>
              <w:t>Discussion</w:t>
            </w:r>
            <w:r w:rsidR="00D332DB">
              <w:rPr>
                <w:webHidden/>
              </w:rPr>
              <w:tab/>
            </w:r>
            <w:r w:rsidR="00D332DB">
              <w:rPr>
                <w:webHidden/>
              </w:rPr>
              <w:fldChar w:fldCharType="begin"/>
            </w:r>
            <w:r w:rsidR="00D332DB">
              <w:rPr>
                <w:webHidden/>
              </w:rPr>
              <w:instrText xml:space="preserve"> PAGEREF _Toc69129422 \h </w:instrText>
            </w:r>
            <w:r w:rsidR="00D332DB">
              <w:rPr>
                <w:webHidden/>
              </w:rPr>
            </w:r>
            <w:r w:rsidR="00D332DB">
              <w:rPr>
                <w:webHidden/>
              </w:rPr>
              <w:fldChar w:fldCharType="separate"/>
            </w:r>
            <w:r w:rsidR="00D332DB">
              <w:rPr>
                <w:webHidden/>
              </w:rPr>
              <w:t>129</w:t>
            </w:r>
            <w:r w:rsidR="00D332DB">
              <w:rPr>
                <w:webHidden/>
              </w:rPr>
              <w:fldChar w:fldCharType="end"/>
            </w:r>
          </w:hyperlink>
        </w:p>
        <w:p w14:paraId="7F38B132" w14:textId="67545F2F" w:rsidR="00D332DB" w:rsidRDefault="00B51F53">
          <w:pPr>
            <w:pStyle w:val="TOC1"/>
            <w:tabs>
              <w:tab w:val="left" w:pos="660"/>
            </w:tabs>
            <w:rPr>
              <w:rFonts w:asciiTheme="minorHAnsi" w:eastAsiaTheme="minorEastAsia" w:hAnsiTheme="minorHAnsi" w:cstheme="minorBidi"/>
              <w:sz w:val="22"/>
              <w:szCs w:val="22"/>
              <w:lang w:eastAsia="en-GB"/>
            </w:rPr>
          </w:pPr>
          <w:hyperlink w:anchor="_Toc69129423" w:history="1">
            <w:r w:rsidR="00D332DB" w:rsidRPr="0032584B">
              <w:rPr>
                <w:rStyle w:val="Hyperlink"/>
              </w:rPr>
              <w:t>4.5</w:t>
            </w:r>
            <w:r w:rsidR="00D332DB">
              <w:rPr>
                <w:rFonts w:asciiTheme="minorHAnsi" w:eastAsiaTheme="minorEastAsia" w:hAnsiTheme="minorHAnsi" w:cstheme="minorBidi"/>
                <w:sz w:val="22"/>
                <w:szCs w:val="22"/>
                <w:lang w:eastAsia="en-GB"/>
              </w:rPr>
              <w:tab/>
            </w:r>
            <w:r w:rsidR="00D332DB" w:rsidRPr="0032584B">
              <w:rPr>
                <w:rStyle w:val="Hyperlink"/>
              </w:rPr>
              <w:t>Conclusions</w:t>
            </w:r>
            <w:r w:rsidR="00D332DB">
              <w:rPr>
                <w:webHidden/>
              </w:rPr>
              <w:tab/>
            </w:r>
            <w:r w:rsidR="00D332DB">
              <w:rPr>
                <w:webHidden/>
              </w:rPr>
              <w:fldChar w:fldCharType="begin"/>
            </w:r>
            <w:r w:rsidR="00D332DB">
              <w:rPr>
                <w:webHidden/>
              </w:rPr>
              <w:instrText xml:space="preserve"> PAGEREF _Toc69129423 \h </w:instrText>
            </w:r>
            <w:r w:rsidR="00D332DB">
              <w:rPr>
                <w:webHidden/>
              </w:rPr>
            </w:r>
            <w:r w:rsidR="00D332DB">
              <w:rPr>
                <w:webHidden/>
              </w:rPr>
              <w:fldChar w:fldCharType="separate"/>
            </w:r>
            <w:r w:rsidR="00D332DB">
              <w:rPr>
                <w:webHidden/>
              </w:rPr>
              <w:t>134</w:t>
            </w:r>
            <w:r w:rsidR="00D332DB">
              <w:rPr>
                <w:webHidden/>
              </w:rPr>
              <w:fldChar w:fldCharType="end"/>
            </w:r>
          </w:hyperlink>
        </w:p>
        <w:p w14:paraId="3CF2BA5C" w14:textId="609E8D07" w:rsidR="00D332DB" w:rsidRDefault="00B51F53">
          <w:pPr>
            <w:pStyle w:val="TOC1"/>
            <w:rPr>
              <w:rFonts w:asciiTheme="minorHAnsi" w:eastAsiaTheme="minorEastAsia" w:hAnsiTheme="minorHAnsi" w:cstheme="minorBidi"/>
              <w:sz w:val="22"/>
              <w:szCs w:val="22"/>
              <w:lang w:eastAsia="en-GB"/>
            </w:rPr>
          </w:pPr>
          <w:hyperlink w:anchor="_Toc69129424" w:history="1">
            <w:r w:rsidR="00D332DB" w:rsidRPr="0032584B">
              <w:rPr>
                <w:rStyle w:val="Hyperlink"/>
              </w:rPr>
              <w:t>Chapter 5: Assessing the Impact of Current Collector Degradation on the initial Electrochemical Performance of infiltrated Solid Oxide Cells</w:t>
            </w:r>
            <w:r w:rsidR="00D332DB">
              <w:rPr>
                <w:webHidden/>
              </w:rPr>
              <w:tab/>
            </w:r>
            <w:r w:rsidR="00D332DB">
              <w:rPr>
                <w:webHidden/>
              </w:rPr>
              <w:fldChar w:fldCharType="begin"/>
            </w:r>
            <w:r w:rsidR="00D332DB">
              <w:rPr>
                <w:webHidden/>
              </w:rPr>
              <w:instrText xml:space="preserve"> PAGEREF _Toc69129424 \h </w:instrText>
            </w:r>
            <w:r w:rsidR="00D332DB">
              <w:rPr>
                <w:webHidden/>
              </w:rPr>
            </w:r>
            <w:r w:rsidR="00D332DB">
              <w:rPr>
                <w:webHidden/>
              </w:rPr>
              <w:fldChar w:fldCharType="separate"/>
            </w:r>
            <w:r w:rsidR="00D332DB">
              <w:rPr>
                <w:webHidden/>
              </w:rPr>
              <w:t>135</w:t>
            </w:r>
            <w:r w:rsidR="00D332DB">
              <w:rPr>
                <w:webHidden/>
              </w:rPr>
              <w:fldChar w:fldCharType="end"/>
            </w:r>
          </w:hyperlink>
        </w:p>
        <w:p w14:paraId="46E4242D" w14:textId="669D3C49" w:rsidR="00D332DB" w:rsidRDefault="00B51F53">
          <w:pPr>
            <w:pStyle w:val="TOC1"/>
            <w:tabs>
              <w:tab w:val="left" w:pos="660"/>
            </w:tabs>
            <w:rPr>
              <w:rFonts w:asciiTheme="minorHAnsi" w:eastAsiaTheme="minorEastAsia" w:hAnsiTheme="minorHAnsi" w:cstheme="minorBidi"/>
              <w:sz w:val="22"/>
              <w:szCs w:val="22"/>
              <w:lang w:eastAsia="en-GB"/>
            </w:rPr>
          </w:pPr>
          <w:hyperlink w:anchor="_Toc69129425" w:history="1">
            <w:r w:rsidR="00D332DB" w:rsidRPr="0032584B">
              <w:rPr>
                <w:rStyle w:val="Hyperlink"/>
              </w:rPr>
              <w:t>5.1</w:t>
            </w:r>
            <w:r w:rsidR="00D332DB">
              <w:rPr>
                <w:rFonts w:asciiTheme="minorHAnsi" w:eastAsiaTheme="minorEastAsia" w:hAnsiTheme="minorHAnsi" w:cstheme="minorBidi"/>
                <w:sz w:val="22"/>
                <w:szCs w:val="22"/>
                <w:lang w:eastAsia="en-GB"/>
              </w:rPr>
              <w:tab/>
            </w:r>
            <w:r w:rsidR="00D332DB" w:rsidRPr="0032584B">
              <w:rPr>
                <w:rStyle w:val="Hyperlink"/>
              </w:rPr>
              <w:t>Introduction</w:t>
            </w:r>
            <w:r w:rsidR="00D332DB">
              <w:rPr>
                <w:webHidden/>
              </w:rPr>
              <w:tab/>
            </w:r>
            <w:r w:rsidR="00D332DB">
              <w:rPr>
                <w:webHidden/>
              </w:rPr>
              <w:fldChar w:fldCharType="begin"/>
            </w:r>
            <w:r w:rsidR="00D332DB">
              <w:rPr>
                <w:webHidden/>
              </w:rPr>
              <w:instrText xml:space="preserve"> PAGEREF _Toc69129425 \h </w:instrText>
            </w:r>
            <w:r w:rsidR="00D332DB">
              <w:rPr>
                <w:webHidden/>
              </w:rPr>
            </w:r>
            <w:r w:rsidR="00D332DB">
              <w:rPr>
                <w:webHidden/>
              </w:rPr>
              <w:fldChar w:fldCharType="separate"/>
            </w:r>
            <w:r w:rsidR="00D332DB">
              <w:rPr>
                <w:webHidden/>
              </w:rPr>
              <w:t>135</w:t>
            </w:r>
            <w:r w:rsidR="00D332DB">
              <w:rPr>
                <w:webHidden/>
              </w:rPr>
              <w:fldChar w:fldCharType="end"/>
            </w:r>
          </w:hyperlink>
        </w:p>
        <w:p w14:paraId="394CBA80" w14:textId="6FF6E3B0" w:rsidR="00D332DB" w:rsidRDefault="00B51F53">
          <w:pPr>
            <w:pStyle w:val="TOC2"/>
            <w:tabs>
              <w:tab w:val="left" w:pos="880"/>
              <w:tab w:val="right" w:leader="dot" w:pos="9016"/>
            </w:tabs>
            <w:rPr>
              <w:rFonts w:eastAsiaTheme="minorEastAsia"/>
              <w:iCs w:val="0"/>
              <w:noProof/>
              <w:szCs w:val="22"/>
              <w:lang w:eastAsia="en-GB"/>
            </w:rPr>
          </w:pPr>
          <w:hyperlink w:anchor="_Toc69129426" w:history="1">
            <w:r w:rsidR="00D332DB" w:rsidRPr="0032584B">
              <w:rPr>
                <w:rStyle w:val="Hyperlink"/>
                <w:noProof/>
              </w:rPr>
              <w:t>5.1.1</w:t>
            </w:r>
            <w:r w:rsidR="00D332DB">
              <w:rPr>
                <w:rFonts w:eastAsiaTheme="minorEastAsia"/>
                <w:iCs w:val="0"/>
                <w:noProof/>
                <w:szCs w:val="22"/>
                <w:lang w:eastAsia="en-GB"/>
              </w:rPr>
              <w:tab/>
            </w:r>
            <w:r w:rsidR="00D332DB" w:rsidRPr="0032584B">
              <w:rPr>
                <w:rStyle w:val="Hyperlink"/>
                <w:noProof/>
              </w:rPr>
              <w:t>Chapter Aims</w:t>
            </w:r>
            <w:r w:rsidR="00D332DB">
              <w:rPr>
                <w:noProof/>
                <w:webHidden/>
              </w:rPr>
              <w:tab/>
            </w:r>
            <w:r w:rsidR="00D332DB">
              <w:rPr>
                <w:noProof/>
                <w:webHidden/>
              </w:rPr>
              <w:fldChar w:fldCharType="begin"/>
            </w:r>
            <w:r w:rsidR="00D332DB">
              <w:rPr>
                <w:noProof/>
                <w:webHidden/>
              </w:rPr>
              <w:instrText xml:space="preserve"> PAGEREF _Toc69129426 \h </w:instrText>
            </w:r>
            <w:r w:rsidR="00D332DB">
              <w:rPr>
                <w:noProof/>
                <w:webHidden/>
              </w:rPr>
            </w:r>
            <w:r w:rsidR="00D332DB">
              <w:rPr>
                <w:noProof/>
                <w:webHidden/>
              </w:rPr>
              <w:fldChar w:fldCharType="separate"/>
            </w:r>
            <w:r w:rsidR="00D332DB">
              <w:rPr>
                <w:noProof/>
                <w:webHidden/>
              </w:rPr>
              <w:t>135</w:t>
            </w:r>
            <w:r w:rsidR="00D332DB">
              <w:rPr>
                <w:noProof/>
                <w:webHidden/>
              </w:rPr>
              <w:fldChar w:fldCharType="end"/>
            </w:r>
          </w:hyperlink>
        </w:p>
        <w:p w14:paraId="4F9B8668" w14:textId="0085E423" w:rsidR="00D332DB" w:rsidRDefault="00B51F53">
          <w:pPr>
            <w:pStyle w:val="TOC2"/>
            <w:tabs>
              <w:tab w:val="left" w:pos="880"/>
              <w:tab w:val="right" w:leader="dot" w:pos="9016"/>
            </w:tabs>
            <w:rPr>
              <w:rFonts w:eastAsiaTheme="minorEastAsia"/>
              <w:iCs w:val="0"/>
              <w:noProof/>
              <w:szCs w:val="22"/>
              <w:lang w:eastAsia="en-GB"/>
            </w:rPr>
          </w:pPr>
          <w:hyperlink w:anchor="_Toc69129427" w:history="1">
            <w:r w:rsidR="00D332DB" w:rsidRPr="0032584B">
              <w:rPr>
                <w:rStyle w:val="Hyperlink"/>
                <w:noProof/>
              </w:rPr>
              <w:t>5.1.2</w:t>
            </w:r>
            <w:r w:rsidR="00D332DB">
              <w:rPr>
                <w:rFonts w:eastAsiaTheme="minorEastAsia"/>
                <w:iCs w:val="0"/>
                <w:noProof/>
                <w:szCs w:val="22"/>
                <w:lang w:eastAsia="en-GB"/>
              </w:rPr>
              <w:tab/>
            </w:r>
            <w:r w:rsidR="00D332DB" w:rsidRPr="0032584B">
              <w:rPr>
                <w:rStyle w:val="Hyperlink"/>
                <w:noProof/>
              </w:rPr>
              <w:t>Hypotheses</w:t>
            </w:r>
            <w:r w:rsidR="00D332DB">
              <w:rPr>
                <w:noProof/>
                <w:webHidden/>
              </w:rPr>
              <w:tab/>
            </w:r>
            <w:r w:rsidR="00D332DB">
              <w:rPr>
                <w:noProof/>
                <w:webHidden/>
              </w:rPr>
              <w:fldChar w:fldCharType="begin"/>
            </w:r>
            <w:r w:rsidR="00D332DB">
              <w:rPr>
                <w:noProof/>
                <w:webHidden/>
              </w:rPr>
              <w:instrText xml:space="preserve"> PAGEREF _Toc69129427 \h </w:instrText>
            </w:r>
            <w:r w:rsidR="00D332DB">
              <w:rPr>
                <w:noProof/>
                <w:webHidden/>
              </w:rPr>
            </w:r>
            <w:r w:rsidR="00D332DB">
              <w:rPr>
                <w:noProof/>
                <w:webHidden/>
              </w:rPr>
              <w:fldChar w:fldCharType="separate"/>
            </w:r>
            <w:r w:rsidR="00D332DB">
              <w:rPr>
                <w:noProof/>
                <w:webHidden/>
              </w:rPr>
              <w:t>135</w:t>
            </w:r>
            <w:r w:rsidR="00D332DB">
              <w:rPr>
                <w:noProof/>
                <w:webHidden/>
              </w:rPr>
              <w:fldChar w:fldCharType="end"/>
            </w:r>
          </w:hyperlink>
        </w:p>
        <w:p w14:paraId="1C802FAE" w14:textId="413AA5EE" w:rsidR="00D332DB" w:rsidRDefault="00B51F53">
          <w:pPr>
            <w:pStyle w:val="TOC1"/>
            <w:tabs>
              <w:tab w:val="left" w:pos="660"/>
            </w:tabs>
            <w:rPr>
              <w:rFonts w:asciiTheme="minorHAnsi" w:eastAsiaTheme="minorEastAsia" w:hAnsiTheme="minorHAnsi" w:cstheme="minorBidi"/>
              <w:sz w:val="22"/>
              <w:szCs w:val="22"/>
              <w:lang w:eastAsia="en-GB"/>
            </w:rPr>
          </w:pPr>
          <w:hyperlink w:anchor="_Toc69129428" w:history="1">
            <w:r w:rsidR="00D332DB" w:rsidRPr="0032584B">
              <w:rPr>
                <w:rStyle w:val="Hyperlink"/>
              </w:rPr>
              <w:t>5.2</w:t>
            </w:r>
            <w:r w:rsidR="00D332DB">
              <w:rPr>
                <w:rFonts w:asciiTheme="minorHAnsi" w:eastAsiaTheme="minorEastAsia" w:hAnsiTheme="minorHAnsi" w:cstheme="minorBidi"/>
                <w:sz w:val="22"/>
                <w:szCs w:val="22"/>
                <w:lang w:eastAsia="en-GB"/>
              </w:rPr>
              <w:tab/>
            </w:r>
            <w:r w:rsidR="00D332DB" w:rsidRPr="0032584B">
              <w:rPr>
                <w:rStyle w:val="Hyperlink"/>
              </w:rPr>
              <w:t>Experimental Procedure Overview</w:t>
            </w:r>
            <w:r w:rsidR="00D332DB">
              <w:rPr>
                <w:webHidden/>
              </w:rPr>
              <w:tab/>
            </w:r>
            <w:r w:rsidR="00D332DB">
              <w:rPr>
                <w:webHidden/>
              </w:rPr>
              <w:fldChar w:fldCharType="begin"/>
            </w:r>
            <w:r w:rsidR="00D332DB">
              <w:rPr>
                <w:webHidden/>
              </w:rPr>
              <w:instrText xml:space="preserve"> PAGEREF _Toc69129428 \h </w:instrText>
            </w:r>
            <w:r w:rsidR="00D332DB">
              <w:rPr>
                <w:webHidden/>
              </w:rPr>
            </w:r>
            <w:r w:rsidR="00D332DB">
              <w:rPr>
                <w:webHidden/>
              </w:rPr>
              <w:fldChar w:fldCharType="separate"/>
            </w:r>
            <w:r w:rsidR="00D332DB">
              <w:rPr>
                <w:webHidden/>
              </w:rPr>
              <w:t>135</w:t>
            </w:r>
            <w:r w:rsidR="00D332DB">
              <w:rPr>
                <w:webHidden/>
              </w:rPr>
              <w:fldChar w:fldCharType="end"/>
            </w:r>
          </w:hyperlink>
        </w:p>
        <w:p w14:paraId="7CB1EF43" w14:textId="55F475E7" w:rsidR="00D332DB" w:rsidRDefault="00B51F53">
          <w:pPr>
            <w:pStyle w:val="TOC2"/>
            <w:tabs>
              <w:tab w:val="right" w:leader="dot" w:pos="9016"/>
            </w:tabs>
            <w:rPr>
              <w:rFonts w:eastAsiaTheme="minorEastAsia"/>
              <w:iCs w:val="0"/>
              <w:noProof/>
              <w:szCs w:val="22"/>
              <w:lang w:eastAsia="en-GB"/>
            </w:rPr>
          </w:pPr>
          <w:hyperlink w:anchor="_Toc69129429" w:history="1">
            <w:r w:rsidR="00D332DB" w:rsidRPr="0032584B">
              <w:rPr>
                <w:rStyle w:val="Hyperlink"/>
                <w:noProof/>
              </w:rPr>
              <w:t>5.2.1 Sample Preparation</w:t>
            </w:r>
            <w:r w:rsidR="00D332DB">
              <w:rPr>
                <w:noProof/>
                <w:webHidden/>
              </w:rPr>
              <w:tab/>
            </w:r>
            <w:r w:rsidR="00D332DB">
              <w:rPr>
                <w:noProof/>
                <w:webHidden/>
              </w:rPr>
              <w:fldChar w:fldCharType="begin"/>
            </w:r>
            <w:r w:rsidR="00D332DB">
              <w:rPr>
                <w:noProof/>
                <w:webHidden/>
              </w:rPr>
              <w:instrText xml:space="preserve"> PAGEREF _Toc69129429 \h </w:instrText>
            </w:r>
            <w:r w:rsidR="00D332DB">
              <w:rPr>
                <w:noProof/>
                <w:webHidden/>
              </w:rPr>
            </w:r>
            <w:r w:rsidR="00D332DB">
              <w:rPr>
                <w:noProof/>
                <w:webHidden/>
              </w:rPr>
              <w:fldChar w:fldCharType="separate"/>
            </w:r>
            <w:r w:rsidR="00D332DB">
              <w:rPr>
                <w:noProof/>
                <w:webHidden/>
              </w:rPr>
              <w:t>135</w:t>
            </w:r>
            <w:r w:rsidR="00D332DB">
              <w:rPr>
                <w:noProof/>
                <w:webHidden/>
              </w:rPr>
              <w:fldChar w:fldCharType="end"/>
            </w:r>
          </w:hyperlink>
        </w:p>
        <w:p w14:paraId="5134E15D" w14:textId="743B76D2" w:rsidR="00D332DB" w:rsidRDefault="00B51F53">
          <w:pPr>
            <w:pStyle w:val="TOC3"/>
            <w:tabs>
              <w:tab w:val="right" w:leader="dot" w:pos="9016"/>
            </w:tabs>
            <w:rPr>
              <w:rFonts w:eastAsiaTheme="minorEastAsia"/>
              <w:noProof/>
              <w:lang w:eastAsia="en-GB"/>
            </w:rPr>
          </w:pPr>
          <w:hyperlink w:anchor="_Toc69129430" w:history="1">
            <w:r w:rsidR="00D332DB" w:rsidRPr="0032584B">
              <w:rPr>
                <w:rStyle w:val="Hyperlink"/>
                <w:noProof/>
              </w:rPr>
              <w:t>5.2.1.1 Current Collector Application</w:t>
            </w:r>
            <w:r w:rsidR="00D332DB">
              <w:rPr>
                <w:noProof/>
                <w:webHidden/>
              </w:rPr>
              <w:tab/>
            </w:r>
            <w:r w:rsidR="00D332DB">
              <w:rPr>
                <w:noProof/>
                <w:webHidden/>
              </w:rPr>
              <w:fldChar w:fldCharType="begin"/>
            </w:r>
            <w:r w:rsidR="00D332DB">
              <w:rPr>
                <w:noProof/>
                <w:webHidden/>
              </w:rPr>
              <w:instrText xml:space="preserve"> PAGEREF _Toc69129430 \h </w:instrText>
            </w:r>
            <w:r w:rsidR="00D332DB">
              <w:rPr>
                <w:noProof/>
                <w:webHidden/>
              </w:rPr>
            </w:r>
            <w:r w:rsidR="00D332DB">
              <w:rPr>
                <w:noProof/>
                <w:webHidden/>
              </w:rPr>
              <w:fldChar w:fldCharType="separate"/>
            </w:r>
            <w:r w:rsidR="00D332DB">
              <w:rPr>
                <w:noProof/>
                <w:webHidden/>
              </w:rPr>
              <w:t>136</w:t>
            </w:r>
            <w:r w:rsidR="00D332DB">
              <w:rPr>
                <w:noProof/>
                <w:webHidden/>
              </w:rPr>
              <w:fldChar w:fldCharType="end"/>
            </w:r>
          </w:hyperlink>
        </w:p>
        <w:p w14:paraId="74B688B8" w14:textId="14287C6C" w:rsidR="00D332DB" w:rsidRDefault="00B51F53">
          <w:pPr>
            <w:pStyle w:val="TOC2"/>
            <w:tabs>
              <w:tab w:val="right" w:leader="dot" w:pos="9016"/>
            </w:tabs>
            <w:rPr>
              <w:rFonts w:eastAsiaTheme="minorEastAsia"/>
              <w:iCs w:val="0"/>
              <w:noProof/>
              <w:szCs w:val="22"/>
              <w:lang w:eastAsia="en-GB"/>
            </w:rPr>
          </w:pPr>
          <w:hyperlink w:anchor="_Toc69129431" w:history="1">
            <w:r w:rsidR="00D332DB" w:rsidRPr="0032584B">
              <w:rPr>
                <w:rStyle w:val="Hyperlink"/>
                <w:noProof/>
              </w:rPr>
              <w:t>5.2.2 Characterisation</w:t>
            </w:r>
            <w:r w:rsidR="00D332DB">
              <w:rPr>
                <w:noProof/>
                <w:webHidden/>
              </w:rPr>
              <w:tab/>
            </w:r>
            <w:r w:rsidR="00D332DB">
              <w:rPr>
                <w:noProof/>
                <w:webHidden/>
              </w:rPr>
              <w:fldChar w:fldCharType="begin"/>
            </w:r>
            <w:r w:rsidR="00D332DB">
              <w:rPr>
                <w:noProof/>
                <w:webHidden/>
              </w:rPr>
              <w:instrText xml:space="preserve"> PAGEREF _Toc69129431 \h </w:instrText>
            </w:r>
            <w:r w:rsidR="00D332DB">
              <w:rPr>
                <w:noProof/>
                <w:webHidden/>
              </w:rPr>
            </w:r>
            <w:r w:rsidR="00D332DB">
              <w:rPr>
                <w:noProof/>
                <w:webHidden/>
              </w:rPr>
              <w:fldChar w:fldCharType="separate"/>
            </w:r>
            <w:r w:rsidR="00D332DB">
              <w:rPr>
                <w:noProof/>
                <w:webHidden/>
              </w:rPr>
              <w:t>136</w:t>
            </w:r>
            <w:r w:rsidR="00D332DB">
              <w:rPr>
                <w:noProof/>
                <w:webHidden/>
              </w:rPr>
              <w:fldChar w:fldCharType="end"/>
            </w:r>
          </w:hyperlink>
        </w:p>
        <w:p w14:paraId="19A7F62E" w14:textId="294BE25C" w:rsidR="00D332DB" w:rsidRDefault="00B51F53">
          <w:pPr>
            <w:pStyle w:val="TOC1"/>
            <w:tabs>
              <w:tab w:val="left" w:pos="660"/>
            </w:tabs>
            <w:rPr>
              <w:rFonts w:asciiTheme="minorHAnsi" w:eastAsiaTheme="minorEastAsia" w:hAnsiTheme="minorHAnsi" w:cstheme="minorBidi"/>
              <w:sz w:val="22"/>
              <w:szCs w:val="22"/>
              <w:lang w:eastAsia="en-GB"/>
            </w:rPr>
          </w:pPr>
          <w:hyperlink w:anchor="_Toc69129432" w:history="1">
            <w:r w:rsidR="00D332DB" w:rsidRPr="0032584B">
              <w:rPr>
                <w:rStyle w:val="Hyperlink"/>
              </w:rPr>
              <w:t>5.3</w:t>
            </w:r>
            <w:r w:rsidR="00D332DB">
              <w:rPr>
                <w:rFonts w:asciiTheme="minorHAnsi" w:eastAsiaTheme="minorEastAsia" w:hAnsiTheme="minorHAnsi" w:cstheme="minorBidi"/>
                <w:sz w:val="22"/>
                <w:szCs w:val="22"/>
                <w:lang w:eastAsia="en-GB"/>
              </w:rPr>
              <w:tab/>
            </w:r>
            <w:r w:rsidR="00D332DB" w:rsidRPr="0032584B">
              <w:rPr>
                <w:rStyle w:val="Hyperlink"/>
              </w:rPr>
              <w:t>Results</w:t>
            </w:r>
            <w:r w:rsidR="00D332DB">
              <w:rPr>
                <w:webHidden/>
              </w:rPr>
              <w:tab/>
            </w:r>
            <w:r w:rsidR="00D332DB">
              <w:rPr>
                <w:webHidden/>
              </w:rPr>
              <w:fldChar w:fldCharType="begin"/>
            </w:r>
            <w:r w:rsidR="00D332DB">
              <w:rPr>
                <w:webHidden/>
              </w:rPr>
              <w:instrText xml:space="preserve"> PAGEREF _Toc69129432 \h </w:instrText>
            </w:r>
            <w:r w:rsidR="00D332DB">
              <w:rPr>
                <w:webHidden/>
              </w:rPr>
            </w:r>
            <w:r w:rsidR="00D332DB">
              <w:rPr>
                <w:webHidden/>
              </w:rPr>
              <w:fldChar w:fldCharType="separate"/>
            </w:r>
            <w:r w:rsidR="00D332DB">
              <w:rPr>
                <w:webHidden/>
              </w:rPr>
              <w:t>137</w:t>
            </w:r>
            <w:r w:rsidR="00D332DB">
              <w:rPr>
                <w:webHidden/>
              </w:rPr>
              <w:fldChar w:fldCharType="end"/>
            </w:r>
          </w:hyperlink>
        </w:p>
        <w:p w14:paraId="5B9BF596" w14:textId="34199B0E" w:rsidR="00D332DB" w:rsidRDefault="00B51F53">
          <w:pPr>
            <w:pStyle w:val="TOC3"/>
            <w:tabs>
              <w:tab w:val="right" w:leader="dot" w:pos="9016"/>
            </w:tabs>
            <w:rPr>
              <w:rFonts w:eastAsiaTheme="minorEastAsia"/>
              <w:noProof/>
              <w:lang w:eastAsia="en-GB"/>
            </w:rPr>
          </w:pPr>
          <w:hyperlink w:anchor="_Toc69129433" w:history="1">
            <w:r w:rsidR="00D332DB" w:rsidRPr="0032584B">
              <w:rPr>
                <w:rStyle w:val="Hyperlink"/>
                <w:noProof/>
              </w:rPr>
              <w:t>5.3.1 Macroscopic Degradation and Current Collector Delamination</w:t>
            </w:r>
            <w:r w:rsidR="00D332DB">
              <w:rPr>
                <w:noProof/>
                <w:webHidden/>
              </w:rPr>
              <w:tab/>
            </w:r>
            <w:r w:rsidR="00D332DB">
              <w:rPr>
                <w:noProof/>
                <w:webHidden/>
              </w:rPr>
              <w:fldChar w:fldCharType="begin"/>
            </w:r>
            <w:r w:rsidR="00D332DB">
              <w:rPr>
                <w:noProof/>
                <w:webHidden/>
              </w:rPr>
              <w:instrText xml:space="preserve"> PAGEREF _Toc69129433 \h </w:instrText>
            </w:r>
            <w:r w:rsidR="00D332DB">
              <w:rPr>
                <w:noProof/>
                <w:webHidden/>
              </w:rPr>
            </w:r>
            <w:r w:rsidR="00D332DB">
              <w:rPr>
                <w:noProof/>
                <w:webHidden/>
              </w:rPr>
              <w:fldChar w:fldCharType="separate"/>
            </w:r>
            <w:r w:rsidR="00D332DB">
              <w:rPr>
                <w:noProof/>
                <w:webHidden/>
              </w:rPr>
              <w:t>137</w:t>
            </w:r>
            <w:r w:rsidR="00D332DB">
              <w:rPr>
                <w:noProof/>
                <w:webHidden/>
              </w:rPr>
              <w:fldChar w:fldCharType="end"/>
            </w:r>
          </w:hyperlink>
        </w:p>
        <w:p w14:paraId="09296226" w14:textId="67C47BD7" w:rsidR="00D332DB" w:rsidRDefault="00B51F53">
          <w:pPr>
            <w:pStyle w:val="TOC3"/>
            <w:tabs>
              <w:tab w:val="left" w:pos="1320"/>
              <w:tab w:val="right" w:leader="dot" w:pos="9016"/>
            </w:tabs>
            <w:rPr>
              <w:rFonts w:eastAsiaTheme="minorEastAsia"/>
              <w:noProof/>
              <w:lang w:eastAsia="en-GB"/>
            </w:rPr>
          </w:pPr>
          <w:hyperlink w:anchor="_Toc69129434" w:history="1">
            <w:r w:rsidR="00D332DB" w:rsidRPr="0032584B">
              <w:rPr>
                <w:rStyle w:val="Hyperlink"/>
                <w:noProof/>
              </w:rPr>
              <w:t>5.3.2</w:t>
            </w:r>
            <w:r w:rsidR="00D332DB">
              <w:rPr>
                <w:rFonts w:eastAsiaTheme="minorEastAsia"/>
                <w:noProof/>
                <w:lang w:eastAsia="en-GB"/>
              </w:rPr>
              <w:tab/>
            </w:r>
            <w:r w:rsidR="00D332DB" w:rsidRPr="0032584B">
              <w:rPr>
                <w:rStyle w:val="Hyperlink"/>
                <w:noProof/>
              </w:rPr>
              <w:t>Electrochemical performance using electrical impedance spectroscopy</w:t>
            </w:r>
            <w:r w:rsidR="00D332DB">
              <w:rPr>
                <w:noProof/>
                <w:webHidden/>
              </w:rPr>
              <w:tab/>
            </w:r>
            <w:r w:rsidR="00D332DB">
              <w:rPr>
                <w:noProof/>
                <w:webHidden/>
              </w:rPr>
              <w:fldChar w:fldCharType="begin"/>
            </w:r>
            <w:r w:rsidR="00D332DB">
              <w:rPr>
                <w:noProof/>
                <w:webHidden/>
              </w:rPr>
              <w:instrText xml:space="preserve"> PAGEREF _Toc69129434 \h </w:instrText>
            </w:r>
            <w:r w:rsidR="00D332DB">
              <w:rPr>
                <w:noProof/>
                <w:webHidden/>
              </w:rPr>
            </w:r>
            <w:r w:rsidR="00D332DB">
              <w:rPr>
                <w:noProof/>
                <w:webHidden/>
              </w:rPr>
              <w:fldChar w:fldCharType="separate"/>
            </w:r>
            <w:r w:rsidR="00D332DB">
              <w:rPr>
                <w:noProof/>
                <w:webHidden/>
              </w:rPr>
              <w:t>138</w:t>
            </w:r>
            <w:r w:rsidR="00D332DB">
              <w:rPr>
                <w:noProof/>
                <w:webHidden/>
              </w:rPr>
              <w:fldChar w:fldCharType="end"/>
            </w:r>
          </w:hyperlink>
        </w:p>
        <w:p w14:paraId="13A6F970" w14:textId="2E06AA55" w:rsidR="00D332DB" w:rsidRDefault="00B51F53">
          <w:pPr>
            <w:pStyle w:val="TOC3"/>
            <w:tabs>
              <w:tab w:val="left" w:pos="1320"/>
              <w:tab w:val="right" w:leader="dot" w:pos="9016"/>
            </w:tabs>
            <w:rPr>
              <w:rFonts w:eastAsiaTheme="minorEastAsia"/>
              <w:noProof/>
              <w:lang w:eastAsia="en-GB"/>
            </w:rPr>
          </w:pPr>
          <w:hyperlink w:anchor="_Toc69129435" w:history="1">
            <w:r w:rsidR="00D332DB" w:rsidRPr="0032584B">
              <w:rPr>
                <w:rStyle w:val="Hyperlink"/>
                <w:noProof/>
              </w:rPr>
              <w:t>5.3.3</w:t>
            </w:r>
            <w:r w:rsidR="00D332DB">
              <w:rPr>
                <w:rFonts w:eastAsiaTheme="minorEastAsia"/>
                <w:noProof/>
                <w:lang w:eastAsia="en-GB"/>
              </w:rPr>
              <w:tab/>
            </w:r>
            <w:r w:rsidR="00D332DB" w:rsidRPr="0032584B">
              <w:rPr>
                <w:rStyle w:val="Hyperlink"/>
                <w:noProof/>
              </w:rPr>
              <w:t>Microstructural evaluation using Scanning Electron Microscopy</w:t>
            </w:r>
            <w:r w:rsidR="00D332DB">
              <w:rPr>
                <w:noProof/>
                <w:webHidden/>
              </w:rPr>
              <w:tab/>
            </w:r>
            <w:r w:rsidR="00D332DB">
              <w:rPr>
                <w:noProof/>
                <w:webHidden/>
              </w:rPr>
              <w:fldChar w:fldCharType="begin"/>
            </w:r>
            <w:r w:rsidR="00D332DB">
              <w:rPr>
                <w:noProof/>
                <w:webHidden/>
              </w:rPr>
              <w:instrText xml:space="preserve"> PAGEREF _Toc69129435 \h </w:instrText>
            </w:r>
            <w:r w:rsidR="00D332DB">
              <w:rPr>
                <w:noProof/>
                <w:webHidden/>
              </w:rPr>
            </w:r>
            <w:r w:rsidR="00D332DB">
              <w:rPr>
                <w:noProof/>
                <w:webHidden/>
              </w:rPr>
              <w:fldChar w:fldCharType="separate"/>
            </w:r>
            <w:r w:rsidR="00D332DB">
              <w:rPr>
                <w:noProof/>
                <w:webHidden/>
              </w:rPr>
              <w:t>158</w:t>
            </w:r>
            <w:r w:rsidR="00D332DB">
              <w:rPr>
                <w:noProof/>
                <w:webHidden/>
              </w:rPr>
              <w:fldChar w:fldCharType="end"/>
            </w:r>
          </w:hyperlink>
        </w:p>
        <w:p w14:paraId="07BC08EB" w14:textId="3B034A49" w:rsidR="00D332DB" w:rsidRDefault="00B51F53">
          <w:pPr>
            <w:pStyle w:val="TOC3"/>
            <w:tabs>
              <w:tab w:val="left" w:pos="1320"/>
              <w:tab w:val="right" w:leader="dot" w:pos="9016"/>
            </w:tabs>
            <w:rPr>
              <w:rFonts w:eastAsiaTheme="minorEastAsia"/>
              <w:noProof/>
              <w:lang w:eastAsia="en-GB"/>
            </w:rPr>
          </w:pPr>
          <w:hyperlink w:anchor="_Toc69129436" w:history="1">
            <w:r w:rsidR="00D332DB" w:rsidRPr="0032584B">
              <w:rPr>
                <w:rStyle w:val="Hyperlink"/>
                <w:noProof/>
              </w:rPr>
              <w:t>5.3.4</w:t>
            </w:r>
            <w:r w:rsidR="00D332DB">
              <w:rPr>
                <w:rFonts w:eastAsiaTheme="minorEastAsia"/>
                <w:noProof/>
                <w:lang w:eastAsia="en-GB"/>
              </w:rPr>
              <w:tab/>
            </w:r>
            <w:r w:rsidR="00D332DB" w:rsidRPr="0032584B">
              <w:rPr>
                <w:rStyle w:val="Hyperlink"/>
                <w:noProof/>
              </w:rPr>
              <w:t>Temperature programmed reduction – active area measurements</w:t>
            </w:r>
            <w:r w:rsidR="00D332DB">
              <w:rPr>
                <w:noProof/>
                <w:webHidden/>
              </w:rPr>
              <w:tab/>
            </w:r>
            <w:r w:rsidR="00D332DB">
              <w:rPr>
                <w:noProof/>
                <w:webHidden/>
              </w:rPr>
              <w:fldChar w:fldCharType="begin"/>
            </w:r>
            <w:r w:rsidR="00D332DB">
              <w:rPr>
                <w:noProof/>
                <w:webHidden/>
              </w:rPr>
              <w:instrText xml:space="preserve"> PAGEREF _Toc69129436 \h </w:instrText>
            </w:r>
            <w:r w:rsidR="00D332DB">
              <w:rPr>
                <w:noProof/>
                <w:webHidden/>
              </w:rPr>
            </w:r>
            <w:r w:rsidR="00D332DB">
              <w:rPr>
                <w:noProof/>
                <w:webHidden/>
              </w:rPr>
              <w:fldChar w:fldCharType="separate"/>
            </w:r>
            <w:r w:rsidR="00D332DB">
              <w:rPr>
                <w:noProof/>
                <w:webHidden/>
              </w:rPr>
              <w:t>163</w:t>
            </w:r>
            <w:r w:rsidR="00D332DB">
              <w:rPr>
                <w:noProof/>
                <w:webHidden/>
              </w:rPr>
              <w:fldChar w:fldCharType="end"/>
            </w:r>
          </w:hyperlink>
        </w:p>
        <w:p w14:paraId="53AEE0EF" w14:textId="2D6F15E9" w:rsidR="00D332DB" w:rsidRDefault="00B51F53">
          <w:pPr>
            <w:pStyle w:val="TOC1"/>
            <w:tabs>
              <w:tab w:val="left" w:pos="660"/>
            </w:tabs>
            <w:rPr>
              <w:rFonts w:asciiTheme="minorHAnsi" w:eastAsiaTheme="minorEastAsia" w:hAnsiTheme="minorHAnsi" w:cstheme="minorBidi"/>
              <w:sz w:val="22"/>
              <w:szCs w:val="22"/>
              <w:lang w:eastAsia="en-GB"/>
            </w:rPr>
          </w:pPr>
          <w:hyperlink w:anchor="_Toc69129437" w:history="1">
            <w:r w:rsidR="00D332DB" w:rsidRPr="0032584B">
              <w:rPr>
                <w:rStyle w:val="Hyperlink"/>
              </w:rPr>
              <w:t>5.4</w:t>
            </w:r>
            <w:r w:rsidR="00D332DB">
              <w:rPr>
                <w:rFonts w:asciiTheme="minorHAnsi" w:eastAsiaTheme="minorEastAsia" w:hAnsiTheme="minorHAnsi" w:cstheme="minorBidi"/>
                <w:sz w:val="22"/>
                <w:szCs w:val="22"/>
                <w:lang w:eastAsia="en-GB"/>
              </w:rPr>
              <w:tab/>
            </w:r>
            <w:r w:rsidR="00D332DB" w:rsidRPr="0032584B">
              <w:rPr>
                <w:rStyle w:val="Hyperlink"/>
              </w:rPr>
              <w:t>Discussion</w:t>
            </w:r>
            <w:r w:rsidR="00D332DB">
              <w:rPr>
                <w:webHidden/>
              </w:rPr>
              <w:tab/>
            </w:r>
            <w:r w:rsidR="00D332DB">
              <w:rPr>
                <w:webHidden/>
              </w:rPr>
              <w:fldChar w:fldCharType="begin"/>
            </w:r>
            <w:r w:rsidR="00D332DB">
              <w:rPr>
                <w:webHidden/>
              </w:rPr>
              <w:instrText xml:space="preserve"> PAGEREF _Toc69129437 \h </w:instrText>
            </w:r>
            <w:r w:rsidR="00D332DB">
              <w:rPr>
                <w:webHidden/>
              </w:rPr>
            </w:r>
            <w:r w:rsidR="00D332DB">
              <w:rPr>
                <w:webHidden/>
              </w:rPr>
              <w:fldChar w:fldCharType="separate"/>
            </w:r>
            <w:r w:rsidR="00D332DB">
              <w:rPr>
                <w:webHidden/>
              </w:rPr>
              <w:t>164</w:t>
            </w:r>
            <w:r w:rsidR="00D332DB">
              <w:rPr>
                <w:webHidden/>
              </w:rPr>
              <w:fldChar w:fldCharType="end"/>
            </w:r>
          </w:hyperlink>
        </w:p>
        <w:p w14:paraId="76F80830" w14:textId="13392D18" w:rsidR="00D332DB" w:rsidRDefault="00B51F53">
          <w:pPr>
            <w:pStyle w:val="TOC1"/>
            <w:tabs>
              <w:tab w:val="left" w:pos="660"/>
            </w:tabs>
            <w:rPr>
              <w:rFonts w:asciiTheme="minorHAnsi" w:eastAsiaTheme="minorEastAsia" w:hAnsiTheme="minorHAnsi" w:cstheme="minorBidi"/>
              <w:sz w:val="22"/>
              <w:szCs w:val="22"/>
              <w:lang w:eastAsia="en-GB"/>
            </w:rPr>
          </w:pPr>
          <w:hyperlink w:anchor="_Toc69129438" w:history="1">
            <w:r w:rsidR="00D332DB" w:rsidRPr="0032584B">
              <w:rPr>
                <w:rStyle w:val="Hyperlink"/>
              </w:rPr>
              <w:t>5.5</w:t>
            </w:r>
            <w:r w:rsidR="00D332DB">
              <w:rPr>
                <w:rFonts w:asciiTheme="minorHAnsi" w:eastAsiaTheme="minorEastAsia" w:hAnsiTheme="minorHAnsi" w:cstheme="minorBidi"/>
                <w:sz w:val="22"/>
                <w:szCs w:val="22"/>
                <w:lang w:eastAsia="en-GB"/>
              </w:rPr>
              <w:tab/>
            </w:r>
            <w:r w:rsidR="00D332DB" w:rsidRPr="0032584B">
              <w:rPr>
                <w:rStyle w:val="Hyperlink"/>
              </w:rPr>
              <w:t>Conclusions</w:t>
            </w:r>
            <w:r w:rsidR="00D332DB">
              <w:rPr>
                <w:webHidden/>
              </w:rPr>
              <w:tab/>
            </w:r>
            <w:r w:rsidR="00D332DB">
              <w:rPr>
                <w:webHidden/>
              </w:rPr>
              <w:fldChar w:fldCharType="begin"/>
            </w:r>
            <w:r w:rsidR="00D332DB">
              <w:rPr>
                <w:webHidden/>
              </w:rPr>
              <w:instrText xml:space="preserve"> PAGEREF _Toc69129438 \h </w:instrText>
            </w:r>
            <w:r w:rsidR="00D332DB">
              <w:rPr>
                <w:webHidden/>
              </w:rPr>
            </w:r>
            <w:r w:rsidR="00D332DB">
              <w:rPr>
                <w:webHidden/>
              </w:rPr>
              <w:fldChar w:fldCharType="separate"/>
            </w:r>
            <w:r w:rsidR="00D332DB">
              <w:rPr>
                <w:webHidden/>
              </w:rPr>
              <w:t>166</w:t>
            </w:r>
            <w:r w:rsidR="00D332DB">
              <w:rPr>
                <w:webHidden/>
              </w:rPr>
              <w:fldChar w:fldCharType="end"/>
            </w:r>
          </w:hyperlink>
        </w:p>
        <w:p w14:paraId="245F11B3" w14:textId="4F836C0F" w:rsidR="00D332DB" w:rsidRDefault="00B51F53">
          <w:pPr>
            <w:pStyle w:val="TOC1"/>
            <w:rPr>
              <w:rFonts w:asciiTheme="minorHAnsi" w:eastAsiaTheme="minorEastAsia" w:hAnsiTheme="minorHAnsi" w:cstheme="minorBidi"/>
              <w:sz w:val="22"/>
              <w:szCs w:val="22"/>
              <w:lang w:eastAsia="en-GB"/>
            </w:rPr>
          </w:pPr>
          <w:hyperlink w:anchor="_Toc69129439" w:history="1">
            <w:r w:rsidR="00D332DB" w:rsidRPr="0032584B">
              <w:rPr>
                <w:rStyle w:val="Hyperlink"/>
              </w:rPr>
              <w:t>Chapter 6: Identifying Initial coarsening mechanisms in infiltrated SOFC Fuel Electrodes</w:t>
            </w:r>
            <w:r w:rsidR="00D332DB">
              <w:rPr>
                <w:webHidden/>
              </w:rPr>
              <w:tab/>
            </w:r>
            <w:r w:rsidR="00D332DB">
              <w:rPr>
                <w:webHidden/>
              </w:rPr>
              <w:fldChar w:fldCharType="begin"/>
            </w:r>
            <w:r w:rsidR="00D332DB">
              <w:rPr>
                <w:webHidden/>
              </w:rPr>
              <w:instrText xml:space="preserve"> PAGEREF _Toc69129439 \h </w:instrText>
            </w:r>
            <w:r w:rsidR="00D332DB">
              <w:rPr>
                <w:webHidden/>
              </w:rPr>
            </w:r>
            <w:r w:rsidR="00D332DB">
              <w:rPr>
                <w:webHidden/>
              </w:rPr>
              <w:fldChar w:fldCharType="separate"/>
            </w:r>
            <w:r w:rsidR="00D332DB">
              <w:rPr>
                <w:webHidden/>
              </w:rPr>
              <w:t>167</w:t>
            </w:r>
            <w:r w:rsidR="00D332DB">
              <w:rPr>
                <w:webHidden/>
              </w:rPr>
              <w:fldChar w:fldCharType="end"/>
            </w:r>
          </w:hyperlink>
        </w:p>
        <w:p w14:paraId="6E36C808" w14:textId="1C266280" w:rsidR="00D332DB" w:rsidRDefault="00B51F53">
          <w:pPr>
            <w:pStyle w:val="TOC1"/>
            <w:tabs>
              <w:tab w:val="left" w:pos="660"/>
            </w:tabs>
            <w:rPr>
              <w:rFonts w:asciiTheme="minorHAnsi" w:eastAsiaTheme="minorEastAsia" w:hAnsiTheme="minorHAnsi" w:cstheme="minorBidi"/>
              <w:sz w:val="22"/>
              <w:szCs w:val="22"/>
              <w:lang w:eastAsia="en-GB"/>
            </w:rPr>
          </w:pPr>
          <w:hyperlink w:anchor="_Toc69129440" w:history="1">
            <w:r w:rsidR="00D332DB" w:rsidRPr="0032584B">
              <w:rPr>
                <w:rStyle w:val="Hyperlink"/>
              </w:rPr>
              <w:t>6.1</w:t>
            </w:r>
            <w:r w:rsidR="00D332DB">
              <w:rPr>
                <w:rFonts w:asciiTheme="minorHAnsi" w:eastAsiaTheme="minorEastAsia" w:hAnsiTheme="minorHAnsi" w:cstheme="minorBidi"/>
                <w:sz w:val="22"/>
                <w:szCs w:val="22"/>
                <w:lang w:eastAsia="en-GB"/>
              </w:rPr>
              <w:tab/>
            </w:r>
            <w:r w:rsidR="00D332DB" w:rsidRPr="0032584B">
              <w:rPr>
                <w:rStyle w:val="Hyperlink"/>
              </w:rPr>
              <w:t>Introduction</w:t>
            </w:r>
            <w:r w:rsidR="00D332DB">
              <w:rPr>
                <w:webHidden/>
              </w:rPr>
              <w:tab/>
            </w:r>
            <w:r w:rsidR="00D332DB">
              <w:rPr>
                <w:webHidden/>
              </w:rPr>
              <w:fldChar w:fldCharType="begin"/>
            </w:r>
            <w:r w:rsidR="00D332DB">
              <w:rPr>
                <w:webHidden/>
              </w:rPr>
              <w:instrText xml:space="preserve"> PAGEREF _Toc69129440 \h </w:instrText>
            </w:r>
            <w:r w:rsidR="00D332DB">
              <w:rPr>
                <w:webHidden/>
              </w:rPr>
            </w:r>
            <w:r w:rsidR="00D332DB">
              <w:rPr>
                <w:webHidden/>
              </w:rPr>
              <w:fldChar w:fldCharType="separate"/>
            </w:r>
            <w:r w:rsidR="00D332DB">
              <w:rPr>
                <w:webHidden/>
              </w:rPr>
              <w:t>167</w:t>
            </w:r>
            <w:r w:rsidR="00D332DB">
              <w:rPr>
                <w:webHidden/>
              </w:rPr>
              <w:fldChar w:fldCharType="end"/>
            </w:r>
          </w:hyperlink>
        </w:p>
        <w:p w14:paraId="46A4CA1A" w14:textId="390AA9E3" w:rsidR="00D332DB" w:rsidRDefault="00B51F53">
          <w:pPr>
            <w:pStyle w:val="TOC3"/>
            <w:tabs>
              <w:tab w:val="right" w:leader="dot" w:pos="9016"/>
            </w:tabs>
            <w:rPr>
              <w:rFonts w:eastAsiaTheme="minorEastAsia"/>
              <w:noProof/>
              <w:lang w:eastAsia="en-GB"/>
            </w:rPr>
          </w:pPr>
          <w:hyperlink w:anchor="_Toc69129441" w:history="1">
            <w:r w:rsidR="00D332DB" w:rsidRPr="0032584B">
              <w:rPr>
                <w:rStyle w:val="Hyperlink"/>
                <w:noProof/>
              </w:rPr>
              <w:t>6.1.1 Chapter Aims</w:t>
            </w:r>
            <w:r w:rsidR="00D332DB">
              <w:rPr>
                <w:noProof/>
                <w:webHidden/>
              </w:rPr>
              <w:tab/>
            </w:r>
            <w:r w:rsidR="00D332DB">
              <w:rPr>
                <w:noProof/>
                <w:webHidden/>
              </w:rPr>
              <w:fldChar w:fldCharType="begin"/>
            </w:r>
            <w:r w:rsidR="00D332DB">
              <w:rPr>
                <w:noProof/>
                <w:webHidden/>
              </w:rPr>
              <w:instrText xml:space="preserve"> PAGEREF _Toc69129441 \h </w:instrText>
            </w:r>
            <w:r w:rsidR="00D332DB">
              <w:rPr>
                <w:noProof/>
                <w:webHidden/>
              </w:rPr>
            </w:r>
            <w:r w:rsidR="00D332DB">
              <w:rPr>
                <w:noProof/>
                <w:webHidden/>
              </w:rPr>
              <w:fldChar w:fldCharType="separate"/>
            </w:r>
            <w:r w:rsidR="00D332DB">
              <w:rPr>
                <w:noProof/>
                <w:webHidden/>
              </w:rPr>
              <w:t>168</w:t>
            </w:r>
            <w:r w:rsidR="00D332DB">
              <w:rPr>
                <w:noProof/>
                <w:webHidden/>
              </w:rPr>
              <w:fldChar w:fldCharType="end"/>
            </w:r>
          </w:hyperlink>
        </w:p>
        <w:p w14:paraId="3AEA1034" w14:textId="79D1591B" w:rsidR="00D332DB" w:rsidRDefault="00B51F53">
          <w:pPr>
            <w:pStyle w:val="TOC3"/>
            <w:tabs>
              <w:tab w:val="right" w:leader="dot" w:pos="9016"/>
            </w:tabs>
            <w:rPr>
              <w:rFonts w:eastAsiaTheme="minorEastAsia"/>
              <w:noProof/>
              <w:lang w:eastAsia="en-GB"/>
            </w:rPr>
          </w:pPr>
          <w:hyperlink w:anchor="_Toc69129442" w:history="1">
            <w:r w:rsidR="00D332DB" w:rsidRPr="0032584B">
              <w:rPr>
                <w:rStyle w:val="Hyperlink"/>
                <w:noProof/>
              </w:rPr>
              <w:t>6.1.2 Hypotheses</w:t>
            </w:r>
            <w:r w:rsidR="00D332DB">
              <w:rPr>
                <w:noProof/>
                <w:webHidden/>
              </w:rPr>
              <w:tab/>
            </w:r>
            <w:r w:rsidR="00D332DB">
              <w:rPr>
                <w:noProof/>
                <w:webHidden/>
              </w:rPr>
              <w:fldChar w:fldCharType="begin"/>
            </w:r>
            <w:r w:rsidR="00D332DB">
              <w:rPr>
                <w:noProof/>
                <w:webHidden/>
              </w:rPr>
              <w:instrText xml:space="preserve"> PAGEREF _Toc69129442 \h </w:instrText>
            </w:r>
            <w:r w:rsidR="00D332DB">
              <w:rPr>
                <w:noProof/>
                <w:webHidden/>
              </w:rPr>
            </w:r>
            <w:r w:rsidR="00D332DB">
              <w:rPr>
                <w:noProof/>
                <w:webHidden/>
              </w:rPr>
              <w:fldChar w:fldCharType="separate"/>
            </w:r>
            <w:r w:rsidR="00D332DB">
              <w:rPr>
                <w:noProof/>
                <w:webHidden/>
              </w:rPr>
              <w:t>168</w:t>
            </w:r>
            <w:r w:rsidR="00D332DB">
              <w:rPr>
                <w:noProof/>
                <w:webHidden/>
              </w:rPr>
              <w:fldChar w:fldCharType="end"/>
            </w:r>
          </w:hyperlink>
        </w:p>
        <w:p w14:paraId="407C5CAE" w14:textId="673C8323" w:rsidR="00D332DB" w:rsidRDefault="00B51F53">
          <w:pPr>
            <w:pStyle w:val="TOC1"/>
            <w:tabs>
              <w:tab w:val="left" w:pos="660"/>
            </w:tabs>
            <w:rPr>
              <w:rFonts w:asciiTheme="minorHAnsi" w:eastAsiaTheme="minorEastAsia" w:hAnsiTheme="minorHAnsi" w:cstheme="minorBidi"/>
              <w:sz w:val="22"/>
              <w:szCs w:val="22"/>
              <w:lang w:eastAsia="en-GB"/>
            </w:rPr>
          </w:pPr>
          <w:hyperlink w:anchor="_Toc69129443" w:history="1">
            <w:r w:rsidR="00D332DB" w:rsidRPr="0032584B">
              <w:rPr>
                <w:rStyle w:val="Hyperlink"/>
              </w:rPr>
              <w:t>6.2</w:t>
            </w:r>
            <w:r w:rsidR="00D332DB">
              <w:rPr>
                <w:rFonts w:asciiTheme="minorHAnsi" w:eastAsiaTheme="minorEastAsia" w:hAnsiTheme="minorHAnsi" w:cstheme="minorBidi"/>
                <w:sz w:val="22"/>
                <w:szCs w:val="22"/>
                <w:lang w:eastAsia="en-GB"/>
              </w:rPr>
              <w:tab/>
            </w:r>
            <w:r w:rsidR="00D332DB" w:rsidRPr="0032584B">
              <w:rPr>
                <w:rStyle w:val="Hyperlink"/>
              </w:rPr>
              <w:t>Experimental procedure overview</w:t>
            </w:r>
            <w:r w:rsidR="00D332DB">
              <w:rPr>
                <w:webHidden/>
              </w:rPr>
              <w:tab/>
            </w:r>
            <w:r w:rsidR="00D332DB">
              <w:rPr>
                <w:webHidden/>
              </w:rPr>
              <w:fldChar w:fldCharType="begin"/>
            </w:r>
            <w:r w:rsidR="00D332DB">
              <w:rPr>
                <w:webHidden/>
              </w:rPr>
              <w:instrText xml:space="preserve"> PAGEREF _Toc69129443 \h </w:instrText>
            </w:r>
            <w:r w:rsidR="00D332DB">
              <w:rPr>
                <w:webHidden/>
              </w:rPr>
            </w:r>
            <w:r w:rsidR="00D332DB">
              <w:rPr>
                <w:webHidden/>
              </w:rPr>
              <w:fldChar w:fldCharType="separate"/>
            </w:r>
            <w:r w:rsidR="00D332DB">
              <w:rPr>
                <w:webHidden/>
              </w:rPr>
              <w:t>168</w:t>
            </w:r>
            <w:r w:rsidR="00D332DB">
              <w:rPr>
                <w:webHidden/>
              </w:rPr>
              <w:fldChar w:fldCharType="end"/>
            </w:r>
          </w:hyperlink>
        </w:p>
        <w:p w14:paraId="7DFC451E" w14:textId="6B803B02" w:rsidR="00D332DB" w:rsidRDefault="00B51F53">
          <w:pPr>
            <w:pStyle w:val="TOC2"/>
            <w:tabs>
              <w:tab w:val="right" w:leader="dot" w:pos="9016"/>
            </w:tabs>
            <w:rPr>
              <w:rFonts w:eastAsiaTheme="minorEastAsia"/>
              <w:iCs w:val="0"/>
              <w:noProof/>
              <w:szCs w:val="22"/>
              <w:lang w:eastAsia="en-GB"/>
            </w:rPr>
          </w:pPr>
          <w:hyperlink w:anchor="_Toc69129444" w:history="1">
            <w:r w:rsidR="00D332DB" w:rsidRPr="0032584B">
              <w:rPr>
                <w:rStyle w:val="Hyperlink"/>
                <w:noProof/>
              </w:rPr>
              <w:t>6.2.1 Characterisation Techniques</w:t>
            </w:r>
            <w:r w:rsidR="00D332DB">
              <w:rPr>
                <w:noProof/>
                <w:webHidden/>
              </w:rPr>
              <w:tab/>
            </w:r>
            <w:r w:rsidR="00D332DB">
              <w:rPr>
                <w:noProof/>
                <w:webHidden/>
              </w:rPr>
              <w:fldChar w:fldCharType="begin"/>
            </w:r>
            <w:r w:rsidR="00D332DB">
              <w:rPr>
                <w:noProof/>
                <w:webHidden/>
              </w:rPr>
              <w:instrText xml:space="preserve"> PAGEREF _Toc69129444 \h </w:instrText>
            </w:r>
            <w:r w:rsidR="00D332DB">
              <w:rPr>
                <w:noProof/>
                <w:webHidden/>
              </w:rPr>
            </w:r>
            <w:r w:rsidR="00D332DB">
              <w:rPr>
                <w:noProof/>
                <w:webHidden/>
              </w:rPr>
              <w:fldChar w:fldCharType="separate"/>
            </w:r>
            <w:r w:rsidR="00D332DB">
              <w:rPr>
                <w:noProof/>
                <w:webHidden/>
              </w:rPr>
              <w:t>168</w:t>
            </w:r>
            <w:r w:rsidR="00D332DB">
              <w:rPr>
                <w:noProof/>
                <w:webHidden/>
              </w:rPr>
              <w:fldChar w:fldCharType="end"/>
            </w:r>
          </w:hyperlink>
        </w:p>
        <w:p w14:paraId="51F47BCB" w14:textId="05834367" w:rsidR="00D332DB" w:rsidRDefault="00B51F53">
          <w:pPr>
            <w:pStyle w:val="TOC3"/>
            <w:tabs>
              <w:tab w:val="right" w:leader="dot" w:pos="9016"/>
            </w:tabs>
            <w:rPr>
              <w:rFonts w:eastAsiaTheme="minorEastAsia"/>
              <w:noProof/>
              <w:lang w:eastAsia="en-GB"/>
            </w:rPr>
          </w:pPr>
          <w:hyperlink w:anchor="_Toc69129445" w:history="1">
            <w:r w:rsidR="00D332DB" w:rsidRPr="0032584B">
              <w:rPr>
                <w:rStyle w:val="Hyperlink"/>
                <w:noProof/>
              </w:rPr>
              <w:t>6.2.1.1 X-ray diffraction</w:t>
            </w:r>
            <w:r w:rsidR="00D332DB">
              <w:rPr>
                <w:noProof/>
                <w:webHidden/>
              </w:rPr>
              <w:tab/>
            </w:r>
            <w:r w:rsidR="00D332DB">
              <w:rPr>
                <w:noProof/>
                <w:webHidden/>
              </w:rPr>
              <w:fldChar w:fldCharType="begin"/>
            </w:r>
            <w:r w:rsidR="00D332DB">
              <w:rPr>
                <w:noProof/>
                <w:webHidden/>
              </w:rPr>
              <w:instrText xml:space="preserve"> PAGEREF _Toc69129445 \h </w:instrText>
            </w:r>
            <w:r w:rsidR="00D332DB">
              <w:rPr>
                <w:noProof/>
                <w:webHidden/>
              </w:rPr>
            </w:r>
            <w:r w:rsidR="00D332DB">
              <w:rPr>
                <w:noProof/>
                <w:webHidden/>
              </w:rPr>
              <w:fldChar w:fldCharType="separate"/>
            </w:r>
            <w:r w:rsidR="00D332DB">
              <w:rPr>
                <w:noProof/>
                <w:webHidden/>
              </w:rPr>
              <w:t>168</w:t>
            </w:r>
            <w:r w:rsidR="00D332DB">
              <w:rPr>
                <w:noProof/>
                <w:webHidden/>
              </w:rPr>
              <w:fldChar w:fldCharType="end"/>
            </w:r>
          </w:hyperlink>
        </w:p>
        <w:p w14:paraId="2B3E0A2B" w14:textId="07E2D884" w:rsidR="00D332DB" w:rsidRDefault="00B51F53">
          <w:pPr>
            <w:pStyle w:val="TOC3"/>
            <w:tabs>
              <w:tab w:val="left" w:pos="1320"/>
              <w:tab w:val="right" w:leader="dot" w:pos="9016"/>
            </w:tabs>
            <w:rPr>
              <w:rFonts w:eastAsiaTheme="minorEastAsia"/>
              <w:noProof/>
              <w:lang w:eastAsia="en-GB"/>
            </w:rPr>
          </w:pPr>
          <w:hyperlink w:anchor="_Toc69129446" w:history="1">
            <w:r w:rsidR="00D332DB" w:rsidRPr="0032584B">
              <w:rPr>
                <w:rStyle w:val="Hyperlink"/>
                <w:noProof/>
              </w:rPr>
              <w:t>6.2.2.2</w:t>
            </w:r>
            <w:r w:rsidR="00D332DB">
              <w:rPr>
                <w:rFonts w:eastAsiaTheme="minorEastAsia"/>
                <w:noProof/>
                <w:lang w:eastAsia="en-GB"/>
              </w:rPr>
              <w:tab/>
            </w:r>
            <w:r w:rsidR="00D332DB" w:rsidRPr="0032584B">
              <w:rPr>
                <w:rStyle w:val="Hyperlink"/>
                <w:noProof/>
              </w:rPr>
              <w:t>Ptychographic X-ray Computed Tomography Experiment Diamond Light Source I13-1</w:t>
            </w:r>
            <w:r w:rsidR="00D332DB">
              <w:rPr>
                <w:noProof/>
                <w:webHidden/>
              </w:rPr>
              <w:tab/>
            </w:r>
            <w:r w:rsidR="00D332DB">
              <w:rPr>
                <w:noProof/>
                <w:webHidden/>
              </w:rPr>
              <w:fldChar w:fldCharType="begin"/>
            </w:r>
            <w:r w:rsidR="00D332DB">
              <w:rPr>
                <w:noProof/>
                <w:webHidden/>
              </w:rPr>
              <w:instrText xml:space="preserve"> PAGEREF _Toc69129446 \h </w:instrText>
            </w:r>
            <w:r w:rsidR="00D332DB">
              <w:rPr>
                <w:noProof/>
                <w:webHidden/>
              </w:rPr>
            </w:r>
            <w:r w:rsidR="00D332DB">
              <w:rPr>
                <w:noProof/>
                <w:webHidden/>
              </w:rPr>
              <w:fldChar w:fldCharType="separate"/>
            </w:r>
            <w:r w:rsidR="00D332DB">
              <w:rPr>
                <w:noProof/>
                <w:webHidden/>
              </w:rPr>
              <w:t>169</w:t>
            </w:r>
            <w:r w:rsidR="00D332DB">
              <w:rPr>
                <w:noProof/>
                <w:webHidden/>
              </w:rPr>
              <w:fldChar w:fldCharType="end"/>
            </w:r>
          </w:hyperlink>
        </w:p>
        <w:p w14:paraId="0618CAEC" w14:textId="2F2BC7E4" w:rsidR="00D332DB" w:rsidRDefault="00B51F53">
          <w:pPr>
            <w:pStyle w:val="TOC1"/>
            <w:tabs>
              <w:tab w:val="left" w:pos="660"/>
            </w:tabs>
            <w:rPr>
              <w:rFonts w:asciiTheme="minorHAnsi" w:eastAsiaTheme="minorEastAsia" w:hAnsiTheme="minorHAnsi" w:cstheme="minorBidi"/>
              <w:sz w:val="22"/>
              <w:szCs w:val="22"/>
              <w:lang w:eastAsia="en-GB"/>
            </w:rPr>
          </w:pPr>
          <w:hyperlink w:anchor="_Toc69129447" w:history="1">
            <w:r w:rsidR="00D332DB" w:rsidRPr="0032584B">
              <w:rPr>
                <w:rStyle w:val="Hyperlink"/>
              </w:rPr>
              <w:t>6.3</w:t>
            </w:r>
            <w:r w:rsidR="00D332DB">
              <w:rPr>
                <w:rFonts w:asciiTheme="minorHAnsi" w:eastAsiaTheme="minorEastAsia" w:hAnsiTheme="minorHAnsi" w:cstheme="minorBidi"/>
                <w:sz w:val="22"/>
                <w:szCs w:val="22"/>
                <w:lang w:eastAsia="en-GB"/>
              </w:rPr>
              <w:tab/>
            </w:r>
            <w:r w:rsidR="00D332DB" w:rsidRPr="0032584B">
              <w:rPr>
                <w:rStyle w:val="Hyperlink"/>
              </w:rPr>
              <w:t>Results and Discussion</w:t>
            </w:r>
            <w:r w:rsidR="00D332DB">
              <w:rPr>
                <w:webHidden/>
              </w:rPr>
              <w:tab/>
            </w:r>
            <w:r w:rsidR="00D332DB">
              <w:rPr>
                <w:webHidden/>
              </w:rPr>
              <w:fldChar w:fldCharType="begin"/>
            </w:r>
            <w:r w:rsidR="00D332DB">
              <w:rPr>
                <w:webHidden/>
              </w:rPr>
              <w:instrText xml:space="preserve"> PAGEREF _Toc69129447 \h </w:instrText>
            </w:r>
            <w:r w:rsidR="00D332DB">
              <w:rPr>
                <w:webHidden/>
              </w:rPr>
            </w:r>
            <w:r w:rsidR="00D332DB">
              <w:rPr>
                <w:webHidden/>
              </w:rPr>
              <w:fldChar w:fldCharType="separate"/>
            </w:r>
            <w:r w:rsidR="00D332DB">
              <w:rPr>
                <w:webHidden/>
              </w:rPr>
              <w:t>169</w:t>
            </w:r>
            <w:r w:rsidR="00D332DB">
              <w:rPr>
                <w:webHidden/>
              </w:rPr>
              <w:fldChar w:fldCharType="end"/>
            </w:r>
          </w:hyperlink>
        </w:p>
        <w:p w14:paraId="002D752A" w14:textId="2B6D6E9A" w:rsidR="00D332DB" w:rsidRDefault="00B51F53">
          <w:pPr>
            <w:pStyle w:val="TOC2"/>
            <w:tabs>
              <w:tab w:val="left" w:pos="880"/>
              <w:tab w:val="right" w:leader="dot" w:pos="9016"/>
            </w:tabs>
            <w:rPr>
              <w:rFonts w:eastAsiaTheme="minorEastAsia"/>
              <w:iCs w:val="0"/>
              <w:noProof/>
              <w:szCs w:val="22"/>
              <w:lang w:eastAsia="en-GB"/>
            </w:rPr>
          </w:pPr>
          <w:hyperlink w:anchor="_Toc69129448" w:history="1">
            <w:r w:rsidR="00D332DB" w:rsidRPr="0032584B">
              <w:rPr>
                <w:rStyle w:val="Hyperlink"/>
                <w:noProof/>
              </w:rPr>
              <w:t>6.3.1</w:t>
            </w:r>
            <w:r w:rsidR="00D332DB">
              <w:rPr>
                <w:rFonts w:eastAsiaTheme="minorEastAsia"/>
                <w:iCs w:val="0"/>
                <w:noProof/>
                <w:szCs w:val="22"/>
                <w:lang w:eastAsia="en-GB"/>
              </w:rPr>
              <w:tab/>
            </w:r>
            <w:r w:rsidR="00D332DB" w:rsidRPr="0032584B">
              <w:rPr>
                <w:rStyle w:val="Hyperlink"/>
                <w:noProof/>
              </w:rPr>
              <w:t>Electrochemical Impedance Spectroscopy</w:t>
            </w:r>
            <w:r w:rsidR="00D332DB">
              <w:rPr>
                <w:noProof/>
                <w:webHidden/>
              </w:rPr>
              <w:tab/>
            </w:r>
            <w:r w:rsidR="00D332DB">
              <w:rPr>
                <w:noProof/>
                <w:webHidden/>
              </w:rPr>
              <w:fldChar w:fldCharType="begin"/>
            </w:r>
            <w:r w:rsidR="00D332DB">
              <w:rPr>
                <w:noProof/>
                <w:webHidden/>
              </w:rPr>
              <w:instrText xml:space="preserve"> PAGEREF _Toc69129448 \h </w:instrText>
            </w:r>
            <w:r w:rsidR="00D332DB">
              <w:rPr>
                <w:noProof/>
                <w:webHidden/>
              </w:rPr>
            </w:r>
            <w:r w:rsidR="00D332DB">
              <w:rPr>
                <w:noProof/>
                <w:webHidden/>
              </w:rPr>
              <w:fldChar w:fldCharType="separate"/>
            </w:r>
            <w:r w:rsidR="00D332DB">
              <w:rPr>
                <w:noProof/>
                <w:webHidden/>
              </w:rPr>
              <w:t>169</w:t>
            </w:r>
            <w:r w:rsidR="00D332DB">
              <w:rPr>
                <w:noProof/>
                <w:webHidden/>
              </w:rPr>
              <w:fldChar w:fldCharType="end"/>
            </w:r>
          </w:hyperlink>
        </w:p>
        <w:p w14:paraId="6AF46CED" w14:textId="72D73C7B" w:rsidR="00D332DB" w:rsidRDefault="00B51F53">
          <w:pPr>
            <w:pStyle w:val="TOC2"/>
            <w:tabs>
              <w:tab w:val="left" w:pos="880"/>
              <w:tab w:val="right" w:leader="dot" w:pos="9016"/>
            </w:tabs>
            <w:rPr>
              <w:rFonts w:eastAsiaTheme="minorEastAsia"/>
              <w:iCs w:val="0"/>
              <w:noProof/>
              <w:szCs w:val="22"/>
              <w:lang w:eastAsia="en-GB"/>
            </w:rPr>
          </w:pPr>
          <w:hyperlink w:anchor="_Toc69129449" w:history="1">
            <w:r w:rsidR="00D332DB" w:rsidRPr="0032584B">
              <w:rPr>
                <w:rStyle w:val="Hyperlink"/>
                <w:noProof/>
              </w:rPr>
              <w:t>6.3.2</w:t>
            </w:r>
            <w:r w:rsidR="00D332DB">
              <w:rPr>
                <w:rFonts w:eastAsiaTheme="minorEastAsia"/>
                <w:iCs w:val="0"/>
                <w:noProof/>
                <w:szCs w:val="22"/>
                <w:lang w:eastAsia="en-GB"/>
              </w:rPr>
              <w:tab/>
            </w:r>
            <w:r w:rsidR="00D332DB" w:rsidRPr="0032584B">
              <w:rPr>
                <w:rStyle w:val="Hyperlink"/>
                <w:noProof/>
              </w:rPr>
              <w:t>Focussed Ion Beam Scanning Electron Microscopy</w:t>
            </w:r>
            <w:r w:rsidR="00D332DB">
              <w:rPr>
                <w:noProof/>
                <w:webHidden/>
              </w:rPr>
              <w:tab/>
            </w:r>
            <w:r w:rsidR="00D332DB">
              <w:rPr>
                <w:noProof/>
                <w:webHidden/>
              </w:rPr>
              <w:fldChar w:fldCharType="begin"/>
            </w:r>
            <w:r w:rsidR="00D332DB">
              <w:rPr>
                <w:noProof/>
                <w:webHidden/>
              </w:rPr>
              <w:instrText xml:space="preserve"> PAGEREF _Toc69129449 \h </w:instrText>
            </w:r>
            <w:r w:rsidR="00D332DB">
              <w:rPr>
                <w:noProof/>
                <w:webHidden/>
              </w:rPr>
            </w:r>
            <w:r w:rsidR="00D332DB">
              <w:rPr>
                <w:noProof/>
                <w:webHidden/>
              </w:rPr>
              <w:fldChar w:fldCharType="separate"/>
            </w:r>
            <w:r w:rsidR="00D332DB">
              <w:rPr>
                <w:noProof/>
                <w:webHidden/>
              </w:rPr>
              <w:t>171</w:t>
            </w:r>
            <w:r w:rsidR="00D332DB">
              <w:rPr>
                <w:noProof/>
                <w:webHidden/>
              </w:rPr>
              <w:fldChar w:fldCharType="end"/>
            </w:r>
          </w:hyperlink>
        </w:p>
        <w:p w14:paraId="3E03A16E" w14:textId="4ADBD5E0" w:rsidR="00D332DB" w:rsidRDefault="00B51F53">
          <w:pPr>
            <w:pStyle w:val="TOC3"/>
            <w:tabs>
              <w:tab w:val="right" w:leader="dot" w:pos="9016"/>
            </w:tabs>
            <w:rPr>
              <w:rFonts w:eastAsiaTheme="minorEastAsia"/>
              <w:noProof/>
              <w:lang w:eastAsia="en-GB"/>
            </w:rPr>
          </w:pPr>
          <w:hyperlink w:anchor="_Toc69129450" w:history="1">
            <w:r w:rsidR="00D332DB" w:rsidRPr="0032584B">
              <w:rPr>
                <w:rStyle w:val="Hyperlink"/>
                <w:noProof/>
              </w:rPr>
              <w:t>6.3.2.1 Back-scattered electron microscopy</w:t>
            </w:r>
            <w:r w:rsidR="00D332DB">
              <w:rPr>
                <w:noProof/>
                <w:webHidden/>
              </w:rPr>
              <w:tab/>
            </w:r>
            <w:r w:rsidR="00D332DB">
              <w:rPr>
                <w:noProof/>
                <w:webHidden/>
              </w:rPr>
              <w:fldChar w:fldCharType="begin"/>
            </w:r>
            <w:r w:rsidR="00D332DB">
              <w:rPr>
                <w:noProof/>
                <w:webHidden/>
              </w:rPr>
              <w:instrText xml:space="preserve"> PAGEREF _Toc69129450 \h </w:instrText>
            </w:r>
            <w:r w:rsidR="00D332DB">
              <w:rPr>
                <w:noProof/>
                <w:webHidden/>
              </w:rPr>
            </w:r>
            <w:r w:rsidR="00D332DB">
              <w:rPr>
                <w:noProof/>
                <w:webHidden/>
              </w:rPr>
              <w:fldChar w:fldCharType="separate"/>
            </w:r>
            <w:r w:rsidR="00D332DB">
              <w:rPr>
                <w:noProof/>
                <w:webHidden/>
              </w:rPr>
              <w:t>174</w:t>
            </w:r>
            <w:r w:rsidR="00D332DB">
              <w:rPr>
                <w:noProof/>
                <w:webHidden/>
              </w:rPr>
              <w:fldChar w:fldCharType="end"/>
            </w:r>
          </w:hyperlink>
        </w:p>
        <w:p w14:paraId="2C54DF64" w14:textId="2D1DF401" w:rsidR="00D332DB" w:rsidRDefault="00B51F53">
          <w:pPr>
            <w:pStyle w:val="TOC2"/>
            <w:tabs>
              <w:tab w:val="left" w:pos="880"/>
              <w:tab w:val="right" w:leader="dot" w:pos="9016"/>
            </w:tabs>
            <w:rPr>
              <w:rFonts w:eastAsiaTheme="minorEastAsia"/>
              <w:iCs w:val="0"/>
              <w:noProof/>
              <w:szCs w:val="22"/>
              <w:lang w:eastAsia="en-GB"/>
            </w:rPr>
          </w:pPr>
          <w:hyperlink w:anchor="_Toc69129451" w:history="1">
            <w:r w:rsidR="00D332DB" w:rsidRPr="0032584B">
              <w:rPr>
                <w:rStyle w:val="Hyperlink"/>
                <w:noProof/>
              </w:rPr>
              <w:t>6.3.3</w:t>
            </w:r>
            <w:r w:rsidR="00D332DB">
              <w:rPr>
                <w:rFonts w:eastAsiaTheme="minorEastAsia"/>
                <w:iCs w:val="0"/>
                <w:noProof/>
                <w:szCs w:val="22"/>
                <w:lang w:eastAsia="en-GB"/>
              </w:rPr>
              <w:tab/>
            </w:r>
            <w:r w:rsidR="00D332DB" w:rsidRPr="0032584B">
              <w:rPr>
                <w:rStyle w:val="Hyperlink"/>
                <w:noProof/>
              </w:rPr>
              <w:t>X-ray Diffraction</w:t>
            </w:r>
            <w:r w:rsidR="00D332DB">
              <w:rPr>
                <w:noProof/>
                <w:webHidden/>
              </w:rPr>
              <w:tab/>
            </w:r>
            <w:r w:rsidR="00D332DB">
              <w:rPr>
                <w:noProof/>
                <w:webHidden/>
              </w:rPr>
              <w:fldChar w:fldCharType="begin"/>
            </w:r>
            <w:r w:rsidR="00D332DB">
              <w:rPr>
                <w:noProof/>
                <w:webHidden/>
              </w:rPr>
              <w:instrText xml:space="preserve"> PAGEREF _Toc69129451 \h </w:instrText>
            </w:r>
            <w:r w:rsidR="00D332DB">
              <w:rPr>
                <w:noProof/>
                <w:webHidden/>
              </w:rPr>
            </w:r>
            <w:r w:rsidR="00D332DB">
              <w:rPr>
                <w:noProof/>
                <w:webHidden/>
              </w:rPr>
              <w:fldChar w:fldCharType="separate"/>
            </w:r>
            <w:r w:rsidR="00D332DB">
              <w:rPr>
                <w:noProof/>
                <w:webHidden/>
              </w:rPr>
              <w:t>176</w:t>
            </w:r>
            <w:r w:rsidR="00D332DB">
              <w:rPr>
                <w:noProof/>
                <w:webHidden/>
              </w:rPr>
              <w:fldChar w:fldCharType="end"/>
            </w:r>
          </w:hyperlink>
        </w:p>
        <w:p w14:paraId="4F0ABE6B" w14:textId="2C7D50F1" w:rsidR="00D332DB" w:rsidRDefault="00B51F53">
          <w:pPr>
            <w:pStyle w:val="TOC3"/>
            <w:tabs>
              <w:tab w:val="right" w:leader="dot" w:pos="9016"/>
            </w:tabs>
            <w:rPr>
              <w:rFonts w:eastAsiaTheme="minorEastAsia"/>
              <w:noProof/>
              <w:lang w:eastAsia="en-GB"/>
            </w:rPr>
          </w:pPr>
          <w:hyperlink w:anchor="_Toc69129452" w:history="1">
            <w:r w:rsidR="00D332DB" w:rsidRPr="0032584B">
              <w:rPr>
                <w:rStyle w:val="Hyperlink"/>
                <w:noProof/>
              </w:rPr>
              <w:t>6.3.3.1 Tracking nanoparticle growth using X-ray Diffraction</w:t>
            </w:r>
            <w:r w:rsidR="00D332DB">
              <w:rPr>
                <w:noProof/>
                <w:webHidden/>
              </w:rPr>
              <w:tab/>
            </w:r>
            <w:r w:rsidR="00D332DB">
              <w:rPr>
                <w:noProof/>
                <w:webHidden/>
              </w:rPr>
              <w:fldChar w:fldCharType="begin"/>
            </w:r>
            <w:r w:rsidR="00D332DB">
              <w:rPr>
                <w:noProof/>
                <w:webHidden/>
              </w:rPr>
              <w:instrText xml:space="preserve"> PAGEREF _Toc69129452 \h </w:instrText>
            </w:r>
            <w:r w:rsidR="00D332DB">
              <w:rPr>
                <w:noProof/>
                <w:webHidden/>
              </w:rPr>
            </w:r>
            <w:r w:rsidR="00D332DB">
              <w:rPr>
                <w:noProof/>
                <w:webHidden/>
              </w:rPr>
              <w:fldChar w:fldCharType="separate"/>
            </w:r>
            <w:r w:rsidR="00D332DB">
              <w:rPr>
                <w:noProof/>
                <w:webHidden/>
              </w:rPr>
              <w:t>176</w:t>
            </w:r>
            <w:r w:rsidR="00D332DB">
              <w:rPr>
                <w:noProof/>
                <w:webHidden/>
              </w:rPr>
              <w:fldChar w:fldCharType="end"/>
            </w:r>
          </w:hyperlink>
        </w:p>
        <w:p w14:paraId="6A37E676" w14:textId="60730104" w:rsidR="00D332DB" w:rsidRDefault="00B51F53">
          <w:pPr>
            <w:pStyle w:val="TOC2"/>
            <w:tabs>
              <w:tab w:val="left" w:pos="880"/>
              <w:tab w:val="right" w:leader="dot" w:pos="9016"/>
            </w:tabs>
            <w:rPr>
              <w:rFonts w:eastAsiaTheme="minorEastAsia"/>
              <w:iCs w:val="0"/>
              <w:noProof/>
              <w:szCs w:val="22"/>
              <w:lang w:eastAsia="en-GB"/>
            </w:rPr>
          </w:pPr>
          <w:hyperlink w:anchor="_Toc69129453" w:history="1">
            <w:r w:rsidR="00D332DB" w:rsidRPr="0032584B">
              <w:rPr>
                <w:rStyle w:val="Hyperlink"/>
                <w:noProof/>
              </w:rPr>
              <w:t>6.3.4</w:t>
            </w:r>
            <w:r w:rsidR="00D332DB">
              <w:rPr>
                <w:rFonts w:eastAsiaTheme="minorEastAsia"/>
                <w:iCs w:val="0"/>
                <w:noProof/>
                <w:szCs w:val="22"/>
                <w:lang w:eastAsia="en-GB"/>
              </w:rPr>
              <w:tab/>
            </w:r>
            <w:r w:rsidR="00D332DB" w:rsidRPr="0032584B">
              <w:rPr>
                <w:rStyle w:val="Hyperlink"/>
                <w:noProof/>
              </w:rPr>
              <w:t>Ptychographic X-ray Computed Tomography of aged Ni-YSZ coarse pillars</w:t>
            </w:r>
            <w:r w:rsidR="00D332DB">
              <w:rPr>
                <w:noProof/>
                <w:webHidden/>
              </w:rPr>
              <w:tab/>
            </w:r>
            <w:r w:rsidR="00D332DB">
              <w:rPr>
                <w:noProof/>
                <w:webHidden/>
              </w:rPr>
              <w:fldChar w:fldCharType="begin"/>
            </w:r>
            <w:r w:rsidR="00D332DB">
              <w:rPr>
                <w:noProof/>
                <w:webHidden/>
              </w:rPr>
              <w:instrText xml:space="preserve"> PAGEREF _Toc69129453 \h </w:instrText>
            </w:r>
            <w:r w:rsidR="00D332DB">
              <w:rPr>
                <w:noProof/>
                <w:webHidden/>
              </w:rPr>
            </w:r>
            <w:r w:rsidR="00D332DB">
              <w:rPr>
                <w:noProof/>
                <w:webHidden/>
              </w:rPr>
              <w:fldChar w:fldCharType="separate"/>
            </w:r>
            <w:r w:rsidR="00D332DB">
              <w:rPr>
                <w:noProof/>
                <w:webHidden/>
              </w:rPr>
              <w:t>177</w:t>
            </w:r>
            <w:r w:rsidR="00D332DB">
              <w:rPr>
                <w:noProof/>
                <w:webHidden/>
              </w:rPr>
              <w:fldChar w:fldCharType="end"/>
            </w:r>
          </w:hyperlink>
        </w:p>
        <w:p w14:paraId="7D9123AA" w14:textId="67D22039" w:rsidR="00D332DB" w:rsidRDefault="00B51F53">
          <w:pPr>
            <w:pStyle w:val="TOC3"/>
            <w:tabs>
              <w:tab w:val="right" w:leader="dot" w:pos="9016"/>
            </w:tabs>
            <w:rPr>
              <w:rFonts w:eastAsiaTheme="minorEastAsia"/>
              <w:noProof/>
              <w:lang w:eastAsia="en-GB"/>
            </w:rPr>
          </w:pPr>
          <w:hyperlink w:anchor="_Toc69129454" w:history="1">
            <w:r w:rsidR="00D332DB" w:rsidRPr="0032584B">
              <w:rPr>
                <w:rStyle w:val="Hyperlink"/>
                <w:noProof/>
              </w:rPr>
              <w:t>6.3.4.1 Mass attenuation coefficient calculation</w:t>
            </w:r>
            <w:r w:rsidR="00D332DB">
              <w:rPr>
                <w:noProof/>
                <w:webHidden/>
              </w:rPr>
              <w:tab/>
            </w:r>
            <w:r w:rsidR="00D332DB">
              <w:rPr>
                <w:noProof/>
                <w:webHidden/>
              </w:rPr>
              <w:fldChar w:fldCharType="begin"/>
            </w:r>
            <w:r w:rsidR="00D332DB">
              <w:rPr>
                <w:noProof/>
                <w:webHidden/>
              </w:rPr>
              <w:instrText xml:space="preserve"> PAGEREF _Toc69129454 \h </w:instrText>
            </w:r>
            <w:r w:rsidR="00D332DB">
              <w:rPr>
                <w:noProof/>
                <w:webHidden/>
              </w:rPr>
            </w:r>
            <w:r w:rsidR="00D332DB">
              <w:rPr>
                <w:noProof/>
                <w:webHidden/>
              </w:rPr>
              <w:fldChar w:fldCharType="separate"/>
            </w:r>
            <w:r w:rsidR="00D332DB">
              <w:rPr>
                <w:noProof/>
                <w:webHidden/>
              </w:rPr>
              <w:t>178</w:t>
            </w:r>
            <w:r w:rsidR="00D332DB">
              <w:rPr>
                <w:noProof/>
                <w:webHidden/>
              </w:rPr>
              <w:fldChar w:fldCharType="end"/>
            </w:r>
          </w:hyperlink>
        </w:p>
        <w:p w14:paraId="4412390D" w14:textId="39F554A5" w:rsidR="00D332DB" w:rsidRDefault="00B51F53">
          <w:pPr>
            <w:pStyle w:val="TOC3"/>
            <w:tabs>
              <w:tab w:val="left" w:pos="1320"/>
              <w:tab w:val="right" w:leader="dot" w:pos="9016"/>
            </w:tabs>
            <w:rPr>
              <w:rFonts w:eastAsiaTheme="minorEastAsia"/>
              <w:noProof/>
              <w:lang w:eastAsia="en-GB"/>
            </w:rPr>
          </w:pPr>
          <w:hyperlink w:anchor="_Toc69129455" w:history="1">
            <w:r w:rsidR="00D332DB" w:rsidRPr="0032584B">
              <w:rPr>
                <w:rStyle w:val="Hyperlink"/>
                <w:noProof/>
              </w:rPr>
              <w:t>6.3.4.2</w:t>
            </w:r>
            <w:r w:rsidR="00D332DB">
              <w:rPr>
                <w:rFonts w:eastAsiaTheme="minorEastAsia"/>
                <w:noProof/>
                <w:lang w:eastAsia="en-GB"/>
              </w:rPr>
              <w:tab/>
            </w:r>
            <w:r w:rsidR="00D332DB" w:rsidRPr="0032584B">
              <w:rPr>
                <w:rStyle w:val="Hyperlink"/>
                <w:noProof/>
              </w:rPr>
              <w:t>Phase segmentation using Ptychography</w:t>
            </w:r>
            <w:r w:rsidR="00D332DB">
              <w:rPr>
                <w:noProof/>
                <w:webHidden/>
              </w:rPr>
              <w:tab/>
            </w:r>
            <w:r w:rsidR="00D332DB">
              <w:rPr>
                <w:noProof/>
                <w:webHidden/>
              </w:rPr>
              <w:fldChar w:fldCharType="begin"/>
            </w:r>
            <w:r w:rsidR="00D332DB">
              <w:rPr>
                <w:noProof/>
                <w:webHidden/>
              </w:rPr>
              <w:instrText xml:space="preserve"> PAGEREF _Toc69129455 \h </w:instrText>
            </w:r>
            <w:r w:rsidR="00D332DB">
              <w:rPr>
                <w:noProof/>
                <w:webHidden/>
              </w:rPr>
            </w:r>
            <w:r w:rsidR="00D332DB">
              <w:rPr>
                <w:noProof/>
                <w:webHidden/>
              </w:rPr>
              <w:fldChar w:fldCharType="separate"/>
            </w:r>
            <w:r w:rsidR="00D332DB">
              <w:rPr>
                <w:noProof/>
                <w:webHidden/>
              </w:rPr>
              <w:t>181</w:t>
            </w:r>
            <w:r w:rsidR="00D332DB">
              <w:rPr>
                <w:noProof/>
                <w:webHidden/>
              </w:rPr>
              <w:fldChar w:fldCharType="end"/>
            </w:r>
          </w:hyperlink>
        </w:p>
        <w:p w14:paraId="0A239126" w14:textId="5A1148AA" w:rsidR="00D332DB" w:rsidRDefault="00B51F53">
          <w:pPr>
            <w:pStyle w:val="TOC3"/>
            <w:tabs>
              <w:tab w:val="right" w:leader="dot" w:pos="9016"/>
            </w:tabs>
            <w:rPr>
              <w:rFonts w:eastAsiaTheme="minorEastAsia"/>
              <w:noProof/>
              <w:lang w:eastAsia="en-GB"/>
            </w:rPr>
          </w:pPr>
          <w:hyperlink w:anchor="_Toc69129456" w:history="1">
            <w:r w:rsidR="00D332DB" w:rsidRPr="0032584B">
              <w:rPr>
                <w:rStyle w:val="Hyperlink"/>
                <w:noProof/>
              </w:rPr>
              <w:t>6.3.4.3 Tracking identical regions of interest</w:t>
            </w:r>
            <w:r w:rsidR="00D332DB">
              <w:rPr>
                <w:noProof/>
                <w:webHidden/>
              </w:rPr>
              <w:tab/>
            </w:r>
            <w:r w:rsidR="00D332DB">
              <w:rPr>
                <w:noProof/>
                <w:webHidden/>
              </w:rPr>
              <w:fldChar w:fldCharType="begin"/>
            </w:r>
            <w:r w:rsidR="00D332DB">
              <w:rPr>
                <w:noProof/>
                <w:webHidden/>
              </w:rPr>
              <w:instrText xml:space="preserve"> PAGEREF _Toc69129456 \h </w:instrText>
            </w:r>
            <w:r w:rsidR="00D332DB">
              <w:rPr>
                <w:noProof/>
                <w:webHidden/>
              </w:rPr>
            </w:r>
            <w:r w:rsidR="00D332DB">
              <w:rPr>
                <w:noProof/>
                <w:webHidden/>
              </w:rPr>
              <w:fldChar w:fldCharType="separate"/>
            </w:r>
            <w:r w:rsidR="00D332DB">
              <w:rPr>
                <w:noProof/>
                <w:webHidden/>
              </w:rPr>
              <w:t>192</w:t>
            </w:r>
            <w:r w:rsidR="00D332DB">
              <w:rPr>
                <w:noProof/>
                <w:webHidden/>
              </w:rPr>
              <w:fldChar w:fldCharType="end"/>
            </w:r>
          </w:hyperlink>
        </w:p>
        <w:p w14:paraId="11842816" w14:textId="30315130" w:rsidR="00D332DB" w:rsidRDefault="00B51F53">
          <w:pPr>
            <w:pStyle w:val="TOC1"/>
            <w:tabs>
              <w:tab w:val="left" w:pos="660"/>
            </w:tabs>
            <w:rPr>
              <w:rFonts w:asciiTheme="minorHAnsi" w:eastAsiaTheme="minorEastAsia" w:hAnsiTheme="minorHAnsi" w:cstheme="minorBidi"/>
              <w:sz w:val="22"/>
              <w:szCs w:val="22"/>
              <w:lang w:eastAsia="en-GB"/>
            </w:rPr>
          </w:pPr>
          <w:hyperlink w:anchor="_Toc69129457" w:history="1">
            <w:r w:rsidR="00D332DB" w:rsidRPr="0032584B">
              <w:rPr>
                <w:rStyle w:val="Hyperlink"/>
              </w:rPr>
              <w:t>6.4</w:t>
            </w:r>
            <w:r w:rsidR="00D332DB">
              <w:rPr>
                <w:rFonts w:asciiTheme="minorHAnsi" w:eastAsiaTheme="minorEastAsia" w:hAnsiTheme="minorHAnsi" w:cstheme="minorBidi"/>
                <w:sz w:val="22"/>
                <w:szCs w:val="22"/>
                <w:lang w:eastAsia="en-GB"/>
              </w:rPr>
              <w:tab/>
            </w:r>
            <w:r w:rsidR="00D332DB" w:rsidRPr="0032584B">
              <w:rPr>
                <w:rStyle w:val="Hyperlink"/>
              </w:rPr>
              <w:t>Conclusions</w:t>
            </w:r>
            <w:r w:rsidR="00D332DB">
              <w:rPr>
                <w:webHidden/>
              </w:rPr>
              <w:tab/>
            </w:r>
            <w:r w:rsidR="00D332DB">
              <w:rPr>
                <w:webHidden/>
              </w:rPr>
              <w:fldChar w:fldCharType="begin"/>
            </w:r>
            <w:r w:rsidR="00D332DB">
              <w:rPr>
                <w:webHidden/>
              </w:rPr>
              <w:instrText xml:space="preserve"> PAGEREF _Toc69129457 \h </w:instrText>
            </w:r>
            <w:r w:rsidR="00D332DB">
              <w:rPr>
                <w:webHidden/>
              </w:rPr>
            </w:r>
            <w:r w:rsidR="00D332DB">
              <w:rPr>
                <w:webHidden/>
              </w:rPr>
              <w:fldChar w:fldCharType="separate"/>
            </w:r>
            <w:r w:rsidR="00D332DB">
              <w:rPr>
                <w:webHidden/>
              </w:rPr>
              <w:t>197</w:t>
            </w:r>
            <w:r w:rsidR="00D332DB">
              <w:rPr>
                <w:webHidden/>
              </w:rPr>
              <w:fldChar w:fldCharType="end"/>
            </w:r>
          </w:hyperlink>
        </w:p>
        <w:p w14:paraId="1602A032" w14:textId="484F145F" w:rsidR="00D332DB" w:rsidRDefault="00B51F53">
          <w:pPr>
            <w:pStyle w:val="TOC1"/>
            <w:tabs>
              <w:tab w:val="left" w:pos="660"/>
            </w:tabs>
            <w:rPr>
              <w:rFonts w:asciiTheme="minorHAnsi" w:eastAsiaTheme="minorEastAsia" w:hAnsiTheme="minorHAnsi" w:cstheme="minorBidi"/>
              <w:sz w:val="22"/>
              <w:szCs w:val="22"/>
              <w:lang w:eastAsia="en-GB"/>
            </w:rPr>
          </w:pPr>
          <w:hyperlink w:anchor="_Toc69129458" w:history="1">
            <w:r w:rsidR="00D332DB" w:rsidRPr="0032584B">
              <w:rPr>
                <w:rStyle w:val="Hyperlink"/>
              </w:rPr>
              <w:t>7.1</w:t>
            </w:r>
            <w:r w:rsidR="00D332DB">
              <w:rPr>
                <w:rFonts w:asciiTheme="minorHAnsi" w:eastAsiaTheme="minorEastAsia" w:hAnsiTheme="minorHAnsi" w:cstheme="minorBidi"/>
                <w:sz w:val="22"/>
                <w:szCs w:val="22"/>
                <w:lang w:eastAsia="en-GB"/>
              </w:rPr>
              <w:tab/>
            </w:r>
            <w:r w:rsidR="00D332DB" w:rsidRPr="0032584B">
              <w:rPr>
                <w:rStyle w:val="Hyperlink"/>
              </w:rPr>
              <w:t>Quantifying the impact of gas drying atmospheres on infiltrated SOFC fuel electrodes</w:t>
            </w:r>
            <w:r w:rsidR="00D332DB">
              <w:rPr>
                <w:webHidden/>
              </w:rPr>
              <w:tab/>
            </w:r>
            <w:r w:rsidR="00D332DB">
              <w:rPr>
                <w:webHidden/>
              </w:rPr>
              <w:fldChar w:fldCharType="begin"/>
            </w:r>
            <w:r w:rsidR="00D332DB">
              <w:rPr>
                <w:webHidden/>
              </w:rPr>
              <w:instrText xml:space="preserve"> PAGEREF _Toc69129458 \h </w:instrText>
            </w:r>
            <w:r w:rsidR="00D332DB">
              <w:rPr>
                <w:webHidden/>
              </w:rPr>
            </w:r>
            <w:r w:rsidR="00D332DB">
              <w:rPr>
                <w:webHidden/>
              </w:rPr>
              <w:fldChar w:fldCharType="separate"/>
            </w:r>
            <w:r w:rsidR="00D332DB">
              <w:rPr>
                <w:webHidden/>
              </w:rPr>
              <w:t>198</w:t>
            </w:r>
            <w:r w:rsidR="00D332DB">
              <w:rPr>
                <w:webHidden/>
              </w:rPr>
              <w:fldChar w:fldCharType="end"/>
            </w:r>
          </w:hyperlink>
        </w:p>
        <w:p w14:paraId="7DC86D96" w14:textId="02A1CEC7" w:rsidR="00D332DB" w:rsidRDefault="00B51F53">
          <w:pPr>
            <w:pStyle w:val="TOC2"/>
            <w:tabs>
              <w:tab w:val="right" w:leader="dot" w:pos="9016"/>
            </w:tabs>
            <w:rPr>
              <w:rFonts w:eastAsiaTheme="minorEastAsia"/>
              <w:iCs w:val="0"/>
              <w:noProof/>
              <w:szCs w:val="22"/>
              <w:lang w:eastAsia="en-GB"/>
            </w:rPr>
          </w:pPr>
          <w:hyperlink w:anchor="_Toc69129459" w:history="1">
            <w:r w:rsidR="00D332DB" w:rsidRPr="0032584B">
              <w:rPr>
                <w:rStyle w:val="Hyperlink"/>
                <w:noProof/>
              </w:rPr>
              <w:t>7.1.1 Recommendations from Chapter 4</w:t>
            </w:r>
            <w:r w:rsidR="00D332DB">
              <w:rPr>
                <w:noProof/>
                <w:webHidden/>
              </w:rPr>
              <w:tab/>
            </w:r>
            <w:r w:rsidR="00D332DB">
              <w:rPr>
                <w:noProof/>
                <w:webHidden/>
              </w:rPr>
              <w:fldChar w:fldCharType="begin"/>
            </w:r>
            <w:r w:rsidR="00D332DB">
              <w:rPr>
                <w:noProof/>
                <w:webHidden/>
              </w:rPr>
              <w:instrText xml:space="preserve"> PAGEREF _Toc69129459 \h </w:instrText>
            </w:r>
            <w:r w:rsidR="00D332DB">
              <w:rPr>
                <w:noProof/>
                <w:webHidden/>
              </w:rPr>
            </w:r>
            <w:r w:rsidR="00D332DB">
              <w:rPr>
                <w:noProof/>
                <w:webHidden/>
              </w:rPr>
              <w:fldChar w:fldCharType="separate"/>
            </w:r>
            <w:r w:rsidR="00D332DB">
              <w:rPr>
                <w:noProof/>
                <w:webHidden/>
              </w:rPr>
              <w:t>199</w:t>
            </w:r>
            <w:r w:rsidR="00D332DB">
              <w:rPr>
                <w:noProof/>
                <w:webHidden/>
              </w:rPr>
              <w:fldChar w:fldCharType="end"/>
            </w:r>
          </w:hyperlink>
        </w:p>
        <w:p w14:paraId="0D210204" w14:textId="2B99E876" w:rsidR="00D332DB" w:rsidRDefault="00B51F53">
          <w:pPr>
            <w:pStyle w:val="TOC2"/>
            <w:tabs>
              <w:tab w:val="right" w:leader="dot" w:pos="9016"/>
            </w:tabs>
            <w:rPr>
              <w:rFonts w:eastAsiaTheme="minorEastAsia"/>
              <w:iCs w:val="0"/>
              <w:noProof/>
              <w:szCs w:val="22"/>
              <w:lang w:eastAsia="en-GB"/>
            </w:rPr>
          </w:pPr>
          <w:hyperlink w:anchor="_Toc69129460" w:history="1">
            <w:r w:rsidR="00D332DB" w:rsidRPr="0032584B">
              <w:rPr>
                <w:rStyle w:val="Hyperlink"/>
                <w:noProof/>
              </w:rPr>
              <w:t>7.1.2 Further work from Chapter 4</w:t>
            </w:r>
            <w:r w:rsidR="00D332DB">
              <w:rPr>
                <w:noProof/>
                <w:webHidden/>
              </w:rPr>
              <w:tab/>
            </w:r>
            <w:r w:rsidR="00D332DB">
              <w:rPr>
                <w:noProof/>
                <w:webHidden/>
              </w:rPr>
              <w:fldChar w:fldCharType="begin"/>
            </w:r>
            <w:r w:rsidR="00D332DB">
              <w:rPr>
                <w:noProof/>
                <w:webHidden/>
              </w:rPr>
              <w:instrText xml:space="preserve"> PAGEREF _Toc69129460 \h </w:instrText>
            </w:r>
            <w:r w:rsidR="00D332DB">
              <w:rPr>
                <w:noProof/>
                <w:webHidden/>
              </w:rPr>
            </w:r>
            <w:r w:rsidR="00D332DB">
              <w:rPr>
                <w:noProof/>
                <w:webHidden/>
              </w:rPr>
              <w:fldChar w:fldCharType="separate"/>
            </w:r>
            <w:r w:rsidR="00D332DB">
              <w:rPr>
                <w:noProof/>
                <w:webHidden/>
              </w:rPr>
              <w:t>199</w:t>
            </w:r>
            <w:r w:rsidR="00D332DB">
              <w:rPr>
                <w:noProof/>
                <w:webHidden/>
              </w:rPr>
              <w:fldChar w:fldCharType="end"/>
            </w:r>
          </w:hyperlink>
        </w:p>
        <w:p w14:paraId="465703EF" w14:textId="1F2B83BE" w:rsidR="00D332DB" w:rsidRDefault="00B51F53">
          <w:pPr>
            <w:pStyle w:val="TOC1"/>
            <w:tabs>
              <w:tab w:val="left" w:pos="660"/>
            </w:tabs>
            <w:rPr>
              <w:rFonts w:asciiTheme="minorHAnsi" w:eastAsiaTheme="minorEastAsia" w:hAnsiTheme="minorHAnsi" w:cstheme="minorBidi"/>
              <w:sz w:val="22"/>
              <w:szCs w:val="22"/>
              <w:lang w:eastAsia="en-GB"/>
            </w:rPr>
          </w:pPr>
          <w:hyperlink w:anchor="_Toc69129461" w:history="1">
            <w:r w:rsidR="00D332DB" w:rsidRPr="0032584B">
              <w:rPr>
                <w:rStyle w:val="Hyperlink"/>
              </w:rPr>
              <w:t xml:space="preserve">7.2 </w:t>
            </w:r>
            <w:r w:rsidR="00D332DB">
              <w:rPr>
                <w:rFonts w:asciiTheme="minorHAnsi" w:eastAsiaTheme="minorEastAsia" w:hAnsiTheme="minorHAnsi" w:cstheme="minorBidi"/>
                <w:sz w:val="22"/>
                <w:szCs w:val="22"/>
                <w:lang w:eastAsia="en-GB"/>
              </w:rPr>
              <w:tab/>
            </w:r>
            <w:r w:rsidR="00D332DB" w:rsidRPr="0032584B">
              <w:rPr>
                <w:rStyle w:val="Hyperlink"/>
              </w:rPr>
              <w:t>The impact of current collector degradation on the initial electrochemical performance of infiltrated Solid Oxide Cells</w:t>
            </w:r>
            <w:r w:rsidR="00D332DB">
              <w:rPr>
                <w:webHidden/>
              </w:rPr>
              <w:tab/>
            </w:r>
            <w:r w:rsidR="00D332DB">
              <w:rPr>
                <w:webHidden/>
              </w:rPr>
              <w:fldChar w:fldCharType="begin"/>
            </w:r>
            <w:r w:rsidR="00D332DB">
              <w:rPr>
                <w:webHidden/>
              </w:rPr>
              <w:instrText xml:space="preserve"> PAGEREF _Toc69129461 \h </w:instrText>
            </w:r>
            <w:r w:rsidR="00D332DB">
              <w:rPr>
                <w:webHidden/>
              </w:rPr>
            </w:r>
            <w:r w:rsidR="00D332DB">
              <w:rPr>
                <w:webHidden/>
              </w:rPr>
              <w:fldChar w:fldCharType="separate"/>
            </w:r>
            <w:r w:rsidR="00D332DB">
              <w:rPr>
                <w:webHidden/>
              </w:rPr>
              <w:t>200</w:t>
            </w:r>
            <w:r w:rsidR="00D332DB">
              <w:rPr>
                <w:webHidden/>
              </w:rPr>
              <w:fldChar w:fldCharType="end"/>
            </w:r>
          </w:hyperlink>
        </w:p>
        <w:p w14:paraId="133EAF4F" w14:textId="35715758" w:rsidR="00D332DB" w:rsidRDefault="00B51F53">
          <w:pPr>
            <w:pStyle w:val="TOC2"/>
            <w:tabs>
              <w:tab w:val="right" w:leader="dot" w:pos="9016"/>
            </w:tabs>
            <w:rPr>
              <w:rFonts w:eastAsiaTheme="minorEastAsia"/>
              <w:iCs w:val="0"/>
              <w:noProof/>
              <w:szCs w:val="22"/>
              <w:lang w:eastAsia="en-GB"/>
            </w:rPr>
          </w:pPr>
          <w:hyperlink w:anchor="_Toc69129462" w:history="1">
            <w:r w:rsidR="00D332DB" w:rsidRPr="0032584B">
              <w:rPr>
                <w:rStyle w:val="Hyperlink"/>
                <w:noProof/>
              </w:rPr>
              <w:t>7.2.1 Recommendations from Chapter 5</w:t>
            </w:r>
            <w:r w:rsidR="00D332DB">
              <w:rPr>
                <w:noProof/>
                <w:webHidden/>
              </w:rPr>
              <w:tab/>
            </w:r>
            <w:r w:rsidR="00D332DB">
              <w:rPr>
                <w:noProof/>
                <w:webHidden/>
              </w:rPr>
              <w:fldChar w:fldCharType="begin"/>
            </w:r>
            <w:r w:rsidR="00D332DB">
              <w:rPr>
                <w:noProof/>
                <w:webHidden/>
              </w:rPr>
              <w:instrText xml:space="preserve"> PAGEREF _Toc69129462 \h </w:instrText>
            </w:r>
            <w:r w:rsidR="00D332DB">
              <w:rPr>
                <w:noProof/>
                <w:webHidden/>
              </w:rPr>
            </w:r>
            <w:r w:rsidR="00D332DB">
              <w:rPr>
                <w:noProof/>
                <w:webHidden/>
              </w:rPr>
              <w:fldChar w:fldCharType="separate"/>
            </w:r>
            <w:r w:rsidR="00D332DB">
              <w:rPr>
                <w:noProof/>
                <w:webHidden/>
              </w:rPr>
              <w:t>200</w:t>
            </w:r>
            <w:r w:rsidR="00D332DB">
              <w:rPr>
                <w:noProof/>
                <w:webHidden/>
              </w:rPr>
              <w:fldChar w:fldCharType="end"/>
            </w:r>
          </w:hyperlink>
        </w:p>
        <w:p w14:paraId="66D8281D" w14:textId="7255DFE4" w:rsidR="00D332DB" w:rsidRDefault="00B51F53">
          <w:pPr>
            <w:pStyle w:val="TOC2"/>
            <w:tabs>
              <w:tab w:val="right" w:leader="dot" w:pos="9016"/>
            </w:tabs>
            <w:rPr>
              <w:rFonts w:eastAsiaTheme="minorEastAsia"/>
              <w:iCs w:val="0"/>
              <w:noProof/>
              <w:szCs w:val="22"/>
              <w:lang w:eastAsia="en-GB"/>
            </w:rPr>
          </w:pPr>
          <w:hyperlink w:anchor="_Toc69129463" w:history="1">
            <w:r w:rsidR="00D332DB" w:rsidRPr="0032584B">
              <w:rPr>
                <w:rStyle w:val="Hyperlink"/>
                <w:noProof/>
              </w:rPr>
              <w:t>7.2.2 Further work from Chapter 5</w:t>
            </w:r>
            <w:r w:rsidR="00D332DB">
              <w:rPr>
                <w:noProof/>
                <w:webHidden/>
              </w:rPr>
              <w:tab/>
            </w:r>
            <w:r w:rsidR="00D332DB">
              <w:rPr>
                <w:noProof/>
                <w:webHidden/>
              </w:rPr>
              <w:fldChar w:fldCharType="begin"/>
            </w:r>
            <w:r w:rsidR="00D332DB">
              <w:rPr>
                <w:noProof/>
                <w:webHidden/>
              </w:rPr>
              <w:instrText xml:space="preserve"> PAGEREF _Toc69129463 \h </w:instrText>
            </w:r>
            <w:r w:rsidR="00D332DB">
              <w:rPr>
                <w:noProof/>
                <w:webHidden/>
              </w:rPr>
            </w:r>
            <w:r w:rsidR="00D332DB">
              <w:rPr>
                <w:noProof/>
                <w:webHidden/>
              </w:rPr>
              <w:fldChar w:fldCharType="separate"/>
            </w:r>
            <w:r w:rsidR="00D332DB">
              <w:rPr>
                <w:noProof/>
                <w:webHidden/>
              </w:rPr>
              <w:t>201</w:t>
            </w:r>
            <w:r w:rsidR="00D332DB">
              <w:rPr>
                <w:noProof/>
                <w:webHidden/>
              </w:rPr>
              <w:fldChar w:fldCharType="end"/>
            </w:r>
          </w:hyperlink>
        </w:p>
        <w:p w14:paraId="0D87C624" w14:textId="5C20BBC8" w:rsidR="00D332DB" w:rsidRDefault="00B51F53">
          <w:pPr>
            <w:pStyle w:val="TOC1"/>
            <w:tabs>
              <w:tab w:val="left" w:pos="660"/>
            </w:tabs>
            <w:rPr>
              <w:rFonts w:asciiTheme="minorHAnsi" w:eastAsiaTheme="minorEastAsia" w:hAnsiTheme="minorHAnsi" w:cstheme="minorBidi"/>
              <w:sz w:val="22"/>
              <w:szCs w:val="22"/>
              <w:lang w:eastAsia="en-GB"/>
            </w:rPr>
          </w:pPr>
          <w:hyperlink w:anchor="_Toc69129464" w:history="1">
            <w:r w:rsidR="00D332DB" w:rsidRPr="0032584B">
              <w:rPr>
                <w:rStyle w:val="Hyperlink"/>
              </w:rPr>
              <w:t>7.3</w:t>
            </w:r>
            <w:r w:rsidR="00D332DB">
              <w:rPr>
                <w:rFonts w:asciiTheme="minorHAnsi" w:eastAsiaTheme="minorEastAsia" w:hAnsiTheme="minorHAnsi" w:cstheme="minorBidi"/>
                <w:sz w:val="22"/>
                <w:szCs w:val="22"/>
                <w:lang w:eastAsia="en-GB"/>
              </w:rPr>
              <w:tab/>
            </w:r>
            <w:r w:rsidR="00D332DB" w:rsidRPr="0032584B">
              <w:rPr>
                <w:rStyle w:val="Hyperlink"/>
              </w:rPr>
              <w:t>Identifying Initial coarsening mechanisms in infiltrated SOFC fuel electrodes</w:t>
            </w:r>
            <w:r w:rsidR="00D332DB">
              <w:rPr>
                <w:webHidden/>
              </w:rPr>
              <w:tab/>
            </w:r>
            <w:r w:rsidR="00D332DB">
              <w:rPr>
                <w:webHidden/>
              </w:rPr>
              <w:fldChar w:fldCharType="begin"/>
            </w:r>
            <w:r w:rsidR="00D332DB">
              <w:rPr>
                <w:webHidden/>
              </w:rPr>
              <w:instrText xml:space="preserve"> PAGEREF _Toc69129464 \h </w:instrText>
            </w:r>
            <w:r w:rsidR="00D332DB">
              <w:rPr>
                <w:webHidden/>
              </w:rPr>
            </w:r>
            <w:r w:rsidR="00D332DB">
              <w:rPr>
                <w:webHidden/>
              </w:rPr>
              <w:fldChar w:fldCharType="separate"/>
            </w:r>
            <w:r w:rsidR="00D332DB">
              <w:rPr>
                <w:webHidden/>
              </w:rPr>
              <w:t>201</w:t>
            </w:r>
            <w:r w:rsidR="00D332DB">
              <w:rPr>
                <w:webHidden/>
              </w:rPr>
              <w:fldChar w:fldCharType="end"/>
            </w:r>
          </w:hyperlink>
        </w:p>
        <w:p w14:paraId="2CC9123F" w14:textId="5CCC81AE" w:rsidR="00D332DB" w:rsidRDefault="00B51F53">
          <w:pPr>
            <w:pStyle w:val="TOC2"/>
            <w:tabs>
              <w:tab w:val="right" w:leader="dot" w:pos="9016"/>
            </w:tabs>
            <w:rPr>
              <w:rFonts w:eastAsiaTheme="minorEastAsia"/>
              <w:iCs w:val="0"/>
              <w:noProof/>
              <w:szCs w:val="22"/>
              <w:lang w:eastAsia="en-GB"/>
            </w:rPr>
          </w:pPr>
          <w:hyperlink w:anchor="_Toc69129465" w:history="1">
            <w:r w:rsidR="00D332DB" w:rsidRPr="0032584B">
              <w:rPr>
                <w:rStyle w:val="Hyperlink"/>
                <w:noProof/>
              </w:rPr>
              <w:t>7.3.1 Recommendations from Chapter 6</w:t>
            </w:r>
            <w:r w:rsidR="00D332DB">
              <w:rPr>
                <w:noProof/>
                <w:webHidden/>
              </w:rPr>
              <w:tab/>
            </w:r>
            <w:r w:rsidR="00D332DB">
              <w:rPr>
                <w:noProof/>
                <w:webHidden/>
              </w:rPr>
              <w:fldChar w:fldCharType="begin"/>
            </w:r>
            <w:r w:rsidR="00D332DB">
              <w:rPr>
                <w:noProof/>
                <w:webHidden/>
              </w:rPr>
              <w:instrText xml:space="preserve"> PAGEREF _Toc69129465 \h </w:instrText>
            </w:r>
            <w:r w:rsidR="00D332DB">
              <w:rPr>
                <w:noProof/>
                <w:webHidden/>
              </w:rPr>
            </w:r>
            <w:r w:rsidR="00D332DB">
              <w:rPr>
                <w:noProof/>
                <w:webHidden/>
              </w:rPr>
              <w:fldChar w:fldCharType="separate"/>
            </w:r>
            <w:r w:rsidR="00D332DB">
              <w:rPr>
                <w:noProof/>
                <w:webHidden/>
              </w:rPr>
              <w:t>201</w:t>
            </w:r>
            <w:r w:rsidR="00D332DB">
              <w:rPr>
                <w:noProof/>
                <w:webHidden/>
              </w:rPr>
              <w:fldChar w:fldCharType="end"/>
            </w:r>
          </w:hyperlink>
        </w:p>
        <w:p w14:paraId="38CDB315" w14:textId="3E7477A4" w:rsidR="00D332DB" w:rsidRDefault="00B51F53">
          <w:pPr>
            <w:pStyle w:val="TOC2"/>
            <w:tabs>
              <w:tab w:val="right" w:leader="dot" w:pos="9016"/>
            </w:tabs>
            <w:rPr>
              <w:rFonts w:eastAsiaTheme="minorEastAsia"/>
              <w:iCs w:val="0"/>
              <w:noProof/>
              <w:szCs w:val="22"/>
              <w:lang w:eastAsia="en-GB"/>
            </w:rPr>
          </w:pPr>
          <w:hyperlink w:anchor="_Toc69129466" w:history="1">
            <w:r w:rsidR="00D332DB" w:rsidRPr="0032584B">
              <w:rPr>
                <w:rStyle w:val="Hyperlink"/>
                <w:noProof/>
              </w:rPr>
              <w:t>7.3.2 Further work from Chapter 6</w:t>
            </w:r>
            <w:r w:rsidR="00D332DB">
              <w:rPr>
                <w:noProof/>
                <w:webHidden/>
              </w:rPr>
              <w:tab/>
            </w:r>
            <w:r w:rsidR="00D332DB">
              <w:rPr>
                <w:noProof/>
                <w:webHidden/>
              </w:rPr>
              <w:fldChar w:fldCharType="begin"/>
            </w:r>
            <w:r w:rsidR="00D332DB">
              <w:rPr>
                <w:noProof/>
                <w:webHidden/>
              </w:rPr>
              <w:instrText xml:space="preserve"> PAGEREF _Toc69129466 \h </w:instrText>
            </w:r>
            <w:r w:rsidR="00D332DB">
              <w:rPr>
                <w:noProof/>
                <w:webHidden/>
              </w:rPr>
            </w:r>
            <w:r w:rsidR="00D332DB">
              <w:rPr>
                <w:noProof/>
                <w:webHidden/>
              </w:rPr>
              <w:fldChar w:fldCharType="separate"/>
            </w:r>
            <w:r w:rsidR="00D332DB">
              <w:rPr>
                <w:noProof/>
                <w:webHidden/>
              </w:rPr>
              <w:t>202</w:t>
            </w:r>
            <w:r w:rsidR="00D332DB">
              <w:rPr>
                <w:noProof/>
                <w:webHidden/>
              </w:rPr>
              <w:fldChar w:fldCharType="end"/>
            </w:r>
          </w:hyperlink>
        </w:p>
        <w:p w14:paraId="465C0F4F" w14:textId="729EC31E" w:rsidR="00D332DB" w:rsidRDefault="00B51F53">
          <w:pPr>
            <w:pStyle w:val="TOC1"/>
            <w:rPr>
              <w:rFonts w:asciiTheme="minorHAnsi" w:eastAsiaTheme="minorEastAsia" w:hAnsiTheme="minorHAnsi" w:cstheme="minorBidi"/>
              <w:sz w:val="22"/>
              <w:szCs w:val="22"/>
              <w:lang w:eastAsia="en-GB"/>
            </w:rPr>
          </w:pPr>
          <w:hyperlink w:anchor="_Toc69129467" w:history="1">
            <w:r w:rsidR="00D332DB" w:rsidRPr="0032584B">
              <w:rPr>
                <w:rStyle w:val="Hyperlink"/>
              </w:rPr>
              <w:t>7.4 Concluding Remarks</w:t>
            </w:r>
            <w:r w:rsidR="00D332DB">
              <w:rPr>
                <w:webHidden/>
              </w:rPr>
              <w:tab/>
            </w:r>
            <w:r w:rsidR="00D332DB">
              <w:rPr>
                <w:webHidden/>
              </w:rPr>
              <w:fldChar w:fldCharType="begin"/>
            </w:r>
            <w:r w:rsidR="00D332DB">
              <w:rPr>
                <w:webHidden/>
              </w:rPr>
              <w:instrText xml:space="preserve"> PAGEREF _Toc69129467 \h </w:instrText>
            </w:r>
            <w:r w:rsidR="00D332DB">
              <w:rPr>
                <w:webHidden/>
              </w:rPr>
            </w:r>
            <w:r w:rsidR="00D332DB">
              <w:rPr>
                <w:webHidden/>
              </w:rPr>
              <w:fldChar w:fldCharType="separate"/>
            </w:r>
            <w:r w:rsidR="00D332DB">
              <w:rPr>
                <w:webHidden/>
              </w:rPr>
              <w:t>203</w:t>
            </w:r>
            <w:r w:rsidR="00D332DB">
              <w:rPr>
                <w:webHidden/>
              </w:rPr>
              <w:fldChar w:fldCharType="end"/>
            </w:r>
          </w:hyperlink>
        </w:p>
        <w:p w14:paraId="54C42C01" w14:textId="13BD4EB2" w:rsidR="00D332DB" w:rsidRDefault="00B51F53">
          <w:pPr>
            <w:pStyle w:val="TOC1"/>
            <w:rPr>
              <w:rFonts w:asciiTheme="minorHAnsi" w:eastAsiaTheme="minorEastAsia" w:hAnsiTheme="minorHAnsi" w:cstheme="minorBidi"/>
              <w:sz w:val="22"/>
              <w:szCs w:val="22"/>
              <w:lang w:eastAsia="en-GB"/>
            </w:rPr>
          </w:pPr>
          <w:hyperlink w:anchor="_Toc69129468" w:history="1">
            <w:r w:rsidR="00D332DB" w:rsidRPr="0032584B">
              <w:rPr>
                <w:rStyle w:val="Hyperlink"/>
              </w:rPr>
              <w:t>References</w:t>
            </w:r>
            <w:r w:rsidR="00D332DB">
              <w:rPr>
                <w:webHidden/>
              </w:rPr>
              <w:tab/>
            </w:r>
            <w:r w:rsidR="00D332DB">
              <w:rPr>
                <w:webHidden/>
              </w:rPr>
              <w:fldChar w:fldCharType="begin"/>
            </w:r>
            <w:r w:rsidR="00D332DB">
              <w:rPr>
                <w:webHidden/>
              </w:rPr>
              <w:instrText xml:space="preserve"> PAGEREF _Toc69129468 \h </w:instrText>
            </w:r>
            <w:r w:rsidR="00D332DB">
              <w:rPr>
                <w:webHidden/>
              </w:rPr>
            </w:r>
            <w:r w:rsidR="00D332DB">
              <w:rPr>
                <w:webHidden/>
              </w:rPr>
              <w:fldChar w:fldCharType="separate"/>
            </w:r>
            <w:r w:rsidR="00D332DB">
              <w:rPr>
                <w:webHidden/>
              </w:rPr>
              <w:t>204</w:t>
            </w:r>
            <w:r w:rsidR="00D332DB">
              <w:rPr>
                <w:webHidden/>
              </w:rPr>
              <w:fldChar w:fldCharType="end"/>
            </w:r>
          </w:hyperlink>
        </w:p>
        <w:p w14:paraId="04D90832" w14:textId="26077DBF" w:rsidR="00D332DB" w:rsidRDefault="00B51F53">
          <w:pPr>
            <w:pStyle w:val="TOC1"/>
            <w:rPr>
              <w:rFonts w:asciiTheme="minorHAnsi" w:eastAsiaTheme="minorEastAsia" w:hAnsiTheme="minorHAnsi" w:cstheme="minorBidi"/>
              <w:sz w:val="22"/>
              <w:szCs w:val="22"/>
              <w:lang w:eastAsia="en-GB"/>
            </w:rPr>
          </w:pPr>
          <w:hyperlink w:anchor="_Toc69129469" w:history="1">
            <w:r w:rsidR="00D332DB" w:rsidRPr="0032584B">
              <w:rPr>
                <w:rStyle w:val="Hyperlink"/>
              </w:rPr>
              <w:t>Appendix</w:t>
            </w:r>
            <w:r w:rsidR="00D332DB">
              <w:rPr>
                <w:webHidden/>
              </w:rPr>
              <w:tab/>
            </w:r>
            <w:r w:rsidR="00D332DB">
              <w:rPr>
                <w:webHidden/>
              </w:rPr>
              <w:fldChar w:fldCharType="begin"/>
            </w:r>
            <w:r w:rsidR="00D332DB">
              <w:rPr>
                <w:webHidden/>
              </w:rPr>
              <w:instrText xml:space="preserve"> PAGEREF _Toc69129469 \h </w:instrText>
            </w:r>
            <w:r w:rsidR="00D332DB">
              <w:rPr>
                <w:webHidden/>
              </w:rPr>
            </w:r>
            <w:r w:rsidR="00D332DB">
              <w:rPr>
                <w:webHidden/>
              </w:rPr>
              <w:fldChar w:fldCharType="separate"/>
            </w:r>
            <w:r w:rsidR="00D332DB">
              <w:rPr>
                <w:webHidden/>
              </w:rPr>
              <w:t>236</w:t>
            </w:r>
            <w:r w:rsidR="00D332DB">
              <w:rPr>
                <w:webHidden/>
              </w:rPr>
              <w:fldChar w:fldCharType="end"/>
            </w:r>
          </w:hyperlink>
        </w:p>
        <w:p w14:paraId="151C13E0" w14:textId="1CE75D89" w:rsidR="00D332DB" w:rsidRDefault="00B51F53">
          <w:pPr>
            <w:pStyle w:val="TOC2"/>
            <w:tabs>
              <w:tab w:val="right" w:leader="dot" w:pos="9016"/>
            </w:tabs>
            <w:rPr>
              <w:rFonts w:eastAsiaTheme="minorEastAsia"/>
              <w:iCs w:val="0"/>
              <w:noProof/>
              <w:szCs w:val="22"/>
              <w:lang w:eastAsia="en-GB"/>
            </w:rPr>
          </w:pPr>
          <w:hyperlink w:anchor="_Toc69129470" w:history="1">
            <w:r w:rsidR="00D332DB" w:rsidRPr="0032584B">
              <w:rPr>
                <w:rStyle w:val="Hyperlink"/>
                <w:noProof/>
              </w:rPr>
              <w:t>4.3.1 Structural Identification</w:t>
            </w:r>
            <w:r w:rsidR="00D332DB">
              <w:rPr>
                <w:noProof/>
                <w:webHidden/>
              </w:rPr>
              <w:tab/>
            </w:r>
            <w:r w:rsidR="00D332DB">
              <w:rPr>
                <w:noProof/>
                <w:webHidden/>
              </w:rPr>
              <w:fldChar w:fldCharType="begin"/>
            </w:r>
            <w:r w:rsidR="00D332DB">
              <w:rPr>
                <w:noProof/>
                <w:webHidden/>
              </w:rPr>
              <w:instrText xml:space="preserve"> PAGEREF _Toc69129470 \h </w:instrText>
            </w:r>
            <w:r w:rsidR="00D332DB">
              <w:rPr>
                <w:noProof/>
                <w:webHidden/>
              </w:rPr>
            </w:r>
            <w:r w:rsidR="00D332DB">
              <w:rPr>
                <w:noProof/>
                <w:webHidden/>
              </w:rPr>
              <w:fldChar w:fldCharType="separate"/>
            </w:r>
            <w:r w:rsidR="00D332DB">
              <w:rPr>
                <w:noProof/>
                <w:webHidden/>
              </w:rPr>
              <w:t>236</w:t>
            </w:r>
            <w:r w:rsidR="00D332DB">
              <w:rPr>
                <w:noProof/>
                <w:webHidden/>
              </w:rPr>
              <w:fldChar w:fldCharType="end"/>
            </w:r>
          </w:hyperlink>
        </w:p>
        <w:p w14:paraId="71332435" w14:textId="736EE82D" w:rsidR="00D332DB" w:rsidRDefault="00B51F53">
          <w:pPr>
            <w:pStyle w:val="TOC2"/>
            <w:tabs>
              <w:tab w:val="right" w:leader="dot" w:pos="9016"/>
            </w:tabs>
            <w:rPr>
              <w:rFonts w:eastAsiaTheme="minorEastAsia"/>
              <w:iCs w:val="0"/>
              <w:noProof/>
              <w:szCs w:val="22"/>
              <w:lang w:eastAsia="en-GB"/>
            </w:rPr>
          </w:pPr>
          <w:hyperlink w:anchor="_Toc69129471" w:history="1">
            <w:r w:rsidR="00D332DB" w:rsidRPr="0032584B">
              <w:rPr>
                <w:rStyle w:val="Hyperlink"/>
                <w:noProof/>
              </w:rPr>
              <w:t>4.3.2 Chemical Identification</w:t>
            </w:r>
            <w:r w:rsidR="00D332DB">
              <w:rPr>
                <w:noProof/>
                <w:webHidden/>
              </w:rPr>
              <w:tab/>
            </w:r>
            <w:r w:rsidR="00D332DB">
              <w:rPr>
                <w:noProof/>
                <w:webHidden/>
              </w:rPr>
              <w:fldChar w:fldCharType="begin"/>
            </w:r>
            <w:r w:rsidR="00D332DB">
              <w:rPr>
                <w:noProof/>
                <w:webHidden/>
              </w:rPr>
              <w:instrText xml:space="preserve"> PAGEREF _Toc69129471 \h </w:instrText>
            </w:r>
            <w:r w:rsidR="00D332DB">
              <w:rPr>
                <w:noProof/>
                <w:webHidden/>
              </w:rPr>
            </w:r>
            <w:r w:rsidR="00D332DB">
              <w:rPr>
                <w:noProof/>
                <w:webHidden/>
              </w:rPr>
              <w:fldChar w:fldCharType="separate"/>
            </w:r>
            <w:r w:rsidR="00D332DB">
              <w:rPr>
                <w:noProof/>
                <w:webHidden/>
              </w:rPr>
              <w:t>236</w:t>
            </w:r>
            <w:r w:rsidR="00D332DB">
              <w:rPr>
                <w:noProof/>
                <w:webHidden/>
              </w:rPr>
              <w:fldChar w:fldCharType="end"/>
            </w:r>
          </w:hyperlink>
        </w:p>
        <w:p w14:paraId="5200E90F" w14:textId="0DE5F639" w:rsidR="00D332DB" w:rsidRDefault="00B51F53">
          <w:pPr>
            <w:pStyle w:val="TOC2"/>
            <w:tabs>
              <w:tab w:val="right" w:leader="dot" w:pos="9016"/>
            </w:tabs>
            <w:rPr>
              <w:rFonts w:eastAsiaTheme="minorEastAsia"/>
              <w:iCs w:val="0"/>
              <w:noProof/>
              <w:szCs w:val="22"/>
              <w:lang w:eastAsia="en-GB"/>
            </w:rPr>
          </w:pPr>
          <w:hyperlink w:anchor="_Toc69129472" w:history="1">
            <w:r w:rsidR="00D332DB" w:rsidRPr="0032584B">
              <w:rPr>
                <w:rStyle w:val="Hyperlink"/>
                <w:noProof/>
              </w:rPr>
              <w:t>4.3.4 Microstructural Identification</w:t>
            </w:r>
            <w:r w:rsidR="00D332DB">
              <w:rPr>
                <w:noProof/>
                <w:webHidden/>
              </w:rPr>
              <w:tab/>
            </w:r>
            <w:r w:rsidR="00D332DB">
              <w:rPr>
                <w:noProof/>
                <w:webHidden/>
              </w:rPr>
              <w:fldChar w:fldCharType="begin"/>
            </w:r>
            <w:r w:rsidR="00D332DB">
              <w:rPr>
                <w:noProof/>
                <w:webHidden/>
              </w:rPr>
              <w:instrText xml:space="preserve"> PAGEREF _Toc69129472 \h </w:instrText>
            </w:r>
            <w:r w:rsidR="00D332DB">
              <w:rPr>
                <w:noProof/>
                <w:webHidden/>
              </w:rPr>
            </w:r>
            <w:r w:rsidR="00D332DB">
              <w:rPr>
                <w:noProof/>
                <w:webHidden/>
              </w:rPr>
              <w:fldChar w:fldCharType="separate"/>
            </w:r>
            <w:r w:rsidR="00D332DB">
              <w:rPr>
                <w:noProof/>
                <w:webHidden/>
              </w:rPr>
              <w:t>237</w:t>
            </w:r>
            <w:r w:rsidR="00D332DB">
              <w:rPr>
                <w:noProof/>
                <w:webHidden/>
              </w:rPr>
              <w:fldChar w:fldCharType="end"/>
            </w:r>
          </w:hyperlink>
        </w:p>
        <w:p w14:paraId="07F9BC32" w14:textId="0680EFA8" w:rsidR="00D332DB" w:rsidRDefault="00B51F53">
          <w:pPr>
            <w:pStyle w:val="TOC3"/>
            <w:tabs>
              <w:tab w:val="right" w:leader="dot" w:pos="9016"/>
            </w:tabs>
            <w:rPr>
              <w:rFonts w:eastAsiaTheme="minorEastAsia"/>
              <w:noProof/>
              <w:lang w:eastAsia="en-GB"/>
            </w:rPr>
          </w:pPr>
          <w:hyperlink w:anchor="_Toc69129473" w:history="1">
            <w:r w:rsidR="00D332DB" w:rsidRPr="0032584B">
              <w:rPr>
                <w:rStyle w:val="Hyperlink"/>
                <w:noProof/>
              </w:rPr>
              <w:t>Percent dispersion (%) calculations</w:t>
            </w:r>
            <w:r w:rsidR="00D332DB">
              <w:rPr>
                <w:noProof/>
                <w:webHidden/>
              </w:rPr>
              <w:tab/>
            </w:r>
            <w:r w:rsidR="00D332DB">
              <w:rPr>
                <w:noProof/>
                <w:webHidden/>
              </w:rPr>
              <w:fldChar w:fldCharType="begin"/>
            </w:r>
            <w:r w:rsidR="00D332DB">
              <w:rPr>
                <w:noProof/>
                <w:webHidden/>
              </w:rPr>
              <w:instrText xml:space="preserve"> PAGEREF _Toc69129473 \h </w:instrText>
            </w:r>
            <w:r w:rsidR="00D332DB">
              <w:rPr>
                <w:noProof/>
                <w:webHidden/>
              </w:rPr>
            </w:r>
            <w:r w:rsidR="00D332DB">
              <w:rPr>
                <w:noProof/>
                <w:webHidden/>
              </w:rPr>
              <w:fldChar w:fldCharType="separate"/>
            </w:r>
            <w:r w:rsidR="00D332DB">
              <w:rPr>
                <w:noProof/>
                <w:webHidden/>
              </w:rPr>
              <w:t>240</w:t>
            </w:r>
            <w:r w:rsidR="00D332DB">
              <w:rPr>
                <w:noProof/>
                <w:webHidden/>
              </w:rPr>
              <w:fldChar w:fldCharType="end"/>
            </w:r>
          </w:hyperlink>
        </w:p>
        <w:p w14:paraId="12B5722E" w14:textId="031373EF" w:rsidR="00D332DB" w:rsidRDefault="00B51F53">
          <w:pPr>
            <w:pStyle w:val="TOC2"/>
            <w:tabs>
              <w:tab w:val="right" w:leader="dot" w:pos="9016"/>
            </w:tabs>
            <w:rPr>
              <w:rFonts w:eastAsiaTheme="minorEastAsia"/>
              <w:iCs w:val="0"/>
              <w:noProof/>
              <w:szCs w:val="22"/>
              <w:lang w:eastAsia="en-GB"/>
            </w:rPr>
          </w:pPr>
          <w:hyperlink w:anchor="_Toc69129474" w:history="1">
            <w:r w:rsidR="00D332DB" w:rsidRPr="0032584B">
              <w:rPr>
                <w:rStyle w:val="Hyperlink"/>
                <w:noProof/>
              </w:rPr>
              <w:t>4.3.5 Electrochemical performance</w:t>
            </w:r>
            <w:r w:rsidR="00D332DB">
              <w:rPr>
                <w:noProof/>
                <w:webHidden/>
              </w:rPr>
              <w:tab/>
            </w:r>
            <w:r w:rsidR="00D332DB">
              <w:rPr>
                <w:noProof/>
                <w:webHidden/>
              </w:rPr>
              <w:fldChar w:fldCharType="begin"/>
            </w:r>
            <w:r w:rsidR="00D332DB">
              <w:rPr>
                <w:noProof/>
                <w:webHidden/>
              </w:rPr>
              <w:instrText xml:space="preserve"> PAGEREF _Toc69129474 \h </w:instrText>
            </w:r>
            <w:r w:rsidR="00D332DB">
              <w:rPr>
                <w:noProof/>
                <w:webHidden/>
              </w:rPr>
            </w:r>
            <w:r w:rsidR="00D332DB">
              <w:rPr>
                <w:noProof/>
                <w:webHidden/>
              </w:rPr>
              <w:fldChar w:fldCharType="separate"/>
            </w:r>
            <w:r w:rsidR="00D332DB">
              <w:rPr>
                <w:noProof/>
                <w:webHidden/>
              </w:rPr>
              <w:t>241</w:t>
            </w:r>
            <w:r w:rsidR="00D332DB">
              <w:rPr>
                <w:noProof/>
                <w:webHidden/>
              </w:rPr>
              <w:fldChar w:fldCharType="end"/>
            </w:r>
          </w:hyperlink>
        </w:p>
        <w:p w14:paraId="55EA0209" w14:textId="66C52175" w:rsidR="00D332DB" w:rsidRDefault="00B51F53">
          <w:pPr>
            <w:pStyle w:val="TOC2"/>
            <w:tabs>
              <w:tab w:val="right" w:leader="dot" w:pos="9016"/>
            </w:tabs>
            <w:rPr>
              <w:rFonts w:eastAsiaTheme="minorEastAsia"/>
              <w:iCs w:val="0"/>
              <w:noProof/>
              <w:szCs w:val="22"/>
              <w:lang w:eastAsia="en-GB"/>
            </w:rPr>
          </w:pPr>
          <w:hyperlink w:anchor="_Toc69129475" w:history="1">
            <w:r w:rsidR="00D332DB" w:rsidRPr="0032584B">
              <w:rPr>
                <w:rStyle w:val="Hyperlink"/>
                <w:noProof/>
              </w:rPr>
              <w:t>5.3.2 Electrochemical performance using electrical impedance spectroscopy</w:t>
            </w:r>
            <w:r w:rsidR="00D332DB">
              <w:rPr>
                <w:noProof/>
                <w:webHidden/>
              </w:rPr>
              <w:tab/>
            </w:r>
            <w:r w:rsidR="00D332DB">
              <w:rPr>
                <w:noProof/>
                <w:webHidden/>
              </w:rPr>
              <w:fldChar w:fldCharType="begin"/>
            </w:r>
            <w:r w:rsidR="00D332DB">
              <w:rPr>
                <w:noProof/>
                <w:webHidden/>
              </w:rPr>
              <w:instrText xml:space="preserve"> PAGEREF _Toc69129475 \h </w:instrText>
            </w:r>
            <w:r w:rsidR="00D332DB">
              <w:rPr>
                <w:noProof/>
                <w:webHidden/>
              </w:rPr>
            </w:r>
            <w:r w:rsidR="00D332DB">
              <w:rPr>
                <w:noProof/>
                <w:webHidden/>
              </w:rPr>
              <w:fldChar w:fldCharType="separate"/>
            </w:r>
            <w:r w:rsidR="00D332DB">
              <w:rPr>
                <w:noProof/>
                <w:webHidden/>
              </w:rPr>
              <w:t>242</w:t>
            </w:r>
            <w:r w:rsidR="00D332DB">
              <w:rPr>
                <w:noProof/>
                <w:webHidden/>
              </w:rPr>
              <w:fldChar w:fldCharType="end"/>
            </w:r>
          </w:hyperlink>
        </w:p>
        <w:p w14:paraId="0D5CFD5F" w14:textId="431B0CE7" w:rsidR="00D332DB" w:rsidRDefault="00B51F53">
          <w:pPr>
            <w:pStyle w:val="TOC3"/>
            <w:tabs>
              <w:tab w:val="right" w:leader="dot" w:pos="9016"/>
            </w:tabs>
            <w:rPr>
              <w:rFonts w:eastAsiaTheme="minorEastAsia"/>
              <w:noProof/>
              <w:lang w:eastAsia="en-GB"/>
            </w:rPr>
          </w:pPr>
          <w:hyperlink w:anchor="_Toc69129476" w:history="1">
            <w:r w:rsidR="00D332DB" w:rsidRPr="0032584B">
              <w:rPr>
                <w:rStyle w:val="Hyperlink"/>
                <w:noProof/>
              </w:rPr>
              <w:t>Electrochemical Performance Activation Energy Plots</w:t>
            </w:r>
            <w:r w:rsidR="00D332DB">
              <w:rPr>
                <w:noProof/>
                <w:webHidden/>
              </w:rPr>
              <w:tab/>
            </w:r>
            <w:r w:rsidR="00D332DB">
              <w:rPr>
                <w:noProof/>
                <w:webHidden/>
              </w:rPr>
              <w:fldChar w:fldCharType="begin"/>
            </w:r>
            <w:r w:rsidR="00D332DB">
              <w:rPr>
                <w:noProof/>
                <w:webHidden/>
              </w:rPr>
              <w:instrText xml:space="preserve"> PAGEREF _Toc69129476 \h </w:instrText>
            </w:r>
            <w:r w:rsidR="00D332DB">
              <w:rPr>
                <w:noProof/>
                <w:webHidden/>
              </w:rPr>
            </w:r>
            <w:r w:rsidR="00D332DB">
              <w:rPr>
                <w:noProof/>
                <w:webHidden/>
              </w:rPr>
              <w:fldChar w:fldCharType="separate"/>
            </w:r>
            <w:r w:rsidR="00D332DB">
              <w:rPr>
                <w:noProof/>
                <w:webHidden/>
              </w:rPr>
              <w:t>242</w:t>
            </w:r>
            <w:r w:rsidR="00D332DB">
              <w:rPr>
                <w:noProof/>
                <w:webHidden/>
              </w:rPr>
              <w:fldChar w:fldCharType="end"/>
            </w:r>
          </w:hyperlink>
        </w:p>
        <w:p w14:paraId="4370E0C8" w14:textId="333CE5C8" w:rsidR="00D332DB" w:rsidRDefault="00B51F53">
          <w:pPr>
            <w:pStyle w:val="TOC2"/>
            <w:tabs>
              <w:tab w:val="right" w:leader="dot" w:pos="9016"/>
            </w:tabs>
            <w:rPr>
              <w:rFonts w:eastAsiaTheme="minorEastAsia"/>
              <w:iCs w:val="0"/>
              <w:noProof/>
              <w:szCs w:val="22"/>
              <w:lang w:eastAsia="en-GB"/>
            </w:rPr>
          </w:pPr>
          <w:hyperlink w:anchor="_Toc69129477" w:history="1">
            <w:r w:rsidR="00D332DB" w:rsidRPr="0032584B">
              <w:rPr>
                <w:rStyle w:val="Hyperlink"/>
                <w:noProof/>
              </w:rPr>
              <w:t>6.3.2 Focussed Ion Beam Scanning Electron Microscopy</w:t>
            </w:r>
            <w:r w:rsidR="00D332DB">
              <w:rPr>
                <w:noProof/>
                <w:webHidden/>
              </w:rPr>
              <w:tab/>
            </w:r>
            <w:r w:rsidR="00D332DB">
              <w:rPr>
                <w:noProof/>
                <w:webHidden/>
              </w:rPr>
              <w:fldChar w:fldCharType="begin"/>
            </w:r>
            <w:r w:rsidR="00D332DB">
              <w:rPr>
                <w:noProof/>
                <w:webHidden/>
              </w:rPr>
              <w:instrText xml:space="preserve"> PAGEREF _Toc69129477 \h </w:instrText>
            </w:r>
            <w:r w:rsidR="00D332DB">
              <w:rPr>
                <w:noProof/>
                <w:webHidden/>
              </w:rPr>
            </w:r>
            <w:r w:rsidR="00D332DB">
              <w:rPr>
                <w:noProof/>
                <w:webHidden/>
              </w:rPr>
              <w:fldChar w:fldCharType="separate"/>
            </w:r>
            <w:r w:rsidR="00D332DB">
              <w:rPr>
                <w:noProof/>
                <w:webHidden/>
              </w:rPr>
              <w:t>243</w:t>
            </w:r>
            <w:r w:rsidR="00D332DB">
              <w:rPr>
                <w:noProof/>
                <w:webHidden/>
              </w:rPr>
              <w:fldChar w:fldCharType="end"/>
            </w:r>
          </w:hyperlink>
        </w:p>
        <w:p w14:paraId="5C6C2621" w14:textId="16D08371" w:rsidR="00D332DB" w:rsidRDefault="00B51F53">
          <w:pPr>
            <w:pStyle w:val="TOC3"/>
            <w:tabs>
              <w:tab w:val="right" w:leader="dot" w:pos="9016"/>
            </w:tabs>
            <w:rPr>
              <w:rFonts w:eastAsiaTheme="minorEastAsia"/>
              <w:noProof/>
              <w:lang w:eastAsia="en-GB"/>
            </w:rPr>
          </w:pPr>
          <w:hyperlink w:anchor="_Toc69129478" w:history="1">
            <w:r w:rsidR="00D332DB" w:rsidRPr="0032584B">
              <w:rPr>
                <w:rStyle w:val="Hyperlink"/>
                <w:noProof/>
              </w:rPr>
              <w:t>Back-scattered electron micrographs of infiltrated Ni-YSZ samples</w:t>
            </w:r>
            <w:r w:rsidR="00D332DB">
              <w:rPr>
                <w:noProof/>
                <w:webHidden/>
              </w:rPr>
              <w:tab/>
            </w:r>
            <w:r w:rsidR="00D332DB">
              <w:rPr>
                <w:noProof/>
                <w:webHidden/>
              </w:rPr>
              <w:fldChar w:fldCharType="begin"/>
            </w:r>
            <w:r w:rsidR="00D332DB">
              <w:rPr>
                <w:noProof/>
                <w:webHidden/>
              </w:rPr>
              <w:instrText xml:space="preserve"> PAGEREF _Toc69129478 \h </w:instrText>
            </w:r>
            <w:r w:rsidR="00D332DB">
              <w:rPr>
                <w:noProof/>
                <w:webHidden/>
              </w:rPr>
            </w:r>
            <w:r w:rsidR="00D332DB">
              <w:rPr>
                <w:noProof/>
                <w:webHidden/>
              </w:rPr>
              <w:fldChar w:fldCharType="separate"/>
            </w:r>
            <w:r w:rsidR="00D332DB">
              <w:rPr>
                <w:noProof/>
                <w:webHidden/>
              </w:rPr>
              <w:t>243</w:t>
            </w:r>
            <w:r w:rsidR="00D332DB">
              <w:rPr>
                <w:noProof/>
                <w:webHidden/>
              </w:rPr>
              <w:fldChar w:fldCharType="end"/>
            </w:r>
          </w:hyperlink>
        </w:p>
        <w:p w14:paraId="3BFFB926" w14:textId="64851AC9" w:rsidR="00D332DB" w:rsidRDefault="00B51F53">
          <w:pPr>
            <w:pStyle w:val="TOC2"/>
            <w:tabs>
              <w:tab w:val="right" w:leader="dot" w:pos="9016"/>
            </w:tabs>
            <w:rPr>
              <w:rFonts w:eastAsiaTheme="minorEastAsia"/>
              <w:iCs w:val="0"/>
              <w:noProof/>
              <w:szCs w:val="22"/>
              <w:lang w:eastAsia="en-GB"/>
            </w:rPr>
          </w:pPr>
          <w:hyperlink w:anchor="_Toc69129479" w:history="1">
            <w:r w:rsidR="00D332DB" w:rsidRPr="0032584B">
              <w:rPr>
                <w:rStyle w:val="Hyperlink"/>
                <w:noProof/>
              </w:rPr>
              <w:t>6.3.4 Attenuation coefficient ratio of Ni-YSZ fuel electrodes at 20 keV</w:t>
            </w:r>
            <w:r w:rsidR="00D332DB">
              <w:rPr>
                <w:noProof/>
                <w:webHidden/>
              </w:rPr>
              <w:tab/>
            </w:r>
            <w:r w:rsidR="00D332DB">
              <w:rPr>
                <w:noProof/>
                <w:webHidden/>
              </w:rPr>
              <w:fldChar w:fldCharType="begin"/>
            </w:r>
            <w:r w:rsidR="00D332DB">
              <w:rPr>
                <w:noProof/>
                <w:webHidden/>
              </w:rPr>
              <w:instrText xml:space="preserve"> PAGEREF _Toc69129479 \h </w:instrText>
            </w:r>
            <w:r w:rsidR="00D332DB">
              <w:rPr>
                <w:noProof/>
                <w:webHidden/>
              </w:rPr>
            </w:r>
            <w:r w:rsidR="00D332DB">
              <w:rPr>
                <w:noProof/>
                <w:webHidden/>
              </w:rPr>
              <w:fldChar w:fldCharType="separate"/>
            </w:r>
            <w:r w:rsidR="00D332DB">
              <w:rPr>
                <w:noProof/>
                <w:webHidden/>
              </w:rPr>
              <w:t>244</w:t>
            </w:r>
            <w:r w:rsidR="00D332DB">
              <w:rPr>
                <w:noProof/>
                <w:webHidden/>
              </w:rPr>
              <w:fldChar w:fldCharType="end"/>
            </w:r>
          </w:hyperlink>
        </w:p>
        <w:p w14:paraId="5C6EB5A1" w14:textId="6236ED6C" w:rsidR="00D332DB" w:rsidRDefault="00B51F53">
          <w:pPr>
            <w:pStyle w:val="TOC2"/>
            <w:tabs>
              <w:tab w:val="right" w:leader="dot" w:pos="9016"/>
            </w:tabs>
            <w:rPr>
              <w:rFonts w:eastAsiaTheme="minorEastAsia"/>
              <w:iCs w:val="0"/>
              <w:noProof/>
              <w:szCs w:val="22"/>
              <w:lang w:eastAsia="en-GB"/>
            </w:rPr>
          </w:pPr>
          <w:hyperlink w:anchor="_Toc69129480" w:history="1">
            <w:r w:rsidR="00D332DB" w:rsidRPr="0032584B">
              <w:rPr>
                <w:rStyle w:val="Hyperlink"/>
                <w:noProof/>
              </w:rPr>
              <w:t>6.3.4 Ptychographic datasets</w:t>
            </w:r>
            <w:r w:rsidR="00D332DB">
              <w:rPr>
                <w:noProof/>
                <w:webHidden/>
              </w:rPr>
              <w:tab/>
            </w:r>
            <w:r w:rsidR="00D332DB">
              <w:rPr>
                <w:noProof/>
                <w:webHidden/>
              </w:rPr>
              <w:fldChar w:fldCharType="begin"/>
            </w:r>
            <w:r w:rsidR="00D332DB">
              <w:rPr>
                <w:noProof/>
                <w:webHidden/>
              </w:rPr>
              <w:instrText xml:space="preserve"> PAGEREF _Toc69129480 \h </w:instrText>
            </w:r>
            <w:r w:rsidR="00D332DB">
              <w:rPr>
                <w:noProof/>
                <w:webHidden/>
              </w:rPr>
            </w:r>
            <w:r w:rsidR="00D332DB">
              <w:rPr>
                <w:noProof/>
                <w:webHidden/>
              </w:rPr>
              <w:fldChar w:fldCharType="separate"/>
            </w:r>
            <w:r w:rsidR="00D332DB">
              <w:rPr>
                <w:noProof/>
                <w:webHidden/>
              </w:rPr>
              <w:t>244</w:t>
            </w:r>
            <w:r w:rsidR="00D332DB">
              <w:rPr>
                <w:noProof/>
                <w:webHidden/>
              </w:rPr>
              <w:fldChar w:fldCharType="end"/>
            </w:r>
          </w:hyperlink>
        </w:p>
        <w:p w14:paraId="0E60081A" w14:textId="1E3ABEA0" w:rsidR="00007F6C" w:rsidRDefault="00007F6C" w:rsidP="00007F6C">
          <w:r>
            <w:rPr>
              <w:b/>
              <w:bCs/>
              <w:noProof/>
            </w:rPr>
            <w:fldChar w:fldCharType="end"/>
          </w:r>
        </w:p>
      </w:sdtContent>
    </w:sdt>
    <w:p w14:paraId="15237383" w14:textId="77777777" w:rsidR="00007F6C" w:rsidRDefault="00007F6C" w:rsidP="00007F6C">
      <w:pPr>
        <w:rPr>
          <w:rFonts w:asciiTheme="majorHAnsi" w:eastAsiaTheme="majorEastAsia" w:hAnsiTheme="majorHAnsi" w:cstheme="majorBidi"/>
          <w:color w:val="2F5496" w:themeColor="accent1" w:themeShade="BF"/>
          <w:sz w:val="32"/>
          <w:szCs w:val="32"/>
        </w:rPr>
      </w:pPr>
      <w:r>
        <w:br w:type="page"/>
      </w:r>
    </w:p>
    <w:p w14:paraId="0C13268F" w14:textId="77777777" w:rsidR="00007F6C" w:rsidRDefault="00007F6C" w:rsidP="00007F6C">
      <w:pPr>
        <w:pStyle w:val="Heading1"/>
        <w:ind w:left="432" w:hanging="432"/>
      </w:pPr>
      <w:bookmarkStart w:id="2" w:name="_Toc69129344"/>
      <w:r>
        <w:lastRenderedPageBreak/>
        <w:t>Table of Figures</w:t>
      </w:r>
      <w:bookmarkEnd w:id="2"/>
    </w:p>
    <w:p w14:paraId="02745183" w14:textId="1BA8B165" w:rsidR="00067A5E" w:rsidRDefault="00007F6C">
      <w:pPr>
        <w:pStyle w:val="TableofFigures"/>
        <w:tabs>
          <w:tab w:val="right" w:leader="dot" w:pos="9016"/>
        </w:tabs>
        <w:rPr>
          <w:rFonts w:eastAsiaTheme="minorEastAsia"/>
          <w:noProof/>
          <w:lang w:eastAsia="en-GB"/>
        </w:rPr>
      </w:pPr>
      <w:r>
        <w:fldChar w:fldCharType="begin"/>
      </w:r>
      <w:r>
        <w:instrText xml:space="preserve"> TOC \h \z \c "Figure" </w:instrText>
      </w:r>
      <w:r>
        <w:fldChar w:fldCharType="separate"/>
      </w:r>
      <w:hyperlink w:anchor="_Toc69114905" w:history="1">
        <w:r w:rsidR="00067A5E" w:rsidRPr="00C515B1">
          <w:rPr>
            <w:rStyle w:val="Hyperlink"/>
            <w:i/>
            <w:iCs/>
            <w:noProof/>
          </w:rPr>
          <w:t>Figure 1.1 Diagrams of the coal based fuel cells developed In the Baur laboratory from 1921 to 1937</w:t>
        </w:r>
        <w:r w:rsidR="00067A5E" w:rsidRPr="00C515B1">
          <w:rPr>
            <w:rStyle w:val="Hyperlink"/>
            <w:iCs/>
            <w:noProof/>
          </w:rPr>
          <w:t>[20]</w:t>
        </w:r>
        <w:r w:rsidR="00067A5E">
          <w:rPr>
            <w:noProof/>
            <w:webHidden/>
          </w:rPr>
          <w:tab/>
        </w:r>
        <w:r w:rsidR="00067A5E">
          <w:rPr>
            <w:noProof/>
            <w:webHidden/>
          </w:rPr>
          <w:fldChar w:fldCharType="begin"/>
        </w:r>
        <w:r w:rsidR="00067A5E">
          <w:rPr>
            <w:noProof/>
            <w:webHidden/>
          </w:rPr>
          <w:instrText xml:space="preserve"> PAGEREF _Toc69114905 \h </w:instrText>
        </w:r>
        <w:r w:rsidR="00067A5E">
          <w:rPr>
            <w:noProof/>
            <w:webHidden/>
          </w:rPr>
        </w:r>
        <w:r w:rsidR="00067A5E">
          <w:rPr>
            <w:noProof/>
            <w:webHidden/>
          </w:rPr>
          <w:fldChar w:fldCharType="separate"/>
        </w:r>
        <w:r w:rsidR="00067A5E">
          <w:rPr>
            <w:noProof/>
            <w:webHidden/>
          </w:rPr>
          <w:t>22</w:t>
        </w:r>
        <w:r w:rsidR="00067A5E">
          <w:rPr>
            <w:noProof/>
            <w:webHidden/>
          </w:rPr>
          <w:fldChar w:fldCharType="end"/>
        </w:r>
      </w:hyperlink>
    </w:p>
    <w:p w14:paraId="4367AD50" w14:textId="0E305E84" w:rsidR="00067A5E" w:rsidRDefault="00B51F53">
      <w:pPr>
        <w:pStyle w:val="TableofFigures"/>
        <w:tabs>
          <w:tab w:val="right" w:leader="dot" w:pos="9016"/>
        </w:tabs>
        <w:rPr>
          <w:rFonts w:eastAsiaTheme="minorEastAsia"/>
          <w:noProof/>
          <w:lang w:eastAsia="en-GB"/>
        </w:rPr>
      </w:pPr>
      <w:hyperlink w:anchor="_Toc69114906" w:history="1">
        <w:r w:rsidR="00067A5E" w:rsidRPr="00C515B1">
          <w:rPr>
            <w:rStyle w:val="Hyperlink"/>
            <w:i/>
            <w:iCs/>
            <w:noProof/>
          </w:rPr>
          <w:t xml:space="preserve">Figure 1.2: Photograph of the stacked Francis Bacon Alkaline Fuel Cell from 1959 </w:t>
        </w:r>
        <w:r w:rsidR="00067A5E" w:rsidRPr="00C515B1">
          <w:rPr>
            <w:rStyle w:val="Hyperlink"/>
            <w:iCs/>
            <w:noProof/>
          </w:rPr>
          <w:t>[21]</w:t>
        </w:r>
        <w:r w:rsidR="00067A5E" w:rsidRPr="00C515B1">
          <w:rPr>
            <w:rStyle w:val="Hyperlink"/>
            <w:i/>
            <w:iCs/>
            <w:noProof/>
          </w:rPr>
          <w:t>.</w:t>
        </w:r>
        <w:r w:rsidR="00067A5E">
          <w:rPr>
            <w:noProof/>
            <w:webHidden/>
          </w:rPr>
          <w:tab/>
        </w:r>
        <w:r w:rsidR="00067A5E">
          <w:rPr>
            <w:noProof/>
            <w:webHidden/>
          </w:rPr>
          <w:fldChar w:fldCharType="begin"/>
        </w:r>
        <w:r w:rsidR="00067A5E">
          <w:rPr>
            <w:noProof/>
            <w:webHidden/>
          </w:rPr>
          <w:instrText xml:space="preserve"> PAGEREF _Toc69114906 \h </w:instrText>
        </w:r>
        <w:r w:rsidR="00067A5E">
          <w:rPr>
            <w:noProof/>
            <w:webHidden/>
          </w:rPr>
        </w:r>
        <w:r w:rsidR="00067A5E">
          <w:rPr>
            <w:noProof/>
            <w:webHidden/>
          </w:rPr>
          <w:fldChar w:fldCharType="separate"/>
        </w:r>
        <w:r w:rsidR="00067A5E">
          <w:rPr>
            <w:noProof/>
            <w:webHidden/>
          </w:rPr>
          <w:t>22</w:t>
        </w:r>
        <w:r w:rsidR="00067A5E">
          <w:rPr>
            <w:noProof/>
            <w:webHidden/>
          </w:rPr>
          <w:fldChar w:fldCharType="end"/>
        </w:r>
      </w:hyperlink>
    </w:p>
    <w:p w14:paraId="7B709BAC" w14:textId="49AF2293" w:rsidR="00067A5E" w:rsidRDefault="00B51F53">
      <w:pPr>
        <w:pStyle w:val="TableofFigures"/>
        <w:tabs>
          <w:tab w:val="right" w:leader="dot" w:pos="9016"/>
        </w:tabs>
        <w:rPr>
          <w:rFonts w:eastAsiaTheme="minorEastAsia"/>
          <w:noProof/>
          <w:lang w:eastAsia="en-GB"/>
        </w:rPr>
      </w:pPr>
      <w:hyperlink w:anchor="_Toc69114907" w:history="1">
        <w:r w:rsidR="00067A5E" w:rsidRPr="00C515B1">
          <w:rPr>
            <w:rStyle w:val="Hyperlink"/>
            <w:i/>
            <w:iCs/>
            <w:noProof/>
          </w:rPr>
          <w:t xml:space="preserve">Figure 1.3: Timeline of important events in the conception and production of different fuel cell types across the past 180 years </w:t>
        </w:r>
        <w:r w:rsidR="00067A5E" w:rsidRPr="00C515B1">
          <w:rPr>
            <w:rStyle w:val="Hyperlink"/>
            <w:iCs/>
            <w:noProof/>
          </w:rPr>
          <w:t>[14], [16], [20]–[24]</w:t>
        </w:r>
        <w:r w:rsidR="00067A5E">
          <w:rPr>
            <w:noProof/>
            <w:webHidden/>
          </w:rPr>
          <w:tab/>
        </w:r>
        <w:r w:rsidR="00067A5E">
          <w:rPr>
            <w:noProof/>
            <w:webHidden/>
          </w:rPr>
          <w:fldChar w:fldCharType="begin"/>
        </w:r>
        <w:r w:rsidR="00067A5E">
          <w:rPr>
            <w:noProof/>
            <w:webHidden/>
          </w:rPr>
          <w:instrText xml:space="preserve"> PAGEREF _Toc69114907 \h </w:instrText>
        </w:r>
        <w:r w:rsidR="00067A5E">
          <w:rPr>
            <w:noProof/>
            <w:webHidden/>
          </w:rPr>
        </w:r>
        <w:r w:rsidR="00067A5E">
          <w:rPr>
            <w:noProof/>
            <w:webHidden/>
          </w:rPr>
          <w:fldChar w:fldCharType="separate"/>
        </w:r>
        <w:r w:rsidR="00067A5E">
          <w:rPr>
            <w:noProof/>
            <w:webHidden/>
          </w:rPr>
          <w:t>23</w:t>
        </w:r>
        <w:r w:rsidR="00067A5E">
          <w:rPr>
            <w:noProof/>
            <w:webHidden/>
          </w:rPr>
          <w:fldChar w:fldCharType="end"/>
        </w:r>
      </w:hyperlink>
    </w:p>
    <w:p w14:paraId="2A10FC83" w14:textId="3858627B" w:rsidR="00067A5E" w:rsidRDefault="00B51F53">
      <w:pPr>
        <w:pStyle w:val="TableofFigures"/>
        <w:tabs>
          <w:tab w:val="right" w:leader="dot" w:pos="9016"/>
        </w:tabs>
        <w:rPr>
          <w:rFonts w:eastAsiaTheme="minorEastAsia"/>
          <w:noProof/>
          <w:lang w:eastAsia="en-GB"/>
        </w:rPr>
      </w:pPr>
      <w:hyperlink w:anchor="_Toc69114908" w:history="1">
        <w:r w:rsidR="00067A5E" w:rsidRPr="00C515B1">
          <w:rPr>
            <w:rStyle w:val="Hyperlink"/>
            <w:i/>
            <w:iCs/>
            <w:noProof/>
          </w:rPr>
          <w:t xml:space="preserve">Figure 1.4: Diagram of the operating cycle of a fuel cell with a proton conducting electrolyte. Adapted from Appleby </w:t>
        </w:r>
        <w:r w:rsidR="00067A5E" w:rsidRPr="00C515B1">
          <w:rPr>
            <w:rStyle w:val="Hyperlink"/>
            <w:iCs/>
            <w:noProof/>
          </w:rPr>
          <w:t>[16]</w:t>
        </w:r>
        <w:r w:rsidR="00067A5E">
          <w:rPr>
            <w:noProof/>
            <w:webHidden/>
          </w:rPr>
          <w:tab/>
        </w:r>
        <w:r w:rsidR="00067A5E">
          <w:rPr>
            <w:noProof/>
            <w:webHidden/>
          </w:rPr>
          <w:fldChar w:fldCharType="begin"/>
        </w:r>
        <w:r w:rsidR="00067A5E">
          <w:rPr>
            <w:noProof/>
            <w:webHidden/>
          </w:rPr>
          <w:instrText xml:space="preserve"> PAGEREF _Toc69114908 \h </w:instrText>
        </w:r>
        <w:r w:rsidR="00067A5E">
          <w:rPr>
            <w:noProof/>
            <w:webHidden/>
          </w:rPr>
        </w:r>
        <w:r w:rsidR="00067A5E">
          <w:rPr>
            <w:noProof/>
            <w:webHidden/>
          </w:rPr>
          <w:fldChar w:fldCharType="separate"/>
        </w:r>
        <w:r w:rsidR="00067A5E">
          <w:rPr>
            <w:noProof/>
            <w:webHidden/>
          </w:rPr>
          <w:t>24</w:t>
        </w:r>
        <w:r w:rsidR="00067A5E">
          <w:rPr>
            <w:noProof/>
            <w:webHidden/>
          </w:rPr>
          <w:fldChar w:fldCharType="end"/>
        </w:r>
      </w:hyperlink>
    </w:p>
    <w:p w14:paraId="68B3FE23" w14:textId="1FDAB572" w:rsidR="00067A5E" w:rsidRDefault="00B51F53">
      <w:pPr>
        <w:pStyle w:val="TableofFigures"/>
        <w:tabs>
          <w:tab w:val="right" w:leader="dot" w:pos="9016"/>
        </w:tabs>
        <w:rPr>
          <w:rFonts w:eastAsiaTheme="minorEastAsia"/>
          <w:noProof/>
          <w:lang w:eastAsia="en-GB"/>
        </w:rPr>
      </w:pPr>
      <w:hyperlink w:anchor="_Toc69114909" w:history="1">
        <w:r w:rsidR="00067A5E" w:rsidRPr="00C515B1">
          <w:rPr>
            <w:rStyle w:val="Hyperlink"/>
            <w:i/>
            <w:iCs/>
            <w:noProof/>
          </w:rPr>
          <w:t xml:space="preserve">Figure 1.5: Energy efficiencies of different fuel cell types in combined heat and power units </w:t>
        </w:r>
        <w:r w:rsidR="00067A5E" w:rsidRPr="00C515B1">
          <w:rPr>
            <w:rStyle w:val="Hyperlink"/>
            <w:iCs/>
            <w:noProof/>
          </w:rPr>
          <w:t>[3], [30]–[32]</w:t>
        </w:r>
        <w:r w:rsidR="00067A5E">
          <w:rPr>
            <w:noProof/>
            <w:webHidden/>
          </w:rPr>
          <w:tab/>
        </w:r>
        <w:r w:rsidR="00067A5E">
          <w:rPr>
            <w:noProof/>
            <w:webHidden/>
          </w:rPr>
          <w:fldChar w:fldCharType="begin"/>
        </w:r>
        <w:r w:rsidR="00067A5E">
          <w:rPr>
            <w:noProof/>
            <w:webHidden/>
          </w:rPr>
          <w:instrText xml:space="preserve"> PAGEREF _Toc69114909 \h </w:instrText>
        </w:r>
        <w:r w:rsidR="00067A5E">
          <w:rPr>
            <w:noProof/>
            <w:webHidden/>
          </w:rPr>
        </w:r>
        <w:r w:rsidR="00067A5E">
          <w:rPr>
            <w:noProof/>
            <w:webHidden/>
          </w:rPr>
          <w:fldChar w:fldCharType="separate"/>
        </w:r>
        <w:r w:rsidR="00067A5E">
          <w:rPr>
            <w:noProof/>
            <w:webHidden/>
          </w:rPr>
          <w:t>25</w:t>
        </w:r>
        <w:r w:rsidR="00067A5E">
          <w:rPr>
            <w:noProof/>
            <w:webHidden/>
          </w:rPr>
          <w:fldChar w:fldCharType="end"/>
        </w:r>
      </w:hyperlink>
    </w:p>
    <w:p w14:paraId="5C2968AB" w14:textId="28A9959E" w:rsidR="00067A5E" w:rsidRDefault="00B51F53">
      <w:pPr>
        <w:pStyle w:val="TableofFigures"/>
        <w:tabs>
          <w:tab w:val="right" w:leader="dot" w:pos="9016"/>
        </w:tabs>
        <w:rPr>
          <w:rFonts w:eastAsiaTheme="minorEastAsia"/>
          <w:noProof/>
          <w:lang w:eastAsia="en-GB"/>
        </w:rPr>
      </w:pPr>
      <w:hyperlink w:anchor="_Toc69114910" w:history="1">
        <w:r w:rsidR="00067A5E" w:rsidRPr="00C515B1">
          <w:rPr>
            <w:rStyle w:val="Hyperlink"/>
            <w:i/>
            <w:iCs/>
            <w:noProof/>
          </w:rPr>
          <w:t xml:space="preserve">Figure 1.6: Number of publications relating to SOFCs available on the Scopus search engine from January 1961- June 2018 </w:t>
        </w:r>
        <w:r w:rsidR="00067A5E" w:rsidRPr="00C515B1">
          <w:rPr>
            <w:rStyle w:val="Hyperlink"/>
            <w:iCs/>
            <w:noProof/>
          </w:rPr>
          <w:t>[27]</w:t>
        </w:r>
        <w:r w:rsidR="00067A5E">
          <w:rPr>
            <w:noProof/>
            <w:webHidden/>
          </w:rPr>
          <w:tab/>
        </w:r>
        <w:r w:rsidR="00067A5E">
          <w:rPr>
            <w:noProof/>
            <w:webHidden/>
          </w:rPr>
          <w:fldChar w:fldCharType="begin"/>
        </w:r>
        <w:r w:rsidR="00067A5E">
          <w:rPr>
            <w:noProof/>
            <w:webHidden/>
          </w:rPr>
          <w:instrText xml:space="preserve"> PAGEREF _Toc69114910 \h </w:instrText>
        </w:r>
        <w:r w:rsidR="00067A5E">
          <w:rPr>
            <w:noProof/>
            <w:webHidden/>
          </w:rPr>
        </w:r>
        <w:r w:rsidR="00067A5E">
          <w:rPr>
            <w:noProof/>
            <w:webHidden/>
          </w:rPr>
          <w:fldChar w:fldCharType="separate"/>
        </w:r>
        <w:r w:rsidR="00067A5E">
          <w:rPr>
            <w:noProof/>
            <w:webHidden/>
          </w:rPr>
          <w:t>25</w:t>
        </w:r>
        <w:r w:rsidR="00067A5E">
          <w:rPr>
            <w:noProof/>
            <w:webHidden/>
          </w:rPr>
          <w:fldChar w:fldCharType="end"/>
        </w:r>
      </w:hyperlink>
    </w:p>
    <w:p w14:paraId="3BA14DCD" w14:textId="4DC9111E" w:rsidR="00067A5E" w:rsidRDefault="00B51F53">
      <w:pPr>
        <w:pStyle w:val="TableofFigures"/>
        <w:tabs>
          <w:tab w:val="right" w:leader="dot" w:pos="9016"/>
        </w:tabs>
        <w:rPr>
          <w:rFonts w:eastAsiaTheme="minorEastAsia"/>
          <w:noProof/>
          <w:lang w:eastAsia="en-GB"/>
        </w:rPr>
      </w:pPr>
      <w:hyperlink w:anchor="_Toc69114911" w:history="1">
        <w:r w:rsidR="00067A5E" w:rsidRPr="00C515B1">
          <w:rPr>
            <w:rStyle w:val="Hyperlink"/>
            <w:i/>
            <w:iCs/>
            <w:noProof/>
          </w:rPr>
          <w:t xml:space="preserve">Figure 1.7: Comparison of the power densities and degradation rates of commercial SOFCs (1-3) with infiltrated cells. All the data sets used SOFC stacks operating at 800 </w:t>
        </w:r>
        <w:r w:rsidR="00067A5E" w:rsidRPr="00C515B1">
          <w:rPr>
            <w:rStyle w:val="Hyperlink"/>
            <w:rFonts w:cstheme="minorHAnsi"/>
            <w:i/>
            <w:iCs/>
            <w:noProof/>
          </w:rPr>
          <w:t>⁰</w:t>
        </w:r>
        <w:r w:rsidR="00067A5E" w:rsidRPr="00C515B1">
          <w:rPr>
            <w:rStyle w:val="Hyperlink"/>
            <w:i/>
            <w:iCs/>
            <w:noProof/>
          </w:rPr>
          <w:t>C, H</w:t>
        </w:r>
        <w:r w:rsidR="00067A5E" w:rsidRPr="00C515B1">
          <w:rPr>
            <w:rStyle w:val="Hyperlink"/>
            <w:i/>
            <w:iCs/>
            <w:noProof/>
            <w:vertAlign w:val="subscript"/>
          </w:rPr>
          <w:t>2</w:t>
        </w:r>
        <w:r w:rsidR="00067A5E" w:rsidRPr="00C515B1">
          <w:rPr>
            <w:rStyle w:val="Hyperlink"/>
            <w:i/>
            <w:iCs/>
            <w:noProof/>
          </w:rPr>
          <w:t xml:space="preserve"> as the fuel, and Ni-YSZ fuel electrodes (4-9) </w:t>
        </w:r>
        <w:r w:rsidR="00067A5E" w:rsidRPr="00C515B1">
          <w:rPr>
            <w:rStyle w:val="Hyperlink"/>
            <w:iCs/>
            <w:noProof/>
          </w:rPr>
          <w:t>[4], [74]–[80]</w:t>
        </w:r>
        <w:r w:rsidR="00067A5E">
          <w:rPr>
            <w:noProof/>
            <w:webHidden/>
          </w:rPr>
          <w:tab/>
        </w:r>
        <w:r w:rsidR="00067A5E">
          <w:rPr>
            <w:noProof/>
            <w:webHidden/>
          </w:rPr>
          <w:fldChar w:fldCharType="begin"/>
        </w:r>
        <w:r w:rsidR="00067A5E">
          <w:rPr>
            <w:noProof/>
            <w:webHidden/>
          </w:rPr>
          <w:instrText xml:space="preserve"> PAGEREF _Toc69114911 \h </w:instrText>
        </w:r>
        <w:r w:rsidR="00067A5E">
          <w:rPr>
            <w:noProof/>
            <w:webHidden/>
          </w:rPr>
        </w:r>
        <w:r w:rsidR="00067A5E">
          <w:rPr>
            <w:noProof/>
            <w:webHidden/>
          </w:rPr>
          <w:fldChar w:fldCharType="separate"/>
        </w:r>
        <w:r w:rsidR="00067A5E">
          <w:rPr>
            <w:noProof/>
            <w:webHidden/>
          </w:rPr>
          <w:t>28</w:t>
        </w:r>
        <w:r w:rsidR="00067A5E">
          <w:rPr>
            <w:noProof/>
            <w:webHidden/>
          </w:rPr>
          <w:fldChar w:fldCharType="end"/>
        </w:r>
      </w:hyperlink>
    </w:p>
    <w:p w14:paraId="3632779B" w14:textId="1B34E738" w:rsidR="00067A5E" w:rsidRDefault="00B51F53">
      <w:pPr>
        <w:pStyle w:val="TableofFigures"/>
        <w:tabs>
          <w:tab w:val="right" w:leader="dot" w:pos="9016"/>
        </w:tabs>
        <w:rPr>
          <w:rFonts w:eastAsiaTheme="minorEastAsia"/>
          <w:noProof/>
          <w:lang w:eastAsia="en-GB"/>
        </w:rPr>
      </w:pPr>
      <w:hyperlink w:anchor="_Toc69114912" w:history="1">
        <w:r w:rsidR="00067A5E" w:rsidRPr="00C515B1">
          <w:rPr>
            <w:rStyle w:val="Hyperlink"/>
            <w:i/>
            <w:iCs/>
            <w:noProof/>
          </w:rPr>
          <w:t xml:space="preserve">Figure 1.8: Diagrams of the reduction of electrolyte thickness and move to anode-supported designs for SOFCs: a. Electrolyte supported b. Anode supported, c. Interconnector supported stack </w:t>
        </w:r>
        <w:r w:rsidR="00067A5E" w:rsidRPr="00C515B1">
          <w:rPr>
            <w:rStyle w:val="Hyperlink"/>
            <w:iCs/>
            <w:noProof/>
          </w:rPr>
          <w:t>[93], [95]</w:t>
        </w:r>
        <w:r w:rsidR="00067A5E">
          <w:rPr>
            <w:noProof/>
            <w:webHidden/>
          </w:rPr>
          <w:tab/>
        </w:r>
        <w:r w:rsidR="00067A5E">
          <w:rPr>
            <w:noProof/>
            <w:webHidden/>
          </w:rPr>
          <w:fldChar w:fldCharType="begin"/>
        </w:r>
        <w:r w:rsidR="00067A5E">
          <w:rPr>
            <w:noProof/>
            <w:webHidden/>
          </w:rPr>
          <w:instrText xml:space="preserve"> PAGEREF _Toc69114912 \h </w:instrText>
        </w:r>
        <w:r w:rsidR="00067A5E">
          <w:rPr>
            <w:noProof/>
            <w:webHidden/>
          </w:rPr>
        </w:r>
        <w:r w:rsidR="00067A5E">
          <w:rPr>
            <w:noProof/>
            <w:webHidden/>
          </w:rPr>
          <w:fldChar w:fldCharType="separate"/>
        </w:r>
        <w:r w:rsidR="00067A5E">
          <w:rPr>
            <w:noProof/>
            <w:webHidden/>
          </w:rPr>
          <w:t>29</w:t>
        </w:r>
        <w:r w:rsidR="00067A5E">
          <w:rPr>
            <w:noProof/>
            <w:webHidden/>
          </w:rPr>
          <w:fldChar w:fldCharType="end"/>
        </w:r>
      </w:hyperlink>
    </w:p>
    <w:p w14:paraId="49234FBF" w14:textId="087601B8" w:rsidR="00067A5E" w:rsidRDefault="00B51F53">
      <w:pPr>
        <w:pStyle w:val="TableofFigures"/>
        <w:tabs>
          <w:tab w:val="right" w:leader="dot" w:pos="9016"/>
        </w:tabs>
        <w:rPr>
          <w:rFonts w:eastAsiaTheme="minorEastAsia"/>
          <w:noProof/>
          <w:lang w:eastAsia="en-GB"/>
        </w:rPr>
      </w:pPr>
      <w:hyperlink w:anchor="_Toc69114913" w:history="1">
        <w:r w:rsidR="00067A5E" w:rsidRPr="00C515B1">
          <w:rPr>
            <w:rStyle w:val="Hyperlink"/>
            <w:i/>
            <w:iCs/>
            <w:noProof/>
          </w:rPr>
          <w:t xml:space="preserve">Figure 2.1: Ishikawa fish bone diagram detailing the four degradation paths for SOFCs. Adapted from Patel et al </w:t>
        </w:r>
        <w:r w:rsidR="00067A5E" w:rsidRPr="00C515B1">
          <w:rPr>
            <w:rStyle w:val="Hyperlink"/>
            <w:iCs/>
            <w:noProof/>
          </w:rPr>
          <w:t>[104], [107], [111], [119]</w:t>
        </w:r>
        <w:r w:rsidR="00067A5E">
          <w:rPr>
            <w:noProof/>
            <w:webHidden/>
          </w:rPr>
          <w:tab/>
        </w:r>
        <w:r w:rsidR="00067A5E">
          <w:rPr>
            <w:noProof/>
            <w:webHidden/>
          </w:rPr>
          <w:fldChar w:fldCharType="begin"/>
        </w:r>
        <w:r w:rsidR="00067A5E">
          <w:rPr>
            <w:noProof/>
            <w:webHidden/>
          </w:rPr>
          <w:instrText xml:space="preserve"> PAGEREF _Toc69114913 \h </w:instrText>
        </w:r>
        <w:r w:rsidR="00067A5E">
          <w:rPr>
            <w:noProof/>
            <w:webHidden/>
          </w:rPr>
        </w:r>
        <w:r w:rsidR="00067A5E">
          <w:rPr>
            <w:noProof/>
            <w:webHidden/>
          </w:rPr>
          <w:fldChar w:fldCharType="separate"/>
        </w:r>
        <w:r w:rsidR="00067A5E">
          <w:rPr>
            <w:noProof/>
            <w:webHidden/>
          </w:rPr>
          <w:t>32</w:t>
        </w:r>
        <w:r w:rsidR="00067A5E">
          <w:rPr>
            <w:noProof/>
            <w:webHidden/>
          </w:rPr>
          <w:fldChar w:fldCharType="end"/>
        </w:r>
      </w:hyperlink>
    </w:p>
    <w:p w14:paraId="6AB73571" w14:textId="6CBFCF82" w:rsidR="00067A5E" w:rsidRDefault="00B51F53">
      <w:pPr>
        <w:pStyle w:val="TableofFigures"/>
        <w:tabs>
          <w:tab w:val="right" w:leader="dot" w:pos="9016"/>
        </w:tabs>
        <w:rPr>
          <w:rFonts w:eastAsiaTheme="minorEastAsia"/>
          <w:noProof/>
          <w:lang w:eastAsia="en-GB"/>
        </w:rPr>
      </w:pPr>
      <w:hyperlink w:anchor="_Toc69114914" w:history="1">
        <w:r w:rsidR="00067A5E" w:rsidRPr="00C515B1">
          <w:rPr>
            <w:rStyle w:val="Hyperlink"/>
            <w:noProof/>
          </w:rPr>
          <w:t>Figure 2.2: Diagram of the mixed ionic electronic conduction system present in SOFCs. The oxide ions conduct through the electrolyte via an oxygen partial pressure gradient (</w:t>
        </w:r>
        <m:oMath>
          <m:r>
            <w:rPr>
              <w:rStyle w:val="Hyperlink"/>
              <w:rFonts w:ascii="Cambria Math" w:hAnsi="Cambria Math"/>
              <w:noProof/>
            </w:rPr>
            <m:t>pox</m:t>
          </m:r>
          <m:r>
            <m:rPr>
              <m:sty m:val="p"/>
            </m:rPr>
            <w:rPr>
              <w:rStyle w:val="Hyperlink"/>
              <w:rFonts w:ascii="Cambria Math" w:hAnsi="Cambria Math"/>
              <w:noProof/>
            </w:rPr>
            <m:t>2</m:t>
          </m:r>
        </m:oMath>
        <w:r w:rsidR="00067A5E" w:rsidRPr="00C515B1">
          <w:rPr>
            <w:rStyle w:val="Hyperlink"/>
            <w:noProof/>
          </w:rPr>
          <w:t xml:space="preserve">). The red denotes the movement of the electrons via an external circuit doing useful work. </w:t>
        </w:r>
        <m:oMath>
          <m:r>
            <m:rPr>
              <m:sty m:val="p"/>
            </m:rPr>
            <w:rPr>
              <w:rStyle w:val="Hyperlink"/>
              <w:rFonts w:ascii="Cambria Math" w:hAnsi="Cambria Math"/>
              <w:noProof/>
            </w:rPr>
            <m:t>µ</m:t>
          </m:r>
          <m:r>
            <w:rPr>
              <w:rStyle w:val="Hyperlink"/>
              <w:rFonts w:ascii="Cambria Math" w:hAnsi="Cambria Math"/>
              <w:noProof/>
            </w:rPr>
            <m:t>ox</m:t>
          </m:r>
          <m:r>
            <m:rPr>
              <m:sty m:val="p"/>
            </m:rPr>
            <w:rPr>
              <w:rStyle w:val="Hyperlink"/>
              <w:rFonts w:ascii="Cambria Math" w:hAnsi="Cambria Math"/>
              <w:noProof/>
            </w:rPr>
            <m:t>2</m:t>
          </m:r>
        </m:oMath>
        <w:r w:rsidR="00067A5E" w:rsidRPr="00C515B1">
          <w:rPr>
            <w:rStyle w:val="Hyperlink"/>
            <w:noProof/>
          </w:rPr>
          <w:t xml:space="preserve"> denotes the mobility of the oxygen vacancies, </w:t>
        </w:r>
        <m:oMath>
          <m:r>
            <w:rPr>
              <w:rStyle w:val="Hyperlink"/>
              <w:rFonts w:ascii="Cambria Math" w:hAnsi="Cambria Math"/>
              <w:noProof/>
            </w:rPr>
            <m:t>Vo</m:t>
          </m:r>
          <m:r>
            <m:rPr>
              <m:sty m:val="p"/>
            </m:rPr>
            <w:rPr>
              <w:rStyle w:val="Hyperlink"/>
              <w:rFonts w:ascii="Cambria Math" w:hAnsi="Cambria Math"/>
              <w:noProof/>
            </w:rPr>
            <m:t>∙∙</m:t>
          </m:r>
        </m:oMath>
        <w:r w:rsidR="00067A5E" w:rsidRPr="00C515B1">
          <w:rPr>
            <w:rStyle w:val="Hyperlink"/>
            <w:noProof/>
          </w:rPr>
          <w:t xml:space="preserve"> [1], [17], [64], [127].</w:t>
        </w:r>
        <w:r w:rsidR="00067A5E">
          <w:rPr>
            <w:noProof/>
            <w:webHidden/>
          </w:rPr>
          <w:tab/>
        </w:r>
        <w:r w:rsidR="00067A5E">
          <w:rPr>
            <w:noProof/>
            <w:webHidden/>
          </w:rPr>
          <w:fldChar w:fldCharType="begin"/>
        </w:r>
        <w:r w:rsidR="00067A5E">
          <w:rPr>
            <w:noProof/>
            <w:webHidden/>
          </w:rPr>
          <w:instrText xml:space="preserve"> PAGEREF _Toc69114914 \h </w:instrText>
        </w:r>
        <w:r w:rsidR="00067A5E">
          <w:rPr>
            <w:noProof/>
            <w:webHidden/>
          </w:rPr>
        </w:r>
        <w:r w:rsidR="00067A5E">
          <w:rPr>
            <w:noProof/>
            <w:webHidden/>
          </w:rPr>
          <w:fldChar w:fldCharType="separate"/>
        </w:r>
        <w:r w:rsidR="00067A5E">
          <w:rPr>
            <w:noProof/>
            <w:webHidden/>
          </w:rPr>
          <w:t>33</w:t>
        </w:r>
        <w:r w:rsidR="00067A5E">
          <w:rPr>
            <w:noProof/>
            <w:webHidden/>
          </w:rPr>
          <w:fldChar w:fldCharType="end"/>
        </w:r>
      </w:hyperlink>
    </w:p>
    <w:p w14:paraId="118A0ED7" w14:textId="7C206C5B" w:rsidR="00067A5E" w:rsidRDefault="00B51F53">
      <w:pPr>
        <w:pStyle w:val="TableofFigures"/>
        <w:tabs>
          <w:tab w:val="right" w:leader="dot" w:pos="9016"/>
        </w:tabs>
        <w:rPr>
          <w:rFonts w:eastAsiaTheme="minorEastAsia"/>
          <w:noProof/>
          <w:lang w:eastAsia="en-GB"/>
        </w:rPr>
      </w:pPr>
      <w:hyperlink w:anchor="_Toc69114915" w:history="1">
        <w:r w:rsidR="00067A5E" w:rsidRPr="00C515B1">
          <w:rPr>
            <w:rStyle w:val="Hyperlink"/>
            <w:i/>
            <w:iCs/>
            <w:noProof/>
          </w:rPr>
          <w:t xml:space="preserve">Figure 2.3: A schematic of the infiltration process with diagram A showing the soaking period of the liquid phase and diagram. B showing the dried nitrate on the scaffold surface. C showing the decomposed decoration of metal NPs on the surface of the scaffold post calcination </w:t>
        </w:r>
        <w:r w:rsidR="00067A5E" w:rsidRPr="00C515B1">
          <w:rPr>
            <w:rStyle w:val="Hyperlink"/>
            <w:iCs/>
            <w:noProof/>
          </w:rPr>
          <w:t>[7], [57], [145]</w:t>
        </w:r>
        <w:r w:rsidR="00067A5E">
          <w:rPr>
            <w:noProof/>
            <w:webHidden/>
          </w:rPr>
          <w:tab/>
        </w:r>
        <w:r w:rsidR="00067A5E">
          <w:rPr>
            <w:noProof/>
            <w:webHidden/>
          </w:rPr>
          <w:fldChar w:fldCharType="begin"/>
        </w:r>
        <w:r w:rsidR="00067A5E">
          <w:rPr>
            <w:noProof/>
            <w:webHidden/>
          </w:rPr>
          <w:instrText xml:space="preserve"> PAGEREF _Toc69114915 \h </w:instrText>
        </w:r>
        <w:r w:rsidR="00067A5E">
          <w:rPr>
            <w:noProof/>
            <w:webHidden/>
          </w:rPr>
        </w:r>
        <w:r w:rsidR="00067A5E">
          <w:rPr>
            <w:noProof/>
            <w:webHidden/>
          </w:rPr>
          <w:fldChar w:fldCharType="separate"/>
        </w:r>
        <w:r w:rsidR="00067A5E">
          <w:rPr>
            <w:noProof/>
            <w:webHidden/>
          </w:rPr>
          <w:t>34</w:t>
        </w:r>
        <w:r w:rsidR="00067A5E">
          <w:rPr>
            <w:noProof/>
            <w:webHidden/>
          </w:rPr>
          <w:fldChar w:fldCharType="end"/>
        </w:r>
      </w:hyperlink>
    </w:p>
    <w:p w14:paraId="7867F8F6" w14:textId="00D99798" w:rsidR="00067A5E" w:rsidRDefault="00B51F53">
      <w:pPr>
        <w:pStyle w:val="TableofFigures"/>
        <w:tabs>
          <w:tab w:val="right" w:leader="dot" w:pos="9016"/>
        </w:tabs>
        <w:rPr>
          <w:rFonts w:eastAsiaTheme="minorEastAsia"/>
          <w:noProof/>
          <w:lang w:eastAsia="en-GB"/>
        </w:rPr>
      </w:pPr>
      <w:hyperlink w:anchor="_Toc69114916" w:history="1">
        <w:r w:rsidR="00067A5E" w:rsidRPr="00C515B1">
          <w:rPr>
            <w:rStyle w:val="Hyperlink"/>
            <w:i/>
            <w:iCs/>
            <w:noProof/>
          </w:rPr>
          <w:t xml:space="preserve">Figure 2.4: Flowchart detailing the processing steps used to produce an infiltrated SOFC electrode </w:t>
        </w:r>
        <w:r w:rsidR="00067A5E" w:rsidRPr="00C515B1">
          <w:rPr>
            <w:rStyle w:val="Hyperlink"/>
            <w:iCs/>
            <w:noProof/>
          </w:rPr>
          <w:t>[8], [137], [144], [159]</w:t>
        </w:r>
        <w:r w:rsidR="00067A5E" w:rsidRPr="00C515B1">
          <w:rPr>
            <w:rStyle w:val="Hyperlink"/>
            <w:i/>
            <w:iCs/>
            <w:noProof/>
          </w:rPr>
          <w:t>.</w:t>
        </w:r>
        <w:r w:rsidR="00067A5E">
          <w:rPr>
            <w:noProof/>
            <w:webHidden/>
          </w:rPr>
          <w:tab/>
        </w:r>
        <w:r w:rsidR="00067A5E">
          <w:rPr>
            <w:noProof/>
            <w:webHidden/>
          </w:rPr>
          <w:fldChar w:fldCharType="begin"/>
        </w:r>
        <w:r w:rsidR="00067A5E">
          <w:rPr>
            <w:noProof/>
            <w:webHidden/>
          </w:rPr>
          <w:instrText xml:space="preserve"> PAGEREF _Toc69114916 \h </w:instrText>
        </w:r>
        <w:r w:rsidR="00067A5E">
          <w:rPr>
            <w:noProof/>
            <w:webHidden/>
          </w:rPr>
        </w:r>
        <w:r w:rsidR="00067A5E">
          <w:rPr>
            <w:noProof/>
            <w:webHidden/>
          </w:rPr>
          <w:fldChar w:fldCharType="separate"/>
        </w:r>
        <w:r w:rsidR="00067A5E">
          <w:rPr>
            <w:noProof/>
            <w:webHidden/>
          </w:rPr>
          <w:t>37</w:t>
        </w:r>
        <w:r w:rsidR="00067A5E">
          <w:rPr>
            <w:noProof/>
            <w:webHidden/>
          </w:rPr>
          <w:fldChar w:fldCharType="end"/>
        </w:r>
      </w:hyperlink>
    </w:p>
    <w:p w14:paraId="47C6F1AC" w14:textId="1E7284CB" w:rsidR="00067A5E" w:rsidRDefault="00B51F53">
      <w:pPr>
        <w:pStyle w:val="TableofFigures"/>
        <w:tabs>
          <w:tab w:val="right" w:leader="dot" w:pos="9016"/>
        </w:tabs>
        <w:rPr>
          <w:rFonts w:eastAsiaTheme="minorEastAsia"/>
          <w:noProof/>
          <w:lang w:eastAsia="en-GB"/>
        </w:rPr>
      </w:pPr>
      <w:hyperlink w:anchor="_Toc69114917" w:history="1">
        <w:r w:rsidR="00067A5E" w:rsidRPr="00C515B1">
          <w:rPr>
            <w:rStyle w:val="Hyperlink"/>
            <w:i/>
            <w:iCs/>
            <w:noProof/>
          </w:rPr>
          <w:t>Figure 2.5: A series of figures overlaid showing the effect of desiccation on the properties of infiltrated LSCF/GDC cathodes. All the desiccated Triton X-100 samples are in green. a) Plots the Polarisation resistance, R</w:t>
        </w:r>
        <w:r w:rsidR="00067A5E" w:rsidRPr="00C515B1">
          <w:rPr>
            <w:rStyle w:val="Hyperlink"/>
            <w:i/>
            <w:iCs/>
            <w:noProof/>
            <w:vertAlign w:val="subscript"/>
          </w:rPr>
          <w:t>P</w:t>
        </w:r>
        <w:r w:rsidR="00067A5E" w:rsidRPr="00C515B1">
          <w:rPr>
            <w:rStyle w:val="Hyperlink"/>
            <w:i/>
            <w:iCs/>
            <w:noProof/>
          </w:rPr>
          <w:t xml:space="preserve"> against temperature of the three separate samples b) SEM micrographs of the GDC scaffold with LSCF adatoms on the surface c) The imaginary impedance plotted against the frequency impedance from the EIS cycling of LSCF/GDC </w:t>
        </w:r>
        <w:r w:rsidR="00067A5E" w:rsidRPr="00C515B1">
          <w:rPr>
            <w:rStyle w:val="Hyperlink"/>
            <w:iCs/>
            <w:noProof/>
          </w:rPr>
          <w:t>[161], [162]</w:t>
        </w:r>
        <w:r w:rsidR="00067A5E" w:rsidRPr="00C515B1">
          <w:rPr>
            <w:rStyle w:val="Hyperlink"/>
            <w:i/>
            <w:iCs/>
            <w:noProof/>
          </w:rPr>
          <w:t>.</w:t>
        </w:r>
        <w:r w:rsidR="00067A5E">
          <w:rPr>
            <w:noProof/>
            <w:webHidden/>
          </w:rPr>
          <w:tab/>
        </w:r>
        <w:r w:rsidR="00067A5E">
          <w:rPr>
            <w:noProof/>
            <w:webHidden/>
          </w:rPr>
          <w:fldChar w:fldCharType="begin"/>
        </w:r>
        <w:r w:rsidR="00067A5E">
          <w:rPr>
            <w:noProof/>
            <w:webHidden/>
          </w:rPr>
          <w:instrText xml:space="preserve"> PAGEREF _Toc69114917 \h </w:instrText>
        </w:r>
        <w:r w:rsidR="00067A5E">
          <w:rPr>
            <w:noProof/>
            <w:webHidden/>
          </w:rPr>
        </w:r>
        <w:r w:rsidR="00067A5E">
          <w:rPr>
            <w:noProof/>
            <w:webHidden/>
          </w:rPr>
          <w:fldChar w:fldCharType="separate"/>
        </w:r>
        <w:r w:rsidR="00067A5E">
          <w:rPr>
            <w:noProof/>
            <w:webHidden/>
          </w:rPr>
          <w:t>38</w:t>
        </w:r>
        <w:r w:rsidR="00067A5E">
          <w:rPr>
            <w:noProof/>
            <w:webHidden/>
          </w:rPr>
          <w:fldChar w:fldCharType="end"/>
        </w:r>
      </w:hyperlink>
    </w:p>
    <w:p w14:paraId="36323A83" w14:textId="40C54CF5" w:rsidR="00067A5E" w:rsidRDefault="00B51F53">
      <w:pPr>
        <w:pStyle w:val="TableofFigures"/>
        <w:tabs>
          <w:tab w:val="right" w:leader="dot" w:pos="9016"/>
        </w:tabs>
        <w:rPr>
          <w:rFonts w:eastAsiaTheme="minorEastAsia"/>
          <w:noProof/>
          <w:lang w:eastAsia="en-GB"/>
        </w:rPr>
      </w:pPr>
      <w:hyperlink w:anchor="_Toc69114918" w:history="1">
        <w:r w:rsidR="00067A5E" w:rsidRPr="00C515B1">
          <w:rPr>
            <w:rStyle w:val="Hyperlink"/>
            <w:rFonts w:cstheme="minorHAnsi"/>
            <w:i/>
            <w:iCs/>
            <w:noProof/>
          </w:rPr>
          <w:t xml:space="preserve">Figure 2.6: Diagram detailing the impact of utilising an inert drying atmosphere with an infiltrated SOFC electrode. Adapted from </w:t>
        </w:r>
        <w:r w:rsidR="00067A5E" w:rsidRPr="00C515B1">
          <w:rPr>
            <w:rStyle w:val="Hyperlink"/>
            <w:rFonts w:cstheme="minorHAnsi"/>
            <w:iCs/>
            <w:noProof/>
          </w:rPr>
          <w:t>[177], [179]</w:t>
        </w:r>
        <w:r w:rsidR="00067A5E">
          <w:rPr>
            <w:noProof/>
            <w:webHidden/>
          </w:rPr>
          <w:tab/>
        </w:r>
        <w:r w:rsidR="00067A5E">
          <w:rPr>
            <w:noProof/>
            <w:webHidden/>
          </w:rPr>
          <w:fldChar w:fldCharType="begin"/>
        </w:r>
        <w:r w:rsidR="00067A5E">
          <w:rPr>
            <w:noProof/>
            <w:webHidden/>
          </w:rPr>
          <w:instrText xml:space="preserve"> PAGEREF _Toc69114918 \h </w:instrText>
        </w:r>
        <w:r w:rsidR="00067A5E">
          <w:rPr>
            <w:noProof/>
            <w:webHidden/>
          </w:rPr>
        </w:r>
        <w:r w:rsidR="00067A5E">
          <w:rPr>
            <w:noProof/>
            <w:webHidden/>
          </w:rPr>
          <w:fldChar w:fldCharType="separate"/>
        </w:r>
        <w:r w:rsidR="00067A5E">
          <w:rPr>
            <w:noProof/>
            <w:webHidden/>
          </w:rPr>
          <w:t>39</w:t>
        </w:r>
        <w:r w:rsidR="00067A5E">
          <w:rPr>
            <w:noProof/>
            <w:webHidden/>
          </w:rPr>
          <w:fldChar w:fldCharType="end"/>
        </w:r>
      </w:hyperlink>
    </w:p>
    <w:p w14:paraId="3FFB8410" w14:textId="72B41382" w:rsidR="00067A5E" w:rsidRDefault="00B51F53">
      <w:pPr>
        <w:pStyle w:val="TableofFigures"/>
        <w:tabs>
          <w:tab w:val="right" w:leader="dot" w:pos="9016"/>
        </w:tabs>
        <w:rPr>
          <w:rFonts w:eastAsiaTheme="minorEastAsia"/>
          <w:noProof/>
          <w:lang w:eastAsia="en-GB"/>
        </w:rPr>
      </w:pPr>
      <w:hyperlink w:anchor="_Toc69114919" w:history="1">
        <w:r w:rsidR="00067A5E" w:rsidRPr="00C515B1">
          <w:rPr>
            <w:rStyle w:val="Hyperlink"/>
            <w:i/>
            <w:iCs/>
            <w:noProof/>
          </w:rPr>
          <w:t xml:space="preserve">Figure 2.7: Venn diagram detailing the similarities between the catalysts used in surface catalysis and infiltrated SOFC fuel electrodes </w:t>
        </w:r>
        <w:r w:rsidR="00067A5E" w:rsidRPr="00C515B1">
          <w:rPr>
            <w:rStyle w:val="Hyperlink"/>
            <w:iCs/>
            <w:noProof/>
          </w:rPr>
          <w:t>[7], [8], [167], [173]–[176]</w:t>
        </w:r>
        <w:r w:rsidR="00067A5E">
          <w:rPr>
            <w:noProof/>
            <w:webHidden/>
          </w:rPr>
          <w:tab/>
        </w:r>
        <w:r w:rsidR="00067A5E">
          <w:rPr>
            <w:noProof/>
            <w:webHidden/>
          </w:rPr>
          <w:fldChar w:fldCharType="begin"/>
        </w:r>
        <w:r w:rsidR="00067A5E">
          <w:rPr>
            <w:noProof/>
            <w:webHidden/>
          </w:rPr>
          <w:instrText xml:space="preserve"> PAGEREF _Toc69114919 \h </w:instrText>
        </w:r>
        <w:r w:rsidR="00067A5E">
          <w:rPr>
            <w:noProof/>
            <w:webHidden/>
          </w:rPr>
        </w:r>
        <w:r w:rsidR="00067A5E">
          <w:rPr>
            <w:noProof/>
            <w:webHidden/>
          </w:rPr>
          <w:fldChar w:fldCharType="separate"/>
        </w:r>
        <w:r w:rsidR="00067A5E">
          <w:rPr>
            <w:noProof/>
            <w:webHidden/>
          </w:rPr>
          <w:t>40</w:t>
        </w:r>
        <w:r w:rsidR="00067A5E">
          <w:rPr>
            <w:noProof/>
            <w:webHidden/>
          </w:rPr>
          <w:fldChar w:fldCharType="end"/>
        </w:r>
      </w:hyperlink>
    </w:p>
    <w:p w14:paraId="2F0636CD" w14:textId="78F61FD2" w:rsidR="00067A5E" w:rsidRDefault="00B51F53">
      <w:pPr>
        <w:pStyle w:val="TableofFigures"/>
        <w:tabs>
          <w:tab w:val="right" w:leader="dot" w:pos="9016"/>
        </w:tabs>
        <w:rPr>
          <w:rFonts w:eastAsiaTheme="minorEastAsia"/>
          <w:noProof/>
          <w:lang w:eastAsia="en-GB"/>
        </w:rPr>
      </w:pPr>
      <w:hyperlink w:anchor="_Toc69114920" w:history="1">
        <w:r w:rsidR="00067A5E" w:rsidRPr="00C515B1">
          <w:rPr>
            <w:rStyle w:val="Hyperlink"/>
            <w:i/>
            <w:iCs/>
            <w:noProof/>
          </w:rPr>
          <w:t xml:space="preserve">Figure 2.8: TGA graph of the percentage mass loss versus temperature for nickel nitrate hexa-hydrate detailing the various steps for the thermal decomposition reaction. The dark line shows the thermal breakdown in a nitrogen atmosphere </w:t>
        </w:r>
        <w:r w:rsidR="00067A5E" w:rsidRPr="00C515B1">
          <w:rPr>
            <w:rStyle w:val="Hyperlink"/>
            <w:iCs/>
            <w:noProof/>
          </w:rPr>
          <w:t>[192], [195]</w:t>
        </w:r>
        <w:r w:rsidR="00067A5E" w:rsidRPr="00C515B1">
          <w:rPr>
            <w:rStyle w:val="Hyperlink"/>
            <w:i/>
            <w:iCs/>
            <w:noProof/>
          </w:rPr>
          <w:t>.</w:t>
        </w:r>
        <w:r w:rsidR="00067A5E">
          <w:rPr>
            <w:noProof/>
            <w:webHidden/>
          </w:rPr>
          <w:tab/>
        </w:r>
        <w:r w:rsidR="00067A5E">
          <w:rPr>
            <w:noProof/>
            <w:webHidden/>
          </w:rPr>
          <w:fldChar w:fldCharType="begin"/>
        </w:r>
        <w:r w:rsidR="00067A5E">
          <w:rPr>
            <w:noProof/>
            <w:webHidden/>
          </w:rPr>
          <w:instrText xml:space="preserve"> PAGEREF _Toc69114920 \h </w:instrText>
        </w:r>
        <w:r w:rsidR="00067A5E">
          <w:rPr>
            <w:noProof/>
            <w:webHidden/>
          </w:rPr>
        </w:r>
        <w:r w:rsidR="00067A5E">
          <w:rPr>
            <w:noProof/>
            <w:webHidden/>
          </w:rPr>
          <w:fldChar w:fldCharType="separate"/>
        </w:r>
        <w:r w:rsidR="00067A5E">
          <w:rPr>
            <w:noProof/>
            <w:webHidden/>
          </w:rPr>
          <w:t>42</w:t>
        </w:r>
        <w:r w:rsidR="00067A5E">
          <w:rPr>
            <w:noProof/>
            <w:webHidden/>
          </w:rPr>
          <w:fldChar w:fldCharType="end"/>
        </w:r>
      </w:hyperlink>
    </w:p>
    <w:p w14:paraId="1C7119E9" w14:textId="6D50DC69" w:rsidR="00067A5E" w:rsidRDefault="00B51F53">
      <w:pPr>
        <w:pStyle w:val="TableofFigures"/>
        <w:tabs>
          <w:tab w:val="right" w:leader="dot" w:pos="9016"/>
        </w:tabs>
        <w:rPr>
          <w:rFonts w:eastAsiaTheme="minorEastAsia"/>
          <w:noProof/>
          <w:lang w:eastAsia="en-GB"/>
        </w:rPr>
      </w:pPr>
      <w:hyperlink w:anchor="_Toc69114921" w:history="1">
        <w:r w:rsidR="00067A5E" w:rsidRPr="00C515B1">
          <w:rPr>
            <w:rStyle w:val="Hyperlink"/>
            <w:i/>
            <w:iCs/>
            <w:noProof/>
          </w:rPr>
          <w:t>Figure 2.9: Differential Scanning Calorimetry graph illustrating the effect of ramping at 1</w:t>
        </w:r>
        <w:r w:rsidR="00067A5E" w:rsidRPr="00C515B1">
          <w:rPr>
            <w:rStyle w:val="Hyperlink"/>
            <w:rFonts w:cstheme="minorHAnsi"/>
            <w:i/>
            <w:iCs/>
            <w:noProof/>
          </w:rPr>
          <w:t>°</w:t>
        </w:r>
        <w:r w:rsidR="00067A5E" w:rsidRPr="00C515B1">
          <w:rPr>
            <w:rStyle w:val="Hyperlink"/>
            <w:i/>
            <w:iCs/>
            <w:noProof/>
          </w:rPr>
          <w:t xml:space="preserve">C per minute on a nickel nitrate sample under different atmospheres. The grey trace line is the effect of ramping the nickel nitrate sample in air and the black line shows the effect of ramping the sample in a NO/He atmosphere </w:t>
        </w:r>
        <w:r w:rsidR="00067A5E" w:rsidRPr="00C515B1">
          <w:rPr>
            <w:rStyle w:val="Hyperlink"/>
            <w:iCs/>
            <w:noProof/>
          </w:rPr>
          <w:t>[175]</w:t>
        </w:r>
        <w:r w:rsidR="00067A5E" w:rsidRPr="00C515B1">
          <w:rPr>
            <w:rStyle w:val="Hyperlink"/>
            <w:i/>
            <w:iCs/>
            <w:noProof/>
          </w:rPr>
          <w:t>.</w:t>
        </w:r>
        <w:r w:rsidR="00067A5E">
          <w:rPr>
            <w:noProof/>
            <w:webHidden/>
          </w:rPr>
          <w:tab/>
        </w:r>
        <w:r w:rsidR="00067A5E">
          <w:rPr>
            <w:noProof/>
            <w:webHidden/>
          </w:rPr>
          <w:fldChar w:fldCharType="begin"/>
        </w:r>
        <w:r w:rsidR="00067A5E">
          <w:rPr>
            <w:noProof/>
            <w:webHidden/>
          </w:rPr>
          <w:instrText xml:space="preserve"> PAGEREF _Toc69114921 \h </w:instrText>
        </w:r>
        <w:r w:rsidR="00067A5E">
          <w:rPr>
            <w:noProof/>
            <w:webHidden/>
          </w:rPr>
        </w:r>
        <w:r w:rsidR="00067A5E">
          <w:rPr>
            <w:noProof/>
            <w:webHidden/>
          </w:rPr>
          <w:fldChar w:fldCharType="separate"/>
        </w:r>
        <w:r w:rsidR="00067A5E">
          <w:rPr>
            <w:noProof/>
            <w:webHidden/>
          </w:rPr>
          <w:t>43</w:t>
        </w:r>
        <w:r w:rsidR="00067A5E">
          <w:rPr>
            <w:noProof/>
            <w:webHidden/>
          </w:rPr>
          <w:fldChar w:fldCharType="end"/>
        </w:r>
      </w:hyperlink>
    </w:p>
    <w:p w14:paraId="39FBC567" w14:textId="75A82FD2" w:rsidR="00067A5E" w:rsidRDefault="00B51F53">
      <w:pPr>
        <w:pStyle w:val="TableofFigures"/>
        <w:tabs>
          <w:tab w:val="right" w:leader="dot" w:pos="9016"/>
        </w:tabs>
        <w:rPr>
          <w:rFonts w:eastAsiaTheme="minorEastAsia"/>
          <w:noProof/>
          <w:lang w:eastAsia="en-GB"/>
        </w:rPr>
      </w:pPr>
      <w:hyperlink w:anchor="_Toc69114922" w:history="1">
        <w:r w:rsidR="00067A5E" w:rsidRPr="00C515B1">
          <w:rPr>
            <w:rStyle w:val="Hyperlink"/>
            <w:i/>
            <w:iCs/>
            <w:noProof/>
          </w:rPr>
          <w:t xml:space="preserve">Figure 2.10: Mass change and decomposition temperature for a variety of nickel nitrate decomposition routines using TGA </w:t>
        </w:r>
        <w:r w:rsidR="00067A5E" w:rsidRPr="00C515B1">
          <w:rPr>
            <w:rStyle w:val="Hyperlink"/>
            <w:iCs/>
            <w:noProof/>
          </w:rPr>
          <w:t>[190], [191], [194], [195], [204], [206], [207]</w:t>
        </w:r>
        <w:r w:rsidR="00067A5E" w:rsidRPr="00C515B1">
          <w:rPr>
            <w:rStyle w:val="Hyperlink"/>
            <w:i/>
            <w:iCs/>
            <w:noProof/>
          </w:rPr>
          <w:t>.</w:t>
        </w:r>
        <w:r w:rsidR="00067A5E">
          <w:rPr>
            <w:noProof/>
            <w:webHidden/>
          </w:rPr>
          <w:tab/>
        </w:r>
        <w:r w:rsidR="00067A5E">
          <w:rPr>
            <w:noProof/>
            <w:webHidden/>
          </w:rPr>
          <w:fldChar w:fldCharType="begin"/>
        </w:r>
        <w:r w:rsidR="00067A5E">
          <w:rPr>
            <w:noProof/>
            <w:webHidden/>
          </w:rPr>
          <w:instrText xml:space="preserve"> PAGEREF _Toc69114922 \h </w:instrText>
        </w:r>
        <w:r w:rsidR="00067A5E">
          <w:rPr>
            <w:noProof/>
            <w:webHidden/>
          </w:rPr>
        </w:r>
        <w:r w:rsidR="00067A5E">
          <w:rPr>
            <w:noProof/>
            <w:webHidden/>
          </w:rPr>
          <w:fldChar w:fldCharType="separate"/>
        </w:r>
        <w:r w:rsidR="00067A5E">
          <w:rPr>
            <w:noProof/>
            <w:webHidden/>
          </w:rPr>
          <w:t>44</w:t>
        </w:r>
        <w:r w:rsidR="00067A5E">
          <w:rPr>
            <w:noProof/>
            <w:webHidden/>
          </w:rPr>
          <w:fldChar w:fldCharType="end"/>
        </w:r>
      </w:hyperlink>
    </w:p>
    <w:p w14:paraId="0AD0DE62" w14:textId="317DFD2F" w:rsidR="00067A5E" w:rsidRDefault="00B51F53">
      <w:pPr>
        <w:pStyle w:val="TableofFigures"/>
        <w:tabs>
          <w:tab w:val="right" w:leader="dot" w:pos="9016"/>
        </w:tabs>
        <w:rPr>
          <w:rFonts w:eastAsiaTheme="minorEastAsia"/>
          <w:noProof/>
          <w:lang w:eastAsia="en-GB"/>
        </w:rPr>
      </w:pPr>
      <w:hyperlink w:anchor="_Toc69114923" w:history="1">
        <w:r w:rsidR="00067A5E" w:rsidRPr="00C515B1">
          <w:rPr>
            <w:rStyle w:val="Hyperlink"/>
            <w:i/>
            <w:iCs/>
            <w:noProof/>
          </w:rPr>
          <w:t xml:space="preserve">Figure 2.11: Diagram detailing the two forms of TPB found in an SOFC with the red and purple circles indicating the cathode and anode sides respectively. The red arrow details the useful work of electrons in an external circuit. Adapted from Vohs and Shishkin et al </w:t>
        </w:r>
        <w:r w:rsidR="00067A5E" w:rsidRPr="00C515B1">
          <w:rPr>
            <w:rStyle w:val="Hyperlink"/>
            <w:iCs/>
            <w:noProof/>
          </w:rPr>
          <w:t>[22], [137], [211]</w:t>
        </w:r>
        <w:r w:rsidR="00067A5E">
          <w:rPr>
            <w:noProof/>
            <w:webHidden/>
          </w:rPr>
          <w:tab/>
        </w:r>
        <w:r w:rsidR="00067A5E">
          <w:rPr>
            <w:noProof/>
            <w:webHidden/>
          </w:rPr>
          <w:fldChar w:fldCharType="begin"/>
        </w:r>
        <w:r w:rsidR="00067A5E">
          <w:rPr>
            <w:noProof/>
            <w:webHidden/>
          </w:rPr>
          <w:instrText xml:space="preserve"> PAGEREF _Toc69114923 \h </w:instrText>
        </w:r>
        <w:r w:rsidR="00067A5E">
          <w:rPr>
            <w:noProof/>
            <w:webHidden/>
          </w:rPr>
        </w:r>
        <w:r w:rsidR="00067A5E">
          <w:rPr>
            <w:noProof/>
            <w:webHidden/>
          </w:rPr>
          <w:fldChar w:fldCharType="separate"/>
        </w:r>
        <w:r w:rsidR="00067A5E">
          <w:rPr>
            <w:noProof/>
            <w:webHidden/>
          </w:rPr>
          <w:t>46</w:t>
        </w:r>
        <w:r w:rsidR="00067A5E">
          <w:rPr>
            <w:noProof/>
            <w:webHidden/>
          </w:rPr>
          <w:fldChar w:fldCharType="end"/>
        </w:r>
      </w:hyperlink>
    </w:p>
    <w:p w14:paraId="09F0008A" w14:textId="2EAE32C5" w:rsidR="00067A5E" w:rsidRDefault="00B51F53">
      <w:pPr>
        <w:pStyle w:val="TableofFigures"/>
        <w:tabs>
          <w:tab w:val="right" w:leader="dot" w:pos="9016"/>
        </w:tabs>
        <w:rPr>
          <w:rFonts w:eastAsiaTheme="minorEastAsia"/>
          <w:noProof/>
          <w:lang w:eastAsia="en-GB"/>
        </w:rPr>
      </w:pPr>
      <w:hyperlink w:anchor="_Toc69114924" w:history="1">
        <w:r w:rsidR="00067A5E" w:rsidRPr="00C515B1">
          <w:rPr>
            <w:rStyle w:val="Hyperlink"/>
            <w:i/>
            <w:iCs/>
            <w:noProof/>
          </w:rPr>
          <w:t>Figure 2.12: Conductivity profiles of Ni Conductivity profiles of carbon pore formed nickel infiltrated YSZ anodes with varying amounts of Ni infiltrate and inhibitor phases. The red line shows the addition of 5.86 vol % Gd-doped CeO</w:t>
        </w:r>
        <w:r w:rsidR="00067A5E" w:rsidRPr="00C515B1">
          <w:rPr>
            <w:rStyle w:val="Hyperlink"/>
            <w:i/>
            <w:iCs/>
            <w:noProof/>
            <w:vertAlign w:val="subscript"/>
          </w:rPr>
          <w:t>2</w:t>
        </w:r>
        <w:r w:rsidR="00067A5E" w:rsidRPr="00C515B1">
          <w:rPr>
            <w:rStyle w:val="Hyperlink"/>
            <w:i/>
            <w:iCs/>
            <w:noProof/>
          </w:rPr>
          <w:t xml:space="preserve"> (GDC), the blue line shows the addition of 2.04vol % GDC and the green line details the addition of 3.60 vol % TiO</w:t>
        </w:r>
        <w:r w:rsidR="00067A5E" w:rsidRPr="00C515B1">
          <w:rPr>
            <w:rStyle w:val="Hyperlink"/>
            <w:i/>
            <w:iCs/>
            <w:noProof/>
            <w:vertAlign w:val="subscript"/>
          </w:rPr>
          <w:t>2</w:t>
        </w:r>
        <w:r w:rsidR="00067A5E" w:rsidRPr="00C515B1">
          <w:rPr>
            <w:rStyle w:val="Hyperlink"/>
            <w:i/>
            <w:iCs/>
            <w:noProof/>
          </w:rPr>
          <w:t xml:space="preserve"> on the conductivity of the wet impregnated Ni/YSZ anodes </w:t>
        </w:r>
        <w:r w:rsidR="00067A5E" w:rsidRPr="00C515B1">
          <w:rPr>
            <w:rStyle w:val="Hyperlink"/>
            <w:iCs/>
            <w:noProof/>
          </w:rPr>
          <w:t>[219]</w:t>
        </w:r>
        <w:r w:rsidR="00067A5E" w:rsidRPr="00C515B1">
          <w:rPr>
            <w:rStyle w:val="Hyperlink"/>
            <w:i/>
            <w:iCs/>
            <w:noProof/>
          </w:rPr>
          <w:t>.</w:t>
        </w:r>
        <w:r w:rsidR="00067A5E">
          <w:rPr>
            <w:noProof/>
            <w:webHidden/>
          </w:rPr>
          <w:tab/>
        </w:r>
        <w:r w:rsidR="00067A5E">
          <w:rPr>
            <w:noProof/>
            <w:webHidden/>
          </w:rPr>
          <w:fldChar w:fldCharType="begin"/>
        </w:r>
        <w:r w:rsidR="00067A5E">
          <w:rPr>
            <w:noProof/>
            <w:webHidden/>
          </w:rPr>
          <w:instrText xml:space="preserve"> PAGEREF _Toc69114924 \h </w:instrText>
        </w:r>
        <w:r w:rsidR="00067A5E">
          <w:rPr>
            <w:noProof/>
            <w:webHidden/>
          </w:rPr>
        </w:r>
        <w:r w:rsidR="00067A5E">
          <w:rPr>
            <w:noProof/>
            <w:webHidden/>
          </w:rPr>
          <w:fldChar w:fldCharType="separate"/>
        </w:r>
        <w:r w:rsidR="00067A5E">
          <w:rPr>
            <w:noProof/>
            <w:webHidden/>
          </w:rPr>
          <w:t>48</w:t>
        </w:r>
        <w:r w:rsidR="00067A5E">
          <w:rPr>
            <w:noProof/>
            <w:webHidden/>
          </w:rPr>
          <w:fldChar w:fldCharType="end"/>
        </w:r>
      </w:hyperlink>
    </w:p>
    <w:p w14:paraId="575164AE" w14:textId="2ACA6406" w:rsidR="00067A5E" w:rsidRDefault="00B51F53">
      <w:pPr>
        <w:pStyle w:val="TableofFigures"/>
        <w:tabs>
          <w:tab w:val="right" w:leader="dot" w:pos="9016"/>
        </w:tabs>
        <w:rPr>
          <w:rFonts w:eastAsiaTheme="minorEastAsia"/>
          <w:noProof/>
          <w:lang w:eastAsia="en-GB"/>
        </w:rPr>
      </w:pPr>
      <w:hyperlink w:anchor="_Toc69114925" w:history="1">
        <w:r w:rsidR="00067A5E" w:rsidRPr="00C515B1">
          <w:rPr>
            <w:rStyle w:val="Hyperlink"/>
            <w:i/>
            <w:iCs/>
            <w:noProof/>
          </w:rPr>
          <w:t xml:space="preserve">Figure 2.13: Conductivity profiles of carbon pore formed nickel infiltrated YSZ anodes with varying amounts of Ni infiltrate </w:t>
        </w:r>
        <w:r w:rsidR="00067A5E" w:rsidRPr="00C515B1">
          <w:rPr>
            <w:rStyle w:val="Hyperlink"/>
            <w:iCs/>
            <w:noProof/>
          </w:rPr>
          <w:t>[219]</w:t>
        </w:r>
        <w:r w:rsidR="00067A5E" w:rsidRPr="00C515B1">
          <w:rPr>
            <w:rStyle w:val="Hyperlink"/>
            <w:i/>
            <w:iCs/>
            <w:noProof/>
          </w:rPr>
          <w:t>.</w:t>
        </w:r>
        <w:r w:rsidR="00067A5E">
          <w:rPr>
            <w:noProof/>
            <w:webHidden/>
          </w:rPr>
          <w:tab/>
        </w:r>
        <w:r w:rsidR="00067A5E">
          <w:rPr>
            <w:noProof/>
            <w:webHidden/>
          </w:rPr>
          <w:fldChar w:fldCharType="begin"/>
        </w:r>
        <w:r w:rsidR="00067A5E">
          <w:rPr>
            <w:noProof/>
            <w:webHidden/>
          </w:rPr>
          <w:instrText xml:space="preserve"> PAGEREF _Toc69114925 \h </w:instrText>
        </w:r>
        <w:r w:rsidR="00067A5E">
          <w:rPr>
            <w:noProof/>
            <w:webHidden/>
          </w:rPr>
        </w:r>
        <w:r w:rsidR="00067A5E">
          <w:rPr>
            <w:noProof/>
            <w:webHidden/>
          </w:rPr>
          <w:fldChar w:fldCharType="separate"/>
        </w:r>
        <w:r w:rsidR="00067A5E">
          <w:rPr>
            <w:noProof/>
            <w:webHidden/>
          </w:rPr>
          <w:t>49</w:t>
        </w:r>
        <w:r w:rsidR="00067A5E">
          <w:rPr>
            <w:noProof/>
            <w:webHidden/>
          </w:rPr>
          <w:fldChar w:fldCharType="end"/>
        </w:r>
      </w:hyperlink>
    </w:p>
    <w:p w14:paraId="68904A0A" w14:textId="5EC832A4" w:rsidR="00067A5E" w:rsidRDefault="00B51F53">
      <w:pPr>
        <w:pStyle w:val="TableofFigures"/>
        <w:tabs>
          <w:tab w:val="right" w:leader="dot" w:pos="9016"/>
        </w:tabs>
        <w:rPr>
          <w:rFonts w:eastAsiaTheme="minorEastAsia"/>
          <w:noProof/>
          <w:lang w:eastAsia="en-GB"/>
        </w:rPr>
      </w:pPr>
      <w:hyperlink w:anchor="_Toc69114926" w:history="1">
        <w:r w:rsidR="00067A5E" w:rsidRPr="00C515B1">
          <w:rPr>
            <w:rStyle w:val="Hyperlink"/>
            <w:i/>
            <w:iCs/>
            <w:noProof/>
          </w:rPr>
          <w:t xml:space="preserve">Figure 2.14: Diagram depicting the movement of As and P containing species through the cermet anode structure </w:t>
        </w:r>
        <w:r w:rsidR="00067A5E" w:rsidRPr="00C515B1">
          <w:rPr>
            <w:rStyle w:val="Hyperlink"/>
            <w:iCs/>
            <w:noProof/>
          </w:rPr>
          <w:t>[111]</w:t>
        </w:r>
        <w:r w:rsidR="00067A5E">
          <w:rPr>
            <w:noProof/>
            <w:webHidden/>
          </w:rPr>
          <w:tab/>
        </w:r>
        <w:r w:rsidR="00067A5E">
          <w:rPr>
            <w:noProof/>
            <w:webHidden/>
          </w:rPr>
          <w:fldChar w:fldCharType="begin"/>
        </w:r>
        <w:r w:rsidR="00067A5E">
          <w:rPr>
            <w:noProof/>
            <w:webHidden/>
          </w:rPr>
          <w:instrText xml:space="preserve"> PAGEREF _Toc69114926 \h </w:instrText>
        </w:r>
        <w:r w:rsidR="00067A5E">
          <w:rPr>
            <w:noProof/>
            <w:webHidden/>
          </w:rPr>
        </w:r>
        <w:r w:rsidR="00067A5E">
          <w:rPr>
            <w:noProof/>
            <w:webHidden/>
          </w:rPr>
          <w:fldChar w:fldCharType="separate"/>
        </w:r>
        <w:r w:rsidR="00067A5E">
          <w:rPr>
            <w:noProof/>
            <w:webHidden/>
          </w:rPr>
          <w:t>52</w:t>
        </w:r>
        <w:r w:rsidR="00067A5E">
          <w:rPr>
            <w:noProof/>
            <w:webHidden/>
          </w:rPr>
          <w:fldChar w:fldCharType="end"/>
        </w:r>
      </w:hyperlink>
    </w:p>
    <w:p w14:paraId="027551E1" w14:textId="1B8CB1C2" w:rsidR="00067A5E" w:rsidRDefault="00B51F53">
      <w:pPr>
        <w:pStyle w:val="TableofFigures"/>
        <w:tabs>
          <w:tab w:val="right" w:leader="dot" w:pos="9016"/>
        </w:tabs>
        <w:rPr>
          <w:rFonts w:eastAsiaTheme="minorEastAsia"/>
          <w:noProof/>
          <w:lang w:eastAsia="en-GB"/>
        </w:rPr>
      </w:pPr>
      <w:hyperlink w:anchor="_Toc69114927" w:history="1">
        <w:r w:rsidR="00067A5E" w:rsidRPr="00C515B1">
          <w:rPr>
            <w:rStyle w:val="Hyperlink"/>
            <w:noProof/>
          </w:rPr>
          <w:t>Figure 2.15: A graph depicting the overvoltage vs. parts per million of hydrogen sulphide  in a Ni/YSZ (8% Y</w:t>
        </w:r>
        <w:r w:rsidR="00067A5E" w:rsidRPr="00C515B1">
          <w:rPr>
            <w:rStyle w:val="Hyperlink"/>
            <w:noProof/>
            <w:vertAlign w:val="subscript"/>
          </w:rPr>
          <w:t>2</w:t>
        </w:r>
        <w:r w:rsidR="00067A5E" w:rsidRPr="00C515B1">
          <w:rPr>
            <w:rStyle w:val="Hyperlink"/>
            <w:noProof/>
          </w:rPr>
          <w:t>O</w:t>
        </w:r>
        <w:r w:rsidR="00067A5E" w:rsidRPr="00C515B1">
          <w:rPr>
            <w:rStyle w:val="Hyperlink"/>
            <w:noProof/>
            <w:vertAlign w:val="subscript"/>
          </w:rPr>
          <w:t>3</w:t>
        </w:r>
        <w:r w:rsidR="00067A5E" w:rsidRPr="00C515B1">
          <w:rPr>
            <w:rStyle w:val="Hyperlink"/>
            <w:noProof/>
          </w:rPr>
          <w:t xml:space="preserve"> - 92% ZrO</w:t>
        </w:r>
        <w:r w:rsidR="00067A5E" w:rsidRPr="00C515B1">
          <w:rPr>
            <w:rStyle w:val="Hyperlink"/>
            <w:noProof/>
            <w:vertAlign w:val="subscript"/>
          </w:rPr>
          <w:t>2</w:t>
        </w:r>
        <w:r w:rsidR="00067A5E" w:rsidRPr="00C515B1">
          <w:rPr>
            <w:rStyle w:val="Hyperlink"/>
            <w:noProof/>
          </w:rPr>
          <w:t>)</w:t>
        </w:r>
        <w:r w:rsidR="00067A5E" w:rsidRPr="00C515B1">
          <w:rPr>
            <w:rStyle w:val="Hyperlink"/>
            <w:bCs/>
            <w:noProof/>
          </w:rPr>
          <w:t xml:space="preserve"> [230]</w:t>
        </w:r>
        <w:r w:rsidR="00067A5E">
          <w:rPr>
            <w:noProof/>
            <w:webHidden/>
          </w:rPr>
          <w:tab/>
        </w:r>
        <w:r w:rsidR="00067A5E">
          <w:rPr>
            <w:noProof/>
            <w:webHidden/>
          </w:rPr>
          <w:fldChar w:fldCharType="begin"/>
        </w:r>
        <w:r w:rsidR="00067A5E">
          <w:rPr>
            <w:noProof/>
            <w:webHidden/>
          </w:rPr>
          <w:instrText xml:space="preserve"> PAGEREF _Toc69114927 \h </w:instrText>
        </w:r>
        <w:r w:rsidR="00067A5E">
          <w:rPr>
            <w:noProof/>
            <w:webHidden/>
          </w:rPr>
        </w:r>
        <w:r w:rsidR="00067A5E">
          <w:rPr>
            <w:noProof/>
            <w:webHidden/>
          </w:rPr>
          <w:fldChar w:fldCharType="separate"/>
        </w:r>
        <w:r w:rsidR="00067A5E">
          <w:rPr>
            <w:noProof/>
            <w:webHidden/>
          </w:rPr>
          <w:t>53</w:t>
        </w:r>
        <w:r w:rsidR="00067A5E">
          <w:rPr>
            <w:noProof/>
            <w:webHidden/>
          </w:rPr>
          <w:fldChar w:fldCharType="end"/>
        </w:r>
      </w:hyperlink>
    </w:p>
    <w:p w14:paraId="69D2DBF5" w14:textId="0682BC81" w:rsidR="00067A5E" w:rsidRDefault="00B51F53">
      <w:pPr>
        <w:pStyle w:val="TableofFigures"/>
        <w:tabs>
          <w:tab w:val="right" w:leader="dot" w:pos="9016"/>
        </w:tabs>
        <w:rPr>
          <w:rFonts w:eastAsiaTheme="minorEastAsia"/>
          <w:noProof/>
          <w:lang w:eastAsia="en-GB"/>
        </w:rPr>
      </w:pPr>
      <w:hyperlink w:anchor="_Toc69114928" w:history="1">
        <w:r w:rsidR="00067A5E" w:rsidRPr="00C515B1">
          <w:rPr>
            <w:rStyle w:val="Hyperlink"/>
            <w:i/>
            <w:iCs/>
            <w:noProof/>
          </w:rPr>
          <w:t xml:space="preserve">Figure 2.16: A set field-emission scanning electron micrograph of the PMMA pore formed YSZ scaffold with nickel particles. Images a and b detail the microstructure in the as reduced state. [(a.) top-down view and b.) cross-section] Images c and d show the microstructure of the sample after the 500-800°C annealing step </w:t>
        </w:r>
        <w:r w:rsidR="00067A5E" w:rsidRPr="00C515B1">
          <w:rPr>
            <w:rStyle w:val="Hyperlink"/>
            <w:noProof/>
          </w:rPr>
          <w:t xml:space="preserve"> [246], [247]</w:t>
        </w:r>
        <w:r w:rsidR="00067A5E">
          <w:rPr>
            <w:noProof/>
            <w:webHidden/>
          </w:rPr>
          <w:tab/>
        </w:r>
        <w:r w:rsidR="00067A5E">
          <w:rPr>
            <w:noProof/>
            <w:webHidden/>
          </w:rPr>
          <w:fldChar w:fldCharType="begin"/>
        </w:r>
        <w:r w:rsidR="00067A5E">
          <w:rPr>
            <w:noProof/>
            <w:webHidden/>
          </w:rPr>
          <w:instrText xml:space="preserve"> PAGEREF _Toc69114928 \h </w:instrText>
        </w:r>
        <w:r w:rsidR="00067A5E">
          <w:rPr>
            <w:noProof/>
            <w:webHidden/>
          </w:rPr>
        </w:r>
        <w:r w:rsidR="00067A5E">
          <w:rPr>
            <w:noProof/>
            <w:webHidden/>
          </w:rPr>
          <w:fldChar w:fldCharType="separate"/>
        </w:r>
        <w:r w:rsidR="00067A5E">
          <w:rPr>
            <w:noProof/>
            <w:webHidden/>
          </w:rPr>
          <w:t>56</w:t>
        </w:r>
        <w:r w:rsidR="00067A5E">
          <w:rPr>
            <w:noProof/>
            <w:webHidden/>
          </w:rPr>
          <w:fldChar w:fldCharType="end"/>
        </w:r>
      </w:hyperlink>
    </w:p>
    <w:p w14:paraId="594D4130" w14:textId="7CD4C5C3" w:rsidR="00067A5E" w:rsidRDefault="00B51F53">
      <w:pPr>
        <w:pStyle w:val="TableofFigures"/>
        <w:tabs>
          <w:tab w:val="right" w:leader="dot" w:pos="9016"/>
        </w:tabs>
        <w:rPr>
          <w:rFonts w:eastAsiaTheme="minorEastAsia"/>
          <w:noProof/>
          <w:lang w:eastAsia="en-GB"/>
        </w:rPr>
      </w:pPr>
      <w:hyperlink w:anchor="_Toc69114929" w:history="1">
        <w:r w:rsidR="00067A5E" w:rsidRPr="00C515B1">
          <w:rPr>
            <w:rStyle w:val="Hyperlink"/>
            <w:i/>
            <w:iCs/>
            <w:noProof/>
          </w:rPr>
          <w:t xml:space="preserve">Figure 2.17: A set field-emission scanning electron micrograph of the as-prepared YSZ scaffold with nickel particles. Images a and b detail the microstructure in the as reduced state. [(a.) top-down view and (b.) cross-section] Images c and d show the microstructure of the sample after the 500-800°C annealing step </w:t>
        </w:r>
        <w:r w:rsidR="00067A5E" w:rsidRPr="00C515B1">
          <w:rPr>
            <w:rStyle w:val="Hyperlink"/>
            <w:noProof/>
          </w:rPr>
          <w:t xml:space="preserve"> [246], [247]</w:t>
        </w:r>
        <w:r w:rsidR="00067A5E">
          <w:rPr>
            <w:noProof/>
            <w:webHidden/>
          </w:rPr>
          <w:tab/>
        </w:r>
        <w:r w:rsidR="00067A5E">
          <w:rPr>
            <w:noProof/>
            <w:webHidden/>
          </w:rPr>
          <w:fldChar w:fldCharType="begin"/>
        </w:r>
        <w:r w:rsidR="00067A5E">
          <w:rPr>
            <w:noProof/>
            <w:webHidden/>
          </w:rPr>
          <w:instrText xml:space="preserve"> PAGEREF _Toc69114929 \h </w:instrText>
        </w:r>
        <w:r w:rsidR="00067A5E">
          <w:rPr>
            <w:noProof/>
            <w:webHidden/>
          </w:rPr>
        </w:r>
        <w:r w:rsidR="00067A5E">
          <w:rPr>
            <w:noProof/>
            <w:webHidden/>
          </w:rPr>
          <w:fldChar w:fldCharType="separate"/>
        </w:r>
        <w:r w:rsidR="00067A5E">
          <w:rPr>
            <w:noProof/>
            <w:webHidden/>
          </w:rPr>
          <w:t>57</w:t>
        </w:r>
        <w:r w:rsidR="00067A5E">
          <w:rPr>
            <w:noProof/>
            <w:webHidden/>
          </w:rPr>
          <w:fldChar w:fldCharType="end"/>
        </w:r>
      </w:hyperlink>
    </w:p>
    <w:p w14:paraId="03CAB099" w14:textId="41BE97A1" w:rsidR="00067A5E" w:rsidRDefault="00B51F53">
      <w:pPr>
        <w:pStyle w:val="TableofFigures"/>
        <w:tabs>
          <w:tab w:val="right" w:leader="dot" w:pos="9016"/>
        </w:tabs>
        <w:rPr>
          <w:rFonts w:eastAsiaTheme="minorEastAsia"/>
          <w:noProof/>
          <w:lang w:eastAsia="en-GB"/>
        </w:rPr>
      </w:pPr>
      <w:hyperlink w:anchor="_Toc69114930" w:history="1">
        <w:r w:rsidR="00067A5E" w:rsidRPr="00C515B1">
          <w:rPr>
            <w:rStyle w:val="Hyperlink"/>
            <w:i/>
            <w:iCs/>
            <w:noProof/>
          </w:rPr>
          <w:t>Figure 2.18: Transmission electron micrograph of a focussed ion beam milled Ni/YSZ TEM sample [107]</w:t>
        </w:r>
        <w:r w:rsidR="00067A5E">
          <w:rPr>
            <w:noProof/>
            <w:webHidden/>
          </w:rPr>
          <w:tab/>
        </w:r>
        <w:r w:rsidR="00067A5E">
          <w:rPr>
            <w:noProof/>
            <w:webHidden/>
          </w:rPr>
          <w:fldChar w:fldCharType="begin"/>
        </w:r>
        <w:r w:rsidR="00067A5E">
          <w:rPr>
            <w:noProof/>
            <w:webHidden/>
          </w:rPr>
          <w:instrText xml:space="preserve"> PAGEREF _Toc69114930 \h </w:instrText>
        </w:r>
        <w:r w:rsidR="00067A5E">
          <w:rPr>
            <w:noProof/>
            <w:webHidden/>
          </w:rPr>
        </w:r>
        <w:r w:rsidR="00067A5E">
          <w:rPr>
            <w:noProof/>
            <w:webHidden/>
          </w:rPr>
          <w:fldChar w:fldCharType="separate"/>
        </w:r>
        <w:r w:rsidR="00067A5E">
          <w:rPr>
            <w:noProof/>
            <w:webHidden/>
          </w:rPr>
          <w:t>59</w:t>
        </w:r>
        <w:r w:rsidR="00067A5E">
          <w:rPr>
            <w:noProof/>
            <w:webHidden/>
          </w:rPr>
          <w:fldChar w:fldCharType="end"/>
        </w:r>
      </w:hyperlink>
    </w:p>
    <w:p w14:paraId="11E58F1D" w14:textId="16F6FAC8" w:rsidR="00067A5E" w:rsidRDefault="00B51F53">
      <w:pPr>
        <w:pStyle w:val="TableofFigures"/>
        <w:tabs>
          <w:tab w:val="right" w:leader="dot" w:pos="9016"/>
        </w:tabs>
        <w:rPr>
          <w:rFonts w:eastAsiaTheme="minorEastAsia"/>
          <w:noProof/>
          <w:lang w:eastAsia="en-GB"/>
        </w:rPr>
      </w:pPr>
      <w:hyperlink w:anchor="_Toc69114931" w:history="1">
        <w:r w:rsidR="00067A5E" w:rsidRPr="00C515B1">
          <w:rPr>
            <w:rStyle w:val="Hyperlink"/>
            <w:i/>
            <w:iCs/>
            <w:noProof/>
          </w:rPr>
          <w:t xml:space="preserve">Figure 2.19: A selection of transmission electron micrographs showing the formation of silicate glass impurity phases between the Ni particles and the YSZ electrolyte </w:t>
        </w:r>
        <w:r w:rsidR="00067A5E" w:rsidRPr="00C515B1">
          <w:rPr>
            <w:rStyle w:val="Hyperlink"/>
            <w:iCs/>
            <w:noProof/>
          </w:rPr>
          <w:t>[252]</w:t>
        </w:r>
        <w:r w:rsidR="00067A5E">
          <w:rPr>
            <w:noProof/>
            <w:webHidden/>
          </w:rPr>
          <w:tab/>
        </w:r>
        <w:r w:rsidR="00067A5E">
          <w:rPr>
            <w:noProof/>
            <w:webHidden/>
          </w:rPr>
          <w:fldChar w:fldCharType="begin"/>
        </w:r>
        <w:r w:rsidR="00067A5E">
          <w:rPr>
            <w:noProof/>
            <w:webHidden/>
          </w:rPr>
          <w:instrText xml:space="preserve"> PAGEREF _Toc69114931 \h </w:instrText>
        </w:r>
        <w:r w:rsidR="00067A5E">
          <w:rPr>
            <w:noProof/>
            <w:webHidden/>
          </w:rPr>
        </w:r>
        <w:r w:rsidR="00067A5E">
          <w:rPr>
            <w:noProof/>
            <w:webHidden/>
          </w:rPr>
          <w:fldChar w:fldCharType="separate"/>
        </w:r>
        <w:r w:rsidR="00067A5E">
          <w:rPr>
            <w:noProof/>
            <w:webHidden/>
          </w:rPr>
          <w:t>59</w:t>
        </w:r>
        <w:r w:rsidR="00067A5E">
          <w:rPr>
            <w:noProof/>
            <w:webHidden/>
          </w:rPr>
          <w:fldChar w:fldCharType="end"/>
        </w:r>
      </w:hyperlink>
    </w:p>
    <w:p w14:paraId="2EB0017C" w14:textId="39783BC0" w:rsidR="00067A5E" w:rsidRDefault="00B51F53">
      <w:pPr>
        <w:pStyle w:val="TableofFigures"/>
        <w:tabs>
          <w:tab w:val="right" w:leader="dot" w:pos="9016"/>
        </w:tabs>
        <w:rPr>
          <w:rFonts w:eastAsiaTheme="minorEastAsia"/>
          <w:noProof/>
          <w:lang w:eastAsia="en-GB"/>
        </w:rPr>
      </w:pPr>
      <w:hyperlink w:anchor="_Toc69114932" w:history="1">
        <w:r w:rsidR="00067A5E" w:rsidRPr="00C515B1">
          <w:rPr>
            <w:rStyle w:val="Hyperlink"/>
            <w:i/>
            <w:iCs/>
            <w:noProof/>
          </w:rPr>
          <w:t>Figure 2.20: Scanning transmission electron micrographs of Nickel nitrate hydroxide (centre) on silica substrates after a drying step at 120⁰C. The outer images depict the NiO catalysts after a heat treatment at 450°C in different atmospheres. The micrographs on the LHS use air and RHS use either helium or 1%NO/He</w:t>
        </w:r>
        <w:r w:rsidR="00067A5E" w:rsidRPr="00C515B1">
          <w:rPr>
            <w:rStyle w:val="Hyperlink"/>
            <w:iCs/>
            <w:noProof/>
          </w:rPr>
          <w:t>[175]</w:t>
        </w:r>
        <w:r w:rsidR="00067A5E" w:rsidRPr="00C515B1">
          <w:rPr>
            <w:rStyle w:val="Hyperlink"/>
            <w:i/>
            <w:iCs/>
            <w:noProof/>
          </w:rPr>
          <w:t>.</w:t>
        </w:r>
        <w:r w:rsidR="00067A5E">
          <w:rPr>
            <w:noProof/>
            <w:webHidden/>
          </w:rPr>
          <w:tab/>
        </w:r>
        <w:r w:rsidR="00067A5E">
          <w:rPr>
            <w:noProof/>
            <w:webHidden/>
          </w:rPr>
          <w:fldChar w:fldCharType="begin"/>
        </w:r>
        <w:r w:rsidR="00067A5E">
          <w:rPr>
            <w:noProof/>
            <w:webHidden/>
          </w:rPr>
          <w:instrText xml:space="preserve"> PAGEREF _Toc69114932 \h </w:instrText>
        </w:r>
        <w:r w:rsidR="00067A5E">
          <w:rPr>
            <w:noProof/>
            <w:webHidden/>
          </w:rPr>
        </w:r>
        <w:r w:rsidR="00067A5E">
          <w:rPr>
            <w:noProof/>
            <w:webHidden/>
          </w:rPr>
          <w:fldChar w:fldCharType="separate"/>
        </w:r>
        <w:r w:rsidR="00067A5E">
          <w:rPr>
            <w:noProof/>
            <w:webHidden/>
          </w:rPr>
          <w:t>60</w:t>
        </w:r>
        <w:r w:rsidR="00067A5E">
          <w:rPr>
            <w:noProof/>
            <w:webHidden/>
          </w:rPr>
          <w:fldChar w:fldCharType="end"/>
        </w:r>
      </w:hyperlink>
    </w:p>
    <w:p w14:paraId="3135C37F" w14:textId="57F2096C" w:rsidR="00067A5E" w:rsidRDefault="00B51F53">
      <w:pPr>
        <w:pStyle w:val="TableofFigures"/>
        <w:tabs>
          <w:tab w:val="right" w:leader="dot" w:pos="9016"/>
        </w:tabs>
        <w:rPr>
          <w:rFonts w:eastAsiaTheme="minorEastAsia"/>
          <w:noProof/>
          <w:lang w:eastAsia="en-GB"/>
        </w:rPr>
      </w:pPr>
      <w:hyperlink w:anchor="_Toc69114933" w:history="1">
        <w:r w:rsidR="00067A5E" w:rsidRPr="00C515B1">
          <w:rPr>
            <w:rStyle w:val="Hyperlink"/>
            <w:i/>
            <w:iCs/>
            <w:noProof/>
          </w:rPr>
          <w:t xml:space="preserve">Figure 2.21: FIB-SEM 3D renderings of the two wet impregnated Ni/GDC anodes with various phases present. Row (a) shows the presence of Ni in the system, Row (b) shows the Ni/GDC interfaces present in the arrangement and Row (c) shows the TPB lines in the sample </w:t>
        </w:r>
        <w:r w:rsidR="00067A5E" w:rsidRPr="00C515B1">
          <w:rPr>
            <w:rStyle w:val="Hyperlink"/>
            <w:iCs/>
            <w:noProof/>
          </w:rPr>
          <w:t>[265]</w:t>
        </w:r>
        <w:r w:rsidR="00067A5E" w:rsidRPr="00C515B1">
          <w:rPr>
            <w:rStyle w:val="Hyperlink"/>
            <w:i/>
            <w:iCs/>
            <w:noProof/>
          </w:rPr>
          <w:t>.</w:t>
        </w:r>
        <w:r w:rsidR="00067A5E">
          <w:rPr>
            <w:noProof/>
            <w:webHidden/>
          </w:rPr>
          <w:tab/>
        </w:r>
        <w:r w:rsidR="00067A5E">
          <w:rPr>
            <w:noProof/>
            <w:webHidden/>
          </w:rPr>
          <w:fldChar w:fldCharType="begin"/>
        </w:r>
        <w:r w:rsidR="00067A5E">
          <w:rPr>
            <w:noProof/>
            <w:webHidden/>
          </w:rPr>
          <w:instrText xml:space="preserve"> PAGEREF _Toc69114933 \h </w:instrText>
        </w:r>
        <w:r w:rsidR="00067A5E">
          <w:rPr>
            <w:noProof/>
            <w:webHidden/>
          </w:rPr>
        </w:r>
        <w:r w:rsidR="00067A5E">
          <w:rPr>
            <w:noProof/>
            <w:webHidden/>
          </w:rPr>
          <w:fldChar w:fldCharType="separate"/>
        </w:r>
        <w:r w:rsidR="00067A5E">
          <w:rPr>
            <w:noProof/>
            <w:webHidden/>
          </w:rPr>
          <w:t>62</w:t>
        </w:r>
        <w:r w:rsidR="00067A5E">
          <w:rPr>
            <w:noProof/>
            <w:webHidden/>
          </w:rPr>
          <w:fldChar w:fldCharType="end"/>
        </w:r>
      </w:hyperlink>
    </w:p>
    <w:p w14:paraId="7699A39E" w14:textId="7D757610" w:rsidR="00067A5E" w:rsidRDefault="00B51F53">
      <w:pPr>
        <w:pStyle w:val="TableofFigures"/>
        <w:tabs>
          <w:tab w:val="right" w:leader="dot" w:pos="9016"/>
        </w:tabs>
        <w:rPr>
          <w:rFonts w:eastAsiaTheme="minorEastAsia"/>
          <w:noProof/>
          <w:lang w:eastAsia="en-GB"/>
        </w:rPr>
      </w:pPr>
      <w:hyperlink w:anchor="_Toc69114934" w:history="1">
        <w:r w:rsidR="00067A5E" w:rsidRPr="00C515B1">
          <w:rPr>
            <w:rStyle w:val="Hyperlink"/>
            <w:i/>
            <w:iCs/>
            <w:noProof/>
          </w:rPr>
          <w:t>Figure 2.22: 3D renderings of the available three phase boundaries present in an infiltrated Ni/YSZ anode heated at different temperatures for a time period of 500 h after a thermal ageing step at 1100°C for an hour a) 1000 °C b) 1100 °C c) 1200 °C</w:t>
        </w:r>
        <w:r w:rsidR="00067A5E">
          <w:rPr>
            <w:noProof/>
            <w:webHidden/>
          </w:rPr>
          <w:tab/>
        </w:r>
        <w:r w:rsidR="00067A5E">
          <w:rPr>
            <w:noProof/>
            <w:webHidden/>
          </w:rPr>
          <w:fldChar w:fldCharType="begin"/>
        </w:r>
        <w:r w:rsidR="00067A5E">
          <w:rPr>
            <w:noProof/>
            <w:webHidden/>
          </w:rPr>
          <w:instrText xml:space="preserve"> PAGEREF _Toc69114934 \h </w:instrText>
        </w:r>
        <w:r w:rsidR="00067A5E">
          <w:rPr>
            <w:noProof/>
            <w:webHidden/>
          </w:rPr>
        </w:r>
        <w:r w:rsidR="00067A5E">
          <w:rPr>
            <w:noProof/>
            <w:webHidden/>
          </w:rPr>
          <w:fldChar w:fldCharType="separate"/>
        </w:r>
        <w:r w:rsidR="00067A5E">
          <w:rPr>
            <w:noProof/>
            <w:webHidden/>
          </w:rPr>
          <w:t>63</w:t>
        </w:r>
        <w:r w:rsidR="00067A5E">
          <w:rPr>
            <w:noProof/>
            <w:webHidden/>
          </w:rPr>
          <w:fldChar w:fldCharType="end"/>
        </w:r>
      </w:hyperlink>
    </w:p>
    <w:p w14:paraId="7F26E559" w14:textId="34F17342" w:rsidR="00067A5E" w:rsidRDefault="00B51F53">
      <w:pPr>
        <w:pStyle w:val="TableofFigures"/>
        <w:tabs>
          <w:tab w:val="right" w:leader="dot" w:pos="9016"/>
        </w:tabs>
        <w:rPr>
          <w:rFonts w:eastAsiaTheme="minorEastAsia"/>
          <w:noProof/>
          <w:lang w:eastAsia="en-GB"/>
        </w:rPr>
      </w:pPr>
      <w:hyperlink w:anchor="_Toc69114935" w:history="1">
        <w:r w:rsidR="00067A5E" w:rsidRPr="00C515B1">
          <w:rPr>
            <w:rStyle w:val="Hyperlink"/>
            <w:i/>
            <w:iCs/>
            <w:noProof/>
          </w:rPr>
          <w:t>Figure 2.23: Impedance Spectra of anode supported SOFCs tested for 1500 h at 750 and 850 °C under a load current of 0.75 Acm</w:t>
        </w:r>
        <w:r w:rsidR="00067A5E" w:rsidRPr="00C515B1">
          <w:rPr>
            <w:rStyle w:val="Hyperlink"/>
            <w:i/>
            <w:iCs/>
            <w:noProof/>
            <w:vertAlign w:val="superscript"/>
          </w:rPr>
          <w:t>-2</w:t>
        </w:r>
        <w:r w:rsidR="00067A5E" w:rsidRPr="00C515B1">
          <w:rPr>
            <w:rStyle w:val="Hyperlink"/>
            <w:i/>
            <w:iCs/>
            <w:noProof/>
            <w:vertAlign w:val="subscript"/>
          </w:rPr>
          <w:t xml:space="preserve"> </w:t>
        </w:r>
        <w:r w:rsidR="00067A5E" w:rsidRPr="00C515B1">
          <w:rPr>
            <w:rStyle w:val="Hyperlink"/>
            <w:i/>
            <w:iCs/>
            <w:noProof/>
          </w:rPr>
          <w:t>and 1.75 Acm</w:t>
        </w:r>
        <w:r w:rsidR="00067A5E" w:rsidRPr="00C515B1">
          <w:rPr>
            <w:rStyle w:val="Hyperlink"/>
            <w:i/>
            <w:iCs/>
            <w:noProof/>
            <w:vertAlign w:val="superscript"/>
          </w:rPr>
          <w:t>-2</w:t>
        </w:r>
        <w:r w:rsidR="00067A5E" w:rsidRPr="00C515B1">
          <w:rPr>
            <w:rStyle w:val="Hyperlink"/>
            <w:i/>
            <w:iCs/>
            <w:noProof/>
            <w:vertAlign w:val="subscript"/>
          </w:rPr>
          <w:t xml:space="preserve"> </w:t>
        </w:r>
        <w:r w:rsidR="00067A5E" w:rsidRPr="00C515B1">
          <w:rPr>
            <w:rStyle w:val="Hyperlink"/>
            <w:i/>
            <w:iCs/>
            <w:noProof/>
          </w:rPr>
          <w:t xml:space="preserve">respectively. (a) Diamonds – pre-HT, Triangles – post HT. (b) Square – pre-HT, Circles – post HT </w:t>
        </w:r>
        <w:r w:rsidR="00067A5E" w:rsidRPr="00C515B1">
          <w:rPr>
            <w:rStyle w:val="Hyperlink"/>
            <w:iCs/>
            <w:noProof/>
          </w:rPr>
          <w:t>[253]</w:t>
        </w:r>
        <w:r w:rsidR="00067A5E">
          <w:rPr>
            <w:noProof/>
            <w:webHidden/>
          </w:rPr>
          <w:tab/>
        </w:r>
        <w:r w:rsidR="00067A5E">
          <w:rPr>
            <w:noProof/>
            <w:webHidden/>
          </w:rPr>
          <w:fldChar w:fldCharType="begin"/>
        </w:r>
        <w:r w:rsidR="00067A5E">
          <w:rPr>
            <w:noProof/>
            <w:webHidden/>
          </w:rPr>
          <w:instrText xml:space="preserve"> PAGEREF _Toc69114935 \h </w:instrText>
        </w:r>
        <w:r w:rsidR="00067A5E">
          <w:rPr>
            <w:noProof/>
            <w:webHidden/>
          </w:rPr>
        </w:r>
        <w:r w:rsidR="00067A5E">
          <w:rPr>
            <w:noProof/>
            <w:webHidden/>
          </w:rPr>
          <w:fldChar w:fldCharType="separate"/>
        </w:r>
        <w:r w:rsidR="00067A5E">
          <w:rPr>
            <w:noProof/>
            <w:webHidden/>
          </w:rPr>
          <w:t>66</w:t>
        </w:r>
        <w:r w:rsidR="00067A5E">
          <w:rPr>
            <w:noProof/>
            <w:webHidden/>
          </w:rPr>
          <w:fldChar w:fldCharType="end"/>
        </w:r>
      </w:hyperlink>
    </w:p>
    <w:p w14:paraId="12397867" w14:textId="7D5DB7F0" w:rsidR="00067A5E" w:rsidRDefault="00B51F53">
      <w:pPr>
        <w:pStyle w:val="TableofFigures"/>
        <w:tabs>
          <w:tab w:val="right" w:leader="dot" w:pos="9016"/>
        </w:tabs>
        <w:rPr>
          <w:rFonts w:eastAsiaTheme="minorEastAsia"/>
          <w:noProof/>
          <w:lang w:eastAsia="en-GB"/>
        </w:rPr>
      </w:pPr>
      <w:hyperlink w:anchor="_Toc69114936" w:history="1">
        <w:r w:rsidR="00067A5E" w:rsidRPr="00C515B1">
          <w:rPr>
            <w:rStyle w:val="Hyperlink"/>
            <w:i/>
            <w:iCs/>
            <w:noProof/>
          </w:rPr>
          <w:t>Figure 2.24: Comparison of the different polarization resistance values generated for a variety of nickel/YSZ anodes. Data points in the boxes indicate co-sintered Ni/YSZ samples. All R</w:t>
        </w:r>
        <w:r w:rsidR="00067A5E" w:rsidRPr="00C515B1">
          <w:rPr>
            <w:rStyle w:val="Hyperlink"/>
            <w:i/>
            <w:iCs/>
            <w:noProof/>
            <w:vertAlign w:val="subscript"/>
          </w:rPr>
          <w:t>P</w:t>
        </w:r>
        <w:r w:rsidR="00067A5E" w:rsidRPr="00C515B1">
          <w:rPr>
            <w:rStyle w:val="Hyperlink"/>
            <w:i/>
            <w:iCs/>
            <w:noProof/>
          </w:rPr>
          <w:t xml:space="preserve"> values were produced with using EIS </w:t>
        </w:r>
        <w:r w:rsidR="00067A5E" w:rsidRPr="00C515B1">
          <w:rPr>
            <w:rStyle w:val="Hyperlink"/>
            <w:iCs/>
            <w:noProof/>
          </w:rPr>
          <w:t>[242], [253], [286], [287]</w:t>
        </w:r>
        <w:r w:rsidR="00067A5E" w:rsidRPr="00C515B1">
          <w:rPr>
            <w:rStyle w:val="Hyperlink"/>
            <w:i/>
            <w:iCs/>
            <w:noProof/>
          </w:rPr>
          <w:t>.</w:t>
        </w:r>
        <w:r w:rsidR="00067A5E">
          <w:rPr>
            <w:noProof/>
            <w:webHidden/>
          </w:rPr>
          <w:tab/>
        </w:r>
        <w:r w:rsidR="00067A5E">
          <w:rPr>
            <w:noProof/>
            <w:webHidden/>
          </w:rPr>
          <w:fldChar w:fldCharType="begin"/>
        </w:r>
        <w:r w:rsidR="00067A5E">
          <w:rPr>
            <w:noProof/>
            <w:webHidden/>
          </w:rPr>
          <w:instrText xml:space="preserve"> PAGEREF _Toc69114936 \h </w:instrText>
        </w:r>
        <w:r w:rsidR="00067A5E">
          <w:rPr>
            <w:noProof/>
            <w:webHidden/>
          </w:rPr>
        </w:r>
        <w:r w:rsidR="00067A5E">
          <w:rPr>
            <w:noProof/>
            <w:webHidden/>
          </w:rPr>
          <w:fldChar w:fldCharType="separate"/>
        </w:r>
        <w:r w:rsidR="00067A5E">
          <w:rPr>
            <w:noProof/>
            <w:webHidden/>
          </w:rPr>
          <w:t>67</w:t>
        </w:r>
        <w:r w:rsidR="00067A5E">
          <w:rPr>
            <w:noProof/>
            <w:webHidden/>
          </w:rPr>
          <w:fldChar w:fldCharType="end"/>
        </w:r>
      </w:hyperlink>
    </w:p>
    <w:p w14:paraId="41CCBEA4" w14:textId="27D2D82D" w:rsidR="00067A5E" w:rsidRDefault="00B51F53">
      <w:pPr>
        <w:pStyle w:val="TableofFigures"/>
        <w:tabs>
          <w:tab w:val="right" w:leader="dot" w:pos="9016"/>
        </w:tabs>
        <w:rPr>
          <w:rFonts w:eastAsiaTheme="minorEastAsia"/>
          <w:noProof/>
          <w:lang w:eastAsia="en-GB"/>
        </w:rPr>
      </w:pPr>
      <w:hyperlink w:anchor="_Toc69114937" w:history="1">
        <w:r w:rsidR="00067A5E" w:rsidRPr="00C515B1">
          <w:rPr>
            <w:rStyle w:val="Hyperlink"/>
            <w:rFonts w:ascii="Calibri" w:hAnsi="Calibri"/>
            <w:i/>
            <w:iCs/>
            <w:noProof/>
          </w:rPr>
          <w:t xml:space="preserve">Figure 2.25: Diagram of the 4PP apparatus </w:t>
        </w:r>
        <w:r w:rsidR="00067A5E" w:rsidRPr="00C515B1">
          <w:rPr>
            <w:rStyle w:val="Hyperlink"/>
            <w:rFonts w:ascii="Calibri" w:hAnsi="Calibri"/>
            <w:iCs/>
            <w:noProof/>
          </w:rPr>
          <w:t>[288]</w:t>
        </w:r>
        <w:r w:rsidR="00067A5E">
          <w:rPr>
            <w:noProof/>
            <w:webHidden/>
          </w:rPr>
          <w:tab/>
        </w:r>
        <w:r w:rsidR="00067A5E">
          <w:rPr>
            <w:noProof/>
            <w:webHidden/>
          </w:rPr>
          <w:fldChar w:fldCharType="begin"/>
        </w:r>
        <w:r w:rsidR="00067A5E">
          <w:rPr>
            <w:noProof/>
            <w:webHidden/>
          </w:rPr>
          <w:instrText xml:space="preserve"> PAGEREF _Toc69114937 \h </w:instrText>
        </w:r>
        <w:r w:rsidR="00067A5E">
          <w:rPr>
            <w:noProof/>
            <w:webHidden/>
          </w:rPr>
        </w:r>
        <w:r w:rsidR="00067A5E">
          <w:rPr>
            <w:noProof/>
            <w:webHidden/>
          </w:rPr>
          <w:fldChar w:fldCharType="separate"/>
        </w:r>
        <w:r w:rsidR="00067A5E">
          <w:rPr>
            <w:noProof/>
            <w:webHidden/>
          </w:rPr>
          <w:t>68</w:t>
        </w:r>
        <w:r w:rsidR="00067A5E">
          <w:rPr>
            <w:noProof/>
            <w:webHidden/>
          </w:rPr>
          <w:fldChar w:fldCharType="end"/>
        </w:r>
      </w:hyperlink>
    </w:p>
    <w:p w14:paraId="66BA6E65" w14:textId="57F29891" w:rsidR="00067A5E" w:rsidRDefault="00B51F53">
      <w:pPr>
        <w:pStyle w:val="TableofFigures"/>
        <w:tabs>
          <w:tab w:val="right" w:leader="dot" w:pos="9016"/>
        </w:tabs>
        <w:rPr>
          <w:rFonts w:eastAsiaTheme="minorEastAsia"/>
          <w:noProof/>
          <w:lang w:eastAsia="en-GB"/>
        </w:rPr>
      </w:pPr>
      <w:hyperlink w:anchor="_Toc69114938" w:history="1">
        <w:r w:rsidR="00067A5E" w:rsidRPr="00C515B1">
          <w:rPr>
            <w:rStyle w:val="Hyperlink"/>
            <w:i/>
            <w:iCs/>
            <w:noProof/>
          </w:rPr>
          <w:t xml:space="preserve">Figure 2.26: DC Conductivity measurements of infiltrated Ni/YSZ samples heated at (a) 750 °C and (b) 850 °C </w:t>
        </w:r>
        <w:r w:rsidR="00067A5E" w:rsidRPr="00C515B1">
          <w:rPr>
            <w:rStyle w:val="Hyperlink"/>
            <w:iCs/>
            <w:noProof/>
          </w:rPr>
          <w:t>[253]</w:t>
        </w:r>
        <w:r w:rsidR="00067A5E" w:rsidRPr="00C515B1">
          <w:rPr>
            <w:rStyle w:val="Hyperlink"/>
            <w:i/>
            <w:iCs/>
            <w:noProof/>
          </w:rPr>
          <w:t>.</w:t>
        </w:r>
        <w:r w:rsidR="00067A5E">
          <w:rPr>
            <w:noProof/>
            <w:webHidden/>
          </w:rPr>
          <w:tab/>
        </w:r>
        <w:r w:rsidR="00067A5E">
          <w:rPr>
            <w:noProof/>
            <w:webHidden/>
          </w:rPr>
          <w:fldChar w:fldCharType="begin"/>
        </w:r>
        <w:r w:rsidR="00067A5E">
          <w:rPr>
            <w:noProof/>
            <w:webHidden/>
          </w:rPr>
          <w:instrText xml:space="preserve"> PAGEREF _Toc69114938 \h </w:instrText>
        </w:r>
        <w:r w:rsidR="00067A5E">
          <w:rPr>
            <w:noProof/>
            <w:webHidden/>
          </w:rPr>
        </w:r>
        <w:r w:rsidR="00067A5E">
          <w:rPr>
            <w:noProof/>
            <w:webHidden/>
          </w:rPr>
          <w:fldChar w:fldCharType="separate"/>
        </w:r>
        <w:r w:rsidR="00067A5E">
          <w:rPr>
            <w:noProof/>
            <w:webHidden/>
          </w:rPr>
          <w:t>68</w:t>
        </w:r>
        <w:r w:rsidR="00067A5E">
          <w:rPr>
            <w:noProof/>
            <w:webHidden/>
          </w:rPr>
          <w:fldChar w:fldCharType="end"/>
        </w:r>
      </w:hyperlink>
    </w:p>
    <w:p w14:paraId="192A0A36" w14:textId="116162ED" w:rsidR="00067A5E" w:rsidRDefault="00B51F53">
      <w:pPr>
        <w:pStyle w:val="TableofFigures"/>
        <w:tabs>
          <w:tab w:val="right" w:leader="dot" w:pos="9016"/>
        </w:tabs>
        <w:rPr>
          <w:rFonts w:eastAsiaTheme="minorEastAsia"/>
          <w:noProof/>
          <w:lang w:eastAsia="en-GB"/>
        </w:rPr>
      </w:pPr>
      <w:hyperlink w:anchor="_Toc69114939" w:history="1">
        <w:r w:rsidR="00067A5E" w:rsidRPr="00C515B1">
          <w:rPr>
            <w:rStyle w:val="Hyperlink"/>
            <w:i/>
            <w:iCs/>
            <w:noProof/>
          </w:rPr>
          <w:t xml:space="preserve">Figure 2.27: Comparison of measured LSR values with added confidence values and comparison with other literature sources. a) 700°C b) 800°C c) 850°C </w:t>
        </w:r>
        <w:r w:rsidR="00067A5E" w:rsidRPr="00C515B1">
          <w:rPr>
            <w:rStyle w:val="Hyperlink"/>
            <w:iCs/>
            <w:noProof/>
          </w:rPr>
          <w:t>[291]</w:t>
        </w:r>
        <w:r w:rsidR="00067A5E">
          <w:rPr>
            <w:noProof/>
            <w:webHidden/>
          </w:rPr>
          <w:tab/>
        </w:r>
        <w:r w:rsidR="00067A5E">
          <w:rPr>
            <w:noProof/>
            <w:webHidden/>
          </w:rPr>
          <w:fldChar w:fldCharType="begin"/>
        </w:r>
        <w:r w:rsidR="00067A5E">
          <w:rPr>
            <w:noProof/>
            <w:webHidden/>
          </w:rPr>
          <w:instrText xml:space="preserve"> PAGEREF _Toc69114939 \h </w:instrText>
        </w:r>
        <w:r w:rsidR="00067A5E">
          <w:rPr>
            <w:noProof/>
            <w:webHidden/>
          </w:rPr>
        </w:r>
        <w:r w:rsidR="00067A5E">
          <w:rPr>
            <w:noProof/>
            <w:webHidden/>
          </w:rPr>
          <w:fldChar w:fldCharType="separate"/>
        </w:r>
        <w:r w:rsidR="00067A5E">
          <w:rPr>
            <w:noProof/>
            <w:webHidden/>
          </w:rPr>
          <w:t>69</w:t>
        </w:r>
        <w:r w:rsidR="00067A5E">
          <w:rPr>
            <w:noProof/>
            <w:webHidden/>
          </w:rPr>
          <w:fldChar w:fldCharType="end"/>
        </w:r>
      </w:hyperlink>
    </w:p>
    <w:p w14:paraId="7CD67435" w14:textId="14741FC6" w:rsidR="00067A5E" w:rsidRDefault="00B51F53">
      <w:pPr>
        <w:pStyle w:val="TableofFigures"/>
        <w:tabs>
          <w:tab w:val="right" w:leader="dot" w:pos="9016"/>
        </w:tabs>
        <w:rPr>
          <w:rFonts w:eastAsiaTheme="minorEastAsia"/>
          <w:noProof/>
          <w:lang w:eastAsia="en-GB"/>
        </w:rPr>
      </w:pPr>
      <w:hyperlink w:anchor="_Toc69114940" w:history="1">
        <w:r w:rsidR="00067A5E" w:rsidRPr="00C515B1">
          <w:rPr>
            <w:rStyle w:val="Hyperlink"/>
            <w:i/>
            <w:iCs/>
            <w:noProof/>
          </w:rPr>
          <w:t xml:space="preserve">Figure 2.28: LSR values for a variety of Ni/YSZ patterned anodes processed at a variety of temperatures and partial gas pressures. The black line shows the estimated line specific resistance values as a function of temperature </w:t>
        </w:r>
        <w:r w:rsidR="00067A5E" w:rsidRPr="00C515B1">
          <w:rPr>
            <w:rStyle w:val="Hyperlink"/>
            <w:iCs/>
            <w:noProof/>
          </w:rPr>
          <w:t>[100], [213]</w:t>
        </w:r>
        <w:r w:rsidR="00067A5E" w:rsidRPr="00C515B1">
          <w:rPr>
            <w:rStyle w:val="Hyperlink"/>
            <w:i/>
            <w:iCs/>
            <w:noProof/>
          </w:rPr>
          <w:t>.</w:t>
        </w:r>
        <w:r w:rsidR="00067A5E">
          <w:rPr>
            <w:noProof/>
            <w:webHidden/>
          </w:rPr>
          <w:tab/>
        </w:r>
        <w:r w:rsidR="00067A5E">
          <w:rPr>
            <w:noProof/>
            <w:webHidden/>
          </w:rPr>
          <w:fldChar w:fldCharType="begin"/>
        </w:r>
        <w:r w:rsidR="00067A5E">
          <w:rPr>
            <w:noProof/>
            <w:webHidden/>
          </w:rPr>
          <w:instrText xml:space="preserve"> PAGEREF _Toc69114940 \h </w:instrText>
        </w:r>
        <w:r w:rsidR="00067A5E">
          <w:rPr>
            <w:noProof/>
            <w:webHidden/>
          </w:rPr>
        </w:r>
        <w:r w:rsidR="00067A5E">
          <w:rPr>
            <w:noProof/>
            <w:webHidden/>
          </w:rPr>
          <w:fldChar w:fldCharType="separate"/>
        </w:r>
        <w:r w:rsidR="00067A5E">
          <w:rPr>
            <w:noProof/>
            <w:webHidden/>
          </w:rPr>
          <w:t>70</w:t>
        </w:r>
        <w:r w:rsidR="00067A5E">
          <w:rPr>
            <w:noProof/>
            <w:webHidden/>
          </w:rPr>
          <w:fldChar w:fldCharType="end"/>
        </w:r>
      </w:hyperlink>
    </w:p>
    <w:p w14:paraId="4A35171B" w14:textId="5F311795" w:rsidR="00067A5E" w:rsidRDefault="00B51F53">
      <w:pPr>
        <w:pStyle w:val="TableofFigures"/>
        <w:tabs>
          <w:tab w:val="right" w:leader="dot" w:pos="9016"/>
        </w:tabs>
        <w:rPr>
          <w:rFonts w:eastAsiaTheme="minorEastAsia"/>
          <w:noProof/>
          <w:lang w:eastAsia="en-GB"/>
        </w:rPr>
      </w:pPr>
      <w:hyperlink w:anchor="_Toc69114941" w:history="1">
        <w:r w:rsidR="00067A5E" w:rsidRPr="00C515B1">
          <w:rPr>
            <w:rStyle w:val="Hyperlink"/>
            <w:i/>
            <w:iCs/>
            <w:noProof/>
          </w:rPr>
          <w:t xml:space="preserve">Figure 2.29: X-ray diffraction spectra of two Ni/YSZ samples both reduced in humidified hydrogen at 500 °C. LHS – Ni/YSZ co-precipitated sample. RHS – Ni/YSZ infiltrated sample </w:t>
        </w:r>
        <w:r w:rsidR="00067A5E" w:rsidRPr="00C515B1">
          <w:rPr>
            <w:rStyle w:val="Hyperlink"/>
            <w:iCs/>
            <w:noProof/>
          </w:rPr>
          <w:t>[154], [246], [250]</w:t>
        </w:r>
        <w:r w:rsidR="00067A5E">
          <w:rPr>
            <w:noProof/>
            <w:webHidden/>
          </w:rPr>
          <w:tab/>
        </w:r>
        <w:r w:rsidR="00067A5E">
          <w:rPr>
            <w:noProof/>
            <w:webHidden/>
          </w:rPr>
          <w:fldChar w:fldCharType="begin"/>
        </w:r>
        <w:r w:rsidR="00067A5E">
          <w:rPr>
            <w:noProof/>
            <w:webHidden/>
          </w:rPr>
          <w:instrText xml:space="preserve"> PAGEREF _Toc69114941 \h </w:instrText>
        </w:r>
        <w:r w:rsidR="00067A5E">
          <w:rPr>
            <w:noProof/>
            <w:webHidden/>
          </w:rPr>
        </w:r>
        <w:r w:rsidR="00067A5E">
          <w:rPr>
            <w:noProof/>
            <w:webHidden/>
          </w:rPr>
          <w:fldChar w:fldCharType="separate"/>
        </w:r>
        <w:r w:rsidR="00067A5E">
          <w:rPr>
            <w:noProof/>
            <w:webHidden/>
          </w:rPr>
          <w:t>71</w:t>
        </w:r>
        <w:r w:rsidR="00067A5E">
          <w:rPr>
            <w:noProof/>
            <w:webHidden/>
          </w:rPr>
          <w:fldChar w:fldCharType="end"/>
        </w:r>
      </w:hyperlink>
    </w:p>
    <w:p w14:paraId="71C43867" w14:textId="2A753814" w:rsidR="00067A5E" w:rsidRDefault="00B51F53">
      <w:pPr>
        <w:pStyle w:val="TableofFigures"/>
        <w:tabs>
          <w:tab w:val="right" w:leader="dot" w:pos="9016"/>
        </w:tabs>
        <w:rPr>
          <w:rFonts w:eastAsiaTheme="minorEastAsia"/>
          <w:noProof/>
          <w:lang w:eastAsia="en-GB"/>
        </w:rPr>
      </w:pPr>
      <w:hyperlink w:anchor="_Toc69114942" w:history="1">
        <w:r w:rsidR="00067A5E" w:rsidRPr="00C515B1">
          <w:rPr>
            <w:rStyle w:val="Hyperlink"/>
            <w:noProof/>
          </w:rPr>
          <w:t>Figure 2.30: Diagram of the bonding present in a Gas Chemisorption (GC) catalysis event [296], [298]</w:t>
        </w:r>
        <w:r w:rsidR="00067A5E">
          <w:rPr>
            <w:noProof/>
            <w:webHidden/>
          </w:rPr>
          <w:tab/>
        </w:r>
        <w:r w:rsidR="00067A5E">
          <w:rPr>
            <w:noProof/>
            <w:webHidden/>
          </w:rPr>
          <w:fldChar w:fldCharType="begin"/>
        </w:r>
        <w:r w:rsidR="00067A5E">
          <w:rPr>
            <w:noProof/>
            <w:webHidden/>
          </w:rPr>
          <w:instrText xml:space="preserve"> PAGEREF _Toc69114942 \h </w:instrText>
        </w:r>
        <w:r w:rsidR="00067A5E">
          <w:rPr>
            <w:noProof/>
            <w:webHidden/>
          </w:rPr>
        </w:r>
        <w:r w:rsidR="00067A5E">
          <w:rPr>
            <w:noProof/>
            <w:webHidden/>
          </w:rPr>
          <w:fldChar w:fldCharType="separate"/>
        </w:r>
        <w:r w:rsidR="00067A5E">
          <w:rPr>
            <w:noProof/>
            <w:webHidden/>
          </w:rPr>
          <w:t>72</w:t>
        </w:r>
        <w:r w:rsidR="00067A5E">
          <w:rPr>
            <w:noProof/>
            <w:webHidden/>
          </w:rPr>
          <w:fldChar w:fldCharType="end"/>
        </w:r>
      </w:hyperlink>
    </w:p>
    <w:p w14:paraId="0FB4C035" w14:textId="01804DC9" w:rsidR="00067A5E" w:rsidRDefault="00B51F53">
      <w:pPr>
        <w:pStyle w:val="TableofFigures"/>
        <w:tabs>
          <w:tab w:val="right" w:leader="dot" w:pos="9016"/>
        </w:tabs>
        <w:rPr>
          <w:rFonts w:eastAsiaTheme="minorEastAsia"/>
          <w:noProof/>
          <w:lang w:eastAsia="en-GB"/>
        </w:rPr>
      </w:pPr>
      <w:hyperlink w:anchor="_Toc69114943" w:history="1">
        <w:r w:rsidR="00067A5E" w:rsidRPr="00C515B1">
          <w:rPr>
            <w:rStyle w:val="Hyperlink"/>
            <w:noProof/>
          </w:rPr>
          <w:t>Figure 2.31: A typical dynamic gas chemisorption spectrum developed by the adsorption of gas onto the sample. Adapted from Webb [296]</w:t>
        </w:r>
        <w:r w:rsidR="00067A5E">
          <w:rPr>
            <w:noProof/>
            <w:webHidden/>
          </w:rPr>
          <w:tab/>
        </w:r>
        <w:r w:rsidR="00067A5E">
          <w:rPr>
            <w:noProof/>
            <w:webHidden/>
          </w:rPr>
          <w:fldChar w:fldCharType="begin"/>
        </w:r>
        <w:r w:rsidR="00067A5E">
          <w:rPr>
            <w:noProof/>
            <w:webHidden/>
          </w:rPr>
          <w:instrText xml:space="preserve"> PAGEREF _Toc69114943 \h </w:instrText>
        </w:r>
        <w:r w:rsidR="00067A5E">
          <w:rPr>
            <w:noProof/>
            <w:webHidden/>
          </w:rPr>
        </w:r>
        <w:r w:rsidR="00067A5E">
          <w:rPr>
            <w:noProof/>
            <w:webHidden/>
          </w:rPr>
          <w:fldChar w:fldCharType="separate"/>
        </w:r>
        <w:r w:rsidR="00067A5E">
          <w:rPr>
            <w:noProof/>
            <w:webHidden/>
          </w:rPr>
          <w:t>73</w:t>
        </w:r>
        <w:r w:rsidR="00067A5E">
          <w:rPr>
            <w:noProof/>
            <w:webHidden/>
          </w:rPr>
          <w:fldChar w:fldCharType="end"/>
        </w:r>
      </w:hyperlink>
    </w:p>
    <w:p w14:paraId="243E5D3D" w14:textId="1BC65125" w:rsidR="00067A5E" w:rsidRDefault="00B51F53">
      <w:pPr>
        <w:pStyle w:val="TableofFigures"/>
        <w:tabs>
          <w:tab w:val="right" w:leader="dot" w:pos="9016"/>
        </w:tabs>
        <w:rPr>
          <w:rFonts w:eastAsiaTheme="minorEastAsia"/>
          <w:noProof/>
          <w:lang w:eastAsia="en-GB"/>
        </w:rPr>
      </w:pPr>
      <w:hyperlink w:anchor="_Toc69114944" w:history="1">
        <w:r w:rsidR="00067A5E" w:rsidRPr="00C515B1">
          <w:rPr>
            <w:rStyle w:val="Hyperlink"/>
            <w:i/>
            <w:iCs/>
            <w:noProof/>
          </w:rPr>
          <w:t>Figure 2.32: Idealised 4 surface particle system supported on a substrate from a top-down view. The arrows indicate that the surface energy of the particles is balanced due to their identical size, shape, and inter-particle distance.</w:t>
        </w:r>
        <w:r w:rsidR="00067A5E">
          <w:rPr>
            <w:noProof/>
            <w:webHidden/>
          </w:rPr>
          <w:tab/>
        </w:r>
        <w:r w:rsidR="00067A5E">
          <w:rPr>
            <w:noProof/>
            <w:webHidden/>
          </w:rPr>
          <w:fldChar w:fldCharType="begin"/>
        </w:r>
        <w:r w:rsidR="00067A5E">
          <w:rPr>
            <w:noProof/>
            <w:webHidden/>
          </w:rPr>
          <w:instrText xml:space="preserve"> PAGEREF _Toc69114944 \h </w:instrText>
        </w:r>
        <w:r w:rsidR="00067A5E">
          <w:rPr>
            <w:noProof/>
            <w:webHidden/>
          </w:rPr>
        </w:r>
        <w:r w:rsidR="00067A5E">
          <w:rPr>
            <w:noProof/>
            <w:webHidden/>
          </w:rPr>
          <w:fldChar w:fldCharType="separate"/>
        </w:r>
        <w:r w:rsidR="00067A5E">
          <w:rPr>
            <w:noProof/>
            <w:webHidden/>
          </w:rPr>
          <w:t>74</w:t>
        </w:r>
        <w:r w:rsidR="00067A5E">
          <w:rPr>
            <w:noProof/>
            <w:webHidden/>
          </w:rPr>
          <w:fldChar w:fldCharType="end"/>
        </w:r>
      </w:hyperlink>
    </w:p>
    <w:p w14:paraId="078BB88B" w14:textId="7FA6A8F5" w:rsidR="00067A5E" w:rsidRDefault="00B51F53">
      <w:pPr>
        <w:pStyle w:val="TableofFigures"/>
        <w:tabs>
          <w:tab w:val="right" w:leader="dot" w:pos="9016"/>
        </w:tabs>
        <w:rPr>
          <w:rFonts w:eastAsiaTheme="minorEastAsia"/>
          <w:noProof/>
          <w:lang w:eastAsia="en-GB"/>
        </w:rPr>
      </w:pPr>
      <w:hyperlink w:anchor="_Toc69114945" w:history="1">
        <w:r w:rsidR="00067A5E" w:rsidRPr="00C515B1">
          <w:rPr>
            <w:rStyle w:val="Hyperlink"/>
            <w:i/>
            <w:iCs/>
            <w:noProof/>
          </w:rPr>
          <w:t xml:space="preserve">Figure 2.33: 4 particle system supported on a substrate with one shorter inter-particle distance from a top-down view. The arrows indicate the movement of the particles to the one of the RHS in a bid to reduce surface energy and the leading to subsequent sintering events </w:t>
        </w:r>
        <w:r w:rsidR="00067A5E" w:rsidRPr="00C515B1">
          <w:rPr>
            <w:rStyle w:val="Hyperlink"/>
            <w:iCs/>
            <w:noProof/>
          </w:rPr>
          <w:t>[300], [301]</w:t>
        </w:r>
        <w:r w:rsidR="00067A5E">
          <w:rPr>
            <w:noProof/>
            <w:webHidden/>
          </w:rPr>
          <w:tab/>
        </w:r>
        <w:r w:rsidR="00067A5E">
          <w:rPr>
            <w:noProof/>
            <w:webHidden/>
          </w:rPr>
          <w:fldChar w:fldCharType="begin"/>
        </w:r>
        <w:r w:rsidR="00067A5E">
          <w:rPr>
            <w:noProof/>
            <w:webHidden/>
          </w:rPr>
          <w:instrText xml:space="preserve"> PAGEREF _Toc69114945 \h </w:instrText>
        </w:r>
        <w:r w:rsidR="00067A5E">
          <w:rPr>
            <w:noProof/>
            <w:webHidden/>
          </w:rPr>
        </w:r>
        <w:r w:rsidR="00067A5E">
          <w:rPr>
            <w:noProof/>
            <w:webHidden/>
          </w:rPr>
          <w:fldChar w:fldCharType="separate"/>
        </w:r>
        <w:r w:rsidR="00067A5E">
          <w:rPr>
            <w:noProof/>
            <w:webHidden/>
          </w:rPr>
          <w:t>74</w:t>
        </w:r>
        <w:r w:rsidR="00067A5E">
          <w:rPr>
            <w:noProof/>
            <w:webHidden/>
          </w:rPr>
          <w:fldChar w:fldCharType="end"/>
        </w:r>
      </w:hyperlink>
    </w:p>
    <w:p w14:paraId="163355A2" w14:textId="3E8376FC" w:rsidR="00067A5E" w:rsidRDefault="00B51F53">
      <w:pPr>
        <w:pStyle w:val="TableofFigures"/>
        <w:tabs>
          <w:tab w:val="right" w:leader="dot" w:pos="9016"/>
        </w:tabs>
        <w:rPr>
          <w:rFonts w:eastAsiaTheme="minorEastAsia"/>
          <w:noProof/>
          <w:lang w:eastAsia="en-GB"/>
        </w:rPr>
      </w:pPr>
      <w:hyperlink w:anchor="_Toc69114946" w:history="1">
        <w:r w:rsidR="00067A5E" w:rsidRPr="00C515B1">
          <w:rPr>
            <w:rStyle w:val="Hyperlink"/>
            <w:noProof/>
          </w:rPr>
          <w:t>Figure 3.1: Schematic breaking down the components used in the Specac Manual Hydraulic Pellet Press [311]</w:t>
        </w:r>
        <w:r w:rsidR="00067A5E">
          <w:rPr>
            <w:noProof/>
            <w:webHidden/>
          </w:rPr>
          <w:tab/>
        </w:r>
        <w:r w:rsidR="00067A5E">
          <w:rPr>
            <w:noProof/>
            <w:webHidden/>
          </w:rPr>
          <w:fldChar w:fldCharType="begin"/>
        </w:r>
        <w:r w:rsidR="00067A5E">
          <w:rPr>
            <w:noProof/>
            <w:webHidden/>
          </w:rPr>
          <w:instrText xml:space="preserve"> PAGEREF _Toc69114946 \h </w:instrText>
        </w:r>
        <w:r w:rsidR="00067A5E">
          <w:rPr>
            <w:noProof/>
            <w:webHidden/>
          </w:rPr>
        </w:r>
        <w:r w:rsidR="00067A5E">
          <w:rPr>
            <w:noProof/>
            <w:webHidden/>
          </w:rPr>
          <w:fldChar w:fldCharType="separate"/>
        </w:r>
        <w:r w:rsidR="00067A5E">
          <w:rPr>
            <w:noProof/>
            <w:webHidden/>
          </w:rPr>
          <w:t>76</w:t>
        </w:r>
        <w:r w:rsidR="00067A5E">
          <w:rPr>
            <w:noProof/>
            <w:webHidden/>
          </w:rPr>
          <w:fldChar w:fldCharType="end"/>
        </w:r>
      </w:hyperlink>
    </w:p>
    <w:p w14:paraId="4A68F6FA" w14:textId="7CB2C1DE" w:rsidR="00067A5E" w:rsidRDefault="00B51F53">
      <w:pPr>
        <w:pStyle w:val="TableofFigures"/>
        <w:tabs>
          <w:tab w:val="right" w:leader="dot" w:pos="9016"/>
        </w:tabs>
        <w:rPr>
          <w:rFonts w:eastAsiaTheme="minorEastAsia"/>
          <w:noProof/>
          <w:lang w:eastAsia="en-GB"/>
        </w:rPr>
      </w:pPr>
      <w:hyperlink w:anchor="_Toc69114947" w:history="1">
        <w:r w:rsidR="00067A5E" w:rsidRPr="00C515B1">
          <w:rPr>
            <w:rStyle w:val="Hyperlink"/>
            <w:noProof/>
          </w:rPr>
          <w:t>Figure 3.2: Firing profile for the YSZ dense electrolyte. The sintering time was 4 h.</w:t>
        </w:r>
        <w:r w:rsidR="00067A5E">
          <w:rPr>
            <w:noProof/>
            <w:webHidden/>
          </w:rPr>
          <w:tab/>
        </w:r>
        <w:r w:rsidR="00067A5E">
          <w:rPr>
            <w:noProof/>
            <w:webHidden/>
          </w:rPr>
          <w:fldChar w:fldCharType="begin"/>
        </w:r>
        <w:r w:rsidR="00067A5E">
          <w:rPr>
            <w:noProof/>
            <w:webHidden/>
          </w:rPr>
          <w:instrText xml:space="preserve"> PAGEREF _Toc69114947 \h </w:instrText>
        </w:r>
        <w:r w:rsidR="00067A5E">
          <w:rPr>
            <w:noProof/>
            <w:webHidden/>
          </w:rPr>
        </w:r>
        <w:r w:rsidR="00067A5E">
          <w:rPr>
            <w:noProof/>
            <w:webHidden/>
          </w:rPr>
          <w:fldChar w:fldCharType="separate"/>
        </w:r>
        <w:r w:rsidR="00067A5E">
          <w:rPr>
            <w:noProof/>
            <w:webHidden/>
          </w:rPr>
          <w:t>77</w:t>
        </w:r>
        <w:r w:rsidR="00067A5E">
          <w:rPr>
            <w:noProof/>
            <w:webHidden/>
          </w:rPr>
          <w:fldChar w:fldCharType="end"/>
        </w:r>
      </w:hyperlink>
    </w:p>
    <w:p w14:paraId="37D7A778" w14:textId="2C77EB0E" w:rsidR="00067A5E" w:rsidRDefault="00B51F53">
      <w:pPr>
        <w:pStyle w:val="TableofFigures"/>
        <w:tabs>
          <w:tab w:val="right" w:leader="dot" w:pos="9016"/>
        </w:tabs>
        <w:rPr>
          <w:rFonts w:eastAsiaTheme="minorEastAsia"/>
          <w:noProof/>
          <w:lang w:eastAsia="en-GB"/>
        </w:rPr>
      </w:pPr>
      <w:hyperlink w:anchor="_Toc69114948" w:history="1">
        <w:r w:rsidR="00067A5E" w:rsidRPr="00C515B1">
          <w:rPr>
            <w:rStyle w:val="Hyperlink"/>
            <w:rFonts w:cs="Arial"/>
            <w:noProof/>
          </w:rPr>
          <w:t>Figure 3.3: Doctor blading technique to forming symmetrical porous samples – the black indicates the YSZ/C slurry and the white the electrolyte material. The black dotted line is 80µm thick scotch tape the red arrow indicates the direction of the blue doctor blade. Parts c. and d. show the doctor blading method repeated on the 2</w:t>
        </w:r>
        <w:r w:rsidR="00067A5E" w:rsidRPr="00C515B1">
          <w:rPr>
            <w:rStyle w:val="Hyperlink"/>
            <w:rFonts w:cs="Arial"/>
            <w:noProof/>
            <w:vertAlign w:val="superscript"/>
          </w:rPr>
          <w:t>nd</w:t>
        </w:r>
        <w:r w:rsidR="00067A5E" w:rsidRPr="00C515B1">
          <w:rPr>
            <w:rStyle w:val="Hyperlink"/>
            <w:rFonts w:cs="Arial"/>
            <w:noProof/>
          </w:rPr>
          <w:t xml:space="preserve"> side of the dense YSZ pellet and then fired to form two porous regions.</w:t>
        </w:r>
        <w:r w:rsidR="00067A5E">
          <w:rPr>
            <w:noProof/>
            <w:webHidden/>
          </w:rPr>
          <w:tab/>
        </w:r>
        <w:r w:rsidR="00067A5E">
          <w:rPr>
            <w:noProof/>
            <w:webHidden/>
          </w:rPr>
          <w:fldChar w:fldCharType="begin"/>
        </w:r>
        <w:r w:rsidR="00067A5E">
          <w:rPr>
            <w:noProof/>
            <w:webHidden/>
          </w:rPr>
          <w:instrText xml:space="preserve"> PAGEREF _Toc69114948 \h </w:instrText>
        </w:r>
        <w:r w:rsidR="00067A5E">
          <w:rPr>
            <w:noProof/>
            <w:webHidden/>
          </w:rPr>
        </w:r>
        <w:r w:rsidR="00067A5E">
          <w:rPr>
            <w:noProof/>
            <w:webHidden/>
          </w:rPr>
          <w:fldChar w:fldCharType="separate"/>
        </w:r>
        <w:r w:rsidR="00067A5E">
          <w:rPr>
            <w:noProof/>
            <w:webHidden/>
          </w:rPr>
          <w:t>77</w:t>
        </w:r>
        <w:r w:rsidR="00067A5E">
          <w:rPr>
            <w:noProof/>
            <w:webHidden/>
          </w:rPr>
          <w:fldChar w:fldCharType="end"/>
        </w:r>
      </w:hyperlink>
    </w:p>
    <w:p w14:paraId="6740677B" w14:textId="684EDFF4" w:rsidR="00067A5E" w:rsidRDefault="00B51F53">
      <w:pPr>
        <w:pStyle w:val="TableofFigures"/>
        <w:tabs>
          <w:tab w:val="right" w:leader="dot" w:pos="9016"/>
        </w:tabs>
        <w:rPr>
          <w:rFonts w:eastAsiaTheme="minorEastAsia"/>
          <w:noProof/>
          <w:lang w:eastAsia="en-GB"/>
        </w:rPr>
      </w:pPr>
      <w:hyperlink w:anchor="_Toc69114949" w:history="1">
        <w:r w:rsidR="00067A5E" w:rsidRPr="00C515B1">
          <w:rPr>
            <w:rStyle w:val="Hyperlink"/>
            <w:rFonts w:cs="Arial"/>
            <w:noProof/>
          </w:rPr>
          <w:t>Figure 3.4: Images of the doctor blading process. 1. Dense YSZ pellet with scotch tape, 2. Dried YSZ/C S1 of P2 and 3. Mounted doctor bladed YSZ P1 pellet on an SEM stub. S1 is facing upwards in image 3.</w:t>
        </w:r>
        <w:r w:rsidR="00067A5E">
          <w:rPr>
            <w:noProof/>
            <w:webHidden/>
          </w:rPr>
          <w:tab/>
        </w:r>
        <w:r w:rsidR="00067A5E">
          <w:rPr>
            <w:noProof/>
            <w:webHidden/>
          </w:rPr>
          <w:fldChar w:fldCharType="begin"/>
        </w:r>
        <w:r w:rsidR="00067A5E">
          <w:rPr>
            <w:noProof/>
            <w:webHidden/>
          </w:rPr>
          <w:instrText xml:space="preserve"> PAGEREF _Toc69114949 \h </w:instrText>
        </w:r>
        <w:r w:rsidR="00067A5E">
          <w:rPr>
            <w:noProof/>
            <w:webHidden/>
          </w:rPr>
        </w:r>
        <w:r w:rsidR="00067A5E">
          <w:rPr>
            <w:noProof/>
            <w:webHidden/>
          </w:rPr>
          <w:fldChar w:fldCharType="separate"/>
        </w:r>
        <w:r w:rsidR="00067A5E">
          <w:rPr>
            <w:noProof/>
            <w:webHidden/>
          </w:rPr>
          <w:t>77</w:t>
        </w:r>
        <w:r w:rsidR="00067A5E">
          <w:rPr>
            <w:noProof/>
            <w:webHidden/>
          </w:rPr>
          <w:fldChar w:fldCharType="end"/>
        </w:r>
      </w:hyperlink>
    </w:p>
    <w:p w14:paraId="2CCEBF10" w14:textId="61435BB5" w:rsidR="00067A5E" w:rsidRDefault="00B51F53">
      <w:pPr>
        <w:pStyle w:val="TableofFigures"/>
        <w:tabs>
          <w:tab w:val="right" w:leader="dot" w:pos="9016"/>
        </w:tabs>
        <w:rPr>
          <w:rFonts w:eastAsiaTheme="minorEastAsia"/>
          <w:noProof/>
          <w:lang w:eastAsia="en-GB"/>
        </w:rPr>
      </w:pPr>
      <w:hyperlink w:anchor="_Toc69114950" w:history="1">
        <w:r w:rsidR="00067A5E" w:rsidRPr="00C515B1">
          <w:rPr>
            <w:rStyle w:val="Hyperlink"/>
            <w:noProof/>
          </w:rPr>
          <w:t>Figure 3.5: Firing profile for the porous YSZ scaffolds for the fuel electrode samples</w:t>
        </w:r>
        <w:r w:rsidR="00067A5E">
          <w:rPr>
            <w:noProof/>
            <w:webHidden/>
          </w:rPr>
          <w:tab/>
        </w:r>
        <w:r w:rsidR="00067A5E">
          <w:rPr>
            <w:noProof/>
            <w:webHidden/>
          </w:rPr>
          <w:fldChar w:fldCharType="begin"/>
        </w:r>
        <w:r w:rsidR="00067A5E">
          <w:rPr>
            <w:noProof/>
            <w:webHidden/>
          </w:rPr>
          <w:instrText xml:space="preserve"> PAGEREF _Toc69114950 \h </w:instrText>
        </w:r>
        <w:r w:rsidR="00067A5E">
          <w:rPr>
            <w:noProof/>
            <w:webHidden/>
          </w:rPr>
        </w:r>
        <w:r w:rsidR="00067A5E">
          <w:rPr>
            <w:noProof/>
            <w:webHidden/>
          </w:rPr>
          <w:fldChar w:fldCharType="separate"/>
        </w:r>
        <w:r w:rsidR="00067A5E">
          <w:rPr>
            <w:noProof/>
            <w:webHidden/>
          </w:rPr>
          <w:t>78</w:t>
        </w:r>
        <w:r w:rsidR="00067A5E">
          <w:rPr>
            <w:noProof/>
            <w:webHidden/>
          </w:rPr>
          <w:fldChar w:fldCharType="end"/>
        </w:r>
      </w:hyperlink>
    </w:p>
    <w:p w14:paraId="12849970" w14:textId="4DBF2AA3" w:rsidR="00067A5E" w:rsidRDefault="00B51F53">
      <w:pPr>
        <w:pStyle w:val="TableofFigures"/>
        <w:tabs>
          <w:tab w:val="right" w:leader="dot" w:pos="9016"/>
        </w:tabs>
        <w:rPr>
          <w:rFonts w:eastAsiaTheme="minorEastAsia"/>
          <w:noProof/>
          <w:lang w:eastAsia="en-GB"/>
        </w:rPr>
      </w:pPr>
      <w:hyperlink w:anchor="_Toc69114951" w:history="1">
        <w:r w:rsidR="00067A5E" w:rsidRPr="00C515B1">
          <w:rPr>
            <w:rStyle w:val="Hyperlink"/>
            <w:noProof/>
          </w:rPr>
          <w:t>Figure 3.6: Photograph of the porous scaffold// YSZ electrolyte with porous YSZ scaffold mounted on a 45</w:t>
        </w:r>
        <w:r w:rsidR="00067A5E" w:rsidRPr="00C515B1">
          <w:rPr>
            <w:rStyle w:val="Hyperlink"/>
            <w:rFonts w:cstheme="minorHAnsi"/>
            <w:noProof/>
          </w:rPr>
          <w:t>°</w:t>
        </w:r>
        <w:r w:rsidR="00067A5E" w:rsidRPr="00C515B1">
          <w:rPr>
            <w:rStyle w:val="Hyperlink"/>
            <w:noProof/>
          </w:rPr>
          <w:t xml:space="preserve"> SEM sample stub prior to sputter coating</w:t>
        </w:r>
        <w:r w:rsidR="00067A5E">
          <w:rPr>
            <w:noProof/>
            <w:webHidden/>
          </w:rPr>
          <w:tab/>
        </w:r>
        <w:r w:rsidR="00067A5E">
          <w:rPr>
            <w:noProof/>
            <w:webHidden/>
          </w:rPr>
          <w:fldChar w:fldCharType="begin"/>
        </w:r>
        <w:r w:rsidR="00067A5E">
          <w:rPr>
            <w:noProof/>
            <w:webHidden/>
          </w:rPr>
          <w:instrText xml:space="preserve"> PAGEREF _Toc69114951 \h </w:instrText>
        </w:r>
        <w:r w:rsidR="00067A5E">
          <w:rPr>
            <w:noProof/>
            <w:webHidden/>
          </w:rPr>
        </w:r>
        <w:r w:rsidR="00067A5E">
          <w:rPr>
            <w:noProof/>
            <w:webHidden/>
          </w:rPr>
          <w:fldChar w:fldCharType="separate"/>
        </w:r>
        <w:r w:rsidR="00067A5E">
          <w:rPr>
            <w:noProof/>
            <w:webHidden/>
          </w:rPr>
          <w:t>78</w:t>
        </w:r>
        <w:r w:rsidR="00067A5E">
          <w:rPr>
            <w:noProof/>
            <w:webHidden/>
          </w:rPr>
          <w:fldChar w:fldCharType="end"/>
        </w:r>
      </w:hyperlink>
    </w:p>
    <w:p w14:paraId="03FF2240" w14:textId="0CF1A0C8" w:rsidR="00067A5E" w:rsidRDefault="00B51F53">
      <w:pPr>
        <w:pStyle w:val="TableofFigures"/>
        <w:tabs>
          <w:tab w:val="right" w:leader="dot" w:pos="9016"/>
        </w:tabs>
        <w:rPr>
          <w:rFonts w:eastAsiaTheme="minorEastAsia"/>
          <w:noProof/>
          <w:lang w:eastAsia="en-GB"/>
        </w:rPr>
      </w:pPr>
      <w:hyperlink w:anchor="_Toc69114952" w:history="1">
        <w:r w:rsidR="00067A5E" w:rsidRPr="00C515B1">
          <w:rPr>
            <w:rStyle w:val="Hyperlink"/>
            <w:rFonts w:cstheme="minorHAnsi"/>
            <w:noProof/>
          </w:rPr>
          <w:t>Figure 3.7: Scanning electron micrograph of the P10 ink layer. Measurements were done using the JEOL Touchscope software</w:t>
        </w:r>
        <w:r w:rsidR="00067A5E">
          <w:rPr>
            <w:noProof/>
            <w:webHidden/>
          </w:rPr>
          <w:tab/>
        </w:r>
        <w:r w:rsidR="00067A5E">
          <w:rPr>
            <w:noProof/>
            <w:webHidden/>
          </w:rPr>
          <w:fldChar w:fldCharType="begin"/>
        </w:r>
        <w:r w:rsidR="00067A5E">
          <w:rPr>
            <w:noProof/>
            <w:webHidden/>
          </w:rPr>
          <w:instrText xml:space="preserve"> PAGEREF _Toc69114952 \h </w:instrText>
        </w:r>
        <w:r w:rsidR="00067A5E">
          <w:rPr>
            <w:noProof/>
            <w:webHidden/>
          </w:rPr>
        </w:r>
        <w:r w:rsidR="00067A5E">
          <w:rPr>
            <w:noProof/>
            <w:webHidden/>
          </w:rPr>
          <w:fldChar w:fldCharType="separate"/>
        </w:r>
        <w:r w:rsidR="00067A5E">
          <w:rPr>
            <w:noProof/>
            <w:webHidden/>
          </w:rPr>
          <w:t>79</w:t>
        </w:r>
        <w:r w:rsidR="00067A5E">
          <w:rPr>
            <w:noProof/>
            <w:webHidden/>
          </w:rPr>
          <w:fldChar w:fldCharType="end"/>
        </w:r>
      </w:hyperlink>
    </w:p>
    <w:p w14:paraId="6DD1AC71" w14:textId="42C63609" w:rsidR="00067A5E" w:rsidRDefault="00B51F53">
      <w:pPr>
        <w:pStyle w:val="TableofFigures"/>
        <w:tabs>
          <w:tab w:val="right" w:leader="dot" w:pos="9016"/>
        </w:tabs>
        <w:rPr>
          <w:rFonts w:eastAsiaTheme="minorEastAsia"/>
          <w:noProof/>
          <w:lang w:eastAsia="en-GB"/>
        </w:rPr>
      </w:pPr>
      <w:hyperlink w:anchor="_Toc69114953" w:history="1">
        <w:r w:rsidR="00067A5E" w:rsidRPr="00C515B1">
          <w:rPr>
            <w:rStyle w:val="Hyperlink"/>
            <w:rFonts w:cs="Arial"/>
            <w:i/>
            <w:iCs/>
            <w:noProof/>
          </w:rPr>
          <w:t>Figure 3.8: Schematic of the sealed sample case during drying under flowing N</w:t>
        </w:r>
        <w:r w:rsidR="00067A5E" w:rsidRPr="00C515B1">
          <w:rPr>
            <w:rStyle w:val="Hyperlink"/>
            <w:rFonts w:cs="Arial"/>
            <w:i/>
            <w:iCs/>
            <w:noProof/>
            <w:vertAlign w:val="subscript"/>
          </w:rPr>
          <w:t>2</w:t>
        </w:r>
        <w:r w:rsidR="00067A5E" w:rsidRPr="00C515B1">
          <w:rPr>
            <w:rStyle w:val="Hyperlink"/>
            <w:rFonts w:cs="Arial"/>
            <w:i/>
            <w:iCs/>
            <w:noProof/>
          </w:rPr>
          <w:t>. The hot plate was set to 120°C.</w:t>
        </w:r>
        <w:r w:rsidR="00067A5E">
          <w:rPr>
            <w:noProof/>
            <w:webHidden/>
          </w:rPr>
          <w:tab/>
        </w:r>
        <w:r w:rsidR="00067A5E">
          <w:rPr>
            <w:noProof/>
            <w:webHidden/>
          </w:rPr>
          <w:fldChar w:fldCharType="begin"/>
        </w:r>
        <w:r w:rsidR="00067A5E">
          <w:rPr>
            <w:noProof/>
            <w:webHidden/>
          </w:rPr>
          <w:instrText xml:space="preserve"> PAGEREF _Toc69114953 \h </w:instrText>
        </w:r>
        <w:r w:rsidR="00067A5E">
          <w:rPr>
            <w:noProof/>
            <w:webHidden/>
          </w:rPr>
        </w:r>
        <w:r w:rsidR="00067A5E">
          <w:rPr>
            <w:noProof/>
            <w:webHidden/>
          </w:rPr>
          <w:fldChar w:fldCharType="separate"/>
        </w:r>
        <w:r w:rsidR="00067A5E">
          <w:rPr>
            <w:noProof/>
            <w:webHidden/>
          </w:rPr>
          <w:t>80</w:t>
        </w:r>
        <w:r w:rsidR="00067A5E">
          <w:rPr>
            <w:noProof/>
            <w:webHidden/>
          </w:rPr>
          <w:fldChar w:fldCharType="end"/>
        </w:r>
      </w:hyperlink>
    </w:p>
    <w:p w14:paraId="1FD157ED" w14:textId="4C8D6BB4" w:rsidR="00067A5E" w:rsidRDefault="00B51F53">
      <w:pPr>
        <w:pStyle w:val="TableofFigures"/>
        <w:tabs>
          <w:tab w:val="right" w:leader="dot" w:pos="9016"/>
        </w:tabs>
        <w:rPr>
          <w:rFonts w:eastAsiaTheme="minorEastAsia"/>
          <w:noProof/>
          <w:lang w:eastAsia="en-GB"/>
        </w:rPr>
      </w:pPr>
      <w:hyperlink w:anchor="_Toc69114954" w:history="1">
        <w:r w:rsidR="00067A5E" w:rsidRPr="00C515B1">
          <w:rPr>
            <w:rStyle w:val="Hyperlink"/>
            <w:noProof/>
          </w:rPr>
          <w:t xml:space="preserve">Figure 3.9: Sample Preparation: </w:t>
        </w:r>
        <w:r w:rsidR="00067A5E" w:rsidRPr="00C515B1">
          <w:rPr>
            <w:rStyle w:val="Hyperlink"/>
            <w:b/>
            <w:bCs/>
            <w:noProof/>
          </w:rPr>
          <w:t xml:space="preserve">a-c. </w:t>
        </w:r>
        <w:r w:rsidR="00067A5E" w:rsidRPr="00C515B1">
          <w:rPr>
            <w:rStyle w:val="Hyperlink"/>
            <w:noProof/>
          </w:rPr>
          <w:t xml:space="preserve">Doctor blading of YSZ/C tape onto YSZ pellet, nitrate solution, </w:t>
        </w:r>
        <w:r w:rsidR="00067A5E" w:rsidRPr="00C515B1">
          <w:rPr>
            <w:rStyle w:val="Hyperlink"/>
            <w:b/>
            <w:bCs/>
            <w:noProof/>
          </w:rPr>
          <w:t xml:space="preserve">d. </w:t>
        </w:r>
        <w:r w:rsidR="00067A5E" w:rsidRPr="00C515B1">
          <w:rPr>
            <w:rStyle w:val="Hyperlink"/>
            <w:noProof/>
          </w:rPr>
          <w:t xml:space="preserve">Firing of porous scaffolds, </w:t>
        </w:r>
        <w:r w:rsidR="00067A5E" w:rsidRPr="00C515B1">
          <w:rPr>
            <w:rStyle w:val="Hyperlink"/>
            <w:b/>
            <w:bCs/>
            <w:noProof/>
          </w:rPr>
          <w:t xml:space="preserve">e. </w:t>
        </w:r>
        <w:r w:rsidR="00067A5E" w:rsidRPr="00C515B1">
          <w:rPr>
            <w:rStyle w:val="Hyperlink"/>
            <w:noProof/>
          </w:rPr>
          <w:t xml:space="preserve">Infiltration with nickel nitrate solution, </w:t>
        </w:r>
        <w:r w:rsidR="00067A5E" w:rsidRPr="00C515B1">
          <w:rPr>
            <w:rStyle w:val="Hyperlink"/>
            <w:b/>
            <w:bCs/>
            <w:noProof/>
          </w:rPr>
          <w:t xml:space="preserve">f. </w:t>
        </w:r>
        <w:r w:rsidR="00067A5E" w:rsidRPr="00C515B1">
          <w:rPr>
            <w:rStyle w:val="Hyperlink"/>
            <w:noProof/>
          </w:rPr>
          <w:t>Drying under flowing N</w:t>
        </w:r>
        <w:r w:rsidR="00067A5E" w:rsidRPr="00C515B1">
          <w:rPr>
            <w:rStyle w:val="Hyperlink"/>
            <w:noProof/>
            <w:vertAlign w:val="subscript"/>
          </w:rPr>
          <w:t xml:space="preserve">2 </w:t>
        </w:r>
        <w:r w:rsidR="00067A5E" w:rsidRPr="00C515B1">
          <w:rPr>
            <w:rStyle w:val="Hyperlink"/>
            <w:noProof/>
          </w:rPr>
          <w:t xml:space="preserve">(120 </w:t>
        </w:r>
        <w:r w:rsidR="00067A5E" w:rsidRPr="00C515B1">
          <w:rPr>
            <w:rStyle w:val="Hyperlink"/>
            <w:rFonts w:cstheme="minorHAnsi"/>
            <w:noProof/>
          </w:rPr>
          <w:t>°</w:t>
        </w:r>
        <w:r w:rsidR="00067A5E" w:rsidRPr="00C515B1">
          <w:rPr>
            <w:rStyle w:val="Hyperlink"/>
            <w:noProof/>
          </w:rPr>
          <w:t xml:space="preserve">C, 1 h), </w:t>
        </w:r>
        <w:r w:rsidR="00067A5E" w:rsidRPr="00C515B1">
          <w:rPr>
            <w:rStyle w:val="Hyperlink"/>
            <w:b/>
            <w:bCs/>
            <w:noProof/>
          </w:rPr>
          <w:t xml:space="preserve">g-h. </w:t>
        </w:r>
        <w:r w:rsidR="00067A5E" w:rsidRPr="00C515B1">
          <w:rPr>
            <w:rStyle w:val="Hyperlink"/>
            <w:noProof/>
          </w:rPr>
          <w:t>Calcination then</w:t>
        </w:r>
        <w:r w:rsidR="00067A5E" w:rsidRPr="00C515B1">
          <w:rPr>
            <w:rStyle w:val="Hyperlink"/>
            <w:b/>
            <w:bCs/>
            <w:noProof/>
          </w:rPr>
          <w:t xml:space="preserve"> r</w:t>
        </w:r>
        <w:r w:rsidR="00067A5E" w:rsidRPr="00C515B1">
          <w:rPr>
            <w:rStyle w:val="Hyperlink"/>
            <w:noProof/>
          </w:rPr>
          <w:t>eduction under 10 % H</w:t>
        </w:r>
        <w:r w:rsidR="00067A5E" w:rsidRPr="00C515B1">
          <w:rPr>
            <w:rStyle w:val="Hyperlink"/>
            <w:noProof/>
            <w:vertAlign w:val="subscript"/>
          </w:rPr>
          <w:t>2</w:t>
        </w:r>
        <w:r w:rsidR="00067A5E" w:rsidRPr="00C515B1">
          <w:rPr>
            <w:rStyle w:val="Hyperlink"/>
            <w:noProof/>
          </w:rPr>
          <w:t>/N</w:t>
        </w:r>
        <w:r w:rsidR="00067A5E" w:rsidRPr="00C515B1">
          <w:rPr>
            <w:rStyle w:val="Hyperlink"/>
            <w:noProof/>
            <w:vertAlign w:val="subscript"/>
          </w:rPr>
          <w:t>2</w:t>
        </w:r>
        <w:r w:rsidR="00067A5E">
          <w:rPr>
            <w:noProof/>
            <w:webHidden/>
          </w:rPr>
          <w:tab/>
        </w:r>
        <w:r w:rsidR="00067A5E">
          <w:rPr>
            <w:noProof/>
            <w:webHidden/>
          </w:rPr>
          <w:fldChar w:fldCharType="begin"/>
        </w:r>
        <w:r w:rsidR="00067A5E">
          <w:rPr>
            <w:noProof/>
            <w:webHidden/>
          </w:rPr>
          <w:instrText xml:space="preserve"> PAGEREF _Toc69114954 \h </w:instrText>
        </w:r>
        <w:r w:rsidR="00067A5E">
          <w:rPr>
            <w:noProof/>
            <w:webHidden/>
          </w:rPr>
        </w:r>
        <w:r w:rsidR="00067A5E">
          <w:rPr>
            <w:noProof/>
            <w:webHidden/>
          </w:rPr>
          <w:fldChar w:fldCharType="separate"/>
        </w:r>
        <w:r w:rsidR="00067A5E">
          <w:rPr>
            <w:noProof/>
            <w:webHidden/>
          </w:rPr>
          <w:t>80</w:t>
        </w:r>
        <w:r w:rsidR="00067A5E">
          <w:rPr>
            <w:noProof/>
            <w:webHidden/>
          </w:rPr>
          <w:fldChar w:fldCharType="end"/>
        </w:r>
      </w:hyperlink>
    </w:p>
    <w:p w14:paraId="3D26CFBA" w14:textId="779F6F16" w:rsidR="00067A5E" w:rsidRDefault="00B51F53">
      <w:pPr>
        <w:pStyle w:val="TableofFigures"/>
        <w:tabs>
          <w:tab w:val="right" w:leader="dot" w:pos="9016"/>
        </w:tabs>
        <w:rPr>
          <w:rFonts w:eastAsiaTheme="minorEastAsia"/>
          <w:noProof/>
          <w:lang w:eastAsia="en-GB"/>
        </w:rPr>
      </w:pPr>
      <w:hyperlink w:anchor="_Toc69114955" w:history="1">
        <w:r w:rsidR="00067A5E" w:rsidRPr="00C515B1">
          <w:rPr>
            <w:rStyle w:val="Hyperlink"/>
            <w:noProof/>
          </w:rPr>
          <w:t>Figure 3.10: Diagram of the laser lathing of the fine Ni-YSZ pillar using the alumina tube mounted in the Oxford Micromachining Laser unit</w:t>
        </w:r>
        <w:r w:rsidR="00067A5E">
          <w:rPr>
            <w:noProof/>
            <w:webHidden/>
          </w:rPr>
          <w:tab/>
        </w:r>
        <w:r w:rsidR="00067A5E">
          <w:rPr>
            <w:noProof/>
            <w:webHidden/>
          </w:rPr>
          <w:fldChar w:fldCharType="begin"/>
        </w:r>
        <w:r w:rsidR="00067A5E">
          <w:rPr>
            <w:noProof/>
            <w:webHidden/>
          </w:rPr>
          <w:instrText xml:space="preserve"> PAGEREF _Toc69114955 \h </w:instrText>
        </w:r>
        <w:r w:rsidR="00067A5E">
          <w:rPr>
            <w:noProof/>
            <w:webHidden/>
          </w:rPr>
        </w:r>
        <w:r w:rsidR="00067A5E">
          <w:rPr>
            <w:noProof/>
            <w:webHidden/>
          </w:rPr>
          <w:fldChar w:fldCharType="separate"/>
        </w:r>
        <w:r w:rsidR="00067A5E">
          <w:rPr>
            <w:noProof/>
            <w:webHidden/>
          </w:rPr>
          <w:t>81</w:t>
        </w:r>
        <w:r w:rsidR="00067A5E">
          <w:rPr>
            <w:noProof/>
            <w:webHidden/>
          </w:rPr>
          <w:fldChar w:fldCharType="end"/>
        </w:r>
      </w:hyperlink>
    </w:p>
    <w:p w14:paraId="14FBE7FE" w14:textId="0F89057E" w:rsidR="00067A5E" w:rsidRDefault="00B51F53">
      <w:pPr>
        <w:pStyle w:val="TableofFigures"/>
        <w:tabs>
          <w:tab w:val="right" w:leader="dot" w:pos="9016"/>
        </w:tabs>
        <w:rPr>
          <w:rFonts w:eastAsiaTheme="minorEastAsia"/>
          <w:noProof/>
          <w:lang w:eastAsia="en-GB"/>
        </w:rPr>
      </w:pPr>
      <w:hyperlink w:anchor="_Toc69114956" w:history="1">
        <w:r w:rsidR="00067A5E" w:rsidRPr="00C515B1">
          <w:rPr>
            <w:rStyle w:val="Hyperlink"/>
            <w:noProof/>
          </w:rPr>
          <w:t>Figure 3.11: Photograph of the Ni-YSZ pillar sample after the first fine lathing pass. The alumina mount is also visible in the image.</w:t>
        </w:r>
        <w:r w:rsidR="00067A5E">
          <w:rPr>
            <w:noProof/>
            <w:webHidden/>
          </w:rPr>
          <w:tab/>
        </w:r>
        <w:r w:rsidR="00067A5E">
          <w:rPr>
            <w:noProof/>
            <w:webHidden/>
          </w:rPr>
          <w:fldChar w:fldCharType="begin"/>
        </w:r>
        <w:r w:rsidR="00067A5E">
          <w:rPr>
            <w:noProof/>
            <w:webHidden/>
          </w:rPr>
          <w:instrText xml:space="preserve"> PAGEREF _Toc69114956 \h </w:instrText>
        </w:r>
        <w:r w:rsidR="00067A5E">
          <w:rPr>
            <w:noProof/>
            <w:webHidden/>
          </w:rPr>
        </w:r>
        <w:r w:rsidR="00067A5E">
          <w:rPr>
            <w:noProof/>
            <w:webHidden/>
          </w:rPr>
          <w:fldChar w:fldCharType="separate"/>
        </w:r>
        <w:r w:rsidR="00067A5E">
          <w:rPr>
            <w:noProof/>
            <w:webHidden/>
          </w:rPr>
          <w:t>82</w:t>
        </w:r>
        <w:r w:rsidR="00067A5E">
          <w:rPr>
            <w:noProof/>
            <w:webHidden/>
          </w:rPr>
          <w:fldChar w:fldCharType="end"/>
        </w:r>
      </w:hyperlink>
    </w:p>
    <w:p w14:paraId="1EFFB173" w14:textId="192F690A" w:rsidR="00067A5E" w:rsidRDefault="00B51F53">
      <w:pPr>
        <w:pStyle w:val="TableofFigures"/>
        <w:tabs>
          <w:tab w:val="right" w:leader="dot" w:pos="9016"/>
        </w:tabs>
        <w:rPr>
          <w:rFonts w:eastAsiaTheme="minorEastAsia"/>
          <w:noProof/>
          <w:lang w:eastAsia="en-GB"/>
        </w:rPr>
      </w:pPr>
      <w:hyperlink w:anchor="_Toc69114957" w:history="1">
        <w:r w:rsidR="00067A5E" w:rsidRPr="00C515B1">
          <w:rPr>
            <w:rStyle w:val="Hyperlink"/>
            <w:noProof/>
          </w:rPr>
          <w:t>Figure 3.12: Scanning electron micrographs of the laser milled fine Ni-YSZ pillar sample milled for the first pass. The edges of the sample illustrate the conical nature of the laser.</w:t>
        </w:r>
        <w:r w:rsidR="00067A5E">
          <w:rPr>
            <w:noProof/>
            <w:webHidden/>
          </w:rPr>
          <w:tab/>
        </w:r>
        <w:r w:rsidR="00067A5E">
          <w:rPr>
            <w:noProof/>
            <w:webHidden/>
          </w:rPr>
          <w:fldChar w:fldCharType="begin"/>
        </w:r>
        <w:r w:rsidR="00067A5E">
          <w:rPr>
            <w:noProof/>
            <w:webHidden/>
          </w:rPr>
          <w:instrText xml:space="preserve"> PAGEREF _Toc69114957 \h </w:instrText>
        </w:r>
        <w:r w:rsidR="00067A5E">
          <w:rPr>
            <w:noProof/>
            <w:webHidden/>
          </w:rPr>
        </w:r>
        <w:r w:rsidR="00067A5E">
          <w:rPr>
            <w:noProof/>
            <w:webHidden/>
          </w:rPr>
          <w:fldChar w:fldCharType="separate"/>
        </w:r>
        <w:r w:rsidR="00067A5E">
          <w:rPr>
            <w:noProof/>
            <w:webHidden/>
          </w:rPr>
          <w:t>82</w:t>
        </w:r>
        <w:r w:rsidR="00067A5E">
          <w:rPr>
            <w:noProof/>
            <w:webHidden/>
          </w:rPr>
          <w:fldChar w:fldCharType="end"/>
        </w:r>
      </w:hyperlink>
    </w:p>
    <w:p w14:paraId="524748C4" w14:textId="7EFC818E" w:rsidR="00067A5E" w:rsidRDefault="00B51F53">
      <w:pPr>
        <w:pStyle w:val="TableofFigures"/>
        <w:tabs>
          <w:tab w:val="right" w:leader="dot" w:pos="9016"/>
        </w:tabs>
        <w:rPr>
          <w:rFonts w:eastAsiaTheme="minorEastAsia"/>
          <w:noProof/>
          <w:lang w:eastAsia="en-GB"/>
        </w:rPr>
      </w:pPr>
      <w:hyperlink w:anchor="_Toc69114958" w:history="1">
        <w:r w:rsidR="00067A5E" w:rsidRPr="00C515B1">
          <w:rPr>
            <w:rStyle w:val="Hyperlink"/>
            <w:noProof/>
          </w:rPr>
          <w:t>Figure 3.13: Diagram of the milled sample husk split into 4 witness sample segments</w:t>
        </w:r>
        <w:r w:rsidR="00067A5E">
          <w:rPr>
            <w:noProof/>
            <w:webHidden/>
          </w:rPr>
          <w:tab/>
        </w:r>
        <w:r w:rsidR="00067A5E">
          <w:rPr>
            <w:noProof/>
            <w:webHidden/>
          </w:rPr>
          <w:fldChar w:fldCharType="begin"/>
        </w:r>
        <w:r w:rsidR="00067A5E">
          <w:rPr>
            <w:noProof/>
            <w:webHidden/>
          </w:rPr>
          <w:instrText xml:space="preserve"> PAGEREF _Toc69114958 \h </w:instrText>
        </w:r>
        <w:r w:rsidR="00067A5E">
          <w:rPr>
            <w:noProof/>
            <w:webHidden/>
          </w:rPr>
        </w:r>
        <w:r w:rsidR="00067A5E">
          <w:rPr>
            <w:noProof/>
            <w:webHidden/>
          </w:rPr>
          <w:fldChar w:fldCharType="separate"/>
        </w:r>
        <w:r w:rsidR="00067A5E">
          <w:rPr>
            <w:noProof/>
            <w:webHidden/>
          </w:rPr>
          <w:t>82</w:t>
        </w:r>
        <w:r w:rsidR="00067A5E">
          <w:rPr>
            <w:noProof/>
            <w:webHidden/>
          </w:rPr>
          <w:fldChar w:fldCharType="end"/>
        </w:r>
      </w:hyperlink>
    </w:p>
    <w:p w14:paraId="13BF65B1" w14:textId="494F9AC1" w:rsidR="00067A5E" w:rsidRDefault="00B51F53">
      <w:pPr>
        <w:pStyle w:val="TableofFigures"/>
        <w:tabs>
          <w:tab w:val="right" w:leader="dot" w:pos="9016"/>
        </w:tabs>
        <w:rPr>
          <w:rFonts w:eastAsiaTheme="minorEastAsia"/>
          <w:noProof/>
          <w:lang w:eastAsia="en-GB"/>
        </w:rPr>
      </w:pPr>
      <w:hyperlink w:anchor="_Toc69114959" w:history="1">
        <w:r w:rsidR="00067A5E" w:rsidRPr="00C515B1">
          <w:rPr>
            <w:rStyle w:val="Hyperlink"/>
            <w:noProof/>
          </w:rPr>
          <w:t>Figure 3.14: Diagram of an X-ray photon being emitted from a Cu atom. A 2p electron filling a hole generated by the elastic collision of a 1s electron and the accelerated electron in an X-ray tube.  The red orbitals indicate the s orbitals, the blue p respectively. Adapted from West, Prins, and Thomas [294], [297], [319]</w:t>
        </w:r>
        <w:r w:rsidR="00067A5E">
          <w:rPr>
            <w:noProof/>
            <w:webHidden/>
          </w:rPr>
          <w:tab/>
        </w:r>
        <w:r w:rsidR="00067A5E">
          <w:rPr>
            <w:noProof/>
            <w:webHidden/>
          </w:rPr>
          <w:fldChar w:fldCharType="begin"/>
        </w:r>
        <w:r w:rsidR="00067A5E">
          <w:rPr>
            <w:noProof/>
            <w:webHidden/>
          </w:rPr>
          <w:instrText xml:space="preserve"> PAGEREF _Toc69114959 \h </w:instrText>
        </w:r>
        <w:r w:rsidR="00067A5E">
          <w:rPr>
            <w:noProof/>
            <w:webHidden/>
          </w:rPr>
        </w:r>
        <w:r w:rsidR="00067A5E">
          <w:rPr>
            <w:noProof/>
            <w:webHidden/>
          </w:rPr>
          <w:fldChar w:fldCharType="separate"/>
        </w:r>
        <w:r w:rsidR="00067A5E">
          <w:rPr>
            <w:noProof/>
            <w:webHidden/>
          </w:rPr>
          <w:t>84</w:t>
        </w:r>
        <w:r w:rsidR="00067A5E">
          <w:rPr>
            <w:noProof/>
            <w:webHidden/>
          </w:rPr>
          <w:fldChar w:fldCharType="end"/>
        </w:r>
      </w:hyperlink>
    </w:p>
    <w:p w14:paraId="30ACECA7" w14:textId="529042F4" w:rsidR="00067A5E" w:rsidRDefault="00B51F53">
      <w:pPr>
        <w:pStyle w:val="TableofFigures"/>
        <w:tabs>
          <w:tab w:val="right" w:leader="dot" w:pos="9016"/>
        </w:tabs>
        <w:rPr>
          <w:rFonts w:eastAsiaTheme="minorEastAsia"/>
          <w:noProof/>
          <w:lang w:eastAsia="en-GB"/>
        </w:rPr>
      </w:pPr>
      <w:hyperlink w:anchor="_Toc69114960" w:history="1">
        <w:r w:rsidR="00067A5E" w:rsidRPr="00C515B1">
          <w:rPr>
            <w:rStyle w:val="Hyperlink"/>
            <w:noProof/>
          </w:rPr>
          <w:t>Figure 3.15: Top-down diagram of the Wide-Angle X-ray Scattering unit at the 9-ID beamline at ANL. The monochromatic radiation from the Si (220) crystal is focussed using a collimator. Adapted from Ilavsky et al [332]</w:t>
        </w:r>
        <w:r w:rsidR="00067A5E">
          <w:rPr>
            <w:noProof/>
            <w:webHidden/>
          </w:rPr>
          <w:tab/>
        </w:r>
        <w:r w:rsidR="00067A5E">
          <w:rPr>
            <w:noProof/>
            <w:webHidden/>
          </w:rPr>
          <w:fldChar w:fldCharType="begin"/>
        </w:r>
        <w:r w:rsidR="00067A5E">
          <w:rPr>
            <w:noProof/>
            <w:webHidden/>
          </w:rPr>
          <w:instrText xml:space="preserve"> PAGEREF _Toc69114960 \h </w:instrText>
        </w:r>
        <w:r w:rsidR="00067A5E">
          <w:rPr>
            <w:noProof/>
            <w:webHidden/>
          </w:rPr>
        </w:r>
        <w:r w:rsidR="00067A5E">
          <w:rPr>
            <w:noProof/>
            <w:webHidden/>
          </w:rPr>
          <w:fldChar w:fldCharType="separate"/>
        </w:r>
        <w:r w:rsidR="00067A5E">
          <w:rPr>
            <w:noProof/>
            <w:webHidden/>
          </w:rPr>
          <w:t>87</w:t>
        </w:r>
        <w:r w:rsidR="00067A5E">
          <w:rPr>
            <w:noProof/>
            <w:webHidden/>
          </w:rPr>
          <w:fldChar w:fldCharType="end"/>
        </w:r>
      </w:hyperlink>
    </w:p>
    <w:p w14:paraId="74FF82BB" w14:textId="395F8B14" w:rsidR="00067A5E" w:rsidRDefault="00B51F53">
      <w:pPr>
        <w:pStyle w:val="TableofFigures"/>
        <w:tabs>
          <w:tab w:val="right" w:leader="dot" w:pos="9016"/>
        </w:tabs>
        <w:rPr>
          <w:rFonts w:eastAsiaTheme="minorEastAsia"/>
          <w:noProof/>
          <w:lang w:eastAsia="en-GB"/>
        </w:rPr>
      </w:pPr>
      <w:hyperlink w:anchor="_Toc69114961" w:history="1">
        <w:r w:rsidR="00067A5E" w:rsidRPr="00C515B1">
          <w:rPr>
            <w:rStyle w:val="Hyperlink"/>
            <w:noProof/>
          </w:rPr>
          <w:t>Figure 3.16: Diagram of the sample interaction volume in scanning electron microscopy[319]</w:t>
        </w:r>
        <w:r w:rsidR="00067A5E">
          <w:rPr>
            <w:noProof/>
            <w:webHidden/>
          </w:rPr>
          <w:tab/>
        </w:r>
        <w:r w:rsidR="00067A5E">
          <w:rPr>
            <w:noProof/>
            <w:webHidden/>
          </w:rPr>
          <w:fldChar w:fldCharType="begin"/>
        </w:r>
        <w:r w:rsidR="00067A5E">
          <w:rPr>
            <w:noProof/>
            <w:webHidden/>
          </w:rPr>
          <w:instrText xml:space="preserve"> PAGEREF _Toc69114961 \h </w:instrText>
        </w:r>
        <w:r w:rsidR="00067A5E">
          <w:rPr>
            <w:noProof/>
            <w:webHidden/>
          </w:rPr>
        </w:r>
        <w:r w:rsidR="00067A5E">
          <w:rPr>
            <w:noProof/>
            <w:webHidden/>
          </w:rPr>
          <w:fldChar w:fldCharType="separate"/>
        </w:r>
        <w:r w:rsidR="00067A5E">
          <w:rPr>
            <w:noProof/>
            <w:webHidden/>
          </w:rPr>
          <w:t>87</w:t>
        </w:r>
        <w:r w:rsidR="00067A5E">
          <w:rPr>
            <w:noProof/>
            <w:webHidden/>
          </w:rPr>
          <w:fldChar w:fldCharType="end"/>
        </w:r>
      </w:hyperlink>
    </w:p>
    <w:p w14:paraId="09472564" w14:textId="6300FD92" w:rsidR="00067A5E" w:rsidRDefault="00B51F53">
      <w:pPr>
        <w:pStyle w:val="TableofFigures"/>
        <w:tabs>
          <w:tab w:val="right" w:leader="dot" w:pos="9016"/>
        </w:tabs>
        <w:rPr>
          <w:rFonts w:eastAsiaTheme="minorEastAsia"/>
          <w:noProof/>
          <w:lang w:eastAsia="en-GB"/>
        </w:rPr>
      </w:pPr>
      <w:hyperlink w:anchor="_Toc69114962" w:history="1">
        <w:r w:rsidR="00067A5E" w:rsidRPr="00C515B1">
          <w:rPr>
            <w:rStyle w:val="Hyperlink"/>
            <w:noProof/>
          </w:rPr>
          <w:t>Figure 3.17: 2 images of the YSZ scaffold samples being coated with gold with the Emscope sputtering instrument</w:t>
        </w:r>
        <w:r w:rsidR="00067A5E">
          <w:rPr>
            <w:noProof/>
            <w:webHidden/>
          </w:rPr>
          <w:tab/>
        </w:r>
        <w:r w:rsidR="00067A5E">
          <w:rPr>
            <w:noProof/>
            <w:webHidden/>
          </w:rPr>
          <w:fldChar w:fldCharType="begin"/>
        </w:r>
        <w:r w:rsidR="00067A5E">
          <w:rPr>
            <w:noProof/>
            <w:webHidden/>
          </w:rPr>
          <w:instrText xml:space="preserve"> PAGEREF _Toc69114962 \h </w:instrText>
        </w:r>
        <w:r w:rsidR="00067A5E">
          <w:rPr>
            <w:noProof/>
            <w:webHidden/>
          </w:rPr>
        </w:r>
        <w:r w:rsidR="00067A5E">
          <w:rPr>
            <w:noProof/>
            <w:webHidden/>
          </w:rPr>
          <w:fldChar w:fldCharType="separate"/>
        </w:r>
        <w:r w:rsidR="00067A5E">
          <w:rPr>
            <w:noProof/>
            <w:webHidden/>
          </w:rPr>
          <w:t>88</w:t>
        </w:r>
        <w:r w:rsidR="00067A5E">
          <w:rPr>
            <w:noProof/>
            <w:webHidden/>
          </w:rPr>
          <w:fldChar w:fldCharType="end"/>
        </w:r>
      </w:hyperlink>
    </w:p>
    <w:p w14:paraId="09721EB6" w14:textId="7CEB7962" w:rsidR="00067A5E" w:rsidRDefault="00B51F53">
      <w:pPr>
        <w:pStyle w:val="TableofFigures"/>
        <w:tabs>
          <w:tab w:val="right" w:leader="dot" w:pos="9016"/>
        </w:tabs>
        <w:rPr>
          <w:rFonts w:eastAsiaTheme="minorEastAsia"/>
          <w:noProof/>
          <w:lang w:eastAsia="en-GB"/>
        </w:rPr>
      </w:pPr>
      <w:hyperlink w:anchor="_Toc69114963" w:history="1">
        <w:r w:rsidR="00067A5E" w:rsidRPr="00C515B1">
          <w:rPr>
            <w:rStyle w:val="Hyperlink"/>
            <w:noProof/>
          </w:rPr>
          <w:t>Figure 3.18: Image of the protective platinum layer applied to the NiO-YSZ sample by electron beam (5000x magnification)</w:t>
        </w:r>
        <w:r w:rsidR="00067A5E">
          <w:rPr>
            <w:noProof/>
            <w:webHidden/>
          </w:rPr>
          <w:tab/>
        </w:r>
        <w:r w:rsidR="00067A5E">
          <w:rPr>
            <w:noProof/>
            <w:webHidden/>
          </w:rPr>
          <w:fldChar w:fldCharType="begin"/>
        </w:r>
        <w:r w:rsidR="00067A5E">
          <w:rPr>
            <w:noProof/>
            <w:webHidden/>
          </w:rPr>
          <w:instrText xml:space="preserve"> PAGEREF _Toc69114963 \h </w:instrText>
        </w:r>
        <w:r w:rsidR="00067A5E">
          <w:rPr>
            <w:noProof/>
            <w:webHidden/>
          </w:rPr>
        </w:r>
        <w:r w:rsidR="00067A5E">
          <w:rPr>
            <w:noProof/>
            <w:webHidden/>
          </w:rPr>
          <w:fldChar w:fldCharType="separate"/>
        </w:r>
        <w:r w:rsidR="00067A5E">
          <w:rPr>
            <w:noProof/>
            <w:webHidden/>
          </w:rPr>
          <w:t>89</w:t>
        </w:r>
        <w:r w:rsidR="00067A5E">
          <w:rPr>
            <w:noProof/>
            <w:webHidden/>
          </w:rPr>
          <w:fldChar w:fldCharType="end"/>
        </w:r>
      </w:hyperlink>
    </w:p>
    <w:p w14:paraId="7A10D420" w14:textId="3AA5DCEB" w:rsidR="00067A5E" w:rsidRDefault="00B51F53">
      <w:pPr>
        <w:pStyle w:val="TableofFigures"/>
        <w:tabs>
          <w:tab w:val="right" w:leader="dot" w:pos="9016"/>
        </w:tabs>
        <w:rPr>
          <w:rFonts w:eastAsiaTheme="minorEastAsia"/>
          <w:noProof/>
          <w:lang w:eastAsia="en-GB"/>
        </w:rPr>
      </w:pPr>
      <w:hyperlink w:anchor="_Toc69114964" w:history="1">
        <w:r w:rsidR="00067A5E" w:rsidRPr="00C515B1">
          <w:rPr>
            <w:rStyle w:val="Hyperlink"/>
            <w:noProof/>
          </w:rPr>
          <w:t>Figure 3.19:Micrograph of a FIB-SEM trench milled at 52</w:t>
        </w:r>
        <w:r w:rsidR="00067A5E" w:rsidRPr="00C515B1">
          <w:rPr>
            <w:rStyle w:val="Hyperlink"/>
            <w:rFonts w:cstheme="minorHAnsi"/>
            <w:noProof/>
          </w:rPr>
          <w:t>⁰</w:t>
        </w:r>
        <w:r w:rsidR="00067A5E" w:rsidRPr="00C515B1">
          <w:rPr>
            <w:rStyle w:val="Hyperlink"/>
            <w:noProof/>
          </w:rPr>
          <w:t xml:space="preserve"> in an infiltrated Ni-YSZ fuel electrode sample (3500 x magnification)</w:t>
        </w:r>
        <w:r w:rsidR="00067A5E">
          <w:rPr>
            <w:noProof/>
            <w:webHidden/>
          </w:rPr>
          <w:tab/>
        </w:r>
        <w:r w:rsidR="00067A5E">
          <w:rPr>
            <w:noProof/>
            <w:webHidden/>
          </w:rPr>
          <w:fldChar w:fldCharType="begin"/>
        </w:r>
        <w:r w:rsidR="00067A5E">
          <w:rPr>
            <w:noProof/>
            <w:webHidden/>
          </w:rPr>
          <w:instrText xml:space="preserve"> PAGEREF _Toc69114964 \h </w:instrText>
        </w:r>
        <w:r w:rsidR="00067A5E">
          <w:rPr>
            <w:noProof/>
            <w:webHidden/>
          </w:rPr>
        </w:r>
        <w:r w:rsidR="00067A5E">
          <w:rPr>
            <w:noProof/>
            <w:webHidden/>
          </w:rPr>
          <w:fldChar w:fldCharType="separate"/>
        </w:r>
        <w:r w:rsidR="00067A5E">
          <w:rPr>
            <w:noProof/>
            <w:webHidden/>
          </w:rPr>
          <w:t>89</w:t>
        </w:r>
        <w:r w:rsidR="00067A5E">
          <w:rPr>
            <w:noProof/>
            <w:webHidden/>
          </w:rPr>
          <w:fldChar w:fldCharType="end"/>
        </w:r>
      </w:hyperlink>
    </w:p>
    <w:p w14:paraId="72A6CFAD" w14:textId="00392BBA" w:rsidR="00067A5E" w:rsidRDefault="00B51F53">
      <w:pPr>
        <w:pStyle w:val="TableofFigures"/>
        <w:tabs>
          <w:tab w:val="right" w:leader="dot" w:pos="9016"/>
        </w:tabs>
        <w:rPr>
          <w:rFonts w:eastAsiaTheme="minorEastAsia"/>
          <w:noProof/>
          <w:lang w:eastAsia="en-GB"/>
        </w:rPr>
      </w:pPr>
      <w:hyperlink w:anchor="_Toc69114965" w:history="1">
        <w:r w:rsidR="00067A5E" w:rsidRPr="00C515B1">
          <w:rPr>
            <w:rStyle w:val="Hyperlink"/>
            <w:noProof/>
          </w:rPr>
          <w:t>Figure 3.20: Photograph of the Micromeritics 2720 Chemisorb instrument used for the TPR work</w:t>
        </w:r>
        <w:r w:rsidR="00067A5E">
          <w:rPr>
            <w:noProof/>
            <w:webHidden/>
          </w:rPr>
          <w:tab/>
        </w:r>
        <w:r w:rsidR="00067A5E">
          <w:rPr>
            <w:noProof/>
            <w:webHidden/>
          </w:rPr>
          <w:fldChar w:fldCharType="begin"/>
        </w:r>
        <w:r w:rsidR="00067A5E">
          <w:rPr>
            <w:noProof/>
            <w:webHidden/>
          </w:rPr>
          <w:instrText xml:space="preserve"> PAGEREF _Toc69114965 \h </w:instrText>
        </w:r>
        <w:r w:rsidR="00067A5E">
          <w:rPr>
            <w:noProof/>
            <w:webHidden/>
          </w:rPr>
        </w:r>
        <w:r w:rsidR="00067A5E">
          <w:rPr>
            <w:noProof/>
            <w:webHidden/>
          </w:rPr>
          <w:fldChar w:fldCharType="separate"/>
        </w:r>
        <w:r w:rsidR="00067A5E">
          <w:rPr>
            <w:noProof/>
            <w:webHidden/>
          </w:rPr>
          <w:t>90</w:t>
        </w:r>
        <w:r w:rsidR="00067A5E">
          <w:rPr>
            <w:noProof/>
            <w:webHidden/>
          </w:rPr>
          <w:fldChar w:fldCharType="end"/>
        </w:r>
      </w:hyperlink>
    </w:p>
    <w:p w14:paraId="047A0A06" w14:textId="36FBA1A0" w:rsidR="00067A5E" w:rsidRDefault="00B51F53">
      <w:pPr>
        <w:pStyle w:val="TableofFigures"/>
        <w:tabs>
          <w:tab w:val="right" w:leader="dot" w:pos="9016"/>
        </w:tabs>
        <w:rPr>
          <w:rFonts w:eastAsiaTheme="minorEastAsia"/>
          <w:noProof/>
          <w:lang w:eastAsia="en-GB"/>
        </w:rPr>
      </w:pPr>
      <w:hyperlink w:anchor="_Toc69114966" w:history="1">
        <w:r w:rsidR="00067A5E" w:rsidRPr="00C515B1">
          <w:rPr>
            <w:rStyle w:val="Hyperlink"/>
            <w:noProof/>
          </w:rPr>
          <w:t xml:space="preserve">Figure 3.21:  Nyquist plot showing the complex impedance response of an yttria-stabilised zirconia (YSZ) pellet at 300 </w:t>
        </w:r>
        <w:r w:rsidR="00067A5E" w:rsidRPr="00C515B1">
          <w:rPr>
            <w:rStyle w:val="Hyperlink"/>
            <w:rFonts w:cstheme="minorHAnsi"/>
            <w:noProof/>
          </w:rPr>
          <w:t>⁰</w:t>
        </w:r>
        <w:r w:rsidR="00067A5E" w:rsidRPr="00C515B1">
          <w:rPr>
            <w:rStyle w:val="Hyperlink"/>
            <w:noProof/>
          </w:rPr>
          <w:t>C</w:t>
        </w:r>
        <w:r w:rsidR="00067A5E">
          <w:rPr>
            <w:noProof/>
            <w:webHidden/>
          </w:rPr>
          <w:tab/>
        </w:r>
        <w:r w:rsidR="00067A5E">
          <w:rPr>
            <w:noProof/>
            <w:webHidden/>
          </w:rPr>
          <w:fldChar w:fldCharType="begin"/>
        </w:r>
        <w:r w:rsidR="00067A5E">
          <w:rPr>
            <w:noProof/>
            <w:webHidden/>
          </w:rPr>
          <w:instrText xml:space="preserve"> PAGEREF _Toc69114966 \h </w:instrText>
        </w:r>
        <w:r w:rsidR="00067A5E">
          <w:rPr>
            <w:noProof/>
            <w:webHidden/>
          </w:rPr>
        </w:r>
        <w:r w:rsidR="00067A5E">
          <w:rPr>
            <w:noProof/>
            <w:webHidden/>
          </w:rPr>
          <w:fldChar w:fldCharType="separate"/>
        </w:r>
        <w:r w:rsidR="00067A5E">
          <w:rPr>
            <w:noProof/>
            <w:webHidden/>
          </w:rPr>
          <w:t>93</w:t>
        </w:r>
        <w:r w:rsidR="00067A5E">
          <w:rPr>
            <w:noProof/>
            <w:webHidden/>
          </w:rPr>
          <w:fldChar w:fldCharType="end"/>
        </w:r>
      </w:hyperlink>
    </w:p>
    <w:p w14:paraId="58DF4A7D" w14:textId="6EB2FA63" w:rsidR="00067A5E" w:rsidRDefault="00B51F53">
      <w:pPr>
        <w:pStyle w:val="TableofFigures"/>
        <w:tabs>
          <w:tab w:val="right" w:leader="dot" w:pos="9016"/>
        </w:tabs>
        <w:rPr>
          <w:rFonts w:eastAsiaTheme="minorEastAsia"/>
          <w:noProof/>
          <w:lang w:eastAsia="en-GB"/>
        </w:rPr>
      </w:pPr>
      <w:hyperlink w:anchor="_Toc69114967" w:history="1">
        <w:r w:rsidR="00067A5E" w:rsidRPr="00C515B1">
          <w:rPr>
            <w:rStyle w:val="Hyperlink"/>
            <w:noProof/>
          </w:rPr>
          <w:t xml:space="preserve">Figure 3.22:  Images of the ceramic compression jig used to perform the electrochemical impedance spectroscopy measurements. a. Shows a photograph of the ceramic compression jig lengthways without the alumina sheath. b. A photograph of the stainless-steel flange with gas inlet, outlet, and K-type thermocouple. c. An exploded schematic of the sample housing with sample layers and jig components in the compression clip. d. A photograph of a Ni-YSZ symmetrical cell in the sample housing (denoted by the red square – diagram found in part c.) including the pyrophyllite piston. </w:t>
        </w:r>
        <w:r w:rsidR="00067A5E">
          <w:rPr>
            <w:noProof/>
            <w:webHidden/>
          </w:rPr>
          <w:tab/>
        </w:r>
        <w:r w:rsidR="00067A5E">
          <w:rPr>
            <w:noProof/>
            <w:webHidden/>
          </w:rPr>
          <w:fldChar w:fldCharType="begin"/>
        </w:r>
        <w:r w:rsidR="00067A5E">
          <w:rPr>
            <w:noProof/>
            <w:webHidden/>
          </w:rPr>
          <w:instrText xml:space="preserve"> PAGEREF _Toc69114967 \h </w:instrText>
        </w:r>
        <w:r w:rsidR="00067A5E">
          <w:rPr>
            <w:noProof/>
            <w:webHidden/>
          </w:rPr>
        </w:r>
        <w:r w:rsidR="00067A5E">
          <w:rPr>
            <w:noProof/>
            <w:webHidden/>
          </w:rPr>
          <w:fldChar w:fldCharType="separate"/>
        </w:r>
        <w:r w:rsidR="00067A5E">
          <w:rPr>
            <w:noProof/>
            <w:webHidden/>
          </w:rPr>
          <w:t>94</w:t>
        </w:r>
        <w:r w:rsidR="00067A5E">
          <w:rPr>
            <w:noProof/>
            <w:webHidden/>
          </w:rPr>
          <w:fldChar w:fldCharType="end"/>
        </w:r>
      </w:hyperlink>
    </w:p>
    <w:p w14:paraId="0939941A" w14:textId="411173E7" w:rsidR="00067A5E" w:rsidRDefault="00B51F53">
      <w:pPr>
        <w:pStyle w:val="TableofFigures"/>
        <w:tabs>
          <w:tab w:val="right" w:leader="dot" w:pos="9016"/>
        </w:tabs>
        <w:rPr>
          <w:rFonts w:eastAsiaTheme="minorEastAsia"/>
          <w:noProof/>
          <w:lang w:eastAsia="en-GB"/>
        </w:rPr>
      </w:pPr>
      <w:hyperlink w:anchor="_Toc69114968" w:history="1">
        <w:r w:rsidR="00067A5E" w:rsidRPr="00C515B1">
          <w:rPr>
            <w:rStyle w:val="Hyperlink"/>
            <w:noProof/>
          </w:rPr>
          <w:t>Figure 3.23: Real and complex parts of the transmission function plotted against X-ray wavelength [363]</w:t>
        </w:r>
        <w:r w:rsidR="00067A5E">
          <w:rPr>
            <w:noProof/>
            <w:webHidden/>
          </w:rPr>
          <w:tab/>
        </w:r>
        <w:r w:rsidR="00067A5E">
          <w:rPr>
            <w:noProof/>
            <w:webHidden/>
          </w:rPr>
          <w:fldChar w:fldCharType="begin"/>
        </w:r>
        <w:r w:rsidR="00067A5E">
          <w:rPr>
            <w:noProof/>
            <w:webHidden/>
          </w:rPr>
          <w:instrText xml:space="preserve"> PAGEREF _Toc69114968 \h </w:instrText>
        </w:r>
        <w:r w:rsidR="00067A5E">
          <w:rPr>
            <w:noProof/>
            <w:webHidden/>
          </w:rPr>
        </w:r>
        <w:r w:rsidR="00067A5E">
          <w:rPr>
            <w:noProof/>
            <w:webHidden/>
          </w:rPr>
          <w:fldChar w:fldCharType="separate"/>
        </w:r>
        <w:r w:rsidR="00067A5E">
          <w:rPr>
            <w:noProof/>
            <w:webHidden/>
          </w:rPr>
          <w:t>96</w:t>
        </w:r>
        <w:r w:rsidR="00067A5E">
          <w:rPr>
            <w:noProof/>
            <w:webHidden/>
          </w:rPr>
          <w:fldChar w:fldCharType="end"/>
        </w:r>
      </w:hyperlink>
    </w:p>
    <w:p w14:paraId="00F35223" w14:textId="6044BD3A" w:rsidR="00067A5E" w:rsidRDefault="00B51F53">
      <w:pPr>
        <w:pStyle w:val="TableofFigures"/>
        <w:tabs>
          <w:tab w:val="right" w:leader="dot" w:pos="9016"/>
        </w:tabs>
        <w:rPr>
          <w:rFonts w:eastAsiaTheme="minorEastAsia"/>
          <w:noProof/>
          <w:lang w:eastAsia="en-GB"/>
        </w:rPr>
      </w:pPr>
      <w:hyperlink w:anchor="_Toc69114969" w:history="1">
        <w:r w:rsidR="00067A5E" w:rsidRPr="00C515B1">
          <w:rPr>
            <w:rStyle w:val="Hyperlink"/>
            <w:noProof/>
          </w:rPr>
          <w:t>Figure 3.24: Diagram of the I13-1 sample to detector set up including focussing optics. Adapted from Sala et al [362]</w:t>
        </w:r>
        <w:r w:rsidR="00067A5E">
          <w:rPr>
            <w:noProof/>
            <w:webHidden/>
          </w:rPr>
          <w:tab/>
        </w:r>
        <w:r w:rsidR="00067A5E">
          <w:rPr>
            <w:noProof/>
            <w:webHidden/>
          </w:rPr>
          <w:fldChar w:fldCharType="begin"/>
        </w:r>
        <w:r w:rsidR="00067A5E">
          <w:rPr>
            <w:noProof/>
            <w:webHidden/>
          </w:rPr>
          <w:instrText xml:space="preserve"> PAGEREF _Toc69114969 \h </w:instrText>
        </w:r>
        <w:r w:rsidR="00067A5E">
          <w:rPr>
            <w:noProof/>
            <w:webHidden/>
          </w:rPr>
        </w:r>
        <w:r w:rsidR="00067A5E">
          <w:rPr>
            <w:noProof/>
            <w:webHidden/>
          </w:rPr>
          <w:fldChar w:fldCharType="separate"/>
        </w:r>
        <w:r w:rsidR="00067A5E">
          <w:rPr>
            <w:noProof/>
            <w:webHidden/>
          </w:rPr>
          <w:t>96</w:t>
        </w:r>
        <w:r w:rsidR="00067A5E">
          <w:rPr>
            <w:noProof/>
            <w:webHidden/>
          </w:rPr>
          <w:fldChar w:fldCharType="end"/>
        </w:r>
      </w:hyperlink>
    </w:p>
    <w:p w14:paraId="11A2AE08" w14:textId="33D3F190" w:rsidR="00067A5E" w:rsidRDefault="00B51F53">
      <w:pPr>
        <w:pStyle w:val="TableofFigures"/>
        <w:tabs>
          <w:tab w:val="right" w:leader="dot" w:pos="9016"/>
        </w:tabs>
        <w:rPr>
          <w:rFonts w:eastAsiaTheme="minorEastAsia"/>
          <w:noProof/>
          <w:lang w:eastAsia="en-GB"/>
        </w:rPr>
      </w:pPr>
      <w:hyperlink w:anchor="_Toc69114970" w:history="1">
        <w:r w:rsidR="00067A5E" w:rsidRPr="00C515B1">
          <w:rPr>
            <w:rStyle w:val="Hyperlink"/>
            <w:noProof/>
          </w:rPr>
          <w:t>Figure 3.25: Figure showing the field of view of a sample with rotations around the x axis. The incident beam is approaching via the y axis.</w:t>
        </w:r>
        <w:r w:rsidR="00067A5E">
          <w:rPr>
            <w:noProof/>
            <w:webHidden/>
          </w:rPr>
          <w:tab/>
        </w:r>
        <w:r w:rsidR="00067A5E">
          <w:rPr>
            <w:noProof/>
            <w:webHidden/>
          </w:rPr>
          <w:fldChar w:fldCharType="begin"/>
        </w:r>
        <w:r w:rsidR="00067A5E">
          <w:rPr>
            <w:noProof/>
            <w:webHidden/>
          </w:rPr>
          <w:instrText xml:space="preserve"> PAGEREF _Toc69114970 \h </w:instrText>
        </w:r>
        <w:r w:rsidR="00067A5E">
          <w:rPr>
            <w:noProof/>
            <w:webHidden/>
          </w:rPr>
        </w:r>
        <w:r w:rsidR="00067A5E">
          <w:rPr>
            <w:noProof/>
            <w:webHidden/>
          </w:rPr>
          <w:fldChar w:fldCharType="separate"/>
        </w:r>
        <w:r w:rsidR="00067A5E">
          <w:rPr>
            <w:noProof/>
            <w:webHidden/>
          </w:rPr>
          <w:t>97</w:t>
        </w:r>
        <w:r w:rsidR="00067A5E">
          <w:rPr>
            <w:noProof/>
            <w:webHidden/>
          </w:rPr>
          <w:fldChar w:fldCharType="end"/>
        </w:r>
      </w:hyperlink>
    </w:p>
    <w:p w14:paraId="28FB2DEB" w14:textId="70AB1942" w:rsidR="00067A5E" w:rsidRDefault="00B51F53">
      <w:pPr>
        <w:pStyle w:val="TableofFigures"/>
        <w:tabs>
          <w:tab w:val="right" w:leader="dot" w:pos="9016"/>
        </w:tabs>
        <w:rPr>
          <w:rFonts w:eastAsiaTheme="minorEastAsia"/>
          <w:noProof/>
          <w:lang w:eastAsia="en-GB"/>
        </w:rPr>
      </w:pPr>
      <w:hyperlink w:anchor="_Toc69114971" w:history="1">
        <w:r w:rsidR="00067A5E" w:rsidRPr="00C515B1">
          <w:rPr>
            <w:rStyle w:val="Hyperlink"/>
            <w:noProof/>
          </w:rPr>
          <w:t>Figure 3.26: Figure showing the initial ptychography scans of a milled infiltrated Ni-YSZ pillar sample.</w:t>
        </w:r>
        <w:r w:rsidR="00067A5E">
          <w:rPr>
            <w:noProof/>
            <w:webHidden/>
          </w:rPr>
          <w:tab/>
        </w:r>
        <w:r w:rsidR="00067A5E">
          <w:rPr>
            <w:noProof/>
            <w:webHidden/>
          </w:rPr>
          <w:fldChar w:fldCharType="begin"/>
        </w:r>
        <w:r w:rsidR="00067A5E">
          <w:rPr>
            <w:noProof/>
            <w:webHidden/>
          </w:rPr>
          <w:instrText xml:space="preserve"> PAGEREF _Toc69114971 \h </w:instrText>
        </w:r>
        <w:r w:rsidR="00067A5E">
          <w:rPr>
            <w:noProof/>
            <w:webHidden/>
          </w:rPr>
        </w:r>
        <w:r w:rsidR="00067A5E">
          <w:rPr>
            <w:noProof/>
            <w:webHidden/>
          </w:rPr>
          <w:fldChar w:fldCharType="separate"/>
        </w:r>
        <w:r w:rsidR="00067A5E">
          <w:rPr>
            <w:noProof/>
            <w:webHidden/>
          </w:rPr>
          <w:t>97</w:t>
        </w:r>
        <w:r w:rsidR="00067A5E">
          <w:rPr>
            <w:noProof/>
            <w:webHidden/>
          </w:rPr>
          <w:fldChar w:fldCharType="end"/>
        </w:r>
      </w:hyperlink>
    </w:p>
    <w:p w14:paraId="471D5A83" w14:textId="1BD08AEE" w:rsidR="00067A5E" w:rsidRDefault="00B51F53">
      <w:pPr>
        <w:pStyle w:val="TableofFigures"/>
        <w:tabs>
          <w:tab w:val="right" w:leader="dot" w:pos="9016"/>
        </w:tabs>
        <w:rPr>
          <w:rFonts w:eastAsiaTheme="minorEastAsia"/>
          <w:noProof/>
          <w:lang w:eastAsia="en-GB"/>
        </w:rPr>
      </w:pPr>
      <w:hyperlink w:anchor="_Toc69114972" w:history="1">
        <w:r w:rsidR="00067A5E" w:rsidRPr="00C515B1">
          <w:rPr>
            <w:rStyle w:val="Hyperlink"/>
            <w:noProof/>
          </w:rPr>
          <w:t>Figure 3.27: Diagram of the heating apparatus used to age the Ni-YSZ fine pillar samples. The gas atmosphere was humidified 10 % H</w:t>
        </w:r>
        <w:r w:rsidR="00067A5E" w:rsidRPr="00C515B1">
          <w:rPr>
            <w:rStyle w:val="Hyperlink"/>
            <w:noProof/>
            <w:vertAlign w:val="subscript"/>
          </w:rPr>
          <w:t>2</w:t>
        </w:r>
        <w:r w:rsidR="00067A5E" w:rsidRPr="00C515B1">
          <w:rPr>
            <w:rStyle w:val="Hyperlink"/>
            <w:noProof/>
          </w:rPr>
          <w:t>/N</w:t>
        </w:r>
        <w:r w:rsidR="00067A5E" w:rsidRPr="00C515B1">
          <w:rPr>
            <w:rStyle w:val="Hyperlink"/>
            <w:noProof/>
            <w:vertAlign w:val="subscript"/>
          </w:rPr>
          <w:t>2</w:t>
        </w:r>
        <w:r w:rsidR="00067A5E" w:rsidRPr="00C515B1">
          <w:rPr>
            <w:rStyle w:val="Hyperlink"/>
            <w:noProof/>
          </w:rPr>
          <w:t xml:space="preserve"> at with an inlet flow rate of 5 mLmin</w:t>
        </w:r>
        <w:r w:rsidR="00067A5E" w:rsidRPr="00C515B1">
          <w:rPr>
            <w:rStyle w:val="Hyperlink"/>
            <w:noProof/>
            <w:vertAlign w:val="superscript"/>
          </w:rPr>
          <w:t>-1</w:t>
        </w:r>
        <w:r w:rsidR="00067A5E" w:rsidRPr="00C515B1">
          <w:rPr>
            <w:rStyle w:val="Hyperlink"/>
            <w:noProof/>
          </w:rPr>
          <w:t>. The apparatus was mounted in a tube furnace via clamps and the entire apparatus was housed in a fume cupboard.</w:t>
        </w:r>
        <w:r w:rsidR="00067A5E">
          <w:rPr>
            <w:noProof/>
            <w:webHidden/>
          </w:rPr>
          <w:tab/>
        </w:r>
        <w:r w:rsidR="00067A5E">
          <w:rPr>
            <w:noProof/>
            <w:webHidden/>
          </w:rPr>
          <w:fldChar w:fldCharType="begin"/>
        </w:r>
        <w:r w:rsidR="00067A5E">
          <w:rPr>
            <w:noProof/>
            <w:webHidden/>
          </w:rPr>
          <w:instrText xml:space="preserve"> PAGEREF _Toc69114972 \h </w:instrText>
        </w:r>
        <w:r w:rsidR="00067A5E">
          <w:rPr>
            <w:noProof/>
            <w:webHidden/>
          </w:rPr>
        </w:r>
        <w:r w:rsidR="00067A5E">
          <w:rPr>
            <w:noProof/>
            <w:webHidden/>
          </w:rPr>
          <w:fldChar w:fldCharType="separate"/>
        </w:r>
        <w:r w:rsidR="00067A5E">
          <w:rPr>
            <w:noProof/>
            <w:webHidden/>
          </w:rPr>
          <w:t>98</w:t>
        </w:r>
        <w:r w:rsidR="00067A5E">
          <w:rPr>
            <w:noProof/>
            <w:webHidden/>
          </w:rPr>
          <w:fldChar w:fldCharType="end"/>
        </w:r>
      </w:hyperlink>
    </w:p>
    <w:p w14:paraId="4C263662" w14:textId="520FDD19" w:rsidR="00067A5E" w:rsidRDefault="00B51F53">
      <w:pPr>
        <w:pStyle w:val="TableofFigures"/>
        <w:tabs>
          <w:tab w:val="right" w:leader="dot" w:pos="9016"/>
        </w:tabs>
        <w:rPr>
          <w:rFonts w:eastAsiaTheme="minorEastAsia"/>
          <w:noProof/>
          <w:lang w:eastAsia="en-GB"/>
        </w:rPr>
      </w:pPr>
      <w:hyperlink w:anchor="_Toc69114973" w:history="1">
        <w:r w:rsidR="00067A5E" w:rsidRPr="00C515B1">
          <w:rPr>
            <w:rStyle w:val="Hyperlink"/>
            <w:noProof/>
          </w:rPr>
          <w:t>Figure 3.28: Breakdown of the two workflows required to convert raw PXCT data to 3D tomographic renderings. The workflow moved from ptychographic to tomographic during data processing and analysis</w:t>
        </w:r>
        <w:r w:rsidR="00067A5E">
          <w:rPr>
            <w:noProof/>
            <w:webHidden/>
          </w:rPr>
          <w:tab/>
        </w:r>
        <w:r w:rsidR="00067A5E">
          <w:rPr>
            <w:noProof/>
            <w:webHidden/>
          </w:rPr>
          <w:fldChar w:fldCharType="begin"/>
        </w:r>
        <w:r w:rsidR="00067A5E">
          <w:rPr>
            <w:noProof/>
            <w:webHidden/>
          </w:rPr>
          <w:instrText xml:space="preserve"> PAGEREF _Toc69114973 \h </w:instrText>
        </w:r>
        <w:r w:rsidR="00067A5E">
          <w:rPr>
            <w:noProof/>
            <w:webHidden/>
          </w:rPr>
        </w:r>
        <w:r w:rsidR="00067A5E">
          <w:rPr>
            <w:noProof/>
            <w:webHidden/>
          </w:rPr>
          <w:fldChar w:fldCharType="separate"/>
        </w:r>
        <w:r w:rsidR="00067A5E">
          <w:rPr>
            <w:noProof/>
            <w:webHidden/>
          </w:rPr>
          <w:t>98</w:t>
        </w:r>
        <w:r w:rsidR="00067A5E">
          <w:rPr>
            <w:noProof/>
            <w:webHidden/>
          </w:rPr>
          <w:fldChar w:fldCharType="end"/>
        </w:r>
      </w:hyperlink>
    </w:p>
    <w:p w14:paraId="71012737" w14:textId="16CCB59B" w:rsidR="00067A5E" w:rsidRDefault="00B51F53">
      <w:pPr>
        <w:pStyle w:val="TableofFigures"/>
        <w:tabs>
          <w:tab w:val="right" w:leader="dot" w:pos="9016"/>
        </w:tabs>
        <w:rPr>
          <w:rFonts w:eastAsiaTheme="minorEastAsia"/>
          <w:noProof/>
          <w:lang w:eastAsia="en-GB"/>
        </w:rPr>
      </w:pPr>
      <w:hyperlink w:anchor="_Toc69114974" w:history="1">
        <w:r w:rsidR="00067A5E" w:rsidRPr="00C515B1">
          <w:rPr>
            <w:rStyle w:val="Hyperlink"/>
            <w:noProof/>
          </w:rPr>
          <w:t>Figure 3.29: A flow chart detailing the data processing steps required to produce a 3D digital rendering of ptychographic diffractograms. The orange sections detail the data format, python modules used and rendering software. In this case the * indicate a DLS python module and the ** show the rendering program used</w:t>
        </w:r>
        <w:r w:rsidR="00067A5E">
          <w:rPr>
            <w:noProof/>
            <w:webHidden/>
          </w:rPr>
          <w:tab/>
        </w:r>
        <w:r w:rsidR="00067A5E">
          <w:rPr>
            <w:noProof/>
            <w:webHidden/>
          </w:rPr>
          <w:fldChar w:fldCharType="begin"/>
        </w:r>
        <w:r w:rsidR="00067A5E">
          <w:rPr>
            <w:noProof/>
            <w:webHidden/>
          </w:rPr>
          <w:instrText xml:space="preserve"> PAGEREF _Toc69114974 \h </w:instrText>
        </w:r>
        <w:r w:rsidR="00067A5E">
          <w:rPr>
            <w:noProof/>
            <w:webHidden/>
          </w:rPr>
        </w:r>
        <w:r w:rsidR="00067A5E">
          <w:rPr>
            <w:noProof/>
            <w:webHidden/>
          </w:rPr>
          <w:fldChar w:fldCharType="separate"/>
        </w:r>
        <w:r w:rsidR="00067A5E">
          <w:rPr>
            <w:noProof/>
            <w:webHidden/>
          </w:rPr>
          <w:t>99</w:t>
        </w:r>
        <w:r w:rsidR="00067A5E">
          <w:rPr>
            <w:noProof/>
            <w:webHidden/>
          </w:rPr>
          <w:fldChar w:fldCharType="end"/>
        </w:r>
      </w:hyperlink>
    </w:p>
    <w:p w14:paraId="544A4C1C" w14:textId="2B280D67" w:rsidR="00067A5E" w:rsidRDefault="00B51F53">
      <w:pPr>
        <w:pStyle w:val="TableofFigures"/>
        <w:tabs>
          <w:tab w:val="right" w:leader="dot" w:pos="9016"/>
        </w:tabs>
        <w:rPr>
          <w:rFonts w:eastAsiaTheme="minorEastAsia"/>
          <w:noProof/>
          <w:lang w:eastAsia="en-GB"/>
        </w:rPr>
      </w:pPr>
      <w:hyperlink w:anchor="_Toc69114975" w:history="1">
        <w:r w:rsidR="00067A5E" w:rsidRPr="00C515B1">
          <w:rPr>
            <w:rStyle w:val="Hyperlink"/>
            <w:noProof/>
          </w:rPr>
          <w:t>Figure 4.1: X-ray Diffraction patterns of samples containing nickel compounds. From left to right: NiO powder (JT Baker, USA), nickel metal foil (Alfar Aesar), calcined NiO-YSZ (N</w:t>
        </w:r>
        <w:r w:rsidR="00067A5E" w:rsidRPr="00C515B1">
          <w:rPr>
            <w:rStyle w:val="Hyperlink"/>
            <w:noProof/>
            <w:vertAlign w:val="subscript"/>
          </w:rPr>
          <w:t>2</w:t>
        </w:r>
        <w:r w:rsidR="00067A5E" w:rsidRPr="00C515B1">
          <w:rPr>
            <w:rStyle w:val="Hyperlink"/>
            <w:noProof/>
          </w:rPr>
          <w:t xml:space="preserve"> dried) and calcined NiO-YSZ (Air dried). Characteristic peaks for nickel oxide, nickel and yttria-stabilised zirconia are denoted by +, -, and * respectively</w:t>
        </w:r>
        <w:r w:rsidR="00067A5E">
          <w:rPr>
            <w:noProof/>
            <w:webHidden/>
          </w:rPr>
          <w:tab/>
        </w:r>
        <w:r w:rsidR="00067A5E">
          <w:rPr>
            <w:noProof/>
            <w:webHidden/>
          </w:rPr>
          <w:fldChar w:fldCharType="begin"/>
        </w:r>
        <w:r w:rsidR="00067A5E">
          <w:rPr>
            <w:noProof/>
            <w:webHidden/>
          </w:rPr>
          <w:instrText xml:space="preserve"> PAGEREF _Toc69114975 \h </w:instrText>
        </w:r>
        <w:r w:rsidR="00067A5E">
          <w:rPr>
            <w:noProof/>
            <w:webHidden/>
          </w:rPr>
        </w:r>
        <w:r w:rsidR="00067A5E">
          <w:rPr>
            <w:noProof/>
            <w:webHidden/>
          </w:rPr>
          <w:fldChar w:fldCharType="separate"/>
        </w:r>
        <w:r w:rsidR="00067A5E">
          <w:rPr>
            <w:noProof/>
            <w:webHidden/>
          </w:rPr>
          <w:t>103</w:t>
        </w:r>
        <w:r w:rsidR="00067A5E">
          <w:rPr>
            <w:noProof/>
            <w:webHidden/>
          </w:rPr>
          <w:fldChar w:fldCharType="end"/>
        </w:r>
      </w:hyperlink>
    </w:p>
    <w:p w14:paraId="4156B400" w14:textId="3AD32A7C" w:rsidR="00067A5E" w:rsidRDefault="00B51F53">
      <w:pPr>
        <w:pStyle w:val="TableofFigures"/>
        <w:tabs>
          <w:tab w:val="right" w:leader="dot" w:pos="9016"/>
        </w:tabs>
        <w:rPr>
          <w:rFonts w:eastAsiaTheme="minorEastAsia"/>
          <w:noProof/>
          <w:lang w:eastAsia="en-GB"/>
        </w:rPr>
      </w:pPr>
      <w:hyperlink w:anchor="_Toc69114976" w:history="1">
        <w:r w:rsidR="00067A5E" w:rsidRPr="00C515B1">
          <w:rPr>
            <w:rStyle w:val="Hyperlink"/>
            <w:rFonts w:cstheme="minorHAnsi"/>
            <w:noProof/>
          </w:rPr>
          <w:t>Figure 4.2: X-ray diffraction pattern of the infiltrated NiO-YSZ sample dried in Air and then calcined for at 350 °C for 1.5 hours [382].</w:t>
        </w:r>
        <w:r w:rsidR="00067A5E">
          <w:rPr>
            <w:noProof/>
            <w:webHidden/>
          </w:rPr>
          <w:tab/>
        </w:r>
        <w:r w:rsidR="00067A5E">
          <w:rPr>
            <w:noProof/>
            <w:webHidden/>
          </w:rPr>
          <w:fldChar w:fldCharType="begin"/>
        </w:r>
        <w:r w:rsidR="00067A5E">
          <w:rPr>
            <w:noProof/>
            <w:webHidden/>
          </w:rPr>
          <w:instrText xml:space="preserve"> PAGEREF _Toc69114976 \h </w:instrText>
        </w:r>
        <w:r w:rsidR="00067A5E">
          <w:rPr>
            <w:noProof/>
            <w:webHidden/>
          </w:rPr>
        </w:r>
        <w:r w:rsidR="00067A5E">
          <w:rPr>
            <w:noProof/>
            <w:webHidden/>
          </w:rPr>
          <w:fldChar w:fldCharType="separate"/>
        </w:r>
        <w:r w:rsidR="00067A5E">
          <w:rPr>
            <w:noProof/>
            <w:webHidden/>
          </w:rPr>
          <w:t>104</w:t>
        </w:r>
        <w:r w:rsidR="00067A5E">
          <w:rPr>
            <w:noProof/>
            <w:webHidden/>
          </w:rPr>
          <w:fldChar w:fldCharType="end"/>
        </w:r>
      </w:hyperlink>
    </w:p>
    <w:p w14:paraId="36443812" w14:textId="2D446683" w:rsidR="00067A5E" w:rsidRDefault="00B51F53">
      <w:pPr>
        <w:pStyle w:val="TableofFigures"/>
        <w:tabs>
          <w:tab w:val="right" w:leader="dot" w:pos="9016"/>
        </w:tabs>
        <w:rPr>
          <w:rFonts w:eastAsiaTheme="minorEastAsia"/>
          <w:noProof/>
          <w:lang w:eastAsia="en-GB"/>
        </w:rPr>
      </w:pPr>
      <w:hyperlink w:anchor="_Toc69114977" w:history="1">
        <w:r w:rsidR="00067A5E" w:rsidRPr="00C515B1">
          <w:rPr>
            <w:rStyle w:val="Hyperlink"/>
            <w:noProof/>
          </w:rPr>
          <w:t>Figure 4.3: Overlaid FTIR spectra of the three NiO samples. The samples are offset by 0.8. The NiO calibration powder (JT Baker) and the NiO produced after air and nitrogen drying and calcination steps. The data was taken between wavenumbers of 4000-400 cm</w:t>
        </w:r>
        <w:r w:rsidR="00067A5E" w:rsidRPr="00C515B1">
          <w:rPr>
            <w:rStyle w:val="Hyperlink"/>
            <w:noProof/>
            <w:vertAlign w:val="superscript"/>
          </w:rPr>
          <w:t>-1</w:t>
        </w:r>
        <w:r w:rsidR="00067A5E">
          <w:rPr>
            <w:noProof/>
            <w:webHidden/>
          </w:rPr>
          <w:tab/>
        </w:r>
        <w:r w:rsidR="00067A5E">
          <w:rPr>
            <w:noProof/>
            <w:webHidden/>
          </w:rPr>
          <w:fldChar w:fldCharType="begin"/>
        </w:r>
        <w:r w:rsidR="00067A5E">
          <w:rPr>
            <w:noProof/>
            <w:webHidden/>
          </w:rPr>
          <w:instrText xml:space="preserve"> PAGEREF _Toc69114977 \h </w:instrText>
        </w:r>
        <w:r w:rsidR="00067A5E">
          <w:rPr>
            <w:noProof/>
            <w:webHidden/>
          </w:rPr>
        </w:r>
        <w:r w:rsidR="00067A5E">
          <w:rPr>
            <w:noProof/>
            <w:webHidden/>
          </w:rPr>
          <w:fldChar w:fldCharType="separate"/>
        </w:r>
        <w:r w:rsidR="00067A5E">
          <w:rPr>
            <w:noProof/>
            <w:webHidden/>
          </w:rPr>
          <w:t>105</w:t>
        </w:r>
        <w:r w:rsidR="00067A5E">
          <w:rPr>
            <w:noProof/>
            <w:webHidden/>
          </w:rPr>
          <w:fldChar w:fldCharType="end"/>
        </w:r>
      </w:hyperlink>
    </w:p>
    <w:p w14:paraId="7227DCBC" w14:textId="56CA8930" w:rsidR="00067A5E" w:rsidRDefault="00B51F53">
      <w:pPr>
        <w:pStyle w:val="TableofFigures"/>
        <w:tabs>
          <w:tab w:val="right" w:leader="dot" w:pos="9016"/>
        </w:tabs>
        <w:rPr>
          <w:rFonts w:eastAsiaTheme="minorEastAsia"/>
          <w:noProof/>
          <w:lang w:eastAsia="en-GB"/>
        </w:rPr>
      </w:pPr>
      <w:hyperlink w:anchor="_Toc69114978" w:history="1">
        <w:r w:rsidR="00067A5E" w:rsidRPr="00C515B1">
          <w:rPr>
            <w:rStyle w:val="Hyperlink"/>
            <w:noProof/>
          </w:rPr>
          <w:t>Figure 4.4: FTIR Spectra of NiO samples based around wavenumbers ranging between 750-400 cm</w:t>
        </w:r>
        <w:r w:rsidR="00067A5E" w:rsidRPr="00C515B1">
          <w:rPr>
            <w:rStyle w:val="Hyperlink"/>
            <w:noProof/>
            <w:vertAlign w:val="superscript"/>
          </w:rPr>
          <w:t>-1</w:t>
        </w:r>
        <w:r w:rsidR="00067A5E">
          <w:rPr>
            <w:noProof/>
            <w:webHidden/>
          </w:rPr>
          <w:tab/>
        </w:r>
        <w:r w:rsidR="00067A5E">
          <w:rPr>
            <w:noProof/>
            <w:webHidden/>
          </w:rPr>
          <w:fldChar w:fldCharType="begin"/>
        </w:r>
        <w:r w:rsidR="00067A5E">
          <w:rPr>
            <w:noProof/>
            <w:webHidden/>
          </w:rPr>
          <w:instrText xml:space="preserve"> PAGEREF _Toc69114978 \h </w:instrText>
        </w:r>
        <w:r w:rsidR="00067A5E">
          <w:rPr>
            <w:noProof/>
            <w:webHidden/>
          </w:rPr>
        </w:r>
        <w:r w:rsidR="00067A5E">
          <w:rPr>
            <w:noProof/>
            <w:webHidden/>
          </w:rPr>
          <w:fldChar w:fldCharType="separate"/>
        </w:r>
        <w:r w:rsidR="00067A5E">
          <w:rPr>
            <w:noProof/>
            <w:webHidden/>
          </w:rPr>
          <w:t>106</w:t>
        </w:r>
        <w:r w:rsidR="00067A5E">
          <w:rPr>
            <w:noProof/>
            <w:webHidden/>
          </w:rPr>
          <w:fldChar w:fldCharType="end"/>
        </w:r>
      </w:hyperlink>
    </w:p>
    <w:p w14:paraId="7E4BFC19" w14:textId="25D70257" w:rsidR="00067A5E" w:rsidRDefault="00B51F53">
      <w:pPr>
        <w:pStyle w:val="TableofFigures"/>
        <w:tabs>
          <w:tab w:val="right" w:leader="dot" w:pos="9016"/>
        </w:tabs>
        <w:rPr>
          <w:rFonts w:eastAsiaTheme="minorEastAsia"/>
          <w:noProof/>
          <w:lang w:eastAsia="en-GB"/>
        </w:rPr>
      </w:pPr>
      <w:hyperlink w:anchor="_Toc69114979" w:history="1">
        <w:r w:rsidR="00067A5E" w:rsidRPr="00C515B1">
          <w:rPr>
            <w:rStyle w:val="Hyperlink"/>
            <w:noProof/>
          </w:rPr>
          <w:t>Figure 4.5: Overlaid FTIR spectra of nickel nitrate hexahydrate dried in air and nitrogen (denoted by the black and red series respectively) [47]–[49]</w:t>
        </w:r>
        <w:r w:rsidR="00067A5E">
          <w:rPr>
            <w:noProof/>
            <w:webHidden/>
          </w:rPr>
          <w:tab/>
        </w:r>
        <w:r w:rsidR="00067A5E">
          <w:rPr>
            <w:noProof/>
            <w:webHidden/>
          </w:rPr>
          <w:fldChar w:fldCharType="begin"/>
        </w:r>
        <w:r w:rsidR="00067A5E">
          <w:rPr>
            <w:noProof/>
            <w:webHidden/>
          </w:rPr>
          <w:instrText xml:space="preserve"> PAGEREF _Toc69114979 \h </w:instrText>
        </w:r>
        <w:r w:rsidR="00067A5E">
          <w:rPr>
            <w:noProof/>
            <w:webHidden/>
          </w:rPr>
        </w:r>
        <w:r w:rsidR="00067A5E">
          <w:rPr>
            <w:noProof/>
            <w:webHidden/>
          </w:rPr>
          <w:fldChar w:fldCharType="separate"/>
        </w:r>
        <w:r w:rsidR="00067A5E">
          <w:rPr>
            <w:noProof/>
            <w:webHidden/>
          </w:rPr>
          <w:t>106</w:t>
        </w:r>
        <w:r w:rsidR="00067A5E">
          <w:rPr>
            <w:noProof/>
            <w:webHidden/>
          </w:rPr>
          <w:fldChar w:fldCharType="end"/>
        </w:r>
      </w:hyperlink>
    </w:p>
    <w:p w14:paraId="44134930" w14:textId="40691700" w:rsidR="00067A5E" w:rsidRDefault="00B51F53">
      <w:pPr>
        <w:pStyle w:val="TableofFigures"/>
        <w:tabs>
          <w:tab w:val="right" w:leader="dot" w:pos="9016"/>
        </w:tabs>
        <w:rPr>
          <w:rFonts w:eastAsiaTheme="minorEastAsia"/>
          <w:noProof/>
          <w:lang w:eastAsia="en-GB"/>
        </w:rPr>
      </w:pPr>
      <w:hyperlink w:anchor="_Toc69114980" w:history="1">
        <w:r w:rsidR="00067A5E" w:rsidRPr="00C515B1">
          <w:rPr>
            <w:rStyle w:val="Hyperlink"/>
            <w:noProof/>
          </w:rPr>
          <w:t>Figure 4.6: Overlaid FTIR spectra of nickel nitrate hexahydrate dried in air and nitrogen (denoted by the black and red series respectively)</w:t>
        </w:r>
        <w:r w:rsidR="00067A5E">
          <w:rPr>
            <w:noProof/>
            <w:webHidden/>
          </w:rPr>
          <w:tab/>
        </w:r>
        <w:r w:rsidR="00067A5E">
          <w:rPr>
            <w:noProof/>
            <w:webHidden/>
          </w:rPr>
          <w:fldChar w:fldCharType="begin"/>
        </w:r>
        <w:r w:rsidR="00067A5E">
          <w:rPr>
            <w:noProof/>
            <w:webHidden/>
          </w:rPr>
          <w:instrText xml:space="preserve"> PAGEREF _Toc69114980 \h </w:instrText>
        </w:r>
        <w:r w:rsidR="00067A5E">
          <w:rPr>
            <w:noProof/>
            <w:webHidden/>
          </w:rPr>
        </w:r>
        <w:r w:rsidR="00067A5E">
          <w:rPr>
            <w:noProof/>
            <w:webHidden/>
          </w:rPr>
          <w:fldChar w:fldCharType="separate"/>
        </w:r>
        <w:r w:rsidR="00067A5E">
          <w:rPr>
            <w:noProof/>
            <w:webHidden/>
          </w:rPr>
          <w:t>107</w:t>
        </w:r>
        <w:r w:rsidR="00067A5E">
          <w:rPr>
            <w:noProof/>
            <w:webHidden/>
          </w:rPr>
          <w:fldChar w:fldCharType="end"/>
        </w:r>
      </w:hyperlink>
    </w:p>
    <w:p w14:paraId="32EB84E3" w14:textId="18F45075" w:rsidR="00067A5E" w:rsidRDefault="00B51F53">
      <w:pPr>
        <w:pStyle w:val="TableofFigures"/>
        <w:tabs>
          <w:tab w:val="right" w:leader="dot" w:pos="9016"/>
        </w:tabs>
        <w:rPr>
          <w:rFonts w:eastAsiaTheme="minorEastAsia"/>
          <w:noProof/>
          <w:lang w:eastAsia="en-GB"/>
        </w:rPr>
      </w:pPr>
      <w:hyperlink w:anchor="_Toc69114981" w:history="1">
        <w:r w:rsidR="00067A5E" w:rsidRPr="00C515B1">
          <w:rPr>
            <w:rStyle w:val="Hyperlink"/>
            <w:noProof/>
          </w:rPr>
          <w:t>Figure 4.7: Wide Angle X-ray Scattering diffraction pattern of an NiO-YSZ electrode sample (Air-dried) post calcination.</w:t>
        </w:r>
        <w:r w:rsidR="00067A5E">
          <w:rPr>
            <w:noProof/>
            <w:webHidden/>
          </w:rPr>
          <w:tab/>
        </w:r>
        <w:r w:rsidR="00067A5E">
          <w:rPr>
            <w:noProof/>
            <w:webHidden/>
          </w:rPr>
          <w:fldChar w:fldCharType="begin"/>
        </w:r>
        <w:r w:rsidR="00067A5E">
          <w:rPr>
            <w:noProof/>
            <w:webHidden/>
          </w:rPr>
          <w:instrText xml:space="preserve"> PAGEREF _Toc69114981 \h </w:instrText>
        </w:r>
        <w:r w:rsidR="00067A5E">
          <w:rPr>
            <w:noProof/>
            <w:webHidden/>
          </w:rPr>
        </w:r>
        <w:r w:rsidR="00067A5E">
          <w:rPr>
            <w:noProof/>
            <w:webHidden/>
          </w:rPr>
          <w:fldChar w:fldCharType="separate"/>
        </w:r>
        <w:r w:rsidR="00067A5E">
          <w:rPr>
            <w:noProof/>
            <w:webHidden/>
          </w:rPr>
          <w:t>107</w:t>
        </w:r>
        <w:r w:rsidR="00067A5E">
          <w:rPr>
            <w:noProof/>
            <w:webHidden/>
          </w:rPr>
          <w:fldChar w:fldCharType="end"/>
        </w:r>
      </w:hyperlink>
    </w:p>
    <w:p w14:paraId="1055D920" w14:textId="144B41C0" w:rsidR="00067A5E" w:rsidRDefault="00B51F53">
      <w:pPr>
        <w:pStyle w:val="TableofFigures"/>
        <w:tabs>
          <w:tab w:val="right" w:leader="dot" w:pos="9016"/>
        </w:tabs>
        <w:rPr>
          <w:rFonts w:eastAsiaTheme="minorEastAsia"/>
          <w:noProof/>
          <w:lang w:eastAsia="en-GB"/>
        </w:rPr>
      </w:pPr>
      <w:hyperlink w:anchor="_Toc69114982" w:history="1">
        <w:r w:rsidR="00067A5E" w:rsidRPr="00C515B1">
          <w:rPr>
            <w:rStyle w:val="Hyperlink"/>
            <w:rFonts w:cstheme="minorHAnsi"/>
            <w:noProof/>
          </w:rPr>
          <w:t>Figure 4.8: Wide Angle X-ray Scattering diffraction patterns of Pellet A and B (Air red and N</w:t>
        </w:r>
        <w:r w:rsidR="00067A5E" w:rsidRPr="00C515B1">
          <w:rPr>
            <w:rStyle w:val="Hyperlink"/>
            <w:rFonts w:cstheme="minorHAnsi"/>
            <w:noProof/>
            <w:vertAlign w:val="subscript"/>
          </w:rPr>
          <w:t>2 -</w:t>
        </w:r>
        <w:r w:rsidR="00067A5E" w:rsidRPr="00C515B1">
          <w:rPr>
            <w:rStyle w:val="Hyperlink"/>
            <w:rFonts w:cstheme="minorHAnsi"/>
            <w:noProof/>
          </w:rPr>
          <w:t>dried blue respectively).</w:t>
        </w:r>
        <w:r w:rsidR="00067A5E">
          <w:rPr>
            <w:noProof/>
            <w:webHidden/>
          </w:rPr>
          <w:tab/>
        </w:r>
        <w:r w:rsidR="00067A5E">
          <w:rPr>
            <w:noProof/>
            <w:webHidden/>
          </w:rPr>
          <w:fldChar w:fldCharType="begin"/>
        </w:r>
        <w:r w:rsidR="00067A5E">
          <w:rPr>
            <w:noProof/>
            <w:webHidden/>
          </w:rPr>
          <w:instrText xml:space="preserve"> PAGEREF _Toc69114982 \h </w:instrText>
        </w:r>
        <w:r w:rsidR="00067A5E">
          <w:rPr>
            <w:noProof/>
            <w:webHidden/>
          </w:rPr>
        </w:r>
        <w:r w:rsidR="00067A5E">
          <w:rPr>
            <w:noProof/>
            <w:webHidden/>
          </w:rPr>
          <w:fldChar w:fldCharType="separate"/>
        </w:r>
        <w:r w:rsidR="00067A5E">
          <w:rPr>
            <w:noProof/>
            <w:webHidden/>
          </w:rPr>
          <w:t>108</w:t>
        </w:r>
        <w:r w:rsidR="00067A5E">
          <w:rPr>
            <w:noProof/>
            <w:webHidden/>
          </w:rPr>
          <w:fldChar w:fldCharType="end"/>
        </w:r>
      </w:hyperlink>
    </w:p>
    <w:p w14:paraId="4877603D" w14:textId="0161E6F7" w:rsidR="00067A5E" w:rsidRDefault="00B51F53">
      <w:pPr>
        <w:pStyle w:val="TableofFigures"/>
        <w:tabs>
          <w:tab w:val="right" w:leader="dot" w:pos="9016"/>
        </w:tabs>
        <w:rPr>
          <w:rFonts w:eastAsiaTheme="minorEastAsia"/>
          <w:noProof/>
          <w:lang w:eastAsia="en-GB"/>
        </w:rPr>
      </w:pPr>
      <w:hyperlink w:anchor="_Toc69114983" w:history="1">
        <w:r w:rsidR="00067A5E" w:rsidRPr="00C515B1">
          <w:rPr>
            <w:rStyle w:val="Hyperlink"/>
            <w:noProof/>
          </w:rPr>
          <w:t>Figure 4.9: Scanning electron micrographs of the dried nickel nitrate solution dried on: a. YSZ electrolyte pellet 500x (b. 5000x magnification), c. YSZ porous scaffold under an air atmosphere 500x (d. 5000x magnification), e. YSZ porous scaffold under an N</w:t>
        </w:r>
        <w:r w:rsidR="00067A5E" w:rsidRPr="00C515B1">
          <w:rPr>
            <w:rStyle w:val="Hyperlink"/>
            <w:noProof/>
            <w:vertAlign w:val="subscript"/>
          </w:rPr>
          <w:t>2</w:t>
        </w:r>
        <w:r w:rsidR="00067A5E" w:rsidRPr="00C515B1">
          <w:rPr>
            <w:rStyle w:val="Hyperlink"/>
            <w:noProof/>
          </w:rPr>
          <w:t xml:space="preserve"> atmosphere and (f. 5000x magnification)</w:t>
        </w:r>
        <w:r w:rsidR="00067A5E">
          <w:rPr>
            <w:noProof/>
            <w:webHidden/>
          </w:rPr>
          <w:tab/>
        </w:r>
        <w:r w:rsidR="00067A5E">
          <w:rPr>
            <w:noProof/>
            <w:webHidden/>
          </w:rPr>
          <w:fldChar w:fldCharType="begin"/>
        </w:r>
        <w:r w:rsidR="00067A5E">
          <w:rPr>
            <w:noProof/>
            <w:webHidden/>
          </w:rPr>
          <w:instrText xml:space="preserve"> PAGEREF _Toc69114983 \h </w:instrText>
        </w:r>
        <w:r w:rsidR="00067A5E">
          <w:rPr>
            <w:noProof/>
            <w:webHidden/>
          </w:rPr>
        </w:r>
        <w:r w:rsidR="00067A5E">
          <w:rPr>
            <w:noProof/>
            <w:webHidden/>
          </w:rPr>
          <w:fldChar w:fldCharType="separate"/>
        </w:r>
        <w:r w:rsidR="00067A5E">
          <w:rPr>
            <w:noProof/>
            <w:webHidden/>
          </w:rPr>
          <w:t>109</w:t>
        </w:r>
        <w:r w:rsidR="00067A5E">
          <w:rPr>
            <w:noProof/>
            <w:webHidden/>
          </w:rPr>
          <w:fldChar w:fldCharType="end"/>
        </w:r>
      </w:hyperlink>
    </w:p>
    <w:p w14:paraId="26B3E62B" w14:textId="404D99B9" w:rsidR="00067A5E" w:rsidRDefault="00B51F53">
      <w:pPr>
        <w:pStyle w:val="TableofFigures"/>
        <w:tabs>
          <w:tab w:val="right" w:leader="dot" w:pos="9016"/>
        </w:tabs>
        <w:rPr>
          <w:rFonts w:eastAsiaTheme="minorEastAsia"/>
          <w:noProof/>
          <w:lang w:eastAsia="en-GB"/>
        </w:rPr>
      </w:pPr>
      <w:hyperlink w:anchor="_Toc69114984" w:history="1">
        <w:r w:rsidR="00067A5E" w:rsidRPr="00C515B1">
          <w:rPr>
            <w:rStyle w:val="Hyperlink"/>
            <w:noProof/>
          </w:rPr>
          <w:t xml:space="preserve">Figure 4.10: Scanning electron microscopy of the surface if the air-dried Ni-YSZ electrode after a reduction at 350 </w:t>
        </w:r>
        <w:r w:rsidR="00067A5E" w:rsidRPr="00C515B1">
          <w:rPr>
            <w:rStyle w:val="Hyperlink"/>
            <w:rFonts w:cstheme="minorHAnsi"/>
            <w:noProof/>
          </w:rPr>
          <w:t>°</w:t>
        </w:r>
        <w:r w:rsidR="00067A5E" w:rsidRPr="00C515B1">
          <w:rPr>
            <w:rStyle w:val="Hyperlink"/>
            <w:noProof/>
          </w:rPr>
          <w:t>C</w:t>
        </w:r>
        <w:r w:rsidR="00067A5E">
          <w:rPr>
            <w:noProof/>
            <w:webHidden/>
          </w:rPr>
          <w:tab/>
        </w:r>
        <w:r w:rsidR="00067A5E">
          <w:rPr>
            <w:noProof/>
            <w:webHidden/>
          </w:rPr>
          <w:fldChar w:fldCharType="begin"/>
        </w:r>
        <w:r w:rsidR="00067A5E">
          <w:rPr>
            <w:noProof/>
            <w:webHidden/>
          </w:rPr>
          <w:instrText xml:space="preserve"> PAGEREF _Toc69114984 \h </w:instrText>
        </w:r>
        <w:r w:rsidR="00067A5E">
          <w:rPr>
            <w:noProof/>
            <w:webHidden/>
          </w:rPr>
        </w:r>
        <w:r w:rsidR="00067A5E">
          <w:rPr>
            <w:noProof/>
            <w:webHidden/>
          </w:rPr>
          <w:fldChar w:fldCharType="separate"/>
        </w:r>
        <w:r w:rsidR="00067A5E">
          <w:rPr>
            <w:noProof/>
            <w:webHidden/>
          </w:rPr>
          <w:t>110</w:t>
        </w:r>
        <w:r w:rsidR="00067A5E">
          <w:rPr>
            <w:noProof/>
            <w:webHidden/>
          </w:rPr>
          <w:fldChar w:fldCharType="end"/>
        </w:r>
      </w:hyperlink>
    </w:p>
    <w:p w14:paraId="5E91C993" w14:textId="267B0595" w:rsidR="00067A5E" w:rsidRDefault="00B51F53">
      <w:pPr>
        <w:pStyle w:val="TableofFigures"/>
        <w:tabs>
          <w:tab w:val="right" w:leader="dot" w:pos="9016"/>
        </w:tabs>
        <w:rPr>
          <w:rFonts w:eastAsiaTheme="minorEastAsia"/>
          <w:noProof/>
          <w:lang w:eastAsia="en-GB"/>
        </w:rPr>
      </w:pPr>
      <w:hyperlink w:anchor="_Toc69114985" w:history="1">
        <w:r w:rsidR="00067A5E" w:rsidRPr="00C515B1">
          <w:rPr>
            <w:rStyle w:val="Hyperlink"/>
            <w:noProof/>
          </w:rPr>
          <w:t xml:space="preserve">Figure 4.11: Scanning electron microscopy of the surface if the nitrogen-dried Ni-YSZ electrode after a reduction at 350 </w:t>
        </w:r>
        <w:r w:rsidR="00067A5E" w:rsidRPr="00C515B1">
          <w:rPr>
            <w:rStyle w:val="Hyperlink"/>
            <w:rFonts w:cstheme="minorHAnsi"/>
            <w:noProof/>
          </w:rPr>
          <w:t>°</w:t>
        </w:r>
        <w:r w:rsidR="00067A5E" w:rsidRPr="00C515B1">
          <w:rPr>
            <w:rStyle w:val="Hyperlink"/>
            <w:noProof/>
          </w:rPr>
          <w:t>C</w:t>
        </w:r>
        <w:r w:rsidR="00067A5E">
          <w:rPr>
            <w:noProof/>
            <w:webHidden/>
          </w:rPr>
          <w:tab/>
        </w:r>
        <w:r w:rsidR="00067A5E">
          <w:rPr>
            <w:noProof/>
            <w:webHidden/>
          </w:rPr>
          <w:fldChar w:fldCharType="begin"/>
        </w:r>
        <w:r w:rsidR="00067A5E">
          <w:rPr>
            <w:noProof/>
            <w:webHidden/>
          </w:rPr>
          <w:instrText xml:space="preserve"> PAGEREF _Toc69114985 \h </w:instrText>
        </w:r>
        <w:r w:rsidR="00067A5E">
          <w:rPr>
            <w:noProof/>
            <w:webHidden/>
          </w:rPr>
        </w:r>
        <w:r w:rsidR="00067A5E">
          <w:rPr>
            <w:noProof/>
            <w:webHidden/>
          </w:rPr>
          <w:fldChar w:fldCharType="separate"/>
        </w:r>
        <w:r w:rsidR="00067A5E">
          <w:rPr>
            <w:noProof/>
            <w:webHidden/>
          </w:rPr>
          <w:t>111</w:t>
        </w:r>
        <w:r w:rsidR="00067A5E">
          <w:rPr>
            <w:noProof/>
            <w:webHidden/>
          </w:rPr>
          <w:fldChar w:fldCharType="end"/>
        </w:r>
      </w:hyperlink>
    </w:p>
    <w:p w14:paraId="19EEF0F5" w14:textId="739267E6" w:rsidR="00067A5E" w:rsidRDefault="00B51F53">
      <w:pPr>
        <w:pStyle w:val="TableofFigures"/>
        <w:tabs>
          <w:tab w:val="right" w:leader="dot" w:pos="9016"/>
        </w:tabs>
        <w:rPr>
          <w:rFonts w:eastAsiaTheme="minorEastAsia"/>
          <w:noProof/>
          <w:lang w:eastAsia="en-GB"/>
        </w:rPr>
      </w:pPr>
      <w:hyperlink w:anchor="_Toc69114986" w:history="1">
        <w:r w:rsidR="00067A5E" w:rsidRPr="00C515B1">
          <w:rPr>
            <w:rStyle w:val="Hyperlink"/>
            <w:noProof/>
          </w:rPr>
          <w:t xml:space="preserve">Figure 4.12: Scanning electron microscopy of the surface if the air-dried Ni-YSZ electrode aged for 50h in a 800 </w:t>
        </w:r>
        <w:r w:rsidR="00067A5E" w:rsidRPr="00C515B1">
          <w:rPr>
            <w:rStyle w:val="Hyperlink"/>
            <w:rFonts w:cstheme="minorHAnsi"/>
            <w:noProof/>
          </w:rPr>
          <w:t>⁰</w:t>
        </w:r>
        <w:r w:rsidR="00067A5E" w:rsidRPr="00C515B1">
          <w:rPr>
            <w:rStyle w:val="Hyperlink"/>
            <w:noProof/>
          </w:rPr>
          <w:t>C 10 %H</w:t>
        </w:r>
        <w:r w:rsidR="00067A5E" w:rsidRPr="00C515B1">
          <w:rPr>
            <w:rStyle w:val="Hyperlink"/>
            <w:noProof/>
            <w:vertAlign w:val="subscript"/>
          </w:rPr>
          <w:t>2</w:t>
        </w:r>
        <w:r w:rsidR="00067A5E" w:rsidRPr="00C515B1">
          <w:rPr>
            <w:rStyle w:val="Hyperlink"/>
            <w:noProof/>
          </w:rPr>
          <w:t>/N</w:t>
        </w:r>
        <w:r w:rsidR="00067A5E" w:rsidRPr="00C515B1">
          <w:rPr>
            <w:rStyle w:val="Hyperlink"/>
            <w:noProof/>
            <w:vertAlign w:val="subscript"/>
          </w:rPr>
          <w:t>2</w:t>
        </w:r>
        <w:r w:rsidR="00067A5E" w:rsidRPr="00C515B1">
          <w:rPr>
            <w:rStyle w:val="Hyperlink"/>
            <w:noProof/>
          </w:rPr>
          <w:t xml:space="preserve"> atmosphere</w:t>
        </w:r>
        <w:r w:rsidR="00067A5E">
          <w:rPr>
            <w:noProof/>
            <w:webHidden/>
          </w:rPr>
          <w:tab/>
        </w:r>
        <w:r w:rsidR="00067A5E">
          <w:rPr>
            <w:noProof/>
            <w:webHidden/>
          </w:rPr>
          <w:fldChar w:fldCharType="begin"/>
        </w:r>
        <w:r w:rsidR="00067A5E">
          <w:rPr>
            <w:noProof/>
            <w:webHidden/>
          </w:rPr>
          <w:instrText xml:space="preserve"> PAGEREF _Toc69114986 \h </w:instrText>
        </w:r>
        <w:r w:rsidR="00067A5E">
          <w:rPr>
            <w:noProof/>
            <w:webHidden/>
          </w:rPr>
        </w:r>
        <w:r w:rsidR="00067A5E">
          <w:rPr>
            <w:noProof/>
            <w:webHidden/>
          </w:rPr>
          <w:fldChar w:fldCharType="separate"/>
        </w:r>
        <w:r w:rsidR="00067A5E">
          <w:rPr>
            <w:noProof/>
            <w:webHidden/>
          </w:rPr>
          <w:t>111</w:t>
        </w:r>
        <w:r w:rsidR="00067A5E">
          <w:rPr>
            <w:noProof/>
            <w:webHidden/>
          </w:rPr>
          <w:fldChar w:fldCharType="end"/>
        </w:r>
      </w:hyperlink>
    </w:p>
    <w:p w14:paraId="7E9EB7B3" w14:textId="3240D473" w:rsidR="00067A5E" w:rsidRDefault="00B51F53">
      <w:pPr>
        <w:pStyle w:val="TableofFigures"/>
        <w:tabs>
          <w:tab w:val="right" w:leader="dot" w:pos="9016"/>
        </w:tabs>
        <w:rPr>
          <w:rFonts w:eastAsiaTheme="minorEastAsia"/>
          <w:noProof/>
          <w:lang w:eastAsia="en-GB"/>
        </w:rPr>
      </w:pPr>
      <w:hyperlink w:anchor="_Toc69114987" w:history="1">
        <w:r w:rsidR="00067A5E" w:rsidRPr="00C515B1">
          <w:rPr>
            <w:rStyle w:val="Hyperlink"/>
            <w:noProof/>
          </w:rPr>
          <w:t>Figure 4.13: Scanning electron microscopy of the surface if the N</w:t>
        </w:r>
        <w:r w:rsidR="00067A5E" w:rsidRPr="00C515B1">
          <w:rPr>
            <w:rStyle w:val="Hyperlink"/>
            <w:noProof/>
            <w:vertAlign w:val="subscript"/>
          </w:rPr>
          <w:t>2</w:t>
        </w:r>
        <w:r w:rsidR="00067A5E" w:rsidRPr="00C515B1">
          <w:rPr>
            <w:rStyle w:val="Hyperlink"/>
            <w:noProof/>
          </w:rPr>
          <w:t xml:space="preserve">-dried Ni-YSZ electrode aged for 50 h in a 800 </w:t>
        </w:r>
        <w:r w:rsidR="00067A5E" w:rsidRPr="00C515B1">
          <w:rPr>
            <w:rStyle w:val="Hyperlink"/>
            <w:rFonts w:cstheme="minorHAnsi"/>
            <w:noProof/>
          </w:rPr>
          <w:t>⁰</w:t>
        </w:r>
        <w:r w:rsidR="00067A5E" w:rsidRPr="00C515B1">
          <w:rPr>
            <w:rStyle w:val="Hyperlink"/>
            <w:noProof/>
          </w:rPr>
          <w:t>C 10 % H</w:t>
        </w:r>
        <w:r w:rsidR="00067A5E" w:rsidRPr="00C515B1">
          <w:rPr>
            <w:rStyle w:val="Hyperlink"/>
            <w:noProof/>
            <w:vertAlign w:val="subscript"/>
          </w:rPr>
          <w:t>2</w:t>
        </w:r>
        <w:r w:rsidR="00067A5E" w:rsidRPr="00C515B1">
          <w:rPr>
            <w:rStyle w:val="Hyperlink"/>
            <w:noProof/>
          </w:rPr>
          <w:t>/N</w:t>
        </w:r>
        <w:r w:rsidR="00067A5E" w:rsidRPr="00C515B1">
          <w:rPr>
            <w:rStyle w:val="Hyperlink"/>
            <w:noProof/>
            <w:vertAlign w:val="subscript"/>
          </w:rPr>
          <w:t>2</w:t>
        </w:r>
        <w:r w:rsidR="00067A5E" w:rsidRPr="00C515B1">
          <w:rPr>
            <w:rStyle w:val="Hyperlink"/>
            <w:noProof/>
          </w:rPr>
          <w:t xml:space="preserve"> atmosphere</w:t>
        </w:r>
        <w:r w:rsidR="00067A5E">
          <w:rPr>
            <w:noProof/>
            <w:webHidden/>
          </w:rPr>
          <w:tab/>
        </w:r>
        <w:r w:rsidR="00067A5E">
          <w:rPr>
            <w:noProof/>
            <w:webHidden/>
          </w:rPr>
          <w:fldChar w:fldCharType="begin"/>
        </w:r>
        <w:r w:rsidR="00067A5E">
          <w:rPr>
            <w:noProof/>
            <w:webHidden/>
          </w:rPr>
          <w:instrText xml:space="preserve"> PAGEREF _Toc69114987 \h </w:instrText>
        </w:r>
        <w:r w:rsidR="00067A5E">
          <w:rPr>
            <w:noProof/>
            <w:webHidden/>
          </w:rPr>
        </w:r>
        <w:r w:rsidR="00067A5E">
          <w:rPr>
            <w:noProof/>
            <w:webHidden/>
          </w:rPr>
          <w:fldChar w:fldCharType="separate"/>
        </w:r>
        <w:r w:rsidR="00067A5E">
          <w:rPr>
            <w:noProof/>
            <w:webHidden/>
          </w:rPr>
          <w:t>112</w:t>
        </w:r>
        <w:r w:rsidR="00067A5E">
          <w:rPr>
            <w:noProof/>
            <w:webHidden/>
          </w:rPr>
          <w:fldChar w:fldCharType="end"/>
        </w:r>
      </w:hyperlink>
    </w:p>
    <w:p w14:paraId="29FA3FEC" w14:textId="28836D9E" w:rsidR="00067A5E" w:rsidRDefault="00B51F53">
      <w:pPr>
        <w:pStyle w:val="TableofFigures"/>
        <w:tabs>
          <w:tab w:val="right" w:leader="dot" w:pos="9016"/>
        </w:tabs>
        <w:rPr>
          <w:rFonts w:eastAsiaTheme="minorEastAsia"/>
          <w:noProof/>
          <w:lang w:eastAsia="en-GB"/>
        </w:rPr>
      </w:pPr>
      <w:hyperlink w:anchor="_Toc69114988" w:history="1">
        <w:r w:rsidR="00067A5E" w:rsidRPr="00C515B1">
          <w:rPr>
            <w:rStyle w:val="Hyperlink"/>
            <w:noProof/>
          </w:rPr>
          <w:t xml:space="preserve">Figure 4.14: Scanning electron micrograph of the fractured cross section of an infiltrated Ni-YSZ fuel electrode sample (AD) aged for 50 h in an 800 </w:t>
        </w:r>
        <w:r w:rsidR="00067A5E" w:rsidRPr="00C515B1">
          <w:rPr>
            <w:rStyle w:val="Hyperlink"/>
            <w:rFonts w:cstheme="minorHAnsi"/>
            <w:noProof/>
          </w:rPr>
          <w:t>⁰</w:t>
        </w:r>
        <w:r w:rsidR="00067A5E" w:rsidRPr="00C515B1">
          <w:rPr>
            <w:rStyle w:val="Hyperlink"/>
            <w:noProof/>
          </w:rPr>
          <w:t>C 10 % H</w:t>
        </w:r>
        <w:r w:rsidR="00067A5E" w:rsidRPr="00C515B1">
          <w:rPr>
            <w:rStyle w:val="Hyperlink"/>
            <w:noProof/>
            <w:vertAlign w:val="subscript"/>
          </w:rPr>
          <w:t>2</w:t>
        </w:r>
        <w:r w:rsidR="00067A5E" w:rsidRPr="00C515B1">
          <w:rPr>
            <w:rStyle w:val="Hyperlink"/>
            <w:noProof/>
          </w:rPr>
          <w:t>/N</w:t>
        </w:r>
        <w:r w:rsidR="00067A5E" w:rsidRPr="00C515B1">
          <w:rPr>
            <w:rStyle w:val="Hyperlink"/>
            <w:noProof/>
            <w:vertAlign w:val="subscript"/>
          </w:rPr>
          <w:t>2</w:t>
        </w:r>
        <w:r w:rsidR="00067A5E" w:rsidRPr="00C515B1">
          <w:rPr>
            <w:rStyle w:val="Hyperlink"/>
            <w:noProof/>
          </w:rPr>
          <w:t xml:space="preserve"> atmosphere</w:t>
        </w:r>
        <w:r w:rsidR="00067A5E">
          <w:rPr>
            <w:noProof/>
            <w:webHidden/>
          </w:rPr>
          <w:tab/>
        </w:r>
        <w:r w:rsidR="00067A5E">
          <w:rPr>
            <w:noProof/>
            <w:webHidden/>
          </w:rPr>
          <w:fldChar w:fldCharType="begin"/>
        </w:r>
        <w:r w:rsidR="00067A5E">
          <w:rPr>
            <w:noProof/>
            <w:webHidden/>
          </w:rPr>
          <w:instrText xml:space="preserve"> PAGEREF _Toc69114988 \h </w:instrText>
        </w:r>
        <w:r w:rsidR="00067A5E">
          <w:rPr>
            <w:noProof/>
            <w:webHidden/>
          </w:rPr>
        </w:r>
        <w:r w:rsidR="00067A5E">
          <w:rPr>
            <w:noProof/>
            <w:webHidden/>
          </w:rPr>
          <w:fldChar w:fldCharType="separate"/>
        </w:r>
        <w:r w:rsidR="00067A5E">
          <w:rPr>
            <w:noProof/>
            <w:webHidden/>
          </w:rPr>
          <w:t>112</w:t>
        </w:r>
        <w:r w:rsidR="00067A5E">
          <w:rPr>
            <w:noProof/>
            <w:webHidden/>
          </w:rPr>
          <w:fldChar w:fldCharType="end"/>
        </w:r>
      </w:hyperlink>
    </w:p>
    <w:p w14:paraId="0072F7D0" w14:textId="5A45D543" w:rsidR="00067A5E" w:rsidRDefault="00B51F53">
      <w:pPr>
        <w:pStyle w:val="TableofFigures"/>
        <w:tabs>
          <w:tab w:val="right" w:leader="dot" w:pos="9016"/>
        </w:tabs>
        <w:rPr>
          <w:rFonts w:eastAsiaTheme="minorEastAsia"/>
          <w:noProof/>
          <w:lang w:eastAsia="en-GB"/>
        </w:rPr>
      </w:pPr>
      <w:hyperlink w:anchor="_Toc69114989" w:history="1">
        <w:r w:rsidR="00067A5E" w:rsidRPr="00C515B1">
          <w:rPr>
            <w:rStyle w:val="Hyperlink"/>
            <w:noProof/>
          </w:rPr>
          <w:t xml:space="preserve">Figure 4.15: Scanning electron micrograph of the fractured cross section an infiltrated Ni-YSZ fuel electrode sample (ND) aged for 50 h in an 800 </w:t>
        </w:r>
        <w:r w:rsidR="00067A5E" w:rsidRPr="00C515B1">
          <w:rPr>
            <w:rStyle w:val="Hyperlink"/>
            <w:rFonts w:cstheme="minorHAnsi"/>
            <w:noProof/>
          </w:rPr>
          <w:t>⁰</w:t>
        </w:r>
        <w:r w:rsidR="00067A5E" w:rsidRPr="00C515B1">
          <w:rPr>
            <w:rStyle w:val="Hyperlink"/>
            <w:noProof/>
          </w:rPr>
          <w:t>C 10 % H</w:t>
        </w:r>
        <w:r w:rsidR="00067A5E" w:rsidRPr="00C515B1">
          <w:rPr>
            <w:rStyle w:val="Hyperlink"/>
            <w:noProof/>
            <w:vertAlign w:val="subscript"/>
          </w:rPr>
          <w:t>2</w:t>
        </w:r>
        <w:r w:rsidR="00067A5E" w:rsidRPr="00C515B1">
          <w:rPr>
            <w:rStyle w:val="Hyperlink"/>
            <w:noProof/>
          </w:rPr>
          <w:t>/N</w:t>
        </w:r>
        <w:r w:rsidR="00067A5E" w:rsidRPr="00C515B1">
          <w:rPr>
            <w:rStyle w:val="Hyperlink"/>
            <w:noProof/>
            <w:vertAlign w:val="subscript"/>
          </w:rPr>
          <w:t>2</w:t>
        </w:r>
        <w:r w:rsidR="00067A5E" w:rsidRPr="00C515B1">
          <w:rPr>
            <w:rStyle w:val="Hyperlink"/>
            <w:noProof/>
          </w:rPr>
          <w:t xml:space="preserve"> atmosphere</w:t>
        </w:r>
        <w:r w:rsidR="00067A5E">
          <w:rPr>
            <w:noProof/>
            <w:webHidden/>
          </w:rPr>
          <w:tab/>
        </w:r>
        <w:r w:rsidR="00067A5E">
          <w:rPr>
            <w:noProof/>
            <w:webHidden/>
          </w:rPr>
          <w:fldChar w:fldCharType="begin"/>
        </w:r>
        <w:r w:rsidR="00067A5E">
          <w:rPr>
            <w:noProof/>
            <w:webHidden/>
          </w:rPr>
          <w:instrText xml:space="preserve"> PAGEREF _Toc69114989 \h </w:instrText>
        </w:r>
        <w:r w:rsidR="00067A5E">
          <w:rPr>
            <w:noProof/>
            <w:webHidden/>
          </w:rPr>
        </w:r>
        <w:r w:rsidR="00067A5E">
          <w:rPr>
            <w:noProof/>
            <w:webHidden/>
          </w:rPr>
          <w:fldChar w:fldCharType="separate"/>
        </w:r>
        <w:r w:rsidR="00067A5E">
          <w:rPr>
            <w:noProof/>
            <w:webHidden/>
          </w:rPr>
          <w:t>113</w:t>
        </w:r>
        <w:r w:rsidR="00067A5E">
          <w:rPr>
            <w:noProof/>
            <w:webHidden/>
          </w:rPr>
          <w:fldChar w:fldCharType="end"/>
        </w:r>
      </w:hyperlink>
    </w:p>
    <w:p w14:paraId="55998715" w14:textId="1F8B0EED" w:rsidR="00067A5E" w:rsidRDefault="00B51F53">
      <w:pPr>
        <w:pStyle w:val="TableofFigures"/>
        <w:tabs>
          <w:tab w:val="right" w:leader="dot" w:pos="9016"/>
        </w:tabs>
        <w:rPr>
          <w:rFonts w:eastAsiaTheme="minorEastAsia"/>
          <w:noProof/>
          <w:lang w:eastAsia="en-GB"/>
        </w:rPr>
      </w:pPr>
      <w:hyperlink w:anchor="_Toc69114990" w:history="1">
        <w:r w:rsidR="00067A5E" w:rsidRPr="00C515B1">
          <w:rPr>
            <w:rStyle w:val="Hyperlink"/>
            <w:noProof/>
          </w:rPr>
          <w:t>Figure 4.16: Micrographs of a 50h aged Ni-YSZ sample (secondary electron on the left, back-scattered electron on the right)</w:t>
        </w:r>
        <w:r w:rsidR="00067A5E">
          <w:rPr>
            <w:noProof/>
            <w:webHidden/>
          </w:rPr>
          <w:tab/>
        </w:r>
        <w:r w:rsidR="00067A5E">
          <w:rPr>
            <w:noProof/>
            <w:webHidden/>
          </w:rPr>
          <w:fldChar w:fldCharType="begin"/>
        </w:r>
        <w:r w:rsidR="00067A5E">
          <w:rPr>
            <w:noProof/>
            <w:webHidden/>
          </w:rPr>
          <w:instrText xml:space="preserve"> PAGEREF _Toc69114990 \h </w:instrText>
        </w:r>
        <w:r w:rsidR="00067A5E">
          <w:rPr>
            <w:noProof/>
            <w:webHidden/>
          </w:rPr>
        </w:r>
        <w:r w:rsidR="00067A5E">
          <w:rPr>
            <w:noProof/>
            <w:webHidden/>
          </w:rPr>
          <w:fldChar w:fldCharType="separate"/>
        </w:r>
        <w:r w:rsidR="00067A5E">
          <w:rPr>
            <w:noProof/>
            <w:webHidden/>
          </w:rPr>
          <w:t>114</w:t>
        </w:r>
        <w:r w:rsidR="00067A5E">
          <w:rPr>
            <w:noProof/>
            <w:webHidden/>
          </w:rPr>
          <w:fldChar w:fldCharType="end"/>
        </w:r>
      </w:hyperlink>
    </w:p>
    <w:p w14:paraId="7DE00406" w14:textId="48DA1A77" w:rsidR="00067A5E" w:rsidRDefault="00B51F53">
      <w:pPr>
        <w:pStyle w:val="TableofFigures"/>
        <w:tabs>
          <w:tab w:val="right" w:leader="dot" w:pos="9016"/>
        </w:tabs>
        <w:rPr>
          <w:rFonts w:eastAsiaTheme="minorEastAsia"/>
          <w:noProof/>
          <w:lang w:eastAsia="en-GB"/>
        </w:rPr>
      </w:pPr>
      <w:hyperlink w:anchor="_Toc69114991" w:history="1">
        <w:r w:rsidR="00067A5E" w:rsidRPr="00C515B1">
          <w:rPr>
            <w:rStyle w:val="Hyperlink"/>
            <w:noProof/>
          </w:rPr>
          <w:t>Figure 4.17: Normalised Temperature Programmed Reduction profiles of all of the drying and calcination combinations</w:t>
        </w:r>
        <w:r w:rsidR="00067A5E" w:rsidRPr="00C515B1">
          <w:rPr>
            <w:rStyle w:val="Hyperlink"/>
            <w:rFonts w:cstheme="minorHAnsi"/>
            <w:noProof/>
          </w:rPr>
          <w:t xml:space="preserve"> and a 3.0mg NiO calibration sample from JT Baker.</w:t>
        </w:r>
        <w:r w:rsidR="00067A5E">
          <w:rPr>
            <w:noProof/>
            <w:webHidden/>
          </w:rPr>
          <w:tab/>
        </w:r>
        <w:r w:rsidR="00067A5E">
          <w:rPr>
            <w:noProof/>
            <w:webHidden/>
          </w:rPr>
          <w:fldChar w:fldCharType="begin"/>
        </w:r>
        <w:r w:rsidR="00067A5E">
          <w:rPr>
            <w:noProof/>
            <w:webHidden/>
          </w:rPr>
          <w:instrText xml:space="preserve"> PAGEREF _Toc69114991 \h </w:instrText>
        </w:r>
        <w:r w:rsidR="00067A5E">
          <w:rPr>
            <w:noProof/>
            <w:webHidden/>
          </w:rPr>
        </w:r>
        <w:r w:rsidR="00067A5E">
          <w:rPr>
            <w:noProof/>
            <w:webHidden/>
          </w:rPr>
          <w:fldChar w:fldCharType="separate"/>
        </w:r>
        <w:r w:rsidR="00067A5E">
          <w:rPr>
            <w:noProof/>
            <w:webHidden/>
          </w:rPr>
          <w:t>115</w:t>
        </w:r>
        <w:r w:rsidR="00067A5E">
          <w:rPr>
            <w:noProof/>
            <w:webHidden/>
          </w:rPr>
          <w:fldChar w:fldCharType="end"/>
        </w:r>
      </w:hyperlink>
    </w:p>
    <w:p w14:paraId="160745DB" w14:textId="6D49F24B" w:rsidR="00067A5E" w:rsidRDefault="00B51F53">
      <w:pPr>
        <w:pStyle w:val="TableofFigures"/>
        <w:tabs>
          <w:tab w:val="right" w:leader="dot" w:pos="9016"/>
        </w:tabs>
        <w:rPr>
          <w:rFonts w:eastAsiaTheme="minorEastAsia"/>
          <w:noProof/>
          <w:lang w:eastAsia="en-GB"/>
        </w:rPr>
      </w:pPr>
      <w:hyperlink w:anchor="_Toc69114992" w:history="1">
        <w:r w:rsidR="00067A5E" w:rsidRPr="00C515B1">
          <w:rPr>
            <w:rStyle w:val="Hyperlink"/>
            <w:noProof/>
          </w:rPr>
          <w:t>Figure 4.18: Deconvolution of TPR profiles of NiO-YSZ samples using a Gaussian distribution. a. Air Dried Air Calcined, b. Air Dried Nitrogen Calcined, c. Nitrogen Dried Nitrogen Calcined and d. Nitrogen Dried Air Calcined</w:t>
        </w:r>
        <w:r w:rsidR="00067A5E">
          <w:rPr>
            <w:noProof/>
            <w:webHidden/>
          </w:rPr>
          <w:tab/>
        </w:r>
        <w:r w:rsidR="00067A5E">
          <w:rPr>
            <w:noProof/>
            <w:webHidden/>
          </w:rPr>
          <w:fldChar w:fldCharType="begin"/>
        </w:r>
        <w:r w:rsidR="00067A5E">
          <w:rPr>
            <w:noProof/>
            <w:webHidden/>
          </w:rPr>
          <w:instrText xml:space="preserve"> PAGEREF _Toc69114992 \h </w:instrText>
        </w:r>
        <w:r w:rsidR="00067A5E">
          <w:rPr>
            <w:noProof/>
            <w:webHidden/>
          </w:rPr>
        </w:r>
        <w:r w:rsidR="00067A5E">
          <w:rPr>
            <w:noProof/>
            <w:webHidden/>
          </w:rPr>
          <w:fldChar w:fldCharType="separate"/>
        </w:r>
        <w:r w:rsidR="00067A5E">
          <w:rPr>
            <w:noProof/>
            <w:webHidden/>
          </w:rPr>
          <w:t>116</w:t>
        </w:r>
        <w:r w:rsidR="00067A5E">
          <w:rPr>
            <w:noProof/>
            <w:webHidden/>
          </w:rPr>
          <w:fldChar w:fldCharType="end"/>
        </w:r>
      </w:hyperlink>
    </w:p>
    <w:p w14:paraId="300F96C9" w14:textId="4C736491" w:rsidR="00067A5E" w:rsidRDefault="00B51F53">
      <w:pPr>
        <w:pStyle w:val="TableofFigures"/>
        <w:tabs>
          <w:tab w:val="right" w:leader="dot" w:pos="9016"/>
        </w:tabs>
        <w:rPr>
          <w:rFonts w:eastAsiaTheme="minorEastAsia"/>
          <w:noProof/>
          <w:lang w:eastAsia="en-GB"/>
        </w:rPr>
      </w:pPr>
      <w:hyperlink w:anchor="_Toc69114993" w:history="1">
        <w:r w:rsidR="00067A5E" w:rsidRPr="00C515B1">
          <w:rPr>
            <w:rStyle w:val="Hyperlink"/>
            <w:noProof/>
          </w:rPr>
          <w:t>Figure 4.19: Comparison of the impact of ageing time on the crystallite length (in nm) and % dispersion of the Ni in Ni-YSZ fuel electrodes (</w:t>
        </w:r>
        <w:r w:rsidR="00067A5E" w:rsidRPr="00C515B1">
          <w:rPr>
            <w:rStyle w:val="Hyperlink"/>
            <w:b/>
            <w:bCs/>
            <w:noProof/>
          </w:rPr>
          <w:t>ND</w:t>
        </w:r>
        <w:r w:rsidR="00067A5E" w:rsidRPr="00C515B1">
          <w:rPr>
            <w:rStyle w:val="Hyperlink"/>
            <w:noProof/>
          </w:rPr>
          <w:t>).</w:t>
        </w:r>
        <w:r w:rsidR="00067A5E">
          <w:rPr>
            <w:noProof/>
            <w:webHidden/>
          </w:rPr>
          <w:tab/>
        </w:r>
        <w:r w:rsidR="00067A5E">
          <w:rPr>
            <w:noProof/>
            <w:webHidden/>
          </w:rPr>
          <w:fldChar w:fldCharType="begin"/>
        </w:r>
        <w:r w:rsidR="00067A5E">
          <w:rPr>
            <w:noProof/>
            <w:webHidden/>
          </w:rPr>
          <w:instrText xml:space="preserve"> PAGEREF _Toc69114993 \h </w:instrText>
        </w:r>
        <w:r w:rsidR="00067A5E">
          <w:rPr>
            <w:noProof/>
            <w:webHidden/>
          </w:rPr>
        </w:r>
        <w:r w:rsidR="00067A5E">
          <w:rPr>
            <w:noProof/>
            <w:webHidden/>
          </w:rPr>
          <w:fldChar w:fldCharType="separate"/>
        </w:r>
        <w:r w:rsidR="00067A5E">
          <w:rPr>
            <w:noProof/>
            <w:webHidden/>
          </w:rPr>
          <w:t>117</w:t>
        </w:r>
        <w:r w:rsidR="00067A5E">
          <w:rPr>
            <w:noProof/>
            <w:webHidden/>
          </w:rPr>
          <w:fldChar w:fldCharType="end"/>
        </w:r>
      </w:hyperlink>
    </w:p>
    <w:p w14:paraId="611867A5" w14:textId="154F008A" w:rsidR="00067A5E" w:rsidRDefault="00B51F53">
      <w:pPr>
        <w:pStyle w:val="TableofFigures"/>
        <w:tabs>
          <w:tab w:val="right" w:leader="dot" w:pos="9016"/>
        </w:tabs>
        <w:rPr>
          <w:rFonts w:eastAsiaTheme="minorEastAsia"/>
          <w:noProof/>
          <w:lang w:eastAsia="en-GB"/>
        </w:rPr>
      </w:pPr>
      <w:hyperlink w:anchor="_Toc69114994" w:history="1">
        <w:r w:rsidR="00067A5E" w:rsidRPr="00C515B1">
          <w:rPr>
            <w:rStyle w:val="Hyperlink"/>
            <w:noProof/>
          </w:rPr>
          <w:t>Figure 4.20: Series resistance for infiltrated Ni-YSZ samples dried under different atmospheres across 50h of ageing. The filled markers denote that the sample was dried in air (AD), non-filled markers (ND).</w:t>
        </w:r>
        <w:r w:rsidR="00067A5E">
          <w:rPr>
            <w:noProof/>
            <w:webHidden/>
          </w:rPr>
          <w:tab/>
        </w:r>
        <w:r w:rsidR="00067A5E">
          <w:rPr>
            <w:noProof/>
            <w:webHidden/>
          </w:rPr>
          <w:fldChar w:fldCharType="begin"/>
        </w:r>
        <w:r w:rsidR="00067A5E">
          <w:rPr>
            <w:noProof/>
            <w:webHidden/>
          </w:rPr>
          <w:instrText xml:space="preserve"> PAGEREF _Toc69114994 \h </w:instrText>
        </w:r>
        <w:r w:rsidR="00067A5E">
          <w:rPr>
            <w:noProof/>
            <w:webHidden/>
          </w:rPr>
        </w:r>
        <w:r w:rsidR="00067A5E">
          <w:rPr>
            <w:noProof/>
            <w:webHidden/>
          </w:rPr>
          <w:fldChar w:fldCharType="separate"/>
        </w:r>
        <w:r w:rsidR="00067A5E">
          <w:rPr>
            <w:noProof/>
            <w:webHidden/>
          </w:rPr>
          <w:t>118</w:t>
        </w:r>
        <w:r w:rsidR="00067A5E">
          <w:rPr>
            <w:noProof/>
            <w:webHidden/>
          </w:rPr>
          <w:fldChar w:fldCharType="end"/>
        </w:r>
      </w:hyperlink>
    </w:p>
    <w:p w14:paraId="004D21DA" w14:textId="2D17F170" w:rsidR="00067A5E" w:rsidRDefault="00B51F53">
      <w:pPr>
        <w:pStyle w:val="TableofFigures"/>
        <w:tabs>
          <w:tab w:val="right" w:leader="dot" w:pos="9016"/>
        </w:tabs>
        <w:rPr>
          <w:rFonts w:eastAsiaTheme="minorEastAsia"/>
          <w:noProof/>
          <w:lang w:eastAsia="en-GB"/>
        </w:rPr>
      </w:pPr>
      <w:hyperlink w:anchor="_Toc69114995" w:history="1">
        <w:r w:rsidR="00067A5E" w:rsidRPr="00C515B1">
          <w:rPr>
            <w:rStyle w:val="Hyperlink"/>
            <w:noProof/>
          </w:rPr>
          <w:t>Figure 4.21: Polarisation resistance for infiltrated Ni-YSZ samples dried under different atmospheres across 50h of ageing. The filled markers denote that the sample was dried in air (AD), non-filled markers (ND).</w:t>
        </w:r>
        <w:r w:rsidR="00067A5E">
          <w:rPr>
            <w:noProof/>
            <w:webHidden/>
          </w:rPr>
          <w:tab/>
        </w:r>
        <w:r w:rsidR="00067A5E">
          <w:rPr>
            <w:noProof/>
            <w:webHidden/>
          </w:rPr>
          <w:fldChar w:fldCharType="begin"/>
        </w:r>
        <w:r w:rsidR="00067A5E">
          <w:rPr>
            <w:noProof/>
            <w:webHidden/>
          </w:rPr>
          <w:instrText xml:space="preserve"> PAGEREF _Toc69114995 \h </w:instrText>
        </w:r>
        <w:r w:rsidR="00067A5E">
          <w:rPr>
            <w:noProof/>
            <w:webHidden/>
          </w:rPr>
        </w:r>
        <w:r w:rsidR="00067A5E">
          <w:rPr>
            <w:noProof/>
            <w:webHidden/>
          </w:rPr>
          <w:fldChar w:fldCharType="separate"/>
        </w:r>
        <w:r w:rsidR="00067A5E">
          <w:rPr>
            <w:noProof/>
            <w:webHidden/>
          </w:rPr>
          <w:t>118</w:t>
        </w:r>
        <w:r w:rsidR="00067A5E">
          <w:rPr>
            <w:noProof/>
            <w:webHidden/>
          </w:rPr>
          <w:fldChar w:fldCharType="end"/>
        </w:r>
      </w:hyperlink>
    </w:p>
    <w:p w14:paraId="2A1853CE" w14:textId="189C8BD7" w:rsidR="00067A5E" w:rsidRDefault="00B51F53">
      <w:pPr>
        <w:pStyle w:val="TableofFigures"/>
        <w:tabs>
          <w:tab w:val="right" w:leader="dot" w:pos="9016"/>
        </w:tabs>
        <w:rPr>
          <w:rFonts w:eastAsiaTheme="minorEastAsia"/>
          <w:noProof/>
          <w:lang w:eastAsia="en-GB"/>
        </w:rPr>
      </w:pPr>
      <w:hyperlink w:anchor="_Toc69114996" w:history="1">
        <w:r w:rsidR="00067A5E" w:rsidRPr="00C515B1">
          <w:rPr>
            <w:rStyle w:val="Hyperlink"/>
            <w:noProof/>
          </w:rPr>
          <w:t>Figure 4.22: Scatter graph detailing the evolution of the series and polarisation resistance of a YSZ electrolyte pellet over 50h of ageing at 800</w:t>
        </w:r>
        <w:r w:rsidR="00067A5E" w:rsidRPr="00C515B1">
          <w:rPr>
            <w:rStyle w:val="Hyperlink"/>
            <w:rFonts w:cstheme="minorHAnsi"/>
            <w:noProof/>
          </w:rPr>
          <w:t>°</w:t>
        </w:r>
        <w:r w:rsidR="00067A5E" w:rsidRPr="00C515B1">
          <w:rPr>
            <w:rStyle w:val="Hyperlink"/>
            <w:noProof/>
          </w:rPr>
          <w:t>C using a NiO current collector. The black series denotes the series resistance and the red polarisation resistance respectively</w:t>
        </w:r>
        <w:r w:rsidR="00067A5E">
          <w:rPr>
            <w:noProof/>
            <w:webHidden/>
          </w:rPr>
          <w:tab/>
        </w:r>
        <w:r w:rsidR="00067A5E">
          <w:rPr>
            <w:noProof/>
            <w:webHidden/>
          </w:rPr>
          <w:fldChar w:fldCharType="begin"/>
        </w:r>
        <w:r w:rsidR="00067A5E">
          <w:rPr>
            <w:noProof/>
            <w:webHidden/>
          </w:rPr>
          <w:instrText xml:space="preserve"> PAGEREF _Toc69114996 \h </w:instrText>
        </w:r>
        <w:r w:rsidR="00067A5E">
          <w:rPr>
            <w:noProof/>
            <w:webHidden/>
          </w:rPr>
        </w:r>
        <w:r w:rsidR="00067A5E">
          <w:rPr>
            <w:noProof/>
            <w:webHidden/>
          </w:rPr>
          <w:fldChar w:fldCharType="separate"/>
        </w:r>
        <w:r w:rsidR="00067A5E">
          <w:rPr>
            <w:noProof/>
            <w:webHidden/>
          </w:rPr>
          <w:t>119</w:t>
        </w:r>
        <w:r w:rsidR="00067A5E">
          <w:rPr>
            <w:noProof/>
            <w:webHidden/>
          </w:rPr>
          <w:fldChar w:fldCharType="end"/>
        </w:r>
      </w:hyperlink>
    </w:p>
    <w:p w14:paraId="0253D4BE" w14:textId="2DDA019B" w:rsidR="00067A5E" w:rsidRDefault="00B51F53">
      <w:pPr>
        <w:pStyle w:val="TableofFigures"/>
        <w:tabs>
          <w:tab w:val="right" w:leader="dot" w:pos="9016"/>
        </w:tabs>
        <w:rPr>
          <w:rFonts w:eastAsiaTheme="minorEastAsia"/>
          <w:noProof/>
          <w:lang w:eastAsia="en-GB"/>
        </w:rPr>
      </w:pPr>
      <w:hyperlink w:anchor="_Toc69114997" w:history="1">
        <w:r w:rsidR="00067A5E" w:rsidRPr="00C515B1">
          <w:rPr>
            <w:rStyle w:val="Hyperlink"/>
            <w:noProof/>
          </w:rPr>
          <w:t>Figure 4.23: Series resistance for infiltrated Ni-YSZ samples across 50h of ageing. The filled markers denote that the sample was dried in air (AD), non-filled markers (ND). The diamond marker shape shows that the sample was calcined in air (AC) and the square calcined in (NC) respectively</w:t>
        </w:r>
        <w:r w:rsidR="00067A5E">
          <w:rPr>
            <w:noProof/>
            <w:webHidden/>
          </w:rPr>
          <w:tab/>
        </w:r>
        <w:r w:rsidR="00067A5E">
          <w:rPr>
            <w:noProof/>
            <w:webHidden/>
          </w:rPr>
          <w:fldChar w:fldCharType="begin"/>
        </w:r>
        <w:r w:rsidR="00067A5E">
          <w:rPr>
            <w:noProof/>
            <w:webHidden/>
          </w:rPr>
          <w:instrText xml:space="preserve"> PAGEREF _Toc69114997 \h </w:instrText>
        </w:r>
        <w:r w:rsidR="00067A5E">
          <w:rPr>
            <w:noProof/>
            <w:webHidden/>
          </w:rPr>
        </w:r>
        <w:r w:rsidR="00067A5E">
          <w:rPr>
            <w:noProof/>
            <w:webHidden/>
          </w:rPr>
          <w:fldChar w:fldCharType="separate"/>
        </w:r>
        <w:r w:rsidR="00067A5E">
          <w:rPr>
            <w:noProof/>
            <w:webHidden/>
          </w:rPr>
          <w:t>119</w:t>
        </w:r>
        <w:r w:rsidR="00067A5E">
          <w:rPr>
            <w:noProof/>
            <w:webHidden/>
          </w:rPr>
          <w:fldChar w:fldCharType="end"/>
        </w:r>
      </w:hyperlink>
    </w:p>
    <w:p w14:paraId="651522C9" w14:textId="59F42647" w:rsidR="00067A5E" w:rsidRDefault="00B51F53">
      <w:pPr>
        <w:pStyle w:val="TableofFigures"/>
        <w:tabs>
          <w:tab w:val="right" w:leader="dot" w:pos="9016"/>
        </w:tabs>
        <w:rPr>
          <w:rFonts w:eastAsiaTheme="minorEastAsia"/>
          <w:noProof/>
          <w:lang w:eastAsia="en-GB"/>
        </w:rPr>
      </w:pPr>
      <w:hyperlink w:anchor="_Toc69114998" w:history="1">
        <w:r w:rsidR="00067A5E" w:rsidRPr="00C515B1">
          <w:rPr>
            <w:rStyle w:val="Hyperlink"/>
            <w:noProof/>
          </w:rPr>
          <w:t>Figure 4.24: Polarisation resistance for infiltrated Ni-YSZ samples across 50h of ageing. The filled markers denote that the sample was dried in air (AD), non-filled markers (ND). The diamond marker shape shows that the sample was calcined in air (AC) and the square calcined in (NC) respectively</w:t>
        </w:r>
        <w:r w:rsidR="00067A5E">
          <w:rPr>
            <w:noProof/>
            <w:webHidden/>
          </w:rPr>
          <w:tab/>
        </w:r>
        <w:r w:rsidR="00067A5E">
          <w:rPr>
            <w:noProof/>
            <w:webHidden/>
          </w:rPr>
          <w:fldChar w:fldCharType="begin"/>
        </w:r>
        <w:r w:rsidR="00067A5E">
          <w:rPr>
            <w:noProof/>
            <w:webHidden/>
          </w:rPr>
          <w:instrText xml:space="preserve"> PAGEREF _Toc69114998 \h </w:instrText>
        </w:r>
        <w:r w:rsidR="00067A5E">
          <w:rPr>
            <w:noProof/>
            <w:webHidden/>
          </w:rPr>
        </w:r>
        <w:r w:rsidR="00067A5E">
          <w:rPr>
            <w:noProof/>
            <w:webHidden/>
          </w:rPr>
          <w:fldChar w:fldCharType="separate"/>
        </w:r>
        <w:r w:rsidR="00067A5E">
          <w:rPr>
            <w:noProof/>
            <w:webHidden/>
          </w:rPr>
          <w:t>120</w:t>
        </w:r>
        <w:r w:rsidR="00067A5E">
          <w:rPr>
            <w:noProof/>
            <w:webHidden/>
          </w:rPr>
          <w:fldChar w:fldCharType="end"/>
        </w:r>
      </w:hyperlink>
    </w:p>
    <w:p w14:paraId="76E467D6" w14:textId="291CF44E" w:rsidR="00067A5E" w:rsidRDefault="00B51F53">
      <w:pPr>
        <w:pStyle w:val="TableofFigures"/>
        <w:tabs>
          <w:tab w:val="right" w:leader="dot" w:pos="9016"/>
        </w:tabs>
        <w:rPr>
          <w:rFonts w:eastAsiaTheme="minorEastAsia"/>
          <w:noProof/>
          <w:lang w:eastAsia="en-GB"/>
        </w:rPr>
      </w:pPr>
      <w:hyperlink w:anchor="_Toc69114999" w:history="1">
        <w:r w:rsidR="00067A5E" w:rsidRPr="00C515B1">
          <w:rPr>
            <w:rStyle w:val="Hyperlink"/>
            <w:noProof/>
          </w:rPr>
          <w:t xml:space="preserve">Figure 4.25: Nyquist plot detailing the evolution of the Z’ and Z’’ of the </w:t>
        </w:r>
        <w:r w:rsidR="00067A5E" w:rsidRPr="00C515B1">
          <w:rPr>
            <w:rStyle w:val="Hyperlink"/>
            <w:b/>
            <w:bCs/>
            <w:noProof/>
          </w:rPr>
          <w:t>ND AC</w:t>
        </w:r>
        <w:r w:rsidR="00067A5E" w:rsidRPr="00C515B1">
          <w:rPr>
            <w:rStyle w:val="Hyperlink"/>
            <w:noProof/>
          </w:rPr>
          <w:t xml:space="preserve"> sample over 50h of ageing time. The blocked points indicate frequency increments between 10</w:t>
        </w:r>
        <w:r w:rsidR="00067A5E" w:rsidRPr="00C515B1">
          <w:rPr>
            <w:rStyle w:val="Hyperlink"/>
            <w:noProof/>
            <w:vertAlign w:val="superscript"/>
          </w:rPr>
          <w:t>-1</w:t>
        </w:r>
        <w:r w:rsidR="00067A5E" w:rsidRPr="00C515B1">
          <w:rPr>
            <w:rStyle w:val="Hyperlink"/>
            <w:noProof/>
          </w:rPr>
          <w:t xml:space="preserve"> – 10</w:t>
        </w:r>
        <w:r w:rsidR="00067A5E" w:rsidRPr="00C515B1">
          <w:rPr>
            <w:rStyle w:val="Hyperlink"/>
            <w:noProof/>
            <w:vertAlign w:val="superscript"/>
          </w:rPr>
          <w:t>4</w:t>
        </w:r>
        <w:r w:rsidR="00067A5E" w:rsidRPr="00C515B1">
          <w:rPr>
            <w:rStyle w:val="Hyperlink"/>
            <w:noProof/>
          </w:rPr>
          <w:t xml:space="preserve"> Hz</w:t>
        </w:r>
        <w:r w:rsidR="00067A5E">
          <w:rPr>
            <w:noProof/>
            <w:webHidden/>
          </w:rPr>
          <w:tab/>
        </w:r>
        <w:r w:rsidR="00067A5E">
          <w:rPr>
            <w:noProof/>
            <w:webHidden/>
          </w:rPr>
          <w:fldChar w:fldCharType="begin"/>
        </w:r>
        <w:r w:rsidR="00067A5E">
          <w:rPr>
            <w:noProof/>
            <w:webHidden/>
          </w:rPr>
          <w:instrText xml:space="preserve"> PAGEREF _Toc69114999 \h </w:instrText>
        </w:r>
        <w:r w:rsidR="00067A5E">
          <w:rPr>
            <w:noProof/>
            <w:webHidden/>
          </w:rPr>
        </w:r>
        <w:r w:rsidR="00067A5E">
          <w:rPr>
            <w:noProof/>
            <w:webHidden/>
          </w:rPr>
          <w:fldChar w:fldCharType="separate"/>
        </w:r>
        <w:r w:rsidR="00067A5E">
          <w:rPr>
            <w:noProof/>
            <w:webHidden/>
          </w:rPr>
          <w:t>121</w:t>
        </w:r>
        <w:r w:rsidR="00067A5E">
          <w:rPr>
            <w:noProof/>
            <w:webHidden/>
          </w:rPr>
          <w:fldChar w:fldCharType="end"/>
        </w:r>
      </w:hyperlink>
    </w:p>
    <w:p w14:paraId="33708663" w14:textId="3A4A232E" w:rsidR="00067A5E" w:rsidRDefault="00B51F53">
      <w:pPr>
        <w:pStyle w:val="TableofFigures"/>
        <w:tabs>
          <w:tab w:val="right" w:leader="dot" w:pos="9016"/>
        </w:tabs>
        <w:rPr>
          <w:rFonts w:eastAsiaTheme="minorEastAsia"/>
          <w:noProof/>
          <w:lang w:eastAsia="en-GB"/>
        </w:rPr>
      </w:pPr>
      <w:hyperlink w:anchor="_Toc69115000" w:history="1">
        <w:r w:rsidR="00067A5E" w:rsidRPr="00C515B1">
          <w:rPr>
            <w:rStyle w:val="Hyperlink"/>
            <w:noProof/>
          </w:rPr>
          <w:t>Figure 4.26: Nyquist plot detailing the evolution of the Z’ and Z’’ of the ND NC sample over 50h of ageing time. The blocked points indicate frequency increments between 10</w:t>
        </w:r>
        <w:r w:rsidR="00067A5E" w:rsidRPr="00C515B1">
          <w:rPr>
            <w:rStyle w:val="Hyperlink"/>
            <w:noProof/>
            <w:vertAlign w:val="superscript"/>
          </w:rPr>
          <w:t>-1</w:t>
        </w:r>
        <w:r w:rsidR="00067A5E" w:rsidRPr="00C515B1">
          <w:rPr>
            <w:rStyle w:val="Hyperlink"/>
            <w:noProof/>
          </w:rPr>
          <w:t xml:space="preserve"> – 10</w:t>
        </w:r>
        <w:r w:rsidR="00067A5E" w:rsidRPr="00C515B1">
          <w:rPr>
            <w:rStyle w:val="Hyperlink"/>
            <w:noProof/>
            <w:vertAlign w:val="superscript"/>
          </w:rPr>
          <w:t>4</w:t>
        </w:r>
        <w:r w:rsidR="00067A5E" w:rsidRPr="00C515B1">
          <w:rPr>
            <w:rStyle w:val="Hyperlink"/>
            <w:noProof/>
          </w:rPr>
          <w:t xml:space="preserve"> Hz</w:t>
        </w:r>
        <w:r w:rsidR="00067A5E">
          <w:rPr>
            <w:noProof/>
            <w:webHidden/>
          </w:rPr>
          <w:tab/>
        </w:r>
        <w:r w:rsidR="00067A5E">
          <w:rPr>
            <w:noProof/>
            <w:webHidden/>
          </w:rPr>
          <w:fldChar w:fldCharType="begin"/>
        </w:r>
        <w:r w:rsidR="00067A5E">
          <w:rPr>
            <w:noProof/>
            <w:webHidden/>
          </w:rPr>
          <w:instrText xml:space="preserve"> PAGEREF _Toc69115000 \h </w:instrText>
        </w:r>
        <w:r w:rsidR="00067A5E">
          <w:rPr>
            <w:noProof/>
            <w:webHidden/>
          </w:rPr>
        </w:r>
        <w:r w:rsidR="00067A5E">
          <w:rPr>
            <w:noProof/>
            <w:webHidden/>
          </w:rPr>
          <w:fldChar w:fldCharType="separate"/>
        </w:r>
        <w:r w:rsidR="00067A5E">
          <w:rPr>
            <w:noProof/>
            <w:webHidden/>
          </w:rPr>
          <w:t>121</w:t>
        </w:r>
        <w:r w:rsidR="00067A5E">
          <w:rPr>
            <w:noProof/>
            <w:webHidden/>
          </w:rPr>
          <w:fldChar w:fldCharType="end"/>
        </w:r>
      </w:hyperlink>
    </w:p>
    <w:p w14:paraId="7EE0515D" w14:textId="583D84B3" w:rsidR="00067A5E" w:rsidRDefault="00B51F53">
      <w:pPr>
        <w:pStyle w:val="TableofFigures"/>
        <w:tabs>
          <w:tab w:val="right" w:leader="dot" w:pos="9016"/>
        </w:tabs>
        <w:rPr>
          <w:rFonts w:eastAsiaTheme="minorEastAsia"/>
          <w:noProof/>
          <w:lang w:eastAsia="en-GB"/>
        </w:rPr>
      </w:pPr>
      <w:hyperlink w:anchor="_Toc69115001" w:history="1">
        <w:r w:rsidR="00067A5E" w:rsidRPr="00C515B1">
          <w:rPr>
            <w:rStyle w:val="Hyperlink"/>
            <w:noProof/>
          </w:rPr>
          <w:t>Figure 4.27: Nyquist plot detailing the evolution of the Z’ and Z’’ of the AD AC sample over 50h of ageing time. The blocked points indicate frequency increments between 10</w:t>
        </w:r>
        <w:r w:rsidR="00067A5E" w:rsidRPr="00C515B1">
          <w:rPr>
            <w:rStyle w:val="Hyperlink"/>
            <w:noProof/>
            <w:vertAlign w:val="superscript"/>
          </w:rPr>
          <w:t>-1</w:t>
        </w:r>
        <w:r w:rsidR="00067A5E" w:rsidRPr="00C515B1">
          <w:rPr>
            <w:rStyle w:val="Hyperlink"/>
            <w:noProof/>
          </w:rPr>
          <w:t xml:space="preserve"> – 10</w:t>
        </w:r>
        <w:r w:rsidR="00067A5E" w:rsidRPr="00C515B1">
          <w:rPr>
            <w:rStyle w:val="Hyperlink"/>
            <w:noProof/>
            <w:vertAlign w:val="superscript"/>
          </w:rPr>
          <w:t>4</w:t>
        </w:r>
        <w:r w:rsidR="00067A5E" w:rsidRPr="00C515B1">
          <w:rPr>
            <w:rStyle w:val="Hyperlink"/>
            <w:noProof/>
          </w:rPr>
          <w:t xml:space="preserve"> Hz</w:t>
        </w:r>
        <w:r w:rsidR="00067A5E">
          <w:rPr>
            <w:noProof/>
            <w:webHidden/>
          </w:rPr>
          <w:tab/>
        </w:r>
        <w:r w:rsidR="00067A5E">
          <w:rPr>
            <w:noProof/>
            <w:webHidden/>
          </w:rPr>
          <w:fldChar w:fldCharType="begin"/>
        </w:r>
        <w:r w:rsidR="00067A5E">
          <w:rPr>
            <w:noProof/>
            <w:webHidden/>
          </w:rPr>
          <w:instrText xml:space="preserve"> PAGEREF _Toc69115001 \h </w:instrText>
        </w:r>
        <w:r w:rsidR="00067A5E">
          <w:rPr>
            <w:noProof/>
            <w:webHidden/>
          </w:rPr>
        </w:r>
        <w:r w:rsidR="00067A5E">
          <w:rPr>
            <w:noProof/>
            <w:webHidden/>
          </w:rPr>
          <w:fldChar w:fldCharType="separate"/>
        </w:r>
        <w:r w:rsidR="00067A5E">
          <w:rPr>
            <w:noProof/>
            <w:webHidden/>
          </w:rPr>
          <w:t>122</w:t>
        </w:r>
        <w:r w:rsidR="00067A5E">
          <w:rPr>
            <w:noProof/>
            <w:webHidden/>
          </w:rPr>
          <w:fldChar w:fldCharType="end"/>
        </w:r>
      </w:hyperlink>
    </w:p>
    <w:p w14:paraId="7E9E4EF9" w14:textId="402AA4AE" w:rsidR="00067A5E" w:rsidRDefault="00B51F53">
      <w:pPr>
        <w:pStyle w:val="TableofFigures"/>
        <w:tabs>
          <w:tab w:val="right" w:leader="dot" w:pos="9016"/>
        </w:tabs>
        <w:rPr>
          <w:rFonts w:eastAsiaTheme="minorEastAsia"/>
          <w:noProof/>
          <w:lang w:eastAsia="en-GB"/>
        </w:rPr>
      </w:pPr>
      <w:hyperlink w:anchor="_Toc69115002" w:history="1">
        <w:r w:rsidR="00067A5E" w:rsidRPr="00C515B1">
          <w:rPr>
            <w:rStyle w:val="Hyperlink"/>
            <w:noProof/>
          </w:rPr>
          <w:t xml:space="preserve">Figure 4.28: Nyquist plot detailing the evolution of the Z’ and Z’’ of the </w:t>
        </w:r>
        <w:r w:rsidR="00067A5E" w:rsidRPr="00C515B1">
          <w:rPr>
            <w:rStyle w:val="Hyperlink"/>
            <w:b/>
            <w:bCs/>
            <w:noProof/>
          </w:rPr>
          <w:t>AD NC</w:t>
        </w:r>
        <w:r w:rsidR="00067A5E" w:rsidRPr="00C515B1">
          <w:rPr>
            <w:rStyle w:val="Hyperlink"/>
            <w:noProof/>
          </w:rPr>
          <w:t xml:space="preserve"> sample over 50h of ageing time. The blocked points indicate frequency increments between 10</w:t>
        </w:r>
        <w:r w:rsidR="00067A5E" w:rsidRPr="00C515B1">
          <w:rPr>
            <w:rStyle w:val="Hyperlink"/>
            <w:noProof/>
            <w:vertAlign w:val="superscript"/>
          </w:rPr>
          <w:t>-1</w:t>
        </w:r>
        <w:r w:rsidR="00067A5E" w:rsidRPr="00C515B1">
          <w:rPr>
            <w:rStyle w:val="Hyperlink"/>
            <w:noProof/>
          </w:rPr>
          <w:t xml:space="preserve"> – 10</w:t>
        </w:r>
        <w:r w:rsidR="00067A5E" w:rsidRPr="00C515B1">
          <w:rPr>
            <w:rStyle w:val="Hyperlink"/>
            <w:noProof/>
            <w:vertAlign w:val="superscript"/>
          </w:rPr>
          <w:t>4</w:t>
        </w:r>
        <w:r w:rsidR="00067A5E" w:rsidRPr="00C515B1">
          <w:rPr>
            <w:rStyle w:val="Hyperlink"/>
            <w:noProof/>
          </w:rPr>
          <w:t xml:space="preserve"> Hz</w:t>
        </w:r>
        <w:r w:rsidR="00067A5E">
          <w:rPr>
            <w:noProof/>
            <w:webHidden/>
          </w:rPr>
          <w:tab/>
        </w:r>
        <w:r w:rsidR="00067A5E">
          <w:rPr>
            <w:noProof/>
            <w:webHidden/>
          </w:rPr>
          <w:fldChar w:fldCharType="begin"/>
        </w:r>
        <w:r w:rsidR="00067A5E">
          <w:rPr>
            <w:noProof/>
            <w:webHidden/>
          </w:rPr>
          <w:instrText xml:space="preserve"> PAGEREF _Toc69115002 \h </w:instrText>
        </w:r>
        <w:r w:rsidR="00067A5E">
          <w:rPr>
            <w:noProof/>
            <w:webHidden/>
          </w:rPr>
        </w:r>
        <w:r w:rsidR="00067A5E">
          <w:rPr>
            <w:noProof/>
            <w:webHidden/>
          </w:rPr>
          <w:fldChar w:fldCharType="separate"/>
        </w:r>
        <w:r w:rsidR="00067A5E">
          <w:rPr>
            <w:noProof/>
            <w:webHidden/>
          </w:rPr>
          <w:t>122</w:t>
        </w:r>
        <w:r w:rsidR="00067A5E">
          <w:rPr>
            <w:noProof/>
            <w:webHidden/>
          </w:rPr>
          <w:fldChar w:fldCharType="end"/>
        </w:r>
      </w:hyperlink>
    </w:p>
    <w:p w14:paraId="1A489FC5" w14:textId="3E7009C4" w:rsidR="00067A5E" w:rsidRDefault="00B51F53">
      <w:pPr>
        <w:pStyle w:val="TableofFigures"/>
        <w:tabs>
          <w:tab w:val="right" w:leader="dot" w:pos="9016"/>
        </w:tabs>
        <w:rPr>
          <w:rFonts w:eastAsiaTheme="minorEastAsia"/>
          <w:noProof/>
          <w:lang w:eastAsia="en-GB"/>
        </w:rPr>
      </w:pPr>
      <w:hyperlink w:anchor="_Toc69115003" w:history="1">
        <w:r w:rsidR="00067A5E" w:rsidRPr="00C515B1">
          <w:rPr>
            <w:rStyle w:val="Hyperlink"/>
            <w:noProof/>
          </w:rPr>
          <w:t>Figure 4.29: Bar chart showing the change in the polarisation resistance, Rp of the infiltrated NI-YSZ samples after 10h and 50h ageing time</w:t>
        </w:r>
        <w:r w:rsidR="00067A5E">
          <w:rPr>
            <w:noProof/>
            <w:webHidden/>
          </w:rPr>
          <w:tab/>
        </w:r>
        <w:r w:rsidR="00067A5E">
          <w:rPr>
            <w:noProof/>
            <w:webHidden/>
          </w:rPr>
          <w:fldChar w:fldCharType="begin"/>
        </w:r>
        <w:r w:rsidR="00067A5E">
          <w:rPr>
            <w:noProof/>
            <w:webHidden/>
          </w:rPr>
          <w:instrText xml:space="preserve"> PAGEREF _Toc69115003 \h </w:instrText>
        </w:r>
        <w:r w:rsidR="00067A5E">
          <w:rPr>
            <w:noProof/>
            <w:webHidden/>
          </w:rPr>
        </w:r>
        <w:r w:rsidR="00067A5E">
          <w:rPr>
            <w:noProof/>
            <w:webHidden/>
          </w:rPr>
          <w:fldChar w:fldCharType="separate"/>
        </w:r>
        <w:r w:rsidR="00067A5E">
          <w:rPr>
            <w:noProof/>
            <w:webHidden/>
          </w:rPr>
          <w:t>123</w:t>
        </w:r>
        <w:r w:rsidR="00067A5E">
          <w:rPr>
            <w:noProof/>
            <w:webHidden/>
          </w:rPr>
          <w:fldChar w:fldCharType="end"/>
        </w:r>
      </w:hyperlink>
    </w:p>
    <w:p w14:paraId="6F25FF09" w14:textId="39D8F4D6" w:rsidR="00067A5E" w:rsidRDefault="00B51F53">
      <w:pPr>
        <w:pStyle w:val="TableofFigures"/>
        <w:tabs>
          <w:tab w:val="right" w:leader="dot" w:pos="9016"/>
        </w:tabs>
        <w:rPr>
          <w:rFonts w:eastAsiaTheme="minorEastAsia"/>
          <w:noProof/>
          <w:lang w:eastAsia="en-GB"/>
        </w:rPr>
      </w:pPr>
      <w:hyperlink w:anchor="_Toc69115004" w:history="1">
        <w:r w:rsidR="00067A5E" w:rsidRPr="00C515B1">
          <w:rPr>
            <w:rStyle w:val="Hyperlink"/>
            <w:noProof/>
          </w:rPr>
          <w:t>Figure 4.30: Equivalent circuit used for the first fitting of the EIS data for the infiltrated Ni-YSZ symmetric cells utilising a resistor Rs and an RQ component [130], [131], [233], [354]</w:t>
        </w:r>
        <w:r w:rsidR="00067A5E">
          <w:rPr>
            <w:noProof/>
            <w:webHidden/>
          </w:rPr>
          <w:tab/>
        </w:r>
        <w:r w:rsidR="00067A5E">
          <w:rPr>
            <w:noProof/>
            <w:webHidden/>
          </w:rPr>
          <w:fldChar w:fldCharType="begin"/>
        </w:r>
        <w:r w:rsidR="00067A5E">
          <w:rPr>
            <w:noProof/>
            <w:webHidden/>
          </w:rPr>
          <w:instrText xml:space="preserve"> PAGEREF _Toc69115004 \h </w:instrText>
        </w:r>
        <w:r w:rsidR="00067A5E">
          <w:rPr>
            <w:noProof/>
            <w:webHidden/>
          </w:rPr>
        </w:r>
        <w:r w:rsidR="00067A5E">
          <w:rPr>
            <w:noProof/>
            <w:webHidden/>
          </w:rPr>
          <w:fldChar w:fldCharType="separate"/>
        </w:r>
        <w:r w:rsidR="00067A5E">
          <w:rPr>
            <w:noProof/>
            <w:webHidden/>
          </w:rPr>
          <w:t>124</w:t>
        </w:r>
        <w:r w:rsidR="00067A5E">
          <w:rPr>
            <w:noProof/>
            <w:webHidden/>
          </w:rPr>
          <w:fldChar w:fldCharType="end"/>
        </w:r>
      </w:hyperlink>
    </w:p>
    <w:p w14:paraId="1FB5FE7F" w14:textId="263CD356" w:rsidR="00067A5E" w:rsidRDefault="00B51F53">
      <w:pPr>
        <w:pStyle w:val="TableofFigures"/>
        <w:tabs>
          <w:tab w:val="right" w:leader="dot" w:pos="9016"/>
        </w:tabs>
        <w:rPr>
          <w:rFonts w:eastAsiaTheme="minorEastAsia"/>
          <w:noProof/>
          <w:lang w:eastAsia="en-GB"/>
        </w:rPr>
      </w:pPr>
      <w:hyperlink w:anchor="_Toc69115005" w:history="1">
        <w:r w:rsidR="00067A5E" w:rsidRPr="00C515B1">
          <w:rPr>
            <w:rStyle w:val="Hyperlink"/>
            <w:noProof/>
          </w:rPr>
          <w:t>Figure 4.31: Nyquist plot of the ND AC samples (50h aged). The instant fitting (green) can be seen in the data using Figure 4.32.</w:t>
        </w:r>
        <w:r w:rsidR="00067A5E">
          <w:rPr>
            <w:noProof/>
            <w:webHidden/>
          </w:rPr>
          <w:tab/>
        </w:r>
        <w:r w:rsidR="00067A5E">
          <w:rPr>
            <w:noProof/>
            <w:webHidden/>
          </w:rPr>
          <w:fldChar w:fldCharType="begin"/>
        </w:r>
        <w:r w:rsidR="00067A5E">
          <w:rPr>
            <w:noProof/>
            <w:webHidden/>
          </w:rPr>
          <w:instrText xml:space="preserve"> PAGEREF _Toc69115005 \h </w:instrText>
        </w:r>
        <w:r w:rsidR="00067A5E">
          <w:rPr>
            <w:noProof/>
            <w:webHidden/>
          </w:rPr>
        </w:r>
        <w:r w:rsidR="00067A5E">
          <w:rPr>
            <w:noProof/>
            <w:webHidden/>
          </w:rPr>
          <w:fldChar w:fldCharType="separate"/>
        </w:r>
        <w:r w:rsidR="00067A5E">
          <w:rPr>
            <w:noProof/>
            <w:webHidden/>
          </w:rPr>
          <w:t>124</w:t>
        </w:r>
        <w:r w:rsidR="00067A5E">
          <w:rPr>
            <w:noProof/>
            <w:webHidden/>
          </w:rPr>
          <w:fldChar w:fldCharType="end"/>
        </w:r>
      </w:hyperlink>
    </w:p>
    <w:p w14:paraId="23F11C4A" w14:textId="373DA377" w:rsidR="00067A5E" w:rsidRDefault="00B51F53">
      <w:pPr>
        <w:pStyle w:val="TableofFigures"/>
        <w:tabs>
          <w:tab w:val="right" w:leader="dot" w:pos="9016"/>
        </w:tabs>
        <w:rPr>
          <w:rFonts w:eastAsiaTheme="minorEastAsia"/>
          <w:noProof/>
          <w:lang w:eastAsia="en-GB"/>
        </w:rPr>
      </w:pPr>
      <w:hyperlink w:anchor="_Toc69115006" w:history="1">
        <w:r w:rsidR="00067A5E" w:rsidRPr="00C515B1">
          <w:rPr>
            <w:rStyle w:val="Hyperlink"/>
            <w:noProof/>
          </w:rPr>
          <w:t>Figure 4.32: : Equivalent circuit used for the first fitting of the EIS data for the infiltrated Ni-YSZ symmetric cells [405]</w:t>
        </w:r>
        <w:r w:rsidR="00067A5E">
          <w:rPr>
            <w:noProof/>
            <w:webHidden/>
          </w:rPr>
          <w:tab/>
        </w:r>
        <w:r w:rsidR="00067A5E">
          <w:rPr>
            <w:noProof/>
            <w:webHidden/>
          </w:rPr>
          <w:fldChar w:fldCharType="begin"/>
        </w:r>
        <w:r w:rsidR="00067A5E">
          <w:rPr>
            <w:noProof/>
            <w:webHidden/>
          </w:rPr>
          <w:instrText xml:space="preserve"> PAGEREF _Toc69115006 \h </w:instrText>
        </w:r>
        <w:r w:rsidR="00067A5E">
          <w:rPr>
            <w:noProof/>
            <w:webHidden/>
          </w:rPr>
        </w:r>
        <w:r w:rsidR="00067A5E">
          <w:rPr>
            <w:noProof/>
            <w:webHidden/>
          </w:rPr>
          <w:fldChar w:fldCharType="separate"/>
        </w:r>
        <w:r w:rsidR="00067A5E">
          <w:rPr>
            <w:noProof/>
            <w:webHidden/>
          </w:rPr>
          <w:t>125</w:t>
        </w:r>
        <w:r w:rsidR="00067A5E">
          <w:rPr>
            <w:noProof/>
            <w:webHidden/>
          </w:rPr>
          <w:fldChar w:fldCharType="end"/>
        </w:r>
      </w:hyperlink>
    </w:p>
    <w:p w14:paraId="73D707AA" w14:textId="34AAB16C" w:rsidR="00067A5E" w:rsidRDefault="00B51F53">
      <w:pPr>
        <w:pStyle w:val="TableofFigures"/>
        <w:tabs>
          <w:tab w:val="right" w:leader="dot" w:pos="9016"/>
        </w:tabs>
        <w:rPr>
          <w:rFonts w:eastAsiaTheme="minorEastAsia"/>
          <w:noProof/>
          <w:lang w:eastAsia="en-GB"/>
        </w:rPr>
      </w:pPr>
      <w:hyperlink w:anchor="_Toc69115007" w:history="1">
        <w:r w:rsidR="00067A5E" w:rsidRPr="00C515B1">
          <w:rPr>
            <w:rStyle w:val="Hyperlink"/>
            <w:noProof/>
          </w:rPr>
          <w:t>Figure 4.33: Nyquist plot of the AD AC sample after 50h of ageing. The line series is the fit achieved using the EC in Figure 4.34.</w:t>
        </w:r>
        <w:r w:rsidR="00067A5E">
          <w:rPr>
            <w:noProof/>
            <w:webHidden/>
          </w:rPr>
          <w:tab/>
        </w:r>
        <w:r w:rsidR="00067A5E">
          <w:rPr>
            <w:noProof/>
            <w:webHidden/>
          </w:rPr>
          <w:fldChar w:fldCharType="begin"/>
        </w:r>
        <w:r w:rsidR="00067A5E">
          <w:rPr>
            <w:noProof/>
            <w:webHidden/>
          </w:rPr>
          <w:instrText xml:space="preserve"> PAGEREF _Toc69115007 \h </w:instrText>
        </w:r>
        <w:r w:rsidR="00067A5E">
          <w:rPr>
            <w:noProof/>
            <w:webHidden/>
          </w:rPr>
        </w:r>
        <w:r w:rsidR="00067A5E">
          <w:rPr>
            <w:noProof/>
            <w:webHidden/>
          </w:rPr>
          <w:fldChar w:fldCharType="separate"/>
        </w:r>
        <w:r w:rsidR="00067A5E">
          <w:rPr>
            <w:noProof/>
            <w:webHidden/>
          </w:rPr>
          <w:t>126</w:t>
        </w:r>
        <w:r w:rsidR="00067A5E">
          <w:rPr>
            <w:noProof/>
            <w:webHidden/>
          </w:rPr>
          <w:fldChar w:fldCharType="end"/>
        </w:r>
      </w:hyperlink>
    </w:p>
    <w:p w14:paraId="1B4DFB39" w14:textId="042728EA" w:rsidR="00067A5E" w:rsidRDefault="00B51F53">
      <w:pPr>
        <w:pStyle w:val="TableofFigures"/>
        <w:tabs>
          <w:tab w:val="right" w:leader="dot" w:pos="9016"/>
        </w:tabs>
        <w:rPr>
          <w:rFonts w:eastAsiaTheme="minorEastAsia"/>
          <w:noProof/>
          <w:lang w:eastAsia="en-GB"/>
        </w:rPr>
      </w:pPr>
      <w:hyperlink w:anchor="_Toc69115008" w:history="1">
        <w:r w:rsidR="00067A5E" w:rsidRPr="00C515B1">
          <w:rPr>
            <w:rStyle w:val="Hyperlink"/>
            <w:noProof/>
          </w:rPr>
          <w:t>Figure 4.34: The EC fit of the AD NC sample using an EC utilised 1R and 2RQ in series</w:t>
        </w:r>
        <w:r w:rsidR="00067A5E">
          <w:rPr>
            <w:noProof/>
            <w:webHidden/>
          </w:rPr>
          <w:tab/>
        </w:r>
        <w:r w:rsidR="00067A5E">
          <w:rPr>
            <w:noProof/>
            <w:webHidden/>
          </w:rPr>
          <w:fldChar w:fldCharType="begin"/>
        </w:r>
        <w:r w:rsidR="00067A5E">
          <w:rPr>
            <w:noProof/>
            <w:webHidden/>
          </w:rPr>
          <w:instrText xml:space="preserve"> PAGEREF _Toc69115008 \h </w:instrText>
        </w:r>
        <w:r w:rsidR="00067A5E">
          <w:rPr>
            <w:noProof/>
            <w:webHidden/>
          </w:rPr>
        </w:r>
        <w:r w:rsidR="00067A5E">
          <w:rPr>
            <w:noProof/>
            <w:webHidden/>
          </w:rPr>
          <w:fldChar w:fldCharType="separate"/>
        </w:r>
        <w:r w:rsidR="00067A5E">
          <w:rPr>
            <w:noProof/>
            <w:webHidden/>
          </w:rPr>
          <w:t>127</w:t>
        </w:r>
        <w:r w:rsidR="00067A5E">
          <w:rPr>
            <w:noProof/>
            <w:webHidden/>
          </w:rPr>
          <w:fldChar w:fldCharType="end"/>
        </w:r>
      </w:hyperlink>
    </w:p>
    <w:p w14:paraId="19AB73EE" w14:textId="4BEAA3E3" w:rsidR="00067A5E" w:rsidRDefault="00B51F53">
      <w:pPr>
        <w:pStyle w:val="TableofFigures"/>
        <w:tabs>
          <w:tab w:val="right" w:leader="dot" w:pos="9016"/>
        </w:tabs>
        <w:rPr>
          <w:rFonts w:eastAsiaTheme="minorEastAsia"/>
          <w:noProof/>
          <w:lang w:eastAsia="en-GB"/>
        </w:rPr>
      </w:pPr>
      <w:hyperlink w:anchor="_Toc69115009" w:history="1">
        <w:r w:rsidR="00067A5E" w:rsidRPr="00C515B1">
          <w:rPr>
            <w:rStyle w:val="Hyperlink"/>
            <w:noProof/>
          </w:rPr>
          <w:t>Figure 4.104: EC circuit used to fit the ND AC wet impregnated sample</w:t>
        </w:r>
        <w:r w:rsidR="00067A5E">
          <w:rPr>
            <w:noProof/>
            <w:webHidden/>
          </w:rPr>
          <w:tab/>
        </w:r>
        <w:r w:rsidR="00067A5E">
          <w:rPr>
            <w:noProof/>
            <w:webHidden/>
          </w:rPr>
          <w:fldChar w:fldCharType="begin"/>
        </w:r>
        <w:r w:rsidR="00067A5E">
          <w:rPr>
            <w:noProof/>
            <w:webHidden/>
          </w:rPr>
          <w:instrText xml:space="preserve"> PAGEREF _Toc69115009 \h </w:instrText>
        </w:r>
        <w:r w:rsidR="00067A5E">
          <w:rPr>
            <w:noProof/>
            <w:webHidden/>
          </w:rPr>
        </w:r>
        <w:r w:rsidR="00067A5E">
          <w:rPr>
            <w:noProof/>
            <w:webHidden/>
          </w:rPr>
          <w:fldChar w:fldCharType="separate"/>
        </w:r>
        <w:r w:rsidR="00067A5E">
          <w:rPr>
            <w:noProof/>
            <w:webHidden/>
          </w:rPr>
          <w:t>127</w:t>
        </w:r>
        <w:r w:rsidR="00067A5E">
          <w:rPr>
            <w:noProof/>
            <w:webHidden/>
          </w:rPr>
          <w:fldChar w:fldCharType="end"/>
        </w:r>
      </w:hyperlink>
    </w:p>
    <w:p w14:paraId="618B2A1B" w14:textId="6BD8AB70" w:rsidR="00067A5E" w:rsidRDefault="00B51F53">
      <w:pPr>
        <w:pStyle w:val="TableofFigures"/>
        <w:tabs>
          <w:tab w:val="right" w:leader="dot" w:pos="9016"/>
        </w:tabs>
        <w:rPr>
          <w:rFonts w:eastAsiaTheme="minorEastAsia"/>
          <w:noProof/>
          <w:lang w:eastAsia="en-GB"/>
        </w:rPr>
      </w:pPr>
      <w:hyperlink w:anchor="_Toc69115010" w:history="1">
        <w:r w:rsidR="00067A5E" w:rsidRPr="00C515B1">
          <w:rPr>
            <w:rStyle w:val="Hyperlink"/>
            <w:noProof/>
          </w:rPr>
          <w:t>Figure 4.36:Theta vs Frequency plot for the ND NC sample fit using the equivalent circuit model shown in Figure 4.37. The new impedance arc is denoted by the red square</w:t>
        </w:r>
        <w:r w:rsidR="00067A5E">
          <w:rPr>
            <w:noProof/>
            <w:webHidden/>
          </w:rPr>
          <w:tab/>
        </w:r>
        <w:r w:rsidR="00067A5E">
          <w:rPr>
            <w:noProof/>
            <w:webHidden/>
          </w:rPr>
          <w:fldChar w:fldCharType="begin"/>
        </w:r>
        <w:r w:rsidR="00067A5E">
          <w:rPr>
            <w:noProof/>
            <w:webHidden/>
          </w:rPr>
          <w:instrText xml:space="preserve"> PAGEREF _Toc69115010 \h </w:instrText>
        </w:r>
        <w:r w:rsidR="00067A5E">
          <w:rPr>
            <w:noProof/>
            <w:webHidden/>
          </w:rPr>
        </w:r>
        <w:r w:rsidR="00067A5E">
          <w:rPr>
            <w:noProof/>
            <w:webHidden/>
          </w:rPr>
          <w:fldChar w:fldCharType="separate"/>
        </w:r>
        <w:r w:rsidR="00067A5E">
          <w:rPr>
            <w:noProof/>
            <w:webHidden/>
          </w:rPr>
          <w:t>128</w:t>
        </w:r>
        <w:r w:rsidR="00067A5E">
          <w:rPr>
            <w:noProof/>
            <w:webHidden/>
          </w:rPr>
          <w:fldChar w:fldCharType="end"/>
        </w:r>
      </w:hyperlink>
    </w:p>
    <w:p w14:paraId="32DB33F0" w14:textId="49B47726" w:rsidR="00067A5E" w:rsidRDefault="00B51F53">
      <w:pPr>
        <w:pStyle w:val="TableofFigures"/>
        <w:tabs>
          <w:tab w:val="right" w:leader="dot" w:pos="9016"/>
        </w:tabs>
        <w:rPr>
          <w:rFonts w:eastAsiaTheme="minorEastAsia"/>
          <w:noProof/>
          <w:lang w:eastAsia="en-GB"/>
        </w:rPr>
      </w:pPr>
      <w:hyperlink w:anchor="_Toc69115011" w:history="1">
        <w:r w:rsidR="00067A5E" w:rsidRPr="00C515B1">
          <w:rPr>
            <w:rStyle w:val="Hyperlink"/>
            <w:noProof/>
          </w:rPr>
          <w:t>Figure 4.37: Nyquist plot of the ND NC sample with the EC fitted data</w:t>
        </w:r>
        <w:r w:rsidR="00067A5E">
          <w:rPr>
            <w:noProof/>
            <w:webHidden/>
          </w:rPr>
          <w:tab/>
        </w:r>
        <w:r w:rsidR="00067A5E">
          <w:rPr>
            <w:noProof/>
            <w:webHidden/>
          </w:rPr>
          <w:fldChar w:fldCharType="begin"/>
        </w:r>
        <w:r w:rsidR="00067A5E">
          <w:rPr>
            <w:noProof/>
            <w:webHidden/>
          </w:rPr>
          <w:instrText xml:space="preserve"> PAGEREF _Toc69115011 \h </w:instrText>
        </w:r>
        <w:r w:rsidR="00067A5E">
          <w:rPr>
            <w:noProof/>
            <w:webHidden/>
          </w:rPr>
        </w:r>
        <w:r w:rsidR="00067A5E">
          <w:rPr>
            <w:noProof/>
            <w:webHidden/>
          </w:rPr>
          <w:fldChar w:fldCharType="separate"/>
        </w:r>
        <w:r w:rsidR="00067A5E">
          <w:rPr>
            <w:noProof/>
            <w:webHidden/>
          </w:rPr>
          <w:t>128</w:t>
        </w:r>
        <w:r w:rsidR="00067A5E">
          <w:rPr>
            <w:noProof/>
            <w:webHidden/>
          </w:rPr>
          <w:fldChar w:fldCharType="end"/>
        </w:r>
      </w:hyperlink>
    </w:p>
    <w:p w14:paraId="1E6447C5" w14:textId="17010C04" w:rsidR="00067A5E" w:rsidRDefault="00B51F53">
      <w:pPr>
        <w:pStyle w:val="TableofFigures"/>
        <w:tabs>
          <w:tab w:val="right" w:leader="dot" w:pos="9016"/>
        </w:tabs>
        <w:rPr>
          <w:rFonts w:eastAsiaTheme="minorEastAsia"/>
          <w:noProof/>
          <w:lang w:eastAsia="en-GB"/>
        </w:rPr>
      </w:pPr>
      <w:hyperlink w:anchor="_Toc69115012" w:history="1">
        <w:r w:rsidR="00067A5E" w:rsidRPr="00C515B1">
          <w:rPr>
            <w:rStyle w:val="Hyperlink"/>
            <w:noProof/>
          </w:rPr>
          <w:t>Figure 4.38: EC circuit used to fit the ND AC wet impregnated sample</w:t>
        </w:r>
        <w:r w:rsidR="00067A5E">
          <w:rPr>
            <w:noProof/>
            <w:webHidden/>
          </w:rPr>
          <w:tab/>
        </w:r>
        <w:r w:rsidR="00067A5E">
          <w:rPr>
            <w:noProof/>
            <w:webHidden/>
          </w:rPr>
          <w:fldChar w:fldCharType="begin"/>
        </w:r>
        <w:r w:rsidR="00067A5E">
          <w:rPr>
            <w:noProof/>
            <w:webHidden/>
          </w:rPr>
          <w:instrText xml:space="preserve"> PAGEREF _Toc69115012 \h </w:instrText>
        </w:r>
        <w:r w:rsidR="00067A5E">
          <w:rPr>
            <w:noProof/>
            <w:webHidden/>
          </w:rPr>
        </w:r>
        <w:r w:rsidR="00067A5E">
          <w:rPr>
            <w:noProof/>
            <w:webHidden/>
          </w:rPr>
          <w:fldChar w:fldCharType="separate"/>
        </w:r>
        <w:r w:rsidR="00067A5E">
          <w:rPr>
            <w:noProof/>
            <w:webHidden/>
          </w:rPr>
          <w:t>129</w:t>
        </w:r>
        <w:r w:rsidR="00067A5E">
          <w:rPr>
            <w:noProof/>
            <w:webHidden/>
          </w:rPr>
          <w:fldChar w:fldCharType="end"/>
        </w:r>
      </w:hyperlink>
    </w:p>
    <w:p w14:paraId="08221248" w14:textId="1118998A" w:rsidR="00067A5E" w:rsidRDefault="00B51F53">
      <w:pPr>
        <w:pStyle w:val="TableofFigures"/>
        <w:tabs>
          <w:tab w:val="right" w:leader="dot" w:pos="9016"/>
        </w:tabs>
        <w:rPr>
          <w:rFonts w:eastAsiaTheme="minorEastAsia"/>
          <w:noProof/>
          <w:lang w:eastAsia="en-GB"/>
        </w:rPr>
      </w:pPr>
      <w:hyperlink w:anchor="_Toc69115013" w:history="1">
        <w:r w:rsidR="00067A5E" w:rsidRPr="00C515B1">
          <w:rPr>
            <w:rStyle w:val="Hyperlink"/>
            <w:noProof/>
          </w:rPr>
          <w:t>Figure 4.39: Nyquist plot of the normalised EIS data from the ND AC sample after 50 h of ageing and the EC fit</w:t>
        </w:r>
        <w:r w:rsidR="00067A5E">
          <w:rPr>
            <w:noProof/>
            <w:webHidden/>
          </w:rPr>
          <w:tab/>
        </w:r>
        <w:r w:rsidR="00067A5E">
          <w:rPr>
            <w:noProof/>
            <w:webHidden/>
          </w:rPr>
          <w:fldChar w:fldCharType="begin"/>
        </w:r>
        <w:r w:rsidR="00067A5E">
          <w:rPr>
            <w:noProof/>
            <w:webHidden/>
          </w:rPr>
          <w:instrText xml:space="preserve"> PAGEREF _Toc69115013 \h </w:instrText>
        </w:r>
        <w:r w:rsidR="00067A5E">
          <w:rPr>
            <w:noProof/>
            <w:webHidden/>
          </w:rPr>
        </w:r>
        <w:r w:rsidR="00067A5E">
          <w:rPr>
            <w:noProof/>
            <w:webHidden/>
          </w:rPr>
          <w:fldChar w:fldCharType="separate"/>
        </w:r>
        <w:r w:rsidR="00067A5E">
          <w:rPr>
            <w:noProof/>
            <w:webHidden/>
          </w:rPr>
          <w:t>130</w:t>
        </w:r>
        <w:r w:rsidR="00067A5E">
          <w:rPr>
            <w:noProof/>
            <w:webHidden/>
          </w:rPr>
          <w:fldChar w:fldCharType="end"/>
        </w:r>
      </w:hyperlink>
    </w:p>
    <w:p w14:paraId="1E241319" w14:textId="6FB71C04" w:rsidR="00067A5E" w:rsidRDefault="00B51F53">
      <w:pPr>
        <w:pStyle w:val="TableofFigures"/>
        <w:tabs>
          <w:tab w:val="right" w:leader="dot" w:pos="9016"/>
        </w:tabs>
        <w:rPr>
          <w:rFonts w:eastAsiaTheme="minorEastAsia"/>
          <w:noProof/>
          <w:lang w:eastAsia="en-GB"/>
        </w:rPr>
      </w:pPr>
      <w:hyperlink w:anchor="_Toc69115014" w:history="1">
        <w:r w:rsidR="00067A5E" w:rsidRPr="00C515B1">
          <w:rPr>
            <w:rStyle w:val="Hyperlink"/>
            <w:noProof/>
          </w:rPr>
          <w:t>Figure 4.40: Diagram of the pronounced eggshell and eggshell morphologies displayed by the nickel nitrate plates dried under flowing air or nitrogen in this work</w:t>
        </w:r>
        <w:r w:rsidR="00067A5E">
          <w:rPr>
            <w:noProof/>
            <w:webHidden/>
          </w:rPr>
          <w:tab/>
        </w:r>
        <w:r w:rsidR="00067A5E">
          <w:rPr>
            <w:noProof/>
            <w:webHidden/>
          </w:rPr>
          <w:fldChar w:fldCharType="begin"/>
        </w:r>
        <w:r w:rsidR="00067A5E">
          <w:rPr>
            <w:noProof/>
            <w:webHidden/>
          </w:rPr>
          <w:instrText xml:space="preserve"> PAGEREF _Toc69115014 \h </w:instrText>
        </w:r>
        <w:r w:rsidR="00067A5E">
          <w:rPr>
            <w:noProof/>
            <w:webHidden/>
          </w:rPr>
        </w:r>
        <w:r w:rsidR="00067A5E">
          <w:rPr>
            <w:noProof/>
            <w:webHidden/>
          </w:rPr>
          <w:fldChar w:fldCharType="separate"/>
        </w:r>
        <w:r w:rsidR="00067A5E">
          <w:rPr>
            <w:noProof/>
            <w:webHidden/>
          </w:rPr>
          <w:t>132</w:t>
        </w:r>
        <w:r w:rsidR="00067A5E">
          <w:rPr>
            <w:noProof/>
            <w:webHidden/>
          </w:rPr>
          <w:fldChar w:fldCharType="end"/>
        </w:r>
      </w:hyperlink>
    </w:p>
    <w:p w14:paraId="68FD6FBC" w14:textId="54416485" w:rsidR="00067A5E" w:rsidRDefault="00B51F53">
      <w:pPr>
        <w:pStyle w:val="TableofFigures"/>
        <w:tabs>
          <w:tab w:val="right" w:leader="dot" w:pos="9016"/>
        </w:tabs>
        <w:rPr>
          <w:rFonts w:eastAsiaTheme="minorEastAsia"/>
          <w:noProof/>
          <w:lang w:eastAsia="en-GB"/>
        </w:rPr>
      </w:pPr>
      <w:hyperlink w:anchor="_Toc69115015" w:history="1">
        <w:r w:rsidR="00067A5E" w:rsidRPr="00C515B1">
          <w:rPr>
            <w:rStyle w:val="Hyperlink"/>
            <w:noProof/>
          </w:rPr>
          <w:t>Figure 4.41: Decomposition pathways for the infiltrated nickel particles prior to SOFC testing. The stages of decomposition from left to right: drying, calcination and reduction to metallic nickel. The green denotes the dried nitrate, the black the calcined bunsenite and the white the reduced nickel metal.</w:t>
        </w:r>
        <w:r w:rsidR="00067A5E">
          <w:rPr>
            <w:noProof/>
            <w:webHidden/>
          </w:rPr>
          <w:tab/>
        </w:r>
        <w:r w:rsidR="00067A5E">
          <w:rPr>
            <w:noProof/>
            <w:webHidden/>
          </w:rPr>
          <w:fldChar w:fldCharType="begin"/>
        </w:r>
        <w:r w:rsidR="00067A5E">
          <w:rPr>
            <w:noProof/>
            <w:webHidden/>
          </w:rPr>
          <w:instrText xml:space="preserve"> PAGEREF _Toc69115015 \h </w:instrText>
        </w:r>
        <w:r w:rsidR="00067A5E">
          <w:rPr>
            <w:noProof/>
            <w:webHidden/>
          </w:rPr>
        </w:r>
        <w:r w:rsidR="00067A5E">
          <w:rPr>
            <w:noProof/>
            <w:webHidden/>
          </w:rPr>
          <w:fldChar w:fldCharType="separate"/>
        </w:r>
        <w:r w:rsidR="00067A5E">
          <w:rPr>
            <w:noProof/>
            <w:webHidden/>
          </w:rPr>
          <w:t>134</w:t>
        </w:r>
        <w:r w:rsidR="00067A5E">
          <w:rPr>
            <w:noProof/>
            <w:webHidden/>
          </w:rPr>
          <w:fldChar w:fldCharType="end"/>
        </w:r>
      </w:hyperlink>
    </w:p>
    <w:p w14:paraId="5DB46E57" w14:textId="37D8B16D" w:rsidR="00067A5E" w:rsidRDefault="00B51F53">
      <w:pPr>
        <w:pStyle w:val="TableofFigures"/>
        <w:tabs>
          <w:tab w:val="right" w:leader="dot" w:pos="9016"/>
        </w:tabs>
        <w:rPr>
          <w:rFonts w:eastAsiaTheme="minorEastAsia"/>
          <w:noProof/>
          <w:lang w:eastAsia="en-GB"/>
        </w:rPr>
      </w:pPr>
      <w:hyperlink w:anchor="_Toc69115016" w:history="1">
        <w:r w:rsidR="00067A5E" w:rsidRPr="00C515B1">
          <w:rPr>
            <w:rStyle w:val="Hyperlink"/>
            <w:noProof/>
          </w:rPr>
          <w:t>Figure 5.1: Photograph of the delaminated Pt current collector after 50h of ageing</w:t>
        </w:r>
        <w:r w:rsidR="00067A5E">
          <w:rPr>
            <w:noProof/>
            <w:webHidden/>
          </w:rPr>
          <w:tab/>
        </w:r>
        <w:r w:rsidR="00067A5E">
          <w:rPr>
            <w:noProof/>
            <w:webHidden/>
          </w:rPr>
          <w:fldChar w:fldCharType="begin"/>
        </w:r>
        <w:r w:rsidR="00067A5E">
          <w:rPr>
            <w:noProof/>
            <w:webHidden/>
          </w:rPr>
          <w:instrText xml:space="preserve"> PAGEREF _Toc69115016 \h </w:instrText>
        </w:r>
        <w:r w:rsidR="00067A5E">
          <w:rPr>
            <w:noProof/>
            <w:webHidden/>
          </w:rPr>
        </w:r>
        <w:r w:rsidR="00067A5E">
          <w:rPr>
            <w:noProof/>
            <w:webHidden/>
          </w:rPr>
          <w:fldChar w:fldCharType="separate"/>
        </w:r>
        <w:r w:rsidR="00067A5E">
          <w:rPr>
            <w:noProof/>
            <w:webHidden/>
          </w:rPr>
          <w:t>138</w:t>
        </w:r>
        <w:r w:rsidR="00067A5E">
          <w:rPr>
            <w:noProof/>
            <w:webHidden/>
          </w:rPr>
          <w:fldChar w:fldCharType="end"/>
        </w:r>
      </w:hyperlink>
    </w:p>
    <w:p w14:paraId="6DF9E0C9" w14:textId="12DDA065" w:rsidR="00067A5E" w:rsidRDefault="00B51F53">
      <w:pPr>
        <w:pStyle w:val="TableofFigures"/>
        <w:tabs>
          <w:tab w:val="right" w:leader="dot" w:pos="9016"/>
        </w:tabs>
        <w:rPr>
          <w:rFonts w:eastAsiaTheme="minorEastAsia"/>
          <w:noProof/>
          <w:lang w:eastAsia="en-GB"/>
        </w:rPr>
      </w:pPr>
      <w:hyperlink w:anchor="_Toc69115017" w:history="1">
        <w:r w:rsidR="00067A5E" w:rsidRPr="00C515B1">
          <w:rPr>
            <w:rStyle w:val="Hyperlink"/>
            <w:noProof/>
          </w:rPr>
          <w:t>Figure 5.2: Series resistance vs. ageing time for 50h of ageing at 800</w:t>
        </w:r>
        <w:r w:rsidR="00067A5E" w:rsidRPr="00C515B1">
          <w:rPr>
            <w:rStyle w:val="Hyperlink"/>
            <w:rFonts w:cstheme="minorHAnsi"/>
            <w:noProof/>
          </w:rPr>
          <w:t>⁰</w:t>
        </w:r>
        <w:r w:rsidR="00067A5E" w:rsidRPr="00C515B1">
          <w:rPr>
            <w:rStyle w:val="Hyperlink"/>
            <w:noProof/>
          </w:rPr>
          <w:t>C in a 10%H</w:t>
        </w:r>
        <w:r w:rsidR="00067A5E" w:rsidRPr="00C515B1">
          <w:rPr>
            <w:rStyle w:val="Hyperlink"/>
            <w:noProof/>
            <w:vertAlign w:val="subscript"/>
          </w:rPr>
          <w:t>2</w:t>
        </w:r>
        <w:r w:rsidR="00067A5E" w:rsidRPr="00C515B1">
          <w:rPr>
            <w:rStyle w:val="Hyperlink"/>
            <w:noProof/>
          </w:rPr>
          <w:t>/N</w:t>
        </w:r>
        <w:r w:rsidR="00067A5E" w:rsidRPr="00C515B1">
          <w:rPr>
            <w:rStyle w:val="Hyperlink"/>
            <w:noProof/>
            <w:vertAlign w:val="subscript"/>
          </w:rPr>
          <w:t>2</w:t>
        </w:r>
        <w:r w:rsidR="00067A5E" w:rsidRPr="00C515B1">
          <w:rPr>
            <w:rStyle w:val="Hyperlink"/>
            <w:noProof/>
          </w:rPr>
          <w:t xml:space="preserve"> atmosphere</w:t>
        </w:r>
        <w:r w:rsidR="00067A5E">
          <w:rPr>
            <w:noProof/>
            <w:webHidden/>
          </w:rPr>
          <w:tab/>
        </w:r>
        <w:r w:rsidR="00067A5E">
          <w:rPr>
            <w:noProof/>
            <w:webHidden/>
          </w:rPr>
          <w:fldChar w:fldCharType="begin"/>
        </w:r>
        <w:r w:rsidR="00067A5E">
          <w:rPr>
            <w:noProof/>
            <w:webHidden/>
          </w:rPr>
          <w:instrText xml:space="preserve"> PAGEREF _Toc69115017 \h </w:instrText>
        </w:r>
        <w:r w:rsidR="00067A5E">
          <w:rPr>
            <w:noProof/>
            <w:webHidden/>
          </w:rPr>
        </w:r>
        <w:r w:rsidR="00067A5E">
          <w:rPr>
            <w:noProof/>
            <w:webHidden/>
          </w:rPr>
          <w:fldChar w:fldCharType="separate"/>
        </w:r>
        <w:r w:rsidR="00067A5E">
          <w:rPr>
            <w:noProof/>
            <w:webHidden/>
          </w:rPr>
          <w:t>140</w:t>
        </w:r>
        <w:r w:rsidR="00067A5E">
          <w:rPr>
            <w:noProof/>
            <w:webHidden/>
          </w:rPr>
          <w:fldChar w:fldCharType="end"/>
        </w:r>
      </w:hyperlink>
    </w:p>
    <w:p w14:paraId="26316F6A" w14:textId="4815B998" w:rsidR="00067A5E" w:rsidRDefault="00B51F53">
      <w:pPr>
        <w:pStyle w:val="TableofFigures"/>
        <w:tabs>
          <w:tab w:val="right" w:leader="dot" w:pos="9016"/>
        </w:tabs>
        <w:rPr>
          <w:rFonts w:eastAsiaTheme="minorEastAsia"/>
          <w:noProof/>
          <w:lang w:eastAsia="en-GB"/>
        </w:rPr>
      </w:pPr>
      <w:hyperlink w:anchor="_Toc69115018" w:history="1">
        <w:r w:rsidR="00067A5E" w:rsidRPr="00C515B1">
          <w:rPr>
            <w:rStyle w:val="Hyperlink"/>
            <w:noProof/>
          </w:rPr>
          <w:t>Figure 5.3: Polarisation resistance vs. ageing time for 50h of ageing at 800</w:t>
        </w:r>
        <w:r w:rsidR="00067A5E" w:rsidRPr="00C515B1">
          <w:rPr>
            <w:rStyle w:val="Hyperlink"/>
            <w:rFonts w:cstheme="minorHAnsi"/>
            <w:noProof/>
          </w:rPr>
          <w:t>⁰</w:t>
        </w:r>
        <w:r w:rsidR="00067A5E" w:rsidRPr="00C515B1">
          <w:rPr>
            <w:rStyle w:val="Hyperlink"/>
            <w:noProof/>
          </w:rPr>
          <w:t>C in a 10%H</w:t>
        </w:r>
        <w:r w:rsidR="00067A5E" w:rsidRPr="00C515B1">
          <w:rPr>
            <w:rStyle w:val="Hyperlink"/>
            <w:noProof/>
            <w:vertAlign w:val="subscript"/>
          </w:rPr>
          <w:t>2</w:t>
        </w:r>
        <w:r w:rsidR="00067A5E" w:rsidRPr="00C515B1">
          <w:rPr>
            <w:rStyle w:val="Hyperlink"/>
            <w:noProof/>
          </w:rPr>
          <w:t>/N</w:t>
        </w:r>
        <w:r w:rsidR="00067A5E" w:rsidRPr="00C515B1">
          <w:rPr>
            <w:rStyle w:val="Hyperlink"/>
            <w:noProof/>
            <w:vertAlign w:val="subscript"/>
          </w:rPr>
          <w:t>2</w:t>
        </w:r>
        <w:r w:rsidR="00067A5E" w:rsidRPr="00C515B1">
          <w:rPr>
            <w:rStyle w:val="Hyperlink"/>
            <w:noProof/>
          </w:rPr>
          <w:t xml:space="preserve"> atmosphere</w:t>
        </w:r>
        <w:r w:rsidR="00067A5E">
          <w:rPr>
            <w:noProof/>
            <w:webHidden/>
          </w:rPr>
          <w:tab/>
        </w:r>
        <w:r w:rsidR="00067A5E">
          <w:rPr>
            <w:noProof/>
            <w:webHidden/>
          </w:rPr>
          <w:fldChar w:fldCharType="begin"/>
        </w:r>
        <w:r w:rsidR="00067A5E">
          <w:rPr>
            <w:noProof/>
            <w:webHidden/>
          </w:rPr>
          <w:instrText xml:space="preserve"> PAGEREF _Toc69115018 \h </w:instrText>
        </w:r>
        <w:r w:rsidR="00067A5E">
          <w:rPr>
            <w:noProof/>
            <w:webHidden/>
          </w:rPr>
        </w:r>
        <w:r w:rsidR="00067A5E">
          <w:rPr>
            <w:noProof/>
            <w:webHidden/>
          </w:rPr>
          <w:fldChar w:fldCharType="separate"/>
        </w:r>
        <w:r w:rsidR="00067A5E">
          <w:rPr>
            <w:noProof/>
            <w:webHidden/>
          </w:rPr>
          <w:t>140</w:t>
        </w:r>
        <w:r w:rsidR="00067A5E">
          <w:rPr>
            <w:noProof/>
            <w:webHidden/>
          </w:rPr>
          <w:fldChar w:fldCharType="end"/>
        </w:r>
      </w:hyperlink>
    </w:p>
    <w:p w14:paraId="518BFAAA" w14:textId="11A3AD49" w:rsidR="00067A5E" w:rsidRDefault="00B51F53">
      <w:pPr>
        <w:pStyle w:val="TableofFigures"/>
        <w:tabs>
          <w:tab w:val="right" w:leader="dot" w:pos="9016"/>
        </w:tabs>
        <w:rPr>
          <w:rFonts w:eastAsiaTheme="minorEastAsia"/>
          <w:noProof/>
          <w:lang w:eastAsia="en-GB"/>
        </w:rPr>
      </w:pPr>
      <w:hyperlink w:anchor="_Toc69115019" w:history="1">
        <w:r w:rsidR="00067A5E" w:rsidRPr="00C515B1">
          <w:rPr>
            <w:rStyle w:val="Hyperlink"/>
            <w:noProof/>
          </w:rPr>
          <w:t>Figure 5.4: Series and Polarisation resistance vs ageing time for the Ni-YSZ samples coated in a Ag current collector</w:t>
        </w:r>
        <w:r w:rsidR="00067A5E">
          <w:rPr>
            <w:noProof/>
            <w:webHidden/>
          </w:rPr>
          <w:tab/>
        </w:r>
        <w:r w:rsidR="00067A5E">
          <w:rPr>
            <w:noProof/>
            <w:webHidden/>
          </w:rPr>
          <w:fldChar w:fldCharType="begin"/>
        </w:r>
        <w:r w:rsidR="00067A5E">
          <w:rPr>
            <w:noProof/>
            <w:webHidden/>
          </w:rPr>
          <w:instrText xml:space="preserve"> PAGEREF _Toc69115019 \h </w:instrText>
        </w:r>
        <w:r w:rsidR="00067A5E">
          <w:rPr>
            <w:noProof/>
            <w:webHidden/>
          </w:rPr>
        </w:r>
        <w:r w:rsidR="00067A5E">
          <w:rPr>
            <w:noProof/>
            <w:webHidden/>
          </w:rPr>
          <w:fldChar w:fldCharType="separate"/>
        </w:r>
        <w:r w:rsidR="00067A5E">
          <w:rPr>
            <w:noProof/>
            <w:webHidden/>
          </w:rPr>
          <w:t>141</w:t>
        </w:r>
        <w:r w:rsidR="00067A5E">
          <w:rPr>
            <w:noProof/>
            <w:webHidden/>
          </w:rPr>
          <w:fldChar w:fldCharType="end"/>
        </w:r>
      </w:hyperlink>
    </w:p>
    <w:p w14:paraId="021C3EB4" w14:textId="3E4FE3ED" w:rsidR="00067A5E" w:rsidRDefault="00B51F53">
      <w:pPr>
        <w:pStyle w:val="TableofFigures"/>
        <w:tabs>
          <w:tab w:val="right" w:leader="dot" w:pos="9016"/>
        </w:tabs>
        <w:rPr>
          <w:rFonts w:eastAsiaTheme="minorEastAsia"/>
          <w:noProof/>
          <w:lang w:eastAsia="en-GB"/>
        </w:rPr>
      </w:pPr>
      <w:hyperlink w:anchor="_Toc69115020" w:history="1">
        <w:r w:rsidR="00067A5E" w:rsidRPr="00C515B1">
          <w:rPr>
            <w:rStyle w:val="Hyperlink"/>
            <w:noProof/>
          </w:rPr>
          <w:t>Figure 5.5: Stacked Nyquist plots for the Ag1 Ni-YSZ sample coated in an Ag current collector over a 50 h ageing period. The markers track the evolution of the samples in 5 h increments. The hollowed markers indicate the data taken at intervals between</w:t>
        </w:r>
        <w:r w:rsidR="00067A5E">
          <w:rPr>
            <w:noProof/>
            <w:webHidden/>
          </w:rPr>
          <w:tab/>
        </w:r>
        <w:r w:rsidR="00067A5E">
          <w:rPr>
            <w:noProof/>
            <w:webHidden/>
          </w:rPr>
          <w:fldChar w:fldCharType="begin"/>
        </w:r>
        <w:r w:rsidR="00067A5E">
          <w:rPr>
            <w:noProof/>
            <w:webHidden/>
          </w:rPr>
          <w:instrText xml:space="preserve"> PAGEREF _Toc69115020 \h </w:instrText>
        </w:r>
        <w:r w:rsidR="00067A5E">
          <w:rPr>
            <w:noProof/>
            <w:webHidden/>
          </w:rPr>
        </w:r>
        <w:r w:rsidR="00067A5E">
          <w:rPr>
            <w:noProof/>
            <w:webHidden/>
          </w:rPr>
          <w:fldChar w:fldCharType="separate"/>
        </w:r>
        <w:r w:rsidR="00067A5E">
          <w:rPr>
            <w:noProof/>
            <w:webHidden/>
          </w:rPr>
          <w:t>142</w:t>
        </w:r>
        <w:r w:rsidR="00067A5E">
          <w:rPr>
            <w:noProof/>
            <w:webHidden/>
          </w:rPr>
          <w:fldChar w:fldCharType="end"/>
        </w:r>
      </w:hyperlink>
    </w:p>
    <w:p w14:paraId="109E24EF" w14:textId="3AD77952" w:rsidR="00067A5E" w:rsidRDefault="00B51F53">
      <w:pPr>
        <w:pStyle w:val="TableofFigures"/>
        <w:tabs>
          <w:tab w:val="right" w:leader="dot" w:pos="9016"/>
        </w:tabs>
        <w:rPr>
          <w:rFonts w:eastAsiaTheme="minorEastAsia"/>
          <w:noProof/>
          <w:lang w:eastAsia="en-GB"/>
        </w:rPr>
      </w:pPr>
      <w:hyperlink w:anchor="_Toc69115021" w:history="1">
        <w:r w:rsidR="00067A5E" w:rsidRPr="00C515B1">
          <w:rPr>
            <w:rStyle w:val="Hyperlink"/>
            <w:noProof/>
          </w:rPr>
          <w:t>Figure 5.6: Stacked Nyquist plots for the Ag2 Ni-YSZ sample coated in an Ag current collector over a 50 h ageing period. The markers track the evolution of the samples in 5 h increments. The hollowed markers indicate the data taken at intervals between 10 h</w:t>
        </w:r>
        <w:r w:rsidR="00067A5E">
          <w:rPr>
            <w:noProof/>
            <w:webHidden/>
          </w:rPr>
          <w:tab/>
        </w:r>
        <w:r w:rsidR="00067A5E">
          <w:rPr>
            <w:noProof/>
            <w:webHidden/>
          </w:rPr>
          <w:fldChar w:fldCharType="begin"/>
        </w:r>
        <w:r w:rsidR="00067A5E">
          <w:rPr>
            <w:noProof/>
            <w:webHidden/>
          </w:rPr>
          <w:instrText xml:space="preserve"> PAGEREF _Toc69115021 \h </w:instrText>
        </w:r>
        <w:r w:rsidR="00067A5E">
          <w:rPr>
            <w:noProof/>
            <w:webHidden/>
          </w:rPr>
        </w:r>
        <w:r w:rsidR="00067A5E">
          <w:rPr>
            <w:noProof/>
            <w:webHidden/>
          </w:rPr>
          <w:fldChar w:fldCharType="separate"/>
        </w:r>
        <w:r w:rsidR="00067A5E">
          <w:rPr>
            <w:noProof/>
            <w:webHidden/>
          </w:rPr>
          <w:t>142</w:t>
        </w:r>
        <w:r w:rsidR="00067A5E">
          <w:rPr>
            <w:noProof/>
            <w:webHidden/>
          </w:rPr>
          <w:fldChar w:fldCharType="end"/>
        </w:r>
      </w:hyperlink>
    </w:p>
    <w:p w14:paraId="1DFB9861" w14:textId="3E3685A7" w:rsidR="00067A5E" w:rsidRDefault="00B51F53">
      <w:pPr>
        <w:pStyle w:val="TableofFigures"/>
        <w:tabs>
          <w:tab w:val="right" w:leader="dot" w:pos="9016"/>
        </w:tabs>
        <w:rPr>
          <w:rFonts w:eastAsiaTheme="minorEastAsia"/>
          <w:noProof/>
          <w:lang w:eastAsia="en-GB"/>
        </w:rPr>
      </w:pPr>
      <w:hyperlink w:anchor="_Toc69115022" w:history="1">
        <w:r w:rsidR="00067A5E" w:rsidRPr="00C515B1">
          <w:rPr>
            <w:rStyle w:val="Hyperlink"/>
            <w:noProof/>
          </w:rPr>
          <w:t>Figure 5.7: Stacked Nyquist plots for the Ag3 Ni-YSZ sample coated in an Ag current collector over a 50 h ageing period. The markers track the evolution of the samples in 5 h increments. The hollowed markers indicate the data taken at intervals between 10 h increments</w:t>
        </w:r>
        <w:r w:rsidR="00067A5E">
          <w:rPr>
            <w:noProof/>
            <w:webHidden/>
          </w:rPr>
          <w:tab/>
        </w:r>
        <w:r w:rsidR="00067A5E">
          <w:rPr>
            <w:noProof/>
            <w:webHidden/>
          </w:rPr>
          <w:fldChar w:fldCharType="begin"/>
        </w:r>
        <w:r w:rsidR="00067A5E">
          <w:rPr>
            <w:noProof/>
            <w:webHidden/>
          </w:rPr>
          <w:instrText xml:space="preserve"> PAGEREF _Toc69115022 \h </w:instrText>
        </w:r>
        <w:r w:rsidR="00067A5E">
          <w:rPr>
            <w:noProof/>
            <w:webHidden/>
          </w:rPr>
        </w:r>
        <w:r w:rsidR="00067A5E">
          <w:rPr>
            <w:noProof/>
            <w:webHidden/>
          </w:rPr>
          <w:fldChar w:fldCharType="separate"/>
        </w:r>
        <w:r w:rsidR="00067A5E">
          <w:rPr>
            <w:noProof/>
            <w:webHidden/>
          </w:rPr>
          <w:t>143</w:t>
        </w:r>
        <w:r w:rsidR="00067A5E">
          <w:rPr>
            <w:noProof/>
            <w:webHidden/>
          </w:rPr>
          <w:fldChar w:fldCharType="end"/>
        </w:r>
      </w:hyperlink>
    </w:p>
    <w:p w14:paraId="58118A84" w14:textId="08253775" w:rsidR="00067A5E" w:rsidRDefault="00B51F53">
      <w:pPr>
        <w:pStyle w:val="TableofFigures"/>
        <w:tabs>
          <w:tab w:val="right" w:leader="dot" w:pos="9016"/>
        </w:tabs>
        <w:rPr>
          <w:rFonts w:eastAsiaTheme="minorEastAsia"/>
          <w:noProof/>
          <w:lang w:eastAsia="en-GB"/>
        </w:rPr>
      </w:pPr>
      <w:hyperlink w:anchor="_Toc69115023" w:history="1">
        <w:r w:rsidR="00067A5E" w:rsidRPr="00C515B1">
          <w:rPr>
            <w:rStyle w:val="Hyperlink"/>
            <w:noProof/>
          </w:rPr>
          <w:t>Figure 5.8: Equivalent circuit used to model the electrochemical process present in the Ni-YSZ electrode coated in silver current collector (Diagram made in XM Studio).</w:t>
        </w:r>
        <w:r w:rsidR="00067A5E">
          <w:rPr>
            <w:noProof/>
            <w:webHidden/>
          </w:rPr>
          <w:tab/>
        </w:r>
        <w:r w:rsidR="00067A5E">
          <w:rPr>
            <w:noProof/>
            <w:webHidden/>
          </w:rPr>
          <w:fldChar w:fldCharType="begin"/>
        </w:r>
        <w:r w:rsidR="00067A5E">
          <w:rPr>
            <w:noProof/>
            <w:webHidden/>
          </w:rPr>
          <w:instrText xml:space="preserve"> PAGEREF _Toc69115023 \h </w:instrText>
        </w:r>
        <w:r w:rsidR="00067A5E">
          <w:rPr>
            <w:noProof/>
            <w:webHidden/>
          </w:rPr>
        </w:r>
        <w:r w:rsidR="00067A5E">
          <w:rPr>
            <w:noProof/>
            <w:webHidden/>
          </w:rPr>
          <w:fldChar w:fldCharType="separate"/>
        </w:r>
        <w:r w:rsidR="00067A5E">
          <w:rPr>
            <w:noProof/>
            <w:webHidden/>
          </w:rPr>
          <w:t>143</w:t>
        </w:r>
        <w:r w:rsidR="00067A5E">
          <w:rPr>
            <w:noProof/>
            <w:webHidden/>
          </w:rPr>
          <w:fldChar w:fldCharType="end"/>
        </w:r>
      </w:hyperlink>
    </w:p>
    <w:p w14:paraId="33FBDC85" w14:textId="5FC242CE" w:rsidR="00067A5E" w:rsidRDefault="00B51F53">
      <w:pPr>
        <w:pStyle w:val="TableofFigures"/>
        <w:tabs>
          <w:tab w:val="right" w:leader="dot" w:pos="9016"/>
        </w:tabs>
        <w:rPr>
          <w:rFonts w:eastAsiaTheme="minorEastAsia"/>
          <w:noProof/>
          <w:lang w:eastAsia="en-GB"/>
        </w:rPr>
      </w:pPr>
      <w:hyperlink w:anchor="_Toc69115024" w:history="1">
        <w:r w:rsidR="00067A5E" w:rsidRPr="00C515B1">
          <w:rPr>
            <w:rStyle w:val="Hyperlink"/>
            <w:noProof/>
          </w:rPr>
          <w:t>Figure 5.9: Arrhenius plot of the polarisation resistance vs 1000/T for the Ag1 at 400-800</w:t>
        </w:r>
        <w:r w:rsidR="00067A5E" w:rsidRPr="00C515B1">
          <w:rPr>
            <w:rStyle w:val="Hyperlink"/>
            <w:rFonts w:cstheme="minorHAnsi"/>
            <w:noProof/>
          </w:rPr>
          <w:t>⁰</w:t>
        </w:r>
        <w:r w:rsidR="00067A5E" w:rsidRPr="00C515B1">
          <w:rPr>
            <w:rStyle w:val="Hyperlink"/>
            <w:noProof/>
          </w:rPr>
          <w:t>C in 100</w:t>
        </w:r>
        <w:r w:rsidR="00067A5E" w:rsidRPr="00C515B1">
          <w:rPr>
            <w:rStyle w:val="Hyperlink"/>
            <w:rFonts w:cstheme="minorHAnsi"/>
            <w:noProof/>
          </w:rPr>
          <w:t>⁰</w:t>
        </w:r>
        <w:r w:rsidR="00067A5E" w:rsidRPr="00C515B1">
          <w:rPr>
            <w:rStyle w:val="Hyperlink"/>
            <w:noProof/>
          </w:rPr>
          <w:t>C increments. The error bars are calculated from the standard deviation of the dataset</w:t>
        </w:r>
        <w:r w:rsidR="00067A5E">
          <w:rPr>
            <w:noProof/>
            <w:webHidden/>
          </w:rPr>
          <w:tab/>
        </w:r>
        <w:r w:rsidR="00067A5E">
          <w:rPr>
            <w:noProof/>
            <w:webHidden/>
          </w:rPr>
          <w:fldChar w:fldCharType="begin"/>
        </w:r>
        <w:r w:rsidR="00067A5E">
          <w:rPr>
            <w:noProof/>
            <w:webHidden/>
          </w:rPr>
          <w:instrText xml:space="preserve"> PAGEREF _Toc69115024 \h </w:instrText>
        </w:r>
        <w:r w:rsidR="00067A5E">
          <w:rPr>
            <w:noProof/>
            <w:webHidden/>
          </w:rPr>
        </w:r>
        <w:r w:rsidR="00067A5E">
          <w:rPr>
            <w:noProof/>
            <w:webHidden/>
          </w:rPr>
          <w:fldChar w:fldCharType="separate"/>
        </w:r>
        <w:r w:rsidR="00067A5E">
          <w:rPr>
            <w:noProof/>
            <w:webHidden/>
          </w:rPr>
          <w:t>145</w:t>
        </w:r>
        <w:r w:rsidR="00067A5E">
          <w:rPr>
            <w:noProof/>
            <w:webHidden/>
          </w:rPr>
          <w:fldChar w:fldCharType="end"/>
        </w:r>
      </w:hyperlink>
    </w:p>
    <w:p w14:paraId="6047A9BD" w14:textId="2986A606" w:rsidR="00067A5E" w:rsidRDefault="00B51F53">
      <w:pPr>
        <w:pStyle w:val="TableofFigures"/>
        <w:tabs>
          <w:tab w:val="right" w:leader="dot" w:pos="9016"/>
        </w:tabs>
        <w:rPr>
          <w:rFonts w:eastAsiaTheme="minorEastAsia"/>
          <w:noProof/>
          <w:lang w:eastAsia="en-GB"/>
        </w:rPr>
      </w:pPr>
      <w:hyperlink w:anchor="_Toc69115025" w:history="1">
        <w:r w:rsidR="00067A5E" w:rsidRPr="00C515B1">
          <w:rPr>
            <w:rStyle w:val="Hyperlink"/>
            <w:noProof/>
          </w:rPr>
          <w:t>Figure 5.10: Scatter graphs showing the Series and Polarisation resistance vs ageing time for the Ni-YSZ samples coated in an Au current collector</w:t>
        </w:r>
        <w:r w:rsidR="00067A5E">
          <w:rPr>
            <w:noProof/>
            <w:webHidden/>
          </w:rPr>
          <w:tab/>
        </w:r>
        <w:r w:rsidR="00067A5E">
          <w:rPr>
            <w:noProof/>
            <w:webHidden/>
          </w:rPr>
          <w:fldChar w:fldCharType="begin"/>
        </w:r>
        <w:r w:rsidR="00067A5E">
          <w:rPr>
            <w:noProof/>
            <w:webHidden/>
          </w:rPr>
          <w:instrText xml:space="preserve"> PAGEREF _Toc69115025 \h </w:instrText>
        </w:r>
        <w:r w:rsidR="00067A5E">
          <w:rPr>
            <w:noProof/>
            <w:webHidden/>
          </w:rPr>
        </w:r>
        <w:r w:rsidR="00067A5E">
          <w:rPr>
            <w:noProof/>
            <w:webHidden/>
          </w:rPr>
          <w:fldChar w:fldCharType="separate"/>
        </w:r>
        <w:r w:rsidR="00067A5E">
          <w:rPr>
            <w:noProof/>
            <w:webHidden/>
          </w:rPr>
          <w:t>146</w:t>
        </w:r>
        <w:r w:rsidR="00067A5E">
          <w:rPr>
            <w:noProof/>
            <w:webHidden/>
          </w:rPr>
          <w:fldChar w:fldCharType="end"/>
        </w:r>
      </w:hyperlink>
    </w:p>
    <w:p w14:paraId="3847A62E" w14:textId="79CF283E" w:rsidR="00067A5E" w:rsidRDefault="00B51F53">
      <w:pPr>
        <w:pStyle w:val="TableofFigures"/>
        <w:tabs>
          <w:tab w:val="right" w:leader="dot" w:pos="9016"/>
        </w:tabs>
        <w:rPr>
          <w:rFonts w:eastAsiaTheme="minorEastAsia"/>
          <w:noProof/>
          <w:lang w:eastAsia="en-GB"/>
        </w:rPr>
      </w:pPr>
      <w:hyperlink w:anchor="_Toc69115026" w:history="1">
        <w:r w:rsidR="00067A5E" w:rsidRPr="00C515B1">
          <w:rPr>
            <w:rStyle w:val="Hyperlink"/>
            <w:noProof/>
          </w:rPr>
          <w:t>Figure 5.11: Stacked Nyquist plots for the Au1 Ni-YSZ sample coated in an Au current collector over a 20 h ageing period. The markers track the evolution of the samples in 5 h increments. The hollowed markers indicate the data taken at intervals between</w:t>
        </w:r>
        <w:r w:rsidR="00067A5E">
          <w:rPr>
            <w:noProof/>
            <w:webHidden/>
          </w:rPr>
          <w:tab/>
        </w:r>
        <w:r w:rsidR="00067A5E">
          <w:rPr>
            <w:noProof/>
            <w:webHidden/>
          </w:rPr>
          <w:fldChar w:fldCharType="begin"/>
        </w:r>
        <w:r w:rsidR="00067A5E">
          <w:rPr>
            <w:noProof/>
            <w:webHidden/>
          </w:rPr>
          <w:instrText xml:space="preserve"> PAGEREF _Toc69115026 \h </w:instrText>
        </w:r>
        <w:r w:rsidR="00067A5E">
          <w:rPr>
            <w:noProof/>
            <w:webHidden/>
          </w:rPr>
        </w:r>
        <w:r w:rsidR="00067A5E">
          <w:rPr>
            <w:noProof/>
            <w:webHidden/>
          </w:rPr>
          <w:fldChar w:fldCharType="separate"/>
        </w:r>
        <w:r w:rsidR="00067A5E">
          <w:rPr>
            <w:noProof/>
            <w:webHidden/>
          </w:rPr>
          <w:t>147</w:t>
        </w:r>
        <w:r w:rsidR="00067A5E">
          <w:rPr>
            <w:noProof/>
            <w:webHidden/>
          </w:rPr>
          <w:fldChar w:fldCharType="end"/>
        </w:r>
      </w:hyperlink>
    </w:p>
    <w:p w14:paraId="2FBF097B" w14:textId="470CB526" w:rsidR="00067A5E" w:rsidRDefault="00B51F53">
      <w:pPr>
        <w:pStyle w:val="TableofFigures"/>
        <w:tabs>
          <w:tab w:val="right" w:leader="dot" w:pos="9016"/>
        </w:tabs>
        <w:rPr>
          <w:rFonts w:eastAsiaTheme="minorEastAsia"/>
          <w:noProof/>
          <w:lang w:eastAsia="en-GB"/>
        </w:rPr>
      </w:pPr>
      <w:hyperlink w:anchor="_Toc69115027" w:history="1">
        <w:r w:rsidR="00067A5E" w:rsidRPr="00C515B1">
          <w:rPr>
            <w:rStyle w:val="Hyperlink"/>
            <w:noProof/>
          </w:rPr>
          <w:t>Figure 5.12: Nyquist plots for the Au2 Ni-YSZ sample coated in an Au current collector over a 50 h ageing period. The markers track the evolution of the samples in 5 h increments.</w:t>
        </w:r>
        <w:r w:rsidR="00067A5E">
          <w:rPr>
            <w:noProof/>
            <w:webHidden/>
          </w:rPr>
          <w:tab/>
        </w:r>
        <w:r w:rsidR="00067A5E">
          <w:rPr>
            <w:noProof/>
            <w:webHidden/>
          </w:rPr>
          <w:fldChar w:fldCharType="begin"/>
        </w:r>
        <w:r w:rsidR="00067A5E">
          <w:rPr>
            <w:noProof/>
            <w:webHidden/>
          </w:rPr>
          <w:instrText xml:space="preserve"> PAGEREF _Toc69115027 \h </w:instrText>
        </w:r>
        <w:r w:rsidR="00067A5E">
          <w:rPr>
            <w:noProof/>
            <w:webHidden/>
          </w:rPr>
        </w:r>
        <w:r w:rsidR="00067A5E">
          <w:rPr>
            <w:noProof/>
            <w:webHidden/>
          </w:rPr>
          <w:fldChar w:fldCharType="separate"/>
        </w:r>
        <w:r w:rsidR="00067A5E">
          <w:rPr>
            <w:noProof/>
            <w:webHidden/>
          </w:rPr>
          <w:t>147</w:t>
        </w:r>
        <w:r w:rsidR="00067A5E">
          <w:rPr>
            <w:noProof/>
            <w:webHidden/>
          </w:rPr>
          <w:fldChar w:fldCharType="end"/>
        </w:r>
      </w:hyperlink>
    </w:p>
    <w:p w14:paraId="4EDB7432" w14:textId="3A8EB2D3" w:rsidR="00067A5E" w:rsidRDefault="00B51F53">
      <w:pPr>
        <w:pStyle w:val="TableofFigures"/>
        <w:tabs>
          <w:tab w:val="right" w:leader="dot" w:pos="9016"/>
        </w:tabs>
        <w:rPr>
          <w:rFonts w:eastAsiaTheme="minorEastAsia"/>
          <w:noProof/>
          <w:lang w:eastAsia="en-GB"/>
        </w:rPr>
      </w:pPr>
      <w:hyperlink w:anchor="_Toc69115028" w:history="1">
        <w:r w:rsidR="00067A5E" w:rsidRPr="00C515B1">
          <w:rPr>
            <w:rStyle w:val="Hyperlink"/>
            <w:noProof/>
          </w:rPr>
          <w:t>Figure 5.13: Equivalent circuit used to model the electrochemical process present in the Ni-YSZ electrode coated in gold current collector (Diagram made in XM Studio).</w:t>
        </w:r>
        <w:r w:rsidR="00067A5E">
          <w:rPr>
            <w:noProof/>
            <w:webHidden/>
          </w:rPr>
          <w:tab/>
        </w:r>
        <w:r w:rsidR="00067A5E">
          <w:rPr>
            <w:noProof/>
            <w:webHidden/>
          </w:rPr>
          <w:fldChar w:fldCharType="begin"/>
        </w:r>
        <w:r w:rsidR="00067A5E">
          <w:rPr>
            <w:noProof/>
            <w:webHidden/>
          </w:rPr>
          <w:instrText xml:space="preserve"> PAGEREF _Toc69115028 \h </w:instrText>
        </w:r>
        <w:r w:rsidR="00067A5E">
          <w:rPr>
            <w:noProof/>
            <w:webHidden/>
          </w:rPr>
        </w:r>
        <w:r w:rsidR="00067A5E">
          <w:rPr>
            <w:noProof/>
            <w:webHidden/>
          </w:rPr>
          <w:fldChar w:fldCharType="separate"/>
        </w:r>
        <w:r w:rsidR="00067A5E">
          <w:rPr>
            <w:noProof/>
            <w:webHidden/>
          </w:rPr>
          <w:t>148</w:t>
        </w:r>
        <w:r w:rsidR="00067A5E">
          <w:rPr>
            <w:noProof/>
            <w:webHidden/>
          </w:rPr>
          <w:fldChar w:fldCharType="end"/>
        </w:r>
      </w:hyperlink>
    </w:p>
    <w:p w14:paraId="54058B10" w14:textId="447E7ED1" w:rsidR="00067A5E" w:rsidRDefault="00B51F53">
      <w:pPr>
        <w:pStyle w:val="TableofFigures"/>
        <w:tabs>
          <w:tab w:val="right" w:leader="dot" w:pos="9016"/>
        </w:tabs>
        <w:rPr>
          <w:rFonts w:eastAsiaTheme="minorEastAsia"/>
          <w:noProof/>
          <w:lang w:eastAsia="en-GB"/>
        </w:rPr>
      </w:pPr>
      <w:hyperlink w:anchor="_Toc69115029" w:history="1">
        <w:r w:rsidR="00067A5E" w:rsidRPr="00C515B1">
          <w:rPr>
            <w:rStyle w:val="Hyperlink"/>
            <w:noProof/>
          </w:rPr>
          <w:t>Figure 5.14: Nyquist plots for the Au1 Ni-YSZ sample coated in an Au current collector over a 20 h ageing period. The markers track the evolution of the samples in 5 h increments. The equivalent circuit fit is denoted by the black line series</w:t>
        </w:r>
        <w:r w:rsidR="00067A5E">
          <w:rPr>
            <w:noProof/>
            <w:webHidden/>
          </w:rPr>
          <w:tab/>
        </w:r>
        <w:r w:rsidR="00067A5E">
          <w:rPr>
            <w:noProof/>
            <w:webHidden/>
          </w:rPr>
          <w:fldChar w:fldCharType="begin"/>
        </w:r>
        <w:r w:rsidR="00067A5E">
          <w:rPr>
            <w:noProof/>
            <w:webHidden/>
          </w:rPr>
          <w:instrText xml:space="preserve"> PAGEREF _Toc69115029 \h </w:instrText>
        </w:r>
        <w:r w:rsidR="00067A5E">
          <w:rPr>
            <w:noProof/>
            <w:webHidden/>
          </w:rPr>
        </w:r>
        <w:r w:rsidR="00067A5E">
          <w:rPr>
            <w:noProof/>
            <w:webHidden/>
          </w:rPr>
          <w:fldChar w:fldCharType="separate"/>
        </w:r>
        <w:r w:rsidR="00067A5E">
          <w:rPr>
            <w:noProof/>
            <w:webHidden/>
          </w:rPr>
          <w:t>149</w:t>
        </w:r>
        <w:r w:rsidR="00067A5E">
          <w:rPr>
            <w:noProof/>
            <w:webHidden/>
          </w:rPr>
          <w:fldChar w:fldCharType="end"/>
        </w:r>
      </w:hyperlink>
    </w:p>
    <w:p w14:paraId="73B4CA0A" w14:textId="2ABF3638" w:rsidR="00067A5E" w:rsidRDefault="00B51F53">
      <w:pPr>
        <w:pStyle w:val="TableofFigures"/>
        <w:tabs>
          <w:tab w:val="right" w:leader="dot" w:pos="9016"/>
        </w:tabs>
        <w:rPr>
          <w:rFonts w:eastAsiaTheme="minorEastAsia"/>
          <w:noProof/>
          <w:lang w:eastAsia="en-GB"/>
        </w:rPr>
      </w:pPr>
      <w:hyperlink w:anchor="_Toc69115030" w:history="1">
        <w:r w:rsidR="00067A5E" w:rsidRPr="00C515B1">
          <w:rPr>
            <w:rStyle w:val="Hyperlink"/>
            <w:noProof/>
          </w:rPr>
          <w:t>Figure 5.15: Nyquist plots for the Au2 Ni-YSZ sample coated in an Au current collector over a 50 h ageing period. The markers track the evolution of the samples in 5 h increments. The equivalent circuit fit is denoted by the black line series</w:t>
        </w:r>
        <w:r w:rsidR="00067A5E">
          <w:rPr>
            <w:noProof/>
            <w:webHidden/>
          </w:rPr>
          <w:tab/>
        </w:r>
        <w:r w:rsidR="00067A5E">
          <w:rPr>
            <w:noProof/>
            <w:webHidden/>
          </w:rPr>
          <w:fldChar w:fldCharType="begin"/>
        </w:r>
        <w:r w:rsidR="00067A5E">
          <w:rPr>
            <w:noProof/>
            <w:webHidden/>
          </w:rPr>
          <w:instrText xml:space="preserve"> PAGEREF _Toc69115030 \h </w:instrText>
        </w:r>
        <w:r w:rsidR="00067A5E">
          <w:rPr>
            <w:noProof/>
            <w:webHidden/>
          </w:rPr>
        </w:r>
        <w:r w:rsidR="00067A5E">
          <w:rPr>
            <w:noProof/>
            <w:webHidden/>
          </w:rPr>
          <w:fldChar w:fldCharType="separate"/>
        </w:r>
        <w:r w:rsidR="00067A5E">
          <w:rPr>
            <w:noProof/>
            <w:webHidden/>
          </w:rPr>
          <w:t>149</w:t>
        </w:r>
        <w:r w:rsidR="00067A5E">
          <w:rPr>
            <w:noProof/>
            <w:webHidden/>
          </w:rPr>
          <w:fldChar w:fldCharType="end"/>
        </w:r>
      </w:hyperlink>
    </w:p>
    <w:p w14:paraId="79B7CAAE" w14:textId="1C84356A" w:rsidR="00067A5E" w:rsidRDefault="00B51F53">
      <w:pPr>
        <w:pStyle w:val="TableofFigures"/>
        <w:tabs>
          <w:tab w:val="right" w:leader="dot" w:pos="9016"/>
        </w:tabs>
        <w:rPr>
          <w:rFonts w:eastAsiaTheme="minorEastAsia"/>
          <w:noProof/>
          <w:lang w:eastAsia="en-GB"/>
        </w:rPr>
      </w:pPr>
      <w:hyperlink w:anchor="_Toc69115031" w:history="1">
        <w:r w:rsidR="00067A5E" w:rsidRPr="00C515B1">
          <w:rPr>
            <w:rStyle w:val="Hyperlink"/>
            <w:noProof/>
          </w:rPr>
          <w:t xml:space="preserve">Figure 5.16: Arrhenius plot of the polarisation resistance vs 1000/T for the Au1 at 400-800 </w:t>
        </w:r>
        <w:r w:rsidR="00067A5E" w:rsidRPr="00C515B1">
          <w:rPr>
            <w:rStyle w:val="Hyperlink"/>
            <w:rFonts w:cstheme="minorHAnsi"/>
            <w:noProof/>
          </w:rPr>
          <w:t>⁰</w:t>
        </w:r>
        <w:r w:rsidR="00067A5E" w:rsidRPr="00C515B1">
          <w:rPr>
            <w:rStyle w:val="Hyperlink"/>
            <w:noProof/>
          </w:rPr>
          <w:t xml:space="preserve">C (673 – 1073 K). Three gradients were identified with linear fitting. 1. 400-550 </w:t>
        </w:r>
        <w:r w:rsidR="00067A5E" w:rsidRPr="00C515B1">
          <w:rPr>
            <w:rStyle w:val="Hyperlink"/>
            <w:rFonts w:cstheme="minorHAnsi"/>
            <w:noProof/>
          </w:rPr>
          <w:t>°</w:t>
        </w:r>
        <w:r w:rsidR="00067A5E" w:rsidRPr="00C515B1">
          <w:rPr>
            <w:rStyle w:val="Hyperlink"/>
            <w:noProof/>
          </w:rPr>
          <w:t xml:space="preserve">C 2. 550 – 700 </w:t>
        </w:r>
        <w:r w:rsidR="00067A5E" w:rsidRPr="00C515B1">
          <w:rPr>
            <w:rStyle w:val="Hyperlink"/>
            <w:rFonts w:cstheme="minorHAnsi"/>
            <w:noProof/>
          </w:rPr>
          <w:t>°</w:t>
        </w:r>
        <w:r w:rsidR="00067A5E" w:rsidRPr="00C515B1">
          <w:rPr>
            <w:rStyle w:val="Hyperlink"/>
            <w:noProof/>
          </w:rPr>
          <w:t xml:space="preserve">C 3. 700 – 800 </w:t>
        </w:r>
        <w:r w:rsidR="00067A5E" w:rsidRPr="00C515B1">
          <w:rPr>
            <w:rStyle w:val="Hyperlink"/>
            <w:rFonts w:cstheme="minorHAnsi"/>
            <w:noProof/>
          </w:rPr>
          <w:t>°</w:t>
        </w:r>
        <w:r w:rsidR="00067A5E" w:rsidRPr="00C515B1">
          <w:rPr>
            <w:rStyle w:val="Hyperlink"/>
            <w:noProof/>
          </w:rPr>
          <w:t>C. The error bars are calculated from the standard deviation of the dataset</w:t>
        </w:r>
        <w:r w:rsidR="00067A5E">
          <w:rPr>
            <w:noProof/>
            <w:webHidden/>
          </w:rPr>
          <w:tab/>
        </w:r>
        <w:r w:rsidR="00067A5E">
          <w:rPr>
            <w:noProof/>
            <w:webHidden/>
          </w:rPr>
          <w:fldChar w:fldCharType="begin"/>
        </w:r>
        <w:r w:rsidR="00067A5E">
          <w:rPr>
            <w:noProof/>
            <w:webHidden/>
          </w:rPr>
          <w:instrText xml:space="preserve"> PAGEREF _Toc69115031 \h </w:instrText>
        </w:r>
        <w:r w:rsidR="00067A5E">
          <w:rPr>
            <w:noProof/>
            <w:webHidden/>
          </w:rPr>
        </w:r>
        <w:r w:rsidR="00067A5E">
          <w:rPr>
            <w:noProof/>
            <w:webHidden/>
          </w:rPr>
          <w:fldChar w:fldCharType="separate"/>
        </w:r>
        <w:r w:rsidR="00067A5E">
          <w:rPr>
            <w:noProof/>
            <w:webHidden/>
          </w:rPr>
          <w:t>150</w:t>
        </w:r>
        <w:r w:rsidR="00067A5E">
          <w:rPr>
            <w:noProof/>
            <w:webHidden/>
          </w:rPr>
          <w:fldChar w:fldCharType="end"/>
        </w:r>
      </w:hyperlink>
    </w:p>
    <w:p w14:paraId="1AE76887" w14:textId="517C783B" w:rsidR="00067A5E" w:rsidRDefault="00B51F53">
      <w:pPr>
        <w:pStyle w:val="TableofFigures"/>
        <w:tabs>
          <w:tab w:val="right" w:leader="dot" w:pos="9016"/>
        </w:tabs>
        <w:rPr>
          <w:rFonts w:eastAsiaTheme="minorEastAsia"/>
          <w:noProof/>
          <w:lang w:eastAsia="en-GB"/>
        </w:rPr>
      </w:pPr>
      <w:hyperlink w:anchor="_Toc69115032" w:history="1">
        <w:r w:rsidR="00067A5E" w:rsidRPr="00C515B1">
          <w:rPr>
            <w:rStyle w:val="Hyperlink"/>
            <w:noProof/>
          </w:rPr>
          <w:t>Figure 5.17: Phase diagram of gold and nickel metals. Adapted from Colbus et al [456]</w:t>
        </w:r>
        <w:r w:rsidR="00067A5E">
          <w:rPr>
            <w:noProof/>
            <w:webHidden/>
          </w:rPr>
          <w:tab/>
        </w:r>
        <w:r w:rsidR="00067A5E">
          <w:rPr>
            <w:noProof/>
            <w:webHidden/>
          </w:rPr>
          <w:fldChar w:fldCharType="begin"/>
        </w:r>
        <w:r w:rsidR="00067A5E">
          <w:rPr>
            <w:noProof/>
            <w:webHidden/>
          </w:rPr>
          <w:instrText xml:space="preserve"> PAGEREF _Toc69115032 \h </w:instrText>
        </w:r>
        <w:r w:rsidR="00067A5E">
          <w:rPr>
            <w:noProof/>
            <w:webHidden/>
          </w:rPr>
        </w:r>
        <w:r w:rsidR="00067A5E">
          <w:rPr>
            <w:noProof/>
            <w:webHidden/>
          </w:rPr>
          <w:fldChar w:fldCharType="separate"/>
        </w:r>
        <w:r w:rsidR="00067A5E">
          <w:rPr>
            <w:noProof/>
            <w:webHidden/>
          </w:rPr>
          <w:t>151</w:t>
        </w:r>
        <w:r w:rsidR="00067A5E">
          <w:rPr>
            <w:noProof/>
            <w:webHidden/>
          </w:rPr>
          <w:fldChar w:fldCharType="end"/>
        </w:r>
      </w:hyperlink>
    </w:p>
    <w:p w14:paraId="3AA1CB80" w14:textId="1B35ACCF" w:rsidR="00067A5E" w:rsidRDefault="00B51F53">
      <w:pPr>
        <w:pStyle w:val="TableofFigures"/>
        <w:tabs>
          <w:tab w:val="right" w:leader="dot" w:pos="9016"/>
        </w:tabs>
        <w:rPr>
          <w:rFonts w:eastAsiaTheme="minorEastAsia"/>
          <w:noProof/>
          <w:lang w:eastAsia="en-GB"/>
        </w:rPr>
      </w:pPr>
      <w:hyperlink w:anchor="_Toc69115033" w:history="1">
        <w:r w:rsidR="00067A5E" w:rsidRPr="00C515B1">
          <w:rPr>
            <w:rStyle w:val="Hyperlink"/>
            <w:noProof/>
          </w:rPr>
          <w:t>Figure 5.18: Nyquist plots for the Ni-YSZ sample coated in a Pt current collector over a 50h ageing period (P2) including the equivalent circuit fit using the circuit in Figure 5.118</w:t>
        </w:r>
        <w:r w:rsidR="00067A5E">
          <w:rPr>
            <w:noProof/>
            <w:webHidden/>
          </w:rPr>
          <w:tab/>
        </w:r>
        <w:r w:rsidR="00067A5E">
          <w:rPr>
            <w:noProof/>
            <w:webHidden/>
          </w:rPr>
          <w:fldChar w:fldCharType="begin"/>
        </w:r>
        <w:r w:rsidR="00067A5E">
          <w:rPr>
            <w:noProof/>
            <w:webHidden/>
          </w:rPr>
          <w:instrText xml:space="preserve"> PAGEREF _Toc69115033 \h </w:instrText>
        </w:r>
        <w:r w:rsidR="00067A5E">
          <w:rPr>
            <w:noProof/>
            <w:webHidden/>
          </w:rPr>
        </w:r>
        <w:r w:rsidR="00067A5E">
          <w:rPr>
            <w:noProof/>
            <w:webHidden/>
          </w:rPr>
          <w:fldChar w:fldCharType="separate"/>
        </w:r>
        <w:r w:rsidR="00067A5E">
          <w:rPr>
            <w:noProof/>
            <w:webHidden/>
          </w:rPr>
          <w:t>152</w:t>
        </w:r>
        <w:r w:rsidR="00067A5E">
          <w:rPr>
            <w:noProof/>
            <w:webHidden/>
          </w:rPr>
          <w:fldChar w:fldCharType="end"/>
        </w:r>
      </w:hyperlink>
    </w:p>
    <w:p w14:paraId="6C08B9C6" w14:textId="4FBC54A0" w:rsidR="00067A5E" w:rsidRDefault="00B51F53">
      <w:pPr>
        <w:pStyle w:val="TableofFigures"/>
        <w:tabs>
          <w:tab w:val="right" w:leader="dot" w:pos="9016"/>
        </w:tabs>
        <w:rPr>
          <w:rFonts w:eastAsiaTheme="minorEastAsia"/>
          <w:noProof/>
          <w:lang w:eastAsia="en-GB"/>
        </w:rPr>
      </w:pPr>
      <w:hyperlink w:anchor="_Toc69115034" w:history="1">
        <w:r w:rsidR="00067A5E" w:rsidRPr="00C515B1">
          <w:rPr>
            <w:rStyle w:val="Hyperlink"/>
            <w:noProof/>
          </w:rPr>
          <w:t>Figure 5.19: Scatter graphs showing the evolution of the Series resistance vs ageing time for the Ni-YSZ samples coated in a Ni current collector (Shoei, Japan)</w:t>
        </w:r>
        <w:r w:rsidR="00067A5E">
          <w:rPr>
            <w:noProof/>
            <w:webHidden/>
          </w:rPr>
          <w:tab/>
        </w:r>
        <w:r w:rsidR="00067A5E">
          <w:rPr>
            <w:noProof/>
            <w:webHidden/>
          </w:rPr>
          <w:fldChar w:fldCharType="begin"/>
        </w:r>
        <w:r w:rsidR="00067A5E">
          <w:rPr>
            <w:noProof/>
            <w:webHidden/>
          </w:rPr>
          <w:instrText xml:space="preserve"> PAGEREF _Toc69115034 \h </w:instrText>
        </w:r>
        <w:r w:rsidR="00067A5E">
          <w:rPr>
            <w:noProof/>
            <w:webHidden/>
          </w:rPr>
        </w:r>
        <w:r w:rsidR="00067A5E">
          <w:rPr>
            <w:noProof/>
            <w:webHidden/>
          </w:rPr>
          <w:fldChar w:fldCharType="separate"/>
        </w:r>
        <w:r w:rsidR="00067A5E">
          <w:rPr>
            <w:noProof/>
            <w:webHidden/>
          </w:rPr>
          <w:t>153</w:t>
        </w:r>
        <w:r w:rsidR="00067A5E">
          <w:rPr>
            <w:noProof/>
            <w:webHidden/>
          </w:rPr>
          <w:fldChar w:fldCharType="end"/>
        </w:r>
      </w:hyperlink>
    </w:p>
    <w:p w14:paraId="25CBDDB0" w14:textId="002AC1E8" w:rsidR="00067A5E" w:rsidRDefault="00B51F53">
      <w:pPr>
        <w:pStyle w:val="TableofFigures"/>
        <w:tabs>
          <w:tab w:val="right" w:leader="dot" w:pos="9016"/>
        </w:tabs>
        <w:rPr>
          <w:rFonts w:eastAsiaTheme="minorEastAsia"/>
          <w:noProof/>
          <w:lang w:eastAsia="en-GB"/>
        </w:rPr>
      </w:pPr>
      <w:hyperlink w:anchor="_Toc69115035" w:history="1">
        <w:r w:rsidR="00067A5E" w:rsidRPr="00C515B1">
          <w:rPr>
            <w:rStyle w:val="Hyperlink"/>
            <w:noProof/>
          </w:rPr>
          <w:t>Figure 5.20: Scatter graphs showing the evolution of the Polarisation resistance vs ageing time for the Ni-YSZ samples coated in a Ni current collector (Shoei, Japan)</w:t>
        </w:r>
        <w:r w:rsidR="00067A5E">
          <w:rPr>
            <w:noProof/>
            <w:webHidden/>
          </w:rPr>
          <w:tab/>
        </w:r>
        <w:r w:rsidR="00067A5E">
          <w:rPr>
            <w:noProof/>
            <w:webHidden/>
          </w:rPr>
          <w:fldChar w:fldCharType="begin"/>
        </w:r>
        <w:r w:rsidR="00067A5E">
          <w:rPr>
            <w:noProof/>
            <w:webHidden/>
          </w:rPr>
          <w:instrText xml:space="preserve"> PAGEREF _Toc69115035 \h </w:instrText>
        </w:r>
        <w:r w:rsidR="00067A5E">
          <w:rPr>
            <w:noProof/>
            <w:webHidden/>
          </w:rPr>
        </w:r>
        <w:r w:rsidR="00067A5E">
          <w:rPr>
            <w:noProof/>
            <w:webHidden/>
          </w:rPr>
          <w:fldChar w:fldCharType="separate"/>
        </w:r>
        <w:r w:rsidR="00067A5E">
          <w:rPr>
            <w:noProof/>
            <w:webHidden/>
          </w:rPr>
          <w:t>153</w:t>
        </w:r>
        <w:r w:rsidR="00067A5E">
          <w:rPr>
            <w:noProof/>
            <w:webHidden/>
          </w:rPr>
          <w:fldChar w:fldCharType="end"/>
        </w:r>
      </w:hyperlink>
    </w:p>
    <w:p w14:paraId="19046D0D" w14:textId="098FD683" w:rsidR="00067A5E" w:rsidRDefault="00B51F53">
      <w:pPr>
        <w:pStyle w:val="TableofFigures"/>
        <w:tabs>
          <w:tab w:val="right" w:leader="dot" w:pos="9016"/>
        </w:tabs>
        <w:rPr>
          <w:rFonts w:eastAsiaTheme="minorEastAsia"/>
          <w:noProof/>
          <w:lang w:eastAsia="en-GB"/>
        </w:rPr>
      </w:pPr>
      <w:hyperlink w:anchor="_Toc69115036" w:history="1">
        <w:r w:rsidR="00067A5E" w:rsidRPr="00C515B1">
          <w:rPr>
            <w:rStyle w:val="Hyperlink"/>
            <w:noProof/>
          </w:rPr>
          <w:t>Figure 5.21: Stacked Nyquist plot Nyquist plots for the Ni-YSZ sample coated in a Ni current collector over a 50h ageing period (Ni2)</w:t>
        </w:r>
        <w:r w:rsidR="00067A5E">
          <w:rPr>
            <w:noProof/>
            <w:webHidden/>
          </w:rPr>
          <w:tab/>
        </w:r>
        <w:r w:rsidR="00067A5E">
          <w:rPr>
            <w:noProof/>
            <w:webHidden/>
          </w:rPr>
          <w:fldChar w:fldCharType="begin"/>
        </w:r>
        <w:r w:rsidR="00067A5E">
          <w:rPr>
            <w:noProof/>
            <w:webHidden/>
          </w:rPr>
          <w:instrText xml:space="preserve"> PAGEREF _Toc69115036 \h </w:instrText>
        </w:r>
        <w:r w:rsidR="00067A5E">
          <w:rPr>
            <w:noProof/>
            <w:webHidden/>
          </w:rPr>
        </w:r>
        <w:r w:rsidR="00067A5E">
          <w:rPr>
            <w:noProof/>
            <w:webHidden/>
          </w:rPr>
          <w:fldChar w:fldCharType="separate"/>
        </w:r>
        <w:r w:rsidR="00067A5E">
          <w:rPr>
            <w:noProof/>
            <w:webHidden/>
          </w:rPr>
          <w:t>154</w:t>
        </w:r>
        <w:r w:rsidR="00067A5E">
          <w:rPr>
            <w:noProof/>
            <w:webHidden/>
          </w:rPr>
          <w:fldChar w:fldCharType="end"/>
        </w:r>
      </w:hyperlink>
    </w:p>
    <w:p w14:paraId="59D84378" w14:textId="228B5999" w:rsidR="00067A5E" w:rsidRDefault="00B51F53">
      <w:pPr>
        <w:pStyle w:val="TableofFigures"/>
        <w:tabs>
          <w:tab w:val="right" w:leader="dot" w:pos="9016"/>
        </w:tabs>
        <w:rPr>
          <w:rFonts w:eastAsiaTheme="minorEastAsia"/>
          <w:noProof/>
          <w:lang w:eastAsia="en-GB"/>
        </w:rPr>
      </w:pPr>
      <w:hyperlink w:anchor="_Toc69115037" w:history="1">
        <w:r w:rsidR="00067A5E" w:rsidRPr="00C515B1">
          <w:rPr>
            <w:rStyle w:val="Hyperlink"/>
            <w:noProof/>
          </w:rPr>
          <w:t>Figure 5.22: Equivalent circuit used to model the electrochemical process present in the Ni-YSZ electrode coated in gold NiO collector (Diagram made in XM Studio).</w:t>
        </w:r>
        <w:r w:rsidR="00067A5E">
          <w:rPr>
            <w:noProof/>
            <w:webHidden/>
          </w:rPr>
          <w:tab/>
        </w:r>
        <w:r w:rsidR="00067A5E">
          <w:rPr>
            <w:noProof/>
            <w:webHidden/>
          </w:rPr>
          <w:fldChar w:fldCharType="begin"/>
        </w:r>
        <w:r w:rsidR="00067A5E">
          <w:rPr>
            <w:noProof/>
            <w:webHidden/>
          </w:rPr>
          <w:instrText xml:space="preserve"> PAGEREF _Toc69115037 \h </w:instrText>
        </w:r>
        <w:r w:rsidR="00067A5E">
          <w:rPr>
            <w:noProof/>
            <w:webHidden/>
          </w:rPr>
        </w:r>
        <w:r w:rsidR="00067A5E">
          <w:rPr>
            <w:noProof/>
            <w:webHidden/>
          </w:rPr>
          <w:fldChar w:fldCharType="separate"/>
        </w:r>
        <w:r w:rsidR="00067A5E">
          <w:rPr>
            <w:noProof/>
            <w:webHidden/>
          </w:rPr>
          <w:t>154</w:t>
        </w:r>
        <w:r w:rsidR="00067A5E">
          <w:rPr>
            <w:noProof/>
            <w:webHidden/>
          </w:rPr>
          <w:fldChar w:fldCharType="end"/>
        </w:r>
      </w:hyperlink>
    </w:p>
    <w:p w14:paraId="58A131D4" w14:textId="77C52DF9" w:rsidR="00067A5E" w:rsidRDefault="00B51F53">
      <w:pPr>
        <w:pStyle w:val="TableofFigures"/>
        <w:tabs>
          <w:tab w:val="right" w:leader="dot" w:pos="9016"/>
        </w:tabs>
        <w:rPr>
          <w:rFonts w:eastAsiaTheme="minorEastAsia"/>
          <w:noProof/>
          <w:lang w:eastAsia="en-GB"/>
        </w:rPr>
      </w:pPr>
      <w:hyperlink w:anchor="_Toc69115038" w:history="1">
        <w:r w:rsidR="00067A5E" w:rsidRPr="00C515B1">
          <w:rPr>
            <w:rStyle w:val="Hyperlink"/>
            <w:noProof/>
          </w:rPr>
          <w:t>Figure 5.23: Nyquist plots for the Ni-YSZ sample coated in a Pt current collector over a 50h ageing period (Ni2) including the equivalent circuit fit</w:t>
        </w:r>
        <w:r w:rsidR="00067A5E">
          <w:rPr>
            <w:noProof/>
            <w:webHidden/>
          </w:rPr>
          <w:tab/>
        </w:r>
        <w:r w:rsidR="00067A5E">
          <w:rPr>
            <w:noProof/>
            <w:webHidden/>
          </w:rPr>
          <w:fldChar w:fldCharType="begin"/>
        </w:r>
        <w:r w:rsidR="00067A5E">
          <w:rPr>
            <w:noProof/>
            <w:webHidden/>
          </w:rPr>
          <w:instrText xml:space="preserve"> PAGEREF _Toc69115038 \h </w:instrText>
        </w:r>
        <w:r w:rsidR="00067A5E">
          <w:rPr>
            <w:noProof/>
            <w:webHidden/>
          </w:rPr>
        </w:r>
        <w:r w:rsidR="00067A5E">
          <w:rPr>
            <w:noProof/>
            <w:webHidden/>
          </w:rPr>
          <w:fldChar w:fldCharType="separate"/>
        </w:r>
        <w:r w:rsidR="00067A5E">
          <w:rPr>
            <w:noProof/>
            <w:webHidden/>
          </w:rPr>
          <w:t>155</w:t>
        </w:r>
        <w:r w:rsidR="00067A5E">
          <w:rPr>
            <w:noProof/>
            <w:webHidden/>
          </w:rPr>
          <w:fldChar w:fldCharType="end"/>
        </w:r>
      </w:hyperlink>
    </w:p>
    <w:p w14:paraId="3B0166AF" w14:textId="6BE93960" w:rsidR="00067A5E" w:rsidRDefault="00B51F53">
      <w:pPr>
        <w:pStyle w:val="TableofFigures"/>
        <w:tabs>
          <w:tab w:val="right" w:leader="dot" w:pos="9016"/>
        </w:tabs>
        <w:rPr>
          <w:rFonts w:eastAsiaTheme="minorEastAsia"/>
          <w:noProof/>
          <w:lang w:eastAsia="en-GB"/>
        </w:rPr>
      </w:pPr>
      <w:hyperlink w:anchor="_Toc69115039" w:history="1">
        <w:r w:rsidR="00067A5E" w:rsidRPr="00C515B1">
          <w:rPr>
            <w:rStyle w:val="Hyperlink"/>
            <w:noProof/>
          </w:rPr>
          <w:t>Figure 5.24: Theta vs Frequency plot for the Ni2 Ni-YSZ sample fit using the equivalent circuit model shown in Figure 5.22</w:t>
        </w:r>
        <w:r w:rsidR="00067A5E">
          <w:rPr>
            <w:noProof/>
            <w:webHidden/>
          </w:rPr>
          <w:tab/>
        </w:r>
        <w:r w:rsidR="00067A5E">
          <w:rPr>
            <w:noProof/>
            <w:webHidden/>
          </w:rPr>
          <w:fldChar w:fldCharType="begin"/>
        </w:r>
        <w:r w:rsidR="00067A5E">
          <w:rPr>
            <w:noProof/>
            <w:webHidden/>
          </w:rPr>
          <w:instrText xml:space="preserve"> PAGEREF _Toc69115039 \h </w:instrText>
        </w:r>
        <w:r w:rsidR="00067A5E">
          <w:rPr>
            <w:noProof/>
            <w:webHidden/>
          </w:rPr>
        </w:r>
        <w:r w:rsidR="00067A5E">
          <w:rPr>
            <w:noProof/>
            <w:webHidden/>
          </w:rPr>
          <w:fldChar w:fldCharType="separate"/>
        </w:r>
        <w:r w:rsidR="00067A5E">
          <w:rPr>
            <w:noProof/>
            <w:webHidden/>
          </w:rPr>
          <w:t>155</w:t>
        </w:r>
        <w:r w:rsidR="00067A5E">
          <w:rPr>
            <w:noProof/>
            <w:webHidden/>
          </w:rPr>
          <w:fldChar w:fldCharType="end"/>
        </w:r>
      </w:hyperlink>
    </w:p>
    <w:p w14:paraId="3FCD2B27" w14:textId="6B878C5D" w:rsidR="00067A5E" w:rsidRDefault="00B51F53">
      <w:pPr>
        <w:pStyle w:val="TableofFigures"/>
        <w:tabs>
          <w:tab w:val="right" w:leader="dot" w:pos="9016"/>
        </w:tabs>
        <w:rPr>
          <w:rFonts w:eastAsiaTheme="minorEastAsia"/>
          <w:noProof/>
          <w:lang w:eastAsia="en-GB"/>
        </w:rPr>
      </w:pPr>
      <w:hyperlink w:anchor="_Toc69115040" w:history="1">
        <w:r w:rsidR="00067A5E" w:rsidRPr="00C515B1">
          <w:rPr>
            <w:rStyle w:val="Hyperlink"/>
            <w:noProof/>
          </w:rPr>
          <w:t>Figure 5.25: Arrhenius plot of the polarisation resistance vs 1000/T for the Ni3 at 400-800</w:t>
        </w:r>
        <w:r w:rsidR="00067A5E" w:rsidRPr="00C515B1">
          <w:rPr>
            <w:rStyle w:val="Hyperlink"/>
            <w:rFonts w:cstheme="minorHAnsi"/>
            <w:noProof/>
          </w:rPr>
          <w:t>⁰</w:t>
        </w:r>
        <w:r w:rsidR="00067A5E" w:rsidRPr="00C515B1">
          <w:rPr>
            <w:rStyle w:val="Hyperlink"/>
            <w:noProof/>
          </w:rPr>
          <w:t>C at 50</w:t>
        </w:r>
        <w:r w:rsidR="00067A5E" w:rsidRPr="00C515B1">
          <w:rPr>
            <w:rStyle w:val="Hyperlink"/>
            <w:rFonts w:cstheme="minorHAnsi"/>
            <w:noProof/>
          </w:rPr>
          <w:t>⁰</w:t>
        </w:r>
        <w:r w:rsidR="00067A5E" w:rsidRPr="00C515B1">
          <w:rPr>
            <w:rStyle w:val="Hyperlink"/>
            <w:noProof/>
          </w:rPr>
          <w:t xml:space="preserve">C increments. The error bars were calculated from the standard deviation of the dataset. The tangent at 600 </w:t>
        </w:r>
        <w:r w:rsidR="00067A5E" w:rsidRPr="00C515B1">
          <w:rPr>
            <w:rStyle w:val="Hyperlink"/>
            <w:rFonts w:cstheme="minorHAnsi"/>
            <w:noProof/>
          </w:rPr>
          <w:t>°</w:t>
        </w:r>
        <w:r w:rsidR="00067A5E" w:rsidRPr="00C515B1">
          <w:rPr>
            <w:rStyle w:val="Hyperlink"/>
            <w:noProof/>
          </w:rPr>
          <w:t xml:space="preserve">C is purple and the tangent at 800 </w:t>
        </w:r>
        <w:r w:rsidR="00067A5E" w:rsidRPr="00C515B1">
          <w:rPr>
            <w:rStyle w:val="Hyperlink"/>
            <w:rFonts w:cstheme="minorHAnsi"/>
            <w:noProof/>
          </w:rPr>
          <w:t>°</w:t>
        </w:r>
        <w:r w:rsidR="00067A5E" w:rsidRPr="00C515B1">
          <w:rPr>
            <w:rStyle w:val="Hyperlink"/>
            <w:noProof/>
          </w:rPr>
          <w:t>C blue respectively</w:t>
        </w:r>
        <w:r w:rsidR="00067A5E">
          <w:rPr>
            <w:noProof/>
            <w:webHidden/>
          </w:rPr>
          <w:tab/>
        </w:r>
        <w:r w:rsidR="00067A5E">
          <w:rPr>
            <w:noProof/>
            <w:webHidden/>
          </w:rPr>
          <w:fldChar w:fldCharType="begin"/>
        </w:r>
        <w:r w:rsidR="00067A5E">
          <w:rPr>
            <w:noProof/>
            <w:webHidden/>
          </w:rPr>
          <w:instrText xml:space="preserve"> PAGEREF _Toc69115040 \h </w:instrText>
        </w:r>
        <w:r w:rsidR="00067A5E">
          <w:rPr>
            <w:noProof/>
            <w:webHidden/>
          </w:rPr>
        </w:r>
        <w:r w:rsidR="00067A5E">
          <w:rPr>
            <w:noProof/>
            <w:webHidden/>
          </w:rPr>
          <w:fldChar w:fldCharType="separate"/>
        </w:r>
        <w:r w:rsidR="00067A5E">
          <w:rPr>
            <w:noProof/>
            <w:webHidden/>
          </w:rPr>
          <w:t>157</w:t>
        </w:r>
        <w:r w:rsidR="00067A5E">
          <w:rPr>
            <w:noProof/>
            <w:webHidden/>
          </w:rPr>
          <w:fldChar w:fldCharType="end"/>
        </w:r>
      </w:hyperlink>
    </w:p>
    <w:p w14:paraId="3CFD605E" w14:textId="0F479153" w:rsidR="00067A5E" w:rsidRDefault="00B51F53">
      <w:pPr>
        <w:pStyle w:val="TableofFigures"/>
        <w:tabs>
          <w:tab w:val="right" w:leader="dot" w:pos="9016"/>
        </w:tabs>
        <w:rPr>
          <w:rFonts w:eastAsiaTheme="minorEastAsia"/>
          <w:noProof/>
          <w:lang w:eastAsia="en-GB"/>
        </w:rPr>
      </w:pPr>
      <w:hyperlink w:anchor="_Toc69115041" w:history="1">
        <w:r w:rsidR="00067A5E" w:rsidRPr="00C515B1">
          <w:rPr>
            <w:rStyle w:val="Hyperlink"/>
            <w:noProof/>
          </w:rPr>
          <w:t>Figure 5.26: Initial Nyquist plots of the 4 representative samples for the symmetrical Ni-YSZ samples. The red, green, orange and blue series are Ag, NiO, Au and Pt respectively.</w:t>
        </w:r>
        <w:r w:rsidR="00067A5E">
          <w:rPr>
            <w:noProof/>
            <w:webHidden/>
          </w:rPr>
          <w:tab/>
        </w:r>
        <w:r w:rsidR="00067A5E">
          <w:rPr>
            <w:noProof/>
            <w:webHidden/>
          </w:rPr>
          <w:fldChar w:fldCharType="begin"/>
        </w:r>
        <w:r w:rsidR="00067A5E">
          <w:rPr>
            <w:noProof/>
            <w:webHidden/>
          </w:rPr>
          <w:instrText xml:space="preserve"> PAGEREF _Toc69115041 \h </w:instrText>
        </w:r>
        <w:r w:rsidR="00067A5E">
          <w:rPr>
            <w:noProof/>
            <w:webHidden/>
          </w:rPr>
        </w:r>
        <w:r w:rsidR="00067A5E">
          <w:rPr>
            <w:noProof/>
            <w:webHidden/>
          </w:rPr>
          <w:fldChar w:fldCharType="separate"/>
        </w:r>
        <w:r w:rsidR="00067A5E">
          <w:rPr>
            <w:noProof/>
            <w:webHidden/>
          </w:rPr>
          <w:t>158</w:t>
        </w:r>
        <w:r w:rsidR="00067A5E">
          <w:rPr>
            <w:noProof/>
            <w:webHidden/>
          </w:rPr>
          <w:fldChar w:fldCharType="end"/>
        </w:r>
      </w:hyperlink>
    </w:p>
    <w:p w14:paraId="5F66D0E3" w14:textId="713D5531" w:rsidR="00067A5E" w:rsidRDefault="00B51F53">
      <w:pPr>
        <w:pStyle w:val="TableofFigures"/>
        <w:tabs>
          <w:tab w:val="right" w:leader="dot" w:pos="9016"/>
        </w:tabs>
        <w:rPr>
          <w:rFonts w:eastAsiaTheme="minorEastAsia"/>
          <w:noProof/>
          <w:lang w:eastAsia="en-GB"/>
        </w:rPr>
      </w:pPr>
      <w:hyperlink w:anchor="_Toc69115042" w:history="1">
        <w:r w:rsidR="00067A5E" w:rsidRPr="00C515B1">
          <w:rPr>
            <w:rStyle w:val="Hyperlink"/>
            <w:noProof/>
          </w:rPr>
          <w:t>Figure 5.27: Scanning electron micrograph of the surface of the 50 h aged Ag//Ni-YSZ electrode (a. 40,000x magnification and b. 100,000x)</w:t>
        </w:r>
        <w:r w:rsidR="00067A5E">
          <w:rPr>
            <w:noProof/>
            <w:webHidden/>
          </w:rPr>
          <w:tab/>
        </w:r>
        <w:r w:rsidR="00067A5E">
          <w:rPr>
            <w:noProof/>
            <w:webHidden/>
          </w:rPr>
          <w:fldChar w:fldCharType="begin"/>
        </w:r>
        <w:r w:rsidR="00067A5E">
          <w:rPr>
            <w:noProof/>
            <w:webHidden/>
          </w:rPr>
          <w:instrText xml:space="preserve"> PAGEREF _Toc69115042 \h </w:instrText>
        </w:r>
        <w:r w:rsidR="00067A5E">
          <w:rPr>
            <w:noProof/>
            <w:webHidden/>
          </w:rPr>
        </w:r>
        <w:r w:rsidR="00067A5E">
          <w:rPr>
            <w:noProof/>
            <w:webHidden/>
          </w:rPr>
          <w:fldChar w:fldCharType="separate"/>
        </w:r>
        <w:r w:rsidR="00067A5E">
          <w:rPr>
            <w:noProof/>
            <w:webHidden/>
          </w:rPr>
          <w:t>159</w:t>
        </w:r>
        <w:r w:rsidR="00067A5E">
          <w:rPr>
            <w:noProof/>
            <w:webHidden/>
          </w:rPr>
          <w:fldChar w:fldCharType="end"/>
        </w:r>
      </w:hyperlink>
    </w:p>
    <w:p w14:paraId="06686D09" w14:textId="0D11FCA9" w:rsidR="00067A5E" w:rsidRDefault="00B51F53">
      <w:pPr>
        <w:pStyle w:val="TableofFigures"/>
        <w:tabs>
          <w:tab w:val="right" w:leader="dot" w:pos="9016"/>
        </w:tabs>
        <w:rPr>
          <w:rFonts w:eastAsiaTheme="minorEastAsia"/>
          <w:noProof/>
          <w:lang w:eastAsia="en-GB"/>
        </w:rPr>
      </w:pPr>
      <w:hyperlink w:anchor="_Toc69115043" w:history="1">
        <w:r w:rsidR="00067A5E" w:rsidRPr="00C515B1">
          <w:rPr>
            <w:rStyle w:val="Hyperlink"/>
            <w:noProof/>
          </w:rPr>
          <w:t>Figure 5.28: Scanning electron micrograph of the surface of the Ni-YSZ electrode after 20h of ageing. The gold current collector has broken down as shown by the large chunks on the surface 25000x)</w:t>
        </w:r>
        <w:r w:rsidR="00067A5E">
          <w:rPr>
            <w:noProof/>
            <w:webHidden/>
          </w:rPr>
          <w:tab/>
        </w:r>
        <w:r w:rsidR="00067A5E">
          <w:rPr>
            <w:noProof/>
            <w:webHidden/>
          </w:rPr>
          <w:fldChar w:fldCharType="begin"/>
        </w:r>
        <w:r w:rsidR="00067A5E">
          <w:rPr>
            <w:noProof/>
            <w:webHidden/>
          </w:rPr>
          <w:instrText xml:space="preserve"> PAGEREF _Toc69115043 \h </w:instrText>
        </w:r>
        <w:r w:rsidR="00067A5E">
          <w:rPr>
            <w:noProof/>
            <w:webHidden/>
          </w:rPr>
        </w:r>
        <w:r w:rsidR="00067A5E">
          <w:rPr>
            <w:noProof/>
            <w:webHidden/>
          </w:rPr>
          <w:fldChar w:fldCharType="separate"/>
        </w:r>
        <w:r w:rsidR="00067A5E">
          <w:rPr>
            <w:noProof/>
            <w:webHidden/>
          </w:rPr>
          <w:t>160</w:t>
        </w:r>
        <w:r w:rsidR="00067A5E">
          <w:rPr>
            <w:noProof/>
            <w:webHidden/>
          </w:rPr>
          <w:fldChar w:fldCharType="end"/>
        </w:r>
      </w:hyperlink>
    </w:p>
    <w:p w14:paraId="6F2B9A34" w14:textId="088E3093" w:rsidR="00067A5E" w:rsidRDefault="00B51F53">
      <w:pPr>
        <w:pStyle w:val="TableofFigures"/>
        <w:tabs>
          <w:tab w:val="right" w:leader="dot" w:pos="9016"/>
        </w:tabs>
        <w:rPr>
          <w:rFonts w:eastAsiaTheme="minorEastAsia"/>
          <w:noProof/>
          <w:lang w:eastAsia="en-GB"/>
        </w:rPr>
      </w:pPr>
      <w:hyperlink w:anchor="_Toc69115044" w:history="1">
        <w:r w:rsidR="00067A5E" w:rsidRPr="00C515B1">
          <w:rPr>
            <w:rStyle w:val="Hyperlink"/>
            <w:noProof/>
          </w:rPr>
          <w:t>Figure 5.29: Scanning electron micrograph of the surface of the 50h aged Ni-YSZ. The region shown is a position where the gold current collector delaminated from the sample</w:t>
        </w:r>
        <w:r w:rsidR="00067A5E">
          <w:rPr>
            <w:noProof/>
            <w:webHidden/>
          </w:rPr>
          <w:tab/>
        </w:r>
        <w:r w:rsidR="00067A5E">
          <w:rPr>
            <w:noProof/>
            <w:webHidden/>
          </w:rPr>
          <w:fldChar w:fldCharType="begin"/>
        </w:r>
        <w:r w:rsidR="00067A5E">
          <w:rPr>
            <w:noProof/>
            <w:webHidden/>
          </w:rPr>
          <w:instrText xml:space="preserve"> PAGEREF _Toc69115044 \h </w:instrText>
        </w:r>
        <w:r w:rsidR="00067A5E">
          <w:rPr>
            <w:noProof/>
            <w:webHidden/>
          </w:rPr>
        </w:r>
        <w:r w:rsidR="00067A5E">
          <w:rPr>
            <w:noProof/>
            <w:webHidden/>
          </w:rPr>
          <w:fldChar w:fldCharType="separate"/>
        </w:r>
        <w:r w:rsidR="00067A5E">
          <w:rPr>
            <w:noProof/>
            <w:webHidden/>
          </w:rPr>
          <w:t>160</w:t>
        </w:r>
        <w:r w:rsidR="00067A5E">
          <w:rPr>
            <w:noProof/>
            <w:webHidden/>
          </w:rPr>
          <w:fldChar w:fldCharType="end"/>
        </w:r>
      </w:hyperlink>
    </w:p>
    <w:p w14:paraId="76C7B5F9" w14:textId="6A28C235" w:rsidR="00067A5E" w:rsidRDefault="00B51F53">
      <w:pPr>
        <w:pStyle w:val="TableofFigures"/>
        <w:tabs>
          <w:tab w:val="right" w:leader="dot" w:pos="9016"/>
        </w:tabs>
        <w:rPr>
          <w:rFonts w:eastAsiaTheme="minorEastAsia"/>
          <w:noProof/>
          <w:lang w:eastAsia="en-GB"/>
        </w:rPr>
      </w:pPr>
      <w:hyperlink w:anchor="_Toc69115045" w:history="1">
        <w:r w:rsidR="00067A5E" w:rsidRPr="00C515B1">
          <w:rPr>
            <w:rStyle w:val="Hyperlink"/>
            <w:noProof/>
          </w:rPr>
          <w:t>Figure 5.30:  Micrographs of the surface of the Ni-YSZ gold electrode after 20 h of ageing using back-scattered electrons. The gold current collector has broken down as shown by the large chunks on the surface 25000x). The right-hand micrograph is an inverted. The white, light grey, dark grey and black denote the pores, YSZ, nickel/gold alloy and gold respectively</w:t>
        </w:r>
        <w:r w:rsidR="00067A5E">
          <w:rPr>
            <w:noProof/>
            <w:webHidden/>
          </w:rPr>
          <w:tab/>
        </w:r>
        <w:r w:rsidR="00067A5E">
          <w:rPr>
            <w:noProof/>
            <w:webHidden/>
          </w:rPr>
          <w:fldChar w:fldCharType="begin"/>
        </w:r>
        <w:r w:rsidR="00067A5E">
          <w:rPr>
            <w:noProof/>
            <w:webHidden/>
          </w:rPr>
          <w:instrText xml:space="preserve"> PAGEREF _Toc69115045 \h </w:instrText>
        </w:r>
        <w:r w:rsidR="00067A5E">
          <w:rPr>
            <w:noProof/>
            <w:webHidden/>
          </w:rPr>
        </w:r>
        <w:r w:rsidR="00067A5E">
          <w:rPr>
            <w:noProof/>
            <w:webHidden/>
          </w:rPr>
          <w:fldChar w:fldCharType="separate"/>
        </w:r>
        <w:r w:rsidR="00067A5E">
          <w:rPr>
            <w:noProof/>
            <w:webHidden/>
          </w:rPr>
          <w:t>161</w:t>
        </w:r>
        <w:r w:rsidR="00067A5E">
          <w:rPr>
            <w:noProof/>
            <w:webHidden/>
          </w:rPr>
          <w:fldChar w:fldCharType="end"/>
        </w:r>
      </w:hyperlink>
    </w:p>
    <w:p w14:paraId="669CFFAD" w14:textId="0612FB52" w:rsidR="00067A5E" w:rsidRDefault="00B51F53">
      <w:pPr>
        <w:pStyle w:val="TableofFigures"/>
        <w:tabs>
          <w:tab w:val="right" w:leader="dot" w:pos="9016"/>
        </w:tabs>
        <w:rPr>
          <w:rFonts w:eastAsiaTheme="minorEastAsia"/>
          <w:noProof/>
          <w:lang w:eastAsia="en-GB"/>
        </w:rPr>
      </w:pPr>
      <w:hyperlink w:anchor="_Toc69115046" w:history="1">
        <w:r w:rsidR="00067A5E" w:rsidRPr="00C515B1">
          <w:rPr>
            <w:rStyle w:val="Hyperlink"/>
            <w:noProof/>
          </w:rPr>
          <w:t>Figure 5.31: Micrograph of the surface of the interface between the Ni-YSZ electrode and the gold current collector layer after 50 h of ageing. The gold current collector has broken down as shown by the large chunks on the surface 10,000x).</w:t>
        </w:r>
        <w:r w:rsidR="00067A5E">
          <w:rPr>
            <w:noProof/>
            <w:webHidden/>
          </w:rPr>
          <w:tab/>
        </w:r>
        <w:r w:rsidR="00067A5E">
          <w:rPr>
            <w:noProof/>
            <w:webHidden/>
          </w:rPr>
          <w:fldChar w:fldCharType="begin"/>
        </w:r>
        <w:r w:rsidR="00067A5E">
          <w:rPr>
            <w:noProof/>
            <w:webHidden/>
          </w:rPr>
          <w:instrText xml:space="preserve"> PAGEREF _Toc69115046 \h </w:instrText>
        </w:r>
        <w:r w:rsidR="00067A5E">
          <w:rPr>
            <w:noProof/>
            <w:webHidden/>
          </w:rPr>
        </w:r>
        <w:r w:rsidR="00067A5E">
          <w:rPr>
            <w:noProof/>
            <w:webHidden/>
          </w:rPr>
          <w:fldChar w:fldCharType="separate"/>
        </w:r>
        <w:r w:rsidR="00067A5E">
          <w:rPr>
            <w:noProof/>
            <w:webHidden/>
          </w:rPr>
          <w:t>161</w:t>
        </w:r>
        <w:r w:rsidR="00067A5E">
          <w:rPr>
            <w:noProof/>
            <w:webHidden/>
          </w:rPr>
          <w:fldChar w:fldCharType="end"/>
        </w:r>
      </w:hyperlink>
    </w:p>
    <w:p w14:paraId="3009712E" w14:textId="447E6544" w:rsidR="00067A5E" w:rsidRDefault="00B51F53">
      <w:pPr>
        <w:pStyle w:val="TableofFigures"/>
        <w:tabs>
          <w:tab w:val="right" w:leader="dot" w:pos="9016"/>
        </w:tabs>
        <w:rPr>
          <w:rFonts w:eastAsiaTheme="minorEastAsia"/>
          <w:noProof/>
          <w:lang w:eastAsia="en-GB"/>
        </w:rPr>
      </w:pPr>
      <w:hyperlink w:anchor="_Toc69115047" w:history="1">
        <w:r w:rsidR="00067A5E" w:rsidRPr="00C515B1">
          <w:rPr>
            <w:rStyle w:val="Hyperlink"/>
            <w:noProof/>
          </w:rPr>
          <w:t>Figure 5.32: Scanning electron micrograph of the surface (Edge Site) of the Ni-YSZ electrode after 50h of ageing. The nickel oxide current collector has broken down as shown by the large chunks on the surface 50000x)</w:t>
        </w:r>
        <w:r w:rsidR="00067A5E">
          <w:rPr>
            <w:noProof/>
            <w:webHidden/>
          </w:rPr>
          <w:tab/>
        </w:r>
        <w:r w:rsidR="00067A5E">
          <w:rPr>
            <w:noProof/>
            <w:webHidden/>
          </w:rPr>
          <w:fldChar w:fldCharType="begin"/>
        </w:r>
        <w:r w:rsidR="00067A5E">
          <w:rPr>
            <w:noProof/>
            <w:webHidden/>
          </w:rPr>
          <w:instrText xml:space="preserve"> PAGEREF _Toc69115047 \h </w:instrText>
        </w:r>
        <w:r w:rsidR="00067A5E">
          <w:rPr>
            <w:noProof/>
            <w:webHidden/>
          </w:rPr>
        </w:r>
        <w:r w:rsidR="00067A5E">
          <w:rPr>
            <w:noProof/>
            <w:webHidden/>
          </w:rPr>
          <w:fldChar w:fldCharType="separate"/>
        </w:r>
        <w:r w:rsidR="00067A5E">
          <w:rPr>
            <w:noProof/>
            <w:webHidden/>
          </w:rPr>
          <w:t>162</w:t>
        </w:r>
        <w:r w:rsidR="00067A5E">
          <w:rPr>
            <w:noProof/>
            <w:webHidden/>
          </w:rPr>
          <w:fldChar w:fldCharType="end"/>
        </w:r>
      </w:hyperlink>
    </w:p>
    <w:p w14:paraId="7547C9AC" w14:textId="55584AFA" w:rsidR="00067A5E" w:rsidRDefault="00B51F53">
      <w:pPr>
        <w:pStyle w:val="TableofFigures"/>
        <w:tabs>
          <w:tab w:val="right" w:leader="dot" w:pos="9016"/>
        </w:tabs>
        <w:rPr>
          <w:rFonts w:eastAsiaTheme="minorEastAsia"/>
          <w:noProof/>
          <w:lang w:eastAsia="en-GB"/>
        </w:rPr>
      </w:pPr>
      <w:hyperlink w:anchor="_Toc69115048" w:history="1">
        <w:r w:rsidR="00067A5E" w:rsidRPr="00C515B1">
          <w:rPr>
            <w:rStyle w:val="Hyperlink"/>
            <w:noProof/>
          </w:rPr>
          <w:t>Figure 5.33: Back scattered electron micrograph of the surface (Edge Site) of the Ni-YSZ electrode after 50h of ageing. The nickel oxide current collector has broken down as shown by the large chunks on the surface 50000x)</w:t>
        </w:r>
        <w:r w:rsidR="00067A5E">
          <w:rPr>
            <w:noProof/>
            <w:webHidden/>
          </w:rPr>
          <w:tab/>
        </w:r>
        <w:r w:rsidR="00067A5E">
          <w:rPr>
            <w:noProof/>
            <w:webHidden/>
          </w:rPr>
          <w:fldChar w:fldCharType="begin"/>
        </w:r>
        <w:r w:rsidR="00067A5E">
          <w:rPr>
            <w:noProof/>
            <w:webHidden/>
          </w:rPr>
          <w:instrText xml:space="preserve"> PAGEREF _Toc69115048 \h </w:instrText>
        </w:r>
        <w:r w:rsidR="00067A5E">
          <w:rPr>
            <w:noProof/>
            <w:webHidden/>
          </w:rPr>
        </w:r>
        <w:r w:rsidR="00067A5E">
          <w:rPr>
            <w:noProof/>
            <w:webHidden/>
          </w:rPr>
          <w:fldChar w:fldCharType="separate"/>
        </w:r>
        <w:r w:rsidR="00067A5E">
          <w:rPr>
            <w:noProof/>
            <w:webHidden/>
          </w:rPr>
          <w:t>162</w:t>
        </w:r>
        <w:r w:rsidR="00067A5E">
          <w:rPr>
            <w:noProof/>
            <w:webHidden/>
          </w:rPr>
          <w:fldChar w:fldCharType="end"/>
        </w:r>
      </w:hyperlink>
    </w:p>
    <w:p w14:paraId="5E10D520" w14:textId="4C0C5CE4" w:rsidR="00067A5E" w:rsidRDefault="00B51F53">
      <w:pPr>
        <w:pStyle w:val="TableofFigures"/>
        <w:tabs>
          <w:tab w:val="right" w:leader="dot" w:pos="9016"/>
        </w:tabs>
        <w:rPr>
          <w:rFonts w:eastAsiaTheme="minorEastAsia"/>
          <w:noProof/>
          <w:lang w:eastAsia="en-GB"/>
        </w:rPr>
      </w:pPr>
      <w:hyperlink w:anchor="_Toc69115049" w:history="1">
        <w:r w:rsidR="00067A5E" w:rsidRPr="00C515B1">
          <w:rPr>
            <w:rStyle w:val="Hyperlink"/>
            <w:noProof/>
          </w:rPr>
          <w:t>Figure 5.34a. Scanning electron micrograph of the surface (central Site) of the Ni-YSZ electrode after 50h of ageing. The NiO current collector has broken down into large chunks on the surface. b. Back-scattered electron micrograph at 50,000x magnification</w:t>
        </w:r>
        <w:r w:rsidR="00067A5E">
          <w:rPr>
            <w:noProof/>
            <w:webHidden/>
          </w:rPr>
          <w:tab/>
        </w:r>
        <w:r w:rsidR="00067A5E">
          <w:rPr>
            <w:noProof/>
            <w:webHidden/>
          </w:rPr>
          <w:fldChar w:fldCharType="begin"/>
        </w:r>
        <w:r w:rsidR="00067A5E">
          <w:rPr>
            <w:noProof/>
            <w:webHidden/>
          </w:rPr>
          <w:instrText xml:space="preserve"> PAGEREF _Toc69115049 \h </w:instrText>
        </w:r>
        <w:r w:rsidR="00067A5E">
          <w:rPr>
            <w:noProof/>
            <w:webHidden/>
          </w:rPr>
        </w:r>
        <w:r w:rsidR="00067A5E">
          <w:rPr>
            <w:noProof/>
            <w:webHidden/>
          </w:rPr>
          <w:fldChar w:fldCharType="separate"/>
        </w:r>
        <w:r w:rsidR="00067A5E">
          <w:rPr>
            <w:noProof/>
            <w:webHidden/>
          </w:rPr>
          <w:t>163</w:t>
        </w:r>
        <w:r w:rsidR="00067A5E">
          <w:rPr>
            <w:noProof/>
            <w:webHidden/>
          </w:rPr>
          <w:fldChar w:fldCharType="end"/>
        </w:r>
      </w:hyperlink>
    </w:p>
    <w:p w14:paraId="46CD2064" w14:textId="70A458E2" w:rsidR="00067A5E" w:rsidRDefault="00B51F53">
      <w:pPr>
        <w:pStyle w:val="TableofFigures"/>
        <w:tabs>
          <w:tab w:val="right" w:leader="dot" w:pos="9016"/>
        </w:tabs>
        <w:rPr>
          <w:rFonts w:eastAsiaTheme="minorEastAsia"/>
          <w:noProof/>
          <w:lang w:eastAsia="en-GB"/>
        </w:rPr>
      </w:pPr>
      <w:hyperlink w:anchor="_Toc69115050" w:history="1">
        <w:r w:rsidR="00067A5E" w:rsidRPr="00C515B1">
          <w:rPr>
            <w:rStyle w:val="Hyperlink"/>
            <w:noProof/>
          </w:rPr>
          <w:t>Figure 5.36: Temperature programmed reduction profile of Shoei nickel paste on a YSZ electrolyte pellet</w:t>
        </w:r>
        <w:r w:rsidR="00067A5E">
          <w:rPr>
            <w:noProof/>
            <w:webHidden/>
          </w:rPr>
          <w:tab/>
        </w:r>
        <w:r w:rsidR="00067A5E">
          <w:rPr>
            <w:noProof/>
            <w:webHidden/>
          </w:rPr>
          <w:fldChar w:fldCharType="begin"/>
        </w:r>
        <w:r w:rsidR="00067A5E">
          <w:rPr>
            <w:noProof/>
            <w:webHidden/>
          </w:rPr>
          <w:instrText xml:space="preserve"> PAGEREF _Toc69115050 \h </w:instrText>
        </w:r>
        <w:r w:rsidR="00067A5E">
          <w:rPr>
            <w:noProof/>
            <w:webHidden/>
          </w:rPr>
        </w:r>
        <w:r w:rsidR="00067A5E">
          <w:rPr>
            <w:noProof/>
            <w:webHidden/>
          </w:rPr>
          <w:fldChar w:fldCharType="separate"/>
        </w:r>
        <w:r w:rsidR="00067A5E">
          <w:rPr>
            <w:noProof/>
            <w:webHidden/>
          </w:rPr>
          <w:t>164</w:t>
        </w:r>
        <w:r w:rsidR="00067A5E">
          <w:rPr>
            <w:noProof/>
            <w:webHidden/>
          </w:rPr>
          <w:fldChar w:fldCharType="end"/>
        </w:r>
      </w:hyperlink>
    </w:p>
    <w:p w14:paraId="46606828" w14:textId="57B5B13D" w:rsidR="00067A5E" w:rsidRDefault="00B51F53">
      <w:pPr>
        <w:pStyle w:val="TableofFigures"/>
        <w:tabs>
          <w:tab w:val="right" w:leader="dot" w:pos="9016"/>
        </w:tabs>
        <w:rPr>
          <w:rFonts w:eastAsiaTheme="minorEastAsia"/>
          <w:noProof/>
          <w:lang w:eastAsia="en-GB"/>
        </w:rPr>
      </w:pPr>
      <w:hyperlink w:anchor="_Toc69115051" w:history="1">
        <w:r w:rsidR="00067A5E" w:rsidRPr="00C515B1">
          <w:rPr>
            <w:rStyle w:val="Hyperlink"/>
            <w:noProof/>
          </w:rPr>
          <w:t>Figure 5.36: Diagram of the formation of a stagnant gas layer on the infiltrated fuel electrode sample. The right hand side shows the position of this layer in the ceramic impedance jig in this study. The change in the concentration of H</w:t>
        </w:r>
        <w:r w:rsidR="00067A5E" w:rsidRPr="00C515B1">
          <w:rPr>
            <w:rStyle w:val="Hyperlink"/>
            <w:noProof/>
            <w:vertAlign w:val="subscript"/>
          </w:rPr>
          <w:t>2</w:t>
        </w:r>
        <w:r w:rsidR="00067A5E" w:rsidRPr="00C515B1">
          <w:rPr>
            <w:rStyle w:val="Hyperlink"/>
            <w:noProof/>
          </w:rPr>
          <w:t xml:space="preserve"> fuel C is inversely (C</w:t>
        </w:r>
        <w:r w:rsidR="00067A5E" w:rsidRPr="00C515B1">
          <w:rPr>
            <w:rStyle w:val="Hyperlink"/>
            <w:noProof/>
            <w:vertAlign w:val="subscript"/>
          </w:rPr>
          <w:t>j.A</w:t>
        </w:r>
        <w:r w:rsidR="00067A5E" w:rsidRPr="00C515B1">
          <w:rPr>
            <w:rStyle w:val="Hyperlink"/>
            <w:noProof/>
          </w:rPr>
          <w:t>) related to thickness of the stagnant gas layer l. The fuel electrode area is denoted by A and the electrochemical species is H</w:t>
        </w:r>
        <w:r w:rsidR="00067A5E" w:rsidRPr="00C515B1">
          <w:rPr>
            <w:rStyle w:val="Hyperlink"/>
            <w:noProof/>
            <w:vertAlign w:val="subscript"/>
          </w:rPr>
          <w:t>2</w:t>
        </w:r>
        <w:r w:rsidR="00067A5E" w:rsidRPr="00C515B1">
          <w:rPr>
            <w:rStyle w:val="Hyperlink"/>
            <w:noProof/>
          </w:rPr>
          <w:t xml:space="preserve"> respectively</w:t>
        </w:r>
        <w:r w:rsidR="00067A5E">
          <w:rPr>
            <w:noProof/>
            <w:webHidden/>
          </w:rPr>
          <w:tab/>
        </w:r>
        <w:r w:rsidR="00067A5E">
          <w:rPr>
            <w:noProof/>
            <w:webHidden/>
          </w:rPr>
          <w:fldChar w:fldCharType="begin"/>
        </w:r>
        <w:r w:rsidR="00067A5E">
          <w:rPr>
            <w:noProof/>
            <w:webHidden/>
          </w:rPr>
          <w:instrText xml:space="preserve"> PAGEREF _Toc69115051 \h </w:instrText>
        </w:r>
        <w:r w:rsidR="00067A5E">
          <w:rPr>
            <w:noProof/>
            <w:webHidden/>
          </w:rPr>
        </w:r>
        <w:r w:rsidR="00067A5E">
          <w:rPr>
            <w:noProof/>
            <w:webHidden/>
          </w:rPr>
          <w:fldChar w:fldCharType="separate"/>
        </w:r>
        <w:r w:rsidR="00067A5E">
          <w:rPr>
            <w:noProof/>
            <w:webHidden/>
          </w:rPr>
          <w:t>165</w:t>
        </w:r>
        <w:r w:rsidR="00067A5E">
          <w:rPr>
            <w:noProof/>
            <w:webHidden/>
          </w:rPr>
          <w:fldChar w:fldCharType="end"/>
        </w:r>
      </w:hyperlink>
    </w:p>
    <w:p w14:paraId="7B889979" w14:textId="44960885" w:rsidR="00067A5E" w:rsidRDefault="00B51F53">
      <w:pPr>
        <w:pStyle w:val="TableofFigures"/>
        <w:tabs>
          <w:tab w:val="right" w:leader="dot" w:pos="9016"/>
        </w:tabs>
        <w:rPr>
          <w:rFonts w:eastAsiaTheme="minorEastAsia"/>
          <w:noProof/>
          <w:lang w:eastAsia="en-GB"/>
        </w:rPr>
      </w:pPr>
      <w:hyperlink w:anchor="_Toc69115052" w:history="1">
        <w:r w:rsidR="00067A5E" w:rsidRPr="00C515B1">
          <w:rPr>
            <w:rStyle w:val="Hyperlink"/>
            <w:noProof/>
          </w:rPr>
          <w:t>Figure 6.1: Diagram of atomic ripening and particle migration coalescence using hemispherical particles [118], [300]</w:t>
        </w:r>
        <w:r w:rsidR="00067A5E">
          <w:rPr>
            <w:noProof/>
            <w:webHidden/>
          </w:rPr>
          <w:tab/>
        </w:r>
        <w:r w:rsidR="00067A5E">
          <w:rPr>
            <w:noProof/>
            <w:webHidden/>
          </w:rPr>
          <w:fldChar w:fldCharType="begin"/>
        </w:r>
        <w:r w:rsidR="00067A5E">
          <w:rPr>
            <w:noProof/>
            <w:webHidden/>
          </w:rPr>
          <w:instrText xml:space="preserve"> PAGEREF _Toc69115052 \h </w:instrText>
        </w:r>
        <w:r w:rsidR="00067A5E">
          <w:rPr>
            <w:noProof/>
            <w:webHidden/>
          </w:rPr>
        </w:r>
        <w:r w:rsidR="00067A5E">
          <w:rPr>
            <w:noProof/>
            <w:webHidden/>
          </w:rPr>
          <w:fldChar w:fldCharType="separate"/>
        </w:r>
        <w:r w:rsidR="00067A5E">
          <w:rPr>
            <w:noProof/>
            <w:webHidden/>
          </w:rPr>
          <w:t>168</w:t>
        </w:r>
        <w:r w:rsidR="00067A5E">
          <w:rPr>
            <w:noProof/>
            <w:webHidden/>
          </w:rPr>
          <w:fldChar w:fldCharType="end"/>
        </w:r>
      </w:hyperlink>
    </w:p>
    <w:p w14:paraId="4274BA15" w14:textId="3215C6FB" w:rsidR="00067A5E" w:rsidRDefault="00B51F53">
      <w:pPr>
        <w:pStyle w:val="TableofFigures"/>
        <w:tabs>
          <w:tab w:val="right" w:leader="dot" w:pos="9016"/>
        </w:tabs>
        <w:rPr>
          <w:rFonts w:eastAsiaTheme="minorEastAsia"/>
          <w:noProof/>
          <w:lang w:eastAsia="en-GB"/>
        </w:rPr>
      </w:pPr>
      <w:hyperlink w:anchor="_Toc69115053" w:history="1">
        <w:r w:rsidR="00067A5E" w:rsidRPr="00C515B1">
          <w:rPr>
            <w:rStyle w:val="Hyperlink"/>
            <w:noProof/>
          </w:rPr>
          <w:t>Figure 6.2: Series resistance for infiltrated Ni-YSZ samples dried under different atmospheres across 50h of ageing. The filled markers denote that the sample was dried in air (AD), non-filled markers (ND).</w:t>
        </w:r>
        <w:r w:rsidR="00067A5E">
          <w:rPr>
            <w:noProof/>
            <w:webHidden/>
          </w:rPr>
          <w:tab/>
        </w:r>
        <w:r w:rsidR="00067A5E">
          <w:rPr>
            <w:noProof/>
            <w:webHidden/>
          </w:rPr>
          <w:fldChar w:fldCharType="begin"/>
        </w:r>
        <w:r w:rsidR="00067A5E">
          <w:rPr>
            <w:noProof/>
            <w:webHidden/>
          </w:rPr>
          <w:instrText xml:space="preserve"> PAGEREF _Toc69115053 \h </w:instrText>
        </w:r>
        <w:r w:rsidR="00067A5E">
          <w:rPr>
            <w:noProof/>
            <w:webHidden/>
          </w:rPr>
        </w:r>
        <w:r w:rsidR="00067A5E">
          <w:rPr>
            <w:noProof/>
            <w:webHidden/>
          </w:rPr>
          <w:fldChar w:fldCharType="separate"/>
        </w:r>
        <w:r w:rsidR="00067A5E">
          <w:rPr>
            <w:noProof/>
            <w:webHidden/>
          </w:rPr>
          <w:t>170</w:t>
        </w:r>
        <w:r w:rsidR="00067A5E">
          <w:rPr>
            <w:noProof/>
            <w:webHidden/>
          </w:rPr>
          <w:fldChar w:fldCharType="end"/>
        </w:r>
      </w:hyperlink>
    </w:p>
    <w:p w14:paraId="13138CAD" w14:textId="61A562F5" w:rsidR="00067A5E" w:rsidRDefault="00B51F53">
      <w:pPr>
        <w:pStyle w:val="TableofFigures"/>
        <w:tabs>
          <w:tab w:val="right" w:leader="dot" w:pos="9016"/>
        </w:tabs>
        <w:rPr>
          <w:rFonts w:eastAsiaTheme="minorEastAsia"/>
          <w:noProof/>
          <w:lang w:eastAsia="en-GB"/>
        </w:rPr>
      </w:pPr>
      <w:hyperlink w:anchor="_Toc69115054" w:history="1">
        <w:r w:rsidR="00067A5E" w:rsidRPr="00C515B1">
          <w:rPr>
            <w:rStyle w:val="Hyperlink"/>
            <w:noProof/>
          </w:rPr>
          <w:t>Figure 6.3: Polarisation resistance for infiltrated Ni-YSZ samples dried under different atmospheres across 50h of ageing. The filled markers denote that the sample was dried in air (AD), non-filled markers (ND).</w:t>
        </w:r>
        <w:r w:rsidR="00067A5E">
          <w:rPr>
            <w:noProof/>
            <w:webHidden/>
          </w:rPr>
          <w:tab/>
        </w:r>
        <w:r w:rsidR="00067A5E">
          <w:rPr>
            <w:noProof/>
            <w:webHidden/>
          </w:rPr>
          <w:fldChar w:fldCharType="begin"/>
        </w:r>
        <w:r w:rsidR="00067A5E">
          <w:rPr>
            <w:noProof/>
            <w:webHidden/>
          </w:rPr>
          <w:instrText xml:space="preserve"> PAGEREF _Toc69115054 \h </w:instrText>
        </w:r>
        <w:r w:rsidR="00067A5E">
          <w:rPr>
            <w:noProof/>
            <w:webHidden/>
          </w:rPr>
        </w:r>
        <w:r w:rsidR="00067A5E">
          <w:rPr>
            <w:noProof/>
            <w:webHidden/>
          </w:rPr>
          <w:fldChar w:fldCharType="separate"/>
        </w:r>
        <w:r w:rsidR="00067A5E">
          <w:rPr>
            <w:noProof/>
            <w:webHidden/>
          </w:rPr>
          <w:t>171</w:t>
        </w:r>
        <w:r w:rsidR="00067A5E">
          <w:rPr>
            <w:noProof/>
            <w:webHidden/>
          </w:rPr>
          <w:fldChar w:fldCharType="end"/>
        </w:r>
      </w:hyperlink>
    </w:p>
    <w:p w14:paraId="7008828A" w14:textId="207CC031" w:rsidR="00067A5E" w:rsidRDefault="00B51F53">
      <w:pPr>
        <w:pStyle w:val="TableofFigures"/>
        <w:tabs>
          <w:tab w:val="right" w:leader="dot" w:pos="9016"/>
        </w:tabs>
        <w:rPr>
          <w:rFonts w:eastAsiaTheme="minorEastAsia"/>
          <w:noProof/>
          <w:lang w:eastAsia="en-GB"/>
        </w:rPr>
      </w:pPr>
      <w:hyperlink w:anchor="_Toc69115055" w:history="1">
        <w:r w:rsidR="00067A5E" w:rsidRPr="00C515B1">
          <w:rPr>
            <w:rStyle w:val="Hyperlink"/>
            <w:noProof/>
          </w:rPr>
          <w:t>Figure 6.4: Scanning electron micrographs of the air and nitrogen dried Ni-YSZ samples after grinding and polishing after setting with an epoxy resin. The magnification from left to right is 5,000x and 10,000x respectively</w:t>
        </w:r>
        <w:r w:rsidR="00067A5E">
          <w:rPr>
            <w:noProof/>
            <w:webHidden/>
          </w:rPr>
          <w:tab/>
        </w:r>
        <w:r w:rsidR="00067A5E">
          <w:rPr>
            <w:noProof/>
            <w:webHidden/>
          </w:rPr>
          <w:fldChar w:fldCharType="begin"/>
        </w:r>
        <w:r w:rsidR="00067A5E">
          <w:rPr>
            <w:noProof/>
            <w:webHidden/>
          </w:rPr>
          <w:instrText xml:space="preserve"> PAGEREF _Toc69115055 \h </w:instrText>
        </w:r>
        <w:r w:rsidR="00067A5E">
          <w:rPr>
            <w:noProof/>
            <w:webHidden/>
          </w:rPr>
        </w:r>
        <w:r w:rsidR="00067A5E">
          <w:rPr>
            <w:noProof/>
            <w:webHidden/>
          </w:rPr>
          <w:fldChar w:fldCharType="separate"/>
        </w:r>
        <w:r w:rsidR="00067A5E">
          <w:rPr>
            <w:noProof/>
            <w:webHidden/>
          </w:rPr>
          <w:t>172</w:t>
        </w:r>
        <w:r w:rsidR="00067A5E">
          <w:rPr>
            <w:noProof/>
            <w:webHidden/>
          </w:rPr>
          <w:fldChar w:fldCharType="end"/>
        </w:r>
      </w:hyperlink>
    </w:p>
    <w:p w14:paraId="1184E318" w14:textId="2B72801B" w:rsidR="00067A5E" w:rsidRDefault="00B51F53">
      <w:pPr>
        <w:pStyle w:val="TableofFigures"/>
        <w:tabs>
          <w:tab w:val="right" w:leader="dot" w:pos="9016"/>
        </w:tabs>
        <w:rPr>
          <w:rFonts w:eastAsiaTheme="minorEastAsia"/>
          <w:noProof/>
          <w:lang w:eastAsia="en-GB"/>
        </w:rPr>
      </w:pPr>
      <w:hyperlink w:anchor="_Toc69115056" w:history="1">
        <w:r w:rsidR="00067A5E" w:rsidRPr="00C515B1">
          <w:rPr>
            <w:rStyle w:val="Hyperlink"/>
            <w:noProof/>
          </w:rPr>
          <w:t xml:space="preserve">Figure 6.5: Scanning electron micrograph of the milled cross section of the 0 h aged air-dried infiltrated Ni-YSZ fuel electrode sample at a magnification of 25,000x. The region measures 20 </w:t>
        </w:r>
        <w:r w:rsidR="00067A5E" w:rsidRPr="00C515B1">
          <w:rPr>
            <w:rStyle w:val="Hyperlink"/>
            <w:rFonts w:cstheme="minorHAnsi"/>
            <w:noProof/>
          </w:rPr>
          <w:t>µ</w:t>
        </w:r>
        <w:r w:rsidR="00067A5E" w:rsidRPr="00C515B1">
          <w:rPr>
            <w:rStyle w:val="Hyperlink"/>
            <w:noProof/>
          </w:rPr>
          <w:t xml:space="preserve">m x 10 </w:t>
        </w:r>
        <w:r w:rsidR="00067A5E" w:rsidRPr="00C515B1">
          <w:rPr>
            <w:rStyle w:val="Hyperlink"/>
            <w:rFonts w:cstheme="minorHAnsi"/>
            <w:noProof/>
          </w:rPr>
          <w:t>µ</w:t>
        </w:r>
        <w:r w:rsidR="00067A5E" w:rsidRPr="00C515B1">
          <w:rPr>
            <w:rStyle w:val="Hyperlink"/>
            <w:noProof/>
          </w:rPr>
          <w:t xml:space="preserve">m, respectively. The top 1 </w:t>
        </w:r>
        <w:r w:rsidR="00067A5E" w:rsidRPr="00C515B1">
          <w:rPr>
            <w:rStyle w:val="Hyperlink"/>
            <w:rFonts w:cstheme="minorHAnsi"/>
            <w:noProof/>
          </w:rPr>
          <w:t>µ</w:t>
        </w:r>
        <w:r w:rsidR="00067A5E" w:rsidRPr="00C515B1">
          <w:rPr>
            <w:rStyle w:val="Hyperlink"/>
            <w:noProof/>
          </w:rPr>
          <w:t xml:space="preserve">m layer is the platinum protective layer. The next 10 </w:t>
        </w:r>
        <w:r w:rsidR="00067A5E" w:rsidRPr="00C515B1">
          <w:rPr>
            <w:rStyle w:val="Hyperlink"/>
            <w:rFonts w:cstheme="minorHAnsi"/>
            <w:noProof/>
          </w:rPr>
          <w:t>µ</w:t>
        </w:r>
        <w:r w:rsidR="00067A5E" w:rsidRPr="00C515B1">
          <w:rPr>
            <w:rStyle w:val="Hyperlink"/>
            <w:noProof/>
          </w:rPr>
          <w:t>m are the infiltrated Ni-YSZ fuel electrode witness sample with a porous YSZ ceramic backbone.</w:t>
        </w:r>
        <w:r w:rsidR="00067A5E">
          <w:rPr>
            <w:noProof/>
            <w:webHidden/>
          </w:rPr>
          <w:tab/>
        </w:r>
        <w:r w:rsidR="00067A5E">
          <w:rPr>
            <w:noProof/>
            <w:webHidden/>
          </w:rPr>
          <w:fldChar w:fldCharType="begin"/>
        </w:r>
        <w:r w:rsidR="00067A5E">
          <w:rPr>
            <w:noProof/>
            <w:webHidden/>
          </w:rPr>
          <w:instrText xml:space="preserve"> PAGEREF _Toc69115056 \h </w:instrText>
        </w:r>
        <w:r w:rsidR="00067A5E">
          <w:rPr>
            <w:noProof/>
            <w:webHidden/>
          </w:rPr>
        </w:r>
        <w:r w:rsidR="00067A5E">
          <w:rPr>
            <w:noProof/>
            <w:webHidden/>
          </w:rPr>
          <w:fldChar w:fldCharType="separate"/>
        </w:r>
        <w:r w:rsidR="00067A5E">
          <w:rPr>
            <w:noProof/>
            <w:webHidden/>
          </w:rPr>
          <w:t>173</w:t>
        </w:r>
        <w:r w:rsidR="00067A5E">
          <w:rPr>
            <w:noProof/>
            <w:webHidden/>
          </w:rPr>
          <w:fldChar w:fldCharType="end"/>
        </w:r>
      </w:hyperlink>
    </w:p>
    <w:p w14:paraId="3208C60B" w14:textId="4701D866" w:rsidR="00067A5E" w:rsidRDefault="00B51F53">
      <w:pPr>
        <w:pStyle w:val="TableofFigures"/>
        <w:tabs>
          <w:tab w:val="right" w:leader="dot" w:pos="9016"/>
        </w:tabs>
        <w:rPr>
          <w:rFonts w:eastAsiaTheme="minorEastAsia"/>
          <w:noProof/>
          <w:lang w:eastAsia="en-GB"/>
        </w:rPr>
      </w:pPr>
      <w:hyperlink w:anchor="_Toc69115057" w:history="1">
        <w:r w:rsidR="00067A5E" w:rsidRPr="00C515B1">
          <w:rPr>
            <w:rStyle w:val="Hyperlink"/>
            <w:noProof/>
          </w:rPr>
          <w:t xml:space="preserve">Figure 6.6: Scanning electron micrograph of the milled cross section of the 0 h aged nitrogen-dried infiltrated Ni-YSZ fuel electrode sample at a magnification of 25,000x. The region measures 20 </w:t>
        </w:r>
        <w:r w:rsidR="00067A5E" w:rsidRPr="00C515B1">
          <w:rPr>
            <w:rStyle w:val="Hyperlink"/>
            <w:rFonts w:cstheme="minorHAnsi"/>
            <w:noProof/>
          </w:rPr>
          <w:t>µ</w:t>
        </w:r>
        <w:r w:rsidR="00067A5E" w:rsidRPr="00C515B1">
          <w:rPr>
            <w:rStyle w:val="Hyperlink"/>
            <w:noProof/>
          </w:rPr>
          <w:t xml:space="preserve">m x 10 </w:t>
        </w:r>
        <w:r w:rsidR="00067A5E" w:rsidRPr="00C515B1">
          <w:rPr>
            <w:rStyle w:val="Hyperlink"/>
            <w:rFonts w:cstheme="minorHAnsi"/>
            <w:noProof/>
          </w:rPr>
          <w:t>µ</w:t>
        </w:r>
        <w:r w:rsidR="00067A5E" w:rsidRPr="00C515B1">
          <w:rPr>
            <w:rStyle w:val="Hyperlink"/>
            <w:noProof/>
          </w:rPr>
          <w:t xml:space="preserve">m, respectively. The top 1 </w:t>
        </w:r>
        <w:r w:rsidR="00067A5E" w:rsidRPr="00C515B1">
          <w:rPr>
            <w:rStyle w:val="Hyperlink"/>
            <w:rFonts w:cstheme="minorHAnsi"/>
            <w:noProof/>
          </w:rPr>
          <w:t>µ</w:t>
        </w:r>
        <w:r w:rsidR="00067A5E" w:rsidRPr="00C515B1">
          <w:rPr>
            <w:rStyle w:val="Hyperlink"/>
            <w:noProof/>
          </w:rPr>
          <w:t xml:space="preserve">m layer is the platinum protective layer. The next 10 </w:t>
        </w:r>
        <w:r w:rsidR="00067A5E" w:rsidRPr="00C515B1">
          <w:rPr>
            <w:rStyle w:val="Hyperlink"/>
            <w:rFonts w:cstheme="minorHAnsi"/>
            <w:noProof/>
          </w:rPr>
          <w:t>µ</w:t>
        </w:r>
        <w:r w:rsidR="00067A5E" w:rsidRPr="00C515B1">
          <w:rPr>
            <w:rStyle w:val="Hyperlink"/>
            <w:noProof/>
          </w:rPr>
          <w:t>m are the infiltrated Ni-YSZ fuel electrode witness sample with a porous YSZ ceramic backbone.</w:t>
        </w:r>
        <w:r w:rsidR="00067A5E">
          <w:rPr>
            <w:noProof/>
            <w:webHidden/>
          </w:rPr>
          <w:tab/>
        </w:r>
        <w:r w:rsidR="00067A5E">
          <w:rPr>
            <w:noProof/>
            <w:webHidden/>
          </w:rPr>
          <w:fldChar w:fldCharType="begin"/>
        </w:r>
        <w:r w:rsidR="00067A5E">
          <w:rPr>
            <w:noProof/>
            <w:webHidden/>
          </w:rPr>
          <w:instrText xml:space="preserve"> PAGEREF _Toc69115057 \h </w:instrText>
        </w:r>
        <w:r w:rsidR="00067A5E">
          <w:rPr>
            <w:noProof/>
            <w:webHidden/>
          </w:rPr>
        </w:r>
        <w:r w:rsidR="00067A5E">
          <w:rPr>
            <w:noProof/>
            <w:webHidden/>
          </w:rPr>
          <w:fldChar w:fldCharType="separate"/>
        </w:r>
        <w:r w:rsidR="00067A5E">
          <w:rPr>
            <w:noProof/>
            <w:webHidden/>
          </w:rPr>
          <w:t>173</w:t>
        </w:r>
        <w:r w:rsidR="00067A5E">
          <w:rPr>
            <w:noProof/>
            <w:webHidden/>
          </w:rPr>
          <w:fldChar w:fldCharType="end"/>
        </w:r>
      </w:hyperlink>
    </w:p>
    <w:p w14:paraId="15A261ED" w14:textId="1F26E26C" w:rsidR="00067A5E" w:rsidRDefault="00B51F53">
      <w:pPr>
        <w:pStyle w:val="TableofFigures"/>
        <w:tabs>
          <w:tab w:val="right" w:leader="dot" w:pos="9016"/>
        </w:tabs>
        <w:rPr>
          <w:rFonts w:eastAsiaTheme="minorEastAsia"/>
          <w:noProof/>
          <w:lang w:eastAsia="en-GB"/>
        </w:rPr>
      </w:pPr>
      <w:hyperlink w:anchor="_Toc69115058" w:history="1">
        <w:r w:rsidR="00067A5E" w:rsidRPr="00C515B1">
          <w:rPr>
            <w:rStyle w:val="Hyperlink"/>
            <w:noProof/>
          </w:rPr>
          <w:t xml:space="preserve">Figure 6.7: Scanning electron micrograph of the milled cross section of the 5 h aged air-dried infiltrated Ni-YSZ fuel electrode sample at a magnification of 25,000x. The electrode region measures 20 </w:t>
        </w:r>
        <w:r w:rsidR="00067A5E" w:rsidRPr="00C515B1">
          <w:rPr>
            <w:rStyle w:val="Hyperlink"/>
            <w:rFonts w:cstheme="minorHAnsi"/>
            <w:noProof/>
          </w:rPr>
          <w:t>µ</w:t>
        </w:r>
        <w:r w:rsidR="00067A5E" w:rsidRPr="00C515B1">
          <w:rPr>
            <w:rStyle w:val="Hyperlink"/>
            <w:noProof/>
          </w:rPr>
          <w:t xml:space="preserve">m x 10 </w:t>
        </w:r>
        <w:r w:rsidR="00067A5E" w:rsidRPr="00C515B1">
          <w:rPr>
            <w:rStyle w:val="Hyperlink"/>
            <w:rFonts w:cstheme="minorHAnsi"/>
            <w:noProof/>
          </w:rPr>
          <w:t>µ</w:t>
        </w:r>
        <w:r w:rsidR="00067A5E" w:rsidRPr="00C515B1">
          <w:rPr>
            <w:rStyle w:val="Hyperlink"/>
            <w:noProof/>
          </w:rPr>
          <w:t xml:space="preserve">m, respectively. The top 1 </w:t>
        </w:r>
        <w:r w:rsidR="00067A5E" w:rsidRPr="00C515B1">
          <w:rPr>
            <w:rStyle w:val="Hyperlink"/>
            <w:rFonts w:cstheme="minorHAnsi"/>
            <w:noProof/>
          </w:rPr>
          <w:t>µ</w:t>
        </w:r>
        <w:r w:rsidR="00067A5E" w:rsidRPr="00C515B1">
          <w:rPr>
            <w:rStyle w:val="Hyperlink"/>
            <w:noProof/>
          </w:rPr>
          <w:t xml:space="preserve">m layer is the platinum protective layer. The next 5 </w:t>
        </w:r>
        <w:r w:rsidR="00067A5E" w:rsidRPr="00C515B1">
          <w:rPr>
            <w:rStyle w:val="Hyperlink"/>
            <w:rFonts w:cstheme="minorHAnsi"/>
            <w:noProof/>
          </w:rPr>
          <w:t>µ</w:t>
        </w:r>
        <w:r w:rsidR="00067A5E" w:rsidRPr="00C515B1">
          <w:rPr>
            <w:rStyle w:val="Hyperlink"/>
            <w:noProof/>
          </w:rPr>
          <w:t xml:space="preserve">m is the coarsened nickel network on top of the YSZ scaffold. The next 5 </w:t>
        </w:r>
        <w:r w:rsidR="00067A5E" w:rsidRPr="00C515B1">
          <w:rPr>
            <w:rStyle w:val="Hyperlink"/>
            <w:rFonts w:cstheme="minorHAnsi"/>
            <w:noProof/>
          </w:rPr>
          <w:t>µ</w:t>
        </w:r>
        <w:r w:rsidR="00067A5E" w:rsidRPr="00C515B1">
          <w:rPr>
            <w:rStyle w:val="Hyperlink"/>
            <w:noProof/>
          </w:rPr>
          <w:t>m is the porous YSZ scaffold with infiltrated nickel of the witness sample. The white layer at the bottom of the micrograph is the top of the milled trench.</w:t>
        </w:r>
        <w:r w:rsidR="00067A5E">
          <w:rPr>
            <w:noProof/>
            <w:webHidden/>
          </w:rPr>
          <w:tab/>
        </w:r>
        <w:r w:rsidR="00067A5E">
          <w:rPr>
            <w:noProof/>
            <w:webHidden/>
          </w:rPr>
          <w:fldChar w:fldCharType="begin"/>
        </w:r>
        <w:r w:rsidR="00067A5E">
          <w:rPr>
            <w:noProof/>
            <w:webHidden/>
          </w:rPr>
          <w:instrText xml:space="preserve"> PAGEREF _Toc69115058 \h </w:instrText>
        </w:r>
        <w:r w:rsidR="00067A5E">
          <w:rPr>
            <w:noProof/>
            <w:webHidden/>
          </w:rPr>
        </w:r>
        <w:r w:rsidR="00067A5E">
          <w:rPr>
            <w:noProof/>
            <w:webHidden/>
          </w:rPr>
          <w:fldChar w:fldCharType="separate"/>
        </w:r>
        <w:r w:rsidR="00067A5E">
          <w:rPr>
            <w:noProof/>
            <w:webHidden/>
          </w:rPr>
          <w:t>174</w:t>
        </w:r>
        <w:r w:rsidR="00067A5E">
          <w:rPr>
            <w:noProof/>
            <w:webHidden/>
          </w:rPr>
          <w:fldChar w:fldCharType="end"/>
        </w:r>
      </w:hyperlink>
    </w:p>
    <w:p w14:paraId="119370FB" w14:textId="44CDA0F1" w:rsidR="00067A5E" w:rsidRDefault="00B51F53">
      <w:pPr>
        <w:pStyle w:val="TableofFigures"/>
        <w:tabs>
          <w:tab w:val="right" w:leader="dot" w:pos="9016"/>
        </w:tabs>
        <w:rPr>
          <w:rFonts w:eastAsiaTheme="minorEastAsia"/>
          <w:noProof/>
          <w:lang w:eastAsia="en-GB"/>
        </w:rPr>
      </w:pPr>
      <w:hyperlink w:anchor="_Toc69115059" w:history="1">
        <w:r w:rsidR="00067A5E" w:rsidRPr="00C515B1">
          <w:rPr>
            <w:rStyle w:val="Hyperlink"/>
            <w:noProof/>
          </w:rPr>
          <w:t xml:space="preserve">Figure 6.8: Scanning electron micrograph of the milled cross section of the 5 h nitrogen-dried infiltrated Ni-YSZ fuel electrode sample at a magnification of 25,000x. The region measures 20 </w:t>
        </w:r>
        <w:r w:rsidR="00067A5E" w:rsidRPr="00C515B1">
          <w:rPr>
            <w:rStyle w:val="Hyperlink"/>
            <w:rFonts w:cstheme="minorHAnsi"/>
            <w:noProof/>
          </w:rPr>
          <w:t>µ</w:t>
        </w:r>
        <w:r w:rsidR="00067A5E" w:rsidRPr="00C515B1">
          <w:rPr>
            <w:rStyle w:val="Hyperlink"/>
            <w:noProof/>
          </w:rPr>
          <w:t xml:space="preserve">m x 10 </w:t>
        </w:r>
        <w:r w:rsidR="00067A5E" w:rsidRPr="00C515B1">
          <w:rPr>
            <w:rStyle w:val="Hyperlink"/>
            <w:rFonts w:cstheme="minorHAnsi"/>
            <w:noProof/>
          </w:rPr>
          <w:t>µ</w:t>
        </w:r>
        <w:r w:rsidR="00067A5E" w:rsidRPr="00C515B1">
          <w:rPr>
            <w:rStyle w:val="Hyperlink"/>
            <w:noProof/>
          </w:rPr>
          <w:t xml:space="preserve">m, respectively. The top 1 </w:t>
        </w:r>
        <w:r w:rsidR="00067A5E" w:rsidRPr="00C515B1">
          <w:rPr>
            <w:rStyle w:val="Hyperlink"/>
            <w:rFonts w:cstheme="minorHAnsi"/>
            <w:noProof/>
          </w:rPr>
          <w:t>µ</w:t>
        </w:r>
        <w:r w:rsidR="00067A5E" w:rsidRPr="00C515B1">
          <w:rPr>
            <w:rStyle w:val="Hyperlink"/>
            <w:noProof/>
          </w:rPr>
          <w:t xml:space="preserve">m layer is the platinum protective layer. The next 10 </w:t>
        </w:r>
        <w:r w:rsidR="00067A5E" w:rsidRPr="00C515B1">
          <w:rPr>
            <w:rStyle w:val="Hyperlink"/>
            <w:rFonts w:cstheme="minorHAnsi"/>
            <w:noProof/>
          </w:rPr>
          <w:t>µ</w:t>
        </w:r>
        <w:r w:rsidR="00067A5E" w:rsidRPr="00C515B1">
          <w:rPr>
            <w:rStyle w:val="Hyperlink"/>
            <w:noProof/>
          </w:rPr>
          <w:t>m are the infiltrated Ni-YSZ fuel electrode witness sample with a porous YSZ ceramic backbone. The white layer at the bottom of the micrograph is the top of the milled trench.</w:t>
        </w:r>
        <w:r w:rsidR="00067A5E">
          <w:rPr>
            <w:noProof/>
            <w:webHidden/>
          </w:rPr>
          <w:tab/>
        </w:r>
        <w:r w:rsidR="00067A5E">
          <w:rPr>
            <w:noProof/>
            <w:webHidden/>
          </w:rPr>
          <w:fldChar w:fldCharType="begin"/>
        </w:r>
        <w:r w:rsidR="00067A5E">
          <w:rPr>
            <w:noProof/>
            <w:webHidden/>
          </w:rPr>
          <w:instrText xml:space="preserve"> PAGEREF _Toc69115059 \h </w:instrText>
        </w:r>
        <w:r w:rsidR="00067A5E">
          <w:rPr>
            <w:noProof/>
            <w:webHidden/>
          </w:rPr>
        </w:r>
        <w:r w:rsidR="00067A5E">
          <w:rPr>
            <w:noProof/>
            <w:webHidden/>
          </w:rPr>
          <w:fldChar w:fldCharType="separate"/>
        </w:r>
        <w:r w:rsidR="00067A5E">
          <w:rPr>
            <w:noProof/>
            <w:webHidden/>
          </w:rPr>
          <w:t>174</w:t>
        </w:r>
        <w:r w:rsidR="00067A5E">
          <w:rPr>
            <w:noProof/>
            <w:webHidden/>
          </w:rPr>
          <w:fldChar w:fldCharType="end"/>
        </w:r>
      </w:hyperlink>
    </w:p>
    <w:p w14:paraId="60620348" w14:textId="6077536A" w:rsidR="00067A5E" w:rsidRDefault="00B51F53">
      <w:pPr>
        <w:pStyle w:val="TableofFigures"/>
        <w:tabs>
          <w:tab w:val="right" w:leader="dot" w:pos="9016"/>
        </w:tabs>
        <w:rPr>
          <w:rFonts w:eastAsiaTheme="minorEastAsia"/>
          <w:noProof/>
          <w:lang w:eastAsia="en-GB"/>
        </w:rPr>
      </w:pPr>
      <w:hyperlink w:anchor="_Toc69115060" w:history="1">
        <w:r w:rsidR="00067A5E" w:rsidRPr="00C515B1">
          <w:rPr>
            <w:rStyle w:val="Hyperlink"/>
            <w:noProof/>
          </w:rPr>
          <w:t>Figure 6.9: Scanning electron micrographs of the cross sections of the infiltrated Ni-YSZ fuel electrode witness samples (80,000x magnification). No epoxy was used in these micrographs.</w:t>
        </w:r>
        <w:r w:rsidR="00067A5E">
          <w:rPr>
            <w:noProof/>
            <w:webHidden/>
          </w:rPr>
          <w:tab/>
        </w:r>
        <w:r w:rsidR="00067A5E">
          <w:rPr>
            <w:noProof/>
            <w:webHidden/>
          </w:rPr>
          <w:fldChar w:fldCharType="begin"/>
        </w:r>
        <w:r w:rsidR="00067A5E">
          <w:rPr>
            <w:noProof/>
            <w:webHidden/>
          </w:rPr>
          <w:instrText xml:space="preserve"> PAGEREF _Toc69115060 \h </w:instrText>
        </w:r>
        <w:r w:rsidR="00067A5E">
          <w:rPr>
            <w:noProof/>
            <w:webHidden/>
          </w:rPr>
        </w:r>
        <w:r w:rsidR="00067A5E">
          <w:rPr>
            <w:noProof/>
            <w:webHidden/>
          </w:rPr>
          <w:fldChar w:fldCharType="separate"/>
        </w:r>
        <w:r w:rsidR="00067A5E">
          <w:rPr>
            <w:noProof/>
            <w:webHidden/>
          </w:rPr>
          <w:t>175</w:t>
        </w:r>
        <w:r w:rsidR="00067A5E">
          <w:rPr>
            <w:noProof/>
            <w:webHidden/>
          </w:rPr>
          <w:fldChar w:fldCharType="end"/>
        </w:r>
      </w:hyperlink>
    </w:p>
    <w:p w14:paraId="2B24C08B" w14:textId="12AFFFB4" w:rsidR="00067A5E" w:rsidRDefault="00B51F53">
      <w:pPr>
        <w:pStyle w:val="TableofFigures"/>
        <w:tabs>
          <w:tab w:val="right" w:leader="dot" w:pos="9016"/>
        </w:tabs>
        <w:rPr>
          <w:rFonts w:eastAsiaTheme="minorEastAsia"/>
          <w:noProof/>
          <w:lang w:eastAsia="en-GB"/>
        </w:rPr>
      </w:pPr>
      <w:hyperlink w:anchor="_Toc69115061" w:history="1">
        <w:r w:rsidR="00067A5E" w:rsidRPr="00C515B1">
          <w:rPr>
            <w:rStyle w:val="Hyperlink"/>
            <w:noProof/>
          </w:rPr>
          <w:t>Figure 6.10: Overlaid histograms of the 0 h aged air and nitrogen dried infiltrated Ni-YSZ sample. The air and nitrogen histograms are orange and blue respectively</w:t>
        </w:r>
        <w:r w:rsidR="00067A5E">
          <w:rPr>
            <w:noProof/>
            <w:webHidden/>
          </w:rPr>
          <w:tab/>
        </w:r>
        <w:r w:rsidR="00067A5E">
          <w:rPr>
            <w:noProof/>
            <w:webHidden/>
          </w:rPr>
          <w:fldChar w:fldCharType="begin"/>
        </w:r>
        <w:r w:rsidR="00067A5E">
          <w:rPr>
            <w:noProof/>
            <w:webHidden/>
          </w:rPr>
          <w:instrText xml:space="preserve"> PAGEREF _Toc69115061 \h </w:instrText>
        </w:r>
        <w:r w:rsidR="00067A5E">
          <w:rPr>
            <w:noProof/>
            <w:webHidden/>
          </w:rPr>
        </w:r>
        <w:r w:rsidR="00067A5E">
          <w:rPr>
            <w:noProof/>
            <w:webHidden/>
          </w:rPr>
          <w:fldChar w:fldCharType="separate"/>
        </w:r>
        <w:r w:rsidR="00067A5E">
          <w:rPr>
            <w:noProof/>
            <w:webHidden/>
          </w:rPr>
          <w:t>176</w:t>
        </w:r>
        <w:r w:rsidR="00067A5E">
          <w:rPr>
            <w:noProof/>
            <w:webHidden/>
          </w:rPr>
          <w:fldChar w:fldCharType="end"/>
        </w:r>
      </w:hyperlink>
    </w:p>
    <w:p w14:paraId="3BFB50BD" w14:textId="4B33B8EB" w:rsidR="00067A5E" w:rsidRDefault="00B51F53">
      <w:pPr>
        <w:pStyle w:val="TableofFigures"/>
        <w:tabs>
          <w:tab w:val="right" w:leader="dot" w:pos="9016"/>
        </w:tabs>
        <w:rPr>
          <w:rFonts w:eastAsiaTheme="minorEastAsia"/>
          <w:noProof/>
          <w:lang w:eastAsia="en-GB"/>
        </w:rPr>
      </w:pPr>
      <w:hyperlink w:anchor="_Toc69115062" w:history="1">
        <w:r w:rsidR="00067A5E" w:rsidRPr="00C515B1">
          <w:rPr>
            <w:rStyle w:val="Hyperlink"/>
            <w:noProof/>
          </w:rPr>
          <w:t>Figure 6.11: Back scattered electron micrographs of the 0 h aged air and nitrogen-dried Ni-YSZ samples at 25,000x</w:t>
        </w:r>
        <w:r w:rsidR="00067A5E">
          <w:rPr>
            <w:noProof/>
            <w:webHidden/>
          </w:rPr>
          <w:tab/>
        </w:r>
        <w:r w:rsidR="00067A5E">
          <w:rPr>
            <w:noProof/>
            <w:webHidden/>
          </w:rPr>
          <w:fldChar w:fldCharType="begin"/>
        </w:r>
        <w:r w:rsidR="00067A5E">
          <w:rPr>
            <w:noProof/>
            <w:webHidden/>
          </w:rPr>
          <w:instrText xml:space="preserve"> PAGEREF _Toc69115062 \h </w:instrText>
        </w:r>
        <w:r w:rsidR="00067A5E">
          <w:rPr>
            <w:noProof/>
            <w:webHidden/>
          </w:rPr>
        </w:r>
        <w:r w:rsidR="00067A5E">
          <w:rPr>
            <w:noProof/>
            <w:webHidden/>
          </w:rPr>
          <w:fldChar w:fldCharType="separate"/>
        </w:r>
        <w:r w:rsidR="00067A5E">
          <w:rPr>
            <w:noProof/>
            <w:webHidden/>
          </w:rPr>
          <w:t>176</w:t>
        </w:r>
        <w:r w:rsidR="00067A5E">
          <w:rPr>
            <w:noProof/>
            <w:webHidden/>
          </w:rPr>
          <w:fldChar w:fldCharType="end"/>
        </w:r>
      </w:hyperlink>
    </w:p>
    <w:p w14:paraId="33553E00" w14:textId="014E932C" w:rsidR="00067A5E" w:rsidRDefault="00B51F53">
      <w:pPr>
        <w:pStyle w:val="TableofFigures"/>
        <w:tabs>
          <w:tab w:val="right" w:leader="dot" w:pos="9016"/>
        </w:tabs>
        <w:rPr>
          <w:rFonts w:eastAsiaTheme="minorEastAsia"/>
          <w:noProof/>
          <w:lang w:eastAsia="en-GB"/>
        </w:rPr>
      </w:pPr>
      <w:hyperlink w:anchor="_Toc69115063" w:history="1">
        <w:r w:rsidR="00067A5E" w:rsidRPr="00C515B1">
          <w:rPr>
            <w:rStyle w:val="Hyperlink"/>
            <w:noProof/>
          </w:rPr>
          <w:t>Figure 6.12: X-ray Diffraction patterns of infiltrated Ni(O)-YSZ aged between 0 -3h. From left to right: NiO-YSZ (AD, 0 h), Ni-YSZ (AD, 2 h), NiO-YSZ (ND, 0 h), and Ni-YSZ (ND, 3 h)Characteristic peaks for nickel oxide, nickel and yttria-stabilised zirconia are denoted by +, -, and * respectively [382], [488], [493].</w:t>
        </w:r>
        <w:r w:rsidR="00067A5E">
          <w:rPr>
            <w:noProof/>
            <w:webHidden/>
          </w:rPr>
          <w:tab/>
        </w:r>
        <w:r w:rsidR="00067A5E">
          <w:rPr>
            <w:noProof/>
            <w:webHidden/>
          </w:rPr>
          <w:fldChar w:fldCharType="begin"/>
        </w:r>
        <w:r w:rsidR="00067A5E">
          <w:rPr>
            <w:noProof/>
            <w:webHidden/>
          </w:rPr>
          <w:instrText xml:space="preserve"> PAGEREF _Toc69115063 \h </w:instrText>
        </w:r>
        <w:r w:rsidR="00067A5E">
          <w:rPr>
            <w:noProof/>
            <w:webHidden/>
          </w:rPr>
        </w:r>
        <w:r w:rsidR="00067A5E">
          <w:rPr>
            <w:noProof/>
            <w:webHidden/>
          </w:rPr>
          <w:fldChar w:fldCharType="separate"/>
        </w:r>
        <w:r w:rsidR="00067A5E">
          <w:rPr>
            <w:noProof/>
            <w:webHidden/>
          </w:rPr>
          <w:t>177</w:t>
        </w:r>
        <w:r w:rsidR="00067A5E">
          <w:rPr>
            <w:noProof/>
            <w:webHidden/>
          </w:rPr>
          <w:fldChar w:fldCharType="end"/>
        </w:r>
      </w:hyperlink>
    </w:p>
    <w:p w14:paraId="68384995" w14:textId="68C69207" w:rsidR="00067A5E" w:rsidRDefault="00B51F53">
      <w:pPr>
        <w:pStyle w:val="TableofFigures"/>
        <w:tabs>
          <w:tab w:val="right" w:leader="dot" w:pos="9016"/>
        </w:tabs>
        <w:rPr>
          <w:rFonts w:eastAsiaTheme="minorEastAsia"/>
          <w:noProof/>
          <w:lang w:eastAsia="en-GB"/>
        </w:rPr>
      </w:pPr>
      <w:hyperlink w:anchor="_Toc69115064" w:history="1">
        <w:r w:rsidR="00067A5E" w:rsidRPr="00C515B1">
          <w:rPr>
            <w:rStyle w:val="Hyperlink"/>
            <w:rFonts w:cstheme="minorHAnsi"/>
            <w:i/>
            <w:iCs/>
            <w:noProof/>
          </w:rPr>
          <w:t>Figure 6.13: Ptychographic diffraction patterns of the base of the Ni-YSZ anode pillar sample aged as reduced and aged for     1 h at 800⁰C.in 10% H</w:t>
        </w:r>
        <w:r w:rsidR="00067A5E" w:rsidRPr="00C515B1">
          <w:rPr>
            <w:rStyle w:val="Hyperlink"/>
            <w:rFonts w:cstheme="minorHAnsi"/>
            <w:i/>
            <w:iCs/>
            <w:noProof/>
            <w:vertAlign w:val="subscript"/>
          </w:rPr>
          <w:t>2</w:t>
        </w:r>
        <w:r w:rsidR="00067A5E" w:rsidRPr="00C515B1">
          <w:rPr>
            <w:rStyle w:val="Hyperlink"/>
            <w:rFonts w:cstheme="minorHAnsi"/>
            <w:i/>
            <w:iCs/>
            <w:noProof/>
          </w:rPr>
          <w:t>/N</w:t>
        </w:r>
        <w:r w:rsidR="00067A5E" w:rsidRPr="00C515B1">
          <w:rPr>
            <w:rStyle w:val="Hyperlink"/>
            <w:rFonts w:cstheme="minorHAnsi"/>
            <w:i/>
            <w:iCs/>
            <w:noProof/>
            <w:vertAlign w:val="subscript"/>
          </w:rPr>
          <w:t xml:space="preserve">2 </w:t>
        </w:r>
        <w:r w:rsidR="00067A5E" w:rsidRPr="00C515B1">
          <w:rPr>
            <w:rStyle w:val="Hyperlink"/>
            <w:rFonts w:cstheme="minorHAnsi"/>
            <w:i/>
            <w:iCs/>
            <w:noProof/>
          </w:rPr>
          <w:t>. A sintered nickel particle is denoted by the white circle. The black denotes pores, and the light grey denotes the YSZ ceramic backbone</w:t>
        </w:r>
        <w:r w:rsidR="00067A5E">
          <w:rPr>
            <w:noProof/>
            <w:webHidden/>
          </w:rPr>
          <w:tab/>
        </w:r>
        <w:r w:rsidR="00067A5E">
          <w:rPr>
            <w:noProof/>
            <w:webHidden/>
          </w:rPr>
          <w:fldChar w:fldCharType="begin"/>
        </w:r>
        <w:r w:rsidR="00067A5E">
          <w:rPr>
            <w:noProof/>
            <w:webHidden/>
          </w:rPr>
          <w:instrText xml:space="preserve"> PAGEREF _Toc69115064 \h </w:instrText>
        </w:r>
        <w:r w:rsidR="00067A5E">
          <w:rPr>
            <w:noProof/>
            <w:webHidden/>
          </w:rPr>
        </w:r>
        <w:r w:rsidR="00067A5E">
          <w:rPr>
            <w:noProof/>
            <w:webHidden/>
          </w:rPr>
          <w:fldChar w:fldCharType="separate"/>
        </w:r>
        <w:r w:rsidR="00067A5E">
          <w:rPr>
            <w:noProof/>
            <w:webHidden/>
          </w:rPr>
          <w:t>178</w:t>
        </w:r>
        <w:r w:rsidR="00067A5E">
          <w:rPr>
            <w:noProof/>
            <w:webHidden/>
          </w:rPr>
          <w:fldChar w:fldCharType="end"/>
        </w:r>
      </w:hyperlink>
    </w:p>
    <w:p w14:paraId="526BD330" w14:textId="068BF4BB" w:rsidR="00067A5E" w:rsidRDefault="00B51F53">
      <w:pPr>
        <w:pStyle w:val="TableofFigures"/>
        <w:tabs>
          <w:tab w:val="right" w:leader="dot" w:pos="9016"/>
        </w:tabs>
        <w:rPr>
          <w:rFonts w:eastAsiaTheme="minorEastAsia"/>
          <w:noProof/>
          <w:lang w:eastAsia="en-GB"/>
        </w:rPr>
      </w:pPr>
      <w:hyperlink w:anchor="_Toc69115065" w:history="1">
        <w:r w:rsidR="00067A5E" w:rsidRPr="00C515B1">
          <w:rPr>
            <w:rStyle w:val="Hyperlink"/>
            <w:rFonts w:cstheme="minorHAnsi"/>
            <w:noProof/>
          </w:rPr>
          <w:t>Figure 6.14: Ptychographic ortho-slices images from the I13-1 beamline of the same Ni-YSZ sample having been aged for 0h to 2h. White nickel agglomerates have sintered on top of the grey YSZ scaffold (red box).</w:t>
        </w:r>
        <w:r w:rsidR="00067A5E">
          <w:rPr>
            <w:noProof/>
            <w:webHidden/>
          </w:rPr>
          <w:tab/>
        </w:r>
        <w:r w:rsidR="00067A5E">
          <w:rPr>
            <w:noProof/>
            <w:webHidden/>
          </w:rPr>
          <w:fldChar w:fldCharType="begin"/>
        </w:r>
        <w:r w:rsidR="00067A5E">
          <w:rPr>
            <w:noProof/>
            <w:webHidden/>
          </w:rPr>
          <w:instrText xml:space="preserve"> PAGEREF _Toc69115065 \h </w:instrText>
        </w:r>
        <w:r w:rsidR="00067A5E">
          <w:rPr>
            <w:noProof/>
            <w:webHidden/>
          </w:rPr>
        </w:r>
        <w:r w:rsidR="00067A5E">
          <w:rPr>
            <w:noProof/>
            <w:webHidden/>
          </w:rPr>
          <w:fldChar w:fldCharType="separate"/>
        </w:r>
        <w:r w:rsidR="00067A5E">
          <w:rPr>
            <w:noProof/>
            <w:webHidden/>
          </w:rPr>
          <w:t>179</w:t>
        </w:r>
        <w:r w:rsidR="00067A5E">
          <w:rPr>
            <w:noProof/>
            <w:webHidden/>
          </w:rPr>
          <w:fldChar w:fldCharType="end"/>
        </w:r>
      </w:hyperlink>
    </w:p>
    <w:p w14:paraId="0D91AE29" w14:textId="1F103E98" w:rsidR="00067A5E" w:rsidRDefault="00B51F53">
      <w:pPr>
        <w:pStyle w:val="TableofFigures"/>
        <w:tabs>
          <w:tab w:val="right" w:leader="dot" w:pos="9016"/>
        </w:tabs>
        <w:rPr>
          <w:rFonts w:eastAsiaTheme="minorEastAsia"/>
          <w:noProof/>
          <w:lang w:eastAsia="en-GB"/>
        </w:rPr>
      </w:pPr>
      <w:hyperlink w:anchor="_Toc69115066" w:history="1">
        <w:r w:rsidR="00067A5E" w:rsidRPr="00C515B1">
          <w:rPr>
            <w:rStyle w:val="Hyperlink"/>
            <w:noProof/>
          </w:rPr>
          <w:t>Figure 6.15: Percentage  transmission for the YSZ ceramic phase (Density of 6.05 gcm</w:t>
        </w:r>
        <w:r w:rsidR="00067A5E" w:rsidRPr="00C515B1">
          <w:rPr>
            <w:rStyle w:val="Hyperlink"/>
            <w:noProof/>
            <w:vertAlign w:val="superscript"/>
          </w:rPr>
          <w:t>-3</w:t>
        </w:r>
        <w:r w:rsidR="00067A5E" w:rsidRPr="00C515B1">
          <w:rPr>
            <w:rStyle w:val="Hyperlink"/>
            <w:noProof/>
          </w:rPr>
          <w:t xml:space="preserve">) using a 15 </w:t>
        </w:r>
        <w:r w:rsidR="00067A5E" w:rsidRPr="00C515B1">
          <w:rPr>
            <w:rStyle w:val="Hyperlink"/>
            <w:rFonts w:cstheme="minorHAnsi"/>
            <w:noProof/>
          </w:rPr>
          <w:t>µ</w:t>
        </w:r>
        <w:r w:rsidR="00067A5E" w:rsidRPr="00C515B1">
          <w:rPr>
            <w:rStyle w:val="Hyperlink"/>
            <w:noProof/>
          </w:rPr>
          <w:t>m thick sample for photon energies ranging from 0 – 20 keV[363]</w:t>
        </w:r>
        <w:r w:rsidR="00067A5E">
          <w:rPr>
            <w:noProof/>
            <w:webHidden/>
          </w:rPr>
          <w:tab/>
        </w:r>
        <w:r w:rsidR="00067A5E">
          <w:rPr>
            <w:noProof/>
            <w:webHidden/>
          </w:rPr>
          <w:fldChar w:fldCharType="begin"/>
        </w:r>
        <w:r w:rsidR="00067A5E">
          <w:rPr>
            <w:noProof/>
            <w:webHidden/>
          </w:rPr>
          <w:instrText xml:space="preserve"> PAGEREF _Toc69115066 \h </w:instrText>
        </w:r>
        <w:r w:rsidR="00067A5E">
          <w:rPr>
            <w:noProof/>
            <w:webHidden/>
          </w:rPr>
        </w:r>
        <w:r w:rsidR="00067A5E">
          <w:rPr>
            <w:noProof/>
            <w:webHidden/>
          </w:rPr>
          <w:fldChar w:fldCharType="separate"/>
        </w:r>
        <w:r w:rsidR="00067A5E">
          <w:rPr>
            <w:noProof/>
            <w:webHidden/>
          </w:rPr>
          <w:t>180</w:t>
        </w:r>
        <w:r w:rsidR="00067A5E">
          <w:rPr>
            <w:noProof/>
            <w:webHidden/>
          </w:rPr>
          <w:fldChar w:fldCharType="end"/>
        </w:r>
      </w:hyperlink>
    </w:p>
    <w:p w14:paraId="28D30694" w14:textId="51D1BC92" w:rsidR="00067A5E" w:rsidRDefault="00B51F53">
      <w:pPr>
        <w:pStyle w:val="TableofFigures"/>
        <w:tabs>
          <w:tab w:val="right" w:leader="dot" w:pos="9016"/>
        </w:tabs>
        <w:rPr>
          <w:rFonts w:eastAsiaTheme="minorEastAsia"/>
          <w:noProof/>
          <w:lang w:eastAsia="en-GB"/>
        </w:rPr>
      </w:pPr>
      <w:hyperlink w:anchor="_Toc69115067" w:history="1">
        <w:r w:rsidR="00067A5E" w:rsidRPr="00C515B1">
          <w:rPr>
            <w:rStyle w:val="Hyperlink"/>
            <w:noProof/>
          </w:rPr>
          <w:t>Figure 6.16: Percentage transmission for the 20 vol % Nickel phase (Density of 8.9 gcm</w:t>
        </w:r>
        <w:r w:rsidR="00067A5E" w:rsidRPr="00C515B1">
          <w:rPr>
            <w:rStyle w:val="Hyperlink"/>
            <w:noProof/>
            <w:vertAlign w:val="superscript"/>
          </w:rPr>
          <w:t>-3</w:t>
        </w:r>
        <w:r w:rsidR="00067A5E" w:rsidRPr="00C515B1">
          <w:rPr>
            <w:rStyle w:val="Hyperlink"/>
            <w:noProof/>
          </w:rPr>
          <w:t xml:space="preserve">)  using a 15 </w:t>
        </w:r>
        <w:r w:rsidR="00067A5E" w:rsidRPr="00C515B1">
          <w:rPr>
            <w:rStyle w:val="Hyperlink"/>
            <w:rFonts w:cstheme="minorHAnsi"/>
            <w:noProof/>
          </w:rPr>
          <w:t>µ</w:t>
        </w:r>
        <w:r w:rsidR="00067A5E" w:rsidRPr="00C515B1">
          <w:rPr>
            <w:rStyle w:val="Hyperlink"/>
            <w:noProof/>
          </w:rPr>
          <w:t>m thick sample for photon energies ranging from 0 – 20 keV [363]</w:t>
        </w:r>
        <w:r w:rsidR="00067A5E">
          <w:rPr>
            <w:noProof/>
            <w:webHidden/>
          </w:rPr>
          <w:tab/>
        </w:r>
        <w:r w:rsidR="00067A5E">
          <w:rPr>
            <w:noProof/>
            <w:webHidden/>
          </w:rPr>
          <w:fldChar w:fldCharType="begin"/>
        </w:r>
        <w:r w:rsidR="00067A5E">
          <w:rPr>
            <w:noProof/>
            <w:webHidden/>
          </w:rPr>
          <w:instrText xml:space="preserve"> PAGEREF _Toc69115067 \h </w:instrText>
        </w:r>
        <w:r w:rsidR="00067A5E">
          <w:rPr>
            <w:noProof/>
            <w:webHidden/>
          </w:rPr>
        </w:r>
        <w:r w:rsidR="00067A5E">
          <w:rPr>
            <w:noProof/>
            <w:webHidden/>
          </w:rPr>
          <w:fldChar w:fldCharType="separate"/>
        </w:r>
        <w:r w:rsidR="00067A5E">
          <w:rPr>
            <w:noProof/>
            <w:webHidden/>
          </w:rPr>
          <w:t>180</w:t>
        </w:r>
        <w:r w:rsidR="00067A5E">
          <w:rPr>
            <w:noProof/>
            <w:webHidden/>
          </w:rPr>
          <w:fldChar w:fldCharType="end"/>
        </w:r>
      </w:hyperlink>
    </w:p>
    <w:p w14:paraId="42B031A2" w14:textId="0EA783A0" w:rsidR="00067A5E" w:rsidRDefault="00B51F53">
      <w:pPr>
        <w:pStyle w:val="TableofFigures"/>
        <w:tabs>
          <w:tab w:val="right" w:leader="dot" w:pos="9016"/>
        </w:tabs>
        <w:rPr>
          <w:rFonts w:eastAsiaTheme="minorEastAsia"/>
          <w:noProof/>
          <w:lang w:eastAsia="en-GB"/>
        </w:rPr>
      </w:pPr>
      <w:hyperlink w:anchor="_Toc69115068" w:history="1">
        <w:r w:rsidR="00067A5E" w:rsidRPr="00C515B1">
          <w:rPr>
            <w:rStyle w:val="Hyperlink"/>
            <w:noProof/>
          </w:rPr>
          <w:t xml:space="preserve">Figure 6.17: Percentage transmission for the air/pore phase using a 15 </w:t>
        </w:r>
        <w:r w:rsidR="00067A5E" w:rsidRPr="00C515B1">
          <w:rPr>
            <w:rStyle w:val="Hyperlink"/>
            <w:rFonts w:cstheme="minorHAnsi"/>
            <w:noProof/>
          </w:rPr>
          <w:t>µ</w:t>
        </w:r>
        <w:r w:rsidR="00067A5E" w:rsidRPr="00C515B1">
          <w:rPr>
            <w:rStyle w:val="Hyperlink"/>
            <w:noProof/>
          </w:rPr>
          <w:t>m thick sample for photon energies ranging from 0 – 20 keV [363]</w:t>
        </w:r>
        <w:r w:rsidR="00067A5E">
          <w:rPr>
            <w:noProof/>
            <w:webHidden/>
          </w:rPr>
          <w:tab/>
        </w:r>
        <w:r w:rsidR="00067A5E">
          <w:rPr>
            <w:noProof/>
            <w:webHidden/>
          </w:rPr>
          <w:fldChar w:fldCharType="begin"/>
        </w:r>
        <w:r w:rsidR="00067A5E">
          <w:rPr>
            <w:noProof/>
            <w:webHidden/>
          </w:rPr>
          <w:instrText xml:space="preserve"> PAGEREF _Toc69115068 \h </w:instrText>
        </w:r>
        <w:r w:rsidR="00067A5E">
          <w:rPr>
            <w:noProof/>
            <w:webHidden/>
          </w:rPr>
        </w:r>
        <w:r w:rsidR="00067A5E">
          <w:rPr>
            <w:noProof/>
            <w:webHidden/>
          </w:rPr>
          <w:fldChar w:fldCharType="separate"/>
        </w:r>
        <w:r w:rsidR="00067A5E">
          <w:rPr>
            <w:noProof/>
            <w:webHidden/>
          </w:rPr>
          <w:t>180</w:t>
        </w:r>
        <w:r w:rsidR="00067A5E">
          <w:rPr>
            <w:noProof/>
            <w:webHidden/>
          </w:rPr>
          <w:fldChar w:fldCharType="end"/>
        </w:r>
      </w:hyperlink>
    </w:p>
    <w:p w14:paraId="7C6CF3D5" w14:textId="59B13EF0" w:rsidR="00067A5E" w:rsidRDefault="00B51F53">
      <w:pPr>
        <w:pStyle w:val="TableofFigures"/>
        <w:tabs>
          <w:tab w:val="right" w:leader="dot" w:pos="9016"/>
        </w:tabs>
        <w:rPr>
          <w:rFonts w:eastAsiaTheme="minorEastAsia"/>
          <w:noProof/>
          <w:lang w:eastAsia="en-GB"/>
        </w:rPr>
      </w:pPr>
      <w:hyperlink w:anchor="_Toc69115069" w:history="1">
        <w:r w:rsidR="00067A5E" w:rsidRPr="00C515B1">
          <w:rPr>
            <w:rStyle w:val="Hyperlink"/>
            <w:noProof/>
          </w:rPr>
          <w:t>Figure 6.18: 3D Rendering of the microstructure in the Ni-YSZ cermet contrast sample. The white phase is the YSZ ceramic scaffold, and the red phase is the Ni metal. The orientation is XY</w:t>
        </w:r>
        <w:r w:rsidR="00067A5E">
          <w:rPr>
            <w:noProof/>
            <w:webHidden/>
          </w:rPr>
          <w:tab/>
        </w:r>
        <w:r w:rsidR="00067A5E">
          <w:rPr>
            <w:noProof/>
            <w:webHidden/>
          </w:rPr>
          <w:fldChar w:fldCharType="begin"/>
        </w:r>
        <w:r w:rsidR="00067A5E">
          <w:rPr>
            <w:noProof/>
            <w:webHidden/>
          </w:rPr>
          <w:instrText xml:space="preserve"> PAGEREF _Toc69115069 \h </w:instrText>
        </w:r>
        <w:r w:rsidR="00067A5E">
          <w:rPr>
            <w:noProof/>
            <w:webHidden/>
          </w:rPr>
        </w:r>
        <w:r w:rsidR="00067A5E">
          <w:rPr>
            <w:noProof/>
            <w:webHidden/>
          </w:rPr>
          <w:fldChar w:fldCharType="separate"/>
        </w:r>
        <w:r w:rsidR="00067A5E">
          <w:rPr>
            <w:noProof/>
            <w:webHidden/>
          </w:rPr>
          <w:t>183</w:t>
        </w:r>
        <w:r w:rsidR="00067A5E">
          <w:rPr>
            <w:noProof/>
            <w:webHidden/>
          </w:rPr>
          <w:fldChar w:fldCharType="end"/>
        </w:r>
      </w:hyperlink>
    </w:p>
    <w:p w14:paraId="7AD3265D" w14:textId="5C5BABBA" w:rsidR="00067A5E" w:rsidRDefault="00B51F53">
      <w:pPr>
        <w:pStyle w:val="TableofFigures"/>
        <w:tabs>
          <w:tab w:val="right" w:leader="dot" w:pos="9016"/>
        </w:tabs>
        <w:rPr>
          <w:rFonts w:eastAsiaTheme="minorEastAsia"/>
          <w:noProof/>
          <w:lang w:eastAsia="en-GB"/>
        </w:rPr>
      </w:pPr>
      <w:hyperlink w:anchor="_Toc69115070" w:history="1">
        <w:r w:rsidR="00067A5E" w:rsidRPr="00C515B1">
          <w:rPr>
            <w:rStyle w:val="Hyperlink"/>
            <w:noProof/>
          </w:rPr>
          <w:t>Figure 6.19: 3D Renderings of the microstructure in the Ni-YSZ cermet contrast sample. The white phase is the YSZ ceramic scaffold, and the red phase is the Ni metal. The orientations from top to bottom are XZ and YZ</w:t>
        </w:r>
        <w:r w:rsidR="00067A5E">
          <w:rPr>
            <w:noProof/>
            <w:webHidden/>
          </w:rPr>
          <w:tab/>
        </w:r>
        <w:r w:rsidR="00067A5E">
          <w:rPr>
            <w:noProof/>
            <w:webHidden/>
          </w:rPr>
          <w:fldChar w:fldCharType="begin"/>
        </w:r>
        <w:r w:rsidR="00067A5E">
          <w:rPr>
            <w:noProof/>
            <w:webHidden/>
          </w:rPr>
          <w:instrText xml:space="preserve"> PAGEREF _Toc69115070 \h </w:instrText>
        </w:r>
        <w:r w:rsidR="00067A5E">
          <w:rPr>
            <w:noProof/>
            <w:webHidden/>
          </w:rPr>
        </w:r>
        <w:r w:rsidR="00067A5E">
          <w:rPr>
            <w:noProof/>
            <w:webHidden/>
          </w:rPr>
          <w:fldChar w:fldCharType="separate"/>
        </w:r>
        <w:r w:rsidR="00067A5E">
          <w:rPr>
            <w:noProof/>
            <w:webHidden/>
          </w:rPr>
          <w:t>183</w:t>
        </w:r>
        <w:r w:rsidR="00067A5E">
          <w:rPr>
            <w:noProof/>
            <w:webHidden/>
          </w:rPr>
          <w:fldChar w:fldCharType="end"/>
        </w:r>
      </w:hyperlink>
    </w:p>
    <w:p w14:paraId="1173C4E2" w14:textId="0734B290" w:rsidR="00067A5E" w:rsidRDefault="00B51F53">
      <w:pPr>
        <w:pStyle w:val="TableofFigures"/>
        <w:tabs>
          <w:tab w:val="right" w:leader="dot" w:pos="9016"/>
        </w:tabs>
        <w:rPr>
          <w:rFonts w:eastAsiaTheme="minorEastAsia"/>
          <w:noProof/>
          <w:lang w:eastAsia="en-GB"/>
        </w:rPr>
      </w:pPr>
      <w:hyperlink w:anchor="_Toc69115071" w:history="1">
        <w:r w:rsidR="00067A5E" w:rsidRPr="00C515B1">
          <w:rPr>
            <w:rStyle w:val="Hyperlink"/>
            <w:noProof/>
          </w:rPr>
          <w:t>Figure 6.20: 3D Rendering of the microstructure in the Ni-YSZ cermet contrast sample. The white phase is the YSZ ceramic scaffold, the red phase is the Ni metal and the grey phase is the air. The orientation is XY</w:t>
        </w:r>
        <w:r w:rsidR="00067A5E">
          <w:rPr>
            <w:noProof/>
            <w:webHidden/>
          </w:rPr>
          <w:tab/>
        </w:r>
        <w:r w:rsidR="00067A5E">
          <w:rPr>
            <w:noProof/>
            <w:webHidden/>
          </w:rPr>
          <w:fldChar w:fldCharType="begin"/>
        </w:r>
        <w:r w:rsidR="00067A5E">
          <w:rPr>
            <w:noProof/>
            <w:webHidden/>
          </w:rPr>
          <w:instrText xml:space="preserve"> PAGEREF _Toc69115071 \h </w:instrText>
        </w:r>
        <w:r w:rsidR="00067A5E">
          <w:rPr>
            <w:noProof/>
            <w:webHidden/>
          </w:rPr>
        </w:r>
        <w:r w:rsidR="00067A5E">
          <w:rPr>
            <w:noProof/>
            <w:webHidden/>
          </w:rPr>
          <w:fldChar w:fldCharType="separate"/>
        </w:r>
        <w:r w:rsidR="00067A5E">
          <w:rPr>
            <w:noProof/>
            <w:webHidden/>
          </w:rPr>
          <w:t>184</w:t>
        </w:r>
        <w:r w:rsidR="00067A5E">
          <w:rPr>
            <w:noProof/>
            <w:webHidden/>
          </w:rPr>
          <w:fldChar w:fldCharType="end"/>
        </w:r>
      </w:hyperlink>
    </w:p>
    <w:p w14:paraId="2154D8C3" w14:textId="5075B94E" w:rsidR="00067A5E" w:rsidRDefault="00B51F53">
      <w:pPr>
        <w:pStyle w:val="TableofFigures"/>
        <w:tabs>
          <w:tab w:val="right" w:leader="dot" w:pos="9016"/>
        </w:tabs>
        <w:rPr>
          <w:rFonts w:eastAsiaTheme="minorEastAsia"/>
          <w:noProof/>
          <w:lang w:eastAsia="en-GB"/>
        </w:rPr>
      </w:pPr>
      <w:hyperlink w:anchor="_Toc69115072" w:history="1">
        <w:r w:rsidR="00067A5E" w:rsidRPr="00C515B1">
          <w:rPr>
            <w:rStyle w:val="Hyperlink"/>
            <w:noProof/>
          </w:rPr>
          <w:t>Figure 6.21: 3D Renderings of the microstructure in the Ni-YSZ cermet contrast sample. The white phase is the YSZ ceramic scaffold, the red phase is the Ni metal, and the grey phase is the air. The orientations from top to bottom are XZ and YZ</w:t>
        </w:r>
        <w:r w:rsidR="00067A5E">
          <w:rPr>
            <w:noProof/>
            <w:webHidden/>
          </w:rPr>
          <w:tab/>
        </w:r>
        <w:r w:rsidR="00067A5E">
          <w:rPr>
            <w:noProof/>
            <w:webHidden/>
          </w:rPr>
          <w:fldChar w:fldCharType="begin"/>
        </w:r>
        <w:r w:rsidR="00067A5E">
          <w:rPr>
            <w:noProof/>
            <w:webHidden/>
          </w:rPr>
          <w:instrText xml:space="preserve"> PAGEREF _Toc69115072 \h </w:instrText>
        </w:r>
        <w:r w:rsidR="00067A5E">
          <w:rPr>
            <w:noProof/>
            <w:webHidden/>
          </w:rPr>
        </w:r>
        <w:r w:rsidR="00067A5E">
          <w:rPr>
            <w:noProof/>
            <w:webHidden/>
          </w:rPr>
          <w:fldChar w:fldCharType="separate"/>
        </w:r>
        <w:r w:rsidR="00067A5E">
          <w:rPr>
            <w:noProof/>
            <w:webHidden/>
          </w:rPr>
          <w:t>184</w:t>
        </w:r>
        <w:r w:rsidR="00067A5E">
          <w:rPr>
            <w:noProof/>
            <w:webHidden/>
          </w:rPr>
          <w:fldChar w:fldCharType="end"/>
        </w:r>
      </w:hyperlink>
    </w:p>
    <w:p w14:paraId="4F0C6F54" w14:textId="7BB33920" w:rsidR="00067A5E" w:rsidRDefault="00B51F53">
      <w:pPr>
        <w:pStyle w:val="TableofFigures"/>
        <w:tabs>
          <w:tab w:val="right" w:leader="dot" w:pos="9016"/>
        </w:tabs>
        <w:rPr>
          <w:rFonts w:eastAsiaTheme="minorEastAsia"/>
          <w:noProof/>
          <w:lang w:eastAsia="en-GB"/>
        </w:rPr>
      </w:pPr>
      <w:hyperlink w:anchor="_Toc69115073" w:history="1">
        <w:r w:rsidR="00067A5E" w:rsidRPr="00C515B1">
          <w:rPr>
            <w:rStyle w:val="Hyperlink"/>
            <w:noProof/>
          </w:rPr>
          <w:t>Figure 6.22: Segmented 3D renderings of the ROI sub volume of the 0 h aged, air-dried Ni-YSZ fuel electrode using Avizo Lite. The nickel, ceramic and pore phases are red, white, and grey, respectively. The Ni and YSZ phase are rendered in a. and the three phases in b.</w:t>
        </w:r>
        <w:r w:rsidR="00067A5E">
          <w:rPr>
            <w:noProof/>
            <w:webHidden/>
          </w:rPr>
          <w:tab/>
        </w:r>
        <w:r w:rsidR="00067A5E">
          <w:rPr>
            <w:noProof/>
            <w:webHidden/>
          </w:rPr>
          <w:fldChar w:fldCharType="begin"/>
        </w:r>
        <w:r w:rsidR="00067A5E">
          <w:rPr>
            <w:noProof/>
            <w:webHidden/>
          </w:rPr>
          <w:instrText xml:space="preserve"> PAGEREF _Toc69115073 \h </w:instrText>
        </w:r>
        <w:r w:rsidR="00067A5E">
          <w:rPr>
            <w:noProof/>
            <w:webHidden/>
          </w:rPr>
        </w:r>
        <w:r w:rsidR="00067A5E">
          <w:rPr>
            <w:noProof/>
            <w:webHidden/>
          </w:rPr>
          <w:fldChar w:fldCharType="separate"/>
        </w:r>
        <w:r w:rsidR="00067A5E">
          <w:rPr>
            <w:noProof/>
            <w:webHidden/>
          </w:rPr>
          <w:t>185</w:t>
        </w:r>
        <w:r w:rsidR="00067A5E">
          <w:rPr>
            <w:noProof/>
            <w:webHidden/>
          </w:rPr>
          <w:fldChar w:fldCharType="end"/>
        </w:r>
      </w:hyperlink>
    </w:p>
    <w:p w14:paraId="2B17D617" w14:textId="44280F95" w:rsidR="00067A5E" w:rsidRDefault="00B51F53">
      <w:pPr>
        <w:pStyle w:val="TableofFigures"/>
        <w:tabs>
          <w:tab w:val="right" w:leader="dot" w:pos="9016"/>
        </w:tabs>
        <w:rPr>
          <w:rFonts w:eastAsiaTheme="minorEastAsia"/>
          <w:noProof/>
          <w:lang w:eastAsia="en-GB"/>
        </w:rPr>
      </w:pPr>
      <w:hyperlink w:anchor="_Toc69115074" w:history="1">
        <w:r w:rsidR="00067A5E" w:rsidRPr="00C515B1">
          <w:rPr>
            <w:rStyle w:val="Hyperlink"/>
            <w:noProof/>
          </w:rPr>
          <w:t>Figure 6.23: Segmented 3D renderings of the ROI sub volume of the 2 h aged, air-dried Ni-YSZ fuel electrode using Avizo Lite. The nickel, ceramic and pore phases are red, white, and grey, respectively. The Ni and YSZ phase are rendered in a. and the three phases in b.</w:t>
        </w:r>
        <w:r w:rsidR="00067A5E">
          <w:rPr>
            <w:noProof/>
            <w:webHidden/>
          </w:rPr>
          <w:tab/>
        </w:r>
        <w:r w:rsidR="00067A5E">
          <w:rPr>
            <w:noProof/>
            <w:webHidden/>
          </w:rPr>
          <w:fldChar w:fldCharType="begin"/>
        </w:r>
        <w:r w:rsidR="00067A5E">
          <w:rPr>
            <w:noProof/>
            <w:webHidden/>
          </w:rPr>
          <w:instrText xml:space="preserve"> PAGEREF _Toc69115074 \h </w:instrText>
        </w:r>
        <w:r w:rsidR="00067A5E">
          <w:rPr>
            <w:noProof/>
            <w:webHidden/>
          </w:rPr>
        </w:r>
        <w:r w:rsidR="00067A5E">
          <w:rPr>
            <w:noProof/>
            <w:webHidden/>
          </w:rPr>
          <w:fldChar w:fldCharType="separate"/>
        </w:r>
        <w:r w:rsidR="00067A5E">
          <w:rPr>
            <w:noProof/>
            <w:webHidden/>
          </w:rPr>
          <w:t>185</w:t>
        </w:r>
        <w:r w:rsidR="00067A5E">
          <w:rPr>
            <w:noProof/>
            <w:webHidden/>
          </w:rPr>
          <w:fldChar w:fldCharType="end"/>
        </w:r>
      </w:hyperlink>
    </w:p>
    <w:p w14:paraId="4C7CEB66" w14:textId="0CC8BAE1" w:rsidR="00067A5E" w:rsidRDefault="00B51F53">
      <w:pPr>
        <w:pStyle w:val="TableofFigures"/>
        <w:tabs>
          <w:tab w:val="right" w:leader="dot" w:pos="9016"/>
        </w:tabs>
        <w:rPr>
          <w:rFonts w:eastAsiaTheme="minorEastAsia"/>
          <w:noProof/>
          <w:lang w:eastAsia="en-GB"/>
        </w:rPr>
      </w:pPr>
      <w:hyperlink w:anchor="_Toc69115075" w:history="1">
        <w:r w:rsidR="00067A5E" w:rsidRPr="00C515B1">
          <w:rPr>
            <w:rStyle w:val="Hyperlink"/>
            <w:noProof/>
          </w:rPr>
          <w:t xml:space="preserve">Figure 6.24: Volume % per slice of the nickel catalyst phases from the top to the bottom of the Roi. The 0 h aged nickel is denoted by the grey series and the 2 h aged the pink series, respectively. Slices 0-20 denote the top of 2.5 </w:t>
        </w:r>
        <w:r w:rsidR="00067A5E" w:rsidRPr="00C515B1">
          <w:rPr>
            <w:rStyle w:val="Hyperlink"/>
            <w:rFonts w:cstheme="minorHAnsi"/>
            <w:noProof/>
          </w:rPr>
          <w:t>µ</w:t>
        </w:r>
        <w:r w:rsidR="00067A5E" w:rsidRPr="00C515B1">
          <w:rPr>
            <w:rStyle w:val="Hyperlink"/>
            <w:noProof/>
          </w:rPr>
          <w:t>m of the volume. Slices 20-60 denote the Ni-YSZ electrode approaching the electrode/electrolyte interface</w:t>
        </w:r>
        <w:r w:rsidR="00067A5E">
          <w:rPr>
            <w:noProof/>
            <w:webHidden/>
          </w:rPr>
          <w:tab/>
        </w:r>
        <w:r w:rsidR="00067A5E">
          <w:rPr>
            <w:noProof/>
            <w:webHidden/>
          </w:rPr>
          <w:fldChar w:fldCharType="begin"/>
        </w:r>
        <w:r w:rsidR="00067A5E">
          <w:rPr>
            <w:noProof/>
            <w:webHidden/>
          </w:rPr>
          <w:instrText xml:space="preserve"> PAGEREF _Toc69115075 \h </w:instrText>
        </w:r>
        <w:r w:rsidR="00067A5E">
          <w:rPr>
            <w:noProof/>
            <w:webHidden/>
          </w:rPr>
        </w:r>
        <w:r w:rsidR="00067A5E">
          <w:rPr>
            <w:noProof/>
            <w:webHidden/>
          </w:rPr>
          <w:fldChar w:fldCharType="separate"/>
        </w:r>
        <w:r w:rsidR="00067A5E">
          <w:rPr>
            <w:noProof/>
            <w:webHidden/>
          </w:rPr>
          <w:t>186</w:t>
        </w:r>
        <w:r w:rsidR="00067A5E">
          <w:rPr>
            <w:noProof/>
            <w:webHidden/>
          </w:rPr>
          <w:fldChar w:fldCharType="end"/>
        </w:r>
      </w:hyperlink>
    </w:p>
    <w:p w14:paraId="6F5F86FC" w14:textId="398762EE" w:rsidR="00067A5E" w:rsidRDefault="00B51F53">
      <w:pPr>
        <w:pStyle w:val="TableofFigures"/>
        <w:tabs>
          <w:tab w:val="right" w:leader="dot" w:pos="9016"/>
        </w:tabs>
        <w:rPr>
          <w:rFonts w:eastAsiaTheme="minorEastAsia"/>
          <w:noProof/>
          <w:lang w:eastAsia="en-GB"/>
        </w:rPr>
      </w:pPr>
      <w:hyperlink w:anchor="_Toc69115076" w:history="1">
        <w:r w:rsidR="00067A5E" w:rsidRPr="00C515B1">
          <w:rPr>
            <w:rStyle w:val="Hyperlink"/>
            <w:noProof/>
          </w:rPr>
          <w:t>Figure 6.25: Diagram of the Ni-YSZ fine pillar sample sections including ambient air (grey)</w:t>
        </w:r>
        <w:r w:rsidR="00067A5E">
          <w:rPr>
            <w:noProof/>
            <w:webHidden/>
          </w:rPr>
          <w:tab/>
        </w:r>
        <w:r w:rsidR="00067A5E">
          <w:rPr>
            <w:noProof/>
            <w:webHidden/>
          </w:rPr>
          <w:fldChar w:fldCharType="begin"/>
        </w:r>
        <w:r w:rsidR="00067A5E">
          <w:rPr>
            <w:noProof/>
            <w:webHidden/>
          </w:rPr>
          <w:instrText xml:space="preserve"> PAGEREF _Toc69115076 \h </w:instrText>
        </w:r>
        <w:r w:rsidR="00067A5E">
          <w:rPr>
            <w:noProof/>
            <w:webHidden/>
          </w:rPr>
        </w:r>
        <w:r w:rsidR="00067A5E">
          <w:rPr>
            <w:noProof/>
            <w:webHidden/>
          </w:rPr>
          <w:fldChar w:fldCharType="separate"/>
        </w:r>
        <w:r w:rsidR="00067A5E">
          <w:rPr>
            <w:noProof/>
            <w:webHidden/>
          </w:rPr>
          <w:t>188</w:t>
        </w:r>
        <w:r w:rsidR="00067A5E">
          <w:rPr>
            <w:noProof/>
            <w:webHidden/>
          </w:rPr>
          <w:fldChar w:fldCharType="end"/>
        </w:r>
      </w:hyperlink>
    </w:p>
    <w:p w14:paraId="3ECA7712" w14:textId="34BAED26" w:rsidR="00067A5E" w:rsidRDefault="00B51F53">
      <w:pPr>
        <w:pStyle w:val="TableofFigures"/>
        <w:tabs>
          <w:tab w:val="right" w:leader="dot" w:pos="9016"/>
        </w:tabs>
        <w:rPr>
          <w:rFonts w:eastAsiaTheme="minorEastAsia"/>
          <w:noProof/>
          <w:lang w:eastAsia="en-GB"/>
        </w:rPr>
      </w:pPr>
      <w:hyperlink w:anchor="_Toc69115077" w:history="1">
        <w:r w:rsidR="00067A5E" w:rsidRPr="00C515B1">
          <w:rPr>
            <w:rStyle w:val="Hyperlink"/>
            <w:noProof/>
          </w:rPr>
          <w:t>Figure 6.26: Histogram of the Grayscale values for the whole 2 h aged NI-YSZ sample ptychographic scan. The peak was found to be ambient air, the right-hand side was the highly attenuating ceramic phase and the left-hand side the nickel catalyst</w:t>
        </w:r>
        <w:r w:rsidR="00067A5E">
          <w:rPr>
            <w:noProof/>
            <w:webHidden/>
          </w:rPr>
          <w:tab/>
        </w:r>
        <w:r w:rsidR="00067A5E">
          <w:rPr>
            <w:noProof/>
            <w:webHidden/>
          </w:rPr>
          <w:fldChar w:fldCharType="begin"/>
        </w:r>
        <w:r w:rsidR="00067A5E">
          <w:rPr>
            <w:noProof/>
            <w:webHidden/>
          </w:rPr>
          <w:instrText xml:space="preserve"> PAGEREF _Toc69115077 \h </w:instrText>
        </w:r>
        <w:r w:rsidR="00067A5E">
          <w:rPr>
            <w:noProof/>
            <w:webHidden/>
          </w:rPr>
        </w:r>
        <w:r w:rsidR="00067A5E">
          <w:rPr>
            <w:noProof/>
            <w:webHidden/>
          </w:rPr>
          <w:fldChar w:fldCharType="separate"/>
        </w:r>
        <w:r w:rsidR="00067A5E">
          <w:rPr>
            <w:noProof/>
            <w:webHidden/>
          </w:rPr>
          <w:t>188</w:t>
        </w:r>
        <w:r w:rsidR="00067A5E">
          <w:rPr>
            <w:noProof/>
            <w:webHidden/>
          </w:rPr>
          <w:fldChar w:fldCharType="end"/>
        </w:r>
      </w:hyperlink>
    </w:p>
    <w:p w14:paraId="7846BB63" w14:textId="24C07310" w:rsidR="00067A5E" w:rsidRDefault="00B51F53">
      <w:pPr>
        <w:pStyle w:val="TableofFigures"/>
        <w:tabs>
          <w:tab w:val="right" w:leader="dot" w:pos="9016"/>
        </w:tabs>
        <w:rPr>
          <w:rFonts w:eastAsiaTheme="minorEastAsia"/>
          <w:noProof/>
          <w:lang w:eastAsia="en-GB"/>
        </w:rPr>
      </w:pPr>
      <w:hyperlink w:anchor="_Toc69115078" w:history="1">
        <w:r w:rsidR="00067A5E" w:rsidRPr="00C515B1">
          <w:rPr>
            <w:rStyle w:val="Hyperlink"/>
            <w:noProof/>
          </w:rPr>
          <w:t>Figure 6.27: XZ orientation ortho-slice window used to segment the three phases. The Nickel, YSZ and pores are red, blue and black respectively</w:t>
        </w:r>
        <w:r w:rsidR="00067A5E">
          <w:rPr>
            <w:noProof/>
            <w:webHidden/>
          </w:rPr>
          <w:tab/>
        </w:r>
        <w:r w:rsidR="00067A5E">
          <w:rPr>
            <w:noProof/>
            <w:webHidden/>
          </w:rPr>
          <w:fldChar w:fldCharType="begin"/>
        </w:r>
        <w:r w:rsidR="00067A5E">
          <w:rPr>
            <w:noProof/>
            <w:webHidden/>
          </w:rPr>
          <w:instrText xml:space="preserve"> PAGEREF _Toc69115078 \h </w:instrText>
        </w:r>
        <w:r w:rsidR="00067A5E">
          <w:rPr>
            <w:noProof/>
            <w:webHidden/>
          </w:rPr>
        </w:r>
        <w:r w:rsidR="00067A5E">
          <w:rPr>
            <w:noProof/>
            <w:webHidden/>
          </w:rPr>
          <w:fldChar w:fldCharType="separate"/>
        </w:r>
        <w:r w:rsidR="00067A5E">
          <w:rPr>
            <w:noProof/>
            <w:webHidden/>
          </w:rPr>
          <w:t>189</w:t>
        </w:r>
        <w:r w:rsidR="00067A5E">
          <w:rPr>
            <w:noProof/>
            <w:webHidden/>
          </w:rPr>
          <w:fldChar w:fldCharType="end"/>
        </w:r>
      </w:hyperlink>
    </w:p>
    <w:p w14:paraId="4C8FBA9A" w14:textId="48560B02" w:rsidR="00067A5E" w:rsidRDefault="00B51F53">
      <w:pPr>
        <w:pStyle w:val="TableofFigures"/>
        <w:tabs>
          <w:tab w:val="right" w:leader="dot" w:pos="9016"/>
        </w:tabs>
        <w:rPr>
          <w:rFonts w:eastAsiaTheme="minorEastAsia"/>
          <w:noProof/>
          <w:lang w:eastAsia="en-GB"/>
        </w:rPr>
      </w:pPr>
      <w:hyperlink w:anchor="_Toc69115079" w:history="1">
        <w:r w:rsidR="00067A5E" w:rsidRPr="00C515B1">
          <w:rPr>
            <w:rStyle w:val="Hyperlink"/>
            <w:noProof/>
          </w:rPr>
          <w:t>Figure 6.28: 3D renderings of the whole Ni-YSZ fuel electrode. Left-hand side the nickel and ceramic phases, right-hand side the nickel, ceramic, and pore phases. The nickel, ceramic and air are red, white and grey respectively.</w:t>
        </w:r>
        <w:r w:rsidR="00067A5E">
          <w:rPr>
            <w:noProof/>
            <w:webHidden/>
          </w:rPr>
          <w:tab/>
        </w:r>
        <w:r w:rsidR="00067A5E">
          <w:rPr>
            <w:noProof/>
            <w:webHidden/>
          </w:rPr>
          <w:fldChar w:fldCharType="begin"/>
        </w:r>
        <w:r w:rsidR="00067A5E">
          <w:rPr>
            <w:noProof/>
            <w:webHidden/>
          </w:rPr>
          <w:instrText xml:space="preserve"> PAGEREF _Toc69115079 \h </w:instrText>
        </w:r>
        <w:r w:rsidR="00067A5E">
          <w:rPr>
            <w:noProof/>
            <w:webHidden/>
          </w:rPr>
        </w:r>
        <w:r w:rsidR="00067A5E">
          <w:rPr>
            <w:noProof/>
            <w:webHidden/>
          </w:rPr>
          <w:fldChar w:fldCharType="separate"/>
        </w:r>
        <w:r w:rsidR="00067A5E">
          <w:rPr>
            <w:noProof/>
            <w:webHidden/>
          </w:rPr>
          <w:t>190</w:t>
        </w:r>
        <w:r w:rsidR="00067A5E">
          <w:rPr>
            <w:noProof/>
            <w:webHidden/>
          </w:rPr>
          <w:fldChar w:fldCharType="end"/>
        </w:r>
      </w:hyperlink>
    </w:p>
    <w:p w14:paraId="40F686AE" w14:textId="55621C7A" w:rsidR="00067A5E" w:rsidRDefault="00B51F53">
      <w:pPr>
        <w:pStyle w:val="TableofFigures"/>
        <w:tabs>
          <w:tab w:val="right" w:leader="dot" w:pos="9016"/>
        </w:tabs>
        <w:rPr>
          <w:rFonts w:eastAsiaTheme="minorEastAsia"/>
          <w:noProof/>
          <w:lang w:eastAsia="en-GB"/>
        </w:rPr>
      </w:pPr>
      <w:hyperlink w:anchor="_Toc69115080" w:history="1">
        <w:r w:rsidR="00067A5E" w:rsidRPr="00C515B1">
          <w:rPr>
            <w:rStyle w:val="Hyperlink"/>
            <w:noProof/>
          </w:rPr>
          <w:t>Figure 6.29: Volume % of the ceramic phase through the base of Ni-YSZ sample. 0-100 denotes the XY ortho-slice files from the top to the base of the scan</w:t>
        </w:r>
        <w:r w:rsidR="00067A5E">
          <w:rPr>
            <w:noProof/>
            <w:webHidden/>
          </w:rPr>
          <w:tab/>
        </w:r>
        <w:r w:rsidR="00067A5E">
          <w:rPr>
            <w:noProof/>
            <w:webHidden/>
          </w:rPr>
          <w:fldChar w:fldCharType="begin"/>
        </w:r>
        <w:r w:rsidR="00067A5E">
          <w:rPr>
            <w:noProof/>
            <w:webHidden/>
          </w:rPr>
          <w:instrText xml:space="preserve"> PAGEREF _Toc69115080 \h </w:instrText>
        </w:r>
        <w:r w:rsidR="00067A5E">
          <w:rPr>
            <w:noProof/>
            <w:webHidden/>
          </w:rPr>
        </w:r>
        <w:r w:rsidR="00067A5E">
          <w:rPr>
            <w:noProof/>
            <w:webHidden/>
          </w:rPr>
          <w:fldChar w:fldCharType="separate"/>
        </w:r>
        <w:r w:rsidR="00067A5E">
          <w:rPr>
            <w:noProof/>
            <w:webHidden/>
          </w:rPr>
          <w:t>191</w:t>
        </w:r>
        <w:r w:rsidR="00067A5E">
          <w:rPr>
            <w:noProof/>
            <w:webHidden/>
          </w:rPr>
          <w:fldChar w:fldCharType="end"/>
        </w:r>
      </w:hyperlink>
    </w:p>
    <w:p w14:paraId="4C9987CB" w14:textId="0FF8D7CC" w:rsidR="00067A5E" w:rsidRDefault="00B51F53">
      <w:pPr>
        <w:pStyle w:val="TableofFigures"/>
        <w:tabs>
          <w:tab w:val="right" w:leader="dot" w:pos="9016"/>
        </w:tabs>
        <w:rPr>
          <w:rFonts w:eastAsiaTheme="minorEastAsia"/>
          <w:noProof/>
          <w:lang w:eastAsia="en-GB"/>
        </w:rPr>
      </w:pPr>
      <w:hyperlink w:anchor="_Toc69115081" w:history="1">
        <w:r w:rsidR="00067A5E" w:rsidRPr="00C515B1">
          <w:rPr>
            <w:rStyle w:val="Hyperlink"/>
            <w:noProof/>
          </w:rPr>
          <w:t>Figure 6.30: Volume % of the pore phase through the base of Ni-YSZ sample. 0-100 denotes the XY ortho-slice files from the top to the base of the scan</w:t>
        </w:r>
        <w:r w:rsidR="00067A5E">
          <w:rPr>
            <w:noProof/>
            <w:webHidden/>
          </w:rPr>
          <w:tab/>
        </w:r>
        <w:r w:rsidR="00067A5E">
          <w:rPr>
            <w:noProof/>
            <w:webHidden/>
          </w:rPr>
          <w:fldChar w:fldCharType="begin"/>
        </w:r>
        <w:r w:rsidR="00067A5E">
          <w:rPr>
            <w:noProof/>
            <w:webHidden/>
          </w:rPr>
          <w:instrText xml:space="preserve"> PAGEREF _Toc69115081 \h </w:instrText>
        </w:r>
        <w:r w:rsidR="00067A5E">
          <w:rPr>
            <w:noProof/>
            <w:webHidden/>
          </w:rPr>
        </w:r>
        <w:r w:rsidR="00067A5E">
          <w:rPr>
            <w:noProof/>
            <w:webHidden/>
          </w:rPr>
          <w:fldChar w:fldCharType="separate"/>
        </w:r>
        <w:r w:rsidR="00067A5E">
          <w:rPr>
            <w:noProof/>
            <w:webHidden/>
          </w:rPr>
          <w:t>191</w:t>
        </w:r>
        <w:r w:rsidR="00067A5E">
          <w:rPr>
            <w:noProof/>
            <w:webHidden/>
          </w:rPr>
          <w:fldChar w:fldCharType="end"/>
        </w:r>
      </w:hyperlink>
    </w:p>
    <w:p w14:paraId="38FB54A2" w14:textId="3CE23962" w:rsidR="00067A5E" w:rsidRDefault="00B51F53">
      <w:pPr>
        <w:pStyle w:val="TableofFigures"/>
        <w:tabs>
          <w:tab w:val="right" w:leader="dot" w:pos="9016"/>
        </w:tabs>
        <w:rPr>
          <w:rFonts w:eastAsiaTheme="minorEastAsia"/>
          <w:noProof/>
          <w:lang w:eastAsia="en-GB"/>
        </w:rPr>
      </w:pPr>
      <w:hyperlink w:anchor="_Toc69115082" w:history="1">
        <w:r w:rsidR="00067A5E" w:rsidRPr="00C515B1">
          <w:rPr>
            <w:rStyle w:val="Hyperlink"/>
            <w:noProof/>
          </w:rPr>
          <w:t>Figure 6.31: Histogram of the Grayscale values for the whole 4 h aged NI-YSZ sample ptychographic scan. The peak was found to be ambient air, the right-hand side was the highly attenuating ceramic phase and the left-hand side the nickel catalyst</w:t>
        </w:r>
        <w:r w:rsidR="00067A5E">
          <w:rPr>
            <w:noProof/>
            <w:webHidden/>
          </w:rPr>
          <w:tab/>
        </w:r>
        <w:r w:rsidR="00067A5E">
          <w:rPr>
            <w:noProof/>
            <w:webHidden/>
          </w:rPr>
          <w:fldChar w:fldCharType="begin"/>
        </w:r>
        <w:r w:rsidR="00067A5E">
          <w:rPr>
            <w:noProof/>
            <w:webHidden/>
          </w:rPr>
          <w:instrText xml:space="preserve"> PAGEREF _Toc69115082 \h </w:instrText>
        </w:r>
        <w:r w:rsidR="00067A5E">
          <w:rPr>
            <w:noProof/>
            <w:webHidden/>
          </w:rPr>
        </w:r>
        <w:r w:rsidR="00067A5E">
          <w:rPr>
            <w:noProof/>
            <w:webHidden/>
          </w:rPr>
          <w:fldChar w:fldCharType="separate"/>
        </w:r>
        <w:r w:rsidR="00067A5E">
          <w:rPr>
            <w:noProof/>
            <w:webHidden/>
          </w:rPr>
          <w:t>192</w:t>
        </w:r>
        <w:r w:rsidR="00067A5E">
          <w:rPr>
            <w:noProof/>
            <w:webHidden/>
          </w:rPr>
          <w:fldChar w:fldCharType="end"/>
        </w:r>
      </w:hyperlink>
    </w:p>
    <w:p w14:paraId="1CEA952F" w14:textId="682C17EC" w:rsidR="00067A5E" w:rsidRDefault="00B51F53">
      <w:pPr>
        <w:pStyle w:val="TableofFigures"/>
        <w:tabs>
          <w:tab w:val="right" w:leader="dot" w:pos="9016"/>
        </w:tabs>
        <w:rPr>
          <w:rFonts w:eastAsiaTheme="minorEastAsia"/>
          <w:noProof/>
          <w:lang w:eastAsia="en-GB"/>
        </w:rPr>
      </w:pPr>
      <w:hyperlink w:anchor="_Toc69115083" w:history="1">
        <w:r w:rsidR="00067A5E" w:rsidRPr="00C515B1">
          <w:rPr>
            <w:rStyle w:val="Hyperlink"/>
            <w:noProof/>
          </w:rPr>
          <w:t>Figure 6.32: 3D renderings of the whole 4 h aged Ni-YSZ fuel electrode. a. Pillar was the nickel and ceramic phases. b. Pillar with the nickel, ceramic, and pore phases. The nickel, ceramic and air are red, white, and grey respectively</w:t>
        </w:r>
        <w:r w:rsidR="00067A5E">
          <w:rPr>
            <w:noProof/>
            <w:webHidden/>
          </w:rPr>
          <w:tab/>
        </w:r>
        <w:r w:rsidR="00067A5E">
          <w:rPr>
            <w:noProof/>
            <w:webHidden/>
          </w:rPr>
          <w:fldChar w:fldCharType="begin"/>
        </w:r>
        <w:r w:rsidR="00067A5E">
          <w:rPr>
            <w:noProof/>
            <w:webHidden/>
          </w:rPr>
          <w:instrText xml:space="preserve"> PAGEREF _Toc69115083 \h </w:instrText>
        </w:r>
        <w:r w:rsidR="00067A5E">
          <w:rPr>
            <w:noProof/>
            <w:webHidden/>
          </w:rPr>
        </w:r>
        <w:r w:rsidR="00067A5E">
          <w:rPr>
            <w:noProof/>
            <w:webHidden/>
          </w:rPr>
          <w:fldChar w:fldCharType="separate"/>
        </w:r>
        <w:r w:rsidR="00067A5E">
          <w:rPr>
            <w:noProof/>
            <w:webHidden/>
          </w:rPr>
          <w:t>192</w:t>
        </w:r>
        <w:r w:rsidR="00067A5E">
          <w:rPr>
            <w:noProof/>
            <w:webHidden/>
          </w:rPr>
          <w:fldChar w:fldCharType="end"/>
        </w:r>
      </w:hyperlink>
    </w:p>
    <w:p w14:paraId="6E69E6BE" w14:textId="69A0FF46" w:rsidR="00067A5E" w:rsidRDefault="00B51F53">
      <w:pPr>
        <w:pStyle w:val="TableofFigures"/>
        <w:tabs>
          <w:tab w:val="right" w:leader="dot" w:pos="9016"/>
        </w:tabs>
        <w:rPr>
          <w:rFonts w:eastAsiaTheme="minorEastAsia"/>
          <w:noProof/>
          <w:lang w:eastAsia="en-GB"/>
        </w:rPr>
      </w:pPr>
      <w:hyperlink w:anchor="_Toc69115084" w:history="1">
        <w:r w:rsidR="00067A5E" w:rsidRPr="00C515B1">
          <w:rPr>
            <w:rStyle w:val="Hyperlink"/>
            <w:noProof/>
          </w:rPr>
          <w:t>Figure 6.33: 3D rendering of the base of the 4 h aged Ni-YSZ fuel electrode. The nickel and ceramic phases are red, white respectively</w:t>
        </w:r>
        <w:r w:rsidR="00067A5E">
          <w:rPr>
            <w:noProof/>
            <w:webHidden/>
          </w:rPr>
          <w:tab/>
        </w:r>
        <w:r w:rsidR="00067A5E">
          <w:rPr>
            <w:noProof/>
            <w:webHidden/>
          </w:rPr>
          <w:fldChar w:fldCharType="begin"/>
        </w:r>
        <w:r w:rsidR="00067A5E">
          <w:rPr>
            <w:noProof/>
            <w:webHidden/>
          </w:rPr>
          <w:instrText xml:space="preserve"> PAGEREF _Toc69115084 \h </w:instrText>
        </w:r>
        <w:r w:rsidR="00067A5E">
          <w:rPr>
            <w:noProof/>
            <w:webHidden/>
          </w:rPr>
        </w:r>
        <w:r w:rsidR="00067A5E">
          <w:rPr>
            <w:noProof/>
            <w:webHidden/>
          </w:rPr>
          <w:fldChar w:fldCharType="separate"/>
        </w:r>
        <w:r w:rsidR="00067A5E">
          <w:rPr>
            <w:noProof/>
            <w:webHidden/>
          </w:rPr>
          <w:t>193</w:t>
        </w:r>
        <w:r w:rsidR="00067A5E">
          <w:rPr>
            <w:noProof/>
            <w:webHidden/>
          </w:rPr>
          <w:fldChar w:fldCharType="end"/>
        </w:r>
      </w:hyperlink>
    </w:p>
    <w:p w14:paraId="6FC5E97A" w14:textId="5B374229" w:rsidR="00067A5E" w:rsidRDefault="00B51F53">
      <w:pPr>
        <w:pStyle w:val="TableofFigures"/>
        <w:tabs>
          <w:tab w:val="right" w:leader="dot" w:pos="9016"/>
        </w:tabs>
        <w:rPr>
          <w:rFonts w:eastAsiaTheme="minorEastAsia"/>
          <w:noProof/>
          <w:lang w:eastAsia="en-GB"/>
        </w:rPr>
      </w:pPr>
      <w:hyperlink w:anchor="_Toc69115085" w:history="1">
        <w:r w:rsidR="00067A5E" w:rsidRPr="00C515B1">
          <w:rPr>
            <w:rStyle w:val="Hyperlink"/>
            <w:noProof/>
          </w:rPr>
          <w:t>Figure 6.34: Images of the 150</w:t>
        </w:r>
        <w:r w:rsidR="00067A5E" w:rsidRPr="00C515B1">
          <w:rPr>
            <w:rStyle w:val="Hyperlink"/>
            <w:noProof/>
            <w:vertAlign w:val="superscript"/>
          </w:rPr>
          <w:t>th</w:t>
        </w:r>
        <w:r w:rsidR="00067A5E" w:rsidRPr="00C515B1">
          <w:rPr>
            <w:rStyle w:val="Hyperlink"/>
            <w:noProof/>
          </w:rPr>
          <w:t xml:space="preserve"> and 250</w:t>
        </w:r>
        <w:r w:rsidR="00067A5E" w:rsidRPr="00C515B1">
          <w:rPr>
            <w:rStyle w:val="Hyperlink"/>
            <w:noProof/>
            <w:vertAlign w:val="superscript"/>
          </w:rPr>
          <w:t>th</w:t>
        </w:r>
        <w:r w:rsidR="00067A5E" w:rsidRPr="00C515B1">
          <w:rPr>
            <w:rStyle w:val="Hyperlink"/>
            <w:noProof/>
          </w:rPr>
          <w:t xml:space="preserve"> ortho-slice between the 2 h and 4 h aged samples. </w:t>
        </w:r>
        <w:r w:rsidR="00067A5E" w:rsidRPr="00C515B1">
          <w:rPr>
            <w:rStyle w:val="Hyperlink"/>
            <w:rFonts w:cstheme="minorHAnsi"/>
            <w:noProof/>
          </w:rPr>
          <w:t>An identical pore structure is shown in the yellow boxes of the tomograms of the samples</w:t>
        </w:r>
        <w:r w:rsidR="00067A5E">
          <w:rPr>
            <w:noProof/>
            <w:webHidden/>
          </w:rPr>
          <w:tab/>
        </w:r>
        <w:r w:rsidR="00067A5E">
          <w:rPr>
            <w:noProof/>
            <w:webHidden/>
          </w:rPr>
          <w:fldChar w:fldCharType="begin"/>
        </w:r>
        <w:r w:rsidR="00067A5E">
          <w:rPr>
            <w:noProof/>
            <w:webHidden/>
          </w:rPr>
          <w:instrText xml:space="preserve"> PAGEREF _Toc69115085 \h </w:instrText>
        </w:r>
        <w:r w:rsidR="00067A5E">
          <w:rPr>
            <w:noProof/>
            <w:webHidden/>
          </w:rPr>
        </w:r>
        <w:r w:rsidR="00067A5E">
          <w:rPr>
            <w:noProof/>
            <w:webHidden/>
          </w:rPr>
          <w:fldChar w:fldCharType="separate"/>
        </w:r>
        <w:r w:rsidR="00067A5E">
          <w:rPr>
            <w:noProof/>
            <w:webHidden/>
          </w:rPr>
          <w:t>194</w:t>
        </w:r>
        <w:r w:rsidR="00067A5E">
          <w:rPr>
            <w:noProof/>
            <w:webHidden/>
          </w:rPr>
          <w:fldChar w:fldCharType="end"/>
        </w:r>
      </w:hyperlink>
    </w:p>
    <w:p w14:paraId="169AE13D" w14:textId="7605D8D3" w:rsidR="00067A5E" w:rsidRDefault="00B51F53">
      <w:pPr>
        <w:pStyle w:val="TableofFigures"/>
        <w:tabs>
          <w:tab w:val="right" w:leader="dot" w:pos="9016"/>
        </w:tabs>
        <w:rPr>
          <w:rFonts w:eastAsiaTheme="minorEastAsia"/>
          <w:noProof/>
          <w:lang w:eastAsia="en-GB"/>
        </w:rPr>
      </w:pPr>
      <w:hyperlink w:anchor="_Toc69115086" w:history="1">
        <w:r w:rsidR="00067A5E" w:rsidRPr="00C515B1">
          <w:rPr>
            <w:rStyle w:val="Hyperlink"/>
            <w:noProof/>
          </w:rPr>
          <w:t>Figure 6.35: Selection of the 3D region of interest in Avizo Lite using the ortho-slice files for the 4 h aged, infiltrated Ni-YSZ sample</w:t>
        </w:r>
        <w:r w:rsidR="00067A5E">
          <w:rPr>
            <w:noProof/>
            <w:webHidden/>
          </w:rPr>
          <w:tab/>
        </w:r>
        <w:r w:rsidR="00067A5E">
          <w:rPr>
            <w:noProof/>
            <w:webHidden/>
          </w:rPr>
          <w:fldChar w:fldCharType="begin"/>
        </w:r>
        <w:r w:rsidR="00067A5E">
          <w:rPr>
            <w:noProof/>
            <w:webHidden/>
          </w:rPr>
          <w:instrText xml:space="preserve"> PAGEREF _Toc69115086 \h </w:instrText>
        </w:r>
        <w:r w:rsidR="00067A5E">
          <w:rPr>
            <w:noProof/>
            <w:webHidden/>
          </w:rPr>
        </w:r>
        <w:r w:rsidR="00067A5E">
          <w:rPr>
            <w:noProof/>
            <w:webHidden/>
          </w:rPr>
          <w:fldChar w:fldCharType="separate"/>
        </w:r>
        <w:r w:rsidR="00067A5E">
          <w:rPr>
            <w:noProof/>
            <w:webHidden/>
          </w:rPr>
          <w:t>194</w:t>
        </w:r>
        <w:r w:rsidR="00067A5E">
          <w:rPr>
            <w:noProof/>
            <w:webHidden/>
          </w:rPr>
          <w:fldChar w:fldCharType="end"/>
        </w:r>
      </w:hyperlink>
    </w:p>
    <w:p w14:paraId="4EBF94A3" w14:textId="099FF5C9" w:rsidR="00067A5E" w:rsidRDefault="00B51F53">
      <w:pPr>
        <w:pStyle w:val="TableofFigures"/>
        <w:tabs>
          <w:tab w:val="right" w:leader="dot" w:pos="9016"/>
        </w:tabs>
        <w:rPr>
          <w:rFonts w:eastAsiaTheme="minorEastAsia"/>
          <w:noProof/>
          <w:lang w:eastAsia="en-GB"/>
        </w:rPr>
      </w:pPr>
      <w:hyperlink w:anchor="_Toc69115087" w:history="1">
        <w:r w:rsidR="00067A5E" w:rsidRPr="00C515B1">
          <w:rPr>
            <w:rStyle w:val="Hyperlink"/>
            <w:noProof/>
          </w:rPr>
          <w:t>Figure 6.36: 3D renderings of the ROI sub volume of the 2 h aged Ni-YSZ fuel electrode using Avizo Lite. The nickel, ceramic and pore phases are red, white, and grey, respectively. The Ni and YSZ phase are rendered in a. and the three phases in b.</w:t>
        </w:r>
        <w:r w:rsidR="00067A5E">
          <w:rPr>
            <w:noProof/>
            <w:webHidden/>
          </w:rPr>
          <w:tab/>
        </w:r>
        <w:r w:rsidR="00067A5E">
          <w:rPr>
            <w:noProof/>
            <w:webHidden/>
          </w:rPr>
          <w:fldChar w:fldCharType="begin"/>
        </w:r>
        <w:r w:rsidR="00067A5E">
          <w:rPr>
            <w:noProof/>
            <w:webHidden/>
          </w:rPr>
          <w:instrText xml:space="preserve"> PAGEREF _Toc69115087 \h </w:instrText>
        </w:r>
        <w:r w:rsidR="00067A5E">
          <w:rPr>
            <w:noProof/>
            <w:webHidden/>
          </w:rPr>
        </w:r>
        <w:r w:rsidR="00067A5E">
          <w:rPr>
            <w:noProof/>
            <w:webHidden/>
          </w:rPr>
          <w:fldChar w:fldCharType="separate"/>
        </w:r>
        <w:r w:rsidR="00067A5E">
          <w:rPr>
            <w:noProof/>
            <w:webHidden/>
          </w:rPr>
          <w:t>195</w:t>
        </w:r>
        <w:r w:rsidR="00067A5E">
          <w:rPr>
            <w:noProof/>
            <w:webHidden/>
          </w:rPr>
          <w:fldChar w:fldCharType="end"/>
        </w:r>
      </w:hyperlink>
    </w:p>
    <w:p w14:paraId="26B602E3" w14:textId="149488C8" w:rsidR="00067A5E" w:rsidRDefault="00B51F53">
      <w:pPr>
        <w:pStyle w:val="TableofFigures"/>
        <w:tabs>
          <w:tab w:val="right" w:leader="dot" w:pos="9016"/>
        </w:tabs>
        <w:rPr>
          <w:rFonts w:eastAsiaTheme="minorEastAsia"/>
          <w:noProof/>
          <w:lang w:eastAsia="en-GB"/>
        </w:rPr>
      </w:pPr>
      <w:hyperlink w:anchor="_Toc69115088" w:history="1">
        <w:r w:rsidR="00067A5E" w:rsidRPr="00C515B1">
          <w:rPr>
            <w:rStyle w:val="Hyperlink"/>
            <w:noProof/>
          </w:rPr>
          <w:t>Figure 6.37: 3D renderings of the ROI sub volume of the 4 h aged Ni-YSZ fuel electrode using Avizo Lite. The nickel, ceramic and pore phases are red, white, and grey, respectively. The Ni and YSZ phase are rendered in a. and the three phases in b.</w:t>
        </w:r>
        <w:r w:rsidR="00067A5E">
          <w:rPr>
            <w:noProof/>
            <w:webHidden/>
          </w:rPr>
          <w:tab/>
        </w:r>
        <w:r w:rsidR="00067A5E">
          <w:rPr>
            <w:noProof/>
            <w:webHidden/>
          </w:rPr>
          <w:fldChar w:fldCharType="begin"/>
        </w:r>
        <w:r w:rsidR="00067A5E">
          <w:rPr>
            <w:noProof/>
            <w:webHidden/>
          </w:rPr>
          <w:instrText xml:space="preserve"> PAGEREF _Toc69115088 \h </w:instrText>
        </w:r>
        <w:r w:rsidR="00067A5E">
          <w:rPr>
            <w:noProof/>
            <w:webHidden/>
          </w:rPr>
        </w:r>
        <w:r w:rsidR="00067A5E">
          <w:rPr>
            <w:noProof/>
            <w:webHidden/>
          </w:rPr>
          <w:fldChar w:fldCharType="separate"/>
        </w:r>
        <w:r w:rsidR="00067A5E">
          <w:rPr>
            <w:noProof/>
            <w:webHidden/>
          </w:rPr>
          <w:t>195</w:t>
        </w:r>
        <w:r w:rsidR="00067A5E">
          <w:rPr>
            <w:noProof/>
            <w:webHidden/>
          </w:rPr>
          <w:fldChar w:fldCharType="end"/>
        </w:r>
      </w:hyperlink>
    </w:p>
    <w:p w14:paraId="2F9997DB" w14:textId="3B6E4491" w:rsidR="00067A5E" w:rsidRDefault="00B51F53">
      <w:pPr>
        <w:pStyle w:val="TableofFigures"/>
        <w:tabs>
          <w:tab w:val="right" w:leader="dot" w:pos="9016"/>
        </w:tabs>
        <w:rPr>
          <w:rFonts w:eastAsiaTheme="minorEastAsia"/>
          <w:noProof/>
          <w:lang w:eastAsia="en-GB"/>
        </w:rPr>
      </w:pPr>
      <w:hyperlink w:anchor="_Toc69115089" w:history="1">
        <w:r w:rsidR="00067A5E" w:rsidRPr="00C515B1">
          <w:rPr>
            <w:rStyle w:val="Hyperlink"/>
            <w:noProof/>
          </w:rPr>
          <w:t>Figure 6.38: Volume percent per slice of the nickel catalyst phases from the top to the bottom of the Roi. The 2 h aged nickel is denoted by the red series and the 4 h aged the grey series respectively</w:t>
        </w:r>
        <w:r w:rsidR="00067A5E">
          <w:rPr>
            <w:noProof/>
            <w:webHidden/>
          </w:rPr>
          <w:tab/>
        </w:r>
        <w:r w:rsidR="00067A5E">
          <w:rPr>
            <w:noProof/>
            <w:webHidden/>
          </w:rPr>
          <w:fldChar w:fldCharType="begin"/>
        </w:r>
        <w:r w:rsidR="00067A5E">
          <w:rPr>
            <w:noProof/>
            <w:webHidden/>
          </w:rPr>
          <w:instrText xml:space="preserve"> PAGEREF _Toc69115089 \h </w:instrText>
        </w:r>
        <w:r w:rsidR="00067A5E">
          <w:rPr>
            <w:noProof/>
            <w:webHidden/>
          </w:rPr>
        </w:r>
        <w:r w:rsidR="00067A5E">
          <w:rPr>
            <w:noProof/>
            <w:webHidden/>
          </w:rPr>
          <w:fldChar w:fldCharType="separate"/>
        </w:r>
        <w:r w:rsidR="00067A5E">
          <w:rPr>
            <w:noProof/>
            <w:webHidden/>
          </w:rPr>
          <w:t>196</w:t>
        </w:r>
        <w:r w:rsidR="00067A5E">
          <w:rPr>
            <w:noProof/>
            <w:webHidden/>
          </w:rPr>
          <w:fldChar w:fldCharType="end"/>
        </w:r>
      </w:hyperlink>
    </w:p>
    <w:p w14:paraId="32637AC9" w14:textId="24441B9B" w:rsidR="00067A5E" w:rsidRDefault="00B51F53">
      <w:pPr>
        <w:pStyle w:val="TableofFigures"/>
        <w:tabs>
          <w:tab w:val="right" w:leader="dot" w:pos="9016"/>
        </w:tabs>
        <w:rPr>
          <w:rFonts w:eastAsiaTheme="minorEastAsia"/>
          <w:noProof/>
          <w:lang w:eastAsia="en-GB"/>
        </w:rPr>
      </w:pPr>
      <w:hyperlink w:anchor="_Toc69115090" w:history="1">
        <w:r w:rsidR="00067A5E" w:rsidRPr="00C515B1">
          <w:rPr>
            <w:rStyle w:val="Hyperlink"/>
            <w:noProof/>
          </w:rPr>
          <w:t>Figure 7.1: Transmission of the X-ray photon in 10 microns of nickel (20 volume %) and YSZ [500]</w:t>
        </w:r>
        <w:r w:rsidR="00067A5E">
          <w:rPr>
            <w:noProof/>
            <w:webHidden/>
          </w:rPr>
          <w:tab/>
        </w:r>
        <w:r w:rsidR="00067A5E">
          <w:rPr>
            <w:noProof/>
            <w:webHidden/>
          </w:rPr>
          <w:fldChar w:fldCharType="begin"/>
        </w:r>
        <w:r w:rsidR="00067A5E">
          <w:rPr>
            <w:noProof/>
            <w:webHidden/>
          </w:rPr>
          <w:instrText xml:space="preserve"> PAGEREF _Toc69115090 \h </w:instrText>
        </w:r>
        <w:r w:rsidR="00067A5E">
          <w:rPr>
            <w:noProof/>
            <w:webHidden/>
          </w:rPr>
        </w:r>
        <w:r w:rsidR="00067A5E">
          <w:rPr>
            <w:noProof/>
            <w:webHidden/>
          </w:rPr>
          <w:fldChar w:fldCharType="separate"/>
        </w:r>
        <w:r w:rsidR="00067A5E">
          <w:rPr>
            <w:noProof/>
            <w:webHidden/>
          </w:rPr>
          <w:t>203</w:t>
        </w:r>
        <w:r w:rsidR="00067A5E">
          <w:rPr>
            <w:noProof/>
            <w:webHidden/>
          </w:rPr>
          <w:fldChar w:fldCharType="end"/>
        </w:r>
      </w:hyperlink>
    </w:p>
    <w:p w14:paraId="2D6A3CC6" w14:textId="7B7794D0" w:rsidR="00067A5E" w:rsidRDefault="00B51F53">
      <w:pPr>
        <w:pStyle w:val="TableofFigures"/>
        <w:tabs>
          <w:tab w:val="right" w:leader="dot" w:pos="9016"/>
        </w:tabs>
        <w:rPr>
          <w:rFonts w:eastAsiaTheme="minorEastAsia"/>
          <w:noProof/>
          <w:lang w:eastAsia="en-GB"/>
        </w:rPr>
      </w:pPr>
      <w:hyperlink w:anchor="_Toc69115091" w:history="1">
        <w:r w:rsidR="00067A5E" w:rsidRPr="00C515B1">
          <w:rPr>
            <w:rStyle w:val="Hyperlink"/>
            <w:noProof/>
          </w:rPr>
          <w:t>Figure A1: X-ray diffraction patterns of the Ni-GDC samples dried in either air or nitrogen. The 1 and 2 denote the peaks assigned to bunesnite (NiO)</w:t>
        </w:r>
        <w:r w:rsidR="00067A5E">
          <w:rPr>
            <w:noProof/>
            <w:webHidden/>
          </w:rPr>
          <w:tab/>
        </w:r>
        <w:r w:rsidR="00067A5E">
          <w:rPr>
            <w:noProof/>
            <w:webHidden/>
          </w:rPr>
          <w:fldChar w:fldCharType="begin"/>
        </w:r>
        <w:r w:rsidR="00067A5E">
          <w:rPr>
            <w:noProof/>
            <w:webHidden/>
          </w:rPr>
          <w:instrText xml:space="preserve"> PAGEREF _Toc69115091 \h </w:instrText>
        </w:r>
        <w:r w:rsidR="00067A5E">
          <w:rPr>
            <w:noProof/>
            <w:webHidden/>
          </w:rPr>
        </w:r>
        <w:r w:rsidR="00067A5E">
          <w:rPr>
            <w:noProof/>
            <w:webHidden/>
          </w:rPr>
          <w:fldChar w:fldCharType="separate"/>
        </w:r>
        <w:r w:rsidR="00067A5E">
          <w:rPr>
            <w:noProof/>
            <w:webHidden/>
          </w:rPr>
          <w:t>237</w:t>
        </w:r>
        <w:r w:rsidR="00067A5E">
          <w:rPr>
            <w:noProof/>
            <w:webHidden/>
          </w:rPr>
          <w:fldChar w:fldCharType="end"/>
        </w:r>
      </w:hyperlink>
    </w:p>
    <w:p w14:paraId="5FAA43E8" w14:textId="2140A708" w:rsidR="00067A5E" w:rsidRDefault="00B51F53">
      <w:pPr>
        <w:pStyle w:val="TableofFigures"/>
        <w:tabs>
          <w:tab w:val="right" w:leader="dot" w:pos="9016"/>
        </w:tabs>
        <w:rPr>
          <w:rFonts w:eastAsiaTheme="minorEastAsia"/>
          <w:noProof/>
          <w:lang w:eastAsia="en-GB"/>
        </w:rPr>
      </w:pPr>
      <w:hyperlink w:anchor="_Toc69115092" w:history="1">
        <w:r w:rsidR="00067A5E" w:rsidRPr="00C515B1">
          <w:rPr>
            <w:rStyle w:val="Hyperlink"/>
            <w:noProof/>
          </w:rPr>
          <w:t>Figure A2: Full FTIR Spectra of the Overlaid FTIR spectra of nickel nitrate hexahydrate dried in air and nitrogen (denoted by the black and red series respectively)</w:t>
        </w:r>
        <w:r w:rsidR="00067A5E">
          <w:rPr>
            <w:noProof/>
            <w:webHidden/>
          </w:rPr>
          <w:tab/>
        </w:r>
        <w:r w:rsidR="00067A5E">
          <w:rPr>
            <w:noProof/>
            <w:webHidden/>
          </w:rPr>
          <w:fldChar w:fldCharType="begin"/>
        </w:r>
        <w:r w:rsidR="00067A5E">
          <w:rPr>
            <w:noProof/>
            <w:webHidden/>
          </w:rPr>
          <w:instrText xml:space="preserve"> PAGEREF _Toc69115092 \h </w:instrText>
        </w:r>
        <w:r w:rsidR="00067A5E">
          <w:rPr>
            <w:noProof/>
            <w:webHidden/>
          </w:rPr>
        </w:r>
        <w:r w:rsidR="00067A5E">
          <w:rPr>
            <w:noProof/>
            <w:webHidden/>
          </w:rPr>
          <w:fldChar w:fldCharType="separate"/>
        </w:r>
        <w:r w:rsidR="00067A5E">
          <w:rPr>
            <w:noProof/>
            <w:webHidden/>
          </w:rPr>
          <w:t>237</w:t>
        </w:r>
        <w:r w:rsidR="00067A5E">
          <w:rPr>
            <w:noProof/>
            <w:webHidden/>
          </w:rPr>
          <w:fldChar w:fldCharType="end"/>
        </w:r>
      </w:hyperlink>
    </w:p>
    <w:p w14:paraId="21FBFC2A" w14:textId="66887F6B" w:rsidR="00067A5E" w:rsidRDefault="00B51F53">
      <w:pPr>
        <w:pStyle w:val="TableofFigures"/>
        <w:tabs>
          <w:tab w:val="right" w:leader="dot" w:pos="9016"/>
        </w:tabs>
        <w:rPr>
          <w:rFonts w:eastAsiaTheme="minorEastAsia"/>
          <w:noProof/>
          <w:lang w:eastAsia="en-GB"/>
        </w:rPr>
      </w:pPr>
      <w:hyperlink w:anchor="_Toc69115093" w:history="1">
        <w:r w:rsidR="00067A5E" w:rsidRPr="00C515B1">
          <w:rPr>
            <w:rStyle w:val="Hyperlink"/>
            <w:noProof/>
          </w:rPr>
          <w:t xml:space="preserve">Figure A3: 5 </w:t>
        </w:r>
        <w:r w:rsidR="00067A5E" w:rsidRPr="00C515B1">
          <w:rPr>
            <w:rStyle w:val="Hyperlink"/>
            <w:rFonts w:cstheme="minorHAnsi"/>
            <w:noProof/>
          </w:rPr>
          <w:t>µ</w:t>
        </w:r>
        <w:r w:rsidR="00067A5E" w:rsidRPr="00C515B1">
          <w:rPr>
            <w:rStyle w:val="Hyperlink"/>
            <w:noProof/>
          </w:rPr>
          <w:t xml:space="preserve">m * 5 </w:t>
        </w:r>
        <w:r w:rsidR="00067A5E" w:rsidRPr="00C515B1">
          <w:rPr>
            <w:rStyle w:val="Hyperlink"/>
            <w:rFonts w:cstheme="minorHAnsi"/>
            <w:noProof/>
          </w:rPr>
          <w:t>µ</w:t>
        </w:r>
        <w:r w:rsidR="00067A5E" w:rsidRPr="00C515B1">
          <w:rPr>
            <w:rStyle w:val="Hyperlink"/>
            <w:noProof/>
          </w:rPr>
          <w:t>m section of the Air DC Ni-YSZ sample used for particle size analysis using FIJI</w:t>
        </w:r>
        <w:r w:rsidR="00067A5E">
          <w:rPr>
            <w:noProof/>
            <w:webHidden/>
          </w:rPr>
          <w:tab/>
        </w:r>
        <w:r w:rsidR="00067A5E">
          <w:rPr>
            <w:noProof/>
            <w:webHidden/>
          </w:rPr>
          <w:fldChar w:fldCharType="begin"/>
        </w:r>
        <w:r w:rsidR="00067A5E">
          <w:rPr>
            <w:noProof/>
            <w:webHidden/>
          </w:rPr>
          <w:instrText xml:space="preserve"> PAGEREF _Toc69115093 \h </w:instrText>
        </w:r>
        <w:r w:rsidR="00067A5E">
          <w:rPr>
            <w:noProof/>
            <w:webHidden/>
          </w:rPr>
        </w:r>
        <w:r w:rsidR="00067A5E">
          <w:rPr>
            <w:noProof/>
            <w:webHidden/>
          </w:rPr>
          <w:fldChar w:fldCharType="separate"/>
        </w:r>
        <w:r w:rsidR="00067A5E">
          <w:rPr>
            <w:noProof/>
            <w:webHidden/>
          </w:rPr>
          <w:t>238</w:t>
        </w:r>
        <w:r w:rsidR="00067A5E">
          <w:rPr>
            <w:noProof/>
            <w:webHidden/>
          </w:rPr>
          <w:fldChar w:fldCharType="end"/>
        </w:r>
      </w:hyperlink>
    </w:p>
    <w:p w14:paraId="5B05ABC7" w14:textId="747EB4E4" w:rsidR="00067A5E" w:rsidRDefault="00B51F53">
      <w:pPr>
        <w:pStyle w:val="TableofFigures"/>
        <w:tabs>
          <w:tab w:val="right" w:leader="dot" w:pos="9016"/>
        </w:tabs>
        <w:rPr>
          <w:rFonts w:eastAsiaTheme="minorEastAsia"/>
          <w:noProof/>
          <w:lang w:eastAsia="en-GB"/>
        </w:rPr>
      </w:pPr>
      <w:hyperlink w:anchor="_Toc69115094" w:history="1">
        <w:r w:rsidR="00067A5E" w:rsidRPr="00C515B1">
          <w:rPr>
            <w:rStyle w:val="Hyperlink"/>
            <w:noProof/>
          </w:rPr>
          <w:t xml:space="preserve">Figure A4: 5 </w:t>
        </w:r>
        <w:r w:rsidR="00067A5E" w:rsidRPr="00C515B1">
          <w:rPr>
            <w:rStyle w:val="Hyperlink"/>
            <w:rFonts w:cstheme="minorHAnsi"/>
            <w:noProof/>
          </w:rPr>
          <w:t>µ</w:t>
        </w:r>
        <w:r w:rsidR="00067A5E" w:rsidRPr="00C515B1">
          <w:rPr>
            <w:rStyle w:val="Hyperlink"/>
            <w:noProof/>
          </w:rPr>
          <w:t xml:space="preserve">m * 5 </w:t>
        </w:r>
        <w:r w:rsidR="00067A5E" w:rsidRPr="00C515B1">
          <w:rPr>
            <w:rStyle w:val="Hyperlink"/>
            <w:rFonts w:cstheme="minorHAnsi"/>
            <w:noProof/>
          </w:rPr>
          <w:t>µ</w:t>
        </w:r>
        <w:r w:rsidR="00067A5E" w:rsidRPr="00C515B1">
          <w:rPr>
            <w:rStyle w:val="Hyperlink"/>
            <w:noProof/>
          </w:rPr>
          <w:t>m section of the N</w:t>
        </w:r>
        <w:r w:rsidR="00067A5E" w:rsidRPr="00C515B1">
          <w:rPr>
            <w:rStyle w:val="Hyperlink"/>
            <w:noProof/>
            <w:vertAlign w:val="subscript"/>
          </w:rPr>
          <w:t>2</w:t>
        </w:r>
        <w:r w:rsidR="00067A5E" w:rsidRPr="00C515B1">
          <w:rPr>
            <w:rStyle w:val="Hyperlink"/>
            <w:noProof/>
          </w:rPr>
          <w:t xml:space="preserve"> DC Ni-YSZ sample used for particle size analysis using FIJI</w:t>
        </w:r>
        <w:r w:rsidR="00067A5E">
          <w:rPr>
            <w:noProof/>
            <w:webHidden/>
          </w:rPr>
          <w:tab/>
        </w:r>
        <w:r w:rsidR="00067A5E">
          <w:rPr>
            <w:noProof/>
            <w:webHidden/>
          </w:rPr>
          <w:fldChar w:fldCharType="begin"/>
        </w:r>
        <w:r w:rsidR="00067A5E">
          <w:rPr>
            <w:noProof/>
            <w:webHidden/>
          </w:rPr>
          <w:instrText xml:space="preserve"> PAGEREF _Toc69115094 \h </w:instrText>
        </w:r>
        <w:r w:rsidR="00067A5E">
          <w:rPr>
            <w:noProof/>
            <w:webHidden/>
          </w:rPr>
        </w:r>
        <w:r w:rsidR="00067A5E">
          <w:rPr>
            <w:noProof/>
            <w:webHidden/>
          </w:rPr>
          <w:fldChar w:fldCharType="separate"/>
        </w:r>
        <w:r w:rsidR="00067A5E">
          <w:rPr>
            <w:noProof/>
            <w:webHidden/>
          </w:rPr>
          <w:t>239</w:t>
        </w:r>
        <w:r w:rsidR="00067A5E">
          <w:rPr>
            <w:noProof/>
            <w:webHidden/>
          </w:rPr>
          <w:fldChar w:fldCharType="end"/>
        </w:r>
      </w:hyperlink>
    </w:p>
    <w:p w14:paraId="039BC6F1" w14:textId="265B0550" w:rsidR="00067A5E" w:rsidRDefault="00B51F53">
      <w:pPr>
        <w:pStyle w:val="TableofFigures"/>
        <w:tabs>
          <w:tab w:val="right" w:leader="dot" w:pos="9016"/>
        </w:tabs>
        <w:rPr>
          <w:rFonts w:eastAsiaTheme="minorEastAsia"/>
          <w:noProof/>
          <w:lang w:eastAsia="en-GB"/>
        </w:rPr>
      </w:pPr>
      <w:hyperlink w:anchor="_Toc69115095" w:history="1">
        <w:r w:rsidR="00067A5E" w:rsidRPr="00C515B1">
          <w:rPr>
            <w:rStyle w:val="Hyperlink"/>
            <w:noProof/>
          </w:rPr>
          <w:t>Figure A5: Calibration curve of the NiO bulker powder from 3-20mg for Temperature Programmed Reduction measurements</w:t>
        </w:r>
        <w:r w:rsidR="00067A5E">
          <w:rPr>
            <w:noProof/>
            <w:webHidden/>
          </w:rPr>
          <w:tab/>
        </w:r>
        <w:r w:rsidR="00067A5E">
          <w:rPr>
            <w:noProof/>
            <w:webHidden/>
          </w:rPr>
          <w:fldChar w:fldCharType="begin"/>
        </w:r>
        <w:r w:rsidR="00067A5E">
          <w:rPr>
            <w:noProof/>
            <w:webHidden/>
          </w:rPr>
          <w:instrText xml:space="preserve"> PAGEREF _Toc69115095 \h </w:instrText>
        </w:r>
        <w:r w:rsidR="00067A5E">
          <w:rPr>
            <w:noProof/>
            <w:webHidden/>
          </w:rPr>
        </w:r>
        <w:r w:rsidR="00067A5E">
          <w:rPr>
            <w:noProof/>
            <w:webHidden/>
          </w:rPr>
          <w:fldChar w:fldCharType="separate"/>
        </w:r>
        <w:r w:rsidR="00067A5E">
          <w:rPr>
            <w:noProof/>
            <w:webHidden/>
          </w:rPr>
          <w:t>241</w:t>
        </w:r>
        <w:r w:rsidR="00067A5E">
          <w:rPr>
            <w:noProof/>
            <w:webHidden/>
          </w:rPr>
          <w:fldChar w:fldCharType="end"/>
        </w:r>
      </w:hyperlink>
    </w:p>
    <w:p w14:paraId="0A2BB045" w14:textId="7BFD9ED5" w:rsidR="00067A5E" w:rsidRDefault="00B51F53">
      <w:pPr>
        <w:pStyle w:val="TableofFigures"/>
        <w:tabs>
          <w:tab w:val="right" w:leader="dot" w:pos="9016"/>
        </w:tabs>
        <w:rPr>
          <w:rFonts w:eastAsiaTheme="minorEastAsia"/>
          <w:noProof/>
          <w:lang w:eastAsia="en-GB"/>
        </w:rPr>
      </w:pPr>
      <w:hyperlink w:anchor="_Toc69115096" w:history="1">
        <w:r w:rsidR="00067A5E" w:rsidRPr="00C515B1">
          <w:rPr>
            <w:rStyle w:val="Hyperlink"/>
            <w:noProof/>
          </w:rPr>
          <w:t>Figure A6: Diagram of the (111) crystallographic plane in the Ni FCC Unit cell. The atomic radius of nickel is denoted by r. The unit cell length is denoted by a respectively</w:t>
        </w:r>
        <w:r w:rsidR="00067A5E">
          <w:rPr>
            <w:noProof/>
            <w:webHidden/>
          </w:rPr>
          <w:tab/>
        </w:r>
        <w:r w:rsidR="00067A5E">
          <w:rPr>
            <w:noProof/>
            <w:webHidden/>
          </w:rPr>
          <w:fldChar w:fldCharType="begin"/>
        </w:r>
        <w:r w:rsidR="00067A5E">
          <w:rPr>
            <w:noProof/>
            <w:webHidden/>
          </w:rPr>
          <w:instrText xml:space="preserve"> PAGEREF _Toc69115096 \h </w:instrText>
        </w:r>
        <w:r w:rsidR="00067A5E">
          <w:rPr>
            <w:noProof/>
            <w:webHidden/>
          </w:rPr>
        </w:r>
        <w:r w:rsidR="00067A5E">
          <w:rPr>
            <w:noProof/>
            <w:webHidden/>
          </w:rPr>
          <w:fldChar w:fldCharType="separate"/>
        </w:r>
        <w:r w:rsidR="00067A5E">
          <w:rPr>
            <w:noProof/>
            <w:webHidden/>
          </w:rPr>
          <w:t>242</w:t>
        </w:r>
        <w:r w:rsidR="00067A5E">
          <w:rPr>
            <w:noProof/>
            <w:webHidden/>
          </w:rPr>
          <w:fldChar w:fldCharType="end"/>
        </w:r>
      </w:hyperlink>
    </w:p>
    <w:p w14:paraId="4915FAB1" w14:textId="3CA76F4D" w:rsidR="00067A5E" w:rsidRDefault="00B51F53">
      <w:pPr>
        <w:pStyle w:val="TableofFigures"/>
        <w:tabs>
          <w:tab w:val="right" w:leader="dot" w:pos="9016"/>
        </w:tabs>
        <w:rPr>
          <w:rFonts w:eastAsiaTheme="minorEastAsia"/>
          <w:noProof/>
          <w:lang w:eastAsia="en-GB"/>
        </w:rPr>
      </w:pPr>
      <w:hyperlink w:anchor="_Toc69115097" w:history="1">
        <w:r w:rsidR="00067A5E" w:rsidRPr="00C515B1">
          <w:rPr>
            <w:rStyle w:val="Hyperlink"/>
            <w:noProof/>
          </w:rPr>
          <w:t xml:space="preserve">Figure A7: Arrhenius plot polarisation resistance vs 1000/T for the Ag2 at 400-800 </w:t>
        </w:r>
        <w:r w:rsidR="00067A5E" w:rsidRPr="00C515B1">
          <w:rPr>
            <w:rStyle w:val="Hyperlink"/>
            <w:rFonts w:cstheme="minorHAnsi"/>
            <w:noProof/>
          </w:rPr>
          <w:t>⁰</w:t>
        </w:r>
        <w:r w:rsidR="00067A5E" w:rsidRPr="00C515B1">
          <w:rPr>
            <w:rStyle w:val="Hyperlink"/>
            <w:noProof/>
          </w:rPr>
          <w:t>C</w:t>
        </w:r>
        <w:r w:rsidR="00067A5E">
          <w:rPr>
            <w:noProof/>
            <w:webHidden/>
          </w:rPr>
          <w:tab/>
        </w:r>
        <w:r w:rsidR="00067A5E">
          <w:rPr>
            <w:noProof/>
            <w:webHidden/>
          </w:rPr>
          <w:fldChar w:fldCharType="begin"/>
        </w:r>
        <w:r w:rsidR="00067A5E">
          <w:rPr>
            <w:noProof/>
            <w:webHidden/>
          </w:rPr>
          <w:instrText xml:space="preserve"> PAGEREF _Toc69115097 \h </w:instrText>
        </w:r>
        <w:r w:rsidR="00067A5E">
          <w:rPr>
            <w:noProof/>
            <w:webHidden/>
          </w:rPr>
        </w:r>
        <w:r w:rsidR="00067A5E">
          <w:rPr>
            <w:noProof/>
            <w:webHidden/>
          </w:rPr>
          <w:fldChar w:fldCharType="separate"/>
        </w:r>
        <w:r w:rsidR="00067A5E">
          <w:rPr>
            <w:noProof/>
            <w:webHidden/>
          </w:rPr>
          <w:t>243</w:t>
        </w:r>
        <w:r w:rsidR="00067A5E">
          <w:rPr>
            <w:noProof/>
            <w:webHidden/>
          </w:rPr>
          <w:fldChar w:fldCharType="end"/>
        </w:r>
      </w:hyperlink>
    </w:p>
    <w:p w14:paraId="6B3F37E8" w14:textId="19BFDD34" w:rsidR="00067A5E" w:rsidRDefault="00B51F53">
      <w:pPr>
        <w:pStyle w:val="TableofFigures"/>
        <w:tabs>
          <w:tab w:val="right" w:leader="dot" w:pos="9016"/>
        </w:tabs>
        <w:rPr>
          <w:rFonts w:eastAsiaTheme="minorEastAsia"/>
          <w:noProof/>
          <w:lang w:eastAsia="en-GB"/>
        </w:rPr>
      </w:pPr>
      <w:hyperlink w:anchor="_Toc69115098" w:history="1">
        <w:r w:rsidR="00067A5E" w:rsidRPr="00C515B1">
          <w:rPr>
            <w:rStyle w:val="Hyperlink"/>
            <w:noProof/>
          </w:rPr>
          <w:t xml:space="preserve">Figure A8: Arrhenius plot polarisation resistance vs 1000/T for the Ag3 at 400-800 </w:t>
        </w:r>
        <w:r w:rsidR="00067A5E" w:rsidRPr="00C515B1">
          <w:rPr>
            <w:rStyle w:val="Hyperlink"/>
            <w:rFonts w:cstheme="minorHAnsi"/>
            <w:noProof/>
          </w:rPr>
          <w:t>⁰</w:t>
        </w:r>
        <w:r w:rsidR="00067A5E" w:rsidRPr="00C515B1">
          <w:rPr>
            <w:rStyle w:val="Hyperlink"/>
            <w:noProof/>
          </w:rPr>
          <w:t>C</w:t>
        </w:r>
        <w:r w:rsidR="00067A5E">
          <w:rPr>
            <w:noProof/>
            <w:webHidden/>
          </w:rPr>
          <w:tab/>
        </w:r>
        <w:r w:rsidR="00067A5E">
          <w:rPr>
            <w:noProof/>
            <w:webHidden/>
          </w:rPr>
          <w:fldChar w:fldCharType="begin"/>
        </w:r>
        <w:r w:rsidR="00067A5E">
          <w:rPr>
            <w:noProof/>
            <w:webHidden/>
          </w:rPr>
          <w:instrText xml:space="preserve"> PAGEREF _Toc69115098 \h </w:instrText>
        </w:r>
        <w:r w:rsidR="00067A5E">
          <w:rPr>
            <w:noProof/>
            <w:webHidden/>
          </w:rPr>
        </w:r>
        <w:r w:rsidR="00067A5E">
          <w:rPr>
            <w:noProof/>
            <w:webHidden/>
          </w:rPr>
          <w:fldChar w:fldCharType="separate"/>
        </w:r>
        <w:r w:rsidR="00067A5E">
          <w:rPr>
            <w:noProof/>
            <w:webHidden/>
          </w:rPr>
          <w:t>243</w:t>
        </w:r>
        <w:r w:rsidR="00067A5E">
          <w:rPr>
            <w:noProof/>
            <w:webHidden/>
          </w:rPr>
          <w:fldChar w:fldCharType="end"/>
        </w:r>
      </w:hyperlink>
    </w:p>
    <w:p w14:paraId="7350B6CA" w14:textId="0F478BCD" w:rsidR="00067A5E" w:rsidRDefault="00B51F53">
      <w:pPr>
        <w:pStyle w:val="TableofFigures"/>
        <w:tabs>
          <w:tab w:val="right" w:leader="dot" w:pos="9016"/>
        </w:tabs>
        <w:rPr>
          <w:rFonts w:eastAsiaTheme="minorEastAsia"/>
          <w:noProof/>
          <w:lang w:eastAsia="en-GB"/>
        </w:rPr>
      </w:pPr>
      <w:hyperlink w:anchor="_Toc69115099" w:history="1">
        <w:r w:rsidR="00067A5E" w:rsidRPr="00C515B1">
          <w:rPr>
            <w:rStyle w:val="Hyperlink"/>
            <w:noProof/>
          </w:rPr>
          <w:t xml:space="preserve">Figure A9: Back-scattered electron micrograph of the 0 h aged air-dried infiltrated Ni-YSZ fuel electrode sample at 25000x magnification. The white region corresponds to the element with the highest atomic number (Pt). The region measures 20 </w:t>
        </w:r>
        <w:r w:rsidR="00067A5E" w:rsidRPr="00C515B1">
          <w:rPr>
            <w:rStyle w:val="Hyperlink"/>
            <w:rFonts w:cstheme="minorHAnsi"/>
            <w:noProof/>
          </w:rPr>
          <w:t>µ</w:t>
        </w:r>
        <w:r w:rsidR="00067A5E" w:rsidRPr="00C515B1">
          <w:rPr>
            <w:rStyle w:val="Hyperlink"/>
            <w:noProof/>
          </w:rPr>
          <w:t xml:space="preserve">m x 10 </w:t>
        </w:r>
        <w:r w:rsidR="00067A5E" w:rsidRPr="00C515B1">
          <w:rPr>
            <w:rStyle w:val="Hyperlink"/>
            <w:rFonts w:cstheme="minorHAnsi"/>
            <w:noProof/>
          </w:rPr>
          <w:t>µ</w:t>
        </w:r>
        <w:r w:rsidR="00067A5E" w:rsidRPr="00C515B1">
          <w:rPr>
            <w:rStyle w:val="Hyperlink"/>
            <w:noProof/>
          </w:rPr>
          <w:t>m, respectively.</w:t>
        </w:r>
        <w:r w:rsidR="00067A5E">
          <w:rPr>
            <w:noProof/>
            <w:webHidden/>
          </w:rPr>
          <w:tab/>
        </w:r>
        <w:r w:rsidR="00067A5E">
          <w:rPr>
            <w:noProof/>
            <w:webHidden/>
          </w:rPr>
          <w:fldChar w:fldCharType="begin"/>
        </w:r>
        <w:r w:rsidR="00067A5E">
          <w:rPr>
            <w:noProof/>
            <w:webHidden/>
          </w:rPr>
          <w:instrText xml:space="preserve"> PAGEREF _Toc69115099 \h </w:instrText>
        </w:r>
        <w:r w:rsidR="00067A5E">
          <w:rPr>
            <w:noProof/>
            <w:webHidden/>
          </w:rPr>
        </w:r>
        <w:r w:rsidR="00067A5E">
          <w:rPr>
            <w:noProof/>
            <w:webHidden/>
          </w:rPr>
          <w:fldChar w:fldCharType="separate"/>
        </w:r>
        <w:r w:rsidR="00067A5E">
          <w:rPr>
            <w:noProof/>
            <w:webHidden/>
          </w:rPr>
          <w:t>244</w:t>
        </w:r>
        <w:r w:rsidR="00067A5E">
          <w:rPr>
            <w:noProof/>
            <w:webHidden/>
          </w:rPr>
          <w:fldChar w:fldCharType="end"/>
        </w:r>
      </w:hyperlink>
    </w:p>
    <w:p w14:paraId="7A8158CB" w14:textId="0483AFC4" w:rsidR="00067A5E" w:rsidRDefault="00B51F53">
      <w:pPr>
        <w:pStyle w:val="TableofFigures"/>
        <w:tabs>
          <w:tab w:val="right" w:leader="dot" w:pos="9016"/>
        </w:tabs>
        <w:rPr>
          <w:rFonts w:eastAsiaTheme="minorEastAsia"/>
          <w:noProof/>
          <w:lang w:eastAsia="en-GB"/>
        </w:rPr>
      </w:pPr>
      <w:hyperlink w:anchor="_Toc69115100" w:history="1">
        <w:r w:rsidR="00067A5E" w:rsidRPr="00C515B1">
          <w:rPr>
            <w:rStyle w:val="Hyperlink"/>
            <w:noProof/>
          </w:rPr>
          <w:t xml:space="preserve">Figure A10: Back-scattered electron micrograph of the 0 h aged nitrogen-dried infiltrated Ni-YSZ fuel electrode sample at 25000x magnification. The white region corresponds to the element with the highest atomic number (Pt). The region measures 20 </w:t>
        </w:r>
        <w:r w:rsidR="00067A5E" w:rsidRPr="00C515B1">
          <w:rPr>
            <w:rStyle w:val="Hyperlink"/>
            <w:rFonts w:cstheme="minorHAnsi"/>
            <w:noProof/>
          </w:rPr>
          <w:t>µ</w:t>
        </w:r>
        <w:r w:rsidR="00067A5E" w:rsidRPr="00C515B1">
          <w:rPr>
            <w:rStyle w:val="Hyperlink"/>
            <w:noProof/>
          </w:rPr>
          <w:t xml:space="preserve">m x 10 </w:t>
        </w:r>
        <w:r w:rsidR="00067A5E" w:rsidRPr="00C515B1">
          <w:rPr>
            <w:rStyle w:val="Hyperlink"/>
            <w:rFonts w:cstheme="minorHAnsi"/>
            <w:noProof/>
          </w:rPr>
          <w:t>µ</w:t>
        </w:r>
        <w:r w:rsidR="00067A5E" w:rsidRPr="00C515B1">
          <w:rPr>
            <w:rStyle w:val="Hyperlink"/>
            <w:noProof/>
          </w:rPr>
          <w:t>m, respectively.</w:t>
        </w:r>
        <w:r w:rsidR="00067A5E">
          <w:rPr>
            <w:noProof/>
            <w:webHidden/>
          </w:rPr>
          <w:tab/>
        </w:r>
        <w:r w:rsidR="00067A5E">
          <w:rPr>
            <w:noProof/>
            <w:webHidden/>
          </w:rPr>
          <w:fldChar w:fldCharType="begin"/>
        </w:r>
        <w:r w:rsidR="00067A5E">
          <w:rPr>
            <w:noProof/>
            <w:webHidden/>
          </w:rPr>
          <w:instrText xml:space="preserve"> PAGEREF _Toc69115100 \h </w:instrText>
        </w:r>
        <w:r w:rsidR="00067A5E">
          <w:rPr>
            <w:noProof/>
            <w:webHidden/>
          </w:rPr>
        </w:r>
        <w:r w:rsidR="00067A5E">
          <w:rPr>
            <w:noProof/>
            <w:webHidden/>
          </w:rPr>
          <w:fldChar w:fldCharType="separate"/>
        </w:r>
        <w:r w:rsidR="00067A5E">
          <w:rPr>
            <w:noProof/>
            <w:webHidden/>
          </w:rPr>
          <w:t>244</w:t>
        </w:r>
        <w:r w:rsidR="00067A5E">
          <w:rPr>
            <w:noProof/>
            <w:webHidden/>
          </w:rPr>
          <w:fldChar w:fldCharType="end"/>
        </w:r>
      </w:hyperlink>
    </w:p>
    <w:p w14:paraId="5C4B6651" w14:textId="5A1B1115" w:rsidR="00007F6C" w:rsidRDefault="00007F6C" w:rsidP="00007F6C">
      <w:pPr>
        <w:rPr>
          <w:rFonts w:asciiTheme="majorHAnsi" w:eastAsiaTheme="majorEastAsia" w:hAnsiTheme="majorHAnsi" w:cstheme="majorBidi"/>
          <w:color w:val="2F5496" w:themeColor="accent1" w:themeShade="BF"/>
          <w:sz w:val="32"/>
          <w:szCs w:val="32"/>
        </w:rPr>
      </w:pPr>
      <w:r>
        <w:fldChar w:fldCharType="end"/>
      </w:r>
    </w:p>
    <w:p w14:paraId="53A12736" w14:textId="77777777" w:rsidR="00007F6C" w:rsidRPr="002B6C9E" w:rsidRDefault="00007F6C" w:rsidP="00E22CD4">
      <w:pPr>
        <w:pStyle w:val="Heading1"/>
        <w:spacing w:after="240"/>
        <w:ind w:left="432" w:hanging="432"/>
      </w:pPr>
      <w:bookmarkStart w:id="3" w:name="_Toc69129345"/>
      <w:r w:rsidRPr="002B6C9E">
        <w:t>Glossary of Terms</w:t>
      </w:r>
      <w:bookmarkEnd w:id="3"/>
    </w:p>
    <w:tbl>
      <w:tblPr>
        <w:tblStyle w:val="TableGrid"/>
        <w:tblW w:w="0" w:type="auto"/>
        <w:tblLook w:val="04A0" w:firstRow="1" w:lastRow="0" w:firstColumn="1" w:lastColumn="0" w:noHBand="0" w:noVBand="1"/>
      </w:tblPr>
      <w:tblGrid>
        <w:gridCol w:w="1980"/>
        <w:gridCol w:w="2535"/>
        <w:gridCol w:w="2001"/>
        <w:gridCol w:w="2500"/>
      </w:tblGrid>
      <w:tr w:rsidR="00007F6C" w:rsidRPr="002B6C9E" w14:paraId="76F0CF0F" w14:textId="77777777" w:rsidTr="000E6257">
        <w:tc>
          <w:tcPr>
            <w:tcW w:w="1980" w:type="dxa"/>
          </w:tcPr>
          <w:p w14:paraId="686A3122" w14:textId="77777777" w:rsidR="00007F6C" w:rsidRPr="002B6C9E" w:rsidRDefault="00007F6C" w:rsidP="005E2F1E">
            <w:pPr>
              <w:jc w:val="center"/>
              <w:rPr>
                <w:b/>
              </w:rPr>
            </w:pPr>
            <w:r w:rsidRPr="002B6C9E">
              <w:rPr>
                <w:b/>
              </w:rPr>
              <w:t>Abbreviated Term</w:t>
            </w:r>
          </w:p>
        </w:tc>
        <w:tc>
          <w:tcPr>
            <w:tcW w:w="2535" w:type="dxa"/>
          </w:tcPr>
          <w:p w14:paraId="4CEBE27B" w14:textId="77777777" w:rsidR="00007F6C" w:rsidRPr="002B6C9E" w:rsidRDefault="00007F6C" w:rsidP="005E2F1E">
            <w:pPr>
              <w:jc w:val="center"/>
              <w:rPr>
                <w:b/>
              </w:rPr>
            </w:pPr>
            <w:r w:rsidRPr="002B6C9E">
              <w:rPr>
                <w:b/>
              </w:rPr>
              <w:t>Unabridged Term</w:t>
            </w:r>
          </w:p>
        </w:tc>
        <w:tc>
          <w:tcPr>
            <w:tcW w:w="2001" w:type="dxa"/>
          </w:tcPr>
          <w:p w14:paraId="105C6F90" w14:textId="77777777" w:rsidR="00007F6C" w:rsidRPr="002B6C9E" w:rsidRDefault="00007F6C" w:rsidP="005E2F1E">
            <w:pPr>
              <w:jc w:val="center"/>
              <w:rPr>
                <w:b/>
              </w:rPr>
            </w:pPr>
            <w:r w:rsidRPr="002B6C9E">
              <w:rPr>
                <w:b/>
              </w:rPr>
              <w:t>Abbreviated Term</w:t>
            </w:r>
          </w:p>
        </w:tc>
        <w:tc>
          <w:tcPr>
            <w:tcW w:w="2500" w:type="dxa"/>
          </w:tcPr>
          <w:p w14:paraId="4530A9D9" w14:textId="77777777" w:rsidR="00007F6C" w:rsidRPr="002B6C9E" w:rsidRDefault="00007F6C" w:rsidP="005E2F1E">
            <w:pPr>
              <w:jc w:val="center"/>
              <w:rPr>
                <w:b/>
              </w:rPr>
            </w:pPr>
            <w:r w:rsidRPr="002B6C9E">
              <w:rPr>
                <w:b/>
              </w:rPr>
              <w:t xml:space="preserve">Unabridged Term </w:t>
            </w:r>
          </w:p>
        </w:tc>
      </w:tr>
      <w:tr w:rsidR="00007F6C" w:rsidRPr="002B6C9E" w14:paraId="782BC56C" w14:textId="77777777" w:rsidTr="000E6257">
        <w:tc>
          <w:tcPr>
            <w:tcW w:w="1980" w:type="dxa"/>
          </w:tcPr>
          <w:p w14:paraId="0F445B81" w14:textId="6F7AC24E" w:rsidR="00007F6C" w:rsidRPr="002B6C9E" w:rsidRDefault="000E6257" w:rsidP="005E2F1E">
            <w:pPr>
              <w:jc w:val="center"/>
            </w:pPr>
            <w:r>
              <w:t>FC</w:t>
            </w:r>
          </w:p>
        </w:tc>
        <w:tc>
          <w:tcPr>
            <w:tcW w:w="2535" w:type="dxa"/>
          </w:tcPr>
          <w:p w14:paraId="4C770A73" w14:textId="1B6544AE" w:rsidR="00007F6C" w:rsidRPr="002B6C9E" w:rsidRDefault="000E6257" w:rsidP="005E2F1E">
            <w:r>
              <w:t>Fuel Cell</w:t>
            </w:r>
          </w:p>
        </w:tc>
        <w:tc>
          <w:tcPr>
            <w:tcW w:w="2001" w:type="dxa"/>
          </w:tcPr>
          <w:p w14:paraId="0DD8CC86" w14:textId="28FB6E12" w:rsidR="00007F6C" w:rsidRPr="002B6C9E" w:rsidRDefault="000E6257" w:rsidP="005E2F1E">
            <w:pPr>
              <w:jc w:val="center"/>
            </w:pPr>
            <w:r>
              <w:t>SOFC</w:t>
            </w:r>
          </w:p>
        </w:tc>
        <w:tc>
          <w:tcPr>
            <w:tcW w:w="2500" w:type="dxa"/>
          </w:tcPr>
          <w:p w14:paraId="512AF5FD" w14:textId="7C6A1F1C" w:rsidR="00007F6C" w:rsidRPr="002B6C9E" w:rsidRDefault="000E6257" w:rsidP="005E2F1E">
            <w:r>
              <w:t>Solid Oxide Fuel Cell</w:t>
            </w:r>
          </w:p>
        </w:tc>
      </w:tr>
      <w:tr w:rsidR="00956300" w:rsidRPr="002B6C9E" w14:paraId="3C981D69" w14:textId="77777777" w:rsidTr="000E6257">
        <w:tc>
          <w:tcPr>
            <w:tcW w:w="1980" w:type="dxa"/>
          </w:tcPr>
          <w:p w14:paraId="4D4E9AA5" w14:textId="68BBAAC2" w:rsidR="00956300" w:rsidRDefault="00956300" w:rsidP="00956300">
            <w:pPr>
              <w:jc w:val="center"/>
            </w:pPr>
            <w:r>
              <w:t>Fuel Electrode</w:t>
            </w:r>
          </w:p>
        </w:tc>
        <w:tc>
          <w:tcPr>
            <w:tcW w:w="2535" w:type="dxa"/>
          </w:tcPr>
          <w:p w14:paraId="5B8F936B" w14:textId="437551AF" w:rsidR="00956300" w:rsidRDefault="00E22CD4" w:rsidP="00956300">
            <w:r>
              <w:t>Anode</w:t>
            </w:r>
            <w:r w:rsidR="00956300">
              <w:t xml:space="preserve"> in an SOFC operating in FC mode</w:t>
            </w:r>
          </w:p>
        </w:tc>
        <w:tc>
          <w:tcPr>
            <w:tcW w:w="2001" w:type="dxa"/>
          </w:tcPr>
          <w:p w14:paraId="2E1743CB" w14:textId="50C9DC96" w:rsidR="00956300" w:rsidRDefault="00956300" w:rsidP="00956300">
            <w:pPr>
              <w:jc w:val="center"/>
            </w:pPr>
            <w:r>
              <w:t>Oxygen Electrode</w:t>
            </w:r>
          </w:p>
        </w:tc>
        <w:tc>
          <w:tcPr>
            <w:tcW w:w="2500" w:type="dxa"/>
          </w:tcPr>
          <w:p w14:paraId="4D908701" w14:textId="6D644AEA" w:rsidR="00956300" w:rsidRDefault="00E22CD4" w:rsidP="00956300">
            <w:r>
              <w:t>Cathode</w:t>
            </w:r>
            <w:r w:rsidR="00956300">
              <w:t xml:space="preserve"> in an SOFC operating in FC mode</w:t>
            </w:r>
          </w:p>
        </w:tc>
      </w:tr>
      <w:tr w:rsidR="00956300" w:rsidRPr="002B6C9E" w14:paraId="6CE3867D" w14:textId="77777777" w:rsidTr="000E6257">
        <w:tc>
          <w:tcPr>
            <w:tcW w:w="1980" w:type="dxa"/>
          </w:tcPr>
          <w:p w14:paraId="2B67EB4E" w14:textId="2A1E6F5A" w:rsidR="00956300" w:rsidRPr="002B6C9E" w:rsidRDefault="00956300" w:rsidP="00956300">
            <w:pPr>
              <w:jc w:val="center"/>
            </w:pPr>
            <w:r w:rsidRPr="002B6C9E">
              <w:t>NPs</w:t>
            </w:r>
          </w:p>
        </w:tc>
        <w:tc>
          <w:tcPr>
            <w:tcW w:w="2535" w:type="dxa"/>
          </w:tcPr>
          <w:p w14:paraId="4CBAD94A" w14:textId="6CA2A676" w:rsidR="00956300" w:rsidRPr="002B6C9E" w:rsidRDefault="00956300" w:rsidP="00956300">
            <w:r w:rsidRPr="002B6C9E">
              <w:t>Nanoparticles</w:t>
            </w:r>
          </w:p>
        </w:tc>
        <w:tc>
          <w:tcPr>
            <w:tcW w:w="2001" w:type="dxa"/>
          </w:tcPr>
          <w:p w14:paraId="372ED070" w14:textId="36D8E3BF" w:rsidR="00956300" w:rsidRPr="002B6C9E" w:rsidRDefault="00956300" w:rsidP="00956300">
            <w:pPr>
              <w:jc w:val="center"/>
            </w:pPr>
            <w:r w:rsidRPr="002B6C9E">
              <w:t>TPB</w:t>
            </w:r>
          </w:p>
        </w:tc>
        <w:tc>
          <w:tcPr>
            <w:tcW w:w="2500" w:type="dxa"/>
          </w:tcPr>
          <w:p w14:paraId="19FF2963" w14:textId="39A5D900" w:rsidR="00956300" w:rsidRPr="002B6C9E" w:rsidRDefault="00956300" w:rsidP="00956300">
            <w:r w:rsidRPr="002B6C9E">
              <w:t>Triple/ three phase boundary</w:t>
            </w:r>
          </w:p>
        </w:tc>
      </w:tr>
      <w:tr w:rsidR="00956300" w:rsidRPr="002B6C9E" w14:paraId="4BC884DB" w14:textId="77777777" w:rsidTr="000E6257">
        <w:tc>
          <w:tcPr>
            <w:tcW w:w="1980" w:type="dxa"/>
          </w:tcPr>
          <w:p w14:paraId="4241AA42" w14:textId="77777777" w:rsidR="00956300" w:rsidRPr="002B6C9E" w:rsidRDefault="00956300" w:rsidP="00956300">
            <w:pPr>
              <w:jc w:val="center"/>
            </w:pPr>
            <w:r w:rsidRPr="002B6C9E">
              <w:t>OR</w:t>
            </w:r>
          </w:p>
        </w:tc>
        <w:tc>
          <w:tcPr>
            <w:tcW w:w="2535" w:type="dxa"/>
          </w:tcPr>
          <w:p w14:paraId="6C2D80B6" w14:textId="77777777" w:rsidR="00956300" w:rsidRPr="002B6C9E" w:rsidRDefault="00956300" w:rsidP="00956300">
            <w:r w:rsidRPr="002B6C9E">
              <w:t>Ostwald ripening</w:t>
            </w:r>
          </w:p>
        </w:tc>
        <w:tc>
          <w:tcPr>
            <w:tcW w:w="2001" w:type="dxa"/>
          </w:tcPr>
          <w:p w14:paraId="28AFC50C" w14:textId="77777777" w:rsidR="00956300" w:rsidRPr="002B6C9E" w:rsidRDefault="00956300" w:rsidP="00956300">
            <w:pPr>
              <w:jc w:val="center"/>
            </w:pPr>
            <w:r w:rsidRPr="002B6C9E">
              <w:t>PMC</w:t>
            </w:r>
          </w:p>
        </w:tc>
        <w:tc>
          <w:tcPr>
            <w:tcW w:w="2500" w:type="dxa"/>
          </w:tcPr>
          <w:p w14:paraId="7A272BCE" w14:textId="77777777" w:rsidR="00956300" w:rsidRPr="002B6C9E" w:rsidRDefault="00956300" w:rsidP="00956300">
            <w:r w:rsidRPr="002B6C9E">
              <w:t>Particle migration coalescence</w:t>
            </w:r>
          </w:p>
        </w:tc>
      </w:tr>
      <w:tr w:rsidR="00956300" w:rsidRPr="002B6C9E" w14:paraId="40EF737D" w14:textId="77777777" w:rsidTr="000E6257">
        <w:tc>
          <w:tcPr>
            <w:tcW w:w="1980" w:type="dxa"/>
          </w:tcPr>
          <w:p w14:paraId="669DABAF" w14:textId="77777777" w:rsidR="00956300" w:rsidRPr="002B6C9E" w:rsidRDefault="00956300" w:rsidP="00956300">
            <w:pPr>
              <w:jc w:val="center"/>
            </w:pPr>
            <w:r w:rsidRPr="002B6C9E">
              <w:t>h</w:t>
            </w:r>
          </w:p>
        </w:tc>
        <w:tc>
          <w:tcPr>
            <w:tcW w:w="2535" w:type="dxa"/>
          </w:tcPr>
          <w:p w14:paraId="49D04884" w14:textId="77777777" w:rsidR="00956300" w:rsidRPr="002B6C9E" w:rsidRDefault="00956300" w:rsidP="00956300">
            <w:r w:rsidRPr="002B6C9E">
              <w:t>Hours</w:t>
            </w:r>
          </w:p>
        </w:tc>
        <w:tc>
          <w:tcPr>
            <w:tcW w:w="2001" w:type="dxa"/>
          </w:tcPr>
          <w:p w14:paraId="567AD807" w14:textId="77777777" w:rsidR="00956300" w:rsidRPr="002B6C9E" w:rsidRDefault="00956300" w:rsidP="00956300">
            <w:pPr>
              <w:jc w:val="center"/>
            </w:pPr>
            <w:proofErr w:type="spellStart"/>
            <w:r w:rsidRPr="002B6C9E">
              <w:t>σ</w:t>
            </w:r>
            <w:r w:rsidRPr="002B6C9E">
              <w:rPr>
                <w:vertAlign w:val="subscript"/>
              </w:rPr>
              <w:t>ionic</w:t>
            </w:r>
            <w:proofErr w:type="spellEnd"/>
          </w:p>
        </w:tc>
        <w:tc>
          <w:tcPr>
            <w:tcW w:w="2500" w:type="dxa"/>
          </w:tcPr>
          <w:p w14:paraId="41BE69D9" w14:textId="77777777" w:rsidR="00956300" w:rsidRPr="002B6C9E" w:rsidRDefault="00956300" w:rsidP="00956300">
            <w:r w:rsidRPr="002B6C9E">
              <w:t>Ionic conductivity</w:t>
            </w:r>
            <w:r w:rsidRPr="002B6C9E">
              <w:tab/>
            </w:r>
          </w:p>
        </w:tc>
      </w:tr>
      <w:tr w:rsidR="00520C8A" w:rsidRPr="002B6C9E" w14:paraId="7D9A3CBD" w14:textId="77777777" w:rsidTr="000E6257">
        <w:tc>
          <w:tcPr>
            <w:tcW w:w="1980" w:type="dxa"/>
          </w:tcPr>
          <w:p w14:paraId="244EA0DC" w14:textId="5519EA46" w:rsidR="00520C8A" w:rsidRPr="002B6C9E" w:rsidRDefault="00520C8A" w:rsidP="00520C8A">
            <w:pPr>
              <w:jc w:val="center"/>
            </w:pPr>
            <w:proofErr w:type="spellStart"/>
            <w:r w:rsidRPr="002B6C9E">
              <w:t>σ</w:t>
            </w:r>
            <w:r w:rsidRPr="002B6C9E">
              <w:rPr>
                <w:vertAlign w:val="subscript"/>
              </w:rPr>
              <w:t>el</w:t>
            </w:r>
            <w:proofErr w:type="spellEnd"/>
          </w:p>
        </w:tc>
        <w:tc>
          <w:tcPr>
            <w:tcW w:w="2535" w:type="dxa"/>
          </w:tcPr>
          <w:p w14:paraId="777DEC10" w14:textId="73993219" w:rsidR="00520C8A" w:rsidRPr="002B6C9E" w:rsidRDefault="00520C8A" w:rsidP="00520C8A">
            <w:r w:rsidRPr="002B6C9E">
              <w:t>Electronic conductivity</w:t>
            </w:r>
          </w:p>
        </w:tc>
        <w:tc>
          <w:tcPr>
            <w:tcW w:w="2001" w:type="dxa"/>
          </w:tcPr>
          <w:p w14:paraId="34D62157" w14:textId="269E5E9D" w:rsidR="00520C8A" w:rsidRPr="002B6C9E" w:rsidRDefault="00520C8A" w:rsidP="00520C8A">
            <w:pPr>
              <w:jc w:val="center"/>
            </w:pPr>
            <w:r>
              <w:t>REDOX</w:t>
            </w:r>
          </w:p>
        </w:tc>
        <w:tc>
          <w:tcPr>
            <w:tcW w:w="2500" w:type="dxa"/>
          </w:tcPr>
          <w:p w14:paraId="15C9E671" w14:textId="2EE123F4" w:rsidR="00520C8A" w:rsidRPr="002B6C9E" w:rsidRDefault="00520C8A" w:rsidP="00520C8A">
            <w:r>
              <w:t>Reduction and Oxidation</w:t>
            </w:r>
          </w:p>
        </w:tc>
      </w:tr>
      <w:tr w:rsidR="00520C8A" w:rsidRPr="002B6C9E" w14:paraId="6D490A8F" w14:textId="77777777" w:rsidTr="000E6257">
        <w:tc>
          <w:tcPr>
            <w:tcW w:w="1980" w:type="dxa"/>
          </w:tcPr>
          <w:p w14:paraId="7358B72B" w14:textId="1EDEBE19" w:rsidR="00520C8A" w:rsidRPr="002B6C9E" w:rsidRDefault="00520C8A" w:rsidP="00520C8A">
            <w:pPr>
              <w:jc w:val="center"/>
            </w:pPr>
            <w:r>
              <w:t>YSZ</w:t>
            </w:r>
          </w:p>
        </w:tc>
        <w:tc>
          <w:tcPr>
            <w:tcW w:w="2535" w:type="dxa"/>
          </w:tcPr>
          <w:p w14:paraId="5949A92E" w14:textId="77777777" w:rsidR="00520C8A" w:rsidRDefault="00520C8A" w:rsidP="00520C8A">
            <w:r>
              <w:t>(</w:t>
            </w:r>
            <w:r w:rsidRPr="002B6C9E">
              <w:t>Y</w:t>
            </w:r>
            <w:r w:rsidRPr="002B6C9E">
              <w:rPr>
                <w:vertAlign w:val="subscript"/>
              </w:rPr>
              <w:t>2</w:t>
            </w:r>
            <w:r w:rsidRPr="002B6C9E">
              <w:t>O</w:t>
            </w:r>
            <w:r w:rsidRPr="002B6C9E">
              <w:rPr>
                <w:vertAlign w:val="subscript"/>
              </w:rPr>
              <w:t>3</w:t>
            </w:r>
            <w:r>
              <w:t>)</w:t>
            </w:r>
            <w:r>
              <w:rPr>
                <w:vertAlign w:val="subscript"/>
              </w:rPr>
              <w:t>0.08</w:t>
            </w:r>
            <w:r>
              <w:t>(</w:t>
            </w:r>
            <w:r w:rsidRPr="00AA79DE">
              <w:t>ZrO</w:t>
            </w:r>
            <w:r w:rsidRPr="00AA79DE">
              <w:rPr>
                <w:vertAlign w:val="subscript"/>
              </w:rPr>
              <w:t>2</w:t>
            </w:r>
            <w:r>
              <w:t>)</w:t>
            </w:r>
            <w:r>
              <w:rPr>
                <w:vertAlign w:val="subscript"/>
              </w:rPr>
              <w:t>0.92</w:t>
            </w:r>
            <w:r>
              <w:t xml:space="preserve"> </w:t>
            </w:r>
          </w:p>
          <w:p w14:paraId="2D77EF4C" w14:textId="5C663D47" w:rsidR="00520C8A" w:rsidRPr="002B6C9E" w:rsidRDefault="00520C8A" w:rsidP="00520C8A">
            <w:r w:rsidRPr="00AA79DE">
              <w:t>Yttria</w:t>
            </w:r>
            <w:r>
              <w:t xml:space="preserve"> Stabilised Zirconia</w:t>
            </w:r>
          </w:p>
        </w:tc>
        <w:tc>
          <w:tcPr>
            <w:tcW w:w="2001" w:type="dxa"/>
          </w:tcPr>
          <w:p w14:paraId="6D24080E" w14:textId="7E74B3BB" w:rsidR="00520C8A" w:rsidRPr="002B6C9E" w:rsidRDefault="00520C8A" w:rsidP="00520C8A">
            <w:pPr>
              <w:jc w:val="center"/>
            </w:pPr>
            <w:r>
              <w:t>GDC</w:t>
            </w:r>
          </w:p>
        </w:tc>
        <w:tc>
          <w:tcPr>
            <w:tcW w:w="2500" w:type="dxa"/>
          </w:tcPr>
          <w:p w14:paraId="297760DF" w14:textId="77777777" w:rsidR="00520C8A" w:rsidRDefault="00520C8A" w:rsidP="00520C8A">
            <w:pPr>
              <w:rPr>
                <w:rFonts w:ascii="Calibri" w:eastAsia="Calibri" w:hAnsi="Calibri" w:cs="Calibri"/>
                <w:bCs/>
                <w:vertAlign w:val="subscript"/>
              </w:rPr>
            </w:pPr>
            <w:r w:rsidRPr="004654D6">
              <w:rPr>
                <w:rFonts w:ascii="Calibri" w:eastAsia="Calibri" w:hAnsi="Calibri" w:cs="Calibri"/>
                <w:bCs/>
              </w:rPr>
              <w:t>Ce</w:t>
            </w:r>
            <w:r w:rsidRPr="004654D6">
              <w:rPr>
                <w:rFonts w:ascii="Calibri" w:eastAsia="Calibri" w:hAnsi="Calibri" w:cs="Calibri"/>
                <w:bCs/>
                <w:vertAlign w:val="subscript"/>
              </w:rPr>
              <w:t>0.9</w:t>
            </w:r>
            <w:r w:rsidRPr="004654D6">
              <w:rPr>
                <w:rFonts w:ascii="Calibri" w:eastAsia="Calibri" w:hAnsi="Calibri" w:cs="Calibri"/>
                <w:bCs/>
              </w:rPr>
              <w:t>Gd</w:t>
            </w:r>
            <w:r w:rsidRPr="004654D6">
              <w:rPr>
                <w:rFonts w:ascii="Calibri" w:eastAsia="Calibri" w:hAnsi="Calibri" w:cs="Calibri"/>
                <w:bCs/>
                <w:vertAlign w:val="subscript"/>
              </w:rPr>
              <w:t>0.1</w:t>
            </w:r>
            <w:r w:rsidRPr="004654D6">
              <w:rPr>
                <w:rFonts w:ascii="Calibri" w:eastAsia="Calibri" w:hAnsi="Calibri" w:cs="Calibri"/>
                <w:bCs/>
              </w:rPr>
              <w:t>O</w:t>
            </w:r>
            <w:r w:rsidRPr="004654D6">
              <w:rPr>
                <w:rFonts w:ascii="Calibri" w:eastAsia="Calibri" w:hAnsi="Calibri" w:cs="Calibri"/>
                <w:bCs/>
                <w:vertAlign w:val="subscript"/>
              </w:rPr>
              <w:t>2</w:t>
            </w:r>
          </w:p>
          <w:p w14:paraId="1A55EBF0" w14:textId="2BCE6EA4" w:rsidR="00520C8A" w:rsidRPr="002B6C9E" w:rsidRDefault="00520C8A" w:rsidP="00520C8A">
            <w:r>
              <w:t>Gadolinium Doped Ceria</w:t>
            </w:r>
          </w:p>
        </w:tc>
      </w:tr>
      <w:tr w:rsidR="00520C8A" w:rsidRPr="002B6C9E" w14:paraId="746AB772" w14:textId="77777777" w:rsidTr="000E6257">
        <w:tc>
          <w:tcPr>
            <w:tcW w:w="1980" w:type="dxa"/>
          </w:tcPr>
          <w:p w14:paraId="3D2E4B17" w14:textId="403904E1" w:rsidR="00520C8A" w:rsidRPr="002B6C9E" w:rsidRDefault="00520C8A" w:rsidP="00520C8A">
            <w:pPr>
              <w:jc w:val="center"/>
            </w:pPr>
            <w:r>
              <w:t>MIEC</w:t>
            </w:r>
          </w:p>
        </w:tc>
        <w:tc>
          <w:tcPr>
            <w:tcW w:w="2535" w:type="dxa"/>
          </w:tcPr>
          <w:p w14:paraId="3403928A" w14:textId="13CBE69D" w:rsidR="00520C8A" w:rsidRPr="002B6C9E" w:rsidRDefault="00520C8A" w:rsidP="00520C8A">
            <w:r>
              <w:t>Mixed Ionic Electronic Conductor</w:t>
            </w:r>
          </w:p>
        </w:tc>
        <w:tc>
          <w:tcPr>
            <w:tcW w:w="2001" w:type="dxa"/>
          </w:tcPr>
          <w:p w14:paraId="0819822A" w14:textId="77777777" w:rsidR="00520C8A" w:rsidRPr="002B6C9E" w:rsidRDefault="00520C8A" w:rsidP="00520C8A">
            <w:pPr>
              <w:jc w:val="center"/>
            </w:pPr>
            <w:r w:rsidRPr="002B6C9E">
              <w:t>CP</w:t>
            </w:r>
          </w:p>
        </w:tc>
        <w:tc>
          <w:tcPr>
            <w:tcW w:w="2500" w:type="dxa"/>
          </w:tcPr>
          <w:p w14:paraId="55A34A6A" w14:textId="77777777" w:rsidR="00520C8A" w:rsidRPr="002B6C9E" w:rsidRDefault="00520C8A" w:rsidP="00520C8A">
            <w:r w:rsidRPr="002B6C9E">
              <w:t>Co-precipitated</w:t>
            </w:r>
          </w:p>
        </w:tc>
      </w:tr>
      <w:tr w:rsidR="00520C8A" w:rsidRPr="002B6C9E" w14:paraId="6AF5C742" w14:textId="77777777" w:rsidTr="000E6257">
        <w:tc>
          <w:tcPr>
            <w:tcW w:w="1980" w:type="dxa"/>
          </w:tcPr>
          <w:p w14:paraId="3D0C82AE" w14:textId="77777777" w:rsidR="00520C8A" w:rsidRPr="002B6C9E" w:rsidRDefault="00520C8A" w:rsidP="00520C8A">
            <w:pPr>
              <w:jc w:val="center"/>
            </w:pPr>
            <w:r w:rsidRPr="002B6C9E">
              <w:t>ppm</w:t>
            </w:r>
          </w:p>
        </w:tc>
        <w:tc>
          <w:tcPr>
            <w:tcW w:w="2535" w:type="dxa"/>
          </w:tcPr>
          <w:p w14:paraId="23FE2734" w14:textId="77777777" w:rsidR="00520C8A" w:rsidRPr="002B6C9E" w:rsidRDefault="00520C8A" w:rsidP="00520C8A">
            <w:r w:rsidRPr="002B6C9E">
              <w:t>Parts per million</w:t>
            </w:r>
          </w:p>
        </w:tc>
        <w:tc>
          <w:tcPr>
            <w:tcW w:w="2001" w:type="dxa"/>
          </w:tcPr>
          <w:p w14:paraId="6832AF22" w14:textId="77777777" w:rsidR="00520C8A" w:rsidRPr="002B6C9E" w:rsidRDefault="00520C8A" w:rsidP="00520C8A">
            <w:pPr>
              <w:jc w:val="center"/>
            </w:pPr>
            <w:r w:rsidRPr="002B6C9E">
              <w:t>Oxysalts</w:t>
            </w:r>
          </w:p>
        </w:tc>
        <w:tc>
          <w:tcPr>
            <w:tcW w:w="2500" w:type="dxa"/>
          </w:tcPr>
          <w:p w14:paraId="7B75A2DC" w14:textId="77777777" w:rsidR="00520C8A" w:rsidRPr="002B6C9E" w:rsidRDefault="00520C8A" w:rsidP="00520C8A">
            <w:r w:rsidRPr="002B6C9E">
              <w:t xml:space="preserve">Metal salts formed under oxidising conditions </w:t>
            </w:r>
            <w:proofErr w:type="gramStart"/>
            <w:r w:rsidRPr="002B6C9E">
              <w:t>i.e.</w:t>
            </w:r>
            <w:proofErr w:type="gramEnd"/>
            <w:r w:rsidRPr="002B6C9E">
              <w:t xml:space="preserve"> Ni</w:t>
            </w:r>
            <w:r w:rsidRPr="002B6C9E">
              <w:rPr>
                <w:vertAlign w:val="subscript"/>
              </w:rPr>
              <w:t>3</w:t>
            </w:r>
            <w:r w:rsidRPr="002B6C9E">
              <w:t xml:space="preserve"> (PO</w:t>
            </w:r>
            <w:r w:rsidRPr="002B6C9E">
              <w:rPr>
                <w:vertAlign w:val="subscript"/>
              </w:rPr>
              <w:t>4</w:t>
            </w:r>
            <w:r w:rsidRPr="002B6C9E">
              <w:t>)</w:t>
            </w:r>
            <w:r w:rsidRPr="002B6C9E">
              <w:rPr>
                <w:vertAlign w:val="subscript"/>
              </w:rPr>
              <w:t>2</w:t>
            </w:r>
          </w:p>
        </w:tc>
      </w:tr>
      <w:tr w:rsidR="00520C8A" w:rsidRPr="002B6C9E" w14:paraId="57E78007" w14:textId="77777777" w:rsidTr="000E6257">
        <w:tc>
          <w:tcPr>
            <w:tcW w:w="1980" w:type="dxa"/>
          </w:tcPr>
          <w:p w14:paraId="71EA1A32" w14:textId="77777777" w:rsidR="00520C8A" w:rsidRPr="002B6C9E" w:rsidRDefault="00520C8A" w:rsidP="00520C8A">
            <w:pPr>
              <w:jc w:val="center"/>
            </w:pPr>
            <w:r w:rsidRPr="002B6C9E">
              <w:t>SIMS</w:t>
            </w:r>
          </w:p>
        </w:tc>
        <w:tc>
          <w:tcPr>
            <w:tcW w:w="2535" w:type="dxa"/>
          </w:tcPr>
          <w:p w14:paraId="3CFBEDAB" w14:textId="77777777" w:rsidR="00520C8A" w:rsidRPr="002B6C9E" w:rsidRDefault="00520C8A" w:rsidP="00520C8A">
            <w:r w:rsidRPr="002B6C9E">
              <w:rPr>
                <w:bCs/>
              </w:rPr>
              <w:t>Secondary ion mass spectrometry</w:t>
            </w:r>
          </w:p>
        </w:tc>
        <w:tc>
          <w:tcPr>
            <w:tcW w:w="2001" w:type="dxa"/>
          </w:tcPr>
          <w:p w14:paraId="27D99C8E" w14:textId="77777777" w:rsidR="00520C8A" w:rsidRPr="002B6C9E" w:rsidRDefault="00520C8A" w:rsidP="00520C8A">
            <w:pPr>
              <w:jc w:val="center"/>
            </w:pPr>
            <w:r w:rsidRPr="002B6C9E">
              <w:t>DFT</w:t>
            </w:r>
          </w:p>
        </w:tc>
        <w:tc>
          <w:tcPr>
            <w:tcW w:w="2500" w:type="dxa"/>
          </w:tcPr>
          <w:p w14:paraId="6257A87C" w14:textId="77777777" w:rsidR="00520C8A" w:rsidRPr="002B6C9E" w:rsidRDefault="00520C8A" w:rsidP="00520C8A">
            <w:r w:rsidRPr="002B6C9E">
              <w:t>Density functional theory</w:t>
            </w:r>
          </w:p>
        </w:tc>
      </w:tr>
      <w:tr w:rsidR="00520C8A" w:rsidRPr="002B6C9E" w14:paraId="2BFF5B7C" w14:textId="77777777" w:rsidTr="000E6257">
        <w:tc>
          <w:tcPr>
            <w:tcW w:w="1980" w:type="dxa"/>
          </w:tcPr>
          <w:p w14:paraId="6727645B" w14:textId="77777777" w:rsidR="00520C8A" w:rsidRPr="002B6C9E" w:rsidRDefault="00520C8A" w:rsidP="00520C8A">
            <w:pPr>
              <w:jc w:val="center"/>
            </w:pPr>
            <w:proofErr w:type="spellStart"/>
            <w:r w:rsidRPr="002B6C9E">
              <w:t>TPB</w:t>
            </w:r>
            <w:r w:rsidRPr="002B6C9E">
              <w:rPr>
                <w:vertAlign w:val="subscript"/>
              </w:rPr>
              <w:t>l</w:t>
            </w:r>
            <w:proofErr w:type="spellEnd"/>
          </w:p>
        </w:tc>
        <w:tc>
          <w:tcPr>
            <w:tcW w:w="2535" w:type="dxa"/>
          </w:tcPr>
          <w:p w14:paraId="6D41F2C3" w14:textId="77777777" w:rsidR="00520C8A" w:rsidRPr="002B6C9E" w:rsidRDefault="00520C8A" w:rsidP="00520C8A">
            <w:r w:rsidRPr="002B6C9E">
              <w:t>Triple phase boundary length</w:t>
            </w:r>
          </w:p>
        </w:tc>
        <w:tc>
          <w:tcPr>
            <w:tcW w:w="2001" w:type="dxa"/>
          </w:tcPr>
          <w:p w14:paraId="160B1EC6" w14:textId="77777777" w:rsidR="00520C8A" w:rsidRPr="002B6C9E" w:rsidRDefault="00520C8A" w:rsidP="00520C8A">
            <w:pPr>
              <w:jc w:val="center"/>
            </w:pPr>
            <w:r w:rsidRPr="002B6C9E">
              <w:t xml:space="preserve"> TEM</w:t>
            </w:r>
          </w:p>
        </w:tc>
        <w:tc>
          <w:tcPr>
            <w:tcW w:w="2500" w:type="dxa"/>
          </w:tcPr>
          <w:p w14:paraId="43A85631" w14:textId="77777777" w:rsidR="00520C8A" w:rsidRPr="002B6C9E" w:rsidRDefault="00520C8A" w:rsidP="00520C8A">
            <w:r w:rsidRPr="002B6C9E">
              <w:t>Transmission electron microscopy</w:t>
            </w:r>
          </w:p>
        </w:tc>
      </w:tr>
      <w:tr w:rsidR="00520C8A" w:rsidRPr="002B6C9E" w14:paraId="20D67227" w14:textId="77777777" w:rsidTr="000E6257">
        <w:tc>
          <w:tcPr>
            <w:tcW w:w="1980" w:type="dxa"/>
          </w:tcPr>
          <w:p w14:paraId="7E657B09" w14:textId="77777777" w:rsidR="00520C8A" w:rsidRPr="002B6C9E" w:rsidRDefault="00520C8A" w:rsidP="00520C8A">
            <w:pPr>
              <w:jc w:val="center"/>
            </w:pPr>
            <w:r w:rsidRPr="002B6C9E">
              <w:t>LSR</w:t>
            </w:r>
          </w:p>
        </w:tc>
        <w:tc>
          <w:tcPr>
            <w:tcW w:w="2535" w:type="dxa"/>
          </w:tcPr>
          <w:p w14:paraId="162E040E" w14:textId="77777777" w:rsidR="00520C8A" w:rsidRPr="002B6C9E" w:rsidRDefault="00520C8A" w:rsidP="00520C8A">
            <w:r w:rsidRPr="002B6C9E">
              <w:t>Line specific resistance</w:t>
            </w:r>
          </w:p>
        </w:tc>
        <w:tc>
          <w:tcPr>
            <w:tcW w:w="2001" w:type="dxa"/>
          </w:tcPr>
          <w:p w14:paraId="7E5E4341" w14:textId="77777777" w:rsidR="00520C8A" w:rsidRPr="002B6C9E" w:rsidRDefault="00520C8A" w:rsidP="00520C8A">
            <w:pPr>
              <w:jc w:val="center"/>
              <w:rPr>
                <w:vertAlign w:val="subscript"/>
              </w:rPr>
            </w:pPr>
            <w:r w:rsidRPr="002B6C9E">
              <w:t>R</w:t>
            </w:r>
            <w:r w:rsidRPr="002B6C9E">
              <w:rPr>
                <w:vertAlign w:val="subscript"/>
              </w:rPr>
              <w:t>PA</w:t>
            </w:r>
          </w:p>
        </w:tc>
        <w:tc>
          <w:tcPr>
            <w:tcW w:w="2500" w:type="dxa"/>
          </w:tcPr>
          <w:p w14:paraId="01472155" w14:textId="77777777" w:rsidR="00520C8A" w:rsidRPr="002B6C9E" w:rsidRDefault="00520C8A" w:rsidP="00520C8A">
            <w:r w:rsidRPr="002B6C9E">
              <w:t>Total anode polarisation resistance (also known as the anode resistance)</w:t>
            </w:r>
          </w:p>
        </w:tc>
      </w:tr>
      <w:tr w:rsidR="00520C8A" w:rsidRPr="002B6C9E" w14:paraId="35FE0C55" w14:textId="77777777" w:rsidTr="000E6257">
        <w:tc>
          <w:tcPr>
            <w:tcW w:w="1980" w:type="dxa"/>
          </w:tcPr>
          <w:p w14:paraId="5DE60574" w14:textId="77777777" w:rsidR="00520C8A" w:rsidRPr="002B6C9E" w:rsidRDefault="00520C8A" w:rsidP="00520C8A">
            <w:pPr>
              <w:jc w:val="center"/>
            </w:pPr>
            <w:r w:rsidRPr="002B6C9E">
              <w:t>Infiltration</w:t>
            </w:r>
          </w:p>
        </w:tc>
        <w:tc>
          <w:tcPr>
            <w:tcW w:w="2535" w:type="dxa"/>
          </w:tcPr>
          <w:p w14:paraId="5C6C1CD3" w14:textId="77777777" w:rsidR="00520C8A" w:rsidRPr="002B6C9E" w:rsidRDefault="00520C8A" w:rsidP="00520C8A">
            <w:r w:rsidRPr="002B6C9E">
              <w:t xml:space="preserve">Wet impregnation or ion impregnation </w:t>
            </w:r>
          </w:p>
        </w:tc>
        <w:tc>
          <w:tcPr>
            <w:tcW w:w="2001" w:type="dxa"/>
          </w:tcPr>
          <w:p w14:paraId="3A9ABF8B" w14:textId="4ED7047D" w:rsidR="00520C8A" w:rsidRPr="002B6C9E" w:rsidRDefault="00520C8A" w:rsidP="00520C8A">
            <w:pPr>
              <w:jc w:val="center"/>
            </w:pPr>
            <w:r>
              <w:t>TPR</w:t>
            </w:r>
          </w:p>
        </w:tc>
        <w:tc>
          <w:tcPr>
            <w:tcW w:w="2500" w:type="dxa"/>
          </w:tcPr>
          <w:p w14:paraId="5DB2F8C2" w14:textId="3C05ED51" w:rsidR="00520C8A" w:rsidRPr="002B6C9E" w:rsidRDefault="00520C8A" w:rsidP="00520C8A">
            <w:r>
              <w:t>Temperature Programmed Reduction</w:t>
            </w:r>
          </w:p>
        </w:tc>
      </w:tr>
      <w:tr w:rsidR="00520C8A" w:rsidRPr="002B6C9E" w14:paraId="277D66FC" w14:textId="77777777" w:rsidTr="000E6257">
        <w:tc>
          <w:tcPr>
            <w:tcW w:w="1980" w:type="dxa"/>
          </w:tcPr>
          <w:p w14:paraId="6E2BFB42" w14:textId="77777777" w:rsidR="00520C8A" w:rsidRPr="002B6C9E" w:rsidRDefault="00520C8A" w:rsidP="00520C8A">
            <w:pPr>
              <w:jc w:val="center"/>
            </w:pPr>
            <w:r w:rsidRPr="002B6C9E">
              <w:t xml:space="preserve">LSCF </w:t>
            </w:r>
          </w:p>
        </w:tc>
        <w:tc>
          <w:tcPr>
            <w:tcW w:w="2535" w:type="dxa"/>
          </w:tcPr>
          <w:p w14:paraId="2852FFC6" w14:textId="77777777" w:rsidR="00520C8A" w:rsidRPr="00321DD3" w:rsidRDefault="00520C8A" w:rsidP="00520C8A">
            <w:pPr>
              <w:rPr>
                <w:lang w:val="es-ES_tradnl"/>
              </w:rPr>
            </w:pPr>
            <w:r w:rsidRPr="00321DD3">
              <w:rPr>
                <w:lang w:val="es-ES_tradnl"/>
              </w:rPr>
              <w:t>(La</w:t>
            </w:r>
            <w:r w:rsidRPr="00321DD3">
              <w:rPr>
                <w:vertAlign w:val="subscript"/>
                <w:lang w:val="es-ES_tradnl"/>
              </w:rPr>
              <w:t>0.6</w:t>
            </w:r>
            <w:r w:rsidRPr="00321DD3">
              <w:rPr>
                <w:lang w:val="es-ES_tradnl"/>
              </w:rPr>
              <w:t>Sr</w:t>
            </w:r>
            <w:r w:rsidRPr="00321DD3">
              <w:rPr>
                <w:vertAlign w:val="subscript"/>
                <w:lang w:val="es-ES_tradnl"/>
              </w:rPr>
              <w:t>0.4</w:t>
            </w:r>
            <w:r w:rsidRPr="00321DD3">
              <w:rPr>
                <w:lang w:val="es-ES_tradnl"/>
              </w:rPr>
              <w:t>Fe</w:t>
            </w:r>
            <w:r w:rsidRPr="00321DD3">
              <w:rPr>
                <w:vertAlign w:val="subscript"/>
                <w:lang w:val="es-ES_tradnl"/>
              </w:rPr>
              <w:t>y</w:t>
            </w:r>
            <w:r w:rsidRPr="00321DD3">
              <w:rPr>
                <w:lang w:val="es-ES_tradnl"/>
              </w:rPr>
              <w:t>Co</w:t>
            </w:r>
            <w:r w:rsidRPr="00321DD3">
              <w:rPr>
                <w:vertAlign w:val="subscript"/>
                <w:lang w:val="es-ES_tradnl"/>
              </w:rPr>
              <w:t>1-y</w:t>
            </w:r>
            <w:r w:rsidRPr="00321DD3">
              <w:rPr>
                <w:lang w:val="es-ES_tradnl"/>
              </w:rPr>
              <w:t>O</w:t>
            </w:r>
            <w:r w:rsidRPr="00321DD3">
              <w:rPr>
                <w:vertAlign w:val="subscript"/>
                <w:lang w:val="es-ES_tradnl"/>
              </w:rPr>
              <w:t>3-x</w:t>
            </w:r>
            <w:r w:rsidRPr="00321DD3">
              <w:rPr>
                <w:lang w:val="es-ES_tradnl"/>
              </w:rPr>
              <w:t xml:space="preserve">) / popular SOFC </w:t>
            </w:r>
            <w:proofErr w:type="spellStart"/>
            <w:r w:rsidRPr="00321DD3">
              <w:rPr>
                <w:lang w:val="es-ES_tradnl"/>
              </w:rPr>
              <w:t>cathode</w:t>
            </w:r>
            <w:proofErr w:type="spellEnd"/>
            <w:r w:rsidRPr="00321DD3">
              <w:rPr>
                <w:lang w:val="es-ES_tradnl"/>
              </w:rPr>
              <w:t xml:space="preserve"> material</w:t>
            </w:r>
          </w:p>
        </w:tc>
        <w:tc>
          <w:tcPr>
            <w:tcW w:w="2001" w:type="dxa"/>
          </w:tcPr>
          <w:p w14:paraId="132B1EE2" w14:textId="77777777" w:rsidR="00520C8A" w:rsidRPr="002B6C9E" w:rsidRDefault="00520C8A" w:rsidP="00520C8A">
            <w:pPr>
              <w:jc w:val="center"/>
            </w:pPr>
            <w:r w:rsidRPr="002B6C9E">
              <w:t>DRIFTS</w:t>
            </w:r>
          </w:p>
        </w:tc>
        <w:tc>
          <w:tcPr>
            <w:tcW w:w="2500" w:type="dxa"/>
          </w:tcPr>
          <w:p w14:paraId="784C704E" w14:textId="77777777" w:rsidR="00520C8A" w:rsidRPr="002B6C9E" w:rsidRDefault="00520C8A" w:rsidP="00520C8A">
            <w:r w:rsidRPr="002B6C9E">
              <w:t xml:space="preserve">Diffuse </w:t>
            </w:r>
            <w:r>
              <w:t>reflectance</w:t>
            </w:r>
            <w:r w:rsidRPr="002B6C9E">
              <w:t xml:space="preserve"> </w:t>
            </w:r>
            <w:r>
              <w:t>i</w:t>
            </w:r>
            <w:r w:rsidRPr="002B6C9E">
              <w:t xml:space="preserve">nfrared </w:t>
            </w:r>
            <w:proofErr w:type="spellStart"/>
            <w:r>
              <w:t>fourier</w:t>
            </w:r>
            <w:proofErr w:type="spellEnd"/>
            <w:r>
              <w:t xml:space="preserve"> transform s</w:t>
            </w:r>
            <w:r w:rsidRPr="002B6C9E">
              <w:t>pectroscopy</w:t>
            </w:r>
          </w:p>
        </w:tc>
      </w:tr>
      <w:tr w:rsidR="00520C8A" w:rsidRPr="002B6C9E" w14:paraId="001AFE17" w14:textId="77777777" w:rsidTr="000E6257">
        <w:tc>
          <w:tcPr>
            <w:tcW w:w="1980" w:type="dxa"/>
          </w:tcPr>
          <w:p w14:paraId="10E494C3" w14:textId="77777777" w:rsidR="00520C8A" w:rsidRPr="002B6C9E" w:rsidRDefault="00520C8A" w:rsidP="00520C8A">
            <w:pPr>
              <w:jc w:val="center"/>
            </w:pPr>
            <w:r w:rsidRPr="002B6C9E">
              <w:t>T</w:t>
            </w:r>
            <w:r w:rsidRPr="002B6C9E">
              <w:rPr>
                <w:vertAlign w:val="subscript"/>
              </w:rPr>
              <w:t>decomp</w:t>
            </w:r>
          </w:p>
        </w:tc>
        <w:tc>
          <w:tcPr>
            <w:tcW w:w="2535" w:type="dxa"/>
          </w:tcPr>
          <w:p w14:paraId="2C2BADB2" w14:textId="77777777" w:rsidR="00520C8A" w:rsidRPr="002B6C9E" w:rsidRDefault="00520C8A" w:rsidP="00520C8A">
            <w:r w:rsidRPr="002B6C9E">
              <w:t>Decomposition temperature</w:t>
            </w:r>
            <w:r>
              <w:t xml:space="preserve"> of nitrate precursor solution</w:t>
            </w:r>
          </w:p>
        </w:tc>
        <w:tc>
          <w:tcPr>
            <w:tcW w:w="2001" w:type="dxa"/>
          </w:tcPr>
          <w:p w14:paraId="22B349A0" w14:textId="553AE0BA" w:rsidR="00520C8A" w:rsidRPr="002B6C9E" w:rsidRDefault="00520C8A" w:rsidP="00520C8A">
            <w:pPr>
              <w:jc w:val="center"/>
            </w:pPr>
            <w:proofErr w:type="spellStart"/>
            <w:r>
              <w:t>T</w:t>
            </w:r>
            <w:r>
              <w:rPr>
                <w:vertAlign w:val="subscript"/>
              </w:rPr>
              <w:t>Tammann</w:t>
            </w:r>
            <w:proofErr w:type="spellEnd"/>
          </w:p>
        </w:tc>
        <w:tc>
          <w:tcPr>
            <w:tcW w:w="2500" w:type="dxa"/>
          </w:tcPr>
          <w:p w14:paraId="63079575" w14:textId="4075E990" w:rsidR="00520C8A" w:rsidRDefault="00520C8A" w:rsidP="00520C8A">
            <w:r>
              <w:t xml:space="preserve">Tammann temperature </w:t>
            </w:r>
          </w:p>
          <w:p w14:paraId="531C4F4C" w14:textId="068E02D2" w:rsidR="00520C8A" w:rsidRPr="002B6C9E" w:rsidRDefault="00520C8A" w:rsidP="00520C8A"/>
        </w:tc>
      </w:tr>
      <w:tr w:rsidR="00520C8A" w:rsidRPr="002B6C9E" w14:paraId="75CF6934" w14:textId="77777777" w:rsidTr="000E6257">
        <w:tc>
          <w:tcPr>
            <w:tcW w:w="1980" w:type="dxa"/>
          </w:tcPr>
          <w:p w14:paraId="4A16136C" w14:textId="2AB9FC28" w:rsidR="00520C8A" w:rsidRDefault="00520C8A" w:rsidP="00520C8A">
            <w:pPr>
              <w:jc w:val="center"/>
            </w:pPr>
            <w:r>
              <w:t>AR</w:t>
            </w:r>
          </w:p>
        </w:tc>
        <w:tc>
          <w:tcPr>
            <w:tcW w:w="2535" w:type="dxa"/>
          </w:tcPr>
          <w:p w14:paraId="4BF3E62F" w14:textId="119F7438" w:rsidR="00520C8A" w:rsidRDefault="00520C8A" w:rsidP="00520C8A">
            <w:r>
              <w:t>Atomic Ripening or Ostwald Ripening</w:t>
            </w:r>
          </w:p>
        </w:tc>
        <w:tc>
          <w:tcPr>
            <w:tcW w:w="2001" w:type="dxa"/>
          </w:tcPr>
          <w:p w14:paraId="66D26BA5" w14:textId="7281F073" w:rsidR="00520C8A" w:rsidRDefault="00520C8A" w:rsidP="00520C8A">
            <w:pPr>
              <w:jc w:val="center"/>
            </w:pPr>
            <w:r>
              <w:t>PMC</w:t>
            </w:r>
          </w:p>
        </w:tc>
        <w:tc>
          <w:tcPr>
            <w:tcW w:w="2500" w:type="dxa"/>
          </w:tcPr>
          <w:p w14:paraId="3178793A" w14:textId="731CDBAE" w:rsidR="00520C8A" w:rsidRDefault="00520C8A" w:rsidP="00520C8A">
            <w:r>
              <w:t>Particle Migration Coalescence</w:t>
            </w:r>
          </w:p>
        </w:tc>
      </w:tr>
      <w:tr w:rsidR="00520C8A" w:rsidRPr="002B6C9E" w14:paraId="1D2AEFF9" w14:textId="77777777" w:rsidTr="000E6257">
        <w:tc>
          <w:tcPr>
            <w:tcW w:w="1980" w:type="dxa"/>
          </w:tcPr>
          <w:p w14:paraId="20093A58" w14:textId="23DAA182" w:rsidR="00520C8A" w:rsidRPr="00956300" w:rsidRDefault="00520C8A" w:rsidP="00520C8A">
            <w:pPr>
              <w:jc w:val="center"/>
            </w:pPr>
            <w:r>
              <w:t>XCT</w:t>
            </w:r>
          </w:p>
        </w:tc>
        <w:tc>
          <w:tcPr>
            <w:tcW w:w="2535" w:type="dxa"/>
          </w:tcPr>
          <w:p w14:paraId="1D0FFEBD" w14:textId="6DDB2B69" w:rsidR="00520C8A" w:rsidRDefault="00520C8A" w:rsidP="00520C8A">
            <w:r>
              <w:t>X-ray computed tomography</w:t>
            </w:r>
          </w:p>
        </w:tc>
        <w:tc>
          <w:tcPr>
            <w:tcW w:w="2001" w:type="dxa"/>
          </w:tcPr>
          <w:p w14:paraId="09AC580E" w14:textId="16DE43CA" w:rsidR="00520C8A" w:rsidRDefault="00520C8A" w:rsidP="00520C8A">
            <w:pPr>
              <w:jc w:val="center"/>
            </w:pPr>
            <w:r>
              <w:t>PXCT</w:t>
            </w:r>
          </w:p>
        </w:tc>
        <w:tc>
          <w:tcPr>
            <w:tcW w:w="2500" w:type="dxa"/>
          </w:tcPr>
          <w:p w14:paraId="33BAB7D3" w14:textId="1832AF49" w:rsidR="00520C8A" w:rsidRDefault="00520C8A" w:rsidP="00520C8A">
            <w:r>
              <w:t>Ptychographic X-ray Computed Tomography</w:t>
            </w:r>
          </w:p>
        </w:tc>
      </w:tr>
      <w:tr w:rsidR="00520C8A" w:rsidRPr="002B6C9E" w14:paraId="1B1DF8BF" w14:textId="77777777" w:rsidTr="000E6257">
        <w:tc>
          <w:tcPr>
            <w:tcW w:w="1980" w:type="dxa"/>
          </w:tcPr>
          <w:p w14:paraId="3BF183B6" w14:textId="0C96C738" w:rsidR="00520C8A" w:rsidRDefault="00520C8A" w:rsidP="00520C8A">
            <w:pPr>
              <w:jc w:val="center"/>
            </w:pPr>
            <w:r>
              <w:t>ACR</w:t>
            </w:r>
          </w:p>
        </w:tc>
        <w:tc>
          <w:tcPr>
            <w:tcW w:w="2535" w:type="dxa"/>
          </w:tcPr>
          <w:p w14:paraId="3B56A02E" w14:textId="73A1A84F" w:rsidR="00520C8A" w:rsidRDefault="00520C8A" w:rsidP="00520C8A">
            <w:r>
              <w:t>Attenuation Coefficient Ratio</w:t>
            </w:r>
          </w:p>
        </w:tc>
        <w:tc>
          <w:tcPr>
            <w:tcW w:w="2001" w:type="dxa"/>
          </w:tcPr>
          <w:p w14:paraId="054BCDFF" w14:textId="7DAD6335" w:rsidR="00520C8A" w:rsidRDefault="00520C8A" w:rsidP="00520C8A">
            <w:pPr>
              <w:jc w:val="center"/>
            </w:pPr>
            <w:r>
              <w:t>GSR</w:t>
            </w:r>
          </w:p>
        </w:tc>
        <w:tc>
          <w:tcPr>
            <w:tcW w:w="2500" w:type="dxa"/>
          </w:tcPr>
          <w:p w14:paraId="482A557A" w14:textId="2B9919D6" w:rsidR="00520C8A" w:rsidRDefault="00520C8A" w:rsidP="00520C8A">
            <w:r>
              <w:t>Gray-scale ratio</w:t>
            </w:r>
          </w:p>
        </w:tc>
      </w:tr>
    </w:tbl>
    <w:p w14:paraId="5D9591FD" w14:textId="77777777" w:rsidR="00007F6C" w:rsidRDefault="00007F6C" w:rsidP="00007F6C">
      <w:pPr>
        <w:pStyle w:val="Heading1"/>
      </w:pPr>
      <w:bookmarkStart w:id="4" w:name="_Toc69129346"/>
      <w:bookmarkEnd w:id="1"/>
      <w:r>
        <w:lastRenderedPageBreak/>
        <w:t>Abstract</w:t>
      </w:r>
      <w:bookmarkEnd w:id="4"/>
    </w:p>
    <w:p w14:paraId="280EDE83" w14:textId="77777777" w:rsidR="00DD566D" w:rsidRDefault="00DD566D" w:rsidP="00DD566D">
      <w:pPr>
        <w:spacing w:line="360" w:lineRule="auto"/>
        <w:jc w:val="both"/>
      </w:pPr>
      <w:r>
        <w:t xml:space="preserve">The development of commercially viable Solid Oxide Fuel Cells has presented a series of complex materials challenges that need to be overcome. Most notably under the elevated operating temperature of SOFCs (T </w:t>
      </w:r>
      <w:r>
        <w:rPr>
          <w:rFonts w:cstheme="minorHAnsi"/>
        </w:rPr>
        <w:t>≥</w:t>
      </w:r>
      <w:r>
        <w:t xml:space="preserve"> 800 </w:t>
      </w:r>
      <w:r>
        <w:rPr>
          <w:rFonts w:cstheme="minorHAnsi"/>
        </w:rPr>
        <w:t>°</w:t>
      </w:r>
      <w:r>
        <w:t xml:space="preserve">C) the fuel electrode catalyst sinters to reduce its surface energy leading to diminished stack performance. High surface area nanostructured infiltrated electrodes have been developed to accommodate for this performance loss. However, current infiltrated systems are also prone to catalyst coarsening. To ensure these materials can withstand the harsh reductive conditions at the anode extensive work needs to be done on characterising the catalyst sintering mechanism and mitigating it. </w:t>
      </w:r>
    </w:p>
    <w:p w14:paraId="5D7B1AFC" w14:textId="77777777" w:rsidR="00DD566D" w:rsidRDefault="00DD566D" w:rsidP="00DD566D">
      <w:pPr>
        <w:spacing w:line="360" w:lineRule="auto"/>
        <w:jc w:val="both"/>
      </w:pPr>
      <w:r>
        <w:t xml:space="preserve"> In this thesis the impact of different processing steps on the early stage (t </w:t>
      </w:r>
      <w:r>
        <w:rPr>
          <w:rFonts w:cstheme="minorHAnsi"/>
        </w:rPr>
        <w:t>≤</w:t>
      </w:r>
      <w:r>
        <w:t xml:space="preserve"> 50 h) degradation of infiltrated Ni-YSZ electrodes has been investigated. This included the characterisation of the first use of an inert N</w:t>
      </w:r>
      <w:r>
        <w:rPr>
          <w:vertAlign w:val="subscript"/>
        </w:rPr>
        <w:t>2</w:t>
      </w:r>
      <w:r>
        <w:t xml:space="preserve"> drying atmosphere on infiltrated Ni-YSZ symmetrical cells samples to control the particle size and dispersion of the catalyst. This included tracking the crystallite size changes across the first 3 h of ageing using the Debye-Scherrer equation.  Drying under a Nitrogen atmosphere showed a 20 % reduction in the Ni crystallite size in comparison with air-dried cells leading to a 1.5 % increase in the percent dispersion for the N</w:t>
      </w:r>
      <w:r>
        <w:rPr>
          <w:vertAlign w:val="subscript"/>
        </w:rPr>
        <w:t>2</w:t>
      </w:r>
      <w:r>
        <w:t xml:space="preserve"> dried nanoparticles. The formation of these smaller particles was linked to an egg-shell drying model is presented from Scanning Electron Microscopy and Fourier Transform Infrared spectroscopy data. </w:t>
      </w:r>
    </w:p>
    <w:p w14:paraId="56C715C1" w14:textId="77777777" w:rsidR="00DD566D" w:rsidRDefault="00DD566D" w:rsidP="00DD566D">
      <w:pPr>
        <w:spacing w:line="360" w:lineRule="auto"/>
        <w:jc w:val="both"/>
      </w:pPr>
      <w:r>
        <w:t xml:space="preserve">The impact of utilising different current collector materials (Ag, Au, </w:t>
      </w:r>
      <w:proofErr w:type="spellStart"/>
      <w:r>
        <w:t>NiO</w:t>
      </w:r>
      <w:proofErr w:type="spellEnd"/>
      <w:r>
        <w:t>) on the electrochemical impedance spectroscopy of infiltrated symmetrical anodes was also investigated. Nickel oxide produced the lowest polarisation resistance over 50 h of ageing.</w:t>
      </w:r>
    </w:p>
    <w:p w14:paraId="2E9A6FA5" w14:textId="77777777" w:rsidR="00DD566D" w:rsidRPr="008A3C1E" w:rsidRDefault="00DD566D" w:rsidP="00DD566D">
      <w:pPr>
        <w:spacing w:line="360" w:lineRule="auto"/>
        <w:jc w:val="both"/>
      </w:pPr>
      <w:r>
        <w:t>In addition, Ptychographic X-ray Computed Tomography was used to quantify the microstructural changes of present in infiltrated Ni-YSZ pillars between 0-4 h of ageing. This entailed the first successful phase segmentation of the catalyst, ceramic and pore phases for infiltrated fuel electrode samples from an in ex-situ snapshot imaging procedure. This included tracking the nickel migration towards the triple phase boundary and pore blocking also imaged with FIB-SEM. This led to the identification of the infiltrated nickel coarsening mechanism as particle migration coalescence at ageing times after 2h.</w:t>
      </w:r>
    </w:p>
    <w:p w14:paraId="215895E6" w14:textId="71B9678A" w:rsidR="00007F6C" w:rsidRPr="007F24BE" w:rsidRDefault="00DD566D" w:rsidP="00DD566D">
      <w:pPr>
        <w:spacing w:line="360" w:lineRule="auto"/>
        <w:jc w:val="both"/>
      </w:pPr>
      <w:r>
        <w:t xml:space="preserve">Overall, this work demonstrated the potential of utilising an inert drying step to control the dispersion and size of infiltrated fuel electrode catalysts. The PXCT dataset has highlighted the importance of phase quantification on the degradation characterisation of infiltrated SOFC anodes. Further work is needed to optimise these processes to inform future </w:t>
      </w:r>
      <w:r w:rsidR="0043391E">
        <w:t>sinter resistant</w:t>
      </w:r>
      <w:r>
        <w:t xml:space="preserve"> SOFC electrode designs.</w:t>
      </w:r>
    </w:p>
    <w:p w14:paraId="5E7B6B59" w14:textId="77777777" w:rsidR="00007F6C" w:rsidRPr="003F3917" w:rsidRDefault="00007F6C" w:rsidP="00007F6C">
      <w:pPr>
        <w:pStyle w:val="Heading1"/>
      </w:pPr>
      <w:bookmarkStart w:id="5" w:name="_Toc69129347"/>
      <w:r w:rsidRPr="003F3917">
        <w:lastRenderedPageBreak/>
        <w:t>Chapter 1: Introduction</w:t>
      </w:r>
      <w:bookmarkEnd w:id="5"/>
    </w:p>
    <w:p w14:paraId="3FD22A85" w14:textId="77777777" w:rsidR="00007F6C" w:rsidRDefault="00007F6C" w:rsidP="00007F6C">
      <w:pPr>
        <w:jc w:val="both"/>
      </w:pPr>
      <w:r w:rsidRPr="004654D6">
        <w:t xml:space="preserve">Solid oxide fuel cells (SOFCs) are a key technology for </w:t>
      </w:r>
      <w:r>
        <w:t>clean energy</w:t>
      </w:r>
      <w:r w:rsidRPr="004654D6">
        <w:t xml:space="preserve"> production. Their stackable design, variable operating temperatures and ceramic components makes them exceeding</w:t>
      </w:r>
      <w:r>
        <w:t>ly</w:t>
      </w:r>
      <w:r w:rsidRPr="004654D6">
        <w:t xml:space="preserve"> efficient (&gt;90% in combined heat and power units)</w:t>
      </w:r>
      <w:r>
        <w:t xml:space="preserve"> </w:t>
      </w:r>
      <w:r>
        <w:fldChar w:fldCharType="begin" w:fldLock="1"/>
      </w:r>
      <w:r>
        <w:instrText>ADDIN CSL_CITATION {"citationItems":[{"id":"ITEM-1","itemData":{"DOI":"10.1111/j.1151-2916.1993.tb03645.x","ISBN":"00027820 (ISSN)","abstract":"A ceramic fuel cell in an all solid‐state energy conversion device that produces electricity by electrochemically combining fuel and oxidant gases across an ionic conducting oxide. Current ceramic fuel cells use an oxygen‐ion conductor or a proton conductor as the electrolyte and operate at high temperatures (&gt;600°C). Ceramic fuel cells, commonly referred to as solid‐oxide fuel cells (SOFCs), are presently under development for a variety of power generation applications. This paper reviews the science and technology of ceramic fuel cells and discusses the critical issues posed by the development of this type of fuel cell. The emphasis is given to the discussion of component materials (especially, ZrO2 electrolyte, nickel/ZrO2 cermet anode, LaMnO3 cathode, and LaCrO3 interconnect), gas reactions at the electrodes, stack designs, and processing techniques used in the fabrication of required ceramic structures. Copyright © 1993, Wiley Blackwell. All rights reserved","author":[{"dropping-particle":"","family":"Minh","given":"N Q","non-dropping-particle":"","parse-names":false,"suffix":""}],"container-title":"Journal of the American Ceramic Society","id":"ITEM-1","issue":"3","issued":{"date-parts":[["1993"]]},"language":"English","note":"Cited By :3099\nExport Date: 30 November 2016\nCorrespondence Address: Minh, N.Q.; AiResearch Los Angeles Division, Allied-Signal Aerospace Company, Torrance, California, 90504-6099, United States\nReferences: Grove, W.R., On Voltaic Series and the Combination of Gases by Platinum (1839) Philos. Mag., 14, pp. 127-130; Nernst, W., Uber Die Elektrolytische Leitung Fester Körper Bei Sehr Hohen Temperaturen (1899) Z. Elektrochem., 6, pp. 41-43; Baur, E., Preis, H., Uber Brennstoff‐Ketten Mit Festleitern (1937) Z. Elektrochem., 43, pp. 727-732; Minh, N.Q., High‐Temperature Fuel Cells. Part 2: The Solid Oxide Cell (1991) CHEMTECH, 21, pp. 120-126; (1981) Science and Technology of Zirconia, 3. , Edited by, A. H. Heuer, L. W. Hobbs, American Ceramic Society, Columbus, OH; (1984) Science and Technology of Zirconia II, 12. , Edited by, N. Claussen, M. Rühle, A. H. Heuer, American Ceramic Society, Columbus, OH; (1988) Science and Technology of Zirconia III, 24. , Edited by, S. Somiya, N. Yamamoto, H. Yanagida, American Ceramic Society, Westerville, OH; Stevens, R., (1986) An Introduction to Zirconia, , Magnesium Elektron, London, U.K; Etsell, T.H., Flengas, S.N., The Electrical Properties of Solid Oxide Electrolytes (1970) Chem. Rev., 70, pp. 339-376; Subbarao, E.C., Maiti, H.S., Solid Electrolytes with Oxygen Ion Conduction (1984) Solid State Ionics, 11, pp. 317-338; Patterson, J.W., Borgen, E.C., Rapp, R.A., Mixed Conduction in Zr0.85Ca0.15O1.85 and Th0.85Y0.15O1.85 Solid Electrolytes (1967) Journal of The Electrochemical Society, 114, pp. 752-758; Baumard, J.F., Abelard, P., , pp. 555-571. , “Defect Structure and Transport Properties of ZrO2‐Based Solid Electrolytes”; see Ref. 6, ppChoudhary, C.B., Maiti, H.S., Subbarao, E.C., Detect Structure and Transport Properties (1980) Solid Electrolytes and Their Applications, pp. 1-80. , Edited by, E. C. Subbarao, Plenum Press, New York; Badwal, S.P.S., Hughes, A.E., Modification of Cell Characteristics by Segregated Impurities (1991) Proceedings of the Second International Symposium on Solid Oxide Fuel Cells, pp. 445-454. , Edited by, F. Gross, P. Zegers, S. C. Singhal, O. Yamamoto, Commission of The European Communities, Luxembourg; Bauerle, J.E., Study of Solid Electrolyte Polarization by a Complex Admittance Method (1969) J. Phys. Chem. Solids, 30, pp. 2657-2670; Kleitz, M., Bernard, H., Fernandez, E., Schouler, E., , pp. 310-336. , “Impedance Spectroscopy and Electrical Resistance Measurements on Stabilized Zirconia”; see Ref. 5, ppVerkerk, M.J., Middelhuis, B.J., Burggraaf, A.J., Effect of Grain Boundaries on the Conductivity of High‐Purity ZrO2–Y2O3 Ceramics (1982) Solid State Ionics, 6, pp. 159-170; Butler, E.P., Slotwinski, R.K., Bonanos, N., Drennan, J., Steele, B.C.H., , pp. 572-584. , “Microstructural–Electrical Property Relationships in High‐Conductivity Zirconias”; see Ref. 6, ppBaukal, W., Solid Oxide Electrolyte with Time‐Dependent Conductivity (1972) From Electrocatalysis to Fuel Cells, pp. 247-254. , Edited by, G. Sandstede, University of Washington Press, Seattle, WA; Suzuki, Y., Shimada, A., Senda, S., Time‐Dependent Change in Electrical Resistivity of Polycrystalline YSZ and CSZ (1990) Solid State Ionics, 42, pp. 121-125; Badwal, S.P.S., Drennan, J., Yttria–Zirconia: Effect of Microstructure on Conductivity (1987) J. Mater. Sci., 22, pp. 3231-3239; Ciftcioglu, M., Mayo, M.J., (1990), “Processing of Nanocrystalline Ceramics”; presented at the Spring Meeting of the Materials Research Society, San Francisco, CA, April 16–21, 1990. Rept. No. DE90–015700, SAND‐90–1639C, CONF‐900466–78, National Technical Information Service, Alexandria, VAScott, C.E., Reed, J.S., Analysis of Cl‐ Ions Laundered from Submicron Zirconia Powders (1978) Am. Ceram. Soc. Bull., 57, pp. 741-743; Scott, C.E., Reed, J.S., Effect of Laundering and Milling on the Sintering Behavior of Stabilized ZrO2 Powders (1979) Am. Ceram. Soc. Bull., 58, pp. 587-590; Evans, A.G., The New High‐Toughness Ceramics (1989) Fracture Mechanics: Perspective and Directions, pp. 267-291. , (Twentieth Symposium), ASTM STP 1020. Edited by, R. P. Wei, R. P. Gangloff, American Society for Testing and Materials, Philadelphia, PA; Singh, J.P., Bosak, A.L., Dees, D.W., McPheeters, C.C., Improved Fracture Toughness of ZrO2 Electrolyte for Solid Oxide Fuel Cell (1988) 1988 Fuel Cell Seminar Abstracts, pp. 145-148. , (Long Beach, CA, Oct. 23–26, 1988)., Courtesy Associates, Washington, DC; Ishizaki, F., Yoshida, T., Sakurada, S., Effect of Alumina Addition on the Electrical Properties of Yttria‐Doped Zirconia (1989) Proceedings of the First International Symposium on Solid Oxide Fuel Cells, pp. 3-14. , Edited by, S. C. Singhal, The Electrochemical Society, Pennington, NJ; Hernandez, M.T., Jurado, J.R., Duran, P., , pp. 421-428. , “Effect of Al2O3, Additions on the Electrical Properties of ZrO2–Y2O3 and ZrO2–Y2O3–CeO2 Electrolytes”; see Ref. 14, ppYamamoto, O., Takeda, Y., Imanishi, N., Kawahara, T., Shen, G.Q., Mori, M., Abe, T., , pp. 437-444. , “Electrical and Mechanical Properties of Zirconia–Alumina Composite Electrolyte”; see Ref. 14, ppDuran, P., Jurado, J.R., Moure, C., Hernandez, M.T., Capel, F., , pp. 401-407. , “Improvement of the Mechanical Properties of Yttria‐Stabilized Zirconia Electrolyte”; see Ref. 14, ppWeppner, W., Tetragonal Zirconia for Solid Oxide Fuel Cells (1990) Proceedings of the International Symposium on Solid Oxide Fuel Cells, pp. 83-89. , Edited by, O. Yamamoto, M. Dokiya, H. Tagawa, Science House, Tokyo, Japan; Yoshida, T., Hoshina, T., Mukaizawa, I., Sakurada, S., Properties of Partially Stabilized Zirconia Fuel Cell (1989) J. Electrochem. Soc., 136, pp. 2604-2606; Yamamoto, O., Takeda, Y., Kanno, R., Kohno, K., Electrical Conductivity of Tetragonal Stabilized Zirconia (1990) J. Mater. Sci., 25, pp. 2805-2808; Sato, T., Shimada, M., Crystalline Phase Changes in Yttria‐Partially‐Stabilized Zirconia by Low‐Temperature Annealing (1984) J. Am. Ceram. Soc., 67 (10), pp. 212-213; Subbarao, E.C., Maiti, H.S., , pp. 731-747. , “Oxygen Sensors and Pumps”; see Ref. 7, ppVlasov, A.N., Perfiliev, M.V., Ageing of ZrO2‐Based Solid Electrolytes (1987) Solid State Ionics, 25, pp. 245-253; Takahashi, T., Iwahara, H., Nagai, Y., High Oxide Conduction in Sintered Bi2O3 Containing SrO, CaO, or La2O3 (1972) J. Appl. Electrochem., 2, pp. 97-104; Miyayama, M., Nishi, T., Yanagida, H., Oxygen Ionic Conduction in Y2O3‐Stabilized Bi2O3 and ZrO2 Composites (1987) J. Mater. Sci., 22, pp. 2624-2628; Verkerk, M.J., Keizer, K., Burggraaf, A.J., High Oxygen Ion Conduction in Sintered Oxides of Bi2O3–Er2O3 System (1980) J. Appl. Electrochem., 10, pp. 81-90; Takahashi, T., Esaka, T., Iwahara, H., Conduction of Bi2O3‐Based Oxide Ion Conductor Under Low Oxygen Pressure. II. Determination of the Partial Electronic Conductivity (1977) J. Appl. Electrochem., 7, pp. 303-308; Blumenthal, R.N., Brugner, F.S., Garnier, J.E., The Electrical Conductivity of CaO‐Doped Nonstoichiometric Cerium Oxide from 700° to 1500°C (1973) J. Electrochem. Soc., 120, pp. 1230-1237; Tuller, H.L., Nowick, A.S., Doped Ceria as a Solid Oxide Electrolyte (1975) J. Electrochem. Soc., 122, pp. 255-259; Swarr, T.E., Karavolis, S., Maricle, D.L., Enhanced Ceria—A Low‐Temperature SOFC Electrolyte (1990) Proceedings of the 25th Intersociety Energy Conversion Engineering Conference, 3, pp. 256-261. , American Institute of Chemical Engineers, New York; Yahiro, H., Baba, Y., Eguchi, K., Arai, H., High‐Temperature Fuel Cell with Ceria–Yttria Solid Electrolyte (1988) J. Electrochem. Soc., 135, pp. 2077-2080; Inoue, T., Setoguchi, T., Eguchi, K., Arai, H., Study of a Solid Oxide Fuel Cell with a Ceria‐Based Solid Electrolyte (1989) Solid State Ion'cs, 35, pp. 285-291; Virkar, A.V., Theoretical Analysis of Solid Oxide Fuel Cells with Two‐Layer Composite Electrolyte: Electrolyte Stability (1991) J. Electrochem. Soc., 138, pp. 1481-1487; Takahashi, T., Iwahara, H., Ionic Conduction in Perovskite‐Type Oxide Solid Solution and Its Application to Solid Electrolyte Fuel Cell (1971) Energy Convers., 11, pp. 105-111; Kilner, J.A., Barrow, P., Brook, R.J., Norgett, M.J., Electrolytes for the High‐Temperature Fuel Cell: Experimental and Theoretical Studies of the Perovskite LaAlO3 (1978) J. Power Sources, 3, pp. 67-80; Cook, R.L., MacDu'f, R.C., Sammells, A.F., Perovskite Solid Electrolytes for Intermediate‐Temperature Solid Oxide Fuel Cells (1990) J. Electrochem. Soc., 137, pp. 3309-3310; Sammells, A.F., Cook, R.L., Worrell, W.L., (1990), “Methane Conversion by Solid Electrolyte Membranes,” Rept. No. GR1‐90/0136, Gas Research Institute, Chicago, ILMurakami, S., Miyake, Y., Akiyama, Y., Ishida, N., Saito, T., Furukawa, N., , pp. 187-190. , “A Study on Composite Anode of Solid Oxide Fuel Cells”; see Ref. 31, ppDees, D.W., Claar, T.D., Easler, T.E., Fee, D.C., azek, F.C., Conductivity of Porous Ni/ZrO2‐Y2O3 Cermets (1987) Journal of The Electrochemical Society, 134, pp. 2141-2146; Ivers‐Tiffée, E., Wersing, W., Schießl, M., Greiner, H., Ceramic and Metallic Components for a Planar SOFC (1990) Berichte der Bunsengesellschaft für physikalische Chemie, 94, pp. 978-981; Majumdar, S., Claar, T., Flandermeyer, B., Stress and Fracture Behavior of Monolithic Fuel Cell Tapes (1986) J. Am. Ceram. Soc., 69, pp. 628-633; Easler, T., Flandermeyer, B.K., Claar, T.D., Busch, D.E., Fousek, R.J., Picciolo, J.J., Poeppel, R.B., Electrode Development for Monolithic Fuel Cells (1986) 1986 Fuel Cell Seminar Abstracts, pp. 72-75. , (Tucson, AZ, Oct. 26–29, 1986)., Courtesy Associates, Washington, DC; Markin, T.L., Bones, R.J., Dell, R.M., High‐Temperature Solid‐Electrolyte Fuel Cells (1976) Conference on Superionic Conductors, pp. 15-35. , Edited by, G. D. Mahan, W. L. Roth, Plenum Press, New York; Suzuki, M., Sasaki, H., Otoshi, S., Ippommatsu, M., , pp. 585-591. , “Development of Ru/ZrO2 SOFC Anode”; see Ref. 14, ppTakahashi, T., Iwahara, H., Suzuki, Y., Electrode Materials for High‐Temperature Solid Electrolyte Fuel Cells (1969) Proceedings of the Third International Symposium on Fuel Cells, pp. 113-119. , Presses Académiques Européennes, Brussels, Belgium; Steele, B.C.H., Middleton, P.H., Rudkin, R.A., Material Science Aspects of SOFC Technology with Special Reference to Anode Development (1990) Solid State Ionics, 40-41, pp. 388-393; Mogensen, M., , pp. 577-584. , “Properties of CeO2‐Based SOFC Anode Materials”; see Ref. 14, ppSwider, K.E., Worrell, W.L., , pp. 593-601. , “Synthesis and Characterization of Yuria. Stabilized Zirconia‐Titania Thin‐Film Electrodes”; see Ref. 14, ppLiou, S.S., Worrell, W.L., , pp. 81-89. , “Mixed‐Conducting Oxide Electrodes for Solid Oxide Fuel Cells”; see Ref. 27, ppLiou, S.S., Worrell, W.L., Electrical Properties of Novel Mixed‐Conducting Oxides (1989) Appl. Phys. A, 49, pp. 25-31; Tedmon, C.S., Jr., Spacil, H.S., Mitoff, S.P., Cathode Materials and Performance in High‐Temperature Zirconia Electrolyte Fuel Cells (1969) Journal of The Electrochemical Society, 116, pp. 1170-1175; Tofield, B.C., Scott, W.R., Oxidative Nonstoichiometry in Perovskites, an Experimental Survey: The Defect Structure of an Oxidized Lanthanum Manganite by Powder Neutron Diffraction (1974) J. Solid State Chem., 10, pp. 183-194; Kuo, J.H., Anderson, H.U., Sparlin, D.M., Oxidation‐Reduction Behavior of Undoped and Sr‐Doped LaMnO3: Defect Structure, Electrical Conductivity, and Thermoelectric Power (1990) J. Solid State Chem., 87, pp. 55-63; Rao, Wanklyn, B.M., Rao, C.N.R., Electrical Transport in Rare‐Earth Ortho‐Chromites, ‐Manganites, and ‐Ferrites (1971) J. Phys. Chem. Solids, 32, pp. 345-358; Kamata, K., Nakajima, T., Hayashi, T., Nakamura, T., Nonstoichiometric Behavior and Phase Stability of Rare‐Earth Manganites at 1200°C: (1). LaMnO3 (1978) Mater. Res. Bull., 13, pp. 49-54; Mizusaki, J., Tagawa, H., Naraya, K., Sasamoto, T., Nonstoichiometry and Thermochemical Stability of the Perovskite‐Type La1‐xSrxMnO3‐δ (1991) Solid State Ionics, 49, pp. 111-118; Kuo, J.H., Anderson, H.U., Sparlin, D.M., Oxidation‐Reduction Behavior of Undoped and Sr‐Doped LaMnO3 Nonstoichiometry and Defect Structure (1989) J. Solid State Chem., 83, pp. 52-60; Nakamura, T., Petzow, G., Gauckler, L.J., Stability of the Perovskite Phase LaBO3 (B = V, Cr, Mn, Fe, Co, Ni) in Reducing Atmospheres I. Experimental Results (1979) Mater. Res. Bull., 14, pp. 649-659; Sreedharan, O.M., Pankajavalli, R., Gnanamoorthy, J.B., Standard Gibbs' Energy of Formation of LaMnO3 from EMF Measurements (1983) High Temp. Sci., 16, pp. 251-256; Kamegashira, N., Miyazaki, Y., Hiyoshi, Y., Limiting Oxygen Partial Pressure of LaMnO3 Phase (1984) Mater. Lett., 2, pp. 194-195; Sreedharan, O.M., Chandrasekharaiah, M.S., Standard Gibbs' Energy of Formation of LaFeO3 and Comparison of Stability of LaMO3 (M = Mn, Fe, Co, Ni) Compounds (1986) J. Mater. Sci., 21, pp. 2581-2584; Ruka, R., (1983), pp. 295-302. , “Some Non‐Electrochemical Requirements for Air Electrode Materials of High‐Temperature Solid Electrolyte Fuel Cells”; pp., in Proceedings of the Conference on High–Temperature Solid Oxide Electrolytes, Vol. I–Anion Conductors (Brookhaven National Laboratory, Upton, NY, Aug. 16–17, 1983). Rept. No. BNL 51728–Vol. I, Brookhaven National Laboratory, Upton, NYJonker, G.H., Semiconducting Properties of Mixed Crystals with Perovskite Structure (1954) Physica (Amsterdam), 20, pp. 1118-1122; Tanaka, J., Takahashi, K., Yukino, K., Horiuchi, S., Electrical Conduction of (La0.8Ca0.2)MnO3 with Homogeneous Ionic Distribution (1983) Phys. Status Solidi, 80, pp. 621-630; Fandel, M., Höschele, J., Schäfer, W., Schmidberger, R., Properties of Ca‐Doped LaMnO3 (1989) Properties of Ceramics, 2, p. 2. , 236–2.240 in Euro‐ceramics, Vol,. Edited by, G. de With, R. A. Lerpstra, R. Metselaar, Elsevier Applied Science, London, U.K; Pavlov, V.I., Bogush, A.K., Bychkov, G.L., Influence of Impurity Centers on the Electrical Conductivity of Manganites with a Perovskite Structure (1984) Inorg. Mater. (Engl. Transl.), 20, pp. 752-754; Wold, A., Arnott, R.J., Goodenough, J.B., Some Magnetic and Crystallographic Properties of the System LaMn1‐xNixO3‐λ (1958) J. Appl. Phys., 29, pp. 387-389; Lyubkina, I.Ya., Kononyuk, I.F., Preparation and Electric Properties of LaMn1‐xNixO3 (O","page":"563-588","title":"Ceramic Fuel Cells","type":"article-journal","volume":"76"},"uris":["http://www.mendeley.com/documents/?uuid=7c17b8de-f21a-48a1-8286-c38ae0ab747c"]},{"id":"ITEM-2","itemData":{"DOI":"10.1557/mrs.2014.192","ISSN":"08837694","abstract":"Solid-oxide fuel cells (SOFCs) are unique in their ability to directly convert the chemical energy of a wide variety of fuels to electric power with unmatched energy conversion efficiency. The articles in this issue of MRS Bulletin highlight the enormous potential of, and recent progress toward, operating SOFCs at lower temperatures (&lt;650°C). Lower temperatures dramatically increase the number of potential applications for this technology as well as provide the opportunity to incorporate a wider variety of materials in SOFC power generation systems with greater reliability and lower cost. The articles in this issue describe materials development and processing for low-temperature SOFCs, including the enabling of nanotechnology and microelectromechanical systems-based cell designs, the development of highly active electrodes and their three-dimensional microstructural characterization, as well as the use of novel proton-conducting electrolytes, all of which provide new avenues of research. New fabrication methods are also being applied in the development of micro-SOFCs and microtubular SOFCs with higher power densities. Finally, advances in lowering performance degradation rates, a critical commercialization issue, are described.","author":[{"dropping-particle":"","family":"Wachsman","given":"Eric","non-dropping-particle":"","parse-names":false,"suffix":""},{"dropping-particle":"","family":"Ishihara","given":"Tatsumi","non-dropping-particle":"","parse-names":false,"suffix":""},{"dropping-particle":"","family":"Kilner","given":"John","non-dropping-particle":"","parse-names":false,"suffix":""}],"container-title":"MRS Bulletin","id":"ITEM-2","issue":"9","issued":{"date-parts":[["2014"]]},"page":"773-779","title":"Low-temperature solid-oxide fuel cells","type":"article-journal","volume":"39"},"uris":["http://www.mendeley.com/documents/?uuid=cab0348f-efe2-4882-9dfe-5eefa164d842"]},{"id":"ITEM-3","itemData":{"DOI":"10.1039/c1ee02445k","ISSN":"17545692","abstract":"The 2012 Department of Energy (DOE) budget request significantly reduces fuel cell RD&amp;D funding and would cease to support the Solid State Energy Conversion Alliance (SECA), DOE's solid oxide fuel cell (SOFC) program. This would be a grave mistake considering the US's historic dominance in fuel cell RD&amp;D, exciting recent technological advancements in fuel cells, and clear positive market signals around the globe. In this paper we discuss DOE's energy RD&amp;D policy, how SOFCs address every key DOE strategy, and why recent advances should make SOFCs an integral part of our energy RD&amp;D policy. Moreover, we compare the prospects of low temperature SOFCs with the more common proton exchange membrane fuel cell (PEMFC) in the absence of a hydrogen infrastructure. © The Royal Society of Chemistry 2012.","author":[{"dropping-particle":"","family":"Wachsman","given":"Eric D.","non-dropping-particle":"","parse-names":false,"suffix":""},{"dropping-particle":"","family":"Marlowe","given":"Craig A.","non-dropping-particle":"","parse-names":false,"suffix":""},{"dropping-particle":"","family":"Lee","given":"Kang Taek","non-dropping-particle":"","parse-names":false,"suffix":""}],"container-title":"Energy and Environmental Science","id":"ITEM-3","issue":"2","issued":{"date-parts":[["2012"]]},"page":"5498-5509","title":"Role of solid oxide fuel cells in a balanced energy strategy","type":"article-journal","volume":"5"},"uris":["http://www.mendeley.com/documents/?uuid=4cb63338-bf7a-47f2-a752-19de48ac0023"]}],"mendeley":{"formattedCitation":"[1]–[3]","plainTextFormattedCitation":"[1]–[3]","previouslyFormattedCitation":"[1]–[3]"},"properties":{"noteIndex":0},"schema":"https://github.com/citation-style-language/schema/raw/master/csl-citation.json"}</w:instrText>
      </w:r>
      <w:r>
        <w:fldChar w:fldCharType="separate"/>
      </w:r>
      <w:r w:rsidRPr="00CE0F2E">
        <w:rPr>
          <w:noProof/>
        </w:rPr>
        <w:t>[1]–[3]</w:t>
      </w:r>
      <w:r>
        <w:fldChar w:fldCharType="end"/>
      </w:r>
      <w:r w:rsidRPr="004654D6">
        <w:t>.</w:t>
      </w:r>
    </w:p>
    <w:p w14:paraId="7CB60D73" w14:textId="73417F7E" w:rsidR="00007F6C" w:rsidRPr="00913A20" w:rsidRDefault="00007F6C" w:rsidP="00007F6C">
      <w:pPr>
        <w:jc w:val="both"/>
      </w:pPr>
      <w:r>
        <w:t>The fuel electrode in SOFCs usually consists of a cermet material made up of an electro catalyst (usually nickel) supported on an oxide ion conductor such as YSZ (8 mol</w:t>
      </w:r>
      <w:r w:rsidR="00083B9B">
        <w:t xml:space="preserve"> </w:t>
      </w:r>
      <w:r>
        <w:t>% Y</w:t>
      </w:r>
      <w:r>
        <w:rPr>
          <w:vertAlign w:val="subscript"/>
        </w:rPr>
        <w:t>2</w:t>
      </w:r>
      <w:r>
        <w:t>O</w:t>
      </w:r>
      <w:r>
        <w:rPr>
          <w:vertAlign w:val="subscript"/>
        </w:rPr>
        <w:t>3</w:t>
      </w:r>
      <w:r>
        <w:t>/ZrO</w:t>
      </w:r>
      <w:r>
        <w:rPr>
          <w:vertAlign w:val="subscript"/>
        </w:rPr>
        <w:t>2</w:t>
      </w:r>
      <w:r>
        <w:t xml:space="preserve">). Since their discovery over half a century ago, these cermet (ceramic matrix with metal particles )materials are still a mainstay as SOFC anodes </w:t>
      </w:r>
      <w:r>
        <w:fldChar w:fldCharType="begin" w:fldLock="1"/>
      </w:r>
      <w:r>
        <w:instrText>ADDIN CSL_CITATION {"citationItems":[{"id":"ITEM-1","itemData":{"DOI":"10.1016/j.jpowsour.2013.03.001","ISBN":"0378-7753","ISSN":"03787753","abstract":"Over the past half-century, Siemens/Westinghouse systematically developed the cathode-supported tubular solid oxide fuel cell (SOFC) technology and demonstrated the world's first highly efficient, longest running 100-kWe class solid oxide fuel cell/combined heat and power (SOFC/CHP) system and the first highest-efficiency, 220-kWe class pressurized SOFC/gas turbine (PSOFC/GT) hybrid system based on this technology. This review provides a broad overview on this technology from the perspectives of materials, manufacturing, cell design, system integration and electrical testing. It starts from the basic facts of a SOFC, where the working principle, advantages, types and applications of SOFCs are discussed. It then focuses on cathode-supported tubular SOFCs, one important type of SOFC design, by providing detailed technical information on engineering innovations, materials advances, manufacturing processes and electrical performance of Siemens/Westinghouse's cylindrical and flattened ribbed tubular cells. The review concludes with a high-level summary of the SOFC systems manufactured and demonstrated by Siemens/Westinghouse in the past few decades. © 2013 Elsevier B.V. All rights reserved.","author":[{"dropping-particle":"","family":"Huang","given":"Kevin","non-dropping-particle":"","parse-names":false,"suffix":""},{"dropping-particle":"","family":"Singhal","given":"Subhash C.","non-dropping-particle":"","parse-names":false,"suffix":""}],"container-title":"Journal of Power Sources","id":"ITEM-1","issued":{"date-parts":[["2013"]]},"language":"English","note":"173nh\nTimes Cited:38\nCited References Count:82","page":"84-97","title":"Cathode-supported tubular solid oxide fuel cell technology: A critical review","type":"article-journal","volume":"237"},"uris":["http://www.mendeley.com/documents/?uuid=a642d227-2e33-4b4f-8a97-ad2a9d6f4471"]}],"mendeley":{"formattedCitation":"[4]","plainTextFormattedCitation":"[4]","previouslyFormattedCitation":"[4]"},"properties":{"noteIndex":0},"schema":"https://github.com/citation-style-language/schema/raw/master/csl-citation.json"}</w:instrText>
      </w:r>
      <w:r>
        <w:fldChar w:fldCharType="separate"/>
      </w:r>
      <w:r w:rsidRPr="00CE0F2E">
        <w:rPr>
          <w:noProof/>
        </w:rPr>
        <w:t>[4]</w:t>
      </w:r>
      <w:r>
        <w:fldChar w:fldCharType="end"/>
      </w:r>
      <w:r>
        <w:t xml:space="preserve">.  </w:t>
      </w:r>
    </w:p>
    <w:p w14:paraId="6F2EEC83" w14:textId="6AD682D1" w:rsidR="00007F6C" w:rsidRPr="00A44363" w:rsidRDefault="00007F6C" w:rsidP="00007F6C">
      <w:pPr>
        <w:jc w:val="both"/>
        <w:rPr>
          <w:rFonts w:cs="Times New Roman"/>
        </w:rPr>
      </w:pPr>
      <w:r w:rsidRPr="004654D6">
        <w:t>Over the past two decades, infiltration has been a key method of electrode manufacture in solid oxide cells (SOCs)</w:t>
      </w:r>
      <w:r>
        <w:fldChar w:fldCharType="begin" w:fldLock="1"/>
      </w:r>
      <w:r>
        <w:instrText>ADDIN CSL_CITATION {"citationItems":[{"id":"ITEM-1","itemData":{"DOI":"10.1002/adma.200802428","ISBN":"0935-9648","abstract":"Improved cathodes we required for low-temperature operation of solid-oxide fuel cells (SOFCs). Recent work has shown that electrode fabrication and modification by Infiltration of active components Into a porous scaffold can result In outstanding I performance. In this paper we review the literature on this new approach for cathode preparation and discuss the insights that this work has provided for understanding the relationships between the materials properties, electrochemical performance, and electrode stability.","author":[{"dropping-particle":"","family":"Vohs","given":"J M","non-dropping-particle":"","parse-names":false,"suffix":""},{"dropping-particle":"","family":"Gorte","given":"R J","non-dropping-particle":"","parse-names":false,"suffix":""}],"container-title":"Advanced Materials","id":"ITEM-1","issue":"9","issued":{"date-parts":[["2009"]]},"language":"English","note":"421pg\nTimes Cited:279\nCited References Count:138","page":"943-956","title":"High-Performance SOFC Cathodes Prepared by Infiltration","type":"article-journal","volume":"21"},"uris":["http://www.mendeley.com/documents/?uuid=c3a2a2ab-5848-4a76-b1f5-22388ceba994"]},{"id":"ITEM-2","itemData":{"DOI":"10.1149/2.056405jes","ISBN":"19385862 (ISSN)","ISSN":"0013-4651","abstract":"A range of Ni-contg. solns., including an aq. soln. contg. the Triton-X surfactant, and aq. or ethanolic solns. contg. urea, have been infiltrated into a sym. tubular half-cell composed of a slip-casted, porous yttria-stabilized zirconia (YSZ) anode support, Ni-YSZ functional layers, a YSZ electrolyte, and a 2nd, outer porous YSZ anode support layer, aiming at the development of high performance anodes.  A combination of surface wettability expts. and optical and electron microscopy imaging was used to det. how well these solns. penetrate the porous YSZ matrix, then correlating these results with the electrochem. performance in humidified H2 environments at 800°.  The addn. of Triton-X-100 surfactant to the infiltration soln. results in excellent penetration of the Ni phase deep into the YSZ matrix, while the use of urea as a Ni complexing agent leaves a Ni-rich layer on the outer anode surface.  Importantly, the use of a 2-step process, involving several vacuum-infiltrations with Ni nitrate solns. contg. Triton-X-100, followed by several infiltrations with urea-contg. solns., leads to the best cell performance as well as the best Ni distribution inside the anode layers. [on SciFinder(R)]","author":[{"dropping-particle":"","family":"Keyvanfar","given":"Parastoo","non-dropping-particle":"","parse-names":false,"suffix":""},{"dropping-particle":"","family":"Birss","given":"Viola","non-dropping-particle":"","parse-names":false,"suffix":""}],"container-title":"Journal of The Electrochemical Society","edition":"1","id":"ITEM-2","issue":"5","issued":{"date-parts":[["2014"]]},"language":"English","note":"Cited By :3\nExport Date: 20 January 2017\nReferences: Sarantaridis, D., Atkins, A., (2007) FUEL CELLS, 7, p. 246; Sholklapper, T.Z., Lu, C., Jacobsona, C.P., Viscoa, S.J., Jonghe De, L.C., (2006) Electrochem Solid-State Lett., 9, pp. A376; Buyukaksoy, A., Petrovsky, V., Dogan, F., (2012) J. Electrochem. Soc., 159, pp. B666; Sholklapper, T.Z., Radmilovic, V., Jacobson, C.P., Visco, S.J., De Jonghe, L.C., (2007) Electrochem Solid-State Lett., 10, pp. B74; Bidrawn, F., Kima, G., Aramrueang, N., Vohs, J.M., Gorte, R.J., (2010) J. Power Sources, 195, p. 720; Yamahara, K., Jacobson, C.P., Visco, S.J., Feng Zhang, X., De Jonghe, L.C., (2005) Solid State Ionics, 176, p. 275; Jung, S.N., Lu, C., He, H., Ahn, K., Gorte, R.J., Vohs, J.M., (2006) J. Power Sources, 154, p. 42; Lee, S., Kima, G., Vohs, J.M., Gorte, R.J., (2008) J. Electrochem. Soc., 155, pp. B1179; Huang, Y., Vohs, J.M., Gorte, R.J., (2006) Electrochem Solid-State Lett., 9, pp. A237; Tucker, M.C., Lau, G.Y., Jacobson, C.P., Dejonghe, L.C., Visco, S.J., (2007) J. Power Sources, 171, p. 477; Klemensø, T., Thydén, K., Chen, M., Wang, H.J., (2010) J. Power Sources, 195, p. 7295; Li, W., Lü, Z., Zhu, X., Guan, B., Wei, B., Guan, C., Su, W., (2011) Electrochimica Acta, 56, p. 2230; Nicholas, J.D., Barnett, S.A., (2010) J. Electrochem. Soc., 157, pp. B536; Hanifi, A.R., Shinbine, A., Etsell, T.H., Sarkar, P., (2012) Int. J. Appl. Ceram. Technol., 9, p. 1011; Kilbride, I.P., (1996) Journal of Power Sources, 61, p. 167; Conga, L., Hea, T., Jia, Y., Guana, P., Huanga, Y., Su, W., (2003) J. Alloys Compd., 348, p. 325; Primdahl, S., Mogensen, M., (1998) J. Electrochem. Soc., 145, p. 2431; Primdahl, S., Mogensen, M., (1999) J. Electrochem. Soc., 146, p. 2827; Jiang, S.P., Badwal, S.P.S., (1999) Solid State Ionics, 123, p. 209; Sonn, V., Leonide, A., Ivers-Tiffée, E., (2008) J. Electrochem. Soc., 155, pp. B675","page":"F660-F667","publisher":"Electrochemical Society Inc.","title":"Optimization of Infiltration Techniques Used to Construct Ni/YSZ Anodes","type":"paper-conference","volume":"161"},"uris":["http://www.mendeley.com/documents/?uuid=ce167f45-7dc6-4612-b9e4-271bc94a97b6"]},{"id":"ITEM-3","itemData":{"DOI":"10.1039/c3ee42926a","ISBN":"1754-5692","ISSN":"17545706","abstract":"Solid oxide fuel cells (SOFCs) have the potential to be one of the cleanest and most efficient energy technologies for direct conversion of chemical fuels to electricity. Economically competitive SOFC systems appear poised for commercialization, but widespread market penetration will require continuous innovation of materials and fabrication processes to enhance system lifetime and reduce cost. One early technical opportunity is minimization of resistance to the oxygen reduction reaction (ORR) at the cathode, which contributes the most to performance degradation and efficiency loss in the existing SOFCs, especially at temperatures &lt;700 °C. Detailed study over the past 15 years has revealed the positive impact of catalyst infiltration on SOFC cathode performance, both in power density and durability metrics. However, realizable performance improvements rely upon strongly-coupled relationships in materials and morphology between the infiltrate and the backbone, and therefore efficacious systems cannot be simply generated with a set of simple heuristics. This article reviews recent progress in enhancing SOFC cathode performance by surface modification through a solution-based infiltration process, focusing on two backbone architectures – inherently functional and skeletal – infiltrated using wet-chemistry processes. An efficient cathode consists of a porous mixed-conducting backbone and an active coating catalyst; the porous backbone provides excellent ionic and electronic conductivity, while the infiltrated surface coating possesses high catalytic activity and stability. As available, performance comparisons are emphasized and reaction schematics for specific infiltrate/backbone systems are summarized. While significant progress has been achieved in enhancing surface catalytic activity and durability, the detailed mechanisms of performance enhancement are insufficiently understood to obtain critical insights and a scientific basis for rational design of more efficient catalysts and novel electrode architectures. Recent progress in characterization of surfaces and interfaces is briefly discussed with challenges and perspectives in surface modification of SOFC electrodes. Surface modification through infiltration is expected to play an increasingly important role in current and next-generation commercial SOFC development, and this review illustrates the sophisticated technical considerations required to inform judicious selection of an infiltrate for a give…","author":[{"dropping-particle":"","family":"Ding","given":"Dong","non-dropping-particle":"","parse-names":false,"suffix":""},{"dropping-particle":"","family":"Li","given":"Xiaxi","non-dropping-particle":"","parse-names":false,"suffix":""},{"dropping-particle":"","family":"Lai","given":"Samson Yuxiu","non-dropping-particle":"","parse-names":false,"suffix":""},{"dropping-particle":"","family":"Gerdes","given":"Kirk","non-dropping-particle":"","parse-names":false,"suffix":""},{"dropping-particle":"","family":"Liu","given":"Meilin","non-dropping-particle":"","parse-names":false,"suffix":""}],"container-title":"Energy and Environmental Science","id":"ITEM-3","issue":"2","issued":{"date-parts":[["2014"]]},"language":"English","note":"Cited By :114\nExport Date: 11 October 2016\nCorrespondence Address: Liu, M.; School of Materials Science and Engineering, Center for Innovative Fuel Cell and Battery Technologies, Georgia Institute of Technology, 771 Ferst Drive NW, Atlanta, GA 30332, United States; email: meilin.liu@mse.gatech.edu\nReferences: Minh, N.Q., (1993) J. Am. Ceram. Soc., 76, pp. 563-588; Steele, B.C.H., Heinzel, A., (2001) Nature, 414, pp. 345-352; Singhal, S.C., (2002) Solid State Ionics, 152, pp. 405-410; Liu, M., Lynch, M.E., Blinn, K., Alamgir, F.M., Choi, Y., (2011) Mater. Today, 14, pp. 534-546; Yang, L., Wang, S.Z., Blinn, K., Liu, M.F., Liu, Z., Cheng, Z., Liu, M.L., (2009) Science, 326, pp. 126-129; Yang, L., Choi, Y., Qin, W., Chen, H., Blinn, K., Liu, M., Liu, P., Liu, M., (2011) Nat. Commun., 2, p. 357; Wachsman, E.D., Lee, K.T., (2011) Science, 334, pp. 935-939; Yamamoto, O., (2000) Electrochim. Acta, 45, pp. 2423-2435; Steele, B.C.H., (2001) J. Mater. Sci., 36, pp. 1053-1068; Fleig, J., (2003) Annu. Rev. Mater. Res., 33, pp. 361-382; Adler, S.B., (2004) Chem. Rev., 104, pp. 4791-4843; Sun, C.W., Hui, R., Roller, J., (2010) J. Solid State Electrochem., 14, pp. 1125-1144; Tsipis, E.V., Kharton, V.V., (2008) J. Solid State Electrochem., 12, pp. 1367-1391; (2004) Fuel Cells Bulletin, 2004 (5), p. 1; Tsipis, E.V., Kharton, V.V., (2008) J. Solid State Electrochem., 12, pp. 1039-1060; Li, Y.H., Gemmen, R., Liu, X.B., (2010) J. Power Sources, 195, pp. 3345-3358; Ostergard, M.J.L., Clausen, C., Bagger, C., Mogensen, M., (1995) Electrochim. Acta, 40, pp. 1971-1981; Kuo, J.H., Anderson, H.U., Sparlin, D.M., (1990) J. Solid State Chem., 87, pp. 55-63; Virkar, A.V., Chen, J., Tanner, C.W., Kim, J.W., (2000) Solid State Ionics, 131, pp. 189-198; Jiang, S.P., (2006) J. Solid State Electrochem., 11, pp. 93-102; Barbucci, A., Carpanese, M.P., Viviani, M., Vatistas, N., Nicolella, C., (2009) J. Appl. Electrochem., 39, pp. 513-521; Tai, L.W., Nasrallah, M.M., Anderson, H.U., Sparlin, D.M., Sehlin, S.R., (1995) Solid State Ionics, 76, pp. 273-283; Tai, L.W., Nasrallah, M.M., Anderson, H.U., Sparlin, D.M., Sehlin, S.R., (1995) Solid State Ionics, 76, pp. 259-271; Murray, E.P., Sever, M.J., Barnett, S.A., (2002) Solid State Ionics, 148, pp. 27-34; Mai, A., Haanappel, V.A.C., Uhlenbruck, S., Tietz, F., Stover, D., (2005) Solid State Ionics, 176, pp. 1341-1350; Waller, D., Lane, J.A., Kilner, J.A., Steele, B.C.H., (1996) Solid State Ionics, 8688, pp. 767-772; Xia, C.R., Rauch, W., Chen, F.L., Liu, M.L., (2002) Solid State Ionics, 149, pp. 11-19; Tu, H.Y., Takeda, Y., Imanishi, N., Yamamoto, O., (1997) Solid State Ionics, 100, pp. 283-288; Xia, C.R., Liu, M.L., (2001) Solid State Ionics, 144, pp. 249-255; Fukunaga, H., Koyama, M., Takahashi, N., Wen, C., Yamada, K., (2000) Solid State Ionics, 132, pp. 279-285; Koyama, M., Wen, C.J., Masuyama, T., Otomo, J., Fukunaga, H., Yamada, K., Eguchi, K., Takahashi, H., (2001) J. Electrochem. Soc., 148, pp. 795-A801; Zhang, X., Robertson, M., Yick, S., Deces-Petit, C., Styles, E., Qu, W., Xie, Y., Ghosh, D., (2006) J. Power Sources, 160, pp. 1211-1216; Shao, Z.P., Haile, S.M., (2004) Nature, 431, pp. 170-173; Zhou, W., Ran, R., Shao, Z.P., (2009) J. Power Sources, 192, pp. 231-246; Baumann, F.S., Fleig, J., Habermeier, H.U., Maier, J., (2006) Solid State Ionics, 177, pp. 3187-3191; Orui, H., Watanabe, K., Chiba, R., Arakawa, M., (2004) J. Electrochem. Soc., 151, pp. 1412-A1417; Komatsu, T., Arai, H., Chiba, R., Nozawa, K., Arakawa, M., Sato, K., (2006) Electrochem. Solid-State Lett., 9, pp. 9-A12; Komatsua, T., Chiba, R., Arai, H., Sato, K., (2008) J. Power Sources, 176, pp. 132-137; Kim, G., Wang, S., Jacobson, A.J., Reimus, L., Brodersen, P., Mims, C.A., (2007) J. Mater. Chem., 17, pp. 2500-2505; Taskin, A.A., Lavrov, A.N., Ando, Y., (2005) Appl. Phys. Lett., 86, p. 091910; Chang, A.M., Skinner, S.J., Kilner, J.A., (2006) Solid State Ionics, 177, pp. 2009-2011; Chen, D.J., Ran, R., Zhang, K., Wang, J., Shao, Z.P., (2009) J. Power Sources, 188, pp. 96-105; Skinner, S.J., Kilner, J.A., (2000) Solid State Ionics, 135, pp. 709-712; Kharton, V.V., Viskup, A.P., Naumovich, E.N., Marques, F.M.B., (1999) J. Mater. Chem., 9, pp. 2623-2629; Wang, Y.S., Nie, H.W., Wang, S.R., Wen, T.L., Guth, U., Valshook, V., (2006) Mater. Lett., 60, pp. 1174-1178; Mauvy, F., Lalanne, C., Bassat, J.M., Grenier, J.C., Zhao, H., Huo, L.H., Stevens, P., (2006) J. Electrochem. Soc., 153, pp. 1547-A1553; Orera, A., Slater, P.R., (2010) Chem. Mater., 22, pp. 675-690; Jacobson, A.J., (2010) Chem. Mater., 22, pp. 660-674; Svarcova, S., Wiik, K., Tolchard, J., Bouwmeester, H.J.M., Grande, T., (2008) Solid State Ionics, 178, pp. 1787-1791; Carter, S., Selcuk, A., Chater, R.J., Kajda, J., Kilner, J.A., Steele, B.C.H., (1992) Solid State Ionics, 53, pp. 597-605; Jiang, S.P., (2003) J. Power Sources, 124, pp. 390-402; Esquirol, A., Brandon, N.P., Kilner, J.A., Mogensen, M., (2004) J. Electrochem. Soc., 151, pp. 1847-A1855; Baumann, F.S., Fleig, J., Habermeier, H.U., Maier, J., (2006) Solid State Ionics, 177, pp. 1071-1081; Simrick, N.J., Bieberle-Hutter, A., Ryll, T.M., Kilner, J.A., Atkinson, A., Rupp, J.L.M., (2012) Solid State Ionics, 206, pp. 7-16; Prestat, M., Infortuna, A., Korrodi, S., Rey-Mermet, S., Muralt, P., Gauckler, L.J., (2007) J. Electroceram., 18, pp. 111-120; Miara, L.J., Basu, S.N., Pal, U.B., Gopalan, S., (2012) J. Electrochem. Soc., 159, pp. 419-F425; Becker, M., Mai, A., Ivers-Tiffee, E., Tietz, F., (2005) Proceedings of the Ninth International Symposium on Solid Oxide Fuel Cells (SOFC IX), 1. , ed. S. C. Singhal and J. Mizusaki, 514-523; Simner, S.P., Anderson, M.D., Engelhard, M.H., Stevenson, J.W., (2006) Electrochem. Solid-State Lett., 9, pp. 478-A481; Kim, J.Y., Sprenkle, V.L., Canfield, N.L., Meinhardt, K.D., Chick, L.A., (2006) J. Electrochem. Soc., 153, pp. 880-A886; Mai, A., Becker, M., Assenmacher, W., Tietz, F., Hathiramani, D., Ivers-Tiffee, E., Stover, D., Mader, W., (2006) Solid State Ionics, 177, pp. 1965-1968; Yokokawa, H., Tu, H.Y., Iwanschitz, B., Mai, A., (2008) J. Power Sources, 182, pp. 400-412; Oh, M.Y., Unemoto, A., Amezawa, K., Kawada, T., (2012) J. Electrochem. Soc., 159, pp. 659-F664; Steele, B.C.H., Hori, K.M., Uchino, S., (2000) Solid State Ionics, 135, pp. 445-450; Juhl, M., Primdahl, S., Manon, C., Mogensen, M., (1996) J. Power Sources, 61, pp. 173-181; Murray, E.P., Tsai, T., Barnett, S.A., (1998) Solid State Ionics, 110, pp. 235-243; Jorgensen, M.J., Mogensen, M., (2001) J. Electrochem. Soc., 148, pp. 433-A442; Mogensen, M., Skaarup, S., (1996) Solid State Ionics, 8688, pp. 1151-1160; Watanabe, M., Uchida, H., Shibata, M., Mochizuki, N., Amikura, K., (1994) J. Electrochem. Soc., 141, pp. 342-346; Saeki, M.J., Uchida, H., Watanabe, M., (1994) Catal. Lett., 26, pp. 149-157; Jiang, S.P., (2006) Mater. Sci. Eng., A, 418, pp. 199-210; Jiang, Z., Xia, C., Chen, F., (2010) Electrochim. Acta, 55, pp. 3595-3605; Sholklapper, T.Z., Jacobson, C.P., Visco, S.J., De Jonghe, L.C., (2008) Fuel Cells, 8, pp. 303-312; Vohs, J.M., Gorte, R.J., (2009) Adv. Mater., 21, pp. 943-956; Jiang, S.P., (2012) Int. J. Hydrogen Energy, 37, pp. 449-470; Liu, Z.B., Liu, B.B., Ding, D., Liu, M.F., Chen, F.L., Xia, C.R., (2013) J. Power Sources, 237, pp. 243-259; Lee, S., Miller, N., Gerdes, K., Manivannan, A., (2011) 12th Annual SECA Workshop, , July 26-28; Wang, W.S., Gross, M.D., Vohs, J.M., Gorte, R.J., (2007) J. Electrochem. Soc., 154, pp. 439-B445; Backhaus-Ricoult, M., (2006) Solid State Ionics, 177, pp. 2195-2200; Backhaus-Ricoult, M., Adib, K., Clair, T.S., Luerssen, B., Gregoratti, L., Barinov, A., (2008) Solid State Ionics, 179, pp. 891-895; Kiebach, R., Knofel, C., Bozza, F., Klemenso, T., Chatzichristodoulou, C., (2013) J. Power Sources, 228, pp. 170-177; Ding, D., Liu, M., Liu, M., (2013) ECS Trans., 57, pp. 1801-1810; Knofel, C., Wang, H.J., Thyden, K.T.S., Mogensen, M., (2011) Solid State Ionics, 195, pp. 36-42; Lynch, M.E., Yang, L., Qin, W., Choi, J.-J., Liu, M., Blinn, K., Liu, M., (2011) Energy Environ. Sci., 4, pp. 2249-2258; Van Dillen, A.J., Terorde, R., Lensveld, D.J., Geus, J.W., De Jong, K.P., (2003) J. Catal., 216, pp. 257-264; Jiang, P.P., Zhang, S.H., Guo, Y.L., Guo, Y., Wang, X.Y., Lu, G.Z., (2004) J. Inorg. Mater., 19, pp. 634-640; Galarraga, C., Peluso, E., De Lasa, H., (2001) Chem. Eng. J., 82, pp. 13-20; Agrafiotis, C., Tsetsekou, A., (2002) J. Eur. Ceram. Soc., 22, pp. 423-434; Lekhal, A., Glasser, B.J., Khinast, J.G., (2001) Chem. Eng. Sci., 56, pp. 4473-4487; Gardezi, S.A., Landrigan, L., Joseph, B., Wolan, J.T., (2012) Ind. Eng. Chem. Res., 51, pp. 1703-1712; Sholklapper, T.Z., Lu, C., Jacobson, C.P., Visco, S.J., De Jonghe, L.C., (2006) Electrochem. Solid-State Lett., 9, pp. 376-A378; Sholklapper, T.Z., Kurokawa, H., Jacobson, C.P., Visco, S.J., De Jonghe, L.C., (2007) Nano Lett., 7, pp. 2136-2141; Bourikas, K., Kordulis, C., Lycourghiotis, A., (2006) Catal. Rev.: Sci. Eng., 48, pp. 363-444; Hao, X., Quach, L., Korah, J., Spieker, W.A., Regalbuto, J.R., (2004) J. Mol. Catal. A: Chem., 219, pp. 97-107; Lekhal, A., Glasser, B.J., Khinast, J.G., (2004) Chem. Eng. Sci., 59, pp. 1063-1077; Lee, S., Miller, N., Abernathy, H., Gerdes, K., Manivannan, A., (2011) J. Electrochem. Soc., 158, pp. 735-B742; Lee, S., Miller, N., Staruch, M., Gerdes, K., Jain, M., Manivannan, A., (2011) Electrochim. Acta, 56, pp. 9904-9909; Hansen, K.K., Wandel, M., Liu, Y.L., Mogensen, M., (2010) Electrochim. Acta, 55, pp. 4606-4609; Xu, N.S., Li, X., Zhao, X., Zhao, H.L., Huang, K., (2012) Electrochem. Solid-State Lett., 15, pp. 1-B4; Serra, J.M., Buchkremer, H.P., (2007) J. Power Sources, 172, pp. 768-774; Choi, J.-J., Qin, W., Liu, M., Liu, M., (2011) J. Am. Ceram. Soc., 94, pp. 3340-3345; Lou, X.Y., Liu, Z., Wang, S.Z., Xiu, Y.H., Wong, C.P., Liu, M.L., (2010) J. Power Sources, 195, pp. 419-424; Tucker, D., Manivannan, A., Haynes, D., Abernathy, H., Miller, N., Wynne, K., Matos, A., Evaluating Methods for Infiltration of LSCF Cathodes with Mixed Electric/Ionic Conductors for Improved Oxygen Exchange (2010) Proceedings of the Asme 8th International Conference on Fuel Cell Science, Engineering, and Technology, 1. , Brooklyn, 305-309; Chen, H.Y., Yu, H.C., Cronin, J.S., Wilson, J.R., Barnett, S.A., Thornton, K., (2011) J. Power Sources, 196, pp. 1333-1337; Zhang, Y.X., Xia, C.R., Ni, M., (2012) Int. J. Hydrogen Energy, 37, pp. 3392-3402; Ding, D., Liu, M., Lai, S.Y., Blinn, K., Liu, M., Theory, Investigation and Stability of Cathode Electrocatalytic Activity, , http://www.osti.gov/scitech/servlets/purl/1084035, Department of Energy (DoE), US Project Report; Zhang, Y.X., Sun, Q., Xia, C.R., Ni, M., (2013) J. Electrochem. Soc., 160, pp. 278-F289; Gandavarapu, S.R., Sabolsky, K., Gerdes, K., Sabolsky, E.M., (2013) Mater. Lett., 95, pp. 131-134; Tamm, K., Kuengas, R., Gorte, R.J., Lust, E., (2013) Electrochim. Acta, 106, pp. 398-405; Yamahara, K., Jacobson, C.P., Visco, S.J., De Jonghe, L.C., (2005) Solid State Ionics, 176, pp. 451-456; Ding, D., Zhu, W., Gao, J.F., Xia, C.R., (2008) J. Power Sources, 179, pp. 177-185; Wachsman, E., (2008) 9th Annual SECA Workshop, , August 5-7; Othman, M.H.D., Droushiotis, N., Wu, Z.T., Kelsall, G., Li, K., (2011) Adv. Mater., 23, p. 2480; Chen, Y., Liu, Q., Yang, Z., Chen, F., Han, M., (2012) RSC Adv., 2, pp. 12118-12121; Sase, M., Ueno, D., Yashiro, K., Kaimai, A., Kawada, T., Mizusaki, J., (2005) J. Phys. Chem. Solids, 66, pp. 343-348; Liu, Y.H., Chi, B., Pu, J., Li, J., (2012) Int. J. Hydrogen Energy, 37, pp. 4388-4393; Shah, M., Voorhees, P.W., Barnett, S.A., (2011) Solid State Ionics, 187, pp. 64-67; Steele, B.C.H., Middleton, P.H., Rudkin, R.A., (1990) Solid State Ionics, 4041, pp. 388-393; Trovarelli, A., (1996) Catal. Rev., 38, pp. 439-520; Martin, D., Duprez, D., (1996) J. Phys. Chem., 100, pp. 9429-9438; Steele, B.C.H., (2000) Solid State Ionics, 134, pp. 3-20; Li, Y.H., Gerdes, K., Liu, X.B., (2013) J. Electrochem. Soc., 160, pp. 554-F559; Nie, L.F., Liu, M.F., Zhang, Y.J., Liu, M.L., (2010) J. Power Sources, 195, pp. 4704-4708; Liu, X., Han, D., Wu, H., Meng, X., Zeng, F., Zhan, Z., (2013) Int. J. Hydrogen Energy, 38, pp. 16563-16568; Jiang, S.P., Wang, W., (2005) J. Electrochem. Soc., 152, pp. 1398-A1408; Xu, X.Y., Jiang, Z.Y., Fan, X., Xia, C.R., (2006) Solid State Ionics, 177, pp. 2113-2117; Zhi, M.J., Lee, S., Miller, N., Menzler, N.H., Wu, N.Q., (2012) Energy Environ. Sci., 5, pp. 7066-7071; Liu, M.F., Ding, D., Blinn, K., Li, X.X., Nie, L.F., Liu, M., (2012) Int. J. Hydrogen Energy, 37, pp. 8613-8620; Zhu, W., Ding, D., Xia, C., (2008) Electrochem. Solid-State Lett., 11, pp. 83-B86; Zhang, Y.X., Xia, C.R., (2010) J. Power Sources, 195, pp. 4206-4212; Leng, Y.J., Chan, S.H., Khor, K.A., Jiang, S.P., (2006) J. Solid State Electrochem., 10, pp. 339-347; Jiang, S.P., Leng, Y.J., Chan, S.H., Khor, K.A., (2003) Electrochem. Solid-State Lett., 6, pp. 67-A70; Jiang, S.P., Wang, W., (2005) Solid State Ionics, 176, pp. 1351-1357; Zhen, Y.D., Jiang, S.P., (2006) J. Electrochem. Soc., 153, pp. 2245-A2254; Zhang, L., Zhao, F., Peng, R.R., Xia, C.R., (2008) Solid State Ionics, 179, pp. 1553-1556; Tian, R.F., Fan, J., Liu, Y., Xia, C.R., (2008) J. Power Sources, 185, pp. 1247-1251; Yoon, S.P., Han, J., Nam, S.W., Lim, T.H., Oh, I.H., Hong, S.A., Yoo, Y.S., Lim, H.C., (2002) J. Power Sources, 106, pp. 160-166; Ding, D., Gong, M.Y., Xu, C.C., Baxter, N., Li, Y.H., Zondlo, J., Gerdes, K., Liu, X.B., (2011) J. Power Sources, 196, pp. 2551-2557; Chen, K.F., Lu, Z., Ai, N., Huang, X.Q., Zhang, Y.H., Xin, X.S., Zhu, R.B., Su, W.H., (2006) J. Power Sources, 160, pp. 436-438; Chen, K.F., Lu, Z., Chen, X.J., Ai, N., Huang, X.Q., Du, X.B., Su, W.H., (2007) J. Power Sources, 172, pp. 742-748; Chen, K.F., Lu, Z., Ai, N., Chen, X.J., Hu, J.Y., Huang, X.Q., Su, W.H., (2007) J. Power Sources, 167, pp. 84-89; Wei, B., Lu, Z., Huang, X.Q., Liu, M.L., Chen, K.F., Su, W.H., (2007) J. Power Sources, 167, pp. 58-63; Klemenso, T., Chatzichristodoulou, C., Nielsen, J., Bozza, F., Thyden, K., Kiebach, R., Ramousse, S., (2012) Solid State Ionics, 224, pp. 21-31; Hojberg, J., Sogaard, M., (2011) Electrochem. Solid-State Lett., 14, pp. 77-B79; Ren, Y.Y., Ma, J.T., Ai, D.S., Zan, Q.F., Lin, X.P., Deng, C.S., (2012) J. Mater. Chem., 22, pp. 25042-25049; Imanishi, N., Ohno, R., Murata, K., Hirano, A., Takeda, Y., Yamamoto, O., Yamahara, K., (2009) Fuel Cells, 9, pp. 215-221; Goodenough, J.B., (2003) Annu. Rev. Mater. Res., 33, pp. 91-128; Jiang, Z.Y., Zhang, L., Feng, K., Xia, C.R., (2008) J. Power Sources, 185, pp. 40-48; Jiang, Z.Y., Zhang, L., Cai, L.L., Xia, C.R., (2009) Electrochim. Acta, 54, pp. 3059-3065; Zhang, Q.S., Hirano, A., Imanishi, N., Takeda, Y., Yamahara, K., (2009) J. Fuel Cell Sci. Technol., 6, p. 011001; Yoshikawa, T., Shinde, N., Murata, K., Hirano, A., Takeda, Y., Yamamoto, O., Yamahara, K., (2010) J. Fuel Cell Sci. Technol., 7, p. 061004; Liu, R.Z., Cai, G.Q., Li, J.L., Zhao, C.H., Wang, S.R., Wen, T.L., Wen, Z.Y., (2010) J. Solid State Electrochem., 14, pp. 1923-1928; Azad, A.M., Larose, S., Akbar, S.A., (1994) J. Mater. Sci., 29, pp. 4135-4151; Mitterdorfer, A., Gauckler, L.J., (1998) Solid State Ionics, 111, pp. 185-218; Sholklapper, T.Z., Kurokawa, H., Jacobson, C.P., Visco, S.J., De Jonghe, L.C., (2007) Solid Oxide Fuel Cells 10, 7. , ed. K. Eguchi, S. C. Singhai, H. Yokokawa and H. Mizusaki, Electrochemical Society Inc, Pennington, 837-843; Lu, C., Sholklapper, T.Z., Jacobson, C.P., Visco, S.J., De Jonghe, L.C., (2006) J. Electrochem. Soc., 153, pp. 1115-A1119; Liu, Z.B., Ding, D., Liu, M.F., Li, X.X., Sun, W.P., Xia, C.R., Liu, M.L., (2013) J. Power Sources, 229, pp. 277-284; Lou, X.Y., Wang, S.Z., Liu, Z., Yang, L., Liu, M.L., (2009) Solid State Ionics, 180, pp. 1285-1289; Lee, S., Miller, N., Abernathy, H., Gerdes, K., Manivannan, A., (2011) J. Electrochem. Soc., 158, pp. 735-B742; Lee, S., Miller, N., Gerdes, K., (2012) J. Electrochem. Soc., 159, pp. 301-F308; Chao, R., Kitchin, J.R., Gerdes, K., Sabolsky, E.M., Salvador, P.A., (2011) ECS Trans., 35, pp. 2387-2399; Chao, R., (2012), PhD dissertation, Carnegie Mellon University, Materials Science and EngineeringChiba, R., Yoshimura, F., Sakurai, Y., Tabata, Y., Arakawa, M., (2004) Solid State Ionics, 175, pp. 23-27; Cheng, C.S., Zhang, L., Zhang, Y.J., Jiang, S.P., (2008) Solid State Ionics, 179, pp. 282-289; Zhang, Q.S., Hirano, A., Matsumura, T., Imanishi, N., Takeda, Y., Yamahara, K., (2009) J. Fuel Cell Sci. Technol., 6, p. 011010; Ai, N., Jiang, S.P., Lu, Z., Chen, K.F., Su, W.H., (2010) J. Electrochem. Soc., 157, pp. 1033-B1039; Uchida, H., Arisaka, S., Watanabe, M., (2000) Solid State Ionics, 135, pp. 347-351; Uchida, H., Arisaka, S., Watanabe, M., (2002) J. Electrochem. Soc., 149, pp. 13-A18; Simner, S.P., Bonnett, J.R., Canfield, N.L., Meinhardt, K.D., Shelton, J.P., Sprenkle, V.L., Stevenson, J.W., (2003) J. Power Sources, 113, pp. 1-10; Liang, F.L., Chen, J., Jiang, S.P., Chi, B., Pu, J., Jian, L., (2008) Electrochem. Solid-State Lett., 11, pp. 213-B216; Haanappel, V.A.C., Rutenbeck, D., Mai, A., Uhlenbruck, S., Sebold, D., Wesemeyer, H., Rowekamp, B., Tietz, F., (2004) J. Power Sources, 130, pp. 119-128; Sahibzada, M., Benson, S.J., Rudkin, R.A., Kilner, J.A., (1998) Solid State Ionics, 115, pp. 285-290; Chen, J., Liang, F.L., Chi, B., Pu, J., Jiang, S.P., Jian, L., (2009) J. Power Sources, 194, pp. 275-280; Babaei, A., Zhang, L., Liu, E.J., Jiang, S.P., (2011) J. Alloys Compd., 509, pp. 4781-4787; Zhang, R., Alamdari, H., Kallaguine, S., (2006) J. Catal., 242, pp. 241-253; Zhang, R.D., Villanueva, A., Alamdari, H., Kaliaguine, S., (2006) J. Catal., 237, pp. 368-380; Li, J., Singh, U.G., Bennett, J.W., Page, K., Weaver, J.C., Zhang, J.-P., Proffen, T., Seshadri, R., (2007) Chem. Mater., 19, pp. 1418-1426; Wang, S.R., Kato, T., Nagata, S., Honda, T., Kaneko, T., Iwashita, N., Dokiya, M., (2002) Solid State Ionics, 146, pp. 203-210; Liu, Y., Mori, M., Funahashi, Y., Fujishiro, Y., Hirano, A., (2007) Electrochem. Commun., 9, pp. 1918-1923; Sakito, Y., Hirano, A., Imanishi, N., Takeda, Y., Yamamoto, O., Liu, Y., (2008) J. Power Sources, 182, pp. 476-481; Mori, M., Liu, Y., Itoh, T., (2009) J. Electrochem. Soc., 156, pp. 1182-B1187; Lee, K.T., Manthiram, A., (2006) J. Power Sources, 160, pp. 903-908; Yamahara, K., Jacobson, C.P., Visco, S.J., Zhang, X.F., De Jonghe, L.C., (2005) Solid State Ionics, 176, pp. 275-279; Huang, Y.Y., Vohs, J.M., Gorte, R.J., (2006) J. Electrochem. Soc., 153, pp. 951-A955; Mogensen, M., Søgaard, M., Blennow, P., Hansen, K.K., (2008) 8th European SOFC Forum Lucerne, , Switzerland, Lucerne Fuel Cell Forum, paper A0402; La, O.G.J., Ahn, S.J., Crumlin, E., Orikasa, Y., Biegalski, M.D., Christen, H.M., Shao-Horn, Y., (2010) Angew. Chem., Int. Ed., 49, pp. 5344-5347; Crumlin, E.J., Mutoro, E., Ahn, S.-J., La, O.G.J., Leonard, D.N., Borisevich, A., Biegalski, M.D., Shao-Horn, Y., (2010) J. Phys. Chem. Lett., 1, pp. 3149-3155; Morgan, D., Lee, Y.L., Adler, S.B., McDonald, T.J., Shao-Horn, Y., Lee, D.K., (2013) 14th Annual SECA Workshop, , July 23-24; Van Der Heide, P.A.W., (2002) Surf. Interface Anal., 33, pp. 414-425; Hardy, J.S., Templeton, J.W., Edwards, D.J., Lu, Z.G., Stevenson, J.W., (2012) J. Power Sources, 198, pp. 76-82; Ding, D., Liu, M., Liu, Z., Li, X., Blinn, K., Zhu, X., Liu, M., (2013) Adv. Energy Mater., 3, pp. 1149-1154; Choi, Y.M., Lin, M.C., Liu, M.L., (2010) J. Power Sources, 195, pp. 1441-1445; Ding, H.P., Virkar, A.V., Liu, M.L., Liu, F., (2013) Phys. Chem. Chem. Phys., 15, pp. 489-496; Ishihara, T., Kudo, T., Matsuda, H., Takita, Y., (1995) J. Electrochem. Soc., 142, pp. 1519-1524; Kostogloudis, G.C., Fertis, P., Ftikos, C., (1999) Solid State Ionics, 118, pp. 241-249; Wen, T.L., Tu, H., Xu, Z., Yamamoto, O., (1999) Solid State Ionics, 121, pp. 25-30; Rossignol, C., Ralph, J.M., Bae, J.M., Vaughey, J.T., (2004) Solid State Ionics, 175, pp. 59-61; Xu, Q., Huang, D.P., Chen, W., Zhang, F., Wang, B.T., (2007) J. Alloys Compd., 429, pp. 34-39; Chen, W.X., Wen, T.L., Nie, H.W., Zheng, R., (2003) Mater. Res. Bull., 38, pp. 1319-1328; Bai, Y., Liu, M., Ding, D., Blinn, K., Qin, W., Liu, J., Liu, M., (2012) J. Power Sources, 205, pp. 80-85; Haider, M.A., McIntosh, S., (2009) J. Electrochem. Soc., 156, pp. 1369-B1375; He, H.P., Huang, Y.Y., Regal, J., Boaro, M., Vohs, J.M., Gorte, R.J., (2004) J. Am. Ceram. Soc., 87, pp. 331-336; Huang, Y.Y., Vohs, J.M., Gorte, R.J., (2005) J. Electrochem. Soc., 152, pp. 1347-A1353; Sholklapper, T.Z., Radmilovic, V., Jacobson, C.P., Visco, S.J., De Jonghe, L.C., (2007) Electrochem. Solid-State Lett., 10, pp. 74-B76; Huang, Y.Y., Ahn, K., Vohs, J.M., Gorte, R.J., (2004) J. Electrochem. Soc., 151, pp. 1592-A1597; Shah, M., Barnett, S.A., (2008) Solid State Ionics, 179, pp. 2059-2064; Kim, J.H., Kim, H., (2012) Ceram. Int., 38, pp. 4669-4675; Zhao, F., Wang, Z.Y., Liu, M.F., Zhang, L., Xia, C.R., Chen, F.L., (2008) J. Power Sources, 185, pp. 13-18; Zhang, H., Zhao, F., Chen, F., Xia, C., (2011) Solid State Ionics, 192, pp. 591-594; Huang, Y.Y., Vohs, J.M., Gorte, R.J., (2004) J. Electrochem. Soc., 151, pp. 646-A651; Zhao, L., Ye, X.F., Zhan, Z.L., (2011) J. Power Sources, 196, pp. 6201-6204; Kungas, R., Yu, A.S., Levine, J., Vohs, J.M., Gorte, R.J., (2013) J. Electrochem. Soc., 160, pp. 205-F211; Lee, S., Bevilacqua, M., Fornasiero, P., Vohs, J.M., Gorte, R.J., (2009) J. Power Sources, 193, pp. 747-753; Wang, Y., Zhang, H., Chen, F., Xia, C., (2012) J. Power Sources, 203, pp. 34-41; Bidrawn, F., Vohs, J.M., Gorte, R.J., (2010) J. Electrochem. Soc., 157, pp. 1629-B1633; Shimada, H., Takizawa, K., Michibata, H., Hagiwara, A., (2007) Solid Oxide Fuel Cells 10, 7. , ed. K. Eguchi, S. C. Singhai, H. Yokokawa and H. Mizusaki, Electrochemical Society Inc, Penningt","page":"552-575","publisher":"Royal Society of Chemistry","title":"Enhancing SOFC cathode performance by surface modification through infiltration","type":"article-journal","volume":"7"},"uris":["http://www.mendeley.com/documents/?uuid=2d99c055-224c-40fa-bd32-31ac14ae5690"]},{"id":"ITEM-4","itemData":{"DOI":"10.1016/j.msea.2005.11.052","ISBN":"0921-5093","ISSN":"09215093","abstract":"Development of solid oxide fuel cells (SOFC) for operation at intermediate temperatures of 600-800 °C with hydrocarbon fuels requires a cathode and anode with high electrocatalytic activity for O2 reduction and direct oxidation of hydrocarbon fuels, respectively. Wet impregnation is a well known method in the development of heterogeneous catalysts. Surprisingly, very few have concentrated on the application of the wet impregnation technique to deposit nano-sized particles into the established electrode structure of the SOFC. This paper reviews and discusses the progress in the application of the wet impregnation technique in the development of Ni-free Cu-based composite anodes, doped CeO2-impregnated (La, Sr)MnO3 (LSM) cathodes and Ni anodes, Co3O4-infiltrated cathodes and precious metal-impregnated electrodes. Enhancement in the electrode microstructure and cell performance is substantial, showing the great potential of the wet impregnation method in the development of high performance and nano-structured electrodes with specific functions. However, the long-term stability of the impregnated electrode structure needs to be addressed. © 2005 Elsevier B.V. All rights reserved.","author":[{"dropping-particle":"","family":"Jiang","given":"San Ping","non-dropping-particle":"","parse-names":false,"suffix":""}],"container-title":"Materials Science and Engineering A","id":"ITEM-4","issue":"1-2","issued":{"date-parts":[["2006"]]},"page":"199-210","title":"A review of wet impregnation - An alternative method for the fabrication of high performance and nano-structured electrodes of solid oxide fuel cells","type":"article-journal","volume":"418"},"uris":["http://www.mendeley.com/documents/?uuid=1b62ce8c-e32a-4d57-8934-697b6b8042b0"]}],"mendeley":{"formattedCitation":"[5]–[8]","plainTextFormattedCitation":"[5]–[8]","previouslyFormattedCitation":"[5]–[8]"},"properties":{"noteIndex":0},"schema":"https://github.com/citation-style-language/schema/raw/master/csl-citation.json"}</w:instrText>
      </w:r>
      <w:r>
        <w:fldChar w:fldCharType="separate"/>
      </w:r>
      <w:r w:rsidRPr="00D17D71">
        <w:rPr>
          <w:noProof/>
        </w:rPr>
        <w:t>[5]–[8]</w:t>
      </w:r>
      <w:r>
        <w:fldChar w:fldCharType="end"/>
      </w:r>
      <w:r w:rsidRPr="004654D6">
        <w:t>. By decorating the surface of a ceramic electrode backbone with nano-scale catalysts the active area of SOFCs are known to increase</w:t>
      </w:r>
      <w:r>
        <w:t xml:space="preserve"> </w:t>
      </w:r>
      <w:r>
        <w:fldChar w:fldCharType="begin" w:fldLock="1"/>
      </w:r>
      <w:r>
        <w:instrText>ADDIN CSL_CITATION {"citationItems":[{"id":"ITEM-1","itemData":{"ISBN":"978-3-905592-21-4","abstract":"A comprehensive review of degradation and lifetime for solid oxide cells and stacks hasbeen conducted. Based on more than 50 parameters from 150 publications and 1 000 000hours of accumulated testing, this paper presents a quantitative analysis of the currentinternational status of degradation and lifetime in the field. The data is used to visualizespecific trends regarding choice of materials, operating conditions and degradation rates.The average degradation rate reported is decreasing and is quickly approaching officialtargets. The database is published online for open-access and a continued updating by thecommunity is encouraged. Furthermore, the commonly reported test parameters anddegradation indicators are discussed. The difficulty in standardizing testing due tovariations in cell and stack design, materials and intended purpose of the system isacknowledged. A standardization of reporting of long-term single-cell- and stack-tests isproposed. ","author":[{"dropping-particle":"","family":"Skafte","given":"Theis L","non-dropping-particle":"","parse-names":false,"suffix":""},{"dropping-particle":"","family":"Hjelm","given":"Johan","non-dropping-particle":"","parse-names":false,"suffix":""},{"dropping-particle":"","family":"Blennow","given":"Peter","non-dropping-particle":"","parse-names":false,"suffix":""},{"dropping-particle":"","family":"Graves","given":"Christopher","non-dropping-particle":"","parse-names":false,"suffix":""}],"container-title":"EFCF 2016 proceedings","id":"ITEM-1","issued":{"date-parts":[["2016"]]},"page":"B0501","publisher":"European Fuel Cell Forum","publisher-place":"Lucerne, Switzerland","title":"Quantitative review of degradation and lifetime of solid oxide cells and stacks","type":"paper-conference"},"uris":["http://www.mendeley.com/documents/?uuid=1bd32b9a-7bab-46ee-8a2d-50098282d6d6"]},{"id":"ITEM-2","itemData":{"DOI":"10.1016/j.jpowsour.2014.05.038","ISSN":"03787753","abstract":"This paper, for the first time, demonstrates the three-dimensional imaging of nano-particle infiltrated Ni-GDC (gadolinia-doped ceria) electrodes using focused ion beam tomography. Microstructural parameters of the actual electrode microstructure are quantified, such as volume fraction, TPB density and mean particle/pore sizes. These microstructural parameters reveal that the infiltrated electrodes have eight times larger TPB density than conventional electrodes fabricated by powder mixing and sintering methods. Comparison between the infiltrated electrodes and conventional electrodes indicates that the infiltrated electrodes have a greater potential to independently control metal particle size, porosity and TPB density, which is a significant advantage in developing design optimized electrode microstructures. © 2014 Elsevier B.V. All rights reserved.","author":[{"dropping-particle":"","family":"Kishimoto","given":"Masashi","non-dropping-particle":"","parse-names":false,"suffix":""},{"dropping-particle":"","family":"Lomberg","given":"Marina","non-dropping-particle":"","parse-names":false,"suffix":""},{"dropping-particle":"","family":"Ruiz-Trejo","given":"Enrique","non-dropping-particle":"","parse-names":false,"suffix":""},{"dropping-particle":"","family":"Brandon","given":"Nigel P.","non-dropping-particle":"","parse-names":false,"suffix":""}],"container-title":"Journal of Power Sources","id":"ITEM-2","issued":{"date-parts":[["2014"]]},"page":"291-295","publisher":"Elsevier B.V","title":"Enhanced triple-phase boundary density in infiltrated electrodes for solid oxide fuel cells demonstrated by high-resolution tomography","type":"article-journal","volume":"266"},"uris":["http://www.mendeley.com/documents/?uuid=8ff9f2cf-2b59-419d-b8bd-a523a169089b"]}],"mendeley":{"formattedCitation":"[9], [10]","plainTextFormattedCitation":"[9], [10]","previouslyFormattedCitation":"[9], [10]"},"properties":{"noteIndex":0},"schema":"https://github.com/citation-style-language/schema/raw/master/csl-citation.json"}</w:instrText>
      </w:r>
      <w:r>
        <w:fldChar w:fldCharType="separate"/>
      </w:r>
      <w:r w:rsidRPr="00D17D71">
        <w:rPr>
          <w:noProof/>
        </w:rPr>
        <w:t>[9], [10]</w:t>
      </w:r>
      <w:r>
        <w:fldChar w:fldCharType="end"/>
      </w:r>
      <w:r w:rsidRPr="004654D6">
        <w:t xml:space="preserve">. </w:t>
      </w:r>
      <w:r>
        <w:t>Despite high initial power densities these</w:t>
      </w:r>
      <w:r w:rsidRPr="004654D6">
        <w:t xml:space="preserve"> c</w:t>
      </w:r>
      <w:r>
        <w:t>ermet</w:t>
      </w:r>
      <w:r w:rsidRPr="004654D6">
        <w:t xml:space="preserve"> structures are susceptible to degradation during </w:t>
      </w:r>
      <w:r>
        <w:t xml:space="preserve">the high temperature </w:t>
      </w:r>
      <w:r w:rsidRPr="004654D6">
        <w:t xml:space="preserve">operation </w:t>
      </w:r>
      <w:r>
        <w:t>synonymous with SOFC use</w:t>
      </w:r>
      <w:r w:rsidR="00A44934">
        <w:t xml:space="preserve"> (</w:t>
      </w:r>
      <w:r>
        <w:t>800</w:t>
      </w:r>
      <w:r w:rsidRPr="004654D6">
        <w:t>-</w:t>
      </w:r>
      <w:r>
        <w:t>10</w:t>
      </w:r>
      <w:r w:rsidRPr="004654D6">
        <w:t>00</w:t>
      </w:r>
      <w:r w:rsidR="00083B9B">
        <w:t xml:space="preserve"> </w:t>
      </w:r>
      <w:r w:rsidRPr="004654D6">
        <w:t>°C</w:t>
      </w:r>
      <w:r>
        <w:t>)</w:t>
      </w:r>
      <w:r w:rsidRPr="004654D6">
        <w:t>.</w:t>
      </w:r>
      <w:r>
        <w:t xml:space="preserve"> These temperatures facilitate rapid reaction kinetics and oxide ion conduction in the YSZ phase.</w:t>
      </w:r>
      <w:r w:rsidRPr="004654D6">
        <w:t xml:space="preserve"> </w:t>
      </w:r>
      <w:r>
        <w:t xml:space="preserve">Under these conditions decorated nickel nanoparticles sinter in a bid to reduce their surface energy, transitioning to a lower energy state </w:t>
      </w:r>
      <w:r w:rsidRPr="004654D6">
        <w:rPr>
          <w:rFonts w:cs="Times New Roman"/>
        </w:rPr>
        <w:t>and as a result diminish</w:t>
      </w:r>
      <w:r>
        <w:rPr>
          <w:rFonts w:cs="Times New Roman"/>
        </w:rPr>
        <w:t xml:space="preserve"> </w:t>
      </w:r>
      <w:r w:rsidRPr="004654D6">
        <w:rPr>
          <w:rFonts w:cs="Times New Roman"/>
        </w:rPr>
        <w:t>their high active area.</w:t>
      </w:r>
    </w:p>
    <w:p w14:paraId="7634419E" w14:textId="77777777" w:rsidR="00007F6C" w:rsidRDefault="00007F6C" w:rsidP="00007F6C">
      <w:pPr>
        <w:jc w:val="both"/>
        <w:rPr>
          <w:rFonts w:cs="Times New Roman"/>
        </w:rPr>
      </w:pPr>
      <w:r w:rsidRPr="004654D6">
        <w:rPr>
          <w:rFonts w:cs="Times New Roman"/>
        </w:rPr>
        <w:t>For SOFCs to be cost effective</w:t>
      </w:r>
      <w:r>
        <w:rPr>
          <w:rFonts w:cs="Times New Roman"/>
        </w:rPr>
        <w:t>,</w:t>
      </w:r>
      <w:r w:rsidRPr="004654D6">
        <w:rPr>
          <w:rFonts w:cs="Times New Roman"/>
        </w:rPr>
        <w:t xml:space="preserve"> maintaining the high-power densities associated with infiltrated electrodes is vital. This thesis explores the impact of m</w:t>
      </w:r>
      <w:r>
        <w:rPr>
          <w:rFonts w:cs="Times New Roman"/>
        </w:rPr>
        <w:t>odifying infiltration and drying methods to</w:t>
      </w:r>
      <w:r w:rsidRPr="004654D6">
        <w:rPr>
          <w:rFonts w:cs="Times New Roman"/>
        </w:rPr>
        <w:t xml:space="preserve"> combat nanoparticle sintering.</w:t>
      </w:r>
    </w:p>
    <w:p w14:paraId="4DC6371E" w14:textId="77777777" w:rsidR="00007F6C" w:rsidRPr="004654D6" w:rsidRDefault="00007F6C" w:rsidP="00007F6C">
      <w:pPr>
        <w:pStyle w:val="Heading2"/>
      </w:pPr>
      <w:bookmarkStart w:id="6" w:name="_Toc69129348"/>
      <w:r w:rsidRPr="004654D6">
        <w:t xml:space="preserve">1.1 </w:t>
      </w:r>
      <w:r w:rsidRPr="004654D6">
        <w:tab/>
        <w:t>Historical Background and development of Fuel Cells</w:t>
      </w:r>
      <w:bookmarkEnd w:id="6"/>
    </w:p>
    <w:p w14:paraId="483D6951" w14:textId="77777777" w:rsidR="00007F6C" w:rsidRDefault="00007F6C" w:rsidP="00007F6C">
      <w:pPr>
        <w:jc w:val="both"/>
        <w:rPr>
          <w:rFonts w:cs="Times New Roman"/>
        </w:rPr>
      </w:pPr>
      <w:r w:rsidRPr="004654D6">
        <w:t xml:space="preserve">The first fuel cell reaction was </w:t>
      </w:r>
      <w:r>
        <w:t>performed</w:t>
      </w:r>
      <w:r w:rsidRPr="004654D6">
        <w:t xml:space="preserve"> </w:t>
      </w:r>
      <w:r w:rsidRPr="00444CDB">
        <w:t>by Sir Humphrey Davy</w:t>
      </w:r>
      <w:r w:rsidRPr="004654D6">
        <w:t xml:space="preserve"> in 1802</w:t>
      </w:r>
      <w:r>
        <w:t xml:space="preserve"> </w:t>
      </w:r>
      <w:r>
        <w:fldChar w:fldCharType="begin" w:fldLock="1"/>
      </w:r>
      <w:r>
        <w:instrText>ADDIN CSL_CITATION {"citationItems":[{"id":"ITEM-1","itemData":{"DOI":"10.1016/j.rser.2009.03.015","ISSN":"13640321","abstract":"This paper reviews the history of fuel cells. Its follows the path from the invention of the fuel cell up to present days. Fuel cell types as well as their advantages, disadvantages and principal applications nowadays are explained. History teaches once again that devices perceived by the public as recent inventions, are actually the product of many years (almost two centuries in this case) of arduous research. © 2009 Elsevier Ltd. All rights reserved.","author":[{"dropping-particle":"","family":"Andújar","given":"J. M.","non-dropping-particle":"","parse-names":false,"suffix":""},{"dropping-particle":"","family":"Segura","given":"F.","non-dropping-particle":"","parse-names":false,"suffix":""}],"container-title":"Renewable and Sustainable Energy Reviews","id":"ITEM-1","issue":"9","issued":{"date-parts":[["2009"]]},"page":"2309-2322","title":"Fuel cells: History and updating. A walk along two centuries","type":"article-journal","volume":"13"},"uris":["http://www.mendeley.com/documents/?uuid=4142d3aa-2498-43fe-aada-3f9f8e57a27c"]}],"mendeley":{"formattedCitation":"[11]","plainTextFormattedCitation":"[11]","previouslyFormattedCitation":"[11]"},"properties":{"noteIndex":0},"schema":"https://github.com/citation-style-language/schema/raw/master/csl-citation.json"}</w:instrText>
      </w:r>
      <w:r>
        <w:fldChar w:fldCharType="separate"/>
      </w:r>
      <w:r w:rsidRPr="00D17D71">
        <w:rPr>
          <w:noProof/>
        </w:rPr>
        <w:t>[11]</w:t>
      </w:r>
      <w:r>
        <w:fldChar w:fldCharType="end"/>
      </w:r>
      <w:r>
        <w:t xml:space="preserve">. </w:t>
      </w:r>
      <w:r w:rsidRPr="004654D6">
        <w:t xml:space="preserve">This was </w:t>
      </w:r>
      <w:r w:rsidRPr="00444CDB">
        <w:t>followed by Sir</w:t>
      </w:r>
      <w:r w:rsidRPr="00DD5847">
        <w:rPr>
          <w:i/>
        </w:rPr>
        <w:t xml:space="preserve"> </w:t>
      </w:r>
      <w:r w:rsidRPr="00444CDB">
        <w:rPr>
          <w:iCs/>
        </w:rPr>
        <w:t>William Grove Grove’s “Gas Voltaic Battery”</w:t>
      </w:r>
      <w:r w:rsidRPr="004654D6">
        <w:t xml:space="preserve"> (GVB) one of the first fuel cell prototypes in 1839</w:t>
      </w:r>
      <w:r>
        <w:t xml:space="preserve"> </w:t>
      </w:r>
      <w:r>
        <w:fldChar w:fldCharType="begin" w:fldLock="1"/>
      </w:r>
      <w:r>
        <w:instrText>ADDIN CSL_CITATION {"citationItems":[{"id":"ITEM-1","itemData":{"DOI":"10.1080/14786443908649684","ISBN":"1941-5966","author":[{"dropping-particle":"","family":"Grove","given":"W R","non-dropping-particle":"","parse-names":false,"suffix":""}],"container-title":"The London, Edinburgh, and Dublin Philosophical Magazine and Journal of Science","id":"ITEM-1","issue":"86-87","issued":{"date-parts":[["1839"]]},"page":"127-130","publisher":"Taylor &amp; Francis","title":"XXIV. On voltaic series and the combination of gases by platinum","type":"article-journal","volume":"14"},"uris":["http://www.mendeley.com/documents/?uuid=94137828-a829-4ff7-8beb-ee3379a008fd"]},{"id":"ITEM-2","itemData":{"ISBN":"02610523","author":[{"dropping-particle":"","family":"Grove","given":"W R","non-dropping-particle":"","parse-names":false,"suffix":""}],"container-title":"Philosophical Transactions of the Royal Society of London","id":"ITEM-2","issued":{"date-parts":[["1843"]]},"page":"91-112","publisher":"The Royal Society","title":"On the Gas Voltaic Battery. Experiments Made with a View of Ascertaining the Rationale of Its Action and Its Application to Eudiometry","type":"article-journal","volume":"133"},"uris":["http://www.mendeley.com/documents/?uuid=562516f9-641f-408c-8543-081fb2350a34"]},{"id":"ITEM-3","itemData":{"DOI":"10.1080/14786435.2012.742293","ISBN":"1478-6435","author":[{"dropping-particle":"","family":"Grove","given":"W R","non-dropping-particle":"","parse-names":false,"suffix":""}],"container-title":"Philosophical Magazine","id":"ITEM-3","issue":"31","issued":{"date-parts":[["2012"]]},"page":"3753-3756","publisher":"Taylor &amp; Francis","title":"On a Gaseous Voltaic Battery","type":"article-journal","volume":"92"},"uris":["http://www.mendeley.com/documents/?uuid=0a034901-1ac7-458d-af62-64bbe83e207a"]}],"mendeley":{"formattedCitation":"[12]–[14]","plainTextFormattedCitation":"[12]–[14]","previouslyFormattedCitation":"[12]–[14]"},"properties":{"noteIndex":0},"schema":"https://github.com/citation-style-language/schema/raw/master/csl-citation.json"}</w:instrText>
      </w:r>
      <w:r>
        <w:fldChar w:fldCharType="separate"/>
      </w:r>
      <w:r w:rsidRPr="00D17D71">
        <w:rPr>
          <w:noProof/>
        </w:rPr>
        <w:t>[12]–[14]</w:t>
      </w:r>
      <w:r>
        <w:fldChar w:fldCharType="end"/>
      </w:r>
      <w:r w:rsidRPr="004654D6">
        <w:t>.  The GVB used H</w:t>
      </w:r>
      <w:r w:rsidRPr="00DD5847">
        <w:rPr>
          <w:vertAlign w:val="subscript"/>
        </w:rPr>
        <w:t>2</w:t>
      </w:r>
      <w:r w:rsidRPr="004654D6">
        <w:t xml:space="preserve"> as a fuel and oxidised this with oxygen passed through a sulphuric acid electrolyte. During the hydrogen oxidation reaction, a current was observed in an external circuit connected to the GVB. </w:t>
      </w:r>
      <w:r w:rsidRPr="003F3917">
        <w:rPr>
          <w:iCs/>
        </w:rPr>
        <w:t xml:space="preserve">Grove </w:t>
      </w:r>
      <w:r w:rsidRPr="004654D6">
        <w:t>concluded that the interaction area between the gases, electrolyte and electrodes held the key to this reaction but could not provide the evidence for this theory</w:t>
      </w:r>
      <w:r>
        <w:t xml:space="preserve"> </w:t>
      </w:r>
      <w:r>
        <w:fldChar w:fldCharType="begin" w:fldLock="1"/>
      </w:r>
      <w:r>
        <w:instrText>ADDIN CSL_CITATION {"citationItems":[{"id":"ITEM-1","itemData":{"DOI":"10.1080/14786443908649684","ISBN":"1941-5966","author":[{"dropping-particle":"","family":"Grove","given":"W R","non-dropping-particle":"","parse-names":false,"suffix":""}],"container-title":"The London, Edinburgh, and Dublin Philosophical Magazine and Journal of Science","id":"ITEM-1","issue":"86-87","issued":{"date-parts":[["1839"]]},"page":"127-130","publisher":"Taylor &amp; Francis","title":"XXIV. On voltaic series and the combination of gases by platinum","type":"article-journal","volume":"14"},"uris":["http://www.mendeley.com/documents/?uuid=94137828-a829-4ff7-8beb-ee3379a008fd"]},{"id":"ITEM-2","itemData":{"ISBN":"02610523","author":[{"dropping-particle":"","family":"Grove","given":"W R","non-dropping-particle":"","parse-names":false,"suffix":""}],"container-title":"Philosophical Transactions of the Royal Society of London","id":"ITEM-2","issued":{"date-parts":[["1843"]]},"page":"91-112","publisher":"The Royal Society","title":"On the Gas Voltaic Battery. Experiments Made with a View of Ascertaining the Rationale of Its Action and Its Application to Eudiometry","type":"article-journal","volume":"133"},"uris":["http://www.mendeley.com/documents/?uuid=562516f9-641f-408c-8543-081fb2350a34"]}],"mendeley":{"formattedCitation":"[12], [13]","plainTextFormattedCitation":"[12], [13]","previouslyFormattedCitation":"[12], [13]"},"properties":{"noteIndex":0},"schema":"https://github.com/citation-style-language/schema/raw/master/csl-citation.json"}</w:instrText>
      </w:r>
      <w:r>
        <w:fldChar w:fldCharType="separate"/>
      </w:r>
      <w:r w:rsidRPr="00D17D71">
        <w:rPr>
          <w:noProof/>
        </w:rPr>
        <w:t>[12], [13]</w:t>
      </w:r>
      <w:r>
        <w:fldChar w:fldCharType="end"/>
      </w:r>
      <w:r>
        <w:t xml:space="preserve">. </w:t>
      </w:r>
      <w:r w:rsidRPr="004654D6">
        <w:t>Th</w:t>
      </w:r>
      <w:r>
        <w:t xml:space="preserve">is theory was validated over 50 years later </w:t>
      </w:r>
      <w:r w:rsidRPr="00CE0F2E">
        <w:t>by Ostwald</w:t>
      </w:r>
      <w:r>
        <w:t xml:space="preserve"> in 1894 </w:t>
      </w:r>
      <w:r>
        <w:fldChar w:fldCharType="begin" w:fldLock="1"/>
      </w:r>
      <w:r>
        <w:instrText>ADDIN CSL_CITATION {"citationItems":[{"id":"ITEM-1","itemData":{"DOI":"10.1016/S1364-0321(02)00014-X","ISBN":"1364-0321","ISSN":"13640321","abstract":"The generation of energy by clean, efficient and environmental-friendly means is now one of the major challenges for engineers and scientists. Fuel cells convert chemical energy of a fuel gas directly into electrical work, and are efficient and environmentally clean, since no combustion is required. Moreover, fuel cells have the potential for development to a sufficient size for applications for commercial electricity generation. This paper outlines the acute global population growth and the growing need and use of energy and its consequent environmental impacts. The existing or emerging fuel cells' technologies are comprehensively discussed in this paper. In particular, attention is given to the design and operation of Solid Oxide Fuel Cells (SOFCs), noting the restrictions based on materials' requirements and fuel specifications. Moreover, advantages of SOFCs with respect to the other fuel cell technologies are identified. This paper also reviews the limitations and the benefits of SOFCs in relationship with energy, environment and sustainable development. Few potential applications, as long-term potential actions for sustainable development, and the future of such devices are discussed. © 2002 Elsevier Science Ltd. All rights reserved.","author":[{"dropping-particle":"","family":"Stambouli","given":"A. Boudghene","non-dropping-particle":"","parse-names":false,"suffix":""},{"dropping-particle":"","family":"Traversa","given":"E.","non-dropping-particle":"","parse-names":false,"suffix":""}],"container-title":"Renewable and Sustainable Energy Reviews","id":"ITEM-1","issue":"5","issued":{"date-parts":[["2002"]]},"page":"433-455","title":"Solid oxide fuel cells (SOFCs): A review of an environmentally clean and efficient source of energy","type":"article-journal","volume":"6"},"uris":["http://www.mendeley.com/documents/?uuid=c8bf983f-66ca-4e6c-8523-e08b8b8fb9a7"]},{"id":"ITEM-2","itemData":{"DOI":"10.1016/0378-7753(90)80002-U","ISSN":"03787753","author":[{"dropping-particle":"","family":"Appleby","given":"A. J.","non-dropping-particle":"","parse-names":false,"suffix":""}],"container-title":"Journal of Power Sources","id":"ITEM-2","issue":"1-2","issued":{"date-parts":[["1990"]]},"page":"3-11","title":"From Sir William Grove to today: fuel cells and the future","type":"article-journal","volume":"29"},"uris":["http://www.mendeley.com/documents/?uuid=3ee7632e-dc14-4bf1-8aa8-d78143746a1a"]},{"id":"ITEM-3","itemData":{"ISBN":"00-442-31926-6","author":[{"dropping-particle":"","family":"Appleby","given":"A J","non-dropping-particle":"","parse-names":false,"suffix":""},{"dropping-particle":"","family":"Foulkes","given":"F R","non-dropping-particle":"","parse-names":false,"suffix":""}],"id":"ITEM-3","issued":{"date-parts":[["1988"]]},"publisher":"Van Nostrand Reinhold","title":"Fuel Cell Handbook","type":"book"},"uris":["http://www.mendeley.com/documents/?uuid=61a75d6c-0322-4da6-91bc-80ede657b69e"]},{"id":"ITEM-4","itemData":{"DOI":"10.1002/1439-7641(20001215)1:4&lt;162::AID-CPHC162&gt;3.0.CO;2-Z","ISBN":"14394235 (ISSN)","ISSN":"14394235","author":[{"dropping-particle":"","family":"Carrette","given":"Linda","non-dropping-particle":"","parse-names":false,"suffix":""},{"dropping-particle":"","family":"Friedrich","given":"K. Andreas","non-dropping-particle":"","parse-names":false,"suffix":""},{"dropping-particle":"","family":"Stimming","given":"Ulrich","non-dropping-particle":"","parse-names":false,"suffix":""}],"container-title":"ChemPhysChem","id":"ITEM-4","issue":"4","issued":{"date-parts":[["2000"]]},"language":"English","page":"162-193","title":"Fuel Cells: Principles, Types, Fuels, and Applications","type":"article-journal","volume":"1"},"uris":["http://www.mendeley.com/documents/?uuid=00f2a88b-bd74-4f9d-a821-dbba522745a7"]},{"id":"ITEM-5","itemData":{"DOI":"10.1002/anie.200903603","ISSN":"14337851","abstract":"(Figure Presented)Carnot versus electrochemistry: This essay critically compares the advantages and disadvantages of Carnot-cycle-based and electrochemical methods for the generation and storage of energy (see picture; left: PEM fuel cell; right: Au(III) model surface covered with 0.025 monolayers of Pt). The views of Wilhelm Ostwald (1853-1932) and today's understanding of energy conversion are contrasted. © 2009 Wiley-VCH Verlag GmbH &amp; Co. KGaA.","author":[{"dropping-particle":"","family":"Kunze","given":"Julia","non-dropping-particle":"","parse-names":false,"suffix":""},{"dropping-particle":"","family":"Stimming","given":"Ulrich","non-dropping-particle":"","parse-names":false,"suffix":""}],"container-title":"Angewandte Chemie - International Edition","id":"ITEM-5","issue":"49","issued":{"date-parts":[["2009"]]},"page":"9230-9237","title":"Electrochemical versus heat-engine energy technology: A tribute to wilhelm ostwald's visionary statements","type":"article-journal","volume":"48"},"uris":["http://www.mendeley.com/documents/?uuid=b9c6040d-2327-423c-95d5-2f18790a265e"]}],"mendeley":{"formattedCitation":"[15]–[19]","plainTextFormattedCitation":"[15]–[19]","previouslyFormattedCitation":"[15]–[19]"},"properties":{"noteIndex":0},"schema":"https://github.com/citation-style-language/schema/raw/master/csl-citation.json"}</w:instrText>
      </w:r>
      <w:r>
        <w:fldChar w:fldCharType="separate"/>
      </w:r>
      <w:r w:rsidRPr="00D17D71">
        <w:rPr>
          <w:noProof/>
        </w:rPr>
        <w:t>[15]–[19]</w:t>
      </w:r>
      <w:r>
        <w:fldChar w:fldCharType="end"/>
      </w:r>
      <w:r>
        <w:t>.</w:t>
      </w:r>
    </w:p>
    <w:p w14:paraId="76FE2615" w14:textId="77777777" w:rsidR="00007F6C" w:rsidRPr="004654D6" w:rsidRDefault="00007F6C" w:rsidP="00007F6C">
      <w:pPr>
        <w:jc w:val="both"/>
      </w:pPr>
      <w:r w:rsidRPr="004654D6">
        <w:t xml:space="preserve">Utilising the principles outlined by </w:t>
      </w:r>
      <w:r w:rsidRPr="00DD5847">
        <w:rPr>
          <w:i/>
        </w:rPr>
        <w:t>Ostwald</w:t>
      </w:r>
      <w:r w:rsidRPr="004654D6">
        <w:t xml:space="preserve">, the first use of a solid electrolyte (zirconium) was demonstrated by </w:t>
      </w:r>
      <w:r w:rsidRPr="00DD5847">
        <w:rPr>
          <w:i/>
        </w:rPr>
        <w:t>Nernst</w:t>
      </w:r>
      <w:r w:rsidRPr="004654D6">
        <w:t xml:space="preserve"> in 1900</w:t>
      </w:r>
      <w:r>
        <w:t xml:space="preserve"> </w:t>
      </w:r>
      <w:r>
        <w:fldChar w:fldCharType="begin" w:fldLock="1"/>
      </w:r>
      <w:r>
        <w:instrText>ADDIN CSL_CITATION {"citationItems":[{"id":"ITEM-1","itemData":{"DOI":"10.1007/s100080050018","ISBN":"1432-8488\r1433-0768","ISSN":"14328488","abstract":"The path to the discovery of galvanic solid electrolyte gas cells (J.-M. Gaugain 1853) and to the ®rst industrially produced solid electrolyte gas cells (Nernst lamps 1897) is described. The development of the fundamentals of solid electrolyte fuel cells started with the work of Haber 1905, Schottky 1935, Baur 1937 and Wagner 1943. Extensive work in the ®eld of solid oxide fuel cells (SOFCs) was done in the ®fties by Peters and MoÈ bius. After 1960, a rapidly growing number of scientists worked on the di erent problems of SOFCs, and by 1970 the basis was established on which the broad technologically orientated development of SO- FCs proceeds today.","author":[{"dropping-particle":"","family":"Möbius","given":"Hans Heinrich","non-dropping-particle":"","parse-names":false,"suffix":""}],"chapter-number":"2","container-title":"Journal of Solid State Electrochemistry","id":"ITEM-1","issue":"1","issued":{"date-parts":[["1997"]]},"page":"2-16","title":"On the history of solid electrolyte fuel cells","type":"article-journal","volume":"1"},"uris":["http://www.mendeley.com/documents/?uuid=6ce4600c-1819-4c54-8b80-62c7ba1e3537"]},{"id":"ITEM-2","itemData":{"DOI":"10.1111/j.1151-2916.1993.tb03645.x","ISBN":"00027820 (ISSN)","abstract":"A ceramic fuel cell in an all solid‐state energy conversion device that produces electricity by electrochemically combining fuel and oxidant gases across an ionic conducting oxide. Current ceramic fuel cells use an oxygen‐ion conductor or a proton conductor as the electrolyte and operate at high temperatures (&gt;600°C). Ceramic fuel cells, commonly referred to as solid‐oxide fuel cells (SOFCs), are presently under development for a variety of power generation applications. This paper reviews the science and technology of ceramic fuel cells and discusses the critical issues posed by the development of this type of fuel cell. The emphasis is given to the discussion of component materials (especially, ZrO2 electrolyte, nickel/ZrO2 cermet anode, LaMnO3 cathode, and LaCrO3 interconnect), gas reactions at the electrodes, stack designs, and processing techniques used in the fabrication of required ceramic structures. Copyright © 1993, Wiley Blackwell. All rights reserved","author":[{"dropping-particle":"","family":"Minh","given":"N Q","non-dropping-particle":"","parse-names":false,"suffix":""}],"container-title":"Journal of the American Ceramic Society","id":"ITEM-2","issue":"3","issued":{"date-parts":[["1993"]]},"language":"English","note":"Cited By :3099\nExport Date: 30 November 2016\nCorrespondence Address: Minh, N.Q.; AiResearch Los Angeles Division, Allied-Signal Aerospace Company, Torrance, California, 90504-6099, United States\nReferences: Grove, W.R., On Voltaic Series and the Combination of Gases by Platinum (1839) Philos. Mag., 14, pp. 127-130; Nernst, W., Uber Die Elektrolytische Leitung Fester Körper Bei Sehr Hohen Temperaturen (1899) Z. Elektrochem., 6, pp. 41-43; Baur, E., Preis, H., Uber Brennstoff‐Ketten Mit Festleitern (1937) Z. Elektrochem., 43, pp. 727-732; Minh, N.Q., High‐Temperature Fuel Cells. Part 2: The Solid Oxide Cell (1991) CHEMTECH, 21, pp. 120-126; (1981) Science and Technology of Zirconia, 3. , Edited by, A. H. Heuer, L. W. Hobbs, American Ceramic Society, Columbus, OH; (1984) Science and Technology of Zirconia II, 12. , Edited by, N. Claussen, M. Rühle, A. H. Heuer, American Ceramic Society, Columbus, OH; (1988) Science and Technology of Zirconia III, 24. , Edited by, S. Somiya, N. Yamamoto, H. Yanagida, American Ceramic Society, Westerville, OH; Stevens, R., (1986) An Introduction to Zirconia, , Magnesium Elektron, London, U.K; Etsell, T.H., Flengas, S.N., The Electrical Properties of Solid Oxide Electrolytes (1970) Chem. Rev., 70, pp. 339-376; Subbarao, E.C., Maiti, H.S., Solid Electrolytes with Oxygen Ion Conduction (1984) Solid State Ionics, 11, pp. 317-338; Patterson, J.W., Borgen, E.C., Rapp, R.A., Mixed Conduction in Zr0.85Ca0.15O1.85 and Th0.85Y0.15O1.85 Solid Electrolytes (1967) Journal of The Electrochemical Society, 114, pp. 752-758; Baumard, J.F., Abelard, P., , pp. 555-571. , “Defect Structure and Transport Properties of ZrO2‐Based Solid Electrolytes”; see Ref. 6, ppChoudhary, C.B., Maiti, H.S., Subbarao, E.C., Detect Structure and Transport Properties (1980) Solid Electrolytes and Their Applications, pp. 1-80. , Edited by, E. C. Subbarao, Plenum Press, New York; Badwal, S.P.S., Hughes, A.E., Modification of Cell Characteristics by Segregated Impurities (1991) Proceedings of the Second International Symposium on Solid Oxide Fuel Cells, pp. 445-454. , Edited by, F. Gross, P. Zegers, S. C. Singhal, O. Yamamoto, Commission of The European Communities, Luxembourg; Bauerle, J.E., Study of Solid Electrolyte Polarization by a Complex Admittance Method (1969) J. Phys. Chem. Solids, 30, pp. 2657-2670; Kleitz, M., Bernard, H., Fernandez, E., Schouler, E., , pp. 310-336. , “Impedance Spectroscopy and Electrical Resistance Measurements on Stabilized Zirconia”; see Ref. 5, ppVerkerk, M.J., Middelhuis, B.J., Burggraaf, A.J., Effect of Grain Boundaries on the Conductivity of High‐Purity ZrO2–Y2O3 Ceramics (1982) Solid State Ionics, 6, pp. 159-170; Butler, E.P., Slotwinski, R.K., Bonanos, N., Drennan, J., Steele, B.C.H., , pp. 572-584. , “Microstructural–Electrical Property Relationships in High‐Conductivity Zirconias”; see Ref. 6, ppBaukal, W., Solid Oxide Electrolyte with Time‐Dependent Conductivity (1972) From Electrocatalysis to Fuel Cells, pp. 247-254. , Edited by, G. Sandstede, University of Washington Press, Seattle, WA; Suzuki, Y., Shimada, A., Senda, S., Time‐Dependent Change in Electrical Resistivity of Polycrystalline YSZ and CSZ (1990) Solid State Ionics, 42, pp. 121-125; Badwal, S.P.S., Drennan, J., Yttria–Zirconia: Effect of Microstructure on Conductivity (1987) J. Mater. Sci., 22, pp. 3231-3239; Ciftcioglu, M., Mayo, M.J., (1990), “Processing of Nanocrystalline Ceramics”; presented at the Spring Meeting of the Materials Research Society, San Francisco, CA, April 16–21, 1990. Rept. No. DE90–015700, SAND‐90–1639C, CONF‐900466–78, National Technical Information Service, Alexandria, VAScott, C.E., Reed, J.S., Analysis of Cl‐ Ions Laundered from Submicron Zirconia Powders (1978) Am. Ceram. Soc. Bull., 57, pp. 741-743; Scott, C.E., Reed, J.S., Effect of Laundering and Milling on the Sintering Behavior of Stabilized ZrO2 Powders (1979) Am. Ceram. Soc. Bull., 58, pp. 587-590; Evans, A.G., The New High‐Toughness Ceramics (1989) Fracture Mechanics: Perspective and Directions, pp. 267-291. , (Twentieth Symposium), ASTM STP 1020. Edited by, R. P. Wei, R. P. Gangloff, American Society for Testing and Materials, Philadelphia, PA; Singh, J.P., Bosak, A.L., Dees, D.W., McPheeters, C.C., Improved Fracture Toughness of ZrO2 Electrolyte for Solid Oxide Fuel Cell (1988) 1988 Fuel Cell Seminar Abstracts, pp. 145-148. , (Long Beach, CA, Oct. 23–26, 1988)., Courtesy Associates, Washington, DC; Ishizaki, F., Yoshida, T., Sakurada, S., Effect of Alumina Addition on the Electrical Properties of Yttria‐Doped Zirconia (1989) Proceedings of the First International Symposium on Solid Oxide Fuel Cells, pp. 3-14. , Edited by, S. C. Singhal, The Electrochemical Society, Pennington, NJ; Hernandez, M.T., Jurado, J.R., Duran, P., , pp. 421-428. , “Effect of Al2O3, Additions on the Electrical Properties of ZrO2–Y2O3 and ZrO2–Y2O3–CeO2 Electrolytes”; see Ref. 14, ppYamamoto, O., Takeda, Y., Imanishi, N., Kawahara, T., Shen, G.Q., Mori, M., Abe, T., , pp. 437-444. , “Electrical and Mechanical Properties of Zirconia–Alumina Composite Electrolyte”; see Ref. 14, ppDuran, P., Jurado, J.R., Moure, C., Hernandez, M.T., Capel, F., , pp. 401-407. , “Improvement of the Mechanical Properties of Yttria‐Stabilized Zirconia Electrolyte”; see Ref. 14, ppWeppner, W., Tetragonal Zirconia for Solid Oxide Fuel Cells (1990) Proceedings of the International Symposium on Solid Oxide Fuel Cells, pp. 83-89. , Edited by, O. Yamamoto, M. Dokiya, H. Tagawa, Science House, Tokyo, Japan; Yoshida, T., Hoshina, T., Mukaizawa, I., Sakurada, S., Properties of Partially Stabilized Zirconia Fuel Cell (1989) J. Electrochem. Soc., 136, pp. 2604-2606; Yamamoto, O., Takeda, Y., Kanno, R., Kohno, K., Electrical Conductivity of Tetragonal Stabilized Zirconia (1990) J. Mater. Sci., 25, pp. 2805-2808; Sato, T., Shimada, M., Crystalline Phase Changes in Yttria‐Partially‐Stabilized Zirconia by Low‐Temperature Annealing (1984) J. Am. Ceram. Soc., 67 (10), pp. 212-213; Subbarao, E.C., Maiti, H.S., , pp. 731-747. , “Oxygen Sensors and Pumps”; see Ref. 7, ppVlasov, A.N., Perfiliev, M.V., Ageing of ZrO2‐Based Solid Electrolytes (1987) Solid State Ionics, 25, pp. 245-253; Takahashi, T., Iwahara, H., Nagai, Y., High Oxide Conduction in Sintered Bi2O3 Containing SrO, CaO, or La2O3 (1972) J. Appl. Electrochem., 2, pp. 97-104; Miyayama, M., Nishi, T., Yanagida, H., Oxygen Ionic Conduction in Y2O3‐Stabilized Bi2O3 and ZrO2 Composites (1987) J. Mater. Sci., 22, pp. 2624-2628; Verkerk, M.J., Keizer, K., Burggraaf, A.J., High Oxygen Ion Conduction in Sintered Oxides of Bi2O3–Er2O3 System (1980) J. Appl. Electrochem., 10, pp. 81-90; Takahashi, T., Esaka, T., Iwahara, H., Conduction of Bi2O3‐Based Oxide Ion Conductor Under Low Oxygen Pressure. II. Determination of the Partial Electronic Conductivity (1977) J. Appl. Electrochem., 7, pp. 303-308; Blumenthal, R.N., Brugner, F.S., Garnier, J.E., The Electrical Conductivity of CaO‐Doped Nonstoichiometric Cerium Oxide from 700° to 1500°C (1973) J. Electrochem. Soc., 120, pp. 1230-1237; Tuller, H.L., Nowick, A.S., Doped Ceria as a Solid Oxide Electrolyte (1975) J. Electrochem. Soc., 122, pp. 255-259; Swarr, T.E., Karavolis, S., Maricle, D.L., Enhanced Ceria—A Low‐Temperature SOFC Electrolyte (1990) Proceedings of the 25th Intersociety Energy Conversion Engineering Conference, 3, pp. 256-261. , American Institute of Chemical Engineers, New York; Yahiro, H., Baba, Y., Eguchi, K., Arai, H., High‐Temperature Fuel Cell with Ceria–Yttria Solid Electrolyte (1988) J. Electrochem. Soc., 135, pp. 2077-2080; Inoue, T., Setoguchi, T., Eguchi, K., Arai, H., Study of a Solid Oxide Fuel Cell with a Ceria‐Based Solid Electrolyte (1989) Solid State Ion'cs, 35, pp. 285-291; Virkar, A.V., Theoretical Analysis of Solid Oxide Fuel Cells with Two‐Layer Composite Electrolyte: Electrolyte Stability (1991) J. Electrochem. Soc., 138, pp. 1481-1487; Takahashi, T., Iwahara, H., Ionic Conduction in Perovskite‐Type Oxide Solid Solution and Its Application to Solid Electrolyte Fuel Cell (1971) Energy Convers., 11, pp. 105-111; Kilner, J.A., Barrow, P., Brook, R.J., Norgett, M.J., Electrolytes for the High‐Temperature Fuel Cell: Experimental and Theoretical Studies of the Perovskite LaAlO3 (1978) J. Power Sources, 3, pp. 67-80; Cook, R.L., MacDu'f, R.C., Sammells, A.F., Perovskite Solid Electrolytes for Intermediate‐Temperature Solid Oxide Fuel Cells (1990) J. Electrochem. Soc., 137, pp. 3309-3310; Sammells, A.F., Cook, R.L., Worrell, W.L., (1990), “Methane Conversion by Solid Electrolyte Membranes,” Rept. No. GR1‐90/0136, Gas Research Institute, Chicago, ILMurakami, S., Miyake, Y., Akiyama, Y., Ishida, N., Saito, T., Furukawa, N., , pp. 187-190. , “A Study on Composite Anode of Solid Oxide Fuel Cells”; see Ref. 31, ppDees, D.W., Claar, T.D., Easler, T.E., Fee, D.C., azek, F.C., Conductivity of Porous Ni/ZrO2‐Y2O3 Cermets (1987) Journal of The Electrochemical Society, 134, pp. 2141-2146; Ivers‐Tiffée, E., Wersing, W., Schießl, M., Greiner, H., Ceramic and Metallic Components for a Planar SOFC (1990) Berichte der Bunsengesellschaft für physikalische Chemie, 94, pp. 978-981; Majumdar, S., Claar, T., Flandermeyer, B., Stress and Fracture Behavior of Monolithic Fuel Cell Tapes (1986) J. Am. Ceram. Soc., 69, pp. 628-633; Easler, T., Flandermeyer, B.K., Claar, T.D., Busch, D.E., Fousek, R.J., Picciolo, J.J., Poeppel, R.B., Electrode Development for Monolithic Fuel Cells (1986) 1986 Fuel Cell Seminar Abstracts, pp. 72-75. , (Tucson, AZ, Oct. 26–29, 1986)., Courtesy Associates, Washington, DC; Markin, T.L., Bones, R.J., Dell, R.M., High‐Temperature Solid‐Electrolyte Fuel Cells (1976) Conference on Superionic Conductors, pp. 15-35. , Edited by, G. D. Mahan, W. L. Roth, Plenum Press, New York; Suzuki, M., Sasaki, H., Otoshi, S., Ippommatsu, M., , pp. 585-591. , “Development of Ru/ZrO2 SOFC Anode”; see Ref. 14, ppTakahashi, T., Iwahara, H., Suzuki, Y., Electrode Materials for High‐Temperature Solid Electrolyte Fuel Cells (1969) Proceedings of the Third International Symposium on Fuel Cells, pp. 113-119. , Presses Académiques Européennes, Brussels, Belgium; Steele, B.C.H., Middleton, P.H., Rudkin, R.A., Material Science Aspects of SOFC Technology with Special Reference to Anode Development (1990) Solid State Ionics, 40-41, pp. 388-393; Mogensen, M., , pp. 577-584. , “Properties of CeO2‐Based SOFC Anode Materials”; see Ref. 14, ppSwider, K.E., Worrell, W.L., , pp. 593-601. , “Synthesis and Characterization of Yuria. Stabilized Zirconia‐Titania Thin‐Film Electrodes”; see Ref. 14, ppLiou, S.S., Worrell, W.L., , pp. 81-89. , “Mixed‐Conducting Oxide Electrodes for Solid Oxide Fuel Cells”; see Ref. 27, ppLiou, S.S., Worrell, W.L., Electrical Properties of Novel Mixed‐Conducting Oxides (1989) Appl. Phys. A, 49, pp. 25-31; Tedmon, C.S., Jr., Spacil, H.S., Mitoff, S.P., Cathode Materials and Performance in High‐Temperature Zirconia Electrolyte Fuel Cells (1969) Journal of The Electrochemical Society, 116, pp. 1170-1175; Tofield, B.C., Scott, W.R., Oxidative Nonstoichiometry in Perovskites, an Experimental Survey: The Defect Structure of an Oxidized Lanthanum Manganite by Powder Neutron Diffraction (1974) J. Solid State Chem., 10, pp. 183-194; Kuo, J.H., Anderson, H.U., Sparlin, D.M., Oxidation‐Reduction Behavior of Undoped and Sr‐Doped LaMnO3: Defect Structure, Electrical Conductivity, and Thermoelectric Power (1990) J. Solid State Chem., 87, pp. 55-63; Rao, Wanklyn, B.M., Rao, C.N.R., Electrical Transport in Rare‐Earth Ortho‐Chromites, ‐Manganites, and ‐Ferrites (1971) J. Phys. Chem. Solids, 32, pp. 345-358; Kamata, K., Nakajima, T., Hayashi, T., Nakamura, T., Nonstoichiometric Behavior and Phase Stability of Rare‐Earth Manganites at 1200°C: (1). LaMnO3 (1978) Mater. Res. Bull., 13, pp. 49-54; Mizusaki, J., Tagawa, H., Naraya, K., Sasamoto, T., Nonstoichiometry and Thermochemical Stability of the Perovskite‐Type La1‐xSrxMnO3‐δ (1991) Solid State Ionics, 49, pp. 111-118; Kuo, J.H., Anderson, H.U., Sparlin, D.M., Oxidation‐Reduction Behavior of Undoped and Sr‐Doped LaMnO3 Nonstoichiometry and Defect Structure (1989) J. Solid State Chem., 83, pp. 52-60; Nakamura, T., Petzow, G., Gauckler, L.J., Stability of the Perovskite Phase LaBO3 (B = V, Cr, Mn, Fe, Co, Ni) in Reducing Atmospheres I. Experimental Results (1979) Mater. Res. Bull., 14, pp. 649-659; Sreedharan, O.M., Pankajavalli, R., Gnanamoorthy, J.B., Standard Gibbs' Energy of Formation of LaMnO3 from EMF Measurements (1983) High Temp. Sci., 16, pp. 251-256; Kamegashira, N., Miyazaki, Y., Hiyoshi, Y., Limiting Oxygen Partial Pressure of LaMnO3 Phase (1984) Mater. Lett., 2, pp. 194-195; Sreedharan, O.M., Chandrasekharaiah, M.S., Standard Gibbs' Energy of Formation of LaFeO3 and Comparison of Stability of LaMO3 (M = Mn, Fe, Co, Ni) Compounds (1986) J. Mater. Sci., 21, pp. 2581-2584; Ruka, R., (1983), pp. 295-302. , “Some Non‐Electrochemical Requirements for Air Electrode Materials of High‐Temperature Solid Electrolyte Fuel Cells”; pp., in Proceedings of the Conference on High–Temperature Solid Oxide Electrolytes, Vol. I–Anion Conductors (Brookhaven National Laboratory, Upton, NY, Aug. 16–17, 1983). Rept. No. BNL 51728–Vol. I, Brookhaven National Laboratory, Upton, NYJonker, G.H., Semiconducting Properties of Mixed Crystals with Perovskite Structure (1954) Physica (Amsterdam), 20, pp. 1118-1122; Tanaka, J., Takahashi, K., Yukino, K., Horiuchi, S., Electrical Conduction of (La0.8Ca0.2)MnO3 with Homogeneous Ionic Distribution (1983) Phys. Status Solidi, 80, pp. 621-630; Fandel, M., Höschele, J., Schäfer, W., Schmidberger, R., Properties of Ca‐Doped LaMnO3 (1989) Properties of Ceramics, 2, p. 2. , 236–2.240 in Euro‐ceramics, Vol,. Edited by, G. de With, R. A. Lerpstra, R. Metselaar, Elsevier Applied Science, London, U.K; Pavlov, V.I., Bogush, A.K., Bychkov, G.L., Influence of Impurity Centers on the Electrical Conductivity of Manganites with a Perovskite Structure (1984) Inorg. Mater. (Engl. Transl.), 20, pp. 752-754; Wold, A., Arnott, R.J., Goodenough, J.B., Some Magnetic and Crystallographic Properties of the System LaMn1‐xNixO3‐λ (1958) J. Appl. Phys., 29, pp. 387-389; Lyubkina, I.Ya., Kononyuk, I.F., Preparation and Electric Properties of LaMn1‐xNixO3 (O","page":"563-588","title":"Ceramic Fuel Cells","type":"article-journal","volume":"76"},"uris":["http://www.mendeley.com/documents/?uuid=7c17b8de-f21a-48a1-8286-c38ae0ab747c"]}],"mendeley":{"formattedCitation":"[1], [20]","plainTextFormattedCitation":"[1], [20]","previouslyFormattedCitation":"[1], [20]"},"properties":{"noteIndex":0},"schema":"https://github.com/citation-style-language/schema/raw/master/csl-citation.json"}</w:instrText>
      </w:r>
      <w:r>
        <w:fldChar w:fldCharType="separate"/>
      </w:r>
      <w:r w:rsidRPr="00D17D71">
        <w:rPr>
          <w:noProof/>
        </w:rPr>
        <w:t>[1], [20]</w:t>
      </w:r>
      <w:r>
        <w:fldChar w:fldCharType="end"/>
      </w:r>
      <w:r w:rsidRPr="004654D6">
        <w:t xml:space="preserve">. </w:t>
      </w:r>
      <w:r w:rsidRPr="00DD5847">
        <w:rPr>
          <w:i/>
        </w:rPr>
        <w:t>Nernst</w:t>
      </w:r>
      <w:r w:rsidRPr="004654D6">
        <w:t xml:space="preserve"> also derived the potential of an electrochemical cell based on its reactive species; this can be found below in </w:t>
      </w:r>
      <w:r>
        <w:fldChar w:fldCharType="begin"/>
      </w:r>
      <w:r>
        <w:instrText xml:space="preserve"> REF _Ref50630226 \h  \* MERGEFORMAT </w:instrText>
      </w:r>
      <w:r>
        <w:fldChar w:fldCharType="separate"/>
      </w:r>
      <w:r w:rsidRPr="004654D6">
        <w:t xml:space="preserve">Equation </w:t>
      </w:r>
      <w:r>
        <w:t>1.1</w:t>
      </w:r>
      <w:r>
        <w:fldChar w:fldCharType="end"/>
      </w:r>
      <w:r>
        <w:t xml:space="preserve">. </w:t>
      </w:r>
      <w:r w:rsidRPr="004654D6">
        <w:t>This reaction is key in both fuel cell and electrolyser units.</w:t>
      </w:r>
      <w:r>
        <w:t xml:space="preserve"> </w:t>
      </w:r>
      <w:r w:rsidRPr="004654D6">
        <w:t>Nernst equation for the Voltage, U of a cell</w:t>
      </w:r>
      <w:r>
        <w:t>, where</w:t>
      </w:r>
      <w:r w:rsidRPr="004654D6">
        <w:t xml:space="preserve"> </w:t>
      </w:r>
      <w:proofErr w:type="spellStart"/>
      <w:r w:rsidRPr="004654D6">
        <w:t>U</w:t>
      </w:r>
      <w:r w:rsidRPr="004654D6">
        <w:rPr>
          <w:vertAlign w:val="superscript"/>
        </w:rPr>
        <w:t>o</w:t>
      </w:r>
      <w:proofErr w:type="spellEnd"/>
      <w:r w:rsidRPr="004654D6">
        <w:t xml:space="preserve"> is the standard electrode potential</w:t>
      </w:r>
      <w:r>
        <w:t>,</w:t>
      </w:r>
      <w:r w:rsidRPr="004654D6">
        <w:t xml:space="preserve"> R is the gas constant, T is temperature in degrees Kelvin, n is the number of electrons,</w:t>
      </w:r>
      <w:r>
        <w:t xml:space="preserve"> and</w:t>
      </w:r>
      <w:r w:rsidRPr="004654D6">
        <w:t xml:space="preserve"> F is the Faraday constant</w:t>
      </w:r>
      <w:r>
        <w:t xml:space="preserve"> </w:t>
      </w:r>
      <w:r>
        <w:fldChar w:fldCharType="begin" w:fldLock="1"/>
      </w:r>
      <w:r>
        <w:instrText>ADDIN CSL_CITATION {"citationItems":[{"id":"ITEM-1","itemData":{"DOI":"10.1007/s100080050018","ISBN":"1432-8488\r1433-0768","ISSN":"14328488","abstract":"The path to the discovery of galvanic solid electrolyte gas cells (J.-M. Gaugain 1853) and to the ®rst industrially produced solid electrolyte gas cells (Nernst lamps 1897) is described. The development of the fundamentals of solid electrolyte fuel cells started with the work of Haber 1905, Schottky 1935, Baur 1937 and Wagner 1943. Extensive work in the ®eld of solid oxide fuel cells (SOFCs) was done in the ®fties by Peters and MoÈ bius. After 1960, a rapidly growing number of scientists worked on the di erent problems of SOFCs, and by 1970 the basis was established on which the broad technologically orientated development of SO- FCs proceeds today.","author":[{"dropping-particle":"","family":"Möbius","given":"Hans Heinrich","non-dropping-particle":"","parse-names":false,"suffix":""}],"chapter-number":"2","container-title":"Journal of Solid State Electrochemistry","id":"ITEM-1","issue":"1","issued":{"date-parts":[["1997"]]},"page":"2-16","title":"On the history of solid electrolyte fuel cells","type":"article-journal","volume":"1"},"uris":["http://www.mendeley.com/documents/?uuid=6ce4600c-1819-4c54-8b80-62c7ba1e3537"]},{"id":"ITEM-2","itemData":{"DOI":"10.1111/j.1151-2916.1993.tb03645.x","ISBN":"00027820 (ISSN)","abstract":"A ceramic fuel cell in an all solid‐state energy conversion device that produces electricity by electrochemically combining fuel and oxidant gases across an ionic conducting oxide. Current ceramic fuel cells use an oxygen‐ion conductor or a proton conductor as the electrolyte and operate at high temperatures (&gt;600°C). Ceramic fuel cells, commonly referred to as solid‐oxide fuel cells (SOFCs), are presently under development for a variety of power generation applications. This paper reviews the science and technology of ceramic fuel cells and discusses the critical issues posed by the development of this type of fuel cell. The emphasis is given to the discussion of component materials (especially, ZrO2 electrolyte, nickel/ZrO2 cermet anode, LaMnO3 cathode, and LaCrO3 interconnect), gas reactions at the electrodes, stack designs, and processing techniques used in the fabrication of required ceramic structures. Copyright © 1993, Wiley Blackwell. All rights reserved","author":[{"dropping-particle":"","family":"Minh","given":"N Q","non-dropping-particle":"","parse-names":false,"suffix":""}],"container-title":"Journal of the American Ceramic Society","id":"ITEM-2","issue":"3","issued":{"date-parts":[["1993"]]},"language":"English","note":"Cited By :3099\nExport Date: 30 November 2016\nCorrespondence Address: Minh, N.Q.; AiResearch Los Angeles Division, Allied-Signal Aerospace Company, Torrance, California, 90504-6099, United States\nReferences: Grove, W.R., On Voltaic Series and the Combination of Gases by Platinum (1839) Philos. Mag., 14, pp. 127-130; Nernst, W., Uber Die Elektrolytische Leitung Fester Körper Bei Sehr Hohen Temperaturen (1899) Z. Elektrochem., 6, pp. 41-43; Baur, E., Preis, H., Uber Brennstoff‐Ketten Mit Festleitern (1937) Z. Elektrochem., 43, pp. 727-732; Minh, N.Q., High‐Temperature Fuel Cells. Part 2: The Solid Oxide Cell (1991) CHEMTECH, 21, pp. 120-126; (1981) Science and Technology of Zirconia, 3. , Edited by, A. H. Heuer, L. W. Hobbs, American Ceramic Society, Columbus, OH; (1984) Science and Technology of Zirconia II, 12. , Edited by, N. Claussen, M. Rühle, A. H. Heuer, American Ceramic Society, Columbus, OH; (1988) Science and Technology of Zirconia III, 24. , Edited by, S. Somiya, N. Yamamoto, H. Yanagida, American Ceramic Society, Westerville, OH; Stevens, R., (1986) An Introduction to Zirconia, , Magnesium Elektron, London, U.K; Etsell, T.H., Flengas, S.N., The Electrical Properties of Solid Oxide Electrolytes (1970) Chem. Rev., 70, pp. 339-376; Subbarao, E.C., Maiti, H.S., Solid Electrolytes with Oxygen Ion Conduction (1984) Solid State Ionics, 11, pp. 317-338; Patterson, J.W., Borgen, E.C., Rapp, R.A., Mixed Conduction in Zr0.85Ca0.15O1.85 and Th0.85Y0.15O1.85 Solid Electrolytes (1967) Journal of The Electrochemical Society, 114, pp. 752-758; Baumard, J.F., Abelard, P., , pp. 555-571. , “Defect Structure and Transport Properties of ZrO2‐Based Solid Electrolytes”; see Ref. 6, ppChoudhary, C.B., Maiti, H.S., Subbarao, E.C., Detect Structure and Transport Properties (1980) Solid Electrolytes and Their Applications, pp. 1-80. , Edited by, E. C. Subbarao, Plenum Press, New York; Badwal, S.P.S., Hughes, A.E., Modification of Cell Characteristics by Segregated Impurities (1991) Proceedings of the Second International Symposium on Solid Oxide Fuel Cells, pp. 445-454. , Edited by, F. Gross, P. Zegers, S. C. Singhal, O. Yamamoto, Commission of The European Communities, Luxembourg; Bauerle, J.E., Study of Solid Electrolyte Polarization by a Complex Admittance Method (1969) J. Phys. Chem. Solids, 30, pp. 2657-2670; Kleitz, M., Bernard, H., Fernandez, E., Schouler, E., , pp. 310-336. , “Impedance Spectroscopy and Electrical Resistance Measurements on Stabilized Zirconia”; see Ref. 5, ppVerkerk, M.J., Middelhuis, B.J., Burggraaf, A.J., Effect of Grain Boundaries on the Conductivity of High‐Purity ZrO2–Y2O3 Ceramics (1982) Solid State Ionics, 6, pp. 159-170; Butler, E.P., Slotwinski, R.K., Bonanos, N., Drennan, J., Steele, B.C.H., , pp. 572-584. , “Microstructural–Electrical Property Relationships in High‐Conductivity Zirconias”; see Ref. 6, ppBaukal, W., Solid Oxide Electrolyte with Time‐Dependent Conductivity (1972) From Electrocatalysis to Fuel Cells, pp. 247-254. , Edited by, G. Sandstede, University of Washington Press, Seattle, WA; Suzuki, Y., Shimada, A., Senda, S., Time‐Dependent Change in Electrical Resistivity of Polycrystalline YSZ and CSZ (1990) Solid State Ionics, 42, pp. 121-125; Badwal, S.P.S., Drennan, J., Yttria–Zirconia: Effect of Microstructure on Conductivity (1987) J. Mater. Sci., 22, pp. 3231-3239; Ciftcioglu, M., Mayo, M.J., (1990), “Processing of Nanocrystalline Ceramics”; presented at the Spring Meeting of the Materials Research Society, San Francisco, CA, April 16–21, 1990. Rept. No. DE90–015700, SAND‐90–1639C, CONF‐900466–78, National Technical Information Service, Alexandria, VAScott, C.E., Reed, J.S., Analysis of Cl‐ Ions Laundered from Submicron Zirconia Powders (1978) Am. Ceram. Soc. Bull., 57, pp. 741-743; Scott, C.E., Reed, J.S., Effect of Laundering and Milling on the Sintering Behavior of Stabilized ZrO2 Powders (1979) Am. Ceram. Soc. Bull., 58, pp. 587-590; Evans, A.G., The New High‐Toughness Ceramics (1989) Fracture Mechanics: Perspective and Directions, pp. 267-291. , (Twentieth Symposium), ASTM STP 1020. Edited by, R. P. Wei, R. P. Gangloff, American Society for Testing and Materials, Philadelphia, PA; Singh, J.P., Bosak, A.L., Dees, D.W., McPheeters, C.C., Improved Fracture Toughness of ZrO2 Electrolyte for Solid Oxide Fuel Cell (1988) 1988 Fuel Cell Seminar Abstracts, pp. 145-148. , (Long Beach, CA, Oct. 23–26, 1988)., Courtesy Associates, Washington, DC; Ishizaki, F., Yoshida, T., Sakurada, S., Effect of Alumina Addition on the Electrical Properties of Yttria‐Doped Zirconia (1989) Proceedings of the First International Symposium on Solid Oxide Fuel Cells, pp. 3-14. , Edited by, S. C. Singhal, The Electrochemical Society, Pennington, NJ; Hernandez, M.T., Jurado, J.R., Duran, P., , pp. 421-428. , “Effect of Al2O3, Additions on the Electrical Properties of ZrO2–Y2O3 and ZrO2–Y2O3–CeO2 Electrolytes”; see Ref. 14, ppYamamoto, O., Takeda, Y., Imanishi, N., Kawahara, T., Shen, G.Q., Mori, M., Abe, T., , pp. 437-444. , “Electrical and Mechanical Properties of Zirconia–Alumina Composite Electrolyte”; see Ref. 14, ppDuran, P., Jurado, J.R., Moure, C., Hernandez, M.T., Capel, F., , pp. 401-407. , “Improvement of the Mechanical Properties of Yttria‐Stabilized Zirconia Electrolyte”; see Ref. 14, ppWeppner, W., Tetragonal Zirconia for Solid Oxide Fuel Cells (1990) Proceedings of the International Symposium on Solid Oxide Fuel Cells, pp. 83-89. , Edited by, O. Yamamoto, M. Dokiya, H. Tagawa, Science House, Tokyo, Japan; Yoshida, T., Hoshina, T., Mukaizawa, I., Sakurada, S., Properties of Partially Stabilized Zirconia Fuel Cell (1989) J. Electrochem. Soc., 136, pp. 2604-2606; Yamamoto, O., Takeda, Y., Kanno, R., Kohno, K., Electrical Conductivity of Tetragonal Stabilized Zirconia (1990) J. Mater. Sci., 25, pp. 2805-2808; Sato, T., Shimada, M., Crystalline Phase Changes in Yttria‐Partially‐Stabilized Zirconia by Low‐Temperature Annealing (1984) J. Am. Ceram. Soc., 67 (10), pp. 212-213; Subbarao, E.C., Maiti, H.S., , pp. 731-747. , “Oxygen Sensors and Pumps”; see Ref. 7, ppVlasov, A.N., Perfiliev, M.V., Ageing of ZrO2‐Based Solid Electrolytes (1987) Solid State Ionics, 25, pp. 245-253; Takahashi, T., Iwahara, H., Nagai, Y., High Oxide Conduction in Sintered Bi2O3 Containing SrO, CaO, or La2O3 (1972) J. Appl. Electrochem., 2, pp. 97-104; Miyayama, M., Nishi, T., Yanagida, H., Oxygen Ionic Conduction in Y2O3‐Stabilized Bi2O3 and ZrO2 Composites (1987) J. Mater. Sci., 22, pp. 2624-2628; Verkerk, M.J., Keizer, K., Burggraaf, A.J., High Oxygen Ion Conduction in Sintered Oxides of Bi2O3–Er2O3 System (1980) J. Appl. Electrochem., 10, pp. 81-90; Takahashi, T., Esaka, T., Iwahara, H., Conduction of Bi2O3‐Based Oxide Ion Conductor Under Low Oxygen Pressure. II. Determination of the Partial Electronic Conductivity (1977) J. Appl. Electrochem., 7, pp. 303-308; Blumenthal, R.N., Brugner, F.S., Garnier, J.E., The Electrical Conductivity of CaO‐Doped Nonstoichiometric Cerium Oxide from 700° to 1500°C (1973) J. Electrochem. Soc., 120, pp. 1230-1237; Tuller, H.L., Nowick, A.S., Doped Ceria as a Solid Oxide Electrolyte (1975) J. Electrochem. Soc., 122, pp. 255-259; Swarr, T.E., Karavolis, S., Maricle, D.L., Enhanced Ceria—A Low‐Temperature SOFC Electrolyte (1990) Proceedings of the 25th Intersociety Energy Conversion Engineering Conference, 3, pp. 256-261. , American Institute of Chemical Engineers, New York; Yahiro, H., Baba, Y., Eguchi, K., Arai, H., High‐Temperature Fuel Cell with Ceria–Yttria Solid Electrolyte (1988) J. Electrochem. Soc., 135, pp. 2077-2080; Inoue, T., Setoguchi, T., Eguchi, K., Arai, H., Study of a Solid Oxide Fuel Cell with a Ceria‐Based Solid Electrolyte (1989) Solid State Ion'cs, 35, pp. 285-291; Virkar, A.V., Theoretical Analysis of Solid Oxide Fuel Cells with Two‐Layer Composite Electrolyte: Electrolyte Stability (1991) J. Electrochem. Soc., 138, pp. 1481-1487; Takahashi, T., Iwahara, H., Ionic Conduction in Perovskite‐Type Oxide Solid Solution and Its Application to Solid Electrolyte Fuel Cell (1971) Energy Convers., 11, pp. 105-111; Kilner, J.A., Barrow, P., Brook, R.J., Norgett, M.J., Electrolytes for the High‐Temperature Fuel Cell: Experimental and Theoretical Studies of the Perovskite LaAlO3 (1978) J. Power Sources, 3, pp. 67-80; Cook, R.L., MacDu'f, R.C., Sammells, A.F., Perovskite Solid Electrolytes for Intermediate‐Temperature Solid Oxide Fuel Cells (1990) J. Electrochem. Soc., 137, pp. 3309-3310; Sammells, A.F., Cook, R.L., Worrell, W.L., (1990), “Methane Conversion by Solid Electrolyte Membranes,” Rept. No. GR1‐90/0136, Gas Research Institute, Chicago, ILMurakami, S., Miyake, Y., Akiyama, Y., Ishida, N., Saito, T., Furukawa, N., , pp. 187-190. , “A Study on Composite Anode of Solid Oxide Fuel Cells”; see Ref. 31, ppDees, D.W., Claar, T.D., Easler, T.E., Fee, D.C., azek, F.C., Conductivity of Porous Ni/ZrO2‐Y2O3 Cermets (1987) Journal of The Electrochemical Society, 134, pp. 2141-2146; Ivers‐Tiffée, E., Wersing, W., Schießl, M., Greiner, H., Ceramic and Metallic Components for a Planar SOFC (1990) Berichte der Bunsengesellschaft für physikalische Chemie, 94, pp. 978-981; Majumdar, S., Claar, T., Flandermeyer, B., Stress and Fracture Behavior of Monolithic Fuel Cell Tapes (1986) J. Am. Ceram. Soc., 69, pp. 628-633; Easler, T., Flandermeyer, B.K., Claar, T.D., Busch, D.E., Fousek, R.J., Picciolo, J.J., Poeppel, R.B., Electrode Development for Monolithic Fuel Cells (1986) 1986 Fuel Cell Seminar Abstracts, pp. 72-75. , (Tucson, AZ, Oct. 26–29, 1986)., Courtesy Associates, Washington, DC; Markin, T.L., Bones, R.J., Dell, R.M., High‐Temperature Solid‐Electrolyte Fuel Cells (1976) Conference on Superionic Conductors, pp. 15-35. , Edited by, G. D. Mahan, W. L. Roth, Plenum Press, New York; Suzuki, M., Sasaki, H., Otoshi, S., Ippommatsu, M., , pp. 585-591. , “Development of Ru/ZrO2 SOFC Anode”; see Ref. 14, ppTakahashi, T., Iwahara, H., Suzuki, Y., Electrode Materials for High‐Temperature Solid Electrolyte Fuel Cells (1969) Proceedings of the Third International Symposium on Fuel Cells, pp. 113-119. , Presses Académiques Européennes, Brussels, Belgium; Steele, B.C.H., Middleton, P.H., Rudkin, R.A., Material Science Aspects of SOFC Technology with Special Reference to Anode Development (1990) Solid State Ionics, 40-41, pp. 388-393; Mogensen, M., , pp. 577-584. , “Properties of CeO2‐Based SOFC Anode Materials”; see Ref. 14, ppSwider, K.E., Worrell, W.L., , pp. 593-601. , “Synthesis and Characterization of Yuria. Stabilized Zirconia‐Titania Thin‐Film Electrodes”; see Ref. 14, ppLiou, S.S., Worrell, W.L., , pp. 81-89. , “Mixed‐Conducting Oxide Electrodes for Solid Oxide Fuel Cells”; see Ref. 27, ppLiou, S.S., Worrell, W.L., Electrical Properties of Novel Mixed‐Conducting Oxides (1989) Appl. Phys. A, 49, pp. 25-31; Tedmon, C.S., Jr., Spacil, H.S., Mitoff, S.P., Cathode Materials and Performance in High‐Temperature Zirconia Electrolyte Fuel Cells (1969) Journal of The Electrochemical Society, 116, pp. 1170-1175; Tofield, B.C., Scott, W.R., Oxidative Nonstoichiometry in Perovskites, an Experimental Survey: The Defect Structure of an Oxidized Lanthanum Manganite by Powder Neutron Diffraction (1974) J. Solid State Chem., 10, pp. 183-194; Kuo, J.H., Anderson, H.U., Sparlin, D.M., Oxidation‐Reduction Behavior of Undoped and Sr‐Doped LaMnO3: Defect Structure, Electrical Conductivity, and Thermoelectric Power (1990) J. Solid State Chem., 87, pp. 55-63; Rao, Wanklyn, B.M., Rao, C.N.R., Electrical Transport in Rare‐Earth Ortho‐Chromites, ‐Manganites, and ‐Ferrites (1971) J. Phys. Chem. Solids, 32, pp. 345-358; Kamata, K., Nakajima, T., Hayashi, T., Nakamura, T., Nonstoichiometric Behavior and Phase Stability of Rare‐Earth Manganites at 1200°C: (1). LaMnO3 (1978) Mater. Res. Bull., 13, pp. 49-54; Mizusaki, J., Tagawa, H., Naraya, K., Sasamoto, T., Nonstoichiometry and Thermochemical Stability of the Perovskite‐Type La1‐xSrxMnO3‐δ (1991) Solid State Ionics, 49, pp. 111-118; Kuo, J.H., Anderson, H.U., Sparlin, D.M., Oxidation‐Reduction Behavior of Undoped and Sr‐Doped LaMnO3 Nonstoichiometry and Defect Structure (1989) J. Solid State Chem., 83, pp. 52-60; Nakamura, T., Petzow, G., Gauckler, L.J., Stability of the Perovskite Phase LaBO3 (B = V, Cr, Mn, Fe, Co, Ni) in Reducing Atmospheres I. Experimental Results (1979) Mater. Res. Bull., 14, pp. 649-659; Sreedharan, O.M., Pankajavalli, R., Gnanamoorthy, J.B., Standard Gibbs' Energy of Formation of LaMnO3 from EMF Measurements (1983) High Temp. Sci., 16, pp. 251-256; Kamegashira, N., Miyazaki, Y., Hiyoshi, Y., Limiting Oxygen Partial Pressure of LaMnO3 Phase (1984) Mater. Lett., 2, pp. 194-195; Sreedharan, O.M., Chandrasekharaiah, M.S., Standard Gibbs' Energy of Formation of LaFeO3 and Comparison of Stability of LaMO3 (M = Mn, Fe, Co, Ni) Compounds (1986) J. Mater. Sci., 21, pp. 2581-2584; Ruka, R., (1983), pp. 295-302. , “Some Non‐Electrochemical Requirements for Air Electrode Materials of High‐Temperature Solid Electrolyte Fuel Cells”; pp., in Proceedings of the Conference on High–Temperature Solid Oxide Electrolytes, Vol. I–Anion Conductors (Brookhaven National Laboratory, Upton, NY, Aug. 16–17, 1983). Rept. No. BNL 51728–Vol. I, Brookhaven National Laboratory, Upton, NYJonker, G.H., Semiconducting Properties of Mixed Crystals with Perovskite Structure (1954) Physica (Amsterdam), 20, pp. 1118-1122; Tanaka, J., Takahashi, K., Yukino, K., Horiuchi, S., Electrical Conduction of (La0.8Ca0.2)MnO3 with Homogeneous Ionic Distribution (1983) Phys. Status Solidi, 80, pp. 621-630; Fandel, M., Höschele, J., Schäfer, W., Schmidberger, R., Properties of Ca‐Doped LaMnO3 (1989) Properties of Ceramics, 2, p. 2. , 236–2.240 in Euro‐ceramics, Vol,. Edited by, G. de With, R. A. Lerpstra, R. Metselaar, Elsevier Applied Science, London, U.K; Pavlov, V.I., Bogush, A.K., Bychkov, G.L., Influence of Impurity Centers on the Electrical Conductivity of Manganites with a Perovskite Structure (1984) Inorg. Mater. (Engl. Transl.), 20, pp. 752-754; Wold, A., Arnott, R.J., Goodenough, J.B., Some Magnetic and Crystallographic Properties of the System LaMn1‐xNixO3‐λ (1958) J. Appl. Phys., 29, pp. 387-389; Lyubkina, I.Ya., Kononyuk, I.F., Preparation and Electric Properties of LaMn1‐xNixO3 (O","page":"563-588","title":"Ceramic Fuel Cells","type":"article-journal","volume":"76"},"uris":["http://www.mendeley.com/documents/?uuid=7c17b8de-f21a-48a1-8286-c38ae0ab747c"]}],"mendeley":{"formattedCitation":"[1], [20]","plainTextFormattedCitation":"[1], [20]","previouslyFormattedCitation":"[1], [20]"},"properties":{"noteIndex":0},"schema":"https://github.com/citation-style-language/schema/raw/master/csl-citation.json"}</w:instrText>
      </w:r>
      <w:r>
        <w:fldChar w:fldCharType="separate"/>
      </w:r>
      <w:r w:rsidRPr="00D17D71">
        <w:rPr>
          <w:noProof/>
        </w:rPr>
        <w:t>[1], [20]</w:t>
      </w:r>
      <w:r>
        <w:fldChar w:fldCharType="end"/>
      </w:r>
      <w:r w:rsidRPr="004654D6">
        <w:t xml:space="preserve">. </w:t>
      </w:r>
      <w:r>
        <w:t>T</w:t>
      </w:r>
      <w:r w:rsidRPr="004654D6">
        <w:t>he square brackets</w:t>
      </w:r>
      <w:r w:rsidRPr="004654D6">
        <w:rPr>
          <w:b/>
        </w:rPr>
        <w:t xml:space="preserve"> </w:t>
      </w:r>
      <w:r w:rsidRPr="004654D6">
        <w:t>denote the activity of either the reducing or oxidative species in solution</w:t>
      </w:r>
      <w:r>
        <w:t>.</w:t>
      </w:r>
    </w:p>
    <w:p w14:paraId="0F07F5C8" w14:textId="77777777" w:rsidR="00007F6C" w:rsidRDefault="00B51F53" w:rsidP="00007F6C">
      <w:pPr>
        <w:keepNext/>
        <w:rPr>
          <w:rFonts w:eastAsiaTheme="minorEastAsia"/>
        </w:rPr>
      </w:pPr>
      <m:oMathPara>
        <m:oMath>
          <m:sSup>
            <m:sSupPr>
              <m:ctrlPr>
                <w:rPr>
                  <w:rFonts w:ascii="Cambria Math" w:hAnsi="Cambria Math"/>
                </w:rPr>
              </m:ctrlPr>
            </m:sSupPr>
            <m:e>
              <m:sSub>
                <m:sSubPr>
                  <m:ctrlPr>
                    <w:rPr>
                      <w:rFonts w:ascii="Cambria Math" w:hAnsi="Cambria Math"/>
                    </w:rPr>
                  </m:ctrlPr>
                </m:sSubPr>
                <m:e>
                  <m:r>
                    <m:rPr>
                      <m:sty m:val="p"/>
                    </m:rPr>
                    <w:rPr>
                      <w:rFonts w:ascii="Cambria Math" w:hAnsi="Cambria Math"/>
                    </w:rPr>
                    <m:t>U</m:t>
                  </m:r>
                </m:e>
                <m:sub>
                  <m:r>
                    <m:rPr>
                      <m:sty m:val="p"/>
                    </m:rPr>
                    <w:rPr>
                      <w:rFonts w:ascii="Cambria Math" w:hAnsi="Cambria Math"/>
                    </w:rPr>
                    <m:t>0</m:t>
                  </m:r>
                </m:sub>
              </m:sSub>
              <m:r>
                <m:rPr>
                  <m:sty m:val="p"/>
                </m:rPr>
                <w:rPr>
                  <w:rFonts w:ascii="Cambria Math" w:hAnsi="Cambria Math"/>
                </w:rPr>
                <m:t>=U</m:t>
              </m:r>
            </m:e>
            <m:sup>
              <m:r>
                <m:rPr>
                  <m:sty m:val="p"/>
                </m:rPr>
                <w:rPr>
                  <w:rFonts w:ascii="Cambria Math" w:hAnsi="Cambria Math"/>
                </w:rPr>
                <m:t>○</m:t>
              </m:r>
            </m:sup>
          </m:sSup>
          <m:r>
            <m:rPr>
              <m:sty m:val="p"/>
            </m:rPr>
            <w:rPr>
              <w:rFonts w:ascii="Cambria Math" w:hAnsi="Cambria Math"/>
            </w:rPr>
            <m:t>+</m:t>
          </m:r>
          <m:f>
            <m:fPr>
              <m:ctrlPr>
                <w:rPr>
                  <w:rFonts w:ascii="Cambria Math" w:hAnsi="Cambria Math"/>
                </w:rPr>
              </m:ctrlPr>
            </m:fPr>
            <m:num>
              <m:r>
                <m:rPr>
                  <m:sty m:val="p"/>
                </m:rPr>
                <w:rPr>
                  <w:rFonts w:ascii="Cambria Math" w:hAnsi="Cambria Math"/>
                </w:rPr>
                <m:t>RT</m:t>
              </m:r>
            </m:num>
            <m:den>
              <m:r>
                <m:rPr>
                  <m:sty m:val="p"/>
                </m:rPr>
                <w:rPr>
                  <w:rFonts w:ascii="Cambria Math" w:hAnsi="Cambria Math"/>
                </w:rPr>
                <m:t>nF</m:t>
              </m:r>
            </m:den>
          </m:f>
          <m:r>
            <m:rPr>
              <m:sty m:val="p"/>
            </m:rPr>
            <w:rPr>
              <w:rFonts w:ascii="Cambria Math" w:hAnsi="Cambria Math"/>
            </w:rPr>
            <m:t xml:space="preserve"> </m:t>
          </m:r>
          <m:f>
            <m:fPr>
              <m:ctrlPr>
                <w:rPr>
                  <w:rFonts w:ascii="Cambria Math" w:hAnsi="Cambria Math"/>
                </w:rPr>
              </m:ctrlPr>
            </m:fPr>
            <m:num>
              <m:d>
                <m:dPr>
                  <m:begChr m:val="["/>
                  <m:endChr m:val="]"/>
                  <m:ctrlPr>
                    <w:rPr>
                      <w:rFonts w:ascii="Cambria Math" w:hAnsi="Cambria Math"/>
                    </w:rPr>
                  </m:ctrlPr>
                </m:dPr>
                <m:e>
                  <m:r>
                    <m:rPr>
                      <m:sty m:val="p"/>
                    </m:rPr>
                    <w:rPr>
                      <w:rFonts w:ascii="Cambria Math" w:hAnsi="Cambria Math"/>
                    </w:rPr>
                    <m:t>Reduction</m:t>
                  </m:r>
                </m:e>
              </m:d>
            </m:num>
            <m:den>
              <m:d>
                <m:dPr>
                  <m:begChr m:val="["/>
                  <m:endChr m:val="]"/>
                  <m:ctrlPr>
                    <w:rPr>
                      <w:rFonts w:ascii="Cambria Math" w:hAnsi="Cambria Math"/>
                    </w:rPr>
                  </m:ctrlPr>
                </m:dPr>
                <m:e>
                  <m:r>
                    <m:rPr>
                      <m:sty m:val="p"/>
                    </m:rPr>
                    <w:rPr>
                      <w:rFonts w:ascii="Cambria Math" w:hAnsi="Cambria Math"/>
                    </w:rPr>
                    <m:t>Oxidation</m:t>
                  </m:r>
                </m:e>
              </m:d>
            </m:den>
          </m:f>
        </m:oMath>
      </m:oMathPara>
      <w:bookmarkStart w:id="7" w:name="_Ref517101826"/>
    </w:p>
    <w:p w14:paraId="3F6CC0C3" w14:textId="1AEBF04D" w:rsidR="00007F6C" w:rsidRPr="004654D6" w:rsidRDefault="00007F6C" w:rsidP="00007F6C">
      <w:pPr>
        <w:keepNext/>
        <w:jc w:val="right"/>
      </w:pPr>
      <w:bookmarkStart w:id="8" w:name="_Ref50630226"/>
      <w:r w:rsidRPr="004654D6">
        <w:t xml:space="preserve">Equation </w:t>
      </w:r>
      <w:r>
        <w:t>1.</w:t>
      </w:r>
      <w:r w:rsidR="00B51F53">
        <w:fldChar w:fldCharType="begin"/>
      </w:r>
      <w:r w:rsidR="00B51F53">
        <w:instrText xml:space="preserve"> SEQ Equation \* ARABIC </w:instrText>
      </w:r>
      <w:r w:rsidR="00B51F53">
        <w:fldChar w:fldCharType="separate"/>
      </w:r>
      <w:r w:rsidR="00315BF8">
        <w:rPr>
          <w:noProof/>
        </w:rPr>
        <w:t>1</w:t>
      </w:r>
      <w:r w:rsidR="00B51F53">
        <w:rPr>
          <w:noProof/>
        </w:rPr>
        <w:fldChar w:fldCharType="end"/>
      </w:r>
      <w:bookmarkEnd w:id="7"/>
      <w:bookmarkEnd w:id="8"/>
    </w:p>
    <w:p w14:paraId="4A2BE124" w14:textId="77777777" w:rsidR="00007F6C" w:rsidRDefault="00007F6C" w:rsidP="00007F6C">
      <w:pPr>
        <w:jc w:val="both"/>
      </w:pPr>
      <w:r w:rsidRPr="004654D6">
        <w:t>Key fuel cell development milestones in the 20</w:t>
      </w:r>
      <w:r w:rsidRPr="00DD5847">
        <w:rPr>
          <w:vertAlign w:val="superscript"/>
        </w:rPr>
        <w:t>th</w:t>
      </w:r>
      <w:r w:rsidRPr="004654D6">
        <w:t xml:space="preserve"> century mostly focussed on the optimisation of reaction kinetics utilising either high temperatures or catalysts. The first molten carbonate fuel cell was produced in 1921, this was one of the first demonstrations that a fuel cell electrolyte did not have to be a liquid (</w:t>
      </w:r>
      <w:r>
        <w:fldChar w:fldCharType="begin"/>
      </w:r>
      <w:r>
        <w:instrText xml:space="preserve"> REF _Ref50631613 \h  \* MERGEFORMAT </w:instrText>
      </w:r>
      <w:r>
        <w:fldChar w:fldCharType="separate"/>
      </w:r>
      <w:r w:rsidRPr="00C103C3">
        <w:t>Figure 1.1</w:t>
      </w:r>
      <w:r>
        <w:fldChar w:fldCharType="end"/>
      </w:r>
      <w:r w:rsidRPr="004654D6">
        <w:t>)</w:t>
      </w:r>
      <w:r>
        <w:t xml:space="preserve"> </w:t>
      </w:r>
      <w:r>
        <w:fldChar w:fldCharType="begin" w:fldLock="1"/>
      </w:r>
      <w:r>
        <w:instrText>ADDIN CSL_CITATION {"citationItems":[{"id":"ITEM-1","itemData":{"DOI":"10.1007/s100080050018","ISBN":"1432-8488\r1433-0768","ISSN":"14328488","abstract":"The path to the discovery of galvanic solid electrolyte gas cells (J.-M. Gaugain 1853) and to the ®rst industrially produced solid electrolyte gas cells (Nernst lamps 1897) is described. The development of the fundamentals of solid electrolyte fuel cells started with the work of Haber 1905, Schottky 1935, Baur 1937 and Wagner 1943. Extensive work in the ®eld of solid oxide fuel cells (SOFCs) was done in the ®fties by Peters and MoÈ bius. After 1960, a rapidly growing number of scientists worked on the di erent problems of SOFCs, and by 1970 the basis was established on which the broad technologically orientated development of SO- FCs proceeds today.","author":[{"dropping-particle":"","family":"Möbius","given":"Hans Heinrich","non-dropping-particle":"","parse-names":false,"suffix":""}],"chapter-number":"2","container-title":"Journal of Solid State Electrochemistry","id":"ITEM-1","issue":"1","issued":{"date-parts":[["1997"]]},"page":"2-16","title":"On the history of solid electrolyte fuel cells","type":"article-journal","volume":"1"},"uris":["http://www.mendeley.com/documents/?uuid=6ce4600c-1819-4c54-8b80-62c7ba1e3537"]}],"mendeley":{"formattedCitation":"[20]","plainTextFormattedCitation":"[20]","previouslyFormattedCitation":"[20]"},"properties":{"noteIndex":0},"schema":"https://github.com/citation-style-language/schema/raw/master/csl-citation.json"}</w:instrText>
      </w:r>
      <w:r>
        <w:fldChar w:fldCharType="separate"/>
      </w:r>
      <w:r w:rsidRPr="00D17D71">
        <w:rPr>
          <w:noProof/>
        </w:rPr>
        <w:t>[20]</w:t>
      </w:r>
      <w:r>
        <w:fldChar w:fldCharType="end"/>
      </w:r>
      <w:r w:rsidRPr="004654D6">
        <w:t xml:space="preserve">. Despite being a large innovation in terms of cell construction, </w:t>
      </w:r>
      <w:r w:rsidRPr="00DD5847">
        <w:rPr>
          <w:i/>
        </w:rPr>
        <w:t xml:space="preserve">Baur </w:t>
      </w:r>
      <w:r w:rsidRPr="004654D6">
        <w:t>struggled to overcome the corrosion issues associated with using a hot molten electrolyte</w:t>
      </w:r>
      <w:r>
        <w:t xml:space="preserve"> </w:t>
      </w:r>
      <w:r>
        <w:fldChar w:fldCharType="begin" w:fldLock="1"/>
      </w:r>
      <w:r>
        <w:instrText>ADDIN CSL_CITATION {"citationItems":[{"id":"ITEM-1","itemData":{"DOI":"10.1007/s100080050018","ISBN":"1432-8488\r1433-0768","ISSN":"14328488","abstract":"The path to the discovery of galvanic solid electrolyte gas cells (J.-M. Gaugain 1853) and to the ®rst industrially produced solid electrolyte gas cells (Nernst lamps 1897) is described. The development of the fundamentals of solid electrolyte fuel cells started with the work of Haber 1905, Schottky 1935, Baur 1937 and Wagner 1943. Extensive work in the ®eld of solid oxide fuel cells (SOFCs) was done in the ®fties by Peters and MoÈ bius. After 1960, a rapidly growing number of scientists worked on the di erent problems of SOFCs, and by 1970 the basis was established on which the broad technologically orientated development of SO- FCs proceeds today.","author":[{"dropping-particle":"","family":"Möbius","given":"Hans Heinrich","non-dropping-particle":"","parse-names":false,"suffix":""}],"chapter-number":"2","container-title":"Journal of Solid State Electrochemistry","id":"ITEM-1","issue":"1","issued":{"date-parts":[["1997"]]},"page":"2-16","title":"On the history of solid electrolyte fuel cells","type":"article-journal","volume":"1"},"uris":["http://www.mendeley.com/documents/?uuid=6ce4600c-1819-4c54-8b80-62c7ba1e3537"]}],"mendeley":{"formattedCitation":"[20]","plainTextFormattedCitation":"[20]","previouslyFormattedCitation":"[20]"},"properties":{"noteIndex":0},"schema":"https://github.com/citation-style-language/schema/raw/master/csl-citation.json"}</w:instrText>
      </w:r>
      <w:r>
        <w:fldChar w:fldCharType="separate"/>
      </w:r>
      <w:r w:rsidRPr="00D17D71">
        <w:rPr>
          <w:noProof/>
        </w:rPr>
        <w:t>[20]</w:t>
      </w:r>
      <w:r>
        <w:fldChar w:fldCharType="end"/>
      </w:r>
      <w:r>
        <w:t>.</w:t>
      </w:r>
    </w:p>
    <w:p w14:paraId="1068F5ED" w14:textId="77777777" w:rsidR="00007F6C" w:rsidRDefault="00007F6C" w:rsidP="00007F6C"/>
    <w:p w14:paraId="25AF4264" w14:textId="77777777" w:rsidR="00007F6C" w:rsidRDefault="00007F6C" w:rsidP="00007F6C"/>
    <w:p w14:paraId="4F92C022" w14:textId="77777777" w:rsidR="00007F6C" w:rsidRDefault="00007F6C" w:rsidP="00007F6C">
      <w:pPr>
        <w:keepNext/>
        <w:ind w:left="408"/>
        <w:jc w:val="center"/>
      </w:pPr>
      <w:r w:rsidRPr="004654D6">
        <w:rPr>
          <w:noProof/>
          <w:lang w:eastAsia="en-GB"/>
        </w:rPr>
        <w:drawing>
          <wp:inline distT="0" distB="0" distL="0" distR="0" wp14:anchorId="7F2489C5" wp14:editId="37C63DF5">
            <wp:extent cx="4320000" cy="2283851"/>
            <wp:effectExtent l="0" t="0" r="4445" b="254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aur Coal Fuel Cells 1921.png"/>
                    <pic:cNvPicPr/>
                  </pic:nvPicPr>
                  <pic:blipFill rotWithShape="1">
                    <a:blip r:embed="rId9" cstate="print">
                      <a:extLst>
                        <a:ext uri="{28A0092B-C50C-407E-A947-70E740481C1C}">
                          <a14:useLocalDpi xmlns:a14="http://schemas.microsoft.com/office/drawing/2010/main" val="0"/>
                        </a:ext>
                      </a:extLst>
                    </a:blip>
                    <a:srcRect l="20700"/>
                    <a:stretch/>
                  </pic:blipFill>
                  <pic:spPr bwMode="auto">
                    <a:xfrm>
                      <a:off x="0" y="0"/>
                      <a:ext cx="4320000" cy="2283851"/>
                    </a:xfrm>
                    <a:prstGeom prst="rect">
                      <a:avLst/>
                    </a:prstGeom>
                    <a:ln>
                      <a:noFill/>
                    </a:ln>
                    <a:extLst>
                      <a:ext uri="{53640926-AAD7-44D8-BBD7-CCE9431645EC}">
                        <a14:shadowObscured xmlns:a14="http://schemas.microsoft.com/office/drawing/2010/main"/>
                      </a:ext>
                    </a:extLst>
                  </pic:spPr>
                </pic:pic>
              </a:graphicData>
            </a:graphic>
          </wp:inline>
        </w:drawing>
      </w:r>
    </w:p>
    <w:p w14:paraId="4BE1AEF8" w14:textId="3593DCDE" w:rsidR="00007F6C" w:rsidRPr="00225729" w:rsidRDefault="00007F6C" w:rsidP="00007F6C">
      <w:pPr>
        <w:jc w:val="center"/>
        <w:rPr>
          <w:i/>
          <w:iCs/>
          <w:color w:val="44546A" w:themeColor="text2"/>
          <w:sz w:val="18"/>
          <w:szCs w:val="18"/>
        </w:rPr>
      </w:pPr>
      <w:bookmarkStart w:id="9" w:name="_Ref50631613"/>
      <w:bookmarkStart w:id="10" w:name="_Toc69114905"/>
      <w:r w:rsidRPr="00225729">
        <w:rPr>
          <w:i/>
          <w:iCs/>
          <w:color w:val="44546A" w:themeColor="text2"/>
          <w:sz w:val="18"/>
          <w:szCs w:val="18"/>
        </w:rPr>
        <w:t>Figure 1.</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C73B12">
        <w:rPr>
          <w:i/>
          <w:iCs/>
          <w:noProof/>
          <w:color w:val="44546A" w:themeColor="text2"/>
          <w:sz w:val="18"/>
          <w:szCs w:val="18"/>
        </w:rPr>
        <w:t>1</w:t>
      </w:r>
      <w:r w:rsidR="00285C23">
        <w:rPr>
          <w:i/>
          <w:iCs/>
          <w:color w:val="44546A" w:themeColor="text2"/>
          <w:sz w:val="18"/>
          <w:szCs w:val="18"/>
        </w:rPr>
        <w:fldChar w:fldCharType="end"/>
      </w:r>
      <w:bookmarkEnd w:id="9"/>
      <w:r w:rsidRPr="00225729">
        <w:rPr>
          <w:i/>
          <w:iCs/>
          <w:color w:val="44546A" w:themeColor="text2"/>
          <w:sz w:val="18"/>
          <w:szCs w:val="18"/>
        </w:rPr>
        <w:t xml:space="preserve"> Diagrams of the coal based fuel cells developed In the Baur laboratory from 1921 to 1937</w:t>
      </w:r>
      <w:r w:rsidRPr="00225729">
        <w:rPr>
          <w:i/>
          <w:iCs/>
          <w:color w:val="44546A" w:themeColor="text2"/>
          <w:sz w:val="18"/>
          <w:szCs w:val="18"/>
        </w:rPr>
        <w:fldChar w:fldCharType="begin" w:fldLock="1"/>
      </w:r>
      <w:r>
        <w:rPr>
          <w:i/>
          <w:iCs/>
          <w:color w:val="44546A" w:themeColor="text2"/>
          <w:sz w:val="18"/>
          <w:szCs w:val="18"/>
        </w:rPr>
        <w:instrText>ADDIN CSL_CITATION {"citationItems":[{"id":"ITEM-1","itemData":{"DOI":"10.1007/s100080050018","ISBN":"1432-8488\r1433-0768","ISSN":"14328488","abstract":"The path to the discovery of galvanic solid electrolyte gas cells (J.-M. Gaugain 1853) and to the ®rst industrially produced solid electrolyte gas cells (Nernst lamps 1897) is described. The development of the fundamentals of solid electrolyte fuel cells started with the work of Haber 1905, Schottky 1935, Baur 1937 and Wagner 1943. Extensive work in the ®eld of solid oxide fuel cells (SOFCs) was done in the ®fties by Peters and MoÈ bius. After 1960, a rapidly growing number of scientists worked on the di erent problems of SOFCs, and by 1970 the basis was established on which the broad technologically orientated development of SO- FCs proceeds today.","author":[{"dropping-particle":"","family":"Möbius","given":"Hans Heinrich","non-dropping-particle":"","parse-names":false,"suffix":""}],"chapter-number":"2","container-title":"Journal of Solid State Electrochemistry","id":"ITEM-1","issue":"1","issued":{"date-parts":[["1997"]]},"page":"2-16","title":"On the history of solid electrolyte fuel cells","type":"article-journal","volume":"1"},"uris":["http://www.mendeley.com/documents/?uuid=6ce4600c-1819-4c54-8b80-62c7ba1e3537"]}],"mendeley":{"formattedCitation":"[20]","plainTextFormattedCitation":"[20]","previouslyFormattedCitation":"[20]"},"properties":{"noteIndex":0},"schema":"https://github.com/citation-style-language/schema/raw/master/csl-citation.json"}</w:instrText>
      </w:r>
      <w:r w:rsidRPr="00225729">
        <w:rPr>
          <w:i/>
          <w:iCs/>
          <w:color w:val="44546A" w:themeColor="text2"/>
          <w:sz w:val="18"/>
          <w:szCs w:val="18"/>
        </w:rPr>
        <w:fldChar w:fldCharType="separate"/>
      </w:r>
      <w:r w:rsidRPr="00D17D71">
        <w:rPr>
          <w:iCs/>
          <w:noProof/>
          <w:color w:val="44546A" w:themeColor="text2"/>
          <w:sz w:val="18"/>
          <w:szCs w:val="18"/>
        </w:rPr>
        <w:t>[20]</w:t>
      </w:r>
      <w:bookmarkEnd w:id="10"/>
      <w:r w:rsidRPr="00225729">
        <w:rPr>
          <w:i/>
          <w:iCs/>
          <w:color w:val="44546A" w:themeColor="text2"/>
          <w:sz w:val="18"/>
          <w:szCs w:val="18"/>
        </w:rPr>
        <w:fldChar w:fldCharType="end"/>
      </w:r>
    </w:p>
    <w:p w14:paraId="2C023909" w14:textId="4153F7D4" w:rsidR="00007F6C" w:rsidRDefault="00007F6C" w:rsidP="00007F6C">
      <w:pPr>
        <w:jc w:val="both"/>
      </w:pPr>
      <w:r w:rsidRPr="004654D6">
        <w:t>In a bid to avoid expensive catalyst metals such as platinum in fuel cell reactions, Francis Bacon used nickel-based electrodes during his development of Alkaline Fuel Cells (AFC) from 1932–1939</w:t>
      </w:r>
      <w:r>
        <w:t xml:space="preserve"> </w:t>
      </w:r>
      <w:r w:rsidRPr="00734D6B">
        <w:fldChar w:fldCharType="begin" w:fldLock="1"/>
      </w:r>
      <w:r>
        <w:instrText>ADDIN CSL_CITATION {"citationItems":[{"id":"ITEM-1","itemData":{"DOI":"10.1149/1.2992503","abstract":"Alkaline Fuel Cells: The Bacon Fuel Cell, the Apollo NASA Space Shuttle and the Russian System. The Allis Chalmers Tractor,the Union Carbide GM-Electrovan, the Kordesch Hybrid Car, the Eloflux and the Elenco System and the European Space Power Plant for Hermes. Also: the Dornier-Siemens and the Swedish Navy System and Olle Lindstroems work. The fuel cells by Hoechst and von ZeTek. A bipolar system was built in Graz and at Apollo Energy Systems, Inc. 2 kW AFCs were tested with NH3. Liquified Ammonia can be converted to 75 % H2 and 25 % N2. The capacity by wt.and vol. of ammonia surpasses methanol. Ammonia is produced worldwide in several 100 million tons per year. Ammonia is available on farms. Refrigerators worked safely with ammonia. Internal Combustion Engines operate on cracked Ammoniamix with increased power and higher efficiency. ","author":[{"dropping-particle":"","family":"Hacker","given":"Viktor","non-dropping-particle":"","parse-names":false,"suffix":""},{"dropping-particle":"","family":"Cifrain","given":"Martin","non-dropping-particle":"","parse-names":false,"suffix":""},{"dropping-particle":"","family":"Kordesch","given":"Karl","non-dropping-particle":"","parse-names":false,"suffix":""},{"dropping-particle":"","family":"Hejze","given":"Thomas","non-dropping-particle":"","parse-names":false,"suffix":""},{"dropping-particle":"","family":"Aronsson","given":"Robert R.","non-dropping-particle":"","parse-names":false,"suffix":""},{"dropping-particle":"","family":"Reichmann","given":"Klaus","non-dropping-particle":"","parse-names":false,"suffix":""}],"container-title":"ECS Transactions","id":"ITEM-1","issue":"32","issued":{"date-parts":[["2008"]]},"page":"167-185","title":"The Safe and Economic Revival of Alkaline Hydrogen/Air Fuel Cells with Circulating Electrolytes, Recommended for Vehicles Using Battery Hybrid Systems and H2 from Ammonia Crackers","type":"article-journal","volume":"11"},"uris":["http://www.mendeley.com/documents/?uuid=4e3e9af5-1c28-4e78-9d95-f66487451599"]}],"mendeley":{"formattedCitation":"[21]","plainTextFormattedCitation":"[21]","previouslyFormattedCitation":"[21]"},"properties":{"noteIndex":0},"schema":"https://github.com/citation-style-language/schema/raw/master/csl-citation.json"}</w:instrText>
      </w:r>
      <w:r w:rsidRPr="00734D6B">
        <w:fldChar w:fldCharType="separate"/>
      </w:r>
      <w:r w:rsidRPr="00D17D71">
        <w:rPr>
          <w:noProof/>
        </w:rPr>
        <w:t>[21]</w:t>
      </w:r>
      <w:r w:rsidRPr="00734D6B">
        <w:fldChar w:fldCharType="end"/>
      </w:r>
      <w:r w:rsidRPr="00734D6B">
        <w:t>.</w:t>
      </w:r>
      <w:r w:rsidRPr="004654D6">
        <w:t xml:space="preserve"> For </w:t>
      </w:r>
      <w:r w:rsidRPr="00DD5847">
        <w:rPr>
          <w:i/>
        </w:rPr>
        <w:t>Bacon</w:t>
      </w:r>
      <w:r w:rsidRPr="004654D6">
        <w:t>, the high cost of Pt catalysts was the main barrier to the commercial adoption of fuel cells. Nickel was selected as it possesses a high affinity for the oxidation of hydrogen. This combined with the aqueous KOH electrolyte, 200</w:t>
      </w:r>
      <w:r w:rsidR="0073718A">
        <w:t xml:space="preserve"> </w:t>
      </w:r>
      <w:r w:rsidRPr="00DD5847">
        <w:rPr>
          <w:rFonts w:ascii="Times New Roman" w:hAnsi="Times New Roman" w:cs="Times New Roman"/>
        </w:rPr>
        <w:t>°</w:t>
      </w:r>
      <w:r w:rsidRPr="004654D6">
        <w:t>C and 5 MPa of operating pressure led to the production of a system with a power output of 5</w:t>
      </w:r>
      <w:r w:rsidR="0073718A">
        <w:t xml:space="preserve"> </w:t>
      </w:r>
      <w:r w:rsidRPr="004654D6">
        <w:t>kW in 1959</w:t>
      </w:r>
      <w:r>
        <w:t xml:space="preserve"> (</w:t>
      </w:r>
      <w:r>
        <w:fldChar w:fldCharType="begin"/>
      </w:r>
      <w:r>
        <w:instrText xml:space="preserve"> REF _Ref50631790 \h  \* MERGEFORMAT </w:instrText>
      </w:r>
      <w:r>
        <w:fldChar w:fldCharType="separate"/>
      </w:r>
      <w:r w:rsidRPr="00C103C3">
        <w:t>Figure 1.2</w:t>
      </w:r>
      <w:r>
        <w:fldChar w:fldCharType="end"/>
      </w:r>
      <w:r>
        <w:t xml:space="preserve">) </w:t>
      </w:r>
      <w:r w:rsidRPr="00734D6B">
        <w:fldChar w:fldCharType="begin" w:fldLock="1"/>
      </w:r>
      <w:r>
        <w:instrText>ADDIN CSL_CITATION {"citationItems":[{"id":"ITEM-1","itemData":{"DOI":"10.1149/1.2992503","abstract":"Alkaline Fuel Cells: The Bacon Fuel Cell, the Apollo NASA Space Shuttle and the Russian System. The Allis Chalmers Tractor,the Union Carbide GM-Electrovan, the Kordesch Hybrid Car, the Eloflux and the Elenco System and the European Space Power Plant for Hermes. Also: the Dornier-Siemens and the Swedish Navy System and Olle Lindstroems work. The fuel cells by Hoechst and von ZeTek. A bipolar system was built in Graz and at Apollo Energy Systems, Inc. 2 kW AFCs were tested with NH3. Liquified Ammonia can be converted to 75 % H2 and 25 % N2. The capacity by wt.and vol. of ammonia surpasses methanol. Ammonia is produced worldwide in several 100 million tons per year. Ammonia is available on farms. Refrigerators worked safely with ammonia. Internal Combustion Engines operate on cracked Ammoniamix with increased power and higher efficiency. ","author":[{"dropping-particle":"","family":"Hacker","given":"Viktor","non-dropping-particle":"","parse-names":false,"suffix":""},{"dropping-particle":"","family":"Cifrain","given":"Martin","non-dropping-particle":"","parse-names":false,"suffix":""},{"dropping-particle":"","family":"Kordesch","given":"Karl","non-dropping-particle":"","parse-names":false,"suffix":""},{"dropping-particle":"","family":"Hejze","given":"Thomas","non-dropping-particle":"","parse-names":false,"suffix":""},{"dropping-particle":"","family":"Aronsson","given":"Robert R.","non-dropping-particle":"","parse-names":false,"suffix":""},{"dropping-particle":"","family":"Reichmann","given":"Klaus","non-dropping-particle":"","parse-names":false,"suffix":""}],"container-title":"ECS Transactions","id":"ITEM-1","issue":"32","issued":{"date-parts":[["2008"]]},"page":"167-185","title":"The Safe and Economic Revival of Alkaline Hydrogen/Air Fuel Cells with Circulating Electrolytes, Recommended for Vehicles Using Battery Hybrid Systems and H2 from Ammonia Crackers","type":"article-journal","volume":"11"},"uris":["http://www.mendeley.com/documents/?uuid=4e3e9af5-1c28-4e78-9d95-f66487451599"]}],"mendeley":{"formattedCitation":"[21]","plainTextFormattedCitation":"[21]","previouslyFormattedCitation":"[21]"},"properties":{"noteIndex":0},"schema":"https://github.com/citation-style-language/schema/raw/master/csl-citation.json"}</w:instrText>
      </w:r>
      <w:r w:rsidRPr="00734D6B">
        <w:fldChar w:fldCharType="separate"/>
      </w:r>
      <w:r w:rsidRPr="00D17D71">
        <w:rPr>
          <w:noProof/>
        </w:rPr>
        <w:t>[21]</w:t>
      </w:r>
      <w:r w:rsidRPr="00734D6B">
        <w:fldChar w:fldCharType="end"/>
      </w:r>
      <w:r w:rsidRPr="00734D6B">
        <w:t>.</w:t>
      </w:r>
    </w:p>
    <w:p w14:paraId="6C52D90C" w14:textId="77777777" w:rsidR="00007F6C" w:rsidRDefault="00007F6C" w:rsidP="00007F6C">
      <w:pPr>
        <w:keepNext/>
        <w:jc w:val="center"/>
      </w:pPr>
      <w:r>
        <w:rPr>
          <w:noProof/>
        </w:rPr>
        <w:drawing>
          <wp:inline distT="0" distB="0" distL="0" distR="0" wp14:anchorId="4B43AF5A" wp14:editId="7EAAF73E">
            <wp:extent cx="3667637" cy="2648320"/>
            <wp:effectExtent l="0" t="0" r="9525" b="0"/>
            <wp:docPr id="2" name="Picture 2" descr="A picture containing table, sitting, photo,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able, sitting, photo, desk&#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667637" cy="2648320"/>
                    </a:xfrm>
                    <a:prstGeom prst="rect">
                      <a:avLst/>
                    </a:prstGeom>
                  </pic:spPr>
                </pic:pic>
              </a:graphicData>
            </a:graphic>
          </wp:inline>
        </w:drawing>
      </w:r>
    </w:p>
    <w:p w14:paraId="415D85D7" w14:textId="2032F86E" w:rsidR="00007F6C" w:rsidRPr="00225729" w:rsidRDefault="00007F6C" w:rsidP="00007F6C">
      <w:pPr>
        <w:jc w:val="center"/>
        <w:rPr>
          <w:i/>
          <w:iCs/>
          <w:color w:val="44546A" w:themeColor="text2"/>
          <w:sz w:val="18"/>
          <w:szCs w:val="18"/>
        </w:rPr>
      </w:pPr>
      <w:bookmarkStart w:id="11" w:name="_Ref50631790"/>
      <w:bookmarkStart w:id="12" w:name="_Toc69114906"/>
      <w:r w:rsidRPr="00225729">
        <w:rPr>
          <w:i/>
          <w:iCs/>
          <w:color w:val="44546A" w:themeColor="text2"/>
          <w:sz w:val="18"/>
          <w:szCs w:val="18"/>
        </w:rPr>
        <w:t>Figure 1.</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C73B12">
        <w:rPr>
          <w:i/>
          <w:iCs/>
          <w:noProof/>
          <w:color w:val="44546A" w:themeColor="text2"/>
          <w:sz w:val="18"/>
          <w:szCs w:val="18"/>
        </w:rPr>
        <w:t>2</w:t>
      </w:r>
      <w:r w:rsidR="00285C23">
        <w:rPr>
          <w:i/>
          <w:iCs/>
          <w:color w:val="44546A" w:themeColor="text2"/>
          <w:sz w:val="18"/>
          <w:szCs w:val="18"/>
        </w:rPr>
        <w:fldChar w:fldCharType="end"/>
      </w:r>
      <w:bookmarkEnd w:id="11"/>
      <w:r w:rsidRPr="00225729">
        <w:rPr>
          <w:i/>
          <w:iCs/>
          <w:color w:val="44546A" w:themeColor="text2"/>
          <w:sz w:val="18"/>
          <w:szCs w:val="18"/>
        </w:rPr>
        <w:t xml:space="preserve">: Photograph of the stacked Francis Bacon Alkaline Fuel Cell from 1959 </w:t>
      </w:r>
      <w:r w:rsidRPr="00225729">
        <w:rPr>
          <w:i/>
          <w:iCs/>
          <w:color w:val="44546A" w:themeColor="text2"/>
          <w:sz w:val="18"/>
          <w:szCs w:val="18"/>
        </w:rPr>
        <w:fldChar w:fldCharType="begin" w:fldLock="1"/>
      </w:r>
      <w:r>
        <w:rPr>
          <w:i/>
          <w:iCs/>
          <w:color w:val="44546A" w:themeColor="text2"/>
          <w:sz w:val="18"/>
          <w:szCs w:val="18"/>
        </w:rPr>
        <w:instrText>ADDIN CSL_CITATION {"citationItems":[{"id":"ITEM-1","itemData":{"DOI":"10.1149/1.2992503","abstract":"Alkaline Fuel Cells: The Bacon Fuel Cell, the Apollo NASA Space Shuttle and the Russian System. The Allis Chalmers Tractor,the Union Carbide GM-Electrovan, the Kordesch Hybrid Car, the Eloflux and the Elenco System and the European Space Power Plant for Hermes. Also: the Dornier-Siemens and the Swedish Navy System and Olle Lindstroems work. The fuel cells by Hoechst and von ZeTek. A bipolar system was built in Graz and at Apollo Energy Systems, Inc. 2 kW AFCs were tested with NH3. Liquified Ammonia can be converted to 75 % H2 and 25 % N2. The capacity by wt.and vol. of ammonia surpasses methanol. Ammonia is produced worldwide in several 100 million tons per year. Ammonia is available on farms. Refrigerators worked safely with ammonia. Internal Combustion Engines operate on cracked Ammoniamix with increased power and higher efficiency. ","author":[{"dropping-particle":"","family":"Hacker","given":"Viktor","non-dropping-particle":"","parse-names":false,"suffix":""},{"dropping-particle":"","family":"Cifrain","given":"Martin","non-dropping-particle":"","parse-names":false,"suffix":""},{"dropping-particle":"","family":"Kordesch","given":"Karl","non-dropping-particle":"","parse-names":false,"suffix":""},{"dropping-particle":"","family":"Hejze","given":"Thomas","non-dropping-particle":"","parse-names":false,"suffix":""},{"dropping-particle":"","family":"Aronsson","given":"Robert R.","non-dropping-particle":"","parse-names":false,"suffix":""},{"dropping-particle":"","family":"Reichmann","given":"Klaus","non-dropping-particle":"","parse-names":false,"suffix":""}],"container-title":"ECS Transactions","id":"ITEM-1","issue":"32","issued":{"date-parts":[["2008"]]},"page":"167-185","title":"The Safe and Economic Revival of Alkaline Hydrogen/Air Fuel Cells with Circulating Electrolytes, Recommended for Vehicles Using Battery Hybrid Systems and H2 from Ammonia Crackers","type":"article-journal","volume":"11"},"uris":["http://www.mendeley.com/documents/?uuid=4e3e9af5-1c28-4e78-9d95-f66487451599"]}],"mendeley":{"formattedCitation":"[21]","plainTextFormattedCitation":"[21]","previouslyFormattedCitation":"[21]"},"properties":{"noteIndex":0},"schema":"https://github.com/citation-style-language/schema/raw/master/csl-citation.json"}</w:instrText>
      </w:r>
      <w:r w:rsidRPr="00225729">
        <w:rPr>
          <w:i/>
          <w:iCs/>
          <w:color w:val="44546A" w:themeColor="text2"/>
          <w:sz w:val="18"/>
          <w:szCs w:val="18"/>
        </w:rPr>
        <w:fldChar w:fldCharType="separate"/>
      </w:r>
      <w:r w:rsidRPr="00D17D71">
        <w:rPr>
          <w:iCs/>
          <w:noProof/>
          <w:color w:val="44546A" w:themeColor="text2"/>
          <w:sz w:val="18"/>
          <w:szCs w:val="18"/>
        </w:rPr>
        <w:t>[21]</w:t>
      </w:r>
      <w:r w:rsidRPr="00225729">
        <w:rPr>
          <w:i/>
          <w:iCs/>
          <w:color w:val="44546A" w:themeColor="text2"/>
          <w:sz w:val="18"/>
          <w:szCs w:val="18"/>
        </w:rPr>
        <w:fldChar w:fldCharType="end"/>
      </w:r>
      <w:r w:rsidRPr="00225729">
        <w:rPr>
          <w:i/>
          <w:iCs/>
          <w:color w:val="44546A" w:themeColor="text2"/>
          <w:sz w:val="18"/>
          <w:szCs w:val="18"/>
        </w:rPr>
        <w:t>.</w:t>
      </w:r>
      <w:bookmarkEnd w:id="12"/>
    </w:p>
    <w:p w14:paraId="3BE452E9" w14:textId="77777777" w:rsidR="00007F6C" w:rsidRDefault="00007F6C" w:rsidP="00007F6C">
      <w:pPr>
        <w:jc w:val="both"/>
      </w:pPr>
      <w:r w:rsidRPr="004654D6">
        <w:t>Important events concerning the research and creation of the major fuel cell types can be found in</w:t>
      </w:r>
      <w:r>
        <w:t xml:space="preserve"> </w:t>
      </w:r>
      <w:r>
        <w:fldChar w:fldCharType="begin"/>
      </w:r>
      <w:r>
        <w:instrText xml:space="preserve"> REF _Ref50631864 \h  \* MERGEFORMAT </w:instrText>
      </w:r>
      <w:r>
        <w:fldChar w:fldCharType="separate"/>
      </w:r>
      <w:r w:rsidRPr="00C103C3">
        <w:t>Figure 1.3</w:t>
      </w:r>
      <w:r>
        <w:fldChar w:fldCharType="end"/>
      </w:r>
      <w:r>
        <w:t xml:space="preserve"> </w:t>
      </w:r>
      <w:r w:rsidRPr="004654D6">
        <w:t>and are discu</w:t>
      </w:r>
      <w:r w:rsidRPr="00225729">
        <w:t xml:space="preserve">ssed in </w:t>
      </w:r>
      <w:r>
        <w:t xml:space="preserve">Section </w:t>
      </w:r>
      <w:r w:rsidRPr="00225729">
        <w:t>1.2.2.</w:t>
      </w:r>
    </w:p>
    <w:p w14:paraId="414D8B43" w14:textId="77777777" w:rsidR="00007F6C" w:rsidRDefault="00007F6C" w:rsidP="00007F6C"/>
    <w:p w14:paraId="56E46247" w14:textId="77777777" w:rsidR="00007F6C" w:rsidRDefault="00007F6C" w:rsidP="00007F6C">
      <w:pPr>
        <w:keepNext/>
        <w:jc w:val="center"/>
      </w:pPr>
      <w:r w:rsidRPr="004654D6">
        <w:rPr>
          <w:noProof/>
          <w:lang w:eastAsia="en-GB"/>
        </w:rPr>
        <w:lastRenderedPageBreak/>
        <w:drawing>
          <wp:inline distT="0" distB="0" distL="0" distR="0" wp14:anchorId="7FDC06C5" wp14:editId="36FCC082">
            <wp:extent cx="5731510" cy="4113164"/>
            <wp:effectExtent l="0" t="0" r="2540" b="190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uel Cell Timeline.png"/>
                    <pic:cNvPicPr/>
                  </pic:nvPicPr>
                  <pic:blipFill rotWithShape="1">
                    <a:blip r:embed="rId11" cstate="print">
                      <a:extLst>
                        <a:ext uri="{28A0092B-C50C-407E-A947-70E740481C1C}">
                          <a14:useLocalDpi xmlns:a14="http://schemas.microsoft.com/office/drawing/2010/main" val="0"/>
                        </a:ext>
                      </a:extLst>
                    </a:blip>
                    <a:srcRect r="3761"/>
                    <a:stretch/>
                  </pic:blipFill>
                  <pic:spPr bwMode="auto">
                    <a:xfrm>
                      <a:off x="0" y="0"/>
                      <a:ext cx="5731510" cy="4113164"/>
                    </a:xfrm>
                    <a:prstGeom prst="rect">
                      <a:avLst/>
                    </a:prstGeom>
                    <a:ln>
                      <a:noFill/>
                    </a:ln>
                    <a:extLst>
                      <a:ext uri="{53640926-AAD7-44D8-BBD7-CCE9431645EC}">
                        <a14:shadowObscured xmlns:a14="http://schemas.microsoft.com/office/drawing/2010/main"/>
                      </a:ext>
                    </a:extLst>
                  </pic:spPr>
                </pic:pic>
              </a:graphicData>
            </a:graphic>
          </wp:inline>
        </w:drawing>
      </w:r>
    </w:p>
    <w:p w14:paraId="129B2EF0" w14:textId="6F879994" w:rsidR="00007F6C" w:rsidRPr="00225729" w:rsidRDefault="00007F6C" w:rsidP="00007F6C">
      <w:pPr>
        <w:jc w:val="center"/>
        <w:rPr>
          <w:i/>
          <w:iCs/>
          <w:color w:val="44546A" w:themeColor="text2"/>
          <w:sz w:val="18"/>
          <w:szCs w:val="18"/>
        </w:rPr>
      </w:pPr>
      <w:bookmarkStart w:id="13" w:name="_Ref50631864"/>
      <w:bookmarkStart w:id="14" w:name="_Toc69114907"/>
      <w:r w:rsidRPr="00225729">
        <w:rPr>
          <w:i/>
          <w:iCs/>
          <w:color w:val="44546A" w:themeColor="text2"/>
          <w:sz w:val="18"/>
          <w:szCs w:val="18"/>
        </w:rPr>
        <w:t>Figure 1.</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C73B12">
        <w:rPr>
          <w:i/>
          <w:iCs/>
          <w:noProof/>
          <w:color w:val="44546A" w:themeColor="text2"/>
          <w:sz w:val="18"/>
          <w:szCs w:val="18"/>
        </w:rPr>
        <w:t>3</w:t>
      </w:r>
      <w:r w:rsidR="00285C23">
        <w:rPr>
          <w:i/>
          <w:iCs/>
          <w:color w:val="44546A" w:themeColor="text2"/>
          <w:sz w:val="18"/>
          <w:szCs w:val="18"/>
        </w:rPr>
        <w:fldChar w:fldCharType="end"/>
      </w:r>
      <w:bookmarkEnd w:id="13"/>
      <w:r w:rsidRPr="00225729">
        <w:rPr>
          <w:i/>
          <w:iCs/>
          <w:color w:val="44546A" w:themeColor="text2"/>
          <w:sz w:val="18"/>
          <w:szCs w:val="18"/>
        </w:rPr>
        <w:t xml:space="preserve">: </w:t>
      </w:r>
      <w:bookmarkStart w:id="15" w:name="_Hlk50379628"/>
      <w:r w:rsidRPr="00225729">
        <w:rPr>
          <w:i/>
          <w:iCs/>
          <w:color w:val="44546A" w:themeColor="text2"/>
          <w:sz w:val="18"/>
          <w:szCs w:val="18"/>
        </w:rPr>
        <w:t xml:space="preserve">Timeline of important events in the conception and production of different fuel cell types across the past 180 years </w:t>
      </w:r>
      <w:bookmarkEnd w:id="15"/>
      <w:r w:rsidRPr="00225729">
        <w:rPr>
          <w:i/>
          <w:iCs/>
          <w:color w:val="44546A" w:themeColor="text2"/>
          <w:sz w:val="18"/>
          <w:szCs w:val="18"/>
        </w:rPr>
        <w:fldChar w:fldCharType="begin" w:fldLock="1"/>
      </w:r>
      <w:r>
        <w:rPr>
          <w:i/>
          <w:iCs/>
          <w:color w:val="44546A" w:themeColor="text2"/>
          <w:sz w:val="18"/>
          <w:szCs w:val="18"/>
        </w:rPr>
        <w:instrText>ADDIN CSL_CITATION {"citationItems":[{"id":"ITEM-1","itemData":{"DOI":"10.1080/14786435.2012.742293","ISBN":"1478-6435","author":[{"dropping-particle":"","family":"Grove","given":"W R","non-dropping-particle":"","parse-names":false,"suffix":""}],"container-title":"Philosophical Magazine","id":"ITEM-1","issue":"31","issued":{"date-parts":[["2012"]]},"page":"3753-3756","publisher":"Taylor &amp; Francis","title":"On a Gaseous Voltaic Battery","type":"article-journal","volume":"92"},"uris":["http://www.mendeley.com/documents/?uuid=0a034901-1ac7-458d-af62-64bbe83e207a"]},{"id":"ITEM-2","itemData":{"DOI":"10.1002/9781118191323","ISBN":"9781118087565","author":[{"dropping-particle":"","family":"Bagotsky","given":"Vladimir S.","non-dropping-particle":"","parse-names":false,"suffix":""}],"container-title":"Fuel Cells: Problems and Solutions: Second Edition","id":"ITEM-2","issued":{"date-parts":[["2012"]]},"title":"Fuel Cells: Problems and Solutions: Second Edition","type":"book"},"uris":["http://www.mendeley.com/documents/?uuid=c869f6b3-cb59-45bb-9704-8afee35620f5"]},{"id":"ITEM-3","itemData":{"DOI":"10.1016/0378-7753(90)80002-U","ISSN":"03787753","author":[{"dropping-particle":"","family":"Appleby","given":"A. J.","non-dropping-particle":"","parse-names":false,"suffix":""}],"container-title":"Journal of Power Sources","id":"ITEM-3","issue":"1-2","issued":{"date-parts":[["1990"]]},"page":"3-11","title":"From Sir William Grove to today: fuel cells and the future","type":"article-journal","volume":"29"},"uris":["http://www.mendeley.com/documents/?uuid=3ee7632e-dc14-4bf1-8aa8-d78143746a1a"]},{"id":"ITEM-4","itemData":{"DOI":"10.1007/s100080050018","ISBN":"1432-8488\r1433-0768","ISSN":"14328488","abstract":"The path to the discovery of galvanic solid electrolyte gas cells (J.-M. Gaugain 1853) and to the ®rst industrially produced solid electrolyte gas cells (Nernst lamps 1897) is described. The development of the fundamentals of solid electrolyte fuel cells started with the work of Haber 1905, Schottky 1935, Baur 1937 and Wagner 1943. Extensive work in the ®eld of solid oxide fuel cells (SOFCs) was done in the ®fties by Peters and MoÈ bius. After 1960, a rapidly growing number of scientists worked on the di erent problems of SOFCs, and by 1970 the basis was established on which the broad technologically orientated development of SO- FCs proceeds today.","author":[{"dropping-particle":"","family":"Möbius","given":"Hans Heinrich","non-dropping-particle":"","parse-names":false,"suffix":""}],"chapter-number":"2","container-title":"Journal of Solid State Electrochemistry","id":"ITEM-4","issue":"1","issued":{"date-parts":[["1997"]]},"page":"2-16","title":"On the history of solid electrolyte fuel cells","type":"article-journal","volume":"1"},"uris":["http://www.mendeley.com/documents/?uuid=6ce4600c-1819-4c54-8b80-62c7ba1e3537"]},{"id":"ITEM-5","itemData":{"author":[{"dropping-particle":"","family":"Wagner","given":"C","non-dropping-particle":"","parse-names":false,"suffix":""}],"container-title":"Naturwissenschaften","id":"ITEM-5","issued":{"date-parts":[["1943"]]},"page":"265-268","title":"UÈber den Mechanismus der elektrischen Stromleitung im Nernststift.","type":"article-journal","volume":"31"},"uris":["http://www.mendeley.com/documents/?uuid=ae603b52-2231-4360-85ad-7c16abc1942e"]},{"id":"ITEM-6","itemData":{"id":"ITEM-6","issued":{"date-parts":[["0"]]},"publisher":"National Renewable Energy Laboratory","publisher-place":"U.S. Department of Energy Hydrogen and Fuel Cells Program","title":"No Title","type":"report"},"uris":["http://www.mendeley.com/documents/?uuid=b9c16fad-9ae0-4736-8f28-1fdfd727f792"]},{"id":"ITEM-7","itemData":{"DOI":"10.1149/1.2992503","abstract":"Alkaline Fuel Cells: The Bacon Fuel Cell, the Apollo NASA Space Shuttle and the Russian System. The Allis Chalmers Tractor,the Union Carbide GM-Electrovan, the Kordesch Hybrid Car, the Eloflux and the Elenco System and the European Space Power Plant for Hermes. Also: the Dornier-Siemens and the Swedish Navy System and Olle Lindstroems work. The fuel cells by Hoechst and von ZeTek. A bipolar system was built in Graz and at Apollo Energy Systems, Inc. 2 kW AFCs were tested with NH3. Liquified Ammonia can be converted to 75 % H2 and 25 % N2. The capacity by wt.and vol. of ammonia surpasses methanol. Ammonia is produced worldwide in several 100 million tons per year. Ammonia is available on farms. Refrigerators worked safely with ammonia. Internal Combustion Engines operate on cracked Ammoniamix with increased power and higher efficiency. ","author":[{"dropping-particle":"","family":"Hacker","given":"Viktor","non-dropping-particle":"","parse-names":false,"suffix":""},{"dropping-particle":"","family":"Cifrain","given":"Martin","non-dropping-particle":"","parse-names":false,"suffix":""},{"dropping-particle":"","family":"Kordesch","given":"Karl","non-dropping-particle":"","parse-names":false,"suffix":""},{"dropping-particle":"","family":"Hejze","given":"Thomas","non-dropping-particle":"","parse-names":false,"suffix":""},{"dropping-particle":"","family":"Aronsson","given":"Robert R.","non-dropping-particle":"","parse-names":false,"suffix":""},{"dropping-particle":"","family":"Reichmann","given":"Klaus","non-dropping-particle":"","parse-names":false,"suffix":""}],"container-title":"ECS Transactions","id":"ITEM-7","issue":"32","issued":{"date-parts":[["2008"]]},"page":"167-185","title":"The Safe and Economic Revival of Alkaline Hydrogen/Air Fuel Cells with Circulating Electrolytes, Recommended for Vehicles Using Battery Hybrid Systems and H2 from Ammonia Crackers","type":"article-journal","volume":"11"},"uris":["http://www.mendeley.com/documents/?uuid=4e3e9af5-1c28-4e78-9d95-f66487451599"]}],"mendeley":{"formattedCitation":"[14], [16], [20]–[24]","plainTextFormattedCitation":"[14], [16], [20]–[24]","previouslyFormattedCitation":"[14], [16], [20]–[24]"},"properties":{"noteIndex":0},"schema":"https://github.com/citation-style-language/schema/raw/master/csl-citation.json"}</w:instrText>
      </w:r>
      <w:r w:rsidRPr="00225729">
        <w:rPr>
          <w:i/>
          <w:iCs/>
          <w:color w:val="44546A" w:themeColor="text2"/>
          <w:sz w:val="18"/>
          <w:szCs w:val="18"/>
        </w:rPr>
        <w:fldChar w:fldCharType="separate"/>
      </w:r>
      <w:r w:rsidRPr="00D17D71">
        <w:rPr>
          <w:iCs/>
          <w:noProof/>
          <w:color w:val="44546A" w:themeColor="text2"/>
          <w:sz w:val="18"/>
          <w:szCs w:val="18"/>
        </w:rPr>
        <w:t>[14], [16], [20]–[24]</w:t>
      </w:r>
      <w:bookmarkEnd w:id="14"/>
      <w:r w:rsidRPr="00225729">
        <w:rPr>
          <w:i/>
          <w:iCs/>
          <w:color w:val="44546A" w:themeColor="text2"/>
          <w:sz w:val="18"/>
          <w:szCs w:val="18"/>
        </w:rPr>
        <w:fldChar w:fldCharType="end"/>
      </w:r>
    </w:p>
    <w:p w14:paraId="66646B4D" w14:textId="77777777" w:rsidR="00007F6C" w:rsidRPr="004654D6" w:rsidRDefault="00007F6C" w:rsidP="00007F6C">
      <w:pPr>
        <w:pStyle w:val="Heading2"/>
      </w:pPr>
      <w:bookmarkStart w:id="16" w:name="_Toc69129349"/>
      <w:r w:rsidRPr="004654D6">
        <w:t>1.2</w:t>
      </w:r>
      <w:r w:rsidRPr="004654D6">
        <w:tab/>
        <w:t>Overview of Fuel Cell Technology</w:t>
      </w:r>
      <w:bookmarkEnd w:id="16"/>
      <w:r w:rsidRPr="004654D6">
        <w:t xml:space="preserve"> </w:t>
      </w:r>
    </w:p>
    <w:p w14:paraId="35755911" w14:textId="78CE4E9D" w:rsidR="00007F6C" w:rsidRPr="004654D6" w:rsidRDefault="00007F6C" w:rsidP="00007F6C">
      <w:pPr>
        <w:pStyle w:val="Heading3"/>
      </w:pPr>
      <w:bookmarkStart w:id="17" w:name="_Toc69129350"/>
      <w:r w:rsidRPr="004654D6">
        <w:t>1.2.1</w:t>
      </w:r>
      <w:r w:rsidRPr="004654D6">
        <w:tab/>
        <w:t xml:space="preserve">Basic </w:t>
      </w:r>
      <w:r w:rsidR="001D02E0">
        <w:t>Fuel Cell O</w:t>
      </w:r>
      <w:r w:rsidRPr="004654D6">
        <w:t xml:space="preserve">perating </w:t>
      </w:r>
      <w:r w:rsidR="001D02E0">
        <w:t>P</w:t>
      </w:r>
      <w:r w:rsidRPr="004654D6">
        <w:t>rinciples</w:t>
      </w:r>
      <w:bookmarkEnd w:id="17"/>
    </w:p>
    <w:p w14:paraId="71E6B0D2" w14:textId="77777777" w:rsidR="00007F6C" w:rsidRDefault="00007F6C" w:rsidP="00007F6C">
      <w:pPr>
        <w:jc w:val="both"/>
      </w:pPr>
      <w:r w:rsidRPr="004654D6">
        <w:t>A fuel cell is an electrochemical device which both reduces and oxidises air and fuel components at the cathode and anode which release electrons which can be cycled to do useful work</w:t>
      </w:r>
      <w:r>
        <w:t xml:space="preserve"> </w:t>
      </w:r>
      <w:r>
        <w:fldChar w:fldCharType="begin" w:fldLock="1"/>
      </w:r>
      <w:r>
        <w:instrText>ADDIN CSL_CITATION {"citationItems":[{"id":"ITEM-1","itemData":{"ISBN":"00-442-31926-6","author":[{"dropping-particle":"","family":"Appleby","given":"A J","non-dropping-particle":"","parse-names":false,"suffix":""},{"dropping-particle":"","family":"Foulkes","given":"F R","non-dropping-particle":"","parse-names":false,"suffix":""}],"id":"ITEM-1","issued":{"date-parts":[["1988"]]},"publisher":"Van Nostrand Reinhold","title":"Fuel Cell Handbook","type":"book"},"uris":["http://www.mendeley.com/documents/?uuid=61a75d6c-0322-4da6-91bc-80ede657b69e"]},{"id":"ITEM-2","itemData":{"DOI":"10.1002/9781118191323","ISBN":"9781118087565","author":[{"dropping-particle":"","family":"Bagotsky","given":"Vladimir S.","non-dropping-particle":"","parse-names":false,"suffix":""}],"container-title":"Fuel Cells: Problems and Solutions: Second Edition","id":"ITEM-2","issued":{"date-parts":[["2012"]]},"title":"Fuel Cells: Problems and Solutions: Second Edition","type":"book"},"uris":["http://www.mendeley.com/documents/?uuid=c869f6b3-cb59-45bb-9704-8afee35620f5"]},{"id":"ITEM-3","itemData":{"DOI":"10.1111/j.1151-2916.1993.tb03645.x","ISBN":"00027820 (ISSN)","abstract":"A ceramic fuel cell in an all solid‐state energy conversion device that produces electricity by electrochemically combining fuel and oxidant gases across an ionic conducting oxide. Current ceramic fuel cells use an oxygen‐ion conductor or a proton conductor as the electrolyte and operate at high temperatures (&gt;600°C). Ceramic fuel cells, commonly referred to as solid‐oxide fuel cells (SOFCs), are presently under development for a variety of power generation applications. This paper reviews the science and technology of ceramic fuel cells and discusses the critical issues posed by the development of this type of fuel cell. The emphasis is given to the discussion of component materials (especially, ZrO2 electrolyte, nickel/ZrO2 cermet anode, LaMnO3 cathode, and LaCrO3 interconnect), gas reactions at the electrodes, stack designs, and processing techniques used in the fabrication of required ceramic structures. Copyright © 1993, Wiley Blackwell. All rights reserved","author":[{"dropping-particle":"","family":"Minh","given":"N Q","non-dropping-particle":"","parse-names":false,"suffix":""}],"container-title":"Journal of the American Ceramic Society","id":"ITEM-3","issue":"3","issued":{"date-parts":[["1993"]]},"language":"English","note":"Cited By :3099\nExport Date: 30 November 2016\nCorrespondence Address: Minh, N.Q.; AiResearch Los Angeles Division, Allied-Signal Aerospace Company, Torrance, California, 90504-6099, United States\nReferences: Grove, W.R., On Voltaic Series and the Combination of Gases by Platinum (1839) Philos. Mag., 14, pp. 127-130; Nernst, W., Uber Die Elektrolytische Leitung Fester Körper Bei Sehr Hohen Temperaturen (1899) Z. Elektrochem., 6, pp. 41-43; Baur, E., Preis, H., Uber Brennstoff‐Ketten Mit Festleitern (1937) Z. Elektrochem., 43, pp. 727-732; Minh, N.Q., High‐Temperature Fuel Cells. Part 2: The Solid Oxide Cell (1991) CHEMTECH, 21, pp. 120-126; (1981) Science and Technology of Zirconia, 3. , Edited by, A. H. Heuer, L. W. Hobbs, American Ceramic Society, Columbus, OH; (1984) Science and Technology of Zirconia II, 12. , Edited by, N. Claussen, M. Rühle, A. H. Heuer, American Ceramic Society, Columbus, OH; (1988) Science and Technology of Zirconia III, 24. , Edited by, S. Somiya, N. Yamamoto, H. Yanagida, American Ceramic Society, Westerville, OH; Stevens, R., (1986) An Introduction to Zirconia, , Magnesium Elektron, London, U.K; Etsell, T.H., Flengas, S.N., The Electrical Properties of Solid Oxide Electrolytes (1970) Chem. Rev., 70, pp. 339-376; Subbarao, E.C., Maiti, H.S., Solid Electrolytes with Oxygen Ion Conduction (1984) Solid State Ionics, 11, pp. 317-338; Patterson, J.W., Borgen, E.C., Rapp, R.A., Mixed Conduction in Zr0.85Ca0.15O1.85 and Th0.85Y0.15O1.85 Solid Electrolytes (1967) Journal of The Electrochemical Society, 114, pp. 752-758; Baumard, J.F., Abelard, P., , pp. 555-571. , “Defect Structure and Transport Properties of ZrO2‐Based Solid Electrolytes”; see Ref. 6, ppChoudhary, C.B., Maiti, H.S., Subbarao, E.C., Detect Structure and Transport Properties (1980) Solid Electrolytes and Their Applications, pp. 1-80. , Edited by, E. C. Subbarao, Plenum Press, New York; Badwal, S.P.S., Hughes, A.E., Modification of Cell Characteristics by Segregated Impurities (1991) Proceedings of the Second International Symposium on Solid Oxide Fuel Cells, pp. 445-454. , Edited by, F. Gross, P. Zegers, S. C. Singhal, O. Yamamoto, Commission of The European Communities, Luxembourg; Bauerle, J.E., Study of Solid Electrolyte Polarization by a Complex Admittance Method (1969) J. Phys. Chem. Solids, 30, pp. 2657-2670; Kleitz, M., Bernard, H., Fernandez, E., Schouler, E., , pp. 310-336. , “Impedance Spectroscopy and Electrical Resistance Measurements on Stabilized Zirconia”; see Ref. 5, ppVerkerk, M.J., Middelhuis, B.J., Burggraaf, A.J., Effect of Grain Boundaries on the Conductivity of High‐Purity ZrO2–Y2O3 Ceramics (1982) Solid State Ionics, 6, pp. 159-170; Butler, E.P., Slotwinski, R.K., Bonanos, N., Drennan, J., Steele, B.C.H., , pp. 572-584. , “Microstructural–Electrical Property Relationships in High‐Conductivity Zirconias”; see Ref. 6, ppBaukal, W., Solid Oxide Electrolyte with Time‐Dependent Conductivity (1972) From Electrocatalysis to Fuel Cells, pp. 247-254. , Edited by, G. Sandstede, University of Washington Press, Seattle, WA; Suzuki, Y., Shimada, A., Senda, S., Time‐Dependent Change in Electrical Resistivity of Polycrystalline YSZ and CSZ (1990) Solid State Ionics, 42, pp. 121-125; Badwal, S.P.S., Drennan, J., Yttria–Zirconia: Effect of Microstructure on Conductivity (1987) J. Mater. Sci., 22, pp. 3231-3239; Ciftcioglu, M., Mayo, M.J., (1990), “Processing of Nanocrystalline Ceramics”; presented at the Spring Meeting of the Materials Research Society, San Francisco, CA, April 16–21, 1990. Rept. No. DE90–015700, SAND‐90–1639C, CONF‐900466–78, National Technical Information Service, Alexandria, VAScott, C.E., Reed, J.S., Analysis of Cl‐ Ions Laundered from Submicron Zirconia Powders (1978) Am. Ceram. Soc. Bull., 57, pp. 741-743; Scott, C.E., Reed, J.S., Effect of Laundering and Milling on the Sintering Behavior of Stabilized ZrO2 Powders (1979) Am. Ceram. Soc. Bull., 58, pp. 587-590; Evans, A.G., The New High‐Toughness Ceramics (1989) Fracture Mechanics: Perspective and Directions, pp. 267-291. , (Twentieth Symposium), ASTM STP 1020. Edited by, R. P. Wei, R. P. Gangloff, American Society for Testing and Materials, Philadelphia, PA; Singh, J.P., Bosak, A.L., Dees, D.W., McPheeters, C.C., Improved Fracture Toughness of ZrO2 Electrolyte for Solid Oxide Fuel Cell (1988) 1988 Fuel Cell Seminar Abstracts, pp. 145-148. , (Long Beach, CA, Oct. 23–26, 1988)., Courtesy Associates, Washington, DC; Ishizaki, F., Yoshida, T., Sakurada, S., Effect of Alumina Addition on the Electrical Properties of Yttria‐Doped Zirconia (1989) Proceedings of the First International Symposium on Solid Oxide Fuel Cells, pp. 3-14. , Edited by, S. C. Singhal, The Electrochemical Society, Pennington, NJ; Hernandez, M.T., Jurado, J.R., Duran, P., , pp. 421-428. , “Effect of Al2O3, Additions on the Electrical Properties of ZrO2–Y2O3 and ZrO2–Y2O3–CeO2 Electrolytes”; see Ref. 14, ppYamamoto, O., Takeda, Y., Imanishi, N., Kawahara, T., Shen, G.Q., Mori, M., Abe, T., , pp. 437-444. , “Electrical and Mechanical Properties of Zirconia–Alumina Composite Electrolyte”; see Ref. 14, ppDuran, P., Jurado, J.R., Moure, C., Hernandez, M.T., Capel, F., , pp. 401-407. , “Improvement of the Mechanical Properties of Yttria‐Stabilized Zirconia Electrolyte”; see Ref. 14, ppWeppner, W., Tetragonal Zirconia for Solid Oxide Fuel Cells (1990) Proceedings of the International Symposium on Solid Oxide Fuel Cells, pp. 83-89. , Edited by, O. Yamamoto, M. Dokiya, H. Tagawa, Science House, Tokyo, Japan; Yoshida, T., Hoshina, T., Mukaizawa, I., Sakurada, S., Properties of Partially Stabilized Zirconia Fuel Cell (1989) J. Electrochem. Soc., 136, pp. 2604-2606; Yamamoto, O., Takeda, Y., Kanno, R., Kohno, K., Electrical Conductivity of Tetragonal Stabilized Zirconia (1990) J. Mater. Sci., 25, pp. 2805-2808; Sato, T., Shimada, M., Crystalline Phase Changes in Yttria‐Partially‐Stabilized Zirconia by Low‐Temperature Annealing (1984) J. Am. Ceram. Soc., 67 (10), pp. 212-213; Subbarao, E.C., Maiti, H.S., , pp. 731-747. , “Oxygen Sensors and Pumps”; see Ref. 7, ppVlasov, A.N., Perfiliev, M.V., Ageing of ZrO2‐Based Solid Electrolytes (1987) Solid State Ionics, 25, pp. 245-253; Takahashi, T., Iwahara, H., Nagai, Y., High Oxide Conduction in Sintered Bi2O3 Containing SrO, CaO, or La2O3 (1972) J. Appl. Electrochem., 2, pp. 97-104; Miyayama, M., Nishi, T., Yanagida, H., Oxygen Ionic Conduction in Y2O3‐Stabilized Bi2O3 and ZrO2 Composites (1987) J. Mater. Sci., 22, pp. 2624-2628; Verkerk, M.J., Keizer, K., Burggraaf, A.J., High Oxygen Ion Conduction in Sintered Oxides of Bi2O3–Er2O3 System (1980) J. Appl. Electrochem., 10, pp. 81-90; Takahashi, T., Esaka, T., Iwahara, H., Conduction of Bi2O3‐Based Oxide Ion Conductor Under Low Oxygen Pressure. II. Determination of the Partial Electronic Conductivity (1977) J. Appl. Electrochem., 7, pp. 303-308; Blumenthal, R.N., Brugner, F.S., Garnier, J.E., The Electrical Conductivity of CaO‐Doped Nonstoichiometric Cerium Oxide from 700° to 1500°C (1973) J. Electrochem. Soc., 120, pp. 1230-1237; Tuller, H.L., Nowick, A.S., Doped Ceria as a Solid Oxide Electrolyte (1975) J. Electrochem. Soc., 122, pp. 255-259; Swarr, T.E., Karavolis, S., Maricle, D.L., Enhanced Ceria—A Low‐Temperature SOFC Electrolyte (1990) Proceedings of the 25th Intersociety Energy Conversion Engineering Conference, 3, pp. 256-261. , American Institute of Chemical Engineers, New York; Yahiro, H., Baba, Y., Eguchi, K., Arai, H., High‐Temperature Fuel Cell with Ceria–Yttria Solid Electrolyte (1988) J. Electrochem. Soc., 135, pp. 2077-2080; Inoue, T., Setoguchi, T., Eguchi, K., Arai, H., Study of a Solid Oxide Fuel Cell with a Ceria‐Based Solid Electrolyte (1989) Solid State Ion'cs, 35, pp. 285-291; Virkar, A.V., Theoretical Analysis of Solid Oxide Fuel Cells with Two‐Layer Composite Electrolyte: Electrolyte Stability (1991) J. Electrochem. Soc., 138, pp. 1481-1487; Takahashi, T., Iwahara, H., Ionic Conduction in Perovskite‐Type Oxide Solid Solution and Its Application to Solid Electrolyte Fuel Cell (1971) Energy Convers., 11, pp. 105-111; Kilner, J.A., Barrow, P., Brook, R.J., Norgett, M.J., Electrolytes for the High‐Temperature Fuel Cell: Experimental and Theoretical Studies of the Perovskite LaAlO3 (1978) J. Power Sources, 3, pp. 67-80; Cook, R.L., MacDu'f, R.C., Sammells, A.F., Perovskite Solid Electrolytes for Intermediate‐Temperature Solid Oxide Fuel Cells (1990) J. Electrochem. Soc., 137, pp. 3309-3310; Sammells, A.F., Cook, R.L., Worrell, W.L., (1990), “Methane Conversion by Solid Electrolyte Membranes,” Rept. No. GR1‐90/0136, Gas Research Institute, Chicago, ILMurakami, S., Miyake, Y., Akiyama, Y., Ishida, N., Saito, T., Furukawa, N., , pp. 187-190. , “A Study on Composite Anode of Solid Oxide Fuel Cells”; see Ref. 31, ppDees, D.W., Claar, T.D., Easler, T.E., Fee, D.C., azek, F.C., Conductivity of Porous Ni/ZrO2‐Y2O3 Cermets (1987) Journal of The Electrochemical Society, 134, pp. 2141-2146; Ivers‐Tiffée, E., Wersing, W., Schießl, M., Greiner, H., Ceramic and Metallic Components for a Planar SOFC (1990) Berichte der Bunsengesellschaft für physikalische Chemie, 94, pp. 978-981; Majumdar, S., Claar, T., Flandermeyer, B., Stress and Fracture Behavior of Monolithic Fuel Cell Tapes (1986) J. Am. Ceram. Soc., 69, pp. 628-633; Easler, T., Flandermeyer, B.K., Claar, T.D., Busch, D.E., Fousek, R.J., Picciolo, J.J., Poeppel, R.B., Electrode Development for Monolithic Fuel Cells (1986) 1986 Fuel Cell Seminar Abstracts, pp. 72-75. , (Tucson, AZ, Oct. 26–29, 1986)., Courtesy Associates, Washington, DC; Markin, T.L., Bones, R.J., Dell, R.M., High‐Temperature Solid‐Electrolyte Fuel Cells (1976) Conference on Superionic Conductors, pp. 15-35. , Edited by, G. D. Mahan, W. L. Roth, Plenum Press, New York; Suzuki, M., Sasaki, H., Otoshi, S., Ippommatsu, M., , pp. 585-591. , “Development of Ru/ZrO2 SOFC Anode”; see Ref. 14, ppTakahashi, T., Iwahara, H., Suzuki, Y., Electrode Materials for High‐Temperature Solid Electrolyte Fuel Cells (1969) Proceedings of the Third International Symposium on Fuel Cells, pp. 113-119. , Presses Académiques Européennes, Brussels, Belgium; Steele, B.C.H., Middleton, P.H., Rudkin, R.A., Material Science Aspects of SOFC Technology with Special Reference to Anode Development (1990) Solid State Ionics, 40-41, pp. 388-393; Mogensen, M., , pp. 577-584. , “Properties of CeO2‐Based SOFC Anode Materials”; see Ref. 14, ppSwider, K.E., Worrell, W.L., , pp. 593-601. , “Synthesis and Characterization of Yuria. Stabilized Zirconia‐Titania Thin‐Film Electrodes”; see Ref. 14, ppLiou, S.S., Worrell, W.L., , pp. 81-89. , “Mixed‐Conducting Oxide Electrodes for Solid Oxide Fuel Cells”; see Ref. 27, ppLiou, S.S., Worrell, W.L., Electrical Properties of Novel Mixed‐Conducting Oxides (1989) Appl. Phys. A, 49, pp. 25-31; Tedmon, C.S., Jr., Spacil, H.S., Mitoff, S.P., Cathode Materials and Performance in High‐Temperature Zirconia Electrolyte Fuel Cells (1969) Journal of The Electrochemical Society, 116, pp. 1170-1175; Tofield, B.C., Scott, W.R., Oxidative Nonstoichiometry in Perovskites, an Experimental Survey: The Defect Structure of an Oxidized Lanthanum Manganite by Powder Neutron Diffraction (1974) J. Solid State Chem., 10, pp. 183-194; Kuo, J.H., Anderson, H.U., Sparlin, D.M., Oxidation‐Reduction Behavior of Undoped and Sr‐Doped LaMnO3: Defect Structure, Electrical Conductivity, and Thermoelectric Power (1990) J. Solid State Chem., 87, pp. 55-63; Rao, Wanklyn, B.M., Rao, C.N.R., Electrical Transport in Rare‐Earth Ortho‐Chromites, ‐Manganites, and ‐Ferrites (1971) J. Phys. Chem. Solids, 32, pp. 345-358; Kamata, K., Nakajima, T., Hayashi, T., Nakamura, T., Nonstoichiometric Behavior and Phase Stability of Rare‐Earth Manganites at 1200°C: (1). LaMnO3 (1978) Mater. Res. Bull., 13, pp. 49-54; Mizusaki, J., Tagawa, H., Naraya, K., Sasamoto, T., Nonstoichiometry and Thermochemical Stability of the Perovskite‐Type La1‐xSrxMnO3‐δ (1991) Solid State Ionics, 49, pp. 111-118; Kuo, J.H., Anderson, H.U., Sparlin, D.M., Oxidation‐Reduction Behavior of Undoped and Sr‐Doped LaMnO3 Nonstoichiometry and Defect Structure (1989) J. Solid State Chem., 83, pp. 52-60; Nakamura, T., Petzow, G., Gauckler, L.J., Stability of the Perovskite Phase LaBO3 (B = V, Cr, Mn, Fe, Co, Ni) in Reducing Atmospheres I. Experimental Results (1979) Mater. Res. Bull., 14, pp. 649-659; Sreedharan, O.M., Pankajavalli, R., Gnanamoorthy, J.B., Standard Gibbs' Energy of Formation of LaMnO3 from EMF Measurements (1983) High Temp. Sci., 16, pp. 251-256; Kamegashira, N., Miyazaki, Y., Hiyoshi, Y., Limiting Oxygen Partial Pressure of LaMnO3 Phase (1984) Mater. Lett., 2, pp. 194-195; Sreedharan, O.M., Chandrasekharaiah, M.S., Standard Gibbs' Energy of Formation of LaFeO3 and Comparison of Stability of LaMO3 (M = Mn, Fe, Co, Ni) Compounds (1986) J. Mater. Sci., 21, pp. 2581-2584; Ruka, R., (1983), pp. 295-302. , “Some Non‐Electrochemical Requirements for Air Electrode Materials of High‐Temperature Solid Electrolyte Fuel Cells”; pp., in Proceedings of the Conference on High–Temperature Solid Oxide Electrolytes, Vol. I–Anion Conductors (Brookhaven National Laboratory, Upton, NY, Aug. 16–17, 1983). Rept. No. BNL 51728–Vol. I, Brookhaven National Laboratory, Upton, NYJonker, G.H., Semiconducting Properties of Mixed Crystals with Perovskite Structure (1954) Physica (Amsterdam), 20, pp. 1118-1122; Tanaka, J., Takahashi, K., Yukino, K., Horiuchi, S., Electrical Conduction of (La0.8Ca0.2)MnO3 with Homogeneous Ionic Distribution (1983) Phys. Status Solidi, 80, pp. 621-630; Fandel, M., Höschele, J., Schäfer, W., Schmidberger, R., Properties of Ca‐Doped LaMnO3 (1989) Properties of Ceramics, 2, p. 2. , 236–2.240 in Euro‐ceramics, Vol,. Edited by, G. de With, R. A. Lerpstra, R. Metselaar, Elsevier Applied Science, London, U.K; Pavlov, V.I., Bogush, A.K., Bychkov, G.L., Influence of Impurity Centers on the Electrical Conductivity of Manganites with a Perovskite Structure (1984) Inorg. Mater. (Engl. Transl.), 20, pp. 752-754; Wold, A., Arnott, R.J., Goodenough, J.B., Some Magnetic and Crystallographic Properties of the System LaMn1‐xNixO3‐λ (1958) J. Appl. Phys., 29, pp. 387-389; Lyubkina, I.Ya., Kononyuk, I.F., Preparation and Electric Properties of LaMn1‐xNixO3 (O","page":"563-588","title":"Ceramic Fuel Cells","type":"article-journal","volume":"76"},"uris":["http://www.mendeley.com/documents/?uuid=7c17b8de-f21a-48a1-8286-c38ae0ab747c"]}],"mendeley":{"formattedCitation":"[1], [17], [22]","plainTextFormattedCitation":"[1], [17], [22]","previouslyFormattedCitation":"[1], [17], [22]"},"properties":{"noteIndex":0},"schema":"https://github.com/citation-style-language/schema/raw/master/csl-citation.json"}</w:instrText>
      </w:r>
      <w:r>
        <w:fldChar w:fldCharType="separate"/>
      </w:r>
      <w:r w:rsidRPr="00D17D71">
        <w:rPr>
          <w:noProof/>
        </w:rPr>
        <w:t>[1], [17], [22]</w:t>
      </w:r>
      <w:r>
        <w:fldChar w:fldCharType="end"/>
      </w:r>
      <w:r>
        <w:t>.</w:t>
      </w:r>
    </w:p>
    <w:bookmarkStart w:id="18" w:name="_Hlk50380390"/>
    <w:p w14:paraId="3A1A6BB7" w14:textId="77777777" w:rsidR="00007F6C" w:rsidRPr="004654D6" w:rsidRDefault="00B51F53" w:rsidP="00007F6C">
      <w:pPr>
        <w:jc w:val="both"/>
        <w:rPr>
          <w:rFonts w:eastAsiaTheme="minorEastAsia"/>
        </w:rPr>
      </w:pPr>
      <m:oMathPara>
        <m:oMath>
          <m:sSub>
            <m:sSubPr>
              <m:ctrlPr>
                <w:rPr>
                  <w:rFonts w:ascii="Cambria Math" w:hAnsi="Cambria Math"/>
                  <w:i/>
                </w:rPr>
              </m:ctrlPr>
            </m:sSubPr>
            <m:e>
              <m:r>
                <m:rPr>
                  <m:sty m:val="p"/>
                </m:rPr>
                <w:rPr>
                  <w:rFonts w:ascii="Cambria Math" w:hAnsi="Cambria Math"/>
                </w:rPr>
                <m:t>H</m:t>
              </m:r>
            </m:e>
            <m:sub>
              <m:r>
                <m:rPr>
                  <m:sty m:val="p"/>
                </m:rPr>
                <w:rPr>
                  <w:rFonts w:ascii="Cambria Math" w:hAnsi="Cambria Math"/>
                </w:rPr>
                <m:t>2(g)</m:t>
              </m:r>
            </m:sub>
          </m:sSub>
          <m:r>
            <m:rPr>
              <m:sty m:val="p"/>
            </m:rPr>
            <w:rPr>
              <w:rFonts w:ascii="Cambria Math" w:hAnsi="Cambria Math"/>
            </w:rPr>
            <m:t xml:space="preserve">→ </m:t>
          </m:r>
          <m:sSup>
            <m:sSupPr>
              <m:ctrlPr>
                <w:rPr>
                  <w:rFonts w:ascii="Cambria Math" w:hAnsi="Cambria Math"/>
                  <w:i/>
                </w:rPr>
              </m:ctrlPr>
            </m:sSupPr>
            <m:e>
              <m:r>
                <m:rPr>
                  <m:sty m:val="p"/>
                </m:rPr>
                <w:rPr>
                  <w:rFonts w:ascii="Cambria Math" w:hAnsi="Cambria Math"/>
                </w:rPr>
                <m:t>2H</m:t>
              </m:r>
            </m:e>
            <m:sup>
              <m:r>
                <m:rPr>
                  <m:sty m:val="p"/>
                </m:rPr>
                <w:rPr>
                  <w:rFonts w:ascii="Cambria Math" w:hAnsi="Cambria Math"/>
                </w:rPr>
                <m:t>+</m:t>
              </m:r>
            </m:sup>
          </m:sSup>
          <m:r>
            <m:rPr>
              <m:sty m:val="p"/>
            </m:rPr>
            <w:rPr>
              <w:rFonts w:ascii="Cambria Math" w:hAnsi="Cambria Math"/>
            </w:rPr>
            <m:t>+</m:t>
          </m:r>
          <m:sSup>
            <m:sSupPr>
              <m:ctrlPr>
                <w:rPr>
                  <w:rFonts w:ascii="Cambria Math" w:hAnsi="Cambria Math"/>
                  <w:i/>
                </w:rPr>
              </m:ctrlPr>
            </m:sSupPr>
            <m:e>
              <m:r>
                <m:rPr>
                  <m:sty m:val="p"/>
                </m:rPr>
                <w:rPr>
                  <w:rFonts w:ascii="Cambria Math" w:hAnsi="Cambria Math"/>
                </w:rPr>
                <m:t>2e</m:t>
              </m:r>
            </m:e>
            <m:sup>
              <m:r>
                <m:rPr>
                  <m:sty m:val="p"/>
                </m:rPr>
                <w:rPr>
                  <w:rFonts w:ascii="Cambria Math" w:hAnsi="Cambria Math"/>
                </w:rPr>
                <m:t>-</m:t>
              </m:r>
            </m:sup>
          </m:sSup>
        </m:oMath>
      </m:oMathPara>
    </w:p>
    <w:p w14:paraId="22A31609" w14:textId="4959EEF1" w:rsidR="00007F6C" w:rsidRPr="00490368" w:rsidRDefault="00007F6C" w:rsidP="00007F6C">
      <w:pPr>
        <w:keepNext/>
        <w:jc w:val="right"/>
      </w:pPr>
      <w:bookmarkStart w:id="19" w:name="_Ref50626015"/>
      <w:bookmarkEnd w:id="18"/>
      <w:r w:rsidRPr="00490368">
        <w:t>Equation 1.</w:t>
      </w:r>
      <w:r w:rsidR="00B51F53">
        <w:fldChar w:fldCharType="begin"/>
      </w:r>
      <w:r w:rsidR="00B51F53">
        <w:instrText xml:space="preserve"> SEQ Equation \* ARABIC </w:instrText>
      </w:r>
      <w:r w:rsidR="00B51F53">
        <w:fldChar w:fldCharType="separate"/>
      </w:r>
      <w:r w:rsidR="00315BF8">
        <w:rPr>
          <w:noProof/>
        </w:rPr>
        <w:t>2</w:t>
      </w:r>
      <w:r w:rsidR="00B51F53">
        <w:rPr>
          <w:noProof/>
        </w:rPr>
        <w:fldChar w:fldCharType="end"/>
      </w:r>
      <w:bookmarkEnd w:id="19"/>
    </w:p>
    <w:bookmarkStart w:id="20" w:name="_Hlk50380458"/>
    <w:p w14:paraId="659126D7" w14:textId="77777777" w:rsidR="00007F6C" w:rsidRPr="004654D6" w:rsidRDefault="00B51F53" w:rsidP="00007F6C">
      <w:pPr>
        <w:jc w:val="both"/>
      </w:pPr>
      <m:oMathPara>
        <m:oMath>
          <m:sSub>
            <m:sSubPr>
              <m:ctrlPr>
                <w:rPr>
                  <w:rFonts w:ascii="Cambria Math" w:hAnsi="Cambria Math"/>
                  <w:i/>
                </w:rPr>
              </m:ctrlPr>
            </m:sSubPr>
            <m:e>
              <m:f>
                <m:fPr>
                  <m:ctrlPr>
                    <w:rPr>
                      <w:rFonts w:ascii="Cambria Math" w:hAnsi="Cambria Math"/>
                      <w:i/>
                    </w:rPr>
                  </m:ctrlPr>
                </m:fPr>
                <m:num>
                  <m:r>
                    <m:rPr>
                      <m:sty m:val="p"/>
                    </m:rPr>
                    <w:rPr>
                      <w:rFonts w:ascii="Cambria Math" w:hAnsi="Cambria Math"/>
                    </w:rPr>
                    <m:t>1</m:t>
                  </m:r>
                </m:num>
                <m:den>
                  <m:r>
                    <m:rPr>
                      <m:sty m:val="p"/>
                    </m:rPr>
                    <w:rPr>
                      <w:rFonts w:ascii="Cambria Math" w:hAnsi="Cambria Math"/>
                    </w:rPr>
                    <m:t>2</m:t>
                  </m:r>
                </m:den>
              </m:f>
              <m:r>
                <m:rPr>
                  <m:sty m:val="p"/>
                </m:rPr>
                <w:rPr>
                  <w:rFonts w:ascii="Cambria Math" w:hAnsi="Cambria Math"/>
                </w:rPr>
                <m:t>O</m:t>
              </m:r>
            </m:e>
            <m:sub>
              <m:r>
                <m:rPr>
                  <m:sty m:val="p"/>
                </m:rPr>
                <w:rPr>
                  <w:rFonts w:ascii="Cambria Math" w:hAnsi="Cambria Math"/>
                </w:rPr>
                <m:t>2(g)</m:t>
              </m:r>
            </m:sub>
          </m:sSub>
          <m:r>
            <m:rPr>
              <m:sty m:val="p"/>
            </m:rPr>
            <w:rPr>
              <w:rFonts w:ascii="Cambria Math" w:hAnsi="Cambria Math"/>
            </w:rPr>
            <m:t>+</m:t>
          </m:r>
          <m:sSup>
            <m:sSupPr>
              <m:ctrlPr>
                <w:rPr>
                  <w:rFonts w:ascii="Cambria Math" w:hAnsi="Cambria Math"/>
                  <w:i/>
                </w:rPr>
              </m:ctrlPr>
            </m:sSupPr>
            <m:e>
              <m:r>
                <m:rPr>
                  <m:sty m:val="p"/>
                </m:rPr>
                <w:rPr>
                  <w:rFonts w:ascii="Cambria Math" w:hAnsi="Cambria Math"/>
                </w:rPr>
                <m:t>2e</m:t>
              </m:r>
            </m:e>
            <m:sup>
              <m:r>
                <m:rPr>
                  <m:sty m:val="p"/>
                </m:rPr>
                <w:rPr>
                  <w:rFonts w:ascii="Cambria Math" w:hAnsi="Cambria Math"/>
                </w:rPr>
                <m:t>-</m:t>
              </m:r>
            </m:sup>
          </m:sSup>
          <m:r>
            <m:rPr>
              <m:sty m:val="p"/>
            </m:rPr>
            <w:rPr>
              <w:rFonts w:ascii="Cambria Math" w:hAnsi="Cambria Math"/>
            </w:rPr>
            <m:t>→</m:t>
          </m:r>
          <m:sSub>
            <m:sSubPr>
              <m:ctrlPr>
                <w:rPr>
                  <w:rFonts w:ascii="Cambria Math" w:hAnsi="Cambria Math"/>
                  <w:i/>
                </w:rPr>
              </m:ctrlPr>
            </m:sSubPr>
            <m:e>
              <m:sSup>
                <m:sSupPr>
                  <m:ctrlPr>
                    <w:rPr>
                      <w:rFonts w:ascii="Cambria Math" w:hAnsi="Cambria Math"/>
                      <w:i/>
                    </w:rPr>
                  </m:ctrlPr>
                </m:sSupPr>
                <m:e>
                  <m:r>
                    <m:rPr>
                      <m:sty m:val="p"/>
                    </m:rPr>
                    <w:rPr>
                      <w:rFonts w:ascii="Cambria Math" w:hAnsi="Cambria Math"/>
                    </w:rPr>
                    <m:t>O</m:t>
                  </m:r>
                </m:e>
                <m:sup>
                  <m:r>
                    <m:rPr>
                      <m:sty m:val="p"/>
                    </m:rPr>
                    <w:rPr>
                      <w:rFonts w:ascii="Cambria Math" w:hAnsi="Cambria Math"/>
                    </w:rPr>
                    <m:t>2-</m:t>
                  </m:r>
                </m:sup>
              </m:sSup>
            </m:e>
            <m:sub>
              <m:r>
                <m:rPr>
                  <m:sty m:val="p"/>
                </m:rPr>
                <w:rPr>
                  <w:rFonts w:ascii="Cambria Math" w:hAnsi="Cambria Math"/>
                </w:rPr>
                <m:t>(g)</m:t>
              </m:r>
            </m:sub>
          </m:sSub>
        </m:oMath>
      </m:oMathPara>
    </w:p>
    <w:p w14:paraId="0C8C0291" w14:textId="7397656D" w:rsidR="00007F6C" w:rsidRPr="004654D6" w:rsidRDefault="00007F6C" w:rsidP="00007F6C">
      <w:pPr>
        <w:keepNext/>
        <w:jc w:val="right"/>
      </w:pPr>
      <w:bookmarkStart w:id="21" w:name="_Ref50626055"/>
      <w:bookmarkEnd w:id="20"/>
      <w:r w:rsidRPr="004654D6">
        <w:t xml:space="preserve">Equation </w:t>
      </w:r>
      <w:r>
        <w:t>1.</w:t>
      </w:r>
      <w:r w:rsidR="00B51F53">
        <w:fldChar w:fldCharType="begin"/>
      </w:r>
      <w:r w:rsidR="00B51F53">
        <w:instrText xml:space="preserve"> SEQ Equation \* ARABIC </w:instrText>
      </w:r>
      <w:r w:rsidR="00B51F53">
        <w:fldChar w:fldCharType="separate"/>
      </w:r>
      <w:r w:rsidR="00315BF8">
        <w:rPr>
          <w:noProof/>
        </w:rPr>
        <w:t>3</w:t>
      </w:r>
      <w:r w:rsidR="00B51F53">
        <w:rPr>
          <w:noProof/>
        </w:rPr>
        <w:fldChar w:fldCharType="end"/>
      </w:r>
      <w:bookmarkEnd w:id="21"/>
    </w:p>
    <w:p w14:paraId="724B1CD6" w14:textId="77777777" w:rsidR="00007F6C" w:rsidRPr="004654D6" w:rsidRDefault="00B51F53" w:rsidP="00007F6C">
      <w:pPr>
        <w:keepNext/>
        <w:jc w:val="both"/>
        <w:rPr>
          <w:rFonts w:eastAsiaTheme="minorEastAsia"/>
        </w:rPr>
      </w:pPr>
      <m:oMathPara>
        <m:oMath>
          <m:sSub>
            <m:sSubPr>
              <m:ctrlPr>
                <w:rPr>
                  <w:rFonts w:ascii="Cambria Math" w:hAnsi="Cambria Math"/>
                  <w:i/>
                </w:rPr>
              </m:ctrlPr>
            </m:sSubPr>
            <m:e>
              <m:f>
                <m:fPr>
                  <m:ctrlPr>
                    <w:rPr>
                      <w:rFonts w:ascii="Cambria Math" w:hAnsi="Cambria Math"/>
                      <w:i/>
                    </w:rPr>
                  </m:ctrlPr>
                </m:fPr>
                <m:num>
                  <m:r>
                    <m:rPr>
                      <m:sty m:val="p"/>
                    </m:rPr>
                    <w:rPr>
                      <w:rFonts w:ascii="Cambria Math" w:hAnsi="Cambria Math"/>
                    </w:rPr>
                    <m:t>1</m:t>
                  </m:r>
                </m:num>
                <m:den>
                  <m:r>
                    <m:rPr>
                      <m:sty m:val="p"/>
                    </m:rPr>
                    <w:rPr>
                      <w:rFonts w:ascii="Cambria Math" w:hAnsi="Cambria Math"/>
                    </w:rPr>
                    <m:t>2</m:t>
                  </m:r>
                </m:den>
              </m:f>
              <m:r>
                <m:rPr>
                  <m:sty m:val="p"/>
                </m:rPr>
                <w:rPr>
                  <w:rFonts w:ascii="Cambria Math" w:hAnsi="Cambria Math"/>
                </w:rPr>
                <m:t>O</m:t>
              </m:r>
            </m:e>
            <m:sub>
              <m:r>
                <m:rPr>
                  <m:sty m:val="p"/>
                </m:rPr>
                <w:rPr>
                  <w:rFonts w:ascii="Cambria Math" w:hAnsi="Cambria Math"/>
                </w:rPr>
                <m:t>2(g)</m:t>
              </m:r>
            </m:sub>
          </m:sSub>
          <m:sSub>
            <m:sSubPr>
              <m:ctrlPr>
                <w:rPr>
                  <w:rFonts w:ascii="Cambria Math" w:hAnsi="Cambria Math"/>
                  <w:i/>
                </w:rPr>
              </m:ctrlPr>
            </m:sSubPr>
            <m:e>
              <m:r>
                <m:rPr>
                  <m:sty m:val="p"/>
                </m:rPr>
                <w:rPr>
                  <w:rFonts w:ascii="Cambria Math" w:hAnsi="Cambria Math"/>
                </w:rPr>
                <m:t>+ H</m:t>
              </m:r>
            </m:e>
            <m:sub>
              <m:r>
                <m:rPr>
                  <m:sty m:val="p"/>
                </m:rPr>
                <w:rPr>
                  <w:rFonts w:ascii="Cambria Math" w:hAnsi="Cambria Math"/>
                </w:rPr>
                <m:t>2(g)</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i/>
                </w:rPr>
              </m:ctrlPr>
            </m:sSubPr>
            <m:e>
              <m:r>
                <m:rPr>
                  <m:sty m:val="p"/>
                </m:rPr>
                <w:rPr>
                  <w:rFonts w:ascii="Cambria Math" w:hAnsi="Cambria Math"/>
                </w:rPr>
                <m:t>O</m:t>
              </m:r>
            </m:e>
            <m:sub>
              <m:r>
                <m:rPr>
                  <m:sty m:val="p"/>
                </m:rPr>
                <w:rPr>
                  <w:rFonts w:ascii="Cambria Math" w:hAnsi="Cambria Math"/>
                </w:rPr>
                <m:t>(g)</m:t>
              </m:r>
            </m:sub>
          </m:sSub>
        </m:oMath>
      </m:oMathPara>
    </w:p>
    <w:p w14:paraId="469E255E" w14:textId="527670DA" w:rsidR="00007F6C" w:rsidRDefault="00007F6C" w:rsidP="00007F6C">
      <w:pPr>
        <w:jc w:val="right"/>
      </w:pPr>
      <w:bookmarkStart w:id="22" w:name="_Ref50626192"/>
      <w:r>
        <w:t>Equation 1.</w:t>
      </w:r>
      <w:r w:rsidR="00B51F53">
        <w:fldChar w:fldCharType="begin"/>
      </w:r>
      <w:r w:rsidR="00B51F53">
        <w:instrText xml:space="preserve"> SEQ Equation \* ARABIC </w:instrText>
      </w:r>
      <w:r w:rsidR="00B51F53">
        <w:fldChar w:fldCharType="separate"/>
      </w:r>
      <w:r w:rsidR="00315BF8">
        <w:rPr>
          <w:noProof/>
        </w:rPr>
        <w:t>4</w:t>
      </w:r>
      <w:r w:rsidR="00B51F53">
        <w:rPr>
          <w:noProof/>
        </w:rPr>
        <w:fldChar w:fldCharType="end"/>
      </w:r>
      <w:bookmarkEnd w:id="22"/>
    </w:p>
    <w:p w14:paraId="3C0C6915" w14:textId="7B9796A2" w:rsidR="00007F6C" w:rsidRDefault="00007F6C" w:rsidP="00007F6C">
      <w:pPr>
        <w:jc w:val="both"/>
      </w:pPr>
      <w:r w:rsidRPr="004654D6">
        <w:t>Fuel cells (FCs) operate by converting chemical energy into electrical energy.</w:t>
      </w:r>
      <w:r w:rsidRPr="004654D6">
        <w:rPr>
          <w:color w:val="70AD47" w:themeColor="accent6"/>
        </w:rPr>
        <w:t xml:space="preserve"> </w:t>
      </w:r>
      <w:r w:rsidRPr="004654D6">
        <w:t>Electricity is produced by movement of ions thus creating a potential difference</w:t>
      </w:r>
      <w:r>
        <w:t xml:space="preserve"> (</w:t>
      </w:r>
      <w:r>
        <w:fldChar w:fldCharType="begin"/>
      </w:r>
      <w:r>
        <w:instrText xml:space="preserve"> REF _Ref517095058 \h  \* MERGEFORMAT </w:instrText>
      </w:r>
      <w:r>
        <w:fldChar w:fldCharType="separate"/>
      </w:r>
      <w:r w:rsidRPr="00C103C3">
        <w:t>Figure 1.4</w:t>
      </w:r>
      <w:r>
        <w:fldChar w:fldCharType="end"/>
      </w:r>
      <w:r>
        <w:t>)</w:t>
      </w:r>
      <w:r w:rsidRPr="004654D6">
        <w:t>. Oxygen at the cathode is reduced forming oxide ions which pass through the ionically conductive electrolyte to the fuel electrode</w:t>
      </w:r>
      <w:r>
        <w:t xml:space="preserve"> (</w:t>
      </w:r>
      <w:r>
        <w:fldChar w:fldCharType="begin"/>
      </w:r>
      <w:r>
        <w:instrText xml:space="preserve"> REF _Ref50626015 \h  \* MERGEFORMAT </w:instrText>
      </w:r>
      <w:r>
        <w:fldChar w:fldCharType="separate"/>
      </w:r>
      <w:r w:rsidRPr="00490368">
        <w:t>Equation 1.</w:t>
      </w:r>
      <w:r>
        <w:t>2</w:t>
      </w:r>
      <w:r>
        <w:fldChar w:fldCharType="end"/>
      </w:r>
      <w:r>
        <w:t xml:space="preserve"> </w:t>
      </w:r>
      <w:r>
        <w:fldChar w:fldCharType="begin"/>
      </w:r>
      <w:r>
        <w:instrText xml:space="preserve"> REF _Ref50626055 \h </w:instrText>
      </w:r>
      <w:r>
        <w:fldChar w:fldCharType="separate"/>
      </w:r>
      <w:r w:rsidRPr="004654D6">
        <w:t xml:space="preserve">Equation </w:t>
      </w:r>
      <w:r>
        <w:t>1.</w:t>
      </w:r>
      <w:r>
        <w:rPr>
          <w:noProof/>
        </w:rPr>
        <w:t>3</w:t>
      </w:r>
      <w:r>
        <w:fldChar w:fldCharType="end"/>
      </w:r>
      <w:r>
        <w:t>)</w:t>
      </w:r>
      <w:r w:rsidRPr="004654D6">
        <w:t>. These ions then react with the fuel at the anode releasing electrons which do useful work in an external circuit before returning to the cathode.</w:t>
      </w:r>
      <w:r>
        <w:t xml:space="preserve"> The fuel and oxidant combine to form water (</w:t>
      </w:r>
      <w:r>
        <w:fldChar w:fldCharType="begin"/>
      </w:r>
      <w:r>
        <w:instrText xml:space="preserve"> REF _Ref50626192 \h </w:instrText>
      </w:r>
      <w:r>
        <w:fldChar w:fldCharType="separate"/>
      </w:r>
      <w:r>
        <w:t>Equation 1.</w:t>
      </w:r>
      <w:r>
        <w:rPr>
          <w:noProof/>
        </w:rPr>
        <w:t>4</w:t>
      </w:r>
      <w:r>
        <w:fldChar w:fldCharType="end"/>
      </w:r>
      <w:r>
        <w:t>).</w:t>
      </w:r>
      <w:r w:rsidRPr="004654D6">
        <w:t xml:space="preserve"> In this case the </w:t>
      </w:r>
      <w:r w:rsidRPr="00210339">
        <w:rPr>
          <w:iCs/>
        </w:rPr>
        <w:t>free energy change</w:t>
      </w:r>
      <w:r w:rsidRPr="004654D6">
        <w:t xml:space="preserve"> in FCs (</w:t>
      </w:r>
      <w:r w:rsidRPr="004654D6">
        <w:rPr>
          <w:rFonts w:ascii="Times New Roman" w:hAnsi="Times New Roman" w:cs="Times New Roman"/>
          <w:i/>
        </w:rPr>
        <w:t>Δ</w:t>
      </w:r>
      <w:r w:rsidRPr="004654D6">
        <w:rPr>
          <w:i/>
        </w:rPr>
        <w:t>G</w:t>
      </w:r>
      <w:r w:rsidRPr="004654D6">
        <w:t>) is associated with the unidirectional movement of these free electrons</w:t>
      </w:r>
      <w:r w:rsidR="008B1B6E">
        <w:t xml:space="preserve"> </w:t>
      </w:r>
      <w:r>
        <w:fldChar w:fldCharType="begin" w:fldLock="1"/>
      </w:r>
      <w:r>
        <w:instrText>ADDIN CSL_CITATION {"citationItems":[{"id":"ITEM-1","itemData":{"ISBN":"00-442-31926-6","author":[{"dropping-particle":"","family":"Appleby","given":"A J","non-dropping-particle":"","parse-names":false,"suffix":""},{"dropping-particle":"","family":"Foulkes","given":"F R","non-dropping-particle":"","parse-names":false,"suffix":""}],"id":"ITEM-1","issued":{"date-parts":[["1988"]]},"publisher":"Van Nostrand Reinhold","title":"Fuel Cell Handbook","type":"book"},"uris":["http://www.mendeley.com/documents/?uuid=61a75d6c-0322-4da6-91bc-80ede657b69e"]},{"id":"ITEM-2","itemData":{"DOI":"10.1002/9781118191323","ISBN":"9781118087565","author":[{"dropping-particle":"","family":"Bagotsky","given":"Vladimir S.","non-dropping-particle":"","parse-names":false,"suffix":""}],"container-title":"Fuel Cells: Problems and Solutions: Second Edition","id":"ITEM-2","issued":{"date-parts":[["2012"]]},"title":"Fuel Cells: Problems and Solutions: Second Edition","type":"book"},"uris":["http://www.mendeley.com/documents/?uuid=c869f6b3-cb59-45bb-9704-8afee35620f5"]},{"id":"ITEM-3","itemData":{"DOI":"10.1111/j.1151-2916.1993.tb03645.x","ISBN":"00027820 (ISSN)","abstract":"A ceramic fuel cell in an all solid‐state energy conversion device that produces electricity by electrochemically combining fuel and oxidant gases across an ionic conducting oxide. Current ceramic fuel cells use an oxygen‐ion conductor or a proton conductor as the electrolyte and operate at high temperatures (&gt;600°C). Ceramic fuel cells, commonly referred to as solid‐oxide fuel cells (SOFCs), are presently under development for a variety of power generation applications. This paper reviews the science and technology of ceramic fuel cells and discusses the critical issues posed by the development of this type of fuel cell. The emphasis is given to the discussion of component materials (especially, ZrO2 electrolyte, nickel/ZrO2 cermet anode, LaMnO3 cathode, and LaCrO3 interconnect), gas reactions at the electrodes, stack designs, and processing techniques used in the fabrication of required ceramic structures. Copyright © 1993, Wiley Blackwell. All rights reserved","author":[{"dropping-particle":"","family":"Minh","given":"N Q","non-dropping-particle":"","parse-names":false,"suffix":""}],"container-title":"Journal of the American Ceramic Society","id":"ITEM-3","issue":"3","issued":{"date-parts":[["1993"]]},"language":"English","note":"Cited By :3099\nExport Date: 30 November 2016\nCorrespondence Address: Minh, N.Q.; AiResearch Los Angeles Division, Allied-Signal Aerospace Company, Torrance, California, 90504-6099, United States\nReferences: Grove, W.R., On Voltaic Series and the Combination of Gases by Platinum (1839) Philos. Mag., 14, pp. 127-130; Nernst, W., Uber Die Elektrolytische Leitung Fester Körper Bei Sehr Hohen Temperaturen (1899) Z. Elektrochem., 6, pp. 41-43; Baur, E., Preis, H., Uber Brennstoff‐Ketten Mit Festleitern (1937) Z. Elektrochem., 43, pp. 727-732; Minh, N.Q., High‐Temperature Fuel Cells. Part 2: The Solid Oxide Cell (1991) CHEMTECH, 21, pp. 120-126; (1981) Science and Technology of Zirconia, 3. , Edited by, A. H. Heuer, L. W. Hobbs, American Ceramic Society, Columbus, OH; (1984) Science and Technology of Zirconia II, 12. , Edited by, N. Claussen, M. Rühle, A. H. Heuer, American Ceramic Society, Columbus, OH; (1988) Science and Technology of Zirconia III, 24. , Edited by, S. Somiya, N. Yamamoto, H. Yanagida, American Ceramic Society, Westerville, OH; Stevens, R., (1986) An Introduction to Zirconia, , Magnesium Elektron, London, U.K; Etsell, T.H., Flengas, S.N., The Electrical Properties of Solid Oxide Electrolytes (1970) Chem. Rev., 70, pp. 339-376; Subbarao, E.C., Maiti, H.S., Solid Electrolytes with Oxygen Ion Conduction (1984) Solid State Ionics, 11, pp. 317-338; Patterson, J.W., Borgen, E.C., Rapp, R.A., Mixed Conduction in Zr0.85Ca0.15O1.85 and Th0.85Y0.15O1.85 Solid Electrolytes (1967) Journal of The Electrochemical Society, 114, pp. 752-758; Baumard, J.F., Abelard, P., , pp. 555-571. , “Defect Structure and Transport Properties of ZrO2‐Based Solid Electrolytes”; see Ref. 6, ppChoudhary, C.B., Maiti, H.S., Subbarao, E.C., Detect Structure and Transport Properties (1980) Solid Electrolytes and Their Applications, pp. 1-80. , Edited by, E. C. Subbarao, Plenum Press, New York; Badwal, S.P.S., Hughes, A.E., Modification of Cell Characteristics by Segregated Impurities (1991) Proceedings of the Second International Symposium on Solid Oxide Fuel Cells, pp. 445-454. , Edited by, F. Gross, P. Zegers, S. C. Singhal, O. Yamamoto, Commission of The European Communities, Luxembourg; Bauerle, J.E., Study of Solid Electrolyte Polarization by a Complex Admittance Method (1969) J. Phys. Chem. Solids, 30, pp. 2657-2670; Kleitz, M., Bernard, H., Fernandez, E., Schouler, E., , pp. 310-336. , “Impedance Spectroscopy and Electrical Resistance Measurements on Stabilized Zirconia”; see Ref. 5, ppVerkerk, M.J., Middelhuis, B.J., Burggraaf, A.J., Effect of Grain Boundaries on the Conductivity of High‐Purity ZrO2–Y2O3 Ceramics (1982) Solid State Ionics, 6, pp. 159-170; Butler, E.P., Slotwinski, R.K., Bonanos, N., Drennan, J., Steele, B.C.H., , pp. 572-584. , “Microstructural–Electrical Property Relationships in High‐Conductivity Zirconias”; see Ref. 6, ppBaukal, W., Solid Oxide Electrolyte with Time‐Dependent Conductivity (1972) From Electrocatalysis to Fuel Cells, pp. 247-254. , Edited by, G. Sandstede, University of Washington Press, Seattle, WA; Suzuki, Y., Shimada, A., Senda, S., Time‐Dependent Change in Electrical Resistivity of Polycrystalline YSZ and CSZ (1990) Solid State Ionics, 42, pp. 121-125; Badwal, S.P.S., Drennan, J., Yttria–Zirconia: Effect of Microstructure on Conductivity (1987) J. Mater. Sci., 22, pp. 3231-3239; Ciftcioglu, M., Mayo, M.J., (1990), “Processing of Nanocrystalline Ceramics”; presented at the Spring Meeting of the Materials Research Society, San Francisco, CA, April 16–21, 1990. Rept. No. DE90–015700, SAND‐90–1639C, CONF‐900466–78, National Technical Information Service, Alexandria, VAScott, C.E., Reed, J.S., Analysis of Cl‐ Ions Laundered from Submicron Zirconia Powders (1978) Am. Ceram. Soc. Bull., 57, pp. 741-743; Scott, C.E., Reed, J.S., Effect of Laundering and Milling on the Sintering Behavior of Stabilized ZrO2 Powders (1979) Am. Ceram. Soc. Bull., 58, pp. 587-590; Evans, A.G., The New High‐Toughness Ceramics (1989) Fracture Mechanics: Perspective and Directions, pp. 267-291. , (Twentieth Symposium), ASTM STP 1020. Edited by, R. P. Wei, R. P. Gangloff, American Society for Testing and Materials, Philadelphia, PA; Singh, J.P., Bosak, A.L., Dees, D.W., McPheeters, C.C., Improved Fracture Toughness of ZrO2 Electrolyte for Solid Oxide Fuel Cell (1988) 1988 Fuel Cell Seminar Abstracts, pp. 145-148. , (Long Beach, CA, Oct. 23–26, 1988)., Courtesy Associates, Washington, DC; Ishizaki, F., Yoshida, T., Sakurada, S., Effect of Alumina Addition on the Electrical Properties of Yttria‐Doped Zirconia (1989) Proceedings of the First International Symposium on Solid Oxide Fuel Cells, pp. 3-14. , Edited by, S. C. Singhal, The Electrochemical Society, Pennington, NJ; Hernandez, M.T., Jurado, J.R., Duran, P., , pp. 421-428. , “Effect of Al2O3, Additions on the Electrical Properties of ZrO2–Y2O3 and ZrO2–Y2O3–CeO2 Electrolytes”; see Ref. 14, ppYamamoto, O., Takeda, Y., Imanishi, N., Kawahara, T., Shen, G.Q., Mori, M., Abe, T., , pp. 437-444. , “Electrical and Mechanical Properties of Zirconia–Alumina Composite Electrolyte”; see Ref. 14, ppDuran, P., Jurado, J.R., Moure, C., Hernandez, M.T., Capel, F., , pp. 401-407. , “Improvement of the Mechanical Properties of Yttria‐Stabilized Zirconia Electrolyte”; see Ref. 14, ppWeppner, W., Tetragonal Zirconia for Solid Oxide Fuel Cells (1990) Proceedings of the International Symposium on Solid Oxide Fuel Cells, pp. 83-89. , Edited by, O. Yamamoto, M. Dokiya, H. Tagawa, Science House, Tokyo, Japan; Yoshida, T., Hoshina, T., Mukaizawa, I., Sakurada, S., Properties of Partially Stabilized Zirconia Fuel Cell (1989) J. Electrochem. Soc., 136, pp. 2604-2606; Yamamoto, O., Takeda, Y., Kanno, R., Kohno, K., Electrical Conductivity of Tetragonal Stabilized Zirconia (1990) J. Mater. Sci., 25, pp. 2805-2808; Sato, T., Shimada, M., Crystalline Phase Changes in Yttria‐Partially‐Stabilized Zirconia by Low‐Temperature Annealing (1984) J. Am. Ceram. Soc., 67 (10), pp. 212-213; Subbarao, E.C., Maiti, H.S., , pp. 731-747. , “Oxygen Sensors and Pumps”; see Ref. 7, ppVlasov, A.N., Perfiliev, M.V., Ageing of ZrO2‐Based Solid Electrolytes (1987) Solid State Ionics, 25, pp. 245-253; Takahashi, T., Iwahara, H., Nagai, Y., High Oxide Conduction in Sintered Bi2O3 Containing SrO, CaO, or La2O3 (1972) J. Appl. Electrochem., 2, pp. 97-104; Miyayama, M., Nishi, T., Yanagida, H., Oxygen Ionic Conduction in Y2O3‐Stabilized Bi2O3 and ZrO2 Composites (1987) J. Mater. Sci., 22, pp. 2624-2628; Verkerk, M.J., Keizer, K., Burggraaf, A.J., High Oxygen Ion Conduction in Sintered Oxides of Bi2O3–Er2O3 System (1980) J. Appl. Electrochem., 10, pp. 81-90; Takahashi, T., Esaka, T., Iwahara, H., Conduction of Bi2O3‐Based Oxide Ion Conductor Under Low Oxygen Pressure. II. Determination of the Partial Electronic Conductivity (1977) J. Appl. Electrochem., 7, pp. 303-308; Blumenthal, R.N., Brugner, F.S., Garnier, J.E., The Electrical Conductivity of CaO‐Doped Nonstoichiometric Cerium Oxide from 700° to 1500°C (1973) J. Electrochem. Soc., 120, pp. 1230-1237; Tuller, H.L., Nowick, A.S., Doped Ceria as a Solid Oxide Electrolyte (1975) J. Electrochem. Soc., 122, pp. 255-259; Swarr, T.E., Karavolis, S., Maricle, D.L., Enhanced Ceria—A Low‐Temperature SOFC Electrolyte (1990) Proceedings of the 25th Intersociety Energy Conversion Engineering Conference, 3, pp. 256-261. , American Institute of Chemical Engineers, New York; Yahiro, H., Baba, Y., Eguchi, K., Arai, H., High‐Temperature Fuel Cell with Ceria–Yttria Solid Electrolyte (1988) J. Electrochem. Soc., 135, pp. 2077-2080; Inoue, T., Setoguchi, T., Eguchi, K., Arai, H., Study of a Solid Oxide Fuel Cell with a Ceria‐Based Solid Electrolyte (1989) Solid State Ion'cs, 35, pp. 285-291; Virkar, A.V., Theoretical Analysis of Solid Oxide Fuel Cells with Two‐Layer Composite Electrolyte: Electrolyte Stability (1991) J. Electrochem. Soc., 138, pp. 1481-1487; Takahashi, T., Iwahara, H., Ionic Conduction in Perovskite‐Type Oxide Solid Solution and Its Application to Solid Electrolyte Fuel Cell (1971) Energy Convers., 11, pp. 105-111; Kilner, J.A., Barrow, P., Brook, R.J., Norgett, M.J., Electrolytes for the High‐Temperature Fuel Cell: Experimental and Theoretical Studies of the Perovskite LaAlO3 (1978) J. Power Sources, 3, pp. 67-80; Cook, R.L., MacDu'f, R.C., Sammells, A.F., Perovskite Solid Electrolytes for Intermediate‐Temperature Solid Oxide Fuel Cells (1990) J. Electrochem. Soc., 137, pp. 3309-3310; Sammells, A.F., Cook, R.L., Worrell, W.L., (1990), “Methane Conversion by Solid Electrolyte Membranes,” Rept. No. GR1‐90/0136, Gas Research Institute, Chicago, ILMurakami, S., Miyake, Y., Akiyama, Y., Ishida, N., Saito, T., Furukawa, N., , pp. 187-190. , “A Study on Composite Anode of Solid Oxide Fuel Cells”; see Ref. 31, ppDees, D.W., Claar, T.D., Easler, T.E., Fee, D.C., azek, F.C., Conductivity of Porous Ni/ZrO2‐Y2O3 Cermets (1987) Journal of The Electrochemical Society, 134, pp. 2141-2146; Ivers‐Tiffée, E., Wersing, W., Schießl, M., Greiner, H., Ceramic and Metallic Components for a Planar SOFC (1990) Berichte der Bunsengesellschaft für physikalische Chemie, 94, pp. 978-981; Majumdar, S., Claar, T., Flandermeyer, B., Stress and Fracture Behavior of Monolithic Fuel Cell Tapes (1986) J. Am. Ceram. Soc., 69, pp. 628-633; Easler, T., Flandermeyer, B.K., Claar, T.D., Busch, D.E., Fousek, R.J., Picciolo, J.J., Poeppel, R.B., Electrode Development for Monolithic Fuel Cells (1986) 1986 Fuel Cell Seminar Abstracts, pp. 72-75. , (Tucson, AZ, Oct. 26–29, 1986)., Courtesy Associates, Washington, DC; Markin, T.L., Bones, R.J., Dell, R.M., High‐Temperature Solid‐Electrolyte Fuel Cells (1976) Conference on Superionic Conductors, pp. 15-35. , Edited by, G. D. Mahan, W. L. Roth, Plenum Press, New York; Suzuki, M., Sasaki, H., Otoshi, S., Ippommatsu, M., , pp. 585-591. , “Development of Ru/ZrO2 SOFC Anode”; see Ref. 14, ppTakahashi, T., Iwahara, H., Suzuki, Y., Electrode Materials for High‐Temperature Solid Electrolyte Fuel Cells (1969) Proceedings of the Third International Symposium on Fuel Cells, pp. 113-119. , Presses Académiques Européennes, Brussels, Belgium; Steele, B.C.H., Middleton, P.H., Rudkin, R.A., Material Science Aspects of SOFC Technology with Special Reference to Anode Development (1990) Solid State Ionics, 40-41, pp. 388-393; Mogensen, M., , pp. 577-584. , “Properties of CeO2‐Based SOFC Anode Materials”; see Ref. 14, ppSwider, K.E., Worrell, W.L., , pp. 593-601. , “Synthesis and Characterization of Yuria. Stabilized Zirconia‐Titania Thin‐Film Electrodes”; see Ref. 14, ppLiou, S.S., Worrell, W.L., , pp. 81-89. , “Mixed‐Conducting Oxide Electrodes for Solid Oxide Fuel Cells”; see Ref. 27, ppLiou, S.S., Worrell, W.L., Electrical Properties of Novel Mixed‐Conducting Oxides (1989) Appl. Phys. A, 49, pp. 25-31; Tedmon, C.S., Jr., Spacil, H.S., Mitoff, S.P., Cathode Materials and Performance in High‐Temperature Zirconia Electrolyte Fuel Cells (1969) Journal of The Electrochemical Society, 116, pp. 1170-1175; Tofield, B.C., Scott, W.R., Oxidative Nonstoichiometry in Perovskites, an Experimental Survey: The Defect Structure of an Oxidized Lanthanum Manganite by Powder Neutron Diffraction (1974) J. Solid State Chem., 10, pp. 183-194; Kuo, J.H., Anderson, H.U., Sparlin, D.M., Oxidation‐Reduction Behavior of Undoped and Sr‐Doped LaMnO3: Defect Structure, Electrical Conductivity, and Thermoelectric Power (1990) J. Solid State Chem., 87, pp. 55-63; Rao, Wanklyn, B.M., Rao, C.N.R., Electrical Transport in Rare‐Earth Ortho‐Chromites, ‐Manganites, and ‐Ferrites (1971) J. Phys. Chem. Solids, 32, pp. 345-358; Kamata, K., Nakajima, T., Hayashi, T., Nakamura, T., Nonstoichiometric Behavior and Phase Stability of Rare‐Earth Manganites at 1200°C: (1). LaMnO3 (1978) Mater. Res. Bull., 13, pp. 49-54; Mizusaki, J., Tagawa, H., Naraya, K., Sasamoto, T., Nonstoichiometry and Thermochemical Stability of the Perovskite‐Type La1‐xSrxMnO3‐δ (1991) Solid State Ionics, 49, pp. 111-118; Kuo, J.H., Anderson, H.U., Sparlin, D.M., Oxidation‐Reduction Behavior of Undoped and Sr‐Doped LaMnO3 Nonstoichiometry and Defect Structure (1989) J. Solid State Chem., 83, pp. 52-60; Nakamura, T., Petzow, G., Gauckler, L.J., Stability of the Perovskite Phase LaBO3 (B = V, Cr, Mn, Fe, Co, Ni) in Reducing Atmospheres I. Experimental Results (1979) Mater. Res. Bull., 14, pp. 649-659; Sreedharan, O.M., Pankajavalli, R., Gnanamoorthy, J.B., Standard Gibbs' Energy of Formation of LaMnO3 from EMF Measurements (1983) High Temp. Sci., 16, pp. 251-256; Kamegashira, N., Miyazaki, Y., Hiyoshi, Y., Limiting Oxygen Partial Pressure of LaMnO3 Phase (1984) Mater. Lett., 2, pp. 194-195; Sreedharan, O.M., Chandrasekharaiah, M.S., Standard Gibbs' Energy of Formation of LaFeO3 and Comparison of Stability of LaMO3 (M = Mn, Fe, Co, Ni) Compounds (1986) J. Mater. Sci., 21, pp. 2581-2584; Ruka, R., (1983), pp. 295-302. , “Some Non‐Electrochemical Requirements for Air Electrode Materials of High‐Temperature Solid Electrolyte Fuel Cells”; pp., in Proceedings of the Conference on High–Temperature Solid Oxide Electrolytes, Vol. I–Anion Conductors (Brookhaven National Laboratory, Upton, NY, Aug. 16–17, 1983). Rept. No. BNL 51728–Vol. I, Brookhaven National Laboratory, Upton, NYJonker, G.H., Semiconducting Properties of Mixed Crystals with Perovskite Structure (1954) Physica (Amsterdam), 20, pp. 1118-1122; Tanaka, J., Takahashi, K., Yukino, K., Horiuchi, S., Electrical Conduction of (La0.8Ca0.2)MnO3 with Homogeneous Ionic Distribution (1983) Phys. Status Solidi, 80, pp. 621-630; Fandel, M., Höschele, J., Schäfer, W., Schmidberger, R., Properties of Ca‐Doped LaMnO3 (1989) Properties of Ceramics, 2, p. 2. , 236–2.240 in Euro‐ceramics, Vol,. Edited by, G. de With, R. A. Lerpstra, R. Metselaar, Elsevier Applied Science, London, U.K; Pavlov, V.I., Bogush, A.K., Bychkov, G.L., Influence of Impurity Centers on the Electrical Conductivity of Manganites with a Perovskite Structure (1984) Inorg. Mater. (Engl. Transl.), 20, pp. 752-754; Wold, A., Arnott, R.J., Goodenough, J.B., Some Magnetic and Crystallographic Properties of the System LaMn1‐xNixO3‐λ (1958) J. Appl. Phys., 29, pp. 387-389; Lyubkina, I.Ya., Kononyuk, I.F., Preparation and Electric Properties of LaMn1‐xNixO3 (O","page":"563-588","title":"Ceramic Fuel Cells","type":"article-journal","volume":"76"},"uris":["http://www.mendeley.com/documents/?uuid=7c17b8de-f21a-48a1-8286-c38ae0ab747c"]}],"mendeley":{"formattedCitation":"[1], [17], [22]","plainTextFormattedCitation":"[1], [17], [22]","previouslyFormattedCitation":"[1], [17], [22]"},"properties":{"noteIndex":0},"schema":"https://github.com/citation-style-language/schema/raw/master/csl-citation.json"}</w:instrText>
      </w:r>
      <w:r>
        <w:fldChar w:fldCharType="separate"/>
      </w:r>
      <w:r w:rsidRPr="00D17D71">
        <w:rPr>
          <w:noProof/>
        </w:rPr>
        <w:t>[1], [17], [22]</w:t>
      </w:r>
      <w:r>
        <w:fldChar w:fldCharType="end"/>
      </w:r>
      <w:r>
        <w:t>.</w:t>
      </w:r>
    </w:p>
    <w:p w14:paraId="43280D9D" w14:textId="426572F4" w:rsidR="00007F6C" w:rsidRPr="00734D6B" w:rsidRDefault="00007F6C" w:rsidP="00007F6C">
      <w:pPr>
        <w:jc w:val="both"/>
      </w:pPr>
      <w:r w:rsidRPr="004654D6">
        <w:lastRenderedPageBreak/>
        <w:t>Electrochemical devices are limited by Carnot heat efficiency unlike other electrical energy production methods such as nuclear fission, coal, and natural gas. Maximum energy conversion efficiency in a perfect electrochemical system</w:t>
      </w:r>
      <w:r>
        <w:t xml:space="preserve"> is denoted by</w:t>
      </w:r>
      <m:oMath>
        <m:sSub>
          <m:sSubPr>
            <m:ctrlPr>
              <w:rPr>
                <w:rFonts w:ascii="Cambria Math" w:hAnsi="Cambria Math"/>
                <w:i/>
              </w:rPr>
            </m:ctrlPr>
          </m:sSubPr>
          <m:e>
            <m:r>
              <m:rPr>
                <m:sty m:val="p"/>
              </m:rPr>
              <w:rPr>
                <w:rFonts w:ascii="Cambria Math" w:hAnsi="Cambria Math"/>
              </w:rPr>
              <m:t xml:space="preserve"> η</m:t>
            </m:r>
          </m:e>
          <m:sub>
            <m:r>
              <m:rPr>
                <m:sty m:val="p"/>
              </m:rPr>
              <w:rPr>
                <w:rFonts w:ascii="Cambria Math" w:hAnsi="Cambria Math"/>
              </w:rPr>
              <m:t>Max</m:t>
            </m:r>
          </m:sub>
        </m:sSub>
      </m:oMath>
      <w:r>
        <w:t xml:space="preserve"> and is </w:t>
      </w:r>
      <w:r w:rsidRPr="004654D6">
        <w:t>derived from the movement of the delocalised electrons</w:t>
      </w:r>
      <w:r w:rsidR="00A44934">
        <w:t xml:space="preserve"> </w:t>
      </w:r>
      <w:r>
        <w:rPr>
          <w:rFonts w:cstheme="minorHAnsi"/>
          <w:vertAlign w:val="subscript"/>
        </w:rPr>
        <w:fldChar w:fldCharType="begin" w:fldLock="1"/>
      </w:r>
      <w:r>
        <w:rPr>
          <w:rFonts w:cstheme="minorHAnsi"/>
          <w:vertAlign w:val="subscript"/>
        </w:rPr>
        <w:instrText>ADDIN CSL_CITATION {"citationItems":[{"id":"ITEM-1","itemData":{"ISBN":"00-442-31926-6","author":[{"dropping-particle":"","family":"Appleby","given":"A J","non-dropping-particle":"","parse-names":false,"suffix":""},{"dropping-particle":"","family":"Foulkes","given":"F R","non-dropping-particle":"","parse-names":false,"suffix":""}],"id":"ITEM-1","issued":{"date-parts":[["1988"]]},"publisher":"Van Nostrand Reinhold","title":"Fuel Cell Handbook","type":"book"},"uris":["http://www.mendeley.com/documents/?uuid=61a75d6c-0322-4da6-91bc-80ede657b69e"]}],"mendeley":{"formattedCitation":"[17]","plainTextFormattedCitation":"[17]","previouslyFormattedCitation":"[17]"},"properties":{"noteIndex":0},"schema":"https://github.com/citation-style-language/schema/raw/master/csl-citation.json"}</w:instrText>
      </w:r>
      <w:r>
        <w:rPr>
          <w:rFonts w:cstheme="minorHAnsi"/>
          <w:vertAlign w:val="subscript"/>
        </w:rPr>
        <w:fldChar w:fldCharType="separate"/>
      </w:r>
      <w:r w:rsidRPr="00D17D71">
        <w:rPr>
          <w:rFonts w:cstheme="minorHAnsi"/>
          <w:noProof/>
        </w:rPr>
        <w:t>[17]</w:t>
      </w:r>
      <w:r>
        <w:rPr>
          <w:rFonts w:cstheme="minorHAnsi"/>
          <w:vertAlign w:val="subscript"/>
        </w:rPr>
        <w:fldChar w:fldCharType="end"/>
      </w:r>
      <w:r>
        <w:t>.</w:t>
      </w:r>
      <w:r w:rsidRPr="004654D6">
        <w:t xml:space="preserve"> The free energy change at the operating </w:t>
      </w:r>
      <w:r w:rsidRPr="00210339">
        <w:t xml:space="preserve">temperature is denoted by </w:t>
      </w:r>
      <w:r w:rsidRPr="00210339">
        <w:rPr>
          <w:rFonts w:ascii="Times New Roman" w:hAnsi="Times New Roman" w:cs="Times New Roman"/>
        </w:rPr>
        <w:t>Δ</w:t>
      </w:r>
      <w:r w:rsidRPr="00210339">
        <w:t>G and the enthalpy under</w:t>
      </w:r>
      <w:r w:rsidRPr="00210339">
        <w:rPr>
          <w:i/>
          <w:iCs/>
        </w:rPr>
        <w:t xml:space="preserve"> </w:t>
      </w:r>
      <w:r w:rsidRPr="00210339">
        <w:t>defined standard conditions by</w:t>
      </w:r>
      <w:r>
        <w:t xml:space="preserve"> </w:t>
      </w:r>
      <w:r w:rsidRPr="00210339">
        <w:rPr>
          <w:rFonts w:ascii="Times New Roman" w:hAnsi="Times New Roman" w:cs="Times New Roman"/>
        </w:rPr>
        <w:t>Δ</w:t>
      </w:r>
      <w:r>
        <w:t>H</w:t>
      </w:r>
      <w:r>
        <w:rPr>
          <w:rFonts w:cstheme="minorHAnsi"/>
          <w:vertAlign w:val="subscript"/>
        </w:rPr>
        <w:t xml:space="preserve">⁰ </w:t>
      </w:r>
      <w:r>
        <w:rPr>
          <w:rFonts w:cstheme="minorHAnsi"/>
        </w:rPr>
        <w:t>(</w:t>
      </w:r>
      <w:r>
        <w:rPr>
          <w:rFonts w:cstheme="minorHAnsi"/>
        </w:rPr>
        <w:fldChar w:fldCharType="begin"/>
      </w:r>
      <w:r>
        <w:rPr>
          <w:rFonts w:cstheme="minorHAnsi"/>
        </w:rPr>
        <w:instrText xml:space="preserve"> REF _Ref50632387 \h  \* MERGEFORMAT </w:instrText>
      </w:r>
      <w:r>
        <w:rPr>
          <w:rFonts w:cstheme="minorHAnsi"/>
        </w:rPr>
      </w:r>
      <w:r>
        <w:rPr>
          <w:rFonts w:cstheme="minorHAnsi"/>
        </w:rPr>
        <w:fldChar w:fldCharType="separate"/>
      </w:r>
      <w:r>
        <w:t>Equation 1.5</w:t>
      </w:r>
      <w:r>
        <w:rPr>
          <w:rFonts w:cstheme="minorHAnsi"/>
        </w:rPr>
        <w:fldChar w:fldCharType="end"/>
      </w:r>
      <w:r>
        <w:rPr>
          <w:rFonts w:cstheme="minorHAnsi"/>
        </w:rPr>
        <w:t xml:space="preserve">) </w:t>
      </w:r>
      <w:r>
        <w:rPr>
          <w:rFonts w:cstheme="minorHAnsi"/>
          <w:vertAlign w:val="subscript"/>
        </w:rPr>
        <w:fldChar w:fldCharType="begin" w:fldLock="1"/>
      </w:r>
      <w:r>
        <w:rPr>
          <w:rFonts w:cstheme="minorHAnsi"/>
          <w:vertAlign w:val="subscript"/>
        </w:rPr>
        <w:instrText>ADDIN CSL_CITATION {"citationItems":[{"id":"ITEM-1","itemData":{"ISBN":"00-442-31926-6","author":[{"dropping-particle":"","family":"Appleby","given":"A J","non-dropping-particle":"","parse-names":false,"suffix":""},{"dropping-particle":"","family":"Foulkes","given":"F R","non-dropping-particle":"","parse-names":false,"suffix":""}],"id":"ITEM-1","issued":{"date-parts":[["1988"]]},"publisher":"Van Nostrand Reinhold","title":"Fuel Cell Handbook","type":"book"},"uris":["http://www.mendeley.com/documents/?uuid=61a75d6c-0322-4da6-91bc-80ede657b69e"]}],"mendeley":{"formattedCitation":"[17]","plainTextFormattedCitation":"[17]","previouslyFormattedCitation":"[17]"},"properties":{"noteIndex":0},"schema":"https://github.com/citation-style-language/schema/raw/master/csl-citation.json"}</w:instrText>
      </w:r>
      <w:r>
        <w:rPr>
          <w:rFonts w:cstheme="minorHAnsi"/>
          <w:vertAlign w:val="subscript"/>
        </w:rPr>
        <w:fldChar w:fldCharType="separate"/>
      </w:r>
      <w:r w:rsidRPr="00D17D71">
        <w:rPr>
          <w:rFonts w:cstheme="minorHAnsi"/>
          <w:noProof/>
        </w:rPr>
        <w:t>[17]</w:t>
      </w:r>
      <w:r>
        <w:rPr>
          <w:rFonts w:cstheme="minorHAnsi"/>
          <w:vertAlign w:val="subscript"/>
        </w:rPr>
        <w:fldChar w:fldCharType="end"/>
      </w:r>
      <w:r>
        <w:t>.</w:t>
      </w:r>
    </w:p>
    <w:p w14:paraId="729F28B5" w14:textId="77777777" w:rsidR="00007F6C" w:rsidRPr="004654D6" w:rsidRDefault="00007F6C" w:rsidP="00007F6C">
      <w:pPr>
        <w:keepNext/>
        <w:jc w:val="center"/>
      </w:pPr>
      <w:r w:rsidRPr="004654D6">
        <w:rPr>
          <w:noProof/>
          <w:lang w:eastAsia="en-GB"/>
        </w:rPr>
        <w:drawing>
          <wp:inline distT="0" distB="0" distL="0" distR="0" wp14:anchorId="19720855" wp14:editId="46B654D5">
            <wp:extent cx="5584190" cy="2646045"/>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84190" cy="2646045"/>
                    </a:xfrm>
                    <a:prstGeom prst="rect">
                      <a:avLst/>
                    </a:prstGeom>
                    <a:noFill/>
                  </pic:spPr>
                </pic:pic>
              </a:graphicData>
            </a:graphic>
          </wp:inline>
        </w:drawing>
      </w:r>
    </w:p>
    <w:p w14:paraId="5EE99E70" w14:textId="55CEECC5" w:rsidR="00007F6C" w:rsidRPr="00225729" w:rsidRDefault="00007F6C" w:rsidP="00007F6C">
      <w:pPr>
        <w:jc w:val="center"/>
        <w:rPr>
          <w:i/>
          <w:iCs/>
          <w:color w:val="44546A" w:themeColor="text2"/>
          <w:sz w:val="18"/>
          <w:szCs w:val="18"/>
        </w:rPr>
      </w:pPr>
      <w:bookmarkStart w:id="23" w:name="_Ref517095058"/>
      <w:bookmarkStart w:id="24" w:name="_Ref518309231"/>
      <w:bookmarkStart w:id="25" w:name="_Toc69114908"/>
      <w:r w:rsidRPr="00225729">
        <w:rPr>
          <w:i/>
          <w:iCs/>
          <w:color w:val="44546A" w:themeColor="text2"/>
          <w:sz w:val="18"/>
          <w:szCs w:val="18"/>
        </w:rPr>
        <w:t>Figure 1.</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C73B12">
        <w:rPr>
          <w:i/>
          <w:iCs/>
          <w:noProof/>
          <w:color w:val="44546A" w:themeColor="text2"/>
          <w:sz w:val="18"/>
          <w:szCs w:val="18"/>
        </w:rPr>
        <w:t>4</w:t>
      </w:r>
      <w:r w:rsidR="00285C23">
        <w:rPr>
          <w:i/>
          <w:iCs/>
          <w:color w:val="44546A" w:themeColor="text2"/>
          <w:sz w:val="18"/>
          <w:szCs w:val="18"/>
        </w:rPr>
        <w:fldChar w:fldCharType="end"/>
      </w:r>
      <w:bookmarkEnd w:id="23"/>
      <w:r w:rsidRPr="00225729">
        <w:rPr>
          <w:i/>
          <w:iCs/>
          <w:color w:val="44546A" w:themeColor="text2"/>
          <w:sz w:val="18"/>
          <w:szCs w:val="18"/>
        </w:rPr>
        <w:t>: Diagram of the operating cycle of a fuel cell with a proton conducting electrolyte. Adapted from Appleby</w:t>
      </w:r>
      <w:bookmarkEnd w:id="24"/>
      <w:r>
        <w:rPr>
          <w:i/>
          <w:iCs/>
          <w:color w:val="44546A" w:themeColor="text2"/>
          <w:sz w:val="18"/>
          <w:szCs w:val="18"/>
        </w:rPr>
        <w:t xml:space="preserve"> </w:t>
      </w:r>
      <w:r w:rsidRPr="00225729">
        <w:rPr>
          <w:i/>
          <w:iCs/>
          <w:color w:val="44546A" w:themeColor="text2"/>
          <w:sz w:val="18"/>
          <w:szCs w:val="18"/>
        </w:rPr>
        <w:fldChar w:fldCharType="begin" w:fldLock="1"/>
      </w:r>
      <w:r>
        <w:rPr>
          <w:i/>
          <w:iCs/>
          <w:color w:val="44546A" w:themeColor="text2"/>
          <w:sz w:val="18"/>
          <w:szCs w:val="18"/>
        </w:rPr>
        <w:instrText>ADDIN CSL_CITATION {"citationItems":[{"id":"ITEM-1","itemData":{"DOI":"10.1016/0378-7753(90)80002-U","ISSN":"03787753","author":[{"dropping-particle":"","family":"Appleby","given":"A. J.","non-dropping-particle":"","parse-names":false,"suffix":""}],"container-title":"Journal of Power Sources","id":"ITEM-1","issue":"1-2","issued":{"date-parts":[["1990"]]},"page":"3-11","title":"From Sir William Grove to today: fuel cells and the future","type":"article-journal","volume":"29"},"uris":["http://www.mendeley.com/documents/?uuid=3ee7632e-dc14-4bf1-8aa8-d78143746a1a"]}],"mendeley":{"formattedCitation":"[16]","plainTextFormattedCitation":"[16]","previouslyFormattedCitation":"[16]"},"properties":{"noteIndex":0},"schema":"https://github.com/citation-style-language/schema/raw/master/csl-citation.json"}</w:instrText>
      </w:r>
      <w:r w:rsidRPr="00225729">
        <w:rPr>
          <w:i/>
          <w:iCs/>
          <w:color w:val="44546A" w:themeColor="text2"/>
          <w:sz w:val="18"/>
          <w:szCs w:val="18"/>
        </w:rPr>
        <w:fldChar w:fldCharType="separate"/>
      </w:r>
      <w:r w:rsidRPr="00D17D71">
        <w:rPr>
          <w:iCs/>
          <w:noProof/>
          <w:color w:val="44546A" w:themeColor="text2"/>
          <w:sz w:val="18"/>
          <w:szCs w:val="18"/>
        </w:rPr>
        <w:t>[16]</w:t>
      </w:r>
      <w:bookmarkEnd w:id="25"/>
      <w:r w:rsidRPr="00225729">
        <w:rPr>
          <w:i/>
          <w:iCs/>
          <w:color w:val="44546A" w:themeColor="text2"/>
          <w:sz w:val="18"/>
          <w:szCs w:val="18"/>
        </w:rPr>
        <w:fldChar w:fldCharType="end"/>
      </w:r>
    </w:p>
    <w:p w14:paraId="4370241A" w14:textId="171234C3" w:rsidR="00007F6C" w:rsidRPr="004654D6" w:rsidRDefault="00007F6C" w:rsidP="00007F6C">
      <w:pPr>
        <w:jc w:val="both"/>
      </w:pPr>
      <w:r w:rsidRPr="004654D6">
        <w:t xml:space="preserve">In the case of FCs highly abundant fuel sources can be used </w:t>
      </w:r>
      <w:r w:rsidR="00F5404D" w:rsidRPr="004654D6">
        <w:t>i.e.,</w:t>
      </w:r>
      <w:r w:rsidRPr="004654D6">
        <w:t xml:space="preserve"> H</w:t>
      </w:r>
      <w:r w:rsidRPr="004654D6">
        <w:rPr>
          <w:vertAlign w:val="subscript"/>
        </w:rPr>
        <w:t>2</w:t>
      </w:r>
      <w:r w:rsidRPr="004654D6">
        <w:t xml:space="preserve"> and O</w:t>
      </w:r>
      <w:r w:rsidRPr="004654D6">
        <w:rPr>
          <w:vertAlign w:val="subscript"/>
        </w:rPr>
        <w:t>2</w:t>
      </w:r>
      <w:r w:rsidRPr="004654D6">
        <w:t xml:space="preserve"> to produce water and power. Most fuel cell systems use hydrogen as the fuel with oxygen being the oxidant. </w:t>
      </w:r>
    </w:p>
    <w:p w14:paraId="4025C520" w14:textId="77777777" w:rsidR="00007F6C" w:rsidRPr="004654D6" w:rsidRDefault="00B51F53" w:rsidP="00007F6C">
      <w:pPr>
        <w:keepNext/>
      </w:pPr>
      <m:oMathPara>
        <m:oMath>
          <m:sSub>
            <m:sSubPr>
              <m:ctrlPr>
                <w:rPr>
                  <w:rFonts w:ascii="Cambria Math" w:hAnsi="Cambria Math"/>
                  <w:i/>
                </w:rPr>
              </m:ctrlPr>
            </m:sSubPr>
            <m:e>
              <m:r>
                <m:rPr>
                  <m:sty m:val="p"/>
                </m:rPr>
                <w:rPr>
                  <w:rFonts w:ascii="Cambria Math" w:hAnsi="Cambria Math"/>
                </w:rPr>
                <m:t>η</m:t>
              </m:r>
            </m:e>
            <m:sub>
              <m:r>
                <m:rPr>
                  <m:sty m:val="p"/>
                </m:rPr>
                <w:rPr>
                  <w:rFonts w:ascii="Cambria Math" w:hAnsi="Cambria Math"/>
                </w:rPr>
                <m:t>Max</m:t>
              </m:r>
            </m:sub>
          </m:sSub>
          <m:r>
            <m:rPr>
              <m:sty m:val="p"/>
            </m:rP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m:rPr>
                      <m:sty m:val="p"/>
                    </m:rPr>
                    <w:rPr>
                      <w:rFonts w:ascii="Cambria Math" w:hAnsi="Cambria Math"/>
                    </w:rPr>
                    <m:t>∆G</m:t>
                  </m:r>
                </m:e>
                <m:sub>
                  <m:r>
                    <m:rPr>
                      <m:sty m:val="p"/>
                    </m:rPr>
                    <w:rPr>
                      <w:rFonts w:ascii="Cambria Math" w:hAnsi="Cambria Math"/>
                    </w:rPr>
                    <m:t>Operating Temperature</m:t>
                  </m:r>
                </m:sub>
              </m:sSub>
            </m:num>
            <m:den>
              <m:sSub>
                <m:sSubPr>
                  <m:ctrlPr>
                    <w:rPr>
                      <w:rFonts w:ascii="Cambria Math" w:hAnsi="Cambria Math"/>
                      <w:i/>
                    </w:rPr>
                  </m:ctrlPr>
                </m:sSubPr>
                <m:e>
                  <m:r>
                    <m:rPr>
                      <m:sty m:val="p"/>
                    </m:rPr>
                    <w:rPr>
                      <w:rFonts w:ascii="Cambria Math" w:hAnsi="Cambria Math"/>
                    </w:rPr>
                    <m:t>∆H</m:t>
                  </m:r>
                </m:e>
                <m:sub>
                  <m:r>
                    <m:rPr>
                      <m:sty m:val="p"/>
                    </m:rPr>
                    <w:rPr>
                      <w:rFonts w:ascii="Cambria Math" w:hAnsi="Cambria Math"/>
                    </w:rPr>
                    <m:t>°</m:t>
                  </m:r>
                </m:sub>
              </m:sSub>
            </m:den>
          </m:f>
        </m:oMath>
      </m:oMathPara>
    </w:p>
    <w:p w14:paraId="040821A3" w14:textId="67CE141C" w:rsidR="00007F6C" w:rsidRDefault="00007F6C" w:rsidP="00007F6C">
      <w:pPr>
        <w:jc w:val="right"/>
      </w:pPr>
      <w:bookmarkStart w:id="26" w:name="_Ref50632387"/>
      <w:r>
        <w:t>Equation 1.</w:t>
      </w:r>
      <w:r w:rsidR="00B51F53">
        <w:fldChar w:fldCharType="begin"/>
      </w:r>
      <w:r w:rsidR="00B51F53">
        <w:instrText xml:space="preserve"> SEQ Equation \* ARABIC </w:instrText>
      </w:r>
      <w:r w:rsidR="00B51F53">
        <w:fldChar w:fldCharType="separate"/>
      </w:r>
      <w:r w:rsidR="00315BF8">
        <w:rPr>
          <w:noProof/>
        </w:rPr>
        <w:t>5</w:t>
      </w:r>
      <w:r w:rsidR="00B51F53">
        <w:rPr>
          <w:noProof/>
        </w:rPr>
        <w:fldChar w:fldCharType="end"/>
      </w:r>
      <w:bookmarkEnd w:id="26"/>
    </w:p>
    <w:p w14:paraId="46FF28DB" w14:textId="77777777" w:rsidR="00007F6C" w:rsidRPr="00DD5847" w:rsidRDefault="00007F6C" w:rsidP="00007F6C">
      <w:pPr>
        <w:jc w:val="both"/>
      </w:pPr>
      <w:r w:rsidRPr="004654D6">
        <w:t>The power output of fuel cells can be varied by stacking separate cells in parallel but unlike other electrochemical devices fuel cells can operate for periods of</w:t>
      </w:r>
      <w:r>
        <w:t xml:space="preserve"> up to 4 years </w:t>
      </w:r>
      <w:r w:rsidRPr="004654D6">
        <w:t>by connecting new fuel sources. In the case of competitors such as batteries there are a finite number of charge-discharge cycles that can be performed before their internal electrode structure breaks down.</w:t>
      </w:r>
    </w:p>
    <w:p w14:paraId="45CF2DB4" w14:textId="77777777" w:rsidR="00007F6C" w:rsidRPr="004654D6" w:rsidRDefault="00007F6C" w:rsidP="00007F6C">
      <w:pPr>
        <w:jc w:val="both"/>
      </w:pPr>
      <w:r w:rsidRPr="004654D6">
        <w:t>The different forms of fuel cell are split by their operating temperatures and largely their electrolyte phases and compositions. Fuel cell nomenclature is based upon the electrolyte material used in each system. These control their reaction kinetics and power outputs. Most fuel cells use a combination of H</w:t>
      </w:r>
      <w:r w:rsidRPr="004654D6">
        <w:rPr>
          <w:vertAlign w:val="subscript"/>
        </w:rPr>
        <w:t>2</w:t>
      </w:r>
      <w:r w:rsidRPr="004654D6">
        <w:t xml:space="preserve"> and O</w:t>
      </w:r>
      <w:r w:rsidRPr="004654D6">
        <w:rPr>
          <w:vertAlign w:val="subscript"/>
        </w:rPr>
        <w:t>2</w:t>
      </w:r>
      <w:r w:rsidRPr="004654D6">
        <w:t xml:space="preserve"> as their fuel and air reactants, respectively.</w:t>
      </w:r>
    </w:p>
    <w:p w14:paraId="38192B8E" w14:textId="77777777" w:rsidR="00007F6C" w:rsidRPr="004654D6" w:rsidRDefault="00007F6C" w:rsidP="00007F6C">
      <w:pPr>
        <w:pStyle w:val="Heading2"/>
      </w:pPr>
      <w:bookmarkStart w:id="27" w:name="_Toc69129351"/>
      <w:r w:rsidRPr="004654D6">
        <w:t>1.</w:t>
      </w:r>
      <w:r>
        <w:t>3</w:t>
      </w:r>
      <w:r w:rsidRPr="004654D6">
        <w:t xml:space="preserve"> Solid Oxide Fuel Cells</w:t>
      </w:r>
      <w:r>
        <w:t xml:space="preserve"> (SOFCs)</w:t>
      </w:r>
      <w:bookmarkEnd w:id="27"/>
    </w:p>
    <w:p w14:paraId="38A8C645" w14:textId="77777777" w:rsidR="00007F6C" w:rsidRDefault="00007F6C" w:rsidP="00007F6C">
      <w:r w:rsidRPr="004602BB">
        <w:t>Solid oxide fuel cell (SOFC) research can be traced back to Baur and Prier in 1921 with their work on zirconium solid electrolytes. With further developments in 1959 by the Central Technical Institute in the Netherlands</w:t>
      </w:r>
      <w:r>
        <w:t xml:space="preserve"> </w:t>
      </w:r>
      <w:r>
        <w:fldChar w:fldCharType="begin" w:fldLock="1"/>
      </w:r>
      <w:r>
        <w:instrText>ADDIN CSL_CITATION {"citationItems":[{"id":"ITEM-1","itemData":{"DOI":"10.1016/j.rser.2009.03.015","ISSN":"13640321","abstract":"This paper reviews the history of fuel cells. Its follows the path from the invention of the fuel cell up to present days. Fuel cell types as well as their advantages, disadvantages and principal applications nowadays are explained. History teaches once again that devices perceived by the public as recent inventions, are actually the product of many years (almost two centuries in this case) of arduous research. © 2009 Elsevier Ltd. All rights reserved.","author":[{"dropping-particle":"","family":"Andújar","given":"J. M.","non-dropping-particle":"","parse-names":false,"suffix":""},{"dropping-particle":"","family":"Segura","given":"F.","non-dropping-particle":"","parse-names":false,"suffix":""}],"container-title":"Renewable and Sustainable Energy Reviews","id":"ITEM-1","issue":"9","issued":{"date-parts":[["2009"]]},"page":"2309-2322","title":"Fuel cells: History and updating. A walk along two centuries","type":"article-journal","volume":"13"},"uris":["http://www.mendeley.com/documents/?uuid=4142d3aa-2498-43fe-aada-3f9f8e57a27c"]},{"id":"ITEM-2","itemData":{"DOI":"10.1007/s100080050018","ISBN":"1432-8488\r1433-0768","ISSN":"14328488","abstract":"The path to the discovery of galvanic solid electrolyte gas cells (J.-M. Gaugain 1853) and to the ®rst industrially produced solid electrolyte gas cells (Nernst lamps 1897) is described. The development of the fundamentals of solid electrolyte fuel cells started with the work of Haber 1905, Schottky 1935, Baur 1937 and Wagner 1943. Extensive work in the ®eld of solid oxide fuel cells (SOFCs) was done in the ®fties by Peters and MoÈ bius. After 1960, a rapidly growing number of scientists worked on the di erent problems of SOFCs, and by 1970 the basis was established on which the broad technologically orientated development of SO- FCs proceeds today.","author":[{"dropping-particle":"","family":"Möbius","given":"Hans Heinrich","non-dropping-particle":"","parse-names":false,"suffix":""}],"chapter-number":"2","container-title":"Journal of Solid State Electrochemistry","id":"ITEM-2","issue":"1","issued":{"date-parts":[["1997"]]},"page":"2-16","title":"On the history of solid electrolyte fuel cells","type":"article-journal","volume":"1"},"uris":["http://www.mendeley.com/documents/?uuid=6ce4600c-1819-4c54-8b80-62c7ba1e3537"]}],"mendeley":{"formattedCitation":"[11], [20]","plainTextFormattedCitation":"[11], [20]","previouslyFormattedCitation":"[11], [20]"},"properties":{"noteIndex":0},"schema":"https://github.com/citation-style-language/schema/raw/master/csl-citation.json"}</w:instrText>
      </w:r>
      <w:r>
        <w:fldChar w:fldCharType="separate"/>
      </w:r>
      <w:r w:rsidRPr="00D17D71">
        <w:rPr>
          <w:noProof/>
        </w:rPr>
        <w:t>[11], [20]</w:t>
      </w:r>
      <w:r>
        <w:fldChar w:fldCharType="end"/>
      </w:r>
      <w:r>
        <w:t>.</w:t>
      </w:r>
    </w:p>
    <w:p w14:paraId="3DCB1D2F" w14:textId="77777777" w:rsidR="00007F6C" w:rsidRDefault="00007F6C" w:rsidP="00007F6C">
      <w:pPr>
        <w:jc w:val="both"/>
      </w:pPr>
      <w:r w:rsidRPr="004654D6">
        <w:t xml:space="preserve">SOFCs are fuel cell systems in which all the major components: anode, cathode and electrolyte consist of solid ceramic materials. In contrast to the basic fuel cell shown in </w:t>
      </w:r>
      <w:r w:rsidRPr="002B0A14">
        <w:rPr>
          <w:color w:val="000000" w:themeColor="text1"/>
        </w:rPr>
        <w:fldChar w:fldCharType="begin"/>
      </w:r>
      <w:r w:rsidRPr="002B0A14">
        <w:rPr>
          <w:color w:val="000000" w:themeColor="text1"/>
        </w:rPr>
        <w:instrText xml:space="preserve"> REF _Ref517095058 \h  \* MERGEFORMAT </w:instrText>
      </w:r>
      <w:r w:rsidRPr="002B0A14">
        <w:rPr>
          <w:color w:val="000000" w:themeColor="text1"/>
        </w:rPr>
      </w:r>
      <w:r w:rsidRPr="002B0A14">
        <w:rPr>
          <w:color w:val="000000" w:themeColor="text1"/>
        </w:rPr>
        <w:fldChar w:fldCharType="separate"/>
      </w:r>
      <w:r w:rsidRPr="00C103C3">
        <w:rPr>
          <w:color w:val="000000" w:themeColor="text1"/>
        </w:rPr>
        <w:t>Figure 1.4</w:t>
      </w:r>
      <w:r w:rsidRPr="002B0A14">
        <w:rPr>
          <w:color w:val="000000" w:themeColor="text1"/>
        </w:rPr>
        <w:fldChar w:fldCharType="end"/>
      </w:r>
      <w:r w:rsidRPr="002B0A14">
        <w:rPr>
          <w:color w:val="000000" w:themeColor="text1"/>
        </w:rPr>
        <w:t xml:space="preserve"> </w:t>
      </w:r>
      <w:r w:rsidRPr="004654D6">
        <w:t>oxide ions O</w:t>
      </w:r>
      <w:r w:rsidRPr="004654D6">
        <w:rPr>
          <w:vertAlign w:val="superscript"/>
        </w:rPr>
        <w:t>2-</w:t>
      </w:r>
      <w:r w:rsidRPr="004654D6">
        <w:t xml:space="preserve"> are transported from the cathode to the anode through the solid electrolyte. </w:t>
      </w:r>
    </w:p>
    <w:p w14:paraId="342B5EEE" w14:textId="017AB300" w:rsidR="00007F6C" w:rsidRDefault="00007F6C" w:rsidP="00007F6C">
      <w:pPr>
        <w:jc w:val="both"/>
      </w:pPr>
      <w:r w:rsidRPr="004654D6">
        <w:t>The use of ceramic materials facilitates the use of operating temperatures between 650-900</w:t>
      </w:r>
      <w:r>
        <w:t xml:space="preserve"> </w:t>
      </w:r>
      <w:r w:rsidRPr="004654D6">
        <w:t>°C which promote fast reaction kinetics and energy efficiencies of up to 85-90</w:t>
      </w:r>
      <w:r w:rsidR="008B1B6E">
        <w:t xml:space="preserve"> </w:t>
      </w:r>
      <w:r w:rsidRPr="004654D6">
        <w:t xml:space="preserve">% in combined heat and power </w:t>
      </w:r>
      <w:r w:rsidRPr="004654D6">
        <w:lastRenderedPageBreak/>
        <w:t>systems (CHPs</w:t>
      </w:r>
      <w:r w:rsidRPr="002B0A14">
        <w:rPr>
          <w:color w:val="000000" w:themeColor="text1"/>
        </w:rPr>
        <w:t>)</w:t>
      </w:r>
      <w:r>
        <w:rPr>
          <w:color w:val="000000" w:themeColor="text1"/>
        </w:rPr>
        <w:t xml:space="preserve"> </w:t>
      </w:r>
      <w:r w:rsidRPr="002B0A14">
        <w:rPr>
          <w:color w:val="000000" w:themeColor="text1"/>
        </w:rPr>
        <w:t>(</w:t>
      </w:r>
      <w:r w:rsidRPr="002B0A14">
        <w:rPr>
          <w:color w:val="000000" w:themeColor="text1"/>
        </w:rPr>
        <w:fldChar w:fldCharType="begin"/>
      </w:r>
      <w:r w:rsidRPr="002B0A14">
        <w:rPr>
          <w:color w:val="000000" w:themeColor="text1"/>
        </w:rPr>
        <w:instrText xml:space="preserve"> REF _Ref50641884 \h  \* MERGEFORMAT </w:instrText>
      </w:r>
      <w:r w:rsidRPr="002B0A14">
        <w:rPr>
          <w:color w:val="000000" w:themeColor="text1"/>
        </w:rPr>
      </w:r>
      <w:r w:rsidRPr="002B0A14">
        <w:rPr>
          <w:color w:val="000000" w:themeColor="text1"/>
        </w:rPr>
        <w:fldChar w:fldCharType="separate"/>
      </w:r>
      <w:r w:rsidRPr="00C103C3">
        <w:rPr>
          <w:color w:val="000000" w:themeColor="text1"/>
        </w:rPr>
        <w:t>Figure 1.5</w:t>
      </w:r>
      <w:r w:rsidRPr="002B0A14">
        <w:rPr>
          <w:color w:val="000000" w:themeColor="text1"/>
        </w:rPr>
        <w:fldChar w:fldCharType="end"/>
      </w:r>
      <w:r w:rsidRPr="002B0A14">
        <w:rPr>
          <w:color w:val="000000" w:themeColor="text1"/>
        </w:rPr>
        <w:t xml:space="preserve">). </w:t>
      </w:r>
      <w:r w:rsidRPr="004654D6">
        <w:t>Due to their high reaction rates, SOFCs in contrast with other fuel cell technologies do not need to use precious metal catalysts (i.e. Pt in AFCs, PEMFCs, DLFCs</w:t>
      </w:r>
      <w:r>
        <w:t xml:space="preserve">) </w:t>
      </w:r>
      <w:r>
        <w:fldChar w:fldCharType="begin" w:fldLock="1"/>
      </w:r>
      <w:r>
        <w:instrText>ADDIN CSL_CITATION {"citationItems":[{"id":"ITEM-1","itemData":{"DOI":"10.1016/j.pmatsci.2015.01.001","ISBN":"0079-6425","ISSN":"00796425","PMID":"25653388","abstract":"Solid oxide fuel cells (SOFC) have emerged as energy conversion devices in achieving high efficiency of over 70% with regeneration. The critical components of SOFC include anode, electrolyte, and cathode. However, for a stack of individual SOFCs, the evaluation of sealants and interconnects are also essential. In this review article, material selection, fundamentals of operation and underlying mechanisms, processing, microstructural and phase characterization, and the functionality and performance of individual SOFC components are presented in detail. The major challenges and complexity in functional section of SOFC include: (i) poisoning via sulfur and coke deposition, surface diffusion of adsorbate, and charge transfer at triple-phase boundary (TPB) in anode, (ii) hindered O&lt;sup&gt;2-&lt;/sup&gt; migration that converts chemical energy into electrical energy in the solid electrolyte (thus, the creation of ion transfer channels, ease of O&lt;sup&gt;2-&lt;/sup&gt; migration, dissociation of vacancy around dopants, straining of lattice, and other factors such as control of phase and its distribution, grain and grain boundary conductivity, become critical in designing the electrolytes for SOFCs), (iii) multiple rate determining factors such as geometry of active surfaces, and existence of overpotential, in cathode (thereby, comprehensive electrochemical impedance spectroscopy is required for the analysis of solid cathodes in SOFC), (iv) chemical incompatibility and instability in both oxidizing and reducing environments while matching the coefficient of thermal expansion (CTE) in the interconnects in order to sustain large number of thermal cycling during the operation of SOFC, and (v) isolation of the fuel and oxidizing gases while matching the CTE of the anode, cathode and interconnects, using sealant. Moreover, the glass-transition of sealant dictates the maximum allowable working temperature of SOFC. Thus, the necessitated temporal progress in material selection along with a detailed insight into the conceptual role of thermodynamics and kinetics of surface/cell reactions, effect of phases and microstructure on conductivity, fuel flexibility and deterioration in performance of individual fuel cell components, and evolution of new materials are coherently presented. This article provides a comprehensive review with respect to the structure, chemistry, design and selection of materials, underlying mechanisms, and performance of each SOFC component, and it opens up the futur…","author":[{"dropping-particle":"","family":"Mahato","given":"Neelima","non-dropping-particle":"","parse-names":false,"suffix":""},{"dropping-particle":"","family":"Banerjee","given":"Amitava","non-dropping-particle":"","parse-names":false,"suffix":""},{"dropping-particle":"","family":"Gupta","given":"Alka","non-dropping-particle":"","parse-names":false,"suffix":""},{"dropping-particle":"","family":"Omar","given":"Shobit","non-dropping-particle":"","parse-names":false,"suffix":""},{"dropping-particle":"","family":"Balani","given":"Kantesh","non-dropping-particle":"","parse-names":false,"suffix":""}],"container-title":"Progress in Materials Science","id":"ITEM-1","issued":{"date-parts":[["2015"]]},"page":"141-337","title":"Progress in material selection for solid oxide fuel cell technology: A review","type":"article-journal","volume":"72"},"uris":["http://www.mendeley.com/documents/?uuid=64bcccbb-1f4d-426c-8c8c-3479994e7afd"]},{"id":"ITEM-2","itemData":{"DOI":"10.1016/j.jpowsour.2015.05.050","ISBN":"0378-7753","abstract":"Combined Heat and Power (CHP) is the sequential or simultaneous generation of multiple forms of useful energy, usually electrical and thermal, in a single and integrated system. Implementing CHP systems in the current energy sector may solve energy shortages, climate change and energy conservation issues. This review paper is divided into six sections: the first part defines and classifies the types of fuel cell used in CHP system's; the second part discusses the current status of fuel cell CHP (FC-CHP) around the world and highlights the benefits and drawbacks of CHP systems; the third part focuses on techniques for modelling CHP systems. The fourth section gives a thorough comparison and discussion of the two main fuel cell technologies used in FC-CHP (PEMFC and SOFC), characterising their technical performance and recent developments from the major manufacturers. The fifth section describes all the main components of FC-CHP systems and explains the issues connected with their practical application. The last part summarises the above, and reflects on micro FC-CHP system technology and its future prospects. Crown Copyright (C) 2015 Published by Elsevier B.V. All rights reserved.","author":[{"dropping-particle":"","family":"Ellamla","given":"H R","non-dropping-particle":"","parse-names":false,"suffix":""},{"dropping-particle":"","family":"Staffell","given":"I","non-dropping-particle":"","parse-names":false,"suffix":""},{"dropping-particle":"","family":"Bujlo","given":"P","non-dropping-particle":"","parse-names":false,"suffix":""},{"dropping-particle":"","family":"Pollet","given":"B G","non-dropping-particle":"","parse-names":false,"suffix":""},{"dropping-particle":"","family":"Pasupathi","given":"S","non-dropping-particle":"","parse-names":false,"suffix":""}],"container-title":"Journal of Power Sources","id":"ITEM-2","issued":{"date-parts":[["2015"]]},"language":"English","note":"Cn9zm\nTimes Cited:21\nCited References Count:121","page":"312-328","title":"Current status of fuel cell based combined heat and power systems for residential sector","type":"article-journal","volume":"293"},"uris":["http://www.mendeley.com/documents/?uuid=292fb966-16f9-4a17-be69-f9c4307fc74f"]}],"mendeley":{"formattedCitation":"[25], [26]","plainTextFormattedCitation":"[25], [26]","previouslyFormattedCitation":"[25], [26]"},"properties":{"noteIndex":0},"schema":"https://github.com/citation-style-language/schema/raw/master/csl-citation.json"}</w:instrText>
      </w:r>
      <w:r>
        <w:fldChar w:fldCharType="separate"/>
      </w:r>
      <w:r w:rsidRPr="00375DF8">
        <w:rPr>
          <w:noProof/>
        </w:rPr>
        <w:t>[25], [26]</w:t>
      </w:r>
      <w:r>
        <w:fldChar w:fldCharType="end"/>
      </w:r>
      <w:r>
        <w:t xml:space="preserve">. </w:t>
      </w:r>
      <w:r w:rsidRPr="004654D6">
        <w:t>In addition, the use of solid electrolytes in SOFCs means they do not possess the spillage risks inherent with caustic liquid electrolytes like the KOH seen in AFCs</w:t>
      </w:r>
      <w:r>
        <w:t xml:space="preserve"> </w:t>
      </w:r>
      <w:r>
        <w:fldChar w:fldCharType="begin" w:fldLock="1"/>
      </w:r>
      <w:r>
        <w:instrText>ADDIN CSL_CITATION {"citationItems":[{"id":"ITEM-1","itemData":{"ISBN":"00-442-31926-6","author":[{"dropping-particle":"","family":"Appleby","given":"A J","non-dropping-particle":"","parse-names":false,"suffix":""},{"dropping-particle":"","family":"Foulkes","given":"F R","non-dropping-particle":"","parse-names":false,"suffix":""}],"id":"ITEM-1","issued":{"date-parts":[["1988"]]},"publisher":"Van Nostrand Reinhold","title":"Fuel Cell Handbook","type":"book"},"uris":["http://www.mendeley.com/documents/?uuid=61a75d6c-0322-4da6-91bc-80ede657b69e"]},{"id":"ITEM-2","itemData":{"DOI":"10.1002/9781118191323","ISBN":"9781118087565","author":[{"dropping-particle":"","family":"Bagotsky","given":"Vladimir S.","non-dropping-particle":"","parse-names":false,"suffix":""}],"container-title":"Fuel Cells: Problems and Solutions: Second Edition","id":"ITEM-2","issued":{"date-parts":[["2012"]]},"title":"Fuel Cells: Problems and Solutions: Second Edition","type":"book"},"uris":["http://www.mendeley.com/documents/?uuid=c869f6b3-cb59-45bb-9704-8afee35620f5"]}],"mendeley":{"formattedCitation":"[17], [22]","plainTextFormattedCitation":"[17], [22]","previouslyFormattedCitation":"[17], [22]"},"properties":{"noteIndex":0},"schema":"https://github.com/citation-style-language/schema/raw/master/csl-citation.json"}</w:instrText>
      </w:r>
      <w:r>
        <w:fldChar w:fldCharType="separate"/>
      </w:r>
      <w:r w:rsidRPr="00D17D71">
        <w:rPr>
          <w:noProof/>
        </w:rPr>
        <w:t>[17], [22]</w:t>
      </w:r>
      <w:r>
        <w:fldChar w:fldCharType="end"/>
      </w:r>
      <w:r>
        <w:t>.</w:t>
      </w:r>
    </w:p>
    <w:p w14:paraId="48A6E178" w14:textId="49462805" w:rsidR="00007F6C" w:rsidRDefault="00007F6C" w:rsidP="00007F6C">
      <w:pPr>
        <w:jc w:val="both"/>
      </w:pPr>
      <w:r w:rsidRPr="004654D6">
        <w:t xml:space="preserve">The field of SOFC research has continued to grow </w:t>
      </w:r>
      <w:r>
        <w:t xml:space="preserve">rapidly </w:t>
      </w:r>
      <w:r w:rsidRPr="004654D6">
        <w:t>over the last six decades. This is highly evident as more SOFC publications have been produced in the past 7 years (2011-2018) than the previous 50 years</w:t>
      </w:r>
      <w:r>
        <w:t xml:space="preserve"> (</w:t>
      </w:r>
      <w:r w:rsidR="008B1B6E">
        <w:t>See</w:t>
      </w:r>
      <w:r w:rsidR="008B1B6E" w:rsidRPr="008B1B6E">
        <w:rPr>
          <w:sz w:val="28"/>
          <w:szCs w:val="28"/>
        </w:rPr>
        <w:t xml:space="preserve"> </w:t>
      </w:r>
      <w:r w:rsidRPr="008B1B6E">
        <w:rPr>
          <w:sz w:val="28"/>
          <w:szCs w:val="28"/>
        </w:rPr>
        <w:fldChar w:fldCharType="begin"/>
      </w:r>
      <w:r w:rsidRPr="008B1B6E">
        <w:rPr>
          <w:sz w:val="28"/>
          <w:szCs w:val="28"/>
        </w:rPr>
        <w:instrText xml:space="preserve"> REF _Ref50642099 \h  \* MERGEFORMAT </w:instrText>
      </w:r>
      <w:r w:rsidRPr="008B1B6E">
        <w:rPr>
          <w:sz w:val="28"/>
          <w:szCs w:val="28"/>
        </w:rPr>
      </w:r>
      <w:r w:rsidRPr="008B1B6E">
        <w:rPr>
          <w:sz w:val="28"/>
          <w:szCs w:val="28"/>
        </w:rPr>
        <w:fldChar w:fldCharType="separate"/>
      </w:r>
      <w:r w:rsidR="008B1B6E" w:rsidRPr="008B1B6E">
        <w:t>Figure 1.</w:t>
      </w:r>
      <w:r w:rsidR="008B1B6E" w:rsidRPr="008B1B6E">
        <w:rPr>
          <w:noProof/>
        </w:rPr>
        <w:t>6</w:t>
      </w:r>
      <w:r w:rsidRPr="008B1B6E">
        <w:rPr>
          <w:sz w:val="28"/>
          <w:szCs w:val="28"/>
        </w:rPr>
        <w:fldChar w:fldCharType="end"/>
      </w:r>
      <w:r>
        <w:t xml:space="preserve">) </w:t>
      </w:r>
      <w:r>
        <w:fldChar w:fldCharType="begin" w:fldLock="1"/>
      </w:r>
      <w:r>
        <w:instrText>ADDIN CSL_CITATION {"citationItems":[{"id":"ITEM-1","itemData":{"URL":"https://www.scopus.com/search/form.uri?display=basic","id":"ITEM-1","issue":"10/07/2018","issued":{"date-parts":[["2018"]]},"publisher":"Elsevier","publisher-place":"Scopus Website","title":"Scopus Fuel Cell Search","type":"webpage","volume":"2018"},"uris":["http://www.mendeley.com/documents/?uuid=6e62e07e-461e-426e-a101-99c2cd02c4a7"]}],"mendeley":{"formattedCitation":"[27]","plainTextFormattedCitation":"[27]","previouslyFormattedCitation":"[27]"},"properties":{"noteIndex":0},"schema":"https://github.com/citation-style-language/schema/raw/master/csl-citation.json"}</w:instrText>
      </w:r>
      <w:r>
        <w:fldChar w:fldCharType="separate"/>
      </w:r>
      <w:r w:rsidRPr="00375DF8">
        <w:rPr>
          <w:noProof/>
        </w:rPr>
        <w:t>[27]</w:t>
      </w:r>
      <w:r>
        <w:fldChar w:fldCharType="end"/>
      </w:r>
      <w:r>
        <w:t>.</w:t>
      </w:r>
    </w:p>
    <w:p w14:paraId="452488B1" w14:textId="77777777" w:rsidR="00007F6C" w:rsidRDefault="00007F6C" w:rsidP="00007F6C">
      <w:pPr>
        <w:jc w:val="both"/>
      </w:pPr>
      <w:r w:rsidRPr="004654D6">
        <w:t>Stationary power generation has been the main application of SOFCs due to their high densities and ability to co-generate electricity and heat. These systems are attractive in for power in residential areas due to their low emissions, lack of noise and low maintenance costs. One of the largest profile SOFC companies Bloom Energy has installed 200</w:t>
      </w:r>
      <w:r>
        <w:t xml:space="preserve"> </w:t>
      </w:r>
      <w:r w:rsidRPr="004654D6">
        <w:t>MW of fuel cell stacks in the USA</w:t>
      </w:r>
      <w:r>
        <w:t xml:space="preserve"> </w:t>
      </w:r>
      <w:r>
        <w:fldChar w:fldCharType="begin" w:fldLock="1"/>
      </w:r>
      <w:r>
        <w:instrText>ADDIN CSL_CITATION {"citationItems":[{"id":"ITEM-1","itemData":{"author":[{"dropping-particle":"","family":"D. Hart  F. Lehner, M. Klippenstein, R. Rose","given":"J Lewis","non-dropping-particle":"","parse-names":false,"suffix":""}],"edition":"1st","id":"ITEM-1","issued":{"date-parts":[["2017"]]},"number-of-pages":"1-52","publisher":"E4Tech","publisher-place":"E4Tech Website","title":"The Fuel Cell Industry Review 2017","type":"report"},"uris":["http://www.mendeley.com/documents/?uuid=01bb1228-718d-45cc-b04d-9e671ab22a0e"]}],"mendeley":{"formattedCitation":"[28]","plainTextFormattedCitation":"[28]","previouslyFormattedCitation":"[28]"},"properties":{"noteIndex":0},"schema":"https://github.com/citation-style-language/schema/raw/master/csl-citation.json"}</w:instrText>
      </w:r>
      <w:r>
        <w:fldChar w:fldCharType="separate"/>
      </w:r>
      <w:r w:rsidRPr="00375DF8">
        <w:rPr>
          <w:noProof/>
        </w:rPr>
        <w:t>[28]</w:t>
      </w:r>
      <w:r>
        <w:fldChar w:fldCharType="end"/>
      </w:r>
      <w:r>
        <w:t xml:space="preserve">. </w:t>
      </w:r>
      <w:r w:rsidRPr="004654D6">
        <w:t>The company installed its fifth fuel cell stack for Ikea in 2017</w:t>
      </w:r>
      <w:r>
        <w:t xml:space="preserve"> </w:t>
      </w:r>
      <w:r>
        <w:fldChar w:fldCharType="begin" w:fldLock="1"/>
      </w:r>
      <w:r>
        <w:instrText>ADDIN CSL_CITATION {"citationItems":[{"id":"ITEM-1","itemData":{"DOI":"10.1595/147106712X657535","ISBN":"1756-3196","ISSN":"00321400","author":[{"dropping-particle":"","family":"Hart","given":"David","non-dropping-particle":"","parse-names":false,"suffix":""},{"dropping-particle":"","family":"Lewis","given":"Jonathan","non-dropping-particle":"","parse-names":false,"suffix":""},{"dropping-particle":"","family":"Lehner","given":"Franz","non-dropping-particle":"","parse-names":false,"suffix":""},{"dropping-particle":"","family":"Klippenstein","given":"Matthew","non-dropping-particle":"","parse-names":false,"suffix":""},{"dropping-particle":"","family":"Rose","given":"Robert","non-dropping-particle":"","parse-names":false,"suffix":""}],"container-title":"E4tech","id":"ITEM-1","issued":{"date-parts":[["2017"]]},"page":"1-52","title":"The Fuel Cell Industry Review 2017 2 FUEL CELL INDUSTRY REVIEW 2017 ACKNOWLEDGEMENTS","type":"article-journal"},"uris":["http://www.mendeley.com/documents/?uuid=f9c5e205-da2b-499b-a90c-fedaabc8d3c7"]}],"mendeley":{"formattedCitation":"[29]","plainTextFormattedCitation":"[29]","previouslyFormattedCitation":"[29]"},"properties":{"noteIndex":0},"schema":"https://github.com/citation-style-language/schema/raw/master/csl-citation.json"}</w:instrText>
      </w:r>
      <w:r>
        <w:fldChar w:fldCharType="separate"/>
      </w:r>
      <w:r w:rsidRPr="00375DF8">
        <w:rPr>
          <w:noProof/>
        </w:rPr>
        <w:t>[29]</w:t>
      </w:r>
      <w:r>
        <w:fldChar w:fldCharType="end"/>
      </w:r>
      <w:r>
        <w:t xml:space="preserve">. </w:t>
      </w:r>
    </w:p>
    <w:p w14:paraId="259CCECF" w14:textId="77777777" w:rsidR="00007F6C" w:rsidRDefault="00007F6C" w:rsidP="00007F6C">
      <w:pPr>
        <w:keepNext/>
        <w:jc w:val="center"/>
      </w:pPr>
      <w:r w:rsidRPr="0064349F">
        <w:rPr>
          <w:noProof/>
        </w:rPr>
        <w:drawing>
          <wp:inline distT="0" distB="0" distL="0" distR="0" wp14:anchorId="5BE152CF" wp14:editId="6E32AA76">
            <wp:extent cx="3495675" cy="290284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a:extLst>
                        <a:ext uri="{28A0092B-C50C-407E-A947-70E740481C1C}">
                          <a14:useLocalDpi xmlns:a14="http://schemas.microsoft.com/office/drawing/2010/main" val="0"/>
                        </a:ext>
                      </a:extLst>
                    </a:blip>
                    <a:srcRect l="8028" t="9910" r="13532" b="4805"/>
                    <a:stretch/>
                  </pic:blipFill>
                  <pic:spPr bwMode="auto">
                    <a:xfrm>
                      <a:off x="0" y="0"/>
                      <a:ext cx="3499381" cy="2905918"/>
                    </a:xfrm>
                    <a:prstGeom prst="rect">
                      <a:avLst/>
                    </a:prstGeom>
                    <a:noFill/>
                    <a:ln>
                      <a:noFill/>
                    </a:ln>
                    <a:extLst>
                      <a:ext uri="{53640926-AAD7-44D8-BBD7-CCE9431645EC}">
                        <a14:shadowObscured xmlns:a14="http://schemas.microsoft.com/office/drawing/2010/main"/>
                      </a:ext>
                    </a:extLst>
                  </pic:spPr>
                </pic:pic>
              </a:graphicData>
            </a:graphic>
          </wp:inline>
        </w:drawing>
      </w:r>
    </w:p>
    <w:p w14:paraId="0BB6B33E" w14:textId="6AFAADCF" w:rsidR="00007F6C" w:rsidRPr="003137C0" w:rsidRDefault="00007F6C" w:rsidP="00007F6C">
      <w:pPr>
        <w:jc w:val="center"/>
        <w:rPr>
          <w:i/>
          <w:iCs/>
          <w:color w:val="44546A" w:themeColor="text2"/>
          <w:sz w:val="18"/>
          <w:szCs w:val="18"/>
        </w:rPr>
      </w:pPr>
      <w:bookmarkStart w:id="28" w:name="_Ref50641884"/>
      <w:bookmarkStart w:id="29" w:name="_Toc69114909"/>
      <w:r w:rsidRPr="003137C0">
        <w:rPr>
          <w:i/>
          <w:iCs/>
          <w:color w:val="44546A" w:themeColor="text2"/>
          <w:sz w:val="18"/>
          <w:szCs w:val="18"/>
        </w:rPr>
        <w:t>Figure 1.</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C73B12">
        <w:rPr>
          <w:i/>
          <w:iCs/>
          <w:noProof/>
          <w:color w:val="44546A" w:themeColor="text2"/>
          <w:sz w:val="18"/>
          <w:szCs w:val="18"/>
        </w:rPr>
        <w:t>5</w:t>
      </w:r>
      <w:r w:rsidR="00285C23">
        <w:rPr>
          <w:i/>
          <w:iCs/>
          <w:color w:val="44546A" w:themeColor="text2"/>
          <w:sz w:val="18"/>
          <w:szCs w:val="18"/>
        </w:rPr>
        <w:fldChar w:fldCharType="end"/>
      </w:r>
      <w:bookmarkEnd w:id="28"/>
      <w:r w:rsidRPr="003137C0">
        <w:rPr>
          <w:i/>
          <w:iCs/>
          <w:color w:val="44546A" w:themeColor="text2"/>
          <w:sz w:val="18"/>
          <w:szCs w:val="18"/>
        </w:rPr>
        <w:t xml:space="preserve">: Energy efficiencies of different fuel cell types in combined heat and power units </w:t>
      </w:r>
      <w:r w:rsidRPr="003137C0">
        <w:rPr>
          <w:i/>
          <w:iCs/>
          <w:color w:val="44546A" w:themeColor="text2"/>
          <w:sz w:val="18"/>
          <w:szCs w:val="18"/>
        </w:rPr>
        <w:fldChar w:fldCharType="begin" w:fldLock="1"/>
      </w:r>
      <w:r>
        <w:rPr>
          <w:i/>
          <w:iCs/>
          <w:color w:val="44546A" w:themeColor="text2"/>
          <w:sz w:val="18"/>
          <w:szCs w:val="18"/>
        </w:rPr>
        <w:instrText>ADDIN CSL_CITATION {"citationItems":[{"id":"ITEM-1","itemData":{"DOI":"10.1039/c1ee02445k","ISSN":"17545692","abstract":"The 2012 Department of Energy (DOE) budget request significantly reduces fuel cell RD&amp;D funding and would cease to support the Solid State Energy Conversion Alliance (SECA), DOE's solid oxide fuel cell (SOFC) program. This would be a grave mistake considering the US's historic dominance in fuel cell RD&amp;D, exciting recent technological advancements in fuel cells, and clear positive market signals around the globe. In this paper we discuss DOE's energy RD&amp;D policy, how SOFCs address every key DOE strategy, and why recent advances should make SOFCs an integral part of our energy RD&amp;D policy. Moreover, we compare the prospects of low temperature SOFCs with the more common proton exchange membrane fuel cell (PEMFC) in the absence of a hydrogen infrastructure. © The Royal Society of Chemistry 2012.","author":[{"dropping-particle":"","family":"Wachsman","given":"Eric D.","non-dropping-particle":"","parse-names":false,"suffix":""},{"dropping-particle":"","family":"Marlowe","given":"Craig A.","non-dropping-particle":"","parse-names":false,"suffix":""},{"dropping-particle":"","family":"Lee","given":"Kang Taek","non-dropping-particle":"","parse-names":false,"suffix":""}],"container-title":"Energy and Environmental Science","id":"ITEM-1","issue":"2","issued":{"date-parts":[["2012"]]},"page":"5498-5509","title":"Role of solid oxide fuel cells in a balanced energy strategy","type":"article-journal","volume":"5"},"uris":["http://www.mendeley.com/documents/?uuid=4cb63338-bf7a-47f2-a752-19de48ac0023"]},{"id":"ITEM-2","itemData":{"author":[{"dropping-particle":"","family":"NREL","given":"","non-dropping-particle":"","parse-names":false,"suffix":""}],"edition":"1st","editor":[{"dropping-particle":"","family":"Energy","given":"U S Department of","non-dropping-particle":"","parse-names":false,"suffix":""}],"id":"ITEM-2","issue":"NREL/BK-6A10-48265","issued":{"date-parts":[["2010"]]},"number-of-pages":"1-40","publisher-place":"US Department of Energy","title":"1–10 kW Stationary Combined Heat and Power Systems Status and Technical Potential . Independent Review Published for the U.S. Department of Energy Hydrogen and Fuel Cells Program","type":"report"},"uris":["http://www.mendeley.com/documents/?uuid=629c05b3-f2a4-426f-b4cb-c1dd08720611"]},{"id":"ITEM-3","itemData":{"DOI":"10.1016/j.jpowsour.2015.05.050","ISBN":"0378-7753","ISSN":"03787753","abstract":"Combined Heat and Power (CHP) is the sequential or simultaneous generation of multiple forms of useful energy, usually electrical and thermal, in a single and integrated system. Implementing CHP systems in the current energy sector may solve energy shortages, climate change and energy conservation issues. This review paper is divided into six sections: the first part defines and classifies the types of fuel cell used in CHP systems; the second part discusses the current status of fuel cell CHP (FC-CHP) around the world and highlights the benefits and drawbacks of CHP systems; the third part focuses on techniques for modelling CHP systems. The fourth section gives a thorough comparison and discussion of the two main fuel cell technologies used in FC-CHP (PEMFC and SOFC), characterising their technical performance and recent developments from the major manufacturers. The fifth section describes all the main components of FC-CHP systems and explains the issues connected with their practical application. The last part summarises the above, and reflects on micro FC-CHP system technology and its future prospects.","author":[{"dropping-particle":"","family":"Ellamla","given":"Harikishan R.","non-dropping-particle":"","parse-names":false,"suffix":""},{"dropping-particle":"","family":"Staffell","given":"Iain","non-dropping-particle":"","parse-names":false,"suffix":""},{"dropping-particle":"","family":"Bujlo","given":"Piotr","non-dropping-particle":"","parse-names":false,"suffix":""},{"dropping-particle":"","family":"Pollet","given":"Bruno G.","non-dropping-particle":"","parse-names":false,"suffix":""},{"dropping-particle":"","family":"Pasupathi","given":"Sivakumar","non-dropping-particle":"","parse-names":false,"suffix":""}],"container-title":"Journal of Power Sources","id":"ITEM-3","issued":{"date-parts":[["2015"]]},"page":"312-328","publisher":"Elsevier B.V","title":"Current status of fuel cell based combined heat and power systems for residential sector","type":"article-journal","volume":"293"},"uris":["http://www.mendeley.com/documents/?uuid=71882e32-89c8-4917-8af8-8690e187a85b"]},{"id":"ITEM-4","itemData":{"DOI":"10.1097/01.mat.0000169120.48527.87","abstract":"Steam turbines are a mature technology and have been used since the 1880s for electricity production. Most of the electricity generated in the United States is produced by steam turbines integrated in central station power plants. In addition to central station power, steam turbines are also commonly used for combined heat and power (CHP) installations (see Table 1 for summary of CHP attributes).","author":[{"dropping-particle":"","family":"United States Department of Energy","given":"US","non-dropping-particle":"","parse-names":false,"suffix":""}],"id":"ITEM-4","issued":{"date-parts":[["2016"]]},"page":"4","title":"Combined Heat and Power Technology Fact Sheets Series: Steam Turbines","type":"article-journal"},"uris":["http://www.mendeley.com/documents/?uuid=349dd3a6-e19b-4ed4-8665-e4fc38ab7d16"]}],"mendeley":{"formattedCitation":"[3], [30]–[32]","plainTextFormattedCitation":"[3], [30]–[32]","previouslyFormattedCitation":"[3], [30]–[32]"},"properties":{"noteIndex":0},"schema":"https://github.com/citation-style-language/schema/raw/master/csl-citation.json"}</w:instrText>
      </w:r>
      <w:r w:rsidRPr="003137C0">
        <w:rPr>
          <w:i/>
          <w:iCs/>
          <w:color w:val="44546A" w:themeColor="text2"/>
          <w:sz w:val="18"/>
          <w:szCs w:val="18"/>
        </w:rPr>
        <w:fldChar w:fldCharType="separate"/>
      </w:r>
      <w:r w:rsidRPr="00375DF8">
        <w:rPr>
          <w:iCs/>
          <w:noProof/>
          <w:color w:val="44546A" w:themeColor="text2"/>
          <w:sz w:val="18"/>
          <w:szCs w:val="18"/>
        </w:rPr>
        <w:t>[3], [30]–[32]</w:t>
      </w:r>
      <w:bookmarkEnd w:id="29"/>
      <w:r w:rsidRPr="003137C0">
        <w:rPr>
          <w:i/>
          <w:iCs/>
          <w:color w:val="44546A" w:themeColor="text2"/>
          <w:sz w:val="18"/>
          <w:szCs w:val="18"/>
        </w:rPr>
        <w:fldChar w:fldCharType="end"/>
      </w:r>
    </w:p>
    <w:p w14:paraId="7B071568" w14:textId="77777777" w:rsidR="00007F6C" w:rsidRDefault="00007F6C" w:rsidP="00007F6C">
      <w:pPr>
        <w:jc w:val="center"/>
      </w:pPr>
      <w:r w:rsidRPr="000A0CF2">
        <w:rPr>
          <w:noProof/>
        </w:rPr>
        <w:drawing>
          <wp:inline distT="0" distB="0" distL="0" distR="0" wp14:anchorId="28C253D9" wp14:editId="421783B9">
            <wp:extent cx="3419475" cy="264703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a:extLst>
                        <a:ext uri="{28A0092B-C50C-407E-A947-70E740481C1C}">
                          <a14:useLocalDpi xmlns:a14="http://schemas.microsoft.com/office/drawing/2010/main" val="0"/>
                        </a:ext>
                      </a:extLst>
                    </a:blip>
                    <a:srcRect l="3211" t="9910" r="13532" b="5706"/>
                    <a:stretch/>
                  </pic:blipFill>
                  <pic:spPr bwMode="auto">
                    <a:xfrm>
                      <a:off x="0" y="0"/>
                      <a:ext cx="3421798" cy="2648830"/>
                    </a:xfrm>
                    <a:prstGeom prst="rect">
                      <a:avLst/>
                    </a:prstGeom>
                    <a:noFill/>
                    <a:ln>
                      <a:noFill/>
                    </a:ln>
                    <a:extLst>
                      <a:ext uri="{53640926-AAD7-44D8-BBD7-CCE9431645EC}">
                        <a14:shadowObscured xmlns:a14="http://schemas.microsoft.com/office/drawing/2010/main"/>
                      </a:ext>
                    </a:extLst>
                  </pic:spPr>
                </pic:pic>
              </a:graphicData>
            </a:graphic>
          </wp:inline>
        </w:drawing>
      </w:r>
      <w:bookmarkStart w:id="30" w:name="_Ref50642099"/>
      <w:r w:rsidRPr="006D6461">
        <w:t xml:space="preserve"> </w:t>
      </w:r>
    </w:p>
    <w:p w14:paraId="59CD2659" w14:textId="62958236" w:rsidR="00007F6C" w:rsidRPr="003137C0" w:rsidRDefault="00007F6C" w:rsidP="00007F6C">
      <w:pPr>
        <w:jc w:val="center"/>
        <w:rPr>
          <w:i/>
          <w:iCs/>
          <w:color w:val="44546A" w:themeColor="text2"/>
          <w:sz w:val="18"/>
          <w:szCs w:val="18"/>
        </w:rPr>
      </w:pPr>
      <w:bookmarkStart w:id="31" w:name="_Toc69114910"/>
      <w:r w:rsidRPr="003137C0">
        <w:rPr>
          <w:i/>
          <w:iCs/>
          <w:color w:val="44546A" w:themeColor="text2"/>
          <w:sz w:val="18"/>
          <w:szCs w:val="18"/>
        </w:rPr>
        <w:t>Figure 1.</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C73B12">
        <w:rPr>
          <w:i/>
          <w:iCs/>
          <w:noProof/>
          <w:color w:val="44546A" w:themeColor="text2"/>
          <w:sz w:val="18"/>
          <w:szCs w:val="18"/>
        </w:rPr>
        <w:t>6</w:t>
      </w:r>
      <w:r w:rsidR="00285C23">
        <w:rPr>
          <w:i/>
          <w:iCs/>
          <w:color w:val="44546A" w:themeColor="text2"/>
          <w:sz w:val="18"/>
          <w:szCs w:val="18"/>
        </w:rPr>
        <w:fldChar w:fldCharType="end"/>
      </w:r>
      <w:bookmarkEnd w:id="30"/>
      <w:r w:rsidRPr="003137C0">
        <w:rPr>
          <w:i/>
          <w:iCs/>
          <w:color w:val="44546A" w:themeColor="text2"/>
          <w:sz w:val="18"/>
          <w:szCs w:val="18"/>
        </w:rPr>
        <w:t xml:space="preserve">: Number of publications relating to SOFCs available on the Scopus search engine from January 1961- June 2018 </w:t>
      </w:r>
      <w:r w:rsidRPr="003137C0">
        <w:rPr>
          <w:i/>
          <w:iCs/>
          <w:color w:val="44546A" w:themeColor="text2"/>
          <w:sz w:val="18"/>
          <w:szCs w:val="18"/>
        </w:rPr>
        <w:fldChar w:fldCharType="begin" w:fldLock="1"/>
      </w:r>
      <w:r>
        <w:rPr>
          <w:i/>
          <w:iCs/>
          <w:color w:val="44546A" w:themeColor="text2"/>
          <w:sz w:val="18"/>
          <w:szCs w:val="18"/>
        </w:rPr>
        <w:instrText>ADDIN CSL_CITATION {"citationItems":[{"id":"ITEM-1","itemData":{"URL":"https://www.scopus.com/search/form.uri?display=basic","id":"ITEM-1","issue":"10/07/2018","issued":{"date-parts":[["2018"]]},"publisher":"Elsevier","publisher-place":"Scopus Website","title":"Scopus Fuel Cell Search","type":"webpage","volume":"2018"},"uris":["http://www.mendeley.com/documents/?uuid=6e62e07e-461e-426e-a101-99c2cd02c4a7"]}],"mendeley":{"formattedCitation":"[27]","plainTextFormattedCitation":"[27]","previouslyFormattedCitation":"[27]"},"properties":{"noteIndex":0},"schema":"https://github.com/citation-style-language/schema/raw/master/csl-citation.json"}</w:instrText>
      </w:r>
      <w:r w:rsidRPr="003137C0">
        <w:rPr>
          <w:i/>
          <w:iCs/>
          <w:color w:val="44546A" w:themeColor="text2"/>
          <w:sz w:val="18"/>
          <w:szCs w:val="18"/>
        </w:rPr>
        <w:fldChar w:fldCharType="separate"/>
      </w:r>
      <w:r w:rsidRPr="00375DF8">
        <w:rPr>
          <w:iCs/>
          <w:noProof/>
          <w:color w:val="44546A" w:themeColor="text2"/>
          <w:sz w:val="18"/>
          <w:szCs w:val="18"/>
        </w:rPr>
        <w:t>[27]</w:t>
      </w:r>
      <w:bookmarkEnd w:id="31"/>
      <w:r w:rsidRPr="003137C0">
        <w:rPr>
          <w:i/>
          <w:iCs/>
          <w:color w:val="44546A" w:themeColor="text2"/>
          <w:sz w:val="18"/>
          <w:szCs w:val="18"/>
        </w:rPr>
        <w:fldChar w:fldCharType="end"/>
      </w:r>
      <w:r w:rsidRPr="003137C0">
        <w:rPr>
          <w:i/>
          <w:iCs/>
          <w:color w:val="44546A" w:themeColor="text2"/>
          <w:sz w:val="18"/>
          <w:szCs w:val="18"/>
        </w:rPr>
        <w:t xml:space="preserve"> </w:t>
      </w:r>
    </w:p>
    <w:p w14:paraId="2E451001" w14:textId="237A32BE" w:rsidR="00007F6C" w:rsidRDefault="00007F6C" w:rsidP="00007F6C">
      <w:pPr>
        <w:jc w:val="both"/>
      </w:pPr>
      <w:r w:rsidRPr="004654D6">
        <w:lastRenderedPageBreak/>
        <w:t>SOFC stacks form 10</w:t>
      </w:r>
      <w:r w:rsidR="008B1B6E">
        <w:t xml:space="preserve"> </w:t>
      </w:r>
      <w:r w:rsidRPr="004654D6">
        <w:t xml:space="preserve">% of the largest commercial project involving residential CHPs </w:t>
      </w:r>
      <w:r>
        <w:fldChar w:fldCharType="begin" w:fldLock="1"/>
      </w:r>
      <w:r>
        <w:instrText>ADDIN CSL_CITATION {"citationItems":[{"id":"ITEM-1","itemData":{"DOI":"10.1595/147106712X657535","ISBN":"1756-3196","ISSN":"00321400","author":[{"dropping-particle":"","family":"Hart","given":"David","non-dropping-particle":"","parse-names":false,"suffix":""},{"dropping-particle":"","family":"Lewis","given":"Jonathan","non-dropping-particle":"","parse-names":false,"suffix":""},{"dropping-particle":"","family":"Lehner","given":"Franz","non-dropping-particle":"","parse-names":false,"suffix":""},{"dropping-particle":"","family":"Klippenstein","given":"Matthew","non-dropping-particle":"","parse-names":false,"suffix":""},{"dropping-particle":"","family":"Rose","given":"Robert","non-dropping-particle":"","parse-names":false,"suffix":""}],"container-title":"E4tech","id":"ITEM-1","issued":{"date-parts":[["2017"]]},"page":"1-52","title":"The Fuel Cell Industry Review 2017 2 FUEL CELL INDUSTRY REVIEW 2017 ACKNOWLEDGEMENTS","type":"article-journal"},"uris":["http://www.mendeley.com/documents/?uuid=f9c5e205-da2b-499b-a90c-fedaabc8d3c7"]},{"id":"ITEM-2","itemData":{"DOI":"10.1016/j.rser.2014.10.080","ISBN":"13640321","author":[{"dropping-particle":"","family":"Elmer","given":"Theo","non-dropping-particle":"","parse-names":false,"suffix":""},{"dropping-particle":"","family":"Worall","given":"Mark","non-dropping-particle":"","parse-names":false,"suffix":""},{"dropping-particle":"","family":"Wu","given":"Shenyi","non-dropping-particle":"","parse-names":false,"suffix":""},{"dropping-particle":"","family":"Riffat","given":"Saffa B","non-dropping-particle":"","parse-names":false,"suffix":""}],"chapter-number":"913","container-title":"Renewable and Sustainable Energy Reviews","id":"ITEM-2","issued":{"date-parts":[["2015"]]},"page":"913-931","title":"Fuel cell technology for domestic built environment applications: State of-the-art review","type":"article-journal","volume":"42"},"uris":["http://www.mendeley.com/documents/?uuid=da95af09-54f8-4728-b117-f9446f40cc07"]}],"mendeley":{"formattedCitation":"[29], [33]","plainTextFormattedCitation":"[29], [33]","previouslyFormattedCitation":"[29], [33]"},"properties":{"noteIndex":0},"schema":"https://github.com/citation-style-language/schema/raw/master/csl-citation.json"}</w:instrText>
      </w:r>
      <w:r>
        <w:fldChar w:fldCharType="separate"/>
      </w:r>
      <w:r w:rsidRPr="00375DF8">
        <w:rPr>
          <w:noProof/>
        </w:rPr>
        <w:t>[29], [33]</w:t>
      </w:r>
      <w:r>
        <w:fldChar w:fldCharType="end"/>
      </w:r>
      <w:r>
        <w:t xml:space="preserve">. </w:t>
      </w:r>
      <w:r w:rsidRPr="004654D6">
        <w:t xml:space="preserve">The Japanese </w:t>
      </w:r>
      <w:proofErr w:type="spellStart"/>
      <w:r w:rsidRPr="004654D6">
        <w:t>Ene</w:t>
      </w:r>
      <w:proofErr w:type="spellEnd"/>
      <w:r w:rsidRPr="004654D6">
        <w:t>-Farm project is considered the most successful rollout of public use solid oxide fuel cells since its’ inception in 2009 with 22,000 SOFC units</w:t>
      </w:r>
      <w:r>
        <w:t xml:space="preserve"> </w:t>
      </w:r>
      <w:r>
        <w:fldChar w:fldCharType="begin" w:fldLock="1"/>
      </w:r>
      <w:r>
        <w:instrText>ADDIN CSL_CITATION {"citationItems":[{"id":"ITEM-1","itemData":{"DOI":"10.1595/147106712X657535","ISBN":"1756-3196","ISSN":"00321400","author":[{"dropping-particle":"","family":"Hart","given":"David","non-dropping-particle":"","parse-names":false,"suffix":""},{"dropping-particle":"","family":"Lewis","given":"Jonathan","non-dropping-particle":"","parse-names":false,"suffix":""},{"dropping-particle":"","family":"Lehner","given":"Franz","non-dropping-particle":"","parse-names":false,"suffix":""},{"dropping-particle":"","family":"Klippenstein","given":"Matthew","non-dropping-particle":"","parse-names":false,"suffix":""},{"dropping-particle":"","family":"Rose","given":"Robert","non-dropping-particle":"","parse-names":false,"suffix":""}],"container-title":"E4tech","id":"ITEM-1","issued":{"date-parts":[["2017"]]},"page":"1-52","title":"The Fuel Cell Industry Review 2017 2 FUEL CELL INDUSTRY REVIEW 2017 ACKNOWLEDGEMENTS","type":"article-journal"},"uris":["http://www.mendeley.com/documents/?uuid=f9c5e205-da2b-499b-a90c-fedaabc8d3c7"]},{"id":"ITEM-2","itemData":{"DOI":"10.1016/j.rser.2014.10.080","ISBN":"13640321","author":[{"dropping-particle":"","family":"Elmer","given":"Theo","non-dropping-particle":"","parse-names":false,"suffix":""},{"dropping-particle":"","family":"Worall","given":"Mark","non-dropping-particle":"","parse-names":false,"suffix":""},{"dropping-particle":"","family":"Wu","given":"Shenyi","non-dropping-particle":"","parse-names":false,"suffix":""},{"dropping-particle":"","family":"Riffat","given":"Saffa B","non-dropping-particle":"","parse-names":false,"suffix":""}],"chapter-number":"913","container-title":"Renewable and Sustainable Energy Reviews","id":"ITEM-2","issued":{"date-parts":[["2015"]]},"page":"913-931","title":"Fuel cell technology for domestic built environment applications: State of-the-art review","type":"article-journal","volume":"42"},"uris":["http://www.mendeley.com/documents/?uuid=da95af09-54f8-4728-b117-f9446f40cc07"]}],"mendeley":{"formattedCitation":"[29], [33]","plainTextFormattedCitation":"[29], [33]","previouslyFormattedCitation":"[29], [33]"},"properties":{"noteIndex":0},"schema":"https://github.com/citation-style-language/schema/raw/master/csl-citation.json"}</w:instrText>
      </w:r>
      <w:r>
        <w:fldChar w:fldCharType="separate"/>
      </w:r>
      <w:r w:rsidRPr="00375DF8">
        <w:rPr>
          <w:noProof/>
        </w:rPr>
        <w:t>[29], [33]</w:t>
      </w:r>
      <w:r>
        <w:fldChar w:fldCharType="end"/>
      </w:r>
      <w:r>
        <w:t xml:space="preserve">. </w:t>
      </w:r>
    </w:p>
    <w:p w14:paraId="2A83D0E1" w14:textId="77777777" w:rsidR="00007F6C" w:rsidRDefault="00007F6C" w:rsidP="00007F6C">
      <w:pPr>
        <w:jc w:val="both"/>
      </w:pPr>
      <w:r w:rsidRPr="004654D6">
        <w:t>Despite these highly favourable efficiency statistics there are numerous disadvantages with using such high temperatures. A typical solid oxide cell is expected to operate for 40,000</w:t>
      </w:r>
      <w:r>
        <w:t xml:space="preserve"> </w:t>
      </w:r>
      <w:r w:rsidRPr="004654D6">
        <w:t>h</w:t>
      </w:r>
      <w:r>
        <w:t>ours</w:t>
      </w:r>
      <w:r w:rsidRPr="004654D6">
        <w:t>, hence the use of ceramics due to their high thermal stability</w:t>
      </w:r>
      <w:r>
        <w:t xml:space="preserve"> </w:t>
      </w:r>
      <w:r>
        <w:fldChar w:fldCharType="begin" w:fldLock="1"/>
      </w:r>
      <w:r>
        <w:instrText xml:space="preserve">ADDIN CSL_CITATION {"citationItems":[{"id":"ITEM-1","itemData":{"DOI":"10.1039/c5ee03858h","ISSN":"17545706","abstract":"This article provides a perspective on solid oxide fuel cells operating at low temperature, defined here to be the range from </w:instrText>
      </w:r>
      <w:r>
        <w:rPr>
          <w:rFonts w:ascii="Cambria Math" w:hAnsi="Cambria Math" w:cs="Cambria Math"/>
        </w:rPr>
        <w:instrText>∼</w:instrText>
      </w:r>
      <w:r>
        <w:instrText xml:space="preserve">400 </w:instrText>
      </w:r>
      <w:r>
        <w:rPr>
          <w:rFonts w:ascii="Calibri" w:hAnsi="Calibri" w:cs="Calibri"/>
        </w:rPr>
        <w:instrText>°</w:instrText>
      </w:r>
      <w:r>
        <w:instrText xml:space="preserve">C to 650 </w:instrText>
      </w:r>
      <w:r>
        <w:rPr>
          <w:rFonts w:ascii="Calibri" w:hAnsi="Calibri" w:cs="Calibri"/>
        </w:rPr>
        <w:instrText>°</w:instrText>
      </w:r>
      <w:r>
        <w:instrText>C. These low-temperature solid oxide fuel cells (LT-SOFCs) have seen considerable research and development and are widely viewed as the \"next generation\" technology, following the 650-850 °C SOFCs that are currently undergoing commercialization. LT-SOFCs have potential advantages for conventional SOFC applications such as stationary power generation, and may be viable for new portable and transportation power applications, along with electrolytic fuel production and energy storage. The characteristics of electrolyte and electrode materials are reviewed, with a focus on materials that have demonstrated good properties and cell performance at low temperature. Only oxygen-ion-conducting electrolytes are considered here. Anode materials are discussed, primarily the various Ni-cermet anode compositions that yield good low-temperature performance. Mixed ionically and electronically conducting cathode materials are described in detail, reflecting the extensive research activity that has aimed at providing useful oxygen reduction kinetics at low operating temperature. Cell design, materials compatibility, processing methods, and resulting microstructures are discussed, along with their role in determining cell performance. Results from state of the art LT-SOFCs are presented, and future prospects are discussed.","author":[{"dropping-particle":"","family":"Gao","given":"Zhan","non-dropping-particle":"","parse-names":false,"suffix":""},{"dropping-particle":"V.","family":"Mogni","given":"Liliana","non-dropping-particle":"","parse-names":false,"suffix":""},{"dropping-particle":"","family":"Miller","given":"Elizabeth C.","non-dropping-particle":"","parse-names":false,"suffix":""},{"dropping-particle":"","family":"Railsback","given":"Justin G.","non-dropping-particle":"","parse-names":false,"suffix":""},{"dropping-particle":"","family":"Barnett","given":"Scott A.","non-dropping-particle":"","parse-names":false,"suffix":""}],"container-title":"Energy and Environmental Science","id":"ITEM-1","issue":"5","issued":{"date-parts":[["2016"]]},"page":"1602-1644","publisher":"Royal Society of Chemistry","title":"A perspective on low-temperature solid oxide fuel cells","type":"article-journal","volume":"9"},"uris":["http://www.mendeley.com/documents/?uuid=92448a47-9cb3-4040-b1d0-cf84ba5bfc9d"]}],"mendeley":{"formattedCitation":"[34]","plainTextFormattedCitation":"[34]","previouslyFormattedCitation":"[34]"},"properties":{"noteIndex":0},"schema":"https://github.com/citation-style-language/schema/raw/master/csl-citation.json"}</w:instrText>
      </w:r>
      <w:r>
        <w:fldChar w:fldCharType="separate"/>
      </w:r>
      <w:r w:rsidRPr="00375DF8">
        <w:rPr>
          <w:noProof/>
        </w:rPr>
        <w:t>[34]</w:t>
      </w:r>
      <w:r>
        <w:fldChar w:fldCharType="end"/>
      </w:r>
      <w:r>
        <w:t xml:space="preserve">. </w:t>
      </w:r>
      <w:r w:rsidRPr="004654D6">
        <w:t>However, under these high temperatures microstructural changes in the electro catalyst degradation can cause electrical losses and eventual shorting</w:t>
      </w:r>
      <w:r>
        <w:t xml:space="preserve"> </w:t>
      </w:r>
      <w:r>
        <w:fldChar w:fldCharType="begin" w:fldLock="1"/>
      </w:r>
      <w:r>
        <w:instrText>ADDIN CSL_CITATION {"citationItems":[{"id":"ITEM-1","itemData":{"DOI":"10.1002/9781118191323","ISBN":"9781118087565","author":[{"dropping-particle":"","family":"Bagotsky","given":"Vladimir S.","non-dropping-particle":"","parse-names":false,"suffix":""}],"container-title":"Fuel Cells: Problems and Solutions: Second Edition","id":"ITEM-1","issued":{"date-parts":[["2012"]]},"title":"Fuel Cells: Problems and Solutions: Second Edition","type":"book"},"uris":["http://www.mendeley.com/documents/?uuid=c869f6b3-cb59-45bb-9704-8afee35620f5"]},{"id":"ITEM-2","itemData":{"ISBN":"00-442-31926-6","author":[{"dropping-particle":"","family":"Appleby","given":"A J","non-dropping-particle":"","parse-names":false,"suffix":""},{"dropping-particle":"","family":"Foulkes","given":"F R","non-dropping-particle":"","parse-names":false,"suffix":""}],"id":"ITEM-2","issued":{"date-parts":[["1988"]]},"publisher":"Van Nostrand Reinhold","title":"Fuel Cell Handbook","type":"book"},"uris":["http://www.mendeley.com/documents/?uuid=61a75d6c-0322-4da6-91bc-80ede657b69e"]},{"id":"ITEM-3","itemData":{"DOI":"10.1016/j.pmatsci.2015.01.001","ISBN":"0079-6425","ISSN":"00796425","PMID":"25653388","abstract":"Solid oxide fuel cells (SOFC) have emerged as energy conversion devices in achieving high efficiency of over 70% with regeneration. The critical components of SOFC include anode, electrolyte, and cathode. However, for a stack of individual SOFCs, the evaluation of sealants and interconnects are also essential. In this review article, material selection, fundamentals of operation and underlying mechanisms, processing, microstructural and phase characterization, and the functionality and performance of individual SOFC components are presented in detail. The major challenges and complexity in functional section of SOFC include: (i) poisoning via sulfur and coke deposition, surface diffusion of adsorbate, and charge transfer at triple-phase boundary (TPB) in anode, (ii) hindered O&lt;sup&gt;2-&lt;/sup&gt; migration that converts chemical energy into electrical energy in the solid electrolyte (thus, the creation of ion transfer channels, ease of O&lt;sup&gt;2-&lt;/sup&gt; migration, dissociation of vacancy around dopants, straining of lattice, and other factors such as control of phase and its distribution, grain and grain boundary conductivity, become critical in designing the electrolytes for SOFCs), (iii) multiple rate determining factors such as geometry of active surfaces, and existence of overpotential, in cathode (thereby, comprehensive electrochemical impedance spectroscopy is required for the analysis of solid cathodes in SOFC), (iv) chemical incompatibility and instability in both oxidizing and reducing environments while matching the coefficient of thermal expansion (CTE) in the interconnects in order to sustain large number of thermal cycling during the operation of SOFC, and (v) isolation of the fuel and oxidizing gases while matching the CTE of the anode, cathode and interconnects, using sealant. Moreover, the glass-transition of sealant dictates the maximum allowable working temperature of SOFC. Thus, the necessitated temporal progress in material selection along with a detailed insight into the conceptual role of thermodynamics and kinetics of surface/cell reactions, effect of phases and microstructure on conductivity, fuel flexibility and deterioration in performance of individual fuel cell components, and evolution of new materials are coherently presented. This article provides a comprehensive review with respect to the structure, chemistry, design and selection of materials, underlying mechanisms, and performance of each SOFC component, and it opens up the futur…","author":[{"dropping-particle":"","family":"Mahato","given":"Neelima","non-dropping-particle":"","parse-names":false,"suffix":""},{"dropping-particle":"","family":"Banerjee","given":"Amitava","non-dropping-particle":"","parse-names":false,"suffix":""},{"dropping-particle":"","family":"Gupta","given":"Alka","non-dropping-particle":"","parse-names":false,"suffix":""},{"dropping-particle":"","family":"Omar","given":"Shobit","non-dropping-particle":"","parse-names":false,"suffix":""},{"dropping-particle":"","family":"Balani","given":"Kantesh","non-dropping-particle":"","parse-names":false,"suffix":""}],"container-title":"Progress in Materials Science","id":"ITEM-3","issued":{"date-parts":[["2015"]]},"page":"141-337","title":"Progress in material selection for solid oxide fuel cell technology: A review","type":"article-journal","volume":"72"},"uris":["http://www.mendeley.com/documents/?uuid=64bcccbb-1f4d-426c-8c8c-3479994e7afd"]}],"mendeley":{"formattedCitation":"[17], [22], [25]","plainTextFormattedCitation":"[17], [22], [25]","previouslyFormattedCitation":"[17], [22], [25]"},"properties":{"noteIndex":0},"schema":"https://github.com/citation-style-language/schema/raw/master/csl-citation.json"}</w:instrText>
      </w:r>
      <w:r>
        <w:fldChar w:fldCharType="separate"/>
      </w:r>
      <w:r w:rsidRPr="00375DF8">
        <w:rPr>
          <w:noProof/>
        </w:rPr>
        <w:t>[17], [22], [25]</w:t>
      </w:r>
      <w:r>
        <w:fldChar w:fldCharType="end"/>
      </w:r>
      <w:r>
        <w:t xml:space="preserve">. </w:t>
      </w:r>
      <w:r w:rsidRPr="004654D6">
        <w:t>Combined heat and power systems also possess heat up times of up 24 hours which could mean that SOFCs would have to be combined with other fuel cells to produce immediate power</w:t>
      </w:r>
      <w:r>
        <w:t xml:space="preserve"> </w:t>
      </w:r>
      <w:r>
        <w:fldChar w:fldCharType="begin" w:fldLock="1"/>
      </w:r>
      <w:r>
        <w:instrText>ADDIN CSL_CITATION {"citationItems":[{"id":"ITEM-1","itemData":{"DOI":"10.1595/147106712X657535","ISBN":"1756-3196","ISSN":"00321400","author":[{"dropping-particle":"","family":"Hart","given":"David","non-dropping-particle":"","parse-names":false,"suffix":""},{"dropping-particle":"","family":"Lewis","given":"Jonathan","non-dropping-particle":"","parse-names":false,"suffix":""},{"dropping-particle":"","family":"Lehner","given":"Franz","non-dropping-particle":"","parse-names":false,"suffix":""},{"dropping-particle":"","family":"Klippenstein","given":"Matthew","non-dropping-particle":"","parse-names":false,"suffix":""},{"dropping-particle":"","family":"Rose","given":"Robert","non-dropping-particle":"","parse-names":false,"suffix":""}],"container-title":"E4tech","id":"ITEM-1","issued":{"date-parts":[["2017"]]},"page":"1-52","title":"The Fuel Cell Industry Review 2017 2 FUEL CELL INDUSTRY REVIEW 2017 ACKNOWLEDGEMENTS","type":"article-journal"},"uris":["http://www.mendeley.com/documents/?uuid=f9c5e205-da2b-499b-a90c-fedaabc8d3c7"]},{"id":"ITEM-2","itemData":{"DOI":"10.1016/j.rser.2014.10.080","ISBN":"13640321","author":[{"dropping-particle":"","family":"Elmer","given":"Theo","non-dropping-particle":"","parse-names":false,"suffix":""},{"dropping-particle":"","family":"Worall","given":"Mark","non-dropping-particle":"","parse-names":false,"suffix":""},{"dropping-particle":"","family":"Wu","given":"Shenyi","non-dropping-particle":"","parse-names":false,"suffix":""},{"dropping-particle":"","family":"Riffat","given":"Saffa B","non-dropping-particle":"","parse-names":false,"suffix":""}],"chapter-number":"913","container-title":"Renewable and Sustainable Energy Reviews","id":"ITEM-2","issued":{"date-parts":[["2015"]]},"page":"913-931","title":"Fuel cell technology for domestic built environment applications: State of-the-art review","type":"article-journal","volume":"42"},"uris":["http://www.mendeley.com/documents/?uuid=da95af09-54f8-4728-b117-f9446f40cc07"]}],"mendeley":{"formattedCitation":"[29], [33]","plainTextFormattedCitation":"[29], [33]","previouslyFormattedCitation":"[29], [33]"},"properties":{"noteIndex":0},"schema":"https://github.com/citation-style-language/schema/raw/master/csl-citation.json"}</w:instrText>
      </w:r>
      <w:r>
        <w:fldChar w:fldCharType="separate"/>
      </w:r>
      <w:r w:rsidRPr="00375DF8">
        <w:rPr>
          <w:noProof/>
        </w:rPr>
        <w:t>[29], [33]</w:t>
      </w:r>
      <w:r>
        <w:fldChar w:fldCharType="end"/>
      </w:r>
      <w:r>
        <w:t>.</w:t>
      </w:r>
    </w:p>
    <w:p w14:paraId="1DF10B67" w14:textId="6E21173C" w:rsidR="00007F6C" w:rsidRPr="004654D6" w:rsidRDefault="00007F6C" w:rsidP="00007F6C">
      <w:pPr>
        <w:pStyle w:val="Heading2"/>
        <w:jc w:val="both"/>
      </w:pPr>
      <w:bookmarkStart w:id="32" w:name="_Toc69129352"/>
      <w:r w:rsidRPr="004654D6">
        <w:t>1.</w:t>
      </w:r>
      <w:r>
        <w:t>4</w:t>
      </w:r>
      <w:r w:rsidRPr="004654D6">
        <w:tab/>
        <w:t xml:space="preserve">Applications, Advantages, and </w:t>
      </w:r>
      <w:r w:rsidR="00BF6616">
        <w:t>D</w:t>
      </w:r>
      <w:r w:rsidRPr="004654D6">
        <w:t>evelopments in Fuel Cell Technology</w:t>
      </w:r>
      <w:bookmarkEnd w:id="32"/>
    </w:p>
    <w:p w14:paraId="434F22B8" w14:textId="77777777" w:rsidR="00007F6C" w:rsidRDefault="00007F6C" w:rsidP="00007F6C">
      <w:pPr>
        <w:jc w:val="both"/>
      </w:pPr>
      <w:r w:rsidRPr="004654D6">
        <w:t>Fuel cells are becoming more popular in a variety of applications namely: portable, transport and stationary</w:t>
      </w:r>
      <w:r>
        <w:t xml:space="preserve"> power generation </w:t>
      </w:r>
      <w:r>
        <w:fldChar w:fldCharType="begin" w:fldLock="1"/>
      </w:r>
      <w:r>
        <w:instrText xml:space="preserve">ADDIN CSL_CITATION {"citationItems":[{"id":"ITEM-1","itemData":{"DOI":"10.1039/c5ee03858h","ISBN":"1754-5692","ISSN":"17545706","abstract":"This article provides a perspective review of low-temperature solid oxide fuel cells research and development.This article provides a perspective on solid oxide fuel cells operating at low temperature, defined here to be the range from </w:instrText>
      </w:r>
      <w:r>
        <w:rPr>
          <w:rFonts w:ascii="Cambria Math" w:hAnsi="Cambria Math" w:cs="Cambria Math"/>
        </w:rPr>
        <w:instrText>∼</w:instrText>
      </w:r>
      <w:r>
        <w:instrText xml:space="preserve">400 </w:instrText>
      </w:r>
      <w:r>
        <w:rPr>
          <w:rFonts w:ascii="Calibri" w:hAnsi="Calibri" w:cs="Calibri"/>
        </w:rPr>
        <w:instrText>°</w:instrText>
      </w:r>
      <w:r>
        <w:instrText xml:space="preserve">C to 650 </w:instrText>
      </w:r>
      <w:r>
        <w:rPr>
          <w:rFonts w:ascii="Calibri" w:hAnsi="Calibri" w:cs="Calibri"/>
        </w:rPr>
        <w:instrText>°</w:instrText>
      </w:r>
      <w:r>
        <w:instrText>C. These low-temperature solid oxide fuel cells (LT-SOFCs) have seen considerable research and development and are widely viewed as the “next generation” technology, following the 650–850 °C SOFCs that are currently undergoing commercialization. LT-SOFCs have potential advantages for conventional SOFC applications such as stationary power generation, and may be viable for new portable and transportation power applications, along with electrolytic fuel production and energy storage. The characteristics of electrolyte and electrode materials are reviewed, with a focus on materials that have demonstrated good properties and cell performance at low temperature. Only oxygen-ion-conducting electrolytes are considered here. Anode materials are discussed, primarily the various Ni–cermet anode compositions that yield good low-temperature performance. Mixed ionically and electronically conducting cathode materials are described in detail, reflecting the extensive research activity that has aimed at providing useful oxygen reduction kinetics at low operating temperature. Cell design, materials compatibility, processing methods, and resulting microstructures are discussed, along with their role in determining cell performance. Results from state of the art LT-SOFCs are presented, and future prospects are discussed.","author":[{"dropping-particle":"","family":"Gao","given":"Zhan","non-dropping-particle":"","parse-names":false,"suffix":""},{"dropping-particle":"V.","family":"Mogni","given":"Liliana","non-dropping-particle":"","parse-names":false,"suffix":""},{"dropping-particle":"","family":"Miller","given":"Elizabeth C.","non-dropping-particle":"","parse-names":false,"suffix":""},{"dropping-particle":"","family":"Railsback","given":"Justin G.","non-dropping-particle":"","parse-names":false,"suffix":""},{"dropping-particle":"","family":"Barnett","given":"Scott A.","non-dropping-particle":"","parse-names":false,"suffix":""}],"container-title":"Energy and Environmental Science","id":"ITEM-1","issue":"5","issued":{"date-parts":[["2016"]]},"language":"English","note":"From Duplicate 1 (A perspective on low-temperature solid oxide fuel cells - Gao, Zhan; Mogni, Liliana V.; Miller, Elizabeth C.; Railsback, Justin G.; Barnett, Scott A.)\n\nDl5tj\nTimes Cited:5\nCited References Count:505","page":"1602-1644","publisher":"Royal Society of Chemistry","title":"A perspective on low-temperature solid oxide fuel cells","type":"article-journal","volume":"9"},"uris":["http://www.mendeley.com/documents/?uuid=5fc03f81-2e33-4088-b94d-c3d65c8c64e1"]},{"id":"ITEM-2","itemData":{"DOI":"10.1016/j.ijhydene.2017.01.117","ISSN":"03603199","abstract":"Direct liquid fuel cells (DLFCs) are one of the most promising types of fuel cells due to their high energy density, simple structure, small fuel cartridge, instant recharging, and ease of storage and transport. Alcohols such as methanol and ethanol were the most common types of fuel used, although glycols and acids are also used. The main problem that arose in direct liquid fuel cells (DLFCs) was the high cost of the catalyst and the high catalyst loading. Other issues, such as fuel crossover, cathode flooding, the generation of various side products, fuel safety and unproven long-term durability, must also be solved to improve the performance of DLFCs. More research studies were required to increase its performance and foster commercialization. Currently, there were some commercial products using direct methanol fuel cells (DMFCs) and direct ethanol fuel cells (DEFCs), but the other types of DLFCs were generally still in the research stage. This paper aims to review the different types of liquid fuels directly used in fuel cells and identify their properties, challenges and applications.","author":[{"dropping-particle":"","family":"Ong","given":"B. C.","non-dropping-particle":"","parse-names":false,"suffix":""},{"dropping-particle":"","family":"Kamarudin","given":"S. K.","non-dropping-particle":"","parse-names":false,"suffix":""},{"dropping-particle":"","family":"Basri","given":"S.","non-dropping-particle":"","parse-names":false,"suffix":""}],"container-title":"International Journal of Hydrogen Energy","id":"ITEM-2","issue":"15","issued":{"date-parts":[["2017"]]},"page":"10142-10157","publisher":"Elsevier Ltd","title":"Direct liquid fuel cells: A review","type":"article-journal","volume":"42"},"uris":["http://www.mendeley.com/documents/?uuid=f1d0cee7-5618-4b24-a1bb-2d0dfaa47647"]},{"id":"ITEM-3","itemData":{"DOI":"10.1016/j.cossms.2005.01.001","ISBN":"1359-0286","ISSN":"13590286","abstract":"Phosphoric acid fuel cells (PAFC) currently represent one of the fuel cell technologies that have been demonstrated in many countries around the world and for many applications. PAFCs can be purchased, complete with a warranty, maintenance and spare parts service. The first PAFC power plants were installed in the 1970s, and now more than 500 units have been installed all around the world. In the present paper, the principles of PAFC are presented, together with a state of the art. Finally, operational experiences are presented. © 2005 Elsevier Ltd. All rights reserved.","author":[{"dropping-particle":"","family":"Sammes","given":"Nigel","non-dropping-particle":"","parse-names":false,"suffix":""},{"dropping-particle":"","family":"Bove","given":"Roberto","non-dropping-particle":"","parse-names":false,"suffix":""},{"dropping-particle":"","family":"Stahl","given":"Knut","non-dropping-particle":"","parse-names":false,"suffix":""}],"container-title":"Current Opinion in Solid State and Materials Science","id":"ITEM-3","issue":"5","issued":{"date-parts":[["2004"]]},"page":"372-378","title":"Phosphoric acid fuel cells: Fundamentals and applications","type":"article-journal","volume":"8"},"uris":["http://www.mendeley.com/documents/?uuid=e0515680-1e67-4be3-acf3-90511cd60cd2"]},{"id":"ITEM-4","itemData":{"DOI":"10.1016/j.pmatsci.2015.01.001","ISBN":"0079-6425","ISSN":"00796425","PMID":"25653388","abstract":"Solid oxide fuel cells (SOFC) have emerged as energy conversion devices in achieving high efficiency of over 70% with regeneration. The critical components of SOFC include anode, electrolyte, and cathode. However, for a stack of individual SOFCs, the evaluation of sealants and interconnects are also essential. In this review article, material selection, fundamentals of operation and underlying mechanisms, processing, microstructural and phase characterization, and the functionality and performance of individual SOFC components are presented in detail. The major challenges and complexity in functional section of SOFC include: (i) poisoning via sulfur and coke deposition, surface diffusion of adsorbate, and charge transfer at triple-phase boundary (TPB) in anode, (ii) hindered O&lt;sup&gt;2-&lt;/sup&gt; migration that converts chemical energy into electrical energy in the solid electrolyte (thus, the creation of ion transfer channels, ease of O&lt;sup&gt;2-&lt;/sup&gt; migration, dissociation of vacancy around dopants, straining of lattice, and other factors such as control of phase and its distribution, grain and grain boundary conductivity, become critical in designing the electrolytes for SOFCs), (iii) multiple rate determining factors such as geometry of active surfaces, and existence of overpotential, in cathode (thereby, comprehensive electrochemical impedance spectroscopy is required for the analysis of solid cathodes in SOFC), (iv) chemical incompatibility and instability in both oxidizing and reducing environments while matching the coefficient of thermal expansion (CTE) in the interconnects in order to sustain large number of thermal cycling during the operation of SOFC, and (v) isolation of the fuel and oxidizing gases while matching the CTE of the anode, cathode and interconnects, using sealant. Moreover, the glass-transition of sealant dictates the maximum allowable working temperature of SOFC. Thus, the necessitated temporal progress in material selection along with a detailed insight into the conceptual role of thermodynamics and kinetics of surface/cell reactions, effect of phases and microstructure on conductivity, fuel flexibility and deterioration in performance of individual fuel cell components, and evolution of new materials are coherently presented. This article provides a comprehensive review with respect to the structure, chemistry, design and selection of materials, underlying mechanisms, and performance of each SOFC component, and it opens up the futur…","author":[{"dropping-particle":"","family":"Mahato","given":"Neelima","non-dropping-particle":"","parse-names":false,"suffix":""},{"dropping-particle":"","family":"Banerjee","given":"Amitava","non-dropping-particle":"","parse-names":false,"suffix":""},{"dropping-particle":"","family":"Gupta","given":"Alka","non-dropping-particle":"","parse-names":false,"suffix":""},{"dropping-particle":"","family":"Omar","given":"Shobit","non-dropping-particle":"","parse-names":false,"suffix":""},{"dropping-particle":"","family":"Balani","given":"Kantesh","non-dropping-particle":"","parse-names":false,"suffix":""}],"container-title":"Progress in Materials Science","id":"ITEM-4","issued":{"date-parts":[["2015"]]},"page":"141-337","title":"Progress in material selection for solid oxide fuel cell technology: A review","type":"article-journal","volume":"72"},"uris":["http://www.mendeley.com/documents/?uuid=64bcccbb-1f4d-426c-8c8c-3479994e7afd"]},{"id":"ITEM-5","itemData":{"DOI":"10.1016/j.rser.2014.10.080","ISBN":"13640321","author":[{"dropping-particle":"","family":"Elmer","given":"Theo","non-dropping-particle":"","parse-names":false,"suffix":""},{"dropping-particle":"","family":"Worall","given":"Mark","non-dropping-particle":"","parse-names":false,"suffix":""},{"dropping-particle":"","family":"Wu","given":"Shenyi","non-dropping-particle":"","parse-names":false,"suffix":""},{"dropping-particle":"","family":"Riffat","given":"Saffa B","non-dropping-particle":"","parse-names":false,"suffix":""}],"chapter-number":"913","container-title":"Renewable and Sustainable Energy Reviews","id":"ITEM-5","issued":{"date-parts":[["2015"]]},"page":"913-931","title":"Fuel cell technology for domestic built environment applications: State of-the-art review","type":"article-journal","volume":"42"},"uris":["http://www.mendeley.com/documents/?uuid=da95af09-54f8-4728-b117-f9446f40cc07"]},{"id":"ITEM-6","itemData":{"DOI":"Doi 10.1023/A:1004853019349","ISBN":"0022-2461","author":[{"dropping-particle":"","family":"Steele","given":"B C H","non-dropping-particle":"","parse-names":false,"suffix":""}],"chapter-number":"1053","container-title":"Journal of Materials Science","id":"ITEM-6","issue":"5","issued":{"date-parts":[["2001"]]},"language":"English","page":"1053-1068","title":"Material science and engineering: The enabling technology for the commercialisation of fuel cell systems","type":"article-journal","volume":"36"},"uris":["http://www.mendeley.com/documents/?uuid=696f0747-20c9-45ce-a0eb-66feba0f1687"]},{"id":"ITEM-7","itemData":{"DOI":"10.1016/j.jpowsour.2016.07.007","ISSN":"03787753","abstract":"Progressing limits on pollutant emissions oblige ship owners to reduce the environmental impact of their operations. Fuel cells may provide a suitable solution, since they are fuel efficient while they emit few hazardous compounds. Various choices can be made with regard to the type of fuel cell system and logistic fuel, and it is unclear which have the best prospects for maritime application. An overview of fuel cell types and fuel processing equipment is presented, and maritime fuel cell application is reviewed with regard to efficiency, gravimetric and volumetric density, dynamic behaviour, environmental impact, safety and economics. It is shown that low temperature fuel cells using liquefied hydrogen provide a compact solution for ships with a refuelling interval up to a tens of hours, but may result in total system sizes up to five times larger than high temperature fuel cells and more energy dense fuels for vessels with longer mission requirements. The expanding infrastructure of liquefied natural gas and development state of natural gas-fuelled fuel cell systems can facilitate the introduction of gaseous fuels and fuel cells on ships. Fuel cell combined cycles, hybridisation with auxiliary electricity storage systems and redundancy improvements are identified as topics for further study.","author":[{"dropping-particle":"","family":"Biert","given":"L.","non-dropping-particle":"van","parse-names":false,"suffix":""},{"dropping-particle":"","family":"Godjevac","given":"M.","non-dropping-particle":"","parse-names":false,"suffix":""},{"dropping-particle":"","family":"Visser","given":"K.","non-dropping-particle":"","parse-names":false,"suffix":""},{"dropping-particle":"V.","family":"Aravind","given":"P.","non-dropping-particle":"","parse-names":false,"suffix":""}],"container-title":"Journal of Power Sources","id":"ITEM-7","issue":"X","issued":{"date-parts":[["2016"]]},"page":"345-364","publisher":"Elsevier B.V","title":"A review of fuel cell systems for maritime applications","type":"article-journal","volume":"327"},"uris":["http://www.mendeley.com/documents/?uuid=1f93c5a0-0ce9-4d58-827d-e1ac1196fb76"]}],"mendeley":{"formattedCitation":"[25], [33], [35]–[39]","plainTextFormattedCitation":"[25], [33], [35]–[39]","previouslyFormattedCitation":"[25], [33], [35]–[39]"},"properties":{"noteIndex":0},"schema":"https://github.com/citation-style-language/schema/raw/master/csl-citation.json"}</w:instrText>
      </w:r>
      <w:r>
        <w:fldChar w:fldCharType="separate"/>
      </w:r>
      <w:r w:rsidRPr="00375DF8">
        <w:rPr>
          <w:noProof/>
        </w:rPr>
        <w:t>[25], [33], [35]–[39]</w:t>
      </w:r>
      <w:r>
        <w:fldChar w:fldCharType="end"/>
      </w:r>
      <w:r w:rsidRPr="004654D6">
        <w:t>. The commercialisation of fuel cells hinges on the decreasing the production, maintenance and infrastructure costs associated with the hydrogen economy</w:t>
      </w:r>
      <w:r>
        <w:t xml:space="preserve"> </w:t>
      </w:r>
      <w:r>
        <w:fldChar w:fldCharType="begin" w:fldLock="1"/>
      </w:r>
      <w:r>
        <w:instrText>ADDIN CSL_CITATION {"citationItems":[{"id":"ITEM-1","itemData":{"author":[{"dropping-particle":"","family":"H. Maru, S. C. Singhal","given":"C Stone","non-dropping-particle":"","parse-names":false,"suffix":""},{"dropping-particle":"","family":"Wheeler","given":"D","non-dropping-particle":"","parse-names":false,"suffix":""}],"id":"ITEM-1","issue":"November","issued":{"date-parts":[["2010"]]},"page":"39","title":"1 – 10 kW Stationary combined heat and power systems status and technical potential, National Renewable Energy Laboratory, USA","type":"article-journal"},"uris":["http://www.mendeley.com/documents/?uuid=73e44141-1664-4053-af93-5581b6a75579"]},{"id":"ITEM-2","itemData":{"DOI":"10.1016/j.jpowsour.2015.05.050","ISBN":"0378-7753","ISSN":"03787753","abstract":"Combined Heat and Power (CHP) is the sequential or simultaneous generation of multiple forms of useful energy, usually electrical and thermal, in a single and integrated system. Implementing CHP systems in the current energy sector may solve energy shortages, climate change and energy conservation issues. This review paper is divided into six sections: the first part defines and classifies the types of fuel cell used in CHP systems; the second part discusses the current status of fuel cell CHP (FC-CHP) around the world and highlights the benefits and drawbacks of CHP systems; the third part focuses on techniques for modelling CHP systems. The fourth section gives a thorough comparison and discussion of the two main fuel cell technologies used in FC-CHP (PEMFC and SOFC), characterising their technical performance and recent developments from the major manufacturers. The fifth section describes all the main components of FC-CHP systems and explains the issues connected with their practical application. The last part summarises the above, and reflects on micro FC-CHP system technology and its future prospects.","author":[{"dropping-particle":"","family":"Ellamla","given":"Harikishan R.","non-dropping-particle":"","parse-names":false,"suffix":""},{"dropping-particle":"","family":"Staffell","given":"Iain","non-dropping-particle":"","parse-names":false,"suffix":""},{"dropping-particle":"","family":"Bujlo","given":"Piotr","non-dropping-particle":"","parse-names":false,"suffix":""},{"dropping-particle":"","family":"Pollet","given":"Bruno G.","non-dropping-particle":"","parse-names":false,"suffix":""},{"dropping-particle":"","family":"Pasupathi","given":"Sivakumar","non-dropping-particle":"","parse-names":false,"suffix":""}],"container-title":"Journal of Power Sources","id":"ITEM-2","issued":{"date-parts":[["2015"]]},"page":"312-328","publisher":"Elsevier B.V","title":"Current status of fuel cell based combined heat and power systems for residential sector","type":"article-journal","volume":"293"},"uris":["http://www.mendeley.com/documents/?uuid=71882e32-89c8-4917-8af8-8690e187a85b"]},{"id":"ITEM-3","itemData":{"ISBN":"DOE/EE-1332","author":[{"dropping-particle":"","family":"Energy","given":"U S Department of","non-dropping-particle":"","parse-names":false,"suffix":""}],"editor":[{"dropping-particle":"","family":"Energy","given":"U S Department of","non-dropping-particle":"","parse-names":false,"suffix":""}],"id":"ITEM-3","issued":{"date-parts":[["2016"]]},"number-of-pages":"1-4","publisher-place":"U.S. Department of Energy","title":"Combined Heat and Power Technology Fact Sheet Series","type":"report"},"uris":["http://www.mendeley.com/documents/?uuid=5a4bfb3b-14cf-4d03-85fe-14e2d45c76f8"]},{"id":"ITEM-4","itemData":{"DOI":"10.1149/1.2992503","abstract":"Alkaline Fuel Cells: The Bacon Fuel Cell, the Apollo NASA Space Shuttle and the Russian System. The Allis Chalmers Tractor,the Union Carbide GM-Electrovan, the Kordesch Hybrid Car, the Eloflux and the Elenco System and the European Space Power Plant for Hermes. Also: the Dornier-Siemens and the Swedish Navy System and Olle Lindstroems work. The fuel cells by Hoechst and von ZeTek. A bipolar system was built in Graz and at Apollo Energy Systems, Inc. 2 kW AFCs were tested with NH3. Liquified Ammonia can be converted to 75 % H2 and 25 % N2. The capacity by wt.and vol. of ammonia surpasses methanol. Ammonia is produced worldwide in several 100 million tons per year. Ammonia is available on farms. Refrigerators worked safely with ammonia. Internal Combustion Engines operate on cracked Ammoniamix with increased power and higher efficiency. ","author":[{"dropping-particle":"","family":"Hacker","given":"Viktor","non-dropping-particle":"","parse-names":false,"suffix":""},{"dropping-particle":"","family":"Cifrain","given":"Martin","non-dropping-particle":"","parse-names":false,"suffix":""},{"dropping-particle":"","family":"Kordesch","given":"Karl","non-dropping-particle":"","parse-names":false,"suffix":""},{"dropping-particle":"","family":"Hejze","given":"Thomas","non-dropping-particle":"","parse-names":false,"suffix":""},{"dropping-particle":"","family":"Aronsson","given":"Robert R.","non-dropping-particle":"","parse-names":false,"suffix":""},{"dropping-particle":"","family":"Reichmann","given":"Klaus","non-dropping-particle":"","parse-names":false,"suffix":""}],"container-title":"ECS Transactions","id":"ITEM-4","issue":"32","issued":{"date-parts":[["2008"]]},"page":"167-185","title":"The Safe and Economic Revival of Alkaline Hydrogen/Air Fuel Cells with Circulating Electrolytes, Recommended for Vehicles Using Battery Hybrid Systems and H2 from Ammonia Crackers","type":"article-journal","volume":"11"},"uris":["http://www.mendeley.com/documents/?uuid=4e3e9af5-1c28-4e78-9d95-f66487451599"]}],"mendeley":{"formattedCitation":"[21], [31], [40], [41]","plainTextFormattedCitation":"[21], [31], [40], [41]","previouslyFormattedCitation":"[21], [31], [40], [41]"},"properties":{"noteIndex":0},"schema":"https://github.com/citation-style-language/schema/raw/master/csl-citation.json"}</w:instrText>
      </w:r>
      <w:r>
        <w:fldChar w:fldCharType="separate"/>
      </w:r>
      <w:r w:rsidRPr="00FD168C">
        <w:rPr>
          <w:noProof/>
        </w:rPr>
        <w:t>[21], [31], [40], [41]</w:t>
      </w:r>
      <w:r>
        <w:fldChar w:fldCharType="end"/>
      </w:r>
      <w:r>
        <w:t>.</w:t>
      </w:r>
    </w:p>
    <w:p w14:paraId="4DF3BE71" w14:textId="0C33BD60" w:rsidR="00007F6C" w:rsidRDefault="00007F6C" w:rsidP="00007F6C">
      <w:pPr>
        <w:jc w:val="both"/>
      </w:pPr>
      <w:r w:rsidRPr="004654D6">
        <w:t xml:space="preserve">Portable electronics are a key part of modern life. As user demand get increasingly complex, battery lifetimes for devices such as laptops or mobile phones decrease rapidly. PEMFC portable recharging units have been released by companies such as Intelligent Energy (UK) and </w:t>
      </w:r>
      <w:proofErr w:type="spellStart"/>
      <w:r w:rsidRPr="004654D6">
        <w:t>MyFC</w:t>
      </w:r>
      <w:proofErr w:type="spellEnd"/>
      <w:r w:rsidRPr="004654D6">
        <w:t xml:space="preserve"> (Sweden) in the past 2 years (2000</w:t>
      </w:r>
      <w:r w:rsidR="00BF6616">
        <w:t xml:space="preserve"> </w:t>
      </w:r>
      <w:r w:rsidRPr="004654D6">
        <w:t>h cycling)</w:t>
      </w:r>
      <w:r>
        <w:t xml:space="preserve"> </w:t>
      </w:r>
      <w:r>
        <w:fldChar w:fldCharType="begin" w:fldLock="1"/>
      </w:r>
      <w:r>
        <w:instrText>ADDIN CSL_CITATION {"citationItems":[{"id":"ITEM-1","itemData":{"URL":"http://www.intelligent-energy.com/our-products/consumer-electronics-old/consumer-electronics/products/upp/","author":[{"dropping-particle":"","family":"Energy","given":"Intelligent","non-dropping-particle":"","parse-names":false,"suffix":""}],"container-title":"Intelligent Energy","editor":[{"dropping-particle":"","family":"Energy","given":"Intelligent","non-dropping-particle":"","parse-names":false,"suffix":""}],"id":"ITEM-1","issue":"24/05/18","issued":{"date-parts":[["2016"]]},"publisher":"Intelligent Energy","publisher-place":"Intelligent Energy Website","title":"Upp Product Page","type":"webpage","volume":"2018"},"uris":["http://www.mendeley.com/documents/?uuid=353c305b-76aa-4735-b0c6-04ab0792bf49"]}],"mendeley":{"formattedCitation":"[42]","plainTextFormattedCitation":"[42]","previouslyFormattedCitation":"[42]"},"properties":{"noteIndex":0},"schema":"https://github.com/citation-style-language/schema/raw/master/csl-citation.json"}</w:instrText>
      </w:r>
      <w:r>
        <w:fldChar w:fldCharType="separate"/>
      </w:r>
      <w:r w:rsidRPr="00375DF8">
        <w:rPr>
          <w:noProof/>
        </w:rPr>
        <w:t>[42]</w:t>
      </w:r>
      <w:r>
        <w:fldChar w:fldCharType="end"/>
      </w:r>
      <w:r w:rsidRPr="004654D6">
        <w:t>. The operating range of 1-10</w:t>
      </w:r>
      <w:r w:rsidR="00BF6616">
        <w:t xml:space="preserve"> </w:t>
      </w:r>
      <w:r w:rsidRPr="004654D6">
        <w:t>W PEMFCs means that these systems are ideal for this application</w:t>
      </w:r>
      <w:r w:rsidRPr="00EF1CB8">
        <w:t>. As described in Section 1.5.3</w:t>
      </w:r>
      <w:r w:rsidRPr="004654D6">
        <w:t xml:space="preserve"> the commercialisation of fuel cells will require them to be competitive in terms of cost compared to traditional energy production methods. The low weight of PEMFC stacks lends them to both portable and transport applications</w:t>
      </w:r>
      <w:r>
        <w:t xml:space="preserve"> </w:t>
      </w:r>
      <w:r>
        <w:fldChar w:fldCharType="begin" w:fldLock="1"/>
      </w:r>
      <w:r>
        <w:instrText>ADDIN CSL_CITATION {"citationItems":[{"id":"ITEM-1","itemData":{"DOI":"10.1016/j.ijhydene.2010.05.017","ISBN":"2177491223","ISSN":"03603199","PMID":"19746740","abstract":"Proton-exchange membrane fuel cells (PEMFCs) are considered to be a promising technology for clean and efficient power generation in the twenty-first century. Proton exchange membranes (PEMs) are the key components in fuel cell system. The researchers have focused to reach the proton exchange membrane with high proton conductivity, low electronic conductivity, low permeability to fuel, low electroosmotic drag coefficient, good chemical/thermal stability, good mechanical properties and low cost. These are classified into the \"iron triangle\" of performance, durability, and cost. Current PEMFC technology is based on expensive perflourinated proton-exchange membranes (PEMs) that operate effectively only under fully hydrated conditions. There is considerable application-driven interest in lowering the membrane cost and extending the operating window of PEMs. PEMFC system complexity could be reduced by the development of 'water-free' electrolytes that do not require hydration. It also enables the PEMFC to be operated under 'warm' conditions (i.e. above 100 °C) thus further improving its efficiency. Capital cost could also be further reduced because at warmer conditions less Pt could be used. This paper presents an overview of the key requirements for the proton exchange membranes (PEM) used in fuel cell applications, along with a description of the membrane materials currently being used and their ability to meet these requirements. A number of possible alternative candidates are reviewed and presented in this paper. Also discussed are some of the new materials, technologies, and research directions being pursued to try to meet the demanding performance and durability needs of the PEM fuel cell industry. The alternative PEMs are classified into three categories: (1) modified Nafion® composite membranes; (2) functionalized non-fluorinated membranes and composite membranes therein; and (3) acid-base composite membranes. Several commonly used inorganic additives are reviewed in the context of composite membranes. Finally, the general methods of the measuring and evaluating of proton exchange membrane properties have been investigated such as proton conductivity, ion exchange capacity, water uptake, gas permeability, methanol permeability, durability, thermal stability and fuel cell performance test. © 2009 Professor T. Nejat Veziroglu. Published by Elsevier Ltd. All rights reserved.","author":[{"dropping-particle":"","family":"Peighambardoust","given":"S. J.","non-dropping-particle":"","parse-names":false,"suffix":""},{"dropping-particle":"","family":"Rowshanzamir","given":"S.","non-dropping-particle":"","parse-names":false,"suffix":""},{"dropping-particle":"","family":"Amjadi","given":"M.","non-dropping-particle":"","parse-names":false,"suffix":""}],"container-title":"International Journal of Hydrogen Energy","id":"ITEM-1","issue":"17","issued":{"date-parts":[["2010"]]},"number-of-pages":"9349-9384","publisher":"Elsevier Ltd","title":"Review of the proton exchange membranes for fuel cell applications","type":"book","volume":"35"},"uris":["http://www.mendeley.com/documents/?uuid=a82fdbef-edcb-4d9e-9124-17e45b7c6cfe"]}],"mendeley":{"formattedCitation":"[43]","plainTextFormattedCitation":"[43]","previouslyFormattedCitation":"[43]"},"properties":{"noteIndex":0},"schema":"https://github.com/citation-style-language/schema/raw/master/csl-citation.json"}</w:instrText>
      </w:r>
      <w:r>
        <w:fldChar w:fldCharType="separate"/>
      </w:r>
      <w:r w:rsidRPr="00375DF8">
        <w:rPr>
          <w:noProof/>
        </w:rPr>
        <w:t>[43]</w:t>
      </w:r>
      <w:r>
        <w:fldChar w:fldCharType="end"/>
      </w:r>
      <w:r w:rsidRPr="004654D6">
        <w:t>.</w:t>
      </w:r>
    </w:p>
    <w:p w14:paraId="1ADDC779" w14:textId="2EE396DB" w:rsidR="00007F6C" w:rsidRDefault="00007F6C" w:rsidP="00007F6C">
      <w:pPr>
        <w:jc w:val="both"/>
      </w:pPr>
      <w:r w:rsidRPr="004654D6">
        <w:t>Start-ups such as Bramble Energy are integrating established portable circuit board production methods to reduce the manufacturing cost of portable PEMFC units. They estimate that this will reduce manufacturing costs by up to 20</w:t>
      </w:r>
      <w:r w:rsidR="00682B31">
        <w:t xml:space="preserve"> </w:t>
      </w:r>
      <w:r w:rsidRPr="004654D6">
        <w:t>% and that iterative prototypes can be manufactured in under 2 weeks</w:t>
      </w:r>
      <w:r>
        <w:t xml:space="preserve"> </w:t>
      </w:r>
      <w:r>
        <w:fldChar w:fldCharType="begin" w:fldLock="1"/>
      </w:r>
      <w:r>
        <w:instrText>ADDIN CSL_CITATION {"citationItems":[{"id":"ITEM-1","itemData":{"DOI":"10.1016/s1464-2859(18)30358-4","ISBN":"14642859","ISSN":"14642859","chapter-number":"5","container-title":"Fuel Cells Bulletin","id":"ITEM-1","issue":"10","issued":{"date-parts":[["2018"]]},"page":"5","title":"Revolve unveils van range-extender with Bramble PCB fuel cell","type":"article-journal","volume":"2018"},"uris":["http://www.mendeley.com/documents/?uuid=be03c485-f185-4641-8785-8dfc281f16b8"]}],"mendeley":{"formattedCitation":"[44]","plainTextFormattedCitation":"[44]","previouslyFormattedCitation":"[44]"},"properties":{"noteIndex":0},"schema":"https://github.com/citation-style-language/schema/raw/master/csl-citation.json"}</w:instrText>
      </w:r>
      <w:r>
        <w:fldChar w:fldCharType="separate"/>
      </w:r>
      <w:r w:rsidRPr="00375DF8">
        <w:rPr>
          <w:noProof/>
        </w:rPr>
        <w:t>[44]</w:t>
      </w:r>
      <w:r>
        <w:fldChar w:fldCharType="end"/>
      </w:r>
      <w:r>
        <w:t xml:space="preserve">. </w:t>
      </w:r>
      <w:r w:rsidRPr="004654D6">
        <w:t>This could be key in closing the gap between the cost of energy between PEMFCs and traditional production methods.</w:t>
      </w:r>
    </w:p>
    <w:p w14:paraId="493A3F4E" w14:textId="6C1F25CC" w:rsidR="00007F6C" w:rsidRPr="004654D6" w:rsidRDefault="00007F6C" w:rsidP="00007F6C">
      <w:pPr>
        <w:jc w:val="both"/>
      </w:pPr>
      <w:r w:rsidRPr="004654D6">
        <w:t xml:space="preserve">Electric vehicles have generated large interest in the media as possible replacements for internal combustion engine (ICE) cars. In the past 5 years 2 FC cars are available in the UK market the Toyota </w:t>
      </w:r>
      <w:proofErr w:type="spellStart"/>
      <w:r w:rsidRPr="004654D6">
        <w:t>Mirai</w:t>
      </w:r>
      <w:proofErr w:type="spellEnd"/>
      <w:r w:rsidRPr="004654D6">
        <w:t xml:space="preserve"> and the Hyundai </w:t>
      </w:r>
      <w:proofErr w:type="spellStart"/>
      <w:r w:rsidRPr="004654D6">
        <w:t>Nex</w:t>
      </w:r>
      <w:r>
        <w:t>o</w:t>
      </w:r>
      <w:proofErr w:type="spellEnd"/>
      <w:r>
        <w:t xml:space="preserve"> </w:t>
      </w:r>
      <w:r>
        <w:fldChar w:fldCharType="begin" w:fldLock="1"/>
      </w:r>
      <w:r>
        <w:instrText>ADDIN CSL_CITATION {"citationItems":[{"id":"ITEM-1","itemData":{"author":[{"dropping-particle":"","family":"Min-hee","given":"Jung","non-dropping-particle":"","parse-names":false,"suffix":""}],"chapter-number":"9th April,","container-title":"</w:instrText>
      </w:r>
      <w:r>
        <w:rPr>
          <w:rFonts w:ascii="Malgun Gothic" w:eastAsia="Malgun Gothic" w:hAnsi="Malgun Gothic" w:cs="Malgun Gothic" w:hint="eastAsia"/>
        </w:rPr>
        <w:instrText>비즈니스코리아</w:instrText>
      </w:r>
      <w:r>
        <w:instrText xml:space="preserve"> - BusinessKorea","id":"ITEM-1","issued":{"date-parts":[["2018"]]},"publisher":"</w:instrText>
      </w:r>
      <w:r>
        <w:rPr>
          <w:rFonts w:ascii="Malgun Gothic" w:eastAsia="Malgun Gothic" w:hAnsi="Malgun Gothic" w:cs="Malgun Gothic" w:hint="eastAsia"/>
        </w:rPr>
        <w:instrText>비즈니스코리아</w:instrText>
      </w:r>
      <w:r>
        <w:instrText xml:space="preserve"> - BusinessKorea","publisher-place":"</w:instrText>
      </w:r>
      <w:r>
        <w:rPr>
          <w:rFonts w:ascii="Malgun Gothic" w:eastAsia="Malgun Gothic" w:hAnsi="Malgun Gothic" w:cs="Malgun Gothic" w:hint="eastAsia"/>
        </w:rPr>
        <w:instrText>비즈니스코리아</w:instrText>
      </w:r>
      <w:r>
        <w:instrText xml:space="preserve"> - BusinessKorea","title":"Hyundai Motor's Nexo Outshines Japanese Counterparts","type":"article"},"uris":["http://www.mendeley.com/documents/?uuid=00854075-b2be-4b97-a0d3-c65f4033f2c9"]}],"mendeley":{"formattedCitation":"[45]","plainTextFormattedCitation":"[45]","previouslyFormattedCitation":"[45]"},"properties":{"noteIndex":0},"schema":"https://github.com/citation-style-language/schema/raw/master/csl-citation.json"}</w:instrText>
      </w:r>
      <w:r>
        <w:fldChar w:fldCharType="separate"/>
      </w:r>
      <w:r w:rsidRPr="00375DF8">
        <w:rPr>
          <w:noProof/>
        </w:rPr>
        <w:t>[45]</w:t>
      </w:r>
      <w:r>
        <w:fldChar w:fldCharType="end"/>
      </w:r>
      <w:r>
        <w:t xml:space="preserve">. </w:t>
      </w:r>
      <w:r w:rsidRPr="004654D6">
        <w:t xml:space="preserve">Both cars utilise PEMFCs. The Toyota </w:t>
      </w:r>
      <w:proofErr w:type="spellStart"/>
      <w:r w:rsidRPr="004654D6">
        <w:t>Mirai’s</w:t>
      </w:r>
      <w:proofErr w:type="spellEnd"/>
      <w:r w:rsidRPr="004654D6">
        <w:t xml:space="preserve"> 5</w:t>
      </w:r>
      <w:r w:rsidR="00682B31">
        <w:t xml:space="preserve"> </w:t>
      </w:r>
      <w:r w:rsidRPr="004654D6">
        <w:t>kg H</w:t>
      </w:r>
      <w:r w:rsidRPr="004654D6">
        <w:rPr>
          <w:vertAlign w:val="subscript"/>
        </w:rPr>
        <w:t>2</w:t>
      </w:r>
      <w:r w:rsidRPr="004654D6">
        <w:t xml:space="preserve"> fuel tank costs between £50-75 to refill making the </w:t>
      </w:r>
      <w:proofErr w:type="spellStart"/>
      <w:r w:rsidRPr="004654D6">
        <w:t>Mirai</w:t>
      </w:r>
      <w:proofErr w:type="spellEnd"/>
      <w:r w:rsidRPr="004654D6">
        <w:t xml:space="preserve"> more expensive than similar model ICE cars</w:t>
      </w:r>
      <w:r>
        <w:t xml:space="preserve"> </w:t>
      </w:r>
      <w:r>
        <w:fldChar w:fldCharType="begin" w:fldLock="1"/>
      </w:r>
      <w:r>
        <w:instrText>ADDIN CSL_CITATION {"citationItems":[{"id":"ITEM-1","itemData":{"author":[{"dropping-particle":"","family":"Min-hee","given":"Jung","non-dropping-particle":"","parse-names":false,"suffix":""}],"chapter-number":"9th April,","container-title":"</w:instrText>
      </w:r>
      <w:r>
        <w:rPr>
          <w:rFonts w:ascii="Malgun Gothic" w:eastAsia="Malgun Gothic" w:hAnsi="Malgun Gothic" w:cs="Malgun Gothic" w:hint="eastAsia"/>
        </w:rPr>
        <w:instrText>비즈니스코리아</w:instrText>
      </w:r>
      <w:r>
        <w:instrText xml:space="preserve"> - BusinessKorea","id":"ITEM-1","issued":{"date-parts":[["2018"]]},"publisher":"</w:instrText>
      </w:r>
      <w:r>
        <w:rPr>
          <w:rFonts w:ascii="Malgun Gothic" w:eastAsia="Malgun Gothic" w:hAnsi="Malgun Gothic" w:cs="Malgun Gothic" w:hint="eastAsia"/>
        </w:rPr>
        <w:instrText>비즈니스코리아</w:instrText>
      </w:r>
      <w:r>
        <w:instrText xml:space="preserve"> - BusinessKorea","publisher-place":"</w:instrText>
      </w:r>
      <w:r>
        <w:rPr>
          <w:rFonts w:ascii="Malgun Gothic" w:eastAsia="Malgun Gothic" w:hAnsi="Malgun Gothic" w:cs="Malgun Gothic" w:hint="eastAsia"/>
        </w:rPr>
        <w:instrText>비즈니스코리아</w:instrText>
      </w:r>
      <w:r>
        <w:instrText xml:space="preserve"> - BusinessKorea","title":"Hyundai Motor's Nexo Outshines Japanese Counterparts","type":"article"},"uris":["http://www.mendeley.com/documents/?uuid=00854075-b2be-4b97-a0d3-c65f4033f2c9"]}],"mendeley":{"formattedCitation":"[45]","plainTextFormattedCitation":"[45]","previouslyFormattedCitation":"[45]"},"properties":{"noteIndex":0},"schema":"https://github.com/citation-style-language/schema/raw/master/csl-citation.json"}</w:instrText>
      </w:r>
      <w:r>
        <w:fldChar w:fldCharType="separate"/>
      </w:r>
      <w:r w:rsidRPr="00375DF8">
        <w:rPr>
          <w:noProof/>
        </w:rPr>
        <w:t>[45]</w:t>
      </w:r>
      <w:r>
        <w:fldChar w:fldCharType="end"/>
      </w:r>
      <w:r w:rsidRPr="004654D6">
        <w:t>.</w:t>
      </w:r>
      <w:r>
        <w:t xml:space="preserve"> </w:t>
      </w:r>
      <w:r w:rsidRPr="004654D6">
        <w:t>This underlines the need for investment in FC manufacture and general H</w:t>
      </w:r>
      <w:r w:rsidRPr="004654D6">
        <w:rPr>
          <w:vertAlign w:val="subscript"/>
        </w:rPr>
        <w:t>2</w:t>
      </w:r>
      <w:r w:rsidRPr="004654D6">
        <w:t xml:space="preserve"> infrastructure</w:t>
      </w:r>
      <w:r>
        <w:t xml:space="preserve"> </w:t>
      </w:r>
      <w:r>
        <w:fldChar w:fldCharType="begin" w:fldLock="1"/>
      </w:r>
      <w:r>
        <w:instrText>ADDIN CSL_CITATION {"citationItems":[{"id":"ITEM-1","itemData":{"DOI":"10.1016/j.pmatsci.2015.01.001","ISBN":"0079-6425","ISSN":"00796425","PMID":"25653388","abstract":"Solid oxide fuel cells (SOFC) have emerged as energy conversion devices in achieving high efficiency of over 70% with regeneration. The critical components of SOFC include anode, electrolyte, and cathode. However, for a stack of individual SOFCs, the evaluation of sealants and interconnects are also essential. In this review article, material selection, fundamentals of operation and underlying mechanisms, processing, microstructural and phase characterization, and the functionality and performance of individual SOFC components are presented in detail. The major challenges and complexity in functional section of SOFC include: (i) poisoning via sulfur and coke deposition, surface diffusion of adsorbate, and charge transfer at triple-phase boundary (TPB) in anode, (ii) hindered O&lt;sup&gt;2-&lt;/sup&gt; migration that converts chemical energy into electrical energy in the solid electrolyte (thus, the creation of ion transfer channels, ease of O&lt;sup&gt;2-&lt;/sup&gt; migration, dissociation of vacancy around dopants, straining of lattice, and other factors such as control of phase and its distribution, grain and grain boundary conductivity, become critical in designing the electrolytes for SOFCs), (iii) multiple rate determining factors such as geometry of active surfaces, and existence of overpotential, in cathode (thereby, comprehensive electrochemical impedance spectroscopy is required for the analysis of solid cathodes in SOFC), (iv) chemical incompatibility and instability in both oxidizing and reducing environments while matching the coefficient of thermal expansion (CTE) in the interconnects in order to sustain large number of thermal cycling during the operation of SOFC, and (v) isolation of the fuel and oxidizing gases while matching the CTE of the anode, cathode and interconnects, using sealant. Moreover, the glass-transition of sealant dictates the maximum allowable working temperature of SOFC. Thus, the necessitated temporal progress in material selection along with a detailed insight into the conceptual role of thermodynamics and kinetics of surface/cell reactions, effect of phases and microstructure on conductivity, fuel flexibility and deterioration in performance of individual fuel cell components, and evolution of new materials are coherently presented. This article provides a comprehensive review with respect to the structure, chemistry, design and selection of materials, underlying mechanisms, and performance of each SOFC component, and it opens up the futur…","author":[{"dropping-particle":"","family":"Mahato","given":"Neelima","non-dropping-particle":"","parse-names":false,"suffix":""},{"dropping-particle":"","family":"Banerjee","given":"Amitava","non-dropping-particle":"","parse-names":false,"suffix":""},{"dropping-particle":"","family":"Gupta","given":"Alka","non-dropping-particle":"","parse-names":false,"suffix":""},{"dropping-particle":"","family":"Omar","given":"Shobit","non-dropping-particle":"","parse-names":false,"suffix":""},{"dropping-particle":"","family":"Balani","given":"Kantesh","non-dropping-particle":"","parse-names":false,"suffix":""}],"container-title":"Progress in Materials Science","id":"ITEM-1","issued":{"date-parts":[["2015"]]},"page":"141-337","title":"Progress in material selection for solid oxide fuel cell technology: A review","type":"article-journal","volume":"72"},"uris":["http://www.mendeley.com/documents/?uuid=64bcccbb-1f4d-426c-8c8c-3479994e7afd"]},{"id":"ITEM-2","itemData":{"ISBN":"1903496616","author":[{"dropping-particle":"","family":"of Engineering","given":"The Royal Academy","non-dropping-particle":"","parse-names":false,"suffix":""}],"container-title":"Managing","id":"ITEM-2","issued":{"date-parts":[["2011"]]},"title":"Infrastructure, Engineering and Climate Change Adaptation – ensuring services in an uncertain future","type":"book"},"uris":["http://www.mendeley.com/documents/?uuid=75f163ec-2d85-4580-a944-d07b5f399267"]},{"id":"ITEM-3","itemData":{"DOI":"10.1039/c1ee02445k","ISSN":"17545692","abstract":"The 2012 Department of Energy (DOE) budget request significantly reduces fuel cell RD&amp;D funding and would cease to support the Solid State Energy Conversion Alliance (SECA), DOE's solid oxide fuel cell (SOFC) program. This would be a grave mistake considering the US's historic dominance in fuel cell RD&amp;D, exciting recent technological advancements in fuel cells, and clear positive market signals around the globe. In this paper we discuss DOE's energy RD&amp;D policy, how SOFCs address every key DOE strategy, and why recent advances should make SOFCs an integral part of our energy RD&amp;D policy. Moreover, we compare the prospects of low temperature SOFCs with the more common proton exchange membrane fuel cell (PEMFC) in the absence of a hydrogen infrastructure. © The Royal Society of Chemistry 2012.","author":[{"dropping-particle":"","family":"Wachsman","given":"Eric D.","non-dropping-particle":"","parse-names":false,"suffix":""},{"dropping-particle":"","family":"Marlowe","given":"Craig A.","non-dropping-particle":"","parse-names":false,"suffix":""},{"dropping-particle":"","family":"Lee","given":"Kang Taek","non-dropping-particle":"","parse-names":false,"suffix":""}],"container-title":"Energy and Environmental Science","id":"ITEM-3","issue":"2","issued":{"date-parts":[["2012"]]},"page":"5498-5509","title":"Role of solid oxide fuel cells in a balanced energy strategy","type":"article-journal","volume":"5"},"uris":["http://www.mendeley.com/documents/?uuid=4cb63338-bf7a-47f2-a752-19de48ac0023"]}],"mendeley":{"formattedCitation":"[3], [25], [46]","plainTextFormattedCitation":"[3], [25], [46]","previouslyFormattedCitation":"[3], [25], [46]"},"properties":{"noteIndex":0},"schema":"https://github.com/citation-style-language/schema/raw/master/csl-citation.json"}</w:instrText>
      </w:r>
      <w:r>
        <w:fldChar w:fldCharType="separate"/>
      </w:r>
      <w:r w:rsidRPr="00375DF8">
        <w:rPr>
          <w:noProof/>
        </w:rPr>
        <w:t>[3], [25], [46]</w:t>
      </w:r>
      <w:r>
        <w:fldChar w:fldCharType="end"/>
      </w:r>
      <w:r>
        <w:t xml:space="preserve">. </w:t>
      </w:r>
      <w:r w:rsidRPr="004654D6">
        <w:t>Hyundai anticipate that the global fuel cell car market will grow over 80 times between 2018 and 2030</w:t>
      </w:r>
      <w:r>
        <w:t xml:space="preserve"> </w:t>
      </w:r>
      <w:r>
        <w:fldChar w:fldCharType="begin" w:fldLock="1"/>
      </w:r>
      <w:r>
        <w:instrText>ADDIN CSL_CITATION {"citationItems":[{"id":"ITEM-1","itemData":{"author":[{"dropping-particle":"","family":"Min-hee","given":"Jung","non-dropping-particle":"","parse-names":false,"suffix":""}],"chapter-number":"9th April,","container-title":"</w:instrText>
      </w:r>
      <w:r>
        <w:rPr>
          <w:rFonts w:ascii="Malgun Gothic" w:eastAsia="Malgun Gothic" w:hAnsi="Malgun Gothic" w:cs="Malgun Gothic" w:hint="eastAsia"/>
        </w:rPr>
        <w:instrText>비즈니스코리아</w:instrText>
      </w:r>
      <w:r>
        <w:instrText xml:space="preserve"> - BusinessKorea","id":"ITEM-1","issued":{"date-parts":[["2018"]]},"publisher":"</w:instrText>
      </w:r>
      <w:r>
        <w:rPr>
          <w:rFonts w:ascii="Malgun Gothic" w:eastAsia="Malgun Gothic" w:hAnsi="Malgun Gothic" w:cs="Malgun Gothic" w:hint="eastAsia"/>
        </w:rPr>
        <w:instrText>비즈니스코리아</w:instrText>
      </w:r>
      <w:r>
        <w:instrText xml:space="preserve"> - BusinessKorea","publisher-place":"</w:instrText>
      </w:r>
      <w:r>
        <w:rPr>
          <w:rFonts w:ascii="Malgun Gothic" w:eastAsia="Malgun Gothic" w:hAnsi="Malgun Gothic" w:cs="Malgun Gothic" w:hint="eastAsia"/>
        </w:rPr>
        <w:instrText>비즈니스코리아</w:instrText>
      </w:r>
      <w:r>
        <w:instrText xml:space="preserve"> - BusinessKorea","title":"Hyundai Motor's Nexo Outshines Japanese Counterparts","type":"article"},"uris":["http://www.mendeley.com/documents/?uuid=00854075-b2be-4b97-a0d3-c65f4033f2c9"]}],"mendeley":{"formattedCitation":"[45]","plainTextFormattedCitation":"[45]","previouslyFormattedCitation":"[45]"},"properties":{"noteIndex":0},"schema":"https://github.com/citation-style-language/schema/raw/master/csl-citation.json"}</w:instrText>
      </w:r>
      <w:r>
        <w:fldChar w:fldCharType="separate"/>
      </w:r>
      <w:r w:rsidRPr="00375DF8">
        <w:rPr>
          <w:noProof/>
        </w:rPr>
        <w:t>[45]</w:t>
      </w:r>
      <w:r>
        <w:fldChar w:fldCharType="end"/>
      </w:r>
      <w:r>
        <w:t>.</w:t>
      </w:r>
    </w:p>
    <w:p w14:paraId="5A9B5EB6" w14:textId="6FC2815B" w:rsidR="00007F6C" w:rsidRDefault="00007F6C" w:rsidP="00007F6C">
      <w:pPr>
        <w:jc w:val="both"/>
      </w:pPr>
      <w:r w:rsidRPr="004654D6">
        <w:t>Heavy-duty vehicles such as lorries or buses have been unveiled in the past year by various fuel cell companies. Hyundai is developing a fuel-cell powered lorry. PEMFC stacks for vehicular applications have a predicted lifetime of 2000</w:t>
      </w:r>
      <w:r w:rsidR="00682B31">
        <w:t xml:space="preserve"> </w:t>
      </w:r>
      <w:r w:rsidRPr="004654D6">
        <w:t>h of cycling</w:t>
      </w:r>
      <w:r>
        <w:t xml:space="preserve"> </w:t>
      </w:r>
      <w:r>
        <w:fldChar w:fldCharType="begin" w:fldLock="1"/>
      </w:r>
      <w:r>
        <w:instrText>ADDIN CSL_CITATION {"citationItems":[{"id":"ITEM-1","itemData":{"DOI":"10.1016/j.apenergy.2014.03.048","ISBN":"0306-2619","ISSN":"03062619","abstract":"This paper focuses on reviewing the main factors affecting the life time of fuel cells on vehicles. The main difference between fuel cells used in vehicles and fuel cells used as fixed power is the load cycling. Load cycling sometimes leads to water management and gas transport problems, which further leads to degradation of fuel cell performance and attenuation of internal parts. This article is written from the perspective of the fuel cell dynamic cycling as well as its resulting problems of water management and gas starvation, and also analyses the reasons for the degradation of fuel cell life time, and present some mitigation measures during the fuel cell operation. © 2014.","author":[{"dropping-particle":"","family":"Pei","given":"Pucheng","non-dropping-particle":"","parse-names":false,"suffix":""},{"dropping-particle":"","family":"Chen","given":"Huicui","non-dropping-particle":"","parse-names":false,"suffix":""}],"container-title":"Applied Energy","id":"ITEM-1","issued":{"date-parts":[["2014"]]},"language":"English","note":"Ai3rf\nTimes Cited:100\nCited References Count:167","page":"60-75","title":"Main factors affecting the lifetime of Proton Exchange Membrane fuel cells in vehicle applications: A review","type":"article-journal","volume":"125"},"uris":["http://www.mendeley.com/documents/?uuid=35233eca-af9c-4ca9-98d2-dd48ac5eb9e6"]}],"mendeley":{"formattedCitation":"[47]","plainTextFormattedCitation":"[47]","previouslyFormattedCitation":"[47]"},"properties":{"noteIndex":0},"schema":"https://github.com/citation-style-language/schema/raw/master/csl-citation.json"}</w:instrText>
      </w:r>
      <w:r>
        <w:fldChar w:fldCharType="separate"/>
      </w:r>
      <w:r w:rsidRPr="00375DF8">
        <w:rPr>
          <w:noProof/>
        </w:rPr>
        <w:t>[47]</w:t>
      </w:r>
      <w:r>
        <w:fldChar w:fldCharType="end"/>
      </w:r>
      <w:r>
        <w:t xml:space="preserve">. </w:t>
      </w:r>
      <w:r w:rsidRPr="004654D6">
        <w:t>This is 4</w:t>
      </w:r>
      <w:r w:rsidR="00682B31">
        <w:t xml:space="preserve"> </w:t>
      </w:r>
      <w:r w:rsidRPr="004654D6">
        <w:t>% of the expected lifetime associated with fuel cell systems suitable for stationary applications</w:t>
      </w:r>
      <w:r>
        <w:t xml:space="preserve"> </w:t>
      </w:r>
      <w:r>
        <w:fldChar w:fldCharType="begin" w:fldLock="1"/>
      </w:r>
      <w:r>
        <w:instrText>ADDIN CSL_CITATION {"citationItems":[{"id":"ITEM-1","itemData":{"DOI":"10.1016/S0360-3199(01)00181-1","ISSN":"03603199","abstract":"This paper provides a review of the state of the art of alkaline fuel cell (AFC) technology based on publications during the past twenty-five years. Although popular in the 1970s and 1980s, the AFC has fallen out of favour with the technical community in the light of the rapid development of Proton Exchange Membrane Fuel Cells (PEMFCs). AFCs have been shown to provide high power densities and achieve long lifetimes in certain applications, and appear to compete favourably with ambient air PEM fuel cells. In this report we examine the overall technology of AFCs, and review published claims about power density and lifetime performance. Issues surrounding the sensitivity of the AFC to CO2 in the oxidant stream are reviewed and potential solutions discussed. A rough cost comparison between ambient air AFCs and PEMFCs is presented. Overall, it appears the Alkaline Fuel Cell continues to have potential to succeed in certain market niche applications, but tends to lack the R&amp;D support required to refine the technology into successful market offerings. © 2002 International Association for Hydrogen Energy. Published by Elsevier Science Ltd. All rights reserved.","author":[{"dropping-particle":"","family":"McLean","given":"G. F.","non-dropping-particle":"","parse-names":false,"suffix":""},{"dropping-particle":"","family":"Niet","given":"T.","non-dropping-particle":"","parse-names":false,"suffix":""},{"dropping-particle":"","family":"Prince-Richard","given":"S.","non-dropping-particle":"","parse-names":false,"suffix":""},{"dropping-particle":"","family":"Djilali","given":"N.","non-dropping-particle":"","parse-names":false,"suffix":""}],"container-title":"International Journal of Hydrogen Energy","id":"ITEM-1","issue":"5","issued":{"date-parts":[["2002"]]},"page":"507-526","title":"An assessment of alkaline fuel cell technology","type":"article-journal","volume":"27"},"uris":["http://www.mendeley.com/documents/?uuid=0b8267f5-e75f-44b9-bfb9-11230e9b130b"]},{"id":"ITEM-2","itemData":{"DOI":"10.1149/1.3562454","author":[{"dropping-particle":"","family":"D. C. Papageorgopoulos  J. P. Kopasz, W. F. Podolski","given":"T G Benjamin","non-dropping-particle":"","parse-names":false,"suffix":""}],"container-title":"ECS Transactions","id":"ITEM-2","issue":"1","issued":{"date-parts":[["2011"]]},"page":"3-15","title":"Status of the U. S. Department Of Energy, Energy Efficiency and Renewable Energy’s Fuel Cell Research and Development Efforts ","type":"article-journal","volume":"30"},"uris":["http://www.mendeley.com/documents/?uuid=e4c41dc7-638d-4829-8996-72dad82fabb2"]}],"mendeley":{"formattedCitation":"[48], [49]","plainTextFormattedCitation":"[48], [49]","previouslyFormattedCitation":"[48], [49]"},"properties":{"noteIndex":0},"schema":"https://github.com/citation-style-language/schema/raw/master/csl-citation.json"}</w:instrText>
      </w:r>
      <w:r>
        <w:fldChar w:fldCharType="separate"/>
      </w:r>
      <w:r w:rsidRPr="00375DF8">
        <w:rPr>
          <w:noProof/>
        </w:rPr>
        <w:t>[48], [49]</w:t>
      </w:r>
      <w:r>
        <w:fldChar w:fldCharType="end"/>
      </w:r>
      <w:r>
        <w:t>.</w:t>
      </w:r>
    </w:p>
    <w:p w14:paraId="158D61FB" w14:textId="77777777" w:rsidR="00007F6C" w:rsidRDefault="00007F6C" w:rsidP="00007F6C">
      <w:pPr>
        <w:jc w:val="both"/>
      </w:pPr>
      <w:r w:rsidRPr="004654D6">
        <w:t>High temperature fuel cells such as SOFCs lend themselves to stationary/ heavy duty applications due to two factors: their high densities leading to increased transport costs and their high power efficiencies in comparison with non-solid electrolyte fuel cells</w:t>
      </w:r>
      <w:r>
        <w:t xml:space="preserve"> </w:t>
      </w:r>
      <w:r>
        <w:fldChar w:fldCharType="begin" w:fldLock="1"/>
      </w:r>
      <w:r>
        <w:instrText>ADDIN CSL_CITATION {"citationItems":[{"id":"ITEM-1","itemData":{"DOI":"https://doi.org/10.1016/j.jpowsour.2016.07.007","ISSN":"0378-7753","author":[{"dropping-particle":"","family":"Biert","given":"L","non-dropping-particle":"van","parse-names":false,"suffix":""},{"dropping-particle":"","family":"Godjevac","given":"M","non-dropping-particle":"","parse-names":false,"suffix":""},{"dropping-particle":"","family":"Visser","given":"K","non-dropping-particle":"","parse-names":false,"suffix":""},{"dropping-particle":"V","family":"Aravind","given":"P","non-dropping-particle":"","parse-names":false,"suffix":""}],"container-title":"Journal of Power Sources","id":"ITEM-1","issued":{"date-parts":[["2016"]]},"page":"345-364","title":"A review of fuel cell systems for maritime applications","type":"article-journal","volume":"327"},"uris":["http://www.mendeley.com/documents/?uuid=64b36bdc-ffd5-42b1-82c8-0d060f27ad96"]},{"id":"ITEM-2","itemData":{"DOI":"10.1016/j.pmatsci.2015.01.001","ISBN":"0079-6425","ISSN":"00796425","PMID":"25653388","abstract":"Solid oxide fuel cells (SOFC) have emerged as energy conversion devices in achieving high efficiency of over 70% with regeneration. The critical components of SOFC include anode, electrolyte, and cathode. However, for a stack of individual SOFCs, the evaluation of sealants and interconnects are also essential. In this review article, material selection, fundamentals of operation and underlying mechanisms, processing, microstructural and phase characterization, and the functionality and performance of individual SOFC components are presented in detail. The major challenges and complexity in functional section of SOFC include: (i) poisoning via sulfur and coke deposition, surface diffusion of adsorbate, and charge transfer at triple-phase boundary (TPB) in anode, (ii) hindered O&lt;sup&gt;2-&lt;/sup&gt; migration that converts chemical energy into electrical energy in the solid electrolyte (thus, the creation of ion transfer channels, ease of O&lt;sup&gt;2-&lt;/sup&gt; migration, dissociation of vacancy around dopants, straining of lattice, and other factors such as control of phase and its distribution, grain and grain boundary conductivity, become critical in designing the electrolytes for SOFCs), (iii) multiple rate determining factors such as geometry of active surfaces, and existence of overpotential, in cathode (thereby, comprehensive electrochemical impedance spectroscopy is required for the analysis of solid cathodes in SOFC), (iv) chemical incompatibility and instability in both oxidizing and reducing environments while matching the coefficient of thermal expansion (CTE) in the interconnects in order to sustain large number of thermal cycling during the operation of SOFC, and (v) isolation of the fuel and oxidizing gases while matching the CTE of the anode, cathode and interconnects, using sealant. Moreover, the glass-transition of sealant dictates the maximum allowable working temperature of SOFC. Thus, the necessitated temporal progress in material selection along with a detailed insight into the conceptual role of thermodynamics and kinetics of surface/cell reactions, effect of phases and microstructure on conductivity, fuel flexibility and deterioration in performance of individual fuel cell components, and evolution of new materials are coherently presented. This article provides a comprehensive review with respect to the structure, chemistry, design and selection of materials, underlying mechanisms, and performance of each SOFC component, and it opens up the futur…","author":[{"dropping-particle":"","family":"Mahato","given":"Neelima","non-dropping-particle":"","parse-names":false,"suffix":""},{"dropping-particle":"","family":"Banerjee","given":"Amitava","non-dropping-particle":"","parse-names":false,"suffix":""},{"dropping-particle":"","family":"Gupta","given":"Alka","non-dropping-particle":"","parse-names":false,"suffix":""},{"dropping-particle":"","family":"Omar","given":"Shobit","non-dropping-particle":"","parse-names":false,"suffix":""},{"dropping-particle":"","family":"Balani","given":"Kantesh","non-dropping-particle":"","parse-names":false,"suffix":""}],"container-title":"Progress in Materials Science","id":"ITEM-2","issued":{"date-parts":[["2015"]]},"page":"141-337","title":"Progress in material selection for solid oxide fuel cell technology: A review","type":"article-journal","volume":"72"},"uris":["http://www.mendeley.com/documents/?uuid=64bcccbb-1f4d-426c-8c8c-3479994e7afd"]},{"id":"ITEM-3","itemData":{"DOI":"10.1016/B978-012654640-8/50028-6","ISBN":"9780080532943","ISSN":"15512916","abstract":"This chapter discusses the most promising constituents of solid-oxide fuel cells, their advantages and shortcomings, and then the perspectives and the potential to develop advanced materials and better devices. The chapter focuses on the general electrochemical problems. The most important step is searching for sufficiently stable and mechanically strong structures that exhibit promising potential in terms of electrochemistry, such as fluorites, perovskites, pyrochlore,s or brownmillerites, in the case of electrolyte materials. In conventional fuel-cell designs, the electrolyte not only mediates the electrochemical reactions taking place at the anode and cathode, but also separates the fuel from the oxidant to prevent direct combustion.","author":[{"dropping-particle":"","family":"Fleig","given":"J.","non-dropping-particle":"","parse-names":false,"suffix":""},{"dropping-particle":"","family":"Kreuer","given":"K. D.","non-dropping-particle":"","parse-names":false,"suffix":""},{"dropping-particle":"","family":"Maier","given":"J.","non-dropping-particle":"","parse-names":false,"suffix":""}],"container-title":"Handbook of Advanced Ceramics: Materials, Applications, Processing and Properties","id":"ITEM-3","issued":{"date-parts":[["2003"]]},"page":"59-105","title":"Ceramic Fuel Cells","type":"article-journal","volume":"2-2"},"uris":["http://www.mendeley.com/documents/?uuid=3ed30c40-69e1-4d30-b77a-edfe03f99c48"]},{"id":"ITEM-4","itemData":{"DOI":"10.1016/j.rser.2017.03.052","ISSN":"18790690","abstract":"Solid Oxide Fuel Cells (SOFCs) have become the promising energy source for stationary and portable applications. The design of SOFCs including its structure and its operation are an important part to be properly optimized in order to achieve the best performance. The topic on optimization of SOFC has gained tremendous attention recently in line with the growing applications of fuel cell. This paper involves a literature survey of the application of SOFC in particular the optimization strategies. The strategies are reviewed in detail based on five features, which are the decision variable, objective analysis, constraint, method and tools. The future trends of research related to the optimization for SOFC are also discussed to provide better insight for future research work in this area.","author":[{"dropping-particle":"","family":"Ramadhani","given":"F.","non-dropping-particle":"","parse-names":false,"suffix":""},{"dropping-particle":"","family":"Hussain","given":"M. A.","non-dropping-particle":"","parse-names":false,"suffix":""},{"dropping-particle":"","family":"Mokhlis","given":"H.","non-dropping-particle":"","parse-names":false,"suffix":""},{"dropping-particle":"","family":"Hajimolana","given":"S.","non-dropping-particle":"","parse-names":false,"suffix":""}],"container-title":"Renewable and Sustainable Energy Reviews","id":"ITEM-4","issued":{"date-parts":[["2017"]]},"title":"Optimization strategies for Solid Oxide Fuel Cell (SOFC) application: A literature survey","type":"article","volume":"76"},"uris":["http://www.mendeley.com/documents/?uuid=7628cc5a-ec14-3858-b7af-65c24ec3aeb6"]}],"mendeley":{"formattedCitation":"[25], [50]–[52]","plainTextFormattedCitation":"[25], [50]–[52]","previouslyFormattedCitation":"[25], [50]–[52]"},"properties":{"noteIndex":0},"schema":"https://github.com/citation-style-language/schema/raw/master/csl-citation.json"}</w:instrText>
      </w:r>
      <w:r>
        <w:fldChar w:fldCharType="separate"/>
      </w:r>
      <w:r w:rsidRPr="00375DF8">
        <w:rPr>
          <w:noProof/>
        </w:rPr>
        <w:t>[25], [50]–[52]</w:t>
      </w:r>
      <w:r>
        <w:fldChar w:fldCharType="end"/>
      </w:r>
      <w:r>
        <w:t xml:space="preserve">. </w:t>
      </w:r>
      <w:r w:rsidRPr="004654D6">
        <w:t>Companies such as Bloom Energy in USA have taken orders for high profile companies such as Apple and Ikea in the past 2 year</w:t>
      </w:r>
      <w:r>
        <w:t xml:space="preserve">s </w:t>
      </w:r>
      <w:r>
        <w:fldChar w:fldCharType="begin" w:fldLock="1"/>
      </w:r>
      <w:r>
        <w:instrText>ADDIN CSL_CITATION {"citationItems":[{"id":"ITEM-1","itemData":{"author":[{"dropping-particle":"","family":"D. Hart  F. Lehner, M. Klippenstein, R. Rose","given":"J Lewis","non-dropping-particle":"","parse-names":false,"suffix":""}],"edition":"1st","id":"ITEM-1","issued":{"date-parts":[["2017"]]},"number-of-pages":"1-52","publisher":"E4Tech","publisher-place":"E4Tech Website","title":"The Fuel Cell Industry Review 2017","type":"report"},"uris":["http://www.mendeley.com/documents/?uuid=01bb1228-718d-45cc-b04d-9e671ab22a0e"]},{"id":"ITEM-2","itemData":{"abstract":"The future of power has arrived. After more than a century of technology development, market and technology forces are now converging to accelerate fuel cell adoption across the globe. These forces will work in harmony to expedite the integration of fuel cells into the global energy landscape in the decade ahead. In many ways, the adoption of fuel cells will mirror the renewable energy transition that has taken place over the last decade, which moved renewable power technologies from niche applications to mainstream power technologies. The three primary drivers that are moving fuel cells to the tipping point are: technology innovation, the emerging age of gas, and the rise of distributed power.","author":[{"dropping-particle":"","family":"Owens","given":"Brandon","non-dropping-particle":"","parse-names":false,"suffix":""},{"dropping-particle":"","family":"Mcguinness","given":"John","non-dropping-particle":"","parse-names":false,"suffix":""}],"id":"ITEM-2","issued":{"date-parts":[["2015"]]},"page":"43","title":"Ge-Fuel Cells the Power of Tomorrow","type":"article-journal"},"uris":["http://www.mendeley.com/documents/?uuid=8defa8dd-8492-4623-9147-0f958f6ebf70"]}],"mendeley":{"formattedCitation":"[28], [53]","plainTextFormattedCitation":"[28], [53]","previouslyFormattedCitation":"[28], [53]"},"properties":{"noteIndex":0},"schema":"https://github.com/citation-style-language/schema/raw/master/csl-citation.json"}</w:instrText>
      </w:r>
      <w:r>
        <w:fldChar w:fldCharType="separate"/>
      </w:r>
      <w:r w:rsidRPr="00375DF8">
        <w:rPr>
          <w:noProof/>
        </w:rPr>
        <w:t>[28], [53]</w:t>
      </w:r>
      <w:r>
        <w:fldChar w:fldCharType="end"/>
      </w:r>
      <w:r>
        <w:t>.</w:t>
      </w:r>
    </w:p>
    <w:p w14:paraId="6BF4A94E" w14:textId="77777777" w:rsidR="00007F6C" w:rsidRPr="004654D6" w:rsidRDefault="00007F6C" w:rsidP="00007F6C">
      <w:pPr>
        <w:pStyle w:val="Heading2"/>
      </w:pPr>
      <w:bookmarkStart w:id="33" w:name="_Toc69129353"/>
      <w:r w:rsidRPr="004654D6">
        <w:lastRenderedPageBreak/>
        <w:t>1.</w:t>
      </w:r>
      <w:r>
        <w:t>5</w:t>
      </w:r>
      <w:r w:rsidRPr="004654D6">
        <w:tab/>
        <w:t>Solid Oxide Fuel Cell</w:t>
      </w:r>
      <w:r>
        <w:t xml:space="preserve"> Components</w:t>
      </w:r>
      <w:bookmarkEnd w:id="33"/>
    </w:p>
    <w:p w14:paraId="24100E59" w14:textId="77777777" w:rsidR="00007F6C" w:rsidRPr="004654D6" w:rsidRDefault="00007F6C" w:rsidP="00007F6C">
      <w:pPr>
        <w:pStyle w:val="Heading3"/>
      </w:pPr>
      <w:bookmarkStart w:id="34" w:name="_Ref523403163"/>
      <w:bookmarkStart w:id="35" w:name="_Toc69129354"/>
      <w:r w:rsidRPr="004654D6">
        <w:t>1.</w:t>
      </w:r>
      <w:r>
        <w:t>5</w:t>
      </w:r>
      <w:r w:rsidRPr="004654D6">
        <w:t>.1</w:t>
      </w:r>
      <w:r w:rsidRPr="004654D6">
        <w:tab/>
        <w:t>Electrolyte</w:t>
      </w:r>
      <w:bookmarkEnd w:id="34"/>
      <w:bookmarkEnd w:id="35"/>
    </w:p>
    <w:p w14:paraId="17032D4C" w14:textId="77777777" w:rsidR="00007F6C" w:rsidRPr="004654D6" w:rsidRDefault="00007F6C" w:rsidP="00007F6C">
      <w:pPr>
        <w:jc w:val="both"/>
      </w:pPr>
      <w:r w:rsidRPr="004654D6">
        <w:t>The electrolyte is one of the three most critical components in an SOFC. The electrolyte provides the system with a pathway for oxide ions to travel to the fuel electrode whilst also being an electronic insulator. In addition to its functional properties, this region must be highly stable under reduction, oxidation, and high temperatures</w:t>
      </w:r>
      <w:r>
        <w:t xml:space="preserve"> </w:t>
      </w:r>
      <w:r>
        <w:fldChar w:fldCharType="begin" w:fldLock="1"/>
      </w:r>
      <w:r>
        <w:instrText>ADDIN CSL_CITATION {"citationItems":[{"id":"ITEM-1","itemData":{"DOI":"Doi 10.1023/A:1004853019349","ISBN":"0022-2461","author":[{"dropping-particle":"","family":"Steele","given":"B C H","non-dropping-particle":"","parse-names":false,"suffix":""}],"chapter-number":"1053","container-title":"Journal of Materials Science","id":"ITEM-1","issue":"5","issued":{"date-parts":[["2001"]]},"language":"English","page":"1053-1068","title":"Material science and engineering: The enabling technology for the commercialisation of fuel cell systems","type":"article-journal","volume":"36"},"uris":["http://www.mendeley.com/documents/?uuid=696f0747-20c9-45ce-a0eb-66feba0f1687"]},{"id":"ITEM-2","itemData":{"DOI":"10.1002/aenm.201500188","ISBN":"0935-9648","ISSN":"16146840","PMID":"24380980","abstract":"Symmetrical solid oxide fuel cells (SOFCs) have attracted increasing attention due to their potential for improved thermomechanical compatibility of the electrolyte and the electrodes, reduced fabrication cost, and enhanced immunity to coking and sulfur poisoning. While the electrode materials of symmetrical SOFCs are initially limited to those with stable phase structures under both reducing and oxidizing atmospheres, many novel electrode materials are currently being developed and investigated that may undergo a beneficial phase transition or reduction in a reducing atmosphere, although the same material may be used initially for the construction of both anode and cathode. Here, the advances made in the development of electrode materials and structures for symmetrical SOFCs are summarized, including single-phase electrodes, multi-phase (composite) electrodes, and those that are reducible upon exposure to a reducing atmosphere. The electrical conductivity, thermomechanical properties, and redox behavior of these electrode materials, together with their performance and stability in different SOFCs, are discussed and analyzed. The problems associated with different types of symmetrical SOFCs are outlined and the materials that show promise as symmetrical electrodes are highlighted, offering critical insights and useful guidelines for knowledge-based rational design of better electrodes for commercially viable symmetrical SOFCs.","author":[{"dropping-particle":"","family":"Su","given":"Chao","non-dropping-particle":"","parse-names":false,"suffix":""},{"dropping-particle":"","family":"Wang","given":"Wei","non-dropping-particle":"","parse-names":false,"suffix":""},{"dropping-particle":"","family":"Liu","given":"Meilin","non-dropping-particle":"","parse-names":false,"suffix":""},{"dropping-particle":"","family":"Tadé","given":"Moses O.","non-dropping-particle":"","parse-names":false,"suffix":""},{"dropping-particle":"","family":"Shao","given":"Zongping","non-dropping-particle":"","parse-names":false,"suffix":""}],"container-title":"Advanced Energy Materials","id":"ITEM-2","issue":"14","issued":{"date-parts":[["2015"]]},"language":"English","note":"Cited By :11\nExport Date: 20 January 2017\nCorrespondence Address: Shao, Z.; Department of Chemical Engineering, Curtin UniversityAustralia\nReferences: Grove, W.R., (1838) Philos. Mag., 13, p. 430; Grove, W.R., (1839) Philos. Mag. Ser., 314, p. 127; Minh, N.Q., (1993) J. Am. Ceram. Soc., 76, p. 563; Steele, B.C.H., Heinzel, A., (2001) Nature, 414, p. 345; (2004) Fuel Cell Handbook, pp. 1-17. , EG&amp;amp;G Technical Services, Inc. 7th ed. U.S. Department of Energy, Morgantown; Brandon, N.P., Skinner, S., Steele, B.C.H., (2003) Annu. Rev. Mater. Res., 33, p. 183; Haile, S.M., (2003) Acta Mater., 51, p. 5981; Wang, W., Su, C., Wu, Y.Z., Ran, R., Shao, Z.P., (2013) Chem. Rev., 113, p. 8104; Shao, Z.P., Haile, S.M., (2004) Nature, 431, p. 170; Borup, R., Meyers, J., Pivovar, B., Kim, Y.S., Mukundan, R., Garland, N., Myers, D., Iwashita, N., (2007) Chem. Rev., 107, p. 3904; Lefèvre, M., Proietti, E., Jaouen, F., Dodelet, J.-P., (2009) Science, 324, p. 71; Wachsman, E.D., Marlowe, C.A., Lee, K.T., (2012) Energy Environ. Sci., 5, p. 5498; Zhou, X.J., Qiao, J.L., Yang, L., Zhang, J.J., (2014) Adv. Energy Mater., 4, p. 1301523; Liu, M.L., Lynch, M.E., Blinn, K., Alamgir, F.M., Choi, Y., (2011) Mater. Today, 14, p. 534; Yang, L., Wang, S.Z., Blinn, K., Liu, M.F., Liu, Z., Cheng, Z., Liu, M.L., (2009) Science, 326, p. 126; Yang, L., Choi, Y., Qin, W.T., Chen, H.Y., Blinn, K., Liu, M.F., Liu, P., Liu, M.L., (2011) Nat. Commun., 2, p. 357; Ding, D., Li, X.X., Lai, S.Y., Gerdes, K., Liu, M.L., (2014) Energy Environ. Sci., 7, p. 552; Litster, S., McLean, G., (2004) J. Power Sources, 130, p. 61; McEvoy, A., (2003) High Temperature and Solid Oxide Fuel Cells, pp. 149-171. , (Eds: S. C. Singhal, K. Kendal), Elsevier Science, Amsterdam, Netherlands; Atkinson, A., Barnett, S., Gorte, R.J., Irvine, J.T.S., McEvoy, A.J., Mogensen, M., Singhal, S.C., Vohs, J., (2004) Nat. Mater., 3, p. 17; Tarancon, A., Skinner, S.J., Chater, R.J., Hernandez-Ramirez, F., Kilner, J.A., (2007) J. Mater. Chem., 17, p. 3175; Zhou, W., Sunarso, J., Chen, Z.-G., Ge, L., Motuzas, J., Zou, J., Wang, G.X., Zhu, Z.H., (2011) Energy Environ. Sci., 4, p. 872; Dong, F.F., Chen, Y.B., Ran, R., Chen, D.J., Tade, M.O., Liu, S.M., Shao, Z.P., (2013) J. Mater. Chem. A, 1, p. 9781; Dong, F.F., Chen, D.J., Chen, Y.B., Zhao, Q., Shao, Z.P., (2012) J. Mater. Chem., 22, p. 15071; Niu, Y.J., Zhou, W., Sunarso, J., Liang, F.L., Zhu, Z.H., Shao, Z.P., (2011) Electrochem. Commun., 13, p. 1340; Zhou, Q.J., Zhang, L.L., He, T.M., (2010) Electrochem. Commun., 12, p. 285; Zhou, W., Sunarso, J., Zhao, M.W., Liang, F.L., Klande, T., Feldhoff, A., (2013) Angew. Chem. Int. Ed., 52, p. 14036; Huang, S.G., Lu, Q.L., Feng, S.J., Li, G., Wang, C.C., (2011) Adv. Energy Mater., 1, p. 1094; M. Badding, J. Brown, T. Ketcham, D. S. Julien, U.S. Patent 20,010,044,043, 2001Bastidas, D.M., Tao, S.W., Irvine, J.T.S., (2006) J. Mater. Chem., 16, p. 1603; Ruiz-Morales, J.C., Canales-Vázquez, J., Peña-Martínez, J., Marrero-Lõpez, D., Núñez, P., (2006) Electrochim. Acta, 52, p. 278; Ruiz-Morales, J.C., Marrero-Lõpez, D., Canales-Vazquez, J., Irvine, J.T.S., (2011) RSC Adv., 1, p. 1403; Raza, R., Liu, Q.H., Nisar, J., Wang, X.D., Ma, Y., Zhu, B., (2011) Electrochem. Commun., 13, p. 917; Fan, L.D., Zhang, H.J., Chen, M.M., Wang, C.Y., Wang, H., Singh, M., Zhu, B., (2013) Int. J. Hydrogen Energy, 38, p. 11398; Zhang, L., Tao, S.W., (2011) Int. J. Hydrogen Energy, 36, p. 14643; Yang, G.M., Su, C., Ran, R., Tadé, M.O., Shao, Z.P., (2013) Energy Fuels, 28, p. 356; Jardiel, T., Caldes, M.T., Moser, F., Hamon, J., Gauthier, G., Joubert, O., (2010) Solid State Ionics, 181, p. 894; Delahaye, T., Jardiel, T., Joubert, O., Laucournet, R., Gauthier, G., Caldes, M.T., (2011) Solid State Ionics, 184, p. 39; Liu, L.M., Sun, K.N., Li, X.K., Zhang, M., Liu, Y.B., Zhang, N.Q., Zhou, X.L., (2012) Int. J. Hydrogen Energy, 37, p. 12574; Yang, G.M., Su, C., Chen, Y.B., Tadé, M.O., Shao, Z.P., (2014) J. Mater. Chem. A, 2, p. 19526; Yang, C.H., Yang, Z.B., Jin, C., Xiao, G.L., Chen, F.L., Han, M.F., (2012) Adv. Mater., 24, p. 1439; Zhang, P., Guan, G.Q., Khaerudini, D.S., Hao, X.G., Han, M.F., Kasai, Y., Sasagawa, K., Abudula, A., (2014) J. Power Sources, 248, p. 163; Zhang, P., Guan, G.Q., Khaerudini, D.S., Hao, X.G., Xue, C.F., Han, M.F., Kasai, Y., Abudula, A., (2014) J. Power Sources, 266, p. 241; Yang, Z.B., Xu, N., Han, M.F., Chen, F.L., (2014) Int. J. Hydrogen Energy, 39, p. 7402; Ruiz-Morales, J.C., Canales-Vázquez, J., Savaniu, C., Marrero-Lõpez, D., Zhou, W.Z., Irvine, J.T.S., (2006) Nature, 439, p. 568; Tao, S.W., Irvine, J.T.S., (2003) Nat. Mater., 2, p. 320; Huang, Y.H., Dass, R.I., Xing, Z.L., Goodenough, J.B., (2006) Science, 312, p. 254; Yoon, D., Manthiram, A., (2014) Energy Environ. Sci., 7, p. 3069; Jung, W., Dereux, J.O., Chueh, W.C., Hao, Y., Haile, S.M., (2012) Energy Environ. Sci., 5, p. 8682; Holtappels, P., Poulsen, F.W., Mogensen, M., (2000) Solid State Ionics, 135, p. 675; Lashtabeg, A., Canales-Vazquez, J., Irvine, J.T.S., Bradley, J.L., (2009) Chem. Mater., 21, p. 3549; Slater, P.R., Irvine, J.T.S., (1999) Solid State Ionics, 120, p. 125; Jiang, S.P., Chan, S.H., (2004) J. Mater. Sci., 39, p. 4405; Fergus, J.W., (2006) Solid State Ionics, 177, p. 1529; Sun, C.W., Stimming, U., (2007) J. Power Sources, 171, p. 247; Cowin, P.I., Petit, C.T.G., Lan, R., Irvine, J.T.S., Tao, S.W., (2011) Adv. Energy Mater., 1, p. 314; Ge, X.M., Chan, S.H., Liu, Q.L., Sun, Q., (2012) Adv. Energy Mater., 2, p. 1156; Ruiz-Morales, J.C., Canales-Vázquez, J., Savaniu, C., Irvine, J.T.S., Núñez, P., (2007) ECS Trans., 7, p. 905; Ruiz-Morales, J.C., Canales-Vázquez, J., Lincke, H., Peña-Martínez, J., Marrero-Lõpez, D., Pérez-Coll, D., Irvine, J.T.S., Núñez, P., (2008) Bol. Soc. Esp. Ceram. V., 47, p. 183; Zener, C., (1951) Phys. Rev., 82, p. 403; Chiba, R., Yoshimura, F., Sakurai, Y., (1999) Solid State Ionics, 124, p. 281; Lee, Y.-L., Kleis, J., Rossmeisl, J., Morgan, D., (2009) Phys. Rev. B, 80, p. 224101; Lynch, M.E., Yang, L., Qin, W.T., Choi, J.-J., Liu, M.F., Blinn, K., Liu, M.L., (2011) Energy Environ. Sci., 4, p. 2249; Kim, J.H., Miller, D., Schlegl, H., McGrouther, D., Irvine, J.T.S., (2011) Chem. Mater., 23, p. 3841; Blennow, P., Hagen, A., Hansen, K.K., Wallenberg, L.R., Mogensen, M., (2008) Solid State Ionics, 179, p. 2047; Slater, P.R., Fagg, D.P., Irvine, J.T.S., (1997) J. Mater. Chem., 7, p. 2495; Petit, C.T.G., Lan, R., Cowin, P.I., Irvine, J.T.S., Tao, S.W., (2011) J. Mater. Chem., 21, p. 525; Zheng, Y., Zhang, C.M., Ran, R., Cai, R., Shao, Z.P., Farrusseng, D., (2009) Acta Mater., 57, p. 1165; Su, C., Wu, Y.Z., Wang, W., Zheng, Y., Ran, R., Shao, Z.P., (2010) J. Power Sources, 195, p. 1333; Xie, Z.X., Zhao, H.L., Chen, T., Zhou, X., Du, Z.H., (2011) Int. J. Hydrogen Energy, 36, p. 7257; Li, X., Zhao, H.L., Gao, F., Chen, N., Xu, N.S., (2008) Electrochem. Commun., 10, p. 1567; Fernández-Ropero, A.J., Porras-Vázquez, J.M., Cabeza, A., Slater, P.R., Marrero-Lõpez, D., Losilla, E.R., (2014) J. Power Sources, 249, p. 405; Vasala, S., Lehtimäki, M., Huang, Y.H., Yamauchi, H., Goodenough, J.B., Karppinen, M., (2010) J. Solid State Chem., 183, p. 1007; Martínez-Coronado, R., Aguadero, A., Alonso, J.A., Fernández-Díaz, M.T., (2013) Solid State Sci., 18, p. 64; Ruiz-Morales, J.C., Lincke, H., Marrero-Lõpez, D., Canales-Vázquez, J., Peña-Martínez, J., Núñez, P., (2007) Bol. Soc. Esp. Ceram. V., 46, p. 218; Mizusaki, J., Yamauchi, S., Fueki, K., Ishikawa, A., (1984) Solid State Ionics, 12, p. 119; Lin, B., Wang, S.L., Liu, X.Q., Meng, G.Y., (2010) J. Alloys Compd., 490, p. 214; Nitadori, T., Ichiki, T., Misono, M., (1988) Bull. Chem. Soc. Jpn., 61, p. 621; Sumathi, R., Johnson, K., Viswanathan, B., Varadarajan, T.K., (1998) Appl. Catal., A, 172, p. 15; Peña, M.A., Fierro, J.L.G., (2001) Chem. Rev., 101, p. 1981; Doshi, R., Alcock, C.B., Gunasekaran, N., Carberry, J.J., (1993) J. Catal., 140, p. 557; Marchetti, L., Forni, L., (1998) Appl. Catal., B, 15, p. 179; Zhang, C.M., Zheng, Y., Lin, Y., Ran, R., Shao, Z.P., Farrusseng, D., (2009) J. Power Sources, 191, p. 225; Sfeir, J., Buffat, P.A., Möckli, P., Xanthopoulos, N., Vasquez, R., Joerg Mathieu, H., Van herle, J., Ravindranathan Thampi, K., (2001) J. Catal., 202, p. 229; Tao, S.W., Irvine, J.T.S., (2004) J. Electrochem. Soc., 151, p. A252; Tao, S.W., Irvine, J.T.S., Kilner, J.A., (2005) Adv. Mater., 17, p. 1734; Pavone, M., Ritzmann, A.M., Carter, E.A., (2011) Energy Environ. Sci., 4, p. 4933; Zhang, L., Jiang, S.P., Cheng, C.S., Zhang, Y.J., (2007) J. Electrochem. Soc., 154, p. B577; Huber, A.-K., Falk, M., Rohnke, M., Luer, Gregoratti, L., Amati, M., Janek, J., (2012) Phys. Chem. Chem. Phys., 14, p. 751; Kharton, V.V., Tsipis, E.V., Marozau, I.P., Viskup, A.P., Frade, J.R., Irvine, J.T.S., (2007) Solid State Ionics, 178, p. 101; Peña-Martínez, J., Marrero-Lõpez, D., Pérez-Coll, D., Ruiz-Morales, J.C., Núñez, P., (2007) Electrochim. Acta, 52, p. 2950; Chen, M., Paulson, S., Thangadurai, V., Birss, V., (2013) J. Power Sources, 236, p. 68; Zhou, Q., Yuan, C., Han, D., Luo, T., Li, J.L., Zhan, Z.L., (2014) Electrochim. Acta, 133, p. 453; Zhang, L., Chen, X.B., Jiang, S.P., He, H.Q., Xiang, Y., (2009) Solid State Ionics, 180, p. 1076; Song, Y., Tan, W.Y., Xu, D.D., Bu, Y.F., Zhong, Q., (2013) J. Alloys Compd., 576, p. 341; Song, Y., Zhong, Q., Tan, W.Y., (2014) Int. J. Hydrogen Energy, 39, p. 13694; Liu, X.M., Su, W.H., Lu, Z., (2003) Mater. Chem. Phys., 82, p. 327; Liu, Z.G., Dong, D.W., Huang, X.Q., Lü, Z., Sui, Y., Wang, X.J., Miao, J.P., Su, W.H., (2005) Electrochem. Solid-State Lett., 8, p. A250; El-Himri, A., Marrero-Lõpez, D., Ruiz-Morales, J.C., Peña-Martínez, J., Núñez, P., (2009) J. Power Sources, 188, p. 230; Gu, H.X., Zheng, Y., Ran, R., Shao, Z.P., Jin, W.Q., Xu, N.P., Ahn, J., (2008) J. Power Sources, 183, p. 471; Marina, O.A., Canfield, N.L., Stevenson, J.W., (2002) Solid State Ionics, 149, p. 21; Miller, E.C., Gao, Z., Barnett, S.A., (2013) Fuel Cells, 13, p. 1060; Mukundan, R., Brosha, E.L., Garzon, F.H., (2004) Electrochem. Solid-State Lett., 7, p. A5; Canales-Vázquez, J., Tao, S.W., Irvine, J.T.S., (2003) Solid State Ionics, 159, p. 159; Ma, Q.L., Tietz, F., Sebold, D., Stöver, D., (2010) J. Power Sources, 195, p. 1920; He, B.B., Wang, Z.B., Zhao, L., Pan, X., Wu, X.J., Xia, C.R., (2013) J. Power Sources, 241, p. 627; Danilovic, N., Vincent, A., Luo, J.L., Chuang, K.T., Hui, R., Sanger, A.R., (2009) Chem. Mater., 22, p. 957; Hui, S.Q., Petric, A., (2002) J. Eur. Ceram. Soc., 22, p. 1673; Smith, B.H., Holler, W.C., Gross, M.D., (2011) Solid State Ionics, 192, p. 383; Canales-Vázquez, J., Ruiz-Morales, J.C., Marrero-Lõpez, D., Peña-Martínez, J., Núñez, P., Gõmez-Romero, P., (2007) J. Power Sources, 171, p. 552; Dos Santos-García, A.J., Ruiz-Morales, J.C., Canales-Vázquez, J., (2008) Bol. Soc. Esp. Ceram. V., 47, p. 267; Napolitano, F., Lamas, D.G., Soldati, A., Serquis, A., (2012) Int. J. Hydrogen Energy, 37, p. 18302; Napolitano, F., Soldati, A.L., Geck, J., Lamas, D.G., Serquis, A., (2013) Int. J. Hydrogen Energy, 38, p. 8965; Martínez-Coronado, R., Aguadero, A., Pérez-Coll, D., Troncoso, L., Alonso, J.A., Fernández-Díaz, M.T., (2012) Int. J. Hydrogen Energy, 37, p. 18310; Porras-Vazquez, J.M., Pike, T., Hancock, C.A., Marco, J.F., Berry, F.J., Slater, P.R., (2013) J. Mater. Chem. A, 1, p. 11834; Hartley, A., Sahibzada, M., Weston, M., Metcalfe, I.S., Mantzavinos, D., (2000) Catal. Today, 55, p. 197; Lai, B.-K., Kerman, K., Ramanathan, S., (2011) J. Power Sources, 196, p. 1826; Liu, Q., Dong, X.H., Xiao, G.L., Zhao, F., Chen, F.L., (2010) Adv. Mater., 22, p. 5478; Liu, Q., Xiao, G.L., Howell, T., Reitz, T.L., Chen, F.L., (2011) ECS Trans., 35, p. 1357; Muñoz-García, A.B., Bugaris, D.E., Pavone, M., Hodges, J.P., Huq, A., Chen, F.L., Zur Loye, H.-C., Carter, E.A., (2012) J. Am. Chem. Soc., 134, p. 6826; Goodenough, J.B., Huang, Y.H., (2007) J. Power Sources, 173, p. 1; Wei, T., Zhang, Q., Huang, Y.H., Goodenough, J.B., (2012) J. Mater. Chem., 22, p. 225; Song, Y., Zhong, Q., Tan, W.Y., Pan, C., (2014) Electrochim. Acta, 139, p. 13; Kharton, V.V., Kovalevsky, A.V., Avdeev, M., Tsipis, E.V., Patrakeev, M.V., Yaremchenko, A.A., Naumovich, E.N., Frade, J.R., (2007) Chem. Mater., 19, p. 2027; Grimaud, A., Mauvy, F., Marc Bassat, J., Fourcade, S., Marrony, M., Claude Grenier, J., (2012) J. Mater. Chem., 22, p. 16017; Jin, C., Yang, Z.B., Zheng, H.H., Yang, C.H., Chen, F.L., (2012) Electrochem. Commun., 14, p. 75; Zhou, J., Chen, G., Wu, K., Cheng, Y.H., (2014) J. Power Sources, 270, p. 418; Fleig, J., (2003) Annu. Rev. Mater. Res., 33, p. 361; Zhou, W., Ran, R., Shao, Z.P., (2009) J. Power Sources, 192, p. 231; Yasuda, I., Ogasawara, K., Hishinuma, M., Kawada, T., Dokiya, M., (1996) Solid State Ionics, 8688, p. 1197; Ruiz-Morales, J.C., Canales-Vázquez, J., Ballesteros-Pérez, B., Peña-Martínez, J., Marrero-Lõpez, D., Irvine, J.T.S., Núñez, P., (2007) J. Eur. Ceram. Soc., 27, p. 4223; Jiang, S.P., Zhang, L., Zhang, Y.J., (2007) J. Mater. Chem., 17, p. 2627; Zhang, Y.C., Zhou, Q.J., He, T.M., (2011) J. Power Sources, 196, p. 76; Zhan, Z.L., Bierschenk, D.M., Cronin, J.S., Barnett, S.A., (2011) Energy Environ. Sci., 4, p. 3951; Jiang, S.P., (2012) Int. J. Hydrogen Energy, 37, p. 449; Zhang, Y.C., Shen, Y., Du, X.B., Li, J.X., Cao, X.J., He, T.M., (2011) Int. J. Hydrogen Energy, 36, p. 3673; Zhu, X.B., Lü, Z., Wei, B., Huang, X.Q., Zhang, Y.H., Su, W.H., (2011) J. Power Sources, 196, p. 729; Shaigan, N., Qu, W., Ivey, D.G., Chen, W.X., (2010) J. Power Sources, 195, p. 1529; Qu, W., Jian, L., Ivey, D.G., Hill, J.M., (2006) J. Power Sources, 157, p. 335; Yang, Z.G., Xia, G.G., Singh, P., Stevenson, J.W., (2005) Solid State Ionics, 176, p. 1495; Yun, D.W., Seo, H.S., Jun, J.H., Kim, K.Y., (2013) Int. J. Hydrogen Energy, 38, p. 1560; Stevenson, J.W., Yang, Z.G., Xia, G.G., Nie, Z., Templeton, J.D., (2013) J. Power Sources, 231, p. 256; Brylewski, T., Dabek, J., Przybylski, K., Morgiel, J., Rekas, M., (2012) J. Power Sources, 208, p. 86; Lu, Z.G., Xia, G.G., Templeton, J.D., Li, X.H., Nie, Z.M., Yang, Z.G., Stevenson, J.W., (2011) Electrochem. Commun., 13, p. 642; Stefan, E., Irvine, J.T.S., (2011) J. Mater. Sci., 46, p. 7191; Stefan, E., Connor, P.A., Irvine, J.T.S., (2013) J. Mater. Chem. A, 1, p. 8262; Stefan, E., Tsekouras, G., Irvine, J.T.S., (2013) Adv. Energy Mater., 3, p. 1454; Meng, X., Liu, X.J., Han, D., Wu, H., Li, J.L., Zhan, Z.L., (2014) J. Power Sources, 252, p. 58; Liu, X.J., Han, D., Zhou, Y.C., Meng, X., Wu, H., Li, J.L., Zeng, F.R., Zhan, Z.L., (2014) J. Power Sources, 246, p. 457; Zhou, Y.C., Liu, X.J., Li, J.L., Nie, H.W., Ye, X.F., Wang, S.R., Zhan, Z.L., (2014) J. Power Sources, 252, p. 164; Stephens, I.E.L., Bondarenko, A.S., Gronbjerg, U., Rossmeisl, J., Chorkendorff, I., (2012) Energy Environ. Sci., 5, p. 6744; Ruiz-Morales, J.C., Canales-Vázquez, J., Marrero-Lõpez, D., Pérez-Coll, D., Peña-Martínez, J., Núñez, P., (2008) J. Power Sources, 177, p. 154; Muecke, U.P., Beckel, D., Bernard, A., Bieberle-Hütter, A., Graf, S., Infortuna, A., Müller, P., Gauckler, L.J., (2008) Adv. Funct. Mater., 18, p. 3158; Huang, H., Nakamura, M., Su, P., Fasching, R., Saito, Y., Prinz, F.B., (2007) J. Electrochem. Soc., 154, p. B20; Shim, J.H., Chao, C.-C., Huang, H., Prinz, F.B., (2007) Chem. Mater., 19, p. 3850; Su, P.-C., Chao, C.-C., Shim, J.H., Fasching, R., Prinz, F.B., (2008) Nano Lett., 8, p. 2289; Bieberle-Hütter, A., Beckel, D., Infortuna, A., Muecke, U.P., Rupp, J.L.M., Gauckler, L.J., Rey-Mermet, S., Hocker, T., (2008) J. Power Sources, 177, p. 123; Johnson, A.C., Lai, B.-K., Xiong, H., Ramanathan, S., (2009) J. Power Sources, 186, p. 252; Ko, C., Kerman, K., Ramanathan, S., (2012) J. Power Sources, 213, p. 343; Kwon, C.-W., Son, J.-W., Lee, J.-H., Kim, H.-M., Lee, H.-W., Kim, K.-B., (2011) Adv. Funct. Mater., 21, p. 1154; Li, Y., Su, P.-C., Wong, L.M., Wang, S.J., (2014) J. Power Sources, 268, p. 804; Evans, A., Bieberle-Hütter, A., Rupp, J.L.M., Gauckler, L.J., (2009) J. Power Sources, 194, p. 119; Kerman, K., Lai, B.-K., Ramanathan, S., (2011) J. Power Sources, 196, p. 2608; Wang, X.H., Huang, H., Holme, T., Tian, X., Prinz, F.B., (2008) J. Power Sources, 175, p. 75; Buyukaksoy, A., Petrovsky, V., Dogan, F., (2013) J. Electrochem. Soc., 160, p. F482; Yahiro, H., Eguchi, Y., Eguchi, K., Arai, H., (1988) J. Appl. Electrochem., 18, p. 527; Eguchi, K., Setoguchi, T., Inoue, T., Arai, H., (1992) Solid State Ionics, 52, p. 165; Zhao, S., Gorte, R.J., (2004) Appl. Catal. A, 277, p. 129; Lin, Y., Su, C., Huang, C., Kim, J.S., Kwak, C., Shao, Z.P., (2012) J. Power Sources, 197, p. 57; Zhang, L., Lan, R., Kraft, A., Wang, M.T., Tao, S.W., (2010) Electrochem. Commun., 12, p. 1589; Nishihata, Y., Mizuki, J., Akao, T., Tanaka, H., Uenishi, M., Kimura, M., Okamoto, T., Hamada, N., (2002) Nature, 418, p. 164; Zhou, W., Shao, Z.P., Liang, F.L., Chen, Z.G., Zhu, Z.H., Jin, W.Q., Xu, N.P., (2011) J. Mater. Chem., 21, p. 15343; Bierschenk, D.M., Potter-Nelson, E., Hoel, C., Liao, Y., Marks, L., Poeppelmeier, K.R., Barnett, S.A., (2011) J. Power Sources, 196, p. 3089; Shin, T.H., Okamoto, Y., Ida, S., Ishihara, T., (2012) Chem. Eur. J., 18, p. 11695","publisher":"Wiley-VCH Verlag","title":"Progress and Prospects in Symmetrical Solid Oxide Fuel Cells with Two Identical Electrodes","type":"article-journal","volume":"5"},"uris":["http://www.mendeley.com/documents/?uuid=c68339b7-de4d-4b83-808d-fd5b1b81f1c9"]},{"id":"ITEM-3","itemData":{"DOI":"10.1016/j.rser.2015.05.069","ISSN":"18790690","abstract":"Solid-oxide fuel cells (SOFCs) are the most widely used fuel cells because they exhibit flexibility, power generation efficiency, and low pollution formation. Research on SOFC anodes is a major and challenging task in the field of SOFCs. This review highlights the anode materials that may be used for SOFC applications. The use of cermet-based oxide materials as anodes for SOFCs is also discussed in detail. A literature survey conducted over the last 10 years shows that increased power generation efficiency may be attributed to anode materials used in such cells. Oxide-based anode materials with perovskite and several oxides with cubic fluorite structures are further described. Based on the review conducted, we find that cubic fluorite-structured compounds are the most promising anode materials reported thus far. Analyses of the structure and electrical performance of anode materials show as well that copper-gadolinium-doped cerium oxide (Cu-GDC) cubic fluorite-structured anodes exhibit higher electronic conductivity potential than yttria-stabilized zirconia-based anode materials.","author":[{"dropping-particle":"","family":"Shaikh","given":"Shabana P.S.","non-dropping-particle":"","parse-names":false,"suffix":""},{"dropping-particle":"","family":"Muchtar","given":"Andanastuti","non-dropping-particle":"","parse-names":false,"suffix":""},{"dropping-particle":"","family":"Somalu","given":"Mahendra R.","non-dropping-particle":"","parse-names":false,"suffix":""}],"container-title":"Renewable and Sustainable Energy Reviews","id":"ITEM-3","issued":{"date-parts":[["2015"]]},"page":"1-8","publisher":"Elsevier","title":"A review on the selection of anode materials for solid-oxide fuel cells","type":"article-journal","volume":"51"},"uris":["http://www.mendeley.com/documents/?uuid=f2fa03f9-956c-4e00-b280-d2ce086c07c5"]},{"id":"ITEM-4","itemData":{"DOI":"10.1039/c6cp02590k","ISBN":"1463-9084 (Electronic)\r1463-9076 (Linking)","ISSN":"1463-9076","PMID":"27117343","abstract":"Oxygen electrodes have been able to meet area specific resistance targets for solid oxide cell operating temperatures as low as approximately 500 degrees C, but their stability over expected device operation times of up to 50 000 h is unknown. Achieving good performance at such temperatures requires mixed ionically and electronically-conducting electrodes with nano-scale structure that makes the electrode susceptible to particle coarsening and, as a result, electrode resistance degradation. Here we describe accelerated life testing of nanostructured Sm0.5Sr0.5CoO3-Ce0.9Gd0.1O2 electrodes combining impedance spectroscopy and microstructural evaluation. Measured electrochemical performance degradation is accurately fitted using a coarsening model that is then used to predict cell operating conditions where required performance and long-term stability are both achieved. A new electrode material figure of merit based on both performance and stability metrics is proposed. An implication is that cation diffusion, which determines the coarsening rate, must be considered along with oxygen transport kinetics in the selection of optimal electrode materials.","author":[{"dropping-particle":"V.","family":"Call","given":"Ann","non-dropping-particle":"","parse-names":false,"suffix":""},{"dropping-particle":"","family":"Railsback","given":"Justin G.","non-dropping-particle":"","parse-names":false,"suffix":""},{"dropping-particle":"","family":"Wang","given":"Hongqian","non-dropping-particle":"","parse-names":false,"suffix":""},{"dropping-particle":"","family":"Barnett","given":"Scott A.","non-dropping-particle":"","parse-names":false,"suffix":""}],"container-title":"Phys Chem Chem Phys","id":"ITEM-4","issue":"19","issued":{"date-parts":[["2016"]]},"note":"From Duplicate 1 (Degradation of nano-scale cathodes: a new paradigm for selecting low-temperature solid oxide cell materials - Call, A V; Railsback, J G; Wang, H; Barnett, S A)\n\nCall, Ann V\nRailsback, Justin G\nWang, Hongqian\nBarnett, Scott A\neng\nEngland\n2016/04/28 06:00\nPhys Chem Chem Phys. 2016 May 11;18(19):13216-22. doi: 10.1039/c6cp02590k.","page":"13216-13222","publisher":"Royal Society of Chemistry","title":"Degradation of nano-scale cathodes: a new paradigm for selecting low-temperature solid oxide cell materials","type":"article-journal","volume":"18"},"uris":["http://www.mendeley.com/documents/?uuid=4cb44886-2415-4f64-862a-1cff6750293b"]},{"id":"ITEM-5","itemData":{"DOI":"10.1002/9781118191323","ISBN":"9781118087565","author":[{"dropping-particle":"","family":"Bagotsky","given":"Vladimir S.","non-dropping-particle":"","parse-names":false,"suffix":""}],"container-title":"Fuel Cells: Problems and Solutions: Second Edition","id":"ITEM-5","issued":{"date-parts":[["2012"]]},"title":"Fuel Cells: Problems and Solutions: Second Edition","type":"book"},"uris":["http://www.mendeley.com/documents/?uuid=c869f6b3-cb59-45bb-9704-8afee35620f5"]},{"id":"ITEM-6","itemData":{"DOI":"10.1038/nmat1040","ISBN":"1476-1122","ISSN":"14761122","PMID":"14704781","abstract":"Fuel cells will undoubtedly find widespread use in this new millennium in the conversion of chemical to electrical energy, as they offer very high efficiencies and have unique scalability in electricity-generation applications. The solid-oxide fuel cell (SOFC) is one of the most exciting of these energy technologies; it is an all-ceramic device that operates at temperatures in the range 500-1,000 degrees C. The SOFC offers certain advantages over lower temperature fuel cells, notably its ability to use carbon monoxide as a fuel rather than being poisoned by it, and the availability of high-grade exhaust heat for combined heat and power, or combined cycle gas-turbine applications. Although cost is clearly the most important barrier to widespread SOFC implementation, perhaps the most important technical barriers currently being addressed relate to the electrodes, particularly the fuel electrode or anode. In terms of mitigating global warming, the ability of the SOFC to use commonly available fuels at high efficiency, promises an effective and early reduction in carbon dioxide emissions, and hence is one of the lead new technologies for improving the environment. Here, we discuss recent developments of SOFC fuel electrodes that will enable the better use of readily available fuels.","author":[{"dropping-particle":"","family":"Atkinson","given":"A.","non-dropping-particle":"","parse-names":false,"suffix":""},{"dropping-particle":"","family":"Barnett","given":"S.","non-dropping-particle":"","parse-names":false,"suffix":""},{"dropping-particle":"","family":"Gorte","given":"R. J.","non-dropping-particle":"","parse-names":false,"suffix":""},{"dropping-particle":"","family":"Irvine","given":"J. T.S.","non-dropping-particle":"","parse-names":false,"suffix":""},{"dropping-particle":"","family":"McEvoy","given":"A. J.","non-dropping-particle":"","parse-names":false,"suffix":""},{"dropping-particle":"","family":"Mogensen","given":"M.","non-dropping-particle":"","parse-names":false,"suffix":""},{"dropping-particle":"","family":"Singhal","given":"S. C.","non-dropping-particle":"","parse-names":false,"suffix":""},{"dropping-particle":"","family":"Vohs","given":"J.","non-dropping-particle":"","parse-names":false,"suffix":""}],"container-title":"Nature Materials","id":"ITEM-6","issue":"1","issued":{"date-parts":[["2004"]]},"language":"English","note":"Cited By :951\nExport Date: 7 October 2016\nCorrespondence Address: Irvine, J.T.S.; School of Chemistry, University of St Andrews, St Andrews, Fife KY16 9ST, United Kingdom\nChemicals/CAS: hydrogen, 12385-13-6, 1333-74-0; Ceramics; Hydrogen, 1333-74-0; Metals\nReferences: Baur, E., Preis, H., Uber die Eisenoxyd-Kathode in der Kohle-Luft-Kette (1937) Z. Elektrochem., 43, p. 727; Möbius, H.-H., On the history of solid electrolyte fuel cells (1997) Solid State Electrochem., 1, p. 2; Spacil, H.S., (1970) Electrical Device Including Nickel-containing Stabilized Zirconia Electrode, , US Patent 3,558,360; Lee, J.H., Quantitative analysis of microstructure and its related electrical property of SOFC anode, Ni-YSZ cermet (2002) Solid State Ionics, 148, pp. 1-2; Toebes, M.L., Bitter, I.H., Van Dillen, A.J., De Jong, K.P., Impact of the structure and reactivity of nickel particles on the catalytic growth of carbon nanofibers (2002) Catal Today, 76, pp. 33-42; Sasaki, K., Teraoka, Y., Equilibria in fuel cell gases -I. Equilibrium compositions and reforming conditions (2003) J. Electrochem. Soc., 150, pp. A878-A884; Murray, E.P., Tsai, T., Barnett, S.A., A direct-methane fuel cell with a ceriabased anode (1999) Nature, 400, pp. 649-651; Mogensen, M., Jensen, K.V., Jorgensen, M.J., Primdahl, S., Progress in understanding SOFC electrodes (2002) Solid State Ionics, 150, pp. 123-129; Lu, X.Y., Faguy, P.W., Liu, M.I., In situ potential-dependent FTIR emission spectroscopy - A novel probe for high temperature fuel cell interfaces (2002) J. Electrochm. Sac., 149, pp. A1293-A1298; Bernardo, C.A., Alstrup, I., Rostrupnielsen, J.R., Carbon deposition and methane steam reforming on silica-supported Ni-Cu catalysts (1985) J. Catal., 96, pp. 517-534; Dong, W.S., Roh, H.S., Jun, K.W., Park, S.E., Oh, Y.S., Methane reforming over Ni/Ce-ZrO2 catalysts: Effect of nickel content (2002) Appl. Catal. A, 226, pp. 63-72; Bunluesin, T., Gorte, R.J., Graham, G.W., Studies of the water-gas-shift reaction on ceria-supported Pt, Pd, and Rh: Implications for oxygen-storage properties (1998) Appl. Catal. B, 15, pp. 107-114; Sharma, S., Hilaire, S., Vohs, J.M., Gorte, R.J., Jen, H.W., Evidence for oxidation of ceria by CO2 (2000) J. Catal., 199, pp. 199-204; Ramirez-Cabrera, E., Atkinson, A., Chadwick, D., The influence of point defects on the resistance of ceria to carbon deposition in hydrocarbon catalysis (2000) Solid State Ionics, 136, pp. 825-831; Marina, O.A., Mogensen, M., High-temperature conversion of methane on a composite gadolinia-doped ceria-gold electrode (1999) Appl. Catal. A, 189, pp. 117-126; Park, S.D., Vohs, J.M., Gorte, R.J., Direct oxidation of hydrocarbons in a solid-oxide fuel cell (2000) Nature, 404, pp. 265-267; Kiratzis, N., Holtappels, P., Hatchwell, C.E., Mogensen, M., Irvine, J.T.S., Preparation and characterisation of copper/yttria titania zirconia cermets for use as possible solid oxide fuel cell anodes (2001) Fuel Cells, 1, pp. 211-218; Kim, H., Park, S., Vohs, J.M., Gorte, R.J., Direct oxidation of liquid fuels in a solid oxide fuel cell (2001) J. Electrochem. Soc., 148, pp. A693-A695; Minh, N.Q., Ceramic fuel-cells (1993) J. Am. Ceram. Soc., 76, pp. 563-588; Yokokawa, H., Sakai, N., Kawada, T., Dokiya, M., Thermodynamic stabilities of perovskite oxides for electrodes and other electrochemical materials (1992) Solid State Ionics, 52, pp. 43-56; Pudmich, G., Chromite/titanate based perovskites for application as anodes in solid oxide fuel cells (2000) Solid State Ionics, 135, pp. 433-438; Tao, S., Irvine, J.T.S., A redox-stable, efficient anode for solid-oxide fuel cells (2003) Nature Mater., 2, pp. 320-323; Vernoux, P., Guillodo, M., Fouletier, J., Hammou, A., Alternative anode materials for gradual methane reforming in solid oxide fuel cells (2000) Solid State Ionics, 133, pp. 425-431; Sfeir, J., Lanthanum chromite based catalysts for oxidation of methane directly on SOFC anode (2001) J. Catal., 202, pp. 229-244; Sfeir, J., Van Herle, J., Vasquez, R., (2002) Proc. 5th European Solid Oxide Fuel Cell Forum, pp. 570-577. , ed. Huijsmans J. (European SOFC Forum, Switzerland); Sauvet, A.L., Irvine, J.T.S., (2002) Proc. 5th European Solid Oxide Fuel Cell Forum, pp. 490-498. , ed. Huijsmans J. (European SOFC Forum, Switzerland); Slater, P.R., Fagg, D.P., Irvine, J.T.S., Synthesis and electrical characterisation of the doped perovskite titanates as potential anode materials for solid oxide fuel cells (1997) J. Mater. Chem., 7, pp. 2495-2498; Hui, S.Q., Petric, A., Electrical properties of yttrium-doped strontium titanate under reducing conditions (2002) J. Electrochem. Soc., 149, pp. J1-J10; Marina, O.A., Pederson, L.R., (2002) Proc. 5th European Solid Oxide Fuel Cell Forum, pp. 481-489. , ed. Huijimans, J. (European SOFC Forum, Switzerland); Canales-Vázquez, J., Tao, S.W., Irvine, J.T.S., (2003) Electrical Properties in La2Sr4Ti6O 19-d: A Potential Anode for High Temperature Fuel Cells Solid State Ionics, 159, pp. 159-165; Reich, C., Kaiser, A., Irvine, J.T.S., (2001) Niobia Based Rutile Materials as Sofc Anodes, Fuel Cells - from Fundamentals to Systems, 1, pp. 249-255; Ramos, T., Atkinson, A., (2001) Ionic and Mixed Conducting Ceramics IV, PV2001-28, pp. 352-367. , eds Ramanarayanan, T. A., Worrell, W. L. &amp;amp; Mogensen, M. (Electrochemical Scociety Proceedings); Steele, B.C.H., Appraisal of Ce1-yGdyO2-y/2electrolytes for IT-SOFC operation at 500° C (2000) Solid State Ionics, 129, pp. 95-110; Wang, S.R., Kobayashi, T., Dokiya, M., Hashimoto, T., Electrical and ionic conductivity of Gd-doped ceria (2000) J. Electrochem. Soc., 147, pp. 3606-3609; Floyd, J.M., Interpretation of transport phenomena in non-stoichiometric ceria (1972) J. Ind. Technol., pp. 275-280; Tao, S., Irvine, J.T.S., Optimization of mixed conducting properties of Y2O 3ZrO2-TiO2 and Sc2O 3-Y2O3-ZrO2-TiO2 solid solutions as potential SOFC anode materials (2002) J. Solid State Chem., 165, pp. 12-18; Sauvet, A.-L., Fouletier, J., Catalytic properties of new anode materials for solid oxide fuel cells operated under methane at intermediary temperature (2001) J. Power Sources, 101, pp. 259-266; Sprague, J.J., Tuller, H.L., Mixed ionic and electronic conduction in Mn/Mo doped gadolinium titanate (1999) J. Europ. Ceram. Soc., 19, pp. 803-806; Holtappels, P., Poulsen, F.W., Mogensen, M., Electrical conductivities and chemical stabilities of mixed conducting pyrochlores for SOFC applications (2000) Solid State Ionics, 135, pp. 675-679; McIntosh, S., Vohs, J.M., Gorte, R.J., Role of hydrocarbon deposits in the enhanced performance of direct-oxidation SOFCs (2003) J. Electrochem. Soc., 150, pp. A470-A476; Lu, C., Worrell, W.L., Vohs, J.M., Gorte, R.J., (2003) Solid Oxide Fuel Cells VIII, 7, pp. 773-780. , eds Singhal. S. C. &amp;amp; Dokiya, M., (Electrochemical Society Proceedings); Lu, C., Worrell, W.L., Gorte, R.J., Vohs, J.M., SOFCs for direct oxidation of hydrocarbon fuels with samaria-doped ceria Electrolyte (2003) J. Electrochem, Soc., 150, pp. A354-A358; Sfeir, J., (2001) Alternative Anode Materials for Methane Oxidation in Solid Oxide Fuel Cells, , Thesis, Ecole Polytechnique Fédérale de Lausanne, Switzerland; Liu, J., Madsen, B.D., Ji, Z.Q., Barnett, S.A., A fuel-flexible ceramic-based anode for solid oxide fuel cells (2002) Electrochem. Solid State Lett., 5, pp. A122-A124; Sauvet, A.L., Fouletier, J., Electrochemical properties of a new type of anode material La 1-xSrxCr1-yRuyO3-δ for SOFC under hydrogen and methane at intermediate temperatures (2001) Electrochim. Acta, 47, pp. 987-995; Vernoux, P., Guindet, J., Kleitz, M., Gradual internal methane reforming in intermediate-temperature solid-oxide fuel cells (1998) J. Electrochem. Soc., 145, pp. 3487-3492; Skarmoutsos, D., Teitz, F., Nikolopoulos, P., Structure - Property relationships of Ni/YSZ and Ni/(YSZ+TiO2) cermets (2001) Fuel Cells, 1, pp. 243-248; Holtappels, P., (1997) Electrocatalysis on Nickel-cermet E,lectrodes Jülich, , Research Centre Report number 3414, and Thesis, Univ. Bonn; Kiratzis, N., Holtappels, P., Hatchwell, C.E., Mogensen, M., Irvine, J.T.S., Preparation and characterisation of copper/yttria titania zirconia cermets for use as possible solid oxide fuel cell anodes (2001) Fuel Cells, 1, pp. 211-218","page":"17-27","title":"Advanced anodes for high-temperature fuel cells","type":"article-journal","volume":"3"},"uris":["http://www.mendeley.com/documents/?uuid=5b7491b8-7a88-4fb4-aaf6-a24df77a007d"]}],"mendeley":{"formattedCitation":"[22], [38], [54]–[57]","plainTextFormattedCitation":"[22], [38], [54]–[57]","previouslyFormattedCitation":"[22], [38], [54]–[57]"},"properties":{"noteIndex":0},"schema":"https://github.com/citation-style-language/schema/raw/master/csl-citation.json"}</w:instrText>
      </w:r>
      <w:r>
        <w:fldChar w:fldCharType="separate"/>
      </w:r>
      <w:r w:rsidRPr="00FD168C">
        <w:rPr>
          <w:noProof/>
        </w:rPr>
        <w:t>[22], [38], [54]–[57]</w:t>
      </w:r>
      <w:r>
        <w:fldChar w:fldCharType="end"/>
      </w:r>
      <w:r w:rsidRPr="004654D6">
        <w:t xml:space="preserve">. </w:t>
      </w:r>
    </w:p>
    <w:p w14:paraId="6FED8297" w14:textId="0DEEC1F2" w:rsidR="00007F6C" w:rsidRDefault="00007F6C" w:rsidP="00007F6C">
      <w:pPr>
        <w:jc w:val="both"/>
      </w:pPr>
      <w:r w:rsidRPr="004654D6">
        <w:t>Few materials possess this unique blend of functional, chemical and mechanical properties however stabilised fluorite oxides such as yttria-stabilised zirconia (YSZ, Y</w:t>
      </w:r>
      <w:r w:rsidRPr="004654D6">
        <w:rPr>
          <w:vertAlign w:val="subscript"/>
        </w:rPr>
        <w:t>2</w:t>
      </w:r>
      <w:r w:rsidRPr="004654D6">
        <w:t>O</w:t>
      </w:r>
      <w:r w:rsidRPr="004654D6">
        <w:rPr>
          <w:vertAlign w:val="subscript"/>
        </w:rPr>
        <w:t>3(0.08)</w:t>
      </w:r>
      <w:r w:rsidRPr="004654D6">
        <w:t>-ZrO</w:t>
      </w:r>
      <w:r w:rsidRPr="004654D6">
        <w:rPr>
          <w:vertAlign w:val="subscript"/>
        </w:rPr>
        <w:t>2(0.92)</w:t>
      </w:r>
      <w:r w:rsidRPr="004654D6">
        <w:t>) have been a mainstay since 1959</w:t>
      </w:r>
      <w:r>
        <w:t xml:space="preserve"> </w:t>
      </w:r>
      <w:r>
        <w:fldChar w:fldCharType="begin" w:fldLock="1"/>
      </w:r>
      <w:r>
        <w:instrText xml:space="preserve">ADDIN CSL_CITATION {"citationItems":[{"id":"ITEM-1","itemData":{"DOI":"10.4028/www.scientific.net/kem.153-154.37","ISBN":"10139826 (ISSN)","abstract":"The thermodynamic properties of the zirconia-based ceramics have been discussed in terms of the valence stability of binary oxides and the stabilization energy/interaction parameter in ternary or higher order systems. The stabilization energy and the interaction parameters can be well correlated with the ionic size of involved ions. Those properties are numerically expressed in the chemical potential diagrams. This makes it possible to understand the chemical reactivity of the oxides in terms of the physicochemical properties of constituent ions in the oxides. This approach has been compared with the acid-base theory. As examples, analyses have been made on reactions of stabilized zirconia with perovskite electrodes in solid oxide fuel cells, with vanadium oxide in combustion gas, with molten carbonates and with silica-based glasses. </w:instrText>
      </w:r>
      <w:r>
        <w:rPr>
          <w:rFonts w:ascii="Tahoma" w:hAnsi="Tahoma" w:cs="Tahoma"/>
        </w:rPr>
        <w:instrText>�</w:instrText>
      </w:r>
      <w:r>
        <w:instrText xml:space="preserve"> 1998 Trans Tech Publications.","author":[{"dropping-particle":"","family":"Yokokawa","given":"H.","non-dropping-particle":"","parse-names":false,"suffix":""}],"container-title":"Key Engineering Materials","id":"ITEM-1","issued":{"date-parts":[["2009"]]},"language":"English","note":"Cited By :13\nExport Date: 11 October 2016\nCODEN: KEMAE\nCorrespondence Address: Yokokawa, H.; Department of Inorganic Materials, National Institute of Materials and Chemical Research, Tsukuba, Ibaraki-305, Japan\nReferences: Navrotsky, A., (1981) Structure and Bonding in Crystals II, pp. 71-93. , Ed. by M. O'Keeffe and A. Navrotsky, Academic, New York; Lay, L.A., (1984) Corrosion Resistance of Technical Ceramics, , NPL; Kirkaldy, J.S., Young, D.J., (1987) Diffusion in the Condensed State, , The Institute of Metals; Lupis, C.H.P., (1983) Chemical Thermodynamics of Materials, , North-Holland; Flood, H., Förland, T., (1947) Acta Chemica Scand., 1, p. 592; (1977) Calphad, Computer Coupling of Phase Diagrams and Technology and Thermochemistry; The International Research Journal for Calculation of Phase Diagrams, 1. , Pergamon, quaternary published; Kaufman, L., Bernstein, H., (1970) Computer Calculation of Phase Diagrams, , Academic, New York; Watson, R.E., Davenport, J.W., Weinert, M., Bennett, L.H., (1987) NATO ASI Series C, 286, pp. 1-28. , Thermochemistry of Alloys, ed. by H. Brodowsky and H. -J. Schaller, Kluwer Academic Publ. Dordrecht; Kleppa, O.J., (1994) J. Phase Equil., 15, pp. 240-263; Pelton, A.D., Thompson, W.T., (1975) Progress in Solid State Chemistry, 10 (3 PART), pp. 119-155. , Pergamon; Wagman, D.D., Evans, W.H., Parker, V.B., Schumm, R.H., Halow, I., Bailey, S.M., Churney, K.L., Nuttall, R.L., The NBS tables of chemical thermodynamic properties Selected values for inorganic and C1 and C2 organic substances in SI units (1982) J. Phys. Chem. Ref. Data, 11 (2 SUPPL.); Jones, R.L., Oxide Acid-Base Reactions in Ceramis Corrosion (1990) High Temp.Sci, 27, p. 369; Kim, D.-J., (1989) J. Am. Ceram. Soc., 72 (8), pp. 1415-1421; Yokokawa, H., Sakai, N., Kawada, T., Dokiya, M., Phase Diagram Calculations for ZrO2 Based Ceramics: Thermodynamic Regularities in Zirconate Formation and Solubilities of Transition Metal Oxides (1993) Science and Technology of Zirconia V, pp. 59-68. , ed. by S. P. S. Badwal, M. J. Bannister, R. H. J. Hannink, the Australasian Ceramic Society; Bale, C.W., Eriksson, G., (1990) Canan. Metal. Quart., 29 (2), pp. 105-132; (1992) Thermodynamic Database MALT2, , Kagaku Gijutsu sha; Abriata, J.P., Garcés, J., (1986) Bul. Alloy Phase Diagrams, 7 (2), pp. 116-124; Sørensen, O.T., (1976) J. Solid State Chem., 18, pp. 217-233; Ricken, M., Nölting, J., Riess, I., (1984) J. Solid State Chem., 54, pp. 89-99; Yokokawa, H., Sakai, N., Kawada, T., Dokiya, M., (1990) J. Am. Ceram. Soc., 73, p. 649; Yokokawa, H., Kawada, T., Dokiya, M., (1989) J. Am. Ceram. Soc., 72, p. 152; Rao, C.N.R., Gopalakrishnan, J., Vidyasagar, K., (1984) Indian J. Chem. Section A, 23, pp. 265-284; Yokokawa, H., Sakai, N., Kawada, T., Dokiya, M., (1991) J. Solid State Chem., 94, p. 106; Redlich, O., Kister, A.T., (1948) Ind. Engng. Chem., 40, p. 345; Muggianu, Y.M., Gmbino, M., Bros, J.-P., (1975) J. Chimie Physique, 72, p. 83; Yokokawa, H., Kawada, T., Dokiya, M., (1989) J. Am. Ceram. Soc., 72, p. 2104; Pourbaix, M., Pourbaix, A., (1981) Diagram and Electrochemical Equilibria, Their Setting-up and Application, , CEBELCOR, Brussels; Yokokawa, H., Sakai, N., Horita, T., Generalized Chemical Potential Diagram and Its Applications to Chemical Reactivity of Interfaces between Dissimilar Materials, , in preparation; Yokokawa, H., Sakai, N., Kawada, T., Dokiya, M., (1990) J. Electrochem. Soc., 137, p. 388; Yokokawa, H., Sakai, N., Kawada, T., Dokiya, M., (1991) J. Electrochem. Soc., 138, p. 2719; Yokokawa, H., Sakai, N., Kawada, T., Dokiya, M., Ota, K., (1993) J. Electrochem. Soc., 140, p. 3565; Yokokawa, H., Sakai, N., Kawada, T., Dokiya, M., Chemical Thermodynamic Stability of the Interface (1993) Science and Technology of Zirconia V, pp. 752-763. , ed. by S. P. S. Badwal, M. J. Bannister, R. H. J. Hannink, the Australasian Ceramic Society; Hillert, M., (1980) CALPHAD, 4, p. 1; Kaufman, L., Calculation of Quasibinary and Quasiternary Ceramic Systems (1987) Conference Proceedings ASM International, pp. 145-176. , User Applications of Alloy Phase Diagrams; Chuang, Y.-Yu., Chang, Y.A., (1982) Metal. Trans, 13 B, p. 379; Yokokawa, H., Sakai, N., Kawada, T., Dokiya, M., Chemical Thermodynamic Compatibility of Solid Oxide Fuel Cell Materials (1991) Proc. Second International Symposium on Solid Oxide Fuel Cells, pp. 663-670. , Athens, Greece, July; Mizutani, N., Tajima, Y., Kato, M., (1976) J. Am. Ceram. Soc., 59, p. 168; Kovba, M.L., Skolis, Yu.Ya., Vintonyak, V.M., Levitskii, V.A., (1984) Dokl. Akad. Nauk SSSR, 227 (3), pp. 622-625; Jayarantna, M., Yoshimura, M., Somiya, S., (1984) J. Am. Ceram. Soc., 67, pp. C240; Lau, S.K., Singhal, S.C., (1985) Proceedings of National Fuel Cell Seminar May 1985, p. 107. , Tucson, AZ Courtesy Associate, Washington DC; Goodenough, J.B., Longo, J.M., Crystallographic and Magnetic Properties of Perovskite and Perovskite-Related Compounds (1970) Magnetic Oxides and Related Oxides, 4 A, pp. 126-314. , Landolt-Börnstein, New Series, Group, Ch. 3, Springer-Verlag, Berlin, S. Nomura, pp. 368-520 Vol. 12a, 1978; Tedmon Jr., C.S., Spacil, H.S., Mitoff, S.P., (1969) J. Electrochem. Soc., 116, p. 1170; Hayami, R., Yabuki, T., (1977) Bull. Government Industrial Research Institute, Osaka, 28, p. 98; Khandkar, A., Elangovan, S., Liu, M., (1992) Solid State Ionics, 52, p. 57; Kaneko, H., Taimatsu, H., Wada, K., Iwamoto, E., Reaction of La1-xCaxMnO3 cathode with YSZ and its influence on the Electrode Characteristics (1991) Proc. 2nd Internatl. Symp. Solid Oxide Fuel Cells, pp. 673-680. , ed. by F. Grosz, P. Zegers, S. C. Singhal and O. Yamamoto, CEC; Yamamoto, O., Takeda, Y., Kanno, R., Noda, M., (1987) Solid State Ionics, 22, p. 241; Van Roosmalen, J.A.M., Cordrunke, E.H.P., (1992) Solid State Ionics, 52, p. 303; Mizusaki, J., Tagawa, H., Yonemura, Y., Minamiue, H., Nambu, H., (1994) The Electrochem. Soc. Proc., 94 (12), p. 403; Kawashima, K., Hishinuma, Y., Diffusion of Mn and Transformation in Yttria Partially Stabilized Zirconia (1995) Proc. the 62nd Meeting of the Japan Electrochem. Soc., p. 136; Yoshida, T., Present Status of R$D of SOFC in Tonen (1995) 26th Meeting of the SOFC Society, , Japan, April; Yokokawa, H., Sakai, N., Kawada, T., Dokiya, M., (1990) Denki Kagaku, 58, p. 161; Echigoya, J., Hiratsuka, S., Suto, H., (1989) Mater. Trans. JIM, 30, p. 789; Ishihara, T., Kudo, T., Matsuda, H., Mizuhara, Y., Takita, Y., LnMnO3 Perovskite Oxide as a Cathode for Low Temperature Operation of SOFC (1992) 1st Symp. Solid Oxide Fuel Cells in Japan, pp. 91-94. , extended abstracts; Jones, R.L., Reidy, R.F., Mess, D., (1993) J. Am. Ceram. Soc., 76, p. 2660; Jones, R.L., Mess, D., (1992) J. Am. Ceram. Soc., 75, p. 1818; Lessing, P.A., Yang, Z.Z., Miller, G.R., Yamada, H., (1988) J. Electrochem. Soc., 135, p. 1049; Yokokawa, H., Horita, T., Sakai, N., Kawada, T., Dokiya, M., Proc. 14th Risφ International Symposium on Materials Science, pp. 473-478. , High Temperature Electrochemical Behavior of Fast Ion and Mixed Conductors, Risφ National Laboratory, Roskilde, Denmark; Van Herle, J., Horita, T., Kawada, T., Sakai, N., Yokokawa, H., Dokiya, M., unpublished workLawson, S., (1995) J. Eur. Ceram. Soc., 15, p. 485","page":"37-74","title":"Phase Diagrams and Thermodynamic Properties of Zirconia Based Ceramics","type":"article","volume":"153-154"},"uris":["http://www.mendeley.com/documents/?uuid=2f1aee02-2adb-405e-8014-bb2f9cbcb233"]},{"id":"ITEM-2","itemData":{"DOI":"10.1016/j.pmatsci.2015.01.001","ISBN":"0079-6425","ISSN":"00796425","PMID":"25653388","abstract":"Solid oxide fuel cells (SOFC) have emerged as energy conversion devices in achieving high efficiency of over 70% with regeneration. The critical components of SOFC include anode, electrolyte, and cathode. However, for a stack of individual SOFCs, the evaluation of sealants and interconnects are also essential. In this review article, material selection, fundamentals of operation and underlying mechanisms, processing, microstructural and phase characterization, and the functionality and performance of individual SOFC components are presented in detail. The major challenges and complexity in functional section of SOFC include: (i) poisoning via sulfur and coke deposition, surface diffusion of adsorbate, and charge transfer at triple-phase boundary (TPB) in anode, (ii) hindered O&lt;sup&gt;2-&lt;/sup&gt; migration that converts chemical energy into electrical energy in the solid electrolyte (thus, the creation of ion transfer channels, ease of O&lt;sup&gt;2-&lt;/sup&gt; migration, dissociation of vacancy around dopants, straining of lattice, and other factors such as control of phase and its distribution, grain and grain boundary conductivity, become critical in designing the electrolytes for SOFCs), (iii) multiple rate determining factors such as geometry of active surfaces, and existence of overpotential, in cathode (thereby, comprehensive electrochemical impedance spectroscopy is required for the analysis of solid cathodes in SOFC), (iv) chemical incompatibility and instability in both oxidizing and reducing environments while matching the coefficient of thermal expansion (CTE) in the interconnects in order to sustain large number of thermal cycling during the operation of SOFC, and (v) isolation of the fuel and oxidizing gases while matching the CTE of the anode, cathode and interconnects, using sealant. Moreover, the glass-transition of sealant dictates the maximum allowable working temperature of SOFC. Thus, the necessitated temporal progress in material selection along with a detailed insight into the conceptual role of thermodynamics and kinetics of surface/cell reactions, effect of phases and microstructure on conductivity, fuel flexibility and deterioration in performance of individual fuel cell components, and evolution of new materials are coherently presented. This article provides a comprehensive review with respect to the structure, chemistry, design and selection of materials, underlying mechanisms, and performance of each SOFC component, and it opens up the futur…","author":[{"dropping-particle":"","family":"Mahato","given":"Neelima","non-dropping-particle":"","parse-names":false,"suffix":""},{"dropping-particle":"","family":"Banerjee","given":"Amitava","non-dropping-particle":"","parse-names":false,"suffix":""},{"dropping-particle":"","family":"Gupta","given":"Alka","non-dropping-particle":"","parse-names":false,"suffix":""},{"dropping-particle":"","family":"Omar","given":"Shobit","non-dropping-particle":"","parse-names":false,"suffix":""},{"dropping-particle":"","family":"Balani","given":"Kantesh","non-dropping-particle":"","parse-names":false,"suffix":""}],"container-title":"Progress in Materials Science","id":"ITEM-2","issued":{"date-parts":[["2015"]]},"page":"141-337","title":"Progress in material selection for solid oxide fuel cell technology: A review","type":"article-journal","volume":"72"},"uris":["http://www.mendeley.com/documents/?uuid=64bcccbb-1f4d-426c-8c8c-3479994e7afd"]}],"mendeley":{"formattedCitation":"[25], [58]","plainTextFormattedCitation":"[25], [58]","previouslyFormattedCitation":"[25], [58]"},"properties":{"noteIndex":0},"schema":"https://github.com/citation-style-language/schema/raw/master/csl-citation.json"}</w:instrText>
      </w:r>
      <w:r>
        <w:fldChar w:fldCharType="separate"/>
      </w:r>
      <w:r w:rsidRPr="00375DF8">
        <w:rPr>
          <w:noProof/>
        </w:rPr>
        <w:t>[25], [58]</w:t>
      </w:r>
      <w:r>
        <w:fldChar w:fldCharType="end"/>
      </w:r>
      <w:r>
        <w:t xml:space="preserve">. </w:t>
      </w:r>
      <w:r w:rsidRPr="004654D6">
        <w:t>Its O</w:t>
      </w:r>
      <w:r w:rsidRPr="004654D6">
        <w:rPr>
          <w:vertAlign w:val="superscript"/>
        </w:rPr>
        <w:t>2-</w:t>
      </w:r>
      <w:r w:rsidRPr="004654D6">
        <w:t xml:space="preserve"> ion conductivity of 0.1</w:t>
      </w:r>
      <w:r>
        <w:t xml:space="preserve"> </w:t>
      </w:r>
      <w:r w:rsidRPr="004654D6">
        <w:t>S</w:t>
      </w:r>
      <w:r w:rsidR="006E081D">
        <w:t>cm</w:t>
      </w:r>
      <w:r w:rsidR="006E081D">
        <w:rPr>
          <w:vertAlign w:val="superscript"/>
        </w:rPr>
        <w:t>-1</w:t>
      </w:r>
      <w:r w:rsidRPr="004654D6">
        <w:t xml:space="preserve"> at 800</w:t>
      </w:r>
      <w:r w:rsidR="00FA6645">
        <w:t xml:space="preserve"> </w:t>
      </w:r>
      <w:r w:rsidRPr="004654D6">
        <w:rPr>
          <w:rFonts w:ascii="Times New Roman" w:hAnsi="Times New Roman" w:cs="Times New Roman"/>
        </w:rPr>
        <w:t>°</w:t>
      </w:r>
      <w:r w:rsidRPr="004654D6">
        <w:t>C (0.13</w:t>
      </w:r>
      <w:r w:rsidR="00682B31">
        <w:t xml:space="preserve"> </w:t>
      </w:r>
      <w:r w:rsidRPr="004654D6">
        <w:t>S</w:t>
      </w:r>
      <w:r w:rsidR="006E081D">
        <w:t>cm</w:t>
      </w:r>
      <w:r w:rsidR="006E081D">
        <w:rPr>
          <w:vertAlign w:val="superscript"/>
        </w:rPr>
        <w:t>-1</w:t>
      </w:r>
      <w:r w:rsidRPr="004654D6">
        <w:t xml:space="preserve"> at 1000</w:t>
      </w:r>
      <w:r w:rsidR="00682B31">
        <w:t xml:space="preserve"> </w:t>
      </w:r>
      <w:r w:rsidRPr="004654D6">
        <w:rPr>
          <w:rFonts w:ascii="Times New Roman" w:hAnsi="Times New Roman" w:cs="Times New Roman"/>
        </w:rPr>
        <w:t>°</w:t>
      </w:r>
      <w:r w:rsidRPr="004654D6">
        <w:t>C) is the benchmark for any potential electrolyte material</w:t>
      </w:r>
      <w:r>
        <w:t xml:space="preserve"> </w:t>
      </w:r>
      <w:r>
        <w:fldChar w:fldCharType="begin" w:fldLock="1"/>
      </w:r>
      <w:r>
        <w:instrText xml:space="preserve">ADDIN CSL_CITATION {"citationItems":[{"id":"ITEM-1","itemData":{"DOI":"10.4028/www.scientific.net/kem.153-154.37","ISBN":"10139826 (ISSN)","abstract":"The thermodynamic properties of the zirconia-based ceramics have been discussed in terms of the valence stability of binary oxides and the stabilization energy/interaction parameter in ternary or higher order systems. The stabilization energy and the interaction parameters can be well correlated with the ionic size of involved ions. Those properties are numerically expressed in the chemical potential diagrams. This makes it possible to understand the chemical reactivity of the oxides in terms of the physicochemical properties of constituent ions in the oxides. This approach has been compared with the acid-base theory. As examples, analyses have been made on reactions of stabilized zirconia with perovskite electrodes in solid oxide fuel cells, with vanadium oxide in combustion gas, with molten carbonates and with silica-based glasses. </w:instrText>
      </w:r>
      <w:r>
        <w:rPr>
          <w:rFonts w:ascii="Tahoma" w:hAnsi="Tahoma" w:cs="Tahoma"/>
        </w:rPr>
        <w:instrText>�</w:instrText>
      </w:r>
      <w:r>
        <w:instrText xml:space="preserve"> 1998 Trans Tech Publications.","author":[{"dropping-particle":"","family":"Yokokawa","given":"H.","non-dropping-particle":"","parse-names":false,"suffix":""}],"container-title":"Key Engineering Materials","id":"ITEM-1","issued":{"date-parts":[["2009"]]},"language":"English","note":"Cited By :13\nExport Date: 11 October 2016\nCODEN: KEMAE\nCorrespondence Address: Yokokawa, H.; Department of Inorganic Materials, National Institute of Materials and Chemical Research, Tsukuba, Ibaraki-305, Japan\nReferences: Navrotsky, A., (1981) Structure and Bonding in Crystals II, pp. 71-93. , Ed. by M. O'Keeffe and A. Navrotsky, Academic, New York; Lay, L.A., (1984) Corrosion Resistance of Technical Ceramics, , NPL; Kirkaldy, J.S., Young, D.J., (1987) Diffusion in the Condensed State, , The Institute of Metals; Lupis, C.H.P., (1983) Chemical Thermodynamics of Materials, , North-Holland; Flood, H., Förland, T., (1947) Acta Chemica Scand., 1, p. 592; (1977) Calphad, Computer Coupling of Phase Diagrams and Technology and Thermochemistry; The International Research Journal for Calculation of Phase Diagrams, 1. , Pergamon, quaternary published; Kaufman, L., Bernstein, H., (1970) Computer Calculation of Phase Diagrams, , Academic, New York; Watson, R.E., Davenport, J.W., Weinert, M., Bennett, L.H., (1987) NATO ASI Series C, 286, pp. 1-28. , Thermochemistry of Alloys, ed. by H. Brodowsky and H. -J. Schaller, Kluwer Academic Publ. Dordrecht; Kleppa, O.J., (1994) J. Phase Equil., 15, pp. 240-263; Pelton, A.D., Thompson, W.T., (1975) Progress in Solid State Chemistry, 10 (3 PART), pp. 119-155. , Pergamon; Wagman, D.D., Evans, W.H., Parker, V.B., Schumm, R.H., Halow, I., Bailey, S.M., Churney, K.L., Nuttall, R.L., The NBS tables of chemical thermodynamic properties Selected values for inorganic and C1 and C2 organic substances in SI units (1982) J. Phys. Chem. Ref. Data, 11 (2 SUPPL.); Jones, R.L., Oxide Acid-Base Reactions in Ceramis Corrosion (1990) High Temp.Sci, 27, p. 369; Kim, D.-J., (1989) J. Am. Ceram. Soc., 72 (8), pp. 1415-1421; Yokokawa, H., Sakai, N., Kawada, T., Dokiya, M., Phase Diagram Calculations for ZrO2 Based Ceramics: Thermodynamic Regularities in Zirconate Formation and Solubilities of Transition Metal Oxides (1993) Science and Technology of Zirconia V, pp. 59-68. , ed. by S. P. S. Badwal, M. J. Bannister, R. H. J. Hannink, the Australasian Ceramic Society; Bale, C.W., Eriksson, G., (1990) Canan. Metal. Quart., 29 (2), pp. 105-132; (1992) Thermodynamic Database MALT2, , Kagaku Gijutsu sha; Abriata, J.P., Garcés, J., (1986) Bul. Alloy Phase Diagrams, 7 (2), pp. 116-124; Sørensen, O.T., (1976) J. Solid State Chem., 18, pp. 217-233; Ricken, M., Nölting, J., Riess, I., (1984) J. Solid State Chem., 54, pp. 89-99; Yokokawa, H., Sakai, N., Kawada, T., Dokiya, M., (1990) J. Am. Ceram. Soc., 73, p. 649; Yokokawa, H., Kawada, T., Dokiya, M., (1989) J. Am. Ceram. Soc., 72, p. 152; Rao, C.N.R., Gopalakrishnan, J., Vidyasagar, K., (1984) Indian J. Chem. Section A, 23, pp. 265-284; Yokokawa, H., Sakai, N., Kawada, T., Dokiya, M., (1991) J. Solid State Chem., 94, p. 106; Redlich, O., Kister, A.T., (1948) Ind. Engng. Chem., 40, p. 345; Muggianu, Y.M., Gmbino, M., Bros, J.-P., (1975) J. Chimie Physique, 72, p. 83; Yokokawa, H., Kawada, T., Dokiya, M., (1989) J. Am. Ceram. Soc., 72, p. 2104; Pourbaix, M., Pourbaix, A., (1981) Diagram and Electrochemical Equilibria, Their Setting-up and Application, , CEBELCOR, Brussels; Yokokawa, H., Sakai, N., Horita, T., Generalized Chemical Potential Diagram and Its Applications to Chemical Reactivity of Interfaces between Dissimilar Materials, , in preparation; Yokokawa, H., Sakai, N., Kawada, T., Dokiya, M., (1990) J. Electrochem. Soc., 137, p. 388; Yokokawa, H., Sakai, N., Kawada, T., Dokiya, M., (1991) J. Electrochem. Soc., 138, p. 2719; Yokokawa, H., Sakai, N., Kawada, T., Dokiya, M., Ota, K., (1993) J. Electrochem. Soc., 140, p. 3565; Yokokawa, H., Sakai, N., Kawada, T., Dokiya, M., Chemical Thermodynamic Stability of the Interface (1993) Science and Technology of Zirconia V, pp. 752-763. , ed. by S. P. S. Badwal, M. J. Bannister, R. H. J. Hannink, the Australasian Ceramic Society; Hillert, M., (1980) CALPHAD, 4, p. 1; Kaufman, L., Calculation of Quasibinary and Quasiternary Ceramic Systems (1987) Conference Proceedings ASM International, pp. 145-176. , User Applications of Alloy Phase Diagrams; Chuang, Y.-Yu., Chang, Y.A., (1982) Metal. Trans, 13 B, p. 379; Yokokawa, H., Sakai, N., Kawada, T., Dokiya, M., Chemical Thermodynamic Compatibility of Solid Oxide Fuel Cell Materials (1991) Proc. Second International Symposium on Solid Oxide Fuel Cells, pp. 663-670. , Athens, Greece, July; Mizutani, N., Tajima, Y., Kato, M., (1976) J. Am. Ceram. Soc., 59, p. 168; Kovba, M.L., Skolis, Yu.Ya., Vintonyak, V.M., Levitskii, V.A., (1984) Dokl. Akad. Nauk SSSR, 227 (3), pp. 622-625; Jayarantna, M., Yoshimura, M., Somiya, S., (1984) J. Am. Ceram. Soc., 67, pp. C240; Lau, S.K., Singhal, S.C., (1985) Proceedings of National Fuel Cell Seminar May 1985, p. 107. , Tucson, AZ Courtesy Associate, Washington DC; Goodenough, J.B., Longo, J.M., Crystallographic and Magnetic Properties of Perovskite and Perovskite-Related Compounds (1970) Magnetic Oxides and Related Oxides, 4 A, pp. 126-314. , Landolt-Börnstein, New Series, Group, Ch. 3, Springer-Verlag, Berlin, S. Nomura, pp. 368-520 Vol. 12a, 1978; Tedmon Jr., C.S., Spacil, H.S., Mitoff, S.P., (1969) J. Electrochem. Soc., 116, p. 1170; Hayami, R., Yabuki, T., (1977) Bull. Government Industrial Research Institute, Osaka, 28, p. 98; Khandkar, A., Elangovan, S., Liu, M., (1992) Solid State Ionics, 52, p. 57; Kaneko, H., Taimatsu, H., Wada, K., Iwamoto, E., Reaction of La1-xCaxMnO3 cathode with YSZ and its influence on the Electrode Characteristics (1991) Proc. 2nd Internatl. Symp. Solid Oxide Fuel Cells, pp. 673-680. , ed. by F. Grosz, P. Zegers, S. C. Singhal and O. Yamamoto, CEC; Yamamoto, O., Takeda, Y., Kanno, R., Noda, M., (1987) Solid State Ionics, 22, p. 241; Van Roosmalen, J.A.M., Cordrunke, E.H.P., (1992) Solid State Ionics, 52, p. 303; Mizusaki, J., Tagawa, H., Yonemura, Y., Minamiue, H., Nambu, H., (1994) The Electrochem. Soc. Proc., 94 (12), p. 403; Kawashima, K., Hishinuma, Y., Diffusion of Mn and Transformation in Yttria Partially Stabilized Zirconia (1995) Proc. the 62nd Meeting of the Japan Electrochem. Soc., p. 136; Yoshida, T., Present Status of R$D of SOFC in Tonen (1995) 26th Meeting of the SOFC Society, , Japan, April; Yokokawa, H., Sakai, N., Kawada, T., Dokiya, M., (1990) Denki Kagaku, 58, p. 161; Echigoya, J., Hiratsuka, S., Suto, H., (1989) Mater. Trans. JIM, 30, p. 789; Ishihara, T., Kudo, T., Matsuda, H., Mizuhara, Y., Takita, Y., LnMnO3 Perovskite Oxide as a Cathode for Low Temperature Operation of SOFC (1992) 1st Symp. Solid Oxide Fuel Cells in Japan, pp. 91-94. , extended abstracts; Jones, R.L., Reidy, R.F., Mess, D., (1993) J. Am. Ceram. Soc., 76, p. 2660; Jones, R.L., Mess, D., (1992) J. Am. Ceram. Soc., 75, p. 1818; Lessing, P.A., Yang, Z.Z., Miller, G.R., Yamada, H., (1988) J. Electrochem. Soc., 135, p. 1049; Yokokawa, H., Horita, T., Sakai, N., Kawada, T., Dokiya, M., Proc. 14th Risφ International Symposium on Materials Science, pp. 473-478. , High Temperature Electrochemical Behavior of Fast Ion and Mixed Conductors, Risφ National Laboratory, Roskilde, Denmark; Van Herle, J., Horita, T., Kawada, T., Sakai, N., Yokokawa, H., Dokiya, M., unpublished workLawson, S., (1995) J. Eur. Ceram. Soc., 15, p. 485","page":"37-74","title":"Phase Diagrams and Thermodynamic Properties of Zirconia Based Ceramics","type":"article","volume":"153-154"},"uris":["http://www.mendeley.com/documents/?uuid=2f1aee02-2adb-405e-8014-bb2f9cbcb233"]},{"id":"ITEM-2","itemData":{"DOI":"10.1016/j.pmatsci.2015.01.001","ISBN":"0079-6425","ISSN":"00796425","PMID":"25653388","abstract":"Solid oxide fuel cells (SOFC) have emerged as energy conversion devices in achieving high efficiency of over 70% with regeneration. The critical components of SOFC include anode, electrolyte, and cathode. However, for a stack of individual SOFCs, the evaluation of sealants and interconnects are also essential. In this review article, material selection, fundamentals of operation and underlying mechanisms, processing, microstructural and phase characterization, and the functionality and performance of individual SOFC components are presented in detail. The major challenges and complexity in functional section of SOFC include: (i) poisoning via sulfur and coke deposition, surface diffusion of adsorbate, and charge transfer at triple-phase boundary (TPB) in anode, (ii) hindered O&lt;sup&gt;2-&lt;/sup&gt; migration that converts chemical energy into electrical energy in the solid electrolyte (thus, the creation of ion transfer channels, ease of O&lt;sup&gt;2-&lt;/sup&gt; migration, dissociation of vacancy around dopants, straining of lattice, and other factors such as control of phase and its distribution, grain and grain boundary conductivity, become critical in designing the electrolytes for SOFCs), (iii) multiple rate determining factors such as geometry of active surfaces, and existence of overpotential, in cathode (thereby, comprehensive electrochemical impedance spectroscopy is required for the analysis of solid cathodes in SOFC), (iv) chemical incompatibility and instability in both oxidizing and reducing environments while matching the coefficient of thermal expansion (CTE) in the interconnects in order to sustain large number of thermal cycling during the operation of SOFC, and (v) isolation of the fuel and oxidizing gases while matching the CTE of the anode, cathode and interconnects, using sealant. Moreover, the glass-transition of sealant dictates the maximum allowable working temperature of SOFC. Thus, the necessitated temporal progress in material selection along with a detailed insight into the conceptual role of thermodynamics and kinetics of surface/cell reactions, effect of phases and microstructure on conductivity, fuel flexibility and deterioration in performance of individual fuel cell components, and evolution of new materials are coherently presented. This article provides a comprehensive review with respect to the structure, chemistry, design and selection of materials, underlying mechanisms, and performance of each SOFC component, and it opens up the futur…","author":[{"dropping-particle":"","family":"Mahato","given":"Neelima","non-dropping-particle":"","parse-names":false,"suffix":""},{"dropping-particle":"","family":"Banerjee","given":"Amitava","non-dropping-particle":"","parse-names":false,"suffix":""},{"dropping-particle":"","family":"Gupta","given":"Alka","non-dropping-particle":"","parse-names":false,"suffix":""},{"dropping-particle":"","family":"Omar","given":"Shobit","non-dropping-particle":"","parse-names":false,"suffix":""},{"dropping-particle":"","family":"Balani","given":"Kantesh","non-dropping-particle":"","parse-names":false,"suffix":""}],"container-title":"Progress in Materials Science","id":"ITEM-2","issued":{"date-parts":[["2015"]]},"page":"141-337","title":"Progress in material selection for solid oxide fuel cell technology: A review","type":"article-journal","volume":"72"},"uris":["http://www.mendeley.com/documents/?uuid=64bcccbb-1f4d-426c-8c8c-3479994e7afd"]},{"id":"ITEM-3","itemData":{"DOI":"10.1038/nmat1040","ISBN":"1476-1122","ISSN":"14761122","PMID":"14704781","abstract":"Fuel cells will undoubtedly find widespread use in this new millennium in the conversion of chemical to electrical energy, as they offer very high efficiencies and have unique scalability in electricity-generation applications. The solid-oxide fuel cell (SOFC) is one of the most exciting of these energy technologies; it is an all-ceramic device that operates at temperatures in the range 500-1,000 degrees C. The SOFC offers certain advantages over lower temperature fuel cells, notably its ability to use carbon monoxide as a fuel rather than being poisoned by it, and the availability of high-grade exhaust heat for combined heat and power, or combined cycle gas-turbine applications. Although cost is clearly the most important barrier to widespread SOFC implementation, perhaps the most important technical barriers currently being addressed relate to the electrodes, particularly the fuel electrode or anode. In terms of mitigating global warming, the ability of the SOFC to use commonly available fuels at high efficiency, promises an effective and early reduction in carbon dioxide emissions, and hence is one of the lead new technologies for improving the environment. Here, we discuss recent developments of SOFC fuel electrodes that will enable the better use of readily available fuels.","author":[{"dropping-particle":"","family":"Atkinson","given":"A.","non-dropping-particle":"","parse-names":false,"suffix":""},{"dropping-particle":"","family":"Barnett","given":"S.","non-dropping-particle":"","parse-names":false,"suffix":""},{"dropping-particle":"","family":"Gorte","given":"R. J.","non-dropping-particle":"","parse-names":false,"suffix":""},{"dropping-particle":"","family":"Irvine","given":"J. T.S.","non-dropping-particle":"","parse-names":false,"suffix":""},{"dropping-particle":"","family":"McEvoy","given":"A. J.","non-dropping-particle":"","parse-names":false,"suffix":""},{"dropping-particle":"","family":"Mogensen","given":"M.","non-dropping-particle":"","parse-names":false,"suffix":""},{"dropping-particle":"","family":"Singhal","given":"S. C.","non-dropping-particle":"","parse-names":false,"suffix":""},{"dropping-particle":"","family":"Vohs","given":"J.","non-dropping-particle":"","parse-names":false,"suffix":""}],"container-title":"Nature Materials","id":"ITEM-3","issue":"1","issued":{"date-parts":[["2004"]]},"language":"English","note":"Cited By :951\nExport Date: 7 October 2016\nCorrespondence Address: Irvine, J.T.S.; School of Chemistry, University of St Andrews, St Andrews, Fife KY16 9ST, United Kingdom\nChemicals/CAS: hydrogen, 12385-13-6, 1333-74-0; Ceramics; Hydrogen, 1333-74-0; Metals\nReferences: Baur, E., Preis, H., Uber die Eisenoxyd-Kathode in der Kohle-Luft-Kette (1937) Z. Elektrochem., 43, p. 727; Möbius, H.-H., On the history of solid electrolyte fuel cells (1997) Solid State Electrochem., 1, p. 2; Spacil, H.S., (1970) Electrical Device Including Nickel-containing Stabilized Zirconia Electrode, , US Patent 3,558,360; Lee, J.H., Quantitative analysis of microstructure and its related electrical property of SOFC anode, Ni-YSZ cermet (2002) Solid State Ionics, 148, pp. 1-2; Toebes, M.L., Bitter, I.H., Van Dillen, A.J., De Jong, K.P., Impact of the structure and reactivity of nickel particles on the catalytic growth of carbon nanofibers (2002) Catal Today, 76, pp. 33-42; Sasaki, K., Teraoka, Y., Equilibria in fuel cell gases -I. Equilibrium compositions and reforming conditions (2003) J. Electrochem. Soc., 150, pp. A878-A884; Murray, E.P., Tsai, T., Barnett, S.A., A direct-methane fuel cell with a ceriabased anode (1999) Nature, 400, pp. 649-651; Mogensen, M., Jensen, K.V., Jorgensen, M.J., Primdahl, S., Progress in understanding SOFC electrodes (2002) Solid State Ionics, 150, pp. 123-129; Lu, X.Y., Faguy, P.W., Liu, M.I., In situ potential-dependent FTIR emission spectroscopy - A novel probe for high temperature fuel cell interfaces (2002) J. Electrochm. Sac., 149, pp. A1293-A1298; Bernardo, C.A., Alstrup, I., Rostrupnielsen, J.R., Carbon deposition and methane steam reforming on silica-supported Ni-Cu catalysts (1985) J. Catal., 96, pp. 517-534; Dong, W.S., Roh, H.S., Jun, K.W., Park, S.E., Oh, Y.S., Methane reforming over Ni/Ce-ZrO2 catalysts: Effect of nickel content (2002) Appl. Catal. A, 226, pp. 63-72; Bunluesin, T., Gorte, R.J., Graham, G.W., Studies of the water-gas-shift reaction on ceria-supported Pt, Pd, and Rh: Implications for oxygen-storage properties (1998) Appl. Catal. B, 15, pp. 107-114; Sharma, S., Hilaire, S., Vohs, J.M., Gorte, R.J., Jen, H.W., Evidence for oxidation of ceria by CO2 (2000) J. Catal., 199, pp. 199-204; Ramirez-Cabrera, E., Atkinson, A., Chadwick, D., The influence of point defects on the resistance of ceria to carbon deposition in hydrocarbon catalysis (2000) Solid State Ionics, 136, pp. 825-831; Marina, O.A., Mogensen, M., High-temperature conversion of methane on a composite gadolinia-doped ceria-gold electrode (1999) Appl. Catal. A, 189, pp. 117-126; Park, S.D., Vohs, J.M., Gorte, R.J., Direct oxidation of hydrocarbons in a solid-oxide fuel cell (2000) Nature, 404, pp. 265-267; Kiratzis, N., Holtappels, P., Hatchwell, C.E., Mogensen, M., Irvine, J.T.S., Preparation and characterisation of copper/yttria titania zirconia cermets for use as possible solid oxide fuel cell anodes (2001) Fuel Cells, 1, pp. 211-218; Kim, H., Park, S., Vohs, J.M., Gorte, R.J., Direct oxidation of liquid fuels in a solid oxide fuel cell (2001) J. Electrochem. Soc., 148, pp. A693-A695; Minh, N.Q., Ceramic fuel-cells (1993) J. Am. Ceram. Soc., 76, pp. 563-588; Yokokawa, H., Sakai, N., Kawada, T., Dokiya, M., Thermodynamic stabilities of perovskite oxides for electrodes and other electrochemical materials (1992) Solid State Ionics, 52, pp. 43-56; Pudmich, G., Chromite/titanate based perovskites for application as anodes in solid oxide fuel cells (2000) Solid State Ionics, 135, pp. 433-438; Tao, S., Irvine, J.T.S., A redox-stable, efficient anode for solid-oxide fuel cells (2003) Nature Mater., 2, pp. 320-323; Vernoux, P., Guillodo, M., Fouletier, J., Hammou, A., Alternative anode materials for gradual methane reforming in solid oxide fuel cells (2000) Solid State Ionics, 133, pp. 425-431; Sfeir, J., Lanthanum chromite based catalysts for oxidation of methane directly on SOFC anode (2001) J. Catal., 202, pp. 229-244; Sfeir, J., Van Herle, J., Vasquez, R., (2002) Proc. 5th European Solid Oxide Fuel Cell Forum, pp. 570-577. , ed. Huijsmans J. (European SOFC Forum, Switzerland); Sauvet, A.L., Irvine, J.T.S., (2002) Proc. 5th European Solid Oxide Fuel Cell Forum, pp. 490-498. , ed. Huijsmans J. (European SOFC Forum, Switzerland); Slater, P.R., Fagg, D.P., Irvine, J.T.S., Synthesis and electrical characterisation of the doped perovskite titanates as potential anode materials for solid oxide fuel cells (1997) J. Mater. Chem., 7, pp. 2495-2498; Hui, S.Q., Petric, A., Electrical properties of yttrium-doped strontium titanate under reducing conditions (2002) J. Electrochem. Soc., 149, pp. J1-J10; Marina, O.A., Pederson, L.R., (2002) Proc. 5th European Solid Oxide Fuel Cell Forum, pp. 481-489. , ed. Huijimans, J. (European SOFC Forum, Switzerland); Canales-Vázquez, J., Tao, S.W., Irvine, J.T.S., (2003) Electrical Properties in La2Sr4Ti6O 19-d: A Potential Anode for High Temperature Fuel Cells Solid State Ionics, 159, pp. 159-165; Reich, C., Kaiser, A., Irvine, J.T.S., (2001) Niobia Based Rutile Materials as Sofc Anodes, Fuel Cells - from Fundamentals to Systems, 1, pp. 249-255; Ramos, T., Atkinson, A., (2001) Ionic and Mixed Conducting Ceramics IV, PV2001-28, pp. 352-367. , eds Ramanarayanan, T. A., Worrell, W. L. &amp;amp; Mogensen, M. (Electrochemical Scociety Proceedings); Steele, B.C.H., Appraisal of Ce1-yGdyO2-y/2electrolytes for IT-SOFC operation at 500° C (2000) Solid State Ionics, 129, pp. 95-110; Wang, S.R., Kobayashi, T., Dokiya, M., Hashimoto, T., Electrical and ionic conductivity of Gd-doped ceria (2000) J. Electrochem. Soc., 147, pp. 3606-3609; Floyd, J.M., Interpretation of transport phenomena in non-stoichiometric ceria (1972) J. Ind. Technol., pp. 275-280; Tao, S., Irvine, J.T.S., Optimization of mixed conducting properties of Y2O 3ZrO2-TiO2 and Sc2O 3-Y2O3-ZrO2-TiO2 solid solutions as potential SOFC anode materials (2002) J. Solid State Chem., 165, pp. 12-18; Sauvet, A.-L., Fouletier, J., Catalytic properties of new anode materials for solid oxide fuel cells operated under methane at intermediary temperature (2001) J. Power Sources, 101, pp. 259-266; Sprague, J.J., Tuller, H.L., Mixed ionic and electronic conduction in Mn/Mo doped gadolinium titanate (1999) J. Europ. Ceram. Soc., 19, pp. 803-806; Holtappels, P., Poulsen, F.W., Mogensen, M., Electrical conductivities and chemical stabilities of mixed conducting pyrochlores for SOFC applications (2000) Solid State Ionics, 135, pp. 675-679; McIntosh, S., Vohs, J.M., Gorte, R.J., Role of hydrocarbon deposits in the enhanced performance of direct-oxidation SOFCs (2003) J. Electrochem. Soc., 150, pp. A470-A476; Lu, C., Worrell, W.L., Vohs, J.M., Gorte, R.J., (2003) Solid Oxide Fuel Cells VIII, 7, pp. 773-780. , eds Singhal. S. C. &amp;amp; Dokiya, M., (Electrochemical Society Proceedings); Lu, C., Worrell, W.L., Gorte, R.J., Vohs, J.M., SOFCs for direct oxidation of hydrocarbon fuels with samaria-doped ceria Electrolyte (2003) J. Electrochem, Soc., 150, pp. A354-A358; Sfeir, J., (2001) Alternative Anode Materials for Methane Oxidation in Solid Oxide Fuel Cells, , Thesis, Ecole Polytechnique Fédérale de Lausanne, Switzerland; Liu, J., Madsen, B.D., Ji, Z.Q., Barnett, S.A., A fuel-flexible ceramic-based anode for solid oxide fuel cells (2002) Electrochem. Solid State Lett., 5, pp. A122-A124; Sauvet, A.L., Fouletier, J., Electrochemical properties of a new type of anode material La 1-xSrxCr1-yRuyO3-δ for SOFC under hydrogen and methane at intermediate temperatures (2001) Electrochim. Acta, 47, pp. 987-995; Vernoux, P., Guindet, J., Kleitz, M., Gradual internal methane reforming in intermediate-temperature solid-oxide fuel cells (1998) J. Electrochem. Soc., 145, pp. 3487-3492; Skarmoutsos, D., Teitz, F., Nikolopoulos, P., Structure - Property relationships of Ni/YSZ and Ni/(YSZ+TiO2) cermets (2001) Fuel Cells, 1, pp. 243-248; Holtappels, P., (1997) Electrocatalysis on Nickel-cermet E,lectrodes Jülich, , Research Centre Report number 3414, and Thesis, Univ. Bonn; Kiratzis, N., Holtappels, P., Hatchwell, C.E., Mogensen, M., Irvine, J.T.S., Preparation and characterisation of copper/yttria titania zirconia cermets for use as possible solid oxide fuel cell anodes (2001) Fuel Cells, 1, pp. 211-218","page":"17-27","title":"Advanced anodes for high-temperature fuel cells","type":"article-journal","volume":"3"},"uris":["http://www.mendeley.com/documents/?uuid=5b7491b8-7a88-4fb4-aaf6-a24df77a007d"]},{"id":"ITEM-4","itemData":{"DOI":"10.1016/S0167-2738(02)00373-9","ISBN":"0167-2738","ISSN":"01672738","abstract":"We have investigated the electrochemical properties of two types of reduced-temperature solid oxide fuel cells (SOFCs) in which the mixed ionic-electronic conductors are used to improve their performances. Electrolyte-supported cells, in which doped LaGaO3 strengthened by Al2O3 dispersion is used as the electrolyte, were prepared and tested. Samaria-doped ceria (SDC) interlayers of 0.3-μm thickness were fired onto both surfaces of the electrolyte of 0.2-mm thickness at 1523 K, before firing the Ni-Sm0.1Ce0.9O1.95-(CeO2)0.1[(Y2O3)0.08(ZrO2)0.92]0.9 (Ni-SDC-CeYSZ) (10 mol% ceria-doped yttria-stabilized zirconia [YSZ]) cermet anode at 1723 K and La0.7Sr0.3Co0.2Fe0.8O3-Sm 0.2Ce0.8O1.9 (LSCF-SDC) composite cathode at 1373 K. The cells have a nominal size of 60 × 60 mm2 with an effective electrode area of 4 cm2. The single cell thus prepared showed a high power density of 0.67 W cm-2 at 1073 K and long-term stability during the operation time of 1000 h. Anode-supported cells with a thin YSZ electrolyte film approximately 30 μm thick were also prepared by co-sintering of screen-printed YSZ paste on a compacted anode substrate. The cells have a nominal size of 50 × 50 mm2 with an effective electrode area of 4 cm2. The single cell with the LSCF-SDC composite cathode having SDC interlayer showed the maximum power density of 0.648 W cm-2 at 1023 K. The bilayer cathode also showed high resistance against degradation by Cr-poisoning. © 2002 Elsevier Science B.V. All rights reserved.","author":[{"dropping-particle":"","family":"Matsuzaki","given":"Yoshio","non-dropping-particle":"","parse-names":false,"suffix":""},{"dropping-particle":"","family":"Yasuda","given":"Isamu","non-dropping-particle":"","parse-names":false,"suffix":""}],"container-title":"Solid State Ionics","id":"ITEM-4","issued":{"date-parts":[["2002"]]},"page":"463-468","title":"Electrochemical properties of reduced-temperature SOFCs with mixed ionic-electronic conductors in electrodes and/or interlayers","type":"article-journal","volume":"152-153"},"uris":["http://www.mendeley.com/documents/?uuid=21d230fb-98a4-4a35-87e7-a30b06dfcbc7"]}],"mendeley":{"formattedCitation":"[25], [57]–[59]","plainTextFormattedCitation":"[25], [57]–[59]","previouslyFormattedCitation":"[25], [57]–[59]"},"properties":{"noteIndex":0},"schema":"https://github.com/citation-style-language/schema/raw/master/csl-citation.json"}</w:instrText>
      </w:r>
      <w:r>
        <w:fldChar w:fldCharType="separate"/>
      </w:r>
      <w:r w:rsidRPr="00375DF8">
        <w:rPr>
          <w:noProof/>
        </w:rPr>
        <w:t>[25], [57]–[59]</w:t>
      </w:r>
      <w:r>
        <w:fldChar w:fldCharType="end"/>
      </w:r>
      <w:r>
        <w:t xml:space="preserve">. </w:t>
      </w:r>
      <w:r w:rsidRPr="004654D6">
        <w:t>Additionally, YSZ is highly stable under REDOX atmospheres further cementing it as one of the best SOFC electrolyte materials.</w:t>
      </w:r>
    </w:p>
    <w:p w14:paraId="05B7CDB9" w14:textId="77777777" w:rsidR="00007F6C" w:rsidRDefault="00007F6C" w:rsidP="00007F6C">
      <w:pPr>
        <w:jc w:val="both"/>
      </w:pPr>
      <w:r w:rsidRPr="004654D6">
        <w:t>Ceramic fluorite oxide materials have been the predominant options for electrolyte layers in SOFCs. Their high number of via oxide ion vacancies and ability to create more of these vacancies via intrinsic doping makes them ideal for the ionically conductive membrane</w:t>
      </w:r>
      <w:r>
        <w:t xml:space="preserve"> </w:t>
      </w:r>
      <w:r>
        <w:fldChar w:fldCharType="begin" w:fldLock="1"/>
      </w:r>
      <w:r>
        <w:instrText>ADDIN CSL_CITATION {"citationItems":[{"id":"ITEM-1","itemData":{"DOI":"10.1016/s0167-2738(96)00525-5","ISSN":"01672738","abstract":"A planar thin-film solid oxide fuel cell (SOFC) was developed at the Lawrence Berkeley National Laboratory - Materials Science Division. The thin-film SOFC is fabricated with an inexpensive and scalable technique involving colloidal deposition of YSZ on porous NiO-YSZ substrates, yielding SOFCs capable of high power density at an operating temperature of 800°C. The thickness of the YSZ film deposited onto the porous substrates is approximately 10 μm after sintering. Ni-YSZ/YSZ/LSM cells built with this technique have exhibited theoretical open circuit voltages (OCVs), high diffusion limited current densities and high power density. The cells have been tested for long periods of time (over 700 h) and have been thermally cycled from 600-800°C while demonstrating excellent stability over time.","author":[{"dropping-particle":"","family":"Souza","given":"Selmar","non-dropping-particle":"De","parse-names":false,"suffix":""},{"dropping-particle":"","family":"Visco","given":"Steven J.","non-dropping-particle":"","parse-names":false,"suffix":""},{"dropping-particle":"","family":"Jonghe","given":"Lutgard C.","non-dropping-particle":"De","parse-names":false,"suffix":""}],"container-title":"Solid State Ionics","id":"ITEM-1","issue":"1-2","issued":{"date-parts":[["1997"]]},"page":"57-61","title":"Thin-film solid oxide fuel cell with high performance at low-temperature","type":"article-journal","volume":"98"},"uris":["http://www.mendeley.com/documents/?uuid=a9494698-4c9c-4cc7-bddf-10469e9a288a"]},{"id":"ITEM-2","itemData":{"DOI":"10.1038/35104620","ISBN":"0028-0836","ISSN":"00280836","PMID":"11713541","abstract":"Fuel cells convert chemical energy directly into electrical energy with high efficiency and low emission of pollutants. However, before fuel-cell technology can gain a significant share of the electrical power market, important issues have to be addressed. These issues include optimal choice of fuel, and the development of alternative materials in the fuel-cell stack. Present fuel-cell prototypes often use materials selected more than 25 years ago. Commercialization aspects, including cost and durability, have revealed inadequacies in some of these materials. Here we summarize recent progress in the search and development of innovative alternative materials.","author":[{"dropping-particle":"","family":"Steele","given":"Brian C H","non-dropping-particle":"","parse-names":false,"suffix":""},{"dropping-particle":"","family":"Heinzel","given":"Angelika","non-dropping-particle":"","parse-names":false,"suffix":""}],"container-title":"Nature","id":"ITEM-2","issue":"6861","issued":{"date-parts":[["2001"]]},"page":"345-352","title":"Materials for fuel-cell technologies","type":"article-journal","volume":"414"},"uris":["http://www.mendeley.com/documents/?uuid=fcc65626-b5d9-44aa-9813-70660d24a4aa"]},{"id":"ITEM-3","itemData":{"author":[{"dropping-particle":"","family":"Wagner","given":"C","non-dropping-particle":"","parse-names":false,"suffix":""}],"container-title":"Naturwissenschaften","id":"ITEM-3","issued":{"date-parts":[["1943"]]},"page":"265-268","title":"UÈber den Mechanismus der elektrischen Stromleitung im Nernststift.","type":"article-journal","volume":"31"},"uris":["http://www.mendeley.com/documents/?uuid=ae603b52-2231-4360-85ad-7c16abc1942e"]}],"mendeley":{"formattedCitation":"[23], [60], [61]","plainTextFormattedCitation":"[23], [60], [61]","previouslyFormattedCitation":"[23], [60], [61]"},"properties":{"noteIndex":0},"schema":"https://github.com/citation-style-language/schema/raw/master/csl-citation.json"}</w:instrText>
      </w:r>
      <w:r>
        <w:fldChar w:fldCharType="separate"/>
      </w:r>
      <w:r w:rsidRPr="00375DF8">
        <w:rPr>
          <w:noProof/>
        </w:rPr>
        <w:t>[23], [60], [61]</w:t>
      </w:r>
      <w:r>
        <w:fldChar w:fldCharType="end"/>
      </w:r>
      <w:r>
        <w:t>.</w:t>
      </w:r>
    </w:p>
    <w:p w14:paraId="775BF737" w14:textId="36978230" w:rsidR="00007F6C" w:rsidRDefault="00007F6C" w:rsidP="00007F6C">
      <w:pPr>
        <w:jc w:val="both"/>
        <w:rPr>
          <w:rFonts w:ascii="Calibri" w:eastAsia="Calibri" w:hAnsi="Calibri" w:cs="Calibri"/>
        </w:rPr>
      </w:pPr>
      <w:r w:rsidRPr="004654D6">
        <w:rPr>
          <w:rFonts w:ascii="Calibri" w:eastAsia="Calibri" w:hAnsi="Calibri" w:cs="Calibri"/>
        </w:rPr>
        <w:t>Other doped fluorites have also been investigated as SOFC electrolyte materials. Scandium-stabilised zirconia (Sc</w:t>
      </w:r>
      <w:r w:rsidRPr="004654D6">
        <w:rPr>
          <w:rFonts w:ascii="Calibri" w:eastAsia="Calibri" w:hAnsi="Calibri" w:cs="Calibri"/>
          <w:vertAlign w:val="subscript"/>
        </w:rPr>
        <w:t>2</w:t>
      </w:r>
      <w:r w:rsidRPr="004654D6">
        <w:rPr>
          <w:rFonts w:ascii="Calibri" w:eastAsia="Calibri" w:hAnsi="Calibri" w:cs="Calibri"/>
        </w:rPr>
        <w:t>O</w:t>
      </w:r>
      <w:r w:rsidRPr="004654D6">
        <w:rPr>
          <w:rFonts w:ascii="Calibri" w:eastAsia="Calibri" w:hAnsi="Calibri" w:cs="Calibri"/>
          <w:vertAlign w:val="subscript"/>
        </w:rPr>
        <w:t>3(0.11)</w:t>
      </w:r>
      <w:r w:rsidRPr="004654D6">
        <w:rPr>
          <w:rFonts w:ascii="Calibri" w:eastAsia="Calibri" w:hAnsi="Calibri" w:cs="Calibri"/>
        </w:rPr>
        <w:t xml:space="preserve"> -ZrO</w:t>
      </w:r>
      <w:r w:rsidRPr="004654D6">
        <w:rPr>
          <w:rFonts w:ascii="Calibri" w:eastAsia="Calibri" w:hAnsi="Calibri" w:cs="Calibri"/>
          <w:vertAlign w:val="subscript"/>
        </w:rPr>
        <w:t>2(0.89)</w:t>
      </w:r>
      <w:r w:rsidRPr="004654D6">
        <w:rPr>
          <w:rFonts w:ascii="Calibri" w:eastAsia="Calibri" w:hAnsi="Calibri" w:cs="Calibri"/>
        </w:rPr>
        <w:t>, SSZ) has been reported to possess twice as high O</w:t>
      </w:r>
      <w:r w:rsidRPr="004654D6">
        <w:rPr>
          <w:rFonts w:ascii="Calibri" w:eastAsia="Calibri" w:hAnsi="Calibri" w:cs="Calibri"/>
          <w:vertAlign w:val="superscript"/>
        </w:rPr>
        <w:t>2-</w:t>
      </w:r>
      <w:r w:rsidRPr="004654D6">
        <w:rPr>
          <w:rFonts w:ascii="Calibri" w:eastAsia="Calibri" w:hAnsi="Calibri" w:cs="Calibri"/>
        </w:rPr>
        <w:t xml:space="preserve"> conductivity than YSZ at 850</w:t>
      </w:r>
      <w:r w:rsidR="00FA6645">
        <w:rPr>
          <w:rFonts w:ascii="Calibri" w:eastAsia="Calibri" w:hAnsi="Calibri" w:cs="Calibri"/>
        </w:rPr>
        <w:t xml:space="preserve"> </w:t>
      </w:r>
      <w:r w:rsidRPr="004654D6">
        <w:rPr>
          <w:rFonts w:ascii="Calibri" w:eastAsia="Calibri" w:hAnsi="Calibri" w:cs="Calibri"/>
        </w:rPr>
        <w:t>°C</w:t>
      </w:r>
      <w:r>
        <w:rPr>
          <w:rFonts w:ascii="Calibri" w:eastAsia="Calibri" w:hAnsi="Calibri" w:cs="Calibri"/>
        </w:rPr>
        <w:t xml:space="preserve"> </w:t>
      </w:r>
      <w:r>
        <w:rPr>
          <w:rFonts w:ascii="Calibri" w:eastAsia="Calibri" w:hAnsi="Calibri" w:cs="Calibri"/>
        </w:rPr>
        <w:fldChar w:fldCharType="begin" w:fldLock="1"/>
      </w:r>
      <w:r>
        <w:rPr>
          <w:rFonts w:ascii="Calibri" w:eastAsia="Calibri" w:hAnsi="Calibri" w:cs="Calibri"/>
        </w:rPr>
        <w:instrText>ADDIN CSL_CITATION {"citationItems":[{"id":"ITEM-1","itemData":{"DOI":"10.1007/BF02375543","ISBN":"0947-7047\r1862-0760","ISSN":"18620760","abstract":"Oxygen-ion conducting solid electrolyte systems have been reviewed with specific emphasis on their use in solid oxide fuel cells. The relationships between phase assemblage, electrolyte stability and ionic conductivity have been discussed. The role of parameters such as sintering temperature and atmosphere which influence the segregation of impurities, present in the starting ceramic powders, at grain boundaries and at the external surface of the electrolyte compacts has been emphasised. The stability of various electrolyte materials in contact with other fuel cell components and in fuel environments has been discussed in detail. The ageing behaviour at fuel cell operating temperatures has been described. Data on ionic conductivity, mechanical and thermal properties have been presented for a number of electrolyte materials.","author":[{"dropping-particle":"","family":"Badwal","given":"S. P.S.","non-dropping-particle":"","parse-names":false,"suffix":""},{"dropping-particle":"","family":"Ciacchi","given":"F. T.","non-dropping-particle":"","parse-names":false,"suffix":""}],"chapter-number":"1","container-title":"Ionics","id":"ITEM-1","issue":"1-2","issued":{"date-parts":[["2000"]]},"page":"1-21","title":"Oxygen-ion conducting electrolyte materials for solid oxide fuel cells","type":"article-journal","volume":"6"},"uris":["http://www.mendeley.com/documents/?uuid=d73dff95-c225-4c60-ba68-666265a59a97"]}],"mendeley":{"formattedCitation":"[62]","plainTextFormattedCitation":"[62]","previouslyFormattedCitation":"[62]"},"properties":{"noteIndex":0},"schema":"https://github.com/citation-style-language/schema/raw/master/csl-citation.json"}</w:instrText>
      </w:r>
      <w:r>
        <w:rPr>
          <w:rFonts w:ascii="Calibri" w:eastAsia="Calibri" w:hAnsi="Calibri" w:cs="Calibri"/>
        </w:rPr>
        <w:fldChar w:fldCharType="separate"/>
      </w:r>
      <w:r w:rsidRPr="00375DF8">
        <w:rPr>
          <w:rFonts w:ascii="Calibri" w:eastAsia="Calibri" w:hAnsi="Calibri" w:cs="Calibri"/>
          <w:noProof/>
        </w:rPr>
        <w:t>[62]</w:t>
      </w:r>
      <w:r>
        <w:rPr>
          <w:rFonts w:ascii="Calibri" w:eastAsia="Calibri" w:hAnsi="Calibri" w:cs="Calibri"/>
        </w:rPr>
        <w:fldChar w:fldCharType="end"/>
      </w:r>
      <w:r>
        <w:rPr>
          <w:rFonts w:ascii="Calibri" w:eastAsia="Calibri" w:hAnsi="Calibri" w:cs="Calibri"/>
        </w:rPr>
        <w:t xml:space="preserve">. </w:t>
      </w:r>
      <w:r w:rsidRPr="004654D6">
        <w:rPr>
          <w:rFonts w:ascii="Calibri" w:eastAsia="Calibri" w:hAnsi="Calibri" w:cs="Calibri"/>
        </w:rPr>
        <w:t>Despite this, SSZ has some inherent disadvantages in comparison with YSZ. The chemical and functional stability of SSZ is lacking at typical SOFC operating temperatures as impurity phases can form which contributes to conductivity degradation</w:t>
      </w:r>
      <w:r>
        <w:rPr>
          <w:rFonts w:ascii="Calibri" w:eastAsia="Calibri" w:hAnsi="Calibri" w:cs="Calibri"/>
        </w:rPr>
        <w:t xml:space="preserve"> </w:t>
      </w:r>
      <w:r>
        <w:rPr>
          <w:rFonts w:ascii="Calibri" w:eastAsia="Calibri" w:hAnsi="Calibri" w:cs="Calibri"/>
        </w:rPr>
        <w:fldChar w:fldCharType="begin" w:fldLock="1"/>
      </w:r>
      <w:r>
        <w:rPr>
          <w:rFonts w:ascii="Calibri" w:eastAsia="Calibri" w:hAnsi="Calibri" w:cs="Calibri"/>
        </w:rPr>
        <w:instrText>ADDIN CSL_CITATION {"citationItems":[{"id":"ITEM-1","itemData":{"DOI":"10.1016/j.pmatsci.2015.01.001","ISBN":"0079-6425","ISSN":"00796425","PMID":"25653388","abstract":"Solid oxide fuel cells (SOFC) have emerged as energy conversion devices in achieving high efficiency of over 70% with regeneration. The critical components of SOFC include anode, electrolyte, and cathode. However, for a stack of individual SOFCs, the evaluation of sealants and interconnects are also essential. In this review article, material selection, fundamentals of operation and underlying mechanisms, processing, microstructural and phase characterization, and the functionality and performance of individual SOFC components are presented in detail. The major challenges and complexity in functional section of SOFC include: (i) poisoning via sulfur and coke deposition, surface diffusion of adsorbate, and charge transfer at triple-phase boundary (TPB) in anode, (ii) hindered O&lt;sup&gt;2-&lt;/sup&gt; migration that converts chemical energy into electrical energy in the solid electrolyte (thus, the creation of ion transfer channels, ease of O&lt;sup&gt;2-&lt;/sup&gt; migration, dissociation of vacancy around dopants, straining of lattice, and other factors such as control of phase and its distribution, grain and grain boundary conductivity, become critical in designing the electrolytes for SOFCs), (iii) multiple rate determining factors such as geometry of active surfaces, and existence of overpotential, in cathode (thereby, comprehensive electrochemical impedance spectroscopy is required for the analysis of solid cathodes in SOFC), (iv) chemical incompatibility and instability in both oxidizing and reducing environments while matching the coefficient of thermal expansion (CTE) in the interconnects in order to sustain large number of thermal cycling during the operation of SOFC, and (v) isolation of the fuel and oxidizing gases while matching the CTE of the anode, cathode and interconnects, using sealant. Moreover, the glass-transition of sealant dictates the maximum allowable working temperature of SOFC. Thus, the necessitated temporal progress in material selection along with a detailed insight into the conceptual role of thermodynamics and kinetics of surface/cell reactions, effect of phases and microstructure on conductivity, fuel flexibility and deterioration in performance of individual fuel cell components, and evolution of new materials are coherently presented. This article provides a comprehensive review with respect to the structure, chemistry, design and selection of materials, underlying mechanisms, and performance of each SOFC component, and it opens up the futur…","author":[{"dropping-particle":"","family":"Mahato","given":"Neelima","non-dropping-particle":"","parse-names":false,"suffix":""},{"dropping-particle":"","family":"Banerjee","given":"Amitava","non-dropping-particle":"","parse-names":false,"suffix":""},{"dropping-particle":"","family":"Gupta","given":"Alka","non-dropping-particle":"","parse-names":false,"suffix":""},{"dropping-particle":"","family":"Omar","given":"Shobit","non-dropping-particle":"","parse-names":false,"suffix":""},{"dropping-particle":"","family":"Balani","given":"Kantesh","non-dropping-particle":"","parse-names":false,"suffix":""}],"container-title":"Progress in Materials Science","id":"ITEM-1","issued":{"date-parts":[["2015"]]},"page":"141-337","title":"Progress in material selection for solid oxide fuel cell technology: A review","type":"article-journal","volume":"72"},"uris":["http://www.mendeley.com/documents/?uuid=64bcccbb-1f4d-426c-8c8c-3479994e7afd"]},{"id":"ITEM-2","itemData":{"DOI":"10.1007/BF02375543","ISBN":"0947-7047\r1862-0760","ISSN":"18620760","abstract":"Oxygen-ion conducting solid electrolyte systems have been reviewed with specific emphasis on their use in solid oxide fuel cells. The relationships between phase assemblage, electrolyte stability and ionic conductivity have been discussed. The role of parameters such as sintering temperature and atmosphere which influence the segregation of impurities, present in the starting ceramic powders, at grain boundaries and at the external surface of the electrolyte compacts has been emphasised. The stability of various electrolyte materials in contact with other fuel cell components and in fuel environments has been discussed in detail. The ageing behaviour at fuel cell operating temperatures has been described. Data on ionic conductivity, mechanical and thermal properties have been presented for a number of electrolyte materials.","author":[{"dropping-particle":"","family":"Badwal","given":"S. P.S.","non-dropping-particle":"","parse-names":false,"suffix":""},{"dropping-particle":"","family":"Ciacchi","given":"F. T.","non-dropping-particle":"","parse-names":false,"suffix":""}],"chapter-number":"1","container-title":"Ionics","id":"ITEM-2","issue":"1-2","issued":{"date-parts":[["2000"]]},"page":"1-21","title":"Oxygen-ion conducting electrolyte materials for solid oxide fuel cells","type":"article-journal","volume":"6"},"uris":["http://www.mendeley.com/documents/?uuid=d73dff95-c225-4c60-ba68-666265a59a97"]}],"mendeley":{"formattedCitation":"[25], [62]","plainTextFormattedCitation":"[25], [62]","previouslyFormattedCitation":"[25], [62]"},"properties":{"noteIndex":0},"schema":"https://github.com/citation-style-language/schema/raw/master/csl-citation.json"}</w:instrText>
      </w:r>
      <w:r>
        <w:rPr>
          <w:rFonts w:ascii="Calibri" w:eastAsia="Calibri" w:hAnsi="Calibri" w:cs="Calibri"/>
        </w:rPr>
        <w:fldChar w:fldCharType="separate"/>
      </w:r>
      <w:r w:rsidRPr="00375DF8">
        <w:rPr>
          <w:rFonts w:ascii="Calibri" w:eastAsia="Calibri" w:hAnsi="Calibri" w:cs="Calibri"/>
          <w:noProof/>
        </w:rPr>
        <w:t>[25], [62]</w:t>
      </w:r>
      <w:r>
        <w:rPr>
          <w:rFonts w:ascii="Calibri" w:eastAsia="Calibri" w:hAnsi="Calibri" w:cs="Calibri"/>
        </w:rPr>
        <w:fldChar w:fldCharType="end"/>
      </w:r>
      <w:r>
        <w:rPr>
          <w:rFonts w:ascii="Calibri" w:eastAsia="Calibri" w:hAnsi="Calibri" w:cs="Calibri"/>
        </w:rPr>
        <w:t xml:space="preserve">. </w:t>
      </w:r>
      <w:r w:rsidRPr="004654D6">
        <w:rPr>
          <w:rFonts w:ascii="Calibri" w:eastAsia="Calibri" w:hAnsi="Calibri" w:cs="Calibri"/>
        </w:rPr>
        <w:t>The largest downside is the cost of scandium oxide, Sc</w:t>
      </w:r>
      <w:r w:rsidRPr="004654D6">
        <w:rPr>
          <w:rFonts w:ascii="Calibri" w:eastAsia="Calibri" w:hAnsi="Calibri" w:cs="Calibri"/>
          <w:vertAlign w:val="subscript"/>
        </w:rPr>
        <w:t>2</w:t>
      </w:r>
      <w:r w:rsidRPr="004654D6">
        <w:rPr>
          <w:rFonts w:ascii="Calibri" w:eastAsia="Calibri" w:hAnsi="Calibri" w:cs="Calibri"/>
        </w:rPr>
        <w:t>O</w:t>
      </w:r>
      <w:r w:rsidRPr="004654D6">
        <w:rPr>
          <w:rFonts w:ascii="Calibri" w:eastAsia="Calibri" w:hAnsi="Calibri" w:cs="Calibri"/>
          <w:vertAlign w:val="subscript"/>
        </w:rPr>
        <w:t xml:space="preserve">3 </w:t>
      </w:r>
      <w:r w:rsidRPr="004654D6">
        <w:rPr>
          <w:rFonts w:ascii="Calibri" w:eastAsia="Calibri" w:hAnsi="Calibri" w:cs="Calibri"/>
        </w:rPr>
        <w:t>which is over 200 times more expensive than that of Y</w:t>
      </w:r>
      <w:r w:rsidRPr="004654D6">
        <w:rPr>
          <w:rFonts w:ascii="Calibri" w:eastAsia="Calibri" w:hAnsi="Calibri" w:cs="Calibri"/>
          <w:vertAlign w:val="subscript"/>
        </w:rPr>
        <w:t>2</w:t>
      </w:r>
      <w:r w:rsidRPr="004654D6">
        <w:rPr>
          <w:rFonts w:ascii="Calibri" w:eastAsia="Calibri" w:hAnsi="Calibri" w:cs="Calibri"/>
        </w:rPr>
        <w:t>O</w:t>
      </w:r>
      <w:r w:rsidRPr="004654D6">
        <w:rPr>
          <w:rFonts w:ascii="Calibri" w:eastAsia="Calibri" w:hAnsi="Calibri" w:cs="Calibri"/>
          <w:vertAlign w:val="subscript"/>
        </w:rPr>
        <w:t>3</w:t>
      </w:r>
      <w:r w:rsidRPr="004654D6">
        <w:rPr>
          <w:rFonts w:ascii="Calibri" w:eastAsia="Calibri" w:hAnsi="Calibri" w:cs="Calibri"/>
        </w:rPr>
        <w:t xml:space="preserve"> (£819.71</w:t>
      </w:r>
      <w:r w:rsidR="006E081D">
        <w:rPr>
          <w:rFonts w:ascii="Calibri" w:eastAsia="Calibri" w:hAnsi="Calibri" w:cs="Calibri"/>
        </w:rPr>
        <w:t xml:space="preserve"> </w:t>
      </w:r>
      <w:r w:rsidRPr="004654D6">
        <w:rPr>
          <w:rFonts w:ascii="Calibri" w:eastAsia="Calibri" w:hAnsi="Calibri" w:cs="Calibri"/>
        </w:rPr>
        <w:t>/kg Sc</w:t>
      </w:r>
      <w:r w:rsidRPr="004654D6">
        <w:rPr>
          <w:rFonts w:ascii="Calibri" w:eastAsia="Calibri" w:hAnsi="Calibri" w:cs="Calibri"/>
          <w:vertAlign w:val="subscript"/>
        </w:rPr>
        <w:t>2</w:t>
      </w:r>
      <w:r w:rsidRPr="004654D6">
        <w:rPr>
          <w:rFonts w:ascii="Calibri" w:eastAsia="Calibri" w:hAnsi="Calibri" w:cs="Calibri"/>
        </w:rPr>
        <w:t>O</w:t>
      </w:r>
      <w:r w:rsidRPr="004654D6">
        <w:rPr>
          <w:rFonts w:ascii="Calibri" w:eastAsia="Calibri" w:hAnsi="Calibri" w:cs="Calibri"/>
          <w:vertAlign w:val="subscript"/>
        </w:rPr>
        <w:t>3</w:t>
      </w:r>
      <w:r w:rsidRPr="004654D6">
        <w:rPr>
          <w:rFonts w:ascii="Calibri" w:eastAsia="Calibri" w:hAnsi="Calibri" w:cs="Calibri"/>
        </w:rPr>
        <w:t>, £3.49</w:t>
      </w:r>
      <w:r w:rsidR="00FA6645">
        <w:rPr>
          <w:rFonts w:ascii="Calibri" w:eastAsia="Calibri" w:hAnsi="Calibri" w:cs="Calibri"/>
        </w:rPr>
        <w:t xml:space="preserve"> </w:t>
      </w:r>
      <w:r w:rsidRPr="004654D6">
        <w:rPr>
          <w:rFonts w:ascii="Calibri" w:eastAsia="Calibri" w:hAnsi="Calibri" w:cs="Calibri"/>
        </w:rPr>
        <w:t>/kg</w:t>
      </w:r>
      <w:r w:rsidR="006E081D">
        <w:rPr>
          <w:rFonts w:ascii="Calibri" w:eastAsia="Calibri" w:hAnsi="Calibri" w:cs="Calibri"/>
        </w:rPr>
        <w:t xml:space="preserve"> </w:t>
      </w:r>
      <w:r w:rsidRPr="004654D6">
        <w:rPr>
          <w:rFonts w:ascii="Calibri" w:eastAsia="Calibri" w:hAnsi="Calibri" w:cs="Calibri"/>
        </w:rPr>
        <w:t>Y</w:t>
      </w:r>
      <w:r w:rsidRPr="004654D6">
        <w:rPr>
          <w:rFonts w:ascii="Calibri" w:eastAsia="Calibri" w:hAnsi="Calibri" w:cs="Calibri"/>
          <w:vertAlign w:val="subscript"/>
        </w:rPr>
        <w:t>2</w:t>
      </w:r>
      <w:r w:rsidRPr="004654D6">
        <w:rPr>
          <w:rFonts w:ascii="Calibri" w:eastAsia="Calibri" w:hAnsi="Calibri" w:cs="Calibri"/>
        </w:rPr>
        <w:t>O</w:t>
      </w:r>
      <w:r w:rsidRPr="004654D6">
        <w:rPr>
          <w:rFonts w:ascii="Calibri" w:eastAsia="Calibri" w:hAnsi="Calibri" w:cs="Calibri"/>
          <w:vertAlign w:val="subscript"/>
        </w:rPr>
        <w:t>3</w:t>
      </w:r>
      <w:r w:rsidRPr="004654D6">
        <w:rPr>
          <w:rFonts w:ascii="Calibri" w:eastAsia="Calibri" w:hAnsi="Calibri" w:cs="Calibri"/>
        </w:rPr>
        <w:t>) due to its scarcity and lack of reliable sources</w:t>
      </w:r>
      <w:r>
        <w:rPr>
          <w:rFonts w:ascii="Calibri" w:eastAsia="Calibri" w:hAnsi="Calibri" w:cs="Calibri"/>
        </w:rPr>
        <w:t xml:space="preserve"> </w:t>
      </w:r>
      <w:r>
        <w:rPr>
          <w:rFonts w:ascii="Calibri" w:eastAsia="Calibri" w:hAnsi="Calibri" w:cs="Calibri"/>
        </w:rPr>
        <w:fldChar w:fldCharType="begin" w:fldLock="1"/>
      </w:r>
      <w:r>
        <w:rPr>
          <w:rFonts w:ascii="Calibri" w:eastAsia="Calibri" w:hAnsi="Calibri" w:cs="Calibri"/>
        </w:rPr>
        <w:instrText>ADDIN CSL_CITATION {"citationItems":[{"id":"ITEM-1","itemData":{"URL":"http://mineralprices.com/","author":[{"dropping-particle":"","family":"LTD.","given":"MINERAL FUND ADVISORY P T Y","non-dropping-particle":"","parse-names":false,"suffix":""}],"container-title":"Global Mineral Prices","editor":[{"dropping-particle":"","family":"LTD.","given":"MINERAL FUND ADVISORY P T Y","non-dropping-particle":"","parse-names":false,"suffix":""}],"id":"ITEM-1","issue":"31/07/2017","issued":{"date-parts":[["2017"]]},"page":"Mineral Prices of metallic oxides","publisher":"MINERAL FUND ADVISORY PTY. LTD.","publisher-place":"Mineral Prices Website","title":"Global Mineral Prices","type":"webpage","volume":"2017"},"uris":["http://www.mendeley.com/documents/?uuid=0495fc46-001c-4e9a-a37f-f12f9285d7c2"]}],"mendeley":{"formattedCitation":"[63]","plainTextFormattedCitation":"[63]","previouslyFormattedCitation":"[63]"},"properties":{"noteIndex":0},"schema":"https://github.com/citation-style-language/schema/raw/master/csl-citation.json"}</w:instrText>
      </w:r>
      <w:r>
        <w:rPr>
          <w:rFonts w:ascii="Calibri" w:eastAsia="Calibri" w:hAnsi="Calibri" w:cs="Calibri"/>
        </w:rPr>
        <w:fldChar w:fldCharType="separate"/>
      </w:r>
      <w:r w:rsidRPr="00375DF8">
        <w:rPr>
          <w:rFonts w:ascii="Calibri" w:eastAsia="Calibri" w:hAnsi="Calibri" w:cs="Calibri"/>
          <w:noProof/>
        </w:rPr>
        <w:t>[63]</w:t>
      </w:r>
      <w:r>
        <w:rPr>
          <w:rFonts w:ascii="Calibri" w:eastAsia="Calibri" w:hAnsi="Calibri" w:cs="Calibri"/>
        </w:rPr>
        <w:fldChar w:fldCharType="end"/>
      </w:r>
      <w:r>
        <w:rPr>
          <w:rFonts w:ascii="Calibri" w:eastAsia="Calibri" w:hAnsi="Calibri" w:cs="Calibri"/>
        </w:rPr>
        <w:t xml:space="preserve">. </w:t>
      </w:r>
      <w:r w:rsidRPr="004654D6">
        <w:rPr>
          <w:rFonts w:ascii="Calibri" w:eastAsia="Calibri" w:hAnsi="Calibri" w:cs="Calibri"/>
        </w:rPr>
        <w:t>Unless there is a large decrease in price, scandium-based electrolytes are highly unlikely to be used as SOFC electrolytes.</w:t>
      </w:r>
    </w:p>
    <w:p w14:paraId="1E27DDFC" w14:textId="6C9BDBE0" w:rsidR="00007F6C" w:rsidRDefault="00007F6C" w:rsidP="00007F6C">
      <w:pPr>
        <w:spacing w:before="240"/>
        <w:jc w:val="both"/>
        <w:rPr>
          <w:rFonts w:ascii="Calibri" w:eastAsia="Calibri" w:hAnsi="Calibri" w:cs="Calibri"/>
        </w:rPr>
      </w:pPr>
      <w:r w:rsidRPr="004654D6">
        <w:rPr>
          <w:rFonts w:ascii="Calibri" w:eastAsia="Calibri" w:hAnsi="Calibri" w:cs="Calibri"/>
          <w:bCs/>
        </w:rPr>
        <w:t>Gadolinium-doped ceria (Ce</w:t>
      </w:r>
      <w:r w:rsidRPr="004654D6">
        <w:rPr>
          <w:rFonts w:ascii="Calibri" w:eastAsia="Calibri" w:hAnsi="Calibri" w:cs="Calibri"/>
          <w:bCs/>
          <w:vertAlign w:val="subscript"/>
        </w:rPr>
        <w:t>0.9</w:t>
      </w:r>
      <w:r w:rsidRPr="004654D6">
        <w:rPr>
          <w:rFonts w:ascii="Calibri" w:eastAsia="Calibri" w:hAnsi="Calibri" w:cs="Calibri"/>
          <w:bCs/>
        </w:rPr>
        <w:t>Gd</w:t>
      </w:r>
      <w:r w:rsidRPr="004654D6">
        <w:rPr>
          <w:rFonts w:ascii="Calibri" w:eastAsia="Calibri" w:hAnsi="Calibri" w:cs="Calibri"/>
          <w:bCs/>
          <w:vertAlign w:val="subscript"/>
        </w:rPr>
        <w:t>0.1</w:t>
      </w:r>
      <w:r w:rsidRPr="004654D6">
        <w:rPr>
          <w:rFonts w:ascii="Calibri" w:eastAsia="Calibri" w:hAnsi="Calibri" w:cs="Calibri"/>
          <w:bCs/>
        </w:rPr>
        <w:t>O</w:t>
      </w:r>
      <w:r w:rsidRPr="004654D6">
        <w:rPr>
          <w:rFonts w:ascii="Calibri" w:eastAsia="Calibri" w:hAnsi="Calibri" w:cs="Calibri"/>
          <w:bCs/>
          <w:vertAlign w:val="subscript"/>
        </w:rPr>
        <w:t>2-δ</w:t>
      </w:r>
      <w:r w:rsidRPr="004654D6">
        <w:rPr>
          <w:rFonts w:ascii="Calibri" w:eastAsia="Calibri" w:hAnsi="Calibri" w:cs="Calibri"/>
          <w:bCs/>
        </w:rPr>
        <w:t>, GDC) has been an electrolyte material of interest for SOFCs operating at intermediate temperatures (500-700</w:t>
      </w:r>
      <w:r w:rsidR="006E081D">
        <w:rPr>
          <w:rFonts w:ascii="Calibri" w:eastAsia="Calibri" w:hAnsi="Calibri" w:cs="Calibri"/>
          <w:bCs/>
        </w:rPr>
        <w:t xml:space="preserve"> </w:t>
      </w:r>
      <w:r w:rsidRPr="004654D6">
        <w:rPr>
          <w:rFonts w:ascii="Times New Roman" w:eastAsia="Calibri" w:hAnsi="Times New Roman" w:cs="Times New Roman"/>
          <w:bCs/>
        </w:rPr>
        <w:t>°</w:t>
      </w:r>
      <w:r w:rsidRPr="004654D6">
        <w:rPr>
          <w:rFonts w:ascii="Calibri" w:eastAsia="Calibri" w:hAnsi="Calibri" w:cs="Calibri"/>
          <w:bCs/>
        </w:rPr>
        <w:t>C)</w:t>
      </w:r>
      <w:r>
        <w:rPr>
          <w:rFonts w:ascii="Calibri" w:eastAsia="Calibri" w:hAnsi="Calibri" w:cs="Calibri"/>
          <w:bCs/>
        </w:rPr>
        <w:t xml:space="preserve"> </w:t>
      </w:r>
      <w:r>
        <w:rPr>
          <w:rFonts w:ascii="Calibri" w:eastAsia="Calibri" w:hAnsi="Calibri" w:cs="Calibri"/>
          <w:bCs/>
        </w:rPr>
        <w:fldChar w:fldCharType="begin" w:fldLock="1"/>
      </w:r>
      <w:r>
        <w:rPr>
          <w:rFonts w:ascii="Calibri" w:eastAsia="Calibri" w:hAnsi="Calibri" w:cs="Calibri"/>
          <w:bCs/>
        </w:rPr>
        <w:instrText xml:space="preserve">ADDIN CSL_CITATION {"citationItems":[{"id":"ITEM-1","itemData":{"DOI":"10.1039/c1ee02445k","ISSN":"17545692","abstract":"The 2012 Department of Energy (DOE) budget request significantly reduces fuel cell RD&amp;D funding and would cease to support the Solid State Energy Conversion Alliance (SECA), DOE's solid oxide fuel cell (SOFC) program. This would be a grave mistake considering the US's historic dominance in fuel cell RD&amp;D, exciting recent technological advancements in fuel cells, and clear positive market signals around the globe. In this paper we discuss DOE's energy RD&amp;D policy, how SOFCs address every key DOE strategy, and why recent advances should make SOFCs an integral part of our energy RD&amp;D policy. Moreover, we compare the prospects of low temperature SOFCs with the more common proton exchange membrane fuel cell (PEMFC) in the absence of a hydrogen infrastructure. © The Royal Society of Chemistry 2012.","author":[{"dropping-particle":"","family":"Wachsman","given":"Eric D.","non-dropping-particle":"","parse-names":false,"suffix":""},{"dropping-particle":"","family":"Marlowe","given":"Craig A.","non-dropping-particle":"","parse-names":false,"suffix":""},{"dropping-particle":"","family":"Lee","given":"Kang Taek","non-dropping-particle":"","parse-names":false,"suffix":""}],"container-title":"Energy and Environmental Science","id":"ITEM-1","issue":"2","issued":{"date-parts":[["2012"]]},"page":"5498-5509","title":"Role of solid oxide fuel cells in a balanced energy strategy","type":"article-journal","volume":"5"},"uris":["http://www.mendeley.com/documents/?uuid=4cb63338-bf7a-47f2-a752-19de48ac0023"]},{"id":"ITEM-2","itemData":{"DOI":"10.1039/c5ee03858h","ISBN":"1754-5692","ISSN":"17545706","abstract":"This article provides a perspective review of low-temperature solid oxide fuel cells research and development.This article provides a perspective on solid oxide fuel cells operating at low temperature, defined here to be the range from </w:instrText>
      </w:r>
      <w:r>
        <w:rPr>
          <w:rFonts w:ascii="Cambria Math" w:eastAsia="Calibri" w:hAnsi="Cambria Math" w:cs="Cambria Math"/>
          <w:bCs/>
        </w:rPr>
        <w:instrText>∼</w:instrText>
      </w:r>
      <w:r>
        <w:rPr>
          <w:rFonts w:ascii="Calibri" w:eastAsia="Calibri" w:hAnsi="Calibri" w:cs="Calibri"/>
          <w:bCs/>
        </w:rPr>
        <w:instrText>400 °C to 650 °C. These low-temperature solid oxide fuel cells (LT-SOFCs) have seen considerable research and development and are widely viewed as the “next generation” technology, following the 650–850 °C SOFCs that are currently undergoing commercialization. LT-SOFCs have potential advantages for conventional SOFC applications such as stationary power generation, and may be viable for new portable and transportation power applications, along with electrolytic fuel production and energy storage. The characteristics of electrolyte and electrode materials are reviewed, with a focus on materials that have demonstrated good properties and cell performance at low temperature. Only oxygen-ion-conducting electrolytes are considered here. Anode materials are discussed, primarily the various Ni–cermet anode compositions that yield good low-temperature performance. Mixed ionically and electronically conducting cathode materials are described in detail, reflecting the extensive research activity that has aimed at providing useful oxygen reduction kinetics at low operating temperature. Cell design, materials compatibility, processing methods, and resulting microstructures are discussed, along with their role in determining cell performance. Results from state of the art LT-SOFCs are presented, and future prospects are discussed.","author":[{"dropping-particle":"","family":"Gao","given":"Zhan","non-dropping-particle":"","parse-names":false,"suffix":""},{"dropping-particle":"V.","family":"Mogni","given":"Liliana","non-dropping-particle":"","parse-names":false,"suffix":""},{"dropping-particle":"","family":"Miller","given":"Elizabeth C.","non-dropping-particle":"","parse-names":false,"suffix":""},{"dropping-particle":"","family":"Railsback","given":"Justin G.","non-dropping-particle":"","parse-names":false,"suffix":""},{"dropping-particle":"","family":"Barnett","given":"Scott A.","non-dropping-particle":"","parse-names":false,"suffix":""}],"container-title":"Energy and Environmental Science","id":"ITEM-2","issue":"5","issued":{"date-parts":[["2016"]]},"language":"English","note":"From Duplicate 1 (A perspective on low-temperature solid oxide fuel cells - Gao, Zhan; Mogni, Liliana V.; Miller, Elizabeth C.; Railsback, Justin G.; Barnett, Scott A.)\n\nDl5tj\nTimes Cited:5\nCited References Count:505","page":"1602-1644","publisher":"Royal Society of Chemistry","title":"A perspective on low-temperature solid oxide fuel cells","type":"article-journal","volume":"9"},"uris":["http://www.mendeley.com/documents/?uuid=5fc03f81-2e33-4088-b94d-c3d65c8c64e1"]}],"mendeley":{"formattedCitation":"[3], [35]","plainTextFormattedCitation":"[3], [35]","previouslyFormattedCitation":"[3], [35]"},"properties":{"noteIndex":0},"schema":"https://github.com/citation-style-language/schema/raw/master/csl-citation.json"}</w:instrText>
      </w:r>
      <w:r>
        <w:rPr>
          <w:rFonts w:ascii="Calibri" w:eastAsia="Calibri" w:hAnsi="Calibri" w:cs="Calibri"/>
          <w:bCs/>
        </w:rPr>
        <w:fldChar w:fldCharType="separate"/>
      </w:r>
      <w:r w:rsidRPr="00FD168C">
        <w:rPr>
          <w:rFonts w:ascii="Calibri" w:eastAsia="Calibri" w:hAnsi="Calibri" w:cs="Calibri"/>
          <w:bCs/>
          <w:noProof/>
        </w:rPr>
        <w:t>[3], [35]</w:t>
      </w:r>
      <w:r>
        <w:rPr>
          <w:rFonts w:ascii="Calibri" w:eastAsia="Calibri" w:hAnsi="Calibri" w:cs="Calibri"/>
          <w:bCs/>
        </w:rPr>
        <w:fldChar w:fldCharType="end"/>
      </w:r>
      <w:r w:rsidRPr="004654D6">
        <w:rPr>
          <w:rFonts w:ascii="Calibri" w:eastAsia="Calibri" w:hAnsi="Calibri" w:cs="Calibri"/>
          <w:bCs/>
        </w:rPr>
        <w:t>. However, the dopants in these materials can be costly.  Gadolinium costs almost 10x times more than yttrium oxide and cerium oxide is also over 20</w:t>
      </w:r>
      <w:r w:rsidR="00FA6645">
        <w:rPr>
          <w:rFonts w:ascii="Calibri" w:eastAsia="Calibri" w:hAnsi="Calibri" w:cs="Calibri"/>
          <w:bCs/>
        </w:rPr>
        <w:t xml:space="preserve"> </w:t>
      </w:r>
      <w:r w:rsidRPr="004654D6">
        <w:rPr>
          <w:rFonts w:ascii="Calibri" w:eastAsia="Calibri" w:hAnsi="Calibri" w:cs="Calibri"/>
          <w:bCs/>
        </w:rPr>
        <w:t>% more expensive than yttrium oxide (</w:t>
      </w:r>
      <w:r w:rsidRPr="004654D6">
        <w:rPr>
          <w:rFonts w:ascii="Calibri" w:eastAsia="Calibri" w:hAnsi="Calibri" w:cs="Calibri"/>
        </w:rPr>
        <w:t xml:space="preserve">£33.43 </w:t>
      </w:r>
      <w:r w:rsidR="00FA6645">
        <w:rPr>
          <w:rFonts w:ascii="Calibri" w:eastAsia="Calibri" w:hAnsi="Calibri" w:cs="Calibri"/>
        </w:rPr>
        <w:t>/</w:t>
      </w:r>
      <w:r w:rsidRPr="004654D6">
        <w:rPr>
          <w:rFonts w:ascii="Calibri" w:eastAsia="Calibri" w:hAnsi="Calibri" w:cs="Calibri"/>
        </w:rPr>
        <w:t>kg</w:t>
      </w:r>
      <w:r w:rsidR="006E081D">
        <w:rPr>
          <w:rFonts w:ascii="Calibri" w:eastAsia="Calibri" w:hAnsi="Calibri" w:cs="Calibri"/>
        </w:rPr>
        <w:t xml:space="preserve"> Gd</w:t>
      </w:r>
      <w:r w:rsidRPr="004654D6">
        <w:rPr>
          <w:rFonts w:ascii="Calibri" w:eastAsia="Calibri" w:hAnsi="Calibri" w:cs="Calibri"/>
        </w:rPr>
        <w:t>; £4.25</w:t>
      </w:r>
      <w:r w:rsidR="006E081D">
        <w:rPr>
          <w:rFonts w:ascii="Calibri" w:eastAsia="Calibri" w:hAnsi="Calibri" w:cs="Calibri"/>
        </w:rPr>
        <w:t xml:space="preserve"> CeO</w:t>
      </w:r>
      <w:r w:rsidR="006E081D">
        <w:rPr>
          <w:rFonts w:ascii="Calibri" w:eastAsia="Calibri" w:hAnsi="Calibri" w:cs="Calibri"/>
          <w:vertAlign w:val="subscript"/>
        </w:rPr>
        <w:t>2</w:t>
      </w:r>
      <w:r w:rsidRPr="004654D6">
        <w:rPr>
          <w:rFonts w:ascii="Calibri" w:eastAsia="Calibri" w:hAnsi="Calibri" w:cs="Calibri"/>
        </w:rPr>
        <w:t xml:space="preserve"> </w:t>
      </w:r>
      <w:r w:rsidR="00FA6645">
        <w:rPr>
          <w:rFonts w:ascii="Calibri" w:eastAsia="Calibri" w:hAnsi="Calibri" w:cs="Calibri"/>
        </w:rPr>
        <w:t>/</w:t>
      </w:r>
      <w:r w:rsidRPr="004654D6">
        <w:rPr>
          <w:rFonts w:ascii="Calibri" w:eastAsia="Calibri" w:hAnsi="Calibri" w:cs="Calibri"/>
        </w:rPr>
        <w:t>kg)</w:t>
      </w:r>
      <w:r>
        <w:rPr>
          <w:rFonts w:ascii="Calibri" w:eastAsia="Calibri" w:hAnsi="Calibri" w:cs="Calibri"/>
        </w:rPr>
        <w:t xml:space="preserve"> </w:t>
      </w:r>
      <w:r>
        <w:rPr>
          <w:rFonts w:ascii="Calibri" w:eastAsia="Calibri" w:hAnsi="Calibri" w:cs="Calibri"/>
        </w:rPr>
        <w:fldChar w:fldCharType="begin" w:fldLock="1"/>
      </w:r>
      <w:r>
        <w:rPr>
          <w:rFonts w:ascii="Calibri" w:eastAsia="Calibri" w:hAnsi="Calibri" w:cs="Calibri"/>
        </w:rPr>
        <w:instrText xml:space="preserve">ADDIN CSL_CITATION {"citationItems":[{"id":"ITEM-1","itemData":{"URL":"http://mineralprices.com/","author":[{"dropping-particle":"","family":"LTD.","given":"MINERAL FUND ADVISORY P T Y","non-dropping-particle":"","parse-names":false,"suffix":""}],"container-title":"Global Mineral Prices","editor":[{"dropping-particle":"","family":"LTD.","given":"MINERAL FUND ADVISORY P T Y","non-dropping-particle":"","parse-names":false,"suffix":""}],"id":"ITEM-1","issue":"31/07/2017","issued":{"date-parts":[["2017"]]},"page":"Mineral Prices of metallic oxides","publisher":"MINERAL FUND ADVISORY PTY. LTD.","publisher-place":"Mineral Prices Website","title":"Global Mineral Prices","type":"webpage","volume":"2017"},"uris":["http://www.mendeley.com/documents/?uuid=0495fc46-001c-4e9a-a37f-f12f9285d7c2"]},{"id":"ITEM-2","itemData":{"DOI":"10.1039/c5ee03858h","ISBN":"1754-5692","ISSN":"17545706","abstract":"This article provides a perspective review of low-temperature solid oxide fuel cells research and development.This article provides a perspective on solid oxide fuel cells operating at low temperature, defined here to be the range from </w:instrText>
      </w:r>
      <w:r>
        <w:rPr>
          <w:rFonts w:ascii="Cambria Math" w:eastAsia="Calibri" w:hAnsi="Cambria Math" w:cs="Cambria Math"/>
        </w:rPr>
        <w:instrText>∼</w:instrText>
      </w:r>
      <w:r>
        <w:rPr>
          <w:rFonts w:ascii="Calibri" w:eastAsia="Calibri" w:hAnsi="Calibri" w:cs="Calibri"/>
        </w:rPr>
        <w:instrText>400 °C to 650 °C. These low-temperature solid oxide fuel cells (LT-SOFCs) have seen considerable research and development and are widely viewed as the “next generation” technology, following the 650–850 °C SOFCs that are currently undergoing commercialization. LT-SOFCs have potential advantages for conventional SOFC applications such as stationary power generation, and may be viable for new portable and transportation power applications, along with electrolytic fuel production and energy storage. The characteristics of electrolyte and electrode materials are reviewed, with a focus on materials that have demonstrated good properties and cell performance at low temperature. Only oxygen-ion-conducting electrolytes are considered here. Anode materials are discussed, primarily the various Ni–cermet anode compositions that yield good low-temperature performance. Mixed ionically and electronically conducting cathode materials are described in detail, reflecting the extensive research activity that has aimed at providing useful oxygen reduction kinetics at low operating temperature. Cell design, materials compatibility, processing methods, and resulting microstructures are discussed, along with their role in determining cell performance. Results from state of the art LT-SOFCs are presented, and future prospects are discussed.","author":[{"dropping-particle":"","family":"Gao","given":"Zhan","non-dropping-particle":"","parse-names":false,"suffix":""},{"dropping-particle":"V.","family":"Mogni","given":"Liliana","non-dropping-particle":"","parse-names":false,"suffix":""},{"dropping-particle":"","family":"Miller","given":"Elizabeth C.","non-dropping-particle":"","parse-names":false,"suffix":""},{"dropping-particle":"","family":"Railsback","given":"Justin G.","non-dropping-particle":"","parse-names":false,"suffix":""},{"dropping-particle":"","family":"Barnett","given":"Scott A.","non-dropping-particle":"","parse-names":false,"suffix":""}],"container-title":"Energy and Environmental Science","id":"ITEM-2","issue":"5","issued":{"date-parts":[["2016"]]},"language":"English","note":"From Duplicate 1 (A perspective on low-temperature solid oxide fuel cells - Gao, Zhan; Mogni, Liliana V.; Miller, Elizabeth C.; Railsback, Justin G.; Barnett, Scott A.)\n\nDl5tj\nTimes Cited:5\nCited References Count:505","page":"1602-1644","publisher":"Royal Society of Chemistry","title":"A perspective on low-temperature solid oxide fuel cells","type":"article-journal","volume":"9"},"uris":["http://www.mendeley.com/documents/?uuid=5fc03f81-2e33-4088-b94d-c3d65c8c64e1"]}],"mendeley":{"formattedCitation":"[35], [63]","plainTextFormattedCitation":"[35], [63]","previouslyFormattedCitation":"[35], [63]"},"properties":{"noteIndex":0},"schema":"https://github.com/citation-style-language/schema/raw/master/csl-citation.json"}</w:instrText>
      </w:r>
      <w:r>
        <w:rPr>
          <w:rFonts w:ascii="Calibri" w:eastAsia="Calibri" w:hAnsi="Calibri" w:cs="Calibri"/>
        </w:rPr>
        <w:fldChar w:fldCharType="separate"/>
      </w:r>
      <w:r w:rsidRPr="00FD168C">
        <w:rPr>
          <w:rFonts w:ascii="Calibri" w:eastAsia="Calibri" w:hAnsi="Calibri" w:cs="Calibri"/>
          <w:noProof/>
        </w:rPr>
        <w:t>[35], [63]</w:t>
      </w:r>
      <w:r>
        <w:rPr>
          <w:rFonts w:ascii="Calibri" w:eastAsia="Calibri" w:hAnsi="Calibri" w:cs="Calibri"/>
        </w:rPr>
        <w:fldChar w:fldCharType="end"/>
      </w:r>
      <w:r w:rsidRPr="004654D6">
        <w:rPr>
          <w:rFonts w:ascii="Calibri" w:eastAsia="Calibri" w:hAnsi="Calibri" w:cs="Calibri"/>
        </w:rPr>
        <w:t>. These concerns with costs are echoed in other doped ceria materials such as samarium-doped ceria.</w:t>
      </w:r>
    </w:p>
    <w:p w14:paraId="7A7BE0B0" w14:textId="77777777" w:rsidR="00007F6C" w:rsidRPr="004654D6" w:rsidRDefault="00007F6C" w:rsidP="00007F6C">
      <w:pPr>
        <w:pStyle w:val="Heading3"/>
      </w:pPr>
      <w:bookmarkStart w:id="36" w:name="_Toc69129355"/>
      <w:r w:rsidRPr="004654D6">
        <w:t>1.</w:t>
      </w:r>
      <w:r>
        <w:t>5</w:t>
      </w:r>
      <w:r w:rsidRPr="004654D6">
        <w:t>.2 Electrode</w:t>
      </w:r>
      <w:bookmarkEnd w:id="36"/>
    </w:p>
    <w:p w14:paraId="7D67BF76" w14:textId="06853EB4" w:rsidR="00007F6C" w:rsidRPr="004654D6" w:rsidRDefault="00007F6C" w:rsidP="00007F6C">
      <w:pPr>
        <w:jc w:val="both"/>
      </w:pPr>
      <w:r w:rsidRPr="004654D6">
        <w:t>The electrodes on both sides of the electrolyte have been a source of constant innovation in the SOFC research. This has been largely due to the discovery of cermets almost 50 years ago</w:t>
      </w:r>
      <w:r w:rsidR="00BF6616">
        <w:t xml:space="preserve"> </w:t>
      </w:r>
      <w:r>
        <w:fldChar w:fldCharType="begin" w:fldLock="1"/>
      </w:r>
      <w:r>
        <w:instrText>ADDIN CSL_CITATION {"citationItems":[{"id":"ITEM-1","itemData":{"DOI":"10.1038/nmat1040","ISBN":"1476-1122","ISSN":"14761122","PMID":"14704781","abstract":"Fuel cells will undoubtedly find widespread use in this new millennium in the conversion of chemical to electrical energy, as they offer very high efficiencies and have unique scalability in electricity-generation applications. The solid-oxide fuel cell (SOFC) is one of the most exciting of these energy technologies; it is an all-ceramic device that operates at temperatures in the range 500-1,000 degrees C. The SOFC offers certain advantages over lower temperature fuel cells, notably its ability to use carbon monoxide as a fuel rather than being poisoned by it, and the availability of high-grade exhaust heat for combined heat and power, or combined cycle gas-turbine applications. Although cost is clearly the most important barrier to widespread SOFC implementation, perhaps the most important technical barriers currently being addressed relate to the electrodes, particularly the fuel electrode or anode. In terms of mitigating global warming, the ability of the SOFC to use commonly available fuels at high efficiency, promises an effective and early reduction in carbon dioxide emissions, and hence is one of the lead new technologies for improving the environment. Here, we discuss recent developments of SOFC fuel electrodes that will enable the better use of readily available fuels.","author":[{"dropping-particle":"","family":"Atkinson","given":"A.","non-dropping-particle":"","parse-names":false,"suffix":""},{"dropping-particle":"","family":"Barnett","given":"S.","non-dropping-particle":"","parse-names":false,"suffix":""},{"dropping-particle":"","family":"Gorte","given":"R. J.","non-dropping-particle":"","parse-names":false,"suffix":""},{"dropping-particle":"","family":"Irvine","given":"J. T.S.","non-dropping-particle":"","parse-names":false,"suffix":""},{"dropping-particle":"","family":"McEvoy","given":"A. J.","non-dropping-particle":"","parse-names":false,"suffix":""},{"dropping-particle":"","family":"Mogensen","given":"M.","non-dropping-particle":"","parse-names":false,"suffix":""},{"dropping-particle":"","family":"Singhal","given":"S. C.","non-dropping-particle":"","parse-names":false,"suffix":""},{"dropping-particle":"","family":"Vohs","given":"J.","non-dropping-particle":"","parse-names":false,"suffix":""}],"container-title":"Nature Materials","id":"ITEM-1","issue":"1","issued":{"date-parts":[["2004"]]},"language":"English","note":"Cited By :951\nExport Date: 7 October 2016\nCorrespondence Address: Irvine, J.T.S.; School of Chemistry, University of St Andrews, St Andrews, Fife KY16 9ST, United Kingdom\nChemicals/CAS: hydrogen, 12385-13-6, 1333-74-0; Ceramics; Hydrogen, 1333-74-0; Metals\nReferences: Baur, E., Preis, H., Uber die Eisenoxyd-Kathode in der Kohle-Luft-Kette (1937) Z. Elektrochem., 43, p. 727; Möbius, H.-H., On the history of solid electrolyte fuel cells (1997) Solid State Electrochem., 1, p. 2; Spacil, H.S., (1970) Electrical Device Including Nickel-containing Stabilized Zirconia Electrode, , US Patent 3,558,360; Lee, J.H., Quantitative analysis of microstructure and its related electrical property of SOFC anode, Ni-YSZ cermet (2002) Solid State Ionics, 148, pp. 1-2; Toebes, M.L., Bitter, I.H., Van Dillen, A.J., De Jong, K.P., Impact of the structure and reactivity of nickel particles on the catalytic growth of carbon nanofibers (2002) Catal Today, 76, pp. 33-42; Sasaki, K., Teraoka, Y., Equilibria in fuel cell gases -I. Equilibrium compositions and reforming conditions (2003) J. Electrochem. Soc., 150, pp. A878-A884; Murray, E.P., Tsai, T., Barnett, S.A., A direct-methane fuel cell with a ceriabased anode (1999) Nature, 400, pp. 649-651; Mogensen, M., Jensen, K.V., Jorgensen, M.J., Primdahl, S., Progress in understanding SOFC electrodes (2002) Solid State Ionics, 150, pp. 123-129; Lu, X.Y., Faguy, P.W., Liu, M.I., In situ potential-dependent FTIR emission spectroscopy - A novel probe for high temperature fuel cell interfaces (2002) J. Electrochm. Sac., 149, pp. A1293-A1298; Bernardo, C.A., Alstrup, I., Rostrupnielsen, J.R., Carbon deposition and methane steam reforming on silica-supported Ni-Cu catalysts (1985) J. Catal., 96, pp. 517-534; Dong, W.S., Roh, H.S., Jun, K.W., Park, S.E., Oh, Y.S., Methane reforming over Ni/Ce-ZrO2 catalysts: Effect of nickel content (2002) Appl. Catal. A, 226, pp. 63-72; Bunluesin, T., Gorte, R.J., Graham, G.W., Studies of the water-gas-shift reaction on ceria-supported Pt, Pd, and Rh: Implications for oxygen-storage properties (1998) Appl. Catal. B, 15, pp. 107-114; Sharma, S., Hilaire, S., Vohs, J.M., Gorte, R.J., Jen, H.W., Evidence for oxidation of ceria by CO2 (2000) J. Catal., 199, pp. 199-204; Ramirez-Cabrera, E., Atkinson, A., Chadwick, D., The influence of point defects on the resistance of ceria to carbon deposition in hydrocarbon catalysis (2000) Solid State Ionics, 136, pp. 825-831; Marina, O.A., Mogensen, M., High-temperature conversion of methane on a composite gadolinia-doped ceria-gold electrode (1999) Appl. Catal. A, 189, pp. 117-126; Park, S.D., Vohs, J.M., Gorte, R.J., Direct oxidation of hydrocarbons in a solid-oxide fuel cell (2000) Nature, 404, pp. 265-267; Kiratzis, N., Holtappels, P., Hatchwell, C.E., Mogensen, M., Irvine, J.T.S., Preparation and characterisation of copper/yttria titania zirconia cermets for use as possible solid oxide fuel cell anodes (2001) Fuel Cells, 1, pp. 211-218; Kim, H., Park, S., Vohs, J.M., Gorte, R.J., Direct oxidation of liquid fuels in a solid oxide fuel cell (2001) J. Electrochem. Soc., 148, pp. A693-A695; Minh, N.Q., Ceramic fuel-cells (1993) J. Am. Ceram. Soc., 76, pp. 563-588; Yokokawa, H., Sakai, N., Kawada, T., Dokiya, M., Thermodynamic stabilities of perovskite oxides for electrodes and other electrochemical materials (1992) Solid State Ionics, 52, pp. 43-56; Pudmich, G., Chromite/titanate based perovskites for application as anodes in solid oxide fuel cells (2000) Solid State Ionics, 135, pp. 433-438; Tao, S., Irvine, J.T.S., A redox-stable, efficient anode for solid-oxide fuel cells (2003) Nature Mater., 2, pp. 320-323; Vernoux, P., Guillodo, M., Fouletier, J., Hammou, A., Alternative anode materials for gradual methane reforming in solid oxide fuel cells (2000) Solid State Ionics, 133, pp. 425-431; Sfeir, J., Lanthanum chromite based catalysts for oxidation of methane directly on SOFC anode (2001) J. Catal., 202, pp. 229-244; Sfeir, J., Van Herle, J., Vasquez, R., (2002) Proc. 5th European Solid Oxide Fuel Cell Forum, pp. 570-577. , ed. Huijsmans J. (European SOFC Forum, Switzerland); Sauvet, A.L., Irvine, J.T.S., (2002) Proc. 5th European Solid Oxide Fuel Cell Forum, pp. 490-498. , ed. Huijsmans J. (European SOFC Forum, Switzerland); Slater, P.R., Fagg, D.P., Irvine, J.T.S., Synthesis and electrical characterisation of the doped perovskite titanates as potential anode materials for solid oxide fuel cells (1997) J. Mater. Chem., 7, pp. 2495-2498; Hui, S.Q., Petric, A., Electrical properties of yttrium-doped strontium titanate under reducing conditions (2002) J. Electrochem. Soc., 149, pp. J1-J10; Marina, O.A., Pederson, L.R., (2002) Proc. 5th European Solid Oxide Fuel Cell Forum, pp. 481-489. , ed. Huijimans, J. (European SOFC Forum, Switzerland); Canales-Vázquez, J., Tao, S.W., Irvine, J.T.S., (2003) Electrical Properties in La2Sr4Ti6O 19-d: A Potential Anode for High Temperature Fuel Cells Solid State Ionics, 159, pp. 159-165; Reich, C., Kaiser, A., Irvine, J.T.S., (2001) Niobia Based Rutile Materials as Sofc Anodes, Fuel Cells - from Fundamentals to Systems, 1, pp. 249-255; Ramos, T., Atkinson, A., (2001) Ionic and Mixed Conducting Ceramics IV, PV2001-28, pp. 352-367. , eds Ramanarayanan, T. A., Worrell, W. L. &amp;amp; Mogensen, M. (Electrochemical Scociety Proceedings); Steele, B.C.H., Appraisal of Ce1-yGdyO2-y/2electrolytes for IT-SOFC operation at 500° C (2000) Solid State Ionics, 129, pp. 95-110; Wang, S.R., Kobayashi, T., Dokiya, M., Hashimoto, T., Electrical and ionic conductivity of Gd-doped ceria (2000) J. Electrochem. Soc., 147, pp. 3606-3609; Floyd, J.M., Interpretation of transport phenomena in non-stoichiometric ceria (1972) J. Ind. Technol., pp. 275-280; Tao, S., Irvine, J.T.S., Optimization of mixed conducting properties of Y2O 3ZrO2-TiO2 and Sc2O 3-Y2O3-ZrO2-TiO2 solid solutions as potential SOFC anode materials (2002) J. Solid State Chem., 165, pp. 12-18; Sauvet, A.-L., Fouletier, J., Catalytic properties of new anode materials for solid oxide fuel cells operated under methane at intermediary temperature (2001) J. Power Sources, 101, pp. 259-266; Sprague, J.J., Tuller, H.L., Mixed ionic and electronic conduction in Mn/Mo doped gadolinium titanate (1999) J. Europ. Ceram. Soc., 19, pp. 803-806; Holtappels, P., Poulsen, F.W., Mogensen, M., Electrical conductivities and chemical stabilities of mixed conducting pyrochlores for SOFC applications (2000) Solid State Ionics, 135, pp. 675-679; McIntosh, S., Vohs, J.M., Gorte, R.J., Role of hydrocarbon deposits in the enhanced performance of direct-oxidation SOFCs (2003) J. Electrochem. Soc., 150, pp. A470-A476; Lu, C., Worrell, W.L., Vohs, J.M., Gorte, R.J., (2003) Solid Oxide Fuel Cells VIII, 7, pp. 773-780. , eds Singhal. S. C. &amp;amp; Dokiya, M., (Electrochemical Society Proceedings); Lu, C., Worrell, W.L., Gorte, R.J., Vohs, J.M., SOFCs for direct oxidation of hydrocarbon fuels with samaria-doped ceria Electrolyte (2003) J. Electrochem, Soc., 150, pp. A354-A358; Sfeir, J., (2001) Alternative Anode Materials for Methane Oxidation in Solid Oxide Fuel Cells, , Thesis, Ecole Polytechnique Fédérale de Lausanne, Switzerland; Liu, J., Madsen, B.D., Ji, Z.Q., Barnett, S.A., A fuel-flexible ceramic-based anode for solid oxide fuel cells (2002) Electrochem. Solid State Lett., 5, pp. A122-A124; Sauvet, A.L., Fouletier, J., Electrochemical properties of a new type of anode material La 1-xSrxCr1-yRuyO3-δ for SOFC under hydrogen and methane at intermediate temperatures (2001) Electrochim. Acta, 47, pp. 987-995; Vernoux, P., Guindet, J., Kleitz, M., Gradual internal methane reforming in intermediate-temperature solid-oxide fuel cells (1998) J. Electrochem. Soc., 145, pp. 3487-3492; Skarmoutsos, D., Teitz, F., Nikolopoulos, P., Structure - Property relationships of Ni/YSZ and Ni/(YSZ+TiO2) cermets (2001) Fuel Cells, 1, pp. 243-248; Holtappels, P., (1997) Electrocatalysis on Nickel-cermet E,lectrodes Jülich, , Research Centre Report number 3414, and Thesis, Univ. Bonn; Kiratzis, N., Holtappels, P., Hatchwell, C.E., Mogensen, M., Irvine, J.T.S., Preparation and characterisation of copper/yttria titania zirconia cermets for use as possible solid oxide fuel cell anodes (2001) Fuel Cells, 1, pp. 211-218","page":"17-27","title":"Advanced anodes for high-temperature fuel cells","type":"article-journal","volume":"3"},"uris":["http://www.mendeley.com/documents/?uuid=5b7491b8-7a88-4fb4-aaf6-a24df77a007d"]}],"mendeley":{"formattedCitation":"[57]","plainTextFormattedCitation":"[57]","previouslyFormattedCitation":"[57]"},"properties":{"noteIndex":0},"schema":"https://github.com/citation-style-language/schema/raw/master/csl-citation.json"}</w:instrText>
      </w:r>
      <w:r>
        <w:fldChar w:fldCharType="separate"/>
      </w:r>
      <w:r w:rsidRPr="00375DF8">
        <w:rPr>
          <w:noProof/>
        </w:rPr>
        <w:t>[57]</w:t>
      </w:r>
      <w:r>
        <w:fldChar w:fldCharType="end"/>
      </w:r>
      <w:r w:rsidRPr="004654D6">
        <w:t>.</w:t>
      </w:r>
      <w:r>
        <w:t xml:space="preserve"> </w:t>
      </w:r>
      <w:r w:rsidRPr="004654D6">
        <w:t>Cermets consist of metallic particles embedded in a ceramic matrix this system possesses much improved gas percolation routes (due to the presence of pores) consequently improves the percolation of incident gases through the scaffold</w:t>
      </w:r>
      <w:r>
        <w:t xml:space="preserve"> </w:t>
      </w:r>
      <w:r>
        <w:fldChar w:fldCharType="begin" w:fldLock="1"/>
      </w:r>
      <w:r>
        <w:instrText>ADDIN CSL_CITATION {"citationItems":[{"id":"ITEM-1","itemData":{"DOI":"10.1016/j.cocis.2009.04.006","ISBN":"1359-0294","ISSN":"13590294","abstract":"Solid oxide fuel cells (SOFC) have much promise as efficient devices for the direct conversion of the energy stored in chemical fuels into electricity. The development of highly robust SOFC that can operate on a range of fuels, however, requires improvements in the electrodes, especially the anode, where nanoscale engineering of the structure is required in order to maximize the number of sites where the electrochemical reactions take place. In this article we review the approaches that are currently being used to improve anode performance and microstructure with a focus on new materials and synthesis techniques. © 2009 Elsevier Ltd. All rights reserved.","author":[{"dropping-particle":"","family":"Gorte","given":"R. J.","non-dropping-particle":"","parse-names":false,"suffix":""},{"dropping-particle":"","family":"Vohs","given":"J. M.","non-dropping-particle":"","parse-names":false,"suffix":""}],"container-title":"Current Opinion in Colloid and Interface Science","id":"ITEM-1","issue":"4","issued":{"date-parts":[["2009"]]},"page":"236-244","title":"Nanostructured anodes for solid oxide fuel cells","type":"article-journal","volume":"14"},"uris":["http://www.mendeley.com/documents/?uuid=b9a8daad-d683-45ae-80ee-8663226563a5"]}],"mendeley":{"formattedCitation":"[64]","plainTextFormattedCitation":"[64]","previouslyFormattedCitation":"[64]"},"properties":{"noteIndex":0},"schema":"https://github.com/citation-style-language/schema/raw/master/csl-citation.json"}</w:instrText>
      </w:r>
      <w:r>
        <w:fldChar w:fldCharType="separate"/>
      </w:r>
      <w:r w:rsidRPr="00375DF8">
        <w:rPr>
          <w:noProof/>
        </w:rPr>
        <w:t>[64]</w:t>
      </w:r>
      <w:r>
        <w:fldChar w:fldCharType="end"/>
      </w:r>
      <w:r w:rsidRPr="004654D6">
        <w:t>.</w:t>
      </w:r>
      <w:r>
        <w:t xml:space="preserve"> </w:t>
      </w:r>
      <w:r w:rsidRPr="004654D6">
        <w:t xml:space="preserve">These materials dramatically changed the SOFC electrode landscape as mixed ionic and electronic conduction (MIECs) were now key electrode property. Additionally, adding the electrolyte material a key electrode component has helped reduce mechanical stresses originating </w:t>
      </w:r>
      <w:r>
        <w:t>from</w:t>
      </w:r>
      <w:r w:rsidRPr="004654D6">
        <w:t xml:space="preserve"> thermal expansion coefficient mismatch</w:t>
      </w:r>
      <w:r>
        <w:t xml:space="preserve"> </w:t>
      </w:r>
      <w:r>
        <w:fldChar w:fldCharType="begin" w:fldLock="1"/>
      </w:r>
      <w:r>
        <w:instrText>ADDIN CSL_CITATION {"citationItems":[{"id":"ITEM-1","itemData":{"DOI":"10.1016/j.apcata.2008.11.004","ISSN":"0926860X","abstract":"Porous Ni/YSZ cermets (YSZ: yttria stabilized zirconia) have been extensively studied as anodes for solid oxide fuel cells (SOFCs) due to its low cost, high electrical conductivity, chemical stability, and thermal expansion coefficient close to that of YSZ-electrolyte. The properties of these anodes are highly dependent on the particle size and microstructure of the cermet. In the present work, Ni/YSZ cermet was prepared with 30 wt% of NiO by two different routes, co-precipitation (CP) and combustion (CB), and calcination at 600, 800 and 1000 °C. The prepared cermets were characterized by X-ray diffraction (XRD), scanning electron microscopy (SEM) and temperature programmed reduction (TPR). The mean crystallite size of NiO is smaller for CB samples (20-33 nm), showing a higher Ni dispersion of these systems. Also, CB samples presented a more homogeneous particle size distribution, mainly at high calcination temperatures. The cermets also presented good catalytic activity and stability at 900 °C in steam reforming of methane, showing high resistance to coke deposition and to sintering of metallic particles. © 2008 Elsevier B.V. All rights reserved.","author":[{"dropping-particle":"","family":"Ribeiro","given":"Nielson F.P.","non-dropping-particle":"","parse-names":false,"suffix":""},{"dropping-particle":"","family":"Souza","given":"Mariana M.V.M.","non-dropping-particle":"","parse-names":false,"suffix":""},{"dropping-particle":"","family":"Neto","given":"Octávio R.Macedo","non-dropping-particle":"","parse-names":false,"suffix":""},{"dropping-particle":"","family":"Vasconcelos","given":"Sônia M.R.","non-dropping-particle":"","parse-names":false,"suffix":""},{"dropping-particle":"","family":"Schmal","given":"Martin","non-dropping-particle":"","parse-names":false,"suffix":""}],"container-title":"Applied Catalysis A: General","id":"ITEM-1","issue":"2","issued":{"date-parts":[["2009"]]},"page":"305-309","title":"Investigating the microstructure and catalytic properties of Ni/YSZ cermets as anodes for SOFC applications","type":"article-journal","volume":"353"},"uris":["http://www.mendeley.com/documents/?uuid=30e3927c-38f7-44de-8216-11cfd6c0966e"]},{"id":"ITEM-2","itemData":{"DOI":"10.1016/j.pmatsci.2015.01.001","ISBN":"0079-6425","ISSN":"00796425","PMID":"25653388","abstract":"Solid oxide fuel cells (SOFC) have emerged as energy conversion devices in achieving high efficiency of over 70% with regeneration. The critical components of SOFC include anode, electrolyte, and cathode. However, for a stack of individual SOFCs, the evaluation of sealants and interconnects are also essential. In this review article, material selection, fundamentals of operation and underlying mechanisms, processing, microstructural and phase characterization, and the functionality and performance of individual SOFC components are presented in detail. The major challenges and complexity in functional section of SOFC include: (i) poisoning via sulfur and coke deposition, surface diffusion of adsorbate, and charge transfer at triple-phase boundary (TPB) in anode, (ii) hindered O&lt;sup&gt;2-&lt;/sup&gt; migration that converts chemical energy into electrical energy in the solid electrolyte (thus, the creation of ion transfer channels, ease of O&lt;sup&gt;2-&lt;/sup&gt; migration, dissociation of vacancy around dopants, straining of lattice, and other factors such as control of phase and its distribution, grain and grain boundary conductivity, become critical in designing the electrolytes for SOFCs), (iii) multiple rate determining factors such as geometry of active surfaces, and existence of overpotential, in cathode (thereby, comprehensive electrochemical impedance spectroscopy is required for the analysis of solid cathodes in SOFC), (iv) chemical incompatibility and instability in both oxidizing and reducing environments while matching the coefficient of thermal expansion (CTE) in the interconnects in order to sustain large number of thermal cycling during the operation of SOFC, and (v) isolation of the fuel and oxidizing gases while matching the CTE of the anode, cathode and interconnects, using sealant. Moreover, the glass-transition of sealant dictates the maximum allowable working temperature of SOFC. Thus, the necessitated temporal progress in material selection along with a detailed insight into the conceptual role of thermodynamics and kinetics of surface/cell reactions, effect of phases and microstructure on conductivity, fuel flexibility and deterioration in performance of individual fuel cell components, and evolution of new materials are coherently presented. This article provides a comprehensive review with respect to the structure, chemistry, design and selection of materials, underlying mechanisms, and performance of each SOFC component, and it opens up the futur…","author":[{"dropping-particle":"","family":"Mahato","given":"Neelima","non-dropping-particle":"","parse-names":false,"suffix":""},{"dropping-particle":"","family":"Banerjee","given":"Amitava","non-dropping-particle":"","parse-names":false,"suffix":""},{"dropping-particle":"","family":"Gupta","given":"Alka","non-dropping-particle":"","parse-names":false,"suffix":""},{"dropping-particle":"","family":"Omar","given":"Shobit","non-dropping-particle":"","parse-names":false,"suffix":""},{"dropping-particle":"","family":"Balani","given":"Kantesh","non-dropping-particle":"","parse-names":false,"suffix":""}],"container-title":"Progress in Materials Science","id":"ITEM-2","issued":{"date-parts":[["2015"]]},"page":"141-337","title":"Progress in material selection for solid oxide fuel cell technology: A review","type":"article-journal","volume":"72"},"uris":["http://www.mendeley.com/documents/?uuid=64bcccbb-1f4d-426c-8c8c-3479994e7afd"]}],"mendeley":{"formattedCitation":"[25], [65]","plainTextFormattedCitation":"[25], [65]","previouslyFormattedCitation":"[25], [65]"},"properties":{"noteIndex":0},"schema":"https://github.com/citation-style-language/schema/raw/master/csl-citation.json"}</w:instrText>
      </w:r>
      <w:r>
        <w:fldChar w:fldCharType="separate"/>
      </w:r>
      <w:r w:rsidRPr="00375DF8">
        <w:rPr>
          <w:noProof/>
        </w:rPr>
        <w:t>[25], [65]</w:t>
      </w:r>
      <w:r>
        <w:fldChar w:fldCharType="end"/>
      </w:r>
      <w:r w:rsidRPr="004654D6">
        <w:t>.</w:t>
      </w:r>
    </w:p>
    <w:p w14:paraId="10291811" w14:textId="436CD498" w:rsidR="00007F6C" w:rsidRDefault="00007F6C" w:rsidP="00007F6C">
      <w:pPr>
        <w:spacing w:before="240"/>
        <w:jc w:val="both"/>
      </w:pPr>
      <w:r w:rsidRPr="004654D6">
        <w:t xml:space="preserve">Co-sintering is the most popular method of fabricating cermet materials. This product method revolves around either the mixing of two constituent powders or combining these powders with pore formers. In the case of Ni/YSZ anodes, </w:t>
      </w:r>
      <w:proofErr w:type="spellStart"/>
      <w:r w:rsidRPr="004654D6">
        <w:t>NiO</w:t>
      </w:r>
      <w:proofErr w:type="spellEnd"/>
      <w:r w:rsidRPr="004654D6">
        <w:t xml:space="preserve"> granules are reduced to Ni catalyst particles on surface of the Y</w:t>
      </w:r>
      <w:r w:rsidRPr="004654D6">
        <w:rPr>
          <w:vertAlign w:val="subscript"/>
        </w:rPr>
        <w:t>2</w:t>
      </w:r>
      <w:r w:rsidRPr="004654D6">
        <w:t>O</w:t>
      </w:r>
      <w:r w:rsidRPr="004654D6">
        <w:rPr>
          <w:vertAlign w:val="subscript"/>
        </w:rPr>
        <w:t>3</w:t>
      </w:r>
      <w:r w:rsidRPr="004654D6">
        <w:t>-ZrO</w:t>
      </w:r>
      <w:r w:rsidRPr="004654D6">
        <w:rPr>
          <w:vertAlign w:val="subscript"/>
        </w:rPr>
        <w:t>2</w:t>
      </w:r>
      <w:r w:rsidRPr="004654D6">
        <w:t>. However, this process is done at 1000</w:t>
      </w:r>
      <w:r w:rsidR="007302AC">
        <w:t xml:space="preserve"> </w:t>
      </w:r>
      <w:r w:rsidRPr="004654D6">
        <w:rPr>
          <w:rFonts w:cstheme="minorHAnsi"/>
        </w:rPr>
        <w:t>°</w:t>
      </w:r>
      <w:r w:rsidRPr="004654D6">
        <w:t>C and earlier sintering steps are done at temperatures up to 1400</w:t>
      </w:r>
      <w:r w:rsidR="007302AC">
        <w:t xml:space="preserve"> </w:t>
      </w:r>
      <w:r w:rsidRPr="004654D6">
        <w:rPr>
          <w:rFonts w:cstheme="minorHAnsi"/>
        </w:rPr>
        <w:t>°</w:t>
      </w:r>
      <w:r w:rsidRPr="004654D6">
        <w:t>C</w:t>
      </w:r>
      <w:r>
        <w:t xml:space="preserve"> </w:t>
      </w:r>
      <w:r>
        <w:fldChar w:fldCharType="begin" w:fldLock="1"/>
      </w:r>
      <w:r>
        <w:instrText>ADDIN CSL_CITATION {"citationItems":[{"id":"ITEM-1","itemData":{"DOI":"10.1111/j.1151-2916.1993.tb03645.x","ISBN":"00027820 (ISSN)","abstract":"A ceramic fuel cell in an all solid‐state energy conversion device that produces electricity by electrochemically combining fuel and oxidant gases across an ionic conducting oxide. Current ceramic fuel cells use an oxygen‐ion conductor or a proton conductor as the electrolyte and operate at high temperatures (&gt;600°C). Ceramic fuel cells, commonly referred to as solid‐oxide fuel cells (SOFCs), are presently under development for a variety of power generation applications. This paper reviews the science and technology of ceramic fuel cells and discusses the critical issues posed by the development of this type of fuel cell. The emphasis is given to the discussion of component materials (especially, ZrO2 electrolyte, nickel/ZrO2 cermet anode, LaMnO3 cathode, and LaCrO3 interconnect), gas reactions at the electrodes, stack designs, and processing techniques used in the fabrication of required ceramic structures. Copyright © 1993, Wiley Blackwell. All rights reserved","author":[{"dropping-particle":"","family":"Minh","given":"N Q","non-dropping-particle":"","parse-names":false,"suffix":""}],"container-title":"Journal of the American Ceramic Society","id":"ITEM-1","issue":"3","issued":{"date-parts":[["1993"]]},"language":"English","note":"Cited By :3099\nExport Date: 30 November 2016\nCorrespondence Address: Minh, N.Q.; AiResearch Los Angeles Division, Allied-Signal Aerospace Company, Torrance, California, 90504-6099, United States\nReferences: Grove, W.R., On Voltaic Series and the Combination of Gases by Platinum (1839) Philos. Mag., 14, pp. 127-130; Nernst, W., Uber Die Elektrolytische Leitung Fester Körper Bei Sehr Hohen Temperaturen (1899) Z. Elektrochem., 6, pp. 41-43; Baur, E., Preis, H., Uber Brennstoff‐Ketten Mit Festleitern (1937) Z. Elektrochem., 43, pp. 727-732; Minh, N.Q., High‐Temperature Fuel Cells. Part 2: The Solid Oxide Cell (1991) CHEMTECH, 21, pp. 120-126; (1981) Science and Technology of Zirconia, 3. , Edited by, A. H. Heuer, L. W. Hobbs, American Ceramic Society, Columbus, OH; (1984) Science and Technology of Zirconia II, 12. , Edited by, N. Claussen, M. Rühle, A. H. Heuer, American Ceramic Society, Columbus, OH; (1988) Science and Technology of Zirconia III, 24. , Edited by, S. Somiya, N. Yamamoto, H. Yanagida, American Ceramic Society, Westerville, OH; Stevens, R., (1986) An Introduction to Zirconia, , Magnesium Elektron, London, U.K; Etsell, T.H., Flengas, S.N., The Electrical Properties of Solid Oxide Electrolytes (1970) Chem. Rev., 70, pp. 339-376; Subbarao, E.C., Maiti, H.S., Solid Electrolytes with Oxygen Ion Conduction (1984) Solid State Ionics, 11, pp. 317-338; Patterson, J.W., Borgen, E.C., Rapp, R.A., Mixed Conduction in Zr0.85Ca0.15O1.85 and Th0.85Y0.15O1.85 Solid Electrolytes (1967) Journal of The Electrochemical Society, 114, pp. 752-758; Baumard, J.F., Abelard, P., , pp. 555-571. , “Defect Structure and Transport Properties of ZrO2‐Based Solid Electrolytes”; see Ref. 6, ppChoudhary, C.B., Maiti, H.S., Subbarao, E.C., Detect Structure and Transport Properties (1980) Solid Electrolytes and Their Applications, pp. 1-80. , Edited by, E. C. Subbarao, Plenum Press, New York; Badwal, S.P.S., Hughes, A.E., Modification of Cell Characteristics by Segregated Impurities (1991) Proceedings of the Second International Symposium on Solid Oxide Fuel Cells, pp. 445-454. , Edited by, F. Gross, P. Zegers, S. C. Singhal, O. Yamamoto, Commission of The European Communities, Luxembourg; Bauerle, J.E., Study of Solid Electrolyte Polarization by a Complex Admittance Method (1969) J. Phys. Chem. Solids, 30, pp. 2657-2670; Kleitz, M., Bernard, H., Fernandez, E., Schouler, E., , pp. 310-336. , “Impedance Spectroscopy and Electrical Resistance Measurements on Stabilized Zirconia”; see Ref. 5, ppVerkerk, M.J., Middelhuis, B.J., Burggraaf, A.J., Effect of Grain Boundaries on the Conductivity of High‐Purity ZrO2–Y2O3 Ceramics (1982) Solid State Ionics, 6, pp. 159-170; Butler, E.P., Slotwinski, R.K., Bonanos, N., Drennan, J., Steele, B.C.H., , pp. 572-584. , “Microstructural–Electrical Property Relationships in High‐Conductivity Zirconias”; see Ref. 6, ppBaukal, W., Solid Oxide Electrolyte with Time‐Dependent Conductivity (1972) From Electrocatalysis to Fuel Cells, pp. 247-254. , Edited by, G. Sandstede, University of Washington Press, Seattle, WA; Suzuki, Y., Shimada, A., Senda, S., Time‐Dependent Change in Electrical Resistivity of Polycrystalline YSZ and CSZ (1990) Solid State Ionics, 42, pp. 121-125; Badwal, S.P.S., Drennan, J., Yttria–Zirconia: Effect of Microstructure on Conductivity (1987) J. Mater. Sci., 22, pp. 3231-3239; Ciftcioglu, M., Mayo, M.J., (1990), “Processing of Nanocrystalline Ceramics”; presented at the Spring Meeting of the Materials Research Society, San Francisco, CA, April 16–21, 1990. Rept. No. DE90–015700, SAND‐90–1639C, CONF‐900466–78, National Technical Information Service, Alexandria, VAScott, C.E., Reed, J.S., Analysis of Cl‐ Ions Laundered from Submicron Zirconia Powders (1978) Am. Ceram. Soc. Bull., 57, pp. 741-743; Scott, C.E., Reed, J.S., Effect of Laundering and Milling on the Sintering Behavior of Stabilized ZrO2 Powders (1979) Am. Ceram. Soc. Bull., 58, pp. 587-590; Evans, A.G., The New High‐Toughness Ceramics (1989) Fracture Mechanics: Perspective and Directions, pp. 267-291. , (Twentieth Symposium), ASTM STP 1020. Edited by, R. P. Wei, R. P. Gangloff, American Society for Testing and Materials, Philadelphia, PA; Singh, J.P., Bosak, A.L., Dees, D.W., McPheeters, C.C., Improved Fracture Toughness of ZrO2 Electrolyte for Solid Oxide Fuel Cell (1988) 1988 Fuel Cell Seminar Abstracts, pp. 145-148. , (Long Beach, CA, Oct. 23–26, 1988)., Courtesy Associates, Washington, DC; Ishizaki, F., Yoshida, T., Sakurada, S., Effect of Alumina Addition on the Electrical Properties of Yttria‐Doped Zirconia (1989) Proceedings of the First International Symposium on Solid Oxide Fuel Cells, pp. 3-14. , Edited by, S. C. Singhal, The Electrochemical Society, Pennington, NJ; Hernandez, M.T., Jurado, J.R., Duran, P., , pp. 421-428. , “Effect of Al2O3, Additions on the Electrical Properties of ZrO2–Y2O3 and ZrO2–Y2O3–CeO2 Electrolytes”; see Ref. 14, ppYamamoto, O., Takeda, Y., Imanishi, N., Kawahara, T., Shen, G.Q., Mori, M., Abe, T., , pp. 437-444. , “Electrical and Mechanical Properties of Zirconia–Alumina Composite Electrolyte”; see Ref. 14, ppDuran, P., Jurado, J.R., Moure, C., Hernandez, M.T., Capel, F., , pp. 401-407. , “Improvement of the Mechanical Properties of Yttria‐Stabilized Zirconia Electrolyte”; see Ref. 14, ppWeppner, W., Tetragonal Zirconia for Solid Oxide Fuel Cells (1990) Proceedings of the International Symposium on Solid Oxide Fuel Cells, pp. 83-89. , Edited by, O. Yamamoto, M. Dokiya, H. Tagawa, Science House, Tokyo, Japan; Yoshida, T., Hoshina, T., Mukaizawa, I., Sakurada, S., Properties of Partially Stabilized Zirconia Fuel Cell (1989) J. Electrochem. Soc., 136, pp. 2604-2606; Yamamoto, O., Takeda, Y., Kanno, R., Kohno, K., Electrical Conductivity of Tetragonal Stabilized Zirconia (1990) J. Mater. Sci., 25, pp. 2805-2808; Sato, T., Shimada, M., Crystalline Phase Changes in Yttria‐Partially‐Stabilized Zirconia by Low‐Temperature Annealing (1984) J. Am. Ceram. Soc., 67 (10), pp. 212-213; Subbarao, E.C., Maiti, H.S., , pp. 731-747. , “Oxygen Sensors and Pumps”; see Ref. 7, ppVlasov, A.N., Perfiliev, M.V., Ageing of ZrO2‐Based Solid Electrolytes (1987) Solid State Ionics, 25, pp. 245-253; Takahashi, T., Iwahara, H., Nagai, Y., High Oxide Conduction in Sintered Bi2O3 Containing SrO, CaO, or La2O3 (1972) J. Appl. Electrochem., 2, pp. 97-104; Miyayama, M., Nishi, T., Yanagida, H., Oxygen Ionic Conduction in Y2O3‐Stabilized Bi2O3 and ZrO2 Composites (1987) J. Mater. Sci., 22, pp. 2624-2628; Verkerk, M.J., Keizer, K., Burggraaf, A.J., High Oxygen Ion Conduction in Sintered Oxides of Bi2O3–Er2O3 System (1980) J. Appl. Electrochem., 10, pp. 81-90; Takahashi, T., Esaka, T., Iwahara, H., Conduction of Bi2O3‐Based Oxide Ion Conductor Under Low Oxygen Pressure. II. Determination of the Partial Electronic Conductivity (1977) J. Appl. Electrochem., 7, pp. 303-308; Blumenthal, R.N., Brugner, F.S., Garnier, J.E., The Electrical Conductivity of CaO‐Doped Nonstoichiometric Cerium Oxide from 700° to 1500°C (1973) J. Electrochem. Soc., 120, pp. 1230-1237; Tuller, H.L., Nowick, A.S., Doped Ceria as a Solid Oxide Electrolyte (1975) J. Electrochem. Soc., 122, pp. 255-259; Swarr, T.E., Karavolis, S., Maricle, D.L., Enhanced Ceria—A Low‐Temperature SOFC Electrolyte (1990) Proceedings of the 25th Intersociety Energy Conversion Engineering Conference, 3, pp. 256-261. , American Institute of Chemical Engineers, New York; Yahiro, H., Baba, Y., Eguchi, K., Arai, H., High‐Temperature Fuel Cell with Ceria–Yttria Solid Electrolyte (1988) J. Electrochem. Soc., 135, pp. 2077-2080; Inoue, T., Setoguchi, T., Eguchi, K., Arai, H., Study of a Solid Oxide Fuel Cell with a Ceria‐Based Solid Electrolyte (1989) Solid State Ion'cs, 35, pp. 285-291; Virkar, A.V., Theoretical Analysis of Solid Oxide Fuel Cells with Two‐Layer Composite Electrolyte: Electrolyte Stability (1991) J. Electrochem. Soc., 138, pp. 1481-1487; Takahashi, T., Iwahara, H., Ionic Conduction in Perovskite‐Type Oxide Solid Solution and Its Application to Solid Electrolyte Fuel Cell (1971) Energy Convers., 11, pp. 105-111; Kilner, J.A., Barrow, P., Brook, R.J., Norgett, M.J., Electrolytes for the High‐Temperature Fuel Cell: Experimental and Theoretical Studies of the Perovskite LaAlO3 (1978) J. Power Sources, 3, pp. 67-80; Cook, R.L., MacDu'f, R.C., Sammells, A.F., Perovskite Solid Electrolytes for Intermediate‐Temperature Solid Oxide Fuel Cells (1990) J. Electrochem. Soc., 137, pp. 3309-3310; Sammells, A.F., Cook, R.L., Worrell, W.L., (1990), “Methane Conversion by Solid Electrolyte Membranes,” Rept. No. GR1‐90/0136, Gas Research Institute, Chicago, ILMurakami, S., Miyake, Y., Akiyama, Y., Ishida, N., Saito, T., Furukawa, N., , pp. 187-190. , “A Study on Composite Anode of Solid Oxide Fuel Cells”; see Ref. 31, ppDees, D.W., Claar, T.D., Easler, T.E., Fee, D.C., azek, F.C., Conductivity of Porous Ni/ZrO2‐Y2O3 Cermets (1987) Journal of The Electrochemical Society, 134, pp. 2141-2146; Ivers‐Tiffée, E., Wersing, W., Schießl, M., Greiner, H., Ceramic and Metallic Components for a Planar SOFC (1990) Berichte der Bunsengesellschaft für physikalische Chemie, 94, pp. 978-981; Majumdar, S., Claar, T., Flandermeyer, B., Stress and Fracture Behavior of Monolithic Fuel Cell Tapes (1986) J. Am. Ceram. Soc., 69, pp. 628-633; Easler, T., Flandermeyer, B.K., Claar, T.D., Busch, D.E., Fousek, R.J., Picciolo, J.J., Poeppel, R.B., Electrode Development for Monolithic Fuel Cells (1986) 1986 Fuel Cell Seminar Abstracts, pp. 72-75. , (Tucson, AZ, Oct. 26–29, 1986)., Courtesy Associates, Washington, DC; Markin, T.L., Bones, R.J., Dell, R.M., High‐Temperature Solid‐Electrolyte Fuel Cells (1976) Conference on Superionic Conductors, pp. 15-35. , Edited by, G. D. Mahan, W. L. Roth, Plenum Press, New York; Suzuki, M., Sasaki, H., Otoshi, S., Ippommatsu, M., , pp. 585-591. , “Development of Ru/ZrO2 SOFC Anode”; see Ref. 14, ppTakahashi, T., Iwahara, H., Suzuki, Y., Electrode Materials for High‐Temperature Solid Electrolyte Fuel Cells (1969) Proceedings of the Third International Symposium on Fuel Cells, pp. 113-119. , Presses Académiques Européennes, Brussels, Belgium; Steele, B.C.H., Middleton, P.H., Rudkin, R.A., Material Science Aspects of SOFC Technology with Special Reference to Anode Development (1990) Solid State Ionics, 40-41, pp. 388-393; Mogensen, M., , pp. 577-584. , “Properties of CeO2‐Based SOFC Anode Materials”; see Ref. 14, ppSwider, K.E., Worrell, W.L., , pp. 593-601. , “Synthesis and Characterization of Yuria. Stabilized Zirconia‐Titania Thin‐Film Electrodes”; see Ref. 14, ppLiou, S.S., Worrell, W.L., , pp. 81-89. , “Mixed‐Conducting Oxide Electrodes for Solid Oxide Fuel Cells”; see Ref. 27, ppLiou, S.S., Worrell, W.L., Electrical Properties of Novel Mixed‐Conducting Oxides (1989) Appl. Phys. A, 49, pp. 25-31; Tedmon, C.S., Jr., Spacil, H.S., Mitoff, S.P., Cathode Materials and Performance in High‐Temperature Zirconia Electrolyte Fuel Cells (1969) Journal of The Electrochemical Society, 116, pp. 1170-1175; Tofield, B.C., Scott, W.R., Oxidative Nonstoichiometry in Perovskites, an Experimental Survey: The Defect Structure of an Oxidized Lanthanum Manganite by Powder Neutron Diffraction (1974) J. Solid State Chem., 10, pp. 183-194; Kuo, J.H., Anderson, H.U., Sparlin, D.M., Oxidation‐Reduction Behavior of Undoped and Sr‐Doped LaMnO3: Defect Structure, Electrical Conductivity, and Thermoelectric Power (1990) J. Solid State Chem., 87, pp. 55-63; Rao, Wanklyn, B.M., Rao, C.N.R., Electrical Transport in Rare‐Earth Ortho‐Chromites, ‐Manganites, and ‐Ferrites (1971) J. Phys. Chem. Solids, 32, pp. 345-358; Kamata, K., Nakajima, T., Hayashi, T., Nakamura, T., Nonstoichiometric Behavior and Phase Stability of Rare‐Earth Manganites at 1200°C: (1). LaMnO3 (1978) Mater. Res. Bull., 13, pp. 49-54; Mizusaki, J., Tagawa, H., Naraya, K., Sasamoto, T., Nonstoichiometry and Thermochemical Stability of the Perovskite‐Type La1‐xSrxMnO3‐δ (1991) Solid State Ionics, 49, pp. 111-118; Kuo, J.H., Anderson, H.U., Sparlin, D.M., Oxidation‐Reduction Behavior of Undoped and Sr‐Doped LaMnO3 Nonstoichiometry and Defect Structure (1989) J. Solid State Chem., 83, pp. 52-60; Nakamura, T., Petzow, G., Gauckler, L.J., Stability of the Perovskite Phase LaBO3 (B = V, Cr, Mn, Fe, Co, Ni) in Reducing Atmospheres I. Experimental Results (1979) Mater. Res. Bull., 14, pp. 649-659; Sreedharan, O.M., Pankajavalli, R., Gnanamoorthy, J.B., Standard Gibbs' Energy of Formation of LaMnO3 from EMF Measurements (1983) High Temp. Sci., 16, pp. 251-256; Kamegashira, N., Miyazaki, Y., Hiyoshi, Y., Limiting Oxygen Partial Pressure of LaMnO3 Phase (1984) Mater. Lett., 2, pp. 194-195; Sreedharan, O.M., Chandrasekharaiah, M.S., Standard Gibbs' Energy of Formation of LaFeO3 and Comparison of Stability of LaMO3 (M = Mn, Fe, Co, Ni) Compounds (1986) J. Mater. Sci., 21, pp. 2581-2584; Ruka, R., (1983), pp. 295-302. , “Some Non‐Electrochemical Requirements for Air Electrode Materials of High‐Temperature Solid Electrolyte Fuel Cells”; pp., in Proceedings of the Conference on High–Temperature Solid Oxide Electrolytes, Vol. I–Anion Conductors (Brookhaven National Laboratory, Upton, NY, Aug. 16–17, 1983). Rept. No. BNL 51728–Vol. I, Brookhaven National Laboratory, Upton, NYJonker, G.H., Semiconducting Properties of Mixed Crystals with Perovskite Structure (1954) Physica (Amsterdam), 20, pp. 1118-1122; Tanaka, J., Takahashi, K., Yukino, K., Horiuchi, S., Electrical Conduction of (La0.8Ca0.2)MnO3 with Homogeneous Ionic Distribution (1983) Phys. Status Solidi, 80, pp. 621-630; Fandel, M., Höschele, J., Schäfer, W., Schmidberger, R., Properties of Ca‐Doped LaMnO3 (1989) Properties of Ceramics, 2, p. 2. , 236–2.240 in Euro‐ceramics, Vol,. Edited by, G. de With, R. A. Lerpstra, R. Metselaar, Elsevier Applied Science, London, U.K; Pavlov, V.I., Bogush, A.K., Bychkov, G.L., Influence of Impurity Centers on the Electrical Conductivity of Manganites with a Perovskite Structure (1984) Inorg. Mater. (Engl. Transl.), 20, pp. 752-754; Wold, A., Arnott, R.J., Goodenough, J.B., Some Magnetic and Crystallographic Properties of the System LaMn1‐xNixO3‐λ (1958) J. Appl. Phys., 29, pp. 387-389; Lyubkina, I.Ya., Kononyuk, I.F., Preparation and Electric Properties of LaMn1‐xNixO3 (O","page":"563-588","title":"Ceramic Fuel Cells","type":"article-journal","volume":"76"},"uris":["http://www.mendeley.com/documents/?uuid=7c17b8de-f21a-48a1-8286-c38ae0ab747c"]},{"id":"ITEM-2","itemData":{"DOI":"10.1016/j.msea.2005.11.052","ISBN":"0921-5093","ISSN":"09215093","abstract":"Development of solid oxide fuel cells (SOFC) for operation at intermediate temperatures of 600-800 °C with hydrocarbon fuels requires a cathode and anode with high electrocatalytic activity for O2 reduction and direct oxidation of hydrocarbon fuels, respectively. Wet impregnation is a well known method in the development of heterogeneous catalysts. Surprisingly, very few have concentrated on the application of the wet impregnation technique to deposit nano-sized particles into the established electrode structure of the SOFC. This paper reviews and discusses the progress in the application of the wet impregnation technique in the development of Ni-free Cu-based composite anodes, doped CeO2-impregnated (La, Sr)MnO3 (LSM) cathodes and Ni anodes, Co3O4-infiltrated cathodes and precious metal-impregnated electrodes. Enhancement in the electrode microstructure and cell performance is substantial, showing the great potential of the wet impregnation method in the development of high performance and nano-structured electrodes with specific functions. However, the long-term stability of the impregnated electrode structure needs to be addressed. © 2005 Elsevier B.V. All rights reserved.","author":[{"dropping-particle":"","family":"Jiang","given":"San Ping","non-dropping-particle":"","parse-names":false,"suffix":""}],"container-title":"Materials Science and Engineering A","id":"ITEM-2","issue":"1-2","issued":{"date-parts":[["2006"]]},"page":"199-210","title":"A review of wet impregnation - An alternative method for the fabrication of high performance and nano-structured electrodes of solid oxide fuel cells","type":"article-journal","volume":"418"},"uris":["http://www.mendeley.com/documents/?uuid=1b62ce8c-e32a-4d57-8934-697b6b8042b0"]}],"mendeley":{"formattedCitation":"[1], [8]","plainTextFormattedCitation":"[1], [8]","previouslyFormattedCitation":"[1], [8]"},"properties":{"noteIndex":0},"schema":"https://github.com/citation-style-language/schema/raw/master/csl-citation.json"}</w:instrText>
      </w:r>
      <w:r>
        <w:fldChar w:fldCharType="separate"/>
      </w:r>
      <w:r w:rsidRPr="00D17D71">
        <w:rPr>
          <w:noProof/>
        </w:rPr>
        <w:t>[1], [8]</w:t>
      </w:r>
      <w:r>
        <w:fldChar w:fldCharType="end"/>
      </w:r>
      <w:r w:rsidRPr="004654D6">
        <w:t>.</w:t>
      </w:r>
      <w:r>
        <w:t xml:space="preserve"> These can cause issues from catalyst sintering especially in nickel </w:t>
      </w:r>
      <w:r>
        <w:fldChar w:fldCharType="begin" w:fldLock="1"/>
      </w:r>
      <w:r>
        <w:instrText>ADDIN CSL_CITATION {"citationItems":[{"id":"ITEM-1","itemData":{"DOI":"10.1016/j.ssi.2006.02.007","ISBN":"01672738 (ISSN)","ISSN":"01672738","abstract":"NiO-coated YSZ composite powders were synthesized through the Pechini process in order to improve the performance and durability of SOFC anodes. Their microstructures and electrical properties have been investigated with thermal and redox cycling tests. The coverage of NiO crystals on the YSZ surface could be modulated by controlling the composition of the reaction mixture and the ratio of NiO and YSZ. Ni-YSZ electrodes were manufactured by sintering the die-pressed NiO-YSZ pellet at 1400 °C for 3 h, followed by reducing it to 800 °C under hydrogen atmosphere. The anode made from NiO/YSZ composite powder, which has a high homogeneity and plenty of contact sites between Ni and YSZ, has an excellent tolerance against thermal and redox cycling. The maximum power density of a single cell made from NiO/YSZ composite powder was 0.56 W cm- 2 at 800 °C in reactive gases of humidified hydrogen and air. It can be concluded that the functional NiO/YSZ composite powder will suppress the degradation of anodes and enhance the long-term and redox stability of the unit cell at elevated temperatures. © 2006 Elsevier B.V. All rights reserved.","author":[{"dropping-particle":"","family":"HYUN","given":"S","non-dropping-particle":"","parse-names":false,"suffix":""},{"dropping-particle":"","family":"LEE","given":"H","non-dropping-particle":"","parse-names":false,"suffix":""},{"dropping-particle":"","family":"MOON","given":"J","non-dropping-particle":"","parse-names":false,"suffix":""},{"dropping-particle":"","family":"KIM","given":"J","non-dropping-particle":"","parse-names":false,"suffix":""},{"dropping-particle":"","family":"KIM","given":"S","non-dropping-particle":"","parse-names":false,"suffix":""},{"dropping-particle":"","family":"MOON","given":"H","non-dropping-particle":"","parse-names":false,"suffix":""}],"container-title":"Solid State Ionics","id":"ITEM-1","issue":"9-10","issued":{"date-parts":[["2006"]]},"language":"English","note":"Cited By :99\nExport Date: 3 November 2016\nCODEN: SSIOD\nCorrespondence Address: Hyun, S.-H.; School of Advanced Materials Science and Engineering, Yonsei University, Seoul, 120-749, South Korea; email: prohsh@yonsei.ac.kr\nReferences: Primdahl, S., Mogensen, M., (2000) J. Appl. Electrochem., 30, p. 247; Lee, C.H., Lee, C.H., Lee, H.Y., Oh, S.M., (1997) Solid State Ionics, 98, p. 39; Mogensen, M., Primdahl, S.P., Jorgensen, M.J., Bagger, C., (2000) J. Electroceram., 5 (2), p. 141; Jiang, S.P., (2003) J. Mater. Sci., 38, p. 3775; Waldbillig, D., Wood, A., Ivey, D.G., (2005) J. Power Sources, 145, p. 206; Liu, Y.L., Jiao, C., (2005) Solid State Ionics, 176, p. 435; Hsiao, Y.C., Selman, J.R., (1997) Solid State Ionics, 98, p. 33; Koide, H., Someya, Y., Yoshida, T., Maruyama, T., (2000) Solid State Ionics, 132, p. 253; Wilkenhoener, R., Vasen, R., Buchkremer, H.P., Stover, D., (1999) J. Mater. Sci., 34, p. 257; Lee, J.H., Moon, H., Lee, H.W., Kim, J., Kim, J.D., Yoon, K.H., (2002) Solid State Ionics, 148, p. 15; Xu, B.Q., Wei, J.M., Yu, Y.T., Li, Y., Li, J.L., Zhu, Q.M., (2003) J. Phys. Chem., B, 107, p. 5203; Mogensen, M., Skaarup, S., (1996) Solid State Ionics, 86-88, p. 1151; Fukui, T., Murata, K., Ohara, S., Abe, H., Naito, M., Nogi, K., (2004) J. Power Sources, 125, p. 17; Moon, J.W., Lee, H.L., Kim, J.D., Kim, G.D., Lee, D.A., Lee, H.W., (1999) Mater. Lett., 38, p. 214; Duran, P., Tartaj, J., Capel, F., Moure, C., (2003) J. Eur. Ceram. Soc., 23, p. 2125; Pratihar, S.K., Sharma, A.D., Basu, R.N., Maiti, H.S., (2004) J. Power Sources, 129, p. 138; Wang, F.H., Guo, R.S., Wei, Q.T., Zhou, Y., Li, H.L., Li, S.L., (2004) Mater. Lett., 58, p. 3079; Gen, G., Guo, Z.X., Davies, C.K.L., (2000) Scr. Mater., 43, p. 307; Kim, S.D., Hyun, S.H., Moon, J., Kim, J.H., Song, R.H., (2005) J. Power Sources, 139, p. 67; Pomfret, M.B., Stolts, C., Varughese, B., Walker, R.A., (2005) Anal. Chem., 77, p. 1791; Dongare, M.K., Malshe, K., Gopinath, C.S., Murwani, I.K., Kemnitz, E., (2004) J. Catal., 222, p. 80; Symianakis, E., Ladas, S., Evangelakis, G.A., (2003) Appl. Surf. Sci., 217, p. 239; Zhang, H.L., Wang, D.Z., Yang, B., Huang, N.K., (1997) Phys. Statatus Solidi, A, 160, p. 145; Simwonis, D., Tietz, F., Stover, D., (2000) Solid State Ionics, 132, p. 241; Simwonis, D., Naoumidis, A., Dias, F.J., Linke, J., Moropoulou, A., (1997) J. Mater. Res., 12 (6), p. 1508","page":"931-938","title":"Performance and durability of Ni-coated YSZ anodes for intermediate temperature solid oxide fuel cells","type":"article-journal","volume":"177"},"uris":["http://www.mendeley.com/documents/?uuid=40967ba4-70ff-49f1-a7aa-933ed1490106"]},{"id":"ITEM-2","itemData":{"DOI":"10.1016/j.jpowsour.2018.04.080","ISSN":"03787753","abstract":"The agglomeration of nickel (Ni) particles in a Ni-cermet anode is a significant degradation phenomenon for solid oxide fuel cells (SOFCs). This work aims to predict the performance degradation of SOFCs due to Ni grain growth by using a simplified approach. Accelerated aging of Ni-scandia stabilized zirconia (SSZ) as an SOFC anode is carried out at 900 °C and subsequent microstructural evolution is investigated every 100 h up to 1000 h using scanning electron microscopy (SEM). The resulting morphological changes are quantified using a two-dimensional image analysis technique that yields the particle size, phase proportion, and triple phase boundary (TPB) point distribution. The electrochemical properties of an anode-supported SOFC are characterized using electrochemical impedance spectroscopy (EIS). The changes of particle size and TPB length in the anode as a function of time are in excellent agreement with the power-law coarsening model. This model is further combined with an electrochemical model to predict the changes in the anode polarization resistance. The predicted polarization resistances are in good agreement with the experimentally obtained values. This model for prediction of anode lifetime provides deep insight into the time-dependent Ni agglomeration behavior and its impact on the electrochemical performance degradation of the SOFC anode.","author":[{"dropping-particle":"","family":"Khan","given":"Muhammad Zubair","non-dropping-particle":"","parse-names":false,"suffix":""},{"dropping-particle":"","family":"Mehran","given":"Muhammad Taqi","non-dropping-particle":"","parse-names":false,"suffix":""},{"dropping-particle":"","family":"Song","given":"Rak Hyun","non-dropping-particle":"","parse-names":false,"suffix":""},{"dropping-particle":"","family":"Lee","given":"Jong Won","non-dropping-particle":"","parse-names":false,"suffix":""},{"dropping-particle":"","family":"Lee","given":"Seung Bok","non-dropping-particle":"","parse-names":false,"suffix":""},{"dropping-particle":"","family":"Lim","given":"Tak Hyoung","non-dropping-particle":"","parse-names":false,"suffix":""}],"container-title":"Journal of Power Sources","id":"ITEM-2","issue":"February","issued":{"date-parts":[["2018"]]},"page":"94-105","publisher":"Elsevier","title":"A simplified approach to predict performance degradation of a solid oxide fuel cell anode","type":"article-journal","volume":"391"},"uris":["http://www.mendeley.com/documents/?uuid=e6bb5956-887c-4d71-af57-4160eca7475b"]},{"id":"ITEM-3","itemData":{"ISBN":"01672738 (ISSN)","abstract":"In order to study the nickel coarsening in porous Ni/8YSZ anode cermets of solid oxide fuel cells (SOFC), a series of exposure tests was carried out with anode substrates used in SOFC development at the Research Centre Juelich. The changes in electrical conductivity as well as in the microstructure of the material were investigated. The microstructure of the cermets was characterized by digital on-line image analysis and microstructural parameters were determined for the metallic and the ceramic phase as well as for porosity. A decrease of 33% of the initial electrical conductivity was measured after exposing the cermet in Ar/4% H2/3% H2O at 1000 °C for 4000 h, which is linked to the agglomeration of the metallic particles of this material. The durability of anode cermets for operations of up to 40 000 h was estimated on the basis of the measured grain coarsening and the decrease of conductivity. The microstructural parameters - like volume fraction, particle and pore size - were used to model the electrical conductivity by theoretical microstructure-property relationships.","author":[{"dropping-particle":"","family":"Simwonis","given":"D","non-dropping-particle":"","parse-names":false,"suffix":""},{"dropping-particle":"","family":"Tietz","given":"F","non-dropping-particle":"","parse-names":false,"suffix":""},{"dropping-particle":"","family":"Stöver","given":"D","non-dropping-particle":"","parse-names":false,"suffix":""}],"container-title":"Solid State Ionics","id":"ITEM-3","issue":"3","issued":{"date-parts":[["2000"]]},"language":"English","note":"Cited By :297\nExport Date: 30 November 2016\nCODEN: SSIOD\nCorrespondence Address: Simwonis, D.; Forschungszentrum Juelich, Juelich, Germany\nReferences: Van Heuveln, F.H., Huijsmans, J.P.P., Final report of activity B1: Long-term stability under operating conditions (1996) Advanced Fuel Cells Programme, , Annex II, International Energy Agency, Available from H. Nabielek, Forschungszentrum Jülich, Germany; Stochniol, G., Naoumidis, A., Nickel, H., (1996) Jül-Report 3226, , Forschungszentrum, Jülich; Stolten, D., (1996) Verbundwerkstoffe und Werkstoffverbunde, p. 283. , G. Ziegler (Ed.), DGM Informationsgesellschaft, Oberursel; Ciacchi, F.T., Crane, K.M., Badwal, S.P.S., (1994) Solid State Ionics, 73, p. 49; Norby, T., Osborg, R.A., Ræder, H., (1994) Proc. 1st Eur. SOFC Forum, p. 671. , U. Bossel (Ed.); Minh, N.Q., (1993) J. Am. Ceram. Soc., 76, p. 563; Quadakkers, W.J., Greiner, H., Köck, W., Buchkremer, H.P., Hilpert, K., Stöver, D., (1996) Proc. 2nd Eur. SOFC Forum, 1, p. 297. , B. Thorstensen (Ed.); Quadakkers, W.J., Greiner, H., Hänsel, M., Pattanaik, A., Khanna, A.S., Malléner, W., (1996) Solid State Ionics, 91, p. 55; Tietz, F., Simwonis, D., Batfalsky, W., Diekmann, U., Stöver, D., (1999) Proc. 12th IEA Workshop on SOFC, Materials and Mechanisms in the Frame of the IEA Programme on Advanced Fuel Cells, p. 1. , K. Nisancioglu (Ed.), Annex VII: SOFC under Real Operating Conditions, Available from H. Nabielek, Forschungszentrum Jülich, Germany; Urbanek, J., Miller, M., Schmidt, H., Hilpert, K., (1996) Proc. 2nd Eur. SOFC Forum, 2, p. 503. , B. Thorstensen (Ed.); Gindorf, C., Singheiser, L., Hilpert, K., Schroeder, M., Martin, M., Greiner, H., Richter, F., (1999) Proc. 6th Int. Symp. Solid Oxide Fuel Cells (SOFC-VI), p. 774. , S.C. Singhal, M. Dokiya (Eds.), The Electrochemical Society, Pennington, NJ; Kawada, T., Sakai, N., Yokokawa, H., Dokiya, M., Mori, M., Iwata, T., (1990) J. Electrochem. Soc., 137, p. 3042; Norby, T., Velle, O.J., Leth-Olsen, H., Tunold, R., (1993) Proc. 3rd Int. Symp. Solid Oxide Fuel Cells (SOFC-III), p. 473. , S.C. Singhal, H. Iwahara (Eds.), The Electrochemical Society, Pennington, NJ; Iwata, T., (1996) J. Electrochem. Soc., 143, p. 1521; Itoh, H., Yamamoto, T., Mori, M., Watanabe, T., Abe, T., (1996) Denki Kagaku, 64, p. 549; Naoumidis, A., Tsoga, A., Nikolopoulos, P., Grübmeier, H., (1995) Proc. 4th Int. Symp. Solid Oxide Fuel Cells (SOFC-IV), p. 667. , M. Dokiya, O. Yamamoto, H. Tagawa, S.C. Singhal (Eds.), The Electrochemical Society, Pennington, NJ; Itoh, H., Yamamoto, T., Mori, M., (1997) J. Electrochem. Soc., 144, p. 641; Ioselevich, A., Kornyshev, A.A., Lehnert, W., (1997) J. Electrochem. Soc., 144, p. 3010; Buchkremer, H.P., Diekmann, U., De Haart, L.G.J., Kabs, H., Stöver, D., Vinke, I.C., (1998) Proc. 3rd Eur. SOFC Forum, 1, p. 143. , P. Stevens (Ed.); Simwonis, D., Naoumidis, A., Dias, F.J., Linke, J., Moropoulou, A., (1997) J. Mater. Res., 12, p. 1508; Mogensen, M., Primdahl, S., Rheinländer, J.T., Gormsen, S., Linderoth, S., Brown, M., (1995) Proc. 4th Int. Symp. Solid Oxide Fuel Cells (SOFC-IV), p. 657. , M. Dokiya, O. Yamamoto, H. Tagawa, S.C. Singhal (Eds.), The Electrochemical Society, Pennington, NJ; Mendelson, M.I., (1969) J. Am. Ceram. Soc., 52, p. 443; (1967) Designation E 112-63, Book of ASTM Standards, (31 PART), p. 446. , American Society for Testing Materials, Philadelphia, PA; Powell, R.W., Tye, R.P., Hickman, M.J., (1965) Int. J. Heat Mass Transfer, 8, p. 679; Laubitz, M.J., Matsumura, T., Kelly, P.J., (1976) Can. J. Phys., 54, p. 92; Rahaman, M.N., (1995) Ceramic Processing and Sintering, p. 465. , Marcel Dekker, New York; Ondracek, G., (1987) Rev. Powder Metall. Phys. Ceram., 3, p. 205; McLachlan, D.S., Blaszkiewicz, M., Newnham, R.E., (1990) J. Am. Ceram. Soc., 73, p. 2187; Mizusaki, J., Tsuchiya, S., Waragai, K., Tagawa, H., Arai, Y., Kuwayama, Y., (1996) J. Am. Ceram. Soc., 79, p. 109; Sunde, S., (1996) J. Electrochem. Soc., 143, p. 1123; Wu, Z., Liu, M., (1997) Solid State Ionics, 93, p. 65; Fan, Z., Miodownik, A.P., Tsakiropoulos, P., (1993) Mater. Sci. Technol., 9, p. 1094; Tagawa, H., Mizusaki, J., Arai, Y., Kuwayama, Y., Tsuchiya, S., Takeda, T., Sekido, S., (1990) Denki Kagaku, 58, p. 512; Deprez, N., McLachlan, D.S., Sigalas, I., (1988) Solid State Commun., 66, p. 869; Fan, Z., (1996) Philos. Mag. A, 73, p. 1663; Gurland, J., (1958) Trans. Met. Soc. AIME, 212, p. 452; Dees, D.W., Claar, T.D., Easler, T.E., Fee, D.C., Mrazek, F.C., (1987) J. Electrochem. Soc., 134, p. 2141","page":"241-251","publisher":"Elsevier Science B.V.","title":"Nickel coarsening in annealed Ni/8YSZ anode substrates for solid oxide fuel cells","type":"article-journal","volume":"132"},"uris":["http://www.mendeley.com/documents/?uuid=1425b4a4-7ef3-4a5b-9e34-154a97d16a3c"]}],"mendeley":{"formattedCitation":"[66]–[68]","plainTextFormattedCitation":"[66]–[68]","previouslyFormattedCitation":"[66]–[68]"},"properties":{"noteIndex":0},"schema":"https://github.com/citation-style-language/schema/raw/master/csl-citation.json"}</w:instrText>
      </w:r>
      <w:r>
        <w:fldChar w:fldCharType="separate"/>
      </w:r>
      <w:r w:rsidRPr="00375DF8">
        <w:rPr>
          <w:noProof/>
        </w:rPr>
        <w:t>[66]–[68]</w:t>
      </w:r>
      <w:r>
        <w:fldChar w:fldCharType="end"/>
      </w:r>
      <w:r>
        <w:t>.</w:t>
      </w:r>
    </w:p>
    <w:p w14:paraId="138D03F1" w14:textId="77777777" w:rsidR="00007F6C" w:rsidRDefault="00007F6C" w:rsidP="00007F6C">
      <w:pPr>
        <w:spacing w:before="240"/>
        <w:jc w:val="both"/>
      </w:pPr>
      <w:r w:rsidRPr="004654D6">
        <w:lastRenderedPageBreak/>
        <w:t>In</w:t>
      </w:r>
      <w:r w:rsidRPr="004654D6">
        <w:rPr>
          <w:rFonts w:cs="Times New Roman"/>
          <w:szCs w:val="24"/>
        </w:rPr>
        <w:t xml:space="preserve"> the last 20 years the power output of SOFC electrode materials has been vastly improved by the implementation of infiltration</w:t>
      </w:r>
      <w:r>
        <w:rPr>
          <w:rFonts w:cs="Times New Roman"/>
          <w:szCs w:val="24"/>
        </w:rPr>
        <w:t xml:space="preserve"> </w:t>
      </w:r>
      <w:r>
        <w:rPr>
          <w:rFonts w:cs="Times New Roman"/>
          <w:szCs w:val="24"/>
        </w:rPr>
        <w:fldChar w:fldCharType="begin" w:fldLock="1"/>
      </w:r>
      <w:r>
        <w:rPr>
          <w:rFonts w:cs="Times New Roman"/>
          <w:szCs w:val="24"/>
        </w:rPr>
        <w:instrText>ADDIN CSL_CITATION {"citationItems":[{"id":"ITEM-1","itemData":{"DOI":"10.1007/s10832-015-9995-8","ISBN":"13853449 (ISSN)","ISSN":"1385-3449","abstract":"Evaporation of Ni in the form of Nickel Hydroxide (Ni(OH)2) in Solid Oxide Fuel Cell (SOFC) anodes (Ni-YSZ) is one of the major causes of anode degradation. Transition metals such as Fe, Cr and Co can act as sacrificial anodes for Ni, because of lower Gibbs Free Energy values for the formation of their corresponding volatile hydroxides as compared to Ni (OH)2. The transition metals were added to porous Ni-YSZ anode scaffold by infiltration method. Nano-sized particles were sporadically dispersed on the Ni-YSZ surface, confirmed by Scanning Electron Microscopy (SEM). X-Ray Diffraction (XRD) patterns show a very good chemical compatibility between the added metals and Ni-YSZ anodes. Symmetric cells were then prepared and the Area-Specific Resistance (ASR) was monitored at 1000 °C, with a fuel gas containing 25 vol.% H2, 75 vol.% N2, for more than 250 h. To control accelerated evaporation condition of anode, relative humidity in anode gas was fixed at 12 %. The difference in the amount of the added metal before and after long-tern test was determined by EDS analysis. Change in the grain size distribution of Ni particles and Triple Phase Boundary (TPB) density, before and after long term test were calculated by image analysis. Well-defined relations were obtained among ASR change rate determined from electrochemical measurements and grain size distribution, TPB density change rate calculated from image analysis. © 2015, Springer Science+Business Media New York.","author":[{"dropping-particle":"","family":"Lee","given":"Seung-Bok","non-dropping-particle":"","parse-names":false,"suffix":""},{"dropping-particle":"","family":"Song","given":"Rak-Hyun","non-dropping-particle":"","parse-names":false,"suffix":""},{"dropping-particle":"","family":"Lim","given":"Tak-Hyoung","non-dropping-particle":"","parse-names":false,"suffix":""},{"dropping-particle":"","family":"Khan","given":"Muhammad Shirjeel","non-dropping-particle":"","parse-names":false,"suffix":""},{"dropping-particle":"","family":"Lee","given":"Jong-Won","non-dropping-particle":"","parse-names":false,"suffix":""},{"dropping-particle":"","family":"Park","given":"Seok-Joo","non-dropping-particle":"","parse-names":false,"suffix":""}],"container-title":"Journal of Electroceramics","id":"ITEM-1","issue":"1-4","issued":{"date-parts":[["2015"]]},"language":"English","note":"Export Date: 20 January 2017\nCODEN: JOELF\nCorrespondence Address: Lee, S.-B.; Department of Advanced Energy Technology, Korea University of Science and Technology, 217 Gajeong-ro, Yuseong-gu, South Korea; email: sblee@kier.re.kr\nReferences: Yokokawa, H., Tu, H., Iwanschitz, B., Mai, A., (2008) J. Power Sources, 182, p. 400; Holzer, L., Iwanschitz, B., Hocker, T., Münch, B., Prestat, M., Wiedenmann, D., Vogt, U., Graule, T., (2011) J. Power Sources, 196, p. 1279; Jiao, Z., Takagi, N., Shikazono, N., Kasagi, N., (2011) J. Power Sources, 196, p. 1019; Barfod, R., Koch, S., Liu, Y.-L., Larsen, P.H., Hendriksen, P.V., Electrochem (2003) Soc. Proc. Ser. Pennington, NJ, p. 1158; Hagen, A., Barfod, R., Hendriksen, P.V., Liu, Y.-L., Ramousse, S., (2006) J. Electrochem. Soc., 153, p. 1165; Matsui, T., Kishida, R., Muroyama, H., Eguchi, K., (2012) J. Electrochem. Soc., 159, p. 456; Choi, J.H., Lee, T., Choi, M., Yoo, Y.-S., Baek, S.-W., Bae, J., (2010) Int. J. Hydrog Energy, 35, p. 4285; Park, K., Yu, S., Bae, J., Kim, H., Ko, Y., (2010) Int. J. Hydrog Energy, 35, p. 8670; Mukhopadhyay, M., Mukhopadhyay, J., Das Sharma, A., Basu, R.N., (2013) Solid State Ionics, 233, p. 20; Khan, M.Z., Song, R.-H., Lee, S.-B., Lee, J.-W., Lim, T.-H., Park, S.-J., (2014) Int. J. Hydrog Energy, 39, p. 20799; Gross, M.D., Vohs, J.M., Gorte, R.J., (2007) Electrochem. Solid-State Lett., 10, p. 65; Chen, K., Chen, X., Lü, Z., Ai, N., Huang, X., Su, W., (2008) Electrochim. Acta, 53, p. 7825; Wang, Z., Zhang, N., Qiao, J., Sun, K., Xu, P., (2009) Electrochem. Commun., 11, p. 1120; Suzuki, T., Sugihara, S., Yamaguchi, T., Sumi, H., Hamamoto, K., Fujishiro, Y., (2011) Electrochem. Commun., 13, p. 959; Klemensø, T., Thydén, K., Chen, M., Wang, H.-J., (2010) J. Power Sources, 195, p. 7295; Tal, S., Hideto, K., Craig, P.J., Steven, J.V., Lutgrad, C.D.J., (2007) ECS Trans., 7, p. 837; Qiao, J., Sun, K., Zhang, N., Sun, B., Kong, J., Zhou, D., (2007) J. Power Sources, 169, p. 253; Lou, X., Liu, Z., Wang, S., Xiu, Y., Wong, C.P., Liu, M., (2010) J. Power Sources, 195, p. 419; Belton, G.R., Richardson, F.D., (1962) Trans. Faraday Soc., 58, p. 1562; Yan, J., Enoki, M., Matsumoto, H., Ishihara, T., (2007) Electrochem. Solid-State Lett., 10, p. 139; Khan, M.S., Wahyudi, W., Lee, S.-B., Song, R.-H., Lee, J.-W., Lim, T.-H., Park, S.-J., (2015) Int. J. Hydrog Energy, 40, p. 11968; Mizusaki, J., (1994) J. Electrochem. Soc., 141, p. 2129; Ioselevich, A., (1999) Solid State Ionics, 124, p. 221; Bieberle, A., Meier, L.P., Gauckler, L.J., (2001) J. Electrochem. Soc., 148, p. 646; Jiang, S., (2003) J. Mater. Sci., 38, p. 3775; Wilson, J.R., Kobsiriphat, W., Mendoza, R., H-Yi, C., Hiller, J.M., Miller, D.J., Thornton, K., Barnett, S.A., (2006) Nat. Mater., 5, p. 541; Faes, A., Hessler-Wyser, A., Presvytes, D., Vayenas, C.G., Van Herle, J., (2009) Fuel Cells, 9, p. 841","page":"81-89","publisher":"Springer New York LLC","title":"Effect of infiltrated transition metals on nickel morphology change and area-specific resistance of Ni-YSZ based SOFC anode during long-term operation","type":"article-journal","volume":"35"},"uris":["http://www.mendeley.com/documents/?uuid=4acc0c92-8bf4-406e-8961-03cbe19d9cfa"]},{"id":"ITEM-2","itemData":{"DOI":"10.1016/j.ijhydene.2011.09.067","ISBN":"0360-3199","ISSN":"03603199","abstract":"Solid oxide fuel cells (SOFCs) are the most efficient devices for the direct conversion of the chemical energy stored in fuels such as hydrogen and hydrocarbons into electricity. The development of highly efficient and robust SOFCs requires cathodes and anodes with high electrocatalytic activity for O2 reduction and direct oxidation of hydrocarbon fuels, respectively. Nanoscale engineering of electrode structures via metal salt solution impregnation or infiltration attracts increasing attention as the most effective way to develop highly active and advanced electrode structures for SOFCs. The infiltration method opens a new horizon in the advanced electrode development as the method expands the set of variable electrode materials combinations with the elimination of thermal expansion mismatch and the suppression of potential detrimental reactions between electrode and electrolyte materials. In this article, the advances and challenges in the development of nanoscale and nano-structured electrodes and the fundamental understanding of the remarkable enhancement in the electrode performance are reviewed and discussed with primary focus on the progress and status of the field in the last 5 years. © 2011, Hydrogen Energy Publications, LLC. Published by Elsevier Ltd. All rights reserved.","author":[{"dropping-particle":"","family":"Jiang","given":"San Ping","non-dropping-particle":"","parse-names":false,"suffix":""}],"container-title":"International Journal of Hydrogen Energy","id":"ITEM-2","issue":"1","issued":{"date-parts":[["2012"]]},"page":"449-470","publisher":"Elsevier Ltd","title":"Nanoscale and nano-structured electrodes of solid oxide fuel cells by infiltration: Advances and challenges","type":"article-journal","volume":"37"},"uris":["http://www.mendeley.com/documents/?uuid=1e763b61-ae5c-4cbc-9bfe-a6266d8deaed"]},{"id":"ITEM-3","itemData":{"DOI":"10.1016/j.msea.2005.11.052","ISBN":"0921-5093","ISSN":"09215093","abstract":"Development of solid oxide fuel cells (SOFC) for operation at intermediate temperatures of 600-800 °C with hydrocarbon fuels requires a cathode and anode with high electrocatalytic activity for O2 reduction and direct oxidation of hydrocarbon fuels, respectively. Wet impregnation is a well known method in the development of heterogeneous catalysts. Surprisingly, very few have concentrated on the application of the wet impregnation technique to deposit nano-sized particles into the established electrode structure of the SOFC. This paper reviews and discusses the progress in the application of the wet impregnation technique in the development of Ni-free Cu-based composite anodes, doped CeO2-impregnated (La, Sr)MnO3 (LSM) cathodes and Ni anodes, Co3O4-infiltrated cathodes and precious metal-impregnated electrodes. Enhancement in the electrode microstructure and cell performance is substantial, showing the great potential of the wet impregnation method in the development of high performance and nano-structured electrodes with specific functions. However, the long-term stability of the impregnated electrode structure needs to be addressed. © 2005 Elsevier B.V. All rights reserved.","author":[{"dropping-particle":"","family":"Jiang","given":"San Ping","non-dropping-particle":"","parse-names":false,"suffix":""}],"container-title":"Materials Science and Engineering A","id":"ITEM-3","issue":"1-2","issued":{"date-parts":[["2006"]]},"page":"199-210","title":"A review of wet impregnation - An alternative method for the fabrication of high performance and nano-structured electrodes of solid oxide fuel cells","type":"article-journal","volume":"418"},"uris":["http://www.mendeley.com/documents/?uuid=1b62ce8c-e32a-4d57-8934-697b6b8042b0"]},{"id":"ITEM-4","itemData":{"DOI":"10.1039/c3ee42926a","ISSN":"17545706","abstract":"Solid oxide fuel cells (SOFCs) have the potential to be one of the cleanest and most efficient energy technologies for direct conversion of chemical fuels to electricity. Economically competitive SOFC systems appear poised for commercialization, but widespread market penetration will require continuous innovation of materials and fabrication processes to enhance system lifetime and reduce cost. One early technical opportunity is minimization of resistance to the oxygen reduction reaction (ORR) at the cathode, which contributes the most to performance degradation and efficiency loss in the existing SOFCs, especially at temperatures &lt;700 °C. Detailed study over the past 15 years has revealed the positive impact of catalyst infiltration on SOFC cathode performance, both in power density and durability metrics. However, realizable performance improvements rely upon strongly-coupled relationships in materials and morphology between the infiltrate and the backbone, and therefore efficacious systems cannot be simply generated with a set of simple heuristics. This article reviews recent progress in enhancing SOFC cathode performance by surface modification through a solution-based infiltration process, focusing on two backbone architectures-inherently functional and skeletal-infiltrated using wet-chemistry processes. An efficient cathode consists of a porous mixed-conducting backbone and an active coating catalyst; the porous backbone provides excellent ionic and electronic conductivity, while the infiltrated surface coating possesses high catalytic activity and stability. As available, performance comparisons are emphasized and reaction schematics for specific infiltrate/backbone systems are summarized. While significant progress has been achieved in enhancing surface catalytic activity and durability, the detailed mechanisms of performance enhancement are insufficiently understood to obtain critical insights and a scientific basis for rational design of more efficient catalysts and novel electrode architectures. Recent progress in characterization of surfaces and interfaces is briefly discussed with challenges and perspectives in surface modification of SOFC electrodes. Surface modification through infiltration is expected to play an increasingly important role in current and next-generation commercial SOFC development, and this review illustrates the sophisticated technical considerations required to inform judicious selection of an infiltrate for a given SO…","author":[{"dropping-particle":"","family":"Ding","given":"Dong","non-dropping-particle":"","parse-names":false,"suffix":""},{"dropping-particle":"","family":"Li","given":"Xiaxi","non-dropping-particle":"","parse-names":false,"suffix":""},{"dropping-particle":"","family":"Lai","given":"Samson Yuxiu","non-dropping-particle":"","parse-names":false,"suffix":""},{"dropping-particle":"","family":"Gerdes","given":"Kirk","non-dropping-particle":"","parse-names":false,"suffix":""},{"dropping-particle":"","family":"Liu","given":"Meilin","non-dropping-particle":"","parse-names":false,"suffix":""}],"container-title":"Energy and Environmental Science","id":"ITEM-4","issue":"2","issued":{"date-parts":[["2014"]]},"page":"552-575","title":"Enhancing SOFC cathode performance by surface modification through infiltration","type":"article-journal","volume":"7"},"uris":["http://www.mendeley.com/documents/?uuid=07b7af68-5a4c-4c2a-a4d7-4f096eafa61b"]}],"mendeley":{"formattedCitation":"[8], [69]–[71]","plainTextFormattedCitation":"[8], [69]–[71]","previouslyFormattedCitation":"[8], [69]–[71]"},"properties":{"noteIndex":0},"schema":"https://github.com/citation-style-language/schema/raw/master/csl-citation.json"}</w:instrText>
      </w:r>
      <w:r>
        <w:rPr>
          <w:rFonts w:cs="Times New Roman"/>
          <w:szCs w:val="24"/>
        </w:rPr>
        <w:fldChar w:fldCharType="separate"/>
      </w:r>
      <w:r w:rsidRPr="00375DF8">
        <w:rPr>
          <w:rFonts w:cs="Times New Roman"/>
          <w:noProof/>
          <w:szCs w:val="24"/>
        </w:rPr>
        <w:t>[8], [69]–[71]</w:t>
      </w:r>
      <w:r>
        <w:rPr>
          <w:rFonts w:cs="Times New Roman"/>
          <w:szCs w:val="24"/>
        </w:rPr>
        <w:fldChar w:fldCharType="end"/>
      </w:r>
      <w:r w:rsidRPr="004654D6">
        <w:rPr>
          <w:rFonts w:cs="Times New Roman"/>
          <w:szCs w:val="24"/>
        </w:rPr>
        <w:t xml:space="preserve">. This alternative MIEC production method avoids the high sintering steps associated with co-sintering. The electro catalyst is injected as a solution into a pre-fired porous ceramic scaffold. </w:t>
      </w:r>
      <w:r w:rsidRPr="004654D6">
        <w:t>The solution penetrates deep into the sponge-like pores coating the scaffold in metallic nanoparticles</w:t>
      </w:r>
      <w:r>
        <w:t xml:space="preserve"> </w:t>
      </w:r>
      <w:r>
        <w:rPr>
          <w:rFonts w:cs="Times New Roman"/>
          <w:szCs w:val="24"/>
        </w:rPr>
        <w:fldChar w:fldCharType="begin" w:fldLock="1"/>
      </w:r>
      <w:r>
        <w:rPr>
          <w:rFonts w:cs="Times New Roman"/>
          <w:szCs w:val="24"/>
        </w:rPr>
        <w:instrText>ADDIN CSL_CITATION {"citationItems":[{"id":"ITEM-1","itemData":{"DOI":"10.1007/s10832-015-9995-8","ISBN":"13853449 (ISSN)","ISSN":"1385-3449","abstract":"Evaporation of Ni in the form of Nickel Hydroxide (Ni(OH)2) in Solid Oxide Fuel Cell (SOFC) anodes (Ni-YSZ) is one of the major causes of anode degradation. Transition metals such as Fe, Cr and Co can act as sacrificial anodes for Ni, because of lower Gibbs Free Energy values for the formation of their corresponding volatile hydroxides as compared to Ni (OH)2. The transition metals were added to porous Ni-YSZ anode scaffold by infiltration method. Nano-sized particles were sporadically dispersed on the Ni-YSZ surface, confirmed by Scanning Electron Microscopy (SEM). X-Ray Diffraction (XRD) patterns show a very good chemical compatibility between the added metals and Ni-YSZ anodes. Symmetric cells were then prepared and the Area-Specific Resistance (ASR) was monitored at 1000 °C, with a fuel gas containing 25 vol.% H2, 75 vol.% N2, for more than 250 h. To control accelerated evaporation condition of anode, relative humidity in anode gas was fixed at 12 %. The difference in the amount of the added metal before and after long-tern test was determined by EDS analysis. Change in the grain size distribution of Ni particles and Triple Phase Boundary (TPB) density, before and after long term test were calculated by image analysis. Well-defined relations were obtained among ASR change rate determined from electrochemical measurements and grain size distribution, TPB density change rate calculated from image analysis. © 2015, Springer Science+Business Media New York.","author":[{"dropping-particle":"","family":"Lee","given":"Seung-Bok","non-dropping-particle":"","parse-names":false,"suffix":""},{"dropping-particle":"","family":"Song","given":"Rak-Hyun","non-dropping-particle":"","parse-names":false,"suffix":""},{"dropping-particle":"","family":"Lim","given":"Tak-Hyoung","non-dropping-particle":"","parse-names":false,"suffix":""},{"dropping-particle":"","family":"Khan","given":"Muhammad Shirjeel","non-dropping-particle":"","parse-names":false,"suffix":""},{"dropping-particle":"","family":"Lee","given":"Jong-Won","non-dropping-particle":"","parse-names":false,"suffix":""},{"dropping-particle":"","family":"Park","given":"Seok-Joo","non-dropping-particle":"","parse-names":false,"suffix":""}],"container-title":"Journal of Electroceramics","id":"ITEM-1","issue":"1-4","issued":{"date-parts":[["2015"]]},"language":"English","note":"Export Date: 20 January 2017\nCODEN: JOELF\nCorrespondence Address: Lee, S.-B.; Department of Advanced Energy Technology, Korea University of Science and Technology, 217 Gajeong-ro, Yuseong-gu, South Korea; email: sblee@kier.re.kr\nReferences: Yokokawa, H., Tu, H., Iwanschitz, B., Mai, A., (2008) J. Power Sources, 182, p. 400; Holzer, L., Iwanschitz, B., Hocker, T., Münch, B., Prestat, M., Wiedenmann, D., Vogt, U., Graule, T., (2011) J. Power Sources, 196, p. 1279; Jiao, Z., Takagi, N., Shikazono, N., Kasagi, N., (2011) J. Power Sources, 196, p. 1019; Barfod, R., Koch, S., Liu, Y.-L., Larsen, P.H., Hendriksen, P.V., Electrochem (2003) Soc. Proc. Ser. Pennington, NJ, p. 1158; Hagen, A., Barfod, R., Hendriksen, P.V., Liu, Y.-L., Ramousse, S., (2006) J. Electrochem. Soc., 153, p. 1165; Matsui, T., Kishida, R., Muroyama, H., Eguchi, K., (2012) J. Electrochem. Soc., 159, p. 456; Choi, J.H., Lee, T., Choi, M., Yoo, Y.-S., Baek, S.-W., Bae, J., (2010) Int. J. Hydrog Energy, 35, p. 4285; Park, K., Yu, S., Bae, J., Kim, H., Ko, Y., (2010) Int. J. Hydrog Energy, 35, p. 8670; Mukhopadhyay, M., Mukhopadhyay, J., Das Sharma, A., Basu, R.N., (2013) Solid State Ionics, 233, p. 20; Khan, M.Z., Song, R.-H., Lee, S.-B., Lee, J.-W., Lim, T.-H., Park, S.-J., (2014) Int. J. Hydrog Energy, 39, p. 20799; Gross, M.D., Vohs, J.M., Gorte, R.J., (2007) Electrochem. Solid-State Lett., 10, p. 65; Chen, K., Chen, X., Lü, Z., Ai, N., Huang, X., Su, W., (2008) Electrochim. Acta, 53, p. 7825; Wang, Z., Zhang, N., Qiao, J., Sun, K., Xu, P., (2009) Electrochem. Commun., 11, p. 1120; Suzuki, T., Sugihara, S., Yamaguchi, T., Sumi, H., Hamamoto, K., Fujishiro, Y., (2011) Electrochem. Commun., 13, p. 959; Klemensø, T., Thydén, K., Chen, M., Wang, H.-J., (2010) J. Power Sources, 195, p. 7295; Tal, S., Hideto, K., Craig, P.J., Steven, J.V., Lutgrad, C.D.J., (2007) ECS Trans., 7, p. 837; Qiao, J., Sun, K., Zhang, N., Sun, B., Kong, J., Zhou, D., (2007) J. Power Sources, 169, p. 253; Lou, X., Liu, Z., Wang, S., Xiu, Y., Wong, C.P., Liu, M., (2010) J. Power Sources, 195, p. 419; Belton, G.R., Richardson, F.D., (1962) Trans. Faraday Soc., 58, p. 1562; Yan, J., Enoki, M., Matsumoto, H., Ishihara, T., (2007) Electrochem. Solid-State Lett., 10, p. 139; Khan, M.S., Wahyudi, W., Lee, S.-B., Song, R.-H., Lee, J.-W., Lim, T.-H., Park, S.-J., (2015) Int. J. Hydrog Energy, 40, p. 11968; Mizusaki, J., (1994) J. Electrochem. Soc., 141, p. 2129; Ioselevich, A., (1999) Solid State Ionics, 124, p. 221; Bieberle, A., Meier, L.P., Gauckler, L.J., (2001) J. Electrochem. Soc., 148, p. 646; Jiang, S., (2003) J. Mater. Sci., 38, p. 3775; Wilson, J.R., Kobsiriphat, W., Mendoza, R., H-Yi, C., Hiller, J.M., Miller, D.J., Thornton, K., Barnett, S.A., (2006) Nat. Mater., 5, p. 541; Faes, A., Hessler-Wyser, A., Presvytes, D., Vayenas, C.G., Van Herle, J., (2009) Fuel Cells, 9, p. 841","page":"81-89","publisher":"Springer New York LLC","title":"Effect of infiltrated transition metals on nickel morphology change and area-specific resistance of Ni-YSZ based SOFC anode during long-term operation","type":"article-journal","volume":"35"},"uris":["http://www.mendeley.com/documents/?uuid=4acc0c92-8bf4-406e-8961-03cbe19d9cfa"]},{"id":"ITEM-2","itemData":{"DOI":"10.1016/j.ijhydene.2011.09.067","ISBN":"0360-3199","ISSN":"03603199","abstract":"Solid oxide fuel cells (SOFCs) are the most efficient devices for the direct conversion of the chemical energy stored in fuels such as hydrogen and hydrocarbons into electricity. The development of highly efficient and robust SOFCs requires cathodes and anodes with high electrocatalytic activity for O2 reduction and direct oxidation of hydrocarbon fuels, respectively. Nanoscale engineering of electrode structures via metal salt solution impregnation or infiltration attracts increasing attention as the most effective way to develop highly active and advanced electrode structures for SOFCs. The infiltration method opens a new horizon in the advanced electrode development as the method expands the set of variable electrode materials combinations with the elimination of thermal expansion mismatch and the suppression of potential detrimental reactions between electrode and electrolyte materials. In this article, the advances and challenges in the development of nanoscale and nano-structured electrodes and the fundamental understanding of the remarkable enhancement in the electrode performance are reviewed and discussed with primary focus on the progress and status of the field in the last 5 years. © 2011, Hydrogen Energy Publications, LLC. Published by Elsevier Ltd. All rights reserved.","author":[{"dropping-particle":"","family":"Jiang","given":"San Ping","non-dropping-particle":"","parse-names":false,"suffix":""}],"container-title":"International Journal of Hydrogen Energy","id":"ITEM-2","issue":"1","issued":{"date-parts":[["2012"]]},"page":"449-470","publisher":"Elsevier Ltd","title":"Nanoscale and nano-structured electrodes of solid oxide fuel cells by infiltration: Advances and challenges","type":"article-journal","volume":"37"},"uris":["http://www.mendeley.com/documents/?uuid=1e763b61-ae5c-4cbc-9bfe-a6266d8deaed"]},{"id":"ITEM-3","itemData":{"DOI":"10.1016/j.msea.2005.11.052","ISBN":"0921-5093","ISSN":"09215093","abstract":"Development of solid oxide fuel cells (SOFC) for operation at intermediate temperatures of 600-800 °C with hydrocarbon fuels requires a cathode and anode with high electrocatalytic activity for O2 reduction and direct oxidation of hydrocarbon fuels, respectively. Wet impregnation is a well known method in the development of heterogeneous catalysts. Surprisingly, very few have concentrated on the application of the wet impregnation technique to deposit nano-sized particles into the established electrode structure of the SOFC. This paper reviews and discusses the progress in the application of the wet impregnation technique in the development of Ni-free Cu-based composite anodes, doped CeO2-impregnated (La, Sr)MnO3 (LSM) cathodes and Ni anodes, Co3O4-infiltrated cathodes and precious metal-impregnated electrodes. Enhancement in the electrode microstructure and cell performance is substantial, showing the great potential of the wet impregnation method in the development of high performance and nano-structured electrodes with specific functions. However, the long-term stability of the impregnated electrode structure needs to be addressed. © 2005 Elsevier B.V. All rights reserved.","author":[{"dropping-particle":"","family":"Jiang","given":"San Ping","non-dropping-particle":"","parse-names":false,"suffix":""}],"container-title":"Materials Science and Engineering A","id":"ITEM-3","issue":"1-2","issued":{"date-parts":[["2006"]]},"page":"199-210","title":"A review of wet impregnation - An alternative method for the fabrication of high performance and nano-structured electrodes of solid oxide fuel cells","type":"article-journal","volume":"418"},"uris":["http://www.mendeley.com/documents/?uuid=1b62ce8c-e32a-4d57-8934-697b6b8042b0"]},{"id":"ITEM-4","itemData":{"DOI":"10.1039/c3ee42926a","ISSN":"17545706","abstract":"Solid oxide fuel cells (SOFCs) have the potential to be one of the cleanest and most efficient energy technologies for direct conversion of chemical fuels to electricity. Economically competitive SOFC systems appear poised for commercialization, but widespread market penetration will require continuous innovation of materials and fabrication processes to enhance system lifetime and reduce cost. One early technical opportunity is minimization of resistance to the oxygen reduction reaction (ORR) at the cathode, which contributes the most to performance degradation and efficiency loss in the existing SOFCs, especially at temperatures &lt;700 °C. Detailed study over the past 15 years has revealed the positive impact of catalyst infiltration on SOFC cathode performance, both in power density and durability metrics. However, realizable performance improvements rely upon strongly-coupled relationships in materials and morphology between the infiltrate and the backbone, and therefore efficacious systems cannot be simply generated with a set of simple heuristics. This article reviews recent progress in enhancing SOFC cathode performance by surface modification through a solution-based infiltration process, focusing on two backbone architectures-inherently functional and skeletal-infiltrated using wet-chemistry processes. An efficient cathode consists of a porous mixed-conducting backbone and an active coating catalyst; the porous backbone provides excellent ionic and electronic conductivity, while the infiltrated surface coating possesses high catalytic activity and stability. As available, performance comparisons are emphasized and reaction schematics for specific infiltrate/backbone systems are summarized. While significant progress has been achieved in enhancing surface catalytic activity and durability, the detailed mechanisms of performance enhancement are insufficiently understood to obtain critical insights and a scientific basis for rational design of more efficient catalysts and novel electrode architectures. Recent progress in characterization of surfaces and interfaces is briefly discussed with challenges and perspectives in surface modification of SOFC electrodes. Surface modification through infiltration is expected to play an increasingly important role in current and next-generation commercial SOFC development, and this review illustrates the sophisticated technical considerations required to inform judicious selection of an infiltrate for a given SO…","author":[{"dropping-particle":"","family":"Ding","given":"Dong","non-dropping-particle":"","parse-names":false,"suffix":""},{"dropping-particle":"","family":"Li","given":"Xiaxi","non-dropping-particle":"","parse-names":false,"suffix":""},{"dropping-particle":"","family":"Lai","given":"Samson Yuxiu","non-dropping-particle":"","parse-names":false,"suffix":""},{"dropping-particle":"","family":"Gerdes","given":"Kirk","non-dropping-particle":"","parse-names":false,"suffix":""},{"dropping-particle":"","family":"Liu","given":"Meilin","non-dropping-particle":"","parse-names":false,"suffix":""}],"container-title":"Energy and Environmental Science","id":"ITEM-4","issue":"2","issued":{"date-parts":[["2014"]]},"page":"552-575","title":"Enhancing SOFC cathode performance by surface modification through infiltration","type":"article-journal","volume":"7"},"uris":["http://www.mendeley.com/documents/?uuid=07b7af68-5a4c-4c2a-a4d7-4f096eafa61b"]}],"mendeley":{"formattedCitation":"[8], [69]–[71]","plainTextFormattedCitation":"[8], [69]–[71]","previouslyFormattedCitation":"[8], [69]–[71]"},"properties":{"noteIndex":0},"schema":"https://github.com/citation-style-language/schema/raw/master/csl-citation.json"}</w:instrText>
      </w:r>
      <w:r>
        <w:rPr>
          <w:rFonts w:cs="Times New Roman"/>
          <w:szCs w:val="24"/>
        </w:rPr>
        <w:fldChar w:fldCharType="separate"/>
      </w:r>
      <w:r w:rsidRPr="00375DF8">
        <w:rPr>
          <w:rFonts w:cs="Times New Roman"/>
          <w:noProof/>
          <w:szCs w:val="24"/>
        </w:rPr>
        <w:t>[8], [69]–[71]</w:t>
      </w:r>
      <w:r>
        <w:rPr>
          <w:rFonts w:cs="Times New Roman"/>
          <w:szCs w:val="24"/>
        </w:rPr>
        <w:fldChar w:fldCharType="end"/>
      </w:r>
      <w:r w:rsidRPr="004654D6">
        <w:rPr>
          <w:rFonts w:cs="Times New Roman"/>
          <w:szCs w:val="24"/>
        </w:rPr>
        <w:t xml:space="preserve">. </w:t>
      </w:r>
      <w:r w:rsidRPr="004654D6">
        <w:t xml:space="preserve"> After a soaking period, the scaffold is dried to remove the liquid phase which results in a decoration of metal nanoparticles on the surface of the sample. The high catalyst surface area present in infiltrated electrodes translates to high initial power densities</w:t>
      </w:r>
      <w:r>
        <w:t xml:space="preserve"> (</w:t>
      </w:r>
      <w:r w:rsidRPr="005554D6">
        <w:rPr>
          <w:color w:val="000000" w:themeColor="text1"/>
        </w:rPr>
        <w:fldChar w:fldCharType="begin"/>
      </w:r>
      <w:r w:rsidRPr="005554D6">
        <w:rPr>
          <w:color w:val="000000" w:themeColor="text1"/>
        </w:rPr>
        <w:instrText xml:space="preserve"> REF _Ref50645543 \h  \* MERGEFORMAT </w:instrText>
      </w:r>
      <w:r w:rsidRPr="005554D6">
        <w:rPr>
          <w:color w:val="000000" w:themeColor="text1"/>
        </w:rPr>
      </w:r>
      <w:r w:rsidRPr="005554D6">
        <w:rPr>
          <w:color w:val="000000" w:themeColor="text1"/>
        </w:rPr>
        <w:fldChar w:fldCharType="separate"/>
      </w:r>
      <w:r w:rsidRPr="00C103C3">
        <w:rPr>
          <w:color w:val="000000" w:themeColor="text1"/>
        </w:rPr>
        <w:t>Figure 1.7</w:t>
      </w:r>
      <w:r w:rsidRPr="005554D6">
        <w:rPr>
          <w:color w:val="000000" w:themeColor="text1"/>
        </w:rPr>
        <w:fldChar w:fldCharType="end"/>
      </w:r>
      <w:r w:rsidRPr="005554D6">
        <w:rPr>
          <w:color w:val="000000" w:themeColor="text1"/>
        </w:rPr>
        <w:t>)</w:t>
      </w:r>
      <w:r>
        <w:rPr>
          <w:color w:val="000000" w:themeColor="text1"/>
        </w:rPr>
        <w:t xml:space="preserve"> </w:t>
      </w:r>
      <w:r>
        <w:fldChar w:fldCharType="begin" w:fldLock="1"/>
      </w:r>
      <w:r>
        <w:instrText>ADDIN CSL_CITATION {"citationItems":[{"id":"ITEM-1","itemData":{"DOI":"10.1016/j.jpowsour.2018.01.021","ISSN":"03787753","abstract":"The solid oxide cell (SOC) could play a vital role in energy storage when the share of intermittent electricity production is high. However, large-scale commercialization of the technology is still hindered by the limited lifetime. Here, we address this issue by examining the potential for repairing various failure and degradation mechanisms occurring in the fuel electrode, thereby extending the potential lifetime of a SOC system. We successfully infiltrated the nickel and yttria-stabilized zirconia cermet electrode in commercial cells with Gd-doped ceria after operation. By this method we fully reactivated the fuel electrode after simulated reactant starvation and after carbon formation. Furthermore, by infiltrating after 900 h of operation, the degradation of the fuel electrode was reduced by a factor of two over the course of 2300 h. Lastly, the scalability of the concept is demonstrated by reactivating an 8-cell stack based on a commercial design.","author":[{"dropping-particle":"","family":"Skafte","given":"Theis Løye","non-dropping-particle":"","parse-names":false,"suffix":""},{"dropping-particle":"","family":"Hjelm","given":"Johan","non-dropping-particle":"","parse-names":false,"suffix":""},{"dropping-particle":"","family":"Blennow","given":"Peter","non-dropping-particle":"","parse-names":false,"suffix":""},{"dropping-particle":"","family":"Graves","given":"Christopher","non-dropping-particle":"","parse-names":false,"suffix":""}],"container-title":"Journal of Power Sources","id":"ITEM-1","issued":{"date-parts":[["2018"]]},"title":"Reactivating the Ni-YSZ electrode in solid oxide cells and stacks by infiltration","type":"article-journal","volume":"378"},"uris":["http://www.mendeley.com/documents/?uuid=01f5dafa-4f2b-30e7-ba57-baa7e6b2fbd3"]}],"mendeley":{"formattedCitation":"[72]","plainTextFormattedCitation":"[72]","previouslyFormattedCitation":"[72]"},"properties":{"noteIndex":0},"schema":"https://github.com/citation-style-language/schema/raw/master/csl-citation.json"}</w:instrText>
      </w:r>
      <w:r>
        <w:fldChar w:fldCharType="separate"/>
      </w:r>
      <w:r w:rsidRPr="00375DF8">
        <w:rPr>
          <w:noProof/>
        </w:rPr>
        <w:t>[72]</w:t>
      </w:r>
      <w:r>
        <w:fldChar w:fldCharType="end"/>
      </w:r>
      <w:r>
        <w:t>.</w:t>
      </w:r>
    </w:p>
    <w:p w14:paraId="23DCFE22" w14:textId="5AE12FC9" w:rsidR="00007F6C" w:rsidRDefault="00007F6C" w:rsidP="00007F6C">
      <w:pPr>
        <w:jc w:val="both"/>
      </w:pPr>
      <w:r w:rsidRPr="004654D6">
        <w:t>All of the infiltrated SOFCs assessed in</w:t>
      </w:r>
      <w:r>
        <w:t xml:space="preserve"> </w:t>
      </w:r>
      <w:r w:rsidRPr="005554D6">
        <w:rPr>
          <w:color w:val="000000" w:themeColor="text1"/>
        </w:rPr>
        <w:fldChar w:fldCharType="begin"/>
      </w:r>
      <w:r w:rsidRPr="005554D6">
        <w:rPr>
          <w:color w:val="000000" w:themeColor="text1"/>
        </w:rPr>
        <w:instrText xml:space="preserve"> REF _Ref50645543 \h  \* MERGEFORMAT </w:instrText>
      </w:r>
      <w:r w:rsidRPr="005554D6">
        <w:rPr>
          <w:color w:val="000000" w:themeColor="text1"/>
        </w:rPr>
      </w:r>
      <w:r w:rsidRPr="005554D6">
        <w:rPr>
          <w:color w:val="000000" w:themeColor="text1"/>
        </w:rPr>
        <w:fldChar w:fldCharType="separate"/>
      </w:r>
      <w:r w:rsidRPr="00C103C3">
        <w:rPr>
          <w:color w:val="000000" w:themeColor="text1"/>
        </w:rPr>
        <w:t>Figure 1.7</w:t>
      </w:r>
      <w:r w:rsidRPr="005554D6">
        <w:rPr>
          <w:color w:val="000000" w:themeColor="text1"/>
        </w:rPr>
        <w:fldChar w:fldCharType="end"/>
      </w:r>
      <w:r w:rsidRPr="005554D6">
        <w:rPr>
          <w:color w:val="000000" w:themeColor="text1"/>
        </w:rPr>
        <w:t xml:space="preserve"> </w:t>
      </w:r>
      <w:r w:rsidRPr="004654D6">
        <w:t>(4-9) have not been assessed for a period longer than 1.5</w:t>
      </w:r>
      <w:r w:rsidR="00563D15">
        <w:t xml:space="preserve"> </w:t>
      </w:r>
      <w:proofErr w:type="spellStart"/>
      <w:r w:rsidRPr="004654D6">
        <w:t>kh</w:t>
      </w:r>
      <w:proofErr w:type="spellEnd"/>
      <w:r w:rsidRPr="004654D6">
        <w:t xml:space="preserve"> which is 3.75</w:t>
      </w:r>
      <w:r w:rsidR="00563D15">
        <w:t xml:space="preserve"> </w:t>
      </w:r>
      <w:r w:rsidRPr="004654D6">
        <w:t>% of the target 40,000</w:t>
      </w:r>
      <w:r w:rsidR="00563D15">
        <w:t xml:space="preserve"> </w:t>
      </w:r>
      <w:r w:rsidRPr="004654D6">
        <w:t>h</w:t>
      </w:r>
      <w:r>
        <w:fldChar w:fldCharType="begin" w:fldLock="1"/>
      </w:r>
      <w:r>
        <w:instrText>ADDIN CSL_CITATION {"citationItems":[{"id":"ITEM-1","itemData":{"DOI":"10.1039/c1ee02445k","ISSN":"17545692","abstract":"The 2012 Department of Energy (DOE) budget request significantly reduces fuel cell RD&amp;D funding and would cease to support the Solid State Energy Conversion Alliance (SECA), DOE's solid oxide fuel cell (SOFC) program. This would be a grave mistake considering the US's historic dominance in fuel cell RD&amp;D, exciting recent technological advancements in fuel cells, and clear positive market signals around the globe. In this paper we discuss DOE's energy RD&amp;D policy, how SOFCs address every key DOE strategy, and why recent advances should make SOFCs an integral part of our energy RD&amp;D policy. Moreover, we compare the prospects of low temperature SOFCs with the more common proton exchange membrane fuel cell (PEMFC) in the absence of a hydrogen infrastructure. © The Royal Society of Chemistry 2012.","author":[{"dropping-particle":"","family":"Wachsman","given":"Eric D.","non-dropping-particle":"","parse-names":false,"suffix":""},{"dropping-particle":"","family":"Marlowe","given":"Craig A.","non-dropping-particle":"","parse-names":false,"suffix":""},{"dropping-particle":"","family":"Lee","given":"Kang Taek","non-dropping-particle":"","parse-names":false,"suffix":""}],"container-title":"Energy and Environmental Science","id":"ITEM-1","issue":"2","issued":{"date-parts":[["2012"]]},"page":"5498-5509","title":"Role of solid oxide fuel cells in a balanced energy strategy","type":"article-journal","volume":"5"},"uris":["http://www.mendeley.com/documents/?uuid=4cb63338-bf7a-47f2-a752-19de48ac0023"]},{"id":"ITEM-2","itemData":{"author":[{"dropping-particle":"","family":"Thijssen","given":"J","non-dropping-particle":"","parse-names":false,"suffix":""}],"editor":[{"dropping-particle":"","family":"Energy","given":"U S Department of","non-dropping-particle":"","parse-names":false,"suffix":""}],"id":"ITEM-2","issued":{"date-parts":[["2007"]]},"page":"3-70","publisher":"US Department of Energy","publisher-place":"DoE ","title":"The impact of scale-up and production volume on SOFC manufacturing cost","type":"article"},"uris":["http://www.mendeley.com/documents/?uuid=880572c5-525c-4f6f-a991-f466396cf0eb"]}],"mendeley":{"formattedCitation":"[3], [73]","plainTextFormattedCitation":"[3], [73]","previouslyFormattedCitation":"[3], [73]"},"properties":{"noteIndex":0},"schema":"https://github.com/citation-style-language/schema/raw/master/csl-citation.json"}</w:instrText>
      </w:r>
      <w:r>
        <w:fldChar w:fldCharType="separate"/>
      </w:r>
      <w:r w:rsidRPr="00375DF8">
        <w:rPr>
          <w:noProof/>
        </w:rPr>
        <w:t>[3], [73]</w:t>
      </w:r>
      <w:r>
        <w:fldChar w:fldCharType="end"/>
      </w:r>
      <w:r w:rsidRPr="004654D6">
        <w:t>.</w:t>
      </w:r>
      <w:r>
        <w:t xml:space="preserve"> </w:t>
      </w:r>
      <w:r w:rsidRPr="004654D6">
        <w:t>This is not representative of the overall</w:t>
      </w:r>
      <w:r>
        <w:t xml:space="preserve"> operating lifetime</w:t>
      </w:r>
      <w:r w:rsidRPr="004654D6">
        <w:t xml:space="preserve"> and thus linear degradation rates are assumed to provide the %/</w:t>
      </w:r>
      <w:proofErr w:type="spellStart"/>
      <w:r w:rsidRPr="004654D6">
        <w:t>kh</w:t>
      </w:r>
      <w:proofErr w:type="spellEnd"/>
      <w:r w:rsidRPr="004654D6">
        <w:t xml:space="preserve"> degradation rates provided.</w:t>
      </w:r>
    </w:p>
    <w:p w14:paraId="700E2010" w14:textId="77777777" w:rsidR="00007F6C" w:rsidRDefault="00007F6C" w:rsidP="00007F6C">
      <w:pPr>
        <w:keepNext/>
        <w:spacing w:before="240"/>
        <w:jc w:val="center"/>
      </w:pPr>
      <w:r w:rsidRPr="004654D6">
        <w:object w:dxaOrig="4634" w:dyaOrig="3545" w14:anchorId="5F88DD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0pt;height:306pt" o:ole="">
            <v:imagedata r:id="rId15" o:title="" croptop="1906f" cropbottom="3519f" cropleft="5153f" cropright="2465f"/>
          </v:shape>
          <o:OLEObject Type="Embed" ProgID="Origin50.Graph" ShapeID="_x0000_i1025" DrawAspect="Content" ObjectID="_1679900053" r:id="rId16"/>
        </w:object>
      </w:r>
    </w:p>
    <w:p w14:paraId="68F0EB1D" w14:textId="3284CD2A" w:rsidR="00007F6C" w:rsidRPr="00225729" w:rsidRDefault="00007F6C" w:rsidP="00007F6C">
      <w:pPr>
        <w:jc w:val="center"/>
        <w:rPr>
          <w:i/>
          <w:iCs/>
          <w:color w:val="44546A" w:themeColor="text2"/>
          <w:sz w:val="18"/>
          <w:szCs w:val="18"/>
        </w:rPr>
      </w:pPr>
      <w:bookmarkStart w:id="37" w:name="_Ref50645543"/>
      <w:bookmarkStart w:id="38" w:name="_Toc69114911"/>
      <w:r w:rsidRPr="00225729">
        <w:rPr>
          <w:i/>
          <w:iCs/>
          <w:color w:val="44546A" w:themeColor="text2"/>
          <w:sz w:val="18"/>
          <w:szCs w:val="18"/>
        </w:rPr>
        <w:t>Figure 1.</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C73B12">
        <w:rPr>
          <w:i/>
          <w:iCs/>
          <w:noProof/>
          <w:color w:val="44546A" w:themeColor="text2"/>
          <w:sz w:val="18"/>
          <w:szCs w:val="18"/>
        </w:rPr>
        <w:t>7</w:t>
      </w:r>
      <w:r w:rsidR="00285C23">
        <w:rPr>
          <w:i/>
          <w:iCs/>
          <w:color w:val="44546A" w:themeColor="text2"/>
          <w:sz w:val="18"/>
          <w:szCs w:val="18"/>
        </w:rPr>
        <w:fldChar w:fldCharType="end"/>
      </w:r>
      <w:bookmarkEnd w:id="37"/>
      <w:r w:rsidRPr="00225729">
        <w:rPr>
          <w:i/>
          <w:iCs/>
          <w:color w:val="44546A" w:themeColor="text2"/>
          <w:sz w:val="18"/>
          <w:szCs w:val="18"/>
        </w:rPr>
        <w:t>: Comparison of the power densities and degradation rates of commercial SOFCs</w:t>
      </w:r>
      <w:r>
        <w:rPr>
          <w:i/>
          <w:iCs/>
          <w:color w:val="44546A" w:themeColor="text2"/>
          <w:sz w:val="18"/>
          <w:szCs w:val="18"/>
        </w:rPr>
        <w:t xml:space="preserve"> </w:t>
      </w:r>
      <w:r w:rsidRPr="00225729">
        <w:rPr>
          <w:i/>
          <w:iCs/>
          <w:color w:val="44546A" w:themeColor="text2"/>
          <w:sz w:val="18"/>
          <w:szCs w:val="18"/>
        </w:rPr>
        <w:t>(1-3) with infiltrated cells</w:t>
      </w:r>
      <w:r>
        <w:rPr>
          <w:i/>
          <w:iCs/>
          <w:color w:val="44546A" w:themeColor="text2"/>
          <w:sz w:val="18"/>
          <w:szCs w:val="18"/>
        </w:rPr>
        <w:t xml:space="preserve">. All the data sets used SOFC stacks operating at 800 </w:t>
      </w:r>
      <w:r>
        <w:rPr>
          <w:rFonts w:cstheme="minorHAnsi"/>
          <w:i/>
          <w:iCs/>
          <w:color w:val="44546A" w:themeColor="text2"/>
          <w:sz w:val="18"/>
          <w:szCs w:val="18"/>
        </w:rPr>
        <w:t>⁰</w:t>
      </w:r>
      <w:r>
        <w:rPr>
          <w:i/>
          <w:iCs/>
          <w:color w:val="44546A" w:themeColor="text2"/>
          <w:sz w:val="18"/>
          <w:szCs w:val="18"/>
        </w:rPr>
        <w:t>C, H</w:t>
      </w:r>
      <w:r>
        <w:rPr>
          <w:i/>
          <w:iCs/>
          <w:color w:val="44546A" w:themeColor="text2"/>
          <w:sz w:val="18"/>
          <w:szCs w:val="18"/>
          <w:vertAlign w:val="subscript"/>
        </w:rPr>
        <w:t>2</w:t>
      </w:r>
      <w:r>
        <w:rPr>
          <w:i/>
          <w:iCs/>
          <w:color w:val="44546A" w:themeColor="text2"/>
          <w:sz w:val="18"/>
          <w:szCs w:val="18"/>
        </w:rPr>
        <w:t xml:space="preserve"> as the fuel, and Ni-YSZ fuel electrodes</w:t>
      </w:r>
      <w:r w:rsidRPr="00225729">
        <w:rPr>
          <w:i/>
          <w:iCs/>
          <w:color w:val="44546A" w:themeColor="text2"/>
          <w:sz w:val="18"/>
          <w:szCs w:val="18"/>
        </w:rPr>
        <w:t xml:space="preserve"> (4-9) </w:t>
      </w:r>
      <w:r w:rsidRPr="00225729">
        <w:rPr>
          <w:i/>
          <w:iCs/>
          <w:color w:val="44546A" w:themeColor="text2"/>
          <w:sz w:val="18"/>
          <w:szCs w:val="18"/>
        </w:rPr>
        <w:fldChar w:fldCharType="begin" w:fldLock="1"/>
      </w:r>
      <w:r>
        <w:rPr>
          <w:i/>
          <w:iCs/>
          <w:color w:val="44546A" w:themeColor="text2"/>
          <w:sz w:val="18"/>
          <w:szCs w:val="18"/>
        </w:rPr>
        <w:instrText xml:space="preserve">ADDIN CSL_CITATION {"citationItems":[{"id":"ITEM-1","itemData":{"author":[{"dropping-particle":"","family":"T.L. Skafte  P. Blennow and C. Graves","given":"J Hjelm","non-dropping-particle":"","parse-names":false,"suffix":""}],"container-title":"Proceedings of 12th European SOFC &amp; SOE Forum 2016","id":"ITEM-1","issued":{"date-parts":[["2016"]]},"page":"19","publisher":"European Fuel Cell Forum","publisher-place":"Lucerne, Switzerland","title":"Quantitative review of degradation and lifetime of solid oxide cells and stacks","type":"paper-conference"},"uris":["http://www.mendeley.com/documents/?uuid=686d533f-2ce1-4e2e-b7de-65bbff82ec66"]},{"id":"ITEM-2","itemData":{"DOI":"10.1016/j.jpowsour.2013.03.001","ISBN":"0378-7753","ISSN":"03787753","abstract":"Over the past half-century, Siemens/Westinghouse systematically developed the cathode-supported tubular solid oxide fuel cell (SOFC) technology and demonstrated the world's first highly efficient, longest running 100-kWe class solid oxide fuel cell/combined heat and power (SOFC/CHP) system and the first highest-efficiency, 220-kWe class pressurized SOFC/gas turbine (PSOFC/GT) hybrid system based on this technology. This review provides a broad overview on this technology from the perspectives of materials, manufacturing, cell design, system integration and electrical testing. It starts from the basic facts of a SOFC, where the working principle, advantages, types and applications of SOFCs are discussed. It then focuses on cathode-supported tubular SOFCs, one important type of SOFC design, by providing detailed technical information on engineering innovations, materials advances, manufacturing processes and electrical performance of Siemens/Westinghouse's cylindrical and flattened ribbed tubular cells. The review concludes with a high-level summary of the SOFC systems manufactured and demonstrated by Siemens/Westinghouse in the past few decades. © 2013 Elsevier B.V. All rights reserved.","author":[{"dropping-particle":"","family":"Huang","given":"Kevin","non-dropping-particle":"","parse-names":false,"suffix":""},{"dropping-particle":"","family":"Singhal","given":"Subhash C.","non-dropping-particle":"","parse-names":false,"suffix":""}],"container-title":"Journal of Power Sources","id":"ITEM-2","issued":{"date-parts":[["2013"]]},"language":"English","note":"173nh\nTimes Cited:38\nCited References Count:82","page":"84-97","title":"Cathode-supported tubular solid oxide fuel cell technology: A critical review","type":"article-journal","volume":"237"},"uris":["http://www.mendeley.com/documents/?uuid=a642d227-2e33-4b4f-8a97-ad2a9d6f4471"]},{"id":"ITEM-3","itemData":{"DOI":"10.1149/05701.0061ecst","ISBN":"1938-6737\r1938-5862","author":[{"dropping-particle":"","family":"Borglum","given":"B P","non-dropping-particle":"","parse-names":false,"suffix":""},{"dropping-particle":"","family":"Ghezel-Ayagh","given":"H","non-dropping-particle":"","parse-names":false,"suffix":""}],"chapter-number":"61","container-title":"ECS Transactions","id":"ITEM-3","issue":"1","issued":{"date-parts":[["2013"]]},"page":"61-66","title":"Development of Solid Oxide Fuel Cells at Versa Power Systems and Fuel Cell Energy","type":"article-journal","volume":"57"},"uris":["http://www.mendeley.com/documents/?uuid=fb734a74-05ea-4482-9c7f-560cec27b43f"]},{"id":"ITEM-4","itemData":{"DOI":"10.1016/j.jpowsour.2015.06.114","ISSN":"03787753","abstract":"Here, stability of the metal-supported solid oxide fuel cell (MS-SOFC) with Ni-Ce&lt;inf&gt;0.8&lt;/inf&gt;Sm&lt;inf&gt;0.2&lt;/inf&gt;O&lt;inf&gt;2-δ&lt;/inf&gt; (SDC) infiltrated 430L anode and La&lt;inf&gt;0.6&lt;/inf&gt;Sr&lt;inf&gt;0.4&lt;/inf&gt;Fe&lt;inf&gt;0.9&lt;/inf&gt;Sc&lt;inf&gt;0.1&lt;/inf&gt;O&lt;inf&gt;3-δ&lt;/inf&gt; (LSFSc) infiltrated scandia-stabilized zirconia (SSZ) cathode is evaluated. It is found that the degradation rate defined as the voltage loss during a fixed period is faster at higher operation temperatures and larger current densities. Scanning electron microscopy (SEM) and energy dispersive X-ray spectra (EDS) analysis indicate that the degradation is mainly caused by the morphological change of the anode while metal element diffusion between Ni catalyst and 430L substrate contributes little. A 1500 h durability test measured at 650 °C and 0.9 A cm&lt;sup&gt;-2&lt;/sup&gt; shows a degradation rate of 1.3% kh&lt;sup&gt;-1&lt;/sup&gt; and the voltage decrease is mainly found in the initial 500 h.","author":[{"dropping-particle":"","family":"Zhou","given":"Yucun","non-dropping-particle":"","parse-names":false,"suffix":""},{"dropping-particle":"","family":"Chen","given":"Ting","non-dropping-particle":"","parse-names":false,"suffix":""},{"dropping-particle":"","family":"Li","given":"Junliang","non-dropping-particle":"","parse-names":false,"suffix":""},{"dropping-particle":"","family":"Yuan","given":"Chun","non-dropping-particle":"","parse-names":false,"suffix":""},{"dropping-particle":"","family":"Xin","given":"Xianshuang","non-dropping-particle":"","parse-names":false,"suffix":""},{"dropping-particle":"","family":"Chen","given":"Guoyi","non-dropping-particle":"","parse-names":false,"suffix":""},{"dropping-particle":"","family":"Miao","given":"Guoshuan","non-dropping-particle":"","parse-names":false,"suffix":""},{"dropping-particle":"","family":"Zhan","given":"Weiting","non-dropping-particle":"","parse-names":false,"suffix":""},{"dropping-particle":"","family":"Zhan","given":"Zhongliang","non-dropping-particle":"","parse-names":false,"suffix":""},{"dropping-particle":"","family":"Wang","given":"Shaorong","non-dropping-particle":"","parse-names":false,"suffix":""}],"container-title":"Journal of Power Sources","id":"ITEM-4","issued":{"date-parts":[["2015"]]},"page":"67-73","title":"Long-term stability of metal-supported solid oxide fuel cells employing infiltrated electrodes","type":"article-journal","volume":"295"},"uris":["http://www.mendeley.com/documents/?uuid=149437b5-0d6a-48dd-9d97-4672b72762eb"]},{"id":"ITEM-5","itemData":{"DOI":"10.1111/ijac.12748","ISSN":"17447402","abstract":"NiO-YSZ/YSZ/LSCF-YSZ tri-layer structure SOFC has been fabricated by tape casting and infiltration methods. Subsequently, polarization curves and electrochemical impedance spectra measurement were carried out to evaluate cell performance at 850-700°C with varied steam content in hydrogen supplied to the anode. At 800°C, open circuit voltage for 4% steam-humidified hydrogen reached 1.069 V, along with a power density of 831 mW/cm2 at 0.7 V. Furthermore, 500 hours of long-term durability test has been performed at 750°C in hydrogen atmosphere, as a consequence that a voltage degradation rate of 1.7%/kh has been measured.","author":[{"dropping-particle":"","family":"Jia","given":"Chuan","non-dropping-particle":"","parse-names":false,"suffix":""},{"dropping-particle":"","family":"Chen","given":"Ming","non-dropping-particle":"","parse-names":false,"suffix":""},{"dropping-particle":"","family":"Han","given":"Minfang","non-dropping-particle":"","parse-names":false,"suffix":""}],"container-title":"International Journal of Applied Ceramic Technology","id":"ITEM-5","issue":"5","issued":{"date-parts":[["2017"]]},"page":"1006-1012","title":"Performance and electrochemical analysis of solid oxide fuel cells based on LSCF-YSZ nano-electrode","type":"article-journal","volume":"14"},"uris":["http://www.mendeley.com/documents/?uuid=bb0fae46-5ce6-42f3-ab25-991d808f387c"]},{"id":"ITEM-6","itemData":{"DOI":"10.1149/2.0231602jes","ISBN":"0013-4651\r1945-7111","ISSN":"0013-4651","abstract":"Large footprint (144 cm(2)) cells with infiltrated\n(La0.6Sr0.4)(0.95)FeO3/yttria-stabilized zirconia (LSF-YSZ) cathodes\nwere fabricated on a pre-production scale (approximately 90\ncells/batch). The excellent electrochemical performance of the cells was\nconfirmed both on single cell as well as on stack level. Changes in\nelectrode properties were mapped out as a function of heat-treatment\ntemperature. The microstructure of the porous zirconia backbone remained\nunchanged, but the surface area of the ferrite phase decreased\ngradually, as the electrode was treated to higher temperatures. Changes\nin surface area were accompanied by corresponding changes in pore size\nand total pore volume. In contrast to traditional composite electrodes,\nthe in-plane conductivity of infiltrated LSF-YSZ cathodes decreased with\nincreasing sintering temperature, a trend likely explained by\nmicrostructure alterations during the sintering of the non-random\nstructure. (C) The Author(s) 2015. Published by ECS.","author":[{"dropping-particle":"","family":"Hertz","given":"Thomas B.","non-dropping-particle":"","parse-names":false,"suffix":""},{"dropping-particle":"","family":"Heiredal-Clausen","given":"Thomas","non-dropping-particle":"","parse-names":false,"suffix":""},{"dropping-particle":"","family":"Küngas","given":"Rainer","non-dropping-particle":"","parse-names":false,"suffix":""}],"chapter-number":"F38","container-title":"Journal of The Electrochemical Society","id":"ITEM-6","issue":"2","issued":{"date-parts":[["2015"]]},"page":"F38-F43","title":"Characterization and Stack Testing of Solid Oxide Fuel Cells with Cathodes Prepared by Infiltration","type":"article-journal","volume":"163"},"uris":["http://www.mendeley.com/documents/?uuid=4e5082e7-7860-496d-bb4b-b7ce637aaf0d"]},{"id":"ITEM-7","itemData":{"DOI":"10.1016/j.ijhydene.2016.04.024","ISBN":"03603199","author":[{"dropping-particle":"","family":"Nicollet","given":"Clément","non-dropping-particle":"","parse-names":false,"suffix":""},{"dropping-particle":"","family":"Flura","given":"Aurélien","non-dropping-particle":"","parse-names":false,"suffix":""},{"dropping-particle":"","family":"Vibhu","given":"Vaibhav","non-dropping-particle":"","parse-names":false,"suffix":""},{"dropping-particle":"","family":"Rougier","given":"Aline","non-dropping-particle":"","parse-names":false,"suffix":""},{"dropping-particle":"","family":"Bassat","given":"Jean-Marc","non-dropping-particle":"","parse-names":false,"suffix":""},{"dropping-particle":"","family":"Grenier","given":"Jean-Claude","non-dropping-particle":"","parse-names":false,"suffix":""}],"chapter-number":"15538","container-title":"International Journal of Hydrogen Energy","id":"ITEM-7","issue":"34","issued":{"date-parts":[["2016"]]},"page":"15538-15544","title":"An innovative efficient oxygen electrode for SOFC: Pr 6 O 11 infiltrated into Gd-doped ceria backbone","type":"article-journal","volume":"41"},"uris":["http://www.mendeley.com/documents/?uuid=9759c32d-e3a3-43a7-9c13-c0e72bd09dde"]},{"id":"ITEM-8","itemData":{"DOI":"10.1016/j.ijhydene.2013.02.091","ISSN":"03603199","abstract":"Uniform, dense and continuous coatings of La0.8Sr 0.2MnO3-δ (LSM) have been successfully deposited on dense/porous La0.6Sr0.4Co0.2Fe 0.8O3-δ (LSCF) substrates via a one-step drop-coating process using a water-based solution in order to improve the operating stability of solid oxide fuel cell cathode. The processing conditions were optimized by precise control of the composition of infiltrating solution, including chelating agents (glycine, citric acid and ethylene glycol), surfactants (polyvinyl alcohol (PVA), polyethylene glycol (PEG) and polyvinyl pyrrolidone (PVP)) and pH values (5.25, 4.29, 3.01 and 2.09). Ethanol was found to improve the wetting ability of the water-based solution significantly, but unfortunately causing precipitation. The symmetrical and full cells tests demonstrated that both performance and stability of LSCF cathode can be enhanced by surface modification with an optimized LSM film coating, leading to </w:instrText>
      </w:r>
      <w:r>
        <w:rPr>
          <w:rFonts w:ascii="Cambria Math" w:hAnsi="Cambria Math" w:cs="Cambria Math"/>
          <w:i/>
          <w:iCs/>
          <w:color w:val="44546A" w:themeColor="text2"/>
          <w:sz w:val="18"/>
          <w:szCs w:val="18"/>
        </w:rPr>
        <w:instrText>∼</w:instrText>
      </w:r>
      <w:r>
        <w:rPr>
          <w:i/>
          <w:iCs/>
          <w:color w:val="44546A" w:themeColor="text2"/>
          <w:sz w:val="18"/>
          <w:szCs w:val="18"/>
        </w:rPr>
        <w:instrText xml:space="preserve">31% reduction in cathodic polarization resistance and </w:instrText>
      </w:r>
      <w:r>
        <w:rPr>
          <w:rFonts w:ascii="Cambria Math" w:hAnsi="Cambria Math" w:cs="Cambria Math"/>
          <w:i/>
          <w:iCs/>
          <w:color w:val="44546A" w:themeColor="text2"/>
          <w:sz w:val="18"/>
          <w:szCs w:val="18"/>
        </w:rPr>
        <w:instrText>∼</w:instrText>
      </w:r>
      <w:r>
        <w:rPr>
          <w:i/>
          <w:iCs/>
          <w:color w:val="44546A" w:themeColor="text2"/>
          <w:sz w:val="18"/>
          <w:szCs w:val="18"/>
        </w:rPr>
        <w:instrText xml:space="preserve">45% improvement in power density (without observable degradation) for almost 350 h operation at 750 </w:instrText>
      </w:r>
      <w:r>
        <w:rPr>
          <w:rFonts w:ascii="Calibri" w:hAnsi="Calibri" w:cs="Calibri"/>
          <w:i/>
          <w:iCs/>
          <w:color w:val="44546A" w:themeColor="text2"/>
          <w:sz w:val="18"/>
          <w:szCs w:val="18"/>
        </w:rPr>
        <w:instrText>°</w:instrText>
      </w:r>
      <w:r>
        <w:rPr>
          <w:i/>
          <w:iCs/>
          <w:color w:val="44546A" w:themeColor="text2"/>
          <w:sz w:val="18"/>
          <w:szCs w:val="18"/>
        </w:rPr>
        <w:instrText xml:space="preserve">C under a constant voltage of 0.7 V. Crown Copyright </w:instrText>
      </w:r>
      <w:r>
        <w:rPr>
          <w:rFonts w:ascii="Calibri" w:hAnsi="Calibri" w:cs="Calibri"/>
          <w:i/>
          <w:iCs/>
          <w:color w:val="44546A" w:themeColor="text2"/>
          <w:sz w:val="18"/>
          <w:szCs w:val="18"/>
        </w:rPr>
        <w:instrText>©</w:instrText>
      </w:r>
      <w:r>
        <w:rPr>
          <w:i/>
          <w:iCs/>
          <w:color w:val="44546A" w:themeColor="text2"/>
          <w:sz w:val="18"/>
          <w:szCs w:val="18"/>
        </w:rPr>
        <w:instrText xml:space="preserve"> 2012, Hydrogen Energy Publications, LLC. Published by Elsevier Ltd. All rights reserved.","author":[{"dropping-particle":"","family":"Zhu","given":"Xingbao","non-dropping-particle":"","parse-names":false,"suffix":""},{"dropping-particle":"","family":"Ding","given":"Dong","non-dropping-particle":"","parse-names":false,"suffix":""},{"dropping-particle":"","family":"Li","given":"Yiqian","non-dropping-particle":"","parse-names":false,"suffix":""},{"dropping-particle":"","family":"Lü","given":"Zhe","non-dropping-particle":"","parse-names":false,"suffix":""},{"dropping-particle":"","family":"Su","given":"Wenhui","non-dropping-particle":"","parse-names":false,"suffix":""},{"dropping-particle":"","family":"Zhen","given":"Liang","non-dropping-particle":"","parse-names":false,"suffix":""}],"container-title":"International Journal of Hydrogen Energy","id":"ITEM-8","issue":"13","issued":{"date-parts":[["2013"]]},"page":"5375-5382","title":"Development of La0.6Sr0.4Co0.2Fe 0.8O3-δ cathode with an improved stability via La0.8Sr0.2MnO3-film impregnation","type":"article-journal","volume":"38"},"uris":["http://www.mendeley.com/documents/?uuid=77df24ff-c9f1-4e2a-8c0b-e63b4df00d43"]}],"mendeley":{"formattedCitation":"[4], [74]–[80]","plainTextFormattedCitation":"[4], [74]–[80]","previouslyFormattedCitation":"[4], [74]–[80]"},"properties":{"noteIndex":0},"schema":"https://github.com/citation-style-language/schema/raw/master/csl-citation.json"}</w:instrText>
      </w:r>
      <w:r w:rsidRPr="00225729">
        <w:rPr>
          <w:i/>
          <w:iCs/>
          <w:color w:val="44546A" w:themeColor="text2"/>
          <w:sz w:val="18"/>
          <w:szCs w:val="18"/>
        </w:rPr>
        <w:fldChar w:fldCharType="separate"/>
      </w:r>
      <w:r w:rsidRPr="00375DF8">
        <w:rPr>
          <w:iCs/>
          <w:noProof/>
          <w:color w:val="44546A" w:themeColor="text2"/>
          <w:sz w:val="18"/>
          <w:szCs w:val="18"/>
        </w:rPr>
        <w:t>[4], [74]–[80]</w:t>
      </w:r>
      <w:bookmarkEnd w:id="38"/>
      <w:r w:rsidRPr="00225729">
        <w:rPr>
          <w:i/>
          <w:iCs/>
          <w:color w:val="44546A" w:themeColor="text2"/>
          <w:sz w:val="18"/>
          <w:szCs w:val="18"/>
        </w:rPr>
        <w:fldChar w:fldCharType="end"/>
      </w:r>
    </w:p>
    <w:p w14:paraId="7D78A78D" w14:textId="77777777" w:rsidR="00007F6C" w:rsidRDefault="00007F6C" w:rsidP="00007F6C">
      <w:pPr>
        <w:jc w:val="both"/>
        <w:rPr>
          <w:rFonts w:cs="Times New Roman"/>
          <w:szCs w:val="24"/>
        </w:rPr>
      </w:pPr>
      <w:r w:rsidRPr="004654D6">
        <w:t>Despite the obvious initial benefits of wet impregnation, the infiltrated nanoscale catalyst has a high affinity for coarsening to reduce its surface energy</w:t>
      </w:r>
      <w:r>
        <w:t xml:space="preserve"> </w:t>
      </w:r>
      <w:r>
        <w:fldChar w:fldCharType="begin" w:fldLock="1"/>
      </w:r>
      <w:r>
        <w:instrText xml:space="preserve">ADDIN CSL_CITATION {"citationItems":[{"id":"ITEM-1","itemData":{"DOI":"10.1016/j.jpowsour.2018.01.021","ISSN":"03787753","abstract":"The solid oxide cell (SOC) could play a vital role in energy storage when the share of intermittent electricity production is high. However, large-scale commercialization of the technology is still hindered by the limited lifetime. Here, we address this issue by examining the potential for repairing various failure and degradation mechanisms occurring in the fuel electrode, thereby extending the potential lifetime of a SOC system. We successfully infiltrated the nickel and yttria-stabilized zirconia cermet electrode in commercial cells with Gd-doped ceria after operation. By this method we fully reactivated the fuel electrode after simulated reactant starvation and after carbon formation. Furthermore, by infiltrating after 900 h of operation, the degradation of the fuel electrode was reduced by a factor of two over the course of 2300 h. Lastly, the scalability of the concept is demonstrated by reactivating an 8-cell stack based on a commercial design.","author":[{"dropping-particle":"","family":"Skafte","given":"Theis Løye","non-dropping-particle":"","parse-names":false,"suffix":""},{"dropping-particle":"","family":"Hjelm","given":"Johan","non-dropping-particle":"","parse-names":false,"suffix":""},{"dropping-particle":"","family":"Blennow","given":"Peter","non-dropping-particle":"","parse-names":false,"suffix":""},{"dropping-particle":"","family":"Graves","given":"Christopher","non-dropping-particle":"","parse-names":false,"suffix":""}],"container-title":"Journal of Power Sources","id":"ITEM-1","issued":{"date-parts":[["2018"]]},"title":"Reactivating the Ni-YSZ electrode in solid oxide cells and stacks by infiltration","type":"article-journal","volume":"378"},"uris":["http://www.mendeley.com/documents/?uuid=01f5dafa-4f2b-30e7-ba57-baa7e6b2fbd3"]},{"id":"ITEM-2","itemData":{"DOI":"10.1016/j.ceramint.2014.04.075","ISBN":"02728842 (ISSN)","ISSN":"02728842","abstract":"Microstructural refinement of Ni/Gd0.2Ce0.8O 2-δ (Ni/GDC20) anode by wet-infiltration of PdCl2 precursor was studied to further improve the anodic performance of low temperature solid oxide fuel cell (LT-SOFC). The effect of &lt;1 wt% of Pd loadings on polarization resistance of Ni/GDC cermet anodes for H2 oxidation reaction was examined using symmetric Ni-GDC20|GDC20|Pt electrolyte-supported cells at 400-600 °C. Nanostructure evolution before and after H2 reduction at 600 °C and also after anodic performance test revealed effectiveness of PdO loading content on the nanoparticles architecture, with PdO as the sole Pd-phase after calcination at 600 °C with no residual chloride. In the process of H2 reduction in high loading of PdO (0.26 mg/cm2), a nano-grained network of metallic palladium (Pd0) containing nanopores structure, which resulted from 40% volume deoxidizing shrinkage of PdO, was developed on the anode surface. But, in the case of small loading, PdHx phase indicating of H affinity of palladium and minute amounts of PdO on NiO were detected. The significant decrease of anodic polarization resistance, e.g. </w:instrText>
      </w:r>
      <w:r>
        <w:rPr>
          <w:rFonts w:ascii="Cambria Math" w:hAnsi="Cambria Math" w:cs="Cambria Math"/>
        </w:rPr>
        <w:instrText>∼</w:instrText>
      </w:r>
      <w:r>
        <w:instrText>100 times at 500 °C, on highly Pd-infiltrated anode was accompanied with≤40 nm agglomerates in Pd-nanonetwork and 45% oxidizing of Pd2 to PdO in H2 environment. Detailed anodic impedance analysis and activation energy (Ea) evaluation can be denoted to a balance between the Ea of reaction-limiting step of charge transfer and the E a of the facilitating step of diffusion/adsorption/dissociation of the arrived O2- species to triple phase boundaries (TPBs). Our findings verified that oxygen spillovering on the Pd2/PdO-pair nanocoating caused by the shift of the TPBs to the nanocoating-pair for H 2 oxidation reaction in LT-SOFC. © 2014 Elsevier Ltd and Techna Group S.r.l.","author":[{"dropping-particle":"","family":"Torknik","given":"Fatemeh Sadat","non-dropping-particle":"","parse-names":false,"suffix":""},{"dropping-particle":"","family":"Maghsoudipour","given":"Amir","non-dropping-particle":"","parse-names":false,"suffix":""},{"dropping-particle":"","family":"Keyanpour-Rad","given":"Mansoor","non-dropping-particle":"","parse-names":false,"suffix":""},{"dropping-particle":"","family":"Choi","given":"Gyeong Man","non-dropping-particle":"","parse-names":false,"suffix":""},{"dropping-particle":"","family":"Oh","given":"Sang Ho","non-dropping-particle":"","parse-names":false,"suffix":""},{"dropping-particle":"","family":"Shin","given":"Ga Young","non-dropping-particle":"","parse-names":false,"suffix":""}],"container-title":"Ceramics International","id":"ITEM-2","issue":"8 PART A","issued":{"date-parts":[["2014"]]},"language":"English","note":"Cited By :3\nExport Date: 20 January 2017\nCODEN: CINND\nCorrespondence Address: Torknik, F.S.; Materials and Energy Research Center (MERC), P.O. Box 14155-4777, Tehran, Iran; email: fstorknik@gmail.com\nReferences: Faes, A., Hessler-Wyser, A., Zryd, A., Van Herle, J., A review of RedOx cycling of solid oxide fuel cells anode (2012) Membranes, 2 (3), pp. 585-664; Niakolas, D.K., Athanasiou, M., Neophytides, S.G., Bebelis, S., Characterization and carbon tolerance of new Au-Mo-Ni/GDC cermet powders for use as anode materials in methane fuelled SOFCs (2011) ECS Trans., 35, pp. 1329-1336; Jiang, Z., Xia, C., Chen, F., Nano-structured composite cathodes for intermediate temperature solid oxide fuel cells via an infiltration/impregnation technique (2010) Electrochim. Acta, 55 (11), pp. 3595-3605; Uchida, H., Suzuki, H., Watanabe, M., High-performance electrode for medium temperature solid oxide fuel cells: Effects of composition and microstructures on performance of ceria-based anodes (1998) J. Electrochem. Soc., 145 (2), pp. 615-620; Zha, S., Rauch, W., Liu, M.L., Ni-Ce0.9Gd0.1O1.95 anode for GDC electrolyte-based low-temperature SOFCs (2004) Solid State Ionics, 166 (34), pp. 241-250; Torknik, F.S., Keyanpour-Rad, M., Maghsoudipour, A., Choi, G.M., Effect of microstructure refinement on performance of Ni/Ce 0.8Gd0.2O1.9 anodes for low temperature solid oxide fuel cell (2014) Ceram. Int., 40 (1), pp. 1341-1350. , (B); Lee, W., Jung, H.J., Lee, M.H., Kim, Y.-B., Park, J.S., Sinclair, R., Prinz, F.B., Oxygen surface exchange at grain boundaries of oxide ion conductors (2011) Adv. Funct. Mater., 22 (5), pp. 965-971; Ji, Y., Liu, J., He, T., Wang, J., Su, W., The effect of Pr co-dopant on the performance of solid oxide fuel cells with Sm-doped ceria electrolyte (2005) J. Alloys Compd., 389 (12), pp. 317-322; De Boer, B., Gonzalez, M., Bouwmeester, H.J.M., Verweij, H., The effect of the presence of fine YSZ particles on the performance of porous nickel electrodes (2000) Solid State Ionics, 127 (34), pp. 269-276; Jiang, S.P., Nanoscale and nano-structured electrodes of solid oxide fuel cells by infiltration: Advances and challenges (2012) Int. J. Hydrogen Energy, 37 (1), pp. 449-470; McIntosh, S., Vohs, J.M., Gorte, R.J., Effect of precious-metal dopants on SOFC anodes for direct utilization of hydrocarbons (2003) Electrochem. Solid State Lett., 6 (11), pp. 240-A243; Babaei, A., Zhang, L., Tan, S.L., Jiang, S.P., Pd-promoted (La,Ca)(Cr,Mn)O3/GDC anode for hydrogen and methane oxidation reactions of solid oxide fuel cells (2010) Solid State Ionics, 181 (2526), pp. 1221-1228; Putna, E.S., Stubenrauch, J., Vohs, J.M., Gorte, R.J., Ceria-based anodes for the direct oxidation of methane in solid oxide fuel cells (1995) Langmuir, 11 (12), pp. 4832-4837; Hibino, T., Hashimoto, A., Asano, K., Yano, M., Suzuki, M., Sano, M., An intermediate-temperature solid oxide fuel cell providing higher performance with hydrocarbons than with hydrogen (2002) Electrochem. Solid-State Lett., 5 (11), pp. 242-A244; Babaei, A., Jiang, S.P., Li, J., Electrocatalytic promotion of palladium nanoparticles on hydrogen oxidation on Ni/GDC anodes of SOFCs via spillover (2009) J. Electrochem. Soc., 156 (9), pp. 1022-B1029; Yasutake, H., Jin, Y., Yamahara, K., Ihara, M., Improved performance of nickel/gadolinium-doped ceria anode by infiltration of proton conductor (SrCe0.95Yb0.05O 3-α) in hydrogen and dry methane fuels (2009) ECS Trans., 16 (51), pp. 273-285; Liu, Z., Ding, D., Liu, B., Guo, W., Wang, W., Xia, C., Effect of impregnation phases on the performance of Ni-based anodes for low temperature solid oxide fuel cells (2011) J. Power Sources, 196 (20), pp. 8561-8567; Gade, S.K., Keeling, M.K., Davidson, A.P., Hatlevik, O., Way, J.D., Palladium-ruthenium membranes for hydrogen separation fabricated by electroless co-deposition (2009) Int. J. Hydrogen Energy, 34 (15), pp. 6484-6491; Adams, B.D., Chen, A., The role of palladium in a hydrogen economy (2011) Mater. Today, 14 (6), pp. 282-289; Wilke, S., Hennig, D., Löber, R., Ab initio calculations of hydrogen adsorption on (100) surfaces of palladium and rhodium (1994) Phys. Rev. B, 50 (4), pp. 2548-2560; Niemann, M.U., Srinivasan, S.S., Phani, A.R., Kumar, A., Yogi Goswami, D., Stefanakos, E.K., Nanomaterials for hydrogen storage applications: A review (2008) J. Nanomater., p. 9. , 10.1155/2008/950967 (Article ID 950967); Kurokawa, H., Yang, L., Jacobson, C.P., De Jonghe, L.C., Visco, S.J., Y-doped SrTiO3 based sulfur tolerant anode for solid oxide fuel cells (2007) J. Power Sources, 164, pp. 510-518; (2014) Mineral Commodity Summaries, p. 120. , U.S. Geological Survey February; Moulijn, J.A., Van Diepen, A.E., Kapteijn, F., Catalyst deactivation: Is it predictable? What to do? (2001) Appl. Catal. A: Gen., 212 (12), pp. 3-16; Chin, Y.-H., Resasco, D.E., Catalytic oxidation of methane on supported palladium under lean conditions: Kinetics, structure and properties (1999) Catalysis, Vol. 14 of Specialist Periodical Report Series, pp. 9-10. , http://dx.doi.org/10.1039/9781847553263-00001, J.J. Spivey (Ed.) Royal Society of Chemistry, Cambridge; Kurokawa, H., Yang, L., Jacobson, C.P., De Jonghe, L.C., Visco, S.J., Y-doped SrTiO3 based sulfur tolerant anode for solid oxide fuel cells (2007) J. Power Sources, 164 (2), pp. 510-518; Barin, I., Platzki, G., (1995) Thermochemical Data of Pure Substances, , 3rd ed. VCH Verlagsgesellschaft mbH Weinheim 10.1002/9783527619825; Muller, C.A., Maciejewski, M., Koeppel, R.A., Baiker, A., Combustion of methane over palladium/zirconia derived from a glassy Pd-Zr alloy: Effect of Pd particle size on catalytic behavior (1997) J. Catal., 166 (1), pp. 36-43; (2012) NIST Standard Reference Database 20, , http://srdata.nist.gov/xps/selEnergyType.aspx, National Institute of Standards and Technology, U.S. NIST X-ray Photoelectron Spectroscopy Database XPS Version 4.1; Liang, F., Chen, J., Chi, B., Pu, J., Jiang, S.P., Jian, L., Redox behavior of supported Pd particles and its effect on oxygen reduction reaction in intermediate temperature solid oxide fuel cells (2011) J. Power Sources, 196 (1), pp. 153-158; Slavinskaya, E.M., Stonkus, O.A., Gulyaev, R.V., Ivanova, A.S., Zaikovskii, V.I., Kuznetsov, P.A., Boronin, A.I., Structural and chemical states of palladium in Pd/Al2O 3 catalysts under self-sustained oscillations in reaction of CO oxidation (2011) Appl. Catal. A: Gen., 401 (12), pp. 83-97; Simonov, P.A., Troitskii, S.Y., Likholobov, V.A., Preparation of the Pd/C catalysts: A molecular-level study of active site formation (2000) Kinet. Catal., 41 (2), pp. 255-259; Wang, H.-F., Kaden, W.E., Dowler, R., Sterrer, M., Freund, H.-J., Model oxide-supported metal catalysts - Comparison of ultrahigh vacuum and solution based preparation of Pd nanoparticles on a single-crystalline oxide substrate (2012) Phys. Chem. Chem. Phys., 14 (32), pp. 11525-11533; Kim, J.-S., Wieder, N.L., Abraham, A.J., Cargnello, M., Fornasiero, P., Gorte, R.J., Vohs, J.M., Highly active and thermally stable core-shell catalysts for solid oxide fuel cells (2011) J. Electrochem. Soc., 158 (6), pp. 596-B600; Shearing, P.R., Bradley, R.S., Gelb, J., Tariq, F., Withers, P.J., Brandon, N.P., Exploring microstructural changes associated with oxidation in Ni-YSZ SOFC electrodes using high resolution X-ray computed tomography (2012) Solid State Ionics, 216, pp. 69-72; Feeley, J.S., Sachtler, W.M.H., Enhanced reductibility of Ni and Ni+Pd in zeolite Y: Blocking of small cages with Ca2+ or Mg2+ ions (1991) Catal. Lett., 9 (56), pp. 377-386; Profeti, L.P.R., Assaf, E.M., Ticianelli, E.A., (2007) Situ Time-resolved XANES Study of the Reduction Behavior of Ni/La 2O3-Al2O3 Catalysts Promoted with Noble Metals, p. 1. , http://lnls.cnpem.br/PDF/1183.pdf, Brazilian Synchrotron Light Laboratory, LNLS 2007 Activity Report; Utigard, T.A., Wu, M., Plascencia, G., Marin, T., Reduction kinetics of Goro nickel oxide using hydrogen (2005) Chem. Eng. Sci., 60 (7), pp. 2061-2068; Wunderlich, W., Tanemura, M., Interaction of palladium nano-crystals with hydrogen during PECVD growth of carbon nanotubes (2003) Adv. Solid State Phys., 43, pp. 171-180; http://www.periodni.com/pd.htmlVan Hassel, B.A., Boukamp, B.A., Burggraaf, A.J., Oxygen transfer properties of ion-implanted yttria-stabilized zirconia (1992) Solid State Lonics, 53-56, pp. 890-903; Ma, H., Li, G., Chen, S., Zhao, S., Cheng, X., Impedance investigation of the anodic iron dissolution in perchloric acid solution (2002) Corros. Sci., 44 (6), pp. 1177-1191; Luo, T.J., Yang, Y.S., Li, Y.J., Dong, X.G., Influence of rare earth y on the corrosion behavior of as-cast AZ91 alloy (2009) Electrochim. Acta, 54 (26), pp. 6433-6437; Dokiya, M., Pr0.8Sr0.2Mn1-xCoxO 3 cathode material for SOFC operating at a reduced temperature (1995) Proceedings of the Solid Oxide Fuel Cells - 4th International Symposium - The Electrochemical Society Proceeding Series, pp. 482-491; Jiang, S.P., Badwal, S.P.S., Hydrogen oxidation at the nickel and platinum electrodes on yttria-tetragonal zirconia electrolyte (1997) J. Electrochem. Soc., 144 (11), pp. 3777-3784; Komadina, J., Motoyama, M., Kim, Y.B., Prinz, F.B., Effect of high surface area Pd electrodes on SOFC performance at 350 °c (2012) ECS Trans., 41 (46), pp. 35-41","page":"12299-12312","publisher":"Elsevier Ltd","title":"Microstructural refinement of Ni/Ce0.8Gd0.2O 2-δ anodes for low-temperature solid oxide fuel cell by wet infiltration loading of PdCl2","type":"article-journal","volume":"40"},"uris":["http://www.mendeley.com/documents/?uuid=38e47841-e3d1-4040-8778-5ca320776d89"]}],"mendeley":{"formattedCitation":"[72], [81]","plainTextFormattedCitation":"[72], [81]","previouslyFormattedCitation":"[72], [81]"},"properties":{"noteIndex":0},"schema":"https://github.com/citation-style-language/schema/raw/master/csl-citation.json"}</w:instrText>
      </w:r>
      <w:r>
        <w:fldChar w:fldCharType="separate"/>
      </w:r>
      <w:r w:rsidRPr="00375DF8">
        <w:rPr>
          <w:noProof/>
        </w:rPr>
        <w:t>[72], [81]</w:t>
      </w:r>
      <w:r>
        <w:fldChar w:fldCharType="end"/>
      </w:r>
      <w:r w:rsidRPr="004654D6">
        <w:t>. This results in de-wetted dead zones and a huge reduction in performance in the first 500</w:t>
      </w:r>
      <w:r>
        <w:t xml:space="preserve"> </w:t>
      </w:r>
      <w:r w:rsidRPr="004654D6">
        <w:t xml:space="preserve">h of cycling. </w:t>
      </w:r>
      <w:r w:rsidRPr="004654D6">
        <w:rPr>
          <w:rFonts w:cs="Times New Roman"/>
          <w:szCs w:val="24"/>
        </w:rPr>
        <w:t>The high thermal stability of the ceramic components is in stark contrast to the behaviour of their electro-catalyst and interconnect components during operation. Electro catalyst sintering is a major factor as to why SOFCs do not operate for their 4-5 year projected lifetimes</w:t>
      </w:r>
      <w:r>
        <w:rPr>
          <w:rFonts w:cs="Times New Roman"/>
          <w:szCs w:val="24"/>
        </w:rPr>
        <w:t xml:space="preserve"> </w:t>
      </w:r>
      <w:r>
        <w:rPr>
          <w:rFonts w:cs="Times New Roman"/>
          <w:szCs w:val="24"/>
        </w:rPr>
        <w:fldChar w:fldCharType="begin" w:fldLock="1"/>
      </w:r>
      <w:r>
        <w:rPr>
          <w:rFonts w:cs="Times New Roman"/>
          <w:szCs w:val="24"/>
        </w:rPr>
        <w:instrText>ADDIN CSL_CITATION {"citationItems":[{"id":"ITEM-1","itemData":{"author":[{"dropping-particle":"","family":"Laboratory","given":"National Renewable Energy","non-dropping-particle":"","parse-names":false,"suffix":""},{"dropping-particle":"","family":"Energy","given":"U S Department of","non-dropping-particle":"","parse-names":false,"suffix":""}],"edition":"1st","editor":[{"dropping-particle":"","family":"Energy","given":"U S Department of","non-dropping-particle":"","parse-names":false,"suffix":""}],"id":"ITEM-1","issue":"NREL/BK-6A10-48265","issued":{"date-parts":[["2010"]]},"publisher-place":"US Department of Energy","title":"1–10 kW Stationary Combined Heat and Power Systems Status and Technical Potential","type":"report"},"uris":["http://www.mendeley.com/documents/?uuid=20e88818-b277-4d7a-87ee-7a8db5ec3cd8"]},{"id":"ITEM-2","itemData":{"DOI":"10.1097/01.mat.0000169120.48527.87","abstract":"Steam turbines are a mature technology and have been used since the 1880s for electricity production. Most of the electricity generated in the United States is produced by steam turbines integrated in central station power plants. In addition to central station power, steam turbines are also commonly used for combined heat and power (CHP) installations (see Table 1 for summary of CHP attributes).","author":[{"dropping-particle":"","family":"United States Department of Energy","given":"US","non-dropping-particle":"","parse-names":false,"suffix":""}],"id":"ITEM-2","issued":{"date-parts":[["2016"]]},"page":"4","title":"Combined Heat and Power Technology Fact Sheets Series: Steam Turbines","type":"article-journal"},"uris":["http://www.mendeley.com/documents/?uuid=349dd3a6-e19b-4ed4-8665-e4fc38ab7d16"]},{"id":"ITEM-3","itemData":{"ISBN":"DOE/EE-1332","author":[{"dropping-particle":"","family":"Energy","given":"U S Department of","non-dropping-particle":"","parse-names":false,"suffix":""}],"editor":[{"dropping-particle":"","family":"Energy","given":"U S Department of","non-dropping-particle":"","parse-names":false,"suffix":""}],"id":"ITEM-3","issued":{"date-parts":[["2016"]]},"number-of-pages":"1-4","publisher-place":"U.S. Department of Energy","title":"Combined Heat and Power Technology Fact Sheet Series","type":"report"},"uris":["http://www.mendeley.com/documents/?uuid=5a4bfb3b-14cf-4d03-85fe-14e2d45c76f8"]}],"mendeley":{"formattedCitation":"[32], [41], [82]","plainTextFormattedCitation":"[32], [41], [82]","previouslyFormattedCitation":"[32], [41], [82]"},"properties":{"noteIndex":0},"schema":"https://github.com/citation-style-language/schema/raw/master/csl-citation.json"}</w:instrText>
      </w:r>
      <w:r>
        <w:rPr>
          <w:rFonts w:cs="Times New Roman"/>
          <w:szCs w:val="24"/>
        </w:rPr>
        <w:fldChar w:fldCharType="separate"/>
      </w:r>
      <w:r w:rsidRPr="00FD168C">
        <w:rPr>
          <w:rFonts w:cs="Times New Roman"/>
          <w:noProof/>
          <w:szCs w:val="24"/>
        </w:rPr>
        <w:t>[32], [41], [82]</w:t>
      </w:r>
      <w:r>
        <w:rPr>
          <w:rFonts w:cs="Times New Roman"/>
          <w:szCs w:val="24"/>
        </w:rPr>
        <w:fldChar w:fldCharType="end"/>
      </w:r>
      <w:r w:rsidRPr="004654D6">
        <w:rPr>
          <w:rFonts w:cs="Times New Roman"/>
          <w:szCs w:val="24"/>
        </w:rPr>
        <w:t>.</w:t>
      </w:r>
    </w:p>
    <w:p w14:paraId="18C0BB45" w14:textId="77777777" w:rsidR="00007F6C" w:rsidRPr="004654D6" w:rsidRDefault="00007F6C" w:rsidP="00007F6C">
      <w:pPr>
        <w:pStyle w:val="Heading4"/>
      </w:pPr>
      <w:r w:rsidRPr="004654D6">
        <w:t>1.</w:t>
      </w:r>
      <w:r>
        <w:t>5</w:t>
      </w:r>
      <w:r w:rsidRPr="004654D6">
        <w:t>.2.1</w:t>
      </w:r>
      <w:r w:rsidRPr="004654D6">
        <w:tab/>
        <w:t>Cathode</w:t>
      </w:r>
    </w:p>
    <w:p w14:paraId="34DD0109" w14:textId="0BF32005" w:rsidR="00007F6C" w:rsidRPr="004654D6" w:rsidRDefault="00007F6C" w:rsidP="00007F6C">
      <w:pPr>
        <w:jc w:val="both"/>
      </w:pPr>
      <w:r w:rsidRPr="004654D6">
        <w:t xml:space="preserve">An SOFC oxygen electrode must be capable of both ionic and electronic conduction. The materials involved must have an affinity for the oxygen reduction reaction (ORR, </w:t>
      </w:r>
      <w:r w:rsidRPr="004654D6">
        <w:fldChar w:fldCharType="begin"/>
      </w:r>
      <w:r w:rsidRPr="004654D6">
        <w:instrText xml:space="preserve"> REF _Ref529191986 \h  \* MERGEFORMAT </w:instrText>
      </w:r>
      <w:r w:rsidRPr="004654D6">
        <w:fldChar w:fldCharType="separate"/>
      </w:r>
      <w:r w:rsidRPr="004654D6">
        <w:t xml:space="preserve">Equation </w:t>
      </w:r>
      <w:r>
        <w:rPr>
          <w:noProof/>
        </w:rPr>
        <w:t>1.6</w:t>
      </w:r>
      <w:r w:rsidRPr="004654D6">
        <w:fldChar w:fldCharType="end"/>
      </w:r>
      <w:r w:rsidRPr="004654D6">
        <w:t>) and additionally be stable under typical SOFC operating temperatures (800-1000</w:t>
      </w:r>
      <w:r w:rsidR="00563D15">
        <w:t xml:space="preserve"> </w:t>
      </w:r>
      <w:r w:rsidRPr="004654D6">
        <w:rPr>
          <w:rFonts w:cstheme="minorHAnsi"/>
        </w:rPr>
        <w:t>°</w:t>
      </w:r>
      <w:r w:rsidRPr="004654D6">
        <w:t>C)</w:t>
      </w:r>
      <w:r>
        <w:t xml:space="preserve"> </w:t>
      </w:r>
      <w:r>
        <w:fldChar w:fldCharType="begin" w:fldLock="1"/>
      </w:r>
      <w:r>
        <w:instrText>ADDIN CSL_CITATION {"citationItems":[{"id":"ITEM-1","itemData":{"DOI":"10.1146/annurev-chembioeng-061010-114148","ISSN":"1947-5438","abstract":"Solid oxide fuel cells (SOFCs) and solid oxide electrolyzers (SOEs) hold much promise as highly efficient devices for the direct interconversion of chemical and electrical energy. Commercial application of these devices, however, requires further improvements in their performance and stability. Because the performance of SOFC and SOE electrodes depends on their microstructures, electronic and ionic conductivities, and chemical reactivities, the needed improvements require the expertise of various disciplines, with catalytic science playing an important role. Highly active and thermally stable catalysts are required to limit the internal losses in the devices, increase the range of fuels they can use, and decrease the temperatures at which they operate. In this article we review some of the most important recent advances in catalysis for SOFC and SOE electrodes and highlight additional improvements that are needed. © Copyright 2011 by Annual Reviews. All rights reserved.","author":[{"dropping-particle":"","family":"Gorte","given":"R.J.","non-dropping-particle":"","parse-names":false,"suffix":""},{"dropping-particle":"","family":"Vohs","given":"J.M.","non-dropping-particle":"","parse-names":false,"suffix":""}],"container-title":"Annual Review of Chemical and Biomolecular Engineering","id":"ITEM-1","issue":"1","issued":{"date-parts":[["2011"]]},"page":"9-30","title":"Catalysis in Solid Oxide Fuel Cells","type":"article-journal","volume":"2"},"uris":["http://www.mendeley.com/documents/?uuid=6134f39b-1b90-4e14-a200-218e554712bb"]},{"id":"ITEM-2","itemData":{"DOI":"10.1016/j.ijhydene.2011.09.067","ISBN":"0360-3199","ISSN":"03603199","abstract":"Solid oxide fuel cells (SOFCs) are the most efficient devices for the direct conversion of the chemical energy stored in fuels such as hydrogen and hydrocarbons into electricity. The development of highly efficient and robust SOFCs requires cathodes and anodes with high electrocatalytic activity for O2 reduction and direct oxidation of hydrocarbon fuels, respectively. Nanoscale engineering of electrode structures via metal salt solution impregnation or infiltration attracts increasing attention as the most effective way to develop highly active and advanced electrode structures for SOFCs. The infiltration method opens a new horizon in the advanced electrode development as the method expands the set of variable electrode materials combinations with the elimination of thermal expansion mismatch and the suppression of potential detrimental reactions between electrode and electrolyte materials. In this article, the advances and challenges in the development of nanoscale and nano-structured electrodes and the fundamental understanding of the remarkable enhancement in the electrode performance are reviewed and discussed with primary focus on the progress and status of the field in the last 5 years. © 2011, Hydrogen Energy Publications, LLC. Published by Elsevier Ltd. All rights reserved.","author":[{"dropping-particle":"","family":"Jiang","given":"San Ping","non-dropping-particle":"","parse-names":false,"suffix":""}],"container-title":"International Journal of Hydrogen Energy","id":"ITEM-2","issue":"1","issued":{"date-parts":[["2012"]]},"page":"449-470","publisher":"Elsevier Ltd","title":"Nanoscale and nano-structured electrodes of solid oxide fuel cells by infiltration: Advances and challenges","type":"article-journal","volume":"37"},"uris":["http://www.mendeley.com/documents/?uuid=1e763b61-ae5c-4cbc-9bfe-a6266d8deaed"]},{"id":"ITEM-3","itemData":{"DOI":"10.1016/j.jechem.2019.12.004","ISSN":"20954956","abstract":"A series of Pt/C catalysts for proton exchange membrane fuel cells (PEMFCs) with various metal loadings is synthesized by a microwave-assisted polyol process via mixing an extremely stable platinum colloid (&gt; 3 months’ shelf life) from single batch preparation with activated carbon ethylene glycol suspension. 21 wt%, 42 wt% and 61 wt% Pt loadings are employed to showcase the advantages of the improved polyol process. The ultraviolet (UV)–visible spectra and ζ-potential measurements are conducted to monitor the wet chemistry process during catalyst preparation. The powder X-ray diffraction (XRD), transmission electron microscopy (TEM) and thermogravimetric analysis (TGA) characterizations are carried out on catalysts. The catalyst activities are investigated using electrochemical and single cell tests. The stability of Pt nanoparticle colloid is explored by ORR, cyclic voltammetry (CV) and ζ-potential measurements. The TEM results show the Pt particle sizes of the colloid, and the sizes of the 21 wt%, 42 wt% and 61 wt% Pt/C samples are 2.1–3.9 nm. Because of the high Pt dispersion, the Pt/C catalysts exhibit superior electroactivity toward ORR. In addition, four 61 wt% Pt/C catalysts made from the Pt colloid with 0–3 months’ shelf life show almost the same performance, which exhibits superior stability of the Pt colloid system without surfactant protection.","author":[{"dropping-particle":"","family":"Li","given":"Yuxin","non-dropping-particle":"","parse-names":false,"suffix":""},{"dropping-particle":"","family":"Zhu","given":"Xiang","non-dropping-particle":"","parse-names":false,"suffix":""},{"dropping-particle":"","family":"Chen","given":"Yawen","non-dropping-particle":"","parse-names":false,"suffix":""},{"dropping-particle":"","family":"Zhang","given":"Shiqiao","non-dropping-particle":"","parse-names":false,"suffix":""},{"dropping-particle":"","family":"Li","given":"Jia","non-dropping-particle":"","parse-names":false,"suffix":""},{"dropping-particle":"","family":"Liu","given":"Jianguo","non-dropping-particle":"","parse-names":false,"suffix":""}],"container-title":"Journal of Energy Chemistry","id":"ITEM-3","issued":{"date-parts":[["2020"]]},"page":"138-145","publisher":"Elsevier B.V. and Science Press","title":"Rapid synthesis of highly active Pt/C catalysts with various metal loadings from single batch platinum colloid","type":"article-journal","volume":"47"},"uris":["http://www.mendeley.com/documents/?uuid=67fcb335-02d9-43f9-9286-118f1c169acd"]},{"id":"ITEM-4","itemData":{"DOI":"10.1021/es503603w","ISBN":"0013936X (ISSN)","ISSN":"15205851","abstract":"In this work, a Ni+BaZr(0.4)Ce(0.4)Y(0.2)O(3-δ) (Ni+BZCY) anode with high water storage capability is used to increase the sulfur tolerance of nickel electrocatalysts for solid oxide fuel cells (SOFCs) with an oxygen-ion conducting Sm(0.2)Ce(0.8)O(1.9) (SDC) electrolyte. Attractive power outputs are still obtained for the cell with a Ni+BZCY anode that operates on hydrogen fuels containing 100-1000 ppm of H2S, while for a similar cell with a Ni+SDC anode, it displays a much reduced performance by introducing only 100 ppm of H2S into hydrogen. Operating on a hydrogen fuel containing 100 ppm of H2S at 600 °C and a fixed current density of 200 mA cm(-2), a stable power output of 148 mW cm(-2) is well maintained for a cell with a Ni+BZCY anode within a test period of 700 min, while it was decreased from an initial value of 137 mW cm(-2) to only 81 mW cm(-2) for a similar cell with a Ni+SDC anode after a test period of only 150 min. After the stability test, a loss of the Ni percolating network and reaction between nickel and sulfur appeared over the Ni+SDC anode, but it is not observed for the Ni+BZCY anode. This result highly promises the use of water-storing BZCY as an anode component to improve sulfur tolerance for SOFCs with an oxygen-ion conducting SDC electrolyte.","author":[{"dropping-particle":"","family":"Wang","given":"Feng","non-dropping-particle":"","parse-names":false,"suffix":""},{"dropping-particle":"","family":"Wang","given":"Wei","non-dropping-particle":"","parse-names":false,"suffix":""},{"dropping-particle":"","family":"Qu","given":"Jifa","non-dropping-particle":"","parse-names":false,"suffix":""},{"dropping-particle":"","family":"Zhong","given":"Yijun","non-dropping-particle":"","parse-names":false,"suffix":""},{"dropping-particle":"","family":"Tade","given":"Mose O.","non-dropping-particle":"","parse-names":false,"suffix":""},{"dropping-particle":"","family":"Shao","given":"Zongping","non-dropping-particle":"","parse-names":false,"suffix":""}],"container-title":"Environmental Science and Technology","id":"ITEM-4","issue":"20","issued":{"date-parts":[["2014"]]},"language":"English","note":"Cited By :5\nExport Date: 11 October 2016\nCODEN: ESTHA\nCorrespondence Address: Wang, W.; Department of Chemical Engineering, Curtin UniversityAustralia\nChemicals/CAS: nickel, 7440-02-0; oxide, 16833-27-5; oxygen, 7782-44-7; sulfur, 13981-57-2, 7704-34-9; hydrogen, 12385-13-6, 1333-74-0; hydrogen sulfide, 15035-72-0, 7783-06-4; water, 7732-18-5; Hydrogen; Hydrogen Sulfide; Metals; Oxides; Oxygen; Sulfur; Water\nReferences: Wang, W., Su, C., Wu, Y.Z., Ran, R., Shao, Z.P., Progress in solid oxide fuel cells with nickel-based anodes operating on methane and related fuels (2013) Chem. Rev., 113 (10), pp. 8104-8151; Wei, T., Singh, P., Gong, Y., Goodenough, J.B., Huang, Y.H., Huang, K., Sr3-3 xNa3 xSi3O9-1.5 x (x = 0.45) as a superior solid oxide-ion electrolyte for intermediate temperature-solid oxide fuel cells (2014) Energy Environ. Sci., 7 (5), pp. 1680-1684; Shao, Z.P., Zhang, C.M., Wang, W., Su, C., Zhou, W., Zhu, Z.H., Park, H.J., Kwak, C., Electric power and synthesis gas co-generation from methane with zero waste gas emission (2011) Angew. Chem., Int. Ed., 50 (8), pp. 1792-1797; Shin, T.H., Ida, S., Ishihara, T., Doped CeO2-LaFeO3 composite oxide as an active anode for direct hydrocarbon-type solid oxide fuel cells (2011) J. Am. Chem. Soc., 133 (48), pp. 19399-19407; Wu, Y.Z., Su, C., Zhang, C.M., Ran, R., Shao, Z.P., A new carbon fuel cell with high power output by integrating with in situ catalytic reverse boudouard reaction (2009) Electrochem. Commun., 11 (6), pp. 1265-1268; Wang, W., Wang, F., Ran, R., Park, H.J., Jung, D.W., Kwak, C., Shao, Z.P., Coking suppression in solid oxide fuel cells operating on ethanol by applying pyridine as fuel additive (2014) J. Power Sources, 265, pp. 20-29; Takagi, Y., Kerman, K., Ko, C., Ramanathan, S., Operational characteristics of thin film solid oxide fuel cells with ruthenium anode in natural gas (2013) J. Power Sources, 243, pp. 1-9; Shiratori, Y., Ijichi, T., Oshima, T., Sasaki, K., Internal reforming SOFC running on biogas (2010) Int. J. Hydrogen Energy, 35 (15), pp. 7905-7912; Sasaki, K., Susuki, K., Iyoshi, A., Uchimura, M., Imamura, N., Kusaba, H., Teraoka, Y., Jingo, N., H2S poisoning of solid oxide fuel cells (2006) J. Electrochem. Soc., 153 (11), pp. A2023-A2029; Zha, S., Cheng, Z., Liu, M.L., Sulfur poisoning and regeneration of Ni-based anodes in solid oxide fuel cells (2007) J. Electrochem. Soc., 154 (2), pp. B201-B206; Hagen, A., Rasmussen, J.F.B., Thydén, K., Durability of solid oxide fuel cells using sulfur containing fuels (2011) J. Power Sources, 196 (17), pp. 7271-7276; Appari, S., Janardhanan, V.M., Bauri, R., Jayanti, S., Deutschmann, O., A detailed kinetic model for biogas steam reforming on Ni, and catalyst deactivation due to sulfur poisoning (2014) Appl. Catal., A, 471, pp. 118-125; Appari, S., Janardhanan, V.M., Bauri, R., Jayanti, S., Deactivation and regeneration of Ni catalyst during steam reforming of model biogas: An experimental investigation (2014) Int. J. Hydrogen Energy, 39 (1), pp. 297-304; Ashrafi, M., Pfeifer, C., Pröll, T., Hofbauer, H., Experimental study of model biogas catalytic steam reforming: 2. Impact of sulfur on the deactivation and regeneration of Ni-based catalysts (2008) Energy Fuels, 22 (6), pp. 4190-4195; Li, J.-H., Fu, X.-Z., Luo, J.-L., Chuang, K.T., Sanger, A.R., Application of BaTiO3 as anode materials for H2S-containing CH4 fueled solid oxide fuel cells (2012) J. Power Sources, 213, pp. 69-77; Rasmussen, J.F.B., Hagen, A., The effect of H2S on the performance of SOFCs using methane containing fuel (2010) Fuel Cells, 10 (6), pp. 1135-1142; Shiratori, Y., Oshima, T., Sasaki, K., Feasibility of direct-biogas SOFC (2008) Int. J. Hydrogen Energy, 33 (21), pp. 6316-6321; Matsuzaki, Y., Yasuda, I., The poisoning effect of sulfur-containing impurity gas on a SOFC anode: Part I. Dependence on temperature, time, and impurity concentration (2000) Solid State Ionics, 132 (3-4), pp. 261-269; Song, C., Ma, X., New design approaches to ultra-clean diesel fuels by deep desulfurization and deep dearomatization (2003) Appl. Catal., B, 41 (1-2), pp. 207-238; Farag, H., Mochida, I., A comparative kinetic study on ultra-deep hydrodesulfurization of pretreated gas oil over nanosized MoS2, CoMo-sulfide, and commercial CoMo/Al2O3 catalysts (2012) J. Colloid Interface Sci., 372 (1), pp. 121-129; Sano, Y., Choi, K.-H., Korai, Y., Mochida, I., Adsorptive removal of sulfur and nitrogen species from a straight run gas oil over activated carbons for its deep hydrodesulfurization (2004) Appl. Catal., B, 49 (4), pp. 219-225; Cui, H., Turn, S.Q., Reese, M.A., Removal of sulfur compounds from utility pipelined synthetic natural gas using modified activated carbons (2009) Catal. Today, 139 (4), pp. 274-279; Breysse, M., Djega-Mariadassou, G., Pessayre, S., Geantet, C., Vrinat, M., Pérot, G., Lemaire, M., Deep desulfurization: Reactions, catalysts, and technological challenges (2003) Catal. Today, 84 (3-4), pp. 129-138; Bhandari, V.M., Ko, C.H., Park, J.G., Han, S.-S., Cho, S.-H., Kim, J.-N., Desulfurization of diesel using ion-exchanged zeolites (2006) Chem. Eng. Sci., 61 (8), pp. 2599-2608; Kurokawa, H., Sholklapper, T.Z., Jacobson, C.P., De Jonghe, L.C., Visco, S.J., Ceria nanocoating for sulfur tolerant Ni-based anodes of solid oxide fuel cells (2007) Electrochem. Solid-State Lett., 10 (9), pp. B135-B138; Yun, J.W., Yoon, S.P., Han, J., Park, S., Kim, H.S., Nam, S.W., Ceria coatings effect on H2S poisoning of Ni/YSZ anodes for solid oxide fuel cells (2010) J. Electrochem. Soc., 157 (12), pp. B1825-B1830; Chen, Y., Bunch, J., Jin, C., Yang, C., Chen, F.L., Performance enhancement of Ni-YSZ electrode by impregnation of Mo0.1Ce0.9O2+δ (2012) J. Power Sources, 204, pp. 40-45; Gong, M., Liu, X., Trembly, J., Johnson, C., Sulfur-tolerant anode materials for solid oxide fuel cell application (2007) J. Power Sources, 168 (2), pp. 289-298; Li, T.S., Miao, H., Chen, T., Wang, W.G., Xu, C., Effect of simulated coal-derived gas composition on H2S poisoning behavior evaluated using a disaggregation scheme (2009) J. Electrochem. Soc., 156 (12), pp. B1383-B1388; Wang, J., Liu, M.L., Surface regeneration of sulfur-poisoned Ni surfaces under SOFC operation conditions predicted by first-principles-based thermodynamic calculations (2008) J. Power Sources, 176 (1), pp. 23-30; Yang, L., Wang, S., Blinn, K., Liu, M., Liu, Z., Cheng, Z., Liu, M.L., Enhanced sulfur and coking tolerance of a mixed ion conductor for SOFCs: BaZr0.1Ce0.7Y0.2-xYbxO3-δ (2009) Science, 326 (5949), pp. 126-129; Sengodan, S., Liu, M., Lim, T., Shin, J., Liu, M.L., Kim, G., Enhancing sulfur tolerance of a Ni-YSZ anode through BaZr0.1Ce0.7Y0.1Yb0.1O3-δ infiltration (2014) J. Electrochem. Soc., 161 (5), pp. F668-F673; Liu, M., Choi, Y., Yang, L., Blinn, K., Qin, W., Liu, P., Liu, M.L., Direct octane fuel cells: A promising power for transportation (2012) Nano Energy, 1 (3), pp. 448-455; Mamontov, E., Egami, T., Brezny, R., Koranne, M., Tyagi, S., Lattice defects and oxygen storage capacity of nanocrystalline ceria and ceria-zirconia (2000) J. Phys. Chem. B, 104 (47), pp. 11110-11116; Yang, L., Choi, Y., Qin, W., Chen, H., Blinn, K., Liu, M., Liu, P., Liu, M.L., Promotion of water-mediated carbon removal by nanostructured barium oxide/nickel interfaces in solid oxide fuel cells (2011) Nat. Commun., 2, p. 357; Fabbri, E., Pergolesi, D., Traversa, E., Materials challenges toward proton-conducting oxide fuel cells: A critical review (2010) Chem. Soc. Rev., 39 (11), pp. 4355-4369; Malavasi, L., Fisher, C.A.J., Islam, M.S., Oxide-ion and proton-conducting electrolyte materials for clean energy applications: Structural and mechanistic features (2010) Chem. Soc. Rev., 39 (11), pp. 4370-4387; Kreuer, K.D., Proton-conducting oxides (2003) Annu. Rev. Mater. Res., 33, pp. 333-359; Wang, W., Su, C., Ran, R., Zhao, B.T., Shao, Z.P., Tade, M.O., Liu, S.M., Nickel-based anode with water storage capability to mitigate carbon deposition for direct ethanol solid oxide fuel cells (2014) ChemSusChem, 7 (6), pp. 1719-1728; Zhou, W., Ran, R., Shao, Z.P., Gu, H.X., Jin, W.Q., Xu, N.P., Significant impact of nitric acid treatment on the cathode performance of Ba0.5Sr0.5Co0.8Fe0.2O3-δ perovskite oxide via combined EDTA-citric complexing process (2007) J. Power Sources, 174 (1), pp. 237-245; Chen, D.J., Huang, C., Ran, R., Park, H.J., Kwak, C., Shao, Z.P., New Ba0.5Sr0.5Co0.8Fe0.2O3-δ+Co3O4 composite electrode for IT-SOFCs with improved electrical conductivity and catalytic activity (2011) Electrochem. Commun., 13 (2), pp. 197-199; Liu, Q.L., Khor, K.A., Chan, S.H., High-performance low-temperature solid oxide fuel cell with novel BSCF cathode (2006) J. Power Sources, 161 (1), pp. 123-128; Su, C., Shao, Z.P., Lin, Y., Wu, Y.Z., Wang, H.T., Solid oxide fuel cells with both high voltage and power output by utilizing beneficial interfacial reaction (2012) Phys. Chem. Chem. Phys., 14 (35), pp. 12173-12181; Hauch, A., Hagen, A., Hjelm, J., Ramos, T., Sulfur poisoning of SOFC anodes: Effect of overpotential on long-term degradation (2014) J. Electrochem. Soc., 161 (6), pp. F734-F743; Chen, Y.B., Wang, F.C., Chen, D.J., Dong, F.F., Park, H.J., Kwak, C., Shao, Z.P., Role of silver current collector on the operational stability of selected cobalt-containing oxide electrodes for oxygen reduction reaction (2012) J. Power Sources, 210, pp. 146-153; Nurk, G., Huthwelker, T., Braun, A., Ludwig, C., Lust, E., Struis, R.P.W.J., Redox dynamics of sulphur with Ni/GDC anode during SOFC operation at mid- and low-range temperatures: An operando S K-edge XANES study (2013) J. Power Sources, 240, pp. 448-457","page":"12427-12434","publisher":"American Chemical Society","title":"Enhanced sulfur tolerance of nickel-based anodes for oxygen-ion conducting solid oxide fuel cells by incorporating a secondary water storing phase","type":"article-journal","volume":"48"},"uris":["http://www.mendeley.com/documents/?uuid=f98fb61c-e4f9-453b-9ef0-e208733d2276"]}],"mendeley":{"formattedCitation":"[70], [83]–[85]","plainTextFormattedCitation":"[70], [83]–[85]","previouslyFormattedCitation":"[70], [83]–[85]"},"properties":{"noteIndex":0},"schema":"https://github.com/citation-style-language/schema/raw/master/csl-citation.json"}</w:instrText>
      </w:r>
      <w:r>
        <w:fldChar w:fldCharType="separate"/>
      </w:r>
      <w:r w:rsidRPr="00375DF8">
        <w:rPr>
          <w:noProof/>
        </w:rPr>
        <w:t>[70], [83]–[85]</w:t>
      </w:r>
      <w:r>
        <w:fldChar w:fldCharType="end"/>
      </w:r>
      <w:r w:rsidRPr="004654D6">
        <w:t>.</w:t>
      </w:r>
    </w:p>
    <w:p w14:paraId="1D7D8E3D" w14:textId="77777777" w:rsidR="00007F6C" w:rsidRPr="004654D6" w:rsidRDefault="00B51F53" w:rsidP="00007F6C">
      <m:oMathPara>
        <m:oMath>
          <m:sSub>
            <m:sSubPr>
              <m:ctrlPr>
                <w:rPr>
                  <w:rFonts w:ascii="Cambria Math" w:hAnsi="Cambria Math"/>
                  <w:i/>
                </w:rPr>
              </m:ctrlPr>
            </m:sSubPr>
            <m:e>
              <m:sSub>
                <m:sSubPr>
                  <m:ctrlPr>
                    <w:rPr>
                      <w:rFonts w:ascii="Cambria Math" w:hAnsi="Cambria Math"/>
                      <w:i/>
                    </w:rPr>
                  </m:ctrlPr>
                </m:sSubPr>
                <m:e>
                  <m:r>
                    <m:rPr>
                      <m:sty m:val="p"/>
                    </m:rPr>
                    <w:rPr>
                      <w:rFonts w:ascii="Cambria Math" w:hAnsi="Cambria Math"/>
                    </w:rPr>
                    <m:t>O</m:t>
                  </m:r>
                </m:e>
                <m:sub>
                  <m:r>
                    <m:rPr>
                      <m:sty m:val="p"/>
                    </m:rPr>
                    <w:rPr>
                      <w:rFonts w:ascii="Cambria Math" w:hAnsi="Cambria Math"/>
                    </w:rPr>
                    <m:t>2</m:t>
                  </m:r>
                </m:sub>
              </m:sSub>
            </m:e>
            <m:sub>
              <m:r>
                <m:rPr>
                  <m:sty m:val="p"/>
                </m:rPr>
                <w:rPr>
                  <w:rFonts w:ascii="Cambria Math" w:hAnsi="Cambria Math"/>
                </w:rPr>
                <m:t>(g)</m:t>
              </m:r>
            </m:sub>
          </m:sSub>
          <m:r>
            <m:rPr>
              <m:sty m:val="p"/>
            </m:rPr>
            <w:rPr>
              <w:rFonts w:ascii="Cambria Math" w:hAnsi="Cambria Math"/>
            </w:rPr>
            <m:t>+</m:t>
          </m:r>
          <m:sSup>
            <m:sSupPr>
              <m:ctrlPr>
                <w:rPr>
                  <w:rFonts w:ascii="Cambria Math" w:hAnsi="Cambria Math"/>
                  <w:i/>
                </w:rPr>
              </m:ctrlPr>
            </m:sSupPr>
            <m:e>
              <m:r>
                <m:rPr>
                  <m:sty m:val="p"/>
                </m:rPr>
                <w:rPr>
                  <w:rFonts w:ascii="Cambria Math" w:hAnsi="Cambria Math"/>
                </w:rPr>
                <m:t>4e</m:t>
              </m:r>
            </m:e>
            <m:sup>
              <m:r>
                <m:rPr>
                  <m:sty m:val="p"/>
                </m:rPr>
                <w:rPr>
                  <w:rFonts w:ascii="Cambria Math" w:hAnsi="Cambria Math"/>
                </w:rPr>
                <m:t>-</m:t>
              </m:r>
            </m:sup>
          </m:sSup>
          <m:r>
            <m:rPr>
              <m:sty m:val="p"/>
            </m:rPr>
            <w:rPr>
              <w:rFonts w:ascii="Cambria Math" w:hAnsi="Cambria Math"/>
            </w:rPr>
            <m:t xml:space="preserve">↔ </m:t>
          </m:r>
          <m:sSub>
            <m:sSubPr>
              <m:ctrlPr>
                <w:rPr>
                  <w:rFonts w:ascii="Cambria Math" w:hAnsi="Cambria Math"/>
                  <w:i/>
                </w:rPr>
              </m:ctrlPr>
            </m:sSubPr>
            <m:e>
              <m:sSup>
                <m:sSupPr>
                  <m:ctrlPr>
                    <w:rPr>
                      <w:rFonts w:ascii="Cambria Math" w:hAnsi="Cambria Math"/>
                      <w:i/>
                    </w:rPr>
                  </m:ctrlPr>
                </m:sSupPr>
                <m:e>
                  <m:r>
                    <m:rPr>
                      <m:sty m:val="p"/>
                    </m:rPr>
                    <w:rPr>
                      <w:rFonts w:ascii="Cambria Math" w:hAnsi="Cambria Math"/>
                    </w:rPr>
                    <m:t>2O</m:t>
                  </m:r>
                </m:e>
                <m:sup>
                  <m:r>
                    <m:rPr>
                      <m:sty m:val="p"/>
                    </m:rPr>
                    <w:rPr>
                      <w:rFonts w:ascii="Cambria Math" w:hAnsi="Cambria Math"/>
                    </w:rPr>
                    <m:t>2-</m:t>
                  </m:r>
                </m:sup>
              </m:sSup>
            </m:e>
            <m:sub>
              <m:r>
                <m:rPr>
                  <m:sty m:val="p"/>
                </m:rPr>
                <w:rPr>
                  <w:rFonts w:ascii="Cambria Math" w:hAnsi="Cambria Math"/>
                </w:rPr>
                <m:t>(g)</m:t>
              </m:r>
            </m:sub>
          </m:sSub>
        </m:oMath>
      </m:oMathPara>
    </w:p>
    <w:p w14:paraId="74C67713" w14:textId="125EBCE6" w:rsidR="00007F6C" w:rsidRPr="004654D6" w:rsidRDefault="00007F6C" w:rsidP="00007F6C">
      <w:pPr>
        <w:keepNext/>
        <w:jc w:val="right"/>
      </w:pPr>
      <w:bookmarkStart w:id="39" w:name="_Ref529191986"/>
      <w:r w:rsidRPr="004654D6">
        <w:t xml:space="preserve">Equation </w:t>
      </w:r>
      <w:r>
        <w:t>1.</w:t>
      </w:r>
      <w:r w:rsidR="00B51F53">
        <w:fldChar w:fldCharType="begin"/>
      </w:r>
      <w:r w:rsidR="00B51F53">
        <w:instrText xml:space="preserve"> S</w:instrText>
      </w:r>
      <w:r w:rsidR="00B51F53">
        <w:instrText xml:space="preserve">EQ Equation \* ARABIC </w:instrText>
      </w:r>
      <w:r w:rsidR="00B51F53">
        <w:fldChar w:fldCharType="separate"/>
      </w:r>
      <w:r w:rsidR="00315BF8">
        <w:rPr>
          <w:noProof/>
        </w:rPr>
        <w:t>6</w:t>
      </w:r>
      <w:r w:rsidR="00B51F53">
        <w:rPr>
          <w:noProof/>
        </w:rPr>
        <w:fldChar w:fldCharType="end"/>
      </w:r>
      <w:bookmarkEnd w:id="39"/>
    </w:p>
    <w:p w14:paraId="7CD30797" w14:textId="690FCD82" w:rsidR="00007F6C" w:rsidRDefault="00007F6C" w:rsidP="00007F6C">
      <w:pPr>
        <w:jc w:val="both"/>
      </w:pPr>
      <w:r w:rsidRPr="004654D6">
        <w:t>Cermet composite cathodes have been utilised to great effect in SOFCs. Materials such as LSCF (La Sr Cobalt Ferrite) have been utilised successfully as oxygen electrodes.</w:t>
      </w:r>
      <w:r>
        <w:t xml:space="preserve"> </w:t>
      </w:r>
      <w:r w:rsidRPr="004654D6">
        <w:t>LSCF suffers from stability issues stemming from the segregation of strontium to grain boundaries</w:t>
      </w:r>
      <w:r>
        <w:t xml:space="preserve"> </w:t>
      </w:r>
      <w:r>
        <w:fldChar w:fldCharType="begin" w:fldLock="1"/>
      </w:r>
      <w:r>
        <w:instrText>ADDIN CSL_CITATION {"citationItems":[{"id":"ITEM-1","itemData":{"DOI":"10.1002/9783527686605.ch38","ISBN":"9783527686605","abstract":"Solid oxide fuel cells (SOFCs) hold a great promise for highly efficient conversion of fossil fuels' chemical energy to electricity. Further development of high-performance (i.e., power generation and durability) electrode materials is needed for the widespread use of SOFCs. Perovskites (ABO\r\n3), which possess two unique characteristics, mixed conductivity and catalytic activity, can be tailored as high-performance anodes and cathodes through (i) partial substitution of A and B sites and (ii) further infiltration of a catalyst or promoter. This chapter illustrates the basic principles of the SOFC and its operation, examines the role of perovskites in both anode and cathode, highlights the issues involved in electrode development, and briefly discusses the future R&amp;D.","author":[{"dropping-particle":"","family":"Chuang","given":"Steven S.C.","non-dropping-particle":"","parse-names":false,"suffix":""},{"dropping-particle":"","family":"Zhang","given":"Long","non-dropping-particle":"","parse-names":false,"suffix":""}],"container-title":"Perovskites and Related Mixed Oxides: Concepts and Applications","id":"ITEM-1","issued":{"date-parts":[["2015"]]},"language":"English","note":"Export Date: 20 January 2017\nCorrespondence Address: Chuang, S.S.; The University of Akron, Department of Polymer Science, First Energy Advanced Energy Research Center, 170 University Avenue, United States\nReferences: Albarazi, A., Beaunier, P., Da Costa, P., Hydrogen and syngas production by methane dry reforming on SBA-15 supported nickel catalysts: on the effect of promotion by Ce0.75Zr0.25O2 mixed oxide (2013) Int. J. Hydrogen Energy, 38 (1), pp. 127-139; Budiman, A., Song, S.-H., Chang, T.-S., Dry reforming of methane over cobalt catalysts: a literature review of catalyst development (2012) Catal. Surv. Asia, 16 (4), pp. 183-197; Kapokova, L., Pavlova, S., Bunina, R., Dry reforming of methane over LnFe0.7Ni0.3O3_δ perovskites: influence of Ln nature (2011) Catal. Today, 164 (1), pp. 227-233; Rida, K., Peña, M.A., Sastre, E., Martinez-Arias, A., Effect of calcination temperature on structural properties and catalytic activity in oxidation reactions of LaNiO3 perovskite prepared by Pechini method (2012) J. Rare Earths, 30 (3), pp. 210-216; Sagar, T.V., Sreelatha, N., Hanmant, G., Influence of method of preparation on the activity of La-Ni-Ce mixed oxide catalysts for dry reforming of methane (2014) RSC Adv., 4 (91), pp. 50226-50232; Serrano-Lotina, A., Daza, L., Influence of the operating parameters over dry reforming of methane to syngas (2014) Int. J. Hydrogen Energy, 39 (8), pp. 4089-4094; Sutthiumporn, K., Maneerung, T., Kathiraser, Y., Kawi, S., CO2 dry-reforming of methane over La0.8Sr0.2Ni0.8M0.2O3 perovskite (M = Bi, Co, Cr, Cu, Fe): roles of lattice oxygen on C-H activation and carbon suppression (2012) Int. J. Hydrogen Energy, 37 (15), pp. 11195-11207; Valderrama, G., Goldwasser, M.R., Urbina de Navarro, C., Dry reforming of methane over Ni perovskite type oxides (2005) Catal. Today, 107-108, pp. 785-791; Valderrama, G., Urbina de Navarro, C., Goldwasser, M.R., CO2 reforming of CH4 over Co-La-based perovskite-type catalyst precursors (2013) J. Power Sources, 234, pp. 31-37; Wang, N., Yu, X., Wang, Y., A comparison study on methane dry reforming with carbon dioxide over LaNiO3 perovskite catalysts supported on mesoporous SBA-15, MCM-41 and silica carrier (2013) Catal. Today, 212, pp. 98-107; Yang, E.-H., Noh, Y.-S., Ramesh, S., The effect of promoters in La0.9M0.1Ni0.5Fe0.5O3 (M=Sr, Ca) perovskite catalysts on dry reforming of methane (2015) Fuel Process. Technol., 134, pp. 404-413. , (0); Misono, M., (2013) Heterogeneous Catalysis of Mixed Oxides Perovskite and Heteropoly Catalysts, , 1st edn, Elsevier, Amsterdam, Netherlands; Misono, M., A view on the future of mixed oxide catalysts: the case of heteropolyacids (polyoxometalates) and perovskites (2005) Catal. Today, 100 (1-2), pp. 95-100; Sunarso, J., Baumann, S., Serra, J.M., Mixed ionic-electronic conducting (MIEC) ceramic-based membranes for oxygen separation (2008) Journal of Membrane Science, 320 (1-2), pp. 13-41; Vielstich, W., Lamm, A., Gasteiger, H.A., (2003) Handbook of Fuel Cells: Fundamentals, Technology and Applications, , John Wiley &amp;amp; Sons Ltd, Chichester, UK; Guzman, F., Singh, R., Chuang, S.S.C., Direct use of sulfur-containing coke on a Ni_Yttria-stabilized Zirconia anode solid oxide fuel cell (2011) Energy &amp;amp; Fuels, 25 (5), pp. 2179-2186; Kolb, G., The Chemistry of Fuel Processing (2008) In Fuel Processing: For Fuel Cells, pp. 17-55. , Wiley-VCH Verlag Gmbh &amp;amp; Co., Weinheim, Germany; Jiang, S., Chan, S., A review of anode materials development in solid oxide fuel cells (2004) J. Mater. Sci., 39 (14), pp. 4405-4439; Chuang, S.S.C., Catalysis of Solid Oxide Fuel Cells (2005) Catalysis: Volume 18, pp. 186-198. , (ed J.J. Spivey), The Royal Society of Chemistry, Cambridge, UK; Ji, Y., Kilner, J.A., Carolan, M.F., Electrical properties and oxygen diffusion in Yttria-stabilised Zirconia (YSZ)-La0.8Sr0.2MnO3±δ (LSM) composites (2005) Solid State Ionics, 176 (9-10), pp. 937-943; Inoue, T., Kamimae, J.-I., Ueda, M., Ionic and electronic conductivities of LaCoO3-and LaMnO3-based perovskite-type oxides measured by the a. c. impedance method with electron-blocking electrodes (1993) J. Mater. Chem., 3 (7), pp. 751-754; Küngas, R., Vohs, J.M., Gorte, R.J., Effect of the ionic conductivity of the electrolyte in composite SOFC cathodes (2011) J. Electrochem. Soc., 158 (6), pp. B743-B748; Wiemhöfer, H.D., Bremes, H.G., Nigge, U., Zipprich, W., Studies of ionic transport and oxygen exchange on oxide materials for electrochemical gas sensors (2002) Solid State Ionics, 150 (1-2), pp. 63-77; Patrakeev, M.V., Bahteeva, J.A., Mitberg, E.B., Electron/hole and ion transport in La1-xSrxFeO3_δ (2003) J. Solid State Chem., 172 (1), pp. 219-231; Rembelski, D., Viricelle, J.P., Combemale, L., Rieu, M., Characterization and comparison of different cathode materials for SC-SOFC: LSM, BSCF, SSC, and LSCF (2012) Fuel Cells, 12 (2), pp. 256-264; Jiang, S.P., A comparison of O2 reduction reactions on porous (La, Sr) MnO3 and (La, Sr)(Co, Fe)O3 electrodes (2002) Solid State Ionics, 146 (1-2), pp. 1-22; Nomura, K., Tanase, S., Electrical conduction behavior in (La0.9Sr0.1)MIIIO3_δ (MIII = Al, Ga, Sc, In, and Lu) perovskites (1997) Solid State Ionics, 98 (3-4), pp. 229-236; Yokokawa, H., Sakai, N., Horita, T., Electrolytes for solid-oxide fuel cells (2005) MRS Bull., 30 (8), pp. 591-595; Yajima, T., Suzuki, H., Yogo, T., Iwahara, H., Protonic conduction in SrZrO3-based oxides (1992) Solid State Ionics, 51 (1-2), pp. 101-107; Taniguchi, N., Hatoh, K., Niikura, J., Proton conductive properties of gadolinium-doped barium cerates at high temperatures (1992) Solid State Ionics, 53-56, pp. 998-1003; Hashimoto, S., Poulsen, F.W., Mogensen, M., Conductivity of SrTiO3 based oxides in the reducing atmosphere at high temperature (2007) J. Alloys Compd., 439 (1-2), pp. 232-236; Li, X., Zhao, H., Xu, N., Electrical conduction behavior of La, Co co-doped SrTiO3 perovskite as anode material for solid oxide fuel cells (2009) Int. J. Hydrogen Energy, 34 (15), pp. 6407-6414; Matsumoto, H., Murakami, D., Shimura, T., Mixed electronic-ionic conduction in Ru-doped SrTiO3 at high temperature (2001) J. Electroceram., 7 (2), pp. 107-111; McEvoy, A.J., Materials for high-temperature oxygen reduction in solid oxide fuel cells (2001) J. Mater. Sci., 36 (5), pp. 1087-1091; Mitterdorfer, A., Gauckler, L.J., La2Zr2O7 formation and oxygen reduction kinetics of the La0.85Sr0.15MnyO3,O2(g)| YSZ system (1998) Solid State Ionics, 111 (3-4), pp. 185-218; Willy Poulsen, F., van der Puil, N., Phase relations and conductivity of Sr-and La-zirconates (1992) Solid State Ionics, 53-56, pp. 777-783; Lee, H.Y., Oh, S.M., Origin of cathodic degradation and new phase formation at the La0.9Sr0.1MnO3/YSZ interface (1996) Solid State Ionics, 90 (1-4), pp. 133-140; Yang, C.-C.T., Wei, W.-C.J., Roosen, A., Electrical conductivity and microstructures of La0.65Sr0.3MnO3-8 mol % yttria-stabilized zirconia (2003) Mater. Chem. Phys., 81 (1), pp. 134-142; Kumigashira, H., Horiba, K., Ohguchi, H., In situ photoemission characterization of terminating-layercontrolled La0.6Sr0.4MnO3 thin films (2003) Appl. Phys. Lett., 82 (20), pp. 3430-3432; Fister, T.T., Fong, D.D., Eastman, J.A., In situ characterization of strontium surface segregation in epitaxial La0.7Sr0.3MnO3 thin films as a function of oxygen partial pressure (2008) Appl. Phys. Lett., 93 (15), p. 151904; Baumann, F.S., Fleig, J., Konuma, M., Strong performance improvement of La0.6Sr0.4Co0.8Fe0.2O3_δ SOFC cathodes by electrochemical activation (2005) J. Electrochem. Soc., 152 (10), pp. A2074-A2079; Chen, K., Jiang, S.P., Degradation and durability of electrodes of solid oxide fuel cells (2013) Materials for High-Temperature Fuel Cells, pp. 245-307. , Wiley-VCH Verlag GmbH, Weinheim; Lu, Z., Zhou, X.-D., Templeton, J., Stevenson, J.W., Electrochemical performance and stability of the cathode for solid oxide fuel cells. IV. On the ohmic loss in anode-supported button cells with LSM or LSCF cathodes (2010) J. Electrochem. Soc., 157 (6), pp. B964-B969; Simner, S.P., Shelton, J.P., Anderson, M.D., Stevenson, J.W., Interaction between La(Sr)FeO3 SOFC cathode and YSZ electrolyte (2003) Solid State Ionics, 161 (1-2), pp. 11-18; Zhou, W., Sunarso, J., Chen, Z.-G., Novel B-site ordered double perovskite Ba2Bi0.1Sc0.2Co1.7O6_x for highly efficient oxygen reduction reaction (2011) Energy Environ. Sci., 4 (3), pp. 872-875; Zhou, W., Sunarso, J., Motuzas, J., Deactivation and regeneration of oxygen reduction reactivity on double perovskite Ba2Bi0.1Sc0.2Co1.7O6_x cathode for intermediate-temperature solid oxide fuel cells (2011) Chem. Mater., 23 (6), pp. 1618-1624; Zhou, W., Shao, Z., Kwak, C., Park, H.J., Advanced cathodes for solid oxide fuel cells (2013) Materials for High-Temperature Fuel Cells, pp. 49-95. , (eds S.P. Jiang and Y. Yan), Wiley-VCH Verlag GmbH, Weinheim; (2013) Recent solid oxide fuel cell cathode studies: tools, results, and novel concepts for making better cells, , DOE/NETL-2013/1618; Liu, M., Lynch, M.E., Blinn, K., Rational SOFC material design: new advances and tools (2011) Mater. Today, 14 (11), pp. 534-546; Wachsman, E.D., Lee, K.T., Lowering the temperature of solid oxide fuel cells (2011) Science, 334 (6058), pp. 935-939; Ahn, J.S., Pergolesi, D., Camaratta, M.A., High-performance bilayered electrolyte intermediate temperature solid oxide fuel cells (2009) Electrochem. Commun., 11 (7), pp. 1504-1507; Hou, J., Bi, L., Qian, J., High performance ceria-bismuth bilayer electrolyte low temperature solid oxide fuel cells (LT-SOFCs) fabricated by combining co-pressing with drop-coating (2015) J. Mater. Chem. A, 3 (19), pp. 10219-10224; Jiang, S.P., Chan, S.H., A review of anode materials development in solid oxide fuel cells (2004) J. Mater. Sci., 39, p. 4405; Mukundan, R., Brosha, E.L., Garzon, F.H., Sulfur tolerant anodes for SOFCs (2004) Electrochem. Solid-State Lett., 7 (1), pp. A5-A7; Lin, Y., Zhan, Z., Liu, J., Barnett, S.A., Direct operation of solid oxide fuel cells with methane fuel (2005) Solid State Ionics, 176 (23-24), pp. 1827-1835; Yu, Z., Chuang, S.S.C., Pulse CH4/D2O reaction on a Ni/YSZ anode in SOFC (2007) Appl. Catal. A: Gen., 327 (2), pp. 147-156; Horita, T., Kishimoto, H., Yamaji, K., Active parts for CH4 decomposition and electrochemical oxidation at metal/oxide interfaces by isotope labeling-secondary ion mass spectrometry (2006) Solid State Ionics, 177 (35-36), pp. 3179-3185; Rismanchian, A., Mirzababaei, J., Chuang, S.S.C., Electroless plated Cu-Ni anode catalyst for natural gas solid oxide fuel cells (2015) Catal. Today, 245, pp. 79-85. , (0); Fisher Ii, J.C., Chuang, S.S.C., Investigating the CH4 reaction pathway on a novel LSCF anode catalyst in the SOFC (2009) Catal. Commun., 10 (6), pp. 772-776; Jiang, S.P., Chen, X.J., Chan, S.H., (La0.75Sr0.25)(Cr0.5Mn0.5)O3/YSZ composite anodes for methane oxidation reaction in solid oxide fuel cells (2006) Solid State Ionics, 177 (1-2), pp. 149-157; Liu, J., Madsen, B.D., Ji, Z., Barnett, S.A., A fuel-flexible ceramic-based anode for solid oxide fuel cells (2002) Electrochem. Solid-State Lett., 5 (6), pp. A122-A124; Slater, R.P., Fagg, P.D., Irvine, T.S.J., Synthesis and electrical characterisation of doped perovskite titanates as potential anode materials for solid oxide fuel cells (1997) J. Mater. Chem., 7 (12), pp. 2495-2498; Canales-Vázquez, J., Tao, S.W., Irvine, J.T.S., Electrical properties in La2Sr4Ti6O19_δ: a potential anode for high temperature fuel cells (2003) Solid State Ionics, 159 (1-2), pp. 159-165; Ruiz-Morales, J.C., Canales-Vázquez, J., Savaniu, C., Disruption of extended effects in solid oxide fuel cell anodes for methane oxidation (2006) Nature, 439 (7076), pp. 568-571; Huang, Y.-H., Dass, R.I., Denyszyn, J.C., Goodenough, J.B., Synthesis and Characterization of Sr2MgMoO6_δ:an anode material for the solid oxide fuel cell (2006) J. Electrochem. Soc., 153 (7), pp. A1266-A1272; Ji, Y., Huang, Y.-H., Ying, J.-R., Goodenough, J.B., Electrochemical performance of La-doped Sr2MgMoO6_δ in natural gas (2007) Electrochem. Commun., 9 (8), pp. 1881-1885; Cui, S.-H., Li, J.-H., Jayakumar, A., Effects of H2S and H2O on carbon deposition over La0.4Sr0.5Ba0.1TiO3/YSZ perovskite anodes in methane fueled SOFCs (2014) J. Power Sources, 250, pp. 134-142. , (0)","page":"863-880","publisher":"Wiley Blackwell","title":"Perovskites and Related Mixed Oxides for SOFC Applications","type":"chapter"},"uris":["http://www.mendeley.com/documents/?uuid=9cc5b76a-bbfd-4ec4-b0d8-0dde35e48893"]},{"id":"ITEM-2","itemData":{"DOI":"10.1039/c8ta01341a","ISBN":"2050-7488\r2050-7496","author":[{"dropping-particle":"","family":"Niania","given":"Mathew","non-dropping-particle":"","parse-names":false,"suffix":""},{"dropping-particle":"","family":"Podor","given":"Renaud","non-dropping-particle":"","parse-names":false,"suffix":""},{"dropping-particle":"Ben","family":"Britton","given":"T","non-dropping-particle":"","parse-names":false,"suffix":""},{"dropping-particle":"","family":"Li","given":"Cheng","non-dropping-particle":"","parse-names":false,"suffix":""},{"dropping-particle":"","family":"Cooper","given":"Samuel J","non-dropping-particle":"","parse-names":false,"suffix":""},{"dropping-particle":"","family":"Svetkov","given":"Nikolai","non-dropping-particle":"","parse-names":false,"suffix":""},{"dropping-particle":"","family":"Skinner","given":"Stephen","non-dropping-particle":"","parse-names":false,"suffix":""},{"dropping-particle":"","family":"Kilner","given":"John","non-dropping-particle":"","parse-names":false,"suffix":""}],"chapter-number":"14120","container-title":"Journal of Materials Chemistry A","id":"ITEM-2","issue":"29","issued":{"date-parts":[["2018"]]},"page":"14120-14135","title":"In situ study of strontium segregation in La0.6Sr0.4Co0.2Fe0.8O3−δ in ambient atmospheres using high-temperature environmental scanning electron microscopy","type":"article-journal","volume":"6"},"uris":["http://www.mendeley.com/documents/?uuid=0c378dac-23eb-48aa-95cb-33acc773e298"]}],"mendeley":{"formattedCitation":"[86], [87]","plainTextFormattedCitation":"[86], [87]","previouslyFormattedCitation":"[86], [87]"},"properties":{"noteIndex":0},"schema":"https://github.com/citation-style-language/schema/raw/master/csl-citation.json"}</w:instrText>
      </w:r>
      <w:r>
        <w:fldChar w:fldCharType="separate"/>
      </w:r>
      <w:r w:rsidRPr="00375DF8">
        <w:rPr>
          <w:noProof/>
        </w:rPr>
        <w:t>[86], [87]</w:t>
      </w:r>
      <w:r>
        <w:fldChar w:fldCharType="end"/>
      </w:r>
      <w:r w:rsidRPr="004654D6">
        <w:t>. This forms an insulative phase which blocks the conduction of electrons and can stop the adsorption of oxygen.  Detrimental secondary phases can form at temperatures approaching 400</w:t>
      </w:r>
      <w:r w:rsidR="00B42C08">
        <w:t xml:space="preserve"> </w:t>
      </w:r>
      <w:r w:rsidRPr="004654D6">
        <w:rPr>
          <w:rFonts w:cstheme="minorHAnsi"/>
        </w:rPr>
        <w:t>°</w:t>
      </w:r>
      <w:r w:rsidRPr="004654D6">
        <w:t>C</w:t>
      </w:r>
      <w:r>
        <w:t xml:space="preserve"> </w:t>
      </w:r>
      <w:r>
        <w:fldChar w:fldCharType="begin" w:fldLock="1"/>
      </w:r>
      <w:r>
        <w:instrText>ADDIN CSL_CITATION {"citationItems":[{"id":"ITEM-1","itemData":{"DOI":"10.1039/c8ta01341a","ISBN":"2050-7488\r2050-7496","author":[{"dropping-particle":"","family":"Niania","given":"Mathew","non-dropping-particle":"","parse-names":false,"suffix":""},{"dropping-particle":"","family":"Podor","given":"Renaud","non-dropping-particle":"","parse-names":false,"suffix":""},{"dropping-particle":"Ben","family":"Britton","given":"T","non-dropping-particle":"","parse-names":false,"suffix":""},{"dropping-particle":"","family":"Li","given":"Cheng","non-dropping-particle":"","parse-names":false,"suffix":""},{"dropping-particle":"","family":"Cooper","given":"Samuel J","non-dropping-particle":"","parse-names":false,"suffix":""},{"dropping-particle":"","family":"Svetkov","given":"Nikolai","non-dropping-particle":"","parse-names":false,"suffix":""},{"dropping-particle":"","family":"Skinner","given":"Stephen","non-dropping-particle":"","parse-names":false,"suffix":""},{"dropping-particle":"","family":"Kilner","given":"John","non-dropping-particle":"","parse-names":false,"suffix":""}],"chapter-number":"14120","container-title":"Journal of Materials Chemistry A","id":"ITEM-1","issue":"29","issued":{"date-parts":[["2018"]]},"page":"14120-14135","title":"In situ study of strontium segregation in La0.6Sr0.4Co0.2Fe0.8O3−δ in ambient atmospheres using high-temperature environmental scanning electron microscopy","type":"article-journal","volume":"6"},"uris":["http://www.mendeley.com/documents/?uuid=0c378dac-23eb-48aa-95cb-33acc773e298"]}],"mendeley":{"formattedCitation":"[87]","plainTextFormattedCitation":"[87]","previouslyFormattedCitation":"[87]"},"properties":{"noteIndex":0},"schema":"https://github.com/citation-style-language/schema/raw/master/csl-citation.json"}</w:instrText>
      </w:r>
      <w:r>
        <w:fldChar w:fldCharType="separate"/>
      </w:r>
      <w:r w:rsidRPr="00375DF8">
        <w:rPr>
          <w:noProof/>
        </w:rPr>
        <w:t>[87]</w:t>
      </w:r>
      <w:r>
        <w:fldChar w:fldCharType="end"/>
      </w:r>
      <w:r>
        <w:t>.</w:t>
      </w:r>
    </w:p>
    <w:p w14:paraId="46D71714" w14:textId="77777777" w:rsidR="00007F6C" w:rsidRDefault="00007F6C" w:rsidP="00007F6C">
      <w:pPr>
        <w:jc w:val="both"/>
        <w:rPr>
          <w:lang w:val="en-US"/>
        </w:rPr>
      </w:pPr>
      <w:r w:rsidRPr="004654D6">
        <w:rPr>
          <w:lang w:val="en-US"/>
        </w:rPr>
        <w:t xml:space="preserve">The oxygen electrode has been the most widely studied electrode for SOFCs. Oxygen electrode supported SOFCs have been proven to </w:t>
      </w:r>
      <w:proofErr w:type="spellStart"/>
      <w:r w:rsidRPr="004654D6">
        <w:rPr>
          <w:lang w:val="en-US"/>
        </w:rPr>
        <w:t>maximise</w:t>
      </w:r>
      <w:proofErr w:type="spellEnd"/>
      <w:r w:rsidRPr="004654D6">
        <w:rPr>
          <w:lang w:val="en-US"/>
        </w:rPr>
        <w:t xml:space="preserve"> the power density </w:t>
      </w:r>
      <w:r w:rsidRPr="00F50914">
        <w:rPr>
          <w:lang w:val="en-US"/>
        </w:rPr>
        <w:t>(Wcm</w:t>
      </w:r>
      <w:r>
        <w:rPr>
          <w:vertAlign w:val="superscript"/>
          <w:lang w:val="en-US"/>
        </w:rPr>
        <w:t>-</w:t>
      </w:r>
      <w:r w:rsidRPr="00F50914">
        <w:rPr>
          <w:vertAlign w:val="superscript"/>
          <w:lang w:val="en-US"/>
        </w:rPr>
        <w:t>2</w:t>
      </w:r>
      <w:r w:rsidRPr="004654D6">
        <w:rPr>
          <w:lang w:val="en-US"/>
        </w:rPr>
        <w:t>) of SOFC stacks. However, the high cost of electrolyte and cathode supported SOFC systems has led to the anode being the used as the support electrode as it provides a compromise between power density and cost</w:t>
      </w:r>
      <w:r>
        <w:rPr>
          <w:lang w:val="en-US"/>
        </w:rPr>
        <w:t xml:space="preserve"> </w:t>
      </w:r>
      <w:r>
        <w:rPr>
          <w:lang w:val="en-US"/>
        </w:rPr>
        <w:fldChar w:fldCharType="begin" w:fldLock="1"/>
      </w:r>
      <w:r>
        <w:rPr>
          <w:lang w:val="en-US"/>
        </w:rPr>
        <w:instrText>ADDIN CSL_CITATION {"citationItems":[{"id":"ITEM-1","itemData":{"DOI":"10.1016/j.ijhydene.2018.06.114","ISBN":"03603199","author":[{"dropping-particle":"","family":"Chelmehsara","given":"Milad Ebadi","non-dropping-particle":"","parse-names":false,"suffix":""},{"dropping-particle":"","family":"Mahmoudimehr","given":"Javad","non-dropping-particle":"","parse-names":false,"suffix":""}],"chapter-number":"15521","container-title":"International Journal of Hydrogen Energy","id":"ITEM-1","issue":"32","issued":{"date-parts":[["2018"]]},"page":"15521-15530","title":"Techno-economic comparison of anode-supported, cathode-supported, and electrolyte-supported SOFCs","type":"article-journal","volume":"43"},"uris":["http://www.mendeley.com/documents/?uuid=984e562d-5de4-489b-9a6c-771083d9e5f6"]},{"id":"ITEM-2","itemData":{"DOI":"10.1016/j.ijhydene.2016.03.169","ISBN":"03603199 (ISSN)","ISSN":"03603199","abstract":"In addition to pure hydrogen, solid oxide fuel cells (SOFCs) can utilize hydrocarbons as a fuel. However, conventional Ni-based anodes exhibit an excellent catalytic activity towards the hydrocarbon cracking reaction and thus the carbon deposition occurs in the anode. The deposited carbons quickly deactivate the anode irreversibly by covering the active surface of the anode catalyst. As a result, a significant degradation in the cell performance can be seen. In this study, the anode structure is modified by the addition of copper (Cu) and ceria (CeO2) to increase the coking resistance of the cell under direct methane fuel. In this respect, the anodes are infiltrated by different amounts of Cu and CeO2 nitrates via the wet impregnation technique to investigate the effects of Cu and CeO2 loadings on the carbon tolerance of the cell. The effects of the anode porosity and composition are also considered in the study. The carbon resistance thus the service life of the cell with Cu/CeO2/Ni/YSZ anodes is found to be significantly higher than that of conventional Ni-based anodes under direct dry methane fuel.","author":[{"dropping-particle":"","family":"Akdeniz","given":"Yelda","non-dropping-particle":"","parse-names":false,"suffix":""},{"dropping-particle":"","family":"Timurkutluk","given":"Bora","non-dropping-particle":"","parse-names":false,"suffix":""},{"dropping-particle":"","family":"Timurkutluk","given":"Cigdem","non-dropping-particle":"","parse-names":false,"suffix":""}],"container-title":"International Journal of Hydrogen Energy","id":"ITEM-2","issue":"23","issued":{"date-parts":[["2016"]]},"language":"English","note":"Cited By :1\nExport Date: 20 January 2017\nCODEN: IJHED\nCorrespondence Address: Akdeniz, Y.; Nigde University, Mechanical Engineering DepartmentTurkey; email: yelda_ciflik@hotmail.com\nReferences: Lu, C., An, S., Worrell, W.L., Vohs, J.M., Gorte, R.J., Development of intermediate-temperature solid oxide fuel cells for direct utilization of hydrocarbon fuels (2004) Solid State Ionics, 175, pp. 47-50; Lee, K.R., Pyo, Y.S., So, B.S., Kim, S.M., Lee, B.K., Hwang, J.H., Interpretation of the interconnected microstructure of an NiO–YSZ anode composite for solid oxide fuel cells via impedance spectroscopy (2006) J Power Sources, 158, p. 45. , 2007;163:1143-; Horita, T., Kishimoto, H., Yamaji, K., Xiong, Y.P., Sakai, N., Brito, M.E., Materials and reaction mechanisms at anode/electrolyte interfaces for SOFCs (2006) Solid State Ionics, 177, pp. 1941-1948; Skarmoutsos, D., Tsoga, A., Naoumidis, A., Nikolopoulos, P., 5 mol% TiO2-doped Ni-YSZ anode cermets for solid oxide fuel cells (2000) Solid State Ionics, 135, pp. 439-444; Zhu, W.Z., Deevi, S.C., A review on the status of anode materials for solid oxide fuel cells (2003) Mat Sci Eng a-Struct, 362, pp. 228-239; Koh, J.H., Yoo, Y.S., Park, J.W., Lim, H.C., Carbon deposition and cell performance of Ni-YSZ anode support SOFC with methane fuel (2002) Solid State Ionics, 149, pp. 157-166; Kendall, K., Finnerty, C.M., Saunders, G., Chung, J.T., Effects of dilution on methane entering an SOFC anode (2002) J Power Sources, 106, pp. 323-327; Mori, H., Wen, C.J., Otomo, J., Eguchi, K., Takahashi, H., Investigation of the interaction between NiO and yttria-stabilized zirconia (YSZ) in the NiO/YSZ composite by temperature-programmed reduction technique (2003) Appl Catal a-Gen, 245, pp. 79-85; Yin, Y.H., Li, S.Y., Xia, C.R., Meng, G.Y., Electrochemical performance of gel-cast NiO-SDC composite anodes in low-temperature SOFCs (2006) Electrochim Acta, 51, pp. 2594-2598; Mori, M., Hiei, Y., Itoh, H., Tompsett, G.A., Sammes, N.M., Evaluation of Ni and Ti-doped Y2O3 stabilized ZrO2 cermet as an anode in high-temperature solid oxide fuel cells (2003) Solid State Ionics, 160, pp. 1-14; Radovic, M., Lara-Curzio, E., Mechanical properties of tape cast nickel-based anode materials for solid oxide fuel cells before and after reduction in hydrogen (2004) Acta Mater, 52, pp. 5747-5756; Qiao, J., Zhang, N., Wang, Z., Mao, Y., Sun, K., Yuan, Y., Performance of mix-impregnated CeO2-Ni/YSZ anodes for direct oxidation of methane in solid oxide fuel cells (2009) Fuel Cells, 9, pp. 729-739; Zhao, K., Lee, K.S., Chen, M., Kim, B.H., Xu, Q., Ahn, B.G., Electrochemical performance of a copper-impregnated Ni–Ce0.8Sm0.2O1.9 anode running on methane (2013) Int J Hydrogen Energ, 38, pp. 3750-3756; Wang, W., Zhu, H.Y., Yang, G.M., Park, H.J., Jung, D.W., Kwak, C., A NiFeCu alloy anode catalyst for direct-methane solid oxide fuel cells (2014) J Power Sources, 258, pp. 134-141; Hornes, A., Escudero, M.J., Daza, L., Martinez-Arias, A., Electrochemical performance of a solid oxide fuel cell with an anode based on Cu–Ni/CeO2 for methane direct oxidation (2014) J Power Sources, 249, pp. 520-526; Liu, M.Q., Wang, S.L., Chen, T., Yuan, C., Zhou, Y.C., Wang, S.R., Performance of the nano-structured Cu–Ni (alloy) –CeO2 anode for solid oxide fuel cells (2015) J Power Sources, 274, pp. 730-735; Ye, X.F., Huang, B., Wang, S.R., Wang, Z.R., Xiong, L., Wen, T.L., Preparation and performance of a Cu–CeO2–ScSZ composite anode for SOFCs running on ethanol fuel (2007) J Power Sources, 164, pp. 203-209; Ye, X.F., Wang, S.R., Hu, Q., Chen, J.Y., Wen, T.L., Wen, Z.Y., Improvement of Cu–CeO2 anodes for SOFCs running on ethanol fuels (2009) Solid State Ionics, 180, pp. 276-281; Ye, X.F., Zhou, J., Wang, S.R., Zeng, F.R., Wen, T.L., Zhan, Z.L., Research of carbon deposition formation and judgment in Cu–CeO2–ScSZ anodes for direct ethanol solid oxide fuel cells (2012) Int J Hydrogen Energ, 37, pp. 505-510; Kaur, G., Basu, S., Copper–Iron–Ceria–YSZ Anode for direct utilization of hydrocarbons in solid oxide fuel cells (2013) Ecs Trans, 57, pp. 2961-2968; Park, S., Craciun, R., Vohs, J.M., Gorte, R.J., Direct oxidation of hydrocarbons in a solid oxide fuel cell I. Methane oxidation (1999) J Electrochem Soc, 146, pp. 3603-3605; Gorte, R.J., Park, S., Vohs, J.M., Wang, C.H., Anodes for direct oxidation of dry hydrocarbons in a solid-oxide fuel cell (2000) Adv Mater, 12, pp. 1465-1469; Kim, H., Park, S., Vohs, J.M., Gorte, R.J., Direct oxidation of liquid fuels in a solid oxide fuel cell (2001) J Electrochem Soc, 148, pp. A693-A695; Gorte, R.J., Vohs, J.M., Novel SOFC anodes for the direct electrochemical oxidation of hydrocarbons (2003) J Catal, 216, pp. 477-486","page":"10021-10029","publisher":"Elsevier Ltd","title":"Development of anodes for direct oxidation of methane fuel in solid oxide fuel cells","type":"article-journal","volume":"41"},"uris":["http://www.mendeley.com/documents/?uuid=aa06f3a1-e514-40e0-914f-09e3f516ae40"]}],"mendeley":{"formattedCitation":"[88], [89]","plainTextFormattedCitation":"[88], [89]","previouslyFormattedCitation":"[88], [89]"},"properties":{"noteIndex":0},"schema":"https://github.com/citation-style-language/schema/raw/master/csl-citation.json"}</w:instrText>
      </w:r>
      <w:r>
        <w:rPr>
          <w:lang w:val="en-US"/>
        </w:rPr>
        <w:fldChar w:fldCharType="separate"/>
      </w:r>
      <w:r w:rsidRPr="00375DF8">
        <w:rPr>
          <w:noProof/>
          <w:lang w:val="en-US"/>
        </w:rPr>
        <w:t>[88], [89]</w:t>
      </w:r>
      <w:r>
        <w:rPr>
          <w:lang w:val="en-US"/>
        </w:rPr>
        <w:fldChar w:fldCharType="end"/>
      </w:r>
      <w:r>
        <w:rPr>
          <w:lang w:val="en-US"/>
        </w:rPr>
        <w:t>.</w:t>
      </w:r>
    </w:p>
    <w:p w14:paraId="449D3168" w14:textId="77777777" w:rsidR="00007F6C" w:rsidRDefault="00007F6C" w:rsidP="00007F6C">
      <w:pPr>
        <w:pStyle w:val="Heading4"/>
      </w:pPr>
      <w:r w:rsidRPr="004654D6">
        <w:t>1.</w:t>
      </w:r>
      <w:r>
        <w:t>5</w:t>
      </w:r>
      <w:r w:rsidRPr="004654D6">
        <w:t>.2.2</w:t>
      </w:r>
      <w:r w:rsidRPr="004654D6">
        <w:tab/>
        <w:t>Anode</w:t>
      </w:r>
    </w:p>
    <w:p w14:paraId="5D7D4622" w14:textId="77777777" w:rsidR="00007F6C" w:rsidRDefault="00007F6C" w:rsidP="00007F6C">
      <w:pPr>
        <w:jc w:val="both"/>
      </w:pPr>
      <w:r w:rsidRPr="002B6C9E">
        <w:t>As the principal location of the hydrogen oxidation reaction (in H</w:t>
      </w:r>
      <w:r w:rsidRPr="002B6C9E">
        <w:rPr>
          <w:vertAlign w:val="subscript"/>
        </w:rPr>
        <w:t>2</w:t>
      </w:r>
      <w:r w:rsidRPr="002B6C9E">
        <w:t>/O</w:t>
      </w:r>
      <w:r w:rsidRPr="002B6C9E">
        <w:rPr>
          <w:vertAlign w:val="subscript"/>
        </w:rPr>
        <w:t>2</w:t>
      </w:r>
      <w:r w:rsidRPr="002B6C9E">
        <w:t xml:space="preserve"> SOFCs) the anode requires almost identical properties to the cathode i.e. high stability, electrolyte compatibility and electrical conductivity</w:t>
      </w:r>
      <w:r>
        <w:t xml:space="preserve"> </w:t>
      </w:r>
      <w:r>
        <w:fldChar w:fldCharType="begin" w:fldLock="1"/>
      </w:r>
      <w:r>
        <w:instrText xml:space="preserve">ADDIN CSL_CITATION {"citationItems":[{"id":"ITEM-1","itemData":{"DOI":"10.1039/c5ee03858h","ISSN":"17545706","abstract":"This article provides a perspective on solid oxide fuel cells operating at low temperature, defined here to be the range from </w:instrText>
      </w:r>
      <w:r>
        <w:rPr>
          <w:rFonts w:ascii="Cambria Math" w:hAnsi="Cambria Math" w:cs="Cambria Math"/>
        </w:rPr>
        <w:instrText>∼</w:instrText>
      </w:r>
      <w:r>
        <w:instrText xml:space="preserve">400 </w:instrText>
      </w:r>
      <w:r>
        <w:rPr>
          <w:rFonts w:ascii="Calibri" w:hAnsi="Calibri" w:cs="Calibri"/>
        </w:rPr>
        <w:instrText>°</w:instrText>
      </w:r>
      <w:r>
        <w:instrText xml:space="preserve">C to 650 </w:instrText>
      </w:r>
      <w:r>
        <w:rPr>
          <w:rFonts w:ascii="Calibri" w:hAnsi="Calibri" w:cs="Calibri"/>
        </w:rPr>
        <w:instrText>°</w:instrText>
      </w:r>
      <w:r>
        <w:instrText>C. These low-temperature solid oxide fuel cells (LT-SOFCs) have seen considerable research and development and are widely viewed as the \"next generation\" technology, following the 650-850 °C SOFCs that are currently undergoing commercialization. LT-SOFCs have potential advantages for conventional SOFC applications such as stationary power generation, and may be viable for new portable and transportation power applications, along with electrolytic fuel production and energy storage. The characteristics of electrolyte and electrode materials are reviewed, with a focus on materials that have demonstrated good properties and cell performance at low temperature. Only oxygen-ion-conducting electrolytes are considered here. Anode materials are discussed, primarily the various Ni-cermet anode compositions that yield good low-temperature performance. Mixed ionically and electronically conducting cathode materials are described in detail, reflecting the extensive research activity that has aimed at providing useful oxygen reduction kinetics at low operating temperature. Cell design, materials compatibility, processing methods, and resulting microstructures are discussed, along with their role in determining cell performance. Results from state of the art LT-SOFCs are presented, and future prospects are discussed.","author":[{"dropping-particle":"","family":"Gao","given":"Zhan","non-dropping-particle":"","parse-names":false,"suffix":""},{"dropping-particle":"V.","family":"Mogni","given":"Liliana","non-dropping-particle":"","parse-names":false,"suffix":""},{"dropping-particle":"","family":"Miller","given":"Elizabeth C.","non-dropping-particle":"","parse-names":false,"suffix":""},{"dropping-particle":"","family":"Railsback","given":"Justin G.","non-dropping-particle":"","parse-names":false,"suffix":""},{"dropping-particle":"","family":"Barnett","given":"Scott A.","non-dropping-particle":"","parse-names":false,"suffix":""}],"container-title":"Energy and Environmental Science","id":"ITEM-1","issue":"5","issued":{"date-parts":[["2016"]]},"page":"1602-1644","publisher":"Royal Society of Chemistry","title":"A perspective on low-temperature solid oxide fuel cells","type":"article-journal","volume":"9"},"uris":["http://www.mendeley.com/documents/?uuid=92448a47-9cb3-4040-b1d0-cf84ba5bfc9d"]},{"id":"ITEM-2","itemData":{"ISBN":"978-87-550-3625-3","abstract":"Ni-YSZ cermets have been used as anode materials in SOFCs for more than 20 \nyears. Despite this fact, the major cause of degradation within the Ni-YSZ anode, \nnamely Ni sintering / coarsening, is still not fully understood. Even if microstructural \nstudies of anodes in tested cells are of technological relevance, it is difficult to \nidentify the effect from isolated parameters such as temperature, fuel gas composition \nand polarization. Model studies of high temperature aged Ni-YSZ cermets are \ngenerally performed in atmospheres containing relatively low concentrations of H2O. \nIn this work, the microstructural degradation in both electrochemically longterm \ntested cells and high-temperature aged model materials are studied. Since Ni \nparticle sintering / coarsening is attributed to be the major cause of anode degradation, \nthis subject attains the primary focus. A large part of the work is focused on \nimproving microstructural techniques and shows that the application of low \nacceleration voltages (≤ 1 kV) in a FE-SEM makes it possible to obtain two useful \ntypes of contrast between the phases in Ni-YSZ composites. By changing between the \nordinary lateral SE detector and the inlens detector, using similar microscope settings, \ntwo very different sample characteristics are probed: 1) The difference in secondary \nemission coefficient, δ, between the percolating and non-percolating Ni is maximized \nin the low-voltage range due to a high δ for the former and the suppression of δ by a \npositive charge for the latter. This difference yields a contrast between the two phases \nwhich is picked up by an inlens secondary electron detector. 2) The difference in \nbackscatter coefficient, η, between Ni and YSZ is shown to increase with decreasing \nvoltage. The contrast is illustrated in images collected by the normal secondary \ndetector since parts of the secondary signals are generated by backscattered electrons. \nHigh temperature aging experiments of model Ni-YSZ anode cermets show \nthat Ni sintering / coarsening is significantly increased, not only at higher \ntemperatures, but also when the concentration of H2O in the reducing atmosphere is \nincreased. It is proposed that the mobility of Ni is facilitated by the formation of Ni- \nOH complexes which are capable of segregating on the Ni particles surface, on the \nYSZ surface and via gas phase. This is a mechanism which has previously been \nreported in the context of Ni steam-reforming catalysis. \nIn the context of…","author":[{"dropping-particle":"","family":"Thydén","given":"Karl Tor Sune","non-dropping-particle":"","parse-names":false,"suffix":""}],"id":"ITEM-2","issued":{"date-parts":[["2008"]]},"title":"Microstructural degradation of Ni-YSZ anodes for solid oxide fuel cells","type":"book"},"uris":["http://www.mendeley.com/documents/?uuid=c6a04f41-b5fc-4f29-83cc-7633eefe46fc"]},{"id":"ITEM-3","itemData":{"DOI":"10.1002/9781118191323","ISBN":"9781118087565","author":[{"dropping-particle":"","family":"Bagotsky","given":"Vladimir S.","non-dropping-particle":"","parse-names":false,"suffix":""}],"container-title":"Fuel Cells: Problems and Solutions: Second Edition","id":"ITEM-3","issued":{"date-parts":[["2012"]]},"title":"Fuel Cells: Problems and Solutions: Second Edition","type":"book"},"uris":["http://www.mendeley.com/documents/?uuid=c869f6b3-cb59-45bb-9704-8afee35620f5"]},{"id":"ITEM-4","itemData":{"ISBN":"00-442-31926-6","author":[{"dropping-particle":"","family":"Appleby","given":"A J","non-dropping-particle":"","parse-names":false,"suffix":""},{"dropping-particle":"","family":"Foulkes","given":"F R","non-dropping-particle":"","parse-names":false,"suffix":""}],"id":"ITEM-4","issued":{"date-parts":[["1988"]]},"publisher":"Van Nostrand Reinhold","title":"Fuel Cell Handbook","type":"book"},"uris":["http://www.mendeley.com/documents/?uuid=61a75d6c-0322-4da6-91bc-80ede657b69e"]}],"mendeley":{"formattedCitation":"[17], [22], [34], [90]","plainTextFormattedCitation":"[17], [22], [34], [90]","previouslyFormattedCitation":"[17], [22], [34], [90]"},"properties":{"noteIndex":0},"schema":"https://github.com/citation-style-language/schema/raw/master/csl-citation.json"}</w:instrText>
      </w:r>
      <w:r>
        <w:fldChar w:fldCharType="separate"/>
      </w:r>
      <w:r w:rsidRPr="00375DF8">
        <w:rPr>
          <w:noProof/>
        </w:rPr>
        <w:t>[17], [22], [34], [90]</w:t>
      </w:r>
      <w:r>
        <w:fldChar w:fldCharType="end"/>
      </w:r>
      <w:r w:rsidRPr="002B6C9E">
        <w:t>. The major difference against the cathode is that its electrochemical activity is focused on hydrogen so the anode needs to be stable under reducing conditions</w:t>
      </w:r>
      <w:r>
        <w:t xml:space="preserve"> </w:t>
      </w:r>
      <w:r>
        <w:fldChar w:fldCharType="begin" w:fldLock="1"/>
      </w:r>
      <w:r>
        <w:instrText>ADDIN CSL_CITATION {"citationItems":[{"id":"ITEM-1","itemData":{"DOI":"10.1111/j.1151-2916.1993.tb03645.x","ISBN":"00027820 (ISSN)","abstract":"A ceramic fuel cell in an all solid‐state energy conversion device that produces electricity by electrochemically combining fuel and oxidant gases across an ionic conducting oxide. Current ceramic fuel cells use an oxygen‐ion conductor or a proton conductor as the electrolyte and operate at high temperatures (&gt;600°C). Ceramic fuel cells, commonly referred to as solid‐oxide fuel cells (SOFCs), are presently under development for a variety of power generation applications. This paper reviews the science and technology of ceramic fuel cells and discusses the critical issues posed by the development of this type of fuel cell. The emphasis is given to the discussion of component materials (especially, ZrO2 electrolyte, nickel/ZrO2 cermet anode, LaMnO3 cathode, and LaCrO3 interconnect), gas reactions at the electrodes, stack designs, and processing techniques used in the fabrication of required ceramic structures. Copyright © 1993, Wiley Blackwell. All rights reserved","author":[{"dropping-particle":"","family":"Minh","given":"N Q","non-dropping-particle":"","parse-names":false,"suffix":""}],"container-title":"Journal of the American Ceramic Society","id":"ITEM-1","issue":"3","issued":{"date-parts":[["1993"]]},"language":"English","note":"Cited By :3099\nExport Date: 30 November 2016\nCorrespondence Address: Minh, N.Q.; AiResearch Los Angeles Division, Allied-Signal Aerospace Company, Torrance, California, 90504-6099, United States\nReferences: Grove, W.R., On Voltaic Series and the Combination of Gases by Platinum (1839) Philos. Mag., 14, pp. 127-130; Nernst, W., Uber Die Elektrolytische Leitung Fester Körper Bei Sehr Hohen Temperaturen (1899) Z. Elektrochem., 6, pp. 41-43; Baur, E., Preis, H., Uber Brennstoff‐Ketten Mit Festleitern (1937) Z. Elektrochem., 43, pp. 727-732; Minh, N.Q., High‐Temperature Fuel Cells. Part 2: The Solid Oxide Cell (1991) CHEMTECH, 21, pp. 120-126; (1981) Science and Technology of Zirconia, 3. , Edited by, A. H. Heuer, L. W. Hobbs, American Ceramic Society, Columbus, OH; (1984) Science and Technology of Zirconia II, 12. , Edited by, N. Claussen, M. Rühle, A. H. Heuer, American Ceramic Society, Columbus, OH; (1988) Science and Technology of Zirconia III, 24. , Edited by, S. Somiya, N. Yamamoto, H. Yanagida, American Ceramic Society, Westerville, OH; Stevens, R., (1986) An Introduction to Zirconia, , Magnesium Elektron, London, U.K; Etsell, T.H., Flengas, S.N., The Electrical Properties of Solid Oxide Electrolytes (1970) Chem. Rev., 70, pp. 339-376; Subbarao, E.C., Maiti, H.S., Solid Electrolytes with Oxygen Ion Conduction (1984) Solid State Ionics, 11, pp. 317-338; Patterson, J.W., Borgen, E.C., Rapp, R.A., Mixed Conduction in Zr0.85Ca0.15O1.85 and Th0.85Y0.15O1.85 Solid Electrolytes (1967) Journal of The Electrochemical Society, 114, pp. 752-758; Baumard, J.F., Abelard, P., , pp. 555-571. , “Defect Structure and Transport Properties of ZrO2‐Based Solid Electrolytes”; see Ref. 6, ppChoudhary, C.B., Maiti, H.S., Subbarao, E.C., Detect Structure and Transport Properties (1980) Solid Electrolytes and Their Applications, pp. 1-80. , Edited by, E. C. Subbarao, Plenum Press, New York; Badwal, S.P.S., Hughes, A.E., Modification of Cell Characteristics by Segregated Impurities (1991) Proceedings of the Second International Symposium on Solid Oxide Fuel Cells, pp. 445-454. , Edited by, F. Gross, P. Zegers, S. C. Singhal, O. Yamamoto, Commission of The European Communities, Luxembourg; Bauerle, J.E., Study of Solid Electrolyte Polarization by a Complex Admittance Method (1969) J. Phys. Chem. Solids, 30, pp. 2657-2670; Kleitz, M., Bernard, H., Fernandez, E., Schouler, E., , pp. 310-336. , “Impedance Spectroscopy and Electrical Resistance Measurements on Stabilized Zirconia”; see Ref. 5, ppVerkerk, M.J., Middelhuis, B.J., Burggraaf, A.J., Effect of Grain Boundaries on the Conductivity of High‐Purity ZrO2–Y2O3 Ceramics (1982) Solid State Ionics, 6, pp. 159-170; Butler, E.P., Slotwinski, R.K., Bonanos, N., Drennan, J., Steele, B.C.H., , pp. 572-584. , “Microstructural–Electrical Property Relationships in High‐Conductivity Zirconias”; see Ref. 6, ppBaukal, W., Solid Oxide Electrolyte with Time‐Dependent Conductivity (1972) From Electrocatalysis to Fuel Cells, pp. 247-254. , Edited by, G. Sandstede, University of Washington Press, Seattle, WA; Suzuki, Y., Shimada, A., Senda, S., Time‐Dependent Change in Electrical Resistivity of Polycrystalline YSZ and CSZ (1990) Solid State Ionics, 42, pp. 121-125; Badwal, S.P.S., Drennan, J., Yttria–Zirconia: Effect of Microstructure on Conductivity (1987) J. Mater. Sci., 22, pp. 3231-3239; Ciftcioglu, M., Mayo, M.J., (1990), “Processing of Nanocrystalline Ceramics”; presented at the Spring Meeting of the Materials Research Society, San Francisco, CA, April 16–21, 1990. Rept. No. DE90–015700, SAND‐90–1639C, CONF‐900466–78, National Technical Information Service, Alexandria, VAScott, C.E., Reed, J.S., Analysis of Cl‐ Ions Laundered from Submicron Zirconia Powders (1978) Am. Ceram. Soc. Bull., 57, pp. 741-743; Scott, C.E., Reed, J.S., Effect of Laundering and Milling on the Sintering Behavior of Stabilized ZrO2 Powders (1979) Am. Ceram. Soc. Bull., 58, pp. 587-590; Evans, A.G., The New High‐Toughness Ceramics (1989) Fracture Mechanics: Perspective and Directions, pp. 267-291. , (Twentieth Symposium), ASTM STP 1020. Edited by, R. P. Wei, R. P. Gangloff, American Society for Testing and Materials, Philadelphia, PA; Singh, J.P., Bosak, A.L., Dees, D.W., McPheeters, C.C., Improved Fracture Toughness of ZrO2 Electrolyte for Solid Oxide Fuel Cell (1988) 1988 Fuel Cell Seminar Abstracts, pp. 145-148. , (Long Beach, CA, Oct. 23–26, 1988)., Courtesy Associates, Washington, DC; Ishizaki, F., Yoshida, T., Sakurada, S., Effect of Alumina Addition on the Electrical Properties of Yttria‐Doped Zirconia (1989) Proceedings of the First International Symposium on Solid Oxide Fuel Cells, pp. 3-14. , Edited by, S. C. Singhal, The Electrochemical Society, Pennington, NJ; Hernandez, M.T., Jurado, J.R., Duran, P., , pp. 421-428. , “Effect of Al2O3, Additions on the Electrical Properties of ZrO2–Y2O3 and ZrO2–Y2O3–CeO2 Electrolytes”; see Ref. 14, ppYamamoto, O., Takeda, Y., Imanishi, N., Kawahara, T., Shen, G.Q., Mori, M., Abe, T., , pp. 437-444. , “Electrical and Mechanical Properties of Zirconia–Alumina Composite Electrolyte”; see Ref. 14, ppDuran, P., Jurado, J.R., Moure, C., Hernandez, M.T., Capel, F., , pp. 401-407. , “Improvement of the Mechanical Properties of Yttria‐Stabilized Zirconia Electrolyte”; see Ref. 14, ppWeppner, W., Tetragonal Zirconia for Solid Oxide Fuel Cells (1990) Proceedings of the International Symposium on Solid Oxide Fuel Cells, pp. 83-89. , Edited by, O. Yamamoto, M. Dokiya, H. Tagawa, Science House, Tokyo, Japan; Yoshida, T., Hoshina, T., Mukaizawa, I., Sakurada, S., Properties of Partially Stabilized Zirconia Fuel Cell (1989) J. Electrochem. Soc., 136, pp. 2604-2606; Yamamoto, O., Takeda, Y., Kanno, R., Kohno, K., Electrical Conductivity of Tetragonal Stabilized Zirconia (1990) J. Mater. Sci., 25, pp. 2805-2808; Sato, T., Shimada, M., Crystalline Phase Changes in Yttria‐Partially‐Stabilized Zirconia by Low‐Temperature Annealing (1984) J. Am. Ceram. Soc., 67 (10), pp. 212-213; Subbarao, E.C., Maiti, H.S., , pp. 731-747. , “Oxygen Sensors and Pumps”; see Ref. 7, ppVlasov, A.N., Perfiliev, M.V., Ageing of ZrO2‐Based Solid Electrolytes (1987) Solid State Ionics, 25, pp. 245-253; Takahashi, T., Iwahara, H., Nagai, Y., High Oxide Conduction in Sintered Bi2O3 Containing SrO, CaO, or La2O3 (1972) J. Appl. Electrochem., 2, pp. 97-104; Miyayama, M., Nishi, T., Yanagida, H., Oxygen Ionic Conduction in Y2O3‐Stabilized Bi2O3 and ZrO2 Composites (1987) J. Mater. Sci., 22, pp. 2624-2628; Verkerk, M.J., Keizer, K., Burggraaf, A.J., High Oxygen Ion Conduction in Sintered Oxides of Bi2O3–Er2O3 System (1980) J. Appl. Electrochem., 10, pp. 81-90; Takahashi, T., Esaka, T., Iwahara, H., Conduction of Bi2O3‐Based Oxide Ion Conductor Under Low Oxygen Pressure. II. Determination of the Partial Electronic Conductivity (1977) J. Appl. Electrochem., 7, pp. 303-308; Blumenthal, R.N., Brugner, F.S., Garnier, J.E., The Electrical Conductivity of CaO‐Doped Nonstoichiometric Cerium Oxide from 700° to 1500°C (1973) J. Electrochem. Soc., 120, pp. 1230-1237; Tuller, H.L., Nowick, A.S., Doped Ceria as a Solid Oxide Electrolyte (1975) J. Electrochem. Soc., 122, pp. 255-259; Swarr, T.E., Karavolis, S., Maricle, D.L., Enhanced Ceria—A Low‐Temperature SOFC Electrolyte (1990) Proceedings of the 25th Intersociety Energy Conversion Engineering Conference, 3, pp. 256-261. , American Institute of Chemical Engineers, New York; Yahiro, H., Baba, Y., Eguchi, K., Arai, H., High‐Temperature Fuel Cell with Ceria–Yttria Solid Electrolyte (1988) J. Electrochem. Soc., 135, pp. 2077-2080; Inoue, T., Setoguchi, T., Eguchi, K., Arai, H., Study of a Solid Oxide Fuel Cell with a Ceria‐Based Solid Electrolyte (1989) Solid State Ion'cs, 35, pp. 285-291; Virkar, A.V., Theoretical Analysis of Solid Oxide Fuel Cells with Two‐Layer Composite Electrolyte: Electrolyte Stability (1991) J. Electrochem. Soc., 138, pp. 1481-1487; Takahashi, T., Iwahara, H., Ionic Conduction in Perovskite‐Type Oxide Solid Solution and Its Application to Solid Electrolyte Fuel Cell (1971) Energy Convers., 11, pp. 105-111; Kilner, J.A., Barrow, P., Brook, R.J., Norgett, M.J., Electrolytes for the High‐Temperature Fuel Cell: Experimental and Theoretical Studies of the Perovskite LaAlO3 (1978) J. Power Sources, 3, pp. 67-80; Cook, R.L., MacDu'f, R.C., Sammells, A.F., Perovskite Solid Electrolytes for Intermediate‐Temperature Solid Oxide Fuel Cells (1990) J. Electrochem. Soc., 137, pp. 3309-3310; Sammells, A.F., Cook, R.L., Worrell, W.L., (1990), “Methane Conversion by Solid Electrolyte Membranes,” Rept. No. GR1‐90/0136, Gas Research Institute, Chicago, ILMurakami, S., Miyake, Y., Akiyama, Y., Ishida, N., Saito, T., Furukawa, N., , pp. 187-190. , “A Study on Composite Anode of Solid Oxide Fuel Cells”; see Ref. 31, ppDees, D.W., Claar, T.D., Easler, T.E., Fee, D.C., azek, F.C., Conductivity of Porous Ni/ZrO2‐Y2O3 Cermets (1987) Journal of The Electrochemical Society, 134, pp. 2141-2146; Ivers‐Tiffée, E., Wersing, W., Schießl, M., Greiner, H., Ceramic and Metallic Components for a Planar SOFC (1990) Berichte der Bunsengesellschaft für physikalische Chemie, 94, pp. 978-981; Majumdar, S., Claar, T., Flandermeyer, B., Stress and Fracture Behavior of Monolithic Fuel Cell Tapes (1986) J. Am. Ceram. Soc., 69, pp. 628-633; Easler, T., Flandermeyer, B.K., Claar, T.D., Busch, D.E., Fousek, R.J., Picciolo, J.J., Poeppel, R.B., Electrode Development for Monolithic Fuel Cells (1986) 1986 Fuel Cell Seminar Abstracts, pp. 72-75. , (Tucson, AZ, Oct. 26–29, 1986)., Courtesy Associates, Washington, DC; Markin, T.L., Bones, R.J., Dell, R.M., High‐Temperature Solid‐Electrolyte Fuel Cells (1976) Conference on Superionic Conductors, pp. 15-35. , Edited by, G. D. Mahan, W. L. Roth, Plenum Press, New York; Suzuki, M., Sasaki, H., Otoshi, S., Ippommatsu, M., , pp. 585-591. , “Development of Ru/ZrO2 SOFC Anode”; see Ref. 14, ppTakahashi, T., Iwahara, H., Suzuki, Y., Electrode Materials for High‐Temperature Solid Electrolyte Fuel Cells (1969) Proceedings of the Third International Symposium on Fuel Cells, pp. 113-119. , Presses Académiques Européennes, Brussels, Belgium; Steele, B.C.H., Middleton, P.H., Rudkin, R.A., Material Science Aspects of SOFC Technology with Special Reference to Anode Development (1990) Solid State Ionics, 40-41, pp. 388-393; Mogensen, M., , pp. 577-584. , “Properties of CeO2‐Based SOFC Anode Materials”; see Ref. 14, ppSwider, K.E., Worrell, W.L., , pp. 593-601. , “Synthesis and Characterization of Yuria. Stabilized Zirconia‐Titania Thin‐Film Electrodes”; see Ref. 14, ppLiou, S.S., Worrell, W.L., , pp. 81-89. , “Mixed‐Conducting Oxide Electrodes for Solid Oxide Fuel Cells”; see Ref. 27, ppLiou, S.S., Worrell, W.L., Electrical Properties of Novel Mixed‐Conducting Oxides (1989) Appl. Phys. A, 49, pp. 25-31; Tedmon, C.S., Jr., Spacil, H.S., Mitoff, S.P., Cathode Materials and Performance in High‐Temperature Zirconia Electrolyte Fuel Cells (1969) Journal of The Electrochemical Society, 116, pp. 1170-1175; Tofield, B.C., Scott, W.R., Oxidative Nonstoichiometry in Perovskites, an Experimental Survey: The Defect Structure of an Oxidized Lanthanum Manganite by Powder Neutron Diffraction (1974) J. Solid State Chem., 10, pp. 183-194; Kuo, J.H., Anderson, H.U., Sparlin, D.M., Oxidation‐Reduction Behavior of Undoped and Sr‐Doped LaMnO3: Defect Structure, Electrical Conductivity, and Thermoelectric Power (1990) J. Solid State Chem., 87, pp. 55-63; Rao, Wanklyn, B.M., Rao, C.N.R., Electrical Transport in Rare‐Earth Ortho‐Chromites, ‐Manganites, and ‐Ferrites (1971) J. Phys. Chem. Solids, 32, pp. 345-358; Kamata, K., Nakajima, T., Hayashi, T., Nakamura, T., Nonstoichiometric Behavior and Phase Stability of Rare‐Earth Manganites at 1200°C: (1). LaMnO3 (1978) Mater. Res. Bull., 13, pp. 49-54; Mizusaki, J., Tagawa, H., Naraya, K., Sasamoto, T., Nonstoichiometry and Thermochemical Stability of the Perovskite‐Type La1‐xSrxMnO3‐δ (1991) Solid State Ionics, 49, pp. 111-118; Kuo, J.H., Anderson, H.U., Sparlin, D.M., Oxidation‐Reduction Behavior of Undoped and Sr‐Doped LaMnO3 Nonstoichiometry and Defect Structure (1989) J. Solid State Chem., 83, pp. 52-60; Nakamura, T., Petzow, G., Gauckler, L.J., Stability of the Perovskite Phase LaBO3 (B = V, Cr, Mn, Fe, Co, Ni) in Reducing Atmospheres I. Experimental Results (1979) Mater. Res. Bull., 14, pp. 649-659; Sreedharan, O.M., Pankajavalli, R., Gnanamoorthy, J.B., Standard Gibbs' Energy of Formation of LaMnO3 from EMF Measurements (1983) High Temp. Sci., 16, pp. 251-256; Kamegashira, N., Miyazaki, Y., Hiyoshi, Y., Limiting Oxygen Partial Pressure of LaMnO3 Phase (1984) Mater. Lett., 2, pp. 194-195; Sreedharan, O.M., Chandrasekharaiah, M.S., Standard Gibbs' Energy of Formation of LaFeO3 and Comparison of Stability of LaMO3 (M = Mn, Fe, Co, Ni) Compounds (1986) J. Mater. Sci., 21, pp. 2581-2584; Ruka, R., (1983), pp. 295-302. , “Some Non‐Electrochemical Requirements for Air Electrode Materials of High‐Temperature Solid Electrolyte Fuel Cells”; pp., in Proceedings of the Conference on High–Temperature Solid Oxide Electrolytes, Vol. I–Anion Conductors (Brookhaven National Laboratory, Upton, NY, Aug. 16–17, 1983). Rept. No. BNL 51728–Vol. I, Brookhaven National Laboratory, Upton, NYJonker, G.H., Semiconducting Properties of Mixed Crystals with Perovskite Structure (1954) Physica (Amsterdam), 20, pp. 1118-1122; Tanaka, J., Takahashi, K., Yukino, K., Horiuchi, S., Electrical Conduction of (La0.8Ca0.2)MnO3 with Homogeneous Ionic Distribution (1983) Phys. Status Solidi, 80, pp. 621-630; Fandel, M., Höschele, J., Schäfer, W., Schmidberger, R., Properties of Ca‐Doped LaMnO3 (1989) Properties of Ceramics, 2, p. 2. , 236–2.240 in Euro‐ceramics, Vol,. Edited by, G. de With, R. A. Lerpstra, R. Metselaar, Elsevier Applied Science, London, U.K; Pavlov, V.I., Bogush, A.K., Bychkov, G.L., Influence of Impurity Centers on the Electrical Conductivity of Manganites with a Perovskite Structure (1984) Inorg. Mater. (Engl. Transl.), 20, pp. 752-754; Wold, A., Arnott, R.J., Goodenough, J.B., Some Magnetic and Crystallographic Properties of the System LaMn1‐xNixO3‐λ (1958) J. Appl. Phys., 29, pp. 387-389; Lyubkina, I.Ya., Kononyuk, I.F., Preparation and Electric Properties of LaMn1‐xNixO3 (O","page":"563-588","title":"Ceramic Fuel Cells","type":"article-journal","volume":"76"},"uris":["http://www.mendeley.com/documents/?uuid=7c17b8de-f21a-48a1-8286-c38ae0ab747c"]},{"id":"ITEM-2","itemData":{"DOI":"10.1038/35104620","ISBN":"0028-0836 (Print)\r0028-0836 (Linking)","PMID":"11713541","abstract":"Fuel cells convert chemical energy directly into electrical energy with high efficiency and low emission of pollutants. However, before fuel-cell technology can gain a significant share of the electrical power market, important issues have to be addressed. These issues include optimal choice of fuel, and the development of alternative materials in the fuel-cell stack. Present fuel-cell prototypes often use materials selected more than 25 years ago. Commercialization aspects, including cost and durability, have revealed inadequacies in some of these materials. Here we summarize recent progress in the search and development of innovative alternative materials.","author":[{"dropping-particle":"","family":"Steele","given":"B C","non-dropping-particle":"","parse-names":false,"suffix":""},{"dropping-particle":"","family":"Heinzel","given":"A","non-dropping-particle":"","parse-names":false,"suffix":""}],"container-title":"Nature","id":"ITEM-2","issue":"6861","issued":{"date-parts":[["2001"]]},"note":"Steele, B C\nHeinzel, A\nENG\nEngland\n2001/11/20 10:00\nNature. 2001 Nov 15;414(6861):345-52.","page":"345-352","title":"Materials for fuel-cell technologies","type":"article-journal","volume":"414"},"uris":["http://www.mendeley.com/documents/?uuid=e4e6330b-2c51-4ba3-9733-963ce3c842fc"]},{"id":"ITEM-3","itemData":{"DOI":"10.1016/j.pmatsci.2015.01.001","ISBN":"0079-6425","ISSN":"00796425","PMID":"25653388","abstract":"Solid oxide fuel cells (SOFC) have emerged as energy conversion devices in achieving high efficiency of over 70% with regeneration. The critical components of SOFC include anode, electrolyte, and cathode. However, for a stack of individual SOFCs, the evaluation of sealants and interconnects are also essential. In this review article, material selection, fundamentals of operation and underlying mechanisms, processing, microstructural and phase characterization, and the functionality and performance of individual SOFC components are presented in detail. The major challenges and complexity in functional section of SOFC include: (i) poisoning via sulfur and coke deposition, surface diffusion of adsorbate, and charge transfer at triple-phase boundary (TPB) in anode, (ii) hindered O&lt;sup&gt;2-&lt;/sup&gt; migration that converts chemical energy into electrical energy in the solid electrolyte (thus, the creation of ion transfer channels, ease of O&lt;sup&gt;2-&lt;/sup&gt; migration, dissociation of vacancy around dopants, straining of lattice, and other factors such as control of phase and its distribution, grain and grain boundary conductivity, become critical in designing the electrolytes for SOFCs), (iii) multiple rate determining factors such as geometry of active surfaces, and existence of overpotential, in cathode (thereby, comprehensive electrochemical impedance spectroscopy is required for the analysis of solid cathodes in SOFC), (iv) chemical incompatibility and instability in both oxidizing and reducing environments while matching the coefficient of thermal expansion (CTE) in the interconnects in order to sustain large number of thermal cycling during the operation of SOFC, and (v) isolation of the fuel and oxidizing gases while matching the CTE of the anode, cathode and interconnects, using sealant. Moreover, the glass-transition of sealant dictates the maximum allowable working temperature of SOFC. Thus, the necessitated temporal progress in material selection along with a detailed insight into the conceptual role of thermodynamics and kinetics of surface/cell reactions, effect of phases and microstructure on conductivity, fuel flexibility and deterioration in performance of individual fuel cell components, and evolution of new materials are coherently presented. This article provides a comprehensive review with respect to the structure, chemistry, design and selection of materials, underlying mechanisms, and performance of each SOFC component, and it opens up the futur…","author":[{"dropping-particle":"","family":"Mahato","given":"Neelima","non-dropping-particle":"","parse-names":false,"suffix":""},{"dropping-particle":"","family":"Banerjee","given":"Amitava","non-dropping-particle":"","parse-names":false,"suffix":""},{"dropping-particle":"","family":"Gupta","given":"Alka","non-dropping-particle":"","parse-names":false,"suffix":""},{"dropping-particle":"","family":"Omar","given":"Shobit","non-dropping-particle":"","parse-names":false,"suffix":""},{"dropping-particle":"","family":"Balani","given":"Kantesh","non-dropping-particle":"","parse-names":false,"suffix":""}],"container-title":"Progress in Materials Science","id":"ITEM-3","issued":{"date-parts":[["2015"]]},"page":"141-337","title":"Progress in material selection for solid oxide fuel cell technology: A review","type":"article-journal","volume":"72"},"uris":["http://www.mendeley.com/documents/?uuid=64bcccbb-1f4d-426c-8c8c-3479994e7afd"]}],"mendeley":{"formattedCitation":"[1], [25], [91]","plainTextFormattedCitation":"[1], [25], [91]","previouslyFormattedCitation":"[1], [25], [91]"},"properties":{"noteIndex":0},"schema":"https://github.com/citation-style-language/schema/raw/master/csl-citation.json"}</w:instrText>
      </w:r>
      <w:r>
        <w:fldChar w:fldCharType="separate"/>
      </w:r>
      <w:r w:rsidRPr="00375DF8">
        <w:rPr>
          <w:noProof/>
        </w:rPr>
        <w:t>[1], [25], [91]</w:t>
      </w:r>
      <w:r>
        <w:fldChar w:fldCharType="end"/>
      </w:r>
      <w:r w:rsidRPr="002B6C9E">
        <w:t>. The anode can also be known as the fuel electrode as the fuel is the incident hydrogen gas. There are various combinations of anodes covered in recent literature, but the most popular composition has been the nickel/ yttria stabilised zirconia (Ni/YSZ) system</w:t>
      </w:r>
      <w:r>
        <w:t xml:space="preserve"> </w:t>
      </w:r>
      <w:r>
        <w:fldChar w:fldCharType="begin" w:fldLock="1"/>
      </w:r>
      <w:r>
        <w:instrText>ADDIN CSL_CITATION {"citationItems":[{"id":"ITEM-1","itemData":{"DOI":"10.1016/j.pmatsci.2015.01.001","ISBN":"0079-6425","ISSN":"00796425","PMID":"25653388","abstract":"Solid oxide fuel cells (SOFC) have emerged as energy conversion devices in achieving high efficiency of over 70% with regeneration. The critical components of SOFC include anode, electrolyte, and cathode. However, for a stack of individual SOFCs, the evaluation of sealants and interconnects are also essential. In this review article, material selection, fundamentals of operation and underlying mechanisms, processing, microstructural and phase characterization, and the functionality and performance of individual SOFC components are presented in detail. The major challenges and complexity in functional section of SOFC include: (i) poisoning via sulfur and coke deposition, surface diffusion of adsorbate, and charge transfer at triple-phase boundary (TPB) in anode, (ii) hindered O&lt;sup&gt;2-&lt;/sup&gt; migration that converts chemical energy into electrical energy in the solid electrolyte (thus, the creation of ion transfer channels, ease of O&lt;sup&gt;2-&lt;/sup&gt; migration, dissociation of vacancy around dopants, straining of lattice, and other factors such as control of phase and its distribution, grain and grain boundary conductivity, become critical in designing the electrolytes for SOFCs), (iii) multiple rate determining factors such as geometry of active surfaces, and existence of overpotential, in cathode (thereby, comprehensive electrochemical impedance spectroscopy is required for the analysis of solid cathodes in SOFC), (iv) chemical incompatibility and instability in both oxidizing and reducing environments while matching the coefficient of thermal expansion (CTE) in the interconnects in order to sustain large number of thermal cycling during the operation of SOFC, and (v) isolation of the fuel and oxidizing gases while matching the CTE of the anode, cathode and interconnects, using sealant. Moreover, the glass-transition of sealant dictates the maximum allowable working temperature of SOFC. Thus, the necessitated temporal progress in material selection along with a detailed insight into the conceptual role of thermodynamics and kinetics of surface/cell reactions, effect of phases and microstructure on conductivity, fuel flexibility and deterioration in performance of individual fuel cell components, and evolution of new materials are coherently presented. This article provides a comprehensive review with respect to the structure, chemistry, design and selection of materials, underlying mechanisms, and performance of each SOFC component, and it opens up the futur…","author":[{"dropping-particle":"","family":"Mahato","given":"Neelima","non-dropping-particle":"","parse-names":false,"suffix":""},{"dropping-particle":"","family":"Banerjee","given":"Amitava","non-dropping-particle":"","parse-names":false,"suffix":""},{"dropping-particle":"","family":"Gupta","given":"Alka","non-dropping-particle":"","parse-names":false,"suffix":""},{"dropping-particle":"","family":"Omar","given":"Shobit","non-dropping-particle":"","parse-names":false,"suffix":""},{"dropping-particle":"","family":"Balani","given":"Kantesh","non-dropping-particle":"","parse-names":false,"suffix":""}],"container-title":"Progress in Materials Science","id":"ITEM-1","issued":{"date-parts":[["2015"]]},"page":"141-337","title":"Progress in material selection for solid oxide fuel cell technology: A review","type":"article-journal","volume":"72"},"uris":["http://www.mendeley.com/documents/?uuid=64bcccbb-1f4d-426c-8c8c-3479994e7afd"]}],"mendeley":{"formattedCitation":"[25]","plainTextFormattedCitation":"[25]","previouslyFormattedCitation":"[25]"},"properties":{"noteIndex":0},"schema":"https://github.com/citation-style-language/schema/raw/master/csl-citation.json"}</w:instrText>
      </w:r>
      <w:r>
        <w:fldChar w:fldCharType="separate"/>
      </w:r>
      <w:r w:rsidRPr="00375DF8">
        <w:rPr>
          <w:noProof/>
        </w:rPr>
        <w:t>[25]</w:t>
      </w:r>
      <w:r>
        <w:fldChar w:fldCharType="end"/>
      </w:r>
      <w:r w:rsidRPr="002B6C9E">
        <w:t>.</w:t>
      </w:r>
    </w:p>
    <w:p w14:paraId="29F88103" w14:textId="30A16D16" w:rsidR="00007F6C" w:rsidRDefault="00007F6C" w:rsidP="00007F6C">
      <w:pPr>
        <w:jc w:val="both"/>
        <w:rPr>
          <w:rFonts w:ascii="Calibri" w:eastAsia="Calibri" w:hAnsi="Calibri" w:cs="Calibri"/>
        </w:rPr>
      </w:pPr>
      <w:r w:rsidRPr="004654D6">
        <w:rPr>
          <w:rFonts w:ascii="Calibri" w:eastAsia="Calibri" w:hAnsi="Calibri" w:cs="Calibri"/>
        </w:rPr>
        <w:t>The fuel electrode is an integral SOFC component which has been highlighted by the switch from electrolyte-supported to anode-supported cells in the last 20 years</w:t>
      </w:r>
      <w:r>
        <w:rPr>
          <w:rFonts w:ascii="Calibri" w:eastAsia="Calibri" w:hAnsi="Calibri" w:cs="Calibri"/>
        </w:rPr>
        <w:t xml:space="preserve"> (</w:t>
      </w:r>
      <w:r w:rsidRPr="00766392">
        <w:rPr>
          <w:rFonts w:ascii="Calibri" w:eastAsia="Calibri" w:hAnsi="Calibri" w:cs="Calibri"/>
          <w:color w:val="000000" w:themeColor="text1"/>
        </w:rPr>
        <w:fldChar w:fldCharType="begin"/>
      </w:r>
      <w:r w:rsidRPr="00766392">
        <w:rPr>
          <w:rFonts w:ascii="Calibri" w:eastAsia="Calibri" w:hAnsi="Calibri" w:cs="Calibri"/>
          <w:color w:val="000000" w:themeColor="text1"/>
        </w:rPr>
        <w:instrText xml:space="preserve"> REF _Ref50646224 \h  \* MERGEFORMAT </w:instrText>
      </w:r>
      <w:r w:rsidRPr="00766392">
        <w:rPr>
          <w:rFonts w:ascii="Calibri" w:eastAsia="Calibri" w:hAnsi="Calibri" w:cs="Calibri"/>
          <w:color w:val="000000" w:themeColor="text1"/>
        </w:rPr>
      </w:r>
      <w:r w:rsidRPr="00766392">
        <w:rPr>
          <w:rFonts w:ascii="Calibri" w:eastAsia="Calibri" w:hAnsi="Calibri" w:cs="Calibri"/>
          <w:color w:val="000000" w:themeColor="text1"/>
        </w:rPr>
        <w:fldChar w:fldCharType="separate"/>
      </w:r>
      <w:r w:rsidRPr="00C103C3">
        <w:rPr>
          <w:color w:val="000000" w:themeColor="text1"/>
        </w:rPr>
        <w:t>Figure 1.8</w:t>
      </w:r>
      <w:r w:rsidRPr="00766392">
        <w:rPr>
          <w:rFonts w:ascii="Calibri" w:eastAsia="Calibri" w:hAnsi="Calibri" w:cs="Calibri"/>
          <w:color w:val="000000" w:themeColor="text1"/>
        </w:rPr>
        <w:fldChar w:fldCharType="end"/>
      </w:r>
      <w:r>
        <w:rPr>
          <w:rFonts w:ascii="Calibri" w:eastAsia="Calibri" w:hAnsi="Calibri" w:cs="Calibri"/>
        </w:rPr>
        <w:t xml:space="preserve">) </w:t>
      </w:r>
      <w:r>
        <w:rPr>
          <w:rFonts w:ascii="Calibri" w:eastAsia="Calibri" w:hAnsi="Calibri" w:cs="Calibri"/>
        </w:rPr>
        <w:fldChar w:fldCharType="begin" w:fldLock="1"/>
      </w:r>
      <w:r>
        <w:rPr>
          <w:rFonts w:ascii="Calibri" w:eastAsia="Calibri" w:hAnsi="Calibri" w:cs="Calibri"/>
        </w:rPr>
        <w:instrText>ADDIN CSL_CITATION {"citationItems":[{"id":"ITEM-1","itemData":{"DOI":"10.1016/S0167-2738(00)00633-0","ISBN":"0167-2738","ISSN":"01672738","abstract":"Activation and concentration polarization effects in anode-supported solid oxide fuel cells (SOFC) were examined. The anode and the cathode consisted respectively of porous, composite, contiguous mixtures of Ni+yttria-stabilized zirconia (YSZ) and Sr-doped LaMnO3(LSM)+YSZ. The composite electrode provides parallel paths for oxygen ions (through YSZ), electrons (through the electronic conductor; Ni for the anode and LSM for the cathode), and gaseous species (through the pores) and thereby substantially decreases the activation polarization. The composite electrode effectively spreads the charge transfer reaction from the electrolyte/electrode interface into the electrode. At low current densities where the activation polarization can be approximated as being ohmic, an effective charge transfer resistance, Rcteff, is defined in terms of various parameters, including the intrinsic charge transfer resistance, Rct, which is a characteristic of the electrocatalyst/electrolyte pair (e.g. LSM/YSZ), and the electrode thickness. It is shown that the Rcteffattains an asymptotic value at large electrode thicknesses. The limiting value of Rcteffcan be either lower or higher than Rctdepending upon the magnitudes of the ionic conductivity, σi, of the composite electrode, the intrinsic charge transfer resistance, Rct, and the grain size of the electrode. For an Rctof 1.2 Ωcm2, σiof 0.02 S/cm and an electrode grain size of 2 μm, the limiting value of Rcteffis 0.14 Ωcm2indicating almost an order of magnitude decrease in activation polarization. The experimental measurements on the cell resistance of anode-supported cells as a function of the cathode thickness are in accord with the theoretical model. The concentration polarization is analyzed by taking into account gas transport through porous electrodes. It is shown that the voltage, V, vs. current density, i, traces should be nonlinear and in anode-supported cells, the initial concave up curvature (d2V/di2≥0) has its origin in both activation and concentration polarizations. The experimental results are consistent with the theoretical model.","author":[{"dropping-particle":"V.","family":"Virkar","given":"Anil","non-dropping-particle":"","parse-names":false,"suffix":""},{"dropping-particle":"","family":"Chen","given":"Jong","non-dropping-particle":"","parse-names":false,"suffix":""},{"dropping-particle":"","family":"Tanner","given":"Cameron W.","non-dropping-particle":"","parse-names":false,"suffix":""},{"dropping-particle":"","family":"Kim","given":"Jai Woh","non-dropping-particle":"","parse-names":false,"suffix":""}],"chapter-number":"189","container-title":"Solid State Ionics","id":"ITEM-1","issue":"1","issued":{"date-parts":[["2000"]]},"page":"189-198","title":"Role of electrode microstructure on activation and concentration polarizations in solid oxide fuel cells","type":"article-journal","volume":"131"},"uris":["http://www.mendeley.com/documents/?uuid=16b12a0d-b616-4501-8751-505957cbe8b7"]}],"mendeley":{"formattedCitation":"[92]","plainTextFormattedCitation":"[92]","previouslyFormattedCitation":"[92]"},"properties":{"noteIndex":0},"schema":"https://github.com/citation-style-language/schema/raw/master/csl-citation.json"}</w:instrText>
      </w:r>
      <w:r>
        <w:rPr>
          <w:rFonts w:ascii="Calibri" w:eastAsia="Calibri" w:hAnsi="Calibri" w:cs="Calibri"/>
        </w:rPr>
        <w:fldChar w:fldCharType="separate"/>
      </w:r>
      <w:r w:rsidRPr="00375DF8">
        <w:rPr>
          <w:rFonts w:ascii="Calibri" w:eastAsia="Calibri" w:hAnsi="Calibri" w:cs="Calibri"/>
          <w:noProof/>
        </w:rPr>
        <w:t>[92]</w:t>
      </w:r>
      <w:r>
        <w:rPr>
          <w:rFonts w:ascii="Calibri" w:eastAsia="Calibri" w:hAnsi="Calibri" w:cs="Calibri"/>
        </w:rPr>
        <w:fldChar w:fldCharType="end"/>
      </w:r>
      <w:r>
        <w:rPr>
          <w:rFonts w:ascii="Calibri" w:eastAsia="Calibri" w:hAnsi="Calibri" w:cs="Calibri"/>
        </w:rPr>
        <w:t>.</w:t>
      </w:r>
      <w:r w:rsidRPr="004654D6">
        <w:rPr>
          <w:rFonts w:ascii="Calibri" w:eastAsia="Calibri" w:hAnsi="Calibri" w:cs="Calibri"/>
        </w:rPr>
        <w:t xml:space="preserve"> This means that the reduction of the anode-specific resistance (ASR) and fuel electrode specific degradation has become paramount for the commercialisation of SOFCs. </w:t>
      </w:r>
      <w:r w:rsidR="00AF361C">
        <w:rPr>
          <w:rFonts w:ascii="Calibri" w:eastAsia="Calibri" w:hAnsi="Calibri" w:cs="Calibri"/>
        </w:rPr>
        <w:t xml:space="preserve">Interconnector supported cells have also been </w:t>
      </w:r>
      <w:r w:rsidR="00FF11D6">
        <w:rPr>
          <w:rFonts w:ascii="Calibri" w:eastAsia="Calibri" w:hAnsi="Calibri" w:cs="Calibri"/>
        </w:rPr>
        <w:t>studied</w:t>
      </w:r>
      <w:r w:rsidR="002A3C9C">
        <w:rPr>
          <w:rFonts w:ascii="Calibri" w:eastAsia="Calibri" w:hAnsi="Calibri" w:cs="Calibri"/>
        </w:rPr>
        <w:t>, however these u</w:t>
      </w:r>
      <w:r w:rsidR="00FF11D6">
        <w:rPr>
          <w:rFonts w:ascii="Calibri" w:eastAsia="Calibri" w:hAnsi="Calibri" w:cs="Calibri"/>
        </w:rPr>
        <w:t xml:space="preserve">se </w:t>
      </w:r>
      <w:r w:rsidR="002A3C9C">
        <w:rPr>
          <w:rFonts w:ascii="Calibri" w:eastAsia="Calibri" w:hAnsi="Calibri" w:cs="Calibri"/>
        </w:rPr>
        <w:t>costly thin film deposition techniques</w:t>
      </w:r>
      <w:r w:rsidR="00AF361C">
        <w:rPr>
          <w:rFonts w:ascii="Calibri" w:eastAsia="Calibri" w:hAnsi="Calibri" w:cs="Calibri"/>
        </w:rPr>
        <w:t xml:space="preserve"> </w:t>
      </w:r>
      <w:r w:rsidR="00AF361C">
        <w:rPr>
          <w:rFonts w:ascii="Calibri" w:eastAsia="Calibri" w:hAnsi="Calibri" w:cs="Calibri"/>
        </w:rPr>
        <w:fldChar w:fldCharType="begin" w:fldLock="1"/>
      </w:r>
      <w:r w:rsidR="00FF11D6">
        <w:rPr>
          <w:rFonts w:ascii="Calibri" w:eastAsia="Calibri" w:hAnsi="Calibri" w:cs="Calibri"/>
        </w:rPr>
        <w:instrText>ADDIN CSL_CITATION {"citationItems":[{"id":"ITEM-1","itemData":{"DOI":"10.1016/j.jpowsour.2005.10.052","ISSN":"03787753","abstract":"Solid oxide fuel cells (SOFCs) have many attractive features for widespread applications. The high operating temperature provides a valuable heat source and in contrast to low temperature fuel cells they not only tolerate substances such as CO but can even use them as fuel. Thus, reforming of hydrocarbon fuels for SOFCs can be done without additional gas purification. As both stack and hydrocarbon reformer unit have to be operated at high temperatures (700-1000 °C), thermal management plays an important role in the successful operation of SOFC systems. As the SOFC system contains ceramic components, both large thermal gradients in the system and thermal expansion coefficient (TEC) mismatch must be avoided. Matching TECs is done by selecting the suitable materials. Avoiding high temperature gradients is done by selecting the right system design and control strategies. In order to achieve both, we have built a finite element simulation for a complete SOFC systems which allows to study system parameters both during steady operation and during transients. Examples of the thermal start-up behaviour for several system configurations are given for selected components as well as internal temperatures of the SOFC-stack during start-up. The simulation model includes also the option to simulate the effects of internal methane reformation in the SOFC stack. As the minimum operation temperature is high, cooling down of the system has to be avoided if instant operation is desired. This can be achieved either passively by selecting suitable thermal insulation materials and/or actively by adopting a strategy for maintaining the temperature. © 2005 Elsevier B.V. All rights reserved.","author":[{"dropping-particle":"","family":"Apfel","given":"H.","non-dropping-particle":"","parse-names":false,"suffix":""},{"dropping-particle":"","family":"Rzepka","given":"M.","non-dropping-particle":"","parse-names":false,"suffix":""},{"dropping-particle":"","family":"Tu","given":"H.","non-dropping-particle":"","parse-names":false,"suffix":""},{"dropping-particle":"","family":"Stimming","given":"U.","non-dropping-particle":"","parse-names":false,"suffix":""}],"container-title":"Journal of Power Sources","id":"ITEM-1","issue":"2","issued":{"date-parts":[["2006"]]},"page":"370-378","title":"Thermal start-up behaviour and thermal management of SOFC's","type":"article-journal","volume":"154"},"uris":["http://www.mendeley.com/documents/?uuid=89dfc017-a003-45a9-80bb-33d4d5a8fcaf"]}],"mendeley":{"formattedCitation":"[93]","plainTextFormattedCitation":"[93]","previouslyFormattedCitation":"[93]"},"properties":{"noteIndex":0},"schema":"https://github.com/citation-style-language/schema/raw/master/csl-citation.json"}</w:instrText>
      </w:r>
      <w:r w:rsidR="00AF361C">
        <w:rPr>
          <w:rFonts w:ascii="Calibri" w:eastAsia="Calibri" w:hAnsi="Calibri" w:cs="Calibri"/>
        </w:rPr>
        <w:fldChar w:fldCharType="separate"/>
      </w:r>
      <w:r w:rsidR="00AF361C" w:rsidRPr="00AF361C">
        <w:rPr>
          <w:rFonts w:ascii="Calibri" w:eastAsia="Calibri" w:hAnsi="Calibri" w:cs="Calibri"/>
          <w:noProof/>
        </w:rPr>
        <w:t>[93]</w:t>
      </w:r>
      <w:r w:rsidR="00AF361C">
        <w:rPr>
          <w:rFonts w:ascii="Calibri" w:eastAsia="Calibri" w:hAnsi="Calibri" w:cs="Calibri"/>
        </w:rPr>
        <w:fldChar w:fldCharType="end"/>
      </w:r>
      <w:r w:rsidR="00AF361C">
        <w:rPr>
          <w:rFonts w:ascii="Calibri" w:eastAsia="Calibri" w:hAnsi="Calibri" w:cs="Calibri"/>
        </w:rPr>
        <w:t>.</w:t>
      </w:r>
      <w:r w:rsidR="00FF11D6">
        <w:rPr>
          <w:rFonts w:ascii="Calibri" w:eastAsia="Calibri" w:hAnsi="Calibri" w:cs="Calibri"/>
        </w:rPr>
        <w:t xml:space="preserve"> Ferritic stainless steel supported cells have been the focus of Ceres Power to reduce resistances from the three parts </w:t>
      </w:r>
      <w:r w:rsidR="00FF11D6">
        <w:rPr>
          <w:rFonts w:ascii="Calibri" w:eastAsia="Calibri" w:hAnsi="Calibri" w:cs="Calibri"/>
        </w:rPr>
        <w:fldChar w:fldCharType="begin" w:fldLock="1"/>
      </w:r>
      <w:r w:rsidR="006C586A">
        <w:rPr>
          <w:rFonts w:ascii="Calibri" w:eastAsia="Calibri" w:hAnsi="Calibri" w:cs="Calibri"/>
        </w:rPr>
        <w:instrText>ADDIN CSL_CITATION {"citationItems":[{"id":"ITEM-1","itemData":{"author":[{"dropping-particle":"","family":"Krishnan","given":"Venkatesan Venkata","non-dropping-particle":"","parse-names":false,"suffix":""}],"id":"ITEM-1","issued":{"date-parts":[["0"]]},"title":"Recent Developments in Metal Supported Solid Oxide Fuel Cells Recent Developments in Metal Supported Solid Oxide Fuel Cells","type":"article-journal"},"uris":["http://www.mendeley.com/documents/?uuid=e8b47394-bbd5-4339-bd82-5c41acc0b813"]}],"mendeley":{"formattedCitation":"[94]","plainTextFormattedCitation":"[94]","previouslyFormattedCitation":"[94]"},"properties":{"noteIndex":0},"schema":"https://github.com/citation-style-language/schema/raw/master/csl-citation.json"}</w:instrText>
      </w:r>
      <w:r w:rsidR="00FF11D6">
        <w:rPr>
          <w:rFonts w:ascii="Calibri" w:eastAsia="Calibri" w:hAnsi="Calibri" w:cs="Calibri"/>
        </w:rPr>
        <w:fldChar w:fldCharType="separate"/>
      </w:r>
      <w:r w:rsidR="00FF11D6" w:rsidRPr="00FF11D6">
        <w:rPr>
          <w:rFonts w:ascii="Calibri" w:eastAsia="Calibri" w:hAnsi="Calibri" w:cs="Calibri"/>
          <w:noProof/>
        </w:rPr>
        <w:t>[94]</w:t>
      </w:r>
      <w:r w:rsidR="00FF11D6">
        <w:rPr>
          <w:rFonts w:ascii="Calibri" w:eastAsia="Calibri" w:hAnsi="Calibri" w:cs="Calibri"/>
        </w:rPr>
        <w:fldChar w:fldCharType="end"/>
      </w:r>
      <w:r w:rsidR="00FF11D6">
        <w:rPr>
          <w:rFonts w:ascii="Calibri" w:eastAsia="Calibri" w:hAnsi="Calibri" w:cs="Calibri"/>
        </w:rPr>
        <w:t xml:space="preserve">. </w:t>
      </w:r>
    </w:p>
    <w:p w14:paraId="3D7A10D4" w14:textId="0AB85776" w:rsidR="00007F6C" w:rsidRDefault="007847D9" w:rsidP="00007F6C">
      <w:pPr>
        <w:keepNext/>
        <w:jc w:val="center"/>
      </w:pPr>
      <w:r>
        <w:rPr>
          <w:noProof/>
        </w:rPr>
        <w:drawing>
          <wp:inline distT="0" distB="0" distL="0" distR="0" wp14:anchorId="5D001039" wp14:editId="6A5DF5C7">
            <wp:extent cx="4320000" cy="2191110"/>
            <wp:effectExtent l="0" t="0" r="4445"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320000" cy="2191110"/>
                    </a:xfrm>
                    <a:prstGeom prst="rect">
                      <a:avLst/>
                    </a:prstGeom>
                  </pic:spPr>
                </pic:pic>
              </a:graphicData>
            </a:graphic>
          </wp:inline>
        </w:drawing>
      </w:r>
    </w:p>
    <w:p w14:paraId="0EE46C76" w14:textId="74899155" w:rsidR="00007F6C" w:rsidRPr="00225729" w:rsidRDefault="00007F6C" w:rsidP="00007F6C">
      <w:pPr>
        <w:jc w:val="center"/>
        <w:rPr>
          <w:i/>
          <w:iCs/>
          <w:color w:val="44546A" w:themeColor="text2"/>
          <w:sz w:val="18"/>
          <w:szCs w:val="18"/>
        </w:rPr>
      </w:pPr>
      <w:bookmarkStart w:id="40" w:name="_Ref50646224"/>
      <w:bookmarkStart w:id="41" w:name="_Toc69114912"/>
      <w:r w:rsidRPr="00225729">
        <w:rPr>
          <w:i/>
          <w:iCs/>
          <w:color w:val="44546A" w:themeColor="text2"/>
          <w:sz w:val="18"/>
          <w:szCs w:val="18"/>
        </w:rPr>
        <w:t>Figure 1.</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C73B12">
        <w:rPr>
          <w:i/>
          <w:iCs/>
          <w:noProof/>
          <w:color w:val="44546A" w:themeColor="text2"/>
          <w:sz w:val="18"/>
          <w:szCs w:val="18"/>
        </w:rPr>
        <w:t>8</w:t>
      </w:r>
      <w:r w:rsidR="00285C23">
        <w:rPr>
          <w:i/>
          <w:iCs/>
          <w:color w:val="44546A" w:themeColor="text2"/>
          <w:sz w:val="18"/>
          <w:szCs w:val="18"/>
        </w:rPr>
        <w:fldChar w:fldCharType="end"/>
      </w:r>
      <w:bookmarkEnd w:id="40"/>
      <w:r w:rsidRPr="00225729">
        <w:rPr>
          <w:i/>
          <w:iCs/>
          <w:color w:val="44546A" w:themeColor="text2"/>
          <w:sz w:val="18"/>
          <w:szCs w:val="18"/>
        </w:rPr>
        <w:t>: Diagrams of the reduction of electrolyte thickness and move to anode-supported designs for SOFCs</w:t>
      </w:r>
      <w:r w:rsidR="007847D9">
        <w:rPr>
          <w:i/>
          <w:iCs/>
          <w:color w:val="44546A" w:themeColor="text2"/>
          <w:sz w:val="18"/>
          <w:szCs w:val="18"/>
        </w:rPr>
        <w:t xml:space="preserve">: a. </w:t>
      </w:r>
      <w:r w:rsidR="0037675D">
        <w:rPr>
          <w:i/>
          <w:iCs/>
          <w:color w:val="44546A" w:themeColor="text2"/>
          <w:sz w:val="18"/>
          <w:szCs w:val="18"/>
        </w:rPr>
        <w:t>Electrolyte</w:t>
      </w:r>
      <w:r w:rsidR="007847D9">
        <w:rPr>
          <w:i/>
          <w:iCs/>
          <w:color w:val="44546A" w:themeColor="text2"/>
          <w:sz w:val="18"/>
          <w:szCs w:val="18"/>
        </w:rPr>
        <w:t xml:space="preserve"> supported b. Anode supported, c. Interconnector supported stack</w:t>
      </w:r>
      <w:r w:rsidRPr="00225729">
        <w:rPr>
          <w:i/>
          <w:iCs/>
          <w:color w:val="44546A" w:themeColor="text2"/>
          <w:sz w:val="18"/>
          <w:szCs w:val="18"/>
        </w:rPr>
        <w:t xml:space="preserve"> </w:t>
      </w:r>
      <w:r w:rsidRPr="00225729">
        <w:rPr>
          <w:i/>
          <w:iCs/>
          <w:color w:val="44546A" w:themeColor="text2"/>
          <w:sz w:val="18"/>
          <w:szCs w:val="18"/>
        </w:rPr>
        <w:fldChar w:fldCharType="begin" w:fldLock="1"/>
      </w:r>
      <w:r w:rsidR="006C586A">
        <w:rPr>
          <w:i/>
          <w:iCs/>
          <w:color w:val="44546A" w:themeColor="text2"/>
          <w:sz w:val="18"/>
          <w:szCs w:val="18"/>
        </w:rPr>
        <w:instrText xml:space="preserve">ADDIN CSL_CITATION {"citationItems":[{"id":"ITEM-1","itemData":{"DOI":"10.1016/j.jpowsour.2004.08.057","ISSN":"03787753","abstract":"The performance of solid oxide fuel cells (SOFCs) is affected by various polarization losses, namely, ohmic polarization, activation polarization and concentration polarization. Under given operating conditions, these polarization losses are largely dependent on cell materials, electrode microstructures, and cell geometric parameters. Solid oxide fuel cells (SOFC) with yttria-stabilized zirconia (YSZ) electrolyte, Ni-YSZ anode support, Ni-YSZ anode interlayer, strontium doped lanthanum manganate (LSM)-YSZ cathode interlayer, and LSM current collector, were fabricated. The effect of various parameters on cell performance was evaluated. The parameters investigated were: (1) YSZ electrolyte thickness, (2) cathode interlayer thickness, (3) anode support thickness, and (4) anode support porosity. Cells were tested over a range of temperatures between 600 and 800 °C with hydrogen as fuel, and air as oxidant. Ohmic contribution was determined using the current interruption technique. The effect of these cell parameters on ohmic polarization and on cell performance was experimentally measured. Dependence of cell performance on various parameters was rationalized on the basis of a simple analytical model. Based on the results of the cell parameter study, a cell with optimized parameters was fabricated and tested. The corresponding maximum power density at 800 °C was </w:instrText>
      </w:r>
      <w:r w:rsidR="006C586A">
        <w:rPr>
          <w:rFonts w:ascii="Cambria Math" w:hAnsi="Cambria Math" w:cs="Cambria Math"/>
          <w:i/>
          <w:iCs/>
          <w:color w:val="44546A" w:themeColor="text2"/>
          <w:sz w:val="18"/>
          <w:szCs w:val="18"/>
        </w:rPr>
        <w:instrText>∼</w:instrText>
      </w:r>
      <w:r w:rsidR="006C586A">
        <w:rPr>
          <w:i/>
          <w:iCs/>
          <w:color w:val="44546A" w:themeColor="text2"/>
          <w:sz w:val="18"/>
          <w:szCs w:val="18"/>
        </w:rPr>
        <w:instrText xml:space="preserve">1.8 W cm-2. </w:instrText>
      </w:r>
      <w:r w:rsidR="006C586A">
        <w:rPr>
          <w:rFonts w:ascii="Calibri" w:hAnsi="Calibri" w:cs="Calibri"/>
          <w:i/>
          <w:iCs/>
          <w:color w:val="44546A" w:themeColor="text2"/>
          <w:sz w:val="18"/>
          <w:szCs w:val="18"/>
        </w:rPr>
        <w:instrText>©</w:instrText>
      </w:r>
      <w:r w:rsidR="006C586A">
        <w:rPr>
          <w:i/>
          <w:iCs/>
          <w:color w:val="44546A" w:themeColor="text2"/>
          <w:sz w:val="18"/>
          <w:szCs w:val="18"/>
        </w:rPr>
        <w:instrText xml:space="preserve"> 2004 Elsevier B.V. All rights reserved.","author":[{"dropping-particle":"","family":"Zhao","given":"Feng","non-dropping-particle":"","parse-names":false,"suffix":""},{"dropping-particle":"V.","family":"Virkar","given":"Anil","non-dropping-particle":"","parse-names":false,"suffix":""}],"container-title":"Journal of Power Sources","id":"ITEM-1","issue":"1","issued":{"date-parts":[["2005"]]},"page":"79-95","title":"Dependence of polarization in anode-supported solid oxide fuel cells on various cell parameters","type":"article-journal","volume":"141"},"uris":["http://www.mendeley.com/documents/?uuid=da793f30-2603-466f-822b-6d2d4c37647f"]},{"id":"ITEM-2","itemData":{"DOI":"10.1016/j.jpowsour.2005.10.052","ISSN":"03787753","abstract":"Solid oxide fuel cells (SOFCs) have many attractive features for widespread applications. The high operating temperature provides a valuable heat source and in contrast to low temperature fuel cells they not only tolerate substances such as CO but can even use them as fuel. Thus, reforming of hydrocarbon fuels for SOFCs can be done without additional gas purification. As both stack and hydrocarbon reformer unit have to be operated at high temperatures (700-1000 °C), thermal management plays an important role in the successful operation of SOFC systems. As the SOFC system contains ceramic components, both large thermal gradients in the system and thermal expansion coefficient (TEC) mismatch must be avoided. Matching TECs is done by selecting the suitable materials. Avoiding high temperature gradients is done by selecting the right system design and control strategies. In order to achieve both, we have built a finite element simulation for a complete SOFC systems which allows to study system parameters both during steady operation and during transients. Examples of the thermal start-up behaviour for several system configurations are given for selected components as well as internal temperatures of the SOFC-stack during start-up. The simulation model includes also the option to simulate the effects of internal methane reformation in the SOFC stack. As the minimum operation temperature is high, cooling down of the system has to be avoided if instant operation is desired. This can be achieved either passively by selecting suitable thermal insulation materials and/or actively by adopting a strategy for maintaining the temperature. © 2005 Elsevier B.V. All rights reserved.","author":[{"dropping-particle":"","family":"Apfel","given":"H.","non-dropping-particle":"","parse-names":false,"suffix":""},{"dropping-particle":"","family":"Rzepka","given":"M.","non-dropping-particle":"","parse-names":false,"suffix":""},{"dropping-particle":"","family":"Tu","given":"H.","non-dropping-particle":"","parse-names":false,"suffix":""},{"dropping-particle":"","family":"Stimming","given":"U.","non-dropping-particle":"","parse-names":false,"suffix":""}],"container-title":"Journal of Power Sources","id":"ITEM-2","issue":"2","issued":{"date-parts":[["2006"]]},"page":"370-378","title":"Thermal start-up behaviour and thermal management of SOFC's","type":"article-journal","volume":"154"},"uris":["http://www.mendeley.com/documents/?uuid=89dfc017-a003-45a9-80bb-33d4d5a8fcaf"]}],"mendeley":{"formattedCitation":"[93], [95]","plainTextFormattedCitation":"[93], [95]","previouslyFormattedCitation":"[93], [95]"},"properties":{"noteIndex":0},"schema":"https://github.com/citation-style-language/schema/raw/master/csl-citation.json"}</w:instrText>
      </w:r>
      <w:r w:rsidRPr="00225729">
        <w:rPr>
          <w:i/>
          <w:iCs/>
          <w:color w:val="44546A" w:themeColor="text2"/>
          <w:sz w:val="18"/>
          <w:szCs w:val="18"/>
        </w:rPr>
        <w:fldChar w:fldCharType="separate"/>
      </w:r>
      <w:r w:rsidR="00FF11D6" w:rsidRPr="00FF11D6">
        <w:rPr>
          <w:iCs/>
          <w:noProof/>
          <w:color w:val="44546A" w:themeColor="text2"/>
          <w:sz w:val="18"/>
          <w:szCs w:val="18"/>
        </w:rPr>
        <w:t>[93], [95]</w:t>
      </w:r>
      <w:r w:rsidRPr="00225729">
        <w:rPr>
          <w:i/>
          <w:iCs/>
          <w:color w:val="44546A" w:themeColor="text2"/>
          <w:sz w:val="18"/>
          <w:szCs w:val="18"/>
        </w:rPr>
        <w:fldChar w:fldCharType="end"/>
      </w:r>
      <w:bookmarkEnd w:id="41"/>
    </w:p>
    <w:p w14:paraId="6C219D5E" w14:textId="77777777" w:rsidR="00007F6C" w:rsidRDefault="00007F6C" w:rsidP="00007F6C">
      <w:pPr>
        <w:jc w:val="both"/>
        <w:rPr>
          <w:rFonts w:ascii="Calibri" w:eastAsia="Calibri" w:hAnsi="Calibri" w:cs="Calibri"/>
        </w:rPr>
      </w:pPr>
      <w:r w:rsidRPr="004654D6">
        <w:rPr>
          <w:rFonts w:ascii="Calibri" w:eastAsia="Calibri" w:hAnsi="Calibri" w:cs="Calibri"/>
        </w:rPr>
        <w:t>Anode triple-phase boundaries (TPBs) are the positions where fuel oxidation occurs in SOFCs</w:t>
      </w:r>
      <w:r>
        <w:rPr>
          <w:rFonts w:ascii="Calibri" w:eastAsia="Calibri" w:hAnsi="Calibri" w:cs="Calibri"/>
        </w:rPr>
        <w:t xml:space="preserve"> (Further information can be found in Section 2.3.2.1). </w:t>
      </w:r>
      <w:r w:rsidRPr="004654D6">
        <w:rPr>
          <w:rFonts w:ascii="Calibri" w:eastAsia="Calibri" w:hAnsi="Calibri" w:cs="Calibri"/>
        </w:rPr>
        <w:t xml:space="preserve"> This region combines electrons, oxide ions, fuel gas, electrode material and electrolyte</w:t>
      </w:r>
      <w:r>
        <w:rPr>
          <w:rFonts w:ascii="Calibri" w:eastAsia="Calibri" w:hAnsi="Calibri" w:cs="Calibri"/>
        </w:rPr>
        <w:t xml:space="preserve"> forming water (</w:t>
      </w:r>
      <w:r>
        <w:rPr>
          <w:rFonts w:ascii="Calibri" w:eastAsia="Calibri" w:hAnsi="Calibri" w:cs="Calibri"/>
        </w:rPr>
        <w:fldChar w:fldCharType="begin"/>
      </w:r>
      <w:r>
        <w:rPr>
          <w:rFonts w:ascii="Calibri" w:eastAsia="Calibri" w:hAnsi="Calibri" w:cs="Calibri"/>
        </w:rPr>
        <w:instrText xml:space="preserve"> REF _Ref50629431 \h  \* MERGEFORMAT </w:instrText>
      </w:r>
      <w:r>
        <w:rPr>
          <w:rFonts w:ascii="Calibri" w:eastAsia="Calibri" w:hAnsi="Calibri" w:cs="Calibri"/>
        </w:rPr>
      </w:r>
      <w:r>
        <w:rPr>
          <w:rFonts w:ascii="Calibri" w:eastAsia="Calibri" w:hAnsi="Calibri" w:cs="Calibri"/>
        </w:rPr>
        <w:fldChar w:fldCharType="separate"/>
      </w:r>
      <w:r w:rsidRPr="004654D6">
        <w:t xml:space="preserve">Equation </w:t>
      </w:r>
      <w:r>
        <w:t>1.7</w:t>
      </w:r>
      <w:r>
        <w:rPr>
          <w:rFonts w:ascii="Calibri" w:eastAsia="Calibri" w:hAnsi="Calibri" w:cs="Calibri"/>
        </w:rPr>
        <w:fldChar w:fldCharType="end"/>
      </w:r>
      <w:r>
        <w:rPr>
          <w:rFonts w:ascii="Calibri" w:eastAsia="Calibri" w:hAnsi="Calibri" w:cs="Calibri"/>
        </w:rPr>
        <w:t xml:space="preserve">) </w:t>
      </w:r>
      <w:r>
        <w:rPr>
          <w:rFonts w:ascii="Calibri" w:eastAsia="Calibri" w:hAnsi="Calibri" w:cs="Calibri"/>
        </w:rPr>
        <w:fldChar w:fldCharType="begin" w:fldLock="1"/>
      </w:r>
      <w:r>
        <w:rPr>
          <w:rFonts w:ascii="Calibri" w:eastAsia="Calibri" w:hAnsi="Calibri" w:cs="Calibri"/>
        </w:rPr>
        <w:instrText>ADDIN CSL_CITATION {"citationItems":[{"id":"ITEM-1","itemData":{"DOI":"10.1002/9781118191323","ISBN":"9781118087565","author":[{"dropping-particle":"","family":"Bagotsky","given":"Vladimir S.","non-dropping-particle":"","parse-names":false,"suffix":""}],"container-title":"Fuel Cells: Problems and Solutions: Second Edition","id":"ITEM-1","issued":{"date-parts":[["2012"]]},"title":"Fuel Cells: Problems and Solutions: Second Edition","type":"book"},"uris":["http://www.mendeley.com/documents/?uuid=c869f6b3-cb59-45bb-9704-8afee35620f5"]},{"id":"ITEM-2","itemData":{"ISBN":"00-442-31926-6","author":[{"dropping-particle":"","family":"Appleby","given":"A J","non-dropping-particle":"","parse-names":false,"suffix":""},{"dropping-particle":"","family":"Foulkes","given":"F R","non-dropping-particle":"","parse-names":false,"suffix":""}],"id":"ITEM-2","issued":{"date-parts":[["1988"]]},"publisher":"Van Nostrand Reinhold","title":"Fuel Cell Handbook","type":"book"},"uris":["http://www.mendeley.com/documents/?uuid=61a75d6c-0322-4da6-91bc-80ede657b69e"]}],"mendeley":{"formattedCitation":"[17], [22]","plainTextFormattedCitation":"[17], [22]","previouslyFormattedCitation":"[17], [22]"},"properties":{"noteIndex":0},"schema":"https://github.com/citation-style-language/schema/raw/master/csl-citation.json"}</w:instrText>
      </w:r>
      <w:r>
        <w:rPr>
          <w:rFonts w:ascii="Calibri" w:eastAsia="Calibri" w:hAnsi="Calibri" w:cs="Calibri"/>
        </w:rPr>
        <w:fldChar w:fldCharType="separate"/>
      </w:r>
      <w:r w:rsidRPr="00D17D71">
        <w:rPr>
          <w:rFonts w:ascii="Calibri" w:eastAsia="Calibri" w:hAnsi="Calibri" w:cs="Calibri"/>
          <w:noProof/>
        </w:rPr>
        <w:t>[17], [22]</w:t>
      </w:r>
      <w:r>
        <w:rPr>
          <w:rFonts w:ascii="Calibri" w:eastAsia="Calibri" w:hAnsi="Calibri" w:cs="Calibri"/>
        </w:rPr>
        <w:fldChar w:fldCharType="end"/>
      </w:r>
      <w:r>
        <w:rPr>
          <w:rFonts w:ascii="Calibri" w:eastAsia="Calibri" w:hAnsi="Calibri" w:cs="Calibri"/>
        </w:rPr>
        <w:t xml:space="preserve">. </w:t>
      </w:r>
      <w:r w:rsidRPr="004654D6">
        <w:rPr>
          <w:rFonts w:ascii="Calibri" w:eastAsia="Calibri" w:hAnsi="Calibri" w:cs="Calibri"/>
        </w:rPr>
        <w:t>Microstructural factors such as the electrode porosity, pore size, pore distribution and active catalyst area are key to the anodic polarisation resistance in SOFCs</w:t>
      </w:r>
      <w:r>
        <w:rPr>
          <w:rFonts w:ascii="Calibri" w:eastAsia="Calibri" w:hAnsi="Calibri" w:cs="Calibri"/>
        </w:rPr>
        <w:t xml:space="preserve"> </w:t>
      </w:r>
      <w:r>
        <w:rPr>
          <w:rFonts w:ascii="Calibri" w:eastAsia="Calibri" w:hAnsi="Calibri" w:cs="Calibri"/>
        </w:rPr>
        <w:fldChar w:fldCharType="begin" w:fldLock="1"/>
      </w:r>
      <w:r>
        <w:rPr>
          <w:rFonts w:ascii="Calibri" w:eastAsia="Calibri" w:hAnsi="Calibri" w:cs="Calibri"/>
        </w:rPr>
        <w:instrText>ADDIN CSL_CITATION {"citationItems":[{"id":"ITEM-1","itemData":{"DOI":"10.1016/j.pmatsci.2015.01.001","ISBN":"0079-6425","ISSN":"00796425","PMID":"25653388","abstract":"Solid oxide fuel cells (SOFC) have emerged as energy conversion devices in achieving high efficiency of over 70% with regeneration. The critical components of SOFC include anode, electrolyte, and cathode. However, for a stack of individual SOFCs, the evaluation of sealants and interconnects are also essential. In this review article, material selection, fundamentals of operation and underlying mechanisms, processing, microstructural and phase characterization, and the functionality and performance of individual SOFC components are presented in detail. The major challenges and complexity in functional section of SOFC include: (i) poisoning via sulfur and coke deposition, surface diffusion of adsorbate, and charge transfer at triple-phase boundary (TPB) in anode, (ii) hindered O&lt;sup&gt;2-&lt;/sup&gt; migration that converts chemical energy into electrical energy in the solid electrolyte (thus, the creation of ion transfer channels, ease of O&lt;sup&gt;2-&lt;/sup&gt; migration, dissociation of vacancy around dopants, straining of lattice, and other factors such as control of phase and its distribution, grain and grain boundary conductivity, become critical in designing the electrolytes for SOFCs), (iii) multiple rate determining factors such as geometry of active surfaces, and existence of overpotential, in cathode (thereby, comprehensive electrochemical impedance spectroscopy is required for the analysis of solid cathodes in SOFC), (iv) chemical incompatibility and instability in both oxidizing and reducing environments while matching the coefficient of thermal expansion (CTE) in the interconnects in order to sustain large number of thermal cycling during the operation of SOFC, and (v) isolation of the fuel and oxidizing gases while matching the CTE of the anode, cathode and interconnects, using sealant. Moreover, the glass-transition of sealant dictates the maximum allowable working temperature of SOFC. Thus, the necessitated temporal progress in material selection along with a detailed insight into the conceptual role of thermodynamics and kinetics of surface/cell reactions, effect of phases and microstructure on conductivity, fuel flexibility and deterioration in performance of individual fuel cell components, and evolution of new materials are coherently presented. This article provides a comprehensive review with respect to the structure, chemistry, design and selection of materials, underlying mechanisms, and performance of each SOFC component, and it opens up the futur…","author":[{"dropping-particle":"","family":"Mahato","given":"Neelima","non-dropping-particle":"","parse-names":false,"suffix":""},{"dropping-particle":"","family":"Banerjee","given":"Amitava","non-dropping-particle":"","parse-names":false,"suffix":""},{"dropping-particle":"","family":"Gupta","given":"Alka","non-dropping-particle":"","parse-names":false,"suffix":""},{"dropping-particle":"","family":"Omar","given":"Shobit","non-dropping-particle":"","parse-names":false,"suffix":""},{"dropping-particle":"","family":"Balani","given":"Kantesh","non-dropping-particle":"","parse-names":false,"suffix":""}],"container-title":"Progress in Materials Science","id":"ITEM-1","issued":{"date-parts":[["2015"]]},"page":"141-337","title":"Progress in material selection for solid oxide fuel cell technology: A review","type":"article-journal","volume":"72"},"uris":["http://www.mendeley.com/documents/?uuid=64bcccbb-1f4d-426c-8c8c-3479994e7afd"]},{"id":"ITEM-2","itemData":{"DOI":"10.1038/nmat1040","ISBN":"1476-1122","ISSN":"14761122","PMID":"14704781","abstract":"Fuel cells will undoubtedly find widespread use in this new millennium in the conversion of chemical to electrical energy, as they offer very high efficiencies and have unique scalability in electricity-generation applications. The solid-oxide fuel cell (SOFC) is one of the most exciting of these energy technologies; it is an all-ceramic device that operates at temperatures in the range 500-1,000 degrees C. The SOFC offers certain advantages over lower temperature fuel cells, notably its ability to use carbon monoxide as a fuel rather than being poisoned by it, and the availability of high-grade exhaust heat for combined heat and power, or combined cycle gas-turbine applications. Although cost is clearly the most important barrier to widespread SOFC implementation, perhaps the most important technical barriers currently being addressed relate to the electrodes, particularly the fuel electrode or anode. In terms of mitigating global warming, the ability of the SOFC to use commonly available fuels at high efficiency, promises an effective and early reduction in carbon dioxide emissions, and hence is one of the lead new technologies for improving the environment. Here, we discuss recent developments of SOFC fuel electrodes that will enable the better use of readily available fuels.","author":[{"dropping-particle":"","family":"Atkinson","given":"A.","non-dropping-particle":"","parse-names":false,"suffix":""},{"dropping-particle":"","family":"Barnett","given":"S.","non-dropping-particle":"","parse-names":false,"suffix":""},{"dropping-particle":"","family":"Gorte","given":"R. J.","non-dropping-particle":"","parse-names":false,"suffix":""},{"dropping-particle":"","family":"Irvine","given":"J. T.S.","non-dropping-particle":"","parse-names":false,"suffix":""},{"dropping-particle":"","family":"McEvoy","given":"A. J.","non-dropping-particle":"","parse-names":false,"suffix":""},{"dropping-particle":"","family":"Mogensen","given":"M.","non-dropping-particle":"","parse-names":false,"suffix":""},{"dropping-particle":"","family":"Singhal","given":"S. C.","non-dropping-particle":"","parse-names":false,"suffix":""},{"dropping-particle":"","family":"Vohs","given":"J.","non-dropping-particle":"","parse-names":false,"suffix":""}],"container-title":"Nature Materials","id":"ITEM-2","issue":"1","issued":{"date-parts":[["2004"]]},"language":"English","note":"Cited By :951\nExport Date: 7 October 2016\nCorrespondence Address: Irvine, J.T.S.; School of Chemistry, University of St Andrews, St Andrews, Fife KY16 9ST, United Kingdom\nChemicals/CAS: hydrogen, 12385-13-6, 1333-74-0; Ceramics; Hydrogen, 1333-74-0; Metals\nReferences: Baur, E., Preis, H., Uber die Eisenoxyd-Kathode in der Kohle-Luft-Kette (1937) Z. Elektrochem., 43, p. 727; Möbius, H.-H., On the history of solid electrolyte fuel cells (1997) Solid State Electrochem., 1, p. 2; Spacil, H.S., (1970) Electrical Device Including Nickel-containing Stabilized Zirconia Electrode, , US Patent 3,558,360; Lee, J.H., Quantitative analysis of microstructure and its related electrical property of SOFC anode, Ni-YSZ cermet (2002) Solid State Ionics, 148, pp. 1-2; Toebes, M.L., Bitter, I.H., Van Dillen, A.J., De Jong, K.P., Impact of the structure and reactivity of nickel particles on the catalytic growth of carbon nanofibers (2002) Catal Today, 76, pp. 33-42; Sasaki, K., Teraoka, Y., Equilibria in fuel cell gases -I. Equilibrium compositions and reforming conditions (2003) J. Electrochem. Soc., 150, pp. A878-A884; Murray, E.P., Tsai, T., Barnett, S.A., A direct-methane fuel cell with a ceriabased anode (1999) Nature, 400, pp. 649-651; Mogensen, M., Jensen, K.V., Jorgensen, M.J., Primdahl, S., Progress in understanding SOFC electrodes (2002) Solid State Ionics, 150, pp. 123-129; Lu, X.Y., Faguy, P.W., Liu, M.I., In situ potential-dependent FTIR emission spectroscopy - A novel probe for high temperature fuel cell interfaces (2002) J. Electrochm. Sac., 149, pp. A1293-A1298; Bernardo, C.A., Alstrup, I., Rostrupnielsen, J.R., Carbon deposition and methane steam reforming on silica-supported Ni-Cu catalysts (1985) J. Catal., 96, pp. 517-534; Dong, W.S., Roh, H.S., Jun, K.W., Park, S.E., Oh, Y.S., Methane reforming over Ni/Ce-ZrO2 catalysts: Effect of nickel content (2002) Appl. Catal. A, 226, pp. 63-72; Bunluesin, T., Gorte, R.J., Graham, G.W., Studies of the water-gas-shift reaction on ceria-supported Pt, Pd, and Rh: Implications for oxygen-storage properties (1998) Appl. Catal. B, 15, pp. 107-114; Sharma, S., Hilaire, S., Vohs, J.M., Gorte, R.J., Jen, H.W., Evidence for oxidation of ceria by CO2 (2000) J. Catal., 199, pp. 199-204; Ramirez-Cabrera, E., Atkinson, A., Chadwick, D., The influence of point defects on the resistance of ceria to carbon deposition in hydrocarbon catalysis (2000) Solid State Ionics, 136, pp. 825-831; Marina, O.A., Mogensen, M., High-temperature conversion of methane on a composite gadolinia-doped ceria-gold electrode (1999) Appl. Catal. A, 189, pp. 117-126; Park, S.D., Vohs, J.M., Gorte, R.J., Direct oxidation of hydrocarbons in a solid-oxide fuel cell (2000) Nature, 404, pp. 265-267; Kiratzis, N., Holtappels, P., Hatchwell, C.E., Mogensen, M., Irvine, J.T.S., Preparation and characterisation of copper/yttria titania zirconia cermets for use as possible solid oxide fuel cell anodes (2001) Fuel Cells, 1, pp. 211-218; Kim, H., Park, S., Vohs, J.M., Gorte, R.J., Direct oxidation of liquid fuels in a solid oxide fuel cell (2001) J. Electrochem. Soc., 148, pp. A693-A695; Minh, N.Q., Ceramic fuel-cells (1993) J. Am. Ceram. Soc., 76, pp. 563-588; Yokokawa, H., Sakai, N., Kawada, T., Dokiya, M., Thermodynamic stabilities of perovskite oxides for electrodes and other electrochemical materials (1992) Solid State Ionics, 52, pp. 43-56; Pudmich, G., Chromite/titanate based perovskites for application as anodes in solid oxide fuel cells (2000) Solid State Ionics, 135, pp. 433-438; Tao, S., Irvine, J.T.S., A redox-stable, efficient anode for solid-oxide fuel cells (2003) Nature Mater., 2, pp. 320-323; Vernoux, P., Guillodo, M., Fouletier, J., Hammou, A., Alternative anode materials for gradual methane reforming in solid oxide fuel cells (2000) Solid State Ionics, 133, pp. 425-431; Sfeir, J., Lanthanum chromite based catalysts for oxidation of methane directly on SOFC anode (2001) J. Catal., 202, pp. 229-244; Sfeir, J., Van Herle, J., Vasquez, R., (2002) Proc. 5th European Solid Oxide Fuel Cell Forum, pp. 570-577. , ed. Huijsmans J. (European SOFC Forum, Switzerland); Sauvet, A.L., Irvine, J.T.S., (2002) Proc. 5th European Solid Oxide Fuel Cell Forum, pp. 490-498. , ed. Huijsmans J. (European SOFC Forum, Switzerland); Slater, P.R., Fagg, D.P., Irvine, J.T.S., Synthesis and electrical characterisation of the doped perovskite titanates as potential anode materials for solid oxide fuel cells (1997) J. Mater. Chem., 7, pp. 2495-2498; Hui, S.Q., Petric, A., Electrical properties of yttrium-doped strontium titanate under reducing conditions (2002) J. Electrochem. Soc., 149, pp. J1-J10; Marina, O.A., Pederson, L.R., (2002) Proc. 5th European Solid Oxide Fuel Cell Forum, pp. 481-489. , ed. Huijimans, J. (European SOFC Forum, Switzerland); Canales-Vázquez, J., Tao, S.W., Irvine, J.T.S., (2003) Electrical Properties in La2Sr4Ti6O 19-d: A Potential Anode for High Temperature Fuel Cells Solid State Ionics, 159, pp. 159-165; Reich, C., Kaiser, A., Irvine, J.T.S., (2001) Niobia Based Rutile Materials as Sofc Anodes, Fuel Cells - from Fundamentals to Systems, 1, pp. 249-255; Ramos, T., Atkinson, A., (2001) Ionic and Mixed Conducting Ceramics IV, PV2001-28, pp. 352-367. , eds Ramanarayanan, T. A., Worrell, W. L. &amp;amp; Mogensen, M. (Electrochemical Scociety Proceedings); Steele, B.C.H., Appraisal of Ce1-yGdyO2-y/2electrolytes for IT-SOFC operation at 500° C (2000) Solid State Ionics, 129, pp. 95-110; Wang, S.R., Kobayashi, T., Dokiya, M., Hashimoto, T., Electrical and ionic conductivity of Gd-doped ceria (2000) J. Electrochem. Soc., 147, pp. 3606-3609; Floyd, J.M., Interpretation of transport phenomena in non-stoichiometric ceria (1972) J. Ind. Technol., pp. 275-280; Tao, S., Irvine, J.T.S., Optimization of mixed conducting properties of Y2O 3ZrO2-TiO2 and Sc2O 3-Y2O3-ZrO2-TiO2 solid solutions as potential SOFC anode materials (2002) J. Solid State Chem., 165, pp. 12-18; Sauvet, A.-L., Fouletier, J., Catalytic properties of new anode materials for solid oxide fuel cells operated under methane at intermediary temperature (2001) J. Power Sources, 101, pp. 259-266; Sprague, J.J., Tuller, H.L., Mixed ionic and electronic conduction in Mn/Mo doped gadolinium titanate (1999) J. Europ. Ceram. Soc., 19, pp. 803-806; Holtappels, P., Poulsen, F.W., Mogensen, M., Electrical conductivities and chemical stabilities of mixed conducting pyrochlores for SOFC applications (2000) Solid State Ionics, 135, pp. 675-679; McIntosh, S., Vohs, J.M., Gorte, R.J., Role of hydrocarbon deposits in the enhanced performance of direct-oxidation SOFCs (2003) J. Electrochem. Soc., 150, pp. A470-A476; Lu, C., Worrell, W.L., Vohs, J.M., Gorte, R.J., (2003) Solid Oxide Fuel Cells VIII, 7, pp. 773-780. , eds Singhal. S. C. &amp;amp; Dokiya, M., (Electrochemical Society Proceedings); Lu, C., Worrell, W.L., Gorte, R.J., Vohs, J.M., SOFCs for direct oxidation of hydrocarbon fuels with samaria-doped ceria Electrolyte (2003) J. Electrochem, Soc., 150, pp. A354-A358; Sfeir, J., (2001) Alternative Anode Materials for Methane Oxidation in Solid Oxide Fuel Cells, , Thesis, Ecole Polytechnique Fédérale de Lausanne, Switzerland; Liu, J., Madsen, B.D., Ji, Z.Q., Barnett, S.A., A fuel-flexible ceramic-based anode for solid oxide fuel cells (2002) Electrochem. Solid State Lett., 5, pp. A122-A124; Sauvet, A.L., Fouletier, J., Electrochemical properties of a new type of anode material La 1-xSrxCr1-yRuyO3-δ for SOFC under hydrogen and methane at intermediate temperatures (2001) Electrochim. Acta, 47, pp. 987-995; Vernoux, P., Guindet, J., Kleitz, M., Gradual internal methane reforming in intermediate-temperature solid-oxide fuel cells (1998) J. Electrochem. Soc., 145, pp. 3487-3492; Skarmoutsos, D., Teitz, F., Nikolopoulos, P., Structure - Property relationships of Ni/YSZ and Ni/(YSZ+TiO2) cermets (2001) Fuel Cells, 1, pp. 243-248; Holtappels, P., (1997) Electrocatalysis on Nickel-cermet E,lectrodes Jülich, , Research Centre Report number 3414, and Thesis, Univ. Bonn; Kiratzis, N., Holtappels, P., Hatchwell, C.E., Mogensen, M., Irvine, J.T.S., Preparation and characterisation of copper/yttria titania zirconia cermets for use as possible solid oxide fuel cell anodes (2001) Fuel Cells, 1, pp. 211-218","page":"17-27","title":"Advanced anodes for high-temperature fuel cells","type":"article-journal","volume":"3"},"uris":["http://www.mendeley.com/documents/?uuid=5b7491b8-7a88-4fb4-aaf6-a24df77a007d"]}],"mendeley":{"formattedCitation":"[25], [57]","plainTextFormattedCitation":"[25], [57]","previouslyFormattedCitation":"[25], [57]"},"properties":{"noteIndex":0},"schema":"https://github.com/citation-style-language/schema/raw/master/csl-citation.json"}</w:instrText>
      </w:r>
      <w:r>
        <w:rPr>
          <w:rFonts w:ascii="Calibri" w:eastAsia="Calibri" w:hAnsi="Calibri" w:cs="Calibri"/>
        </w:rPr>
        <w:fldChar w:fldCharType="separate"/>
      </w:r>
      <w:r w:rsidRPr="00375DF8">
        <w:rPr>
          <w:rFonts w:ascii="Calibri" w:eastAsia="Calibri" w:hAnsi="Calibri" w:cs="Calibri"/>
          <w:noProof/>
        </w:rPr>
        <w:t>[25], [57]</w:t>
      </w:r>
      <w:r>
        <w:rPr>
          <w:rFonts w:ascii="Calibri" w:eastAsia="Calibri" w:hAnsi="Calibri" w:cs="Calibri"/>
        </w:rPr>
        <w:fldChar w:fldCharType="end"/>
      </w:r>
      <w:r w:rsidRPr="004654D6">
        <w:rPr>
          <w:rFonts w:ascii="Calibri" w:eastAsia="Calibri" w:hAnsi="Calibri" w:cs="Calibri"/>
        </w:rPr>
        <w:t>.</w:t>
      </w:r>
    </w:p>
    <w:p w14:paraId="76AF16E4" w14:textId="77777777" w:rsidR="00007F6C" w:rsidRPr="004654D6" w:rsidRDefault="00B51F53" w:rsidP="00007F6C">
      <w:pPr>
        <w:rPr>
          <w:rFonts w:ascii="Calibri" w:eastAsia="Calibri" w:hAnsi="Calibri" w:cs="Calibri"/>
        </w:rPr>
      </w:pPr>
      <m:oMathPara>
        <m:oMath>
          <m:sSub>
            <m:sSubPr>
              <m:ctrlPr>
                <w:rPr>
                  <w:rFonts w:ascii="Cambria Math" w:eastAsia="Calibri" w:hAnsi="Cambria Math" w:cs="Calibri"/>
                  <w:i/>
                </w:rPr>
              </m:ctrlPr>
            </m:sSubPr>
            <m:e>
              <m:sSub>
                <m:sSubPr>
                  <m:ctrlPr>
                    <w:rPr>
                      <w:rFonts w:ascii="Cambria Math" w:eastAsia="Calibri" w:hAnsi="Cambria Math" w:cs="Calibri"/>
                      <w:i/>
                    </w:rPr>
                  </m:ctrlPr>
                </m:sSubPr>
                <m:e>
                  <m:r>
                    <m:rPr>
                      <m:sty m:val="p"/>
                    </m:rPr>
                    <w:rPr>
                      <w:rFonts w:ascii="Cambria Math" w:eastAsia="Calibri" w:hAnsi="Cambria Math" w:cs="Calibri"/>
                    </w:rPr>
                    <m:t>H</m:t>
                  </m:r>
                </m:e>
                <m:sub>
                  <m:r>
                    <m:rPr>
                      <m:sty m:val="p"/>
                    </m:rPr>
                    <w:rPr>
                      <w:rFonts w:ascii="Cambria Math" w:eastAsia="Calibri" w:hAnsi="Cambria Math" w:cs="Calibri"/>
                    </w:rPr>
                    <m:t>2</m:t>
                  </m:r>
                </m:sub>
              </m:sSub>
            </m:e>
            <m:sub>
              <m:r>
                <m:rPr>
                  <m:sty m:val="p"/>
                </m:rPr>
                <w:rPr>
                  <w:rFonts w:ascii="Cambria Math" w:eastAsia="Calibri" w:hAnsi="Cambria Math" w:cs="Calibri"/>
                </w:rPr>
                <m:t>g</m:t>
              </m:r>
            </m:sub>
          </m:sSub>
          <m:r>
            <m:rPr>
              <m:sty m:val="p"/>
            </m:rPr>
            <w:rPr>
              <w:rFonts w:ascii="Cambria Math" w:eastAsia="Calibri" w:hAnsi="Cambria Math" w:cs="Calibri"/>
            </w:rPr>
            <m:t>+</m:t>
          </m:r>
          <m:sSub>
            <m:sSubPr>
              <m:ctrlPr>
                <w:rPr>
                  <w:rFonts w:ascii="Cambria Math" w:eastAsia="Calibri" w:hAnsi="Cambria Math" w:cs="Calibri"/>
                  <w:i/>
                </w:rPr>
              </m:ctrlPr>
            </m:sSubPr>
            <m:e>
              <m:sSup>
                <m:sSupPr>
                  <m:ctrlPr>
                    <w:rPr>
                      <w:rFonts w:ascii="Cambria Math" w:eastAsia="Calibri" w:hAnsi="Cambria Math" w:cs="Calibri"/>
                      <w:i/>
                    </w:rPr>
                  </m:ctrlPr>
                </m:sSupPr>
                <m:e>
                  <m:r>
                    <m:rPr>
                      <m:sty m:val="p"/>
                    </m:rPr>
                    <w:rPr>
                      <w:rFonts w:ascii="Cambria Math" w:eastAsia="Calibri" w:hAnsi="Cambria Math" w:cs="Calibri"/>
                    </w:rPr>
                    <m:t>O</m:t>
                  </m:r>
                </m:e>
                <m:sup>
                  <m:r>
                    <m:rPr>
                      <m:sty m:val="p"/>
                    </m:rPr>
                    <w:rPr>
                      <w:rFonts w:ascii="Cambria Math" w:eastAsia="Calibri" w:hAnsi="Cambria Math" w:cs="Calibri"/>
                    </w:rPr>
                    <m:t>2-</m:t>
                  </m:r>
                </m:sup>
              </m:sSup>
            </m:e>
            <m:sub>
              <m:r>
                <m:rPr>
                  <m:sty m:val="p"/>
                </m:rPr>
                <w:rPr>
                  <w:rFonts w:ascii="Cambria Math" w:eastAsia="Calibri" w:hAnsi="Cambria Math" w:cs="Calibri"/>
                </w:rPr>
                <m:t>g</m:t>
              </m:r>
            </m:sub>
          </m:sSub>
          <m:r>
            <m:rPr>
              <m:sty m:val="p"/>
            </m:rPr>
            <w:rPr>
              <w:rFonts w:ascii="Cambria Math" w:eastAsia="Calibri" w:hAnsi="Cambria Math" w:cs="Calibri"/>
            </w:rPr>
            <m:t>→</m:t>
          </m:r>
          <m:sSub>
            <m:sSubPr>
              <m:ctrlPr>
                <w:rPr>
                  <w:rFonts w:ascii="Cambria Math" w:eastAsia="Calibri" w:hAnsi="Cambria Math" w:cs="Calibri"/>
                  <w:i/>
                </w:rPr>
              </m:ctrlPr>
            </m:sSubPr>
            <m:e>
              <m:sSub>
                <m:sSubPr>
                  <m:ctrlPr>
                    <w:rPr>
                      <w:rFonts w:ascii="Cambria Math" w:eastAsia="Calibri" w:hAnsi="Cambria Math" w:cs="Calibri"/>
                      <w:i/>
                    </w:rPr>
                  </m:ctrlPr>
                </m:sSubPr>
                <m:e>
                  <m:r>
                    <m:rPr>
                      <m:sty m:val="p"/>
                    </m:rPr>
                    <w:rPr>
                      <w:rFonts w:ascii="Cambria Math" w:eastAsia="Calibri" w:hAnsi="Cambria Math" w:cs="Calibri"/>
                    </w:rPr>
                    <m:t>H</m:t>
                  </m:r>
                </m:e>
                <m:sub>
                  <m:r>
                    <m:rPr>
                      <m:sty m:val="p"/>
                    </m:rPr>
                    <w:rPr>
                      <w:rFonts w:ascii="Cambria Math" w:eastAsia="Calibri" w:hAnsi="Cambria Math" w:cs="Calibri"/>
                    </w:rPr>
                    <m:t>2</m:t>
                  </m:r>
                </m:sub>
              </m:sSub>
              <m:r>
                <m:rPr>
                  <m:sty m:val="p"/>
                </m:rPr>
                <w:rPr>
                  <w:rFonts w:ascii="Cambria Math" w:eastAsia="Calibri" w:hAnsi="Cambria Math" w:cs="Calibri"/>
                </w:rPr>
                <m:t>O</m:t>
              </m:r>
            </m:e>
            <m:sub>
              <m:r>
                <m:rPr>
                  <m:sty m:val="p"/>
                </m:rPr>
                <w:rPr>
                  <w:rFonts w:ascii="Cambria Math" w:eastAsia="Calibri" w:hAnsi="Cambria Math" w:cs="Calibri"/>
                </w:rPr>
                <m:t>g</m:t>
              </m:r>
            </m:sub>
          </m:sSub>
          <m:r>
            <m:rPr>
              <m:sty m:val="p"/>
            </m:rPr>
            <w:rPr>
              <w:rFonts w:ascii="Cambria Math" w:eastAsia="Calibri" w:hAnsi="Cambria Math" w:cs="Calibri"/>
            </w:rPr>
            <m:t xml:space="preserve">+ </m:t>
          </m:r>
          <m:sSup>
            <m:sSupPr>
              <m:ctrlPr>
                <w:rPr>
                  <w:rFonts w:ascii="Cambria Math" w:eastAsia="Calibri" w:hAnsi="Cambria Math" w:cs="Calibri"/>
                  <w:i/>
                </w:rPr>
              </m:ctrlPr>
            </m:sSupPr>
            <m:e>
              <m:r>
                <m:rPr>
                  <m:sty m:val="p"/>
                </m:rPr>
                <w:rPr>
                  <w:rFonts w:ascii="Cambria Math" w:eastAsia="Calibri" w:hAnsi="Cambria Math" w:cs="Calibri"/>
                </w:rPr>
                <m:t>2e</m:t>
              </m:r>
            </m:e>
            <m:sup>
              <m:r>
                <m:rPr>
                  <m:sty m:val="p"/>
                </m:rPr>
                <w:rPr>
                  <w:rFonts w:ascii="Cambria Math" w:eastAsia="Calibri" w:hAnsi="Cambria Math" w:cs="Calibri"/>
                </w:rPr>
                <m:t>-</m:t>
              </m:r>
            </m:sup>
          </m:sSup>
        </m:oMath>
      </m:oMathPara>
    </w:p>
    <w:p w14:paraId="360E1434" w14:textId="1BCD3DBF" w:rsidR="00007F6C" w:rsidRPr="004654D6" w:rsidRDefault="00007F6C" w:rsidP="00007F6C">
      <w:pPr>
        <w:keepNext/>
        <w:jc w:val="right"/>
      </w:pPr>
      <w:bookmarkStart w:id="42" w:name="_Ref50629431"/>
      <w:r w:rsidRPr="004654D6">
        <w:t xml:space="preserve">Equation </w:t>
      </w:r>
      <w:r>
        <w:t>1.</w:t>
      </w:r>
      <w:r w:rsidR="00B51F53">
        <w:fldChar w:fldCharType="begin"/>
      </w:r>
      <w:r w:rsidR="00B51F53">
        <w:instrText xml:space="preserve"> SEQ Equation \* ARABIC </w:instrText>
      </w:r>
      <w:r w:rsidR="00B51F53">
        <w:fldChar w:fldCharType="separate"/>
      </w:r>
      <w:r w:rsidR="00315BF8">
        <w:rPr>
          <w:noProof/>
        </w:rPr>
        <w:t>7</w:t>
      </w:r>
      <w:r w:rsidR="00B51F53">
        <w:rPr>
          <w:noProof/>
        </w:rPr>
        <w:fldChar w:fldCharType="end"/>
      </w:r>
      <w:bookmarkEnd w:id="42"/>
    </w:p>
    <w:p w14:paraId="5529CD9B" w14:textId="77777777" w:rsidR="00007F6C" w:rsidRPr="004654D6" w:rsidRDefault="00007F6C" w:rsidP="00007F6C">
      <w:pPr>
        <w:pStyle w:val="Heading5"/>
      </w:pPr>
      <w:r w:rsidRPr="004654D6">
        <w:t>SOFC anode cermet materials</w:t>
      </w:r>
    </w:p>
    <w:p w14:paraId="3FC18E6C" w14:textId="77777777" w:rsidR="00007F6C" w:rsidRDefault="00007F6C" w:rsidP="00007F6C">
      <w:pPr>
        <w:jc w:val="both"/>
        <w:rPr>
          <w:rFonts w:ascii="Calibri" w:eastAsia="Calibri" w:hAnsi="Calibri" w:cs="Calibri"/>
        </w:rPr>
      </w:pPr>
      <w:r w:rsidRPr="004654D6">
        <w:rPr>
          <w:rFonts w:ascii="Calibri" w:eastAsia="Calibri" w:hAnsi="Calibri" w:cs="Calibri"/>
        </w:rPr>
        <w:t>Initially, pure nickel was used as an anode material in SOFCs. However, despite its high electronic conductivity (2x10</w:t>
      </w:r>
      <w:r w:rsidRPr="004654D6">
        <w:rPr>
          <w:rFonts w:ascii="Calibri" w:eastAsia="Calibri" w:hAnsi="Calibri" w:cs="Calibri"/>
          <w:vertAlign w:val="superscript"/>
        </w:rPr>
        <w:t>5</w:t>
      </w:r>
      <w:r w:rsidRPr="004654D6">
        <w:rPr>
          <w:rFonts w:ascii="Calibri" w:eastAsia="Calibri" w:hAnsi="Calibri" w:cs="Calibri"/>
        </w:rPr>
        <w:t xml:space="preserve"> Scm</w:t>
      </w:r>
      <w:r>
        <w:rPr>
          <w:rFonts w:ascii="Calibri" w:eastAsia="Calibri" w:hAnsi="Calibri" w:cs="Calibri"/>
          <w:vertAlign w:val="superscript"/>
        </w:rPr>
        <w:t>-1</w:t>
      </w:r>
      <w:r w:rsidRPr="004654D6">
        <w:rPr>
          <w:rFonts w:ascii="Calibri" w:eastAsia="Calibri" w:hAnsi="Calibri" w:cs="Calibri"/>
        </w:rPr>
        <w:t>); nickel suffers from thermal expansion mismatch with the electrolyte reducing its effectiveness as a SOFC fuel electrode</w:t>
      </w:r>
      <w:r>
        <w:rPr>
          <w:rFonts w:ascii="Calibri" w:eastAsia="Calibri" w:hAnsi="Calibri" w:cs="Calibri"/>
        </w:rPr>
        <w:t xml:space="preserve"> </w:t>
      </w:r>
      <w:r>
        <w:rPr>
          <w:rFonts w:ascii="Calibri" w:eastAsia="Calibri" w:hAnsi="Calibri" w:cs="Calibri"/>
        </w:rPr>
        <w:fldChar w:fldCharType="begin" w:fldLock="1"/>
      </w:r>
      <w:r>
        <w:rPr>
          <w:rFonts w:ascii="Calibri" w:eastAsia="Calibri" w:hAnsi="Calibri" w:cs="Calibri"/>
        </w:rPr>
        <w:instrText>ADDIN CSL_CITATION {"citationItems":[{"id":"ITEM-1","itemData":{"DOI":"10.1016/j.pmatsci.2015.01.001","ISBN":"0079-6425","ISSN":"00796425","PMID":"25653388","abstract":"Solid oxide fuel cells (SOFC) have emerged as energy conversion devices in achieving high efficiency of over 70% with regeneration. The critical components of SOFC include anode, electrolyte, and cathode. However, for a stack of individual SOFCs, the evaluation of sealants and interconnects are also essential. In this review article, material selection, fundamentals of operation and underlying mechanisms, processing, microstructural and phase characterization, and the functionality and performance of individual SOFC components are presented in detail. The major challenges and complexity in functional section of SOFC include: (i) poisoning via sulfur and coke deposition, surface diffusion of adsorbate, and charge transfer at triple-phase boundary (TPB) in anode, (ii) hindered O&lt;sup&gt;2-&lt;/sup&gt; migration that converts chemical energy into electrical energy in the solid electrolyte (thus, the creation of ion transfer channels, ease of O&lt;sup&gt;2-&lt;/sup&gt; migration, dissociation of vacancy around dopants, straining of lattice, and other factors such as control of phase and its distribution, grain and grain boundary conductivity, become critical in designing the electrolytes for SOFCs), (iii) multiple rate determining factors such as geometry of active surfaces, and existence of overpotential, in cathode (thereby, comprehensive electrochemical impedance spectroscopy is required for the analysis of solid cathodes in SOFC), (iv) chemical incompatibility and instability in both oxidizing and reducing environments while matching the coefficient of thermal expansion (CTE) in the interconnects in order to sustain large number of thermal cycling during the operation of SOFC, and (v) isolation of the fuel and oxidizing gases while matching the CTE of the anode, cathode and interconnects, using sealant. Moreover, the glass-transition of sealant dictates the maximum allowable working temperature of SOFC. Thus, the necessitated temporal progress in material selection along with a detailed insight into the conceptual role of thermodynamics and kinetics of surface/cell reactions, effect of phases and microstructure on conductivity, fuel flexibility and deterioration in performance of individual fuel cell components, and evolution of new materials are coherently presented. This article provides a comprehensive review with respect to the structure, chemistry, design and selection of materials, underlying mechanisms, and performance of each SOFC component, and it opens up the futur…","author":[{"dropping-particle":"","family":"Mahato","given":"Neelima","non-dropping-particle":"","parse-names":false,"suffix":""},{"dropping-particle":"","family":"Banerjee","given":"Amitava","non-dropping-particle":"","parse-names":false,"suffix":""},{"dropping-particle":"","family":"Gupta","given":"Alka","non-dropping-particle":"","parse-names":false,"suffix":""},{"dropping-particle":"","family":"Omar","given":"Shobit","non-dropping-particle":"","parse-names":false,"suffix":""},{"dropping-particle":"","family":"Balani","given":"Kantesh","non-dropping-particle":"","parse-names":false,"suffix":""}],"container-title":"Progress in Materials Science","id":"ITEM-1","issued":{"date-parts":[["2015"]]},"page":"141-337","title":"Progress in material selection for solid oxide fuel cell technology: A review","type":"article-journal","volume":"72"},"uris":["http://www.mendeley.com/documents/?uuid=64bcccbb-1f4d-426c-8c8c-3479994e7afd"]}],"mendeley":{"formattedCitation":"[25]","plainTextFormattedCitation":"[25]","previouslyFormattedCitation":"[25]"},"properties":{"noteIndex":0},"schema":"https://github.com/citation-style-language/schema/raw/master/csl-citation.json"}</w:instrText>
      </w:r>
      <w:r>
        <w:rPr>
          <w:rFonts w:ascii="Calibri" w:eastAsia="Calibri" w:hAnsi="Calibri" w:cs="Calibri"/>
        </w:rPr>
        <w:fldChar w:fldCharType="separate"/>
      </w:r>
      <w:r w:rsidRPr="00375DF8">
        <w:rPr>
          <w:rFonts w:ascii="Calibri" w:eastAsia="Calibri" w:hAnsi="Calibri" w:cs="Calibri"/>
          <w:noProof/>
        </w:rPr>
        <w:t>[25]</w:t>
      </w:r>
      <w:r>
        <w:rPr>
          <w:rFonts w:ascii="Calibri" w:eastAsia="Calibri" w:hAnsi="Calibri" w:cs="Calibri"/>
        </w:rPr>
        <w:fldChar w:fldCharType="end"/>
      </w:r>
      <w:r w:rsidRPr="004654D6">
        <w:rPr>
          <w:rFonts w:ascii="Calibri" w:eastAsia="Calibri" w:hAnsi="Calibri" w:cs="Calibri"/>
        </w:rPr>
        <w:t>.</w:t>
      </w:r>
    </w:p>
    <w:p w14:paraId="7F819A46" w14:textId="387EFCCD" w:rsidR="00007F6C" w:rsidRDefault="00007F6C" w:rsidP="00007F6C">
      <w:pPr>
        <w:jc w:val="both"/>
        <w:rPr>
          <w:rFonts w:ascii="Calibri" w:eastAsia="Calibri" w:hAnsi="Calibri" w:cs="Calibri"/>
        </w:rPr>
      </w:pPr>
      <w:r w:rsidRPr="004654D6">
        <w:rPr>
          <w:rFonts w:ascii="Calibri" w:eastAsia="Calibri" w:hAnsi="Calibri" w:cs="Calibri"/>
        </w:rPr>
        <w:t xml:space="preserve">This solution to this problem was proposed in 1970 by a patent from </w:t>
      </w:r>
      <w:proofErr w:type="spellStart"/>
      <w:r w:rsidRPr="004654D6">
        <w:rPr>
          <w:rFonts w:ascii="Calibri" w:eastAsia="Calibri" w:hAnsi="Calibri" w:cs="Calibri"/>
        </w:rPr>
        <w:t>Spacil</w:t>
      </w:r>
      <w:proofErr w:type="spellEnd"/>
      <w:r>
        <w:rPr>
          <w:rFonts w:ascii="Calibri" w:eastAsia="Calibri" w:hAnsi="Calibri" w:cs="Calibri"/>
        </w:rPr>
        <w:t xml:space="preserve"> </w:t>
      </w:r>
      <w:r>
        <w:rPr>
          <w:rFonts w:ascii="Calibri" w:eastAsia="Calibri" w:hAnsi="Calibri" w:cs="Calibri"/>
        </w:rPr>
        <w:fldChar w:fldCharType="begin" w:fldLock="1"/>
      </w:r>
      <w:r w:rsidR="006C586A">
        <w:rPr>
          <w:rFonts w:ascii="Calibri" w:eastAsia="Calibri" w:hAnsi="Calibri" w:cs="Calibri"/>
        </w:rPr>
        <w:instrText>ADDIN CSL_CITATION {"citationItems":[{"id":"ITEM-1","itemData":{"author":[{"dropping-particle":"","family":"Spacil","given":"H S","non-dropping-particle":"","parse-names":false,"suffix":""}],"chapter-number":"US3503809A","editor":[{"dropping-particle":"","family":"Patent","given":"United States","non-dropping-particle":"","parse-names":false,"suffix":""}],"id":"ITEM-1","issued":{"date-parts":[["1970"]]},"page":"1-8","publisher":"General Electric Co ","publisher-place":"USA","title":"Electrical device including nickel-containing stabilized zirconia electrode","type":"patent","volume":"US3503809A"},"uris":["http://www.mendeley.com/documents/?uuid=0a7602e6-3e13-4959-a850-8010bc5116e8"]}],"mendeley":{"formattedCitation":"[96]","plainTextFormattedCitation":"[96]","previouslyFormattedCitation":"[96]"},"properties":{"noteIndex":0},"schema":"https://github.com/citation-style-language/schema/raw/master/csl-citation.json"}</w:instrText>
      </w:r>
      <w:r>
        <w:rPr>
          <w:rFonts w:ascii="Calibri" w:eastAsia="Calibri" w:hAnsi="Calibri" w:cs="Calibri"/>
        </w:rPr>
        <w:fldChar w:fldCharType="separate"/>
      </w:r>
      <w:r w:rsidR="00FF11D6" w:rsidRPr="00FF11D6">
        <w:rPr>
          <w:rFonts w:ascii="Calibri" w:eastAsia="Calibri" w:hAnsi="Calibri" w:cs="Calibri"/>
          <w:noProof/>
        </w:rPr>
        <w:t>[96]</w:t>
      </w:r>
      <w:r>
        <w:rPr>
          <w:rFonts w:ascii="Calibri" w:eastAsia="Calibri" w:hAnsi="Calibri" w:cs="Calibri"/>
        </w:rPr>
        <w:fldChar w:fldCharType="end"/>
      </w:r>
      <w:r>
        <w:rPr>
          <w:rFonts w:ascii="Calibri" w:eastAsia="Calibri" w:hAnsi="Calibri" w:cs="Calibri"/>
        </w:rPr>
        <w:t xml:space="preserve">. </w:t>
      </w:r>
      <w:r w:rsidRPr="004654D6">
        <w:rPr>
          <w:rFonts w:ascii="Calibri" w:eastAsia="Calibri" w:hAnsi="Calibri" w:cs="Calibri"/>
        </w:rPr>
        <w:t>The first SOFC Ni/YSZ cermet was produced by sintering a mixture of ceramic oxide and metal powders together. This combined the mechanical and thermal stability associated with the ceramic with the catalytic activity and electronic conductivity of the metal. Porous Ni/YSZ fuel electrodes exhibit an electronic conductivity of between 10</w:t>
      </w:r>
      <w:r w:rsidRPr="004654D6">
        <w:rPr>
          <w:rFonts w:ascii="Calibri" w:eastAsia="Calibri" w:hAnsi="Calibri" w:cs="Calibri"/>
          <w:vertAlign w:val="superscript"/>
        </w:rPr>
        <w:t>2</w:t>
      </w:r>
      <w:r w:rsidRPr="004654D6">
        <w:rPr>
          <w:rFonts w:ascii="Calibri" w:eastAsia="Calibri" w:hAnsi="Calibri" w:cs="Calibri"/>
        </w:rPr>
        <w:t>-10</w:t>
      </w:r>
      <w:r w:rsidRPr="004654D6">
        <w:rPr>
          <w:rFonts w:ascii="Calibri" w:eastAsia="Calibri" w:hAnsi="Calibri" w:cs="Calibri"/>
          <w:vertAlign w:val="superscript"/>
        </w:rPr>
        <w:t>4</w:t>
      </w:r>
      <w:r w:rsidRPr="004654D6">
        <w:rPr>
          <w:rFonts w:ascii="Calibri" w:eastAsia="Calibri" w:hAnsi="Calibri" w:cs="Calibri"/>
        </w:rPr>
        <w:t xml:space="preserve"> Scm</w:t>
      </w:r>
      <w:r>
        <w:rPr>
          <w:rFonts w:ascii="Calibri" w:eastAsia="Calibri" w:hAnsi="Calibri" w:cs="Calibri"/>
          <w:vertAlign w:val="superscript"/>
        </w:rPr>
        <w:t xml:space="preserve">-1 </w:t>
      </w:r>
      <w:r w:rsidRPr="004654D6">
        <w:rPr>
          <w:rFonts w:ascii="Calibri" w:eastAsia="Calibri" w:hAnsi="Calibri" w:cs="Calibri"/>
        </w:rPr>
        <w:t>which far exceeds the 10</w:t>
      </w:r>
      <w:r w:rsidRPr="004654D6">
        <w:rPr>
          <w:rFonts w:ascii="Calibri" w:eastAsia="Calibri" w:hAnsi="Calibri" w:cs="Calibri"/>
          <w:vertAlign w:val="superscript"/>
        </w:rPr>
        <w:t>2</w:t>
      </w:r>
      <w:r w:rsidRPr="004654D6">
        <w:rPr>
          <w:rFonts w:ascii="Calibri" w:eastAsia="Calibri" w:hAnsi="Calibri" w:cs="Calibri"/>
        </w:rPr>
        <w:t xml:space="preserve"> Scm</w:t>
      </w:r>
      <w:r>
        <w:rPr>
          <w:rFonts w:ascii="Calibri" w:eastAsia="Calibri" w:hAnsi="Calibri" w:cs="Calibri"/>
          <w:vertAlign w:val="superscript"/>
        </w:rPr>
        <w:t>-1</w:t>
      </w:r>
      <w:r w:rsidRPr="004654D6">
        <w:rPr>
          <w:rFonts w:ascii="Calibri" w:eastAsia="Calibri" w:hAnsi="Calibri" w:cs="Calibri"/>
        </w:rPr>
        <w:t>required for an SOFC electrode</w:t>
      </w:r>
      <w:r>
        <w:rPr>
          <w:rFonts w:ascii="Calibri" w:eastAsia="Calibri" w:hAnsi="Calibri" w:cs="Calibri"/>
        </w:rPr>
        <w:t xml:space="preserve"> </w:t>
      </w:r>
      <w:r>
        <w:rPr>
          <w:rFonts w:ascii="Calibri" w:eastAsia="Calibri" w:hAnsi="Calibri" w:cs="Calibri"/>
        </w:rPr>
        <w:fldChar w:fldCharType="begin" w:fldLock="1"/>
      </w:r>
      <w:r>
        <w:rPr>
          <w:rFonts w:ascii="Calibri" w:eastAsia="Calibri" w:hAnsi="Calibri" w:cs="Calibri"/>
        </w:rPr>
        <w:instrText>ADDIN CSL_CITATION {"citationItems":[{"id":"ITEM-1","itemData":{"DOI":"10.1016/j.pmatsci.2015.01.001","ISBN":"0079-6425","ISSN":"00796425","PMID":"25653388","abstract":"Solid oxide fuel cells (SOFC) have emerged as energy conversion devices in achieving high efficiency of over 70% with regeneration. The critical components of SOFC include anode, electrolyte, and cathode. However, for a stack of individual SOFCs, the evaluation of sealants and interconnects are also essential. In this review article, material selection, fundamentals of operation and underlying mechanisms, processing, microstructural and phase characterization, and the functionality and performance of individual SOFC components are presented in detail. The major challenges and complexity in functional section of SOFC include: (i) poisoning via sulfur and coke deposition, surface diffusion of adsorbate, and charge transfer at triple-phase boundary (TPB) in anode, (ii) hindered O&lt;sup&gt;2-&lt;/sup&gt; migration that converts chemical energy into electrical energy in the solid electrolyte (thus, the creation of ion transfer channels, ease of O&lt;sup&gt;2-&lt;/sup&gt; migration, dissociation of vacancy around dopants, straining of lattice, and other factors such as control of phase and its distribution, grain and grain boundary conductivity, become critical in designing the electrolytes for SOFCs), (iii) multiple rate determining factors such as geometry of active surfaces, and existence of overpotential, in cathode (thereby, comprehensive electrochemical impedance spectroscopy is required for the analysis of solid cathodes in SOFC), (iv) chemical incompatibility and instability in both oxidizing and reducing environments while matching the coefficient of thermal expansion (CTE) in the interconnects in order to sustain large number of thermal cycling during the operation of SOFC, and (v) isolation of the fuel and oxidizing gases while matching the CTE of the anode, cathode and interconnects, using sealant. Moreover, the glass-transition of sealant dictates the maximum allowable working temperature of SOFC. Thus, the necessitated temporal progress in material selection along with a detailed insight into the conceptual role of thermodynamics and kinetics of surface/cell reactions, effect of phases and microstructure on conductivity, fuel flexibility and deterioration in performance of individual fuel cell components, and evolution of new materials are coherently presented. This article provides a comprehensive review with respect to the structure, chemistry, design and selection of materials, underlying mechanisms, and performance of each SOFC component, and it opens up the futur…","author":[{"dropping-particle":"","family":"Mahato","given":"Neelima","non-dropping-particle":"","parse-names":false,"suffix":""},{"dropping-particle":"","family":"Banerjee","given":"Amitava","non-dropping-particle":"","parse-names":false,"suffix":""},{"dropping-particle":"","family":"Gupta","given":"Alka","non-dropping-particle":"","parse-names":false,"suffix":""},{"dropping-particle":"","family":"Omar","given":"Shobit","non-dropping-particle":"","parse-names":false,"suffix":""},{"dropping-particle":"","family":"Balani","given":"Kantesh","non-dropping-particle":"","parse-names":false,"suffix":""}],"container-title":"Progress in Materials Science","id":"ITEM-1","issued":{"date-parts":[["2015"]]},"page":"141-337","title":"Progress in material selection for solid oxide fuel cell technology: A review","type":"article-journal","volume":"72"},"uris":["http://www.mendeley.com/documents/?uuid=64bcccbb-1f4d-426c-8c8c-3479994e7afd"]}],"mendeley":{"formattedCitation":"[25]","plainTextFormattedCitation":"[25]","previouslyFormattedCitation":"[25]"},"properties":{"noteIndex":0},"schema":"https://github.com/citation-style-language/schema/raw/master/csl-citation.json"}</w:instrText>
      </w:r>
      <w:r>
        <w:rPr>
          <w:rFonts w:ascii="Calibri" w:eastAsia="Calibri" w:hAnsi="Calibri" w:cs="Calibri"/>
        </w:rPr>
        <w:fldChar w:fldCharType="separate"/>
      </w:r>
      <w:r w:rsidRPr="00375DF8">
        <w:rPr>
          <w:rFonts w:ascii="Calibri" w:eastAsia="Calibri" w:hAnsi="Calibri" w:cs="Calibri"/>
          <w:noProof/>
        </w:rPr>
        <w:t>[25]</w:t>
      </w:r>
      <w:r>
        <w:rPr>
          <w:rFonts w:ascii="Calibri" w:eastAsia="Calibri" w:hAnsi="Calibri" w:cs="Calibri"/>
        </w:rPr>
        <w:fldChar w:fldCharType="end"/>
      </w:r>
    </w:p>
    <w:p w14:paraId="2A0875DA" w14:textId="10BDE379" w:rsidR="00007F6C" w:rsidRPr="004654D6" w:rsidRDefault="00007F6C" w:rsidP="00007F6C">
      <w:pPr>
        <w:pStyle w:val="Heading3"/>
      </w:pPr>
      <w:bookmarkStart w:id="43" w:name="_Toc69129356"/>
      <w:r w:rsidRPr="004654D6">
        <w:t>1.</w:t>
      </w:r>
      <w:r>
        <w:t>5</w:t>
      </w:r>
      <w:r w:rsidRPr="004654D6">
        <w:t>.3</w:t>
      </w:r>
      <w:r w:rsidRPr="004654D6">
        <w:tab/>
        <w:t xml:space="preserve">Barriers to SOFC </w:t>
      </w:r>
      <w:r w:rsidR="004A7D26">
        <w:t>C</w:t>
      </w:r>
      <w:r w:rsidRPr="004654D6">
        <w:t>ommercialisation</w:t>
      </w:r>
      <w:bookmarkEnd w:id="43"/>
    </w:p>
    <w:p w14:paraId="219E00F1" w14:textId="08F35E73" w:rsidR="00007F6C" w:rsidRDefault="00007F6C" w:rsidP="00007F6C">
      <w:pPr>
        <w:jc w:val="both"/>
      </w:pPr>
      <w:r w:rsidRPr="004654D6">
        <w:t>With solid oxide cell design moving towards anode-supported designs, the sintering of electro-catalysts in both cermet and infiltrated fuel electrodes is a major degradation mechanism in SOFCs. In wet-impregnated systems, the active area of the catalyst is higher than that of cermet systems leading to high power densities. However, the issue of electro-catalyst sintering is more keenly felt in wet-impregnated systems as the infiltrated media reduces surface interfacial energy by coarsening. Degradation rates per 1000</w:t>
      </w:r>
      <w:r>
        <w:t xml:space="preserve"> </w:t>
      </w:r>
      <w:r w:rsidRPr="004654D6">
        <w:t>h cycled of SOFCs utilising infiltrated electrodes are rarely published. The degradation problems associated with infiltrated electrodes manifest themselves so acutely that none of these electrodes can meet degradation &lt;1</w:t>
      </w:r>
      <w:r>
        <w:t xml:space="preserve"> </w:t>
      </w:r>
      <w:r w:rsidRPr="004654D6">
        <w:t>%/1000</w:t>
      </w:r>
      <w:r>
        <w:t xml:space="preserve"> </w:t>
      </w:r>
      <w:r w:rsidRPr="004654D6">
        <w:t>h rate target</w:t>
      </w:r>
      <w:r>
        <w:t xml:space="preserve"> </w:t>
      </w:r>
      <w:r>
        <w:fldChar w:fldCharType="begin" w:fldLock="1"/>
      </w:r>
      <w:r w:rsidR="006C586A">
        <w:instrText>ADDIN CSL_CITATION {"citationItems":[{"id":"ITEM-1","itemData":{"DOI":"10.1016/S0167-2738(01)00969-9","ISSN":"01672738","abstract":"A bent nickel wire was pressed against a yttria-stabilised zirconia (YSZ) surface, creating a small contact area. The Ni/YSZ interface was investigated and characteristic microstructures were found to develop during 200-300 h heat treatment at 1000°C in 97% H2/3% H2O with and without polarisation. A ridge of impurities up to 1.6 μm high was seen to develop along the Ni/YSZ/H2 boundary. The impurity phase can be characterised as an alkali silicate phase containing Mn, Na, Ti, Mg, K, Al and Si. Most of these elements seem to be coming from impurities in the nickel. The initially flat contact area on the YSZ developed a hill and valley structure with an amplitude of 100 nm. The nickel wires showed negative imprints of the YSZ structures. © 2001 Elsevier Science B.V. All rights reserved.","author":[{"dropping-particle":"","family":"Vels Jensen","given":"K.","non-dropping-particle":"","parse-names":false,"suffix":""},{"dropping-particle":"","family":"Primdahl","given":"S.","non-dropping-particle":"","parse-names":false,"suffix":""},{"dropping-particle":"","family":"Chorkendorff","given":"I.","non-dropping-particle":"","parse-names":false,"suffix":""},{"dropping-particle":"","family":"Mogensen","given":"M.","non-dropping-particle":"","parse-names":false,"suffix":""}],"container-title":"Solid State Ionics","id":"ITEM-1","issue":"3-4","issued":{"date-parts":[["2001"]]},"page":"197-209","title":"Microstructural and chemical changes at the Ni/YSZ interface","type":"article-journal","volume":"144"},"uris":["http://www.mendeley.com/documents/?uuid=73d73995-3e15-4f3f-8c70-d7eb1b91a550"]},{"id":"ITEM-2","itemData":{"DOI":"10.1016/S0167-2738(02)00373-9","ISBN":"0167-2738","ISSN":"01672738","abstract":"We have investigated the electrochemical properties of two types of reduced-temperature solid oxide fuel cells (SOFCs) in which the mixed ionic-electronic conductors are used to improve their performances. Electrolyte-supported cells, in which doped LaGaO3 strengthened by Al2O3 dispersion is used as the electrolyte, were prepared and tested. Samaria-doped ceria (SDC) interlayers of 0.3-μm thickness were fired onto both surfaces of the electrolyte of 0.2-mm thickness at 1523 K, before firing the Ni-Sm0.1Ce0.9O1.95-(CeO2)0.1[(Y2O3)0.08(ZrO2)0.92]0.9 (Ni-SDC-CeYSZ) (10 mol% ceria-doped yttria-stabilized zirconia [YSZ]) cermet anode at 1723 K and La0.7Sr0.3Co0.2Fe0.8O3-Sm 0.2Ce0.8O1.9 (LSCF-SDC) composite cathode at 1373 K. The cells have a nominal size of 60 × 60 mm2 with an effective electrode area of 4 cm2. The single cell thus prepared showed a high power density of 0.67 W cm-2 at 1073 K and long-term stability during the operation time of 1000 h. Anode-supported cells with a thin YSZ electrolyte film approximately 30 μm thick were also prepared by co-sintering of screen-printed YSZ paste on a compacted anode substrate. The cells have a nominal size of 50 × 50 mm2 with an effective electrode area of 4 cm2. The single cell with the LSCF-SDC composite cathode having SDC interlayer showed the maximum power density of 0.648 W cm-2 at 1023 K. The bilayer cathode also showed high resistance against degradation by Cr-poisoning. © 2002 Elsevier Science B.V. All rights reserved.","author":[{"dropping-particle":"","family":"Matsuzaki","given":"Yoshio","non-dropping-particle":"","parse-names":false,"suffix":""},{"dropping-particle":"","family":"Yasuda","given":"Isamu","non-dropping-particle":"","parse-names":false,"suffix":""}],"container-title":"Solid State Ionics","id":"ITEM-2","issued":{"date-parts":[["2002"]]},"page":"463-468","title":"Electrochemical properties of reduced-temperature SOFCs with mixed ionic-electronic conductors in electrodes and/or interlayers","type":"article-journal","volume":"152-153"},"uris":["http://www.mendeley.com/documents/?uuid=21d230fb-98a4-4a35-87e7-a30b06dfcbc7"]}],"mendeley":{"formattedCitation":"[59], [97]","plainTextFormattedCitation":"[59], [97]","previouslyFormattedCitation":"[59], [97]"},"properties":{"noteIndex":0},"schema":"https://github.com/citation-style-language/schema/raw/master/csl-citation.json"}</w:instrText>
      </w:r>
      <w:r>
        <w:fldChar w:fldCharType="separate"/>
      </w:r>
      <w:r w:rsidR="00FF11D6" w:rsidRPr="00FF11D6">
        <w:rPr>
          <w:noProof/>
        </w:rPr>
        <w:t>[59], [97]</w:t>
      </w:r>
      <w:r>
        <w:fldChar w:fldCharType="end"/>
      </w:r>
      <w:r>
        <w:t>.</w:t>
      </w:r>
    </w:p>
    <w:p w14:paraId="4596E1BC" w14:textId="6096CBCA" w:rsidR="00007F6C" w:rsidRPr="004654D6" w:rsidRDefault="00007F6C" w:rsidP="00007F6C">
      <w:pPr>
        <w:jc w:val="both"/>
      </w:pPr>
      <w:r w:rsidRPr="004654D6">
        <w:t>Degradation issues such as this combine with expensive manufacturing, maintenance, and operating costs. Anode manufacture alone can cost between £113-225</w:t>
      </w:r>
      <w:r>
        <w:t>,</w:t>
      </w:r>
      <w:r w:rsidRPr="004654D6">
        <w:t xml:space="preserve"> depending </w:t>
      </w:r>
      <w:r>
        <w:t xml:space="preserve">whether the manufacturing is based on nitrate decomposition or co-sintering ceramic powders </w:t>
      </w:r>
      <w:r>
        <w:fldChar w:fldCharType="begin" w:fldLock="1"/>
      </w:r>
      <w:r w:rsidR="006C586A">
        <w:instrText>ADDIN CSL_CITATION {"citationItems":[{"id":"ITEM-1","itemData":{"DOI":"10.1016/j.rser.2015.05.069","ISSN":"18790690","abstract":"Solid-oxide fuel cells (SOFCs) are the most widely used fuel cells because they exhibit flexibility, power generation efficiency, and low pollution formation. Research on SOFC anodes is a major and challenging task in the field of SOFCs. This review highlights the anode materials that may be used for SOFC applications. The use of cermet-based oxide materials as anodes for SOFCs is also discussed in detail. A literature survey conducted over the last 10 years shows that increased power generation efficiency may be attributed to anode materials used in such cells. Oxide-based anode materials with perovskite and several oxides with cubic fluorite structures are further described. Based on the review conducted, we find that cubic fluorite-structured compounds are the most promising anode materials reported thus far. Analyses of the structure and electrical performance of anode materials show as well that copper-gadolinium-doped cerium oxide (Cu-GDC) cubic fluorite-structured anodes exhibit higher electronic conductivity potential than yttria-stabilized zirconia-based anode materials.","author":[{"dropping-particle":"","family":"Shaikh","given":"Shabana P.S.","non-dropping-particle":"","parse-names":false,"suffix":""},{"dropping-particle":"","family":"Muchtar","given":"Andanastuti","non-dropping-particle":"","parse-names":false,"suffix":""},{"dropping-particle":"","family":"Somalu","given":"Mahendra R.","non-dropping-particle":"","parse-names":false,"suffix":""}],"container-title":"Renewable and Sustainable Energy Reviews","id":"ITEM-1","issued":{"date-parts":[["2015"]]},"page":"1-8","publisher":"Elsevier","title":"A review on the selection of anode materials for solid-oxide fuel cells","type":"article-journal","volume":"51"},"uris":["http://www.mendeley.com/documents/?uuid=f2fa03f9-956c-4e00-b280-d2ce086c07c5"]},{"id":"ITEM-2","itemData":{"DOI":"10.1016/j.ijhydene.2012.01.085","ISBN":"03603199","ISSN":"03603199","abstract":"The present work is focused on the comparative analysis of electrochemical and structural properties of anode materials for solid oxide fuel cells (SOFCs) and the influence of factors affected on electrode performance. The Cu 0.5Ce0.5O2-δ was prepared by Citrate-Nitrate route (CNP) and its formation is confirmed by XRD. The crystallite size of anode materials decreases with change of synthesis route. The highest conductivity is found to be 3.7 × 10-2 and 5.2 × 10-2 S cm-2 at 660 °C before and after reduction for CNP with suitable mechanical strength. The electrochemical performance of anode/electrolyte/anode interface of Cu0.5Ce 0.5O2-δ is studied after reduction in presence of gas mixture (10%H2 + 90%N2) using electrochemical impedance spectroscopy. The conductivity for the Cell-800 prepared by CNP in presence of gas (10%H2 + 90%N2) shows lowest activation energy 1.28 eV. Thus, CNP is most promising method for obtaining the suitable anode material for the application of SOFC than Urea-Nitrate Process (UNP) and Glycine-Nitrate Process (GNP). Copyright © 2012, Hydrogen Energy Publications, LLC. Published by Elsevier Ltd. All rights.","author":[{"dropping-particle":"","family":"Shaikh","given":"S. P.S.","non-dropping-particle":"","parse-names":false,"suffix":""},{"dropping-particle":"V.","family":"Moharil","given":"S.","non-dropping-particle":"","parse-names":false,"suffix":""},{"dropping-particle":"","family":"Nagrare","given":"B. S.","non-dropping-particle":"","parse-names":false,"suffix":""}],"chapter-number":"6853","container-title":"International Journal of Hydrogen Energy","id":"ITEM-2","issue":"8","issued":{"date-parts":[["2012"]]},"page":"6853-6861","title":"A comparative study of copper-cermet anode material synthesized by different technique","type":"article-journal","volume":"37"},"uris":["http://www.mendeley.com/documents/?uuid=ea715930-36c9-4b59-afa1-c44e819c27a7"]}],"mendeley":{"formattedCitation":"[55], [98]","plainTextFormattedCitation":"[55], [98]","previouslyFormattedCitation":"[55], [98]"},"properties":{"noteIndex":0},"schema":"https://github.com/citation-style-language/schema/raw/master/csl-citation.json"}</w:instrText>
      </w:r>
      <w:r>
        <w:fldChar w:fldCharType="separate"/>
      </w:r>
      <w:r w:rsidR="00FF11D6" w:rsidRPr="00FF11D6">
        <w:rPr>
          <w:noProof/>
        </w:rPr>
        <w:t>[55], [98]</w:t>
      </w:r>
      <w:r>
        <w:fldChar w:fldCharType="end"/>
      </w:r>
      <w:r>
        <w:t xml:space="preserve">. </w:t>
      </w:r>
      <w:r w:rsidRPr="004654D6">
        <w:t>According to one parametric study on Japanese SOFCs, a cost per watt of electricity is £3.84 to break-even</w:t>
      </w:r>
      <w:r>
        <w:t xml:space="preserve"> </w:t>
      </w:r>
      <w:r>
        <w:fldChar w:fldCharType="begin" w:fldLock="1"/>
      </w:r>
      <w:r w:rsidR="006C586A">
        <w:instrText>ADDIN CSL_CITATION {"citationItems":[{"id":"ITEM-1","itemData":{"DOI":"10.1016/j.ijhydene.2013.08.110","ISBN":"03603199","author":[{"dropping-particle":"","family":"Otomo","given":"Junichiro","non-dropping-particle":"","parse-names":false,"suffix":""},{"dropping-particle":"","family":"Oishi","given":"Junya","non-dropping-particle":"","parse-names":false,"suffix":""},{"dropping-particle":"","family":"Mitsumori","given":"Teruo","non-dropping-particle":"","parse-names":false,"suffix":""},{"dropping-particle":"","family":"Iwasaki","given":"Hiroshi","non-dropping-particle":"","parse-names":false,"suffix":""},{"dropping-particle":"","family":"Yamada","given":"Koichi","non-dropping-particle":"","parse-names":false,"suffix":""}],"chapter-number":"14337","container-title":"International Journal of Hydrogen Energy","id":"ITEM-1","issue":"33","issued":{"date-parts":[["2013"]]},"page":"14337-14347","title":"Evaluation of cost reduction potential for 1 kW class SOFC stack production: Implications for SOFC technology scenario","type":"article-journal","volume":"38"},"uris":["http://www.mendeley.com/documents/?uuid=bee2cc30-4999-4d62-9fd7-27f96891bd7e"]}],"mendeley":{"formattedCitation":"[99]","plainTextFormattedCitation":"[99]","previouslyFormattedCitation":"[99]"},"properties":{"noteIndex":0},"schema":"https://github.com/citation-style-language/schema/raw/master/csl-citation.json"}</w:instrText>
      </w:r>
      <w:r>
        <w:fldChar w:fldCharType="separate"/>
      </w:r>
      <w:r w:rsidR="00FF11D6" w:rsidRPr="00FF11D6">
        <w:rPr>
          <w:noProof/>
        </w:rPr>
        <w:t>[99]</w:t>
      </w:r>
      <w:r>
        <w:fldChar w:fldCharType="end"/>
      </w:r>
      <w:r>
        <w:t xml:space="preserve">. </w:t>
      </w:r>
      <w:r w:rsidRPr="004654D6">
        <w:t xml:space="preserve">This </w:t>
      </w:r>
      <w:r>
        <w:t>requires</w:t>
      </w:r>
      <w:r w:rsidRPr="004654D6">
        <w:t xml:space="preserve"> that the 5-10</w:t>
      </w:r>
      <w:r>
        <w:t xml:space="preserve"> </w:t>
      </w:r>
      <w:r w:rsidRPr="004654D6">
        <w:t>kW SOFCs involved had an operating lifetime of greater than 80,000</w:t>
      </w:r>
      <w:r>
        <w:t xml:space="preserve"> </w:t>
      </w:r>
      <w:r w:rsidRPr="004654D6">
        <w:t xml:space="preserve">h. </w:t>
      </w:r>
    </w:p>
    <w:p w14:paraId="485ECE60" w14:textId="77777777" w:rsidR="00007F6C" w:rsidRDefault="00007F6C" w:rsidP="00007F6C">
      <w:pPr>
        <w:jc w:val="both"/>
      </w:pPr>
      <w:r w:rsidRPr="004654D6">
        <w:t>Scaling up SOFC unit production volume has been underlined as one of the key metrics to reducing the manufacturing costs associated with these units. Mass production of 1-10</w:t>
      </w:r>
      <w:r>
        <w:t xml:space="preserve"> </w:t>
      </w:r>
      <w:r w:rsidRPr="004654D6">
        <w:t xml:space="preserve">kW systems is a landmark for the SOFC industry however, this can only be achievable once such systems can operate for a minimum of </w:t>
      </w:r>
      <w:r>
        <w:t>4</w:t>
      </w:r>
      <w:r w:rsidRPr="004654D6">
        <w:t xml:space="preserve"> years</w:t>
      </w:r>
      <w:r>
        <w:t xml:space="preserve"> </w:t>
      </w:r>
      <w:r>
        <w:fldChar w:fldCharType="begin" w:fldLock="1"/>
      </w:r>
      <w:r>
        <w:instrText>ADDIN CSL_CITATION {"citationItems":[{"id":"ITEM-1","itemData":{"DOI":"10.1039/c1ee02445k","ISSN":"17545692","abstract":"The 2012 Department of Energy (DOE) budget request significantly reduces fuel cell RD&amp;D funding and would cease to support the Solid State Energy Conversion Alliance (SECA), DOE's solid oxide fuel cell (SOFC) program. This would be a grave mistake considering the US's historic dominance in fuel cell RD&amp;D, exciting recent technological advancements in fuel cells, and clear positive market signals around the globe. In this paper we discuss DOE's energy RD&amp;D policy, how SOFCs address every key DOE strategy, and why recent advances should make SOFCs an integral part of our energy RD&amp;D policy. Moreover, we compare the prospects of low temperature SOFCs with the more common proton exchange membrane fuel cell (PEMFC) in the absence of a hydrogen infrastructure. © The Royal Society of Chemistry 2012.","author":[{"dropping-particle":"","family":"Wachsman","given":"Eric D.","non-dropping-particle":"","parse-names":false,"suffix":""},{"dropping-particle":"","family":"Marlowe","given":"Craig A.","non-dropping-particle":"","parse-names":false,"suffix":""},{"dropping-particle":"","family":"Lee","given":"Kang Taek","non-dropping-particle":"","parse-names":false,"suffix":""}],"container-title":"Energy and Environmental Science","id":"ITEM-1","issue":"2","issued":{"date-parts":[["2012"]]},"page":"5498-5509","title":"Role of solid oxide fuel cells in a balanced energy strategy","type":"article-journal","volume":"5"},"uris":["http://www.mendeley.com/documents/?uuid=4cb63338-bf7a-47f2-a752-19de48ac0023"]},{"id":"ITEM-2","itemData":{"author":[{"dropping-particle":"","family":"Thijssen","given":"J","non-dropping-particle":"","parse-names":false,"suffix":""}],"editor":[{"dropping-particle":"","family":"Energy","given":"U S Department of","non-dropping-particle":"","parse-names":false,"suffix":""}],"id":"ITEM-2","issued":{"date-parts":[["2007"]]},"page":"3-70","publisher":"US Department of Energy","publisher-place":"DoE ","title":"The impact of scale-up and production volume on SOFC manufacturing cost","type":"article"},"uris":["http://www.mendeley.com/documents/?uuid=880572c5-525c-4f6f-a991-f466396cf0eb"]},{"id":"ITEM-3","itemData":{"author":[{"dropping-particle":"","family":"NREL","given":"","non-dropping-particle":"","parse-names":false,"suffix":""}],"edition":"1st","editor":[{"dropping-particle":"","family":"Energy","given":"U S Department of","non-dropping-particle":"","parse-names":false,"suffix":""}],"id":"ITEM-3","issue":"NREL/BK-6A10-48265","issued":{"date-parts":[["2010"]]},"number-of-pages":"1-40","publisher-place":"US Department of Energy","title":"1–10 kW Stationary Combined Heat and Power Systems Status and Technical Potential . Independent Review Published for the U.S. Department of Energy Hydrogen and Fuel Cells Program","type":"report"},"uris":["http://www.mendeley.com/documents/?uuid=629c05b3-f2a4-426f-b4cb-c1dd08720611"]}],"mendeley":{"formattedCitation":"[3], [30], [73]","plainTextFormattedCitation":"[3], [30], [73]","previouslyFormattedCitation":"[3], [30], [73]"},"properties":{"noteIndex":0},"schema":"https://github.com/citation-style-language/schema/raw/master/csl-citation.json"}</w:instrText>
      </w:r>
      <w:r>
        <w:fldChar w:fldCharType="separate"/>
      </w:r>
      <w:r w:rsidRPr="00FD168C">
        <w:rPr>
          <w:noProof/>
        </w:rPr>
        <w:t>[3], [30], [73]</w:t>
      </w:r>
      <w:r>
        <w:fldChar w:fldCharType="end"/>
      </w:r>
      <w:r w:rsidRPr="004654D6">
        <w:t xml:space="preserve">. </w:t>
      </w:r>
    </w:p>
    <w:p w14:paraId="782013FC" w14:textId="337394ED" w:rsidR="00007F6C" w:rsidRPr="00DD5847" w:rsidRDefault="00007F6C" w:rsidP="00007F6C">
      <w:pPr>
        <w:pStyle w:val="Heading2"/>
      </w:pPr>
      <w:bookmarkStart w:id="44" w:name="_Toc69129357"/>
      <w:r w:rsidRPr="00DD5847">
        <w:t>1.</w:t>
      </w:r>
      <w:r>
        <w:t>6</w:t>
      </w:r>
      <w:r w:rsidRPr="00DD5847">
        <w:tab/>
        <w:t xml:space="preserve">Materials </w:t>
      </w:r>
      <w:r w:rsidR="000B4EF6">
        <w:t>C</w:t>
      </w:r>
      <w:r w:rsidRPr="00DD5847">
        <w:t>hallenges for Solid Oxide Fuel Cells</w:t>
      </w:r>
      <w:bookmarkEnd w:id="44"/>
    </w:p>
    <w:p w14:paraId="01ABA5F5" w14:textId="347923A4" w:rsidR="00007F6C" w:rsidRPr="004654D6" w:rsidRDefault="00007F6C" w:rsidP="00007F6C">
      <w:pPr>
        <w:jc w:val="both"/>
      </w:pPr>
      <w:r w:rsidRPr="004654D6">
        <w:t>SOFCs offer the highest energy efficiency of all the fuel cell types. Their high operating temperatures (800-1000</w:t>
      </w:r>
      <w:r w:rsidR="000F1BEE">
        <w:t xml:space="preserve"> </w:t>
      </w:r>
      <w:r w:rsidRPr="004654D6">
        <w:rPr>
          <w:rFonts w:ascii="Times New Roman" w:hAnsi="Times New Roman" w:cs="Times New Roman"/>
        </w:rPr>
        <w:t>°</w:t>
      </w:r>
      <w:r w:rsidRPr="004654D6">
        <w:t>C) are key as they promote fast reaction kinetics. For SOFCs to breach the mainstream electricity production market as a viable method, two major issues must be solved:</w:t>
      </w:r>
    </w:p>
    <w:p w14:paraId="310A61C6" w14:textId="1055B453" w:rsidR="00007F6C" w:rsidRPr="004654D6" w:rsidRDefault="00007F6C" w:rsidP="00007F6C">
      <w:pPr>
        <w:jc w:val="both"/>
      </w:pPr>
      <w:r w:rsidRPr="004654D6">
        <w:t xml:space="preserve">Firstly, SOFCs overcome their thermal degradation issues at high temperatures. This will enable SOFCs to fulfil the </w:t>
      </w:r>
      <w:proofErr w:type="gramStart"/>
      <w:r w:rsidRPr="004654D6">
        <w:t>4-5</w:t>
      </w:r>
      <w:r w:rsidR="008A467B">
        <w:t xml:space="preserve"> </w:t>
      </w:r>
      <w:r>
        <w:t>year</w:t>
      </w:r>
      <w:proofErr w:type="gramEnd"/>
      <w:r w:rsidRPr="004654D6">
        <w:t xml:space="preserve"> operating times set by industry. And secondly, SOFCs need to reduce the costs associated with these stability issues</w:t>
      </w:r>
      <w:r>
        <w:t xml:space="preserve"> by increasing their power density </w:t>
      </w:r>
      <w:r>
        <w:fldChar w:fldCharType="begin" w:fldLock="1"/>
      </w:r>
      <w:r w:rsidR="006C586A">
        <w:instrText xml:space="preserve">ADDIN CSL_CITATION {"citationItems":[{"id":"ITEM-1","itemData":{"DOI":"10.1039/c1ee02445k","ISSN":"17545692","abstract":"The 2012 Department of Energy (DOE) budget request significantly reduces fuel cell RD&amp;D funding and would cease to support the Solid State Energy Conversion Alliance (SECA), DOE's solid oxide fuel cell (SOFC) program. This would be a grave mistake considering the US's historic dominance in fuel cell RD&amp;D, exciting recent technological advancements in fuel cells, and clear positive market signals around the globe. In this paper we discuss DOE's energy RD&amp;D policy, how SOFCs address every key DOE strategy, and why recent advances should make SOFCs an integral part of our energy RD&amp;D policy. Moreover, we compare the prospects of low temperature SOFCs with the more common proton exchange membrane fuel cell (PEMFC) in the absence of a hydrogen infrastructure. © The Royal Society of Chemistry 2012.","author":[{"dropping-particle":"","family":"Wachsman","given":"Eric D.","non-dropping-particle":"","parse-names":false,"suffix":""},{"dropping-particle":"","family":"Marlowe","given":"Craig A.","non-dropping-particle":"","parse-names":false,"suffix":""},{"dropping-particle":"","family":"Lee","given":"Kang Taek","non-dropping-particle":"","parse-names":false,"suffix":""}],"container-title":"Energy and Environmental Science","id":"ITEM-1","issue":"2","issued":{"date-parts":[["2012"]]},"page":"5498-5509","title":"Role of solid oxide fuel cells in a balanced energy strategy","type":"article-journal","volume":"5"},"uris":["http://www.mendeley.com/documents/?uuid=4cb63338-bf7a-47f2-a752-19de48ac0023"]},{"id":"ITEM-2","itemData":{"DOI":"10.1039/c5ee03858h","ISBN":"1754-5692","ISSN":"17545706","abstract":"This article provides a perspective review of low-temperature solid oxide fuel cells research and development.This article provides a perspective on solid oxide fuel cells operating at low temperature, defined here to be the range from </w:instrText>
      </w:r>
      <w:r w:rsidR="006C586A">
        <w:rPr>
          <w:rFonts w:ascii="Cambria Math" w:hAnsi="Cambria Math" w:cs="Cambria Math"/>
        </w:rPr>
        <w:instrText>∼</w:instrText>
      </w:r>
      <w:r w:rsidR="006C586A">
        <w:instrText xml:space="preserve">400 </w:instrText>
      </w:r>
      <w:r w:rsidR="006C586A">
        <w:rPr>
          <w:rFonts w:ascii="Calibri" w:hAnsi="Calibri" w:cs="Calibri"/>
        </w:rPr>
        <w:instrText>°</w:instrText>
      </w:r>
      <w:r w:rsidR="006C586A">
        <w:instrText xml:space="preserve">C to 650 </w:instrText>
      </w:r>
      <w:r w:rsidR="006C586A">
        <w:rPr>
          <w:rFonts w:ascii="Calibri" w:hAnsi="Calibri" w:cs="Calibri"/>
        </w:rPr>
        <w:instrText>°</w:instrText>
      </w:r>
      <w:r w:rsidR="006C586A">
        <w:instrText xml:space="preserve">C. These low-temperature solid oxide fuel cells (LT-SOFCs) have seen considerable research and development and are widely viewed as the </w:instrText>
      </w:r>
      <w:r w:rsidR="006C586A">
        <w:rPr>
          <w:rFonts w:ascii="Calibri" w:hAnsi="Calibri" w:cs="Calibri"/>
        </w:rPr>
        <w:instrText>“</w:instrText>
      </w:r>
      <w:r w:rsidR="006C586A">
        <w:instrText>next generation” technology, following the 650–850 °C SOFCs that are currently undergoing commercialization. LT-SOFCs have potential advantages for conventional SOFC applications such as stationary power generation, and may be viable for new portable and transportation power applications, along with electrolytic fuel production and energy storage. The characteristics of electrolyte and electrode materials are reviewed, with a focus on materials that have demonstrated good properties and cell performance at low temperature. Only oxygen-ion-conducting electrolytes are considered here. Anode materials are discussed, primarily the various Ni–cermet anode compositions that yield good low-temperature performance. Mixed ionically and electronically conducting cathode materials are described in detail, reflecting the extensive research activity that has aimed at providing useful oxygen reduction kinetics at low operating temperature. Cell design, materials compatibility, processing methods, and resulting microstructures are discussed, along with their role in determining cell performance. Results from state of the art LT-SOFCs are presented, and future prospects are discussed.","author":[{"dropping-particle":"","family":"Gao","given":"Zhan","non-dropping-particle":"","parse-names":false,"suffix":""},{"dropping-particle":"V.","family":"Mogni","given":"Liliana","non-dropping-particle":"","parse-names":false,"suffix":""},{"dropping-particle":"","family":"Miller","given":"Elizabeth C.","non-dropping-particle":"","parse-names":false,"suffix":""},{"dropping-particle":"","family":"Railsback","given":"Justin G.","non-dropping-particle":"","parse-names":false,"suffix":""},{"dropping-particle":"","family":"Barnett","given":"Scott A.","non-dropping-particle":"","parse-names":false,"suffix":""}],"container-title":"Energy and Environmental Science","id":"ITEM-2","issue":"5","issued":{"date-parts":[["2016"]]},"language":"English","note":"Dl5tj\nTimes Cited:5\nCited References Count:505","page":"1602-1644","title":"A perspective on low-temperature solid oxide fuel cells","type":"article-journal","volume":"9"},"uris":["http://www.mendeley.com/documents/?uuid=ebe18e5a-0207-4340-a107-37bc019ae173"]}],"mendeley":{"formattedCitation":"[3], [100]","plainTextFormattedCitation":"[3], [100]","previouslyFormattedCitation":"[3], [100]"},"properties":{"noteIndex":0},"schema":"https://github.com/citation-style-language/schema/raw/master/csl-citation.json"}</w:instrText>
      </w:r>
      <w:r>
        <w:fldChar w:fldCharType="separate"/>
      </w:r>
      <w:r w:rsidR="00FF11D6" w:rsidRPr="00FF11D6">
        <w:rPr>
          <w:noProof/>
        </w:rPr>
        <w:t>[3], [100]</w:t>
      </w:r>
      <w:r>
        <w:fldChar w:fldCharType="end"/>
      </w:r>
      <w:r>
        <w:t>.</w:t>
      </w:r>
    </w:p>
    <w:p w14:paraId="7655C47E" w14:textId="77777777" w:rsidR="00007F6C" w:rsidRDefault="00007F6C" w:rsidP="00007F6C">
      <w:pPr>
        <w:jc w:val="both"/>
      </w:pPr>
      <w:r w:rsidRPr="004654D6">
        <w:t>Various iterations have been made to SOFC design to either improve durability (% per thousand hours cycling) or increase power output (mW</w:t>
      </w:r>
      <w:r w:rsidRPr="00F50914">
        <w:t>cm</w:t>
      </w:r>
      <w:r>
        <w:rPr>
          <w:vertAlign w:val="superscript"/>
        </w:rPr>
        <w:t>-</w:t>
      </w:r>
      <w:r w:rsidRPr="00F50914">
        <w:rPr>
          <w:vertAlign w:val="superscript"/>
        </w:rPr>
        <w:t>2</w:t>
      </w:r>
      <w:r w:rsidRPr="004654D6">
        <w:t xml:space="preserve">). The major materials properties are discussed in </w:t>
      </w:r>
      <w:r>
        <w:t>Chapter 2.</w:t>
      </w:r>
    </w:p>
    <w:p w14:paraId="53600544" w14:textId="3AB807B2" w:rsidR="00007F6C" w:rsidRDefault="004A7D26" w:rsidP="00007F6C">
      <w:pPr>
        <w:jc w:val="both"/>
      </w:pPr>
      <w:r>
        <w:t xml:space="preserve">For SOFCs to be </w:t>
      </w:r>
      <w:r w:rsidR="00DE5B58">
        <w:t>successfully deployed in a stationary power setting the price per kW of energy produced must be reduced under $1000 (£724) /kW of energy produce</w:t>
      </w:r>
      <w:r w:rsidR="006C586A">
        <w:t>d</w:t>
      </w:r>
      <w:r w:rsidR="00DE5B58">
        <w:t xml:space="preserve"> </w:t>
      </w:r>
      <w:r w:rsidR="006C586A">
        <w:fldChar w:fldCharType="begin" w:fldLock="1"/>
      </w:r>
      <w:r w:rsidR="006C586A">
        <w:instrText>ADDIN CSL_CITATION {"citationItems":[{"id":"ITEM-1","itemData":{"author":[{"dropping-particle":"","family":"Whiston","given":"Michael M.","non-dropping-particle":"","parse-names":false,"suffix":""}],"container-title":"Wilton E. Scott Institute for Energy Innovation Policy Brief","id":"ITEM-1","issued":{"date-parts":[["2019"]]},"number-of-pages":"1-2","title":"Solid Oxide Fuel Cells - Advancing Solid Oxide Fuel Cell Technical and Economic Viability SOLID","type":"report","volume":"May"},"uris":["http://www.mendeley.com/documents/?uuid=02e4a124-7bd4-438e-baea-2efc4ce36fc5"]}],"mendeley":{"formattedCitation":"[101]","plainTextFormattedCitation":"[101]","previouslyFormattedCitation":"[101]"},"properties":{"noteIndex":0},"schema":"https://github.com/citation-style-language/schema/raw/master/csl-citation.json"}</w:instrText>
      </w:r>
      <w:r w:rsidR="006C586A">
        <w:fldChar w:fldCharType="separate"/>
      </w:r>
      <w:r w:rsidR="006C586A" w:rsidRPr="006C586A">
        <w:rPr>
          <w:noProof/>
        </w:rPr>
        <w:t>[101]</w:t>
      </w:r>
      <w:r w:rsidR="006C586A">
        <w:fldChar w:fldCharType="end"/>
      </w:r>
      <w:r w:rsidR="00DE5B58">
        <w:t xml:space="preserve">. Currently, </w:t>
      </w:r>
      <w:r w:rsidR="006C586A">
        <w:t>t</w:t>
      </w:r>
      <w:r w:rsidR="00DE5B58">
        <w:t xml:space="preserve">his </w:t>
      </w:r>
      <w:r w:rsidR="00DE5B58">
        <w:lastRenderedPageBreak/>
        <w:t xml:space="preserve">reduction </w:t>
      </w:r>
      <w:r w:rsidR="006C586A">
        <w:t>would occur around 2042 according to current US DoE estimates and 2032 assuming a linear reduction from the EUs estimates</w:t>
      </w:r>
      <w:r w:rsidR="00D80A5D">
        <w:t xml:space="preserve"> (See </w:t>
      </w:r>
      <w:r w:rsidR="00D80A5D">
        <w:fldChar w:fldCharType="begin"/>
      </w:r>
      <w:r w:rsidR="00D80A5D">
        <w:instrText xml:space="preserve"> REF _Ref66114061 \h </w:instrText>
      </w:r>
      <w:r w:rsidR="00D80A5D">
        <w:fldChar w:fldCharType="separate"/>
      </w:r>
      <w:r w:rsidR="00D80A5D">
        <w:t>Table 1.</w:t>
      </w:r>
      <w:r w:rsidR="00D80A5D">
        <w:rPr>
          <w:noProof/>
        </w:rPr>
        <w:t>1</w:t>
      </w:r>
      <w:r w:rsidR="00D80A5D">
        <w:fldChar w:fldCharType="end"/>
      </w:r>
      <w:r w:rsidR="00D80A5D">
        <w:t>)</w:t>
      </w:r>
      <w:r w:rsidR="006C586A">
        <w:t xml:space="preserve"> </w:t>
      </w:r>
      <w:r w:rsidR="006C586A">
        <w:fldChar w:fldCharType="begin" w:fldLock="1"/>
      </w:r>
      <w:r w:rsidR="00D80A5D">
        <w:instrText>ADDIN CSL_CITATION {"citationItems":[{"id":"ITEM-1","itemData":{"author":[{"dropping-particle":"","family":"Whiston","given":"Michael M.","non-dropping-particle":"","parse-names":false,"suffix":""}],"container-title":"Wilton E. Scott Institute for Energy Innovation Policy Brief","id":"ITEM-1","issued":{"date-parts":[["2019"]]},"number-of-pages":"1-2","title":"Solid Oxide Fuel Cells - Advancing Solid Oxide Fuel Cell Technical and Economic Viability SOLID","type":"report","volume":"May"},"uris":["http://www.mendeley.com/documents/?uuid=02e4a124-7bd4-438e-baea-2efc4ce36fc5"]},{"id":"ITEM-2","itemData":{"DOI":"10.2760/372263","ISBN":"9789276008415","abstract":"The long history of stationary fuel cell development and deployment has culminated in a strong growth during the last 10 years. Whether this will lead to full commercialisation independent of governmental incentives, and for which technologies, is as yet uncertain. Stationary fuel cells with capacities &gt;200 kW have been installed in several regions of the world (mainly Europe, Japan, South Korea and the USA), but at widely varying volumes and rates. They can be deployed in the commercial and industrial sectors, to generate power or for cogeneration. Based on a literature and internet study, information was gathered regarding the installed capacity of the different types of fuel cells and a database was constructed. More than 800MW of large stationary fuel cell systems with a rated power above 200kW1 have been installed globally for power generation and combined heat power applications prior to 2018. The global deployment of large-scale fuel cells is currently dominated by the US and South Korean market, which together make up almost 95% of installed capacity. Within the US, there are major differences in the approach taken at state level, with the majority of the capacity installed in only two states (California and Connecticut). Worldwide, three technologies dominate: MCFC, SOFC and PAFC. Furthermore, one specialist company dominates the production of each FC type. To understand the drivers of, and barriers to, large-scale capacity fuel cell deployment, technology and policy/regulatory aspects need to be considered, as well as the respective energy system of the geographical region. The study attempts to identify some key factors influencing deployment and to relate them to the trends observed in specific countries/regions. These factors include: energy and climate policies, FC funding programmes, competing technologies, the presence of FC system manufacturers and energy prices (spark spread). It is clear that considerable financial incentives would be required if the levels of implementation observed in the US and South Korea are to be realised in Europe where companies are currently focussing on small to medium scale applications. However, it should also be considered that there are not the same drivers present in Europe as in South Korea or selected parts of the US, such as high levels of air pollution or an unreliable electricity grid.","author":[{"dropping-particle":"","family":"Weidner","given":"E.","non-dropping-particle":"","parse-names":false,"suffix":""},{"dropping-particle":"","family":"Cebolla Ortiz","given":"R.","non-dropping-particle":"","parse-names":false,"suffix":""},{"dropping-particle":"","family":"Davies","given":"J.","non-dropping-particle":"","parse-names":false,"suffix":""}],"container-title":"Joint Research Centre (JRC)","id":"ITEM-2","issued":{"date-parts":[["2019"]]},"number-of-pages":"1-48","title":"Global deployment of large capacity stationary fuel cells – Drivers of, and barriers to, stationary fuel cell deployment","type":"book"},"uris":["http://www.mendeley.com/documents/?uuid=edc920a6-06b7-4485-a705-ec51fd8c0714"]}],"mendeley":{"formattedCitation":"[101], [102]","plainTextFormattedCitation":"[101], [102]","previouslyFormattedCitation":"[101], [102]"},"properties":{"noteIndex":0},"schema":"https://github.com/citation-style-language/schema/raw/master/csl-citation.json"}</w:instrText>
      </w:r>
      <w:r w:rsidR="006C586A">
        <w:fldChar w:fldCharType="separate"/>
      </w:r>
      <w:r w:rsidR="00D80A5D" w:rsidRPr="00D80A5D">
        <w:rPr>
          <w:noProof/>
        </w:rPr>
        <w:t>[101], [102]</w:t>
      </w:r>
      <w:r w:rsidR="006C586A">
        <w:fldChar w:fldCharType="end"/>
      </w:r>
      <w:r w:rsidR="006C586A">
        <w:t>. This underlines the need for continued power density increases via infiltration increase the commercial viability of SOFC stacks.</w:t>
      </w:r>
    </w:p>
    <w:p w14:paraId="67A00558" w14:textId="2DD3EA15" w:rsidR="00DE5B58" w:rsidRDefault="00DE5B58" w:rsidP="00DE5B58">
      <w:pPr>
        <w:pStyle w:val="Caption"/>
        <w:keepNext/>
      </w:pPr>
      <w:bookmarkStart w:id="45" w:name="_Ref66114061"/>
      <w:r>
        <w:t>Table 1.</w:t>
      </w:r>
      <w:r w:rsidR="00B51F53">
        <w:fldChar w:fldCharType="begin"/>
      </w:r>
      <w:r w:rsidR="00B51F53">
        <w:instrText xml:space="preserve"> SEQ Table \* ARABIC </w:instrText>
      </w:r>
      <w:r w:rsidR="00B51F53">
        <w:fldChar w:fldCharType="separate"/>
      </w:r>
      <w:r w:rsidR="0022061C">
        <w:rPr>
          <w:noProof/>
        </w:rPr>
        <w:t>1</w:t>
      </w:r>
      <w:r w:rsidR="00B51F53">
        <w:rPr>
          <w:noProof/>
        </w:rPr>
        <w:fldChar w:fldCharType="end"/>
      </w:r>
      <w:bookmarkEnd w:id="45"/>
      <w:r>
        <w:t xml:space="preserve">: Voltage degradation targets per 1000 h of operation for large-scale SOFC stacks from the US DoE and the EU FSH JU funding bodies between 2017 to 2050 </w:t>
      </w:r>
      <w:r w:rsidR="00D80A5D">
        <w:fldChar w:fldCharType="begin" w:fldLock="1"/>
      </w:r>
      <w:r w:rsidR="00237E21">
        <w:instrText>ADDIN CSL_CITATION {"citationItems":[{"id":"ITEM-1","itemData":{"author":[{"dropping-particle":"","family":"Whiston","given":"Michael M.","non-dropping-particle":"","parse-names":false,"suffix":""}],"container-title":"Wilton E. Scott Institute for Energy Innovation Policy Brief","id":"ITEM-1","issued":{"date-parts":[["2019"]]},"number-of-pages":"1-2","title":"Solid Oxide Fuel Cells - Advancing Solid Oxide Fuel Cell Technical and Economic Viability SOLID","type":"report","volume":"May"},"uris":["http://www.mendeley.com/documents/?uuid=02e4a124-7bd4-438e-baea-2efc4ce36fc5"]},{"id":"ITEM-2","itemData":{"DOI":"10.2760/372263","ISBN":"9789276008415","abstract":"The long history of stationary fuel cell development and deployment has culminated in a strong growth during the last 10 years. Whether this will lead to full commercialisation independent of governmental incentives, and for which technologies, is as yet uncertain. Stationary fuel cells with capacities &gt;200 kW have been installed in several regions of the world (mainly Europe, Japan, South Korea and the USA), but at widely varying volumes and rates. They can be deployed in the commercial and industrial sectors, to generate power or for cogeneration. Based on a literature and internet study, information was gathered regarding the installed capacity of the different types of fuel cells and a database was constructed. More than 800MW of large stationary fuel cell systems with a rated power above 200kW1 have been installed globally for power generation and combined heat power applications prior to 2018. The global deployment of large-scale fuel cells is currently dominated by the US and South Korean market, which together make up almost 95% of installed capacity. Within the US, there are major differences in the approach taken at state level, with the majority of the capacity installed in only two states (California and Connecticut). Worldwide, three technologies dominate: MCFC, SOFC and PAFC. Furthermore, one specialist company dominates the production of each FC type. To understand the drivers of, and barriers to, large-scale capacity fuel cell deployment, technology and policy/regulatory aspects need to be considered, as well as the respective energy system of the geographical region. The study attempts to identify some key factors influencing deployment and to relate them to the trends observed in specific countries/regions. These factors include: energy and climate policies, FC funding programmes, competing technologies, the presence of FC system manufacturers and energy prices (spark spread). It is clear that considerable financial incentives would be required if the levels of implementation observed in the US and South Korea are to be realised in Europe where companies are currently focussing on small to medium scale applications. However, it should also be considered that there are not the same drivers present in Europe as in South Korea or selected parts of the US, such as high levels of air pollution or an unreliable electricity grid.","author":[{"dropping-particle":"","family":"Weidner","given":"E.","non-dropping-particle":"","parse-names":false,"suffix":""},{"dropping-particle":"","family":"Cebolla Ortiz","given":"R.","non-dropping-particle":"","parse-names":false,"suffix":""},{"dropping-particle":"","family":"Davies","given":"J.","non-dropping-particle":"","parse-names":false,"suffix":""}],"container-title":"Joint Research Centre (JRC)","id":"ITEM-2","issued":{"date-parts":[["2019"]]},"number-of-pages":"1-48","title":"Global deployment of large capacity stationary fuel cells – Drivers of, and barriers to, stationary fuel cell deployment","type":"book"},"uris":["http://www.mendeley.com/documents/?uuid=edc920a6-06b7-4485-a705-ec51fd8c0714"]},{"id":"ITEM-3","itemData":{"DOI":"10.1016/j.ijhydene.2013.08.110","ISBN":"03603199","author":[{"dropping-particle":"","family":"Otomo","given":"Junichiro","non-dropping-particle":"","parse-names":false,"suffix":""},{"dropping-particle":"","family":"Oishi","given":"Junya","non-dropping-particle":"","parse-names":false,"suffix":""},{"dropping-particle":"","family":"Mitsumori","given":"Teruo","non-dropping-particle":"","parse-names":false,"suffix":""},{"dropping-particle":"","family":"Iwasaki","given":"Hiroshi","non-dropping-particle":"","parse-names":false,"suffix":""},{"dropping-particle":"","family":"Yamada","given":"Koichi","non-dropping-particle":"","parse-names":false,"suffix":""}],"chapter-number":"14337","container-title":"International Journal of Hydrogen Energy","id":"ITEM-3","issue":"33","issued":{"date-parts":[["2013"]]},"page":"14337-14347","title":"Evaluation of cost reduction potential for 1 kW class SOFC stack production: Implications for SOFC technology scenario","type":"article-journal","volume":"38"},"uris":["http://www.mendeley.com/documents/?uuid=c4f13ec8-aa5f-4015-9626-294d8c79cf0f"]}],"mendeley":{"formattedCitation":"[99], [101], [102]","plainTextFormattedCitation":"[99], [101], [102]","previouslyFormattedCitation":"[99], [101], [102]"},"properties":{"noteIndex":0},"schema":"https://github.com/citation-style-language/schema/raw/master/csl-citation.json"}</w:instrText>
      </w:r>
      <w:r w:rsidR="00D80A5D">
        <w:fldChar w:fldCharType="separate"/>
      </w:r>
      <w:r w:rsidR="00D80A5D" w:rsidRPr="00D80A5D">
        <w:rPr>
          <w:i w:val="0"/>
          <w:noProof/>
        </w:rPr>
        <w:t>[99], [101], [102]</w:t>
      </w:r>
      <w:r w:rsidR="00D80A5D">
        <w:fldChar w:fldCharType="end"/>
      </w:r>
    </w:p>
    <w:tbl>
      <w:tblPr>
        <w:tblStyle w:val="TableGrid"/>
        <w:tblW w:w="0" w:type="auto"/>
        <w:jc w:val="center"/>
        <w:tblLook w:val="04A0" w:firstRow="1" w:lastRow="0" w:firstColumn="1" w:lastColumn="0" w:noHBand="0" w:noVBand="1"/>
      </w:tblPr>
      <w:tblGrid>
        <w:gridCol w:w="1584"/>
        <w:gridCol w:w="3454"/>
        <w:gridCol w:w="663"/>
        <w:gridCol w:w="663"/>
        <w:gridCol w:w="663"/>
        <w:gridCol w:w="663"/>
        <w:gridCol w:w="663"/>
        <w:gridCol w:w="663"/>
      </w:tblGrid>
      <w:tr w:rsidR="00DE5B58" w14:paraId="43D750AE" w14:textId="77777777" w:rsidTr="00DE5B58">
        <w:trPr>
          <w:jc w:val="center"/>
        </w:trPr>
        <w:tc>
          <w:tcPr>
            <w:tcW w:w="0" w:type="auto"/>
            <w:vMerge w:val="restart"/>
          </w:tcPr>
          <w:p w14:paraId="2A486F64" w14:textId="77777777" w:rsidR="00DE5B58" w:rsidRPr="002E772D" w:rsidRDefault="00DE5B58" w:rsidP="006C586A">
            <w:pPr>
              <w:rPr>
                <w:b/>
                <w:bCs/>
              </w:rPr>
            </w:pPr>
            <w:r w:rsidRPr="002E772D">
              <w:rPr>
                <w:b/>
                <w:bCs/>
              </w:rPr>
              <w:t>Country or Region</w:t>
            </w:r>
          </w:p>
        </w:tc>
        <w:tc>
          <w:tcPr>
            <w:tcW w:w="0" w:type="auto"/>
            <w:vMerge w:val="restart"/>
          </w:tcPr>
          <w:p w14:paraId="37E62665" w14:textId="77777777" w:rsidR="00DE5B58" w:rsidRPr="002E772D" w:rsidRDefault="00DE5B58" w:rsidP="006C586A">
            <w:pPr>
              <w:rPr>
                <w:b/>
                <w:bCs/>
              </w:rPr>
            </w:pPr>
            <w:r w:rsidRPr="002E772D">
              <w:rPr>
                <w:b/>
                <w:bCs/>
              </w:rPr>
              <w:t>Funding Body</w:t>
            </w:r>
          </w:p>
        </w:tc>
        <w:tc>
          <w:tcPr>
            <w:tcW w:w="0" w:type="auto"/>
            <w:gridSpan w:val="6"/>
          </w:tcPr>
          <w:p w14:paraId="135BCD15" w14:textId="5D3C5DFA" w:rsidR="00DE5B58" w:rsidRPr="002E772D" w:rsidRDefault="00DE5B58" w:rsidP="006C586A">
            <w:pPr>
              <w:rPr>
                <w:b/>
                <w:bCs/>
              </w:rPr>
            </w:pPr>
            <w:r w:rsidRPr="002E772D">
              <w:rPr>
                <w:b/>
                <w:bCs/>
              </w:rPr>
              <w:t>Year</w:t>
            </w:r>
            <w:r w:rsidR="00F62359">
              <w:rPr>
                <w:b/>
                <w:bCs/>
              </w:rPr>
              <w:t xml:space="preserve"> [% /</w:t>
            </w:r>
            <w:proofErr w:type="spellStart"/>
            <w:r w:rsidR="00F62359">
              <w:rPr>
                <w:b/>
                <w:bCs/>
              </w:rPr>
              <w:t>kh</w:t>
            </w:r>
            <w:proofErr w:type="spellEnd"/>
            <w:r w:rsidR="00F62359">
              <w:rPr>
                <w:b/>
                <w:bCs/>
              </w:rPr>
              <w:t>]</w:t>
            </w:r>
          </w:p>
        </w:tc>
      </w:tr>
      <w:tr w:rsidR="00DE5B58" w14:paraId="1DBA716F" w14:textId="77777777" w:rsidTr="00DE5B58">
        <w:trPr>
          <w:jc w:val="center"/>
        </w:trPr>
        <w:tc>
          <w:tcPr>
            <w:tcW w:w="0" w:type="auto"/>
            <w:vMerge/>
          </w:tcPr>
          <w:p w14:paraId="363F09F0" w14:textId="77777777" w:rsidR="00DE5B58" w:rsidRPr="002E772D" w:rsidRDefault="00DE5B58" w:rsidP="006C586A">
            <w:pPr>
              <w:rPr>
                <w:b/>
                <w:bCs/>
              </w:rPr>
            </w:pPr>
          </w:p>
        </w:tc>
        <w:tc>
          <w:tcPr>
            <w:tcW w:w="0" w:type="auto"/>
            <w:vMerge/>
          </w:tcPr>
          <w:p w14:paraId="2B6D1727" w14:textId="77777777" w:rsidR="00DE5B58" w:rsidRPr="002E772D" w:rsidRDefault="00DE5B58" w:rsidP="006C586A">
            <w:pPr>
              <w:rPr>
                <w:b/>
                <w:bCs/>
              </w:rPr>
            </w:pPr>
          </w:p>
        </w:tc>
        <w:tc>
          <w:tcPr>
            <w:tcW w:w="0" w:type="auto"/>
          </w:tcPr>
          <w:p w14:paraId="131DFA47" w14:textId="77777777" w:rsidR="00DE5B58" w:rsidRPr="002E772D" w:rsidRDefault="00DE5B58" w:rsidP="006C586A">
            <w:pPr>
              <w:rPr>
                <w:b/>
                <w:bCs/>
              </w:rPr>
            </w:pPr>
            <w:r w:rsidRPr="002E772D">
              <w:rPr>
                <w:b/>
                <w:bCs/>
              </w:rPr>
              <w:t>2017</w:t>
            </w:r>
          </w:p>
        </w:tc>
        <w:tc>
          <w:tcPr>
            <w:tcW w:w="0" w:type="auto"/>
          </w:tcPr>
          <w:p w14:paraId="001737BC" w14:textId="77777777" w:rsidR="00DE5B58" w:rsidRPr="002E772D" w:rsidRDefault="00DE5B58" w:rsidP="006C586A">
            <w:pPr>
              <w:rPr>
                <w:b/>
                <w:bCs/>
              </w:rPr>
            </w:pPr>
            <w:r w:rsidRPr="002E772D">
              <w:rPr>
                <w:b/>
                <w:bCs/>
              </w:rPr>
              <w:t>2020</w:t>
            </w:r>
          </w:p>
        </w:tc>
        <w:tc>
          <w:tcPr>
            <w:tcW w:w="0" w:type="auto"/>
          </w:tcPr>
          <w:p w14:paraId="15C1D4C8" w14:textId="77777777" w:rsidR="00DE5B58" w:rsidRPr="002E772D" w:rsidRDefault="00DE5B58" w:rsidP="006C586A">
            <w:pPr>
              <w:rPr>
                <w:b/>
                <w:bCs/>
              </w:rPr>
            </w:pPr>
            <w:r w:rsidRPr="002E772D">
              <w:rPr>
                <w:b/>
                <w:bCs/>
              </w:rPr>
              <w:t>2024</w:t>
            </w:r>
          </w:p>
        </w:tc>
        <w:tc>
          <w:tcPr>
            <w:tcW w:w="0" w:type="auto"/>
          </w:tcPr>
          <w:p w14:paraId="480CB9F3" w14:textId="77777777" w:rsidR="00DE5B58" w:rsidRPr="002E772D" w:rsidRDefault="00DE5B58" w:rsidP="006C586A">
            <w:pPr>
              <w:rPr>
                <w:b/>
                <w:bCs/>
              </w:rPr>
            </w:pPr>
            <w:r w:rsidRPr="002E772D">
              <w:rPr>
                <w:b/>
                <w:bCs/>
              </w:rPr>
              <w:t>2030</w:t>
            </w:r>
          </w:p>
        </w:tc>
        <w:tc>
          <w:tcPr>
            <w:tcW w:w="0" w:type="auto"/>
          </w:tcPr>
          <w:p w14:paraId="2B4676BD" w14:textId="77777777" w:rsidR="00DE5B58" w:rsidRPr="002E772D" w:rsidRDefault="00DE5B58" w:rsidP="006C586A">
            <w:pPr>
              <w:rPr>
                <w:b/>
                <w:bCs/>
              </w:rPr>
            </w:pPr>
            <w:r w:rsidRPr="002E772D">
              <w:rPr>
                <w:b/>
                <w:bCs/>
              </w:rPr>
              <w:t>2035</w:t>
            </w:r>
          </w:p>
        </w:tc>
        <w:tc>
          <w:tcPr>
            <w:tcW w:w="0" w:type="auto"/>
          </w:tcPr>
          <w:p w14:paraId="494601A8" w14:textId="77777777" w:rsidR="00DE5B58" w:rsidRPr="002E772D" w:rsidRDefault="00DE5B58" w:rsidP="006C586A">
            <w:pPr>
              <w:rPr>
                <w:b/>
                <w:bCs/>
              </w:rPr>
            </w:pPr>
            <w:r w:rsidRPr="002E772D">
              <w:rPr>
                <w:b/>
                <w:bCs/>
              </w:rPr>
              <w:t>2050</w:t>
            </w:r>
          </w:p>
        </w:tc>
      </w:tr>
      <w:tr w:rsidR="00DE5B58" w14:paraId="6D36E664" w14:textId="77777777" w:rsidTr="00DE5B58">
        <w:trPr>
          <w:jc w:val="center"/>
        </w:trPr>
        <w:tc>
          <w:tcPr>
            <w:tcW w:w="0" w:type="auto"/>
          </w:tcPr>
          <w:p w14:paraId="149E7C47" w14:textId="77777777" w:rsidR="00DE5B58" w:rsidRDefault="00DE5B58" w:rsidP="006C586A">
            <w:r>
              <w:t xml:space="preserve">USA </w:t>
            </w:r>
          </w:p>
        </w:tc>
        <w:tc>
          <w:tcPr>
            <w:tcW w:w="0" w:type="auto"/>
          </w:tcPr>
          <w:p w14:paraId="1F12782D" w14:textId="77777777" w:rsidR="00DE5B58" w:rsidRDefault="00DE5B58" w:rsidP="006C586A">
            <w:r>
              <w:t>Department of Energy (DoE)</w:t>
            </w:r>
          </w:p>
        </w:tc>
        <w:tc>
          <w:tcPr>
            <w:tcW w:w="0" w:type="auto"/>
          </w:tcPr>
          <w:p w14:paraId="22991BA9" w14:textId="5E26C7B2" w:rsidR="00DE5B58" w:rsidRDefault="00DE5B58" w:rsidP="006C586A">
            <w:r>
              <w:t xml:space="preserve">1.0 </w:t>
            </w:r>
          </w:p>
        </w:tc>
        <w:tc>
          <w:tcPr>
            <w:tcW w:w="0" w:type="auto"/>
          </w:tcPr>
          <w:p w14:paraId="66C6D68B" w14:textId="104FBD88" w:rsidR="00DE5B58" w:rsidRDefault="00DE5B58" w:rsidP="006C586A">
            <w:r>
              <w:t>0.50</w:t>
            </w:r>
          </w:p>
        </w:tc>
        <w:tc>
          <w:tcPr>
            <w:tcW w:w="0" w:type="auto"/>
          </w:tcPr>
          <w:p w14:paraId="75217C84" w14:textId="77777777" w:rsidR="00DE5B58" w:rsidRDefault="00DE5B58" w:rsidP="006C586A">
            <w:pPr>
              <w:jc w:val="center"/>
            </w:pPr>
            <w:r>
              <w:t>N/A</w:t>
            </w:r>
          </w:p>
        </w:tc>
        <w:tc>
          <w:tcPr>
            <w:tcW w:w="0" w:type="auto"/>
          </w:tcPr>
          <w:p w14:paraId="20B2D4FB" w14:textId="77777777" w:rsidR="00DE5B58" w:rsidRDefault="00DE5B58" w:rsidP="006C586A">
            <w:pPr>
              <w:jc w:val="center"/>
            </w:pPr>
            <w:r>
              <w:t>N/A</w:t>
            </w:r>
          </w:p>
        </w:tc>
        <w:tc>
          <w:tcPr>
            <w:tcW w:w="0" w:type="auto"/>
          </w:tcPr>
          <w:p w14:paraId="07A172EF" w14:textId="3A9A8B94" w:rsidR="00DE5B58" w:rsidRDefault="00DE5B58" w:rsidP="006C586A">
            <w:r>
              <w:t xml:space="preserve">0.30 </w:t>
            </w:r>
          </w:p>
        </w:tc>
        <w:tc>
          <w:tcPr>
            <w:tcW w:w="0" w:type="auto"/>
          </w:tcPr>
          <w:p w14:paraId="57C2F4D1" w14:textId="55E9778B" w:rsidR="00DE5B58" w:rsidRDefault="00DE5B58" w:rsidP="006C586A">
            <w:r>
              <w:t xml:space="preserve">0.20 </w:t>
            </w:r>
          </w:p>
        </w:tc>
      </w:tr>
      <w:tr w:rsidR="00DE5B58" w14:paraId="2C6CFB29" w14:textId="77777777" w:rsidTr="00DE5B58">
        <w:trPr>
          <w:jc w:val="center"/>
        </w:trPr>
        <w:tc>
          <w:tcPr>
            <w:tcW w:w="0" w:type="auto"/>
          </w:tcPr>
          <w:p w14:paraId="6E317CD1" w14:textId="77777777" w:rsidR="00DE5B58" w:rsidRDefault="00DE5B58" w:rsidP="006C586A">
            <w:r>
              <w:t>Europe</w:t>
            </w:r>
          </w:p>
        </w:tc>
        <w:tc>
          <w:tcPr>
            <w:tcW w:w="0" w:type="auto"/>
          </w:tcPr>
          <w:p w14:paraId="7B8E4CBE" w14:textId="77777777" w:rsidR="00DE5B58" w:rsidRDefault="00DE5B58" w:rsidP="006C586A">
            <w:r>
              <w:t>Fuel Cells Hydrogen Joint Undertaking (FCH JU)</w:t>
            </w:r>
          </w:p>
        </w:tc>
        <w:tc>
          <w:tcPr>
            <w:tcW w:w="0" w:type="auto"/>
          </w:tcPr>
          <w:p w14:paraId="1D2307BE" w14:textId="1C94B77B" w:rsidR="00DE5B58" w:rsidRDefault="00DE5B58" w:rsidP="006C586A">
            <w:r>
              <w:t xml:space="preserve">1.0 </w:t>
            </w:r>
          </w:p>
          <w:p w14:paraId="63ECBB18" w14:textId="77777777" w:rsidR="00DE5B58" w:rsidRDefault="00DE5B58" w:rsidP="006C586A"/>
        </w:tc>
        <w:tc>
          <w:tcPr>
            <w:tcW w:w="0" w:type="auto"/>
          </w:tcPr>
          <w:p w14:paraId="0BD274F8" w14:textId="6FEE1B28" w:rsidR="00DE5B58" w:rsidRDefault="00DE5B58" w:rsidP="006C586A">
            <w:r>
              <w:t xml:space="preserve">0.50 </w:t>
            </w:r>
          </w:p>
        </w:tc>
        <w:tc>
          <w:tcPr>
            <w:tcW w:w="0" w:type="auto"/>
          </w:tcPr>
          <w:p w14:paraId="23DDFB21" w14:textId="10C7E7D6" w:rsidR="00DE5B58" w:rsidRDefault="00DE5B58" w:rsidP="006C586A">
            <w:r>
              <w:t xml:space="preserve">0.42 </w:t>
            </w:r>
          </w:p>
        </w:tc>
        <w:tc>
          <w:tcPr>
            <w:tcW w:w="0" w:type="auto"/>
          </w:tcPr>
          <w:p w14:paraId="15F7DAD6" w14:textId="6015ACFF" w:rsidR="00DE5B58" w:rsidRDefault="00DE5B58" w:rsidP="006C586A">
            <w:r>
              <w:t>0.36</w:t>
            </w:r>
          </w:p>
        </w:tc>
        <w:tc>
          <w:tcPr>
            <w:tcW w:w="0" w:type="auto"/>
          </w:tcPr>
          <w:p w14:paraId="6092FFE8" w14:textId="77777777" w:rsidR="00DE5B58" w:rsidRDefault="00DE5B58" w:rsidP="006C586A">
            <w:pPr>
              <w:jc w:val="center"/>
            </w:pPr>
            <w:r>
              <w:t>TBA</w:t>
            </w:r>
          </w:p>
        </w:tc>
        <w:tc>
          <w:tcPr>
            <w:tcW w:w="0" w:type="auto"/>
          </w:tcPr>
          <w:p w14:paraId="02706205" w14:textId="77777777" w:rsidR="00DE5B58" w:rsidRDefault="00DE5B58" w:rsidP="006C586A">
            <w:pPr>
              <w:jc w:val="center"/>
            </w:pPr>
            <w:r>
              <w:t>TBA</w:t>
            </w:r>
          </w:p>
        </w:tc>
      </w:tr>
    </w:tbl>
    <w:p w14:paraId="51638C68" w14:textId="71A9BAD0" w:rsidR="00D80A5D" w:rsidRDefault="00D80A5D" w:rsidP="00D80A5D">
      <w:pPr>
        <w:pStyle w:val="Caption"/>
        <w:keepNext/>
      </w:pPr>
      <w:r>
        <w:t>Table 1.</w:t>
      </w:r>
      <w:r w:rsidR="00B51F53">
        <w:fldChar w:fldCharType="begin"/>
      </w:r>
      <w:r w:rsidR="00B51F53">
        <w:instrText xml:space="preserve"> SEQ Table \* ARABIC </w:instrText>
      </w:r>
      <w:r w:rsidR="00B51F53">
        <w:fldChar w:fldCharType="separate"/>
      </w:r>
      <w:r w:rsidR="0022061C">
        <w:rPr>
          <w:noProof/>
        </w:rPr>
        <w:t>2</w:t>
      </w:r>
      <w:r w:rsidR="00B51F53">
        <w:rPr>
          <w:noProof/>
        </w:rPr>
        <w:fldChar w:fldCharType="end"/>
      </w:r>
      <w:r>
        <w:t xml:space="preserve">: Price per net kilowatt of energy produced by large-scale SOFC stacks from the US DoE and the EU FSH JU funding bodies between 2017 to 2050. The DoE target is £724 /kW </w:t>
      </w:r>
      <w:r>
        <w:fldChar w:fldCharType="begin" w:fldLock="1"/>
      </w:r>
      <w:r w:rsidR="00237E21">
        <w:instrText>ADDIN CSL_CITATION {"citationItems":[{"id":"ITEM-1","itemData":{"author":[{"dropping-particle":"","family":"Whiston","given":"Michael M.","non-dropping-particle":"","parse-names":false,"suffix":""}],"container-title":"Wilton E. Scott Institute for Energy Innovation Policy Brief","id":"ITEM-1","issued":{"date-parts":[["2019"]]},"number-of-pages":"1-2","title":"Solid Oxide Fuel Cells - Advancing Solid Oxide Fuel Cell Technical and Economic Viability SOLID","type":"report","volume":"May"},"uris":["http://www.mendeley.com/documents/?uuid=02e4a124-7bd4-438e-baea-2efc4ce36fc5"]},{"id":"ITEM-2","itemData":{"DOI":"10.2760/372263","ISBN":"9789276008415","abstract":"The long history of stationary fuel cell development and deployment has culminated in a strong growth during the last 10 years. Whether this will lead to full commercialisation independent of governmental incentives, and for which technologies, is as yet uncertain. Stationary fuel cells with capacities &gt;200 kW have been installed in several regions of the world (mainly Europe, Japan, South Korea and the USA), but at widely varying volumes and rates. They can be deployed in the commercial and industrial sectors, to generate power or for cogeneration. Based on a literature and internet study, information was gathered regarding the installed capacity of the different types of fuel cells and a database was constructed. More than 800MW of large stationary fuel cell systems with a rated power above 200kW1 have been installed globally for power generation and combined heat power applications prior to 2018. The global deployment of large-scale fuel cells is currently dominated by the US and South Korean market, which together make up almost 95% of installed capacity. Within the US, there are major differences in the approach taken at state level, with the majority of the capacity installed in only two states (California and Connecticut). Worldwide, three technologies dominate: MCFC, SOFC and PAFC. Furthermore, one specialist company dominates the production of each FC type. To understand the drivers of, and barriers to, large-scale capacity fuel cell deployment, technology and policy/regulatory aspects need to be considered, as well as the respective energy system of the geographical region. The study attempts to identify some key factors influencing deployment and to relate them to the trends observed in specific countries/regions. These factors include: energy and climate policies, FC funding programmes, competing technologies, the presence of FC system manufacturers and energy prices (spark spread). It is clear that considerable financial incentives would be required if the levels of implementation observed in the US and South Korea are to be realised in Europe where companies are currently focussing on small to medium scale applications. However, it should also be considered that there are not the same drivers present in Europe as in South Korea or selected parts of the US, such as high levels of air pollution or an unreliable electricity grid.","author":[{"dropping-particle":"","family":"Weidner","given":"E.","non-dropping-particle":"","parse-names":false,"suffix":""},{"dropping-particle":"","family":"Cebolla Ortiz","given":"R.","non-dropping-particle":"","parse-names":false,"suffix":""},{"dropping-particle":"","family":"Davies","given":"J.","non-dropping-particle":"","parse-names":false,"suffix":""}],"container-title":"Joint Research Centre (JRC)","id":"ITEM-2","issued":{"date-parts":[["2019"]]},"number-of-pages":"1-48","title":"Global deployment of large capacity stationary fuel cells – Drivers of, and barriers to, stationary fuel cell deployment","type":"book"},"uris":["http://www.mendeley.com/documents/?uuid=edc920a6-06b7-4485-a705-ec51fd8c0714"]},{"id":"ITEM-3","itemData":{"DOI":"10.1016/j.ijhydene.2013.08.110","ISBN":"03603199","author":[{"dropping-particle":"","family":"Otomo","given":"Junichiro","non-dropping-particle":"","parse-names":false,"suffix":""},{"dropping-particle":"","family":"Oishi","given":"Junya","non-dropping-particle":"","parse-names":false,"suffix":""},{"dropping-particle":"","family":"Mitsumori","given":"Teruo","non-dropping-particle":"","parse-names":false,"suffix":""},{"dropping-particle":"","family":"Iwasaki","given":"Hiroshi","non-dropping-particle":"","parse-names":false,"suffix":""},{"dropping-particle":"","family":"Yamada","given":"Koichi","non-dropping-particle":"","parse-names":false,"suffix":""}],"chapter-number":"14337","container-title":"International Journal of Hydrogen Energy","id":"ITEM-3","issue":"33","issued":{"date-parts":[["2013"]]},"page":"14337-14347","title":"Evaluation of cost reduction potential for 1 kW class SOFC stack production: Implications for SOFC technology scenario","type":"article-journal","volume":"38"},"uris":["http://www.mendeley.com/documents/?uuid=c4f13ec8-aa5f-4015-9626-294d8c79cf0f"]}],"mendeley":{"formattedCitation":"[99], [101], [102]","plainTextFormattedCitation":"[99], [101], [102]","previouslyFormattedCitation":"[99], [101], [102]"},"properties":{"noteIndex":0},"schema":"https://github.com/citation-style-language/schema/raw/master/csl-citation.json"}</w:instrText>
      </w:r>
      <w:r>
        <w:fldChar w:fldCharType="separate"/>
      </w:r>
      <w:r w:rsidRPr="00D80A5D">
        <w:rPr>
          <w:i w:val="0"/>
          <w:noProof/>
        </w:rPr>
        <w:t>[99], [101], [102]</w:t>
      </w:r>
      <w:r>
        <w:fldChar w:fldCharType="end"/>
      </w:r>
    </w:p>
    <w:tbl>
      <w:tblPr>
        <w:tblStyle w:val="TableGrid"/>
        <w:tblW w:w="0" w:type="auto"/>
        <w:jc w:val="center"/>
        <w:tblLook w:val="04A0" w:firstRow="1" w:lastRow="0" w:firstColumn="1" w:lastColumn="0" w:noHBand="0" w:noVBand="1"/>
      </w:tblPr>
      <w:tblGrid>
        <w:gridCol w:w="1296"/>
        <w:gridCol w:w="2488"/>
        <w:gridCol w:w="936"/>
        <w:gridCol w:w="936"/>
        <w:gridCol w:w="936"/>
        <w:gridCol w:w="936"/>
        <w:gridCol w:w="663"/>
        <w:gridCol w:w="825"/>
      </w:tblGrid>
      <w:tr w:rsidR="00DE5B58" w14:paraId="08741A1D" w14:textId="77777777" w:rsidTr="00DE5B58">
        <w:trPr>
          <w:jc w:val="center"/>
        </w:trPr>
        <w:tc>
          <w:tcPr>
            <w:tcW w:w="0" w:type="auto"/>
            <w:vMerge w:val="restart"/>
          </w:tcPr>
          <w:p w14:paraId="5DA95939" w14:textId="77777777" w:rsidR="00DE5B58" w:rsidRPr="002E772D" w:rsidRDefault="00DE5B58" w:rsidP="006C586A">
            <w:pPr>
              <w:rPr>
                <w:b/>
                <w:bCs/>
              </w:rPr>
            </w:pPr>
            <w:r w:rsidRPr="002E772D">
              <w:rPr>
                <w:b/>
                <w:bCs/>
              </w:rPr>
              <w:t>Country or Region</w:t>
            </w:r>
          </w:p>
        </w:tc>
        <w:tc>
          <w:tcPr>
            <w:tcW w:w="0" w:type="auto"/>
            <w:vMerge w:val="restart"/>
          </w:tcPr>
          <w:p w14:paraId="44D0BD71" w14:textId="77777777" w:rsidR="00DE5B58" w:rsidRPr="002E772D" w:rsidRDefault="00DE5B58" w:rsidP="006C586A">
            <w:pPr>
              <w:rPr>
                <w:b/>
                <w:bCs/>
              </w:rPr>
            </w:pPr>
            <w:r w:rsidRPr="002E772D">
              <w:rPr>
                <w:b/>
                <w:bCs/>
              </w:rPr>
              <w:t>Funding Body</w:t>
            </w:r>
          </w:p>
        </w:tc>
        <w:tc>
          <w:tcPr>
            <w:tcW w:w="0" w:type="auto"/>
            <w:gridSpan w:val="6"/>
          </w:tcPr>
          <w:p w14:paraId="17007ACF" w14:textId="77777777" w:rsidR="00DE5B58" w:rsidRPr="002E772D" w:rsidRDefault="00DE5B58" w:rsidP="006C586A">
            <w:pPr>
              <w:rPr>
                <w:b/>
                <w:bCs/>
              </w:rPr>
            </w:pPr>
            <w:r w:rsidRPr="002E772D">
              <w:rPr>
                <w:b/>
                <w:bCs/>
              </w:rPr>
              <w:t>Year</w:t>
            </w:r>
          </w:p>
        </w:tc>
      </w:tr>
      <w:tr w:rsidR="00DE5B58" w14:paraId="0C2BCD16" w14:textId="77777777" w:rsidTr="00DE5B58">
        <w:trPr>
          <w:jc w:val="center"/>
        </w:trPr>
        <w:tc>
          <w:tcPr>
            <w:tcW w:w="0" w:type="auto"/>
            <w:vMerge/>
          </w:tcPr>
          <w:p w14:paraId="691A85E0" w14:textId="77777777" w:rsidR="00DE5B58" w:rsidRPr="002E772D" w:rsidRDefault="00DE5B58" w:rsidP="006C586A">
            <w:pPr>
              <w:rPr>
                <w:b/>
                <w:bCs/>
              </w:rPr>
            </w:pPr>
          </w:p>
        </w:tc>
        <w:tc>
          <w:tcPr>
            <w:tcW w:w="0" w:type="auto"/>
            <w:vMerge/>
          </w:tcPr>
          <w:p w14:paraId="398EDD2F" w14:textId="77777777" w:rsidR="00DE5B58" w:rsidRPr="002E772D" w:rsidRDefault="00DE5B58" w:rsidP="006C586A">
            <w:pPr>
              <w:rPr>
                <w:b/>
                <w:bCs/>
              </w:rPr>
            </w:pPr>
          </w:p>
        </w:tc>
        <w:tc>
          <w:tcPr>
            <w:tcW w:w="0" w:type="auto"/>
          </w:tcPr>
          <w:p w14:paraId="38C822C0" w14:textId="77777777" w:rsidR="00DE5B58" w:rsidRPr="002E772D" w:rsidRDefault="00DE5B58" w:rsidP="006C586A">
            <w:pPr>
              <w:rPr>
                <w:b/>
                <w:bCs/>
              </w:rPr>
            </w:pPr>
            <w:r w:rsidRPr="002E772D">
              <w:rPr>
                <w:b/>
                <w:bCs/>
              </w:rPr>
              <w:t>2017</w:t>
            </w:r>
          </w:p>
        </w:tc>
        <w:tc>
          <w:tcPr>
            <w:tcW w:w="0" w:type="auto"/>
          </w:tcPr>
          <w:p w14:paraId="70E9EEF2" w14:textId="77777777" w:rsidR="00DE5B58" w:rsidRPr="002E772D" w:rsidRDefault="00DE5B58" w:rsidP="006C586A">
            <w:pPr>
              <w:rPr>
                <w:b/>
                <w:bCs/>
              </w:rPr>
            </w:pPr>
            <w:r w:rsidRPr="002E772D">
              <w:rPr>
                <w:b/>
                <w:bCs/>
              </w:rPr>
              <w:t>2020</w:t>
            </w:r>
          </w:p>
        </w:tc>
        <w:tc>
          <w:tcPr>
            <w:tcW w:w="0" w:type="auto"/>
          </w:tcPr>
          <w:p w14:paraId="5980B9E4" w14:textId="77777777" w:rsidR="00DE5B58" w:rsidRPr="002E772D" w:rsidRDefault="00DE5B58" w:rsidP="006C586A">
            <w:pPr>
              <w:rPr>
                <w:b/>
                <w:bCs/>
              </w:rPr>
            </w:pPr>
            <w:r w:rsidRPr="002E772D">
              <w:rPr>
                <w:b/>
                <w:bCs/>
              </w:rPr>
              <w:t>2024</w:t>
            </w:r>
          </w:p>
        </w:tc>
        <w:tc>
          <w:tcPr>
            <w:tcW w:w="0" w:type="auto"/>
          </w:tcPr>
          <w:p w14:paraId="3A6842F5" w14:textId="77777777" w:rsidR="00DE5B58" w:rsidRPr="002E772D" w:rsidRDefault="00DE5B58" w:rsidP="006C586A">
            <w:pPr>
              <w:rPr>
                <w:b/>
                <w:bCs/>
              </w:rPr>
            </w:pPr>
            <w:r w:rsidRPr="002E772D">
              <w:rPr>
                <w:b/>
                <w:bCs/>
              </w:rPr>
              <w:t>2030</w:t>
            </w:r>
          </w:p>
        </w:tc>
        <w:tc>
          <w:tcPr>
            <w:tcW w:w="0" w:type="auto"/>
          </w:tcPr>
          <w:p w14:paraId="4CDD96C2" w14:textId="77777777" w:rsidR="00DE5B58" w:rsidRPr="002E772D" w:rsidRDefault="00DE5B58" w:rsidP="006C586A">
            <w:pPr>
              <w:rPr>
                <w:b/>
                <w:bCs/>
              </w:rPr>
            </w:pPr>
            <w:r w:rsidRPr="002E772D">
              <w:rPr>
                <w:b/>
                <w:bCs/>
              </w:rPr>
              <w:t>2035</w:t>
            </w:r>
          </w:p>
        </w:tc>
        <w:tc>
          <w:tcPr>
            <w:tcW w:w="0" w:type="auto"/>
          </w:tcPr>
          <w:p w14:paraId="6BED5D93" w14:textId="77777777" w:rsidR="00DE5B58" w:rsidRPr="002E772D" w:rsidRDefault="00DE5B58" w:rsidP="006C586A">
            <w:pPr>
              <w:rPr>
                <w:b/>
                <w:bCs/>
              </w:rPr>
            </w:pPr>
            <w:r w:rsidRPr="002E772D">
              <w:rPr>
                <w:b/>
                <w:bCs/>
              </w:rPr>
              <w:t>2050</w:t>
            </w:r>
          </w:p>
        </w:tc>
      </w:tr>
      <w:tr w:rsidR="00DE5B58" w14:paraId="6839A41F" w14:textId="77777777" w:rsidTr="00DE5B58">
        <w:trPr>
          <w:jc w:val="center"/>
        </w:trPr>
        <w:tc>
          <w:tcPr>
            <w:tcW w:w="0" w:type="auto"/>
          </w:tcPr>
          <w:p w14:paraId="07678210" w14:textId="77777777" w:rsidR="00DE5B58" w:rsidRDefault="00DE5B58" w:rsidP="00DE5B58">
            <w:r>
              <w:t xml:space="preserve">USA </w:t>
            </w:r>
          </w:p>
        </w:tc>
        <w:tc>
          <w:tcPr>
            <w:tcW w:w="0" w:type="auto"/>
          </w:tcPr>
          <w:p w14:paraId="28F554B7" w14:textId="77777777" w:rsidR="00DE5B58" w:rsidRDefault="00DE5B58" w:rsidP="00DE5B58">
            <w:r>
              <w:t>Department of Energy (DoE)</w:t>
            </w:r>
          </w:p>
        </w:tc>
        <w:tc>
          <w:tcPr>
            <w:tcW w:w="0" w:type="auto"/>
          </w:tcPr>
          <w:p w14:paraId="66BFAD18" w14:textId="77777777" w:rsidR="00DE5B58" w:rsidRDefault="00DE5B58" w:rsidP="00DE5B58">
            <w:r>
              <w:t>£1955 /kW</w:t>
            </w:r>
          </w:p>
        </w:tc>
        <w:tc>
          <w:tcPr>
            <w:tcW w:w="0" w:type="auto"/>
          </w:tcPr>
          <w:p w14:paraId="62606FE5" w14:textId="77777777" w:rsidR="00DE5B58" w:rsidRDefault="00DE5B58" w:rsidP="00DE5B58">
            <w:r>
              <w:t>£1086 /kW</w:t>
            </w:r>
          </w:p>
        </w:tc>
        <w:tc>
          <w:tcPr>
            <w:tcW w:w="0" w:type="auto"/>
          </w:tcPr>
          <w:p w14:paraId="28B19FE6" w14:textId="0FB0D53A" w:rsidR="00DE5B58" w:rsidRDefault="00DE5B58" w:rsidP="00DE5B58">
            <w:pPr>
              <w:jc w:val="center"/>
            </w:pPr>
            <w:r>
              <w:t>N/A</w:t>
            </w:r>
          </w:p>
        </w:tc>
        <w:tc>
          <w:tcPr>
            <w:tcW w:w="0" w:type="auto"/>
          </w:tcPr>
          <w:p w14:paraId="4150101F" w14:textId="6B0AC42E" w:rsidR="00DE5B58" w:rsidRDefault="00DE5B58" w:rsidP="00DE5B58">
            <w:pPr>
              <w:jc w:val="center"/>
            </w:pPr>
            <w:r>
              <w:t>N/A</w:t>
            </w:r>
          </w:p>
        </w:tc>
        <w:tc>
          <w:tcPr>
            <w:tcW w:w="0" w:type="auto"/>
          </w:tcPr>
          <w:p w14:paraId="37875FBC" w14:textId="77777777" w:rsidR="00DE5B58" w:rsidRDefault="00DE5B58" w:rsidP="00DE5B58">
            <w:r>
              <w:t xml:space="preserve">£869 </w:t>
            </w:r>
          </w:p>
          <w:p w14:paraId="5F708D68" w14:textId="77777777" w:rsidR="00DE5B58" w:rsidRDefault="00DE5B58" w:rsidP="00DE5B58">
            <w:r>
              <w:t>/kW</w:t>
            </w:r>
          </w:p>
        </w:tc>
        <w:tc>
          <w:tcPr>
            <w:tcW w:w="0" w:type="auto"/>
          </w:tcPr>
          <w:p w14:paraId="7BEDAE03" w14:textId="77777777" w:rsidR="00DE5B58" w:rsidRDefault="00DE5B58" w:rsidP="00DE5B58">
            <w:r>
              <w:t>£579 /kW</w:t>
            </w:r>
          </w:p>
        </w:tc>
      </w:tr>
      <w:tr w:rsidR="00DE5B58" w14:paraId="37055E7F" w14:textId="77777777" w:rsidTr="00DE5B58">
        <w:trPr>
          <w:trHeight w:val="620"/>
          <w:jc w:val="center"/>
        </w:trPr>
        <w:tc>
          <w:tcPr>
            <w:tcW w:w="0" w:type="auto"/>
          </w:tcPr>
          <w:p w14:paraId="065A1CFF" w14:textId="77777777" w:rsidR="00DE5B58" w:rsidRDefault="00DE5B58" w:rsidP="006C586A">
            <w:r>
              <w:t>Europe</w:t>
            </w:r>
          </w:p>
        </w:tc>
        <w:tc>
          <w:tcPr>
            <w:tcW w:w="0" w:type="auto"/>
          </w:tcPr>
          <w:p w14:paraId="4A170D0C" w14:textId="77777777" w:rsidR="00DE5B58" w:rsidRDefault="00DE5B58" w:rsidP="006C586A">
            <w:r>
              <w:t>Fuel Cells Hydrogen Joint Undertaking (FCH JU)</w:t>
            </w:r>
          </w:p>
        </w:tc>
        <w:tc>
          <w:tcPr>
            <w:tcW w:w="0" w:type="auto"/>
          </w:tcPr>
          <w:p w14:paraId="715C57DA" w14:textId="77777777" w:rsidR="00DE5B58" w:rsidRDefault="00DE5B58" w:rsidP="006C586A">
            <w:r>
              <w:t>£2575</w:t>
            </w:r>
          </w:p>
          <w:p w14:paraId="7EA345DF" w14:textId="77777777" w:rsidR="00DE5B58" w:rsidRDefault="00DE5B58" w:rsidP="006C586A">
            <w:r>
              <w:t>/kW</w:t>
            </w:r>
          </w:p>
        </w:tc>
        <w:tc>
          <w:tcPr>
            <w:tcW w:w="0" w:type="auto"/>
          </w:tcPr>
          <w:p w14:paraId="58BC69A1" w14:textId="77777777" w:rsidR="00DE5B58" w:rsidRDefault="00DE5B58" w:rsidP="006C586A">
            <w:r>
              <w:t>£1717 /kW</w:t>
            </w:r>
          </w:p>
        </w:tc>
        <w:tc>
          <w:tcPr>
            <w:tcW w:w="0" w:type="auto"/>
          </w:tcPr>
          <w:p w14:paraId="4F2D3BCD" w14:textId="77777777" w:rsidR="00DE5B58" w:rsidRDefault="00DE5B58" w:rsidP="006C586A">
            <w:r>
              <w:t>£1288 /kW</w:t>
            </w:r>
          </w:p>
        </w:tc>
        <w:tc>
          <w:tcPr>
            <w:tcW w:w="0" w:type="auto"/>
          </w:tcPr>
          <w:p w14:paraId="155BFA0C" w14:textId="77777777" w:rsidR="00DE5B58" w:rsidRDefault="00DE5B58" w:rsidP="006C586A">
            <w:r>
              <w:t>£1030 /kW</w:t>
            </w:r>
          </w:p>
        </w:tc>
        <w:tc>
          <w:tcPr>
            <w:tcW w:w="0" w:type="auto"/>
          </w:tcPr>
          <w:p w14:paraId="04945848" w14:textId="77777777" w:rsidR="00DE5B58" w:rsidRDefault="00DE5B58" w:rsidP="006C586A">
            <w:pPr>
              <w:jc w:val="center"/>
            </w:pPr>
            <w:r>
              <w:t>TBA</w:t>
            </w:r>
          </w:p>
        </w:tc>
        <w:tc>
          <w:tcPr>
            <w:tcW w:w="0" w:type="auto"/>
          </w:tcPr>
          <w:p w14:paraId="4A0B854B" w14:textId="77777777" w:rsidR="00DE5B58" w:rsidRDefault="00DE5B58" w:rsidP="006C586A">
            <w:pPr>
              <w:jc w:val="center"/>
            </w:pPr>
            <w:r>
              <w:t>TBA</w:t>
            </w:r>
          </w:p>
        </w:tc>
      </w:tr>
    </w:tbl>
    <w:p w14:paraId="0FD99C28" w14:textId="77777777" w:rsidR="00DE5B58" w:rsidRPr="004654D6" w:rsidRDefault="00DE5B58" w:rsidP="00007F6C">
      <w:pPr>
        <w:jc w:val="both"/>
      </w:pPr>
    </w:p>
    <w:p w14:paraId="25B6E655" w14:textId="0A703CD0" w:rsidR="00007F6C" w:rsidRDefault="00007F6C" w:rsidP="00007F6C">
      <w:pPr>
        <w:pStyle w:val="Heading2"/>
        <w:jc w:val="both"/>
      </w:pPr>
      <w:bookmarkStart w:id="46" w:name="_Toc69129358"/>
      <w:r w:rsidRPr="004654D6">
        <w:t>1.</w:t>
      </w:r>
      <w:r>
        <w:t>7</w:t>
      </w:r>
      <w:r w:rsidRPr="004654D6">
        <w:tab/>
      </w:r>
      <w:r>
        <w:t xml:space="preserve">Thesis </w:t>
      </w:r>
      <w:r w:rsidR="00D80A5D">
        <w:t>O</w:t>
      </w:r>
      <w:r>
        <w:t>utline</w:t>
      </w:r>
      <w:bookmarkEnd w:id="46"/>
    </w:p>
    <w:p w14:paraId="74AF228B" w14:textId="23C8167C" w:rsidR="00007F6C" w:rsidRPr="00D31970" w:rsidRDefault="00926D6C" w:rsidP="00007F6C">
      <w:pPr>
        <w:pStyle w:val="Heading3"/>
        <w:jc w:val="both"/>
      </w:pPr>
      <w:bookmarkStart w:id="47" w:name="_Toc69129359"/>
      <w:r>
        <w:t>1.7.1</w:t>
      </w:r>
      <w:r>
        <w:tab/>
      </w:r>
      <w:r w:rsidR="00007F6C">
        <w:t>A</w:t>
      </w:r>
      <w:r w:rsidR="00007F6C" w:rsidRPr="00D31970">
        <w:t>ims</w:t>
      </w:r>
      <w:bookmarkEnd w:id="47"/>
    </w:p>
    <w:p w14:paraId="7DCD1C43" w14:textId="77777777" w:rsidR="00007F6C" w:rsidRDefault="00007F6C" w:rsidP="00007F6C">
      <w:pPr>
        <w:jc w:val="both"/>
        <w:rPr>
          <w:rFonts w:cs="Times New Roman"/>
        </w:rPr>
      </w:pPr>
      <w:r>
        <w:rPr>
          <w:rFonts w:cs="Times New Roman"/>
        </w:rPr>
        <w:t>This thesis aims to address the catalyst sintering issue present in infiltrated fuel cell anodes:</w:t>
      </w:r>
    </w:p>
    <w:p w14:paraId="40C23A97" w14:textId="77777777" w:rsidR="00007F6C" w:rsidRDefault="00007F6C" w:rsidP="00D80A5D">
      <w:pPr>
        <w:spacing w:line="240" w:lineRule="auto"/>
        <w:jc w:val="both"/>
        <w:rPr>
          <w:rFonts w:cs="Times New Roman"/>
        </w:rPr>
      </w:pPr>
      <w:r>
        <w:rPr>
          <w:rFonts w:cs="Times New Roman"/>
        </w:rPr>
        <w:t>Objectives</w:t>
      </w:r>
    </w:p>
    <w:p w14:paraId="764E7D42" w14:textId="77777777" w:rsidR="00007F6C" w:rsidRDefault="00007F6C" w:rsidP="00D80A5D">
      <w:pPr>
        <w:numPr>
          <w:ilvl w:val="0"/>
          <w:numId w:val="3"/>
        </w:numPr>
        <w:spacing w:after="0" w:line="276" w:lineRule="auto"/>
        <w:jc w:val="both"/>
        <w:rPr>
          <w:rFonts w:cs="Times New Roman"/>
        </w:rPr>
      </w:pPr>
      <w:r>
        <w:rPr>
          <w:rFonts w:cs="Times New Roman"/>
        </w:rPr>
        <w:t>Produce</w:t>
      </w:r>
      <w:r w:rsidRPr="008A79C6">
        <w:rPr>
          <w:rFonts w:cs="Times New Roman"/>
        </w:rPr>
        <w:t xml:space="preserve"> sinter resistant anodes using gas drying </w:t>
      </w:r>
      <w:proofErr w:type="gramStart"/>
      <w:r w:rsidRPr="008A79C6">
        <w:rPr>
          <w:rFonts w:cs="Times New Roman"/>
        </w:rPr>
        <w:t>steps</w:t>
      </w:r>
      <w:proofErr w:type="gramEnd"/>
    </w:p>
    <w:p w14:paraId="3C2834FA" w14:textId="77777777" w:rsidR="00007F6C" w:rsidRPr="008A79C6" w:rsidRDefault="00007F6C" w:rsidP="00D80A5D">
      <w:pPr>
        <w:numPr>
          <w:ilvl w:val="0"/>
          <w:numId w:val="3"/>
        </w:numPr>
        <w:spacing w:after="0" w:line="276" w:lineRule="auto"/>
        <w:jc w:val="both"/>
        <w:rPr>
          <w:rFonts w:cs="Times New Roman"/>
        </w:rPr>
      </w:pPr>
      <w:r w:rsidRPr="008A79C6">
        <w:rPr>
          <w:rFonts w:cs="Times New Roman"/>
        </w:rPr>
        <w:t xml:space="preserve">To reduce </w:t>
      </w:r>
      <w:r>
        <w:rPr>
          <w:rFonts w:cs="Times New Roman"/>
        </w:rPr>
        <w:t xml:space="preserve">the </w:t>
      </w:r>
      <w:r w:rsidRPr="008A79C6">
        <w:rPr>
          <w:rFonts w:cs="Times New Roman"/>
        </w:rPr>
        <w:t>anode specific resistance</w:t>
      </w:r>
      <w:r>
        <w:rPr>
          <w:rFonts w:cs="Times New Roman"/>
        </w:rPr>
        <w:t xml:space="preserve"> degradation rate</w:t>
      </w:r>
      <w:r w:rsidRPr="008A79C6">
        <w:rPr>
          <w:rFonts w:cs="Times New Roman"/>
        </w:rPr>
        <w:t xml:space="preserve"> </w:t>
      </w:r>
      <w:r>
        <w:rPr>
          <w:rFonts w:cs="Times New Roman"/>
        </w:rPr>
        <w:t xml:space="preserve">using drying atmospheres </w:t>
      </w:r>
      <w:r w:rsidRPr="008A79C6">
        <w:rPr>
          <w:rFonts w:cs="Times New Roman"/>
        </w:rPr>
        <w:t>to reduce the impact of nanoparticle coarsening</w:t>
      </w:r>
      <w:r>
        <w:rPr>
          <w:rFonts w:cs="Times New Roman"/>
        </w:rPr>
        <w:t xml:space="preserve"> rate</w:t>
      </w:r>
      <w:r w:rsidRPr="008A79C6">
        <w:rPr>
          <w:rFonts w:cs="Times New Roman"/>
        </w:rPr>
        <w:t xml:space="preserve"> in infiltrated SOFC </w:t>
      </w:r>
      <w:proofErr w:type="gramStart"/>
      <w:r w:rsidRPr="008A79C6">
        <w:rPr>
          <w:rFonts w:cs="Times New Roman"/>
        </w:rPr>
        <w:t>anodes</w:t>
      </w:r>
      <w:proofErr w:type="gramEnd"/>
    </w:p>
    <w:p w14:paraId="6D853927" w14:textId="7E1FA1C7" w:rsidR="00007F6C" w:rsidRPr="008A79C6" w:rsidRDefault="00007F6C" w:rsidP="00D80A5D">
      <w:pPr>
        <w:numPr>
          <w:ilvl w:val="0"/>
          <w:numId w:val="3"/>
        </w:numPr>
        <w:spacing w:after="0" w:line="276" w:lineRule="auto"/>
        <w:jc w:val="both"/>
        <w:rPr>
          <w:rFonts w:cs="Times New Roman"/>
        </w:rPr>
      </w:pPr>
      <w:r w:rsidRPr="008A79C6">
        <w:rPr>
          <w:rFonts w:cs="Times New Roman"/>
        </w:rPr>
        <w:t>Monitor</w:t>
      </w:r>
      <w:r>
        <w:rPr>
          <w:rFonts w:cs="Times New Roman"/>
        </w:rPr>
        <w:t>, identify,</w:t>
      </w:r>
      <w:r w:rsidRPr="008A79C6">
        <w:rPr>
          <w:rFonts w:cs="Times New Roman"/>
        </w:rPr>
        <w:t xml:space="preserve"> and quantify the </w:t>
      </w:r>
      <w:r w:rsidR="008B2375" w:rsidRPr="008A79C6">
        <w:rPr>
          <w:rFonts w:cs="Times New Roman"/>
        </w:rPr>
        <w:t>early-stage</w:t>
      </w:r>
      <w:r w:rsidRPr="008A79C6">
        <w:rPr>
          <w:rFonts w:cs="Times New Roman"/>
        </w:rPr>
        <w:t xml:space="preserve"> sintering mechanisms exhibited by nickel </w:t>
      </w:r>
      <w:proofErr w:type="gramStart"/>
      <w:r w:rsidRPr="008A79C6">
        <w:rPr>
          <w:rFonts w:cs="Times New Roman"/>
        </w:rPr>
        <w:t>nanoparticles</w:t>
      </w:r>
      <w:proofErr w:type="gramEnd"/>
      <w:r>
        <w:rPr>
          <w:rFonts w:cs="Times New Roman"/>
        </w:rPr>
        <w:t xml:space="preserve"> </w:t>
      </w:r>
    </w:p>
    <w:p w14:paraId="2AEE814F" w14:textId="7D3C6CB2" w:rsidR="00007F6C" w:rsidRPr="00DD5847" w:rsidRDefault="00926D6C" w:rsidP="00007F6C">
      <w:pPr>
        <w:pStyle w:val="Heading3"/>
        <w:jc w:val="both"/>
      </w:pPr>
      <w:bookmarkStart w:id="48" w:name="_Toc69129360"/>
      <w:r>
        <w:t>1.7.2</w:t>
      </w:r>
      <w:r>
        <w:tab/>
      </w:r>
      <w:r w:rsidR="00007F6C">
        <w:t>Outline</w:t>
      </w:r>
      <w:bookmarkEnd w:id="48"/>
    </w:p>
    <w:p w14:paraId="2D5FD6FD" w14:textId="7BFCAC4C" w:rsidR="00007F6C" w:rsidRPr="004654D6" w:rsidRDefault="00007F6C" w:rsidP="008B2375">
      <w:pPr>
        <w:spacing w:line="360" w:lineRule="auto"/>
        <w:jc w:val="both"/>
      </w:pPr>
      <w:r w:rsidRPr="004654D6">
        <w:rPr>
          <w:iCs/>
        </w:rPr>
        <w:t>This document is split into 7 chapters. Chapter 1 covers the history and applications of fuel cells. In the second chapter a literature review is conducted assessing the status of infiltrated SOFC anodes. A breakdown of the experimental methods used is discussed in Chapter 3. The use of nitrogen drying atmospheres to control the dispersion</w:t>
      </w:r>
      <w:r>
        <w:rPr>
          <w:iCs/>
        </w:rPr>
        <w:t xml:space="preserve">, </w:t>
      </w:r>
      <w:r w:rsidRPr="004654D6">
        <w:rPr>
          <w:iCs/>
        </w:rPr>
        <w:t xml:space="preserve">size, </w:t>
      </w:r>
      <w:r>
        <w:rPr>
          <w:iCs/>
        </w:rPr>
        <w:t xml:space="preserve">and electrochemical properties </w:t>
      </w:r>
      <w:r w:rsidRPr="004654D6">
        <w:rPr>
          <w:iCs/>
        </w:rPr>
        <w:t>of</w:t>
      </w:r>
      <w:r>
        <w:rPr>
          <w:iCs/>
        </w:rPr>
        <w:t xml:space="preserve"> the</w:t>
      </w:r>
      <w:r w:rsidRPr="004654D6">
        <w:rPr>
          <w:iCs/>
        </w:rPr>
        <w:t xml:space="preserve"> nickel catalyst in infiltrated YSZ </w:t>
      </w:r>
      <w:r>
        <w:rPr>
          <w:iCs/>
        </w:rPr>
        <w:t xml:space="preserve">fuel electrodes </w:t>
      </w:r>
      <w:r w:rsidRPr="004654D6">
        <w:rPr>
          <w:iCs/>
        </w:rPr>
        <w:t xml:space="preserve">is discussed in Chapter 4. Chapter 5 </w:t>
      </w:r>
      <w:r>
        <w:rPr>
          <w:iCs/>
        </w:rPr>
        <w:t xml:space="preserve">details the impact of different current collector materials on the polarisation resistance of wet impregnated fuel electrodes.  </w:t>
      </w:r>
      <w:r w:rsidRPr="004654D6">
        <w:rPr>
          <w:iCs/>
        </w:rPr>
        <w:t>Ptychography</w:t>
      </w:r>
      <w:r>
        <w:rPr>
          <w:iCs/>
        </w:rPr>
        <w:t xml:space="preserve"> is used</w:t>
      </w:r>
      <w:r w:rsidRPr="004654D6">
        <w:rPr>
          <w:iCs/>
        </w:rPr>
        <w:t xml:space="preserve"> for the m</w:t>
      </w:r>
      <w:r>
        <w:rPr>
          <w:iCs/>
        </w:rPr>
        <w:t>icrostructural quantification of changes</w:t>
      </w:r>
      <w:r w:rsidRPr="004654D6">
        <w:rPr>
          <w:iCs/>
        </w:rPr>
        <w:t xml:space="preserve"> in </w:t>
      </w:r>
      <w:r>
        <w:rPr>
          <w:iCs/>
        </w:rPr>
        <w:t>nanoscale infiltrated</w:t>
      </w:r>
      <w:r w:rsidRPr="004654D6">
        <w:rPr>
          <w:iCs/>
        </w:rPr>
        <w:t xml:space="preserve"> electrodes </w:t>
      </w:r>
      <w:r>
        <w:rPr>
          <w:iCs/>
        </w:rPr>
        <w:t xml:space="preserve">during SOFC ageing </w:t>
      </w:r>
      <w:r w:rsidRPr="004654D6">
        <w:rPr>
          <w:iCs/>
        </w:rPr>
        <w:t xml:space="preserve">in Chapter 6. </w:t>
      </w:r>
      <w:r w:rsidRPr="004654D6">
        <w:t>Chapter 7 provides a short summary of this thesis and outlines routes of further study.</w:t>
      </w:r>
    </w:p>
    <w:p w14:paraId="50C77CA7" w14:textId="77777777" w:rsidR="00007F6C" w:rsidRDefault="00007F6C" w:rsidP="00007F6C">
      <w:r>
        <w:br w:type="page"/>
      </w:r>
    </w:p>
    <w:p w14:paraId="1005FD38" w14:textId="77777777" w:rsidR="00007F6C" w:rsidRPr="001461AE" w:rsidRDefault="00007F6C" w:rsidP="00007F6C">
      <w:pPr>
        <w:pStyle w:val="Heading1"/>
      </w:pPr>
      <w:bookmarkStart w:id="49" w:name="_Toc69129361"/>
      <w:r w:rsidRPr="001461AE">
        <w:lastRenderedPageBreak/>
        <w:t>Chapter 2: Literature Review</w:t>
      </w:r>
      <w:bookmarkEnd w:id="49"/>
    </w:p>
    <w:p w14:paraId="50D00C0F" w14:textId="77777777" w:rsidR="00007F6C" w:rsidRDefault="00007F6C" w:rsidP="004B726A">
      <w:pPr>
        <w:pStyle w:val="Heading2"/>
      </w:pPr>
      <w:bookmarkStart w:id="50" w:name="_Toc69129362"/>
      <w:r>
        <w:t>2.1</w:t>
      </w:r>
      <w:r>
        <w:tab/>
        <w:t>Motivation</w:t>
      </w:r>
      <w:bookmarkEnd w:id="50"/>
    </w:p>
    <w:p w14:paraId="586B7690" w14:textId="585ECD1E" w:rsidR="00007F6C" w:rsidRDefault="00007F6C" w:rsidP="00007F6C">
      <w:pPr>
        <w:jc w:val="both"/>
      </w:pPr>
      <w:r>
        <w:t>The high operating temperature of Solid Oxide Fuel Cells (650-1000</w:t>
      </w:r>
      <w:r>
        <w:rPr>
          <w:rFonts w:cstheme="minorHAnsi"/>
        </w:rPr>
        <w:t>°</w:t>
      </w:r>
      <w:r>
        <w:t xml:space="preserve">C) promotes high reaction kinetics and promotes total energy efficiencies of up to 85% in combined heat and power systems (CHPs) </w:t>
      </w:r>
      <w:r>
        <w:fldChar w:fldCharType="begin" w:fldLock="1"/>
      </w:r>
      <w:r>
        <w:instrText>ADDIN CSL_CITATION {"citationItems":[{"id":"ITEM-1","itemData":{"DOI":"10.1016/j.jpowsour.2015.05.050","ISBN":"0378-7753","ISSN":"03787753","abstract":"Combined Heat and Power (CHP) is the sequential or simultaneous generation of multiple forms of useful energy, usually electrical and thermal, in a single and integrated system. Implementing CHP systems in the current energy sector may solve energy shortages, climate change and energy conservation issues. This review paper is divided into six sections: the first part defines and classifies the types of fuel cell used in CHP systems; the second part discusses the current status of fuel cell CHP (FC-CHP) around the world and highlights the benefits and drawbacks of CHP systems; the third part focuses on techniques for modelling CHP systems. The fourth section gives a thorough comparison and discussion of the two main fuel cell technologies used in FC-CHP (PEMFC and SOFC), characterising their technical performance and recent developments from the major manufacturers. The fifth section describes all the main components of FC-CHP systems and explains the issues connected with their practical application. The last part summarises the above, and reflects on micro FC-CHP system technology and its future prospects.","author":[{"dropping-particle":"","family":"Ellamla","given":"Harikishan R.","non-dropping-particle":"","parse-names":false,"suffix":""},{"dropping-particle":"","family":"Staffell","given":"Iain","non-dropping-particle":"","parse-names":false,"suffix":""},{"dropping-particle":"","family":"Bujlo","given":"Piotr","non-dropping-particle":"","parse-names":false,"suffix":""},{"dropping-particle":"","family":"Pollet","given":"Bruno G.","non-dropping-particle":"","parse-names":false,"suffix":""},{"dropping-particle":"","family":"Pasupathi","given":"Sivakumar","non-dropping-particle":"","parse-names":false,"suffix":""}],"container-title":"Journal of Power Sources","id":"ITEM-1","issued":{"date-parts":[["2015"]]},"page":"312-328","publisher":"Elsevier B.V","title":"Current status of fuel cell based combined heat and power systems for residential sector","type":"article-journal","volume":"293"},"uris":["http://www.mendeley.com/documents/?uuid=71882e32-89c8-4917-8af8-8690e187a85b"]},{"id":"ITEM-2","itemData":{"ISBN":"DOE/EE-1332","author":[{"dropping-particle":"","family":"Energy","given":"U S Department of","non-dropping-particle":"","parse-names":false,"suffix":""}],"editor":[{"dropping-particle":"","family":"Energy","given":"U S Department of","non-dropping-particle":"","parse-names":false,"suffix":""}],"id":"ITEM-2","issued":{"date-parts":[["2016"]]},"number-of-pages":"1-4","publisher-place":"U.S. Department of Energy","title":"Combined Heat and Power Technology Fact Sheet Series","type":"report"},"uris":["http://www.mendeley.com/documents/?uuid=5a4bfb3b-14cf-4d03-85fe-14e2d45c76f8"]},{"id":"ITEM-3","itemData":{"DOI":"10.1016/j.jpowsour.2013.03.001","ISBN":"0378-7753","ISSN":"03787753","abstract":"Over the past half-century, Siemens/Westinghouse systematically developed the cathode-supported tubular solid oxide fuel cell (SOFC) technology and demonstrated the world's first highly efficient, longest running 100-kWe class solid oxide fuel cell/combined heat and power (SOFC/CHP) system and the first highest-efficiency, 220-kWe class pressurized SOFC/gas turbine (PSOFC/GT) hybrid system based on this technology. This review provides a broad overview on this technology from the perspectives of materials, manufacturing, cell design, system integration and electrical testing. It starts from the basic facts of a SOFC, where the working principle, advantages, types and applications of SOFCs are discussed. It then focuses on cathode-supported tubular SOFCs, one important type of SOFC design, by providing detailed technical information on engineering innovations, materials advances, manufacturing processes and electrical performance of Siemens/Westinghouse's cylindrical and flattened ribbed tubular cells. The review concludes with a high-level summary of the SOFC systems manufactured and demonstrated by Siemens/Westinghouse in the past few decades. © 2013 Elsevier B.V. All rights reserved.","author":[{"dropping-particle":"","family":"Huang","given":"Kevin","non-dropping-particle":"","parse-names":false,"suffix":""},{"dropping-particle":"","family":"Singhal","given":"Subhash C.","non-dropping-particle":"","parse-names":false,"suffix":""}],"container-title":"Journal of Power Sources","id":"ITEM-3","issued":{"date-parts":[["2013"]]},"language":"English","note":"173nh\nTimes Cited:38\nCited References Count:82","page":"84-97","title":"Cathode-supported tubular solid oxide fuel cell technology: A critical review","type":"article-journal","volume":"237"},"uris":["http://www.mendeley.com/documents/?uuid=a642d227-2e33-4b4f-8a97-ad2a9d6f4471"]},{"id":"ITEM-4","itemData":{"DOI":"10.1039/c1ee02445k","ISSN":"17545692","abstract":"The 2012 Department of Energy (DOE) budget request significantly reduces fuel cell RD&amp;D funding and would cease to support the Solid State Energy Conversion Alliance (SECA), DOE's solid oxide fuel cell (SOFC) program. This would be a grave mistake considering the US's historic dominance in fuel cell RD&amp;D, exciting recent technological advancements in fuel cells, and clear positive market signals around the globe. In this paper we discuss DOE's energy RD&amp;D policy, how SOFCs address every key DOE strategy, and why recent advances should make SOFCs an integral part of our energy RD&amp;D policy. Moreover, we compare the prospects of low temperature SOFCs with the more common proton exchange membrane fuel cell (PEMFC) in the absence of a hydrogen infrastructure. © The Royal Society of Chemistry 2012.","author":[{"dropping-particle":"","family":"Wachsman","given":"Eric D.","non-dropping-particle":"","parse-names":false,"suffix":""},{"dropping-particle":"","family":"Marlowe","given":"Craig A.","non-dropping-particle":"","parse-names":false,"suffix":""},{"dropping-particle":"","family":"Lee","given":"Kang Taek","non-dropping-particle":"","parse-names":false,"suffix":""}],"container-title":"Energy and Environmental Science","id":"ITEM-4","issue":"2","issued":{"date-parts":[["2012"]]},"page":"5498-5509","title":"Role of solid oxide fuel cells in a balanced energy strategy","type":"article-journal","volume":"5"},"uris":["http://www.mendeley.com/documents/?uuid=4cb63338-bf7a-47f2-a752-19de48ac0023"]}],"mendeley":{"formattedCitation":"[3], [4], [31], [41]","plainTextFormattedCitation":"[3], [4], [31], [41]","previouslyFormattedCitation":"[3], [4], [31], [41]"},"properties":{"noteIndex":0},"schema":"https://github.com/citation-style-language/schema/raw/master/csl-citation.json"}</w:instrText>
      </w:r>
      <w:r>
        <w:fldChar w:fldCharType="separate"/>
      </w:r>
      <w:r w:rsidRPr="00FD168C">
        <w:rPr>
          <w:noProof/>
        </w:rPr>
        <w:t>[3], [4], [31], [41]</w:t>
      </w:r>
      <w:r>
        <w:fldChar w:fldCharType="end"/>
      </w:r>
      <w:r>
        <w:t xml:space="preserve">. </w:t>
      </w:r>
      <w:r w:rsidRPr="00A109A1">
        <w:t>Despite these highly favourable efficiency statistics there are numerous disadvantages with such conditions. A typical solid oxide cell is expected to operate for 40,000-50,000</w:t>
      </w:r>
      <w:r>
        <w:t xml:space="preserve"> </w:t>
      </w:r>
      <w:r w:rsidRPr="00A109A1">
        <w:t xml:space="preserve">h or between 4.5 – 5 years, hence the use of ceramics due to their </w:t>
      </w:r>
      <w:r>
        <w:t xml:space="preserve">excellent </w:t>
      </w:r>
      <w:r w:rsidRPr="00A109A1">
        <w:t>thermal stability</w:t>
      </w:r>
      <w:r>
        <w:t xml:space="preserve"> </w:t>
      </w:r>
      <w:r>
        <w:fldChar w:fldCharType="begin" w:fldLock="1"/>
      </w:r>
      <w:r w:rsidR="006C586A">
        <w:instrText xml:space="preserve">ADDIN CSL_CITATION {"citationItems":[{"id":"ITEM-1","itemData":{"DOI":"10.1039/c5ee03858h","ISBN":"1754-5692","ISSN":"17545706","abstract":"This article provides a perspective review of low-temperature solid oxide fuel cells research and development.This article provides a perspective on solid oxide fuel cells operating at low temperature, defined here to be the range from </w:instrText>
      </w:r>
      <w:r w:rsidR="006C586A">
        <w:rPr>
          <w:rFonts w:ascii="Cambria Math" w:hAnsi="Cambria Math" w:cs="Cambria Math"/>
        </w:rPr>
        <w:instrText>∼</w:instrText>
      </w:r>
      <w:r w:rsidR="006C586A">
        <w:instrText xml:space="preserve">400 </w:instrText>
      </w:r>
      <w:r w:rsidR="006C586A">
        <w:rPr>
          <w:rFonts w:ascii="Calibri" w:hAnsi="Calibri" w:cs="Calibri"/>
        </w:rPr>
        <w:instrText>°</w:instrText>
      </w:r>
      <w:r w:rsidR="006C586A">
        <w:instrText xml:space="preserve">C to 650 </w:instrText>
      </w:r>
      <w:r w:rsidR="006C586A">
        <w:rPr>
          <w:rFonts w:ascii="Calibri" w:hAnsi="Calibri" w:cs="Calibri"/>
        </w:rPr>
        <w:instrText>°</w:instrText>
      </w:r>
      <w:r w:rsidR="006C586A">
        <w:instrText xml:space="preserve">C. These low-temperature solid oxide fuel cells (LT-SOFCs) have seen considerable research and development and are widely viewed as the </w:instrText>
      </w:r>
      <w:r w:rsidR="006C586A">
        <w:rPr>
          <w:rFonts w:ascii="Calibri" w:hAnsi="Calibri" w:cs="Calibri"/>
        </w:rPr>
        <w:instrText>“</w:instrText>
      </w:r>
      <w:r w:rsidR="006C586A">
        <w:instrText>next generation</w:instrText>
      </w:r>
      <w:r w:rsidR="006C586A">
        <w:rPr>
          <w:rFonts w:ascii="Calibri" w:hAnsi="Calibri" w:cs="Calibri"/>
        </w:rPr>
        <w:instrText>”</w:instrText>
      </w:r>
      <w:r w:rsidR="006C586A">
        <w:instrText xml:space="preserve"> technology, following the 650</w:instrText>
      </w:r>
      <w:r w:rsidR="006C586A">
        <w:rPr>
          <w:rFonts w:ascii="Calibri" w:hAnsi="Calibri" w:cs="Calibri"/>
        </w:rPr>
        <w:instrText>–</w:instrText>
      </w:r>
      <w:r w:rsidR="006C586A">
        <w:instrText xml:space="preserve">850 </w:instrText>
      </w:r>
      <w:r w:rsidR="006C586A">
        <w:rPr>
          <w:rFonts w:ascii="Calibri" w:hAnsi="Calibri" w:cs="Calibri"/>
        </w:rPr>
        <w:instrText>°</w:instrText>
      </w:r>
      <w:r w:rsidR="006C586A">
        <w:instrText>C SOFCs that are currently undergoing commercialization. LT-SOFCs have potential advantages for conventional SOFC applications such as stationary power generation, and may be viable for new portable and transportation power applications, along with electrolytic fuel production and energy storage. The characteristics of electrolyte and electrode materials are reviewed, with a focus on materials that have demonstrated good properties and cell performance at low temperature. Only oxygen-ion-conducting electrolytes are considered here. Anode materials are discussed, primarily the various Ni–cermet anode compositions that yield good low-temperature performance. Mixed ionically and electronically conducting cathode materials are described in detail, reflecting the extensive research activity that has aimed at providing useful oxygen reduction kinetics at low operating temperature. Cell design, materials compatibility, processing methods, and resulting microstructures are discussed, along with their role in determining cell performance. Results from state of the art LT-SOFCs are presented, and future prospects are discussed.","author":[{"dropping-particle":"","family":"Gao","given":"Zhan","non-dropping-particle":"","parse-names":false,"suffix":""},{"dropping-particle":"V.","family":"Mogni","given":"Liliana","non-dropping-particle":"","parse-names":false,"suffix":""},{"dropping-particle":"","family":"Miller","given":"Elizabeth C.","non-dropping-particle":"","parse-names":false,"suffix":""},{"dropping-particle":"","family":"Railsback","given":"Justin G.","non-dropping-particle":"","parse-names":false,"suffix":""},{"dropping-particle":"","family":"Barnett","given":"Scott A.","non-dropping-particle":"","parse-names":false,"suffix":""}],"container-title":"Energy and Environmental Science","id":"ITEM-1","issue":"5","issued":{"date-parts":[["2016"]]},"language":"English","note":"Dl5tj\nTimes Cited:5\nCited References Count:505","page":"1602-1644","title":"A perspective on low-temperature solid oxide fuel cells","type":"article-journal","volume":"9"},"uris":["http://www.mendeley.com/documents/?uuid=ebe18e5a-0207-4340-a107-37bc019ae173"]},{"id":"ITEM-2","itemData":{"author":[{"dropping-particle":"","family":"NREL","given":"","non-dropping-particle":"","parse-names":false,"suffix":""}],"edition":"1st","editor":[{"dropping-particle":"","family":"Energy","given":"U S Department of","non-dropping-particle":"","parse-names":false,"suffix":""}],"id":"ITEM-2","issue":"NREL/BK-6A10-48265","issued":{"date-parts":[["2010"]]},"number-of-pages":"1-40","publisher-place":"US Department of Energy","title":"1–10 kW Stationary Combined Heat and Power Systems Status and Technical Potential . Independent Review Published for the U.S. Department of Energy Hydrogen and Fuel Cells Program","type":"report"},"uris":["http://www.mendeley.com/documents/?uuid=629c05b3-f2a4-426f-b4cb-c1dd08720611"]},{"id":"ITEM-3","itemData":{"DOI":"10.1038/35104620","ISBN":"0028-0836 (Print)\r0028-0836 (Linking)","PMID":"11713541","abstract":"Fuel cells convert chemical energy directly into electrical energy with high efficiency and low emission of pollutants. However, before fuel-cell technology can gain a significant share of the electrical power market, important issues have to be addressed. These issues include optimal choice of fuel, and the development of alternative materials in the fuel-cell stack. Present fuel-cell prototypes often use materials selected more than 25 years ago. Commercialization aspects, including cost and durability, have revealed inadequacies in some of these materials. Here we summarize recent progress in the search and development of innovative alternative materials.","author":[{"dropping-particle":"","family":"Steele","given":"B C","non-dropping-particle":"","parse-names":false,"suffix":""},{"dropping-particle":"","family":"Heinzel","given":"A","non-dropping-particle":"","parse-names":false,"suffix":""}],"container-title":"Nature","id":"ITEM-3","issue":"6861","issued":{"date-parts":[["2001"]]},"note":"Steele, B C\nHeinzel, A\nENG\nEngland\n2001/11/20 10:00\nNature. 2001 Nov 15;414(6861):345-52.","page":"345-352","title":"Materials for fuel-cell technologies","type":"article-journal","volume":"414"},"uris":["http://www.mendeley.com/documents/?uuid=e4e6330b-2c51-4ba3-9733-963ce3c842fc"]}],"mendeley":{"formattedCitation":"[30], [91], [100]","plainTextFormattedCitation":"[30], [91], [100]","previouslyFormattedCitation":"[30], [91], [100]"},"properties":{"noteIndex":0},"schema":"https://github.com/citation-style-language/schema/raw/master/csl-citation.json"}</w:instrText>
      </w:r>
      <w:r>
        <w:fldChar w:fldCharType="separate"/>
      </w:r>
      <w:r w:rsidR="00FF11D6" w:rsidRPr="00FF11D6">
        <w:rPr>
          <w:noProof/>
        </w:rPr>
        <w:t>[30], [91], [100]</w:t>
      </w:r>
      <w:r>
        <w:fldChar w:fldCharType="end"/>
      </w:r>
      <w:r w:rsidRPr="00A109A1">
        <w:t>.</w:t>
      </w:r>
      <w:r>
        <w:t xml:space="preserve"> </w:t>
      </w:r>
      <w:r w:rsidRPr="00CE01EE">
        <w:t>However, current state of the art SOFCs struggle to produce the operating times stated above due to issues encouraged by the high operating temperatures and aggressive atmospheres</w:t>
      </w:r>
      <w:r>
        <w:t xml:space="preserve"> </w:t>
      </w:r>
      <w:r>
        <w:fldChar w:fldCharType="begin" w:fldLock="1"/>
      </w:r>
      <w:r w:rsidR="00D80A5D">
        <w:instrText>ADDIN CSL_CITATION {"citationItems":[{"id":"ITEM-1","itemData":{"DOI":"10.1016/j.jpowsour.2018.04.080","ISSN":"03787753","abstract":"The agglomeration of nickel (Ni) particles in a Ni-cermet anode is a significant degradation phenomenon for solid oxide fuel cells (SOFCs). This work aims to predict the performance degradation of SOFCs due to Ni grain growth by using a simplified approach. Accelerated aging of Ni-scandia stabilized zirconia (SSZ) as an SOFC anode is carried out at 900 °C and subsequent microstructural evolution is investigated every 100 h up to 1000 h using scanning electron microscopy (SEM). The resulting morphological changes are quantified using a two-dimensional image analysis technique that yields the particle size, phase proportion, and triple phase boundary (TPB) point distribution. The electrochemical properties of an anode-supported SOFC are characterized using electrochemical impedance spectroscopy (EIS). The changes of particle size and TPB length in the anode as a function of time are in excellent agreement with the power-law coarsening model. This model is further combined with an electrochemical model to predict the changes in the anode polarization resistance. The predicted polarization resistances are in good agreement with the experimentally obtained values. This model for prediction of anode lifetime provides deep insight into the time-dependent Ni agglomeration behavior and its impact on the electrochemical performance degradation of the SOFC anode.","author":[{"dropping-particle":"","family":"Khan","given":"Muhammad Zubair","non-dropping-particle":"","parse-names":false,"suffix":""},{"dropping-particle":"","family":"Mehran","given":"Muhammad Taqi","non-dropping-particle":"","parse-names":false,"suffix":""},{"dropping-particle":"","family":"Song","given":"Rak Hyun","non-dropping-particle":"","parse-names":false,"suffix":""},{"dropping-particle":"","family":"Lee","given":"Jong Won","non-dropping-particle":"","parse-names":false,"suffix":""},{"dropping-particle":"","family":"Lee","given":"Seung Bok","non-dropping-particle":"","parse-names":false,"suffix":""},{"dropping-particle":"","family":"Lim","given":"Tak Hyoung","non-dropping-particle":"","parse-names":false,"suffix":""}],"container-title":"Journal of Power Sources","id":"ITEM-1","issue":"February","issued":{"date-parts":[["2018"]]},"page":"94-105","publisher":"Elsevier","title":"A simplified approach to predict performance degradation of a solid oxide fuel cell anode","type":"article-journal","volume":"391"},"uris":["http://www.mendeley.com/documents/?uuid=f8aa6c90-7d89-4b77-a60b-949792028d90"]},{"id":"ITEM-2","itemData":{"DOI":"10.1016/j.jpowsour.2008.02.016","ISSN":"03787753","abstract":"The fundamental issues associated with solid oxide fuel cell (SOFC) durability have been reviewed with an emphasis on general features in SOFCs and respective anode and cathode related phenomena. As general features, physicochemical properties and cell performance degradation/failure are correlated and bridged by the electrode reaction mechanisms. Particular emphasis is placed on the elemental behaviour of gaseous impurities and the possible role of liquids formed from gaseous substances. The lifetime of a state-of-the-art Ni cermet anodes is limited by a variety of microstructural changes, which mainly result from material transport-, deactivation- and thermomechanical mechanisms. Anode degradation can mainly be influenced by processing, conceptual and operating parameters. Designing a redox stable anode is currently one of the biggest challenges for small scale SOFC systems. Degradation mechanisms of different cathode materials are reviewed with a focus on the intrinsic degradation of doped lanthanum manganites (e.g. LSM) and doped lanthanum ferro-cobaltites (LSCF). Manganese-based perovskites can be regarded to be sufficiently stable, while for the better performing LSCF cathodes some intrinsic degradation was detected. New materials that are supposed to combine a better stability and high performance are also shortly mentioned. © 2008 Elsevier B.V. All rights reserved.","author":[{"dropping-particle":"","family":"Yokokawa","given":"Harumi","non-dropping-particle":"","parse-names":false,"suffix":""},{"dropping-particle":"","family":"Tu","given":"Hengyong","non-dropping-particle":"","parse-names":false,"suffix":""},{"dropping-particle":"","family":"Iwanschitz","given":"Boris","non-dropping-particle":"","parse-names":false,"suffix":""},{"dropping-particle":"","family":"Mai","given":"Andreas","non-dropping-particle":"","parse-names":false,"suffix":""}],"container-title":"Journal of Power Sources","id":"ITEM-2","issue":"2","issued":{"date-parts":[["2008"]]},"page":"400-412","title":"Fundamental mechanisms limiting solid oxide fuel cell durability","type":"article-journal","volume":"182"},"uris":["http://www.mendeley.com/documents/?uuid=f8a3d95d-9a07-482a-a20a-7832272eae7d"]}],"mendeley":{"formattedCitation":"[67], [103]","plainTextFormattedCitation":"[67], [103]","previouslyFormattedCitation":"[67], [103]"},"properties":{"noteIndex":0},"schema":"https://github.com/citation-style-language/schema/raw/master/csl-citation.json"}</w:instrText>
      </w:r>
      <w:r>
        <w:fldChar w:fldCharType="separate"/>
      </w:r>
      <w:r w:rsidR="006C586A" w:rsidRPr="006C586A">
        <w:rPr>
          <w:noProof/>
        </w:rPr>
        <w:t>[67], [103]</w:t>
      </w:r>
      <w:r>
        <w:fldChar w:fldCharType="end"/>
      </w:r>
      <w:r w:rsidRPr="00CE01EE">
        <w:t xml:space="preserve">. </w:t>
      </w:r>
    </w:p>
    <w:p w14:paraId="5EAE4E1D" w14:textId="14690B75" w:rsidR="00007F6C" w:rsidRDefault="00007F6C" w:rsidP="00007F6C">
      <w:pPr>
        <w:jc w:val="both"/>
      </w:pPr>
      <w:r>
        <w:t xml:space="preserve">Four main sources of degradation in the fuel electrode are documented in the literature </w:t>
      </w:r>
      <w:r>
        <w:fldChar w:fldCharType="begin" w:fldLock="1"/>
      </w:r>
      <w:r w:rsidR="00D80A5D">
        <w:instrText>ADDIN CSL_CITATION {"citationItems":[{"id":"ITEM-1","itemData":{"DOI":"10.3390/electronics7110323","ISSN":"20799292","abstract":"Solid oxide fuel cells (SOFCs) are a highly efficient chemical to electrical energy conversion devices that have potential in a global energy strategy. The wide adoption of SOFCs is currently limited by cost and concerns about cell durability. Improved understanding of their degradation modes and mechanisms combined with reduction–oxidation stable anodes via all-ceramic-anode cell technology are expected to lead to durability improvements, while economies of scale for production will mitigate cost of commercialization. This paper presents an Ishikawa analysis and a failure modes, mechanisms, effects, and criticality analysis (FMMECA) for all-ceramic anode based SOFCs. FMMECA takes into account the life cycle conditions, multiple failure mechanisms, and their potential effects on fuel-cell health and safety.","author":[{"dropping-particle":"","family":"Patel","given":"Nripendra K.","non-dropping-particle":"","parse-names":false,"suffix":""},{"dropping-particle":"","family":"Bishop","given":"Sean R.","non-dropping-particle":"","parse-names":false,"suffix":""},{"dropping-particle":"","family":"Utter","given":"Robert G.","non-dropping-particle":"","parse-names":false,"suffix":""},{"dropping-particle":"","family":"Das","given":"Diganta","non-dropping-particle":"","parse-names":false,"suffix":""},{"dropping-particle":"","family":"Pecht","given":"Michael","non-dropping-particle":"","parse-names":false,"suffix":""}],"container-title":"Electronics (Switzerland)","id":"ITEM-1","issue":"11","issued":{"date-parts":[["2018"]]},"title":"Failure modes, mechanisms, effects, and criticality analysis of ceramic anodes of solid oxide fuel cells","type":"article-journal","volume":"7"},"uris":["http://www.mendeley.com/documents/?uuid=b461a009-c3a7-4284-b357-c079bbeabb41"]},{"id":"ITEM-2","itemData":{"DOI":"10.1016/j.jpowsour.2008.02.016","ISSN":"03787753","abstract":"The fundamental issues associated with solid oxide fuel cell (SOFC) durability have been reviewed with an emphasis on general features in SOFCs and respective anode and cathode related phenomena. As general features, physicochemical properties and cell performance degradation/failure are correlated and bridged by the electrode reaction mechanisms. Particular emphasis is placed on the elemental behaviour of gaseous impurities and the possible role of liquids formed from gaseous substances. The lifetime of a state-of-the-art Ni cermet anodes is limited by a variety of microstructural changes, which mainly result from material transport-, deactivation- and thermomechanical mechanisms. Anode degradation can mainly be influenced by processing, conceptual and operating parameters. Designing a redox stable anode is currently one of the biggest challenges for small scale SOFC systems. Degradation mechanisms of different cathode materials are reviewed with a focus on the intrinsic degradation of doped lanthanum manganites (e.g. LSM) and doped lanthanum ferro-cobaltites (LSCF). Manganese-based perovskites can be regarded to be sufficiently stable, while for the better performing LSCF cathodes some intrinsic degradation was detected. New materials that are supposed to combine a better stability and high performance are also shortly mentioned. © 2008 Elsevier B.V. All rights reserved.","author":[{"dropping-particle":"","family":"Yokokawa","given":"Harumi","non-dropping-particle":"","parse-names":false,"suffix":""},{"dropping-particle":"","family":"Tu","given":"Hengyong","non-dropping-particle":"","parse-names":false,"suffix":""},{"dropping-particle":"","family":"Iwanschitz","given":"Boris","non-dropping-particle":"","parse-names":false,"suffix":""},{"dropping-particle":"","family":"Mai","given":"Andreas","non-dropping-particle":"","parse-names":false,"suffix":""}],"container-title":"Journal of Power Sources","id":"ITEM-2","issue":"2","issued":{"date-parts":[["2008"]]},"page":"400-412","title":"Fundamental mechanisms limiting solid oxide fuel cell durability","type":"article-journal","volume":"182"},"uris":["http://www.mendeley.com/documents/?uuid=f8a3d95d-9a07-482a-a20a-7832272eae7d"]},{"id":"ITEM-3","itemData":{"DOI":"10.1016/j.ceramint.2015.09.006","ISBN":"0272-8842","ISSN":"02728842","abstract":"This paper summarizes various mechanisms involved in the degradation of Solid Oxide Fuel Cells (SOFCs) anode. Ni–YSZ is the most commonly used anode material in SOFCs, since it has various advantages such as high catalytic activity for H2, methane reforming, stability and high electronic conductivity. However, this material shows various types of degradations when used at high temperatures for prolonged time periods. The different types include Ni grain growth by sintering, carbon coking, sulfur poisoning and redox cycling. The in-detail mechanism of each type of degradation followed by different controlling mechanisms has been presented in greater detail. Modifications in the Ni–YSZ microstructure and optimization of operating conditions can effectively increase the life time of SOFCs and help in their commercialization.","author":[{"dropping-particle":"","family":"Khan","given":"Muhammad Shirjeel","non-dropping-particle":"","parse-names":false,"suffix":""},{"dropping-particle":"","family":"Lee","given":"Seung Bok","non-dropping-particle":"","parse-names":false,"suffix":""},{"dropping-particle":"","family":"Song","given":"Rak Hyun","non-dropping-particle":"","parse-names":false,"suffix":""},{"dropping-particle":"","family":"Lee","given":"Jong Won","non-dropping-particle":"","parse-names":false,"suffix":""},{"dropping-particle":"","family":"Lim","given":"Tak Hyoung","non-dropping-particle":"","parse-names":false,"suffix":""},{"dropping-particle":"","family":"Park","given":"Seok Joo","non-dropping-particle":"","parse-names":false,"suffix":""}],"chapter-number":"35","container-title":"Ceramics International","id":"ITEM-3","issue":"1","issued":{"date-parts":[["2016"]]},"page":"35-48","title":"Fundamental mechanisms involved in the degradation of nickel–yttria stabilized zirconia (Ni–YSZ) anode during solid oxide fuel cells operation: A review","type":"article-journal","volume":"42"},"uris":["http://www.mendeley.com/documents/?uuid=30e37a32-e88f-469a-9f05-5ee58878e7d2"]},{"id":"ITEM-4","itemData":{"DOI":"10.1016/j.pmatsci.2015.01.001","ISBN":"0079-6425","ISSN":"00796425","PMID":"25653388","abstract":"Solid oxide fuel cells (SOFC) have emerged as energy conversion devices in achieving high efficiency of over 70% with regeneration. The critical components of SOFC include anode, electrolyte, and cathode. However, for a stack of individual SOFCs, the evaluation of sealants and interconnects are also essential. In this review article, material selection, fundamentals of operation and underlying mechanisms, processing, microstructural and phase characterization, and the functionality and performance of individual SOFC components are presented in detail. The major challenges and complexity in functional section of SOFC include: (i) poisoning via sulfur and coke deposition, surface diffusion of adsorbate, and charge transfer at triple-phase boundary (TPB) in anode, (ii) hindered O&lt;sup&gt;2-&lt;/sup&gt; migration that converts chemical energy into electrical energy in the solid electrolyte (thus, the creation of ion transfer channels, ease of O&lt;sup&gt;2-&lt;/sup&gt; migration, dissociation of vacancy around dopants, straining of lattice, and other factors such as control of phase and its distribution, grain and grain boundary conductivity, become critical in designing the electrolytes for SOFCs), (iii) multiple rate determining factors such as geometry of active surfaces, and existence of overpotential, in cathode (thereby, comprehensive electrochemical impedance spectroscopy is required for the analysis of solid cathodes in SOFC), (iv) chemical incompatibility and instability in both oxidizing and reducing environments while matching the coefficient of thermal expansion (CTE) in the interconnects in order to sustain large number of thermal cycling during the operation of SOFC, and (v) isolation of the fuel and oxidizing gases while matching the CTE of the anode, cathode and interconnects, using sealant. Moreover, the glass-transition of sealant dictates the maximum allowable working temperature of SOFC. Thus, the necessitated temporal progress in material selection along with a detailed insight into the conceptual role of thermodynamics and kinetics of surface/cell reactions, effect of phases and microstructure on conductivity, fuel flexibility and deterioration in performance of individual fuel cell components, and evolution of new materials are coherently presented. This article provides a comprehensive review with respect to the structure, chemistry, design and selection of materials, underlying mechanisms, and performance of each SOFC component, and it opens up the futur…","author":[{"dropping-particle":"","family":"Mahato","given":"Neelima","non-dropping-particle":"","parse-names":false,"suffix":""},{"dropping-particle":"","family":"Banerjee","given":"Amitava","non-dropping-particle":"","parse-names":false,"suffix":""},{"dropping-particle":"","family":"Gupta","given":"Alka","non-dropping-particle":"","parse-names":false,"suffix":""},{"dropping-particle":"","family":"Omar","given":"Shobit","non-dropping-particle":"","parse-names":false,"suffix":""},{"dropping-particle":"","family":"Balani","given":"Kantesh","non-dropping-particle":"","parse-names":false,"suffix":""}],"container-title":"Progress in Materials Science","id":"ITEM-4","issued":{"date-parts":[["2015"]]},"language":"English","note":"From Duplicate 2 (Progress in material selection for solid oxide fuel cell technology: A review - Mahato, Neelima; Banerjee, Amitava; Gupta, Alka; Omar, Shobit; Balani, Kantesh)\n\nCl1wm\nTimes Cited:247\nCited References Count:1080","page":"141-337","title":"Progress in material selection for solid oxide fuel cell technology: A review","type":"article-journal","volume":"72"},"uris":["http://www.mendeley.com/documents/?uuid=d9d42a7d-64c2-459b-aa15-7f1d36f5fd74"]}],"mendeley":{"formattedCitation":"[103]–[106]","plainTextFormattedCitation":"[103]–[106]","previouslyFormattedCitation":"[103]–[106]"},"properties":{"noteIndex":0},"schema":"https://github.com/citation-style-language/schema/raw/master/csl-citation.json"}</w:instrText>
      </w:r>
      <w:r>
        <w:fldChar w:fldCharType="separate"/>
      </w:r>
      <w:r w:rsidR="006C586A" w:rsidRPr="006C586A">
        <w:rPr>
          <w:noProof/>
        </w:rPr>
        <w:t>[103]–[106]</w:t>
      </w:r>
      <w:r>
        <w:fldChar w:fldCharType="end"/>
      </w:r>
      <w:r>
        <w:t xml:space="preserve">. These stem from the environment, fuel, operation, and materials used </w:t>
      </w:r>
      <w:r>
        <w:fldChar w:fldCharType="begin" w:fldLock="1"/>
      </w:r>
      <w:r w:rsidR="00D80A5D">
        <w:instrText>ADDIN CSL_CITATION {"citationItems":[{"id":"ITEM-1","itemData":{"DOI":"10.3390/electronics7110323","ISSN":"20799292","abstract":"Solid oxide fuel cells (SOFCs) are a highly efficient chemical to electrical energy conversion devices that have potential in a global energy strategy. The wide adoption of SOFCs is currently limited by cost and concerns about cell durability. Improved understanding of their degradation modes and mechanisms combined with reduction–oxidation stable anodes via all-ceramic-anode cell technology are expected to lead to durability improvements, while economies of scale for production will mitigate cost of commercialization. This paper presents an Ishikawa analysis and a failure modes, mechanisms, effects, and criticality analysis (FMMECA) for all-ceramic anode based SOFCs. FMMECA takes into account the life cycle conditions, multiple failure mechanisms, and their potential effects on fuel-cell health and safety.","author":[{"dropping-particle":"","family":"Patel","given":"Nripendra K.","non-dropping-particle":"","parse-names":false,"suffix":""},{"dropping-particle":"","family":"Bishop","given":"Sean R.","non-dropping-particle":"","parse-names":false,"suffix":""},{"dropping-particle":"","family":"Utter","given":"Robert G.","non-dropping-particle":"","parse-names":false,"suffix":""},{"dropping-particle":"","family":"Das","given":"Diganta","non-dropping-particle":"","parse-names":false,"suffix":""},{"dropping-particle":"","family":"Pecht","given":"Michael","non-dropping-particle":"","parse-names":false,"suffix":""}],"container-title":"Electronics (Switzerland)","id":"ITEM-1","issue":"11","issued":{"date-parts":[["2018"]]},"title":"Failure modes, mechanisms, effects, and criticality analysis of ceramic anodes of solid oxide fuel cells","type":"article-journal","volume":"7"},"uris":["http://www.mendeley.com/documents/?uuid=b461a009-c3a7-4284-b357-c079bbeabb41"]}],"mendeley":{"formattedCitation":"[104]","plainTextFormattedCitation":"[104]","previouslyFormattedCitation":"[104]"},"properties":{"noteIndex":0},"schema":"https://github.com/citation-style-language/schema/raw/master/csl-citation.json"}</w:instrText>
      </w:r>
      <w:r>
        <w:fldChar w:fldCharType="separate"/>
      </w:r>
      <w:r w:rsidR="006C586A" w:rsidRPr="006C586A">
        <w:rPr>
          <w:noProof/>
        </w:rPr>
        <w:t>[104]</w:t>
      </w:r>
      <w:r>
        <w:fldChar w:fldCharType="end"/>
      </w:r>
      <w:r>
        <w:t xml:space="preserve">.  The atmospheres utilised in an SOFC anode are highly corrosive and exert humidity’s exceeding 40 % due to the production of water during operation </w:t>
      </w:r>
      <w:r>
        <w:fldChar w:fldCharType="begin" w:fldLock="1"/>
      </w:r>
      <w:r w:rsidR="00D80A5D">
        <w:instrText>ADDIN CSL_CITATION {"citationItems":[{"id":"ITEM-1","itemData":{"DOI":"10.1149/1.3459904","ISSN":"00134651","abstract":"Anode-supported solid oxide fuel cells (SOFCs) based on Ni-yttria-stabilized zirconia (YSZ) anodes, YSZ electrolytes, and lanthanum strontium manganite (LSM)-YSZ cathodes were studied with respect to durability in humid air (</w:instrText>
      </w:r>
      <w:r w:rsidR="00D80A5D">
        <w:rPr>
          <w:rFonts w:ascii="Cambria Math" w:hAnsi="Cambria Math" w:cs="Cambria Math"/>
        </w:rPr>
        <w:instrText>∼</w:instrText>
      </w:r>
      <w:r w:rsidR="00D80A5D">
        <w:instrText>4%) typically over 1500 h. Operating temperature and current density were varied between 750 and 850</w:instrText>
      </w:r>
      <w:r w:rsidR="00D80A5D">
        <w:rPr>
          <w:rFonts w:ascii="Calibri" w:hAnsi="Calibri" w:cs="Calibri"/>
        </w:rPr>
        <w:instrText>°</w:instrText>
      </w:r>
      <w:r w:rsidR="00D80A5D">
        <w:instrText>C and 0.25-0.75 A/ cm2, respectively. The introduction of humidity affected the cell voltage under polarization of the cell, and this effect was (at least partly) reversible upon switching off the humidity. Generally, the studied cells were operated in humid air under technologically relevant conditions over more than 1500 h. Improvements at the cathode/electrolyte interface made it possible to obtain highly stable cells, which can be operated under high current density and at 750°C in humid air, conditions that cause significant cell voltage degradation in dry air on cells with LSM/YSZ-based cathodes. © 2010 The Electrochemical Society.","author":[{"dropping-particle":"","family":"Hagen","given":"A.","non-dropping-particle":"","parse-names":false,"suffix":""},{"dropping-particle":"","family":"Neufeld","given":"K.","non-dropping-particle":"","parse-names":false,"suffix":""},{"dropping-particle":"","family":"Liu","given":"Y. L.","non-dropping-particle":"","parse-names":false,"suffix":""}],"container-title":"Journal of The Electrochemical Society","id":"ITEM-1","issue":"10","issued":{"date-parts":[["2010"]]},"page":"B1343","title":"Effect of Humidity in Air on Performance and Long-Term Durability of SOFCs","type":"article-journal","volume":"157"},"uris":["http://www.mendeley.com/documents/?uuid=22bf1b69-8d03-4199-bb7f-db52fdac2bab"]},{"id":"ITEM-2","itemData":{"DOI":"10.1039/c1ee01982a","ISBN":"1754-5692","ISSN":"17545692","abstract":"Reduced-temperature solid oxide fuel cells (SOFCs), featuring thin strontium- and magnesium-doped lanthanum gallate (LSGM) electrolytes and nano-scale Ni anodes, showed high power densities of 1.20 W cm-2 at 650 [degree]C and 0.39 W cm-2 at 550 [degree]C when operated on humidified hydrogen fuel and air oxidant.","author":[{"dropping-particle":"","family":"Zhan","given":"Zhongliang","non-dropping-particle":"","parse-names":false,"suffix":""},{"dropping-particle":"","family":"Bierschenk","given":"David M.","non-dropping-particle":"","parse-names":false,"suffix":""},{"dropping-particle":"","family":"Cronin","given":"J. Scott","non-dropping-particle":"","parse-names":false,"suffix":""},{"dropping-particle":"","family":"Barnett","given":"Scott A.","non-dropping-particle":"","parse-names":false,"suffix":""}],"container-title":"Energy and Environmental Science","id":"ITEM-2","issue":"10","issued":{"date-parts":[["2011"]]},"language":"English","note":"Cited By :59\nExport Date: 18 October 2016\nCorrespondence Address: Zhan, Z.; CAS Key Laboratory of Materials for Energy Conversion, Shanghai Institute of Ceramics, Chinese Academy of Sciences (SICCAS), 1295 Dingxi Road, Shanghai 200050, China; email: zzhan@mail.sic.ac.cn\nReferences: Fergus, J.W., (2006) J. Power Sources, 162, pp. 30-40; Wilson, J.R., Kobsiriphat, W., Mendoza, R., Chen, H.Y., Hiller, J.M., Miller, D.J., Thornton, K., Barnett, S.A., (2006) Nat. Mater., 5, pp. 541-544; Cronin, J.S., Wilson, J.R., Barnett, S.A., (2011) J. Power Sources, 196, pp. 2640-2643; Leonide, A., Sonn, V., Weber, A., Ivers-Tiffee, E., (2008) J. Electrochem. Soc., 155, pp. 36-B41; Nicholas, J.D., Barnett, S.A., (2010) J. Electrochem. Soc., 157, pp. 536-B541; Shao, Z.P., Haile, S.M., (2004) Nature, 431, pp. 170-173; Xia, C.R., Zhao, F., Wang, Z.Y., Liu, M.F., Zhang, L., Chen, F.L., (2008) J. Power Sources, 185, pp. 13-18; Huang, K.Q., Goodenough, J.B., (2000) J. Alloys Compd., 303, pp. 454-464; Lin, Y.B., Barnett, S.A., (2006) Electrochem. Solid-State Lett., 9, pp. 285-A288; Huang, K., Wan, J., Goodenough, J.B., (2001) J. Mater. Sci., 36, pp. 1093-1098; Yan, J., Matsumoto, H., Akbay, T., Yamada, T., Ishihara, T., (2006) J. Power Sources, 157, pp. 714-719; Zhan, Z.L., Barnett, S.A., (2006) J. Power Sources, 157, pp. 422-429; Park, S.D., Vohs, J.M., Gorte, R.J., (2000) Nature, 404, pp. 265-267; Gorte, R.J., Park, S., Vohs, J.M., Wang, C.H., (2000) Adv. Mater., 12, pp. 1465-1469; Gorte, R.J., Vohs, J.M., (2009) Curr. Opin. Colloid Interface Sci., 14, pp. 236-244; Vohs, J.M., Gorte, R.J., (2009) Adv. Mater., 21, pp. 943-956; Singh, C.A., Krishan, V.V., (2008) ECS Trans., 6, pp. 25-32; Hagen, A., Liu, Y.L., Barfod, R., Hendriksen, P.V., (2007) ECS Trans., 7, pp. 301-309; Tanner, C.W., Fung, K.Z., Virkar, A.V., (1997) J. Electrochem. Soc., 144, pp. 21-30; Hansen, K.V., Norrman, K., Mogensen, M., (2004) J. Electrochem. Soc., 151, pp. 1436-A1444; Bieberle, A., Meier, L.P., Gauckler, L.J., (2001) J. Electrochem. Soc., 148, pp. 646-A656; Mizusaki, J., Tagawa, H., Saito, T., Kamitani, K., Yamamura, T., Hirano, K., Ehara, S., Hashimoto, K., (1994) J. Electrochem. Soc., 141, pp. 2129-2134; Von Dollen, P., Barnett, S., (2005) J. Am. Ceram. Soc., 88, pp. 3361-3368; Pillai, M.R., Jiang, Y., Mansourian, N., Kim, I., Bierschenk, D.M., Zhu, H.Y., Kee, R.J., Barnett, S.A., (2008) Electrochem. Solid-State Lett., 11, pp. 174-B177; Shah, M., Hughes, G., Voorhees, P.W., Barnett, S.A., (2011) ECS Trans., 35, pp. 2045-2053","page":"3951-3954","title":"A reduced temperature solid oxide fuel cell with nanostructured anodes","type":"article-journal","volume":"4"},"uris":["http://www.mendeley.com/documents/?uuid=111c3a48-7020-4e1a-93b0-52db039d337a"]},{"id":"ITEM-3","itemData":{"DOI":"10.1016/j.jpowsour.2010.08.017","ISBN":"0378-7753","ISSN":"03787753","abstract":"The effects of compositional and environmental parameters on the kinetics of microstructural degradation are investigated for porous Ni/CGO anodes in solid oxide fuel cells (SOFC). Improved methodologies of SEM-imaging, segmentation and object recognition are described which enable a precise quantification of nickel grain growth over time. Due to these methodological improvements the grain growth can be described precisely with a standard deviation of only 5-15 nm for each time step. In humid atmosphere (60 vol.% H2O, 40% N2/H2) the growth rates of nickel are very high (up to 140%/100 h) during the initial period (&lt;200 h). At longer exposure time (&gt;1000 h) the growth rates decrease significantly to nearly 0%/100 h. In contrast, under dry conditions (97 vol.% N2, 3 vol.% H2) the growth rates during the initial period are much lower (ca. 1%/100 h) but they do not decrease over a period of 2000 h. In addition to the humidity factor there are other environmental and compositional parameters which have a strong influence on the kinetics of the microstructural degradation. The nickel coarsening is strongly depending on the gas flow rate. Also the initial microstructures and the anode compositions have a big effect on the degradation kinetics. Thereby small average grain sizes, wide distribution of particle size and high contents of nickel lead to higher coarsening and degradation rates. Whereas the nickel coarsening appears to be the dominant degradation mechanism during the initial period (&lt;200 h) other degradation phenomena become more important during long exposure time (&gt;1000 h) in humidified gas. Thereby the evaporation of volatile nickel species may lead to a local increase of the Ni/CGO ratio. Due to the surface wetting of CGO a continuous layer tends to form on the surface of the nickel grains which prevents further grain growth and evaporation of nickel. These phenomena lead to a microstructural reorganization between 1000 and 2300 h of exposure. This complex pattern of degradation phenomena also leads to a change of the amount of active microstructural sites that are important for catalytic reactions at the pore-nickel interfaces and for electrochemical reactions at the triple phase boundaries (TPB). © 2010 Elsevier B.V. All rights reserved.","author":[{"dropping-particle":"","family":"Holzer","given":"L.","non-dropping-particle":"","parse-names":false,"suffix":""},{"dropping-particle":"","family":"Iwanschitz","given":"B.","non-dropping-particle":"","parse-names":false,"suffix":""},{"dropping-particle":"","family":"Hocker","given":"Th","non-dropping-particle":"","parse-names":false,"suffix":""},{"dropping-particle":"","family":"Münch","given":"B.","non-dropping-particle":"","parse-names":false,"suffix":""},{"dropping-particle":"","family":"Prestat","given":"M.","non-dropping-particle":"","parse-names":false,"suffix":""},{"dropping-particle":"","family":"Wiedenmann","given":"D.","non-dropping-particle":"","parse-names":false,"suffix":""},{"dropping-particle":"","family":"Vogt","given":"U.","non-dropping-particle":"","parse-names":false,"suffix":""},{"dropping-particle":"","family":"Holtappels","given":"P.","non-dropping-particle":"","parse-names":false,"suffix":""},{"dropping-particle":"","family":"Sfeir","given":"J.","non-dropping-particle":"","parse-names":false,"suffix":""},{"dropping-particle":"","family":"Mai","given":"A.","non-dropping-particle":"","parse-names":false,"suffix":""},{"dropping-particle":"","family":"Graule","given":"Th","non-dropping-particle":"","parse-names":false,"suffix":""}],"container-title":"Journal of Power Sources","id":"ITEM-3","issue":"3","issued":{"date-parts":[["2011"]]},"language":"English","note":"Sp. Iss. SI\n687pk\nTimes Cited:136\nCited References Count:42","page":"1279-1294","title":"Microstructure degradation of cermet anodes for solid oxide fuel cells: Quantification of nickel grain growth in dry and in humid atmospheres","type":"article-journal","volume":"196"},"uris":["http://www.mendeley.com/documents/?uuid=1d935f00-ffff-477c-be51-4365064ceced"]},{"id":"ITEM-4","itemData":{"DOI":"10.1016/j.jpowsour.2014.03.031","ISSN":"03787753","abstract":"The performance degradation of Ni-yttria-stabilized zirconia (Ni-YSZ) cermet anode was measured by impedance spectroscopy at 1000-1200 °C and humidity atmospheres under the open circuit condition in SOFCs. More significant crack formation can be observed at 1200 °C under 40% H2O-60% H2 atmosphere. This crack formation gave rise to interruption of the ionic and electronic conduction path in the in-plane direction of anode layer, resulting in performance deterioration of anode. Focused ion beam-scanning electron microscopy (FIB-SEM) analyses were conducted for the anode layers, and then the 3D microstructures of Ni-YSZ anode were reconstructed. According to analysis of these data, the particle size of Ni was grown to the larger under higher temperature and humidity condition, accompanying with increase of isolated Ni-phase and the reduction of triple phase boundary (TPB) length. © 2014 Elsevier Ltd. All rights reserved.","author":[{"dropping-particle":"","family":"Lee","given":"Yi Hsuan","non-dropping-particle":"","parse-names":false,"suffix":""},{"dropping-particle":"","family":"Muroyama","given":"Hiroki","non-dropping-particle":"","parse-names":false,"suffix":""},{"dropping-particle":"","family":"Matsui","given":"Toshiaki","non-dropping-particle":"","parse-names":false,"suffix":""},{"dropping-particle":"","family":"Eguchi","given":"Koichi","non-dropping-particle":"","parse-names":false,"suffix":""}],"container-title":"Journal of Power Sources","id":"ITEM-4","issued":{"date-parts":[["2014"]]},"page":"451-456","publisher":"Elsevier B.V","title":"Degradation of nickel-yttria-stabilized zirconia anode in solid oxide fuel cells under changing temperature and humidity conditions","type":"article-journal","volume":"262"},"uris":["http://www.mendeley.com/documents/?uuid=9ce8d168-5399-4d50-8bcf-8dea3930445d"]}],"mendeley":{"formattedCitation":"[107]–[110]","plainTextFormattedCitation":"[107]–[110]","previouslyFormattedCitation":"[107]–[110]"},"properties":{"noteIndex":0},"schema":"https://github.com/citation-style-language/schema/raw/master/csl-citation.json"}</w:instrText>
      </w:r>
      <w:r>
        <w:fldChar w:fldCharType="separate"/>
      </w:r>
      <w:r w:rsidR="006C586A" w:rsidRPr="006C586A">
        <w:rPr>
          <w:noProof/>
        </w:rPr>
        <w:t>[107]–[110]</w:t>
      </w:r>
      <w:r>
        <w:fldChar w:fldCharType="end"/>
      </w:r>
      <w:r>
        <w:t xml:space="preserve">. Catalyst poisoning via intermetallic formation or coking occurs during chemical reactions with the fuel </w:t>
      </w:r>
      <w:r>
        <w:fldChar w:fldCharType="begin" w:fldLock="1"/>
      </w:r>
      <w:r w:rsidR="00D80A5D">
        <w:instrText>ADDIN CSL_CITATION {"citationItems":[{"id":"ITEM-1","itemData":{"DOI":"10.1016/j.jpowsour.2010.07.093","ISBN":"03787753 (ISSN)","ISSN":"03787753","abstract":"The degradation mechanism of cathodes and anodes due to gaseous impurities has been considered to provide generalized understanding of materials behavior involved in degradation and hopefully to possible recovery processes. Considerations can be made in terms of (1) the chemical reactivity of gaseous impurities with a main component of electrode materials, (2) diffusivity of main components associated with chemical reactions, and (3) electrochemical reduction/oxidation processes of gaseous impurities in competing with recovery processes due to those electrochemical reactions or chemical reactions which lead to the volatilization of deposited substance and removal of poisons from the electrochemically active sites. The chemical reactivity of the main component with gaseous impurities can be well characterized in terms of the thermodynamic properties such as interaction parameters for intermetallic compounds or the stabilization energy/the valence stability of the transition-metal oxides for oxide electrodes. Diffusivity of main components should be discussed with the enhancement due to surface coverage of impurities. The electrochemical reduction/oxidation of the gaseous impurities provides the mechanism of impurities being deposited and accumulated at the electrochemical reaction sites. Possible recovery process could be examined by whether corresponding electrochemical or chemical process for the deposited substances to be volatilized is available. © 2010 Elsevier B.V. All rights reserved.","author":[{"dropping-particle":"","family":"Yokokawa","given":"Harumi","non-dropping-particle":"","parse-names":false,"suffix":""},{"dropping-particle":"","family":"Yamaji","given":"Katsuhiko","non-dropping-particle":"","parse-names":false,"suffix":""},{"dropping-particle":"","family":"Brito","given":"M. E.","non-dropping-particle":"","parse-names":false,"suffix":""},{"dropping-particle":"","family":"Kishimoto","given":"Haruo","non-dropping-particle":"","parse-names":false,"suffix":""},{"dropping-particle":"","family":"Horita","given":"Teruhisa","non-dropping-particle":"","parse-names":false,"suffix":""}],"container-title":"Journal of Power Sources","id":"ITEM-1","issue":"17","issued":{"date-parts":[["2011"]]},"language":"English","note":"Cited By :34\nExport Date: 11 October 2016\nCODEN: JPSOD\nCorrespondence Address: Yokokawa, H.; National Institute of Advanced Industrial Science and Technology (AIST), Energy Technology Research Institute, Higashi 1-1-1, Tsukuba, Ibaraki 305-8565, Japan; email: h-yokokawa@aist.go.jp\nReferences: Suzuki, M., Iwata, S., Higaki, K., Inoue, S., Shigehisa, T., Miyachi, I., Nakabayashi, H., Simazu, K., (2009) ECS Trans., 25 (2), pp. 143-148; Yokokawa, H., (2009) Handbook of Fuel Cells Fundamentals Technology and Application, Vol. 6. Advances in Electrocatalyst, Materials, Diagnostics, and Durability, pp. 923-932; Yokokawa, H., Sakai, N., Horita, T., Yamaji, K., (2009) Handbook of Fuel Cells Fundamentals Technology and Application, Vol. 6, Advances in Electrocatalyst, Materials, Diagnostics, and Durability, pp. 979-991; Yokokawa, H., Horita, T., Yamaji, K., Kishimoto, H., Xiong, Y.P., Brito, M.E., (2008) Proc. 8th European Solid Oxide Fuel Cell Forum, , B1004, July; Yamaji, K., Sakai, N., Kishimoto, H., Horita, T., Brito, M.E., Yokokawa, H., (2009) Handbook of Fuel Cells Fundamentals Technology and Application, Vol. 5, Advances in Electrocatalyst, Materials, Diagnostics, and Durability, pp. 555-565; Yokokawa, H., Horita, T., Yamaji, K., Kishimoto, H., Brito, M.E., (2010) J. Korean Ceram. Soc., 47 (1), pp. 26-38; Yokokawa, H., Horita, T., Sakai, N., Yamaji, J., Brito, M.E., Xiong, Y.P., Kishimoto, H., (2006) Solid State Ionics, 177, pp. 3193-3198; Yokokawa, H., Sakai, H., Horita, T., Yamaji, K., Brito, M.E., Kishimoto, H., (2008) J. Alloy Compd., 452, pp. 41-47; Yokokawa, H., Tu, H., Iwanschitz, B., Mai, A., (2008) J. Power Sources, 182, pp. 400-412; Marina, O.A., Pederson, L.R., Martinez, A., Gemmen, R., Gerdes, K., Finklea, H., Celik, I.B., (2009) Fuel Cell Seminar 2009 and Their Related Work; Mizusaki, J., Tagawa, H., Tsuneyoshi, K., Sawata, A., (1991) J. Electrochem. Soc., 138, p. 1867; Yokokawa, H., (2003) Annu. Rev. Mater. Res., 33, pp. 581-610; Trembly, J.P., Marques, A.I., Ohrn, T.R., Bayless, D.J., (2006) J. Power Sources, 158, pp. 263-273; Marques, A.I., Ohrn, T.R., Trembly, J.P., Ingram, D.C., Bayless, D.J., (2007) J. Power Sources, 164, pp. 659-667; Gemmen, R.S., Trembly, J., (2006) J. Power Sources, 161, pp. 1084-1095; Trembly, J.P., Gemmen, R.S., Bayless, D.J., (2007) J. Power Sources, 163, pp. 986-996; Trembly, J.P., Gemmen, R.S., Bayless, D.J., (2007) J. Power Sources, 169, pp. 347-354; Trembly, J.P., Gemmen, R.S., Bayless, D.J., (2007) J. Power Sources, 171, pp. 818-825; Xu, B., Zondlo, J.W., Finklea, H.O., Demircan, O., Gong, M., Liu, X.B., (2009) J. Power Sources, 193, pp. 739-746; Yokokawa, H., Kishimoto, H., Yamaji, K., Horita, T., (2010) J. Electrochem. Soc., 157 (6); Yokokawa, H., Kishimoto, H., Yamaji, K., Horita, T., (2009) ECS Trans., 25 (2), pp. 2131-2140; Bao, J., Krishnan, G.N., Jayaweera, P., Perez-Mariano, J., Sanjurjo, A., (2009) J. Power Sources, 193, pp. 607-616; Bao, J., Krishnan, G.N., Jayaweera, P., Kau, K.H., Sanjurjo, A., (2009) J. Power Sources, 193, pp. 617-624; Bao, J., Krishnan, G.N., Jayaweera, P., Sanjurojo, A., (2010) J. Power Sources, 195 (5), pp. 1316-1324; Kishimoto, H., Sakai, N., Yamaji, K., Horita, T., Brito, M.E., Yokokawa, H., (2008) ECS Trans., 13 (26), pp. 105-114; Horita, T., Kishimoto, H., Yamaji, K., Sakai, N., Xiong, Y.P., Brito, M.E., Yokokawa, H., (2006) Solid State Ionics, 177, pp. 3179-3185; Horita, T., Kishimoto, H., Yamaji, K., Sakai, N., Xiong, Y.P., Brito, M.E., Yokokawa, H., (2006) Adv. Sci. Technol., 45, pp. 1857-1863; Yokokawa, H., Horita, T., Sakai, N., Yamaji, K., Brito, M.E., Xiong, Y.P., Kishimoto, H., (2006) Solid State Ionics, 177, pp. 1705-1714; Yokokawa, H., Horita, T., Sakai, N., Yamaji, K., Brito, M.E., Xiong, Y.P., Kishimoto, H., (2004) Solid State Ionics, 174, pp. 205-221; Matsuzaki, Y., Yasuda, I., (2001) J. Electrochem. Soc., 148, p. 126","page":"7070-7075","title":"General considerations on degradation of Solid Oxide Fuel Cell anodes and cathodes due to impurities in gases","type":"article-journal","volume":"196"},"uris":["http://www.mendeley.com/documents/?uuid=b156a620-65e2-4b70-83b9-27481baf40d4"]},{"id":"ITEM-2","itemData":{"DOI":"10.1021/es503603w","ISBN":"0013936X (ISSN)","ISSN":"15205851","abstract":"In this work, a Ni+BaZr(0.4)Ce(0.4)Y(0.2)O(3-δ) (Ni+BZCY) anode with high water storage capability is used to increase the sulfur tolerance of nickel electrocatalysts for solid oxide fuel cells (SOFCs) with an oxygen-ion conducting Sm(0.2)Ce(0.8)O(1.9) (SDC) electrolyte. Attractive power outputs are still obtained for the cell with a Ni+BZCY anode that operates on hydrogen fuels containing 100-1000 ppm of H2S, while for a similar cell with a Ni+SDC anode, it displays a much reduced performance by introducing only 100 ppm of H2S into hydrogen. Operating on a hydrogen fuel containing 100 ppm of H2S at 600 °C and a fixed current density of 200 mA cm(-2), a stable power output of 148 mW cm(-2) is well maintained for a cell with a Ni+BZCY anode within a test period of 700 min, while it was decreased from an initial value of 137 mW cm(-2) to only 81 mW cm(-2) for a similar cell with a Ni+SDC anode after a test period of only 150 min. After the stability test, a loss of the Ni percolating network and reaction between nickel and sulfur appeared over the Ni+SDC anode, but it is not observed for the Ni+BZCY anode. This result highly promises the use of water-storing BZCY as an anode component to improve sulfur tolerance for SOFCs with an oxygen-ion conducting SDC electrolyte.","author":[{"dropping-particle":"","family":"Wang","given":"Feng","non-dropping-particle":"","parse-names":false,"suffix":""},{"dropping-particle":"","family":"Wang","given":"Wei","non-dropping-particle":"","parse-names":false,"suffix":""},{"dropping-particle":"","family":"Qu","given":"Jifa","non-dropping-particle":"","parse-names":false,"suffix":""},{"dropping-particle":"","family":"Zhong","given":"Yijun","non-dropping-particle":"","parse-names":false,"suffix":""},{"dropping-particle":"","family":"Tade","given":"Mose O.","non-dropping-particle":"","parse-names":false,"suffix":""},{"dropping-particle":"","family":"Shao","given":"Zongping","non-dropping-particle":"","parse-names":false,"suffix":""}],"container-title":"Environmental Science and Technology","id":"ITEM-2","issue":"20","issued":{"date-parts":[["2014"]]},"language":"English","note":"Cited By :5\nExport Date: 11 October 2016\nCODEN: ESTHA\nCorrespondence Address: Wang, W.; Department of Chemical Engineering, Curtin UniversityAustralia\nChemicals/CAS: nickel, 7440-02-0; oxide, 16833-27-5; oxygen, 7782-44-7; sulfur, 13981-57-2, 7704-34-9; hydrogen, 12385-13-6, 1333-74-0; hydrogen sulfide, 15035-72-0, 7783-06-4; water, 7732-18-5; Hydrogen; Hydrogen Sulfide; Metals; Oxides; Oxygen; Sulfur; Water\nReferences: Wang, W., Su, C., Wu, Y.Z., Ran, R., Shao, Z.P., Progress in solid oxide fuel cells with nickel-based anodes operating on methane and related fuels (2013) Chem. Rev., 113 (10), pp. 8104-8151; Wei, T., Singh, P., Gong, Y., Goodenough, J.B., Huang, Y.H., Huang, K., Sr3-3 xNa3 xSi3O9-1.5 x (x = 0.45) as a superior solid oxide-ion electrolyte for intermediate temperature-solid oxide fuel cells (2014) Energy Environ. Sci., 7 (5), pp. 1680-1684; Shao, Z.P., Zhang, C.M., Wang, W., Su, C., Zhou, W., Zhu, Z.H., Park, H.J., Kwak, C., Electric power and synthesis gas co-generation from methane with zero waste gas emission (2011) Angew. Chem., Int. Ed., 50 (8), pp. 1792-1797; Shin, T.H., Ida, S., Ishihara, T., Doped CeO2-LaFeO3 composite oxide as an active anode for direct hydrocarbon-type solid oxide fuel cells (2011) J. Am. Chem. Soc., 133 (48), pp. 19399-19407; Wu, Y.Z., Su, C., Zhang, C.M., Ran, R., Shao, Z.P., A new carbon fuel cell with high power output by integrating with in situ catalytic reverse boudouard reaction (2009) Electrochem. Commun., 11 (6), pp. 1265-1268; Wang, W., Wang, F., Ran, R., Park, H.J., Jung, D.W., Kwak, C., Shao, Z.P., Coking suppression in solid oxide fuel cells operating on ethanol by applying pyridine as fuel additive (2014) J. Power Sources, 265, pp. 20-29; Takagi, Y., Kerman, K., Ko, C., Ramanathan, S., Operational characteristics of thin film solid oxide fuel cells with ruthenium anode in natural gas (2013) J. Power Sources, 243, pp. 1-9; Shiratori, Y., Ijichi, T., Oshima, T., Sasaki, K., Internal reforming SOFC running on biogas (2010) Int. J. Hydrogen Energy, 35 (15), pp. 7905-7912; Sasaki, K., Susuki, K., Iyoshi, A., Uchimura, M., Imamura, N., Kusaba, H., Teraoka, Y., Jingo, N., H2S poisoning of solid oxide fuel cells (2006) J. Electrochem. Soc., 153 (11), pp. A2023-A2029; Zha, S., Cheng, Z., Liu, M.L., Sulfur poisoning and regeneration of Ni-based anodes in solid oxide fuel cells (2007) J. Electrochem. Soc., 154 (2), pp. B201-B206; Hagen, A., Rasmussen, J.F.B., Thydén, K., Durability of solid oxide fuel cells using sulfur containing fuels (2011) J. Power Sources, 196 (17), pp. 7271-7276; Appari, S., Janardhanan, V.M., Bauri, R., Jayanti, S., Deutschmann, O., A detailed kinetic model for biogas steam reforming on Ni, and catalyst deactivation due to sulfur poisoning (2014) Appl. Catal., A, 471, pp. 118-125; Appari, S., Janardhanan, V.M., Bauri, R., Jayanti, S., Deactivation and regeneration of Ni catalyst during steam reforming of model biogas: An experimental investigation (2014) Int. J. Hydrogen Energy, 39 (1), pp. 297-304; Ashrafi, M., Pfeifer, C., Pröll, T., Hofbauer, H., Experimental study of model biogas catalytic steam reforming: 2. Impact of sulfur on the deactivation and regeneration of Ni-based catalysts (2008) Energy Fuels, 22 (6), pp. 4190-4195; Li, J.-H., Fu, X.-Z., Luo, J.-L., Chuang, K.T., Sanger, A.R., Application of BaTiO3 as anode materials for H2S-containing CH4 fueled solid oxide fuel cells (2012) J. Power Sources, 213, pp. 69-77; Rasmussen, J.F.B., Hagen, A., The effect of H2S on the performance of SOFCs using methane containing fuel (2010) Fuel Cells, 10 (6), pp. 1135-1142; Shiratori, Y., Oshima, T., Sasaki, K., Feasibility of direct-biogas SOFC (2008) Int. J. Hydrogen Energy, 33 (21), pp. 6316-6321; Matsuzaki, Y., Yasuda, I., The poisoning effect of sulfur-containing impurity gas on a SOFC anode: Part I. Dependence on temperature, time, and impurity concentration (2000) Solid State Ionics, 132 (3-4), pp. 261-269; Song, C., Ma, X., New design approaches to ultra-clean diesel fuels by deep desulfurization and deep dearomatization (2003) Appl. Catal., B, 41 (1-2), pp. 207-238; Farag, H., Mochida, I., A comparative kinetic study on ultra-deep hydrodesulfurization of pretreated gas oil over nanosized MoS2, CoMo-sulfide, and commercial CoMo/Al2O3 catalysts (2012) J. Colloid Interface Sci., 372 (1), pp. 121-129; Sano, Y., Choi, K.-H., Korai, Y., Mochida, I., Adsorptive removal of sulfur and nitrogen species from a straight run gas oil over activated carbons for its deep hydrodesulfurization (2004) Appl. Catal., B, 49 (4), pp. 219-225; Cui, H., Turn, S.Q., Reese, M.A., Removal of sulfur compounds from utility pipelined synthetic natural gas using modified activated carbons (2009) Catal. Today, 139 (4), pp. 274-279; Breysse, M., Djega-Mariadassou, G., Pessayre, S., Geantet, C., Vrinat, M., Pérot, G., Lemaire, M., Deep desulfurization: Reactions, catalysts, and technological challenges (2003) Catal. Today, 84 (3-4), pp. 129-138; Bhandari, V.M., Ko, C.H., Park, J.G., Han, S.-S., Cho, S.-H., Kim, J.-N., Desulfurization of diesel using ion-exchanged zeolites (2006) Chem. Eng. Sci., 61 (8), pp. 2599-2608; Kurokawa, H., Sholklapper, T.Z., Jacobson, C.P., De Jonghe, L.C., Visco, S.J., Ceria nanocoating for sulfur tolerant Ni-based anodes of solid oxide fuel cells (2007) Electrochem. Solid-State Lett., 10 (9), pp. B135-B138; Yun, J.W., Yoon, S.P., Han, J., Park, S., Kim, H.S., Nam, S.W., Ceria coatings effect on H2S poisoning of Ni/YSZ anodes for solid oxide fuel cells (2010) J. Electrochem. Soc., 157 (12), pp. B1825-B1830; Chen, Y., Bunch, J., Jin, C., Yang, C., Chen, F.L., Performance enhancement of Ni-YSZ electrode by impregnation of Mo0.1Ce0.9O2+δ (2012) J. Power Sources, 204, pp. 40-45; Gong, M., Liu, X., Trembly, J., Johnson, C., Sulfur-tolerant anode materials for solid oxide fuel cell application (2007) J. Power Sources, 168 (2), pp. 289-298; Li, T.S., Miao, H., Chen, T., Wang, W.G., Xu, C., Effect of simulated coal-derived gas composition on H2S poisoning behavior evaluated using a disaggregation scheme (2009) J. Electrochem. Soc., 156 (12), pp. B1383-B1388; Wang, J., Liu, M.L., Surface regeneration of sulfur-poisoned Ni surfaces under SOFC operation conditions predicted by first-principles-based thermodynamic calculations (2008) J. Power Sources, 176 (1), pp. 23-30; Yang, L., Wang, S., Blinn, K., Liu, M., Liu, Z., Cheng, Z., Liu, M.L., Enhanced sulfur and coking tolerance of a mixed ion conductor for SOFCs: BaZr0.1Ce0.7Y0.2-xYbxO3-δ (2009) Science, 326 (5949), pp. 126-129; Sengodan, S., Liu, M., Lim, T., Shin, J., Liu, M.L., Kim, G., Enhancing sulfur tolerance of a Ni-YSZ anode through BaZr0.1Ce0.7Y0.1Yb0.1O3-δ infiltration (2014) J. Electrochem. Soc., 161 (5), pp. F668-F673; Liu, M., Choi, Y., Yang, L., Blinn, K., Qin, W., Liu, P., Liu, M.L., Direct octane fuel cells: A promising power for transportation (2012) Nano Energy, 1 (3), pp. 448-455; Mamontov, E., Egami, T., Brezny, R., Koranne, M., Tyagi, S., Lattice defects and oxygen storage capacity of nanocrystalline ceria and ceria-zirconia (2000) J. Phys. Chem. B, 104 (47), pp. 11110-11116; Yang, L., Choi, Y., Qin, W., Chen, H., Blinn, K., Liu, M., Liu, P., Liu, M.L., Promotion of water-mediated carbon removal by nanostructured barium oxide/nickel interfaces in solid oxide fuel cells (2011) Nat. Commun., 2, p. 357; Fabbri, E., Pergolesi, D., Traversa, E., Materials challenges toward proton-conducting oxide fuel cells: A critical review (2010) Chem. Soc. Rev., 39 (11), pp. 4355-4369; Malavasi, L., Fisher, C.A.J., Islam, M.S., Oxide-ion and proton-conducting electrolyte materials for clean energy applications: Structural and mechanistic features (2010) Chem. Soc. Rev., 39 (11), pp. 4370-4387; Kreuer, K.D., Proton-conducting oxides (2003) Annu. Rev. Mater. Res., 33, pp. 333-359; Wang, W., Su, C., Ran, R., Zhao, B.T., Shao, Z.P., Tade, M.O., Liu, S.M., Nickel-based anode with water storage capability to mitigate carbon deposition for direct ethanol solid oxide fuel cells (2014) ChemSusChem, 7 (6), pp. 1719-1728; Zhou, W., Ran, R., Shao, Z.P., Gu, H.X., Jin, W.Q., Xu, N.P., Significant impact of nitric acid treatment on the cathode performance of Ba0.5Sr0.5Co0.8Fe0.2O3-δ perovskite oxide via combined EDTA-citric complexing process (2007) J. Power Sources, 174 (1), pp. 237-245; Chen, D.J., Huang, C., Ran, R., Park, H.J., Kwak, C., Shao, Z.P., New Ba0.5Sr0.5Co0.8Fe0.2O3-δ+Co3O4 composite electrode for IT-SOFCs with improved electrical conductivity and catalytic activity (2011) Electrochem. Commun., 13 (2), pp. 197-199; Liu, Q.L., Khor, K.A., Chan, S.H., High-performance low-temperature solid oxide fuel cell with novel BSCF cathode (2006) J. Power Sources, 161 (1), pp. 123-128; Su, C., Shao, Z.P., Lin, Y., Wu, Y.Z., Wang, H.T., Solid oxide fuel cells with both high voltage and power output by utilizing beneficial interfacial reaction (2012) Phys. Chem. Chem. Phys., 14 (35), pp. 12173-12181; Hauch, A., Hagen, A., Hjelm, J., Ramos, T., Sulfur poisoning of SOFC anodes: Effect of overpotential on long-term degradation (2014) J. Electrochem. Soc., 161 (6), pp. F734-F743; Chen, Y.B., Wang, F.C., Chen, D.J., Dong, F.F., Park, H.J., Kwak, C., Shao, Z.P., Role of silver current collector on the operational stability of selected cobalt-containing oxide electrodes for oxygen reduction reaction (2012) J. Power Sources, 210, pp. 146-153; Nurk, G., Huthwelker, T., Braun, A., Ludwig, C., Lust, E., Struis, R.P.W.J., Redox dynamics of sulphur with Ni/GDC anode during SOFC operation at mid- and low-range temperatures: An operando S K-edge XANES study (2013) J. Power Sources, 240, pp. 448-457","page":"12427-12434","publisher":"American Chemical Society","title":"Enhanced sulfur tolerance of nickel-based anodes for oxygen-ion conducting solid oxide fuel cells by incorporating a secondary water storing phase","type":"article-journal","volume":"48"},"uris":["http://www.mendeley.com/documents/?uuid=f98fb61c-e4f9-453b-9ef0-e208733d2276"]},{"id":"ITEM-3","itemData":{"DOI":"10.1149/2.068405jes","ISBN":"00134651 (ISSN)","ISSN":"0013-4651","abstract":"In this study, sulfur tolerance of a conventional Ni-yttria stabilized zirconia (Ni-YSZ) anode for solid oxide fuel cells is significantly improved by surface modification. The Ni-YSZ anode modified by the infiltration of BaZr 0.1Ce0.7Y0.1Yb0.1O 3?δ (BZCYYb) demonstrates stable performance in a sulfur-containing H2 fuel over 500 hours. In contrast, the bare Ni-YSZ anode without surface modification degrades drastically when exposed to the sulfur-containing H2 fuel. This implies that the BZCYYb coating is an excellent catalyst for surface modification of the conventional Ni-YSZ anode. A single step infiltration of BZCYYb into the Ni-YSZ anode was sufficient to provide good sulfur tolerance. © 2014 The Electrochemical Society. All rights reserved.","author":[{"dropping-particle":"","family":"Shin","given":"Jeeyoung","non-dropping-particle":"","parse-names":false,"suffix":""},{"dropping-particle":"","family":"Liu","given":"Mingfei","non-dropping-particle":"","parse-names":false,"suffix":""},{"dropping-particle":"","family":"Kim","given":"Guntae","non-dropping-particle":"","parse-names":false,"suffix":""},{"dropping-particle":"","family":"Lim","given":"Tak-Hyoung","non-dropping-particle":"","parse-names":false,"suffix":""},{"dropping-particle":"","family":"Sengodan","given":"Sivaprakash","non-dropping-particle":"","parse-names":false,"suffix":""},{"dropping-particle":"","family":"Liu","given":"Meilin","non-dropping-particle":"","parse-names":false,"suffix":""}],"container-title":"Journal of The Electrochemical Society","id":"ITEM-3","issue":"5","issued":{"date-parts":[["2014"]]},"language":"English","note":"Cited By :11\nExport Date: 20 January 2017\nCODEN: JESOA\nReferences: Yang, L., Wang, S., Blinn, K., Liu, M., Liu, Z., Cheng, Z., Liu, M., (2009) Science, 326, p. 126; Singhal, S.C., (2000) Solid State Ionics, 135, p. 305; Liu, M., Choi, Y., Yang, L., Blinn, K., Qin, W., Liu, P., Liu, M., (2012) Nano Energy, 1, p. 448; Toebes, M.L., Bitter, J.H., Dillen, A.J., Jong, K.P., (2002) Catal. Today., 76, p. 33; Lium. Lynch, E.M., Blinn, K., Alamgir, F.M., Choi, Y., (2011) Materials Today, 14, p. 534; Cheng, Z., Zha, S., Liu, M., (2007) J. Power Sources, 172, p. 688; Sasaki, K., Susuki, K., Iyoshi, A., Uchimura, M., Imamura, N., Kusaba, H., Teraoka, Y., Jingo, N., (2006) J. Electrochem Soc., 153, pp. A2023; Matsuzaki, Y., Yasuda, I., (2000) Solid State Ionics, 132, p. 261; Cheng, Z., Liu, M., (2007) Solid State Ionics, 178, p. 925; Choi, Y.M., Compson, C., Lin, M.C., Liu, M., (2006) Chem Phys Lett., 421, p. 179; Zha, S.W., Cheng, Z., Liu, M.L., (2007) J. Electrochem Soc., 154, pp. B201; Kim, G., Corre, G., Irvine, J.T.S., Vohs, J.M., Gorte, R.J., (2008) Electrochem Solid State Lett., 11, pp. B16; Huang, Y.-H., Dass, R.I., Denyszyn, J.C., Goodenough, J.B., (2006) J. Electrochem Soc., 153, pp. A1266; Cheng, Z., Zha, S., Aguilar, L., Wang, D., Winnick, J., Liu, M., (2006) Electrochem Solid State Lett., 9, pp. A31; Cooper, M., Channa, K., De Silva, R., Bayless, D.J., (2010) J. Electrochem Society., 157, pp. B1713; Torabi, A., Etsell, T.H., (2013) J. Power Sources, 225, p. 51; Choi, S., Wang, J., Cheng, Z., Liu, M., (2008) J. Electrochem Society., 155, pp. B449; Yun, J.W., Ham, H.C., Kim, H.S., Song, S.A., Nam, S.W., Yoon, S.P., (2013) J. Electrochem Society., 160, pp. F153; Yun, J.W., Yoon, S.P., Han, J., Park, S., Kim, H.S., Nam, S.W., (2010) J. Electrochem Society., 157, pp. B1825; Bessler, W.G., Vogler, M., Stormer, H., Gerthsen, D., Utz, A., Weber, A., Tiffee, E.I., (2010) Phys Chem Chem Phys., 12, p. 13888; Blinn, K.S., Liu, M., (2013) J. Power Sources., 243, p. 24; Blinn, K.S., Abernathy, H., Li, X., Liu, M., Bottomley, L.A., Liu, M., (2012) Energy Environ Sci., 5, p. 7913","page":"F668-F673","publisher":"Electrochemical Society Inc.","title":" Enhancing Sulfur Tolerance of a Ni-YSZ Anode through BaZr 0.1 Ce 0.7 Y 0.1 Yb 0.1 O  3− δ  Infiltration ","type":"article-journal","volume":"161"},"uris":["http://www.mendeley.com/documents/?uuid=bb53c01d-0ac9-4ef8-b942-7c317a96fcd0"]}],"mendeley":{"formattedCitation":"[85], [111], [112]","plainTextFormattedCitation":"[85], [111], [112]","previouslyFormattedCitation":"[85], [111], [112]"},"properties":{"noteIndex":0},"schema":"https://github.com/citation-style-language/schema/raw/master/csl-citation.json"}</w:instrText>
      </w:r>
      <w:r>
        <w:fldChar w:fldCharType="separate"/>
      </w:r>
      <w:r w:rsidR="006C586A" w:rsidRPr="006C586A">
        <w:rPr>
          <w:noProof/>
        </w:rPr>
        <w:t>[85], [111], [112]</w:t>
      </w:r>
      <w:r>
        <w:fldChar w:fldCharType="end"/>
      </w:r>
      <w:r>
        <w:t xml:space="preserve">. The successive temperature and redox cycling during service promotes the expansion and shrinkage of the catalyst material which can lead to crack propagation and delamination of the electrode </w:t>
      </w:r>
      <w:r>
        <w:fldChar w:fldCharType="begin" w:fldLock="1"/>
      </w:r>
      <w:r w:rsidR="00D80A5D">
        <w:instrText xml:space="preserve">ADDIN CSL_CITATION {"citationItems":[{"id":"ITEM-1","itemData":{"DOI":"10.1038/nmat1040","ISBN":"1476-1122","ISSN":"14761122","PMID":"14704781","abstract":"Fuel cells will undoubtedly find widespread use in this new millennium in the conversion of chemical to electrical energy, as they offer very high efficiencies and have unique scalability in electricity-generation applications. The solid-oxide fuel cell (SOFC) is one of the most exciting of these energy technologies; it is an all-ceramic device that operates at temperatures in the range 500-1,000 degrees C. The SOFC offers certain advantages over lower temperature fuel cells, notably its ability to use carbon monoxide as a fuel rather than being poisoned by it, and the availability of high-grade exhaust heat for combined heat and power, or combined cycle gas-turbine applications. Although cost is clearly the most important barrier to widespread SOFC implementation, perhaps the most important technical barriers currently being addressed relate to the electrodes, particularly the fuel electrode or anode. In terms of mitigating global warming, the ability of the SOFC to use commonly available fuels at high efficiency, promises an effective and early reduction in carbon dioxide emissions, and hence is one of the lead new technologies for improving the environment. Here, we discuss recent developments of SOFC fuel electrodes that will enable the better use of readily available fuels.","author":[{"dropping-particle":"","family":"Atkinson","given":"A.","non-dropping-particle":"","parse-names":false,"suffix":""},{"dropping-particle":"","family":"Barnett","given":"S.","non-dropping-particle":"","parse-names":false,"suffix":""},{"dropping-particle":"","family":"Gorte","given":"R. J.","non-dropping-particle":"","parse-names":false,"suffix":""},{"dropping-particle":"","family":"Irvine","given":"J. T.S.","non-dropping-particle":"","parse-names":false,"suffix":""},{"dropping-particle":"","family":"McEvoy","given":"A. J.","non-dropping-particle":"","parse-names":false,"suffix":""},{"dropping-particle":"","family":"Mogensen","given":"M.","non-dropping-particle":"","parse-names":false,"suffix":""},{"dropping-particle":"","family":"Singhal","given":"S. C.","non-dropping-particle":"","parse-names":false,"suffix":""},{"dropping-particle":"","family":"Vohs","given":"J.","non-dropping-particle":"","parse-names":false,"suffix":""}],"container-title":"Nature Materials","id":"ITEM-1","issue":"1","issued":{"date-parts":[["2004"]]},"language":"English","note":"Cited By :951\nExport Date: 7 October 2016\nCorrespondence Address: Irvine, J.T.S.; School of Chemistry, University of St Andrews, St Andrews, Fife KY16 9ST, United Kingdom\nChemicals/CAS: hydrogen, 12385-13-6, 1333-74-0; Ceramics; Hydrogen, 1333-74-0; Metals\nReferences: Baur, E., Preis, H., Uber die Eisenoxyd-Kathode in der Kohle-Luft-Kette (1937) Z. Elektrochem., 43, p. 727; Möbius, H.-H., On the history of solid electrolyte fuel cells (1997) Solid State Electrochem., 1, p. 2; Spacil, H.S., (1970) Electrical Device Including Nickel-containing Stabilized Zirconia Electrode, , US Patent 3,558,360; Lee, J.H., Quantitative analysis of microstructure and its related electrical property of SOFC anode, Ni-YSZ cermet (2002) Solid State Ionics, 148, pp. 1-2; Toebes, M.L., Bitter, I.H., Van Dillen, A.J., De Jong, K.P., Impact of the structure and reactivity of nickel particles on the catalytic growth of carbon nanofibers (2002) Catal Today, 76, pp. 33-42; Sasaki, K., Teraoka, Y., Equilibria in fuel cell gases -I. Equilibrium compositions and reforming conditions (2003) J. Electrochem. Soc., 150, pp. A878-A884; Murray, E.P., Tsai, T., Barnett, S.A., A direct-methane fuel cell with a ceriabased anode (1999) Nature, 400, pp. 649-651; Mogensen, M., Jensen, K.V., Jorgensen, M.J., Primdahl, S., Progress in understanding SOFC electrodes (2002) Solid State Ionics, 150, pp. 123-129; Lu, X.Y., Faguy, P.W., Liu, M.I., In situ potential-dependent FTIR emission spectroscopy - A novel probe for high temperature fuel cell interfaces (2002) J. Electrochm. Sac., 149, pp. A1293-A1298; Bernardo, C.A., Alstrup, I., Rostrupnielsen, J.R., Carbon deposition and methane steam reforming on silica-supported Ni-Cu catalysts (1985) J. Catal., 96, pp. 517-534; Dong, W.S., Roh, H.S., Jun, K.W., Park, S.E., Oh, Y.S., Methane reforming over Ni/Ce-ZrO2 catalysts: Effect of nickel content (2002) Appl. Catal. A, 226, pp. 63-72; Bunluesin, T., Gorte, R.J., Graham, G.W., Studies of the water-gas-shift reaction on ceria-supported Pt, Pd, and Rh: Implications for oxygen-storage properties (1998) Appl. Catal. B, 15, pp. 107-114; Sharma, S., Hilaire, S., Vohs, J.M., Gorte, R.J., Jen, H.W., Evidence for oxidation of ceria by CO2 (2000) J. Catal., 199, pp. 199-204; Ramirez-Cabrera, E., Atkinson, A., Chadwick, D., The influence of point defects on the resistance of ceria to carbon deposition in hydrocarbon catalysis (2000) Solid State Ionics, 136, pp. 825-831; Marina, O.A., Mogensen, M., High-temperature conversion of methane on a composite gadolinia-doped ceria-gold electrode (1999) Appl. Catal. A, 189, pp. 117-126; Park, S.D., Vohs, J.M., Gorte, R.J., Direct oxidation of hydrocarbons in a solid-oxide fuel cell (2000) Nature, 404, pp. 265-267; Kiratzis, N., Holtappels, P., Hatchwell, C.E., Mogensen, M., Irvine, J.T.S., Preparation and characterisation of copper/yttria titania zirconia cermets for use as possible solid oxide fuel cell anodes (2001) Fuel Cells, 1, pp. 211-218; Kim, H., Park, S., Vohs, J.M., Gorte, R.J., Direct oxidation of liquid fuels in a solid oxide fuel cell (2001) J. Electrochem. Soc., 148, pp. A693-A695; Minh, N.Q., Ceramic fuel-cells (1993) J. Am. Ceram. Soc., 76, pp. 563-588; Yokokawa, H., Sakai, N., Kawada, T., Dokiya, M., Thermodynamic stabilities of perovskite oxides for electrodes and other electrochemical materials (1992) Solid State Ionics, 52, pp. 43-56; Pudmich, G., Chromite/titanate based perovskites for application as anodes in solid oxide fuel cells (2000) Solid State Ionics, 135, pp. 433-438; Tao, S., Irvine, J.T.S., A redox-stable, efficient anode for solid-oxide fuel cells (2003) Nature Mater., 2, pp. 320-323; Vernoux, P., Guillodo, M., Fouletier, J., Hammou, A., Alternative anode materials for gradual methane reforming in solid oxide fuel cells (2000) Solid State Ionics, 133, pp. 425-431; Sfeir, J., Lanthanum chromite based catalysts for oxidation of methane directly on SOFC anode (2001) J. Catal., 202, pp. 229-244; Sfeir, J., Van Herle, J., Vasquez, R., (2002) Proc. 5th European Solid Oxide Fuel Cell Forum, pp. 570-577. , ed. Huijsmans J. (European SOFC Forum, Switzerland); Sauvet, A.L., Irvine, J.T.S., (2002) Proc. 5th European Solid Oxide Fuel Cell Forum, pp. 490-498. , ed. Huijsmans J. (European SOFC Forum, Switzerland); Slater, P.R., Fagg, D.P., Irvine, J.T.S., Synthesis and electrical characterisation of the doped perovskite titanates as potential anode materials for solid oxide fuel cells (1997) J. Mater. Chem., 7, pp. 2495-2498; Hui, S.Q., Petric, A., Electrical properties of yttrium-doped strontium titanate under reducing conditions (2002) J. Electrochem. Soc., 149, pp. J1-J10; Marina, O.A., Pederson, L.R., (2002) Proc. 5th European Solid Oxide Fuel Cell Forum, pp. 481-489. , ed. Huijimans, J. (European SOFC Forum, Switzerland); Canales-Vázquez, J., Tao, S.W., Irvine, J.T.S., (2003) Electrical Properties in La2Sr4Ti6O 19-d: A Potential Anode for High Temperature Fuel Cells Solid State Ionics, 159, pp. 159-165; Reich, C., Kaiser, A., Irvine, J.T.S., (2001) Niobia Based Rutile Materials as Sofc Anodes, Fuel Cells - from Fundamentals to Systems, 1, pp. 249-255; Ramos, T., Atkinson, A., (2001) Ionic and Mixed Conducting Ceramics IV, PV2001-28, pp. 352-367. , eds Ramanarayanan, T. A., Worrell, W. L. &amp;amp; Mogensen, M. (Electrochemical Scociety Proceedings); Steele, B.C.H., Appraisal of Ce1-yGdyO2-y/2electrolytes for IT-SOFC operation at 500° C (2000) Solid State Ionics, 129, pp. 95-110; Wang, S.R., Kobayashi, T., Dokiya, M., Hashimoto, T., Electrical and ionic conductivity of Gd-doped ceria (2000) J. Electrochem. Soc., 147, pp. 3606-3609; Floyd, J.M., Interpretation of transport phenomena in non-stoichiometric ceria (1972) J. Ind. Technol., pp. 275-280; Tao, S., Irvine, J.T.S., Optimization of mixed conducting properties of Y2O 3ZrO2-TiO2 and Sc2O 3-Y2O3-ZrO2-TiO2 solid solutions as potential SOFC anode materials (2002) J. Solid State Chem., 165, pp. 12-18; Sauvet, A.-L., Fouletier, J., Catalytic properties of new anode materials for solid oxide fuel cells operated under methane at intermediary temperature (2001) J. Power Sources, 101, pp. 259-266; Sprague, J.J., Tuller, H.L., Mixed ionic and electronic conduction in Mn/Mo doped gadolinium titanate (1999) J. Europ. Ceram. Soc., 19, pp. 803-806; Holtappels, P., Poulsen, F.W., Mogensen, M., Electrical conductivities and chemical stabilities of mixed conducting pyrochlores for SOFC applications (2000) Solid State Ionics, 135, pp. 675-679; McIntosh, S., Vohs, J.M., Gorte, R.J., Role of hydrocarbon deposits in the enhanced performance of direct-oxidation SOFCs (2003) J. Electrochem. Soc., 150, pp. A470-A476; Lu, C., Worrell, W.L., Vohs, J.M., Gorte, R.J., (2003) Solid Oxide Fuel Cells VIII, 7, pp. 773-780. , eds Singhal. S. C. &amp;amp; Dokiya, M., (Electrochemical Society Proceedings); Lu, C., Worrell, W.L., Gorte, R.J., Vohs, J.M., SOFCs for direct oxidation of hydrocarbon fuels with samaria-doped ceria Electrolyte (2003) J. Electrochem, Soc., 150, pp. A354-A358; Sfeir, J., (2001) Alternative Anode Materials for Methane Oxidation in Solid Oxide Fuel Cells, , Thesis, Ecole Polytechnique Fédérale de Lausanne, Switzerland; Liu, J., Madsen, B.D., Ji, Z.Q., Barnett, S.A., A fuel-flexible ceramic-based anode for solid oxide fuel cells (2002) Electrochem. Solid State Lett., 5, pp. A122-A124; Sauvet, A.L., Fouletier, J., Electrochemical properties of a new type of anode material La 1-xSrxCr1-yRuyO3-δ for SOFC under hydrogen and methane at intermediate temperatures (2001) Electrochim. Acta, 47, pp. 987-995; Vernoux, P., Guindet, J., Kleitz, M., Gradual internal methane reforming in intermediate-temperature solid-oxide fuel cells (1998) J. Electrochem. Soc., 145, pp. 3487-3492; Skarmoutsos, D., Teitz, F., Nikolopoulos, P., Structure - Property relationships of Ni/YSZ and Ni/(YSZ+TiO2) cermets (2001) Fuel Cells, 1, pp. 243-248; Holtappels, P., (1997) Electrocatalysis on Nickel-cermet E,lectrodes Jülich, , Research Centre Report number 3414, and Thesis, Univ. Bonn; Kiratzis, N., Holtappels, P., Hatchwell, C.E., Mogensen, M., Irvine, J.T.S., Preparation and characterisation of copper/yttria titania zirconia cermets for use as possible solid oxide fuel cell anodes (2001) Fuel Cells, 1, pp. 211-218","page":"17-27","title":"Advanced anodes for high-temperature fuel cells","type":"article-journal","volume":"3"},"uris":["http://www.mendeley.com/documents/?uuid=5b7491b8-7a88-4fb4-aaf6-a24df77a007d"]},{"id":"ITEM-2","itemData":{"abstract":"Solid oxide fuel cell (SOFC) anodes based on electronically conducting ceramics have potential advantages over conventional Ni-YSZ anodes, including better fuel flexibility, stability under redox cycling, and sulfur tolerance. Here we report small additions of NiO to anodes based on La0.8Sr 0.2Cr0.03V0.03O3 (LSCV) that also contained Ce0.9Gd0.1O1.95 (GDC), and describe results for these electrodes in SOFCs with GDC electrolyte supports. Microstructural evaluation showed a porous anode that varied significantly with anode firing temperature. Metallic Ni was observed in the anodes after reduction by x-ray diffraction for ≥ 5 weight percent NiO. Cell performance with hydrogen was evaluated using current-voltage measurements and electrochemical impedance spectroscopy (EIS) - total polarization resistance values at open circuit were </w:instrText>
      </w:r>
      <w:r w:rsidR="00D80A5D">
        <w:rPr>
          <w:rFonts w:ascii="Cambria Math" w:hAnsi="Cambria Math" w:cs="Cambria Math"/>
        </w:rPr>
        <w:instrText>∼</w:instrText>
      </w:r>
      <w:r w:rsidR="00D80A5D">
        <w:instrText xml:space="preserve"> 0.1 </w:instrText>
      </w:r>
      <w:r w:rsidR="00D80A5D">
        <w:rPr>
          <w:rFonts w:ascii="Calibri" w:hAnsi="Calibri" w:cs="Calibri"/>
        </w:rPr>
        <w:instrText>ω</w:instrText>
      </w:r>
      <w:r w:rsidR="00D80A5D">
        <w:instrText>cm2 at 800</w:instrText>
      </w:r>
      <w:r w:rsidR="00D80A5D">
        <w:rPr>
          <w:rFonts w:ascii="Calibri" w:hAnsi="Calibri" w:cs="Calibri"/>
        </w:rPr>
        <w:instrText>°</w:instrText>
      </w:r>
      <w:r w:rsidR="00D80A5D">
        <w:instrText xml:space="preserve">C for </w:instrText>
      </w:r>
      <w:r w:rsidR="00D80A5D">
        <w:rPr>
          <w:rFonts w:ascii="Calibri" w:hAnsi="Calibri" w:cs="Calibri"/>
        </w:rPr>
        <w:instrText>≥</w:instrText>
      </w:r>
      <w:r w:rsidR="00D80A5D">
        <w:instrText xml:space="preserve"> 2 weight percent NiO. The maximum power density of the SOFCs decreased sharply with decreasing NiO content from 5 to 0 weight%, however, little effect was observed from 5 to 20 weight% NiO.","author":[{"dropping-particle":"","family":"Madsen","given":"B.D.","non-dropping-particle":"","parse-names":false,"suffix":""},{"dropping-particle":"","family":"Barnett","given":"S.A.","non-dropping-particle":"","parse-names":false,"suffix":""}],"container-title":"Proceedings - Electrochemical Society","editor":[{"dropping-particle":"","family":"Singhal","given":"S C","non-dropping-particle":"","parse-names":false,"suffix":""},{"dropping-particle":"","family":"Mizusaki","given":"J","non-dropping-particle":"","parse-names":false,"suffix":""}],"id":"ITEM-2","issued":{"date-parts":[["2005"]]},"language":"English","note":"Conference code: 66458\nCited By :1\nExport Date: 18 October 2016\nCorrespondence Address: Madsen, B.D.; Department of Materials Science and Engineering, Northwestern University, 2220 Campus Drive, Evanston, IL 60208, United States\nReferences: Jiang, S.P., Chan, S.H., (2004) J. Mat. Sci., 39, p. 4405; Rietveld, G., Nammensma, P., Ouweltjes, J.P., (2001) SOFC-VII, PV2001-16, p. 125. , H. Yokokawa and S. C. Singhal, Editors, The Electrochemical Society Proceedings Series, Pennington, NJ; Matsuzaki, Y., Yasuda, I., (2000) Solid State Ionics, 132, p. 261; Finnerty, C.M., Coe, N.J., Cunningham, R.H., Ormerod, R.M., (1998) Catalysis Today, 46, p. 137; Yashiro, K., Takeda, K., Taura, T., Otake, T., Kaimai, A., Nigara, Y., Kawada, T., Mizusaki, J., (2003) SOFC-VIII, PV2003-07, p. 714. , S. C. Singhal and M. Dokiya, Editors, The Electrochemical Society Proceedings Series, Pennington, NJ; Jiang, S.P., (2003) J. Mat. Sci., 38, p. 3775; Jastrzebski, Z.D., (1987) The Nature and Properties of Engineering Materials, p. 242. , Wiley, New York; Atkinson, A., Barnett, S., Gorte, R.J., Irvine, J.T.S., McEvoy, A.J., Mogensen, M., Singhal, S.C., Vohs, J., (2004) Nature Materials, 3, p. 17; Primdahl, S., Mogensen, M., (2002) Solid State Ionics, 152-153, p. 597; Simner, S.P., Hardy, J.S., Stevenson, J.W., Armstrong, T.R., (2000) Solid State Ionics, 128, p. 53; Murray, E.P., Sever, M.J., Bamett, S.A., (2002) Solid State Ionics, 148, p. 27; De Souza, S., Visco, S.J., De Jonghe, L.C., (1997) J. Electrochem. Soc., 144, p. 35; Sauvet, A.L., Irvine, J.T.S., (2004) Solid State Ionics, 167, p. 1; Baker, R.T., Metcalfe, I.S., (1995) App. Cat. A: Gen, 126, p. 319; Sfeir, J., Buffat, P.A., Moeckli, P., Xanthopoulos, N., Vasquez, R., Mathieu, H.J., Van Herle, J., Thampi, K.R., (2001) J. Catalysis, 202, p. 229; Yasuda, I., Ogiwara, T., Yakabe, H., (2001) SOFC-VII, PV2001-16, p. 783. , H. Yokokawa and S. C. Singhal, Editors, The Electrochemical Society Proceedings Series, Pennington, NJ; Liu, M., Hu, H., (1996) J. Electrochem Soc, 143 (6), pp. L109","page":"1185-1194","publisher-place":"Quebec","title":"The influence of NiO content on ceramic-based solid oxide fuel cell anodes","type":"paper-conference","volume":"PV 2005-07"},"uris":["http://www.mendeley.com/documents/?uuid=00c41ee1-d990-4090-b487-bb4981dc0381"]},{"id":"ITEM-3","itemData":{"DOI":"10.1016/j.ceramint.2015.09.006","ISBN":"0272-8842","ISSN":"02728842","abstract":"This paper summarizes various mechanisms involved in the degradation of Solid Oxide Fuel Cells (SOFCs) anode. Ni–YSZ is the most commonly used anode material in SOFCs, since it has various advantages such as high catalytic activity for H2, methane reforming, stability and high electronic conductivity. However, this material shows various types of degradations when used at high temperatures for prolonged time periods. The different types include Ni grain growth by sintering, carbon coking, sulfur poisoning and redox cycling. The in-detail mechanism of each type of degradation followed by different controlling mechanisms has been presented in greater detail. Modifications in the Ni–YSZ microstructure and optimization of operating conditions can effectively increase the life time of SOFCs and help in their commercialization.","author":[{"dropping-particle":"","family":"Khan","given":"Muhammad Shirjeel","non-dropping-particle":"","parse-names":false,"suffix":""},{"dropping-particle":"","family":"Lee","given":"Seung Bok","non-dropping-particle":"","parse-names":false,"suffix":""},{"dropping-particle":"","family":"Song","given":"Rak Hyun","non-dropping-particle":"","parse-names":false,"suffix":""},{"dropping-particle":"","family":"Lee","given":"Jong Won","non-dropping-particle":"","parse-names":false,"suffix":""},{"dropping-particle":"","family":"Lim","given":"Tak Hyoung","non-dropping-particle":"","parse-names":false,"suffix":""},{"dropping-particle":"","family":"Park","given":"Seok Joo","non-dropping-particle":"","parse-names":false,"suffix":""}],"chapter-number":"35","container-title":"Ceramics International","id":"ITEM-3","issue":"1","issued":{"date-parts":[["2016"]]},"page":"35-48","title":"Fundamental mechanisms involved in the degradation of nickel–yttria stabilized zirconia (Ni–YSZ) anode during solid oxide fuel cells operation: A review","type":"article-journal","volume":"42"},"uris":["http://www.mendeley.com/documents/?uuid=30e37a32-e88f-469a-9f05-5ee58878e7d2"]},{"id":"ITEM-4","itemData":{"DOI":"10.1016/J.SSI.2009.10.011","ISSN":"0167-2738","abstract":"The oxidation of Ni–YSZ cermet as well the reduction of re-oxidized Ni–YSZ cermet was investigated by using temperature-programmed oxidation (TPO), temperature-programmed reduction (TPR) and scanning electron microscope (SEM). The scanning electron microscope (SEM) photographs and temperature-programmed reduction (TPR) profiles indicated that the sintering of smaller nickel oxide crystallites to larger aggregates occurred concurrently with the formation of smaller nickel oxide crystallites from the oxidation of nickel at 800°C, and the sintering of smaller nickel oxide crystallites at 600°C was slower than that at 800°C. The SEM results showed that each Ni particle was separated into a lot of smaller NiO particles during oxidation. The TPO profiles showed that two kinds of nickel particles exist in the anode reduced at 800 and 600°C, one with high activity towards oxidation for the nickel crystallites directly from reduction, and another one with low activity towards oxidation for the sintered nickel particles. The Ni–YSZ anodes reduced at higher temperature showed higher re-oxidation temperature than the one reduced at lower temperature because of the accelerated passivating and sintering of the smaller nickel particles at higher temperature. The re-oxidation profiles were almost unchanged during redox cycling at 600°C, whereas the re-oxidation peak temperature decreased during redox cycling at 800°C, indicating that the primary nickel grains split to smaller ones upon cyclic reduction at higher temperature.","author":[{"dropping-particle":"","family":"Zhang","given":"Yun","non-dropping-particle":"","parse-names":false,"suffix":""},{"dropping-particle":"","family":"Liu","given":"Bin","non-dropping-particle":"","parse-names":false,"suffix":""},{"dropping-particle":"","family":"Tu","given":"Baofeng","non-dropping-particle":"","parse-names":false,"suffix":""},{"dropping-particle":"","family":"Dong","given":"Yonglai","non-dropping-particle":"","parse-names":false,"suffix":""},{"dropping-particle":"","family":"Cheng","given":"Mojie","non-dropping-particle":"","parse-names":false,"suffix":""}],"container-title":"Solid State Ionics","id":"ITEM-4","issue":"36-39","issued":{"date-parts":[["2009","12","8"]]},"page":"1580-1586","publisher":"Elsevier","title":"Understanding of redox behavior of Ni–YSZ cermets","type":"article-journal","volume":"180"},"uris":["http://www.mendeley.com/documents/?uuid=7b7a0a4c-8f57-3c59-8044-c27be116b07b"]},{"id":"ITEM-5","itemData":{"DOI":"10.3390/membranes2030585","ISSN":"20770375","abstract":"Solid oxide fuel cells are able to convert fuels, including hydrocarbons, to electricity with an unbeatable efficiency even for small systems. One of the main limitations for long-term utilization is the reduction-oxidation cycling (RedOx cycles) of the nickel-based anodes. This paper will review the effects and parameters influencing RedOx cycles of the Ni-ceramic anode. Second, solutions for RedOx instability are reviewed in the patent and open scientific literature. The solutions are described from the point of view of the system, stack design, cell design, new materials and microstructure optimization. Finally, a brief synthesis on RedOx cycling of Ni-based anode supports for standard and optimized microstructures is depicted. © 2012 by the authors; licensee MDPI, Basel, Switzerland.","author":[{"dropping-particle":"","family":"Faes","given":"Antonin","non-dropping-particle":"","parse-names":false,"suffix":""},{"dropping-particle":"","family":"Hessler-Wyser","given":"Aïcha","non-dropping-particle":"","parse-names":false,"suffix":""},{"dropping-particle":"","family":"Zryd","given":"Amédée","non-dropping-particle":"","parse-names":false,"suffix":""},{"dropping-particle":"","family":"Herle","given":"Jan","non-dropping-particle":"Van","parse-names":false,"suffix":""}],"container-title":"Membranes","id":"ITEM-5","issue":"3","issued":{"date-parts":[["2012"]]},"page":"585-664","title":"A review of RedOx cycling of solid oxide fuel cells anode","type":"article-journal","volume":"2"},"uris":["http://www.mendeley.com/documents/?uuid=3a6487a5-f4c8-423f-89a3-b1af10828b94"]}],"mendeley":{"formattedCitation":"[57], [105], [113]–[115]","plainTextFormattedCitation":"[57], [105], [113]–[115]","previouslyFormattedCitation":"[57], [105], [113]–[115]"},"properties":{"noteIndex":0},"schema":"https://github.com/citation-style-language/schema/raw/master/csl-citation.json"}</w:instrText>
      </w:r>
      <w:r>
        <w:fldChar w:fldCharType="separate"/>
      </w:r>
      <w:r w:rsidR="006C586A" w:rsidRPr="006C586A">
        <w:rPr>
          <w:noProof/>
        </w:rPr>
        <w:t>[57], [105], [113]–[115]</w:t>
      </w:r>
      <w:r>
        <w:fldChar w:fldCharType="end"/>
      </w:r>
      <w:r>
        <w:t>. Lastly, the catalyst material (usually nickel) is susceptible to sintering, concurrently reducing the active surface area and reaction rates (</w:t>
      </w:r>
      <w:r w:rsidRPr="002D1749">
        <w:fldChar w:fldCharType="begin"/>
      </w:r>
      <w:r w:rsidRPr="002D1749">
        <w:instrText xml:space="preserve"> REF _Ref51148709 \h  \* MERGEFORMAT </w:instrText>
      </w:r>
      <w:r w:rsidRPr="002D1749">
        <w:fldChar w:fldCharType="separate"/>
      </w:r>
      <w:r w:rsidRPr="00C103C3">
        <w:t>Figure 2.</w:t>
      </w:r>
      <w:r w:rsidRPr="002D1749">
        <w:fldChar w:fldCharType="end"/>
      </w:r>
      <w:r>
        <w:t xml:space="preserve">) </w:t>
      </w:r>
      <w:r>
        <w:fldChar w:fldCharType="begin" w:fldLock="1"/>
      </w:r>
      <w:r w:rsidR="00D80A5D">
        <w:instrText>ADDIN CSL_CITATION {"citationItems":[{"id":"ITEM-1","itemData":{"DOI":"10.1021/nn406119j","ISBN":"19360851 (ISSN)","abstract":"Metal nanoparticle growth represents a major deactivation mechanism of supported catalysts and other functional nanomaterials, particularly those based on low melting-point metals. Here we investigate the impact of the support porous structure on the stability of CuZnO/SiO2 model methanol synthesis catalysts. A series of silica materials with ordered cagelike (SBA-16 mesostructure) and disordered (SiO2-gel) porosities and varying pore sizes were employed as catalyst supports. Nitric oxide moderated nitrate decomposition enabled the synthesis of catalytically active Cu nanoparticles (3-5 nm) exclusively inside the silica pores with short interparticle spacings. Under relevant reactive conditions, confinement of the Cu particles in cagelike silica pores notably enhances catalyst stability by limiting Cu particle growth as compared to catalysts deposited in SiO2-gel host materials with also 3D and highly interconnected though unconstrained porosity. For both pore morphologies, we find a direct relationship between catalyst stability and support porosity, provided the narrowest characteristic pore dimension is employed as a porosity descriptor. For cagelike porosities this corresponds to the size of the entrances to the nanocages. Our results point to nanoparticle diffusion and coalescence as a relevant growth mechanism under reactive conditions and underscore the significance of the narrowest pore constrictions to mitigate growth and improve catalyst stability. This finding contributes to the establishment of general and quantitative structure-stability relationships which are essential for the design of catalysts and related functional nanostructures with long lifetimes under operation conditions. © 2014 American Chemical Society.","author":[{"dropping-particle":"","family":"Prieto","given":"G","non-dropping-particle":"","parse-names":false,"suffix":""},{"dropping-particle":"","family":"Shakeri","given":"M","non-dropping-particle":"","parse-names":false,"suffix":""},{"dropping-particle":"","family":"Jong","given":"K P","non-dropping-particle":"De","parse-names":false,"suffix":""},{"dropping-particle":"","family":"Jongh","given":"P E","non-dropping-particle":"De","parse-names":false,"suffix":""}],"container-title":"ACS Nano","id":"ITEM-1","issue":"3","issued":{"date-parts":[["2014"]]},"language":"English","note":"Cited By :20\nExport Date: 20 January 2017\nCorrespondence Address: De Jongh, P.E.; Inorganic Chemistry and Catalysis, Debye Institute for Nanomaterials Science, Utrecht University, 3584 CG, Utrecht, Netherlands; email: P.E.deJongh@uu.nl\nFunding details: Utrecht University\nReferences: Ertl, G., Knözinger, H., Schüth, F., Weitkamp, J., (2008) Handbook of Heterogeneous Catalysis, , Eds. Wiley-VCH: Weinheim; Wynblatt, P., Gjostein, N.A., Supported Metal Crystallites (1975) Prog. Solid State Chem., 9, pp. 21-58; Bartholomew, C.H., Mechanisms of Catalyst Deactivation (2001) Appl. Catal. A Gen., 212, pp. 17-60; Moulijn, J.A., Van Diepen, A.E., Kapteijn, F., Catalyst Deactivation: Is it Predictable?-What to Do? (2001) Appl. Catal., A, 212, pp. 3-16; Valden, M., Lai, X., Goodman, D.W., Onset of Catalytic Activity of Gold Clusters on Titania with the Appearance of Nonmetallic Properties (1998) Science, 281, pp. 1647-1650; Van Santen, R.A., Complementary Structure Sensitive and Insensitive Catalytic Relationships (2009) Acc. Chem. Res., 42, pp. 57-66; Bezemer, L., Bitter, J.H., Kuipers, H.P.C.E., Oosterbeek, H., Holewijn, J.E., Xu, X., Kapteijn, F., De Jong, K.P., Cobalt Particle Size Effects in the Fischer-Tropsch Reaction Studied with Carbon Nanofiber Supported Catalysts (2006) J. Am. Chem. Soc., 128, pp. 3956-3964; Hughes, M.D., Xu, Y.J., Jenkins, P., McMorn, P., Landon, P., Enache, D.I., Carley, A.F., Kiely, C.J., Tunable Gold Catalysts for Selective Hydrocarbon Oxidation under Mild Conditions (2005) Nature, 437, pp. 1132-1135; Torres Galvis, H.M., Bitter, J.H., Davidian, T., Ruitenbeek, M., Dugulan, A.I., De Jong, K.P., Iron Particle Size Effects for Direct Production of Lower Olefins from Synthesis Gas (2012) J. Am. Chem. Soc., 134, pp. 16207-16215; Boronat, M., Concepción, P., Corma, A., González, S., Illas, F., Serna, P., A Molecular Mechanism for the Chemoselective Hydrogenation of Substituted Nitroaromatics with Nanoparticles of Gold on TiO2 Catalysts: A Cooperative Effect between Gold and the Support (2007) J. Am. Chem. Soc., 129, pp. 16230-16237; Prieto, G., Concepción, P., Martínez, A., Mendoza, E., New Insights into the Role of the Electronic Properties of Oxide Promoters in Rh-Catalyzed Selective Synthesis of Oxygenates from Synthesis Gas (2011) J. Catal., 280, pp. 274-288; López-Haro, M., Cíes, J.M., Trasobares, S., Pérez-Omil, J.A., Delgado, J.J., Bernal, S., Bayle-Guillemaud, P., Calvino, J.J., Imaging Nanostructural Modifications Induced by Electronic Metal-Support Interaction Effects at Au/Cerium-Based Oxide Nanointerfaces (2012) ACS Nano, 6, pp. 6812-6820; Cao, A., Veser, G., Exceptional High-Temperature Stability Through Distillation-like Self-Stabilization in Bimetallic Nanoparticles (2010) Nat. Mater., 9, pp. 75-81; Farmer, J.A., Campbell, C.T., Ceria Maintains Smaller Metal Catalyst Particles by Strong Metal-Support Bonding (2010) Science, 239, pp. 933-936; Wang, Y., Van De Vyver, S., Sharma, K., Román-Leshkov, Y., Insights into the Stability of Gold Nanoparticles Supported on Metal Oxides for the Base-Free Oxidation of Glucose to Gluconic Acid (2014) Green Chem., 16, pp. 719-726; Arnal, P.M., Comotti, M., Schüth, F., High-Temperature-Stable Catalysts by Hollow Sphere Encapsulation (2006) Angew. Chem., Int. Ed., 45, pp. 8224-8227; Joo, S.H., Park, J.Y., Tsung, C.K., Yamada, Y., Yang, P., Somorjai, G.A., Thermally Stable Pt/Mesoporous Silica Core-Shell Nanocatalysts for High-Temperature Reactions (2009) Nat. Mater., 8, pp. 126-131; Lu, J., Fu, B., Kung, M.C., Xiao, G., Elam, J.W., Kung, H.H., Stair, P.C., Coking- and Sintering-Resistant Palladium Catalysts Achieved Through Atomic Layer Deposition (2012) Science, 335, pp. 1205-1208; Prieto, G., Zecevic, J., Friedrich, H., De Jong, K.P., De Jongh, P.E., Towards Stable Catalysts by Controlling Collective Properties of Supported Metal Nanoparticles (2013) Nat. Mater., 12, pp. 34-39; Prieto, G., Meeldijk, J.D., De Jong, K.P., De Jongh, P.E., Interplay between Pore Size and Nanoparticle Spatial Distribution: Consequences for the Stability of CuZn/SiO2 Methanol Synthesis Catalysts (2013) J. Catal., 303, pp. 31-40; Cao, A., Lu, R., Veser, G., Stabilizing Metal Nanoparticles for Heterogeneous Catalysis (2010) Phys. Chem. Chem. Phys., 12, pp. 13499-13510; Wang, J., Lu, A.-H., Li, M., Zhang, W., Chen, Y.-S., Tian, D.-X., Li, W.-C., Thin Porous Alumina Sheets as Supports for Stabilizing Gold Nanoparticles (2013) ACS Nano, 7, pp. 4902-4910; Ruckenstein, E., Pulvermacher, B., Effect of the Pore Size on the Aging of Supported Metals (1975) J. Catal., 37, pp. 416-423; Richardson, J.T., Propp, J.L., Pore Size Effects on Sintering of Ni/Al2O3 Catalysts (1986) J. Catal., 98, pp. 457-467; Sun, J., Ma, D., Zhang, H., Liu, X., Han, X., Bao, X., Weinberg, G., Su, D., Toward Monodispersed Silver Nanoparticles with Unusual Thermal Stability (2006) J. Am. Chem. Soc., 128, pp. 15756-15764; Bore, M.T., Pham, H.N., Switzer, E.E., Ward, T.L., Fukuoka, A., Datye, A.K., The Role of Pore Size and Structure on the Thermal Stability of Gold Nanoparticles within Mesoporous Silica (2005) J. Phys. Chem. B, 109, pp. 2873-2880; Zhao, D.Y., Huo, Q.S., Feng, J.L., Chmelka, B.F., Stucky, G.D., Nonionic Triblock and Star Diblock Copolymer and Oligomeric Surfactant Syntheses of Highly Ordered, Hydrothermally Stable, Mesoporous Silica Structures (1998) J. Am. Chem. Soc., 120, pp. 6024-6036; Yu, C.Z., Yu, Y.H., Zhao, D.Y., Highly Ordered Large Caged Cubic Mesoporous Silica Structures Templated by Triblock PEO-PBO-PEO Copolymer (2000) Chem. Commun., pp. 575-576; Fan, J., Yu, C.Z., Gao, T., Lei, J., Tian, B.Z., Wang, L.M., Luo, Q., Zhao, D.Y., Cubic Mesoporous Silica with Large Controllable Entrance Sizes and Advanced Adsorption Properties (2003) Angew. Chem., Int. Ed., 42, pp. 3146-3150; Matos, J.R., Kruk, M., Mercuri, L.P., Jaroniec, M., Zhao, L., Kamiyama, T., Terasaki, O., Liu, Y., Ordered Mesoporous Silica with Large Cage-Like Pores: Structural Identification and Pore Connectivity Design by Controlling the Synthesis Temperature and Time (2003) J. Am. Chem. Soc., 125, pp. 821-829; Li, L.Y., King, D.L., Liu, J., Huo, Q.S., Zhu, K.K., Wang, C.M., Gerber, M., Wang, Y., Stabilization of Metal Nanoparticles in Cubic Mesostructured Silica and Its Application in Regenerable Deep Desulfurization of Warm Syngas (2009) Chem. Mater., 21, pp. 5358-5364; Hao, Y., Chong, Y., Li, S., Yang, H., Controlled Synthesis of Au Nanoparticles in the Nanocages of SBA-16: Improved Activity and Enhanced Recyclability for the Oxidative Esterification of Alcohols (2012) J. Phys. Chem. C, 116, pp. 6512-6519; Li, X., Liu, X., Yang, Y., Zhao, J., Li, C., Yang, Q., Entrapment of Metal Nanoparticles within Nanocages of Mesoporous Silicas Aided by Co-Surfactants (2012) J. Mater. Chem., 22, pp. 21045-21050; Chorkendorff, I., Niemantsverdriet, H., (2003) Concepts of Modern Catalysis and Kinetics, , Eds. Wiley-VCH: Weinheim; Olah, G.A., Goeppert, A., Surya Prakash, G.K., (2009) Beyond Oil and Gas: The Methanol Economy, , Eds. Wiley-VCH: Weinheim; Twigg, M.V., Spencer, M.S., Deactivation of Copper Metal Catalysts for Methanol Steam Reforming and Methanol Synthesis (2003) Top. Catal., 22, pp. 191-203; Rasmussen, D.B., Janssens, T.V.W., Temel, B., Bligaard, T., Hinnemann, B., Helveg, S., Sehested, J., The Energies of Formation and Mobilities of Cu Surface Species on Cu and ZnO in Methanol and Water Gas Shift Atmospheres Studied by DFT (2012) J. Catal., 293, pp. 205-214; Baltes, C., Vukojević, S., Schüth, F., Correlations between Synthesis, Precursor, and Catalyst Structure and Activity of a Large Set of CuO/ZnO/Al2O3 Catalysts for Methanol Synthesis (2008) J. Catal., 258, pp. 334-344; Behrens, M., Studt, F., Kasatjin, I., Kühl, S., Hävecker, M., Abild-Pedersen, K., Zander, S., Schlögl, R., The Active Site of Methanol Synthesis over Cu/ZnO/Al2O 3 Industrial Catalysts (2012) Science, 336, pp. 893-897; Prieto, G., De Jong, K.P., De Jongh, P.E., Towards &amp;quot;greener&amp;quot; Catalyst Manufacture: Reduction of Wastewater from the Preparation of Cu/ZnO/Al2O3 Methanol Synthesis Catalysts (2013) Catal. Today, 215, pp. 142-151; Jansen, W.P.A., Beckers, J., Van Der Heuvel, J.C., Van Der Gon, A.W.D., Bliek, A., Brongersma, H.H., Dynamic Behavior of the Surface Structure of Cu/ZnO/SiO2 Catalysts (2002) J. Catal., 210, pp. 229-236; Becker, R., Parala, H., Hipler, F., Tkachenko, O.P., Klementiev, K.V., Grünert, W., Wilmer, H., Fischer, R.A., MOCVD-Loading of Mesoporous Siliceous Matrices with Cu/ZnO: Supported Catalysts for Methanol Synthesis (2004) Angew. Chem., Int. Ed., 43, pp. 2839-2842; Van Den Berg, M.W.E., Polarz, S., Tkachenko, O.P., Klementiev, K.V., Bandyopadhyay, M., Khodeir, L., Gies, H., Grünert, W., Cu/ZnO Aggregates in Siliceous Mesoporous Matrices: Development of a New Model Methanol Synthesis Catalyst (2006) J. Catal., 241, pp. 446-455; Munnik, P., Wolters, M., Gabrielsson, A., Pollington, S.D., Headdock, G., Bitter, J.H., De Jongh, P.E., De Jong, K.P., Copper Nitrate Redispersion to Arrive at Highly Active Silica Supported Copper Catalysts (2011) J. Phys. Chem. C, 115, pp. 14698-14706; Sing, K.S.W., Williams, R.T., Physisorption Hysteresis Loops and the Characterization of Nanoporous Materials (2004) Adsorpt. Sci. Technol., 22, pp. 773-782; Ravikovitch, P.I., Neimark, A.V., Density Functional Theory of Adsorption in Spherical Cavities and Pore Size Characterization of Templated Nanoporous Silicas with Cubic and Three-Dimensional Hexagonal Structures (2002) Langmuir, 18, pp. 1550-1560; Eggenhuisen, T.M., Prieto, G., Talsma, H., De Jong, K.P., De Jongh, P.E., Entrance Size Analysis of Silica Materials with Cagelike Pore Structure by Thermoporometry (2012) J. Phys. Chem. C, 116, pp. 23383-23393; Kruk, M., Jaroniec, M., Argon Adsorption at 77 K as a Useful Tool for the Elucidation of Pore Connectivity in Ordered Materials with Large Cagelike Mesopores (2003) Chem. Mater., 15, pp. 2942-2949; Kim, T.-W., Ryoo, R., Kruk, M., Gierszal, K.P., Jaroniec, M., Kamiya, S., Terasaki, O., Tailoring the Pore Structure of SBA-16 Silica Molecular Sieve Through the Use of Copolymer Blends and Control of Synthesis Temperature and Time (2004) J. Phys. Chem. B, 108, pp. 11480-11489; Antonchshuk, V., Kruk, M., Jaroniec, M., Surface Modifications of Cage-like and Channel-like Mesopores and Their Implications for Evaluation of Sizes of Entrances to Cage-like Mesopores (2003) J. Phys. Chem. B, 107, pp. 11900-11906; Kruk, M., Antonchshuk, V., Matos, J.R., Mercuri, L.P., Jaroniec, M., Determination and Tailoring the Pore Entrance Size in Ordered Silicas with Cage-like Mesoporous Structures (2002) J. Am. Chem. Soc., 124, pp. 768-769; Shakeri, M., Klein Gebbink, R.J.M., De Jongh, P.E., De Jong, K.P., Control and Assessment of Plugging of Mesopores in SBA-15 Materials (2013) Microporous Mesoporous Mater., 170, pp. 340-345; De Jong, K.P., (2009) Synthesis of Solid Catalysts, , Ed. Wiley-VCH: Weinheim; Chouillet, C., Villain, F., Kermarec, M., Lauron-Pernot, H., Louis, C., Relevance of the Drying Step in the Preparation by Impregnation of Zn/SiO2 Supported Catalysts (2003) J. Phys. Chem. B, 107, pp. 3565-3575; Catillon-Mucherie, S., Ammari, F., Krafft, J.-M., Lauron-Pernot, H., Touroude, R., Louis, C., Preparation of Coimpregnated Cu-Zn/SiO2 Catalysts: Influence of the Drying Step on Metallic Particle Size and on Cu0-Zn II Interactions (2007) J. Phys. Chem. C, 111, pp. 11619-11626; Sietsma, J.R.A., Meeldijk, J.D., Den Breejen, J.P., Versluijs-Helder, M., Van Dillen, A.J., De Jongh, P.E., De Jong, K.P., The Preparation of Supported NiO and Co3O4 Nanoparticles by the Nitric Oxide Controlled Thermal Decomposition of Nitrates (2007) Angew. Chem., Int. Ed., 46, pp. 4547-4549; Wolters, M., Munnik, P., Bitter, J.H., De Jongh, P.E., De Jong, K.P., How NO Affects Nickel and Cobalt Nitrates at Low Temperatures to Arrive at Highly Dispersed Silica-Supported Nickel and Cobalt Catalysts (2011) J. Phys. Chem. C, 115, pp. 3332-3339; Okabe, K., Sayama, K., Matsubayashi, N., Shimomura, K., Arakawa, H., Selective Hydrogenation of Carbon Dioxide to Methanol on Cu-ZnO/SiO 2 Catalysts Prepared by Alkoxide Method (1992) Bull. Chem. Soc. Jpn., 65, pp. 2520-2525; García-Trenco, A., Martínez, A., A Simple and Efficient Approach to Confine Cu/ZnO Methanol Synthesis Catalysts in the Ordered Mesoporous SBA-15 Silica (2013) Catal. Today, 215, pp. 152-161; Yan, X., Wang, X., Tang, Y., Ma, G., Zou, S., Li, R., Peng, X., Fan, J., Unusual Loading-Dependent Sintering-Resistant Properties of Gold Nanoparticles Supported within Extra-Large Mesopores (2013) Chem. Mater., 25, pp. 1556-1563; Ahn, T.-M., Tien, J.K., Coarsening Kinetics of Platinum Particles on Curved Oxide Substrates (1980) J. Catal., 66, pp. 335-346; Kruk, M., Jaroniec, M., Determination of Mesopore Size Distributions from Argon Adsorption Data at 77 K (2002) J. Phys. Chem. B, 106, pp. 4732-4739; Kleitz, F., Solovyov, L.A., Anilkumar, G.M., Choi, S.H., Ryoo, R., Transformation of Highly Ordered Large Pore Silica Mesophases (Fm3m, Im3m and p6mm) in a Ternary Triblock Copolymer-Butanol-Water System (2004) Chem. Commun., pp. 1536-1537","page":"2522-2531","publisher":"American Chemical Society","title":"Quantitative relationship between support porosity and the stability of pore-confined metal nanoparticles studied on CuZnO/SiO2 methanol synthesis catalysts","type":"article-journal","volume":"8"},"uris":["http://www.mendeley.com/documents/?uuid=dbf52664-4bdb-47ad-a41b-9586fddaf827"]},{"id":"ITEM-2","itemData":{"DOI":"10.1111/j.1151-2916.1993.tb03645.x","ISBN":"00027820 (ISSN)","abstract":"A ceramic fuel cell in an all solid‐state energy conversion device that produces electricity by electrochemically combining fuel and oxidant gases across an ionic conducting oxide. Current ceramic fuel cells use an oxygen‐ion conductor or a proton conductor as the electrolyte and operate at high temperatures (&gt;600°C). Ceramic fuel cells, commonly referred to as solid‐oxide fuel cells (SOFCs), are presently under development for a variety of power generation applications. This paper reviews the science and technology of ceramic fuel cells and discusses the critical issues posed by the development of this type of fuel cell. The emphasis is given to the discussion of component materials (especially, ZrO2 electrolyte, nickel/ZrO2 cermet anode, LaMnO3 cathode, and LaCrO3 interconnect), gas reactions at the electrodes, stack designs, and processing techniques used in the fabrication of required ceramic structures. Copyright © 1993, Wiley Blackwell. All rights reserved","author":[{"dropping-particle":"","family":"Minh","given":"N Q","non-dropping-particle":"","parse-names":false,"suffix":""}],"container-title":"Journal of the American Ceramic Society","id":"ITEM-2","issue":"3","issued":{"date-parts":[["1993"]]},"language":"English","note":"Cited By :3099\nExport Date: 30 November 2016\nCorrespondence Address: Minh, N.Q.; AiResearch Los Angeles Division, Allied-Signal Aerospace Company, Torrance, California, 90504-6099, United States\nReferences: Grove, W.R., On Voltaic Series and the Combination of Gases by Platinum (1839) Philos. Mag., 14, pp. 127-130; Nernst, W., Uber Die Elektrolytische Leitung Fester Körper Bei Sehr Hohen Temperaturen (1899) Z. Elektrochem., 6, pp. 41-43; Baur, E., Preis, H., Uber Brennstoff‐Ketten Mit Festleitern (1937) Z. Elektrochem., 43, pp. 727-732; Minh, N.Q., High‐Temperature Fuel Cells. Part 2: The Solid Oxide Cell (1991) CHEMTECH, 21, pp. 120-126; (1981) Science and Technology of Zirconia, 3. , Edited by, A. H. Heuer, L. W. Hobbs, American Ceramic Society, Columbus, OH; (1984) Science and Technology of Zirconia II, 12. , Edited by, N. Claussen, M. Rühle, A. H. Heuer, American Ceramic Society, Columbus, OH; (1988) Science and Technology of Zirconia III, 24. , Edited by, S. Somiya, N. Yamamoto, H. Yanagida, American Ceramic Society, Westerville, OH; Stevens, R., (1986) An Introduction to Zirconia, , Magnesium Elektron, London, U.K; Etsell, T.H., Flengas, S.N., The Electrical Properties of Solid Oxide Electrolytes (1970) Chem. Rev., 70, pp. 339-376; Subbarao, E.C., Maiti, H.S., Solid Electrolytes with Oxygen Ion Conduction (1984) Solid State Ionics, 11, pp. 317-338; Patterson, J.W., Borgen, E.C., Rapp, R.A., Mixed Conduction in Zr0.85Ca0.15O1.85 and Th0.85Y0.15O1.85 Solid Electrolytes (1967) Journal of The Electrochemical Society, 114, pp. 752-758; Baumard, J.F., Abelard, P., , pp. 555-571. , “Defect Structure and Transport Properties of ZrO2‐Based Solid Electrolytes”; see Ref. 6, ppChoudhary, C.B., Maiti, H.S., Subbarao, E.C., Detect Structure and Transport Properties (1980) Solid Electrolytes and Their Applications, pp. 1-80. , Edited by, E. C. Subbarao, Plenum Press, New York; Badwal, S.P.S., Hughes, A.E., Modification of Cell Characteristics by Segregated Impurities (1991) Proceedings of the Second International Symposium on Solid Oxide Fuel Cells, pp. 445-454. , Edited by, F. Gross, P. Zegers, S. C. Singhal, O. Yamamoto, Commission of The European Communities, Luxembourg; Bauerle, J.E., Study of Solid Electrolyte Polarization by a Complex Admittance Method (1969) J. Phys. Chem. Solids, 30, pp. 2657-2670; Kleitz, M., Bernard, H., Fernandez, E., Schouler, E., , pp. 310-336. , “Impedance Spectroscopy and Electrical Resistance Measurements on Stabilized Zirconia”; see Ref. 5, ppVerkerk, M.J., Middelhuis, B.J., Burggraaf, A.J., Effect of Grain Boundaries on the Conductivity of High‐Purity ZrO2–Y2O3 Ceramics (1982) Solid State Ionics, 6, pp. 159-170; Butler, E.P., Slotwinski, R.K., Bonanos, N., Drennan, J., Steele, B.C.H., , pp. 572-584. , “Microstructural–Electrical Property Relationships in High‐Conductivity Zirconias”; see Ref. 6, ppBaukal, W., Solid Oxide Electrolyte with Time‐Dependent Conductivity (1972) From Electrocatalysis to Fuel Cells, pp. 247-254. , Edited by, G. Sandstede, University of Washington Press, Seattle, WA; Suzuki, Y., Shimada, A., Senda, S., Time‐Dependent Change in Electrical Resistivity of Polycrystalline YSZ and CSZ (1990) Solid State Ionics, 42, pp. 121-125; Badwal, S.P.S., Drennan, J., Yttria–Zirconia: Effect of Microstructure on Conductivity (1987) J. Mater. Sci., 22, pp. 3231-3239; Ciftcioglu, M., Mayo, M.J., (1990), “Processing of Nanocrystalline Ceramics”; presented at the Spring Meeting of the Materials Research Society, San Francisco, CA, April 16–21, 1990. Rept. No. DE90–015700, SAND‐90–1639C, CONF‐900466–78, National Technical Information Service, Alexandria, VAScott, C.E., Reed, J.S., Analysis of Cl‐ Ions Laundered from Submicron Zirconia Powders (1978) Am. Ceram. Soc. Bull., 57, pp. 741-743; Scott, C.E., Reed, J.S., Effect of Laundering and Milling on the Sintering Behavior of Stabilized ZrO2 Powders (1979) Am. Ceram. Soc. Bull., 58, pp. 587-590; Evans, A.G., The New High‐Toughness Ceramics (1989) Fracture Mechanics: Perspective and Directions, pp. 267-291. , (Twentieth Symposium), ASTM STP 1020. Edited by, R. P. Wei, R. P. Gangloff, American Society for Testing and Materials, Philadelphia, PA; Singh, J.P., Bosak, A.L., Dees, D.W., McPheeters, C.C., Improved Fracture Toughness of ZrO2 Electrolyte for Solid Oxide Fuel Cell (1988) 1988 Fuel Cell Seminar Abstracts, pp. 145-148. , (Long Beach, CA, Oct. 23–26, 1988)., Courtesy Associates, Washington, DC; Ishizaki, F., Yoshida, T., Sakurada, S., Effect of Alumina Addition on the Electrical Properties of Yttria‐Doped Zirconia (1989) Proceedings of the First International Symposium on Solid Oxide Fuel Cells, pp. 3-14. , Edited by, S. C. Singhal, The Electrochemical Society, Pennington, NJ; Hernandez, M.T., Jurado, J.R., Duran, P., , pp. 421-428. , “Effect of Al2O3, Additions on the Electrical Properties of ZrO2–Y2O3 and ZrO2–Y2O3–CeO2 Electrolytes”; see Ref. 14, ppYamamoto, O., Takeda, Y., Imanishi, N., Kawahara, T., Shen, G.Q., Mori, M., Abe, T., , pp. 437-444. , “Electrical and Mechanical Properties of Zirconia–Alumina Composite Electrolyte”; see Ref. 14, ppDuran, P., Jurado, J.R., Moure, C., Hernandez, M.T., Capel, F., , pp. 401-407. , “Improvement of the Mechanical Properties of Yttria‐Stabilized Zirconia Electrolyte”; see Ref. 14, ppWeppner, W., Tetragonal Zirconia for Solid Oxide Fuel Cells (1990) Proceedings of the International Symposium on Solid Oxide Fuel Cells, pp. 83-89. , Edited by, O. Yamamoto, M. Dokiya, H. Tagawa, Science House, Tokyo, Japan; Yoshida, T., Hoshina, T., Mukaizawa, I., Sakurada, S., Properties of Partially Stabilized Zirconia Fuel Cell (1989) J. Electrochem. Soc., 136, pp. 2604-2606; Yamamoto, O., Takeda, Y., Kanno, R., Kohno, K., Electrical Conductivity of Tetragonal Stabilized Zirconia (1990) J. Mater. Sci., 25, pp. 2805-2808; Sato, T., Shimada, M., Crystalline Phase Changes in Yttria‐Partially‐Stabilized Zirconia by Low‐Temperature Annealing (1984) J. Am. Ceram. Soc., 67 (10), pp. 212-213; Subbarao, E.C., Maiti, H.S., , pp. 731-747. , “Oxygen Sensors and Pumps”; see Ref. 7, ppVlasov, A.N., Perfiliev, M.V., Ageing of ZrO2‐Based Solid Electrolytes (1987) Solid State Ionics, 25, pp. 245-253; Takahashi, T., Iwahara, H., Nagai, Y., High Oxide Conduction in Sintered Bi2O3 Containing SrO, CaO, or La2O3 (1972) J. Appl. Electrochem., 2, pp. 97-104; Miyayama, M., Nishi, T., Yanagida, H., Oxygen Ionic Conduction in Y2O3‐Stabilized Bi2O3 and ZrO2 Composites (1987) J. Mater. Sci., 22, pp. 2624-2628; Verkerk, M.J., Keizer, K., Burggraaf, A.J., High Oxygen Ion Conduction in Sintered Oxides of Bi2O3–Er2O3 System (1980) J. Appl. Electrochem., 10, pp. 81-90; Takahashi, T., Esaka, T., Iwahara, H., Conduction of Bi2O3‐Based Oxide Ion Conductor Under Low Oxygen Pressure. II. Determination of the Partial Electronic Conductivity (1977) J. Appl. Electrochem., 7, pp. 303-308; Blumenthal, R.N., Brugner, F.S., Garnier, J.E., The Electrical Conductivity of CaO‐Doped Nonstoichiometric Cerium Oxide from 700° to 1500°C (1973) J. Electrochem. Soc., 120, pp. 1230-1237; Tuller, H.L., Nowick, A.S., Doped Ceria as a Solid Oxide Electrolyte (1975) J. Electrochem. Soc., 122, pp. 255-259; Swarr, T.E., Karavolis, S., Maricle, D.L., Enhanced Ceria—A Low‐Temperature SOFC Electrolyte (1990) Proceedings of the 25th Intersociety Energy Conversion Engineering Conference, 3, pp. 256-261. , American Institute of Chemical Engineers, New York; Yahiro, H., Baba, Y., Eguchi, K., Arai, H., High‐Temperature Fuel Cell with Ceria–Yttria Solid Electrolyte (1988) J. Electrochem. Soc., 135, pp. 2077-2080; Inoue, T., Setoguchi, T., Eguchi, K., Arai, H., Study of a Solid Oxide Fuel Cell with a Ceria‐Based Solid Electrolyte (1989) Solid State Ion'cs, 35, pp. 285-291; Virkar, A.V., Theoretical Analysis of Solid Oxide Fuel Cells with Two‐Layer Composite Electrolyte: Electrolyte Stability (1991) J. Electrochem. Soc., 138, pp. 1481-1487; Takahashi, T., Iwahara, H., Ionic Conduction in Perovskite‐Type Oxide Solid Solution and Its Application to Solid Electrolyte Fuel Cell (1971) Energy Convers., 11, pp. 105-111; Kilner, J.A., Barrow, P., Brook, R.J., Norgett, M.J., Electrolytes for the High‐Temperature Fuel Cell: Experimental and Theoretical Studies of the Perovskite LaAlO3 (1978) J. Power Sources, 3, pp. 67-80; Cook, R.L., MacDu'f, R.C., Sammells, A.F., Perovskite Solid Electrolytes for Intermediate‐Temperature Solid Oxide Fuel Cells (1990) J. Electrochem. Soc., 137, pp. 3309-3310; Sammells, A.F., Cook, R.L., Worrell, W.L., (1990), “Methane Conversion by Solid Electrolyte Membranes,” Rept. No. GR1‐90/0136, Gas Research Institute, Chicago, ILMurakami, S., Miyake, Y., Akiyama, Y., Ishida, N., Saito, T., Furukawa, N., , pp. 187-190. , “A Study on Composite Anode of Solid Oxide Fuel Cells”; see Ref. 31, ppDees, D.W., Claar, T.D., Easler, T.E., Fee, D.C., azek, F.C., Conductivity of Porous Ni/ZrO2‐Y2O3 Cermets (1987) Journal of The Electrochemical Society, 134, pp. 2141-2146; Ivers‐Tiffée, E., Wersing, W., Schießl, M., Greiner, H., Ceramic and Metallic Components for a Planar SOFC (1990) Berichte der Bunsengesellschaft für physikalische Chemie, 94, pp. 978-981; Majumdar, S., Claar, T., Flandermeyer, B., Stress and Fracture Behavior of Monolithic Fuel Cell Tapes (1986) J. Am. Ceram. Soc., 69, pp. 628-633; Easler, T., Flandermeyer, B.K., Claar, T.D., Busch, D.E., Fousek, R.J., Picciolo, J.J., Poeppel, R.B., Electrode Development for Monolithic Fuel Cells (1986) 1986 Fuel Cell Seminar Abstracts, pp. 72-75. , (Tucson, AZ, Oct. 26–29, 1986)., Courtesy Associates, Washington, DC; Markin, T.L., Bones, R.J., Dell, R.M., High‐Temperature Solid‐Electrolyte Fuel Cells (1976) Conference on Superionic Conductors, pp. 15-35. , Edited by, G. D. Mahan, W. L. Roth, Plenum Press, New York; Suzuki, M., Sasaki, H., Otoshi, S., Ippommatsu, M., , pp. 585-591. , “Development of Ru/ZrO2 SOFC Anode”; see Ref. 14, ppTakahashi, T., Iwahara, H., Suzuki, Y., Electrode Materials for High‐Temperature Solid Electrolyte Fuel Cells (1969) Proceedings of the Third International Symposium on Fuel Cells, pp. 113-119. , Presses Académiques Européennes, Brussels, Belgium; Steele, B.C.H., Middleton, P.H., Rudkin, R.A., Material Science Aspects of SOFC Technology with Special Reference to Anode Development (1990) Solid State Ionics, 40-41, pp. 388-393; Mogensen, M., , pp. 577-584. , “Properties of CeO2‐Based SOFC Anode Materials”; see Ref. 14, ppSwider, K.E., Worrell, W.L., , pp. 593-601. , “Synthesis and Characterization of Yuria. Stabilized Zirconia‐Titania Thin‐Film Electrodes”; see Ref. 14, ppLiou, S.S., Worrell, W.L., , pp. 81-89. , “Mixed‐Conducting Oxide Electrodes for Solid Oxide Fuel Cells”; see Ref. 27, ppLiou, S.S., Worrell, W.L., Electrical Properties of Novel Mixed‐Conducting Oxides (1989) Appl. Phys. A, 49, pp. 25-31; Tedmon, C.S., Jr., Spacil, H.S., Mitoff, S.P., Cathode Materials and Performance in High‐Temperature Zirconia Electrolyte Fuel Cells (1969) Journal of The Electrochemical Society, 116, pp. 1170-1175; Tofield, B.C., Scott, W.R., Oxidative Nonstoichiometry in Perovskites, an Experimental Survey: The Defect Structure of an Oxidized Lanthanum Manganite by Powder Neutron Diffraction (1974) J. Solid State Chem., 10, pp. 183-194; Kuo, J.H., Anderson, H.U., Sparlin, D.M., Oxidation‐Reduction Behavior of Undoped and Sr‐Doped LaMnO3: Defect Structure, Electrical Conductivity, and Thermoelectric Power (1990) J. Solid State Chem., 87, pp. 55-63; Rao, Wanklyn, B.M., Rao, C.N.R., Electrical Transport in Rare‐Earth Ortho‐Chromites, ‐Manganites, and ‐Ferrites (1971) J. Phys. Chem. Solids, 32, pp. 345-358; Kamata, K., Nakajima, T., Hayashi, T., Nakamura, T., Nonstoichiometric Behavior and Phase Stability of Rare‐Earth Manganites at 1200°C: (1). LaMnO3 (1978) Mater. Res. Bull., 13, pp. 49-54; Mizusaki, J., Tagawa, H., Naraya, K., Sasamoto, T., Nonstoichiometry and Thermochemical Stability of the Perovskite‐Type La1‐xSrxMnO3‐δ (1991) Solid State Ionics, 49, pp. 111-118; Kuo, J.H., Anderson, H.U., Sparlin, D.M., Oxidation‐Reduction Behavior of Undoped and Sr‐Doped LaMnO3 Nonstoichiometry and Defect Structure (1989) J. Solid State Chem., 83, pp. 52-60; Nakamura, T., Petzow, G., Gauckler, L.J., Stability of the Perovskite Phase LaBO3 (B = V, Cr, Mn, Fe, Co, Ni) in Reducing Atmospheres I. Experimental Results (1979) Mater. Res. Bull., 14, pp. 649-659; Sreedharan, O.M., Pankajavalli, R., Gnanamoorthy, J.B., Standard Gibbs' Energy of Formation of LaMnO3 from EMF Measurements (1983) High Temp. Sci., 16, pp. 251-256; Kamegashira, N., Miyazaki, Y., Hiyoshi, Y., Limiting Oxygen Partial Pressure of LaMnO3 Phase (1984) Mater. Lett., 2, pp. 194-195; Sreedharan, O.M., Chandrasekharaiah, M.S., Standard Gibbs' Energy of Formation of LaFeO3 and Comparison of Stability of LaMO3 (M = Mn, Fe, Co, Ni) Compounds (1986) J. Mater. Sci., 21, pp. 2581-2584; Ruka, R., (1983), pp. 295-302. , “Some Non‐Electrochemical Requirements for Air Electrode Materials of High‐Temperature Solid Electrolyte Fuel Cells”; pp., in Proceedings of the Conference on High–Temperature Solid Oxide Electrolytes, Vol. I–Anion Conductors (Brookhaven National Laboratory, Upton, NY, Aug. 16–17, 1983). Rept. No. BNL 51728–Vol. I, Brookhaven National Laboratory, Upton, NYJonker, G.H., Semiconducting Properties of Mixed Crystals with Perovskite Structure (1954) Physica (Amsterdam), 20, pp. 1118-1122; Tanaka, J., Takahashi, K., Yukino, K., Horiuchi, S., Electrical Conduction of (La0.8Ca0.2)MnO3 with Homogeneous Ionic Distribution (1983) Phys. Status Solidi, 80, pp. 621-630; Fandel, M., Höschele, J., Schäfer, W., Schmidberger, R., Properties of Ca‐Doped LaMnO3 (1989) Properties of Ceramics, 2, p. 2. , 236–2.240 in Euro‐ceramics, Vol,. Edited by, G. de With, R. A. Lerpstra, R. Metselaar, Elsevier Applied Science, London, U.K; Pavlov, V.I., Bogush, A.K., Bychkov, G.L., Influence of Impurity Centers on the Electrical Conductivity of Manganites with a Perovskite Structure (1984) Inorg. Mater. (Engl. Transl.), 20, pp. 752-754; Wold, A., Arnott, R.J., Goodenough, J.B., Some Magnetic and Crystallographic Properties of the System LaMn1‐xNixO3‐λ (1958) J. Appl. Phys., 29, pp. 387-389; Lyubkina, I.Ya., Kononyuk, I.F., Preparation and Electric Properties of LaMn1‐xNixO3 (O","page":"563-588","title":"Ceramic Fuel Cells","type":"article-journal","volume":"76"},"uris":["http://www.mendeley.com/documents/?uuid=7c17b8de-f21a-48a1-8286-c38ae0ab747c"]},{"id":"ITEM-3","itemData":{"DOI":"10.1016/j.jpowsour.2010.08.006","ISBN":"0378-7753","ISSN":"03787753","abstract":"The present study is focusing on the elaboration of the quantitative relationships between the primary microstructural parameters (i.e. the phase volume fractions Φ, the particle and pore sizes and the corresponding size distributions PSD) with the more complex topological features (triple phase boundary length TPBL, and specific surface area SSA) in porous Ni-cermet anodes. These relationships are crucial for the microstructure optimization and for the improvement of the corresponding electrode performance. In the first part of the study a pristine anode material with a graded microstructure is analyzed. The results from the different zonations indicate that the TPBL correlates well with the volume fraction of the coarsest phase which is nickel. However the volume fractions also correlate with the particle size after sintering due to stronger particle coalescence at higher nickel volume fractions. Since the larger particle size leads to a decrease of the TPBL this coarsening effect partly neutralizes the advantage of a higher nickel volume fraction. Furthermore, the TPBL is also linked with the nickel surface area and with the corresponding pore-nickel interface area. The pore-nickel interface is the least abundant internal surface and therefore it represents the microstructural feature which predominantly limits the TPB formation in our nickel-cermet anode. In the second part the effects of microstructural degradation during exposure in a humid gas environment at 950 °C are investigated. During the early period (&lt;200 h) the rapid decrease of the TPBL is directly linked with the kinetics of nickel grain growth. At longer periods (&gt;1000 h) the nickel coarsening ceases whereas the decrease of the TPBL continues at a lower rate. During longer exposure time the reduction of TPBL is most probably caused by a slight volatilization of the nickel phase and by the formation of continuous CGO layers which are shielding the surface of the nickel grains. © 2010 Elsevier B.V. All rights reserved.","author":[{"dropping-particle":"","family":"Holzer","given":"L.","non-dropping-particle":"","parse-names":false,"suffix":""},{"dropping-particle":"","family":"Münch","given":"B.","non-dropping-particle":"","parse-names":false,"suffix":""},{"dropping-particle":"","family":"Iwanschitz","given":"B.","non-dropping-particle":"","parse-names":false,"suffix":""},{"dropping-particle":"","family":"Cantoni","given":"M.","non-dropping-particle":"","parse-names":false,"suffix":""},{"dropping-particle":"","family":"Hocker","given":"Th","non-dropping-particle":"","parse-names":false,"suffix":""},{"dropping-particle":"","family":"Graule","given":"Th","non-dropping-particle":"","parse-names":false,"suffix":""}],"container-title":"Journal of Power Sources","id":"ITEM-3","issue":"17","issued":{"date-parts":[["2011"]]},"page":"7076-7089","publisher":"Elsevier B.V.","title":"Quantitative relationships between composition, particle size, triple phase boundary length and surface area in nickel-cermet anodes for Solid Oxide Fuel Cells","type":"article-journal","volume":"196"},"uris":["http://www.mendeley.com/documents/?uuid=8a49dac2-6462-47db-aebc-36db8ec26a63"]},{"id":"ITEM-4","itemData":{"DOI":"10.1021/ar3002427","ISBN":"1520-4898 (Electronic)\r0001-4842 (Linking)","PMID":"23634641","abstract":"Metal nanoparticles contain the active sites in heterogeneous catalysts, which are important for many industrial applications including the production of clean fuels, chemicals and pharmaceuticals, and the cleanup of exhaust from automobiles and stationary power plants. Sintering, or thermal deactivation, is an important mechanism for the loss of catalyst activity. This is especially true for high temperature catalytic processes, such as steam reforming, automotive exhaust treatment, or catalytic combustion. With dwindling supplies of precious metals and increasing demand, fundamental understanding of catalyst sintering is very important for achieving clean energy and a clean environment, and for efficient chemical conversion processes with atom selectivity. Scientists have proposed two mechanisms for sintering of nanoparticles: particle migration and coalescence (PMC) and Ostwald ripening (OR). PMC involves the mobility of particles in a Brownian-like motion on the support surface, with subsequent coalescence leading to nanoparticle growth. In contrast, OR involves the migration of adatoms or mobile molecular species, driven by differences in free energy and local adatom concentrations on the support surface. In this Account, we divide the process of sintering into three phases. Phase I involves rapid loss in catalyst activity (or surface area), phase II is where sintering slows down, and phase III is where the catalyst may reach a stable performance. Much of the previous work is based on inferences from catalysts that were observed before and after long term treatments. While the general phenomena can be captured correctly, the mechanisms cannot be determined. Advancements in the techniques of in situ TEM allow us to observe catalysts at elevated temperatures under working conditions. We review recent evidence obtained via in situ methods to determine the relative importance of PMC and OR in each of these phases of catalyst sintering. The evidence suggests that, in phase I, OR is responsible for the rapid loss of activity that occurs when particles are very small. Surprisingly, very little PMC is observed in this phase. Instead, the rapid loss of activity is caused by the disappearance of the smallest particles. These findings are in good agreement with representative atomistic simulations of sintering. In phase II, sintering slows down since the smallest particles have disappeared. We now see a combination of PMC and OR, but do not fully understand t…","author":[{"dropping-particle":"","family":"Hansen","given":"T W","non-dropping-particle":"","parse-names":false,"suffix":""},{"dropping-particle":"","family":"Delariva","given":"A T","non-dropping-particle":"","parse-names":false,"suffix":""},{"dropping-particle":"","family":"Challa","given":"S R","non-dropping-particle":"","parse-names":false,"suffix":""},{"dropping-particle":"","family":"Datye","given":"A K","non-dropping-particle":"","parse-names":false,"suffix":""}],"chapter-number":"1720","container-title":"Acc Chem Res","id":"ITEM-4","issue":"8","issued":{"date-parts":[["2013"]]},"note":"Hansen, Thomas W\nDelariva, Andrew T\nChalla, Sivakumar R\nDatye, Abhaya K\neng\nResearch Support, Non-U.S. Gov't\nResearch Support, U.S. Gov't, Non-P.H.S.\nReview\n2013/05/03 06:00\nAcc Chem Res. 2013 Aug 20;46(8):1720-30. doi: 10.1021/ar3002427. Epub 2013 May 1.","page":"1720-1730","title":"Sintering of catalytic nanoparticles: particle migration or Ostwald ripening?","type":"article-journal","volume":"46"},"uris":["http://www.mendeley.com/documents/?uuid=39c90cb7-90f0-4c22-a635-4a4de038ffe1"]}],"mendeley":{"formattedCitation":"[1], [116]–[118]","plainTextFormattedCitation":"[1], [116]–[118]","previouslyFormattedCitation":"[1], [116]–[118]"},"properties":{"noteIndex":0},"schema":"https://github.com/citation-style-language/schema/raw/master/csl-citation.json"}</w:instrText>
      </w:r>
      <w:r>
        <w:fldChar w:fldCharType="separate"/>
      </w:r>
      <w:r w:rsidR="006C586A" w:rsidRPr="006C586A">
        <w:rPr>
          <w:noProof/>
        </w:rPr>
        <w:t>[1], [116]–[118]</w:t>
      </w:r>
      <w:r>
        <w:fldChar w:fldCharType="end"/>
      </w:r>
      <w:r>
        <w:t xml:space="preserve">. </w:t>
      </w:r>
    </w:p>
    <w:p w14:paraId="5FF7A97E" w14:textId="77777777" w:rsidR="00007F6C" w:rsidRDefault="00007F6C" w:rsidP="00007F6C">
      <w:pPr>
        <w:keepNext/>
        <w:jc w:val="center"/>
      </w:pPr>
      <w:r>
        <w:rPr>
          <w:noProof/>
        </w:rPr>
        <w:drawing>
          <wp:inline distT="0" distB="0" distL="0" distR="0" wp14:anchorId="681512AF" wp14:editId="0B7AC4AE">
            <wp:extent cx="4953203" cy="2700000"/>
            <wp:effectExtent l="0" t="0" r="0" b="5715"/>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screenshot of a cell phone&#10;&#10;Description automatically generated"/>
                    <pic:cNvPicPr/>
                  </pic:nvPicPr>
                  <pic:blipFill rotWithShape="1">
                    <a:blip r:embed="rId18" cstate="print">
                      <a:extLst>
                        <a:ext uri="{28A0092B-C50C-407E-A947-70E740481C1C}">
                          <a14:useLocalDpi xmlns:a14="http://schemas.microsoft.com/office/drawing/2010/main" val="0"/>
                        </a:ext>
                      </a:extLst>
                    </a:blip>
                    <a:srcRect t="318" b="1458"/>
                    <a:stretch/>
                  </pic:blipFill>
                  <pic:spPr bwMode="auto">
                    <a:xfrm>
                      <a:off x="0" y="0"/>
                      <a:ext cx="4953203" cy="2700000"/>
                    </a:xfrm>
                    <a:prstGeom prst="rect">
                      <a:avLst/>
                    </a:prstGeom>
                    <a:ln>
                      <a:noFill/>
                    </a:ln>
                    <a:extLst>
                      <a:ext uri="{53640926-AAD7-44D8-BBD7-CCE9431645EC}">
                        <a14:shadowObscured xmlns:a14="http://schemas.microsoft.com/office/drawing/2010/main"/>
                      </a:ext>
                    </a:extLst>
                  </pic:spPr>
                </pic:pic>
              </a:graphicData>
            </a:graphic>
          </wp:inline>
        </w:drawing>
      </w:r>
    </w:p>
    <w:p w14:paraId="3B2E2363" w14:textId="3184DB35" w:rsidR="00007F6C" w:rsidRPr="00005972" w:rsidRDefault="00007F6C" w:rsidP="00007F6C">
      <w:pPr>
        <w:jc w:val="center"/>
        <w:rPr>
          <w:i/>
          <w:iCs/>
          <w:color w:val="44546A" w:themeColor="text2"/>
          <w:sz w:val="18"/>
          <w:szCs w:val="18"/>
        </w:rPr>
      </w:pPr>
      <w:bookmarkStart w:id="51" w:name="_Ref50903709"/>
      <w:bookmarkStart w:id="52" w:name="_Ref51148709"/>
      <w:bookmarkStart w:id="53" w:name="_Toc69114913"/>
      <w:r w:rsidRPr="00005972">
        <w:rPr>
          <w:i/>
          <w:iCs/>
          <w:color w:val="44546A" w:themeColor="text2"/>
          <w:sz w:val="18"/>
          <w:szCs w:val="18"/>
        </w:rPr>
        <w:t>Figure 2.</w:t>
      </w:r>
      <w:bookmarkEnd w:id="51"/>
      <w:bookmarkEnd w:id="52"/>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C64D74">
        <w:rPr>
          <w:i/>
          <w:iCs/>
          <w:color w:val="44546A" w:themeColor="text2"/>
          <w:sz w:val="18"/>
          <w:szCs w:val="18"/>
        </w:rPr>
        <w:instrText>\r 1</w:instrText>
      </w:r>
      <w:r w:rsidR="00285C23">
        <w:rPr>
          <w:i/>
          <w:iCs/>
          <w:color w:val="44546A" w:themeColor="text2"/>
          <w:sz w:val="18"/>
          <w:szCs w:val="18"/>
        </w:rPr>
        <w:fldChar w:fldCharType="separate"/>
      </w:r>
      <w:r w:rsidR="00C64D74">
        <w:rPr>
          <w:i/>
          <w:iCs/>
          <w:noProof/>
          <w:color w:val="44546A" w:themeColor="text2"/>
          <w:sz w:val="18"/>
          <w:szCs w:val="18"/>
        </w:rPr>
        <w:t>1</w:t>
      </w:r>
      <w:r w:rsidR="00285C23">
        <w:rPr>
          <w:i/>
          <w:iCs/>
          <w:color w:val="44546A" w:themeColor="text2"/>
          <w:sz w:val="18"/>
          <w:szCs w:val="18"/>
        </w:rPr>
        <w:fldChar w:fldCharType="end"/>
      </w:r>
      <w:r w:rsidRPr="00005972">
        <w:rPr>
          <w:i/>
          <w:iCs/>
          <w:color w:val="44546A" w:themeColor="text2"/>
          <w:sz w:val="18"/>
          <w:szCs w:val="18"/>
        </w:rPr>
        <w:t xml:space="preserve">: Ishikawa fish bone diagram detailing the four degradation paths for SOFCs. Adapted from Patel et al </w:t>
      </w:r>
      <w:r w:rsidRPr="00005972">
        <w:rPr>
          <w:i/>
          <w:iCs/>
          <w:color w:val="44546A" w:themeColor="text2"/>
          <w:sz w:val="18"/>
          <w:szCs w:val="18"/>
        </w:rPr>
        <w:fldChar w:fldCharType="begin" w:fldLock="1"/>
      </w:r>
      <w:r w:rsidR="00D80A5D">
        <w:rPr>
          <w:i/>
          <w:iCs/>
          <w:color w:val="44546A" w:themeColor="text2"/>
          <w:sz w:val="18"/>
          <w:szCs w:val="18"/>
        </w:rPr>
        <w:instrText>ADDIN CSL_CITATION {"citationItems":[{"id":"ITEM-1","itemData":{"DOI":"10.3390/electronics7110323","ISSN":"20799292","abstract":"Solid oxide fuel cells (SOFCs) are a highly efficient chemical to electrical energy conversion devices that have potential in a global energy strategy. The wide adoption of SOFCs is currently limited by cost and concerns about cell durability. Improved understanding of their degradation modes and mechanisms combined with reduction–oxidation stable anodes via all-ceramic-anode cell technology are expected to lead to durability improvements, while economies of scale for production will mitigate cost of commercialization. This paper presents an Ishikawa analysis and a failure modes, mechanisms, effects, and criticality analysis (FMMECA) for all-ceramic anode based SOFCs. FMMECA takes into account the life cycle conditions, multiple failure mechanisms, and their potential effects on fuel-cell health and safety.","author":[{"dropping-particle":"","family":"Patel","given":"Nripendra K.","non-dropping-particle":"","parse-names":false,"suffix":""},{"dropping-particle":"","family":"Bishop","given":"Sean R.","non-dropping-particle":"","parse-names":false,"suffix":""},{"dropping-particle":"","family":"Utter","given":"Robert G.","non-dropping-particle":"","parse-names":false,"suffix":""},{"dropping-particle":"","family":"Das","given":"Diganta","non-dropping-particle":"","parse-names":false,"suffix":""},{"dropping-particle":"","family":"Pecht","given":"Michael","non-dropping-particle":"","parse-names":false,"suffix":""}],"container-title":"Electronics (Switzerland)","id":"ITEM-1","issue":"11","issued":{"date-parts":[["2018"]]},"title":"Failure modes, mechanisms, effects, and criticality analysis of ceramic anodes of solid oxide fuel cells","type":"article-journal","volume":"7"},"uris":["http://www.mendeley.com/documents/?uuid=b461a009-c3a7-4284-b357-c079bbeabb41"]},{"id":"ITEM-2","itemData":{"DOI":"10.1039/c5ta06421j","ISBN":"20507488 (ISSN)","ISSN":"2050-7488","abstract":"A well-designed cell structure and selected components makes it possible to obtain excellent performance combined good durability using biogas fuel. Solid oxide fuel cells (SOFCs) afford an opportunity for the direct electrochemical conversion of biogas with high efficiency; however, direct utilisation of biogas in nickel-based SOFCs is a challenge as it is subject to carbon deposition. A biogas composition representative of a real operating system of 36% CH 4 , 36% CO 2 , 20% H 2 O, 4% H 2 and 4% CO used here was derived from an anode recirculation method. A BaZr 0.1 Ce 0.7 Y 0.1 Yb 0.1 O 3−δ (BCZYYb) infiltrated Ni-YSZ anode was investigated for biogas conversion. The infiltration of BCZYYb significantly promoted the electrochemical reactions and the cells exhibited high power output at the operational temperatures of 850, 800 and 750 °C. At 800 °C, supplied with a 20 ml min −1 biogas, the cell with a BCZYYb-Ni-YSZ anode, generated 1.69 A cm −2 at 0.8 V with an optimal amount of 0.6 wt% BCZYYb, whereas only 0.65 A cm −2 was produced with a non-infiltrated Ni-YSZ in the same conditions. At 750 °C, a maximum power density of 1.43 W cm −2 was achieved on a cell with a BCZYYb-Ni-YSZ anode, a 3 μm dense YSZ film electrolyte, a Gd 0.1 Ce 0.9 O 2 (GDC) buffer layer and a La 0.6 Sr 0.4 Co 0.2 Fe 0.8 O 3 –Gd 0.1 Ce 0.9 O 2 (LSCF-GDC) composite cathode. The cell remained stable, while operating at 0.8 V for 50 hours with a current density of 1.25 A cm −2 . A well-designed cell structure and selected components made it possible to obtain excellent performance at good fuel utilisation. The analysis of gases in open-circuit conditions or under various current loads suggested that the prevalent reaction was reforming of methane without coking. This study demonstrates that the BCZYYb-Ni-YSZ is a promising electrode for carbon-containing fuel. ","author":[{"dropping-particle":"","family":"Connor","given":"Paul A.","non-dropping-particle":"","parse-names":false,"suffix":""},{"dropping-particle":"","family":"Irvine","given":"John T. S.","non-dropping-particle":"","parse-names":false,"suffix":""},{"dropping-particle":"","family":"Ma","given":"Jianjun","non-dropping-particle":"","parse-names":false,"suffix":""},{"dropping-particle":"","family":"Jiang","given":"Cairong","non-dropping-particle":"","parse-names":false,"suffix":""},{"dropping-particle":"","family":"Cassidy","given":"Mark","non-dropping-particle":"","parse-names":false,"suffix":""}],"container-title":"Journal of Materials Chemistry A","id":"ITEM-2","issue":"37","issued":{"date-parts":[["2015"]]},"language":"English","note":"Cited By :3\nExport Date: 20 January 2017\nCODEN: JMCAE\nCorrespondence Address: Irvine, J.T.S.; School of Chemistry, University of St.Andrews, Purdie BuildingUnited Kingdom\nReferences: Xu, C.C., Zondlo, J.W., Gong, M.Y., Liu, X.B., Celik, I.B., (2010) Proceedings of the Asme 8th International Conference on Fuel Cell Science, Engineering, and Technology 2010, 1, pp. 233-241; Huang, J.D., Crookes, R.J., (1998) Fuel, 77, pp. 1793-1801; Wongchanapai, S., Iwai, H., Saito, M., Yoshida, H., (2013) J. Power Sources, 223, pp. 9-17; Naumann, S.T., Myrén, C., (1995) J. Power Sources, 56, pp. 45-49; Staniforth, J., Kendall, K., (1998) J. Power Sources, 71, pp. 275-277; van herle, J., Marechal, F., Leuenberger, S., Membrez, Y., Bucheli, O., Favrat, D., (2004) J. Power Sources, 131, pp. 127-141; Peters, R., Dahl, R., Kluttgen, U., Palm, C., Stolten, D., (2002) J. Power Sources, 106, pp. 238-244; Sasaki, K., Watanabe, K., Shiosaki, K., Susuki, K., Teraoka, Y., (2004) J. Electroceram., 13, pp. 669-675; Lanzini, A., Leone, P., (2010) Int. J. Hydrogen Energy, 35, pp. 2463-2476; Guerra, C., Lanzini, A., Leone, P., Santarelli, M., Brandon, N.P., (2014) J. Power Sources, 245, pp. 154-163; Aguiar, P., Chadwick, D., Kershenbaum, L., (2002) Chem. Eng. Sci., 57, pp. 1665-1677; Clarke, S.H., Dicks, A.L., Pointon, K., Smith, T.A., Swann, A., (1997) Catal. Today, 38, pp. 411-423; Gorte, R.J., Kim, H., Vohs, J.M., (2002) J. Power Sources, 106, pp. 10-15; Tao, S.W., Irvine, J.T.S., (2003) Nat. Mater., 2, pp. 320-323; Huang, Y.H., Dass, R.I., Xing, Z.L., Goodenough, J.B., (2006) Science, 312, pp. 254-257; Costa-Nunes, O., Vohs, J.M., Gorte, R.J., (2003) J. Electrochem. Soc., 150, pp. A858-A863; Gerber, M.A., (2007) Review of Novel Catalysts for Biomass Tar Cracking and Methane Reforming, , PNNL-16950, Pacific Northwest National Laboratory, Richland, WA; Qin, D., Lapszewicz, J., (1994) Catal. Today, 21, pp. 551-560; Erdohelyi, A., Cserenyi, J., Solymosi, F., (1993) J. Catal., 141, pp. 287-299; Mark, M.F., Maier, W.F., (1996) J. Catal., 164, pp. 122-130; Putna, E.S., Stubenrauch, J., Vohs, J.M., Gorte, R.J., (1995) Langmuir, 11, pp. 4832-4837; Takeguchi, T., Kikuchi, R., Yano, T., Eguchi, K., Murata, K., (2003) Catal. Today, 84, pp. 217-222; Finnerty, C.M., Coe, N.J., Cunningham, R.H., Ormerod, R.M., (1998) Catal. Today, 46, pp. 137-145; Kim, Y., Kim, J.H., Bae, J., Yoon, C.W., Nam, S.W., (2012) J. Phys. Chem. C, 116, pp. 13281-13288; Papadam, T., Goula, G., Yentekakis, I.V., (2012) Int. J. Hydrogen Energy, 37, pp. 16680-16685; Hagen, A., Rasmussen, J.F.B., Thydén, K., (2011) J. Power Sources, 196, pp. 7271-7276; Shiratori, Y., Sasaki, K., (2008) J. Power Sources, 180, pp. 738-741; Saebea, D., Patcharavorachot, Y., Arpornwichanop, A., (2012) J. Power Sources, 208, pp. 120-130; Liso, V., Olesen, A.C., Nielsen, M.P., Kaer, S.K., (2011) Energy, 36, pp. 4216-4226; Goula, G., Kiousis, V., Nalbandian, L., Yentekakis, I.V., (2006) Solid State Ionics, 177, pp. 2119-2123; Viana, H.D.A.L., Irvine, J.T.S., (2007) Solid State Ionics, 178, pp. 717-722; Blinn, K.S., Liu, M.L., (2013) J. Power Sources, 243, pp. 24-28; Fang, S.M., Bi, L., Yang, C.L., Yan, L.T., Chen, C.S., Liu, W., (2009) J. Alloys Compd., 475, pp. 935-939; Yang, L., Wang, S.Z., Blinn, K., Liu, M.F., Liu, Z., Cheng, Z., Liu, M.L., (2009) Science, 326, pp. 126-129; Luisetto, I., Di Bartolomeo, E., D'Epifanio, A., Licoccia, S., (2011) J. Electrochem. Soc., 158, pp. B1368-B1372; Wang, F., Wang, W., Ran, R., Tade, M.O., Shao, Z., (2014) J. Power Sources, 268, pp. 787-793; Xia, C., Liu, M., (2002) Solid State Ionics, 152-153, pp. 423-430; Tsai, T., Barnett, S.A., (1997) Solid State Ionics, 98, pp. 191-196; Xia, C., Chen, F., Liu, M., (2001) Electrochem. Solid-State Lett., 4, pp. A52-A54; Tsai, T., Barnett, S.A., (1997) Solid State Ionics, 93, pp. 207-217; Leng, Y.J., Chan, S.H., Khor, K.A., Jiang, S.P., (2004) Int. J. Hydrogen Energy, 29, pp. 1025-1033; Ding, C.S., Hashida, T., (2010) Energy Environ. Sci., 3, pp. 1729-1731; Sasaki, K., Teraoka, Y., (2003) J. Electrochem. Soc., 150, pp. A878-A884; Powell, M., Meinhardt, K., Sprenkle, V., Chick, L., McVay, G., (2012) J. Power Sources, 205, pp. 377-384; Gamble, S.R., Neagu, D., Irvine, J.T.S., (2013) ECS Trans., 57, pp. 1527-1532; Jiang, C.R., Ma, J.J., Bonaccorso, A.D., Irvine, J.T.S., (2012) Energy Environ. Sci., 5, pp. 6973-6980; Han, F., Muecke, R., Van Gestel, T., Leonide, A., Menzler, N.H., Buchkremer, H.P., Stover, D., (2012) J. Power Sources, 218, pp. 157-162; deSouza, S., Visco, S.J., De Jonghe, L.C., (1997) J. Electrochem. Soc., 144, pp. L35-L37; Jiang, S.P., (2006) Mater. Sci. Eng., A, 418, pp. 199-210; Hauch, A., Mogensen, M., Hagen, A., (2011) Solid State Ionics, 192, pp. 547-551; Prasad, D.H., Ji, H.I., Kim, H.R., Son, J.W., Kim, B.K., Lee, H.W., Lee, J.H., (2011) Appl. Catal., B, 101, pp. 531-539","page":"19068-19076","publisher":"Royal Society of Chemistry","title":"Highly efficient, coking-resistant SOFCs for energy conversion using biogas fuels","type":"article-journal","volume":"3"},"uris":["http://www.mendeley.com/documents/?uuid=03967179-9665-485a-b1c4-7f1d183ea3db"]},{"id":"ITEM-3","itemData":{"DOI":"10.1149/1.3459904","ISSN":"00134651","abstract":"Anode-supported solid oxide fuel cells (SOFCs) based on Ni-yttria-stabilized zirconia (YSZ) anodes, YSZ electrolytes, and lanthanum strontium manganite (LSM)-YSZ cathodes were studied with respect to durability in humid air (</w:instrText>
      </w:r>
      <w:r w:rsidR="00D80A5D">
        <w:rPr>
          <w:rFonts w:ascii="Cambria Math" w:hAnsi="Cambria Math" w:cs="Cambria Math"/>
          <w:i/>
          <w:iCs/>
          <w:color w:val="44546A" w:themeColor="text2"/>
          <w:sz w:val="18"/>
          <w:szCs w:val="18"/>
        </w:rPr>
        <w:instrText>∼</w:instrText>
      </w:r>
      <w:r w:rsidR="00D80A5D">
        <w:rPr>
          <w:i/>
          <w:iCs/>
          <w:color w:val="44546A" w:themeColor="text2"/>
          <w:sz w:val="18"/>
          <w:szCs w:val="18"/>
        </w:rPr>
        <w:instrText>4%) typically over 1500 h. Operating temperature and current density were varied between 750 and 850°C and 0.25-0.75 A/ cm2, respectively. The introduction of humidity affected the cell voltage under polarization of the cell, and this effect was (at least partly) reversible upon switching off the humidity. Generally, the studied cells were operated in humid air under technologically relevant conditions over more than 1500 h. Improvements at the cathode/electrolyte interface made it possible to obtain highly stable cells, which can be operated under high current density and at 750°C in humid air, conditions that cause significant cell voltage degradation in dry air on cells with LSM/YSZ-based cathodes. © 2010 The Electrochemical Society.","author":[{"dropping-particle":"","family":"Hagen","given":"A.","non-dropping-particle":"","parse-names":false,"suffix":""},{"dropping-particle":"","family":"Neufeld","given":"K.","non-dropping-particle":"","parse-names":false,"suffix":""},{"dropping-particle":"","family":"Liu","given":"Y. L.","non-dropping-particle":"","parse-names":false,"suffix":""}],"container-title":"Journal of The Electrochemical Society","id":"ITEM-3","issue":"10","issued":{"date-parts":[["2010"]]},"page":"B1343","title":"Effect of Humidity in Air on Performance and Long-Term Durability of SOFCs","type":"article-journal","volume":"157"},"uris":["http://www.mendeley.com/documents/?uuid=22bf1b69-8d03-4199-bb7f-db52fdac2bab"]},{"id":"ITEM-4","itemData":{"DOI":"10.1016/j.jpowsour.2010.07.093","ISBN":"03787753 (ISSN)","ISSN":"03787753","abstract":"The degradation mechanism of cathodes and anodes due to gaseous impurities has been considered to provide generalized understanding of materials behavior involved in degradation and hopefully to possible recovery processes. Considerations can be made in terms of (1) the chemical reactivity of gaseous impurities with a main component of electrode materials, (2) diffusivity of main components associated with chemical reactions, and (3) electrochemical reduction/oxidation processes of gaseous impurities in competing with recovery processes due to those electrochemical reactions or chemical reactions which lead to the volatilization of deposited substance and removal of poisons from the electrochemically active sites. The chemical reactivity of the main component with gaseous impurities can be well characterized in terms of the thermodynamic properties such as interaction parameters for intermetallic compounds or the stabilization energy/the valence stability of the transition-metal oxides for oxide electrodes. Diffusivity of main components should be discussed with the enhancement due to surface coverage of impurities. The electrochemical reduction/oxidation of the gaseous impurities provides the mechanism of impurities being deposited and accumulated at the electrochemical reaction sites. Possible recovery process could be examined by whether corresponding electrochemical or chemical process for the deposited substances to be volatilized is available. © 2010 Elsevier B.V. All rights reserved.","author":[{"dropping-particle":"","family":"Yokokawa","given":"Harumi","non-dropping-particle":"","parse-names":false,"suffix":""},{"dropping-particle":"","family":"Yamaji","given":"Katsuhiko","non-dropping-particle":"","parse-names":false,"suffix":""},{"dropping-particle":"","family":"Brito","given":"M. E.","non-dropping-particle":"","parse-names":false,"suffix":""},{"dropping-particle":"","family":"Kishimoto","given":"Haruo","non-dropping-particle":"","parse-names":false,"suffix":""},{"dropping-particle":"","family":"Horita","given":"Teruhisa","non-dropping-particle":"","parse-names":false,"suffix":""}],"container-title":"Journal of Power Sources","id":"ITEM-4","issue":"17","issued":{"date-parts":[["2011"]]},"language":"English","note":"Cited By :34\nExport Date: 11 October 2016\nCODEN: JPSOD\nCorrespondence Address: Yokokawa, H.; National Institute of Advanced Industrial Science and Technology (AIST), Energy Technology Research Institute, Higashi 1-1-1, Tsukuba, Ibaraki 305-8565, Japan; email: h-yokokawa@aist.go.jp\nReferences: Suzuki, M., Iwata, S., Higaki, K., Inoue, S., Shigehisa, T., Miyachi, I., Nakabayashi, H., Simazu, K., (2009) ECS Trans., 25 (2), pp. 143-148; Yokokawa, H., (2009) Handbook of Fuel Cells Fundamentals Technology and Application, Vol. 6. Advances in Electrocatalyst, Materials, Diagnostics, and Durability, pp. 923-932; Yokokawa, H., Sakai, N., Horita, T., Yamaji, K., (2009) Handbook of Fuel Cells Fundamentals Technology and Application, Vol. 6, Advances in Electrocatalyst, Materials, Diagnostics, and Durability, pp. 979-991; Yokokawa, H., Horita, T., Yamaji, K., Kishimoto, H., Xiong, Y.P., Brito, M.E., (2008) Proc. 8th European Solid Oxide Fuel Cell Forum, , B1004, July; Yamaji, K., Sakai, N., Kishimoto, H., Horita, T., Brito, M.E., Yokokawa, H., (2009) Handbook of Fuel Cells Fundamentals Technology and Application, Vol. 5, Advances in Electrocatalyst, Materials, Diagnostics, and Durability, pp. 555-565; Yokokawa, H., Horita, T., Yamaji, K., Kishimoto, H., Brito, M.E., (2010) J. Korean Ceram. Soc., 47 (1), pp. 26-38; Yokokawa, H., Horita, T., Sakai, N., Yamaji, J., Brito, M.E., Xiong, Y.P., Kishimoto, H., (2006) Solid State Ionics, 177, pp. 3193-3198; Yokokawa, H., Sakai, H., Horita, T., Yamaji, K., Brito, M.E., Kishimoto, H., (2008) J. Alloy Compd., 452, pp. 41-47; Yokokawa, H., Tu, H., Iwanschitz, B., Mai, A., (2008) J. Power Sources, 182, pp. 400-412; Marina, O.A., Pederson, L.R., Martinez, A., Gemmen, R., Gerdes, K., Finklea, H., Celik, I.B., (2009) Fuel Cell Seminar 2009 and Their Related Work; Mizusaki, J., Tagawa, H., Tsuneyoshi, K., Sawata, A., (1991) J. Electrochem. Soc., 138, p. 1867; Yokokawa, H., (2003) Annu. Rev. Mater. Res., 33, pp. 581-610; Trembly, J.P., Marques, A.I., Ohrn, T.R., Bayless, D.J., (2006) J. Power Sources, 158, pp. 263-273; Marques, A.I., Ohrn, T.R., Trembly, J.P., Ingram, D.C., Bayless, D.J., (2007) J. Power Sources, 164, pp. 659-667; Gemmen, R.S., Trembly, J., (2006) J. Power Sources, 161, pp. 1084-1095; Trembly, J.P., Gemmen, R.S., Bayless, D.J., (2007) J. Power Sources, 163, pp. 986-996; Trembly, J.P., Gemmen, R.S., Bayless, D.J., (2007) J. Power Sources, 169, pp. 347-354; Trembly, J.P., Gemmen, R.S., Bayless, D.J., (2007) J. Power Sources, 171, pp. 818-825; Xu, B., Zondlo, J.W., Finklea, H.O., Demircan, O., Gong, M., Liu, X.B., (2009) J. Power Sources, 193, pp. 739-746; Yokokawa, H., Kishimoto, H., Yamaji, K., Horita, T., (2010) J. Electrochem. Soc., 157 (6); Yokokawa, H., Kishimoto, H., Yamaji, K., Horita, T., (2009) ECS Trans., 25 (2), pp. 2131-2140; Bao, J., Krishnan, G.N., Jayaweera, P., Perez-Mariano, J., Sanjurjo, A., (2009) J. Power Sources, 193, pp. 607-616; Bao, J., Krishnan, G.N., Jayaweera, P., Kau, K.H., Sanjurjo, A., (2009) J. Power Sources, 193, pp. 617-624; Bao, J., Krishnan, G.N., Jayaweera, P., Sanjurojo, A., (2010) J. Power Sources, 195 (5), pp. 1316-1324; Kishimoto, H., Sakai, N., Yamaji, K., Horita, T., Brito, M.E., Yokokawa, H., (2008) ECS Trans., 13 (26), pp. 105-114; Horita, T., Kishimoto, H., Yamaji, K., Sakai, N., Xiong, Y.P., Brito, M.E., Yokokawa, H., (2006) Solid State Ionics, 177, pp. 3179-3185; Horita, T., Kishimoto, H., Yamaji, K., Sakai, N., Xiong, Y.P., Brito, M.E., Yokokawa, H., (2006) Adv. Sci. Technol., 45, pp. 1857-1863; Yokokawa, H., Horita, T., Sakai, N., Yamaji, K., Brito, M.E., Xiong, Y.P., Kishimoto, H., (2006) Solid State Ionics, 177, pp. 1705-1714; Yokokawa, H., Horita, T., Sakai, N., Yamaji, K., Brito, M.E., Xiong, Y.P., Kishimoto, H., (2004) Solid State Ionics, 174, pp. 205-221; Matsuzaki, Y., Yasuda, I., (2001) J. Electrochem. Soc., 148, p. 126","page":"7070-7075","title":"General considerations on degradation of Solid Oxide Fuel Cell anodes and cathodes due to impurities in gases","type":"article-journal","volume":"196"},"uris":["http://www.mendeley.com/documents/?uuid=b156a620-65e2-4b70-83b9-27481baf40d4"]}],"mendeley":{"formattedCitation":"[104], [107], [111], [119]","plainTextFormattedCitation":"[104], [107], [111], [119]","previouslyFormattedCitation":"[104], [107], [111], [119]"},"properties":{"noteIndex":0},"schema":"https://github.com/citation-style-language/schema/raw/master/csl-citation.json"}</w:instrText>
      </w:r>
      <w:r w:rsidRPr="00005972">
        <w:rPr>
          <w:i/>
          <w:iCs/>
          <w:color w:val="44546A" w:themeColor="text2"/>
          <w:sz w:val="18"/>
          <w:szCs w:val="18"/>
        </w:rPr>
        <w:fldChar w:fldCharType="separate"/>
      </w:r>
      <w:r w:rsidR="006C586A" w:rsidRPr="006C586A">
        <w:rPr>
          <w:iCs/>
          <w:noProof/>
          <w:color w:val="44546A" w:themeColor="text2"/>
          <w:sz w:val="18"/>
          <w:szCs w:val="18"/>
        </w:rPr>
        <w:t>[104], [107], [111], [119]</w:t>
      </w:r>
      <w:bookmarkEnd w:id="53"/>
      <w:r w:rsidRPr="00005972">
        <w:rPr>
          <w:i/>
          <w:iCs/>
          <w:color w:val="44546A" w:themeColor="text2"/>
          <w:sz w:val="18"/>
          <w:szCs w:val="18"/>
        </w:rPr>
        <w:fldChar w:fldCharType="end"/>
      </w:r>
    </w:p>
    <w:p w14:paraId="741053EB" w14:textId="479A6E2F" w:rsidR="00007F6C" w:rsidRDefault="00007F6C" w:rsidP="00007F6C">
      <w:pPr>
        <w:jc w:val="both"/>
      </w:pPr>
      <w:r>
        <w:t>The relationship between the cost of SOFCs and power density has been described by the US DoE SECA program as inversely proportional</w:t>
      </w:r>
      <w:r>
        <w:fldChar w:fldCharType="begin" w:fldLock="1"/>
      </w:r>
      <w:r w:rsidR="00D80A5D">
        <w:instrText>ADDIN CSL_CITATION {"citationItems":[{"id":"ITEM-1","itemData":{"DOI":"10.1039/c1ee02445k","ISSN":"17545692","abstract":"The 2012 Department of Energy (DOE) budget request significantly reduces fuel cell RD&amp;D funding and would cease to support the Solid State Energy Conversion Alliance (SECA), DOE's solid oxide fuel cell (SOFC) program. This would be a grave mistake considering the US's historic dominance in fuel cell RD&amp;D, exciting recent technological advancements in fuel cells, and clear positive market signals around the globe. In this paper we discuss DOE's energy RD&amp;D policy, how SOFCs address every key DOE strategy, and why recent advances should make SOFCs an integral part of our energy RD&amp;D policy. Moreover, we compare the prospects of low temperature SOFCs with the more common proton exchange membrane fuel cell (PEMFC) in the absence of a hydrogen infrastructure. © The Royal Society of Chemistry 2012.","author":[{"dropping-particle":"","family":"Wachsman","given":"Eric D.","non-dropping-particle":"","parse-names":false,"suffix":""},{"dropping-particle":"","family":"Marlowe","given":"Craig A.","non-dropping-particle":"","parse-names":false,"suffix":""},{"dropping-particle":"","family":"Lee","given":"Kang Taek","non-dropping-particle":"","parse-names":false,"suffix":""}],"container-title":"Energy and Environmental Science","id":"ITEM-1","issue":"2","issued":{"date-parts":[["2012"]]},"page":"5498-5509","title":"Role of solid oxide fuel cells in a balanced energy strategy","type":"article-journal","volume":"5"},"uris":["http://www.mendeley.com/documents/?uuid=4cb63338-bf7a-47f2-a752-19de48ac0023"]},{"id":"ITEM-2","itemData":{"DOI":"10.1557/mrs.2014.192","ISSN":"08837694","abstract":"ABSTRACT Solid-oxide fuel cells (SOFCs) are unique in their ability to directly convert the chemical energy of a wide variety of fuels to electric power with unmatched energy conversion efficiency. The articles in this issue of MRS Bulletin highlight the enormous potential of, and recent progress toward, operating SOFCs at lower temperatures (&lt;650°C). Lower temperatures dramatically increase the number of potential applications for this technology as well as provide the opportunity to incorporate a wider variety of materials in SOFC power generation systems with greater reliability and lower cost. The articles in this issue describe materials development and processing for low-temperature SOFCs, including the enabling of nanotechnology and microelectromechanical systems-based cell designs, the development of highly active electrodes and their three-dimensional microstructural characterization, as well as the use of novel proton-conducting electrolytes, all of which provide new avenues of research. New fabrication methods are also being applied in the development of micro-SOFCs and microtubular SOFCs with higher power densities. Finally, advances in lowering performance degradation rates, a critical commercialization issue, are described.","author":[{"dropping-particle":"","family":"Wachsman","given":"Eric","non-dropping-particle":"","parse-names":false,"suffix":""},{"dropping-particle":"","family":"Ishihara","given":"Tatsumi","non-dropping-particle":"","parse-names":false,"suffix":""},{"dropping-particle":"","family":"Kilner","given":"John","non-dropping-particle":"","parse-names":false,"suffix":""}],"container-title":"MRS Bulletin","id":"ITEM-2","issue":"9","issued":{"date-parts":[["2014"]]},"page":"773-779","title":"Low-temperature solid-oxide fuel cells","type":"article-journal","volume":"39"},"uris":["http://www.mendeley.com/documents/?uuid=185e511b-ae64-4dae-9c37-81c0c05a6a22"]}],"mendeley":{"formattedCitation":"[3], [120]","plainTextFormattedCitation":"[3], [120]","previouslyFormattedCitation":"[3], [120]"},"properties":{"noteIndex":0},"schema":"https://github.com/citation-style-language/schema/raw/master/csl-citation.json"}</w:instrText>
      </w:r>
      <w:r>
        <w:fldChar w:fldCharType="separate"/>
      </w:r>
      <w:r w:rsidR="006C586A" w:rsidRPr="006C586A">
        <w:rPr>
          <w:noProof/>
        </w:rPr>
        <w:t>[3], [120]</w:t>
      </w:r>
      <w:r>
        <w:fldChar w:fldCharType="end"/>
      </w:r>
      <w:r>
        <w:t xml:space="preserve">. For SOFC stack to be commercially competitive with other forms of energy production the price needs to drop to $44/kW (£33.25/kW) </w:t>
      </w:r>
      <w:r>
        <w:fldChar w:fldCharType="begin" w:fldLock="1"/>
      </w:r>
      <w:r>
        <w:instrText>ADDIN CSL_CITATION {"citationItems":[{"id":"ITEM-1","itemData":{"DOI":"10.1039/c1ee02445k","ISSN":"17545692","abstract":"The 2012 Department of Energy (DOE) budget request significantly reduces fuel cell RD&amp;D funding and would cease to support the Solid State Energy Conversion Alliance (SECA), DOE's solid oxide fuel cell (SOFC) program. This would be a grave mistake considering the US's historic dominance in fuel cell RD&amp;D, exciting recent technological advancements in fuel cells, and clear positive market signals around the globe. In this paper we discuss DOE's energy RD&amp;D policy, how SOFCs address every key DOE strategy, and why recent advances should make SOFCs an integral part of our energy RD&amp;D policy. Moreover, we compare the prospects of low temperature SOFCs with the more common proton exchange membrane fuel cell (PEMFC) in the absence of a hydrogen infrastructure. © The Royal Society of Chemistry 2012.","author":[{"dropping-particle":"","family":"Wachsman","given":"Eric D.","non-dropping-particle":"","parse-names":false,"suffix":""},{"dropping-particle":"","family":"Marlowe","given":"Craig A.","non-dropping-particle":"","parse-names":false,"suffix":""},{"dropping-particle":"","family":"Lee","given":"Kang Taek","non-dropping-particle":"","parse-names":false,"suffix":""}],"container-title":"Energy and Environmental Science","id":"ITEM-1","issue":"2","issued":{"date-parts":[["2012"]]},"page":"5498-5509","title":"Role of solid oxide fuel cells in a balanced energy strategy","type":"article-journal","volume":"5"},"uris":["http://www.mendeley.com/documents/?uuid=4cb63338-bf7a-47f2-a752-19de48ac0023"]}],"mendeley":{"formattedCitation":"[3]","plainTextFormattedCitation":"[3]","previouslyFormattedCitation":"[3]"},"properties":{"noteIndex":0},"schema":"https://github.com/citation-style-language/schema/raw/master/csl-citation.json"}</w:instrText>
      </w:r>
      <w:r>
        <w:fldChar w:fldCharType="separate"/>
      </w:r>
      <w:r w:rsidRPr="0001537A">
        <w:rPr>
          <w:noProof/>
        </w:rPr>
        <w:t>[3]</w:t>
      </w:r>
      <w:r>
        <w:fldChar w:fldCharType="end"/>
      </w:r>
      <w:r>
        <w:t>. For this to be achieved the power density of the SOFC stack needs to quadruple from 0.5-2.0 Wcm</w:t>
      </w:r>
      <w:r w:rsidRPr="006F6FFA">
        <w:rPr>
          <w:vertAlign w:val="superscript"/>
        </w:rPr>
        <w:t>-</w:t>
      </w:r>
      <w:r>
        <w:rPr>
          <w:vertAlign w:val="superscript"/>
        </w:rPr>
        <w:t xml:space="preserve">2 </w:t>
      </w:r>
      <w:r>
        <w:rPr>
          <w:vertAlign w:val="superscript"/>
        </w:rPr>
        <w:fldChar w:fldCharType="begin" w:fldLock="1"/>
      </w:r>
      <w:r w:rsidR="00D80A5D">
        <w:rPr>
          <w:vertAlign w:val="superscript"/>
        </w:rPr>
        <w:instrText xml:space="preserve">ADDIN CSL_CITATION {"citationItems":[{"id":"ITEM-1","itemData":{"DOI":"10.1039/c1ee02445k","ISSN":"17545692","abstract":"The 2012 Department of Energy (DOE) budget request significantly reduces fuel cell RD&amp;D funding and would cease to support the Solid State Energy Conversion Alliance (SECA), DOE's solid oxide fuel cell (SOFC) program. This would be a grave mistake considering the US's historic dominance in fuel cell RD&amp;D, exciting recent technological advancements in fuel cells, and clear positive market signals around the globe. In this paper we discuss DOE's energy RD&amp;D policy, how SOFCs address every key DOE strategy, and why recent advances should make SOFCs an integral part of our energy RD&amp;D policy. Moreover, we compare the prospects of low temperature SOFCs with the more common proton exchange membrane fuel cell (PEMFC) in the absence of a hydrogen infrastructure. © The Royal Society of Chemistry 2012.","author":[{"dropping-particle":"","family":"Wachsman","given":"Eric D.","non-dropping-particle":"","parse-names":false,"suffix":""},{"dropping-particle":"","family":"Marlowe","given":"Craig A.","non-dropping-particle":"","parse-names":false,"suffix":""},{"dropping-particle":"","family":"Lee","given":"Kang Taek","non-dropping-particle":"","parse-names":false,"suffix":""}],"container-title":"Energy and Environmental Science","id":"ITEM-1","issue":"2","issued":{"date-parts":[["2012"]]},"page":"5498-5509","title":"Role of solid oxide fuel cells in a balanced energy strategy","type":"article-journal","volume":"5"},"uris":["http://www.mendeley.com/documents/?uuid=4cb63338-bf7a-47f2-a752-19de48ac0023"]},{"id":"ITEM-2","itemData":{"DOI":"10.1016/S0167-2738(00)00633-0","ISBN":"0167-2738","ISSN":"01672738","abstract":"Activation and concentration polarization effects in anode-supported solid oxide fuel cells (SOFC) were examined. The anode and the cathode consisted respectively of porous, composite, contiguous mixtures of Ni+yttria-stabilized zirconia (YSZ) and Sr-doped LaMnO3(LSM)+YSZ. The composite electrode provides parallel paths for oxygen ions (through YSZ), electrons (through the electronic conductor; Ni for the anode and LSM for the cathode), and gaseous species (through the pores) and thereby substantially decreases the activation polarization. The composite electrode effectively spreads the charge transfer reaction from the electrolyte/electrode interface into the electrode. At low current densities where the activation polarization can be approximated as being ohmic, an effective charge transfer resistance, Rcteff, is defined in terms of various parameters, including the intrinsic charge transfer resistance, Rct, which is a characteristic of the electrocatalyst/electrolyte pair (e.g. LSM/YSZ), and the electrode thickness. It is shown that the Rcteffattains an asymptotic value at large electrode thicknesses. The limiting value of Rcteffcan be either lower or higher than Rctdepending upon the magnitudes of the ionic conductivity, σi, of the composite electrode, the intrinsic charge transfer resistance, Rct, and the grain size of the electrode. For an Rctof 1.2 Ωcm2, σiof 0.02 S/cm and an electrode grain size of 2 μm, the limiting value of Rcteffis 0.14 Ωcm2indicating almost an order of magnitude decrease in activation polarization. The experimental measurements on the cell resistance of anode-supported cells as a function of the cathode thickness are in accord with the theoretical model. The concentration polarization is analyzed by taking into account gas transport through porous electrodes. It is shown that the voltage, V, vs. current density, i, traces should be nonlinear and in anode-supported cells, the initial concave up curvature (d2V/di2≥0) has its origin in both activation and concentration polarizations. The experimental results are consistent with the theoretical model.","author":[{"dropping-particle":"V.","family":"Virkar","given":"Anil","non-dropping-particle":"","parse-names":false,"suffix":""},{"dropping-particle":"","family":"Chen","given":"Jong","non-dropping-particle":"","parse-names":false,"suffix":""},{"dropping-particle":"","family":"Tanner","given":"Cameron W.","non-dropping-particle":"","parse-names":false,"suffix":""},{"dropping-particle":"","family":"Kim","given":"Jai Woh","non-dropping-particle":"","parse-names":false,"suffix":""}],"chapter-number":"189","container-title":"Solid State Ionics","id":"ITEM-2","issue":"1","issued":{"date-parts":[["2000"]]},"page":"189-198","title":"Role of electrode microstructure on activation and concentration polarizations in solid oxide fuel cells","type":"article-journal","volume":"131"},"uris":["http://www.mendeley.com/documents/?uuid=16b12a0d-b616-4501-8751-505957cbe8b7"]},{"id":"ITEM-3","itemData":{"DOI":"10.1039/C3TA10570A","ISSN":"2050-7488","abstract":"Nano-scale erbia stabilized bismuth oxides (ESBs) were successfully synthesized by a wet chemical reverse strike co-precipitation. Due to homogenous, molecular level mixing, the desired cubic fluorite structure was formed at a dramatically reduced temperature of 500 °C, which was confirmed by X-ray diffraction and Raman spectroscopy. Moreover, this low calcine temperature led to nano-scale ESB powders with a crystallite size of </w:instrText>
      </w:r>
      <w:r w:rsidR="00D80A5D">
        <w:rPr>
          <w:rFonts w:ascii="Cambria Math" w:hAnsi="Cambria Math" w:cs="Cambria Math"/>
          <w:vertAlign w:val="superscript"/>
        </w:rPr>
        <w:instrText>∼</w:instrText>
      </w:r>
      <w:r w:rsidR="00D80A5D">
        <w:rPr>
          <w:vertAlign w:val="superscript"/>
        </w:rPr>
        <w:instrText xml:space="preserve">20 nm and a specific surface area of </w:instrText>
      </w:r>
      <w:r w:rsidR="00D80A5D">
        <w:rPr>
          <w:rFonts w:ascii="Cambria Math" w:hAnsi="Cambria Math" w:cs="Cambria Math"/>
          <w:vertAlign w:val="superscript"/>
        </w:rPr>
        <w:instrText>∼</w:instrText>
      </w:r>
      <w:r w:rsidR="00D80A5D">
        <w:rPr>
          <w:vertAlign w:val="superscript"/>
        </w:rPr>
        <w:instrText>13.2 m2 g</w:instrText>
      </w:r>
      <w:r w:rsidR="00D80A5D">
        <w:rPr>
          <w:rFonts w:ascii="Calibri" w:hAnsi="Calibri" w:cs="Calibri"/>
          <w:vertAlign w:val="superscript"/>
        </w:rPr>
        <w:instrText>−</w:instrText>
      </w:r>
      <w:r w:rsidR="00D80A5D">
        <w:rPr>
          <w:vertAlign w:val="superscript"/>
        </w:rPr>
        <w:instrText>1. Due to the high surface area, the nano-sized ESB powders show high functionality for solid oxide fuel cell (SOFC) applications. As an SOFC electrolyte, the high sinterability of the co-precipitated ESB was demonstrated, achieving over 98% density after sintering at only 750 °C for 30 min. Moreover, the total conductivity of the sample was identical to that obtained by conventional methods after sintering at 890 °C (for 16 h), regardless of the different grain boundary densities. In addition, the co-precipitated ESB was used in a composite cathode with lanthanum strontium manganite (LSM), achieving significantly reduced cathodic ASRs, 0.55 and 0.03 Ω cm2, at 550 and 700 °C by extending triple phase boundary (TPB) lengths in the cathode bulk and at the cathode–electrolyte interface.","author":[{"dropping-particle":"","family":"Lee","given":"Kang Taek","non-dropping-particle":"","parse-names":false,"suffix":""},{"dropping-particle":"","family":"Lidie","given":"Ashley A","non-dropping-particle":"","parse-names":false,"suffix":""},{"dropping-particle":"","family":"Jeon","given":"Sang Yun","non-dropping-particle":"","parse-names":false,"suffix":""},{"dropping-particle":"","family":"Hitz","given":"Gregory T","non-dropping-particle":"","parse-names":false,"suffix":""},{"dropping-particle":"","family":"Song","given":"Sun Ju","non-dropping-particle":"","parse-names":false,"suffix":""},{"dropping-particle":"","family":"Wachsman","given":"Eric D","non-dropping-particle":"","parse-names":false,"suffix":""}],"container-title":"Journal of Materials Chemistry A","id":"ITEM-3","issue":"20","issued":{"date-parts":[["2013"]]},"page":"6199-6207","publisher":"The Royal Society of Chemistry","title":"Highly functional nano-scale stabilized bismuth oxides via reverse strike co-precipitation for solid oxide fuel cells","type":"article-journal","volume":"1"},"uris":["http://www.mendeley.com/documents/?uuid=edbe746d-f0ef-45a9-a76f-0dc1e2998c9d"]}],"mendeley":{"formattedCitation":"[3], [92], [121]","plainTextFormattedCitation":"[3], [92], [121]","previouslyFormattedCitation":"[3], [92], [121]"},"properties":{"noteIndex":0},"schema":"https://github.com/citation-style-language/schema/raw/master/csl-citation.json"}</w:instrText>
      </w:r>
      <w:r>
        <w:rPr>
          <w:vertAlign w:val="superscript"/>
        </w:rPr>
        <w:fldChar w:fldCharType="separate"/>
      </w:r>
      <w:r w:rsidR="006C586A" w:rsidRPr="006C586A">
        <w:rPr>
          <w:noProof/>
        </w:rPr>
        <w:t>[3], [92], [121]</w:t>
      </w:r>
      <w:r>
        <w:rPr>
          <w:vertAlign w:val="superscript"/>
        </w:rPr>
        <w:fldChar w:fldCharType="end"/>
      </w:r>
      <w:r>
        <w:t xml:space="preserve">. </w:t>
      </w:r>
    </w:p>
    <w:p w14:paraId="31705F19" w14:textId="56488963" w:rsidR="00007F6C" w:rsidRDefault="00007F6C" w:rsidP="00007F6C">
      <w:pPr>
        <w:jc w:val="both"/>
      </w:pPr>
      <w:r>
        <w:t>For wet-impregnated SOFCs to be competitive with their co-sintered counterparts, their power densities need to exceed</w:t>
      </w:r>
      <w:r w:rsidRPr="00A82884">
        <w:t xml:space="preserve"> </w:t>
      </w:r>
      <w:r>
        <w:t>0.7 Wcm</w:t>
      </w:r>
      <w:r>
        <w:rPr>
          <w:vertAlign w:val="superscript"/>
        </w:rPr>
        <w:t>-2</w:t>
      </w:r>
      <w:r>
        <w:t xml:space="preserve"> </w:t>
      </w:r>
      <w:r>
        <w:fldChar w:fldCharType="begin" w:fldLock="1"/>
      </w:r>
      <w:r w:rsidR="00D80A5D">
        <w:instrText xml:space="preserve">ADDIN CSL_CITATION {"citationItems":[{"id":"ITEM-1","itemData":{"DOI":"10.1016/j.jpowsour.2015.06.114","ISSN":"03787753","abstract":"Here, stability of the metal-supported solid oxide fuel cell (MS-SOFC) with Ni-Ce&lt;inf&gt;0.8&lt;/inf&gt;Sm&lt;inf&gt;0.2&lt;/inf&gt;O&lt;inf&gt;2-δ&lt;/inf&gt; (SDC) infiltrated 430L anode and La&lt;inf&gt;0.6&lt;/inf&gt;Sr&lt;inf&gt;0.4&lt;/inf&gt;Fe&lt;inf&gt;0.9&lt;/inf&gt;Sc&lt;inf&gt;0.1&lt;/inf&gt;O&lt;inf&gt;3-δ&lt;/inf&gt; (LSFSc) infiltrated scandia-stabilized zirconia (SSZ) cathode is evaluated. It is found that the degradation rate defined as the voltage loss during a fixed period is faster at higher operation temperatures and larger current densities. Scanning electron microscopy (SEM) and energy dispersive X-ray spectra (EDS) analysis indicate that the degradation is mainly caused by the morphological change of the anode while metal element diffusion between Ni catalyst and 430L substrate contributes little. A 1500 h durability test measured at 650 °C and 0.9 A cm&lt;sup&gt;-2&lt;/sup&gt; shows a degradation rate of 1.3% kh&lt;sup&gt;-1&lt;/sup&gt; and the voltage decrease is mainly found in the initial 500 h.","author":[{"dropping-particle":"","family":"Zhou","given":"Yucun","non-dropping-particle":"","parse-names":false,"suffix":""},{"dropping-particle":"","family":"Chen","given":"Ting","non-dropping-particle":"","parse-names":false,"suffix":""},{"dropping-particle":"","family":"Li","given":"Junliang","non-dropping-particle":"","parse-names":false,"suffix":""},{"dropping-particle":"","family":"Yuan","given":"Chun","non-dropping-particle":"","parse-names":false,"suffix":""},{"dropping-particle":"","family":"Xin","given":"Xianshuang","non-dropping-particle":"","parse-names":false,"suffix":""},{"dropping-particle":"","family":"Chen","given":"Guoyi","non-dropping-particle":"","parse-names":false,"suffix":""},{"dropping-particle":"","family":"Miao","given":"Guoshuan","non-dropping-particle":"","parse-names":false,"suffix":""},{"dropping-particle":"","family":"Zhan","given":"Weiting","non-dropping-particle":"","parse-names":false,"suffix":""},{"dropping-particle":"","family":"Zhan","given":"Zhongliang","non-dropping-particle":"","parse-names":false,"suffix":""},{"dropping-particle":"","family":"Wang","given":"Shaorong","non-dropping-particle":"","parse-names":false,"suffix":""}],"container-title":"Journal of Power Sources","id":"ITEM-1","issued":{"date-parts":[["2015"]]},"page":"67-73","title":"Long-term stability of metal-supported solid oxide fuel cells employing infiltrated electrodes","type":"article-journal","volume":"295"},"uris":["http://www.mendeley.com/documents/?uuid=149437b5-0d6a-48dd-9d97-4672b72762eb"]},{"id":"ITEM-2","itemData":{"DOI":"10.1111/ijac.12748","ISSN":"17447402","abstract":"NiO-YSZ/YSZ/LSCF-YSZ tri-layer structure SOFC has been fabricated by tape casting and infiltration methods. Subsequently, polarization curves and electrochemical impedance spectra measurement were carried out to evaluate cell performance at 850-700°C with varied steam content in hydrogen supplied to the anode. At 800°C, open circuit voltage for 4% steam-humidified hydrogen reached 1.069 V, along with a power density of 831 mW/cm2 at 0.7 V. Furthermore, 500 hours of long-term durability test has been performed at 750°C in hydrogen atmosphere, as a consequence that a voltage degradation rate of 1.7%/kh has been measured.","author":[{"dropping-particle":"","family":"Jia","given":"Chuan","non-dropping-particle":"","parse-names":false,"suffix":""},{"dropping-particle":"","family":"Chen","given":"Ming","non-dropping-particle":"","parse-names":false,"suffix":""},{"dropping-particle":"","family":"Han","given":"Minfang","non-dropping-particle":"","parse-names":false,"suffix":""}],"container-title":"International Journal of Applied Ceramic Technology","id":"ITEM-2","issue":"5","issued":{"date-parts":[["2017"]]},"page":"1006-1012","title":"Performance and electrochemical analysis of solid oxide fuel cells based on LSCF-YSZ nano-electrode","type":"article-journal","volume":"14"},"uris":["http://www.mendeley.com/documents/?uuid=bb0fae46-5ce6-42f3-ab25-991d808f387c"]},{"id":"ITEM-3","itemData":{"DOI":"10.1016/j.ijhydene.2013.02.091","ISSN":"03603199","abstract":"Uniform, dense and continuous coatings of La0.8Sr 0.2MnO3-δ (LSM) have been successfully deposited on dense/porous La0.6Sr0.4Co0.2Fe 0.8O3-δ (LSCF) substrates via a one-step drop-coating process using a water-based solution in order to improve the operating stability of solid oxide fuel cell cathode. The processing conditions were optimized by precise control of the composition of infiltrating solution, including chelating agents (glycine, citric acid and ethylene glycol), surfactants (polyvinyl alcohol (PVA), polyethylene glycol (PEG) and polyvinyl pyrrolidone (PVP)) and pH values (5.25, 4.29, 3.01 and 2.09). Ethanol was found to improve the wetting ability of the water-based solution significantly, but unfortunately causing precipitation. The symmetrical and full cells tests demonstrated that both performance and stability of LSCF cathode can be enhanced by surface modification with an optimized LSM film coating, leading to </w:instrText>
      </w:r>
      <w:r w:rsidR="00D80A5D">
        <w:rPr>
          <w:rFonts w:ascii="Cambria Math" w:hAnsi="Cambria Math" w:cs="Cambria Math"/>
        </w:rPr>
        <w:instrText>∼</w:instrText>
      </w:r>
      <w:r w:rsidR="00D80A5D">
        <w:instrText xml:space="preserve">31% reduction in cathodic polarization resistance and </w:instrText>
      </w:r>
      <w:r w:rsidR="00D80A5D">
        <w:rPr>
          <w:rFonts w:ascii="Cambria Math" w:hAnsi="Cambria Math" w:cs="Cambria Math"/>
        </w:rPr>
        <w:instrText>∼</w:instrText>
      </w:r>
      <w:r w:rsidR="00D80A5D">
        <w:instrText xml:space="preserve">45% improvement in power density (without observable degradation) for almost 350 h operation at 750 </w:instrText>
      </w:r>
      <w:r w:rsidR="00D80A5D">
        <w:rPr>
          <w:rFonts w:ascii="Calibri" w:hAnsi="Calibri" w:cs="Calibri"/>
        </w:rPr>
        <w:instrText>°</w:instrText>
      </w:r>
      <w:r w:rsidR="00D80A5D">
        <w:instrText xml:space="preserve">C under a constant voltage of 0.7 V. Crown Copyright </w:instrText>
      </w:r>
      <w:r w:rsidR="00D80A5D">
        <w:rPr>
          <w:rFonts w:ascii="Calibri" w:hAnsi="Calibri" w:cs="Calibri"/>
        </w:rPr>
        <w:instrText>©</w:instrText>
      </w:r>
      <w:r w:rsidR="00D80A5D">
        <w:instrText xml:space="preserve"> 2012, Hydrogen Energy Publications, LLC. Published by Elsevier Ltd. All rights reserved.","author":[{"dropping-particle":"","family":"Zhu","given":"Xingbao","non-dropping-particle":"","parse-names":false,"suffix":""},{"dropping-particle":"","family":"Ding","given":"Dong","non-dropping-particle":"","parse-names":false,"suffix":""},{"dropping-particle":"","family":"Li","given":"Yiqian","non-dropping-particle":"","parse-names":false,"suffix":""},{"dropping-particle":"","family":"Lü","given":"Zhe","non-dropping-particle":"","parse-names":false,"suffix":""},{"dropping-particle":"","family":"Su","given":"Wenhui","non-dropping-particle":"","parse-names":false,"suffix":""},{"dropping-particle":"","family":"Zhen","given":"Liang","non-dropping-particle":"","parse-names":false,"suffix":""}],"container-title":"International Journal of Hydrogen Energy","id":"ITEM-3","issue":"13","issued":{"date-parts":[["2013"]]},"page":"5375-5382","title":"Development of La0.6Sr0.4Co0.2Fe 0.8O3-δ cathode with an improved stability via La0.8Sr0.2MnO3-film impregnation","type":"article-journal","volume":"38"},"uris":["http://www.mendeley.com/documents/?uuid=77df24ff-c9f1-4e2a-8c0b-e63b4df00d43"]},{"id":"ITEM-4","itemData":{"DOI":"10.1016/j.jpowsour.2012.05.040","ISSN":"03787753","abstract":"An anode supported solid oxide fuel cell with an La 0.6Sr 0.4Co 1.05O 3-δ (LSC) infiltrated-Ce 0.9Gd 0.1O 1.95 (CGO) cathode that shows a stable performance has been developed. The cathode was prepared by screen printing a porous CGO backbone on top of a laminated and co-fired anode supported half cell, consisting of a Ni-yttria stabilized zirconia (YSZ) anode support, a Ni-scandia-doped yttria-stabilized zirconia (ScYSZ) anode, a ScYSZ electrolyte, and a CGO barrier layer. LSC was introduced into the CGO backbone by multiple infiltrations of an aqueous nitrate solution followed by firing. The cell was tested at 700 °C under a current density of 0.5 A cm -2 for 1500 h using air as oxidant and humidified hydrogen as fuel. The electrochemical performance of the cell was analyzed by impedance spectroscopy and current-voltage relationships. No measurable degradation in the cell voltage or increase in the resistance from the recorded impedance was observed during long term testing. The power density reached 0.79 W cm -2 at a cell voltage of 0.6 V at 750 °C. Post test analysis of the LSC infiltrated-CGO cathode by scanning electron microscopy revealed no significant micro-structural difference to that of a nominally identical untested counterpart. © 2012 Elsevier B.V.","author":[{"dropping-particle":"","family":"Samson","given":"Alfred Junio","non-dropping-particle":"","parse-names":false,"suffix":""},{"dropping-particle":"","family":"Hjalmarsson","given":"Per","non-dropping-particle":"","parse-names":false,"suffix":""},{"dropping-particle":"","family":"Sogaard","given":"Martin","non-dropping-particle":"","parse-names":false,"suffix":""},{"dropping-particle":"","family":"Hjelm","given":"Johan","non-dropping-particle":"","parse-names":false,"suffix":""},{"dropping-particle":"","family":"Bonanos","given":"Nikolaos","non-dropping-particle":"","parse-names":false,"suffix":""}],"container-title":"Journal of Power Sources","id":"ITEM-4","issued":{"date-parts":[["2012"]]},"page":"124-130","title":"Highly durable anode supported solid oxide fuel cell with an infiltrated cathode","type":"article-journal","volume":"216"},"uris":["http://www.mendeley.com/documents/?uuid=8ba2c6cf-09a6-44ff-857a-a7e93b251761"]},{"id":"ITEM-5","itemData":{"DOI":"10.1149/2.0231602jes","ISSN":"0013-4651","abstract":"Large footprint (144 cm2) cells with infiltrated (La0.6Sr0.4)0.95FeO3/yttria-stabilized zirconia (LSF-YSZ) cathodes were fabricated on a pre-production scale (approximately 90 cells/batch). The excellent electrochemical performance of the cells was confirmed both on single cell as well as on stack level. Changes in electrode properties were mapped out as a function of heat-treatment temperature. The microstructure of the porous zirconia backbone remained unchanged, but the surface area of the ferrite phase decreased gradually, as the electrode was treated to higher temperatures. Changes in surface area were accompanied by corresponding changes in pore size and total pore volume. In contrast to traditional composite electrodes, the in-plane conductivity of infiltrated LSF-YSZ cathodes decreased with increasing sintering temperature, a trend likely explained by microstructure alterations during the sintering of the non-random structure.","author":[{"dropping-particle":"","family":"Hertz","given":"Thomas B.","non-dropping-particle":"","parse-names":false,"suffix":""},{"dropping-particle":"","family":"Heiredal-Clausen","given":"Thomas","non-dropping-particle":"","parse-names":false,"suffix":""},{"dropping-particle":"","family":"Küngas","given":"Rainer","non-dropping-particle":"","parse-names":false,"suffix":""}],"container-title":"Journal of The Electrochemical Society","id":"ITEM-5","issue":"2","issued":{"date-parts":[["2016"]]},"page":"F38-F43","title":"Characterization and Stack Testing of Solid Oxide Fuel Cells with Cathodes Prepared by Infiltration","type":"article-journal","volume":"163"},"uris":["http://www.mendeley.com/documents/?uuid=96bc832c-c45f-4db9-8dc6-a9063c68b5a9"]},{"id":"ITEM-6","itemData":{"DOI":"10.1016/j.jpowsour.2007.06.076","ISSN":"03787753","abstract":"Metal-supported solid oxide fuel cells (SOFCs) with thin YSZ electrolyte films and infiltrated Ni and LSM catalysts are operated in the temperature range 650-750 °C. A five-layer structure consisting of porous metal-support/porous YSZ interlayer/dense YSZ electrolyte film/porous YSZ interlayer/porous metal current collector is prepared at 1300 °C in reducing atmosphere. This cell structure is then sealed and joined to a cell housing/gas manifold using a commercially available braze. Finally, the porous YSZ interlayers are infiltrated with Ni and LSM catalyst precursor solutions at low temperature prior to cell testing. Infiltrating the catalysts after the high temperature sintering and brazing steps avoids undesirable decomposition of LSM, Ni coarsening, and interdiffusion between Ni catalyst and FeCr in the support. Maximum power densities of 233 and 332 mW cm-2 were achieved at 650 and 700 °C, respectively, with air as oxidant. With pure oxygen as oxidant, power densities of 726, 993, and &gt;1300 mW cm-2 were achieved at 0.7 V at 650, 700, and 750 °C, respectively.","author":[{"dropping-particle":"","family":"Tucker","given":"Michael C.","non-dropping-particle":"","parse-names":false,"suffix":""},{"dropping-particle":"","family":"Lau","given":"Grace Y.","non-dropping-particle":"","parse-names":false,"suffix":""},{"dropping-particle":"","family":"Jacobson","given":"Craig P.","non-dropping-particle":"","parse-names":false,"suffix":""},{"dropping-particle":"","family":"DeJonghe","given":"Lutgard C.","non-dropping-particle":"","parse-names":false,"suffix":""},{"dropping-particle":"","family":"Visco","given":"Steven J.","non-dropping-particle":"","parse-names":false,"suffix":""}],"container-title":"Journal of Power Sources","id":"ITEM-6","issue":"2","issued":{"date-parts":[["2007"]]},"page":"477-482","title":"Performance of metal-supported SOFCs with infiltrated electrodes","type":"article-journal","volume":"171"},"uris":["http://www.mendeley.com/documents/?uuid=66623b8f-1a34-4c51-8db9-ff37c9ca254e"]},{"id":"ITEM-7","itemData":{"DOI":"10.1016/j.ijhydene.2012.10.098","ISSN":"03603199","abstract":"In this research, tubes consisting of a co-extruded dense YSZ electrolyte (</w:instrText>
      </w:r>
      <w:r w:rsidR="00D80A5D">
        <w:rPr>
          <w:rFonts w:ascii="Cambria Math" w:hAnsi="Cambria Math" w:cs="Cambria Math"/>
        </w:rPr>
        <w:instrText>∼</w:instrText>
      </w:r>
      <w:r w:rsidR="00D80A5D">
        <w:instrText xml:space="preserve">10 </w:instrText>
      </w:r>
      <w:r w:rsidR="00D80A5D">
        <w:rPr>
          <w:rFonts w:ascii="Calibri" w:hAnsi="Calibri" w:cs="Calibri"/>
        </w:rPr>
        <w:instrText>μ</w:instrText>
      </w:r>
      <w:r w:rsidR="00D80A5D">
        <w:instrText>m) and porous NiO-YSZ anode (</w:instrText>
      </w:r>
      <w:r w:rsidR="00D80A5D">
        <w:rPr>
          <w:rFonts w:ascii="Cambria Math" w:hAnsi="Cambria Math" w:cs="Cambria Math"/>
        </w:rPr>
        <w:instrText>∼</w:instrText>
      </w:r>
      <w:r w:rsidR="00D80A5D">
        <w:instrText xml:space="preserve">200 </w:instrText>
      </w:r>
      <w:r w:rsidR="00D80A5D">
        <w:rPr>
          <w:rFonts w:ascii="Calibri" w:hAnsi="Calibri" w:cs="Calibri"/>
        </w:rPr>
        <w:instrText>μ</w:instrText>
      </w:r>
      <w:r w:rsidR="00D80A5D">
        <w:instrText>m) were modified with different cathodes and anode infiltration to investigate the effects on both power and thermal cycling tolerance. Type of cathode (produced by infiltration of LSM into a porous YSZ matrix or by hand-painting of an LSM-YSZ ink), the type of pore former used in the cathode (graphite or poly (methyl methacrylate), PMMA) and the infiltration of the anode (no infiltration, or with infiltration steps using a co-precipitated SDC (Samaria doped ceria) mixture, or Ni-SDC mixture) were investigated as variables. The overall aim of this work is to produce cells that are more tolerant to thermal cycling, without sacrificing power density. Testing at 750 °C with 20 mL/min of dry hydrogen shows that anode infiltration has a particularly advantageous effect on performance, raising the peak power and reducing the degradation in peak power seen after aggressive cycling (100 °C/min heating and cooling rates). Cell power can be improved by LSM infiltration into a porous YSZ layer when the thickness of the YSZ layer is optimised and there is sufficient LSM. Infiltrated cells with cathode thicknesses of 20-40 μm functioned better than those 10-15 μm thick despite having a similar LSM/YSZ weight ratio. This may be due to the additional reaction zone available as a result of the higher LSM mass, suggesting that the reaction zone extends beyond 15 μm from the electrolyte. LSM and SDC infiltrated fine particles (50-100 nm) show good distribution and connectivity in the cathode and anode of the cells respectively. When PMMA is used as the pore former in the porous YSZ matrix, a slightly better cell performance is obtained compared with graphite as the pore former. Monitoring the power variation is found to be a more reliable tool than open circuit voltage (OCV) measurements for studying the effect of thermal cycling on cell stability.Copyright © 2012, Hydrogen Energy Publications, LLC. Published by Elsevier Ltd. All rights.","author":[{"dropping-particle":"","family":"Howe","given":"K. S.","non-dropping-particle":"","parse-names":false,"suffix":""},{"dropping-particle":"","family":"Hanifi","given":"A. R.","non-dropping-particle":"","parse-names":false,"suffix":""},{"dropping-particle":"","family":"Kendall","given":"K.","non-dropping-particle":"","parse-names":false,"suffix":""},{"dropping-particle":"","family":"Zazulak","given":"Mark","non-dropping-particle":"","parse-names":false,"suffix":""},{"dropping-particle":"","family":"Etsell","given":"T. H.","non-dropping-particle":"","parse-names":false,"suffix":""},{"dropping-particle":"","family":"Sarkar","given":"P.","non-dropping-particle":"","parse-names":false,"suffix":""}],"container-title":"International Journal of Hydrogen Energy","id":"ITEM-7","issue":"2","issued":{"date-parts":[["2013"]]},"page":"1058-1067","title":"Performance of microtubular SOFCs with infiltrated electrodes under thermal cycling","type":"article-journal","volume":"38"},"uris":["http://www.mendeley.com/documents/?uuid=6fdfa708-e2da-40f6-97b3-1b9361ab16e4"]}],"mendeley":{"formattedCitation":"[76], [77], [80], [122]–[125]","plainTextFormattedCitation":"[76], [77], [80], [122]–[125]","previouslyFormattedCitation":"[76], [77], [80], [122]–[125]"},"properties":{"noteIndex":0},"schema":"https://github.com/citation-style-language/schema/raw/master/csl-citation.json"}</w:instrText>
      </w:r>
      <w:r>
        <w:fldChar w:fldCharType="separate"/>
      </w:r>
      <w:r w:rsidR="006C586A" w:rsidRPr="006C586A">
        <w:rPr>
          <w:noProof/>
        </w:rPr>
        <w:t>[76], [77], [80], [122]–[125]</w:t>
      </w:r>
      <w:r>
        <w:fldChar w:fldCharType="end"/>
      </w:r>
      <w:r w:rsidRPr="00A82884">
        <w:t>. However, the poor thermal stability of infiltrated electrodes is hampering their adoption</w:t>
      </w:r>
      <w:r>
        <w:t xml:space="preserve"> (power density degradations &gt; 1% / 1000 h)</w:t>
      </w:r>
      <w:r w:rsidRPr="00A82884">
        <w:t xml:space="preserve">. This </w:t>
      </w:r>
      <w:r>
        <w:t xml:space="preserve">project </w:t>
      </w:r>
      <w:r w:rsidRPr="00A82884">
        <w:t>focusse</w:t>
      </w:r>
      <w:r>
        <w:t>s</w:t>
      </w:r>
      <w:r w:rsidRPr="00A82884">
        <w:t xml:space="preserve"> on understanding the</w:t>
      </w:r>
      <w:r>
        <w:t xml:space="preserve"> deactivation mechanisms via catalyst sintering in wet impregnated SOFC fuel electrodes. </w:t>
      </w:r>
    </w:p>
    <w:p w14:paraId="3EFD1E52" w14:textId="77777777" w:rsidR="00007F6C" w:rsidRDefault="00007F6C" w:rsidP="00007F6C">
      <w:pPr>
        <w:jc w:val="both"/>
      </w:pPr>
      <w:r w:rsidRPr="00A82884">
        <w:lastRenderedPageBreak/>
        <w:t>This review discusses the degradation mechanisms present in infiltrated fuel electrodes and strategies to characterise the rate of degradation.</w:t>
      </w:r>
    </w:p>
    <w:p w14:paraId="0F80FA45" w14:textId="77777777" w:rsidR="00007F6C" w:rsidRDefault="00007F6C" w:rsidP="004B726A">
      <w:pPr>
        <w:pStyle w:val="Heading2"/>
      </w:pPr>
      <w:bookmarkStart w:id="54" w:name="_Toc69129363"/>
      <w:r>
        <w:t>2.2</w:t>
      </w:r>
      <w:r>
        <w:tab/>
        <w:t>SOFC Anode production methods</w:t>
      </w:r>
      <w:bookmarkEnd w:id="54"/>
    </w:p>
    <w:p w14:paraId="620DF1AC" w14:textId="3B9E9CEE" w:rsidR="00007F6C" w:rsidRDefault="00007F6C" w:rsidP="00007F6C">
      <w:pPr>
        <w:jc w:val="both"/>
      </w:pPr>
      <w:r w:rsidRPr="002B6C9E">
        <w:t>The key research materials for anodes in recent times have been cermet materials. A cermet is a combination of metal ions in a ceramic matrix which possesses much improved gas percolation routes (due to the presence of pores) consequently improves the percolation of incident gases through the scaffold</w:t>
      </w:r>
      <w:r>
        <w:t xml:space="preserve"> </w:t>
      </w:r>
      <w:r>
        <w:fldChar w:fldCharType="begin" w:fldLock="1"/>
      </w:r>
      <w:r w:rsidR="00D80A5D">
        <w:instrText>ADDIN CSL_CITATION {"citationItems":[{"id":"ITEM-1","itemData":{"DOI":"10.1016/j.cocis.2009.04.006","ISBN":"1359-0294","ISSN":"13590294","abstract":"Solid oxide fuel cells (SOFC) have much promise as efficient devices for the direct conversion of the energy stored in chemical fuels into electricity. The development of highly robust SOFC that can operate on a range of fuels, however, requires improvements in the electrodes, especially the anode, where nanoscale engineering of the structure is required in order to maximize the number of sites where the electrochemical reactions take place. In this article we review the approaches that are currently being used to improve anode performance and microstructure with a focus on new materials and synthesis techniques. © 2009 Elsevier Ltd. All rights reserved.","author":[{"dropping-particle":"","family":"Gorte","given":"R. J.","non-dropping-particle":"","parse-names":false,"suffix":""},{"dropping-particle":"","family":"Vohs","given":"J. M.","non-dropping-particle":"","parse-names":false,"suffix":""}],"container-title":"Current Opinion in Colloid and Interface Science","id":"ITEM-1","issue":"4","issued":{"date-parts":[["2009"]]},"page":"236-244","title":"Nanostructured anodes for solid oxide fuel cells","type":"article-journal","volume":"14"},"uris":["http://www.mendeley.com/documents/?uuid=b9a8daad-d683-45ae-80ee-8663226563a5"]},{"id":"ITEM-2","itemData":{"DOI":"10.1016/j.ijhydene.2011.09.067","ISBN":"0360-3199","ISSN":"03603199","abstract":"Solid oxide fuel cells (SOFCs) are the most efficient devices for the direct conversion of the chemical energy stored in fuels such as hydrogen and hydrocarbons into electricity. The development of highly efficient and robust SOFCs requires cathodes and anodes with high electrocatalytic activity for O2 reduction and direct oxidation of hydrocarbon fuels, respectively. Nanoscale engineering of electrode structures via metal salt solution impregnation or infiltration attracts increasing attention as the most effective way to develop highly active and advanced electrode structures for SOFCs. The infiltration method opens a new horizon in the advanced electrode development as the method expands the set of variable electrode materials combinations with the elimination of thermal expansion mismatch and the suppression of potential detrimental reactions between electrode and electrolyte materials. In this article, the advances and challenges in the development of nanoscale and nano-structured electrodes and the fundamental understanding of the remarkable enhancement in the electrode performance are reviewed and discussed with primary focus on the progress and status of the field in the last 5 years. © 2011, Hydrogen Energy Publications, LLC. Published by Elsevier Ltd. All rights reserved.","author":[{"dropping-particle":"","family":"Jiang","given":"San Ping","non-dropping-particle":"","parse-names":false,"suffix":""}],"container-title":"International Journal of Hydrogen Energy","id":"ITEM-2","issue":"1","issued":{"date-parts":[["2012"]]},"page":"449-470","title":"Nanoscale and nano-structured electrodes of solid oxide fuel cells by infiltration: Advances and challenges","type":"article-journal","volume":"37"},"uris":["http://www.mendeley.com/documents/?uuid=57a6c570-d381-42a0-8f4f-7a32d391825e"]}],"mendeley":{"formattedCitation":"[64], [126]","plainTextFormattedCitation":"[64], [126]","previouslyFormattedCitation":"[64], [126]"},"properties":{"noteIndex":0},"schema":"https://github.com/citation-style-language/schema/raw/master/csl-citation.json"}</w:instrText>
      </w:r>
      <w:r>
        <w:fldChar w:fldCharType="separate"/>
      </w:r>
      <w:r w:rsidR="006C586A" w:rsidRPr="006C586A">
        <w:rPr>
          <w:noProof/>
        </w:rPr>
        <w:t>[64], [126]</w:t>
      </w:r>
      <w:r>
        <w:fldChar w:fldCharType="end"/>
      </w:r>
      <w:r w:rsidRPr="002B6C9E">
        <w:t xml:space="preserve">. </w:t>
      </w:r>
      <w:r>
        <w:t xml:space="preserve"> For these systems to work optimally they must conduct both oxide ions and electrons (mixed ionic electric conductor, MIEC) (</w:t>
      </w:r>
      <w:r>
        <w:fldChar w:fldCharType="begin"/>
      </w:r>
      <w:r>
        <w:instrText xml:space="preserve"> REF _Ref51324089 \h </w:instrText>
      </w:r>
      <w:r>
        <w:fldChar w:fldCharType="separate"/>
      </w:r>
      <w:r>
        <w:t>Figure 2.</w:t>
      </w:r>
      <w:r>
        <w:rPr>
          <w:noProof/>
        </w:rPr>
        <w:t>2</w:t>
      </w:r>
      <w:r>
        <w:fldChar w:fldCharType="end"/>
      </w:r>
      <w:r>
        <w:t xml:space="preserve">) </w:t>
      </w:r>
      <w:r>
        <w:fldChar w:fldCharType="begin" w:fldLock="1"/>
      </w:r>
      <w:r>
        <w:instrText>ADDIN CSL_CITATION {"citationItems":[{"id":"ITEM-1","itemData":{"DOI":"10.1111/j.1151-2916.1993.tb03645.x","ISBN":"00027820 (ISSN)","abstract":"A ceramic fuel cell in an all solid‐state energy conversion device that produces electricity by electrochemically combining fuel and oxidant gases across an ionic conducting oxide. Current ceramic fuel cells use an oxygen‐ion conductor or a proton conductor as the electrolyte and operate at high temperatures (&gt;600°C). Ceramic fuel cells, commonly referred to as solid‐oxide fuel cells (SOFCs), are presently under development for a variety of power generation applications. This paper reviews the science and technology of ceramic fuel cells and discusses the critical issues posed by the development of this type of fuel cell. The emphasis is given to the discussion of component materials (especially, ZrO2 electrolyte, nickel/ZrO2 cermet anode, LaMnO3 cathode, and LaCrO3 interconnect), gas reactions at the electrodes, stack designs, and processing techniques used in the fabrication of required ceramic structures. Copyright © 1993, Wiley Blackwell. All rights reserved","author":[{"dropping-particle":"","family":"Minh","given":"N Q","non-dropping-particle":"","parse-names":false,"suffix":""}],"container-title":"Journal of the American Ceramic Society","id":"ITEM-1","issue":"3","issued":{"date-parts":[["1993"]]},"language":"English","note":"Cited By :3099\nExport Date: 30 November 2016\nCorrespondence Address: Minh, N.Q.; AiResearch Los Angeles Division, Allied-Signal Aerospace Company, Torrance, California, 90504-6099, United States\nReferences: Grove, W.R., On Voltaic Series and the Combination of Gases by Platinum (1839) Philos. Mag., 14, pp. 127-130; Nernst, W., Uber Die Elektrolytische Leitung Fester Körper Bei Sehr Hohen Temperaturen (1899) Z. Elektrochem., 6, pp. 41-43; Baur, E., Preis, H., Uber Brennstoff‐Ketten Mit Festleitern (1937) Z. Elektrochem., 43, pp. 727-732; Minh, N.Q., High‐Temperature Fuel Cells. Part 2: The Solid Oxide Cell (1991) CHEMTECH, 21, pp. 120-126; (1981) Science and Technology of Zirconia, 3. , Edited by, A. H. Heuer, L. W. Hobbs, American Ceramic Society, Columbus, OH; (1984) Science and Technology of Zirconia II, 12. , Edited by, N. Claussen, M. Rühle, A. H. Heuer, American Ceramic Society, Columbus, OH; (1988) Science and Technology of Zirconia III, 24. , Edited by, S. Somiya, N. Yamamoto, H. Yanagida, American Ceramic Society, Westerville, OH; Stevens, R., (1986) An Introduction to Zirconia, , Magnesium Elektron, London, U.K; Etsell, T.H., Flengas, S.N., The Electrical Properties of Solid Oxide Electrolytes (1970) Chem. Rev., 70, pp. 339-376; Subbarao, E.C., Maiti, H.S., Solid Electrolytes with Oxygen Ion Conduction (1984) Solid State Ionics, 11, pp. 317-338; Patterson, J.W., Borgen, E.C., Rapp, R.A., Mixed Conduction in Zr0.85Ca0.15O1.85 and Th0.85Y0.15O1.85 Solid Electrolytes (1967) Journal of The Electrochemical Society, 114, pp. 752-758; Baumard, J.F., Abelard, P., , pp. 555-571. , “Defect Structure and Transport Properties of ZrO2‐Based Solid Electrolytes”; see Ref. 6, ppChoudhary, C.B., Maiti, H.S., Subbarao, E.C., Detect Structure and Transport Properties (1980) Solid Electrolytes and Their Applications, pp. 1-80. , Edited by, E. C. Subbarao, Plenum Press, New York; Badwal, S.P.S., Hughes, A.E., Modification of Cell Characteristics by Segregated Impurities (1991) Proceedings of the Second International Symposium on Solid Oxide Fuel Cells, pp. 445-454. , Edited by, F. Gross, P. Zegers, S. C. Singhal, O. Yamamoto, Commission of The European Communities, Luxembourg; Bauerle, J.E., Study of Solid Electrolyte Polarization by a Complex Admittance Method (1969) J. Phys. Chem. Solids, 30, pp. 2657-2670; Kleitz, M., Bernard, H., Fernandez, E., Schouler, E., , pp. 310-336. , “Impedance Spectroscopy and Electrical Resistance Measurements on Stabilized Zirconia”; see Ref. 5, ppVerkerk, M.J., Middelhuis, B.J., Burggraaf, A.J., Effect of Grain Boundaries on the Conductivity of High‐Purity ZrO2–Y2O3 Ceramics (1982) Solid State Ionics, 6, pp. 159-170; Butler, E.P., Slotwinski, R.K., Bonanos, N., Drennan, J., Steele, B.C.H., , pp. 572-584. , “Microstructural–Electrical Property Relationships in High‐Conductivity Zirconias”; see Ref. 6, ppBaukal, W., Solid Oxide Electrolyte with Time‐Dependent Conductivity (1972) From Electrocatalysis to Fuel Cells, pp. 247-254. , Edited by, G. Sandstede, University of Washington Press, Seattle, WA; Suzuki, Y., Shimada, A., Senda, S., Time‐Dependent Change in Electrical Resistivity of Polycrystalline YSZ and CSZ (1990) Solid State Ionics, 42, pp. 121-125; Badwal, S.P.S., Drennan, J., Yttria–Zirconia: Effect of Microstructure on Conductivity (1987) J. Mater. Sci., 22, pp. 3231-3239; Ciftcioglu, M., Mayo, M.J., (1990), “Processing of Nanocrystalline Ceramics”; presented at the Spring Meeting of the Materials Research Society, San Francisco, CA, April 16–21, 1990. Rept. No. DE90–015700, SAND‐90–1639C, CONF‐900466–78, National Technical Information Service, Alexandria, VAScott, C.E., Reed, J.S., Analysis of Cl‐ Ions Laundered from Submicron Zirconia Powders (1978) Am. Ceram. Soc. Bull., 57, pp. 741-743; Scott, C.E., Reed, J.S., Effect of Laundering and Milling on the Sintering Behavior of Stabilized ZrO2 Powders (1979) Am. Ceram. Soc. Bull., 58, pp. 587-590; Evans, A.G., The New High‐Toughness Ceramics (1989) Fracture Mechanics: Perspective and Directions, pp. 267-291. , (Twentieth Symposium), ASTM STP 1020. Edited by, R. P. Wei, R. P. Gangloff, American Society for Testing and Materials, Philadelphia, PA; Singh, J.P., Bosak, A.L., Dees, D.W., McPheeters, C.C., Improved Fracture Toughness of ZrO2 Electrolyte for Solid Oxide Fuel Cell (1988) 1988 Fuel Cell Seminar Abstracts, pp. 145-148. , (Long Beach, CA, Oct. 23–26, 1988)., Courtesy Associates, Washington, DC; Ishizaki, F., Yoshida, T., Sakurada, S., Effect of Alumina Addition on the Electrical Properties of Yttria‐Doped Zirconia (1989) Proceedings of the First International Symposium on Solid Oxide Fuel Cells, pp. 3-14. , Edited by, S. C. Singhal, The Electrochemical Society, Pennington, NJ; Hernandez, M.T., Jurado, J.R., Duran, P., , pp. 421-428. , “Effect of Al2O3, Additions on the Electrical Properties of ZrO2–Y2O3 and ZrO2–Y2O3–CeO2 Electrolytes”; see Ref. 14, ppYamamoto, O., Takeda, Y., Imanishi, N., Kawahara, T., Shen, G.Q., Mori, M., Abe, T., , pp. 437-444. , “Electrical and Mechanical Properties of Zirconia–Alumina Composite Electrolyte”; see Ref. 14, ppDuran, P., Jurado, J.R., Moure, C., Hernandez, M.T., Capel, F., , pp. 401-407. , “Improvement of the Mechanical Properties of Yttria‐Stabilized Zirconia Electrolyte”; see Ref. 14, ppWeppner, W., Tetragonal Zirconia for Solid Oxide Fuel Cells (1990) Proceedings of the International Symposium on Solid Oxide Fuel Cells, pp. 83-89. , Edited by, O. Yamamoto, M. Dokiya, H. Tagawa, Science House, Tokyo, Japan; Yoshida, T., Hoshina, T., Mukaizawa, I., Sakurada, S., Properties of Partially Stabilized Zirconia Fuel Cell (1989) J. Electrochem. Soc., 136, pp. 2604-2606; Yamamoto, O., Takeda, Y., Kanno, R., Kohno, K., Electrical Conductivity of Tetragonal Stabilized Zirconia (1990) J. Mater. Sci., 25, pp. 2805-2808; Sato, T., Shimada, M., Crystalline Phase Changes in Yttria‐Partially‐Stabilized Zirconia by Low‐Temperature Annealing (1984) J. Am. Ceram. Soc., 67 (10), pp. 212-213; Subbarao, E.C., Maiti, H.S., , pp. 731-747. , “Oxygen Sensors and Pumps”; see Ref. 7, ppVlasov, A.N., Perfiliev, M.V., Ageing of ZrO2‐Based Solid Electrolytes (1987) Solid State Ionics, 25, pp. 245-253; Takahashi, T., Iwahara, H., Nagai, Y., High Oxide Conduction in Sintered Bi2O3 Containing SrO, CaO, or La2O3 (1972) J. Appl. Electrochem., 2, pp. 97-104; Miyayama, M., Nishi, T., Yanagida, H., Oxygen Ionic Conduction in Y2O3‐Stabilized Bi2O3 and ZrO2 Composites (1987) J. Mater. Sci., 22, pp. 2624-2628; Verkerk, M.J., Keizer, K., Burggraaf, A.J., High Oxygen Ion Conduction in Sintered Oxides of Bi2O3–Er2O3 System (1980) J. Appl. Electrochem., 10, pp. 81-90; Takahashi, T., Esaka, T., Iwahara, H., Conduction of Bi2O3‐Based Oxide Ion Conductor Under Low Oxygen Pressure. II. Determination of the Partial Electronic Conductivity (1977) J. Appl. Electrochem., 7, pp. 303-308; Blumenthal, R.N., Brugner, F.S., Garnier, J.E., The Electrical Conductivity of CaO‐Doped Nonstoichiometric Cerium Oxide from 700° to 1500°C (1973) J. Electrochem. Soc., 120, pp. 1230-1237; Tuller, H.L., Nowick, A.S., Doped Ceria as a Solid Oxide Electrolyte (1975) J. Electrochem. Soc., 122, pp. 255-259; Swarr, T.E., Karavolis, S., Maricle, D.L., Enhanced Ceria—A Low‐Temperature SOFC Electrolyte (1990) Proceedings of the 25th Intersociety Energy Conversion Engineering Conference, 3, pp. 256-261. , American Institute of Chemical Engineers, New York; Yahiro, H., Baba, Y., Eguchi, K., Arai, H., High‐Temperature Fuel Cell with Ceria–Yttria Solid Electrolyte (1988) J. Electrochem. Soc., 135, pp. 2077-2080; Inoue, T., Setoguchi, T., Eguchi, K., Arai, H., Study of a Solid Oxide Fuel Cell with a Ceria‐Based Solid Electrolyte (1989) Solid State Ion'cs, 35, pp. 285-291; Virkar, A.V., Theoretical Analysis of Solid Oxide Fuel Cells with Two‐Layer Composite Electrolyte: Electrolyte Stability (1991) J. Electrochem. Soc., 138, pp. 1481-1487; Takahashi, T., Iwahara, H., Ionic Conduction in Perovskite‐Type Oxide Solid Solution and Its Application to Solid Electrolyte Fuel Cell (1971) Energy Convers., 11, pp. 105-111; Kilner, J.A., Barrow, P., Brook, R.J., Norgett, M.J., Electrolytes for the High‐Temperature Fuel Cell: Experimental and Theoretical Studies of the Perovskite LaAlO3 (1978) J. Power Sources, 3, pp. 67-80; Cook, R.L., MacDu'f, R.C., Sammells, A.F., Perovskite Solid Electrolytes for Intermediate‐Temperature Solid Oxide Fuel Cells (1990) J. Electrochem. Soc., 137, pp. 3309-3310; Sammells, A.F., Cook, R.L., Worrell, W.L., (1990), “Methane Conversion by Solid Electrolyte Membranes,” Rept. No. GR1‐90/0136, Gas Research Institute, Chicago, ILMurakami, S., Miyake, Y., Akiyama, Y., Ishida, N., Saito, T., Furukawa, N., , pp. 187-190. , “A Study on Composite Anode of Solid Oxide Fuel Cells”; see Ref. 31, ppDees, D.W., Claar, T.D., Easler, T.E., Fee, D.C., azek, F.C., Conductivity of Porous Ni/ZrO2‐Y2O3 Cermets (1987) Journal of The Electrochemical Society, 134, pp. 2141-2146; Ivers‐Tiffée, E., Wersing, W., Schießl, M., Greiner, H., Ceramic and Metallic Components for a Planar SOFC (1990) Berichte der Bunsengesellschaft für physikalische Chemie, 94, pp. 978-981; Majumdar, S., Claar, T., Flandermeyer, B., Stress and Fracture Behavior of Monolithic Fuel Cell Tapes (1986) J. Am. Ceram. Soc., 69, pp. 628-633; Easler, T., Flandermeyer, B.K., Claar, T.D., Busch, D.E., Fousek, R.J., Picciolo, J.J., Poeppel, R.B., Electrode Development for Monolithic Fuel Cells (1986) 1986 Fuel Cell Seminar Abstracts, pp. 72-75. , (Tucson, AZ, Oct. 26–29, 1986)., Courtesy Associates, Washington, DC; Markin, T.L., Bones, R.J., Dell, R.M., High‐Temperature Solid‐Electrolyte Fuel Cells (1976) Conference on Superionic Conductors, pp. 15-35. , Edited by, G. D. Mahan, W. L. Roth, Plenum Press, New York; Suzuki, M., Sasaki, H., Otoshi, S., Ippommatsu, M., , pp. 585-591. , “Development of Ru/ZrO2 SOFC Anode”; see Ref. 14, ppTakahashi, T., Iwahara, H., Suzuki, Y., Electrode Materials for High‐Temperature Solid Electrolyte Fuel Cells (1969) Proceedings of the Third International Symposium on Fuel Cells, pp. 113-119. , Presses Académiques Européennes, Brussels, Belgium; Steele, B.C.H., Middleton, P.H., Rudkin, R.A., Material Science Aspects of SOFC Technology with Special Reference to Anode Development (1990) Solid State Ionics, 40-41, pp. 388-393; Mogensen, M., , pp. 577-584. , “Properties of CeO2‐Based SOFC Anode Materials”; see Ref. 14, ppSwider, K.E., Worrell, W.L., , pp. 593-601. , “Synthesis and Characterization of Yuria. Stabilized Zirconia‐Titania Thin‐Film Electrodes”; see Ref. 14, ppLiou, S.S., Worrell, W.L., , pp. 81-89. , “Mixed‐Conducting Oxide Electrodes for Solid Oxide Fuel Cells”; see Ref. 27, ppLiou, S.S., Worrell, W.L., Electrical Properties of Novel Mixed‐Conducting Oxides (1989) Appl. Phys. A, 49, pp. 25-31; Tedmon, C.S., Jr., Spacil, H.S., Mitoff, S.P., Cathode Materials and Performance in High‐Temperature Zirconia Electrolyte Fuel Cells (1969) Journal of The Electrochemical Society, 116, pp. 1170-1175; Tofield, B.C., Scott, W.R., Oxidative Nonstoichiometry in Perovskites, an Experimental Survey: The Defect Structure of an Oxidized Lanthanum Manganite by Powder Neutron Diffraction (1974) J. Solid State Chem., 10, pp. 183-194; Kuo, J.H., Anderson, H.U., Sparlin, D.M., Oxidation‐Reduction Behavior of Undoped and Sr‐Doped LaMnO3: Defect Structure, Electrical Conductivity, and Thermoelectric Power (1990) J. Solid State Chem., 87, pp. 55-63; Rao, Wanklyn, B.M., Rao, C.N.R., Electrical Transport in Rare‐Earth Ortho‐Chromites, ‐Manganites, and ‐Ferrites (1971) J. Phys. Chem. Solids, 32, pp. 345-358; Kamata, K., Nakajima, T., Hayashi, T., Nakamura, T., Nonstoichiometric Behavior and Phase Stability of Rare‐Earth Manganites at 1200°C: (1). LaMnO3 (1978) Mater. Res. Bull., 13, pp. 49-54; Mizusaki, J., Tagawa, H., Naraya, K., Sasamoto, T., Nonstoichiometry and Thermochemical Stability of the Perovskite‐Type La1‐xSrxMnO3‐δ (1991) Solid State Ionics, 49, pp. 111-118; Kuo, J.H., Anderson, H.U., Sparlin, D.M., Oxidation‐Reduction Behavior of Undoped and Sr‐Doped LaMnO3 Nonstoichiometry and Defect Structure (1989) J. Solid State Chem., 83, pp. 52-60; Nakamura, T., Petzow, G., Gauckler, L.J., Stability of the Perovskite Phase LaBO3 (B = V, Cr, Mn, Fe, Co, Ni) in Reducing Atmospheres I. Experimental Results (1979) Mater. Res. Bull., 14, pp. 649-659; Sreedharan, O.M., Pankajavalli, R., Gnanamoorthy, J.B., Standard Gibbs' Energy of Formation of LaMnO3 from EMF Measurements (1983) High Temp. Sci., 16, pp. 251-256; Kamegashira, N., Miyazaki, Y., Hiyoshi, Y., Limiting Oxygen Partial Pressure of LaMnO3 Phase (1984) Mater. Lett., 2, pp. 194-195; Sreedharan, O.M., Chandrasekharaiah, M.S., Standard Gibbs' Energy of Formation of LaFeO3 and Comparison of Stability of LaMO3 (M = Mn, Fe, Co, Ni) Compounds (1986) J. Mater. Sci., 21, pp. 2581-2584; Ruka, R., (1983), pp. 295-302. , “Some Non‐Electrochemical Requirements for Air Electrode Materials of High‐Temperature Solid Electrolyte Fuel Cells”; pp., in Proceedings of the Conference on High–Temperature Solid Oxide Electrolytes, Vol. I–Anion Conductors (Brookhaven National Laboratory, Upton, NY, Aug. 16–17, 1983). Rept. No. BNL 51728–Vol. I, Brookhaven National Laboratory, Upton, NYJonker, G.H., Semiconducting Properties of Mixed Crystals with Perovskite Structure (1954) Physica (Amsterdam), 20, pp. 1118-1122; Tanaka, J., Takahashi, K., Yukino, K., Horiuchi, S., Electrical Conduction of (La0.8Ca0.2)MnO3 with Homogeneous Ionic Distribution (1983) Phys. Status Solidi, 80, pp. 621-630; Fandel, M., Höschele, J., Schäfer, W., Schmidberger, R., Properties of Ca‐Doped LaMnO3 (1989) Properties of Ceramics, 2, p. 2. , 236–2.240 in Euro‐ceramics, Vol,. Edited by, G. de With, R. A. Lerpstra, R. Metselaar, Elsevier Applied Science, London, U.K; Pavlov, V.I., Bogush, A.K., Bychkov, G.L., Influence of Impurity Centers on the Electrical Conductivity of Manganites with a Perovskite Structure (1984) Inorg. Mater. (Engl. Transl.), 20, pp. 752-754; Wold, A., Arnott, R.J., Goodenough, J.B., Some Magnetic and Crystallographic Properties of the System LaMn1‐xNixO3‐λ (1958) J. Appl. Phys., 29, pp. 387-389; Lyubkina, I.Ya., Kononyuk, I.F., Preparation and Electric Properties of LaMn1‐xNixO3 (O","page":"563-588","title":"Ceramic Fuel Cells","type":"article-journal","volume":"76"},"uris":["http://www.mendeley.com/documents/?uuid=7c17b8de-f21a-48a1-8286-c38ae0ab747c"]},{"id":"ITEM-2","itemData":{"DOI":"10.1016/j.cocis.2009.04.006","ISBN":"1359-0294","ISSN":"13590294","abstract":"Solid oxide fuel cells (SOFC) have much promise as efficient devices for the direct conversion of the energy stored in chemical fuels into electricity. The development of highly robust SOFC that can operate on a range of fuels, however, requires improvements in the electrodes, especially the anode, where nanoscale engineering of the structure is required in order to maximize the number of sites where the electrochemical reactions take place. In this article we review the approaches that are currently being used to improve anode performance and microstructure with a focus on new materials and synthesis techniques. © 2009 Elsevier Ltd. All rights reserved.","author":[{"dropping-particle":"","family":"Gorte","given":"R. J.","non-dropping-particle":"","parse-names":false,"suffix":""},{"dropping-particle":"","family":"Vohs","given":"J. M.","non-dropping-particle":"","parse-names":false,"suffix":""}],"container-title":"Current Opinion in Colloid and Interface Science","id":"ITEM-2","issue":"4","issued":{"date-parts":[["2009"]]},"page":"236-244","title":"Nanostructured anodes for solid oxide fuel cells","type":"article-journal","volume":"14"},"uris":["http://www.mendeley.com/documents/?uuid=b9a8daad-d683-45ae-80ee-8663226563a5"]},{"id":"ITEM-3","itemData":{"ISBN":"00-442-31926-6","author":[{"dropping-particle":"","family":"Appleby","given":"A J","non-dropping-particle":"","parse-names":false,"suffix":""},{"dropping-particle":"","family":"Foulkes","given":"F R","non-dropping-particle":"","parse-names":false,"suffix":""}],"id":"ITEM-3","issued":{"date-parts":[["1988"]]},"publisher":"Van Nostrand Reinhold","title":"Fuel Cell Handbook","type":"book"},"uris":["http://www.mendeley.com/documents/?uuid=61a75d6c-0322-4da6-91bc-80ede657b69e"]}],"mendeley":{"formattedCitation":"[1], [17], [64]","plainTextFormattedCitation":"[1], [17], [64]","previouslyFormattedCitation":"[1], [17], [64]"},"properties":{"noteIndex":0},"schema":"https://github.com/citation-style-language/schema/raw/master/csl-citation.json"}</w:instrText>
      </w:r>
      <w:r>
        <w:fldChar w:fldCharType="separate"/>
      </w:r>
      <w:r w:rsidRPr="00375DF8">
        <w:rPr>
          <w:noProof/>
        </w:rPr>
        <w:t>[1], [17], [64]</w:t>
      </w:r>
      <w:r>
        <w:fldChar w:fldCharType="end"/>
      </w:r>
      <w:r>
        <w:t xml:space="preserve">. The ceramic provides the oxide ion conduction and the metal the electronic. The metal must form a conductive network so that the electrons can reach the external circuit. </w:t>
      </w:r>
      <w:r w:rsidRPr="002B6C9E">
        <w:t xml:space="preserve">In the case of </w:t>
      </w:r>
      <w:r>
        <w:t>SOFC</w:t>
      </w:r>
      <w:r w:rsidRPr="002B6C9E">
        <w:t xml:space="preserve"> anodes the cermets in question also revolve around the Ni/YSZ system. The advent of cermet fuel electrodes for solid oxide fuel cells began almost 50 years ago</w:t>
      </w:r>
      <w:r>
        <w:t xml:space="preserve"> </w:t>
      </w:r>
      <w:r>
        <w:fldChar w:fldCharType="begin" w:fldLock="1"/>
      </w:r>
      <w:r w:rsidR="006C586A">
        <w:instrText>ADDIN CSL_CITATION {"citationItems":[{"id":"ITEM-1","itemData":{"author":[{"dropping-particle":"","family":"Spacil","given":"H S","non-dropping-particle":"","parse-names":false,"suffix":""}],"chapter-number":"US3503809A","editor":[{"dropping-particle":"","family":"Patent","given":"United States","non-dropping-particle":"","parse-names":false,"suffix":""}],"id":"ITEM-1","issued":{"date-parts":[["1970"]]},"page":"1-8","publisher":"General Electric Co ","publisher-place":"USA","title":"Electrical device including nickel-containing stabilized zirconia electrode","type":"patent","volume":"US3503809A"},"uris":["http://www.mendeley.com/documents/?uuid=0a7602e6-3e13-4959-a850-8010bc5116e8"]}],"mendeley":{"formattedCitation":"[96]","plainTextFormattedCitation":"[96]","previouslyFormattedCitation":"[96]"},"properties":{"noteIndex":0},"schema":"https://github.com/citation-style-language/schema/raw/master/csl-citation.json"}</w:instrText>
      </w:r>
      <w:r>
        <w:fldChar w:fldCharType="separate"/>
      </w:r>
      <w:r w:rsidR="00FF11D6" w:rsidRPr="00FF11D6">
        <w:rPr>
          <w:noProof/>
        </w:rPr>
        <w:t>[96]</w:t>
      </w:r>
      <w:r>
        <w:fldChar w:fldCharType="end"/>
      </w:r>
      <w:r>
        <w:t>.</w:t>
      </w:r>
    </w:p>
    <w:p w14:paraId="4BFD2DB3" w14:textId="77777777" w:rsidR="00007F6C" w:rsidRDefault="00007F6C" w:rsidP="00007F6C">
      <w:pPr>
        <w:keepNext/>
        <w:jc w:val="center"/>
      </w:pPr>
      <w:r>
        <w:rPr>
          <w:noProof/>
        </w:rPr>
        <w:drawing>
          <wp:inline distT="0" distB="0" distL="0" distR="0" wp14:anchorId="7FD7F969" wp14:editId="26CFBB83">
            <wp:extent cx="5040000" cy="2929297"/>
            <wp:effectExtent l="0" t="0" r="8255" b="0"/>
            <wp:docPr id="10" name="Picture 1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lose up of a sign&#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40000" cy="2929297"/>
                    </a:xfrm>
                    <a:prstGeom prst="rect">
                      <a:avLst/>
                    </a:prstGeom>
                  </pic:spPr>
                </pic:pic>
              </a:graphicData>
            </a:graphic>
          </wp:inline>
        </w:drawing>
      </w:r>
    </w:p>
    <w:p w14:paraId="4ACEFA2D" w14:textId="4904AD05" w:rsidR="00007F6C" w:rsidRPr="002B6C9E" w:rsidRDefault="00007F6C" w:rsidP="00007F6C">
      <w:pPr>
        <w:pStyle w:val="Caption"/>
      </w:pPr>
      <w:bookmarkStart w:id="55" w:name="_Ref51324089"/>
      <w:bookmarkStart w:id="56" w:name="_Toc69114914"/>
      <w:r>
        <w:t>Figure 2.</w:t>
      </w:r>
      <w:r w:rsidR="00B51F53">
        <w:fldChar w:fldCharType="begin"/>
      </w:r>
      <w:r w:rsidR="00B51F53">
        <w:instrText xml:space="preserve"> SEQ Figure \* ARABIC </w:instrText>
      </w:r>
      <w:r w:rsidR="00B51F53">
        <w:fldChar w:fldCharType="separate"/>
      </w:r>
      <w:r w:rsidR="00C64D74">
        <w:rPr>
          <w:noProof/>
        </w:rPr>
        <w:t>2</w:t>
      </w:r>
      <w:r w:rsidR="00B51F53">
        <w:rPr>
          <w:noProof/>
        </w:rPr>
        <w:fldChar w:fldCharType="end"/>
      </w:r>
      <w:bookmarkEnd w:id="55"/>
      <w:r>
        <w:t>: Diagram of the mixed ionic electronic conduction system present in SOFCs. The oxide ions conduct through the electrolyte via an oxygen partial pressure gradient (</w:t>
      </w:r>
      <m:oMath>
        <m:sSub>
          <m:sSubPr>
            <m:ctrlPr>
              <w:rPr>
                <w:rFonts w:ascii="Cambria Math" w:hAnsi="Cambria Math"/>
              </w:rPr>
            </m:ctrlPr>
          </m:sSubPr>
          <m:e>
            <m:sSubSup>
              <m:sSubSupPr>
                <m:ctrlPr>
                  <w:rPr>
                    <w:rFonts w:ascii="Cambria Math" w:hAnsi="Cambria Math"/>
                  </w:rPr>
                </m:ctrlPr>
              </m:sSubSupPr>
              <m:e>
                <m:r>
                  <w:rPr>
                    <w:rFonts w:ascii="Cambria Math" w:hAnsi="Cambria Math"/>
                  </w:rPr>
                  <m:t>p</m:t>
                </m:r>
              </m:e>
              <m:sub>
                <m:r>
                  <w:rPr>
                    <w:rFonts w:ascii="Cambria Math" w:hAnsi="Cambria Math"/>
                  </w:rPr>
                  <m:t>o</m:t>
                </m:r>
              </m:sub>
              <m:sup>
                <m:r>
                  <w:rPr>
                    <w:rFonts w:ascii="Cambria Math" w:hAnsi="Cambria Math"/>
                  </w:rPr>
                  <m:t>x</m:t>
                </m:r>
              </m:sup>
            </m:sSubSup>
          </m:e>
          <m:sub>
            <m:r>
              <w:rPr>
                <w:rFonts w:ascii="Cambria Math" w:hAnsi="Cambria Math"/>
              </w:rPr>
              <m:t>2</m:t>
            </m:r>
          </m:sub>
        </m:sSub>
      </m:oMath>
      <w:r>
        <w:rPr>
          <w:rFonts w:eastAsiaTheme="minorEastAsia"/>
        </w:rPr>
        <w:t xml:space="preserve">). The red denotes the movement of the electrons via an external circuit doing useful work. </w:t>
      </w:r>
      <m:oMath>
        <m:sSub>
          <m:sSubPr>
            <m:ctrlPr>
              <w:rPr>
                <w:rFonts w:ascii="Cambria Math" w:hAnsi="Cambria Math"/>
              </w:rPr>
            </m:ctrlPr>
          </m:sSubPr>
          <m:e>
            <m:sSubSup>
              <m:sSubSupPr>
                <m:ctrlPr>
                  <w:rPr>
                    <w:rFonts w:ascii="Cambria Math" w:hAnsi="Cambria Math"/>
                  </w:rPr>
                </m:ctrlPr>
              </m:sSubSupPr>
              <m:e>
                <m:r>
                  <w:rPr>
                    <w:rFonts w:ascii="Cambria Math" w:hAnsi="Cambria Math"/>
                  </w:rPr>
                  <m:t>µ</m:t>
                </m:r>
              </m:e>
              <m:sub>
                <m:r>
                  <w:rPr>
                    <w:rFonts w:ascii="Cambria Math" w:hAnsi="Cambria Math"/>
                  </w:rPr>
                  <m:t>o</m:t>
                </m:r>
              </m:sub>
              <m:sup>
                <m:r>
                  <w:rPr>
                    <w:rFonts w:ascii="Cambria Math" w:hAnsi="Cambria Math"/>
                  </w:rPr>
                  <m:t>x</m:t>
                </m:r>
              </m:sup>
            </m:sSubSup>
          </m:e>
          <m:sub>
            <m:r>
              <w:rPr>
                <w:rFonts w:ascii="Cambria Math" w:hAnsi="Cambria Math"/>
              </w:rPr>
              <m:t>2</m:t>
            </m:r>
          </m:sub>
        </m:sSub>
      </m:oMath>
      <w:r>
        <w:rPr>
          <w:rFonts w:eastAsiaTheme="minorEastAsia"/>
        </w:rPr>
        <w:t xml:space="preserve"> denotes the mobility of the oxygen vacancies, </w:t>
      </w:r>
      <m:oMath>
        <m:sSubSup>
          <m:sSubSupPr>
            <m:ctrlPr>
              <w:rPr>
                <w:rFonts w:ascii="Cambria Math" w:hAnsi="Cambria Math"/>
              </w:rPr>
            </m:ctrlPr>
          </m:sSubSupPr>
          <m:e>
            <m:r>
              <w:rPr>
                <w:rFonts w:ascii="Cambria Math" w:hAnsi="Cambria Math"/>
              </w:rPr>
              <m:t>V</m:t>
            </m:r>
          </m:e>
          <m:sub>
            <m:r>
              <w:rPr>
                <w:rFonts w:ascii="Cambria Math" w:hAnsi="Cambria Math"/>
              </w:rPr>
              <m:t>o</m:t>
            </m:r>
          </m:sub>
          <m:sup>
            <m:r>
              <w:rPr>
                <w:rFonts w:ascii="Cambria Math" w:hAnsi="Cambria Math"/>
              </w:rPr>
              <m:t>∙∙</m:t>
            </m:r>
          </m:sup>
        </m:sSubSup>
      </m:oMath>
      <w:r>
        <w:rPr>
          <w:rFonts w:eastAsiaTheme="minorEastAsia"/>
        </w:rPr>
        <w:t xml:space="preserve"> </w:t>
      </w:r>
      <w:r>
        <w:fldChar w:fldCharType="begin" w:fldLock="1"/>
      </w:r>
      <w:r w:rsidR="00D80A5D">
        <w:instrText>ADDIN CSL_CITATION {"citationItems":[{"id":"ITEM-1","itemData":{"DOI":"10.1111/j.1151-2916.1993.tb03645.x","ISBN":"00027820 (ISSN)","abstract":"A ceramic fuel cell in an all solid‐state energy conversion device that produces electricity by electrochemically combining fuel and oxidant gases across an ionic conducting oxide. Current ceramic fuel cells use an oxygen‐ion conductor or a proton conductor as the electrolyte and operate at high temperatures (&gt;600°C). Ceramic fuel cells, commonly referred to as solid‐oxide fuel cells (SOFCs), are presently under development for a variety of power generation applications. This paper reviews the science and technology of ceramic fuel cells and discusses the critical issues posed by the development of this type of fuel cell. The emphasis is given to the discussion of component materials (especially, ZrO2 electrolyte, nickel/ZrO2 cermet anode, LaMnO3 cathode, and LaCrO3 interconnect), gas reactions at the electrodes, stack designs, and processing techniques used in the fabrication of required ceramic structures. Copyright © 1993, Wiley Blackwell. All rights reserved","author":[{"dropping-particle":"","family":"Minh","given":"N Q","non-dropping-particle":"","parse-names":false,"suffix":""}],"container-title":"Journal of the American Ceramic Society","id":"ITEM-1","issue":"3","issued":{"date-parts":[["1993"]]},"language":"English","note":"Cited By :3099\nExport Date: 30 November 2016\nCorrespondence Address: Minh, N.Q.; AiResearch Los Angeles Division, Allied-Signal Aerospace Company, Torrance, California, 90504-6099, United States\nReferences: Grove, W.R., On Voltaic Series and the Combination of Gases by Platinum (1839) Philos. Mag., 14, pp. 127-130; Nernst, W., Uber Die Elektrolytische Leitung Fester Körper Bei Sehr Hohen Temperaturen (1899) Z. Elektrochem., 6, pp. 41-43; Baur, E., Preis, H., Uber Brennstoff‐Ketten Mit Festleitern (1937) Z. Elektrochem., 43, pp. 727-732; Minh, N.Q., High‐Temperature Fuel Cells. Part 2: The Solid Oxide Cell (1991) CHEMTECH, 21, pp. 120-126; (1981) Science and Technology of Zirconia, 3. , Edited by, A. H. Heuer, L. W. Hobbs, American Ceramic Society, Columbus, OH; (1984) Science and Technology of Zirconia II, 12. , Edited by, N. Claussen, M. Rühle, A. H. Heuer, American Ceramic Society, Columbus, OH; (1988) Science and Technology of Zirconia III, 24. , Edited by, S. Somiya, N. Yamamoto, H. Yanagida, American Ceramic Society, Westerville, OH; Stevens, R., (1986) An Introduction to Zirconia, , Magnesium Elektron, London, U.K; Etsell, T.H., Flengas, S.N., The Electrical Properties of Solid Oxide Electrolytes (1970) Chem. Rev., 70, pp. 339-376; Subbarao, E.C., Maiti, H.S., Solid Electrolytes with Oxygen Ion Conduction (1984) Solid State Ionics, 11, pp. 317-338; Patterson, J.W., Borgen, E.C., Rapp, R.A., Mixed Conduction in Zr0.85Ca0.15O1.85 and Th0.85Y0.15O1.85 Solid Electrolytes (1967) Journal of The Electrochemical Society, 114, pp. 752-758; Baumard, J.F., Abelard, P., , pp. 555-571. , “Defect Structure and Transport Properties of ZrO2‐Based Solid Electrolytes”; see Ref. 6, ppChoudhary, C.B., Maiti, H.S., Subbarao, E.C., Detect Structure and Transport Properties (1980) Solid Electrolytes and Their Applications, pp. 1-80. , Edited by, E. C. Subbarao, Plenum Press, New York; Badwal, S.P.S., Hughes, A.E., Modification of Cell Characteristics by Segregated Impurities (1991) Proceedings of the Second International Symposium on Solid Oxide Fuel Cells, pp. 445-454. , Edited by, F. Gross, P. Zegers, S. C. Singhal, O. Yamamoto, Commission of The European Communities, Luxembourg; Bauerle, J.E., Study of Solid Electrolyte Polarization by a Complex Admittance Method (1969) J. Phys. Chem. Solids, 30, pp. 2657-2670; Kleitz, M., Bernard, H., Fernandez, E., Schouler, E., , pp. 310-336. , “Impedance Spectroscopy and Electrical Resistance Measurements on Stabilized Zirconia”; see Ref. 5, ppVerkerk, M.J., Middelhuis, B.J., Burggraaf, A.J., Effect of Grain Boundaries on the Conductivity of High‐Purity ZrO2–Y2O3 Ceramics (1982) Solid State Ionics, 6, pp. 159-170; Butler, E.P., Slotwinski, R.K., Bonanos, N., Drennan, J., Steele, B.C.H., , pp. 572-584. , “Microstructural–Electrical Property Relationships in High‐Conductivity Zirconias”; see Ref. 6, ppBaukal, W., Solid Oxide Electrolyte with Time‐Dependent Conductivity (1972) From Electrocatalysis to Fuel Cells, pp. 247-254. , Edited by, G. Sandstede, University of Washington Press, Seattle, WA; Suzuki, Y., Shimada, A., Senda, S., Time‐Dependent Change in Electrical Resistivity of Polycrystalline YSZ and CSZ (1990) Solid State Ionics, 42, pp. 121-125; Badwal, S.P.S., Drennan, J., Yttria–Zirconia: Effect of Microstructure on Conductivity (1987) J. Mater. Sci., 22, pp. 3231-3239; Ciftcioglu, M., Mayo, M.J., (1990), “Processing of Nanocrystalline Ceramics”; presented at the Spring Meeting of the Materials Research Society, San Francisco, CA, April 16–21, 1990. Rept. No. DE90–015700, SAND‐90–1639C, CONF‐900466–78, National Technical Information Service, Alexandria, VAScott, C.E., Reed, J.S., Analysis of Cl‐ Ions Laundered from Submicron Zirconia Powders (1978) Am. Ceram. Soc. Bull., 57, pp. 741-743; Scott, C.E., Reed, J.S., Effect of Laundering and Milling on the Sintering Behavior of Stabilized ZrO2 Powders (1979) Am. Ceram. Soc. Bull., 58, pp. 587-590; Evans, A.G., The New High‐Toughness Ceramics (1989) Fracture Mechanics: Perspective and Directions, pp. 267-291. , (Twentieth Symposium), ASTM STP 1020. Edited by, R. P. Wei, R. P. Gangloff, American Society for Testing and Materials, Philadelphia, PA; Singh, J.P., Bosak, A.L., Dees, D.W., McPheeters, C.C., Improved Fracture Toughness of ZrO2 Electrolyte for Solid Oxide Fuel Cell (1988) 1988 Fuel Cell Seminar Abstracts, pp. 145-148. , (Long Beach, CA, Oct. 23–26, 1988)., Courtesy Associates, Washington, DC; Ishizaki, F., Yoshida, T., Sakurada, S., Effect of Alumina Addition on the Electrical Properties of Yttria‐Doped Zirconia (1989) Proceedings of the First International Symposium on Solid Oxide Fuel Cells, pp. 3-14. , Edited by, S. C. Singhal, The Electrochemical Society, Pennington, NJ; Hernandez, M.T., Jurado, J.R., Duran, P., , pp. 421-428. , “Effect of Al2O3, Additions on the Electrical Properties of ZrO2–Y2O3 and ZrO2–Y2O3–CeO2 Electrolytes”; see Ref. 14, ppYamamoto, O., Takeda, Y., Imanishi, N., Kawahara, T., Shen, G.Q., Mori, M., Abe, T., , pp. 437-444. , “Electrical and Mechanical Properties of Zirconia–Alumina Composite Electrolyte”; see Ref. 14, ppDuran, P., Jurado, J.R., Moure, C., Hernandez, M.T., Capel, F., , pp. 401-407. , “Improvement of the Mechanical Properties of Yttria‐Stabilized Zirconia Electrolyte”; see Ref. 14, ppWeppner, W., Tetragonal Zirconia for Solid Oxide Fuel Cells (1990) Proceedings of the International Symposium on Solid Oxide Fuel Cells, pp. 83-89. , Edited by, O. Yamamoto, M. Dokiya, H. Tagawa, Science House, Tokyo, Japan; Yoshida, T., Hoshina, T., Mukaizawa, I., Sakurada, S., Properties of Partially Stabilized Zirconia Fuel Cell (1989) J. Electrochem. Soc., 136, pp. 2604-2606; Yamamoto, O., Takeda, Y., Kanno, R., Kohno, K., Electrical Conductivity of Tetragonal Stabilized Zirconia (1990) J. Mater. Sci., 25, pp. 2805-2808; Sato, T., Shimada, M., Crystalline Phase Changes in Yttria‐Partially‐Stabilized Zirconia by Low‐Temperature Annealing (1984) J. Am. Ceram. Soc., 67 (10), pp. 212-213; Subbarao, E.C., Maiti, H.S., , pp. 731-747. , “Oxygen Sensors and Pumps”; see Ref. 7, ppVlasov, A.N., Perfiliev, M.V., Ageing of ZrO2‐Based Solid Electrolytes (1987) Solid State Ionics, 25, pp. 245-253; Takahashi, T., Iwahara, H., Nagai, Y., High Oxide Conduction in Sintered Bi2O3 Containing SrO, CaO, or La2O3 (1972) J. Appl. Electrochem., 2, pp. 97-104; Miyayama, M., Nishi, T., Yanagida, H., Oxygen Ionic Conduction in Y2O3‐Stabilized Bi2O3 and ZrO2 Composites (1987) J. Mater. Sci., 22, pp. 2624-2628; Verkerk, M.J., Keizer, K., Burggraaf, A.J., High Oxygen Ion Conduction in Sintered Oxides of Bi2O3–Er2O3 System (1980) J. Appl. Electrochem., 10, pp. 81-90; Takahashi, T., Esaka, T., Iwahara, H., Conduction of Bi2O3‐Based Oxide Ion Conductor Under Low Oxygen Pressure. II. Determination of the Partial Electronic Conductivity (1977) J. Appl. Electrochem., 7, pp. 303-308; Blumenthal, R.N., Brugner, F.S., Garnier, J.E., The Electrical Conductivity of CaO‐Doped Nonstoichiometric Cerium Oxide from 700° to 1500°C (1973) J. Electrochem. Soc., 120, pp. 1230-1237; Tuller, H.L., Nowick, A.S., Doped Ceria as a Solid Oxide Electrolyte (1975) J. Electrochem. Soc., 122, pp. 255-259; Swarr, T.E., Karavolis, S., Maricle, D.L., Enhanced Ceria—A Low‐Temperature SOFC Electrolyte (1990) Proceedings of the 25th Intersociety Energy Conversion Engineering Conference, 3, pp. 256-261. , American Institute of Chemical Engineers, New York; Yahiro, H., Baba, Y., Eguchi, K., Arai, H., High‐Temperature Fuel Cell with Ceria–Yttria Solid Electrolyte (1988) J. Electrochem. Soc., 135, pp. 2077-2080; Inoue, T., Setoguchi, T., Eguchi, K., Arai, H., Study of a Solid Oxide Fuel Cell with a Ceria‐Based Solid Electrolyte (1989) Solid State Ion'cs, 35, pp. 285-291; Virkar, A.V., Theoretical Analysis of Solid Oxide Fuel Cells with Two‐Layer Composite Electrolyte: Electrolyte Stability (1991) J. Electrochem. Soc., 138, pp. 1481-1487; Takahashi, T., Iwahara, H., Ionic Conduction in Perovskite‐Type Oxide Solid Solution and Its Application to Solid Electrolyte Fuel Cell (1971) Energy Convers., 11, pp. 105-111; Kilner, J.A., Barrow, P., Brook, R.J., Norgett, M.J., Electrolytes for the High‐Temperature Fuel Cell: Experimental and Theoretical Studies of the Perovskite LaAlO3 (1978) J. Power Sources, 3, pp. 67-80; Cook, R.L., MacDu'f, R.C., Sammells, A.F., Perovskite Solid Electrolytes for Intermediate‐Temperature Solid Oxide Fuel Cells (1990) J. Electrochem. Soc., 137, pp. 3309-3310; Sammells, A.F., Cook, R.L., Worrell, W.L., (1990), “Methane Conversion by Solid Electrolyte Membranes,” Rept. No. GR1‐90/0136, Gas Research Institute, Chicago, ILMurakami, S., Miyake, Y., Akiyama, Y., Ishida, N., Saito, T., Furukawa, N., , pp. 187-190. , “A Study on Composite Anode of Solid Oxide Fuel Cells”; see Ref. 31, ppDees, D.W., Claar, T.D., Easler, T.E., Fee, D.C., azek, F.C., Conductivity of Porous Ni/ZrO2‐Y2O3 Cermets (1987) Journal of The Electrochemical Society, 134, pp. 2141-2146; Ivers‐Tiffée, E., Wersing, W., Schießl, M., Greiner, H., Ceramic and Metallic Components for a Planar SOFC (1990) Berichte der Bunsengesellschaft für physikalische Chemie, 94, pp. 978-981; Majumdar, S., Claar, T., Flandermeyer, B., Stress and Fracture Behavior of Monolithic Fuel Cell Tapes (1986) J. Am. Ceram. Soc., 69, pp. 628-633; Easler, T., Flandermeyer, B.K., Claar, T.D., Busch, D.E., Fousek, R.J., Picciolo, J.J., Poeppel, R.B., Electrode Development for Monolithic Fuel Cells (1986) 1986 Fuel Cell Seminar Abstracts, pp. 72-75. , (Tucson, AZ, Oct. 26–29, 1986)., Courtesy Associates, Washington, DC; Markin, T.L., Bones, R.J., Dell, R.M., High‐Temperature Solid‐Electrolyte Fuel Cells (1976) Conference on Superionic Conductors, pp. 15-35. , Edited by, G. D. Mahan, W. L. Roth, Plenum Press, New York; Suzuki, M., Sasaki, H., Otoshi, S., Ippommatsu, M., , pp. 585-591. , “Development of Ru/ZrO2 SOFC Anode”; see Ref. 14, ppTakahashi, T., Iwahara, H., Suzuki, Y., Electrode Materials for High‐Temperature Solid Electrolyte Fuel Cells (1969) Proceedings of the Third International Symposium on Fuel Cells, pp. 113-119. , Presses Académiques Européennes, Brussels, Belgium; Steele, B.C.H., Middleton, P.H., Rudkin, R.A., Material Science Aspects of SOFC Technology with Special Reference to Anode Development (1990) Solid State Ionics, 40-41, pp. 388-393; Mogensen, M., , pp. 577-584. , “Properties of CeO2‐Based SOFC Anode Materials”; see Ref. 14, ppSwider, K.E., Worrell, W.L., , pp. 593-601. , “Synthesis and Characterization of Yuria. Stabilized Zirconia‐Titania Thin‐Film Electrodes”; see Ref. 14, ppLiou, S.S., Worrell, W.L., , pp. 81-89. , “Mixed‐Conducting Oxide Electrodes for Solid Oxide Fuel Cells”; see Ref. 27, ppLiou, S.S., Worrell, W.L., Electrical Properties of Novel Mixed‐Conducting Oxides (1989) Appl. Phys. A, 49, pp. 25-31; Tedmon, C.S., Jr., Spacil, H.S., Mitoff, S.P., Cathode Materials and Performance in High‐Temperature Zirconia Electrolyte Fuel Cells (1969) Journal of The Electrochemical Society, 116, pp. 1170-1175; Tofield, B.C., Scott, W.R., Oxidative Nonstoichiometry in Perovskites, an Experimental Survey: The Defect Structure of an Oxidized Lanthanum Manganite by Powder Neutron Diffraction (1974) J. Solid State Chem., 10, pp. 183-194; Kuo, J.H., Anderson, H.U., Sparlin, D.M., Oxidation‐Reduction Behavior of Undoped and Sr‐Doped LaMnO3: Defect Structure, Electrical Conductivity, and Thermoelectric Power (1990) J. Solid State Chem., 87, pp. 55-63; Rao, Wanklyn, B.M., Rao, C.N.R., Electrical Transport in Rare‐Earth Ortho‐Chromites, ‐Manganites, and ‐Ferrites (1971) J. Phys. Chem. Solids, 32, pp. 345-358; Kamata, K., Nakajima, T., Hayashi, T., Nakamura, T., Nonstoichiometric Behavior and Phase Stability of Rare‐Earth Manganites at 1200°C: (1). LaMnO3 (1978) Mater. Res. Bull., 13, pp. 49-54; Mizusaki, J., Tagawa, H., Naraya, K., Sasamoto, T., Nonstoichiometry and Thermochemical Stability of the Perovskite‐Type La1‐xSrxMnO3‐δ (1991) Solid State Ionics, 49, pp. 111-118; Kuo, J.H., Anderson, H.U., Sparlin, D.M., Oxidation‐Reduction Behavior of Undoped and Sr‐Doped LaMnO3 Nonstoichiometry and Defect Structure (1989) J. Solid State Chem., 83, pp. 52-60; Nakamura, T., Petzow, G., Gauckler, L.J., Stability of the Perovskite Phase LaBO3 (B = V, Cr, Mn, Fe, Co, Ni) in Reducing Atmospheres I. Experimental Results (1979) Mater. Res. Bull., 14, pp. 649-659; Sreedharan, O.M., Pankajavalli, R., Gnanamoorthy, J.B., Standard Gibbs' Energy of Formation of LaMnO3 from EMF Measurements (1983) High Temp. Sci., 16, pp. 251-256; Kamegashira, N., Miyazaki, Y., Hiyoshi, Y., Limiting Oxygen Partial Pressure of LaMnO3 Phase (1984) Mater. Lett., 2, pp. 194-195; Sreedharan, O.M., Chandrasekharaiah, M.S., Standard Gibbs' Energy of Formation of LaFeO3 and Comparison of Stability of LaMO3 (M = Mn, Fe, Co, Ni) Compounds (1986) J. Mater. Sci., 21, pp. 2581-2584; Ruka, R., (1983), pp. 295-302. , “Some Non‐Electrochemical Requirements for Air Electrode Materials of High‐Temperature Solid Electrolyte Fuel Cells”; pp., in Proceedings of the Conference on High–Temperature Solid Oxide Electrolytes, Vol. I–Anion Conductors (Brookhaven National Laboratory, Upton, NY, Aug. 16–17, 1983). Rept. No. BNL 51728–Vol. I, Brookhaven National Laboratory, Upton, NYJonker, G.H., Semiconducting Properties of Mixed Crystals with Perovskite Structure (1954) Physica (Amsterdam), 20, pp. 1118-1122; Tanaka, J., Takahashi, K., Yukino, K., Horiuchi, S., Electrical Conduction of (La0.8Ca0.2)MnO3 with Homogeneous Ionic Distribution (1983) Phys. Status Solidi, 80, pp. 621-630; Fandel, M., Höschele, J., Schäfer, W., Schmidberger, R., Properties of Ca‐Doped LaMnO3 (1989) Properties of Ceramics, 2, p. 2. , 236–2.240 in Euro‐ceramics, Vol,. Edited by, G. de With, R. A. Lerpstra, R. Metselaar, Elsevier Applied Science, London, U.K; Pavlov, V.I., Bogush, A.K., Bychkov, G.L., Influence of Impurity Centers on the Electrical Conductivity of Manganites with a Perovskite Structure (1984) Inorg. Mater. (Engl. Transl.), 20, pp. 752-754; Wold, A., Arnott, R.J., Goodenough, J.B., Some Magnetic and Crystallographic Properties of the System LaMn1‐xNixO3‐λ (1958) J. Appl. Phys., 29, pp. 387-389; Lyubkina, I.Ya., Kononyuk, I.F., Preparation and Electric Properties of LaMn1‐xNixO3 (O","page":"563-588","title":"Ceramic Fuel Cells","type":"article-journal","volume":"76"},"uris":["http://www.mendeley.com/documents/?uuid=7c17b8de-f21a-48a1-8286-c38ae0ab747c"]},{"id":"ITEM-2","itemData":{"DOI":"10.1016/j.cocis.2009.04.006","ISBN":"1359-0294","ISSN":"13590294","abstract":"Solid oxide fuel cells (SOFC) have much promise as efficient devices for the direct conversion of the energy stored in chemical fuels into electricity. The development of highly robust SOFC that can operate on a range of fuels, however, requires improvements in the electrodes, especially the anode, where nanoscale engineering of the structure is required in order to maximize the number of sites where the electrochemical reactions take place. In this article we review the approaches that are currently being used to improve anode performance and microstructure with a focus on new materials and synthesis techniques. © 2009 Elsevier Ltd. All rights reserved.","author":[{"dropping-particle":"","family":"Gorte","given":"R. J.","non-dropping-particle":"","parse-names":false,"suffix":""},{"dropping-particle":"","family":"Vohs","given":"J. M.","non-dropping-particle":"","parse-names":false,"suffix":""}],"container-title":"Current Opinion in Colloid and Interface Science","id":"ITEM-2","issue":"4","issued":{"date-parts":[["2009"]]},"page":"236-244","title":"Nanostructured anodes for solid oxide fuel cells","type":"article-journal","volume":"14"},"uris":["http://www.mendeley.com/documents/?uuid=b9a8daad-d683-45ae-80ee-8663226563a5"]},{"id":"ITEM-3","itemData":{"ISBN":"00-442-31926-6","author":[{"dropping-particle":"","family":"Appleby","given":"A J","non-dropping-particle":"","parse-names":false,"suffix":""},{"dropping-particle":"","family":"Foulkes","given":"F R","non-dropping-particle":"","parse-names":false,"suffix":""}],"id":"ITEM-3","issued":{"date-parts":[["1988"]]},"publisher":"Van Nostrand Reinhold","title":"Fuel Cell Handbook","type":"book"},"uris":["http://www.mendeley.com/documents/?uuid=61a75d6c-0322-4da6-91bc-80ede657b69e"]},{"id":"ITEM-4","itemData":{"ISBN":"978-1-62618-097-0","author":[{"dropping-particle":"","family":"Ivanova","given":"Mariya","non-dropping-particle":"","parse-names":false,"suffix":""},{"dropping-particle":"","family":"Ricote","given":"S","non-dropping-particle":"","parse-names":false,"suffix":""},{"dropping-particle":"","family":"Baumann","given":"S","non-dropping-particle":"","parse-names":false,"suffix":""},{"dropping-particle":"","family":"Meulenberg","given":"W A","non-dropping-particle":"","parse-names":false,"suffix":""},{"dropping-particle":"","family":"Tietz","given":"F","non-dropping-particle":"","parse-names":false,"suffix":""},{"dropping-particle":"","family":"Serra","given":"Jose","non-dropping-particle":"","parse-names":false,"suffix":""},{"dropping-particle":"","family":"Richter","given":"Hannes","non-dropping-particle":"","parse-names":false,"suffix":""}],"container-title":"Doping: Properties, Mechanisms and Applications","id":"ITEM-4","issued":{"date-parts":[["2013","5","23"]]},"page":"221-276","title":"Ceramic Materials For Energy and Environmental Applications: Functionalizing of Properties by Tailored Compositions","type":"chapter"},"uris":["http://www.mendeley.com/documents/?uuid=b88d82d8-01dc-49d2-a511-e7362dd67e0e"]}],"mendeley":{"formattedCitation":"[1], [17], [64], [127]","plainTextFormattedCitation":"[1], [17], [64], [127]","previouslyFormattedCitation":"[1], [17], [64], [127]"},"properties":{"noteIndex":0},"schema":"https://github.com/citation-style-language/schema/raw/master/csl-citation.json"}</w:instrText>
      </w:r>
      <w:r>
        <w:fldChar w:fldCharType="separate"/>
      </w:r>
      <w:r w:rsidR="006C586A" w:rsidRPr="006C586A">
        <w:rPr>
          <w:i w:val="0"/>
          <w:noProof/>
        </w:rPr>
        <w:t>[1], [17], [64], [127]</w:t>
      </w:r>
      <w:r>
        <w:fldChar w:fldCharType="end"/>
      </w:r>
      <w:r>
        <w:t>.</w:t>
      </w:r>
      <w:bookmarkEnd w:id="56"/>
    </w:p>
    <w:p w14:paraId="01607B80" w14:textId="77777777" w:rsidR="00007F6C" w:rsidRPr="002B6C9E" w:rsidRDefault="00007F6C" w:rsidP="004B726A">
      <w:pPr>
        <w:pStyle w:val="Heading3"/>
      </w:pPr>
      <w:bookmarkStart w:id="57" w:name="_Toc69129364"/>
      <w:r>
        <w:t>2.2.1</w:t>
      </w:r>
      <w:r>
        <w:tab/>
        <w:t>Powder methods</w:t>
      </w:r>
      <w:bookmarkEnd w:id="57"/>
    </w:p>
    <w:p w14:paraId="6D6E873C" w14:textId="3C5960E2" w:rsidR="00007F6C" w:rsidRDefault="00007F6C" w:rsidP="00007F6C">
      <w:pPr>
        <w:jc w:val="both"/>
      </w:pPr>
      <w:r>
        <w:t xml:space="preserve">Conventional SOFC electrodes are produced by ball milling and co-sintering. </w:t>
      </w:r>
      <w:r w:rsidRPr="002B6C9E">
        <w:t>The</w:t>
      </w:r>
      <w:r>
        <w:t xml:space="preserve"> constituent powders are mixed with or without a pore former. In Ni-YSZ</w:t>
      </w:r>
      <w:r w:rsidRPr="002B6C9E">
        <w:t xml:space="preserve"> production</w:t>
      </w:r>
      <w:r>
        <w:t xml:space="preserve"> this is usually a combination of nickel oxide and yttria-stabilised zirconia </w:t>
      </w:r>
      <w:r w:rsidRPr="002B6C9E">
        <w:t>of a Ni/Y</w:t>
      </w:r>
      <w:r w:rsidRPr="002B6C9E">
        <w:rPr>
          <w:vertAlign w:val="subscript"/>
        </w:rPr>
        <w:t>2</w:t>
      </w:r>
      <w:r w:rsidRPr="002B6C9E">
        <w:t>O</w:t>
      </w:r>
      <w:r w:rsidRPr="002B6C9E">
        <w:rPr>
          <w:vertAlign w:val="subscript"/>
        </w:rPr>
        <w:t>3</w:t>
      </w:r>
      <w:r w:rsidRPr="002B6C9E">
        <w:t>-ZrO</w:t>
      </w:r>
      <w:r w:rsidRPr="002B6C9E">
        <w:rPr>
          <w:vertAlign w:val="subscript"/>
        </w:rPr>
        <w:t>2</w:t>
      </w:r>
      <w:r w:rsidRPr="002B6C9E">
        <w:t xml:space="preserve"> cermet anodes revolve around either the mixing of two constituent powders or combining these powders with pore formers. The </w:t>
      </w:r>
      <w:proofErr w:type="spellStart"/>
      <w:r w:rsidRPr="002B6C9E">
        <w:t>NiO</w:t>
      </w:r>
      <w:proofErr w:type="spellEnd"/>
      <w:r w:rsidRPr="002B6C9E">
        <w:t xml:space="preserve"> granules are reduced to Ni catalyst particles on surface of the Y</w:t>
      </w:r>
      <w:r w:rsidRPr="002B6C9E">
        <w:rPr>
          <w:vertAlign w:val="subscript"/>
        </w:rPr>
        <w:t>2</w:t>
      </w:r>
      <w:r w:rsidRPr="002B6C9E">
        <w:t>O</w:t>
      </w:r>
      <w:r w:rsidRPr="002B6C9E">
        <w:rPr>
          <w:vertAlign w:val="subscript"/>
        </w:rPr>
        <w:t>3</w:t>
      </w:r>
      <w:r w:rsidRPr="002B6C9E">
        <w:t>-ZrO</w:t>
      </w:r>
      <w:r w:rsidRPr="002B6C9E">
        <w:rPr>
          <w:vertAlign w:val="subscript"/>
        </w:rPr>
        <w:t>2</w:t>
      </w:r>
      <w:r w:rsidRPr="002B6C9E">
        <w:t xml:space="preserve">. </w:t>
      </w:r>
      <w:r>
        <w:t>This</w:t>
      </w:r>
      <w:r w:rsidRPr="002B6C9E">
        <w:t xml:space="preserve"> process is </w:t>
      </w:r>
      <w:r>
        <w:t>performed</w:t>
      </w:r>
      <w:r w:rsidRPr="002B6C9E">
        <w:t xml:space="preserve"> at 1000</w:t>
      </w:r>
      <w:r w:rsidR="009E3262">
        <w:t xml:space="preserve"> </w:t>
      </w:r>
      <w:r w:rsidRPr="002B6C9E">
        <w:rPr>
          <w:rFonts w:cstheme="minorHAnsi"/>
        </w:rPr>
        <w:t>°</w:t>
      </w:r>
      <w:r w:rsidRPr="002B6C9E">
        <w:t>C</w:t>
      </w:r>
      <w:r>
        <w:t xml:space="preserve"> after</w:t>
      </w:r>
      <w:r w:rsidRPr="002B6C9E">
        <w:t xml:space="preserve"> earlier </w:t>
      </w:r>
      <w:r>
        <w:t>co-</w:t>
      </w:r>
      <w:r w:rsidRPr="002B6C9E">
        <w:t xml:space="preserve">sintering steps </w:t>
      </w:r>
      <w:r>
        <w:t>(</w:t>
      </w:r>
      <w:r w:rsidRPr="002B6C9E">
        <w:t>at temperatures up to 1400</w:t>
      </w:r>
      <w:r w:rsidR="009E3262">
        <w:t xml:space="preserve"> </w:t>
      </w:r>
      <w:r w:rsidRPr="002B6C9E">
        <w:rPr>
          <w:rFonts w:cstheme="minorHAnsi"/>
        </w:rPr>
        <w:t>°</w:t>
      </w:r>
      <w:r w:rsidRPr="002B6C9E">
        <w:t>C</w:t>
      </w:r>
      <w:r>
        <w:t xml:space="preserve">) </w:t>
      </w:r>
      <w:r>
        <w:fldChar w:fldCharType="begin" w:fldLock="1"/>
      </w:r>
      <w:r>
        <w:instrText>ADDIN CSL_CITATION {"citationItems":[{"id":"ITEM-1","itemData":{"DOI":"10.1038/35104620","ISBN":"0028-0836 (Print)\r0028-0836 (Linking)","PMID":"11713541","abstract":"Fuel cells convert chemical energy directly into electrical energy with high efficiency and low emission of pollutants. However, before fuel-cell technology can gain a significant share of the electrical power market, important issues have to be addressed. These issues include optimal choice of fuel, and the development of alternative materials in the fuel-cell stack. Present fuel-cell prototypes often use materials selected more than 25 years ago. Commercialization aspects, including cost and durability, have revealed inadequacies in some of these materials. Here we summarize recent progress in the search and development of innovative alternative materials.","author":[{"dropping-particle":"","family":"Steele","given":"B C","non-dropping-particle":"","parse-names":false,"suffix":""},{"dropping-particle":"","family":"Heinzel","given":"A","non-dropping-particle":"","parse-names":false,"suffix":""}],"container-title":"Nature","id":"ITEM-1","issue":"6861","issued":{"date-parts":[["2001"]]},"note":"Steele, B C\nHeinzel, A\nENG\nEngland\n2001/11/20 10:00\nNature. 2001 Nov 15;414(6861):345-52.","page":"345-352","title":"Materials for fuel-cell technologies","type":"article-journal","volume":"414"},"uris":["http://www.mendeley.com/documents/?uuid=e4e6330b-2c51-4ba3-9733-963ce3c842fc"]},{"id":"ITEM-2","itemData":{"DOI":"10.1111/j.1151-2916.1993.tb03645.x","ISBN":"00027820 (ISSN)","abstract":"A ceramic fuel cell in an all solid‐state energy conversion device that produces electricity by electrochemically combining fuel and oxidant gases across an ionic conducting oxide. Current ceramic fuel cells use an oxygen‐ion conductor or a proton conductor as the electrolyte and operate at high temperatures (&gt;600°C). Ceramic fuel cells, commonly referred to as solid‐oxide fuel cells (SOFCs), are presently under development for a variety of power generation applications. This paper reviews the science and technology of ceramic fuel cells and discusses the critical issues posed by the development of this type of fuel cell. The emphasis is given to the discussion of component materials (especially, ZrO2 electrolyte, nickel/ZrO2 cermet anode, LaMnO3 cathode, and LaCrO3 interconnect), gas reactions at the electrodes, stack designs, and processing techniques used in the fabrication of required ceramic structures. Copyright © 1993, Wiley Blackwell. All rights reserved","author":[{"dropping-particle":"","family":"Minh","given":"N Q","non-dropping-particle":"","parse-names":false,"suffix":""}],"container-title":"Journal of the American Ceramic Society","id":"ITEM-2","issue":"3","issued":{"date-parts":[["1993"]]},"language":"English","note":"Cited By :3099\nExport Date: 30 November 2016\nCorrespondence Address: Minh, N.Q.; AiResearch Los Angeles Division, Allied-Signal Aerospace Company, Torrance, California, 90504-6099, United States\nReferences: Grove, W.R., On Voltaic Series and the Combination of Gases by Platinum (1839) Philos. Mag., 14, pp. 127-130; Nernst, W., Uber Die Elektrolytische Leitung Fester Körper Bei Sehr Hohen Temperaturen (1899) Z. Elektrochem., 6, pp. 41-43; Baur, E., Preis, H., Uber Brennstoff‐Ketten Mit Festleitern (1937) Z. Elektrochem., 43, pp. 727-732; Minh, N.Q., High‐Temperature Fuel Cells. Part 2: The Solid Oxide Cell (1991) CHEMTECH, 21, pp. 120-126; (1981) Science and Technology of Zirconia, 3. , Edited by, A. H. Heuer, L. W. Hobbs, American Ceramic Society, Columbus, OH; (1984) Science and Technology of Zirconia II, 12. , Edited by, N. Claussen, M. Rühle, A. H. Heuer, American Ceramic Society, Columbus, OH; (1988) Science and Technology of Zirconia III, 24. , Edited by, S. Somiya, N. Yamamoto, H. Yanagida, American Ceramic Society, Westerville, OH; Stevens, R., (1986) An Introduction to Zirconia, , Magnesium Elektron, London, U.K; Etsell, T.H., Flengas, S.N., The Electrical Properties of Solid Oxide Electrolytes (1970) Chem. Rev., 70, pp. 339-376; Subbarao, E.C., Maiti, H.S., Solid Electrolytes with Oxygen Ion Conduction (1984) Solid State Ionics, 11, pp. 317-338; Patterson, J.W., Borgen, E.C., Rapp, R.A., Mixed Conduction in Zr0.85Ca0.15O1.85 and Th0.85Y0.15O1.85 Solid Electrolytes (1967) Journal of The Electrochemical Society, 114, pp. 752-758; Baumard, J.F., Abelard, P., , pp. 555-571. , “Defect Structure and Transport Properties of ZrO2‐Based Solid Electrolytes”; see Ref. 6, ppChoudhary, C.B., Maiti, H.S., Subbarao, E.C., Detect Structure and Transport Properties (1980) Solid Electrolytes and Their Applications, pp. 1-80. , Edited by, E. C. Subbarao, Plenum Press, New York; Badwal, S.P.S., Hughes, A.E., Modification of Cell Characteristics by Segregated Impurities (1991) Proceedings of the Second International Symposium on Solid Oxide Fuel Cells, pp. 445-454. , Edited by, F. Gross, P. Zegers, S. C. Singhal, O. Yamamoto, Commission of The European Communities, Luxembourg; Bauerle, J.E., Study of Solid Electrolyte Polarization by a Complex Admittance Method (1969) J. Phys. Chem. Solids, 30, pp. 2657-2670; Kleitz, M., Bernard, H., Fernandez, E., Schouler, E., , pp. 310-336. , “Impedance Spectroscopy and Electrical Resistance Measurements on Stabilized Zirconia”; see Ref. 5, ppVerkerk, M.J., Middelhuis, B.J., Burggraaf, A.J., Effect of Grain Boundaries on the Conductivity of High‐Purity ZrO2–Y2O3 Ceramics (1982) Solid State Ionics, 6, pp. 159-170; Butler, E.P., Slotwinski, R.K., Bonanos, N., Drennan, J., Steele, B.C.H., , pp. 572-584. , “Microstructural–Electrical Property Relationships in High‐Conductivity Zirconias”; see Ref. 6, ppBaukal, W., Solid Oxide Electrolyte with Time‐Dependent Conductivity (1972) From Electrocatalysis to Fuel Cells, pp. 247-254. , Edited by, G. Sandstede, University of Washington Press, Seattle, WA; Suzuki, Y., Shimada, A., Senda, S., Time‐Dependent Change in Electrical Resistivity of Polycrystalline YSZ and CSZ (1990) Solid State Ionics, 42, pp. 121-125; Badwal, S.P.S., Drennan, J., Yttria–Zirconia: Effect of Microstructure on Conductivity (1987) J. Mater. Sci., 22, pp. 3231-3239; Ciftcioglu, M., Mayo, M.J., (1990), “Processing of Nanocrystalline Ceramics”; presented at the Spring Meeting of the Materials Research Society, San Francisco, CA, April 16–21, 1990. Rept. No. DE90–015700, SAND‐90–1639C, CONF‐900466–78, National Technical Information Service, Alexandria, VAScott, C.E., Reed, J.S., Analysis of Cl‐ Ions Laundered from Submicron Zirconia Powders (1978) Am. Ceram. Soc. Bull., 57, pp. 741-743; Scott, C.E., Reed, J.S., Effect of Laundering and Milling on the Sintering Behavior of Stabilized ZrO2 Powders (1979) Am. Ceram. Soc. Bull., 58, pp. 587-590; Evans, A.G., The New High‐Toughness Ceramics (1989) Fracture Mechanics: Perspective and Directions, pp. 267-291. , (Twentieth Symposium), ASTM STP 1020. Edited by, R. P. Wei, R. P. Gangloff, American Society for Testing and Materials, Philadelphia, PA; Singh, J.P., Bosak, A.L., Dees, D.W., McPheeters, C.C., Improved Fracture Toughness of ZrO2 Electrolyte for Solid Oxide Fuel Cell (1988) 1988 Fuel Cell Seminar Abstracts, pp. 145-148. , (Long Beach, CA, Oct. 23–26, 1988)., Courtesy Associates, Washington, DC; Ishizaki, F., Yoshida, T., Sakurada, S., Effect of Alumina Addition on the Electrical Properties of Yttria‐Doped Zirconia (1989) Proceedings of the First International Symposium on Solid Oxide Fuel Cells, pp. 3-14. , Edited by, S. C. Singhal, The Electrochemical Society, Pennington, NJ; Hernandez, M.T., Jurado, J.R., Duran, P., , pp. 421-428. , “Effect of Al2O3, Additions on the Electrical Properties of ZrO2–Y2O3 and ZrO2–Y2O3–CeO2 Electrolytes”; see Ref. 14, ppYamamoto, O., Takeda, Y., Imanishi, N., Kawahara, T., Shen, G.Q., Mori, M., Abe, T., , pp. 437-444. , “Electrical and Mechanical Properties of Zirconia–Alumina Composite Electrolyte”; see Ref. 14, ppDuran, P., Jurado, J.R., Moure, C., Hernandez, M.T., Capel, F., , pp. 401-407. , “Improvement of the Mechanical Properties of Yttria‐Stabilized Zirconia Electrolyte”; see Ref. 14, ppWeppner, W., Tetragonal Zirconia for Solid Oxide Fuel Cells (1990) Proceedings of the International Symposium on Solid Oxide Fuel Cells, pp. 83-89. , Edited by, O. Yamamoto, M. Dokiya, H. Tagawa, Science House, Tokyo, Japan; Yoshida, T., Hoshina, T., Mukaizawa, I., Sakurada, S., Properties of Partially Stabilized Zirconia Fuel Cell (1989) J. Electrochem. Soc., 136, pp. 2604-2606; Yamamoto, O., Takeda, Y., Kanno, R., Kohno, K., Electrical Conductivity of Tetragonal Stabilized Zirconia (1990) J. Mater. Sci., 25, pp. 2805-2808; Sato, T., Shimada, M., Crystalline Phase Changes in Yttria‐Partially‐Stabilized Zirconia by Low‐Temperature Annealing (1984) J. Am. Ceram. Soc., 67 (10), pp. 212-213; Subbarao, E.C., Maiti, H.S., , pp. 731-747. , “Oxygen Sensors and Pumps”; see Ref. 7, ppVlasov, A.N., Perfiliev, M.V., Ageing of ZrO2‐Based Solid Electrolytes (1987) Solid State Ionics, 25, pp. 245-253; Takahashi, T., Iwahara, H., Nagai, Y., High Oxide Conduction in Sintered Bi2O3 Containing SrO, CaO, or La2O3 (1972) J. Appl. Electrochem., 2, pp. 97-104; Miyayama, M., Nishi, T., Yanagida, H., Oxygen Ionic Conduction in Y2O3‐Stabilized Bi2O3 and ZrO2 Composites (1987) J. Mater. Sci., 22, pp. 2624-2628; Verkerk, M.J., Keizer, K., Burggraaf, A.J., High Oxygen Ion Conduction in Sintered Oxides of Bi2O3–Er2O3 System (1980) J. Appl. Electrochem., 10, pp. 81-90; Takahashi, T., Esaka, T., Iwahara, H., Conduction of Bi2O3‐Based Oxide Ion Conductor Under Low Oxygen Pressure. II. Determination of the Partial Electronic Conductivity (1977) J. Appl. Electrochem., 7, pp. 303-308; Blumenthal, R.N., Brugner, F.S., Garnier, J.E., The Electrical Conductivity of CaO‐Doped Nonstoichiometric Cerium Oxide from 700° to 1500°C (1973) J. Electrochem. Soc., 120, pp. 1230-1237; Tuller, H.L., Nowick, A.S., Doped Ceria as a Solid Oxide Electrolyte (1975) J. Electrochem. Soc., 122, pp. 255-259; Swarr, T.E., Karavolis, S., Maricle, D.L., Enhanced Ceria—A Low‐Temperature SOFC Electrolyte (1990) Proceedings of the 25th Intersociety Energy Conversion Engineering Conference, 3, pp. 256-261. , American Institute of Chemical Engineers, New York; Yahiro, H., Baba, Y., Eguchi, K., Arai, H., High‐Temperature Fuel Cell with Ceria–Yttria Solid Electrolyte (1988) J. Electrochem. Soc., 135, pp. 2077-2080; Inoue, T., Setoguchi, T., Eguchi, K., Arai, H., Study of a Solid Oxide Fuel Cell with a Ceria‐Based Solid Electrolyte (1989) Solid State Ion'cs, 35, pp. 285-291; Virkar, A.V., Theoretical Analysis of Solid Oxide Fuel Cells with Two‐Layer Composite Electrolyte: Electrolyte Stability (1991) J. Electrochem. Soc., 138, pp. 1481-1487; Takahashi, T., Iwahara, H., Ionic Conduction in Perovskite‐Type Oxide Solid Solution and Its Application to Solid Electrolyte Fuel Cell (1971) Energy Convers., 11, pp. 105-111; Kilner, J.A., Barrow, P., Brook, R.J., Norgett, M.J., Electrolytes for the High‐Temperature Fuel Cell: Experimental and Theoretical Studies of the Perovskite LaAlO3 (1978) J. Power Sources, 3, pp. 67-80; Cook, R.L., MacDu'f, R.C., Sammells, A.F., Perovskite Solid Electrolytes for Intermediate‐Temperature Solid Oxide Fuel Cells (1990) J. Electrochem. Soc., 137, pp. 3309-3310; Sammells, A.F., Cook, R.L., Worrell, W.L., (1990), “Methane Conversion by Solid Electrolyte Membranes,” Rept. No. GR1‐90/0136, Gas Research Institute, Chicago, ILMurakami, S., Miyake, Y., Akiyama, Y., Ishida, N., Saito, T., Furukawa, N., , pp. 187-190. , “A Study on Composite Anode of Solid Oxide Fuel Cells”; see Ref. 31, ppDees, D.W., Claar, T.D., Easler, T.E., Fee, D.C., azek, F.C., Conductivity of Porous Ni/ZrO2‐Y2O3 Cermets (1987) Journal of The Electrochemical Society, 134, pp. 2141-2146; Ivers‐Tiffée, E., Wersing, W., Schießl, M., Greiner, H., Ceramic and Metallic Components for a Planar SOFC (1990) Berichte der Bunsengesellschaft für physikalische Chemie, 94, pp. 978-981; Majumdar, S., Claar, T., Flandermeyer, B., Stress and Fracture Behavior of Monolithic Fuel Cell Tapes (1986) J. Am. Ceram. Soc., 69, pp. 628-633; Easler, T., Flandermeyer, B.K., Claar, T.D., Busch, D.E., Fousek, R.J., Picciolo, J.J., Poeppel, R.B., Electrode Development for Monolithic Fuel Cells (1986) 1986 Fuel Cell Seminar Abstracts, pp. 72-75. , (Tucson, AZ, Oct. 26–29, 1986)., Courtesy Associates, Washington, DC; Markin, T.L., Bones, R.J., Dell, R.M., High‐Temperature Solid‐Electrolyte Fuel Cells (1976) Conference on Superionic Conductors, pp. 15-35. , Edited by, G. D. Mahan, W. L. Roth, Plenum Press, New York; Suzuki, M., Sasaki, H., Otoshi, S., Ippommatsu, M., , pp. 585-591. , “Development of Ru/ZrO2 SOFC Anode”; see Ref. 14, ppTakahashi, T., Iwahara, H., Suzuki, Y., Electrode Materials for High‐Temperature Solid Electrolyte Fuel Cells (1969) Proceedings of the Third International Symposium on Fuel Cells, pp. 113-119. , Presses Académiques Européennes, Brussels, Belgium; Steele, B.C.H., Middleton, P.H., Rudkin, R.A., Material Science Aspects of SOFC Technology with Special Reference to Anode Development (1990) Solid State Ionics, 40-41, pp. 388-393; Mogensen, M., , pp. 577-584. , “Properties of CeO2‐Based SOFC Anode Materials”; see Ref. 14, ppSwider, K.E., Worrell, W.L., , pp. 593-601. , “Synthesis and Characterization of Yuria. Stabilized Zirconia‐Titania Thin‐Film Electrodes”; see Ref. 14, ppLiou, S.S., Worrell, W.L., , pp. 81-89. , “Mixed‐Conducting Oxide Electrodes for Solid Oxide Fuel Cells”; see Ref. 27, ppLiou, S.S., Worrell, W.L., Electrical Properties of Novel Mixed‐Conducting Oxides (1989) Appl. Phys. A, 49, pp. 25-31; Tedmon, C.S., Jr., Spacil, H.S., Mitoff, S.P., Cathode Materials and Performance in High‐Temperature Zirconia Electrolyte Fuel Cells (1969) Journal of The Electrochemical Society, 116, pp. 1170-1175; Tofield, B.C., Scott, W.R., Oxidative Nonstoichiometry in Perovskites, an Experimental Survey: The Defect Structure of an Oxidized Lanthanum Manganite by Powder Neutron Diffraction (1974) J. Solid State Chem., 10, pp. 183-194; Kuo, J.H., Anderson, H.U., Sparlin, D.M., Oxidation‐Reduction Behavior of Undoped and Sr‐Doped LaMnO3: Defect Structure, Electrical Conductivity, and Thermoelectric Power (1990) J. Solid State Chem., 87, pp. 55-63; Rao, Wanklyn, B.M., Rao, C.N.R., Electrical Transport in Rare‐Earth Ortho‐Chromites, ‐Manganites, and ‐Ferrites (1971) J. Phys. Chem. Solids, 32, pp. 345-358; Kamata, K., Nakajima, T., Hayashi, T., Nakamura, T., Nonstoichiometric Behavior and Phase Stability of Rare‐Earth Manganites at 1200°C: (1). LaMnO3 (1978) Mater. Res. Bull., 13, pp. 49-54; Mizusaki, J., Tagawa, H., Naraya, K., Sasamoto, T., Nonstoichiometry and Thermochemical Stability of the Perovskite‐Type La1‐xSrxMnO3‐δ (1991) Solid State Ionics, 49, pp. 111-118; Kuo, J.H., Anderson, H.U., Sparlin, D.M., Oxidation‐Reduction Behavior of Undoped and Sr‐Doped LaMnO3 Nonstoichiometry and Defect Structure (1989) J. Solid State Chem., 83, pp. 52-60; Nakamura, T., Petzow, G., Gauckler, L.J., Stability of the Perovskite Phase LaBO3 (B = V, Cr, Mn, Fe, Co, Ni) in Reducing Atmospheres I. Experimental Results (1979) Mater. Res. Bull., 14, pp. 649-659; Sreedharan, O.M., Pankajavalli, R., Gnanamoorthy, J.B., Standard Gibbs' Energy of Formation of LaMnO3 from EMF Measurements (1983) High Temp. Sci., 16, pp. 251-256; Kamegashira, N., Miyazaki, Y., Hiyoshi, Y., Limiting Oxygen Partial Pressure of LaMnO3 Phase (1984) Mater. Lett., 2, pp. 194-195; Sreedharan, O.M., Chandrasekharaiah, M.S., Standard Gibbs' Energy of Formation of LaFeO3 and Comparison of Stability of LaMO3 (M = Mn, Fe, Co, Ni) Compounds (1986) J. Mater. Sci., 21, pp. 2581-2584; Ruka, R., (1983), pp. 295-302. , “Some Non‐Electrochemical Requirements for Air Electrode Materials of High‐Temperature Solid Electrolyte Fuel Cells”; pp., in Proceedings of the Conference on High–Temperature Solid Oxide Electrolytes, Vol. I–Anion Conductors (Brookhaven National Laboratory, Upton, NY, Aug. 16–17, 1983). Rept. No. BNL 51728–Vol. I, Brookhaven National Laboratory, Upton, NYJonker, G.H., Semiconducting Properties of Mixed Crystals with Perovskite Structure (1954) Physica (Amsterdam), 20, pp. 1118-1122; Tanaka, J., Takahashi, K., Yukino, K., Horiuchi, S., Electrical Conduction of (La0.8Ca0.2)MnO3 with Homogeneous Ionic Distribution (1983) Phys. Status Solidi, 80, pp. 621-630; Fandel, M., Höschele, J., Schäfer, W., Schmidberger, R., Properties of Ca‐Doped LaMnO3 (1989) Properties of Ceramics, 2, p. 2. , 236–2.240 in Euro‐ceramics, Vol,. Edited by, G. de With, R. A. Lerpstra, R. Metselaar, Elsevier Applied Science, London, U.K; Pavlov, V.I., Bogush, A.K., Bychkov, G.L., Influence of Impurity Centers on the Electrical Conductivity of Manganites with a Perovskite Structure (1984) Inorg. Mater. (Engl. Transl.), 20, pp. 752-754; Wold, A., Arnott, R.J., Goodenough, J.B., Some Magnetic and Crystallographic Properties of the System LaMn1‐xNixO3‐λ (1958) J. Appl. Phys., 29, pp. 387-389; Lyubkina, I.Ya., Kononyuk, I.F., Preparation and Electric Properties of LaMn1‐xNixO3 (O","page":"563-588","title":"Ceramic Fuel Cells","type":"article-journal","volume":"76"},"uris":["http://www.mendeley.com/documents/?uuid=7c17b8de-f21a-48a1-8286-c38ae0ab747c"]},{"id":"ITEM-3","itemData":{"DOI":"10.1016/j.msea.2005.11.052","ISBN":"0921-5093","ISSN":"09215093","abstract":"Development of solid oxide fuel cells (SOFC) for operation at intermediate temperatures of 600-800 °C with hydrocarbon fuels requires a cathode and anode with high electrocatalytic activity for O2 reduction and direct oxidation of hydrocarbon fuels, respectively. Wet impregnation is a well known method in the development of heterogeneous catalysts. Surprisingly, very few have concentrated on the application of the wet impregnation technique to deposit nano-sized particles into the established electrode structure of the SOFC. This paper reviews and discusses the progress in the application of the wet impregnation technique in the development of Ni-free Cu-based composite anodes, doped CeO2-impregnated (La, Sr)MnO3 (LSM) cathodes and Ni anodes, Co3O4-infiltrated cathodes and precious metal-impregnated electrodes. Enhancement in the electrode microstructure and cell performance is substantial, showing the great potential of the wet impregnation method in the development of high performance and nano-structured electrodes with specific functions. However, the long-term stability of the impregnated electrode structure needs to be addressed. © 2005 Elsevier B.V. All rights reserved.","author":[{"dropping-particle":"","family":"Jiang","given":"San Ping","non-dropping-particle":"","parse-names":false,"suffix":""}],"container-title":"Materials Science and Engineering A","id":"ITEM-3","issue":"1-2","issued":{"date-parts":[["2006"]]},"page":"199-210","title":"A review of wet impregnation - An alternative method for the fabrication of high performance and nano-structured electrodes of solid oxide fuel cells","type":"article-journal","volume":"418"},"uris":["http://www.mendeley.com/documents/?uuid=1b62ce8c-e32a-4d57-8934-697b6b8042b0"]}],"mendeley":{"formattedCitation":"[1], [8], [91]","plainTextFormattedCitation":"[1], [8], [91]","previouslyFormattedCitation":"[1], [8], [91]"},"properties":{"noteIndex":0},"schema":"https://github.com/citation-style-language/schema/raw/master/csl-citation.json"}</w:instrText>
      </w:r>
      <w:r>
        <w:fldChar w:fldCharType="separate"/>
      </w:r>
      <w:r w:rsidRPr="00375DF8">
        <w:rPr>
          <w:noProof/>
        </w:rPr>
        <w:t>[1], [8], [91]</w:t>
      </w:r>
      <w:r>
        <w:fldChar w:fldCharType="end"/>
      </w:r>
      <w:r>
        <w:t>.</w:t>
      </w:r>
    </w:p>
    <w:p w14:paraId="4446E94E" w14:textId="54EFB6B3" w:rsidR="00007F6C" w:rsidRDefault="00007F6C" w:rsidP="00007F6C">
      <w:pPr>
        <w:jc w:val="both"/>
      </w:pPr>
      <w:r w:rsidRPr="002B6C9E">
        <w:t xml:space="preserve">The high temperatures involved in </w:t>
      </w:r>
      <w:r>
        <w:t xml:space="preserve">co-sintered </w:t>
      </w:r>
      <w:r w:rsidRPr="002B6C9E">
        <w:t>cermet anode</w:t>
      </w:r>
      <w:r>
        <w:t xml:space="preserve"> production provide the catalytic media with excess thermal energy. In a bid to reduce this surface energy; the catalyst particles sinter to transition to a lower energy state </w:t>
      </w:r>
      <w:r>
        <w:fldChar w:fldCharType="begin" w:fldLock="1"/>
      </w:r>
      <w:r w:rsidR="00D80A5D">
        <w:instrText>ADDIN CSL_CITATION {"citationItems":[{"id":"ITEM-1","itemData":{"DOI":"10.1021/ar3002427","ISBN":"1520-4898 (Electronic)\r0001-4842 (Linking)","PMID":"23634641","abstract":"Metal nanoparticles contain the active sites in heterogeneous catalysts, which are important for many industrial applications including the production of clean fuels, chemicals and pharmaceuticals, and the cleanup of exhaust from automobiles and stationary power plants. Sintering, or thermal deactivation, is an important mechanism for the loss of catalyst activity. This is especially true for high temperature catalytic processes, such as steam reforming, automotive exhaust treatment, or catalytic combustion. With dwindling supplies of precious metals and increasing demand, fundamental understanding of catalyst sintering is very important for achieving clean energy and a clean environment, and for efficient chemical conversion processes with atom selectivity. Scientists have proposed two mechanisms for sintering of nanoparticles: particle migration and coalescence (PMC) and Ostwald ripening (OR). PMC involves the mobility of particles in a Brownian-like motion on the support surface, with subsequent coalescence leading to nanoparticle growth. In contrast, OR involves the migration of adatoms or mobile molecular species, driven by differences in free energy and local adatom concentrations on the support surface. In this Account, we divide the process of sintering into three phases. Phase I involves rapid loss in catalyst activity (or surface area), phase II is where sintering slows down, and phase III is where the catalyst may reach a stable performance. Much of the previous work is based on inferences from catalysts that were observed before and after long term treatments. While the general phenomena can be captured correctly, the mechanisms cannot be determined. Advancements in the techniques of in situ TEM allow us to observe catalysts at elevated temperatures under working conditions. We review recent evidence obtained via in situ methods to determine the relative importance of PMC and OR in each of these phases of catalyst sintering. The evidence suggests that, in phase I, OR is responsible for the rapid loss of activity that occurs when particles are very small. Surprisingly, very little PMC is observed in this phase. Instead, the rapid loss of activity is caused by the disappearance of the smallest particles. These findings are in good agreement with representative atomistic simulations of sintering. In phase II, sintering slows down since the smallest particles have disappeared. We now see a combination of PMC and OR, but do not fully understand t…","author":[{"dropping-particle":"","family":"Hansen","given":"T W","non-dropping-particle":"","parse-names":false,"suffix":""},{"dropping-particle":"","family":"Delariva","given":"A T","non-dropping-particle":"","parse-names":false,"suffix":""},{"dropping-particle":"","family":"Challa","given":"S R","non-dropping-particle":"","parse-names":false,"suffix":""},{"dropping-particle":"","family":"Datye","given":"A K","non-dropping-particle":"","parse-names":false,"suffix":""}],"chapter-number":"1720","container-title":"Acc Chem Res","id":"ITEM-1","issue":"8","issued":{"date-parts":[["2013"]]},"note":"Hansen, Thomas W\nDelariva, Andrew T\nChalla, Sivakumar R\nDatye, Abhaya K\neng\nResearch Support, Non-U.S. Gov't\nResearch Support, U.S. Gov't, Non-P.H.S.\nReview\n2013/05/03 06:00\nAcc Chem Res. 2013 Aug 20;46(8):1720-30. doi: 10.1021/ar3002427. Epub 2013 May 1.","page":"1720-1730","title":"Sintering of catalytic nanoparticles: particle migration or Ostwald ripening?","type":"article-journal","volume":"46"},"uris":["http://www.mendeley.com/documents/?uuid=39c90cb7-90f0-4c22-a635-4a4de038ffe1"]},{"id":"ITEM-2","itemData":{"DOI":"10.1149/1.1497982","ISSN":"00134651","abstract":"In the fabrication process of Ni/Y2O3-ZrO2 (YSZ) cermet anodes for solid oxide fuel cells, it has been found that sintering and reducing processes of the cermet anodes at high temperatures (1000 to 1400degreesC) cause significant grain growth and agglomeration of YSZ and in particular Ni particles. This paper reports on the enhancement of the microstructure and performance of Ni/YSZ cermet electrodes by an ion impregnation process. By impregnation of very fine oxide particles into Ni/YSZ cermet structure, sintering, grain growth, and agglomeration of the nickel phase in the cermet during the high- temperature sintering and reducing stages were significantly inhibited, leading to the enhancement of the Ni and YSZ phase distribution and thus significant improvement in the electrochemical activity and stability of the Ni/YSZ anodes for the H-2 oxidation reaction. The ion impregnation method was also applied in the development of high- performance Sr-doped LaMnO3 cathode. (C) 2002 The Electrochemical Society.","author":[{"dropping-particle":"","family":"Jiang","given":"San Ping","non-dropping-particle":"","parse-names":false,"suffix":""},{"dropping-particle":"","family":"Duan","given":"Yvonne Y.","non-dropping-particle":"","parse-names":false,"suffix":""},{"dropping-particle":"","family":"Love","given":"Jonathan G.","non-dropping-particle":"","parse-names":false,"suffix":""}],"container-title":"Journal of The Electrochemical Society","id":"ITEM-2","issue":"9","issued":{"date-parts":[["2002"]]},"page":"A1175","title":"Fabrication of High-Performance Ni/Y[sub 2]O[sub 3]-ZrO[sub 2] Cermet Anodes of Solid Oxide Fuel Cells by Ion Impregnation","type":"article-journal","volume":"149"},"uris":["http://www.mendeley.com/documents/?uuid=e12bacbf-2971-4c83-9094-2767edef18fe"]},{"id":"ITEM-3","itemData":{"DOI":"10.1039/c9ta01818b","ISSN":"20507496","abstract":"While solid oxide fuel cells (SOFCs) are considered potent candidates for future power generation systems owing to their high efficiency and fuel flexibility, they are far from being used practically, mainly owing to the high cost of their manufacturing process. Since the costs for the quality control and sintering steps rank as top of the total cost of SOFCs, the fabrication of large-area multilayers without processing defects at the interfaces and a decrease in sintering temperature should be achieved simultaneously for cost-effectiveness. Here we firstly show that a simple and cost-effective roll calendering process for the oxygen-ion conducting electrolyte, yttria-stabilized zirconia (YSZ), can effectively address the issues relevant to the processing defects and sintering temperature. Since normal and shear stresses applied in the roll calendering process are uniform regardless of cell size, facile particle rearrangements can be achieved not only within the electrolyte layer but also at the interface between the anode and electrolyte layers. This results in a uniform packing structure with a high grain density in the electrolyte layer and a good interfacial structure between the anode and the electrolyte. Consequently, a thin (5.6 μm) and dense (relative density of 98.9%) electrolyte on the porous anode without processing defects is achieved after sintering at the relatively low temperature of 1270 °C, and a single cell based on a bilayer prepared by the roll calendering process exhibits a high power density of 880 mW cm−2 at 800 °C, which is 1.5 times higher than that of a conventional cell prepared by uniaxial pressing and sintered at 1350 °C.","author":[{"dropping-particle":"","family":"Kim","given":"Junseok","non-dropping-particle":"","parse-names":false,"suffix":""},{"dropping-particle":"","family":"Ahn","given":"Junsung","non-dropping-particle":"","parse-names":false,"suffix":""},{"dropping-particle":"","family":"Shin","given":"Jisu","non-dropping-particle":"","parse-names":false,"suffix":""},{"dropping-particle":"","family":"Yoon","given":"Kyung Joong","non-dropping-particle":"","parse-names":false,"suffix":""},{"dropping-particle":"","family":"Son","given":"Ji Won","non-dropping-particle":"","parse-names":false,"suffix":""},{"dropping-particle":"","family":"Lee","given":"Jong Ho","non-dropping-particle":"","parse-names":false,"suffix":""},{"dropping-particle":"","family":"Shin","given":"Dongwook","non-dropping-particle":"","parse-names":false,"suffix":""},{"dropping-particle":"","family":"Lee","given":"Hae Weon","non-dropping-particle":"","parse-names":false,"suffix":""},{"dropping-particle":"Il","family":"Ji","given":"Ho","non-dropping-particle":"","parse-names":false,"suffix":""}],"container-title":"Journal of Materials Chemistry A","id":"ITEM-3","issue":"16","issued":{"date-parts":[["2019"]]},"page":"9958-9967","title":"Enhanced sinterability and electrochemical performance of solid oxide fuel cells via a roll calendering process","type":"article-journal","volume":"7"},"uris":["http://www.mendeley.com/documents/?uuid=22d63290-0844-41ad-99c2-5e1b29b2a62d"]},{"id":"ITEM-4","itemData":{"ISBN":"9036513375","abstract":"This thesis deals with the porous Ni/yttria-stabilized zirconia (YSZ) cermet anode on a YSZ electrolyte for solid oxide fuel cells (SOFC). Such anodes are predominantly operated in moist hydrogen at 700C to 1000C, and the most important technological parameters are the polarization resistance and the long-term stability. The polarization resistance can be measured by a number of techniques, in the present work impedance spectroscopy has been used extensively. By impedance spectroscopy limiting processes in the anode polarization resistance may often be separated and characterized individually, provided they have a reasonable separation in time constants. Three limiting processes are recognized in impedance spectra obtained on technological Ni/YSZ cermet anodes characterized against a stable reference electrode atmosphere. By parameter studies and illustrative experiments, the two contributions at low and medium frequency have been identified as gas conversion and diffusion limitations, respectively. Both of these effects are concentration limitations relating to the inefficient exchange of fuel gas in the test setup outside the porous cermet. A test setup geometry where these concentration effects are avoided for high-performance electrodes is recommended. The high frequency limitation is demonstrated to relate to the cermet structure. The dependence on gas composition, temperature, adsorbed species (sulfur), isotopes (H/D), sintering temperature and cermet thickness is investigated. Despite these studies and several similar studies by others, the exact chemical or physical nature of the limiting step has not been incontestably identified. However, there is a general consensus in literature about the hydrogen oxidation process taking place on or near to the triple phase boundary (TPB) line, where open gas-filled pores, the continuous electrolyte phase (oxide ion conductor) and the continuous Ni phase (electronic conductor) meet. The physical thickness of a cermet anode that contains active TPB sites contributing to the current density of an SOFC is demonstrated to be about 10 µm. This result has technological importance, as any overlying structure serves primarily as a current collector and needs not be optimized for transport of oxide ions. The anode durability is investigated over 1300 to 1900 hrs at 300 mA/cm2 and shown to be stable at 1050C. At 1000C a degradation rate of about 10 mΩcm2 /1000 hrs is observed, and at 850C a degradation rate of about …","author":[{"dropping-particle":"","family":"Primdahl Søren","given":"","non-dropping-particle":"","parse-names":false,"suffix":""}],"container-title":"Technical University of Denmark","id":"ITEM-4","issued":{"date-parts":[["1999"]]},"number-of-pages":"203","publisher":"University of Twente","title":"Nickel/yttria-stabilised zirconia cermet anodes for solid oxide fuel cells","type":"thesis","volume":"PhD"},"uris":["http://www.mendeley.com/documents/?uuid=0fe024e0-9cb0-4090-a4ab-f51c03e5a594"]}],"mendeley":{"formattedCitation":"[118], [128]–[130]","plainTextFormattedCitation":"[118], [128]–[130]","previouslyFormattedCitation":"[118], [128]–[130]"},"properties":{"noteIndex":0},"schema":"https://github.com/citation-style-language/schema/raw/master/csl-citation.json"}</w:instrText>
      </w:r>
      <w:r>
        <w:fldChar w:fldCharType="separate"/>
      </w:r>
      <w:r w:rsidR="006C586A" w:rsidRPr="006C586A">
        <w:rPr>
          <w:noProof/>
        </w:rPr>
        <w:t>[118], [128]–[130]</w:t>
      </w:r>
      <w:r>
        <w:fldChar w:fldCharType="end"/>
      </w:r>
      <w:r>
        <w:t xml:space="preserve">. This leads to grain </w:t>
      </w:r>
      <w:r w:rsidRPr="002B6C9E">
        <w:t>growth in th</w:t>
      </w:r>
      <w:r>
        <w:t xml:space="preserve">is </w:t>
      </w:r>
      <w:r w:rsidRPr="002B6C9E">
        <w:t>phase</w:t>
      </w:r>
      <w:r>
        <w:t xml:space="preserve"> which concurrently reduces the electronic conductivity of the network and the active area of the electrode.  </w:t>
      </w:r>
      <w:r w:rsidRPr="002B6C9E">
        <w:t xml:space="preserve"> </w:t>
      </w:r>
    </w:p>
    <w:p w14:paraId="6F7138EA" w14:textId="65AFF20C" w:rsidR="00007F6C" w:rsidRDefault="00007F6C" w:rsidP="00007F6C">
      <w:pPr>
        <w:jc w:val="both"/>
      </w:pPr>
      <w:r>
        <w:t>The coarsening issue is one of the key reasons that b</w:t>
      </w:r>
      <w:r w:rsidRPr="002B6C9E">
        <w:t xml:space="preserve">ulk </w:t>
      </w:r>
      <w:r>
        <w:t xml:space="preserve">cermet </w:t>
      </w:r>
      <w:r w:rsidRPr="002B6C9E">
        <w:t xml:space="preserve">anodes </w:t>
      </w:r>
      <w:r>
        <w:t xml:space="preserve">exhibit </w:t>
      </w:r>
      <w:r w:rsidRPr="002B6C9E">
        <w:t xml:space="preserve">power density </w:t>
      </w:r>
      <w:r>
        <w:t xml:space="preserve">losses  exceeding -1 % per 1000 h </w:t>
      </w:r>
      <w:r>
        <w:fldChar w:fldCharType="begin" w:fldLock="1"/>
      </w:r>
      <w:r w:rsidR="00D80A5D">
        <w:instrText>ADDIN CSL_CITATION {"citationItems":[{"id":"ITEM-1","itemData":{"DOI":"10.1023/A:1003991529552","ISBN":"0021891X (ISSN)","abstract":"The long-term properties of Ni/yttria stabilized zirconia (YSZ) cermet anodes for solid oxide fuel cells were evaluated experimentally. A total of 13 anodes of three types based on two commercial NiO powders were examined. The durability was evaluated at temperatures of 850 °C, 1000 °C and 1050 °C over 1300 to 2000 h at an anodic d.c. load of 300 mA cm-2 in hydrogen with 1 to 3% water. The anode-related polarization resistance, RP, was measured by impedance spectroscopy and found to be in the range of 0.05 to 0.7 Ω cm2. After an initial stabilization period of up to 300 h, RP varied linearly with time within the experimental uncertainty. At 1050 °C no degradation was observed. At 1000 °C a degradation rate of 10 mΩ cm2 per 1000 h was found. The degradation rate was possibly higher at 850 °C. A single anode was exposed to nine thermal cycles from 1000 to below 100 °C at 100 °C h-1. An increase in RP of about 30 mΩ cm2 was observed over the first two cycles. For the following thermal cycles RP was stable within the experimental uncertainty.","author":[{"dropping-particle":"","family":"Primdahl","given":"S","non-dropping-particle":"","parse-names":false,"suffix":""},{"dropping-particle":"","family":"Mogensen","given":"M","non-dropping-particle":"","parse-names":false,"suffix":""}],"container-title":"Journal of Applied Electrochemistry","id":"ITEM-1","issue":"2","issued":{"date-parts":[["2000"]]},"language":"English","note":"Cited By :40\nExport Date: 11 October 2016\nCODEN: JAELB\nCorrespondence Address: Primdahl, S.; Riso Natl Lab, Roskilde, Denmark\nReferences: Ippommatsu, M., Sasaki, H., Otoshi, S., (1996) Int. J. Hydrogen Energy, 21, p. 129; Bagger, C., Christiansen, N., Hendriksen, P.V., Jensen, E.J., Larsen, S.S., Mogensen, M., High Temperature Electrochemistry: Ceramics and Metals (1996) 17th Risø International Symposium on Materials Science, p. 167. , F.W. Poulsen, N. Bonanos, S. Linderoth, M. Mogensen and B. Zachau-Chistiansen (Eds); Badwal, S.P.S., Foger, K., (1997) Materials Forum, 21, p. 187; Winkler, J., Hendriksen, P.V., Bonanos, N., Mogensen, M., (1998) J. Electrochem. Soc., 145, p. 1184; Mizusaki, J., Tagawa, H., Saito, T., Kamitani, K., Yamamura, T., Hirano, K., Ehara, S., Hashimoto, K., (1994) J. Electrochem. Soc., 141, p. 2129; Norby, T., Osborg, P.A., Ræder, H., (1994) Proceedings of the 'First European Solid Oxide Fuel Cell Forum', p. 671. , U. Bossel (Ed.), European SOFC Forum, Oberrohrdorf, CH; Mogensen, M., Skaarup, S., (1996) Solid State Ionics, 86-88, p. 1151; Murphy, M.M., Van Herle, J., McEvoy, A.J., Thampi, K.R., (1994) J. Electrochem. Soc., 141, pp. L94; Brown, M., Primdahl, S., Mogensen, M., J. Electrochem. Soc., , submitted; Sakamoto, S., Taria, H., Takagi, H., (1996) Denki Kagaku, 64, p. 609; Badwal, S.P.S., (1992) Solid State Ionics, 52, p. 23; Singhal, S.C., The Electrochemical Society Proceedings Series (1997) Solid Oxide Fuel Cells, 97 PV (40), p. 37. , U. Stimming, S.C. Singhal, H. Tagawa W. Lehnert (Eds), Pennington, NJ; Beie, H.J., Blum, L., Drenckhahn, W., Greiner, H., Schisschl, H., (1998) Proceedings of the 'Third European Solid Fuel Cell Forum', p. 3. , P. Stevens (Ed.), European SOFC Forum, Oberrohrdorf, CH; Schäfer, W., Geier, H., Lindemann, G., Stolten, D., High Temperature Electrochemical Behaviour of Fast Ion and Mixed Conductors (1993) 14th Risø International Symposium on Materials Science, p. 409. , F.W. Poulsen, J.J. Bentzen, T. Jacobsen, E. Skou and M.J.L. Østergård, (Eds.), Roskilde DK; Middleton, P.H., Seiersten, M.E., Steele, B.C.H., The Electrochemical Society Proceedings Series (1989) Solid Oxide Fuel Cells, 89 PV (11), p. 90. , S.C. Singhal, (Ed.), Pennington, NJ; Kinderman, L., Poulsen, F.W., Bagger, C., (1998) Proceedings of the 'Third European Solid Oxide Fuel Cell Forum', p. 133. , P. Stevens, (Ed.), Poster section, European SOFC Forum, Oberrohrdorf, CH; Fukui, T., Ohara, S., Mukai, K., (1998) Electrochem. Solid-State Lett., 1, p. 120; Iwata, T., (1996) J. Electrochem. Soc., 143, p. 1521; Khandkar, A.C., Elangovan, S., Liu, M., Timper, M., (1991) High Temperature Electrode Materials and Characterization, 91 PV (6), p. 175. , D.D. Macdonald and A.C. Khandkar, (Eds.), The Electrochemical Society, Pennington, NJ; Bagger, C., (1992) 1992 Fuel Cell Seminar, p. 241. , Courtesy Associates, Inc. Washington, DC; Hartung, R., Möbius, H.-H., (1968) Chemie-Ing. Techn., 40, p. 592; Boukamp, B.A., (1986) Solid State Ionics, 20, p. 31; Primdahl, S., Mogensen, M., (1997) J. Electrochem. Soc., 144, p. 3409; Primdahl, S., Mogensen, M., (1998) J. Electrochem. Soc., 145, p. 2431; Primdahl, S., Mogensen, M., (1999) J. Electrochem. Soc., 146, p. 2827; Primdahl, S., Mogensen, M., , p. 530. , 12Mohamedi-Boulenouar, F.Z., Guindet, J., Hammou, A., , p. 441. , 12Primdahl, S., Sørensen, B.F., Mogensen, M., J. Am. Ceram. Soc., , accepted; Jørgensen, M.J., Primdahl, S., Mogensen, M., (1999) Electrochim. Acta, 44, p. 4195; Gubner, A., Landes, H., Metzger, J., Seeg, H., Stübner, R., , p. 844. , 12Appel, C.C., Bonanos, N., Horsewell, A., Linderoth, S., in preparationUR - https://www.scopus.com/inward/record.uri?eid=2-s2.0-0033896708&amp;amp;partnerID=40&amp;amp;md5=0dc5f67c06ceb5ce61e9d381d0542e72","page":"247-257","publisher":"Kluwer Academic Publishers","publisher-place":"Dordrecht, Netherlands","title":"Durability and thermal cycling of Ni/YSZ cermet anodes for solid oxide fuel cells","type":"article-journal","volume":"30"},"uris":["http://www.mendeley.com/documents/?uuid=11c8adef-ec2d-42e2-9f44-159250db8470"]}],"mendeley":{"formattedCitation":"[131]","plainTextFormattedCitation":"[131]","previouslyFormattedCitation":"[131]"},"properties":{"noteIndex":0},"schema":"https://github.com/citation-style-language/schema/raw/master/csl-citation.json"}</w:instrText>
      </w:r>
      <w:r>
        <w:fldChar w:fldCharType="separate"/>
      </w:r>
      <w:r w:rsidR="006C586A" w:rsidRPr="006C586A">
        <w:rPr>
          <w:noProof/>
        </w:rPr>
        <w:t>[131]</w:t>
      </w:r>
      <w:r>
        <w:fldChar w:fldCharType="end"/>
      </w:r>
      <w:r>
        <w:t xml:space="preserve">. </w:t>
      </w:r>
      <w:r w:rsidRPr="002B6C9E">
        <w:t>As many of the</w:t>
      </w:r>
      <w:r>
        <w:t xml:space="preserve"> core</w:t>
      </w:r>
      <w:r w:rsidRPr="002B6C9E">
        <w:t xml:space="preserve"> </w:t>
      </w:r>
      <w:r>
        <w:t xml:space="preserve">electro-chemical </w:t>
      </w:r>
      <w:r w:rsidRPr="002B6C9E">
        <w:t>reactions occur within</w:t>
      </w:r>
      <w:r>
        <w:t xml:space="preserve"> the 10 </w:t>
      </w:r>
      <w:r>
        <w:rPr>
          <w:rFonts w:cstheme="minorHAnsi"/>
        </w:rPr>
        <w:t>µ</w:t>
      </w:r>
      <w:r>
        <w:t xml:space="preserve">m anode functional layer (AFL) between the electrode and the electrolyte, catalyst sintering from </w:t>
      </w:r>
      <w:r>
        <w:lastRenderedPageBreak/>
        <w:t xml:space="preserve">the nano to the microscale reduces the activity of the anode considerably </w:t>
      </w:r>
      <w:r>
        <w:fldChar w:fldCharType="begin" w:fldLock="1"/>
      </w:r>
      <w:r w:rsidR="00D80A5D">
        <w:instrText>ADDIN CSL_CITATION {"citationItems":[{"id":"ITEM-1","itemData":{"ISBN":"9036513375","abstract":"This thesis deals with the porous Ni/yttria-stabilized zirconia (YSZ) cermet anode on a YSZ electrolyte for solid oxide fuel cells (SOFC). Such anodes are predominantly operated in moist hydrogen at 700C to 1000C, and the most important technological parameters are the polarization resistance and the long-term stability. The polarization resistance can be measured by a number of techniques, in the present work impedance spectroscopy has been used extensively. By impedance spectroscopy limiting processes in the anode polarization resistance may often be separated and characterized individually, provided they have a reasonable separation in time constants. Three limiting processes are recognized in impedance spectra obtained on technological Ni/YSZ cermet anodes characterized against a stable reference electrode atmosphere. By parameter studies and illustrative experiments, the two contributions at low and medium frequency have been identified as gas conversion and diffusion limitations, respectively. Both of these effects are concentration limitations relating to the inefficient exchange of fuel gas in the test setup outside the porous cermet. A test setup geometry where these concentration effects are avoided for high-performance electrodes is recommended. The high frequency limitation is demonstrated to relate to the cermet structure. The dependence on gas composition, temperature, adsorbed species (sulfur), isotopes (H/D), sintering temperature and cermet thickness is investigated. Despite these studies and several similar studies by others, the exact chemical or physical nature of the limiting step has not been incontestably identified. However, there is a general consensus in literature about the hydrogen oxidation process taking place on or near to the triple phase boundary (TPB) line, where open gas-filled pores, the continuous electrolyte phase (oxide ion conductor) and the continuous Ni phase (electronic conductor) meet. The physical thickness of a cermet anode that contains active TPB sites contributing to the current density of an SOFC is demonstrated to be about 10 µm. This result has technological importance, as any overlying structure serves primarily as a current collector and needs not be optimized for transport of oxide ions. The anode durability is investigated over 1300 to 1900 hrs at 300 mA/cm2 and shown to be stable at 1050C. At 1000C a degradation rate of about 10 mΩcm2 /1000 hrs is observed, and at 850C a degradation rate of about …","author":[{"dropping-particle":"","family":"Primdahl Søren","given":"","non-dropping-particle":"","parse-names":false,"suffix":""}],"container-title":"Faculty of Chemical Technology","id":"ITEM-1","issued":{"date-parts":[["1999"]]},"number-of-pages":"203","publisher":"University of Twente","title":"Nickel/yttria-stabilised zirconia cermet anodes for solid oxide fuel cells","type":"thesis","volume":"PhD"},"uris":["http://www.mendeley.com/documents/?uuid=d068fc62-a138-420e-ad1f-fbc9376c752d"]},{"id":"ITEM-2","itemData":{"DOI":"10.1016/S0167-2738(99)00299-4","ISSN":"01672738","abstract":"The electrochemical performance of a porous nickel electrode with its surface modified by deposition with fine yttria-stabilized zirconia (YSZ) powder is compared with that of the `bare' electrode. Image analysis of the electrode microstructure yields values for the triple phase boundary (TPB) length in the range of 45-61 m cm-2. The nickel coverage is in the range of 55-72%. The hydrogen oxidation reaction studied on the two types of electrodes indicates that the electrode reaction is dominated by one process, suggesting a common rate-determining step. The total electrode conductivity increases with increasing TPB length. However, at similar TPB length the electrode conductivity of the modified porous nickel electrode is considerably higher than that of the bare nickel electrode. This result indicates that the presence of fine YSZ particles on the nickel electrode surface creates additional active sites onto which the electrode reaction can proceed. The data of this study are interpreted to reflect an active role for YSZ in the Ni/YSZ SOFC cermet anode.","author":[{"dropping-particle":"","family":"Boer","given":"B.","non-dropping-particle":"de","parse-names":false,"suffix":""},{"dropping-particle":"","family":"Gonzalez","given":"M.","non-dropping-particle":"","parse-names":false,"suffix":""},{"dropping-particle":"","family":"Bouwmeester","given":"H. J.M.","non-dropping-particle":"","parse-names":false,"suffix":""},{"dropping-particle":"","family":"Verweij","given":"H.","non-dropping-particle":"","parse-names":false,"suffix":""}],"container-title":"Solid State Ionics","id":"ITEM-2","issue":"3","issued":{"date-parts":[["2000"]]},"page":"269-276","title":"Effect of the presence of fine YSZ particles on the performance of porous nickel electrodes","type":"article-journal","volume":"127"},"uris":["http://www.mendeley.com/documents/?uuid=d073b7c9-2508-4271-9987-523d55a1ad80"]},{"id":"ITEM-3","itemData":{"DOI":"10.1016/j.scriptamat.2010.09.025","ISBN":"1359-6462","ISSN":"13596462","abstract":"In this work we demonstrate the utility of three-dimensional focused ion beam-scanning electron microscopy nanotomography for understanding composite electrode performance and degradation. Phase connectivity, electrochemically active triple-phase boundary density and phase tortuosity are calculated for a series of anodes with varying Ni-YSZ composition. These structural characteristics, achievable only through three-dimensional interrogation, are shown to play a vital role in determining electrode polarization resistance. Additionally, Ni-YSZ samples are experimentally annealed in hydrogen and reconstructed to quantitatively assess degradation as a function of reduced triple-phase boundary density. © 2011 Acta Materialia Inc. Published by Elsevier Ltd. All rights reserved.","author":[{"dropping-particle":"","family":"Wilson","given":"James R.","non-dropping-particle":"","parse-names":false,"suffix":""},{"dropping-particle":"","family":"Cronin","given":"J. Scott","non-dropping-particle":"","parse-names":false,"suffix":""},{"dropping-particle":"","family":"Barnett","given":"Scott A.","non-dropping-particle":"","parse-names":false,"suffix":""}],"container-title":"Scripta Materialia","id":"ITEM-3","issue":"2","issued":{"date-parts":[["2011"]]},"page":"67-72","publisher":"Acta Materialia Inc.","title":"Linking the microstructure, performance and durability of Ni-yttria-stabilized zirconia solid oxide fuel cell anodes using three-dimensional focused ion beam-scanning electron microscopy imaging","type":"article-journal","volume":"65"},"uris":["http://www.mendeley.com/documents/?uuid=2f9d272e-95ce-4cae-bd67-0ed218dea681"]},{"id":"ITEM-4","itemData":{"DOI":"http://dx.doi.org/10.1016/j.jpowsour.2008.12.145","ISBN":"0378-7753","ISSN":"03787753","abstract":"A numerical technique for generating the solid oxide fuel cell composite electrode structure based on measurable starting parameters has been developed. This method can be used to calculate all relevant electrode microstructural parameters. The structures are formed of randomly distributed overlapping spheres with particle size distributions that match the particle sizes of actual ceramic powders. In this work, the triple phase boundary length, internal surface area, pore size and the percolation of all relevant phases within the porous composite electrode were computed. It was found that the triple phase boundary length computed for particles with real particle size distributions was as much as 40% lower compared to mono-sized particles with the same mean particle sizes. Percolation thresholds were in the range of 30–40 vol% for solid phases and over 99% of pores were found to belong to a percolating network at porosities as low as 25%. In addition, the average pore size was found to be 0.19 μ m for typical electrode compositions, smaller than what is commonly assumed and in certain circumstances, the distribution of pore sizes may place gas transport in the free molecular flow regime.","author":[{"dropping-particle":"","family":"Kenney","given":"Ben","non-dropping-particle":"","parse-names":false,"suffix":""},{"dropping-particle":"","family":"Valdmanis","given":"Mikelis","non-dropping-particle":"","parse-names":false,"suffix":""},{"dropping-particle":"","family":"Baker","given":"Craig","non-dropping-particle":"","parse-names":false,"suffix":""},{"dropping-particle":"","family":"Pharoah","given":"J. G.","non-dropping-particle":"","parse-names":false,"suffix":""},{"dropping-particle":"","family":"Karan","given":"Kunal","non-dropping-particle":"","parse-names":false,"suffix":""}],"container-title":"Journal of Power Sources","id":"ITEM-4","issue":"2","issued":{"date-parts":[["2009"]]},"page":"1051-1059","title":"Computation of TPB length, surface area and pore size from numerical reconstruction of composite solid oxide fuel cell electrodes","type":"article-journal","volume":"189"},"uris":["http://www.mendeley.com/documents/?uuid=f6566946-0aa9-4aa8-b31d-8d488127502b"]}],"mendeley":{"formattedCitation":"[132]–[135]","plainTextFormattedCitation":"[132]–[135]","previouslyFormattedCitation":"[132]–[135]"},"properties":{"noteIndex":0},"schema":"https://github.com/citation-style-language/schema/raw/master/csl-citation.json"}</w:instrText>
      </w:r>
      <w:r>
        <w:fldChar w:fldCharType="separate"/>
      </w:r>
      <w:r w:rsidR="006C586A" w:rsidRPr="006C586A">
        <w:rPr>
          <w:noProof/>
        </w:rPr>
        <w:t>[132]–[135]</w:t>
      </w:r>
      <w:r>
        <w:fldChar w:fldCharType="end"/>
      </w:r>
      <w:r>
        <w:t>. Additionally, t</w:t>
      </w:r>
      <w:r w:rsidRPr="002B6C9E">
        <w:t>he grain growth of the ceramic phase can hinder the distribution of Ni catalysts throughout the structure, consequently reducing the number of</w:t>
      </w:r>
      <w:r>
        <w:t xml:space="preserve"> active</w:t>
      </w:r>
      <w:r w:rsidRPr="002B6C9E">
        <w:t xml:space="preserve"> triple phase boundaries and concurrently the maximum power density</w:t>
      </w:r>
      <w:r>
        <w:t xml:space="preserve"> </w:t>
      </w:r>
      <w:r>
        <w:fldChar w:fldCharType="begin" w:fldLock="1"/>
      </w:r>
      <w:r w:rsidR="00D80A5D">
        <w:instrText>ADDIN CSL_CITATION {"citationItems":[{"id":"ITEM-1","itemData":{"DOI":"10.1016/j.ceramint.2015.09.006","ISBN":"0272-8842","ISSN":"02728842","abstract":"This paper summarizes various mechanisms involved in the degradation of Solid Oxide Fuel Cells (SOFCs) anode. Ni–YSZ is the most commonly used anode material in SOFCs, since it has various advantages such as high catalytic activity for H2, methane reforming, stability and high electronic conductivity. However, this material shows various types of degradations when used at high temperatures for prolonged time periods. The different types include Ni grain growth by sintering, carbon coking, sulfur poisoning and redox cycling. The in-detail mechanism of each type of degradation followed by different controlling mechanisms has been presented in greater detail. Modifications in the Ni–YSZ microstructure and optimization of operating conditions can effectively increase the life time of SOFCs and help in their commercialization.","author":[{"dropping-particle":"","family":"Khan","given":"Muhammad Shirjeel","non-dropping-particle":"","parse-names":false,"suffix":""},{"dropping-particle":"","family":"Lee","given":"Seung Bok","non-dropping-particle":"","parse-names":false,"suffix":""},{"dropping-particle":"","family":"Song","given":"Rak Hyun","non-dropping-particle":"","parse-names":false,"suffix":""},{"dropping-particle":"","family":"Lee","given":"Jong Won","non-dropping-particle":"","parse-names":false,"suffix":""},{"dropping-particle":"","family":"Lim","given":"Tak Hyoung","non-dropping-particle":"","parse-names":false,"suffix":""},{"dropping-particle":"","family":"Park","given":"Seok Joo","non-dropping-particle":"","parse-names":false,"suffix":""}],"chapter-number":"35","container-title":"Ceramics International","id":"ITEM-1","issue":"1","issued":{"date-parts":[["2016"]]},"page":"35-48","title":"Fundamental mechanisms involved in the degradation of nickel–yttria stabilized zirconia (Ni–YSZ) anode during solid oxide fuel cells operation: A review","type":"article-journal","volume":"42"},"uris":["http://www.mendeley.com/documents/?uuid=30e37a32-e88f-469a-9f05-5ee58878e7d2"]},{"id":"ITEM-2","itemData":{"DOI":"10.1149/2.084311jes","ISBN":"0272-8842","ISSN":"0013-4651","abstract":"The microstructural evolution of Ni -Yttria-Stabilized Zirconia (YSZ) anode functional layers in anode-supported solid oxide fuel cells was studied after aging in humidified hydrogen at temperatures from 900–1100 • C and times up to 500 h. The relatively large (</w:instrText>
      </w:r>
      <w:r w:rsidR="00D80A5D">
        <w:rPr>
          <w:rFonts w:ascii="Cambria Math" w:hAnsi="Cambria Math" w:cs="Cambria Math"/>
        </w:rPr>
        <w:instrText>∼</w:instrText>
      </w:r>
      <w:r w:rsidR="00D80A5D">
        <w:instrText xml:space="preserve">6000 </w:instrText>
      </w:r>
      <w:r w:rsidR="00D80A5D">
        <w:rPr>
          <w:rFonts w:ascii="Calibri" w:hAnsi="Calibri" w:cs="Calibri"/>
        </w:rPr>
        <w:instrText>μ</w:instrText>
      </w:r>
      <w:r w:rsidR="00D80A5D">
        <w:instrText>m 3) three-dimensional transmission X-ray microscopy images provided good statistics in measured microstructural data. Feature sizes in the YSZ and Ni phases changed little until the highest temperature and time, whereas the pore phase feature size increased for all temperatures and times. Ni-YSZ interfacial area increased at the expense of pore-YSZ interfaces after moderate annealing, with a general decrease in interfacial areas observed at longer times and higher temperatures. Three-phase boundary (TPB) density decreased rapidly initially, but then more slowly, with increasing annealing temperature and time. Electrochemical impedance spectroscopy measurements showed a corresponding increase in the anode response associated with electrochemical hydrogen oxidation at TPBs. A higher fraction of isolated pores and larger pore tortuosity was observed at intermediate annealing temperatures and times, with a corresponding increase in the gas diffusion impedance response. Solid oxide fuel cell (SOFC) systems are being developed mainly for stationary power generation, where they should operate with minimal performance loss at elevated temperature for at least 40,000 hours. 1 Achieving minimal long-term degradation is thus crit-ical to the commercialization these systems. Coarsening of Ni parti-cles in nickel – yttria stabilized zirconia (Ni-YSZ) anodes has been reported as a reason for SOFC performance degradation. 2–4 While these studies have mostly quantified Ni coarsening, it is also desir-able to have a more complete description of Ni-YSZ anode structural evolution including the YSZ and pore phases, since the electrode po-larization resistance depends on many structural factors. Furthermore, Ni-YSZ anodes with different characteristic microstructures – includ-ing the volume fractions of the solid and pore phases, particle sizes, etc. – will presumably evolve differently for a given set of operating conditions. For example, Cronin et al. 5 suggested that anodes with low Ni content and low pore volume are less susceptible to Ni coars-ening. Thus, it is important to provide a full description of the anode microstructure in studies of microstructural evolution. Focused ion beam – scanning electro…","author":[{"dropping-particle":"","family":"Chen-Wiegart","given":"Yu-chen Karen","non-dropping-particle":"","parse-names":false,"suffix":""},{"dropping-particle":"","family":"Barnett","given":"Scott A.","non-dropping-particle":"","parse-names":false,"suffix":""},{"dropping-particle":"","family":"Cronin","given":"J. Scott","non-dropping-particle":"","parse-names":false,"suffix":""},{"dropping-particle":"","family":"Wang","given":"Jun","non-dropping-particle":"","parse-names":false,"suffix":""},{"dropping-particle":"","family":"Kennouche","given":"David","non-dropping-particle":"","parse-names":false,"suffix":""}],"container-title":"Journal of The Electrochemical Society","id":"ITEM-2","issue":"11","issued":{"date-parts":[["2013"]]},"language":"English","note":"From Duplicate 1 (Three-Dimensional Microstructural Evolution of Ni- Yttria-Stabilized Zirconia Solid Oxide Fuel Cell Anodes At Elevated Temperatures - Chen-Wiegart, Yu-chen Karen; Barnett, Scott A.; Cronin, J. Scott; Wang, Jun; Kennouche, David)\n\nCited By :14\nExport Date: 30 November 2016\nCODEN: JESOA\nCorrespondence Address: Department of Materials Science and Engineering, Northwestern University, Evanston, IL 60208, United States\nFunding Details: DMR-0907639, NSF, National Science Foundation\nFunding Details: DOE, U.S. Department of Energy\nReferences: Minh, N.Q., (1993) Journal of the American Ceramic Society, 76, p. 563; Simwonis, D., Tietz, F., Stöver, D., (2000) Solid State Ionics, 132, p. 241; Faes, A., Hessler-Wyser, A., Presvytes, D., Vayenas, C.G., Van Herle, J., (2009) Fuel Cells, 9, p. 841; Tanasini, P., Cannarozzo, M., Costamagna, P., Faes, A., Van Herle, J., Hessler-Wyser, A., Comninellis, C., (2009) Fuel Cells, 9, p. 740; Cronin, J.S., Wilson, J.R., Barnett, S.A., (2011) Journal of Power Sources, 196, p. 2640; Chen, H.-Y., Yu, H.-C., Cronin, J.S., Wilson, J.R., Barnett, S.A., Thornton, K., (2011) Journal of Power Sources, 196, p. 1333; Jiao, Z., Shikazono, N., (2013) Journal of the Electrochemical Society, 160, pp. F709; Wilson, J.R., Kobsiriphat, W., Mendoza, R., Chen, H.Y., Hiller, J.M., Miller, D.J., Thornton, K., Barnett, S.A., (2006) Nature Materials, 5, p. 541; Cronin, J.S., Muangnapoh, K., Patterson, Z., Yakal-Kremski, K.J., Dravid, V.P., Barnett, S.A., (2012) Journal of the Electrochemical Society, 159, pp. B385; Chen-Wiegart, Y.C.K., Cronin, J.S., Yuan, Q.X., Yakal-Kremski, K.J., Barnett, S.A., Wang, J., (2012) Journal of Power Sources, 218, p. 348; Holzer, L., Iwanschitz, B., Hocker, T., Munch, B., Prestat, M., Wiedenmann, D., Vogt, U., Graule, T., (2011) Journal of Power Sources, 196, p. 1279; Iwanschitz, B., Holzer, L., Mai, A., Schutze, M., (2012) Solid State Ionics, 211, p. 69; Nelson, G.J., Grew, K.N., Izzo Jr., J.R., Lombardo, J.J., Harris, W.M., Faes, A., Hessler-Wyser, A., Chiu, W.K.S., (2012) Acta Materialia, 60, p. 3491; Jiao, Z.J., Shikazono, N., Kasagi, N., (2012) Journal of the Electrochemical Society, 159, pp. B285; Shearing, P.R., Bradley, R.S., Gelb, J., Lee, S.N., Atkinson, A., Withers, P.J., Brandon, N.P., (2011) Electrochemical and Solid-State Letters, 14, pp. B117; Liu, R.R., Kim, S.H., Taniguchi, S., Oshima, T., Shiratori, Y., Ito, K., Sasaki, K., (2011) Journal of Power Sources, 196, p. 7090; Cronin, J.S., Chen-Wiegart, Y.C.K., Wang, J., Barnett, S.A., (2013) Journal of Power Sources, 233, p. 174; Wilson, J.R., Cronin, J.S., Barnett, S.A., (2011) Scripta Materialia, 65, p. 67; Jiang, S.P., (2003) Journal of Materials Science, 38, p. 3775; Hagen, A., Barfod, R., Hendriksen, P.V., Liu, Y.L., Ramousse, S., (2006) Journal of the Electrochemical Society, 153, pp. A1165; Nicholas, J.D., Barnett, S.A., (2010) Journal of the Electrochemical Society, 157, pp. B536; Wang, J., Chen, Y.C.K., Yuan, Q.X., Tkachuk, A., Erdonmez, C., Hornberger, B., Feser, M., (2012) Applied Physics Letters, 100, p. 143107; Natterer, F., (2001) The Mathematics of Computerized Tomography, , Society for Industrial and Applied Mathematics; Wilson, J.R., Cronin, J.S., Duong, A.T., Rukes, S., Chen, H.Y., Thornton, K., Mumm, D.R., Barnett, S., (2010) Journal of Power Sources, 195, p. 1829; Shearing, P.R., Gelb, J., Yi, J., Lee, W.K., Drakopolous, M., Brandon, N.P., (2010) Electrochemistry Communications, 12, p. 1021; Shearing, P.R., Cai, Q., Golbert, J.I., Yufit, V., Adjiman, C.S., Brandon, N.P., (2010) Journal of Power Sources, 195, p. 4804; Metcalfe, C., Kesler, O., Rivard, T., Gitzhofer, F., Abatzoglou, N., (2010) Journal of the Electrochemical Society, 157, pp. B1326; Chen-Wiegart, Y.C.K., Demike, R., Erdonmez, C., Barnett, S., Thornton, K., Wang, J., Tortuosity Characterization of 3D Microstructure at Nano-scale for Energy Storage and Conversion Materials, , in preparation; Primdahl, S., Mogensen, M., (1998) Journal of the Electrochemical Society, 145, p. 2431; Jensen, S.H., Hjelm, J., Hagen, A., Mogensen, M., (2006) Handbook of Fuel Cells; Leonide, A., Weber, A., Ivers-Tiffée, E., (2010), p. 1183Leonide, A., Sonn, V., Weber, A., Ivers-Tiffee, E., (2008) Journal of the Electrochemical Society, 155, pp. B36; Zhu, H.Y., Kromp, A., Leonide, A., Ivers-Tiffee, E., Deutschmann, O., Kee, R.J., (2012) Journal of the Electrochemical Society, 159, pp. F255; Tanner, C.W., Fung, K.Z., Virkar, A.V., (1997) Journal of the Electrochemical Society, 144, p. 21; Bessler, W.G., Vogler, M., Stormer, H., Gerthsen, D., Utz, A., Weber, A., Ivers-Tiffee, E., (2010) Physical Chemistry Chemical Physics, 12, p. 13888","page":"F1293-F1304","title":"Three-Dimensional Microstructural Evolution of Ni- Yttria-Stabilized Zirconia Solid Oxide Fuel Cell Anodes At Elevated Temperatures","type":"article-journal","volume":"160"},"uris":["http://www.mendeley.com/documents/?uuid=81e763dd-bd5d-446a-ac00-3e12937f51c7"]}],"mendeley":{"formattedCitation":"[105], [136]","plainTextFormattedCitation":"[105], [136]","previouslyFormattedCitation":"[105], [136]"},"properties":{"noteIndex":0},"schema":"https://github.com/citation-style-language/schema/raw/master/csl-citation.json"}</w:instrText>
      </w:r>
      <w:r>
        <w:fldChar w:fldCharType="separate"/>
      </w:r>
      <w:r w:rsidR="006C586A" w:rsidRPr="006C586A">
        <w:rPr>
          <w:noProof/>
        </w:rPr>
        <w:t>[105], [136]</w:t>
      </w:r>
      <w:r>
        <w:fldChar w:fldCharType="end"/>
      </w:r>
      <w:r w:rsidRPr="002B6C9E">
        <w:t xml:space="preserve">. </w:t>
      </w:r>
    </w:p>
    <w:p w14:paraId="65A15235" w14:textId="735D69B7" w:rsidR="00007F6C" w:rsidRDefault="00007F6C" w:rsidP="00007F6C">
      <w:pPr>
        <w:jc w:val="both"/>
      </w:pPr>
      <w:r w:rsidRPr="00853525">
        <w:t xml:space="preserve">In response to these issues </w:t>
      </w:r>
      <w:r>
        <w:t>SOFC</w:t>
      </w:r>
      <w:r w:rsidRPr="00853525">
        <w:t xml:space="preserve"> anode research transitioned to produce a microstructurally tailored systems known as a nanostructured electrodes</w:t>
      </w:r>
      <w:r>
        <w:t xml:space="preserve"> </w:t>
      </w:r>
      <w:r>
        <w:fldChar w:fldCharType="begin" w:fldLock="1"/>
      </w:r>
      <w:r w:rsidR="00D80A5D">
        <w:instrText>ADDIN CSL_CITATION {"citationItems":[{"id":"ITEM-1","itemData":{"DOI":"10.1016/j.cocis.2009.04.006","ISBN":"1359-0294","ISSN":"13590294","abstract":"Solid oxide fuel cells (SOFC) have much promise as efficient devices for the direct conversion of the energy stored in chemical fuels into electricity. The development of highly robust SOFC that can operate on a range of fuels, however, requires improvements in the electrodes, especially the anode, where nanoscale engineering of the structure is required in order to maximize the number of sites where the electrochemical reactions take place. In this article we review the approaches that are currently being used to improve anode performance and microstructure with a focus on new materials and synthesis techniques. © 2009 Elsevier Ltd. All rights reserved.","author":[{"dropping-particle":"","family":"Gorte","given":"R. J.","non-dropping-particle":"","parse-names":false,"suffix":""},{"dropping-particle":"","family":"Vohs","given":"J. M.","non-dropping-particle":"","parse-names":false,"suffix":""}],"container-title":"Current Opinion in Colloid and Interface Science","id":"ITEM-1","issue":"4","issued":{"date-parts":[["2009"]]},"page":"236-244","publisher":"Elsevier Ltd","title":"Nanostructured anodes for solid oxide fuel cells","type":"article-journal","volume":"14"},"uris":["http://www.mendeley.com/documents/?uuid=788006af-4360-473a-8ac7-32adc401e985"]},{"id":"ITEM-2","itemData":{"DOI":"10.1039/c1ee01982a","ISBN":"1754-5692","ISSN":"17545692","abstract":"Reduced-temperature solid oxide fuel cells (SOFCs), featuring thin strontium- and magnesium-doped lanthanum gallate (LSGM) electrolytes and nano-scale Ni anodes, showed high power densities of 1.20 W cm-2 at 650 [degree]C and 0.39 W cm-2 at 550 [degree]C when operated on humidified hydrogen fuel and air oxidant.","author":[{"dropping-particle":"","family":"Zhan","given":"Zhongliang","non-dropping-particle":"","parse-names":false,"suffix":""},{"dropping-particle":"","family":"Bierschenk","given":"David M.","non-dropping-particle":"","parse-names":false,"suffix":""},{"dropping-particle":"","family":"Cronin","given":"J. Scott","non-dropping-particle":"","parse-names":false,"suffix":""},{"dropping-particle":"","family":"Barnett","given":"Scott A.","non-dropping-particle":"","parse-names":false,"suffix":""}],"container-title":"Energy and Environmental Science","id":"ITEM-2","issue":"10","issued":{"date-parts":[["2011"]]},"language":"English","note":"Cited By :59\nExport Date: 18 October 2016\nCorrespondence Address: Zhan, Z.; CAS Key Laboratory of Materials for Energy Conversion, Shanghai Institute of Ceramics, Chinese Academy of Sciences (SICCAS), 1295 Dingxi Road, Shanghai 200050, China; email: zzhan@mail.sic.ac.cn\nReferences: Fergus, J.W., (2006) J. Power Sources, 162, pp. 30-40; Wilson, J.R., Kobsiriphat, W., Mendoza, R., Chen, H.Y., Hiller, J.M., Miller, D.J., Thornton, K., Barnett, S.A., (2006) Nat. Mater., 5, pp. 541-544; Cronin, J.S., Wilson, J.R., Barnett, S.A., (2011) J. Power Sources, 196, pp. 2640-2643; Leonide, A., Sonn, V., Weber, A., Ivers-Tiffee, E., (2008) J. Electrochem. Soc., 155, pp. 36-B41; Nicholas, J.D., Barnett, S.A., (2010) J. Electrochem. Soc., 157, pp. 536-B541; Shao, Z.P., Haile, S.M., (2004) Nature, 431, pp. 170-173; Xia, C.R., Zhao, F., Wang, Z.Y., Liu, M.F., Zhang, L., Chen, F.L., (2008) J. Power Sources, 185, pp. 13-18; Huang, K.Q., Goodenough, J.B., (2000) J. Alloys Compd., 303, pp. 454-464; Lin, Y.B., Barnett, S.A., (2006) Electrochem. Solid-State Lett., 9, pp. 285-A288; Huang, K., Wan, J., Goodenough, J.B., (2001) J. Mater. Sci., 36, pp. 1093-1098; Yan, J., Matsumoto, H., Akbay, T., Yamada, T., Ishihara, T., (2006) J. Power Sources, 157, pp. 714-719; Zhan, Z.L., Barnett, S.A., (2006) J. Power Sources, 157, pp. 422-429; Park, S.D., Vohs, J.M., Gorte, R.J., (2000) Nature, 404, pp. 265-267; Gorte, R.J., Park, S., Vohs, J.M., Wang, C.H., (2000) Adv. Mater., 12, pp. 1465-1469; Gorte, R.J., Vohs, J.M., (2009) Curr. Opin. Colloid Interface Sci., 14, pp. 236-244; Vohs, J.M., Gorte, R.J., (2009) Adv. Mater., 21, pp. 943-956; Singh, C.A., Krishan, V.V., (2008) ECS Trans., 6, pp. 25-32; Hagen, A., Liu, Y.L., Barfod, R., Hendriksen, P.V., (2007) ECS Trans., 7, pp. 301-309; Tanner, C.W., Fung, K.Z., Virkar, A.V., (1997) J. Electrochem. Soc., 144, pp. 21-30; Hansen, K.V., Norrman, K., Mogensen, M., (2004) J. Electrochem. Soc., 151, pp. 1436-A1444; Bieberle, A., Meier, L.P., Gauckler, L.J., (2001) J. Electrochem. Soc., 148, pp. 646-A656; Mizusaki, J., Tagawa, H., Saito, T., Kamitani, K., Yamamura, T., Hirano, K., Ehara, S., Hashimoto, K., (1994) J. Electrochem. Soc., 141, pp. 2129-2134; Von Dollen, P., Barnett, S., (2005) J. Am. Ceram. Soc., 88, pp. 3361-3368; Pillai, M.R., Jiang, Y., Mansourian, N., Kim, I., Bierschenk, D.M., Zhu, H.Y., Kee, R.J., Barnett, S.A., (2008) Electrochem. Solid-State Lett., 11, pp. 174-B177; Shah, M., Hughes, G., Voorhees, P.W., Barnett, S.A., (2011) ECS Trans., 35, pp. 2045-2053","page":"3951-3954","title":"A reduced temperature solid oxide fuel cell with nanostructured anodes","type":"article-journal","volume":"4"},"uris":["http://www.mendeley.com/documents/?uuid=111c3a48-7020-4e1a-93b0-52db039d337a"]}],"mendeley":{"formattedCitation":"[108], [137]","plainTextFormattedCitation":"[108], [137]","previouslyFormattedCitation":"[108], [137]"},"properties":{"noteIndex":0},"schema":"https://github.com/citation-style-language/schema/raw/master/csl-citation.json"}</w:instrText>
      </w:r>
      <w:r>
        <w:fldChar w:fldCharType="separate"/>
      </w:r>
      <w:r w:rsidR="006C586A" w:rsidRPr="006C586A">
        <w:rPr>
          <w:noProof/>
        </w:rPr>
        <w:t>[108], [137]</w:t>
      </w:r>
      <w:r>
        <w:fldChar w:fldCharType="end"/>
      </w:r>
      <w:r w:rsidRPr="00853525">
        <w:t>.</w:t>
      </w:r>
      <w:r w:rsidRPr="002B6C9E">
        <w:t xml:space="preserve"> </w:t>
      </w:r>
      <w:r>
        <w:t xml:space="preserve">These systems were designed to maximise the active triple phase boundaries present in the fuel electrode to increase the power density and decrease cost </w:t>
      </w:r>
      <w:r>
        <w:fldChar w:fldCharType="begin" w:fldLock="1"/>
      </w:r>
      <w:r w:rsidR="00D80A5D">
        <w:instrText>ADDIN CSL_CITATION {"citationItems":[{"id":"ITEM-1","itemData":{"DOI":"10.1039/c1ee02445k","ISSN":"17545692","abstract":"The 2012 Department of Energy (DOE) budget request significantly reduces fuel cell RD&amp;D funding and would cease to support the Solid State Energy Conversion Alliance (SECA), DOE's solid oxide fuel cell (SOFC) program. This would be a grave mistake considering the US's historic dominance in fuel cell RD&amp;D, exciting recent technological advancements in fuel cells, and clear positive market signals around the globe. In this paper we discuss DOE's energy RD&amp;D policy, how SOFCs address every key DOE strategy, and why recent advances should make SOFCs an integral part of our energy RD&amp;D policy. Moreover, we compare the prospects of low temperature SOFCs with the more common proton exchange membrane fuel cell (PEMFC) in the absence of a hydrogen infrastructure. © The Royal Society of Chemistry 2012.","author":[{"dropping-particle":"","family":"Wachsman","given":"Eric D.","non-dropping-particle":"","parse-names":false,"suffix":""},{"dropping-particle":"","family":"Marlowe","given":"Craig A.","non-dropping-particle":"","parse-names":false,"suffix":""},{"dropping-particle":"","family":"Lee","given":"Kang Taek","non-dropping-particle":"","parse-names":false,"suffix":""}],"container-title":"Energy and Environmental Science","id":"ITEM-1","issue":"2","issued":{"date-parts":[["2012"]]},"page":"5498-5509","title":"Role of solid oxide fuel cells in a balanced energy strategy","type":"article-journal","volume":"5"},"uris":["http://www.mendeley.com/documents/?uuid=4cb63338-bf7a-47f2-a752-19de48ac0023"]},{"id":"ITEM-2","itemData":{"DOI":"10.1557/mrs.2014.192","ISBN":"0883-7694\r1938-1425","ISSN":"08837694","abstract":"ABSTRACT Solid-oxide fuel cells (SOFCs) are unique in their ability to directly convert the chemical energy of a wide variety of fuels to electric power with unmatched energy conversion efficiency. The articles in this issue of MRS Bulletin highlight the enormous potential of, and recent progress toward, operating SOFCs at lower temperatures (&lt;650°C). Lower temperatures dramatically increase the number of potential applications for this technology as well as provide the opportunity to incorporate a wider variety of materials in SOFC power generation systems with greater reliability and lower cost. The articles in this issue describe materials development and processing for low-temperature SOFCs, including the enabling of nanotechnology and microelectromechanical systems-based cell designs, the development of highly active electrodes and their three-dimensional microstructural characterization, as well as the use of novel proton-conducting electrolytes, all of which provide new avenues of research. New fabrication methods are also being applied in the development of micro-SOFCs and microtubular SOFCs with higher power densities. Finally, advances in lowering performance degradation rates, a critical commercialization issue, are described.","author":[{"dropping-particle":"","family":"Wachsman","given":"Eric","non-dropping-particle":"","parse-names":false,"suffix":""},{"dropping-particle":"","family":"Ishihara","given":"Tatsumi","non-dropping-particle":"","parse-names":false,"suffix":""},{"dropping-particle":"","family":"Kilner","given":"John","non-dropping-particle":"","parse-names":false,"suffix":""}],"container-title":"MRS Bulletin","id":"ITEM-2","issue":"9","issued":{"date-parts":[["2014"]]},"page":"773-779","title":"Low-temperature solid-oxide fuel cells","type":"article-journal","volume":"39"},"uris":["http://www.mendeley.com/documents/?uuid=3fdf6685-8553-42be-93dd-627e1d6bf7e2"]},{"id":"ITEM-3","itemData":{"DOI":"10.1149/1.3205567","ISBN":"19385862 (ISSN); 9781566777391 (ISBN)","abstract":"A high performance anode supported solid oxide fuel cell (SOFC) is developed by low-cost tape casting, co-sintering and nano-ion conductor infiltration techniques. A mixture of gadolinium and cerium nitrate solution is infiltrated into both anode and cathode layers and fired at a temperature that gadolinium nitrate and cerium nitrate undergoes a solid state reaction and forms nano ion conductor phase in both electrodes. The effect of molar concentrations and firing temperature of nano ion conductor phase on the cell performance are investigated. The measurements show that nano-sized ion conductor infiltration significantly improves the cell performance. The cell provides 1.718 Wcm -2 maximum power density at an operation temperature of 750°C. The high performance is attributed to increase in the oxide ion conductivity and three phase boundaries of both anode and cathode layers by nano ion-conductor infiltration. ©The Electrochemical Society.","author":[{"dropping-particle":"","family":"Timurkutluk","given":"Ç","non-dropping-particle":"","parse-names":false,"suffix":""},{"dropping-particle":"","family":"Timurkutluk","given":"B","non-dropping-particle":"","parse-names":false,"suffix":""},{"dropping-particle":"","family":"Mat","given":"M D","non-dropping-particle":"","parse-names":false,"suffix":""},{"dropping-particle":"","family":"Kaplan","given":"Y","non-dropping-particle":"","parse-names":false,"suffix":""},{"dropping-particle":"","family":"Ibrahimoglu","given":"B","non-dropping-particle":"","parse-names":false,"suffix":""},{"dropping-particle":"","family":"Pamuk","given":"I","non-dropping-particle":"","parse-names":false,"suffix":""},{"dropping-particle":"","family":"High Temperature","given":"Materials","non-dropping-particle":"","parse-names":false,"suffix":""},{"dropping-particle":"","family":"Battery","given":"","non-dropping-particle":"","parse-names":false,"suffix":""},{"dropping-particle":"","family":"Energy","given":"Technology","non-dropping-particle":"","parse-names":false,"suffix":""}],"container-title":"11th International Symposium on Solid Oxide Fuel Cells (SOFC-XI)- 216th ECS Meeting","edition":"2 PART 1","id":"ITEM-3","issued":{"date-parts":[["2009"]]},"language":"English","note":"Conference code: 79121\nExport Date: 20 January 2017\nCorrespondence Address: Timurkutluk, Ç.; HYTEM, Nigde University, Mechanical Engineering Department, Nigde, Turkey\nReferences: Jiang, S.P., (2006) Materials Science and Engineering A, 418, pp. 199-210; Jiang, S.P., Zhang, S., Zhen, Y.D., Wang, W., (2005) J. Am. Ceram. Soc, 88, pp. 1779-1785; Jiang, S.P., Duan, Y.Y., Love, J.G., (2002) J. Electrochem. Soc, 149, pp. A1175-A1183; Craciun, R., Park, S., Gorte, R.J., Vohs, J.M., Wang, C., Worrell, W.L., (1999) J. Electrochem. Soc, 146, pp. 4019-4022; Lu, C., Worrell, W.L., Gorte, R.J., Vohs, J.M., (2003) J. Electrochem. Soc, 150, pp. A354-A358; S. Park, R. J. Gorte, J. M. Vohs, J. Electrochem. Soc., 148 (2001) A443-A447Zha, S., Moore, A., Abernathy, H., Liu, M., (2004) J. Electrochem. Soc, 151, pp. A1128-A1133; Yamahara, K., Jacobson, C.P., Visco, S.J., De Jonghe, L.C., (2005) Solid State Ionics, 176, pp. 451-456; H. Uchida, H. Suzuki, M. Watanabe, M., J. Electrochem. Soc., 145 (1998) 615-620McIntosh, S., Vohs, J.M., Gorte, R.J., (2003) Electrochem. Solid-State Lett, 6, pp. A240-A243; Simner, S.P., Bonnett, J.F., Canfield, N.L., Meinhardt, K.D., Shelton, J.P., Sprenkle, V.L., Stevenson, J.W., (2003) J. Power Sources, 113, pp. 1-10","page":"559-566","publisher-place":"Vienna","title":"Effect of nano ion conductor infiltration on the performance of anode supported solid oxide fuel cells","type":"paper-conference","volume":"25"},"uris":["http://www.mendeley.com/documents/?uuid=e81f3b00-ef88-462c-ba9f-916b029c9984"]}],"mendeley":{"formattedCitation":"[3], [138], [139]","plainTextFormattedCitation":"[3], [138], [139]","previouslyFormattedCitation":"[3], [138], [139]"},"properties":{"noteIndex":0},"schema":"https://github.com/citation-style-language/schema/raw/master/csl-citation.json"}</w:instrText>
      </w:r>
      <w:r>
        <w:fldChar w:fldCharType="separate"/>
      </w:r>
      <w:r w:rsidR="006C586A" w:rsidRPr="006C586A">
        <w:rPr>
          <w:noProof/>
        </w:rPr>
        <w:t>[3], [138], [139]</w:t>
      </w:r>
      <w:r>
        <w:fldChar w:fldCharType="end"/>
      </w:r>
      <w:r>
        <w:t xml:space="preserve">. </w:t>
      </w:r>
    </w:p>
    <w:p w14:paraId="1B1609D7" w14:textId="77777777" w:rsidR="00007F6C" w:rsidRPr="002B6C9E" w:rsidRDefault="00007F6C" w:rsidP="004B726A">
      <w:pPr>
        <w:pStyle w:val="Heading3"/>
      </w:pPr>
      <w:bookmarkStart w:id="58" w:name="_Toc69129365"/>
      <w:bookmarkStart w:id="59" w:name="_Toc474489922"/>
      <w:r>
        <w:t>2.2.2</w:t>
      </w:r>
      <w:r>
        <w:tab/>
      </w:r>
      <w:r w:rsidRPr="002B6C9E">
        <w:t>Infiltration</w:t>
      </w:r>
      <w:bookmarkEnd w:id="58"/>
    </w:p>
    <w:p w14:paraId="37844B8E" w14:textId="4AC3EDB1" w:rsidR="00007F6C" w:rsidRDefault="00007F6C" w:rsidP="00007F6C">
      <w:pPr>
        <w:jc w:val="both"/>
      </w:pPr>
      <w:r w:rsidRPr="002B6C9E">
        <w:t>Infiltration</w:t>
      </w:r>
      <w:r>
        <w:t xml:space="preserve"> (also known as wet impregnation)</w:t>
      </w:r>
      <w:r w:rsidRPr="002B6C9E">
        <w:t xml:space="preserve"> has become one of the emerging technologies </w:t>
      </w:r>
      <w:r>
        <w:t>for nanostructured</w:t>
      </w:r>
      <w:r w:rsidRPr="002B6C9E">
        <w:t xml:space="preserve"> electrode fabrication</w:t>
      </w:r>
      <w:r>
        <w:t xml:space="preserve"> </w:t>
      </w:r>
      <w:r>
        <w:fldChar w:fldCharType="begin" w:fldLock="1"/>
      </w:r>
      <w:r w:rsidR="00D80A5D">
        <w:instrText>ADDIN CSL_CITATION {"citationItems":[{"id":"ITEM-1","itemData":{"DOI":"10.1149/1.1392586","ISBN":"00134651 (ISSN)","abstract":"A new method for fabrication of metal-cermet anodes in solid-oxide fuel cells (SOFCs) has been developed. Highly porous, yttria-stabilized zirconia (YSZ) films were prepared using a mixture of zircon fibers (YSZp, Si-stabilized, and &amp;lt;0.3% Si) and normal YSZ powders (YSZd). The films remained highly porous following calcination up to 1550 °C, after which either Cu or Ni could be incorporated by impregnation with the nitrate salts. For Cu cermets, the performance increased with metal loading to at least 40% Cu. At 800 °C using H2 as the fuel and a 230 μm, YSZ electrolyte, the current-voltage (I-V) curves for either a Cu- or Ni-cermet anode formed using this new method were found to be identical to the I-V curve for a Ni cermet formed using traditional methods. Scanning electron microscopy showed that the anode films remained porous even with addition of Cu, so that additional modification was possible. Tests of this concept through the addition of ceria by impregnation with the Ce(NO3)3 led to an additional increase in the cell performance.","author":[{"dropping-particle":"","family":"Craciun","given":"R","non-dropping-particle":"","parse-names":false,"suffix":""},{"dropping-particle":"","family":"Park","given":"S","non-dropping-particle":"","parse-names":false,"suffix":""},{"dropping-particle":"","family":"Gorte","given":"R J","non-dropping-particle":"","parse-names":false,"suffix":""},{"dropping-particle":"","family":"Vohs","given":"J M","non-dropping-particle":"","parse-names":false,"suffix":""},{"dropping-particle":"","family":"Wang","given":"C","non-dropping-particle":"","parse-names":false,"suffix":""},{"dropping-particle":"","family":"Worrell","given":"W L","non-dropping-particle":"","parse-names":false,"suffix":""}],"container-title":"Journal of the Electrochemical Society","id":"ITEM-1","issue":"11","issued":{"date-parts":[["1999"]]},"language":"English","note":"Cited By :103\nExport Date: 25 November 2016\nCODEN: JESOA\nCorrespondence Address: Craciun, R.; Univ of Pennsylvania, Philadelphia, United States\nReferences: Tsai, T., Barnett, S.A., (1998) J. Electrochem. Soc., 145, p. 1696; Itoh, H., Yamamoto, T., Mori, M., Horita, T., Sakai, N., Yokokawa, H., Dokiya, M., (1997) J. Electrochem. Soc., 144, p. 641; Itoh, H., Yamamoto, T., Mori, M., Watanabe, T., Abe, T., (1996) Denki Kagaku Oyobi Kogyo Butsuri Kagatu, 64, p. 549; Morgensen, M., Skaarup, S., (1996) Solid State Ionics, 86-88, p. 1151; Watanabe, M., Uchida, H., Shibata, M., Mochizuki, N., Amikura, K., (1994) J. Electrochem. Soc., 141, p. 342; Baker, R.T.K., (1989) Carbon, 27, p. 315; Bartholomew, C.H., (1982) Catal. Rev.-Sci. Eng., 24, p. 67; Alqahlany, H., Eng, D., Stoukides, M., (1993) Energy Fuels, 7, p. 495; Eguchi, K., Setoguchi, T., Inoue, T., Arai, H., (1992) Solid State Ionics, 52, p. 165; Mogensen, G., (1994) J. Electrochem. Soc., 141, p. 2122; Putna, E.S., Stuberauch, J., Vohs, J.M., Gorte, R.J., (1995) Langmuir, 11, p. 4832; Baker, R.T., Metcalfe, I.S., Middleton, P.H., Steele, B.C.H., (1994) Solid Statt Ionics, 72, p. 328; Asano, K., Hibino, T., Iwahara, H., (1995) J. Electrochem. Soc., 142, p. 3241; Hiei, Y., Ishihara, T., Takita, Y., (1996) Solid State Ionics, 86-88, p. 1267; Sammes, N.M., Brown, M., Brown, I.W.M., (1996) J. Mater. Sci., 31, p. 6060; Kawada, T., Sakai, N., Yokokawa, H., Dokiya, M., (1992) Solid State Ionics, 53-56, p. 418; Virkar, A.V., Fung, K.Z., U.S. Pat. 5,543,239 (1996)Park, S., Craciun, R., Vohs, J.M., Gorte, R.J., (1999) J. Electrochem. Soc., 146, p. 3603","page":"4019-4022","publisher":"Electrochemical Soc Inc","publisher-place":"Pennington, NJ, United States","title":"Novel method for preparing anode cermets for solid oxide fuel cells","type":"article-journal","volume":"146"},"uris":["http://www.mendeley.com/documents/?uuid=4ed5242c-92be-4a83-a5c2-01594c1a0185"]},{"id":"ITEM-2","itemData":{"DOI":"10.1149/1.1392586","ISBN":"00134651 (ISSN)","ISSN":"00134651","abstract":"A new method for fabrication of metal-cermet anodes in solid-oxide fuel cells (SOFCs) has been developed. Highly porous, yttria-stabilized zirconia (YSZ) films were prepared using a mixture of zircon fibers (YSZp, Si-stabilized, and &lt;0.3% Si) and normal YSZ powders (YSZd). The films remained highly porous following calcination up to 1550 degrees C, after which either Cu or Ni could be incorporated by impregnation with the nitrate salts. For Cu cermets, the performance increased with metal loading to at least 40% Cu. At 800 degrees C using H-2 as the fuel and a 230 mu m, YSZ electrolyte, the current-voltage (I-V) curves for either a Cu- or Ni-cermet anode formed using this new method were found to be identical to the I-V curve for a Ni cermet formed using traditional methods. Scanning electron microscopy showed that the anode films remained porous even with addition of Cu, so that additional modification was possible. Tests of this concept through the addition of ceria by impregnation with the Ce(NO3)(3) led to an additional increase in the cell performance. (C) 1999 The Electrochemical Society. S0013-4651(99)04-074-4. All rights reserved.","author":[{"dropping-particle":"","family":"Craciun","given":"R.","non-dropping-particle":"","parse-names":false,"suffix":""}],"container-title":"Journal of The Electrochemical Society","id":"ITEM-2","issue":"11","issued":{"date-parts":[["2002"]]},"language":"English","note":"Cited By :103\nExport Date: 25 November 2016\nCODEN: JESOA\nCorrespondence Address: Craciun, R.; Univ of Pennsylvania, Philadelphia, United States\nReferences: Tsai, T., Barnett, S.A., (1998) J. Electrochem. Soc., 145, p. 1696; Itoh, H., Yamamoto, T., Mori, M., Horita, T., Sakai, N., Yokokawa, H., Dokiya, M., (1997) J. Electrochem. Soc., 144, p. 641; Itoh, H., Yamamoto, T., Mori, M., Watanabe, T., Abe, T., (1996) Denki Kagaku Oyobi Kogyo Butsuri Kagatu, 64, p. 549; Morgensen, M., Skaarup, S., (1996) Solid State Ionics, 86-88, p. 1151; Watanabe, M., Uchida, H., Shibata, M., Mochizuki, N., Amikura, K., (1994) J. Electrochem. Soc., 141, p. 342; Baker, R.T.K., (1989) Carbon, 27, p. 315; Bartholomew, C.H., (1982) Catal. Rev.-Sci. Eng., 24, p. 67; Alqahlany, H., Eng, D., Stoukides, M., (1993) Energy Fuels, 7, p. 495; Eguchi, K., Setoguchi, T., Inoue, T., Arai, H., (1992) Solid State Ionics, 52, p. 165; Mogensen, G., (1994) J. Electrochem. Soc., 141, p. 2122; Putna, E.S., Stuberauch, J., Vohs, J.M., Gorte, R.J., (1995) Langmuir, 11, p. 4832; Baker, R.T., Metcalfe, I.S., Middleton, P.H., Steele, B.C.H., (1994) Solid Statt Ionics, 72, p. 328; Asano, K., Hibino, T., Iwahara, H., (1995) J. Electrochem. Soc., 142, p. 3241; Hiei, Y., Ishihara, T., Takita, Y., (1996) Solid State Ionics, 86-88, p. 1267; Sammes, N.M., Brown, M., Brown, I.W.M., (1996) J. Mater. Sci., 31, p. 6060; Kawada, T., Sakai, N., Yokokawa, H., Dokiya, M., (1992) Solid State Ionics, 53-56, p. 418; Virkar, A.V., Fung, K.Z., U.S. Pat. 5,543,239 (1996)Park, S., Craciun, R., Vohs, J.M., Gorte, R.J., (1999) J. Electrochem. Soc., 146, p. 3603","page":"4019","publisher":"Electrochemical Soc Inc","publisher-place":"Pennington, NJ, United States","title":"A Novel Method for Preparing Anode Cermets for Solid Oxide Fuel Cells","type":"article-journal","volume":"146"},"uris":["http://www.mendeley.com/documents/?uuid=a9fd746c-293f-494e-9789-a6d90639ef10"]}],"mendeley":{"formattedCitation":"[140], [141]","plainTextFormattedCitation":"[140], [141]","previouslyFormattedCitation":"[140], [141]"},"properties":{"noteIndex":0},"schema":"https://github.com/citation-style-language/schema/raw/master/csl-citation.json"}</w:instrText>
      </w:r>
      <w:r>
        <w:fldChar w:fldCharType="separate"/>
      </w:r>
      <w:r w:rsidR="006C586A" w:rsidRPr="006C586A">
        <w:rPr>
          <w:noProof/>
        </w:rPr>
        <w:t>[140], [141]</w:t>
      </w:r>
      <w:r>
        <w:fldChar w:fldCharType="end"/>
      </w:r>
      <w:r w:rsidRPr="002B6C9E">
        <w:rPr>
          <w:b/>
          <w:bCs/>
        </w:rPr>
        <w:t xml:space="preserve">. </w:t>
      </w:r>
      <w:r w:rsidRPr="002B6C9E">
        <w:t xml:space="preserve">This technique involves the </w:t>
      </w:r>
      <w:r>
        <w:t>injection</w:t>
      </w:r>
      <w:r w:rsidRPr="002B6C9E">
        <w:t xml:space="preserve"> of a liquid solution of metallic nano-catalyst particles and complex agents to a pre-sintered porous substrate</w:t>
      </w:r>
      <w:r>
        <w:t xml:space="preserve"> </w:t>
      </w:r>
      <w:r>
        <w:fldChar w:fldCharType="begin" w:fldLock="1"/>
      </w:r>
      <w:r w:rsidR="00D80A5D">
        <w:instrText>ADDIN CSL_CITATION {"citationItems":[{"id":"ITEM-1","itemData":{"DOI":"10.1016/j.cocis.2009.04.006","ISBN":"1359-0294","ISSN":"13590294","abstract":"Solid oxide fuel cells (SOFC) have much promise as efficient devices for the direct conversion of the energy stored in chemical fuels into electricity. The development of highly robust SOFC that can operate on a range of fuels, however, requires improvements in the electrodes, especially the anode, where nanoscale engineering of the structure is required in order to maximize the number of sites where the electrochemical reactions take place. In this article we review the approaches that are currently being used to improve anode performance and microstructure with a focus on new materials and synthesis techniques. © 2009 Elsevier Ltd. All rights reserved.","author":[{"dropping-particle":"","family":"Gorte","given":"R. J.","non-dropping-particle":"","parse-names":false,"suffix":""},{"dropping-particle":"","family":"Vohs","given":"J. M.","non-dropping-particle":"","parse-names":false,"suffix":""}],"container-title":"Current Opinion in Colloid and Interface Science","id":"ITEM-1","issue":"4","issued":{"date-parts":[["2009"]]},"page":"236-244","title":"Nanostructured anodes for solid oxide fuel cells","type":"article-journal","volume":"14"},"uris":["http://www.mendeley.com/documents/?uuid=b9a8daad-d683-45ae-80ee-8663226563a5"]},{"id":"ITEM-2","itemData":{"DOI":"10.1039/c4ta04789c","ISBN":"20507488 (ISSN)","ISSN":"20507496","abstract":" Infiltration of ceramic materials into a pre-formed ceramic scaffold for a solid oxide fuel cell with nano-structured ceramic electrodes through low-temperature processing led to high performance using H 2 as well as carbonaceous fuel.  Infiltration of ceramic materials into a pre-formed ceramic scaffold is an effective way of fabricating a solid oxide fuel cell with nano-structured ceramic electrodes by avoiding detrimental interfacial reactions through low-temperature processing for achieving high performance using hydrogen as well as a carbonaceous fuel. However, there are significant concerns about the applicability of this method because of the difficulty in fabricating a large-area gas-tight but thin electrolyte between two highly porous ceramic and the multiple repetitions of infiltration process. Here, a large-area (5 cm by 5 cm) scaffold with a thin yttria-stabilized zirconia (YSZ) electrolyte sandwiched between two identical porous structures is prepared by tape casting and co-firing, and then solution precursors are impregnated into the porous scaffolds to prepare nano-structured La 0.8 Sr 0.2 FeO 3 (LSF) and La 0.7 Sr 0.3 VO 3−δ (LSV red ). The thus prepared solid oxide fuel cell with 10 wt% ceria + 1 wt% Pd as a catalyst in anodes shows a peak power of 489 mW cm −2 (</w:instrText>
      </w:r>
      <w:r w:rsidR="00D80A5D">
        <w:rPr>
          <w:rFonts w:ascii="Cambria Math" w:hAnsi="Cambria Math" w:cs="Cambria Math"/>
        </w:rPr>
        <w:instrText>∼</w:instrText>
      </w:r>
      <w:r w:rsidR="00D80A5D">
        <w:instrText xml:space="preserve">6 W per cell) at 800 </w:instrText>
      </w:r>
      <w:r w:rsidR="00D80A5D">
        <w:rPr>
          <w:rFonts w:ascii="Calibri" w:hAnsi="Calibri" w:cs="Calibri"/>
        </w:rPr>
        <w:instrText>°</w:instrText>
      </w:r>
      <w:r w:rsidR="00D80A5D">
        <w:instrText>C using H 2 as a fuel and air as an oxidant. This large-area fuel cell retained the integrity of the thin electrolyte and high performance after the reducing-oxidation cycle at 900 °C, showing superiority over the conventional Ni(O)-YSZ based support. ","author":[{"dropping-particle":"","family":"Ni","given":"C. S.","non-dropping-particle":"","parse-names":false,"suffix":""},{"dropping-particle":"","family":"Vohs","given":"J. M.","non-dropping-particle":"","parse-names":false,"suffix":""},{"dropping-particle":"","family":"Gorte","given":"R. J.","non-dropping-particle":"","parse-names":false,"suffix":""},{"dropping-particle":"","family":"Irvine","given":"J. T.S.","non-dropping-particle":"","parse-names":false,"suffix":""}],"container-title":"Journal of Materials Chemistry A","id":"ITEM-2","issue":"45","issued":{"date-parts":[["2014"]]},"language":"English","note":"Cited By :11\nExport Date: 20 January 2017\nCODEN: JMCAE\nCorrespondence Address: Irvine, J.T.S.; School of Chemistry, University of St AndrewsUnited Kingdom\nFunding details: EPSRC, Engineering and Physical Sciences Research Council\nReferences: (2004) Fuel Cell Handbook 7th Edition, , http://www.netl.doe.gov/technologies/coalpower/fuelcells/seca/pubs/FCHandbook7.pdf, U.S. Department of Energy; Minh, N.Q., (1993) J. Am. Ceram. Soc., 76, pp. 563-588; Marina, O.A., Canfield, N.L., Stevenson, J.W., (2002) Solid State Ionics, 149, pp. 21-28; Ruiz-Morales, J.C., Canales-Vázquez, J., Savaniu, C., Marrero-López, D., Zhou, W., Irvine, J.T.S., (2006) Nature, 439, pp. 568-571; Tao, S., Irvine, J.T.S., (2003) Nat. Mater., 2, pp. 320-323; Tao, S.W., Irvine, J.T.S., Kilner, J.A., (2005) Adv. Mater., 17, pp. 1734-1737; Huang, Y.H., Dass, R.I., Xing, Z.L., Goodenough, J.B., (2006) Science, 312, pp. 254-257; Gorte, R.J., Vohs, J.M., (2011) Annu. Rev. Chem. Biomol. Eng., 2, pp. 9-30; Kim, G., Lee, S., Shin, J.Y., Corre, G., Irvine, J.T.S., Vohs, J.M., Gorte, R.J., (2009) Electrochem. Solid-State Lett., 12, pp. 48-B52; Gorte, R.J., Park, S., Vohs, J.M., Wang, C., (2000) Adv. Mater., 12, pp. 1465-1469; Sholklapper, T.Z., Kurokawa, H., Jacobson, C.P., Visco, S.J., De Jonghe, L.C., (2007) Nano Lett., 7, pp. 2136-2141; Jiang, S.P., (2012) Int. J. Hydrogen Energy, 37, pp. 449-470; Gorte, R.J., Vohs, J.M., (2009) Curr. Opin. Colloid Interface Sci., 14, pp. 236-244; Atkinson, A., Barnett, S., Gorte, R.J., Irvine, J.T.S., McEvoy, A.J., Mogensen, M., Singhal, S.C., Vohs, J., (2004) Nat. Mater., 3, pp. 17-27; Park, J.-S., Hasson, I.D., Gross, M.D., Chen, C., Vohs, J.M., Gorte, R.J., (2011) J. Power Sources, 196, pp. 7488-7494; Cheng, Z., Zha, S., Aguilar, L., Liu, M., (2005) Solid State Ionics, 176, pp. 1921-1928; Adijanto, L., Balaji Padmanabhan, V., Holmes, K.J., Gorte, R.J., Vohs, J.M., (2012) J. Solid State Chem., 190, pp. 12-17; Vohs, J.M., Gorte, R.J., (2009) Adv. Mater., 21, pp. 943-956; De Jonghe, L.C., Jacobson, C.P., Visco, S.J., (2003) Annu. Rev. Mater. Res., 33, pp. 169-182; Sholklapper, T.Z., Jacobson, C.P., Visco, S.J., De Jonghe, L.C., (2008) Fuel Cells, 8, pp. 303-312; Taek, L.K., Yoon, H.S., Ahn, J.S., Wachsman, E.D., (2012) J. Mater. Chem., 22, pp. 17113-17120; Le, S., Sun, K.N., Zhang, N., Zhu, X., Sun, H., Yuan, Y.X., Zhou, X., (2010) J. Power Sources, 195, pp. 2644-2648; Verbraeken, M.C., Iwanschitz, B., Mai, A., Irvine, J.T.S., (2012) J. Electrochem. Soc., 159, pp. 757-F762; An, C.M., Song, J.-H., Kang, I., Sammes, N., (2010) J. Power Sources, 195, pp. 821-824; Shah, P.R., Khader, M.M., Vohs, J.M., Gorte, R.J., (2008) J. Phys. Chem. C, 112, pp. 2613-2617; Li, Y.X., Wu, G.J., Ruan, C., Zhou, Q., Wang, Y., Doherty, W., Xie, K., Wu, Y.C., (2014) J. Power Sources, 253, pp. 349-359; Ge, X., Zhang, L., Fang, Y., Zeng, J., Chan, S.H., (2011) RSC Adv., 1, pp. 715-724; Ge, X.M., Chan, S.H., (2009) J. Electrochem. Soc., 156, pp. 386-B91; Sayer, M., Chen, P., Fletcher, R., Mansingh, A., (1975) J. Phys. C: Solid State Phys., 8, pp. 2059-2071; Kestigian, M., Dickinson, J.G., Ward, R., (1957) J. Am. Chem. Soc., 79, pp. 5598-5601; Chen, J., Liang, F., Yan, D., Pu, J., Chi, B., Jiang, S.P., Jian, L., (2010) J. Power Sources, 195, pp. 5201-5205; Jørgensen, M.J., Mogensen, M., (2001) J. Electrochem. Soc., 148, pp. 433-A442; Cassidy, M., Lindsay, G., Kendall, K., (1996) J. Power Sources, 61, pp. 189-192; Kim, J.S., Wieder, N.L., Abraham, A.J., Cargnello, M., Fornasiero, P., Gorte, R.J., Vohs, J.M., (2011) J. Electrochem. Soc., 158, pp. 596-B600; Park, J.-S., Luo, J., Adijanto, L., Vohs, J.M., Gorte, R.J., (2013) J. Power Sources, 222, pp. 123-128; Corre, G., Kim, G., Cassidy, M., Vohs, J.M., Gorte, R.J., Irvine, J.T.S., (2009) Chem. Mater., 21, pp. 1077-1084","page":"19150-19155","publisher":"Royal Society of Chemistry","title":"Fabrication and characterisation of a large-area solid oxide fuel cell based on dual tape cast YSZ electrode skeleton supported YSZ electrolytes with vanadate and ferrite perovskite-impregnated anodes and cathodes","type":"article-journal","volume":"2"},"uris":["http://www.mendeley.com/documents/?uuid=78e393b3-8ca3-4db6-b222-13bc71edae34"]},{"id":"ITEM-3","itemData":{"DOI":"10.1039/c3ee42926a","ISSN":"17545706","abstract":"Solid oxide fuel cells (SOFCs) have the potential to be one of the cleanest and most efficient energy technologies for direct conversion of chemical fuels to electricity. Economically competitive SOFC systems appear poised for commercialization, but widespread market penetration will require continuous innovation of materials and fabrication processes to enhance system lifetime and reduce cost. One early technical opportunity is minimization of resistance to the oxygen reduction reaction (ORR) at the cathode, which contributes the most to performance degradation and efficiency loss in the existing SOFCs, especially at temperatures &lt;700 °C. Detailed study over the past 15 years has revealed the positive impact of catalyst infiltration on SOFC cathode performance, both in power density and durability metrics. However, realizable performance improvements rely upon strongly-coupled relationships in materials and morphology between the infiltrate and the backbone, and therefore efficacious systems cannot be simply generated with a set of simple heuristics. This article reviews recent progress in enhancing SOFC cathode performance by surface modification through a solution-based infiltration process, focusing on two backbone architectures-inherently functional and skeletal-infiltrated using wet-chemistry processes. An efficient cathode consists of a porous mixed-conducting backbone and an active coating catalyst; the porous backbone provides excellent ionic and electronic conductivity, while the infiltrated surface coating possesses high catalytic activity and stability. As available, performance comparisons are emphasized and reaction schematics for specific infiltrate/backbone systems are summarized. While significant progress has been achieved in enhancing surface catalytic activity and durability, the detailed mechanisms of performance enhancement are insufficiently understood to obtain critical insights and a scientific basis for rational design of more efficient catalysts and novel electrode architectures. Recent progress in characterization of surfaces and interfaces is briefly discussed with challenges and perspectives in surface modification of SOFC electrodes. Surface modification through infiltration is expected to play an increasingly important role in current and next-generation commercial SOFC development, and this review illustrates the sophisticated technical considerations required to inform judicious selection of an infiltrate for a given SO…","author":[{"dropping-particle":"","family":"Ding","given":"Dong","non-dropping-particle":"","parse-names":false,"suffix":""},{"dropping-particle":"","family":"Li","given":"Xiaxi","non-dropping-particle":"","parse-names":false,"suffix":""},{"dropping-particle":"","family":"Lai","given":"Samson Yuxiu","non-dropping-particle":"","parse-names":false,"suffix":""},{"dropping-particle":"","family":"Gerdes","given":"Kirk","non-dropping-particle":"","parse-names":false,"suffix":""},{"dropping-particle":"","family":"Liu","given":"Meilin","non-dropping-particle":"","parse-names":false,"suffix":""}],"container-title":"Energy and Environmental Science","id":"ITEM-3","issue":"2","issued":{"date-parts":[["2014"]]},"page":"552-575","title":"Enhancing SOFC cathode performance by surface modification through infiltration","type":"article-journal","volume":"7"},"uris":["http://www.mendeley.com/documents/?uuid=1a472a66-36e6-427c-a040-6d074b7e0178"]}],"mendeley":{"formattedCitation":"[64], [71], [142]","plainTextFormattedCitation":"[64], [71], [142]","previouslyFormattedCitation":"[64], [71], [142]"},"properties":{"noteIndex":0},"schema":"https://github.com/citation-style-language/schema/raw/master/csl-citation.json"}</w:instrText>
      </w:r>
      <w:r>
        <w:fldChar w:fldCharType="separate"/>
      </w:r>
      <w:r w:rsidR="006C586A" w:rsidRPr="006C586A">
        <w:rPr>
          <w:noProof/>
        </w:rPr>
        <w:t>[64], [71], [142]</w:t>
      </w:r>
      <w:r>
        <w:fldChar w:fldCharType="end"/>
      </w:r>
      <w:r w:rsidRPr="002B6C9E">
        <w:t xml:space="preserve">. This solution coats the scaffold in metallic nanoparticles which also penetrate deep into the pores of the sample. </w:t>
      </w:r>
      <w:r>
        <w:t xml:space="preserve">Post soaking, the solvent is dried, and the resulting infiltrate is calcined resulting in a </w:t>
      </w:r>
      <w:r w:rsidRPr="002B6C9E">
        <w:t>decoration of metal</w:t>
      </w:r>
      <w:r>
        <w:t xml:space="preserve"> oxide</w:t>
      </w:r>
      <w:r w:rsidRPr="002B6C9E">
        <w:t xml:space="preserve"> nanoparticles on the surface of the sample</w:t>
      </w:r>
      <w:r>
        <w:t xml:space="preserve"> (</w:t>
      </w:r>
      <w:r w:rsidRPr="00C31E53">
        <w:fldChar w:fldCharType="begin"/>
      </w:r>
      <w:r w:rsidRPr="00C31E53">
        <w:instrText xml:space="preserve"> REF _Ref51148782 \h  \* MERGEFORMAT </w:instrText>
      </w:r>
      <w:r w:rsidRPr="00C31E53">
        <w:fldChar w:fldCharType="separate"/>
      </w:r>
      <w:r w:rsidR="00C64D74" w:rsidRPr="00C64D74">
        <w:t>Figure 2.3</w:t>
      </w:r>
      <w:r w:rsidRPr="00C31E53">
        <w:fldChar w:fldCharType="end"/>
      </w:r>
      <w:r>
        <w:t xml:space="preserve">) </w:t>
      </w:r>
      <w:r>
        <w:fldChar w:fldCharType="begin" w:fldLock="1"/>
      </w:r>
      <w:r w:rsidR="00D80A5D">
        <w:instrText>ADDIN CSL_CITATION {"citationItems":[{"id":"ITEM-1","itemData":{"DOI":"10.1016/j.msea.2005.11.052","ISBN":"0921-5093","ISSN":"09215093","abstract":"Development of solid oxide fuel cells (SOFC) for operation at intermediate temperatures of 600-800 °C with hydrocarbon fuels requires a cathode and anode with high electrocatalytic activity for O2 reduction and direct oxidation of hydrocarbon fuels, respectively. Wet impregnation is a well known method in the development of heterogeneous catalysts. Surprisingly, very few have concentrated on the application of the wet impregnation technique to deposit nano-sized particles into the established electrode structure of the SOFC. This paper reviews and discusses the progress in the application of the wet impregnation technique in the development of Ni-free Cu-based composite anodes, doped CeO2-impregnated (La, Sr)MnO3 (LSM) cathodes and Ni anodes, Co3O4-infiltrated cathodes and precious metal-impregnated electrodes. Enhancement in the electrode microstructure and cell performance is substantial, showing the great potential of the wet impregnation method in the development of high performance and nano-structured electrodes with specific functions. However, the long-term stability of the impregnated electrode structure needs to be addressed. © 2005 Elsevier B.V. All rights reserved.","author":[{"dropping-particle":"","family":"Jiang","given":"San Ping","non-dropping-particle":"","parse-names":false,"suffix":""}],"container-title":"Materials Science and Engineering A","id":"ITEM-1","issue":"1-2","issued":{"date-parts":[["2006"]]},"page":"199-210","title":"A review of wet impregnation - An alternative method for the fabrication of high performance and nano-structured electrodes of solid oxide fuel cells","type":"article-journal","volume":"418"},"uris":["http://www.mendeley.com/documents/?uuid=3a761968-27e6-45c9-af47-f9d22db8388f"]},{"id":"ITEM-2","itemData":{"DOI":"10.1002/er.1921","ISBN":"0363907X (ISSN)","ISSN":"0363907X","abstract":"A zeolite-water adsorption module, which has been originally constructed for an adsorption heat pump, has been experimentally investigated as an adsorptive thermal energy storage unit. The adsorber/desorber heat exchanger contains 13.2 kg of zeolite 13X and is connected to an evaporator/condenser heat exchanger via a butterfly valve. The flow rate of the heat transfer fluid in the adsorber/desorber unit has been changed between 0.5 and 2.0 l min?1, the inlet temperature to the evaporator between 10 and 408C. It turned out that the higher the flow rate inside the adsorber/desorber unit the faster and more effective is the discharge of heat. However, at lower flow rates higher discharge temperatures are obtained. Storage capacities of 2.7 and 3.1kWh have been measured at the evaporator inlet temperatures of 10 and 408C, respectively, corresponding to thermal energy storage densities of 80 and 92kWhm?3 based on the volume of the adsorber unit. The measured maximum power density increases from 144 to 165kWhm?3 as the flow rate in the adsorber increases from 0.5 to 2 l min?1. An internal insulation in form of a radiation shield around the adsorber heat exchanger is recommended to reduce the thermal losses of the adsorptive storage. Copyright","author":[{"dropping-particle":"","family":"Timurkutluk","given":"Bora","non-dropping-particle":"","parse-names":false,"suffix":""},{"dropping-particle":"","family":"Timurkutluk","given":"Cigdem","non-dropping-particle":"","parse-names":false,"suffix":""},{"dropping-particle":"","family":"Mat","given":"Mahmut D.","non-dropping-particle":"","parse-names":false,"suffix":""},{"dropping-particle":"","family":"Kaplan","given":"Yuksel","non-dropping-particle":"","parse-names":false,"suffix":""}],"container-title":"International Journal of Energy Research","id":"ITEM-2","issue":"15","issued":{"date-parts":[["2012"]]},"language":"English","note":"Cited By :5\nExport Date: 20 January 2017\nCODEN: IJERD\nCorrespondence Address: Mat, M.D.; Mechanical Engineering Department, HYTEM, Nigde University, 51245, Nigde, Turkey; email: mdmat@nigde.edu.tr","page":"1383-1387","title":"Development of high-performance anode supported solid oxide fuel cell","type":"article-journal","volume":"36"},"uris":["http://www.mendeley.com/documents/?uuid=c0f1abb1-593b-40c3-978a-5b03ff612b0b"]},{"id":"ITEM-3","itemData":{"DOI":"10.1016/j.cocis.2009.04.006","ISBN":"1359-0294","ISSN":"13590294","abstract":"Solid oxide fuel cells (SOFC) have much promise as efficient devices for the direct conversion of the energy stored in chemical fuels into electricity. The development of highly robust SOFC that can operate on a range of fuels, however, requires improvements in the electrodes, especially the anode, where nanoscale engineering of the structure is required in order to maximize the number of sites where the electrochemical reactions take place. In this article we review the approaches that are currently being used to improve anode performance and microstructure with a focus on new materials and synthesis techniques. © 2009 Elsevier Ltd. All rights reserved.","author":[{"dropping-particle":"","family":"Gorte","given":"R. J.","non-dropping-particle":"","parse-names":false,"suffix":""},{"dropping-particle":"","family":"Vohs","given":"J. M.","non-dropping-particle":"","parse-names":false,"suffix":""}],"container-title":"Current Opinion in Colloid and Interface Science","id":"ITEM-3","issue":"4","issued":{"date-parts":[["2009"]]},"page":"236-244","title":"Nanostructured anodes for solid oxide fuel cells","type":"article-journal","volume":"14"},"uris":["http://www.mendeley.com/documents/?uuid=b9a8daad-d683-45ae-80ee-8663226563a5"]},{"id":"ITEM-4","itemData":{"DOI":"10.1002/adma.200802428","ISSN":"09359648","abstract":"Improved cathodes are required for low-temperature operation of solid-oxide fuel cells (SOFCs). Recent work has shown that electrode fabrication and modification by infiltration of active components into a porous scaffold can result in outstanding electrochemical performance. In this paper we review the literature on this new approach for cathode preparation and discuss the insights that this work has provided for understanding the relationships between the materials properties, electrochemical performance, and electrode stability. © 2009 WILEY-VCH Verlag GmbH &amp; Co. KGaA.","author":[{"dropping-particle":"","family":"Vohs","given":"John M.","non-dropping-particle":"","parse-names":false,"suffix":""},{"dropping-particle":"","family":"Gorte","given":"Raymond J.","non-dropping-particle":"","parse-names":false,"suffix":""}],"container-title":"Advanced Materials","id":"ITEM-4","issue":"9","issued":{"date-parts":[["2009"]]},"page":"943-956","title":"High-performance SOFC cathodes prepared by infiltration","type":"article-journal","volume":"21"},"uris":["http://www.mendeley.com/documents/?uuid=ecf969a3-9365-4bd9-98a3-89b00ee1e044"]}],"mendeley":{"formattedCitation":"[8], [64], [143], [144]","plainTextFormattedCitation":"[8], [64], [143], [144]","previouslyFormattedCitation":"[8], [64], [143], [144]"},"properties":{"noteIndex":0},"schema":"https://github.com/citation-style-language/schema/raw/master/csl-citation.json"}</w:instrText>
      </w:r>
      <w:r>
        <w:fldChar w:fldCharType="separate"/>
      </w:r>
      <w:r w:rsidR="006C586A" w:rsidRPr="006C586A">
        <w:rPr>
          <w:noProof/>
        </w:rPr>
        <w:t>[8], [64], [143], [144]</w:t>
      </w:r>
      <w:r>
        <w:fldChar w:fldCharType="end"/>
      </w:r>
      <w:r w:rsidRPr="002B6C9E">
        <w:t>.</w:t>
      </w:r>
    </w:p>
    <w:p w14:paraId="6953673E" w14:textId="77777777" w:rsidR="00007F6C" w:rsidRPr="002B6C9E" w:rsidRDefault="00007F6C" w:rsidP="00007F6C">
      <w:pPr>
        <w:keepNext/>
      </w:pPr>
      <w:r>
        <w:rPr>
          <w:noProof/>
        </w:rPr>
        <w:drawing>
          <wp:inline distT="0" distB="0" distL="0" distR="0" wp14:anchorId="511F48FF" wp14:editId="2807FEC5">
            <wp:extent cx="5640070" cy="1737360"/>
            <wp:effectExtent l="0" t="0" r="0" b="0"/>
            <wp:docPr id="32" name="Picture 3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close up of a logo&#10;&#10;Description automatically generated"/>
                    <pic:cNvPicPr/>
                  </pic:nvPicPr>
                  <pic:blipFill rotWithShape="1">
                    <a:blip r:embed="rId20" cstate="print">
                      <a:extLst>
                        <a:ext uri="{28A0092B-C50C-407E-A947-70E740481C1C}">
                          <a14:useLocalDpi xmlns:a14="http://schemas.microsoft.com/office/drawing/2010/main" val="0"/>
                        </a:ext>
                      </a:extLst>
                    </a:blip>
                    <a:srcRect l="1596" t="3583" b="5640"/>
                    <a:stretch/>
                  </pic:blipFill>
                  <pic:spPr bwMode="auto">
                    <a:xfrm>
                      <a:off x="0" y="0"/>
                      <a:ext cx="5640070" cy="1737360"/>
                    </a:xfrm>
                    <a:prstGeom prst="rect">
                      <a:avLst/>
                    </a:prstGeom>
                    <a:ln>
                      <a:noFill/>
                    </a:ln>
                    <a:extLst>
                      <a:ext uri="{53640926-AAD7-44D8-BBD7-CCE9431645EC}">
                        <a14:shadowObscured xmlns:a14="http://schemas.microsoft.com/office/drawing/2010/main"/>
                      </a:ext>
                    </a:extLst>
                  </pic:spPr>
                </pic:pic>
              </a:graphicData>
            </a:graphic>
          </wp:inline>
        </w:drawing>
      </w:r>
    </w:p>
    <w:p w14:paraId="3FAC9B80" w14:textId="79F82F1C" w:rsidR="00007F6C" w:rsidRPr="00B340FF" w:rsidRDefault="00007F6C" w:rsidP="00007F6C">
      <w:pPr>
        <w:jc w:val="center"/>
        <w:rPr>
          <w:i/>
          <w:iCs/>
          <w:color w:val="44546A" w:themeColor="text2"/>
          <w:sz w:val="18"/>
          <w:szCs w:val="18"/>
        </w:rPr>
      </w:pPr>
      <w:bookmarkStart w:id="60" w:name="_Ref51148782"/>
      <w:bookmarkStart w:id="61" w:name="_Toc69114915"/>
      <w:r w:rsidRPr="00B340FF">
        <w:rPr>
          <w:i/>
          <w:iCs/>
          <w:color w:val="44546A" w:themeColor="text2"/>
          <w:sz w:val="18"/>
          <w:szCs w:val="18"/>
        </w:rPr>
        <w:t>Figure 2.</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C64D74">
        <w:rPr>
          <w:i/>
          <w:iCs/>
          <w:noProof/>
          <w:color w:val="44546A" w:themeColor="text2"/>
          <w:sz w:val="18"/>
          <w:szCs w:val="18"/>
        </w:rPr>
        <w:t>3</w:t>
      </w:r>
      <w:r w:rsidR="00285C23">
        <w:rPr>
          <w:i/>
          <w:iCs/>
          <w:color w:val="44546A" w:themeColor="text2"/>
          <w:sz w:val="18"/>
          <w:szCs w:val="18"/>
        </w:rPr>
        <w:fldChar w:fldCharType="end"/>
      </w:r>
      <w:bookmarkEnd w:id="60"/>
      <w:r w:rsidRPr="00B340FF">
        <w:rPr>
          <w:i/>
          <w:iCs/>
          <w:color w:val="44546A" w:themeColor="text2"/>
          <w:sz w:val="18"/>
          <w:szCs w:val="18"/>
        </w:rPr>
        <w:t xml:space="preserve">: A schematic of the infiltration process with diagram A showing the soaking period of the liquid phase and </w:t>
      </w:r>
      <w:r>
        <w:rPr>
          <w:i/>
          <w:iCs/>
          <w:color w:val="44546A" w:themeColor="text2"/>
          <w:sz w:val="18"/>
          <w:szCs w:val="18"/>
        </w:rPr>
        <w:t>diagram.</w:t>
      </w:r>
      <w:r w:rsidRPr="00B340FF">
        <w:rPr>
          <w:i/>
          <w:iCs/>
          <w:color w:val="44546A" w:themeColor="text2"/>
          <w:sz w:val="18"/>
          <w:szCs w:val="18"/>
        </w:rPr>
        <w:t xml:space="preserve"> B showing the </w:t>
      </w:r>
      <w:r>
        <w:rPr>
          <w:i/>
          <w:iCs/>
          <w:color w:val="44546A" w:themeColor="text2"/>
          <w:sz w:val="18"/>
          <w:szCs w:val="18"/>
        </w:rPr>
        <w:t xml:space="preserve">dried nitrate on the scaffold surface. C showing the </w:t>
      </w:r>
      <w:r w:rsidRPr="00B340FF">
        <w:rPr>
          <w:i/>
          <w:iCs/>
          <w:color w:val="44546A" w:themeColor="text2"/>
          <w:sz w:val="18"/>
          <w:szCs w:val="18"/>
        </w:rPr>
        <w:t>decomposed decoration of metal NPs on the surface of the scaffold</w:t>
      </w:r>
      <w:r>
        <w:rPr>
          <w:i/>
          <w:iCs/>
          <w:color w:val="44546A" w:themeColor="text2"/>
          <w:sz w:val="18"/>
          <w:szCs w:val="18"/>
        </w:rPr>
        <w:t xml:space="preserve"> post calcination</w:t>
      </w:r>
      <w:r w:rsidRPr="00B340FF">
        <w:rPr>
          <w:i/>
          <w:iCs/>
          <w:color w:val="44546A" w:themeColor="text2"/>
          <w:sz w:val="18"/>
          <w:szCs w:val="18"/>
        </w:rPr>
        <w:t xml:space="preserve"> </w:t>
      </w:r>
      <w:r w:rsidRPr="00B340FF">
        <w:rPr>
          <w:i/>
          <w:iCs/>
          <w:color w:val="44546A" w:themeColor="text2"/>
          <w:sz w:val="18"/>
          <w:szCs w:val="18"/>
        </w:rPr>
        <w:fldChar w:fldCharType="begin" w:fldLock="1"/>
      </w:r>
      <w:r w:rsidR="00D80A5D">
        <w:rPr>
          <w:i/>
          <w:iCs/>
          <w:color w:val="44546A" w:themeColor="text2"/>
          <w:sz w:val="18"/>
          <w:szCs w:val="18"/>
        </w:rPr>
        <w:instrText>ADDIN CSL_CITATION {"citationItems":[{"id":"ITEM-1","itemData":{"DOI":"10.1016/j.jpowsour.2013.03.025","ISSN":"03787753","abstract":"The future commercialization and application of solid oxide fuel cell (SOFC) technologies requires the development of novel anode materials with excellent performance and stability at intermediate-temperatures with various fuels including hydrogen, syngas and particularly hydrocarbons. Whether by modifying the state-of-the-art Ni based anodes, or through exploring alternative metal cermet or ceramic based materials, wet impregnation/infiltration is shown to be one of the most effective approaches for both cell fabrication and performance optimization. This paper reviews most of the progress reported in the literature committed to the fabrication and optimization of SOFC anodes by wet impregnation for low temperature and/or hydrocarbon operation. The optimization of traditional nickel based anodes by adding excellent catalyst, the replacement of nickel by other inert metal or ceramic species, and some metal supported designs with impregnated catalyst are all presented and discussed, mainly focusing on the cell performance, redox and thermal stability, long-term reliability, carbon and sulfur tolerance of the anodes. © 2013 Elsevier B.V. All rights reserved.","author":[{"dropping-particle":"","family":"Liu","given":"Zhangbo","non-dropping-particle":"","parse-names":false,"suffix":""},{"dropping-particle":"","family":"Liu","given":"Beibei","non-dropping-particle":"","parse-names":false,"suffix":""},{"dropping-particle":"","family":"Ding","given":"Dong","non-dropping-particle":"","parse-names":false,"suffix":""},{"dropping-particle":"","family":"Liu","given":"Mingfei","non-dropping-particle":"","parse-names":false,"suffix":""},{"dropping-particle":"","family":"Chen","given":"Fanglin","non-dropping-particle":"","parse-names":false,"suffix":""},{"dropping-particle":"","family":"Xia","given":"Changrong","non-dropping-particle":"","parse-names":false,"suffix":""}],"container-title":"Journal of Power Sources","id":"ITEM-1","issued":{"date-parts":[["2013"]]},"page":"243-259","title":"Review Fabrication and modification of solid oxide fuel cell anodes via wet impregnation/infiltration technique","type":"article-journal","volume":"237"},"uris":["http://www.mendeley.com/documents/?uuid=3e6f030a-bb3d-4969-b3c7-e36537025746"]},{"id":"ITEM-2","itemData":{"DOI":"10.1039/c3ee42926a","ISBN":"1754-5692","ISSN":"17545706","abstract":"Solid oxide fuel cells (SOFCs) have the potential to be one of the cleanest and most efficient energy technologies for direct conversion of chemical fuels to electricity. Economically competitive SOFC systems appear poised for commercialization, but widespread market penetration will require continuous innovation of materials and fabrication processes to enhance system lifetime and reduce cost. One early technical opportunity is minimization of resistance to the oxygen reduction reaction (ORR) at the cathode, which contributes the most to performance degradation and efficiency loss in the existing SOFCs, especially at temperatures &lt;700 °C. Detailed study over the past 15 years has revealed the positive impact of catalyst infiltration on SOFC cathode performance, both in power density and durability metrics. However, realizable performance improvements rely upon strongly-coupled relationships in materials and morphology between the infiltrate and the backbone, and therefore efficacious systems cannot be simply generated with a set of simple heuristics. This article reviews recent progress in enhancing SOFC cathode performance by surface modification through a solution-based infiltration process, focusing on two backbone architectures – inherently functional and skeletal – infiltrated using wet-chemistry processes. An efficient cathode consists of a porous mixed-conducting backbone and an active coating catalyst; the porous backbone provides excellent ionic and electronic conductivity, while the infiltrated surface coating possesses high catalytic activity and stability. As available, performance comparisons are emphasized and reaction schematics for specific infiltrate/backbone systems are summarized. While significant progress has been achieved in enhancing surface catalytic activity and durability, the detailed mechanisms of performance enhancement are insufficiently understood to obtain critical insights and a scientific basis for rational design of more efficient catalysts and novel electrode architectures. Recent progress in characterization of surfaces and interfaces is briefly discussed with challenges and perspectives in surface modification of SOFC electrodes. Surface modification through infiltration is expected to play an increasingly important role in current and next-generation commercial SOFC development, and this review illustrates the sophisticated technical considerations required to inform judicious selection of an infiltrate for a give…","author":[{"dropping-particle":"","family":"Ding","given":"Dong","non-dropping-particle":"","parse-names":false,"suffix":""},{"dropping-particle":"","family":"Li","given":"Xiaxi","non-dropping-particle":"","parse-names":false,"suffix":""},{"dropping-particle":"","family":"Lai","given":"Samson Yuxiu","non-dropping-particle":"","parse-names":false,"suffix":""},{"dropping-particle":"","family":"Gerdes","given":"Kirk","non-dropping-particle":"","parse-names":false,"suffix":""},{"dropping-particle":"","family":"Liu","given":"Meilin","non-dropping-particle":"","parse-names":false,"suffix":""}],"container-title":"Energy and Environmental Science","id":"ITEM-2","issue":"2","issued":{"date-parts":[["2014"]]},"language":"English","note":"Cited By :114\nExport Date: 11 October 2016\nCorrespondence Address: Liu, M.; School of Materials Science and Engineering, Center for Innovative Fuel Cell and Battery Technologies, Georgia Institute of Technology, 771 Ferst Drive NW, Atlanta, GA 30332, United States; email: meilin.liu@mse.gatech.edu\nReferences: Minh, N.Q., (1993) J. Am. Ceram. Soc., 76, pp. 563-588; Steele, B.C.H., Heinzel, A., (2001) Nature, 414, pp. 345-352; Singhal, S.C., (2002) Solid State Ionics, 152, pp. 405-410; Liu, M., Lynch, M.E., Blinn, K., Alamgir, F.M., Choi, Y., (2011) Mater. Today, 14, pp. 534-546; Yang, L., Wang, S.Z., Blinn, K., Liu, M.F., Liu, Z., Cheng, Z., Liu, M.L., (2009) Science, 326, pp. 126-129; Yang, L., Choi, Y., Qin, W., Chen, H., Blinn, K., Liu, M., Liu, P., Liu, M., (2011) Nat. Commun., 2, p. 357; Wachsman, E.D., Lee, K.T., (2011) Science, 334, pp. 935-939; Yamamoto, O., (2000) Electrochim. Acta, 45, pp. 2423-2435; Steele, B.C.H., (2001) J. Mater. Sci., 36, pp. 1053-1068; Fleig, J., (2003) Annu. Rev. Mater. Res., 33, pp. 361-382; Adler, S.B., (2004) Chem. Rev., 104, pp. 4791-4843; Sun, C.W., Hui, R., Roller, J., (2010) J. Solid State Electrochem., 14, pp. 1125-1144; Tsipis, E.V., Kharton, V.V., (2008) J. Solid State Electrochem., 12, pp. 1367-1391; (2004) Fuel Cells Bulletin, 2004 (5), p. 1; Tsipis, E.V., Kharton, V.V., (2008) J. Solid State Electrochem., 12, pp. 1039-1060; Li, Y.H., Gemmen, R., Liu, X.B., (2010) J. Power Sources, 195, pp. 3345-3358; Ostergard, M.J.L., Clausen, C., Bagger, C., Mogensen, M., (1995) Electrochim. Acta, 40, pp. 1971-1981; Kuo, J.H., Anderson, H.U., Sparlin, D.M., (1990) J. Solid State Chem., 87, pp. 55-63; Virkar, A.V., Chen, J., Tanner, C.W., Kim, J.W., (2000) Solid State Ionics, 131, pp. 189-198; Jiang, S.P., (2006) J. Solid State Electrochem., 11, pp. 93-102; Barbucci, A., Carpanese, M.P., Viviani, M., Vatistas, N., Nicolella, C., (2009) J. Appl. Electrochem., 39, pp. 513-521; Tai, L.W., Nasrallah, M.M., Anderson, H.U., Sparlin, D.M., Sehlin, S.R., (1995) Solid State Ionics, 76, pp. 273-283; Tai, L.W., Nasrallah, M.M., Anderson, H.U., Sparlin, D.M., Sehlin, S.R., (1995) Solid State Ionics, 76, pp. 259-271; Murray, E.P., Sever, M.J., Barnett, S.A., (2002) Solid State Ionics, 148, pp. 27-34; Mai, A., Haanappel, V.A.C., Uhlenbruck, S., Tietz, F., Stover, D., (2005) Solid State Ionics, 176, pp. 1341-1350; Waller, D., Lane, J.A., Kilner, J.A., Steele, B.C.H., (1996) Solid State Ionics, 8688, pp. 767-772; Xia, C.R., Rauch, W., Chen, F.L., Liu, M.L., (2002) Solid State Ionics, 149, pp. 11-19; Tu, H.Y., Takeda, Y., Imanishi, N., Yamamoto, O., (1997) Solid State Ionics, 100, pp. 283-288; Xia, C.R., Liu, M.L., (2001) Solid State Ionics, 144, pp. 249-255; Fukunaga, H., Koyama, M., Takahashi, N., Wen, C., Yamada, K., (2000) Solid State Ionics, 132, pp. 279-285; Koyama, M., Wen, C.J., Masuyama, T., Otomo, J., Fukunaga, H., Yamada, K., Eguchi, K., Takahashi, H., (2001) J. Electrochem. Soc., 148, pp. 795-A801; Zhang, X., Robertson, M., Yick, S., Deces-Petit, C., Styles, E., Qu, W., Xie, Y., Ghosh, D., (2006) J. Power Sources, 160, pp. 1211-1216; Shao, Z.P., Haile, S.M., (2004) Nature, 431, pp. 170-173; Zhou, W., Ran, R., Shao, Z.P., (2009) J. Power Sources, 192, pp. 231-246; Baumann, F.S., Fleig, J., Habermeier, H.U., Maier, J., (2006) Solid State Ionics, 177, pp. 3187-3191; Orui, H., Watanabe, K., Chiba, R., Arakawa, M., (2004) J. Electrochem. Soc., 151, pp. 1412-A1417; Komatsu, T., Arai, H., Chiba, R., Nozawa, K., Arakawa, M., Sato, K., (2006) Electrochem. Solid-State Lett., 9, pp. 9-A12; Komatsua, T., Chiba, R., Arai, H., Sato, K., (2008) J. Power Sources, 176, pp. 132-137; Kim, G., Wang, S., Jacobson, A.J., Reimus, L., Brodersen, P., Mims, C.A., (2007) J. Mater. Chem., 17, pp. 2500-2505; Taskin, A.A., Lavrov, A.N., Ando, Y., (2005) Appl. Phys. Lett., 86, p. 091910; Chang, A.M., Skinner, S.J., Kilner, J.A., (2006) Solid State Ionics, 177, pp. 2009-2011; Chen, D.J., Ran, R., Zhang, K., Wang, J., Shao, Z.P., (2009) J. Power Sources, 188, pp. 96-105; Skinner, S.J., Kilner, J.A., (2000) Solid State Ionics, 135, pp. 709-712; Kharton, V.V., Viskup, A.P., Naumovich, E.N., Marques, F.M.B., (1999) J. Mater. Chem., 9, pp. 2623-2629; Wang, Y.S., Nie, H.W., Wang, S.R., Wen, T.L., Guth, U., Valshook, V., (2006) Mater. Lett., 60, pp. 1174-1178; Mauvy, F., Lalanne, C., Bassat, J.M., Grenier, J.C., Zhao, H., Huo, L.H., Stevens, P., (2006) J. Electrochem. Soc., 153, pp. 1547-A1553; Orera, A., Slater, P.R., (2010) Chem. Mater., 22, pp. 675-690; Jacobson, A.J., (2010) Chem. Mater., 22, pp. 660-674; Svarcova, S., Wiik, K., Tolchard, J., Bouwmeester, H.J.M., Grande, T., (2008) Solid State Ionics, 178, pp. 1787-1791; Carter, S., Selcuk, A., Chater, R.J., Kajda, J., Kilner, J.A., Steele, B.C.H., (1992) Solid State Ionics, 53, pp. 597-605; Jiang, S.P., (2003) J. Power Sources, 124, pp. 390-402; Esquirol, A., Brandon, N.P., Kilner, J.A., Mogensen, M., (2004) J. Electrochem. Soc., 151, pp. 1847-A1855; Baumann, F.S., Fleig, J., Habermeier, H.U., Maier, J., (2006) Solid State Ionics, 177, pp. 1071-1081; Simrick, N.J., Bieberle-Hutter, A., Ryll, T.M., Kilner, J.A., Atkinson, A., Rupp, J.L.M., (2012) Solid State Ionics, 206, pp. 7-16; Prestat, M., Infortuna, A., Korrodi, S., Rey-Mermet, S., Muralt, P., Gauckler, L.J., (2007) J. Electroceram., 18, pp. 111-120; Miara, L.J., Basu, S.N., Pal, U.B., Gopalan, S., (2012) J. Electrochem. Soc., 159, pp. 419-F425; Becker, M., Mai, A., Ivers-Tiffee, E., Tietz, F., (2005) Proceedings of the Ninth International Symposium on Solid Oxide Fuel Cells (SOFC IX), 1. , ed. S. C. Singhal and J. Mizusaki, 514-523; Simner, S.P., Anderson, M.D., Engelhard, M.H., Stevenson, J.W., (2006) Electrochem. Solid-State Lett., 9, pp. 478-A481; Kim, J.Y., Sprenkle, V.L., Canfield, N.L., Meinhardt, K.D., Chick, L.A., (2006) J. Electrochem. Soc., 153, pp. 880-A886; Mai, A., Becker, M., Assenmacher, W., Tietz, F., Hathiramani, D., Ivers-Tiffee, E., Stover, D., Mader, W., (2006) Solid State Ionics, 177, pp. 1965-1968; Yokokawa, H., Tu, H.Y., Iwanschitz, B., Mai, A., (2008) J. Power Sources, 182, pp. 400-412; Oh, M.Y., Unemoto, A., Amezawa, K., Kawada, T., (2012) J. Electrochem. Soc., 159, pp. 659-F664; Steele, B.C.H., Hori, K.M., Uchino, S., (2000) Solid State Ionics, 135, pp. 445-450; Juhl, M., Primdahl, S., Manon, C., Mogensen, M., (1996) J. Power Sources, 61, pp. 173-181; Murray, E.P., Tsai, T., Barnett, S.A., (1998) Solid State Ionics, 110, pp. 235-243; Jorgensen, M.J., Mogensen, M., (2001) J. Electrochem. Soc., 148, pp. 433-A442; Mogensen, M., Skaarup, S., (1996) Solid State Ionics, 8688, pp. 1151-1160; Watanabe, M., Uchida, H., Shibata, M., Mochizuki, N., Amikura, K., (1994) J. Electrochem. Soc., 141, pp. 342-346; Saeki, M.J., Uchida, H., Watanabe, M., (1994) Catal. Lett., 26, pp. 149-157; Jiang, S.P., (2006) Mater. Sci. Eng., A, 418, pp. 199-210; Jiang, Z., Xia, C., Chen, F., (2010) Electrochim. Acta, 55, pp. 3595-3605; Sholklapper, T.Z., Jacobson, C.P., Visco, S.J., De Jonghe, L.C., (2008) Fuel Cells, 8, pp. 303-312; Vohs, J.M., Gorte, R.J., (2009) Adv. Mater., 21, pp. 943-956; Jiang, S.P., (2012) Int. J. Hydrogen Energy, 37, pp. 449-470; Liu, Z.B., Liu, B.B., Ding, D., Liu, M.F., Chen, F.L., Xia, C.R., (2013) J. Power Sources, 237, pp. 243-259; Lee, S., Miller, N., Gerdes, K., Manivannan, A., (2011) 12th Annual SECA Workshop, , July 26-28; Wang, W.S., Gross, M.D., Vohs, J.M., Gorte, R.J., (2007) J. Electrochem. Soc., 154, pp. 439-B445; Backhaus-Ricoult, M., (2006) Solid State Ionics, 177, pp. 2195-2200; Backhaus-Ricoult, M., Adib, K., Clair, T.S., Luerssen, B., Gregoratti, L., Barinov, A., (2008) Solid State Ionics, 179, pp. 891-895; Kiebach, R., Knofel, C., Bozza, F., Klemenso, T., Chatzichristodoulou, C., (2013) J. Power Sources, 228, pp. 170-177; Ding, D., Liu, M., Liu, M., (2013) ECS Trans., 57, pp. 1801-1810; Knofel, C., Wang, H.J., Thyden, K.T.S., Mogensen, M., (2011) Solid State Ionics, 195, pp. 36-42; Lynch, M.E., Yang, L., Qin, W., Choi, J.-J., Liu, M., Blinn, K., Liu, M., (2011) Energy Environ. Sci., 4, pp. 2249-2258; Van Dillen, A.J., Terorde, R., Lensveld, D.J., Geus, J.W., De Jong, K.P., (2003) J. Catal., 216, pp. 257-264; Jiang, P.P., Zhang, S.H., Guo, Y.L., Guo, Y., Wang, X.Y., Lu, G.Z., (2004) J. Inorg. Mater., 19, pp. 634-640; Galarraga, C., Peluso, E., De Lasa, H., (2001) Chem. Eng. J., 82, pp. 13-20; Agrafiotis, C., Tsetsekou, A., (2002) J. Eur. Ceram. Soc., 22, pp. 423-434; Lekhal, A., Glasser, B.J., Khinast, J.G., (2001) Chem. Eng. Sci., 56, pp. 4473-4487; Gardezi, S.A., Landrigan, L., Joseph, B., Wolan, J.T., (2012) Ind. Eng. Chem. Res., 51, pp. 1703-1712; Sholklapper, T.Z., Lu, C., Jacobson, C.P., Visco, S.J., De Jonghe, L.C., (2006) Electrochem. Solid-State Lett., 9, pp. 376-A378; Sholklapper, T.Z., Kurokawa, H., Jacobson, C.P., Visco, S.J., De Jonghe, L.C., (2007) Nano Lett., 7, pp. 2136-2141; Bourikas, K., Kordulis, C., Lycourghiotis, A., (2006) Catal. Rev.: Sci. Eng., 48, pp. 363-444; Hao, X., Quach, L., Korah, J., Spieker, W.A., Regalbuto, J.R., (2004) J. Mol. Catal. A: Chem., 219, pp. 97-107; Lekhal, A., Glasser, B.J., Khinast, J.G., (2004) Chem. Eng. Sci., 59, pp. 1063-1077; Lee, S., Miller, N., Abernathy, H., Gerdes, K., Manivannan, A., (2011) J. Electrochem. Soc., 158, pp. 735-B742; Lee, S., Miller, N., Staruch, M., Gerdes, K., Jain, M., Manivannan, A., (2011) Electrochim. Acta, 56, pp. 9904-9909; Hansen, K.K., Wandel, M., Liu, Y.L., Mogensen, M., (2010) Electrochim. Acta, 55, pp. 4606-4609; Xu, N.S., Li, X., Zhao, X., Zhao, H.L., Huang, K., (2012) Electrochem. Solid-State Lett., 15, pp. 1-B4; Serra, J.M., Buchkremer, H.P., (2007) J. Power Sources, 172, pp. 768-774; Choi, J.-J., Qin, W., Liu, M., Liu, M., (2011) J. Am. Ceram. Soc., 94, pp. 3340-3345; Lou, X.Y., Liu, Z., Wang, S.Z., Xiu, Y.H., Wong, C.P., Liu, M.L., (2010) J. Power Sources, 195, pp. 419-424; Tucker, D., Manivannan, A., Haynes, D., Abernathy, H., Miller, N., Wynne, K., Matos, A., Evaluating Methods for Infiltration of LSCF Cathodes with Mixed Electric/Ionic Conductors for Improved Oxygen Exchange (2010) Proceedings of the Asme 8th International Conference on Fuel Cell Science, Engineering, and Technology, 1. , Brooklyn, 305-309; Chen, H.Y., Yu, H.C., Cronin, J.S., Wilson, J.R., Barnett, S.A., Thornton, K., (2011) J. Power Sources, 196, pp. 1333-1337; Zhang, Y.X., Xia, C.R., Ni, M., (2012) Int. J. Hydrogen Energy, 37, pp. 3392-3402; Ding, D., Liu, M., Lai, S.Y., Blinn, K., Liu, M., Theory, Investigation and Stability of Cathode Electrocatalytic Activity, , http://www.osti.gov/scitech/servlets/purl/1084035, Department of Energy (DoE), US Project Report; Zhang, Y.X., Sun, Q., Xia, C.R., Ni, M., (2013) J. Electrochem. Soc., 160, pp. 278-F289; Gandavarapu, S.R., Sabolsky, K., Gerdes, K., Sabolsky, E.M., (2013) Mater. Lett., 95, pp. 131-134; Tamm, K., Kuengas, R., Gorte, R.J., Lust, E., (2013) Electrochim. Acta, 106, pp. 398-405; Yamahara, K., Jacobson, C.P., Visco, S.J., De Jonghe, L.C., (2005) Solid State Ionics, 176, pp. 451-456; Ding, D., Zhu, W., Gao, J.F., Xia, C.R., (2008) J. Power Sources, 179, pp. 177-185; Wachsman, E., (2008) 9th Annual SECA Workshop, , August 5-7; Othman, M.H.D., Droushiotis, N., Wu, Z.T., Kelsall, G., Li, K., (2011) Adv. Mater., 23, p. 2480; Chen, Y., Liu, Q., Yang, Z., Chen, F., Han, M., (2012) RSC Adv., 2, pp. 12118-12121; Sase, M., Ueno, D., Yashiro, K., Kaimai, A., Kawada, T., Mizusaki, J., (2005) J. Phys. Chem. Solids, 66, pp. 343-348; Liu, Y.H., Chi, B., Pu, J., Li, J., (2012) Int. J. Hydrogen Energy, 37, pp. 4388-4393; Shah, M., Voorhees, P.W., Barnett, S.A., (2011) Solid State Ionics, 187, pp. 64-67; Steele, B.C.H., Middleton, P.H., Rudkin, R.A., (1990) Solid State Ionics, 4041, pp. 388-393; Trovarelli, A., (1996) Catal. Rev., 38, pp. 439-520; Martin, D., Duprez, D., (1996) J. Phys. Chem., 100, pp. 9429-9438; Steele, B.C.H., (2000) Solid State Ionics, 134, pp. 3-20; Li, Y.H., Gerdes, K., Liu, X.B., (2013) J. Electrochem. Soc., 160, pp. 554-F559; Nie, L.F., Liu, M.F., Zhang, Y.J., Liu, M.L., (2010) J. Power Sources, 195, pp. 4704-4708; Liu, X., Han, D., Wu, H., Meng, X., Zeng, F., Zhan, Z., (2013) Int. J. Hydrogen Energy, 38, pp. 16563-16568; Jiang, S.P., Wang, W., (2005) J. Electrochem. Soc., 152, pp. 1398-A1408; Xu, X.Y., Jiang, Z.Y., Fan, X., Xia, C.R., (2006) Solid State Ionics, 177, pp. 2113-2117; Zhi, M.J., Lee, S., Miller, N., Menzler, N.H., Wu, N.Q., (2012) Energy Environ. Sci., 5, pp. 7066-7071; Liu, M.F., Ding, D., Blinn, K., Li, X.X., Nie, L.F., Liu, M., (2012) Int. J. Hydrogen Energy, 37, pp. 8613-8620; Zhu, W., Ding, D., Xia, C., (2008) Electrochem. Solid-State Lett., 11, pp. 83-B86; Zhang, Y.X., Xia, C.R., (2010) J. Power Sources, 195, pp. 4206-4212; Leng, Y.J., Chan, S.H., Khor, K.A., Jiang, S.P., (2006) J. Solid State Electrochem., 10, pp. 339-347; Jiang, S.P., Leng, Y.J., Chan, S.H., Khor, K.A., (2003) Electrochem. Solid-State Lett., 6, pp. 67-A70; Jiang, S.P., Wang, W., (2005) Solid State Ionics, 176, pp. 1351-1357; Zhen, Y.D., Jiang, S.P., (2006) J. Electrochem. Soc., 153, pp. 2245-A2254; Zhang, L., Zhao, F., Peng, R.R., Xia, C.R., (2008) Solid State Ionics, 179, pp. 1553-1556; Tian, R.F., Fan, J., Liu, Y., Xia, C.R., (2008) J. Power Sources, 185, pp. 1247-1251; Yoon, S.P., Han, J., Nam, S.W., Lim, T.H., Oh, I.H., Hong, S.A., Yoo, Y.S., Lim, H.C., (2002) J. Power Sources, 106, pp. 160-166; Ding, D., Gong, M.Y., Xu, C.C., Baxter, N., Li, Y.H., Zondlo, J., Gerdes, K., Liu, X.B., (2011) J. Power Sources, 196, pp. 2551-2557; Chen, K.F., Lu, Z., Ai, N., Huang, X.Q., Zhang, Y.H., Xin, X.S., Zhu, R.B., Su, W.H., (2006) J. Power Sources, 160, pp. 436-438; Chen, K.F., Lu, Z., Chen, X.J., Ai, N., Huang, X.Q., Du, X.B., Su, W.H., (2007) J. Power Sources, 172, pp. 742-748; Chen, K.F., Lu, Z., Ai, N., Chen, X.J., Hu, J.Y., Huang, X.Q., Su, W.H., (2007) J. Power Sources, 167, pp. 84-89; Wei, B., Lu, Z., Huang, X.Q., Liu, M.L., Chen, K.F., Su, W.H., (2007) J. Power Sources, 167, pp. 58-63; Klemenso, T., Chatzichristodoulou, C., Nielsen, J., Bozza, F., Thyden, K., Kiebach, R., Ramousse, S., (2012) Solid State Ionics, 224, pp. 21-31; Hojberg, J., Sogaard, M., (2011) Electrochem. Solid-State Lett., 14, pp. 77-B79; Ren, Y.Y., Ma, J.T., Ai, D.S., Zan, Q.F., Lin, X.P., Deng, C.S., (2012) J. Mater. Chem., 22, pp. 25042-25049; Imanishi, N., Ohno, R., Murata, K., Hirano, A., Takeda, Y., Yamamoto, O., Yamahara, K., (2009) Fuel Cells, 9, pp. 215-221; Goodenough, J.B., (2003) Annu. Rev. Mater. Res., 33, pp. 91-128; Jiang, Z.Y., Zhang, L., Feng, K., Xia, C.R., (2008) J. Power Sources, 185, pp. 40-48; Jiang, Z.Y., Zhang, L., Cai, L.L., Xia, C.R., (2009) Electrochim. Acta, 54, pp. 3059-3065; Zhang, Q.S., Hirano, A., Imanishi, N., Takeda, Y., Yamahara, K., (2009) J. Fuel Cell Sci. Technol., 6, p. 011001; Yoshikawa, T., Shinde, N., Murata, K., Hirano, A., Takeda, Y., Yamamoto, O., Yamahara, K., (2010) J. Fuel Cell Sci. Technol., 7, p. 061004; Liu, R.Z., Cai, G.Q., Li, J.L., Zhao, C.H., Wang, S.R., Wen, T.L., Wen, Z.Y., (2010) J. Solid State Electrochem., 14, pp. 1923-1928; Azad, A.M., Larose, S., Akbar, S.A., (1994) J. Mater. Sci., 29, pp. 4135-4151; Mitterdorfer, A., Gauckler, L.J., (1998) Solid State Ionics, 111, pp. 185-218; Sholklapper, T.Z., Kurokawa, H., Jacobson, C.P., Visco, S.J., De Jonghe, L.C., (2007) Solid Oxide Fuel Cells 10, 7. , ed. K. Eguchi, S. C. Singhai, H. Yokokawa and H. Mizusaki, Electrochemical Society Inc, Pennington, 837-843; Lu, C., Sholklapper, T.Z., Jacobson, C.P., Visco, S.J., De Jonghe, L.C., (2006) J. Electrochem. Soc., 153, pp. 1115-A1119; Liu, Z.B., Ding, D., Liu, M.F., Li, X.X., Sun, W.P., Xia, C.R., Liu, M.L., (2013) J. Power Sources, 229, pp. 277-284; Lou, X.Y., Wang, S.Z., Liu, Z., Yang, L., Liu, M.L., (2009) Solid State Ionics, 180, pp. 1285-1289; Lee, S., Miller, N., Abernathy, H., Gerdes, K., Manivannan, A., (2011) J. Electrochem. Soc., 158, pp. 735-B742; Lee, S., Miller, N., Gerdes, K., (2012) J. Electrochem. Soc., 159, pp. 301-F308; Chao, R., Kitchin, J.R., Gerdes, K., Sabolsky, E.M., Salvador, P.A., (2011) ECS Trans., 35, pp. 2387-2399; Chao, R., (2012), PhD dissertation, Carnegie Mellon University, Materials Science and EngineeringChiba, R., Yoshimura, F., Sakurai, Y., Tabata, Y., Arakawa, M., (2004) Solid State Ionics, 175, pp. 23-27; Cheng, C.S., Zhang, L., Zhang, Y.J., Jiang, S.P., (2008) Solid State Ionics, 179, pp. 282-289; Zhang, Q.S., Hirano, A., Matsumura, T., Imanishi, N., Takeda, Y., Yamahara, K., (2009) J. Fuel Cell Sci. Technol., 6, p. 011010; Ai, N., Jiang, S.P., Lu, Z., Chen, K.F., Su, W.H., (2010) J. Electrochem. Soc., 157, pp. 1033-B1039; Uchida, H., Arisaka, S., Watanabe, M., (2000) Solid State Ionics, 135, pp. 347-351; Uchida, H., Arisaka, S., Watanabe, M., (2002) J. Electrochem. Soc., 149, pp. 13-A18; Simner, S.P., Bonnett, J.R., Canfield, N.L., Meinhardt, K.D., Shelton, J.P., Sprenkle, V.L., Stevenson, J.W., (2003) J. Power Sources, 113, pp. 1-10; Liang, F.L., Chen, J., Jiang, S.P., Chi, B., Pu, J., Jian, L., (2008) Electrochem. Solid-State Lett., 11, pp. 213-B216; Haanappel, V.A.C., Rutenbeck, D., Mai, A., Uhlenbruck, S., Sebold, D., Wesemeyer, H., Rowekamp, B., Tietz, F., (2004) J. Power Sources, 130, pp. 119-128; Sahibzada, M., Benson, S.J., Rudkin, R.A., Kilner, J.A., (1998) Solid State Ionics, 115, pp. 285-290; Chen, J., Liang, F.L., Chi, B., Pu, J., Jiang, S.P., Jian, L., (2009) J. Power Sources, 194, pp. 275-280; Babaei, A., Zhang, L., Liu, E.J., Jiang, S.P., (2011) J. Alloys Compd., 509, pp. 4781-4787; Zhang, R., Alamdari, H., Kallaguine, S., (2006) J. Catal., 242, pp. 241-253; Zhang, R.D., Villanueva, A., Alamdari, H., Kaliaguine, S., (2006) J. Catal., 237, pp. 368-380; Li, J., Singh, U.G., Bennett, J.W., Page, K., Weaver, J.C., Zhang, J.-P., Proffen, T., Seshadri, R., (2007) Chem. Mater., 19, pp. 1418-1426; Wang, S.R., Kato, T., Nagata, S., Honda, T., Kaneko, T., Iwashita, N., Dokiya, M., (2002) Solid State Ionics, 146, pp. 203-210; Liu, Y., Mori, M., Funahashi, Y., Fujishiro, Y., Hirano, A., (2007) Electrochem. Commun., 9, pp. 1918-1923; Sakito, Y., Hirano, A., Imanishi, N., Takeda, Y., Yamamoto, O., Liu, Y., (2008) J. Power Sources, 182, pp. 476-481; Mori, M., Liu, Y., Itoh, T., (2009) J. Electrochem. Soc., 156, pp. 1182-B1187; Lee, K.T., Manthiram, A., (2006) J. Power Sources, 160, pp. 903-908; Yamahara, K., Jacobson, C.P., Visco, S.J., Zhang, X.F., De Jonghe, L.C., (2005) Solid State Ionics, 176, pp. 275-279; Huang, Y.Y., Vohs, J.M., Gorte, R.J., (2006) J. Electrochem. Soc., 153, pp. 951-A955; Mogensen, M., Søgaard, M., Blennow, P., Hansen, K.K., (2008) 8th European SOFC Forum Lucerne, , Switzerland, Lucerne Fuel Cell Forum, paper A0402; La, O.G.J., Ahn, S.J., Crumlin, E., Orikasa, Y., Biegalski, M.D., Christen, H.M., Shao-Horn, Y., (2010) Angew. Chem., Int. Ed., 49, pp. 5344-5347; Crumlin, E.J., Mutoro, E., Ahn, S.-J., La, O.G.J., Leonard, D.N., Borisevich, A., Biegalski, M.D., Shao-Horn, Y., (2010) J. Phys. Chem. Lett., 1, pp. 3149-3155; Morgan, D., Lee, Y.L., Adler, S.B., McDonald, T.J., Shao-Horn, Y., Lee, D.K., (2013) 14th Annual SECA Workshop, , July 23-24; Van Der Heide, P.A.W., (2002) Surf. Interface Anal., 33, pp. 414-425; Hardy, J.S., Templeton, J.W., Edwards, D.J., Lu, Z.G., Stevenson, J.W., (2012) J. Power Sources, 198, pp. 76-82; Ding, D., Liu, M., Liu, Z., Li, X., Blinn, K., Zhu, X., Liu, M., (2013) Adv. Energy Mater., 3, pp. 1149-1154; Choi, Y.M., Lin, M.C., Liu, M.L., (2010) J. Power Sources, 195, pp. 1441-1445; Ding, H.P., Virkar, A.V., Liu, M.L., Liu, F., (2013) Phys. Chem. Chem. Phys., 15, pp. 489-496; Ishihara, T., Kudo, T., Matsuda, H., Takita, Y., (1995) J. Electrochem. Soc., 142, pp. 1519-1524; Kostogloudis, G.C., Fertis, P., Ftikos, C., (1999) Solid State Ionics, 118, pp. 241-249; Wen, T.L., Tu, H., Xu, Z., Yamamoto, O., (1999) Solid State Ionics, 121, pp. 25-30; Rossignol, C., Ralph, J.M., Bae, J.M., Vaughey, J.T., (2004) Solid State Ionics, 175, pp. 59-61; Xu, Q., Huang, D.P., Chen, W., Zhang, F., Wang, B.T., (2007) J. Alloys Compd., 429, pp. 34-39; Chen, W.X., Wen, T.L., Nie, H.W., Zheng, R., (2003) Mater. Res. Bull., 38, pp. 1319-1328; Bai, Y., Liu, M., Ding, D., Blinn, K., Qin, W., Liu, J., Liu, M., (2012) J. Power Sources, 205, pp. 80-85; Haider, M.A., McIntosh, S., (2009) J. Electrochem. Soc., 156, pp. 1369-B1375; He, H.P., Huang, Y.Y., Regal, J., Boaro, M., Vohs, J.M., Gorte, R.J., (2004) J. Am. Ceram. Soc., 87, pp. 331-336; Huang, Y.Y., Vohs, J.M., Gorte, R.J., (2005) J. Electrochem. Soc., 152, pp. 1347-A1353; Sholklapper, T.Z., Radmilovic, V., Jacobson, C.P., Visco, S.J., De Jonghe, L.C., (2007) Electrochem. Solid-State Lett., 10, pp. 74-B76; Huang, Y.Y., Ahn, K., Vohs, J.M., Gorte, R.J., (2004) J. Electrochem. Soc., 151, pp. 1592-A1597; Shah, M., Barnett, S.A., (2008) Solid State Ionics, 179, pp. 2059-2064; Kim, J.H., Kim, H., (2012) Ceram. Int., 38, pp. 4669-4675; Zhao, F., Wang, Z.Y., Liu, M.F., Zhang, L., Xia, C.R., Chen, F.L., (2008) J. Power Sources, 185, pp. 13-18; Zhang, H., Zhao, F., Chen, F., Xia, C., (2011) Solid State Ionics, 192, pp. 591-594; Huang, Y.Y., Vohs, J.M., Gorte, R.J., (2004) J. Electrochem. Soc., 151, pp. 646-A651; Zhao, L., Ye, X.F., Zhan, Z.L., (2011) J. Power Sources, 196, pp. 6201-6204; Kungas, R., Yu, A.S., Levine, J., Vohs, J.M., Gorte, R.J., (2013) J. Electrochem. Soc., 160, pp. 205-F211; Lee, S., Bevilacqua, M., Fornasiero, P., Vohs, J.M., Gorte, R.J., (2009) J. Power Sources, 193, pp. 747-753; Wang, Y., Zhang, H., Chen, F., Xia, C., (2012) J. Power Sources, 203, pp. 34-41; Bidrawn, F., Vohs, J.M., Gorte, R.J., (2010) J. Electrochem. Soc., 157, pp. 1629-B1633; Shimada, H., Takizawa, K., Michibata, H., Hagiwara, A., (2007) Solid Oxide Fuel Cells 10, 7. , ed. K. Eguchi, S. C. Singhai, H. Yokokawa and H. Mizusaki, Electrochemical Society Inc, Penningt","page":"552-575","publisher":"Royal Society of Chemistry","title":"Enhancing SOFC cathode performance by surface modification through infiltration","type":"article-journal","volume":"7"},"uris":["http://www.mendeley.com/documents/?uuid=2d99c055-224c-40fa-bd32-31ac14ae5690"]},{"id":"ITEM-3","itemData":{"DOI":"10.1038/nmat1040","ISBN":"1476-1122","ISSN":"14761122","PMID":"14704781","abstract":"Fuel cells will undoubtedly find widespread use in this new millennium in the conversion of chemical to electrical energy, as they offer very high efficiencies and have unique scalability in electricity-generation applications. The solid-oxide fuel cell (SOFC) is one of the most exciting of these energy technologies; it is an all-ceramic device that operates at temperatures in the range 500-1,000 degrees C. The SOFC offers certain advantages over lower temperature fuel cells, notably its ability to use carbon monoxide as a fuel rather than being poisoned by it, and the availability of high-grade exhaust heat for combined heat and power, or combined cycle gas-turbine applications. Although cost is clearly the most important barrier to widespread SOFC implementation, perhaps the most important technical barriers currently being addressed relate to the electrodes, particularly the fuel electrode or anode. In terms of mitigating global warming, the ability of the SOFC to use commonly available fuels at high efficiency, promises an effective and early reduction in carbon dioxide emissions, and hence is one of the lead new technologies for improving the environment. Here, we discuss recent developments of SOFC fuel electrodes that will enable the better use of readily available fuels.","author":[{"dropping-particle":"","family":"Atkinson","given":"A.","non-dropping-particle":"","parse-names":false,"suffix":""},{"dropping-particle":"","family":"Barnett","given":"S.","non-dropping-particle":"","parse-names":false,"suffix":""},{"dropping-particle":"","family":"Gorte","given":"R. J.","non-dropping-particle":"","parse-names":false,"suffix":""},{"dropping-particle":"","family":"Irvine","given":"J. T.S.","non-dropping-particle":"","parse-names":false,"suffix":""},{"dropping-particle":"","family":"McEvoy","given":"A. J.","non-dropping-particle":"","parse-names":false,"suffix":""},{"dropping-particle":"","family":"Mogensen","given":"M.","non-dropping-particle":"","parse-names":false,"suffix":""},{"dropping-particle":"","family":"Singhal","given":"S. C.","non-dropping-particle":"","parse-names":false,"suffix":""},{"dropping-particle":"","family":"Vohs","given":"J.","non-dropping-particle":"","parse-names":false,"suffix":""}],"container-title":"Nature Materials","id":"ITEM-3","issue":"1","issued":{"date-parts":[["2004"]]},"language":"English","note":"Cited By :951\nExport Date: 7 October 2016\nCorrespondence Address: Irvine, J.T.S.; School of Chemistry, University of St Andrews, St Andrews, Fife KY16 9ST, United Kingdom\nChemicals/CAS: hydrogen, 12385-13-6, 1333-74-0; Ceramics; Hydrogen, 1333-74-0; Metals\nReferences: Baur, E., Preis, H., Uber die Eisenoxyd-Kathode in der Kohle-Luft-Kette (1937) Z. Elektrochem., 43, p. 727; Möbius, H.-H., On the history of solid electrolyte fuel cells (1997) Solid State Electrochem., 1, p. 2; Spacil, H.S., (1970) Electrical Device Including Nickel-containing Stabilized Zirconia Electrode, , US Patent 3,558,360; Lee, J.H., Quantitative analysis of microstructure and its related electrical property of SOFC anode, Ni-YSZ cermet (2002) Solid State Ionics, 148, pp. 1-2; Toebes, M.L., Bitter, I.H., Van Dillen, A.J., De Jong, K.P., Impact of the structure and reactivity of nickel particles on the catalytic growth of carbon nanofibers (2002) Catal Today, 76, pp. 33-42; Sasaki, K., Teraoka, Y., Equilibria in fuel cell gases -I. Equilibrium compositions and reforming conditions (2003) J. Electrochem. Soc., 150, pp. A878-A884; Murray, E.P., Tsai, T., Barnett, S.A., A direct-methane fuel cell with a ceriabased anode (1999) Nature, 400, pp. 649-651; Mogensen, M., Jensen, K.V., Jorgensen, M.J., Primdahl, S., Progress in understanding SOFC electrodes (2002) Solid State Ionics, 150, pp. 123-129; Lu, X.Y., Faguy, P.W., Liu, M.I., In situ potential-dependent FTIR emission spectroscopy - A novel probe for high temperature fuel cell interfaces (2002) J. Electrochm. Sac., 149, pp. A1293-A1298; Bernardo, C.A., Alstrup, I., Rostrupnielsen, J.R., Carbon deposition and methane steam reforming on silica-supported Ni-Cu catalysts (1985) J. Catal., 96, pp. 517-534; Dong, W.S., Roh, H.S., Jun, K.W., Park, S.E., Oh, Y.S., Methane reforming over Ni/Ce-ZrO2 catalysts: Effect of nickel content (2002) Appl. Catal. A, 226, pp. 63-72; Bunluesin, T., Gorte, R.J., Graham, G.W., Studies of the water-gas-shift reaction on ceria-supported Pt, Pd, and Rh: Implications for oxygen-storage properties (1998) Appl. Catal. B, 15, pp. 107-114; Sharma, S., Hilaire, S., Vohs, J.M., Gorte, R.J., Jen, H.W., Evidence for oxidation of ceria by CO2 (2000) J. Catal., 199, pp. 199-204; Ramirez-Cabrera, E., Atkinson, A., Chadwick, D., The influence of point defects on the resistance of ceria to carbon deposition in hydrocarbon catalysis (2000) Solid State Ionics, 136, pp. 825-831; Marina, O.A., Mogensen, M., High-temperature conversion of methane on a composite gadolinia-doped ceria-gold electrode (1999) Appl. Catal. A, 189, pp. 117-126; Park, S.D., Vohs, J.M., Gorte, R.J., Direct oxidation of hydrocarbons in a solid-oxide fuel cell (2000) Nature, 404, pp. 265-267; Kiratzis, N., Holtappels, P., Hatchwell, C.E., Mogensen, M., Irvine, J.T.S., Preparation and characterisation of copper/yttria titania zirconia cermets for use as possible solid oxide fuel cell anodes (2001) Fuel Cells, 1, pp. 211-218; Kim, H., Park, S., Vohs, J.M., Gorte, R.J., Direct oxidation of liquid fuels in a solid oxide fuel cell (2001) J. Electrochem. Soc., 148, pp. A693-A695; Minh, N.Q., Ceramic fuel-cells (1993) J. Am. Ceram. Soc., 76, pp. 563-588; Yokokawa, H., Sakai, N., Kawada, T., Dokiya, M., Thermodynamic stabilities of perovskite oxides for electrodes and other electrochemical materials (1992) Solid State Ionics, 52, pp. 43-56; Pudmich, G., Chromite/titanate based perovskites for application as anodes in solid oxide fuel cells (2000) Solid State Ionics, 135, pp. 433-438; Tao, S., Irvine, J.T.S., A redox-stable, efficient anode for solid-oxide fuel cells (2003) Nature Mater., 2, pp. 320-323; Vernoux, P., Guillodo, M., Fouletier, J., Hammou, A., Alternative anode materials for gradual methane reforming in solid oxide fuel cells (2000) Solid State Ionics, 133, pp. 425-431; Sfeir, J., Lanthanum chromite based catalysts for oxidation of methane directly on SOFC anode (2001) J. Catal., 202, pp. 229-244; Sfeir, J., Van Herle, J., Vasquez, R., (2002) Proc. 5th European Solid Oxide Fuel Cell Forum, pp. 570-577. , ed. Huijsmans J. (European SOFC Forum, Switzerland); Sauvet, A.L., Irvine, J.T.S., (2002) Proc. 5th European Solid Oxide Fuel Cell Forum, pp. 490-498. , ed. Huijsmans J. (European SOFC Forum, Switzerland); Slater, P.R., Fagg, D.P., Irvine, J.T.S., Synthesis and electrical characterisation of the doped perovskite titanates as potential anode materials for solid oxide fuel cells (1997) J. Mater. Chem., 7, pp. 2495-2498; Hui, S.Q., Petric, A., Electrical properties of yttrium-doped strontium titanate under reducing conditions (2002) J. Electrochem. Soc., 149, pp. J1-J10; Marina, O.A., Pederson, L.R., (2002) Proc. 5th European Solid Oxide Fuel Cell Forum, pp. 481-489. , ed. Huijimans, J. (European SOFC Forum, Switzerland); Canales-Vázquez, J., Tao, S.W., Irvine, J.T.S., (2003) Electrical Properties in La2Sr4Ti6O 19-d: A Potential Anode for High Temperature Fuel Cells Solid State Ionics, 159, pp. 159-165; Reich, C., Kaiser, A., Irvine, J.T.S., (2001) Niobia Based Rutile Materials as Sofc Anodes, Fuel Cells - from Fundamentals to Systems, 1, pp. 249-255; Ramos, T., Atkinson, A., (2001) Ionic and Mixed Conducting Ceramics IV, PV2001-28, pp. 352-367. , eds Ramanarayanan, T. A., Worrell, W. L. &amp;amp; Mogensen, M. (Electrochemical Scociety Proceedings); Steele, B.C.H., Appraisal of Ce1-yGdyO2-y/2electrolytes for IT-SOFC operation at 500° C (2000) Solid State Ionics, 129, pp. 95-110; Wang, S.R., Kobayashi, T., Dokiya, M., Hashimoto, T., Electrical and ionic conductivity of Gd-doped ceria (2000) J. Electrochem. Soc., 147, pp. 3606-3609; Floyd, J.M., Interpretation of transport phenomena in non-stoichiometric ceria (1972) J. Ind. Technol., pp. 275-280; Tao, S., Irvine, J.T.S., Optimization of mixed conducting properties of Y2O 3ZrO2-TiO2 and Sc2O 3-Y2O3-ZrO2-TiO2 solid solutions as potential SOFC anode materials (2002) J. Solid State Chem., 165, pp. 12-18; Sauvet, A.-L., Fouletier, J., Catalytic properties of new anode materials for solid oxide fuel cells operated under methane at intermediary temperature (2001) J. Power Sources, 101, pp. 259-266; Sprague, J.J., Tuller, H.L., Mixed ionic and electronic conduction in Mn/Mo doped gadolinium titanate (1999) J. Europ. Ceram. Soc., 19, pp. 803-806; Holtappels, P., Poulsen, F.W., Mogensen, M., Electrical conductivities and chemical stabilities of mixed conducting pyrochlores for SOFC applications (2000) Solid State Ionics, 135, pp. 675-679; McIntosh, S., Vohs, J.M., Gorte, R.J., Role of hydrocarbon deposits in the enhanced performance of direct-oxidation SOFCs (2003) J. Electrochem. Soc., 150, pp. A470-A476; Lu, C., Worrell, W.L., Vohs, J.M., Gorte, R.J., (2003) Solid Oxide Fuel Cells VIII, 7, pp. 773-780. , eds Singhal. S. C. &amp;amp; Dokiya, M., (Electrochemical Society Proceedings); Lu, C., Worrell, W.L., Gorte, R.J., Vohs, J.M., SOFCs for direct oxidation of hydrocarbon fuels with samaria-doped ceria Electrolyte (2003) J. Electrochem, Soc., 150, pp. A354-A358; Sfeir, J., (2001) Alternative Anode Materials for Methane Oxidation in Solid Oxide Fuel Cells, , Thesis, Ecole Polytechnique Fédérale de Lausanne, Switzerland; Liu, J., Madsen, B.D., Ji, Z.Q., Barnett, S.A., A fuel-flexible ceramic-based anode for solid oxide fuel cells (2002) Electrochem. Solid State Lett., 5, pp. A122-A124; Sauvet, A.L., Fouletier, J., Electrochemical properties of a new type of anode material La 1-xSrxCr1-yRuyO3-δ for SOFC under hydrogen and methane at intermediate temperatures (2001) Electrochim. Acta, 47, pp. 987-995; Vernoux, P., Guindet, J., Kleitz, M., Gradual internal methane reforming in intermediate-temperature solid-oxide fuel cells (1998) J. Electrochem. Soc., 145, pp. 3487-3492; Skarmoutsos, D., Teitz, F., Nikolopoulos, P., Structure - Property relationships of Ni/YSZ and Ni/(YSZ+TiO2) cermets (2001) Fuel Cells, 1, pp. 243-248; Holtappels, P., (1997) Electrocatalysis on Nickel-cermet E,lectrodes Jülich, , Research Centre Report number 3414, and Thesis, Univ. Bonn; Kiratzis, N., Holtappels, P., Hatchwell, C.E., Mogensen, M., Irvine, J.T.S., Preparation and characterisation of copper/yttria titania zirconia cermets for use as possible solid oxide fuel cell anodes (2001) Fuel Cells, 1, pp. 211-218","page":"17-27","title":"Advanced anodes for high-temperature fuel cells","type":"article-journal","volume":"3"},"uris":["http://www.mendeley.com/documents/?uuid=5b7491b8-7a88-4fb4-aaf6-a24df77a007d"]}],"mendeley":{"formattedCitation":"[7], [57], [145]","plainTextFormattedCitation":"[7], [57], [145]","previouslyFormattedCitation":"[7], [57], [145]"},"properties":{"noteIndex":0},"schema":"https://github.com/citation-style-language/schema/raw/master/csl-citation.json"}</w:instrText>
      </w:r>
      <w:r w:rsidRPr="00B340FF">
        <w:rPr>
          <w:i/>
          <w:iCs/>
          <w:color w:val="44546A" w:themeColor="text2"/>
          <w:sz w:val="18"/>
          <w:szCs w:val="18"/>
        </w:rPr>
        <w:fldChar w:fldCharType="separate"/>
      </w:r>
      <w:r w:rsidR="006C586A" w:rsidRPr="006C586A">
        <w:rPr>
          <w:iCs/>
          <w:noProof/>
          <w:color w:val="44546A" w:themeColor="text2"/>
          <w:sz w:val="18"/>
          <w:szCs w:val="18"/>
        </w:rPr>
        <w:t>[7], [57], [145]</w:t>
      </w:r>
      <w:bookmarkEnd w:id="61"/>
      <w:r w:rsidRPr="00B340FF">
        <w:rPr>
          <w:i/>
          <w:iCs/>
          <w:color w:val="44546A" w:themeColor="text2"/>
          <w:sz w:val="18"/>
          <w:szCs w:val="18"/>
        </w:rPr>
        <w:fldChar w:fldCharType="end"/>
      </w:r>
    </w:p>
    <w:p w14:paraId="5BD65F81" w14:textId="0BAB3054" w:rsidR="00007F6C" w:rsidRPr="002B6C9E" w:rsidRDefault="00007F6C" w:rsidP="00007F6C">
      <w:pPr>
        <w:jc w:val="both"/>
      </w:pPr>
      <w:r w:rsidRPr="002B6C9E">
        <w:t>The flexibility of the wet impregnation technique means that it can be utilised to produce nanoscale engineered electrodes. This technique appears to have dominated in terms of producing infiltrated cathodes with various literature review having been published on the topic</w:t>
      </w:r>
      <w:r>
        <w:t xml:space="preserve"> </w:t>
      </w:r>
      <w:r>
        <w:fldChar w:fldCharType="begin" w:fldLock="1"/>
      </w:r>
      <w:r w:rsidR="00D80A5D">
        <w:instrText>ADDIN CSL_CITATION {"citationItems":[{"id":"ITEM-1","itemData":{"DOI":"10.1039/c3ee42926a","ISBN":"1754-5692","ISSN":"17545706","abstract":"Solid oxide fuel cells (SOFCs) have the potential to be one of the cleanest and most efficient energy technologies for direct conversion of chemical fuels to electricity. Economically competitive SOFC systems appear poised for commercialization, but widespread market penetration will require continuous innovation of materials and fabrication processes to enhance system lifetime and reduce cost. One early technical opportunity is minimization of resistance to the oxygen reduction reaction (ORR) at the cathode, which contributes the most to performance degradation and efficiency loss in the existing SOFCs, especially at temperatures &lt;700 °C. Detailed study over the past 15 years has revealed the positive impact of catalyst infiltration on SOFC cathode performance, both in power density and durability metrics. However, realizable performance improvements rely upon strongly-coupled relationships in materials and morphology between the infiltrate and the backbone, and therefore efficacious systems cannot be simply generated with a set of simple heuristics. This article reviews recent progress in enhancing SOFC cathode performance by surface modification through a solution-based infiltration process, focusing on two backbone architectures – inherently functional and skeletal – infiltrated using wet-chemistry processes. An efficient cathode consists of a porous mixed-conducting backbone and an active coating catalyst; the porous backbone provides excellent ionic and electronic conductivity, while the infiltrated surface coating possesses high catalytic activity and stability. As available, performance comparisons are emphasized and reaction schematics for specific infiltrate/backbone systems are summarized. While significant progress has been achieved in enhancing surface catalytic activity and durability, the detailed mechanisms of performance enhancement are insufficiently understood to obtain critical insights and a scientific basis for rational design of more efficient catalysts and novel electrode architectures. Recent progress in characterization of surfaces and interfaces is briefly discussed with challenges and perspectives in surface modification of SOFC electrodes. Surface modification through infiltration is expected to play an increasingly important role in current and next-generation commercial SOFC development, and this review illustrates the sophisticated technical considerations required to inform judicious selection of an infiltrate for a give…","author":[{"dropping-particle":"","family":"Ding","given":"Dong","non-dropping-particle":"","parse-names":false,"suffix":""},{"dropping-particle":"","family":"Li","given":"Xiaxi","non-dropping-particle":"","parse-names":false,"suffix":""},{"dropping-particle":"","family":"Lai","given":"Samson Yuxiu","non-dropping-particle":"","parse-names":false,"suffix":""},{"dropping-particle":"","family":"Gerdes","given":"Kirk","non-dropping-particle":"","parse-names":false,"suffix":""},{"dropping-particle":"","family":"Liu","given":"Meilin","non-dropping-particle":"","parse-names":false,"suffix":""}],"container-title":"Energy and Environmental Science","id":"ITEM-1","issue":"2","issued":{"date-parts":[["2014"]]},"language":"English","note":"Cited By :114\nExport Date: 11 October 2016\nCorrespondence Address: Liu, M.; School of Materials Science and Engineering, Center for Innovative Fuel Cell and Battery Technologies, Georgia Institute of Technology, 771 Ferst Drive NW, Atlanta, GA 30332, United States; email: meilin.liu@mse.gatech.edu\nReferences: Minh, N.Q., (1993) J. Am. Ceram. Soc., 76, pp. 563-588; Steele, B.C.H., Heinzel, A., (2001) Nature, 414, pp. 345-352; Singhal, S.C., (2002) Solid State Ionics, 152, pp. 405-410; Liu, M., Lynch, M.E., Blinn, K., Alamgir, F.M., Choi, Y., (2011) Mater. Today, 14, pp. 534-546; Yang, L., Wang, S.Z., Blinn, K., Liu, M.F., Liu, Z., Cheng, Z., Liu, M.L., (2009) Science, 326, pp. 126-129; Yang, L., Choi, Y., Qin, W., Chen, H., Blinn, K., Liu, M., Liu, P., Liu, M., (2011) Nat. Commun., 2, p. 357; Wachsman, E.D., Lee, K.T., (2011) Science, 334, pp. 935-939; Yamamoto, O., (2000) Electrochim. Acta, 45, pp. 2423-2435; Steele, B.C.H., (2001) J. Mater. Sci., 36, pp. 1053-1068; Fleig, J., (2003) Annu. Rev. Mater. Res., 33, pp. 361-382; Adler, S.B., (2004) Chem. Rev., 104, pp. 4791-4843; Sun, C.W., Hui, R., Roller, J., (2010) J. Solid State Electrochem., 14, pp. 1125-1144; Tsipis, E.V., Kharton, V.V., (2008) J. Solid State Electrochem., 12, pp. 1367-1391; (2004) Fuel Cells Bulletin, 2004 (5), p. 1; Tsipis, E.V., Kharton, V.V., (2008) J. Solid State Electrochem., 12, pp. 1039-1060; Li, Y.H., Gemmen, R., Liu, X.B., (2010) J. Power Sources, 195, pp. 3345-3358; Ostergard, M.J.L., Clausen, C., Bagger, C., Mogensen, M., (1995) Electrochim. Acta, 40, pp. 1971-1981; Kuo, J.H., Anderson, H.U., Sparlin, D.M., (1990) J. Solid State Chem., 87, pp. 55-63; Virkar, A.V., Chen, J., Tanner, C.W., Kim, J.W., (2000) Solid State Ionics, 131, pp. 189-198; Jiang, S.P., (2006) J. Solid State Electrochem., 11, pp. 93-102; Barbucci, A., Carpanese, M.P., Viviani, M., Vatistas, N., Nicolella, C., (2009) J. Appl. Electrochem., 39, pp. 513-521; Tai, L.W., Nasrallah, M.M., Anderson, H.U., Sparlin, D.M., Sehlin, S.R., (1995) Solid State Ionics, 76, pp. 273-283; Tai, L.W., Nasrallah, M.M., Anderson, H.U., Sparlin, D.M., Sehlin, S.R., (1995) Solid State Ionics, 76, pp. 259-271; Murray, E.P., Sever, M.J., Barnett, S.A., (2002) Solid State Ionics, 148, pp. 27-34; Mai, A., Haanappel, V.A.C., Uhlenbruck, S., Tietz, F., Stover, D., (2005) Solid State Ionics, 176, pp. 1341-1350; Waller, D., Lane, J.A., Kilner, J.A., Steele, B.C.H., (1996) Solid State Ionics, 8688, pp. 767-772; Xia, C.R., Rauch, W., Chen, F.L., Liu, M.L., (2002) Solid State Ionics, 149, pp. 11-19; Tu, H.Y., Takeda, Y., Imanishi, N., Yamamoto, O., (1997) Solid State Ionics, 100, pp. 283-288; Xia, C.R., Liu, M.L., (2001) Solid State Ionics, 144, pp. 249-255; Fukunaga, H., Koyama, M., Takahashi, N., Wen, C., Yamada, K., (2000) Solid State Ionics, 132, pp. 279-285; Koyama, M., Wen, C.J., Masuyama, T., Otomo, J., Fukunaga, H., Yamada, K., Eguchi, K., Takahashi, H., (2001) J. Electrochem. Soc., 148, pp. 795-A801; Zhang, X., Robertson, M., Yick, S., Deces-Petit, C., Styles, E., Qu, W., Xie, Y., Ghosh, D., (2006) J. Power Sources, 160, pp. 1211-1216; Shao, Z.P., Haile, S.M., (2004) Nature, 431, pp. 170-173; Zhou, W., Ran, R., Shao, Z.P., (2009) J. Power Sources, 192, pp. 231-246; Baumann, F.S., Fleig, J., Habermeier, H.U., Maier, J., (2006) Solid State Ionics, 177, pp. 3187-3191; Orui, H., Watanabe, K., Chiba, R., Arakawa, M., (2004) J. Electrochem. Soc., 151, pp. 1412-A1417; Komatsu, T., Arai, H., Chiba, R., Nozawa, K., Arakawa, M., Sato, K., (2006) Electrochem. Solid-State Lett., 9, pp. 9-A12; Komatsua, T., Chiba, R., Arai, H., Sato, K., (2008) J. Power Sources, 176, pp. 132-137; Kim, G., Wang, S., Jacobson, A.J., Reimus, L., Brodersen, P., Mims, C.A., (2007) J. Mater. Chem., 17, pp. 2500-2505; Taskin, A.A., Lavrov, A.N., Ando, Y., (2005) Appl. Phys. Lett., 86, p. 091910; Chang, A.M., Skinner, S.J., Kilner, J.A., (2006) Solid State Ionics, 177, pp. 2009-2011; Chen, D.J., Ran, R., Zhang, K., Wang, J., Shao, Z.P., (2009) J. Power Sources, 188, pp. 96-105; Skinner, S.J., Kilner, J.A., (2000) Solid State Ionics, 135, pp. 709-712; Kharton, V.V., Viskup, A.P., Naumovich, E.N., Marques, F.M.B., (1999) J. Mater. Chem., 9, pp. 2623-2629; Wang, Y.S., Nie, H.W., Wang, S.R., Wen, T.L., Guth, U., Valshook, V., (2006) Mater. Lett., 60, pp. 1174-1178; Mauvy, F., Lalanne, C., Bassat, J.M., Grenier, J.C., Zhao, H., Huo, L.H., Stevens, P., (2006) J. Electrochem. Soc., 153, pp. 1547-A1553; Orera, A., Slater, P.R., (2010) Chem. Mater., 22, pp. 675-690; Jacobson, A.J., (2010) Chem. Mater., 22, pp. 660-674; Svarcova, S., Wiik, K., Tolchard, J., Bouwmeester, H.J.M., Grande, T., (2008) Solid State Ionics, 178, pp. 1787-1791; Carter, S., Selcuk, A., Chater, R.J., Kajda, J., Kilner, J.A., Steele, B.C.H., (1992) Solid State Ionics, 53, pp. 597-605; Jiang, S.P., (2003) J. Power Sources, 124, pp. 390-402; Esquirol, A., Brandon, N.P., Kilner, J.A., Mogensen, M., (2004) J. Electrochem. Soc., 151, pp. 1847-A1855; Baumann, F.S., Fleig, J., Habermeier, H.U., Maier, J., (2006) Solid State Ionics, 177, pp. 1071-1081; Simrick, N.J., Bieberle-Hutter, A., Ryll, T.M., Kilner, J.A., Atkinson, A., Rupp, J.L.M., (2012) Solid State Ionics, 206, pp. 7-16; Prestat, M., Infortuna, A., Korrodi, S., Rey-Mermet, S., Muralt, P., Gauckler, L.J., (2007) J. Electroceram., 18, pp. 111-120; Miara, L.J., Basu, S.N., Pal, U.B., Gopalan, S., (2012) J. Electrochem. Soc., 159, pp. 419-F425; Becker, M., Mai, A., Ivers-Tiffee, E., Tietz, F., (2005) Proceedings of the Ninth International Symposium on Solid Oxide Fuel Cells (SOFC IX), 1. , ed. S. C. Singhal and J. Mizusaki, 514-523; Simner, S.P., Anderson, M.D., Engelhard, M.H., Stevenson, J.W., (2006) Electrochem. Solid-State Lett., 9, pp. 478-A481; Kim, J.Y., Sprenkle, V.L., Canfield, N.L., Meinhardt, K.D., Chick, L.A., (2006) J. Electrochem. Soc., 153, pp. 880-A886; Mai, A., Becker, M., Assenmacher, W., Tietz, F., Hathiramani, D., Ivers-Tiffee, E., Stover, D., Mader, W., (2006) Solid State Ionics, 177, pp. 1965-1968; Yokokawa, H., Tu, H.Y., Iwanschitz, B., Mai, A., (2008) J. Power Sources, 182, pp. 400-412; Oh, M.Y., Unemoto, A., Amezawa, K., Kawada, T., (2012) J. Electrochem. Soc., 159, pp. 659-F664; Steele, B.C.H., Hori, K.M., Uchino, S., (2000) Solid State Ionics, 135, pp. 445-450; Juhl, M., Primdahl, S., Manon, C., Mogensen, M., (1996) J. Power Sources, 61, pp. 173-181; Murray, E.P., Tsai, T., Barnett, S.A., (1998) Solid State Ionics, 110, pp. 235-243; Jorgensen, M.J., Mogensen, M., (2001) J. Electrochem. Soc., 148, pp. 433-A442; Mogensen, M., Skaarup, S., (1996) Solid State Ionics, 8688, pp. 1151-1160; Watanabe, M., Uchida, H., Shibata, M., Mochizuki, N., Amikura, K., (1994) J. Electrochem. Soc., 141, pp. 342-346; Saeki, M.J., Uchida, H., Watanabe, M., (1994) Catal. Lett., 26, pp. 149-157; Jiang, S.P., (2006) Mater. Sci. Eng., A, 418, pp. 199-210; Jiang, Z., Xia, C., Chen, F., (2010) Electrochim. Acta, 55, pp. 3595-3605; Sholklapper, T.Z., Jacobson, C.P., Visco, S.J., De Jonghe, L.C., (2008) Fuel Cells, 8, pp. 303-312; Vohs, J.M., Gorte, R.J., (2009) Adv. Mater., 21, pp. 943-956; Jiang, S.P., (2012) Int. J. Hydrogen Energy, 37, pp. 449-470; Liu, Z.B., Liu, B.B., Ding, D., Liu, M.F., Chen, F.L., Xia, C.R., (2013) J. Power Sources, 237, pp. 243-259; Lee, S., Miller, N., Gerdes, K., Manivannan, A., (2011) 12th Annual SECA Workshop, , July 26-28; Wang, W.S., Gross, M.D., Vohs, J.M., Gorte, R.J., (2007) J. Electrochem. Soc., 154, pp. 439-B445; Backhaus-Ricoult, M., (2006) Solid State Ionics, 177, pp. 2195-2200; Backhaus-Ricoult, M., Adib, K., Clair, T.S., Luerssen, B., Gregoratti, L., Barinov, A., (2008) Solid State Ionics, 179, pp. 891-895; Kiebach, R., Knofel, C., Bozza, F., Klemenso, T., Chatzichristodoulou, C., (2013) J. Power Sources, 228, pp. 170-177; Ding, D., Liu, M., Liu, M., (2013) ECS Trans., 57, pp. 1801-1810; Knofel, C., Wang, H.J., Thyden, K.T.S., Mogensen, M., (2011) Solid State Ionics, 195, pp. 36-42; Lynch, M.E., Yang, L., Qin, W., Choi, J.-J., Liu, M., Blinn, K., Liu, M., (2011) Energy Environ. Sci., 4, pp. 2249-2258; Van Dillen, A.J., Terorde, R., Lensveld, D.J., Geus, J.W., De Jong, K.P., (2003) J. Catal., 216, pp. 257-264; Jiang, P.P., Zhang, S.H., Guo, Y.L., Guo, Y., Wang, X.Y., Lu, G.Z., (2004) J. Inorg. Mater., 19, pp. 634-640; Galarraga, C., Peluso, E., De Lasa, H., (2001) Chem. Eng. J., 82, pp. 13-20; Agrafiotis, C., Tsetsekou, A., (2002) J. Eur. Ceram. Soc., 22, pp. 423-434; Lekhal, A., Glasser, B.J., Khinast, J.G., (2001) Chem. Eng. Sci., 56, pp. 4473-4487; Gardezi, S.A., Landrigan, L., Joseph, B., Wolan, J.T., (2012) Ind. Eng. Chem. Res., 51, pp. 1703-1712; Sholklapper, T.Z., Lu, C., Jacobson, C.P., Visco, S.J., De Jonghe, L.C., (2006) Electrochem. Solid-State Lett., 9, pp. 376-A378; Sholklapper, T.Z., Kurokawa, H., Jacobson, C.P., Visco, S.J., De Jonghe, L.C., (2007) Nano Lett., 7, pp. 2136-2141; Bourikas, K., Kordulis, C., Lycourghiotis, A., (2006) Catal. Rev.: Sci. Eng., 48, pp. 363-444; Hao, X., Quach, L., Korah, J., Spieker, W.A., Regalbuto, J.R., (2004) J. Mol. Catal. A: Chem., 219, pp. 97-107; Lekhal, A., Glasser, B.J., Khinast, J.G., (2004) Chem. Eng. Sci., 59, pp. 1063-1077; Lee, S., Miller, N., Abernathy, H., Gerdes, K., Manivannan, A., (2011) J. Electrochem. Soc., 158, pp. 735-B742; Lee, S., Miller, N., Staruch, M., Gerdes, K., Jain, M., Manivannan, A., (2011) Electrochim. Acta, 56, pp. 9904-9909; Hansen, K.K., Wandel, M., Liu, Y.L., Mogensen, M., (2010) Electrochim. Acta, 55, pp. 4606-4609; Xu, N.S., Li, X., Zhao, X., Zhao, H.L., Huang, K., (2012) Electrochem. Solid-State Lett., 15, pp. 1-B4; Serra, J.M., Buchkremer, H.P., (2007) J. Power Sources, 172, pp. 768-774; Choi, J.-J., Qin, W., Liu, M., Liu, M., (2011) J. Am. Ceram. Soc., 94, pp. 3340-3345; Lou, X.Y., Liu, Z., Wang, S.Z., Xiu, Y.H., Wong, C.P., Liu, M.L., (2010) J. Power Sources, 195, pp. 419-424; Tucker, D., Manivannan, A., Haynes, D., Abernathy, H., Miller, N., Wynne, K., Matos, A., Evaluating Methods for Infiltration of LSCF Cathodes with Mixed Electric/Ionic Conductors for Improved Oxygen Exchange (2010) Proceedings of the Asme 8th International Conference on Fuel Cell Science, Engineering, and Technology, 1. , Brooklyn, 305-309; Chen, H.Y., Yu, H.C., Cronin, J.S., Wilson, J.R., Barnett, S.A., Thornton, K., (2011) J. Power Sources, 196, pp. 1333-1337; Zhang, Y.X., Xia, C.R., Ni, M., (2012) Int. J. Hydrogen Energy, 37, pp. 3392-3402; Ding, D., Liu, M., Lai, S.Y., Blinn, K., Liu, M., Theory, Investigation and Stability of Cathode Electrocatalytic Activity, , http://www.osti.gov/scitech/servlets/purl/1084035, Department of Energy (DoE), US Project Report; Zhang, Y.X., Sun, Q., Xia, C.R., Ni, M., (2013) J. Electrochem. Soc., 160, pp. 278-F289; Gandavarapu, S.R., Sabolsky, K., Gerdes, K., Sabolsky, E.M., (2013) Mater. Lett., 95, pp. 131-134; Tamm, K., Kuengas, R., Gorte, R.J., Lust, E., (2013) Electrochim. Acta, 106, pp. 398-405; Yamahara, K., Jacobson, C.P., Visco, S.J., De Jonghe, L.C., (2005) Solid State Ionics, 176, pp. 451-456; Ding, D., Zhu, W., Gao, J.F., Xia, C.R., (2008) J. Power Sources, 179, pp. 177-185; Wachsman, E., (2008) 9th Annual SECA Workshop, , August 5-7; Othman, M.H.D., Droushiotis, N., Wu, Z.T., Kelsall, G., Li, K., (2011) Adv. Mater., 23, p. 2480; Chen, Y., Liu, Q., Yang, Z., Chen, F., Han, M., (2012) RSC Adv., 2, pp. 12118-12121; Sase, M., Ueno, D., Yashiro, K., Kaimai, A., Kawada, T., Mizusaki, J., (2005) J. Phys. Chem. Solids, 66, pp. 343-348; Liu, Y.H., Chi, B., Pu, J., Li, J., (2012) Int. J. Hydrogen Energy, 37, pp. 4388-4393; Shah, M., Voorhees, P.W., Barnett, S.A., (2011) Solid State Ionics, 187, pp. 64-67; Steele, B.C.H., Middleton, P.H., Rudkin, R.A., (1990) Solid State Ionics, 4041, pp. 388-393; Trovarelli, A., (1996) Catal. Rev., 38, pp. 439-520; Martin, D., Duprez, D., (1996) J. Phys. Chem., 100, pp. 9429-9438; Steele, B.C.H., (2000) Solid State Ionics, 134, pp. 3-20; Li, Y.H., Gerdes, K., Liu, X.B., (2013) J. Electrochem. Soc., 160, pp. 554-F559; Nie, L.F., Liu, M.F., Zhang, Y.J., Liu, M.L., (2010) J. Power Sources, 195, pp. 4704-4708; Liu, X., Han, D., Wu, H., Meng, X., Zeng, F., Zhan, Z., (2013) Int. J. Hydrogen Energy, 38, pp. 16563-16568; Jiang, S.P., Wang, W., (2005) J. Electrochem. Soc., 152, pp. 1398-A1408; Xu, X.Y., Jiang, Z.Y., Fan, X., Xia, C.R., (2006) Solid State Ionics, 177, pp. 2113-2117; Zhi, M.J., Lee, S., Miller, N., Menzler, N.H., Wu, N.Q., (2012) Energy Environ. Sci., 5, pp. 7066-7071; Liu, M.F., Ding, D., Blinn, K., Li, X.X., Nie, L.F., Liu, M., (2012) Int. J. Hydrogen Energy, 37, pp. 8613-8620; Zhu, W., Ding, D., Xia, C., (2008) Electrochem. Solid-State Lett., 11, pp. 83-B86; Zhang, Y.X., Xia, C.R., (2010) J. Power Sources, 195, pp. 4206-4212; Leng, Y.J., Chan, S.H., Khor, K.A., Jiang, S.P., (2006) J. Solid State Electrochem., 10, pp. 339-347; Jiang, S.P., Leng, Y.J., Chan, S.H., Khor, K.A., (2003) Electrochem. Solid-State Lett., 6, pp. 67-A70; Jiang, S.P., Wang, W., (2005) Solid State Ionics, 176, pp. 1351-1357; Zhen, Y.D., Jiang, S.P., (2006) J. Electrochem. Soc., 153, pp. 2245-A2254; Zhang, L., Zhao, F., Peng, R.R., Xia, C.R., (2008) Solid State Ionics, 179, pp. 1553-1556; Tian, R.F., Fan, J., Liu, Y., Xia, C.R., (2008) J. Power Sources, 185, pp. 1247-1251; Yoon, S.P., Han, J., Nam, S.W., Lim, T.H., Oh, I.H., Hong, S.A., Yoo, Y.S., Lim, H.C., (2002) J. Power Sources, 106, pp. 160-166; Ding, D., Gong, M.Y., Xu, C.C., Baxter, N., Li, Y.H., Zondlo, J., Gerdes, K., Liu, X.B., (2011) J. Power Sources, 196, pp. 2551-2557; Chen, K.F., Lu, Z., Ai, N., Huang, X.Q., Zhang, Y.H., Xin, X.S., Zhu, R.B., Su, W.H., (2006) J. Power Sources, 160, pp. 436-438; Chen, K.F., Lu, Z., Chen, X.J., Ai, N., Huang, X.Q., Du, X.B., Su, W.H., (2007) J. Power Sources, 172, pp. 742-748; Chen, K.F., Lu, Z., Ai, N., Chen, X.J., Hu, J.Y., Huang, X.Q., Su, W.H., (2007) J. Power Sources, 167, pp. 84-89; Wei, B., Lu, Z., Huang, X.Q., Liu, M.L., Chen, K.F., Su, W.H., (2007) J. Power Sources, 167, pp. 58-63; Klemenso, T., Chatzichristodoulou, C., Nielsen, J., Bozza, F., Thyden, K., Kiebach, R., Ramousse, S., (2012) Solid State Ionics, 224, pp. 21-31; Hojberg, J., Sogaard, M., (2011) Electrochem. Solid-State Lett., 14, pp. 77-B79; Ren, Y.Y., Ma, J.T., Ai, D.S., Zan, Q.F., Lin, X.P., Deng, C.S., (2012) J. Mater. Chem., 22, pp. 25042-25049; Imanishi, N., Ohno, R., Murata, K., Hirano, A., Takeda, Y., Yamamoto, O., Yamahara, K., (2009) Fuel Cells, 9, pp. 215-221; Goodenough, J.B., (2003) Annu. Rev. Mater. Res., 33, pp. 91-128; Jiang, Z.Y., Zhang, L., Feng, K., Xia, C.R., (2008) J. Power Sources, 185, pp. 40-48; Jiang, Z.Y., Zhang, L., Cai, L.L., Xia, C.R., (2009) Electrochim. Acta, 54, pp. 3059-3065; Zhang, Q.S., Hirano, A., Imanishi, N., Takeda, Y., Yamahara, K., (2009) J. Fuel Cell Sci. Technol., 6, p. 011001; Yoshikawa, T., Shinde, N., Murata, K., Hirano, A., Takeda, Y., Yamamoto, O., Yamahara, K., (2010) J. Fuel Cell Sci. Technol., 7, p. 061004; Liu, R.Z., Cai, G.Q., Li, J.L., Zhao, C.H., Wang, S.R., Wen, T.L., Wen, Z.Y., (2010) J. Solid State Electrochem., 14, pp. 1923-1928; Azad, A.M., Larose, S., Akbar, S.A., (1994) J. Mater. Sci., 29, pp. 4135-4151; Mitterdorfer, A., Gauckler, L.J., (1998) Solid State Ionics, 111, pp. 185-218; Sholklapper, T.Z., Kurokawa, H., Jacobson, C.P., Visco, S.J., De Jonghe, L.C., (2007) Solid Oxide Fuel Cells 10, 7. , ed. K. Eguchi, S. C. Singhai, H. Yokokawa and H. Mizusaki, Electrochemical Society Inc, Pennington, 837-843; Lu, C., Sholklapper, T.Z., Jacobson, C.P., Visco, S.J., De Jonghe, L.C., (2006) J. Electrochem. Soc., 153, pp. 1115-A1119; Liu, Z.B., Ding, D., Liu, M.F., Li, X.X., Sun, W.P., Xia, C.R., Liu, M.L., (2013) J. Power Sources, 229, pp. 277-284; Lou, X.Y., Wang, S.Z., Liu, Z., Yang, L., Liu, M.L., (2009) Solid State Ionics, 180, pp. 1285-1289; Lee, S., Miller, N., Abernathy, H., Gerdes, K., Manivannan, A., (2011) J. Electrochem. Soc., 158, pp. 735-B742; Lee, S., Miller, N., Gerdes, K., (2012) J. Electrochem. Soc., 159, pp. 301-F308; Chao, R., Kitchin, J.R., Gerdes, K., Sabolsky, E.M., Salvador, P.A., (2011) ECS Trans., 35, pp. 2387-2399; Chao, R., (2012), PhD dissertation, Carnegie Mellon University, Materials Science and EngineeringChiba, R., Yoshimura, F., Sakurai, Y., Tabata, Y., Arakawa, M., (2004) Solid State Ionics, 175, pp. 23-27; Cheng, C.S., Zhang, L., Zhang, Y.J., Jiang, S.P., (2008) Solid State Ionics, 179, pp. 282-289; Zhang, Q.S., Hirano, A., Matsumura, T., Imanishi, N., Takeda, Y., Yamahara, K., (2009) J. Fuel Cell Sci. Technol., 6, p. 011010; Ai, N., Jiang, S.P., Lu, Z., Chen, K.F., Su, W.H., (2010) J. Electrochem. Soc., 157, pp. 1033-B1039; Uchida, H., Arisaka, S., Watanabe, M., (2000) Solid State Ionics, 135, pp. 347-351; Uchida, H., Arisaka, S., Watanabe, M., (2002) J. Electrochem. Soc., 149, pp. 13-A18; Simner, S.P., Bonnett, J.R., Canfield, N.L., Meinhardt, K.D., Shelton, J.P., Sprenkle, V.L., Stevenson, J.W., (2003) J. Power Sources, 113, pp. 1-10; Liang, F.L., Chen, J., Jiang, S.P., Chi, B., Pu, J., Jian, L., (2008) Electrochem. Solid-State Lett., 11, pp. 213-B216; Haanappel, V.A.C., Rutenbeck, D., Mai, A., Uhlenbruck, S., Sebold, D., Wesemeyer, H., Rowekamp, B., Tietz, F., (2004) J. Power Sources, 130, pp. 119-128; Sahibzada, M., Benson, S.J., Rudkin, R.A., Kilner, J.A., (1998) Solid State Ionics, 115, pp. 285-290; Chen, J., Liang, F.L., Chi, B., Pu, J., Jiang, S.P., Jian, L., (2009) J. Power Sources, 194, pp. 275-280; Babaei, A., Zhang, L., Liu, E.J., Jiang, S.P., (2011) J. Alloys Compd., 509, pp. 4781-4787; Zhang, R., Alamdari, H., Kallaguine, S., (2006) J. Catal., 242, pp. 241-253; Zhang, R.D., Villanueva, A., Alamdari, H., Kaliaguine, S., (2006) J. Catal., 237, pp. 368-380; Li, J., Singh, U.G., Bennett, J.W., Page, K., Weaver, J.C., Zhang, J.-P., Proffen, T., Seshadri, R., (2007) Chem. Mater., 19, pp. 1418-1426; Wang, S.R., Kato, T., Nagata, S., Honda, T., Kaneko, T., Iwashita, N., Dokiya, M., (2002) Solid State Ionics, 146, pp. 203-210; Liu, Y., Mori, M., Funahashi, Y., Fujishiro, Y., Hirano, A., (2007) Electrochem. Commun., 9, pp. 1918-1923; Sakito, Y., Hirano, A., Imanishi, N., Takeda, Y., Yamamoto, O., Liu, Y., (2008) J. Power Sources, 182, pp. 476-481; Mori, M., Liu, Y., Itoh, T., (2009) J. Electrochem. Soc., 156, pp. 1182-B1187; Lee, K.T., Manthiram, A., (2006) J. Power Sources, 160, pp. 903-908; Yamahara, K., Jacobson, C.P., Visco, S.J., Zhang, X.F., De Jonghe, L.C., (2005) Solid State Ionics, 176, pp. 275-279; Huang, Y.Y., Vohs, J.M., Gorte, R.J., (2006) J. Electrochem. Soc., 153, pp. 951-A955; Mogensen, M., Søgaard, M., Blennow, P., Hansen, K.K., (2008) 8th European SOFC Forum Lucerne, , Switzerland, Lucerne Fuel Cell Forum, paper A0402; La, O.G.J., Ahn, S.J., Crumlin, E., Orikasa, Y., Biegalski, M.D., Christen, H.M., Shao-Horn, Y., (2010) Angew. Chem., Int. Ed., 49, pp. 5344-5347; Crumlin, E.J., Mutoro, E., Ahn, S.-J., La, O.G.J., Leonard, D.N., Borisevich, A., Biegalski, M.D., Shao-Horn, Y., (2010) J. Phys. Chem. Lett., 1, pp. 3149-3155; Morgan, D., Lee, Y.L., Adler, S.B., McDonald, T.J., Shao-Horn, Y., Lee, D.K., (2013) 14th Annual SECA Workshop, , July 23-24; Van Der Heide, P.A.W., (2002) Surf. Interface Anal., 33, pp. 414-425; Hardy, J.S., Templeton, J.W., Edwards, D.J., Lu, Z.G., Stevenson, J.W., (2012) J. Power Sources, 198, pp. 76-82; Ding, D., Liu, M., Liu, Z., Li, X., Blinn, K., Zhu, X., Liu, M., (2013) Adv. Energy Mater., 3, pp. 1149-1154; Choi, Y.M., Lin, M.C., Liu, M.L., (2010) J. Power Sources, 195, pp. 1441-1445; Ding, H.P., Virkar, A.V., Liu, M.L., Liu, F., (2013) Phys. Chem. Chem. Phys., 15, pp. 489-496; Ishihara, T., Kudo, T., Matsuda, H., Takita, Y., (1995) J. Electrochem. Soc., 142, pp. 1519-1524; Kostogloudis, G.C., Fertis, P., Ftikos, C., (1999) Solid State Ionics, 118, pp. 241-249; Wen, T.L., Tu, H., Xu, Z., Yamamoto, O., (1999) Solid State Ionics, 121, pp. 25-30; Rossignol, C., Ralph, J.M., Bae, J.M., Vaughey, J.T., (2004) Solid State Ionics, 175, pp. 59-61; Xu, Q., Huang, D.P., Chen, W., Zhang, F., Wang, B.T., (2007) J. Alloys Compd., 429, pp. 34-39; Chen, W.X., Wen, T.L., Nie, H.W., Zheng, R., (2003) Mater. Res. Bull., 38, pp. 1319-1328; Bai, Y., Liu, M., Ding, D., Blinn, K., Qin, W., Liu, J., Liu, M., (2012) J. Power Sources, 205, pp. 80-85; Haider, M.A., McIntosh, S., (2009) J. Electrochem. Soc., 156, pp. 1369-B1375; He, H.P., Huang, Y.Y., Regal, J., Boaro, M., Vohs, J.M., Gorte, R.J., (2004) J. Am. Ceram. Soc., 87, pp. 331-336; Huang, Y.Y., Vohs, J.M., Gorte, R.J., (2005) J. Electrochem. Soc., 152, pp. 1347-A1353; Sholklapper, T.Z., Radmilovic, V., Jacobson, C.P., Visco, S.J., De Jonghe, L.C., (2007) Electrochem. Solid-State Lett., 10, pp. 74-B76; Huang, Y.Y., Ahn, K., Vohs, J.M., Gorte, R.J., (2004) J. Electrochem. Soc., 151, pp. 1592-A1597; Shah, M., Barnett, S.A., (2008) Solid State Ionics, 179, pp. 2059-2064; Kim, J.H., Kim, H., (2012) Ceram. Int., 38, pp. 4669-4675; Zhao, F., Wang, Z.Y., Liu, M.F., Zhang, L., Xia, C.R., Chen, F.L., (2008) J. Power Sources, 185, pp. 13-18; Zhang, H., Zhao, F., Chen, F., Xia, C., (2011) Solid State Ionics, 192, pp. 591-594; Huang, Y.Y., Vohs, J.M., Gorte, R.J., (2004) J. Electrochem. Soc., 151, pp. 646-A651; Zhao, L., Ye, X.F., Zhan, Z.L., (2011) J. Power Sources, 196, pp. 6201-6204; Kungas, R., Yu, A.S., Levine, J., Vohs, J.M., Gorte, R.J., (2013) J. Electrochem. Soc., 160, pp. 205-F211; Lee, S., Bevilacqua, M., Fornasiero, P., Vohs, J.M., Gorte, R.J., (2009) J. Power Sources, 193, pp. 747-753; Wang, Y., Zhang, H., Chen, F., Xia, C., (2012) J. Power Sources, 203, pp. 34-41; Bidrawn, F., Vohs, J.M., Gorte, R.J., (2010) J. Electrochem. Soc., 157, pp. 1629-B1633; Shimada, H., Takizawa, K., Michibata, H., Hagiwara, A., (2007) Solid Oxide Fuel Cells 10, 7. , ed. K. Eguchi, S. C. Singhai, H. Yokokawa and H. Mizusaki, Electrochemical Society Inc, Penningt","page":"552-575","publisher":"Royal Society of Chemistry","title":"Enhancing SOFC cathode performance by surface modification through infiltration","type":"article-journal","volume":"7"},"uris":["http://www.mendeley.com/documents/?uuid=2d99c055-224c-40fa-bd32-31ac14ae5690"]},{"id":"ITEM-2","itemData":{"DOI":"10.1002/adma.200802428","ISSN":"09359648","abstract":"Improved cathodes are required for low-temperature operation of solid-oxide fuel cells (SOFCs). Recent work has shown that electrode fabrication and modification by infiltration of active components into a porous scaffold can result in outstanding electrochemical performance. In this paper we review the literature on this new approach for cathode preparation and discuss the insights that this work has provided for understanding the relationships between the materials properties, electrochemical performance, and electrode stability. © 2009 WILEY-VCH Verlag GmbH &amp; Co. KGaA.","author":[{"dropping-particle":"","family":"Vohs","given":"John M.","non-dropping-particle":"","parse-names":false,"suffix":""},{"dropping-particle":"","family":"Gorte","given":"Raymond J.","non-dropping-particle":"","parse-names":false,"suffix":""}],"container-title":"Advanced Materials","id":"ITEM-2","issue":"9","issued":{"date-parts":[["2009"]]},"page":"943-956","title":"High-performance SOFC cathodes prepared by infiltration","type":"article-journal","volume":"21"},"uris":["http://www.mendeley.com/documents/?uuid=ecf969a3-9365-4bd9-98a3-89b00ee1e044"]},{"id":"ITEM-3","itemData":{"DOI":"10.1016/j.msea.2005.11.052","ISBN":"0921-5093","ISSN":"09215093","abstract":"Development of solid oxide fuel cells (SOFC) for operation at intermediate temperatures of 600-800 °C with hydrocarbon fuels requires a cathode and anode with high electrocatalytic activity for O2 reduction and direct oxidation of hydrocarbon fuels, respectively. Wet impregnation is a well known method in the development of heterogeneous catalysts. Surprisingly, very few have concentrated on the application of the wet impregnation technique to deposit nano-sized particles into the established electrode structure of the SOFC. This paper reviews and discusses the progress in the application of the wet impregnation technique in the development of Ni-free Cu-based composite anodes, doped CeO2-impregnated (La, Sr)MnO3 (LSM) cathodes and Ni anodes, Co3O4-infiltrated cathodes and precious metal-impregnated electrodes. Enhancement in the electrode microstructure and cell performance is substantial, showing the great potential of the wet impregnation method in the development of high performance and nano-structured electrodes with specific functions. However, the long-term stability of the impregnated electrode structure needs to be addressed. © 2005 Elsevier B.V. All rights reserved.","author":[{"dropping-particle":"","family":"Jiang","given":"San Ping","non-dropping-particle":"","parse-names":false,"suffix":""}],"container-title":"Materials Science and Engineering A","id":"ITEM-3","issue":"1-2","issued":{"date-parts":[["2006"]]},"page":"199-210","title":"A review of wet impregnation - An alternative method for the fabrication of high performance and nano-structured electrodes of solid oxide fuel cells","type":"article-journal","volume":"418"},"uris":["http://www.mendeley.com/documents/?uuid=3a761968-27e6-45c9-af47-f9d22db8388f"]}],"mendeley":{"formattedCitation":"[7], [8], [144]","plainTextFormattedCitation":"[7], [8], [144]","previouslyFormattedCitation":"[7], [8], [144]"},"properties":{"noteIndex":0},"schema":"https://github.com/citation-style-language/schema/raw/master/csl-citation.json"}</w:instrText>
      </w:r>
      <w:r>
        <w:fldChar w:fldCharType="separate"/>
      </w:r>
      <w:r w:rsidR="006C586A" w:rsidRPr="006C586A">
        <w:rPr>
          <w:noProof/>
        </w:rPr>
        <w:t>[7], [8], [144]</w:t>
      </w:r>
      <w:r>
        <w:fldChar w:fldCharType="end"/>
      </w:r>
      <w:r w:rsidRPr="002B6C9E">
        <w:t xml:space="preserve">. </w:t>
      </w:r>
    </w:p>
    <w:p w14:paraId="4A1AC82E" w14:textId="7CD0B4DE" w:rsidR="00007F6C" w:rsidRPr="002B6C9E" w:rsidRDefault="00007F6C" w:rsidP="00007F6C">
      <w:pPr>
        <w:jc w:val="both"/>
      </w:pPr>
      <w:r w:rsidRPr="002B6C9E">
        <w:t>It is known in the field of surface catalysis that a larger number of reactive sites can be utilised by nanoscale particles. The drive to decrease catalyst size constitutes a conce</w:t>
      </w:r>
      <w:r>
        <w:t>rted</w:t>
      </w:r>
      <w:r w:rsidRPr="002B6C9E">
        <w:t xml:space="preserve"> effort in the literature to increase the surface to volume ratio of said particles. As discussed</w:t>
      </w:r>
      <w:r>
        <w:t>;</w:t>
      </w:r>
      <w:r w:rsidRPr="00580194">
        <w:t xml:space="preserve"> </w:t>
      </w:r>
      <w:r w:rsidRPr="002B6C9E">
        <w:t xml:space="preserve">higher number of potential active sites from the nanoparticles produced by ion impregnation </w:t>
      </w:r>
      <w:r>
        <w:t xml:space="preserve">has been shown to increase the power density of SOFCs </w:t>
      </w:r>
      <w:r>
        <w:fldChar w:fldCharType="begin" w:fldLock="1"/>
      </w:r>
      <w:r w:rsidR="00D80A5D">
        <w:instrText>ADDIN CSL_CITATION {"citationItems":[{"id":"ITEM-1","itemData":{"DOI":"10.1039/c0dt01404d","ISBN":"8641184694","ISSN":"14779226","abstract":"The rapid development of materials science now enables tailoring of metal and metal oxide particles with tunable size and shape at the nanometre level. As a result, nanocatalysis is undergoing an explosive growth, and it has been seen that the size and shape of a catalyst particle tremendously affects the reaction performance. The size effect of metal nanoparticles has been interpreted in terms of the variation in geometric and electronic properties that governs the adsorption and activation of the reactants as well as the desorption of the products. At the same time, it has been verified that the morphology of a catalyst particle, determined by the exposed crystal planes, also considerably affects the catalytic behavior. This is termed as morphology-dependent nanocatalysis: a catalyst particle with an anisotropic shape alters the reaction performance by selectively exposing specific crystal facets. This perspective article initially surveys the recent progress on morphology-dependent nanocatalysis of precious metal particles to emphasise the chemical nature of the morphology effect. Then, the fabrication of transition metal particles with controllable size/morphology is examined, and their shape is correlated with their catalytic properties, with the aim to clarify the structure-reactivity relationship. Finally, the future outlook presents our personal perspectives on the concept of morphology-dependent nanocatalysis of metal particles, which is a rapidly growing topic in heterogeneous catalysis. © 2011 The Royal Society of Chemistry.","author":[{"dropping-particle":"","family":"Li","given":"Yong","non-dropping-particle":"","parse-names":false,"suffix":""},{"dropping-particle":"","family":"Liu","given":"Qiying","non-dropping-particle":"","parse-names":false,"suffix":""},{"dropping-particle":"","family":"Shen","given":"Wenjie","non-dropping-particle":"","parse-names":false,"suffix":""}],"container-title":"Dalton Transactions","id":"ITEM-1","issue":"22","issued":{"date-parts":[["2011"]]},"page":"5811-5826","title":"Morphology-dependent nanocatalysis: Metal particles","type":"article-journal","volume":"40"},"uris":["http://www.mendeley.com/documents/?uuid=b700bf2f-4f8a-4e1a-9fc1-34eb4d21e677"]},{"id":"ITEM-2","itemData":{"author":[{"dropping-particle":"","family":"T.L. Skafte  P. Blennow and C. Graves","given":"J Hjelm","non-dropping-particle":"","parse-names":false,"suffix":""}],"container-title":"Proceedings of 12th European SOFC &amp; SOE Forum 2016","id":"ITEM-2","issued":{"date-parts":[["2016"]]},"page":"19","publisher":"European Fuel Cell Forum","publisher-place":"Lucerne, Switzerland","title":"Quantitative review of degradation and lifetime of solid oxide cells and stacks","type":"paper-conference"},"uris":["http://www.mendeley.com/documents/?uuid=686d533f-2ce1-4e2e-b7de-65bbff82ec66"]},{"id":"ITEM-3","itemData":{"ISBN":"978-3-905592-21-4","abstract":"A comprehensive review of degradation and lifetime for solid oxide cells and stacks hasbeen conducted. Based on more than 50 parameters from 150 publications and 1 000 000hours of accumulated testing, this paper presents a quantitative analysis of the currentinternational status of degradation and lifetime in the field. The data is used to visualizespecific trends regarding choice of materials, operating conditions and degradation rates.The average degradation rate reported is decreasing and is quickly approaching officialtargets. The database is published online for open-access and a continued updating by thecommunity is encouraged. Furthermore, the commonly reported test parameters anddegradation indicators are discussed. The difficulty in standardizing testing due tovariations in cell and stack design, materials and intended purpose of the system isacknowledged. A standardization of reporting of long-term single-cell- and stack-tests isproposed. ","author":[{"dropping-particle":"","family":"Skafte","given":"Theis L","non-dropping-particle":"","parse-names":false,"suffix":""},{"dropping-particle":"","family":"Hjelm","given":"Johan","non-dropping-particle":"","parse-names":false,"suffix":""},{"dropping-particle":"","family":"Blennow","given":"Peter","non-dropping-particle":"","parse-names":false,"suffix":""},{"dropping-particle":"","family":"Graves","given":"Christopher","non-dropping-particle":"","parse-names":false,"suffix":""}],"container-title":"EFCF 2016 proceedings","id":"ITEM-3","issued":{"date-parts":[["2016"]]},"page":"B0501","publisher":"European Fuel Cell Forum","publisher-place":"Lucerne, Switzerland","title":"Quantitative review of degradation and lifetime of solid oxide cells and stacks","type":"paper-conference"},"uris":["http://www.mendeley.com/documents/?uuid=1bd32b9a-7bab-46ee-8a2d-50098282d6d6"]}],"mendeley":{"formattedCitation":"[9], [74], [146]","plainTextFormattedCitation":"[9], [74], [146]","previouslyFormattedCitation":"[9], [74], [146]"},"properties":{"noteIndex":0},"schema":"https://github.com/citation-style-language/schema/raw/master/csl-citation.json"}</w:instrText>
      </w:r>
      <w:r>
        <w:fldChar w:fldCharType="separate"/>
      </w:r>
      <w:r w:rsidR="006C586A" w:rsidRPr="006C586A">
        <w:rPr>
          <w:noProof/>
        </w:rPr>
        <w:t>[9], [74], [146]</w:t>
      </w:r>
      <w:r>
        <w:fldChar w:fldCharType="end"/>
      </w:r>
      <w:r w:rsidRPr="002B6C9E">
        <w:t xml:space="preserve">. </w:t>
      </w:r>
    </w:p>
    <w:p w14:paraId="007E7145" w14:textId="77777777" w:rsidR="00007F6C" w:rsidRDefault="00007F6C" w:rsidP="00007F6C">
      <w:pPr>
        <w:jc w:val="both"/>
      </w:pPr>
      <w:r w:rsidRPr="002B6C9E">
        <w:t xml:space="preserve">The benefits of this method are numerous. The simple process produces a high degree of functional control as the amount of catalyst is directly controlled by the number of separate metal salt depositions. The calcination and firing of the porous YSZ scaffold can also be done at lower temperatures preserving more acute functional characteristics. </w:t>
      </w:r>
    </w:p>
    <w:p w14:paraId="0DCC0E67" w14:textId="77777777" w:rsidR="00007F6C" w:rsidRPr="002B6C9E" w:rsidRDefault="00007F6C" w:rsidP="00BB2DBA">
      <w:pPr>
        <w:jc w:val="both"/>
      </w:pPr>
      <w:r w:rsidRPr="00F45E87">
        <w:t xml:space="preserve">In addition, the increased porosity of the ceramic backbone in infiltrated electrodes reduces the effect of thermal expansion coefficient mismatch between the metal and the ceramic structure during </w:t>
      </w:r>
      <w:r w:rsidRPr="00F45E87">
        <w:lastRenderedPageBreak/>
        <w:t>operation</w:t>
      </w:r>
      <w:r>
        <w:t xml:space="preserve">. </w:t>
      </w:r>
      <w:r w:rsidRPr="002B6C9E">
        <w:t>The avoidance of high temperature sintering steps means that this technique has a large degree of flexibility with the infiltrates that can be used.</w:t>
      </w:r>
    </w:p>
    <w:p w14:paraId="22CDADA7" w14:textId="11128B19" w:rsidR="00A12B6A" w:rsidRDefault="00007F6C" w:rsidP="00007F6C">
      <w:pPr>
        <w:jc w:val="both"/>
      </w:pPr>
      <w:r w:rsidRPr="002B6C9E">
        <w:t xml:space="preserve">The role of coordination number (CN) </w:t>
      </w:r>
      <w:r w:rsidR="00B47910">
        <w:t xml:space="preserve">or ligancy </w:t>
      </w:r>
      <w:r w:rsidRPr="002B6C9E">
        <w:t>in catalysis cannot be understated.</w:t>
      </w:r>
      <w:r w:rsidR="00B47910">
        <w:t xml:space="preserve"> This is the measure of the central atom and the number of atoms bonded to it </w:t>
      </w:r>
      <w:r w:rsidR="00B47910">
        <w:fldChar w:fldCharType="begin" w:fldLock="1"/>
      </w:r>
      <w:r w:rsidR="00D80A5D">
        <w:instrText>ADDIN CSL_CITATION {"citationItems":[{"id":"ITEM-1","itemData":{"DOI":"10.1039/C0DT01404D","ISBN":"1477-9226","abstract":"The rapid development of materials science now enables tailoring of metal and metal oxide particles with tunable size and shape at the nanometre level. As a result, nanocatalysis is undergoing an explosive growth, and it has been seen that the size and shape of a catalyst particle tremendously affects the reaction performance. The size effect of metal nanoparticles has been interpreted in terms of the variation in geometric and electronic properties that governs the adsorption and activation of the reactants as well as the desorption of the products. At the same time, it has been verified that the morphology of a catalyst particle, determined by the exposed crystal planes, also considerably affects the catalytic behavior. This is termed as morphology-dependent nanocatalysis: a catalyst particle with an anisotropic shape alters the reaction performance by selectively exposing specific crystal facets. This perspective article initially surveys the recent progress on morphology-dependent nanocatalysis of precious metal particles to emphasise the chemical nature of the morphology effect. Then, the fabrication of transition metal particles with controllable size/morphology is examined, and their shape is correlated with their catalytic properties, with the aim to clarify the structure-reactivity relationship. Finally, the future outlook presents our personal perspectives on the concept of morphology-dependent nanocatalysis of metal particles, which is a rapidly growing topic in heterogeneous catalysis.","author":[{"dropping-particle":"","family":"Li","given":"Yong","non-dropping-particle":"","parse-names":false,"suffix":""},{"dropping-particle":"","family":"Liu","given":"Qiying","non-dropping-particle":"","parse-names":false,"suffix":""},{"dropping-particle":"","family":"Shen","given":"Wenjie","non-dropping-particle":"","parse-names":false,"suffix":""}],"container-title":"Dalton Transactions","id":"ITEM-1","issue":"22","issued":{"date-parts":[["2011"]]},"page":"5811-5826","publisher":"The Royal Society of Chemistry","title":"Morphology-dependent nanocatalysis: metal particles","type":"article-journal","volume":"40"},"uris":["http://www.mendeley.com/documents/?uuid=b1122932-00d5-4bb9-8367-ca0db42b1c04"]}],"mendeley":{"formattedCitation":"[147]","plainTextFormattedCitation":"[147]","previouslyFormattedCitation":"[147]"},"properties":{"noteIndex":0},"schema":"https://github.com/citation-style-language/schema/raw/master/csl-citation.json"}</w:instrText>
      </w:r>
      <w:r w:rsidR="00B47910">
        <w:fldChar w:fldCharType="separate"/>
      </w:r>
      <w:r w:rsidR="006C586A" w:rsidRPr="006C586A">
        <w:rPr>
          <w:noProof/>
        </w:rPr>
        <w:t>[147]</w:t>
      </w:r>
      <w:r w:rsidR="00B47910">
        <w:fldChar w:fldCharType="end"/>
      </w:r>
      <w:r w:rsidR="00B47910">
        <w:t>.</w:t>
      </w:r>
      <w:r w:rsidRPr="002B6C9E">
        <w:t xml:space="preserve"> </w:t>
      </w:r>
      <w:r w:rsidR="009A1C39">
        <w:t>For a Ni atom in the face-centred cubic crystal t</w:t>
      </w:r>
      <w:r w:rsidRPr="002B6C9E">
        <w:t xml:space="preserve">he (111) crystal plane has the highest stability due to </w:t>
      </w:r>
      <w:r w:rsidR="009A1C39">
        <w:t xml:space="preserve">it possessing the </w:t>
      </w:r>
      <w:r w:rsidRPr="002B6C9E">
        <w:t>highe</w:t>
      </w:r>
      <w:r w:rsidR="009A1C39">
        <w:t>st</w:t>
      </w:r>
      <w:r w:rsidRPr="002B6C9E">
        <w:t xml:space="preserve"> coordination number </w:t>
      </w:r>
      <w:r w:rsidR="009A1C39">
        <w:t>via</w:t>
      </w:r>
      <w:r w:rsidRPr="002B6C9E">
        <w:t xml:space="preserve"> </w:t>
      </w:r>
      <w:r w:rsidR="009A1C39">
        <w:t>cubic close</w:t>
      </w:r>
      <w:r w:rsidRPr="002B6C9E">
        <w:t xml:space="preserve"> packing</w:t>
      </w:r>
      <w:r w:rsidR="00BF1AA9">
        <w:t xml:space="preserve"> (See </w:t>
      </w:r>
      <w:r w:rsidR="00BF1AA9">
        <w:fldChar w:fldCharType="begin"/>
      </w:r>
      <w:r w:rsidR="00BF1AA9">
        <w:instrText xml:space="preserve"> REF _Ref65662431 \h </w:instrText>
      </w:r>
      <w:r w:rsidR="00BF1AA9">
        <w:fldChar w:fldCharType="separate"/>
      </w:r>
      <w:r w:rsidR="00C64D74">
        <w:t>Table 2.</w:t>
      </w:r>
      <w:r w:rsidR="00C64D74">
        <w:rPr>
          <w:noProof/>
        </w:rPr>
        <w:t>1</w:t>
      </w:r>
      <w:r w:rsidR="00BF1AA9">
        <w:fldChar w:fldCharType="end"/>
      </w:r>
      <w:r w:rsidR="00BF1AA9">
        <w:t xml:space="preserve"> below)</w:t>
      </w:r>
      <w:r w:rsidR="009A1C39">
        <w:t xml:space="preserve">. This means that the atoms in </w:t>
      </w:r>
      <w:r w:rsidR="00B01F6E">
        <w:t>th</w:t>
      </w:r>
      <w:r w:rsidR="009A1C39">
        <w:t xml:space="preserve">is plane are prime locations for catalysis </w:t>
      </w:r>
      <w:r w:rsidR="00B01F6E">
        <w:t xml:space="preserve">and chemisorption with the fuel </w:t>
      </w:r>
      <w:r w:rsidR="009A1C39">
        <w:t>via electronic-state variance.</w:t>
      </w:r>
      <w:r w:rsidR="00A12B6A">
        <w:t xml:space="preserve"> However, if just highly coordinated bonds existed the activity of the system would behave more similarly to a bulk reaction.</w:t>
      </w:r>
    </w:p>
    <w:p w14:paraId="675F3004" w14:textId="2D529332" w:rsidR="00BF1AA9" w:rsidRDefault="00BF1AA9" w:rsidP="00BF1AA9">
      <w:pPr>
        <w:pStyle w:val="Caption"/>
        <w:keepNext/>
      </w:pPr>
      <w:bookmarkStart w:id="62" w:name="_Ref65662431"/>
      <w:r>
        <w:t>Table 2.</w:t>
      </w:r>
      <w:r w:rsidR="00C64D74">
        <w:fldChar w:fldCharType="begin"/>
      </w:r>
      <w:r w:rsidR="00C64D74">
        <w:instrText xml:space="preserve"> SEQ Table \* ARABIC \r 1</w:instrText>
      </w:r>
      <w:r w:rsidR="00C64D74">
        <w:fldChar w:fldCharType="separate"/>
      </w:r>
      <w:r w:rsidR="00C64D74">
        <w:rPr>
          <w:noProof/>
        </w:rPr>
        <w:t>1</w:t>
      </w:r>
      <w:r w:rsidR="00C64D74">
        <w:rPr>
          <w:noProof/>
        </w:rPr>
        <w:fldChar w:fldCharType="end"/>
      </w:r>
      <w:bookmarkEnd w:id="62"/>
      <w:r>
        <w:t xml:space="preserve">: </w:t>
      </w:r>
      <w:r w:rsidRPr="002B6C9E">
        <w:t>A breakdown of the stability of the separate Ni crystallographic planes. Assuming that the red adatom is central to the system. Adapted from Li et al</w:t>
      </w:r>
      <w:r>
        <w:t xml:space="preserve"> </w:t>
      </w:r>
      <w:r>
        <w:fldChar w:fldCharType="begin" w:fldLock="1"/>
      </w:r>
      <w:r w:rsidR="00D80A5D">
        <w:instrText>ADDIN CSL_CITATION {"citationItems":[{"id":"ITEM-1","itemData":{"DOI":"10.1039/C0DT01404D","ISBN":"1477-9226","abstract":"The rapid development of materials science now enables tailoring of metal and metal oxide particles with tunable size and shape at the nanometre level. As a result, nanocatalysis is undergoing an explosive growth, and it has been seen that the size and shape of a catalyst particle tremendously affects the reaction performance. The size effect of metal nanoparticles has been interpreted in terms of the variation in geometric and electronic properties that governs the adsorption and activation of the reactants as well as the desorption of the products. At the same time, it has been verified that the morphology of a catalyst particle, determined by the exposed crystal planes, also considerably affects the catalytic behavior. This is termed as morphology-dependent nanocatalysis: a catalyst particle with an anisotropic shape alters the reaction performance by selectively exposing specific crystal facets. This perspective article initially surveys the recent progress on morphology-dependent nanocatalysis of precious metal particles to emphasise the chemical nature of the morphology effect. Then, the fabrication of transition metal particles with controllable size/morphology is examined, and their shape is correlated with their catalytic properties, with the aim to clarify the structure-reactivity relationship. Finally, the future outlook presents our personal perspectives on the concept of morphology-dependent nanocatalysis of metal particles, which is a rapidly growing topic in heterogeneous catalysis.","author":[{"dropping-particle":"","family":"Li","given":"Yong","non-dropping-particle":"","parse-names":false,"suffix":""},{"dropping-particle":"","family":"Liu","given":"Qiying","non-dropping-particle":"","parse-names":false,"suffix":""},{"dropping-particle":"","family":"Shen","given":"Wenjie","non-dropping-particle":"","parse-names":false,"suffix":""}],"container-title":"Dalton Transactions","id":"ITEM-1","issue":"22","issued":{"date-parts":[["2011"]]},"page":"5811-5826","publisher":"The Royal Society of Chemistry","title":"Morphology-dependent nanocatalysis: metal particles","type":"article-journal","volume":"40"},"uris":["http://www.mendeley.com/documents/?uuid=b1122932-00d5-4bb9-8367-ca0db42b1c04"]}],"mendeley":{"formattedCitation":"[147]","plainTextFormattedCitation":"[147]","previouslyFormattedCitation":"[147]"},"properties":{"noteIndex":0},"schema":"https://github.com/citation-style-language/schema/raw/master/csl-citation.json"}</w:instrText>
      </w:r>
      <w:r>
        <w:fldChar w:fldCharType="separate"/>
      </w:r>
      <w:r w:rsidR="006C586A" w:rsidRPr="006C586A">
        <w:rPr>
          <w:i w:val="0"/>
          <w:noProof/>
        </w:rPr>
        <w:t>[147]</w:t>
      </w:r>
      <w:r>
        <w:fldChar w:fldCharType="end"/>
      </w:r>
    </w:p>
    <w:tbl>
      <w:tblPr>
        <w:tblStyle w:val="TableGrid"/>
        <w:tblW w:w="0" w:type="auto"/>
        <w:jc w:val="center"/>
        <w:tblLook w:val="04A0" w:firstRow="1" w:lastRow="0" w:firstColumn="1" w:lastColumn="0" w:noHBand="0" w:noVBand="1"/>
      </w:tblPr>
      <w:tblGrid>
        <w:gridCol w:w="2127"/>
        <w:gridCol w:w="2282"/>
        <w:gridCol w:w="2347"/>
        <w:gridCol w:w="1182"/>
      </w:tblGrid>
      <w:tr w:rsidR="00BF1AA9" w:rsidRPr="00C64D74" w14:paraId="2C4CC7DE" w14:textId="77777777" w:rsidTr="00BB2DBA">
        <w:trPr>
          <w:trHeight w:val="603"/>
          <w:jc w:val="center"/>
        </w:trPr>
        <w:tc>
          <w:tcPr>
            <w:tcW w:w="2127" w:type="dxa"/>
            <w:shd w:val="clear" w:color="auto" w:fill="D9D9D9" w:themeFill="background1" w:themeFillShade="D9"/>
          </w:tcPr>
          <w:p w14:paraId="49C1F6C6" w14:textId="77777777" w:rsidR="00BF1AA9" w:rsidRPr="00C64D74" w:rsidRDefault="00BF1AA9" w:rsidP="00C233A7">
            <w:pPr>
              <w:jc w:val="center"/>
              <w:rPr>
                <w:b/>
              </w:rPr>
            </w:pPr>
            <w:r w:rsidRPr="00C64D74">
              <w:rPr>
                <w:b/>
              </w:rPr>
              <w:t>Crystallographic Plane</w:t>
            </w:r>
          </w:p>
        </w:tc>
        <w:tc>
          <w:tcPr>
            <w:tcW w:w="2282" w:type="dxa"/>
            <w:shd w:val="clear" w:color="auto" w:fill="D9D9D9" w:themeFill="background1" w:themeFillShade="D9"/>
          </w:tcPr>
          <w:p w14:paraId="3124E44B" w14:textId="68C9E128" w:rsidR="00BF1AA9" w:rsidRPr="00C64D74" w:rsidRDefault="00BF1AA9" w:rsidP="00C233A7">
            <w:pPr>
              <w:jc w:val="center"/>
              <w:rPr>
                <w:b/>
              </w:rPr>
            </w:pPr>
            <w:r w:rsidRPr="00C64D74">
              <w:rPr>
                <w:b/>
              </w:rPr>
              <w:t xml:space="preserve">Coordination Number of red </w:t>
            </w:r>
            <w:r w:rsidR="00BB2DBA" w:rsidRPr="00C64D74">
              <w:rPr>
                <w:b/>
              </w:rPr>
              <w:t>atoms</w:t>
            </w:r>
          </w:p>
        </w:tc>
        <w:tc>
          <w:tcPr>
            <w:tcW w:w="0" w:type="auto"/>
            <w:shd w:val="clear" w:color="auto" w:fill="D9D9D9" w:themeFill="background1" w:themeFillShade="D9"/>
          </w:tcPr>
          <w:p w14:paraId="6F56ED55" w14:textId="77777777" w:rsidR="00BF1AA9" w:rsidRPr="00C64D74" w:rsidRDefault="00BF1AA9" w:rsidP="00C233A7">
            <w:pPr>
              <w:jc w:val="center"/>
              <w:rPr>
                <w:b/>
              </w:rPr>
            </w:pPr>
            <w:r w:rsidRPr="00C64D74">
              <w:rPr>
                <w:b/>
              </w:rPr>
              <w:t>Diagram</w:t>
            </w:r>
          </w:p>
        </w:tc>
        <w:tc>
          <w:tcPr>
            <w:tcW w:w="1182" w:type="dxa"/>
            <w:shd w:val="clear" w:color="auto" w:fill="D9D9D9" w:themeFill="background1" w:themeFillShade="D9"/>
          </w:tcPr>
          <w:p w14:paraId="74DBB8C8" w14:textId="77777777" w:rsidR="00BF1AA9" w:rsidRPr="00C64D74" w:rsidRDefault="00BF1AA9" w:rsidP="00C233A7">
            <w:pPr>
              <w:jc w:val="center"/>
              <w:rPr>
                <w:b/>
              </w:rPr>
            </w:pPr>
            <w:r w:rsidRPr="00C64D74">
              <w:rPr>
                <w:b/>
              </w:rPr>
              <w:t>Crystalline Stability</w:t>
            </w:r>
          </w:p>
        </w:tc>
      </w:tr>
      <w:tr w:rsidR="00BF1AA9" w:rsidRPr="002B6C9E" w14:paraId="32145B46" w14:textId="77777777" w:rsidTr="00BB2DBA">
        <w:trPr>
          <w:trHeight w:val="826"/>
          <w:jc w:val="center"/>
        </w:trPr>
        <w:tc>
          <w:tcPr>
            <w:tcW w:w="2127" w:type="dxa"/>
          </w:tcPr>
          <w:p w14:paraId="189C6931" w14:textId="77777777" w:rsidR="00BF1AA9" w:rsidRPr="002B6C9E" w:rsidRDefault="00BF1AA9" w:rsidP="00C233A7">
            <w:pPr>
              <w:jc w:val="center"/>
            </w:pPr>
            <w:r w:rsidRPr="002B6C9E">
              <w:t>(100)</w:t>
            </w:r>
          </w:p>
        </w:tc>
        <w:tc>
          <w:tcPr>
            <w:tcW w:w="2282" w:type="dxa"/>
          </w:tcPr>
          <w:p w14:paraId="437C3299" w14:textId="77777777" w:rsidR="00BF1AA9" w:rsidRPr="002B6C9E" w:rsidRDefault="00BF1AA9" w:rsidP="00C233A7">
            <w:pPr>
              <w:jc w:val="center"/>
            </w:pPr>
            <w:r w:rsidRPr="002B6C9E">
              <w:t>8</w:t>
            </w:r>
          </w:p>
        </w:tc>
        <w:tc>
          <w:tcPr>
            <w:tcW w:w="0" w:type="auto"/>
          </w:tcPr>
          <w:p w14:paraId="35CF9B53" w14:textId="7886923F" w:rsidR="00BB2DBA" w:rsidRDefault="00BB2DBA" w:rsidP="00BB2DBA">
            <w:pPr>
              <w:spacing w:line="276" w:lineRule="auto"/>
              <w:rPr>
                <w:sz w:val="12"/>
                <w:szCs w:val="12"/>
              </w:rPr>
            </w:pPr>
          </w:p>
          <w:p w14:paraId="5DA56595" w14:textId="36D7B5A8" w:rsidR="00BB2DBA" w:rsidRDefault="00BB2DBA" w:rsidP="00BB2DBA">
            <w:pPr>
              <w:spacing w:line="276" w:lineRule="auto"/>
              <w:rPr>
                <w:sz w:val="12"/>
                <w:szCs w:val="12"/>
              </w:rPr>
            </w:pPr>
            <w:r>
              <w:rPr>
                <w:noProof/>
              </w:rPr>
              <w:drawing>
                <wp:inline distT="0" distB="0" distL="0" distR="0" wp14:anchorId="0C60AE40" wp14:editId="740973E9">
                  <wp:extent cx="1353185" cy="494030"/>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53185" cy="494030"/>
                          </a:xfrm>
                          <a:prstGeom prst="rect">
                            <a:avLst/>
                          </a:prstGeom>
                          <a:noFill/>
                        </pic:spPr>
                      </pic:pic>
                    </a:graphicData>
                  </a:graphic>
                </wp:inline>
              </w:drawing>
            </w:r>
          </w:p>
          <w:p w14:paraId="0EAE0176" w14:textId="2D6C8283" w:rsidR="00BF1AA9" w:rsidRPr="00BB2DBA" w:rsidRDefault="00BF1AA9" w:rsidP="00BB2DBA">
            <w:pPr>
              <w:spacing w:line="276" w:lineRule="auto"/>
              <w:rPr>
                <w:sz w:val="12"/>
                <w:szCs w:val="12"/>
              </w:rPr>
            </w:pPr>
          </w:p>
        </w:tc>
        <w:tc>
          <w:tcPr>
            <w:tcW w:w="1182" w:type="dxa"/>
          </w:tcPr>
          <w:p w14:paraId="447AB23B" w14:textId="77777777" w:rsidR="00BF1AA9" w:rsidRPr="002B6C9E" w:rsidRDefault="00BF1AA9" w:rsidP="00C233A7">
            <w:pPr>
              <w:jc w:val="center"/>
            </w:pPr>
            <w:r w:rsidRPr="002B6C9E">
              <w:t>Moderate</w:t>
            </w:r>
          </w:p>
        </w:tc>
      </w:tr>
      <w:tr w:rsidR="00BF1AA9" w:rsidRPr="002B6C9E" w14:paraId="16C6443A" w14:textId="77777777" w:rsidTr="00BB2DBA">
        <w:trPr>
          <w:trHeight w:val="1225"/>
          <w:jc w:val="center"/>
        </w:trPr>
        <w:tc>
          <w:tcPr>
            <w:tcW w:w="2127" w:type="dxa"/>
          </w:tcPr>
          <w:p w14:paraId="51FE5E1A" w14:textId="77777777" w:rsidR="00BF1AA9" w:rsidRPr="002B6C9E" w:rsidRDefault="00BF1AA9" w:rsidP="00C233A7">
            <w:pPr>
              <w:jc w:val="center"/>
            </w:pPr>
            <w:r w:rsidRPr="002B6C9E">
              <w:t>(110)</w:t>
            </w:r>
          </w:p>
        </w:tc>
        <w:tc>
          <w:tcPr>
            <w:tcW w:w="2282" w:type="dxa"/>
          </w:tcPr>
          <w:p w14:paraId="266CE4D6" w14:textId="77777777" w:rsidR="00BF1AA9" w:rsidRPr="002B6C9E" w:rsidRDefault="00BF1AA9" w:rsidP="00C233A7">
            <w:pPr>
              <w:jc w:val="center"/>
            </w:pPr>
            <w:r w:rsidRPr="002B6C9E">
              <w:t>7</w:t>
            </w:r>
          </w:p>
        </w:tc>
        <w:tc>
          <w:tcPr>
            <w:tcW w:w="0" w:type="auto"/>
          </w:tcPr>
          <w:p w14:paraId="3A93B3F8" w14:textId="77777777" w:rsidR="00BF1AA9" w:rsidRPr="00BB2DBA" w:rsidRDefault="00BF1AA9" w:rsidP="00C233A7">
            <w:pPr>
              <w:jc w:val="center"/>
              <w:rPr>
                <w:sz w:val="12"/>
                <w:szCs w:val="12"/>
              </w:rPr>
            </w:pPr>
          </w:p>
          <w:p w14:paraId="4F6BFCD8" w14:textId="77777777" w:rsidR="00BF1AA9" w:rsidRPr="002B6C9E" w:rsidRDefault="00BF1AA9" w:rsidP="00C233A7">
            <w:pPr>
              <w:jc w:val="center"/>
            </w:pPr>
            <w:r w:rsidRPr="002B6C9E">
              <w:rPr>
                <w:noProof/>
                <w:lang w:eastAsia="en-GB"/>
              </w:rPr>
              <w:drawing>
                <wp:inline distT="0" distB="0" distL="0" distR="0" wp14:anchorId="7B59B33F" wp14:editId="3B3E625C">
                  <wp:extent cx="1111911" cy="709029"/>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39164" cy="726407"/>
                          </a:xfrm>
                          <a:prstGeom prst="rect">
                            <a:avLst/>
                          </a:prstGeom>
                          <a:noFill/>
                        </pic:spPr>
                      </pic:pic>
                    </a:graphicData>
                  </a:graphic>
                </wp:inline>
              </w:drawing>
            </w:r>
          </w:p>
          <w:p w14:paraId="7CCFDCCE" w14:textId="77777777" w:rsidR="00BF1AA9" w:rsidRPr="00BB2DBA" w:rsidRDefault="00BF1AA9" w:rsidP="00C233A7">
            <w:pPr>
              <w:jc w:val="center"/>
              <w:rPr>
                <w:sz w:val="12"/>
                <w:szCs w:val="12"/>
              </w:rPr>
            </w:pPr>
          </w:p>
        </w:tc>
        <w:tc>
          <w:tcPr>
            <w:tcW w:w="1182" w:type="dxa"/>
          </w:tcPr>
          <w:p w14:paraId="4D56D215" w14:textId="77777777" w:rsidR="00BF1AA9" w:rsidRPr="002B6C9E" w:rsidRDefault="00BF1AA9" w:rsidP="00C233A7">
            <w:pPr>
              <w:jc w:val="center"/>
            </w:pPr>
            <w:r w:rsidRPr="002B6C9E">
              <w:t>Lowest</w:t>
            </w:r>
          </w:p>
        </w:tc>
      </w:tr>
      <w:tr w:rsidR="00BF1AA9" w:rsidRPr="002B6C9E" w14:paraId="2C7BCDB9" w14:textId="77777777" w:rsidTr="00BB2DBA">
        <w:trPr>
          <w:trHeight w:val="1020"/>
          <w:jc w:val="center"/>
        </w:trPr>
        <w:tc>
          <w:tcPr>
            <w:tcW w:w="2127" w:type="dxa"/>
          </w:tcPr>
          <w:p w14:paraId="4F341B51" w14:textId="77777777" w:rsidR="00BF1AA9" w:rsidRPr="002B6C9E" w:rsidRDefault="00BF1AA9" w:rsidP="00C233A7">
            <w:pPr>
              <w:jc w:val="center"/>
            </w:pPr>
            <w:r w:rsidRPr="002B6C9E">
              <w:t>(111)</w:t>
            </w:r>
          </w:p>
        </w:tc>
        <w:tc>
          <w:tcPr>
            <w:tcW w:w="2282" w:type="dxa"/>
          </w:tcPr>
          <w:p w14:paraId="1D08DFC0" w14:textId="77777777" w:rsidR="00BF1AA9" w:rsidRPr="002B6C9E" w:rsidRDefault="00BF1AA9" w:rsidP="00C233A7">
            <w:pPr>
              <w:jc w:val="center"/>
            </w:pPr>
            <w:r w:rsidRPr="002B6C9E">
              <w:t>9</w:t>
            </w:r>
          </w:p>
        </w:tc>
        <w:tc>
          <w:tcPr>
            <w:tcW w:w="0" w:type="auto"/>
          </w:tcPr>
          <w:p w14:paraId="2775625F" w14:textId="5D4B9B98" w:rsidR="00BB2DBA" w:rsidRDefault="00BB2DBA" w:rsidP="00C233A7">
            <w:pPr>
              <w:jc w:val="center"/>
              <w:rPr>
                <w:sz w:val="12"/>
                <w:szCs w:val="12"/>
              </w:rPr>
            </w:pPr>
          </w:p>
          <w:p w14:paraId="389D0231" w14:textId="09B8E3D8" w:rsidR="00BB2DBA" w:rsidRDefault="00BB2DBA" w:rsidP="00C233A7">
            <w:pPr>
              <w:jc w:val="center"/>
              <w:rPr>
                <w:sz w:val="12"/>
                <w:szCs w:val="12"/>
              </w:rPr>
            </w:pPr>
            <w:r w:rsidRPr="002B6C9E">
              <w:rPr>
                <w:noProof/>
                <w:lang w:eastAsia="en-GB"/>
              </w:rPr>
              <w:drawing>
                <wp:inline distT="0" distB="0" distL="0" distR="0" wp14:anchorId="15097F35" wp14:editId="2861CE66">
                  <wp:extent cx="1097280" cy="610161"/>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47295" cy="637973"/>
                          </a:xfrm>
                          <a:prstGeom prst="rect">
                            <a:avLst/>
                          </a:prstGeom>
                          <a:noFill/>
                        </pic:spPr>
                      </pic:pic>
                    </a:graphicData>
                  </a:graphic>
                </wp:inline>
              </w:drawing>
            </w:r>
          </w:p>
          <w:p w14:paraId="787C7CBF" w14:textId="56D6CE65" w:rsidR="00BF1AA9" w:rsidRPr="00BB2DBA" w:rsidRDefault="00BF1AA9" w:rsidP="00BB2DBA">
            <w:pPr>
              <w:rPr>
                <w:sz w:val="12"/>
                <w:szCs w:val="12"/>
              </w:rPr>
            </w:pPr>
          </w:p>
        </w:tc>
        <w:tc>
          <w:tcPr>
            <w:tcW w:w="1182" w:type="dxa"/>
          </w:tcPr>
          <w:p w14:paraId="5ACAADD6" w14:textId="77777777" w:rsidR="00BF1AA9" w:rsidRPr="002B6C9E" w:rsidRDefault="00BF1AA9" w:rsidP="00C233A7">
            <w:pPr>
              <w:jc w:val="center"/>
            </w:pPr>
            <w:r w:rsidRPr="002B6C9E">
              <w:t>Highest</w:t>
            </w:r>
          </w:p>
        </w:tc>
      </w:tr>
    </w:tbl>
    <w:p w14:paraId="685150F2" w14:textId="295BA987" w:rsidR="00007F6C" w:rsidRDefault="00A12B6A" w:rsidP="00BF1AA9">
      <w:pPr>
        <w:spacing w:before="240"/>
        <w:jc w:val="both"/>
      </w:pPr>
      <w:r>
        <w:t>The high surface area in nanostructured electrodes ensures that step sites</w:t>
      </w:r>
      <w:r w:rsidR="00C861F6">
        <w:t xml:space="preserve"> exist</w:t>
      </w:r>
      <w:r>
        <w:t xml:space="preserve"> between the first (111) layer, second (111) layer and the (110) plane</w:t>
      </w:r>
      <w:r w:rsidR="00C861F6">
        <w:t xml:space="preserve">. These exposed positions </w:t>
      </w:r>
      <w:r>
        <w:t>can increase the catalytic</w:t>
      </w:r>
      <w:r w:rsidR="00C861F6">
        <w:t xml:space="preserve"> activity</w:t>
      </w:r>
      <w:r>
        <w:t xml:space="preserve"> of the system </w:t>
      </w:r>
      <w:r w:rsidR="00C861F6">
        <w:t xml:space="preserve">as the catalyst can interact with the fuel with less chance of adsorption. Due to its high order the </w:t>
      </w:r>
      <w:proofErr w:type="spellStart"/>
      <w:r w:rsidR="00C861F6">
        <w:t>Ni</w:t>
      </w:r>
      <w:r w:rsidR="00C861F6">
        <w:rPr>
          <w:vertAlign w:val="subscript"/>
        </w:rPr>
        <w:t>FCC</w:t>
      </w:r>
      <w:proofErr w:type="spellEnd"/>
      <w:r w:rsidR="00C861F6">
        <w:t xml:space="preserve"> crystal consists of</w:t>
      </w:r>
      <w:r w:rsidR="00C861F6" w:rsidRPr="002B6C9E">
        <w:t xml:space="preserve"> </w:t>
      </w:r>
      <w:r w:rsidR="00C861F6">
        <w:t>large number of repeating step sites especially in the (110) plane which increases the activity of the catalyst</w:t>
      </w:r>
      <w:r w:rsidR="00BF1AA9">
        <w:t xml:space="preserve"> </w:t>
      </w:r>
      <w:r w:rsidR="00007F6C">
        <w:fldChar w:fldCharType="begin" w:fldLock="1"/>
      </w:r>
      <w:r w:rsidR="00D80A5D">
        <w:instrText>ADDIN CSL_CITATION {"citationItems":[{"id":"ITEM-1","itemData":{"DOI":"10.1039/c0dt01404d","ISBN":"8641184694","ISSN":"14779226","abstract":"The rapid development of materials science now enables tailoring of metal and metal oxide particles with tunable size and shape at the nanometre level. As a result, nanocatalysis is undergoing an explosive growth, and it has been seen that the size and shape of a catalyst particle tremendously affects the reaction performance. The size effect of metal nanoparticles has been interpreted in terms of the variation in geometric and electronic properties that governs the adsorption and activation of the reactants as well as the desorption of the products. At the same time, it has been verified that the morphology of a catalyst particle, determined by the exposed crystal planes, also considerably affects the catalytic behavior. This is termed as morphology-dependent nanocatalysis: a catalyst particle with an anisotropic shape alters the reaction performance by selectively exposing specific crystal facets. This perspective article initially surveys the recent progress on morphology-dependent nanocatalysis of precious metal particles to emphasise the chemical nature of the morphology effect. Then, the fabrication of transition metal particles with controllable size/morphology is examined, and their shape is correlated with their catalytic properties, with the aim to clarify the structure-reactivity relationship. Finally, the future outlook presents our personal perspectives on the concept of morphology-dependent nanocatalysis of metal particles, which is a rapidly growing topic in heterogeneous catalysis. © 2011 The Royal Society of Chemistry.","author":[{"dropping-particle":"","family":"Li","given":"Yong","non-dropping-particle":"","parse-names":false,"suffix":""},{"dropping-particle":"","family":"Liu","given":"Qiying","non-dropping-particle":"","parse-names":false,"suffix":""},{"dropping-particle":"","family":"Shen","given":"Wenjie","non-dropping-particle":"","parse-names":false,"suffix":""}],"container-title":"Dalton Transactions","id":"ITEM-1","issue":"22","issued":{"date-parts":[["2011"]]},"page":"5811-5826","title":"Morphology-dependent nanocatalysis: Metal particles","type":"article-journal","volume":"40"},"uris":["http://www.mendeley.com/documents/?uuid=b700bf2f-4f8a-4e1a-9fc1-34eb4d21e677"]},{"id":"ITEM-2","itemData":{"DOI":"10.1016/j.surfrep.2015.01.001","ISBN":"0167-5729","ISSN":"01675729","abstract":"In recent years, the field of catalysis has experienced an astonishing transformation, driven in part by more demanding environmental standards and critical societal and industrial needs such as the search for alternative energy sources. Thanks to the advent of nanotechnology, major steps have been made towards the rational design of novel catalysts. Striking new catalytic properties, including greatly enhanced reactivities and selectivities, have been reported for nanoparticle (NP) catalysts as compared to their bulk counterparts. However, in order to harness the power of these nanocatalysts, a detailed understanding of the origin of their enhanced performance is needed. The present review focuses on the role of the NP size and shape on chemisorption and catalytic performance. Since homogeneity in NP size and shape is a prerequisite for the understanding of structure-reactivity correlations, we first review different synthesis methods that result in narrow NP size distributions and shape controlled NPs. Next, size-dependent phenomena which influence the chemical reactivity of NPs, including quantum size-effects and the presence of under-coordinated surface atoms are examined. The effect of the NP shape on catalytic performance is discussed and explained based on the existence of different atomic structures on the NP surface with distinct chemisorption properties. The influence of additional factors, such as the oxidation state of the NPs and NP-support interactions, is also considered in the frame of the size- and shape-dependency that these phenomena present. Ultimately, our review highlights the importance of achieving a systematic understanding of the factors that control the activity and selectivity of a catalyst in order to avoid trial and error methods in the rational design of the new generation of nanocatalysts with properties tunable at the atomic level.","author":[{"dropping-particle":"","family":"Roldan Cuenya","given":"Beatriz","non-dropping-particle":"","parse-names":false,"suffix":""},{"dropping-particle":"","family":"Behafarid","given":"Farzad","non-dropping-particle":"","parse-names":false,"suffix":""}],"container-title":"Surface Science Reports","id":"ITEM-2","issue":"2","issued":{"date-parts":[["2015"]]},"language":"English","note":"Cited By :20\nExport Date: 9 February 2017\nCODEN: SSRED\nCorrespondence Address: Roldan Cuenya, B.; Department of Physics, Ruhr University BochumGermany\nReferences: Li, Y., Liu, Q., Shen, W., (2011) Dalton Trans., 40, pp. 5811-5826; Roldan Cuenya, B., (2012) Acc. Chem. Res., 46, pp. 1682-1691; Mostafa, S., Behafarid, F., Croy, J.R., Ono, L.K., Li, L., Yang, J.C., (2010) J. Am. Chem. Soc., 132, pp. 15714-15719; Jaramillo, T.F., Baeck, S.H., Roldan Cuenya, B., McFarland, E.W., (2003) J. Am. Chem. Soc., 125, pp. 7148-7149; Valden, M., Lai, X., Goodman, D.W., (1998) Science, 281, pp. 1647-1650; Haruta, M., (1997) Catal. Today, 36, pp. 153-166; Xie, S., Choi, S.-I., Xia, X., Xia, Y., (2013) Curr. Opin. Chem. Eng., 2, pp. 142-150; Zaera, F., (2001) Prog. Surf. Sci., 69, pp. 1-98; Zaera, F., (2013) Chem. Soc. Rev., 42, pp. 2746-2762; Qin, Z.H., Lewandowski, M., Sun, Y.N., Shaikhutdinov, S., Freund, H.J., (2008) J. Phys. Chem. C, 112, pp. 10209-10213; Campbell, C.T., Sharp, J.C., Yao, Y., Karp, E.M., Silbaugh, T.L., (2011) Faraday Discuss., 152, pp. 227-239; Shaikhutdinov, S.K., Meyer, R., Naschitzki, M., Baumer, M., Freund, H.J., (2003) Catal. Lett., 86, pp. 211-219; Ono, L., Yuan, B., Heinrich, H., Cuenya, B.R., (2010) J. Phys. Chem. C, 114, pp. 22119-22133; Cuenya, B.R., (2010) Thin Solid Films, 518, pp. 3127-3150; Ackermann, M., Pedersen, T., Hendriksen, B., Robach, O., Bobaru, S., Popa, I., (2005) Phys. Rev. Lett., 95, p. 255505; Merte, L.R., Ahmadi, M., Behafarid, F., Ono, L.K., Lira, E., Matos, J., (2013) ACS Catal., 3, pp. 1460-1468; Ouyang, R., Liu, J.-X., Li, W.-X., (2012) J. Am. Chem. Soc., 135, pp. 1760-1771; Mistry, H., Behafarid, F., Bare, S.R., Cuenya, B.R., (2014) ChemCatChem, 6, pp. 348-352; Mager-Maury, C., Bonnard, G., Chizallet, C., Sautet, P., Raybaud, P., (2011) ChemCatChem, 3, pp. 200-207; Yang, J.C., Small, M.W., Grieshaber, R.V., Nuzzo, R.G., (2012) Chem. Soc. Rev., 41, pp. 8179-8194; Bañares, M.A., (2011) Adv. Mater., 23, pp. 5293-5301; Chen, M.S., Goodman, D.W., (2004) Science, 306, pp. 252-255; Freund, H.-J., (2008) Top. Catal., 48, pp. 137-144; Frank, M., Baumer, M., (2000) Phys. Chem. Chem. Phys., 2, pp. 3723-3737; Baron, M., Bondarchuk, O., Stacchiola, D., Shaikhutdinov, S., Freund, H.J., (2009) J. Phys. Chem. C, 113, pp. 6042-6049; Kitchin, J.R., Barteau, M.A., Chen, J.G., (2003) Surf. Sci., 526, pp. 323-331; Behafarid, F., Roldan Cuenya, B., (2012) Surf. Sci., 606, pp. 908-918; Christensen, S.T., Feng, H., Libera, J.L., Guo, N., Miller, J.T., Stair, P.C., (2010) Nano Lett., 10, pp. 3047-3051; Detavernier, C., Dendooven, J., Pulinthanathu Sree, S., Ludwig, K.F., Martens, J.A., (2011) Chem. Soc. Rev., 40, p. 5242; Hsu, I.J., Kimmel, Y.C., Jiang, X., Willis, B.G., Chen, J.G., (2012) Chem. Commun., 48, pp. 1063-1065; Hsu, I.J., Hansgen, D.A., McCandless, B.E., Willis, B.G., Chen, J.G., (2011) J. Phys. Chem. C, 115, pp. 3709-3715; Iddir, H., Komanicky, V., Ogut, S., You, H., Zapol, P., (2007) J. Phys. Chem. C, 111, pp. 14782-14789; Komanicky, V., Iddir, H., Chang, K.C., Menzel, A., Karapetrov, G., Hennessy, D., (2009) J. Am. Chem. Soc., 131, pp. 5732-5733; Eppler, A.S., Rupprechter, G., Guczi, L., Somorjai, G.A., (1997) J. Phys. Chem. B, 101, p. 9973; Jacobs, P.W., Ribeiro, F.H., Somorjai, G.A., Wind, S.J., (1996) Catal. Lett., 37, pp. 131-136; Kosiorek, A., Kandulski, W., Glaczynska, H., Giersig, M., (2005) Small, 1, pp. 439-444; Haynes, C.L., Van Duyne, R.P., (2001) J. Phys. Chem. B, 105, pp. 5599-5611; Kosiorek, A., Kandulski, W., Chudzinski, P., Kempa, K., Giersig, M., (2004) Nano Lett., 4, pp. 1359-1363; Haynes, C.L., McFarland, A.D., Smith, M.T., Hulteen, J.C., Van Duyne, R.P., (2002) J. Phys. Chem. B, 106, pp. 1898-1902; Johanek, V., Laurin, M., Hoffmann, J., Schauermann, S., Grant, A.W., Kasemo, B., (2004) Surf. Sci., 561, pp. L218-L224; Somorjai, G.A., (1997) Appl. Surf. Sci., 121, pp. 1-19; Song, Z., Hrbek, J., Osgood, R., (2005) Nano Lett., 5, pp. 1327-1332; Gross, E., Asscher, M., Lundwall, M., Goodman, D.W., (2007) J. Phys. Chem. C, 111, p. 16197; King, J.S., Wittstock, A., Biener, J., Kucheyev, S.O., Wang, Y.M., Baumann, T.F., (2008) Nano Lett., 8, pp. 2405-2409; Boies, A.M., Roberts, J.T., Girshick, S.L., Zhang, B., Nakamura, T., Mochizuki, A., (2009) Nanotechnology, 20, p. 295604; Boyd, D.A., Greengard, L., Brongersma, M., El-Naggar, M.Y., Goodwin, D.G., (2006) Nano Lett., 6, pp. 2592-2597; Palgrave, R.G., Parkin, I.P., (2008) Gold Bull., 41, pp. 66-69; Benz, L., Tong, X., Kemper, P., Lilach, Y., Kolmakov, A., Metiu, H., (2005) J. Chem. Phys., 122, p. 081102; Pratontep, S., Carroll, S.J., Xirouchaki, C., Streun, M., Palmer, R.E., (2005) Rev. Sci. Instrum., 76; Von Issendorff, B., Palmer, R.E., (1999) Rev. Sci. Instrum., 70, pp. 4497-4501; Goldby, I.M., Onissendorff, B.V., Kuipers, L., Palmer, R.E., (1997) Rev. Sci. Instrum., 68, pp. 3327-3334; Wang, Z.W., Palmer, R.E., (2012) Nano Lett., 12, pp. 91-95; Baeck, S.H., Jaramillo, T.F., Stucky, G.D., McFarland, E.W., (2002) Nano Lett., 2, p. 831; Baeck, S.H., Jaramillo, T.F., Kleinman-Shwarsetein, A., McFarland, E.W., (2005) Meas. Sci. Technol., 16, p. 54; Zoval, J.V., Lee, J., Gorer, S., Penner, R.M., (1998) J. Phys. Chem. B, 102, pp. 1166-1175; Stiger, R.M., Gorer, S., Craft, B., Penner, R.M., (1999) Langmuir, 15, pp. 790-798; Zhang, L., Fang, Z., Zhao, G.C., Wei, X.W., (2008) Int. J. Electrochem. Sci., 3, pp. 746-754; Narayanan, R., El-Sayed, M.A., (2004) J. Phys. Chem. B, 108, pp. 5726-5733; Yamamuro, S., Sumiyama, K., (2006) Chem. Phys. Lett., 418, pp. 166-169; Jia, C.-J., Schüth, F., (2011) Phys. Chem. Chem. Phys., 13, p. 2457; Hutchings, G.J., (2004) Gold Bull., 37, pp. 3-11; Akita, T., Okumura, M., Tanaka, K., Tsubota, S., Haruta, M., (2003) J. Electron Microsc., 52, pp. 119-124; Ichikawa, M., (1992) Advances in Catalysis, , H.P.D.D. Eley, P.B. Weisz, Academic Press Inc. San Diego; Carpenter, M.K., Moylan, T.E., Kukreja, R.S., Atwan, M.H., Tessema, M.M., (2012) J. Am. Chem. Soc., 134, pp. 8535-8542; Cui, C., Gan, L., Li, H.-H., Yu, S.-H., Heggen, M., Strasser, P., (2012) Nano Lett., 12, pp. 5885-5889; Cui, C., Gan, L., Heggen, M., Rudi, S., Strasser, P., (2013) Nat. Mater., 12, pp. 765-771; Knecht, M.R., Weir, M.G., Myers, V.S., Pyrz, W.D., Ye, H., Petkov, V., (2008) Chem. Mater., 20, pp. 5218-5228; Jin, L., Yang, S.P., Tian, Q.W., Wu, H.X., Cai, Y.J., (2008) Mater. Chem. Phys., 112, pp. 977-983; Crooks, R.M., Zhao, M.Q., Sun, L., Chechik, V., Yeung, L.K., (2001) Acc. Chem. Res., 34, pp. 181-190; Kastle, G., Boyen, H.G., Weigl, F., Lengl, G., Herzog, T., Ziemann, P., (2003) Adv. Funct. Mater., 13, pp. 853-861; Roldan Cuenya, B., Baeck, S.H., Jaramillo, T.F., McFarland, E.W., (2003) J. Am. Chem. Soc., 125, pp. 12928-12934; Ono, L.K., Sudfeld, D., Cuenya, B.R., (2006) Surf. Sci., 600, pp. 5041-5050; Croy, J.R., Mostafa, S., Heinrich, H., Cuenya, B.R., (2009) Catal. Lett., 131, p. 21; Lee, C.-H., Wong, S.-T., Lin, T.-S., Mou, C.-Y., (2005) J. Phys. Chem. B, 109, pp. 775-784; Bedioui, F., (1995) Coord. Chem. Rev., 144, pp. 39-68; Murphy, E.F., Ferri, D., Baiker, A., Van Doorslaer, S., Schweiger, A., (2003) Inorg. Chem., 42, pp. 2559-2571; Seelan, S., Sinha, A.K., Srinivas, D., Sivasanker, S., (2000) J. Mol. Catal. A: Chem., 157, pp. 163-171; Koner, S., Chaudhari, K., Das, T.K., Sivasanker, S., (1999) J. Mol. Catal. A: Chem., 150, pp. 295-297; Ganesan, R., Viswanathan, B., (2004) J. Phys. Chem. B, 108, pp. 7102-7114; Zhang, Q., Lee, I., Ge, J., Zaera, F., Yin, Y., (2010) Adv. Funct. Mater., 20, pp. 2201-2214; Schüth, F., (2014) Chem. Mater., 26, pp. 423-434; Kleibert, A., Rosellen, W., Getzlaff, M., Bansmann, J., Beilstein, (2011) J. Nanotechnol., 2, pp. 47-56; Palmer, R.E., Pratontep, S., Boyen, H.G., (2003) Nat. Mater., 2, pp. 443-448; Xirouchaki, C., Palmer, R.E., (2004) Philos. Trans. A, 362, pp. 117-124; Vajda, S., Pellin, M.J., Greeley, J.P., Marshall, C.L., Curtiss, L.A., Ballentine, G.A., (2009) Nat. Mater., 8, pp. 213-216; Perez-Alonso, F.J., McCarthy, D.N., Nierhoff, A., Hernandez-Fernandez, P., Strebel, C., Stephens, I.E.L., (2012) Angew. Chem. Int. Ed., 51, pp. 4641-4643; Bratlie, K.M., Lee, H., Komvopoulos, K., Yang, P., Somorjai, G.A., (2007) Nano Lett., 7, pp. 3097-3101; Lee, H., Habas, S.E., Kweskin, S., Butcher, D., Somorjai, G.A., Yang, P.D., (2006) Angew. Chem. Int. Ed., 45, pp. 7824-7828; Zhang, Y.W., Grass, M.E., Kuhn, J.N., Tao, F., Habas, S.E., Huang, W.Y., (2008) J. Am. Chem. Soc., 130, pp. 5868-5869; Murphy, C.J., (2002) Science, 298, pp. 2139-2141; Lee, H., Habas, S.E., Kweskin, S., Butcher, D., Somorjai, G.A., Yang, P., (2006) Angew. Chem. Int. Edit., 118, pp. 7988-7992; Mott, D., Galkowski, J., Wang, L., Luo, J., Zhong, C.-J., (2007) Langmuir, 23, pp. 5740-5745; Chen, Y., Gu, X., Nie, C.-G., Jiang, Z.-Y., Xie, Z.-X., Lin, C.-J., (2005) Chem. Commun., p. 4181; Ren, J., Tilley, R.D., (2007) Small, 3, pp. 1508-1512; Kim, F., Connor, S., Song, H., Kuykendall, T., Yang, P., (2004) Angew. Chem. Int. Ed., 116, pp. 3759-3763; Grzelczak, M., Pérez-Juste, J., Mulvaney, P., Liz-Marzán, L.M., (2008) Chem. Soc. Rev., 37, p. 1783; Teranishi, T., Kurita, R., Miyake, M., (2000) J. Inorg. Organomet. Polym., 10, pp. 145-156; Cheong, S., Watt, J.D., Tilley, R.D., (2010) Nanoscale, 2, p. 2045; Xia, Y., Xiong, Y., Lim, B., Skrabalak, S.E., (2009) Angew. Chem. Int. Ed., 48, pp. 60-103; Behafarid, F., Cuenya, B.R., (2011) Nano Lett., 11, pp. 5290-5296; Zaera, F., (2012) Catal. Lett., 142, pp. 501-516; Crespo-Quesada, M., Yarulin, A., Jin, M., Xia, Y., (2011) J. Am. Chem. Soc., 133, pp. 12787-12794; Narayanan, R., El-Sayed, M.A., (2004) Nano Lett., 4, pp. 1343-1348; Xu, R., Wang, D., Zhang, J., Li, Y., (2006) Chem. Asian J., 1, pp. 888-893; Kuo, C.-H., Huang, M.H., (2010) Nano Today, 5, pp. 106-116; Park, J., Joo, J., Kwon, S.G., Jang, Y., Hyeon, T., (2007) Angew. Chem. Int. Ed., 46, pp. 4630-4660; Lablokov, V., Beaumont, S.K., Alayoglu, S., Pushkarev, V.V., Specht, C., Gao, J., (2012) Nano Lett., 12, pp. 3091-3096; Park, J., Lee, E., Hwang, N.-M., Kang, M., Kim, S.C., Hwang, Y., (2005) Angew. Chem. Int. Ed, 117, pp. 2932-2937; Tao, A.R., Habas, S., Yang, P., (2008) Small, 4, pp. 310-325; Xia, Y.N., Jin, M.S., Zhang, H., Xie, Z.X., (2011) Angew. Chem. Int. Ed., 50, pp. 7850-7854; Roldan Cuenya, B., Croy, J.R., Mostafa, S., Behafarid, F., Li, L., Zhang, Z., (2010) J. Am. Chem. Soc., 132, pp. 8747-8756; Ono, L.K., Croy, J.R., Heinrich, H., Roldan Cuenya, B., (2011) J. Phys. Chem. C, 115, pp. 16856-16866; Behafarid, F., Ono, L.K., Mostafa, S., Croy, J.R., Shafai, G., Hong, S., (2012) Phys. Chem. Chem. Phys., 14, p. 11766; Mistry, H., Behafarid, F., Zhou, E., Ono, L.K., Zhang, L., Roldan Cuenya, B., (2014) ACS Catal., 4, pp. 109-115; Naitabdi, A., Ono, L.K., Behafarid, F., Roldan Cuenya, B., (2009) J. Phys. Chem. C, 113, pp. 1433-1446; Yeh, S.-W., Wu, T.-L., Wei, K.-H., (2005) Nanotechnology, 16, pp. 683-687; Fan, J.A., Bao, K., Sun, L., Bao, J., Manoharan, V.N., Nordlander, P., (2012) Nano Lett., 12, pp. 5318-5324; La, Y.-H., Stoykovich, M.P., Park, S.-M., Nealey, P.F., (2007) Chem. Mater., 19, pp. 4538-4544; Barth, J.V., Costantini, G., Kern, K., (2005) Nature, 437, pp. 671-679; Parker, A.J., Childs, P.A., Palmer, R.E., Brust, M., (1999) Appl. Phys. Lett., 74, p. 2833; Whang, D., Jin, S., Lieber, C.M., (2003) Nano Lett., 3, pp. 951-954; Li, J.-L., Jia, J.-F., Liang, X.-J., Liu, X., Wang, J.-Z., Xue, Q.-K., (2002) Phys. Rev. Lett., 88; Winningham, T.A., Gillis, H.P., Choutov, D.A., Martin, K.P., Moore, J.T., Douglas, K., (1998) Surf. Sci., 406, pp. 221-228; Pan, Y., Gao, M., Huang, L., Liu, F., Gao, H.J., (2009) Appl. Phys. Lett., 95, p. 093106; Hoeppener, S., Maoz, R., Cohen, S.R., Chi, L.F., Fuchs, H., Sagiv, J., (2002) Adv. Mater., 14, p. 1036; Wang, D., Möhwalda, H., (2004) J. Mater. Chem., 14, pp. 459-468; Goriachko, A., He, Y., Knapp, M., Over, H., Corso, M., Brugger, T., (2007) Langmuir, 23, pp. 2928-2931; Brihuega, I., Michaelis, C.H., Zhang, J., Bose, S., Sessi, V., Honolka, J., (2008) Surf. Sci., 602, pp. L95-L99; N'Diaye, A., Bleikamp, S., Feibelman, P., Michely, T., (2006) Phys. Rev. Lett., 97, p. 215501; Berdunov, N., Mariotto, G., Balakrishnan, K., Murphy, S., Shvets, I.V., (2006) Surf. Sci., 600, pp. L287-L290; Hövel, H., Barke, I., (2006) Prog. Surf. Sci., 81, pp. 53-111; Yuan, Z., Stephan, R., Hanf, M.C., Becht, J.M., Le Drian, C., Hugentobler, M., (2011) Eur. Phys. J. D, 63, pp. 401-406; Limat, M., Fóti, G., Hugentobler, M., Stephan, R., Harbich, W., (2009) Catal. Today, 146, pp. 378-385; Yuan, Z., Hanf, M.C., Stephan, R., Dulot, F., Denys, E., Florentin, A., (2015) Sur. Interface Anal., 47, pp. 82-86; Hugentobler, M., Bonanni, S., Sautier, A., Harbich, W., (2011) Eur. Phys. J. D, 63, pp. 215-220; Maury, P., Escalante, M., Reinhoudt, D.N., Huskens, J., (2005) Adv. Mater., 17, pp. 2718-2723; Glangchai, L.C., Caldorera-Moore, M., Shi, L., Roy, K., (2008) J. Control. Release, 125, pp. 263-272; Contreras, A.M., Grunes, J., Yan, X.M., Liddle, A., Somorjai, G.A., (2005) Catal. Lett., 100, pp. 115-124; Qin, D., Xia, Y., Xu, B., Yang, H., Zhu, C., Whitesides, G.M., (1999) Adv. Mater., 11, pp. 1433-1437; Shin, D.O., Lee, D.H., Moon, H.-S., Jeong, S.-J., Kim, J.Y., Mun, J.H., (2011) Adv. Funct. Mater., 21, pp. 250-254; Park, M., Harrison, C., Chaikin, P.M., Register, R.A., Adamson, D.H., (1997) Science, 276, pp. 1401-1404; Jeong, S.-J., Xia, G., Kim, B.H., Shin, D.O., Kwon, S.-H., Kang, S.-W., (2008) Adv. Mater., 20, pp. 1898-1904; Behafarid, F., Cuenya, B.R., (2013) Top. Catal., 56, pp. 1542-1559; N. Gjostein, P. Wynblatt, Formation and growth of supported metal crystallites, in: Abstracts of papers of The American Chemical Society (pp. 52-52). 1155 16th St, NW, Washington, DC 20036, Amer Chemical Soc, 1974 JanuaryWynblatt, P., Gjostein, N.A., (1975) Prog. Solid State Chem., 9, pp. 21-58; Jak, M.J.J., Konstapel, C., Van Kreuningen, A., Chrost, J., Verhoeven, J., Frenken, J.W.M., (2001) Surf. Sci., 474, pp. 28-36; Campbell, C.T., Sellers, J.R.V., (2013) Faraday Discuss., 162, p. 9; Datye, A.K., Xu, Q., Kharas, K.C., McCarty, J.M., (2006) Catal. Today, 111, pp. 59-67; Campbell, C.T., Parker, S.C., Starr, D.E., (2002) Science, 298, pp. 811-814; Wiley, B., Sun, Y., Mayers, B., Xia, Y., (2005) Chem-Eur. J., 11, pp. 454-463; Humphrey, S.M., Grass, M.E., Habas, S.E., Niesz, K., Somorjai, G.A., Tilley, T.D., (2007) Nano Lett., 7, pp. 785-790; Somorjai, G.A., Park, J.Y., (2008) Top. Catal., 49, pp. 126-135; Murphy, C.J., Sau, T.K., Gole, A.M., Orendorff, C.J., Gao, J., Gou, L., (2005) J. Phys. Chem. B, 109, pp. 13857-13870; Tran, T.-H., Nguyen, T.-D., (2011) Colloids Surf. B Biointerfaces, 88, pp. 1-22; Niu, W.X., Xu, G.B., (2011) Nano Today, 6, pp. 265-285; Chen, J.Y., Lim, B., Lee, E.P., Xia, Y.N., (2009) Nano Today, 4, pp. 81-95; Shankar, S.S., Rai, A., Ankamwar, B., Singh, A., Ahmad, A., Sastry, M., (2004) Nat. Mater., 3, pp. 482-488; Song, H., Kim, F., Connor, S., Somorjai, G.A., Yang, P., (2005) J. Phys. Chem. B, 109, pp. 188-193; Gschneidtner, T.A., Fernandez, Y.A.D., Syrenova, S., Westerlund, F., Langhammer, C., Moth-Poulsen, K., (2014) Langmuir, 30, pp. 3041-3050; Niu, W., Zhang, L., Xu, G., (2010) ACS Nano, 4, pp. 1987-1996; Wu, H.-L., Kuo, C.-H., Huang, M.H., (2010) Langmuir, 26, pp. 12307-12313; Mayers, B., Jiang, X., Sunderland, D., Cattle, B., Xia, Y., (2003) J. Am. Chem. Soc., 125, pp. 13364-13365; Manna, L., Milliron, D.J., Meisel, A., Scher, E.C., Alivisatos, A.P., (2003) Nat. Mater., 2, pp. 382-385; Yong, K.-T., Sahoo, Y., Choudhury, K.R., Swihart, M.T., Minter, J.R., Prasad, P.N., (2006) Nano Lett., 6, pp. 709-714; Zhu, J., Liu, S., Palchik, O., Koltypin, Y., Gedanken, A., (2000) Langmuir, 16, pp. 6396-6399; Ortac, I., Simberg, D., Yeh, Y.-S., Yang, J., Messmer, B., Trogler, W.C., (2014) Nano Lett., 14, pp. 3023-3032; Teng, X., Yang, H., (2005) Nano Lett., 5, pp. 885-891; Lattuada, M., Hatton, T.A., (2011) Nano Today, 6, pp. 286-308; Marks, L.D., (1994) Rep. Prog. Phys., 57, pp. 603-649; Personick, M.L., Langille, M.R., Zhang, J., Mirkin, C.A., (2011) Nano Lett., 11, pp. 3394-3398; Tao, A., Sinsermsuksakul, P., Yang, P., (2006) Angew. Chem. Int. Ed., 45, pp. 4597-4601; Fievet, F., Lagier, J., Blin, B., Beaudoin, B., Figlarz, M., (1989) Solid State Ionics, 32-33, pp. 198-205; Sun, Y., Xia, Y., (2002) Science, 298, pp. 2176-2179; Ahmadi, T.S., Wang, Z.L., Henglein, A., El-Sayed, M.A., (1996) Chem. Mater., 8, pp. 1161-1163; Ahmadi, T.S., Wang, Z.L., Green, T.C., Henglein, A., El-Sayed, M.A., (1996) Science, 272, pp. 1924-1925; Petroski, J.M., Wang, Z.L., Green, T.C., El-Sayed, M.A., (1998) J. Phys. Chem. B, 102, pp. 3316-3320; Wang, C., Daimon, H., Onodera, T., Koda, T., Sun, S., (2008) Angew. Chem. Int. Ed., 47, pp. 3588-3591; Tian, N., Zhou, Z.-Y., Sun, S.-G., (2008) J. Phys. Chem. C, 112, pp. 19801-19817; Egli, W.A., Visintin, A., Triaca, W.E., Arvia, A.J., (1993) Appl. Surf. Sci., 68, pp. 583-593; Visintin, A., Canullo, J.C., Triaca, W.E., Arvia, A.J., (1988) J. Electroanal. Chem., 239, pp. 67-89; Tian, N., Zhou, Z.-Y., Sun, S.-G., Ding, Y., Wang, Z.L., (2007) Science, 316, pp. 732-735; Zhou, Z.-Y., Tian, N., Huang, Z.-Z., Chen, D.-J., Sun, S.-G., (2009) Faraday Discuss., 140, p. 81; Strasser, P., Koh, S., Anniyev, T., Greeley, J., More, K., Yu, C.F., (2010) Nat. Chem., 2, pp. 454-460; Ahmadi, M., Behafarid, F., Cui, C., Strasser, P., Roldan Cuenya, B., (2013) ACS Nano, 7, pp. 9195-9204; Wu, Y., Wang, D., Niu, Z., Chen, P., Zhou, G., Li, Y., (2012) Angew. Chem. Int. Ed., 51, pp. 12524-12528; Mahmoud, M.A., Saira, F., El-Sayed, M.A., (2010) Nano Lett., 10, pp. 3764-3769; Kuo, C.-H., Huang, M.H., (2008) J. Am. Chem. Soc., 130, pp. 12815-12820; Lee, I., Delbecq, F., Morales, R., Albiter, M.A., Zaera, F., (2009) Nat. Mater., 8, pp. 132-138; Wulff, G., (1901) Z. Kryst. Miner., 34, pp. 449-530; Henry, C.R., (2005) Prog. Surf. Sci., 80, pp. 92-116; Wang, C.M., Baer, D.R., Amonette, J.E., Engelhard, M.H., Qiang, Y., Antony, J., (2007) Nanotechnology, 18, p. 255603; Saito, Y., Mihama, K., Uyeda, R., (1980) Jpn. J. Appl. Phys., 19, pp. 1603-1610; Barnard, A.S., Lin, X.M., Curtiss, L.A., (2005) J. Phys. Chem. B, 109, pp. 24465-24472; Vystavel, T., Koch, S.A., Palasantzas, G., Hosson, J.T.M.D., (2005) Appl. Phys. Lett., 86, p. 113113; Kleibert, A., Voitkans, A., Meiwes-Broer, K.-H., (2010) Phys. Status Solidi B, 247, pp. 1048-1055; Graoui, H., Giorgio, S., Enry, C.R., (2001) Philos. Mag. B, 81, pp. 1649-1658; Graoui, H., Giorgio, S., Henry, C.R., (1998) Surf. Sci., 417, pp. 350-360; Ryu, J.H., Han, S.S., Kim, D.H., Henkelman, G., Lee, H.M., (2011) ACS Nano, 5, pp. 8515-8522; Kim, H.Y., Henkelman, G., (2013) J. Phys. Chem. Lett., 4, pp. 216-221; Nolte, P., Stierle, A., Jin-Phillip, N.Y., Kasper, N., Schulli, T.U., Dosch, H., (2008) Science, 321, pp. 1654-1658; Croy, J.R., (2010) Supported Mono and Bimetallic Platinum and Iron Nanoparticles: Electronic, Structural, Catalytic, and Vibrational Properties, , University of Central Florida; Giorgio, S., Henry, C.R., Pauwels, B., Van Tendeloo, G., (2001) Mater. Sci. Eng. A, 297, pp. 197-202; Kaischew, R., (1952) Arbeitstagung Festkörperphysik, pp. 81-83. , Wissenshaften Dresden, Berlin; Paredis, K., Ono, L.K., Behafarid, F., Zhang, Z.F., Yang, J.C., Frenkel, A.I., (2011) J. Am. Chem. Soc., 133, pp. 13455-13464; Behafarid, F., Roldan Cuenya, B., (2012) J. Phys. Chem. Lett., 3, pp. 608-612; Roldan Cuenya, B., Alcantra Ortigoza, M., Ono, L.K., Behafarid, F., Mostafa, S., Croy, J.R., (2011) Phys. Rev. B, 84, p. 245438; Naitabdi, A., Behafarid, F., Cuenya, B.R., (2009) Appl. Phys. Lett., 94, p. 083102; McKenna, K.P., Shluger, A.L., (2007) J. Phys. Chem. C, 111, pp. 18848-18852; Newton, M.A., (2008) Chem. Soc. Rev., 37, pp. 2644-2657; El-Sayed, M.A., (2001) Acc. Chem. Res., 34, pp. 257-264; Cabié, M., Giorgio, S., Henry, C.R., Axet, M.R., Philippot, K., Chaudret, B., (2010) J. Phys. Chem. C, 114, pp. 2160-2163; Lee, I., Morales, R., Albiter, M.A., Zaera, F., (2008) PNAS, 105, pp. 15241-15246; Matos, J., Ono, L.K., Behafarid, F., Croy, J.R., Mostafa, S., Delariva, A.T., (2012) Phys. Chem. Chem. Phys., 14, p. 11457; Hansen, P.L., Wagner, J.B., Helveg, S., Rostrup-Nielsen, J.R., Clausen, B.S., Topsoe, H., (2002) Science, 295, pp. 2053-2055; Nørskov, J.K., Bligaard, T., Rossmeis, J., Christensen, C.H., (2009) Nat. Chem., 1, pp. 37-46; Vang, R.T., Lauritsen, J.V., Laegsgaard, E., Besenbacher, F., (2008) Chem. Soc. Rev., 37, pp. 2191-2203; Si, R., Flytzani-Stephanopoulos, M., (2008) Angew. Chem. Int. Ed., 47, pp. 2884-2887; Tao, F., Grass, M.E., Zhang, Y., Butcher, D.R., Renzas, J.R., Liu, Z., (2008) Science, 322, pp. 932-934; Salmeron, M., Schlögl, R., (2008) Surf. Sci. Rep., 63, pp. 169-199; Nørskov, J.K., Bligaard, T., Hvolbæk, B., Abild-Pedersen, F., Chorkendorff, I., Christensen, C.H., (2008) Chem. Soc. Rev., 37, pp. 2163-2171; Mittendorfer, F., Seriani, N., Dubay, O., Kresse, G., (2007) Phys. Rev. B, 76, p. 233413; Getman, R.B., Schneider, W.F., (2010) ChemCatChem, 2, pp. 1450-1460; Oxford, S.M., Lee, P.L., Chupas, P.J., Chapman, K.W., Kung, M.C., Kung, H.H., (2010) J. Phys. Chem. C, 114, pp. 17085-17091; Weckhuysen, B.M., (2009) Angew. Chem. Int. Ed., 48, pp. 4910-4943; Newton, M.A., Belver-Coldeira, C., Martínez-Arias, A., Fernández-García, M., (2007) Nat. Mater., 6, pp. 528-532; Newton, M.A., Di Michiel, M., Kubacka, A., Fernandez-Garcia, M., (2010) J. Am. Chem. Soc., 132, pp. 4540-4541; Shi, A.C., Masel, R.I., (1989) J. Catal., 120, pp. 421-431; Hrbek, J., Hoffmann, F.M., Park, J.B., Liu, P., Stacchiola, D., Hoo, Y.S., (2008) J. Am. Chem. Soc., 130, pp. 17272-17273; Lee, W.H., Vanloon, K.R., Petrova, V., Woodhouse, J.B., Loxton, C.M., Masel, R.I., (1990) J. Catal., 126, pp. 658-670; Enterkin, J.A., Poeppelmeier, K.R., Marks, L.D., (2011) Nano Lett., 11, pp. 993-997; Yang, J.","page":"135-187","publisher":"Elsevier","title":"Nanocatalysis: Size- and shape-dependent chemisorption and catalytic reactivity","type":"article-journal","volume":"70"},"uris":["http://www.mendeley.com/documents/?uuid=3145ea49-713e-4c6b-afdf-a435a25cbd9a"]}],"mendeley":{"formattedCitation":"[146], [148]","plainTextFormattedCitation":"[146], [148]","previouslyFormattedCitation":"[146], [148]"},"properties":{"noteIndex":0},"schema":"https://github.com/citation-style-language/schema/raw/master/csl-citation.json"}</w:instrText>
      </w:r>
      <w:r w:rsidR="00007F6C">
        <w:fldChar w:fldCharType="separate"/>
      </w:r>
      <w:r w:rsidR="006C586A" w:rsidRPr="006C586A">
        <w:rPr>
          <w:noProof/>
        </w:rPr>
        <w:t>[146], [148]</w:t>
      </w:r>
      <w:r w:rsidR="00007F6C">
        <w:fldChar w:fldCharType="end"/>
      </w:r>
      <w:r w:rsidR="00007F6C" w:rsidRPr="002B6C9E">
        <w:t xml:space="preserve">. This </w:t>
      </w:r>
      <w:r w:rsidR="00BF1AA9">
        <w:t xml:space="preserve">interaction </w:t>
      </w:r>
      <w:r w:rsidR="00007F6C" w:rsidRPr="002B6C9E">
        <w:t xml:space="preserve">underlines how key the coordination number is to </w:t>
      </w:r>
      <w:r w:rsidR="00B171A3">
        <w:t xml:space="preserve">heterogeneous </w:t>
      </w:r>
      <w:r w:rsidR="00007F6C" w:rsidRPr="002B6C9E">
        <w:t xml:space="preserve">catalytic activity. In the terms of infiltration an increased number of exposed plane atoms with low CN values should lead to better performance. </w:t>
      </w:r>
    </w:p>
    <w:p w14:paraId="129B3CDB" w14:textId="1EDF06EB" w:rsidR="00007F6C" w:rsidRPr="002B6C9E" w:rsidRDefault="00007F6C" w:rsidP="00007F6C">
      <w:pPr>
        <w:jc w:val="both"/>
      </w:pPr>
      <w:r w:rsidRPr="002B6C9E">
        <w:t>Solid oxide fuel cells do not need to produce water as the final by-product. Gases such as methane (CH</w:t>
      </w:r>
      <w:r w:rsidRPr="002B6C9E">
        <w:rPr>
          <w:vertAlign w:val="subscript"/>
        </w:rPr>
        <w:t>4</w:t>
      </w:r>
      <w:r w:rsidRPr="002B6C9E">
        <w:t xml:space="preserve">) can also be reformed during the operation of an SOFC. Methane is key to the construction of hydrogen however the deposition of carbon can also occur on Ni/YSZ anodes during this process. Ni/YSZ systems are certainly more suited to the hydrogen oxidation reaction. The infiltration of additional compositional elements can also improve anode’s tolerance to carbon decomposition as </w:t>
      </w:r>
      <w:r w:rsidRPr="002A6B3F">
        <w:t xml:space="preserve">shown by </w:t>
      </w:r>
      <w:proofErr w:type="spellStart"/>
      <w:r w:rsidRPr="002A6B3F">
        <w:t>Gavrielatos</w:t>
      </w:r>
      <w:proofErr w:type="spellEnd"/>
      <w:r w:rsidRPr="002A6B3F">
        <w:t xml:space="preserve"> et al</w:t>
      </w:r>
      <w:r>
        <w:rPr>
          <w:i/>
        </w:rPr>
        <w:t xml:space="preserve"> </w:t>
      </w:r>
      <w:r>
        <w:rPr>
          <w:i/>
        </w:rPr>
        <w:fldChar w:fldCharType="begin" w:fldLock="1"/>
      </w:r>
      <w:r w:rsidR="00D80A5D">
        <w:rPr>
          <w:i/>
        </w:rPr>
        <w:instrText>ADDIN CSL_CITATION {"citationItems":[{"id":"ITEM-1","itemData":{"DOI":"10.1002/fuce.200800181","ISBN":"16156846 (ISSN)","ISSN":"16156846","abstract":"The effect of Ag addition on Ni/YSZ Carbon tolerance was studied by means of thermogravimetric, catalytic and electrocatalytic experiments. Ni/YSZ activity towards C deposition can be significantly decreased by adding 1 to 5 at.-percent (atomic ratio) Ag with respect to Ni. It was found that the activation energy of CH4 dissociation was increased from 61 kJ mol-1 on Ni/YSZ to 137 kJ mol-1 on Ni(5Ag)/YSZ. The electrode was significantly improved with regard to its C tolerance, even at a methane to water ratio as high as 4.35, at temperatures ranging between 923-1,023 K. At higher temperature most probably due to Ag evaporation from Agdoped Ni/YSZ surface, a severe anode catalytic and electrocatalytic activity degradation was observed.","author":[{"dropping-particle":"","family":"Gavrielatos","given":"I.","non-dropping-particle":"","parse-names":false,"suffix":""},{"dropping-particle":"","family":"Montinaro","given":"D.","non-dropping-particle":"","parse-names":false,"suffix":""},{"dropping-particle":"","family":"Orfanidi","given":"A.","non-dropping-particle":"","parse-names":false,"suffix":""},{"dropping-particle":"","family":"Neophytides","given":"S. G.","non-dropping-particle":"","parse-names":false,"suffix":""}],"container-title":"Fuel Cells","id":"ITEM-1","issue":"6","issued":{"date-parts":[["2009"]]},"language":"English","note":"From Duplicate 2 (Thermogravimetric and electrocatalytic study of carbon deposition of Ag-doped Ni/YSZ electrodes under internal CH4Steam reforming conditions - Gavrielatos, I.; Montinaro, D.; Orfanidi, A.; Neophytides, S. G.)\n\nCited By :19\nExport Date: 10 February 2017\nCorrespondence Address: Neophytides, S. G.; Foundation for Research and Technology, Institute of Chemical Engineering and High Temperature Chemical Processes (FORTH/ICE-HT), Stadiou str. Platani, GR-26504 Rion, Patras, Greece; email: neoph@iceht.forth.gr\nReferences: Hou, K., Hughes, R., (2001) Chem. Eng. J, 82, p. 311; Choudhary, V.R., Banerjee, S., Rajput, A.M., (2002) Appl. Catal., A, 234, p. 259; Matsumura, Y., Nakamori, T., (2004) Appl. Catal., A, 258, p. 107; Song, C., (2002) Catal. Today, 77, p. 17; Abudula, A., Ihara, M., Komiyama, H., Yamada, K., (1996) Solid State Ionics, 1203, p. 86; Liu, J., Barnett, S.A., (2003) Solid State Ionics, 158, p. 11; Sehested, J., (2006) Catal. Today, 111, p. 103; Rostrup-Nielsen, J.R., (1984) Catalysis, Science, and Technology, 5, p. 82. , Eds, J. R. Anderson, M. Boudart, Springer-Verlag, Berlin; Wei, J., Iglesia, E., (2004) J. Catal, 224, p. 370; Jarrah, N.A., van Ommen, J.G., Lefferts, L., (2006) J. Catal, 239, p. 460; Vang, R.T., Honkala, K., Dahal, S., Vestergaard, E.K., Schnadt, J., Lágsgaard, E., Clausen, B.S., Besenbacher, F., (2005) Nat. Mater, 4, p. 160; Bernardo, C.A., Trimm, D.L., (1979) Catal. Carbon, 17, p. 115; McCarty, J.G., Wise, H.J., (1982) J. Catal, 57, p. 67; Bartholomew, C.H., (1982) Catal. Rev.-Sci. Eng, 24, p. 67; Trimm, D.L., (1977) Catal. Rev.-Sci. Eng, 16, p. 155; Twigg, M.V., (1989) Catalyst Handbook, , 2nd Ed, Wolfe Publishing, London, Chapter 5; Murray, E.P., Tsai, T., Barnett, S.A., (1999) Nature, 400, p. 649; Finnerty, C.M., Coe, N.J., Cunningham, R.H., Ormerod, R.M., (1998) Catal. Today, 46, p. 137; Besenbacher, F., Chorkendorff, I., Clausen, B.S., Hammer, B., Molenbroek, A.M., Norskov, J.K., Stensgaard, I., (1998) Science, 279, p. 1913; Rostrup-Nielsen, J.R., Alstrup, I., (1999) Catal. Today, 53, p. 311; Bebelis, S., Zeritis, A., Tiropani, C., Neophytides, S.G., (2000) Ind. Eng. Chem. Res, 12, p. 4920; Zhang, Z.L., Verykios, X.E., (1994) Catal. Today, 21, p. 589; Goula, M.L., Lemonidou, A.A., Efstathiou, A.M., (1996) J. Catal, 161, p. 626; Tsang, J.S., Park, S.E., Chon, H., (1996) Appl. Catal, 111, pp. A145; Borowiecki, T., Golebiowski, A., (1994) Catal. Lett, 25, p. 309; Borowiecki, T., Giecko, G., Panczyk, M., (2002) Appl. Catal., A, 230, p. 85; Triantafyllopoulos, N.C., Neophytides, S.G., (2003) J. Catal, 217, p. 324; J. R. Rostrup-Nielsen, in: Catalyst deactivation 1991, (Eds.: C. H. Bartholomew, J. B. Butt), Stud. Surf. Sci. Catal. 1991, 68, 85Bengaard, H.S., Nørskov, J.K., Sehested, J., Clausen, B.S., Nielsen, L.P., Molenbroek, A.M., Rostrup-Nielsen, J.R., (2002) J. Catal, 209, p. 365; Ya, Huei Chin, D.L., King, Seog Roh, H., Yong Wang, S.M., Heald, (2006) J. Catal, 244, p. 153; Triantafyllopoulos, N.C., Neophytides, S.G., (2006) J. Catal, 239, p. 187; Gavrielatos, I., Neophytides, S.G., (2008) J. Catal, 259, p. 75; Trimm, D.L., (1999) Catal. Today, 49, p. 3; Parizotto, N.V., Rocha, K.O., Damyanova, S., Passos, F.B., Zanchet, D., Marques, C.M.P., Bueno, J.M.C., (2007) Appl. Catal., A, 330, p. 12; Sholklapper, T.Z., Radmilovic, V., Jacobson, C.P., Visco, S.J., De Jonghe, L.C., (2008) J. Power Sources, 175, p. 206; Shabaker, J.W., Simonetti, D.A., Cortright, R.D., Dumesic, J.A., (2005) J. Catal, 231, p. 67; Nikolla, E., Schwank, J., Linic, S., (2007) J. Catal, 250, p. 85; Tedmon Jr., C.S., Spacil, H.S., Mitoff, S.P., (1969) J. Electrochem. Soc.: Electrochem. Sci, 116, p. 1170; Barnett, S.A., (1990) Energy (Oxford), 15, p. 1; Wang, L.S., Thiele, E.S., Barnett, S.A., (1992) Solid State Ionics, 52, p. 261; Wang, L.S., Barnett, S.A., (1993) Solid State Ionics, 61, p. 273; Wang, L.S., Barnett, S.A., (1995) Solid State Ionics, 76, p. 103; Sasaki, K., Hosoda, K., Lan, T.N., Yasumoto, K., Wang, S., Dokiya, M., (2004) Solid State Ionics, 174, p. 97; Sasaki, K., Tamura, J., Dokiya, M., (2001) Solid State Ionics, 144, p. 233; Gavrielatos, I., Neophytides, S.G., (2007) ECS Trans, 7, p. 1483","page":"883-890","title":"Thermogravimetric and electrocatalytic study of carbon deposition of Ag-doped Ni/YSZ electrodes under internal CH4Steam reforming conditions","type":"article-journal","volume":"9"},"uris":["http://www.mendeley.com/documents/?uuid=cacd6616-824a-472b-8409-db582abc6e33"]},{"id":"ITEM-2","itemData":{"DOI":"10.1002/fuce.200800181","ISBN":"1615-6846","ISSN":"16156846","abstract":"The effect of Ag addition on Ni/YSZ Carbon tolerance was studied by means of thermogravimetric, catalytic and electrocatalytic experiments. Ni/YSZ activity towards C deposition can be significantly decreased by adding 1 to 5 at.-percent (atomic ratio) Ag with respect to Ni. It was found that the activation energy of CH4 dissociation was increased from 61 kJ mol-1 on Ni/YSZ to 137 kJ mol-1 on Ni(5Ag)/YSZ. The electrode was significantly improved with regard to its C tolerance, even at a methane to water ratio as high as 4.35, at temperatures ranging between 923-1,023 K. At higher temperature most probably due to Ag evaporation from Agdoped Ni/YSZ surface, a severe anode catalytic and electrocatalytic activity degradation was observed.","author":[{"dropping-particle":"","family":"Gavrielatos","given":"I.","non-dropping-particle":"","parse-names":false,"suffix":""},{"dropping-particle":"","family":"Montinaro","given":"D.","non-dropping-particle":"","parse-names":false,"suffix":""},{"dropping-particle":"","family":"Orfanidi","given":"A.","non-dropping-particle":"","parse-names":false,"suffix":""},{"dropping-particle":"","family":"Neophytides","given":"S. G.","non-dropping-particle":"","parse-names":false,"suffix":""}],"container-title":"Fuel Cells","id":"ITEM-2","issue":"6","issued":{"date-parts":[["2009"]]},"page":"883-890","title":"Thermogravimetric and electrocatalytic study of carbon deposition of Ag-doped Ni/YSZ electrodes under internal CH4Steam reforming conditions","type":"article-journal","volume":"9"},"uris":["http://www.mendeley.com/documents/?uuid=55e9de57-2613-4221-9df7-e1a0a607f4ae"]}],"mendeley":{"formattedCitation":"[149], [150]","plainTextFormattedCitation":"[149], [150]","previouslyFormattedCitation":"[149], [150]"},"properties":{"noteIndex":0},"schema":"https://github.com/citation-style-language/schema/raw/master/csl-citation.json"}</w:instrText>
      </w:r>
      <w:r>
        <w:rPr>
          <w:i/>
        </w:rPr>
        <w:fldChar w:fldCharType="separate"/>
      </w:r>
      <w:r w:rsidR="006C586A" w:rsidRPr="006C586A">
        <w:rPr>
          <w:noProof/>
        </w:rPr>
        <w:t>[149], [150]</w:t>
      </w:r>
      <w:r>
        <w:rPr>
          <w:i/>
        </w:rPr>
        <w:fldChar w:fldCharType="end"/>
      </w:r>
      <w:r>
        <w:rPr>
          <w:i/>
        </w:rPr>
        <w:t>.</w:t>
      </w:r>
      <w:r w:rsidRPr="002B6C9E">
        <w:t xml:space="preserve"> During this study, the addition of between 1-5</w:t>
      </w:r>
      <w:r>
        <w:t xml:space="preserve"> </w:t>
      </w:r>
      <w:r w:rsidRPr="002B6C9E">
        <w:t>at</w:t>
      </w:r>
      <w:r w:rsidR="00F45C4C">
        <w:t xml:space="preserve"> </w:t>
      </w:r>
      <w:r w:rsidRPr="002B6C9E">
        <w:t>% silver in the infiltrate. What was interesting was the discussion of how the silver affected the system. At temperatures exceeding 800</w:t>
      </w:r>
      <w:r w:rsidR="00F45C4C">
        <w:t xml:space="preserve"> </w:t>
      </w:r>
      <w:r w:rsidRPr="002B6C9E">
        <w:rPr>
          <w:rFonts w:cstheme="minorHAnsi"/>
        </w:rPr>
        <w:t>°</w:t>
      </w:r>
      <w:r w:rsidRPr="002B6C9E">
        <w:t>C the resistance of the anode to carbon deposition dropped, this was visible by the 25 mAcm</w:t>
      </w:r>
      <w:r w:rsidRPr="002B6C9E">
        <w:rPr>
          <w:vertAlign w:val="superscript"/>
        </w:rPr>
        <w:t>-2</w:t>
      </w:r>
      <w:r w:rsidRPr="002B6C9E">
        <w:t xml:space="preserve"> reduction in current density. </w:t>
      </w:r>
      <w:r w:rsidRPr="00387FEB">
        <w:t>This underline</w:t>
      </w:r>
      <w:r>
        <w:t>s</w:t>
      </w:r>
      <w:r w:rsidRPr="00387FEB">
        <w:t xml:space="preserve"> the importance of the infiltration additions to the electrochemical properties.</w:t>
      </w:r>
      <w:r w:rsidRPr="002B6C9E">
        <w:t xml:space="preserve"> </w:t>
      </w:r>
    </w:p>
    <w:p w14:paraId="687A4CC3" w14:textId="382ABFD8" w:rsidR="00007F6C" w:rsidRPr="002B6C9E" w:rsidRDefault="00007F6C" w:rsidP="00007F6C">
      <w:pPr>
        <w:jc w:val="both"/>
      </w:pPr>
      <w:r>
        <w:t>Infiltration also p</w:t>
      </w:r>
      <w:r w:rsidRPr="002B6C9E">
        <w:t xml:space="preserve">roduces highly homogenised arrangements of catalytic NPs on the scaffold surface. The resultant microstructure is finer than those created by production techniques such as co-sintering </w:t>
      </w:r>
      <w:r w:rsidRPr="002B6C9E">
        <w:lastRenderedPageBreak/>
        <w:t>and conventional powder mixing. Despite the obvious processing differences, the properties of infiltrated samples are superior to other anode fabrication techniques</w:t>
      </w:r>
      <w:r>
        <w:t xml:space="preserve"> </w:t>
      </w:r>
      <w:r>
        <w:fldChar w:fldCharType="begin" w:fldLock="1"/>
      </w:r>
      <w:r w:rsidR="00D80A5D">
        <w:instrText>ADDIN CSL_CITATION {"citationItems":[{"id":"ITEM-1","itemData":{"DOI":"10.1002/adma.200802428","ISBN":"0935-9648","abstract":"Improved cathodes we required for low-temperature operation of solid-oxide fuel cells (SOFCs). Recent work has shown that electrode fabrication and modification by Infiltration of active components Into a porous scaffold can result In outstanding I performance. In this paper we review the literature on this new approach for cathode preparation and discuss the insights that this work has provided for understanding the relationships between the materials properties, electrochemical performance, and electrode stability.","author":[{"dropping-particle":"","family":"Vohs","given":"J M","non-dropping-particle":"","parse-names":false,"suffix":""},{"dropping-particle":"","family":"Gorte","given":"R J","non-dropping-particle":"","parse-names":false,"suffix":""}],"container-title":"Advanced Materials","id":"ITEM-1","issue":"9","issued":{"date-parts":[["2009"]]},"language":"English","note":"421pg\nTimes Cited:279\nCited References Count:138","page":"943-956","title":"High-Performance SOFC Cathodes Prepared by Infiltration","type":"article-journal","volume":"21"},"uris":["http://www.mendeley.com/documents/?uuid=c3a2a2ab-5848-4a76-b1f5-22388ceba994"]},{"id":"ITEM-2","itemData":{"DOI":"10.1016/j.msea.2005.11.052","ISBN":"0921-5093","ISSN":"09215093","abstract":"Development of solid oxide fuel cells (SOFC) for operation at intermediate temperatures of 600-800 °C with hydrocarbon fuels requires a cathode and anode with high electrocatalytic activity for O2 reduction and direct oxidation of hydrocarbon fuels, respectively. Wet impregnation is a well known method in the development of heterogeneous catalysts. Surprisingly, very few have concentrated on the application of the wet impregnation technique to deposit nano-sized particles into the established electrode structure of the SOFC. This paper reviews and discusses the progress in the application of the wet impregnation technique in the development of Ni-free Cu-based composite anodes, doped CeO2-impregnated (La, Sr)MnO3 (LSM) cathodes and Ni anodes, Co3O4-infiltrated cathodes and precious metal-impregnated electrodes. Enhancement in the electrode microstructure and cell performance is substantial, showing the great potential of the wet impregnation method in the development of high performance and nano-structured electrodes with specific functions. However, the long-term stability of the impregnated electrode structure needs to be addressed. © 2005 Elsevier B.V. All rights reserved.","author":[{"dropping-particle":"","family":"Jiang","given":"San Ping","non-dropping-particle":"","parse-names":false,"suffix":""}],"container-title":"Materials Science and Engineering A","id":"ITEM-2","issue":"1-2","issued":{"date-parts":[["2006"]]},"page":"199-210","title":"A review of wet impregnation - An alternative method for the fabrication of high performance and nano-structured electrodes of solid oxide fuel cells","type":"article-journal","volume":"418"},"uris":["http://www.mendeley.com/documents/?uuid=501050cf-6544-4c86-9a97-96825a9515d5"]},{"id":"ITEM-3","itemData":{"DOI":"10.1039/c3ee42926a","ISSN":"17545706","abstract":"Solid oxide fuel cells (SOFCs) have the potential to be one of the cleanest and most efficient energy technologies for direct conversion of chemical fuels to electricity. Economically competitive SOFC systems appear poised for commercialization, but widespread market penetration will require continuous innovation of materials and fabrication processes to enhance system lifetime and reduce cost. One early technical opportunity is minimization of resistance to the oxygen reduction reaction (ORR) at the cathode, which contributes the most to performance degradation and efficiency loss in the existing SOFCs, especially at temperatures &lt;700 °C. Detailed study over the past 15 years has revealed the positive impact of catalyst infiltration on SOFC cathode performance, both in power density and durability metrics. However, realizable performance improvements rely upon strongly-coupled relationships in materials and morphology between the infiltrate and the backbone, and therefore efficacious systems cannot be simply generated with a set of simple heuristics. This article reviews recent progress in enhancing SOFC cathode performance by surface modification through a solution-based infiltration process, focusing on two backbone architectures-inherently functional and skeletal-infiltrated using wet-chemistry processes. An efficient cathode consists of a porous mixed-conducting backbone and an active coating catalyst; the porous backbone provides excellent ionic and electronic conductivity, while the infiltrated surface coating possesses high catalytic activity and stability. As available, performance comparisons are emphasized and reaction schematics for specific infiltrate/backbone systems are summarized. While significant progress has been achieved in enhancing surface catalytic activity and durability, the detailed mechanisms of performance enhancement are insufficiently understood to obtain critical insights and a scientific basis for rational design of more efficient catalysts and novel electrode architectures. Recent progress in characterization of surfaces and interfaces is briefly discussed with challenges and perspectives in surface modification of SOFC electrodes. Surface modification through infiltration is expected to play an increasingly important role in current and next-generation commercial SOFC development, and this review illustrates the sophisticated technical considerations required to inform judicious selection of an infiltrate for a given SO…","author":[{"dropping-particle":"","family":"Ding","given":"Dong","non-dropping-particle":"","parse-names":false,"suffix":""},{"dropping-particle":"","family":"Li","given":"Xiaxi","non-dropping-particle":"","parse-names":false,"suffix":""},{"dropping-particle":"","family":"Lai","given":"Samson Yuxiu","non-dropping-particle":"","parse-names":false,"suffix":""},{"dropping-particle":"","family":"Gerdes","given":"Kirk","non-dropping-particle":"","parse-names":false,"suffix":""},{"dropping-particle":"","family":"Liu","given":"Meilin","non-dropping-particle":"","parse-names":false,"suffix":""}],"container-title":"Energy and Environmental Science","id":"ITEM-3","issue":"2","issued":{"date-parts":[["2014"]]},"page":"552-575","title":"Enhancing SOFC cathode performance by surface modification through infiltration","type":"article-journal","volume":"7"},"uris":["http://www.mendeley.com/documents/?uuid=07b7af68-5a4c-4c2a-a4d7-4f096eafa61b"]},{"id":"ITEM-4","itemData":{"DOI":"10.1016/j.jpowsour.2013.03.025","ISBN":"0378-7753","ISSN":"03787753","abstract":"The future commercialization and application of solid oxide fuel cell (SOFC) technologies requires the development of novel anode materials with excellent performance and stability at intermediate-temperatures with various fuels including hydrogen, syngas and particularly hydrocarbons. Whether by modifying the state-of-the-art Ni based anodes, or through exploring alternative metal cermet or ceramic based materials, wet impregnation/infiltration is shown to be one of the most effective approaches for both cell fabrication and performance optimization. This paper reviews most of the progress reported in the literature committed to the fabrication and optimization of SOFC anodes by wet impregnation for low temperature and/or hydrocarbon operation. The optimization of traditional nickel based anodes by adding excellent catalyst, the replacement of nickel by other inert metal or ceramic species, and some metal supported designs with impregnated catalyst are all presented and discussed, mainly focusing on the cell performance, redox and thermal stability, long-term reliability, carbon and sulfur tolerance of the anodes. © 2013 Elsevier B.V. All rights reserved.","author":[{"dropping-particle":"","family":"Liu","given":"Zhangbo","non-dropping-particle":"","parse-names":false,"suffix":""},{"dropping-particle":"","family":"Liu","given":"Beibei","non-dropping-particle":"","parse-names":false,"suffix":""},{"dropping-particle":"","family":"Ding","given":"Dong","non-dropping-particle":"","parse-names":false,"suffix":""},{"dropping-particle":"","family":"Liu","given":"Mingfei","non-dropping-particle":"","parse-names":false,"suffix":""},{"dropping-particle":"","family":"Chen","given":"Fanglin","non-dropping-particle":"","parse-names":false,"suffix":""},{"dropping-particle":"","family":"Xia","given":"Changrong","non-dropping-particle":"","parse-names":false,"suffix":""}],"container-title":"Journal of Power Sources","id":"ITEM-4","issued":{"date-parts":[["2013"]]},"page":"243-259","title":"Review Fabrication and modification of solid oxide fuel cell anodes via wet impregnation/infiltration technique","type":"article-journal","volume":"237"},"uris":["http://www.mendeley.com/documents/?uuid=62dc442f-71bd-4e56-9655-c0d6e9a0651a"]}],"mendeley":{"formattedCitation":"[5], [8], [71], [151]","plainTextFormattedCitation":"[5], [8], [71], [151]","previouslyFormattedCitation":"[5], [8], [71], [151]"},"properties":{"noteIndex":0},"schema":"https://github.com/citation-style-language/schema/raw/master/csl-citation.json"}</w:instrText>
      </w:r>
      <w:r>
        <w:fldChar w:fldCharType="separate"/>
      </w:r>
      <w:r w:rsidR="006C586A" w:rsidRPr="006C586A">
        <w:rPr>
          <w:noProof/>
        </w:rPr>
        <w:t>[5], [8], [71], [151]</w:t>
      </w:r>
      <w:r>
        <w:fldChar w:fldCharType="end"/>
      </w:r>
      <w:r w:rsidRPr="002B6C9E">
        <w:t>.</w:t>
      </w:r>
    </w:p>
    <w:p w14:paraId="36DFBF50" w14:textId="0A91869B" w:rsidR="00007F6C" w:rsidRPr="002B6C9E" w:rsidRDefault="00007F6C" w:rsidP="00007F6C">
      <w:pPr>
        <w:jc w:val="both"/>
      </w:pPr>
      <w:r w:rsidRPr="002B6C9E">
        <w:t>Wet-impregnated samples with uniform distributions of NPs are highly replicable in comparison with other fabrication techniques. This assertion from</w:t>
      </w:r>
      <w:r w:rsidRPr="002A6B3F">
        <w:t xml:space="preserve"> the Liu</w:t>
      </w:r>
      <w:r w:rsidRPr="002B6C9E">
        <w:rPr>
          <w:i/>
        </w:rPr>
        <w:t xml:space="preserve"> </w:t>
      </w:r>
      <w:r w:rsidRPr="002B6C9E">
        <w:t xml:space="preserve">literature review in 2013 was certainly supported by the work </w:t>
      </w:r>
      <w:r w:rsidRPr="002A6B3F">
        <w:t xml:space="preserve">of </w:t>
      </w:r>
      <w:proofErr w:type="spellStart"/>
      <w:r w:rsidRPr="002A6B3F">
        <w:t>Busawon</w:t>
      </w:r>
      <w:proofErr w:type="spellEnd"/>
      <w:r>
        <w:rPr>
          <w:i/>
        </w:rPr>
        <w:t xml:space="preserve"> </w:t>
      </w:r>
      <w:r>
        <w:rPr>
          <w:i/>
        </w:rPr>
        <w:fldChar w:fldCharType="begin" w:fldLock="1"/>
      </w:r>
      <w:r w:rsidR="00D80A5D">
        <w:rPr>
          <w:i/>
        </w:rPr>
        <w:instrText xml:space="preserve">ADDIN CSL_CITATION {"citationItems":[{"id":"ITEM-1","itemData":{"DOI":"10.1016/j.jpowsour.2013.03.025","ISSN":"03787753","abstract":"The future commercialization and application of solid oxide fuel cell (SOFC) technologies requires the development of novel anode materials with excellent performance and stability at intermediate-temperatures with various fuels including hydrogen, syngas and particularly hydrocarbons. Whether by modifying the state-of-the-art Ni based anodes, or through exploring alternative metal cermet or ceramic based materials, wet impregnation/infiltration is shown to be one of the most effective approaches for both cell fabrication and performance optimization. This paper reviews most of the progress reported in the literature committed to the fabrication and optimization of SOFC anodes by wet impregnation for low temperature and/or hydrocarbon operation. The optimization of traditional nickel based anodes by adding excellent catalyst, the replacement of nickel by other inert metal or ceramic species, and some metal supported designs with impregnated catalyst are all presented and discussed, mainly focusing on the cell performance, redox and thermal stability, long-term reliability, carbon and sulfur tolerance of the anodes. © 2013 Elsevier B.V. All rights reserved.","author":[{"dropping-particle":"","family":"Liu","given":"Zhangbo","non-dropping-particle":"","parse-names":false,"suffix":""},{"dropping-particle":"","family":"Liu","given":"Beibei","non-dropping-particle":"","parse-names":false,"suffix":""},{"dropping-particle":"","family":"Ding","given":"Dong","non-dropping-particle":"","parse-names":false,"suffix":""},{"dropping-particle":"","family":"Liu","given":"Mingfei","non-dropping-particle":"","parse-names":false,"suffix":""},{"dropping-particle":"","family":"Chen","given":"Fanglin","non-dropping-particle":"","parse-names":false,"suffix":""},{"dropping-particle":"","family":"Xia","given":"Changrong","non-dropping-particle":"","parse-names":false,"suffix":""}],"container-title":"Journal of Power Sources","id":"ITEM-1","issued":{"date-parts":[["2013"]]},"page":"243-259","title":"Review Fabrication and modification of solid oxide fuel cell anodes via wet impregnation/infiltration technique","type":"article-journal","volume":"237"},"uris":["http://www.mendeley.com/documents/?uuid=bc18a97c-8bf7-48aa-ac3e-925ea93cfb6a"]},{"id":"ITEM-2","itemData":{"DOI":"10.1149/05309.0063ecst","ISBN":"19385862 (ISSN); 9781607684619 (ISBN)","ISSN":"1938-6737","abstract":"This report examines the use of aluminum titanate (ALT) as a means of stabilizing nickel electro-catalyst networks against thermally-induced coarsening.  While this novel technology has potentially widespread application, focus is placed on the stabilization of nano-nickel particulate introduced by infiltration techniques into YSZ scaffolds for SOFCs.  Here, the implementation of ALT is applied specifically through infiltration in the same manner as the nickel catalyst.  The efficacy of this system is quantified through high-temperature conductivity testing of nickel networks supported through modeling and electrochemical tests which include an investigation of varied nickel loading within the SOFC anode.  The ALT anchoring system continues to show great promise with degradation significantly impeded when compared to non-anchored samples. ","author":[{"dropping-particle":"","family":"Driscoll","given":"D.","non-dropping-particle":"","parse-names":false,"suffix":""},{"dropping-particle":"","family":"Hunt","given":"C.","non-dropping-particle":"","parse-names":false,"suffix":""},{"dropping-particle":"","family":"Muretta","given":"J.","non-dropping-particle":"","parse-names":false,"suffix":""},{"dropping-particle":"","family":"Sofie","given":"S. W.","non-dropping-particle":"","parse-names":false,"suffix":""}],"container-title":"ECS Transactions","edition":"9","id":"ITEM-2","issue":"9","issued":{"date-parts":[["2013"]]},"language":"English","note":"Conference code: 107197\nCited By :2\nExport Date: 20 January 2017\nCorrespondence Address: Sofie, S.; Department of Mechanical and Industrial Engineering, Montana State University, Bozeman, MT, 59717, United States\nReferences: (2004) Fuel Cell Hanbook, , EG&amp;amp;G Technical Services US Department of Energy; Wang, Gross, Vohs, Gorte, (2007) J. Electrochem. Soc, 154, pp. B439-B445; Cable, Setlock, (2010) Int. J. Appl. Ceram. Technol, pp. 1-12; Gorte, Vohs, (2009) Current Opinion in Colloid &amp;amp; Interface Science, 14, pp. 236-244; Busawon, Sarantaridis, Atkinson, (2008) Electrochem and Solid-State Letters, 11, pp. B186-B189; Buyukaksoy, Petrovsky, Dogan, (2012) J. Electrochem. Soc., 159, pp. B232-B234; Rostrup-Nielsen, Hansen, Helveg, Christiansen, Jannasch, (2006) J. Applied Physics, 85, pp. 427-430; Kishimoto, Suzuki, Shimonosono, Brito, (2012) Solid State Ionics; Buyukaksoy, Petrovsky, Dogan, (2012) J. Electrochem. Soc., 159, pp. B666-669; Law, Sofie, (2010) Soc. Solid-State and Electrochem. Sci. and Tech., 28, pp. 217-226; Klemenso, T., Thyden, K., Chen, M., Wang, H., (2010) J. Power Sources, p. 195; Chen, Y., Bunch, J., (2012) J. Power Sources, p. 213\n(HTM)","page":"63-72","publisher":"Electrochemical Society Inc.","publisher-place":"Toronto, ON","title":"Thermally Stabilized Nickel Electro-Catalyst Introduced by Infiltration for High Temperature Electrochemical Energy Conversion","type":"paper-conference","volume":"53"},"uris":["http://www.mendeley.com/documents/?uuid=432596c4-2200-4553-91f9-3533ffd7ff67"]},{"id":"ITEM-3","itemData":{"DOI":"10.1149/2.075212jes","ISBN":"00134651 (ISSN)","ISSN":"0013-4651","abstract":"Infiltration of a polymeric Ni oxide precursor into a sintered porous yttria-stabilized zirconia (YSZ) skeleton is a promising approach to achieve redox-stable solid oxide fuel cells. To ensure that the porous YSZ skeleton was mech. strong enough to withstand the stresses caused by the volumetric expansion of the Ni phase upon oxidn. even at relatively high loadings, a polymeric YSZ precursor was infiltrated into to the porous YSZ skeleton, prior to NiO infiltration. Infiltration of YSZ precursor strengthened the porous YSZ skeleton without compromising from the porosity or initial YSZ particle size significantly. The amt. of infiltrated YSZ and the subsequent heat-treatment temp. are important processing parameters in achieving redox stable Ni-YSZ anodes. Electrolyte supported SOFC (electrolyte thickness </w:instrText>
      </w:r>
      <w:r w:rsidR="00D80A5D">
        <w:rPr>
          <w:rFonts w:ascii="Cambria Math" w:hAnsi="Cambria Math" w:cs="Cambria Math"/>
          <w:i/>
        </w:rPr>
        <w:instrText>∼</w:instrText>
      </w:r>
      <w:r w:rsidR="00D80A5D">
        <w:rPr>
          <w:i/>
        </w:rPr>
        <w:instrText xml:space="preserve"> 180 </w:instrText>
      </w:r>
      <w:r w:rsidR="00D80A5D">
        <w:rPr>
          <w:rFonts w:ascii="Calibri" w:hAnsi="Calibri" w:cs="Calibri"/>
          <w:i/>
        </w:rPr>
        <w:instrText>μ</w:instrText>
      </w:r>
      <w:r w:rsidR="00D80A5D">
        <w:rPr>
          <w:i/>
        </w:rPr>
        <w:instrText xml:space="preserve">m) with redox stable anode prepd. by YSZ and NiO infiltrations showed a power d. of </w:instrText>
      </w:r>
      <w:r w:rsidR="00D80A5D">
        <w:rPr>
          <w:rFonts w:ascii="Cambria Math" w:hAnsi="Cambria Math" w:cs="Cambria Math"/>
          <w:i/>
        </w:rPr>
        <w:instrText>∼</w:instrText>
      </w:r>
      <w:r w:rsidR="00D80A5D">
        <w:rPr>
          <w:i/>
        </w:rPr>
        <w:instrText>0.41 W/cm2 at 800</w:instrText>
      </w:r>
      <w:r w:rsidR="00D80A5D">
        <w:rPr>
          <w:rFonts w:ascii="Calibri" w:hAnsi="Calibri" w:cs="Calibri"/>
          <w:i/>
        </w:rPr>
        <w:instrText>°</w:instrText>
      </w:r>
      <w:r w:rsidR="00D80A5D">
        <w:rPr>
          <w:i/>
        </w:rPr>
        <w:instrText xml:space="preserve"> which did not change significantly after 20 redox cycles in 10%H2 - 90% Ar fuel. Impedance spectroscopy measurements at 800° showed low electrode polarization resistances (anode + cathode </w:instrText>
      </w:r>
      <w:r w:rsidR="00D80A5D">
        <w:rPr>
          <w:rFonts w:ascii="Cambria Math" w:hAnsi="Cambria Math" w:cs="Cambria Math"/>
          <w:i/>
        </w:rPr>
        <w:instrText>∼</w:instrText>
      </w:r>
      <w:r w:rsidR="00D80A5D">
        <w:rPr>
          <w:i/>
        </w:rPr>
        <w:instrText xml:space="preserve">0.07 </w:instrText>
      </w:r>
      <w:r w:rsidR="00D80A5D">
        <w:rPr>
          <w:rFonts w:ascii="Calibri" w:hAnsi="Calibri" w:cs="Calibri"/>
          <w:i/>
        </w:rPr>
        <w:instrText>Ω</w:instrText>
      </w:r>
      <w:r w:rsidR="00D80A5D">
        <w:rPr>
          <w:i/>
        </w:rPr>
        <w:instrText xml:space="preserve"> cm2 at 800</w:instrText>
      </w:r>
      <w:r w:rsidR="00D80A5D">
        <w:rPr>
          <w:rFonts w:ascii="Calibri" w:hAnsi="Calibri" w:cs="Calibri"/>
          <w:i/>
        </w:rPr>
        <w:instrText>°</w:instrText>
      </w:r>
      <w:r w:rsidR="00D80A5D">
        <w:rPr>
          <w:i/>
        </w:rPr>
        <w:instrText>C) which remained stable upon redox cycling. [on SciFinder(R)]","author":[{"dropping-particle":"","family":"Buyukaksoy","given":"Aligul","non-dropping-particle":"","parse-names":false,"suffix":""},{"dropping-particle":"","family":"Petrovsky","given":"Vladimir","non-dropping-particle":"","parse-names":false,"suffix":""},{"dropping-particle":"","family":"Dogan","given":"Fatih","non-dropping-particle":"","parse-names":false,"suffix":""}],"container-title":"Journal of The Electrochemical Society","id":"ITEM-3","issue":"12","issued":{"date-parts":[["2012"]]},"language":"English","note":"Cited By :6\nExport Date: 20 January 2017\nCODEN: JESOA\nCorrespondence Address: Dogan, F.; Department of Materials Science and Engineering, Missouri University of Science and Technology, Rolla, MO 65409, United States; email: doganf@mst.edu\nReferences: McEvoy, A., (2003) High Temperature Solid Oxide Fuel Cells: Fundamentals, Design and Applications, p. 149. , 1st ed. , S. C. Singhal and K. Kendall, Elsevier Advanced Technology, Oxford; Zhu, W.Z., Deevi, S.C., (2003) Mat Sci Eng. A, 362, p. 288; Jiang, Y., Virkar, A.V., (2001) J. Electrochem. Soc., 148, pp. B706; Zhao, F., Virkar, A.V., (2005) J. Power Sources, 141, p. 79; Sarikaya, A., Petrovsky, V., Dogan, F., (2012) Int. J. Hydrogen Energ., 37, p. 11370; Anderson, H.U., Tietz, F., (2003) High Temperature Solid Oxide Fuel Cells: Fundamentals, Design and Applications, p. 183. , 1st ed. , S. C. Singhal and K. Kendall, Elsevier Advanced Technology, Oxford; Klemenso, T., Mogensen, M., (2007) J. Am. Ceram. Soc., 90, p. 3582; Pihlatie, M., Ramos, T., Kaiser, A., (2009) J. Power Sources, 193, p. 322; Laurencin, J., Delette, G., Sicardy, O., Rosini, S., (2010) J. Power Sources, 195, p. 2747; Sarantaridis, D., Atkinson, A., (2007) Fuel Cells, 7, p. 246; Faes, A., Nakajo, A., Dubois, D., Modena, S., Brisse, A., Van Herle, J., (2009) J. Power Sources, 193, p. 55; Blennow, P., Hansen, K.K., Wallenberg, L.R., Mogensen, M., (2009) Solid State Ionics, 180, p. 63; Smith, B.H., Holler, W.C., Gross, M.D., (2011) Solid State Ionics, 192, p. 383; Tao, S., Irvine, J.T.S., (2003) Nature Mater., 2, p. 320; Klemenso, T., Chung, C., Larsen, P.H., Mogensen, M., (2005) J. Electrochem. Soc., 152, pp. B2186; Fouquet, D., Muller, A.C., Weber, A., (2003) Ionics, 8, p. 103; Vohs, J.M., Gorte, R.J., (2009) Adv. Mater., 21, p. 943; Sholklapper, T.Z., Radmilovic, V., Jacobson, C.P., Visco, S.J., De Jonghe, L.C., (2007) Electrochem. Solid-State Lett., 10, pp. B74; Zhan, Z., Bierschenk, D.M., Cronin, J.S., Barnett, S.A., (2011) Energy Environ. Sci., 4, p. 3951; Petrovsky, V., Suzuki, T., Jasinski, P., Anderson, H.U., (2005) Electrochem. Solid-State Lett., 8, pp. A341; Busawon, A.N., Sarantaridis, D., Atkinson, A., (2008) Electrochem. Solid-State Lett., 11, pp. B186; Buyukaksoy, A., Petrovsky, V., Dogan, F., (2012) J. Electrochem. Soc, 159, pp. B232; Iwanschitz, B., Sfeir, J., Mai, A., Schutze, M., (2010) J. Electrochem. Soc., 157, pp. B269; Cassidy, M., Lindsay, G., Kendall, K., (1996) J. Power Sources, 61, p. 189; Malzbender, J., Steinbrech, R.W., (2007) J. Power Sources, 173, p. 60; Waldbillig, D., Wood, A., Ivey, D.G., (2005) Solid State Ionics, 176, p. 847; Waldbillig, D., Wood, A., Ivey, D.G., (2005) J. Electrochem. Soc., 154, pp. B133; Buyukaksoy, A., Petrovsky, V., Dogan, F., (2012) J. Electrochem. Soc., 159, pp. B666; Buyukaksoy, A., Petrovsky, V., Dogan, F., (2012) J. Electrochem. Soc., 159, pp. B68; Corbin, S.F., Apte, P.S., (1999) J. Am. Ceram. Soc., 87, p. 1693; Sarikaya, A., Dogan, F., Ceram. Int., , http://dx.doi.org/10.1016/j.ceramint.2012.06.041, in press; Jasinski, P., Petrovksy, V., Suzuki, T., Petrovsky, T., Anderson, H.U., (2005) J. Electrochem. Soc., 152, pp. A454; Robert, G., Kaiser, A., Batawi, E., (2004) 6th European Solid Oxide Fuel Cell Forum Proceedings, p. 193. , M. Mogensen, Editor, European Fuel Cell Forum, Oberrohrdorf, Switzerland","page":"F841-F848","title":"Optimization of Redox Stable Ni-YSZ Anodes for SOFCs by Two-Step Infiltration","type":"article-journal","volume":"159"},"uris":["http://www.mendeley.com/documents/?uuid=bcf56860-7965-47d1-90d5-884d3788d688"]}],"mendeley":{"formattedCitation":"[145], [152], [153]","plainTextFormattedCitation":"[145], [152], [153]","previouslyFormattedCitation":"[145], [152], [153]"},"properties":{"noteIndex":0},"schema":"https://github.com/citation-style-language/schema/raw/master/csl-citation.json"}</w:instrText>
      </w:r>
      <w:r>
        <w:rPr>
          <w:i/>
        </w:rPr>
        <w:fldChar w:fldCharType="separate"/>
      </w:r>
      <w:r w:rsidR="006C586A" w:rsidRPr="006C586A">
        <w:rPr>
          <w:noProof/>
        </w:rPr>
        <w:t>[145], [152], [153]</w:t>
      </w:r>
      <w:r>
        <w:rPr>
          <w:i/>
        </w:rPr>
        <w:fldChar w:fldCharType="end"/>
      </w:r>
      <w:r w:rsidRPr="002B6C9E">
        <w:t xml:space="preserve">. </w:t>
      </w:r>
    </w:p>
    <w:p w14:paraId="40BB3E2C" w14:textId="395EBC87" w:rsidR="00007F6C" w:rsidRPr="002B6C9E" w:rsidRDefault="00007F6C" w:rsidP="00007F6C">
      <w:pPr>
        <w:jc w:val="both"/>
      </w:pPr>
      <w:r w:rsidRPr="002A6B3F">
        <w:t>Jasinski et al</w:t>
      </w:r>
      <w:r w:rsidRPr="002B6C9E">
        <w:t xml:space="preserve"> compared the co-precipitation (CP) and infiltration production techniques to create Ni/YSZ cermets</w:t>
      </w:r>
      <w:r>
        <w:t xml:space="preserve"> </w:t>
      </w:r>
      <w:r>
        <w:fldChar w:fldCharType="begin" w:fldLock="1"/>
      </w:r>
      <w:r w:rsidR="00D80A5D">
        <w:instrText>ADDIN CSL_CITATION {"citationItems":[{"id":"ITEM-1","itemData":{"DOI":"10.1016/j.jpowsour.2010.03.050","ISBN":"03787753 (ISSN)","ISSN":"03787753","abstract":"Ceramic-metal composites (cermets) containing yttria-stabilized zirconia, YSZ, and Ni particles are commonly used as anode materials in solid oxide fuel cells. The long-term performance of fuel cells is strictly related to both the structural and electrical properties of anode materials. In order to achieve high mixed electrical conductivity and high activity of electrochemical reactions and hydrocarbon fuel reforming, it is necessary to select an appropriate chemical composition and a suitable method of preparation. Materials containing 8 mol% yttria-stabilized zirconia and Ni were prepared by means of two methods: co-precipitation and impregnation. The structure of the materials was characterized by means of X-ray diffraction (XRD), scanning electron microscopy (SEM) and porosity studies. The thermal expansion coefficient (TEC) was determined using the dilathometric method. Electrochemical impedance spectroscopy (EIS) and the Wagner polarization method were used to determine electrical conductivity and the electron transference numbers, respectively. © 2010 Elsevier B.V. All rights reserved.","author":[{"dropping-particle":"","family":"Jasinski","given":"M.","non-dropping-particle":"","parse-names":false,"suffix":""},{"dropping-particle":"","family":"Radecka","given":"M.","non-dropping-particle":"","parse-names":false,"suffix":""},{"dropping-particle":"","family":"Rekas","given":"M.","non-dropping-particle":"","parse-names":false,"suffix":""},{"dropping-particle":"","family":"Pasierb","given":"P.","non-dropping-particle":"","parse-names":false,"suffix":""},{"dropping-particle":"","family":"Haberko","given":"K.","non-dropping-particle":"","parse-names":false,"suffix":""}],"container-title":"Journal of Power Sources","id":"ITEM-1","issue":"17","issued":{"date-parts":[["2010"]]},"language":"English","note":"Cited By :19\nExport Date: 28 November 2016\nCODEN: JPSOD\nCorrespondence Address: Rekas, M.; AGH University of Science and Technology, Faculty of Materials Science and Ceramics, al.Mickiewicza 30, 30-059 Cracow, Poland; email: rekas@agh.edu.pl\nReferences: Minh, N.Q., Takahashi, T., (1995) Science and Technology of Ceramic Fuel Cells, , Elsevier, Amsterdam; Yano, M., Tomita, A., Sano, M., Hibino, T., (2007) Solid State Ionics, 177, p. 3351; Van Rij, L.N., Le, J., Van Landschoot, Schoonman, J., (2001) J. Mater. Sci., 36, p. 1069; Park, S., Craciun, R., Vohs, J.M., Gorte, J., (1999) J. Electrochem. Soc., 146, p. 3603; Iida, T., Kawano, M., Matsui, T., Kikuchi, R., Eguchi, K., (2007) J. Electrochem. Soc., 154, pp. B234; Sarantaridis, D., Atkinson, A., (2007) Fuel cells, 7, p. 246; Tsepis, E.V., Kharton, V.V., (2008) J. Solid State Electrochem., 12, p. 1039; Zhu, W.Z., Deevi, S.C., (2003) Mater. Sci. Eng. A, 362, p. 228; Nait-Ali, B., Haberko, K., Vesteghem, H., Absi, J., Smith, D.S., (2006) J. Eur. Ceram. Soc., 26, p. 3567; Abe, H., Moon, W.-J., Naito, M., (2006) Fuel Cells Bull., p. 12; Chen, Y.-Y., Wei, W.-Ch.J., (2006) Solid State Ionics, 177, p. 351; Liu, B., Zhang, Y., Tu, B., Dong, Y., Cheng, M., (2007) J. Power Sources, 165, p. 114; Lang, M., Auer, C., Eismann, A., Szabo, P., Wagner, N., (2008) Electrochim. Acta, 53, p. 7509; West, R.W., Tallan, N.M., (1965) J. Appl. Phys., 36, p. 543; Lee, J.-H., Heo, J.-W., Lee, D.-S., Kim, J., Kim, G.-H., Lee, H.-W., Song, H.S., Moon, J.-H., (2003) Solid State Ionics, 158, p. 225; Abe, H., Murata, K., Moon, W.-J., Kaneko, K., Nito, M., (2006) Fuel Cell Bull., p. 12; Minh, N.Q., (1993) J. Am. Ceram. Soc., 76, p. 563; Kim, S.-D., Moon, H., Hyun, S.-H., Moon, J., Kim, J., Lee, H.-W., (2007) Solid State Ionics, 178, p. 1304; Dees, D.W., Claar, T.D., Easler, T.E., Fee, D.C., Mrazek, F.C., (1987) J. Electrochem. Soc., 134, p. 2141; Childs, P.R.N., (2001) Practical Temperature Measurement, , Butterworth-Heinemann p. 172; Bruggeman, D.A.G., (1935) Ann. Phys., 24, p. 636; Baumard, J.F., Abelard, P., (1984) Science and Technology of Zirconia II, Advances in Ceramics, 12, pp. 557-571. , Claussen N., Rühle M., and Heuer A.H. (Eds), American Ceramic Society, Columbus; Pimenov, A., Ulrich, J., Lukenheimer, P., Loidl, A., Rüscher, C.H., (1998) Solid State Ionics, 109, p. 111; Gong, J., Li, Y., Zhang, Z., Tang, Z., (2000) J. Am. Ceram. Soc., 83, p. 648; Martin, M.C., Mecartney, M.L., (2003) Solid State Ionics, 171, p. 67; Wierzbicka, M., Pasierb, P., Rekas, M., (2007) Phys. B, 387, p. 302","page":"5527-5533","title":"Structural and electrical properties of Ni–YSZ cermet materials","type":"article-journal","volume":"195"},"uris":["http://www.mendeley.com/documents/?uuid=121e1dbd-2000-45dd-baca-b07c05b24380"]}],"mendeley":{"formattedCitation":"[154]","plainTextFormattedCitation":"[154]","previouslyFormattedCitation":"[154]"},"properties":{"noteIndex":0},"schema":"https://github.com/citation-style-language/schema/raw/master/csl-citation.json"}</w:instrText>
      </w:r>
      <w:r>
        <w:fldChar w:fldCharType="separate"/>
      </w:r>
      <w:r w:rsidR="006C586A" w:rsidRPr="006C586A">
        <w:rPr>
          <w:noProof/>
        </w:rPr>
        <w:t>[154]</w:t>
      </w:r>
      <w:r>
        <w:fldChar w:fldCharType="end"/>
      </w:r>
      <w:r w:rsidRPr="002B6C9E">
        <w:t>. The authors noted an 11</w:t>
      </w:r>
      <w:r>
        <w:t xml:space="preserve"> </w:t>
      </w:r>
      <w:r w:rsidRPr="002B6C9E">
        <w:t xml:space="preserve">% decrease in the thermal expansion coefficient in the wet impregnated samples in comparison with the CP samples. This could prove advantageous in the terms of mechanical strength in </w:t>
      </w:r>
      <w:r>
        <w:t>SOFC</w:t>
      </w:r>
      <w:r w:rsidRPr="002B6C9E">
        <w:t xml:space="preserve"> stack as the fuel electrode is less likely to expand and eventually damage the other components in contact with it. </w:t>
      </w:r>
    </w:p>
    <w:p w14:paraId="6A4CFD37" w14:textId="4F680B74" w:rsidR="00007F6C" w:rsidRPr="002B6C9E" w:rsidRDefault="00007F6C" w:rsidP="00007F6C">
      <w:pPr>
        <w:jc w:val="both"/>
      </w:pPr>
      <w:r w:rsidRPr="002B6C9E">
        <w:t xml:space="preserve">The resistivity values produced by </w:t>
      </w:r>
      <w:proofErr w:type="spellStart"/>
      <w:r w:rsidRPr="002B6C9E">
        <w:rPr>
          <w:i/>
          <w:iCs/>
        </w:rPr>
        <w:t>Haberko</w:t>
      </w:r>
      <w:proofErr w:type="spellEnd"/>
      <w:r w:rsidRPr="002B6C9E">
        <w:t xml:space="preserve"> support the use of infiltration as a production technique for Ni/YSZ cermets as the use of this technique reduces the amount of catalytic reagent required for similar if not improved functional properties</w:t>
      </w:r>
      <w:r>
        <w:t xml:space="preserve"> </w:t>
      </w:r>
      <w:r>
        <w:fldChar w:fldCharType="begin" w:fldLock="1"/>
      </w:r>
      <w:r w:rsidR="00D80A5D">
        <w:instrText>ADDIN CSL_CITATION {"citationItems":[{"id":"ITEM-1","itemData":{"DOI":"10.1016/j.jpowsour.2010.03.050","ISBN":"03787753 (ISSN)","ISSN":"03787753","abstract":"Ceramic-metal composites (cermets) containing yttria-stabilized zirconia, YSZ, and Ni particles are commonly used as anode materials in solid oxide fuel cells. The long-term performance of fuel cells is strictly related to both the structural and electrical properties of anode materials. In order to achieve high mixed electrical conductivity and high activity of electrochemical reactions and hydrocarbon fuel reforming, it is necessary to select an appropriate chemical composition and a suitable method of preparation. Materials containing 8 mol% yttria-stabilized zirconia and Ni were prepared by means of two methods: co-precipitation and impregnation. The structure of the materials was characterized by means of X-ray diffraction (XRD), scanning electron microscopy (SEM) and porosity studies. The thermal expansion coefficient (TEC) was determined using the dilathometric method. Electrochemical impedance spectroscopy (EIS) and the Wagner polarization method were used to determine electrical conductivity and the electron transference numbers, respectively. © 2010 Elsevier B.V. All rights reserved.","author":[{"dropping-particle":"","family":"Jasinski","given":"M.","non-dropping-particle":"","parse-names":false,"suffix":""},{"dropping-particle":"","family":"Radecka","given":"M.","non-dropping-particle":"","parse-names":false,"suffix":""},{"dropping-particle":"","family":"Rekas","given":"M.","non-dropping-particle":"","parse-names":false,"suffix":""},{"dropping-particle":"","family":"Pasierb","given":"P.","non-dropping-particle":"","parse-names":false,"suffix":""},{"dropping-particle":"","family":"Haberko","given":"K.","non-dropping-particle":"","parse-names":false,"suffix":""}],"container-title":"Journal of Power Sources","id":"ITEM-1","issue":"17","issued":{"date-parts":[["2010"]]},"language":"English","note":"Cited By :19\nExport Date: 28 November 2016\nCODEN: JPSOD\nCorrespondence Address: Rekas, M.; AGH University of Science and Technology, Faculty of Materials Science and Ceramics, al.Mickiewicza 30, 30-059 Cracow, Poland; email: rekas@agh.edu.pl\nReferences: Minh, N.Q., Takahashi, T., (1995) Science and Technology of Ceramic Fuel Cells, , Elsevier, Amsterdam; Yano, M., Tomita, A., Sano, M., Hibino, T., (2007) Solid State Ionics, 177, p. 3351; Van Rij, L.N., Le, J., Van Landschoot, Schoonman, J., (2001) J. Mater. Sci., 36, p. 1069; Park, S., Craciun, R., Vohs, J.M., Gorte, J., (1999) J. Electrochem. Soc., 146, p. 3603; Iida, T., Kawano, M., Matsui, T., Kikuchi, R., Eguchi, K., (2007) J. Electrochem. Soc., 154, pp. B234; Sarantaridis, D., Atkinson, A., (2007) Fuel cells, 7, p. 246; Tsepis, E.V., Kharton, V.V., (2008) J. Solid State Electrochem., 12, p. 1039; Zhu, W.Z., Deevi, S.C., (2003) Mater. Sci. Eng. A, 362, p. 228; Nait-Ali, B., Haberko, K., Vesteghem, H., Absi, J., Smith, D.S., (2006) J. Eur. Ceram. Soc., 26, p. 3567; Abe, H., Moon, W.-J., Naito, M., (2006) Fuel Cells Bull., p. 12; Chen, Y.-Y., Wei, W.-Ch.J., (2006) Solid State Ionics, 177, p. 351; Liu, B., Zhang, Y., Tu, B., Dong, Y., Cheng, M., (2007) J. Power Sources, 165, p. 114; Lang, M., Auer, C., Eismann, A., Szabo, P., Wagner, N., (2008) Electrochim. Acta, 53, p. 7509; West, R.W., Tallan, N.M., (1965) J. Appl. Phys., 36, p. 543; Lee, J.-H., Heo, J.-W., Lee, D.-S., Kim, J., Kim, G.-H., Lee, H.-W., Song, H.S., Moon, J.-H., (2003) Solid State Ionics, 158, p. 225; Abe, H., Murata, K., Moon, W.-J., Kaneko, K., Nito, M., (2006) Fuel Cell Bull., p. 12; Minh, N.Q., (1993) J. Am. Ceram. Soc., 76, p. 563; Kim, S.-D., Moon, H., Hyun, S.-H., Moon, J., Kim, J., Lee, H.-W., (2007) Solid State Ionics, 178, p. 1304; Dees, D.W., Claar, T.D., Easler, T.E., Fee, D.C., Mrazek, F.C., (1987) J. Electrochem. Soc., 134, p. 2141; Childs, P.R.N., (2001) Practical Temperature Measurement, , Butterworth-Heinemann p. 172; Bruggeman, D.A.G., (1935) Ann. Phys., 24, p. 636; Baumard, J.F., Abelard, P., (1984) Science and Technology of Zirconia II, Advances in Ceramics, 12, pp. 557-571. , Claussen N., Rühle M., and Heuer A.H. (Eds), American Ceramic Society, Columbus; Pimenov, A., Ulrich, J., Lukenheimer, P., Loidl, A., Rüscher, C.H., (1998) Solid State Ionics, 109, p. 111; Gong, J., Li, Y., Zhang, Z., Tang, Z., (2000) J. Am. Ceram. Soc., 83, p. 648; Martin, M.C., Mecartney, M.L., (2003) Solid State Ionics, 171, p. 67; Wierzbicka, M., Pasierb, P., Rekas, M., (2007) Phys. B, 387, p. 302","page":"5527-5533","title":"Structural and electrical properties of Ni–YSZ cermet materials","type":"article-journal","volume":"195"},"uris":["http://www.mendeley.com/documents/?uuid=121e1dbd-2000-45dd-baca-b07c05b24380"]}],"mendeley":{"formattedCitation":"[154]","plainTextFormattedCitation":"[154]","previouslyFormattedCitation":"[154]"},"properties":{"noteIndex":0},"schema":"https://github.com/citation-style-language/schema/raw/master/csl-citation.json"}</w:instrText>
      </w:r>
      <w:r>
        <w:fldChar w:fldCharType="separate"/>
      </w:r>
      <w:r w:rsidR="006C586A" w:rsidRPr="006C586A">
        <w:rPr>
          <w:noProof/>
        </w:rPr>
        <w:t>[154]</w:t>
      </w:r>
      <w:r>
        <w:fldChar w:fldCharType="end"/>
      </w:r>
      <w:r w:rsidRPr="002B6C9E">
        <w:t xml:space="preserve">. This inferred that at lower catalyst loadings the final microstructure is more impactful than the overall chemical constitution of the anode. </w:t>
      </w:r>
    </w:p>
    <w:p w14:paraId="269B2204" w14:textId="681DAE11" w:rsidR="00007F6C" w:rsidRPr="002B6C9E" w:rsidRDefault="00007F6C" w:rsidP="00007F6C">
      <w:pPr>
        <w:jc w:val="both"/>
      </w:pPr>
      <w:r w:rsidRPr="002B6C9E">
        <w:t>As a fabrication technique which is relatively immature in comparison with convention ceramic processing ion implantation (infiltration) is known to be extremely time consuming. This is due to the repetition of multiple injection and drying steps to generate an acceptable amount of infiltrate loading on the being too low</w:t>
      </w:r>
      <w:r>
        <w:rPr>
          <w:iCs/>
        </w:rPr>
        <w:t xml:space="preserve">. </w:t>
      </w:r>
      <w:proofErr w:type="spellStart"/>
      <w:r w:rsidRPr="002A6B3F">
        <w:rPr>
          <w:iCs/>
        </w:rPr>
        <w:t>Busawon</w:t>
      </w:r>
      <w:proofErr w:type="spellEnd"/>
      <w:r w:rsidRPr="002B6C9E">
        <w:rPr>
          <w:i/>
        </w:rPr>
        <w:t xml:space="preserve"> </w:t>
      </w:r>
      <w:r w:rsidRPr="002B6C9E">
        <w:t xml:space="preserve">also noted that the nickel catalyst particles were likely to be susceptible to isothermal </w:t>
      </w:r>
      <w:r w:rsidRPr="005001CE">
        <w:t>degradation</w:t>
      </w:r>
      <w:r>
        <w:t xml:space="preserve"> </w:t>
      </w:r>
      <w:r w:rsidRPr="005001CE">
        <w:fldChar w:fldCharType="begin" w:fldLock="1"/>
      </w:r>
      <w:r w:rsidR="00D80A5D">
        <w:instrText>ADDIN CSL_CITATION {"citationItems":[{"id":"ITEM-1","itemData":{"DOI":"10.1149/1.2959078","ISBN":"1099-0062","ISSN":"10990062","abstract":"In the present paper the use of Ni infiltration into preformed porous yttria-stabilized zirconia structures is investigated as a possible solution to the redox problem of Ni-based solid oxide fuel cell (SOFC) anodes and anode supports. It is shown that cermets containing 12-16 wt % Ni prepared by infiltration exhibited a conductivity above 300 S cm(-1) at room temperature, which dropped by 20% after one redox cycle, but was not accompanied by bulk dimensional changes. The dimensional stability is attributed to the properties of the microstructure that is produced by infiltration. (C) 2008 The Electrochemical Society.","author":[{"dropping-particle":"","family":"Busawon","given":"A. N.","non-dropping-particle":"","parse-names":false,"suffix":""},{"dropping-particle":"","family":"Sarantaridis","given":"D.","non-dropping-particle":"","parse-names":false,"suffix":""},{"dropping-particle":"","family":"Atkinson","given":"A.","non-dropping-particle":"","parse-names":false,"suffix":""}],"container-title":"Electrochemical and Solid-State Letters","id":"ITEM-1","issue":"10","issued":{"date-parts":[["2008"]]},"language":"English","note":"Cited By :55\nExport Date: 23 November 2016\nCODEN: ESLEF\nCorrespondence Address: Busawon, A. N.; Department of Materials, Imperial College London, London SW7 2AZ, United Kingdom\nReferences: Williams, M.C., (2007) Fuel Cells, 7, p. 78; Singh, P., Minh, N.Q., (2004) Int. J. Appl. Ceram. Technol., 1, p. 5; Sarantaridis, D., Atkinson, A., (2007) Fuel Cells, 7, p. 246; Wood, A., Pastula, M., Waldbillig, D., Ivey, D.G., (2006) J. Electrochem. Soc., 153, p. 1929; Tao, S., Irvine, J.T.S., (2003) Nat. Mater., 2, p. 320; Plint, S.M., Connor, P.A., Tao, S., Irvine, J.T.S., (2006) Solid State Ionics, 177, p. 2005; Armstrong, T.R., Stevenson, J.W., Pederson, L.R., Raney, P.E., (1996) J. Electrochem. Soc., 143, p. 2919; Tietz, F., Fu, Q., Haanappel, V.A.C., Mai, A., Menzler, N.H., Uhlenbruck, S., (2007) Int. J. Appl. Ceram. Technol., 4, p. 436; Hashimoto, S., Poulsen, F.W., Mogensen, M., (2007) J. Alloys Compd., 439, p. 232; Waldbillig, D., Wood, A., Ivey, D.G., (2007) J. Electrochem. Soc., 154, p. 133; Gorte, R.J., Park, S., Vohs, J.M., Wang, C., (2000) Adv. Mater. (Weinheim, Ger.), 12, p. 1465; Craciun, R., Park, S., Gorte, R.J., Vohs, J.M., Wang, C., Worrell, W.L., (1999) J. Electrochem. Soc., 146, p. 4019; Qiao, J., Sun, K., Zhang, N., Sun, B., Kong, J., Zhou, D., (2007) J. Power Sources, 169, p. 253; Fu, Q., Tietz, F., Sebold, D., Tao, S., Irvine, J.T.S., (2007) J. Power Sources, 171, p. 663; Tucker, M.C., Lau, G.Y., Jacobson, C.P., Dejonghe, L.C., Visco, S.J., (2008) J. Power Sources, 175, p. 447; Jia, L., Lu, Z., Miao, J., Liu, Z., Li, G., Su, W., (2006) J. Alloys Compd., 414, p. 152; Corbin, S.F., Zhao-Jie, X., Henein, H., Apte, P.S., (1999) Mater. Sci. Eng., A, 262, p. 192; Park, S., Gorte, R.J., Vohs, J.M., (2001) J. Electrochem. Soc., 148, p. 443; Mori, M., Yamamoto, T., Itoh, H., Inaba, H., Tagawa, H., (1998) J. Electrochem. Soc., 145, p. 1374; Wei, X., Atkinson, A., (2005) J. Electrochem. Soc., 152, p. 513; Atkinson, A., Barnett, S., Gorte, R.J., Irvine, J.T.S., McEvoy, A.J., Mogensen, M., Singhal, S.C., Vohs, J., (2004) Nat. Mater., 3, p. 17; Jiang, S.P., Chan, S.H., (2004) J. Mater. Sci., 39, p. 4405; Mantzouris, X., Zouvelou, N., Skarmoutsos, D., Nikolopoulos, P., Tietz, F., (2005) J. Mater. Sci., 40, p. 2471; Skarmoutsos, D., Nikolopoulos, P., Tietz, F., Vinke, I.C., (2004) Solid State Ionics, 170, p. 153; Sarantaridis, D., Chater, R.J., Atkinson, A., (2008) J. Electrochem. Soc., 155, p. 467","page":"B186","title":"Ni Infiltration as a Possible Solution to the Redox Problem of SOFC Anodes","type":"article-journal","volume":"11"},"uris":["http://www.mendeley.com/documents/?uuid=11a3f39d-3f44-49ca-a684-baa07f03c36a"]}],"mendeley":{"formattedCitation":"[155]","plainTextFormattedCitation":"[155]","previouslyFormattedCitation":"[155]"},"properties":{"noteIndex":0},"schema":"https://github.com/citation-style-language/schema/raw/master/csl-citation.json"}</w:instrText>
      </w:r>
      <w:r w:rsidRPr="005001CE">
        <w:fldChar w:fldCharType="separate"/>
      </w:r>
      <w:r w:rsidR="006C586A" w:rsidRPr="006C586A">
        <w:rPr>
          <w:noProof/>
        </w:rPr>
        <w:t>[155]</w:t>
      </w:r>
      <w:r w:rsidRPr="005001CE">
        <w:fldChar w:fldCharType="end"/>
      </w:r>
      <w:r w:rsidRPr="005001CE">
        <w:t>. This assertion is explored further in Section 2.3.2.</w:t>
      </w:r>
      <w:r w:rsidRPr="002B6C9E">
        <w:t xml:space="preserve"> </w:t>
      </w:r>
    </w:p>
    <w:p w14:paraId="2874B0AC" w14:textId="612DBF0D" w:rsidR="00007F6C" w:rsidRPr="002B6C9E" w:rsidRDefault="00007F6C" w:rsidP="00007F6C">
      <w:pPr>
        <w:jc w:val="both"/>
      </w:pPr>
      <w:r w:rsidRPr="002B6C9E">
        <w:t>As nickel metal ions travel through the porous anode structure there will be a limit to how many ions can be incorporated in the cermet arrangement. It has been found that the percolation limits of a 1µm nickel powder is 30</w:t>
      </w:r>
      <w:r>
        <w:t xml:space="preserve"> vol % </w:t>
      </w:r>
      <w:r>
        <w:fldChar w:fldCharType="begin" w:fldLock="1"/>
      </w:r>
      <w:r w:rsidR="00D80A5D">
        <w:instrText>ADDIN CSL_CITATION {"citationItems":[{"id":"ITEM-1","itemData":{"DOI":"10.1146/annurev-chembioeng-061010-114148","ISSN":"1947-5438","abstract":"Solid oxide fuel cells (SOFCs) and solid oxide electrolyzers (SOEs) hold much promise as highly efficient devices for the direct interconversion of chemical and electrical energy. Commercial application of these devices, however, requires further improvements in their performance and stability. Because the performance of SOFC and SOE electrodes depends on their microstructures, electronic and ionic conductivities, and chemical reactivities, the needed improvements require the expertise of various disciplines, with catalytic science playing an important role. Highly active and thermally stable catalysts are required to limit the internal losses in the devices, increase the range of fuels they can use, and decrease the temperatures at which they operate. In this article we review some of the most important recent advances in catalysis for SOFC and SOE electrodes and highlight additional improvements that are needed. © Copyright 2011 by Annual Reviews. All rights reserved.","author":[{"dropping-particle":"","family":"Gorte","given":"R.J.","non-dropping-particle":"","parse-names":false,"suffix":""},{"dropping-particle":"","family":"Vohs","given":"J.M.","non-dropping-particle":"","parse-names":false,"suffix":""}],"container-title":"Annual Review of Chemical and Biomolecular Engineering","id":"ITEM-1","issue":"1","issued":{"date-parts":[["2011"]]},"page":"9-30","title":"Catalysis in Solid Oxide Fuel Cells","type":"article-journal","volume":"2"},"uris":["http://www.mendeley.com/documents/?uuid=6134f39b-1b90-4e14-a200-218e554712bb"]},{"id":"ITEM-2","itemData":{"DOI":"10.1016/j.rser.2013.09.025","ISSN":"13640321","abstract":"Progress always requires energy. Up today, the energy needs have been provided by combustion of fossil fuels and this has increased the air pollution and the emission of greenhouse gasses. Consequently, the greenhouse emission problem could represents a concrete opportunity to promote the high-efficiency design of conventional plants, but also a new approach to energy systems and the consequent dissemination of advanced technologies. One of the most promising energy conversion technology is the fuel cell because it is an electrochemical device in which the chemical energy is directly converted into electrical energy, with low environmental impact. In this paper the losses of the fuel cells has been analysed. © 2013 Elsevier Ltd.","author":[{"dropping-particle":"","family":"Lucia","given":"Umberto","non-dropping-particle":"","parse-names":false,"suffix":""}],"container-title":"Renewable and Sustainable Energy Reviews","id":"ITEM-2","issued":{"date-parts":[["2014"]]},"page":"164-169","publisher":"Elsevier","title":"Overview on fuel cells","type":"article-journal","volume":"30"},"uris":["http://www.mendeley.com/documents/?uuid=466caeee-db29-466b-99e2-285b75052e45"]}],"mendeley":{"formattedCitation":"[83], [156]","plainTextFormattedCitation":"[83], [156]","previouslyFormattedCitation":"[83], [156]"},"properties":{"noteIndex":0},"schema":"https://github.com/citation-style-language/schema/raw/master/csl-citation.json"}</w:instrText>
      </w:r>
      <w:r>
        <w:fldChar w:fldCharType="separate"/>
      </w:r>
      <w:r w:rsidR="006C586A" w:rsidRPr="006C586A">
        <w:rPr>
          <w:noProof/>
        </w:rPr>
        <w:t>[83], [156]</w:t>
      </w:r>
      <w:r>
        <w:fldChar w:fldCharType="end"/>
      </w:r>
      <w:r w:rsidRPr="002B6C9E">
        <w:t>.  For infiltrated nickel ions, which are nm in scale, the percolation limit is smaller at 9</w:t>
      </w:r>
      <w:r>
        <w:t xml:space="preserve"> vol %</w:t>
      </w:r>
      <w:r w:rsidRPr="002B6C9E">
        <w:t xml:space="preserve">.  </w:t>
      </w:r>
      <w:proofErr w:type="spellStart"/>
      <w:r w:rsidRPr="002A6B3F">
        <w:t>Busawon’s</w:t>
      </w:r>
      <w:proofErr w:type="spellEnd"/>
      <w:r w:rsidRPr="002A6B3F">
        <w:t xml:space="preserve"> findings that infiltrated nickel appeared to improve the redox stability of the anode was postulated by </w:t>
      </w:r>
      <w:proofErr w:type="spellStart"/>
      <w:r w:rsidRPr="002A6B3F">
        <w:t>Klemensø</w:t>
      </w:r>
      <w:proofErr w:type="spellEnd"/>
      <w:r w:rsidRPr="002B6C9E">
        <w:rPr>
          <w:i/>
          <w:iCs/>
        </w:rPr>
        <w:t xml:space="preserve"> </w:t>
      </w:r>
      <w:r w:rsidRPr="002B6C9E">
        <w:t>to be down this effect</w:t>
      </w:r>
      <w:r>
        <w:t xml:space="preserve"> </w:t>
      </w:r>
      <w:r>
        <w:fldChar w:fldCharType="begin" w:fldLock="1"/>
      </w:r>
      <w:r w:rsidR="00D80A5D">
        <w:instrText>ADDIN CSL_CITATION {"citationItems":[{"id":"ITEM-1","itemData":{"DOI":"10.1149/1.2433311","ISBN":"0013-4651","ISSN":"00134651","abstract":"Anode-supported thin electrolyte cells are studied by electrochemical impedance spectroscopy ?EIS?. The aim is to describe how the losses of this type of cells are distributed at low current density ?around open-circuit voltage? as a function of temperature. An equivalent circuit consisting of an inductance, a serial resistance ?Rs?, and five arcs to describe the polarization resistance is suggested. This equivalent circuit is based on previous studies of single electrodes in three-electrode and two-electrode symmetric cell setups. The equivalent circuit components have been assigned to the electrode processes, and the assignments were verified by extensive full cell studies in which the partial pressure of reactant gases on both the electrodes as well as temperature was systematically varied with the aim to identify frequency regions which are dominated by an electrode specific process. Further- more, the model is applied on a good performing cell with area specific resistance ?ASR? = 0.15 ? cm2 at 850°C and a poor performing cell with ASR = 0.29 ? cm2 at the same temperature. Both cells were fabricated using nominally the same procedure. The EIS analysis indicated that the difference in performance originates from microstructural differences on the cathode. This is further supported by the observation of large differences in the cathode microstructure by scanning electron microscope.","author":[{"dropping-particle":"","family":"Klemenso̸","given":"Trine","non-dropping-particle":"","parse-names":false,"suffix":""},{"dropping-particle":"","family":"Liu","given":"Yi-Lin","non-dropping-particle":"","parse-names":false,"suffix":""},{"dropping-particle":"","family":"Mogensen","given":"Mogens","non-dropping-particle":"","parse-names":false,"suffix":""},{"dropping-particle":"","family":"Vang Hendriksen","given":"Peter","non-dropping-particle":"","parse-names":false,"suffix":""},{"dropping-particle":"","family":"Hagen","given":"Anke","non-dropping-particle":"","parse-names":false,"suffix":""},{"dropping-particle":"","family":"Barfod","given":"Rasmus","non-dropping-particle":"","parse-names":false,"suffix":""}],"container-title":"Journal of The Electrochemical Society","id":"ITEM-1","issue":"4","issued":{"date-parts":[["2007"]]},"page":"B371","title":"Detailed Characterization of Anode-Supported SOFCs by Impedance Spectroscopy","type":"article-journal","volume":"154"},"uris":["http://www.mendeley.com/documents/?uuid=cef14d1e-e3a0-4238-ae3e-20f35bee3720"]},{"id":"ITEM-2","itemData":{"DOI":"10.1149/1.2959078","ISBN":"1099-0062","ISSN":"10990062","abstract":"In the present paper the use of Ni infiltration into preformed porous yttria-stabilized zirconia structures is investigated as a possible solution to the redox problem of Ni-based solid oxide fuel cell (SOFC) anodes and anode supports. It is shown that cermets containing 12-16 wt % Ni prepared by infiltration exhibited a conductivity above 300 S cm(-1) at room temperature, which dropped by 20% after one redox cycle, but was not accompanied by bulk dimensional changes. The dimensional stability is attributed to the properties of the microstructure that is produced by infiltration. (C) 2008 The Electrochemical Society.","author":[{"dropping-particle":"","family":"Busawon","given":"A. N.","non-dropping-particle":"","parse-names":false,"suffix":""},{"dropping-particle":"","family":"Sarantaridis","given":"D.","non-dropping-particle":"","parse-names":false,"suffix":""},{"dropping-particle":"","family":"Atkinson","given":"A.","non-dropping-particle":"","parse-names":false,"suffix":""}],"container-title":"Electrochemical and Solid-State Letters","id":"ITEM-2","issue":"10","issued":{"date-parts":[["2008"]]},"page":"B186","title":"Ni Infiltration as a Possible Solution to the Redox Problem of SOFC Anodes","type":"article-journal","volume":"11"},"uris":["http://www.mendeley.com/documents/?uuid=5c3ffb66-655e-436a-9f9f-f6ac1f99435c"]}],"mendeley":{"formattedCitation":"[157], [158]","plainTextFormattedCitation":"[157], [158]","previouslyFormattedCitation":"[157], [158]"},"properties":{"noteIndex":0},"schema":"https://github.com/citation-style-language/schema/raw/master/csl-citation.json"}</w:instrText>
      </w:r>
      <w:r>
        <w:fldChar w:fldCharType="separate"/>
      </w:r>
      <w:r w:rsidR="006C586A" w:rsidRPr="006C586A">
        <w:rPr>
          <w:noProof/>
        </w:rPr>
        <w:t>[157], [158]</w:t>
      </w:r>
      <w:r>
        <w:fldChar w:fldCharType="end"/>
      </w:r>
      <w:r w:rsidRPr="002B6C9E">
        <w:t>.</w:t>
      </w:r>
      <w:r w:rsidRPr="002B6C9E">
        <w:rPr>
          <w:i/>
          <w:iCs/>
        </w:rPr>
        <w:t xml:space="preserve"> </w:t>
      </w:r>
    </w:p>
    <w:p w14:paraId="1FAA7953" w14:textId="77777777" w:rsidR="00007F6C" w:rsidRDefault="00007F6C" w:rsidP="00007F6C">
      <w:pPr>
        <w:jc w:val="both"/>
      </w:pPr>
      <w:r>
        <w:t>These studies</w:t>
      </w:r>
      <w:r w:rsidRPr="002B6C9E">
        <w:t xml:space="preserve"> und</w:t>
      </w:r>
      <w:r>
        <w:t>erline</w:t>
      </w:r>
      <w:r w:rsidRPr="002B6C9E">
        <w:t xml:space="preserve"> the importance of</w:t>
      </w:r>
      <w:r>
        <w:t xml:space="preserve"> using characterisation techniques</w:t>
      </w:r>
      <w:r w:rsidRPr="002B6C9E">
        <w:t xml:space="preserve"> to help identify the microstructural effect of impregnating the scaffold with nickel metal catalysts. </w:t>
      </w:r>
      <w:r w:rsidRPr="00493CDB">
        <w:t>As infiltrated electrodes have the potential to be more stable than other anode production routes.</w:t>
      </w:r>
    </w:p>
    <w:p w14:paraId="69FD1986" w14:textId="77777777" w:rsidR="00007F6C" w:rsidRPr="002B6C9E" w:rsidRDefault="00007F6C" w:rsidP="004B726A">
      <w:pPr>
        <w:pStyle w:val="Heading2"/>
      </w:pPr>
      <w:bookmarkStart w:id="63" w:name="_Toc69129366"/>
      <w:r>
        <w:t>2.3</w:t>
      </w:r>
      <w:r>
        <w:tab/>
      </w:r>
      <w:r w:rsidRPr="002B6C9E">
        <w:t>Mechanisms of Degradation</w:t>
      </w:r>
      <w:bookmarkEnd w:id="59"/>
      <w:bookmarkEnd w:id="63"/>
    </w:p>
    <w:p w14:paraId="2DC9289C" w14:textId="77777777" w:rsidR="00007F6C" w:rsidRDefault="00007F6C" w:rsidP="004B726A">
      <w:pPr>
        <w:jc w:val="both"/>
      </w:pPr>
      <w:r>
        <w:t xml:space="preserve">To understand the breakdown of the infiltrated SOFC anodes, the microstructural and electrochemical changes during both production and operation must be fully understood. </w:t>
      </w:r>
      <w:r w:rsidRPr="00B27434">
        <w:t xml:space="preserve">For the wet impregnation of catalytic NPs this section of the literature review examines the various stability problems exhibited by Ni-YSZ anodes. </w:t>
      </w:r>
    </w:p>
    <w:p w14:paraId="1927B6FA" w14:textId="77777777" w:rsidR="00007F6C" w:rsidRPr="002B6C9E" w:rsidRDefault="00007F6C" w:rsidP="004B726A">
      <w:pPr>
        <w:pStyle w:val="Heading3"/>
      </w:pPr>
      <w:bookmarkStart w:id="64" w:name="_Toc474489929"/>
      <w:bookmarkStart w:id="65" w:name="_Toc69129367"/>
      <w:r>
        <w:t>2.3.1</w:t>
      </w:r>
      <w:r>
        <w:tab/>
        <w:t xml:space="preserve">Electrode Fabrication: Precursor and </w:t>
      </w:r>
      <w:r w:rsidRPr="002B6C9E">
        <w:t>Infiltrate decomposition</w:t>
      </w:r>
      <w:bookmarkEnd w:id="64"/>
      <w:bookmarkEnd w:id="65"/>
    </w:p>
    <w:p w14:paraId="23A3412E" w14:textId="296C25C7" w:rsidR="00007F6C" w:rsidRPr="000E44EE" w:rsidRDefault="00007F6C" w:rsidP="004B726A">
      <w:pPr>
        <w:jc w:val="both"/>
      </w:pPr>
      <w:r>
        <w:t xml:space="preserve">One of the major gaps in the wet impregnated SOFC electrode literature that has not been widely investigated is the mechanism of infiltrate decomposition and its impact on the catalyst distribution. The infiltration electrode processing technique is a batch process with several repeated steps revolving around the decoration of the metal catalysts on the porous scaffold (See </w:t>
      </w:r>
      <w:r>
        <w:fldChar w:fldCharType="begin"/>
      </w:r>
      <w:r>
        <w:instrText xml:space="preserve"> REF _Ref23778087 \h  \* MERGEFORMAT </w:instrText>
      </w:r>
      <w:r>
        <w:fldChar w:fldCharType="separate"/>
      </w:r>
      <w:r w:rsidRPr="00C103C3">
        <w:t xml:space="preserve">Figure </w:t>
      </w:r>
      <w:r w:rsidRPr="00C103C3">
        <w:rPr>
          <w:noProof/>
        </w:rPr>
        <w:t>2.4</w:t>
      </w:r>
      <w:r>
        <w:fldChar w:fldCharType="end"/>
      </w:r>
      <w:r w:rsidRPr="000E44EE">
        <w:t xml:space="preserve">) </w:t>
      </w:r>
      <w:r w:rsidRPr="000E44EE">
        <w:fldChar w:fldCharType="begin" w:fldLock="1"/>
      </w:r>
      <w:r w:rsidR="00D80A5D">
        <w:instrText>ADDIN CSL_CITATION {"citationItems":[{"id":"ITEM-1","itemData":{"DOI":"10.1016/j.msea.2005.11.052","ISBN":"0921-5093","ISSN":"09215093","abstract":"Development of solid oxide fuel cells (SOFC) for operation at intermediate temperatures of 600-800 °C with hydrocarbon fuels requires a cathode and anode with high electrocatalytic activity for O2 reduction and direct oxidation of hydrocarbon fuels, respectively. Wet impregnation is a well known method in the development of heterogeneous catalysts. Surprisingly, very few have concentrated on the application of the wet impregnation technique to deposit nano-sized particles into the established electrode structure of the SOFC. This paper reviews and discusses the progress in the application of the wet impregnation technique in the development of Ni-free Cu-based composite anodes, doped CeO2-impregnated (La, Sr)MnO3 (LSM) cathodes and Ni anodes, Co3O4-infiltrated cathodes and precious metal-impregnated electrodes. Enhancement in the electrode microstructure and cell performance is substantial, showing the great potential of the wet impregnation method in the development of high performance and nano-structured electrodes with specific functions. However, the long-term stability of the impregnated electrode structure needs to be addressed. © 2005 Elsevier B.V. All rights reserved.","author":[{"dropping-particle":"","family":"Jiang","given":"San Ping","non-dropping-particle":"","parse-names":false,"suffix":""}],"container-title":"Materials Science and Engineering A","id":"ITEM-1","issue":"1-2","issued":{"date-parts":[["2006"]]},"page":"199-210","title":"A review of wet impregnation - An alternative method for the fabrication of high performance and nano-structured electrodes of solid oxide fuel cells","type":"article-journal","volume":"418"},"uris":["http://www.mendeley.com/documents/?uuid=501050cf-6544-4c86-9a97-96825a9515d5"]},{"id":"ITEM-2","itemData":{"DOI":"10.1002/adma.200802428","ISSN":"09359648","abstract":"Improved cathodes are required for low-temperature operation of solid-oxide fuel cells (SOFCs). Recent work has shown that electrode fabrication and modification by infiltration of active components into a porous scaffold can result in outstanding electrochemical performance. In this paper we review the literature on this new approach for cathode preparation and discuss the insights that this work has provided for understanding the relationships between the materials properties, electrochemical performance, and electrode stability. © 2009 WILEY-VCH Verlag GmbH &amp; Co. KGaA.","author":[{"dropping-particle":"","family":"Vohs","given":"John M.","non-dropping-particle":"","parse-names":false,"suffix":""},{"dropping-particle":"","family":"Gorte","given":"Raymond J.","non-dropping-particle":"","parse-names":false,"suffix":""}],"container-title":"Advanced Materials","id":"ITEM-2","issue":"9","issued":{"date-parts":[["2009"]]},"page":"943-956","title":"High-performance SOFC cathodes prepared by infiltration","type":"article-journal","volume":"21"},"uris":["http://www.mendeley.com/documents/?uuid=ecf969a3-9365-4bd9-98a3-89b00ee1e044"]},{"id":"ITEM-3","itemData":{"DOI":"10.1149/1.2895009","ISBN":"10990062 (ISSN)","ISSN":"10990062","abstract":"A theoretical model is proposed to estimate the length of three-phase boundary (TPB) of ion-impregnation-derived solid oxide fuel cell (SOFC) electrodes, which have experimentally shown considerable advantages in performance when compared with standard composite electrodes such as Ni-yttria-stabilized zirconia (YSZ) and (La,Sr)MnO3-YSZ. The electrode is modeled as a sphere-packed framework whose surface is coated with second-phase nanoscale particles. Compared with the composite electrodes, the impregnated electrodes show great enhancement in TPB length, theoretically indicating the feasibility of achieving highly electrochemically active electrodes by means of ion impregnation.","author":[{"dropping-particle":"","family":"Zhu","given":"Wei","non-dropping-particle":"","parse-names":false,"suffix":""},{"dropping-particle":"","family":"Ding","given":"Dong","non-dropping-particle":"","parse-names":false,"suffix":""},{"dropping-particle":"","family":"Xia","given":"Changrong","non-dropping-particle":"","parse-names":false,"suffix":""}],"container-title":"Electrochemical and Solid-State Letters","id":"ITEM-3","issue":"6","issued":{"date-parts":[["2008"]]},"language":"English","note":"From Duplicate 2 (Enhancement in Three-Phase Boundary of SOFC Electrodes by an Ion Impregnation Method: A Modeling Comparison - Zhu, Wei; Ding, Dong; Xia, Changrong)\n\nCited By :61\nExport Date: 13 December 2016\nCODEN: ESLEF\nCorrespondence Address: Zhu, W.; Department of Electrical and Computer Engineering, FAMU-FSU College of Engineering, Tallahassee, FL 32310, United States\nReferences: Minh, N.Q., (1993) J. Am. Ceram. Soc., 76, p. 563. , JACTAW 0002-7820 10.1111/j.1151-2916.1993.tb03645.x; De Boer, B., Gonzalez, M., Bouwmeester, H.J.M., Verweij, H., (2000) Solid State Ionics, 127, p. 269. , SSIOD3 0167-2738 10.1016/S0167-2738(99)00299-4; Bieberle, A., Meier, L.P., Gauckler, L.J., (2001) J. Electrochem. Soc., 148, p. 646. , JESOAN 0013-4651 10.1149/1.1372219; Vanheuveln, F.H., Bouwmeester, H.J.M., Vanberkel, F.P.F., (1997) J. Electrochem. Soc., 144, p. 126. , JESOAN 0013-4651 10.1149/1.1837374; Horita, T., Yamaji, K., Sakai, N., Xiong, X.P., Kato, T., Yokokawa, H., Kawada, T., (2002) J. Power Sources, 106, p. 224. , JPSODZ 0378-7753 10.1016/S0378-7753(01)01017-5; Deseure, J., Bultel, Y., Dessemond, L., Siebert, E., (2005) Electrochim. Acta, 50, p. 2037. , ELCAAV 0013-4686 10.1016/j.electacta.2004.09.012; Tanner, C.W., Fung, K.Z., Virkar, A.V., (1997) J. Electrochem. Soc., 144, p. 21. , JESOAN 0013-4651 10.1149/1.1837360; Chan, S.H., Xia, Z.T., (2001) J. Electrochem. Soc., 148, p. 388. , JESOAN 0013-4651 10.1149/1.1357174; Fukui, T., Ohara, S., Naito, M., Nogi, K., (2001) J. Nanopart. Res., 3, p. 171. , JNARFA 1388-0764; Mamak, M., Metraux, G.S., Petrov, S., Coombs, N., Ozin, G.A., Green, M.A., (2003) J. Am. Chem. Soc., 125, p. 5161. , JACSAT 0002-7863 10.1021/ja027881; Lee, D.S., Lee, J.H., Kim, J., Lee, H.W., Song, H.S., (2004) Solid State Ionics, 166, p. 13. , SSIOD3 0167-2738 10.1016/j.ssi.2003.10.003; Esposito, V., De Florio, D.Z., Fonseca, F.C., Muccillo, E.N.S., Muccillo, R., Traversa, E., (2005) J. Eur. Ceram. Soc., 25, p. 2637. , JECSER 0955-2219 10.1016/j.jeurceramsoc.2005.03.116; Lu, C., Sholklapper, T.Z., Jacobson, C.P., Visco, S.J., De Jonghe, L.C., (2006) J. Electrochem. Soc., 153, p. 1115. , JESOAN 0013-4651 10.1149/1.2192733; Jiang, S.P., Zhang, S., Zhen, Y.D., Koh, A.P., (2004) Electrochem. Solid-State Lett., 7, p. 282. , ESLEF6 1099-0062 10.1149/1.1783112; Jiang, S.P., Zhang, S., Da Zhen, Y., Wang, W., (2005) J. Am. Ceram. Soc., 88, p. 1779. , JACTAW 0002-7820 10.1111/j.1551-2916.2005.00362.x; Jiang, S.P., Wang, W., Zhen, Y.D., (2005) J. Power Sources, 147, p. 1. , JPSODZ 0378-7753; Jasinski, P., Suzuki, T., Petrovsky, V., Anderson, H.U., (2005) Electrochem. Solid-State Lett., 8, p. 219. , ESLEF6 1099-0062 10.1149/1.1869153; Zhu, W., Xia, C.R., Fan, J., Peng, R.R., Meng, G.Y., (2006) J. Power Sources, 160, p. 897. , JPSODZ 0378-7753; Xu, X.Y., Jiang, Z.Y., Fan, X., Xia, C.R., (2006) Solid State Ionics, 177, p. 2113. , SSIOD3 0167-2738; Jiang, S.P., Wang, W., (2005) J. Electrochem. Soc., 152, p. 1398. , JESOAN 0013-4651 10.1149/1.1928167; Huang, Y.Y., Vohs, J.M., Gorte, R.J., (2005) J. Electrochem. Soc., 152, p. 1347. , JESOAN 0013-4651 10.1149/1.1926669; Xu, X.Y., Xia, C.R., Mao, G.L., Peng, D., (2005) Solid State Ionics, 176, p. 1513. , SSIOD3 0167-2738; Zhao, F., Peng, R.R., Xia, C.R., (2008) Mater. Res. Bull., 43, p. 370. , MRBUAC 0025-5408; Costamagna, P., Costa, P., Antonucci, V., (1998) Electrochim. Acta, 43, p. 375. , ELCAAV 0013-4686 10.1016/S0013-4686(97)00063-7; Bouvard, D., Lange, F.F., (1991) Acta Metall. Mater., 39, p. 3083. , AMATEB 0956-7151 10.1016/0956-7151(91)90041-X; Suzuki, M., Oshima, T., (1983) Powder Technol., 35, p. 159. , POTEBX 0032-5910 10.1016/0032-5910(83)87004-1; Sholklapper, T.Z., Kurokawa, H., Jacobson, C.P., Visco, S.J., De Jonghe, L.C., (2007) Nano Lett., 7, p. 2136. , NALEFD 1530-6984","page":"B83","title":"Enhancement in Three-Phase Boundary of SOFC Electrodes by an Ion Impregnation Method: A Modeling Comparison","type":"article-journal","volume":"11"},"uris":["http://www.mendeley.com/documents/?uuid=fb6f5c2b-4672-4c9d-9ce5-3881ba0a4fcf"]},{"id":"ITEM-4","itemData":{"DOI":"10.1016/j.cocis.2009.04.006","ISBN":"1359-0294","ISSN":"13590294","abstract":"Solid oxide fuel cells (SOFC) have much promise as efficient devices for the direct conversion of the energy stored in chemical fuels into electricity. The development of highly robust SOFC that can operate on a range of fuels, however, requires improvements in the electrodes, especially the anode, where nanoscale engineering of the structure is required in order to maximize the number of sites where the electrochemical reactions take place. In this article we review the approaches that are currently being used to improve anode performance and microstructure with a focus on new materials and synthesis techniques. © 2009 Elsevier Ltd. All rights reserved.","author":[{"dropping-particle":"","family":"Gorte","given":"R. J.","non-dropping-particle":"","parse-names":false,"suffix":""},{"dropping-particle":"","family":"Vohs","given":"J. M.","non-dropping-particle":"","parse-names":false,"suffix":""}],"container-title":"Current Opinion in Colloid and Interface Science","id":"ITEM-4","issue":"4","issued":{"date-parts":[["2009"]]},"page":"236-244","publisher":"Elsevier Ltd","title":"Nanostructured anodes for solid oxide fuel cells","type":"article-journal","volume":"14"},"uris":["http://www.mendeley.com/documents/?uuid=f4dde081-14cd-4510-bc44-6099d751767c"]}],"mendeley":{"formattedCitation":"[8], [137], [144], [159]","plainTextFormattedCitation":"[8], [137], [144], [159]","previouslyFormattedCitation":"[8], [137], [144], [159]"},"properties":{"noteIndex":0},"schema":"https://github.com/citation-style-language/schema/raw/master/csl-citation.json"}</w:instrText>
      </w:r>
      <w:r w:rsidRPr="000E44EE">
        <w:fldChar w:fldCharType="separate"/>
      </w:r>
      <w:r w:rsidR="006C586A" w:rsidRPr="006C586A">
        <w:rPr>
          <w:noProof/>
        </w:rPr>
        <w:t>[8], [137], [144], [159]</w:t>
      </w:r>
      <w:r w:rsidRPr="000E44EE">
        <w:fldChar w:fldCharType="end"/>
      </w:r>
      <w:r w:rsidRPr="000E44EE">
        <w:rPr>
          <w:noProof/>
        </w:rPr>
        <w:t>.</w:t>
      </w:r>
    </w:p>
    <w:p w14:paraId="49084991" w14:textId="77777777" w:rsidR="00007F6C" w:rsidRPr="002B6C9E" w:rsidRDefault="00007F6C" w:rsidP="004B726A">
      <w:pPr>
        <w:jc w:val="both"/>
      </w:pPr>
      <w:r w:rsidRPr="002B6C9E">
        <w:t>This may initially seem superfluous when considering the overall fuel cell</w:t>
      </w:r>
      <w:r>
        <w:t xml:space="preserve"> electrode composition</w:t>
      </w:r>
      <w:r w:rsidRPr="002B6C9E">
        <w:t xml:space="preserve"> and its durability requirements, but the small factors matter.</w:t>
      </w:r>
      <w:r>
        <w:t xml:space="preserve"> If the precursor does not decompose correctly this step is</w:t>
      </w:r>
      <w:r w:rsidRPr="002B6C9E">
        <w:t xml:space="preserve"> repeated multiple times</w:t>
      </w:r>
      <w:r>
        <w:t xml:space="preserve"> leading to a stacking error </w:t>
      </w:r>
      <w:r w:rsidRPr="002B6C9E">
        <w:t>built up in every separate routine.</w:t>
      </w:r>
      <w:r>
        <w:t xml:space="preserve"> </w:t>
      </w:r>
    </w:p>
    <w:p w14:paraId="5DFB20EE" w14:textId="15C0C15C" w:rsidR="00007F6C" w:rsidRDefault="0025655C" w:rsidP="004B726A">
      <w:pPr>
        <w:keepNext/>
        <w:jc w:val="center"/>
      </w:pPr>
      <w:r>
        <w:rPr>
          <w:noProof/>
        </w:rPr>
        <w:lastRenderedPageBreak/>
        <w:drawing>
          <wp:inline distT="0" distB="0" distL="0" distR="0" wp14:anchorId="1EC6A643" wp14:editId="0C336EF7">
            <wp:extent cx="4320000" cy="2456743"/>
            <wp:effectExtent l="0" t="0" r="4445" b="0"/>
            <wp:docPr id="472" name="Picture 472"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Diagram, timeline&#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4320000" cy="2456743"/>
                    </a:xfrm>
                    <a:prstGeom prst="rect">
                      <a:avLst/>
                    </a:prstGeom>
                  </pic:spPr>
                </pic:pic>
              </a:graphicData>
            </a:graphic>
          </wp:inline>
        </w:drawing>
      </w:r>
    </w:p>
    <w:p w14:paraId="062B41D3" w14:textId="07E25A5D" w:rsidR="00007F6C" w:rsidRPr="007D67CC" w:rsidRDefault="00007F6C" w:rsidP="004B726A">
      <w:pPr>
        <w:jc w:val="center"/>
        <w:rPr>
          <w:i/>
          <w:iCs/>
          <w:color w:val="44546A" w:themeColor="text2"/>
          <w:sz w:val="18"/>
          <w:szCs w:val="18"/>
        </w:rPr>
      </w:pPr>
      <w:bookmarkStart w:id="66" w:name="_Ref23778087"/>
      <w:bookmarkStart w:id="67" w:name="_Toc69114916"/>
      <w:r w:rsidRPr="007D67CC">
        <w:rPr>
          <w:i/>
          <w:iCs/>
          <w:color w:val="44546A" w:themeColor="text2"/>
          <w:sz w:val="18"/>
          <w:szCs w:val="18"/>
        </w:rPr>
        <w:t>Figure 2.</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C64D74">
        <w:rPr>
          <w:i/>
          <w:iCs/>
          <w:noProof/>
          <w:color w:val="44546A" w:themeColor="text2"/>
          <w:sz w:val="18"/>
          <w:szCs w:val="18"/>
        </w:rPr>
        <w:t>4</w:t>
      </w:r>
      <w:r w:rsidR="00285C23">
        <w:rPr>
          <w:i/>
          <w:iCs/>
          <w:color w:val="44546A" w:themeColor="text2"/>
          <w:sz w:val="18"/>
          <w:szCs w:val="18"/>
        </w:rPr>
        <w:fldChar w:fldCharType="end"/>
      </w:r>
      <w:bookmarkEnd w:id="66"/>
      <w:r w:rsidRPr="007D67CC">
        <w:rPr>
          <w:i/>
          <w:iCs/>
          <w:color w:val="44546A" w:themeColor="text2"/>
          <w:sz w:val="18"/>
          <w:szCs w:val="18"/>
        </w:rPr>
        <w:t xml:space="preserve">: Flowchart detailing the processing steps used to produce an infiltrated SOFC electrode </w:t>
      </w:r>
      <w:r w:rsidRPr="007D67CC">
        <w:rPr>
          <w:i/>
          <w:iCs/>
          <w:color w:val="44546A" w:themeColor="text2"/>
          <w:sz w:val="18"/>
          <w:szCs w:val="18"/>
        </w:rPr>
        <w:fldChar w:fldCharType="begin" w:fldLock="1"/>
      </w:r>
      <w:r w:rsidR="00D80A5D">
        <w:rPr>
          <w:i/>
          <w:iCs/>
          <w:color w:val="44546A" w:themeColor="text2"/>
          <w:sz w:val="18"/>
          <w:szCs w:val="18"/>
        </w:rPr>
        <w:instrText>ADDIN CSL_CITATION {"citationItems":[{"id":"ITEM-1","itemData":{"DOI":"10.1016/j.msea.2005.11.052","ISBN":"0921-5093","ISSN":"09215093","abstract":"Development of solid oxide fuel cells (SOFC) for operation at intermediate temperatures of 600-800 °C with hydrocarbon fuels requires a cathode and anode with high electrocatalytic activity for O2 reduction and direct oxidation of hydrocarbon fuels, respectively. Wet impregnation is a well known method in the development of heterogeneous catalysts. Surprisingly, very few have concentrated on the application of the wet impregnation technique to deposit nano-sized particles into the established electrode structure of the SOFC. This paper reviews and discusses the progress in the application of the wet impregnation technique in the development of Ni-free Cu-based composite anodes, doped CeO2-impregnated (La, Sr)MnO3 (LSM) cathodes and Ni anodes, Co3O4-infiltrated cathodes and precious metal-impregnated electrodes. Enhancement in the electrode microstructure and cell performance is substantial, showing the great potential of the wet impregnation method in the development of high performance and nano-structured electrodes with specific functions. However, the long-term stability of the impregnated electrode structure needs to be addressed. © 2005 Elsevier B.V. All rights reserved.","author":[{"dropping-particle":"","family":"Jiang","given":"San Ping","non-dropping-particle":"","parse-names":false,"suffix":""}],"container-title":"Materials Science and Engineering A","id":"ITEM-1","issue":"1-2","issued":{"date-parts":[["2006"]]},"page":"199-210","title":"A review of wet impregnation - An alternative method for the fabrication of high performance and nano-structured electrodes of solid oxide fuel cells","type":"article-journal","volume":"418"},"uris":["http://www.mendeley.com/documents/?uuid=501050cf-6544-4c86-9a97-96825a9515d5"]},{"id":"ITEM-2","itemData":{"DOI":"10.1002/adma.200802428","ISSN":"09359648","abstract":"Improved cathodes are required for low-temperature operation of solid-oxide fuel cells (SOFCs). Recent work has shown that electrode fabrication and modification by infiltration of active components into a porous scaffold can result in outstanding electrochemical performance. In this paper we review the literature on this new approach for cathode preparation and discuss the insights that this work has provided for understanding the relationships between the materials properties, electrochemical performance, and electrode stability. © 2009 WILEY-VCH Verlag GmbH &amp; Co. KGaA.","author":[{"dropping-particle":"","family":"Vohs","given":"John M.","non-dropping-particle":"","parse-names":false,"suffix":""},{"dropping-particle":"","family":"Gorte","given":"Raymond J.","non-dropping-particle":"","parse-names":false,"suffix":""}],"container-title":"Advanced Materials","id":"ITEM-2","issue":"9","issued":{"date-parts":[["2009"]]},"page":"943-956","title":"High-performance SOFC cathodes prepared by infiltration","type":"article-journal","volume":"21"},"uris":["http://www.mendeley.com/documents/?uuid=ecf969a3-9365-4bd9-98a3-89b00ee1e044"]},{"id":"ITEM-3","itemData":{"DOI":"10.1149/1.2895009","ISBN":"10990062 (ISSN)","ISSN":"10990062","abstract":"A theoretical model is proposed to estimate the length of three-phase boundary (TPB) of ion-impregnation-derived solid oxide fuel cell (SOFC) electrodes, which have experimentally shown considerable advantages in performance when compared with standard composite electrodes such as Ni-yttria-stabilized zirconia (YSZ) and (La,Sr)MnO3-YSZ. The electrode is modeled as a sphere-packed framework whose surface is coated with second-phase nanoscale particles. Compared with the composite electrodes, the impregnated electrodes show great enhancement in TPB length, theoretically indicating the feasibility of achieving highly electrochemically active electrodes by means of ion impregnation.","author":[{"dropping-particle":"","family":"Zhu","given":"Wei","non-dropping-particle":"","parse-names":false,"suffix":""},{"dropping-particle":"","family":"Ding","given":"Dong","non-dropping-particle":"","parse-names":false,"suffix":""},{"dropping-particle":"","family":"Xia","given":"Changrong","non-dropping-particle":"","parse-names":false,"suffix":""}],"container-title":"Electrochemical and Solid-State Letters","id":"ITEM-3","issue":"6","issued":{"date-parts":[["2008"]]},"language":"English","note":"From Duplicate 2 (Enhancement in Three-Phase Boundary of SOFC Electrodes by an Ion Impregnation Method: A Modeling Comparison - Zhu, Wei; Ding, Dong; Xia, Changrong)\n\nCited By :61\nExport Date: 13 December 2016\nCODEN: ESLEF\nCorrespondence Address: Zhu, W.; Department of Electrical and Computer Engineering, FAMU-FSU College of Engineering, Tallahassee, FL 32310, United States\nReferences: Minh, N.Q., (1993) J. Am. Ceram. Soc., 76, p. 563. , JACTAW 0002-7820 10.1111/j.1151-2916.1993.tb03645.x; De Boer, B., Gonzalez, M., Bouwmeester, H.J.M., Verweij, H., (2000) Solid State Ionics, 127, p. 269. , SSIOD3 0167-2738 10.1016/S0167-2738(99)00299-4; Bieberle, A., Meier, L.P., Gauckler, L.J., (2001) J. Electrochem. Soc., 148, p. 646. , JESOAN 0013-4651 10.1149/1.1372219; Vanheuveln, F.H., Bouwmeester, H.J.M., Vanberkel, F.P.F., (1997) J. Electrochem. Soc., 144, p. 126. , JESOAN 0013-4651 10.1149/1.1837374; Horita, T., Yamaji, K., Sakai, N., Xiong, X.P., Kato, T., Yokokawa, H., Kawada, T., (2002) J. Power Sources, 106, p. 224. , JPSODZ 0378-7753 10.1016/S0378-7753(01)01017-5; Deseure, J., Bultel, Y., Dessemond, L., Siebert, E., (2005) Electrochim. Acta, 50, p. 2037. , ELCAAV 0013-4686 10.1016/j.electacta.2004.09.012; Tanner, C.W., Fung, K.Z., Virkar, A.V., (1997) J. Electrochem. Soc., 144, p. 21. , JESOAN 0013-4651 10.1149/1.1837360; Chan, S.H., Xia, Z.T., (2001) J. Electrochem. Soc., 148, p. 388. , JESOAN 0013-4651 10.1149/1.1357174; Fukui, T., Ohara, S., Naito, M., Nogi, K., (2001) J. Nanopart. Res., 3, p. 171. , JNARFA 1388-0764; Mamak, M., Metraux, G.S., Petrov, S., Coombs, N., Ozin, G.A., Green, M.A., (2003) J. Am. Chem. Soc., 125, p. 5161. , JACSAT 0002-7863 10.1021/ja027881; Lee, D.S., Lee, J.H., Kim, J., Lee, H.W., Song, H.S., (2004) Solid State Ionics, 166, p. 13. , SSIOD3 0167-2738 10.1016/j.ssi.2003.10.003; Esposito, V., De Florio, D.Z., Fonseca, F.C., Muccillo, E.N.S., Muccillo, R., Traversa, E., (2005) J. Eur. Ceram. Soc., 25, p. 2637. , JECSER 0955-2219 10.1016/j.jeurceramsoc.2005.03.116; Lu, C., Sholklapper, T.Z., Jacobson, C.P., Visco, S.J., De Jonghe, L.C., (2006) J. Electrochem. Soc., 153, p. 1115. , JESOAN 0013-4651 10.1149/1.2192733; Jiang, S.P., Zhang, S., Zhen, Y.D., Koh, A.P., (2004) Electrochem. Solid-State Lett., 7, p. 282. , ESLEF6 1099-0062 10.1149/1.1783112; Jiang, S.P., Zhang, S., Da Zhen, Y., Wang, W., (2005) J. Am. Ceram. Soc., 88, p. 1779. , JACTAW 0002-7820 10.1111/j.1551-2916.2005.00362.x; Jiang, S.P., Wang, W., Zhen, Y.D., (2005) J. Power Sources, 147, p. 1. , JPSODZ 0378-7753; Jasinski, P., Suzuki, T., Petrovsky, V., Anderson, H.U., (2005) Electrochem. Solid-State Lett., 8, p. 219. , ESLEF6 1099-0062 10.1149/1.1869153; Zhu, W., Xia, C.R., Fan, J., Peng, R.R., Meng, G.Y., (2006) J. Power Sources, 160, p. 897. , JPSODZ 0378-7753; Xu, X.Y., Jiang, Z.Y., Fan, X., Xia, C.R., (2006) Solid State Ionics, 177, p. 2113. , SSIOD3 0167-2738; Jiang, S.P., Wang, W., (2005) J. Electrochem. Soc., 152, p. 1398. , JESOAN 0013-4651 10.1149/1.1928167; Huang, Y.Y., Vohs, J.M., Gorte, R.J., (2005) J. Electrochem. Soc., 152, p. 1347. , JESOAN 0013-4651 10.1149/1.1926669; Xu, X.Y., Xia, C.R., Mao, G.L., Peng, D., (2005) Solid State Ionics, 176, p. 1513. , SSIOD3 0167-2738; Zhao, F., Peng, R.R., Xia, C.R., (2008) Mater. Res. Bull., 43, p. 370. , MRBUAC 0025-5408; Costamagna, P., Costa, P., Antonucci, V., (1998) Electrochim. Acta, 43, p. 375. , ELCAAV 0013-4686 10.1016/S0013-4686(97)00063-7; Bouvard, D., Lange, F.F., (1991) Acta Metall. Mater., 39, p. 3083. , AMATEB 0956-7151 10.1016/0956-7151(91)90041-X; Suzuki, M., Oshima, T., (1983) Powder Technol., 35, p. 159. , POTEBX 0032-5910 10.1016/0032-5910(83)87004-1; Sholklapper, T.Z., Kurokawa, H., Jacobson, C.P., Visco, S.J., De Jonghe, L.C., (2007) Nano Lett., 7, p. 2136. , NALEFD 1530-6984","page":"B83","title":"Enhancement in Three-Phase Boundary of SOFC Electrodes by an Ion Impregnation Method: A Modeling Comparison","type":"article-journal","volume":"11"},"uris":["http://www.mendeley.com/documents/?uuid=fb6f5c2b-4672-4c9d-9ce5-3881ba0a4fcf"]},{"id":"ITEM-4","itemData":{"DOI":"10.1016/j.cocis.2009.04.006","ISBN":"1359-0294","ISSN":"13590294","abstract":"Solid oxide fuel cells (SOFC) have much promise as efficient devices for the direct conversion of the energy stored in chemical fuels into electricity. The development of highly robust SOFC that can operate on a range of fuels, however, requires improvements in the electrodes, especially the anode, where nanoscale engineering of the structure is required in order to maximize the number of sites where the electrochemical reactions take place. In this article we review the approaches that are currently being used to improve anode performance and microstructure with a focus on new materials and synthesis techniques. © 2009 Elsevier Ltd. All rights reserved.","author":[{"dropping-particle":"","family":"Gorte","given":"R. J.","non-dropping-particle":"","parse-names":false,"suffix":""},{"dropping-particle":"","family":"Vohs","given":"J. M.","non-dropping-particle":"","parse-names":false,"suffix":""}],"container-title":"Current Opinion in Colloid and Interface Science","id":"ITEM-4","issue":"4","issued":{"date-parts":[["2009"]]},"page":"236-244","publisher":"Elsevier Ltd","title":"Nanostructured anodes for solid oxide fuel cells","type":"article-journal","volume":"14"},"uris":["http://www.mendeley.com/documents/?uuid=f4dde081-14cd-4510-bc44-6099d751767c"]}],"mendeley":{"formattedCitation":"[8], [137], [144], [159]","plainTextFormattedCitation":"[8], [137], [144], [159]","previouslyFormattedCitation":"[8], [137], [144], [159]"},"properties":{"noteIndex":0},"schema":"https://github.com/citation-style-language/schema/raw/master/csl-citation.json"}</w:instrText>
      </w:r>
      <w:r w:rsidRPr="007D67CC">
        <w:rPr>
          <w:i/>
          <w:iCs/>
          <w:color w:val="44546A" w:themeColor="text2"/>
          <w:sz w:val="18"/>
          <w:szCs w:val="18"/>
        </w:rPr>
        <w:fldChar w:fldCharType="separate"/>
      </w:r>
      <w:r w:rsidR="006C586A" w:rsidRPr="006C586A">
        <w:rPr>
          <w:iCs/>
          <w:noProof/>
          <w:color w:val="44546A" w:themeColor="text2"/>
          <w:sz w:val="18"/>
          <w:szCs w:val="18"/>
        </w:rPr>
        <w:t>[8], [137], [144], [159]</w:t>
      </w:r>
      <w:r w:rsidRPr="007D67CC">
        <w:rPr>
          <w:i/>
          <w:iCs/>
          <w:color w:val="44546A" w:themeColor="text2"/>
          <w:sz w:val="18"/>
          <w:szCs w:val="18"/>
        </w:rPr>
        <w:fldChar w:fldCharType="end"/>
      </w:r>
      <w:r w:rsidRPr="007D67CC">
        <w:rPr>
          <w:i/>
          <w:iCs/>
          <w:color w:val="44546A" w:themeColor="text2"/>
          <w:sz w:val="18"/>
          <w:szCs w:val="18"/>
        </w:rPr>
        <w:t>.</w:t>
      </w:r>
      <w:bookmarkEnd w:id="67"/>
    </w:p>
    <w:p w14:paraId="4488FCB1" w14:textId="77777777" w:rsidR="00007F6C" w:rsidRPr="002B6C9E" w:rsidRDefault="00007F6C" w:rsidP="004B726A">
      <w:pPr>
        <w:jc w:val="both"/>
      </w:pPr>
      <w:r w:rsidRPr="002B6C9E">
        <w:t xml:space="preserve">In an ion impregnated SOFC anode the dispersal of the metal catalysts is key to the overall performance of the system. An infiltrated Ni/YSZ anode needs a continuous film of metal particles across the scaffold area to provide the foundation for large triple phase boundaries. This is achieved by producing a uniform coating of infiltrate and thus an even dispersal of nanoparticles during the soaking phase after the solution has been injected onto the sample. </w:t>
      </w:r>
    </w:p>
    <w:p w14:paraId="5652DF40" w14:textId="77777777" w:rsidR="00007F6C" w:rsidRPr="002B6C9E" w:rsidRDefault="00007F6C" w:rsidP="004B726A">
      <w:pPr>
        <w:jc w:val="both"/>
      </w:pPr>
      <w:r w:rsidRPr="002B6C9E">
        <w:t>The consequences of producing a non-homogenous layer can be quite evident during the infiltration process as</w:t>
      </w:r>
      <w:r>
        <w:t xml:space="preserve"> that repeated impregnation steps are required</w:t>
      </w:r>
      <w:r w:rsidRPr="002B6C9E">
        <w:t xml:space="preserve"> to produce the </w:t>
      </w:r>
      <w:r>
        <w:t>optimal</w:t>
      </w:r>
      <w:r w:rsidRPr="002B6C9E">
        <w:t xml:space="preserve"> catalyst to scaffold volume ratio</w:t>
      </w:r>
      <w:r>
        <w:t>.</w:t>
      </w:r>
    </w:p>
    <w:p w14:paraId="444B88FE" w14:textId="77777777" w:rsidR="00007F6C" w:rsidRDefault="00007F6C" w:rsidP="004B726A">
      <w:pPr>
        <w:jc w:val="both"/>
      </w:pPr>
      <w:r w:rsidRPr="002B6C9E">
        <w:t xml:space="preserve">The dispersion of the catalyst adatoms does hinge upon the wettability of the metal salt solution on the ceramic scaffold. </w:t>
      </w:r>
      <w:r>
        <w:t xml:space="preserve"> Transition metal nitrates have been a mainstay in the infiltrated fuel cell literature due to their solubility in water and supposed simple decomposition routes from nitrate to oxide using elevated temperatures. However, there is a significant body of work in surface catalysis which have illustrated that many pathways exist that map these steps. The drying and calcination steps are key to the catalytic properties of the infiltrated system and by extension in wet impregnated SOFC electrodes. </w:t>
      </w:r>
    </w:p>
    <w:p w14:paraId="20D363F3" w14:textId="77777777" w:rsidR="00007F6C" w:rsidRDefault="00007F6C" w:rsidP="004B726A">
      <w:pPr>
        <w:pStyle w:val="Heading5"/>
      </w:pPr>
      <w:r>
        <w:t>2.3.1.1</w:t>
      </w:r>
      <w:r>
        <w:tab/>
        <w:t xml:space="preserve">Drying of the nitrate precursor </w:t>
      </w:r>
      <w:proofErr w:type="gramStart"/>
      <w:r>
        <w:t>solution</w:t>
      </w:r>
      <w:proofErr w:type="gramEnd"/>
    </w:p>
    <w:p w14:paraId="68AE156D" w14:textId="7496DF11" w:rsidR="00007F6C" w:rsidRPr="007E53CD" w:rsidRDefault="00007F6C" w:rsidP="0025655C">
      <w:pPr>
        <w:pStyle w:val="Heading6"/>
        <w:spacing w:before="0" w:after="0"/>
        <w:rPr>
          <w:rFonts w:asciiTheme="minorHAnsi" w:hAnsiTheme="minorHAnsi" w:cstheme="minorHAnsi"/>
        </w:rPr>
      </w:pPr>
      <w:r w:rsidRPr="007E53CD">
        <w:rPr>
          <w:rFonts w:asciiTheme="minorHAnsi" w:hAnsiTheme="minorHAnsi" w:cstheme="minorHAnsi"/>
        </w:rPr>
        <w:t xml:space="preserve">SOFC </w:t>
      </w:r>
      <w:r w:rsidR="00CB5232">
        <w:rPr>
          <w:rFonts w:asciiTheme="minorHAnsi" w:hAnsiTheme="minorHAnsi" w:cstheme="minorHAnsi"/>
        </w:rPr>
        <w:t>E</w:t>
      </w:r>
      <w:r w:rsidRPr="007E53CD">
        <w:rPr>
          <w:rFonts w:asciiTheme="minorHAnsi" w:hAnsiTheme="minorHAnsi" w:cstheme="minorHAnsi"/>
        </w:rPr>
        <w:t>lectrodes</w:t>
      </w:r>
    </w:p>
    <w:p w14:paraId="7978E09E" w14:textId="77777777" w:rsidR="00007F6C" w:rsidRDefault="00007F6C" w:rsidP="004B726A">
      <w:pPr>
        <w:jc w:val="both"/>
      </w:pPr>
      <w:r>
        <w:t xml:space="preserve">The drying process is hugely important in the production of infiltrated catalysts. The rate of removal of water in the infiltrate solution, is hugely impactful on the dispersion and size of the catalyst adatoms. </w:t>
      </w:r>
    </w:p>
    <w:p w14:paraId="2D4E0E6D" w14:textId="77777777" w:rsidR="00007F6C" w:rsidRPr="00C507BA" w:rsidRDefault="00007F6C" w:rsidP="004B726A">
      <w:pPr>
        <w:jc w:val="both"/>
      </w:pPr>
      <w:r w:rsidRPr="002B6C9E">
        <w:t xml:space="preserve">The initial stages of </w:t>
      </w:r>
      <w:r>
        <w:t>fabrication</w:t>
      </w:r>
      <w:r w:rsidRPr="002B6C9E">
        <w:t xml:space="preserve"> dictate how the anode performs functionally. If the nickel infiltrate does not adsorb correctly onto the porous scaffold, this could cause early durability issues without even being electrochemically cycled. The effect of reducing the NP size has been well documented in improving electrochemical performance in anode.</w:t>
      </w:r>
      <w:r>
        <w:t xml:space="preserve"> Despite this the investigation of drying on functional properties has been widely neglected in SOFCs. There is only one example in the past 5 </w:t>
      </w:r>
      <w:r w:rsidRPr="00C507BA">
        <w:t xml:space="preserve">years of precursor solution drying in SOFCs. </w:t>
      </w:r>
    </w:p>
    <w:p w14:paraId="268C3D59" w14:textId="724BD227" w:rsidR="00007F6C" w:rsidRPr="002B6C9E" w:rsidRDefault="00007F6C" w:rsidP="004B726A">
      <w:pPr>
        <w:pStyle w:val="NoSpacing"/>
        <w:jc w:val="both"/>
        <w:rPr>
          <w:lang w:val="en-GB"/>
        </w:rPr>
      </w:pPr>
      <w:proofErr w:type="spellStart"/>
      <w:r w:rsidRPr="00C507BA">
        <w:rPr>
          <w:lang w:val="en-GB"/>
        </w:rPr>
        <w:t>Burye</w:t>
      </w:r>
      <w:proofErr w:type="spellEnd"/>
      <w:r w:rsidRPr="00C507BA">
        <w:rPr>
          <w:lang w:val="en-GB"/>
        </w:rPr>
        <w:t xml:space="preserve"> et al</w:t>
      </w:r>
      <w:r w:rsidRPr="002B6C9E">
        <w:rPr>
          <w:i/>
          <w:iCs/>
          <w:lang w:val="en-GB"/>
        </w:rPr>
        <w:t xml:space="preserve"> </w:t>
      </w:r>
      <w:r w:rsidRPr="002B6C9E">
        <w:rPr>
          <w:lang w:val="en-GB"/>
        </w:rPr>
        <w:t>studied the effect of desiccation on infiltrate properties on the electrochemical performance of infiltrated LSCF (La</w:t>
      </w:r>
      <w:r w:rsidRPr="002B6C9E">
        <w:rPr>
          <w:vertAlign w:val="subscript"/>
          <w:lang w:val="en-GB"/>
        </w:rPr>
        <w:t>0.6</w:t>
      </w:r>
      <w:r w:rsidRPr="002B6C9E">
        <w:rPr>
          <w:lang w:val="en-GB"/>
        </w:rPr>
        <w:t>Sr</w:t>
      </w:r>
      <w:r w:rsidRPr="002B6C9E">
        <w:rPr>
          <w:vertAlign w:val="subscript"/>
          <w:lang w:val="en-GB"/>
        </w:rPr>
        <w:t>0.4</w:t>
      </w:r>
      <w:r w:rsidRPr="002B6C9E">
        <w:rPr>
          <w:lang w:val="en-GB"/>
        </w:rPr>
        <w:t>Fe</w:t>
      </w:r>
      <w:r w:rsidRPr="002B6C9E">
        <w:rPr>
          <w:vertAlign w:val="subscript"/>
          <w:lang w:val="en-GB"/>
        </w:rPr>
        <w:t>y</w:t>
      </w:r>
      <w:r w:rsidRPr="002B6C9E">
        <w:rPr>
          <w:lang w:val="en-GB"/>
        </w:rPr>
        <w:t>Co</w:t>
      </w:r>
      <w:r w:rsidRPr="002B6C9E">
        <w:rPr>
          <w:vertAlign w:val="subscript"/>
          <w:lang w:val="en-GB"/>
        </w:rPr>
        <w:t>1-y</w:t>
      </w:r>
      <w:r w:rsidRPr="002B6C9E">
        <w:rPr>
          <w:lang w:val="en-GB"/>
        </w:rPr>
        <w:t>O</w:t>
      </w:r>
      <w:r w:rsidRPr="002B6C9E">
        <w:rPr>
          <w:vertAlign w:val="subscript"/>
          <w:lang w:val="en-GB"/>
        </w:rPr>
        <w:t>3-x</w:t>
      </w:r>
      <w:r w:rsidRPr="002B6C9E">
        <w:rPr>
          <w:lang w:val="en-GB"/>
        </w:rPr>
        <w:t>) /GDC composite cathodes. The nitrate precursor and Triton X-100 surfactant solution was desiccated with CaCl</w:t>
      </w:r>
      <w:r w:rsidRPr="002B6C9E">
        <w:rPr>
          <w:vertAlign w:val="subscript"/>
          <w:lang w:val="en-GB"/>
        </w:rPr>
        <w:t>2</w:t>
      </w:r>
      <w:r w:rsidRPr="002B6C9E">
        <w:rPr>
          <w:lang w:val="en-GB"/>
        </w:rPr>
        <w:t xml:space="preserve"> for </w:t>
      </w:r>
      <w:r>
        <w:rPr>
          <w:lang w:val="en-GB"/>
        </w:rPr>
        <w:t>10</w:t>
      </w:r>
      <w:r w:rsidRPr="002B6C9E">
        <w:rPr>
          <w:lang w:val="en-GB"/>
        </w:rPr>
        <w:t xml:space="preserve">h leading to a LSCF particle size </w:t>
      </w:r>
      <w:r w:rsidRPr="002B6C9E">
        <w:rPr>
          <w:lang w:val="en-GB"/>
        </w:rPr>
        <w:lastRenderedPageBreak/>
        <w:t>reduction of 26</w:t>
      </w:r>
      <w:r>
        <w:rPr>
          <w:lang w:val="en-GB"/>
        </w:rPr>
        <w:t xml:space="preserve"> </w:t>
      </w:r>
      <w:r w:rsidRPr="002B6C9E">
        <w:rPr>
          <w:lang w:val="en-GB"/>
        </w:rPr>
        <w:t>nm</w:t>
      </w:r>
      <w:r>
        <w:rPr>
          <w:lang w:val="en-GB"/>
        </w:rPr>
        <w:t xml:space="preserve"> </w:t>
      </w:r>
      <w:r>
        <w:rPr>
          <w:lang w:val="en-GB"/>
        </w:rPr>
        <w:fldChar w:fldCharType="begin" w:fldLock="1"/>
      </w:r>
      <w:r w:rsidR="00D80A5D">
        <w:rPr>
          <w:lang w:val="en-GB"/>
        </w:rPr>
        <w:instrText>ADDIN CSL_CITATION {"citationItems":[{"id":"ITEM-1","itemData":{"DOI":"10.1149/2.0431609jes","ISSN":"0013-4651","author":[{"dropping-particle":"","family":"Burye","given":"Theodore E.","non-dropping-particle":"","parse-names":false,"suffix":""},{"dropping-particle":"","family":"Tang","given":"Hongjie","non-dropping-particle":"","parse-names":false,"suffix":""},{"dropping-particle":"","family":"Nicholas","given":"Jason D.","non-dropping-particle":"","parse-names":false,"suffix":""}],"container-title":"Journal of The Electrochemical Society","id":"ITEM-1","issue":"9","issued":{"date-parts":[["2016"]]},"page":"F1017-F1022","title":"The Effect of Precursor Solution Desiccation or Nano-Ceria Pre-Infiltration on Various La &lt;sub&gt;0.6&lt;/sub&gt; Sr &lt;sub&gt;0.4&lt;/sub&gt; Fe &lt;sub&gt;y&lt;/sub&gt; Co &lt;sub&gt;1-y&lt;/sub&gt; O &lt;sub&gt;3-x&lt;/sub&gt; Infiltrate Compositions","type":"article-journal","volume":"163"},"uris":["http://www.mendeley.com/documents/?uuid=5c5c6b6f-270c-442b-bb7f-1fe09e5e624f"]}],"mendeley":{"formattedCitation":"[160]","plainTextFormattedCitation":"[160]","previouslyFormattedCitation":"[160]"},"properties":{"noteIndex":0},"schema":"https://github.com/citation-style-language/schema/raw/master/csl-citation.json"}</w:instrText>
      </w:r>
      <w:r>
        <w:rPr>
          <w:lang w:val="en-GB"/>
        </w:rPr>
        <w:fldChar w:fldCharType="separate"/>
      </w:r>
      <w:r w:rsidR="006C586A" w:rsidRPr="006C586A">
        <w:rPr>
          <w:noProof/>
          <w:lang w:val="en-GB"/>
        </w:rPr>
        <w:t>[160]</w:t>
      </w:r>
      <w:r>
        <w:rPr>
          <w:lang w:val="en-GB"/>
        </w:rPr>
        <w:fldChar w:fldCharType="end"/>
      </w:r>
      <w:r w:rsidRPr="002B6C9E">
        <w:rPr>
          <w:lang w:val="en-GB"/>
        </w:rPr>
        <w:t xml:space="preserve">. This kind of gain is huge in terms of electrochemical properties. As </w:t>
      </w:r>
      <w:r w:rsidRPr="00C507BA">
        <w:rPr>
          <w:lang w:val="en-GB"/>
        </w:rPr>
        <w:t xml:space="preserve">demonstrated by </w:t>
      </w:r>
      <w:r w:rsidRPr="00C507BA">
        <w:rPr>
          <w:lang w:val="en-GB"/>
        </w:rPr>
        <w:fldChar w:fldCharType="begin"/>
      </w:r>
      <w:r w:rsidRPr="00C507BA">
        <w:rPr>
          <w:lang w:val="en-GB"/>
        </w:rPr>
        <w:instrText xml:space="preserve"> REF _Ref469566427 \h  \* MERGEFORMAT </w:instrText>
      </w:r>
      <w:r w:rsidRPr="00C507BA">
        <w:rPr>
          <w:lang w:val="en-GB"/>
        </w:rPr>
      </w:r>
      <w:r w:rsidRPr="00C507BA">
        <w:rPr>
          <w:lang w:val="en-GB"/>
        </w:rPr>
        <w:fldChar w:fldCharType="separate"/>
      </w:r>
      <w:r w:rsidR="00C64D74" w:rsidRPr="00C64D74">
        <w:t>Figure 2.5</w:t>
      </w:r>
      <w:r w:rsidRPr="00C507BA">
        <w:rPr>
          <w:lang w:val="en-GB"/>
        </w:rPr>
        <w:fldChar w:fldCharType="end"/>
      </w:r>
      <w:r w:rsidRPr="00C507BA">
        <w:rPr>
          <w:lang w:val="en-GB"/>
        </w:rPr>
        <w:t>:</w:t>
      </w:r>
    </w:p>
    <w:p w14:paraId="6D1A3953" w14:textId="77777777" w:rsidR="00007F6C" w:rsidRPr="002B6C9E" w:rsidRDefault="00007F6C" w:rsidP="004B726A">
      <w:pPr>
        <w:pStyle w:val="NoSpacing"/>
        <w:jc w:val="both"/>
        <w:rPr>
          <w:lang w:val="en-GB"/>
        </w:rPr>
      </w:pPr>
    </w:p>
    <w:p w14:paraId="2216159F" w14:textId="77777777" w:rsidR="00007F6C" w:rsidRPr="002B6C9E" w:rsidRDefault="00007F6C" w:rsidP="004B726A">
      <w:pPr>
        <w:pStyle w:val="NoSpacing"/>
        <w:keepNext/>
        <w:jc w:val="center"/>
        <w:rPr>
          <w:lang w:val="en-GB"/>
        </w:rPr>
      </w:pPr>
      <w:r w:rsidRPr="002B6C9E">
        <w:rPr>
          <w:noProof/>
          <w:lang w:val="en-GB" w:eastAsia="en-GB"/>
        </w:rPr>
        <w:drawing>
          <wp:inline distT="0" distB="0" distL="0" distR="0" wp14:anchorId="7B49982C" wp14:editId="515FD50E">
            <wp:extent cx="3225064" cy="5444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urye et al Overlaid Combination chart.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25064" cy="5444200"/>
                    </a:xfrm>
                    <a:prstGeom prst="rect">
                      <a:avLst/>
                    </a:prstGeom>
                  </pic:spPr>
                </pic:pic>
              </a:graphicData>
            </a:graphic>
          </wp:inline>
        </w:drawing>
      </w:r>
    </w:p>
    <w:p w14:paraId="444840F7" w14:textId="3AAF85CF" w:rsidR="00007F6C" w:rsidRPr="00005972" w:rsidRDefault="00007F6C" w:rsidP="004B726A">
      <w:pPr>
        <w:jc w:val="center"/>
        <w:rPr>
          <w:i/>
          <w:iCs/>
          <w:color w:val="44546A" w:themeColor="text2"/>
          <w:sz w:val="18"/>
          <w:szCs w:val="18"/>
        </w:rPr>
      </w:pPr>
      <w:bookmarkStart w:id="68" w:name="_Ref469566427"/>
      <w:bookmarkStart w:id="69" w:name="_Toc69114917"/>
      <w:r w:rsidRPr="00005972">
        <w:rPr>
          <w:i/>
          <w:iCs/>
          <w:color w:val="44546A" w:themeColor="text2"/>
          <w:sz w:val="18"/>
          <w:szCs w:val="18"/>
        </w:rPr>
        <w:t xml:space="preserve">Figure </w:t>
      </w:r>
      <w:r>
        <w:rPr>
          <w:i/>
          <w:iCs/>
          <w:color w:val="44546A" w:themeColor="text2"/>
          <w:sz w:val="18"/>
          <w:szCs w:val="18"/>
        </w:rPr>
        <w:t>2.</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C64D74">
        <w:rPr>
          <w:i/>
          <w:iCs/>
          <w:noProof/>
          <w:color w:val="44546A" w:themeColor="text2"/>
          <w:sz w:val="18"/>
          <w:szCs w:val="18"/>
        </w:rPr>
        <w:t>5</w:t>
      </w:r>
      <w:r w:rsidR="00285C23">
        <w:rPr>
          <w:i/>
          <w:iCs/>
          <w:color w:val="44546A" w:themeColor="text2"/>
          <w:sz w:val="18"/>
          <w:szCs w:val="18"/>
        </w:rPr>
        <w:fldChar w:fldCharType="end"/>
      </w:r>
      <w:bookmarkEnd w:id="68"/>
      <w:r w:rsidRPr="00005972">
        <w:rPr>
          <w:i/>
          <w:iCs/>
          <w:color w:val="44546A" w:themeColor="text2"/>
          <w:sz w:val="18"/>
          <w:szCs w:val="18"/>
        </w:rPr>
        <w:t>: A series of figures overlaid showing the effect of desiccation on the properties of infiltrated LSCF/GDC cathodes. All the desiccated Triton X-100 samples are in green. a) Plots the Polarisation resistance, R</w:t>
      </w:r>
      <w:r w:rsidRPr="00005972">
        <w:rPr>
          <w:i/>
          <w:iCs/>
          <w:color w:val="44546A" w:themeColor="text2"/>
          <w:sz w:val="18"/>
          <w:szCs w:val="18"/>
          <w:vertAlign w:val="subscript"/>
        </w:rPr>
        <w:t>P</w:t>
      </w:r>
      <w:r w:rsidRPr="00005972">
        <w:rPr>
          <w:i/>
          <w:iCs/>
          <w:color w:val="44546A" w:themeColor="text2"/>
          <w:sz w:val="18"/>
          <w:szCs w:val="18"/>
        </w:rPr>
        <w:t xml:space="preserve"> against temperature of the three separate samples b) SEM micrographs of the GDC scaffold with LSCF adatoms on the surface c) The imaginary impedance plotted against the frequency impedance from the EIS cycling of LSCF/GDC</w:t>
      </w:r>
      <w:r>
        <w:rPr>
          <w:i/>
          <w:iCs/>
          <w:color w:val="44546A" w:themeColor="text2"/>
          <w:sz w:val="18"/>
          <w:szCs w:val="18"/>
        </w:rPr>
        <w:t xml:space="preserve"> </w:t>
      </w:r>
      <w:r w:rsidRPr="00005972">
        <w:rPr>
          <w:i/>
          <w:iCs/>
          <w:color w:val="44546A" w:themeColor="text2"/>
          <w:sz w:val="18"/>
          <w:szCs w:val="18"/>
        </w:rPr>
        <w:fldChar w:fldCharType="begin" w:fldLock="1"/>
      </w:r>
      <w:r w:rsidR="00D80A5D">
        <w:rPr>
          <w:i/>
          <w:iCs/>
          <w:color w:val="44546A" w:themeColor="text2"/>
          <w:sz w:val="18"/>
          <w:szCs w:val="18"/>
        </w:rPr>
        <w:instrText>ADDIN CSL_CITATION {"citationItems":[{"id":"ITEM-1","itemData":{"author":[{"dropping-particle":"","family":"Burye","given":"Theodore E","non-dropping-particle":"","parse-names":false,"suffix":""},{"dropping-particle":"","family":"Tang","given":"Hongjie","non-dropping-particle":"","parse-names":false,"suffix":""},{"dropping-particle":"","family":"Nicholas","given":"Jason D","non-dropping-particle":"","parse-names":false,"suffix":""}],"container-title":"Journal of the Electrochemical Society","id":"ITEM-1","issue":"9","issued":{"date-parts":[["2016"]]},"note":"10.1149/2.0431609jes","page":"F1017-F1022","title":"The Effect of Precursor Solution Desiccation or Nano-Ceria Pre-Infiltration on Various La0.6Sr0.4FeyCo1-yO3-x Infiltrate Compositions","type":"article-journal","volume":"163"},"uris":["http://www.mendeley.com/documents/?uuid=81bbfad8-a037-4cf5-9ed8-b05fe8f35497"]},{"id":"ITEM-2","itemData":{"DOI":"http://dx.doi.org/10.1016/j.jpowsour.2015.10.012","ISBN":"0378-7753","abstract":"Here, the addition of the surfactant Triton X-100 or the chelating agent citric acid to Solid Oxide Fuel Cell (SOFC) La0.6Sr0.4Co0.8Fe0.2O3–x (LSCF) precursor nitrate solutions is shown via scanning electron microscopy (SEM) and X-ray diffraction (XRD) to reduce average infiltrate nano-particle size and improve infiltrate phase purity. In addition, the desiccation of LSCF precursor solutions containing the aforementioned organic solution additives further reduces the average LSCF infiltrate nano-particle size and improves the low-temperature infiltrate phase purity. In particular, CaCl2-desiccation reduces the average size of Triton X-100 derived (TXD) LSCF particles fired at 700 °C from 48 to 22 nm, and reduces the average size of citric acid derived LSCF particles fired at 700 °C from 50 to 41 nm. Modeling and electrochemical impedance spectroscopy (EIS) tests indicate that particle size reductions alone are responsible for desiccation-induced cathode performance improvements such as CaCl2-desiccated TXD La0.6Sr0.4Co0.8Fe0.2O3-x – Ce0.9Gd0.1O1.95 (LSCF-GDC) cathodes reaching a polarization resistance of 0.17 Ωcm2 at 540 °C, compared to 600 °C for undesiccated TXD LSCF-GDC cathodes. This excellent low-temperature performance, combined with a low open-circuit 540 °C degradation rate, suggests that the desiccation of organic-additive-containing infiltrate precursor solutions may be useful for the development of durable, high-power, low-temperature SOFCs.","author":[{"dropping-particle":"","family":"Burye","given":"Theodore E","non-dropping-particle":"","parse-names":false,"suffix":""},{"dropping-particle":"","family":"Nicholas","given":"Jason D","non-dropping-particle":"","parse-names":false,"suffix":""}],"container-title":"Journal of Power Sources","id":"ITEM-2","issued":{"date-parts":[["2016"]]},"page":"287-298","title":"Precursor solution additives improve desiccated La0.6Sr0.4Co0.8Fe0.2O3–x infiltrated solid oxide fuel cell cathode performance","type":"article-journal","volume":"301"},"uris":["http://www.mendeley.com/documents/?uuid=8ecffe28-36fa-4034-aab9-3d93818df4d5"]}],"mendeley":{"formattedCitation":"[161], [162]","plainTextFormattedCitation":"[161], [162]","previouslyFormattedCitation":"[161], [162]"},"properties":{"noteIndex":0},"schema":"https://github.com/citation-style-language/schema/raw/master/csl-citation.json"}</w:instrText>
      </w:r>
      <w:r w:rsidRPr="00005972">
        <w:rPr>
          <w:i/>
          <w:iCs/>
          <w:color w:val="44546A" w:themeColor="text2"/>
          <w:sz w:val="18"/>
          <w:szCs w:val="18"/>
        </w:rPr>
        <w:fldChar w:fldCharType="separate"/>
      </w:r>
      <w:r w:rsidR="006C586A" w:rsidRPr="006C586A">
        <w:rPr>
          <w:iCs/>
          <w:noProof/>
          <w:color w:val="44546A" w:themeColor="text2"/>
          <w:sz w:val="18"/>
          <w:szCs w:val="18"/>
        </w:rPr>
        <w:t>[161], [162]</w:t>
      </w:r>
      <w:r w:rsidRPr="00005972">
        <w:rPr>
          <w:i/>
          <w:iCs/>
          <w:color w:val="44546A" w:themeColor="text2"/>
          <w:sz w:val="18"/>
          <w:szCs w:val="18"/>
        </w:rPr>
        <w:fldChar w:fldCharType="end"/>
      </w:r>
      <w:r w:rsidRPr="00005972">
        <w:rPr>
          <w:i/>
          <w:iCs/>
          <w:color w:val="44546A" w:themeColor="text2"/>
          <w:sz w:val="18"/>
          <w:szCs w:val="18"/>
        </w:rPr>
        <w:t>.</w:t>
      </w:r>
      <w:bookmarkEnd w:id="69"/>
      <w:r w:rsidRPr="00005972">
        <w:rPr>
          <w:i/>
          <w:iCs/>
          <w:color w:val="44546A" w:themeColor="text2"/>
          <w:sz w:val="18"/>
          <w:szCs w:val="18"/>
        </w:rPr>
        <w:t xml:space="preserve"> </w:t>
      </w:r>
    </w:p>
    <w:p w14:paraId="22F11328" w14:textId="7E235FE8" w:rsidR="00007F6C" w:rsidRDefault="00007F6C" w:rsidP="004B726A">
      <w:pPr>
        <w:pStyle w:val="NoSpacing"/>
        <w:jc w:val="both"/>
        <w:rPr>
          <w:lang w:val="en-GB"/>
        </w:rPr>
      </w:pPr>
      <w:r w:rsidRPr="00C507BA">
        <w:rPr>
          <w:lang w:val="en-GB"/>
        </w:rPr>
        <w:fldChar w:fldCharType="begin"/>
      </w:r>
      <w:r w:rsidRPr="00C507BA">
        <w:rPr>
          <w:lang w:val="en-GB"/>
        </w:rPr>
        <w:instrText xml:space="preserve"> REF _Ref469566427 \h  \* MERGEFORMAT </w:instrText>
      </w:r>
      <w:r w:rsidRPr="00C507BA">
        <w:rPr>
          <w:lang w:val="en-GB"/>
        </w:rPr>
      </w:r>
      <w:r w:rsidRPr="00C507BA">
        <w:rPr>
          <w:lang w:val="en-GB"/>
        </w:rPr>
        <w:fldChar w:fldCharType="separate"/>
      </w:r>
      <w:r w:rsidRPr="00C103C3">
        <w:t>Figure 2.5</w:t>
      </w:r>
      <w:r w:rsidRPr="00C507BA">
        <w:rPr>
          <w:lang w:val="en-GB"/>
        </w:rPr>
        <w:fldChar w:fldCharType="end"/>
      </w:r>
      <w:r w:rsidRPr="00C507BA">
        <w:rPr>
          <w:lang w:val="en-GB"/>
        </w:rPr>
        <w:t xml:space="preserve"> is a clear illustration of how impactful the fabrication process is to the properties of the oxygen electrode. By modifying the drying routine, the polarisation resistance was reduced by almost 45</w:t>
      </w:r>
      <w:r w:rsidR="0025655C">
        <w:rPr>
          <w:lang w:val="en-GB"/>
        </w:rPr>
        <w:t xml:space="preserve"> </w:t>
      </w:r>
      <w:r w:rsidRPr="00C507BA">
        <w:rPr>
          <w:lang w:val="en-GB"/>
        </w:rPr>
        <w:t xml:space="preserve">% when compared to the undesiccated LSCF/GDC sample </w:t>
      </w:r>
      <w:r w:rsidRPr="00C507BA">
        <w:rPr>
          <w:lang w:val="en-GB"/>
        </w:rPr>
        <w:fldChar w:fldCharType="begin" w:fldLock="1"/>
      </w:r>
      <w:r w:rsidR="00D80A5D">
        <w:rPr>
          <w:lang w:val="en-GB"/>
        </w:rPr>
        <w:instrText xml:space="preserve">ADDIN CSL_CITATION {"citationItems":[{"id":"ITEM-1","itemData":{"abstract":"Here, electrochemical impedance spectroscopy, X-ray diffraction, and scanning electron microscopy were used to determine the effect of precursor solution desiccation and nano-ceria pre-infiltration on Solid Oxide Fuel Cell cathodes with various infiltrate compositions. The calcium chloride desiccation of citric acid containing La0.6Sr0.4FeO3-x (LSF), La0.6Sr0.4Fe0.8Co0.2O3-x (LSFC), La0.6Sr0.4Fe0.5Co0.5O3-x (LSCF55), La0.6Sr0.4Fe0.2Co0.8O3-x (LSCF), and La0.6Sr0.4CoO3-x (LSC) infiltrate precursor solutions reduced average infiltrate particle sizes from the </w:instrText>
      </w:r>
      <w:r w:rsidR="00D80A5D">
        <w:rPr>
          <w:rFonts w:ascii="Cambria Math" w:hAnsi="Cambria Math" w:cs="Cambria Math"/>
          <w:lang w:val="en-GB"/>
        </w:rPr>
        <w:instrText>∼</w:instrText>
      </w:r>
      <w:r w:rsidR="00D80A5D">
        <w:rPr>
          <w:lang w:val="en-GB"/>
        </w:rPr>
        <w:instrText xml:space="preserve">53 nm obtained with standard processing to </w:instrText>
      </w:r>
      <w:r w:rsidR="00D80A5D">
        <w:rPr>
          <w:rFonts w:ascii="Cambria Math" w:hAnsi="Cambria Math" w:cs="Cambria Math"/>
          <w:lang w:val="en-GB"/>
        </w:rPr>
        <w:instrText>∼</w:instrText>
      </w:r>
      <w:r w:rsidR="00D80A5D">
        <w:rPr>
          <w:lang w:val="en-GB"/>
        </w:rPr>
        <w:instrText xml:space="preserve">42 nm. Similarly, infiltration of the aforementioned La0.6Sr0.4FeyCo1-yO3-x precursor solutions into porous cathodes containing pre-infiltrated gadolinium doped ceria (GDC) particles reduced average La0.6Sr0.4FeyCo1-yO3-x infiltrate particle sizes from the </w:instrText>
      </w:r>
      <w:r w:rsidR="00D80A5D">
        <w:rPr>
          <w:rFonts w:ascii="Cambria Math" w:hAnsi="Cambria Math" w:cs="Cambria Math"/>
          <w:lang w:val="en-GB"/>
        </w:rPr>
        <w:instrText>∼</w:instrText>
      </w:r>
      <w:r w:rsidR="00D80A5D">
        <w:rPr>
          <w:lang w:val="en-GB"/>
        </w:rPr>
        <w:instrText xml:space="preserve">53 nm obtained with standard processing (i.e. in the absence of nano-GDC pre-infiltration) to </w:instrText>
      </w:r>
      <w:r w:rsidR="00D80A5D">
        <w:rPr>
          <w:rFonts w:ascii="Cambria Math" w:hAnsi="Cambria Math" w:cs="Cambria Math"/>
          <w:lang w:val="en-GB"/>
        </w:rPr>
        <w:instrText>∼</w:instrText>
      </w:r>
      <w:r w:rsidR="00D80A5D">
        <w:rPr>
          <w:lang w:val="en-GB"/>
        </w:rPr>
        <w:instrText>27 nm with nano-GDC pre-infiltration. These desiccation and nano-GDC pre-infiltration induced infiltrate particle size reductions resulted in improved cathode performance. For example, in comparison with the 650°C operating temperatures required for standard LSC-GDC cathodes to achieve a polarization resistance of 0.1 Ωcm2, identical cathodes subjected to desiccation or nano-GDC pre-infiltration achieved 0.1 Ωcm2 at 630°C and 570°C, respectively. These promising results suggest that precursor solution desiccation or nano-GDC pre-infiltration may be useful for reducing the sizes of a variety of SOFC infiltrate materials. ","author":[{"dropping-particle":"","family":"Burye","given":"Theodore E","non-dropping-particle":"","parse-names":false,"suffix":""},{"dropping-particle":"","family":"Tang","given":"Hongjie","non-dropping-particle":"","parse-names":false,"suffix":""},{"dropping-particle":"","family":"Nicholas","given":"Jason D","non-dropping-particle":"","parse-names":false,"suffix":""}],"container-title":"Journal of The Electrochemical Society ","id":"ITEM-1","issue":"9 ","issued":{"date-parts":[["2016","1","1"]]},"note":"10.1149/2.0431609jes","page":"F1017-F1022","title":"The Effect of Precursor Solution Desiccation or Nano-Ceria Pre-Infiltration on Various La0.6Sr0.4FeyCo1-yO3-x Infiltrate Compositions","type":"article-journal","volume":"163 "},"uris":["http://www.mendeley.com/documents/?uuid=56838a14-6065-40bc-ac2e-3a86d0351566"]}],"mendeley":{"formattedCitation":"[163]","plainTextFormattedCitation":"[163]","previouslyFormattedCitation":"[163]"},"properties":{"noteIndex":0},"schema":"https://github.com/citation-style-language/schema/raw/master/csl-citation.json"}</w:instrText>
      </w:r>
      <w:r w:rsidRPr="00C507BA">
        <w:rPr>
          <w:lang w:val="en-GB"/>
        </w:rPr>
        <w:fldChar w:fldCharType="separate"/>
      </w:r>
      <w:r w:rsidR="006C586A" w:rsidRPr="006C586A">
        <w:rPr>
          <w:noProof/>
          <w:lang w:val="en-GB"/>
        </w:rPr>
        <w:t>[163]</w:t>
      </w:r>
      <w:r w:rsidRPr="00C507BA">
        <w:rPr>
          <w:lang w:val="en-GB"/>
        </w:rPr>
        <w:fldChar w:fldCharType="end"/>
      </w:r>
      <w:r w:rsidRPr="00C507BA">
        <w:rPr>
          <w:lang w:val="en-GB"/>
        </w:rPr>
        <w:t xml:space="preserve">. This is a large reduction in the polarisation resistance indicates that drying conditions do impact the functional properties of the electrode. However, the message of the paper is mixed as the use of citric acid-based precursors reduced the polarisation resistance even further than the desiccation. This work should be applicable to both infiltrated electrodes either side of the electrolyte. This conclusions of the </w:t>
      </w:r>
      <w:proofErr w:type="spellStart"/>
      <w:r w:rsidRPr="00C507BA">
        <w:rPr>
          <w:lang w:val="en-GB"/>
        </w:rPr>
        <w:t>Burye</w:t>
      </w:r>
      <w:proofErr w:type="spellEnd"/>
      <w:r w:rsidRPr="00C507BA">
        <w:rPr>
          <w:lang w:val="en-GB"/>
        </w:rPr>
        <w:t xml:space="preserve"> work</w:t>
      </w:r>
      <w:r>
        <w:rPr>
          <w:lang w:val="en-GB"/>
        </w:rPr>
        <w:t xml:space="preserve"> </w:t>
      </w:r>
      <w:r w:rsidRPr="002B6C9E">
        <w:rPr>
          <w:lang w:val="en-GB"/>
        </w:rPr>
        <w:t>illustrate</w:t>
      </w:r>
      <w:r>
        <w:rPr>
          <w:lang w:val="en-GB"/>
        </w:rPr>
        <w:t>s</w:t>
      </w:r>
      <w:r w:rsidRPr="002B6C9E">
        <w:rPr>
          <w:lang w:val="en-GB"/>
        </w:rPr>
        <w:t xml:space="preserve"> the large amount of continuation research still required for</w:t>
      </w:r>
      <w:r>
        <w:rPr>
          <w:lang w:val="en-GB"/>
        </w:rPr>
        <w:t xml:space="preserve"> wet impregnated</w:t>
      </w:r>
      <w:r w:rsidRPr="002B6C9E">
        <w:rPr>
          <w:lang w:val="en-GB"/>
        </w:rPr>
        <w:t xml:space="preserve"> </w:t>
      </w:r>
      <w:r>
        <w:rPr>
          <w:lang w:val="en-GB"/>
        </w:rPr>
        <w:t>SOFC</w:t>
      </w:r>
      <w:r w:rsidRPr="002B6C9E">
        <w:rPr>
          <w:lang w:val="en-GB"/>
        </w:rPr>
        <w:t xml:space="preserve"> anodes</w:t>
      </w:r>
      <w:r>
        <w:rPr>
          <w:lang w:val="en-GB"/>
        </w:rPr>
        <w:t xml:space="preserve"> </w:t>
      </w:r>
      <w:r>
        <w:rPr>
          <w:lang w:val="en-GB"/>
        </w:rPr>
        <w:fldChar w:fldCharType="begin" w:fldLock="1"/>
      </w:r>
      <w:r w:rsidR="00D80A5D">
        <w:rPr>
          <w:lang w:val="en-GB"/>
        </w:rPr>
        <w:instrText xml:space="preserve">ADDIN CSL_CITATION {"citationItems":[{"id":"ITEM-1","itemData":{"abstract":"Here, electrochemical impedance spectroscopy, X-ray diffraction, and scanning electron microscopy were used to determine the effect of precursor solution desiccation and nano-ceria pre-infiltration on Solid Oxide Fuel Cell cathodes with various infiltrate compositions. The calcium chloride desiccation of citric acid containing La0.6Sr0.4FeO3-x (LSF), La0.6Sr0.4Fe0.8Co0.2O3-x (LSFC), La0.6Sr0.4Fe0.5Co0.5O3-x (LSCF55), La0.6Sr0.4Fe0.2Co0.8O3-x (LSCF), and La0.6Sr0.4CoO3-x (LSC) infiltrate precursor solutions reduced average infiltrate particle sizes from the </w:instrText>
      </w:r>
      <w:r w:rsidR="00D80A5D">
        <w:rPr>
          <w:rFonts w:ascii="Cambria Math" w:hAnsi="Cambria Math" w:cs="Cambria Math"/>
          <w:lang w:val="en-GB"/>
        </w:rPr>
        <w:instrText>∼</w:instrText>
      </w:r>
      <w:r w:rsidR="00D80A5D">
        <w:rPr>
          <w:lang w:val="en-GB"/>
        </w:rPr>
        <w:instrText xml:space="preserve">53 nm obtained with standard processing to </w:instrText>
      </w:r>
      <w:r w:rsidR="00D80A5D">
        <w:rPr>
          <w:rFonts w:ascii="Cambria Math" w:hAnsi="Cambria Math" w:cs="Cambria Math"/>
          <w:lang w:val="en-GB"/>
        </w:rPr>
        <w:instrText>∼</w:instrText>
      </w:r>
      <w:r w:rsidR="00D80A5D">
        <w:rPr>
          <w:lang w:val="en-GB"/>
        </w:rPr>
        <w:instrText xml:space="preserve">42 nm. Similarly, infiltration of the aforementioned La0.6Sr0.4FeyCo1-yO3-x precursor solutions into porous cathodes containing pre-infiltrated gadolinium doped ceria (GDC) particles reduced average La0.6Sr0.4FeyCo1-yO3-x infiltrate particle sizes from the </w:instrText>
      </w:r>
      <w:r w:rsidR="00D80A5D">
        <w:rPr>
          <w:rFonts w:ascii="Cambria Math" w:hAnsi="Cambria Math" w:cs="Cambria Math"/>
          <w:lang w:val="en-GB"/>
        </w:rPr>
        <w:instrText>∼</w:instrText>
      </w:r>
      <w:r w:rsidR="00D80A5D">
        <w:rPr>
          <w:lang w:val="en-GB"/>
        </w:rPr>
        <w:instrText xml:space="preserve">53 nm obtained with standard processing (i.e. in the absence of nano-GDC pre-infiltration) to </w:instrText>
      </w:r>
      <w:r w:rsidR="00D80A5D">
        <w:rPr>
          <w:rFonts w:ascii="Cambria Math" w:hAnsi="Cambria Math" w:cs="Cambria Math"/>
          <w:lang w:val="en-GB"/>
        </w:rPr>
        <w:instrText>∼</w:instrText>
      </w:r>
      <w:r w:rsidR="00D80A5D">
        <w:rPr>
          <w:lang w:val="en-GB"/>
        </w:rPr>
        <w:instrText>27 nm with nano-GDC pre-infiltration. These desiccation and nano-GDC pre-infiltration induced infiltrate particle size reductions resulted in improved cathode performance. For example, in comparison with the 650</w:instrText>
      </w:r>
      <w:r w:rsidR="00D80A5D">
        <w:rPr>
          <w:rFonts w:ascii="Calibri" w:hAnsi="Calibri" w:cs="Calibri"/>
          <w:lang w:val="en-GB"/>
        </w:rPr>
        <w:instrText>°</w:instrText>
      </w:r>
      <w:r w:rsidR="00D80A5D">
        <w:rPr>
          <w:lang w:val="en-GB"/>
        </w:rPr>
        <w:instrText>C operating temperatures required for standard LSC-GDC cathodes to achieve a polarization resistance of 0.1 Ωcm2, identical cathodes subjected to desiccation or nano-GDC pre-infiltration achieved 0.1 Ωcm2 at 630°C and 570°C, respectively. These promising results suggest that precursor solution desiccation or nano-GDC pre-infiltration may be useful for reducing the sizes of a variety of SOFC infiltrate materials. ","author":[{"dropping-particle":"","family":"Burye","given":"Theodore E","non-dropping-particle":"","parse-names":false,"suffix":""},{"dropping-particle":"","family":"Tang","given":"Hongjie","non-dropping-particle":"","parse-names":false,"suffix":""},{"dropping-particle":"","family":"Nicholas","given":"Jason D","non-dropping-particle":"","parse-names":false,"suffix":""}],"container-title":"Journal of The Electrochemical Society ","id":"ITEM-1","issue":"9 ","issued":{"date-parts":[["2016","1","1"]]},"note":"10.1149/2.0431609jes","page":"F1017-F1022","title":"The Effect of Precursor Solution Desiccation or Nano-Ceria Pre-Infiltration on Various La0.6Sr0.4FeyCo1-yO3-x Infiltrate Compositions","type":"article-journal","volume":"163 "},"uris":["http://www.mendeley.com/documents/?uuid=56838a14-6065-40bc-ac2e-3a86d0351566"]},{"id":"ITEM-2","itemData":{"DOI":"10.1016/j.jpowsour.2015.10.012","ISSN":"03787753","abstract":"Here, the addition of the surfactant Triton X-100 or the chelating agent citric acid to Solid Oxide Fuel Cell (SOFC) La0.6Sr0.4Co0.8Fe0.2O3-x (LSCF) precursor nitrate solutions is shown via scanning electron microscopy (SEM) and X-ray diffraction (XRD) to reduce average infiltrate nano-particle size and improve infiltrate phase purity. In addition, the desiccation of LSCF precursor solutions containing the aforementioned organic solution additives further reduces the average LSCF infiltrate nano-particle size and improves the low-temperature infiltrate phase purity. In particular, CaCl2-desiccation reduces the average size of Triton X-100 derived (TXD) LSCF particles fired at 700 °C from 48 to 22 nm, and reduces the average size of citric acid derived LSCF particles fired at 700 °C from 50 to 41 nm. Modeling and electrochemical impedance spectroscopy (EIS) tests indicate that particle size reductions alone are responsible for desiccation-induced cathode performance improvements such as CaCl2-desiccated TXD La0.6Sr0.4Co0.8Fe0.2O3-x - Ce0.9Gd0.1O1.95 (LSCF-GDC) cathodes reaching a polarization resistance of 0.17Ωcm2 at 540 °C, compared to 600 °C for undesiccated TXD LSCF-GDC cathodes. This excellent low-temperature performance, combined with a low open-circuit 540 °C degradation rate, suggests that the desiccation of organic-additive-containing infiltrate precursor solutions may be useful for the development of durable, high-power, low-temperature SOFCs.","author":[{"dropping-particle":"","family":"Burye","given":"Theodore E.","non-dropping-particle":"","parse-names":false,"suffix":""},{"dropping-particle":"","family":"Nicholas","given":"Jason D.","non-dropping-particle":"","parse-names":false,"suffix":""}],"container-title":"Journal of Power Sources","id":"ITEM-2","issued":{"date-parts":[["2016"]]},"page":"287-298","publisher":"Elsevier B.V","title":"Precursor solution additives improve desiccated La0.6Sr0.4Co0.8Fe0.2O3-x infiltrated solid oxide fuel cell cathode performance","type":"article-journal","volume":"301"},"uris":["http://www.mendeley.com/documents/?uuid=d60a1792-fe3e-41df-b4e8-26b3fc03abe4"]}],"mendeley":{"formattedCitation":"[163], [164]","plainTextFormattedCitation":"[163], [164]","previouslyFormattedCitation":"[163], [164]"},"properties":{"noteIndex":0},"schema":"https://github.com/citation-style-language/schema/raw/master/csl-citation.json"}</w:instrText>
      </w:r>
      <w:r>
        <w:rPr>
          <w:lang w:val="en-GB"/>
        </w:rPr>
        <w:fldChar w:fldCharType="separate"/>
      </w:r>
      <w:r w:rsidR="006C586A" w:rsidRPr="006C586A">
        <w:rPr>
          <w:noProof/>
          <w:lang w:val="en-GB"/>
        </w:rPr>
        <w:t>[163], [164]</w:t>
      </w:r>
      <w:r>
        <w:rPr>
          <w:lang w:val="en-GB"/>
        </w:rPr>
        <w:fldChar w:fldCharType="end"/>
      </w:r>
      <w:r w:rsidRPr="002B6C9E">
        <w:rPr>
          <w:lang w:val="en-GB"/>
        </w:rPr>
        <w:t xml:space="preserve">. </w:t>
      </w:r>
    </w:p>
    <w:p w14:paraId="1578ADB1" w14:textId="77777777" w:rsidR="00007F6C" w:rsidRDefault="00007F6C" w:rsidP="004B726A">
      <w:pPr>
        <w:pStyle w:val="NoSpacing"/>
        <w:jc w:val="both"/>
        <w:rPr>
          <w:lang w:val="en-GB"/>
        </w:rPr>
      </w:pPr>
    </w:p>
    <w:p w14:paraId="51AC0FB4" w14:textId="77777777" w:rsidR="00007F6C" w:rsidRPr="002B6C9E" w:rsidRDefault="00007F6C" w:rsidP="004B726A">
      <w:pPr>
        <w:pStyle w:val="NoSpacing"/>
        <w:jc w:val="both"/>
        <w:rPr>
          <w:lang w:val="en-GB"/>
        </w:rPr>
      </w:pPr>
      <w:r>
        <w:rPr>
          <w:lang w:val="en-GB"/>
        </w:rPr>
        <w:lastRenderedPageBreak/>
        <w:t xml:space="preserve">This illustrates a large gap in the </w:t>
      </w:r>
      <w:r w:rsidRPr="002B6C9E">
        <w:rPr>
          <w:lang w:val="en-GB"/>
        </w:rPr>
        <w:t>fuel electrode literature</w:t>
      </w:r>
      <w:r>
        <w:rPr>
          <w:lang w:val="en-GB"/>
        </w:rPr>
        <w:t xml:space="preserve"> for examining the impact of drying on the dispersion and size of wet-impregnated adatoms. Additionally, how this impacts the electrochemical properties of the fuel electrode during operation also needs assessing.</w:t>
      </w:r>
    </w:p>
    <w:p w14:paraId="50E35344" w14:textId="77777777" w:rsidR="00007F6C" w:rsidRPr="00F43C74" w:rsidRDefault="00007F6C" w:rsidP="004B726A">
      <w:pPr>
        <w:pStyle w:val="Heading6"/>
        <w:rPr>
          <w:rFonts w:asciiTheme="minorHAnsi" w:hAnsiTheme="minorHAnsi" w:cstheme="minorHAnsi"/>
        </w:rPr>
      </w:pPr>
      <w:r w:rsidRPr="00F43C74">
        <w:rPr>
          <w:rFonts w:asciiTheme="minorHAnsi" w:hAnsiTheme="minorHAnsi" w:cstheme="minorHAnsi"/>
        </w:rPr>
        <w:t>Surface Catalysis</w:t>
      </w:r>
    </w:p>
    <w:p w14:paraId="3BFE409A" w14:textId="75B543E5" w:rsidR="00007F6C" w:rsidRPr="00C507BA" w:rsidRDefault="00007F6C" w:rsidP="004B726A">
      <w:pPr>
        <w:pStyle w:val="NoSpacing"/>
        <w:jc w:val="both"/>
        <w:rPr>
          <w:lang w:val="en-GB"/>
        </w:rPr>
      </w:pPr>
      <w:r w:rsidRPr="00C507BA">
        <w:rPr>
          <w:lang w:val="en-GB"/>
        </w:rPr>
        <w:t xml:space="preserve">The work in surface catalysis scrutinising the impact of drying has focussed largely on the decomposition of transition metal nitrates supported on silica particles </w:t>
      </w:r>
      <w:r w:rsidRPr="00C507BA">
        <w:rPr>
          <w:lang w:val="en-GB"/>
        </w:rPr>
        <w:fldChar w:fldCharType="begin" w:fldLock="1"/>
      </w:r>
      <w:r w:rsidR="00D80A5D">
        <w:rPr>
          <w:lang w:val="en-GB"/>
        </w:rPr>
        <w:instrText>ADDIN CSL_CITATION {"citationItems":[{"id":"ITEM-1","itemData":{"DOI":"10.1016/S0167-2991(10)75009-6","ISBN":"01672991 (ISSN); 9780444536013 (ISBN)","abstract":"In previous communications we have shown that the decomposition of nickel and cobalt nitrate in a flow of NO/He prevented agglomeration, yielding high nickel and cobalt oxide dispersions. We now report on the impact of NO on the decomposition of first row transition metal nitrates, i.e. Sc, Mn, Fe, Co, Ni, Cu, Zn, using thermal gravimetric analysis and mass spectrometry. It was found that NO decreased the temperature of decomposition significantly for all investigated metal nitrates. For cobalt, nickel and copper nitrate it was verified that decomposition in the presence of NO yielded high dispersions and narrow particle size distributions, whereas in Ar agglomeration resulted in broad particle size distributions. The beneficial effect of NO on the dispersion of Co, Ni and Cu coincided with a large difference in the decomposition profiles of these metal nitrates compared to that in Ar. It was found that NO induced fast and complete hydrolysis to highly dispersed cobalt, nickel and copper hydroxynitrates which decomposed to yield highly dispersed metal oxides. This is in contrast to literature reports that ascribe loss in dispersion to the formation of metal hydroxynitrate intermediates. © 2010 Elsevier B.V.","author":[{"dropping-particle":"","family":"Wolters","given":"M","non-dropping-particle":"","parse-names":false,"suffix":""},{"dropping-particle":"","family":"Contreras Andrade","given":"I C A","non-dropping-particle":"","parse-names":false,"suffix":""},{"dropping-particle":"","family":"Munnik","given":"P","non-dropping-particle":"","parse-names":false,"suffix":""},{"dropping-particle":"","family":"Bitter","given":"J H","non-dropping-particle":"","parse-names":false,"suffix":""},{"dropping-particle":"","family":"Jongh","given":"P E","non-dropping-particle":"De","parse-names":false,"suffix":""},{"dropping-particle":"","family":"Jong","given":"K P","non-dropping-particle":"De","parse-names":false,"suffix":""}],"container-title":"10th International Symposium on Scientific Bases for the Preparation of Heterogeneous Catalysts","id":"ITEM-1","issued":{"date-parts":[["2010"]]},"language":"English","note":"Conference code: 83704\nCited By :6\nExport Date: 20 January 2017\nCODEN: SSCTD\nCorrespondence Address: Wolters, M.; Inorganic Chemistry and Catalysis, Debye Institute for Nanomaterials Science, Utrecht University, Sorbonnelaan 16, 3584 CA Utrecht, Netherlands\nReferences: Paulik, F., Paulik, J., Arnold, M., (1987) Thermochimica Acta, 121, p. 137; Elmasry, M.A.A., Gaber, A., Khater, E.M.H., (1998) J. Therm. Anal. Calorim., 52, p. 489; Estelle, J., Salagre, P., Cesteros, Y., Serra, M., Medina, F., Sueiras, J.E., (2003) Solid State Ionics, 156, p. 233; Llewellyn, P.L., Chevrota, V., Ragaib, J., Cerclier, O., Estienne, J., Rouquerol, F., (1997) Solid State Ionics, 101-103, p. 1293; Toupance, T., Kermarec, M., Louis, C., (2000) J. Phys. Chem. B, 104, p. 965; Chouillet, C., Villain, F., Kermarec, M., Lauron-Pernot, H., Louis, C., (2003) J. Phys. Chem. B, 107, p. 3565; Catillon-Mucherie, S., Ammari, F., Krafft, J.M., Lauron-Pernot, H., Touroude, R., Louis, C., (2007) J. Phys. Chem. C, 111, p. 11619; Van De Loosdrecht, J., Barradas, S., Caricato, E.A., Ngwenya, N.G., Nkwanyana, P.S., Rawat, M.A.S., Sigwebela, B.H., Visagie, J.L., (2003) Top. Catal., 26, p. 121; Sietsma, J.R.A., Meeldijk, J.D., Versluijs-Helder, M., Broersma, A., Van Dillen, A.J., De Jongh, P.E., De Jong, K.P., (2008) Chem. Mater., 20, p. 2921; Sietsma, J.R.A., Meeldijk, J.D., Den Breejen, J.P., Versluijs-Helder, M., Van Dillen, A.J., De Jongh, P.E., De Jong, K.P., (2007) Angew. Chem. Int. Ed., 46, p. 4547; Sietsma, J.R.A., Friedrich, H., Broersma, A., Versluijs-Helder, M., Jos Van Dillen, A., De Jongh, P.E., De Jong, K.P., (2008) J. Catal., 260, p. 227; Nissinena, T., Leskel, M., Gasika, M., Lamminen, J., (2005) Thermochimica Acta, 427, p. 155; Wieczorek-Ciurowa, K., Kozak, A.J., (1999) J. Therm. Anal. Calorim., 58, p. 647; Yuvaraj, S., Fan-Yuan, L., Tsong-Huei, C., Chuin-Tih, Y., (2003) J. Phys. Chem. B, 107, p. 1044; Malecka, B., Gajerski, R., Malecki, A., Wierzbicka, M., Olszewski, P., (2003) Thermochimica Acta, 404, p. 125; Cseri, T., Békássy, Kenessey, G., Liptay, G., Figueras, F., (1996) Thermochimica Acta, 288, p. 137; Ettarh, C., Galwey, A.K., (1996) Thermochim. Acta, 288, p. 203; Dickens, P.G., Sutcliffe, M.B., (1964) Trans. Faraday. Soc., 60, p. 1272; Brockner, W., Ehrhardt, C., Gjikaj, M., (2007) Thermochim. Acta, 456, p. 64; Malecki, A., Gajerski, R., Labus, S., Prochowska-Klisch, B., Wojciechowski, K.T., (2000) J. Therm. Anal., 60, p. 17","page":"69-76","publisher-place":"Louvain-la-Neuve","title":"Impact of NO on the decomposition of supported metal nitrate catalyst precursors and the final metal oxide dispersion","type":"article","volume":"175"},"uris":["http://www.mendeley.com/documents/?uuid=60616314-3fad-4af3-ad66-c5b4121f79e1"]},{"id":"ITEM-2","itemData":{"DOI":"10.1016/j.cattod.2010.02.052","ISBN":"09205861 (ISSN)","ISSN":"09205861","abstract":"Control over the size and size distribution of supported nanoparticles is key to their efficient use in catalysis. In the preparation of nanoparticles by impregnation using nitrate precursors, the support pore diameter can be used to influence the average crystallite size. However, the particle size distributions obtained via this method are generally broad and the dispersions relatively low. Higher dispersions and narrow particle size distributions are obtained via thermal decomposition of the metal nitrate precursor in 1% (v/v) NO in Ar instead of air. Here we will show that by combining the confinement effect of ordered mesoporous silica with a decomposition step of metal nitrates in NO, silica supported nickel and cobalt oxides with a tunable particle size (2-4 nm) can be obtained at high loadings (10-20 wt%). © 2010 Elsevier B.V.","author":[{"dropping-particle":"","family":"Wolters","given":"Mariska","non-dropping-particle":"","parse-names":false,"suffix":""},{"dropping-particle":"","family":"Grotel","given":"Lotte J.W. W","non-dropping-particle":"Van","parse-names":false,"suffix":""},{"dropping-particle":"","family":"Eggenhuisen","given":"Tamara M.","non-dropping-particle":"","parse-names":false,"suffix":""},{"dropping-particle":"","family":"Sietsma","given":"Jelle R.A. A","non-dropping-particle":"","parse-names":false,"suffix":""},{"dropping-particle":"","family":"Jong","given":"Krijn P.","non-dropping-particle":"De","parse-names":false,"suffix":""},{"dropping-particle":"","family":"Jongh","given":"Petra E.","non-dropping-particle":"De","parse-names":false,"suffix":""}],"container-title":"Catalysis Today","id":"ITEM-2","issue":"1","issued":{"date-parts":[["2011"]]},"language":"English","note":"From Duplicate 1 (Combining confinement and NO calcination to arrive at highly dispersed supported nickel and cobalt oxide catalysts with a tunable particle size - Wolters, M; Van Grotel, L J W; Eggenhuisen, T M; Sietsma, J R A; De Jong, K P; De Jongh, P E)\n\nCited By :33\nExport Date: 20 January 2017\nCODEN: CATTE\nCorrespondence Address: De Jongh, P. E.; Inorganic Chemistry and Catalysis, Debye Institute for NanoMaterials Science, Utrecht University, Sorbonnelaan 16, NL-3584 CA Utrecht, Netherlands; email: p.e.dejongh@uu.nl\nReferences: Balakos, M.W., Hernandez, E.E., (1997) Catal. Today, 35, p. 415; Chorkendorff, I., Niemantsverdriet, H., (2007) Concepts of Modern Catalysis and Kinetics, , Wiley-VCH Weinheim; Jiao, F., Frei, H., (2009) Angew. Chem. Int. Ed., 48, p. 1841; Bell, A.T., (2003) Science, 299, p. 1688; Che, M., Bennett, C.O., (1989) Adv. Catal., 36, p. 55; Somorjai, G.A., Park, J.Y., (2008) Top. Catal., 49, p. 126; Van Santen, R.A., (2009) Acc. Chem. Res., 42, p. 57; Bezemer, G.L., Bitter, J.H., Kuipers, H., Oosterbeek, H., Holewijn, J.E., Xu, X.D., Kapteijn, F., De Jong, K.P., (2006) J. Am. Chem. Soc., 128, p. 3956; Den Breejen, J.P., Radstake, P.B., Bezemer, G.L., Bitter, J.H., Froseth, V., Holmen, A., De Jong, K.P., (2009) J. Am. Chem. Soc., 131, p. 7197; De Jong, K.P., (1999) Curr. Opin. Solid State Mater. Sci., 4, p. 55; Bourikas, K., Kordulis, C., Lycourghiotis, A., (2006) Catal. Rev. Sci. Eng., 48, p. 363; Van Der Lee, M.K., Van Dillen, A.J., Bitter, J.H., De Jong, K.P., (2005) J. Am. Chem. Soc., 127, p. 13573; Van Dillen, A.J., Terörde, R.J.A.M., Lensveld, D.J., Geus, J.W., De Jong, K.P., (2003) J. Catal., 216, p. 257; Van De Loosdrecht, J., Barradas, S., Caricato, E.A., Ngwenya, N.G., Nkwanyana, P.S., Rawat, M.A.S., Sigwebela, B.H., Visagie, J.L., (2003) Top. Catal., 26, p. 121; Sietsma, J.R.A., Meeldijk, J.D., Den Breejen, J.P., Versluijs-Helder, M., Van Dillen, A.J., De Jongh, P.E., De Jong, K.P., (2007) Angew. Chem. Int. Ed., 46, p. 4547; Sietsma, J.R.A., Friedrich, H., Broersma, A., Versluijs-Helder, M., Van Dillen, A.J., De Jongh, P.E., De Jong, K.P., (2008) J. Catal., 260, p. 227; Khodakov, A.Y., Griboval-Constant, A., Bechara, R., Villain, F., (2001) J. Phys. Chem. B, 105, p. 9805; Jentys, A., Pham, N.H., Vinek, H., Englisch, M., Lercher, J.A., (1998) Catal. Today, 39, p. 311; Li, H.L., Li, J.L., Ni, H.K., Song, D.C., (2006) Catal. Lett., 110, p. 71; Borg Ø, Walmsley, J.C., Dehghan, R., Tanem, B.S., Blekkan, E.A., Eri, S., Rytter, E., Holmen, A., (2008) Catal. Lett., 126, p. 224; Van Der Meer, J., Bardez, I., Bart, F., Albouy, P.A., Wallez, G., Davidson, A., (2009) Micropor. Mesopor. Mater., 118, p. 183; Borg Ø, Dietzel, P.D.C., Spjelkavik, A.I., Tveten, E.Z., Walmsley, J.C., Diplas, S., Eri, S., Rytter, E., (2008) J. Catal., 259, p. 161; Zhao, D., Feng, J., Huo, Q., Melosh, N., Fredrickson, G.H., Chmelka, B.F., Stucky, G.D., (1998) Science, 279, p. 548; Cheng, C., Park, D.H., Klinowski, J., (1997) J. Chem. Soc. Faraday Trans., 93, p. 193; Jaroniec, M., Kruk, M., Olivier, J.P., Koch, S., (2000) Stud. Surf. Sci. Catal., 128, p. 71; Lippens, B.C., De Boer, J.H., (1965) J. Catal., 4, p. 319; Harkins, W.D., Jura, G., (1944) J. Am. Chem. Soc., 66, p. 1366; Gallezot, P., Prettre, M., (1968) Bull. Soc. Chim. Fr., 2, p. 407; Sietsma, J.R.A., Meeldijk, J.D., Versluijs-Helder, M., Broersma, A., Van Dillen, A.J., De Jongh, P.E., De Jong, K.P., (2008) Chem. Mater., 20, p. 2921; Petrov, K., Zotov, N., Mirtcheva, E., Garciamartinez, O., Rojas, R.M., (1994) J. Mater. Chem., 4, p. 611; Brockner, W., Ehrhardt, C., Gjikaj, M., (2007) Thermochim. Acta, 456, p. 64; Estelle, J., Salagre, P., Cesteros, Y., Serra, M., Medina, F., Sueiras, J.E., (2003) Solid State Ionics, 156, p. 233; Friedrich, H., Sietsma, J.R.A., De Jongh, P.E., Verkley, A.J., De Jong, K.P., (2007) J. Am. Chem. Soc., 129, p. 10249","page":"27-32","publisher":"Elsevier B.V.","title":"Combining confinement and NO calcination to arrive at highly dispersed supported nickel and cobalt oxide catalysts with a tunable particle size","type":"article-journal","volume":"163"},"uris":["http://www.mendeley.com/documents/?uuid=68f5959a-0c4a-4e95-ae5c-485ad2ab9e6a"]},{"id":"ITEM-3","itemData":{"DOI":"10.1021/ja0728876","ISBN":"0002-7863","author":[{"dropping-particle":"","family":"Friedrich","given":"Heiner","non-dropping-particle":"","parse-names":false,"suffix":""},{"dropping-particle":"","family":"Sietsma","given":"Jelle R A","non-dropping-particle":"","parse-names":false,"suffix":""},{"dropping-particle":"","family":"Jongh","given":"Petra E","non-dropping-particle":"de","parse-names":false,"suffix":""},{"dropping-particle":"","family":"Verkleij","given":"Arie J","non-dropping-particle":"","parse-names":false,"suffix":""},{"dropping-particle":"","family":"Jong","given":"Krijn P","non-dropping-particle":"de","parse-names":false,"suffix":""}],"container-title":"Journal of the American Chemical Society","id":"ITEM-3","issue":"33","issued":{"date-parts":[["2007"]]},"page":"10249-10254","publisher":"American Chemical Society","title":"Measuring Location, Size, Distribution, and Loading of NiO Crystallites in Individual SBA-15 Pores by Electron Tomography","type":"article-journal","volume":"129"},"uris":["http://www.mendeley.com/documents/?uuid=14f9e409-b7bb-4bfa-9011-ee498cb0c3ac"]},{"id":"ITEM-4","itemData":{"DOI":"10.1021/cm702610h","ISSN":"0897-4756","abstract":"In this contribution, we investigated the preparation of Ni/SiO2 catalysts with aqueous [Ni(OH2)6](NO3)2 solutions via the impregnation and drying method using ordered mesoporous silica SBA-15 (mesopore diameter of 9 nm) as model support to study each step in the preparation: impregnation, drying, calcination, and reduction. After impregnation, not all the mesopores of SBA-15 appeared filled with precursor solution. Consecutive drying led to formation of 9 nm Ni3(NO3)2(OH)4 crystallites exclusively within the mesopores. During air calcination, severe sintering and redistribution took place, resulting in a low NiO dispersion, including large NiO crystals outside of the mesopores and rodlike NiO particles inside the mesopores. The degree of sintering depended on the concentration of Ni3(NO3)2(OH)4 decomposition products (NO2, N2O, O2 and H2O), and in particular NO2 and O2 were found to promote sintering and redistribution. Therefore, maintaining low concentrations of the latter components during the thermal nitrate decomposition is advocated, which was achieved by carrying out the treatment in the presence of H2. The latter treatment prevented formation of NO2/O2 as decomposition products, moderated the decomposition rate of Ni3(NO3)2(OH)4 into NiO as observed from in situ XRD experiments, and led to NiO particles of 3 nm on average at a loading of 20 wt % Ni/SiO2.","author":[{"dropping-particle":"","family":"Sietsma","given":"Jelle R A","non-dropping-particle":"","parse-names":false,"suffix":""},{"dropping-particle":"","family":"Meeldijk","given":"Johannes D","non-dropping-particle":"","parse-names":false,"suffix":""},{"dropping-particle":"","family":"Versluijs-Helder","given":"Marjan","non-dropping-particle":"","parse-names":false,"suffix":""},{"dropping-particle":"","family":"Broersma","given":"Alfred","non-dropping-particle":"","parse-names":false,"suffix":""},{"dropping-particle":"van","family":"Dillen","given":"A Jos","non-dropping-particle":"","parse-names":false,"suffix":""},{"dropping-particle":"","family":"Jongh","given":"Petra E","non-dropping-particle":"de","parse-names":false,"suffix":""},{"dropping-particle":"","family":"Jong","given":"Krijn P","non-dropping-particle":"de","parse-names":false,"suffix":""}],"container-title":"Chemistry of Materials","id":"ITEM-4","issue":"9","issued":{"date-parts":[["2008","5","1"]]},"note":"doi: 10.1021/cm702610h","page":"2921-2931","publisher":"American Chemical Society","title":"Ordered Mesoporous Silica to Study the Preparation of Ni/SiO2 ex Nitrate Catalysts: Impregnation, Drying, and Thermal Treatments","type":"article-journal","volume":"20"},"uris":["http://www.mendeley.com/documents/?uuid=8f35ba25-6cd8-4e07-ac7c-cb626021cd9a"]},{"id":"ITEM-5","itemData":{"DOI":"10.1002/anie.200700608","ISBN":"14337851 (ISSN)","abstract":"A need for NO: Moderating the thermal decomposition of supported nitrates with NO (see picture, center) prevents precursor mobility and is a versatile method for the preparation of small NiO (left; compared to the product of the conventional procedure, right) and Co3O4 particles. These materials can be used as heterogeneous catalysts and show good activity in the Fischer-Tropsch synthesis. © 2007 Wiley-VCH Verlag GmbH &amp; Co. KGaA.","author":[{"dropping-particle":"","family":"Sietsma","given":"J R A","non-dropping-particle":"","parse-names":false,"suffix":""},{"dropping-particle":"","family":"Meeldijk","given":"J D","non-dropping-particle":"","parse-names":false,"suffix":""},{"dropping-particle":"","family":"Breejen","given":"J P","non-dropping-particle":"Den","parse-names":false,"suffix":""},{"dropping-particle":"","family":"Versluijs-Helder","given":"M","non-dropping-particle":"","parse-names":false,"suffix":""},{"dropping-particle":"","family":"Dillen","given":"A J","non-dropping-particle":"Van","parse-names":false,"suffix":""},{"dropping-particle":"","family":"Jongh","given":"P E","non-dropping-particle":"De","parse-names":false,"suffix":""},{"dropping-particle":"","family":"Jong","given":"K P","non-dropping-particle":"De","parse-names":false,"suffix":""}],"container-title":"Angewandte Chemie - International Edition","id":"ITEM-5","issue":"24","issued":{"date-parts":[["2007"]]},"language":"English","note":"Cited By :160\nExport Date: 20 January 2017\nCODEN: ACIEA\nCorrespondence Address: Sietsma, J.R.A.; Inorganic Chemistry and Catalysis, Utrecht University, Sorbonnelaan 16, 3584 CA, Utrecht, Netherlands\nReferences: Poizot, P., Laruelle, S., Grugeon, S., Dupont, L., Tarascon, J.-M., (2000) Nature, 407, pp. 496-499; O'Regan, B., Grätzel, M., (1991) Nature, 353, pp. 737-740; Kim, J., Lee, J.E., Lee, J., Jang, Y., Kim, S.-W., An, K., Yu, J.H., Hyeon, T., (2006) Angew. Chem, 118, pp. 4907-4911; Angew, (2006) Chem. Int. Ed, 45, pp. 4789-4793; Bell, A.T., (2003) Science, 299, pp. 1688-1691; Schlögl, R., Abd Hamid, S.B., (2004) Angew. Chem, 116, pp. 1656-1667; Angew, (2004) Chem. Int. Ed, 43, pp. 1628-1637; Ying, J.Y., (2006) Chem. Eng. Sci, 61, pp. 1540-1548; Mal, N.K., Fuijwara, N., Tanaka, Y., (2003) Nature, 421, pp. 350-353; de Jong, K.P., (1999) Curr. Opin. Solid State Mater. Sci, 4, pp. 55-62; Bourikas, K., Kordulis, C., Lycourghiotis, A., (2006) Catal. Rev. Sci. Eng, 48, pp. 363-444; Négrier, F., Marceau, E., Che, M., Giraudon, J.-M., Gengembre, L., Löfberg, A., (2005) J. Phys. Chem. B, 109, pp. 2836-2845; van der Lee, M.K., van Dillen, A.J., Bitter, J.H., de Jong, K.P., (2005) J. Am. Chem. Soc, 127, pp. 13573-13582; Burattin, P., Che, M., Louis, C., (1999) J. Phys. Chem. B, 103, pp. 6171-6178; van Dillen, A.J., Terörde, R.J.A.M., Lensveld, D.J., Geus, J.W., de Jong, K.P., (2003) J. Catal, 216, pp. 257-264; Poels, E.K., Dekker, J.G., van Leeuwen, W.A., (1991) Stud. Surf. Sci. Catal, 63, pp. 205-214; van de Loosdrecht, J., Barradas, S., Caricato, E.A., Ngwenya, N.G., Nkwanyana, P.S., Rawat, M.A.S., Sigwebela, B.H., Visagie, J.L., (2003) Top. Catal, 26, pp. 121-127; Chernavskii, P.A., Khodakov, A.Y., Pankina, G.V., Girardon, J.-S., Quinet, E., (2006) Appl. Catal. A, 306, pp. 108-119; Iglesia, E., (1997) Appl. Catal. A, 161, pp. 59-78; Bezemer, G.L., Bitter, J.H., Kuipers, H.P.C.E., Oosterbeek, H., Holewijn, J.E., Xu, X., Kapteijn, F., de Jong, K.P., (2006) J. Am. Chem. Soc, 128, pp. 3956-3964; Sietsma, J.R.A., van Dillen, A.J., de Jongh, P.E., de Jong, K.P., (2006) Stud. Surf. Sci. Catal, pp. 95-102; Thomas, J.M., Midgley, P.A., Yates, T.J.V., Barnard, J.S., Raja, R., Arslan, I., Weyland, M., (2004) Angew. Chem, 116, pp. 6913-6915; Angew, (2004) Chem. Int. Ed, 43, pp. 6745-6747; Salabas, E.L., Rumplecker, A., Kleitz, F., Radu, F., Schüth, F., (2006) Nano Lett, 6, pp. 2977-2981; Vradman, L., Landau, M.V., Kantorovich, D., Koltypin, Y., Gedanken, A., (2005) Microporous Mesoporous Mater, 79, pp. 307-318; Escax, V., Impéror-Clerc, M., Bazin, D., Davidson, A., (2005) C. R. Chim, 8, pp. 663-677; Ravikovitch, P.I., Neimark, A.V., (2002) Langmuir, 18, pp. 9830-9837; Janssen, A.H., Yang, C.-M., Wang, Y., Schüth, F., Koster, A.J., de Jong, K.P., (2003) J. Phys. Chem. B, 107, pp. 10552-10556; Zhao, D., Feng, J., Huo, Q., Melosh, N., Fredrickson, G.H., Chmelka, B.F., Stucky, G.D., (1998) Science, 279, pp. 548-552; Jaroniec, M., Kruk, M., Olivier, J.P., Koch, S., (1999) Proceedings of COPS-V, , Heidelberg, Germany","page":"4547-4549","title":"The preparation of supported NiO and Co3O4 nanoparticles by the nitric oxide controlled thermal decomposition of nitrates","type":"article-journal","volume":"46"},"uris":["http://www.mendeley.com/documents/?uuid=d6a7467a-0b47-4b87-9a79-efd212fb8a5b"]},{"id":"ITEM-6","itemData":{"DOI":"10.1016/j.jcat.2008.10.007","ISBN":"0021-9517","ISSN":"00219517","abstract":"An explanation is put forward for the beneficial effect of thermal decomposition of supported Ni3(NO3)2(OH)4in NO/He flow (0.1-1 vol%) that enables preparation of well-dispersed (3-5 nm particles) 24 wt% Ni-catalysts via impregnation and drying using aqueous [Ni(OH2)6](NO3)2precursor solution. Moreover, combining electron tomography, XRD and N2-physisorption with SBA-15 support yielded a clear picture of the impact of air, He and NO/He gas atmospheres on NiO shape and distribution. TGA/MS indicated that NO2, N2O, H2O products evolved more gradually in NO/He. In situ XRD and DSC revealed that NO lowers the nitrate decomposition rate and appears less endothermic than in air supposedly due to exothermic scavenging of oxygen by NO, which is supported by MS results. The Ni/SiO2catalyst prepared via the NO-method displayed a higher activity in the hydrogenation of soybean oil as the required hydrogenation time decreased by 30% compared to the traditionally air calcined catalyst. © 2008 Elsevier Inc. All rights reserved.","author":[{"dropping-particle":"","family":"Sietsma","given":"J. R A","non-dropping-particle":"","parse-names":false,"suffix":""},{"dropping-particle":"","family":"Friedrich","given":"Heiner","non-dropping-particle":"","parse-names":false,"suffix":""},{"dropping-particle":"","family":"Broersma","given":"Alfred","non-dropping-particle":"","parse-names":false,"suffix":""},{"dropping-particle":"","family":"Versluijs-Helder","given":"Marjan","non-dropping-particle":"","parse-names":false,"suffix":""},{"dropping-particle":"","family":"Jos van Dillen","given":"A.","non-dropping-particle":"","parse-names":false,"suffix":""},{"dropping-particle":"","family":"Jongh","given":"Petra E.","non-dropping-particle":"de","parse-names":false,"suffix":""},{"dropping-particle":"","family":"Jong","given":"Krijn P.","non-dropping-particle":"de","parse-names":false,"suffix":""}],"container-title":"Journal of Catalysis","id":"ITEM-6","issue":"2","issued":{"date-parts":[["2008"]]},"page":"227-235","publisher":"Elsevier Inc.","title":"How nitric oxide affects the decomposition of supported nickel nitrate to arrive at highly dispersed catalysts","type":"article-journal","volume":"260"},"uris":["http://www.mendeley.com/documents/?uuid=6954d62a-60df-4efa-977c-f9a44718f0ac"]},{"id":"ITEM-7","itemData":{"DOI":"10.1021/cs5006772","ISSN":"21555435","abstract":"The nanoscale distribution of the supported metal phase is an important property for highly active, selective, and stable catalysts. Here, the nanoscale redistribution and aggregate formation of cobalt nitrate during the synthesis of supported cobalt catalysts were studied. Drying over a range of temperatures in stagnant air resulted in cobalt particles (8 nm) present in large aggregates (30-150 nm). However, drying in a N2 flow resulted in cobalt nanoparticles distributed either in aggregates or uniformly on various SiO2 and-Al2O3 supports, critically dependent on the drying temperature. The mechanism of aggregation was studied through chemical immobilization of the precursor on a silica support after drying in a N2 flow. The aggregation behavior upon drying in a gas flow at temperatures below 100 °C showed a remarkable similarity to distributions obtained upon the dewetting of colloidal films, suggesting a physical process. Alternatively, by inducing decomposition of the cobalt nitrate above 100 °C before drying was complete, aggregation was brought about through a chemical process that occurred both in stagnant and flowing gas. A-alumina support exhibited increased precursor-support interactions and displayed little cobalt aggregation upon drying in a gas flow but extensive aggregation upon drying in stagnant air. The aggregation behavior was further tested on silica supports with pore sizes between 3 and 15 nm and tested under industrially relevant Fischer-Tropsch conditions, which revealed that uniform cobalt nanoparticle distributions were up to 50% more active compared to aggregated systems. Thus, hydrodynamics and the temperature of the gas phase are critical parameters to control nanoscale distributions during drying of functional nanomaterials such as supported catalysts.","author":[{"dropping-particle":"","family":"Munnik","given":"Peter","non-dropping-particle":"","parse-names":false,"suffix":""},{"dropping-particle":"","family":"Krans","given":"Nynke A.","non-dropping-particle":"","parse-names":false,"suffix":""},{"dropping-particle":"","family":"Jongh","given":"Petra E.","non-dropping-particle":"De","parse-names":false,"suffix":""},{"dropping-particle":"","family":"Jong","given":"Krijn P.","non-dropping-particle":"De","parse-names":false,"suffix":""}],"container-title":"ACS Catalysis","id":"ITEM-7","issue":"9","issued":{"date-parts":[["2014"]]},"page":"3219-3226","title":"Effects of drying conditions on the synthesis of Co/SiO2 and Co/Al2O3 fischer-tropsch catalysts","type":"article-journal","volume":"4"},"uris":["http://www.mendeley.com/documents/?uuid=ff2d8c3b-b606-4a55-9be4-2f66736d890c"]}],"mendeley":{"formattedCitation":"[165]–[171]","plainTextFormattedCitation":"[165]–[171]","previouslyFormattedCitation":"[165]–[171]"},"properties":{"noteIndex":0},"schema":"https://github.com/citation-style-language/schema/raw/master/csl-citation.json"}</w:instrText>
      </w:r>
      <w:r w:rsidRPr="00C507BA">
        <w:rPr>
          <w:lang w:val="en-GB"/>
        </w:rPr>
        <w:fldChar w:fldCharType="separate"/>
      </w:r>
      <w:r w:rsidR="006C586A" w:rsidRPr="006C586A">
        <w:rPr>
          <w:noProof/>
          <w:lang w:val="en-GB"/>
        </w:rPr>
        <w:t>[165]–[171]</w:t>
      </w:r>
      <w:r w:rsidRPr="00C507BA">
        <w:rPr>
          <w:lang w:val="en-GB"/>
        </w:rPr>
        <w:fldChar w:fldCharType="end"/>
      </w:r>
      <w:r w:rsidRPr="00C507BA">
        <w:rPr>
          <w:lang w:val="en-GB"/>
        </w:rPr>
        <w:t>. These adatoms are crucial for Fischer</w:t>
      </w:r>
      <w:r>
        <w:rPr>
          <w:lang w:val="en-GB"/>
        </w:rPr>
        <w:t>-</w:t>
      </w:r>
      <w:proofErr w:type="spellStart"/>
      <w:r w:rsidRPr="00C507BA">
        <w:rPr>
          <w:lang w:val="en-GB"/>
        </w:rPr>
        <w:t>Tropsch</w:t>
      </w:r>
      <w:proofErr w:type="spellEnd"/>
      <w:r w:rsidRPr="00C507BA">
        <w:rPr>
          <w:lang w:val="en-GB"/>
        </w:rPr>
        <w:t xml:space="preserve"> synthesis </w:t>
      </w:r>
      <w:r w:rsidRPr="00C507BA">
        <w:rPr>
          <w:lang w:val="en-GB"/>
        </w:rPr>
        <w:fldChar w:fldCharType="begin" w:fldLock="1"/>
      </w:r>
      <w:r w:rsidR="00D80A5D">
        <w:rPr>
          <w:lang w:val="en-GB"/>
        </w:rPr>
        <w:instrText>ADDIN CSL_CITATION {"citationItems":[{"id":"ITEM-1","itemData":{"DOI":"10.1039/C5RA08965D","author":[{"dropping-particle":"","family":"Du","given":"Juan","non-dropping-particle":"","parse-names":false,"suffix":""},{"dropping-particle":"","family":"Yan","given":"Junkun","non-dropping-particle":"","parse-names":false,"suffix":""},{"dropping-particle":"","family":"Hong","given":"Jingping","non-dropping-particle":"","parse-names":false,"suffix":""},{"dropping-particle":"","family":"Zhang","given":"Yuhua","non-dropping-particle":"","parse-names":false,"suffix":""},{"dropping-particle":"","family":"Li","given":"Jinlin","non-dropping-particle":"","parse-names":false,"suffix":""}],"container-title":"RSC Advances","id":"ITEM-1","issued":{"date-parts":[["2015"]]},"page":"60534-60540","title":"RSC Advances Catalytic performance of Co / Zn – Al 2 O 3 Fischer – Tropsch catalysts : a comparative study of zinc","type":"article-journal","volume":"5"},"uris":["http://www.mendeley.com/documents/?uuid=2d192ce5-51c7-41aa-aa5c-55d4a2800679"]}],"mendeley":{"formattedCitation":"[172]","plainTextFormattedCitation":"[172]","previouslyFormattedCitation":"[172]"},"properties":{"noteIndex":0},"schema":"https://github.com/citation-style-language/schema/raw/master/csl-citation.json"}</w:instrText>
      </w:r>
      <w:r w:rsidRPr="00C507BA">
        <w:rPr>
          <w:lang w:val="en-GB"/>
        </w:rPr>
        <w:fldChar w:fldCharType="separate"/>
      </w:r>
      <w:r w:rsidR="006C586A" w:rsidRPr="006C586A">
        <w:rPr>
          <w:noProof/>
          <w:lang w:val="en-GB"/>
        </w:rPr>
        <w:t>[172]</w:t>
      </w:r>
      <w:r w:rsidRPr="00C507BA">
        <w:rPr>
          <w:lang w:val="en-GB"/>
        </w:rPr>
        <w:fldChar w:fldCharType="end"/>
      </w:r>
      <w:r w:rsidRPr="00C507BA">
        <w:rPr>
          <w:lang w:val="en-GB"/>
        </w:rPr>
        <w:t>. The major drying routine discussed in the past 10 years has around the optimisation of these catalysts by utilising a gas atmosphere during the drying step.</w:t>
      </w:r>
    </w:p>
    <w:p w14:paraId="2401392D" w14:textId="77777777" w:rsidR="00007F6C" w:rsidRPr="00C507BA" w:rsidRDefault="00007F6C" w:rsidP="004B726A">
      <w:pPr>
        <w:pStyle w:val="NoSpacing"/>
        <w:jc w:val="both"/>
        <w:rPr>
          <w:lang w:val="en-GB"/>
        </w:rPr>
      </w:pPr>
    </w:p>
    <w:p w14:paraId="5DFB3608" w14:textId="3FDC8A47" w:rsidR="00007F6C" w:rsidRPr="00C507BA" w:rsidRDefault="00007F6C" w:rsidP="004B726A">
      <w:pPr>
        <w:pStyle w:val="NoSpacing"/>
        <w:jc w:val="both"/>
        <w:rPr>
          <w:lang w:val="en-GB"/>
        </w:rPr>
      </w:pPr>
      <w:r w:rsidRPr="00C507BA">
        <w:rPr>
          <w:lang w:val="en-GB"/>
        </w:rPr>
        <w:t xml:space="preserve">The De </w:t>
      </w:r>
      <w:proofErr w:type="spellStart"/>
      <w:r w:rsidRPr="00C507BA">
        <w:rPr>
          <w:lang w:val="en-GB"/>
        </w:rPr>
        <w:t>Jongh</w:t>
      </w:r>
      <w:proofErr w:type="spellEnd"/>
      <w:r w:rsidRPr="00C507BA">
        <w:rPr>
          <w:lang w:val="en-GB"/>
        </w:rPr>
        <w:t xml:space="preserve"> group (Utrecht, Netherlands) have led the field of surface catalysis in this area with a suite of papers discussing the impact of the drying atmosphere on the dispersion and size of wet impregnated catalysts </w:t>
      </w:r>
      <w:r w:rsidRPr="00C507BA">
        <w:rPr>
          <w:lang w:val="en-GB"/>
        </w:rPr>
        <w:fldChar w:fldCharType="begin" w:fldLock="1"/>
      </w:r>
      <w:r w:rsidR="00D80A5D">
        <w:rPr>
          <w:lang w:val="en-GB"/>
        </w:rPr>
        <w:instrText>ADDIN CSL_CITATION {"citationItems":[{"id":"ITEM-1","itemData":{"author":[{"dropping-particle":"","family":"Sietsma","given":"J R A","non-dropping-particle":"","parse-names":false,"suffix":""},{"dropping-particle":"De","family":"Jong","given":"K P","non-dropping-particle":"","parse-names":false,"suffix":""},{"dropping-particle":"Van","family":"Dillen","given":"A J","non-dropping-particle":"","parse-names":false,"suffix":""},{"dropping-particle":"De","family":"Jongh","given":"P E","non-dropping-particle":"","parse-names":false,"suffix":""}],"id":"ITEM-1","issued":{"date-parts":[["1998"]]},"page":"80003","title":"A Novel Calcination Method for Supported Metal Nitrate Catalyst Precursors","type":"article-journal"},"uris":["http://www.mendeley.com/documents/?uuid=ab012286-f1af-4fa7-8097-70131174da08"]},{"id":"ITEM-2","itemData":{"DOI":"10.1002/anie.200700608","ISBN":"1521-3773","author":[{"dropping-particle":"","family":"Sietsma","given":"Jelle R  A","non-dropping-particle":"","parse-names":false,"suffix":""},{"dropping-particle":"","family":"Meeldijk","given":"Johannes D","non-dropping-particle":"","parse-names":false,"suffix":""},{"dropping-particle":"","family":"den Breejen","given":"Johan P","non-dropping-particle":"","parse-names":false,"suffix":""},{"dropping-particle":"","family":"Versluijs-Helder","given":"Marjan","non-dropping-particle":"","parse-names":false,"suffix":""},{"dropping-particle":"","family":"van Dillen","given":"A  Jos","non-dropping-particle":"","parse-names":false,"suffix":""},{"dropping-particle":"","family":"de Jongh","given":"Petra E","non-dropping-particle":"","parse-names":false,"suffix":""},{"dropping-particle":"","family":"de Jong","given":"Krijn P","non-dropping-particle":"","parse-names":false,"suffix":""}],"container-title":"Angewandte Chemie International Edition","id":"ITEM-2","issue":"24","issued":{"date-parts":[["2007"]]},"page":"4547-4549","publisher":"WILEY-VCH Verlag","title":"The Preparation of Supported NiO and Co3O4 Nanoparticles by the Nitric Oxide Controlled Thermal Decomposition of Nitrates","type":"article-journal","volume":"46"},"uris":["http://www.mendeley.com/documents/?uuid=c8cd187c-2067-4535-affa-69ae7fffba4c"]},{"id":"ITEM-3","itemData":{"DOI":"10.1021/ja0728876","ISBN":"0002-7863","author":[{"dropping-particle":"","family":"Friedrich","given":"Heiner","non-dropping-particle":"","parse-names":false,"suffix":""},{"dropping-particle":"","family":"Sietsma","given":"Jelle R A","non-dropping-particle":"","parse-names":false,"suffix":""},{"dropping-particle":"","family":"Jongh","given":"Petra E","non-dropping-particle":"de","parse-names":false,"suffix":""},{"dropping-particle":"","family":"Verkleij","given":"Arie J","non-dropping-particle":"","parse-names":false,"suffix":""},{"dropping-particle":"","family":"Jong","given":"Krijn P","non-dropping-particle":"de","parse-names":false,"suffix":""}],"container-title":"Journal of the American Chemical Society","id":"ITEM-3","issue":"33","issued":{"date-parts":[["2007"]]},"page":"10249-10254","publisher":"American Chemical Society","title":"Measuring Location, Size, Distribution, and Loading of NiO Crystallites in Individual SBA-15 Pores by Electron Tomography","type":"article-journal","volume":"129"},"uris":["http://www.mendeley.com/documents/?uuid=14f9e409-b7bb-4bfa-9011-ee498cb0c3ac"]},{"id":"ITEM-4","itemData":{"DOI":"http://dx.doi.org/10.1016/j.jcat.2008.10.007","ISBN":"0021-9517","abstract":"An explanation is put forward for the beneficial effect of thermal decomposition of supported Ni3(NO3)2(OH)4 in NO/He flow (0.1–1 vol%) that enables preparation of well-dispersed (3–5 nm particles) 24 wt% Ni-catalysts via impregnation and drying using aqueous [Ni(OH2)6](NO3)2 precursor solution. Moreover, combining electron tomography, XRD and N2-physisorption with SBA-15 support yielded a clear picture of the impact of air, He and NO/He gas atmospheres on NiO shape and distribution. TGA/MS indicated that NO2, N2O, H2O products evolved more gradually in NO/He. In situ XRD and DSC revealed that NO lowers the nitrate decomposition rate and appears less endothermic than in air supposedly due to exothermic scavenging of oxygen by NO, which is supported by MS results. The Ni/SiO2 catalyst prepared via the NO-method displayed a higher activity in the hydrogenation of soybean oil as the required hydrogenation time decreased by 30% compared to the traditionally air calcined catalyst.","author":[{"dropping-particle":"","family":"Sietsma","given":"Jelle R A","non-dropping-particle":"","parse-names":false,"suffix":""},{"dropping-particle":"","family":"Friedrich","given":"Heiner","non-dropping-particle":"","parse-names":false,"suffix":""},{"dropping-particle":"","family":"Broersma","given":"Alfred","non-dropping-particle":"","parse-names":false,"suffix":""},{"dropping-particle":"","family":"Versluijs-Helder","given":"Marjan","non-dropping-particle":"","parse-names":false,"suffix":""},{"dropping-particle":"","family":"Jos van Dillen","given":"A","non-dropping-particle":"","parse-names":false,"suffix":""},{"dropping-particle":"","family":"Jongh","given":"Petra E","non-dropping-particle":"de","parse-names":false,"suffix":""},{"dropping-particle":"","family":"Jong","given":"Krijn P","non-dropping-particle":"de","parse-names":false,"suffix":""}],"container-title":"Journal of Catalysis","id":"ITEM-4","issue":"2","issued":{"date-parts":[["2008"]]},"page":"227-235","title":"How nitric oxide affects the decomposition of supported nickel nitrate to arrive at highly dispersed catalysts","type":"article-journal","volume":"260"},"uris":["http://www.mendeley.com/documents/?uuid=bb48dacb-b120-4d69-8aa1-ed647712a98d"]},{"id":"ITEM-5","itemData":{"DOI":"10.1016/j.cattod.2010.02.052","ISBN":"09205861 (ISSN)","abstract":"Control over the size and size distribution of supported nanoparticles is key to their efficient use in catalysis. In the preparation of nanoparticles by impregnation using nitrate precursors, the support pore diameter can be used to influence the average crystallite size. However, the particle size distributions obtained via this method are generally broad and the dispersions relatively low. Higher dispersions and narrow particle size distributions are obtained via thermal decomposition of the metal nitrate precursor in 1% (v/v) NO in Ar instead of air. Here we will show that by combining the confinement effect of ordered mesoporous silica with a decomposition step of metal nitrates in NO, silica supported nickel and cobalt oxides with a tunable particle size (2-4 nm) can be obtained at high loadings (10-20 wt%). © 2010 Elsevier B.V.","author":[{"dropping-particle":"","family":"Wolters","given":"M","non-dropping-particle":"","parse-names":false,"suffix":""},{"dropping-particle":"","family":"Grotel","given":"L J W","non-dropping-particle":"Van","parse-names":false,"suffix":""},{"dropping-particle":"","family":"Eggenhuisen","given":"T M","non-dropping-particle":"","parse-names":false,"suffix":""},{"dropping-particle":"","family":"Sietsma","given":"J R A","non-dropping-particle":"","parse-names":false,"suffix":""},{"dropping-particle":"","family":"Jong","given":"K P","non-dropping-particle":"De","parse-names":false,"suffix":""},{"dropping-particle":"","family":"Jongh","given":"P E","non-dropping-particle":"De","parse-names":false,"suffix":""}],"container-title":"Catalysis Today","id":"ITEM-5","issue":"1","issued":{"date-parts":[["2011"]]},"language":"English","note":"Cited By :33\nExport Date: 20 January 2017\nCODEN: CATTE\nCorrespondence Address: De Jongh, P. E.; Inorganic Chemistry and Catalysis, Debye Institute for NanoMaterials Science, Utrecht University, Sorbonnelaan 16, NL-3584 CA Utrecht, Netherlands; email: p.e.dejongh@uu.nl\nReferences: Balakos, M.W., Hernandez, E.E., (1997) Catal. Today, 35, p. 415; Chorkendorff, I., Niemantsverdriet, H., (2007) Concepts of Modern Catalysis and Kinetics, , Wiley-VCH Weinheim; Jiao, F., Frei, H., (2009) Angew. Chem. Int. Ed., 48, p. 1841; Bell, A.T., (2003) Science, 299, p. 1688; Che, M., Bennett, C.O., (1989) Adv. Catal., 36, p. 55; Somorjai, G.A., Park, J.Y., (2008) Top. Catal., 49, p. 126; Van Santen, R.A., (2009) Acc. Chem. Res., 42, p. 57; Bezemer, G.L., Bitter, J.H., Kuipers, H., Oosterbeek, H., Holewijn, J.E., Xu, X.D., Kapteijn, F., De Jong, K.P., (2006) J. Am. Chem. Soc., 128, p. 3956; Den Breejen, J.P., Radstake, P.B., Bezemer, G.L., Bitter, J.H., Froseth, V., Holmen, A., De Jong, K.P., (2009) J. Am. Chem. Soc., 131, p. 7197; De Jong, K.P., (1999) Curr. Opin. Solid State Mater. Sci., 4, p. 55; Bourikas, K., Kordulis, C., Lycourghiotis, A., (2006) Catal. Rev. Sci. Eng., 48, p. 363; Van Der Lee, M.K., Van Dillen, A.J., Bitter, J.H., De Jong, K.P., (2005) J. Am. Chem. Soc., 127, p. 13573; Van Dillen, A.J., Terörde, R.J.A.M., Lensveld, D.J., Geus, J.W., De Jong, K.P., (2003) J. Catal., 216, p. 257; Van De Loosdrecht, J., Barradas, S., Caricato, E.A., Ngwenya, N.G., Nkwanyana, P.S., Rawat, M.A.S., Sigwebela, B.H., Visagie, J.L., (2003) Top. Catal., 26, p. 121; Sietsma, J.R.A., Meeldijk, J.D., Den Breejen, J.P., Versluijs-Helder, M., Van Dillen, A.J., De Jongh, P.E., De Jong, K.P., (2007) Angew. Chem. Int. Ed., 46, p. 4547; Sietsma, J.R.A., Friedrich, H., Broersma, A., Versluijs-Helder, M., Van Dillen, A.J., De Jongh, P.E., De Jong, K.P., (2008) J. Catal., 260, p. 227; Khodakov, A.Y., Griboval-Constant, A., Bechara, R., Villain, F., (2001) J. Phys. Chem. B, 105, p. 9805; Jentys, A., Pham, N.H., Vinek, H., Englisch, M., Lercher, J.A., (1998) Catal. Today, 39, p. 311; Li, H.L., Li, J.L., Ni, H.K., Song, D.C., (2006) Catal. Lett., 110, p. 71; Borg Ø, Walmsley, J.C., Dehghan, R., Tanem, B.S., Blekkan, E.A., Eri, S., Rytter, E., Holmen, A., (2008) Catal. Lett., 126, p. 224; Van Der Meer, J., Bardez, I., Bart, F., Albouy, P.A., Wallez, G., Davidson, A., (2009) Micropor. Mesopor. Mater., 118, p. 183; Borg Ø, Dietzel, P.D.C., Spjelkavik, A.I., Tveten, E.Z., Walmsley, J.C., Diplas, S., Eri, S., Rytter, E., (2008) J. Catal., 259, p. 161; Zhao, D., Feng, J., Huo, Q., Melosh, N., Fredrickson, G.H., Chmelka, B.F., Stucky, G.D., (1998) Science, 279, p. 548; Cheng, C., Park, D.H., Klinowski, J., (1997) J. Chem. Soc. Faraday Trans., 93, p. 193; Jaroniec, M., Kruk, M., Olivier, J.P., Koch, S., (2000) Stud. Surf. Sci. Catal., 128, p. 71; Lippens, B.C., De Boer, J.H., (1965) J. Catal., 4, p. 319; Harkins, W.D., Jura, G., (1944) J. Am. Chem. Soc., 66, p. 1366; Gallezot, P., Prettre, M., (1968) Bull. Soc. Chim. Fr., 2, p. 407; Sietsma, J.R.A., Meeldijk, J.D., Versluijs-Helder, M., Broersma, A., Van Dillen, A.J., De Jongh, P.E., De Jong, K.P., (2008) Chem. Mater., 20, p. 2921; Petrov, K., Zotov, N., Mirtcheva, E., Garciamartinez, O., Rojas, R.M., (1994) J. Mater. Chem., 4, p. 611; Brockner, W., Ehrhardt, C., Gjikaj, M., (2007) Thermochim. Acta, 456, p. 64; Estelle, J., Salagre, P., Cesteros, Y., Serra, M., Medina, F., Sueiras, J.E., (2003) Solid State Ionics, 156, p. 233; Friedrich, H., Sietsma, J.R.A., De Jongh, P.E., Verkley, A.J., De Jong, K.P., (2007) J. Am. Chem. Soc., 129, p. 10249","page":"27-32","title":"Combining confinement and NO calcination to arrive at highly dispersed supported nickel and cobalt oxide catalysts with a tunable particle size","type":"article-journal","volume":"163"},"uris":["http://www.mendeley.com/documents/?uuid=f332073a-8245-40b8-869f-64cef4c02a05"]}],"mendeley":{"formattedCitation":"[167], [173]–[176]","plainTextFormattedCitation":"[167], [173]–[176]","previouslyFormattedCitation":"[167], [173]–[176]"},"properties":{"noteIndex":0},"schema":"https://github.com/citation-style-language/schema/raw/master/csl-citation.json"}</w:instrText>
      </w:r>
      <w:r w:rsidRPr="00C507BA">
        <w:rPr>
          <w:lang w:val="en-GB"/>
        </w:rPr>
        <w:fldChar w:fldCharType="separate"/>
      </w:r>
      <w:r w:rsidR="006C586A" w:rsidRPr="006C586A">
        <w:rPr>
          <w:noProof/>
          <w:lang w:val="en-GB"/>
        </w:rPr>
        <w:t>[167], [173]–[176]</w:t>
      </w:r>
      <w:r w:rsidRPr="00C507BA">
        <w:rPr>
          <w:lang w:val="en-GB"/>
        </w:rPr>
        <w:fldChar w:fldCharType="end"/>
      </w:r>
      <w:r w:rsidRPr="00C507BA">
        <w:rPr>
          <w:lang w:val="en-GB"/>
        </w:rPr>
        <w:t>. The major finding of this work was that the use of nitric oxide/helium flowing atmospheres helped produce smaller, more homogeneous nanoscale nickel particles.</w:t>
      </w:r>
    </w:p>
    <w:p w14:paraId="0954C413" w14:textId="77777777" w:rsidR="00007F6C" w:rsidRPr="00C507BA" w:rsidRDefault="00007F6C" w:rsidP="004B726A">
      <w:pPr>
        <w:pStyle w:val="NoSpacing"/>
        <w:jc w:val="both"/>
        <w:rPr>
          <w:lang w:val="en-GB"/>
        </w:rPr>
      </w:pPr>
    </w:p>
    <w:p w14:paraId="13F2C759" w14:textId="19B6BA97" w:rsidR="00007F6C" w:rsidRPr="00C507BA" w:rsidRDefault="00007F6C" w:rsidP="004B726A">
      <w:pPr>
        <w:pStyle w:val="NoSpacing"/>
        <w:jc w:val="both"/>
        <w:rPr>
          <w:lang w:val="en-GB"/>
        </w:rPr>
      </w:pPr>
      <w:proofErr w:type="spellStart"/>
      <w:r w:rsidRPr="00C507BA">
        <w:rPr>
          <w:lang w:val="en-GB"/>
        </w:rPr>
        <w:t>Munnik</w:t>
      </w:r>
      <w:proofErr w:type="spellEnd"/>
      <w:r w:rsidRPr="00C507BA">
        <w:rPr>
          <w:lang w:val="en-GB"/>
        </w:rPr>
        <w:t xml:space="preserve"> summarised this work to describe the optimised conditions for producing catalysts with a high active area (size &lt; 10 nm) and a resistance to sintering suitable for Fischer-</w:t>
      </w:r>
      <w:proofErr w:type="spellStart"/>
      <w:r w:rsidRPr="00C507BA">
        <w:rPr>
          <w:lang w:val="en-GB"/>
        </w:rPr>
        <w:t>Tropsch</w:t>
      </w:r>
      <w:proofErr w:type="spellEnd"/>
      <w:r w:rsidRPr="00C507BA">
        <w:rPr>
          <w:lang w:val="en-GB"/>
        </w:rPr>
        <w:t xml:space="preserve"> synthesis </w:t>
      </w:r>
      <w:r w:rsidRPr="00C507BA">
        <w:rPr>
          <w:lang w:val="en-GB"/>
        </w:rPr>
        <w:fldChar w:fldCharType="begin" w:fldLock="1"/>
      </w:r>
      <w:r w:rsidR="00D80A5D">
        <w:rPr>
          <w:lang w:val="en-GB"/>
        </w:rPr>
        <w:instrText>ADDIN CSL_CITATION {"citationItems":[{"id":"ITEM-1","itemData":{"DOI":"10.1021/cs5006772","ISBN":"2155-5435\r2155-5435","author":[{"dropping-particle":"","family":"Munnik","given":"Peter","non-dropping-particle":"","parse-names":false,"suffix":""},{"dropping-particle":"","family":"Krans","given":"Nynke A","non-dropping-particle":"","parse-names":false,"suffix":""},{"dropping-particle":"","family":"Jongh","given":"Petra E","non-dropping-particle":"de","parse-names":false,"suffix":""},{"dropping-particle":"","family":"Jong","given":"Krijn P","non-dropping-particle":"de","parse-names":false,"suffix":""}],"container-title":"ACS Catalysis","id":"ITEM-1","issue":"9","issued":{"date-parts":[["2014"]]},"page":"3219-3226","title":"Effects of Drying Conditions on the Synthesis of Co/SiO2and Co/Al2O3Fischer–Tropsch Catalysts","type":"article-journal","volume":"4"},"uris":["http://www.mendeley.com/documents/?uuid=a38e2c6c-43a6-4ee3-9c34-1ca39eaa0c09"]},{"id":"ITEM-2","itemData":{"DOI":"10.1021/cr500486u","ISSN":"15206890","author":[{"dropping-particle":"","family":"Munnik","given":"Peter","non-dropping-particle":"","parse-names":false,"suffix":""},{"dropping-particle":"","family":"Jongh","given":"Petra E.","non-dropping-particle":"De","parse-names":false,"suffix":""},{"dropping-particle":"","family":"Jong","given":"Krijn P.","non-dropping-particle":"De","parse-names":false,"suffix":""}],"container-title":"Chemical Reviews","id":"ITEM-2","issue":"14","issued":{"date-parts":[["2015"]]},"page":"6687-6718","title":"Recent Developments in the Synthesis of Supported Catalysts","type":"article-journal","volume":"115"},"uris":["http://www.mendeley.com/documents/?uuid=060ed17a-2ac3-4d77-818d-9ec3cc4920c2"]}],"mendeley":{"formattedCitation":"[177], [178]","plainTextFormattedCitation":"[177], [178]","previouslyFormattedCitation":"[177], [178]"},"properties":{"noteIndex":0},"schema":"https://github.com/citation-style-language/schema/raw/master/csl-citation.json"}</w:instrText>
      </w:r>
      <w:r w:rsidRPr="00C507BA">
        <w:rPr>
          <w:lang w:val="en-GB"/>
        </w:rPr>
        <w:fldChar w:fldCharType="separate"/>
      </w:r>
      <w:r w:rsidR="006C586A" w:rsidRPr="006C586A">
        <w:rPr>
          <w:noProof/>
          <w:lang w:val="en-GB"/>
        </w:rPr>
        <w:t>[177], [178]</w:t>
      </w:r>
      <w:r w:rsidRPr="00C507BA">
        <w:rPr>
          <w:lang w:val="en-GB"/>
        </w:rPr>
        <w:fldChar w:fldCharType="end"/>
      </w:r>
      <w:r w:rsidRPr="00C507BA">
        <w:rPr>
          <w:lang w:val="en-GB"/>
        </w:rPr>
        <w:t>. Combining a drying temperature that exceeded 100</w:t>
      </w:r>
      <w:r w:rsidR="0025655C">
        <w:rPr>
          <w:lang w:val="en-GB"/>
        </w:rPr>
        <w:t xml:space="preserve"> </w:t>
      </w:r>
      <w:r w:rsidRPr="00C507BA">
        <w:rPr>
          <w:rFonts w:cstheme="minorHAnsi"/>
          <w:lang w:val="en-GB"/>
        </w:rPr>
        <w:t>°</w:t>
      </w:r>
      <w:r w:rsidRPr="00C507BA">
        <w:rPr>
          <w:lang w:val="en-GB"/>
        </w:rPr>
        <w:t>C with a flowing nitrogen atmosphere produced the smaller cobalt oxide particles (7</w:t>
      </w:r>
      <w:r>
        <w:rPr>
          <w:lang w:val="en-GB"/>
        </w:rPr>
        <w:t xml:space="preserve"> </w:t>
      </w:r>
      <w:r w:rsidRPr="00C507BA">
        <w:rPr>
          <w:lang w:val="en-GB"/>
        </w:rPr>
        <w:t>nm in length) compared to those dried at 25</w:t>
      </w:r>
      <w:r w:rsidR="0025655C">
        <w:rPr>
          <w:lang w:val="en-GB"/>
        </w:rPr>
        <w:t xml:space="preserve"> </w:t>
      </w:r>
      <w:r w:rsidRPr="00C507BA">
        <w:rPr>
          <w:rFonts w:cstheme="minorHAnsi"/>
          <w:lang w:val="en-GB"/>
        </w:rPr>
        <w:t>°</w:t>
      </w:r>
      <w:r w:rsidRPr="00C507BA">
        <w:rPr>
          <w:lang w:val="en-GB"/>
        </w:rPr>
        <w:t xml:space="preserve">C </w:t>
      </w:r>
      <w:r w:rsidRPr="00C507BA">
        <w:rPr>
          <w:lang w:val="en-GB"/>
        </w:rPr>
        <w:fldChar w:fldCharType="begin" w:fldLock="1"/>
      </w:r>
      <w:r w:rsidR="00D80A5D">
        <w:rPr>
          <w:lang w:val="en-GB"/>
        </w:rPr>
        <w:instrText>ADDIN CSL_CITATION {"citationItems":[{"id":"ITEM-1","itemData":{"DOI":"10.1021/cs5006772","ISBN":"2155-5435\r2155-5435","author":[{"dropping-particle":"","family":"Munnik","given":"Peter","non-dropping-particle":"","parse-names":false,"suffix":""},{"dropping-particle":"","family":"Krans","given":"Nynke A","non-dropping-particle":"","parse-names":false,"suffix":""},{"dropping-particle":"","family":"Jongh","given":"Petra E","non-dropping-particle":"de","parse-names":false,"suffix":""},{"dropping-particle":"","family":"Jong","given":"Krijn P","non-dropping-particle":"de","parse-names":false,"suffix":""}],"container-title":"ACS Catalysis","id":"ITEM-1","issue":"9","issued":{"date-parts":[["2014"]]},"page":"3219-3226","title":"Effects of Drying Conditions on the Synthesis of Co/SiO2and Co/Al2O3Fischer–Tropsch Catalysts","type":"article-journal","volume":"4"},"uris":["http://www.mendeley.com/documents/?uuid=a38e2c6c-43a6-4ee3-9c34-1ca39eaa0c09"]}],"mendeley":{"formattedCitation":"[177]","plainTextFormattedCitation":"[177]","previouslyFormattedCitation":"[177]"},"properties":{"noteIndex":0},"schema":"https://github.com/citation-style-language/schema/raw/master/csl-citation.json"}</w:instrText>
      </w:r>
      <w:r w:rsidRPr="00C507BA">
        <w:rPr>
          <w:lang w:val="en-GB"/>
        </w:rPr>
        <w:fldChar w:fldCharType="separate"/>
      </w:r>
      <w:r w:rsidR="006C586A" w:rsidRPr="006C586A">
        <w:rPr>
          <w:noProof/>
          <w:lang w:val="en-GB"/>
        </w:rPr>
        <w:t>[177]</w:t>
      </w:r>
      <w:r w:rsidRPr="00C507BA">
        <w:rPr>
          <w:lang w:val="en-GB"/>
        </w:rPr>
        <w:fldChar w:fldCharType="end"/>
      </w:r>
      <w:r w:rsidRPr="00C507BA">
        <w:rPr>
          <w:lang w:val="en-GB"/>
        </w:rPr>
        <w:t xml:space="preserve">. </w:t>
      </w:r>
    </w:p>
    <w:p w14:paraId="63D66EE2" w14:textId="77777777" w:rsidR="00007F6C" w:rsidRPr="00107632" w:rsidRDefault="00007F6C" w:rsidP="004B726A">
      <w:pPr>
        <w:pStyle w:val="NoSpacing"/>
        <w:jc w:val="both"/>
        <w:rPr>
          <w:lang w:val="en-GB"/>
        </w:rPr>
      </w:pPr>
    </w:p>
    <w:p w14:paraId="3468ADDE" w14:textId="77777777" w:rsidR="00007F6C" w:rsidRDefault="00007F6C" w:rsidP="004B726A">
      <w:pPr>
        <w:pStyle w:val="NoSpacing"/>
        <w:keepNext/>
        <w:jc w:val="center"/>
      </w:pPr>
      <w:r>
        <w:rPr>
          <w:noProof/>
        </w:rPr>
        <w:drawing>
          <wp:inline distT="0" distB="0" distL="0" distR="0" wp14:anchorId="647D6AB4" wp14:editId="61A8FBC2">
            <wp:extent cx="3599334" cy="3886200"/>
            <wp:effectExtent l="0" t="0" r="1270" b="0"/>
            <wp:docPr id="426" name="Picture 4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Picture 426" descr="A screenshot of a cell phone&#10;&#10;Description automatically generated"/>
                    <pic:cNvPicPr/>
                  </pic:nvPicPr>
                  <pic:blipFill rotWithShape="1">
                    <a:blip r:embed="rId26" cstate="print">
                      <a:extLst>
                        <a:ext uri="{28A0092B-C50C-407E-A947-70E740481C1C}">
                          <a14:useLocalDpi xmlns:a14="http://schemas.microsoft.com/office/drawing/2010/main" val="0"/>
                        </a:ext>
                      </a:extLst>
                    </a:blip>
                    <a:srcRect t="1701" b="1905"/>
                    <a:stretch/>
                  </pic:blipFill>
                  <pic:spPr bwMode="auto">
                    <a:xfrm>
                      <a:off x="0" y="0"/>
                      <a:ext cx="3600000" cy="3886919"/>
                    </a:xfrm>
                    <a:prstGeom prst="rect">
                      <a:avLst/>
                    </a:prstGeom>
                    <a:ln>
                      <a:noFill/>
                    </a:ln>
                    <a:extLst>
                      <a:ext uri="{53640926-AAD7-44D8-BBD7-CCE9431645EC}">
                        <a14:shadowObscured xmlns:a14="http://schemas.microsoft.com/office/drawing/2010/main"/>
                      </a:ext>
                    </a:extLst>
                  </pic:spPr>
                </pic:pic>
              </a:graphicData>
            </a:graphic>
          </wp:inline>
        </w:drawing>
      </w:r>
    </w:p>
    <w:p w14:paraId="2EE2E85A" w14:textId="3014178D" w:rsidR="00007F6C" w:rsidRPr="00005972" w:rsidRDefault="00007F6C" w:rsidP="004B726A">
      <w:pPr>
        <w:jc w:val="both"/>
        <w:rPr>
          <w:rFonts w:cstheme="minorHAnsi"/>
          <w:i/>
          <w:iCs/>
          <w:color w:val="44546A" w:themeColor="text2"/>
          <w:sz w:val="18"/>
          <w:szCs w:val="18"/>
        </w:rPr>
      </w:pPr>
      <w:bookmarkStart w:id="70" w:name="_Ref49767158"/>
      <w:bookmarkStart w:id="71" w:name="_Toc69114918"/>
      <w:r w:rsidRPr="00005972">
        <w:rPr>
          <w:rFonts w:cstheme="minorHAnsi"/>
          <w:i/>
          <w:iCs/>
          <w:color w:val="44546A" w:themeColor="text2"/>
          <w:sz w:val="18"/>
          <w:szCs w:val="18"/>
        </w:rPr>
        <w:t>Figure 2.</w:t>
      </w:r>
      <w:r w:rsidR="00285C23">
        <w:rPr>
          <w:rFonts w:cstheme="minorHAnsi"/>
          <w:i/>
          <w:iCs/>
          <w:color w:val="44546A" w:themeColor="text2"/>
          <w:sz w:val="18"/>
          <w:szCs w:val="18"/>
        </w:rPr>
        <w:fldChar w:fldCharType="begin"/>
      </w:r>
      <w:r w:rsidR="00285C23">
        <w:rPr>
          <w:rFonts w:cstheme="minorHAnsi"/>
          <w:i/>
          <w:iCs/>
          <w:color w:val="44546A" w:themeColor="text2"/>
          <w:sz w:val="18"/>
          <w:szCs w:val="18"/>
        </w:rPr>
        <w:instrText xml:space="preserve"> SEQ Figure \* ARABIC </w:instrText>
      </w:r>
      <w:r w:rsidR="00285C23">
        <w:rPr>
          <w:rFonts w:cstheme="minorHAnsi"/>
          <w:i/>
          <w:iCs/>
          <w:color w:val="44546A" w:themeColor="text2"/>
          <w:sz w:val="18"/>
          <w:szCs w:val="18"/>
        </w:rPr>
        <w:fldChar w:fldCharType="separate"/>
      </w:r>
      <w:r w:rsidR="00A402C1">
        <w:rPr>
          <w:rFonts w:cstheme="minorHAnsi"/>
          <w:i/>
          <w:iCs/>
          <w:noProof/>
          <w:color w:val="44546A" w:themeColor="text2"/>
          <w:sz w:val="18"/>
          <w:szCs w:val="18"/>
        </w:rPr>
        <w:t>6</w:t>
      </w:r>
      <w:r w:rsidR="00285C23">
        <w:rPr>
          <w:rFonts w:cstheme="minorHAnsi"/>
          <w:i/>
          <w:iCs/>
          <w:color w:val="44546A" w:themeColor="text2"/>
          <w:sz w:val="18"/>
          <w:szCs w:val="18"/>
        </w:rPr>
        <w:fldChar w:fldCharType="end"/>
      </w:r>
      <w:bookmarkEnd w:id="70"/>
      <w:r w:rsidRPr="00005972">
        <w:rPr>
          <w:rFonts w:cstheme="minorHAnsi"/>
          <w:i/>
          <w:iCs/>
          <w:color w:val="44546A" w:themeColor="text2"/>
          <w:sz w:val="18"/>
          <w:szCs w:val="18"/>
        </w:rPr>
        <w:t xml:space="preserve">: Diagram detailing the impact of utilising an inert drying atmosphere with an infiltrated SOFC electrode. Adapted from </w:t>
      </w:r>
      <w:r w:rsidRPr="00005972">
        <w:rPr>
          <w:rFonts w:cstheme="minorHAnsi"/>
          <w:i/>
          <w:iCs/>
          <w:color w:val="44546A" w:themeColor="text2"/>
          <w:sz w:val="18"/>
          <w:szCs w:val="18"/>
        </w:rPr>
        <w:fldChar w:fldCharType="begin" w:fldLock="1"/>
      </w:r>
      <w:r w:rsidR="00D80A5D">
        <w:rPr>
          <w:rFonts w:cstheme="minorHAnsi"/>
          <w:i/>
          <w:iCs/>
          <w:color w:val="44546A" w:themeColor="text2"/>
          <w:sz w:val="18"/>
          <w:szCs w:val="18"/>
        </w:rPr>
        <w:instrText xml:space="preserve">ADDIN CSL_CITATION {"citationItems":[{"id":"ITEM-1","itemData":{"DOI":"10.1016/j.jechem.2016.01.006","ISBN":"20954956 (ISSN)","abstract":"The deactivation behavior by crystallite growth of nickel nanoparticles on various supports (carbon nanofibers, zirconia, SiC, α-Al2O3 and γ-Al2O3) was investigated in the aqueous phase reforming of ethylene glycol. Supported Ni catalysts of </w:instrText>
      </w:r>
      <w:r w:rsidR="00D80A5D">
        <w:rPr>
          <w:rFonts w:ascii="Cambria Math" w:hAnsi="Cambria Math" w:cs="Cambria Math"/>
          <w:i/>
          <w:iCs/>
          <w:color w:val="44546A" w:themeColor="text2"/>
          <w:sz w:val="18"/>
          <w:szCs w:val="18"/>
        </w:rPr>
        <w:instrText>∼</w:instrText>
      </w:r>
      <w:r w:rsidR="00D80A5D">
        <w:rPr>
          <w:rFonts w:cstheme="minorHAnsi"/>
          <w:i/>
          <w:iCs/>
          <w:color w:val="44546A" w:themeColor="text2"/>
          <w:sz w:val="18"/>
          <w:szCs w:val="18"/>
        </w:rPr>
        <w:instrText xml:space="preserve">10 wt% were prepared by impregnation of carbon nanofibers (CNF), ZrO2, SiC, γ-Al2O3 and α-Al2O3. The extent of the Ni nanoparticle growth on various support materials follows the order CNF </w:instrText>
      </w:r>
      <w:r w:rsidR="00D80A5D">
        <w:rPr>
          <w:rFonts w:ascii="Cambria Math" w:hAnsi="Cambria Math" w:cs="Cambria Math"/>
          <w:i/>
          <w:iCs/>
          <w:color w:val="44546A" w:themeColor="text2"/>
          <w:sz w:val="18"/>
          <w:szCs w:val="18"/>
        </w:rPr>
        <w:instrText>∼</w:instrText>
      </w:r>
      <w:r w:rsidR="00D80A5D">
        <w:rPr>
          <w:rFonts w:cstheme="minorHAnsi"/>
          <w:i/>
          <w:iCs/>
          <w:color w:val="44546A" w:themeColor="text2"/>
          <w:sz w:val="18"/>
          <w:szCs w:val="18"/>
        </w:rPr>
        <w:instrText xml:space="preserve"> ZrO2 &gt; SiC &gt; </w:instrText>
      </w:r>
      <w:r w:rsidR="00D80A5D">
        <w:rPr>
          <w:rFonts w:ascii="Calibri" w:hAnsi="Calibri" w:cs="Calibri"/>
          <w:i/>
          <w:iCs/>
          <w:color w:val="44546A" w:themeColor="text2"/>
          <w:sz w:val="18"/>
          <w:szCs w:val="18"/>
        </w:rPr>
        <w:instrText>γ</w:instrText>
      </w:r>
      <w:r w:rsidR="00D80A5D">
        <w:rPr>
          <w:rFonts w:cstheme="minorHAnsi"/>
          <w:i/>
          <w:iCs/>
          <w:color w:val="44546A" w:themeColor="text2"/>
          <w:sz w:val="18"/>
          <w:szCs w:val="18"/>
        </w:rPr>
        <w:instrText xml:space="preserve">-Al2O3 &gt;&gt; </w:instrText>
      </w:r>
      <w:r w:rsidR="00D80A5D">
        <w:rPr>
          <w:rFonts w:ascii="Calibri" w:hAnsi="Calibri" w:cs="Calibri"/>
          <w:i/>
          <w:iCs/>
          <w:color w:val="44546A" w:themeColor="text2"/>
          <w:sz w:val="18"/>
          <w:szCs w:val="18"/>
        </w:rPr>
        <w:instrText>α</w:instrText>
      </w:r>
      <w:r w:rsidR="00D80A5D">
        <w:rPr>
          <w:rFonts w:cstheme="minorHAnsi"/>
          <w:i/>
          <w:iCs/>
          <w:color w:val="44546A" w:themeColor="text2"/>
          <w:sz w:val="18"/>
          <w:szCs w:val="18"/>
        </w:rPr>
        <w:instrText>-Al2O3 which sequence, however, was determined by the initial Ni particle size. Based on the observed nickel leaching and the specific growth characteristics; the particle size distribution and the effect of loading on the growth rate, Ostwald ripening is suggested to be the main mechanism contributing to nickel particle growth. Remarkably, initially smaller Ni particles (</w:instrText>
      </w:r>
      <w:r w:rsidR="00D80A5D">
        <w:rPr>
          <w:rFonts w:ascii="Cambria Math" w:hAnsi="Cambria Math" w:cs="Cambria Math"/>
          <w:i/>
          <w:iCs/>
          <w:color w:val="44546A" w:themeColor="text2"/>
          <w:sz w:val="18"/>
          <w:szCs w:val="18"/>
        </w:rPr>
        <w:instrText>∼</w:instrText>
      </w:r>
      <w:r w:rsidR="00D80A5D">
        <w:rPr>
          <w:rFonts w:cstheme="minorHAnsi"/>
          <w:i/>
          <w:iCs/>
          <w:color w:val="44546A" w:themeColor="text2"/>
          <w:sz w:val="18"/>
          <w:szCs w:val="18"/>
        </w:rPr>
        <w:instrText xml:space="preserve">12 nm) supported on </w:instrText>
      </w:r>
      <w:r w:rsidR="00D80A5D">
        <w:rPr>
          <w:rFonts w:ascii="Calibri" w:hAnsi="Calibri" w:cs="Calibri"/>
          <w:i/>
          <w:iCs/>
          <w:color w:val="44546A" w:themeColor="text2"/>
          <w:sz w:val="18"/>
          <w:szCs w:val="18"/>
        </w:rPr>
        <w:instrText>α</w:instrText>
      </w:r>
      <w:r w:rsidR="00D80A5D">
        <w:rPr>
          <w:rFonts w:cstheme="minorHAnsi"/>
          <w:i/>
          <w:iCs/>
          <w:color w:val="44546A" w:themeColor="text2"/>
          <w:sz w:val="18"/>
          <w:szCs w:val="18"/>
        </w:rPr>
        <w:instrText>-Al2O3 were found to outgrow Ni particles with initially larger size (</w:instrText>
      </w:r>
      <w:r w:rsidR="00D80A5D">
        <w:rPr>
          <w:rFonts w:ascii="Cambria Math" w:hAnsi="Cambria Math" w:cs="Cambria Math"/>
          <w:i/>
          <w:iCs/>
          <w:color w:val="44546A" w:themeColor="text2"/>
          <w:sz w:val="18"/>
          <w:szCs w:val="18"/>
        </w:rPr>
        <w:instrText>∼</w:instrText>
      </w:r>
      <w:r w:rsidR="00D80A5D">
        <w:rPr>
          <w:rFonts w:cstheme="minorHAnsi"/>
          <w:i/>
          <w:iCs/>
          <w:color w:val="44546A" w:themeColor="text2"/>
          <w:sz w:val="18"/>
          <w:szCs w:val="18"/>
        </w:rPr>
        <w:instrText>20 nm). It is put forward that the higher susceptibility with respect to oxidation of the smaller Ni nanoparticles and differences in initial particle size distribution are responsible for this behavior. © 2016 Science Press and Dalian Institute of Chemical Physics. All rights reserved.","author":[{"dropping-particle":"","family":"Haasterecht","given":"T","non-dropping-particle":"Van","parse-names":false,"suffix":""},{"dropping-particle":"","family":"Swart","given":"M","non-dropping-particle":"","parse-names":false,"suffix":""},{"dropping-particle":"","family":"Jong","given":"K P","non-dropping-particle":"De","parse-names":false,"suffix":""},{"dropping-particle":"","family":"Bitter","given":"J H","non-dropping-particle":"","parse-names":false,"suffix":""}],"container-title":"Journal of Energy Chemistry","id":"ITEM-1","issue":"2","issued":{"date-parts":[["2016"]]},"language":"English","note":"Cited By :1\nExport Date: 20 January 2017\nCorrespondence Address: Bitter, J.H.; Inorganic Chemistry and Catalysis, Utrecht UniversityNetherlands; email: harry.bitter@wur.nl\nReferences: Van Haasterecht, T., Ludding, C.C.I., De Jong, K.P., Bitter, J.H., (2013) J. Energy Chem., 22, p. 12; Van Haasterecht, T., Ludding, C.C.I., De Jong, K.P., Bitter, J.H., (2014) J. Catal., 319, pp. 27-35; Van Haasterecht, T., Van Deelen, T.W., De Jong, K.P., Bitter, J.H., (2014) Catal. Sci. Technol., 4, pp. 2353-2366; Huber, G.W., Shabaker, J.W., Dumesic, J.A., (2003) Science, 300, pp. 2075-2077; Sehested, J., Gelten, J.A.P., Remediakis, I.N., Bengaard, H., Nørskov, J.K., (2004) J. Catal., 223, pp. 432-443; Prieto, G., Meeldijk, J.D., De Jong, K.P., De Jongh, P.E., (2013) J. Catal., 303, pp. 31-40; Prieto, G., Zecevic, J., Friedrich, H., De Jong, K.P., De Jongh, P.E., (2013) Nat. Mater., 12, pp. 34-39; Behafarid, F., Roldan Cuenya, B., (2013) Top. Catal., 56, pp. 1542-1559; Bartholomew, C.H., (1994) Studies in Surface Science and Catalysis, pp. 1-18. , B. Delmon G.F. Froment Elsevier; Montassier, C., Dumas, J.M., Granger, P., Barbier, J., (1995) Appl. Catal. A: Gen., 121, pp. 231-244; Shabaker, J.W., Simonetti, D.A., Cortright, R.D., Dumesic, J.A., (2005) J. Catal., 231, pp. 67-76; Connolly, J.F., Flannery, R.J., Meyers, B.L., (1967) J. Electrochem. Soc., 114, pp. 241-243; Bett, J.A.S., Kinoshita, K., Stonehart, P., (1976) J. Catal., 41, pp. 124-133; Vleeming, J.H., Kuster, B.F.M., Marin, G.B., Oudet, F., Courtine, P., (1997) J. Catal., 166, pp. 148-159; Douidah, A., Marécot, P., Labruquère, S., Barbier, J., (2001) Appl. Catal. A: Gen., 210, pp. 111-120; Douidah, A., Marecot, P., Barbier, J., (2002) Appl. Catal. A: Gen., 225, pp. 11-19; Douidah, A., Marecot, P., Szabo, S., Barbier, J., (2002) Appl. Catal. A: Gen., 225, pp. 21-31; Shao-Horn, Y., Sheng, W.C., Chen, S., Ferreira, P.J., Holby, E.F., Morgan, D., (2007) Top. Catal., 46, pp. 285-305; Wynblatt, P., Gjostein, N.A., (1975) Prog. Solid State Chem., 9, pp. 21-58; Flynn, P.C., Wanke, S.E., (1974) J. Catal., 34, pp. 390-399; Matson, T.D., Barta, K., Iretskii, A.V., Ford, P.C., (2011) J. Am. Chem. Soc., 133, pp. 14090-14097; Barta, K., Matson, T.D., Fettig, M.L., Scott, S.L., Iretskii, A.V., Ford, P.C., (2010) Green Chem., 12, pp. 1640-1647; Wiedemann, S.C.C., Stewart, J.A., Soulimani, F., Van Bergen-Brenkman, T., Langelaar, S., Wels, B., De Peinder, P., Weckhuysen, B.M., (2014) J. Catal., 316, pp. 24-35; Dunning, W.J., (1973) Particle Growth in Suspensions, , Academic Press; Munnik, P., Velthoen, M.E.Z., De Jongh, P.E., De Jong, K.P., Gommes, C.J., (2014) Angew. Chem. Int. Ed., 53, pp. 9493-9497; Yu, K., Groom, D.J., Wang, X., Yang, Z., Gummalla, M., Ball, S.C., Myers, D.J., Ferreira, P.J., (2014) Chem. Mater., 26, pp. 5540-5548; Flynn, P.C., Wanke, S.E., (1974) J. Catal., 34, pp. 400-410; Van Den Berg, R., Parmentier, T.E., Elkjær, C.F., Gommes, C.J., Sehested, J., Helveg, S., De Jongh, P.E., De Jong, K.P., (2015) ACS Catal., 5, pp. 4439-4448","page":"289-296","publisher":"Elsevier B.V.","title":"Effect of initial nickel particle size on stability of nickel catalysts for aqueous phase reforming","type":"article-journal","volume":"25"},"uris":["http://www.mendeley.com/documents/?uuid=3b56f638-4954-4265-890a-e148cdf742d1"]},{"id":"ITEM-2","itemData":{"DOI":"10.1021/cs5006772","ISBN":"2155-5435\r2155-5435","author":[{"dropping-particle":"","family":"Munnik","given":"Peter","non-dropping-particle":"","parse-names":false,"suffix":""},{"dropping-particle":"","family":"Krans","given":"Nynke A","non-dropping-particle":"","parse-names":false,"suffix":""},{"dropping-particle":"","family":"Jongh","given":"Petra E","non-dropping-particle":"de","parse-names":false,"suffix":""},{"dropping-particle":"","family":"Jong","given":"Krijn P","non-dropping-particle":"de","parse-names":false,"suffix":""}],"container-title":"ACS Catalysis","id":"ITEM-2","issue":"9","issued":{"date-parts":[["2014"]]},"page":"3219-3226","title":"Effects of Drying Conditions on the Synthesis of Co/SiO2and Co/Al2O3Fischer–Tropsch Catalysts","type":"article-journal","volume":"4"},"uris":["http://www.mendeley.com/documents/?uuid=a38e2c6c-43a6-4ee3-9c34-1ca39eaa0c09"]}],"mendeley":{"formattedCitation":"[177], [179]","plainTextFormattedCitation":"[177], [179]","previouslyFormattedCitation":"[177], [179]"},"properties":{"noteIndex":0},"schema":"https://github.com/citation-style-language/schema/raw/master/csl-citation.json"}</w:instrText>
      </w:r>
      <w:r w:rsidRPr="00005972">
        <w:rPr>
          <w:rFonts w:cstheme="minorHAnsi"/>
          <w:i/>
          <w:iCs/>
          <w:color w:val="44546A" w:themeColor="text2"/>
          <w:sz w:val="18"/>
          <w:szCs w:val="18"/>
        </w:rPr>
        <w:fldChar w:fldCharType="separate"/>
      </w:r>
      <w:r w:rsidR="006C586A" w:rsidRPr="006C586A">
        <w:rPr>
          <w:rFonts w:cstheme="minorHAnsi"/>
          <w:iCs/>
          <w:noProof/>
          <w:color w:val="44546A" w:themeColor="text2"/>
          <w:sz w:val="18"/>
          <w:szCs w:val="18"/>
        </w:rPr>
        <w:t>[177], [179]</w:t>
      </w:r>
      <w:bookmarkEnd w:id="71"/>
      <w:r w:rsidRPr="00005972">
        <w:rPr>
          <w:rFonts w:cstheme="minorHAnsi"/>
          <w:i/>
          <w:iCs/>
          <w:color w:val="44546A" w:themeColor="text2"/>
          <w:sz w:val="18"/>
          <w:szCs w:val="18"/>
        </w:rPr>
        <w:fldChar w:fldCharType="end"/>
      </w:r>
    </w:p>
    <w:p w14:paraId="51F8A234" w14:textId="051871B2" w:rsidR="00007F6C" w:rsidRPr="00C507BA" w:rsidRDefault="00007F6C" w:rsidP="004B726A">
      <w:pPr>
        <w:pStyle w:val="NoSpacing"/>
        <w:jc w:val="both"/>
        <w:rPr>
          <w:lang w:val="en-GB"/>
        </w:rPr>
      </w:pPr>
      <w:r w:rsidRPr="00C507BA">
        <w:rPr>
          <w:lang w:val="en-GB"/>
        </w:rPr>
        <w:t xml:space="preserve">The trialling of both temperature and atmosphere by the De </w:t>
      </w:r>
      <w:proofErr w:type="spellStart"/>
      <w:r w:rsidRPr="00C507BA">
        <w:rPr>
          <w:lang w:val="en-GB"/>
        </w:rPr>
        <w:t>Jongh</w:t>
      </w:r>
      <w:proofErr w:type="spellEnd"/>
      <w:r w:rsidRPr="00C507BA">
        <w:rPr>
          <w:lang w:val="en-GB"/>
        </w:rPr>
        <w:t xml:space="preserve"> group provides a robust framework to apply these drying conditions in a new field such as infiltrated SOFC electrodes to produce more active, sinter-resistant catalysts</w:t>
      </w:r>
      <w:r>
        <w:rPr>
          <w:lang w:val="en-GB"/>
        </w:rPr>
        <w:t xml:space="preserve"> </w:t>
      </w:r>
      <w:r w:rsidRPr="00C507BA">
        <w:rPr>
          <w:lang w:val="en-GB"/>
        </w:rPr>
        <w:fldChar w:fldCharType="begin" w:fldLock="1"/>
      </w:r>
      <w:r w:rsidR="00D80A5D">
        <w:rPr>
          <w:lang w:val="en-GB"/>
        </w:rPr>
        <w:instrText>ADDIN CSL_CITATION {"citationItems":[{"id":"ITEM-1","itemData":{"DOI":"10.1016/S0167-2991(10)75009-6","ISBN":"01672991 (ISSN); 9780444536013 (ISBN)","abstract":"In previous communications we have shown that the decomposition of nickel and cobalt nitrate in a flow of NO/He prevented agglomeration, yielding high nickel and cobalt oxide dispersions. We now report on the impact of NO on the decomposition of first row transition metal nitrates, i.e. Sc, Mn, Fe, Co, Ni, Cu, Zn, using thermal gravimetric analysis and mass spectrometry. It was found that NO decreased the temperature of decomposition significantly for all investigated metal nitrates. For cobalt, nickel and copper nitrate it was verified that decomposition in the presence of NO yielded high dispersions and narrow particle size distributions, whereas in Ar agglomeration resulted in broad particle size distributions. The beneficial effect of NO on the dispersion of Co, Ni and Cu coincided with a large difference in the decomposition profiles of these metal nitrates compared to that in Ar. It was found that NO induced fast and complete hydrolysis to highly dispersed cobalt, nickel and copper hydroxynitrates which decomposed to yield highly dispersed metal oxides. This is in contrast to literature reports that ascribe loss in dispersion to the formation of metal hydroxynitrate intermediates. © 2010 Elsevier B.V.","author":[{"dropping-particle":"","family":"Wolters","given":"M","non-dropping-particle":"","parse-names":false,"suffix":""},{"dropping-particle":"","family":"Contreras Andrade","given":"I C A","non-dropping-particle":"","parse-names":false,"suffix":""},{"dropping-particle":"","family":"Munnik","given":"P","non-dropping-particle":"","parse-names":false,"suffix":""},{"dropping-particle":"","family":"Bitter","given":"J H","non-dropping-particle":"","parse-names":false,"suffix":""},{"dropping-particle":"","family":"Jongh","given":"P E","non-dropping-particle":"De","parse-names":false,"suffix":""},{"dropping-particle":"","family":"Jong","given":"K P","non-dropping-particle":"De","parse-names":false,"suffix":""}],"container-title":"10th International Symposium on Scientific Bases for the Preparation of Heterogeneous Catalysts","id":"ITEM-1","issued":{"date-parts":[["2010"]]},"language":"English","note":"Conference code: 83704\nCited By :6\nExport Date: 20 January 2017\nCODEN: SSCTD\nCorrespondence Address: Wolters, M.; Inorganic Chemistry and Catalysis, Debye Institute for Nanomaterials Science, Utrecht University, Sorbonnelaan 16, 3584 CA Utrecht, Netherlands\nReferences: Paulik, F., Paulik, J., Arnold, M., (1987) Thermochimica Acta, 121, p. 137; Elmasry, M.A.A., Gaber, A., Khater, E.M.H., (1998) J. Therm. Anal. Calorim., 52, p. 489; Estelle, J., Salagre, P., Cesteros, Y., Serra, M., Medina, F., Sueiras, J.E., (2003) Solid State Ionics, 156, p. 233; Llewellyn, P.L., Chevrota, V., Ragaib, J., Cerclier, O., Estienne, J., Rouquerol, F., (1997) Solid State Ionics, 101-103, p. 1293; Toupance, T., Kermarec, M., Louis, C., (2000) J. Phys. Chem. B, 104, p. 965; Chouillet, C., Villain, F., Kermarec, M., Lauron-Pernot, H., Louis, C., (2003) J. Phys. Chem. B, 107, p. 3565; Catillon-Mucherie, S., Ammari, F., Krafft, J.M., Lauron-Pernot, H., Touroude, R., Louis, C., (2007) J. Phys. Chem. C, 111, p. 11619; Van De Loosdrecht, J., Barradas, S., Caricato, E.A., Ngwenya, N.G., Nkwanyana, P.S., Rawat, M.A.S., Sigwebela, B.H., Visagie, J.L., (2003) Top. Catal., 26, p. 121; Sietsma, J.R.A., Meeldijk, J.D., Versluijs-Helder, M., Broersma, A., Van Dillen, A.J., De Jongh, P.E., De Jong, K.P., (2008) Chem. Mater., 20, p. 2921; Sietsma, J.R.A., Meeldijk, J.D., Den Breejen, J.P., Versluijs-Helder, M., Van Dillen, A.J., De Jongh, P.E., De Jong, K.P., (2007) Angew. Chem. Int. Ed., 46, p. 4547; Sietsma, J.R.A., Friedrich, H., Broersma, A., Versluijs-Helder, M., Jos Van Dillen, A., De Jongh, P.E., De Jong, K.P., (2008) J. Catal., 260, p. 227; Nissinena, T., Leskel, M., Gasika, M., Lamminen, J., (2005) Thermochimica Acta, 427, p. 155; Wieczorek-Ciurowa, K., Kozak, A.J., (1999) J. Therm. Anal. Calorim., 58, p. 647; Yuvaraj, S., Fan-Yuan, L., Tsong-Huei, C., Chuin-Tih, Y., (2003) J. Phys. Chem. B, 107, p. 1044; Malecka, B., Gajerski, R., Malecki, A., Wierzbicka, M., Olszewski, P., (2003) Thermochimica Acta, 404, p. 125; Cseri, T., Békássy, Kenessey, G., Liptay, G., Figueras, F., (1996) Thermochimica Acta, 288, p. 137; Ettarh, C., Galwey, A.K., (1996) Thermochim. Acta, 288, p. 203; Dickens, P.G., Sutcliffe, M.B., (1964) Trans. Faraday. Soc., 60, p. 1272; Brockner, W., Ehrhardt, C., Gjikaj, M., (2007) Thermochim. Acta, 456, p. 64; Malecki, A., Gajerski, R., Labus, S., Prochowska-Klisch, B., Wojciechowski, K.T., (2000) J. Therm. Anal., 60, p. 17","page":"69-76","publisher-place":"Louvain-la-Neuve","title":"Impact of NO on the decomposition of supported metal nitrate catalyst precursors and the final metal oxide dispersion","type":"article","volume":"175"},"uris":["http://www.mendeley.com/documents/?uuid=60616314-3fad-4af3-ad66-c5b4121f79e1"]},{"id":"ITEM-2","itemData":{"DOI":"10.1016/j.cattod.2010.02.052","ISBN":"09205861 (ISSN)","ISSN":"09205861","abstract":"Control over the size and size distribution of supported nanoparticles is key to their efficient use in catalysis. In the preparation of nanoparticles by impregnation using nitrate precursors, the support pore diameter can be used to influence the average crystallite size. However, the particle size distributions obtained via this method are generally broad and the dispersions relatively low. Higher dispersions and narrow particle size distributions are obtained via thermal decomposition of the metal nitrate precursor in 1% (v/v) NO in Ar instead of air. Here we will show that by combining the confinement effect of ordered mesoporous silica with a decomposition step of metal nitrates in NO, silica supported nickel and cobalt oxides with a tunable particle size (2-4 nm) can be obtained at high loadings (10-20 wt%). © 2010 Elsevier B.V.","author":[{"dropping-particle":"","family":"Wolters","given":"Mariska","non-dropping-particle":"","parse-names":false,"suffix":""},{"dropping-particle":"","family":"Grotel","given":"Lotte J.W. W","non-dropping-particle":"Van","parse-names":false,"suffix":""},{"dropping-particle":"","family":"Eggenhuisen","given":"Tamara M.","non-dropping-particle":"","parse-names":false,"suffix":""},{"dropping-particle":"","family":"Sietsma","given":"Jelle R.A. A","non-dropping-particle":"","parse-names":false,"suffix":""},{"dropping-particle":"","family":"Jong","given":"Krijn P.","non-dropping-particle":"De","parse-names":false,"suffix":""},{"dropping-particle":"","family":"Jongh","given":"Petra E.","non-dropping-particle":"De","parse-names":false,"suffix":""}],"container-title":"Catalysis Today","id":"ITEM-2","issue":"1","issued":{"date-parts":[["2011"]]},"language":"English","note":"From Duplicate 1 (Combining confinement and NO calcination to arrive at highly dispersed supported nickel and cobalt oxide catalysts with a tunable particle size - Wolters, M; Van Grotel, L J W; Eggenhuisen, T M; Sietsma, J R A; De Jong, K P; De Jongh, P E)\n\nCited By :33\nExport Date: 20 January 2017\nCODEN: CATTE\nCorrespondence Address: De Jongh, P. E.; Inorganic Chemistry and Catalysis, Debye Institute for NanoMaterials Science, Utrecht University, Sorbonnelaan 16, NL-3584 CA Utrecht, Netherlands; email: p.e.dejongh@uu.nl\nReferences: Balakos, M.W., Hernandez, E.E., (1997) Catal. Today, 35, p. 415; Chorkendorff, I., Niemantsverdriet, H., (2007) Concepts of Modern Catalysis and Kinetics, , Wiley-VCH Weinheim; Jiao, F., Frei, H., (2009) Angew. Chem. Int. Ed., 48, p. 1841; Bell, A.T., (2003) Science, 299, p. 1688; Che, M., Bennett, C.O., (1989) Adv. Catal., 36, p. 55; Somorjai, G.A., Park, J.Y., (2008) Top. Catal., 49, p. 126; Van Santen, R.A., (2009) Acc. Chem. Res., 42, p. 57; Bezemer, G.L., Bitter, J.H., Kuipers, H., Oosterbeek, H., Holewijn, J.E., Xu, X.D., Kapteijn, F., De Jong, K.P., (2006) J. Am. Chem. Soc., 128, p. 3956; Den Breejen, J.P., Radstake, P.B., Bezemer, G.L., Bitter, J.H., Froseth, V., Holmen, A., De Jong, K.P., (2009) J. Am. Chem. Soc., 131, p. 7197; De Jong, K.P., (1999) Curr. Opin. Solid State Mater. Sci., 4, p. 55; Bourikas, K., Kordulis, C., Lycourghiotis, A., (2006) Catal. Rev. Sci. Eng., 48, p. 363; Van Der Lee, M.K., Van Dillen, A.J., Bitter, J.H., De Jong, K.P., (2005) J. Am. Chem. Soc., 127, p. 13573; Van Dillen, A.J., Terörde, R.J.A.M., Lensveld, D.J., Geus, J.W., De Jong, K.P., (2003) J. Catal., 216, p. 257; Van De Loosdrecht, J., Barradas, S., Caricato, E.A., Ngwenya, N.G., Nkwanyana, P.S., Rawat, M.A.S., Sigwebela, B.H., Visagie, J.L., (2003) Top. Catal., 26, p. 121; Sietsma, J.R.A., Meeldijk, J.D., Den Breejen, J.P., Versluijs-Helder, M., Van Dillen, A.J., De Jongh, P.E., De Jong, K.P., (2007) Angew. Chem. Int. Ed., 46, p. 4547; Sietsma, J.R.A., Friedrich, H., Broersma, A., Versluijs-Helder, M., Van Dillen, A.J., De Jongh, P.E., De Jong, K.P., (2008) J. Catal., 260, p. 227; Khodakov, A.Y., Griboval-Constant, A., Bechara, R., Villain, F., (2001) J. Phys. Chem. B, 105, p. 9805; Jentys, A., Pham, N.H., Vinek, H., Englisch, M., Lercher, J.A., (1998) Catal. Today, 39, p. 311; Li, H.L., Li, J.L., Ni, H.K., Song, D.C., (2006) Catal. Lett., 110, p. 71; Borg Ø, Walmsley, J.C., Dehghan, R., Tanem, B.S., Blekkan, E.A., Eri, S., Rytter, E., Holmen, A., (2008) Catal. Lett., 126, p. 224; Van Der Meer, J., Bardez, I., Bart, F., Albouy, P.A., Wallez, G., Davidson, A., (2009) Micropor. Mesopor. Mater., 118, p. 183; Borg Ø, Dietzel, P.D.C., Spjelkavik, A.I., Tveten, E.Z., Walmsley, J.C., Diplas, S., Eri, S., Rytter, E., (2008) J. Catal., 259, p. 161; Zhao, D., Feng, J., Huo, Q., Melosh, N., Fredrickson, G.H., Chmelka, B.F., Stucky, G.D., (1998) Science, 279, p. 548; Cheng, C., Park, D.H., Klinowski, J., (1997) J. Chem. Soc. Faraday Trans., 93, p. 193; Jaroniec, M., Kruk, M., Olivier, J.P., Koch, S., (2000) Stud. Surf. Sci. Catal., 128, p. 71; Lippens, B.C., De Boer, J.H., (1965) J. Catal., 4, p. 319; Harkins, W.D., Jura, G., (1944) J. Am. Chem. Soc., 66, p. 1366; Gallezot, P., Prettre, M., (1968) Bull. Soc. Chim. Fr., 2, p. 407; Sietsma, J.R.A., Meeldijk, J.D., Versluijs-Helder, M., Broersma, A., Van Dillen, A.J., De Jongh, P.E., De Jong, K.P., (2008) Chem. Mater., 20, p. 2921; Petrov, K., Zotov, N., Mirtcheva, E., Garciamartinez, O., Rojas, R.M., (1994) J. Mater. Chem., 4, p. 611; Brockner, W., Ehrhardt, C., Gjikaj, M., (2007) Thermochim. Acta, 456, p. 64; Estelle, J., Salagre, P., Cesteros, Y., Serra, M., Medina, F., Sueiras, J.E., (2003) Solid State Ionics, 156, p. 233; Friedrich, H., Sietsma, J.R.A., De Jongh, P.E., Verkley, A.J., De Jong, K.P., (2007) J. Am. Chem. Soc., 129, p. 10249","page":"27-32","publisher":"Elsevier B.V.","title":"Combining confinement and NO calcination to arrive at highly dispersed supported nickel and cobalt oxide catalysts with a tunable particle size","type":"article-journal","volume":"163"},"uris":["http://www.mendeley.com/documents/?uuid=68f5959a-0c4a-4e95-ae5c-485ad2ab9e6a"]},{"id":"ITEM-3","itemData":{"DOI":"10.1021/ja0728876","ISBN":"0002-7863","author":[{"dropping-particle":"","family":"Friedrich","given":"Heiner","non-dropping-particle":"","parse-names":false,"suffix":""},{"dropping-particle":"","family":"Sietsma","given":"Jelle R A","non-dropping-particle":"","parse-names":false,"suffix":""},{"dropping-particle":"","family":"Jongh","given":"Petra E","non-dropping-particle":"de","parse-names":false,"suffix":""},{"dropping-particle":"","family":"Verkleij","given":"Arie J","non-dropping-particle":"","parse-names":false,"suffix":""},{"dropping-particle":"","family":"Jong","given":"Krijn P","non-dropping-particle":"de","parse-names":false,"suffix":""}],"container-title":"Journal of the American Chemical Society","id":"ITEM-3","issue":"33","issued":{"date-parts":[["2007"]]},"page":"10249-10254","publisher":"American Chemical Society","title":"Measuring Location, Size, Distribution, and Loading of NiO Crystallites in Individual SBA-15 Pores by Electron Tomography","type":"article-journal","volume":"129"},"uris":["http://www.mendeley.com/documents/?uuid=14f9e409-b7bb-4bfa-9011-ee498cb0c3ac"]},{"id":"ITEM-4","itemData":{"DOI":"10.1021/cm702610h","ISSN":"0897-4756","abstract":"In this contribution, we investigated the preparation of Ni/SiO2 catalysts with aqueous [Ni(OH2)6](NO3)2 solutions via the impregnation and drying method using ordered mesoporous silica SBA-15 (mesopore diameter of 9 nm) as model support to study each step in the preparation: impregnation, drying, calcination, and reduction. After impregnation, not all the mesopores of SBA-15 appeared filled with precursor solution. Consecutive drying led to formation of 9 nm Ni3(NO3)2(OH)4 crystallites exclusively within the mesopores. During air calcination, severe sintering and redistribution took place, resulting in a low NiO dispersion, including large NiO crystals outside of the mesopores and rodlike NiO particles inside the mesopores. The degree of sintering depended on the concentration of Ni3(NO3)2(OH)4 decomposition products (NO2, N2O, O2 and H2O), and in particular NO2 and O2 were found to promote sintering and redistribution. Therefore, maintaining low concentrations of the latter components during the thermal nitrate decomposition is advocated, which was achieved by carrying out the treatment in the presence of H2. The latter treatment prevented formation of NO2/O2 as decomposition products, moderated the decomposition rate of Ni3(NO3)2(OH)4 into NiO as observed from in situ XRD experiments, and led to NiO particles of 3 nm on average at a loading of 20 wt % Ni/SiO2.","author":[{"dropping-particle":"","family":"Sietsma","given":"Jelle R A","non-dropping-particle":"","parse-names":false,"suffix":""},{"dropping-particle":"","family":"Meeldijk","given":"Johannes D","non-dropping-particle":"","parse-names":false,"suffix":""},{"dropping-particle":"","family":"Versluijs-Helder","given":"Marjan","non-dropping-particle":"","parse-names":false,"suffix":""},{"dropping-particle":"","family":"Broersma","given":"Alfred","non-dropping-particle":"","parse-names":false,"suffix":""},{"dropping-particle":"van","family":"Dillen","given":"A Jos","non-dropping-particle":"","parse-names":false,"suffix":""},{"dropping-particle":"","family":"Jongh","given":"Petra E","non-dropping-particle":"de","parse-names":false,"suffix":""},{"dropping-particle":"","family":"Jong","given":"Krijn P","non-dropping-particle":"de","parse-names":false,"suffix":""}],"container-title":"Chemistry of Materials","id":"ITEM-4","issue":"9","issued":{"date-parts":[["2008","5","1"]]},"note":"doi: 10.1021/cm702610h","page":"2921-2931","publisher":"American Chemical Society","title":"Ordered Mesoporous Silica to Study the Preparation of Ni/SiO2 ex Nitrate Catalysts: Impregnation, Drying, and Thermal Treatments","type":"article-journal","volume":"20"},"uris":["http://www.mendeley.com/documents/?uuid=8f35ba25-6cd8-4e07-ac7c-cb626021cd9a"]},{"id":"ITEM-5","itemData":{"DOI":"10.1002/anie.200700608","ISBN":"14337851 (ISSN)","abstract":"A need for NO: Moderating the thermal decomposition of supported nitrates with NO (see picture, center) prevents precursor mobility and is a versatile method for the preparation of small NiO (left; compared to the product of the conventional procedure, right) and Co3O4 particles. These materials can be used as heterogeneous catalysts and show good activity in the Fischer-Tropsch synthesis. © 2007 Wiley-VCH Verlag GmbH &amp; Co. KGaA.","author":[{"dropping-particle":"","family":"Sietsma","given":"J R A","non-dropping-particle":"","parse-names":false,"suffix":""},{"dropping-particle":"","family":"Meeldijk","given":"J D","non-dropping-particle":"","parse-names":false,"suffix":""},{"dropping-particle":"","family":"Breejen","given":"J P","non-dropping-particle":"Den","parse-names":false,"suffix":""},{"dropping-particle":"","family":"Versluijs-Helder","given":"M","non-dropping-particle":"","parse-names":false,"suffix":""},{"dropping-particle":"","family":"Dillen","given":"A J","non-dropping-particle":"Van","parse-names":false,"suffix":""},{"dropping-particle":"","family":"Jongh","given":"P E","non-dropping-particle":"De","parse-names":false,"suffix":""},{"dropping-particle":"","family":"Jong","given":"K P","non-dropping-particle":"De","parse-names":false,"suffix":""}],"container-title":"Angewandte Chemie - International Edition","id":"ITEM-5","issue":"24","issued":{"date-parts":[["2007"]]},"language":"English","note":"Cited By :160\nExport Date: 20 January 2017\nCODEN: ACIEA\nCorrespondence Address: Sietsma, J.R.A.; Inorganic Chemistry and Catalysis, Utrecht University, Sorbonnelaan 16, 3584 CA, Utrecht, Netherlands\nReferences: Poizot, P., Laruelle, S., Grugeon, S., Dupont, L., Tarascon, J.-M., (2000) Nature, 407, pp. 496-499; O'Regan, B., Grätzel, M., (1991) Nature, 353, pp. 737-740; Kim, J., Lee, J.E., Lee, J., Jang, Y., Kim, S.-W., An, K., Yu, J.H., Hyeon, T., (2006) Angew. Chem, 118, pp. 4907-4911; Angew, (2006) Chem. Int. Ed, 45, pp. 4789-4793; Bell, A.T., (2003) Science, 299, pp. 1688-1691; Schlögl, R., Abd Hamid, S.B., (2004) Angew. Chem, 116, pp. 1656-1667; Angew, (2004) Chem. Int. Ed, 43, pp. 1628-1637; Ying, J.Y., (2006) Chem. Eng. Sci, 61, pp. 1540-1548; Mal, N.K., Fuijwara, N., Tanaka, Y., (2003) Nature, 421, pp. 350-353; de Jong, K.P., (1999) Curr. Opin. Solid State Mater. Sci, 4, pp. 55-62; Bourikas, K., Kordulis, C., Lycourghiotis, A., (2006) Catal. Rev. Sci. Eng, 48, pp. 363-444; Négrier, F., Marceau, E., Che, M., Giraudon, J.-M., Gengembre, L., Löfberg, A., (2005) J. Phys. Chem. B, 109, pp. 2836-2845; van der Lee, M.K., van Dillen, A.J., Bitter, J.H., de Jong, K.P., (2005) J. Am. Chem. Soc, 127, pp. 13573-13582; Burattin, P., Che, M., Louis, C., (1999) J. Phys. Chem. B, 103, pp. 6171-6178; van Dillen, A.J., Terörde, R.J.A.M., Lensveld, D.J., Geus, J.W., de Jong, K.P., (2003) J. Catal, 216, pp. 257-264; Poels, E.K., Dekker, J.G., van Leeuwen, W.A., (1991) Stud. Surf. Sci. Catal, 63, pp. 205-214; van de Loosdrecht, J., Barradas, S., Caricato, E.A., Ngwenya, N.G., Nkwanyana, P.S., Rawat, M.A.S., Sigwebela, B.H., Visagie, J.L., (2003) Top. Catal, 26, pp. 121-127; Chernavskii, P.A., Khodakov, A.Y., Pankina, G.V., Girardon, J.-S., Quinet, E., (2006) Appl. Catal. A, 306, pp. 108-119; Iglesia, E., (1997) Appl. Catal. A, 161, pp. 59-78; Bezemer, G.L., Bitter, J.H., Kuipers, H.P.C.E., Oosterbeek, H., Holewijn, J.E., Xu, X., Kapteijn, F., de Jong, K.P., (2006) J. Am. Chem. Soc, 128, pp. 3956-3964; Sietsma, J.R.A., van Dillen, A.J., de Jongh, P.E., de Jong, K.P., (2006) Stud. Surf. Sci. Catal, pp. 95-102; Thomas, J.M., Midgley, P.A., Yates, T.J.V., Barnard, J.S., Raja, R., Arslan, I., Weyland, M., (2004) Angew. Chem, 116, pp. 6913-6915; Angew, (2004) Chem. Int. Ed, 43, pp. 6745-6747; Salabas, E.L., Rumplecker, A., Kleitz, F., Radu, F., Schüth, F., (2006) Nano Lett, 6, pp. 2977-2981; Vradman, L., Landau, M.V., Kantorovich, D., Koltypin, Y., Gedanken, A., (2005) Microporous Mesoporous Mater, 79, pp. 307-318; Escax, V., Impéror-Clerc, M., Bazin, D., Davidson, A., (2005) C. R. Chim, 8, pp. 663-677; Ravikovitch, P.I., Neimark, A.V., (2002) Langmuir, 18, pp. 9830-9837; Janssen, A.H., Yang, C.-M., Wang, Y., Schüth, F., Koster, A.J., de Jong, K.P., (2003) J. Phys. Chem. B, 107, pp. 10552-10556; Zhao, D., Feng, J., Huo, Q., Melosh, N., Fredrickson, G.H., Chmelka, B.F., Stucky, G.D., (1998) Science, 279, pp. 548-552; Jaroniec, M., Kruk, M., Olivier, J.P., Koch, S., (1999) Proceedings of COPS-V, , Heidelberg, Germany","page":"4547-4549","title":"The preparation of supported NiO and Co3O4 nanoparticles by the nitric oxide controlled thermal decomposition of nitrates","type":"article-journal","volume":"46"},"uris":["http://www.mendeley.com/documents/?uuid=d6a7467a-0b47-4b87-9a79-efd212fb8a5b"]},{"id":"ITEM-6","itemData":{"DOI":"10.1016/j.jcat.2008.10.007","ISBN":"0021-9517","ISSN":"00219517","abstract":"An explanation is put forward for the beneficial effect of thermal decomposition of supported Ni3(NO3)2(OH)4in NO/He flow (0.1-1 vol%) that enables preparation of well-dispersed (3-5 nm particles) 24 wt% Ni-catalysts via impregnation and drying using aqueous [Ni(OH2)6](NO3)2precursor solution. Moreover, combining electron tomography, XRD and N2-physisorption with SBA-15 support yielded a clear picture of the impact of air, He and NO/He gas atmospheres on NiO shape and distribution. TGA/MS indicated that NO2, N2O, H2O products evolved more gradually in NO/He. In situ XRD and DSC revealed that NO lowers the nitrate decomposition rate and appears less endothermic than in air supposedly due to exothermic scavenging of oxygen by NO, which is supported by MS results. The Ni/SiO2catalyst prepared via the NO-method displayed a higher activity in the hydrogenation of soybean oil as the required hydrogenation time decreased by 30% compared to the traditionally air calcined catalyst. © 2008 Elsevier Inc. All rights reserved.","author":[{"dropping-particle":"","family":"Sietsma","given":"J. R A","non-dropping-particle":"","parse-names":false,"suffix":""},{"dropping-particle":"","family":"Friedrich","given":"Heiner","non-dropping-particle":"","parse-names":false,"suffix":""},{"dropping-particle":"","family":"Broersma","given":"Alfred","non-dropping-particle":"","parse-names":false,"suffix":""},{"dropping-particle":"","family":"Versluijs-Helder","given":"Marjan","non-dropping-particle":"","parse-names":false,"suffix":""},{"dropping-particle":"","family":"Jos van Dillen","given":"A.","non-dropping-particle":"","parse-names":false,"suffix":""},{"dropping-particle":"","family":"Jongh","given":"Petra E.","non-dropping-particle":"de","parse-names":false,"suffix":""},{"dropping-particle":"","family":"Jong","given":"Krijn P.","non-dropping-particle":"de","parse-names":false,"suffix":""}],"container-title":"Journal of Catalysis","id":"ITEM-6","issue":"2","issued":{"date-parts":[["2008"]]},"page":"227-235","publisher":"Elsevier Inc.","title":"How nitric oxide affects the decomposition of supported nickel nitrate to arrive at highly dispersed catalysts","type":"article-journal","volume":"260"},"uris":["http://www.mendeley.com/documents/?uuid=6954d62a-60df-4efa-977c-f9a44718f0ac"]},{"id":"ITEM-7","itemData":{"DOI":"10.1021/cs5006772","ISSN":"21555435","abstract":"The nanoscale distribution of the supported metal phase is an important property for highly active, selective, and stable catalysts. Here, the nanoscale redistribution and aggregate formation of cobalt nitrate during the synthesis of supported cobalt catalysts were studied. Drying over a range of temperatures in stagnant air resulted in cobalt particles (8 nm) present in large aggregates (30-150 nm). However, drying in a N2 flow resulted in cobalt nanoparticles distributed either in aggregates or uniformly on various SiO2 and-Al2O3 supports, critically dependent on the drying temperature. The mechanism of aggregation was studied through chemical immobilization of the precursor on a silica support after drying in a N2 flow. The aggregation behavior upon drying in a gas flow at temperatures below 100 °C showed a remarkable similarity to distributions obtained upon the dewetting of colloidal films, suggesting a physical process. Alternatively, by inducing decomposition of the cobalt nitrate above 100 °C before drying was complete, aggregation was brought about through a chemical process that occurred both in stagnant and flowing gas. A-alumina support exhibited increased precursor-support interactions and displayed little cobalt aggregation upon drying in a gas flow but extensive aggregation upon drying in stagnant air. The aggregation behavior was further tested on silica supports with pore sizes between 3 and 15 nm and tested under industrially relevant Fischer-Tropsch conditions, which revealed that uniform cobalt nanoparticle distributions were up to 50% more active compared to aggregated systems. Thus, hydrodynamics and the temperature of the gas phase are critical parameters to control nanoscale distributions during drying of functional nanomaterials such as supported catalysts.","author":[{"dropping-particle":"","family":"Munnik","given":"Peter","non-dropping-particle":"","parse-names":false,"suffix":""},{"dropping-particle":"","family":"Krans","given":"Nynke A.","non-dropping-particle":"","parse-names":false,"suffix":""},{"dropping-particle":"","family":"Jongh","given":"Petra E.","non-dropping-particle":"De","parse-names":false,"suffix":""},{"dropping-particle":"","family":"Jong","given":"Krijn P.","non-dropping-particle":"De","parse-names":false,"suffix":""}],"container-title":"ACS Catalysis","id":"ITEM-7","issue":"9","issued":{"date-parts":[["2014"]]},"page":"3219-3226","title":"Effects of drying conditions on the synthesis of Co/SiO2 and Co/Al2O3 fischer-tropsch catalysts","type":"article-journal","volume":"4"},"uris":["http://www.mendeley.com/documents/?uuid=ff2d8c3b-b606-4a55-9be4-2f66736d890c"]}],"mendeley":{"formattedCitation":"[165]–[171]","plainTextFormattedCitation":"[165]–[171]","previouslyFormattedCitation":"[165]–[171]"},"properties":{"noteIndex":0},"schema":"https://github.com/citation-style-language/schema/raw/master/csl-citation.json"}</w:instrText>
      </w:r>
      <w:r w:rsidRPr="00C507BA">
        <w:rPr>
          <w:lang w:val="en-GB"/>
        </w:rPr>
        <w:fldChar w:fldCharType="separate"/>
      </w:r>
      <w:r w:rsidR="006C586A" w:rsidRPr="006C586A">
        <w:rPr>
          <w:noProof/>
          <w:lang w:val="en-GB"/>
        </w:rPr>
        <w:t>[165]–[171]</w:t>
      </w:r>
      <w:r w:rsidRPr="00C507BA">
        <w:rPr>
          <w:lang w:val="en-GB"/>
        </w:rPr>
        <w:fldChar w:fldCharType="end"/>
      </w:r>
      <w:r w:rsidRPr="00C507BA">
        <w:rPr>
          <w:lang w:val="en-GB"/>
        </w:rPr>
        <w:t xml:space="preserve">. </w:t>
      </w:r>
      <w:r w:rsidRPr="00C507BA">
        <w:rPr>
          <w:sz w:val="28"/>
          <w:szCs w:val="28"/>
          <w:lang w:val="en-GB"/>
        </w:rPr>
        <w:fldChar w:fldCharType="begin"/>
      </w:r>
      <w:r w:rsidRPr="00C507BA">
        <w:rPr>
          <w:sz w:val="28"/>
          <w:szCs w:val="28"/>
          <w:lang w:val="en-GB"/>
        </w:rPr>
        <w:instrText xml:space="preserve"> REF _Ref49767158 \h  \* MERGEFORMAT </w:instrText>
      </w:r>
      <w:r w:rsidRPr="00C507BA">
        <w:rPr>
          <w:sz w:val="28"/>
          <w:szCs w:val="28"/>
          <w:lang w:val="en-GB"/>
        </w:rPr>
      </w:r>
      <w:r w:rsidRPr="00C507BA">
        <w:rPr>
          <w:sz w:val="28"/>
          <w:szCs w:val="28"/>
          <w:lang w:val="en-GB"/>
        </w:rPr>
        <w:fldChar w:fldCharType="separate"/>
      </w:r>
      <w:r w:rsidRPr="00C103C3">
        <w:rPr>
          <w:rFonts w:cstheme="minorHAnsi"/>
        </w:rPr>
        <w:t>Figure 2.6</w:t>
      </w:r>
      <w:r w:rsidRPr="00C507BA">
        <w:rPr>
          <w:sz w:val="28"/>
          <w:szCs w:val="28"/>
          <w:lang w:val="en-GB"/>
        </w:rPr>
        <w:fldChar w:fldCharType="end"/>
      </w:r>
      <w:r w:rsidRPr="00C507BA">
        <w:rPr>
          <w:lang w:val="en-GB"/>
        </w:rPr>
        <w:t xml:space="preserve"> illustrates the expected impact of drying the metal salt solution in an infiltrated electrode using temperatures exceeding 100</w:t>
      </w:r>
      <w:r w:rsidR="0025655C">
        <w:rPr>
          <w:lang w:val="en-GB"/>
        </w:rPr>
        <w:t xml:space="preserve"> </w:t>
      </w:r>
      <w:r w:rsidRPr="00C507BA">
        <w:rPr>
          <w:rFonts w:cstheme="minorHAnsi"/>
          <w:lang w:val="en-GB"/>
        </w:rPr>
        <w:t>⁰</w:t>
      </w:r>
      <w:r w:rsidRPr="00C507BA">
        <w:rPr>
          <w:lang w:val="en-GB"/>
        </w:rPr>
        <w:t>C and a flowing inert atmosphere.</w:t>
      </w:r>
    </w:p>
    <w:p w14:paraId="4A73991B" w14:textId="77777777" w:rsidR="00007F6C" w:rsidRPr="00C507BA" w:rsidRDefault="00007F6C" w:rsidP="004B726A">
      <w:pPr>
        <w:pStyle w:val="NoSpacing"/>
        <w:jc w:val="both"/>
        <w:rPr>
          <w:lang w:val="en-GB"/>
        </w:rPr>
      </w:pPr>
      <w:r w:rsidRPr="00C507BA">
        <w:rPr>
          <w:lang w:val="en-GB"/>
        </w:rPr>
        <w:lastRenderedPageBreak/>
        <w:t>Despite the overlap between the research fields of surface catalysis and SOFCs in heterogeneous catalysis (</w:t>
      </w:r>
      <w:r w:rsidRPr="00C507BA">
        <w:rPr>
          <w:lang w:val="en-GB"/>
        </w:rPr>
        <w:fldChar w:fldCharType="begin"/>
      </w:r>
      <w:r w:rsidRPr="00C507BA">
        <w:rPr>
          <w:lang w:val="en-GB"/>
        </w:rPr>
        <w:instrText xml:space="preserve"> REF _Ref49767331 \h  \* MERGEFORMAT </w:instrText>
      </w:r>
      <w:r w:rsidRPr="00C507BA">
        <w:rPr>
          <w:lang w:val="en-GB"/>
        </w:rPr>
      </w:r>
      <w:r w:rsidRPr="00C507BA">
        <w:rPr>
          <w:lang w:val="en-GB"/>
        </w:rPr>
        <w:fldChar w:fldCharType="separate"/>
      </w:r>
      <w:r w:rsidRPr="00C103C3">
        <w:t>Figure 2.7</w:t>
      </w:r>
      <w:r w:rsidRPr="00C507BA">
        <w:rPr>
          <w:lang w:val="en-GB"/>
        </w:rPr>
        <w:fldChar w:fldCharType="end"/>
      </w:r>
      <w:r w:rsidRPr="00C507BA">
        <w:rPr>
          <w:lang w:val="en-GB"/>
        </w:rPr>
        <w:t xml:space="preserve">). The mechanism of particle formation during these drying steps has not been elucidated. </w:t>
      </w:r>
    </w:p>
    <w:p w14:paraId="4FC57015" w14:textId="77777777" w:rsidR="00007F6C" w:rsidRDefault="00007F6C" w:rsidP="004B726A">
      <w:pPr>
        <w:keepNext/>
        <w:jc w:val="center"/>
      </w:pPr>
      <w:r>
        <w:rPr>
          <w:noProof/>
        </w:rPr>
        <w:drawing>
          <wp:inline distT="0" distB="0" distL="0" distR="0" wp14:anchorId="75A229B7" wp14:editId="692744DE">
            <wp:extent cx="5400000" cy="3857656"/>
            <wp:effectExtent l="0" t="0" r="0" b="0"/>
            <wp:docPr id="352" name="Picture 352" descr="A picture containing necklace,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Venn Diagram 20.03.2020.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00000" cy="3857656"/>
                    </a:xfrm>
                    <a:prstGeom prst="rect">
                      <a:avLst/>
                    </a:prstGeom>
                  </pic:spPr>
                </pic:pic>
              </a:graphicData>
            </a:graphic>
          </wp:inline>
        </w:drawing>
      </w:r>
    </w:p>
    <w:p w14:paraId="6469B636" w14:textId="1275C644" w:rsidR="00007F6C" w:rsidRPr="00005972" w:rsidRDefault="00007F6C" w:rsidP="004B726A">
      <w:pPr>
        <w:jc w:val="center"/>
        <w:rPr>
          <w:i/>
          <w:iCs/>
        </w:rPr>
      </w:pPr>
      <w:bookmarkStart w:id="72" w:name="_Ref49767331"/>
      <w:bookmarkStart w:id="73" w:name="_Toc69114919"/>
      <w:r w:rsidRPr="00005972">
        <w:rPr>
          <w:i/>
          <w:iCs/>
          <w:color w:val="44546A" w:themeColor="text2"/>
          <w:sz w:val="18"/>
          <w:szCs w:val="18"/>
        </w:rPr>
        <w:t xml:space="preserve">Figure </w:t>
      </w:r>
      <w:r>
        <w:rPr>
          <w:i/>
          <w:iCs/>
          <w:color w:val="44546A" w:themeColor="text2"/>
          <w:sz w:val="18"/>
          <w:szCs w:val="18"/>
        </w:rPr>
        <w:t>2.</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A402C1">
        <w:rPr>
          <w:i/>
          <w:iCs/>
          <w:noProof/>
          <w:color w:val="44546A" w:themeColor="text2"/>
          <w:sz w:val="18"/>
          <w:szCs w:val="18"/>
        </w:rPr>
        <w:t>7</w:t>
      </w:r>
      <w:r w:rsidR="00285C23">
        <w:rPr>
          <w:i/>
          <w:iCs/>
          <w:color w:val="44546A" w:themeColor="text2"/>
          <w:sz w:val="18"/>
          <w:szCs w:val="18"/>
        </w:rPr>
        <w:fldChar w:fldCharType="end"/>
      </w:r>
      <w:bookmarkEnd w:id="72"/>
      <w:r w:rsidRPr="00005972">
        <w:rPr>
          <w:i/>
          <w:iCs/>
          <w:color w:val="44546A" w:themeColor="text2"/>
          <w:sz w:val="18"/>
          <w:szCs w:val="18"/>
        </w:rPr>
        <w:t xml:space="preserve">: Venn diagram detailing the similarities between the catalysts used in surface catalysis and infiltrated SOFC fuel electrodes </w:t>
      </w:r>
      <w:r w:rsidRPr="00005972">
        <w:rPr>
          <w:i/>
          <w:iCs/>
          <w:color w:val="44546A" w:themeColor="text2"/>
          <w:sz w:val="18"/>
          <w:szCs w:val="18"/>
        </w:rPr>
        <w:fldChar w:fldCharType="begin" w:fldLock="1"/>
      </w:r>
      <w:r w:rsidR="00D80A5D">
        <w:rPr>
          <w:i/>
          <w:iCs/>
          <w:color w:val="44546A" w:themeColor="text2"/>
          <w:sz w:val="18"/>
          <w:szCs w:val="18"/>
        </w:rPr>
        <w:instrText>ADDIN CSL_CITATION {"citationItems":[{"id":"ITEM-1","itemData":{"author":[{"dropping-particle":"","family":"Sietsma","given":"J R A","non-dropping-particle":"","parse-names":false,"suffix":""},{"dropping-particle":"De","family":"Jong","given":"K P","non-dropping-particle":"","parse-names":false,"suffix":""},{"dropping-particle":"Van","family":"Dillen","given":"A J","non-dropping-particle":"","parse-names":false,"suffix":""},{"dropping-particle":"De","family":"Jongh","given":"P E","non-dropping-particle":"","parse-names":false,"suffix":""}],"id":"ITEM-1","issued":{"date-parts":[["1998"]]},"page":"80003","title":"A Novel Calcination Method for Supported Metal Nitrate Catalyst Precursors","type":"article-journal"},"uris":["http://www.mendeley.com/documents/?uuid=ab012286-f1af-4fa7-8097-70131174da08"]},{"id":"ITEM-2","itemData":{"DOI":"10.1002/anie.200700608","ISBN":"1521-3773","author":[{"dropping-particle":"","family":"Sietsma","given":"Jelle R  A","non-dropping-particle":"","parse-names":false,"suffix":""},{"dropping-particle":"","family":"Meeldijk","given":"Johannes D","non-dropping-particle":"","parse-names":false,"suffix":""},{"dropping-particle":"","family":"den Breejen","given":"Johan P","non-dropping-particle":"","parse-names":false,"suffix":""},{"dropping-particle":"","family":"Versluijs-Helder","given":"Marjan","non-dropping-particle":"","parse-names":false,"suffix":""},{"dropping-particle":"","family":"van Dillen","given":"A  Jos","non-dropping-particle":"","parse-names":false,"suffix":""},{"dropping-particle":"","family":"de Jongh","given":"Petra E","non-dropping-particle":"","parse-names":false,"suffix":""},{"dropping-particle":"","family":"de Jong","given":"Krijn P","non-dropping-particle":"","parse-names":false,"suffix":""}],"container-title":"Angewandte Chemie International Edition","id":"ITEM-2","issue":"24","issued":{"date-parts":[["2007"]]},"page":"4547-4549","publisher":"WILEY-VCH Verlag","title":"The Preparation of Supported NiO and Co3O4 Nanoparticles by the Nitric Oxide Controlled Thermal Decomposition of Nitrates","type":"article-journal","volume":"46"},"uris":["http://www.mendeley.com/documents/?uuid=c8cd187c-2067-4535-affa-69ae7fffba4c"]},{"id":"ITEM-3","itemData":{"DOI":"10.1021/ja0728876","ISBN":"0002-7863","author":[{"dropping-particle":"","family":"Friedrich","given":"Heiner","non-dropping-particle":"","parse-names":false,"suffix":""},{"dropping-particle":"","family":"Sietsma","given":"Jelle R A","non-dropping-particle":"","parse-names":false,"suffix":""},{"dropping-particle":"","family":"Jongh","given":"Petra E","non-dropping-particle":"de","parse-names":false,"suffix":""},{"dropping-particle":"","family":"Verkleij","given":"Arie J","non-dropping-particle":"","parse-names":false,"suffix":""},{"dropping-particle":"","family":"Jong","given":"Krijn P","non-dropping-particle":"de","parse-names":false,"suffix":""}],"container-title":"Journal of the American Chemical Society","id":"ITEM-3","issue":"33","issued":{"date-parts":[["2007"]]},"page":"10249-10254","publisher":"American Chemical Society","title":"Measuring Location, Size, Distribution, and Loading of NiO Crystallites in Individual SBA-15 Pores by Electron Tomography","type":"article-journal","volume":"129"},"uris":["http://www.mendeley.com/documents/?uuid=14f9e409-b7bb-4bfa-9011-ee498cb0c3ac"]},{"id":"ITEM-4","itemData":{"DOI":"http://dx.doi.org/10.1016/j.jcat.2008.10.007","ISBN":"0021-9517","abstract":"An explanation is put forward for the beneficial effect of thermal decomposition of supported Ni3(NO3)2(OH)4 in NO/He flow (0.1–1 vol%) that enables preparation of well-dispersed (3–5 nm particles) 24 wt% Ni-catalysts via impregnation and drying using aqueous [Ni(OH2)6](NO3)2 precursor solution. Moreover, combining electron tomography, XRD and N2-physisorption with SBA-15 support yielded a clear picture of the impact of air, He and NO/He gas atmospheres on NiO shape and distribution. TGA/MS indicated that NO2, N2O, H2O products evolved more gradually in NO/He. In situ XRD and DSC revealed that NO lowers the nitrate decomposition rate and appears less endothermic than in air supposedly due to exothermic scavenging of oxygen by NO, which is supported by MS results. The Ni/SiO2 catalyst prepared via the NO-method displayed a higher activity in the hydrogenation of soybean oil as the required hydrogenation time decreased by 30% compared to the traditionally air calcined catalyst.","author":[{"dropping-particle":"","family":"Sietsma","given":"Jelle R A","non-dropping-particle":"","parse-names":false,"suffix":""},{"dropping-particle":"","family":"Friedrich","given":"Heiner","non-dropping-particle":"","parse-names":false,"suffix":""},{"dropping-particle":"","family":"Broersma","given":"Alfred","non-dropping-particle":"","parse-names":false,"suffix":""},{"dropping-particle":"","family":"Versluijs-Helder","given":"Marjan","non-dropping-particle":"","parse-names":false,"suffix":""},{"dropping-particle":"","family":"Jos van Dillen","given":"A","non-dropping-particle":"","parse-names":false,"suffix":""},{"dropping-particle":"","family":"Jongh","given":"Petra E","non-dropping-particle":"de","parse-names":false,"suffix":""},{"dropping-particle":"","family":"Jong","given":"Krijn P","non-dropping-particle":"de","parse-names":false,"suffix":""}],"container-title":"Journal of Catalysis","id":"ITEM-4","issue":"2","issued":{"date-parts":[["2008"]]},"page":"227-235","title":"How nitric oxide affects the decomposition of supported nickel nitrate to arrive at highly dispersed catalysts","type":"article-journal","volume":"260"},"uris":["http://www.mendeley.com/documents/?uuid=bb48dacb-b120-4d69-8aa1-ed647712a98d"]},{"id":"ITEM-5","itemData":{"DOI":"10.1016/j.cattod.2010.02.052","ISBN":"09205861 (ISSN)","abstract":"Control over the size and size distribution of supported nanoparticles is key to their efficient use in catalysis. In the preparation of nanoparticles by impregnation using nitrate precursors, the support pore diameter can be used to influence the average crystallite size. However, the particle size distributions obtained via this method are generally broad and the dispersions relatively low. Higher dispersions and narrow particle size distributions are obtained via thermal decomposition of the metal nitrate precursor in 1% (v/v) NO in Ar instead of air. Here we will show that by combining the confinement effect of ordered mesoporous silica with a decomposition step of metal nitrates in NO, silica supported nickel and cobalt oxides with a tunable particle size (2-4 nm) can be obtained at high loadings (10-20 wt%). © 2010 Elsevier B.V.","author":[{"dropping-particle":"","family":"Wolters","given":"M","non-dropping-particle":"","parse-names":false,"suffix":""},{"dropping-particle":"","family":"Grotel","given":"L J W","non-dropping-particle":"Van","parse-names":false,"suffix":""},{"dropping-particle":"","family":"Eggenhuisen","given":"T M","non-dropping-particle":"","parse-names":false,"suffix":""},{"dropping-particle":"","family":"Sietsma","given":"J R A","non-dropping-particle":"","parse-names":false,"suffix":""},{"dropping-particle":"","family":"Jong","given":"K P","non-dropping-particle":"De","parse-names":false,"suffix":""},{"dropping-particle":"","family":"Jongh","given":"P E","non-dropping-particle":"De","parse-names":false,"suffix":""}],"container-title":"Catalysis Today","id":"ITEM-5","issue":"1","issued":{"date-parts":[["2011"]]},"language":"English","note":"Cited By :33\nExport Date: 20 January 2017\nCODEN: CATTE\nCorrespondence Address: De Jongh, P. E.; Inorganic Chemistry and Catalysis, Debye Institute for NanoMaterials Science, Utrecht University, Sorbonnelaan 16, NL-3584 CA Utrecht, Netherlands; email: p.e.dejongh@uu.nl\nReferences: Balakos, M.W., Hernandez, E.E., (1997) Catal. Today, 35, p. 415; Chorkendorff, I., Niemantsverdriet, H., (2007) Concepts of Modern Catalysis and Kinetics, , Wiley-VCH Weinheim; Jiao, F., Frei, H., (2009) Angew. Chem. Int. Ed., 48, p. 1841; Bell, A.T., (2003) Science, 299, p. 1688; Che, M., Bennett, C.O., (1989) Adv. Catal., 36, p. 55; Somorjai, G.A., Park, J.Y., (2008) Top. Catal., 49, p. 126; Van Santen, R.A., (2009) Acc. Chem. Res., 42, p. 57; Bezemer, G.L., Bitter, J.H., Kuipers, H., Oosterbeek, H., Holewijn, J.E., Xu, X.D., Kapteijn, F., De Jong, K.P., (2006) J. Am. Chem. Soc., 128, p. 3956; Den Breejen, J.P., Radstake, P.B., Bezemer, G.L., Bitter, J.H., Froseth, V., Holmen, A., De Jong, K.P., (2009) J. Am. Chem. Soc., 131, p. 7197; De Jong, K.P., (1999) Curr. Opin. Solid State Mater. Sci., 4, p. 55; Bourikas, K., Kordulis, C., Lycourghiotis, A., (2006) Catal. Rev. Sci. Eng., 48, p. 363; Van Der Lee, M.K., Van Dillen, A.J., Bitter, J.H., De Jong, K.P., (2005) J. Am. Chem. Soc., 127, p. 13573; Van Dillen, A.J., Terörde, R.J.A.M., Lensveld, D.J., Geus, J.W., De Jong, K.P., (2003) J. Catal., 216, p. 257; Van De Loosdrecht, J., Barradas, S., Caricato, E.A., Ngwenya, N.G., Nkwanyana, P.S., Rawat, M.A.S., Sigwebela, B.H., Visagie, J.L., (2003) Top. Catal., 26, p. 121; Sietsma, J.R.A., Meeldijk, J.D., Den Breejen, J.P., Versluijs-Helder, M., Van Dillen, A.J., De Jongh, P.E., De Jong, K.P., (2007) Angew. Chem. Int. Ed., 46, p. 4547; Sietsma, J.R.A., Friedrich, H., Broersma, A., Versluijs-Helder, M., Van Dillen, A.J., De Jongh, P.E., De Jong, K.P., (2008) J. Catal., 260, p. 227; Khodakov, A.Y., Griboval-Constant, A., Bechara, R., Villain, F., (2001) J. Phys. Chem. B, 105, p. 9805; Jentys, A., Pham, N.H., Vinek, H., Englisch, M., Lercher, J.A., (1998) Catal. Today, 39, p. 311; Li, H.L., Li, J.L., Ni, H.K., Song, D.C., (2006) Catal. Lett., 110, p. 71; Borg Ø, Walmsley, J.C., Dehghan, R., Tanem, B.S., Blekkan, E.A., Eri, S., Rytter, E., Holmen, A., (2008) Catal. Lett., 126, p. 224; Van Der Meer, J., Bardez, I., Bart, F., Albouy, P.A., Wallez, G., Davidson, A., (2009) Micropor. Mesopor. Mater., 118, p. 183; Borg Ø, Dietzel, P.D.C., Spjelkavik, A.I., Tveten, E.Z., Walmsley, J.C., Diplas, S., Eri, S., Rytter, E., (2008) J. Catal., 259, p. 161; Zhao, D., Feng, J., Huo, Q., Melosh, N., Fredrickson, G.H., Chmelka, B.F., Stucky, G.D., (1998) Science, 279, p. 548; Cheng, C., Park, D.H., Klinowski, J., (1997) J. Chem. Soc. Faraday Trans., 93, p. 193; Jaroniec, M., Kruk, M., Olivier, J.P., Koch, S., (2000) Stud. Surf. Sci. Catal., 128, p. 71; Lippens, B.C., De Boer, J.H., (1965) J. Catal., 4, p. 319; Harkins, W.D., Jura, G., (1944) J. Am. Chem. Soc., 66, p. 1366; Gallezot, P., Prettre, M., (1968) Bull. Soc. Chim. Fr., 2, p. 407; Sietsma, J.R.A., Meeldijk, J.D., Versluijs-Helder, M., Broersma, A., Van Dillen, A.J., De Jongh, P.E., De Jong, K.P., (2008) Chem. Mater., 20, p. 2921; Petrov, K., Zotov, N., Mirtcheva, E., Garciamartinez, O., Rojas, R.M., (1994) J. Mater. Chem., 4, p. 611; Brockner, W., Ehrhardt, C., Gjikaj, M., (2007) Thermochim. Acta, 456, p. 64; Estelle, J., Salagre, P., Cesteros, Y., Serra, M., Medina, F., Sueiras, J.E., (2003) Solid State Ionics, 156, p. 233; Friedrich, H., Sietsma, J.R.A., De Jongh, P.E., Verkley, A.J., De Jong, K.P., (2007) J. Am. Chem. Soc., 129, p. 10249","page":"27-32","title":"Combining confinement and NO calcination to arrive at highly dispersed supported nickel and cobalt oxide catalysts with a tunable particle size","type":"article-journal","volume":"163"},"uris":["http://www.mendeley.com/documents/?uuid=f332073a-8245-40b8-869f-64cef4c02a05"]},{"id":"ITEM-6","itemData":{"DOI":"10.1016/j.msea.2005.11.052","ISBN":"0921-5093","ISSN":"09215093","abstract":"Development of solid oxide fuel cells (SOFC) for operation at intermediate temperatures of 600-800 °C with hydrocarbon fuels requires a cathode and anode with high electrocatalytic activity for O2 reduction and direct oxidation of hydrocarbon fuels, respectively. Wet impregnation is a well known method in the development of heterogeneous catalysts. Surprisingly, very few have concentrated on the application of the wet impregnation technique to deposit nano-sized particles into the established electrode structure of the SOFC. This paper reviews and discusses the progress in the application of the wet impregnation technique in the development of Ni-free Cu-based composite anodes, doped CeO2-impregnated (La, Sr)MnO3 (LSM) cathodes and Ni anodes, Co3O4-infiltrated cathodes and precious metal-impregnated electrodes. Enhancement in the electrode microstructure and cell performance is substantial, showing the great potential of the wet impregnation method in the development of high performance and nano-structured electrodes with specific functions. However, the long-term stability of the impregnated electrode structure needs to be addressed. © 2005 Elsevier B.V. All rights reserved.","author":[{"dropping-particle":"","family":"Jiang","given":"San Ping","non-dropping-particle":"","parse-names":false,"suffix":""}],"container-title":"Materials Science and Engineering A","id":"ITEM-6","issue":"1-2","issued":{"date-parts":[["2006"]]},"page":"199-210","title":"A review of wet impregnation - An alternative method for the fabrication of high performance and nano-structured electrodes of solid oxide fuel cells","type":"article-journal","volume":"418"},"uris":["http://www.mendeley.com/documents/?uuid=501050cf-6544-4c86-9a97-96825a9515d5"]},{"id":"ITEM-7","itemData":{"DOI":"10.1039/c3ee42926a","ISBN":"1754-5692","ISSN":"17545706","abstract":"Solid oxide fuel cells (SOFCs) have the potential to be one of the cleanest and most efficient energy technologies for direct conversion of chemical fuels to electricity. Economically competitive SOFC systems appear poised for commercialization, but widespread market penetration will require continuous innovation of materials and fabrication processes to enhance system lifetime and reduce cost. One early technical opportunity is minimization of resistance to the oxygen reduction reaction (ORR) at the cathode, which contributes the most to performance degradation and efficiency loss in the existing SOFCs, especially at temperatures &lt;700 °C. Detailed study over the past 15 years has revealed the positive impact of catalyst infiltration on SOFC cathode performance, both in power density and durability metrics. However, realizable performance improvements rely upon strongly-coupled relationships in materials and morphology between the infiltrate and the backbone, and therefore efficacious systems cannot be simply generated with a set of simple heuristics. This article reviews recent progress in enhancing SOFC cathode performance by surface modification through a solution-based infiltration process, focusing on two backbone architectures – inherently functional and skeletal – infiltrated using wet-chemistry processes. An efficient cathode consists of a porous mixed-conducting backbone and an active coating catalyst; the porous backbone provides excellent ionic and electronic conductivity, while the infiltrated surface coating possesses high catalytic activity and stability. As available, performance comparisons are emphasized and reaction schematics for specific infiltrate/backbone systems are summarized. While significant progress has been achieved in enhancing surface catalytic activity and durability, the detailed mechanisms of performance enhancement are insufficiently understood to obtain critical insights and a scientific basis for rational design of more efficient catalysts and novel electrode architectures. Recent progress in characterization of surfaces and interfaces is briefly discussed with challenges and perspectives in surface modification of SOFC electrodes. Surface modification through infiltration is expected to play an increasingly important role in current and next-generation commercial SOFC development, and this review illustrates the sophisticated technical considerations required to inform judicious selection of an infiltrate for a give…","author":[{"dropping-particle":"","family":"Ding","given":"Dong","non-dropping-particle":"","parse-names":false,"suffix":""},{"dropping-particle":"","family":"Li","given":"Xiaxi","non-dropping-particle":"","parse-names":false,"suffix":""},{"dropping-particle":"","family":"Lai","given":"Samson Yuxiu","non-dropping-particle":"","parse-names":false,"suffix":""},{"dropping-particle":"","family":"Gerdes","given":"Kirk","non-dropping-particle":"","parse-names":false,"suffix":""},{"dropping-particle":"","family":"Liu","given":"Meilin","non-dropping-particle":"","parse-names":false,"suffix":""}],"container-title":"Energy and Environmental Science","id":"ITEM-7","issue":"2","issued":{"date-parts":[["2014"]]},"language":"English","note":"Cited By :114\nExport Date: 11 October 2016\nCorrespondence Address: Liu, M.; School of Materials Science and Engineering, Center for Innovative Fuel Cell and Battery Technologies, Georgia Institute of Technology, 771 Ferst Drive NW, Atlanta, GA 30332, United States; email: meilin.liu@mse.gatech.edu\nReferences: Minh, N.Q., (1993) J. Am. Ceram. Soc., 76, pp. 563-588; Steele, B.C.H., Heinzel, A., (2001) Nature, 414, pp. 345-352; Singhal, S.C., (2002) Solid State Ionics, 152, pp. 405-410; Liu, M., Lynch, M.E., Blinn, K., Alamgir, F.M., Choi, Y., (2011) Mater. Today, 14, pp. 534-546; Yang, L., Wang, S.Z., Blinn, K., Liu, M.F., Liu, Z., Cheng, Z., Liu, M.L., (2009) Science, 326, pp. 126-129; Yang, L., Choi, Y., Qin, W., Chen, H., Blinn, K., Liu, M., Liu, P., Liu, M., (2011) Nat. Commun., 2, p. 357; Wachsman, E.D., Lee, K.T., (2011) Science, 334, pp. 935-939; Yamamoto, O., (2000) Electrochim. Acta, 45, pp. 2423-2435; Steele, B.C.H., (2001) J. Mater. Sci., 36, pp. 1053-1068; Fleig, J., (2003) Annu. Rev. Mater. Res., 33, pp. 361-382; Adler, S.B., (2004) Chem. Rev., 104, pp. 4791-4843; Sun, C.W., Hui, R., Roller, J., (2010) J. Solid State Electrochem., 14, pp. 1125-1144; Tsipis, E.V., Kharton, V.V., (2008) J. Solid State Electrochem., 12, pp. 1367-1391; (2004) Fuel Cells Bulletin, 2004 (5), p. 1; Tsipis, E.V., Kharton, V.V., (2008) J. Solid State Electrochem., 12, pp. 1039-1060; Li, Y.H., Gemmen, R., Liu, X.B., (2010) J. Power Sources, 195, pp. 3345-3358; Ostergard, M.J.L., Clausen, C., Bagger, C., Mogensen, M., (1995) Electrochim. Acta, 40, pp. 1971-1981; Kuo, J.H., Anderson, H.U., Sparlin, D.M., (1990) J. Solid State Chem., 87, pp. 55-63; Virkar, A.V., Chen, J., Tanner, C.W., Kim, J.W., (2000) Solid State Ionics, 131, pp. 189-198; Jiang, S.P., (2006) J. Solid State Electrochem., 11, pp. 93-102; Barbucci, A., Carpanese, M.P., Viviani, M., Vatistas, N., Nicolella, C., (2009) J. Appl. Electrochem., 39, pp. 513-521; Tai, L.W., Nasrallah, M.M., Anderson, H.U., Sparlin, D.M., Sehlin, S.R., (1995) Solid State Ionics, 76, pp. 273-283; Tai, L.W., Nasrallah, M.M., Anderson, H.U., Sparlin, D.M., Sehlin, S.R., (1995) Solid State Ionics, 76, pp. 259-271; Murray, E.P., Sever, M.J., Barnett, S.A., (2002) Solid State Ionics, 148, pp. 27-34; Mai, A., Haanappel, V.A.C., Uhlenbruck, S., Tietz, F., Stover, D., (2005) Solid State Ionics, 176, pp. 1341-1350; Waller, D., Lane, J.A., Kilner, J.A., Steele, B.C.H., (1996) Solid State Ionics, 8688, pp. 767-772; Xia, C.R., Rauch, W., Chen, F.L., Liu, M.L., (2002) Solid State Ionics, 149, pp. 11-19; Tu, H.Y., Takeda, Y., Imanishi, N., Yamamoto, O., (1997) Solid State Ionics, 100, pp. 283-288; Xia, C.R., Liu, M.L., (2001) Solid State Ionics, 144, pp. 249-255; Fukunaga, H., Koyama, M., Takahashi, N., Wen, C., Yamada, K., (2000) Solid State Ionics, 132, pp. 279-285; Koyama, M., Wen, C.J., Masuyama, T., Otomo, J., Fukunaga, H., Yamada, K., Eguchi, K., Takahashi, H., (2001) J. Electrochem. Soc., 148, pp. 795-A801; Zhang, X., Robertson, M., Yick, S., Deces-Petit, C., Styles, E., Qu, W., Xie, Y., Ghosh, D., (2006) J. Power Sources, 160, pp. 1211-1216; Shao, Z.P., Haile, S.M., (2004) Nature, 431, pp. 170-173; Zhou, W., Ran, R., Shao, Z.P., (2009) J. Power Sources, 192, pp. 231-246; Baumann, F.S., Fleig, J., Habermeier, H.U., Maier, J., (2006) Solid State Ionics, 177, pp. 3187-3191; Orui, H., Watanabe, K., Chiba, R., Arakawa, M., (2004) J. Electrochem. Soc., 151, pp. 1412-A1417; Komatsu, T., Arai, H., Chiba, R., Nozawa, K., Arakawa, M., Sato, K., (2006) Electrochem. Solid-State Lett., 9, pp. 9-A12; Komatsua, T., Chiba, R., Arai, H., Sato, K., (2008) J. Power Sources, 176, pp. 132-137; Kim, G., Wang, S., Jacobson, A.J., Reimus, L., Brodersen, P., Mims, C.A., (2007) J. Mater. Chem., 17, pp. 2500-2505; Taskin, A.A., Lavrov, A.N., Ando, Y., (2005) Appl. Phys. Lett., 86, p. 091910; Chang, A.M., Skinner, S.J., Kilner, J.A., (2006) Solid State Ionics, 177, pp. 2009-2011; Chen, D.J., Ran, R., Zhang, K., Wang, J., Shao, Z.P., (2009) J. Power Sources, 188, pp. 96-105; Skinner, S.J., Kilner, J.A., (2000) Solid State Ionics, 135, pp. 709-712; Kharton, V.V., Viskup, A.P., Naumovich, E.N., Marques, F.M.B., (1999) J. Mater. Chem., 9, pp. 2623-2629; Wang, Y.S., Nie, H.W., Wang, S.R., Wen, T.L., Guth, U., Valshook, V., (2006) Mater. Lett., 60, pp. 1174-1178; Mauvy, F., Lalanne, C., Bassat, J.M., Grenier, J.C., Zhao, H., Huo, L.H., Stevens, P., (2006) J. Electrochem. Soc., 153, pp. 1547-A1553; Orera, A., Slater, P.R., (2010) Chem. Mater., 22, pp. 675-690; Jacobson, A.J., (2010) Chem. Mater., 22, pp. 660-674; Svarcova, S., Wiik, K., Tolchard, J., Bouwmeester, H.J.M., Grande, T., (2008) Solid State Ionics, 178, pp. 1787-1791; Carter, S., Selcuk, A., Chater, R.J., Kajda, J., Kilner, J.A., Steele, B.C.H., (1992) Solid State Ionics, 53, pp. 597-605; Jiang, S.P., (2003) J. Power Sources, 124, pp. 390-402; Esquirol, A., Brandon, N.P., Kilner, J.A., Mogensen, M., (2004) J. Electrochem. Soc., 151, pp. 1847-A1855; Baumann, F.S., Fleig, J., Habermeier, H.U., Maier, J., (2006) Solid State Ionics, 177, pp. 1071-1081; Simrick, N.J., Bieberle-Hutter, A., Ryll, T.M., Kilner, J.A., Atkinson, A., Rupp, J.L.M., (2012) Solid State Ionics, 206, pp. 7-16; Prestat, M., Infortuna, A., Korrodi, S., Rey-Mermet, S., Muralt, P., Gauckler, L.J., (2007) J. Electroceram., 18, pp. 111-120; Miara, L.J., Basu, S.N., Pal, U.B., Gopalan, S., (2012) J. Electrochem. Soc., 159, pp. 419-F425; Becker, M., Mai, A., Ivers-Tiffee, E., Tietz, F., (2005) Proceedings of the Ninth International Symposium on Solid Oxide Fuel Cells (SOFC IX), 1. , ed. S. C. Singhal and J. Mizusaki, 514-523; Simner, S.P., Anderson, M.D., Engelhard, M.H., Stevenson, J.W., (2006) Electrochem. Solid-State Lett., 9, pp. 478-A481; Kim, J.Y., Sprenkle, V.L., Canfield, N.L., Meinhardt, K.D., Chick, L.A., (2006) J. Electrochem. Soc., 153, pp. 880-A886; Mai, A., Becker, M., Assenmacher, W., Tietz, F., Hathiramani, D., Ivers-Tiffee, E., Stover, D., Mader, W., (2006) Solid State Ionics, 177, pp. 1965-1968; Yokokawa, H., Tu, H.Y., Iwanschitz, B., Mai, A., (2008) J. Power Sources, 182, pp. 400-412; Oh, M.Y., Unemoto, A., Amezawa, K., Kawada, T., (2012) J. Electrochem. Soc., 159, pp. 659-F664; Steele, B.C.H., Hori, K.M., Uchino, S., (2000) Solid State Ionics, 135, pp. 445-450; Juhl, M., Primdahl, S., Manon, C., Mogensen, M., (1996) J. Power Sources, 61, pp. 173-181; Murray, E.P., Tsai, T., Barnett, S.A., (1998) Solid State Ionics, 110, pp. 235-243; Jorgensen, M.J., Mogensen, M., (2001) J. Electrochem. Soc., 148, pp. 433-A442; Mogensen, M., Skaarup, S., (1996) Solid State Ionics, 8688, pp. 1151-1160; Watanabe, M., Uchida, H., Shibata, M., Mochizuki, N., Amikura, K., (1994) J. Electrochem. Soc., 141, pp. 342-346; Saeki, M.J., Uchida, H., Watanabe, M., (1994) Catal. Lett., 26, pp. 149-157; Jiang, S.P., (2006) Mater. Sci. Eng., A, 418, pp. 199-210; Jiang, Z., Xia, C., Chen, F., (2010) Electrochim. Acta, 55, pp. 3595-3605; Sholklapper, T.Z., Jacobson, C.P., Visco, S.J., De Jonghe, L.C., (2008) Fuel Cells, 8, pp. 303-312; Vohs, J.M., Gorte, R.J., (2009) Adv. Mater., 21, pp. 943-956; Jiang, S.P., (2012) Int. J. Hydrogen Energy, 37, pp. 449-470; Liu, Z.B., Liu, B.B., Ding, D., Liu, M.F., Chen, F.L., Xia, C.R., (2013) J. Power Sources, 237, pp. 243-259; Lee, S., Miller, N., Gerdes, K., Manivannan, A., (2011) 12th Annual SECA Workshop, , July 26-28; Wang, W.S., Gross, M.D., Vohs, J.M., Gorte, R.J., (2007) J. Electrochem. Soc., 154, pp. 439-B445; Backhaus-Ricoult, M., (2006) Solid State Ionics, 177, pp. 2195-2200; Backhaus-Ricoult, M., Adib, K., Clair, T.S., Luerssen, B., Gregoratti, L., Barinov, A., (2008) Solid State Ionics, 179, pp. 891-895; Kiebach, R., Knofel, C., Bozza, F., Klemenso, T., Chatzichristodoulou, C., (2013) J. Power Sources, 228, pp. 170-177; Ding, D., Liu, M., Liu, M., (2013) ECS Trans., 57, pp. 1801-1810; Knofel, C., Wang, H.J., Thyden, K.T.S., Mogensen, M., (2011) Solid State Ionics, 195, pp. 36-42; Lynch, M.E., Yang, L., Qin, W., Choi, J.-J., Liu, M., Blinn, K., Liu, M., (2011) Energy Environ. Sci., 4, pp. 2249-2258; Van Dillen, A.J., Terorde, R., Lensveld, D.J., Geus, J.W., De Jong, K.P., (2003) J. Catal., 216, pp. 257-264; Jiang, P.P., Zhang, S.H., Guo, Y.L., Guo, Y., Wang, X.Y., Lu, G.Z., (2004) J. Inorg. Mater., 19, pp. 634-640; Galarraga, C., Peluso, E., De Lasa, H., (2001) Chem. Eng. J., 82, pp. 13-20; Agrafiotis, C., Tsetsekou, A., (2002) J. Eur. Ceram. Soc., 22, pp. 423-434; Lekhal, A., Glasser, B.J., Khinast, J.G., (2001) Chem. Eng. Sci., 56, pp. 4473-4487; Gardezi, S.A., Landrigan, L., Joseph, B., Wolan, J.T., (2012) Ind. Eng. Chem. Res., 51, pp. 1703-1712; Sholklapper, T.Z., Lu, C., Jacobson, C.P., Visco, S.J., De Jonghe, L.C., (2006) Electrochem. Solid-State Lett., 9, pp. 376-A378; Sholklapper, T.Z., Kurokawa, H., Jacobson, C.P., Visco, S.J., De Jonghe, L.C., (2007) Nano Lett., 7, pp. 2136-2141; Bourikas, K., Kordulis, C., Lycourghiotis, A., (2006) Catal. Rev.: Sci. Eng., 48, pp. 363-444; Hao, X., Quach, L., Korah, J., Spieker, W.A., Regalbuto, J.R., (2004) J. Mol. Catal. A: Chem., 219, pp. 97-107; Lekhal, A., Glasser, B.J., Khinast, J.G., (2004) Chem. Eng. Sci., 59, pp. 1063-1077; Lee, S., Miller, N., Abernathy, H., Gerdes, K., Manivannan, A., (2011) J. Electrochem. Soc., 158, pp. 735-B742; Lee, S., Miller, N., Staruch, M., Gerdes, K., Jain, M., Manivannan, A., (2011) Electrochim. Acta, 56, pp. 9904-9909; Hansen, K.K., Wandel, M., Liu, Y.L., Mogensen, M., (2010) Electrochim. Acta, 55, pp. 4606-4609; Xu, N.S., Li, X., Zhao, X., Zhao, H.L., Huang, K., (2012) Electrochem. Solid-State Lett., 15, pp. 1-B4; Serra, J.M., Buchkremer, H.P., (2007) J. Power Sources, 172, pp. 768-774; Choi, J.-J., Qin, W., Liu, M., Liu, M., (2011) J. Am. Ceram. Soc., 94, pp. 3340-3345; Lou, X.Y., Liu, Z., Wang, S.Z., Xiu, Y.H., Wong, C.P., Liu, M.L., (2010) J. Power Sources, 195, pp. 419-424; Tucker, D., Manivannan, A., Haynes, D., Abernathy, H., Miller, N., Wynne, K., Matos, A., Evaluating Methods for Infiltration of LSCF Cathodes with Mixed Electric/Ionic Conductors for Improved Oxygen Exchange (2010) Proceedings of the Asme 8th International Conference on Fuel Cell Science, Engineering, and Technology, 1. , Brooklyn, 305-309; Chen, H.Y., Yu, H.C., Cronin, J.S., Wilson, J.R., Barnett, S.A., Thornton, K., (2011) J. Power Sources, 196, pp. 1333-1337; Zhang, Y.X., Xia, C.R., Ni, M., (2012) Int. J. Hydrogen Energy, 37, pp. 3392-3402; Ding, D., Liu, M., Lai, S.Y., Blinn, K., Liu, M., Theory, Investigation and Stability of Cathode Electrocatalytic Activity, , http://www.osti.gov/scitech/servlets/purl/1084035, Department of Energy (DoE), US Project Report; Zhang, Y.X., Sun, Q., Xia, C.R., Ni, M., (2013) J. Electrochem. Soc., 160, pp. 278-F289; Gandavarapu, S.R., Sabolsky, K., Gerdes, K., Sabolsky, E.M., (2013) Mater. Lett., 95, pp. 131-134; Tamm, K., Kuengas, R., Gorte, R.J., Lust, E., (2013) Electrochim. Acta, 106, pp. 398-405; Yamahara, K., Jacobson, C.P., Visco, S.J., De Jonghe, L.C., (2005) Solid State Ionics, 176, pp. 451-456; Ding, D., Zhu, W., Gao, J.F., Xia, C.R., (2008) J. Power Sources, 179, pp. 177-185; Wachsman, E., (2008) 9th Annual SECA Workshop, , August 5-7; Othman, M.H.D., Droushiotis, N., Wu, Z.T., Kelsall, G., Li, K., (2011) Adv. Mater., 23, p. 2480; Chen, Y., Liu, Q., Yang, Z., Chen, F., Han, M., (2012) RSC Adv., 2, pp. 12118-12121; Sase, M., Ueno, D., Yashiro, K., Kaimai, A., Kawada, T., Mizusaki, J., (2005) J. Phys. Chem. Solids, 66, pp. 343-348; Liu, Y.H., Chi, B., Pu, J., Li, J., (2012) Int. J. Hydrogen Energy, 37, pp. 4388-4393; Shah, M., Voorhees, P.W., Barnett, S.A., (2011) Solid State Ionics, 187, pp. 64-67; Steele, B.C.H., Middleton, P.H., Rudkin, R.A., (1990) Solid State Ionics, 4041, pp. 388-393; Trovarelli, A., (1996) Catal. Rev., 38, pp. 439-520; Martin, D., Duprez, D., (1996) J. Phys. Chem., 100, pp. 9429-9438; Steele, B.C.H., (2000) Solid State Ionics, 134, pp. 3-20; Li, Y.H., Gerdes, K., Liu, X.B., (2013) J. Electrochem. Soc., 160, pp. 554-F559; Nie, L.F., Liu, M.F., Zhang, Y.J., Liu, M.L., (2010) J. Power Sources, 195, pp. 4704-4708; Liu, X., Han, D., Wu, H., Meng, X., Zeng, F., Zhan, Z., (2013) Int. J. Hydrogen Energy, 38, pp. 16563-16568; Jiang, S.P., Wang, W., (2005) J. Electrochem. Soc., 152, pp. 1398-A1408; Xu, X.Y., Jiang, Z.Y., Fan, X., Xia, C.R., (2006) Solid State Ionics, 177, pp. 2113-2117; Zhi, M.J., Lee, S., Miller, N., Menzler, N.H., Wu, N.Q., (2012) Energy Environ. Sci., 5, pp. 7066-7071; Liu, M.F., Ding, D., Blinn, K., Li, X.X., Nie, L.F., Liu, M., (2012) Int. J. Hydrogen Energy, 37, pp. 8613-8620; Zhu, W., Ding, D., Xia, C., (2008) Electrochem. Solid-State Lett., 11, pp. 83-B86; Zhang, Y.X., Xia, C.R., (2010) J. Power Sources, 195, pp. 4206-4212; Leng, Y.J., Chan, S.H., Khor, K.A., Jiang, S.P., (2006) J. Solid State Electrochem., 10, pp. 339-347; Jiang, S.P., Leng, Y.J., Chan, S.H., Khor, K.A., (2003) Electrochem. Solid-State Lett., 6, pp. 67-A70; Jiang, S.P., Wang, W., (2005) Solid State Ionics, 176, pp. 1351-1357; Zhen, Y.D., Jiang, S.P., (2006) J. Electrochem. Soc., 153, pp. 2245-A2254; Zhang, L., Zhao, F., Peng, R.R., Xia, C.R., (2008) Solid State Ionics, 179, pp. 1553-1556; Tian, R.F., Fan, J., Liu, Y., Xia, C.R., (2008) J. Power Sources, 185, pp. 1247-1251; Yoon, S.P., Han, J., Nam, S.W., Lim, T.H., Oh, I.H., Hong, S.A., Yoo, Y.S., Lim, H.C., (2002) J. Power Sources, 106, pp. 160-166; Ding, D., Gong, M.Y., Xu, C.C., Baxter, N., Li, Y.H., Zondlo, J., Gerdes, K., Liu, X.B., (2011) J. Power Sources, 196, pp. 2551-2557; Chen, K.F., Lu, Z., Ai, N., Huang, X.Q., Zhang, Y.H., Xin, X.S., Zhu, R.B., Su, W.H., (2006) J. Power Sources, 160, pp. 436-438; Chen, K.F., Lu, Z., Chen, X.J., Ai, N., Huang, X.Q., Du, X.B., Su, W.H., (2007) J. Power Sources, 172, pp. 742-748; Chen, K.F., Lu, Z., Ai, N., Chen, X.J., Hu, J.Y., Huang, X.Q., Su, W.H., (2007) J. Power Sources, 167, pp. 84-89; Wei, B., Lu, Z., Huang, X.Q., Liu, M.L., Chen, K.F., Su, W.H., (2007) J. Power Sources, 167, pp. 58-63; Klemenso, T., Chatzichristodoulou, C., Nielsen, J., Bozza, F., Thyden, K., Kiebach, R., Ramousse, S., (2012) Solid State Ionics, 224, pp. 21-31; Hojberg, J., Sogaard, M., (2011) Electrochem. Solid-State Lett., 14, pp. 77-B79; Ren, Y.Y., Ma, J.T., Ai, D.S., Zan, Q.F., Lin, X.P., Deng, C.S., (2012) J. Mater. Chem., 22, pp. 25042-25049; Imanishi, N., Ohno, R., Murata, K., Hirano, A., Takeda, Y., Yamamoto, O., Yamahara, K., (2009) Fuel Cells, 9, pp. 215-221; Goodenough, J.B., (2003) Annu. Rev. Mater. Res., 33, pp. 91-128; Jiang, Z.Y., Zhang, L., Feng, K., Xia, C.R., (2008) J. Power Sources, 185, pp. 40-48; Jiang, Z.Y., Zhang, L., Cai, L.L., Xia, C.R., (2009) Electrochim. Acta, 54, pp. 3059-3065; Zhang, Q.S., Hirano, A., Imanishi, N., Takeda, Y., Yamahara, K., (2009) J. Fuel Cell Sci. Technol., 6, p. 011001; Yoshikawa, T., Shinde, N., Murata, K., Hirano, A., Takeda, Y., Yamamoto, O., Yamahara, K., (2010) J. Fuel Cell Sci. Technol., 7, p. 061004; Liu, R.Z., Cai, G.Q., Li, J.L., Zhao, C.H., Wang, S.R., Wen, T.L., Wen, Z.Y., (2010) J. Solid State Electrochem., 14, pp. 1923-1928; Azad, A.M., Larose, S., Akbar, S.A., (1994) J. Mater. Sci., 29, pp. 4135-4151; Mitterdorfer, A., Gauckler, L.J., (1998) Solid State Ionics, 111, pp. 185-218; Sholklapper, T.Z., Kurokawa, H., Jacobson, C.P., Visco, S.J., De Jonghe, L.C., (2007) Solid Oxide Fuel Cells 10, 7. , ed. K. Eguchi, S. C. Singhai, H. Yokokawa and H. Mizusaki, Electrochemical Society Inc, Pennington, 837-843; Lu, C., Sholklapper, T.Z., Jacobson, C.P., Visco, S.J., De Jonghe, L.C., (2006) J. Electrochem. Soc., 153, pp. 1115-A1119; Liu, Z.B., Ding, D., Liu, M.F., Li, X.X., Sun, W.P., Xia, C.R., Liu, M.L., (2013) J. Power Sources, 229, pp. 277-284; Lou, X.Y., Wang, S.Z., Liu, Z., Yang, L., Liu, M.L., (2009) Solid State Ionics, 180, pp. 1285-1289; Lee, S., Miller, N., Abernathy, H., Gerdes, K., Manivannan, A., (2011) J. Electrochem. Soc., 158, pp. 735-B742; Lee, S., Miller, N., Gerdes, K., (2012) J. Electrochem. Soc., 159, pp. 301-F308; Chao, R., Kitchin, J.R., Gerdes, K., Sabolsky, E.M., Salvador, P.A., (2011) ECS Trans., 35, pp. 2387-2399; Chao, R., (2012), PhD dissertation, Carnegie Mellon University, Materials Science and EngineeringChiba, R., Yoshimura, F., Sakurai, Y., Tabata, Y., Arakawa, M., (2004) Solid State Ionics, 175, pp. 23-27; Cheng, C.S., Zhang, L., Zhang, Y.J., Jiang, S.P., (2008) Solid State Ionics, 179, pp. 282-289; Zhang, Q.S., Hirano, A., Matsumura, T., Imanishi, N., Takeda, Y., Yamahara, K., (2009) J. Fuel Cell Sci. Technol., 6, p. 011010; Ai, N., Jiang, S.P., Lu, Z., Chen, K.F., Su, W.H., (2010) J. Electrochem. Soc., 157, pp. 1033-B1039; Uchida, H., Arisaka, S., Watanabe, M., (2000) Solid State Ionics, 135, pp. 347-351; Uchida, H., Arisaka, S., Watanabe, M., (2002) J. Electrochem. Soc., 149, pp. 13-A18; Simner, S.P., Bonnett, J.R., Canfield, N.L., Meinhardt, K.D., Shelton, J.P., Sprenkle, V.L., Stevenson, J.W., (2003) J. Power Sources, 113, pp. 1-10; Liang, F.L., Chen, J., Jiang, S.P., Chi, B., Pu, J., Jian, L., (2008) Electrochem. Solid-State Lett., 11, pp. 213-B216; Haanappel, V.A.C., Rutenbeck, D., Mai, A., Uhlenbruck, S., Sebold, D., Wesemeyer, H., Rowekamp, B., Tietz, F., (2004) J. Power Sources, 130, pp. 119-128; Sahibzada, M., Benson, S.J., Rudkin, R.A., Kilner, J.A., (1998) Solid State Ionics, 115, pp. 285-290; Chen, J., Liang, F.L., Chi, B., Pu, J., Jiang, S.P., Jian, L., (2009) J. Power Sources, 194, pp. 275-280; Babaei, A., Zhang, L., Liu, E.J., Jiang, S.P., (2011) J. Alloys Compd., 509, pp. 4781-4787; Zhang, R., Alamdari, H., Kallaguine, S., (2006) J. Catal., 242, pp. 241-253; Zhang, R.D., Villanueva, A., Alamdari, H., Kaliaguine, S., (2006) J. Catal., 237, pp. 368-380; Li, J., Singh, U.G., Bennett, J.W., Page, K., Weaver, J.C., Zhang, J.-P., Proffen, T., Seshadri, R., (2007) Chem. Mater., 19, pp. 1418-1426; Wang, S.R., Kato, T., Nagata, S., Honda, T., Kaneko, T., Iwashita, N., Dokiya, M., (2002) Solid State Ionics, 146, pp. 203-210; Liu, Y., Mori, M., Funahashi, Y., Fujishiro, Y., Hirano, A., (2007) Electrochem. Commun., 9, pp. 1918-1923; Sakito, Y., Hirano, A., Imanishi, N., Takeda, Y., Yamamoto, O., Liu, Y., (2008) J. Power Sources, 182, pp. 476-481; Mori, M., Liu, Y., Itoh, T., (2009) J. Electrochem. Soc., 156, pp. 1182-B1187; Lee, K.T., Manthiram, A., (2006) J. Power Sources, 160, pp. 903-908; Yamahara, K., Jacobson, C.P., Visco, S.J., Zhang, X.F., De Jonghe, L.C., (2005) Solid State Ionics, 176, pp. 275-279; Huang, Y.Y., Vohs, J.M., Gorte, R.J., (2006) J. Electrochem. Soc., 153, pp. 951-A955; Mogensen, M., Søgaard, M., Blennow, P., Hansen, K.K., (2008) 8th European SOFC Forum Lucerne, , Switzerland, Lucerne Fuel Cell Forum, paper A0402; La, O.G.J., Ahn, S.J., Crumlin, E., Orikasa, Y., Biegalski, M.D., Christen, H.M., Shao-Horn, Y., (2010) Angew. Chem., Int. Ed., 49, pp. 5344-5347; Crumlin, E.J., Mutoro, E., Ahn, S.-J., La, O.G.J., Leonard, D.N., Borisevich, A., Biegalski, M.D., Shao-Horn, Y., (2010) J. Phys. Chem. Lett., 1, pp. 3149-3155; Morgan, D., Lee, Y.L., Adler, S.B., McDonald, T.J., Shao-Horn, Y., Lee, D.K., (2013) 14th Annual SECA Workshop, , July 23-24; Van Der Heide, P.A.W., (2002) Surf. Interface Anal., 33, pp. 414-425; Hardy, J.S., Templeton, J.W., Edwards, D.J., Lu, Z.G., Stevenson, J.W., (2012) J. Power Sources, 198, pp. 76-82; Ding, D., Liu, M., Liu, Z., Li, X., Blinn, K., Zhu, X., Liu, M., (2013) Adv. Energy Mater., 3, pp. 1149-1154; Choi, Y.M., Lin, M.C., Liu, M.L., (2010) J. Power Sources, 195, pp. 1441-1445; Ding, H.P., Virkar, A.V., Liu, M.L., Liu, F., (2013) Phys. Chem. Chem. Phys., 15, pp. 489-496; Ishihara, T., Kudo, T., Matsuda, H., Takita, Y., (1995) J. Electrochem. Soc., 142, pp. 1519-1524; Kostogloudis, G.C., Fertis, P., Ftikos, C., (1999) Solid State Ionics, 118, pp. 241-249; Wen, T.L., Tu, H., Xu, Z., Yamamoto, O., (1999) Solid State Ionics, 121, pp. 25-30; Rossignol, C., Ralph, J.M., Bae, J.M., Vaughey, J.T., (2004) Solid State Ionics, 175, pp. 59-61; Xu, Q., Huang, D.P., Chen, W., Zhang, F., Wang, B.T., (2007) J. Alloys Compd., 429, pp. 34-39; Chen, W.X., Wen, T.L., Nie, H.W., Zheng, R., (2003) Mater. Res. Bull., 38, pp. 1319-1328; Bai, Y., Liu, M., Ding, D., Blinn, K., Qin, W., Liu, J., Liu, M., (2012) J. Power Sources, 205, pp. 80-85; Haider, M.A., McIntosh, S., (2009) J. Electrochem. Soc., 156, pp. 1369-B1375; He, H.P., Huang, Y.Y., Regal, J., Boaro, M., Vohs, J.M., Gorte, R.J., (2004) J. Am. Ceram. Soc., 87, pp. 331-336; Huang, Y.Y., Vohs, J.M., Gorte, R.J., (2005) J. Electrochem. Soc., 152, pp. 1347-A1353; Sholklapper, T.Z., Radmilovic, V., Jacobson, C.P., Visco, S.J., De Jonghe, L.C., (2007) Electrochem. Solid-State Lett., 10, pp. 74-B76; Huang, Y.Y., Ahn, K., Vohs, J.M., Gorte, R.J., (2004) J. Electrochem. Soc., 151, pp. 1592-A1597; Shah, M., Barnett, S.A., (2008) Solid State Ionics, 179, pp. 2059-2064; Kim, J.H., Kim, H., (2012) Ceram. Int., 38, pp. 4669-4675; Zhao, F., Wang, Z.Y., Liu, M.F., Zhang, L., Xia, C.R., Chen, F.L., (2008) J. Power Sources, 185, pp. 13-18; Zhang, H., Zhao, F., Chen, F., Xia, C., (2011) Solid State Ionics, 192, pp. 591-594; Huang, Y.Y., Vohs, J.M., Gorte, R.J., (2004) J. Electrochem. Soc., 151, pp. 646-A651; Zhao, L., Ye, X.F., Zhan, Z.L., (2011) J. Power Sources, 196, pp. 6201-6204; Kungas, R., Yu, A.S., Levine, J., Vohs, J.M., Gorte, R.J., (2013) J. Electrochem. Soc., 160, pp. 205-F211; Lee, S., Bevilacqua, M., Fornasiero, P., Vohs, J.M., Gorte, R.J., (2009) J. Power Sources, 193, pp. 747-753; Wang, Y., Zhang, H., Chen, F., Xia, C., (2012) J. Power Sources, 203, pp. 34-41; Bidrawn, F., Vohs, J.M., Gorte, R.J., (2010) J. Electrochem. Soc., 157, pp. 1629-B1633; Shimada, H., Takizawa, K., Michibata, H., Hagiwara, A., (2007) Solid Oxide Fuel Cells 10, 7. , ed. K. Eguchi, S. C. Singhai, H. Yokokawa and H. Mizusaki, Electrochemical Society Inc, Penningt","page":"552-575","publisher":"Royal Society of Chemistry","title":"Enhancing SOFC cathode performance by surface modification through infiltration","type":"article-journal","volume":"7"},"uris":["http://www.mendeley.com/documents/?uuid=2d99c055-224c-40fa-bd32-31ac14ae5690"]}],"mendeley":{"formattedCitation":"[7], [8], [167], [173]–[176]","plainTextFormattedCitation":"[7], [8], [167], [173]–[176]","previouslyFormattedCitation":"[7], [8], [167], [173]–[176]"},"properties":{"noteIndex":0},"schema":"https://github.com/citation-style-language/schema/raw/master/csl-citation.json"}</w:instrText>
      </w:r>
      <w:r w:rsidRPr="00005972">
        <w:rPr>
          <w:i/>
          <w:iCs/>
          <w:color w:val="44546A" w:themeColor="text2"/>
          <w:sz w:val="18"/>
          <w:szCs w:val="18"/>
        </w:rPr>
        <w:fldChar w:fldCharType="separate"/>
      </w:r>
      <w:r w:rsidR="006C586A" w:rsidRPr="006C586A">
        <w:rPr>
          <w:iCs/>
          <w:noProof/>
          <w:color w:val="44546A" w:themeColor="text2"/>
          <w:sz w:val="18"/>
          <w:szCs w:val="18"/>
        </w:rPr>
        <w:t>[7], [8], [167], [173]–[176]</w:t>
      </w:r>
      <w:bookmarkEnd w:id="73"/>
      <w:r w:rsidRPr="00005972">
        <w:rPr>
          <w:i/>
          <w:iCs/>
          <w:color w:val="44546A" w:themeColor="text2"/>
          <w:sz w:val="18"/>
          <w:szCs w:val="18"/>
        </w:rPr>
        <w:fldChar w:fldCharType="end"/>
      </w:r>
      <w:r w:rsidRPr="00005972">
        <w:rPr>
          <w:i/>
          <w:iCs/>
        </w:rPr>
        <w:t xml:space="preserve"> </w:t>
      </w:r>
    </w:p>
    <w:p w14:paraId="468014A0" w14:textId="458B62B2" w:rsidR="00007F6C" w:rsidRPr="00C507BA" w:rsidRDefault="00007F6C" w:rsidP="004B726A">
      <w:pPr>
        <w:pStyle w:val="NoSpacing"/>
        <w:jc w:val="both"/>
        <w:rPr>
          <w:lang w:val="en-GB"/>
        </w:rPr>
      </w:pPr>
      <w:r w:rsidRPr="00C507BA">
        <w:rPr>
          <w:lang w:val="en-GB"/>
        </w:rPr>
        <w:t xml:space="preserve">Both sets of papers from </w:t>
      </w:r>
      <w:proofErr w:type="spellStart"/>
      <w:r w:rsidRPr="00C507BA">
        <w:rPr>
          <w:lang w:val="en-GB"/>
        </w:rPr>
        <w:t>Burye</w:t>
      </w:r>
      <w:proofErr w:type="spellEnd"/>
      <w:r w:rsidRPr="00C507BA">
        <w:rPr>
          <w:lang w:val="en-GB"/>
        </w:rPr>
        <w:t xml:space="preserve"> and </w:t>
      </w:r>
      <w:proofErr w:type="spellStart"/>
      <w:r w:rsidRPr="00C507BA">
        <w:rPr>
          <w:lang w:val="en-GB"/>
        </w:rPr>
        <w:t>Sietsma</w:t>
      </w:r>
      <w:proofErr w:type="spellEnd"/>
      <w:r w:rsidRPr="00C507BA">
        <w:rPr>
          <w:lang w:val="en-GB"/>
        </w:rPr>
        <w:t xml:space="preserve"> have emphasised their hypotheses that the infiltrate drying step is key to assessing how the overall anode material operates. Although both authors appear to be at very separate stages with their work </w:t>
      </w:r>
      <w:r w:rsidRPr="00C507BA">
        <w:rPr>
          <w:lang w:val="en-GB"/>
        </w:rPr>
        <w:fldChar w:fldCharType="begin" w:fldLock="1"/>
      </w:r>
      <w:r w:rsidR="00D80A5D">
        <w:rPr>
          <w:lang w:val="en-GB"/>
        </w:rPr>
        <w:instrText>ADDIN CSL_CITATION {"citationItems":[{"id":"ITEM-1","itemData":{"author":[{"dropping-particle":"","family":"Burye","given":"Theodore E","non-dropping-particle":"","parse-names":false,"suffix":""},{"dropping-particle":"","family":"Tang","given":"Hongjie","non-dropping-particle":"","parse-names":false,"suffix":""},{"dropping-particle":"","family":"Nicholas","given":"Jason D","non-dropping-particle":"","parse-names":false,"suffix":""}],"container-title":"Journal of the Electrochemical Society","id":"ITEM-1","issue":"9","issued":{"date-parts":[["2016"]]},"note":"10.1149/2.0431609jes","page":"F1017-F1022","title":"The Effect of Precursor Solution Desiccation or Nano-Ceria Pre-Infiltration on Various La0.6Sr0.4FeyCo1-yO3-x Infiltrate Compositions","type":"article-journal","volume":"163"},"uris":["http://www.mendeley.com/documents/?uuid=81bbfad8-a037-4cf5-9ed8-b05fe8f35497"]},{"id":"ITEM-2","itemData":{"DOI":"10.1002/anie.200700608","ISBN":"1521-3773","author":[{"dropping-particle":"","family":"Sietsma","given":"Jelle R  A","non-dropping-particle":"","parse-names":false,"suffix":""},{"dropping-particle":"","family":"Meeldijk","given":"Johannes D","non-dropping-particle":"","parse-names":false,"suffix":""},{"dropping-particle":"","family":"den Breejen","given":"Johan P","non-dropping-particle":"","parse-names":false,"suffix":""},{"dropping-particle":"","family":"Versluijs-Helder","given":"Marjan","non-dropping-particle":"","parse-names":false,"suffix":""},{"dropping-particle":"","family":"van Dillen","given":"A  Jos","non-dropping-particle":"","parse-names":false,"suffix":""},{"dropping-particle":"","family":"de Jongh","given":"Petra E","non-dropping-particle":"","parse-names":false,"suffix":""},{"dropping-particle":"","family":"de Jong","given":"Krijn P","non-dropping-particle":"","parse-names":false,"suffix":""}],"container-title":"Angewandte Chemie International Edition","id":"ITEM-2","issue":"24","issued":{"date-parts":[["2007"]]},"page":"4547-4549","publisher":"WILEY-VCH Verlag","title":"The Preparation of Supported NiO and Co3O4 Nanoparticles by the Nitric Oxide Controlled Thermal Decomposition of Nitrates","type":"article-journal","volume":"46"},"uris":["http://www.mendeley.com/documents/?uuid=c8cd187c-2067-4535-affa-69ae7fffba4c"]},{"id":"ITEM-3","itemData":{"DOI":"10.1021/jp1081406","ISBN":"1932-7447\r1932-7455","author":[{"dropping-particle":"","family":"Wolters","given":"M","non-dropping-particle":"","parse-names":false,"suffix":""},{"dropping-particle":"","family":"Munnik","given":"P","non-dropping-particle":"","parse-names":false,"suffix":""},{"dropping-particle":"","family":"Bitter","given":"J H","non-dropping-particle":"","parse-names":false,"suffix":""},{"dropping-particle":"","family":"Jongh","given":"P E","non-dropping-particle":"de","parse-names":false,"suffix":""},{"dropping-particle":"","family":"Jong","given":"K P","non-dropping-particle":"de","parse-names":false,"suffix":""}],"container-title":"The Journal of Physical Chemistry C","id":"ITEM-3","issue":"8","issued":{"date-parts":[["2011"]]},"page":"3332-3339","title":"How NO Affects Nickel and Cobalt Nitrates at Low Temperatures To Arrive at Highly Dispersed Silica-Supported Nickel and Cobalt Catalysts","type":"article-journal","volume":"115"},"uris":["http://www.mendeley.com/documents/?uuid=7bb3dca6-3239-44ca-bcf9-9d9b3bfc1ce6"]},{"id":"ITEM-4","itemData":{"DOI":"10.1016/j.cattod.2010.02.052","ISBN":"09205861 (ISSN)","abstract":"Control over the size and size distribution of supported nanoparticles is key to their efficient use in catalysis. In the preparation of nanoparticles by impregnation using nitrate precursors, the support pore diameter can be used to influence the average crystallite size. However, the particle size distributions obtained via this method are generally broad and the dispersions relatively low. Higher dispersions and narrow particle size distributions are obtained via thermal decomposition of the metal nitrate precursor in 1% (v/v) NO in Ar instead of air. Here we will show that by combining the confinement effect of ordered mesoporous silica with a decomposition step of metal nitrates in NO, silica supported nickel and cobalt oxides with a tunable particle size (2-4 nm) can be obtained at high loadings (10-20 wt%). © 2010 Elsevier B.V.","author":[{"dropping-particle":"","family":"Wolters","given":"M","non-dropping-particle":"","parse-names":false,"suffix":""},{"dropping-particle":"","family":"Grotel","given":"L J W","non-dropping-particle":"Van","parse-names":false,"suffix":""},{"dropping-particle":"","family":"Eggenhuisen","given":"T M","non-dropping-particle":"","parse-names":false,"suffix":""},{"dropping-particle":"","family":"Sietsma","given":"J R A","non-dropping-particle":"","parse-names":false,"suffix":""},{"dropping-particle":"","family":"Jong","given":"K P","non-dropping-particle":"De","parse-names":false,"suffix":""},{"dropping-particle":"","family":"Jongh","given":"P E","non-dropping-particle":"De","parse-names":false,"suffix":""}],"container-title":"Catalysis Today","id":"ITEM-4","issue":"1","issued":{"date-parts":[["2011"]]},"language":"English","note":"Cited By :33\nExport Date: 20 January 2017\nCODEN: CATTE\nCorrespondence Address: De Jongh, P. E.; Inorganic Chemistry and Catalysis, Debye Institute for NanoMaterials Science, Utrecht University, Sorbonnelaan 16, NL-3584 CA Utrecht, Netherlands; email: p.e.dejongh@uu.nl\nReferences: Balakos, M.W., Hernandez, E.E., (1997) Catal. Today, 35, p. 415; Chorkendorff, I., Niemantsverdriet, H., (2007) Concepts of Modern Catalysis and Kinetics, , Wiley-VCH Weinheim; Jiao, F., Frei, H., (2009) Angew. Chem. Int. Ed., 48, p. 1841; Bell, A.T., (2003) Science, 299, p. 1688; Che, M., Bennett, C.O., (1989) Adv. Catal., 36, p. 55; Somorjai, G.A., Park, J.Y., (2008) Top. Catal., 49, p. 126; Van Santen, R.A., (2009) Acc. Chem. Res., 42, p. 57; Bezemer, G.L., Bitter, J.H., Kuipers, H., Oosterbeek, H., Holewijn, J.E., Xu, X.D., Kapteijn, F., De Jong, K.P., (2006) J. Am. Chem. Soc., 128, p. 3956; Den Breejen, J.P., Radstake, P.B., Bezemer, G.L., Bitter, J.H., Froseth, V., Holmen, A., De Jong, K.P., (2009) J. Am. Chem. Soc., 131, p. 7197; De Jong, K.P., (1999) Curr. Opin. Solid State Mater. Sci., 4, p. 55; Bourikas, K., Kordulis, C., Lycourghiotis, A., (2006) Catal. Rev. Sci. Eng., 48, p. 363; Van Der Lee, M.K., Van Dillen, A.J., Bitter, J.H., De Jong, K.P., (2005) J. Am. Chem. Soc., 127, p. 13573; Van Dillen, A.J., Terörde, R.J.A.M., Lensveld, D.J., Geus, J.W., De Jong, K.P., (2003) J. Catal., 216, p. 257; Van De Loosdrecht, J., Barradas, S., Caricato, E.A., Ngwenya, N.G., Nkwanyana, P.S., Rawat, M.A.S., Sigwebela, B.H., Visagie, J.L., (2003) Top. Catal., 26, p. 121; Sietsma, J.R.A., Meeldijk, J.D., Den Breejen, J.P., Versluijs-Helder, M., Van Dillen, A.J., De Jongh, P.E., De Jong, K.P., (2007) Angew. Chem. Int. Ed., 46, p. 4547; Sietsma, J.R.A., Friedrich, H., Broersma, A., Versluijs-Helder, M., Van Dillen, A.J., De Jongh, P.E., De Jong, K.P., (2008) J. Catal., 260, p. 227; Khodakov, A.Y., Griboval-Constant, A., Bechara, R., Villain, F., (2001) J. Phys. Chem. B, 105, p. 9805; Jentys, A., Pham, N.H., Vinek, H., Englisch, M., Lercher, J.A., (1998) Catal. Today, 39, p. 311; Li, H.L., Li, J.L., Ni, H.K., Song, D.C., (2006) Catal. Lett., 110, p. 71; Borg Ø, Walmsley, J.C., Dehghan, R., Tanem, B.S., Blekkan, E.A., Eri, S., Rytter, E., Holmen, A., (2008) Catal. Lett., 126, p. 224; Van Der Meer, J., Bardez, I., Bart, F., Albouy, P.A., Wallez, G., Davidson, A., (2009) Micropor. Mesopor. Mater., 118, p. 183; Borg Ø, Dietzel, P.D.C., Spjelkavik, A.I., Tveten, E.Z., Walmsley, J.C., Diplas, S., Eri, S., Rytter, E., (2008) J. Catal., 259, p. 161; Zhao, D., Feng, J., Huo, Q., Melosh, N., Fredrickson, G.H., Chmelka, B.F., Stucky, G.D., (1998) Science, 279, p. 548; Cheng, C., Park, D.H., Klinowski, J., (1997) J. Chem. Soc. Faraday Trans., 93, p. 193; Jaroniec, M., Kruk, M., Olivier, J.P., Koch, S., (2000) Stud. Surf. Sci. Catal., 128, p. 71; Lippens, B.C., De Boer, J.H., (1965) J. Catal., 4, p. 319; Harkins, W.D., Jura, G., (1944) J. Am. Chem. Soc., 66, p. 1366; Gallezot, P., Prettre, M., (1968) Bull. Soc. Chim. Fr., 2, p. 407; Sietsma, J.R.A., Meeldijk, J.D., Versluijs-Helder, M., Broersma, A., Van Dillen, A.J., De Jongh, P.E., De Jong, K.P., (2008) Chem. Mater., 20, p. 2921; Petrov, K., Zotov, N., Mirtcheva, E., Garciamartinez, O., Rojas, R.M., (1994) J. Mater. Chem., 4, p. 611; Brockner, W., Ehrhardt, C., Gjikaj, M., (2007) Thermochim. Acta, 456, p. 64; Estelle, J., Salagre, P., Cesteros, Y., Serra, M., Medina, F., Sueiras, J.E., (2003) Solid State Ionics, 156, p. 233; Friedrich, H., Sietsma, J.R.A., De Jongh, P.E., Verkley, A.J., De Jong, K.P., (2007) J. Am. Chem. Soc., 129, p. 10249","page":"27-32","title":"Combining confinement and NO calcination to arrive at highly dispersed supported nickel and cobalt oxide catalysts with a tunable particle size","type":"article-journal","volume":"163"},"uris":["http://www.mendeley.com/documents/?uuid=180465e4-0a2a-4cb3-9e11-a1a36291a1ea"]}],"mendeley":{"formattedCitation":"[161], [174], [176], [180]","plainTextFormattedCitation":"[161], [174], [176], [180]","previouslyFormattedCitation":"[161], [174], [176], [180]"},"properties":{"noteIndex":0},"schema":"https://github.com/citation-style-language/schema/raw/master/csl-citation.json"}</w:instrText>
      </w:r>
      <w:r w:rsidRPr="00C507BA">
        <w:rPr>
          <w:lang w:val="en-GB"/>
        </w:rPr>
        <w:fldChar w:fldCharType="separate"/>
      </w:r>
      <w:r w:rsidR="006C586A" w:rsidRPr="006C586A">
        <w:rPr>
          <w:noProof/>
          <w:lang w:val="en-GB"/>
        </w:rPr>
        <w:t>[161], [174], [176], [180]</w:t>
      </w:r>
      <w:r w:rsidRPr="00C507BA">
        <w:rPr>
          <w:lang w:val="en-GB"/>
        </w:rPr>
        <w:fldChar w:fldCharType="end"/>
      </w:r>
      <w:r w:rsidRPr="00C507BA">
        <w:rPr>
          <w:lang w:val="en-GB"/>
        </w:rPr>
        <w:t>. The evidence points to the decomposition of nickel nitrate hexa-hydrate forming basic intermediate salts which are then reduced in humidified hydrogen.</w:t>
      </w:r>
    </w:p>
    <w:p w14:paraId="3AA42441" w14:textId="77777777" w:rsidR="00007F6C" w:rsidRDefault="00007F6C" w:rsidP="004B726A">
      <w:pPr>
        <w:pStyle w:val="NoSpacing"/>
        <w:jc w:val="both"/>
        <w:rPr>
          <w:lang w:val="en-GB"/>
        </w:rPr>
      </w:pPr>
    </w:p>
    <w:p w14:paraId="460F9B31" w14:textId="77777777" w:rsidR="00007F6C" w:rsidRPr="00C507BA" w:rsidRDefault="00007F6C" w:rsidP="004B726A">
      <w:pPr>
        <w:pStyle w:val="NoSpacing"/>
        <w:jc w:val="both"/>
        <w:rPr>
          <w:lang w:val="en-GB"/>
        </w:rPr>
      </w:pPr>
      <w:r w:rsidRPr="00C507BA">
        <w:rPr>
          <w:lang w:val="en-GB"/>
        </w:rPr>
        <w:t xml:space="preserve">The effect of atmosphere on nickel dispersal has been raised by </w:t>
      </w:r>
      <w:proofErr w:type="spellStart"/>
      <w:r w:rsidRPr="00C507BA">
        <w:rPr>
          <w:lang w:val="en-GB"/>
        </w:rPr>
        <w:t>Sietsma</w:t>
      </w:r>
      <w:proofErr w:type="spellEnd"/>
      <w:r w:rsidRPr="00C507BA">
        <w:rPr>
          <w:lang w:val="en-GB"/>
        </w:rPr>
        <w:t xml:space="preserve"> and Wolters for nickel nitrate precursor solutions but there are key holes that need to be addressed. The major one being that there have not been any drying studies (either desiccation, thermal or atmospheric) on YSZ or any fuel electrode materials.</w:t>
      </w:r>
    </w:p>
    <w:p w14:paraId="5FC18EE0" w14:textId="77777777" w:rsidR="00007F6C" w:rsidRDefault="00007F6C" w:rsidP="004B726A">
      <w:pPr>
        <w:pStyle w:val="NoSpacing"/>
        <w:jc w:val="both"/>
        <w:rPr>
          <w:lang w:val="en-GB"/>
        </w:rPr>
      </w:pPr>
    </w:p>
    <w:p w14:paraId="1F930CAE" w14:textId="77777777" w:rsidR="00007F6C" w:rsidRDefault="00007F6C" w:rsidP="004B726A">
      <w:pPr>
        <w:pStyle w:val="Heading5"/>
      </w:pPr>
      <w:r>
        <w:t>2.3.1.2</w:t>
      </w:r>
      <w:r>
        <w:tab/>
        <w:t xml:space="preserve">Nitrate Calcination </w:t>
      </w:r>
    </w:p>
    <w:p w14:paraId="675A38DD" w14:textId="21D02B33" w:rsidR="00007F6C" w:rsidRDefault="00007F6C" w:rsidP="004B726A">
      <w:pPr>
        <w:jc w:val="both"/>
      </w:pPr>
      <w:r w:rsidRPr="00464939">
        <w:t xml:space="preserve">The thermal decomposition or drying step is essential in any infiltration process; the solution (in this case nitrate ions) must be removed from the sample to isolate the desired metal oxide required for catalysis. The thermal breakdown (calcination) of nickel nitrate has been researched in the last three decades using a combination of thermo-gravimetric analysis, temperature programmed reduction and mass spectrometry to determine the identity of the gaseous products </w:t>
      </w:r>
      <w:r w:rsidRPr="00464939">
        <w:fldChar w:fldCharType="begin" w:fldLock="1"/>
      </w:r>
      <w:r w:rsidR="00D80A5D">
        <w:instrText>ADDIN CSL_CITATION {"citationItems":[{"id":"ITEM-1","itemData":{"DOI":"http://dx.doi.org/10.1016/0584-8547(95)01405-5","ISBN":"0584-8547","author":[{"dropping-particle":"","family":"Jackson","given":"Jason G","non-dropping-particle":"","parse-names":false,"suffix":""},{"dropping-particle":"","family":"Fonseca","given":"Rodney W","non-dropping-particle":"","parse-names":false,"suffix":""},{"dropping-particle":"","family":"Holcombe","given":"James A","non-dropping-particle":"","parse-names":false,"suffix":""}],"container-title":"Spectrochimica Acta Part B: Atomic Spectroscopy","id":"ITEM-1","issue":"12","issued":{"date-parts":[["1995"]]},"page":"1449-1457","title":"Mass spectral studies of thermal decomposition of metal nitrates","type":"article-journal","volume":"50"},"uris":["http://www.mendeley.com/documents/?uuid=a3e756f2-2825-4c1d-b785-c16c982864e0"]},{"id":"ITEM-2","itemData":{"DOI":"http://dx.doi.org/10.1016/0168-7336(87)80089-X","ISSN":"0168-7336","abstract":"The thermal decomposition of nickel nitrate has been followed by isothermal and non-isothermal thermogravimetry. The anhydrous salt was prepared by dehydrating the corresponding hexahydrate “in situ” at 150 °C.  We believe that the above reaction takes place in a single step: Ni(NO3)2 → NiO + 2NO2 + 12O2  It has been shown that this transformation obeys the Avrami-Erofeev law with an exponent n = 2 and an activation energy close to 84 ± 3 kJ mol−1. These results can be interpreted by a reaction mechanism that involves instantaneous nucleation on the surface of the crystal with subsequent growth of the nuclei into particles.","author":[{"dropping-particle":"","family":"Criado","given":"J M","non-dropping-particle":"","parse-names":false,"suffix":""},{"dropping-particle":"","family":"Ortega","given":"A","non-dropping-particle":"","parse-names":false,"suffix":""},{"dropping-particle":"","family":"Real","given":"C","non-dropping-particle":"","parse-names":false,"suffix":""}],"container-title":"Reactivity of Solids","id":"ITEM-2","issue":"1–2","issued":{"date-parts":[["1987","10"]]},"page":"93-103","title":"Mechanism of the thermal decomposition of anhydrous nickel nitrate","type":"article-journal","volume":"4"},"uris":["http://www.mendeley.com/documents/?uuid=a5727266-a59d-4fe7-a703-cd85b1b0f63e"]},{"id":"ITEM-3","itemData":{"DOI":"10.1021/jp026961c","ISBN":"1520-6106","ISSN":"10895647","abstract":"The decomposition of metal nitrates in air has been systematically studied by thermogravimetry. Observed temperatures of decomposition (Td) have been inversely correlated to the charge densities (CD) of the metal cations. Due to a back-donation of electronic cloud from the nitrate to an unfilled d-orbital of transition and noble metals, their nitrates generally exhibited lower Tds(&lt;700 K) than those of the base metals (&gt;850 K). The thermal stability/reducibility of metal nitrates in an hydrogen atmosphere has also been studied by temperature-programmed reduction (TPR). Observed reduction temperatures (Tr) for nitrates of the base metals and the noble metals are lower than their Td, i.e., Tr &lt; Td. The lowering of Tr might be attributed to a spillover of hydrogen to a nitrate moiety through heterolytic (ionic) and homolytic (atomic) dissociation of hydrogen on the respective base and noble metals. The stoichiometry of hydrogen consumption, quantitatively measured from TPR, varied with the group of metal cations. According to the stoichiometry, the end product in the TPR reduction was NH3 (NH2/NNO3-</w:instrText>
      </w:r>
      <w:r w:rsidR="00D80A5D">
        <w:rPr>
          <w:rFonts w:ascii="Cambria Math" w:hAnsi="Cambria Math" w:cs="Cambria Math"/>
        </w:rPr>
        <w:instrText>∼</w:instrText>
      </w:r>
      <w:r w:rsidR="00D80A5D">
        <w:instrText>4.4) and N2 (NH2/NNO3-</w:instrText>
      </w:r>
      <w:r w:rsidR="00D80A5D">
        <w:rPr>
          <w:rFonts w:ascii="Cambria Math" w:hAnsi="Cambria Math" w:cs="Cambria Math"/>
        </w:rPr>
        <w:instrText>∼</w:instrText>
      </w:r>
      <w:r w:rsidR="00D80A5D">
        <w:instrText xml:space="preserve">2.4) for nitrates of the noble and base metals, respectively. The Trs for nitrates of the transition metals are often </w:instrText>
      </w:r>
      <w:r w:rsidR="00D80A5D">
        <w:rPr>
          <w:rFonts w:ascii="Cambria Math" w:hAnsi="Cambria Math" w:cs="Cambria Math"/>
        </w:rPr>
        <w:instrText>∼</w:instrText>
      </w:r>
      <w:r w:rsidR="00D80A5D">
        <w:instrText>20 K higher than their Tds, and the ratio NH2/NNO3- varies widely between 0.7 and 3.2. Their reduction may be triggered by thermal decomposition.","author":[{"dropping-particle":"","family":"Yuvaraj","given":"Shanmugam","non-dropping-particle":"","parse-names":false,"suffix":""},{"dropping-particle":"","family":"Lin","given":"Fan Yuan","non-dropping-particle":"","parse-names":false,"suffix":""},{"dropping-particle":"","family":"Chang","given":"Tsong Huei","non-dropping-particle":"","parse-names":false,"suffix":""},{"dropping-particle":"","family":"Yeh","given":"Chuin Tih","non-dropping-particle":"","parse-names":false,"suffix":""}],"container-title":"Journal of Physical Chemistry B","id":"ITEM-3","issue":"4","issued":{"date-parts":[["2003"]]},"page":"1044-1047","title":"Thermal decomposition of metal nitrates in air and hydrogen environments","type":"article-journal","volume":"107"},"uris":["http://www.mendeley.com/documents/?uuid=fb347d9e-90b9-44fd-ae19-55c298520953"]},{"id":"ITEM-4","itemData":{"DOI":"10.1016/S0065-2792(08)60225-3","author":[{"dropping-particle":"","family":"Addison","given":"C C","non-dropping-particle":"","parse-names":false,"suffix":""},{"dropping-particle":"","family":"Logan","given":"N","non-dropping-particle":"","parse-names":false,"suffix":""}],"container-title":"Advances in Inorganic Chemistry and Radiochemistry","id":"ITEM-4","issued":{"date-parts":[["1964"]]},"note":"Cited By :51\nExport Date: 2 February 2017","page":"71-142","title":"Anhydrous Metal Nitrates","type":"article","volume":"6"},"uris":["http://www.mendeley.com/documents/?uuid=e92d5c9d-9a76-45ae-ab06-11588d25cff8"]}],"mendeley":{"formattedCitation":"[181]–[184]","plainTextFormattedCitation":"[181]–[184]","previouslyFormattedCitation":"[181]–[184]"},"properties":{"noteIndex":0},"schema":"https://github.com/citation-style-language/schema/raw/master/csl-citation.json"}</w:instrText>
      </w:r>
      <w:r w:rsidRPr="00464939">
        <w:fldChar w:fldCharType="separate"/>
      </w:r>
      <w:r w:rsidR="006C586A" w:rsidRPr="006C586A">
        <w:rPr>
          <w:noProof/>
        </w:rPr>
        <w:t>[181]–[184]</w:t>
      </w:r>
      <w:r w:rsidRPr="00464939">
        <w:fldChar w:fldCharType="end"/>
      </w:r>
      <w:r w:rsidRPr="00464939">
        <w:t>. The cationic charge density of the nitrates was shown to possess a negative correlation with the decomposition temperature</w:t>
      </w:r>
      <w:r>
        <w:t>(</w:t>
      </w:r>
      <w:proofErr w:type="spellStart"/>
      <w:r>
        <w:t>T</w:t>
      </w:r>
      <w:r>
        <w:rPr>
          <w:vertAlign w:val="subscript"/>
        </w:rPr>
        <w:t>Decomp</w:t>
      </w:r>
      <w:proofErr w:type="spellEnd"/>
      <w:r>
        <w:t>)</w:t>
      </w:r>
      <w:r w:rsidRPr="00464939">
        <w:fldChar w:fldCharType="begin" w:fldLock="1"/>
      </w:r>
      <w:r w:rsidR="00D80A5D">
        <w:instrText>ADDIN CSL_CITATION {"citationItems":[{"id":"ITEM-1","itemData":{"DOI":"10.1021/jp026961c","ISBN":"1520-6106","ISSN":"10895647","abstract":"The decomposition of metal nitrates in air has been systematically studied by thermogravimetry. Observed temperatures of decomposition (Td) have been inversely correlated to the charge densities (CD) of the metal cations. Due to a back-donation of electronic cloud from the nitrate to an unfilled d-orbital of transition and noble metals, their nitrates generally exhibited lower Tds(&lt;700 K) than those of the base metals (&gt;850 K). The thermal stability/reducibility of metal nitrates in an hydrogen atmosphere has also been studied by temperature-programmed reduction (TPR). Observed reduction temperatures (Tr) for nitrates of the base metals and the noble metals are lower than their Td, i.e., Tr &lt; Td. The lowering of Tr might be attributed to a spillover of hydrogen to a nitrate moiety through heterolytic (ionic) and homolytic (atomic) dissociation of hydrogen on the respective base and noble metals. The stoichiometry of hydrogen consumption, quantitatively measured from TPR, varied with the group of metal cations. According to the stoichiometry, the end product in the TPR reduction was NH3 (NH2/NNO3-</w:instrText>
      </w:r>
      <w:r w:rsidR="00D80A5D">
        <w:rPr>
          <w:rFonts w:ascii="Cambria Math" w:hAnsi="Cambria Math" w:cs="Cambria Math"/>
        </w:rPr>
        <w:instrText>∼</w:instrText>
      </w:r>
      <w:r w:rsidR="00D80A5D">
        <w:instrText>4.4) and N2 (NH2/NNO3-</w:instrText>
      </w:r>
      <w:r w:rsidR="00D80A5D">
        <w:rPr>
          <w:rFonts w:ascii="Cambria Math" w:hAnsi="Cambria Math" w:cs="Cambria Math"/>
        </w:rPr>
        <w:instrText>∼</w:instrText>
      </w:r>
      <w:r w:rsidR="00D80A5D">
        <w:instrText xml:space="preserve">2.4) for nitrates of the noble and base metals, respectively. The Trs for nitrates of the transition metals are often </w:instrText>
      </w:r>
      <w:r w:rsidR="00D80A5D">
        <w:rPr>
          <w:rFonts w:ascii="Cambria Math" w:hAnsi="Cambria Math" w:cs="Cambria Math"/>
        </w:rPr>
        <w:instrText>∼</w:instrText>
      </w:r>
      <w:r w:rsidR="00D80A5D">
        <w:instrText>20 K higher than their Tds, and the ratio NH2/NNO3- varies widely between 0.7 and 3.2. Their reduction may be triggered by thermal decomposition.","author":[{"dropping-particle":"","family":"Yuvaraj","given":"Shanmugam","non-dropping-particle":"","parse-names":false,"suffix":""},{"dropping-particle":"","family":"Lin","given":"Fan Yuan","non-dropping-particle":"","parse-names":false,"suffix":""},{"dropping-particle":"","family":"Chang","given":"Tsong Huei","non-dropping-particle":"","parse-names":false,"suffix":""},{"dropping-particle":"","family":"Yeh","given":"Chuin Tih","non-dropping-particle":"","parse-names":false,"suffix":""}],"container-title":"Journal of Physical Chemistry B","id":"ITEM-1","issue":"4","issued":{"date-parts":[["2003"]]},"page":"1044-1047","title":"Thermal decomposition of metal nitrates in air and hydrogen environments","type":"article-journal","volume":"107"},"uris":["http://www.mendeley.com/documents/?uuid=fb347d9e-90b9-44fd-ae19-55c298520953"]}],"mendeley":{"formattedCitation":"[183]","plainTextFormattedCitation":"[183]","previouslyFormattedCitation":"[183]"},"properties":{"noteIndex":0},"schema":"https://github.com/citation-style-language/schema/raw/master/csl-citation.json"}</w:instrText>
      </w:r>
      <w:r w:rsidRPr="00464939">
        <w:fldChar w:fldCharType="separate"/>
      </w:r>
      <w:r w:rsidR="006C586A" w:rsidRPr="006C586A">
        <w:rPr>
          <w:noProof/>
        </w:rPr>
        <w:t>[183]</w:t>
      </w:r>
      <w:r w:rsidRPr="00464939">
        <w:fldChar w:fldCharType="end"/>
      </w:r>
      <w:r w:rsidRPr="00464939">
        <w:t>.</w:t>
      </w:r>
      <w:r w:rsidRPr="002B6C9E">
        <w:t xml:space="preserve"> </w:t>
      </w:r>
      <w:r>
        <w:t xml:space="preserve">These temperatures are shown in </w:t>
      </w:r>
      <w:r>
        <w:fldChar w:fldCharType="begin"/>
      </w:r>
      <w:r>
        <w:instrText xml:space="preserve"> REF _Ref49768096 \h  \* MERGEFORMAT </w:instrText>
      </w:r>
      <w:r>
        <w:fldChar w:fldCharType="separate"/>
      </w:r>
      <w:r w:rsidRPr="00C103C3">
        <w:t xml:space="preserve">Table </w:t>
      </w:r>
      <w:r w:rsidRPr="00C103C3">
        <w:rPr>
          <w:noProof/>
        </w:rPr>
        <w:t>2.1</w:t>
      </w:r>
      <w:r>
        <w:fldChar w:fldCharType="end"/>
      </w:r>
      <w:r>
        <w:t xml:space="preserve"> below.</w:t>
      </w:r>
    </w:p>
    <w:p w14:paraId="0B446555" w14:textId="6709FC14" w:rsidR="00007F6C" w:rsidRDefault="00007F6C" w:rsidP="004B726A">
      <w:pPr>
        <w:jc w:val="both"/>
      </w:pPr>
      <w:r>
        <w:t>The literature value for the thermal breakdown of anhydrous nickel nitrate is approximately 300</w:t>
      </w:r>
      <w:r w:rsidR="0025655C">
        <w:t xml:space="preserve"> </w:t>
      </w:r>
      <w:r>
        <w:t>°C which has been replicated in the TGA range which was between 282- 332</w:t>
      </w:r>
      <w:r w:rsidR="0025655C">
        <w:t xml:space="preserve"> </w:t>
      </w:r>
      <w:r>
        <w:t xml:space="preserve">°C </w:t>
      </w:r>
      <w:r w:rsidRPr="00464939">
        <w:fldChar w:fldCharType="begin" w:fldLock="1"/>
      </w:r>
      <w:r w:rsidR="00D80A5D">
        <w:instrText>ADDIN CSL_CITATION {"citationItems":[{"id":"ITEM-1","itemData":{"DOI":"http://dx.doi.org/10.1016/0584-8547(95)01405-5","ISBN":"0584-8547","author":[{"dropping-particle":"","family":"Jackson","given":"Jason G","non-dropping-particle":"","parse-names":false,"suffix":""},{"dropping-particle":"","family":"Fonseca","given":"Rodney W","non-dropping-particle":"","parse-names":false,"suffix":""},{"dropping-particle":"","family":"Holcombe","given":"James A","non-dropping-particle":"","parse-names":false,"suffix":""}],"container-title":"Spectrochimica Acta Part B: Atomic Spectroscopy","id":"ITEM-1","issue":"12","issued":{"date-parts":[["1995"]]},"page":"1449-1457","title":"Mass spectral studies of thermal decomposition of metal nitrates","type":"article-journal","volume":"50"},"uris":["http://www.mendeley.com/documents/?uuid=a3e756f2-2825-4c1d-b785-c16c982864e0"]},{"id":"ITEM-2","itemData":{"DOI":"http://dx.doi.org/10.1016/0168-7336(87)80089-X","ISSN":"0168-7336","abstract":"The thermal decomposition of nickel nitrate has been followed by isothermal and non-isothermal thermogravimetry. The anhydrous salt was prepared by dehydrating the corresponding hexahydrate “in situ” at 150 °C.  We believe that the above reaction takes place in a single step: Ni(NO3)2 → NiO + 2NO2 + 12O2  It has been shown that this transformation obeys the Avrami-Erofeev law with an exponent n = 2 and an activation energy close to 84 ± 3 kJ mol−1. These results can be interpreted by a reaction mechanism that involves instantaneous nucleation on the surface of the crystal with subsequent growth of the nuclei into particles.","author":[{"dropping-particle":"","family":"Criado","given":"J M","non-dropping-particle":"","parse-names":false,"suffix":""},{"dropping-particle":"","family":"Ortega","given":"A","non-dropping-particle":"","parse-names":false,"suffix":""},{"dropping-particle":"","family":"Real","given":"C","non-dropping-particle":"","parse-names":false,"suffix":""}],"container-title":"Reactivity of Solids","id":"ITEM-2","issue":"1–2","issued":{"date-parts":[["1987","10"]]},"page":"93-103","title":"Mechanism of the thermal decomposition of anhydrous nickel nitrate","type":"article-journal","volume":"4"},"uris":["http://www.mendeley.com/documents/?uuid=a5727266-a59d-4fe7-a703-cd85b1b0f63e"]},{"id":"ITEM-3","itemData":{"DOI":"10.1021/jp026961c","ISBN":"1520-6106","ISSN":"10895647","abstract":"The decomposition of metal nitrates in air has been systematically studied by thermogravimetry. Observed temperatures of decomposition (Td) have been inversely correlated to the charge densities (CD) of the metal cations. Due to a back-donation of electronic cloud from the nitrate to an unfilled d-orbital of transition and noble metals, their nitrates generally exhibited lower Tds(&lt;700 K) than those of the base metals (&gt;850 K). The thermal stability/reducibility of metal nitrates in an hydrogen atmosphere has also been studied by temperature-programmed reduction (TPR). Observed reduction temperatures (Tr) for nitrates of the base metals and the noble metals are lower than their Td, i.e., Tr &lt; Td. The lowering of Tr might be attributed to a spillover of hydrogen to a nitrate moiety through heterolytic (ionic) and homolytic (atomic) dissociation of hydrogen on the respective base and noble metals. The stoichiometry of hydrogen consumption, quantitatively measured from TPR, varied with the group of metal cations. According to the stoichiometry, the end product in the TPR reduction was NH3 (NH2/NNO3-</w:instrText>
      </w:r>
      <w:r w:rsidR="00D80A5D">
        <w:rPr>
          <w:rFonts w:ascii="Cambria Math" w:hAnsi="Cambria Math" w:cs="Cambria Math"/>
        </w:rPr>
        <w:instrText>∼</w:instrText>
      </w:r>
      <w:r w:rsidR="00D80A5D">
        <w:instrText>4.4) and N2 (NH2/NNO3-</w:instrText>
      </w:r>
      <w:r w:rsidR="00D80A5D">
        <w:rPr>
          <w:rFonts w:ascii="Cambria Math" w:hAnsi="Cambria Math" w:cs="Cambria Math"/>
        </w:rPr>
        <w:instrText>∼</w:instrText>
      </w:r>
      <w:r w:rsidR="00D80A5D">
        <w:instrText xml:space="preserve">2.4) for nitrates of the noble and base metals, respectively. The Trs for nitrates of the transition metals are often </w:instrText>
      </w:r>
      <w:r w:rsidR="00D80A5D">
        <w:rPr>
          <w:rFonts w:ascii="Cambria Math" w:hAnsi="Cambria Math" w:cs="Cambria Math"/>
        </w:rPr>
        <w:instrText>∼</w:instrText>
      </w:r>
      <w:r w:rsidR="00D80A5D">
        <w:instrText>20 K higher than their Tds, and the ratio NH2/NNO3- varies widely between 0.7 and 3.2. Their reduction may be triggered by thermal decomposition.","author":[{"dropping-particle":"","family":"Yuvaraj","given":"Shanmugam","non-dropping-particle":"","parse-names":false,"suffix":""},{"dropping-particle":"","family":"Lin","given":"Fan Yuan","non-dropping-particle":"","parse-names":false,"suffix":""},{"dropping-particle":"","family":"Chang","given":"Tsong Huei","non-dropping-particle":"","parse-names":false,"suffix":""},{"dropping-particle":"","family":"Yeh","given":"Chuin Tih","non-dropping-particle":"","parse-names":false,"suffix":""}],"container-title":"Journal of Physical Chemistry B","id":"ITEM-3","issue":"4","issued":{"date-parts":[["2003"]]},"page":"1044-1047","title":"Thermal decomposition of metal nitrates in air and hydrogen environments","type":"article-journal","volume":"107"},"uris":["http://www.mendeley.com/documents/?uuid=fb347d9e-90b9-44fd-ae19-55c298520953"]},{"id":"ITEM-4","itemData":{"DOI":"10.1016/S0065-2792(08)60225-3","author":[{"dropping-particle":"","family":"Addison","given":"C C","non-dropping-particle":"","parse-names":false,"suffix":""},{"dropping-particle":"","family":"Logan","given":"N","non-dropping-particle":"","parse-names":false,"suffix":""}],"container-title":"Advances in Inorganic Chemistry and Radiochemistry","id":"ITEM-4","issued":{"date-parts":[["1964"]]},"note":"Cited By :51\nExport Date: 2 February 2017","page":"71-142","title":"Anhydrous Metal Nitrates","type":"article","volume":"6"},"uris":["http://www.mendeley.com/documents/?uuid=e92d5c9d-9a76-45ae-ab06-11588d25cff8"]}],"mendeley":{"formattedCitation":"[181]–[184]","plainTextFormattedCitation":"[181]–[184]","previouslyFormattedCitation":"[181]–[184]"},"properties":{"noteIndex":0},"schema":"https://github.com/citation-style-language/schema/raw/master/csl-citation.json"}</w:instrText>
      </w:r>
      <w:r w:rsidRPr="00464939">
        <w:fldChar w:fldCharType="separate"/>
      </w:r>
      <w:r w:rsidR="006C586A" w:rsidRPr="006C586A">
        <w:rPr>
          <w:noProof/>
        </w:rPr>
        <w:t>[181]–[184]</w:t>
      </w:r>
      <w:r w:rsidRPr="00464939">
        <w:fldChar w:fldCharType="end"/>
      </w:r>
      <w:r w:rsidRPr="00464939">
        <w:t xml:space="preserve">. </w:t>
      </w:r>
      <w:r>
        <w:t xml:space="preserve"> These values </w:t>
      </w:r>
      <w:r>
        <w:lastRenderedPageBreak/>
        <w:t xml:space="preserve">throw some doubt onto some of literature as to whether their decomposition temperature has been enough to fully decompose the precursor solution on the porous YSZ scaffolds. The other unanswered point is that the use of excessive calcination temperatures would impact the final decomposition products </w:t>
      </w:r>
      <w:r>
        <w:fldChar w:fldCharType="begin" w:fldLock="1"/>
      </w:r>
      <w:r w:rsidR="00D80A5D">
        <w:instrText>ADDIN CSL_CITATION {"citationItems":[{"id":"ITEM-1","itemData":{"DOI":"10.1021/jp026961c","ISBN":"1520-6106","ISSN":"10895647","abstract":"The decomposition of metal nitrates in air has been systematically studied by thermogravimetry. Observed temperatures of decomposition (Td) have been inversely correlated to the charge densities (CD) of the metal cations. Due to a back-donation of electronic cloud from the nitrate to an unfilled d-orbital of transition and noble metals, their nitrates generally exhibited lower Tds(&lt;700 K) than those of the base metals (&gt;850 K). The thermal stability/reducibility of metal nitrates in an hydrogen atmosphere has also been studied by temperature-programmed reduction (TPR). Observed reduction temperatures (Tr) for nitrates of the base metals and the noble metals are lower than their Td, i.e., Tr &lt; Td. The lowering of Tr might be attributed to a spillover of hydrogen to a nitrate moiety through heterolytic (ionic) and homolytic (atomic) dissociation of hydrogen on the respective base and noble metals. The stoichiometry of hydrogen consumption, quantitatively measured from TPR, varied with the group of metal cations. According to the stoichiometry, the end product in the TPR reduction was NH3 (NH2/NNO3-</w:instrText>
      </w:r>
      <w:r w:rsidR="00D80A5D">
        <w:rPr>
          <w:rFonts w:ascii="Cambria Math" w:hAnsi="Cambria Math" w:cs="Cambria Math"/>
        </w:rPr>
        <w:instrText>∼</w:instrText>
      </w:r>
      <w:r w:rsidR="00D80A5D">
        <w:instrText>4.4) and N2 (NH2/NNO3-</w:instrText>
      </w:r>
      <w:r w:rsidR="00D80A5D">
        <w:rPr>
          <w:rFonts w:ascii="Cambria Math" w:hAnsi="Cambria Math" w:cs="Cambria Math"/>
        </w:rPr>
        <w:instrText>∼</w:instrText>
      </w:r>
      <w:r w:rsidR="00D80A5D">
        <w:instrText xml:space="preserve">2.4) for nitrates of the noble and base metals, respectively. The Trs for nitrates of the transition metals are often </w:instrText>
      </w:r>
      <w:r w:rsidR="00D80A5D">
        <w:rPr>
          <w:rFonts w:ascii="Cambria Math" w:hAnsi="Cambria Math" w:cs="Cambria Math"/>
        </w:rPr>
        <w:instrText>∼</w:instrText>
      </w:r>
      <w:r w:rsidR="00D80A5D">
        <w:instrText>20 K higher than their Tds, and the ratio NH2/NNO3- varies widely between 0.7 and 3.2. Their reduction may be triggered by thermal decomposition.","author":[{"dropping-particle":"","family":"Yuvaraj","given":"Shanmugam","non-dropping-particle":"","parse-names":false,"suffix":""},{"dropping-particle":"","family":"Lin","given":"Fan Yuan","non-dropping-particle":"","parse-names":false,"suffix":""},{"dropping-particle":"","family":"Chang","given":"Tsong Huei","non-dropping-particle":"","parse-names":false,"suffix":""},{"dropping-particle":"","family":"Yeh","given":"Chuin Tih","non-dropping-particle":"","parse-names":false,"suffix":""}],"container-title":"Journal of Physical Chemistry B","id":"ITEM-1","issue":"4","issued":{"date-parts":[["2003"]]},"page":"1044-1047","title":"Thermal decomposition of metal nitrates in air and hydrogen environments","type":"article-journal","volume":"107"},"uris":["http://www.mendeley.com/documents/?uuid=fb347d9e-90b9-44fd-ae19-55c298520953"]},{"id":"ITEM-2","itemData":{"DOI":"10.1016/S0065-2792(08)60225-3","author":[{"dropping-particle":"","family":"Addison","given":"C C","non-dropping-particle":"","parse-names":false,"suffix":""},{"dropping-particle":"","family":"Logan","given":"N","non-dropping-particle":"","parse-names":false,"suffix":""}],"container-title":"Advances in Inorganic Chemistry and Radiochemistry","id":"ITEM-2","issued":{"date-parts":[["1964"]]},"note":"Cited By :51\nExport Date: 2 February 2017","page":"71-142","title":"Anhydrous Metal Nitrates","type":"article","volume":"6"},"uris":["http://www.mendeley.com/documents/?uuid=9a176d14-25c6-42dd-9db3-24ccdcfc4210"]}],"mendeley":{"formattedCitation":"[183], [184]","plainTextFormattedCitation":"[183], [184]","previouslyFormattedCitation":"[183], [184]"},"properties":{"noteIndex":0},"schema":"https://github.com/citation-style-language/schema/raw/master/csl-citation.json"}</w:instrText>
      </w:r>
      <w:r>
        <w:fldChar w:fldCharType="separate"/>
      </w:r>
      <w:r w:rsidR="006C586A" w:rsidRPr="006C586A">
        <w:rPr>
          <w:noProof/>
        </w:rPr>
        <w:t>[183], [184]</w:t>
      </w:r>
      <w:r>
        <w:fldChar w:fldCharType="end"/>
      </w:r>
      <w:r>
        <w:t>.</w:t>
      </w:r>
    </w:p>
    <w:p w14:paraId="59F028B2" w14:textId="1024041B" w:rsidR="00007F6C" w:rsidRPr="00005972" w:rsidRDefault="00007F6C" w:rsidP="004B726A">
      <w:pPr>
        <w:keepNext/>
        <w:jc w:val="center"/>
        <w:rPr>
          <w:i/>
          <w:iCs/>
          <w:color w:val="44546A" w:themeColor="text2"/>
          <w:sz w:val="18"/>
          <w:szCs w:val="18"/>
        </w:rPr>
      </w:pPr>
      <w:bookmarkStart w:id="74" w:name="_Ref49768096"/>
      <w:r w:rsidRPr="00005972">
        <w:rPr>
          <w:i/>
          <w:iCs/>
          <w:color w:val="44546A" w:themeColor="text2"/>
          <w:sz w:val="18"/>
          <w:szCs w:val="18"/>
        </w:rPr>
        <w:t>Table 2.</w:t>
      </w:r>
      <w:r w:rsidRPr="00005972">
        <w:rPr>
          <w:i/>
          <w:iCs/>
          <w:color w:val="44546A" w:themeColor="text2"/>
          <w:sz w:val="18"/>
          <w:szCs w:val="18"/>
        </w:rPr>
        <w:fldChar w:fldCharType="begin"/>
      </w:r>
      <w:r w:rsidRPr="00005972">
        <w:rPr>
          <w:i/>
          <w:iCs/>
          <w:color w:val="44546A" w:themeColor="text2"/>
          <w:sz w:val="18"/>
          <w:szCs w:val="18"/>
        </w:rPr>
        <w:instrText xml:space="preserve"> SEQ Table \* ARABIC </w:instrText>
      </w:r>
      <w:r w:rsidRPr="00005972">
        <w:rPr>
          <w:i/>
          <w:iCs/>
          <w:color w:val="44546A" w:themeColor="text2"/>
          <w:sz w:val="18"/>
          <w:szCs w:val="18"/>
        </w:rPr>
        <w:fldChar w:fldCharType="separate"/>
      </w:r>
      <w:r w:rsidR="00A402C1">
        <w:rPr>
          <w:i/>
          <w:iCs/>
          <w:noProof/>
          <w:color w:val="44546A" w:themeColor="text2"/>
          <w:sz w:val="18"/>
          <w:szCs w:val="18"/>
        </w:rPr>
        <w:t>2</w:t>
      </w:r>
      <w:r w:rsidRPr="00005972">
        <w:rPr>
          <w:i/>
          <w:iCs/>
          <w:noProof/>
          <w:color w:val="44546A" w:themeColor="text2"/>
          <w:sz w:val="18"/>
          <w:szCs w:val="18"/>
        </w:rPr>
        <w:fldChar w:fldCharType="end"/>
      </w:r>
      <w:bookmarkEnd w:id="74"/>
      <w:r w:rsidRPr="00005972">
        <w:rPr>
          <w:i/>
          <w:iCs/>
          <w:color w:val="44546A" w:themeColor="text2"/>
          <w:sz w:val="18"/>
          <w:szCs w:val="18"/>
        </w:rPr>
        <w:t>: A comparison of the decomposition and reduction temperatures of various transition metal nitrate samples. Temperatures were calculated using thermogravimetric analysis and temperature-controlled reduction in a 10% H</w:t>
      </w:r>
      <w:r w:rsidRPr="00005972">
        <w:rPr>
          <w:i/>
          <w:iCs/>
          <w:color w:val="44546A" w:themeColor="text2"/>
          <w:sz w:val="18"/>
          <w:szCs w:val="18"/>
          <w:vertAlign w:val="subscript"/>
        </w:rPr>
        <w:t>2</w:t>
      </w:r>
      <w:r w:rsidRPr="00005972">
        <w:rPr>
          <w:i/>
          <w:iCs/>
          <w:color w:val="44546A" w:themeColor="text2"/>
          <w:sz w:val="18"/>
          <w:szCs w:val="18"/>
        </w:rPr>
        <w:t>/N</w:t>
      </w:r>
      <w:r w:rsidRPr="00005972">
        <w:rPr>
          <w:i/>
          <w:iCs/>
          <w:color w:val="44546A" w:themeColor="text2"/>
          <w:sz w:val="18"/>
          <w:szCs w:val="18"/>
          <w:vertAlign w:val="subscript"/>
        </w:rPr>
        <w:t>2</w:t>
      </w:r>
      <w:r w:rsidRPr="00005972">
        <w:rPr>
          <w:i/>
          <w:iCs/>
          <w:color w:val="44546A" w:themeColor="text2"/>
          <w:sz w:val="18"/>
          <w:szCs w:val="18"/>
        </w:rPr>
        <w:t xml:space="preserve"> atmosphere. The values for anhydrous nickel nitrate are highlighted. Adapted from </w:t>
      </w:r>
      <w:proofErr w:type="spellStart"/>
      <w:r w:rsidRPr="00005972">
        <w:rPr>
          <w:i/>
          <w:iCs/>
          <w:color w:val="44546A" w:themeColor="text2"/>
          <w:sz w:val="18"/>
          <w:szCs w:val="18"/>
        </w:rPr>
        <w:t>Yuvaraj</w:t>
      </w:r>
      <w:proofErr w:type="spellEnd"/>
      <w:r w:rsidRPr="00005972">
        <w:rPr>
          <w:i/>
          <w:iCs/>
          <w:color w:val="44546A" w:themeColor="text2"/>
          <w:sz w:val="18"/>
          <w:szCs w:val="18"/>
        </w:rPr>
        <w:t xml:space="preserve"> and Addison et al</w:t>
      </w:r>
      <w:r>
        <w:rPr>
          <w:i/>
          <w:iCs/>
          <w:color w:val="44546A" w:themeColor="text2"/>
          <w:sz w:val="18"/>
          <w:szCs w:val="18"/>
        </w:rPr>
        <w:t xml:space="preserve"> </w:t>
      </w:r>
      <w:r w:rsidRPr="00005972">
        <w:rPr>
          <w:i/>
          <w:iCs/>
          <w:color w:val="44546A" w:themeColor="text2"/>
          <w:sz w:val="18"/>
          <w:szCs w:val="18"/>
        </w:rPr>
        <w:fldChar w:fldCharType="begin" w:fldLock="1"/>
      </w:r>
      <w:r w:rsidR="00D80A5D">
        <w:rPr>
          <w:i/>
          <w:iCs/>
          <w:color w:val="44546A" w:themeColor="text2"/>
          <w:sz w:val="18"/>
          <w:szCs w:val="18"/>
        </w:rPr>
        <w:instrText>ADDIN CSL_CITATION {"citationItems":[{"id":"ITEM-1","itemData":{"DOI":"10.1021/jp026961c","author":[{"dropping-particle":"","family":"Yuvaraj","given":"S","non-dropping-particle":"","parse-names":false,"suffix":""},{"dropping-particle":"","family":"Lin","given":"F Y","non-dropping-particle":"","parse-names":false,"suffix":""},{"dropping-particle":"","family":"Chang","given":"T H","non-dropping-particle":"","parse-names":false,"suffix":""},{"dropping-particle":"","family":"Yeh","given":"C T","non-dropping-particle":"","parse-names":false,"suffix":""}],"container-title":"Journal of Physical Chemistry B","id":"ITEM-1","issue":"4","issued":{"date-parts":[["2003"]]},"note":"Cited By :96\nExport Date: 2 February 2017","page":"1044-1047","title":"Thermal decomposition of metal nitrates in air and hydrogen environments","type":"article-journal","volume":"107"},"uris":["http://www.mendeley.com/documents/?uuid=cb09b765-a2e3-4e09-a384-129e50621d99"]},{"id":"ITEM-2","itemData":{"DOI":"10.1016/S0065-2792(08)60225-3","author":[{"dropping-particle":"","family":"Addison","given":"C C","non-dropping-particle":"","parse-names":false,"suffix":""},{"dropping-particle":"","family":"Logan","given":"N","non-dropping-particle":"","parse-names":false,"suffix":""}],"container-title":"Advances in Inorganic Chemistry and Radiochemistry","id":"ITEM-2","issued":{"date-parts":[["1964"]]},"note":"Cited By :51\nExport Date: 2 February 2017","page":"71-142","title":"Anhydrous Metal Nitrates","type":"article","volume":"6"},"uris":["http://www.mendeley.com/documents/?uuid=e92d5c9d-9a76-45ae-ab06-11588d25cff8"]}],"mendeley":{"formattedCitation":"[184], [185]","plainTextFormattedCitation":"[184], [185]","previouslyFormattedCitation":"[184], [185]"},"properties":{"noteIndex":0},"schema":"https://github.com/citation-style-language/schema/raw/master/csl-citation.json"}</w:instrText>
      </w:r>
      <w:r w:rsidRPr="00005972">
        <w:rPr>
          <w:i/>
          <w:iCs/>
          <w:color w:val="44546A" w:themeColor="text2"/>
          <w:sz w:val="18"/>
          <w:szCs w:val="18"/>
        </w:rPr>
        <w:fldChar w:fldCharType="separate"/>
      </w:r>
      <w:r w:rsidR="006C586A" w:rsidRPr="006C586A">
        <w:rPr>
          <w:iCs/>
          <w:noProof/>
          <w:color w:val="44546A" w:themeColor="text2"/>
          <w:sz w:val="18"/>
          <w:szCs w:val="18"/>
        </w:rPr>
        <w:t>[184], [185]</w:t>
      </w:r>
      <w:r w:rsidRPr="00005972">
        <w:rPr>
          <w:i/>
          <w:iCs/>
          <w:color w:val="44546A" w:themeColor="text2"/>
          <w:sz w:val="18"/>
          <w:szCs w:val="18"/>
        </w:rPr>
        <w:fldChar w:fldCharType="end"/>
      </w:r>
      <w:r w:rsidRPr="00005972">
        <w:rPr>
          <w:i/>
          <w:iCs/>
          <w:color w:val="44546A" w:themeColor="text2"/>
          <w:sz w:val="18"/>
          <w:szCs w:val="18"/>
        </w:rPr>
        <w:t>.</w:t>
      </w:r>
    </w:p>
    <w:tbl>
      <w:tblPr>
        <w:tblStyle w:val="TableGrid"/>
        <w:tblW w:w="0" w:type="auto"/>
        <w:jc w:val="center"/>
        <w:tblLook w:val="04A0" w:firstRow="1" w:lastRow="0" w:firstColumn="1" w:lastColumn="0" w:noHBand="0" w:noVBand="1"/>
      </w:tblPr>
      <w:tblGrid>
        <w:gridCol w:w="1925"/>
        <w:gridCol w:w="1855"/>
        <w:gridCol w:w="1831"/>
        <w:gridCol w:w="1662"/>
        <w:gridCol w:w="1743"/>
      </w:tblGrid>
      <w:tr w:rsidR="00007F6C" w14:paraId="178EACDB" w14:textId="77777777" w:rsidTr="005E2F1E">
        <w:trPr>
          <w:jc w:val="center"/>
        </w:trPr>
        <w:tc>
          <w:tcPr>
            <w:tcW w:w="1957" w:type="dxa"/>
          </w:tcPr>
          <w:p w14:paraId="6D56250E" w14:textId="77777777" w:rsidR="00007F6C" w:rsidRPr="005A0B1B" w:rsidRDefault="00007F6C" w:rsidP="004B726A">
            <w:pPr>
              <w:jc w:val="center"/>
              <w:rPr>
                <w:b/>
                <w:bCs/>
              </w:rPr>
            </w:pPr>
            <w:r w:rsidRPr="005A0B1B">
              <w:rPr>
                <w:b/>
                <w:bCs/>
              </w:rPr>
              <w:t>Sample</w:t>
            </w:r>
            <w:r>
              <w:rPr>
                <w:b/>
                <w:bCs/>
              </w:rPr>
              <w:t xml:space="preserve"> Composition</w:t>
            </w:r>
          </w:p>
        </w:tc>
        <w:tc>
          <w:tcPr>
            <w:tcW w:w="1910" w:type="dxa"/>
          </w:tcPr>
          <w:p w14:paraId="1CD8759C" w14:textId="77777777" w:rsidR="00007F6C" w:rsidRPr="005A0B1B" w:rsidRDefault="00007F6C" w:rsidP="004B726A">
            <w:pPr>
              <w:jc w:val="center"/>
              <w:rPr>
                <w:b/>
                <w:bCs/>
              </w:rPr>
            </w:pPr>
            <w:r w:rsidRPr="005A0B1B">
              <w:rPr>
                <w:b/>
                <w:bCs/>
              </w:rPr>
              <w:t>10</w:t>
            </w:r>
            <w:r w:rsidRPr="005A0B1B">
              <w:rPr>
                <w:b/>
                <w:bCs/>
                <w:vertAlign w:val="superscript"/>
              </w:rPr>
              <w:t>3</w:t>
            </w:r>
            <w:r w:rsidRPr="005A0B1B">
              <w:rPr>
                <w:b/>
                <w:bCs/>
              </w:rPr>
              <w:t xml:space="preserve"> Charge Density (</w:t>
            </w:r>
            <w:r w:rsidRPr="005A0B1B">
              <w:rPr>
                <w:b/>
                <w:bCs/>
                <w:i/>
                <w:iCs/>
              </w:rPr>
              <w:t>e</w:t>
            </w:r>
            <w:r w:rsidRPr="005A0B1B">
              <w:rPr>
                <w:b/>
                <w:bCs/>
              </w:rPr>
              <w:t>/nm</w:t>
            </w:r>
            <w:r w:rsidRPr="005A0B1B">
              <w:rPr>
                <w:b/>
                <w:bCs/>
                <w:vertAlign w:val="superscript"/>
              </w:rPr>
              <w:t>3</w:t>
            </w:r>
            <w:r w:rsidRPr="005A0B1B">
              <w:rPr>
                <w:b/>
                <w:bCs/>
              </w:rPr>
              <w:t>)</w:t>
            </w:r>
          </w:p>
        </w:tc>
        <w:tc>
          <w:tcPr>
            <w:tcW w:w="1873" w:type="dxa"/>
          </w:tcPr>
          <w:p w14:paraId="3724AE53" w14:textId="77777777" w:rsidR="00007F6C" w:rsidRPr="005A0B1B" w:rsidRDefault="00007F6C" w:rsidP="004B726A">
            <w:pPr>
              <w:jc w:val="center"/>
              <w:rPr>
                <w:b/>
                <w:bCs/>
                <w:vertAlign w:val="subscript"/>
              </w:rPr>
            </w:pPr>
            <w:r>
              <w:rPr>
                <w:b/>
                <w:bCs/>
              </w:rPr>
              <w:t xml:space="preserve">Literature </w:t>
            </w:r>
            <w:r w:rsidRPr="005A0B1B">
              <w:rPr>
                <w:b/>
                <w:bCs/>
              </w:rPr>
              <w:t>T</w:t>
            </w:r>
            <w:r w:rsidRPr="005A0B1B">
              <w:rPr>
                <w:b/>
                <w:bCs/>
                <w:vertAlign w:val="subscript"/>
              </w:rPr>
              <w:t>decomp</w:t>
            </w:r>
          </w:p>
          <w:p w14:paraId="15407907" w14:textId="77777777" w:rsidR="00007F6C" w:rsidRPr="005A0B1B" w:rsidRDefault="00007F6C" w:rsidP="004B726A">
            <w:pPr>
              <w:jc w:val="center"/>
              <w:rPr>
                <w:b/>
                <w:bCs/>
              </w:rPr>
            </w:pPr>
            <w:r w:rsidRPr="005A0B1B">
              <w:rPr>
                <w:b/>
                <w:bCs/>
              </w:rPr>
              <w:t>[K]</w:t>
            </w:r>
            <w:r>
              <w:rPr>
                <w:b/>
                <w:bCs/>
              </w:rPr>
              <w:t xml:space="preserve"> </w:t>
            </w:r>
          </w:p>
        </w:tc>
        <w:tc>
          <w:tcPr>
            <w:tcW w:w="1708" w:type="dxa"/>
          </w:tcPr>
          <w:p w14:paraId="656FB0F8" w14:textId="77777777" w:rsidR="00007F6C" w:rsidRPr="005A0B1B" w:rsidRDefault="00007F6C" w:rsidP="004B726A">
            <w:pPr>
              <w:jc w:val="center"/>
              <w:rPr>
                <w:b/>
                <w:bCs/>
                <w:vertAlign w:val="subscript"/>
              </w:rPr>
            </w:pPr>
            <w:r w:rsidRPr="005A0B1B">
              <w:rPr>
                <w:b/>
                <w:bCs/>
              </w:rPr>
              <w:t>T</w:t>
            </w:r>
            <w:r w:rsidRPr="005A0B1B">
              <w:rPr>
                <w:b/>
                <w:bCs/>
                <w:vertAlign w:val="subscript"/>
              </w:rPr>
              <w:t>decomp</w:t>
            </w:r>
          </w:p>
          <w:p w14:paraId="08E5197A" w14:textId="77777777" w:rsidR="00007F6C" w:rsidRPr="005A0B1B" w:rsidRDefault="00007F6C" w:rsidP="004B726A">
            <w:pPr>
              <w:jc w:val="center"/>
              <w:rPr>
                <w:b/>
                <w:bCs/>
              </w:rPr>
            </w:pPr>
            <w:r w:rsidRPr="005A0B1B">
              <w:rPr>
                <w:b/>
                <w:bCs/>
              </w:rPr>
              <w:t>[K]</w:t>
            </w:r>
          </w:p>
        </w:tc>
        <w:tc>
          <w:tcPr>
            <w:tcW w:w="1794" w:type="dxa"/>
          </w:tcPr>
          <w:p w14:paraId="580F08B4" w14:textId="77777777" w:rsidR="00007F6C" w:rsidRPr="005A0B1B" w:rsidRDefault="00007F6C" w:rsidP="004B726A">
            <w:pPr>
              <w:jc w:val="center"/>
              <w:rPr>
                <w:b/>
                <w:bCs/>
                <w:vertAlign w:val="subscript"/>
              </w:rPr>
            </w:pPr>
            <w:proofErr w:type="spellStart"/>
            <w:r w:rsidRPr="005A0B1B">
              <w:rPr>
                <w:b/>
                <w:bCs/>
              </w:rPr>
              <w:t>T</w:t>
            </w:r>
            <w:r w:rsidRPr="005A0B1B">
              <w:rPr>
                <w:b/>
                <w:bCs/>
                <w:vertAlign w:val="subscript"/>
              </w:rPr>
              <w:t>red</w:t>
            </w:r>
            <w:proofErr w:type="spellEnd"/>
          </w:p>
          <w:p w14:paraId="53CDC1BF" w14:textId="77777777" w:rsidR="00007F6C" w:rsidRPr="005A0B1B" w:rsidRDefault="00007F6C" w:rsidP="004B726A">
            <w:pPr>
              <w:jc w:val="center"/>
              <w:rPr>
                <w:b/>
                <w:bCs/>
              </w:rPr>
            </w:pPr>
            <w:r w:rsidRPr="005A0B1B">
              <w:rPr>
                <w:b/>
                <w:bCs/>
              </w:rPr>
              <w:t>[K]</w:t>
            </w:r>
          </w:p>
        </w:tc>
      </w:tr>
      <w:tr w:rsidR="00007F6C" w14:paraId="496B828E" w14:textId="77777777" w:rsidTr="005E2F1E">
        <w:trPr>
          <w:jc w:val="center"/>
        </w:trPr>
        <w:tc>
          <w:tcPr>
            <w:tcW w:w="1957" w:type="dxa"/>
          </w:tcPr>
          <w:p w14:paraId="578A19AF" w14:textId="77777777" w:rsidR="00007F6C" w:rsidRPr="005A0B1B" w:rsidRDefault="00007F6C" w:rsidP="004B726A">
            <w:pPr>
              <w:jc w:val="center"/>
            </w:pPr>
            <w:proofErr w:type="gramStart"/>
            <w:r>
              <w:t>Mn(</w:t>
            </w:r>
            <w:proofErr w:type="gramEnd"/>
            <w:r>
              <w:t>NO</w:t>
            </w:r>
            <w:r>
              <w:rPr>
                <w:vertAlign w:val="subscript"/>
              </w:rPr>
              <w:t>3</w:t>
            </w:r>
            <w:r>
              <w:t>)</w:t>
            </w:r>
            <w:r>
              <w:rPr>
                <w:vertAlign w:val="subscript"/>
              </w:rPr>
              <w:t>2</w:t>
            </w:r>
          </w:p>
        </w:tc>
        <w:tc>
          <w:tcPr>
            <w:tcW w:w="1910" w:type="dxa"/>
          </w:tcPr>
          <w:p w14:paraId="68083D64" w14:textId="77777777" w:rsidR="00007F6C" w:rsidRDefault="00007F6C" w:rsidP="004B726A">
            <w:pPr>
              <w:jc w:val="center"/>
            </w:pPr>
            <w:r>
              <w:t>1.18</w:t>
            </w:r>
          </w:p>
        </w:tc>
        <w:tc>
          <w:tcPr>
            <w:tcW w:w="1873" w:type="dxa"/>
          </w:tcPr>
          <w:p w14:paraId="1F2817F9" w14:textId="77777777" w:rsidR="00007F6C" w:rsidRDefault="00007F6C" w:rsidP="004B726A">
            <w:pPr>
              <w:jc w:val="center"/>
            </w:pPr>
            <w:r>
              <w:t>473</w:t>
            </w:r>
          </w:p>
        </w:tc>
        <w:tc>
          <w:tcPr>
            <w:tcW w:w="1708" w:type="dxa"/>
          </w:tcPr>
          <w:p w14:paraId="602C5B7C" w14:textId="77777777" w:rsidR="00007F6C" w:rsidRDefault="00007F6C" w:rsidP="004B726A">
            <w:pPr>
              <w:jc w:val="center"/>
            </w:pPr>
            <w:r>
              <w:t>480±20</w:t>
            </w:r>
          </w:p>
        </w:tc>
        <w:tc>
          <w:tcPr>
            <w:tcW w:w="1794" w:type="dxa"/>
          </w:tcPr>
          <w:p w14:paraId="20BE8E73" w14:textId="77777777" w:rsidR="00007F6C" w:rsidRDefault="00007F6C" w:rsidP="004B726A">
            <w:pPr>
              <w:jc w:val="center"/>
            </w:pPr>
            <w:r>
              <w:t>510±15</w:t>
            </w:r>
          </w:p>
        </w:tc>
      </w:tr>
      <w:tr w:rsidR="00007F6C" w14:paraId="6B71D608" w14:textId="77777777" w:rsidTr="005E2F1E">
        <w:trPr>
          <w:jc w:val="center"/>
        </w:trPr>
        <w:tc>
          <w:tcPr>
            <w:tcW w:w="1957" w:type="dxa"/>
          </w:tcPr>
          <w:p w14:paraId="3C7C64F1" w14:textId="77777777" w:rsidR="00007F6C" w:rsidRDefault="00007F6C" w:rsidP="004B726A">
            <w:pPr>
              <w:jc w:val="center"/>
            </w:pPr>
            <w:proofErr w:type="gramStart"/>
            <w:r>
              <w:t>Co(</w:t>
            </w:r>
            <w:proofErr w:type="gramEnd"/>
            <w:r>
              <w:t>NO</w:t>
            </w:r>
            <w:r>
              <w:rPr>
                <w:vertAlign w:val="subscript"/>
              </w:rPr>
              <w:t>3</w:t>
            </w:r>
            <w:r>
              <w:t>)</w:t>
            </w:r>
            <w:r>
              <w:rPr>
                <w:vertAlign w:val="subscript"/>
              </w:rPr>
              <w:t>2</w:t>
            </w:r>
          </w:p>
        </w:tc>
        <w:tc>
          <w:tcPr>
            <w:tcW w:w="1910" w:type="dxa"/>
          </w:tcPr>
          <w:p w14:paraId="0B3945D9" w14:textId="77777777" w:rsidR="00007F6C" w:rsidRDefault="00007F6C" w:rsidP="004B726A">
            <w:pPr>
              <w:jc w:val="center"/>
            </w:pPr>
            <w:r>
              <w:t>1.28</w:t>
            </w:r>
          </w:p>
        </w:tc>
        <w:tc>
          <w:tcPr>
            <w:tcW w:w="1873" w:type="dxa"/>
          </w:tcPr>
          <w:p w14:paraId="2F395692" w14:textId="77777777" w:rsidR="00007F6C" w:rsidRDefault="00007F6C" w:rsidP="004B726A">
            <w:pPr>
              <w:jc w:val="center"/>
            </w:pPr>
            <w:r>
              <w:t>543</w:t>
            </w:r>
          </w:p>
        </w:tc>
        <w:tc>
          <w:tcPr>
            <w:tcW w:w="1708" w:type="dxa"/>
          </w:tcPr>
          <w:p w14:paraId="45BAF67B" w14:textId="77777777" w:rsidR="00007F6C" w:rsidRDefault="00007F6C" w:rsidP="004B726A">
            <w:pPr>
              <w:jc w:val="center"/>
            </w:pPr>
            <w:r>
              <w:t>515±20</w:t>
            </w:r>
          </w:p>
        </w:tc>
        <w:tc>
          <w:tcPr>
            <w:tcW w:w="1794" w:type="dxa"/>
          </w:tcPr>
          <w:p w14:paraId="308EA58D" w14:textId="77777777" w:rsidR="00007F6C" w:rsidRDefault="00007F6C" w:rsidP="004B726A">
            <w:pPr>
              <w:jc w:val="center"/>
            </w:pPr>
            <w:r>
              <w:t>515±20</w:t>
            </w:r>
          </w:p>
        </w:tc>
      </w:tr>
      <w:tr w:rsidR="00007F6C" w14:paraId="443E4845" w14:textId="77777777" w:rsidTr="005E2F1E">
        <w:trPr>
          <w:jc w:val="center"/>
        </w:trPr>
        <w:tc>
          <w:tcPr>
            <w:tcW w:w="1957" w:type="dxa"/>
          </w:tcPr>
          <w:p w14:paraId="092CD983" w14:textId="77777777" w:rsidR="00007F6C" w:rsidRPr="00351D1B" w:rsidRDefault="00007F6C" w:rsidP="004B726A">
            <w:pPr>
              <w:jc w:val="center"/>
              <w:rPr>
                <w:highlight w:val="yellow"/>
              </w:rPr>
            </w:pPr>
            <w:proofErr w:type="gramStart"/>
            <w:r w:rsidRPr="00351D1B">
              <w:rPr>
                <w:highlight w:val="yellow"/>
              </w:rPr>
              <w:t>Ni(</w:t>
            </w:r>
            <w:proofErr w:type="gramEnd"/>
            <w:r w:rsidRPr="00351D1B">
              <w:rPr>
                <w:highlight w:val="yellow"/>
              </w:rPr>
              <w:t>NO</w:t>
            </w:r>
            <w:r w:rsidRPr="00351D1B">
              <w:rPr>
                <w:highlight w:val="yellow"/>
                <w:vertAlign w:val="subscript"/>
              </w:rPr>
              <w:t>3</w:t>
            </w:r>
            <w:r w:rsidRPr="00351D1B">
              <w:rPr>
                <w:highlight w:val="yellow"/>
              </w:rPr>
              <w:t>)</w:t>
            </w:r>
            <w:r w:rsidRPr="00351D1B">
              <w:rPr>
                <w:highlight w:val="yellow"/>
                <w:vertAlign w:val="subscript"/>
              </w:rPr>
              <w:t>2</w:t>
            </w:r>
          </w:p>
        </w:tc>
        <w:tc>
          <w:tcPr>
            <w:tcW w:w="1910" w:type="dxa"/>
          </w:tcPr>
          <w:p w14:paraId="18A11996" w14:textId="77777777" w:rsidR="00007F6C" w:rsidRPr="00351D1B" w:rsidRDefault="00007F6C" w:rsidP="004B726A">
            <w:pPr>
              <w:jc w:val="center"/>
              <w:rPr>
                <w:highlight w:val="yellow"/>
              </w:rPr>
            </w:pPr>
            <w:r w:rsidRPr="00351D1B">
              <w:rPr>
                <w:highlight w:val="yellow"/>
              </w:rPr>
              <w:t>0.83</w:t>
            </w:r>
          </w:p>
        </w:tc>
        <w:tc>
          <w:tcPr>
            <w:tcW w:w="1873" w:type="dxa"/>
          </w:tcPr>
          <w:p w14:paraId="775F3C4C" w14:textId="77777777" w:rsidR="00007F6C" w:rsidRPr="00351D1B" w:rsidRDefault="00007F6C" w:rsidP="004B726A">
            <w:pPr>
              <w:jc w:val="center"/>
              <w:rPr>
                <w:highlight w:val="yellow"/>
              </w:rPr>
            </w:pPr>
            <w:r w:rsidRPr="00351D1B">
              <w:rPr>
                <w:highlight w:val="yellow"/>
              </w:rPr>
              <w:t>573</w:t>
            </w:r>
          </w:p>
        </w:tc>
        <w:tc>
          <w:tcPr>
            <w:tcW w:w="1708" w:type="dxa"/>
          </w:tcPr>
          <w:p w14:paraId="1B992147" w14:textId="77777777" w:rsidR="00007F6C" w:rsidRPr="00351D1B" w:rsidRDefault="00007F6C" w:rsidP="004B726A">
            <w:pPr>
              <w:jc w:val="center"/>
              <w:rPr>
                <w:highlight w:val="yellow"/>
              </w:rPr>
            </w:pPr>
            <w:r w:rsidRPr="00351D1B">
              <w:rPr>
                <w:highlight w:val="yellow"/>
              </w:rPr>
              <w:t>580±25</w:t>
            </w:r>
          </w:p>
        </w:tc>
        <w:tc>
          <w:tcPr>
            <w:tcW w:w="1794" w:type="dxa"/>
          </w:tcPr>
          <w:p w14:paraId="5C9E6966" w14:textId="77777777" w:rsidR="00007F6C" w:rsidRPr="00351D1B" w:rsidRDefault="00007F6C" w:rsidP="004B726A">
            <w:pPr>
              <w:jc w:val="center"/>
              <w:rPr>
                <w:highlight w:val="yellow"/>
              </w:rPr>
            </w:pPr>
            <w:r w:rsidRPr="00351D1B">
              <w:rPr>
                <w:highlight w:val="yellow"/>
              </w:rPr>
              <w:t>585±15</w:t>
            </w:r>
          </w:p>
        </w:tc>
      </w:tr>
      <w:tr w:rsidR="00007F6C" w14:paraId="2DB2DE75" w14:textId="77777777" w:rsidTr="005E2F1E">
        <w:trPr>
          <w:jc w:val="center"/>
        </w:trPr>
        <w:tc>
          <w:tcPr>
            <w:tcW w:w="1957" w:type="dxa"/>
          </w:tcPr>
          <w:p w14:paraId="24674D38" w14:textId="77777777" w:rsidR="00007F6C" w:rsidRPr="005A0B1B" w:rsidRDefault="00007F6C" w:rsidP="004B726A">
            <w:pPr>
              <w:jc w:val="center"/>
            </w:pPr>
            <w:proofErr w:type="gramStart"/>
            <w:r>
              <w:t>Cu(</w:t>
            </w:r>
            <w:proofErr w:type="gramEnd"/>
            <w:r>
              <w:t>NO</w:t>
            </w:r>
            <w:r>
              <w:rPr>
                <w:vertAlign w:val="subscript"/>
              </w:rPr>
              <w:t>3</w:t>
            </w:r>
            <w:r>
              <w:t>)</w:t>
            </w:r>
            <w:r>
              <w:rPr>
                <w:vertAlign w:val="subscript"/>
              </w:rPr>
              <w:t>2</w:t>
            </w:r>
          </w:p>
        </w:tc>
        <w:tc>
          <w:tcPr>
            <w:tcW w:w="1910" w:type="dxa"/>
          </w:tcPr>
          <w:p w14:paraId="2A0A2221" w14:textId="77777777" w:rsidR="00007F6C" w:rsidRDefault="00007F6C" w:rsidP="004B726A">
            <w:pPr>
              <w:jc w:val="center"/>
            </w:pPr>
            <w:r>
              <w:t>1.33</w:t>
            </w:r>
          </w:p>
        </w:tc>
        <w:tc>
          <w:tcPr>
            <w:tcW w:w="1873" w:type="dxa"/>
          </w:tcPr>
          <w:p w14:paraId="61CC1C16" w14:textId="77777777" w:rsidR="00007F6C" w:rsidRDefault="00007F6C" w:rsidP="004B726A">
            <w:pPr>
              <w:jc w:val="center"/>
            </w:pPr>
            <w:r>
              <w:t>563</w:t>
            </w:r>
          </w:p>
        </w:tc>
        <w:tc>
          <w:tcPr>
            <w:tcW w:w="1708" w:type="dxa"/>
          </w:tcPr>
          <w:p w14:paraId="6E5E587F" w14:textId="77777777" w:rsidR="00007F6C" w:rsidRDefault="00007F6C" w:rsidP="004B726A">
            <w:pPr>
              <w:jc w:val="center"/>
            </w:pPr>
            <w:r>
              <w:t>520±30</w:t>
            </w:r>
          </w:p>
        </w:tc>
        <w:tc>
          <w:tcPr>
            <w:tcW w:w="1794" w:type="dxa"/>
          </w:tcPr>
          <w:p w14:paraId="3475FE8B" w14:textId="77777777" w:rsidR="00007F6C" w:rsidRDefault="00007F6C" w:rsidP="004B726A">
            <w:pPr>
              <w:jc w:val="center"/>
            </w:pPr>
            <w:r>
              <w:t>550±15</w:t>
            </w:r>
          </w:p>
        </w:tc>
      </w:tr>
    </w:tbl>
    <w:p w14:paraId="07931A54" w14:textId="37740465" w:rsidR="00007F6C" w:rsidRDefault="00007F6C" w:rsidP="00A402C1">
      <w:pPr>
        <w:spacing w:before="240"/>
        <w:jc w:val="both"/>
      </w:pPr>
      <w:r w:rsidRPr="00BC1E09">
        <w:t xml:space="preserve">The thermal decomposition step is credited for lowering the </w:t>
      </w:r>
      <w:r>
        <w:t>reduction temperature (</w:t>
      </w:r>
      <w:proofErr w:type="spellStart"/>
      <w:r w:rsidRPr="00BC1E09">
        <w:t>T</w:t>
      </w:r>
      <w:r w:rsidRPr="00BC1E09">
        <w:rPr>
          <w:vertAlign w:val="subscript"/>
        </w:rPr>
        <w:t>Red</w:t>
      </w:r>
      <w:proofErr w:type="spellEnd"/>
      <w:r>
        <w:t>)</w:t>
      </w:r>
      <w:r w:rsidRPr="00BC1E09">
        <w:t xml:space="preserve"> of the nickel oxide via the back donation of electrons</w:t>
      </w:r>
      <w:r>
        <w:t xml:space="preserve"> from the </w:t>
      </w:r>
      <w:r w:rsidRPr="00AE473D">
        <w:t>nitrogen-oxygen double bond to a vacant d orbital in the metal cation</w:t>
      </w:r>
      <w:r w:rsidRPr="00AE473D">
        <w:rPr>
          <w:sz w:val="28"/>
          <w:szCs w:val="28"/>
        </w:rPr>
        <w:t xml:space="preserve"> </w:t>
      </w:r>
      <w:r w:rsidRPr="008C5DD6">
        <w:rPr>
          <w:rFonts w:cstheme="minorHAnsi"/>
        </w:rPr>
        <w:fldChar w:fldCharType="begin" w:fldLock="1"/>
      </w:r>
      <w:r w:rsidR="00D80A5D">
        <w:rPr>
          <w:rFonts w:cstheme="minorHAnsi"/>
        </w:rPr>
        <w:instrText>ADDIN CSL_CITATION {"citationItems":[{"id":"ITEM-1","itemData":{"DOI":"10.1021/jp026961c","ISBN":"1520-6106","ISSN":"10895647","abstract":"The decomposition of metal nitrates in air has been systematically studied by thermogravimetry. Observed temperatures of decomposition (Td) have been inversely correlated to the charge densities (CD) of the metal cations. Due to a back-donation of electronic cloud from the nitrate to an unfilled d-orbital of transition and noble metals, their nitrates generally exhibited lower Tds(&lt;700 K) than those of the base metals (&gt;850 K). The thermal stability/reducibility of metal nitrates in an hydrogen atmosphere has also been studied by temperature-programmed reduction (TPR). Observed reduction temperatures (Tr) for nitrates of the base metals and the noble metals are lower than their Td, i.e., Tr &lt; Td. The lowering of Tr might be attributed to a spillover of hydrogen to a nitrate moiety through heterolytic (ionic) and homolytic (atomic) dissociation of hydrogen on the respective base and noble metals. The stoichiometry of hydrogen consumption, quantitatively measured from TPR, varied with the group of metal cations. According to the stoichiometry, the end product in the TPR reduction was NH3 (NH2/NNO3-</w:instrText>
      </w:r>
      <w:r w:rsidR="00D80A5D">
        <w:rPr>
          <w:rFonts w:ascii="Cambria Math" w:hAnsi="Cambria Math" w:cs="Cambria Math"/>
        </w:rPr>
        <w:instrText>∼</w:instrText>
      </w:r>
      <w:r w:rsidR="00D80A5D">
        <w:rPr>
          <w:rFonts w:cstheme="minorHAnsi"/>
        </w:rPr>
        <w:instrText>4.4) and N2 (NH2/NNO3-</w:instrText>
      </w:r>
      <w:r w:rsidR="00D80A5D">
        <w:rPr>
          <w:rFonts w:ascii="Cambria Math" w:hAnsi="Cambria Math" w:cs="Cambria Math"/>
        </w:rPr>
        <w:instrText>∼</w:instrText>
      </w:r>
      <w:r w:rsidR="00D80A5D">
        <w:rPr>
          <w:rFonts w:cstheme="minorHAnsi"/>
        </w:rPr>
        <w:instrText xml:space="preserve">2.4) for nitrates of the noble and base metals, respectively. The Trs for nitrates of the transition metals are often </w:instrText>
      </w:r>
      <w:r w:rsidR="00D80A5D">
        <w:rPr>
          <w:rFonts w:ascii="Cambria Math" w:hAnsi="Cambria Math" w:cs="Cambria Math"/>
        </w:rPr>
        <w:instrText>∼</w:instrText>
      </w:r>
      <w:r w:rsidR="00D80A5D">
        <w:rPr>
          <w:rFonts w:cstheme="minorHAnsi"/>
        </w:rPr>
        <w:instrText>20 K higher than their Tds, and the ratio NH2/NNO3- varies widely between 0.7 and 3.2. Their reduction may be triggered by thermal decomposition.","author":[{"dropping-particle":"","family":"Yuvaraj","given":"Shanmugam","non-dropping-particle":"","parse-names":false,"suffix":""},{"dropping-particle":"","family":"Lin","given":"Fan Yuan","non-dropping-particle":"","parse-names":false,"suffix":""},{"dropping-particle":"","family":"Chang","given":"Tsong Huei","non-dropping-particle":"","parse-names":false,"suffix":""},{"dropping-particle":"","family":"Yeh","given":"Chuin Tih","non-dropping-particle":"","parse-names":false,"suffix":""}],"container-title":"Journal of Physical Chemistry B","id":"ITEM-1","issue":"4","issued":{"date-parts":[["2003"]]},"page":"1044-1047","title":"Thermal decomposition of metal nitrates in air and hydrogen environments","type":"article-journal","volume":"107"},"uris":["http://www.mendeley.com/documents/?uuid=fb347d9e-90b9-44fd-ae19-55c298520953"]}],"mendeley":{"formattedCitation":"[183]","plainTextFormattedCitation":"[183]","previouslyFormattedCitation":"[183]"},"properties":{"noteIndex":0},"schema":"https://github.com/citation-style-language/schema/raw/master/csl-citation.json"}</w:instrText>
      </w:r>
      <w:r w:rsidRPr="008C5DD6">
        <w:rPr>
          <w:rFonts w:cstheme="minorHAnsi"/>
        </w:rPr>
        <w:fldChar w:fldCharType="separate"/>
      </w:r>
      <w:r w:rsidR="006C586A" w:rsidRPr="006C586A">
        <w:rPr>
          <w:rFonts w:cstheme="minorHAnsi"/>
          <w:noProof/>
        </w:rPr>
        <w:t>[183]</w:t>
      </w:r>
      <w:r w:rsidRPr="008C5DD6">
        <w:rPr>
          <w:rFonts w:cstheme="minorHAnsi"/>
        </w:rPr>
        <w:fldChar w:fldCharType="end"/>
      </w:r>
      <w:r w:rsidRPr="008C5DD6">
        <w:rPr>
          <w:rFonts w:cstheme="minorHAnsi"/>
        </w:rPr>
        <w:t>.</w:t>
      </w:r>
      <w:r w:rsidRPr="008C5DD6">
        <w:t xml:space="preserve"> </w:t>
      </w:r>
      <w:r>
        <w:t xml:space="preserve">This results in a reduction of the nitrate bond order </w:t>
      </w:r>
      <w:r>
        <w:fldChar w:fldCharType="begin" w:fldLock="1"/>
      </w:r>
      <w:r w:rsidR="00D80A5D">
        <w:instrText>ADDIN CSL_CITATION {"citationItems":[{"id":"ITEM-1","itemData":{"DOI":"10.1021/jp952268w","ISSN":"00223654","abstract":"On the basis of DRS, ESR, and XPS studies, the nature and the dispersion of nickel species deposited on ceria (by hydrolysis of an aqueous solution of nickel nitrate) have been investigated upon thermal activations in air. Before thermal activation, mainly octahedral NiII species belonging to a Ni(OH)2 deposit are observed by DRS (λ1 = 1230 nm). The concomitant presence of some NiII ions grafted on ceria (via NiII-O-Ce bridges) is suggested (i) in DRS, by a bathochromic shift leading to a λ1 peak at 1400 nm, indicating the presence of some NiII ions submitted to a weaker crystal field than in unsupported Ni(OH)2 and (ii) in XPS, by a NiII 2p3/2 peak at 857.4 eV, 0.5 eV higher than the NiII 2p3/2 peak observed for unsupported Ni(OH)2 according to a noticeable lowering of the Ni-O bond covalence. Some bulk NiO particles are also formed during the sample drying step as revealed by an XPS peak at 854 eV. These NiO particles are ESR silent at room temperature and at -196°C since NiO is an antiferromagnetic oxide with a Néel temperature of 250 °C. In agreement with a previous EXAFS study dealing with the Ni/TiO2 system, the calcination in air at 400°C mainly generates small NiO patches dispersed on ceria and giving a XPS Ni 2p3/2 peak at 855.5 eV. This binding energy is notably greater than that observed with bulk NiO (854 eV), and this shift is due to either a size effect or an electronic interaction with ceria. The NiII ions of these small patches are ESR silent, indicating that they are submitted to distorted crystal fields (S = 0). In parallel, the formation of NiII defects upon calcination at 400°C is indicated by a base-line drift of reflectance spectra and a XPS peak located at 857.5 eV. The coexistence of NiO particles and of NiIII-Oxn- (x and n = 1, 2) complexes grafted on the ceria surface is suggested. A thermal activation in air at 900°C induces the sintering of NiO particles as revealed by a decrease of the Ni 2p3/2 binding energy (855 eV) and of the normalized surface area ratio of the Ni 2p3/2 and Ce 3d XPS contributions, which indicates that 60% of the nickel ions are no longer detected on the ceria surface after calcination at 900°C. The agglomeration of adjacent small NiO domains giving a \"mosaic-like\" NiO material, characterized by an isotropic ESR signal whose position (signal A:g within the range 2.47-2.2) and line width (ΔHpp = 1200-1750 G) vary as a function of measurement temperature (from room temperature to -196°C) is proposed. In pa…","author":[{"dropping-particle":"","family":"Davidson","given":"A.","non-dropping-particle":"","parse-names":false,"suffix":""},{"dropping-particle":"","family":"Tempere","given":"J. F.","non-dropping-particle":"","parse-names":false,"suffix":""},{"dropping-particle":"","family":"Che","given":"M.","non-dropping-particle":"","parse-names":false,"suffix":""},{"dropping-particle":"","family":"Roulet","given":"H.","non-dropping-particle":"","parse-names":false,"suffix":""},{"dropping-particle":"","family":"Dufour","given":"G.","non-dropping-particle":"","parse-names":false,"suffix":""}],"container-title":"Journal of Physical Chemistry","id":"ITEM-1","issue":"12","issued":{"date-parts":[["1996"]]},"page":"4919-4929","title":"Spectroscopic studies of nickel(II) and nickel(III) species generated upon thermal treatments of nickel/ceria-supported materials","type":"article-journal","volume":"100"},"uris":["http://www.mendeley.com/documents/?uuid=63a09894-68e3-4334-92dc-8c84235f37f9"]},{"id":"ITEM-2","itemData":{"author":[{"dropping-particle":"","family":"Prieto","given":"G","non-dropping-particle":"","parse-names":false,"suffix":""},{"dropping-particle":"","family":"Zecevic","given":"J","non-dropping-particle":"","parse-names":false,"suffix":""},{"dropping-particle":"","family":"Friedrich","given":"H","non-dropping-particle":"","parse-names":false,"suffix":""},{"dropping-particle":"","family":"Jong","given":"K P","non-dropping-particle":"de","parse-names":false,"suffix":""},{"dropping-particle":"","family":"Jongh","given":"P E","non-dropping-particle":"de","parse-names":false,"suffix":""}],"id":"ITEM-2","issued":{"date-parts":[["0"]]},"note":"- 34","title":"- Towards Stable Catalysts by Controlling Collective Properties of Supported Metal Nanoparticles","type":"article-journal","volume":"- 12"},"uris":["http://www.mendeley.com/documents/?uuid=9c3ca931-9ed5-4f30-aabb-a89ab4a530c9"]}],"mendeley":{"formattedCitation":"[186], [187]","plainTextFormattedCitation":"[186], [187]","previouslyFormattedCitation":"[186], [187]"},"properties":{"noteIndex":0},"schema":"https://github.com/citation-style-language/schema/raw/master/csl-citation.json"}</w:instrText>
      </w:r>
      <w:r>
        <w:fldChar w:fldCharType="separate"/>
      </w:r>
      <w:r w:rsidR="006C586A" w:rsidRPr="006C586A">
        <w:rPr>
          <w:noProof/>
        </w:rPr>
        <w:t>[186], [187]</w:t>
      </w:r>
      <w:r>
        <w:fldChar w:fldCharType="end"/>
      </w:r>
      <w:r>
        <w:t>.</w:t>
      </w:r>
    </w:p>
    <w:p w14:paraId="3165B613" w14:textId="77777777" w:rsidR="00007F6C" w:rsidRDefault="00007F6C" w:rsidP="004B726A">
      <w:pPr>
        <w:jc w:val="both"/>
      </w:pPr>
      <w:r w:rsidRPr="00BA37FD">
        <w:t xml:space="preserve">Except for the </w:t>
      </w:r>
      <w:proofErr w:type="spellStart"/>
      <w:r w:rsidRPr="00BA37FD">
        <w:t>T</w:t>
      </w:r>
      <w:r w:rsidRPr="00BA37FD">
        <w:rPr>
          <w:vertAlign w:val="subscript"/>
        </w:rPr>
        <w:t>Red</w:t>
      </w:r>
      <w:proofErr w:type="spellEnd"/>
      <w:r w:rsidRPr="00BA37FD">
        <w:rPr>
          <w:vertAlign w:val="subscript"/>
        </w:rPr>
        <w:t xml:space="preserve"> </w:t>
      </w:r>
      <w:r w:rsidRPr="00BA37FD">
        <w:t>from the TGA and TPR investigatio</w:t>
      </w:r>
      <w:r w:rsidRPr="0068440C">
        <w:t xml:space="preserve">ns; </w:t>
      </w:r>
      <w:r>
        <w:t>there are no other characterisation techniques in the study which discern this process. Further investigation is required to confirm the effect of back donation of reduction temperature.</w:t>
      </w:r>
    </w:p>
    <w:p w14:paraId="2606BB2A" w14:textId="5238E205" w:rsidR="00007F6C" w:rsidRPr="002B6C9E" w:rsidRDefault="00007F6C" w:rsidP="004B726A">
      <w:pPr>
        <w:jc w:val="both"/>
      </w:pPr>
      <w:r w:rsidRPr="00D81D4A">
        <w:t>The infiltrate decomposition step is a major form of degradation prevalent in all infiltrated SOFC fuel electrode systems. Aqueous nickel nitrate ([Ni(H</w:t>
      </w:r>
      <w:r w:rsidRPr="00D81D4A">
        <w:rPr>
          <w:vertAlign w:val="subscript"/>
        </w:rPr>
        <w:t>2</w:t>
      </w:r>
      <w:r w:rsidRPr="00D81D4A">
        <w:t>O)</w:t>
      </w:r>
      <w:r w:rsidRPr="00D81D4A">
        <w:rPr>
          <w:vertAlign w:val="subscript"/>
        </w:rPr>
        <w:t>6</w:t>
      </w:r>
      <w:r w:rsidRPr="00D81D4A">
        <w:t>(NO</w:t>
      </w:r>
      <w:r w:rsidRPr="00D81D4A">
        <w:rPr>
          <w:vertAlign w:val="subscript"/>
        </w:rPr>
        <w:t>3</w:t>
      </w:r>
      <w:r w:rsidRPr="00D81D4A">
        <w:t>)</w:t>
      </w:r>
      <w:r w:rsidRPr="00D81D4A">
        <w:rPr>
          <w:vertAlign w:val="subscript"/>
        </w:rPr>
        <w:t>2</w:t>
      </w:r>
      <w:r w:rsidRPr="00D81D4A">
        <w:t>]) is one of the major precursor solutions used in the wet impregnation process</w:t>
      </w:r>
      <w:r>
        <w:t xml:space="preserve"> </w:t>
      </w:r>
      <w:r>
        <w:fldChar w:fldCharType="begin" w:fldLock="1"/>
      </w:r>
      <w:r w:rsidR="00D80A5D">
        <w:instrText>ADDIN CSL_CITATION {"citationItems":[{"id":"ITEM-1","itemData":{"DOI":"10.1149/06801.1245ecst","ISBN":"19385862 (ISSN); 9781607685395 (ISBN)","ISSN":"1938-6737","abstract":"Nickel-infiltrated La&lt;inf&gt;1-x&lt;/inf&gt;Sr&lt;inf&gt;x&lt;/inf&gt;Ga&lt;inf&gt;0.8&lt;/inf&gt;Mg&lt;inf&gt;0.2&lt;/inf&gt;O&lt;inf&gt;3-δ&lt;/inf&gt; (LSGM) anode functional layers have been shown to yield low polarization resistance in intermediate-temperature solid oxide fuel cells (IT-SOFCs) with thin LSGM electrolytes. A dehydration step after nickel nitrate infiltration and a decrease in the calcination temperature were both shown to decrease the initial NiO particle size, but other factors such as geometry and Ni loading affected the Ni particle size upon reduction. The infiltrated anode polarization resistance, measured during life tests of full cells by separating out the anode component using electrochemical impedance spectroscopy and equivalent circuit fitting, increased continuously, e.g. from 0.08 to 0.16 Ω cm&lt;sup&gt;2&lt;/sup&gt;, after 550 h at 650°C. This change was accompanied by approximately a factor of 2 increase in the feature size of the infiltrated Ni. A simple electrochemical model is presented that predicts the observed changes in polarization resistance based on the effect of particle coarsening on triple-phase boundary density.","author":[{"dropping-particle":"","family":"Gao","given":"Z.","non-dropping-particle":"","parse-names":false,"suffix":""},{"dropping-particle":"","family":"Miller","given":"E. C.","non-dropping-particle":"","parse-names":false,"suffix":""},{"dropping-particle":"","family":"Voorhees","given":"P. W.","non-dropping-particle":"","parse-names":false,"suffix":""},{"dropping-particle":"","family":"Sherman","given":"Q.","non-dropping-particle":"","parse-names":false,"suffix":""},{"dropping-particle":"","family":"Barnett","given":"S. A.","non-dropping-particle":"","parse-names":false,"suffix":""}],"container-title":"ECS Transactions","edition":"1","editor":[{"dropping-particle":"","family":"Eguchi","given":"K","non-dropping-particle":"","parse-names":false,"suffix":""},{"dropping-particle":"","family":"Singhal","given":"S C","non-dropping-particle":"","parse-names":false,"suffix":""}],"id":"ITEM-1","issue":"1","issued":{"date-parts":[["2015"]]},"language":"English","note":"Conference code: 113202\nCited By :2\nExport Date: 20 January 2017\nFunding details: DMR-1121262, NSF, National Science Foundation\nReferences: Zhang, X., Ohara, S., Maric, R., Mukai, K., Fukui, T., Yoshida, H., Nishimura, M., Miura, K., (1999) J. Power Sources, 83, p. 170; Zhan, Z., Bierschenk, D.M., Cronin, J.S., Barnett, S.A., (2011) Energy Environ. Sci., 4, p. 3951; Miller, E.C., Gao, Z., Barnett, S.A., (2013) Fuel Cells, 13, p. 1060; Huang, K., Wan, J.-H., Goodenough, J.B., (2001) J. Electrochem. Soc., 148, p. A788; Lin, Y., Barnett, S.A., (2006) Electrochem. Solid-State Lett., 9, p. A285; Munnings, C.N., Skinner, S.J., Amow, G., Whitfield, P.S., Davidson, I.J., (2005) J. Fuel Cell Sci. Technol., 2, p. 34; Yoo, K.B., Choi, G.M., (2009) Solid State Ionics, 180, p. 867; Gao, Z., Miller, E.C., Barnett, S.A., (2014) Adv. Funct. Mater., 24, p. 5703; Zhan, Z., Han, D., Wu, T., Ye, X., Wang, S., Wen, T., Cho, S., Barnett, S.A., (2012) RSC Advances, 2, p. 4075; Wendel, C.H., Gao, Z., Barnett, S.A., Braun, R.J., (2015) J. Power Sources, 283, p. 329; Shah, M., Voorhees, P.W., Barnett, S.A., (2011) Solid State Ionics, 187, p. 64; Criado, J.M., Ortega, A., Real, C., (1987) React. Solids, 4, p. 93; Zhu, X., Guan, C., Lü, Z., Wei, B., Li, Y., Su, W., (2014) J. Power Sources, 256, p. 424; Burye, T.E., Nicholas, J.D., (2015) J. Power Sources, 276, p. 54; Nicholas, J.D., Wang, L., Call, A.V., Barnett, S.A., (2012) PCCP, 14; Perry Murray, E., Sever, M.J., Barnett, S.A., (2002) Solid State Ionics, 148, p. 27; Shah, M., Nicholas, J.D., Barnett, S.A., (2009) Electrochem. Commun., 11, p. 2; Zhu, W., Ding, D., Xia, C., (2008) Electrochem. Solid-State Lett., 11, p. B83; Baumann, F.S., Fleig, J., Cristiani, G., Stuhlhofer, B., Habermeier, H.-U., Maier, J., (2007) J. Electrochem. Soc., 154, p. B931; Klemensø, T., Thydén, K., Chen, M., Wang, H.-J., (2010) J. Power Sources, 195, p. 7295","page":"1245-1254","publisher":"Electrochemical Society Inc.","title":"Stability of Nickel-Infiltrated Anodes in Intermediate Temperature SOFCs","type":"paper-conference","volume":"68"},"uris":["http://www.mendeley.com/documents/?uuid=deb410cd-6593-4eab-9797-a5b47cd09132"]},{"id":"ITEM-2","itemData":{"DOI":"10.1149/2.056405jes","ISBN":"19385862 (ISSN)","ISSN":"0013-4651","abstract":"A range of Ni-contg. solns., including an aq. soln. contg. the Triton-X surfactant, and aq. or ethanolic solns. contg. urea, have been infiltrated into a sym. tubular half-cell composed of a slip-casted, porous yttria-stabilized zirconia (YSZ) anode support, Ni-YSZ functional layers, a YSZ electrolyte, and a 2nd, outer porous YSZ anode support layer, aiming at the development of high performance anodes.  A combination of surface wettability expts. and optical and electron microscopy imaging was used to det. how well these solns. penetrate the porous YSZ matrix, then correlating these results with the electrochem. performance in humidified H2 environments at 800°.  The addn. of Triton-X-100 surfactant to the infiltration soln. results in excellent penetration of the Ni phase deep into the YSZ matrix, while the use of urea as a Ni complexing agent leaves a Ni-rich layer on the outer anode surface.  Importantly, the use of a 2-step process, involving several vacuum-infiltrations with Ni nitrate solns. contg. Triton-X-100, followed by several infiltrations with urea-contg. solns., leads to the best cell performance as well as the best Ni distribution inside the anode layers. [on SciFinder(R)]","author":[{"dropping-particle":"","family":"Keyvanfar","given":"Parastoo","non-dropping-particle":"","parse-names":false,"suffix":""},{"dropping-particle":"","family":"Birss","given":"Viola","non-dropping-particle":"","parse-names":false,"suffix":""}],"container-title":"Journal of The Electrochemical Society","edition":"1","id":"ITEM-2","issue":"5","issued":{"date-parts":[["2014"]]},"language":"English","note":"Cited By :3\nExport Date: 20 January 2017\nReferences: Sarantaridis, D., Atkins, A., (2007) FUEL CELLS, 7, p. 246; Sholklapper, T.Z., Lu, C., Jacobsona, C.P., Viscoa, S.J., Jonghe De, L.C., (2006) Electrochem Solid-State Lett., 9, pp. A376; Buyukaksoy, A., Petrovsky, V., Dogan, F., (2012) J. Electrochem. Soc., 159, pp. B666; Sholklapper, T.Z., Radmilovic, V., Jacobson, C.P., Visco, S.J., De Jonghe, L.C., (2007) Electrochem Solid-State Lett., 10, pp. B74; Bidrawn, F., Kima, G., Aramrueang, N., Vohs, J.M., Gorte, R.J., (2010) J. Power Sources, 195, p. 720; Yamahara, K., Jacobson, C.P., Visco, S.J., Feng Zhang, X., De Jonghe, L.C., (2005) Solid State Ionics, 176, p. 275; Jung, S.N., Lu, C., He, H., Ahn, K., Gorte, R.J., Vohs, J.M., (2006) J. Power Sources, 154, p. 42; Lee, S., Kima, G., Vohs, J.M., Gorte, R.J., (2008) J. Electrochem. Soc., 155, pp. B1179; Huang, Y., Vohs, J.M., Gorte, R.J., (2006) Electrochem Solid-State Lett., 9, pp. A237; Tucker, M.C., Lau, G.Y., Jacobson, C.P., Dejonghe, L.C., Visco, S.J., (2007) J. Power Sources, 171, p. 477; Klemensø, T., Thydén, K., Chen, M., Wang, H.J., (2010) J. Power Sources, 195, p. 7295; Li, W., Lü, Z., Zhu, X., Guan, B., Wei, B., Guan, C., Su, W., (2011) Electrochimica Acta, 56, p. 2230; Nicholas, J.D., Barnett, S.A., (2010) J. Electrochem. Soc., 157, pp. B536; Hanifi, A.R., Shinbine, A., Etsell, T.H., Sarkar, P., (2012) Int. J. Appl. Ceram. Technol., 9, p. 1011; Kilbride, I.P., (1996) Journal of Power Sources, 61, p. 167; Conga, L., Hea, T., Jia, Y., Guana, P., Huanga, Y., Su, W., (2003) J. Alloys Compd., 348, p. 325; Primdahl, S., Mogensen, M., (1998) J. Electrochem. Soc., 145, p. 2431; Primdahl, S., Mogensen, M., (1999) J. Electrochem. Soc., 146, p. 2827; Jiang, S.P., Badwal, S.P.S., (1999) Solid State Ionics, 123, p. 209; Sonn, V., Leonide, A., Ivers-Tiffée, E., (2008) J. Electrochem. Soc., 155, pp. B675","page":"F660-F667","publisher":"Electrochemical Society Inc.","title":"Optimization of Infiltration Techniques Used to Construct Ni/YSZ Anodes","type":"paper-conference","volume":"161"},"uris":["http://www.mendeley.com/documents/?uuid=ce167f45-7dc6-4612-b9e4-271bc94a97b6"]},{"id":"ITEM-3","itemData":{"DOI":"10.1149/1.3571039","ISBN":"2011160022","ISSN":"00134651","abstract":"Theeffect of catalyst nanostructure on the performance of solid oxidefuel cell (SOFC) anodes prepared by infiltration of an electronicconductor (45 wt % La0.8Sr0.2Cr0.5Mn0.5O3, LSCM) and a catalyst (1wt % Pd and 9 wt % CeO2) into porousyttria-stabilized zirconia (YSZ) scaffolds was examined. When Pd and CeO2were added by classical infiltration with nitrate salts, the initialelectrode impedance in 97% H2-3% H2O at 973 K was~0.1 cm2; however, the impedance was found to increasesignificantly with time at 973 K and with heating to1173 K. SEM images showed that the loss of performancecoincided with a large increase in the size of thePd crystallites. When Pd@CeO2 dispersible core-shell structures obtained through self-assemblywere infiltrated into the anode and used as the catalyticcomponent, the initial performance was excellent and the activity wasremarkably stable with time at 973 K and upon heatingto 1173 K. The improved stability is shown to bethe result of greatly suppressed particle-size growth for Pd@CeO2 withinthe electrode structure. This study highlights the potential use ofcore-shell materials as stable structures in various fields of materialsscience and heterogeneous catalysis. ©2011 The Electrochemical Society","author":[{"dropping-particle":"","family":"Kim","given":"Ju-Sik","non-dropping-particle":"","parse-names":false,"suffix":""},{"dropping-particle":"","family":"Wieder","given":"Noah L.","non-dropping-particle":"","parse-names":false,"suffix":""},{"dropping-particle":"","family":"Cargnello","given":"Matteo","non-dropping-particle":"","parse-names":false,"suffix":""},{"dropping-particle":"","family":"Vohs","given":"John M.","non-dropping-particle":"","parse-names":false,"suffix":""},{"dropping-particle":"","family":"Abraham","given":"Ashley J.","non-dropping-particle":"","parse-names":false,"suffix":""},{"dropping-particle":"","family":"Fornasiero","given":"Paolo","non-dropping-particle":"","parse-names":false,"suffix":""},{"dropping-particle":"","family":"Gorte","given":"Raymond J.","non-dropping-particle":"","parse-names":false,"suffix":""}],"container-title":"Journal of The Electrochemical Society","id":"ITEM-3","issue":"6","issued":{"date-parts":[["2011"]]},"language":"English","note":"Cited By :25\nExport Date: 20 January 2017\nCODEN: JESOA\nCorrespondence Address: Kim, J.-S.; Department of Chemical and Biomolecular Engineering, University of Pennsylvania, Philadelphia, PA 19104, United States\nReferences: Zhan, Z.L., Zhao, L., (2010) J. Power Sources, 195, p. 7250. , 10.1016/j.jpowsour.2010.05.037; Bidrawn, F., Kim, G., Corre, G., Irvine, J.T.S., Vohs, J.M., Gorte, R.J., (2008) Electrochem. Solid-State Lett., 11, p. 167. , 10.1149/1.2943664; Ebbesen, S.D., Mogensen, M., (2009) J. Power Sources, 193, p. 349. , 10.1016/j.jpowsour.2009.02.093; Minh, N.Q., (1993) J. Am. Ceram. Soc., 76, p. 563. , 10.1111/j.1151-2916.1993.tb03645.x; Gorte, R.J., Vohs, J.M., (2009) Curr. Opin. Colloid Interface Sci., 14, p. 236. , 10.1016/j.cocis.2009.04.006; Park, S., Vohs, J.M., Gorte, R.J., Direct oxidation of hydrocarbons in a solid-oxide fuel cell (2000) Nature, 404 (6775), pp. 265-267. , DOI 10.1038/35005040; Murray, A., A snip separates sisters (1999) Nature, 400 (6739), pp. 19-21. , DOI 10.1038/21781; Neagu, D., Irvine, J.T.S., (2010) Chem. Mater., 22, p. 5042. , 10.1021/cm101508w; Fergus, J.W., Oxide anode materials for solid oxide fuel cells (2006) Solid State Ionics, 177 (17-18), pp. 1529-1541. , DOI 10.1016/j.ssi.2006.07.012, PII S0167273806003936; Tao, S.W., Irvine, J.T.S., (2004) Chem. Rec., 4, p. 83. , 10.1002/tcr.v4:2; McIntosh, S., Gorte, R.J., (2004) Chem. Rev., 104, p. 4845. , 10.1021/cr020725g; Chun, C.M., Bhargava, G., Ramanarayanan, T.A., Metal dusting corrosion of nickel-based alloys (2007) Journal of the Electrochemical Society, 154 (5), pp. C231-C240. , DOI 10.1149/1.2710215; Atkinson, A., Barnett, S., Gorte, R.J., Irvine, J.T.S., McEvoy, A.J., Mogensen, M., Singhal, S.C., Vohs, J., (2004) Nat. Mater., 3, p. 17. , 10.1038/nmat1040; Kim, G., Corre, G., Irvine, J.T.S., Vohs, J.M., Gorte, R.J., (2008) Electrochem. Solid-State Lett., 11, p. 16. , 10.1149/1.2817809; Kim, G., Lee, S., Shin, J.Y., Corre, G., Irvine, J.T.S., Vohs, J.M., Gorte, R.J., (2009) Electrochem. Solid-State Lett., 12, p. 48. , 10.1149/1.3065971; Huang, Y.-H., Dass, R.I., Denyszyn, J.C., Goodenough, J.B., Synthesis and characterization of Sr2MgMoO6-δ (2006) Journal of the Electrochemical Society, 153 (7), pp. A1266-A1272. , DOI 10.1149/1.2195882; Huang, Y.H., Dass, R.I., Xing, Z.L., Goodenough, J.B., (2006) Science, 312, p. 254. , 10.1126/science.1125877; Alayoglu, S., Nilekar, A.U., Mavrikakis, M., Eichhorn, B., Ru-Pt core-shell nanoparticles for preferential oxidation of carbon monoxide in hydrogen (2008) Nature Materials, 7 (4), pp. 333-338. , DOI 10.1038/nmat2156, PII NMAT2156; Wang, Y., Toshima, N., (1997) J. Phys. Chem. B, 101, p. 5301. , 10.1021/jp9704224; Brankovic, S.R., Wang, J.X., Adzic, R.R., (2001) Electrochem. Solid-State Lett., 4, p. 217. , 10.1149/1.1414943; Zhou, S.H., Varughese, B., Eichhorn, B., Jackson, G., McIlwrath, K., (2005) Angew. Chem., Int. Ed., 44, p. 4539. , 10.1002/anie.v44:29; Arnal, P.M., Comotti, M., Schuth, F., (2006) Angew. Chem. Int. Ed., 45, p. 8224. , 10.1002/anie.v45:48; Yu, K., Wu, Z., Zhao, Q., Li, B., Xie, Y., High-temperature-stable Au@SnO2 core/shell supported catalyst for CO oxidation (2008) Journal of Physical Chemistry C, 112 (7), pp. 2244-2247. , DOI 10.1021/jp711880e; Yeung, C.M.Y., Tsang, S.C., (2009) Catal. Lett., 128, p. 349. , 10.1007/s10562-008-9752-6; Liu, Z.F., Jackson, G.S., Eichhorn, B.W., (2010) Angew. Chem. Int. Ed., 49, p. 3173. , 10.1002/anie.200907019; Yan, J.M., Zhang, X.B., Akita, T., Haruta, M., Xu, Q., (2010) J. Am. Chem. Soc., 132, p. 5326. , 10.1021/ja910513h; Tao, F., Grass, M.E., Zhang, Y.W., Butcher, D.R., Aksoy, F., Aloni, S., Altoe, V., Tsung, C.K., (2010) J. Am. Chem. Soc., 132, p. 8697. , 10.1021/ja101502t; Tao, F., Grass, M.E., Zhang, Y.W., Butcher, D.R., Renzas, J.R., Liu, Z., Chung, J.Y., Somorjai, G.A., (2008) Science, 322, p. 932. , 10.1126/science.1164170; Park, J.N., Forman, A.J., Tang, W., Cheng, J.H., Hu, Y.S., Lin, H.F., McFarland, E.W., (2008) Small, 4, p. 1694. , 10.1002/smll.200800895; Forman, A.J., Park, J.N., Tang, W., Hu, Y.S., Stucky, G.D., McFarland, E.W., (2010) Chem Cat Chem, 2, p. 1318. , 10.1002/cctc.201000015; Joo, S.H., Park, J.Y., Tsung, C.K., Yamada, Y., Yang, P.D., Somorjai, G.A., (2009) Nat. Mater., 8, p. 126. , 10.1038/nmat2329; Guerrero-Martinez, A., Perez-Juste, J., Liz-Marzan, L.M., (2010) Adv. Mater., 22, p. 1182. , 10.1002/adma.200901263; Yeung, C.M.Y., Meunier, F., Burch, R., Thompsett, D., Tsang, S.C., Comparison of new microemulsion prepared &amp;quot;Pt-in-ceria&amp;quot; catalyst with conventional &amp;quot;Pt-on-ceria&amp;quot; catalyst for water-gas shift reaction (2006) Journal of Physical Chemistry B, 110 (17), pp. 8540-8543. , DOI 10.1021/jp061083u; Cargnello, M., Wieder, N.L., Montini, T., Gorte, R.J., Fornasiero, P., (2010) J. Am. Chem. Soc., 132, p. 1402. , 10.1021/ja909131k; Cargnello, M., Montini, T., Polizzi, S., Wieder, N.L., Gorte, R.J., Graziani, M., Fornasiero, P., (2010) Dalton Trans., 39, p. 2122. , 10.1039/b916035c; Wieder, N.L., Cargnello, M., Bakhmutsky, K., Montini, T., Fornasiero, P., Gorte, R.J., (2011) J Phys. Chem. C, 115, p. 915. , 10.1021/jp102965e; Corre, G., Kim, G., Cassidy, M., Vohs, J.M., Gorte, R.J., Irvine, J.T.S., (2009) Chem. Mater., 21, p. 1077. , 10.1021/cm803149v; Bunluesin, T., Gorte, R.J., Graham, G.W., Studies of the water-gas-shift reaction on ceria-supported Pt, Pd, and Rh: Implications for oxygen-storage properties (1998) Applied Catalysis B: Environmental, 15 (1-2), pp. 107-114. , DOI 10.1016/S0926-3373(97)00040-4, PII S0926337397000404; Colussi, S., Gayen, A., Camellone, M.F., Boaro, M., Llorca, J., Fabris, S., Trovarelli, A., (2009) Angew. Chem. Int. Ed., 48, p. 8481. , 10.1002/anie.200903581; Kaspar, J., Fornasiero, P., Graziani, M., (1999) Catal. Today, 50, p. 285. , 10.1016/S0920-5861(98)00510-0; Wang, W., Gross, M.D., Vohs, J.M., Gorte, R.J., The stability of LSF-YSZ electrodes prepared by infiltration (2007) Journal of the Electrochemical Society, 154 (5), pp. B439-B445. , DOI 10.1149/1.2709510; Kabalnov, A., Ostwald ripening and related phenomena (2001) Journal of Dispersion Science and Technology, 22 (1), pp. 1-12. , DOI 10.1081/DIS-100102675; Datye, A.K., Xu, Q., Kharas, K.C., McCarty, J.M., Particle size distributions in heterogeneous catalysts: What do they tell us about the sintering mechanism? (2006) Catalysis Today, 111 (1-2), pp. 59-67. , DOI 10.1016/j.cattod.2005.10.013, PII S092058610500711X, Frontiers in Catalysis: A Molecular View of Industrial Catalysis; He, H.P., Vohs, J.M., Gorte, R.J., (2003) J. Electrochem. Soc., 150, p. 1470. , 10.1149/1.1614268","page":"B596","title":"Highly Active and Thermally Stable Core-Shell Catalysts for Solid Oxide Fuel Cells","type":"article-journal","volume":"158"},"uris":["http://www.mendeley.com/documents/?uuid=eeff8e15-2696-4e33-9228-19ed123e8fa2"]}],"mendeley":{"formattedCitation":"[6], [188], [189]","plainTextFormattedCitation":"[6], [188], [189]","previouslyFormattedCitation":"[6], [188], [189]"},"properties":{"noteIndex":0},"schema":"https://github.com/citation-style-language/schema/raw/master/csl-citation.json"}</w:instrText>
      </w:r>
      <w:r>
        <w:fldChar w:fldCharType="separate"/>
      </w:r>
      <w:r w:rsidR="006C586A" w:rsidRPr="006C586A">
        <w:rPr>
          <w:noProof/>
        </w:rPr>
        <w:t>[6], [188], [189]</w:t>
      </w:r>
      <w:r>
        <w:fldChar w:fldCharType="end"/>
      </w:r>
      <w:r w:rsidRPr="00D81D4A">
        <w:t>. This metal salt solution provides the catalytic nanoparticles required to produce an infiltrated Ni/YSZ anode. A drying step prior to decomposition is crucial to remove the excess solvent before the calcination of the nickel nitrate</w:t>
      </w:r>
      <w:r>
        <w:t xml:space="preserve">.  </w:t>
      </w:r>
      <w:r w:rsidR="00A402C1">
        <w:fldChar w:fldCharType="begin"/>
      </w:r>
      <w:r w:rsidR="00A402C1">
        <w:instrText xml:space="preserve"> REF _Ref51161973 \h </w:instrText>
      </w:r>
      <w:r w:rsidR="00A402C1">
        <w:fldChar w:fldCharType="separate"/>
      </w:r>
      <w:r w:rsidR="00A402C1">
        <w:t>Equation 2.</w:t>
      </w:r>
      <w:r w:rsidR="00A402C1">
        <w:rPr>
          <w:noProof/>
        </w:rPr>
        <w:t>1</w:t>
      </w:r>
      <w:r w:rsidR="00A402C1">
        <w:fldChar w:fldCharType="end"/>
      </w:r>
      <w:r w:rsidR="00A402C1">
        <w:t xml:space="preserve"> </w:t>
      </w:r>
      <w:r>
        <w:t xml:space="preserve">details the </w:t>
      </w:r>
      <w:r w:rsidRPr="002B6C9E">
        <w:t>endothermic decomposition of nickel nitrate into nickel oxide, nitrogen dioxide and an oxygen radical</w:t>
      </w:r>
      <w:r>
        <w:t xml:space="preserve"> </w:t>
      </w:r>
      <w:r w:rsidRPr="007D7C93">
        <w:fldChar w:fldCharType="begin" w:fldLock="1"/>
      </w:r>
      <w:r w:rsidR="00D80A5D">
        <w:instrText>ADDIN CSL_CITATION {"citationItems":[{"id":"ITEM-1","itemData":{"DOI":"http://dx.doi.org/10.1016/0168-7336(87)80089-X","ISSN":"0168-7336","abstract":"The thermal decomposition of nickel nitrate has been followed by isothermal and non-isothermal thermogravimetry. The anhydrous salt was prepared by dehydrating the corresponding hexahydrate “in situ” at 150 °C.  We believe that the above reaction takes place in a single step: Ni(NO3)2 → NiO + 2NO2 + 12O2  It has been shown that this transformation obeys the Avrami-Erofeev law with an exponent n = 2 and an activation energy close to 84 ± 3 kJ mol−1. These results can be interpreted by a reaction mechanism that involves instantaneous nucleation on the surface of the crystal with subsequent growth of the nuclei into particles.","author":[{"dropping-particle":"","family":"Criado","given":"J M","non-dropping-particle":"","parse-names":false,"suffix":""},{"dropping-particle":"","family":"Ortega","given":"A","non-dropping-particle":"","parse-names":false,"suffix":""},{"dropping-particle":"","family":"Real","given":"C","non-dropping-particle":"","parse-names":false,"suffix":""}],"container-title":"Reactivity of Solids","id":"ITEM-1","issue":"1–2","issued":{"date-parts":[["1987","10"]]},"page":"93-103","title":"Mechanism of the thermal decomposition of anhydrous nickel nitrate","type":"article-journal","volume":"4"},"uris":["http://www.mendeley.com/documents/?uuid=a5727266-a59d-4fe7-a703-cd85b1b0f63e"]}],"mendeley":{"formattedCitation":"[182]","plainTextFormattedCitation":"[182]","previouslyFormattedCitation":"[182]"},"properties":{"noteIndex":0},"schema":"https://github.com/citation-style-language/schema/raw/master/csl-citation.json"}</w:instrText>
      </w:r>
      <w:r w:rsidRPr="007D7C93">
        <w:fldChar w:fldCharType="separate"/>
      </w:r>
      <w:r w:rsidR="006C586A" w:rsidRPr="006C586A">
        <w:rPr>
          <w:noProof/>
        </w:rPr>
        <w:t>[182]</w:t>
      </w:r>
      <w:r w:rsidRPr="007D7C93">
        <w:fldChar w:fldCharType="end"/>
      </w:r>
      <w:r>
        <w:t xml:space="preserve"> </w:t>
      </w:r>
      <w:r w:rsidRPr="002B6C9E">
        <w:t>.</w:t>
      </w:r>
    </w:p>
    <w:p w14:paraId="6B46FFF0" w14:textId="77777777" w:rsidR="00007F6C" w:rsidRPr="001B061F" w:rsidRDefault="00007F6C" w:rsidP="004B726A">
      <w:pPr>
        <w:keepNext/>
        <w:rPr>
          <w:rFonts w:eastAsiaTheme="minorEastAsia"/>
        </w:rPr>
      </w:pPr>
      <m:oMathPara>
        <m:oMath>
          <m:r>
            <m:rPr>
              <m:sty m:val="p"/>
            </m:rPr>
            <w:rPr>
              <w:rFonts w:ascii="Cambria Math" w:hAnsi="Cambria Math"/>
            </w:rPr>
            <m:t>Ni</m:t>
          </m:r>
          <m:sSub>
            <m:sSubPr>
              <m:ctrlPr>
                <w:rPr>
                  <w:rFonts w:ascii="Cambria Math" w:hAnsi="Cambria Math"/>
                  <w:i/>
                </w:rPr>
              </m:ctrlPr>
            </m:sSubPr>
            <m:e>
              <m:d>
                <m:dPr>
                  <m:ctrlPr>
                    <w:rPr>
                      <w:rFonts w:ascii="Cambria Math" w:hAnsi="Cambria Math"/>
                      <w:i/>
                    </w:rPr>
                  </m:ctrlPr>
                </m:dPr>
                <m:e>
                  <m:sSub>
                    <m:sSubPr>
                      <m:ctrlPr>
                        <w:rPr>
                          <w:rFonts w:ascii="Cambria Math" w:hAnsi="Cambria Math"/>
                          <w:i/>
                        </w:rPr>
                      </m:ctrlPr>
                    </m:sSubPr>
                    <m:e>
                      <m:r>
                        <m:rPr>
                          <m:sty m:val="p"/>
                        </m:rPr>
                        <w:rPr>
                          <w:rFonts w:ascii="Cambria Math" w:hAnsi="Cambria Math"/>
                        </w:rPr>
                        <m:t>NO</m:t>
                      </m:r>
                    </m:e>
                    <m:sub>
                      <m:r>
                        <m:rPr>
                          <m:sty m:val="p"/>
                        </m:rPr>
                        <w:rPr>
                          <w:rFonts w:ascii="Cambria Math" w:hAnsi="Cambria Math"/>
                        </w:rPr>
                        <m:t>3</m:t>
                      </m:r>
                    </m:sub>
                  </m:sSub>
                </m:e>
              </m:d>
            </m:e>
            <m:sub>
              <m:r>
                <m:rPr>
                  <m:sty m:val="p"/>
                </m:rPr>
                <w:rPr>
                  <w:rFonts w:ascii="Cambria Math" w:hAnsi="Cambria Math"/>
                </w:rPr>
                <m:t>2(s)</m:t>
              </m:r>
            </m:sub>
          </m:sSub>
          <m:r>
            <m:rPr>
              <m:sty m:val="p"/>
            </m:rPr>
            <w:rPr>
              <w:rFonts w:ascii="Cambria Math" w:hAnsi="Cambria Math"/>
            </w:rPr>
            <m:t xml:space="preserve"> →</m:t>
          </m:r>
          <m:sSub>
            <m:sSubPr>
              <m:ctrlPr>
                <w:rPr>
                  <w:rFonts w:ascii="Cambria Math" w:hAnsi="Cambria Math"/>
                  <w:i/>
                </w:rPr>
              </m:ctrlPr>
            </m:sSubPr>
            <m:e>
              <m:r>
                <m:rPr>
                  <m:sty m:val="p"/>
                </m:rPr>
                <w:rPr>
                  <w:rFonts w:ascii="Cambria Math" w:hAnsi="Cambria Math"/>
                </w:rPr>
                <m:t>NiO</m:t>
              </m:r>
            </m:e>
            <m:sub>
              <m:r>
                <m:rPr>
                  <m:sty m:val="p"/>
                </m:rPr>
                <w:rPr>
                  <w:rFonts w:ascii="Cambria Math" w:hAnsi="Cambria Math"/>
                </w:rPr>
                <m:t>(s)</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2NO</m:t>
              </m:r>
            </m:e>
            <m:sub>
              <m:r>
                <m:rPr>
                  <m:sty m:val="p"/>
                </m:rPr>
                <w:rPr>
                  <w:rFonts w:ascii="Cambria Math" w:hAnsi="Cambria Math"/>
                </w:rPr>
                <m:t>2(g)</m:t>
              </m:r>
            </m:sub>
          </m:sSub>
          <m:r>
            <m:rPr>
              <m:sty m:val="p"/>
            </m:rPr>
            <w:rPr>
              <w:rFonts w:ascii="Cambria Math" w:hAnsi="Cambria Math"/>
            </w:rPr>
            <m:t>+</m:t>
          </m:r>
          <m:f>
            <m:fPr>
              <m:ctrlPr>
                <w:rPr>
                  <w:rFonts w:ascii="Cambria Math" w:hAnsi="Cambria Math"/>
                  <w:i/>
                </w:rPr>
              </m:ctrlPr>
            </m:fPr>
            <m:num>
              <m:r>
                <m:rPr>
                  <m:sty m:val="p"/>
                </m:rPr>
                <w:rPr>
                  <w:rFonts w:ascii="Cambria Math" w:hAnsi="Cambria Math"/>
                </w:rPr>
                <m:t>1</m:t>
              </m:r>
            </m:num>
            <m:den>
              <m:r>
                <m:rPr>
                  <m:sty m:val="p"/>
                </m:rPr>
                <w:rPr>
                  <w:rFonts w:ascii="Cambria Math" w:hAnsi="Cambria Math"/>
                </w:rPr>
                <m:t>2</m:t>
              </m:r>
            </m:den>
          </m:f>
          <m:sSub>
            <m:sSubPr>
              <m:ctrlPr>
                <w:rPr>
                  <w:rFonts w:ascii="Cambria Math" w:hAnsi="Cambria Math"/>
                  <w:i/>
                </w:rPr>
              </m:ctrlPr>
            </m:sSubPr>
            <m:e>
              <m:r>
                <m:rPr>
                  <m:sty m:val="p"/>
                </m:rPr>
                <w:rPr>
                  <w:rFonts w:ascii="Cambria Math" w:hAnsi="Cambria Math"/>
                </w:rPr>
                <m:t>O</m:t>
              </m:r>
            </m:e>
            <m:sub>
              <m:r>
                <m:rPr>
                  <m:sty m:val="p"/>
                </m:rPr>
                <w:rPr>
                  <w:rFonts w:ascii="Cambria Math" w:hAnsi="Cambria Math"/>
                </w:rPr>
                <m:t>2(g)</m:t>
              </m:r>
            </m:sub>
          </m:sSub>
        </m:oMath>
      </m:oMathPara>
    </w:p>
    <w:p w14:paraId="1DD5978C" w14:textId="76B6055B" w:rsidR="00007F6C" w:rsidRDefault="00007F6C" w:rsidP="004B726A">
      <w:pPr>
        <w:jc w:val="right"/>
      </w:pPr>
      <w:bookmarkStart w:id="75" w:name="_Ref49768419"/>
      <w:bookmarkStart w:id="76" w:name="_Ref51149075"/>
      <w:bookmarkStart w:id="77" w:name="_Ref51161973"/>
      <w:r>
        <w:t>Equation 2.</w:t>
      </w:r>
      <w:bookmarkEnd w:id="75"/>
      <w:bookmarkEnd w:id="76"/>
      <w:r>
        <w:fldChar w:fldCharType="begin"/>
      </w:r>
      <w:r>
        <w:instrText xml:space="preserve"> SEQ Equation \* ARABIC \r 1 </w:instrText>
      </w:r>
      <w:r>
        <w:fldChar w:fldCharType="separate"/>
      </w:r>
      <w:r w:rsidR="00A402C1">
        <w:rPr>
          <w:noProof/>
        </w:rPr>
        <w:t>1</w:t>
      </w:r>
      <w:r>
        <w:fldChar w:fldCharType="end"/>
      </w:r>
      <w:bookmarkEnd w:id="77"/>
    </w:p>
    <w:p w14:paraId="262384FE" w14:textId="15A74B49" w:rsidR="00007F6C" w:rsidRDefault="00007F6C" w:rsidP="00B62A5A">
      <w:pPr>
        <w:spacing w:line="240" w:lineRule="auto"/>
        <w:jc w:val="both"/>
        <w:rPr>
          <w:bCs/>
        </w:rPr>
      </w:pPr>
      <w:r w:rsidRPr="002B6C9E">
        <w:rPr>
          <w:bCs/>
        </w:rPr>
        <w:t>The oxygen radical is cancelled out by another oxygen radical to form diatomic oxygen molecules. This reaction</w:t>
      </w:r>
      <w:r>
        <w:rPr>
          <w:bCs/>
        </w:rPr>
        <w:t xml:space="preserve"> </w:t>
      </w:r>
      <w:r w:rsidRPr="002B6C9E">
        <w:rPr>
          <w:bCs/>
        </w:rPr>
        <w:t xml:space="preserve">is driven by the </w:t>
      </w:r>
      <w:proofErr w:type="spellStart"/>
      <w:r w:rsidRPr="002B6C9E">
        <w:rPr>
          <w:bCs/>
        </w:rPr>
        <w:t>NiO</w:t>
      </w:r>
      <w:proofErr w:type="spellEnd"/>
      <w:r w:rsidRPr="002B6C9E">
        <w:rPr>
          <w:bCs/>
        </w:rPr>
        <w:t xml:space="preserve"> produced in</w:t>
      </w:r>
      <w:r>
        <w:rPr>
          <w:bCs/>
        </w:rPr>
        <w:t xml:space="preserve"> </w:t>
      </w:r>
      <w:r>
        <w:rPr>
          <w:bCs/>
        </w:rPr>
        <w:fldChar w:fldCharType="begin"/>
      </w:r>
      <w:r>
        <w:rPr>
          <w:bCs/>
        </w:rPr>
        <w:instrText xml:space="preserve"> REF _Ref51161973 \h  \* MERGEFORMAT </w:instrText>
      </w:r>
      <w:r>
        <w:rPr>
          <w:bCs/>
        </w:rPr>
      </w:r>
      <w:r>
        <w:rPr>
          <w:bCs/>
        </w:rPr>
        <w:fldChar w:fldCharType="separate"/>
      </w:r>
      <w:r>
        <w:t>Equation 2.1</w:t>
      </w:r>
      <w:r>
        <w:rPr>
          <w:bCs/>
        </w:rPr>
        <w:fldChar w:fldCharType="end"/>
      </w:r>
      <w:r>
        <w:rPr>
          <w:bCs/>
        </w:rPr>
        <w:fldChar w:fldCharType="begin"/>
      </w:r>
      <w:r>
        <w:rPr>
          <w:bCs/>
        </w:rPr>
        <w:instrText xml:space="preserve"> REF _Ref51149075 \h  \* MERGEFORMAT </w:instrText>
      </w:r>
      <w:r>
        <w:rPr>
          <w:bCs/>
        </w:rPr>
      </w:r>
      <w:r>
        <w:rPr>
          <w:bCs/>
        </w:rPr>
        <w:fldChar w:fldCharType="end"/>
      </w:r>
      <w:r w:rsidRPr="002B6C9E">
        <w:rPr>
          <w:bCs/>
        </w:rPr>
        <w:t>.</w:t>
      </w:r>
      <w:r>
        <w:rPr>
          <w:bCs/>
        </w:rPr>
        <w:t xml:space="preserve"> The products of this chemical reaction were observed in mass spectrometry work of </w:t>
      </w:r>
      <w:proofErr w:type="spellStart"/>
      <w:r>
        <w:rPr>
          <w:bCs/>
          <w:i/>
          <w:iCs/>
        </w:rPr>
        <w:t>Criado</w:t>
      </w:r>
      <w:proofErr w:type="spellEnd"/>
      <w:r>
        <w:rPr>
          <w:bCs/>
          <w:i/>
          <w:iCs/>
        </w:rPr>
        <w:t xml:space="preserve"> </w:t>
      </w:r>
      <w:r>
        <w:rPr>
          <w:bCs/>
          <w:i/>
          <w:iCs/>
        </w:rPr>
        <w:fldChar w:fldCharType="begin" w:fldLock="1"/>
      </w:r>
      <w:r w:rsidR="00D80A5D">
        <w:rPr>
          <w:bCs/>
          <w:i/>
          <w:iCs/>
        </w:rPr>
        <w:instrText>ADDIN CSL_CITATION {"citationItems":[{"id":"ITEM-1","itemData":{"DOI":"http://dx.doi.org/10.1016/0168-7336(87)80089-X","ISSN":"0168-7336","abstract":"The thermal decomposition of nickel nitrate has been followed by isothermal and non-isothermal thermogravimetry. The anhydrous salt was prepared by dehydrating the corresponding hexahydrate “in situ” at 150 °C.  We believe that the above reaction takes place in a single step: Ni(NO3)2 → NiO + 2NO2 + 12O2  It has been shown that this transformation obeys the Avrami-Erofeev law with an exponent n = 2 and an activation energy close to 84 ± 3 kJ mol−1. These results can be interpreted by a reaction mechanism that involves instantaneous nucleation on the surface of the crystal with subsequent growth of the nuclei into particles.","author":[{"dropping-particle":"","family":"Criado","given":"J M","non-dropping-particle":"","parse-names":false,"suffix":""},{"dropping-particle":"","family":"Ortega","given":"A","non-dropping-particle":"","parse-names":false,"suffix":""},{"dropping-particle":"","family":"Real","given":"C","non-dropping-particle":"","parse-names":false,"suffix":""}],"container-title":"Reactivity of Solids","id":"ITEM-1","issue":"1–2","issued":{"date-parts":[["1987","10"]]},"page":"93-103","title":"Mechanism of the thermal decomposition of anhydrous nickel nitrate","type":"article-journal","volume":"4"},"uris":["http://www.mendeley.com/documents/?uuid=a5727266-a59d-4fe7-a703-cd85b1b0f63e"]}],"mendeley":{"formattedCitation":"[182]","plainTextFormattedCitation":"[182]","previouslyFormattedCitation":"[182]"},"properties":{"noteIndex":0},"schema":"https://github.com/citation-style-language/schema/raw/master/csl-citation.json"}</w:instrText>
      </w:r>
      <w:r>
        <w:rPr>
          <w:bCs/>
          <w:i/>
          <w:iCs/>
        </w:rPr>
        <w:fldChar w:fldCharType="separate"/>
      </w:r>
      <w:r w:rsidR="006C586A" w:rsidRPr="006C586A">
        <w:rPr>
          <w:bCs/>
          <w:iCs/>
          <w:noProof/>
        </w:rPr>
        <w:t>[182]</w:t>
      </w:r>
      <w:r>
        <w:rPr>
          <w:bCs/>
          <w:i/>
          <w:iCs/>
        </w:rPr>
        <w:fldChar w:fldCharType="end"/>
      </w:r>
      <w:r>
        <w:rPr>
          <w:bCs/>
          <w:i/>
          <w:iCs/>
        </w:rPr>
        <w:t xml:space="preserve">. </w:t>
      </w:r>
    </w:p>
    <w:p w14:paraId="3BB1C16A" w14:textId="057E1BE4" w:rsidR="00007F6C" w:rsidRDefault="00007F6C" w:rsidP="004B726A">
      <w:pPr>
        <w:jc w:val="both"/>
      </w:pPr>
      <w:r w:rsidRPr="00D71B3A">
        <w:t xml:space="preserve">The formation of intermediate compounds during the thermal decomposition of nickel nitrate has been documents by surface catalysis literature. </w:t>
      </w:r>
      <w:r>
        <w:t xml:space="preserve">The breakdown discussed by </w:t>
      </w:r>
      <w:proofErr w:type="spellStart"/>
      <w:r>
        <w:t>Criado</w:t>
      </w:r>
      <w:proofErr w:type="spellEnd"/>
      <w:r>
        <w:t xml:space="preserve"> could not monitor the thermal breakdown of the nitrate under the influence of a range of temperatures</w:t>
      </w:r>
      <w:r>
        <w:fldChar w:fldCharType="begin" w:fldLock="1"/>
      </w:r>
      <w:r w:rsidR="00D80A5D">
        <w:instrText>ADDIN CSL_CITATION {"citationItems":[{"id":"ITEM-1","itemData":{"DOI":"http://dx.doi.org/10.1016/0168-7336(87)80089-X","ISSN":"0168-7336","abstract":"The thermal decomposition of nickel nitrate has been followed by isothermal and non-isothermal thermogravimetry. The anhydrous salt was prepared by dehydrating the corresponding hexahydrate “in situ” at 150 °C.  We believe that the above reaction takes place in a single step: Ni(NO3)2 → NiO + 2NO2 + 12O2  It has been shown that this transformation obeys the Avrami-Erofeev law with an exponent n = 2 and an activation energy close to 84 ± 3 kJ mol−1. These results can be interpreted by a reaction mechanism that involves instantaneous nucleation on the surface of the crystal with subsequent growth of the nuclei into particles.","author":[{"dropping-particle":"","family":"Criado","given":"J M","non-dropping-particle":"","parse-names":false,"suffix":""},{"dropping-particle":"","family":"Ortega","given":"A","non-dropping-particle":"","parse-names":false,"suffix":""},{"dropping-particle":"","family":"Real","given":"C","non-dropping-particle":"","parse-names":false,"suffix":""}],"container-title":"Reactivity of Solids","id":"ITEM-1","issue":"1–2","issued":{"date-parts":[["1987","10"]]},"page":"93-103","title":"Mechanism of the thermal decomposition of anhydrous nickel nitrate","type":"article-journal","volume":"4"},"uris":["http://www.mendeley.com/documents/?uuid=a5727266-a59d-4fe7-a703-cd85b1b0f63e"]}],"mendeley":{"formattedCitation":"[182]","plainTextFormattedCitation":"[182]","previouslyFormattedCitation":"[182]"},"properties":{"noteIndex":0},"schema":"https://github.com/citation-style-language/schema/raw/master/csl-citation.json"}</w:instrText>
      </w:r>
      <w:r>
        <w:fldChar w:fldCharType="separate"/>
      </w:r>
      <w:r w:rsidR="006C586A" w:rsidRPr="006C586A">
        <w:rPr>
          <w:noProof/>
        </w:rPr>
        <w:t>[182]</w:t>
      </w:r>
      <w:r>
        <w:fldChar w:fldCharType="end"/>
      </w:r>
      <w:r>
        <w:t>.</w:t>
      </w:r>
    </w:p>
    <w:p w14:paraId="2D55E1BE" w14:textId="6AA33DA0" w:rsidR="00007F6C" w:rsidRDefault="00007F6C" w:rsidP="004B726A">
      <w:pPr>
        <w:jc w:val="both"/>
      </w:pPr>
      <w:r w:rsidRPr="00D81D4A">
        <w:t>Multiple inv</w:t>
      </w:r>
      <w:r>
        <w:t>estigations detailing the emergence of intermediates in other thermogravimetric analysis routines</w:t>
      </w:r>
      <w:r>
        <w:fldChar w:fldCharType="begin" w:fldLock="1"/>
      </w:r>
      <w:r w:rsidR="00D80A5D">
        <w:instrText>ADDIN CSL_CITATION {"citationItems":[{"id":"ITEM-1","itemData":{"ISBN":"14182874 (ISSN)","abstract":"The thermal decompositions of nickel(II) nitrate hexahydrate and iron(III) nitrate nonahydrate were followed. It was found that the final decomposition products were NiO at 623 K and Fe2O3 at 523 K, respectively. The two salts exhibited only endothermic peaks and a loss in mass until constant mass was attained. The decomposition reactions and the compounds corresponding to each reaction were established. A heating rate of 1 K min-1 revealed several intermediates; higher heating rates shifted the peaks to higher temperatures. The use of an air flow during decomposition shifted the reactions to lower temperatures. The DTA for the mixed salts was found to be an overlap and the TG a summation of the results for the two individual salts. At 773 K, the decomposition products were composed of three phases: NiO, Fe2O3 and NiFe2O4. When these products were heated to 1773 K, only NiFe2O4 was identified by X-ray diffraction.","author":[{"dropping-particle":"","family":"Elmasry","given":"M A A","non-dropping-particle":"","parse-names":false,"suffix":""},{"dropping-particle":"","family":"Gaber","given":"A","non-dropping-particle":"","parse-names":false,"suffix":""},{"dropping-particle":"","family":"Khater","given":"E M H","non-dropping-particle":"","parse-names":false,"suffix":""}],"container-title":"Journal of Thermal Analysis and Calorimetry","id":"ITEM-1","issue":"2","issued":{"date-parts":[["1998"]]},"language":"English","note":"Cited By :38\nExport Date: 20 January 2017\nCODEN: JTACF\nCorrespondence Address: Elmasry, M.A.A.; Metallurgy Department, N. R. C., Atomic Energy Authority, Cairo, Egypt\nReferences: Wendlandt, W.W., (1958) Texas J. Sci., 10, p. 392; Dollimore, D., Gamalen, G.A., Taylor, T.J., (1985) Thermochim. Acta, 86, p. 119; Dollimore, G., Gamalen, G.A., Taylor, T.J., (1986) Thermochim. Acta, 91, p. 287; Criado, J.M., Ortega, A., Pearl, C., (1987) Reactivity of Solids, 4, p. 93; Kalinichenko, I.I., Purtov, A.I., (1966) Russ. J. Inorg. Chem., 11, p. 891; Mu, J., Perlmutter, D.D., (1982) Thermochim. Acta, 56, p. 253; Kingery, W.D., Bowen, H.K., Uhlmann, R.D., (1986) Introduction to Ceramics, , John Wiley &amp;amp; Sons, Inc., New York; Speyer, R.F., (1994) Thermal Analysis of Materials, , Marcel Dekker, Inc; Loehman, R.E., Fitzpartick, L.E., (1993), Butter Worth - Heinmann, a Division of Reed Publishing (USA) IncLevin, L., Robbins, G., McMurdy, (1959) Phase Diagrams for Ceramics, , Ed. by the Am. Ceram. Soc","page":"489-495","title":"Thermal decomposition of Ni(II) and Fe(III) nitrates and their mixture","type":"article-journal","volume":"52"},"uris":["http://www.mendeley.com/documents/?uuid=3093a5fd-482e-4072-8d79-ea7b44db230e"]},{"id":"ITEM-2","itemData":{"DOI":"http://dx.doi.org/10.1016/0168-7336(87)80089-X","ISBN":"0168-7336","abstract":"The thermal decomposition of nickel nitrate has been followed by isothermal and non-isothermal thermogravimetry. The anhydrous salt was prepared by dehydrating the corresponding hexahydrate “in situ” at 150 °C. We believe that the above reaction takes place in a single step: Ni(NO3)2 → NiO + 2NO2 + 12O2 It has been shown that this transformation obeys the Avrami-Erofeev law with an exponent n = 2 and an activation energy close to 84 ± 3 kJ mol−1. These results can be interpreted by a reaction mechanism that involves instantaneous nucleation on the surface of the crystal with subsequent growth of the nuclei into particles.","author":[{"dropping-particle":"","family":"Criado","given":"J M","non-dropping-particle":"","parse-names":false,"suffix":""},{"dropping-particle":"","family":"Ortega","given":"A","non-dropping-particle":"","parse-names":false,"suffix":""},{"dropping-particle":"","family":"Real","given":"C","non-dropping-particle":"","parse-names":false,"suffix":""}],"container-title":"Reactivity of Solids","id":"ITEM-2","issue":"1–2","issued":{"date-parts":[["1987"]]},"page":"93-103","title":"Mechanism of the thermal decomposition of anhydrous nickel nitrate","type":"article-journal","volume":"4"},"uris":["http://www.mendeley.com/documents/?uuid=9e032fa6-18e6-44f8-99b8-3db90b521400"]},{"id":"ITEM-3","itemData":{"DOI":"http://dx.doi.org/10.1016/j.tca.2007.01.031","ISBN":"0040-6031","abstract":"The thermal decomposition of Ni(NO3)2·6H2O (1), Ca(NO3)2·4H2O (2) and nitryl/nitrosyl nitrato nickelate(II), NO2/NO[Ni(NO3)3] (3), was investigated by thermogravimetric measurements with quasi-isothermal conditions and compared to Co(NO3)2·6H2O. The respective decomposition processes of 1 and 2 differ from each other showing that at one hand anhydrous Ca(NO3)2 was obtained whereas anhydrous nickel dinitrate has not be formed due to redox and condensation reactions. Instead basic nickel compounds have been formed. In reducing atmosphere nickel metal can be obtained. Anhydrous Ni(NO3)2 results by the thermal degradation of nitryl/nitrosyl nitrato nickelate. FT-Raman spectra have been of help in the judgement of the decomposition processes.","author":[{"dropping-particle":"","family":"Brockner","given":"Wolfgang","non-dropping-particle":"","parse-names":false,"suffix":""},{"dropping-particle":"","family":"Ehrhardt","given":"Claus","non-dropping-particle":"","parse-names":false,"suffix":""},{"dropping-particle":"","family":"Gjikaj","given":"Mimoza","non-dropping-particle":"","parse-names":false,"suffix":""}],"container-title":"Thermochimica Acta","id":"ITEM-3","issue":"1","issued":{"date-parts":[["2007"]]},"page":"64-68","title":"Thermal decomposition of nickel nitrate hexahydrate, Ni(NO3)2·6H2O, in comparison to Co(NO3)2·6H2O and Ca(NO3)2·4H2O","type":"article-journal","volume":"456"},"uris":["http://www.mendeley.com/documents/?uuid=8204a335-c8d3-4e23-b748-2d6f441a07f8"]},{"id":"ITEM-4","itemData":{"DOI":"10.1016/S0167-2991(10)75009-6","ISBN":"01672991 (ISSN); 9780444536013 (ISBN)","abstract":"In previous communications we have shown that the decomposition of nickel and cobalt nitrate in a flow of NO/He prevented agglomeration, yielding high nickel and cobalt oxide dispersions. We now report on the impact of NO on the decomposition of first row transition metal nitrates, i.e. Sc, Mn, Fe, Co, Ni, Cu, Zn, using thermal gravimetric analysis and mass spectrometry. It was found that NO decreased the temperature of decomposition significantly for all investigated metal nitrates. For cobalt, nickel and copper nitrate it was verified that decomposition in the presence of NO yielded high dispersions and narrow particle size distributions, whereas in Ar agglomeration resulted in broad particle size distributions. The beneficial effect of NO on the dispersion of Co, Ni and Cu coincided with a large difference in the decomposition profiles of these metal nitrates compared to that in Ar. It was found that NO induced fast and complete hydrolysis to highly dispersed cobalt, nickel and copper hydroxynitrates which decomposed to yield highly dispersed metal oxides. This is in contrast to literature reports that ascribe loss in dispersion to the formation of metal hydroxynitrate intermediates. © 2010 Elsevier B.V.","author":[{"dropping-particle":"","family":"Wolters","given":"M","non-dropping-particle":"","parse-names":false,"suffix":""},{"dropping-particle":"","family":"Contreras Andrade","given":"I C A","non-dropping-particle":"","parse-names":false,"suffix":""},{"dropping-particle":"","family":"Munnik","given":"P","non-dropping-particle":"","parse-names":false,"suffix":""},{"dropping-particle":"","family":"Bitter","given":"J H","non-dropping-particle":"","parse-names":false,"suffix":""},{"dropping-particle":"","family":"Jongh","given":"P E","non-dropping-particle":"De","parse-names":false,"suffix":""},{"dropping-particle":"","family":"Jong","given":"K P","non-dropping-particle":"De","parse-names":false,"suffix":""}],"container-title":"10th International Symposium on Scientific Bases for the Preparation of Heterogeneous Catalysts","id":"ITEM-4","issued":{"date-parts":[["2010"]]},"language":"English","note":"Conference code: 83704\nCited By :6\nExport Date: 20 January 2017\nCODEN: SSCTD\nCorrespondence Address: Wolters, M.; Inorganic Chemistry and Catalysis, Debye Institute for Nanomaterials Science, Utrecht University, Sorbonnelaan 16, 3584 CA Utrecht, Netherlands\nReferences: Paulik, F., Paulik, J., Arnold, M., (1987) Thermochimica Acta, 121, p. 137; Elmasry, M.A.A., Gaber, A., Khater, E.M.H., (1998) J. Therm. Anal. Calorim., 52, p. 489; Estelle, J., Salagre, P., Cesteros, Y., Serra, M., Medina, F., Sueiras, J.E., (2003) Solid State Ionics, 156, p. 233; Llewellyn, P.L., Chevrota, V., Ragaib, J., Cerclier, O., Estienne, J., Rouquerol, F., (1997) Solid State Ionics, 101-103, p. 1293; Toupance, T., Kermarec, M., Louis, C., (2000) J. Phys. Chem. B, 104, p. 965; Chouillet, C., Villain, F., Kermarec, M., Lauron-Pernot, H., Louis, C., (2003) J. Phys. Chem. B, 107, p. 3565; Catillon-Mucherie, S., Ammari, F., Krafft, J.M., Lauron-Pernot, H., Touroude, R., Louis, C., (2007) J. Phys. Chem. C, 111, p. 11619; Van De Loosdrecht, J., Barradas, S., Caricato, E.A., Ngwenya, N.G., Nkwanyana, P.S., Rawat, M.A.S., Sigwebela, B.H., Visagie, J.L., (2003) Top. Catal., 26, p. 121; Sietsma, J.R.A., Meeldijk, J.D., Versluijs-Helder, M., Broersma, A., Van Dillen, A.J., De Jongh, P.E., De Jong, K.P., (2008) Chem. Mater., 20, p. 2921; Sietsma, J.R.A., Meeldijk, J.D., Den Breejen, J.P., Versluijs-Helder, M., Van Dillen, A.J., De Jongh, P.E., De Jong, K.P., (2007) Angew. Chem. Int. Ed., 46, p. 4547; Sietsma, J.R.A., Friedrich, H., Broersma, A., Versluijs-Helder, M., Jos Van Dillen, A., De Jongh, P.E., De Jong, K.P., (2008) J. Catal., 260, p. 227; Nissinena, T., Leskel, M., Gasika, M., Lamminen, J., (2005) Thermochimica Acta, 427, p. 155; Wieczorek-Ciurowa, K., Kozak, A.J., (1999) J. Therm. Anal. Calorim., 58, p. 647; Yuvaraj, S., Fan-Yuan, L., Tsong-Huei, C., Chuin-Tih, Y., (2003) J. Phys. Chem. B, 107, p. 1044; Malecka, B., Gajerski, R., Malecki, A., Wierzbicka, M., Olszewski, P., (2003) Thermochimica Acta, 404, p. 125; Cseri, T., Békássy, Kenessey, G., Liptay, G., Figueras, F., (1996) Thermochimica Acta, 288, p. 137; Ettarh, C., Galwey, A.K., (1996) Thermochim. Acta, 288, p. 203; Dickens, P.G., Sutcliffe, M.B., (1964) Trans. Faraday. Soc., 60, p. 1272; Brockner, W., Ehrhardt, C., Gjikaj, M., (2007) Thermochim. Acta, 456, p. 64; Malecki, A., Gajerski, R., Labus, S., Prochowska-Klisch, B., Wojciechowski, K.T., (2000) J. Therm. Anal., 60, p. 17","page":"69-76","publisher-place":"Louvain-la-Neuve","title":"Impact of NO on the decomposition of supported metal nitrate catalyst precursors and the final metal oxide dispersion","type":"article","volume":"175"},"uris":["http://www.mendeley.com/documents/?uuid=60616314-3fad-4af3-ad66-c5b4121f79e1"]},{"id":"ITEM-5","itemData":{"DOI":"10.1021/jp026961c","ISBN":"1520-6106","ISSN":"10895647","abstract":"The decomposition of metal nitrates in air has been systematically studied by thermogravimetry. Observed temperatures of decomposition (Td) have been inversely correlated to the charge densities (CD) of the metal cations. Due to a back-donation of electronic cloud from the nitrate to an unfilled d-orbital of transition and noble metals, their nitrates generally exhibited lower Tds(&lt;700 K) than those of the base metals (&gt;850 K). The thermal stability/reducibility of metal nitrates in an hydrogen atmosphere has also been studied by temperature-programmed reduction (TPR). Observed reduction temperatures (Tr) for nitrates of the base metals and the noble metals are lower than their Td, i.e., Tr &lt; Td. The lowering of Tr might be attributed to a spillover of hydrogen to a nitrate moiety through heterolytic (ionic) and homolytic (atomic) dissociation of hydrogen on the respective base and noble metals. The stoichiometry of hydrogen consumption, quantitatively measured from TPR, varied with the group of metal cations. According to the stoichiometry, the end product in the TPR reduction was NH3 (NH2/NNO3-</w:instrText>
      </w:r>
      <w:r w:rsidR="00D80A5D">
        <w:rPr>
          <w:rFonts w:ascii="Cambria Math" w:hAnsi="Cambria Math" w:cs="Cambria Math"/>
        </w:rPr>
        <w:instrText>∼</w:instrText>
      </w:r>
      <w:r w:rsidR="00D80A5D">
        <w:instrText>4.4) and N2 (NH2/NNO3-</w:instrText>
      </w:r>
      <w:r w:rsidR="00D80A5D">
        <w:rPr>
          <w:rFonts w:ascii="Cambria Math" w:hAnsi="Cambria Math" w:cs="Cambria Math"/>
        </w:rPr>
        <w:instrText>∼</w:instrText>
      </w:r>
      <w:r w:rsidR="00D80A5D">
        <w:instrText xml:space="preserve">2.4) for nitrates of the noble and base metals, respectively. The Trs for nitrates of the transition metals are often </w:instrText>
      </w:r>
      <w:r w:rsidR="00D80A5D">
        <w:rPr>
          <w:rFonts w:ascii="Cambria Math" w:hAnsi="Cambria Math" w:cs="Cambria Math"/>
        </w:rPr>
        <w:instrText>∼</w:instrText>
      </w:r>
      <w:r w:rsidR="00D80A5D">
        <w:instrText>20 K higher than their Tds, and the ratio NH2/NNO3- varies widely between 0.7 and 3.2. Their reduction may be triggered by thermal decomposition.","author":[{"dropping-particle":"","family":"Yuvaraj","given":"Shanmugam","non-dropping-particle":"","parse-names":false,"suffix":""},{"dropping-particle":"","family":"Lin","given":"Fan Yuan","non-dropping-particle":"","parse-names":false,"suffix":""},{"dropping-particle":"","family":"Chang","given":"Tsong Huei","non-dropping-particle":"","parse-names":false,"suffix":""},{"dropping-particle":"","family":"Yeh","given":"Chuin Tih","non-dropping-particle":"","parse-names":false,"suffix":""}],"container-title":"Journal of Physical Chemistry B","id":"ITEM-5","issue":"4","issued":{"date-parts":[["2003"]]},"page":"1044-1047","title":"Thermal decomposition of metal nitrates in air and hydrogen environments","type":"article-journal","volume":"107"},"uris":["http://www.mendeley.com/documents/?uuid=fb347d9e-90b9-44fd-ae19-55c298520953"]},{"id":"ITEM-6","itemData":{"DOI":"http://www.nature.com/nmat/journal/v12/n1/abs/nmat3471.html#supplementary-information","ISBN":"1476-1122","author":[{"dropping-particle":"","family":"Prieto","given":"Gonzalo","non-dropping-particle":"","parse-names":false,"suffix":""},{"dropping-particle":"","family":"Zečević","given":"Jovana","non-dropping-particle":"","parse-names":false,"suffix":""},{"dropping-particle":"","family":"Friedrich","given":"Heiner","non-dropping-particle":"","parse-names":false,"suffix":""},{"dropping-particle":"","family":"Jong","given":"Krijn P","non-dropping-particle":"de","parse-names":false,"suffix":""},{"dropping-particle":"","family":"Jongh","given":"Petra E","non-dropping-particle":"de","parse-names":false,"suffix":""}],"container-title":"Nat Mater","id":"ITEM-6","issue":"1","issued":{"date-parts":[["2013"]]},"note":"10.1038/nmat3471","page":"34-39","publisher":"Nature Publishing Group","title":"Towards stable catalysts by controlling collective properties of supported metal nanoparticles","type":"article-journal","volume":"12"},"uris":["http://www.mendeley.com/documents/?uuid=ccd3f5c7-4c0b-4a9c-ba4d-0cdbb110858c"]},{"id":"ITEM-7","itemData":{"DOI":"10.1016/0021-9517(76)90054-3","ISBN":"00219517 (ISSN)","abstract":"A study of the chemistry involved in preparation, pretreatment, and reduction of Ni Al2O3 catalysts was carried out using hydrogen chemisorption, thermal gravimetric analysis, and chromatographic analysis. Data showing effects on nickel surface area of calcination, heating rate during reduction, nickel loading, and passivation are presented and discussed. The results indicate that controlled decomposition of alumina-supported nickel nitrate in hydrogen atmosphere (without prior calcination) tends to maximize nickel surface area, dispersion, and reduction to nickel metal. Nickel surface area and the fraction of nickel reduced to the metallic state both increase as the hydrogen space velocity during reduction is increased. Upon increasing the reduction temperature from 300 to 500 °C, the percentage reduction to nickel metal is increased from 40 to 100% whereas nickel surface area changes relatively little. © 1976.","author":[{"dropping-particle":"","family":"Bartholomew","given":"C H","non-dropping-particle":"","parse-names":false,"suffix":""},{"dropping-particle":"","family":"Farrauto","given":"R J","non-dropping-particle":"","parse-names":false,"suffix":""}],"container-title":"Journal of Catalysis","id":"ITEM-7","issue":"1","issued":{"date-parts":[["1976"]]},"language":"English","note":"Cited By :265\nExport Date: 8 February 2017\nCODEN: JCTLA\nCorrespondence Address: Bartholomew, C.H.; Department of Chemical Engineering Science, Brigham Young University, Provo, UT 84602, United States\nReferences: Reinen, Selwood, (1963) J. Catal., 2, p. 109; Sieg, Constabaris, Linquist, (1963) Amer. Chem. Soc. Meeting, , New York; Levinson, (1967) Preprints, p. 47. , Division of Petroleum Chemistry, Amer. Chem. Soc, Chicago, September; Bicek, Kelly, (1967) Preprints, p. 57. , Division of Petroleum Chemistry, Amer. Chem. Soc, Chicago, September; Beuther, Larson, (1965) Ind. Eng. Chem. Proc. Design Develop., 4, p. 177; Swift, Lutinski, Tobin, (1966) J. Catal., 5, p. 285; Holm, Clark, (1968) J. Catal., 11, p. 305; Eischens, (1974) Proceedings of the Battelle Conference on Surface Chemistry, , Gstaad, Switzerland; Dzis'ko, Noskova, Borisova, Bolgova, Karakchiev, (1975) Kinet. Catal., 15, p. 667; Hill, Selwood, (1949) J. Amer. Chem. Soc., 71, p. 2522; Martin, Ceaphalan, Montgolfier, (1973) J. Chim. Phys., 70, p. 1422; Farrauto, (1974) AIChE Symp. Ser., 70, p. 9; Farrauto, (1975) Chem. Engr. Prog., 71, p. 37. , published in short form in; Yates, Taylor, Sinfelt, (1964) J. Amer. Chem. Soc., 86, p. 2996; Bartholomew, Boudart, (1972) J. Catal., 25, p. 173; Pattison, Keeley, Maynor, (1960) J. Chem. Eng. Data, 5, pp. 433-434; Branson, Kinetics and Mechanism of the Reaction Between Zinc Oxide and Aluminum Oxide (1965) Journal of the American Ceramic Society, 48, p. 591; Swift, Lutinski, Kehl, (1965) J. Phys. Chem., 69, p. 3268; Leech, III, Campbell, (1974) ACS Division INDE, 167th National Meeting of the American Chemical Society, , Los Angeles, California; Andrew, (1976) Preparation of Catalysts, pp. 429-444. , B. Delmon, P.A. Jacobs, G. Poncelet, Elsevier, Amsterdam; Anderson, Jr., Conn, Brandenberger, (1970) J. Catal., 16, p. 326; Remey, (1956) Treatise on Inorganic Chemistry, 2, p. 310. , Elsevier, Amsterdam; Heinicke, (1963) Chem. Tech., 15, p. 197; Bartholomew, (1975) Ind. Eng. Chem. Prod. Res. Develop., 14, p. 29","page":"41-53","title":"Chemistry of nickel-alumina catalysts","type":"article-journal","volume":"45"},"uris":["http://www.mendeley.com/documents/?uuid=067872e0-572f-4652-9032-fa60ba7d4c5f"]}],"mendeley":{"formattedCitation":"[165], [183], [190]–[194]","plainTextFormattedCitation":"[165], [183], [190]–[194]","previouslyFormattedCitation":"[165], [183], [190]–[194]"},"properties":{"noteIndex":0},"schema":"https://github.com/citation-style-language/schema/raw/master/csl-citation.json"}</w:instrText>
      </w:r>
      <w:r>
        <w:fldChar w:fldCharType="separate"/>
      </w:r>
      <w:r w:rsidR="006C586A" w:rsidRPr="006C586A">
        <w:rPr>
          <w:noProof/>
        </w:rPr>
        <w:t>[165], [183], [190]–[194]</w:t>
      </w:r>
      <w:r>
        <w:fldChar w:fldCharType="end"/>
      </w:r>
      <w:r>
        <w:t xml:space="preserve">. </w:t>
      </w:r>
      <w:proofErr w:type="spellStart"/>
      <w:r>
        <w:rPr>
          <w:i/>
          <w:iCs/>
        </w:rPr>
        <w:t>Brockner</w:t>
      </w:r>
      <w:proofErr w:type="spellEnd"/>
      <w:r>
        <w:t xml:space="preserve"> compared the thermal decomposition of Ni(NO</w:t>
      </w:r>
      <w:r>
        <w:rPr>
          <w:vertAlign w:val="subscript"/>
        </w:rPr>
        <w:t>3</w:t>
      </w:r>
      <w:r>
        <w:t>)</w:t>
      </w:r>
      <w:r>
        <w:rPr>
          <w:vertAlign w:val="subscript"/>
        </w:rPr>
        <w:t>2</w:t>
      </w:r>
      <w:r>
        <w:t>.6H</w:t>
      </w:r>
      <w:r>
        <w:rPr>
          <w:vertAlign w:val="subscript"/>
        </w:rPr>
        <w:t>2</w:t>
      </w:r>
      <w:r>
        <w:t>O against cobalt nitrate, Co(NO</w:t>
      </w:r>
      <w:r>
        <w:rPr>
          <w:vertAlign w:val="subscript"/>
        </w:rPr>
        <w:t>3</w:t>
      </w:r>
      <w:r>
        <w:t>)</w:t>
      </w:r>
      <w:r>
        <w:rPr>
          <w:vertAlign w:val="subscript"/>
        </w:rPr>
        <w:t>2</w:t>
      </w:r>
      <w:r>
        <w:t>.6H</w:t>
      </w:r>
      <w:r>
        <w:rPr>
          <w:vertAlign w:val="subscript"/>
        </w:rPr>
        <w:t>2</w:t>
      </w:r>
      <w:r>
        <w:t xml:space="preserve">O </w:t>
      </w:r>
      <w:r>
        <w:fldChar w:fldCharType="begin" w:fldLock="1"/>
      </w:r>
      <w:r w:rsidR="00D80A5D">
        <w:instrText>ADDIN CSL_CITATION {"citationItems":[{"id":"ITEM-1","itemData":{"DOI":"http://dx.doi.org/10.1016/j.tca.2007.01.031","ISSN":"0040-6031","abstract":"The thermal decomposition of Ni(NO3)2·6H2O (1), Ca(NO3)2·4H2O (2) and nitryl/nitrosyl nitrato nickelate(II), NO2/NO[Ni(NO3)3] (3), was investigated by thermogravimetric measurements with quasi-isothermal conditions and compared to Co(NO3)2·6H2O. The respective decomposition processes of 1 and 2 differ from each other showing that at one hand anhydrous Ca(NO3)2 was obtained whereas anhydrous nickel dinitrate has not be formed due to redox and condensation reactions. Instead basic nickel compounds have been formed. In reducing atmosphere nickel metal can be obtained. Anhydrous Ni(NO3)2 results by the thermal degradation of nitryl/nitrosyl nitrato nickelate. FT-Raman spectra have been of help in the judgement of the decomposition processes.","author":[{"dropping-particle":"","family":"Brockner","given":"Wolfgang","non-dropping-particle":"","parse-names":false,"suffix":""},{"dropping-particle":"","family":"Ehrhardt","given":"Claus","non-dropping-particle":"","parse-names":false,"suffix":""},{"dropping-particle":"","family":"Gjikaj","given":"Mimoza","non-dropping-particle":"","parse-names":false,"suffix":""}],"container-title":"Thermochimica Acta","id":"ITEM-1","issue":"1","issued":{"date-parts":[["2007","5","1"]]},"page":"64-68","title":"Thermal decomposition of nickel nitrate hexahydrate, Ni(NO3)2·6H2O, in comparison to Co(NO3)2·6H2O and Ca(NO3)2·4H2O","type":"article-journal","volume":"456"},"uris":["http://www.mendeley.com/documents/?uuid=acee0b76-733b-42d3-9e06-c60fab963b67"]}],"mendeley":{"formattedCitation":"[195]","plainTextFormattedCitation":"[195]","previouslyFormattedCitation":"[195]"},"properties":{"noteIndex":0},"schema":"https://github.com/citation-style-language/schema/raw/master/csl-citation.json"}</w:instrText>
      </w:r>
      <w:r>
        <w:fldChar w:fldCharType="separate"/>
      </w:r>
      <w:r w:rsidR="006C586A" w:rsidRPr="006C586A">
        <w:rPr>
          <w:noProof/>
        </w:rPr>
        <w:t>[195]</w:t>
      </w:r>
      <w:r>
        <w:fldChar w:fldCharType="end"/>
      </w:r>
      <w:r>
        <w:t xml:space="preserve">. This study had direct comparability with the </w:t>
      </w:r>
      <w:proofErr w:type="spellStart"/>
      <w:r>
        <w:t>Yuvaraj</w:t>
      </w:r>
      <w:proofErr w:type="spellEnd"/>
      <w:r>
        <w:t xml:space="preserve"> paper as both used similar temperature ranges and identical reduction stage conditions (10% H</w:t>
      </w:r>
      <w:r>
        <w:rPr>
          <w:vertAlign w:val="subscript"/>
        </w:rPr>
        <w:t>2</w:t>
      </w:r>
      <w:r>
        <w:t>/N</w:t>
      </w:r>
      <w:r>
        <w:rPr>
          <w:vertAlign w:val="subscript"/>
        </w:rPr>
        <w:t>2</w:t>
      </w:r>
      <w:r>
        <w:t>)</w:t>
      </w:r>
      <w:r>
        <w:fldChar w:fldCharType="begin" w:fldLock="1"/>
      </w:r>
      <w:r w:rsidR="00D80A5D">
        <w:instrText>ADDIN CSL_CITATION {"citationItems":[{"id":"ITEM-1","itemData":{"DOI":"10.1021/jp026961c","ISBN":"1520-6106","ISSN":"10895647","abstract":"The decomposition of metal nitrates in air has been systematically studied by thermogravimetry. Observed temperatures of decomposition (Td) have been inversely correlated to the charge densities (CD) of the metal cations. Due to a back-donation of electronic cloud from the nitrate to an unfilled d-orbital of transition and noble metals, their nitrates generally exhibited lower Tds(&lt;700 K) than those of the base metals (&gt;850 K). The thermal stability/reducibility of metal nitrates in an hydrogen atmosphere has also been studied by temperature-programmed reduction (TPR). Observed reduction temperatures (Tr) for nitrates of the base metals and the noble metals are lower than their Td, i.e., Tr &lt; Td. The lowering of Tr might be attributed to a spillover of hydrogen to a nitrate moiety through heterolytic (ionic) and homolytic (atomic) dissociation of hydrogen on the respective base and noble metals. The stoichiometry of hydrogen consumption, quantitatively measured from TPR, varied with the group of metal cations. According to the stoichiometry, the end product in the TPR reduction was NH3 (NH2/NNO3-</w:instrText>
      </w:r>
      <w:r w:rsidR="00D80A5D">
        <w:rPr>
          <w:rFonts w:ascii="Cambria Math" w:hAnsi="Cambria Math" w:cs="Cambria Math"/>
        </w:rPr>
        <w:instrText>∼</w:instrText>
      </w:r>
      <w:r w:rsidR="00D80A5D">
        <w:instrText>4.4) and N2 (NH2/NNO3-</w:instrText>
      </w:r>
      <w:r w:rsidR="00D80A5D">
        <w:rPr>
          <w:rFonts w:ascii="Cambria Math" w:hAnsi="Cambria Math" w:cs="Cambria Math"/>
        </w:rPr>
        <w:instrText>∼</w:instrText>
      </w:r>
      <w:r w:rsidR="00D80A5D">
        <w:instrText xml:space="preserve">2.4) for nitrates of the noble and base metals, respectively. The Trs for nitrates of the transition metals are often </w:instrText>
      </w:r>
      <w:r w:rsidR="00D80A5D">
        <w:rPr>
          <w:rFonts w:ascii="Cambria Math" w:hAnsi="Cambria Math" w:cs="Cambria Math"/>
        </w:rPr>
        <w:instrText>∼</w:instrText>
      </w:r>
      <w:r w:rsidR="00D80A5D">
        <w:instrText>20 K higher than their Tds, and the ratio NH2/NNO3- varies widely between 0.7 and 3.2. Their reduction may be triggered by thermal decomposition.","author":[{"dropping-particle":"","family":"Yuvaraj","given":"Shanmugam","non-dropping-particle":"","parse-names":false,"suffix":""},{"dropping-particle":"","family":"Lin","given":"Fan Yuan","non-dropping-particle":"","parse-names":false,"suffix":""},{"dropping-particle":"","family":"Chang","given":"Tsong Huei","non-dropping-particle":"","parse-names":false,"suffix":""},{"dropping-particle":"","family":"Yeh","given":"Chuin Tih","non-dropping-particle":"","parse-names":false,"suffix":""}],"container-title":"Journal of Physical Chemistry B","id":"ITEM-1","issue":"4","issued":{"date-parts":[["2003"]]},"page":"1044-1047","title":"Thermal decomposition of metal nitrates in air and hydrogen environments","type":"article-journal","volume":"107"},"uris":["http://www.mendeley.com/documents/?uuid=fb347d9e-90b9-44fd-ae19-55c298520953"]}],"mendeley":{"formattedCitation":"[183]","plainTextFormattedCitation":"[183]","previouslyFormattedCitation":"[183]"},"properties":{"noteIndex":0},"schema":"https://github.com/citation-style-language/schema/raw/master/csl-citation.json"}</w:instrText>
      </w:r>
      <w:r>
        <w:fldChar w:fldCharType="separate"/>
      </w:r>
      <w:r w:rsidR="006C586A" w:rsidRPr="006C586A">
        <w:rPr>
          <w:noProof/>
        </w:rPr>
        <w:t>[183]</w:t>
      </w:r>
      <w:r>
        <w:fldChar w:fldCharType="end"/>
      </w:r>
      <w:r>
        <w:t xml:space="preserve">. </w:t>
      </w:r>
    </w:p>
    <w:p w14:paraId="52C1EE85" w14:textId="755E21D2" w:rsidR="00007F6C" w:rsidRDefault="00007F6C" w:rsidP="004B726A">
      <w:pPr>
        <w:jc w:val="both"/>
      </w:pPr>
      <w:r>
        <w:t xml:space="preserve">The </w:t>
      </w:r>
      <w:proofErr w:type="spellStart"/>
      <w:r>
        <w:rPr>
          <w:i/>
          <w:iCs/>
        </w:rPr>
        <w:t>Brockner</w:t>
      </w:r>
      <w:proofErr w:type="spellEnd"/>
      <w:r>
        <w:rPr>
          <w:i/>
          <w:iCs/>
        </w:rPr>
        <w:t xml:space="preserve"> </w:t>
      </w:r>
      <w:r>
        <w:t>methodology matches up better than its predecessor, for one major reason: the lower TGA heating rate used in both studies</w:t>
      </w:r>
      <w:r>
        <w:fldChar w:fldCharType="begin" w:fldLock="1"/>
      </w:r>
      <w:r w:rsidR="00D80A5D">
        <w:instrText>ADDIN CSL_CITATION {"citationItems":[{"id":"ITEM-1","itemData":{"DOI":"http://dx.doi.org/10.1016/j.tca.2007.01.031","ISSN":"0040-6031","abstract":"The thermal decomposition of Ni(NO3)2·6H2O (1), Ca(NO3)2·4H2O (2) and nitryl/nitrosyl nitrato nickelate(II), NO2/NO[Ni(NO3)3] (3), was investigated by thermogravimetric measurements with quasi-isothermal conditions and compared to Co(NO3)2·6H2O. The respective decomposition processes of 1 and 2 differ from each other showing that at one hand anhydrous Ca(NO3)2 was obtained whereas anhydrous nickel dinitrate has not be formed due to redox and condensation reactions. Instead basic nickel compounds have been formed. In reducing atmosphere nickel metal can be obtained. Anhydrous Ni(NO3)2 results by the thermal degradation of nitryl/nitrosyl nitrato nickelate. FT-Raman spectra have been of help in the judgement of the decomposition processes.","author":[{"dropping-particle":"","family":"Brockner","given":"Wolfgang","non-dropping-particle":"","parse-names":false,"suffix":""},{"dropping-particle":"","family":"Ehrhardt","given":"Claus","non-dropping-particle":"","parse-names":false,"suffix":""},{"dropping-particle":"","family":"Gjikaj","given":"Mimoza","non-dropping-particle":"","parse-names":false,"suffix":""}],"container-title":"Thermochimica Acta","id":"ITEM-1","issue":"1","issued":{"date-parts":[["2007","5","1"]]},"page":"64-68","title":"Thermal decomposition of nickel nitrate hexahydrate, Ni(NO3)2·6H2O, in comparison to Co(NO3)2·6H2O and Ca(NO3)2·4H2O","type":"article-journal","volume":"456"},"uris":["http://www.mendeley.com/documents/?uuid=acee0b76-733b-42d3-9e06-c60fab963b67"]}],"mendeley":{"formattedCitation":"[195]","plainTextFormattedCitation":"[195]","previouslyFormattedCitation":"[195]"},"properties":{"noteIndex":0},"schema":"https://github.com/citation-style-language/schema/raw/master/csl-citation.json"}</w:instrText>
      </w:r>
      <w:r>
        <w:fldChar w:fldCharType="separate"/>
      </w:r>
      <w:r w:rsidR="006C586A" w:rsidRPr="006C586A">
        <w:rPr>
          <w:noProof/>
        </w:rPr>
        <w:t>[195]</w:t>
      </w:r>
      <w:r>
        <w:fldChar w:fldCharType="end"/>
      </w:r>
      <w:r>
        <w:t xml:space="preserve">. The heating rate used by </w:t>
      </w:r>
      <w:proofErr w:type="spellStart"/>
      <w:r w:rsidRPr="00F166FF">
        <w:rPr>
          <w:i/>
          <w:iCs/>
        </w:rPr>
        <w:t>Yuvaraj</w:t>
      </w:r>
      <w:proofErr w:type="spellEnd"/>
      <w:r w:rsidRPr="00F166FF">
        <w:rPr>
          <w:i/>
          <w:iCs/>
        </w:rPr>
        <w:t xml:space="preserve"> </w:t>
      </w:r>
      <w:r>
        <w:t>in 2003, was 10 Kmin</w:t>
      </w:r>
      <w:r>
        <w:rPr>
          <w:vertAlign w:val="superscript"/>
        </w:rPr>
        <w:t>-1</w:t>
      </w:r>
      <w:r>
        <w:t xml:space="preserve"> when heating the sample to temperatures exceeding 1000</w:t>
      </w:r>
      <w:r w:rsidR="00B62A5A">
        <w:t xml:space="preserve"> </w:t>
      </w:r>
      <w:r>
        <w:t>°C</w:t>
      </w:r>
      <w:r w:rsidR="00B14A0F">
        <w:t xml:space="preserve"> </w:t>
      </w:r>
      <w:r>
        <w:fldChar w:fldCharType="begin" w:fldLock="1"/>
      </w:r>
      <w:r w:rsidR="00D80A5D">
        <w:instrText>ADDIN CSL_CITATION {"citationItems":[{"id":"ITEM-1","itemData":{"DOI":"10.1021/jp026961c","ISBN":"1520-6106","ISSN":"10895647","abstract":"The decomposition of metal nitrates in air has been systematically studied by thermogravimetry. Observed temperatures of decomposition (Td) have been inversely correlated to the charge densities (CD) of the metal cations. Due to a back-donation of electronic cloud from the nitrate to an unfilled d-orbital of transition and noble metals, their nitrates generally exhibited lower Tds(&lt;700 K) than those of the base metals (&gt;850 K). The thermal stability/reducibility of metal nitrates in an hydrogen atmosphere has also been studied by temperature-programmed reduction (TPR). Observed reduction temperatures (Tr) for nitrates of the base metals and the noble metals are lower than their Td, i.e., Tr &lt; Td. The lowering of Tr might be attributed to a spillover of hydrogen to a nitrate moiety through heterolytic (ionic) and homolytic (atomic) dissociation of hydrogen on the respective base and noble metals. The stoichiometry of hydrogen consumption, quantitatively measured from TPR, varied with the group of metal cations. According to the stoichiometry, the end product in the TPR reduction was NH3 (NH2/NNO3-</w:instrText>
      </w:r>
      <w:r w:rsidR="00D80A5D">
        <w:rPr>
          <w:rFonts w:ascii="Cambria Math" w:hAnsi="Cambria Math" w:cs="Cambria Math"/>
        </w:rPr>
        <w:instrText>∼</w:instrText>
      </w:r>
      <w:r w:rsidR="00D80A5D">
        <w:instrText>4.4) and N2 (NH2/NNO3-</w:instrText>
      </w:r>
      <w:r w:rsidR="00D80A5D">
        <w:rPr>
          <w:rFonts w:ascii="Cambria Math" w:hAnsi="Cambria Math" w:cs="Cambria Math"/>
        </w:rPr>
        <w:instrText>∼</w:instrText>
      </w:r>
      <w:r w:rsidR="00D80A5D">
        <w:instrText xml:space="preserve">2.4) for nitrates of the noble and base metals, respectively. The Trs for nitrates of the transition metals are often </w:instrText>
      </w:r>
      <w:r w:rsidR="00D80A5D">
        <w:rPr>
          <w:rFonts w:ascii="Cambria Math" w:hAnsi="Cambria Math" w:cs="Cambria Math"/>
        </w:rPr>
        <w:instrText>∼</w:instrText>
      </w:r>
      <w:r w:rsidR="00D80A5D">
        <w:instrText>20 K higher than their Tds, and the ratio NH2/NNO3- varies widely between 0.7 and 3.2. Their reduction may be triggered by thermal decomposition.","author":[{"dropping-particle":"","family":"Yuvaraj","given":"Shanmugam","non-dropping-particle":"","parse-names":false,"suffix":""},{"dropping-particle":"","family":"Lin","given":"Fan Yuan","non-dropping-particle":"","parse-names":false,"suffix":""},{"dropping-particle":"","family":"Chang","given":"Tsong Huei","non-dropping-particle":"","parse-names":false,"suffix":""},{"dropping-particle":"","family":"Yeh","given":"Chuin Tih","non-dropping-particle":"","parse-names":false,"suffix":""}],"container-title":"Journal of Physical Chemistry B","id":"ITEM-1","issue":"4","issued":{"date-parts":[["2003"]]},"page":"1044-1047","title":"Thermal decomposition of metal nitrates in air and hydrogen environments","type":"article-journal","volume":"107"},"uris":["http://www.mendeley.com/documents/?uuid=fb347d9e-90b9-44fd-ae19-55c298520953"]}],"mendeley":{"formattedCitation":"[183]","plainTextFormattedCitation":"[183]","previouslyFormattedCitation":"[183]"},"properties":{"noteIndex":0},"schema":"https://github.com/citation-style-language/schema/raw/master/csl-citation.json"}</w:instrText>
      </w:r>
      <w:r>
        <w:fldChar w:fldCharType="separate"/>
      </w:r>
      <w:r w:rsidR="006C586A" w:rsidRPr="006C586A">
        <w:rPr>
          <w:noProof/>
        </w:rPr>
        <w:t>[183]</w:t>
      </w:r>
      <w:r>
        <w:fldChar w:fldCharType="end"/>
      </w:r>
      <w:r>
        <w:t xml:space="preserve">. When placed into context, the </w:t>
      </w:r>
      <w:r>
        <w:lastRenderedPageBreak/>
        <w:t>2007 TGA investigation used a 0.7</w:t>
      </w:r>
      <w:r w:rsidR="00B62A5A">
        <w:t xml:space="preserve"> </w:t>
      </w:r>
      <w:r>
        <w:t>Kmin</w:t>
      </w:r>
      <w:r>
        <w:rPr>
          <w:vertAlign w:val="superscript"/>
        </w:rPr>
        <w:t>-1</w:t>
      </w:r>
      <w:r>
        <w:t xml:space="preserve"> ramp rate which gradually reached a maximum of 500</w:t>
      </w:r>
      <w:r w:rsidR="00B62A5A">
        <w:t xml:space="preserve"> </w:t>
      </w:r>
      <w:r>
        <w:t>°C</w:t>
      </w:r>
      <w:r w:rsidR="00B62A5A">
        <w:t xml:space="preserve"> </w:t>
      </w:r>
      <w:r>
        <w:fldChar w:fldCharType="begin" w:fldLock="1"/>
      </w:r>
      <w:r w:rsidR="00D80A5D">
        <w:instrText>ADDIN CSL_CITATION {"citationItems":[{"id":"ITEM-1","itemData":{"DOI":"http://dx.doi.org/10.1016/j.tca.2007.01.031","ISSN":"0040-6031","abstract":"The thermal decomposition of Ni(NO3)2·6H2O (1), Ca(NO3)2·4H2O (2) and nitryl/nitrosyl nitrato nickelate(II), NO2/NO[Ni(NO3)3] (3), was investigated by thermogravimetric measurements with quasi-isothermal conditions and compared to Co(NO3)2·6H2O. The respective decomposition processes of 1 and 2 differ from each other showing that at one hand anhydrous Ca(NO3)2 was obtained whereas anhydrous nickel dinitrate has not be formed due to redox and condensation reactions. Instead basic nickel compounds have been formed. In reducing atmosphere nickel metal can be obtained. Anhydrous Ni(NO3)2 results by the thermal degradation of nitryl/nitrosyl nitrato nickelate. FT-Raman spectra have been of help in the judgement of the decomposition processes.","author":[{"dropping-particle":"","family":"Brockner","given":"Wolfgang","non-dropping-particle":"","parse-names":false,"suffix":""},{"dropping-particle":"","family":"Ehrhardt","given":"Claus","non-dropping-particle":"","parse-names":false,"suffix":""},{"dropping-particle":"","family":"Gjikaj","given":"Mimoza","non-dropping-particle":"","parse-names":false,"suffix":""}],"container-title":"Thermochimica Acta","id":"ITEM-1","issue":"1","issued":{"date-parts":[["2007","5","1"]]},"page":"64-68","title":"Thermal decomposition of nickel nitrate hexahydrate, Ni(NO3)2·6H2O, in comparison to Co(NO3)2·6H2O and Ca(NO3)2·4H2O","type":"article-journal","volume":"456"},"uris":["http://www.mendeley.com/documents/?uuid=acee0b76-733b-42d3-9e06-c60fab963b67"]}],"mendeley":{"formattedCitation":"[195]","plainTextFormattedCitation":"[195]","previouslyFormattedCitation":"[195]"},"properties":{"noteIndex":0},"schema":"https://github.com/citation-style-language/schema/raw/master/csl-citation.json"}</w:instrText>
      </w:r>
      <w:r>
        <w:fldChar w:fldCharType="separate"/>
      </w:r>
      <w:r w:rsidR="006C586A" w:rsidRPr="006C586A">
        <w:rPr>
          <w:noProof/>
        </w:rPr>
        <w:t>[195]</w:t>
      </w:r>
      <w:r>
        <w:fldChar w:fldCharType="end"/>
      </w:r>
      <w:r>
        <w:t xml:space="preserve">. </w:t>
      </w:r>
    </w:p>
    <w:p w14:paraId="74E83C81" w14:textId="77777777" w:rsidR="00007F6C" w:rsidRDefault="00007F6C" w:rsidP="004B726A">
      <w:pPr>
        <w:keepNext/>
        <w:jc w:val="center"/>
      </w:pPr>
      <w:r>
        <w:rPr>
          <w:noProof/>
          <w:lang w:eastAsia="en-GB"/>
        </w:rPr>
        <w:drawing>
          <wp:inline distT="0" distB="0" distL="0" distR="0" wp14:anchorId="2289EE5D" wp14:editId="76EF2A8C">
            <wp:extent cx="3841750" cy="2821240"/>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srcRect l="19917" t="25049" r="45052" b="29215"/>
                    <a:stretch/>
                  </pic:blipFill>
                  <pic:spPr bwMode="auto">
                    <a:xfrm>
                      <a:off x="0" y="0"/>
                      <a:ext cx="3860663" cy="2835129"/>
                    </a:xfrm>
                    <a:prstGeom prst="rect">
                      <a:avLst/>
                    </a:prstGeom>
                    <a:ln>
                      <a:noFill/>
                    </a:ln>
                    <a:extLst>
                      <a:ext uri="{53640926-AAD7-44D8-BBD7-CCE9431645EC}">
                        <a14:shadowObscured xmlns:a14="http://schemas.microsoft.com/office/drawing/2010/main"/>
                      </a:ext>
                    </a:extLst>
                  </pic:spPr>
                </pic:pic>
              </a:graphicData>
            </a:graphic>
          </wp:inline>
        </w:drawing>
      </w:r>
    </w:p>
    <w:p w14:paraId="0C66190D" w14:textId="08C1210E" w:rsidR="00007F6C" w:rsidRPr="00005972" w:rsidRDefault="00007F6C" w:rsidP="004B726A">
      <w:pPr>
        <w:jc w:val="center"/>
        <w:rPr>
          <w:i/>
          <w:iCs/>
          <w:color w:val="44546A" w:themeColor="text2"/>
          <w:sz w:val="18"/>
          <w:szCs w:val="18"/>
        </w:rPr>
      </w:pPr>
      <w:bookmarkStart w:id="78" w:name="_Ref473893940"/>
      <w:bookmarkStart w:id="79" w:name="_Toc69114920"/>
      <w:r w:rsidRPr="00005972">
        <w:rPr>
          <w:i/>
          <w:iCs/>
          <w:color w:val="44546A" w:themeColor="text2"/>
          <w:sz w:val="18"/>
          <w:szCs w:val="18"/>
        </w:rPr>
        <w:t xml:space="preserve">Figure </w:t>
      </w:r>
      <w:r>
        <w:rPr>
          <w:i/>
          <w:iCs/>
          <w:color w:val="44546A" w:themeColor="text2"/>
          <w:sz w:val="18"/>
          <w:szCs w:val="18"/>
        </w:rPr>
        <w:t>2.</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A402C1">
        <w:rPr>
          <w:i/>
          <w:iCs/>
          <w:noProof/>
          <w:color w:val="44546A" w:themeColor="text2"/>
          <w:sz w:val="18"/>
          <w:szCs w:val="18"/>
        </w:rPr>
        <w:t>8</w:t>
      </w:r>
      <w:r w:rsidR="00285C23">
        <w:rPr>
          <w:i/>
          <w:iCs/>
          <w:color w:val="44546A" w:themeColor="text2"/>
          <w:sz w:val="18"/>
          <w:szCs w:val="18"/>
        </w:rPr>
        <w:fldChar w:fldCharType="end"/>
      </w:r>
      <w:bookmarkEnd w:id="78"/>
      <w:r w:rsidRPr="00005972">
        <w:rPr>
          <w:i/>
          <w:iCs/>
          <w:color w:val="44546A" w:themeColor="text2"/>
          <w:sz w:val="18"/>
          <w:szCs w:val="18"/>
        </w:rPr>
        <w:t>: TGA graph of the percentage mass loss versus temperature for nickel nitrate hexa-hydrate detailing the various steps for the thermal decomposition reaction. The dark line shows the thermal breakdown in a nitrogen atmosphere</w:t>
      </w:r>
      <w:r>
        <w:rPr>
          <w:i/>
          <w:iCs/>
          <w:color w:val="44546A" w:themeColor="text2"/>
          <w:sz w:val="18"/>
          <w:szCs w:val="18"/>
        </w:rPr>
        <w:t xml:space="preserve"> </w:t>
      </w:r>
      <w:r w:rsidRPr="00005972">
        <w:rPr>
          <w:i/>
          <w:iCs/>
          <w:color w:val="44546A" w:themeColor="text2"/>
          <w:sz w:val="18"/>
          <w:szCs w:val="18"/>
        </w:rPr>
        <w:fldChar w:fldCharType="begin" w:fldLock="1"/>
      </w:r>
      <w:r w:rsidR="00D80A5D">
        <w:rPr>
          <w:i/>
          <w:iCs/>
          <w:color w:val="44546A" w:themeColor="text2"/>
          <w:sz w:val="18"/>
          <w:szCs w:val="18"/>
        </w:rPr>
        <w:instrText>ADDIN CSL_CITATION {"citationItems":[{"id":"ITEM-1","itemData":{"DOI":"http://dx.doi.org/10.1016/j.tca.2007.01.031","ISSN":"0040-6031","abstract":"The thermal decomposition of Ni(NO3)2·6H2O (1), Ca(NO3)2·4H2O (2) and nitryl/nitrosyl nitrato nickelate(II), NO2/NO[Ni(NO3)3] (3), was investigated by thermogravimetric measurements with quasi-isothermal conditions and compared to Co(NO3)2·6H2O. The respective decomposition processes of 1 and 2 differ from each other showing that at one hand anhydrous Ca(NO3)2 was obtained whereas anhydrous nickel dinitrate has not be formed due to redox and condensation reactions. Instead basic nickel compounds have been formed. In reducing atmosphere nickel metal can be obtained. Anhydrous Ni(NO3)2 results by the thermal degradation of nitryl/nitrosyl nitrato nickelate. FT-Raman spectra have been of help in the judgement of the decomposition processes.","author":[{"dropping-particle":"","family":"Brockner","given":"Wolfgang","non-dropping-particle":"","parse-names":false,"suffix":""},{"dropping-particle":"","family":"Ehrhardt","given":"Claus","non-dropping-particle":"","parse-names":false,"suffix":""},{"dropping-particle":"","family":"Gjikaj","given":"Mimoza","non-dropping-particle":"","parse-names":false,"suffix":""}],"container-title":"Thermochimica Acta","id":"ITEM-1","issue":"1","issued":{"date-parts":[["2007","5","1"]]},"page":"64-68","title":"Thermal decomposition of nickel nitrate hexahydrate, Ni(NO3)2·6H2O, in comparison to Co(NO3)2·6H2O and Ca(NO3)2·4H2O","type":"article-journal","volume":"456"},"uris":["http://www.mendeley.com/documents/?uuid=acee0b76-733b-42d3-9e06-c60fab963b67"]},{"id":"ITEM-2","itemData":{"DOI":"http://dx.doi.org/10.1016/j.tca.2007.01.031","ISBN":"0040-6031","abstract":"The thermal decomposition of Ni(NO3)2·6H2O (1), Ca(NO3)2·4H2O (2) and nitryl/nitrosyl nitrato nickelate(II), NO2/NO[Ni(NO3)3] (3), was investigated by thermogravimetric measurements with quasi-isothermal conditions and compared to Co(NO3)2·6H2O. The respective decomposition processes of 1 and 2 differ from each other showing that at one hand anhydrous Ca(NO3)2 was obtained whereas anhydrous nickel dinitrate has not be formed due to redox and condensation reactions. Instead basic nickel compounds have been formed. In reducing atmosphere nickel metal can be obtained. Anhydrous Ni(NO3)2 results by the thermal degradation of nitryl/nitrosyl nitrato nickelate. FT-Raman spectra have been of help in the judgement of the decomposition processes.","author":[{"dropping-particle":"","family":"Brockner","given":"Wolfgang","non-dropping-particle":"","parse-names":false,"suffix":""},{"dropping-particle":"","family":"Ehrhardt","given":"Claus","non-dropping-particle":"","parse-names":false,"suffix":""},{"dropping-particle":"","family":"Gjikaj","given":"Mimoza","non-dropping-particle":"","parse-names":false,"suffix":""}],"container-title":"Thermochimica Acta","id":"ITEM-2","issue":"1","issued":{"date-parts":[["2007"]]},"page":"64-68","title":"Thermal decomposition of nickel nitrate hexahydrate, Ni(NO3)2·6H2O, in comparison to Co(NO3)2·6H2O and Ca(NO3)2·4H2O","type":"article-journal","volume":"456"},"uris":["http://www.mendeley.com/documents/?uuid=8204a335-c8d3-4e23-b748-2d6f441a07f8"]}],"mendeley":{"formattedCitation":"[192], [195]","plainTextFormattedCitation":"[192], [195]","previouslyFormattedCitation":"[192], [195]"},"properties":{"noteIndex":0},"schema":"https://github.com/citation-style-language/schema/raw/master/csl-citation.json"}</w:instrText>
      </w:r>
      <w:r w:rsidRPr="00005972">
        <w:rPr>
          <w:i/>
          <w:iCs/>
          <w:color w:val="44546A" w:themeColor="text2"/>
          <w:sz w:val="18"/>
          <w:szCs w:val="18"/>
        </w:rPr>
        <w:fldChar w:fldCharType="separate"/>
      </w:r>
      <w:r w:rsidR="006C586A" w:rsidRPr="006C586A">
        <w:rPr>
          <w:iCs/>
          <w:noProof/>
          <w:color w:val="44546A" w:themeColor="text2"/>
          <w:sz w:val="18"/>
          <w:szCs w:val="18"/>
        </w:rPr>
        <w:t>[192], [195]</w:t>
      </w:r>
      <w:r w:rsidRPr="00005972">
        <w:rPr>
          <w:i/>
          <w:iCs/>
          <w:color w:val="44546A" w:themeColor="text2"/>
          <w:sz w:val="18"/>
          <w:szCs w:val="18"/>
        </w:rPr>
        <w:fldChar w:fldCharType="end"/>
      </w:r>
      <w:r w:rsidRPr="00005972">
        <w:rPr>
          <w:i/>
          <w:iCs/>
          <w:color w:val="44546A" w:themeColor="text2"/>
          <w:sz w:val="18"/>
          <w:szCs w:val="18"/>
        </w:rPr>
        <w:t>.</w:t>
      </w:r>
      <w:bookmarkEnd w:id="79"/>
      <w:r w:rsidRPr="00005972">
        <w:rPr>
          <w:i/>
          <w:iCs/>
          <w:color w:val="44546A" w:themeColor="text2"/>
          <w:sz w:val="18"/>
          <w:szCs w:val="18"/>
        </w:rPr>
        <w:t xml:space="preserve"> </w:t>
      </w:r>
    </w:p>
    <w:p w14:paraId="43DBC8B0" w14:textId="28DF7988" w:rsidR="00007F6C" w:rsidRDefault="00007F6C" w:rsidP="004B726A">
      <w:pPr>
        <w:jc w:val="both"/>
      </w:pPr>
      <w:r>
        <w:t xml:space="preserve">The TGA graph from </w:t>
      </w:r>
      <w:proofErr w:type="spellStart"/>
      <w:r w:rsidRPr="00005972">
        <w:t>Brockner</w:t>
      </w:r>
      <w:proofErr w:type="spellEnd"/>
      <w:r w:rsidRPr="00005972">
        <w:t xml:space="preserve"> </w:t>
      </w:r>
      <w:r w:rsidRPr="00CA583B">
        <w:t>(</w:t>
      </w:r>
      <w:r w:rsidRPr="00CA583B">
        <w:fldChar w:fldCharType="begin"/>
      </w:r>
      <w:r w:rsidRPr="00CA583B">
        <w:instrText xml:space="preserve"> REF _Ref473893940 \h  \* MERGEFORMAT </w:instrText>
      </w:r>
      <w:r w:rsidRPr="00CA583B">
        <w:fldChar w:fldCharType="separate"/>
      </w:r>
      <w:r w:rsidRPr="00C103C3">
        <w:t>Figure 2.8</w:t>
      </w:r>
      <w:r w:rsidRPr="00CA583B">
        <w:fldChar w:fldCharType="end"/>
      </w:r>
      <w:r w:rsidRPr="00005972">
        <w:t>) is</w:t>
      </w:r>
      <w:r>
        <w:t xml:space="preserve"> a prime example of this with separate interactions clearly visible </w:t>
      </w:r>
      <w:r>
        <w:fldChar w:fldCharType="begin" w:fldLock="1"/>
      </w:r>
      <w:r w:rsidR="00D80A5D">
        <w:instrText>ADDIN CSL_CITATION {"citationItems":[{"id":"ITEM-1","itemData":{"DOI":"http://dx.doi.org/10.1016/j.tca.2007.01.031","ISBN":"0040-6031","abstract":"The thermal decomposition of Ni(NO3)2·6H2O (1), Ca(NO3)2·4H2O (2) and nitryl/nitrosyl nitrato nickelate(II), NO2/NO[Ni(NO3)3] (3), was investigated by thermogravimetric measurements with quasi-isothermal conditions and compared to Co(NO3)2·6H2O. The respective decomposition processes of 1 and 2 differ from each other showing that at one hand anhydrous Ca(NO3)2 was obtained whereas anhydrous nickel dinitrate has not be formed due to redox and condensation reactions. Instead basic nickel compounds have been formed. In reducing atmosphere nickel metal can be obtained. Anhydrous Ni(NO3)2 results by the thermal degradation of nitryl/nitrosyl nitrato nickelate. FT-Raman spectra have been of help in the judgement of the decomposition processes.","author":[{"dropping-particle":"","family":"Brockner","given":"Wolfgang","non-dropping-particle":"","parse-names":false,"suffix":""},{"dropping-particle":"","family":"Ehrhardt","given":"Claus","non-dropping-particle":"","parse-names":false,"suffix":""},{"dropping-particle":"","family":"Gjikaj","given":"Mimoza","non-dropping-particle":"","parse-names":false,"suffix":""}],"container-title":"Thermochimica Acta","id":"ITEM-1","issue":"1","issued":{"date-parts":[["2007"]]},"page":"64-68","title":"Thermal decomposition of nickel nitrate hexahydrate, Ni(NO3)2·6H2O, in comparison to Co(NO3)2·6H2O and Ca(NO3)2·4H2O","type":"article-journal","volume":"456"},"uris":["http://www.mendeley.com/documents/?uuid=8204a335-c8d3-4e23-b748-2d6f441a07f8"]}],"mendeley":{"formattedCitation":"[192]","plainTextFormattedCitation":"[192]","previouslyFormattedCitation":"[192]"},"properties":{"noteIndex":0},"schema":"https://github.com/citation-style-language/schema/raw/master/csl-citation.json"}</w:instrText>
      </w:r>
      <w:r>
        <w:fldChar w:fldCharType="separate"/>
      </w:r>
      <w:r w:rsidR="006C586A" w:rsidRPr="006C586A">
        <w:rPr>
          <w:noProof/>
        </w:rPr>
        <w:t>[192]</w:t>
      </w:r>
      <w:r>
        <w:fldChar w:fldCharType="end"/>
      </w:r>
      <w:r>
        <w:t>. The nickel nitrate intermediate Ni (NO</w:t>
      </w:r>
      <w:r>
        <w:rPr>
          <w:vertAlign w:val="subscript"/>
        </w:rPr>
        <w:t>3</w:t>
      </w:r>
      <w:r>
        <w:t>) (OH</w:t>
      </w:r>
      <w:r>
        <w:rPr>
          <w:vertAlign w:val="subscript"/>
        </w:rPr>
        <w:t>2</w:t>
      </w:r>
      <w:r>
        <w:t>)</w:t>
      </w:r>
      <w:r>
        <w:rPr>
          <w:vertAlign w:val="subscript"/>
        </w:rPr>
        <w:t>2</w:t>
      </w:r>
      <w:r>
        <w:t xml:space="preserve"> generated by the partial oxidation stages listed in the reaction analysis. This step liberates an electron from the nickel cation, which is key for production of these intermediate phases (</w:t>
      </w:r>
      <w:r>
        <w:fldChar w:fldCharType="begin"/>
      </w:r>
      <w:r>
        <w:instrText xml:space="preserve"> REF _Ref49768961 \h  \* MERGEFORMAT </w:instrText>
      </w:r>
      <w:r>
        <w:fldChar w:fldCharType="separate"/>
      </w:r>
      <w:r>
        <w:t>Equation 2.2</w:t>
      </w:r>
      <w:r>
        <w:fldChar w:fldCharType="end"/>
      </w:r>
      <w:r>
        <w:t xml:space="preserve"> )</w:t>
      </w:r>
      <w:r w:rsidRPr="00B07A26">
        <w:fldChar w:fldCharType="begin" w:fldLock="1"/>
      </w:r>
      <w:r w:rsidR="00D80A5D">
        <w:instrText>ADDIN CSL_CITATION {"citationItems":[{"id":"ITEM-1","itemData":{"DOI":"http://dx.doi.org/10.1016/j.tca.2007.01.031","ISSN":"0040-6031","abstract":"The thermal decomposition of Ni(NO3)2·6H2O (1), Ca(NO3)2·4H2O (2) and nitryl/nitrosyl nitrato nickelate(II), NO2/NO[Ni(NO3)3] (3), was investigated by thermogravimetric measurements with quasi-isothermal conditions and compared to Co(NO3)2·6H2O. The respective decomposition processes of 1 and 2 differ from each other showing that at one hand anhydrous Ca(NO3)2 was obtained whereas anhydrous nickel dinitrate has not be formed due to redox and condensation reactions. Instead basic nickel compounds have been formed. In reducing atmosphere nickel metal can be obtained. Anhydrous Ni(NO3)2 results by the thermal degradation of nitryl/nitrosyl nitrato nickelate. FT-Raman spectra have been of help in the judgement of the decomposition processes.","author":[{"dropping-particle":"","family":"Brockner","given":"Wolfgang","non-dropping-particle":"","parse-names":false,"suffix":""},{"dropping-particle":"","family":"Ehrhardt","given":"Claus","non-dropping-particle":"","parse-names":false,"suffix":""},{"dropping-particle":"","family":"Gjikaj","given":"Mimoza","non-dropping-particle":"","parse-names":false,"suffix":""}],"container-title":"Thermochimica Acta","id":"ITEM-1","issue":"1","issued":{"date-parts":[["2007","5","1"]]},"page":"64-68","title":"Thermal decomposition of nickel nitrate hexahydrate, Ni(NO3)2·6H2O, in comparison to Co(NO3)2·6H2O and Ca(NO3)2·4H2O","type":"article-journal","volume":"456"},"uris":["http://www.mendeley.com/documents/?uuid=acee0b76-733b-42d3-9e06-c60fab963b67"]},{"id":"ITEM-2","itemData":{"DOI":"http://dx.doi.org/10.1016/j.tca.2007.01.031","ISBN":"0040-6031","abstract":"The thermal decomposition of Ni(NO3)2·6H2O (1), Ca(NO3)2·4H2O (2) and nitryl/nitrosyl nitrato nickelate(II), NO2/NO[Ni(NO3)3] (3), was investigated by thermogravimetric measurements with quasi-isothermal conditions and compared to Co(NO3)2·6H2O. The respective decomposition processes of 1 and 2 differ from each other showing that at one hand anhydrous Ca(NO3)2 was obtained whereas anhydrous nickel dinitrate has not be formed due to redox and condensation reactions. Instead basic nickel compounds have been formed. In reducing atmosphere nickel metal can be obtained. Anhydrous Ni(NO3)2 results by the thermal degradation of nitryl/nitrosyl nitrato nickelate. FT-Raman spectra have been of help in the judgement of the decomposition processes.","author":[{"dropping-particle":"","family":"Brockner","given":"Wolfgang","non-dropping-particle":"","parse-names":false,"suffix":""},{"dropping-particle":"","family":"Ehrhardt","given":"Claus","non-dropping-particle":"","parse-names":false,"suffix":""},{"dropping-particle":"","family":"Gjikaj","given":"Mimoza","non-dropping-particle":"","parse-names":false,"suffix":""}],"container-title":"Thermochimica Acta","id":"ITEM-2","issue":"1","issued":{"date-parts":[["2007"]]},"page":"64-68","title":"Thermal decomposition of nickel nitrate hexahydrate, Ni(NO3)2·6H2O, in comparison to Co(NO3)2·6H2O and Ca(NO3)2·4H2O","type":"article-journal","volume":"456"},"uris":["http://www.mendeley.com/documents/?uuid=8204a335-c8d3-4e23-b748-2d6f441a07f8"]},{"id":"ITEM-3","itemData":{"DOI":"10.1016/S0167-2991(10)75009-6","ISBN":"01672991 (ISSN); 9780444536013 (ISBN)","abstract":"In previous communications we have shown that the decomposition of nickel and cobalt nitrate in a flow of NO/He prevented agglomeration, yielding high nickel and cobalt oxide dispersions. We now report on the impact of NO on the decomposition of first row transition metal nitrates, i.e. Sc, Mn, Fe, Co, Ni, Cu, Zn, using thermal gravimetric analysis and mass spectrometry. It was found that NO decreased the temperature of decomposition significantly for all investigated metal nitrates. For cobalt, nickel and copper nitrate it was verified that decomposition in the presence of NO yielded high dispersions and narrow particle size distributions, whereas in Ar agglomeration resulted in broad particle size distributions. The beneficial effect of NO on the dispersion of Co, Ni and Cu coincided with a large difference in the decomposition profiles of these metal nitrates compared to that in Ar. It was found that NO induced fast and complete hydrolysis to highly dispersed cobalt, nickel and copper hydroxynitrates which decomposed to yield highly dispersed metal oxides. This is in contrast to literature reports that ascribe loss in dispersion to the formation of metal hydroxynitrate intermediates. © 2010 Elsevier B.V.","author":[{"dropping-particle":"","family":"Wolters","given":"M","non-dropping-particle":"","parse-names":false,"suffix":""},{"dropping-particle":"","family":"Contreras Andrade","given":"I C A","non-dropping-particle":"","parse-names":false,"suffix":""},{"dropping-particle":"","family":"Munnik","given":"P","non-dropping-particle":"","parse-names":false,"suffix":""},{"dropping-particle":"","family":"Bitter","given":"J H","non-dropping-particle":"","parse-names":false,"suffix":""},{"dropping-particle":"","family":"Jongh","given":"P E","non-dropping-particle":"De","parse-names":false,"suffix":""},{"dropping-particle":"","family":"Jong","given":"K P","non-dropping-particle":"De","parse-names":false,"suffix":""}],"container-title":"10th International Symposium on Scientific Bases for the Preparation of Heterogeneous Catalysts","id":"ITEM-3","issued":{"date-parts":[["2010"]]},"language":"English","note":"Conference code: 83704\nCited By :6\nExport Date: 20 January 2017\nCODEN: SSCTD\nCorrespondence Address: Wolters, M.; Inorganic Chemistry and Catalysis, Debye Institute for Nanomaterials Science, Utrecht University, Sorbonnelaan 16, 3584 CA Utrecht, Netherlands\nReferences: Paulik, F., Paulik, J., Arnold, M., (1987) Thermochimica Acta, 121, p. 137; Elmasry, M.A.A., Gaber, A., Khater, E.M.H., (1998) J. Therm. Anal. Calorim., 52, p. 489; Estelle, J., Salagre, P., Cesteros, Y., Serra, M., Medina, F., Sueiras, J.E., (2003) Solid State Ionics, 156, p. 233; Llewellyn, P.L., Chevrota, V., Ragaib, J., Cerclier, O., Estienne, J., Rouquerol, F., (1997) Solid State Ionics, 101-103, p. 1293; Toupance, T., Kermarec, M., Louis, C., (2000) J. Phys. Chem. B, 104, p. 965; Chouillet, C., Villain, F., Kermarec, M., Lauron-Pernot, H., Louis, C., (2003) J. Phys. Chem. B, 107, p. 3565; Catillon-Mucherie, S., Ammari, F., Krafft, J.M., Lauron-Pernot, H., Touroude, R., Louis, C., (2007) J. Phys. Chem. C, 111, p. 11619; Van De Loosdrecht, J., Barradas, S., Caricato, E.A., Ngwenya, N.G., Nkwanyana, P.S., Rawat, M.A.S., Sigwebela, B.H., Visagie, J.L., (2003) Top. Catal., 26, p. 121; Sietsma, J.R.A., Meeldijk, J.D., Versluijs-Helder, M., Broersma, A., Van Dillen, A.J., De Jongh, P.E., De Jong, K.P., (2008) Chem. Mater., 20, p. 2921; Sietsma, J.R.A., Meeldijk, J.D., Den Breejen, J.P., Versluijs-Helder, M., Van Dillen, A.J., De Jongh, P.E., De Jong, K.P., (2007) Angew. Chem. Int. Ed., 46, p. 4547; Sietsma, J.R.A., Friedrich, H., Broersma, A., Versluijs-Helder, M., Jos Van Dillen, A., De Jongh, P.E., De Jong, K.P., (2008) J. Catal., 260, p. 227; Nissinena, T., Leskel, M., Gasika, M., Lamminen, J., (2005) Thermochimica Acta, 427, p. 155; Wieczorek-Ciurowa, K., Kozak, A.J., (1999) J. Therm. Anal. Calorim., 58, p. 647; Yuvaraj, S., Fan-Yuan, L., Tsong-Huei, C., Chuin-Tih, Y., (2003) J. Phys. Chem. B, 107, p. 1044; Malecka, B., Gajerski, R., Malecki, A., Wierzbicka, M., Olszewski, P., (2003) Thermochimica Acta, 404, p. 125; Cseri, T., Békássy, Kenessey, G., Liptay, G., Figueras, F., (1996) Thermochimica Acta, 288, p. 137; Ettarh, C., Galwey, A.K., (1996) Thermochim. Acta, 288, p. 203; Dickens, P.G., Sutcliffe, M.B., (1964) Trans. Faraday. Soc., 60, p. 1272; Brockner, W., Ehrhardt, C., Gjikaj, M., (2007) Thermochim. Acta, 456, p. 64; Malecki, A., Gajerski, R., Labus, S., Prochowska-Klisch, B., Wojciechowski, K.T., (2000) J. Therm. Anal., 60, p. 17","page":"69-76","publisher-place":"Louvain-la-Neuve","title":"Impact of NO on the decomposition of supported metal nitrate catalyst precursors and the final metal oxide dispersion","type":"article","volume":"175"},"uris":["http://www.mendeley.com/documents/?uuid=60616314-3fad-4af3-ad66-c5b4121f79e1"]}],"mendeley":{"formattedCitation":"[165], [192], [195]","plainTextFormattedCitation":"[165], [192], [195]","previouslyFormattedCitation":"[165], [192], [195]"},"properties":{"noteIndex":0},"schema":"https://github.com/citation-style-language/schema/raw/master/csl-citation.json"}</w:instrText>
      </w:r>
      <w:r w:rsidRPr="00B07A26">
        <w:fldChar w:fldCharType="separate"/>
      </w:r>
      <w:r w:rsidR="006C586A" w:rsidRPr="006C586A">
        <w:rPr>
          <w:noProof/>
        </w:rPr>
        <w:t>[165], [192], [195]</w:t>
      </w:r>
      <w:r w:rsidRPr="00B07A26">
        <w:fldChar w:fldCharType="end"/>
      </w:r>
      <w:r w:rsidRPr="00B07A26">
        <w:t>.</w:t>
      </w:r>
    </w:p>
    <w:p w14:paraId="61AECDEB" w14:textId="77777777" w:rsidR="00007F6C" w:rsidRPr="007D742E" w:rsidRDefault="00B51F53" w:rsidP="004B726A">
      <w:pPr>
        <w:keepNext/>
        <w:rPr>
          <w:rFonts w:eastAsiaTheme="minorEastAsia"/>
        </w:rPr>
      </w:pPr>
      <m:oMathPara>
        <m:oMath>
          <m:sSup>
            <m:sSupPr>
              <m:ctrlPr>
                <w:rPr>
                  <w:rFonts w:ascii="Cambria Math" w:hAnsi="Cambria Math"/>
                  <w:i/>
                </w:rPr>
              </m:ctrlPr>
            </m:sSupPr>
            <m:e>
              <m:r>
                <m:rPr>
                  <m:sty m:val="p"/>
                </m:rPr>
                <w:rPr>
                  <w:rFonts w:ascii="Cambria Math" w:hAnsi="Cambria Math"/>
                </w:rPr>
                <m:t>Ni</m:t>
              </m:r>
            </m:e>
            <m:sup>
              <m:r>
                <m:rPr>
                  <m:sty m:val="p"/>
                </m:rPr>
                <w:rPr>
                  <w:rFonts w:ascii="Cambria Math" w:hAnsi="Cambria Math"/>
                </w:rPr>
                <m:t>2+</m:t>
              </m:r>
            </m:sup>
          </m:sSup>
          <m:r>
            <m:rPr>
              <m:sty m:val="p"/>
            </m:rPr>
            <w:rPr>
              <w:rFonts w:ascii="Cambria Math" w:hAnsi="Cambria Math"/>
            </w:rPr>
            <m:t>→</m:t>
          </m:r>
          <m:sSup>
            <m:sSupPr>
              <m:ctrlPr>
                <w:rPr>
                  <w:rFonts w:ascii="Cambria Math" w:hAnsi="Cambria Math"/>
                  <w:i/>
                </w:rPr>
              </m:ctrlPr>
            </m:sSupPr>
            <m:e>
              <m:r>
                <m:rPr>
                  <m:sty m:val="p"/>
                </m:rPr>
                <w:rPr>
                  <w:rFonts w:ascii="Cambria Math" w:hAnsi="Cambria Math"/>
                </w:rPr>
                <m:t>Ni</m:t>
              </m:r>
            </m:e>
            <m:sup>
              <m:r>
                <m:rPr>
                  <m:sty m:val="p"/>
                </m:rPr>
                <w:rPr>
                  <w:rFonts w:ascii="Cambria Math" w:hAnsi="Cambria Math"/>
                </w:rPr>
                <m:t>3+</m:t>
              </m:r>
            </m:sup>
          </m:sSup>
          <m:r>
            <m:rPr>
              <m:sty m:val="p"/>
            </m:rPr>
            <w:rPr>
              <w:rFonts w:ascii="Cambria Math" w:hAnsi="Cambria Math"/>
            </w:rPr>
            <m:t>+</m:t>
          </m:r>
          <m:sSup>
            <m:sSupPr>
              <m:ctrlPr>
                <w:rPr>
                  <w:rFonts w:ascii="Cambria Math" w:hAnsi="Cambria Math"/>
                  <w:i/>
                </w:rPr>
              </m:ctrlPr>
            </m:sSupPr>
            <m:e>
              <m:r>
                <m:rPr>
                  <m:sty m:val="p"/>
                </m:rPr>
                <w:rPr>
                  <w:rFonts w:ascii="Cambria Math" w:hAnsi="Cambria Math"/>
                </w:rPr>
                <m:t>e</m:t>
              </m:r>
            </m:e>
            <m:sup>
              <m:r>
                <m:rPr>
                  <m:sty m:val="p"/>
                </m:rPr>
                <w:rPr>
                  <w:rFonts w:ascii="Cambria Math" w:hAnsi="Cambria Math"/>
                </w:rPr>
                <m:t>-</m:t>
              </m:r>
            </m:sup>
          </m:sSup>
        </m:oMath>
      </m:oMathPara>
    </w:p>
    <w:p w14:paraId="0A1EA33D" w14:textId="1E82CD5D" w:rsidR="00007F6C" w:rsidRDefault="00007F6C" w:rsidP="004B726A">
      <w:pPr>
        <w:jc w:val="right"/>
      </w:pPr>
      <w:bookmarkStart w:id="80" w:name="_Ref49768961"/>
      <w:r>
        <w:t>Equation 2.</w:t>
      </w:r>
      <w:r w:rsidR="00B51F53">
        <w:fldChar w:fldCharType="begin"/>
      </w:r>
      <w:r w:rsidR="00B51F53">
        <w:instrText xml:space="preserve"> SEQ Equation \* ARABIC </w:instrText>
      </w:r>
      <w:r w:rsidR="00B51F53">
        <w:fldChar w:fldCharType="separate"/>
      </w:r>
      <w:r w:rsidR="00315BF8">
        <w:rPr>
          <w:noProof/>
        </w:rPr>
        <w:t>2</w:t>
      </w:r>
      <w:r w:rsidR="00B51F53">
        <w:rPr>
          <w:noProof/>
        </w:rPr>
        <w:fldChar w:fldCharType="end"/>
      </w:r>
      <w:bookmarkEnd w:id="80"/>
    </w:p>
    <w:p w14:paraId="54692018" w14:textId="77777777" w:rsidR="00007F6C" w:rsidRDefault="00007F6C" w:rsidP="004B726A">
      <w:r>
        <w:t xml:space="preserve">The excess positive charge generated during the formation of basic nickel nitrate intermediate salts is cancelled out during the reduction of the sample. </w:t>
      </w:r>
    </w:p>
    <w:p w14:paraId="600116C1" w14:textId="18DC9260" w:rsidR="00007F6C" w:rsidRPr="00CA583B" w:rsidRDefault="00007F6C" w:rsidP="004B726A">
      <w:pPr>
        <w:jc w:val="both"/>
      </w:pPr>
      <w:r>
        <w:t xml:space="preserve">These studies indicate that the drying of coordination complex systems such as hexa-hydrate, tetra-hydrate are not simple single step drying systems, illustrated by the higher drying temperatures used in the infiltration literature to remove the water from their samples. However, with such a high proportion of water ligands, it is more energetically favourable to split multiple times than removing </w:t>
      </w:r>
      <w:r w:rsidRPr="00CA583B">
        <w:t>all the ligands in a single reaction</w:t>
      </w:r>
      <w:r>
        <w:t xml:space="preserve"> </w:t>
      </w:r>
      <w:r w:rsidRPr="00CA583B">
        <w:fldChar w:fldCharType="begin" w:fldLock="1"/>
      </w:r>
      <w:r w:rsidR="00D80A5D">
        <w:instrText>ADDIN CSL_CITATION {"citationItems":[{"id":"ITEM-1","itemData":{"DOI":"10.1021/jp709583u","ISSN":"19327447","abstract":"A coarse-grained lattice gas model is developed to study the drying-mediated self-assembly of nanoparticles on diblock copolymer substrates. The model describes the nanoparticles, the solvent and the diblock copolymer on length scales that are typical to the solvent bulk correlation length. Monte Carlo simulation techniques are used to delineate the various mechanisms of this out-of-equilibrium hierarchical self-assembly. Several different assembly scenarios corresponding to different selectivity of the nanoparticles/liquid/ substrate are discussed. The role of surface tension, evaporation rate, diffusion rate, nanoparticle coverage, and diblock copolymer periodicity is explored. Optimal conditions to form a stripe phase of nanoparticles along with predictions of novel 3D structures resulting from high nanoparticle and solvent selectivity are described. © 2008 American Chemical Society.","author":[{"dropping-particle":"","family":"Kletenik-Edelman","given":"Orly","non-dropping-particle":"","parse-names":false,"suffix":""},{"dropping-particle":"","family":"Ploshnik","given":"Elina","non-dropping-particle":"","parse-names":false,"suffix":""},{"dropping-particle":"","family":"Salant","given":"Asaf","non-dropping-particle":"","parse-names":false,"suffix":""},{"dropping-particle":"","family":"Shenhar","given":"Roy","non-dropping-particle":"","parse-names":false,"suffix":""},{"dropping-particle":"","family":"Banin","given":"Uri","non-dropping-particle":"","parse-names":false,"suffix":""},{"dropping-particle":"","family":"Rabani","given":"Eran","non-dropping-particle":"","parse-names":false,"suffix":""}],"container-title":"Journal of Physical Chemistry C","id":"ITEM-1","issue":"12","issued":{"date-parts":[["2008"]]},"page":"4498-4506","title":"Drying-mediated hierarchical self-assembly of nanoparticles: A dynamical coarse-grained approach","type":"article-journal","volume":"112"},"uris":["http://www.mendeley.com/documents/?uuid=a6a39422-af0f-4884-bbfc-61ff068125d3"]},{"id":"ITEM-2","itemData":{"DOI":"http://dx.doi.org/10.1016/S0021-9517(02)00130-6","ISBN":"0021-9517","abstract":"Work is reviewed on the synthesis of supported metal and metal oxide catalysts using impregnation of an aqueous solution of chelated metal ions followed by drying. The nature of the aqueous solutions of chelated complexes is discussed first. Upon solvent evaporation a steep increase in viscosity is apparent, which inhibits redistribution of impregnated solution upon drying of the support bodies. Furthermore, a gel-like phase is formed that favors high dispersions of the active phase after full drying. Second, several examples are dealt with in some detail, in particular supported iron, nickel, and cobalt–molybdenum catalysts. Finally an overview is presented for metal and metal oxide precursors that can be suitably deposited upon support materials using chelated aqueous metal complex solutions.","author":[{"dropping-particle":"","family":"Dillen","given":"A Jos","non-dropping-particle":"van","parse-names":false,"suffix":""},{"dropping-particle":"","family":"Terörde","given":"Robert J A M","non-dropping-particle":"","parse-names":false,"suffix":""},{"dropping-particle":"","family":"Lensveld","given":"Dennis J","non-dropping-particle":"","parse-names":false,"suffix":""},{"dropping-particle":"","family":"Geus","given":"John W","non-dropping-particle":"","parse-names":false,"suffix":""},{"dropping-particle":"","family":"de Jong","given":"Krijn P","non-dropping-particle":"","parse-names":false,"suffix":""}],"container-title":"Journal of Catalysis","id":"ITEM-2","issue":"1–2","issued":{"date-parts":[["2003"]]},"page":"257-264","title":"Synthesis of supported catalysts by impregnation and drying using aqueous chelated metal complexes","type":"article-journal","volume":"216"},"uris":["http://www.mendeley.com/documents/?uuid=da702f9b-198d-43d8-9584-9b88f9585d2d"]}],"mendeley":{"formattedCitation":"[196], [197]","plainTextFormattedCitation":"[196], [197]","previouslyFormattedCitation":"[196], [197]"},"properties":{"noteIndex":0},"schema":"https://github.com/citation-style-language/schema/raw/master/csl-citation.json"}</w:instrText>
      </w:r>
      <w:r w:rsidRPr="00CA583B">
        <w:fldChar w:fldCharType="separate"/>
      </w:r>
      <w:r w:rsidR="006C586A" w:rsidRPr="006C586A">
        <w:rPr>
          <w:noProof/>
        </w:rPr>
        <w:t>[196], [197]</w:t>
      </w:r>
      <w:r w:rsidRPr="00CA583B">
        <w:fldChar w:fldCharType="end"/>
      </w:r>
      <w:r w:rsidRPr="00CA583B">
        <w:t>. This has been demonstrated with other transition metal hydrates</w:t>
      </w:r>
      <w:r>
        <w:t xml:space="preserve"> </w:t>
      </w:r>
      <w:r w:rsidRPr="00CA583B">
        <w:fldChar w:fldCharType="begin" w:fldLock="1"/>
      </w:r>
      <w:r w:rsidR="00D80A5D">
        <w:instrText>ADDIN CSL_CITATION {"citationItems":[{"id":"ITEM-1","itemData":{"DOI":"10.1007/BF01026316","ISSN":"00222461","abstract":"Copper-cobalt oxide spinels with a common formula CuxCo3-xO4 (0≤x≤1.0) have been prepared by thermal decomposition at 350° C in air of single-phase mixed basic nitrate precursors (Cu, Co)2(OH)3NO3. The formation of the oxide phase during the thermal treatment has been associated with a diffusionless mode of transformation, established for some hydroxides and hydroxysalts with a layer-type structure. © 1985 Chapman and Hall Ltd.","author":[{"dropping-particle":"","family":"Petrov","given":"K.","non-dropping-particle":"","parse-names":false,"suffix":""},{"dropping-particle":"","family":"Markov","given":"L.","non-dropping-particle":"","parse-names":false,"suffix":""}],"container-title":"Journal of Materials Science","id":"ITEM-1","issue":"4","issued":{"date-parts":[["1985"]]},"page":"1211-1214","title":"Preparation of copper-cobalt oxide spinels by thermal decomposition of copper-cobalt basic nitrate mixed crystals","type":"article-journal","volume":"20"},"uris":["http://www.mendeley.com/documents/?uuid=36b55253-e192-41e9-8a9d-c8b372f1c9ac"]},{"id":"ITEM-2","itemData":{"DOI":"10.1016/S0040-6031(03)00057-1","ISBN":"0040-6031","ISSN":"00406031","abstract":"Thermolysis of Cu(NO3)2·3H2O is studied by means of XRD analysis in situ and mass spectral analysis of the gas phase at P = 1/10 Pa at low heating rate. It is shown that stage I of the dehydration (40-80 °C) results in the consecutive appearance of crystalline Cu(NO3)2·2.5H2O and Cu(NO3)·H2O. Anhydrous Cu(NO3)2formed during further dehydration at 80-110 °C is moderately sublimed at 120-150 °C. Dehydration is accompanied by thermohydrolysis, leading to the appearance of Cu2(OH)3NO3and gaseous H2O, HNO3, NO2, and H2O. The higher pressure in the system, the larger amount of thermohydrolysis products is observed. The formation of the crystalline intermediate CuOx(NO3)ywas observed by diffraction methods. Final product of thermolysis (CuO) is formed at 200-250 °C. © 2003 Elsevier Science B.V. All rights reserved.","author":[{"dropping-particle":"V.","family":"Morozov","given":"I.","non-dropping-particle":"","parse-names":false,"suffix":""},{"dropping-particle":"","family":"Znamenkov","given":"K. O.","non-dropping-particle":"","parse-names":false,"suffix":""},{"dropping-particle":"","family":"Korenev","given":"Yu M.","non-dropping-particle":"","parse-names":false,"suffix":""},{"dropping-particle":"","family":"Shlyakhtin","given":"O. A.","non-dropping-particle":"","parse-names":false,"suffix":""}],"container-title":"Thermochimica Acta","id":"ITEM-2","issue":"2","issued":{"date-parts":[["2003"]]},"page":"173-179","title":"Thermal decomposition of Cu(NO3)2·3H2O at reduced pressures","type":"article-journal","volume":"403"},"uris":["http://www.mendeley.com/documents/?uuid=e9f90b20-858c-43b4-a20b-4d4316b12101"]}],"mendeley":{"formattedCitation":"[198], [199]","plainTextFormattedCitation":"[198], [199]","previouslyFormattedCitation":"[198], [199]"},"properties":{"noteIndex":0},"schema":"https://github.com/citation-style-language/schema/raw/master/csl-citation.json"}</w:instrText>
      </w:r>
      <w:r w:rsidRPr="00CA583B">
        <w:fldChar w:fldCharType="separate"/>
      </w:r>
      <w:r w:rsidR="006C586A" w:rsidRPr="006C586A">
        <w:rPr>
          <w:noProof/>
        </w:rPr>
        <w:t>[198], [199]</w:t>
      </w:r>
      <w:r w:rsidRPr="00CA583B">
        <w:fldChar w:fldCharType="end"/>
      </w:r>
      <w:r w:rsidRPr="00CA583B">
        <w:t xml:space="preserve">. </w:t>
      </w:r>
    </w:p>
    <w:p w14:paraId="24D2C261" w14:textId="017F2B33" w:rsidR="00007F6C" w:rsidRPr="00CA583B" w:rsidRDefault="00007F6C" w:rsidP="004B726A">
      <w:r w:rsidRPr="00CA583B">
        <w:t xml:space="preserve">In contrast with earlier decomposition work a pair of papers by </w:t>
      </w:r>
      <w:proofErr w:type="spellStart"/>
      <w:r w:rsidRPr="00CA583B">
        <w:t>Sietsma</w:t>
      </w:r>
      <w:proofErr w:type="spellEnd"/>
      <w:r w:rsidRPr="00CA583B">
        <w:t xml:space="preserve"> et al discussed the impact of atmosphere on the decomposition of nitrate compounds</w:t>
      </w:r>
      <w:r>
        <w:t xml:space="preserve"> </w:t>
      </w:r>
      <w:r w:rsidRPr="00CA583B">
        <w:fldChar w:fldCharType="begin" w:fldLock="1"/>
      </w:r>
      <w:r w:rsidR="00D80A5D">
        <w:instrText>ADDIN CSL_CITATION {"citationItems":[{"id":"ITEM-1","itemData":{"author":[{"dropping-particle":"","family":"Burye","given":"Theodore E","non-dropping-particle":"","parse-names":false,"suffix":""},{"dropping-particle":"","family":"Tang","given":"Hongjie","non-dropping-particle":"","parse-names":false,"suffix":""},{"dropping-particle":"","family":"Nicholas","given":"Jason D","non-dropping-particle":"","parse-names":false,"suffix":""}],"container-title":"Journal of the Electrochemical Society","id":"ITEM-1","issue":"9","issued":{"date-parts":[["2016"]]},"note":"10.1149/2.0431609jes","page":"F1017-F1022","title":"The Effect of Precursor Solution Desiccation or Nano-Ceria Pre-Infiltration on Various La0.6Sr0.4FeyCo1-yO3-x Infiltrate Compositions","type":"article-journal","volume":"163"},"uris":["http://www.mendeley.com/documents/?uuid=81bbfad8-a037-4cf5-9ed8-b05fe8f35497"]},{"id":"ITEM-2","itemData":{"DOI":"10.1002/anie.200700608","ISBN":"1521-3773","author":[{"dropping-particle":"","family":"Sietsma","given":"Jelle R  A","non-dropping-particle":"","parse-names":false,"suffix":""},{"dropping-particle":"","family":"Meeldijk","given":"Johannes D","non-dropping-particle":"","parse-names":false,"suffix":""},{"dropping-particle":"","family":"den Breejen","given":"Johan P","non-dropping-particle":"","parse-names":false,"suffix":""},{"dropping-particle":"","family":"Versluijs-Helder","given":"Marjan","non-dropping-particle":"","parse-names":false,"suffix":""},{"dropping-particle":"","family":"van Dillen","given":"A  Jos","non-dropping-particle":"","parse-names":false,"suffix":""},{"dropping-particle":"","family":"de Jongh","given":"Petra E","non-dropping-particle":"","parse-names":false,"suffix":""},{"dropping-particle":"","family":"de Jong","given":"Krijn P","non-dropping-particle":"","parse-names":false,"suffix":""}],"container-title":"Angewandte Chemie International Edition","id":"ITEM-2","issue":"24","issued":{"date-parts":[["2007"]]},"page":"4547-4549","publisher":"WILEY-VCH Verlag","title":"The Preparation of Supported NiO and Co3O4 Nanoparticles by the Nitric Oxide Controlled Thermal Decomposition of Nitrates","type":"article-journal","volume":"46"},"uris":["http://www.mendeley.com/documents/?uuid=c8cd187c-2067-4535-affa-69ae7fffba4c"]},{"id":"ITEM-3","itemData":{"DOI":"10.1021/jp1081406","ISBN":"1932-7447\r1932-7455","author":[{"dropping-particle":"","family":"Wolters","given":"M","non-dropping-particle":"","parse-names":false,"suffix":""},{"dropping-particle":"","family":"Munnik","given":"P","non-dropping-particle":"","parse-names":false,"suffix":""},{"dropping-particle":"","family":"Bitter","given":"J H","non-dropping-particle":"","parse-names":false,"suffix":""},{"dropping-particle":"","family":"Jongh","given":"P E","non-dropping-particle":"de","parse-names":false,"suffix":""},{"dropping-particle":"","family":"Jong","given":"K P","non-dropping-particle":"de","parse-names":false,"suffix":""}],"container-title":"The Journal of Physical Chemistry C","id":"ITEM-3","issue":"8","issued":{"date-parts":[["2011"]]},"page":"3332-3339","title":"How NO Affects Nickel and Cobalt Nitrates at Low Temperatures To Arrive at Highly Dispersed Silica-Supported Nickel and Cobalt Catalysts","type":"article-journal","volume":"115"},"uris":["http://www.mendeley.com/documents/?uuid=7bb3dca6-3239-44ca-bcf9-9d9b3bfc1ce6"]},{"id":"ITEM-4","itemData":{"DOI":"10.1016/j.cattod.2010.02.052","ISBN":"09205861 (ISSN)","abstract":"Control over the size and size distribution of supported nanoparticles is key to their efficient use in catalysis. In the preparation of nanoparticles by impregnation using nitrate precursors, the support pore diameter can be used to influence the average crystallite size. However, the particle size distributions obtained via this method are generally broad and the dispersions relatively low. Higher dispersions and narrow particle size distributions are obtained via thermal decomposition of the metal nitrate precursor in 1% (v/v) NO in Ar instead of air. Here we will show that by combining the confinement effect of ordered mesoporous silica with a decomposition step of metal nitrates in NO, silica supported nickel and cobalt oxides with a tunable particle size (2-4 nm) can be obtained at high loadings (10-20 wt%). © 2010 Elsevier B.V.","author":[{"dropping-particle":"","family":"Wolters","given":"M","non-dropping-particle":"","parse-names":false,"suffix":""},{"dropping-particle":"","family":"Grotel","given":"L J W","non-dropping-particle":"Van","parse-names":false,"suffix":""},{"dropping-particle":"","family":"Eggenhuisen","given":"T M","non-dropping-particle":"","parse-names":false,"suffix":""},{"dropping-particle":"","family":"Sietsma","given":"J R A","non-dropping-particle":"","parse-names":false,"suffix":""},{"dropping-particle":"","family":"Jong","given":"K P","non-dropping-particle":"De","parse-names":false,"suffix":""},{"dropping-particle":"","family":"Jongh","given":"P E","non-dropping-particle":"De","parse-names":false,"suffix":""}],"container-title":"Catalysis Today","id":"ITEM-4","issue":"1","issued":{"date-parts":[["2011"]]},"language":"English","note":"Cited By :33\nExport Date: 20 January 2017\nCODEN: CATTE\nCorrespondence Address: De Jongh, P. E.; Inorganic Chemistry and Catalysis, Debye Institute for NanoMaterials Science, Utrecht University, Sorbonnelaan 16, NL-3584 CA Utrecht, Netherlands; email: p.e.dejongh@uu.nl\nReferences: Balakos, M.W., Hernandez, E.E., (1997) Catal. Today, 35, p. 415; Chorkendorff, I., Niemantsverdriet, H., (2007) Concepts of Modern Catalysis and Kinetics, , Wiley-VCH Weinheim; Jiao, F., Frei, H., (2009) Angew. Chem. Int. Ed., 48, p. 1841; Bell, A.T., (2003) Science, 299, p. 1688; Che, M., Bennett, C.O., (1989) Adv. Catal., 36, p. 55; Somorjai, G.A., Park, J.Y., (2008) Top. Catal., 49, p. 126; Van Santen, R.A., (2009) Acc. Chem. Res., 42, p. 57; Bezemer, G.L., Bitter, J.H., Kuipers, H., Oosterbeek, H., Holewijn, J.E., Xu, X.D., Kapteijn, F., De Jong, K.P., (2006) J. Am. Chem. Soc., 128, p. 3956; Den Breejen, J.P., Radstake, P.B., Bezemer, G.L., Bitter, J.H., Froseth, V., Holmen, A., De Jong, K.P., (2009) J. Am. Chem. Soc., 131, p. 7197; De Jong, K.P., (1999) Curr. Opin. Solid State Mater. Sci., 4, p. 55; Bourikas, K., Kordulis, C., Lycourghiotis, A., (2006) Catal. Rev. Sci. Eng., 48, p. 363; Van Der Lee, M.K., Van Dillen, A.J., Bitter, J.H., De Jong, K.P., (2005) J. Am. Chem. Soc., 127, p. 13573; Van Dillen, A.J., Terörde, R.J.A.M., Lensveld, D.J., Geus, J.W., De Jong, K.P., (2003) J. Catal., 216, p. 257; Van De Loosdrecht, J., Barradas, S., Caricato, E.A., Ngwenya, N.G., Nkwanyana, P.S., Rawat, M.A.S., Sigwebela, B.H., Visagie, J.L., (2003) Top. Catal., 26, p. 121; Sietsma, J.R.A., Meeldijk, J.D., Den Breejen, J.P., Versluijs-Helder, M., Van Dillen, A.J., De Jongh, P.E., De Jong, K.P., (2007) Angew. Chem. Int. Ed., 46, p. 4547; Sietsma, J.R.A., Friedrich, H., Broersma, A., Versluijs-Helder, M., Van Dillen, A.J., De Jongh, P.E., De Jong, K.P., (2008) J. Catal., 260, p. 227; Khodakov, A.Y., Griboval-Constant, A., Bechara, R., Villain, F., (2001) J. Phys. Chem. B, 105, p. 9805; Jentys, A., Pham, N.H., Vinek, H., Englisch, M., Lercher, J.A., (1998) Catal. Today, 39, p. 311; Li, H.L., Li, J.L., Ni, H.K., Song, D.C., (2006) Catal. Lett., 110, p. 71; Borg Ø, Walmsley, J.C., Dehghan, R., Tanem, B.S., Blekkan, E.A., Eri, S., Rytter, E., Holmen, A., (2008) Catal. Lett., 126, p. 224; Van Der Meer, J., Bardez, I., Bart, F., Albouy, P.A., Wallez, G., Davidson, A., (2009) Micropor. Mesopor. Mater., 118, p. 183; Borg Ø, Dietzel, P.D.C., Spjelkavik, A.I., Tveten, E.Z., Walmsley, J.C., Diplas, S., Eri, S., Rytter, E., (2008) J. Catal., 259, p. 161; Zhao, D., Feng, J., Huo, Q., Melosh, N., Fredrickson, G.H., Chmelka, B.F., Stucky, G.D., (1998) Science, 279, p. 548; Cheng, C., Park, D.H., Klinowski, J., (1997) J. Chem. Soc. Faraday Trans., 93, p. 193; Jaroniec, M., Kruk, M., Olivier, J.P., Koch, S., (2000) Stud. Surf. Sci. Catal., 128, p. 71; Lippens, B.C., De Boer, J.H., (1965) J. Catal., 4, p. 319; Harkins, W.D., Jura, G., (1944) J. Am. Chem. Soc., 66, p. 1366; Gallezot, P., Prettre, M., (1968) Bull. Soc. Chim. Fr., 2, p. 407; Sietsma, J.R.A., Meeldijk, J.D., Versluijs-Helder, M., Broersma, A., Van Dillen, A.J., De Jongh, P.E., De Jong, K.P., (2008) Chem. Mater., 20, p. 2921; Petrov, K., Zotov, N., Mirtcheva, E., Garciamartinez, O., Rojas, R.M., (1994) J. Mater. Chem., 4, p. 611; Brockner, W., Ehrhardt, C., Gjikaj, M., (2007) Thermochim. Acta, 456, p. 64; Estelle, J., Salagre, P., Cesteros, Y., Serra, M., Medina, F., Sueiras, J.E., (2003) Solid State Ionics, 156, p. 233; Friedrich, H., Sietsma, J.R.A., De Jongh, P.E., Verkley, A.J., De Jong, K.P., (2007) J. Am. Chem. Soc., 129, p. 10249","page":"27-32","title":"Combining confinement and NO calcination to arrive at highly dispersed supported nickel and cobalt oxide catalysts with a tunable particle size","type":"article-journal","volume":"163"},"uris":["http://www.mendeley.com/documents/?uuid=180465e4-0a2a-4cb3-9e11-a1a36291a1ea"]}],"mendeley":{"formattedCitation":"[161], [174], [176], [180]","plainTextFormattedCitation":"[161], [174], [176], [180]","previouslyFormattedCitation":"[161], [174], [176], [180]"},"properties":{"noteIndex":0},"schema":"https://github.com/citation-style-language/schema/raw/master/csl-citation.json"}</w:instrText>
      </w:r>
      <w:r w:rsidRPr="00CA583B">
        <w:fldChar w:fldCharType="separate"/>
      </w:r>
      <w:r w:rsidR="006C586A" w:rsidRPr="006C586A">
        <w:rPr>
          <w:noProof/>
        </w:rPr>
        <w:t>[161], [174], [176], [180]</w:t>
      </w:r>
      <w:r w:rsidRPr="00CA583B">
        <w:fldChar w:fldCharType="end"/>
      </w:r>
      <w:r w:rsidRPr="00CA583B">
        <w:t>. In these studies, a nitric oxide rich atmosphere was used during the drying step to determine whether the environment influences the nickel dispersion.</w:t>
      </w:r>
    </w:p>
    <w:p w14:paraId="4477DC07" w14:textId="03474ED2" w:rsidR="00007F6C" w:rsidRPr="00CA583B" w:rsidRDefault="00007F6C" w:rsidP="004B726A">
      <w:pPr>
        <w:jc w:val="both"/>
        <w:rPr>
          <w:bCs/>
        </w:rPr>
      </w:pPr>
      <w:r w:rsidRPr="00CA583B">
        <w:rPr>
          <w:bCs/>
        </w:rPr>
        <w:t xml:space="preserve">In addition, the findings from </w:t>
      </w:r>
      <w:proofErr w:type="spellStart"/>
      <w:r w:rsidRPr="00CA583B">
        <w:rPr>
          <w:bCs/>
        </w:rPr>
        <w:t>Sietsma</w:t>
      </w:r>
      <w:proofErr w:type="spellEnd"/>
      <w:r w:rsidRPr="00CA583B">
        <w:rPr>
          <w:bCs/>
        </w:rPr>
        <w:t xml:space="preserve"> et al pointed to the presence of basic intermediate phase Ni</w:t>
      </w:r>
      <w:r w:rsidRPr="00CA583B">
        <w:rPr>
          <w:bCs/>
          <w:vertAlign w:val="subscript"/>
        </w:rPr>
        <w:t>3</w:t>
      </w:r>
      <w:r w:rsidRPr="00CA583B">
        <w:rPr>
          <w:bCs/>
        </w:rPr>
        <w:t>(NO</w:t>
      </w:r>
      <w:r w:rsidRPr="00CA583B">
        <w:rPr>
          <w:bCs/>
          <w:vertAlign w:val="subscript"/>
        </w:rPr>
        <w:t>3</w:t>
      </w:r>
      <w:r w:rsidRPr="00CA583B">
        <w:rPr>
          <w:bCs/>
        </w:rPr>
        <w:t>)</w:t>
      </w:r>
      <w:r w:rsidRPr="00CA583B">
        <w:rPr>
          <w:bCs/>
          <w:vertAlign w:val="subscript"/>
        </w:rPr>
        <w:t>2</w:t>
      </w:r>
      <w:r w:rsidRPr="00CA583B">
        <w:rPr>
          <w:bCs/>
        </w:rPr>
        <w:t>(OH)</w:t>
      </w:r>
      <w:r w:rsidRPr="00CA583B">
        <w:rPr>
          <w:bCs/>
          <w:vertAlign w:val="subscript"/>
        </w:rPr>
        <w:t>4</w:t>
      </w:r>
      <w:r w:rsidRPr="00CA583B">
        <w:rPr>
          <w:bCs/>
        </w:rPr>
        <w:t xml:space="preserve"> when decomposing aqueous nickel nitrate on silica supports</w:t>
      </w:r>
      <w:r>
        <w:rPr>
          <w:bCs/>
        </w:rPr>
        <w:t xml:space="preserve"> </w:t>
      </w:r>
      <w:r w:rsidRPr="00CA583B">
        <w:rPr>
          <w:bCs/>
        </w:rPr>
        <w:fldChar w:fldCharType="begin" w:fldLock="1"/>
      </w:r>
      <w:r w:rsidR="00D80A5D">
        <w:rPr>
          <w:bCs/>
        </w:rPr>
        <w:instrText>ADDIN CSL_CITATION {"citationItems":[{"id":"ITEM-1","itemData":{"author":[{"dropping-particle":"","family":"Sietsma","given":"J R A","non-dropping-particle":"","parse-names":false,"suffix":""},{"dropping-particle":"De","family":"Jong","given":"K P","non-dropping-particle":"","parse-names":false,"suffix":""},{"dropping-particle":"Van","family":"Dillen","given":"A J","non-dropping-particle":"","parse-names":false,"suffix":""},{"dropping-particle":"De","family":"Jongh","given":"P E","non-dropping-particle":"","parse-names":false,"suffix":""}],"id":"ITEM-1","issued":{"date-parts":[["1998"]]},"page":"80003","title":"A Novel Calcination Method for Supported Metal Nitrate Catalyst Precursors","type":"article-journal"},"uris":["http://www.mendeley.com/documents/?uuid=ab012286-f1af-4fa7-8097-70131174da08"]},{"id":"ITEM-2","itemData":{"DOI":"10.1002/anie.200700608","ISBN":"14337851 (ISSN)","abstract":"A need for NO: Moderating the thermal decomposition of supported nitrates with NO (see picture, center) prevents precursor mobility and is a versatile method for the preparation of small NiO (left; compared to the product of the conventional procedure, right) and Co3O4 particles. These materials can be used as heterogeneous catalysts and show good activity in the Fischer-Tropsch synthesis. © 2007 Wiley-VCH Verlag GmbH &amp; Co. KGaA.","author":[{"dropping-particle":"","family":"Sietsma","given":"J R A","non-dropping-particle":"","parse-names":false,"suffix":""},{"dropping-particle":"","family":"Meeldijk","given":"J D","non-dropping-particle":"","parse-names":false,"suffix":""},{"dropping-particle":"","family":"Breejen","given":"J P","non-dropping-particle":"Den","parse-names":false,"suffix":""},{"dropping-particle":"","family":"Versluijs-Helder","given":"M","non-dropping-particle":"","parse-names":false,"suffix":""},{"dropping-particle":"","family":"Dillen","given":"A J","non-dropping-particle":"Van","parse-names":false,"suffix":""},{"dropping-particle":"","family":"Jongh","given":"P E","non-dropping-particle":"De","parse-names":false,"suffix":""},{"dropping-particle":"","family":"Jong","given":"K P","non-dropping-particle":"De","parse-names":false,"suffix":""}],"container-title":"Angewandte Chemie - International Edition","id":"ITEM-2","issue":"24","issued":{"date-parts":[["2007"]]},"language":"English","note":"Cited By :160\nExport Date: 20 January 2017\nCODEN: ACIEA\nCorrespondence Address: Sietsma, J.R.A.; Inorganic Chemistry and Catalysis, Utrecht University, Sorbonnelaan 16, 3584 CA, Utrecht, Netherlands\nReferences: Poizot, P., Laruelle, S., Grugeon, S., Dupont, L., Tarascon, J.-M., (2000) Nature, 407, pp. 496-499; O'Regan, B., Grätzel, M., (1991) Nature, 353, pp. 737-740; Kim, J., Lee, J.E., Lee, J., Jang, Y., Kim, S.-W., An, K., Yu, J.H., Hyeon, T., (2006) Angew. Chem, 118, pp. 4907-4911; Angew, (2006) Chem. Int. Ed, 45, pp. 4789-4793; Bell, A.T., (2003) Science, 299, pp. 1688-1691; Schlögl, R., Abd Hamid, S.B., (2004) Angew. Chem, 116, pp. 1656-1667; Angew, (2004) Chem. Int. Ed, 43, pp. 1628-1637; Ying, J.Y., (2006) Chem. Eng. Sci, 61, pp. 1540-1548; Mal, N.K., Fuijwara, N., Tanaka, Y., (2003) Nature, 421, pp. 350-353; de Jong, K.P., (1999) Curr. Opin. Solid State Mater. Sci, 4, pp. 55-62; Bourikas, K., Kordulis, C., Lycourghiotis, A., (2006) Catal. Rev. Sci. Eng, 48, pp. 363-444; Négrier, F., Marceau, E., Che, M., Giraudon, J.-M., Gengembre, L., Löfberg, A., (2005) J. Phys. Chem. B, 109, pp. 2836-2845; van der Lee, M.K., van Dillen, A.J., Bitter, J.H., de Jong, K.P., (2005) J. Am. Chem. Soc, 127, pp. 13573-13582; Burattin, P., Che, M., Louis, C., (1999) J. Phys. Chem. B, 103, pp. 6171-6178; van Dillen, A.J., Terörde, R.J.A.M., Lensveld, D.J., Geus, J.W., de Jong, K.P., (2003) J. Catal, 216, pp. 257-264; Poels, E.K., Dekker, J.G., van Leeuwen, W.A., (1991) Stud. Surf. Sci. Catal, 63, pp. 205-214; van de Loosdrecht, J., Barradas, S., Caricato, E.A., Ngwenya, N.G., Nkwanyana, P.S., Rawat, M.A.S., Sigwebela, B.H., Visagie, J.L., (2003) Top. Catal, 26, pp. 121-127; Chernavskii, P.A., Khodakov, A.Y., Pankina, G.V., Girardon, J.-S., Quinet, E., (2006) Appl. Catal. A, 306, pp. 108-119; Iglesia, E., (1997) Appl. Catal. A, 161, pp. 59-78; Bezemer, G.L., Bitter, J.H., Kuipers, H.P.C.E., Oosterbeek, H., Holewijn, J.E., Xu, X., Kapteijn, F., de Jong, K.P., (2006) J. Am. Chem. Soc, 128, pp. 3956-3964; Sietsma, J.R.A., van Dillen, A.J., de Jongh, P.E., de Jong, K.P., (2006) Stud. Surf. Sci. Catal, pp. 95-102; Thomas, J.M., Midgley, P.A., Yates, T.J.V., Barnard, J.S., Raja, R., Arslan, I., Weyland, M., (2004) Angew. Chem, 116, pp. 6913-6915; Angew, (2004) Chem. Int. Ed, 43, pp. 6745-6747; Salabas, E.L., Rumplecker, A., Kleitz, F., Radu, F., Schüth, F., (2006) Nano Lett, 6, pp. 2977-2981; Vradman, L., Landau, M.V., Kantorovich, D., Koltypin, Y., Gedanken, A., (2005) Microporous Mesoporous Mater, 79, pp. 307-318; Escax, V., Impéror-Clerc, M., Bazin, D., Davidson, A., (2005) C. R. Chim, 8, pp. 663-677; Ravikovitch, P.I., Neimark, A.V., (2002) Langmuir, 18, pp. 9830-9837; Janssen, A.H., Yang, C.-M., Wang, Y., Schüth, F., Koster, A.J., de Jong, K.P., (2003) J. Phys. Chem. B, 107, pp. 10552-10556; Zhao, D., Feng, J., Huo, Q., Melosh, N., Fredrickson, G.H., Chmelka, B.F., Stucky, G.D., (1998) Science, 279, pp. 548-552; Jaroniec, M., Kruk, M., Olivier, J.P., Koch, S., (1999) Proceedings of COPS-V, , Heidelberg, Germany","page":"4547-4549","title":"The preparation of supported NiO and Co3O4 nanoparticles by the nitric oxide controlled thermal decomposition of nitrates","type":"article-journal","volume":"46"},"uris":["http://www.mendeley.com/documents/?uuid=d6a7467a-0b47-4b87-9a79-efd212fb8a5b"]}],"mendeley":{"formattedCitation":"[169], [173]","plainTextFormattedCitation":"[169], [173]","previouslyFormattedCitation":"[169], [173]"},"properties":{"noteIndex":0},"schema":"https://github.com/citation-style-language/schema/raw/master/csl-citation.json"}</w:instrText>
      </w:r>
      <w:r w:rsidRPr="00CA583B">
        <w:rPr>
          <w:bCs/>
        </w:rPr>
        <w:fldChar w:fldCharType="separate"/>
      </w:r>
      <w:r w:rsidR="006C586A" w:rsidRPr="006C586A">
        <w:rPr>
          <w:bCs/>
          <w:noProof/>
        </w:rPr>
        <w:t>[169], [173]</w:t>
      </w:r>
      <w:r w:rsidRPr="00CA583B">
        <w:rPr>
          <w:bCs/>
        </w:rPr>
        <w:fldChar w:fldCharType="end"/>
      </w:r>
      <w:r w:rsidRPr="00CA583B">
        <w:rPr>
          <w:bCs/>
        </w:rPr>
        <w:t xml:space="preserve">. The production of nickel nitrate hydroxide is thought to be a result of the drying step. </w:t>
      </w:r>
    </w:p>
    <w:p w14:paraId="643B1B1B" w14:textId="24C2B4EB" w:rsidR="00007F6C" w:rsidRPr="002B6C9E" w:rsidRDefault="00007F6C" w:rsidP="004B726A">
      <w:pPr>
        <w:jc w:val="both"/>
        <w:rPr>
          <w:bCs/>
        </w:rPr>
      </w:pPr>
      <w:r w:rsidRPr="00CA583B">
        <w:rPr>
          <w:bCs/>
        </w:rPr>
        <w:lastRenderedPageBreak/>
        <w:t>Thermally decomposing the nickel nitrate precursor under the influence of a nitric oxide/ helium atmosphere was shown by differential scanning calorimetry to trigger the decomposition of nickel nitrate quicker than in air</w:t>
      </w:r>
      <w:r>
        <w:rPr>
          <w:bCs/>
        </w:rPr>
        <w:t xml:space="preserve"> (</w:t>
      </w:r>
      <w:r w:rsidRPr="00C05CA2">
        <w:rPr>
          <w:bCs/>
        </w:rPr>
        <w:fldChar w:fldCharType="begin"/>
      </w:r>
      <w:r w:rsidRPr="00C05CA2">
        <w:rPr>
          <w:bCs/>
        </w:rPr>
        <w:instrText xml:space="preserve"> REF _Ref51149306 \h  \* MERGEFORMAT </w:instrText>
      </w:r>
      <w:r w:rsidRPr="00C05CA2">
        <w:rPr>
          <w:bCs/>
        </w:rPr>
      </w:r>
      <w:r w:rsidRPr="00C05CA2">
        <w:rPr>
          <w:bCs/>
        </w:rPr>
        <w:fldChar w:fldCharType="separate"/>
      </w:r>
      <w:r w:rsidRPr="00C103C3">
        <w:t>Figure 2.9</w:t>
      </w:r>
      <w:r w:rsidRPr="00C05CA2">
        <w:rPr>
          <w:bCs/>
        </w:rPr>
        <w:fldChar w:fldCharType="end"/>
      </w:r>
      <w:r>
        <w:rPr>
          <w:bCs/>
        </w:rPr>
        <w:t xml:space="preserve">) </w:t>
      </w:r>
      <w:r w:rsidRPr="00CA583B">
        <w:rPr>
          <w:bCs/>
        </w:rPr>
        <w:fldChar w:fldCharType="begin" w:fldLock="1"/>
      </w:r>
      <w:r w:rsidR="00D80A5D">
        <w:rPr>
          <w:bCs/>
        </w:rPr>
        <w:instrText>ADDIN CSL_CITATION {"citationItems":[{"id":"ITEM-1","itemData":{"DOI":"10.1016/j.cattod.2010.02.052","ISBN":"09205861 (ISSN)","ISSN":"09205861","abstract":"Control over the size and size distribution of supported nanoparticles is key to their efficient use in catalysis. In the preparation of nanoparticles by impregnation using nitrate precursors, the support pore diameter can be used to influence the average crystallite size. However, the particle size distributions obtained via this method are generally broad and the dispersions relatively low. Higher dispersions and narrow particle size distributions are obtained via thermal decomposition of the metal nitrate precursor in 1% (v/v) NO in Ar instead of air. Here we will show that by combining the confinement effect of ordered mesoporous silica with a decomposition step of metal nitrates in NO, silica supported nickel and cobalt oxides with a tunable particle size (2-4 nm) can be obtained at high loadings (10-20 wt%). © 2010 Elsevier B.V.","author":[{"dropping-particle":"","family":"Wolters","given":"Mariska","non-dropping-particle":"","parse-names":false,"suffix":""},{"dropping-particle":"","family":"Grotel","given":"Lotte J.W. W","non-dropping-particle":"Van","parse-names":false,"suffix":""},{"dropping-particle":"","family":"Eggenhuisen","given":"Tamara M.","non-dropping-particle":"","parse-names":false,"suffix":""},{"dropping-particle":"","family":"Sietsma","given":"Jelle R.A. A","non-dropping-particle":"","parse-names":false,"suffix":""},{"dropping-particle":"","family":"Jong","given":"Krijn P.","non-dropping-particle":"De","parse-names":false,"suffix":""},{"dropping-particle":"","family":"Jongh","given":"Petra E.","non-dropping-particle":"De","parse-names":false,"suffix":""}],"container-title":"Catalysis Today","id":"ITEM-1","issue":"1","issued":{"date-parts":[["2011"]]},"language":"English","note":"From Duplicate 1 (Combining confinement and NO calcination to arrive at highly dispersed supported nickel and cobalt oxide catalysts with a tunable particle size - Wolters, M; Van Grotel, L J W; Eggenhuisen, T M; Sietsma, J R A; De Jong, K P; De Jongh, P E)\n\nCited By :33\nExport Date: 20 January 2017\nCODEN: CATTE\nCorrespondence Address: De Jongh, P. E.; Inorganic Chemistry and Catalysis, Debye Institute for NanoMaterials Science, Utrecht University, Sorbonnelaan 16, NL-3584 CA Utrecht, Netherlands; email: p.e.dejongh@uu.nl\nReferences: Balakos, M.W., Hernandez, E.E., (1997) Catal. Today, 35, p. 415; Chorkendorff, I., Niemantsverdriet, H., (2007) Concepts of Modern Catalysis and Kinetics, , Wiley-VCH Weinheim; Jiao, F., Frei, H., (2009) Angew. Chem. Int. Ed., 48, p. 1841; Bell, A.T., (2003) Science, 299, p. 1688; Che, M., Bennett, C.O., (1989) Adv. Catal., 36, p. 55; Somorjai, G.A., Park, J.Y., (2008) Top. Catal., 49, p. 126; Van Santen, R.A., (2009) Acc. Chem. Res., 42, p. 57; Bezemer, G.L., Bitter, J.H., Kuipers, H., Oosterbeek, H., Holewijn, J.E., Xu, X.D., Kapteijn, F., De Jong, K.P., (2006) J. Am. Chem. Soc., 128, p. 3956; Den Breejen, J.P., Radstake, P.B., Bezemer, G.L., Bitter, J.H., Froseth, V., Holmen, A., De Jong, K.P., (2009) J. Am. Chem. Soc., 131, p. 7197; De Jong, K.P., (1999) Curr. Opin. Solid State Mater. Sci., 4, p. 55; Bourikas, K., Kordulis, C., Lycourghiotis, A., (2006) Catal. Rev. Sci. Eng., 48, p. 363; Van Der Lee, M.K., Van Dillen, A.J., Bitter, J.H., De Jong, K.P., (2005) J. Am. Chem. Soc., 127, p. 13573; Van Dillen, A.J., Terörde, R.J.A.M., Lensveld, D.J., Geus, J.W., De Jong, K.P., (2003) J. Catal., 216, p. 257; Van De Loosdrecht, J., Barradas, S., Caricato, E.A., Ngwenya, N.G., Nkwanyana, P.S., Rawat, M.A.S., Sigwebela, B.H., Visagie, J.L., (2003) Top. Catal., 26, p. 121; Sietsma, J.R.A., Meeldijk, J.D., Den Breejen, J.P., Versluijs-Helder, M., Van Dillen, A.J., De Jongh, P.E., De Jong, K.P., (2007) Angew. Chem. Int. Ed., 46, p. 4547; Sietsma, J.R.A., Friedrich, H., Broersma, A., Versluijs-Helder, M., Van Dillen, A.J., De Jongh, P.E., De Jong, K.P., (2008) J. Catal., 260, p. 227; Khodakov, A.Y., Griboval-Constant, A., Bechara, R., Villain, F., (2001) J. Phys. Chem. B, 105, p. 9805; Jentys, A., Pham, N.H., Vinek, H., Englisch, M., Lercher, J.A., (1998) Catal. Today, 39, p. 311; Li, H.L., Li, J.L., Ni, H.K., Song, D.C., (2006) Catal. Lett., 110, p. 71; Borg Ø, Walmsley, J.C., Dehghan, R., Tanem, B.S., Blekkan, E.A., Eri, S., Rytter, E., Holmen, A., (2008) Catal. Lett., 126, p. 224; Van Der Meer, J., Bardez, I., Bart, F., Albouy, P.A., Wallez, G., Davidson, A., (2009) Micropor. Mesopor. Mater., 118, p. 183; Borg Ø, Dietzel, P.D.C., Spjelkavik, A.I., Tveten, E.Z., Walmsley, J.C., Diplas, S., Eri, S., Rytter, E., (2008) J. Catal., 259, p. 161; Zhao, D., Feng, J., Huo, Q., Melosh, N., Fredrickson, G.H., Chmelka, B.F., Stucky, G.D., (1998) Science, 279, p. 548; Cheng, C., Park, D.H., Klinowski, J., (1997) J. Chem. Soc. Faraday Trans., 93, p. 193; Jaroniec, M., Kruk, M., Olivier, J.P., Koch, S., (2000) Stud. Surf. Sci. Catal., 128, p. 71; Lippens, B.C., De Boer, J.H., (1965) J. Catal., 4, p. 319; Harkins, W.D., Jura, G., (1944) J. Am. Chem. Soc., 66, p. 1366; Gallezot, P., Prettre, M., (1968) Bull. Soc. Chim. Fr., 2, p. 407; Sietsma, J.R.A., Meeldijk, J.D., Versluijs-Helder, M., Broersma, A., Van Dillen, A.J., De Jongh, P.E., De Jong, K.P., (2008) Chem. Mater., 20, p. 2921; Petrov, K., Zotov, N., Mirtcheva, E., Garciamartinez, O., Rojas, R.M., (1994) J. Mater. Chem., 4, p. 611; Brockner, W., Ehrhardt, C., Gjikaj, M., (2007) Thermochim. Acta, 456, p. 64; Estelle, J., Salagre, P., Cesteros, Y., Serra, M., Medina, F., Sueiras, J.E., (2003) Solid State Ionics, 156, p. 233; Friedrich, H., Sietsma, J.R.A., De Jongh, P.E., Verkley, A.J., De Jong, K.P., (2007) J. Am. Chem. Soc., 129, p. 10249","page":"27-32","publisher":"Elsevier B.V.","title":"Combining confinement and NO calcination to arrive at highly dispersed supported nickel and cobalt oxide catalysts with a tunable particle size","type":"article-journal","volume":"163"},"uris":["http://www.mendeley.com/documents/?uuid=68f5959a-0c4a-4e95-ae5c-485ad2ab9e6a"]},{"id":"ITEM-2","itemData":{"DOI":"10.1016/j.cattod.2010.02.052","ISBN":"09205861 (ISSN)","abstract":"Control over the size and size distribution of supported nanoparticles is key to their efficient use in catalysis. In the preparation of nanoparticles by impregnation using nitrate precursors, the support pore diameter can be used to influence the average crystallite size. However, the particle size distributions obtained via this method are generally broad and the dispersions relatively low. Higher dispersions and narrow particle size distributions are obtained via thermal decomposition of the metal nitrate precursor in 1% (v/v) NO in Ar instead of air. Here we will show that by combining the confinement effect of ordered mesoporous silica with a decomposition step of metal nitrates in NO, silica supported nickel and cobalt oxides with a tunable particle size (2-4 nm) can be obtained at high loadings (10-20 wt%). © 2010 Elsevier B.V.","author":[{"dropping-particle":"","family":"Wolters","given":"M","non-dropping-particle":"","parse-names":false,"suffix":""},{"dropping-particle":"","family":"Grotel","given":"L J W","non-dropping-particle":"Van","parse-names":false,"suffix":""},{"dropping-particle":"","family":"Eggenhuisen","given":"T M","non-dropping-particle":"","parse-names":false,"suffix":""},{"dropping-particle":"","family":"Sietsma","given":"J R A","non-dropping-particle":"","parse-names":false,"suffix":""},{"dropping-particle":"","family":"Jong","given":"K P","non-dropping-particle":"De","parse-names":false,"suffix":""},{"dropping-particle":"","family":"Jongh","given":"P E","non-dropping-particle":"De","parse-names":false,"suffix":""}],"container-title":"Catalysis Today","id":"ITEM-2","issue":"1","issued":{"date-parts":[["2011"]]},"language":"English","note":"Cited By :33\nExport Date: 20 January 2017\nCODEN: CATTE\nCorrespondence Address: De Jongh, P. E.; Inorganic Chemistry and Catalysis, Debye Institute for NanoMaterials Science, Utrecht University, Sorbonnelaan 16, NL-3584 CA Utrecht, Netherlands; email: p.e.dejongh@uu.nl\nReferences: Balakos, M.W., Hernandez, E.E., (1997) Catal. Today, 35, p. 415; Chorkendorff, I., Niemantsverdriet, H., (2007) Concepts of Modern Catalysis and Kinetics, , Wiley-VCH Weinheim; Jiao, F., Frei, H., (2009) Angew. Chem. Int. Ed., 48, p. 1841; Bell, A.T., (2003) Science, 299, p. 1688; Che, M., Bennett, C.O., (1989) Adv. Catal., 36, p. 55; Somorjai, G.A., Park, J.Y., (2008) Top. Catal., 49, p. 126; Van Santen, R.A., (2009) Acc. Chem. Res., 42, p. 57; Bezemer, G.L., Bitter, J.H., Kuipers, H., Oosterbeek, H., Holewijn, J.E., Xu, X.D., Kapteijn, F., De Jong, K.P., (2006) J. Am. Chem. Soc., 128, p. 3956; Den Breejen, J.P., Radstake, P.B., Bezemer, G.L., Bitter, J.H., Froseth, V., Holmen, A., De Jong, K.P., (2009) J. Am. Chem. Soc., 131, p. 7197; De Jong, K.P., (1999) Curr. Opin. Solid State Mater. Sci., 4, p. 55; Bourikas, K., Kordulis, C., Lycourghiotis, A., (2006) Catal. Rev. Sci. Eng., 48, p. 363; Van Der Lee, M.K., Van Dillen, A.J., Bitter, J.H., De Jong, K.P., (2005) J. Am. Chem. Soc., 127, p. 13573; Van Dillen, A.J., Terörde, R.J.A.M., Lensveld, D.J., Geus, J.W., De Jong, K.P., (2003) J. Catal., 216, p. 257; Van De Loosdrecht, J., Barradas, S., Caricato, E.A., Ngwenya, N.G., Nkwanyana, P.S., Rawat, M.A.S., Sigwebela, B.H., Visagie, J.L., (2003) Top. Catal., 26, p. 121; Sietsma, J.R.A., Meeldijk, J.D., Den Breejen, J.P., Versluijs-Helder, M., Van Dillen, A.J., De Jongh, P.E., De Jong, K.P., (2007) Angew. Chem. Int. Ed., 46, p. 4547; Sietsma, J.R.A., Friedrich, H., Broersma, A., Versluijs-Helder, M., Van Dillen, A.J., De Jongh, P.E., De Jong, K.P., (2008) J. Catal., 260, p. 227; Khodakov, A.Y., Griboval-Constant, A., Bechara, R., Villain, F., (2001) J. Phys. Chem. B, 105, p. 9805; Jentys, A., Pham, N.H., Vinek, H., Englisch, M., Lercher, J.A., (1998) Catal. Today, 39, p. 311; Li, H.L., Li, J.L., Ni, H.K., Song, D.C., (2006) Catal. Lett., 110, p. 71; Borg Ø, Walmsley, J.C., Dehghan, R., Tanem, B.S., Blekkan, E.A., Eri, S., Rytter, E., Holmen, A., (2008) Catal. Lett., 126, p. 224; Van Der Meer, J., Bardez, I., Bart, F., Albouy, P.A., Wallez, G., Davidson, A., (2009) Micropor. Mesopor. Mater., 118, p. 183; Borg Ø, Dietzel, P.D.C., Spjelkavik, A.I., Tveten, E.Z., Walmsley, J.C., Diplas, S., Eri, S., Rytter, E., (2008) J. Catal., 259, p. 161; Zhao, D., Feng, J., Huo, Q., Melosh, N., Fredrickson, G.H., Chmelka, B.F., Stucky, G.D., (1998) Science, 279, p. 548; Cheng, C., Park, D.H., Klinowski, J., (1997) J. Chem. Soc. Faraday Trans., 93, p. 193; Jaroniec, M., Kruk, M., Olivier, J.P., Koch, S., (2000) Stud. Surf. Sci. Catal., 128, p. 71; Lippens, B.C., De Boer, J.H., (1965) J. Catal., 4, p. 319; Harkins, W.D., Jura, G., (1944) J. Am. Chem. Soc., 66, p. 1366; Gallezot, P., Prettre, M., (1968) Bull. Soc. Chim. Fr., 2, p. 407; Sietsma, J.R.A., Meeldijk, J.D., Versluijs-Helder, M., Broersma, A., Van Dillen, A.J., De Jongh, P.E., De Jong, K.P., (2008) Chem. Mater., 20, p. 2921; Petrov, K., Zotov, N., Mirtcheva, E., Garciamartinez, O., Rojas, R.M., (1994) J. Mater. Chem., 4, p. 611; Brockner, W., Ehrhardt, C., Gjikaj, M., (2007) Thermochim. Acta, 456, p. 64; Estelle, J., Salagre, P., Cesteros, Y., Serra, M., Medina, F., Sueiras, J.E., (2003) Solid State Ionics, 156, p. 233; Friedrich, H., Sietsma, J.R.A., De Jongh, P.E., Verkley, A.J., De Jong, K.P., (2007) J. Am. Chem. Soc., 129, p. 10249","page":"27-32","title":"Combining confinement and NO calcination to arrive at highly dispersed supported nickel and cobalt oxide catalysts with a tunable particle size","type":"article-journal","volume":"163"},"uris":["http://www.mendeley.com/documents/?uuid=f332073a-8245-40b8-869f-64cef4c02a05"]}],"mendeley":{"formattedCitation":"[166], [176]","plainTextFormattedCitation":"[166], [176]","previouslyFormattedCitation":"[166], [176]"},"properties":{"noteIndex":0},"schema":"https://github.com/citation-style-language/schema/raw/master/csl-citation.json"}</w:instrText>
      </w:r>
      <w:r w:rsidRPr="00CA583B">
        <w:rPr>
          <w:bCs/>
        </w:rPr>
        <w:fldChar w:fldCharType="separate"/>
      </w:r>
      <w:r w:rsidR="006C586A" w:rsidRPr="006C586A">
        <w:rPr>
          <w:bCs/>
          <w:noProof/>
        </w:rPr>
        <w:t>[166], [176]</w:t>
      </w:r>
      <w:r w:rsidRPr="00CA583B">
        <w:rPr>
          <w:bCs/>
        </w:rPr>
        <w:fldChar w:fldCharType="end"/>
      </w:r>
      <w:r w:rsidRPr="00CA583B">
        <w:rPr>
          <w:bCs/>
        </w:rPr>
        <w:t xml:space="preserve">. </w:t>
      </w:r>
    </w:p>
    <w:p w14:paraId="4A8BCA27" w14:textId="77777777" w:rsidR="00007F6C" w:rsidRPr="002B6C9E" w:rsidRDefault="00007F6C" w:rsidP="004B726A">
      <w:pPr>
        <w:keepNext/>
        <w:jc w:val="center"/>
      </w:pPr>
      <w:r w:rsidRPr="002B6C9E">
        <w:rPr>
          <w:noProof/>
          <w:lang w:eastAsia="en-GB"/>
        </w:rPr>
        <w:drawing>
          <wp:inline distT="0" distB="0" distL="0" distR="0" wp14:anchorId="6F05F958" wp14:editId="533B8B78">
            <wp:extent cx="3049251" cy="2597156"/>
            <wp:effectExtent l="0" t="0" r="0" b="0"/>
            <wp:docPr id="17" name="Picture 1" descr="DSC heat flow traces obtained during heating at 1 °C min−1 ramp of SBA-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 heat flow traces obtained during heating at 1 °C min−1 ramp of SBA-15 ..."/>
                    <pic:cNvPicPr>
                      <a:picLocks noChangeAspect="1" noChangeArrowheads="1"/>
                    </pic:cNvPicPr>
                  </pic:nvPicPr>
                  <pic:blipFill>
                    <a:blip r:embed="rId29" cstate="print"/>
                    <a:srcRect/>
                    <a:stretch>
                      <a:fillRect/>
                    </a:stretch>
                  </pic:blipFill>
                  <pic:spPr bwMode="auto">
                    <a:xfrm>
                      <a:off x="0" y="0"/>
                      <a:ext cx="3069672" cy="2614549"/>
                    </a:xfrm>
                    <a:prstGeom prst="rect">
                      <a:avLst/>
                    </a:prstGeom>
                    <a:noFill/>
                    <a:ln w="9525">
                      <a:noFill/>
                      <a:miter lim="800000"/>
                      <a:headEnd/>
                      <a:tailEnd/>
                    </a:ln>
                  </pic:spPr>
                </pic:pic>
              </a:graphicData>
            </a:graphic>
          </wp:inline>
        </w:drawing>
      </w:r>
    </w:p>
    <w:p w14:paraId="6FD710DB" w14:textId="3DD2EAA4" w:rsidR="00007F6C" w:rsidRPr="00005972" w:rsidRDefault="00007F6C" w:rsidP="004B726A">
      <w:pPr>
        <w:jc w:val="center"/>
        <w:rPr>
          <w:bCs/>
          <w:i/>
          <w:iCs/>
          <w:color w:val="44546A" w:themeColor="text2"/>
          <w:sz w:val="18"/>
          <w:szCs w:val="18"/>
        </w:rPr>
      </w:pPr>
      <w:bookmarkStart w:id="81" w:name="_Ref51149306"/>
      <w:bookmarkStart w:id="82" w:name="_Toc69114921"/>
      <w:r w:rsidRPr="00005972">
        <w:rPr>
          <w:i/>
          <w:iCs/>
          <w:color w:val="44546A" w:themeColor="text2"/>
          <w:sz w:val="18"/>
          <w:szCs w:val="18"/>
        </w:rPr>
        <w:t xml:space="preserve">Figure </w:t>
      </w:r>
      <w:r>
        <w:rPr>
          <w:i/>
          <w:iCs/>
          <w:color w:val="44546A" w:themeColor="text2"/>
          <w:sz w:val="18"/>
          <w:szCs w:val="18"/>
        </w:rPr>
        <w:t>2.</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A402C1">
        <w:rPr>
          <w:i/>
          <w:iCs/>
          <w:noProof/>
          <w:color w:val="44546A" w:themeColor="text2"/>
          <w:sz w:val="18"/>
          <w:szCs w:val="18"/>
        </w:rPr>
        <w:t>9</w:t>
      </w:r>
      <w:r w:rsidR="00285C23">
        <w:rPr>
          <w:i/>
          <w:iCs/>
          <w:color w:val="44546A" w:themeColor="text2"/>
          <w:sz w:val="18"/>
          <w:szCs w:val="18"/>
        </w:rPr>
        <w:fldChar w:fldCharType="end"/>
      </w:r>
      <w:bookmarkEnd w:id="81"/>
      <w:r w:rsidRPr="00005972">
        <w:rPr>
          <w:i/>
          <w:iCs/>
          <w:color w:val="44546A" w:themeColor="text2"/>
          <w:sz w:val="18"/>
          <w:szCs w:val="18"/>
        </w:rPr>
        <w:t>: Differential Scanning Calorimetry graph illustrating the effect of ramping at 1</w:t>
      </w:r>
      <w:r w:rsidRPr="00005972">
        <w:rPr>
          <w:rFonts w:cstheme="minorHAnsi"/>
          <w:i/>
          <w:iCs/>
          <w:color w:val="44546A" w:themeColor="text2"/>
          <w:sz w:val="18"/>
          <w:szCs w:val="18"/>
        </w:rPr>
        <w:t>°</w:t>
      </w:r>
      <w:r w:rsidRPr="00005972">
        <w:rPr>
          <w:i/>
          <w:iCs/>
          <w:color w:val="44546A" w:themeColor="text2"/>
          <w:sz w:val="18"/>
          <w:szCs w:val="18"/>
        </w:rPr>
        <w:t>C per minute on a nickel nitrate sample under different atmospheres. The grey trace line is the effect of ramping the nickel nitrate sample in air and the black line shows the effect of ramping the sample in a NO/He atmosphere</w:t>
      </w:r>
      <w:r>
        <w:rPr>
          <w:i/>
          <w:iCs/>
          <w:color w:val="44546A" w:themeColor="text2"/>
          <w:sz w:val="18"/>
          <w:szCs w:val="18"/>
        </w:rPr>
        <w:t xml:space="preserve"> </w:t>
      </w:r>
      <w:r w:rsidRPr="00005972">
        <w:rPr>
          <w:i/>
          <w:iCs/>
          <w:color w:val="44546A" w:themeColor="text2"/>
          <w:sz w:val="18"/>
          <w:szCs w:val="18"/>
        </w:rPr>
        <w:fldChar w:fldCharType="begin" w:fldLock="1"/>
      </w:r>
      <w:r w:rsidR="00D80A5D">
        <w:rPr>
          <w:i/>
          <w:iCs/>
          <w:color w:val="44546A" w:themeColor="text2"/>
          <w:sz w:val="18"/>
          <w:szCs w:val="18"/>
        </w:rPr>
        <w:instrText>ADDIN CSL_CITATION {"citationItems":[{"id":"ITEM-1","itemData":{"DOI":"http://dx.doi.org/10.1016/j.jcat.2008.10.007","ISBN":"0021-9517","abstract":"An explanation is put forward for the beneficial effect of thermal decomposition of supported Ni3(NO3)2(OH)4 in NO/He flow (0.1–1 vol%) that enables preparation of well-dispersed (3–5 nm particles) 24 wt% Ni-catalysts via impregnation and drying using aqueous [Ni(OH2)6](NO3)2 precursor solution. Moreover, combining electron tomography, XRD and N2-physisorption with SBA-15 support yielded a clear picture of the impact of air, He and NO/He gas atmospheres on NiO shape and distribution. TGA/MS indicated that NO2, N2O, H2O products evolved more gradually in NO/He. In situ XRD and DSC revealed that NO lowers the nitrate decomposition rate and appears less endothermic than in air supposedly due to exothermic scavenging of oxygen by NO, which is supported by MS results. The Ni/SiO2 catalyst prepared via the NO-method displayed a higher activity in the hydrogenation of soybean oil as the required hydrogenation time decreased by 30% compared to the traditionally air calcined catalyst.","author":[{"dropping-particle":"","family":"Sietsma","given":"Jelle R A","non-dropping-particle":"","parse-names":false,"suffix":""},{"dropping-particle":"","family":"Friedrich","given":"Heiner","non-dropping-particle":"","parse-names":false,"suffix":""},{"dropping-particle":"","family":"Broersma","given":"Alfred","non-dropping-particle":"","parse-names":false,"suffix":""},{"dropping-particle":"","family":"Versluijs-Helder","given":"Marjan","non-dropping-particle":"","parse-names":false,"suffix":""},{"dropping-particle":"","family":"Jos van Dillen","given":"A","non-dropping-particle":"","parse-names":false,"suffix":""},{"dropping-particle":"","family":"Jongh","given":"Petra E","non-dropping-particle":"de","parse-names":false,"suffix":""},{"dropping-particle":"","family":"Jong","given":"Krijn P","non-dropping-particle":"de","parse-names":false,"suffix":""}],"container-title":"Journal of Catalysis","id":"ITEM-1","issue":"2","issued":{"date-parts":[["2008"]]},"page":"227-235","title":"How nitric oxide affects the decomposition of supported nickel nitrate to arrive at highly dispersed catalysts","type":"article-journal","volume":"260"},"uris":["http://www.mendeley.com/documents/?uuid=bb48dacb-b120-4d69-8aa1-ed647712a98d"]}],"mendeley":{"formattedCitation":"[175]","plainTextFormattedCitation":"[175]","previouslyFormattedCitation":"[175]"},"properties":{"noteIndex":0},"schema":"https://github.com/citation-style-language/schema/raw/master/csl-citation.json"}</w:instrText>
      </w:r>
      <w:r w:rsidRPr="00005972">
        <w:rPr>
          <w:i/>
          <w:iCs/>
          <w:color w:val="44546A" w:themeColor="text2"/>
          <w:sz w:val="18"/>
          <w:szCs w:val="18"/>
        </w:rPr>
        <w:fldChar w:fldCharType="separate"/>
      </w:r>
      <w:r w:rsidR="006C586A" w:rsidRPr="006C586A">
        <w:rPr>
          <w:iCs/>
          <w:noProof/>
          <w:color w:val="44546A" w:themeColor="text2"/>
          <w:sz w:val="18"/>
          <w:szCs w:val="18"/>
        </w:rPr>
        <w:t>[175]</w:t>
      </w:r>
      <w:r w:rsidRPr="00005972">
        <w:rPr>
          <w:i/>
          <w:iCs/>
          <w:color w:val="44546A" w:themeColor="text2"/>
          <w:sz w:val="18"/>
          <w:szCs w:val="18"/>
        </w:rPr>
        <w:fldChar w:fldCharType="end"/>
      </w:r>
      <w:r w:rsidRPr="00005972">
        <w:rPr>
          <w:i/>
          <w:iCs/>
          <w:color w:val="44546A" w:themeColor="text2"/>
          <w:sz w:val="18"/>
          <w:szCs w:val="18"/>
        </w:rPr>
        <w:t>.</w:t>
      </w:r>
      <w:bookmarkEnd w:id="82"/>
      <w:r w:rsidRPr="00005972">
        <w:rPr>
          <w:i/>
          <w:iCs/>
          <w:color w:val="44546A" w:themeColor="text2"/>
          <w:sz w:val="18"/>
          <w:szCs w:val="18"/>
        </w:rPr>
        <w:t xml:space="preserve"> </w:t>
      </w:r>
    </w:p>
    <w:p w14:paraId="28AEA7D5" w14:textId="2E11520A" w:rsidR="00007F6C" w:rsidRPr="002B6C9E" w:rsidRDefault="00007F6C" w:rsidP="004B726A">
      <w:pPr>
        <w:jc w:val="both"/>
        <w:rPr>
          <w:bCs/>
        </w:rPr>
      </w:pPr>
      <w:r w:rsidRPr="002B6C9E">
        <w:rPr>
          <w:bCs/>
        </w:rPr>
        <w:t xml:space="preserve">Under different atmospheres the reactants change which </w:t>
      </w:r>
      <w:r>
        <w:rPr>
          <w:bCs/>
        </w:rPr>
        <w:t xml:space="preserve">produces a variety of </w:t>
      </w:r>
      <w:r w:rsidRPr="002B6C9E">
        <w:rPr>
          <w:bCs/>
        </w:rPr>
        <w:t xml:space="preserve">products. This is shown by </w:t>
      </w:r>
      <w:r>
        <w:rPr>
          <w:bCs/>
        </w:rPr>
        <w:fldChar w:fldCharType="begin"/>
      </w:r>
      <w:r>
        <w:rPr>
          <w:bCs/>
        </w:rPr>
        <w:instrText xml:space="preserve"> REF _Ref49776421 \h </w:instrText>
      </w:r>
      <w:r>
        <w:rPr>
          <w:bCs/>
        </w:rPr>
      </w:r>
      <w:r>
        <w:rPr>
          <w:bCs/>
        </w:rPr>
        <w:fldChar w:fldCharType="separate"/>
      </w:r>
      <w:r>
        <w:t>Equation 2.</w:t>
      </w:r>
      <w:r>
        <w:rPr>
          <w:noProof/>
        </w:rPr>
        <w:t>3</w:t>
      </w:r>
      <w:r>
        <w:rPr>
          <w:bCs/>
        </w:rPr>
        <w:fldChar w:fldCharType="end"/>
      </w:r>
      <w:r>
        <w:rPr>
          <w:bCs/>
        </w:rPr>
        <w:t xml:space="preserve"> </w:t>
      </w:r>
      <w:r w:rsidRPr="00A32B58">
        <w:rPr>
          <w:bCs/>
        </w:rPr>
        <w:t xml:space="preserve">below </w:t>
      </w:r>
      <w:r w:rsidRPr="00A32B58">
        <w:t xml:space="preserve"> </w:t>
      </w:r>
      <w:r w:rsidRPr="00A32B58">
        <w:fldChar w:fldCharType="begin" w:fldLock="1"/>
      </w:r>
      <w:r w:rsidR="00D80A5D">
        <w:instrText>ADDIN CSL_CITATION {"citationItems":[{"id":"ITEM-1","itemData":{"DOI":"10.1002/anie.200700608","ISBN":"14337851 (ISSN)","abstract":"A need for NO: Moderating the thermal decomposition of supported nitrates with NO (see picture, center) prevents precursor mobility and is a versatile method for the preparation of small NiO (left; compared to the product of the conventional procedure, right) and Co3O4 particles. These materials can be used as heterogeneous catalysts and show good activity in the Fischer-Tropsch synthesis. © 2007 Wiley-VCH Verlag GmbH &amp; Co. KGaA.","author":[{"dropping-particle":"","family":"Sietsma","given":"J R A","non-dropping-particle":"","parse-names":false,"suffix":""},{"dropping-particle":"","family":"Meeldijk","given":"J D","non-dropping-particle":"","parse-names":false,"suffix":""},{"dropping-particle":"","family":"Breejen","given":"J P","non-dropping-particle":"Den","parse-names":false,"suffix":""},{"dropping-particle":"","family":"Versluijs-Helder","given":"M","non-dropping-particle":"","parse-names":false,"suffix":""},{"dropping-particle":"","family":"Dillen","given":"A J","non-dropping-particle":"Van","parse-names":false,"suffix":""},{"dropping-particle":"","family":"Jongh","given":"P E","non-dropping-particle":"De","parse-names":false,"suffix":""},{"dropping-particle":"","family":"Jong","given":"K P","non-dropping-particle":"De","parse-names":false,"suffix":""}],"container-title":"Angewandte Chemie - International Edition","id":"ITEM-1","issue":"24","issued":{"date-parts":[["2007"]]},"language":"English","note":"Cited By :160\nExport Date: 20 January 2017\nCODEN: ACIEA\nCorrespondence Address: Sietsma, J.R.A.; Inorganic Chemistry and Catalysis, Utrecht University, Sorbonnelaan 16, 3584 CA, Utrecht, Netherlands\nReferences: Poizot, P., Laruelle, S., Grugeon, S., Dupont, L., Tarascon, J.-M., (2000) Nature, 407, pp. 496-499; O'Regan, B., Grätzel, M., (1991) Nature, 353, pp. 737-740; Kim, J., Lee, J.E., Lee, J., Jang, Y., Kim, S.-W., An, K., Yu, J.H., Hyeon, T., (2006) Angew. Chem, 118, pp. 4907-4911; Angew, (2006) Chem. Int. Ed, 45, pp. 4789-4793; Bell, A.T., (2003) Science, 299, pp. 1688-1691; Schlögl, R., Abd Hamid, S.B., (2004) Angew. Chem, 116, pp. 1656-1667; Angew, (2004) Chem. Int. Ed, 43, pp. 1628-1637; Ying, J.Y., (2006) Chem. Eng. Sci, 61, pp. 1540-1548; Mal, N.K., Fuijwara, N., Tanaka, Y., (2003) Nature, 421, pp. 350-353; de Jong, K.P., (1999) Curr. Opin. Solid State Mater. Sci, 4, pp. 55-62; Bourikas, K., Kordulis, C., Lycourghiotis, A., (2006) Catal. Rev. Sci. Eng, 48, pp. 363-444; Négrier, F., Marceau, E., Che, M., Giraudon, J.-M., Gengembre, L., Löfberg, A., (2005) J. Phys. Chem. B, 109, pp. 2836-2845; van der Lee, M.K., van Dillen, A.J., Bitter, J.H., de Jong, K.P., (2005) J. Am. Chem. Soc, 127, pp. 13573-13582; Burattin, P., Che, M., Louis, C., (1999) J. Phys. Chem. B, 103, pp. 6171-6178; van Dillen, A.J., Terörde, R.J.A.M., Lensveld, D.J., Geus, J.W., de Jong, K.P., (2003) J. Catal, 216, pp. 257-264; Poels, E.K., Dekker, J.G., van Leeuwen, W.A., (1991) Stud. Surf. Sci. Catal, 63, pp. 205-214; van de Loosdrecht, J., Barradas, S., Caricato, E.A., Ngwenya, N.G., Nkwanyana, P.S., Rawat, M.A.S., Sigwebela, B.H., Visagie, J.L., (2003) Top. Catal, 26, pp. 121-127; Chernavskii, P.A., Khodakov, A.Y., Pankina, G.V., Girardon, J.-S., Quinet, E., (2006) Appl. Catal. A, 306, pp. 108-119; Iglesia, E., (1997) Appl. Catal. A, 161, pp. 59-78; Bezemer, G.L., Bitter, J.H., Kuipers, H.P.C.E., Oosterbeek, H., Holewijn, J.E., Xu, X., Kapteijn, F., de Jong, K.P., (2006) J. Am. Chem. Soc, 128, pp. 3956-3964; Sietsma, J.R.A., van Dillen, A.J., de Jongh, P.E., de Jong, K.P., (2006) Stud. Surf. Sci. Catal, pp. 95-102; Thomas, J.M., Midgley, P.A., Yates, T.J.V., Barnard, J.S., Raja, R., Arslan, I., Weyland, M., (2004) Angew. Chem, 116, pp. 6913-6915; Angew, (2004) Chem. Int. Ed, 43, pp. 6745-6747; Salabas, E.L., Rumplecker, A., Kleitz, F., Radu, F., Schüth, F., (2006) Nano Lett, 6, pp. 2977-2981; Vradman, L., Landau, M.V., Kantorovich, D., Koltypin, Y., Gedanken, A., (2005) Microporous Mesoporous Mater, 79, pp. 307-318; Escax, V., Impéror-Clerc, M., Bazin, D., Davidson, A., (2005) C. R. Chim, 8, pp. 663-677; Ravikovitch, P.I., Neimark, A.V., (2002) Langmuir, 18, pp. 9830-9837; Janssen, A.H., Yang, C.-M., Wang, Y., Schüth, F., Koster, A.J., de Jong, K.P., (2003) J. Phys. Chem. B, 107, pp. 10552-10556; Zhao, D., Feng, J., Huo, Q., Melosh, N., Fredrickson, G.H., Chmelka, B.F., Stucky, G.D., (1998) Science, 279, pp. 548-552; Jaroniec, M., Kruk, M., Olivier, J.P., Koch, S., (1999) Proceedings of COPS-V, , Heidelberg, Germany","page":"4547-4549","title":"The preparation of supported NiO and Co3O4 nanoparticles by the nitric oxide controlled thermal decomposition of nitrates","type":"article-journal","volume":"46"},"uris":["http://www.mendeley.com/documents/?uuid=5c1b3b41-c259-429d-8084-b1ae2295d4ca"]},{"id":"ITEM-2","itemData":{"DOI":"10.1021/cm702610h","ISBN":"0897-4756","abstract":"In this contribution, we investigated the preparation of Ni/SiO2 catalysts with aqueous [Ni(OH2)6](NO3)2 solutions via the impregnation and drying method using ordered mesoporous silica SBA-15 (mesopore diameter of 9 nm) as model support to study each step in the preparation: impregnation, drying, calcination, and reduction. After impregnation, not all the mesopores of SBA-15 appeared filled with precursor solution. Consecutive drying led to formation of 9 nm Ni3(NO3)2(OH)4 crystallites exclusively within the mesopores. During air calcination, severe sintering and redistribution took place, resulting in a low NiO dispersion, including large NiO crystals outside of the mesopores and rodlike NiO particles inside the mesopores. The degree of sintering depended on the concentration of Ni3(NO3)2(OH)4 decomposition products (NO2, N2O, O2 and H2O), and in particular NO2 and O2 were found to promote sintering and redistribution. Therefore, maintaining low concentrations of the latter components during the thermal nitrate decomposition is advocated, which was achieved by carrying out the treatment in the presence of H2. The latter treatment prevented formation of NO2/O2 as decomposition products, moderated the decomposition rate of Ni3(NO3)2(OH)4 into NiO as observed from in situ XRD experiments, and led to NiO particles of 3 nm on average at a loading of 20 wt % Ni/SiO2.","author":[{"dropping-particle":"","family":"Sietsma","given":"Jelle R A","non-dropping-particle":"","parse-names":false,"suffix":""},{"dropping-particle":"","family":"Meeldijk","given":"Johannes D","non-dropping-particle":"","parse-names":false,"suffix":""},{"dropping-particle":"","family":"Versluijs-Helder","given":"Marjan","non-dropping-particle":"","parse-names":false,"suffix":""},{"dropping-particle":"","family":"Broersma","given":"Alfred","non-dropping-particle":"","parse-names":false,"suffix":""},{"dropping-particle":"van","family":"Dillen","given":"A Jos","non-dropping-particle":"","parse-names":false,"suffix":""},{"dropping-particle":"","family":"Jongh","given":"Petra E","non-dropping-particle":"de","parse-names":false,"suffix":""},{"dropping-particle":"","family":"Jong","given":"Krijn P","non-dropping-particle":"de","parse-names":false,"suffix":""}],"container-title":"Chemistry of Materials","id":"ITEM-2","issue":"9","issued":{"date-parts":[["2008"]]},"page":"2921-2931","publisher":"American Chemical Society","title":"Ordered Mesoporous Silica to Study the Preparation of Ni/SiO2 ex Nitrate Catalysts: Impregnation, Drying, and Thermal Treatments","type":"article-journal","volume":"20"},"uris":["http://www.mendeley.com/documents/?uuid=b2fc541f-ee76-4a77-bf15-cb4d615b4f12"]}],"mendeley":{"formattedCitation":"[169], [200]","plainTextFormattedCitation":"[169], [200]","previouslyFormattedCitation":"[169], [200]"},"properties":{"noteIndex":0},"schema":"https://github.com/citation-style-language/schema/raw/master/csl-citation.json"}</w:instrText>
      </w:r>
      <w:r w:rsidRPr="00A32B58">
        <w:fldChar w:fldCharType="separate"/>
      </w:r>
      <w:r w:rsidR="006C586A" w:rsidRPr="006C586A">
        <w:rPr>
          <w:noProof/>
        </w:rPr>
        <w:t>[169], [200]</w:t>
      </w:r>
      <w:r w:rsidRPr="00A32B58">
        <w:fldChar w:fldCharType="end"/>
      </w:r>
      <w:r w:rsidRPr="002B6C9E">
        <w:rPr>
          <w:bCs/>
        </w:rPr>
        <w:t>:</w:t>
      </w:r>
    </w:p>
    <w:p w14:paraId="4F695D09" w14:textId="77777777" w:rsidR="00007F6C" w:rsidRPr="002B6C9E" w:rsidRDefault="00007F6C" w:rsidP="004B726A">
      <w:pPr>
        <w:keepNext/>
      </w:pPr>
      <m:oMathPara>
        <m:oMath>
          <m:r>
            <m:rPr>
              <m:sty m:val="p"/>
            </m:rPr>
            <w:rPr>
              <w:rFonts w:ascii="Cambria Math" w:hAnsi="Cambria Math"/>
            </w:rPr>
            <m:t>Ni</m:t>
          </m:r>
          <m:sSub>
            <m:sSubPr>
              <m:ctrlPr>
                <w:rPr>
                  <w:rFonts w:ascii="Cambria Math" w:hAnsi="Cambria Math"/>
                  <w:i/>
                </w:rPr>
              </m:ctrlPr>
            </m:sSubPr>
            <m:e>
              <m:d>
                <m:dPr>
                  <m:ctrlPr>
                    <w:rPr>
                      <w:rFonts w:ascii="Cambria Math" w:hAnsi="Cambria Math"/>
                      <w:i/>
                    </w:rPr>
                  </m:ctrlPr>
                </m:dPr>
                <m:e>
                  <m:sSub>
                    <m:sSubPr>
                      <m:ctrlPr>
                        <w:rPr>
                          <w:rFonts w:ascii="Cambria Math" w:hAnsi="Cambria Math"/>
                          <w:i/>
                        </w:rPr>
                      </m:ctrlPr>
                    </m:sSubPr>
                    <m:e>
                      <m:r>
                        <m:rPr>
                          <m:sty m:val="p"/>
                        </m:rPr>
                        <w:rPr>
                          <w:rFonts w:ascii="Cambria Math" w:hAnsi="Cambria Math"/>
                        </w:rPr>
                        <m:t>NO</m:t>
                      </m:r>
                    </m:e>
                    <m:sub>
                      <m:r>
                        <m:rPr>
                          <m:sty m:val="p"/>
                        </m:rPr>
                        <w:rPr>
                          <w:rFonts w:ascii="Cambria Math" w:hAnsi="Cambria Math"/>
                        </w:rPr>
                        <m:t>3</m:t>
                      </m:r>
                    </m:sub>
                  </m:sSub>
                </m:e>
              </m:d>
            </m:e>
            <m:sub>
              <m:r>
                <m:rPr>
                  <m:sty m:val="p"/>
                </m:rPr>
                <w:rPr>
                  <w:rFonts w:ascii="Cambria Math" w:hAnsi="Cambria Math"/>
                </w:rPr>
                <m:t>2(s)</m:t>
              </m:r>
            </m:sub>
          </m:sSub>
          <m:r>
            <m:rPr>
              <m:sty m:val="p"/>
            </m:rPr>
            <w:rPr>
              <w:rFonts w:ascii="Cambria Math" w:hAnsi="Cambria Math"/>
            </w:rPr>
            <m:t>+NO→</m:t>
          </m:r>
          <m:sSub>
            <m:sSubPr>
              <m:ctrlPr>
                <w:rPr>
                  <w:rFonts w:ascii="Cambria Math" w:hAnsi="Cambria Math"/>
                  <w:i/>
                </w:rPr>
              </m:ctrlPr>
            </m:sSubPr>
            <m:e>
              <m:r>
                <m:rPr>
                  <m:sty m:val="p"/>
                </m:rPr>
                <w:rPr>
                  <w:rFonts w:ascii="Cambria Math" w:hAnsi="Cambria Math"/>
                </w:rPr>
                <m:t>NiO</m:t>
              </m:r>
            </m:e>
            <m:sub>
              <m:r>
                <m:rPr>
                  <m:sty m:val="p"/>
                </m:rPr>
                <w:rPr>
                  <w:rFonts w:ascii="Cambria Math" w:hAnsi="Cambria Math"/>
                </w:rPr>
                <m:t>(s)</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3NO</m:t>
              </m:r>
            </m:e>
            <m:sub>
              <m:r>
                <m:rPr>
                  <m:sty m:val="p"/>
                </m:rPr>
                <w:rPr>
                  <w:rFonts w:ascii="Cambria Math" w:hAnsi="Cambria Math"/>
                </w:rPr>
                <m:t>2(g)</m:t>
              </m:r>
            </m:sub>
          </m:sSub>
        </m:oMath>
      </m:oMathPara>
    </w:p>
    <w:p w14:paraId="18230720" w14:textId="6372250E" w:rsidR="00007F6C" w:rsidRDefault="00007F6C" w:rsidP="004B726A">
      <w:pPr>
        <w:jc w:val="right"/>
      </w:pPr>
      <w:bookmarkStart w:id="83" w:name="_Ref49776421"/>
      <w:r>
        <w:t>Equation 2.</w:t>
      </w:r>
      <w:r w:rsidR="00B51F53">
        <w:fldChar w:fldCharType="begin"/>
      </w:r>
      <w:r w:rsidR="00B51F53">
        <w:instrText xml:space="preserve"> SEQ Equation \* ARABIC </w:instrText>
      </w:r>
      <w:r w:rsidR="00B51F53">
        <w:fldChar w:fldCharType="separate"/>
      </w:r>
      <w:r w:rsidR="00315BF8">
        <w:rPr>
          <w:noProof/>
        </w:rPr>
        <w:t>3</w:t>
      </w:r>
      <w:r w:rsidR="00B51F53">
        <w:rPr>
          <w:noProof/>
        </w:rPr>
        <w:fldChar w:fldCharType="end"/>
      </w:r>
      <w:bookmarkEnd w:id="83"/>
    </w:p>
    <w:p w14:paraId="12D51CD6" w14:textId="77777777" w:rsidR="00007F6C" w:rsidRPr="002B6C9E" w:rsidRDefault="00007F6C" w:rsidP="004B726A">
      <w:pPr>
        <w:jc w:val="both"/>
        <w:rPr>
          <w:bCs/>
        </w:rPr>
      </w:pPr>
      <w:r>
        <w:rPr>
          <w:bCs/>
        </w:rPr>
        <w:t xml:space="preserve">The key difference with this </w:t>
      </w:r>
      <w:r w:rsidRPr="002B6C9E">
        <w:rPr>
          <w:bCs/>
        </w:rPr>
        <w:t xml:space="preserve">interaction is that </w:t>
      </w:r>
      <w:r>
        <w:rPr>
          <w:bCs/>
        </w:rPr>
        <w:t xml:space="preserve">an </w:t>
      </w:r>
      <w:r w:rsidRPr="002B6C9E">
        <w:rPr>
          <w:bCs/>
        </w:rPr>
        <w:t>oxygen radical</w:t>
      </w:r>
      <w:r>
        <w:rPr>
          <w:bCs/>
        </w:rPr>
        <w:t xml:space="preserve"> is not produced which promotes the reduction of </w:t>
      </w:r>
      <w:proofErr w:type="spellStart"/>
      <w:r w:rsidRPr="002B6C9E">
        <w:rPr>
          <w:bCs/>
        </w:rPr>
        <w:t>NiO</w:t>
      </w:r>
      <w:proofErr w:type="spellEnd"/>
      <w:r w:rsidRPr="002B6C9E">
        <w:rPr>
          <w:bCs/>
        </w:rPr>
        <w:t xml:space="preserve"> to nickel metal. Unlike in </w:t>
      </w:r>
      <w:r>
        <w:rPr>
          <w:bCs/>
          <w:highlight w:val="yellow"/>
        </w:rPr>
        <w:fldChar w:fldCharType="begin"/>
      </w:r>
      <w:r>
        <w:rPr>
          <w:bCs/>
        </w:rPr>
        <w:instrText xml:space="preserve"> REF _Ref49776421 \h </w:instrText>
      </w:r>
      <w:r>
        <w:rPr>
          <w:bCs/>
          <w:highlight w:val="yellow"/>
        </w:rPr>
      </w:r>
      <w:r>
        <w:rPr>
          <w:bCs/>
          <w:highlight w:val="yellow"/>
        </w:rPr>
        <w:fldChar w:fldCharType="separate"/>
      </w:r>
      <w:r>
        <w:t>Equation 2.</w:t>
      </w:r>
      <w:r>
        <w:rPr>
          <w:noProof/>
        </w:rPr>
        <w:t>3</w:t>
      </w:r>
      <w:r>
        <w:rPr>
          <w:bCs/>
          <w:highlight w:val="yellow"/>
        </w:rPr>
        <w:fldChar w:fldCharType="end"/>
      </w:r>
      <w:r>
        <w:rPr>
          <w:bCs/>
        </w:rPr>
        <w:t xml:space="preserve"> </w:t>
      </w:r>
      <w:r w:rsidRPr="002B6C9E">
        <w:rPr>
          <w:bCs/>
        </w:rPr>
        <w:t>the nickel oxide rather than being first catalysing in the molecular oxygen recombination reaction. Th</w:t>
      </w:r>
      <w:r>
        <w:rPr>
          <w:bCs/>
        </w:rPr>
        <w:t xml:space="preserve">is method produces a readily reducible metal oxide ready for heterogeneous catalyst. </w:t>
      </w:r>
    </w:p>
    <w:p w14:paraId="14BFF8CA" w14:textId="514D5E82" w:rsidR="00007F6C" w:rsidRPr="002B6C9E" w:rsidRDefault="00007F6C" w:rsidP="004B726A">
      <w:pPr>
        <w:jc w:val="both"/>
        <w:rPr>
          <w:bCs/>
        </w:rPr>
      </w:pPr>
      <w:r w:rsidRPr="002B6C9E">
        <w:rPr>
          <w:bCs/>
        </w:rPr>
        <w:t xml:space="preserve">The </w:t>
      </w:r>
      <w:r>
        <w:rPr>
          <w:bCs/>
        </w:rPr>
        <w:t>surface</w:t>
      </w:r>
      <w:r w:rsidRPr="005A0C39">
        <w:rPr>
          <w:bCs/>
        </w:rPr>
        <w:t xml:space="preserve">-specific activity </w:t>
      </w:r>
      <w:r w:rsidRPr="002B6C9E">
        <w:rPr>
          <w:bCs/>
        </w:rPr>
        <w:t>of nickel coated silica (calcined in NO/He) increased by 30</w:t>
      </w:r>
      <w:r w:rsidR="00B14A0F">
        <w:rPr>
          <w:bCs/>
        </w:rPr>
        <w:t xml:space="preserve"> </w:t>
      </w:r>
      <w:r w:rsidRPr="002B6C9E">
        <w:rPr>
          <w:bCs/>
        </w:rPr>
        <w:t>% in comparison with the air calcined nickel coated silica sample. This activity change was reported for a soybean oil hydrogenation reaction</w:t>
      </w:r>
      <w:r w:rsidR="00B14A0F">
        <w:rPr>
          <w:bCs/>
        </w:rPr>
        <w:t xml:space="preserve"> </w:t>
      </w:r>
      <w:r>
        <w:rPr>
          <w:bCs/>
        </w:rPr>
        <w:fldChar w:fldCharType="begin" w:fldLock="1"/>
      </w:r>
      <w:r w:rsidR="00D80A5D">
        <w:rPr>
          <w:bCs/>
        </w:rPr>
        <w:instrText>ADDIN CSL_CITATION {"citationItems":[{"id":"ITEM-1","itemData":{"DOI":"10.1021/cs5006772","ISBN":"2155-5435\r2155-5435","author":[{"dropping-particle":"","family":"Munnik","given":"Peter","non-dropping-particle":"","parse-names":false,"suffix":""},{"dropping-particle":"","family":"Krans","given":"Nynke A","non-dropping-particle":"","parse-names":false,"suffix":""},{"dropping-particle":"","family":"Jongh","given":"Petra E","non-dropping-particle":"de","parse-names":false,"suffix":""},{"dropping-particle":"","family":"Jong","given":"Krijn P","non-dropping-particle":"de","parse-names":false,"suffix":""}],"container-title":"ACS Catalysis","id":"ITEM-1","issue":"9","issued":{"date-parts":[["2014"]]},"page":"3219-3226","title":"Effects of Drying Conditions on the Synthesis of Co/SiO2and Co/Al2O3Fischer–Tropsch Catalysts","type":"article-journal","volume":"4"},"uris":["http://www.mendeley.com/documents/?uuid=a38e2c6c-43a6-4ee3-9c34-1ca39eaa0c09"]},{"id":"ITEM-2","itemData":{"DOI":"10.1016/j.jcat.2008.10.007","ISBN":"0021-9517","ISSN":"00219517","abstract":"An explanation is put forward for the beneficial effect of thermal decomposition of supported Ni3(NO3)2(OH)4in NO/He flow (0.1-1 vol%) that enables preparation of well-dispersed (3-5 nm particles) 24 wt% Ni-catalysts via impregnation and drying using aqueous [Ni(OH2)6](NO3)2precursor solution. Moreover, combining electron tomography, XRD and N2-physisorption with SBA-15 support yielded a clear picture of the impact of air, He and NO/He gas atmospheres on NiO shape and distribution. TGA/MS indicated that NO2, N2O, H2O products evolved more gradually in NO/He. In situ XRD and DSC revealed that NO lowers the nitrate decomposition rate and appears less endothermic than in air supposedly due to exothermic scavenging of oxygen by NO, which is supported by MS results. The Ni/SiO2catalyst prepared via the NO-method displayed a higher activity in the hydrogenation of soybean oil as the required hydrogenation time decreased by 30% compared to the traditionally air calcined catalyst. © 2008 Elsevier Inc. All rights reserved.","author":[{"dropping-particle":"","family":"Sietsma","given":"J. R A","non-dropping-particle":"","parse-names":false,"suffix":""},{"dropping-particle":"","family":"Friedrich","given":"Heiner","non-dropping-particle":"","parse-names":false,"suffix":""},{"dropping-particle":"","family":"Broersma","given":"Alfred","non-dropping-particle":"","parse-names":false,"suffix":""},{"dropping-particle":"","family":"Versluijs-Helder","given":"Marjan","non-dropping-particle":"","parse-names":false,"suffix":""},{"dropping-particle":"","family":"Jos van Dillen","given":"A.","non-dropping-particle":"","parse-names":false,"suffix":""},{"dropping-particle":"","family":"Jongh","given":"Petra E.","non-dropping-particle":"de","parse-names":false,"suffix":""},{"dropping-particle":"","family":"Jong","given":"Krijn P.","non-dropping-particle":"de","parse-names":false,"suffix":""}],"container-title":"Journal of Catalysis","id":"ITEM-2","issue":"2","issued":{"date-parts":[["2008"]]},"page":"227-235","publisher":"Elsevier Inc.","title":"How nitric oxide affects the decomposition of supported nickel nitrate to arrive at highly dispersed catalysts","type":"article-journal","volume":"260"},"uris":["http://www.mendeley.com/documents/?uuid=6954d62a-60df-4efa-977c-f9a44718f0ac"]}],"mendeley":{"formattedCitation":"[170], [177]","plainTextFormattedCitation":"[170], [177]","previouslyFormattedCitation":"[170], [177]"},"properties":{"noteIndex":0},"schema":"https://github.com/citation-style-language/schema/raw/master/csl-citation.json"}</w:instrText>
      </w:r>
      <w:r>
        <w:rPr>
          <w:bCs/>
        </w:rPr>
        <w:fldChar w:fldCharType="separate"/>
      </w:r>
      <w:r w:rsidR="006C586A" w:rsidRPr="006C586A">
        <w:rPr>
          <w:bCs/>
          <w:noProof/>
        </w:rPr>
        <w:t>[170], [177]</w:t>
      </w:r>
      <w:r>
        <w:rPr>
          <w:bCs/>
        </w:rPr>
        <w:fldChar w:fldCharType="end"/>
      </w:r>
      <w:r w:rsidRPr="002B6C9E">
        <w:rPr>
          <w:bCs/>
        </w:rPr>
        <w:t>.</w:t>
      </w:r>
      <w:r>
        <w:rPr>
          <w:bCs/>
        </w:rPr>
        <w:t xml:space="preserve"> </w:t>
      </w:r>
    </w:p>
    <w:p w14:paraId="23B815F5" w14:textId="637B1CCC" w:rsidR="00007F6C" w:rsidRPr="002B6C9E" w:rsidRDefault="00007F6C" w:rsidP="004B726A">
      <w:pPr>
        <w:jc w:val="both"/>
        <w:rPr>
          <w:bCs/>
        </w:rPr>
      </w:pPr>
      <w:r w:rsidRPr="00CA583B">
        <w:rPr>
          <w:bCs/>
        </w:rPr>
        <w:t xml:space="preserve">The findings of </w:t>
      </w:r>
      <w:proofErr w:type="spellStart"/>
      <w:r w:rsidRPr="00CA583B">
        <w:rPr>
          <w:bCs/>
        </w:rPr>
        <w:t>Sietsma</w:t>
      </w:r>
      <w:proofErr w:type="spellEnd"/>
      <w:r w:rsidRPr="00CA583B">
        <w:rPr>
          <w:bCs/>
        </w:rPr>
        <w:t xml:space="preserve"> were also supported by the Wolters et al study into the low temperature interaction of nitric oxide on nickel and cobalt nitrate solutions.  DRIFTS spectroscopy was used to study the impact of using a mixed NO/He atmosphere on the precursor solutions when they were</w:t>
      </w:r>
      <w:r w:rsidRPr="002B6C9E">
        <w:rPr>
          <w:bCs/>
        </w:rPr>
        <w:t xml:space="preserve"> heated at 350</w:t>
      </w:r>
      <w:r w:rsidR="00B14A0F">
        <w:rPr>
          <w:bCs/>
        </w:rPr>
        <w:t xml:space="preserve"> </w:t>
      </w:r>
      <w:r w:rsidRPr="002B6C9E">
        <w:rPr>
          <w:rFonts w:cstheme="minorHAnsi"/>
          <w:bCs/>
        </w:rPr>
        <w:t>°</w:t>
      </w:r>
      <w:r w:rsidRPr="002B6C9E">
        <w:rPr>
          <w:bCs/>
        </w:rPr>
        <w:t>C</w:t>
      </w:r>
      <w:r>
        <w:rPr>
          <w:bCs/>
        </w:rPr>
        <w:t xml:space="preserve"> </w:t>
      </w:r>
      <w:r>
        <w:rPr>
          <w:bCs/>
        </w:rPr>
        <w:fldChar w:fldCharType="begin" w:fldLock="1"/>
      </w:r>
      <w:r w:rsidR="00D80A5D">
        <w:rPr>
          <w:bCs/>
        </w:rPr>
        <w:instrText>ADDIN CSL_CITATION {"citationItems":[{"id":"ITEM-1","itemData":{"DOI":"10.1016/S0167-2991(10)75009-6","ISBN":"01672991 (ISSN); 9780444536013 (ISBN)","abstract":"In previous communications we have shown that the decomposition of nickel and cobalt nitrate in a flow of NO/He prevented agglomeration, yielding high nickel and cobalt oxide dispersions. We now report on the impact of NO on the decomposition of first row transition metal nitrates, i.e. Sc, Mn, Fe, Co, Ni, Cu, Zn, using thermal gravimetric analysis and mass spectrometry. It was found that NO decreased the temperature of decomposition significantly for all investigated metal nitrates. For cobalt, nickel and copper nitrate it was verified that decomposition in the presence of NO yielded high dispersions and narrow particle size distributions, whereas in Ar agglomeration resulted in broad particle size distributions. The beneficial effect of NO on the dispersion of Co, Ni and Cu coincided with a large difference in the decomposition profiles of these metal nitrates compared to that in Ar. It was found that NO induced fast and complete hydrolysis to highly dispersed cobalt, nickel and copper hydroxynitrates which decomposed to yield highly dispersed metal oxides. This is in contrast to literature reports that ascribe loss in dispersion to the formation of metal hydroxynitrate intermediates. © 2010 Elsevier B.V.","author":[{"dropping-particle":"","family":"Wolters","given":"M","non-dropping-particle":"","parse-names":false,"suffix":""},{"dropping-particle":"","family":"Contreras Andrade","given":"I C A","non-dropping-particle":"","parse-names":false,"suffix":""},{"dropping-particle":"","family":"Munnik","given":"P","non-dropping-particle":"","parse-names":false,"suffix":""},{"dropping-particle":"","family":"Bitter","given":"J H","non-dropping-particle":"","parse-names":false,"suffix":""},{"dropping-particle":"","family":"Jongh","given":"P E","non-dropping-particle":"De","parse-names":false,"suffix":""},{"dropping-particle":"","family":"Jong","given":"K P","non-dropping-particle":"De","parse-names":false,"suffix":""}],"container-title":"10th International Symposium on Scientific Bases for the Preparation of Heterogeneous Catalysts","id":"ITEM-1","issued":{"date-parts":[["2010"]]},"language":"English","note":"Conference code: 83704\nCited By :6\nExport Date: 20 January 2017\nCODEN: SSCTD\nCorrespondence Address: Wolters, M.; Inorganic Chemistry and Catalysis, Debye Institute for Nanomaterials Science, Utrecht University, Sorbonnelaan 16, 3584 CA Utrecht, Netherlands\nReferences: Paulik, F., Paulik, J., Arnold, M., (1987) Thermochimica Acta, 121, p. 137; Elmasry, M.A.A., Gaber, A., Khater, E.M.H., (1998) J. Therm. Anal. Calorim., 52, p. 489; Estelle, J., Salagre, P., Cesteros, Y., Serra, M., Medina, F., Sueiras, J.E., (2003) Solid State Ionics, 156, p. 233; Llewellyn, P.L., Chevrota, V., Ragaib, J., Cerclier, O., Estienne, J., Rouquerol, F., (1997) Solid State Ionics, 101-103, p. 1293; Toupance, T., Kermarec, M., Louis, C., (2000) J. Phys. Chem. B, 104, p. 965; Chouillet, C., Villain, F., Kermarec, M., Lauron-Pernot, H., Louis, C., (2003) J. Phys. Chem. B, 107, p. 3565; Catillon-Mucherie, S., Ammari, F., Krafft, J.M., Lauron-Pernot, H., Touroude, R., Louis, C., (2007) J. Phys. Chem. C, 111, p. 11619; Van De Loosdrecht, J., Barradas, S., Caricato, E.A., Ngwenya, N.G., Nkwanyana, P.S., Rawat, M.A.S., Sigwebela, B.H., Visagie, J.L., (2003) Top. Catal., 26, p. 121; Sietsma, J.R.A., Meeldijk, J.D., Versluijs-Helder, M., Broersma, A., Van Dillen, A.J., De Jongh, P.E., De Jong, K.P., (2008) Chem. Mater., 20, p. 2921; Sietsma, J.R.A., Meeldijk, J.D., Den Breejen, J.P., Versluijs-Helder, M., Van Dillen, A.J., De Jongh, P.E., De Jong, K.P., (2007) Angew. Chem. Int. Ed., 46, p. 4547; Sietsma, J.R.A., Friedrich, H., Broersma, A., Versluijs-Helder, M., Jos Van Dillen, A., De Jongh, P.E., De Jong, K.P., (2008) J. Catal., 260, p. 227; Nissinena, T., Leskel, M., Gasika, M., Lamminen, J., (2005) Thermochimica Acta, 427, p. 155; Wieczorek-Ciurowa, K., Kozak, A.J., (1999) J. Therm. Anal. Calorim., 58, p. 647; Yuvaraj, S., Fan-Yuan, L., Tsong-Huei, C., Chuin-Tih, Y., (2003) J. Phys. Chem. B, 107, p. 1044; Malecka, B., Gajerski, R., Malecki, A., Wierzbicka, M., Olszewski, P., (2003) Thermochimica Acta, 404, p. 125; Cseri, T., Békássy, Kenessey, G., Liptay, G., Figueras, F., (1996) Thermochimica Acta, 288, p. 137; Ettarh, C., Galwey, A.K., (1996) Thermochim. Acta, 288, p. 203; Dickens, P.G., Sutcliffe, M.B., (1964) Trans. Faraday. Soc., 60, p. 1272; Brockner, W., Ehrhardt, C., Gjikaj, M., (2007) Thermochim. Acta, 456, p. 64; Malecki, A., Gajerski, R., Labus, S., Prochowska-Klisch, B., Wojciechowski, K.T., (2000) J. Therm. Anal., 60, p. 17","page":"69-76","publisher-place":"Louvain-la-Neuve","title":"Impact of NO on the decomposition of supported metal nitrate catalyst precursors and the final metal oxide dispersion","type":"article","volume":"175"},"uris":["http://www.mendeley.com/documents/?uuid=60616314-3fad-4af3-ad66-c5b4121f79e1"]},{"id":"ITEM-2","itemData":{"DOI":"10.1021/jp910840k","ISBN":"1932-7447","ISSN":"19327447","abstract":"In the preparation of silica-supported nickel oxide from nickel nitrate impregnation and drying, the replacement of the traditional air calcination step by a thermal treatment in 1% NO/Ar prevents agglomeration, resulting in highly dispersed NiO. The mechanism by which NO prevents agglomeration was investigated by using combined in situ diffuse reflectance infrared fourier transform (DRIFT) spectroscopy and mass spectrometry (MS). After impregnation and drying, a supported nickel hydroxynitrate phase with composition Ni-3(NO3)(2)(OH)(4) had been formed. Comparison of the evolution of the decomposition gases during the thermal decomposition of Ni-3(NO3)(2)(OH)(4) in labeled and unlabeled NO and O-2 revealed that NO scavenges oxygen radicals, forming NO2. The DRIFT spectra revealed that the surface speciation evolved differently in the presence of NO as compared with in O-2 or Ar. It is proposed that oxygen scavenging by NO depletes the Ni-3(NO3)(2)(OH)(4) phase of nitrate groups, creating nucleation sites for the formation of NiO, which leads to very small (similar to 4 nm) NiO particles and prevents agglomeration.","author":[{"dropping-particle":"","family":"Wolters","given":"M.","non-dropping-particle":"","parse-names":false,"suffix":""},{"dropping-particle":"","family":"Daly","given":"H.","non-dropping-particle":"","parse-names":false,"suffix":""},{"dropping-particle":"","family":"Goguet","given":"A.","non-dropping-particle":"","parse-names":false,"suffix":""},{"dropping-particle":"","family":"Meunier","given":"F. C.","non-dropping-particle":"","parse-names":false,"suffix":""},{"dropping-particle":"","family":"Hardacre","given":"C.","non-dropping-particle":"","parse-names":false,"suffix":""},{"dropping-particle":"","family":"Bitter","given":"J. H.","non-dropping-particle":"","parse-names":false,"suffix":""},{"dropping-particle":"","family":"Jongh","given":"P. E.","non-dropping-particle":"De","parse-names":false,"suffix":""},{"dropping-particle":"","family":"Jong","given":"K. P.","non-dropping-particle":"De","parse-names":false,"suffix":""}],"container-title":"Journal of Physical Chemistry C","id":"ITEM-2","issue":"17","issued":{"date-parts":[["2010"]]},"page":"7839-7845","title":"DRIFTS/MS/Isotopic labeling study on the NO-moderated decomposition of a silica-supported nickel nitrate catalyst precursor","type":"article-journal","volume":"114"},"uris":["http://www.mendeley.com/documents/?uuid=449df1e3-2889-4629-930d-6731c6169893"]},{"id":"ITEM-3","itemData":{"DOI":"10.1021/jp1081406","ISBN":"1932-7447","ISSN":"19327447","abstract":"Impregnation of porous silica supports with cobalt and nickel nitrate precursor solutions is a convenient method to prepare supported nickel and cobalt (oxide) catalysts. However, the metal (oxide) dispersion obtained is highly dependent on the gas atmosphere during thermal treatment to convert the metal nitrate to the metal oxide, where a 1% NO/He gas flow yields the highest and stagnant air the lowest dispersion. The origin of this large difference was previously investigated by studying the decomposition of a silica-supported nickel nitrate precursor dried at 120 °C, focusing on the ability of NO to act as an oxygen scavenger at high temperatures (200−350 °C). In this contribution we show, using in situ DRIFTS and XRD, that NO plays an equally if not more important role in the prevention of agglomeration of nickel and cobalt nitrate at low temperatures (25−150 °C). It was found that in a N2 and O2/N2 flow a mixture of metal hydroxynitrates and metal nitrate hydrates was formed between 100 and 150 °C, whereas in an NO/He flow nearly complete hydrolysis to hydroxynitrates occurred. The hydroxynitrates exhibited a reduced mobility upon decomposition, and therefore, it is proposed that their increased formation is the key to the high dispersions of NiO and Co3O4 obtained in NO.","author":[{"dropping-particle":"","family":"Wolters","given":"M.","non-dropping-particle":"","parse-names":false,"suffix":""},{"dropping-particle":"","family":"Munnik","given":"P.","non-dropping-particle":"","parse-names":false,"suffix":""},{"dropping-particle":"","family":"Bitter","given":"J. H.","non-dropping-particle":"","parse-names":false,"suffix":""},{"dropping-particle":"","family":"Jongh","given":"P. E.","non-dropping-particle":"De","parse-names":false,"suffix":""},{"dropping-particle":"","family":"Jong","given":"K. P.","non-dropping-particle":"De","parse-names":false,"suffix":""}],"container-title":"Journal of Physical Chemistry C","id":"ITEM-3","issue":"8","issued":{"date-parts":[["2011"]]},"page":"3332-3339","title":"How NO affects nickel and cobalt nitrates at low temperatures to arrive at highly dispersed silica-supported nickel and cobalt catalysts","type":"article-journal","volume":"115"},"uris":["http://www.mendeley.com/documents/?uuid=84a8c4c0-c629-44cc-a088-b62ced2633b4"]}],"mendeley":{"formattedCitation":"[165], [201], [202]","plainTextFormattedCitation":"[165], [201], [202]","previouslyFormattedCitation":"[165], [201], [202]"},"properties":{"noteIndex":0},"schema":"https://github.com/citation-style-language/schema/raw/master/csl-citation.json"}</w:instrText>
      </w:r>
      <w:r>
        <w:rPr>
          <w:bCs/>
        </w:rPr>
        <w:fldChar w:fldCharType="separate"/>
      </w:r>
      <w:r w:rsidR="006C586A" w:rsidRPr="006C586A">
        <w:rPr>
          <w:bCs/>
          <w:noProof/>
        </w:rPr>
        <w:t>[165], [201], [202]</w:t>
      </w:r>
      <w:r>
        <w:rPr>
          <w:bCs/>
        </w:rPr>
        <w:fldChar w:fldCharType="end"/>
      </w:r>
      <w:r w:rsidRPr="002B6C9E">
        <w:rPr>
          <w:bCs/>
        </w:rPr>
        <w:t xml:space="preserve">. These were compared with samples heated in a stagnant air environment for the same amount of time. </w:t>
      </w:r>
    </w:p>
    <w:p w14:paraId="682F10CC" w14:textId="202F6F01" w:rsidR="00007F6C" w:rsidRPr="00CA583B" w:rsidRDefault="00007F6C" w:rsidP="004B726A">
      <w:pPr>
        <w:jc w:val="both"/>
        <w:rPr>
          <w:bCs/>
        </w:rPr>
      </w:pPr>
      <w:r w:rsidRPr="002B6C9E">
        <w:rPr>
          <w:bCs/>
        </w:rPr>
        <w:t>At lower temperatures use of nitric oxide especially (1</w:t>
      </w:r>
      <w:r w:rsidR="00B14A0F">
        <w:rPr>
          <w:bCs/>
        </w:rPr>
        <w:t xml:space="preserve"> </w:t>
      </w:r>
      <w:r w:rsidRPr="002B6C9E">
        <w:rPr>
          <w:bCs/>
        </w:rPr>
        <w:t xml:space="preserve">% NO/He) certainly improved the rate at which </w:t>
      </w:r>
      <w:proofErr w:type="spellStart"/>
      <w:r w:rsidRPr="002B6C9E">
        <w:rPr>
          <w:bCs/>
        </w:rPr>
        <w:t>NiO</w:t>
      </w:r>
      <w:proofErr w:type="spellEnd"/>
      <w:r w:rsidRPr="002B6C9E">
        <w:rPr>
          <w:bCs/>
        </w:rPr>
        <w:t xml:space="preserve"> was produced on the silica scaffold which could prove telling to produce metal nanoparticle catalysts.</w:t>
      </w:r>
      <w:r>
        <w:rPr>
          <w:bCs/>
        </w:rPr>
        <w:t xml:space="preserve"> Nitric oxide is thought to remove excess oxygen from the reaction this hypothesis was supported by the lack of an oxygen signal from the mass spectrometry after the final decomposition </w:t>
      </w:r>
      <w:r w:rsidRPr="00CA583B">
        <w:rPr>
          <w:bCs/>
        </w:rPr>
        <w:t>step</w:t>
      </w:r>
      <w:r w:rsidRPr="00CA583B">
        <w:rPr>
          <w:bCs/>
        </w:rPr>
        <w:fldChar w:fldCharType="begin" w:fldLock="1"/>
      </w:r>
      <w:r w:rsidR="00D80A5D">
        <w:rPr>
          <w:bCs/>
        </w:rPr>
        <w:instrText>ADDIN CSL_CITATION {"citationItems":[{"id":"ITEM-1","itemData":{"DOI":"10.1021/cm702610h","ISSN":"0897-4756","abstract":"In this contribution, we investigated the preparation of Ni/SiO2 catalysts with aqueous [Ni(OH2)6](NO3)2 solutions via the impregnation and drying method using ordered mesoporous silica SBA-15 (mesopore diameter of 9 nm) as model support to study each step in the preparation: impregnation, drying, calcination, and reduction. After impregnation, not all the mesopores of SBA-15 appeared filled with precursor solution. Consecutive drying led to formation of 9 nm Ni3(NO3)2(OH)4 crystallites exclusively within the mesopores. During air calcination, severe sintering and redistribution took place, resulting in a low NiO dispersion, including large NiO crystals outside of the mesopores and rodlike NiO particles inside the mesopores. The degree of sintering depended on the concentration of Ni3(NO3)2(OH)4 decomposition products (NO2, N2O, O2 and H2O), and in particular NO2 and O2 were found to promote sintering and redistribution. Therefore, maintaining low concentrations of the latter components during the thermal nitrate decomposition is advocated, which was achieved by carrying out the treatment in the presence of H2. The latter treatment prevented formation of NO2/O2 as decomposition products, moderated the decomposition rate of Ni3(NO3)2(OH)4 into NiO as observed from in situ XRD experiments, and led to NiO particles of 3 nm on average at a loading of 20 wt % Ni/SiO2.","author":[{"dropping-particle":"","family":"Sietsma","given":"Jelle R A","non-dropping-particle":"","parse-names":false,"suffix":""},{"dropping-particle":"","family":"Meeldijk","given":"Johannes D","non-dropping-particle":"","parse-names":false,"suffix":""},{"dropping-particle":"","family":"Versluijs-Helder","given":"Marjan","non-dropping-particle":"","parse-names":false,"suffix":""},{"dropping-particle":"","family":"Broersma","given":"Alfred","non-dropping-particle":"","parse-names":false,"suffix":""},{"dropping-particle":"van","family":"Dillen","given":"A Jos","non-dropping-particle":"","parse-names":false,"suffix":""},{"dropping-particle":"","family":"Jongh","given":"Petra E","non-dropping-particle":"de","parse-names":false,"suffix":""},{"dropping-particle":"","family":"Jong","given":"Krijn P","non-dropping-particle":"de","parse-names":false,"suffix":""}],"container-title":"Chemistry of Materials","id":"ITEM-1","issue":"9","issued":{"date-parts":[["2008","5","1"]]},"note":"doi: 10.1021/cm702610h","page":"2921-2931","publisher":"American Chemical Society","title":"Ordered Mesoporous Silica to Study the Preparation of Ni/SiO2 ex Nitrate Catalysts: Impregnation, Drying, and Thermal Treatments","type":"article-journal","volume":"20"},"uris":["http://www.mendeley.com/documents/?uuid=8f35ba25-6cd8-4e07-ac7c-cb626021cd9a"]}],"mendeley":{"formattedCitation":"[168]","plainTextFormattedCitation":"[168]","previouslyFormattedCitation":"[168]"},"properties":{"noteIndex":0},"schema":"https://github.com/citation-style-language/schema/raw/master/csl-citation.json"}</w:instrText>
      </w:r>
      <w:r w:rsidRPr="00CA583B">
        <w:rPr>
          <w:bCs/>
        </w:rPr>
        <w:fldChar w:fldCharType="separate"/>
      </w:r>
      <w:r w:rsidR="006C586A" w:rsidRPr="006C586A">
        <w:rPr>
          <w:bCs/>
          <w:noProof/>
        </w:rPr>
        <w:t>[168]</w:t>
      </w:r>
      <w:r w:rsidRPr="00CA583B">
        <w:rPr>
          <w:bCs/>
        </w:rPr>
        <w:fldChar w:fldCharType="end"/>
      </w:r>
      <w:r w:rsidRPr="00CA583B">
        <w:rPr>
          <w:bCs/>
        </w:rPr>
        <w:t xml:space="preserve">. </w:t>
      </w:r>
    </w:p>
    <w:p w14:paraId="70A4562C" w14:textId="20CFD365" w:rsidR="00007F6C" w:rsidRPr="00CA583B" w:rsidRDefault="00007F6C" w:rsidP="004B726A">
      <w:pPr>
        <w:jc w:val="both"/>
        <w:rPr>
          <w:bCs/>
        </w:rPr>
      </w:pPr>
      <w:r w:rsidRPr="00CA583B">
        <w:rPr>
          <w:bCs/>
        </w:rPr>
        <w:t xml:space="preserve">The use of nitric oxide on the production of metallic nanoscale catalysts has not been explored for infiltrated fuel electrodes. SOFCs anodes differ in both the substrate porosity and material, which will </w:t>
      </w:r>
      <w:r w:rsidRPr="00CA583B">
        <w:rPr>
          <w:bCs/>
        </w:rPr>
        <w:lastRenderedPageBreak/>
        <w:t>impact the decomposition due to metal-support interactions</w:t>
      </w:r>
      <w:r>
        <w:rPr>
          <w:bCs/>
        </w:rPr>
        <w:t xml:space="preserve"> </w:t>
      </w:r>
      <w:r w:rsidRPr="00CA583B">
        <w:rPr>
          <w:bCs/>
        </w:rPr>
        <w:fldChar w:fldCharType="begin" w:fldLock="1"/>
      </w:r>
      <w:r w:rsidR="00D80A5D">
        <w:rPr>
          <w:bCs/>
        </w:rPr>
        <w:instrText>ADDIN CSL_CITATION {"citationItems":[{"id":"ITEM-1","itemData":{"DOI":"10.1038/nmat1040","ISBN":"1476-1122","ISSN":"14761122","PMID":"14704781","abstract":"Fuel cells will undoubtedly find widespread use in this new millennium in the conversion of chemical to electrical energy, as they offer very high efficiencies and have unique scalability in electricity-generation applications. The solid-oxide fuel cell (SOFC) is one of the most exciting of these energy technologies; it is an all-ceramic device that operates at temperatures in the range 500-1,000 degrees C. The SOFC offers certain advantages over lower temperature fuel cells, notably its ability to use carbon monoxide as a fuel rather than being poisoned by it, and the availability of high-grade exhaust heat for combined heat and power, or combined cycle gas-turbine applications. Although cost is clearly the most important barrier to widespread SOFC implementation, perhaps the most important technical barriers currently being addressed relate to the electrodes, particularly the fuel electrode or anode. In terms of mitigating global warming, the ability of the SOFC to use commonly available fuels at high efficiency, promises an effective and early reduction in carbon dioxide emissions, and hence is one of the lead new technologies for improving the environment. Here, we discuss recent developments of SOFC fuel electrodes that will enable the better use of readily available fuels.","author":[{"dropping-particle":"","family":"Atkinson","given":"A.","non-dropping-particle":"","parse-names":false,"suffix":""},{"dropping-particle":"","family":"Barnett","given":"S.","non-dropping-particle":"","parse-names":false,"suffix":""},{"dropping-particle":"","family":"Gorte","given":"R. J.","non-dropping-particle":"","parse-names":false,"suffix":""},{"dropping-particle":"","family":"Irvine","given":"J. T.S.","non-dropping-particle":"","parse-names":false,"suffix":""},{"dropping-particle":"","family":"McEvoy","given":"A. J.","non-dropping-particle":"","parse-names":false,"suffix":""},{"dropping-particle":"","family":"Mogensen","given":"M.","non-dropping-particle":"","parse-names":false,"suffix":""},{"dropping-particle":"","family":"Singhal","given":"S. C.","non-dropping-particle":"","parse-names":false,"suffix":""},{"dropping-particle":"","family":"Vohs","given":"J.","non-dropping-particle":"","parse-names":false,"suffix":""}],"container-title":"Nature Materials","id":"ITEM-1","issue":"1","issued":{"date-parts":[["2004"]]},"language":"English","note":"Cited By :951\nExport Date: 7 October 2016\nCorrespondence Address: Irvine, J.T.S.; School of Chemistry, University of St Andrews, St Andrews, Fife KY16 9ST, United Kingdom\nChemicals/CAS: hydrogen, 12385-13-6, 1333-74-0; Ceramics; Hydrogen, 1333-74-0; Metals\nReferences: Baur, E., Preis, H., Uber die Eisenoxyd-Kathode in der Kohle-Luft-Kette (1937) Z. Elektrochem., 43, p. 727; Möbius, H.-H., On the history of solid electrolyte fuel cells (1997) Solid State Electrochem., 1, p. 2; Spacil, H.S., (1970) Electrical Device Including Nickel-containing Stabilized Zirconia Electrode, , US Patent 3,558,360; Lee, J.H., Quantitative analysis of microstructure and its related electrical property of SOFC anode, Ni-YSZ cermet (2002) Solid State Ionics, 148, pp. 1-2; Toebes, M.L., Bitter, I.H., Van Dillen, A.J., De Jong, K.P., Impact of the structure and reactivity of nickel particles on the catalytic growth of carbon nanofibers (2002) Catal Today, 76, pp. 33-42; Sasaki, K., Teraoka, Y., Equilibria in fuel cell gases -I. Equilibrium compositions and reforming conditions (2003) J. Electrochem. Soc., 150, pp. A878-A884; Murray, E.P., Tsai, T., Barnett, S.A., A direct-methane fuel cell with a ceriabased anode (1999) Nature, 400, pp. 649-651; Mogensen, M., Jensen, K.V., Jorgensen, M.J., Primdahl, S., Progress in understanding SOFC electrodes (2002) Solid State Ionics, 150, pp. 123-129; Lu, X.Y., Faguy, P.W., Liu, M.I., In situ potential-dependent FTIR emission spectroscopy - A novel probe for high temperature fuel cell interfaces (2002) J. Electrochm. Sac., 149, pp. A1293-A1298; Bernardo, C.A., Alstrup, I., Rostrupnielsen, J.R., Carbon deposition and methane steam reforming on silica-supported Ni-Cu catalysts (1985) J. Catal., 96, pp. 517-534; Dong, W.S., Roh, H.S., Jun, K.W., Park, S.E., Oh, Y.S., Methane reforming over Ni/Ce-ZrO2 catalysts: Effect of nickel content (2002) Appl. Catal. A, 226, pp. 63-72; Bunluesin, T., Gorte, R.J., Graham, G.W., Studies of the water-gas-shift reaction on ceria-supported Pt, Pd, and Rh: Implications for oxygen-storage properties (1998) Appl. Catal. B, 15, pp. 107-114; Sharma, S., Hilaire, S., Vohs, J.M., Gorte, R.J., Jen, H.W., Evidence for oxidation of ceria by CO2 (2000) J. Catal., 199, pp. 199-204; Ramirez-Cabrera, E., Atkinson, A., Chadwick, D., The influence of point defects on the resistance of ceria to carbon deposition in hydrocarbon catalysis (2000) Solid State Ionics, 136, pp. 825-831; Marina, O.A., Mogensen, M., High-temperature conversion of methane on a composite gadolinia-doped ceria-gold electrode (1999) Appl. Catal. A, 189, pp. 117-126; Park, S.D., Vohs, J.M., Gorte, R.J., Direct oxidation of hydrocarbons in a solid-oxide fuel cell (2000) Nature, 404, pp. 265-267; Kiratzis, N., Holtappels, P., Hatchwell, C.E., Mogensen, M., Irvine, J.T.S., Preparation and characterisation of copper/yttria titania zirconia cermets for use as possible solid oxide fuel cell anodes (2001) Fuel Cells, 1, pp. 211-218; Kim, H., Park, S., Vohs, J.M., Gorte, R.J., Direct oxidation of liquid fuels in a solid oxide fuel cell (2001) J. Electrochem. Soc., 148, pp. A693-A695; Minh, N.Q., Ceramic fuel-cells (1993) J. Am. Ceram. Soc., 76, pp. 563-588; Yokokawa, H., Sakai, N., Kawada, T., Dokiya, M., Thermodynamic stabilities of perovskite oxides for electrodes and other electrochemical materials (1992) Solid State Ionics, 52, pp. 43-56; Pudmich, G., Chromite/titanate based perovskites for application as anodes in solid oxide fuel cells (2000) Solid State Ionics, 135, pp. 433-438; Tao, S., Irvine, J.T.S., A redox-stable, efficient anode for solid-oxide fuel cells (2003) Nature Mater., 2, pp. 320-323; Vernoux, P., Guillodo, M., Fouletier, J., Hammou, A., Alternative anode materials for gradual methane reforming in solid oxide fuel cells (2000) Solid State Ionics, 133, pp. 425-431; Sfeir, J., Lanthanum chromite based catalysts for oxidation of methane directly on SOFC anode (2001) J. Catal., 202, pp. 229-244; Sfeir, J., Van Herle, J., Vasquez, R., (2002) Proc. 5th European Solid Oxide Fuel Cell Forum, pp. 570-577. , ed. Huijsmans J. (European SOFC Forum, Switzerland); Sauvet, A.L., Irvine, J.T.S., (2002) Proc. 5th European Solid Oxide Fuel Cell Forum, pp. 490-498. , ed. Huijsmans J. (European SOFC Forum, Switzerland); Slater, P.R., Fagg, D.P., Irvine, J.T.S., Synthesis and electrical characterisation of the doped perovskite titanates as potential anode materials for solid oxide fuel cells (1997) J. Mater. Chem., 7, pp. 2495-2498; Hui, S.Q., Petric, A., Electrical properties of yttrium-doped strontium titanate under reducing conditions (2002) J. Electrochem. Soc., 149, pp. J1-J10; Marina, O.A., Pederson, L.R., (2002) Proc. 5th European Solid Oxide Fuel Cell Forum, pp. 481-489. , ed. Huijimans, J. (European SOFC Forum, Switzerland); Canales-Vázquez, J., Tao, S.W., Irvine, J.T.S., (2003) Electrical Properties in La2Sr4Ti6O 19-d: A Potential Anode for High Temperature Fuel Cells Solid State Ionics, 159, pp. 159-165; Reich, C., Kaiser, A., Irvine, J.T.S., (2001) Niobia Based Rutile Materials as Sofc Anodes, Fuel Cells - from Fundamentals to Systems, 1, pp. 249-255; Ramos, T., Atkinson, A., (2001) Ionic and Mixed Conducting Ceramics IV, PV2001-28, pp. 352-367. , eds Ramanarayanan, T. A., Worrell, W. L. &amp;amp; Mogensen, M. (Electrochemical Scociety Proceedings); Steele, B.C.H., Appraisal of Ce1-yGdyO2-y/2electrolytes for IT-SOFC operation at 500° C (2000) Solid State Ionics, 129, pp. 95-110; Wang, S.R., Kobayashi, T., Dokiya, M., Hashimoto, T., Electrical and ionic conductivity of Gd-doped ceria (2000) J. Electrochem. Soc., 147, pp. 3606-3609; Floyd, J.M., Interpretation of transport phenomena in non-stoichiometric ceria (1972) J. Ind. Technol., pp. 275-280; Tao, S., Irvine, J.T.S., Optimization of mixed conducting properties of Y2O 3ZrO2-TiO2 and Sc2O 3-Y2O3-ZrO2-TiO2 solid solutions as potential SOFC anode materials (2002) J. Solid State Chem., 165, pp. 12-18; Sauvet, A.-L., Fouletier, J., Catalytic properties of new anode materials for solid oxide fuel cells operated under methane at intermediary temperature (2001) J. Power Sources, 101, pp. 259-266; Sprague, J.J., Tuller, H.L., Mixed ionic and electronic conduction in Mn/Mo doped gadolinium titanate (1999) J. Europ. Ceram. Soc., 19, pp. 803-806; Holtappels, P., Poulsen, F.W., Mogensen, M., Electrical conductivities and chemical stabilities of mixed conducting pyrochlores for SOFC applications (2000) Solid State Ionics, 135, pp. 675-679; McIntosh, S., Vohs, J.M., Gorte, R.J., Role of hydrocarbon deposits in the enhanced performance of direct-oxidation SOFCs (2003) J. Electrochem. Soc., 150, pp. A470-A476; Lu, C., Worrell, W.L., Vohs, J.M., Gorte, R.J., (2003) Solid Oxide Fuel Cells VIII, 7, pp. 773-780. , eds Singhal. S. C. &amp;amp; Dokiya, M., (Electrochemical Society Proceedings); Lu, C., Worrell, W.L., Gorte, R.J., Vohs, J.M., SOFCs for direct oxidation of hydrocarbon fuels with samaria-doped ceria Electrolyte (2003) J. Electrochem, Soc., 150, pp. A354-A358; Sfeir, J., (2001) Alternative Anode Materials for Methane Oxidation in Solid Oxide Fuel Cells, , Thesis, Ecole Polytechnique Fédérale de Lausanne, Switzerland; Liu, J., Madsen, B.D., Ji, Z.Q., Barnett, S.A., A fuel-flexible ceramic-based anode for solid oxide fuel cells (2002) Electrochem. Solid State Lett., 5, pp. A122-A124; Sauvet, A.L., Fouletier, J., Electrochemical properties of a new type of anode material La 1-xSrxCr1-yRuyO3-δ for SOFC under hydrogen and methane at intermediate temperatures (2001) Electrochim. Acta, 47, pp. 987-995; Vernoux, P., Guindet, J., Kleitz, M., Gradual internal methane reforming in intermediate-temperature solid-oxide fuel cells (1998) J. Electrochem. Soc., 145, pp. 3487-3492; Skarmoutsos, D., Teitz, F., Nikolopoulos, P., Structure - Property relationships of Ni/YSZ and Ni/(YSZ+TiO2) cermets (2001) Fuel Cells, 1, pp. 243-248; Holtappels, P., (1997) Electrocatalysis on Nickel-cermet E,lectrodes Jülich, , Research Centre Report number 3414, and Thesis, Univ. Bonn; Kiratzis, N., Holtappels, P., Hatchwell, C.E., Mogensen, M., Irvine, J.T.S., Preparation and characterisation of copper/yttria titania zirconia cermets for use as possible solid oxide fuel cell anodes (2001) Fuel Cells, 1, pp. 211-218","page":"17-27","title":"Advanced anodes for high-temperature fuel cells","type":"article-journal","volume":"3"},"uris":["http://www.mendeley.com/documents/?uuid=5b7491b8-7a88-4fb4-aaf6-a24df77a007d"]},{"id":"ITEM-2","itemData":{"DOI":"10.1039/FT9938902075","ISSN":"09565000","abstract":"A series of Ni/WO3-Al2O3 catalysts have been prepared by systematically varying the weight loading of WO3-Al2O3 and the pH during adsorption/impregnation. The catalysts developed an increased interaction between the impregnated nickel and the supported metal oxide; the charge on the mixed oxide resulted in the impregnated nickel cation to be preferentially adsorbed onto tungsten sites of the composite supports. The amount of nickel associated with tungsten oxide was found to be a function of both the tungsten oxide weight loading and the impregnation pH. An increase in the negative charge due to hydrolysis of the tungsten oxide phase in the aqueous impregnant is proposed to result in a tungsten oxide associated nickel that is twice as large for the catalysts prepared at pH 6 than that at pH 4. The Ni/support interaction formed during adsorption/impregnation and drying were studied by temperature-programmed reduction (TPR) and temperature-programmed oxidation (TPO). The tungsten oxide and associated nickel were found to form a nickel tungstate compound which reacted with H2 at ca. 1050 K but could be regenerated by TPO. An Ni/Al2O4 type surface compound was also formed that was reduced at ca. 1150 K.","author":[{"dropping-particle":"","family":"Southmayd","given":"D. W.","non-dropping-particle":"","parse-names":false,"suffix":""},{"dropping-particle":"","family":"Contescu","given":"Cr","non-dropping-particle":"","parse-names":false,"suffix":""},{"dropping-particle":"","family":"Schwarz","given":"J. A.","non-dropping-particle":"","parse-names":false,"suffix":""}],"container-title":"Journal of the Chemical Society, Faraday Transactions","id":"ITEM-2","issue":"12","issued":{"date-parts":[["1993"]]},"page":"2075-2083","title":"Temperature-programmed reduction and oxidation of nickel supported on WO3-Al2O3 composite oxides","type":"article-journal","volume":"89"},"uris":["http://www.mendeley.com/documents/?uuid=18ee36c0-d70c-46d7-b7e9-396bfad7c0af"]},{"id":"ITEM-3","itemData":{"DOI":"10.1021/nn406119j","ISBN":"19360851 (ISSN)","abstract":"Metal nanoparticle growth represents a major deactivation mechanism of supported catalysts and other functional nanomaterials, particularly those based on low melting-point metals. Here we investigate the impact of the support porous structure on the stability of CuZnO/SiO2 model methanol synthesis catalysts. A series of silica materials with ordered cagelike (SBA-16 mesostructure) and disordered (SiO2-gel) porosities and varying pore sizes were employed as catalyst supports. Nitric oxide moderated nitrate decomposition enabled the synthesis of catalytically active Cu nanoparticles (3-5 nm) exclusively inside the silica pores with short interparticle spacings. Under relevant reactive conditions, confinement of the Cu particles in cagelike silica pores notably enhances catalyst stability by limiting Cu particle growth as compared to catalysts deposited in SiO2-gel host materials with also 3D and highly interconnected though unconstrained porosity. For both pore morphologies, we find a direct relationship between catalyst stability and support porosity, provided the narrowest characteristic pore dimension is employed as a porosity descriptor. For cagelike porosities this corresponds to the size of the entrances to the nanocages. Our results point to nanoparticle diffusion and coalescence as a relevant growth mechanism under reactive conditions and underscore the significance of the narrowest pore constrictions to mitigate growth and improve catalyst stability. This finding contributes to the establishment of general and quantitative structure-stability relationships which are essential for the design of catalysts and related functional nanostructures with long lifetimes under operation conditions. © 2014 American Chemical Society.","author":[{"dropping-particle":"","family":"Prieto","given":"G","non-dropping-particle":"","parse-names":false,"suffix":""},{"dropping-particle":"","family":"Shakeri","given":"M","non-dropping-particle":"","parse-names":false,"suffix":""},{"dropping-particle":"","family":"Jong","given":"K P","non-dropping-particle":"De","parse-names":false,"suffix":""},{"dropping-particle":"","family":"Jongh","given":"P E","non-dropping-particle":"De","parse-names":false,"suffix":""}],"container-title":"ACS Nano","id":"ITEM-3","issue":"3","issued":{"date-parts":[["2014"]]},"language":"English","note":"Cited By :20\nExport Date: 20 January 2017\nCorrespondence Address: De Jongh, P.E.; Inorganic Chemistry and Catalysis, Debye Institute for Nanomaterials Science, Utrecht University, 3584 CG, Utrecht, Netherlands; email: P.E.deJongh@uu.nl\nFunding details: Utrecht University\nReferences: Ertl, G., Knözinger, H., Schüth, F., Weitkamp, J., (2008) Handbook of Heterogeneous Catalysis, , Eds. Wiley-VCH: Weinheim; Wynblatt, P., Gjostein, N.A., Supported Metal Crystallites (1975) Prog. Solid State Chem., 9, pp. 21-58; Bartholomew, C.H., Mechanisms of Catalyst Deactivation (2001) Appl. Catal. A Gen., 212, pp. 17-60; Moulijn, J.A., Van Diepen, A.E., Kapteijn, F., Catalyst Deactivation: Is it Predictable?-What to Do? (2001) Appl. Catal., A, 212, pp. 3-16; Valden, M., Lai, X., Goodman, D.W., Onset of Catalytic Activity of Gold Clusters on Titania with the Appearance of Nonmetallic Properties (1998) Science, 281, pp. 1647-1650; Van Santen, R.A., Complementary Structure Sensitive and Insensitive Catalytic Relationships (2009) Acc. Chem. Res., 42, pp. 57-66; Bezemer, L., Bitter, J.H., Kuipers, H.P.C.E., Oosterbeek, H., Holewijn, J.E., Xu, X., Kapteijn, F., De Jong, K.P., Cobalt Particle Size Effects in the Fischer-Tropsch Reaction Studied with Carbon Nanofiber Supported Catalysts (2006) J. Am. Chem. Soc., 128, pp. 3956-3964; Hughes, M.D., Xu, Y.J., Jenkins, P., McMorn, P., Landon, P., Enache, D.I., Carley, A.F., Kiely, C.J., Tunable Gold Catalysts for Selective Hydrocarbon Oxidation under Mild Conditions (2005) Nature, 437, pp. 1132-1135; Torres Galvis, H.M., Bitter, J.H., Davidian, T., Ruitenbeek, M., Dugulan, A.I., De Jong, K.P., Iron Particle Size Effects for Direct Production of Lower Olefins from Synthesis Gas (2012) J. Am. Chem. Soc., 134, pp. 16207-16215; Boronat, M., Concepción, P., Corma, A., González, S., Illas, F., Serna, P., A Molecular Mechanism for the Chemoselective Hydrogenation of Substituted Nitroaromatics with Nanoparticles of Gold on TiO2 Catalysts: A Cooperative Effect between Gold and the Support (2007) J. Am. Chem. Soc., 129, pp. 16230-16237; Prieto, G., Concepción, P., Martínez, A., Mendoza, E., New Insights into the Role of the Electronic Properties of Oxide Promoters in Rh-Catalyzed Selective Synthesis of Oxygenates from Synthesis Gas (2011) J. Catal., 280, pp. 274-288; López-Haro, M., Cíes, J.M., Trasobares, S., Pérez-Omil, J.A., Delgado, J.J., Bernal, S., Bayle-Guillemaud, P., Calvino, J.J., Imaging Nanostructural Modifications Induced by Electronic Metal-Support Interaction Effects at Au/Cerium-Based Oxide Nanointerfaces (2012) ACS Nano, 6, pp. 6812-6820; Cao, A., Veser, G., Exceptional High-Temperature Stability Through Distillation-like Self-Stabilization in Bimetallic Nanoparticles (2010) Nat. Mater., 9, pp. 75-81; Farmer, J.A., Campbell, C.T., Ceria Maintains Smaller Metal Catalyst Particles by Strong Metal-Support Bonding (2010) Science, 239, pp. 933-936; Wang, Y., Van De Vyver, S., Sharma, K., Román-Leshkov, Y., Insights into the Stability of Gold Nanoparticles Supported on Metal Oxides for the Base-Free Oxidation of Glucose to Gluconic Acid (2014) Green Chem., 16, pp. 719-726; Arnal, P.M., Comotti, M., Schüth, F., High-Temperature-Stable Catalysts by Hollow Sphere Encapsulation (2006) Angew. Chem., Int. Ed., 45, pp. 8224-8227; Joo, S.H., Park, J.Y., Tsung, C.K., Yamada, Y., Yang, P., Somorjai, G.A., Thermally Stable Pt/Mesoporous Silica Core-Shell Nanocatalysts for High-Temperature Reactions (2009) Nat. Mater., 8, pp. 126-131; Lu, J., Fu, B., Kung, M.C., Xiao, G., Elam, J.W., Kung, H.H., Stair, P.C., Coking- and Sintering-Resistant Palladium Catalysts Achieved Through Atomic Layer Deposition (2012) Science, 335, pp. 1205-1208; Prieto, G., Zecevic, J., Friedrich, H., De Jong, K.P., De Jongh, P.E., Towards Stable Catalysts by Controlling Collective Properties of Supported Metal Nanoparticles (2013) Nat. Mater., 12, pp. 34-39; Prieto, G., Meeldijk, J.D., De Jong, K.P., De Jongh, P.E., Interplay between Pore Size and Nanoparticle Spatial Distribution: Consequences for the Stability of CuZn/SiO2 Methanol Synthesis Catalysts (2013) J. Catal., 303, pp. 31-40; Cao, A., Lu, R., Veser, G., Stabilizing Metal Nanoparticles for Heterogeneous Catalysis (2010) Phys. Chem. Chem. Phys., 12, pp. 13499-13510; Wang, J., Lu, A.-H., Li, M., Zhang, W., Chen, Y.-S., Tian, D.-X., Li, W.-C., Thin Porous Alumina Sheets as Supports for Stabilizing Gold Nanoparticles (2013) ACS Nano, 7, pp. 4902-4910; Ruckenstein, E., Pulvermacher, B., Effect of the Pore Size on the Aging of Supported Metals (1975) J. Catal., 37, pp. 416-423; Richardson, J.T., Propp, J.L., Pore Size Effects on Sintering of Ni/Al2O3 Catalysts (1986) J. Catal., 98, pp. 457-467; Sun, J., Ma, D., Zhang, H., Liu, X., Han, X., Bao, X., Weinberg, G., Su, D., Toward Monodispersed Silver Nanoparticles with Unusual Thermal Stability (2006) J. Am. Chem. Soc., 128, pp. 15756-15764; Bore, M.T., Pham, H.N., Switzer, E.E., Ward, T.L., Fukuoka, A., Datye, A.K., The Role of Pore Size and Structure on the Thermal Stability of Gold Nanoparticles within Mesoporous Silica (2005) J. Phys. Chem. B, 109, pp. 2873-2880; Zhao, D.Y., Huo, Q.S., Feng, J.L., Chmelka, B.F., Stucky, G.D., Nonionic Triblock and Star Diblock Copolymer and Oligomeric Surfactant Syntheses of Highly Ordered, Hydrothermally Stable, Mesoporous Silica Structures (1998) J. Am. Chem. Soc., 120, pp. 6024-6036; Yu, C.Z., Yu, Y.H., Zhao, D.Y., Highly Ordered Large Caged Cubic Mesoporous Silica Structures Templated by Triblock PEO-PBO-PEO Copolymer (2000) Chem. Commun., pp. 575-576; Fan, J., Yu, C.Z., Gao, T., Lei, J., Tian, B.Z., Wang, L.M., Luo, Q., Zhao, D.Y., Cubic Mesoporous Silica with Large Controllable Entrance Sizes and Advanced Adsorption Properties (2003) Angew. Chem., Int. Ed., 42, pp. 3146-3150; Matos, J.R., Kruk, M., Mercuri, L.P., Jaroniec, M., Zhao, L., Kamiyama, T., Terasaki, O., Liu, Y., Ordered Mesoporous Silica with Large Cage-Like Pores: Structural Identification and Pore Connectivity Design by Controlling the Synthesis Temperature and Time (2003) J. Am. Chem. Soc., 125, pp. 821-829; Li, L.Y., King, D.L., Liu, J., Huo, Q.S., Zhu, K.K., Wang, C.M., Gerber, M., Wang, Y., Stabilization of Metal Nanoparticles in Cubic Mesostructured Silica and Its Application in Regenerable Deep Desulfurization of Warm Syngas (2009) Chem. Mater., 21, pp. 5358-5364; Hao, Y., Chong, Y., Li, S., Yang, H., Controlled Synthesis of Au Nanoparticles in the Nanocages of SBA-16: Improved Activity and Enhanced Recyclability for the Oxidative Esterification of Alcohols (2012) J. Phys. Chem. C, 116, pp. 6512-6519; Li, X., Liu, X., Yang, Y., Zhao, J., Li, C., Yang, Q., Entrapment of Metal Nanoparticles within Nanocages of Mesoporous Silicas Aided by Co-Surfactants (2012) J. Mater. Chem., 22, pp. 21045-21050; Chorkendorff, I., Niemantsverdriet, H., (2003) Concepts of Modern Catalysis and Kinetics, , Eds. Wiley-VCH: Weinheim; Olah, G.A., Goeppert, A., Surya Prakash, G.K., (2009) Beyond Oil and Gas: The Methanol Economy, , Eds. Wiley-VCH: Weinheim; Twigg, M.V., Spencer, M.S., Deactivation of Copper Metal Catalysts for Methanol Steam Reforming and Methanol Synthesis (2003) Top. Catal., 22, pp. 191-203; Rasmussen, D.B., Janssens, T.V.W., Temel, B., Bligaard, T., Hinnemann, B., Helveg, S., Sehested, J., The Energies of Formation and Mobilities of Cu Surface Species on Cu and ZnO in Methanol and Water Gas Shift Atmospheres Studied by DFT (2012) J. Catal., 293, pp. 205-214; Baltes, C., Vukojević, S., Schüth, F., Correlations between Synthesis, Precursor, and Catalyst Structure and Activity of a Large Set of CuO/ZnO/Al2O3 Catalysts for Methanol Synthesis (2008) J. Catal., 258, pp. 334-344; Behrens, M., Studt, F., Kasatjin, I., Kühl, S., Hävecker, M., Abild-Pedersen, K., Zander, S., Schlögl, R., The Active Site of Methanol Synthesis over Cu/ZnO/Al2O 3 Industrial Catalysts (2012) Science, 336, pp. 893-897; Prieto, G., De Jong, K.P., De Jongh, P.E., Towards &amp;quot;greener&amp;quot; Catalyst Manufacture: Reduction of Wastewater from the Preparation of Cu/ZnO/Al2O3 Methanol Synthesis Catalysts (2013) Catal. Today, 215, pp. 142-151; Jansen, W.P.A., Beckers, J., Van Der Heuvel, J.C., Van Der Gon, A.W.D., Bliek, A., Brongersma, H.H., Dynamic Behavior of the Surface Structure of Cu/ZnO/SiO2 Catalysts (2002) J. Catal., 210, pp. 229-236; Becker, R., Parala, H., Hipler, F., Tkachenko, O.P., Klementiev, K.V., Grünert, W., Wilmer, H., Fischer, R.A., MOCVD-Loading of Mesoporous Siliceous Matrices with Cu/ZnO: Supported Catalysts for Methanol Synthesis (2004) Angew. Chem., Int. Ed., 43, pp. 2839-2842; Van Den Berg, M.W.E., Polarz, S., Tkachenko, O.P., Klementiev, K.V., Bandyopadhyay, M., Khodeir, L., Gies, H., Grünert, W., Cu/ZnO Aggregates in Siliceous Mesoporous Matrices: Development of a New Model Methanol Synthesis Catalyst (2006) J. Catal., 241, pp. 446-455; Munnik, P., Wolters, M., Gabrielsson, A., Pollington, S.D., Headdock, G., Bitter, J.H., De Jongh, P.E., De Jong, K.P., Copper Nitrate Redispersion to Arrive at Highly Active Silica Supported Copper Catalysts (2011) J. Phys. Chem. C, 115, pp. 14698-14706; Sing, K.S.W., Williams, R.T., Physisorption Hysteresis Loops and the Characterization of Nanoporous Materials (2004) Adsorpt. Sci. Technol., 22, pp. 773-782; Ravikovitch, P.I., Neimark, A.V., Density Functional Theory of Adsorption in Spherical Cavities and Pore Size Characterization of Templated Nanoporous Silicas with Cubic and Three-Dimensional Hexagonal Structures (2002) Langmuir, 18, pp. 1550-1560; Eggenhuisen, T.M., Prieto, G., Talsma, H., De Jong, K.P., De Jongh, P.E., Entrance Size Analysis of Silica Materials with Cagelike Pore Structure by Thermoporometry (2012) J. Phys. Chem. C, 116, pp. 23383-23393; Kruk, M., Jaroniec, M., Argon Adsorption at 77 K as a Useful Tool for the Elucidation of Pore Connectivity in Ordered Materials with Large Cagelike Mesopores (2003) Chem. Mater., 15, pp. 2942-2949; Kim, T.-W., Ryoo, R., Kruk, M., Gierszal, K.P., Jaroniec, M., Kamiya, S., Terasaki, O., Tailoring the Pore Structure of SBA-16 Silica Molecular Sieve Through the Use of Copolymer Blends and Control of Synthesis Temperature and Time (2004) J. Phys. Chem. B, 108, pp. 11480-11489; Antonchshuk, V., Kruk, M., Jaroniec, M., Surface Modifications of Cage-like and Channel-like Mesopores and Their Implications for Evaluation of Sizes of Entrances to Cage-like Mesopores (2003) J. Phys. Chem. B, 107, pp. 11900-11906; Kruk, M., Antonchshuk, V., Matos, J.R., Mercuri, L.P., Jaroniec, M., Determination and Tailoring the Pore Entrance Size in Ordered Silicas with Cage-like Mesoporous Structures (2002) J. Am. Chem. Soc., 124, pp. 768-769; Shakeri, M., Klein Gebbink, R.J.M., De Jongh, P.E., De Jong, K.P., Control and Assessment of Plugging of Mesopores in SBA-15 Materials (2013) Microporous Mesoporous Mater., 170, pp. 340-345; De Jong, K.P., (2009) Synthesis of Solid Catalysts, , Ed. Wiley-VCH: Weinheim; Chouillet, C., Villain, F., Kermarec, M., Lauron-Pernot, H., Louis, C., Relevance of the Drying Step in the Preparation by Impregnation of Zn/SiO2 Supported Catalysts (2003) J. Phys. Chem. B, 107, pp. 3565-3575; Catillon-Mucherie, S., Ammari, F., Krafft, J.-M., Lauron-Pernot, H., Touroude, R., Louis, C., Preparation of Coimpregnated Cu-Zn/SiO2 Catalysts: Influence of the Drying Step on Metallic Particle Size and on Cu0-Zn II Interactions (2007) J. Phys. Chem. C, 111, pp. 11619-11626; Sietsma, J.R.A., Meeldijk, J.D., Den Breejen, J.P., Versluijs-Helder, M., Van Dillen, A.J., De Jongh, P.E., De Jong, K.P., The Preparation of Supported NiO and Co3O4 Nanoparticles by the Nitric Oxide Controlled Thermal Decomposition of Nitrates (2007) Angew. Chem., Int. Ed., 46, pp. 4547-4549; Wolters, M., Munnik, P., Bitter, J.H., De Jongh, P.E., De Jong, K.P., How NO Affects Nickel and Cobalt Nitrates at Low Temperatures to Arrive at Highly Dispersed Silica-Supported Nickel and Cobalt Catalysts (2011) J. Phys. Chem. C, 115, pp. 3332-3339; Okabe, K., Sayama, K., Matsubayashi, N., Shimomura, K., Arakawa, H., Selective Hydrogenation of Carbon Dioxide to Methanol on Cu-ZnO/SiO 2 Catalysts Prepared by Alkoxide Method (1992) Bull. Chem. Soc. Jpn., 65, pp. 2520-2525; García-Trenco, A., Martínez, A., A Simple and Efficient Approach to Confine Cu/ZnO Methanol Synthesis Catalysts in the Ordered Mesoporous SBA-15 Silica (2013) Catal. Today, 215, pp. 152-161; Yan, X., Wang, X., Tang, Y., Ma, G., Zou, S., Li, R., Peng, X., Fan, J., Unusual Loading-Dependent Sintering-Resistant Properties of Gold Nanoparticles Supported within Extra-Large Mesopores (2013) Chem. Mater., 25, pp. 1556-1563; Ahn, T.-M., Tien, J.K., Coarsening Kinetics of Platinum Particles on Curved Oxide Substrates (1980) J. Catal., 66, pp. 335-346; Kruk, M., Jaroniec, M., Determination of Mesopore Size Distributions from Argon Adsorption Data at 77 K (2002) J. Phys. Chem. B, 106, pp. 4732-4739; Kleitz, F., Solovyov, L.A., Anilkumar, G.M., Choi, S.H., Ryoo, R., Transformation of Highly Ordered Large Pore Silica Mesophases (Fm3m, Im3m and p6mm) in a Ternary Triblock Copolymer-Butanol-Water System (2004) Chem. Commun., pp. 1536-1537","page":"2522-2531","publisher":"American Chemical Society","title":"Quantitative relationship between support porosity and the stability of pore-confined metal nanoparticles studied on CuZnO/SiO2 methanol synthesis catalysts","type":"article-journal","volume":"8"},"uris":["http://www.mendeley.com/documents/?uuid=dbf52664-4bdb-47ad-a41b-9586fddaf827"]}],"mendeley":{"formattedCitation":"[57], [116], [203]","plainTextFormattedCitation":"[57], [116], [203]","previouslyFormattedCitation":"[57], [116], [203]"},"properties":{"noteIndex":0},"schema":"https://github.com/citation-style-language/schema/raw/master/csl-citation.json"}</w:instrText>
      </w:r>
      <w:r w:rsidRPr="00CA583B">
        <w:rPr>
          <w:bCs/>
        </w:rPr>
        <w:fldChar w:fldCharType="separate"/>
      </w:r>
      <w:r w:rsidR="006C586A" w:rsidRPr="006C586A">
        <w:rPr>
          <w:bCs/>
          <w:noProof/>
        </w:rPr>
        <w:t>[57], [116], [203]</w:t>
      </w:r>
      <w:r w:rsidRPr="00CA583B">
        <w:rPr>
          <w:bCs/>
        </w:rPr>
        <w:fldChar w:fldCharType="end"/>
      </w:r>
      <w:r w:rsidRPr="00CA583B">
        <w:rPr>
          <w:bCs/>
        </w:rPr>
        <w:t>. Despite this these two studies have underlined the importance of pre-processing on the properties of the sample.</w:t>
      </w:r>
    </w:p>
    <w:p w14:paraId="6B8ABDAF" w14:textId="254B728F" w:rsidR="00007F6C" w:rsidRPr="00CA583B" w:rsidRDefault="00007F6C" w:rsidP="004B726A">
      <w:pPr>
        <w:jc w:val="both"/>
        <w:rPr>
          <w:bCs/>
        </w:rPr>
      </w:pPr>
      <w:r w:rsidRPr="00CA583B">
        <w:rPr>
          <w:bCs/>
        </w:rPr>
        <w:t xml:space="preserve">In addition, the influence of the decomposition atmosphere has also been highlighted in earlier papers detailing the effect of hydrogen on the reaction rate of nickel catalysts. The chemisorption of hydrogen onto nickel/silica substrates was shown to only depend on the active surface area of the catalyst </w:t>
      </w:r>
      <w:r w:rsidRPr="00CA583B">
        <w:rPr>
          <w:bCs/>
        </w:rPr>
        <w:fldChar w:fldCharType="begin" w:fldLock="1"/>
      </w:r>
      <w:r w:rsidR="00D80A5D">
        <w:rPr>
          <w:bCs/>
        </w:rPr>
        <w:instrText>ADDIN CSL_CITATION {"citationItems":[{"id":"ITEM-1","itemData":{"DOI":"10.1016/S0926-860X(00)00843-7","ISSN":"0926860X","author":[{"dropping-particle":"","family":"Bartholomew","given":"Calvin H","non-dropping-particle":"","parse-names":false,"suffix":""}],"container-title":"Applied Catalysis A: General","id":"ITEM-1","issue":"1-2","issued":{"date-parts":[["2001","4"]]},"page":"17-60","title":"Mechanisms of catalyst deactivation","type":"article-journal","volume":"212"},"uris":["http://www.mendeley.com/documents/?uuid=1f7b1342-3032-36d1-a121-6c36018a82f6"]},{"id":"ITEM-2","itemData":{"ISBN":"00027863 (ISSN)","abstract":"A method of determining the specific catalytic activity of a supported metal, i.e., the activity per unit area of the metal, has been demonstrated for a Ni-On-SiO 2 catalyst used in the hydrogenolysis of ethane. The method involves hydrogen chemisorption measurements of the metal surface area, coupled with reaction rate determinations obtained at low conversions in a flow reactor. Samples of the catalyst were heated in air at various temperatures prior to reduction of the nickel. After reduction at a standard set of conditions, these samples had nickel surface areas which varied over a threefold range. It was observed that the rate of hydrogenolysis of ethane was proportional to the nickel surface area; i.e., the specific catalytic activity of the nickel was essentially unchanged by heating in air prior to reduction. Furthermore, the apparent activation energy and reaction orders were also unchanged.","author":[{"dropping-particle":"","family":"Yates","given":"D J C","non-dropping-particle":"","parse-names":false,"suffix":""},{"dropping-particle":"","family":"Taylor","given":"W F","non-dropping-particle":"","parse-names":false,"suffix":""},{"dropping-particle":"","family":"Sinfelt","given":"J H","non-dropping-particle":"","parse-names":false,"suffix":""}],"container-title":"Journal of the American Chemical Society","id":"ITEM-2","issue":"15","issued":{"date-parts":[["1964"]]},"language":"English","note":"Cited By :68\nExport Date: 8 February 2017\nCorrespondence Address: Yates, D.J.C.; Esso Research and Engineering Co., Linden, NJ, United States","page":"2996-3001","title":"Catalysis over supported metals. I. Kinetics of ethane hydrogenolysis over nickel surfaces of known area","type":"article-journal","volume":"86"},"uris":["http://www.mendeley.com/documents/?uuid=cd96e19c-bcc4-42f8-bbed-940778dacda9"]}],"mendeley":{"formattedCitation":"[204], [205]","plainTextFormattedCitation":"[204], [205]","previouslyFormattedCitation":"[204], [205]"},"properties":{"noteIndex":0},"schema":"https://github.com/citation-style-language/schema/raw/master/csl-citation.json"}</w:instrText>
      </w:r>
      <w:r w:rsidRPr="00CA583B">
        <w:rPr>
          <w:bCs/>
        </w:rPr>
        <w:fldChar w:fldCharType="separate"/>
      </w:r>
      <w:r w:rsidR="006C586A" w:rsidRPr="006C586A">
        <w:rPr>
          <w:bCs/>
          <w:noProof/>
        </w:rPr>
        <w:t>[204], [205]</w:t>
      </w:r>
      <w:r w:rsidRPr="00CA583B">
        <w:rPr>
          <w:bCs/>
        </w:rPr>
        <w:fldChar w:fldCharType="end"/>
      </w:r>
      <w:r w:rsidRPr="00CA583B">
        <w:rPr>
          <w:bCs/>
        </w:rPr>
        <w:t>. The effect of a reducing atmosphere on the decomposition of nickel nitrate was also demonstrated on Ni/Al</w:t>
      </w:r>
      <w:r w:rsidRPr="00CA583B">
        <w:rPr>
          <w:bCs/>
          <w:vertAlign w:val="subscript"/>
        </w:rPr>
        <w:t>2</w:t>
      </w:r>
      <w:r w:rsidRPr="00CA583B">
        <w:rPr>
          <w:bCs/>
        </w:rPr>
        <w:t>O</w:t>
      </w:r>
      <w:r w:rsidRPr="00CA583B">
        <w:rPr>
          <w:bCs/>
          <w:vertAlign w:val="subscript"/>
        </w:rPr>
        <w:t>3</w:t>
      </w:r>
      <w:r w:rsidRPr="00CA583B">
        <w:rPr>
          <w:bCs/>
        </w:rPr>
        <w:t xml:space="preserve"> substrates by Bartholomew et al </w:t>
      </w:r>
      <w:r w:rsidRPr="00CA583B">
        <w:rPr>
          <w:bCs/>
        </w:rPr>
        <w:fldChar w:fldCharType="begin" w:fldLock="1"/>
      </w:r>
      <w:r w:rsidR="00D80A5D">
        <w:rPr>
          <w:bCs/>
        </w:rPr>
        <w:instrText>ADDIN CSL_CITATION {"citationItems":[{"id":"ITEM-1","itemData":{"DOI":"10.1016/S0926-860X(00)00843-7","ISSN":"0926860X","author":[{"dropping-particle":"","family":"Bartholomew","given":"Calvin H","non-dropping-particle":"","parse-names":false,"suffix":""}],"container-title":"Applied Catalysis A: General","id":"ITEM-1","issue":"1-2","issued":{"date-parts":[["2001","4"]]},"page":"17-60","title":"Mechanisms of catalyst deactivation","type":"article-journal","volume":"212"},"uris":["http://www.mendeley.com/documents/?uuid=1f7b1342-3032-36d1-a121-6c36018a82f6"]},{"id":"ITEM-2","itemData":{"ISBN":"00027863 (ISSN)","abstract":"A method of determining the specific catalytic activity of a supported metal, i.e., the activity per unit area of the metal, has been demonstrated for a Ni-On-SiO 2 catalyst used in the hydrogenolysis of ethane. The method involves hydrogen chemisorption measurements of the metal surface area, coupled with reaction rate determinations obtained at low conversions in a flow reactor. Samples of the catalyst were heated in air at various temperatures prior to reduction of the nickel. After reduction at a standard set of conditions, these samples had nickel surface areas which varied over a threefold range. It was observed that the rate of hydrogenolysis of ethane was proportional to the nickel surface area; i.e., the specific catalytic activity of the nickel was essentially unchanged by heating in air prior to reduction. Furthermore, the apparent activation energy and reaction orders were also unchanged.","author":[{"dropping-particle":"","family":"Yates","given":"D J C","non-dropping-particle":"","parse-names":false,"suffix":""},{"dropping-particle":"","family":"Taylor","given":"W F","non-dropping-particle":"","parse-names":false,"suffix":""},{"dropping-particle":"","family":"Sinfelt","given":"J H","non-dropping-particle":"","parse-names":false,"suffix":""}],"container-title":"Journal of the American Chemical Society","id":"ITEM-2","issue":"15","issued":{"date-parts":[["1964"]]},"language":"English","note":"Cited By :68\nExport Date: 8 February 2017\nCorrespondence Address: Yates, D.J.C.; Esso Research and Engineering Co., Linden, NJ, United States","page":"2996-3001","title":"Catalysis over supported metals. I. Kinetics of ethane hydrogenolysis over nickel surfaces of known area","type":"article-journal","volume":"86"},"uris":["http://www.mendeley.com/documents/?uuid=cd96e19c-bcc4-42f8-bbed-940778dacda9"]}],"mendeley":{"formattedCitation":"[204], [205]","plainTextFormattedCitation":"[204], [205]","previouslyFormattedCitation":"[204], [205]"},"properties":{"noteIndex":0},"schema":"https://github.com/citation-style-language/schema/raw/master/csl-citation.json"}</w:instrText>
      </w:r>
      <w:r w:rsidRPr="00CA583B">
        <w:rPr>
          <w:bCs/>
        </w:rPr>
        <w:fldChar w:fldCharType="separate"/>
      </w:r>
      <w:r w:rsidR="006C586A" w:rsidRPr="006C586A">
        <w:rPr>
          <w:bCs/>
          <w:noProof/>
        </w:rPr>
        <w:t>[204], [205]</w:t>
      </w:r>
      <w:r w:rsidRPr="00CA583B">
        <w:rPr>
          <w:bCs/>
        </w:rPr>
        <w:fldChar w:fldCharType="end"/>
      </w:r>
      <w:r w:rsidRPr="00CA583B">
        <w:rPr>
          <w:bCs/>
        </w:rPr>
        <w:t xml:space="preserve">. </w:t>
      </w:r>
    </w:p>
    <w:p w14:paraId="449BCB66" w14:textId="34169FA7" w:rsidR="00007F6C" w:rsidRDefault="00007F6C" w:rsidP="004B726A">
      <w:pPr>
        <w:jc w:val="both"/>
        <w:rPr>
          <w:bCs/>
        </w:rPr>
      </w:pPr>
      <w:r w:rsidRPr="00CA583B">
        <w:rPr>
          <w:bCs/>
        </w:rPr>
        <w:t xml:space="preserve">This work used a specialised decomposition procedure which started the decomposition of impregnated nickel nitrate with a thermal calcination treatment which was done in a hydrogen atmosphere. This distinct heating step was mapped using TGA to show the effect on the breakdown of </w:t>
      </w:r>
      <w:proofErr w:type="gramStart"/>
      <w:r w:rsidRPr="00CA583B">
        <w:rPr>
          <w:bCs/>
        </w:rPr>
        <w:t>Ni(</w:t>
      </w:r>
      <w:proofErr w:type="gramEnd"/>
      <w:r w:rsidRPr="00CA583B">
        <w:rPr>
          <w:bCs/>
        </w:rPr>
        <w:t>NO</w:t>
      </w:r>
      <w:r w:rsidRPr="00CA583B">
        <w:rPr>
          <w:bCs/>
          <w:vertAlign w:val="subscript"/>
        </w:rPr>
        <w:t>3</w:t>
      </w:r>
      <w:r w:rsidRPr="00CA583B">
        <w:rPr>
          <w:bCs/>
        </w:rPr>
        <w:t>)</w:t>
      </w:r>
      <w:r w:rsidRPr="00CA583B">
        <w:rPr>
          <w:bCs/>
          <w:vertAlign w:val="subscript"/>
        </w:rPr>
        <w:t>2</w:t>
      </w:r>
      <w:r w:rsidRPr="00CA583B">
        <w:rPr>
          <w:bCs/>
        </w:rPr>
        <w:t>.6H</w:t>
      </w:r>
      <w:r w:rsidRPr="00CA583B">
        <w:rPr>
          <w:bCs/>
          <w:vertAlign w:val="subscript"/>
        </w:rPr>
        <w:t>2</w:t>
      </w:r>
      <w:r w:rsidRPr="00CA583B">
        <w:rPr>
          <w:bCs/>
        </w:rPr>
        <w:t>O using the combined heating regime. It must also be noted that the alumina pellets were used in this study. A direct comparison with this system with other studies is difficult due to the variety of decomposition regimes and substrates in use</w:t>
      </w:r>
      <w:r>
        <w:rPr>
          <w:bCs/>
        </w:rPr>
        <w:t xml:space="preserve"> (</w:t>
      </w:r>
      <w:r w:rsidRPr="004C1669">
        <w:rPr>
          <w:bCs/>
        </w:rPr>
        <w:fldChar w:fldCharType="begin"/>
      </w:r>
      <w:r w:rsidRPr="004C1669">
        <w:rPr>
          <w:bCs/>
        </w:rPr>
        <w:instrText xml:space="preserve"> REF _Ref51149619 \h  \* MERGEFORMAT </w:instrText>
      </w:r>
      <w:r w:rsidRPr="004C1669">
        <w:rPr>
          <w:bCs/>
        </w:rPr>
      </w:r>
      <w:r w:rsidRPr="004C1669">
        <w:rPr>
          <w:bCs/>
        </w:rPr>
        <w:fldChar w:fldCharType="separate"/>
      </w:r>
      <w:r w:rsidRPr="00C103C3">
        <w:t>Figure 2.10</w:t>
      </w:r>
      <w:r w:rsidRPr="004C1669">
        <w:rPr>
          <w:bCs/>
        </w:rPr>
        <w:fldChar w:fldCharType="end"/>
      </w:r>
      <w:r>
        <w:rPr>
          <w:bCs/>
        </w:rPr>
        <w:t xml:space="preserve">) </w:t>
      </w:r>
      <w:r w:rsidRPr="00CA583B">
        <w:rPr>
          <w:bCs/>
        </w:rPr>
        <w:fldChar w:fldCharType="begin" w:fldLock="1"/>
      </w:r>
      <w:r w:rsidR="00D80A5D">
        <w:rPr>
          <w:bCs/>
        </w:rPr>
        <w:instrText>ADDIN CSL_CITATION {"citationItems":[{"id":"ITEM-1","itemData":{"DOI":"10.1016/0021-9517(76)90054-3","ISBN":"00219517 (ISSN)","abstract":"A study of the chemistry involved in preparation, pretreatment, and reduction of Ni Al2O3 catalysts was carried out using hydrogen chemisorption, thermal gravimetric analysis, and chromatographic analysis. Data showing effects on nickel surface area of calcination, heating rate during reduction, nickel loading, and passivation are presented and discussed. The results indicate that controlled decomposition of alumina-supported nickel nitrate in hydrogen atmosphere (without prior calcination) tends to maximize nickel surface area, dispersion, and reduction to nickel metal. Nickel surface area and the fraction of nickel reduced to the metallic state both increase as the hydrogen space velocity during reduction is increased. Upon increasing the reduction temperature from 300 to 500 °C, the percentage reduction to nickel metal is increased from 40 to 100% whereas nickel surface area changes relatively little. © 1976.","author":[{"dropping-particle":"","family":"Bartholomew","given":"C H","non-dropping-particle":"","parse-names":false,"suffix":""},{"dropping-particle":"","family":"Farrauto","given":"R J","non-dropping-particle":"","parse-names":false,"suffix":""}],"container-title":"Journal of Catalysis","id":"ITEM-1","issue":"1","issued":{"date-parts":[["1976"]]},"language":"English","note":"Cited By :265\nExport Date: 8 February 2017\nCODEN: JCTLA\nCorrespondence Address: Bartholomew, C.H.; Department of Chemical Engineering Science, Brigham Young University, Provo, UT 84602, United States\nReferences: Reinen, Selwood, (1963) J. Catal., 2, p. 109; Sieg, Constabaris, Linquist, (1963) Amer. Chem. Soc. Meeting, , New York; Levinson, (1967) Preprints, p. 47. , Division of Petroleum Chemistry, Amer. Chem. Soc, Chicago, September; Bicek, Kelly, (1967) Preprints, p. 57. , Division of Petroleum Chemistry, Amer. Chem. Soc, Chicago, September; Beuther, Larson, (1965) Ind. Eng. Chem. Proc. Design Develop., 4, p. 177; Swift, Lutinski, Tobin, (1966) J. Catal., 5, p. 285; Holm, Clark, (1968) J. Catal., 11, p. 305; Eischens, (1974) Proceedings of the Battelle Conference on Surface Chemistry, , Gstaad, Switzerland; Dzis'ko, Noskova, Borisova, Bolgova, Karakchiev, (1975) Kinet. Catal., 15, p. 667; Hill, Selwood, (1949) J. Amer. Chem. Soc., 71, p. 2522; Martin, Ceaphalan, Montgolfier, (1973) J. Chim. Phys., 70, p. 1422; Farrauto, (1974) AIChE Symp. Ser., 70, p. 9; Farrauto, (1975) Chem. Engr. Prog., 71, p. 37. , published in short form in; Yates, Taylor, Sinfelt, (1964) J. Amer. Chem. Soc., 86, p. 2996; Bartholomew, Boudart, (1972) J. Catal., 25, p. 173; Pattison, Keeley, Maynor, (1960) J. Chem. Eng. Data, 5, pp. 433-434; Branson, Kinetics and Mechanism of the Reaction Between Zinc Oxide and Aluminum Oxide (1965) Journal of the American Ceramic Society, 48, p. 591; Swift, Lutinski, Kehl, (1965) J. Phys. Chem., 69, p. 3268; Leech, III, Campbell, (1974) ACS Division INDE, 167th National Meeting of the American Chemical Society, , Los Angeles, California; Andrew, (1976) Preparation of Catalysts, pp. 429-444. , B. Delmon, P.A. Jacobs, G. Poncelet, Elsevier, Amsterdam; Anderson, Jr., Conn, Brandenberger, (1970) J. Catal., 16, p. 326; Remey, (1956) Treatise on Inorganic Chemistry, 2, p. 310. , Elsevier, Amsterdam; Heinicke, (1963) Chem. Tech., 15, p. 197; Bartholomew, (1975) Ind. Eng. Chem. Prod. Res. Develop., 14, p. 29","page":"41-53","title":"Chemistry of nickel-alumina catalysts","type":"article-journal","volume":"45"},"uris":["http://www.mendeley.com/documents/?uuid=067872e0-572f-4652-9032-fa60ba7d4c5f"]},{"id":"ITEM-2","itemData":{"DOI":"10.1016/S0926-860X(00)00843-7","ISSN":"0926860X","author":[{"dropping-particle":"","family":"Bartholomew","given":"Calvin H","non-dropping-particle":"","parse-names":false,"suffix":""}],"container-title":"Applied Catalysis A: General","id":"ITEM-2","issue":"1-2","issued":{"date-parts":[["2001","4"]]},"page":"17-60","title":"Mechanisms of catalyst deactivation","type":"article-journal","volume":"212"},"uris":["http://www.mendeley.com/documents/?uuid=1f7b1342-3032-36d1-a121-6c36018a82f6"]},{"id":"ITEM-3","itemData":{"ISBN":"00027863 (ISSN)","abstract":"A method of determining the specific catalytic activity of a supported metal, i.e., the activity per unit area of the metal, has been demonstrated for a Ni-On-SiO 2 catalyst used in the hydrogenolysis of ethane. The method involves hydrogen chemisorption measurements of the metal surface area, coupled with reaction rate determinations obtained at low conversions in a flow reactor. Samples of the catalyst were heated in air at various temperatures prior to reduction of the nickel. After reduction at a standard set of conditions, these samples had nickel surface areas which varied over a threefold range. It was observed that the rate of hydrogenolysis of ethane was proportional to the nickel surface area; i.e., the specific catalytic activity of the nickel was essentially unchanged by heating in air prior to reduction. Furthermore, the apparent activation energy and reaction orders were also unchanged.","author":[{"dropping-particle":"","family":"Yates","given":"D J C","non-dropping-particle":"","parse-names":false,"suffix":""},{"dropping-particle":"","family":"Taylor","given":"W F","non-dropping-particle":"","parse-names":false,"suffix":""},{"dropping-particle":"","family":"Sinfelt","given":"J H","non-dropping-particle":"","parse-names":false,"suffix":""}],"container-title":"Journal of the American Chemical Society","id":"ITEM-3","issue":"15","issued":{"date-parts":[["1964"]]},"language":"English","note":"Cited By :68\nExport Date: 8 February 2017\nCorrespondence Address: Yates, D.J.C.; Esso Research and Engineering Co., Linden, NJ, United States","page":"2996-3001","title":"Catalysis over supported metals. I. Kinetics of ethane hydrogenolysis over nickel surfaces of known area","type":"article-journal","volume":"86"},"uris":["http://www.mendeley.com/documents/?uuid=cd96e19c-bcc4-42f8-bbed-940778dacda9"]}],"mendeley":{"formattedCitation":"[194], [204], [205]","plainTextFormattedCitation":"[194], [204], [205]","previouslyFormattedCitation":"[194], [204], [205]"},"properties":{"noteIndex":0},"schema":"https://github.com/citation-style-language/schema/raw/master/csl-citation.json"}</w:instrText>
      </w:r>
      <w:r w:rsidRPr="00CA583B">
        <w:rPr>
          <w:bCs/>
        </w:rPr>
        <w:fldChar w:fldCharType="separate"/>
      </w:r>
      <w:r w:rsidR="006C586A" w:rsidRPr="006C586A">
        <w:rPr>
          <w:bCs/>
          <w:noProof/>
        </w:rPr>
        <w:t>[194], [204], [205]</w:t>
      </w:r>
      <w:r w:rsidRPr="00CA583B">
        <w:rPr>
          <w:bCs/>
        </w:rPr>
        <w:fldChar w:fldCharType="end"/>
      </w:r>
      <w:r w:rsidRPr="00CA583B">
        <w:rPr>
          <w:bCs/>
        </w:rPr>
        <w:t xml:space="preserve">. </w:t>
      </w:r>
    </w:p>
    <w:p w14:paraId="44104538" w14:textId="77777777" w:rsidR="00A402C1" w:rsidRDefault="00A402C1" w:rsidP="00A402C1">
      <w:pPr>
        <w:keepNext/>
        <w:jc w:val="center"/>
      </w:pPr>
      <w:r>
        <w:rPr>
          <w:noProof/>
          <w:lang w:eastAsia="en-GB"/>
        </w:rPr>
        <w:drawing>
          <wp:inline distT="0" distB="0" distL="0" distR="0" wp14:anchorId="053E2C34" wp14:editId="3D326BD5">
            <wp:extent cx="5505450" cy="4320000"/>
            <wp:effectExtent l="0" t="0" r="0" b="4445"/>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F3C3EB3" w14:textId="77777777" w:rsidR="00A402C1" w:rsidRPr="00005972" w:rsidRDefault="00A402C1" w:rsidP="00A402C1">
      <w:pPr>
        <w:jc w:val="center"/>
        <w:rPr>
          <w:i/>
          <w:iCs/>
          <w:color w:val="44546A" w:themeColor="text2"/>
          <w:sz w:val="18"/>
          <w:szCs w:val="18"/>
        </w:rPr>
      </w:pPr>
      <w:bookmarkStart w:id="84" w:name="_Ref51149619"/>
      <w:bookmarkStart w:id="85" w:name="_Toc69114922"/>
      <w:r w:rsidRPr="00005972">
        <w:rPr>
          <w:i/>
          <w:iCs/>
          <w:color w:val="44546A" w:themeColor="text2"/>
          <w:sz w:val="18"/>
          <w:szCs w:val="18"/>
        </w:rPr>
        <w:t>Figure 2.</w:t>
      </w:r>
      <w:r>
        <w:rPr>
          <w:i/>
          <w:iCs/>
          <w:color w:val="44546A" w:themeColor="text2"/>
          <w:sz w:val="18"/>
          <w:szCs w:val="18"/>
        </w:rPr>
        <w:fldChar w:fldCharType="begin"/>
      </w:r>
      <w:r>
        <w:rPr>
          <w:i/>
          <w:iCs/>
          <w:color w:val="44546A" w:themeColor="text2"/>
          <w:sz w:val="18"/>
          <w:szCs w:val="18"/>
        </w:rPr>
        <w:instrText xml:space="preserve"> SEQ Figure \* ARABIC </w:instrText>
      </w:r>
      <w:r>
        <w:rPr>
          <w:i/>
          <w:iCs/>
          <w:color w:val="44546A" w:themeColor="text2"/>
          <w:sz w:val="18"/>
          <w:szCs w:val="18"/>
        </w:rPr>
        <w:fldChar w:fldCharType="separate"/>
      </w:r>
      <w:r>
        <w:rPr>
          <w:i/>
          <w:iCs/>
          <w:noProof/>
          <w:color w:val="44546A" w:themeColor="text2"/>
          <w:sz w:val="18"/>
          <w:szCs w:val="18"/>
        </w:rPr>
        <w:t>10</w:t>
      </w:r>
      <w:r>
        <w:rPr>
          <w:i/>
          <w:iCs/>
          <w:color w:val="44546A" w:themeColor="text2"/>
          <w:sz w:val="18"/>
          <w:szCs w:val="18"/>
        </w:rPr>
        <w:fldChar w:fldCharType="end"/>
      </w:r>
      <w:bookmarkEnd w:id="84"/>
      <w:r w:rsidRPr="00005972">
        <w:rPr>
          <w:i/>
          <w:iCs/>
          <w:color w:val="44546A" w:themeColor="text2"/>
          <w:sz w:val="18"/>
          <w:szCs w:val="18"/>
        </w:rPr>
        <w:t>: Mass change and decomposition temperature for a variety of nickel nitrate decomposition routines using TGA</w:t>
      </w:r>
      <w:r>
        <w:rPr>
          <w:i/>
          <w:iCs/>
          <w:color w:val="44546A" w:themeColor="text2"/>
          <w:sz w:val="18"/>
          <w:szCs w:val="18"/>
        </w:rPr>
        <w:t xml:space="preserve"> </w:t>
      </w:r>
      <w:r w:rsidRPr="00005972">
        <w:rPr>
          <w:i/>
          <w:iCs/>
          <w:color w:val="44546A" w:themeColor="text2"/>
          <w:sz w:val="18"/>
          <w:szCs w:val="18"/>
        </w:rPr>
        <w:fldChar w:fldCharType="begin" w:fldLock="1"/>
      </w:r>
      <w:r>
        <w:rPr>
          <w:i/>
          <w:iCs/>
          <w:color w:val="44546A" w:themeColor="text2"/>
          <w:sz w:val="18"/>
          <w:szCs w:val="18"/>
        </w:rPr>
        <w:instrText>ADDIN CSL_CITATION {"citationItems":[{"id":"ITEM-1","itemData":{"DOI":"10.1016/0021-9517(76)90054-3","ISBN":"00219517 (ISSN)","abstract":"A study of the chemistry involved in preparation, pretreatment, and reduction of Ni Al2O3 catalysts was carried out using hydrogen chemisorption, thermal gravimetric analysis, and chromatographic analysis. Data showing effects on nickel surface area of calcination, heating rate during reduction, nickel loading, and passivation are presented and discussed. The results indicate that controlled decomposition of alumina-supported nickel nitrate in hydrogen atmosphere (without prior calcination) tends to maximize nickel surface area, dispersion, and reduction to nickel metal. Nickel surface area and the fraction of nickel reduced to the metallic state both increase as the hydrogen space velocity during reduction is increased. Upon increasing the reduction temperature from 300 to 500 °C, the percentage reduction to nickel metal is increased from 40 to 100% whereas nickel surface area changes relatively little. © 1976.","author":[{"dropping-particle":"","family":"Bartholomew","given":"C H","non-dropping-particle":"","parse-names":false,"suffix":""},{"dropping-particle":"","family":"Farrauto","given":"R J","non-dropping-particle":"","parse-names":false,"suffix":""}],"container-title":"Journal of Catalysis","id":"ITEM-1","issue":"1","issued":{"date-parts":[["1976"]]},"language":"English","note":"Cited By :265\nExport Date: 8 February 2017\nCODEN: JCTLA\nCorrespondence Address: Bartholomew, C.H.; Department of Chemical Engineering Science, Brigham Young University, Provo, UT 84602, United States\nReferences: Reinen, Selwood, (1963) J. Catal., 2, p. 109; Sieg, Constabaris, Linquist, (1963) Amer. Chem. Soc. Meeting, , New York; Levinson, (1967) Preprints, p. 47. , Division of Petroleum Chemistry, Amer. Chem. Soc, Chicago, September; Bicek, Kelly, (1967) Preprints, p. 57. , Division of Petroleum Chemistry, Amer. Chem. Soc, Chicago, September; Beuther, Larson, (1965) Ind. Eng. Chem. Proc. Design Develop., 4, p. 177; Swift, Lutinski, Tobin, (1966) J. Catal., 5, p. 285; Holm, Clark, (1968) J. Catal., 11, p. 305; Eischens, (1974) Proceedings of the Battelle Conference on Surface Chemistry, , Gstaad, Switzerland; Dzis'ko, Noskova, Borisova, Bolgova, Karakchiev, (1975) Kinet. Catal., 15, p. 667; Hill, Selwood, (1949) J. Amer. Chem. Soc., 71, p. 2522; Martin, Ceaphalan, Montgolfier, (1973) J. Chim. Phys., 70, p. 1422; Farrauto, (1974) AIChE Symp. Ser., 70, p. 9; Farrauto, (1975) Chem. Engr. Prog., 71, p. 37. , published in short form in; Yates, Taylor, Sinfelt, (1964) J. Amer. Chem. Soc., 86, p. 2996; Bartholomew, Boudart, (1972) J. Catal., 25, p. 173; Pattison, Keeley, Maynor, (1960) J. Chem. Eng. Data, 5, pp. 433-434; Branson, Kinetics and Mechanism of the Reaction Between Zinc Oxide and Aluminum Oxide (1965) Journal of the American Ceramic Society, 48, p. 591; Swift, Lutinski, Kehl, (1965) J. Phys. Chem., 69, p. 3268; Leech, III, Campbell, (1974) ACS Division INDE, 167th National Meeting of the American Chemical Society, , Los Angeles, California; Andrew, (1976) Preparation of Catalysts, pp. 429-444. , B. Delmon, P.A. Jacobs, G. Poncelet, Elsevier, Amsterdam; Anderson, Jr., Conn, Brandenberger, (1970) J. Catal., 16, p. 326; Remey, (1956) Treatise on Inorganic Chemistry, 2, p. 310. , Elsevier, Amsterdam; Heinicke, (1963) Chem. Tech., 15, p. 197; Bartholomew, (1975) Ind. Eng. Chem. Prod. Res. Develop., 14, p. 29","page":"41-53","title":"Chemistry of nickel-alumina catalysts","type":"article-journal","volume":"45"},"uris":["http://www.mendeley.com/documents/?uuid=067872e0-572f-4652-9032-fa60ba7d4c5f"]},{"id":"ITEM-2","itemData":{"DOI":"10.1016/S0926-860X(00)00843-7","ISSN":"0926860X","author":[{"dropping-particle":"","family":"Bartholomew","given":"Calvin H","non-dropping-particle":"","parse-names":false,"suffix":""}],"container-title":"Applied Catalysis A: General","id":"ITEM-2","issue":"1-2","issued":{"date-parts":[["2001","4"]]},"page":"17-60","title":"Mechanisms of catalyst deactivation","type":"article-journal","volume":"212"},"uris":["http://www.mendeley.com/documents/?uuid=1f7b1342-3032-36d1-a121-6c36018a82f6"]},{"id":"ITEM-3","itemData":{"DOI":"http://dx.doi.org/10.1016/j.tca.2007.01.031","ISSN":"0040-6031","abstract":"The thermal decomposition of Ni(NO3)2·6H2O (1), Ca(NO3)2·4H2O (2) and nitryl/nitrosyl nitrato nickelate(II), NO2/NO[Ni(NO3)3] (3), was investigated by thermogravimetric measurements with quasi-isothermal conditions and compared to Co(NO3)2·6H2O. The respective decomposition processes of 1 and 2 differ from each other showing that at one hand anhydrous Ca(NO3)2 was obtained whereas anhydrous nickel dinitrate has not be formed due to redox and condensation reactions. Instead basic nickel compounds have been formed. In reducing atmosphere nickel metal can be obtained. Anhydrous Ni(NO3)2 results by the thermal degradation of nitryl/nitrosyl nitrato nickelate. FT-Raman spectra have been of help in the judgement of the decomposition processes.","author":[{"dropping-particle":"","family":"Brockner","given":"Wolfgang","non-dropping-particle":"","parse-names":false,"suffix":""},{"dropping-particle":"","family":"Ehrhardt","given":"Claus","non-dropping-particle":"","parse-names":false,"suffix":""},{"dropping-particle":"","family":"Gjikaj","given":"Mimoza","non-dropping-particle":"","parse-names":false,"suffix":""}],"container-title":"Thermochimica Acta","id":"ITEM-3","issue":"1","issued":{"date-parts":[["2007","5","1"]]},"page":"64-68","title":"Thermal decomposition of nickel nitrate hexahydrate, Ni(NO3)2·6H2O, in comparison to Co(NO3)2·6H2O and Ca(NO3)2·4H2O","type":"article-journal","volume":"456"},"uris":["http://www.mendeley.com/documents/?uuid=acee0b76-733b-42d3-9e06-c60fab963b67"]},{"id":"ITEM-4","itemData":{"ISBN":"14182874 (ISSN)","abstract":"The thermal decompositions of nickel(II) nitrate hexahydrate and iron(III) nitrate nonahydrate were followed. It was found that the final decomposition products were NiO at 623 K and Fe2O3 at 523 K, respectively. The two salts exhibited only endothermic peaks and a loss in mass until constant mass was attained. The decomposition reactions and the compounds corresponding to each reaction were established. A heating rate of 1 K min-1 revealed several intermediates; higher heating rates shifted the peaks to higher temperatures. The use of an air flow during decomposition shifted the reactions to lower temperatures. The DTA for the mixed salts was found to be an overlap and the TG a summation of the results for the two individual salts. At 773 K, the decomposition products were composed of three phases: NiO, Fe2O3 and NiFe2O4. When these products were heated to 1773 K, only NiFe2O4 was identified by X-ray diffraction.","author":[{"dropping-particle":"","family":"Elmasry","given":"M A A","non-dropping-particle":"","parse-names":false,"suffix":""},{"dropping-particle":"","family":"Gaber","given":"A","non-dropping-particle":"","parse-names":false,"suffix":""},{"dropping-particle":"","family":"Khater","given":"E M H","non-dropping-particle":"","parse-names":false,"suffix":""}],"container-title":"Journal of Thermal Analysis and Calorimetry","id":"ITEM-4","issue":"2","issued":{"date-parts":[["1998"]]},"language":"English","note":"Cited By :38\nExport Date: 20 January 2017\nCODEN: JTACF\nCorrespondence Address: Elmasry, M.A.A.; Metallurgy Department, N. R. C., Atomic Energy Authority, Cairo, Egypt\nReferences: Wendlandt, W.W., (1958) Texas J. Sci., 10, p. 392; Dollimore, D., Gamalen, G.A., Taylor, T.J., (1985) Thermochim. Acta, 86, p. 119; Dollimore, G., Gamalen, G.A., Taylor, T.J., (1986) Thermochim. Acta, 91, p. 287; Criado, J.M., Ortega, A., Pearl, C., (1987) Reactivity of Solids, 4, p. 93; Kalinichenko, I.I., Purtov, A.I., (1966) Russ. J. Inorg. Chem., 11, p. 891; Mu, J., Perlmutter, D.D., (1982) Thermochim. Acta, 56, p. 253; Kingery, W.D., Bowen, H.K., Uhlmann, R.D., (1986) Introduction to Ceramics, , John Wiley &amp;amp; Sons, Inc., New York; Speyer, R.F., (1994) Thermal Analysis of Materials, , Marcel Dekker, Inc; Loehman, R.E., Fitzpartick, L.E., (1993), Butter Worth - Heinmann, a Division of Reed Publishing (USA) IncLevin, L., Robbins, G., McMurdy, (1959) Phase Diagrams for Ceramics, , Ed. by the Am. Ceram. Soc","page":"489-495","title":"Thermal decomposition of Ni(II) and Fe(III) nitrates and their mixture","type":"article-journal","volume":"52"},"uris":["http://www.mendeley.com/documents/?uuid=3093a5fd-482e-4072-8d79-ea7b44db230e"]},{"id":"ITEM-5","itemData":{"DOI":"http://dx.doi.org/10.1016/0040-6031(93)80287-K","ISBN":"0040-6031","abstract":"The thermal decomposition of nickel nitrate hexahydrate (NiNHH) under dynamic atmosphere of air has been thoroughly studied. Reactions occurring throughout the decomposition up to 600°C were monitored by means of thermogravimetry (TG) and differential thermal analysis (DTA). These reactions were characterized by analysis of the solid calcination products at different temperatures at which various intermediates were expected. Solid analysis was carried out using infrared spectroscopy and X-ray diffractometry. Non-isothermal kinetic parameters (ΔE, A and k) were determined. TG and DTA under nitrogen atmosphere has been carried out. The results indicate the formation of Ni(NO3)2 · nH2O (where n = 5.5, 4 and 2) and mixture of anhydrous and basic nickel nitrate as intermediate solid products. Basic nickel nitrate intermediate was formed in nitrogen atmosphere as well as in air, which was attributed to a hydrolysis process involving the water of dihydrate intermediate. The morphological changes throughout the decomposition course have been followed by scanning electron microscopy and the results are correlated with the obtained thermoanalytical results of the decomposition course of NiNHH.","author":[{"dropping-particle":"","family":"Mansour","given":"Seham A A","non-dropping-particle":"","parse-names":false,"suffix":""}],"container-title":"Thermochimica Acta","id":"ITEM-5","issued":{"date-parts":[["1993"]]},"page":"173-189","title":"Spectroscopic and microscopic investigations of the thermal decomposition of nickel oxysalts: Part 2. Nickel nitrate hexahydrate","type":"article-journal","volume":"228"},"uris":["http://www.mendeley.com/documents/?uuid=c28d4a77-23a2-48a7-9267-53bc38d9f2db"]},{"id":"ITEM-6","itemData":{"DOI":"http://dx.doi.org/10.1016/0168-7336(87)80089-X","ISBN":"0168-7336","abstract":"The thermal decomposition of nickel nitrate has been followed by isothermal and non-isothermal thermogravimetry. The anhydrous salt was prepared by dehydrating the corresponding hexahydrate “in situ” at 150 °C. We believe that the above reaction takes place in a single step: Ni(NO3)2 → NiO + 2NO2 + 12O2 It has been shown that this transformation obeys the Avrami-Erofeev law with an exponent n = 2 and an activation energy close to 84 ± 3 kJ mol−1. These results can be interpreted by a reaction mechanism that involves instantaneous nucleation on the surface of the crystal with subsequent growth of the nuclei into particles.","author":[{"dropping-particle":"","family":"Criado","given":"J M","non-dropping-particle":"","parse-names":false,"suffix":""},{"dropping-particle":"","family":"Ortega","given":"A","non-dropping-particle":"","parse-names":false,"suffix":""},{"dropping-particle":"","family":"Real","given":"C","non-dropping-particle":"","parse-names":false,"suffix":""}],"container-title":"Reactivity of Solids","id":"ITEM-6","issue":"1–2","issued":{"date-parts":[["1987"]]},"page":"93-103","title":"Mechanism of the thermal decomposition of anhydrous nickel nitrate","type":"article-journal","volume":"4"},"uris":["http://www.mendeley.com/documents/?uuid=9e032fa6-18e6-44f8-99b8-3db90b521400"]},{"id":"ITEM-7","itemData":{"DOI":"10.1007/s10973-014-4262-9","ISBN":"1588-2926","abstract":"The thermal decomposition of cobalt, nickel, manganese, zinc, and copper nitrates supported on nanometric alumina was investigated and compared with decomposition of corresponding bulk nitrates. TG, DTA, and MS measurements in air were performed. The supported nitrates decompose in lower temperatures than the bulk ones and their decomposition proceeds in fewer stages which are better separated. Synthesized materials and bulk nitrates before degradation of nitrates groups undergo dehydration. For decomposition of manganese and copper nitrates, the last step of water vapour releasing is combined with degradation of nitrate groups thus formation of anhydrous metal nitrate during decomposition is not achievable. Thermal decomposition of bulk nitrates leads to oxides—Co3O4, NiO, MnO2, ZnO, and CuO—respectively, as the solid residue. The nickel, zinc, copper, and manganese nitrates while supported on alumina decompose to corresponding oxides (NiO, ZnO, CuO, MnO2) as well. For decomposition of cobalt nitrate while supported on Al2O3 as the solid residue CoAl2O4 were identified. The correlation between dehydration and degradation of nitrates groups temperatures for bulk and supported nitrates was analysed in terms of atomic properties of d-metals.","author":[{"dropping-particle":"","family":"Małecka","given":"Barbara","non-dropping-particle":"","parse-names":false,"suffix":""},{"dropping-particle":"","family":"Łącz","given":"Agnieszka","non-dropping-particle":"","parse-names":false,"suffix":""},{"dropping-particle":"","family":"Drożdż","given":"Ewa","non-dropping-particle":"","parse-names":false,"suffix":""},{"dropping-particle":"","family":"Małecki","given":"Andrzej","non-dropping-particle":"","parse-names":false,"suffix":""}],"container-title":"Journal of Thermal Analysis and Calorimetry","id":"ITEM-7","issue":"2","issued":{"date-parts":[["2015"]]},"page":"1053-1061","title":"Thermal decomposition of d-metal nitrates supported on alumina","type":"article-journal","volume":"119"},"uris":["http://www.mendeley.com/documents/?uuid=f98316e8-923f-4595-bf22-5623ea2487d1"]}],"mendeley":{"formattedCitation":"[190], [191], [194], [195], [204], [206], [207]","plainTextFormattedCitation":"[190], [191], [194], [195], [204], [206], [207]","previouslyFormattedCitation":"[190], [191], [194], [195], [204], [206], [207]"},"properties":{"noteIndex":0},"schema":"https://github.com/citation-style-language/schema/raw/master/csl-citation.json"}</w:instrText>
      </w:r>
      <w:r w:rsidRPr="00005972">
        <w:rPr>
          <w:i/>
          <w:iCs/>
          <w:color w:val="44546A" w:themeColor="text2"/>
          <w:sz w:val="18"/>
          <w:szCs w:val="18"/>
        </w:rPr>
        <w:fldChar w:fldCharType="separate"/>
      </w:r>
      <w:r w:rsidRPr="006C586A">
        <w:rPr>
          <w:iCs/>
          <w:noProof/>
          <w:color w:val="44546A" w:themeColor="text2"/>
          <w:sz w:val="18"/>
          <w:szCs w:val="18"/>
        </w:rPr>
        <w:t>[190], [191], [194], [195], [204], [206], [207]</w:t>
      </w:r>
      <w:r w:rsidRPr="00005972">
        <w:rPr>
          <w:i/>
          <w:iCs/>
          <w:color w:val="44546A" w:themeColor="text2"/>
          <w:sz w:val="18"/>
          <w:szCs w:val="18"/>
        </w:rPr>
        <w:fldChar w:fldCharType="end"/>
      </w:r>
      <w:r w:rsidRPr="00005972">
        <w:rPr>
          <w:i/>
          <w:iCs/>
          <w:color w:val="44546A" w:themeColor="text2"/>
          <w:sz w:val="18"/>
          <w:szCs w:val="18"/>
        </w:rPr>
        <w:t>.</w:t>
      </w:r>
      <w:bookmarkEnd w:id="85"/>
      <w:r w:rsidRPr="00005972">
        <w:rPr>
          <w:i/>
          <w:iCs/>
          <w:color w:val="44546A" w:themeColor="text2"/>
          <w:sz w:val="18"/>
          <w:szCs w:val="18"/>
        </w:rPr>
        <w:t xml:space="preserve"> </w:t>
      </w:r>
    </w:p>
    <w:p w14:paraId="62F78A67" w14:textId="77777777" w:rsidR="00A402C1" w:rsidRPr="00CA583B" w:rsidRDefault="00A402C1" w:rsidP="004B726A">
      <w:pPr>
        <w:jc w:val="both"/>
        <w:rPr>
          <w:bCs/>
        </w:rPr>
      </w:pPr>
    </w:p>
    <w:p w14:paraId="27D6E664" w14:textId="77777777" w:rsidR="00007F6C" w:rsidRPr="00CA583B" w:rsidRDefault="00007F6C" w:rsidP="004B726A">
      <w:pPr>
        <w:jc w:val="both"/>
      </w:pPr>
      <w:r w:rsidRPr="00CA583B">
        <w:t xml:space="preserve">Prior to this experiment the only mention of combining the reducing step with the calcination step was a study of the hydrogenolysis of ethane using nickel catalysts on silica supports. This study found that the that nickel catalyst surface area was the only significant factor in the controlling the reaction rate. In terms of catalyst functionality this study underlines the importance of active area of chemical reactions but in terms of wet infiltrated anodes lacks some relevance. </w:t>
      </w:r>
    </w:p>
    <w:p w14:paraId="7A51581A" w14:textId="77777777" w:rsidR="00007F6C" w:rsidRPr="00CA583B" w:rsidRDefault="00007F6C" w:rsidP="004B726A">
      <w:pPr>
        <w:jc w:val="both"/>
      </w:pPr>
      <w:r w:rsidRPr="00CA583B">
        <w:lastRenderedPageBreak/>
        <w:t>However, the mass change from a sample during the reduction step is easy to track across the separate studies. All the measurements were done using a thermogravimetric analyser and balance.</w:t>
      </w:r>
    </w:p>
    <w:p w14:paraId="1DADCC1E" w14:textId="77777777" w:rsidR="00007F6C" w:rsidRPr="00CA583B" w:rsidRDefault="00007F6C" w:rsidP="004B726A">
      <w:pPr>
        <w:jc w:val="both"/>
      </w:pPr>
      <w:r w:rsidRPr="00CA583B">
        <w:t>The work from surface catalysis has discussed the impact of the partial pressure of oxygen as a key factor to the formation of nickel oxide during the calcination process. The presence of excess oxygen in the reaction pushes the equilibrium reaction of the nickel nitrate to form nickel oxynitrate materials that hinder the rate of conversion to nickel oxide.</w:t>
      </w:r>
    </w:p>
    <w:p w14:paraId="507B37AA" w14:textId="4B9B6645" w:rsidR="00007F6C" w:rsidRPr="00CA583B" w:rsidRDefault="00007F6C" w:rsidP="00F16681">
      <w:pPr>
        <w:jc w:val="both"/>
      </w:pPr>
      <w:r w:rsidRPr="00CA583B">
        <w:t>The determination of the true cause of degradation in nickel/ yttria stabilised zirconia is still a major goal for the SOFC research community. The large gap this leaves in the literature means that work revolving around SOFC durability should be made a priority.</w:t>
      </w:r>
    </w:p>
    <w:p w14:paraId="22135A4A" w14:textId="2D8FF9BE" w:rsidR="00007F6C" w:rsidRPr="0068440C" w:rsidRDefault="00007F6C" w:rsidP="004B726A">
      <w:pPr>
        <w:jc w:val="both"/>
      </w:pPr>
      <w:r w:rsidRPr="00CA583B">
        <w:t>The infiltrate drying step is key to assessing how the overall catalyst material operates</w:t>
      </w:r>
      <w:r>
        <w:t xml:space="preserve"> </w:t>
      </w:r>
      <w:r w:rsidRPr="00CA583B">
        <w:fldChar w:fldCharType="begin" w:fldLock="1"/>
      </w:r>
      <w:r w:rsidR="00D80A5D">
        <w:instrText xml:space="preserve">ADDIN CSL_CITATION {"citationItems":[{"id":"ITEM-1","itemData":{"abstract":"Here, electrochemical impedance spectroscopy, X-ray diffraction, and scanning electron microscopy were used to determine the effect of precursor solution desiccation and nano-ceria pre-infiltration on Solid Oxide Fuel Cell cathodes with various infiltrate compositions. The calcium chloride desiccation of citric acid containing La0.6Sr0.4FeO3-x (LSF), La0.6Sr0.4Fe0.8Co0.2O3-x (LSFC), La0.6Sr0.4Fe0.5Co0.5O3-x (LSCF55), La0.6Sr0.4Fe0.2Co0.8O3-x (LSCF), and La0.6Sr0.4CoO3-x (LSC) infiltrate precursor solutions reduced average infiltrate particle sizes from the </w:instrText>
      </w:r>
      <w:r w:rsidR="00D80A5D">
        <w:rPr>
          <w:rFonts w:ascii="Cambria Math" w:hAnsi="Cambria Math" w:cs="Cambria Math"/>
        </w:rPr>
        <w:instrText>∼</w:instrText>
      </w:r>
      <w:r w:rsidR="00D80A5D">
        <w:instrText xml:space="preserve">53 nm obtained with standard processing to </w:instrText>
      </w:r>
      <w:r w:rsidR="00D80A5D">
        <w:rPr>
          <w:rFonts w:ascii="Cambria Math" w:hAnsi="Cambria Math" w:cs="Cambria Math"/>
        </w:rPr>
        <w:instrText>∼</w:instrText>
      </w:r>
      <w:r w:rsidR="00D80A5D">
        <w:instrText xml:space="preserve">42 nm. Similarly, infiltration of the aforementioned La0.6Sr0.4FeyCo1-yO3-x precursor solutions into porous cathodes containing pre-infiltrated gadolinium doped ceria (GDC) particles reduced average La0.6Sr0.4FeyCo1-yO3-x infiltrate particle sizes from the </w:instrText>
      </w:r>
      <w:r w:rsidR="00D80A5D">
        <w:rPr>
          <w:rFonts w:ascii="Cambria Math" w:hAnsi="Cambria Math" w:cs="Cambria Math"/>
        </w:rPr>
        <w:instrText>∼</w:instrText>
      </w:r>
      <w:r w:rsidR="00D80A5D">
        <w:instrText xml:space="preserve">53 nm obtained with standard processing (i.e. in the absence of nano-GDC pre-infiltration) to </w:instrText>
      </w:r>
      <w:r w:rsidR="00D80A5D">
        <w:rPr>
          <w:rFonts w:ascii="Cambria Math" w:hAnsi="Cambria Math" w:cs="Cambria Math"/>
        </w:rPr>
        <w:instrText>∼</w:instrText>
      </w:r>
      <w:r w:rsidR="00D80A5D">
        <w:instrText>27 nm with nano-GDC pre-infiltration. These desiccation and nano-GDC pre-infiltration induced infiltrate particle size reductions resulted in improved cathode performance. For example, in comparison with the 650°C operating temperatures required for standard LSC-GDC cathodes to achieve a polarization resistance of 0.1 Ωcm2, identical cathodes subjected to desiccation or nano-GDC pre-infiltration achieved 0.1 Ωcm2 at 630°C and 570°C, respectively. These promising results suggest that precursor solution desiccation or nano-GDC pre-infiltration may be useful for reducing the sizes of a variety of SOFC infiltrate materials. ","author":[{"dropping-particle":"","family":"Burye","given":"Theodore E","non-dropping-particle":"","parse-names":false,"suffix":""},{"dropping-particle":"","family":"Tang","given":"Hongjie","non-dropping-particle":"","parse-names":false,"suffix":""},{"dropping-particle":"","family":"Nicholas","given":"Jason D","non-dropping-particle":"","parse-names":false,"suffix":""}],"container-title":"Journal of The Electrochemical Society ","id":"ITEM-1","issue":"9 ","issued":{"date-parts":[["2016","1","1"]]},"note":"10.1149/2.0431609jes","page":"F1017-F1022","title":"The Effect of Precursor Solution Desiccation or Nano-Ceria Pre-Infiltration on Various La0.6Sr0.4FeyCo1-yO3-x Infiltrate Compositions","type":"article-journal","volume":"163 "},"uris":["http://www.mendeley.com/documents/?uuid=56838a14-6065-40bc-ac2e-3a86d0351566"]},{"id":"ITEM-2","itemData":{"DOI":"10.1016/j.jcat.2008.10.007","ISBN":"0021-9517","ISSN":"00219517","abstract":"An explanation is put forward for the beneficial effect of thermal decomposition of supported Ni3(NO3)2(OH)4in NO/He flow (0.1-1 vol%) that enables preparation of well-dispersed (3-5 nm particles) 24 wt% Ni-catalysts via impregnation and drying using aqueous [Ni(OH2)6](NO3)2precursor solution. Moreover, combining electron tomography, XRD and N2-physisorption with SBA-15 support yielded a clear picture of the impact of air, He and NO/He gas atmospheres on NiO shape and distribution. TGA/MS indicated that NO2, N2O, H2O products evolved more gradually in NO/He. In situ XRD and DSC revealed that NO lowers the nitrate decomposition rate and appears less endothermic than in air supposedly due to exothermic scavenging of oxygen by NO, which is supported by MS results. The Ni/SiO2catalyst prepared via the NO-method displayed a higher activity in the hydrogenation of soybean oil as the required hydrogenation time decreased by 30% compared to the traditionally air calcined catalyst. © 2008 Elsevier Inc. All rights reserved.","author":[{"dropping-particle":"","family":"Sietsma","given":"J. R A","non-dropping-particle":"","parse-names":false,"suffix":""},{"dropping-particle":"","family":"Friedrich","given":"Heiner","non-dropping-particle":"","parse-names":false,"suffix":""},{"dropping-particle":"","family":"Broersma","given":"Alfred","non-dropping-particle":"","parse-names":false,"suffix":""},{"dropping-particle":"","family":"Versluijs-Helder","given":"Marjan","non-dropping-particle":"","parse-names":false,"suffix":""},{"dropping-particle":"","family":"Jos van Dillen","given":"A.","non-dropping-particle":"","parse-names":false,"suffix":""},{"dropping-particle":"","family":"Jongh","given":"Petra E.","non-dropping-particle":"de","parse-names":false,"suffix":""},{"dropping-particle":"","family":"Jong","given":"Krijn P.","non-dropping-particle":"de","parse-names":false,"suffix":""}],"container-title":"Journal of Catalysis","id":"ITEM-2","issue":"2","issued":{"date-parts":[["2008"]]},"page":"227-235","publisher":"Elsevier Inc.","title":"How nitric oxide affects the decomposition of supported nickel nitrate to arrive at highly dispersed catalysts","type":"article-journal","volume":"260"},"uris":["http://www.mendeley.com/documents/?uuid=6954d62a-60df-4efa-977c-f9a44718f0ac"]}],"mendeley":{"formattedCitation":"[163], [170]","plainTextFormattedCitation":"[163], [170]","previouslyFormattedCitation":"[163], [170]"},"properties":{"noteIndex":0},"schema":"https://github.com/citation-style-language/schema/raw/master/csl-citation.json"}</w:instrText>
      </w:r>
      <w:r w:rsidRPr="00CA583B">
        <w:fldChar w:fldCharType="separate"/>
      </w:r>
      <w:r w:rsidR="006C586A" w:rsidRPr="006C586A">
        <w:rPr>
          <w:noProof/>
        </w:rPr>
        <w:t>[163], [170]</w:t>
      </w:r>
      <w:r w:rsidRPr="00CA583B">
        <w:fldChar w:fldCharType="end"/>
      </w:r>
      <w:r w:rsidRPr="00CA583B">
        <w:t xml:space="preserve">. Although both authors appear to be at very separate stages with their work. The evidence points to the decomposition of nickel nitrate hexa-hydrate forming basic intermediate salts which are then reduced in humidified hydrogen. </w:t>
      </w:r>
    </w:p>
    <w:p w14:paraId="5B7B8114" w14:textId="7A9792C5" w:rsidR="00007F6C" w:rsidRDefault="00007F6C" w:rsidP="004B726A">
      <w:pPr>
        <w:jc w:val="both"/>
      </w:pPr>
      <w:r>
        <w:t xml:space="preserve">Despite growing evidence that drying increases the activity of catalysts via improved dispersion and reduced size </w:t>
      </w:r>
      <w:r>
        <w:fldChar w:fldCharType="begin" w:fldLock="1"/>
      </w:r>
      <w:r w:rsidR="00D80A5D">
        <w:instrText>ADDIN CSL_CITATION {"citationItems":[{"id":"ITEM-1","itemData":{"DOI":"10.1021/cs5006772","ISBN":"2155-5435\r2155-5435","author":[{"dropping-particle":"","family":"Munnik","given":"Peter","non-dropping-particle":"","parse-names":false,"suffix":""},{"dropping-particle":"","family":"Krans","given":"Nynke A","non-dropping-particle":"","parse-names":false,"suffix":""},{"dropping-particle":"","family":"Jongh","given":"Petra E","non-dropping-particle":"de","parse-names":false,"suffix":""},{"dropping-particle":"","family":"Jong","given":"Krijn P","non-dropping-particle":"de","parse-names":false,"suffix":""}],"container-title":"ACS Catalysis","id":"ITEM-1","issue":"9","issued":{"date-parts":[["2014"]]},"page":"3219-3226","title":"Effects of Drying Conditions on the Synthesis of Co/SiO2and Co/Al2O3Fischer–Tropsch Catalysts","type":"article-journal","volume":"4"},"uris":["http://www.mendeley.com/documents/?uuid=a38e2c6c-43a6-4ee3-9c34-1ca39eaa0c09"]},{"id":"ITEM-2","itemData":{"DOI":"10.1021/cs5006772","ISSN":"21555435","abstract":"The nanoscale distribution of the supported metal phase is an important property for highly active, selective, and stable catalysts. Here, the nanoscale redistribution and aggregate formation of cobalt nitrate during the synthesis of supported cobalt catalysts were studied. Drying over a range of temperatures in stagnant air resulted in cobalt particles (8 nm) present in large aggregates (30-150 nm). However, drying in a N2 flow resulted in cobalt nanoparticles distributed either in aggregates or uniformly on various SiO2 and-Al2O3 supports, critically dependent on the drying temperature. The mechanism of aggregation was studied through chemical immobilization of the precursor on a silica support after drying in a N2 flow. The aggregation behavior upon drying in a gas flow at temperatures below 100 °C showed a remarkable similarity to distributions obtained upon the dewetting of colloidal films, suggesting a physical process. Alternatively, by inducing decomposition of the cobalt nitrate above 100 °C before drying was complete, aggregation was brought about through a chemical process that occurred both in stagnant and flowing gas. A-alumina support exhibited increased precursor-support interactions and displayed little cobalt aggregation upon drying in a gas flow but extensive aggregation upon drying in stagnant air. The aggregation behavior was further tested on silica supports with pore sizes between 3 and 15 nm and tested under industrially relevant Fischer-Tropsch conditions, which revealed that uniform cobalt nanoparticle distributions were up to 50% more active compared to aggregated systems. Thus, hydrodynamics and the temperature of the gas phase are critical parameters to control nanoscale distributions during drying of functional nanomaterials such as supported catalysts.","author":[{"dropping-particle":"","family":"Munnik","given":"Peter","non-dropping-particle":"","parse-names":false,"suffix":""},{"dropping-particle":"","family":"Krans","given":"Nynke A.","non-dropping-particle":"","parse-names":false,"suffix":""},{"dropping-particle":"","family":"Jongh","given":"Petra E.","non-dropping-particle":"De","parse-names":false,"suffix":""},{"dropping-particle":"","family":"Jong","given":"Krijn P.","non-dropping-particle":"De","parse-names":false,"suffix":""}],"container-title":"ACS Catalysis","id":"ITEM-2","issue":"9","issued":{"date-parts":[["2014"]]},"page":"3219-3226","title":"Effects of drying conditions on the synthesis of Co/SiO2 and Co/Al2O3 fischer-tropsch catalysts","type":"article-journal","volume":"4"},"uris":["http://www.mendeley.com/documents/?uuid=ff2d8c3b-b606-4a55-9be4-2f66736d890c"]},{"id":"ITEM-3","itemData":{"DOI":"10.1016/j.cattod.2010.02.052","ISBN":"09205861 (ISSN)","abstract":"Control over the size and size distribution of supported nanoparticles is key to their efficient use in catalysis. In the preparation of nanoparticles by impregnation using nitrate precursors, the support pore diameter can be used to influence the average crystallite size. However, the particle size distributions obtained via this method are generally broad and the dispersions relatively low. Higher dispersions and narrow particle size distributions are obtained via thermal decomposition of the metal nitrate precursor in 1% (v/v) NO in Ar instead of air. Here we will show that by combining the confinement effect of ordered mesoporous silica with a decomposition step of metal nitrates in NO, silica supported nickel and cobalt oxides with a tunable particle size (2-4 nm) can be obtained at high loadings (10-20 wt%). © 2010 Elsevier B.V.","author":[{"dropping-particle":"","family":"Wolters","given":"M","non-dropping-particle":"","parse-names":false,"suffix":""},{"dropping-particle":"","family":"Grotel","given":"L J W","non-dropping-particle":"Van","parse-names":false,"suffix":""},{"dropping-particle":"","family":"Eggenhuisen","given":"T M","non-dropping-particle":"","parse-names":false,"suffix":""},{"dropping-particle":"","family":"Sietsma","given":"J R A","non-dropping-particle":"","parse-names":false,"suffix":""},{"dropping-particle":"","family":"Jong","given":"K P","non-dropping-particle":"De","parse-names":false,"suffix":""},{"dropping-particle":"","family":"Jongh","given":"P E","non-dropping-particle":"De","parse-names":false,"suffix":""}],"container-title":"Catalysis Today","id":"ITEM-3","issue":"1","issued":{"date-parts":[["2011"]]},"language":"English","note":"Cited By :33\nExport Date: 20 January 2017\nCODEN: CATTE\nCorrespondence Address: De Jongh, P. E.; Inorganic Chemistry and Catalysis, Debye Institute for NanoMaterials Science, Utrecht University, Sorbonnelaan 16, NL-3584 CA Utrecht, Netherlands; email: p.e.dejongh@uu.nl\nReferences: Balakos, M.W., Hernandez, E.E., (1997) Catal. Today, 35, p. 415; Chorkendorff, I., Niemantsverdriet, H., (2007) Concepts of Modern Catalysis and Kinetics, , Wiley-VCH Weinheim; Jiao, F., Frei, H., (2009) Angew. Chem. Int. Ed., 48, p. 1841; Bell, A.T., (2003) Science, 299, p. 1688; Che, M., Bennett, C.O., (1989) Adv. Catal., 36, p. 55; Somorjai, G.A., Park, J.Y., (2008) Top. Catal., 49, p. 126; Van Santen, R.A., (2009) Acc. Chem. Res., 42, p. 57; Bezemer, G.L., Bitter, J.H., Kuipers, H., Oosterbeek, H., Holewijn, J.E., Xu, X.D., Kapteijn, F., De Jong, K.P., (2006) J. Am. Chem. Soc., 128, p. 3956; Den Breejen, J.P., Radstake, P.B., Bezemer, G.L., Bitter, J.H., Froseth, V., Holmen, A., De Jong, K.P., (2009) J. Am. Chem. Soc., 131, p. 7197; De Jong, K.P., (1999) Curr. Opin. Solid State Mater. Sci., 4, p. 55; Bourikas, K., Kordulis, C., Lycourghiotis, A., (2006) Catal. Rev. Sci. Eng., 48, p. 363; Van Der Lee, M.K., Van Dillen, A.J., Bitter, J.H., De Jong, K.P., (2005) J. Am. Chem. Soc., 127, p. 13573; Van Dillen, A.J., Terörde, R.J.A.M., Lensveld, D.J., Geus, J.W., De Jong, K.P., (2003) J. Catal., 216, p. 257; Van De Loosdrecht, J., Barradas, S., Caricato, E.A., Ngwenya, N.G., Nkwanyana, P.S., Rawat, M.A.S., Sigwebela, B.H., Visagie, J.L., (2003) Top. Catal., 26, p. 121; Sietsma, J.R.A., Meeldijk, J.D., Den Breejen, J.P., Versluijs-Helder, M., Van Dillen, A.J., De Jongh, P.E., De Jong, K.P., (2007) Angew. Chem. Int. Ed., 46, p. 4547; Sietsma, J.R.A., Friedrich, H., Broersma, A., Versluijs-Helder, M., Van Dillen, A.J., De Jongh, P.E., De Jong, K.P., (2008) J. Catal., 260, p. 227; Khodakov, A.Y., Griboval-Constant, A., Bechara, R., Villain, F., (2001) J. Phys. Chem. B, 105, p. 9805; Jentys, A., Pham, N.H., Vinek, H., Englisch, M., Lercher, J.A., (1998) Catal. Today, 39, p. 311; Li, H.L., Li, J.L., Ni, H.K., Song, D.C., (2006) Catal. Lett., 110, p. 71; Borg Ø, Walmsley, J.C., Dehghan, R., Tanem, B.S., Blekkan, E.A., Eri, S., Rytter, E., Holmen, A., (2008) Catal. Lett., 126, p. 224; Van Der Meer, J., Bardez, I., Bart, F., Albouy, P.A., Wallez, G., Davidson, A., (2009) Micropor. Mesopor. Mater., 118, p. 183; Borg Ø, Dietzel, P.D.C., Spjelkavik, A.I., Tveten, E.Z., Walmsley, J.C., Diplas, S., Eri, S., Rytter, E., (2008) J. Catal., 259, p. 161; Zhao, D., Feng, J., Huo, Q., Melosh, N., Fredrickson, G.H., Chmelka, B.F., Stucky, G.D., (1998) Science, 279, p. 548; Cheng, C., Park, D.H., Klinowski, J., (1997) J. Chem. Soc. Faraday Trans., 93, p. 193; Jaroniec, M., Kruk, M., Olivier, J.P., Koch, S., (2000) Stud. Surf. Sci. Catal., 128, p. 71; Lippens, B.C., De Boer, J.H., (1965) J. Catal., 4, p. 319; Harkins, W.D., Jura, G., (1944) J. Am. Chem. Soc., 66, p. 1366; Gallezot, P., Prettre, M., (1968) Bull. Soc. Chim. Fr., 2, p. 407; Sietsma, J.R.A., Meeldijk, J.D., Versluijs-Helder, M., Broersma, A., Van Dillen, A.J., De Jongh, P.E., De Jong, K.P., (2008) Chem. Mater., 20, p. 2921; Petrov, K., Zotov, N., Mirtcheva, E., Garciamartinez, O., Rojas, R.M., (1994) J. Mater. Chem., 4, p. 611; Brockner, W., Ehrhardt, C., Gjikaj, M., (2007) Thermochim. Acta, 456, p. 64; Estelle, J., Salagre, P., Cesteros, Y., Serra, M., Medina, F., Sueiras, J.E., (2003) Solid State Ionics, 156, p. 233; Friedrich, H., Sietsma, J.R.A., De Jongh, P.E., Verkley, A.J., De Jong, K.P., (2007) J. Am. Chem. Soc., 129, p. 10249","page":"27-32","title":"Combining confinement and NO calcination to arrive at highly dispersed supported nickel and cobalt oxide catalysts with a tunable particle size","type":"article-journal","volume":"163"},"uris":["http://www.mendeley.com/documents/?uuid=f332073a-8245-40b8-869f-64cef4c02a05"]},{"id":"ITEM-4","itemData":{"DOI":"10.1021/jp1081406","ISBN":"1932-7447\r1932-7455","author":[{"dropping-particle":"","family":"Wolters","given":"M","non-dropping-particle":"","parse-names":false,"suffix":""},{"dropping-particle":"","family":"Munnik","given":"P","non-dropping-particle":"","parse-names":false,"suffix":""},{"dropping-particle":"","family":"Bitter","given":"J H","non-dropping-particle":"","parse-names":false,"suffix":""},{"dropping-particle":"","family":"Jongh","given":"P E","non-dropping-particle":"de","parse-names":false,"suffix":""},{"dropping-particle":"","family":"Jong","given":"K P","non-dropping-particle":"de","parse-names":false,"suffix":""}],"container-title":"The Journal of Physical Chemistry C","id":"ITEM-4","issue":"8","issued":{"date-parts":[["2011"]]},"page":"3332-3339","title":"How NO Affects Nickel and Cobalt Nitrates at Low Temperatures To Arrive at Highly Dispersed Silica-Supported Nickel and Cobalt Catalysts","type":"article-journal","volume":"115"},"uris":["http://www.mendeley.com/documents/?uuid=7bb3dca6-3239-44ca-bcf9-9d9b3bfc1ce6"]},{"id":"ITEM-5","itemData":{"DOI":"10.1002/anie.200700608","ISBN":"1521-3773","author":[{"dropping-particle":"","family":"Sietsma","given":"Jelle R  A","non-dropping-particle":"","parse-names":false,"suffix":""},{"dropping-particle":"","family":"Meeldijk","given":"Johannes D","non-dropping-particle":"","parse-names":false,"suffix":""},{"dropping-particle":"","family":"den Breejen","given":"Johan P","non-dropping-particle":"","parse-names":false,"suffix":""},{"dropping-particle":"","family":"Versluijs-Helder","given":"Marjan","non-dropping-particle":"","parse-names":false,"suffix":""},{"dropping-particle":"","family":"van Dillen","given":"A  Jos","non-dropping-particle":"","parse-names":false,"suffix":""},{"dropping-particle":"","family":"de Jongh","given":"Petra E","non-dropping-particle":"","parse-names":false,"suffix":""},{"dropping-particle":"","family":"de Jong","given":"Krijn P","non-dropping-particle":"","parse-names":false,"suffix":""}],"container-title":"Angewandte Chemie International Edition","id":"ITEM-5","issue":"24","issued":{"date-parts":[["2007"]]},"page":"4547-4549","publisher":"WILEY-VCH Verlag","title":"The Preparation of Supported NiO and Co3O4 Nanoparticles by the Nitric Oxide Controlled Thermal Decomposition of Nitrates","type":"article-journal","volume":"46"},"uris":["http://www.mendeley.com/documents/?uuid=c8cd187c-2067-4535-affa-69ae7fffba4c"]},{"id":"ITEM-6","itemData":{"DOI":"10.1016/j.jcat.2008.10.007","ISBN":"0021-9517","ISSN":"00219517","abstract":"An explanation is put forward for the beneficial effect of thermal decomposition of supported Ni3(NO3)2(OH)4in NO/He flow (0.1-1 vol%) that enables preparation of well-dispersed (3-5 nm particles) 24 wt% Ni-catalysts via impregnation and drying using aqueous [Ni(OH2)6](NO3)2precursor solution. Moreover, combining electron tomography, XRD and N2-physisorption with SBA-15 support yielded a clear picture of the impact of air, He and NO/He gas atmospheres on NiO shape and distribution. TGA/MS indicated that NO2, N2O, H2O products evolved more gradually in NO/He. In situ XRD and DSC revealed that NO lowers the nitrate decomposition rate and appears less endothermic than in air supposedly due to exothermic scavenging of oxygen by NO, which is supported by MS results. The Ni/SiO2catalyst prepared via the NO-method displayed a higher activity in the hydrogenation of soybean oil as the required hydrogenation time decreased by 30% compared to the traditionally air calcined catalyst. © 2008 Elsevier Inc. All rights reserved.","author":[{"dropping-particle":"","family":"Sietsma","given":"J. R A","non-dropping-particle":"","parse-names":false,"suffix":""},{"dropping-particle":"","family":"Friedrich","given":"Heiner","non-dropping-particle":"","parse-names":false,"suffix":""},{"dropping-particle":"","family":"Broersma","given":"Alfred","non-dropping-particle":"","parse-names":false,"suffix":""},{"dropping-particle":"","family":"Versluijs-Helder","given":"Marjan","non-dropping-particle":"","parse-names":false,"suffix":""},{"dropping-particle":"","family":"Jos van Dillen","given":"A.","non-dropping-particle":"","parse-names":false,"suffix":""},{"dropping-particle":"","family":"Jongh","given":"Petra E.","non-dropping-particle":"de","parse-names":false,"suffix":""},{"dropping-particle":"","family":"Jong","given":"Krijn P.","non-dropping-particle":"de","parse-names":false,"suffix":""}],"container-title":"Journal of Catalysis","id":"ITEM-6","issue":"2","issued":{"date-parts":[["2008"]]},"page":"227-235","publisher":"Elsevier Inc.","title":"How nitric oxide affects the decomposition of supported nickel nitrate to arrive at highly dispersed catalysts","type":"article-journal","volume":"260"},"uris":["http://www.mendeley.com/documents/?uuid=6954d62a-60df-4efa-977c-f9a44718f0ac"]}],"mendeley":{"formattedCitation":"[170], [171], [174], [176], [177], [180]","plainTextFormattedCitation":"[170], [171], [174], [176], [177], [180]","previouslyFormattedCitation":"[170], [171], [174], [176], [177], [180]"},"properties":{"noteIndex":0},"schema":"https://github.com/citation-style-language/schema/raw/master/csl-citation.json"}</w:instrText>
      </w:r>
      <w:r>
        <w:fldChar w:fldCharType="separate"/>
      </w:r>
      <w:r w:rsidR="006C586A" w:rsidRPr="006C586A">
        <w:rPr>
          <w:noProof/>
        </w:rPr>
        <w:t>[170], [171], [174], [176], [177], [180]</w:t>
      </w:r>
      <w:r>
        <w:fldChar w:fldCharType="end"/>
      </w:r>
      <w:r>
        <w:t>. There have been no studies to date, investigating the impact of the drying routine on the properties of infiltrated Ni-YSZ fuel electrodes for SOFCs. The use of a flowing inert gas atmosphere will be investigated during this project.</w:t>
      </w:r>
    </w:p>
    <w:p w14:paraId="5950330D" w14:textId="74088A4B" w:rsidR="00007F6C" w:rsidRPr="002B6C9E" w:rsidRDefault="00007F6C" w:rsidP="004B726A">
      <w:pPr>
        <w:pStyle w:val="Heading3"/>
      </w:pPr>
      <w:bookmarkStart w:id="86" w:name="_Ref37057650"/>
      <w:bookmarkStart w:id="87" w:name="_Toc69129368"/>
      <w:bookmarkStart w:id="88" w:name="_Toc474489930"/>
      <w:r>
        <w:t>2.3.2</w:t>
      </w:r>
      <w:r>
        <w:tab/>
      </w:r>
      <w:r w:rsidR="00066D07">
        <w:t xml:space="preserve">Fuel Electrode Degradation </w:t>
      </w:r>
      <w:r>
        <w:t xml:space="preserve">during </w:t>
      </w:r>
      <w:r w:rsidR="00066D07">
        <w:t>O</w:t>
      </w:r>
      <w:r>
        <w:t>peration</w:t>
      </w:r>
      <w:bookmarkEnd w:id="86"/>
      <w:bookmarkEnd w:id="87"/>
    </w:p>
    <w:p w14:paraId="74C3714E" w14:textId="77777777" w:rsidR="00007F6C" w:rsidRPr="00CA583B" w:rsidRDefault="00007F6C" w:rsidP="004B726A">
      <w:pPr>
        <w:jc w:val="both"/>
      </w:pPr>
      <w:r w:rsidRPr="00CA583B">
        <w:t xml:space="preserve">To fully appreciate the influence of degradation phenomena on the effectiveness of an SOFC anode the key performance metrics of an SOFC system need to be understood. One of the most influential criteria in all SOFCs electrode materials is the active area. </w:t>
      </w:r>
    </w:p>
    <w:p w14:paraId="08DEB9A5" w14:textId="6FDD447E" w:rsidR="00007F6C" w:rsidRPr="00CA583B" w:rsidRDefault="00007F6C" w:rsidP="004B726A">
      <w:pPr>
        <w:jc w:val="both"/>
      </w:pPr>
      <w:r w:rsidRPr="00CA583B">
        <w:t xml:space="preserve">The active area or triple phase boundary (TPB) is defined as the region in an SOFC where a major reaction occurs involving the electrode, electrolyte and gas phases </w:t>
      </w:r>
      <w:r w:rsidRPr="00CA583B">
        <w:fldChar w:fldCharType="begin" w:fldLock="1"/>
      </w:r>
      <w:r w:rsidR="00D80A5D">
        <w:instrText>ADDIN CSL_CITATION {"citationItems":[{"id":"ITEM-1","itemData":{"DOI":"10.1016/j.jpowsour.2018.02.031","ISSN":"03787753","abstract":"Nickel coarsening is considered a significant cause of solid oxide cell (SOC) performance degradation. Therefore, understanding the morphological changes in the nickel-yttria stabilized zirconia (Ni-YSZ) fuel electrode is crucial for the wide spread usage of SOC technology. This paper reports a study of the initial 3D microstructure evolution of a SOC analyzed in the pristine state and after 3 and 8 h of annealing at 850 °C, in dry hydrogen. The analysis of the evolution of the same location of the electrode shows a substantial change of the nickel and pore network during the first 3 h of treatment, while only negligible changes are observed after 8 h. The nickel coarsening results in loss of connectivity in the nickel network, reduced nickel specific surface area and decreased total triple phase boundary density. For the condition of this experiment, nickel coarsening is shown to be predominantly curvature driven, and changes in the electrode microstructure parameters are discussed in terms of local microstructural evolution.","author":[{"dropping-particle":"","family":"Angelis","given":"Salvatore","non-dropping-particle":"De","parse-names":false,"suffix":""},{"dropping-particle":"","family":"Jørgensen","given":"Peter Stanley","non-dropping-particle":"","parse-names":false,"suffix":""},{"dropping-particle":"","family":"Tsai","given":"Esther Hsiao Rho","non-dropping-particle":"","parse-names":false,"suffix":""},{"dropping-particle":"","family":"Holler","given":"Mirko","non-dropping-particle":"","parse-names":false,"suffix":""},{"dropping-particle":"","family":"Kreka","given":"Kosova","non-dropping-particle":"","parse-names":false,"suffix":""},{"dropping-particle":"","family":"Bowen","given":"Jacob R.","non-dropping-particle":"","parse-names":false,"suffix":""}],"container-title":"Journal of Power Sources","id":"ITEM-1","issue":"February","issued":{"date-parts":[["2018"]]},"page":"72-79","publisher":"Elsevier","title":"Three dimensional characterization of nickel coarsening in solid oxide cells via ex-situ ptychographic nano-tomography","type":"article-journal","volume":"383"},"uris":["http://www.mendeley.com/documents/?uuid=9b3242eb-156c-4f10-bb27-9ca11b08125e"]},{"id":"ITEM-2","itemData":{"DOI":"10.1007/s10832-015-9995-8","ISBN":"13853449 (ISSN)","ISSN":"1385-3449","abstract":"Evaporation of Ni in the form of Nickel Hydroxide (Ni(OH)2) in Solid Oxide Fuel Cell (SOFC) anodes (Ni-YSZ) is one of the major causes of anode degradation. Transition metals such as Fe, Cr and Co can act as sacrificial anodes for Ni, because of lower Gibbs Free Energy values for the formation of their corresponding volatile hydroxides as compared to Ni (OH)2. The transition metals were added to porous Ni-YSZ anode scaffold by infiltration method. Nano-sized particles were sporadically dispersed on the Ni-YSZ surface, confirmed by Scanning Electron Microscopy (SEM). X-Ray Diffraction (XRD) patterns show a very good chemical compatibility between the added metals and Ni-YSZ anodes. Symmetric cells were then prepared and the Area-Specific Resistance (ASR) was monitored at 1000 °C, with a fuel gas containing 25 vol.% H2, 75 vol.% N2, for more than 250 h. To control accelerated evaporation condition of anode, relative humidity in anode gas was fixed at 12 %. The difference in the amount of the added metal before and after long-tern test was determined by EDS analysis. Change in the grain size distribution of Ni particles and Triple Phase Boundary (TPB) density, before and after long term test were calculated by image analysis. Well-defined relations were obtained among ASR change rate determined from electrochemical measurements and grain size distribution, TPB density change rate calculated from image analysis. © 2015, Springer Science+Business Media New York.","author":[{"dropping-particle":"","family":"Lee","given":"Seung-Bok","non-dropping-particle":"","parse-names":false,"suffix":""},{"dropping-particle":"","family":"Song","given":"Rak-Hyun","non-dropping-particle":"","parse-names":false,"suffix":""},{"dropping-particle":"","family":"Lim","given":"Tak-Hyoung","non-dropping-particle":"","parse-names":false,"suffix":""},{"dropping-particle":"","family":"Khan","given":"Muhammad Shirjeel","non-dropping-particle":"","parse-names":false,"suffix":""},{"dropping-particle":"","family":"Lee","given":"Jong-Won","non-dropping-particle":"","parse-names":false,"suffix":""},{"dropping-particle":"","family":"Park","given":"Seok-Joo","non-dropping-particle":"","parse-names":false,"suffix":""}],"container-title":"Journal of Electroceramics","id":"ITEM-2","issue":"1-4","issued":{"date-parts":[["2015"]]},"language":"English","note":"Export Date: 20 January 2017\nCODEN: JOELF\nCorrespondence Address: Lee, S.-B.; Department of Advanced Energy Technology, Korea University of Science and Technology, 217 Gajeong-ro, Yuseong-gu, South Korea; email: sblee@kier.re.kr\nReferences: Yokokawa, H., Tu, H., Iwanschitz, B., Mai, A., (2008) J. Power Sources, 182, p. 400; Holzer, L., Iwanschitz, B., Hocker, T., Münch, B., Prestat, M., Wiedenmann, D., Vogt, U., Graule, T., (2011) J. Power Sources, 196, p. 1279; Jiao, Z., Takagi, N., Shikazono, N., Kasagi, N., (2011) J. Power Sources, 196, p. 1019; Barfod, R., Koch, S., Liu, Y.-L., Larsen, P.H., Hendriksen, P.V., Electrochem (2003) Soc. Proc. Ser. Pennington, NJ, p. 1158; Hagen, A., Barfod, R., Hendriksen, P.V., Liu, Y.-L., Ramousse, S., (2006) J. Electrochem. Soc., 153, p. 1165; Matsui, T., Kishida, R., Muroyama, H., Eguchi, K., (2012) J. Electrochem. Soc., 159, p. 456; Choi, J.H., Lee, T., Choi, M., Yoo, Y.-S., Baek, S.-W., Bae, J., (2010) Int. J. Hydrog Energy, 35, p. 4285; Park, K., Yu, S., Bae, J., Kim, H., Ko, Y., (2010) Int. J. Hydrog Energy, 35, p. 8670; Mukhopadhyay, M., Mukhopadhyay, J., Das Sharma, A., Basu, R.N., (2013) Solid State Ionics, 233, p. 20; Khan, M.Z., Song, R.-H., Lee, S.-B., Lee, J.-W., Lim, T.-H., Park, S.-J., (2014) Int. J. Hydrog Energy, 39, p. 20799; Gross, M.D., Vohs, J.M., Gorte, R.J., (2007) Electrochem. Solid-State Lett., 10, p. 65; Chen, K., Chen, X., Lü, Z., Ai, N., Huang, X., Su, W., (2008) Electrochim. Acta, 53, p. 7825; Wang, Z., Zhang, N., Qiao, J., Sun, K., Xu, P., (2009) Electrochem. Commun., 11, p. 1120; Suzuki, T., Sugihara, S., Yamaguchi, T., Sumi, H., Hamamoto, K., Fujishiro, Y., (2011) Electrochem. Commun., 13, p. 959; Klemensø, T., Thydén, K., Chen, M., Wang, H.-J., (2010) J. Power Sources, 195, p. 7295; Tal, S., Hideto, K., Craig, P.J., Steven, J.V., Lutgrad, C.D.J., (2007) ECS Trans., 7, p. 837; Qiao, J., Sun, K., Zhang, N., Sun, B., Kong, J., Zhou, D., (2007) J. Power Sources, 169, p. 253; Lou, X., Liu, Z., Wang, S., Xiu, Y., Wong, C.P., Liu, M., (2010) J. Power Sources, 195, p. 419; Belton, G.R., Richardson, F.D., (1962) Trans. Faraday Soc., 58, p. 1562; Yan, J., Enoki, M., Matsumoto, H., Ishihara, T., (2007) Electrochem. Solid-State Lett., 10, p. 139; Khan, M.S., Wahyudi, W., Lee, S.-B., Song, R.-H., Lee, J.-W., Lim, T.-H., Park, S.-J., (2015) Int. J. Hydrog Energy, 40, p. 11968; Mizusaki, J., (1994) J. Electrochem. Soc., 141, p. 2129; Ioselevich, A., (1999) Solid State Ionics, 124, p. 221; Bieberle, A., Meier, L.P., Gauckler, L.J., (2001) J. Electrochem. Soc., 148, p. 646; Jiang, S., (2003) J. Mater. Sci., 38, p. 3775; Wilson, J.R., Kobsiriphat, W., Mendoza, R., H-Yi, C., Hiller, J.M., Miller, D.J., Thornton, K., Barnett, S.A., (2006) Nat. Mater., 5, p. 541; Faes, A., Hessler-Wyser, A., Presvytes, D., Vayenas, C.G., Van Herle, J., (2009) Fuel Cells, 9, p. 841","page":"81-89","publisher":"Springer New York LLC","title":"Effect of infiltrated transition metals on nickel morphology change and area-specific resistance of Ni-YSZ based SOFC anode during long-term operation","type":"article-journal","volume":"35"},"uris":["http://www.mendeley.com/documents/?uuid=4acc0c92-8bf4-406e-8961-03cbe19d9cfa"]},{"id":"ITEM-3","itemData":{"DOI":"10.1016/j.jpowsour.2016.09.006","ISSN":"03787753","abstract":"Degradation of Solid Oxide Fuel Cell (SOFC) anode during discharge operation and redox cycles operation were evaluated by three-dimensional electrochemical calculations using a Lattice Boltzmann method (LBM). Three dimensional microstructures were obtained by Focused Ion Beam Scanning Electron Microscopy (FIB-SEM) reconstruction. In the electrochemical calculations, changes in exchange current density and ionic conductivity of Yttria stabilized Zirconia (YSZ) during the operations were assumed and their values were calculated by fitting the calculated overpotential values to the experimental ones. Changes in triple phase boundary density calculated from the reconstructed microstructures were inconsistent with the gradual degradation observed during repeated redox-discharge cycles. Changes of the fitted exchange current density and YSZ ionic conductivity values in both discharge operation and redox cycle operation showed same tendency as the experimental results. Change in exchange current density or YSZ ionic conductivity should be considered as an essential factor which governs the cell performance change regardless of the redox treatment.","author":[{"dropping-particle":"","family":"Shimura","given":"Takaaki","non-dropping-particle":"","parse-names":false,"suffix":""},{"dropping-particle":"","family":"Jiao","given":"Zhenjun","non-dropping-particle":"","parse-names":false,"suffix":""},{"dropping-particle":"","family":"Shikazono","given":"Naoki","non-dropping-particle":"","parse-names":false,"suffix":""}],"container-title":"Journal of Power Sources","id":"ITEM-3","issued":{"date-parts":[["2016"]]},"page":"149-155","publisher":"Elsevier B.V","title":"Evaluation of nickel-yttria stabilized zirconia anode degradation during discharge operation and redox cycles operation by electrochemical calculation","type":"article-journal","volume":"330"},"uris":["http://www.mendeley.com/documents/?uuid=341a380e-d17a-4f75-955b-2b9fabdd3423"]}],"mendeley":{"formattedCitation":"[69], [208], [209]","plainTextFormattedCitation":"[69], [208], [209]","previouslyFormattedCitation":"[69], [208], [209]"},"properties":{"noteIndex":0},"schema":"https://github.com/citation-style-language/schema/raw/master/csl-citation.json"}</w:instrText>
      </w:r>
      <w:r w:rsidRPr="00CA583B">
        <w:fldChar w:fldCharType="separate"/>
      </w:r>
      <w:r w:rsidR="006C586A" w:rsidRPr="006C586A">
        <w:rPr>
          <w:noProof/>
        </w:rPr>
        <w:t>[69], [208], [209]</w:t>
      </w:r>
      <w:r w:rsidRPr="00CA583B">
        <w:fldChar w:fldCharType="end"/>
      </w:r>
      <w:r w:rsidRPr="00CA583B">
        <w:t>. This area of interaction between the 3 phases involved; is the principal location of the movement of charge transfer species namely electrons and oxide ions in an SOFC.</w:t>
      </w:r>
    </w:p>
    <w:p w14:paraId="6384AF9A" w14:textId="6860888A" w:rsidR="00007F6C" w:rsidRPr="00CA583B" w:rsidRDefault="00007F6C" w:rsidP="004B726A">
      <w:pPr>
        <w:jc w:val="both"/>
      </w:pPr>
      <w:r w:rsidRPr="00CA583B">
        <w:t xml:space="preserve">The conditions to produce a true TPB are quite restrictive </w:t>
      </w:r>
      <w:r w:rsidRPr="00CA583B">
        <w:fldChar w:fldCharType="begin" w:fldLock="1"/>
      </w:r>
      <w:r w:rsidR="00D80A5D">
        <w:instrText>ADDIN CSL_CITATION {"citationItems":[{"id":"ITEM-1","itemData":{"DOI":"10.1016/j.cocis.2009.04.006","ISBN":"1359-0294","ISSN":"13590294","abstract":"Solid oxide fuel cells (SOFC) have much promise as efficient devices for the direct conversion of the energy stored in chemical fuels into electricity. The development of highly robust SOFC that can operate on a range of fuels, however, requires improvements in the electrodes, especially the anode, where nanoscale engineering of the structure is required in order to maximize the number of sites where the electrochemical reactions take place. In this article we review the approaches that are currently being used to improve anode performance and microstructure with a focus on new materials and synthesis techniques. © 2009 Elsevier Ltd. All rights reserved.","author":[{"dropping-particle":"","family":"Gorte","given":"R. J.","non-dropping-particle":"","parse-names":false,"suffix":""},{"dropping-particle":"","family":"Vohs","given":"J. M.","non-dropping-particle":"","parse-names":false,"suffix":""}],"container-title":"Current Opinion in Colloid and Interface Science","id":"ITEM-1","issue":"4","issued":{"date-parts":[["2009"]]},"page":"236-244","publisher":"Elsevier Ltd","title":"Nanostructured anodes for solid oxide fuel cells","type":"article-journal","volume":"14"},"uris":["http://www.mendeley.com/documents/?uuid=8b3fea50-b51a-4c20-9dc6-1df6749a4656"]},{"id":"ITEM-2","itemData":{"DOI":"10.1038/nmat1040","ISBN":"1476-1122","ISSN":"14761122","PMID":"14704781","abstract":"Fuel cells will undoubtedly find widespread use in this new millennium in the conversion of chemical to electrical energy, as they offer very high efficiencies and have unique scalability in electricity-generation applications. The solid-oxide fuel cell (SOFC) is one of the most exciting of these energy technologies; it is an all-ceramic device that operates at temperatures in the range 500-1,000 degrees C. The SOFC offers certain advantages over lower temperature fuel cells, notably its ability to use carbon monoxide as a fuel rather than being poisoned by it, and the availability of high-grade exhaust heat for combined heat and power, or combined cycle gas-turbine applications. Although cost is clearly the most important barrier to widespread SOFC implementation, perhaps the most important technical barriers currently being addressed relate to the electrodes, particularly the fuel electrode or anode. In terms of mitigating global warming, the ability of the SOFC to use commonly available fuels at high efficiency, promises an effective and early reduction in carbon dioxide emissions, and hence is one of the lead new technologies for improving the environment. Here, we discuss recent developments of SOFC fuel electrodes that will enable the better use of readily available fuels.","author":[{"dropping-particle":"","family":"Atkinson","given":"A.","non-dropping-particle":"","parse-names":false,"suffix":""},{"dropping-particle":"","family":"Barnett","given":"S.","non-dropping-particle":"","parse-names":false,"suffix":""},{"dropping-particle":"","family":"Gorte","given":"R. J.","non-dropping-particle":"","parse-names":false,"suffix":""},{"dropping-particle":"","family":"Irvine","given":"J. T.S.","non-dropping-particle":"","parse-names":false,"suffix":""},{"dropping-particle":"","family":"McEvoy","given":"A. J.","non-dropping-particle":"","parse-names":false,"suffix":""},{"dropping-particle":"","family":"Mogensen","given":"M.","non-dropping-particle":"","parse-names":false,"suffix":""},{"dropping-particle":"","family":"Singhal","given":"S. C.","non-dropping-particle":"","parse-names":false,"suffix":""},{"dropping-particle":"","family":"Vohs","given":"J.","non-dropping-particle":"","parse-names":false,"suffix":""}],"container-title":"Nature Materials","id":"ITEM-2","issue":"1","issued":{"date-parts":[["2004"]]},"language":"English","note":"Cited By :951\nExport Date: 7 October 2016\nCorrespondence Address: Irvine, J.T.S.; School of Chemistry, University of St Andrews, St Andrews, Fife KY16 9ST, United Kingdom\nChemicals/CAS: hydrogen, 12385-13-6, 1333-74-0; Ceramics; Hydrogen, 1333-74-0; Metals\nReferences: Baur, E., Preis, H., Uber die Eisenoxyd-Kathode in der Kohle-Luft-Kette (1937) Z. Elektrochem., 43, p. 727; Möbius, H.-H., On the history of solid electrolyte fuel cells (1997) Solid State Electrochem., 1, p. 2; Spacil, H.S., (1970) Electrical Device Including Nickel-containing Stabilized Zirconia Electrode, , US Patent 3,558,360; Lee, J.H., Quantitative analysis of microstructure and its related electrical property of SOFC anode, Ni-YSZ cermet (2002) Solid State Ionics, 148, pp. 1-2; Toebes, M.L., Bitter, I.H., Van Dillen, A.J., De Jong, K.P., Impact of the structure and reactivity of nickel particles on the catalytic growth of carbon nanofibers (2002) Catal Today, 76, pp. 33-42; Sasaki, K., Teraoka, Y., Equilibria in fuel cell gases -I. Equilibrium compositions and reforming conditions (2003) J. Electrochem. Soc., 150, pp. A878-A884; Murray, E.P., Tsai, T., Barnett, S.A., A direct-methane fuel cell with a ceriabased anode (1999) Nature, 400, pp. 649-651; Mogensen, M., Jensen, K.V., Jorgensen, M.J., Primdahl, S., Progress in understanding SOFC electrodes (2002) Solid State Ionics, 150, pp. 123-129; Lu, X.Y., Faguy, P.W., Liu, M.I., In situ potential-dependent FTIR emission spectroscopy - A novel probe for high temperature fuel cell interfaces (2002) J. Electrochm. Sac., 149, pp. A1293-A1298; Bernardo, C.A., Alstrup, I., Rostrupnielsen, J.R., Carbon deposition and methane steam reforming on silica-supported Ni-Cu catalysts (1985) J. Catal., 96, pp. 517-534; Dong, W.S., Roh, H.S., Jun, K.W., Park, S.E., Oh, Y.S., Methane reforming over Ni/Ce-ZrO2 catalysts: Effect of nickel content (2002) Appl. Catal. A, 226, pp. 63-72; Bunluesin, T., Gorte, R.J., Graham, G.W., Studies of the water-gas-shift reaction on ceria-supported Pt, Pd, and Rh: Implications for oxygen-storage properties (1998) Appl. Catal. B, 15, pp. 107-114; Sharma, S., Hilaire, S., Vohs, J.M., Gorte, R.J., Jen, H.W., Evidence for oxidation of ceria by CO2 (2000) J. Catal., 199, pp. 199-204; Ramirez-Cabrera, E., Atkinson, A., Chadwick, D., The influence of point defects on the resistance of ceria to carbon deposition in hydrocarbon catalysis (2000) Solid State Ionics, 136, pp. 825-831; Marina, O.A., Mogensen, M., High-temperature conversion of methane on a composite gadolinia-doped ceria-gold electrode (1999) Appl. Catal. A, 189, pp. 117-126; Park, S.D., Vohs, J.M., Gorte, R.J., Direct oxidation of hydrocarbons in a solid-oxide fuel cell (2000) Nature, 404, pp. 265-267; Kiratzis, N., Holtappels, P., Hatchwell, C.E., Mogensen, M., Irvine, J.T.S., Preparation and characterisation of copper/yttria titania zirconia cermets for use as possible solid oxide fuel cell anodes (2001) Fuel Cells, 1, pp. 211-218; Kim, H., Park, S., Vohs, J.M., Gorte, R.J., Direct oxidation of liquid fuels in a solid oxide fuel cell (2001) J. Electrochem. Soc., 148, pp. A693-A695; Minh, N.Q., Ceramic fuel-cells (1993) J. Am. Ceram. Soc., 76, pp. 563-588; Yokokawa, H., Sakai, N., Kawada, T., Dokiya, M., Thermodynamic stabilities of perovskite oxides for electrodes and other electrochemical materials (1992) Solid State Ionics, 52, pp. 43-56; Pudmich, G., Chromite/titanate based perovskites for application as anodes in solid oxide fuel cells (2000) Solid State Ionics, 135, pp. 433-438; Tao, S., Irvine, J.T.S., A redox-stable, efficient anode for solid-oxide fuel cells (2003) Nature Mater., 2, pp. 320-323; Vernoux, P., Guillodo, M., Fouletier, J., Hammou, A., Alternative anode materials for gradual methane reforming in solid oxide fuel cells (2000) Solid State Ionics, 133, pp. 425-431; Sfeir, J., Lanthanum chromite based catalysts for oxidation of methane directly on SOFC anode (2001) J. Catal., 202, pp. 229-244; Sfeir, J., Van Herle, J., Vasquez, R., (2002) Proc. 5th European Solid Oxide Fuel Cell Forum, pp. 570-577. , ed. Huijsmans J. (European SOFC Forum, Switzerland); Sauvet, A.L., Irvine, J.T.S., (2002) Proc. 5th European Solid Oxide Fuel Cell Forum, pp. 490-498. , ed. Huijsmans J. (European SOFC Forum, Switzerland); Slater, P.R., Fagg, D.P., Irvine, J.T.S., Synthesis and electrical characterisation of the doped perovskite titanates as potential anode materials for solid oxide fuel cells (1997) J. Mater. Chem., 7, pp. 2495-2498; Hui, S.Q., Petric, A., Electrical properties of yttrium-doped strontium titanate under reducing conditions (2002) J. Electrochem. Soc., 149, pp. J1-J10; Marina, O.A., Pederson, L.R., (2002) Proc. 5th European Solid Oxide Fuel Cell Forum, pp. 481-489. , ed. Huijimans, J. (European SOFC Forum, Switzerland); Canales-Vázquez, J., Tao, S.W., Irvine, J.T.S., (2003) Electrical Properties in La2Sr4Ti6O 19-d: A Potential Anode for High Temperature Fuel Cells Solid State Ionics, 159, pp. 159-165; Reich, C., Kaiser, A., Irvine, J.T.S., (2001) Niobia Based Rutile Materials as Sofc Anodes, Fuel Cells - from Fundamentals to Systems, 1, pp. 249-255; Ramos, T., Atkinson, A., (2001) Ionic and Mixed Conducting Ceramics IV, PV2001-28, pp. 352-367. , eds Ramanarayanan, T. A., Worrell, W. L. &amp;amp; Mogensen, M. (Electrochemical Scociety Proceedings); Steele, B.C.H., Appraisal of Ce1-yGdyO2-y/2electrolytes for IT-SOFC operation at 500° C (2000) Solid State Ionics, 129, pp. 95-110; Wang, S.R., Kobayashi, T., Dokiya, M., Hashimoto, T., Electrical and ionic conductivity of Gd-doped ceria (2000) J. Electrochem. Soc., 147, pp. 3606-3609; Floyd, J.M., Interpretation of transport phenomena in non-stoichiometric ceria (1972) J. Ind. Technol., pp. 275-280; Tao, S., Irvine, J.T.S., Optimization of mixed conducting properties of Y2O 3ZrO2-TiO2 and Sc2O 3-Y2O3-ZrO2-TiO2 solid solutions as potential SOFC anode materials (2002) J. Solid State Chem., 165, pp. 12-18; Sauvet, A.-L., Fouletier, J., Catalytic properties of new anode materials for solid oxide fuel cells operated under methane at intermediary temperature (2001) J. Power Sources, 101, pp. 259-266; Sprague, J.J., Tuller, H.L., Mixed ionic and electronic conduction in Mn/Mo doped gadolinium titanate (1999) J. Europ. Ceram. Soc., 19, pp. 803-806; Holtappels, P., Poulsen, F.W., Mogensen, M., Electrical conductivities and chemical stabilities of mixed conducting pyrochlores for SOFC applications (2000) Solid State Ionics, 135, pp. 675-679; McIntosh, S., Vohs, J.M., Gorte, R.J., Role of hydrocarbon deposits in the enhanced performance of direct-oxidation SOFCs (2003) J. Electrochem. Soc., 150, pp. A470-A476; Lu, C., Worrell, W.L., Vohs, J.M., Gorte, R.J., (2003) Solid Oxide Fuel Cells VIII, 7, pp. 773-780. , eds Singhal. S. C. &amp;amp; Dokiya, M., (Electrochemical Society Proceedings); Lu, C., Worrell, W.L., Gorte, R.J., Vohs, J.M., SOFCs for direct oxidation of hydrocarbon fuels with samaria-doped ceria Electrolyte (2003) J. Electrochem, Soc., 150, pp. A354-A358; Sfeir, J., (2001) Alternative Anode Materials for Methane Oxidation in Solid Oxide Fuel Cells, , Thesis, Ecole Polytechnique Fédérale de Lausanne, Switzerland; Liu, J., Madsen, B.D., Ji, Z.Q., Barnett, S.A., A fuel-flexible ceramic-based anode for solid oxide fuel cells (2002) Electrochem. Solid State Lett., 5, pp. A122-A124; Sauvet, A.L., Fouletier, J., Electrochemical properties of a new type of anode material La 1-xSrxCr1-yRuyO3-δ for SOFC under hydrogen and methane at intermediate temperatures (2001) Electrochim. Acta, 47, pp. 987-995; Vernoux, P., Guindet, J., Kleitz, M., Gradual internal methane reforming in intermediate-temperature solid-oxide fuel cells (1998) J. Electrochem. Soc., 145, pp. 3487-3492; Skarmoutsos, D., Teitz, F., Nikolopoulos, P., Structure - Property relationships of Ni/YSZ and Ni/(YSZ+TiO2) cermets (2001) Fuel Cells, 1, pp. 243-248; Holtappels, P., (1997) Electrocatalysis on Nickel-cermet E,lectrodes Jülich, , Research Centre Report number 3414, and Thesis, Univ. Bonn; Kiratzis, N., Holtappels, P., Hatchwell, C.E., Mogensen, M., Irvine, J.T.S., Preparation and characterisation of copper/yttria titania zirconia cermets for use as possible solid oxide fuel cell anodes (2001) Fuel Cells, 1, pp. 211-218","page":"17-27","title":"Advanced anodes for high-temperature fuel cells","type":"article-journal","volume":"3"},"uris":["http://www.mendeley.com/documents/?uuid=5b7491b8-7a88-4fb4-aaf6-a24df77a007d"]}],"mendeley":{"formattedCitation":"[57], [137]","plainTextFormattedCitation":"[57], [137]","previouslyFormattedCitation":"[57], [137]"},"properties":{"noteIndex":0},"schema":"https://github.com/citation-style-language/schema/raw/master/csl-citation.json"}</w:instrText>
      </w:r>
      <w:r w:rsidRPr="00CA583B">
        <w:fldChar w:fldCharType="separate"/>
      </w:r>
      <w:r w:rsidR="006C586A" w:rsidRPr="006C586A">
        <w:rPr>
          <w:noProof/>
        </w:rPr>
        <w:t>[57], [137]</w:t>
      </w:r>
      <w:r w:rsidRPr="00CA583B">
        <w:fldChar w:fldCharType="end"/>
      </w:r>
      <w:r w:rsidRPr="00CA583B">
        <w:t xml:space="preserve">. </w:t>
      </w:r>
      <w:proofErr w:type="spellStart"/>
      <w:r w:rsidRPr="00CA583B">
        <w:t>Vohs</w:t>
      </w:r>
      <w:proofErr w:type="spellEnd"/>
      <w:r w:rsidRPr="00CA583B">
        <w:t xml:space="preserve"> and </w:t>
      </w:r>
      <w:proofErr w:type="spellStart"/>
      <w:r w:rsidRPr="00CA583B">
        <w:t>Gorte</w:t>
      </w:r>
      <w:proofErr w:type="spellEnd"/>
      <w:r w:rsidRPr="00CA583B">
        <w:t xml:space="preserve"> assert that a 3-phase region exists only when the </w:t>
      </w:r>
      <w:proofErr w:type="spellStart"/>
      <w:r w:rsidRPr="00CA583B">
        <w:t>σ</w:t>
      </w:r>
      <w:r w:rsidRPr="00CA583B">
        <w:rPr>
          <w:vertAlign w:val="subscript"/>
        </w:rPr>
        <w:t>ionic</w:t>
      </w:r>
      <w:proofErr w:type="spellEnd"/>
      <w:r w:rsidRPr="00CA583B">
        <w:t xml:space="preserve"> and </w:t>
      </w:r>
      <w:proofErr w:type="spellStart"/>
      <w:r w:rsidRPr="00CA583B">
        <w:t>σ</w:t>
      </w:r>
      <w:r w:rsidRPr="00CA583B">
        <w:rPr>
          <w:vertAlign w:val="subscript"/>
        </w:rPr>
        <w:t>el</w:t>
      </w:r>
      <w:proofErr w:type="spellEnd"/>
      <w:r w:rsidRPr="00CA583B">
        <w:t xml:space="preserve"> are matched between the electrode and electrolyte materials </w:t>
      </w:r>
      <w:r w:rsidRPr="00CA583B">
        <w:fldChar w:fldCharType="begin" w:fldLock="1"/>
      </w:r>
      <w:r w:rsidR="00D80A5D">
        <w:instrText>ADDIN CSL_CITATION {"citationItems":[{"id":"ITEM-1","itemData":{"DOI":"10.1038/nmat1040","ISBN":"1476-1122","ISSN":"14761122","PMID":"14704781","abstract":"Fuel cells will undoubtedly find widespread use in this new millennium in the conversion of chemical to electrical energy, as they offer very high efficiencies and have unique scalability in electricity-generation applications. The solid-oxide fuel cell (SOFC) is one of the most exciting of these energy technologies; it is an all-ceramic device that operates at temperatures in the range 500-1,000 degrees C. The SOFC offers certain advantages over lower temperature fuel cells, notably its ability to use carbon monoxide as a fuel rather than being poisoned by it, and the availability of high-grade exhaust heat for combined heat and power, or combined cycle gas-turbine applications. Although cost is clearly the most important barrier to widespread SOFC implementation, perhaps the most important technical barriers currently being addressed relate to the electrodes, particularly the fuel electrode or anode. In terms of mitigating global warming, the ability of the SOFC to use commonly available fuels at high efficiency, promises an effective and early reduction in carbon dioxide emissions, and hence is one of the lead new technologies for improving the environment. Here, we discuss recent developments of SOFC fuel electrodes that will enable the better use of readily available fuels.","author":[{"dropping-particle":"","family":"Atkinson","given":"A.","non-dropping-particle":"","parse-names":false,"suffix":""},{"dropping-particle":"","family":"Barnett","given":"S.","non-dropping-particle":"","parse-names":false,"suffix":""},{"dropping-particle":"","family":"Gorte","given":"R. J.","non-dropping-particle":"","parse-names":false,"suffix":""},{"dropping-particle":"","family":"Irvine","given":"J. T.S.","non-dropping-particle":"","parse-names":false,"suffix":""},{"dropping-particle":"","family":"McEvoy","given":"A. J.","non-dropping-particle":"","parse-names":false,"suffix":""},{"dropping-particle":"","family":"Mogensen","given":"M.","non-dropping-particle":"","parse-names":false,"suffix":""},{"dropping-particle":"","family":"Singhal","given":"S. C.","non-dropping-particle":"","parse-names":false,"suffix":""},{"dropping-particle":"","family":"Vohs","given":"J.","non-dropping-particle":"","parse-names":false,"suffix":""}],"container-title":"Nature Materials","id":"ITEM-1","issue":"1","issued":{"date-parts":[["2004"]]},"language":"English","note":"Cited By :951\nExport Date: 7 October 2016\nCorrespondence Address: Irvine, J.T.S.; School of Chemistry, University of St Andrews, St Andrews, Fife KY16 9ST, United Kingdom\nChemicals/CAS: hydrogen, 12385-13-6, 1333-74-0; Ceramics; Hydrogen, 1333-74-0; Metals\nReferences: Baur, E., Preis, H., Uber die Eisenoxyd-Kathode in der Kohle-Luft-Kette (1937) Z. Elektrochem., 43, p. 727; Möbius, H.-H., On the history of solid electrolyte fuel cells (1997) Solid State Electrochem., 1, p. 2; Spacil, H.S., (1970) Electrical Device Including Nickel-containing Stabilized Zirconia Electrode, , US Patent 3,558,360; Lee, J.H., Quantitative analysis of microstructure and its related electrical property of SOFC anode, Ni-YSZ cermet (2002) Solid State Ionics, 148, pp. 1-2; Toebes, M.L., Bitter, I.H., Van Dillen, A.J., De Jong, K.P., Impact of the structure and reactivity of nickel particles on the catalytic growth of carbon nanofibers (2002) Catal Today, 76, pp. 33-42; Sasaki, K., Teraoka, Y., Equilibria in fuel cell gases -I. Equilibrium compositions and reforming conditions (2003) J. Electrochem. Soc., 150, pp. A878-A884; Murray, E.P., Tsai, T., Barnett, S.A., A direct-methane fuel cell with a ceriabased anode (1999) Nature, 400, pp. 649-651; Mogensen, M., Jensen, K.V., Jorgensen, M.J., Primdahl, S., Progress in understanding SOFC electrodes (2002) Solid State Ionics, 150, pp. 123-129; Lu, X.Y., Faguy, P.W., Liu, M.I., In situ potential-dependent FTIR emission spectroscopy - A novel probe for high temperature fuel cell interfaces (2002) J. Electrochm. Sac., 149, pp. A1293-A1298; Bernardo, C.A., Alstrup, I., Rostrupnielsen, J.R., Carbon deposition and methane steam reforming on silica-supported Ni-Cu catalysts (1985) J. Catal., 96, pp. 517-534; Dong, W.S., Roh, H.S., Jun, K.W., Park, S.E., Oh, Y.S., Methane reforming over Ni/Ce-ZrO2 catalysts: Effect of nickel content (2002) Appl. Catal. A, 226, pp. 63-72; Bunluesin, T., Gorte, R.J., Graham, G.W., Studies of the water-gas-shift reaction on ceria-supported Pt, Pd, and Rh: Implications for oxygen-storage properties (1998) Appl. Catal. B, 15, pp. 107-114; Sharma, S., Hilaire, S., Vohs, J.M., Gorte, R.J., Jen, H.W., Evidence for oxidation of ceria by CO2 (2000) J. Catal., 199, pp. 199-204; Ramirez-Cabrera, E., Atkinson, A., Chadwick, D., The influence of point defects on the resistance of ceria to carbon deposition in hydrocarbon catalysis (2000) Solid State Ionics, 136, pp. 825-831; Marina, O.A., Mogensen, M., High-temperature conversion of methane on a composite gadolinia-doped ceria-gold electrode (1999) Appl. Catal. A, 189, pp. 117-126; Park, S.D., Vohs, J.M., Gorte, R.J., Direct oxidation of hydrocarbons in a solid-oxide fuel cell (2000) Nature, 404, pp. 265-267; Kiratzis, N., Holtappels, P., Hatchwell, C.E., Mogensen, M., Irvine, J.T.S., Preparation and characterisation of copper/yttria titania zirconia cermets for use as possible solid oxide fuel cell anodes (2001) Fuel Cells, 1, pp. 211-218; Kim, H., Park, S., Vohs, J.M., Gorte, R.J., Direct oxidation of liquid fuels in a solid oxide fuel cell (2001) J. Electrochem. Soc., 148, pp. A693-A695; Minh, N.Q., Ceramic fuel-cells (1993) J. Am. Ceram. Soc., 76, pp. 563-588; Yokokawa, H., Sakai, N., Kawada, T., Dokiya, M., Thermodynamic stabilities of perovskite oxides for electrodes and other electrochemical materials (1992) Solid State Ionics, 52, pp. 43-56; Pudmich, G., Chromite/titanate based perovskites for application as anodes in solid oxide fuel cells (2000) Solid State Ionics, 135, pp. 433-438; Tao, S., Irvine, J.T.S., A redox-stable, efficient anode for solid-oxide fuel cells (2003) Nature Mater., 2, pp. 320-323; Vernoux, P., Guillodo, M., Fouletier, J., Hammou, A., Alternative anode materials for gradual methane reforming in solid oxide fuel cells (2000) Solid State Ionics, 133, pp. 425-431; Sfeir, J., Lanthanum chromite based catalysts for oxidation of methane directly on SOFC anode (2001) J. Catal., 202, pp. 229-244; Sfeir, J., Van Herle, J., Vasquez, R., (2002) Proc. 5th European Solid Oxide Fuel Cell Forum, pp. 570-577. , ed. Huijsmans J. (European SOFC Forum, Switzerland); Sauvet, A.L., Irvine, J.T.S., (2002) Proc. 5th European Solid Oxide Fuel Cell Forum, pp. 490-498. , ed. Huijsmans J. (European SOFC Forum, Switzerland); Slater, P.R., Fagg, D.P., Irvine, J.T.S., Synthesis and electrical characterisation of the doped perovskite titanates as potential anode materials for solid oxide fuel cells (1997) J. Mater. Chem., 7, pp. 2495-2498; Hui, S.Q., Petric, A., Electrical properties of yttrium-doped strontium titanate under reducing conditions (2002) J. Electrochem. Soc., 149, pp. J1-J10; Marina, O.A., Pederson, L.R., (2002) Proc. 5th European Solid Oxide Fuel Cell Forum, pp. 481-489. , ed. Huijimans, J. (European SOFC Forum, Switzerland); Canales-Vázquez, J., Tao, S.W., Irvine, J.T.S., (2003) Electrical Properties in La2Sr4Ti6O 19-d: A Potential Anode for High Temperature Fuel Cells Solid State Ionics, 159, pp. 159-165; Reich, C., Kaiser, A., Irvine, J.T.S., (2001) Niobia Based Rutile Materials as Sofc Anodes, Fuel Cells - from Fundamentals to Systems, 1, pp. 249-255; Ramos, T., Atkinson, A., (2001) Ionic and Mixed Conducting Ceramics IV, PV2001-28, pp. 352-367. , eds Ramanarayanan, T. A., Worrell, W. L. &amp;amp; Mogensen, M. (Electrochemical Scociety Proceedings); Steele, B.C.H., Appraisal of Ce1-yGdyO2-y/2electrolytes for IT-SOFC operation at 500° C (2000) Solid State Ionics, 129, pp. 95-110; Wang, S.R., Kobayashi, T., Dokiya, M., Hashimoto, T., Electrical and ionic conductivity of Gd-doped ceria (2000) J. Electrochem. Soc., 147, pp. 3606-3609; Floyd, J.M., Interpretation of transport phenomena in non-stoichiometric ceria (1972) J. Ind. Technol., pp. 275-280; Tao, S., Irvine, J.T.S., Optimization of mixed conducting properties of Y2O 3ZrO2-TiO2 and Sc2O 3-Y2O3-ZrO2-TiO2 solid solutions as potential SOFC anode materials (2002) J. Solid State Chem., 165, pp. 12-18; Sauvet, A.-L., Fouletier, J., Catalytic properties of new anode materials for solid oxide fuel cells operated under methane at intermediary temperature (2001) J. Power Sources, 101, pp. 259-266; Sprague, J.J., Tuller, H.L., Mixed ionic and electronic conduction in Mn/Mo doped gadolinium titanate (1999) J. Europ. Ceram. Soc., 19, pp. 803-806; Holtappels, P., Poulsen, F.W., Mogensen, M., Electrical conductivities and chemical stabilities of mixed conducting pyrochlores for SOFC applications (2000) Solid State Ionics, 135, pp. 675-679; McIntosh, S., Vohs, J.M., Gorte, R.J., Role of hydrocarbon deposits in the enhanced performance of direct-oxidation SOFCs (2003) J. Electrochem. Soc., 150, pp. A470-A476; Lu, C., Worrell, W.L., Vohs, J.M., Gorte, R.J., (2003) Solid Oxide Fuel Cells VIII, 7, pp. 773-780. , eds Singhal. S. C. &amp;amp; Dokiya, M., (Electrochemical Society Proceedings); Lu, C., Worrell, W.L., Gorte, R.J., Vohs, J.M., SOFCs for direct oxidation of hydrocarbon fuels with samaria-doped ceria Electrolyte (2003) J. Electrochem, Soc., 150, pp. A354-A358; Sfeir, J., (2001) Alternative Anode Materials for Methane Oxidation in Solid Oxide Fuel Cells, , Thesis, Ecole Polytechnique Fédérale de Lausanne, Switzerland; Liu, J., Madsen, B.D., Ji, Z.Q., Barnett, S.A., A fuel-flexible ceramic-based anode for solid oxide fuel cells (2002) Electrochem. Solid State Lett., 5, pp. A122-A124; Sauvet, A.L., Fouletier, J., Electrochemical properties of a new type of anode material La 1-xSrxCr1-yRuyO3-δ for SOFC under hydrogen and methane at intermediate temperatures (2001) Electrochim. Acta, 47, pp. 987-995; Vernoux, P., Guindet, J., Kleitz, M., Gradual internal methane reforming in intermediate-temperature solid-oxide fuel cells (1998) J. Electrochem. Soc., 145, pp. 3487-3492; Skarmoutsos, D., Teitz, F., Nikolopoulos, P., Structure - Property relationships of Ni/YSZ and Ni/(YSZ+TiO2) cermets (2001) Fuel Cells, 1, pp. 243-248; Holtappels, P., (1997) Electrocatalysis on Nickel-cermet E,lectrodes Jülich, , Research Centre Report number 3414, and Thesis, Univ. Bonn; Kiratzis, N., Holtappels, P., Hatchwell, C.E., Mogensen, M., Irvine, J.T.S., Preparation and characterisation of copper/yttria titania zirconia cermets for use as possible solid oxide fuel cell anodes (2001) Fuel Cells, 1, pp. 211-218","page":"17-27","title":"Advanced anodes for high-temperature fuel cells","type":"article-journal","volume":"3"},"uris":["http://www.mendeley.com/documents/?uuid=5b7491b8-7a88-4fb4-aaf6-a24df77a007d"]},{"id":"ITEM-2","itemData":{"DOI":"10.1016/j.cocis.2009.04.006","ISBN":"1359-0294","ISSN":"13590294","abstract":"Solid oxide fuel cells (SOFC) have much promise as efficient devices for the direct conversion of the energy stored in chemical fuels into electricity. The development of highly robust SOFC that can operate on a range of fuels, however, requires improvements in the electrodes, especially the anode, where nanoscale engineering of the structure is required in order to maximize the number of sites where the electrochemical reactions take place. In this article we review the approaches that are currently being used to improve anode performance and microstructure with a focus on new materials and synthesis techniques. © 2009 Elsevier Ltd. All rights reserved.","author":[{"dropping-particle":"","family":"Gorte","given":"R. J.","non-dropping-particle":"","parse-names":false,"suffix":""},{"dropping-particle":"","family":"Vohs","given":"J. M.","non-dropping-particle":"","parse-names":false,"suffix":""}],"container-title":"Current Opinion in Colloid and Interface Science","id":"ITEM-2","issue":"4","issued":{"date-parts":[["2009"]]},"page":"236-244","publisher":"Elsevier Ltd","title":"Nanostructured anodes for solid oxide fuel cells","type":"article-journal","volume":"14"},"uris":["http://www.mendeley.com/documents/?uuid=8b3fea50-b51a-4c20-9dc6-1df6749a4656"]}],"mendeley":{"formattedCitation":"[57], [137]","plainTextFormattedCitation":"[57], [137]","previouslyFormattedCitation":"[57], [137]"},"properties":{"noteIndex":0},"schema":"https://github.com/citation-style-language/schema/raw/master/csl-citation.json"}</w:instrText>
      </w:r>
      <w:r w:rsidRPr="00CA583B">
        <w:fldChar w:fldCharType="separate"/>
      </w:r>
      <w:r w:rsidR="006C586A" w:rsidRPr="006C586A">
        <w:rPr>
          <w:noProof/>
        </w:rPr>
        <w:t>[57], [137]</w:t>
      </w:r>
      <w:r w:rsidRPr="00CA583B">
        <w:fldChar w:fldCharType="end"/>
      </w:r>
      <w:r w:rsidRPr="00CA583B">
        <w:t>. Creating a large TPB has been one of the driving factors in producing cermet electrodes with the inclusion of YSZ as the ceramic phase. Implementing YSZ in both electrodes also helps reduce the deleterious effect of a thermal expansion coefficient (TEC) mismatch between the two electrodes and the electrolyte. It was found that 30</w:t>
      </w:r>
      <w:r w:rsidR="00F16681">
        <w:t xml:space="preserve"> </w:t>
      </w:r>
      <w:r w:rsidRPr="00CA583B">
        <w:t xml:space="preserve">% open porosity is a required for the electrode to possess effective gas transport towards the TPB </w:t>
      </w:r>
      <w:r w:rsidRPr="00CA583B">
        <w:fldChar w:fldCharType="begin" w:fldLock="1"/>
      </w:r>
      <w:r w:rsidR="00D80A5D">
        <w:instrText>ADDIN CSL_CITATION {"citationItems":[{"id":"ITEM-1","itemData":{"DOI":"10.1016/j.jpowsour.2010.03.050","ISBN":"03787753 (ISSN)","ISSN":"03787753","abstract":"Ceramic-metal composites (cermets) containing yttria-stabilized zirconia, YSZ, and Ni particles are commonly used as anode materials in solid oxide fuel cells. The long-term performance of fuel cells is strictly related to both the structural and electrical properties of anode materials. In order to achieve high mixed electrical conductivity and high activity of electrochemical reactions and hydrocarbon fuel reforming, it is necessary to select an appropriate chemical composition and a suitable method of preparation. Materials containing 8 mol% yttria-stabilized zirconia and Ni were prepared by means of two methods: co-precipitation and impregnation. The structure of the materials was characterized by means of X-ray diffraction (XRD), scanning electron microscopy (SEM) and porosity studies. The thermal expansion coefficient (TEC) was determined using the dilathometric method. Electrochemical impedance spectroscopy (EIS) and the Wagner polarization method were used to determine electrical conductivity and the electron transference numbers, respectively. © 2010 Elsevier B.V. All rights reserved.","author":[{"dropping-particle":"","family":"Jasinski","given":"M.","non-dropping-particle":"","parse-names":false,"suffix":""},{"dropping-particle":"","family":"Radecka","given":"M.","non-dropping-particle":"","parse-names":false,"suffix":""},{"dropping-particle":"","family":"Rekas","given":"M.","non-dropping-particle":"","parse-names":false,"suffix":""},{"dropping-particle":"","family":"Pasierb","given":"P.","non-dropping-particle":"","parse-names":false,"suffix":""},{"dropping-particle":"","family":"Haberko","given":"K.","non-dropping-particle":"","parse-names":false,"suffix":""}],"container-title":"Journal of Power Sources","id":"ITEM-1","issue":"17","issued":{"date-parts":[["2010"]]},"language":"English","note":"Cited By :19\nExport Date: 28 November 2016\nCODEN: JPSOD\nCorrespondence Address: Rekas, M.; AGH University of Science and Technology, Faculty of Materials Science and Ceramics, al.Mickiewicza 30, 30-059 Cracow, Poland; email: rekas@agh.edu.pl\nReferences: Minh, N.Q., Takahashi, T., (1995) Science and Technology of Ceramic Fuel Cells, , Elsevier, Amsterdam; Yano, M., Tomita, A., Sano, M., Hibino, T., (2007) Solid State Ionics, 177, p. 3351; Van Rij, L.N., Le, J., Van Landschoot, Schoonman, J., (2001) J. Mater. Sci., 36, p. 1069; Park, S., Craciun, R., Vohs, J.M., Gorte, J., (1999) J. Electrochem. Soc., 146, p. 3603; Iida, T., Kawano, M., Matsui, T., Kikuchi, R., Eguchi, K., (2007) J. Electrochem. Soc., 154, pp. B234; Sarantaridis, D., Atkinson, A., (2007) Fuel cells, 7, p. 246; Tsepis, E.V., Kharton, V.V., (2008) J. Solid State Electrochem., 12, p. 1039; Zhu, W.Z., Deevi, S.C., (2003) Mater. Sci. Eng. A, 362, p. 228; Nait-Ali, B., Haberko, K., Vesteghem, H., Absi, J., Smith, D.S., (2006) J. Eur. Ceram. Soc., 26, p. 3567; Abe, H., Moon, W.-J., Naito, M., (2006) Fuel Cells Bull., p. 12; Chen, Y.-Y., Wei, W.-Ch.J., (2006) Solid State Ionics, 177, p. 351; Liu, B., Zhang, Y., Tu, B., Dong, Y., Cheng, M., (2007) J. Power Sources, 165, p. 114; Lang, M., Auer, C., Eismann, A., Szabo, P., Wagner, N., (2008) Electrochim. Acta, 53, p. 7509; West, R.W., Tallan, N.M., (1965) J. Appl. Phys., 36, p. 543; Lee, J.-H., Heo, J.-W., Lee, D.-S., Kim, J., Kim, G.-H., Lee, H.-W., Song, H.S., Moon, J.-H., (2003) Solid State Ionics, 158, p. 225; Abe, H., Murata, K., Moon, W.-J., Kaneko, K., Nito, M., (2006) Fuel Cell Bull., p. 12; Minh, N.Q., (1993) J. Am. Ceram. Soc., 76, p. 563; Kim, S.-D., Moon, H., Hyun, S.-H., Moon, J., Kim, J., Lee, H.-W., (2007) Solid State Ionics, 178, p. 1304; Dees, D.W., Claar, T.D., Easler, T.E., Fee, D.C., Mrazek, F.C., (1987) J. Electrochem. Soc., 134, p. 2141; Childs, P.R.N., (2001) Practical Temperature Measurement, , Butterworth-Heinemann p. 172; Bruggeman, D.A.G., (1935) Ann. Phys., 24, p. 636; Baumard, J.F., Abelard, P., (1984) Science and Technology of Zirconia II, Advances in Ceramics, 12, pp. 557-571. , Claussen N., Rühle M., and Heuer A.H. (Eds), American Ceramic Society, Columbus; Pimenov, A., Ulrich, J., Lukenheimer, P., Loidl, A., Rüscher, C.H., (1998) Solid State Ionics, 109, p. 111; Gong, J., Li, Y., Zhang, Z., Tang, Z., (2000) J. Am. Ceram. Soc., 83, p. 648; Martin, M.C., Mecartney, M.L., (2003) Solid State Ionics, 171, p. 67; Wierzbicka, M., Pasierb, P., Rekas, M., (2007) Phys. B, 387, p. 302","page":"5527-5533","title":"Structural and electrical properties of Ni–YSZ cermet materials","type":"article-journal","volume":"195"},"uris":["http://www.mendeley.com/documents/?uuid=121e1dbd-2000-45dd-baca-b07c05b24380"]},{"id":"ITEM-2","itemData":{"DOI":"10.1149/1.2100839","ISBN":"00134651 (ISSN)","ISSN":"00134651","abstract":"The conductivity of porous Ni/ZrO/sub 2/-Y/sub 2/O/sub 3/ cermets at 1000 degrees C was determined as a function of Ni content between 15 and 50 volume percent (v/o) of total solids for two different zirconia particle sizes (23 and 47 m/sup 2//g). Below Ni contents of 30 v/o, ionic conduction through the zirconia phase dominated. At 30 v/o Ni, a greater than three order of magnitude increase in the conductivity was observed, corresponding to a change in mechanism to electronic conduction through the Ni phase. The conductivity of cermets made with a Ni content greater than 30 v/o Ni was found to decrease with increasing temperature between 700 degrees and 1000 degrees C. While the conductivity of the cermets with the larger particle size zirconia was higher by more than a factor of four, all the samples studied had the same activation energy: 5.7+or-0.1 kJ/mol. The increase in conductivity with zirconia particle size is attributed to improved Ni particle-to-particle contact, resulting from the Ni phase being able to cover more completely the surface of the zirconia matrix where it resides. (21 References). Results Manager: Display, Print, Save, or Email Results ResultsFieldsResult FormatAction Selected Results All on this page All in this set (1-2) and/or Range: Citation (Title,Author,Source) Citation + Abstract Citation + Abstract + Subject Headings Complete Reference Ovid BRS/Tagged Reprint/Medlars Brief (Titles) Display Direct Export Include Search History Sort Keys Primary: -Accession NumberAuthorEditorTitleSourceLocal MessagesCatalog holdingsYearAstronomical ObjectConference InformationChemicalsLanguageCountry of PublicationPublication TypeUpdate CodeAscendingDescending Secondary: -Accession NumberAuthorEditorTitleSourceLocal MessagesCatalog holdingsYearAstronomical ObjectConference InformationChemicalsLanguageCountry of PublicationPublication TypeUpdate CodeAscendingDescending Copyright (c) 2000-2005 Ovid Technologies, Inc","author":[{"dropping-particle":"","family":"Dees","given":"D W","non-dropping-particle":"","parse-names":false,"suffix":""},{"dropping-particle":"","family":"Claar","given":"T. D.","non-dropping-particle":"","parse-names":false,"suffix":""},{"dropping-particle":"","family":"Easler","given":"T. E.","non-dropping-particle":"","parse-names":false,"suffix":""},{"dropping-particle":"","family":"Fee","given":"D. C.","non-dropping-particle":"","parse-names":false,"suffix":""},{"dropping-particle":"","family":"Mrazek","given":"F. C.","non-dropping-particle":"","parse-names":false,"suffix":""}],"container-title":"Journal of The Electrochemical Society","id":"ITEM-2","issue":"9","issued":{"date-parts":[["1987"]]},"language":"English","note":"Export Date: 29 November 2016\nCODEN: JESOA\nCorrespondence Address: Dees, D.W.; Argonne Natl Lab, Argonne, IL, USA, Argonne Natl Lab, Argonne, IL, USA","page":"2141-2146","title":"Conductivity of Porous Ni∕ZrO2-Y2O3 Cermets","type":"article-journal","volume":"134"},"uris":["http://www.mendeley.com/documents/?uuid=35f9695b-7fb7-422e-9c74-2dbf1aeaa603"]}],"mendeley":{"formattedCitation":"[154], [210]","plainTextFormattedCitation":"[154], [210]","previouslyFormattedCitation":"[154], [210]"},"properties":{"noteIndex":0},"schema":"https://github.com/citation-style-language/schema/raw/master/csl-citation.json"}</w:instrText>
      </w:r>
      <w:r w:rsidRPr="00CA583B">
        <w:fldChar w:fldCharType="separate"/>
      </w:r>
      <w:r w:rsidR="006C586A" w:rsidRPr="006C586A">
        <w:rPr>
          <w:noProof/>
        </w:rPr>
        <w:t>[154], [210]</w:t>
      </w:r>
      <w:r w:rsidRPr="00CA583B">
        <w:fldChar w:fldCharType="end"/>
      </w:r>
      <w:r w:rsidRPr="00CA583B">
        <w:t xml:space="preserve">. </w:t>
      </w:r>
    </w:p>
    <w:p w14:paraId="74519DC7" w14:textId="77777777" w:rsidR="00007F6C" w:rsidRDefault="00007F6C" w:rsidP="004B726A">
      <w:pPr>
        <w:jc w:val="both"/>
      </w:pPr>
      <w:r w:rsidRPr="00CA583B">
        <w:t xml:space="preserve">The TPB region at the cathode involves the reduction of diatomic oxygen molecules to two oxide ions which then travel through the electrolyte towards the anode. On the fuel side the oxide ions meet at the TPB and react with the hydrogen fuel producing water. Additionally, this liberates 4 electrons which are transferred through the anode to an external circuit. </w:t>
      </w:r>
      <w:r w:rsidRPr="002B6C9E">
        <w:t xml:space="preserve">See </w:t>
      </w:r>
      <w:r>
        <w:fldChar w:fldCharType="begin"/>
      </w:r>
      <w:r>
        <w:instrText xml:space="preserve"> REF _Ref467841177 \h  \* MERGEFORMAT </w:instrText>
      </w:r>
      <w:r>
        <w:fldChar w:fldCharType="separate"/>
      </w:r>
      <w:r w:rsidRPr="00C103C3">
        <w:t>Figure 2.11</w:t>
      </w:r>
      <w:r>
        <w:fldChar w:fldCharType="end"/>
      </w:r>
      <w:r w:rsidRPr="002B6C9E">
        <w:t xml:space="preserve"> below:</w:t>
      </w:r>
    </w:p>
    <w:p w14:paraId="7A1EDEA4" w14:textId="77777777" w:rsidR="00007F6C" w:rsidRPr="002B6C9E" w:rsidRDefault="00007F6C" w:rsidP="004B726A">
      <w:pPr>
        <w:jc w:val="both"/>
      </w:pPr>
    </w:p>
    <w:p w14:paraId="0D502375" w14:textId="77777777" w:rsidR="00007F6C" w:rsidRPr="002B6C9E" w:rsidRDefault="00007F6C" w:rsidP="004B726A">
      <w:pPr>
        <w:keepNext/>
        <w:jc w:val="center"/>
      </w:pPr>
      <w:r w:rsidRPr="002B6C9E">
        <w:rPr>
          <w:noProof/>
          <w:lang w:eastAsia="en-GB"/>
        </w:rPr>
        <w:lastRenderedPageBreak/>
        <w:drawing>
          <wp:inline distT="0" distB="0" distL="0" distR="0" wp14:anchorId="57665FE9" wp14:editId="0D7A4C0F">
            <wp:extent cx="3124862" cy="296807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PB diagram showing movement of charge transfer species.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42289" cy="2984631"/>
                    </a:xfrm>
                    <a:prstGeom prst="rect">
                      <a:avLst/>
                    </a:prstGeom>
                  </pic:spPr>
                </pic:pic>
              </a:graphicData>
            </a:graphic>
          </wp:inline>
        </w:drawing>
      </w:r>
    </w:p>
    <w:p w14:paraId="566CE5F1" w14:textId="0307AB67" w:rsidR="00007F6C" w:rsidRPr="00005972" w:rsidRDefault="00007F6C" w:rsidP="004B726A">
      <w:pPr>
        <w:jc w:val="center"/>
        <w:rPr>
          <w:i/>
          <w:iCs/>
          <w:color w:val="44546A" w:themeColor="text2"/>
          <w:sz w:val="18"/>
          <w:szCs w:val="18"/>
        </w:rPr>
      </w:pPr>
      <w:bookmarkStart w:id="89" w:name="_Ref467841177"/>
      <w:bookmarkStart w:id="90" w:name="_Toc69114923"/>
      <w:r w:rsidRPr="00005972">
        <w:rPr>
          <w:i/>
          <w:iCs/>
          <w:color w:val="44546A" w:themeColor="text2"/>
          <w:sz w:val="18"/>
          <w:szCs w:val="18"/>
        </w:rPr>
        <w:t>Figure 2.</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A402C1">
        <w:rPr>
          <w:i/>
          <w:iCs/>
          <w:noProof/>
          <w:color w:val="44546A" w:themeColor="text2"/>
          <w:sz w:val="18"/>
          <w:szCs w:val="18"/>
        </w:rPr>
        <w:t>11</w:t>
      </w:r>
      <w:r w:rsidR="00285C23">
        <w:rPr>
          <w:i/>
          <w:iCs/>
          <w:color w:val="44546A" w:themeColor="text2"/>
          <w:sz w:val="18"/>
          <w:szCs w:val="18"/>
        </w:rPr>
        <w:fldChar w:fldCharType="end"/>
      </w:r>
      <w:bookmarkEnd w:id="89"/>
      <w:r w:rsidRPr="00005972">
        <w:rPr>
          <w:i/>
          <w:iCs/>
          <w:color w:val="44546A" w:themeColor="text2"/>
          <w:sz w:val="18"/>
          <w:szCs w:val="18"/>
        </w:rPr>
        <w:t xml:space="preserve">: Diagram detailing the two forms of TPB found in an SOFC with the red and purple circles indicating the cathode and anode </w:t>
      </w:r>
      <w:proofErr w:type="gramStart"/>
      <w:r w:rsidRPr="00005972">
        <w:rPr>
          <w:i/>
          <w:iCs/>
          <w:color w:val="44546A" w:themeColor="text2"/>
          <w:sz w:val="18"/>
          <w:szCs w:val="18"/>
        </w:rPr>
        <w:t>sides</w:t>
      </w:r>
      <w:proofErr w:type="gramEnd"/>
      <w:r w:rsidRPr="00005972">
        <w:rPr>
          <w:i/>
          <w:iCs/>
          <w:color w:val="44546A" w:themeColor="text2"/>
          <w:sz w:val="18"/>
          <w:szCs w:val="18"/>
        </w:rPr>
        <w:t xml:space="preserve"> respectively. The red arrow details the useful work of electrons in an external circuit. Adapted from </w:t>
      </w:r>
      <w:proofErr w:type="spellStart"/>
      <w:r w:rsidRPr="00005972">
        <w:rPr>
          <w:i/>
          <w:iCs/>
          <w:color w:val="44546A" w:themeColor="text2"/>
          <w:sz w:val="18"/>
          <w:szCs w:val="18"/>
        </w:rPr>
        <w:t>Vohs</w:t>
      </w:r>
      <w:proofErr w:type="spellEnd"/>
      <w:r w:rsidRPr="00005972">
        <w:rPr>
          <w:i/>
          <w:iCs/>
          <w:color w:val="44546A" w:themeColor="text2"/>
          <w:sz w:val="18"/>
          <w:szCs w:val="18"/>
        </w:rPr>
        <w:t xml:space="preserve"> and </w:t>
      </w:r>
      <w:proofErr w:type="spellStart"/>
      <w:r w:rsidRPr="00005972">
        <w:rPr>
          <w:i/>
          <w:iCs/>
          <w:color w:val="44546A" w:themeColor="text2"/>
          <w:sz w:val="18"/>
          <w:szCs w:val="18"/>
        </w:rPr>
        <w:t>Shishkin</w:t>
      </w:r>
      <w:proofErr w:type="spellEnd"/>
      <w:r w:rsidRPr="00005972">
        <w:rPr>
          <w:i/>
          <w:iCs/>
          <w:color w:val="44546A" w:themeColor="text2"/>
          <w:sz w:val="18"/>
          <w:szCs w:val="18"/>
        </w:rPr>
        <w:t xml:space="preserve"> et al </w:t>
      </w:r>
      <w:r w:rsidRPr="00005972">
        <w:rPr>
          <w:i/>
          <w:iCs/>
          <w:color w:val="44546A" w:themeColor="text2"/>
          <w:sz w:val="18"/>
          <w:szCs w:val="18"/>
        </w:rPr>
        <w:fldChar w:fldCharType="begin" w:fldLock="1"/>
      </w:r>
      <w:r w:rsidR="00D80A5D">
        <w:rPr>
          <w:i/>
          <w:iCs/>
          <w:color w:val="44546A" w:themeColor="text2"/>
          <w:sz w:val="18"/>
          <w:szCs w:val="18"/>
        </w:rPr>
        <w:instrText>ADDIN CSL_CITATION {"citationItems":[{"id":"ITEM-1","itemData":{"DOI":"10.1039/c3cp53943a","ISSN":"14639076","abstract":"The first principles modeling of electrochemical reactions has proven useful for the development of efficient, durable and low cost solid oxide full cells (SOFCs). In this account we focus on recent advances in modeling of structural, electronic and catalytic properties of the SOFC anodes based on density functional theory (DFT) first principle calculations. As a starting point, we highlight that the adequate analysis of cell electrochemistry generally requires modeling of chemical reactions at the metal/oxide interface rather than on individual metal or oxide surfaces. The atomic models of Ni/YSZ and Ni/CeO2 interfaces, required for DFT simulations of reactions on SOFC anodes are discussed next, together with the analysis of the electronic structure of these interfaces. Then we proceed to DFT-based findings on charge transfer mechanisms during redox reactions on these two anodes. We provide a comparison of the electronic properties of Ni/YSZ and Ni/CeO2 interfaces and present an interpretation of their different chemical performances. Subsequently we discuss the computed energy pathways of fuel oxidation mechanisms, obtained by various groups to date. We also discuss the results of DFT studies combined with microkinetic modeling as well as the results of kinetic Monte Carlo simulations. In conclusion we summarize the key findings of DFT modeling of metal/oxide interfaces to date and highlight possible directions in the future modeling of SOFC anodes. This journal is © 2014 the Owner Societies.","author":[{"dropping-particle":"","family":"Shishkin","given":"M.","non-dropping-particle":"","parse-names":false,"suffix":""},{"dropping-particle":"","family":"Ziegler","given":"T.","non-dropping-particle":"","parse-names":false,"suffix":""}],"container-title":"Physical Chemistry Chemical Physics","id":"ITEM-1","issue":"5","issued":{"date-parts":[["2014"]]},"page":"1798-1808","title":"Direct modeling of the electrochemistry in the three-phase boundary of solid oxide fuel cell anodes by density functional theory: A critical overview","type":"article-journal","volume":"16"},"uris":["http://www.mendeley.com/documents/?uuid=efba7fef-1d0c-4a6a-a431-1e09bd21c499"]},{"id":"ITEM-2","itemData":{"DOI":"10.1016/j.cocis.2009.04.006","ISBN":"1359-0294","ISSN":"13590294","abstract":"Solid oxide fuel cells (SOFC) have much promise as efficient devices for the direct conversion of the energy stored in chemical fuels into electricity. The development of highly robust SOFC that can operate on a range of fuels, however, requires improvements in the electrodes, especially the anode, where nanoscale engineering of the structure is required in order to maximize the number of sites where the electrochemical reactions take place. In this article we review the approaches that are currently being used to improve anode performance and microstructure with a focus on new materials and synthesis techniques. © 2009 Elsevier Ltd. All rights reserved.","author":[{"dropping-particle":"","family":"Gorte","given":"R. J.","non-dropping-particle":"","parse-names":false,"suffix":""},{"dropping-particle":"","family":"Vohs","given":"J. M.","non-dropping-particle":"","parse-names":false,"suffix":""}],"container-title":"Current Opinion in Colloid and Interface Science","id":"ITEM-2","issue":"4","issued":{"date-parts":[["2009"]]},"page":"236-244","publisher":"Elsevier Ltd","title":"Nanostructured anodes for solid oxide fuel cells","type":"article-journal","volume":"14"},"uris":["http://www.mendeley.com/documents/?uuid=8b3fea50-b51a-4c20-9dc6-1df6749a4656"]},{"id":"ITEM-3","itemData":{"DOI":"10.1002/9781118191323","ISBN":"9781118087565","author":[{"dropping-particle":"","family":"Bagotsky","given":"Vladimir S.","non-dropping-particle":"","parse-names":false,"suffix":""}],"container-title":"Fuel Cells: Problems and Solutions: Second Edition","id":"ITEM-3","issued":{"date-parts":[["2012"]]},"title":"Fuel Cells: Problems and Solutions: Second Edition","type":"book"},"uris":["http://www.mendeley.com/documents/?uuid=c869f6b3-cb59-45bb-9704-8afee35620f5"]}],"mendeley":{"formattedCitation":"[22], [137], [211]","plainTextFormattedCitation":"[22], [137], [211]","previouslyFormattedCitation":"[22], [137], [211]"},"properties":{"noteIndex":0},"schema":"https://github.com/citation-style-language/schema/raw/master/csl-citation.json"}</w:instrText>
      </w:r>
      <w:r w:rsidRPr="00005972">
        <w:rPr>
          <w:i/>
          <w:iCs/>
          <w:color w:val="44546A" w:themeColor="text2"/>
          <w:sz w:val="18"/>
          <w:szCs w:val="18"/>
        </w:rPr>
        <w:fldChar w:fldCharType="separate"/>
      </w:r>
      <w:r w:rsidR="006C586A" w:rsidRPr="006C586A">
        <w:rPr>
          <w:iCs/>
          <w:noProof/>
          <w:color w:val="44546A" w:themeColor="text2"/>
          <w:sz w:val="18"/>
          <w:szCs w:val="18"/>
        </w:rPr>
        <w:t>[22], [137], [211]</w:t>
      </w:r>
      <w:bookmarkEnd w:id="90"/>
      <w:r w:rsidRPr="00005972">
        <w:rPr>
          <w:i/>
          <w:iCs/>
          <w:color w:val="44546A" w:themeColor="text2"/>
          <w:sz w:val="18"/>
          <w:szCs w:val="18"/>
        </w:rPr>
        <w:fldChar w:fldCharType="end"/>
      </w:r>
    </w:p>
    <w:p w14:paraId="2ABE2F5C" w14:textId="77777777" w:rsidR="00007F6C" w:rsidRPr="002B6C9E" w:rsidRDefault="00007F6C" w:rsidP="004B726A">
      <w:pPr>
        <w:jc w:val="both"/>
      </w:pPr>
      <w:r w:rsidRPr="002B6C9E">
        <w:t xml:space="preserve">The problem with using the active area as figure of merit for how effective an </w:t>
      </w:r>
      <w:r>
        <w:t>SOFC</w:t>
      </w:r>
      <w:r w:rsidRPr="002B6C9E">
        <w:t xml:space="preserve"> anode will perform is due to the varying definitions of the triple phase boundary and how to define it.</w:t>
      </w:r>
    </w:p>
    <w:p w14:paraId="5D2BA9F9" w14:textId="143D6E35" w:rsidR="00007F6C" w:rsidRPr="002B6C9E" w:rsidRDefault="00007F6C" w:rsidP="004B726A">
      <w:pPr>
        <w:jc w:val="both"/>
      </w:pPr>
      <w:r w:rsidRPr="002B6C9E">
        <w:t xml:space="preserve">The three-phase boundary region is usually described in the literature as </w:t>
      </w:r>
      <w:r w:rsidR="007C5772" w:rsidRPr="002B6C9E">
        <w:t>a</w:t>
      </w:r>
      <w:r w:rsidRPr="002B6C9E">
        <w:t xml:space="preserve"> length (a 2D line where all the incident phases interact)</w:t>
      </w:r>
      <w:r>
        <w:t>.</w:t>
      </w:r>
      <w:r w:rsidRPr="002B6C9E">
        <w:t xml:space="preserve"> One of the most innovative modelling papers for calculating the TPB length (</w:t>
      </w:r>
      <w:proofErr w:type="spellStart"/>
      <w:r w:rsidRPr="002B6C9E">
        <w:t>TPB</w:t>
      </w:r>
      <w:r w:rsidRPr="002B6C9E">
        <w:rPr>
          <w:vertAlign w:val="subscript"/>
        </w:rPr>
        <w:t>l</w:t>
      </w:r>
      <w:proofErr w:type="spellEnd"/>
      <w:r w:rsidRPr="002B6C9E">
        <w:t xml:space="preserve">) was produced by </w:t>
      </w:r>
      <w:r w:rsidRPr="002B6C9E">
        <w:rPr>
          <w:i/>
          <w:iCs/>
        </w:rPr>
        <w:t>Kenney et al</w:t>
      </w:r>
      <w:r w:rsidRPr="002B6C9E">
        <w:t xml:space="preserve"> in 2009</w:t>
      </w:r>
      <w:r>
        <w:t xml:space="preserve"> </w:t>
      </w:r>
      <w:r>
        <w:fldChar w:fldCharType="begin" w:fldLock="1"/>
      </w:r>
      <w:r w:rsidR="00D80A5D">
        <w:instrText>ADDIN CSL_CITATION {"citationItems":[{"id":"ITEM-1","itemData":{"DOI":"http://dx.doi.org/10.1016/j.jpowsour.2008.12.145","ISBN":"0378-7753","ISSN":"03787753","abstract":"A numerical technique for generating the solid oxide fuel cell composite electrode structure based on measurable starting parameters has been developed. This method can be used to calculate all relevant electrode microstructural parameters. The structures are formed of randomly distributed overlapping spheres with particle size distributions that match the particle sizes of actual ceramic powders. In this work, the triple phase boundary length, internal surface area, pore size and the percolation of all relevant phases within the porous composite electrode were computed. It was found that the triple phase boundary length computed for particles with real particle size distributions was as much as 40% lower compared to mono-sized particles with the same mean particle sizes. Percolation thresholds were in the range of 30–40 vol% for solid phases and over 99% of pores were found to belong to a percolating network at porosities as low as 25%. In addition, the average pore size was found to be 0.19 μ m for typical electrode compositions, smaller than what is commonly assumed and in certain circumstances, the distribution of pore sizes may place gas transport in the free molecular flow regime.","author":[{"dropping-particle":"","family":"Kenney","given":"Ben","non-dropping-particle":"","parse-names":false,"suffix":""},{"dropping-particle":"","family":"Valdmanis","given":"Mikelis","non-dropping-particle":"","parse-names":false,"suffix":""},{"dropping-particle":"","family":"Baker","given":"Craig","non-dropping-particle":"","parse-names":false,"suffix":""},{"dropping-particle":"","family":"Pharoah","given":"J. G.","non-dropping-particle":"","parse-names":false,"suffix":""},{"dropping-particle":"","family":"Karan","given":"Kunal","non-dropping-particle":"","parse-names":false,"suffix":""}],"container-title":"Journal of Power Sources","id":"ITEM-1","issue":"2","issued":{"date-parts":[["2009"]]},"page":"1051-1059","title":"Computation of TPB length, surface area and pore size from numerical reconstruction of composite solid oxide fuel cell electrodes","type":"article-journal","volume":"189"},"uris":["http://www.mendeley.com/documents/?uuid=f6566946-0aa9-4aa8-b31d-8d488127502b"]}],"mendeley":{"formattedCitation":"[135]","plainTextFormattedCitation":"[135]","previouslyFormattedCitation":"[135]"},"properties":{"noteIndex":0},"schema":"https://github.com/citation-style-language/schema/raw/master/csl-citation.json"}</w:instrText>
      </w:r>
      <w:r>
        <w:fldChar w:fldCharType="separate"/>
      </w:r>
      <w:r w:rsidR="006C586A" w:rsidRPr="006C586A">
        <w:rPr>
          <w:noProof/>
        </w:rPr>
        <w:t>[135]</w:t>
      </w:r>
      <w:r>
        <w:fldChar w:fldCharType="end"/>
      </w:r>
      <w:r w:rsidRPr="002B6C9E">
        <w:t>. This study utilised coordinated number theory using randomly distributed particles to calculate the triple phase boundary length at the cathode/electrolyte/gas region. Although this model does not model the TPB found on the fuel electrode side of the TPB (</w:t>
      </w:r>
      <w:r>
        <w:fldChar w:fldCharType="begin"/>
      </w:r>
      <w:r>
        <w:instrText xml:space="preserve"> REF _Ref467841177 \h  \* MERGEFORMAT </w:instrText>
      </w:r>
      <w:r>
        <w:fldChar w:fldCharType="separate"/>
      </w:r>
      <w:r w:rsidRPr="00C103C3">
        <w:t>Figure 2.11</w:t>
      </w:r>
      <w:r>
        <w:fldChar w:fldCharType="end"/>
      </w:r>
      <w:r w:rsidRPr="002B6C9E">
        <w:t xml:space="preserve">) it does discuss in some detail how the triple phase boundary is </w:t>
      </w:r>
      <w:r w:rsidR="00F16681" w:rsidRPr="002B6C9E">
        <w:t>gauged.</w:t>
      </w:r>
      <w:r w:rsidRPr="002B6C9E">
        <w:t xml:space="preserve"> The model hinged on the movement of random distributed particles over a lattice where the process of TPB formation was simulated by the adhesion of a dropped particle onto units of 2 other phases. The adherence of this unit and creation of the TPB was represented by the coordinates of the centre points of the 3 spheres. </w:t>
      </w:r>
    </w:p>
    <w:p w14:paraId="6F248F38" w14:textId="5A29C2EA" w:rsidR="00007F6C" w:rsidRPr="002B6C9E" w:rsidRDefault="00007F6C" w:rsidP="004B726A">
      <w:pPr>
        <w:jc w:val="both"/>
      </w:pPr>
      <w:r w:rsidRPr="002B6C9E">
        <w:t>In this simulation the TPB boundary calculated by multiplying the circumference of the large circle by the magnitude of sinθ</w:t>
      </w:r>
      <w:r w:rsidRPr="002B6C9E">
        <w:rPr>
          <w:vertAlign w:val="subscript"/>
        </w:rPr>
        <w:t>1</w:t>
      </w:r>
      <w:r>
        <w:t xml:space="preserve"> </w:t>
      </w:r>
      <w:r w:rsidRPr="00B62448">
        <w:t>(</w:t>
      </w:r>
      <w:r>
        <w:fldChar w:fldCharType="begin"/>
      </w:r>
      <w:r>
        <w:instrText xml:space="preserve"> REF _Ref49777630 \h </w:instrText>
      </w:r>
      <w:r>
        <w:fldChar w:fldCharType="separate"/>
      </w:r>
      <w:r>
        <w:t>Equation 2.</w:t>
      </w:r>
      <w:r>
        <w:rPr>
          <w:noProof/>
        </w:rPr>
        <w:t>4</w:t>
      </w:r>
      <w:r>
        <w:fldChar w:fldCharType="end"/>
      </w:r>
      <w:r w:rsidRPr="00B62448">
        <w:t>)</w:t>
      </w:r>
      <w:r>
        <w:t xml:space="preserve"> </w:t>
      </w:r>
      <w:r w:rsidRPr="00B62448">
        <w:fldChar w:fldCharType="begin" w:fldLock="1"/>
      </w:r>
      <w:r w:rsidR="00D80A5D">
        <w:instrText>ADDIN CSL_CITATION {"citationItems":[{"id":"ITEM-1","itemData":{"DOI":"10.1016/j.jpowsour.2008.12.145","ISBN":"0378-7753","ISSN":"03787753","abstract":"A numerical technique for generating the solid oxide fuel cell composite electrode structure based on measurable starting parameters has been developed. This method can be used to calculate all relevant electrode microstructural parameters. The structures are formed of randomly distributed overlapping spheres with particle size distributions that match the particle sizes of actual ceramic powders. In this work, the triple phase boundary length, internal surface area, pore size and the percolation of all relevant phases within the porous composite electrode were computed. It was found that the triple phase boundary length computed for particles with real particle size distributions was as much as 40% lower compared to mono-sized particles with the same mean particle sizes. Percolation thresholds were in the range of 30-40 vol% for solid phases and over 99% of pores were found to belong to a percolating network at porosities as low as 25%. In addition, the average pore size was found to be 0.19μ m for typical electrode compositions, smaller than what is commonly assumed and in certain circumstances, the distribution of pore sizes may place gas transport in the free molecular flow regime. © 2009 Elsevier B.V. All rights reserved.","author":[{"dropping-particle":"","family":"Kenney","given":"Ben","non-dropping-particle":"","parse-names":false,"suffix":""},{"dropping-particle":"","family":"Valdmanis","given":"Mikelis","non-dropping-particle":"","parse-names":false,"suffix":""},{"dropping-particle":"","family":"Baker","given":"Craig","non-dropping-particle":"","parse-names":false,"suffix":""},{"dropping-particle":"","family":"Pharoah","given":"J. G.","non-dropping-particle":"","parse-names":false,"suffix":""},{"dropping-particle":"","family":"Karan","given":"Kunal","non-dropping-particle":"","parse-names":false,"suffix":""}],"container-title":"Journal of Power Sources","id":"ITEM-1","issue":"2","issued":{"date-parts":[["2009"]]},"page":"1051-1059","title":"Computation of TPB length, surface area and pore size from numerical reconstruction of composite solid oxide fuel cell electrodes","type":"article-journal","volume":"189"},"uris":["http://www.mendeley.com/documents/?uuid=ab2dc1cd-19e1-478c-a096-45a0a76efebe"]}],"mendeley":{"formattedCitation":"[212]","plainTextFormattedCitation":"[212]","previouslyFormattedCitation":"[212]"},"properties":{"noteIndex":0},"schema":"https://github.com/citation-style-language/schema/raw/master/csl-citation.json"}</w:instrText>
      </w:r>
      <w:r w:rsidRPr="00B62448">
        <w:fldChar w:fldCharType="separate"/>
      </w:r>
      <w:r w:rsidR="006C586A" w:rsidRPr="006C586A">
        <w:rPr>
          <w:noProof/>
        </w:rPr>
        <w:t>[212]</w:t>
      </w:r>
      <w:r w:rsidRPr="00B62448">
        <w:fldChar w:fldCharType="end"/>
      </w:r>
      <w:r w:rsidRPr="00B62448">
        <w:t>.</w:t>
      </w:r>
      <w:r w:rsidRPr="002B6C9E">
        <w:t xml:space="preserve"> The hypotenuse is noted as length, </w:t>
      </w:r>
      <w:r w:rsidRPr="002B6C9E">
        <w:rPr>
          <w:i/>
        </w:rPr>
        <w:t>d</w:t>
      </w:r>
      <w:r w:rsidRPr="002B6C9E">
        <w:t xml:space="preserve"> in </w:t>
      </w:r>
      <w:r>
        <w:fldChar w:fldCharType="begin"/>
      </w:r>
      <w:r>
        <w:instrText xml:space="preserve"> REF _Ref49777630 \h </w:instrText>
      </w:r>
      <w:r>
        <w:fldChar w:fldCharType="separate"/>
      </w:r>
      <w:r>
        <w:t>Equation 2.</w:t>
      </w:r>
      <w:r>
        <w:rPr>
          <w:noProof/>
        </w:rPr>
        <w:t>4</w:t>
      </w:r>
      <w:r>
        <w:fldChar w:fldCharType="end"/>
      </w:r>
      <w:r>
        <w:t xml:space="preserve"> </w:t>
      </w:r>
      <w:r w:rsidRPr="002B6C9E">
        <w:t>which can be calculated by the 3D Pythagoras’ theorem:</w:t>
      </w:r>
    </w:p>
    <w:p w14:paraId="68974869" w14:textId="77777777" w:rsidR="00007F6C" w:rsidRPr="002B6C9E" w:rsidRDefault="00007F6C" w:rsidP="004B726A">
      <w:pPr>
        <w:keepNext/>
        <w:jc w:val="center"/>
      </w:pPr>
      <m:oMath>
        <m:r>
          <m:rPr>
            <m:sty m:val="p"/>
          </m:rPr>
          <w:rPr>
            <w:rFonts w:ascii="Cambria Math" w:hAnsi="Cambria Math"/>
          </w:rPr>
          <m:t xml:space="preserve">d= </m:t>
        </m:r>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m:rPr>
                            <m:sty m:val="p"/>
                          </m:rPr>
                          <w:rPr>
                            <w:rFonts w:ascii="Cambria Math" w:hAnsi="Cambria Math"/>
                          </w:rPr>
                          <m:t>x</m:t>
                        </m:r>
                      </m:e>
                      <m:sub>
                        <m:r>
                          <m:rPr>
                            <m:sty m:val="p"/>
                          </m:rPr>
                          <w:rPr>
                            <w:rFonts w:ascii="Cambria Math" w:hAnsi="Cambria Math"/>
                          </w:rPr>
                          <m:t>1</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x</m:t>
                        </m:r>
                      </m:e>
                      <m:sub>
                        <m:r>
                          <m:rPr>
                            <m:sty m:val="p"/>
                          </m:rPr>
                          <w:rPr>
                            <w:rFonts w:ascii="Cambria Math" w:hAnsi="Cambria Math"/>
                          </w:rPr>
                          <m:t>2</m:t>
                        </m:r>
                      </m:sub>
                    </m:sSub>
                  </m:e>
                </m:d>
              </m:e>
              <m:sup>
                <m:r>
                  <m:rPr>
                    <m:sty m:val="p"/>
                  </m:rPr>
                  <w:rPr>
                    <w:rFonts w:ascii="Cambria Math" w:hAnsi="Cambria Math"/>
                  </w:rPr>
                  <m:t>2</m:t>
                </m:r>
              </m:sup>
            </m:sSup>
            <m:r>
              <m:rPr>
                <m:sty m:val="p"/>
              </m:rPr>
              <w:rPr>
                <w:rFonts w:ascii="Cambria Math" w:hAnsi="Cambria Math"/>
              </w:rPr>
              <m:t>+</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m:rPr>
                            <m:sty m:val="p"/>
                          </m:rPr>
                          <w:rPr>
                            <w:rFonts w:ascii="Cambria Math" w:hAnsi="Cambria Math"/>
                          </w:rPr>
                          <m:t>y</m:t>
                        </m:r>
                      </m:e>
                      <m:sub>
                        <m:r>
                          <m:rPr>
                            <m:sty m:val="p"/>
                          </m:rPr>
                          <w:rPr>
                            <w:rFonts w:ascii="Cambria Math" w:hAnsi="Cambria Math"/>
                          </w:rPr>
                          <m:t>1</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y</m:t>
                        </m:r>
                      </m:e>
                      <m:sub>
                        <m:r>
                          <m:rPr>
                            <m:sty m:val="p"/>
                          </m:rPr>
                          <w:rPr>
                            <w:rFonts w:ascii="Cambria Math" w:hAnsi="Cambria Math"/>
                          </w:rPr>
                          <m:t>2</m:t>
                        </m:r>
                      </m:sub>
                    </m:sSub>
                  </m:e>
                </m:d>
              </m:e>
              <m:sup>
                <m:r>
                  <m:rPr>
                    <m:sty m:val="p"/>
                  </m:rPr>
                  <w:rPr>
                    <w:rFonts w:ascii="Cambria Math" w:hAnsi="Cambria Math"/>
                  </w:rPr>
                  <m:t>2</m:t>
                </m:r>
              </m:sup>
            </m:sSup>
            <m:r>
              <m:rPr>
                <m:sty m:val="p"/>
              </m:rPr>
              <w:rPr>
                <w:rFonts w:ascii="Cambria Math" w:hAnsi="Cambria Math"/>
              </w:rPr>
              <m:t>+</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m:rPr>
                            <m:sty m:val="p"/>
                          </m:rPr>
                          <w:rPr>
                            <w:rFonts w:ascii="Cambria Math" w:hAnsi="Cambria Math"/>
                          </w:rPr>
                          <m:t>z</m:t>
                        </m:r>
                      </m:e>
                      <m:sub>
                        <m:r>
                          <m:rPr>
                            <m:sty m:val="p"/>
                          </m:rPr>
                          <w:rPr>
                            <w:rFonts w:ascii="Cambria Math" w:hAnsi="Cambria Math"/>
                          </w:rPr>
                          <m:t>1</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z</m:t>
                        </m:r>
                      </m:e>
                      <m:sub>
                        <m:r>
                          <m:rPr>
                            <m:sty m:val="p"/>
                          </m:rPr>
                          <w:rPr>
                            <w:rFonts w:ascii="Cambria Math" w:hAnsi="Cambria Math"/>
                          </w:rPr>
                          <m:t>2</m:t>
                        </m:r>
                      </m:sub>
                    </m:sSub>
                  </m:e>
                </m:d>
              </m:e>
              <m:sup>
                <m:r>
                  <m:rPr>
                    <m:sty m:val="p"/>
                  </m:rPr>
                  <w:rPr>
                    <w:rFonts w:ascii="Cambria Math" w:hAnsi="Cambria Math"/>
                  </w:rPr>
                  <m:t>2</m:t>
                </m:r>
              </m:sup>
            </m:sSup>
          </m:e>
        </m:rad>
      </m:oMath>
      <w:r w:rsidRPr="002B6C9E">
        <w:rPr>
          <w:rFonts w:eastAsiaTheme="minorEastAsia"/>
        </w:rPr>
        <w:t xml:space="preserve"> or simplified as </w:t>
      </w:r>
      <m:oMath>
        <m:r>
          <m:rPr>
            <m:sty m:val="p"/>
          </m:rPr>
          <w:rPr>
            <w:rFonts w:ascii="Cambria Math" w:hAnsi="Cambria Math"/>
          </w:rPr>
          <m:t xml:space="preserve">d= </m:t>
        </m:r>
        <m:rad>
          <m:radPr>
            <m:degHide m:val="1"/>
            <m:ctrlPr>
              <w:rPr>
                <w:rFonts w:ascii="Cambria Math" w:hAnsi="Cambria Math"/>
                <w:i/>
              </w:rPr>
            </m:ctrlPr>
          </m:radPr>
          <m:deg/>
          <m:e>
            <m:sSup>
              <m:sSupPr>
                <m:ctrlPr>
                  <w:rPr>
                    <w:rFonts w:ascii="Cambria Math" w:hAnsi="Cambria Math"/>
                    <w:i/>
                  </w:rPr>
                </m:ctrlPr>
              </m:sSupPr>
              <m:e>
                <m:sSub>
                  <m:sSubPr>
                    <m:ctrlPr>
                      <w:rPr>
                        <w:rFonts w:ascii="Cambria Math" w:hAnsi="Cambria Math"/>
                        <w:i/>
                      </w:rPr>
                    </m:ctrlPr>
                  </m:sSubPr>
                  <m:e>
                    <m:r>
                      <m:rPr>
                        <m:sty m:val="p"/>
                      </m:rPr>
                      <w:rPr>
                        <w:rFonts w:ascii="Cambria Math" w:hAnsi="Cambria Math"/>
                      </w:rPr>
                      <m:t>r</m:t>
                    </m:r>
                  </m:e>
                  <m:sub>
                    <m:r>
                      <m:rPr>
                        <m:sty m:val="p"/>
                      </m:rPr>
                      <w:rPr>
                        <w:rFonts w:ascii="Cambria Math" w:hAnsi="Cambria Math"/>
                      </w:rPr>
                      <m:t>1</m:t>
                    </m:r>
                  </m:sub>
                </m:sSub>
              </m:e>
              <m:sup>
                <m:r>
                  <m:rPr>
                    <m:sty m:val="p"/>
                  </m:rPr>
                  <w:rPr>
                    <w:rFonts w:ascii="Cambria Math" w:hAnsi="Cambria Math"/>
                  </w:rPr>
                  <m:t>2</m:t>
                </m:r>
              </m:sup>
            </m:sSup>
            <m:r>
              <m:rPr>
                <m:sty m:val="p"/>
              </m:rPr>
              <w:rPr>
                <w:rFonts w:ascii="Cambria Math" w:hAnsi="Cambria Math"/>
              </w:rPr>
              <m:t>+</m:t>
            </m:r>
            <m:sSup>
              <m:sSupPr>
                <m:ctrlPr>
                  <w:rPr>
                    <w:rFonts w:ascii="Cambria Math" w:hAnsi="Cambria Math"/>
                    <w:i/>
                  </w:rPr>
                </m:ctrlPr>
              </m:sSupPr>
              <m:e>
                <m:sSub>
                  <m:sSubPr>
                    <m:ctrlPr>
                      <w:rPr>
                        <w:rFonts w:ascii="Cambria Math" w:hAnsi="Cambria Math"/>
                        <w:i/>
                      </w:rPr>
                    </m:ctrlPr>
                  </m:sSubPr>
                  <m:e>
                    <m:r>
                      <m:rPr>
                        <m:sty m:val="p"/>
                      </m:rPr>
                      <w:rPr>
                        <w:rFonts w:ascii="Cambria Math" w:hAnsi="Cambria Math"/>
                      </w:rPr>
                      <m:t>r</m:t>
                    </m:r>
                  </m:e>
                  <m:sub>
                    <m:r>
                      <m:rPr>
                        <m:sty m:val="p"/>
                      </m:rPr>
                      <w:rPr>
                        <w:rFonts w:ascii="Cambria Math" w:hAnsi="Cambria Math"/>
                      </w:rPr>
                      <m:t>2</m:t>
                    </m:r>
                  </m:sub>
                </m:sSub>
              </m:e>
              <m:sup>
                <m:r>
                  <m:rPr>
                    <m:sty m:val="p"/>
                  </m:rPr>
                  <w:rPr>
                    <w:rFonts w:ascii="Cambria Math" w:hAnsi="Cambria Math"/>
                  </w:rPr>
                  <m:t>2</m:t>
                </m:r>
              </m:sup>
            </m:sSup>
          </m:e>
        </m:rad>
      </m:oMath>
    </w:p>
    <w:p w14:paraId="0EC1C1BC" w14:textId="28A57EFE" w:rsidR="00007F6C" w:rsidRDefault="00007F6C" w:rsidP="004B726A">
      <w:pPr>
        <w:jc w:val="right"/>
      </w:pPr>
      <w:bookmarkStart w:id="91" w:name="_Ref49777630"/>
      <w:r>
        <w:t>Equation 2.</w:t>
      </w:r>
      <w:r w:rsidR="00B51F53">
        <w:fldChar w:fldCharType="begin"/>
      </w:r>
      <w:r w:rsidR="00B51F53">
        <w:instrText xml:space="preserve"> SEQ Equation \* ARABIC </w:instrText>
      </w:r>
      <w:r w:rsidR="00B51F53">
        <w:fldChar w:fldCharType="separate"/>
      </w:r>
      <w:r w:rsidR="00315BF8">
        <w:rPr>
          <w:noProof/>
        </w:rPr>
        <w:t>4</w:t>
      </w:r>
      <w:r w:rsidR="00B51F53">
        <w:rPr>
          <w:noProof/>
        </w:rPr>
        <w:fldChar w:fldCharType="end"/>
      </w:r>
      <w:bookmarkEnd w:id="91"/>
    </w:p>
    <w:p w14:paraId="3A31F7C1" w14:textId="61F0C733" w:rsidR="00007F6C" w:rsidRPr="002B6C9E" w:rsidRDefault="00007F6C" w:rsidP="004B726A">
      <w:pPr>
        <w:jc w:val="both"/>
      </w:pPr>
      <w:r w:rsidRPr="002B6C9E">
        <w:t xml:space="preserve">The </w:t>
      </w:r>
      <w:r>
        <w:t xml:space="preserve">relationship between the </w:t>
      </w:r>
      <w:r w:rsidRPr="002B6C9E">
        <w:t xml:space="preserve">triple phase boundary length </w:t>
      </w:r>
      <w:r>
        <w:t xml:space="preserve">and the circumference of 2 spheres </w:t>
      </w:r>
      <w:r w:rsidRPr="002B6C9E">
        <w:t xml:space="preserve">can be expressed </w:t>
      </w:r>
      <w:r w:rsidRPr="00BB2D05">
        <w:t>as</w:t>
      </w:r>
      <w:r>
        <w:t xml:space="preserve"> (</w:t>
      </w:r>
      <w:r>
        <w:fldChar w:fldCharType="begin"/>
      </w:r>
      <w:r>
        <w:instrText xml:space="preserve"> REF _Ref51149831 \h </w:instrText>
      </w:r>
      <w:r>
        <w:fldChar w:fldCharType="separate"/>
      </w:r>
      <w:r>
        <w:t>Equation 2.</w:t>
      </w:r>
      <w:r>
        <w:rPr>
          <w:noProof/>
        </w:rPr>
        <w:t>5</w:t>
      </w:r>
      <w:r>
        <w:fldChar w:fldCharType="end"/>
      </w:r>
      <w:r>
        <w:t>)</w:t>
      </w:r>
      <w:r w:rsidRPr="00BB2D05">
        <w:t xml:space="preserve"> </w:t>
      </w:r>
      <w:r w:rsidRPr="00BB2D05">
        <w:fldChar w:fldCharType="begin" w:fldLock="1"/>
      </w:r>
      <w:r w:rsidR="00D80A5D">
        <w:instrText>ADDIN CSL_CITATION {"citationItems":[{"id":"ITEM-1","itemData":{"DOI":"10.1016/j.jpowsour.2008.12.145","ISBN":"0378-7753","ISSN":"03787753","abstract":"A numerical technique for generating the solid oxide fuel cell composite electrode structure based on measurable starting parameters has been developed. This method can be used to calculate all relevant electrode microstructural parameters. The structures are formed of randomly distributed overlapping spheres with particle size distributions that match the particle sizes of actual ceramic powders. In this work, the triple phase boundary length, internal surface area, pore size and the percolation of all relevant phases within the porous composite electrode were computed. It was found that the triple phase boundary length computed for particles with real particle size distributions was as much as 40% lower compared to mono-sized particles with the same mean particle sizes. Percolation thresholds were in the range of 30-40 vol% for solid phases and over 99% of pores were found to belong to a percolating network at porosities as low as 25%. In addition, the average pore size was found to be 0.19μ m for typical electrode compositions, smaller than what is commonly assumed and in certain circumstances, the distribution of pore sizes may place gas transport in the free molecular flow regime. © 2009 Elsevier B.V. All rights reserved.","author":[{"dropping-particle":"","family":"Kenney","given":"Ben","non-dropping-particle":"","parse-names":false,"suffix":""},{"dropping-particle":"","family":"Valdmanis","given":"Mikelis","non-dropping-particle":"","parse-names":false,"suffix":""},{"dropping-particle":"","family":"Baker","given":"Craig","non-dropping-particle":"","parse-names":false,"suffix":""},{"dropping-particle":"","family":"Pharoah","given":"J. G.","non-dropping-particle":"","parse-names":false,"suffix":""},{"dropping-particle":"","family":"Karan","given":"Kunal","non-dropping-particle":"","parse-names":false,"suffix":""}],"container-title":"Journal of Power Sources","id":"ITEM-1","issue":"2","issued":{"date-parts":[["2009"]]},"page":"1051-1059","title":"Computation of TPB length, surface area and pore size from numerical reconstruction of composite solid oxide fuel cell electrodes","type":"article-journal","volume":"189"},"uris":["http://www.mendeley.com/documents/?uuid=ab2dc1cd-19e1-478c-a096-45a0a76efebe"]}],"mendeley":{"formattedCitation":"[212]","plainTextFormattedCitation":"[212]","previouslyFormattedCitation":"[212]"},"properties":{"noteIndex":0},"schema":"https://github.com/citation-style-language/schema/raw/master/csl-citation.json"}</w:instrText>
      </w:r>
      <w:r w:rsidRPr="00BB2D05">
        <w:fldChar w:fldCharType="separate"/>
      </w:r>
      <w:r w:rsidR="006C586A" w:rsidRPr="006C586A">
        <w:rPr>
          <w:noProof/>
        </w:rPr>
        <w:t>[212]</w:t>
      </w:r>
      <w:r w:rsidRPr="00BB2D05">
        <w:fldChar w:fldCharType="end"/>
      </w:r>
      <w:r w:rsidRPr="002B6C9E">
        <w:t>:</w:t>
      </w:r>
    </w:p>
    <w:p w14:paraId="29FA7245" w14:textId="77777777" w:rsidR="00007F6C" w:rsidRPr="002B6C9E" w:rsidRDefault="00B51F53" w:rsidP="004B726A">
      <w:pPr>
        <w:keepNext/>
        <w:jc w:val="both"/>
      </w:pPr>
      <m:oMathPara>
        <m:oMath>
          <m:sSub>
            <m:sSubPr>
              <m:ctrlPr>
                <w:rPr>
                  <w:rFonts w:ascii="Cambria Math" w:hAnsi="Cambria Math"/>
                  <w:i/>
                </w:rPr>
              </m:ctrlPr>
            </m:sSubPr>
            <m:e>
              <m:r>
                <m:rPr>
                  <m:sty m:val="p"/>
                </m:rPr>
                <w:rPr>
                  <w:rFonts w:ascii="Cambria Math" w:hAnsi="Cambria Math"/>
                </w:rPr>
                <m:t>TPB</m:t>
              </m:r>
            </m:e>
            <m:sub>
              <m:r>
                <m:rPr>
                  <m:sty m:val="p"/>
                </m:rPr>
                <w:rPr>
                  <w:rFonts w:ascii="Cambria Math" w:hAnsi="Cambria Math"/>
                </w:rPr>
                <m:t>l</m:t>
              </m:r>
            </m:sub>
          </m:sSub>
          <m:r>
            <m:rPr>
              <m:sty m:val="p"/>
            </m:rPr>
            <w:rPr>
              <w:rFonts w:ascii="Cambria Math" w:hAnsi="Cambria Math"/>
            </w:rPr>
            <m:t>=2π</m:t>
          </m:r>
          <m:sSub>
            <m:sSubPr>
              <m:ctrlPr>
                <w:rPr>
                  <w:rFonts w:ascii="Cambria Math" w:hAnsi="Cambria Math"/>
                  <w:i/>
                </w:rPr>
              </m:ctrlPr>
            </m:sSubPr>
            <m:e>
              <m:r>
                <m:rPr>
                  <m:sty m:val="p"/>
                </m:rPr>
                <w:rPr>
                  <w:rFonts w:ascii="Cambria Math" w:hAnsi="Cambria Math"/>
                </w:rPr>
                <m:t>r</m:t>
              </m:r>
            </m:e>
            <m:sub>
              <m:r>
                <m:rPr>
                  <m:sty m:val="p"/>
                </m:rPr>
                <w:rPr>
                  <w:rFonts w:ascii="Cambria Math" w:hAnsi="Cambria Math"/>
                </w:rPr>
                <m:t>1</m:t>
              </m:r>
            </m:sub>
          </m:sSub>
          <m:r>
            <m:rPr>
              <m:sty m:val="p"/>
            </m:rPr>
            <w:rPr>
              <w:rFonts w:ascii="Cambria Math" w:hAnsi="Cambria Math"/>
            </w:rPr>
            <m:t>sin</m:t>
          </m:r>
          <m:sSub>
            <m:sSubPr>
              <m:ctrlPr>
                <w:rPr>
                  <w:rFonts w:ascii="Cambria Math" w:hAnsi="Cambria Math"/>
                  <w:i/>
                </w:rPr>
              </m:ctrlPr>
            </m:sSubPr>
            <m:e>
              <m:r>
                <m:rPr>
                  <m:sty m:val="p"/>
                </m:rPr>
                <w:rPr>
                  <w:rFonts w:ascii="Cambria Math" w:hAnsi="Cambria Math"/>
                </w:rPr>
                <m:t>θ</m:t>
              </m:r>
            </m:e>
            <m:sub>
              <m:r>
                <m:rPr>
                  <m:sty m:val="p"/>
                </m:rPr>
                <w:rPr>
                  <w:rFonts w:ascii="Cambria Math" w:hAnsi="Cambria Math"/>
                </w:rPr>
                <m:t>1</m:t>
              </m:r>
            </m:sub>
          </m:sSub>
        </m:oMath>
      </m:oMathPara>
    </w:p>
    <w:p w14:paraId="07FE7BAA" w14:textId="737C2492" w:rsidR="00007F6C" w:rsidRDefault="00007F6C" w:rsidP="004B726A">
      <w:pPr>
        <w:jc w:val="right"/>
      </w:pPr>
      <w:bookmarkStart w:id="92" w:name="_Ref51149831"/>
      <w:r>
        <w:t>Equation 2.</w:t>
      </w:r>
      <w:r w:rsidR="00B51F53">
        <w:fldChar w:fldCharType="begin"/>
      </w:r>
      <w:r w:rsidR="00B51F53">
        <w:instrText xml:space="preserve"> SEQ Equation \* ARABIC </w:instrText>
      </w:r>
      <w:r w:rsidR="00B51F53">
        <w:fldChar w:fldCharType="separate"/>
      </w:r>
      <w:r w:rsidR="00315BF8">
        <w:rPr>
          <w:noProof/>
        </w:rPr>
        <w:t>5</w:t>
      </w:r>
      <w:r w:rsidR="00B51F53">
        <w:rPr>
          <w:noProof/>
        </w:rPr>
        <w:fldChar w:fldCharType="end"/>
      </w:r>
      <w:bookmarkEnd w:id="92"/>
    </w:p>
    <w:p w14:paraId="48DADDE2" w14:textId="77777777" w:rsidR="00007F6C" w:rsidRPr="002B6C9E" w:rsidRDefault="00007F6C" w:rsidP="004B726A">
      <w:pPr>
        <w:jc w:val="both"/>
      </w:pPr>
      <w:r w:rsidRPr="002B6C9E">
        <w:lastRenderedPageBreak/>
        <w:t>One of the major advantages of this analytical approach is that it is relatively simple and works providing you have the appropriate particle sizes and other properties. However, this model also possesses some drawbacks.</w:t>
      </w:r>
    </w:p>
    <w:p w14:paraId="0F7EF8A0" w14:textId="77777777" w:rsidR="00007F6C" w:rsidRPr="002B6C9E" w:rsidRDefault="00007F6C" w:rsidP="004B726A">
      <w:pPr>
        <w:jc w:val="both"/>
      </w:pPr>
      <w:r w:rsidRPr="002B6C9E">
        <w:t>Firstly, all the reacting particles in the model are considering to be spherical in shape which would certainly not be the case in terms of Ni and YSZ which could lead to issues in terms of dimensional accuracy. One of the key problems would also be the manner on which the particles interact. Other issues also manifest themselves for example this could invalidate the model in terms of how accurate it is in terms of dimensions. As the nickel catalysts in wet impregnated Ni/YSZ anodes are nanometres in scale this ca</w:t>
      </w:r>
      <w:r>
        <w:t>n</w:t>
      </w:r>
      <w:r w:rsidRPr="002B6C9E">
        <w:t xml:space="preserve"> cause an issue with imaging.</w:t>
      </w:r>
    </w:p>
    <w:p w14:paraId="1514DD95" w14:textId="026E8CAB" w:rsidR="00007F6C" w:rsidRPr="002B6C9E" w:rsidRDefault="00007F6C" w:rsidP="004B726A">
      <w:pPr>
        <w:jc w:val="both"/>
      </w:pPr>
      <w:r w:rsidRPr="002B6C9E">
        <w:t>Density functional theory (DFT) has also been touted as a possible route for modelling the electrochemistry of the three-phase boundary. This method is more of an ab initio atomistic route to simulating the N</w:t>
      </w:r>
      <w:r w:rsidR="00F16681">
        <w:t>i</w:t>
      </w:r>
      <w:r w:rsidRPr="002B6C9E">
        <w:t>/YZ interface. Early models used less than 20 particles with only one Ni atom</w:t>
      </w:r>
      <w:r>
        <w:t xml:space="preserve"> </w:t>
      </w:r>
      <w:r>
        <w:fldChar w:fldCharType="begin" w:fldLock="1"/>
      </w:r>
      <w:r w:rsidR="00D80A5D">
        <w:instrText>ADDIN CSL_CITATION {"citationItems":[{"id":"ITEM-1","itemData":{"DOI":"10.1039/c0cp00541j","ISSN":"14639076","abstract":"This article presents a literature review and new results on experimental and theoretical investigations of the electrochemistry of solid oxide fuel cell (SOFC) model anodes, focusing on the nickel/yttria-stabilized zirconia (Ni/YSZ) materials system with operation under H2/H2O atmospheres. Micropatterned model anodes were used for electrochemical characterization under well-defined operating conditions. Structural and chemical integrity was confirmed by ex situ pre-test and post-test microstructural and chemical analysis. Elementary kinetic models of reaction and transport processes were used to assess reaction pathways and rate-determining steps. The comparison of experimental and simulated electrochemical behaviors of pattern anodes shows quantitative agreement over a wide range of operating conditions (pH2 = 8×102-9×104 Pa, pH2O = 2×101-6×104 Pa, T = 400-800 °C). Previously published experimental data on model anodes show a strong scatter in electrochemical performance. Furthermore, model anodes exhibit a pronounced dynamics on multiple time scales which is not reproduced in state-of-the-art models and which is also not observed in technical cermet anodes. Potential origin of these effects as well as consequences for further steps in model anode and anode model studies are discussed. © the Owner Societies 2010.","author":[{"dropping-particle":"","family":"Bessler","given":"Wolfgang G.","non-dropping-particle":"","parse-names":false,"suffix":""},{"dropping-particle":"","family":"Vogler","given":"Marcel","non-dropping-particle":"","parse-names":false,"suffix":""},{"dropping-particle":"","family":"Störmer","given":"Heike","non-dropping-particle":"","parse-names":false,"suffix":""},{"dropping-particle":"","family":"Gerthsen","given":"Dagmar","non-dropping-particle":"","parse-names":false,"suffix":""},{"dropping-particle":"","family":"Utz","given":"Annika","non-dropping-particle":"","parse-names":false,"suffix":""},{"dropping-particle":"","family":"Weber","given":"André","non-dropping-particle":"","parse-names":false,"suffix":""},{"dropping-particle":"","family":"Ivers-Tiffée","given":"Ellen","non-dropping-particle":"","parse-names":false,"suffix":""}],"container-title":"Physical Chemistry Chemical Physics","id":"ITEM-1","issue":"42","issued":{"date-parts":[["2010"]]},"page":"13888-13903","title":"Model anodes and anode models for understanding the mechanism of hydrogen oxidation in solid oxide fuel cells","type":"article-journal","volume":"12"},"uris":["http://www.mendeley.com/documents/?uuid=056d2e77-d009-464e-9f9f-abfd9ef2e304"]},{"id":"ITEM-2","itemData":{"DOI":"10.1039/C3CP53943A","ISBN":"1463-9076","abstract":"The first principles modeling of electrochemical reactions has proven useful for the development of efficient, durable and low cost solid oxide full cells (SOFCs). In this account we focus on recent advances in modeling of structural, electronic and catalytic properties of the SOFC anodes based on density functional theory (DFT) first principle calculations. As a starting point, we highlight that the adequate analysis of cell electrochemistry generally requires modeling of chemical reactions at the metal/oxide interface rather than on individual metal or oxide surfaces. The atomic models of Ni/YSZ and Ni/CeO2 interfaces, required for DFT simulations of reactions on SOFC anodes are discussed next, together with the analysis of the electronic structure of these interfaces. Then we proceed to DFT-based findings on charge transfer mechanisms during redox reactions on these two anodes. We provide a comparison of the electronic properties of Ni/YSZ and Ni/CeO2 interfaces and present an interpretation of their different chemical performances. Subsequently we discuss the computed energy pathways of fuel oxidation mechanisms, obtained by various groups to date. We also discuss the results of DFT studies combined with microkinetic modeling as well as the results of kinetic Monte Carlo simulations. In conclusion we summarize the key findings of DFT modeling of metal/oxide interfaces to date and highlight possible directions in the future modeling of SOFC anodes.","author":[{"dropping-particle":"","family":"Shishkin","given":"M","non-dropping-particle":"","parse-names":false,"suffix":""},{"dropping-particle":"","family":"Ziegler","given":"T","non-dropping-particle":"","parse-names":false,"suffix":""}],"container-title":"Physical Chemistry Chemical Physics","id":"ITEM-2","issue":"5","issued":{"date-parts":[["2014"]]},"page":"1798-1808","publisher":"The Royal Society of Chemistry","title":"Direct modeling of the electrochemistry in the three-phase boundary of solid oxide fuel cell anodes by density functional theory: a critical overview","type":"article-journal","volume":"16"},"uris":["http://www.mendeley.com/documents/?uuid=78bfb920-e624-45f8-9539-822f142ce8ec"]}],"mendeley":{"formattedCitation":"[213], [214]","plainTextFormattedCitation":"[213], [214]","previouslyFormattedCitation":"[213], [214]"},"properties":{"noteIndex":0},"schema":"https://github.com/citation-style-language/schema/raw/master/csl-citation.json"}</w:instrText>
      </w:r>
      <w:r>
        <w:fldChar w:fldCharType="separate"/>
      </w:r>
      <w:r w:rsidR="006C586A" w:rsidRPr="006C586A">
        <w:rPr>
          <w:noProof/>
        </w:rPr>
        <w:t>[213], [214]</w:t>
      </w:r>
      <w:r>
        <w:fldChar w:fldCharType="end"/>
      </w:r>
      <w:r w:rsidRPr="002B6C9E">
        <w:t xml:space="preserve">. </w:t>
      </w:r>
    </w:p>
    <w:p w14:paraId="5C854D3B" w14:textId="2587B9F7" w:rsidR="00007F6C" w:rsidRPr="002B6C9E" w:rsidRDefault="00007F6C" w:rsidP="004B726A">
      <w:pPr>
        <w:jc w:val="both"/>
      </w:pPr>
      <w:r w:rsidRPr="002B6C9E">
        <w:t>The TPB is the position where a large amount of charge transfer occurs due to the formation of water vapour, the movement of electrons and ions through the anode. This underlines the importance determining the amount of charge transferred to each Ni particle. This was calculated to be 1.16x10</w:t>
      </w:r>
      <w:r w:rsidRPr="002B6C9E">
        <w:rPr>
          <w:vertAlign w:val="superscript"/>
        </w:rPr>
        <w:t>-20</w:t>
      </w:r>
      <w:r w:rsidRPr="002B6C9E">
        <w:t>C, however the issues with models such as this is that it has not been confirmed by experimental data</w:t>
      </w:r>
      <w:r>
        <w:t xml:space="preserve"> </w:t>
      </w:r>
      <w:r>
        <w:fldChar w:fldCharType="begin" w:fldLock="1"/>
      </w:r>
      <w:r w:rsidR="00D80A5D">
        <w:instrText>ADDIN CSL_CITATION {"citationItems":[{"id":"ITEM-1","itemData":{"DOI":"10.1039/C3CP53943A","ISBN":"1463-9076","abstract":"The first principles modeling of electrochemical reactions has proven useful for the development of efficient, durable and low cost solid oxide full cells (SOFCs). In this account we focus on recent advances in modeling of structural, electronic and catalytic properties of the SOFC anodes based on density functional theory (DFT) first principle calculations. As a starting point, we highlight that the adequate analysis of cell electrochemistry generally requires modeling of chemical reactions at the metal/oxide interface rather than on individual metal or oxide surfaces. The atomic models of Ni/YSZ and Ni/CeO2 interfaces, required for DFT simulations of reactions on SOFC anodes are discussed next, together with the analysis of the electronic structure of these interfaces. Then we proceed to DFT-based findings on charge transfer mechanisms during redox reactions on these two anodes. We provide a comparison of the electronic properties of Ni/YSZ and Ni/CeO2 interfaces and present an interpretation of their different chemical performances. Subsequently we discuss the computed energy pathways of fuel oxidation mechanisms, obtained by various groups to date. We also discuss the results of DFT studies combined with microkinetic modeling as well as the results of kinetic Monte Carlo simulations. In conclusion we summarize the key findings of DFT modeling of metal/oxide interfaces to date and highlight possible directions in the future modeling of SOFC anodes.","author":[{"dropping-particle":"","family":"Shishkin","given":"M","non-dropping-particle":"","parse-names":false,"suffix":""},{"dropping-particle":"","family":"Ziegler","given":"T","non-dropping-particle":"","parse-names":false,"suffix":""}],"container-title":"Physical Chemistry Chemical Physics","id":"ITEM-1","issue":"5","issued":{"date-parts":[["2014"]]},"page":"1798-1808","publisher":"The Royal Society of Chemistry","title":"Direct modeling of the electrochemistry in the three-phase boundary of solid oxide fuel cell anodes by density functional theory: a critical overview","type":"article-journal","volume":"16"},"uris":["http://www.mendeley.com/documents/?uuid=78bfb920-e624-45f8-9539-822f142ce8ec"]}],"mendeley":{"formattedCitation":"[214]","plainTextFormattedCitation":"[214]","previouslyFormattedCitation":"[214]"},"properties":{"noteIndex":0},"schema":"https://github.com/citation-style-language/schema/raw/master/csl-citation.json"}</w:instrText>
      </w:r>
      <w:r>
        <w:fldChar w:fldCharType="separate"/>
      </w:r>
      <w:r w:rsidR="006C586A" w:rsidRPr="006C586A">
        <w:rPr>
          <w:noProof/>
        </w:rPr>
        <w:t>[214]</w:t>
      </w:r>
      <w:r>
        <w:fldChar w:fldCharType="end"/>
      </w:r>
      <w:r w:rsidRPr="002B6C9E">
        <w:t xml:space="preserve">. </w:t>
      </w:r>
    </w:p>
    <w:p w14:paraId="00F0C1CE" w14:textId="5B350FE0" w:rsidR="00007F6C" w:rsidRPr="002B6C9E" w:rsidRDefault="00007F6C" w:rsidP="004B726A">
      <w:pPr>
        <w:jc w:val="both"/>
      </w:pPr>
      <w:r w:rsidRPr="002B6C9E">
        <w:t>Since 1993 the general view from the literature that the poor adhesion of Ni to the YSZ interface has been a driving factor for the sintering conditions observed in SOFC anodes</w:t>
      </w:r>
      <w:r>
        <w:t xml:space="preserve"> </w:t>
      </w:r>
      <w:r>
        <w:fldChar w:fldCharType="begin" w:fldLock="1"/>
      </w:r>
      <w:r w:rsidR="00D80A5D">
        <w:instrText>ADDIN CSL_CITATION {"citationItems":[{"id":"ITEM-1","itemData":{"DOI":"10.1111/j.1151-2916.1993.tb03645.x","ISBN":"0002-7820","ISSN":"1551-2916","author":[{"dropping-particle":"","family":"Minh","given":"Nguyen Q","non-dropping-particle":"","parse-names":false,"suffix":""}],"container-title":"Journal of ther American Ceramic Society","id":"ITEM-1","issue":"3","issued":{"date-parts":[["1993"]]},"page":"563-588","title":"Cermic Fuel Cells","type":"article-journal","volume":"76"},"uris":["http://www.mendeley.com/documents/?uuid=176266ff-21ee-4a02-8117-b4b41f26a7d4"]},{"id":"ITEM-2","itemData":{"DOI":"10.1038/nmat1040","ISBN":"1476-1122","ISSN":"14761122","PMID":"14704781","abstract":"Fuel cells will undoubtedly find widespread use in this new millennium in the conversion of chemical to electrical energy, as they offer very high efficiencies and have unique scalability in electricity-generation applications. The solid-oxide fuel cell (SOFC) is one of the most exciting of these energy technologies; it is an all-ceramic device that operates at temperatures in the range 500-1,000 degrees C. The SOFC offers certain advantages over lower temperature fuel cells, notably its ability to use carbon monoxide as a fuel rather than being poisoned by it, and the availability of high-grade exhaust heat for combined heat and power, or combined cycle gas-turbine applications. Although cost is clearly the most important barrier to widespread SOFC implementation, perhaps the most important technical barriers currently being addressed relate to the electrodes, particularly the fuel electrode or anode. In terms of mitigating global warming, the ability of the SOFC to use commonly available fuels at high efficiency, promises an effective and early reduction in carbon dioxide emissions, and hence is one of the lead new technologies for improving the environment. Here, we discuss recent developments of SOFC fuel electrodes that will enable the better use of readily available fuels.","author":[{"dropping-particle":"","family":"Atkinson","given":"A.","non-dropping-particle":"","parse-names":false,"suffix":""},{"dropping-particle":"","family":"Barnett","given":"S.","non-dropping-particle":"","parse-names":false,"suffix":""},{"dropping-particle":"","family":"Gorte","given":"R. J.","non-dropping-particle":"","parse-names":false,"suffix":""},{"dropping-particle":"","family":"Irvine","given":"J. T.S.","non-dropping-particle":"","parse-names":false,"suffix":""},{"dropping-particle":"","family":"McEvoy","given":"A. J.","non-dropping-particle":"","parse-names":false,"suffix":""},{"dropping-particle":"","family":"Mogensen","given":"M.","non-dropping-particle":"","parse-names":false,"suffix":""},{"dropping-particle":"","family":"Singhal","given":"S. C.","non-dropping-particle":"","parse-names":false,"suffix":""},{"dropping-particle":"","family":"Vohs","given":"J.","non-dropping-particle":"","parse-names":false,"suffix":""}],"container-title":"Nature Materials","id":"ITEM-2","issue":"1","issued":{"date-parts":[["2004"]]},"language":"English","note":"Cited By :951\nExport Date: 7 October 2016\nCorrespondence Address: Irvine, J.T.S.; School of Chemistry, University of St Andrews, St Andrews, Fife KY16 9ST, United Kingdom\nChemicals/CAS: hydrogen, 12385-13-6, 1333-74-0; Ceramics; Hydrogen, 1333-74-0; Metals\nReferences: Baur, E., Preis, H., Uber die Eisenoxyd-Kathode in der Kohle-Luft-Kette (1937) Z. Elektrochem., 43, p. 727; Möbius, H.-H., On the history of solid electrolyte fuel cells (1997) Solid State Electrochem., 1, p. 2; Spacil, H.S., (1970) Electrical Device Including Nickel-containing Stabilized Zirconia Electrode, , US Patent 3,558,360; Lee, J.H., Quantitative analysis of microstructure and its related electrical property of SOFC anode, Ni-YSZ cermet (2002) Solid State Ionics, 148, pp. 1-2; Toebes, M.L., Bitter, I.H., Van Dillen, A.J., De Jong, K.P., Impact of the structure and reactivity of nickel particles on the catalytic growth of carbon nanofibers (2002) Catal Today, 76, pp. 33-42; Sasaki, K., Teraoka, Y., Equilibria in fuel cell gases -I. Equilibrium compositions and reforming conditions (2003) J. Electrochem. Soc., 150, pp. A878-A884; Murray, E.P., Tsai, T., Barnett, S.A., A direct-methane fuel cell with a ceriabased anode (1999) Nature, 400, pp. 649-651; Mogensen, M., Jensen, K.V., Jorgensen, M.J., Primdahl, S., Progress in understanding SOFC electrodes (2002) Solid State Ionics, 150, pp. 123-129; Lu, X.Y., Faguy, P.W., Liu, M.I., In situ potential-dependent FTIR emission spectroscopy - A novel probe for high temperature fuel cell interfaces (2002) J. Electrochm. Sac., 149, pp. A1293-A1298; Bernardo, C.A., Alstrup, I., Rostrupnielsen, J.R., Carbon deposition and methane steam reforming on silica-supported Ni-Cu catalysts (1985) J. Catal., 96, pp. 517-534; Dong, W.S., Roh, H.S., Jun, K.W., Park, S.E., Oh, Y.S., Methane reforming over Ni/Ce-ZrO2 catalysts: Effect of nickel content (2002) Appl. Catal. A, 226, pp. 63-72; Bunluesin, T., Gorte, R.J., Graham, G.W., Studies of the water-gas-shift reaction on ceria-supported Pt, Pd, and Rh: Implications for oxygen-storage properties (1998) Appl. Catal. B, 15, pp. 107-114; Sharma, S., Hilaire, S., Vohs, J.M., Gorte, R.J., Jen, H.W., Evidence for oxidation of ceria by CO2 (2000) J. Catal., 199, pp. 199-204; Ramirez-Cabrera, E., Atkinson, A., Chadwick, D., The influence of point defects on the resistance of ceria to carbon deposition in hydrocarbon catalysis (2000) Solid State Ionics, 136, pp. 825-831; Marina, O.A., Mogensen, M., High-temperature conversion of methane on a composite gadolinia-doped ceria-gold electrode (1999) Appl. Catal. A, 189, pp. 117-126; Park, S.D., Vohs, J.M., Gorte, R.J., Direct oxidation of hydrocarbons in a solid-oxide fuel cell (2000) Nature, 404, pp. 265-267; Kiratzis, N., Holtappels, P., Hatchwell, C.E., Mogensen, M., Irvine, J.T.S., Preparation and characterisation of copper/yttria titania zirconia cermets for use as possible solid oxide fuel cell anodes (2001) Fuel Cells, 1, pp. 211-218; Kim, H., Park, S., Vohs, J.M., Gorte, R.J., Direct oxidation of liquid fuels in a solid oxide fuel cell (2001) J. Electrochem. Soc., 148, pp. A693-A695; Minh, N.Q., Ceramic fuel-cells (1993) J. Am. Ceram. Soc., 76, pp. 563-588; Yokokawa, H., Sakai, N., Kawada, T., Dokiya, M., Thermodynamic stabilities of perovskite oxides for electrodes and other electrochemical materials (1992) Solid State Ionics, 52, pp. 43-56; Pudmich, G., Chromite/titanate based perovskites for application as anodes in solid oxide fuel cells (2000) Solid State Ionics, 135, pp. 433-438; Tao, S., Irvine, J.T.S., A redox-stable, efficient anode for solid-oxide fuel cells (2003) Nature Mater., 2, pp. 320-323; Vernoux, P., Guillodo, M., Fouletier, J., Hammou, A., Alternative anode materials for gradual methane reforming in solid oxide fuel cells (2000) Solid State Ionics, 133, pp. 425-431; Sfeir, J., Lanthanum chromite based catalysts for oxidation of methane directly on SOFC anode (2001) J. Catal., 202, pp. 229-244; Sfeir, J., Van Herle, J., Vasquez, R., (2002) Proc. 5th European Solid Oxide Fuel Cell Forum, pp. 570-577. , ed. Huijsmans J. (European SOFC Forum, Switzerland); Sauvet, A.L., Irvine, J.T.S., (2002) Proc. 5th European Solid Oxide Fuel Cell Forum, pp. 490-498. , ed. Huijsmans J. (European SOFC Forum, Switzerland); Slater, P.R., Fagg, D.P., Irvine, J.T.S., Synthesis and electrical characterisation of the doped perovskite titanates as potential anode materials for solid oxide fuel cells (1997) J. Mater. Chem., 7, pp. 2495-2498; Hui, S.Q., Petric, A., Electrical properties of yttrium-doped strontium titanate under reducing conditions (2002) J. Electrochem. Soc., 149, pp. J1-J10; Marina, O.A., Pederson, L.R., (2002) Proc. 5th European Solid Oxide Fuel Cell Forum, pp. 481-489. , ed. Huijimans, J. (European SOFC Forum, Switzerland); Canales-Vázquez, J., Tao, S.W., Irvine, J.T.S., (2003) Electrical Properties in La2Sr4Ti6O 19-d: A Potential Anode for High Temperature Fuel Cells Solid State Ionics, 159, pp. 159-165; Reich, C., Kaiser, A., Irvine, J.T.S., (2001) Niobia Based Rutile Materials as Sofc Anodes, Fuel Cells - from Fundamentals to Systems, 1, pp. 249-255; Ramos, T., Atkinson, A., (2001) Ionic and Mixed Conducting Ceramics IV, PV2001-28, pp. 352-367. , eds Ramanarayanan, T. A., Worrell, W. L. &amp;amp; Mogensen, M. (Electrochemical Scociety Proceedings); Steele, B.C.H., Appraisal of Ce1-yGdyO2-y/2electrolytes for IT-SOFC operation at 500° C (2000) Solid State Ionics, 129, pp. 95-110; Wang, S.R., Kobayashi, T., Dokiya, M., Hashimoto, T., Electrical and ionic conductivity of Gd-doped ceria (2000) J. Electrochem. Soc., 147, pp. 3606-3609; Floyd, J.M., Interpretation of transport phenomena in non-stoichiometric ceria (1972) J. Ind. Technol., pp. 275-280; Tao, S., Irvine, J.T.S., Optimization of mixed conducting properties of Y2O 3ZrO2-TiO2 and Sc2O 3-Y2O3-ZrO2-TiO2 solid solutions as potential SOFC anode materials (2002) J. Solid State Chem., 165, pp. 12-18; Sauvet, A.-L., Fouletier, J., Catalytic properties of new anode materials for solid oxide fuel cells operated under methane at intermediary temperature (2001) J. Power Sources, 101, pp. 259-266; Sprague, J.J., Tuller, H.L., Mixed ionic and electronic conduction in Mn/Mo doped gadolinium titanate (1999) J. Europ. Ceram. Soc., 19, pp. 803-806; Holtappels, P., Poulsen, F.W., Mogensen, M., Electrical conductivities and chemical stabilities of mixed conducting pyrochlores for SOFC applications (2000) Solid State Ionics, 135, pp. 675-679; McIntosh, S., Vohs, J.M., Gorte, R.J., Role of hydrocarbon deposits in the enhanced performance of direct-oxidation SOFCs (2003) J. Electrochem. Soc., 150, pp. A470-A476; Lu, C., Worrell, W.L., Vohs, J.M., Gorte, R.J., (2003) Solid Oxide Fuel Cells VIII, 7, pp. 773-780. , eds Singhal. S. C. &amp;amp; Dokiya, M., (Electrochemical Society Proceedings); Lu, C., Worrell, W.L., Gorte, R.J., Vohs, J.M., SOFCs for direct oxidation of hydrocarbon fuels with samaria-doped ceria Electrolyte (2003) J. Electrochem, Soc., 150, pp. A354-A358; Sfeir, J., (2001) Alternative Anode Materials for Methane Oxidation in Solid Oxide Fuel Cells, , Thesis, Ecole Polytechnique Fédérale de Lausanne, Switzerland; Liu, J., Madsen, B.D., Ji, Z.Q., Barnett, S.A., A fuel-flexible ceramic-based anode for solid oxide fuel cells (2002) Electrochem. Solid State Lett., 5, pp. A122-A124; Sauvet, A.L., Fouletier, J., Electrochemical properties of a new type of anode material La 1-xSrxCr1-yRuyO3-δ for SOFC under hydrogen and methane at intermediate temperatures (2001) Electrochim. Acta, 47, pp. 987-995; Vernoux, P., Guindet, J., Kleitz, M., Gradual internal methane reforming in intermediate-temperature solid-oxide fuel cells (1998) J. Electrochem. Soc., 145, pp. 3487-3492; Skarmoutsos, D., Teitz, F., Nikolopoulos, P., Structure - Property relationships of Ni/YSZ and Ni/(YSZ+TiO2) cermets (2001) Fuel Cells, 1, pp. 243-248; Holtappels, P., (1997) Electrocatalysis on Nickel-cermet E,lectrodes Jülich, , Research Centre Report number 3414, and Thesis, Univ. Bonn; Kiratzis, N., Holtappels, P., Hatchwell, C.E., Mogensen, M., Irvine, J.T.S., Preparation and characterisation of copper/yttria titania zirconia cermets for use as possible solid oxide fuel cell anodes (2001) Fuel Cells, 1, pp. 211-218","page":"17-27","title":"Advanced anodes for high-temperature fuel cells","type":"article-journal","volume":"3"},"uris":["http://www.mendeley.com/documents/?uuid=5b7491b8-7a88-4fb4-aaf6-a24df77a007d"]}],"mendeley":{"formattedCitation":"[57], [215]","plainTextFormattedCitation":"[57], [215]","previouslyFormattedCitation":"[57], [215]"},"properties":{"noteIndex":0},"schema":"https://github.com/citation-style-language/schema/raw/master/csl-citation.json"}</w:instrText>
      </w:r>
      <w:r>
        <w:fldChar w:fldCharType="separate"/>
      </w:r>
      <w:r w:rsidR="006C586A" w:rsidRPr="006C586A">
        <w:rPr>
          <w:noProof/>
        </w:rPr>
        <w:t>[57], [215]</w:t>
      </w:r>
      <w:r>
        <w:fldChar w:fldCharType="end"/>
      </w:r>
      <w:r w:rsidRPr="002B6C9E">
        <w:t>. This consequently decreases the amount of active triple phase boundaries present in the overall system volume which hinders the overall power output of the stack.</w:t>
      </w:r>
    </w:p>
    <w:p w14:paraId="2F47A87F" w14:textId="55B3498B" w:rsidR="00007F6C" w:rsidRPr="002B6C9E" w:rsidRDefault="00007F6C" w:rsidP="004B726A">
      <w:pPr>
        <w:jc w:val="both"/>
      </w:pPr>
      <w:r w:rsidRPr="002B6C9E">
        <w:t xml:space="preserve">Other sources discuss the </w:t>
      </w:r>
      <w:proofErr w:type="spellStart"/>
      <w:r w:rsidRPr="002B6C9E">
        <w:t>TPB</w:t>
      </w:r>
      <w:r w:rsidRPr="002B6C9E">
        <w:rPr>
          <w:vertAlign w:val="subscript"/>
        </w:rPr>
        <w:t>l</w:t>
      </w:r>
      <w:proofErr w:type="spellEnd"/>
      <w:r w:rsidRPr="002B6C9E">
        <w:t xml:space="preserve"> as a second order microstructural parameter with a similar impact to specific surface area. As discussed earlier the </w:t>
      </w:r>
      <w:proofErr w:type="spellStart"/>
      <w:r w:rsidRPr="002B6C9E">
        <w:t>TPB</w:t>
      </w:r>
      <w:r w:rsidRPr="002B6C9E">
        <w:rPr>
          <w:vertAlign w:val="subscript"/>
        </w:rPr>
        <w:t>l</w:t>
      </w:r>
      <w:proofErr w:type="spellEnd"/>
      <w:r w:rsidRPr="002B6C9E">
        <w:t xml:space="preserve"> </w:t>
      </w:r>
      <w:r w:rsidR="00C16BCD">
        <w:t>is</w:t>
      </w:r>
      <w:r w:rsidRPr="002B6C9E">
        <w:t xml:space="preserve"> highly dependent on the size of the particles involved.  These factors including the catalytic surface area and tortuosity are much harder to control.</w:t>
      </w:r>
    </w:p>
    <w:p w14:paraId="6B17CD80" w14:textId="3945F9D1" w:rsidR="00007F6C" w:rsidRPr="002B6C9E" w:rsidRDefault="00007F6C" w:rsidP="004B726A">
      <w:pPr>
        <w:jc w:val="both"/>
      </w:pPr>
      <w:r w:rsidRPr="002B6C9E">
        <w:rPr>
          <w:i/>
          <w:iCs/>
        </w:rPr>
        <w:t xml:space="preserve">Holzer et al </w:t>
      </w:r>
      <w:r w:rsidRPr="002B6C9E">
        <w:t xml:space="preserve">used the centroid method to calculate the </w:t>
      </w:r>
      <w:proofErr w:type="spellStart"/>
      <w:r w:rsidRPr="002B6C9E">
        <w:t>TPB</w:t>
      </w:r>
      <w:r w:rsidRPr="002B6C9E">
        <w:rPr>
          <w:vertAlign w:val="subscript"/>
        </w:rPr>
        <w:t>l</w:t>
      </w:r>
      <w:proofErr w:type="spellEnd"/>
      <w:r w:rsidRPr="002B6C9E">
        <w:t xml:space="preserve"> in the Ni/GDC cermet scaffolds</w:t>
      </w:r>
      <w:r w:rsidR="00C71343">
        <w:t xml:space="preserve"> </w:t>
      </w:r>
      <w:r w:rsidR="00C16BCD">
        <w:fldChar w:fldCharType="begin" w:fldLock="1"/>
      </w:r>
      <w:r w:rsidR="00D80A5D">
        <w:instrText>ADDIN CSL_CITATION {"citationItems":[{"id":"ITEM-1","itemData":{"DOI":"10.1016/j.jpowsour.2010.08.006","ISBN":"0378-7753","ISSN":"03787753","abstract":"The present study is focusing on the elaboration of the quantitative relationships between the primary microstructural parameters (i.e. the phase volume fractions Φ, the particle and pore sizes and the corresponding size distributions PSD) with the more complex topological features (triple phase boundary length TPBL, and specific surface area SSA) in porous Ni-cermet anodes. These relationships are crucial for the microstructure optimization and for the improvement of the corresponding electrode performance. In the first part of the study a pristine anode material with a graded microstructure is analyzed. The results from the different zonations indicate that the TPBL correlates well with the volume fraction of the coarsest phase which is nickel. However the volume fractions also correlate with the particle size after sintering due to stronger particle coalescence at higher nickel volume fractions. Since the larger particle size leads to a decrease of the TPBL this coarsening effect partly neutralizes the advantage of a higher nickel volume fraction. Furthermore, the TPBL is also linked with the nickel surface area and with the corresponding pore-nickel interface area. The pore-nickel interface is the least abundant internal surface and therefore it represents the microstructural feature which predominantly limits the TPB formation in our nickel-cermet anode. In the second part the effects of microstructural degradation during exposure in a humid gas environment at 950 °C are investigated. During the early period (&lt;200 h) the rapid decrease of the TPBL is directly linked with the kinetics of nickel grain growth. At longer periods (&gt;1000 h) the nickel coarsening ceases whereas the decrease of the TPBL continues at a lower rate. During longer exposure time the reduction of TPBL is most probably caused by a slight volatilization of the nickel phase and by the formation of continuous CGO layers which are shielding the surface of the nickel grains. © 2010 Elsevier B.V. All rights reserved.","author":[{"dropping-particle":"","family":"Holzer","given":"L.","non-dropping-particle":"","parse-names":false,"suffix":""},{"dropping-particle":"","family":"Münch","given":"B.","non-dropping-particle":"","parse-names":false,"suffix":""},{"dropping-particle":"","family":"Iwanschitz","given":"B.","non-dropping-particle":"","parse-names":false,"suffix":""},{"dropping-particle":"","family":"Cantoni","given":"M.","non-dropping-particle":"","parse-names":false,"suffix":""},{"dropping-particle":"","family":"Hocker","given":"Th","non-dropping-particle":"","parse-names":false,"suffix":""},{"dropping-particle":"","family":"Graule","given":"Th","non-dropping-particle":"","parse-names":false,"suffix":""}],"container-title":"Journal of Power Sources","id":"ITEM-1","issue":"17","issued":{"date-parts":[["2011"]]},"page":"7076-7089","publisher":"Elsevier B.V.","title":"Quantitative relationships between composition, particle size, triple phase boundary length and surface area in nickel-cermet anodes for Solid Oxide Fuel Cells","type":"article-journal","volume":"196"},"uris":["http://www.mendeley.com/documents/?uuid=8a49dac2-6462-47db-aebc-36db8ec26a63"]}],"mendeley":{"formattedCitation":"[117]","plainTextFormattedCitation":"[117]","previouslyFormattedCitation":"[117]"},"properties":{"noteIndex":0},"schema":"https://github.com/citation-style-language/schema/raw/master/csl-citation.json"}</w:instrText>
      </w:r>
      <w:r w:rsidR="00C16BCD">
        <w:fldChar w:fldCharType="separate"/>
      </w:r>
      <w:r w:rsidR="006C586A" w:rsidRPr="006C586A">
        <w:rPr>
          <w:noProof/>
        </w:rPr>
        <w:t>[117]</w:t>
      </w:r>
      <w:r w:rsidR="00C16BCD">
        <w:fldChar w:fldCharType="end"/>
      </w:r>
      <w:r w:rsidRPr="002B6C9E">
        <w:t>. The formation of gas percolation routes in the anode means that the initial measurements and calculations of this parameter are highly unreliable</w:t>
      </w:r>
      <w:r>
        <w:t xml:space="preserve"> </w:t>
      </w:r>
      <w:r>
        <w:fldChar w:fldCharType="begin" w:fldLock="1"/>
      </w:r>
      <w:r w:rsidR="00D80A5D">
        <w:instrText>ADDIN CSL_CITATION {"citationItems":[{"id":"ITEM-1","itemData":{"DOI":"10.1016/j.jpowsour.2010.08.017","ISBN":"0378-7753","ISSN":"03787753","abstract":"The effects of compositional and environmental parameters on the kinetics of microstructural degradation are investigated for porous Ni/CGO anodes in solid oxide fuel cells (SOFC). Improved methodologies of SEM-imaging, segmentation and object recognition are described which enable a precise quantification of nickel grain growth over time. Due to these methodological improvements the grain growth can be described precisely with a standard deviation of only 5-15 nm for each time step. In humid atmosphere (60 vol.% H2O, 40% N2/H2) the growth rates of nickel are very high (up to 140%/100 h) during the initial period (&lt;200 h). At longer exposure time (&gt;1000 h) the growth rates decrease significantly to nearly 0%/100 h. In contrast, under dry conditions (97 vol.% N2, 3 vol.% H2) the growth rates during the initial period are much lower (ca. 1%/100 h) but they do not decrease over a period of 2000 h. In addition to the humidity factor there are other environmental and compositional parameters which have a strong influence on the kinetics of the microstructural degradation. The nickel coarsening is strongly depending on the gas flow rate. Also the initial microstructures and the anode compositions have a big effect on the degradation kinetics. Thereby small average grain sizes, wide distribution of particle size and high contents of nickel lead to higher coarsening and degradation rates. Whereas the nickel coarsening appears to be the dominant degradation mechanism during the initial period (&lt;200 h) other degradation phenomena become more important during long exposure time (&gt;1000 h) in humidified gas. Thereby the evaporation of volatile nickel species may lead to a local increase of the Ni/CGO ratio. Due to the surface wetting of CGO a continuous layer tends to form on the surface of the nickel grains which prevents further grain growth and evaporation of nickel. These phenomena lead to a microstructural reorganization between 1000 and 2300 h of exposure. This complex pattern of degradation phenomena also leads to a change of the amount of active microstructural sites that are important for catalytic reactions at the pore-nickel interfaces and for electrochemical reactions at the triple phase boundaries (TPB). © 2010 Elsevier B.V. All rights reserved.","author":[{"dropping-particle":"","family":"Holzer","given":"L.","non-dropping-particle":"","parse-names":false,"suffix":""},{"dropping-particle":"","family":"Iwanschitz","given":"B.","non-dropping-particle":"","parse-names":false,"suffix":""},{"dropping-particle":"","family":"Hocker","given":"Th","non-dropping-particle":"","parse-names":false,"suffix":""},{"dropping-particle":"","family":"Münch","given":"B.","non-dropping-particle":"","parse-names":false,"suffix":""},{"dropping-particle":"","family":"Prestat","given":"M.","non-dropping-particle":"","parse-names":false,"suffix":""},{"dropping-particle":"","family":"Wiedenmann","given":"D.","non-dropping-particle":"","parse-names":false,"suffix":""},{"dropping-particle":"","family":"Vogt","given":"U.","non-dropping-particle":"","parse-names":false,"suffix":""},{"dropping-particle":"","family":"Holtappels","given":"P.","non-dropping-particle":"","parse-names":false,"suffix":""},{"dropping-particle":"","family":"Sfeir","given":"J.","non-dropping-particle":"","parse-names":false,"suffix":""},{"dropping-particle":"","family":"Mai","given":"A.","non-dropping-particle":"","parse-names":false,"suffix":""},{"dropping-particle":"","family":"Graule","given":"Th","non-dropping-particle":"","parse-names":false,"suffix":""}],"container-title":"Journal of Power Sources","id":"ITEM-1","issue":"3","issued":{"date-parts":[["2011"]]},"language":"English","note":"Sp. Iss. SI\n687pk\nTimes Cited:136\nCited References Count:42","page":"1279-1294","title":"Microstructure degradation of cermet anodes for solid oxide fuel cells: Quantification of nickel grain growth in dry and in humid atmospheres","type":"article-journal","volume":"196"},"uris":["http://www.mendeley.com/documents/?uuid=1d935f00-ffff-477c-be51-4365064ceced"]}],"mendeley":{"formattedCitation":"[109]","plainTextFormattedCitation":"[109]","previouslyFormattedCitation":"[109]"},"properties":{"noteIndex":0},"schema":"https://github.com/citation-style-language/schema/raw/master/csl-citation.json"}</w:instrText>
      </w:r>
      <w:r>
        <w:fldChar w:fldCharType="separate"/>
      </w:r>
      <w:r w:rsidR="006C586A" w:rsidRPr="006C586A">
        <w:rPr>
          <w:noProof/>
        </w:rPr>
        <w:t>[109]</w:t>
      </w:r>
      <w:r>
        <w:fldChar w:fldCharType="end"/>
      </w:r>
      <w:r w:rsidRPr="002B6C9E">
        <w:t>. The particle size distribution used in this study focussed on the splitting of the nickel particles into discrete particles (PSD</w:t>
      </w:r>
      <w:r w:rsidRPr="002B6C9E">
        <w:rPr>
          <w:vertAlign w:val="subscript"/>
        </w:rPr>
        <w:t>D</w:t>
      </w:r>
      <w:r w:rsidRPr="002B6C9E">
        <w:t>). The shared voxels and pixels between the three phases constitute the calculation of the three</w:t>
      </w:r>
      <w:r>
        <w:t>-</w:t>
      </w:r>
      <w:r w:rsidRPr="002B6C9E">
        <w:t xml:space="preserve">phase boundary. </w:t>
      </w:r>
    </w:p>
    <w:p w14:paraId="0B33AA24" w14:textId="0F4A3E7A" w:rsidR="00007F6C" w:rsidRPr="002B6C9E" w:rsidRDefault="00007F6C" w:rsidP="004B726A">
      <w:pPr>
        <w:jc w:val="both"/>
      </w:pPr>
      <w:r w:rsidRPr="002B6C9E">
        <w:t xml:space="preserve">The key issues with using this form of analysis </w:t>
      </w:r>
      <w:proofErr w:type="gramStart"/>
      <w:r w:rsidRPr="002B6C9E">
        <w:t>is</w:t>
      </w:r>
      <w:proofErr w:type="gramEnd"/>
      <w:r w:rsidRPr="002B6C9E">
        <w:t xml:space="preserve"> that it</w:t>
      </w:r>
      <w:r w:rsidR="00774928">
        <w:t xml:space="preserve"> is hugely time consuming</w:t>
      </w:r>
      <w:r w:rsidRPr="002B6C9E">
        <w:t xml:space="preserve"> to calculate the secondary parameters from the 3D-cubes which could result in highly unreliable results as there were not a huge n</w:t>
      </w:r>
      <w:r>
        <w:t>umber</w:t>
      </w:r>
      <w:r w:rsidRPr="002B6C9E">
        <w:t xml:space="preserve"> of TPBs being analysed by the estimation. Another problem could be cementing an accurate method for particle identification which is key to all these studies</w:t>
      </w:r>
      <w:r>
        <w:t xml:space="preserve"> </w:t>
      </w:r>
      <w:r>
        <w:fldChar w:fldCharType="begin" w:fldLock="1"/>
      </w:r>
      <w:r w:rsidR="00D80A5D">
        <w:instrText>ADDIN CSL_CITATION {"citationItems":[{"id":"ITEM-1","itemData":{"DOI":"10.1111/j.1151-2916.1993.tb03645.x","ISSN":"15512916","abstract":"A ceramic fuel cell in an all solid‐state energy conversion device that produces electricity by electrochemically combining fuel and oxidant gases across an ionic conducting oxide. Current ceramic fuel cells use an oxygen‐ion conductor or a proton conductor as the electrolyte and operate at high temperatures (&gt;600°C). Ceramic fuel cells, commonly referred to as solid‐oxide fuel cells (SOFCs), are presently under development for a variety of power generation applications. This paper reviews the science and technology of ceramic fuel cells and discusses the critical issues posed by the development of this type of fuel cell. The emphasis is given to the discussion of component materials (especially, ZrO2 electrolyte, nickel/ZrO2 cermet anode, LaMnO3 cathode, and LaCrO3 interconnect), gas reactions at the electrodes, stack designs, and processing techniques used in the fabrication of required ceramic structures. Copyright © 1993, Wiley Blackwell. All rights reserved","author":[{"dropping-particle":"","family":"Minh","given":"Nguyen Q.","non-dropping-particle":"","parse-names":false,"suffix":""}],"container-title":"Journal of the American Ceramic Society","id":"ITEM-1","issue":"3","issued":{"date-parts":[["1993"]]},"page":"563-588","title":"Ceramic Fuel Cells","type":"article-journal","volume":"76"},"uris":["http://www.mendeley.com/documents/?uuid=0d5c0fd7-a183-4e17-9ab5-e5ef1dda2e0f"]},{"id":"ITEM-2","itemData":{"DOI":"10.1016/j.jpowsour.2010.08.017","ISBN":"0378-7753","ISSN":"03787753","abstract":"The effects of compositional and environmental parameters on the kinetics of microstructural degradation are investigated for porous Ni/CGO anodes in solid oxide fuel cells (SOFC). Improved methodologies of SEM-imaging, segmentation and object recognition are described which enable a precise quantification of nickel grain growth over time. Due to these methodological improvements the grain growth can be described precisely with a standard deviation of only 5-15 nm for each time step. In humid atmosphere (60 vol.% H2O, 40% N2/H2) the growth rates of nickel are very high (up to 140%/100 h) during the initial period (&lt;200 h). At longer exposure time (&gt;1000 h) the growth rates decrease significantly to nearly 0%/100 h. In contrast, under dry conditions (97 vol.% N2, 3 vol.% H2) the growth rates during the initial period are much lower (ca. 1%/100 h) but they do not decrease over a period of 2000 h. In addition to the humidity factor there are other environmental and compositional parameters which have a strong influence on the kinetics of the microstructural degradation. The nickel coarsening is strongly depending on the gas flow rate. Also the initial microstructures and the anode compositions have a big effect on the degradation kinetics. Thereby small average grain sizes, wide distribution of particle size and high contents of nickel lead to higher coarsening and degradation rates. Whereas the nickel coarsening appears to be the dominant degradation mechanism during the initial period (&lt;200 h) other degradation phenomena become more important during long exposure time (&gt;1000 h) in humidified gas. Thereby the evaporation of volatile nickel species may lead to a local increase of the Ni/CGO ratio. Due to the surface wetting of CGO a continuous layer tends to form on the surface of the nickel grains which prevents further grain growth and evaporation of nickel. These phenomena lead to a microstructural reorganization between 1000 and 2300 h of exposure. This complex pattern of degradation phenomena also leads to a change of the amount of active microstructural sites that are important for catalytic reactions at the pore-nickel interfaces and for electrochemical reactions at the triple phase boundaries (TPB). © 2010 Elsevier B.V. All rights reserved.","author":[{"dropping-particle":"","family":"Holzer","given":"L.","non-dropping-particle":"","parse-names":false,"suffix":""},{"dropping-particle":"","family":"Iwanschitz","given":"B.","non-dropping-particle":"","parse-names":false,"suffix":""},{"dropping-particle":"","family":"Hocker","given":"Th","non-dropping-particle":"","parse-names":false,"suffix":""},{"dropping-particle":"","family":"Münch","given":"B.","non-dropping-particle":"","parse-names":false,"suffix":""},{"dropping-particle":"","family":"Prestat","given":"M.","non-dropping-particle":"","parse-names":false,"suffix":""},{"dropping-particle":"","family":"Wiedenmann","given":"D.","non-dropping-particle":"","parse-names":false,"suffix":""},{"dropping-particle":"","family":"Vogt","given":"U.","non-dropping-particle":"","parse-names":false,"suffix":""},{"dropping-particle":"","family":"Holtappels","given":"P.","non-dropping-particle":"","parse-names":false,"suffix":""},{"dropping-particle":"","family":"Sfeir","given":"J.","non-dropping-particle":"","parse-names":false,"suffix":""},{"dropping-particle":"","family":"Mai","given":"A.","non-dropping-particle":"","parse-names":false,"suffix":""},{"dropping-particle":"","family":"Graule","given":"Th","non-dropping-particle":"","parse-names":false,"suffix":""}],"container-title":"Journal of Power Sources","id":"ITEM-2","issue":"3","issued":{"date-parts":[["2011"]]},"language":"English","note":"Sp. Iss. SI\n687pk\nTimes Cited:136\nCited References Count:42","page":"1279-1294","title":"Microstructure degradation of cermet anodes for solid oxide fuel cells: Quantification of nickel grain growth in dry and in humid atmospheres","type":"article-journal","volume":"196"},"uris":["http://www.mendeley.com/documents/?uuid=1d935f00-ffff-477c-be51-4365064ceced"]},{"id":"ITEM-3","itemData":{"DOI":"10.1039/C3CP53943A","ISBN":"1463-9076","abstract":"The first principles modeling of electrochemical reactions has proven useful for the development of efficient, durable and low cost solid oxide full cells (SOFCs). In this account we focus on recent advances in modeling of structural, electronic and catalytic properties of the SOFC anodes based on density functional theory (DFT) first principle calculations. As a starting point, we highlight that the adequate analysis of cell electrochemistry generally requires modeling of chemical reactions at the metal/oxide interface rather than on individual metal or oxide surfaces. The atomic models of Ni/YSZ and Ni/CeO2 interfaces, required for DFT simulations of reactions on SOFC anodes are discussed next, together with the analysis of the electronic structure of these interfaces. Then we proceed to DFT-based findings on charge transfer mechanisms during redox reactions on these two anodes. We provide a comparison of the electronic properties of Ni/YSZ and Ni/CeO2 interfaces and present an interpretation of their different chemical performances. Subsequently we discuss the computed energy pathways of fuel oxidation mechanisms, obtained by various groups to date. We also discuss the results of DFT studies combined with microkinetic modeling as well as the results of kinetic Monte Carlo simulations. In conclusion we summarize the key findings of DFT modeling of metal/oxide interfaces to date and highlight possible directions in the future modeling of SOFC anodes.","author":[{"dropping-particle":"","family":"Shishkin","given":"M","non-dropping-particle":"","parse-names":false,"suffix":""},{"dropping-particle":"","family":"Ziegler","given":"T","non-dropping-particle":"","parse-names":false,"suffix":""}],"container-title":"Physical Chemistry Chemical Physics","id":"ITEM-3","issue":"5","issued":{"date-parts":[["2014"]]},"page":"1798-1808","publisher":"The Royal Society of Chemistry","title":"Direct modeling of the electrochemistry in the three-phase boundary of solid oxide fuel cell anodes by density functional theory: a critical overview","type":"article-journal","volume":"16"},"uris":["http://www.mendeley.com/documents/?uuid=78bfb920-e624-45f8-9539-822f142ce8ec"]}],"mendeley":{"formattedCitation":"[109], [214], [216]","plainTextFormattedCitation":"[109], [214], [216]","previouslyFormattedCitation":"[109], [214], [216]"},"properties":{"noteIndex":0},"schema":"https://github.com/citation-style-language/schema/raw/master/csl-citation.json"}</w:instrText>
      </w:r>
      <w:r>
        <w:fldChar w:fldCharType="separate"/>
      </w:r>
      <w:r w:rsidR="006C586A" w:rsidRPr="006C586A">
        <w:rPr>
          <w:noProof/>
        </w:rPr>
        <w:t>[109], [214], [216]</w:t>
      </w:r>
      <w:r>
        <w:fldChar w:fldCharType="end"/>
      </w:r>
      <w:r w:rsidRPr="002B6C9E">
        <w:t xml:space="preserve">. </w:t>
      </w:r>
    </w:p>
    <w:p w14:paraId="5812E1E5" w14:textId="349308A1" w:rsidR="00007F6C" w:rsidRPr="002B6C9E" w:rsidRDefault="00007F6C" w:rsidP="004B726A">
      <w:pPr>
        <w:pStyle w:val="Heading4"/>
      </w:pPr>
      <w:bookmarkStart w:id="93" w:name="_Toc474489924"/>
      <w:r>
        <w:t>2.3.2.</w:t>
      </w:r>
      <w:r w:rsidR="00506BA6">
        <w:t>1</w:t>
      </w:r>
      <w:r>
        <w:tab/>
      </w:r>
      <w:r w:rsidRPr="002B6C9E">
        <w:t>Nickel Coarsening</w:t>
      </w:r>
      <w:bookmarkEnd w:id="93"/>
    </w:p>
    <w:p w14:paraId="6770FE95" w14:textId="77777777" w:rsidR="00007F6C" w:rsidRPr="002B6C9E" w:rsidRDefault="00007F6C" w:rsidP="004B726A">
      <w:pPr>
        <w:jc w:val="both"/>
        <w:rPr>
          <w:bCs/>
        </w:rPr>
      </w:pPr>
      <w:r w:rsidRPr="002B6C9E">
        <w:rPr>
          <w:bCs/>
        </w:rPr>
        <w:t>One of the key degradation issues for infiltrated fuel electrodes in SOFCs is catalyst crystallite sintering. The inherent problem in using metallic NPs as catalysts in such systems is an issue of coarsening as a function of temperature and time. The advantage of wet impregnation is that the impregnated catalyst has a very high surface area which leads to improved reaction kinetics.</w:t>
      </w:r>
    </w:p>
    <w:p w14:paraId="74E385A6" w14:textId="77777777" w:rsidR="00007F6C" w:rsidRPr="006B2DE2" w:rsidRDefault="00007F6C" w:rsidP="004B726A">
      <w:pPr>
        <w:jc w:val="both"/>
        <w:rPr>
          <w:bCs/>
        </w:rPr>
      </w:pPr>
      <w:r w:rsidRPr="002B6C9E">
        <w:rPr>
          <w:bCs/>
        </w:rPr>
        <w:t xml:space="preserve">However, in a typical SOFC arrangement the high operating temperature hinders the rate of reaction due to the decoration of metallic particles on the electrode surface. Under excessive temperatures the NP grain grow/ coarsen eventually causing the formation of a metallic layer over the electrode </w:t>
      </w:r>
      <w:r w:rsidRPr="002B6C9E">
        <w:rPr>
          <w:bCs/>
        </w:rPr>
        <w:lastRenderedPageBreak/>
        <w:t xml:space="preserve">material. This layer prevents the adsorption and movement of gases into the electrode hence stifling </w:t>
      </w:r>
      <w:r w:rsidRPr="006B2DE2">
        <w:rPr>
          <w:bCs/>
        </w:rPr>
        <w:t>the efficiency of the SOFC.</w:t>
      </w:r>
    </w:p>
    <w:p w14:paraId="578B243E" w14:textId="77777777" w:rsidR="00007F6C" w:rsidRPr="006B2DE2" w:rsidRDefault="00007F6C" w:rsidP="004B726A">
      <w:pPr>
        <w:jc w:val="both"/>
        <w:rPr>
          <w:bCs/>
        </w:rPr>
      </w:pPr>
      <w:r w:rsidRPr="006B2DE2">
        <w:rPr>
          <w:bCs/>
        </w:rPr>
        <w:t xml:space="preserve">One of the earliest examples in the literature detailing nickel coarsening was done by </w:t>
      </w:r>
      <w:proofErr w:type="spellStart"/>
      <w:r w:rsidRPr="006B2DE2">
        <w:rPr>
          <w:bCs/>
        </w:rPr>
        <w:t>Simwonis</w:t>
      </w:r>
      <w:proofErr w:type="spellEnd"/>
      <w:r w:rsidRPr="006B2DE2">
        <w:rPr>
          <w:bCs/>
        </w:rPr>
        <w:t xml:space="preserve"> et al</w:t>
      </w:r>
      <w:r>
        <w:rPr>
          <w:bCs/>
        </w:rPr>
        <w:t xml:space="preserve"> </w:t>
      </w:r>
      <w:r w:rsidRPr="006B2DE2">
        <w:rPr>
          <w:bCs/>
        </w:rPr>
        <w:fldChar w:fldCharType="begin" w:fldLock="1"/>
      </w:r>
      <w:r>
        <w:rPr>
          <w:bCs/>
        </w:rPr>
        <w:instrText>ADDIN CSL_CITATION {"citationItems":[{"id":"ITEM-1","itemData":{"ISBN":"01672738 (ISSN)","abstract":"In order to study the nickel coarsening in porous Ni/8YSZ anode cermets of solid oxide fuel cells (SOFC), a series of exposure tests was carried out with anode substrates used in SOFC development at the Research Centre Juelich. The changes in electrical conductivity as well as in the microstructure of the material were investigated. The microstructure of the cermets was characterized by digital on-line image analysis and microstructural parameters were determined for the metallic and the ceramic phase as well as for porosity. A decrease of 33% of the initial electrical conductivity was measured after exposing the cermet in Ar/4% H2/3% H2O at 1000 °C for 4000 h, which is linked to the agglomeration of the metallic particles of this material. The durability of anode cermets for operations of up to 40 000 h was estimated on the basis of the measured grain coarsening and the decrease of conductivity. The microstructural parameters - like volume fraction, particle and pore size - were used to model the electrical conductivity by theoretical microstructure-property relationships.","author":[{"dropping-particle":"","family":"Simwonis","given":"D","non-dropping-particle":"","parse-names":false,"suffix":""},{"dropping-particle":"","family":"Tietz","given":"F","non-dropping-particle":"","parse-names":false,"suffix":""},{"dropping-particle":"","family":"Stöver","given":"D","non-dropping-particle":"","parse-names":false,"suffix":""}],"container-title":"Solid State Ionics","id":"ITEM-1","issue":"3","issued":{"date-parts":[["2000"]]},"language":"English","note":"Cited By :297\nExport Date: 30 November 2016\nCODEN: SSIOD\nCorrespondence Address: Simwonis, D.; Forschungszentrum Juelich, Juelich, Germany\nReferences: Van Heuveln, F.H., Huijsmans, J.P.P., Final report of activity B1: Long-term stability under operating conditions (1996) Advanced Fuel Cells Programme, , Annex II, International Energy Agency, Available from H. Nabielek, Forschungszentrum Jülich, Germany; Stochniol, G., Naoumidis, A., Nickel, H., (1996) Jül-Report 3226, , Forschungszentrum, Jülich; Stolten, D., (1996) Verbundwerkstoffe und Werkstoffverbunde, p. 283. , G. Ziegler (Ed.), DGM Informationsgesellschaft, Oberursel; Ciacchi, F.T., Crane, K.M., Badwal, S.P.S., (1994) Solid State Ionics, 73, p. 49; Norby, T., Osborg, R.A., Ræder, H., (1994) Proc. 1st Eur. SOFC Forum, p. 671. , U. Bossel (Ed.); Minh, N.Q., (1993) J. Am. Ceram. Soc., 76, p. 563; Quadakkers, W.J., Greiner, H., Köck, W., Buchkremer, H.P., Hilpert, K., Stöver, D., (1996) Proc. 2nd Eur. SOFC Forum, 1, p. 297. , B. Thorstensen (Ed.); Quadakkers, W.J., Greiner, H., Hänsel, M., Pattanaik, A., Khanna, A.S., Malléner, W., (1996) Solid State Ionics, 91, p. 55; Tietz, F., Simwonis, D., Batfalsky, W., Diekmann, U., Stöver, D., (1999) Proc. 12th IEA Workshop on SOFC, Materials and Mechanisms in the Frame of the IEA Programme on Advanced Fuel Cells, p. 1. , K. Nisancioglu (Ed.), Annex VII: SOFC under Real Operating Conditions, Available from H. Nabielek, Forschungszentrum Jülich, Germany; Urbanek, J., Miller, M., Schmidt, H., Hilpert, K., (1996) Proc. 2nd Eur. SOFC Forum, 2, p. 503. , B. Thorstensen (Ed.); Gindorf, C., Singheiser, L., Hilpert, K., Schroeder, M., Martin, M., Greiner, H., Richter, F., (1999) Proc. 6th Int. Symp. Solid Oxide Fuel Cells (SOFC-VI), p. 774. , S.C. Singhal, M. Dokiya (Eds.), The Electrochemical Society, Pennington, NJ; Kawada, T., Sakai, N., Yokokawa, H., Dokiya, M., Mori, M., Iwata, T., (1990) J. Electrochem. Soc., 137, p. 3042; Norby, T., Velle, O.J., Leth-Olsen, H., Tunold, R., (1993) Proc. 3rd Int. Symp. Solid Oxide Fuel Cells (SOFC-III), p. 473. , S.C. Singhal, H. Iwahara (Eds.), The Electrochemical Society, Pennington, NJ; Iwata, T., (1996) J. Electrochem. Soc., 143, p. 1521; Itoh, H., Yamamoto, T., Mori, M., Watanabe, T., Abe, T., (1996) Denki Kagaku, 64, p. 549; Naoumidis, A., Tsoga, A., Nikolopoulos, P., Grübmeier, H., (1995) Proc. 4th Int. Symp. Solid Oxide Fuel Cells (SOFC-IV), p. 667. , M. Dokiya, O. Yamamoto, H. Tagawa, S.C. Singhal (Eds.), The Electrochemical Society, Pennington, NJ; Itoh, H., Yamamoto, T., Mori, M., (1997) J. Electrochem. Soc., 144, p. 641; Ioselevich, A., Kornyshev, A.A., Lehnert, W., (1997) J. Electrochem. Soc., 144, p. 3010; Buchkremer, H.P., Diekmann, U., De Haart, L.G.J., Kabs, H., Stöver, D., Vinke, I.C., (1998) Proc. 3rd Eur. SOFC Forum, 1, p. 143. , P. Stevens (Ed.); Simwonis, D., Naoumidis, A., Dias, F.J., Linke, J., Moropoulou, A., (1997) J. Mater. Res., 12, p. 1508; Mogensen, M., Primdahl, S., Rheinländer, J.T., Gormsen, S., Linderoth, S., Brown, M., (1995) Proc. 4th Int. Symp. Solid Oxide Fuel Cells (SOFC-IV), p. 657. , M. Dokiya, O. Yamamoto, H. Tagawa, S.C. Singhal (Eds.), The Electrochemical Society, Pennington, NJ; Mendelson, M.I., (1969) J. Am. Ceram. Soc., 52, p. 443; (1967) Designation E 112-63, Book of ASTM Standards, (31 PART), p. 446. , American Society for Testing Materials, Philadelphia, PA; Powell, R.W., Tye, R.P., Hickman, M.J., (1965) Int. J. Heat Mass Transfer, 8, p. 679; Laubitz, M.J., Matsumura, T., Kelly, P.J., (1976) Can. J. Phys., 54, p. 92; Rahaman, M.N., (1995) Ceramic Processing and Sintering, p. 465. , Marcel Dekker, New York; Ondracek, G., (1987) Rev. Powder Metall. Phys. Ceram., 3, p. 205; McLachlan, D.S., Blaszkiewicz, M., Newnham, R.E., (1990) J. Am. Ceram. Soc., 73, p. 2187; Mizusaki, J., Tsuchiya, S., Waragai, K., Tagawa, H., Arai, Y., Kuwayama, Y., (1996) J. Am. Ceram. Soc., 79, p. 109; Sunde, S., (1996) J. Electrochem. Soc., 143, p. 1123; Wu, Z., Liu, M., (1997) Solid State Ionics, 93, p. 65; Fan, Z., Miodownik, A.P., Tsakiropoulos, P., (1993) Mater. Sci. Technol., 9, p. 1094; Tagawa, H., Mizusaki, J., Arai, Y., Kuwayama, Y., Tsuchiya, S., Takeda, T., Sekido, S., (1990) Denki Kagaku, 58, p. 512; Deprez, N., McLachlan, D.S., Sigalas, I., (1988) Solid State Commun., 66, p. 869; Fan, Z., (1996) Philos. Mag. A, 73, p. 1663; Gurland, J., (1958) Trans. Met. Soc. AIME, 212, p. 452; Dees, D.W., Claar, T.D., Easler, T.E., Fee, D.C., Mrazek, F.C., (1987) J. Electrochem. Soc., 134, p. 2141","page":"241-251","publisher":"Elsevier Science B.V.","title":"Nickel coarsening in annealed Ni/8YSZ anode substrates for solid oxide fuel cells","type":"article-journal","volume":"132"},"uris":["http://www.mendeley.com/documents/?uuid=1425b4a4-7ef3-4a5b-9e34-154a97d16a3c"]}],"mendeley":{"formattedCitation":"[68]","plainTextFormattedCitation":"[68]","previouslyFormattedCitation":"[68]"},"properties":{"noteIndex":0},"schema":"https://github.com/citation-style-language/schema/raw/master/csl-citation.json"}</w:instrText>
      </w:r>
      <w:r w:rsidRPr="006B2DE2">
        <w:rPr>
          <w:bCs/>
        </w:rPr>
        <w:fldChar w:fldCharType="separate"/>
      </w:r>
      <w:r w:rsidRPr="00375DF8">
        <w:rPr>
          <w:bCs/>
          <w:noProof/>
        </w:rPr>
        <w:t>[68]</w:t>
      </w:r>
      <w:r w:rsidRPr="006B2DE2">
        <w:rPr>
          <w:bCs/>
        </w:rPr>
        <w:fldChar w:fldCharType="end"/>
      </w:r>
      <w:r w:rsidRPr="006B2DE2">
        <w:rPr>
          <w:bCs/>
        </w:rPr>
        <w:t xml:space="preserve">. Although the sample was not a wet impregnated sample, the effect of nickel sintering in an uniaxially pressed pellet of nickel and yttria stabilised powder be useful in terms of the manner of which the degradation manifests itself. </w:t>
      </w:r>
    </w:p>
    <w:p w14:paraId="0FFA50F1" w14:textId="76F2DFED" w:rsidR="00007F6C" w:rsidRPr="002B6C9E" w:rsidRDefault="00007F6C" w:rsidP="004B726A">
      <w:pPr>
        <w:jc w:val="both"/>
        <w:rPr>
          <w:bCs/>
        </w:rPr>
      </w:pPr>
      <w:r w:rsidRPr="002B6C9E">
        <w:rPr>
          <w:bCs/>
        </w:rPr>
        <w:t xml:space="preserve">This event actually becomes more widespread in nickel infiltrated samples as the percolation threshold and amount of nickel catalysts are lower than conventional techniques which means that degradation problems such as sintering become more important as there is less of a margin for error </w:t>
      </w:r>
      <w:proofErr w:type="gramStart"/>
      <w:r w:rsidRPr="002B6C9E">
        <w:rPr>
          <w:bCs/>
        </w:rPr>
        <w:t>i.e.</w:t>
      </w:r>
      <w:proofErr w:type="gramEnd"/>
      <w:r w:rsidRPr="002B6C9E">
        <w:rPr>
          <w:bCs/>
        </w:rPr>
        <w:t xml:space="preserve"> with less active nickel sites and the same coarsening rate, more catalytic area will be affected by coarsening. This can also be described as a reduction in the contact between nickel adatoms</w:t>
      </w:r>
      <w:r>
        <w:rPr>
          <w:bCs/>
        </w:rPr>
        <w:t xml:space="preserve"> </w:t>
      </w:r>
      <w:r>
        <w:rPr>
          <w:bCs/>
        </w:rPr>
        <w:fldChar w:fldCharType="begin" w:fldLock="1"/>
      </w:r>
      <w:r w:rsidR="00D80A5D">
        <w:rPr>
          <w:bCs/>
        </w:rPr>
        <w:instrText>ADDIN CSL_CITATION {"citationItems":[{"id":"ITEM-1","itemData":{"DOI":"10.1149/1.2433311","ISBN":"0013-4651","ISSN":"00134651","abstract":"Anode-supported thin electrolyte cells are studied by electrochemical impedance spectroscopy ?EIS?. The aim is to describe how the losses of this type of cells are distributed at low current density ?around open-circuit voltage? as a function of temperature. An equivalent circuit consisting of an inductance, a serial resistance ?Rs?, and five arcs to describe the polarization resistance is suggested. This equivalent circuit is based on previous studies of single electrodes in three-electrode and two-electrode symmetric cell setups. The equivalent circuit components have been assigned to the electrode processes, and the assignments were verified by extensive full cell studies in which the partial pressure of reactant gases on both the electrodes as well as temperature was systematically varied with the aim to identify frequency regions which are dominated by an electrode specific process. Further- more, the model is applied on a good performing cell with area specific resistance ?ASR? = 0.15 ? cm2 at 850°C and a poor performing cell with ASR = 0.29 ? cm2 at the same temperature. Both cells were fabricated using nominally the same procedure. The EIS analysis indicated that the difference in performance originates from microstructural differences on the cathode. This is further supported by the observation of large differences in the cathode microstructure by scanning electron microscope.","author":[{"dropping-particle":"","family":"Klemenso̸","given":"Trine","non-dropping-particle":"","parse-names":false,"suffix":""},{"dropping-particle":"","family":"Liu","given":"Yi-Lin","non-dropping-particle":"","parse-names":false,"suffix":""},{"dropping-particle":"","family":"Mogensen","given":"Mogens","non-dropping-particle":"","parse-names":false,"suffix":""},{"dropping-particle":"","family":"Vang Hendriksen","given":"Peter","non-dropping-particle":"","parse-names":false,"suffix":""},{"dropping-particle":"","family":"Hagen","given":"Anke","non-dropping-particle":"","parse-names":false,"suffix":""},{"dropping-particle":"","family":"Barfod","given":"Rasmus","non-dropping-particle":"","parse-names":false,"suffix":""}],"container-title":"Journal of The Electrochemical Society","id":"ITEM-1","issue":"4","issued":{"date-parts":[["2007"]]},"page":"B371","title":"Detailed Characterization of Anode-Supported SOFCs by Impedance Spectroscopy","type":"article-journal","volume":"154"},"uris":["http://www.mendeley.com/documents/?uuid=cef14d1e-e3a0-4238-ae3e-20f35bee3720"]},{"id":"ITEM-2","itemData":{"DOI":"10.1002/fuce.200800147","ISBN":"16156846 (ISSN)","abstract":"Microstructural evolution of anode supported solid oxide fuel cells (SOFC) during medium-term stack testing has been characterised by scanning electron microscopy (SEM). Low acceleration voltage SEM imaging is used to separate the three anode phases (nickel, yttria-stabilised zirconia and porosity). Microstructural quantification is obtained using a software code that yields phase proportion, particle size, particle size distribution and a direct measure of triple phase boundary (TPB) density (lm-2). In addition, an anode degradation model is proposed. The model describes the gradual degradation of the anode due to nickel particle sintering and the concomitant loss of TPB. Fundamental operational and structural parameters of the anode can be used to estimate the TPB length change with time from the degradation rate. The combination of experimental results and modelling allows separating the degradation due to sintering of nickel particles from total stack degradation. Anode degradation occurs principally during the first 500 operating hours. For stack tests carried out over more than 1,000 h, anode degradation was responsible for 18 to 41% of the total degradation depending on initial microstructure. © 2009 WILEY-VCH Verlag GmbH &amp;amp; Co. KGaA, Weinheim.","author":[{"dropping-particle":"","family":"Faes","given":"A","non-dropping-particle":"","parse-names":false,"suffix":""},{"dropping-particle":"","family":"Hessler-Wyser","given":"A","non-dropping-particle":"","parse-names":false,"suffix":""},{"dropping-particle":"","family":"Presvytes","given":"D","non-dropping-particle":"","parse-names":false,"suffix":""},{"dropping-particle":"","family":"Vayenas","given":"C G","non-dropping-particle":"","parse-names":false,"suffix":""},{"dropping-particle":"","family":"Vanherle","given":"J","non-dropping-particle":"","parse-names":false,"suffix":""}],"container-title":"Fuel Cells","id":"ITEM-2","issue":"6","issued":{"date-parts":[["2009"]]},"language":"English","note":"Cited By :93\nExport Date: 3 November 2016\nCorrespondence Address: Faes, A.; Industrial Energy Systems Laboratory (LENI), Ecole Polytechnique Fédérale de Lausanne (EPFL), CH-1015, Lausanne, Switzerland; email: antonin.faes@epfl.ch\nReferences: Molinelli, M., Larrain, D., Autissier, N., Ihringer, R., Sfeir, J., Badel, N., Bucheli, O., Van Herle, J., (2006) J. Power Sources, 154, p. 394; Yang, Z., Weil, K.S., Paxton, D.M., Stevenson, J.W., (2003) J. Electrochem. Soc, 150, pp. A1090; Larrain, D., Van herle, J., Favrat, D., (2006) J. Power Sources, 161, p. 392; Joergensen, M.J., Holtappels, P., Appel, C.C., (2000) J. App. Electrochem, 30, p. 411; Yokokawa, H., Sakai, N., Kawada, T., Dokiya, M., (1990) Solid State Ionics, 40, p. 398; Lee, H.Y., Oh, S.M., (1996) Solid State Ionics, 90, p. 133; Taniguchi, S., Kadowaki, M., Kawamura, H., Yasuo, T., Akiyama, Y., Miyake, Y., Saitoh, T., (1995) J. Power Sources, 55, p. 73; Yokokawa, H., Horita, T., Sakai, N., Yamaji, K., Brito, M.E., Xiong, Y.P., Kishimoto, H., (2006) Solid State Ionics, 177, p. 3193; Hattori, M., Takeda, Y., Sakaki, Y., Nakanishi, A., Ohara, S., Mukai, K., Lee, J.H., Fukui, T., (2004) J. Power Sources, 126, p. 23; Van herle, J., Vasquez, R., (2004) J. Eur. Ceram. Soc, 24, p. 1177; Haering, C., Roosen, A., Schichl, H., (2005) Solid State Ionics, 176, p. 253; Ioselevich, A., Kornyshev, A.A., Lehnert, W., (1997) J. Electrochem. Soc, 144, p. 3010; Simwonis, D., Tietz, F., Stoever, D., (2000) Solid State Ionics, 132, p. 241; Primdahl, S., Mogensen, M., (2000) J. Appl. Electrochem, 30, p. 247; Vassen, R., Simwonis, D., Stoever, D., (2001) J. Mater. Sci, 36, p. 147; Tu, H., Stimming, U., (2004) J. Power Sources, 127, p. 284; Cassidy, M., Lindsay, G., Kendall, K., (1996) J. Power Sources, 61, p. 189; Klemensoe, T., (2005), Ph.D. Thesis, Technical University of Danemark, Risoe National Laboratory, Topsoe Fuel CellSarantaridis, D., Atkinson, A., (2007) Fuel Cells, 7, p. 246; Z. Wuillemin, N. Autissier, M. Nakajo, M. Luong, J. Van herle, D. Favrat, J. Fuel Cell Sci. Technol. 2008, 5, 0110161Murray, E.P., Tsai, T., Barnett, S.A., (1999) Nature, 400, p. 649; Sasaki, K., Watanabe, K., Shiosaki, K., Susuki, K., Teraoka, Y., (2004) J. Electroceram, 13, p. 669; Pujare, N.U., Semkow, K.W., Sammells, A.F., (1987) J. Electrochem. Soc, 134, p. 2639; Matsuzaki, Y., Yasuda, I., (2000) Solid State Ionics, 132, p. 261; Zha, S., Cheng, Z., Liu, M., (2007) J. Electrochem. Soc, 154, pp. B201; Jiang, S.P., (2003) J. Mater. Sci, 38, p. 3775; Hagen, A., Barfod, R., Hendriksen, P.V., Liu, Y.L., Ramousse, S., (2006) J. Electrochem. Soc, 153, pp. A1165; C. Monachon, A. H.-Wyser, A. Faes, J. Van herle, E. Tagliaferri, J. Am. Ceram. Soc. 2008, 91, 3405Lee, J.H., Moon, H., Lee, H.W., Kim, J., Kim, J.D., Yoon, K.H., (2002) Solid State Ionics, 148, p. 15; Ioselevich, A., Kornyshev, A.A., Lehnert, W., (1999) Solid State Ionics, 124, p. 221; Van herle, J., Perednis, D., Nakamura, K., Diethelm, S., Zahid, M., Aslanides, A., Somekawa, T., Bucheli, O., (2008) J. Power Sources, 182, p. 389; Diethelm, S., Van herle, J., Wuillemin, Z., Nakajo, A., Autissier, N., Molinelli, M., (2008) J. Fuel Cell Sci. Technol, 5, p. 31003; Ayache, J., Beaunier, L., Boumendil, J., Ehret, G., Laub, D., (2007) Guide de Preparation des Echantillons pour la Microscopie Electronique en Transmission-Tome II, 2. , Universite de Saint-Etienne, Saint-Etienne; Lee, K.R., Choi, S.H., Kim, J., Lee, H.W., Lee, J.H., (2005) J. Power Sources, 140, p. 226; K. Thydén, Y. L. Liu, J. B. B.-Soerensen, Solid State Ionics 2008, 178, 1984Russ, J., (1992) The Image Processing Handbook, , CRC Press, Boca Raton, 224 pp; Heijmans, H., Morphological Image Operators (1994) Advances in Electronics and Electron Physics, 25. , Academic Press, San Diego, 55 pp; Underwood, E., (1970) Quantitative Stereology, , Addison-Wesley Publishing, Menlo Park; Mendelson, M.I., (1969) J. Am. Ceram. Soc, 52, p. 443; (1967), 31. , ASTM E 112-63, American Society for Testing Materials, Philadelphia, 446 ppSerra, J., (1982) Image Analysis and Mathematical Morphology, , Academic Press Limited, San Diego; Giardina, C., Dougherty, E., (1988) Morphological Methods in Image and Signal Processing, , Prentice-Hall, Englewood Cliffs, New Jersey, 97 pp; Bowen, P., (2005) J. Dispersion Sci. Technol, 23, p. 631; Brunauer, S., Emmett, P.H., Teller, E., (1938) J. Am. Chem. Soc, 60, p. 309; Rahaman, M.N., (2008) Sintering of Ceramics, , CRC Press, Boca Raton; Froment, G., Bischo, K., (1990) Chemical Reactor Analysis and Design, , 2nd Ed, Wiley, New York; Jiang, S.P., Chan, S.H., (2004) J. Mater. Sci, 39, p. 4405; Wilson, J.R., Kobsiriphat, W., Mendoza, R., Chen, H.Y., Hiller, J.M., Miller, D.J., Thornton, K., Barnett, S.A., (2006) Nat. Mater, 5, p. 541; J. O. M. Bockris, A. K. M. Reddy, M. G.-Aldeco, Modern Electrochemistry, Kluwer Academic and Plenum Press, New York, 2000Vayenas, C.G., Jaksic, M.M., Bebelis, S., Neophytides, S.G., (1996) Modern Aspect of Electrochemistry, , Eds, J. O. M. Bockris, B. E. Conway, R. E. White, Kluwer Academic and Plenum Press, New York; Tao, S., Irvine, J.T.S., (2004) Chem. Rec, 4, p. 83; P. Tanasini, A. Faes, P. Costamana, M. Cannarozzo, A. H.-Wyser, J. Van herle, C. Comninellis, Fuel Cells 2009, this issue(1973) CRC Handbook of Chemistry and Physics, pp. B-114. , 53rd Ed, CRC Press, Cleveland","page":"841-851","title":"Nickel-zirconia anode degradation and triple phase boundary quantification from microstructural analysis","type":"article-journal","volume":"9"},"uris":["http://www.mendeley.com/documents/?uuid=ef868f13-cd7a-456a-b74f-262579bbcea1"]},{"id":"ITEM-3","itemData":{"author":[{"dropping-particle":"","family":"T. Klemensø  M. Chen, H. Wang","given":"K Thydén","non-dropping-particle":"","parse-names":false,"suffix":""}],"container-title":"Journal of Power Sources","id":"ITEM-3","issued":{"date-parts":[["2010"]]},"page":"7295-7301","publisher":"Elsevier","title":"Stability of Ni–yttria stabilized zirconia anodes based on Ni-impregnation","type":"article-journal","volume":"195"},"uris":["http://www.mendeley.com/documents/?uuid=79fbd2bf-c98e-45ed-a795-01af34a4f132"]}],"mendeley":{"formattedCitation":"[157], [217], [218]","plainTextFormattedCitation":"[157], [217], [218]","previouslyFormattedCitation":"[157], [217], [218]"},"properties":{"noteIndex":0},"schema":"https://github.com/citation-style-language/schema/raw/master/csl-citation.json"}</w:instrText>
      </w:r>
      <w:r>
        <w:rPr>
          <w:bCs/>
        </w:rPr>
        <w:fldChar w:fldCharType="separate"/>
      </w:r>
      <w:r w:rsidR="006C586A" w:rsidRPr="006C586A">
        <w:rPr>
          <w:bCs/>
          <w:noProof/>
        </w:rPr>
        <w:t>[157], [217], [218]</w:t>
      </w:r>
      <w:r>
        <w:rPr>
          <w:bCs/>
        </w:rPr>
        <w:fldChar w:fldCharType="end"/>
      </w:r>
      <w:r w:rsidRPr="002B6C9E">
        <w:rPr>
          <w:bCs/>
        </w:rPr>
        <w:t xml:space="preserve">. </w:t>
      </w:r>
    </w:p>
    <w:p w14:paraId="10FFEF0B" w14:textId="77777777" w:rsidR="00007F6C" w:rsidRPr="006B2DE2" w:rsidRDefault="00007F6C" w:rsidP="004B726A">
      <w:pPr>
        <w:jc w:val="both"/>
        <w:rPr>
          <w:bCs/>
        </w:rPr>
      </w:pPr>
      <w:r w:rsidRPr="002B6C9E">
        <w:rPr>
          <w:bCs/>
        </w:rPr>
        <w:t>This description appears to portray the nickel coarsening event as a fast grain growth event that begins to slow down as soon as the reactive species (</w:t>
      </w:r>
      <w:proofErr w:type="gramStart"/>
      <w:r w:rsidRPr="002B6C9E">
        <w:rPr>
          <w:bCs/>
        </w:rPr>
        <w:t>i.e.</w:t>
      </w:r>
      <w:proofErr w:type="gramEnd"/>
      <w:r w:rsidRPr="002B6C9E">
        <w:rPr>
          <w:bCs/>
        </w:rPr>
        <w:t xml:space="preserve"> the Ni NPs) become too few to fuel the peak </w:t>
      </w:r>
      <w:r w:rsidRPr="006B2DE2">
        <w:rPr>
          <w:bCs/>
        </w:rPr>
        <w:t>coarsening rate.</w:t>
      </w:r>
    </w:p>
    <w:p w14:paraId="45822308" w14:textId="11F7C687" w:rsidR="00007F6C" w:rsidRPr="002B6C9E" w:rsidRDefault="00007F6C" w:rsidP="004B726A">
      <w:pPr>
        <w:jc w:val="both"/>
        <w:rPr>
          <w:bCs/>
        </w:rPr>
      </w:pPr>
      <w:r w:rsidRPr="006B2DE2">
        <w:rPr>
          <w:bCs/>
        </w:rPr>
        <w:t xml:space="preserve">This was demonstrated by </w:t>
      </w:r>
      <w:proofErr w:type="spellStart"/>
      <w:r w:rsidRPr="006B2DE2">
        <w:rPr>
          <w:bCs/>
        </w:rPr>
        <w:t>Klemenso</w:t>
      </w:r>
      <w:proofErr w:type="spellEnd"/>
      <w:r w:rsidRPr="006B2DE2">
        <w:rPr>
          <w:bCs/>
        </w:rPr>
        <w:t xml:space="preserve"> et al during their investigation of sintering inhibitors in wet impregnated Ni/YSZ anodes where despite the presence of these secondary phases the conductivity still decreased quickly over a short time period</w:t>
      </w:r>
      <w:r>
        <w:rPr>
          <w:bCs/>
        </w:rPr>
        <w:t xml:space="preserve"> </w:t>
      </w:r>
      <w:r w:rsidRPr="006B2DE2">
        <w:rPr>
          <w:bCs/>
        </w:rPr>
        <w:fldChar w:fldCharType="begin" w:fldLock="1"/>
      </w:r>
      <w:r w:rsidR="00D80A5D">
        <w:rPr>
          <w:bCs/>
        </w:rPr>
        <w:instrText>ADDIN CSL_CITATION {"citationItems":[{"id":"ITEM-1","itemData":{"DOI":"10.1016/j.jpowsour.2010.05.047","ISSN":"03787753","abstract":"Sintering of Ni is a key stability issue for Ni-YSZ anodes, and especially infiltration based electrodes. The potential of MgO, Al2O 3, TiO2, CeO2 and Ce0.90Gd 0.10O1.95 (CGO10) as sintering inhibitors was investigated for infiltrated Ni based anode structures. The structures were prepared from tape cast porous YSZ layers that were impregnated with Ni to form an electronic percolating phase. The Ni-YSZ structure was subsequently impregnated with the inhibitor candidate, and the stability of the structure was evaluated from conductivity measurements. Lower conductivity degradation rates were observed for samples infiltrated with the inhibitor candidates, and the best inhibitor effect was seen with higher loadings of CGO10, and CeO2 showed similar potential. The degradation in conductivity was not visibly reflected in the microstructure as Ni coarsening in any of the cases. An adverse effect of MgO, TiO2 and Al2O3 was reduced conductivity, possibly due to reaction with Ni and the formation of higher resistive phases. The Ni-infiltrated anodes were shown to have better initial electrochemical performance at 650 °C than conventionally produced Ni-YSZ anodes, but still very poor stability, and further improvement of the inhibitor approach is necessary before applying the Ni-infiltrated anodes in SOFCs. © 2010 Elsevier B.V.","author":[{"dropping-particle":"","family":"Klemensø","given":"Trine","non-dropping-particle":"","parse-names":false,"suffix":""},{"dropping-particle":"","family":"Thydén","given":"Karl","non-dropping-particle":"","parse-names":false,"suffix":""},{"dropping-particle":"","family":"Chen","given":"Ming","non-dropping-particle":"","parse-names":false,"suffix":""},{"dropping-particle":"","family":"Wang","given":"Hsiang Jen","non-dropping-particle":"","parse-names":false,"suffix":""}],"container-title":"Journal of Power Sources","id":"ITEM-1","issue":"21","issued":{"date-parts":[["2010"]]},"page":"7295-7301","title":"Stability of Ni-yttria stabilized zirconia anodes based on Ni-impregnation","type":"article-journal","volume":"195"},"uris":["http://www.mendeley.com/documents/?uuid=dc80fc60-c38e-45b3-afcf-3e76a9be68c2"]}],"mendeley":{"formattedCitation":"[219]","plainTextFormattedCitation":"[219]","previouslyFormattedCitation":"[219]"},"properties":{"noteIndex":0},"schema":"https://github.com/citation-style-language/schema/raw/master/csl-citation.json"}</w:instrText>
      </w:r>
      <w:r w:rsidRPr="006B2DE2">
        <w:rPr>
          <w:bCs/>
        </w:rPr>
        <w:fldChar w:fldCharType="separate"/>
      </w:r>
      <w:r w:rsidR="006C586A" w:rsidRPr="006C586A">
        <w:rPr>
          <w:bCs/>
          <w:noProof/>
        </w:rPr>
        <w:t>[219]</w:t>
      </w:r>
      <w:r w:rsidRPr="006B2DE2">
        <w:rPr>
          <w:bCs/>
        </w:rPr>
        <w:fldChar w:fldCharType="end"/>
      </w:r>
      <w:r w:rsidRPr="006B2DE2">
        <w:rPr>
          <w:bCs/>
        </w:rPr>
        <w:t>. A relatively low loaded Gd doped CeO</w:t>
      </w:r>
      <w:r w:rsidRPr="006B2DE2">
        <w:rPr>
          <w:bCs/>
          <w:vertAlign w:val="subscript"/>
        </w:rPr>
        <w:t>2</w:t>
      </w:r>
      <w:r w:rsidRPr="006B2DE2">
        <w:rPr>
          <w:bCs/>
        </w:rPr>
        <w:t xml:space="preserve"> Ni/YSZ anode (the red line in  </w:t>
      </w:r>
      <w:r w:rsidRPr="006B2DE2">
        <w:fldChar w:fldCharType="begin"/>
      </w:r>
      <w:r w:rsidRPr="006B2DE2">
        <w:instrText xml:space="preserve"> REF _Ref468271031 \h  \* MERGEFORMAT </w:instrText>
      </w:r>
      <w:r w:rsidRPr="006B2DE2">
        <w:fldChar w:fldCharType="separate"/>
      </w:r>
      <w:r w:rsidR="00804219" w:rsidRPr="00804219">
        <w:t>Figure 2.13</w:t>
      </w:r>
      <w:r w:rsidRPr="006B2DE2">
        <w:fldChar w:fldCharType="end"/>
      </w:r>
      <w:r w:rsidRPr="006B2DE2">
        <w:rPr>
          <w:bCs/>
        </w:rPr>
        <w:t>) conductivity decreased by approximately 15</w:t>
      </w:r>
      <w:r>
        <w:rPr>
          <w:bCs/>
        </w:rPr>
        <w:t xml:space="preserve"> </w:t>
      </w:r>
      <w:r w:rsidRPr="006B2DE2">
        <w:rPr>
          <w:bCs/>
        </w:rPr>
        <w:t xml:space="preserve">% across </w:t>
      </w:r>
      <w:proofErr w:type="gramStart"/>
      <w:r w:rsidRPr="006B2DE2">
        <w:rPr>
          <w:bCs/>
        </w:rPr>
        <w:t>a time period</w:t>
      </w:r>
      <w:proofErr w:type="gramEnd"/>
      <w:r w:rsidRPr="006B2DE2">
        <w:rPr>
          <w:bCs/>
        </w:rPr>
        <w:t xml:space="preserve"> of 240</w:t>
      </w:r>
      <w:r>
        <w:rPr>
          <w:bCs/>
        </w:rPr>
        <w:t xml:space="preserve"> </w:t>
      </w:r>
      <w:r w:rsidRPr="006B2DE2">
        <w:rPr>
          <w:bCs/>
        </w:rPr>
        <w:t>h or 0.6</w:t>
      </w:r>
      <w:r>
        <w:rPr>
          <w:bCs/>
        </w:rPr>
        <w:t xml:space="preserve"> </w:t>
      </w:r>
      <w:r w:rsidRPr="006B2DE2">
        <w:rPr>
          <w:bCs/>
        </w:rPr>
        <w:t>% of the total operating lifetime of an SOFC (if this is assumed to be 40,000</w:t>
      </w:r>
      <w:r>
        <w:rPr>
          <w:bCs/>
        </w:rPr>
        <w:t xml:space="preserve"> </w:t>
      </w:r>
      <w:r w:rsidRPr="006B2DE2">
        <w:rPr>
          <w:bCs/>
        </w:rPr>
        <w:t xml:space="preserve">h). The speed of conductivity degradation in relation to nickel content can be visually portrayed in the </w:t>
      </w:r>
      <w:r w:rsidR="00804219" w:rsidRPr="00804219">
        <w:rPr>
          <w:bCs/>
        </w:rPr>
        <w:fldChar w:fldCharType="begin"/>
      </w:r>
      <w:r w:rsidR="00804219" w:rsidRPr="00804219">
        <w:rPr>
          <w:bCs/>
        </w:rPr>
        <w:instrText xml:space="preserve"> REF _Ref468275106 \h  \* MERGEFORMAT </w:instrText>
      </w:r>
      <w:r w:rsidR="00804219" w:rsidRPr="00804219">
        <w:rPr>
          <w:bCs/>
        </w:rPr>
      </w:r>
      <w:r w:rsidR="00804219" w:rsidRPr="00804219">
        <w:rPr>
          <w:bCs/>
        </w:rPr>
        <w:fldChar w:fldCharType="separate"/>
      </w:r>
      <w:r w:rsidR="00804219" w:rsidRPr="00804219">
        <w:t>Figure 2.</w:t>
      </w:r>
      <w:r w:rsidR="00804219" w:rsidRPr="00804219">
        <w:rPr>
          <w:noProof/>
        </w:rPr>
        <w:t>13</w:t>
      </w:r>
      <w:r w:rsidR="00804219" w:rsidRPr="00804219">
        <w:rPr>
          <w:bCs/>
        </w:rPr>
        <w:fldChar w:fldCharType="end"/>
      </w:r>
      <w:r w:rsidRPr="00804219">
        <w:rPr>
          <w:bCs/>
        </w:rPr>
        <w:t xml:space="preserve"> </w:t>
      </w:r>
      <w:r w:rsidRPr="006B2DE2">
        <w:rPr>
          <w:bCs/>
        </w:rPr>
        <w:t>below</w:t>
      </w:r>
      <w:r w:rsidRPr="002B6C9E">
        <w:rPr>
          <w:bCs/>
        </w:rPr>
        <w:t>:</w:t>
      </w:r>
    </w:p>
    <w:p w14:paraId="18A2286B" w14:textId="77777777" w:rsidR="00007F6C" w:rsidRPr="002B6C9E" w:rsidRDefault="00007F6C" w:rsidP="004B726A">
      <w:pPr>
        <w:keepNext/>
        <w:jc w:val="center"/>
      </w:pPr>
      <w:r w:rsidRPr="002B6C9E">
        <w:rPr>
          <w:bCs/>
          <w:noProof/>
          <w:lang w:eastAsia="en-GB"/>
        </w:rPr>
        <w:drawing>
          <wp:inline distT="0" distB="0" distL="0" distR="0" wp14:anchorId="25CC9D65" wp14:editId="35BEE071">
            <wp:extent cx="3600000" cy="3380282"/>
            <wp:effectExtent l="0" t="0" r="635"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Conductivity profiles of inhibtor sampels with reference NI samples_Klemenso et al 2010.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00000" cy="3380282"/>
                    </a:xfrm>
                    <a:prstGeom prst="rect">
                      <a:avLst/>
                    </a:prstGeom>
                  </pic:spPr>
                </pic:pic>
              </a:graphicData>
            </a:graphic>
          </wp:inline>
        </w:drawing>
      </w:r>
    </w:p>
    <w:p w14:paraId="665E23D1" w14:textId="64329C3D" w:rsidR="0047444A" w:rsidRDefault="00007F6C" w:rsidP="002310D3">
      <w:pPr>
        <w:jc w:val="center"/>
        <w:rPr>
          <w:i/>
          <w:iCs/>
          <w:color w:val="44546A" w:themeColor="text2"/>
          <w:sz w:val="20"/>
          <w:szCs w:val="20"/>
        </w:rPr>
      </w:pPr>
      <w:bookmarkStart w:id="94" w:name="_Ref468271031"/>
      <w:bookmarkStart w:id="95" w:name="_Toc69114924"/>
      <w:r w:rsidRPr="00582C49">
        <w:rPr>
          <w:i/>
          <w:iCs/>
          <w:color w:val="44546A" w:themeColor="text2"/>
          <w:sz w:val="20"/>
          <w:szCs w:val="20"/>
        </w:rPr>
        <w:t xml:space="preserve">Figure </w:t>
      </w:r>
      <w:r>
        <w:rPr>
          <w:i/>
          <w:iCs/>
          <w:color w:val="44546A" w:themeColor="text2"/>
          <w:sz w:val="20"/>
          <w:szCs w:val="20"/>
        </w:rPr>
        <w:t>2.</w:t>
      </w:r>
      <w:r w:rsidR="00285C23">
        <w:rPr>
          <w:i/>
          <w:iCs/>
          <w:color w:val="44546A" w:themeColor="text2"/>
          <w:sz w:val="20"/>
          <w:szCs w:val="20"/>
        </w:rPr>
        <w:fldChar w:fldCharType="begin"/>
      </w:r>
      <w:r w:rsidR="00285C23">
        <w:rPr>
          <w:i/>
          <w:iCs/>
          <w:color w:val="44546A" w:themeColor="text2"/>
          <w:sz w:val="20"/>
          <w:szCs w:val="20"/>
        </w:rPr>
        <w:instrText xml:space="preserve"> SEQ Figure \* ARABIC </w:instrText>
      </w:r>
      <w:r w:rsidR="00285C23">
        <w:rPr>
          <w:i/>
          <w:iCs/>
          <w:color w:val="44546A" w:themeColor="text2"/>
          <w:sz w:val="20"/>
          <w:szCs w:val="20"/>
        </w:rPr>
        <w:fldChar w:fldCharType="separate"/>
      </w:r>
      <w:r w:rsidR="00804219">
        <w:rPr>
          <w:i/>
          <w:iCs/>
          <w:noProof/>
          <w:color w:val="44546A" w:themeColor="text2"/>
          <w:sz w:val="20"/>
          <w:szCs w:val="20"/>
        </w:rPr>
        <w:t>12</w:t>
      </w:r>
      <w:r w:rsidR="00285C23">
        <w:rPr>
          <w:i/>
          <w:iCs/>
          <w:color w:val="44546A" w:themeColor="text2"/>
          <w:sz w:val="20"/>
          <w:szCs w:val="20"/>
        </w:rPr>
        <w:fldChar w:fldCharType="end"/>
      </w:r>
      <w:bookmarkEnd w:id="94"/>
      <w:r w:rsidRPr="00582C49">
        <w:rPr>
          <w:i/>
          <w:iCs/>
          <w:color w:val="44546A" w:themeColor="text2"/>
          <w:sz w:val="20"/>
          <w:szCs w:val="20"/>
        </w:rPr>
        <w:t>: Conductivity profiles of Ni Conductivity profiles of carbon pore formed nickel infiltrated YSZ anodes with varying amounts of Ni infiltrate and inhibitor phases. The red line shows the addition of 5.86</w:t>
      </w:r>
      <w:r w:rsidR="002310D3">
        <w:rPr>
          <w:i/>
          <w:iCs/>
          <w:color w:val="44546A" w:themeColor="text2"/>
          <w:sz w:val="20"/>
          <w:szCs w:val="20"/>
        </w:rPr>
        <w:t xml:space="preserve"> </w:t>
      </w:r>
      <w:r>
        <w:rPr>
          <w:i/>
          <w:iCs/>
          <w:color w:val="44546A" w:themeColor="text2"/>
          <w:sz w:val="20"/>
          <w:szCs w:val="20"/>
        </w:rPr>
        <w:t>vol %</w:t>
      </w:r>
      <w:r w:rsidRPr="00582C49">
        <w:rPr>
          <w:i/>
          <w:iCs/>
          <w:color w:val="44546A" w:themeColor="text2"/>
          <w:sz w:val="20"/>
          <w:szCs w:val="20"/>
        </w:rPr>
        <w:t xml:space="preserve"> Gd-doped CeO</w:t>
      </w:r>
      <w:r w:rsidRPr="00582C49">
        <w:rPr>
          <w:i/>
          <w:iCs/>
          <w:color w:val="44546A" w:themeColor="text2"/>
          <w:sz w:val="20"/>
          <w:szCs w:val="20"/>
          <w:vertAlign w:val="subscript"/>
        </w:rPr>
        <w:t>2</w:t>
      </w:r>
      <w:r w:rsidRPr="00582C49">
        <w:rPr>
          <w:i/>
          <w:iCs/>
          <w:color w:val="44546A" w:themeColor="text2"/>
          <w:sz w:val="20"/>
          <w:szCs w:val="20"/>
        </w:rPr>
        <w:t xml:space="preserve"> (GDC), the blue line shows the addition of 2.04</w:t>
      </w:r>
      <w:r>
        <w:rPr>
          <w:i/>
          <w:iCs/>
          <w:color w:val="44546A" w:themeColor="text2"/>
          <w:sz w:val="20"/>
          <w:szCs w:val="20"/>
        </w:rPr>
        <w:t>vol %</w:t>
      </w:r>
      <w:r w:rsidRPr="00582C49">
        <w:rPr>
          <w:i/>
          <w:iCs/>
          <w:color w:val="44546A" w:themeColor="text2"/>
          <w:sz w:val="20"/>
          <w:szCs w:val="20"/>
        </w:rPr>
        <w:t xml:space="preserve"> GDC and the green line details the addition of 3.60</w:t>
      </w:r>
      <w:r w:rsidR="002310D3">
        <w:rPr>
          <w:i/>
          <w:iCs/>
          <w:color w:val="44546A" w:themeColor="text2"/>
          <w:sz w:val="20"/>
          <w:szCs w:val="20"/>
        </w:rPr>
        <w:t xml:space="preserve"> </w:t>
      </w:r>
      <w:r>
        <w:rPr>
          <w:i/>
          <w:iCs/>
          <w:color w:val="44546A" w:themeColor="text2"/>
          <w:sz w:val="20"/>
          <w:szCs w:val="20"/>
        </w:rPr>
        <w:t>vol %</w:t>
      </w:r>
      <w:r w:rsidRPr="00582C49">
        <w:rPr>
          <w:i/>
          <w:iCs/>
          <w:color w:val="44546A" w:themeColor="text2"/>
          <w:sz w:val="20"/>
          <w:szCs w:val="20"/>
        </w:rPr>
        <w:t xml:space="preserve"> TiO</w:t>
      </w:r>
      <w:r w:rsidRPr="00582C49">
        <w:rPr>
          <w:i/>
          <w:iCs/>
          <w:color w:val="44546A" w:themeColor="text2"/>
          <w:sz w:val="20"/>
          <w:szCs w:val="20"/>
          <w:vertAlign w:val="subscript"/>
        </w:rPr>
        <w:t>2</w:t>
      </w:r>
      <w:r w:rsidRPr="00582C49">
        <w:rPr>
          <w:i/>
          <w:iCs/>
          <w:color w:val="44546A" w:themeColor="text2"/>
          <w:sz w:val="20"/>
          <w:szCs w:val="20"/>
        </w:rPr>
        <w:t xml:space="preserve"> on the conductivity of the wet impregnated Ni/YSZ anodes</w:t>
      </w:r>
      <w:r>
        <w:rPr>
          <w:i/>
          <w:iCs/>
          <w:color w:val="44546A" w:themeColor="text2"/>
          <w:sz w:val="20"/>
          <w:szCs w:val="20"/>
        </w:rPr>
        <w:t xml:space="preserve"> </w:t>
      </w:r>
      <w:r w:rsidRPr="00582C49">
        <w:rPr>
          <w:i/>
          <w:iCs/>
          <w:color w:val="44546A" w:themeColor="text2"/>
          <w:sz w:val="20"/>
          <w:szCs w:val="20"/>
        </w:rPr>
        <w:fldChar w:fldCharType="begin" w:fldLock="1"/>
      </w:r>
      <w:r w:rsidR="00D80A5D">
        <w:rPr>
          <w:i/>
          <w:iCs/>
          <w:color w:val="44546A" w:themeColor="text2"/>
          <w:sz w:val="20"/>
          <w:szCs w:val="20"/>
        </w:rPr>
        <w:instrText>ADDIN CSL_CITATION {"citationItems":[{"id":"ITEM-1","itemData":{"DOI":"10.1016/j.jpowsour.2010.05.047","ISSN":"03787753","abstract":"Sintering of Ni is a key stability issue for Ni-YSZ anodes, and especially infiltration based electrodes. The potential of MgO, Al2O 3, TiO2, CeO2 and Ce0.90Gd 0.10O1.95 (CGO10) as sintering inhibitors was investigated for infiltrated Ni based anode structures. The structures were prepared from tape cast porous YSZ layers that were impregnated with Ni to form an electronic percolating phase. The Ni-YSZ structure was subsequently impregnated with the inhibitor candidate, and the stability of the structure was evaluated from conductivity measurements. Lower conductivity degradation rates were observed for samples infiltrated with the inhibitor candidates, and the best inhibitor effect was seen with higher loadings of CGO10, and CeO2 showed similar potential. The degradation in conductivity was not visibly reflected in the microstructure as Ni coarsening in any of the cases. An adverse effect of MgO, TiO2 and Al2O3 was reduced conductivity, possibly due to reaction with Ni and the formation of higher resistive phases. The Ni-infiltrated anodes were shown to have better initial electrochemical performance at 650 °C than conventionally produced Ni-YSZ anodes, but still very poor stability, and further improvement of the inhibitor approach is necessary before applying the Ni-infiltrated anodes in SOFCs. © 2010 Elsevier B.V.","author":[{"dropping-particle":"","family":"Klemensø","given":"Trine","non-dropping-particle":"","parse-names":false,"suffix":""},{"dropping-particle":"","family":"Thydén","given":"Karl","non-dropping-particle":"","parse-names":false,"suffix":""},{"dropping-particle":"","family":"Chen","given":"Ming","non-dropping-particle":"","parse-names":false,"suffix":""},{"dropping-particle":"","family":"Wang","given":"Hsiang Jen","non-dropping-particle":"","parse-names":false,"suffix":""}],"container-title":"Journal of Power Sources","id":"ITEM-1","issue":"21","issued":{"date-parts":[["2010"]]},"page":"7295-7301","title":"Stability of Ni-yttria stabilized zirconia anodes based on Ni-impregnation","type":"article-journal","volume":"195"},"uris":["http://www.mendeley.com/documents/?uuid=dc80fc60-c38e-45b3-afcf-3e76a9be68c2"]}],"mendeley":{"formattedCitation":"[219]","plainTextFormattedCitation":"[219]","previouslyFormattedCitation":"[219]"},"properties":{"noteIndex":0},"schema":"https://github.com/citation-style-language/schema/raw/master/csl-citation.json"}</w:instrText>
      </w:r>
      <w:r w:rsidRPr="00582C49">
        <w:rPr>
          <w:i/>
          <w:iCs/>
          <w:color w:val="44546A" w:themeColor="text2"/>
          <w:sz w:val="20"/>
          <w:szCs w:val="20"/>
        </w:rPr>
        <w:fldChar w:fldCharType="separate"/>
      </w:r>
      <w:r w:rsidR="006C586A" w:rsidRPr="006C586A">
        <w:rPr>
          <w:iCs/>
          <w:noProof/>
          <w:color w:val="44546A" w:themeColor="text2"/>
          <w:sz w:val="20"/>
          <w:szCs w:val="20"/>
        </w:rPr>
        <w:t>[219]</w:t>
      </w:r>
      <w:r w:rsidRPr="00582C49">
        <w:rPr>
          <w:i/>
          <w:iCs/>
          <w:color w:val="44546A" w:themeColor="text2"/>
          <w:sz w:val="20"/>
          <w:szCs w:val="20"/>
        </w:rPr>
        <w:fldChar w:fldCharType="end"/>
      </w:r>
      <w:r w:rsidRPr="00582C49">
        <w:rPr>
          <w:i/>
          <w:iCs/>
          <w:color w:val="44546A" w:themeColor="text2"/>
          <w:sz w:val="20"/>
          <w:szCs w:val="20"/>
        </w:rPr>
        <w:t>.</w:t>
      </w:r>
      <w:bookmarkEnd w:id="95"/>
      <w:r w:rsidRPr="00582C49">
        <w:rPr>
          <w:i/>
          <w:iCs/>
          <w:color w:val="44546A" w:themeColor="text2"/>
          <w:sz w:val="20"/>
          <w:szCs w:val="20"/>
        </w:rPr>
        <w:t xml:space="preserve"> </w:t>
      </w:r>
    </w:p>
    <w:p w14:paraId="4C561270" w14:textId="77777777" w:rsidR="00804219" w:rsidRPr="002B6C9E" w:rsidRDefault="00804219" w:rsidP="00804219">
      <w:pPr>
        <w:keepNext/>
        <w:jc w:val="center"/>
      </w:pPr>
      <w:r w:rsidRPr="002B6C9E">
        <w:rPr>
          <w:bCs/>
          <w:noProof/>
          <w:lang w:eastAsia="en-GB"/>
        </w:rPr>
        <w:lastRenderedPageBreak/>
        <w:drawing>
          <wp:inline distT="0" distB="0" distL="0" distR="0" wp14:anchorId="44983FA9" wp14:editId="1FCF2238">
            <wp:extent cx="3882000" cy="3600000"/>
            <wp:effectExtent l="0" t="0" r="4445" b="63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Conductivity profiles of reference samples with Carbon produced Ni infiltrationo YSZ_Klemenso et al 2010.png"/>
                    <pic:cNvPicPr/>
                  </pic:nvPicPr>
                  <pic:blipFill rotWithShape="1">
                    <a:blip r:embed="rId33" cstate="print">
                      <a:extLst>
                        <a:ext uri="{28A0092B-C50C-407E-A947-70E740481C1C}">
                          <a14:useLocalDpi xmlns:a14="http://schemas.microsoft.com/office/drawing/2010/main" val="0"/>
                        </a:ext>
                      </a:extLst>
                    </a:blip>
                    <a:srcRect t="3296"/>
                    <a:stretch/>
                  </pic:blipFill>
                  <pic:spPr bwMode="auto">
                    <a:xfrm>
                      <a:off x="0" y="0"/>
                      <a:ext cx="3882000" cy="3600000"/>
                    </a:xfrm>
                    <a:prstGeom prst="rect">
                      <a:avLst/>
                    </a:prstGeom>
                    <a:ln>
                      <a:noFill/>
                    </a:ln>
                    <a:extLst>
                      <a:ext uri="{53640926-AAD7-44D8-BBD7-CCE9431645EC}">
                        <a14:shadowObscured xmlns:a14="http://schemas.microsoft.com/office/drawing/2010/main"/>
                      </a:ext>
                    </a:extLst>
                  </pic:spPr>
                </pic:pic>
              </a:graphicData>
            </a:graphic>
          </wp:inline>
        </w:drawing>
      </w:r>
    </w:p>
    <w:p w14:paraId="1D0E31C6" w14:textId="235B0613" w:rsidR="00804219" w:rsidRPr="00582C49" w:rsidRDefault="00804219" w:rsidP="00804219">
      <w:pPr>
        <w:jc w:val="center"/>
        <w:rPr>
          <w:i/>
          <w:iCs/>
          <w:color w:val="44546A" w:themeColor="text2"/>
          <w:sz w:val="18"/>
          <w:szCs w:val="18"/>
        </w:rPr>
      </w:pPr>
      <w:bookmarkStart w:id="96" w:name="_Ref468275106"/>
      <w:bookmarkStart w:id="97" w:name="_Toc69114925"/>
      <w:r w:rsidRPr="00582C49">
        <w:rPr>
          <w:i/>
          <w:iCs/>
          <w:color w:val="44546A" w:themeColor="text2"/>
          <w:sz w:val="18"/>
          <w:szCs w:val="18"/>
        </w:rPr>
        <w:t>Figure 2.</w:t>
      </w:r>
      <w:r>
        <w:rPr>
          <w:i/>
          <w:iCs/>
          <w:color w:val="44546A" w:themeColor="text2"/>
          <w:sz w:val="18"/>
          <w:szCs w:val="18"/>
        </w:rPr>
        <w:fldChar w:fldCharType="begin"/>
      </w:r>
      <w:r>
        <w:rPr>
          <w:i/>
          <w:iCs/>
          <w:color w:val="44546A" w:themeColor="text2"/>
          <w:sz w:val="18"/>
          <w:szCs w:val="18"/>
        </w:rPr>
        <w:instrText xml:space="preserve"> SEQ Figure \* ARABIC </w:instrText>
      </w:r>
      <w:r>
        <w:rPr>
          <w:i/>
          <w:iCs/>
          <w:color w:val="44546A" w:themeColor="text2"/>
          <w:sz w:val="18"/>
          <w:szCs w:val="18"/>
        </w:rPr>
        <w:fldChar w:fldCharType="separate"/>
      </w:r>
      <w:r>
        <w:rPr>
          <w:i/>
          <w:iCs/>
          <w:noProof/>
          <w:color w:val="44546A" w:themeColor="text2"/>
          <w:sz w:val="18"/>
          <w:szCs w:val="18"/>
        </w:rPr>
        <w:t>13</w:t>
      </w:r>
      <w:r>
        <w:rPr>
          <w:i/>
          <w:iCs/>
          <w:color w:val="44546A" w:themeColor="text2"/>
          <w:sz w:val="18"/>
          <w:szCs w:val="18"/>
        </w:rPr>
        <w:fldChar w:fldCharType="end"/>
      </w:r>
      <w:bookmarkEnd w:id="96"/>
      <w:r w:rsidRPr="00582C49">
        <w:rPr>
          <w:i/>
          <w:iCs/>
          <w:color w:val="44546A" w:themeColor="text2"/>
          <w:sz w:val="18"/>
          <w:szCs w:val="18"/>
        </w:rPr>
        <w:t>: Conductivity profiles of carbon pore formed nickel infiltrated YSZ anodes with varying amounts of Ni infiltrate</w:t>
      </w:r>
      <w:r>
        <w:rPr>
          <w:i/>
          <w:iCs/>
          <w:color w:val="44546A" w:themeColor="text2"/>
          <w:sz w:val="18"/>
          <w:szCs w:val="18"/>
        </w:rPr>
        <w:t xml:space="preserve"> </w:t>
      </w:r>
      <w:r w:rsidRPr="00582C49">
        <w:rPr>
          <w:i/>
          <w:iCs/>
          <w:color w:val="44546A" w:themeColor="text2"/>
          <w:sz w:val="18"/>
          <w:szCs w:val="18"/>
        </w:rPr>
        <w:fldChar w:fldCharType="begin" w:fldLock="1"/>
      </w:r>
      <w:r>
        <w:rPr>
          <w:i/>
          <w:iCs/>
          <w:color w:val="44546A" w:themeColor="text2"/>
          <w:sz w:val="18"/>
          <w:szCs w:val="18"/>
        </w:rPr>
        <w:instrText>ADDIN CSL_CITATION {"citationItems":[{"id":"ITEM-1","itemData":{"DOI":"10.1016/j.jpowsour.2010.05.047","ISSN":"03787753","abstract":"Sintering of Ni is a key stability issue for Ni-YSZ anodes, and especially infiltration based electrodes. The potential of MgO, Al2O 3, TiO2, CeO2 and Ce0.90Gd 0.10O1.95 (CGO10) as sintering inhibitors was investigated for infiltrated Ni based anode structures. The structures were prepared from tape cast porous YSZ layers that were impregnated with Ni to form an electronic percolating phase. The Ni-YSZ structure was subsequently impregnated with the inhibitor candidate, and the stability of the structure was evaluated from conductivity measurements. Lower conductivity degradation rates were observed for samples infiltrated with the inhibitor candidates, and the best inhibitor effect was seen with higher loadings of CGO10, and CeO2 showed similar potential. The degradation in conductivity was not visibly reflected in the microstructure as Ni coarsening in any of the cases. An adverse effect of MgO, TiO2 and Al2O3 was reduced conductivity, possibly due to reaction with Ni and the formation of higher resistive phases. The Ni-infiltrated anodes were shown to have better initial electrochemical performance at 650 °C than conventionally produced Ni-YSZ anodes, but still very poor stability, and further improvement of the inhibitor approach is necessary before applying the Ni-infiltrated anodes in SOFCs. © 2010 Elsevier B.V.","author":[{"dropping-particle":"","family":"Klemensø","given":"Trine","non-dropping-particle":"","parse-names":false,"suffix":""},{"dropping-particle":"","family":"Thydén","given":"Karl","non-dropping-particle":"","parse-names":false,"suffix":""},{"dropping-particle":"","family":"Chen","given":"Ming","non-dropping-particle":"","parse-names":false,"suffix":""},{"dropping-particle":"","family":"Wang","given":"Hsiang Jen","non-dropping-particle":"","parse-names":false,"suffix":""}],"container-title":"Journal of Power Sources","id":"ITEM-1","issue":"21","issued":{"date-parts":[["2010"]]},"page":"7295-7301","title":"Stability of Ni-yttria stabilized zirconia anodes based on Ni-impregnation","type":"article-journal","volume":"195"},"uris":["http://www.mendeley.com/documents/?uuid=dc80fc60-c38e-45b3-afcf-3e76a9be68c2"]}],"mendeley":{"formattedCitation":"[219]","plainTextFormattedCitation":"[219]","previouslyFormattedCitation":"[219]"},"properties":{"noteIndex":0},"schema":"https://github.com/citation-style-language/schema/raw/master/csl-citation.json"}</w:instrText>
      </w:r>
      <w:r w:rsidRPr="00582C49">
        <w:rPr>
          <w:i/>
          <w:iCs/>
          <w:color w:val="44546A" w:themeColor="text2"/>
          <w:sz w:val="18"/>
          <w:szCs w:val="18"/>
        </w:rPr>
        <w:fldChar w:fldCharType="separate"/>
      </w:r>
      <w:r w:rsidRPr="006C586A">
        <w:rPr>
          <w:iCs/>
          <w:noProof/>
          <w:color w:val="44546A" w:themeColor="text2"/>
          <w:sz w:val="18"/>
          <w:szCs w:val="18"/>
        </w:rPr>
        <w:t>[219]</w:t>
      </w:r>
      <w:r w:rsidRPr="00582C49">
        <w:rPr>
          <w:i/>
          <w:iCs/>
          <w:color w:val="44546A" w:themeColor="text2"/>
          <w:sz w:val="18"/>
          <w:szCs w:val="18"/>
        </w:rPr>
        <w:fldChar w:fldCharType="end"/>
      </w:r>
      <w:r w:rsidRPr="00582C49">
        <w:rPr>
          <w:i/>
          <w:iCs/>
          <w:color w:val="44546A" w:themeColor="text2"/>
          <w:sz w:val="18"/>
          <w:szCs w:val="18"/>
        </w:rPr>
        <w:t>.</w:t>
      </w:r>
      <w:bookmarkEnd w:id="97"/>
      <w:r w:rsidRPr="00582C49">
        <w:rPr>
          <w:i/>
          <w:iCs/>
          <w:color w:val="44546A" w:themeColor="text2"/>
          <w:sz w:val="18"/>
          <w:szCs w:val="18"/>
        </w:rPr>
        <w:t xml:space="preserve"> </w:t>
      </w:r>
    </w:p>
    <w:p w14:paraId="20710ED1" w14:textId="18792C94" w:rsidR="00007F6C" w:rsidRPr="002B6C9E" w:rsidRDefault="00007F6C" w:rsidP="004B726A">
      <w:pPr>
        <w:jc w:val="both"/>
        <w:rPr>
          <w:bCs/>
        </w:rPr>
      </w:pPr>
      <w:r w:rsidRPr="002B6C9E">
        <w:rPr>
          <w:bCs/>
        </w:rPr>
        <w:t xml:space="preserve">Outlining what sintering mechanisms dominate during NP coarsening could be key to modelling how SOFC materials degrade under elevated temperatures. </w:t>
      </w:r>
      <w:r w:rsidRPr="002B6C9E">
        <w:rPr>
          <w:bCs/>
          <w:i/>
        </w:rPr>
        <w:t>Hansen et al</w:t>
      </w:r>
      <w:r w:rsidRPr="002B6C9E">
        <w:rPr>
          <w:bCs/>
        </w:rPr>
        <w:t xml:space="preserve"> discuss the impact of Ostwald ripening (OR) or particle migration coalescence (PMC) as possible coarsening routes for catalytic NPs</w:t>
      </w:r>
      <w:r>
        <w:rPr>
          <w:bCs/>
        </w:rPr>
        <w:t xml:space="preserve"> </w:t>
      </w:r>
      <w:r>
        <w:rPr>
          <w:bCs/>
        </w:rPr>
        <w:fldChar w:fldCharType="begin" w:fldLock="1"/>
      </w:r>
      <w:r w:rsidR="00D80A5D">
        <w:rPr>
          <w:bCs/>
        </w:rPr>
        <w:instrText>ADDIN CSL_CITATION {"citationItems":[{"id":"ITEM-1","itemData":{"DOI":"10.1021/ar3002427","ISSN":"0001-4842","author":[{"dropping-particle":"","family":"Hansen","given":"Thomas W","non-dropping-particle":"","parse-names":false,"suffix":""},{"dropping-particle":"","family":"Delariva","given":"Adnrew T","non-dropping-particle":"","parse-names":false,"suffix":""},{"dropping-particle":"","family":"Challa","given":"Sivakumar R","non-dropping-particle":"","parse-names":false,"suffix":""},{"dropping-particle":"","family":"Datye","given":"Abhaya K","non-dropping-particle":"","parse-names":false,"suffix":""}],"container-title":"Accounts of Chemical Research","id":"ITEM-1","issue":"8","issued":{"date-parts":[["2014"]]},"page":"1720-1730","title":"Sintering of nanoparticles: Particle Migration or Ostwald Ripening?","type":"article-journal","volume":"46"},"uris":["http://www.mendeley.com/documents/?uuid=a480fe1d-fe7e-4d90-bf47-e3624773b9d6"]}],"mendeley":{"formattedCitation":"[220]","plainTextFormattedCitation":"[220]","previouslyFormattedCitation":"[220]"},"properties":{"noteIndex":0},"schema":"https://github.com/citation-style-language/schema/raw/master/csl-citation.json"}</w:instrText>
      </w:r>
      <w:r>
        <w:rPr>
          <w:bCs/>
        </w:rPr>
        <w:fldChar w:fldCharType="separate"/>
      </w:r>
      <w:r w:rsidR="006C586A" w:rsidRPr="006C586A">
        <w:rPr>
          <w:bCs/>
          <w:noProof/>
        </w:rPr>
        <w:t>[220]</w:t>
      </w:r>
      <w:r>
        <w:rPr>
          <w:bCs/>
        </w:rPr>
        <w:fldChar w:fldCharType="end"/>
      </w:r>
      <w:r w:rsidRPr="002B6C9E">
        <w:rPr>
          <w:bCs/>
        </w:rPr>
        <w:t xml:space="preserve">. </w:t>
      </w:r>
    </w:p>
    <w:p w14:paraId="2C521C9A" w14:textId="6424543A" w:rsidR="00007F6C" w:rsidRPr="002B6C9E" w:rsidRDefault="00007F6C" w:rsidP="004B726A">
      <w:pPr>
        <w:jc w:val="both"/>
        <w:rPr>
          <w:bCs/>
        </w:rPr>
      </w:pPr>
      <w:r w:rsidRPr="002B6C9E">
        <w:rPr>
          <w:bCs/>
          <w:i/>
        </w:rPr>
        <w:t>Hansen</w:t>
      </w:r>
      <w:r w:rsidRPr="002B6C9E">
        <w:rPr>
          <w:bCs/>
        </w:rPr>
        <w:t xml:space="preserve"> lists three general steps for the sintering mechanisms that occur in NP systems</w:t>
      </w:r>
      <w:r>
        <w:rPr>
          <w:bCs/>
        </w:rPr>
        <w:t xml:space="preserve"> </w:t>
      </w:r>
      <w:r>
        <w:rPr>
          <w:bCs/>
        </w:rPr>
        <w:fldChar w:fldCharType="begin" w:fldLock="1"/>
      </w:r>
      <w:r w:rsidR="00D80A5D">
        <w:rPr>
          <w:bCs/>
        </w:rPr>
        <w:instrText>ADDIN CSL_CITATION {"citationItems":[{"id":"ITEM-1","itemData":{"DOI":"10.1021/ar3002427","ISBN":"1520-4898 (Electronic)\r0001-4842 (Linking)","PMID":"23634641","abstract":"Metal nanoparticles contain the active sites in heterogeneous catalysts, which are important for many industrial applications including the production of clean fuels, chemicals and pharmaceuticals, and the cleanup of exhaust from automobiles and stationary power plants. Sintering, or thermal deactivation, is an important mechanism for the loss of catalyst activity. This is especially true for high temperature catalytic processes, such as steam reforming, automotive exhaust treatment, or catalytic combustion. With dwindling supplies of precious metals and increasing demand, fundamental understanding of catalyst sintering is very important for achieving clean energy and a clean environment, and for efficient chemical conversion processes with atom selectivity. Scientists have proposed two mechanisms for sintering of nanoparticles: particle migration and coalescence (PMC) and Ostwald ripening (OR). PMC involves the mobility of particles in a Brownian-like motion on the support surface, with subsequent coalescence leading to nanoparticle growth. In contrast, OR involves the migration of adatoms or mobile molecular species, driven by differences in free energy and local adatom concentrations on the support surface. In this Account, we divide the process of sintering into three phases. Phase I involves rapid loss in catalyst activity (or surface area), phase II is where sintering slows down, and phase III is where the catalyst may reach a stable performance. Much of the previous work is based on inferences from catalysts that were observed before and after long term treatments. While the general phenomena can be captured correctly, the mechanisms cannot be determined. Advancements in the techniques of in situ TEM allow us to observe catalysts at elevated temperatures under working conditions. We review recent evidence obtained via in situ methods to determine the relative importance of PMC and OR in each of these phases of catalyst sintering. The evidence suggests that, in phase I, OR is responsible for the rapid loss of activity that occurs when particles are very small. Surprisingly, very little PMC is observed in this phase. Instead, the rapid loss of activity is caused by the disappearance of the smallest particles. These findings are in good agreement with representative atomistic simulations of sintering. In phase II, sintering slows down since the smallest particles have disappeared. We now see a combination of PMC and OR, but do not fully understand t…","author":[{"dropping-particle":"","family":"Hansen","given":"T W","non-dropping-particle":"","parse-names":false,"suffix":""},{"dropping-particle":"","family":"Delariva","given":"A T","non-dropping-particle":"","parse-names":false,"suffix":""},{"dropping-particle":"","family":"Challa","given":"S R","non-dropping-particle":"","parse-names":false,"suffix":""},{"dropping-particle":"","family":"Datye","given":"A K","non-dropping-particle":"","parse-names":false,"suffix":""}],"chapter-number":"1720","container-title":"Acc Chem Res","id":"ITEM-1","issue":"8","issued":{"date-parts":[["2013"]]},"note":"Hansen, Thomas W\nDelariva, Andrew T\nChalla, Sivakumar R\nDatye, Abhaya K\neng\nResearch Support, Non-U.S. Gov't\nResearch Support, U.S. Gov't, Non-P.H.S.\nReview\n2013/05/03 06:00\nAcc Chem Res. 2013 Aug 20;46(8):1720-30. doi: 10.1021/ar3002427. Epub 2013 May 1.","page":"1720-1730","title":"Sintering of catalytic nanoparticles: particle migration or Ostwald ripening?","type":"article-journal","volume":"46"},"uris":["http://www.mendeley.com/documents/?uuid=39c90cb7-90f0-4c22-a635-4a4de038ffe1"]}],"mendeley":{"formattedCitation":"[118]","plainTextFormattedCitation":"[118]","previouslyFormattedCitation":"[118]"},"properties":{"noteIndex":0},"schema":"https://github.com/citation-style-language/schema/raw/master/csl-citation.json"}</w:instrText>
      </w:r>
      <w:r>
        <w:rPr>
          <w:bCs/>
        </w:rPr>
        <w:fldChar w:fldCharType="separate"/>
      </w:r>
      <w:r w:rsidR="006C586A" w:rsidRPr="006C586A">
        <w:rPr>
          <w:bCs/>
          <w:noProof/>
        </w:rPr>
        <w:t>[118]</w:t>
      </w:r>
      <w:r>
        <w:rPr>
          <w:bCs/>
        </w:rPr>
        <w:fldChar w:fldCharType="end"/>
      </w:r>
      <w:r w:rsidRPr="002B6C9E">
        <w:rPr>
          <w:bCs/>
        </w:rPr>
        <w:t xml:space="preserve">: </w:t>
      </w:r>
    </w:p>
    <w:p w14:paraId="65200E05" w14:textId="77777777" w:rsidR="00007F6C" w:rsidRPr="002B6C9E" w:rsidRDefault="00007F6C" w:rsidP="004B726A">
      <w:pPr>
        <w:numPr>
          <w:ilvl w:val="0"/>
          <w:numId w:val="4"/>
        </w:numPr>
        <w:spacing w:after="0"/>
        <w:jc w:val="both"/>
        <w:rPr>
          <w:bCs/>
        </w:rPr>
      </w:pPr>
      <w:r w:rsidRPr="002B6C9E">
        <w:rPr>
          <w:bCs/>
        </w:rPr>
        <w:t xml:space="preserve">Rapid activity decreases when particle diameter, d &lt; 3 </w:t>
      </w:r>
      <w:proofErr w:type="gramStart"/>
      <w:r w:rsidRPr="002B6C9E">
        <w:rPr>
          <w:bCs/>
        </w:rPr>
        <w:t>nm</w:t>
      </w:r>
      <w:proofErr w:type="gramEnd"/>
    </w:p>
    <w:p w14:paraId="19C6BA00" w14:textId="31FE360E" w:rsidR="00007F6C" w:rsidRPr="002B6C9E" w:rsidRDefault="00007F6C" w:rsidP="004B726A">
      <w:pPr>
        <w:numPr>
          <w:ilvl w:val="0"/>
          <w:numId w:val="4"/>
        </w:numPr>
        <w:spacing w:after="0"/>
        <w:jc w:val="both"/>
        <w:rPr>
          <w:bCs/>
        </w:rPr>
      </w:pPr>
      <w:r w:rsidRPr="002B6C9E">
        <w:rPr>
          <w:bCs/>
        </w:rPr>
        <w:t>Reduction in sintering rate when 3nm &lt; d &lt; 10</w:t>
      </w:r>
      <w:r w:rsidR="002310D3">
        <w:rPr>
          <w:bCs/>
        </w:rPr>
        <w:t xml:space="preserve"> </w:t>
      </w:r>
      <w:r w:rsidRPr="002B6C9E">
        <w:rPr>
          <w:bCs/>
        </w:rPr>
        <w:t>nm</w:t>
      </w:r>
    </w:p>
    <w:p w14:paraId="77DA3FDA" w14:textId="77777777" w:rsidR="00007F6C" w:rsidRPr="002B6C9E" w:rsidRDefault="00007F6C" w:rsidP="004B726A">
      <w:pPr>
        <w:numPr>
          <w:ilvl w:val="0"/>
          <w:numId w:val="4"/>
        </w:numPr>
        <w:jc w:val="both"/>
        <w:rPr>
          <w:bCs/>
        </w:rPr>
      </w:pPr>
      <w:r w:rsidRPr="002B6C9E">
        <w:rPr>
          <w:bCs/>
        </w:rPr>
        <w:t>The catalyst reaches a stable dispersion (reached equilibrium position)</w:t>
      </w:r>
    </w:p>
    <w:p w14:paraId="0AD094B2" w14:textId="7C18B655" w:rsidR="00007F6C" w:rsidRPr="002B6C9E" w:rsidRDefault="00007F6C" w:rsidP="004B726A">
      <w:pPr>
        <w:jc w:val="both"/>
        <w:rPr>
          <w:bCs/>
        </w:rPr>
      </w:pPr>
      <w:r w:rsidRPr="002B6C9E">
        <w:rPr>
          <w:bCs/>
        </w:rPr>
        <w:t>Ostwald Ripening or the diffusion of surface adatoms is controlled by the Gibbs free energy and the concentration of particles. PMC is the Brownian motion of the NPs on the surface of the substrate material. It was found that the PMC route does not dominate in metal NP/ceramic systems like those found in an SOFC anode. The samples tested (Pd/Al</w:t>
      </w:r>
      <w:r w:rsidRPr="002B6C9E">
        <w:rPr>
          <w:bCs/>
          <w:vertAlign w:val="subscript"/>
        </w:rPr>
        <w:t>2</w:t>
      </w:r>
      <w:r w:rsidRPr="002B6C9E">
        <w:rPr>
          <w:bCs/>
        </w:rPr>
        <w:t>O</w:t>
      </w:r>
      <w:r w:rsidRPr="002B6C9E">
        <w:rPr>
          <w:bCs/>
          <w:vertAlign w:val="subscript"/>
        </w:rPr>
        <w:t>3</w:t>
      </w:r>
      <w:r w:rsidRPr="002B6C9E">
        <w:rPr>
          <w:bCs/>
        </w:rPr>
        <w:t xml:space="preserve"> and Ni/Mg2O</w:t>
      </w:r>
      <w:r w:rsidRPr="002B6C9E">
        <w:rPr>
          <w:bCs/>
          <w:vertAlign w:val="subscript"/>
        </w:rPr>
        <w:t>4</w:t>
      </w:r>
      <w:r w:rsidRPr="002B6C9E">
        <w:rPr>
          <w:bCs/>
        </w:rPr>
        <w:t>) were held at 900</w:t>
      </w:r>
      <w:r w:rsidR="002310D3">
        <w:rPr>
          <w:bCs/>
        </w:rPr>
        <w:t xml:space="preserve"> </w:t>
      </w:r>
      <w:r w:rsidRPr="002B6C9E">
        <w:rPr>
          <w:bCs/>
        </w:rPr>
        <w:t>°C for 9</w:t>
      </w:r>
      <w:r>
        <w:rPr>
          <w:bCs/>
        </w:rPr>
        <w:t xml:space="preserve"> </w:t>
      </w:r>
      <w:r w:rsidRPr="002B6C9E">
        <w:rPr>
          <w:bCs/>
        </w:rPr>
        <w:t>h and then consequently observed over 4000</w:t>
      </w:r>
      <w:r>
        <w:rPr>
          <w:bCs/>
        </w:rPr>
        <w:t xml:space="preserve"> </w:t>
      </w:r>
      <w:r w:rsidRPr="002B6C9E">
        <w:rPr>
          <w:bCs/>
        </w:rPr>
        <w:t>h</w:t>
      </w:r>
      <w:r>
        <w:rPr>
          <w:bCs/>
        </w:rPr>
        <w:t xml:space="preserve"> </w:t>
      </w:r>
      <w:r>
        <w:rPr>
          <w:bCs/>
        </w:rPr>
        <w:fldChar w:fldCharType="begin" w:fldLock="1"/>
      </w:r>
      <w:r w:rsidR="00D80A5D">
        <w:rPr>
          <w:bCs/>
        </w:rPr>
        <w:instrText>ADDIN CSL_CITATION {"citationItems":[{"id":"ITEM-1","itemData":{"DOI":"10.1021/ar3002427","ISSN":"0001-4842","author":[{"dropping-particle":"","family":"Hansen","given":"Thomas W","non-dropping-particle":"","parse-names":false,"suffix":""},{"dropping-particle":"","family":"Delariva","given":"Adnrew T","non-dropping-particle":"","parse-names":false,"suffix":""},{"dropping-particle":"","family":"Challa","given":"Sivakumar R","non-dropping-particle":"","parse-names":false,"suffix":""},{"dropping-particle":"","family":"Datye","given":"Abhaya K","non-dropping-particle":"","parse-names":false,"suffix":""}],"container-title":"Accounts of Chemical Research","id":"ITEM-1","issue":"8","issued":{"date-parts":[["2014"]]},"page":"1720-1730","title":"Sintering of nanoparticles: Particle Migration or Ostwald Ripening?","type":"article-journal","volume":"46"},"uris":["http://www.mendeley.com/documents/?uuid=a480fe1d-fe7e-4d90-bf47-e3624773b9d6"]}],"mendeley":{"formattedCitation":"[220]","plainTextFormattedCitation":"[220]","previouslyFormattedCitation":"[220]"},"properties":{"noteIndex":0},"schema":"https://github.com/citation-style-language/schema/raw/master/csl-citation.json"}</w:instrText>
      </w:r>
      <w:r>
        <w:rPr>
          <w:bCs/>
        </w:rPr>
        <w:fldChar w:fldCharType="separate"/>
      </w:r>
      <w:r w:rsidR="006C586A" w:rsidRPr="006C586A">
        <w:rPr>
          <w:bCs/>
          <w:noProof/>
        </w:rPr>
        <w:t>[220]</w:t>
      </w:r>
      <w:r>
        <w:rPr>
          <w:bCs/>
        </w:rPr>
        <w:fldChar w:fldCharType="end"/>
      </w:r>
      <w:r w:rsidRPr="002B6C9E">
        <w:rPr>
          <w:bCs/>
        </w:rPr>
        <w:t>. The NP mobility in both samples was attributed to the diffusion of surface adatoms which resulted in a change in the centre of mass of each particle. This diffusion type interaction supports OR as the key sintering route in cermet arrangements.</w:t>
      </w:r>
    </w:p>
    <w:p w14:paraId="7EE525EF" w14:textId="77777777" w:rsidR="00007F6C" w:rsidRPr="002B6C9E" w:rsidRDefault="00007F6C" w:rsidP="004B726A">
      <w:pPr>
        <w:jc w:val="both"/>
        <w:rPr>
          <w:bCs/>
        </w:rPr>
      </w:pPr>
      <w:r w:rsidRPr="002B6C9E">
        <w:rPr>
          <w:bCs/>
        </w:rPr>
        <w:t>In the face of this evidence and experimental route</w:t>
      </w:r>
      <w:r>
        <w:rPr>
          <w:bCs/>
        </w:rPr>
        <w:t xml:space="preserve">, </w:t>
      </w:r>
      <w:r w:rsidRPr="002B6C9E">
        <w:rPr>
          <w:bCs/>
        </w:rPr>
        <w:t>two questions arise in terms of how these findings impact SOFCs:</w:t>
      </w:r>
    </w:p>
    <w:p w14:paraId="37ED47A6" w14:textId="77777777" w:rsidR="00007F6C" w:rsidRPr="002B6C9E" w:rsidRDefault="00007F6C" w:rsidP="002310D3">
      <w:pPr>
        <w:numPr>
          <w:ilvl w:val="0"/>
          <w:numId w:val="5"/>
        </w:numPr>
        <w:spacing w:after="0"/>
        <w:jc w:val="both"/>
        <w:rPr>
          <w:bCs/>
        </w:rPr>
      </w:pPr>
      <w:r w:rsidRPr="002B6C9E">
        <w:rPr>
          <w:bCs/>
        </w:rPr>
        <w:t>It is widely known that the degradation phenomena for SOFCs occurs in the early phases of heating. So, the 9</w:t>
      </w:r>
      <w:r>
        <w:rPr>
          <w:bCs/>
        </w:rPr>
        <w:t xml:space="preserve"> </w:t>
      </w:r>
      <w:r w:rsidRPr="002B6C9E">
        <w:rPr>
          <w:bCs/>
        </w:rPr>
        <w:t>h initial temperature step be significant in terms of degradation of electrical properties and NP coarsening?</w:t>
      </w:r>
    </w:p>
    <w:p w14:paraId="24E26EAB" w14:textId="77777777" w:rsidR="00007F6C" w:rsidRPr="002B6C9E" w:rsidRDefault="00007F6C" w:rsidP="004B726A">
      <w:pPr>
        <w:numPr>
          <w:ilvl w:val="0"/>
          <w:numId w:val="5"/>
        </w:numPr>
        <w:jc w:val="both"/>
        <w:rPr>
          <w:bCs/>
        </w:rPr>
      </w:pPr>
      <w:r w:rsidRPr="002B6C9E">
        <w:rPr>
          <w:bCs/>
        </w:rPr>
        <w:t xml:space="preserve">Does the cermet system composition affect which sintering mechanism dominates? </w:t>
      </w:r>
    </w:p>
    <w:p w14:paraId="1DBC54EA" w14:textId="52958277" w:rsidR="00007F6C" w:rsidRDefault="00007F6C" w:rsidP="004B726A">
      <w:pPr>
        <w:jc w:val="both"/>
        <w:rPr>
          <w:bCs/>
        </w:rPr>
      </w:pPr>
      <w:r w:rsidRPr="00F17213">
        <w:rPr>
          <w:bCs/>
        </w:rPr>
        <w:lastRenderedPageBreak/>
        <w:t>From the modelling of major sintering mechanisms for metal NPs in cermets it also becomes apparent that morphology could also be a factor in terms of sintering. This underlines the importance of modelling crystallite growth. A highly detailed assessment of crystallite shape was undertaken by Borodzinski et al</w:t>
      </w:r>
      <w:r w:rsidRPr="002B6C9E">
        <w:rPr>
          <w:bCs/>
        </w:rPr>
        <w:t xml:space="preserve"> in 1997</w:t>
      </w:r>
      <w:r>
        <w:rPr>
          <w:bCs/>
        </w:rPr>
        <w:t xml:space="preserve"> </w:t>
      </w:r>
      <w:r>
        <w:rPr>
          <w:bCs/>
        </w:rPr>
        <w:fldChar w:fldCharType="begin" w:fldLock="1"/>
      </w:r>
      <w:r w:rsidR="00D80A5D">
        <w:rPr>
          <w:bCs/>
        </w:rPr>
        <w:instrText>ADDIN CSL_CITATION {"citationItems":[{"id":"ITEM-1","itemData":{"DOI":"10.1021/la962103u","ISSN":"07437463","abstract":"Universal mathematical relations between the mean relative size of metallic crystallites (drel(VS)) and their dispersion (FE) in supported metal catalysts have been developed. The relations are: drel(VS) = 5.01/FE for FE &lt; 0.2, and drel(VS) = 3.32/FE1.23 for 0.2 ≤ FE ≤ 0.92, where drel(VS) = dVS/dat, (dVS) is the volume-surface mean diameter of an assembly of particles of different sizes, and dat is the atomic diameter of a given metal. It is shown that for FE &gt; 0.2 the commonly used definition of dVS should be modified. The developed relations apply well to various thermodynamically probable crystallite shapes including fee cubooctahedra of varying geometry, icosahedra, surface-reconstructed cubooctahedra, bcc rhombic dodecahedra, and hep truncated bipyramids. The new relations are more precise than the commonly used equation dVS = α/FE, where α is a constant specific to a given metal.","author":[{"dropping-particle":"","family":"Borodziński","given":"Andrzej","non-dropping-particle":"","parse-names":false,"suffix":""},{"dropping-particle":"","family":"Bonarowska","given":"Magdalena","non-dropping-particle":"","parse-names":false,"suffix":""}],"container-title":"Langmuir","id":"ITEM-1","issue":"21","issued":{"date-parts":[["1997"]]},"page":"5613-5620","title":"Relation between crystallite size and dispersion on supported metal catalysts","type":"article-journal","volume":"13"},"uris":["http://www.mendeley.com/documents/?uuid=7557bdae-45b0-4d74-8cc9-c409ff3e96af"]}],"mendeley":{"formattedCitation":"[221]","plainTextFormattedCitation":"[221]","previouslyFormattedCitation":"[221]"},"properties":{"noteIndex":0},"schema":"https://github.com/citation-style-language/schema/raw/master/csl-citation.json"}</w:instrText>
      </w:r>
      <w:r>
        <w:rPr>
          <w:bCs/>
        </w:rPr>
        <w:fldChar w:fldCharType="separate"/>
      </w:r>
      <w:r w:rsidR="006C586A" w:rsidRPr="006C586A">
        <w:rPr>
          <w:bCs/>
          <w:noProof/>
        </w:rPr>
        <w:t>[221]</w:t>
      </w:r>
      <w:r>
        <w:rPr>
          <w:bCs/>
        </w:rPr>
        <w:fldChar w:fldCharType="end"/>
      </w:r>
      <w:r w:rsidRPr="002B6C9E">
        <w:rPr>
          <w:bCs/>
        </w:rPr>
        <w:t xml:space="preserve">. In this work the two key catalyst factors that were assessed for correlation were mean particle size and dispersion. </w:t>
      </w:r>
    </w:p>
    <w:p w14:paraId="5D1250B9" w14:textId="16293E85" w:rsidR="00007F6C" w:rsidRPr="002B6C9E" w:rsidRDefault="00007F6C" w:rsidP="004B726A">
      <w:pPr>
        <w:jc w:val="both"/>
      </w:pPr>
      <w:r>
        <w:rPr>
          <w:bCs/>
        </w:rPr>
        <w:t>In any system involving heterogeneous catalysis the fraction of exposed surface atoms FE, can be described as the ratio between the surface catalyst atoms (N</w:t>
      </w:r>
      <w:r>
        <w:rPr>
          <w:bCs/>
          <w:vertAlign w:val="subscript"/>
        </w:rPr>
        <w:t>S</w:t>
      </w:r>
      <w:r>
        <w:rPr>
          <w:bCs/>
        </w:rPr>
        <w:t>) and the total number of catalyst atoms (</w:t>
      </w:r>
      <w:r w:rsidRPr="000B12E6">
        <w:rPr>
          <w:bCs/>
        </w:rPr>
        <w:t>N</w:t>
      </w:r>
      <w:r>
        <w:rPr>
          <w:bCs/>
          <w:vertAlign w:val="subscript"/>
        </w:rPr>
        <w:t>T</w:t>
      </w:r>
      <w:r>
        <w:rPr>
          <w:bCs/>
        </w:rPr>
        <w:t>) per unit weight of catalyst (</w:t>
      </w:r>
      <w:r>
        <w:rPr>
          <w:bCs/>
        </w:rPr>
        <w:fldChar w:fldCharType="begin"/>
      </w:r>
      <w:r>
        <w:rPr>
          <w:bCs/>
        </w:rPr>
        <w:instrText xml:space="preserve"> REF _Ref49778557 \h </w:instrText>
      </w:r>
      <w:r>
        <w:rPr>
          <w:bCs/>
        </w:rPr>
      </w:r>
      <w:r>
        <w:rPr>
          <w:bCs/>
        </w:rPr>
        <w:fldChar w:fldCharType="separate"/>
      </w:r>
      <w:r>
        <w:t>Equation 2.</w:t>
      </w:r>
      <w:r>
        <w:rPr>
          <w:noProof/>
        </w:rPr>
        <w:t>6</w:t>
      </w:r>
      <w:r>
        <w:rPr>
          <w:bCs/>
        </w:rPr>
        <w:fldChar w:fldCharType="end"/>
      </w:r>
      <w:r>
        <w:rPr>
          <w:bCs/>
        </w:rPr>
        <w:t xml:space="preserve">). </w:t>
      </w:r>
      <w:r w:rsidRPr="002B6C9E">
        <w:t>Where N</w:t>
      </w:r>
      <w:r w:rsidRPr="002B6C9E">
        <w:rPr>
          <w:vertAlign w:val="subscript"/>
        </w:rPr>
        <w:t xml:space="preserve">S </w:t>
      </w:r>
      <w:r w:rsidRPr="002B6C9E">
        <w:t>and N</w:t>
      </w:r>
      <w:r w:rsidRPr="002B6C9E">
        <w:rPr>
          <w:vertAlign w:val="subscript"/>
        </w:rPr>
        <w:t>T</w:t>
      </w:r>
      <w:r w:rsidRPr="002B6C9E">
        <w:t xml:space="preserve"> equate to</w:t>
      </w:r>
      <w:r>
        <w:t xml:space="preserve"> the fractions described in </w:t>
      </w:r>
      <w:r>
        <w:fldChar w:fldCharType="begin"/>
      </w:r>
      <w:r>
        <w:instrText xml:space="preserve"> REF _Ref51150244 \h </w:instrText>
      </w:r>
      <w:r>
        <w:fldChar w:fldCharType="separate"/>
      </w:r>
      <w:r>
        <w:t>Equation 2.</w:t>
      </w:r>
      <w:r>
        <w:rPr>
          <w:noProof/>
        </w:rPr>
        <w:t>7</w:t>
      </w:r>
      <w:r>
        <w:fldChar w:fldCharType="end"/>
      </w:r>
      <w:r>
        <w:t xml:space="preserve"> and </w:t>
      </w:r>
      <w:r>
        <w:fldChar w:fldCharType="begin"/>
      </w:r>
      <w:r>
        <w:instrText xml:space="preserve"> REF _Ref51150245 \h </w:instrText>
      </w:r>
      <w:r>
        <w:fldChar w:fldCharType="separate"/>
      </w:r>
      <w:r>
        <w:t>Equation 2.</w:t>
      </w:r>
      <w:r>
        <w:rPr>
          <w:noProof/>
        </w:rPr>
        <w:t>8</w:t>
      </w:r>
      <w:r>
        <w:fldChar w:fldCharType="end"/>
      </w:r>
      <w:r>
        <w:t xml:space="preserve">  </w:t>
      </w:r>
      <w:r w:rsidRPr="0067797F">
        <w:fldChar w:fldCharType="begin" w:fldLock="1"/>
      </w:r>
      <w:r w:rsidR="00D80A5D">
        <w:instrText>ADDIN CSL_CITATION {"citationItems":[{"id":"ITEM-1","itemData":{"DOI":"10.1021/la962103u","ISSN":"07437463","abstract":"Universal mathematical relations between the mean relative size of metallic crystallites (drel(VS)) and their dispersion (FE) in supported metal catalysts have been developed. The relations are: drel(VS) = 5.01/FE for FE &lt; 0.2, and drel(VS) = 3.32/FE1.23 for 0.2 ≤ FE ≤ 0.92, where drel(VS) = dVS/dat, (dVS) is the volume-surface mean diameter of an assembly of particles of different sizes, and dat is the atomic diameter of a given metal. It is shown that for FE &gt; 0.2 the commonly used definition of dVS should be modified. The developed relations apply well to various thermodynamically probable crystallite shapes including fee cubooctahedra of varying geometry, icosahedra, surface-reconstructed cubooctahedra, bcc rhombic dodecahedra, and hep truncated bipyramids. The new relations are more precise than the commonly used equation dVS = α/FE, where α is a constant specific to a given metal.","author":[{"dropping-particle":"","family":"Borodziński","given":"Andrzej","non-dropping-particle":"","parse-names":false,"suffix":""},{"dropping-particle":"","family":"Bonarowska","given":"Magdalena","non-dropping-particle":"","parse-names":false,"suffix":""}],"container-title":"Langmuir","id":"ITEM-1","issue":"21","issued":{"date-parts":[["1997"]]},"page":"5613-5620","title":"Relation between crystallite size and dispersion on supported metal catalysts","type":"article-journal","volume":"13"},"uris":["http://www.mendeley.com/documents/?uuid=7557bdae-45b0-4d74-8cc9-c409ff3e96af"]}],"mendeley":{"formattedCitation":"[221]","plainTextFormattedCitation":"[221]","previouslyFormattedCitation":"[221]"},"properties":{"noteIndex":0},"schema":"https://github.com/citation-style-language/schema/raw/master/csl-citation.json"}</w:instrText>
      </w:r>
      <w:r w:rsidRPr="0067797F">
        <w:fldChar w:fldCharType="separate"/>
      </w:r>
      <w:r w:rsidR="006C586A" w:rsidRPr="006C586A">
        <w:rPr>
          <w:noProof/>
        </w:rPr>
        <w:t>[221]</w:t>
      </w:r>
      <w:r w:rsidRPr="0067797F">
        <w:fldChar w:fldCharType="end"/>
      </w:r>
      <w:r w:rsidRPr="0067797F">
        <w:t>:</w:t>
      </w:r>
    </w:p>
    <w:p w14:paraId="22AFC07F" w14:textId="77777777" w:rsidR="00007F6C" w:rsidRPr="002B6C9E" w:rsidRDefault="00007F6C" w:rsidP="004B726A">
      <w:pPr>
        <w:spacing w:after="0" w:line="240" w:lineRule="auto"/>
        <w:ind w:left="720"/>
        <w:contextualSpacing/>
        <w:jc w:val="both"/>
        <w:rPr>
          <w:rFonts w:ascii="Calibri" w:eastAsia="Calibri" w:hAnsi="Calibri" w:cs="Calibri"/>
          <w:sz w:val="24"/>
          <w:szCs w:val="24"/>
        </w:rPr>
      </w:pPr>
      <m:oMathPara>
        <m:oMath>
          <m:r>
            <m:rPr>
              <m:sty m:val="p"/>
            </m:rPr>
            <w:rPr>
              <w:rFonts w:ascii="Cambria Math" w:hAnsi="Cambria Math"/>
              <w:sz w:val="24"/>
              <w:szCs w:val="24"/>
            </w:rPr>
            <m:t>FE=</m:t>
          </m:r>
          <m:f>
            <m:fPr>
              <m:ctrlPr>
                <w:rPr>
                  <w:rFonts w:ascii="Cambria Math" w:hAnsi="Cambria Math"/>
                  <w:i/>
                  <w:sz w:val="24"/>
                  <w:szCs w:val="24"/>
                </w:rPr>
              </m:ctrlPr>
            </m:fPr>
            <m:num>
              <m:sSub>
                <m:sSubPr>
                  <m:ctrlPr>
                    <w:rPr>
                      <w:rFonts w:ascii="Cambria Math" w:hAnsi="Cambria Math"/>
                      <w:i/>
                      <w:sz w:val="24"/>
                      <w:szCs w:val="24"/>
                    </w:rPr>
                  </m:ctrlPr>
                </m:sSubPr>
                <m:e>
                  <m:r>
                    <m:rPr>
                      <m:sty m:val="p"/>
                    </m:rPr>
                    <w:rPr>
                      <w:rFonts w:ascii="Cambria Math" w:hAnsi="Cambria Math"/>
                      <w:sz w:val="24"/>
                      <w:szCs w:val="24"/>
                    </w:rPr>
                    <m:t>N</m:t>
                  </m:r>
                </m:e>
                <m:sub>
                  <m:r>
                    <m:rPr>
                      <m:sty m:val="p"/>
                    </m:rPr>
                    <w:rPr>
                      <w:rFonts w:ascii="Cambria Math" w:hAnsi="Cambria Math"/>
                      <w:sz w:val="24"/>
                      <w:szCs w:val="24"/>
                    </w:rPr>
                    <m:t>S</m:t>
                  </m:r>
                </m:sub>
              </m:sSub>
            </m:num>
            <m:den>
              <m:sSub>
                <m:sSubPr>
                  <m:ctrlPr>
                    <w:rPr>
                      <w:rFonts w:ascii="Cambria Math" w:hAnsi="Cambria Math"/>
                      <w:i/>
                      <w:sz w:val="24"/>
                      <w:szCs w:val="24"/>
                    </w:rPr>
                  </m:ctrlPr>
                </m:sSubPr>
                <m:e>
                  <m:r>
                    <m:rPr>
                      <m:sty m:val="p"/>
                    </m:rPr>
                    <w:rPr>
                      <w:rFonts w:ascii="Cambria Math" w:hAnsi="Cambria Math"/>
                      <w:sz w:val="24"/>
                      <w:szCs w:val="24"/>
                    </w:rPr>
                    <m:t>N</m:t>
                  </m:r>
                </m:e>
                <m:sub>
                  <m:r>
                    <m:rPr>
                      <m:sty m:val="p"/>
                    </m:rPr>
                    <w:rPr>
                      <w:rFonts w:ascii="Cambria Math" w:hAnsi="Cambria Math"/>
                      <w:sz w:val="24"/>
                      <w:szCs w:val="24"/>
                    </w:rPr>
                    <m:t>T</m:t>
                  </m:r>
                </m:sub>
              </m:sSub>
            </m:den>
          </m:f>
          <m:r>
            <m:rPr>
              <m:sty m:val="p"/>
            </m:rPr>
            <w:rPr>
              <w:rFonts w:ascii="Cambria Math" w:hAnsi="Cambria Math"/>
              <w:sz w:val="24"/>
              <w:szCs w:val="24"/>
            </w:rPr>
            <m:t>=</m:t>
          </m:r>
          <m:f>
            <m:fPr>
              <m:ctrlPr>
                <w:rPr>
                  <w:rFonts w:ascii="Cambria Math" w:eastAsia="Calibri" w:hAnsi="Cambria Math" w:cs="Calibri"/>
                  <w:i/>
                  <w:sz w:val="24"/>
                  <w:szCs w:val="24"/>
                </w:rPr>
              </m:ctrlPr>
            </m:fPr>
            <m:num>
              <m:r>
                <m:rPr>
                  <m:sty m:val="p"/>
                </m:rPr>
                <w:rPr>
                  <w:rFonts w:ascii="Cambria Math" w:eastAsia="Calibri" w:hAnsi="Cambria Math" w:cs="Calibri"/>
                  <w:sz w:val="24"/>
                  <w:szCs w:val="24"/>
                </w:rPr>
                <m:t>k</m:t>
              </m:r>
            </m:num>
            <m:den>
              <m:sSup>
                <m:sSupPr>
                  <m:ctrlPr>
                    <w:rPr>
                      <w:rFonts w:ascii="Cambria Math" w:eastAsia="Calibri" w:hAnsi="Cambria Math" w:cs="Calibri"/>
                      <w:i/>
                      <w:sz w:val="24"/>
                      <w:szCs w:val="24"/>
                    </w:rPr>
                  </m:ctrlPr>
                </m:sSupPr>
                <m:e>
                  <m:r>
                    <m:rPr>
                      <m:sty m:val="p"/>
                    </m:rPr>
                    <w:rPr>
                      <w:rFonts w:ascii="Cambria Math" w:eastAsia="Calibri" w:hAnsi="Cambria Math" w:cs="Calibri"/>
                      <w:sz w:val="24"/>
                      <w:szCs w:val="24"/>
                    </w:rPr>
                    <m:t>d</m:t>
                  </m:r>
                </m:e>
                <m:sup>
                  <m:r>
                    <m:rPr>
                      <m:sty m:val="p"/>
                    </m:rPr>
                    <w:rPr>
                      <w:rFonts w:ascii="Cambria Math" w:eastAsia="Calibri" w:hAnsi="Cambria Math" w:cs="Calibri"/>
                      <w:sz w:val="24"/>
                      <w:szCs w:val="24"/>
                    </w:rPr>
                    <m:t>(3-</m:t>
                  </m:r>
                  <m:sSub>
                    <m:sSubPr>
                      <m:ctrlPr>
                        <w:rPr>
                          <w:rFonts w:ascii="Cambria Math" w:eastAsia="Calibri" w:hAnsi="Cambria Math" w:cs="Calibri"/>
                          <w:i/>
                          <w:sz w:val="24"/>
                          <w:szCs w:val="24"/>
                        </w:rPr>
                      </m:ctrlPr>
                    </m:sSubPr>
                    <m:e>
                      <m:r>
                        <m:rPr>
                          <m:sty m:val="p"/>
                        </m:rPr>
                        <w:rPr>
                          <w:rFonts w:ascii="Cambria Math" w:eastAsia="Calibri" w:hAnsi="Cambria Math" w:cs="Calibri"/>
                          <w:sz w:val="24"/>
                          <w:szCs w:val="24"/>
                        </w:rPr>
                        <m:t>D</m:t>
                      </m:r>
                    </m:e>
                    <m:sub>
                      <m:r>
                        <m:rPr>
                          <m:sty m:val="p"/>
                        </m:rPr>
                        <w:rPr>
                          <w:rFonts w:ascii="Cambria Math" w:eastAsia="Calibri" w:hAnsi="Cambria Math" w:cs="Calibri"/>
                          <w:sz w:val="24"/>
                          <w:szCs w:val="24"/>
                        </w:rPr>
                        <m:t>c</m:t>
                      </m:r>
                    </m:sub>
                  </m:sSub>
                  <m:r>
                    <m:rPr>
                      <m:sty m:val="p"/>
                    </m:rPr>
                    <w:rPr>
                      <w:rFonts w:ascii="Cambria Math" w:eastAsia="Calibri" w:hAnsi="Cambria Math" w:cs="Calibri"/>
                      <w:sz w:val="24"/>
                      <w:szCs w:val="24"/>
                    </w:rPr>
                    <m:t>)</m:t>
                  </m:r>
                </m:sup>
              </m:sSup>
            </m:den>
          </m:f>
        </m:oMath>
      </m:oMathPara>
    </w:p>
    <w:p w14:paraId="4B788235" w14:textId="77777777" w:rsidR="00007F6C" w:rsidRPr="002B6C9E" w:rsidRDefault="00007F6C" w:rsidP="004B726A">
      <w:pPr>
        <w:keepNext/>
        <w:jc w:val="both"/>
        <w:rPr>
          <w:sz w:val="24"/>
          <w:szCs w:val="24"/>
        </w:rPr>
      </w:pPr>
    </w:p>
    <w:p w14:paraId="6927FC53" w14:textId="6FC5B285" w:rsidR="00007F6C" w:rsidRDefault="00007F6C" w:rsidP="004B726A">
      <w:pPr>
        <w:jc w:val="right"/>
      </w:pPr>
      <w:bookmarkStart w:id="98" w:name="_Ref49778557"/>
      <w:r>
        <w:t>Equation 2.</w:t>
      </w:r>
      <w:r w:rsidR="00B51F53">
        <w:fldChar w:fldCharType="begin"/>
      </w:r>
      <w:r w:rsidR="00B51F53">
        <w:instrText xml:space="preserve"> SEQ Equation \* ARABIC </w:instrText>
      </w:r>
      <w:r w:rsidR="00B51F53">
        <w:fldChar w:fldCharType="separate"/>
      </w:r>
      <w:r w:rsidR="00315BF8">
        <w:rPr>
          <w:noProof/>
        </w:rPr>
        <w:t>6</w:t>
      </w:r>
      <w:r w:rsidR="00B51F53">
        <w:rPr>
          <w:noProof/>
        </w:rPr>
        <w:fldChar w:fldCharType="end"/>
      </w:r>
      <w:bookmarkEnd w:id="98"/>
    </w:p>
    <w:p w14:paraId="3E07EA86" w14:textId="77777777" w:rsidR="00007F6C" w:rsidRPr="002B6C9E" w:rsidRDefault="00B51F53" w:rsidP="004B726A">
      <w:pPr>
        <w:keepNext/>
        <w:jc w:val="both"/>
        <w:rPr>
          <w:sz w:val="24"/>
          <w:szCs w:val="24"/>
        </w:rPr>
      </w:pPr>
      <m:oMathPara>
        <m:oMath>
          <m:sSub>
            <m:sSubPr>
              <m:ctrlPr>
                <w:rPr>
                  <w:rFonts w:ascii="Cambria Math" w:hAnsi="Cambria Math"/>
                  <w:i/>
                  <w:sz w:val="24"/>
                  <w:szCs w:val="24"/>
                </w:rPr>
              </m:ctrlPr>
            </m:sSubPr>
            <m:e>
              <m:r>
                <m:rPr>
                  <m:sty m:val="p"/>
                </m:rPr>
                <w:rPr>
                  <w:rFonts w:ascii="Cambria Math" w:hAnsi="Cambria Math"/>
                  <w:sz w:val="24"/>
                  <w:szCs w:val="24"/>
                </w:rPr>
                <m:t>N</m:t>
              </m:r>
            </m:e>
            <m:sub>
              <m:r>
                <m:rPr>
                  <m:sty m:val="p"/>
                </m:rPr>
                <w:rPr>
                  <w:rFonts w:ascii="Cambria Math" w:hAnsi="Cambria Math"/>
                  <w:sz w:val="24"/>
                  <w:szCs w:val="24"/>
                </w:rPr>
                <m:t>S</m:t>
              </m:r>
            </m:sub>
          </m:sSub>
          <m:r>
            <m:rPr>
              <m:sty m:val="p"/>
            </m:rPr>
            <w:rPr>
              <w:rFonts w:ascii="Cambria Math" w:hAnsi="Cambria Math"/>
              <w:sz w:val="24"/>
              <w:szCs w:val="24"/>
            </w:rPr>
            <m:t>=</m:t>
          </m:r>
          <m:f>
            <m:fPr>
              <m:ctrlPr>
                <w:rPr>
                  <w:rFonts w:ascii="Cambria Math" w:hAnsi="Cambria Math"/>
                  <w:i/>
                  <w:sz w:val="24"/>
                  <w:szCs w:val="24"/>
                </w:rPr>
              </m:ctrlPr>
            </m:fPr>
            <m:num>
              <m:r>
                <m:rPr>
                  <m:sty m:val="p"/>
                </m:rPr>
                <w:rPr>
                  <w:rFonts w:ascii="Cambria Math" w:hAnsi="Cambria Math"/>
                  <w:sz w:val="24"/>
                  <w:szCs w:val="24"/>
                </w:rPr>
                <m:t>No. of surface metal atoms</m:t>
              </m:r>
            </m:num>
            <m:den>
              <m:r>
                <m:rPr>
                  <m:sty m:val="p"/>
                </m:rPr>
                <w:rPr>
                  <w:rFonts w:ascii="Cambria Math" w:hAnsi="Cambria Math"/>
                  <w:sz w:val="24"/>
                  <w:szCs w:val="24"/>
                </w:rPr>
                <m:t>Unit wt. of catalyst</m:t>
              </m:r>
            </m:den>
          </m:f>
        </m:oMath>
      </m:oMathPara>
    </w:p>
    <w:p w14:paraId="50BCDF82" w14:textId="0E3E2BAB" w:rsidR="00007F6C" w:rsidRDefault="00007F6C" w:rsidP="004B726A">
      <w:pPr>
        <w:jc w:val="right"/>
      </w:pPr>
      <w:bookmarkStart w:id="99" w:name="_Ref51150244"/>
      <w:r>
        <w:t>Equation 2.</w:t>
      </w:r>
      <w:r w:rsidR="00B51F53">
        <w:fldChar w:fldCharType="begin"/>
      </w:r>
      <w:r w:rsidR="00B51F53">
        <w:instrText xml:space="preserve"> SEQ Equation \* ARABIC </w:instrText>
      </w:r>
      <w:r w:rsidR="00B51F53">
        <w:fldChar w:fldCharType="separate"/>
      </w:r>
      <w:r w:rsidR="00315BF8">
        <w:rPr>
          <w:noProof/>
        </w:rPr>
        <w:t>7</w:t>
      </w:r>
      <w:r w:rsidR="00B51F53">
        <w:rPr>
          <w:noProof/>
        </w:rPr>
        <w:fldChar w:fldCharType="end"/>
      </w:r>
      <w:bookmarkEnd w:id="99"/>
    </w:p>
    <w:p w14:paraId="78D76D58" w14:textId="77777777" w:rsidR="00007F6C" w:rsidRPr="002B6C9E" w:rsidRDefault="00B51F53" w:rsidP="004B726A">
      <w:pPr>
        <w:keepNext/>
        <w:jc w:val="both"/>
        <w:rPr>
          <w:sz w:val="24"/>
          <w:szCs w:val="24"/>
        </w:rPr>
      </w:pPr>
      <m:oMathPara>
        <m:oMath>
          <m:sSub>
            <m:sSubPr>
              <m:ctrlPr>
                <w:rPr>
                  <w:rFonts w:ascii="Cambria Math" w:hAnsi="Cambria Math"/>
                  <w:i/>
                  <w:sz w:val="24"/>
                  <w:szCs w:val="24"/>
                </w:rPr>
              </m:ctrlPr>
            </m:sSubPr>
            <m:e>
              <m:r>
                <m:rPr>
                  <m:sty m:val="p"/>
                </m:rPr>
                <w:rPr>
                  <w:rFonts w:ascii="Cambria Math" w:hAnsi="Cambria Math"/>
                  <w:sz w:val="24"/>
                  <w:szCs w:val="24"/>
                </w:rPr>
                <m:t>N</m:t>
              </m:r>
            </m:e>
            <m:sub>
              <m:r>
                <m:rPr>
                  <m:sty m:val="p"/>
                </m:rPr>
                <w:rPr>
                  <w:rFonts w:ascii="Cambria Math" w:hAnsi="Cambria Math"/>
                  <w:sz w:val="24"/>
                  <w:szCs w:val="24"/>
                </w:rPr>
                <m:t>T</m:t>
              </m:r>
            </m:sub>
          </m:sSub>
          <m:r>
            <m:rPr>
              <m:sty m:val="p"/>
            </m:rPr>
            <w:rPr>
              <w:rFonts w:ascii="Cambria Math" w:hAnsi="Cambria Math"/>
              <w:sz w:val="24"/>
              <w:szCs w:val="24"/>
            </w:rPr>
            <m:t>=</m:t>
          </m:r>
          <m:f>
            <m:fPr>
              <m:ctrlPr>
                <w:rPr>
                  <w:rFonts w:ascii="Cambria Math" w:hAnsi="Cambria Math"/>
                  <w:i/>
                  <w:sz w:val="24"/>
                  <w:szCs w:val="24"/>
                </w:rPr>
              </m:ctrlPr>
            </m:fPr>
            <m:num>
              <m:r>
                <m:rPr>
                  <m:sty m:val="p"/>
                </m:rPr>
                <w:rPr>
                  <w:rFonts w:ascii="Cambria Math" w:hAnsi="Cambria Math"/>
                  <w:sz w:val="24"/>
                  <w:szCs w:val="24"/>
                </w:rPr>
                <m:t>Total no. of metal atoms</m:t>
              </m:r>
            </m:num>
            <m:den>
              <m:r>
                <m:rPr>
                  <m:sty m:val="p"/>
                </m:rPr>
                <w:rPr>
                  <w:rFonts w:ascii="Cambria Math" w:hAnsi="Cambria Math"/>
                  <w:sz w:val="24"/>
                  <w:szCs w:val="24"/>
                </w:rPr>
                <m:t>Unit wt. of catalyst</m:t>
              </m:r>
            </m:den>
          </m:f>
        </m:oMath>
      </m:oMathPara>
    </w:p>
    <w:p w14:paraId="7B8AB11E" w14:textId="66659797" w:rsidR="00007F6C" w:rsidRDefault="00007F6C" w:rsidP="004B726A">
      <w:pPr>
        <w:jc w:val="right"/>
      </w:pPr>
      <w:bookmarkStart w:id="100" w:name="_Ref51150245"/>
      <w:r>
        <w:t>Equation 2.</w:t>
      </w:r>
      <w:r w:rsidR="00B51F53">
        <w:fldChar w:fldCharType="begin"/>
      </w:r>
      <w:r w:rsidR="00B51F53">
        <w:instrText xml:space="preserve"> SEQ Equation \* ARABIC </w:instrText>
      </w:r>
      <w:r w:rsidR="00B51F53">
        <w:fldChar w:fldCharType="separate"/>
      </w:r>
      <w:r w:rsidR="00315BF8">
        <w:rPr>
          <w:noProof/>
        </w:rPr>
        <w:t>8</w:t>
      </w:r>
      <w:r w:rsidR="00B51F53">
        <w:rPr>
          <w:noProof/>
        </w:rPr>
        <w:fldChar w:fldCharType="end"/>
      </w:r>
      <w:bookmarkEnd w:id="100"/>
    </w:p>
    <w:p w14:paraId="12B9B853" w14:textId="01E102B4" w:rsidR="00007F6C" w:rsidRDefault="00007F6C" w:rsidP="004B726A">
      <w:pPr>
        <w:jc w:val="both"/>
      </w:pPr>
      <w:r>
        <w:t xml:space="preserve">Transition metals such as nickel were shown to </w:t>
      </w:r>
      <w:r w:rsidRPr="002B6C9E">
        <w:t>favour icosahedral (111) and Cuboctahedra (100) morphologies. The authors discussed the finding that incomplete valence metal ions favoured the Cuboctahedra shape</w:t>
      </w:r>
      <w:r>
        <w:t xml:space="preserve"> </w:t>
      </w:r>
      <w:r>
        <w:fldChar w:fldCharType="begin" w:fldLock="1"/>
      </w:r>
      <w:r w:rsidR="00D80A5D">
        <w:instrText>ADDIN CSL_CITATION {"citationItems":[{"id":"ITEM-1","itemData":{"DOI":"10.1021/la962103u","ISSN":"07437463","abstract":"Universal mathematical relations between the mean relative size of metallic crystallites (drel(VS)) and their dispersion (FE) in supported metal catalysts have been developed. The relations are: drel(VS) = 5.01/FE for FE &lt; 0.2, and drel(VS) = 3.32/FE1.23 for 0.2 ≤ FE ≤ 0.92, where drel(VS) = dVS/dat, (dVS) is the volume-surface mean diameter of an assembly of particles of different sizes, and dat is the atomic diameter of a given metal. It is shown that for FE &gt; 0.2 the commonly used definition of dVS should be modified. The developed relations apply well to various thermodynamically probable crystallite shapes including fee cubooctahedra of varying geometry, icosahedra, surface-reconstructed cubooctahedra, bcc rhombic dodecahedra, and hep truncated bipyramids. The new relations are more precise than the commonly used equation dVS = α/FE, where α is a constant specific to a given metal.","author":[{"dropping-particle":"","family":"Borodziński","given":"Andrzej","non-dropping-particle":"","parse-names":false,"suffix":""},{"dropping-particle":"","family":"Bonarowska","given":"Magdalena","non-dropping-particle":"","parse-names":false,"suffix":""}],"container-title":"Langmuir","id":"ITEM-1","issue":"21","issued":{"date-parts":[["1997"]]},"page":"5613-5620","title":"Relation between crystallite size and dispersion on supported metal catalysts","type":"article-journal","volume":"13"},"uris":["http://www.mendeley.com/documents/?uuid=7557bdae-45b0-4d74-8cc9-c409ff3e96af"]}],"mendeley":{"formattedCitation":"[221]","plainTextFormattedCitation":"[221]","previouslyFormattedCitation":"[221]"},"properties":{"noteIndex":0},"schema":"https://github.com/citation-style-language/schema/raw/master/csl-citation.json"}</w:instrText>
      </w:r>
      <w:r>
        <w:fldChar w:fldCharType="separate"/>
      </w:r>
      <w:r w:rsidR="006C586A" w:rsidRPr="006C586A">
        <w:rPr>
          <w:noProof/>
        </w:rPr>
        <w:t>[221]</w:t>
      </w:r>
      <w:r>
        <w:fldChar w:fldCharType="end"/>
      </w:r>
      <w:r w:rsidRPr="002B6C9E">
        <w:t xml:space="preserve">. This finding </w:t>
      </w:r>
      <w:r>
        <w:t xml:space="preserve">is applicable </w:t>
      </w:r>
      <w:r w:rsidRPr="002B6C9E">
        <w:t>to SOFC</w:t>
      </w:r>
      <w:r>
        <w:t xml:space="preserve"> fuel electrode</w:t>
      </w:r>
      <w:r w:rsidRPr="002B6C9E">
        <w:t xml:space="preserve"> with the shape preference </w:t>
      </w:r>
      <w:r>
        <w:t xml:space="preserve">of the nickel phase </w:t>
      </w:r>
      <w:r w:rsidRPr="002B6C9E">
        <w:t>displayed being analogous to the behaviour of infiltrated transition metal ions in infiltrated SOFC electrodes (i.e. Ni-YSZ)</w:t>
      </w:r>
      <w:r>
        <w:t xml:space="preserve"> </w:t>
      </w:r>
      <w:r>
        <w:fldChar w:fldCharType="begin" w:fldLock="1"/>
      </w:r>
      <w:r w:rsidR="00D80A5D">
        <w:instrText>ADDIN CSL_CITATION {"citationItems":[{"id":"ITEM-1","itemData":{"DOI":"10.7521/j.issn.0454-5648.2013.02.01","ISBN":"04545648 (ISSN)","abstract":"Tri-layer composite NiO-8%Y2O3/ZrO2(YSZ) anode supported single cell for solid oxide fuel cell (SOFC) was fabricated via tape-casting, and high performance cathode La0.6Sr0.4Co0.2Fe0.8O3-δ(LSCF) was fabricated at a low temperature via infiltration in porous YSZ. The morphology-controlled and uniformly-distributed nano-electrode was obtained, and the reaction between the electrode and substrate was avoided as the cathode fabrication temperature was decreased. The single cells with different contents of LSCF were fabricated via the change of the infiltration time. The polarization resistance of the electrode decreased with increasing the infiltration content. The maximum output power density was 1090 mW/cm2at 800°C and the cathode infiltration content of 45% (mass fraction). In addition, the cell could operate stably for 90 h, showing the excellent stability.","author":[{"dropping-particle":"","family":"Yang","given":"Z.","non-dropping-particle":"","parse-names":false,"suffix":""},{"dropping-particle":"","family":"Zheng","given":"Z.","non-dropping-particle":"","parse-names":false,"suffix":""},{"dropping-particle":"","family":"Zhu","given":"T.","non-dropping-particle":"","parse-names":false,"suffix":""},{"dropping-particle":"","family":"Han","given":"M.","non-dropping-particle":"","parse-names":false,"suffix":""}],"container-title":"Kuei Suan Jen Hsueh Pao/Journal of the Chinese Ceramic Society","id":"ITEM-1","issue":"2","issued":{"date-parts":[["2013"]]},"language":"Chinese","note":"Export Date: 20 January 2017\nCODEN: KSYHA\nCorrespondence Address: Han, M.; Department of Chemical and Engineering, China University of Mining and Technology, Beijing 10083, China; email: hanminfang@sina.com\nReferences: Lin, D., Wang, Q., Peng, K., (2012) J Chin Ceram Soc, 40 (5), pp. 752-757; Shao, Z.P., Haile, S.M., A high performance cathode for the next generation of solid-oxide fuel cells (2004) Nature, 431, pp. 170-173; Han, M., Jiao, C., Xiong, J., (2012) J Chin Ceram Soc, 40 (10), pp. 1507-1514; Zhou, M., Zheng, Y., Ge, L., (2011) J Chin Ceram Soc, 39 (6), pp. 120-124; Tai, L.W., Nasrallah, M.M., Anderson, H.U., Structure and electrical properties of La1-xSrxCo1-yFe O3-δ, Part 2: The system La0.8Sr0.2 Co1-yFeyO3-δ (1995) Solid State Ionics, 75, pp. 273-283; Hardy, J.S., Templeton, J.W., Edwards, D.J., Lattice expansion of LSCF-6428 cathodes measured by in situ XRD during SOFC operation (2012) J Power Sources, 198, pp. 76-82; Yang, Z.B., Yang, C.H., Jin, C., Ba0.9Co0.7Fe0.2 Nb0.1O3-δ as cathode material for intermediate temperature solid oxide fuel cells (2011) Electrochem Commun, 13, pp. 882-885; Kim, W.H., Song, H.S., Moon, J., Intermediate temperature solid oxide fuel cell using (La, Sr)(Co, Fe)O3-δ based cathodes (2006) Solid State Ionics, 177, pp. 3211-3216; Kindermann, L., Das, D., Nickel, H., Chemical compatibility of the LaFeO3 base perovskites (La0.6Sr0.4)z Fe0.8M0.2O3-δ(z=1, 0.9; M=Cr, Mn, Co, Ni) with yttria stabilized zirconia (1996) Solid State Ionics, 89, pp. 215-220; Tu, H.Y., Takeda, Y., Imanishi, N., Ln0.4Sr0.6Co0.8 Fe0.2O3-δ(Ln=La, Pr, Nd, Sm, Gd) for the electrode in solid oxide fuel cell (1999) Solid State Ionics, 117, pp. 277-281; Steele, B.C.H., Hori, K.M., Uchino, S., Kinetic parameters influencing the performance of IT-SOFC composite electrodes (2000) Solid State Ionics, 135, pp. 445-450; Lou, X.Y., Wang, S., Liu, Z., Improving La0.6Sr0.4Co0.2 Fe0.8O3-δ cathode performance by infiltration of a Sm0.5Sr0.5CoO3-δ coating (2009) Solid State Ionics, 180, pp. 1285-1289; Adijanto, L., Kungas, R., Bidrawn, F., Stability and performance of infiltrated La0.8Sr0.2Cox Fe1-xO3 electrodes with and without Sm0.2Ce0.8O1.9 interlayers (2011) J Power Sources, 196, pp. 5797-5802; Yang, C.H., Jin, C., Chen, F.L., Performances of micro-tubular solid oxide cell with novel asymmetric porous hydrogen electrode (2010) Electrochim Acta, 56, pp. 80-84; Jung, S., Lu, C., He, H., Influence of composition and Cu impregnation method on the performance of Cu/CeO2/YSZ SOFC anodes (2006) J Power Resour, 154, pp. 42-50; Huang, Y., Vohs, J.M., Gorte, R.J., SOFC cathodes prepared by infiltration with various LSM precursors (2006) Electrochem Solid-State Lett, 9 (5), pp. 237-240","page":"130-133","title":"Preparation and performance of tri-layer composite anode supported fuel cell","type":"article-journal","volume":"41"},"uris":["http://www.mendeley.com/documents/?uuid=2d7aae7c-ee0e-49fa-848f-3413d4da6659"]},{"id":"ITEM-2","itemData":{"DOI":"DOI 10.1021/la962103u","ISBN":"0743-7463","abstract":"Universal mathematical relations between the mean relative size of metallic crystallites (d(rel(VS))) and their dispersion (FE) in supported metal catalysts have been developed. The relations are: d(rel)(VS) = 5.01/FE for FE &lt; 0.2, and d(rel(VS)) = 3.32/FE1.23 for 0.2 equal to or less than FE equal to or less than 0.92, where d(rel(VS)) = d(VS)/d(at), (d(VS)) is the volume-surface mean diameter of an assembly of particles of different sizes, and d(at) is the atomic diameter of a given metal. It is shown that for FE &gt; 0.2 the commonly used definition of d(VS) should be modified. The developed relations apply well to various thermodynamically probable crystallite shapes including fee cubooctahedra of varying geometry, icosahedra, surface-reconstructed cubooctahedra, bcc rhombic dodecahedra, and hcp truncated bipyramids. The new relations are more precise than the commonly used equation d(VS) = a/FE, where a is a constant specific to a given metal.","author":[{"dropping-particle":"","family":"Borodzinski","given":"A","non-dropping-particle":"","parse-names":false,"suffix":""},{"dropping-particle":"","family":"Bonarowska","given":"M","non-dropping-particle":"","parse-names":false,"suffix":""}],"container-title":"Langmuir","id":"ITEM-2","issue":"21","issued":{"date-parts":[["1997"]]},"language":"English","note":"Yb530\nTimes Cited:119\nCited References Count:62","page":"5613-5620","title":"Relation between crystallite size and dispersion on supported metal catalysts","type":"article-journal","volume":"13"},"uris":["http://www.mendeley.com/documents/?uuid=a522418a-8ec4-4415-8509-bdba4e61b8a2"]}],"mendeley":{"formattedCitation":"[222], [223]","plainTextFormattedCitation":"[222], [223]","previouslyFormattedCitation":"[222], [223]"},"properties":{"noteIndex":0},"schema":"https://github.com/citation-style-language/schema/raw/master/csl-citation.json"}</w:instrText>
      </w:r>
      <w:r>
        <w:fldChar w:fldCharType="separate"/>
      </w:r>
      <w:r w:rsidR="006C586A" w:rsidRPr="006C586A">
        <w:rPr>
          <w:noProof/>
        </w:rPr>
        <w:t>[222], [223]</w:t>
      </w:r>
      <w:r>
        <w:fldChar w:fldCharType="end"/>
      </w:r>
      <w:r w:rsidRPr="002B6C9E">
        <w:t>.</w:t>
      </w:r>
      <w:r>
        <w:t xml:space="preserve"> However, these findings were gather using these assumptions:</w:t>
      </w:r>
    </w:p>
    <w:p w14:paraId="79E0F555" w14:textId="77777777" w:rsidR="00007F6C" w:rsidRPr="002B6C9E" w:rsidRDefault="00007F6C" w:rsidP="004B726A">
      <w:pPr>
        <w:numPr>
          <w:ilvl w:val="0"/>
          <w:numId w:val="6"/>
        </w:numPr>
        <w:jc w:val="both"/>
        <w:rPr>
          <w:bCs/>
        </w:rPr>
      </w:pPr>
      <w:r w:rsidRPr="002B6C9E">
        <w:rPr>
          <w:bCs/>
        </w:rPr>
        <w:t xml:space="preserve">The crystallites were assumed to be perfect morphologies (Cuboctahedra and icosahedra) </w:t>
      </w:r>
    </w:p>
    <w:p w14:paraId="4630AC06" w14:textId="77777777" w:rsidR="00007F6C" w:rsidRDefault="00007F6C" w:rsidP="004B726A">
      <w:pPr>
        <w:numPr>
          <w:ilvl w:val="0"/>
          <w:numId w:val="6"/>
        </w:numPr>
        <w:jc w:val="both"/>
        <w:rPr>
          <w:bCs/>
        </w:rPr>
      </w:pPr>
      <w:r w:rsidRPr="002B6C9E">
        <w:rPr>
          <w:bCs/>
        </w:rPr>
        <w:t xml:space="preserve">The crystallites were classed to be perfectly uniformly distributed across the </w:t>
      </w:r>
      <w:proofErr w:type="gramStart"/>
      <w:r w:rsidRPr="002B6C9E">
        <w:rPr>
          <w:bCs/>
        </w:rPr>
        <w:t>scaffold</w:t>
      </w:r>
      <w:proofErr w:type="gramEnd"/>
    </w:p>
    <w:p w14:paraId="54443C9E" w14:textId="15113239" w:rsidR="00007F6C" w:rsidRPr="000E7920" w:rsidRDefault="00007F6C" w:rsidP="004B726A">
      <w:pPr>
        <w:jc w:val="both"/>
        <w:rPr>
          <w:bCs/>
        </w:rPr>
      </w:pPr>
      <w:r w:rsidRPr="000E7920">
        <w:rPr>
          <w:bCs/>
        </w:rPr>
        <w:t>The key issue with modelling stems from their reliance on assumptions which assume perfect behaviour. Further nanoparticle models utilising the  relative diameter (</w:t>
      </w:r>
      <w:proofErr w:type="spellStart"/>
      <w:r w:rsidRPr="000E7920">
        <w:rPr>
          <w:bCs/>
        </w:rPr>
        <w:t>d</w:t>
      </w:r>
      <w:r w:rsidRPr="000E7920">
        <w:rPr>
          <w:bCs/>
          <w:vertAlign w:val="subscript"/>
        </w:rPr>
        <w:t>rel</w:t>
      </w:r>
      <w:proofErr w:type="spellEnd"/>
      <w:r w:rsidRPr="000E7920">
        <w:rPr>
          <w:bCs/>
        </w:rPr>
        <w:t xml:space="preserve">) averaged the effect of imperfect crystallites on the fraction exposed including non-nominal metal loading, partial metal poisoning by defects gases and the metal support interaction changing the particle shape </w:t>
      </w:r>
      <w:r w:rsidRPr="000E7920">
        <w:rPr>
          <w:bCs/>
        </w:rPr>
        <w:fldChar w:fldCharType="begin" w:fldLock="1"/>
      </w:r>
      <w:r w:rsidR="00D80A5D">
        <w:rPr>
          <w:bCs/>
        </w:rPr>
        <w:instrText>ADDIN CSL_CITATION {"citationItems":[{"id":"ITEM-1","itemData":{"DOI":"10.1021/la962103u","ISSN":"07437463","abstract":"Universal mathematical relations between the mean relative size of metallic crystallites (drel(VS)) and their dispersion (FE) in supported metal catalysts have been developed. The relations are: drel(VS) = 5.01/FE for FE &lt; 0.2, and drel(VS) = 3.32/FE1.23 for 0.2 ≤ FE ≤ 0.92, where drel(VS) = dVS/dat, (dVS) is the volume-surface mean diameter of an assembly of particles of different sizes, and dat is the atomic diameter of a given metal. It is shown that for FE &gt; 0.2 the commonly used definition of dVS should be modified. The developed relations apply well to various thermodynamically probable crystallite shapes including fee cubooctahedra of varying geometry, icosahedra, surface-reconstructed cubooctahedra, bcc rhombic dodecahedra, and hep truncated bipyramids. The new relations are more precise than the commonly used equation dVS = α/FE, where α is a constant specific to a given metal.","author":[{"dropping-particle":"","family":"Borodziński","given":"Andrzej","non-dropping-particle":"","parse-names":false,"suffix":""},{"dropping-particle":"","family":"Bonarowska","given":"Magdalena","non-dropping-particle":"","parse-names":false,"suffix":""}],"container-title":"Langmuir","id":"ITEM-1","issue":"21","issued":{"date-parts":[["1997"]]},"page":"5613-5620","title":"Relation between crystallite size and dispersion on supported metal catalysts","type":"article-journal","volume":"13"},"uris":["http://www.mendeley.com/documents/?uuid=7557bdae-45b0-4d74-8cc9-c409ff3e96af"]}],"mendeley":{"formattedCitation":"[221]","plainTextFormattedCitation":"[221]","previouslyFormattedCitation":"[221]"},"properties":{"noteIndex":0},"schema":"https://github.com/citation-style-language/schema/raw/master/csl-citation.json"}</w:instrText>
      </w:r>
      <w:r w:rsidRPr="000E7920">
        <w:rPr>
          <w:bCs/>
        </w:rPr>
        <w:fldChar w:fldCharType="separate"/>
      </w:r>
      <w:r w:rsidR="006C586A" w:rsidRPr="006C586A">
        <w:rPr>
          <w:bCs/>
          <w:noProof/>
        </w:rPr>
        <w:t>[221]</w:t>
      </w:r>
      <w:r w:rsidRPr="000E7920">
        <w:rPr>
          <w:bCs/>
        </w:rPr>
        <w:fldChar w:fldCharType="end"/>
      </w:r>
      <w:r w:rsidRPr="000E7920">
        <w:rPr>
          <w:bCs/>
        </w:rPr>
        <w:t>.</w:t>
      </w:r>
    </w:p>
    <w:p w14:paraId="58D65C74" w14:textId="1B390F4F" w:rsidR="00007F6C" w:rsidRPr="000E7920" w:rsidRDefault="00007F6C" w:rsidP="004B726A">
      <w:pPr>
        <w:jc w:val="both"/>
      </w:pPr>
      <w:r w:rsidRPr="000E7920">
        <w:rPr>
          <w:bCs/>
        </w:rPr>
        <w:t xml:space="preserve">In the case of </w:t>
      </w:r>
      <w:proofErr w:type="spellStart"/>
      <w:r w:rsidRPr="000E7920">
        <w:rPr>
          <w:bCs/>
        </w:rPr>
        <w:t>Kennouche</w:t>
      </w:r>
      <w:proofErr w:type="spellEnd"/>
      <w:r w:rsidRPr="000E7920">
        <w:rPr>
          <w:bCs/>
        </w:rPr>
        <w:t xml:space="preserve"> et al the number of microstructures that the Ni/YSZ system could possibly produce was limited to one </w:t>
      </w:r>
      <w:r w:rsidRPr="000E7920">
        <w:rPr>
          <w:bCs/>
        </w:rPr>
        <w:fldChar w:fldCharType="begin" w:fldLock="1"/>
      </w:r>
      <w:r w:rsidR="00D80A5D">
        <w:rPr>
          <w:bCs/>
        </w:rPr>
        <w:instrText>ADDIN CSL_CITATION {"citationItems":[{"id":"ITEM-1","itemData":{"DOI":"10.1149/2.084311jes","ISSN":"00134651","abstract":"The microstructural evolution of Ni - Yttria-Stabilized Zirconia (YSZ) anode functional layers in anode-supported solid oxide fuel cells was studied after aging in humidified hydrogen at temperatures from 900-1100?C and times up to 500 h. The relatively large (~6000μm3) three-dimensional transmission X-ray microscopy images provided good statistics in measured microstructural data. Feature sizes in the YSZ and Ni phases changed little until the highest temperature and time, whereas the pore phase feature size increased for all temperatures and times. Ni-YSZ interfacial area increased at the expense of pore-YSZ interfaces after moderate annealing, with a general decrease in interfacial areas observed at longer times and higher temperatures. Three-phase boundary (TPB) density decreased rapidly initially, but then more slowly, with increasing annealing temperature and time. Electrochemical impedance spectroscopy measurements showed a corresponding increase in the anode response associated with electrochemical hydrogen oxidation at TPBs. A higher fraction of isolated pores and larger pore tortuosity was observed at intermediate annealing temperatures and times, with a corresponding increase in the gas diffusion impedance response. © 2013 The Electrochemical Society.","author":[{"dropping-particle":"","family":"Kennouche","given":"David","non-dropping-particle":"","parse-names":false,"suffix":""},{"dropping-particle":"","family":"Chen-Wiegart","given":"Yu Chen Karen","non-dropping-particle":"","parse-names":false,"suffix":""},{"dropping-particle":"","family":"Cronin","given":"J. Scott","non-dropping-particle":"","parse-names":false,"suffix":""},{"dropping-particle":"","family":"Wang","given":"Jun","non-dropping-particle":"","parse-names":false,"suffix":""},{"dropping-particle":"","family":"Barnett","given":"Scott A.","non-dropping-particle":"","parse-names":false,"suffix":""}],"container-title":"Journal of the Electrochemical Society","id":"ITEM-1","issue":"11","issued":{"date-parts":[["2013"]]},"page":"1293-1304","title":"Three-dimensional microstructural evolution of ni-yttria-stabilized zirconia solid oxide fuel cell anodes at elevated temperatures","type":"article-journal","volume":"160"},"uris":["http://www.mendeley.com/documents/?uuid=d9120fe3-cb0b-4700-9cbc-b51bd112c883"]}],"mendeley":{"formattedCitation":"[224]","plainTextFormattedCitation":"[224]","previouslyFormattedCitation":"[224]"},"properties":{"noteIndex":0},"schema":"https://github.com/citation-style-language/schema/raw/master/csl-citation.json"}</w:instrText>
      </w:r>
      <w:r w:rsidRPr="000E7920">
        <w:rPr>
          <w:bCs/>
        </w:rPr>
        <w:fldChar w:fldCharType="separate"/>
      </w:r>
      <w:r w:rsidR="006C586A" w:rsidRPr="006C586A">
        <w:rPr>
          <w:bCs/>
          <w:noProof/>
        </w:rPr>
        <w:t>[224]</w:t>
      </w:r>
      <w:r w:rsidRPr="000E7920">
        <w:rPr>
          <w:bCs/>
        </w:rPr>
        <w:fldChar w:fldCharType="end"/>
      </w:r>
      <w:r w:rsidRPr="000E7920">
        <w:rPr>
          <w:bCs/>
        </w:rPr>
        <w:t xml:space="preserve">. This is a key example of how models may not truly represent the overall physical system. Regardless of the flaws with the power law coarsening methodology the metal and ceramic particle size determined by X-ray tomography fitted well with the model. </w:t>
      </w:r>
    </w:p>
    <w:p w14:paraId="32A5ACED" w14:textId="6B7F44B5" w:rsidR="00007F6C" w:rsidRPr="000E7920" w:rsidRDefault="00007F6C" w:rsidP="004B726A">
      <w:pPr>
        <w:jc w:val="both"/>
        <w:rPr>
          <w:bCs/>
        </w:rPr>
      </w:pPr>
      <w:r w:rsidRPr="000E7920">
        <w:rPr>
          <w:bCs/>
        </w:rPr>
        <w:t xml:space="preserve">The characteristic nature of nickel sintering explained by Hansen et al is also described in terms of diffusion by </w:t>
      </w:r>
      <w:proofErr w:type="spellStart"/>
      <w:r w:rsidRPr="000E7920">
        <w:rPr>
          <w:bCs/>
        </w:rPr>
        <w:t>Klemenso</w:t>
      </w:r>
      <w:proofErr w:type="spellEnd"/>
      <w:r w:rsidRPr="000E7920">
        <w:rPr>
          <w:bCs/>
        </w:rPr>
        <w:t xml:space="preserve"> </w:t>
      </w:r>
      <w:r w:rsidRPr="000E7920">
        <w:rPr>
          <w:bCs/>
        </w:rPr>
        <w:fldChar w:fldCharType="begin" w:fldLock="1"/>
      </w:r>
      <w:r w:rsidR="00D80A5D">
        <w:rPr>
          <w:bCs/>
        </w:rPr>
        <w:instrText>ADDIN CSL_CITATION {"citationItems":[{"id":"ITEM-1","itemData":{"DOI":"10.1016/j.jpowsour.2010.05.047","ISSN":"03787753","abstract":"Sintering of Ni is a key stability issue for Ni-YSZ anodes, and especially infiltration based electrodes. The potential of MgO, Al2O 3, TiO2, CeO2 and Ce0.90Gd 0.10O1.95 (CGO10) as sintering inhibitors was investigated for infiltrated Ni based anode structures. The structures were prepared from tape cast porous YSZ layers that were impregnated with Ni to form an electronic percolating phase. The Ni-YSZ structure was subsequently impregnated with the inhibitor candidate, and the stability of the structure was evaluated from conductivity measurements. Lower conductivity degradation rates were observed for samples infiltrated with the inhibitor candidates, and the best inhibitor effect was seen with higher loadings of CGO10, and CeO2 showed similar potential. The degradation in conductivity was not visibly reflected in the microstructure as Ni coarsening in any of the cases. An adverse effect of MgO, TiO2 and Al2O3 was reduced conductivity, possibly due to reaction with Ni and the formation of higher resistive phases. The Ni-infiltrated anodes were shown to have better initial electrochemical performance at 650 °C than conventionally produced Ni-YSZ anodes, but still very poor stability, and further improvement of the inhibitor approach is necessary before applying the Ni-infiltrated anodes in SOFCs. © 2010 Elsevier B.V.","author":[{"dropping-particle":"","family":"Klemensø","given":"Trine","non-dropping-particle":"","parse-names":false,"suffix":""},{"dropping-particle":"","family":"Thydén","given":"Karl","non-dropping-particle":"","parse-names":false,"suffix":""},{"dropping-particle":"","family":"Chen","given":"Ming","non-dropping-particle":"","parse-names":false,"suffix":""},{"dropping-particle":"","family":"Wang","given":"Hsiang Jen","non-dropping-particle":"","parse-names":false,"suffix":""}],"container-title":"Journal of Power Sources","id":"ITEM-1","issue":"21","issued":{"date-parts":[["2010"]]},"page":"7295-7301","title":"Stability of Ni-yttria stabilized zirconia anodes based on Ni-impregnation","type":"article-journal","volume":"195"},"uris":["http://www.mendeley.com/documents/?uuid=dc80fc60-c38e-45b3-afcf-3e76a9be68c2"]},{"id":"ITEM-2","itemData":{"DOI":"10.1021/ar3002427","ISSN":"0001-4842","author":[{"dropping-particle":"","family":"Hansen","given":"Thomas W","non-dropping-particle":"","parse-names":false,"suffix":""},{"dropping-particle":"","family":"Delariva","given":"Adnrew T","non-dropping-particle":"","parse-names":false,"suffix":""},{"dropping-particle":"","family":"Challa","given":"Sivakumar R","non-dropping-particle":"","parse-names":false,"suffix":""},{"dropping-particle":"","family":"Datye","given":"Abhaya K","non-dropping-particle":"","parse-names":false,"suffix":""}],"container-title":"Accounts of Chemical Research","id":"ITEM-2","issue":"8","issued":{"date-parts":[["2014"]]},"page":"1720-1730","title":"Sintering of nanoparticles: Particle Migration or Ostwald Ripening?","type":"article-journal","volume":"46"},"uris":["http://www.mendeley.com/documents/?uuid=a480fe1d-fe7e-4d90-bf47-e3624773b9d6"]}],"mendeley":{"formattedCitation":"[219], [220]","plainTextFormattedCitation":"[219], [220]","previouslyFormattedCitation":"[219], [220]"},"properties":{"noteIndex":0},"schema":"https://github.com/citation-style-language/schema/raw/master/csl-citation.json"}</w:instrText>
      </w:r>
      <w:r w:rsidRPr="000E7920">
        <w:rPr>
          <w:bCs/>
        </w:rPr>
        <w:fldChar w:fldCharType="separate"/>
      </w:r>
      <w:r w:rsidR="006C586A" w:rsidRPr="006C586A">
        <w:rPr>
          <w:bCs/>
          <w:noProof/>
        </w:rPr>
        <w:t>[219], [220]</w:t>
      </w:r>
      <w:r w:rsidRPr="000E7920">
        <w:rPr>
          <w:bCs/>
        </w:rPr>
        <w:fldChar w:fldCharType="end"/>
      </w:r>
      <w:r w:rsidRPr="000E7920">
        <w:rPr>
          <w:bCs/>
        </w:rPr>
        <w:t>. At Stage 2 in Hansen et al the coarsening rate decreases in accordance with growth of the NPs to 10</w:t>
      </w:r>
      <w:r>
        <w:rPr>
          <w:bCs/>
        </w:rPr>
        <w:t xml:space="preserve"> </w:t>
      </w:r>
      <w:r w:rsidRPr="000E7920">
        <w:rPr>
          <w:bCs/>
        </w:rPr>
        <w:t xml:space="preserve">nm in diameter which can also be expressed as the loss of the majority nickel contacts in the arrangement. </w:t>
      </w:r>
    </w:p>
    <w:p w14:paraId="18E7D153" w14:textId="76EC1902" w:rsidR="00007F6C" w:rsidRDefault="00007F6C" w:rsidP="004B726A">
      <w:pPr>
        <w:jc w:val="both"/>
        <w:rPr>
          <w:bCs/>
        </w:rPr>
      </w:pPr>
      <w:r w:rsidRPr="002B6C9E">
        <w:rPr>
          <w:bCs/>
        </w:rPr>
        <w:lastRenderedPageBreak/>
        <w:t>The Ni sintering rate appears to increase at lower temperatures this could be due to the precipitation of impurity phases (containing sulphur or phosphorus) under these conditions which means that this mechanism could be highly sensitive to incident gas compositions</w:t>
      </w:r>
      <w:r>
        <w:rPr>
          <w:bCs/>
        </w:rPr>
        <w:t xml:space="preserve"> </w:t>
      </w:r>
      <w:r>
        <w:rPr>
          <w:bCs/>
        </w:rPr>
        <w:fldChar w:fldCharType="begin" w:fldLock="1"/>
      </w:r>
      <w:r w:rsidR="00D80A5D">
        <w:rPr>
          <w:bCs/>
        </w:rPr>
        <w:instrText>ADDIN CSL_CITATION {"citationItems":[{"id":"ITEM-1","itemData":{"DOI":"10.1016/j.jpowsour.2008.02.016","ISSN":"03787753","abstract":"The fundamental issues associated with solid oxide fuel cell (SOFC) durability have been reviewed with an emphasis on general features in SOFCs and respective anode and cathode related phenomena. As general features, physicochemical properties and cell performance degradation/failure are correlated and bridged by the electrode reaction mechanisms. Particular emphasis is placed on the elemental behaviour of gaseous impurities and the possible role of liquids formed from gaseous substances. The lifetime of a state-of-the-art Ni cermet anodes is limited by a variety of microstructural changes, which mainly result from material transport-, deactivation- and thermomechanical mechanisms. Anode degradation can mainly be influenced by processing, conceptual and operating parameters. Designing a redox stable anode is currently one of the biggest challenges for small scale SOFC systems. Degradation mechanisms of different cathode materials are reviewed with a focus on the intrinsic degradation of doped lanthanum manganites (e.g. LSM) and doped lanthanum ferro-cobaltites (LSCF). Manganese-based perovskites can be regarded to be sufficiently stable, while for the better performing LSCF cathodes some intrinsic degradation was detected. New materials that are supposed to combine a better stability and high performance are also shortly mentioned. © 2008 Elsevier B.V. All rights reserved.","author":[{"dropping-particle":"","family":"Yokokawa","given":"Harumi","non-dropping-particle":"","parse-names":false,"suffix":""},{"dropping-particle":"","family":"Tu","given":"Hengyong","non-dropping-particle":"","parse-names":false,"suffix":""},{"dropping-particle":"","family":"Iwanschitz","given":"Boris","non-dropping-particle":"","parse-names":false,"suffix":""},{"dropping-particle":"","family":"Mai","given":"Andreas","non-dropping-particle":"","parse-names":false,"suffix":""}],"container-title":"Journal of Power Sources","id":"ITEM-1","issue":"2","issued":{"date-parts":[["2008"]]},"page":"400-412","title":"Fundamental mechanisms limiting solid oxide fuel cell durability","type":"article-journal","volume":"182"},"uris":["http://www.mendeley.com/documents/?uuid=f8a3d95d-9a07-482a-a20a-7832272eae7d"]}],"mendeley":{"formattedCitation":"[103]","plainTextFormattedCitation":"[103]","previouslyFormattedCitation":"[103]"},"properties":{"noteIndex":0},"schema":"https://github.com/citation-style-language/schema/raw/master/csl-citation.json"}</w:instrText>
      </w:r>
      <w:r>
        <w:rPr>
          <w:bCs/>
        </w:rPr>
        <w:fldChar w:fldCharType="separate"/>
      </w:r>
      <w:r w:rsidR="006C586A" w:rsidRPr="006C586A">
        <w:rPr>
          <w:bCs/>
          <w:noProof/>
        </w:rPr>
        <w:t>[103]</w:t>
      </w:r>
      <w:r>
        <w:rPr>
          <w:bCs/>
        </w:rPr>
        <w:fldChar w:fldCharType="end"/>
      </w:r>
      <w:r w:rsidRPr="002B6C9E">
        <w:rPr>
          <w:bCs/>
        </w:rPr>
        <w:t xml:space="preserve">. This hypothesis </w:t>
      </w:r>
      <w:r w:rsidR="005A6D2A">
        <w:rPr>
          <w:bCs/>
        </w:rPr>
        <w:t>contrasts</w:t>
      </w:r>
      <w:r w:rsidRPr="002B6C9E">
        <w:rPr>
          <w:bCs/>
        </w:rPr>
        <w:t xml:space="preserve"> with </w:t>
      </w:r>
      <w:r w:rsidR="000221FE">
        <w:rPr>
          <w:bCs/>
        </w:rPr>
        <w:t>findings</w:t>
      </w:r>
      <w:r w:rsidRPr="002B6C9E">
        <w:rPr>
          <w:bCs/>
        </w:rPr>
        <w:t xml:space="preserve"> by </w:t>
      </w:r>
      <w:proofErr w:type="spellStart"/>
      <w:r w:rsidRPr="002B6C9E">
        <w:rPr>
          <w:bCs/>
          <w:i/>
          <w:iCs/>
        </w:rPr>
        <w:t>Kennouche</w:t>
      </w:r>
      <w:proofErr w:type="spellEnd"/>
      <w:r w:rsidRPr="002B6C9E">
        <w:rPr>
          <w:bCs/>
          <w:i/>
          <w:iCs/>
        </w:rPr>
        <w:t xml:space="preserve"> et al</w:t>
      </w:r>
      <w:r w:rsidRPr="002B6C9E">
        <w:rPr>
          <w:bCs/>
        </w:rPr>
        <w:t xml:space="preserve"> which </w:t>
      </w:r>
      <w:r w:rsidR="000221FE">
        <w:rPr>
          <w:bCs/>
        </w:rPr>
        <w:t xml:space="preserve">signalled </w:t>
      </w:r>
      <w:r w:rsidRPr="002B6C9E">
        <w:rPr>
          <w:bCs/>
        </w:rPr>
        <w:t xml:space="preserve">that </w:t>
      </w:r>
      <w:r w:rsidR="000221FE">
        <w:rPr>
          <w:bCs/>
        </w:rPr>
        <w:t>reducing the operating</w:t>
      </w:r>
      <w:r w:rsidRPr="002B6C9E">
        <w:rPr>
          <w:bCs/>
        </w:rPr>
        <w:t xml:space="preserve"> temperature </w:t>
      </w:r>
      <w:r w:rsidR="000221FE">
        <w:rPr>
          <w:bCs/>
        </w:rPr>
        <w:t>also reduces the rate of</w:t>
      </w:r>
      <w:r w:rsidRPr="002B6C9E">
        <w:rPr>
          <w:bCs/>
        </w:rPr>
        <w:t xml:space="preserve"> reconfiguration of the </w:t>
      </w:r>
      <w:r w:rsidR="000221FE">
        <w:rPr>
          <w:bCs/>
        </w:rPr>
        <w:t>catalyst nanoparticles</w:t>
      </w:r>
      <w:r w:rsidRPr="002B6C9E">
        <w:rPr>
          <w:bCs/>
        </w:rPr>
        <w:t xml:space="preserve"> after the </w:t>
      </w:r>
      <w:proofErr w:type="spellStart"/>
      <w:r w:rsidRPr="002B6C9E">
        <w:rPr>
          <w:bCs/>
        </w:rPr>
        <w:t>NiO</w:t>
      </w:r>
      <w:proofErr w:type="spellEnd"/>
      <w:r w:rsidRPr="002B6C9E">
        <w:rPr>
          <w:bCs/>
        </w:rPr>
        <w:t xml:space="preserve"> reduction reaction</w:t>
      </w:r>
      <w:r w:rsidR="000221FE">
        <w:rPr>
          <w:bCs/>
        </w:rPr>
        <w:t xml:space="preserve"> </w:t>
      </w:r>
      <w:r>
        <w:rPr>
          <w:bCs/>
        </w:rPr>
        <w:fldChar w:fldCharType="begin" w:fldLock="1"/>
      </w:r>
      <w:r w:rsidR="00D80A5D">
        <w:rPr>
          <w:bCs/>
        </w:rPr>
        <w:instrText>ADDIN CSL_CITATION {"citationItems":[{"id":"ITEM-1","itemData":{"DOI":"10.1149/2.084311jes","ISSN":"00134651","abstract":"The microstructural evolution of Ni - Yttria-Stabilized Zirconia (YSZ) anode functional layers in anode-supported solid oxide fuel cells was studied after aging in humidified hydrogen at temperatures from 900-1100?C and times up to 500 h. The relatively large (~6000μm3) three-dimensional transmission X-ray microscopy images provided good statistics in measured microstructural data. Feature sizes in the YSZ and Ni phases changed little until the highest temperature and time, whereas the pore phase feature size increased for all temperatures and times. Ni-YSZ interfacial area increased at the expense of pore-YSZ interfaces after moderate annealing, with a general decrease in interfacial areas observed at longer times and higher temperatures. Three-phase boundary (TPB) density decreased rapidly initially, but then more slowly, with increasing annealing temperature and time. Electrochemical impedance spectroscopy measurements showed a corresponding increase in the anode response associated with electrochemical hydrogen oxidation at TPBs. A higher fraction of isolated pores and larger pore tortuosity was observed at intermediate annealing temperatures and times, with a corresponding increase in the gas diffusion impedance response. © 2013 The Electrochemical Society.","author":[{"dropping-particle":"","family":"Kennouche","given":"David","non-dropping-particle":"","parse-names":false,"suffix":""},{"dropping-particle":"","family":"Chen-Wiegart","given":"Yu Chen Karen","non-dropping-particle":"","parse-names":false,"suffix":""},{"dropping-particle":"","family":"Cronin","given":"J. Scott","non-dropping-particle":"","parse-names":false,"suffix":""},{"dropping-particle":"","family":"Wang","given":"Jun","non-dropping-particle":"","parse-names":false,"suffix":""},{"dropping-particle":"","family":"Barnett","given":"Scott A.","non-dropping-particle":"","parse-names":false,"suffix":""}],"container-title":"Journal of the Electrochemical Society","id":"ITEM-1","issue":"11","issued":{"date-parts":[["2013"]]},"page":"1293-1304","title":"Three-dimensional microstructural evolution of ni-yttria-stabilized zirconia solid oxide fuel cell anodes at elevated temperatures","type":"article-journal","volume":"160"},"uris":["http://www.mendeley.com/documents/?uuid=d9120fe3-cb0b-4700-9cbc-b51bd112c883"]}],"mendeley":{"formattedCitation":"[224]","plainTextFormattedCitation":"[224]","previouslyFormattedCitation":"[224]"},"properties":{"noteIndex":0},"schema":"https://github.com/citation-style-language/schema/raw/master/csl-citation.json"}</w:instrText>
      </w:r>
      <w:r>
        <w:rPr>
          <w:bCs/>
        </w:rPr>
        <w:fldChar w:fldCharType="separate"/>
      </w:r>
      <w:r w:rsidR="006C586A" w:rsidRPr="006C586A">
        <w:rPr>
          <w:bCs/>
          <w:noProof/>
        </w:rPr>
        <w:t>[224]</w:t>
      </w:r>
      <w:r>
        <w:rPr>
          <w:bCs/>
        </w:rPr>
        <w:fldChar w:fldCharType="end"/>
      </w:r>
      <w:r w:rsidRPr="002B6C9E">
        <w:rPr>
          <w:bCs/>
        </w:rPr>
        <w:t xml:space="preserve">. This rearrangement could underline why the number of active sites decreases in a more detrimental manner at low temperatures due to the Ni coarsening rate increasing. </w:t>
      </w:r>
    </w:p>
    <w:p w14:paraId="1EEB0813" w14:textId="04DCD053" w:rsidR="0047444A" w:rsidRDefault="0047444A" w:rsidP="004B726A">
      <w:pPr>
        <w:jc w:val="both"/>
      </w:pPr>
      <w:r>
        <w:t xml:space="preserve">In the past twenty years </w:t>
      </w:r>
      <w:r w:rsidRPr="002B6C9E">
        <w:t>the use of</w:t>
      </w:r>
      <w:r>
        <w:t xml:space="preserve"> modelling coarsening</w:t>
      </w:r>
      <w:r w:rsidRPr="002B6C9E">
        <w:t xml:space="preserve"> </w:t>
      </w:r>
      <w:r>
        <w:t>for fuel electrodes</w:t>
      </w:r>
      <w:r w:rsidRPr="002B6C9E">
        <w:t xml:space="preserve"> has be</w:t>
      </w:r>
      <w:r>
        <w:t>come a key branch of the research field</w:t>
      </w:r>
      <w:r w:rsidR="00E62D57">
        <w:t xml:space="preserve"> </w:t>
      </w:r>
      <w:r w:rsidR="00E62D57">
        <w:fldChar w:fldCharType="begin" w:fldLock="1"/>
      </w:r>
      <w:r w:rsidR="00D80A5D">
        <w:instrText>ADDIN CSL_CITATION {"citationItems":[{"id":"ITEM-1","itemData":{"DOI":"10.1021/la962103u","ISSN":"07437463","abstract":"Universal mathematical relations between the mean relative size of metallic crystallites (drel(VS)) and their dispersion (FE) in supported metal catalysts have been developed. The relations are: drel(VS) = 5.01/FE for FE &lt; 0.2, and drel(VS) = 3.32/FE1.23 for 0.2 ≤ FE ≤ 0.92, where drel(VS) = dVS/dat, (dVS) is the volume-surface mean diameter of an assembly of particles of different sizes, and dat is the atomic diameter of a given metal. It is shown that for FE &gt; 0.2 the commonly used definition of dVS should be modified. The developed relations apply well to various thermodynamically probable crystallite shapes including fee cubooctahedra of varying geometry, icosahedra, surface-reconstructed cubooctahedra, bcc rhombic dodecahedra, and hep truncated bipyramids. The new relations are more precise than the commonly used equation dVS = α/FE, where α is a constant specific to a given metal.","author":[{"dropping-particle":"","family":"Borodziński","given":"Andrzej","non-dropping-particle":"","parse-names":false,"suffix":""},{"dropping-particle":"","family":"Bonarowska","given":"Magdalena","non-dropping-particle":"","parse-names":false,"suffix":""}],"container-title":"Langmuir","id":"ITEM-1","issue":"21","issued":{"date-parts":[["1997"]]},"page":"5613-5620","title":"Relation between crystallite size and dispersion on supported metal catalysts","type":"article-journal","volume":"13"},"uris":["http://www.mendeley.com/documents/?uuid=7557bdae-45b0-4d74-8cc9-c409ff3e96af"]}],"mendeley":{"formattedCitation":"[221]","plainTextFormattedCitation":"[221]","previouslyFormattedCitation":"[221]"},"properties":{"noteIndex":0},"schema":"https://github.com/citation-style-language/schema/raw/master/csl-citation.json"}</w:instrText>
      </w:r>
      <w:r w:rsidR="00E62D57">
        <w:fldChar w:fldCharType="separate"/>
      </w:r>
      <w:r w:rsidR="006C586A" w:rsidRPr="006C586A">
        <w:rPr>
          <w:noProof/>
        </w:rPr>
        <w:t>[221]</w:t>
      </w:r>
      <w:r w:rsidR="00E62D57">
        <w:fldChar w:fldCharType="end"/>
      </w:r>
      <w:r w:rsidR="00E62D57">
        <w:t>b</w:t>
      </w:r>
      <w:r>
        <w:t>.</w:t>
      </w:r>
      <w:r w:rsidRPr="002B6C9E">
        <w:t xml:space="preserve"> </w:t>
      </w:r>
      <w:r>
        <w:t xml:space="preserve">In the past </w:t>
      </w:r>
      <w:proofErr w:type="gramStart"/>
      <w:r>
        <w:t>decade</w:t>
      </w:r>
      <w:proofErr w:type="gramEnd"/>
      <w:r>
        <w:t xml:space="preserve"> the rise of this field has occurred concurrently with the production of a simplified systems known as a model anode. The main benefits for this classification of anode </w:t>
      </w:r>
      <w:proofErr w:type="gramStart"/>
      <w:r>
        <w:t>is</w:t>
      </w:r>
      <w:proofErr w:type="gramEnd"/>
      <w:r>
        <w:t xml:space="preserve"> that electrochemical impedance spectroscopy </w:t>
      </w:r>
      <w:r w:rsidRPr="002B6C9E">
        <w:t>and imaging measurements can directly access electrode/ electrolyte triple phase boundaries for better characterisation of these regions in the model anode</w:t>
      </w:r>
      <w:r>
        <w:t xml:space="preserve"> in addition to the reduced computation time.</w:t>
      </w:r>
      <w:r w:rsidR="00474666">
        <w:t xml:space="preserve"> In-operando studies which due to the highly aggressive atmosphere of the SOFC can be done via modelling. </w:t>
      </w:r>
      <w:r>
        <w:t xml:space="preserve"> This has helped to </w:t>
      </w:r>
      <w:r w:rsidRPr="002B6C9E">
        <w:t>construct and validate electrochemical models</w:t>
      </w:r>
      <w:r>
        <w:t xml:space="preserve"> with physical systems pioneered by </w:t>
      </w:r>
      <w:proofErr w:type="spellStart"/>
      <w:r w:rsidRPr="00DB5223">
        <w:t>Bessler</w:t>
      </w:r>
      <w:proofErr w:type="spellEnd"/>
      <w:r>
        <w:t xml:space="preserve"> et al </w:t>
      </w:r>
      <w:r>
        <w:fldChar w:fldCharType="begin" w:fldLock="1"/>
      </w:r>
      <w:r w:rsidR="00D80A5D">
        <w:instrText>ADDIN CSL_CITATION {"citationItems":[{"id":"ITEM-1","itemData":{"DOI":"10.1039/c0cp00541j","ISBN":"1463-9076","ISSN":"1463-9076","abstract":"This article presents a literature review and new results on experimental and theoretical investigations of the electrochemistry of solid oxide fuel cell (SOFC) model anodes, focusing on the nickel/yttria-stabilized zirconia (Ni/YSZ) materials system with operation under H2/H2O atmospheres. Micropatterned model anodes were used for electrochemical characterization under well-defined operating conditions. Structural and chemical integrity was confirmed by ex situ pre-test and post-test microstructural and chemical analysis. Elementary kinetic models of reaction and transport processes were used to assess reaction pathways and rate-determining steps. The comparison of experimental and simulated electrochemical behaviors of pattern anodes shows quantitative agreement over a wide range of operating conditions (pH2 = 8[times]102 - 9[times]104 Pa, pH2O = 2[times]101 - 6[times]104 Pa, T = 400-800 [degree]C). Previously published experimental data on model anodes show a strong scatter in electrochemical performance. Furthermore, model anodes exhibit a pronounced dynamics on multiple time scales which is not reproduced in state-of-the-art models and which is also not observed in technical cermet anodes. Potential origin of these effects as well as consequences for further steps in model anode and anode model studies are discussed.","author":[{"dropping-particle":"","family":"Ivers-Tiffée","given":"Ellen","non-dropping-particle":"","parse-names":false,"suffix":""},{"dropping-particle":"","family":"Utz","given":"Annika","non-dropping-particle":"","parse-names":false,"suffix":""},{"dropping-particle":"","family":"Weber","given":"André","non-dropping-particle":"","parse-names":false,"suffix":""},{"dropping-particle":"","family":"Vogler","given":"Marcel","non-dropping-particle":"","parse-names":false,"suffix":""},{"dropping-particle":"","family":"Störmer","given":"Heike","non-dropping-particle":"","parse-names":false,"suffix":""},{"dropping-particle":"","family":"Gerthsen","given":"Dagmar","non-dropping-particle":"","parse-names":false,"suffix":""},{"dropping-particle":"","family":"Bessler","given":"Wolfgang G.","non-dropping-particle":"","parse-names":false,"suffix":""}],"container-title":"Physical Chemistry Chemical Physics","id":"ITEM-1","issue":"42","issued":{"date-parts":[["2010"]]},"page":"13888","publisher":"The Royal Society of Chemistry","title":"Model anodes and anode models for understanding the mechanism of hydrogen oxidation in solid oxide fuel cells","type":"article-journal","volume":"12"},"uris":["http://www.mendeley.com/documents/?uuid=bf42e920-2913-4a01-86a6-9bd921115442"]},{"id":"ITEM-2","itemData":{"DOI":"10.1039/c0cp00541j","ISSN":"14639076","abstract":"This article presents a literature review and new results on experimental and theoretical investigations of the electrochemistry of solid oxide fuel cell (SOFC) model anodes, focusing on the nickel/yttria-stabilized zirconia (Ni/YSZ) materials system with operation under H2/H2O atmospheres. Micropatterned model anodes were used for electrochemical characterization under well-defined operating conditions. Structural and chemical integrity was confirmed by ex situ pre-test and post-test microstructural and chemical analysis. Elementary kinetic models of reaction and transport processes were used to assess reaction pathways and rate-determining steps. The comparison of experimental and simulated electrochemical behaviors of pattern anodes shows quantitative agreement over a wide range of operating conditions (pH2 = 8×102-9×104 Pa, pH2O = 2×101-6×104 Pa, T = 400-800 °C). Previously published experimental data on model anodes show a strong scatter in electrochemical performance. Furthermore, model anodes exhibit a pronounced dynamics on multiple time scales which is not reproduced in state-of-the-art models and which is also not observed in technical cermet anodes. Potential origin of these effects as well as consequences for further steps in model anode and anode model studies are discussed. © the Owner Societies 2010.","author":[{"dropping-particle":"","family":"Bessler","given":"Wolfgang G.","non-dropping-particle":"","parse-names":false,"suffix":""},{"dropping-particle":"","family":"Vogler","given":"Marcel","non-dropping-particle":"","parse-names":false,"suffix":""},{"dropping-particle":"","family":"Störmer","given":"Heike","non-dropping-particle":"","parse-names":false,"suffix":""},{"dropping-particle":"","family":"Gerthsen","given":"Dagmar","non-dropping-particle":"","parse-names":false,"suffix":""},{"dropping-particle":"","family":"Utz","given":"Annika","non-dropping-particle":"","parse-names":false,"suffix":""},{"dropping-particle":"","family":"Weber","given":"André","non-dropping-particle":"","parse-names":false,"suffix":""},{"dropping-particle":"","family":"Ivers-Tiffée","given":"Ellen","non-dropping-particle":"","parse-names":false,"suffix":""}],"container-title":"Physical Chemistry Chemical Physics","id":"ITEM-2","issue":"42","issued":{"date-parts":[["2010"]]},"page":"13888-13903","title":"Model anodes and anode models for understanding the mechanism of hydrogen oxidation in solid oxide fuel cells","type":"article-journal","volume":"12"},"uris":["http://www.mendeley.com/documents/?uuid=056d2e77-d009-464e-9f9f-abfd9ef2e304"]}],"mendeley":{"formattedCitation":"[213], [225]","plainTextFormattedCitation":"[213], [225]","previouslyFormattedCitation":"[213], [225]"},"properties":{"noteIndex":0},"schema":"https://github.com/citation-style-language/schema/raw/master/csl-citation.json"}</w:instrText>
      </w:r>
      <w:r>
        <w:fldChar w:fldCharType="separate"/>
      </w:r>
      <w:r w:rsidR="006C586A" w:rsidRPr="006C586A">
        <w:rPr>
          <w:noProof/>
        </w:rPr>
        <w:t>[213], [225]</w:t>
      </w:r>
      <w:r>
        <w:fldChar w:fldCharType="end"/>
      </w:r>
      <w:r>
        <w:t>.</w:t>
      </w:r>
    </w:p>
    <w:p w14:paraId="4DD131DB" w14:textId="77777777" w:rsidR="00BD4B79" w:rsidRPr="002B6C9E" w:rsidRDefault="00BD4B79" w:rsidP="004B726A">
      <w:pPr>
        <w:jc w:val="both"/>
      </w:pPr>
      <w:r>
        <w:t>Two</w:t>
      </w:r>
      <w:r w:rsidRPr="002B6C9E">
        <w:t xml:space="preserve"> forms of model anodes currently exist in the literature: </w:t>
      </w:r>
    </w:p>
    <w:p w14:paraId="6D7272C7" w14:textId="77777777" w:rsidR="00BD4B79" w:rsidRPr="002B6C9E" w:rsidRDefault="00BD4B79" w:rsidP="004B726A">
      <w:pPr>
        <w:pStyle w:val="ListParagraph"/>
        <w:numPr>
          <w:ilvl w:val="0"/>
          <w:numId w:val="39"/>
        </w:numPr>
        <w:spacing w:after="0"/>
        <w:jc w:val="both"/>
      </w:pPr>
      <w:r w:rsidRPr="00DB5223">
        <w:rPr>
          <w:i/>
          <w:iCs/>
        </w:rPr>
        <w:t xml:space="preserve">Patterned </w:t>
      </w:r>
      <w:r>
        <w:rPr>
          <w:i/>
          <w:iCs/>
        </w:rPr>
        <w:t>fuel electrodes</w:t>
      </w:r>
    </w:p>
    <w:p w14:paraId="474713E8" w14:textId="23BE9EAA" w:rsidR="00BD4B79" w:rsidRDefault="00BD4B79" w:rsidP="004B726A">
      <w:pPr>
        <w:jc w:val="both"/>
      </w:pPr>
      <w:r w:rsidRPr="002B6C9E">
        <w:t xml:space="preserve">These model anodes combine a layer of metal patterns onto the electrolyte substrate. </w:t>
      </w:r>
      <w:r>
        <w:t xml:space="preserve">The metal catalyst coating of these </w:t>
      </w:r>
      <w:proofErr w:type="gramStart"/>
      <w:r>
        <w:t>are</w:t>
      </w:r>
      <w:proofErr w:type="gramEnd"/>
      <w:r>
        <w:t xml:space="preserve"> etched to </w:t>
      </w:r>
      <w:r w:rsidRPr="002B6C9E">
        <w:t xml:space="preserve">form intricate patterns </w:t>
      </w:r>
      <w:r>
        <w:t>d</w:t>
      </w:r>
      <w:r w:rsidRPr="002B6C9E">
        <w:t>esired dimensions</w:t>
      </w:r>
      <w:r>
        <w:t xml:space="preserve"> (</w:t>
      </w:r>
      <w:r w:rsidRPr="002B6C9E">
        <w:t>5-50</w:t>
      </w:r>
      <w:r>
        <w:t xml:space="preserve"> </w:t>
      </w:r>
      <w:r w:rsidRPr="002B6C9E">
        <w:t>µm wide</w:t>
      </w:r>
      <w:r>
        <w:t>)</w:t>
      </w:r>
      <w:r w:rsidRPr="002B6C9E">
        <w:t xml:space="preserve">. </w:t>
      </w:r>
      <w:proofErr w:type="spellStart"/>
      <w:r w:rsidRPr="002B6C9E">
        <w:rPr>
          <w:i/>
          <w:iCs/>
        </w:rPr>
        <w:t>Bessler</w:t>
      </w:r>
      <w:proofErr w:type="spellEnd"/>
      <w:r w:rsidRPr="002B6C9E">
        <w:rPr>
          <w:i/>
          <w:iCs/>
        </w:rPr>
        <w:t xml:space="preserve"> et al</w:t>
      </w:r>
      <w:r w:rsidRPr="002B6C9E">
        <w:t xml:space="preserve"> </w:t>
      </w:r>
      <w:r>
        <w:t xml:space="preserve">calculated </w:t>
      </w:r>
      <w:r w:rsidRPr="002B6C9E">
        <w:t xml:space="preserve">the effective </w:t>
      </w:r>
      <w:proofErr w:type="spellStart"/>
      <w:r w:rsidRPr="002B6C9E">
        <w:t>TPB</w:t>
      </w:r>
      <w:r w:rsidRPr="002B6C9E">
        <w:rPr>
          <w:vertAlign w:val="subscript"/>
        </w:rPr>
        <w:t>l</w:t>
      </w:r>
      <w:proofErr w:type="spellEnd"/>
      <w:r w:rsidRPr="002B6C9E">
        <w:t xml:space="preserve"> as in a typical 1</w:t>
      </w:r>
      <w:r>
        <w:t xml:space="preserve"> </w:t>
      </w:r>
      <w:r w:rsidRPr="002B6C9E">
        <w:t>cm</w:t>
      </w:r>
      <w:r w:rsidRPr="002B6C9E">
        <w:rPr>
          <w:vertAlign w:val="superscript"/>
        </w:rPr>
        <w:t>2</w:t>
      </w:r>
      <w:r w:rsidRPr="002B6C9E">
        <w:t xml:space="preserve"> pattern anode to be between 1-10</w:t>
      </w:r>
      <w:r>
        <w:t xml:space="preserve"> </w:t>
      </w:r>
      <w:r w:rsidRPr="002B6C9E">
        <w:t>m</w:t>
      </w:r>
      <w:r>
        <w:t xml:space="preserve"> </w:t>
      </w:r>
      <w:r>
        <w:fldChar w:fldCharType="begin" w:fldLock="1"/>
      </w:r>
      <w:r w:rsidR="00D80A5D">
        <w:instrText>ADDIN CSL_CITATION {"citationItems":[{"id":"ITEM-1","itemData":{"DOI":"10.1039/c0cp00541j","ISBN":"1463-9076","ISSN":"1463-9076","abstract":"This article presents a literature review and new results on experimental and theoretical investigations of the electrochemistry of solid oxide fuel cell (SOFC) model anodes, focusing on the nickel/yttria-stabilized zirconia (Ni/YSZ) materials system with operation under H2/H2O atmospheres. Micropatterned model anodes were used for electrochemical characterization under well-defined operating conditions. Structural and chemical integrity was confirmed by ex situ pre-test and post-test microstructural and chemical analysis. Elementary kinetic models of reaction and transport processes were used to assess reaction pathways and rate-determining steps. The comparison of experimental and simulated electrochemical behaviors of pattern anodes shows quantitative agreement over a wide range of operating conditions (pH2 = 8[times]102 - 9[times]104 Pa, pH2O = 2[times]101 - 6[times]104 Pa, T = 400-800 [degree]C). Previously published experimental data on model anodes show a strong scatter in electrochemical performance. Furthermore, model anodes exhibit a pronounced dynamics on multiple time scales which is not reproduced in state-of-the-art models and which is also not observed in technical cermet anodes. Potential origin of these effects as well as consequences for further steps in model anode and anode model studies are discussed.","author":[{"dropping-particle":"","family":"Ivers-Tiffée","given":"Ellen","non-dropping-particle":"","parse-names":false,"suffix":""},{"dropping-particle":"","family":"Utz","given":"Annika","non-dropping-particle":"","parse-names":false,"suffix":""},{"dropping-particle":"","family":"Weber","given":"André","non-dropping-particle":"","parse-names":false,"suffix":""},{"dropping-particle":"","family":"Vogler","given":"Marcel","non-dropping-particle":"","parse-names":false,"suffix":""},{"dropping-particle":"","family":"Störmer","given":"Heike","non-dropping-particle":"","parse-names":false,"suffix":""},{"dropping-particle":"","family":"Gerthsen","given":"Dagmar","non-dropping-particle":"","parse-names":false,"suffix":""},{"dropping-particle":"","family":"Bessler","given":"Wolfgang G.","non-dropping-particle":"","parse-names":false,"suffix":""}],"container-title":"Physical Chemistry Chemical Physics","id":"ITEM-1","issue":"42","issued":{"date-parts":[["2010"]]},"page":"13888","publisher":"The Royal Society of Chemistry","title":"Model anodes and anode models for understanding the mechanism of hydrogen oxidation in solid oxide fuel cells","type":"article-journal","volume":"12"},"uris":["http://www.mendeley.com/documents/?uuid=bf42e920-2913-4a01-86a6-9bd921115442"]},{"id":"ITEM-2","itemData":{"DOI":"10.1039/c0cp00541j","ISSN":"14639076","abstract":"This article presents a literature review and new results on experimental and theoretical investigations of the electrochemistry of solid oxide fuel cell (SOFC) model anodes, focusing on the nickel/yttria-stabilized zirconia (Ni/YSZ) materials system with operation under H2/H2O atmospheres. Micropatterned model anodes were used for electrochemical characterization under well-defined operating conditions. Structural and chemical integrity was confirmed by ex situ pre-test and post-test microstructural and chemical analysis. Elementary kinetic models of reaction and transport processes were used to assess reaction pathways and rate-determining steps. The comparison of experimental and simulated electrochemical behaviors of pattern anodes shows quantitative agreement over a wide range of operating conditions (pH2 = 8×102-9×104 Pa, pH2O = 2×101-6×104 Pa, T = 400-800 °C). Previously published experimental data on model anodes show a strong scatter in electrochemical performance. Furthermore, model anodes exhibit a pronounced dynamics on multiple time scales which is not reproduced in state-of-the-art models and which is also not observed in technical cermet anodes. Potential origin of these effects as well as consequences for further steps in model anode and anode model studies are discussed. © the Owner Societies 2010.","author":[{"dropping-particle":"","family":"Bessler","given":"Wolfgang G.","non-dropping-particle":"","parse-names":false,"suffix":""},{"dropping-particle":"","family":"Vogler","given":"Marcel","non-dropping-particle":"","parse-names":false,"suffix":""},{"dropping-particle":"","family":"Störmer","given":"Heike","non-dropping-particle":"","parse-names":false,"suffix":""},{"dropping-particle":"","family":"Gerthsen","given":"Dagmar","non-dropping-particle":"","parse-names":false,"suffix":""},{"dropping-particle":"","family":"Utz","given":"Annika","non-dropping-particle":"","parse-names":false,"suffix":""},{"dropping-particle":"","family":"Weber","given":"André","non-dropping-particle":"","parse-names":false,"suffix":""},{"dropping-particle":"","family":"Ivers-Tiffée","given":"Ellen","non-dropping-particle":"","parse-names":false,"suffix":""}],"container-title":"Physical Chemistry Chemical Physics","id":"ITEM-2","issue":"42","issued":{"date-parts":[["2010"]]},"page":"13888-13903","title":"Model anodes and anode models for understanding the mechanism of hydrogen oxidation in solid oxide fuel cells","type":"article-journal","volume":"12"},"uris":["http://www.mendeley.com/documents/?uuid=056d2e77-d009-464e-9f9f-abfd9ef2e304"]}],"mendeley":{"formattedCitation":"[213], [225]","plainTextFormattedCitation":"[213], [225]","previouslyFormattedCitation":"[213], [225]"},"properties":{"noteIndex":0},"schema":"https://github.com/citation-style-language/schema/raw/master/csl-citation.json"}</w:instrText>
      </w:r>
      <w:r>
        <w:fldChar w:fldCharType="separate"/>
      </w:r>
      <w:r w:rsidR="006C586A" w:rsidRPr="006C586A">
        <w:rPr>
          <w:noProof/>
        </w:rPr>
        <w:t>[213], [225]</w:t>
      </w:r>
      <w:r>
        <w:fldChar w:fldCharType="end"/>
      </w:r>
      <w:r>
        <w:t>.</w:t>
      </w:r>
    </w:p>
    <w:p w14:paraId="4FE82C1F" w14:textId="373685FC" w:rsidR="00BD4B79" w:rsidRPr="00BD4B79" w:rsidRDefault="00BD4B79" w:rsidP="004B726A">
      <w:pPr>
        <w:pStyle w:val="ListParagraph"/>
        <w:numPr>
          <w:ilvl w:val="0"/>
          <w:numId w:val="39"/>
        </w:numPr>
        <w:spacing w:after="0"/>
        <w:jc w:val="both"/>
        <w:rPr>
          <w:i/>
          <w:iCs/>
        </w:rPr>
      </w:pPr>
      <w:r w:rsidRPr="00BD4B79">
        <w:rPr>
          <w:i/>
          <w:iCs/>
        </w:rPr>
        <w:t>Point/grid fuel electrodes</w:t>
      </w:r>
    </w:p>
    <w:p w14:paraId="72ED20D7" w14:textId="4A40A78B" w:rsidR="00BD4B79" w:rsidRDefault="00BD4B79" w:rsidP="004B726A">
      <w:pPr>
        <w:jc w:val="both"/>
      </w:pPr>
      <w:r w:rsidRPr="002B6C9E">
        <w:t>Instead of utilising metal deposition techniques to form the anode/electrolyte interfaces; either a weave or wire of metal is pressed against the solid framework</w:t>
      </w:r>
      <w:r>
        <w:t xml:space="preserve"> </w:t>
      </w:r>
      <w:r>
        <w:fldChar w:fldCharType="begin" w:fldLock="1"/>
      </w:r>
      <w:r w:rsidR="00D80A5D">
        <w:instrText>ADDIN CSL_CITATION {"citationItems":[{"id":"ITEM-1","itemData":{"DOI":"10.1039/c0cp00541j","ISBN":"1463-9076","ISSN":"1463-9076","abstract":"This article presents a literature review and new results on experimental and theoretical investigations of the electrochemistry of solid oxide fuel cell (SOFC) model anodes, focusing on the nickel/yttria-stabilized zirconia (Ni/YSZ) materials system with operation under H2/H2O atmospheres. Micropatterned model anodes were used for electrochemical characterization under well-defined operating conditions. Structural and chemical integrity was confirmed by ex situ pre-test and post-test microstructural and chemical analysis. Elementary kinetic models of reaction and transport processes were used to assess reaction pathways and rate-determining steps. The comparison of experimental and simulated electrochemical behaviors of pattern anodes shows quantitative agreement over a wide range of operating conditions (pH2 = 8[times]102 - 9[times]104 Pa, pH2O = 2[times]101 - 6[times]104 Pa, T = 400-800 [degree]C). Previously published experimental data on model anodes show a strong scatter in electrochemical performance. Furthermore, model anodes exhibit a pronounced dynamics on multiple time scales which is not reproduced in state-of-the-art models and which is also not observed in technical cermet anodes. Potential origin of these effects as well as consequences for further steps in model anode and anode model studies are discussed.","author":[{"dropping-particle":"","family":"Ivers-Tiffée","given":"Ellen","non-dropping-particle":"","parse-names":false,"suffix":""},{"dropping-particle":"","family":"Utz","given":"Annika","non-dropping-particle":"","parse-names":false,"suffix":""},{"dropping-particle":"","family":"Weber","given":"André","non-dropping-particle":"","parse-names":false,"suffix":""},{"dropping-particle":"","family":"Vogler","given":"Marcel","non-dropping-particle":"","parse-names":false,"suffix":""},{"dropping-particle":"","family":"Störmer","given":"Heike","non-dropping-particle":"","parse-names":false,"suffix":""},{"dropping-particle":"","family":"Gerthsen","given":"Dagmar","non-dropping-particle":"","parse-names":false,"suffix":""},{"dropping-particle":"","family":"Bessler","given":"Wolfgang G.","non-dropping-particle":"","parse-names":false,"suffix":""}],"container-title":"Physical Chemistry Chemical Physics","id":"ITEM-1","issue":"42","issued":{"date-parts":[["2010"]]},"page":"13888","publisher":"The Royal Society of Chemistry","title":"Model anodes and anode models for understanding the mechanism of hydrogen oxidation in solid oxide fuel cells","type":"article-journal","volume":"12"},"uris":["http://www.mendeley.com/documents/?uuid=bf42e920-2913-4a01-86a6-9bd921115442"]},{"id":"ITEM-2","itemData":{"DOI":"10.1039/c0cp00541j","ISSN":"14639076","abstract":"This article presents a literature review and new results on experimental and theoretical investigations of the electrochemistry of solid oxide fuel cell (SOFC) model anodes, focusing on the nickel/yttria-stabilized zirconia (Ni/YSZ) materials system with operation under H2/H2O atmospheres. Micropatterned model anodes were used for electrochemical characterization under well-defined operating conditions. Structural and chemical integrity was confirmed by ex situ pre-test and post-test microstructural and chemical analysis. Elementary kinetic models of reaction and transport processes were used to assess reaction pathways and rate-determining steps. The comparison of experimental and simulated electrochemical behaviors of pattern anodes shows quantitative agreement over a wide range of operating conditions (pH2 = 8×102-9×104 Pa, pH2O = 2×101-6×104 Pa, T = 400-800 °C). Previously published experimental data on model anodes show a strong scatter in electrochemical performance. Furthermore, model anodes exhibit a pronounced dynamics on multiple time scales which is not reproduced in state-of-the-art models and which is also not observed in technical cermet anodes. Potential origin of these effects as well as consequences for further steps in model anode and anode model studies are discussed. © the Owner Societies 2010.","author":[{"dropping-particle":"","family":"Bessler","given":"Wolfgang G.","non-dropping-particle":"","parse-names":false,"suffix":""},{"dropping-particle":"","family":"Vogler","given":"Marcel","non-dropping-particle":"","parse-names":false,"suffix":""},{"dropping-particle":"","family":"Störmer","given":"Heike","non-dropping-particle":"","parse-names":false,"suffix":""},{"dropping-particle":"","family":"Gerthsen","given":"Dagmar","non-dropping-particle":"","parse-names":false,"suffix":""},{"dropping-particle":"","family":"Utz","given":"Annika","non-dropping-particle":"","parse-names":false,"suffix":""},{"dropping-particle":"","family":"Weber","given":"André","non-dropping-particle":"","parse-names":false,"suffix":""},{"dropping-particle":"","family":"Ivers-Tiffée","given":"Ellen","non-dropping-particle":"","parse-names":false,"suffix":""}],"container-title":"Physical Chemistry Chemical Physics","id":"ITEM-2","issue":"42","issued":{"date-parts":[["2010"]]},"page":"13888-13903","title":"Model anodes and anode models for understanding the mechanism of hydrogen oxidation in solid oxide fuel cells","type":"article-journal","volume":"12"},"uris":["http://www.mendeley.com/documents/?uuid=056d2e77-d009-464e-9f9f-abfd9ef2e304"]},{"id":"ITEM-3","itemData":{"DOI":"10.1016/j.jpowsour.2012.09.077","ISSN":"03787753","abstract":"Improving the accuracy of the sub-grid-scale (SGS) model designed for three-dimensional (3D) numerical simulation of solid oxide fuel cell (SOFC) electrodes is accomplished by introducing an adaptive power index, which is determined by the length ratio between the grid size and the characteristic scale of the original porous structure. The main function of the SGS model is to maintain the quality of the voxel-based structural information in a resampled structure used as the calculation grid system by considering a structure with a characteristic scale that is smaller than the grid size. Improvement of the simulation accuracy and reduction of the computational load can be expected with the SGS models. In this study, four types of SGS models are investigated to clarify their effect and applicability. They are featured by (1) volume conservation, (2) interfacial connectivity, (3) power law with a constant power index, and (4) power law with an adaptive power index, respectively. The latter two models are based on a power-law expression of the local tortuosity factor and are newly proposed in this study. Although the first three models have a positive contribution to maintain the structural information in the resampled structure, their applicability is not completely assured in a wide range of grid sizes. In the last model, we introduce a length ratio between the grid size and the characteristic scale of the original porous structure in order to let the model exert its effect preferably in accordance with the grid size. The model successfully represents the original structural information in a wide range of grid sizes and improves the simulation accuracy within the given computational resources. © 2012 Elsevier B.V. All rights reserved.","author":[{"dropping-particle":"","family":"Kishimoto","given":"Masashi","non-dropping-particle":"","parse-names":false,"suffix":""},{"dropping-particle":"","family":"Iwai","given":"Hiroshi","non-dropping-particle":"","parse-names":false,"suffix":""},{"dropping-particle":"","family":"Miyawaki","given":"Kosuke","non-dropping-particle":"","parse-names":false,"suffix":""},{"dropping-particle":"","family":"Saito","given":"Motohiro","non-dropping-particle":"","parse-names":false,"suffix":""},{"dropping-particle":"","family":"Yoshida","given":"Hideo","non-dropping-particle":"","parse-names":false,"suffix":""}],"container-title":"Journal of Power Sources","id":"ITEM-3","issued":{"date-parts":[["2013"]]},"title":"Improvement of the sub-grid-scale model designed for 3D numerical simulation of solid oxide fuel cell electrodes using an adaptive power index","type":"article-journal"},"uris":["http://www.mendeley.com/documents/?uuid=4e3f73e9-9dd0-3707-a550-53c3748b1fe7"]}],"mendeley":{"formattedCitation":"[213], [225], [226]","plainTextFormattedCitation":"[213], [225], [226]","previouslyFormattedCitation":"[213], [225], [226]"},"properties":{"noteIndex":0},"schema":"https://github.com/citation-style-language/schema/raw/master/csl-citation.json"}</w:instrText>
      </w:r>
      <w:r>
        <w:fldChar w:fldCharType="separate"/>
      </w:r>
      <w:r w:rsidR="006C586A" w:rsidRPr="006C586A">
        <w:rPr>
          <w:noProof/>
        </w:rPr>
        <w:t>[213], [225], [226]</w:t>
      </w:r>
      <w:r>
        <w:fldChar w:fldCharType="end"/>
      </w:r>
      <w:r>
        <w:t>.</w:t>
      </w:r>
      <w:r w:rsidRPr="002B6C9E">
        <w:t xml:space="preserve"> The area of contact in these cases is understandably curved in shape which is results in smaller triple phase boundary lengths than patterned anodes (approximately 1 mm instead of 1-10</w:t>
      </w:r>
      <w:r>
        <w:t xml:space="preserve"> </w:t>
      </w:r>
      <w:r w:rsidRPr="002B6C9E">
        <w:t>m)</w:t>
      </w:r>
      <w:r w:rsidR="00506BA6">
        <w:t xml:space="preserve"> </w:t>
      </w:r>
      <w:r w:rsidR="00506BA6">
        <w:fldChar w:fldCharType="begin" w:fldLock="1"/>
      </w:r>
      <w:r w:rsidR="00D80A5D">
        <w:instrText>ADDIN CSL_CITATION {"citationItems":[{"id":"ITEM-1","itemData":{"DOI":"10.1039/c0cp00541j","ISSN":"14639076","abstract":"This article presents a literature review and new results on experimental and theoretical investigations of the electrochemistry of solid oxide fuel cell (SOFC) model anodes, focusing on the nickel/yttria-stabilized zirconia (Ni/YSZ) materials system with operation under H2/H2O atmospheres. Micropatterned model anodes were used for electrochemical characterization under well-defined operating conditions. Structural and chemical integrity was confirmed by ex situ pre-test and post-test microstructural and chemical analysis. Elementary kinetic models of reaction and transport processes were used to assess reaction pathways and rate-determining steps. The comparison of experimental and simulated electrochemical behaviors of pattern anodes shows quantitative agreement over a wide range of operating conditions (pH2 = 8×102-9×104 Pa, pH2O = 2×101-6×104 Pa, T = 400-800 °C). Previously published experimental data on model anodes show a strong scatter in electrochemical performance. Furthermore, model anodes exhibit a pronounced dynamics on multiple time scales which is not reproduced in state-of-the-art models and which is also not observed in technical cermet anodes. Potential origin of these effects as well as consequences for further steps in model anode and anode model studies are discussed. © the Owner Societies 2010.","author":[{"dropping-particle":"","family":"Bessler","given":"Wolfgang G.","non-dropping-particle":"","parse-names":false,"suffix":""},{"dropping-particle":"","family":"Vogler","given":"Marcel","non-dropping-particle":"","parse-names":false,"suffix":""},{"dropping-particle":"","family":"Störmer","given":"Heike","non-dropping-particle":"","parse-names":false,"suffix":""},{"dropping-particle":"","family":"Gerthsen","given":"Dagmar","non-dropping-particle":"","parse-names":false,"suffix":""},{"dropping-particle":"","family":"Utz","given":"Annika","non-dropping-particle":"","parse-names":false,"suffix":""},{"dropping-particle":"","family":"Weber","given":"André","non-dropping-particle":"","parse-names":false,"suffix":""},{"dropping-particle":"","family":"Ivers-Tiffée","given":"Ellen","non-dropping-particle":"","parse-names":false,"suffix":""}],"container-title":"Physical Chemistry Chemical Physics","id":"ITEM-1","issue":"42","issued":{"date-parts":[["2010"]]},"page":"13888-13903","title":"Model anodes and anode models for understanding the mechanism of hydrogen oxidation in solid oxide fuel cells","type":"article-journal","volume":"12"},"uris":["http://www.mendeley.com/documents/?uuid=056d2e77-d009-464e-9f9f-abfd9ef2e304"]},{"id":"ITEM-2","itemData":{"DOI":"10.1039/c0cp00541j","ISSN":"1463-9076","PMID":"20820576","abstract":"This article presents a literature review and new results on experimental and theoretical investigations of the electrochemistry of solid oxide fuel cell (SOFC) model anodes, focusing on the nickel/yttria-stabilized zirconia (Ni/YSZ) materials system with operation under H(2)/H(2)O atmospheres. Micropatterned model anodes were used for electrochemical characterization under well-defined operating conditions. Structural and chemical integrity was confirmed by ex situ pre-test and post-test microstructural and chemical analysis. Elementary kinetic models of reaction and transport processes were used to assess reaction pathways and rate-determining steps. The comparison of experimental and simulated electrochemical behaviors of pattern anodes shows quantitative agreement over a wide range of operating conditions (p(H(2)) = 8×10(2) - 9×10(4) Pa, p(H(2)O) = 2×10(1) - 6×10(4) Pa, T = 400-800 °C). Previously published experimental data on model anodes show a strong scatter in electrochemical performance. Furthermore, model anodes exhibit a pronounced dynamics on multiple time scales which is not reproduced in state-of-the-art models and which is also not observed in technical cermet anodes. Potential origin of these effects as well as consequences for further steps in model anode and anode model studies are discussed.","author":[{"dropping-particle":"","family":"Ivers-Tiffée","given":"Ellen","non-dropping-particle":"","parse-names":false,"suffix":""},{"dropping-particle":"","family":"Utz","given":"Annika","non-dropping-particle":"","parse-names":false,"suffix":""},{"dropping-particle":"","family":"Weber","given":"André","non-dropping-particle":"","parse-names":false,"suffix":""},{"dropping-particle":"","family":"Vogler","given":"Marcel","non-dropping-particle":"","parse-names":false,"suffix":""},{"dropping-particle":"","family":"Störmer","given":"Heike","non-dropping-particle":"","parse-names":false,"suffix":""},{"dropping-particle":"","family":"Gerthsen","given":"Dagmar","non-dropping-particle":"","parse-names":false,"suffix":""},{"dropping-particle":"","family":"Bessler","given":"Wolfgang G.","non-dropping-particle":"","parse-names":false,"suffix":""}],"container-title":"Physical Chemistry Chemical Physics","id":"ITEM-2","issue":"42","issued":{"date-parts":[["2010"]]},"page":"13888","title":"Model anodes and anode models for understanding the mechanism of hydrogen oxidation in solid oxide fuel cells","type":"article-journal","volume":"12"},"uris":["http://www.mendeley.com/documents/?uuid=49ea7a53-04cc-4eae-a55b-b25ca9fd9472"]}],"mendeley":{"formattedCitation":"[213], [227]","plainTextFormattedCitation":"[213], [227]","previouslyFormattedCitation":"[213], [227]"},"properties":{"noteIndex":0},"schema":"https://github.com/citation-style-language/schema/raw/master/csl-citation.json"}</w:instrText>
      </w:r>
      <w:r w:rsidR="00506BA6">
        <w:fldChar w:fldCharType="separate"/>
      </w:r>
      <w:r w:rsidR="006C586A" w:rsidRPr="006C586A">
        <w:rPr>
          <w:noProof/>
        </w:rPr>
        <w:t>[213], [227]</w:t>
      </w:r>
      <w:r w:rsidR="00506BA6">
        <w:fldChar w:fldCharType="end"/>
      </w:r>
      <w:r w:rsidRPr="002B6C9E">
        <w:t>.</w:t>
      </w:r>
    </w:p>
    <w:p w14:paraId="263C9802" w14:textId="77777777" w:rsidR="00BD4B79" w:rsidRDefault="00BD4B79" w:rsidP="004B726A">
      <w:pPr>
        <w:jc w:val="both"/>
      </w:pPr>
      <w:r>
        <w:t>The issue with modelling using model anodes is that the system although the same composition is not representative of the whole physical electrode. The construction of patterned fuel electrodes exemplifies this with TPBs much larger than a nanostructured fuel electrode. Additionally, experimental bulk systems combine both open pore arrangement and dead zones with reduced fuel/ catalyst contact which increases the computational complexity of a model.  These production methods of these model anodes also diverge from the production of bulk anodes further highlighting the representativeness issue.</w:t>
      </w:r>
    </w:p>
    <w:p w14:paraId="7DA055F2" w14:textId="55085BE2" w:rsidR="00BD4B79" w:rsidRDefault="00474666" w:rsidP="004B726A">
      <w:pPr>
        <w:jc w:val="both"/>
      </w:pPr>
      <w:r>
        <w:t xml:space="preserve">As the experimental field moves towards </w:t>
      </w:r>
      <w:r w:rsidR="00B66CF7">
        <w:t xml:space="preserve">the in-operando </w:t>
      </w:r>
      <w:r>
        <w:t xml:space="preserve">imaging </w:t>
      </w:r>
      <w:r w:rsidR="00B66CF7">
        <w:t xml:space="preserve">of </w:t>
      </w:r>
      <w:r>
        <w:t xml:space="preserve">the </w:t>
      </w:r>
      <w:r w:rsidR="00B66CF7">
        <w:t xml:space="preserve">catalyst </w:t>
      </w:r>
      <w:r>
        <w:t xml:space="preserve">microstructural changes </w:t>
      </w:r>
      <w:r w:rsidR="00B66CF7">
        <w:t>with techniques</w:t>
      </w:r>
      <w:r>
        <w:t xml:space="preserve"> such as TEM and X-ray Computed Tomography – informed modelling will continue to be essential to the understanding of </w:t>
      </w:r>
      <w:r w:rsidR="00B66CF7">
        <w:t xml:space="preserve">coarsening </w:t>
      </w:r>
      <w:r w:rsidR="00B66CF7">
        <w:fldChar w:fldCharType="begin" w:fldLock="1"/>
      </w:r>
      <w:r w:rsidR="00D80A5D">
        <w:instrText>ADDIN CSL_CITATION {"citationItems":[{"id":"ITEM-1","itemData":{"DOI":"10.1016/j.matre.2020.11.002","ISSN":"26669358","author":[{"dropping-particle":"","family":"Liu","given":"Yu","non-dropping-particle":"","parse-names":false,"suffix":""},{"dropping-particle":"","family":"Shao","given":"Zongping","non-dropping-particle":"","parse-names":false,"suffix":""},{"dropping-particle":"","family":"Mori","given":"Toshiyuki","non-dropping-particle":"","parse-names":false,"suffix":""},{"dropping-particle":"","family":"Jiang","given":"San Ping","non-dropping-particle":"","parse-names":false,"suffix":""}],"container-title":"Materials Reports: Energy","id":"ITEM-1","issue":"July","issued":{"date-parts":[["2020"]]},"page":"100003","publisher":"Elsevier Ltd","title":"Development of nickel based cermet anode materials in solid oxide fuel cells – Now and future","type":"article-journal"},"uris":["http://www.mendeley.com/documents/?uuid=0331301b-5793-43bb-8d68-64ef42a20217"]},{"id":"ITEM-2","itemData":{"DOI":"10.1039/c0cp00541j","ISSN":"14639076","abstract":"This article presents a literature review and new results on experimental and theoretical investigations of the electrochemistry of solid oxide fuel cell (SOFC) model anodes, focusing on the nickel/yttria-stabilized zirconia (Ni/YSZ) materials system with operation under H2/H2O atmospheres. Micropatterned model anodes were used for electrochemical characterization under well-defined operating conditions. Structural and chemical integrity was confirmed by ex situ pre-test and post-test microstructural and chemical analysis. Elementary kinetic models of reaction and transport processes were used to assess reaction pathways and rate-determining steps. The comparison of experimental and simulated electrochemical behaviors of pattern anodes shows quantitative agreement over a wide range of operating conditions (pH2 = 8×102-9×104 Pa, pH2O = 2×101-6×104 Pa, T = 400-800 °C). Previously published experimental data on model anodes show a strong scatter in electrochemical performance. Furthermore, model anodes exhibit a pronounced dynamics on multiple time scales which is not reproduced in state-of-the-art models and which is also not observed in technical cermet anodes. Potential origin of these effects as well as consequences for further steps in model anode and anode model studies are discussed. © the Owner Societies 2010.","author":[{"dropping-particle":"","family":"Bessler","given":"Wolfgang G.","non-dropping-particle":"","parse-names":false,"suffix":""},{"dropping-particle":"","family":"Vogler","given":"Marcel","non-dropping-particle":"","parse-names":false,"suffix":""},{"dropping-particle":"","family":"Störmer","given":"Heike","non-dropping-particle":"","parse-names":false,"suffix":""},{"dropping-particle":"","family":"Gerthsen","given":"Dagmar","non-dropping-particle":"","parse-names":false,"suffix":""},{"dropping-particle":"","family":"Utz","given":"Annika","non-dropping-particle":"","parse-names":false,"suffix":""},{"dropping-particle":"","family":"Weber","given":"André","non-dropping-particle":"","parse-names":false,"suffix":""},{"dropping-particle":"","family":"Ivers-Tiffée","given":"Ellen","non-dropping-particle":"","parse-names":false,"suffix":""}],"container-title":"Physical Chemistry Chemical Physics","id":"ITEM-2","issue":"42","issued":{"date-parts":[["2010"]]},"page":"13888-13903","title":"Model anodes and anode models for understanding the mechanism of hydrogen oxidation in solid oxide fuel cells","type":"article-journal","volume":"12"},"uris":["http://www.mendeley.com/documents/?uuid=056d2e77-d009-464e-9f9f-abfd9ef2e304"]}],"mendeley":{"formattedCitation":"[213], [228]","plainTextFormattedCitation":"[213], [228]","previouslyFormattedCitation":"[213], [228]"},"properties":{"noteIndex":0},"schema":"https://github.com/citation-style-language/schema/raw/master/csl-citation.json"}</w:instrText>
      </w:r>
      <w:r w:rsidR="00B66CF7">
        <w:fldChar w:fldCharType="separate"/>
      </w:r>
      <w:r w:rsidR="006C586A" w:rsidRPr="006C586A">
        <w:rPr>
          <w:noProof/>
        </w:rPr>
        <w:t>[213], [228]</w:t>
      </w:r>
      <w:r w:rsidR="00B66CF7">
        <w:fldChar w:fldCharType="end"/>
      </w:r>
      <w:r w:rsidR="00B66CF7">
        <w:t>.</w:t>
      </w:r>
      <w:r>
        <w:t xml:space="preserve">  </w:t>
      </w:r>
      <w:r w:rsidR="00B66CF7">
        <w:t xml:space="preserve">A duality of the two approaches </w:t>
      </w:r>
      <w:r w:rsidR="002310D3">
        <w:t>is</w:t>
      </w:r>
      <w:r w:rsidR="00B66CF7">
        <w:t xml:space="preserve"> </w:t>
      </w:r>
      <w:r>
        <w:t>key</w:t>
      </w:r>
      <w:r w:rsidR="00B66CF7">
        <w:t xml:space="preserve"> to the understanding of fundamental sintering mechanisms in SOFC fuel </w:t>
      </w:r>
      <w:r w:rsidR="00506BA6">
        <w:t>electrodes.</w:t>
      </w:r>
      <w:r w:rsidR="00B66CF7">
        <w:t xml:space="preserve"> </w:t>
      </w:r>
    </w:p>
    <w:p w14:paraId="10560CBC" w14:textId="5F06BCC4" w:rsidR="00007F6C" w:rsidRPr="002B6C9E" w:rsidRDefault="00007F6C" w:rsidP="004B726A">
      <w:pPr>
        <w:pStyle w:val="Heading4"/>
      </w:pPr>
      <w:bookmarkStart w:id="101" w:name="_Toc474489925"/>
      <w:r>
        <w:t>2.3.2.</w:t>
      </w:r>
      <w:r w:rsidR="00506BA6">
        <w:t xml:space="preserve">2 </w:t>
      </w:r>
      <w:r w:rsidRPr="002B6C9E">
        <w:t xml:space="preserve">Reaction with </w:t>
      </w:r>
      <w:r w:rsidR="00316043">
        <w:t>I</w:t>
      </w:r>
      <w:r w:rsidRPr="002B6C9E">
        <w:t xml:space="preserve">mpurity </w:t>
      </w:r>
      <w:r w:rsidR="00316043">
        <w:t>G</w:t>
      </w:r>
      <w:r w:rsidRPr="002B6C9E">
        <w:t>ases</w:t>
      </w:r>
      <w:bookmarkEnd w:id="101"/>
    </w:p>
    <w:p w14:paraId="503348E2" w14:textId="77777777" w:rsidR="00007F6C" w:rsidRPr="002B6C9E" w:rsidRDefault="00007F6C" w:rsidP="004B726A">
      <w:pPr>
        <w:jc w:val="both"/>
      </w:pPr>
      <w:r w:rsidRPr="002B6C9E">
        <w:t>Nickel coarsening is not the sole route for degradation; other factors can come into play when discussing a reduction in anode efficiency. One of the key issues is the interaction between the anode and incident gases.</w:t>
      </w:r>
    </w:p>
    <w:p w14:paraId="5A7FF5F8" w14:textId="3CB9D374" w:rsidR="00007F6C" w:rsidRPr="002B6C9E" w:rsidRDefault="00506BA6" w:rsidP="004B726A">
      <w:pPr>
        <w:jc w:val="both"/>
        <w:rPr>
          <w:bCs/>
        </w:rPr>
      </w:pPr>
      <w:r>
        <w:rPr>
          <w:bCs/>
        </w:rPr>
        <w:t xml:space="preserve">A large number of reactions were characterised by </w:t>
      </w:r>
      <w:r w:rsidR="00007F6C" w:rsidRPr="002B6C9E">
        <w:rPr>
          <w:bCs/>
        </w:rPr>
        <w:t>Yokokawa et al in 2011</w:t>
      </w:r>
      <w:r>
        <w:rPr>
          <w:bCs/>
        </w:rPr>
        <w:t xml:space="preserve"> </w:t>
      </w:r>
      <w:r>
        <w:rPr>
          <w:bCs/>
        </w:rPr>
        <w:fldChar w:fldCharType="begin" w:fldLock="1"/>
      </w:r>
      <w:r w:rsidR="00D80A5D">
        <w:rPr>
          <w:bCs/>
        </w:rPr>
        <w:instrText>ADDIN CSL_CITATION {"citationItems":[{"id":"ITEM-1","itemData":{"DOI":"10.1039/c1ee01758f","ISBN":"1754-5692","ISSN":"17545692","abstract":"Solid oxide fuel cells (SOFCs) offer great promise for the most efficient and cost-effective conversion to electricity of a wide variety of fuels such as hydrocarbons, coal gas, and gasified carbonaceous solids. However, the conventional Ni-YSZ (yttria-stabilized zirconia) anode is highly susceptible to deactivation (poisoning) by contaminants commonly encountered in readily available fuels, especially sulfur-containing compounds. Thus, one of the critical challenges facing the realization of fuel-flexible and cost-effective SOFC systems is the development of sulfur-tolerant anode materials. This perspective article aims at providing a comprehensive review of materials that have been studied as anodes for SOFCs, the electrochemical behavior of various anode materials in H2S-contaminated fuels, experimental methods for ex situ and in situ characterizations of species and phases formed on anode surfaces upon exposure to H2S-containing fuels, mechanisms for the interactions between H2S and anode surfaces as predicted from density functional theory (DFT) calculations, and possible strategies of minimizing or eliminating the effect of sulfur poisoning. While significant progress has been made in developing alternative anode materials with better sulfur tolerance, in probing and mapping electrode surface species relevant to sulfur poisoning, and in unraveling the mechanisms of H2S-anode interactions using both computational and experimental approaches, many challenges still remain to bridge the gaps between models at different scales or between theoretical predictions and experimental observations. An important new direction for future research is to develop a predictive multi-scale (from DFT to continuum) computational framework, through a rigorous validation at each scale by carefully-designed experiments performed under in situ conditions, for rational design of better sulfur-tolerant anode materials and structures for a new generation of SOFCs to be powered by readily available fuels.","author":[{"dropping-particle":"","family":"Cheng","given":"Zhe","non-dropping-particle":"","parse-names":false,"suffix":""},{"dropping-particle":"","family":"Wang","given":"Jeng Han","non-dropping-particle":"","parse-names":false,"suffix":""},{"dropping-particle":"","family":"Choi","given":"Yongman","non-dropping-particle":"","parse-names":false,"suffix":""},{"dropping-particle":"","family":"Yang","given":"Lei","non-dropping-particle":"","parse-names":false,"suffix":""},{"dropping-particle":"","family":"Lin","given":"M. C.","non-dropping-particle":"","parse-names":false,"suffix":""},{"dropping-particle":"","family":"Liu","given":"Meilin","non-dropping-particle":"","parse-names":false,"suffix":""}],"container-title":"Energy and Environmental Science","id":"ITEM-1","issue":"11","issued":{"date-parts":[["2011"]]},"language":"English","note":"Cited By :123\nExport Date: 11 October 2016\nCorrespondence Address: Liu, M.; Center for Innovative Fuel Cell and Battery Technologies, School of Materials Science and Engineering, Georgia Institute of Technology, Atlanta, GA 30332, United States; email: meilin.liu@mse.gatech.edu\nReferences: Yang, L., Wang, S., Blinn, K., Liu, M., Liu, Z., Cheng, Z., Liu, M., (2009) Science, 326, p. 126; Yang, L., Choi, Y., Qin, W., Chen, H., Blinn, K., Liu, M., Liu, P., Liu, M., (2011) Nat. Commun., 2, p. 357; Ormerod, R.M., (2003) High Temperature Solid Oxide Fuel Cells: Fundamentals, Design and Applications, pp. 333-361. , ed. S. C. Singhal and K. Kendall, Elsevier Ltd, Oxford, UK, ch. 12; Yi, Y., Rao, A.D., Brouwer, J., Samuelsen, G.S., (2005) J. Power Sources, 144, pp. 67-76; Hawkes, A., Staffell, I., Brett, D., Brandon, N., (2009) Energy Environ. Sci., 2, pp. 729-744; Weissbart, J., Ruka, R., (1962) J. Electrochem. Soc., 109, pp. 723-726; Lee, A.L., Zabransky, R.F., Huber, W.J., (1990) Ind. Eng. Chem. Res., 29, pp. 766-773; Dicks, A.L., (1996) J. Power Sources, 61, pp. 113-124; Suzuki, T., Yamaguchi, T., Hamamoto, K., Fujishiro, Y., Awano, M., Sammes, N., (2011) Energy Environ. Sci., 4, pp. 940-943; Kivisaari, T., Björnbom, P., Sylwan, C., Jacquinot, B., Jansen, D., De Groot, A., (2004) Chem. Eng. J., 100, pp. 167-180; Trembly, J.P., Marquez, A.I., Ohrn, T.R., Bayless, D.J., (2006) J. Power Sources, 158, pp. 263-273; Williams, M.C., Strakey, J., Sudoval, W., (2006) J. Power Sources, 159, pp. 1241-1247; Gür, T.M., Homel, M., Virkar, A.V., (2010) J. Power Sources, 195, pp. 1085-1090; Singh, R., Guzman, F., Khatri, R., Chuang, S.S.C., (2010) Energy Fuels, 24, pp. 1176-1183; Staniforth, J., Kendall, K., (1998) J. Power Sources, 71, pp. 275-277; Baron, S., Brandon, N., Atkinson, A., Steele, B., Rudkin, R., (2004) J. Power Sources, 126, pp. 58-66; Leone, P., Lanzini, A., Santarelli, M., Calì, M., Sagnelli, F., Boulanger, A., Scaletta, A., Zitella, P., (2010) J. Power Sources, 195, pp. 239-248; Van Gerwen, R.J.F., (2003) High Temperature Solid Oxide Fuel Cells: Fundamentals, Design and Applications, pp. 363-392. , ed. S. C. Singhal and K. Kendall, Elsevier Ltd, Oxford, UK, ch. 13; Watanabe, T., Maeda, S., (2007) Science and Technology Trends Quarterly Review, pp. 65-78; Dietrich, R.-U., Oelze, J., Lindermeir, A., Spitta, C., Steffen, M., Küster, T., Chen, S., Leithner, R., (2011) J. Power Sources, 196, pp. 7152-7160; Nehter, P., Hansen, J.B., Larsen, P.K., (2011) J. Power Sources, 196, pp. 7347-7354; Liu, M., Aravind, P.V., Woudstra, T., Cobas, V.R.M., Verkooijen, A.H.M., (2011) J. Power Sources, 196, pp. 7277-7289; Park, S.K., Ahn, J.-H., Kim, T.S., (2011) Appl. Energy, 88, pp. 2976-2987; Schroeder, D.J., Majumdar, P., (2010) Int. J. Hydrogen Energy, 35, pp. 11308-11314; Cayan, F.N., Zhi, M., Pakalapati, S.R., Celik, I., Wu, N., Gemmen, R., (2008) J. Power Sources, 185, pp. 595-602; Ding, C., Hashida, T., (2010) Energy Environ. Sci., 3, pp. 1729-1731; Matsuzaki, Y., Yasuda, I., (2000) Solid State Ionics, 132, pp. 261-269; Minh, N.Q., Takahashi, T., (1995) Science and Technology of Ceramic Fuel Cells, , Elsevier Science, Amsterdam, The Netherlands; McEvoy, A., (2003) High Temperature Solid Oxide Fuels Cells: Fundamentals, Design and Applications, pp. 149-171. , ed. S. C. Singh and K. Kendall, Elsevier, Ltd, Oxford, UK; Zhu, W.Z., Deevi, S.C., (2003) Mater. Sci. Eng., A, 362, pp. 228-239; Atkinson, A., Barnett, S., Gorte, R.J., Irvine, J.T.S., McEvoy, A.J., Mogensen, M., Singhal, S.C., Vohs, J., (2004) Nat. Mater., 3, pp. 17-27; Jiang, S.P., Chan, S.H., (2004) J. Mater. Sci., 39, pp. 4405-4439; Gong, M., Liu, X., Trembly, J., Johnson, C., (2007) J. Power Sources, 168, pp. 289-298; Sun, C., Stimming, U., (2007) J. Power Sources, 171, pp. 247-260; Cheng, Z., Wang, J.-H., Liu, M., (2009) Solid Oxide Fuel Cells: Materials Properties and Performance, pp. 73-129. , ed. J. W. Fergus, R. Hui, X. Li, D. Wilkinson and J. Zhang, CRC Press; McIntosh, S., Gorte, R.J., (2004) Chem. Rev., 104, pp. 4845-4866; Sarantaridis, D., Atkinson, A., (2007) Fuel Cells, 7, pp. 246-258; Kuzjukevics, A., Linderoth, S., (1997) Solid State Ionics, 93, pp. 255-261; Van Herle, J., Ihringer, R., McEvoy, A.J., (1997) ECS Trans., 9740, pp. 565-574; Majumdar, S., Claar, T., Flandermeyer, B., (1986) J. Am. Ceram. Soc., 69, pp. 628-633; Müller, A.C., Herbstritt, D., Ivers-Tiffée, E., (2002) Solid State Ionics, 152-153, pp. 537-542; Radovic, M., Lara-Curzio, E., Trejo, R.M., Wang, H., Porter, W.D., (2008) Ceramic Engineering and Science Proceedings, 27, pp. 79-85. , 4; Yu, J.H., Park, G.W., Lee, S., Woo, S.K., (2007) J. Power Sources, 163, pp. 926-932; Ishihara, T., Sammes, N.M., Yamamoto, O., (2003) High Temperature Solid Oxide Fuel Cells: Fundamentals, Design and Applications, pp. 83-117. , ed. S. C. Singhal and K. Kendall, Elsevier Ltd, Oxford, UK, ch. 4; Minh, N.Q., (1993) J. Am. Ceram. Soc., 76, pp. 563-588; Koide, H., Someya, Y., Yoshida, T., Maruyama, T., (2000) Solid State Ionics, 132, pp. 253-260; Glauche, A., Betz, T., Mosch, S., Trofimenko, N., Kusnezoff, M., (2009) ECS Trans., 25, pp. 411-419; Mukerjee, S., Haltiner, K., Klotzbach, D., Vordonis, J., Iyer, A., Kerr, R., Sprenkle, V., Bonnett, J., (2009) ECS Trans., 25, pp. 59-63; Pierre, J., http://www.netl.doe.gov/publications/proceedings/10/seca/Presentations/ Pierre_Presentation.pdf, The Siemens Energy Coal Based SECA ProgramPrimdahl, S., Mogensen, M., (1997) J. Electrochem. Soc., 144, pp. 3409-3419; Burmistrov, I., Bredikhin, S., (2009) Ionics, 15, pp. 465-468; Singhal, S.C., Ruka, R.J., Bauerle, J.E., Spengler, C.J., (1986) Anode Development for Solid Oxide Fuel Cells, Final Technical Report, , The Department of Energy DOE/MC/22046-2371 (NITS Order DE87011136), Pittsburgh, PA; Sasaki, K., Susuki, K., Iyoshi, A., Uchimura, M., Imamura, N., Kusaba, H., Teraoka, Y., Jingo, N., (2006) J. Electrochem. Soc., 153, pp. 2023-A2029; Zha, S., Cheng, Z., Liu, M., (2007) J. Electrochem. Soc., 154, pp. 201-B206; Cheng, Z., Zha, S., Liu, M., (2007) J. Power Sources, 172, pp. 688-693; Cheng, Z., Liu, M., (2007) Solid State Ionics, 178, pp. 925-935; Sprenkle, V., Kim, J.Y., Meinhardt, K., Lu, C., Chick, L., Canfield, N., Bonnett, J., Shaffer, S., (2007) The 31 st International Cocoa Beach Conference &amp;amp; Exposition on Advanced Ceramics and Composites, , Daytona Beach, FL; Ishikura, A., Sakuno, S., Komiyama, N., Sasatsu, H., Masuyama, N., Itoh, H., Yasumoto, K., (2007) ECS Trans., 7, pp. 845-850; Hansen, J.B., (2008) Electrochem. Solid-State Lett., 11, pp. 178-B180; Hansen, J.B., Rostrup-Nielsen, J., (2009) Handbook of Fuel Cells, Volumes 5 &amp;amp; 6: Advances in Electrocatalysis, Materials, Diagnostics and Durability, 6, pp. 1-13. , ed. W. Vielstich, H. Yokokawa and H. A. Gasteiger, John Wiley &amp;amp; Sons, Ltd, ch. 65; Waldbillig, D., Ivey, D.G., Wood, A., (2005) Fuel Cell and Hydrogen Technologies, Proceedings of the International Symposium on Fuel Cell and Hydrogen Technologies, pp. 237-249. , 1st edn; Cheng, Z., Investigations into the Interactions between Sulfur and Anodes for Solid Oxide Fuel Cells, , http://hdl.handle.net/1853/22678; McCarty, J.G., Wise, H., (1980) J. Chem. Phys., 72, p. 6332; Alstrup, I., Rostrup-Nielsen, J.R., Røen, S., (1981) Appl. Catal., 1, pp. 303-314; Bartholomew, C.H., Agrawal, P.K., Katzer, J.R., (1982) Adv. Catal., 31, pp. 135-242; Wang, J.-H., Liu, M., (2007) Electrochem. Commun., 9, pp. 2212-2217; Barfod, R., Hagen, A., Ramousse, S., Hendriksen, P.V., Mogensen, M., (2006) Fuel Cells, 6, pp. 141-145; Mukerjee, S., Haltiner, K., Kerr, R., Chick, L., Sprenkle, V., Meinhardt, K., Lu, C., Weil, K.S., (2007) ECS Trans., 7, pp. 59-65; Li, T.S., Miao, H., Chen, T., Wang, W.G., Xu, C., (2009) J. Electrochem. Soc., 156, pp. 1383-B1388; Lohsoontorn, P., Brett, D.J.L., Brandon, N.P., (2008) J. Power Sources, 183, pp. 232-239; Li, T.S., Wang, W.G., (2011) J. Power Sources, 196, pp. 2066-2069; Lakshminarayanan, N., Ozkan, U.S., (2011) Appl. Catal., A, 393, pp. 138-145; Feduska, W., Isenberg, A.O., (1983) J. Power Sources, 10, pp. 89-102; Rasmussen, J.F.B., Hagen, A., (2010) Fuel Cells, 10, pp. 1135-1142; Primdahl, S., Mogensen, M., (1999) ECS Trans., 9919, pp. 530-540; Ivers-Tiffée, E., Virkar, A.V., (2003) High Temperature Solid Oxide Fuel Cells: Fundamentals, Design and Applications, pp. 229-260. , ed. S. C. Singhal and K. Kendall, Elsevier Ltd, Oxford, UK, ch. 9; Marina, O.A., Pedersen, L.R., Stevenson, J.W., Effect of Sulfur and Hydrocarbon Fuels on Titanate/ceria SOFC Anodes, , http://www.netl.doe.gov/publications/proceedings/05/SECA_PeerReview/pdf/ Marina.PNNL%20Fri%20AM.pdf; Pujare, N.U., Semkow, K.W., Sammells, A.F., (1987) J. Electrochem. Soc., 134, pp. 2639-2640; Maskalick, N.J., Ray, E.R., (1992) DOE/MC/26355-92/C0062 (DE92040255), , Washington DC; Batawi, E., Weissen, U., Schuler, A., Keller, M., Voisard, C., (2001) ECS Trans., 16, pp. 140-147; Iritani, J., Kougami, K., Komiyama, N., Nagata, K., Ikeda, K., Tomida, K., (2001) ECS Trans., 16, pp. 63-71; Yang, L., Cheng, Z., Liu, M., Wilson, L., (2010) Energy Environ. Sci., 3, pp. 1804-1809; Maskalick, N.J., Ray, E.R., Spengler, C.J., (1992) Third Annual Fuel Cells Contractors Review Meeting, pp. 116-108. , ed. W. J. Huber, DOE, DOE/METC - 91/6120 (DE 91002085), Washington, DC; Hagen, A., Rasmussen, J.F.B., Thydén, K., (2011) J. Power Sources, 196, pp. 7271-7276; Rasmussen, J.F.B., Hagen, A., (2009) J. Power Sources, 191, pp. 534-541; Lussier, A., Sofie, S., Dvorak, J., Idzerda, Y.U., (2008) Int. J. Hydrogen Energy, 33, pp. 3945-3951; Xia, S.J., Birss, V.I., (2005) ECS Trans., 7, pp. 1275-1283; Li, T.S., Wang, W.G., Chen, T., Miao, H., Xu, C., (2010) J. Power Sources, 195, pp. 7025-7032; Kurokawa, H., Sholklapper, T.Z., Jacobson, C.P., De Jonghe, L.C., Visco, S.J., (2007) Electrochem. Solid-State Lett., 10, pp. 135-B138; Ivey, D.G., Brightman, E., Brandon, N., (2010) J. Power Sources, 195, pp. 6301-6311; Fergus, J.W., (2006) Solid State Ionics, 177, pp. 1529-1541; Yun, J.W., Yoon, S.P., Park, S., Kim, H.S., Nam, S.W., (2011) Int. J. Hydrogen Energy, 36, pp. 787-796; Smith, M., McEvoy, A.J., (2005) ECS Trans., 7, pp. 1437-1444; Smith, M.J., McEvoy, A.J., (2007) ECS Trans., 7, pp. 373-380; Marina, O.A., Coyle, C.A., Engelhard, M.H., Pederson, L.R., (2011) J. Electrochem. Soc., 158, pp. 424-B429; Ruiz-Morales, J.C., Marrero-Lopez, D., Galvez-Sanchez, M., Canales-Vazquez, J., Savaniu, C., Savvin, S.N., (2010) Energy Environ. Sci., 3, pp. 1670-1681; Pillai, M.R., Kim, I., Bierschenk, D.M., Barnett, S.A., (2008) J. Power Sources, 185, pp. 1086-1093; Ouweltjes, J.P., Aravind, P.V., Woudstra, N., Rietveld, G., (2006) J. Fuel Cell Sci. Technol., 3, pp. 495-498; Aravind, P.V., Ouweltjes, J.P., Woudstra, N., Rietveld, G., (2008) Electrochem. Solid-State Lett., 11, pp. 24-B28; Zhang, L., Jiang, S.P., He, H.Q., Chen, X., Ma, J., Song, X.C., (2010) Int. J. Hydrogen Energy, 35, pp. 12359-12368; Brightman, E., Ivey, D.G., Brett, D.J.L., Brandon, N.P., (2011) J. Power Sources, 196, pp. 7182-7187; Bessler, W.G., Vogler, M., Stormer, H., Gerthsen, D., Utz, A., Weber, A., Ivers-Tiffee, E., (2010) Phys. Chem. Chem. Phys., 12, pp. 13888-13903; Kirk, T.J., Winnick, J., (1993) J. Electrochem. Soc., 140, pp. 3494-3496; He, H.P., Gorte, R.J., Vohs, J.M., (2005) Electrochem. Solid-State Lett., 8, pp. 279-A280; Zhao, L., Ye, X., Zhan, Z., (2011) J. Power Sources, 196, pp. 6201-6204; Choi, S., Development of SOFC Anodes Resistant to Sulfur Poisoning and Carbon Deposition, , http://hdl.handle.net/1853/26601; Marina, O.A., Canfield, N.L., Stevenson, J.W., (2002) Solid State Ionics, 149, pp. 21-28; Marina, O.A., Stevenson, J.W., Development of Ceramic Composites As SOFC Anodes, , http://www.netl.doe.gov/publications/proceedings/03/seca-review/marina. pdf; Marina, O.A., Development of Advanced SOFC Anodes, , http://www.netl.doe.gov/publications/proceedings/04/seca-wrkshp/ PNNL%20-%20Marina.pdf; Mukundan, R., Brosha, E.L., Garzon, F.H., (2004) Electrochem. Solid-State Lett., 7, pp. 5-A7; Kurokawa, H., Yang, L., Jacobson, C.P., De Jonghe, L.C., Visco, S.J., (2007) J. Power Sources, 164, pp. 510-518; Burke, A., Li, S., Winnick, J., Liu, M., (2004) J. Electrochem. Soc., 151, pp. 55-D60; Aguilar, L., Zha, S.W., Li, S.W., Winnick, J., Liu, M., (2004) Electrochem. Solid-State Lett., 7, pp. 324-A326; Aguilar, L., Zha, S.W., Cheng, Z., Winnick, J., Liu, M.L., (2004) J. Power Sources, 135, pp. 17-24; Cheng, Z., Zha, S.W., Aguilar, L., Liu, M.L., (2005) Solid State Ionics, 176, pp. 1921-1928; Cheng, Z., Zha, S.W., Aguilar, L., Wang, D., Winnick, J., Liu, M.L., (2006) Electrochem. Solid-State Lett., 9, pp. 31-A33; Cooper, M., Channa, K., De Silva, R., Bayless, D.J., (2010) J. Electrochem. Soc., 157, pp. 1713-B1718; Danilovic, N., Luo, J.-L., Chuang, K.T., Sanger, A.R., (2009) J. Power Sources, 192, pp. 247-257; Danilovic, N., Luo, J.-L., Chuang, K.T., Sanger, A.R., (2009) J. Power Sources, 194, pp. 252-262; Zha, S.W., Tsang, P., Cheng, Z., Liu, M.L., (2005) J. Solid State Chem., 178, pp. 1844-1850; Zha, S.W., Cheng, Z., Liu, M.L., (2005) Electrochem. Solid-State Lett., 8, pp. 406-A408; Zha, S., Cheng, Z., Liu, M., (2006) ECS Trans., 1, pp. 293-302; Huang, Y.H., Dass, R.I., Xing, Z.L., Goodenough, J.B., (2006) Science, 312, pp. 254-257; Huang, Y.H., Dass, R.I., Denyszyn, J.C., Goodenough, J.B., (2006) J. Electrochem. Soc., 153, pp. 1266-A1272; Xiao, G., Liu, Q., Dong, X., Huang, K., Chen, F., (2010) J. Power Sources, 195, pp. 8071-8074; Lu, X.C., Zhu, J.H., Yang, Z., Xia, G., Stevenson, J.W., (2009) J. Power Sources, 192, pp. 381-384; Tao, S., Irvine, J.T.S., (2004) J. Electrochem. Soc., 151, pp. 252-A259; Chen, X.J., Liu, Q.L., Chan, S.H., Brandon, N.P., Khor, K.A., (2007) J. Electrochem. Soc., 154, pp. 1206-B1210; Peng, C., Luo, J., Sanger, A.R., Chuang, K.T., (2009) Chem. Mater., 22, pp. 1032-1037; Wang, S., Liu, M., Winnick, J., (2001) J. Solid State Electrochem., 5, pp. 188-195; Moos, R., Hardtl, K.H., (1996) J. Appl. Phys., 80, pp. 393-400; Pujare, N.U., Tsai, K.J., Sammells, A.F., (1989) J. Electrochem. Soc., 136, pp. 3662-3678; Yates, C., Winnick, J., (1999) J. Electrochem. Soc., 146, pp. 2841-2844; Chuang, K.T., Sanger, A.R., Slavov, S.V., Donini, J.C., (2001) Int. J. Hydrogen Energy, 26, pp. 103-108; Liu, M., Wei, G.L., Luo, J.L., Sanger, A.R., Chuang, K.T., (2003) J. Electrochem. Soc., 150, pp. 1025-A1029; Wei, G.L., Liu, M., Luo, J.L., Sanger, A.R., Chuang, K.T., (2003) J. Electrochem. Soc., 150, pp. 463-A469; Zhong, L., Liu, M., Wei, G.L., Chuang, K., (2003) Chin. J. Chem. Eng., 11, pp. 245-248; Chen, J.-J., Zhong, L., Wei, G.-L., Chuang, K., (2004) J. S. China Univ. Tech., 32, pp. 1-4; Wei, G.L., Luo, J.L., Sanger, A.R., Chuang, K.T., (2004) J. Electrochem. Soc., 151, pp. 232-A237; Zhong, L., Chen, J., Wei, G., Luo, J., Chuang, K., (2004) J. Chem. Ind. Eng., 55, pp. 1732-1735; Wei, G.L., Luo, J.L., Sanger, A.R., Chuang, K.T., (2005) J. New Mater. Electrochem. Syst., 8, pp. 59-64; Zhong, L., Wei, G.-L., Luo, J.-L., Chuang, K., (2005) Acta Scientiarum Natralium Universitatis Sunyatseni, 44, pp. 61-65; Xu, Z., Luo, J., Chuang, K.T., (2007) J. Electrochem. Soc., 154, pp. 523-B527; Vorontsov, V., Luo, J.L., Sanger, A.R., Chuang, K.T., (2008) J. Power Sources, 183, pp. 76-83; Chuang, K.T., Luo, J., Sanger, A.R., (2008) Chemical Industry and Chemical Engineering Quarterly, 14, pp. 69-76; Xu, Z.-R., Luo, J.-L., Chuang, K.T., (2009) J. Power Sources, 188, pp. 458-462; Vorontsov, V., An, W., Luo, J.L., Sanger, A.R., Chuang, K.T., (2008) J. Power Sources, 179, pp. 9-16; Winkler, J., Hendriksen, P.V., Bonanos, N., Mogensen, M., (1998) J. Electrochem. Soc., 145, pp. 1184-1192; Adler, S.B., (2002) J. Electrochem. Soc., 149, pp. 166-E172; Dees, D.W., Balachandran, U., Dorris, S.E., Heiberger, J.J., McPheeters, C.C., Picciolo, J.J., (1989) ECS Trans., 89 (11), pp. 317-321; Pomfret, M.B., Owrutsky, J.C., Walker, R.A., (2010) Annu. Rev. Anal. Chem., 3, pp. 151-174; Cheng, Z., Abernathy, H., Liu, M., (2007) J. Phys. Chem. C, 111, pp. 17997-18000; Dong, J., Zha, S., Liu, M., (2005) ECS Trans., 7, pp. 1284-1293; Dong, J., Cheng, Z., Zha, S.W., Liu, M.L., (2006) J. Power Sources, 156, pp. 461-465; Wang, J.-H., Cheng, Z., Bredas, J.-L., Liu, M., (2007) J. Chem. Phys., 127, pp. 214705/214701-214705/214708; Jensen, F., (1999) Introduction to Computational Chemistry, , John Wiley &amp;amp; Sons Inc, New York; Wang, J.H., Choi, Y.M., Liu, M., (2008) Quantum Chemical Calculations of Surfaces and Interfaces of Materials, pp. 289-304. , ed. V. A. Basiuk and Ugliengo, American Scientific Publishers, Los Angeles, ch. 14; Choi, Y., Mebane, D., Wang, J.-H., Liu, M., (2007) Top. Catal., 46, pp. 386-401; Choi, Y., Lin, M.C., Liu, M., (2010) J. Power Sources, 195, pp. 1441-1445; Broadbelt, L.J., Snurr, R.Q., (2000) Appl. Catal., A, 200, pp. 23-46; Neurock, M., (2003) J. Catal., 216, pp. 73-88; Greeley, J., Nørskov, J.K., Mavrikakis, M., (2002) Annu. Rev. Phys. Chem., 53, pp. 319-348; Cheng, Z., Zha, S.W., Liu, M.L., (2006) J. Electrochem. Soc., 153, pp. 1302-A1309; Choi, Y.M., Compson, C., Lin, M.C., Liu, M.L., (2006) Chem. Phys. Lett., 421, pp. 179-183; Galea, N.M., Kadantsev, E.S., Ziegler, T., (2007) J. Phys. Chem. C, 111, pp. 14457-14468; Michaelides, A., Hu, P., (2001) J. Chem. Phys., 115, pp. 8570-8574; Alfonso, D.R., (2008) Surf. Sci., 602, pp. 2758-2768; Alfonso, D.R., Cugini, A.V., Sorescu, D.C., (2005) Catal. Today, 99, p. 315; McAllister, B., Hu, P., (2005) J. Chem. Phys., 122, p. 84709; Jiang, D.E., Carter, E.A., (2004) J. Phys. Chem. B, 108, pp. 19140-19145; Jiang, D.E., Carter, E.A., (2005) Surf. Sci., 583, pp. 60-68; Choi, Y.M., Compson, C., Lin, M.C., Liu, M., (2007) J. Alloys Compd., 427, pp. 25-29; Huang, W.-F., Chen, H.-T., Lin, M.C., (2009) J. Phys. Chem. C, 113, pp. 20411-20420; Chen, H.-T., Choi, Y., Liu, M., Lin, M.C., (2007) J. Phys. Chem. C, 111, p. 11117; Huang, S.-C., Lin, C.-H., Wang, J.H., (2010) J. Phys. Chem. C, 114, p. 9826; Albenze, E.J., Shamsi, A., (2006) Surf. Sci., 600, pp. 3202-3216; Hammer, B., Norskov, J.K., (2000) Adv. Catal., 45, p. 71; Norskov, J.K., Bligaard, T., Hvolbak, B., Abild-Pedersen, F., Chorkendorff, I., Christensen, C.H., (2008) Chem. Soc. Rev., 37, p. 2163; Kim, H., Vohs, J.M., Gorte, R.J., (2001) Chem. Commun., pp. 2334-2335; Grgicak, C.M., Pakulska, M.M., O'Brien, J.S., Giorgi, J.B., (2008) J. Power Sources, 183, p. 26; Rodriguez, J.A., Chaturvedi, S., Jirsak, T., Hrbek, J., (1998) J. Chem. Phys., 109, p. 4052; Kitchin, J.R., Norskov, J.K., Barteau, M.A., Chen, J.G., (2004) J. Chem. Phys., 120, pp. 10240-10246; Li, W.-X., Stampfl, C., Scheffler, M., (2003) Phys. Rev. B: Condens. Matter, 68, p. 165412; Laursen, S., Linic, S., (2006) Phys. Rev. Lett., 97, p. 026101; http://webbook.nist.gov/Wang, J.-H., Liu, M., (2008) J. Power Sources, 176, pp. 23-30; Barbouth, N., Oudar, J., (1969) C. R. Acad. Sci. Paris, Ser. C, 269, p. 1618; Rosenqvist, T., (1954) J. Iron Steel Inst., London, 176, p. 37; Li, J., Luo, J.-L., Chuang, K.T., Sanger, A.R., (2008) Electrochim. Acta, 53, pp. 3701-3707; Ozkan, U.S., Zhang, L., Ni, S., Moctezuma, E., (1994) Energy Fuels, 8, pp. 830-838; Bishop, D.W., Thomas, P.S., Ray, A.S., (2000) Mater. Res. Bull., 35, pp. 1123-1128; Shen, G., Chen, D., Tang, K., An, C., Yang, Q., Qian, Y., (2003) J. Solid State Chem., 173, pp. 227-231; De Las Heras, C., Agulló-Rueda, F., (2000) J. Phys.: Condens. Matter, 12, p. 5317; Anastassakis, E., Perry, C.H., (1976) J. Chem. Phys., 64, pp. 3604-3609; Suzuki, T., Uchinokura, K., Sekine, T., Matsuura, E., (1977) Solid State Commun., 23, pp. 847-852; Fang, S., Bi, L., Wu, X., Gao, H., Chen, C., Liu, W., (2008) J. Power Sources, 183, pp. 126-132; Fahrenkamp-Uppenbrink, J., Szuromi, P., Yeston, J., Coontz, R., (2008) Science, 321, p. 783; Stone, A.J., (2008) Science, 321, pp. 787-789; Clary, D.C., (2008) Science, 321, pp. 789-791; Cohen, A.J., Mori-Sánchez, P., Yang, W., (2008) Science, 321, pp. 792-794; Kroes, G.-J., (2008) Science, 321, pp. 794-797; Klein, M.L., Shinoda, W., (2008) Science, 321, pp. 798-800; Carter, E.A., (2008) Science, 321, pp. 800-803; Liechtenstein, A.I., Anisimov, V.I., Zaanen, J., (1995) Phys. Rev. B: Condens. Matter, 52, p. 5467; Lin, H., Truhlar, D., (2007) Theor. Chem. Accounts: Theor. Comput. Model. Theor. Chim. Acta, 117, pp. 185-199; Gokhale, A.A., Kandoi, S., Greeley, J.P., Mavrikakis, M., Dumesic, J.A., (2004) Chem. Eng. Sci., 59, pp. 4679-4691; Lukkien, J.J., Segers, J.P.L., Hilbers, P.A.J., Gelten, R.J., Jansen, A.P.J., (1998) Phys. Rev. E: Stat. Phys., Plasmas, Fluids, Relat. Interdiscip. Top., 58, p. 2598; Mei, D., Neurock, M., Smith, C.M., (2009) J. Catal., 268, pp. 181-195; Choi, Y., Liu, P., (2011) Catal. Today, 165, pp. 64-70; Zhu, R., Lin, M.C., (2008) J. Phys. Chem. C, 112, pp. 14481-14485; Blaylock, D.W., Ogura, T., Green, W.H., Beran, G.J.O., (2009) J. Phys. Chem. C, 113, pp. 4898-4908; Aisin to Provide Improved Fuel Cells for Test Project, , http://www2.toyota.co.jp/en/news/10/09/0907.html, TMC; Peterson, D., Winnick, J., (1996) J. Electrochem. Soc., 143, pp. 55-L56; Peterson, D.R., Winnick, J., (1998) J. Electrochem. Soc., 145, pp. 1449-1454; Liu, M., He, P., Luo, J.L., Sanger, A.R., Chuang, K.T., (2001) J. Power Sources, 94, pp. 20-25; He, P., Liu, M., Luo, J.L., Sanger, A.R., Chuang, K.T., (2002) J. Electrochem. Soc., 149, pp. 808-A814; Monder, D., Nandakumar, K., Chuang, K.T., (2005) ECS Trans., 7, pp. 837-844","page":"4380-4409","title":"From Ni-YSZ to sulfur-tolerant anode materials for SOFCs: Electrochemical behavior, in situ characterization, modeling, and future perspectives","type":"article-journal","volume":"4"},"uris":["http://www.mendeley.com/documents/?uuid=beb92e00-c73b-4147-b1ae-78bb37bdcbcf"]}],"mendeley":{"formattedCitation":"[229]","plainTextFormattedCitation":"[229]","previouslyFormattedCitation":"[229]"},"properties":{"noteIndex":0},"schema":"https://github.com/citation-style-language/schema/raw/master/csl-citation.json"}</w:instrText>
      </w:r>
      <w:r>
        <w:rPr>
          <w:bCs/>
        </w:rPr>
        <w:fldChar w:fldCharType="separate"/>
      </w:r>
      <w:r w:rsidR="006C586A" w:rsidRPr="006C586A">
        <w:rPr>
          <w:bCs/>
          <w:noProof/>
        </w:rPr>
        <w:t>[229]</w:t>
      </w:r>
      <w:r>
        <w:rPr>
          <w:bCs/>
        </w:rPr>
        <w:fldChar w:fldCharType="end"/>
      </w:r>
      <w:r w:rsidR="00007F6C" w:rsidRPr="002B6C9E">
        <w:rPr>
          <w:bCs/>
        </w:rPr>
        <w:t>. It must be noted that the SOFC stacks used were operated at 800-1000</w:t>
      </w:r>
      <w:r w:rsidR="002310D3">
        <w:rPr>
          <w:bCs/>
        </w:rPr>
        <w:t xml:space="preserve"> </w:t>
      </w:r>
      <w:r w:rsidR="00007F6C" w:rsidRPr="002B6C9E">
        <w:rPr>
          <w:rFonts w:cstheme="minorHAnsi"/>
          <w:bCs/>
        </w:rPr>
        <w:t>°</w:t>
      </w:r>
      <w:r w:rsidR="00007F6C" w:rsidRPr="002B6C9E">
        <w:rPr>
          <w:bCs/>
        </w:rPr>
        <w:t>C and may contain some variation in comparison to</w:t>
      </w:r>
      <w:r w:rsidR="00007F6C">
        <w:rPr>
          <w:bCs/>
        </w:rPr>
        <w:t xml:space="preserve"> </w:t>
      </w:r>
      <w:r w:rsidR="00007F6C">
        <w:rPr>
          <w:bCs/>
        </w:rPr>
        <w:lastRenderedPageBreak/>
        <w:t xml:space="preserve">units at difference temperatures </w:t>
      </w:r>
      <w:r w:rsidR="00007F6C">
        <w:rPr>
          <w:bCs/>
        </w:rPr>
        <w:fldChar w:fldCharType="begin" w:fldLock="1"/>
      </w:r>
      <w:r w:rsidR="00D80A5D">
        <w:rPr>
          <w:bCs/>
        </w:rPr>
        <w:instrText>ADDIN CSL_CITATION {"citationItems":[{"id":"ITEM-1","itemData":{"DOI":"10.1016/j.jpowsour.2010.07.093","ISBN":"03787753 (ISSN)","ISSN":"03787753","abstract":"The degradation mechanism of cathodes and anodes due to gaseous impurities has been considered to provide generalized understanding of materials behavior involved in degradation and hopefully to possible recovery processes. Considerations can be made in terms of (1) the chemical reactivity of gaseous impurities with a main component of electrode materials, (2) diffusivity of main components associated with chemical reactions, and (3) electrochemical reduction/oxidation processes of gaseous impurities in competing with recovery processes due to those electrochemical reactions or chemical reactions which lead to the volatilization of deposited substance and removal of poisons from the electrochemically active sites. The chemical reactivity of the main component with gaseous impurities can be well characterized in terms of the thermodynamic properties such as interaction parameters for intermetallic compounds or the stabilization energy/the valence stability of the transition-metal oxides for oxide electrodes. Diffusivity of main components should be discussed with the enhancement due to surface coverage of impurities. The electrochemical reduction/oxidation of the gaseous impurities provides the mechanism of impurities being deposited and accumulated at the electrochemical reaction sites. Possible recovery process could be examined by whether corresponding electrochemical or chemical process for the deposited substances to be volatilized is available. © 2010 Elsevier B.V. All rights reserved.","author":[{"dropping-particle":"","family":"Yokokawa","given":"Harumi","non-dropping-particle":"","parse-names":false,"suffix":""},{"dropping-particle":"","family":"Yamaji","given":"Katsuhiko","non-dropping-particle":"","parse-names":false,"suffix":""},{"dropping-particle":"","family":"Brito","given":"M. E.","non-dropping-particle":"","parse-names":false,"suffix":""},{"dropping-particle":"","family":"Kishimoto","given":"Haruo","non-dropping-particle":"","parse-names":false,"suffix":""},{"dropping-particle":"","family":"Horita","given":"Teruhisa","non-dropping-particle":"","parse-names":false,"suffix":""}],"container-title":"Journal of Power Sources","id":"ITEM-1","issue":"17","issued":{"date-parts":[["2011"]]},"language":"English","note":"Cited By :34\nExport Date: 11 October 2016\nCODEN: JPSOD\nCorrespondence Address: Yokokawa, H.; National Institute of Advanced Industrial Science and Technology (AIST), Energy Technology Research Institute, Higashi 1-1-1, Tsukuba, Ibaraki 305-8565, Japan; email: h-yokokawa@aist.go.jp\nReferences: Suzuki, M., Iwata, S., Higaki, K., Inoue, S., Shigehisa, T., Miyachi, I., Nakabayashi, H., Simazu, K., (2009) ECS Trans., 25 (2), pp. 143-148; Yokokawa, H., (2009) Handbook of Fuel Cells Fundamentals Technology and Application, Vol. 6. Advances in Electrocatalyst, Materials, Diagnostics, and Durability, pp. 923-932; Yokokawa, H., Sakai, N., Horita, T., Yamaji, K., (2009) Handbook of Fuel Cells Fundamentals Technology and Application, Vol. 6, Advances in Electrocatalyst, Materials, Diagnostics, and Durability, pp. 979-991; Yokokawa, H., Horita, T., Yamaji, K., Kishimoto, H., Xiong, Y.P., Brito, M.E., (2008) Proc. 8th European Solid Oxide Fuel Cell Forum, , B1004, July; Yamaji, K., Sakai, N., Kishimoto, H., Horita, T., Brito, M.E., Yokokawa, H., (2009) Handbook of Fuel Cells Fundamentals Technology and Application, Vol. 5, Advances in Electrocatalyst, Materials, Diagnostics, and Durability, pp. 555-565; Yokokawa, H., Horita, T., Yamaji, K., Kishimoto, H., Brito, M.E., (2010) J. Korean Ceram. Soc., 47 (1), pp. 26-38; Yokokawa, H., Horita, T., Sakai, N., Yamaji, J., Brito, M.E., Xiong, Y.P., Kishimoto, H., (2006) Solid State Ionics, 177, pp. 3193-3198; Yokokawa, H., Sakai, H., Horita, T., Yamaji, K., Brito, M.E., Kishimoto, H., (2008) J. Alloy Compd., 452, pp. 41-47; Yokokawa, H., Tu, H., Iwanschitz, B., Mai, A., (2008) J. Power Sources, 182, pp. 400-412; Marina, O.A., Pederson, L.R., Martinez, A., Gemmen, R., Gerdes, K., Finklea, H., Celik, I.B., (2009) Fuel Cell Seminar 2009 and Their Related Work; Mizusaki, J., Tagawa, H., Tsuneyoshi, K., Sawata, A., (1991) J. Electrochem. Soc., 138, p. 1867; Yokokawa, H., (2003) Annu. Rev. Mater. Res., 33, pp. 581-610; Trembly, J.P., Marques, A.I., Ohrn, T.R., Bayless, D.J., (2006) J. Power Sources, 158, pp. 263-273; Marques, A.I., Ohrn, T.R., Trembly, J.P., Ingram, D.C., Bayless, D.J., (2007) J. Power Sources, 164, pp. 659-667; Gemmen, R.S., Trembly, J., (2006) J. Power Sources, 161, pp. 1084-1095; Trembly, J.P., Gemmen, R.S., Bayless, D.J., (2007) J. Power Sources, 163, pp. 986-996; Trembly, J.P., Gemmen, R.S., Bayless, D.J., (2007) J. Power Sources, 169, pp. 347-354; Trembly, J.P., Gemmen, R.S., Bayless, D.J., (2007) J. Power Sources, 171, pp. 818-825; Xu, B., Zondlo, J.W., Finklea, H.O., Demircan, O., Gong, M., Liu, X.B., (2009) J. Power Sources, 193, pp. 739-746; Yokokawa, H., Kishimoto, H., Yamaji, K., Horita, T., (2010) J. Electrochem. Soc., 157 (6); Yokokawa, H., Kishimoto, H., Yamaji, K., Horita, T., (2009) ECS Trans., 25 (2), pp. 2131-2140; Bao, J., Krishnan, G.N., Jayaweera, P., Perez-Mariano, J., Sanjurjo, A., (2009) J. Power Sources, 193, pp. 607-616; Bao, J., Krishnan, G.N., Jayaweera, P., Kau, K.H., Sanjurjo, A., (2009) J. Power Sources, 193, pp. 617-624; Bao, J., Krishnan, G.N., Jayaweera, P., Sanjurojo, A., (2010) J. Power Sources, 195 (5), pp. 1316-1324; Kishimoto, H., Sakai, N., Yamaji, K., Horita, T., Brito, M.E., Yokokawa, H., (2008) ECS Trans., 13 (26), pp. 105-114; Horita, T., Kishimoto, H., Yamaji, K., Sakai, N., Xiong, Y.P., Brito, M.E., Yokokawa, H., (2006) Solid State Ionics, 177, pp. 3179-3185; Horita, T., Kishimoto, H., Yamaji, K., Sakai, N., Xiong, Y.P., Brito, M.E., Yokokawa, H., (2006) Adv. Sci. Technol., 45, pp. 1857-1863; Yokokawa, H., Horita, T., Sakai, N., Yamaji, K., Brito, M.E., Xiong, Y.P., Kishimoto, H., (2006) Solid State Ionics, 177, pp. 1705-1714; Yokokawa, H., Horita, T., Sakai, N., Yamaji, K., Brito, M.E., Xiong, Y.P., Kishimoto, H., (2004) Solid State Ionics, 174, pp. 205-221; Matsuzaki, Y., Yasuda, I., (2001) J. Electrochem. Soc., 148, p. 126","page":"7070-7075","title":"General considerations on degradation of Solid Oxide Fuel Cell anodes and cathodes due to impurities in gases","type":"article-journal","volume":"196"},"uris":["http://www.mendeley.com/documents/?uuid=b156a620-65e2-4b70-83b9-27481baf40d4"]}],"mendeley":{"formattedCitation":"[111]","plainTextFormattedCitation":"[111]","previouslyFormattedCitation":"[111]"},"properties":{"noteIndex":0},"schema":"https://github.com/citation-style-language/schema/raw/master/csl-citation.json"}</w:instrText>
      </w:r>
      <w:r w:rsidR="00007F6C">
        <w:rPr>
          <w:bCs/>
        </w:rPr>
        <w:fldChar w:fldCharType="separate"/>
      </w:r>
      <w:r w:rsidR="006C586A" w:rsidRPr="006C586A">
        <w:rPr>
          <w:bCs/>
          <w:noProof/>
        </w:rPr>
        <w:t>[111]</w:t>
      </w:r>
      <w:r w:rsidR="00007F6C">
        <w:rPr>
          <w:bCs/>
        </w:rPr>
        <w:fldChar w:fldCharType="end"/>
      </w:r>
      <w:r w:rsidR="00007F6C" w:rsidRPr="002B6C9E">
        <w:rPr>
          <w:bCs/>
        </w:rPr>
        <w:t>. Despite this the percolation of gases and the movement of impurity elements across various interfaces in the SOFC stack should still be like the i</w:t>
      </w:r>
      <w:r w:rsidR="00007F6C">
        <w:rPr>
          <w:bCs/>
        </w:rPr>
        <w:t>nfiltrated</w:t>
      </w:r>
      <w:r w:rsidR="00007F6C" w:rsidRPr="002B6C9E">
        <w:rPr>
          <w:bCs/>
        </w:rPr>
        <w:t xml:space="preserve"> variant. </w:t>
      </w:r>
    </w:p>
    <w:p w14:paraId="7A0C0C33" w14:textId="3FF1E7A0" w:rsidR="00007F6C" w:rsidRDefault="00007F6C" w:rsidP="004B726A">
      <w:pPr>
        <w:jc w:val="both"/>
        <w:rPr>
          <w:bCs/>
        </w:rPr>
      </w:pPr>
      <w:r w:rsidRPr="002B6C9E">
        <w:rPr>
          <w:bCs/>
        </w:rPr>
        <w:t>The authors assumed that the solid oxide stack reactions and electrochemistry could be equated to a form of corrosion. This model, known as local equilibrium approximation, lends itself to the poisoning of interfaces with elements such as sulphur and correlates well with the interface composition. In this set of experiments, a gaseous impurity level of 1</w:t>
      </w:r>
      <w:r w:rsidR="002310D3">
        <w:rPr>
          <w:bCs/>
        </w:rPr>
        <w:t xml:space="preserve"> </w:t>
      </w:r>
      <w:r w:rsidRPr="002B6C9E">
        <w:rPr>
          <w:bCs/>
        </w:rPr>
        <w:t xml:space="preserve">ppm was used to evaluate the effect on the properties of the fuel electrode. </w:t>
      </w:r>
    </w:p>
    <w:p w14:paraId="2AE7FEFF" w14:textId="77777777" w:rsidR="00007F6C" w:rsidRPr="002B6C9E" w:rsidRDefault="00007F6C" w:rsidP="004B726A">
      <w:pPr>
        <w:jc w:val="both"/>
        <w:rPr>
          <w:bCs/>
        </w:rPr>
      </w:pPr>
      <w:r w:rsidRPr="002B6C9E">
        <w:rPr>
          <w:bCs/>
        </w:rPr>
        <w:t>Gas impurities that show a strong chemical attraction to the nickel in a fuel electrode cermet include:</w:t>
      </w:r>
    </w:p>
    <w:p w14:paraId="212E4FCF" w14:textId="77777777" w:rsidR="00007F6C" w:rsidRPr="002B6C9E" w:rsidRDefault="00007F6C" w:rsidP="002310D3">
      <w:pPr>
        <w:numPr>
          <w:ilvl w:val="0"/>
          <w:numId w:val="8"/>
        </w:numPr>
        <w:spacing w:after="0"/>
        <w:jc w:val="both"/>
        <w:rPr>
          <w:bCs/>
        </w:rPr>
      </w:pPr>
      <w:r w:rsidRPr="002B6C9E">
        <w:rPr>
          <w:bCs/>
        </w:rPr>
        <w:t xml:space="preserve">Arsenic, As  </w:t>
      </w:r>
    </w:p>
    <w:p w14:paraId="08B88381" w14:textId="77777777" w:rsidR="00007F6C" w:rsidRPr="002B6C9E" w:rsidRDefault="00007F6C" w:rsidP="002310D3">
      <w:pPr>
        <w:numPr>
          <w:ilvl w:val="0"/>
          <w:numId w:val="8"/>
        </w:numPr>
        <w:spacing w:after="0"/>
        <w:jc w:val="both"/>
        <w:rPr>
          <w:bCs/>
        </w:rPr>
      </w:pPr>
      <w:r w:rsidRPr="002B6C9E">
        <w:rPr>
          <w:bCs/>
        </w:rPr>
        <w:t>Phosphorus, P</w:t>
      </w:r>
    </w:p>
    <w:p w14:paraId="2999B465" w14:textId="77777777" w:rsidR="00007F6C" w:rsidRPr="002B6C9E" w:rsidRDefault="00007F6C" w:rsidP="002310D3">
      <w:pPr>
        <w:numPr>
          <w:ilvl w:val="0"/>
          <w:numId w:val="8"/>
        </w:numPr>
        <w:jc w:val="both"/>
        <w:rPr>
          <w:bCs/>
        </w:rPr>
      </w:pPr>
      <w:r w:rsidRPr="002B6C9E">
        <w:rPr>
          <w:bCs/>
        </w:rPr>
        <w:t>Sulphur, S</w:t>
      </w:r>
    </w:p>
    <w:p w14:paraId="08AA59F1" w14:textId="77777777" w:rsidR="00007F6C" w:rsidRPr="002B6C9E" w:rsidRDefault="00007F6C" w:rsidP="004B726A">
      <w:pPr>
        <w:jc w:val="both"/>
        <w:rPr>
          <w:bCs/>
        </w:rPr>
      </w:pPr>
      <w:r w:rsidRPr="002B6C9E">
        <w:rPr>
          <w:bCs/>
        </w:rPr>
        <w:t xml:space="preserve">The formation of intermetallic phases is thought to be highly detrimental to the overall conductivity of the Ni/YSZ cermet anode this behaviour is certainly dominant for each of the three elements above. The chemical atmosphere of the reaction is also key to how prevalent deleterious secondary phase construction is to the system. </w:t>
      </w:r>
    </w:p>
    <w:p w14:paraId="0A491E76" w14:textId="1427FA94" w:rsidR="00007F6C" w:rsidRPr="002B6C9E" w:rsidRDefault="00007F6C" w:rsidP="004B726A">
      <w:pPr>
        <w:jc w:val="both"/>
        <w:rPr>
          <w:bCs/>
        </w:rPr>
      </w:pPr>
      <w:r w:rsidRPr="002B6C9E">
        <w:rPr>
          <w:bCs/>
        </w:rPr>
        <w:t xml:space="preserve">Due to thermodynamic differences between </w:t>
      </w:r>
      <w:proofErr w:type="spellStart"/>
      <w:r w:rsidRPr="002B6C9E">
        <w:rPr>
          <w:bCs/>
        </w:rPr>
        <w:t>As</w:t>
      </w:r>
      <w:proofErr w:type="spellEnd"/>
      <w:r w:rsidRPr="002B6C9E">
        <w:rPr>
          <w:bCs/>
        </w:rPr>
        <w:t xml:space="preserve"> and P in the case a reducing hydrogen rich atmosphere the basic formula of </w:t>
      </w:r>
      <w:proofErr w:type="gramStart"/>
      <w:r w:rsidRPr="002B6C9E">
        <w:rPr>
          <w:bCs/>
        </w:rPr>
        <w:t>As</w:t>
      </w:r>
      <w:proofErr w:type="gramEnd"/>
      <w:r w:rsidRPr="002B6C9E">
        <w:rPr>
          <w:bCs/>
        </w:rPr>
        <w:t xml:space="preserve"> becomes As</w:t>
      </w:r>
      <w:r w:rsidRPr="002B6C9E">
        <w:rPr>
          <w:bCs/>
          <w:vertAlign w:val="subscript"/>
        </w:rPr>
        <w:t xml:space="preserve">2 </w:t>
      </w:r>
      <w:r w:rsidRPr="002B6C9E">
        <w:rPr>
          <w:bCs/>
        </w:rPr>
        <w:t>or As</w:t>
      </w:r>
      <w:r w:rsidRPr="002B6C9E">
        <w:rPr>
          <w:bCs/>
          <w:vertAlign w:val="subscript"/>
        </w:rPr>
        <w:t>4</w:t>
      </w:r>
      <w:r w:rsidRPr="002B6C9E">
        <w:rPr>
          <w:bCs/>
        </w:rPr>
        <w:t xml:space="preserve">. Phosphorus in the presence of water reacts to form </w:t>
      </w:r>
      <w:proofErr w:type="spellStart"/>
      <w:r w:rsidRPr="002B6C9E">
        <w:rPr>
          <w:bCs/>
        </w:rPr>
        <w:t>phosphane</w:t>
      </w:r>
      <w:proofErr w:type="spellEnd"/>
      <w:r w:rsidRPr="002B6C9E">
        <w:rPr>
          <w:bCs/>
        </w:rPr>
        <w:t xml:space="preserve"> (PH</w:t>
      </w:r>
      <w:r w:rsidRPr="002B6C9E">
        <w:rPr>
          <w:bCs/>
          <w:vertAlign w:val="subscript"/>
        </w:rPr>
        <w:t>3</w:t>
      </w:r>
      <w:r w:rsidRPr="002B6C9E">
        <w:rPr>
          <w:bCs/>
        </w:rPr>
        <w:t xml:space="preserve"> ) or hydro phosphate (HPO</w:t>
      </w:r>
      <w:r w:rsidRPr="002B6C9E">
        <w:rPr>
          <w:bCs/>
          <w:vertAlign w:val="subscript"/>
        </w:rPr>
        <w:t>2</w:t>
      </w:r>
      <w:r w:rsidRPr="002B6C9E">
        <w:rPr>
          <w:bCs/>
        </w:rPr>
        <w:t>)</w:t>
      </w:r>
      <w:r>
        <w:rPr>
          <w:bCs/>
        </w:rPr>
        <w:t xml:space="preserve"> </w:t>
      </w:r>
      <w:r>
        <w:rPr>
          <w:bCs/>
        </w:rPr>
        <w:fldChar w:fldCharType="begin" w:fldLock="1"/>
      </w:r>
      <w:r w:rsidR="00D80A5D">
        <w:rPr>
          <w:bCs/>
        </w:rPr>
        <w:instrText>ADDIN CSL_CITATION {"citationItems":[{"id":"ITEM-1","itemData":{"DOI":"10.1016/j.jpowsour.2010.07.093","ISBN":"03787753 (ISSN)","ISSN":"03787753","abstract":"The degradation mechanism of cathodes and anodes due to gaseous impurities has been considered to provide generalized understanding of materials behavior involved in degradation and hopefully to possible recovery processes. Considerations can be made in terms of (1) the chemical reactivity of gaseous impurities with a main component of electrode materials, (2) diffusivity of main components associated with chemical reactions, and (3) electrochemical reduction/oxidation processes of gaseous impurities in competing with recovery processes due to those electrochemical reactions or chemical reactions which lead to the volatilization of deposited substance and removal of poisons from the electrochemically active sites. The chemical reactivity of the main component with gaseous impurities can be well characterized in terms of the thermodynamic properties such as interaction parameters for intermetallic compounds or the stabilization energy/the valence stability of the transition-metal oxides for oxide electrodes. Diffusivity of main components should be discussed with the enhancement due to surface coverage of impurities. The electrochemical reduction/oxidation of the gaseous impurities provides the mechanism of impurities being deposited and accumulated at the electrochemical reaction sites. Possible recovery process could be examined by whether corresponding electrochemical or chemical process for the deposited substances to be volatilized is available. © 2010 Elsevier B.V. All rights reserved.","author":[{"dropping-particle":"","family":"Yokokawa","given":"Harumi","non-dropping-particle":"","parse-names":false,"suffix":""},{"dropping-particle":"","family":"Yamaji","given":"Katsuhiko","non-dropping-particle":"","parse-names":false,"suffix":""},{"dropping-particle":"","family":"Brito","given":"M. E.","non-dropping-particle":"","parse-names":false,"suffix":""},{"dropping-particle":"","family":"Kishimoto","given":"Haruo","non-dropping-particle":"","parse-names":false,"suffix":""},{"dropping-particle":"","family":"Horita","given":"Teruhisa","non-dropping-particle":"","parse-names":false,"suffix":""}],"container-title":"Journal of Power Sources","id":"ITEM-1","issue":"17","issued":{"date-parts":[["2011"]]},"language":"English","note":"Cited By :34\nExport Date: 11 October 2016\nCODEN: JPSOD\nCorrespondence Address: Yokokawa, H.; National Institute of Advanced Industrial Science and Technology (AIST), Energy Technology Research Institute, Higashi 1-1-1, Tsukuba, Ibaraki 305-8565, Japan; email: h-yokokawa@aist.go.jp\nReferences: Suzuki, M., Iwata, S., Higaki, K., Inoue, S., Shigehisa, T., Miyachi, I., Nakabayashi, H., Simazu, K., (2009) ECS Trans., 25 (2), pp. 143-148; Yokokawa, H., (2009) Handbook of Fuel Cells Fundamentals Technology and Application, Vol. 6. Advances in Electrocatalyst, Materials, Diagnostics, and Durability, pp. 923-932; Yokokawa, H., Sakai, N., Horita, T., Yamaji, K., (2009) Handbook of Fuel Cells Fundamentals Technology and Application, Vol. 6, Advances in Electrocatalyst, Materials, Diagnostics, and Durability, pp. 979-991; Yokokawa, H., Horita, T., Yamaji, K., Kishimoto, H., Xiong, Y.P., Brito, M.E., (2008) Proc. 8th European Solid Oxide Fuel Cell Forum, , B1004, July; Yamaji, K., Sakai, N., Kishimoto, H., Horita, T., Brito, M.E., Yokokawa, H., (2009) Handbook of Fuel Cells Fundamentals Technology and Application, Vol. 5, Advances in Electrocatalyst, Materials, Diagnostics, and Durability, pp. 555-565; Yokokawa, H., Horita, T., Yamaji, K., Kishimoto, H., Brito, M.E., (2010) J. Korean Ceram. Soc., 47 (1), pp. 26-38; Yokokawa, H., Horita, T., Sakai, N., Yamaji, J., Brito, M.E., Xiong, Y.P., Kishimoto, H., (2006) Solid State Ionics, 177, pp. 3193-3198; Yokokawa, H., Sakai, H., Horita, T., Yamaji, K., Brito, M.E., Kishimoto, H., (2008) J. Alloy Compd., 452, pp. 41-47; Yokokawa, H., Tu, H., Iwanschitz, B., Mai, A., (2008) J. Power Sources, 182, pp. 400-412; Marina, O.A., Pederson, L.R., Martinez, A., Gemmen, R., Gerdes, K., Finklea, H., Celik, I.B., (2009) Fuel Cell Seminar 2009 and Their Related Work; Mizusaki, J., Tagawa, H., Tsuneyoshi, K., Sawata, A., (1991) J. Electrochem. Soc., 138, p. 1867; Yokokawa, H., (2003) Annu. Rev. Mater. Res., 33, pp. 581-610; Trembly, J.P., Marques, A.I., Ohrn, T.R., Bayless, D.J., (2006) J. Power Sources, 158, pp. 263-273; Marques, A.I., Ohrn, T.R., Trembly, J.P., Ingram, D.C., Bayless, D.J., (2007) J. Power Sources, 164, pp. 659-667; Gemmen, R.S., Trembly, J., (2006) J. Power Sources, 161, pp. 1084-1095; Trembly, J.P., Gemmen, R.S., Bayless, D.J., (2007) J. Power Sources, 163, pp. 986-996; Trembly, J.P., Gemmen, R.S., Bayless, D.J., (2007) J. Power Sources, 169, pp. 347-354; Trembly, J.P., Gemmen, R.S., Bayless, D.J., (2007) J. Power Sources, 171, pp. 818-825; Xu, B., Zondlo, J.W., Finklea, H.O., Demircan, O., Gong, M., Liu, X.B., (2009) J. Power Sources, 193, pp. 739-746; Yokokawa, H., Kishimoto, H., Yamaji, K., Horita, T., (2010) J. Electrochem. Soc., 157 (6); Yokokawa, H., Kishimoto, H., Yamaji, K., Horita, T., (2009) ECS Trans., 25 (2), pp. 2131-2140; Bao, J., Krishnan, G.N., Jayaweera, P., Perez-Mariano, J., Sanjurjo, A., (2009) J. Power Sources, 193, pp. 607-616; Bao, J., Krishnan, G.N., Jayaweera, P., Kau, K.H., Sanjurjo, A., (2009) J. Power Sources, 193, pp. 617-624; Bao, J., Krishnan, G.N., Jayaweera, P., Sanjurojo, A., (2010) J. Power Sources, 195 (5), pp. 1316-1324; Kishimoto, H., Sakai, N., Yamaji, K., Horita, T., Brito, M.E., Yokokawa, H., (2008) ECS Trans., 13 (26), pp. 105-114; Horita, T., Kishimoto, H., Yamaji, K., Sakai, N., Xiong, Y.P., Brito, M.E., Yokokawa, H., (2006) Solid State Ionics, 177, pp. 3179-3185; Horita, T., Kishimoto, H., Yamaji, K., Sakai, N., Xiong, Y.P., Brito, M.E., Yokokawa, H., (2006) Adv. Sci. Technol., 45, pp. 1857-1863; Yokokawa, H., Horita, T., Sakai, N., Yamaji, K., Brito, M.E., Xiong, Y.P., Kishimoto, H., (2006) Solid State Ionics, 177, pp. 1705-1714; Yokokawa, H., Horita, T., Sakai, N., Yamaji, K., Brito, M.E., Xiong, Y.P., Kishimoto, H., (2004) Solid State Ionics, 174, pp. 205-221; Matsuzaki, Y., Yasuda, I., (2001) J. Electrochem. Soc., 148, p. 126","page":"7070-7075","title":"General considerations on degradation of Solid Oxide Fuel Cell anodes and cathodes due to impurities in gases","type":"article-journal","volume":"196"},"uris":["http://www.mendeley.com/documents/?uuid=b156a620-65e2-4b70-83b9-27481baf40d4"]}],"mendeley":{"formattedCitation":"[111]","plainTextFormattedCitation":"[111]","previouslyFormattedCitation":"[111]"},"properties":{"noteIndex":0},"schema":"https://github.com/citation-style-language/schema/raw/master/csl-citation.json"}</w:instrText>
      </w:r>
      <w:r>
        <w:rPr>
          <w:bCs/>
        </w:rPr>
        <w:fldChar w:fldCharType="separate"/>
      </w:r>
      <w:r w:rsidR="006C586A" w:rsidRPr="006C586A">
        <w:rPr>
          <w:bCs/>
          <w:noProof/>
        </w:rPr>
        <w:t>[111]</w:t>
      </w:r>
      <w:r>
        <w:rPr>
          <w:bCs/>
        </w:rPr>
        <w:fldChar w:fldCharType="end"/>
      </w:r>
      <w:r w:rsidRPr="002B6C9E">
        <w:rPr>
          <w:bCs/>
        </w:rPr>
        <w:t>.</w:t>
      </w:r>
    </w:p>
    <w:p w14:paraId="32225947" w14:textId="3E4FC0D6" w:rsidR="00007F6C" w:rsidRPr="002B6C9E" w:rsidRDefault="00007F6C" w:rsidP="004B726A">
      <w:pPr>
        <w:jc w:val="both"/>
        <w:rPr>
          <w:bCs/>
        </w:rPr>
      </w:pPr>
      <w:r w:rsidRPr="002B6C9E">
        <w:rPr>
          <w:bCs/>
        </w:rPr>
        <w:t>The most popular nickel intermetallic phase for As and P is Ni</w:t>
      </w:r>
      <w:r w:rsidRPr="002B6C9E">
        <w:rPr>
          <w:bCs/>
          <w:vertAlign w:val="subscript"/>
        </w:rPr>
        <w:t>5</w:t>
      </w:r>
      <w:r w:rsidRPr="002B6C9E">
        <w:rPr>
          <w:bCs/>
        </w:rPr>
        <w:t>X</w:t>
      </w:r>
      <w:r w:rsidRPr="002B6C9E">
        <w:rPr>
          <w:bCs/>
          <w:vertAlign w:val="subscript"/>
        </w:rPr>
        <w:t xml:space="preserve">2 </w:t>
      </w:r>
      <w:r w:rsidRPr="002B6C9E">
        <w:rPr>
          <w:bCs/>
        </w:rPr>
        <w:t>where X is the impurity phase. Under oxidising conditions (which is more likely to be in the cathode) oxysalts form. The results from the fuel electrode tests hint to a dominant formation of Ni</w:t>
      </w:r>
      <w:r w:rsidRPr="002B6C9E">
        <w:rPr>
          <w:bCs/>
          <w:vertAlign w:val="subscript"/>
        </w:rPr>
        <w:t>5</w:t>
      </w:r>
      <w:r w:rsidRPr="002B6C9E">
        <w:rPr>
          <w:bCs/>
        </w:rPr>
        <w:t>As</w:t>
      </w:r>
      <w:r w:rsidRPr="002B6C9E">
        <w:rPr>
          <w:bCs/>
          <w:vertAlign w:val="subscript"/>
        </w:rPr>
        <w:t>2</w:t>
      </w:r>
      <w:r w:rsidRPr="002B6C9E">
        <w:rPr>
          <w:bCs/>
        </w:rPr>
        <w:t xml:space="preserve"> at 1ppm when both As and P impurities were introduced at 800</w:t>
      </w:r>
      <w:r w:rsidR="002310D3">
        <w:rPr>
          <w:bCs/>
        </w:rPr>
        <w:t xml:space="preserve"> </w:t>
      </w:r>
      <w:r w:rsidRPr="002B6C9E">
        <w:rPr>
          <w:rFonts w:cstheme="minorHAnsi"/>
          <w:bCs/>
        </w:rPr>
        <w:t>°</w:t>
      </w:r>
      <w:r w:rsidRPr="002B6C9E">
        <w:rPr>
          <w:bCs/>
        </w:rPr>
        <w:t xml:space="preserve">C. </w:t>
      </w:r>
    </w:p>
    <w:p w14:paraId="6AC7CC69" w14:textId="701B6909" w:rsidR="00007F6C" w:rsidRPr="002B6C9E" w:rsidRDefault="00007F6C" w:rsidP="004B726A">
      <w:pPr>
        <w:jc w:val="both"/>
        <w:rPr>
          <w:bCs/>
        </w:rPr>
      </w:pPr>
      <w:r w:rsidRPr="002B6C9E">
        <w:rPr>
          <w:bCs/>
        </w:rPr>
        <w:t>The secondary ion mass spectrometry (SIMS) results produced a surprising result in terms that the intermetallic phases did not appear to affect the degradation of the fuel electrode. The arsenic intermetallic phase Ni</w:t>
      </w:r>
      <w:r w:rsidRPr="002B6C9E">
        <w:rPr>
          <w:bCs/>
          <w:vertAlign w:val="subscript"/>
        </w:rPr>
        <w:t>5</w:t>
      </w:r>
      <w:r w:rsidRPr="002B6C9E">
        <w:rPr>
          <w:bCs/>
        </w:rPr>
        <w:t>As</w:t>
      </w:r>
      <w:r w:rsidRPr="002B6C9E">
        <w:rPr>
          <w:bCs/>
          <w:vertAlign w:val="subscript"/>
        </w:rPr>
        <w:t>2</w:t>
      </w:r>
      <w:r w:rsidRPr="002B6C9E">
        <w:rPr>
          <w:bCs/>
        </w:rPr>
        <w:t xml:space="preserve"> was found to not poison the active area when it reached the TPB, preserving the functional properties of the anode. In fact the detrimental compound which reached the TPB was an phosphorus oxysalt</w:t>
      </w:r>
      <w:r>
        <w:rPr>
          <w:bCs/>
        </w:rPr>
        <w:t xml:space="preserve"> </w:t>
      </w:r>
      <w:r>
        <w:rPr>
          <w:bCs/>
        </w:rPr>
        <w:fldChar w:fldCharType="begin" w:fldLock="1"/>
      </w:r>
      <w:r w:rsidR="00D80A5D">
        <w:rPr>
          <w:bCs/>
        </w:rPr>
        <w:instrText>ADDIN CSL_CITATION {"citationItems":[{"id":"ITEM-1","itemData":{"DOI":"10.1016/j.jpowsour.2010.07.093","ISBN":"03787753 (ISSN)","ISSN":"03787753","abstract":"The degradation mechanism of cathodes and anodes due to gaseous impurities has been considered to provide generalized understanding of materials behavior involved in degradation and hopefully to possible recovery processes. Considerations can be made in terms of (1) the chemical reactivity of gaseous impurities with a main component of electrode materials, (2) diffusivity of main components associated with chemical reactions, and (3) electrochemical reduction/oxidation processes of gaseous impurities in competing with recovery processes due to those electrochemical reactions or chemical reactions which lead to the volatilization of deposited substance and removal of poisons from the electrochemically active sites. The chemical reactivity of the main component with gaseous impurities can be well characterized in terms of the thermodynamic properties such as interaction parameters for intermetallic compounds or the stabilization energy/the valence stability of the transition-metal oxides for oxide electrodes. Diffusivity of main components should be discussed with the enhancement due to surface coverage of impurities. The electrochemical reduction/oxidation of the gaseous impurities provides the mechanism of impurities being deposited and accumulated at the electrochemical reaction sites. Possible recovery process could be examined by whether corresponding electrochemical or chemical process for the deposited substances to be volatilized is available. © 2010 Elsevier B.V. All rights reserved.","author":[{"dropping-particle":"","family":"Yokokawa","given":"Harumi","non-dropping-particle":"","parse-names":false,"suffix":""},{"dropping-particle":"","family":"Yamaji","given":"Katsuhiko","non-dropping-particle":"","parse-names":false,"suffix":""},{"dropping-particle":"","family":"Brito","given":"M. E.","non-dropping-particle":"","parse-names":false,"suffix":""},{"dropping-particle":"","family":"Kishimoto","given":"Haruo","non-dropping-particle":"","parse-names":false,"suffix":""},{"dropping-particle":"","family":"Horita","given":"Teruhisa","non-dropping-particle":"","parse-names":false,"suffix":""}],"container-title":"Journal of Power Sources","id":"ITEM-1","issue":"17","issued":{"date-parts":[["2011"]]},"language":"English","note":"Cited By :34\nExport Date: 11 October 2016\nCODEN: JPSOD\nCorrespondence Address: Yokokawa, H.; National Institute of Advanced Industrial Science and Technology (AIST), Energy Technology Research Institute, Higashi 1-1-1, Tsukuba, Ibaraki 305-8565, Japan; email: h-yokokawa@aist.go.jp\nReferences: Suzuki, M., Iwata, S., Higaki, K., Inoue, S., Shigehisa, T., Miyachi, I., Nakabayashi, H., Simazu, K., (2009) ECS Trans., 25 (2), pp. 143-148; Yokokawa, H., (2009) Handbook of Fuel Cells Fundamentals Technology and Application, Vol. 6. Advances in Electrocatalyst, Materials, Diagnostics, and Durability, pp. 923-932; Yokokawa, H., Sakai, N., Horita, T., Yamaji, K., (2009) Handbook of Fuel Cells Fundamentals Technology and Application, Vol. 6, Advances in Electrocatalyst, Materials, Diagnostics, and Durability, pp. 979-991; Yokokawa, H., Horita, T., Yamaji, K., Kishimoto, H., Xiong, Y.P., Brito, M.E., (2008) Proc. 8th European Solid Oxide Fuel Cell Forum, , B1004, July; Yamaji, K., Sakai, N., Kishimoto, H., Horita, T., Brito, M.E., Yokokawa, H., (2009) Handbook of Fuel Cells Fundamentals Technology and Application, Vol. 5, Advances in Electrocatalyst, Materials, Diagnostics, and Durability, pp. 555-565; Yokokawa, H., Horita, T., Yamaji, K., Kishimoto, H., Brito, M.E., (2010) J. Korean Ceram. Soc., 47 (1), pp. 26-38; Yokokawa, H., Horita, T., Sakai, N., Yamaji, J., Brito, M.E., Xiong, Y.P., Kishimoto, H., (2006) Solid State Ionics, 177, pp. 3193-3198; Yokokawa, H., Sakai, H., Horita, T., Yamaji, K., Brito, M.E., Kishimoto, H., (2008) J. Alloy Compd., 452, pp. 41-47; Yokokawa, H., Tu, H., Iwanschitz, B., Mai, A., (2008) J. Power Sources, 182, pp. 400-412; Marina, O.A., Pederson, L.R., Martinez, A., Gemmen, R., Gerdes, K., Finklea, H., Celik, I.B., (2009) Fuel Cell Seminar 2009 and Their Related Work; Mizusaki, J., Tagawa, H., Tsuneyoshi, K., Sawata, A., (1991) J. Electrochem. Soc., 138, p. 1867; Yokokawa, H., (2003) Annu. Rev. Mater. Res., 33, pp. 581-610; Trembly, J.P., Marques, A.I., Ohrn, T.R., Bayless, D.J., (2006) J. Power Sources, 158, pp. 263-273; Marques, A.I., Ohrn, T.R., Trembly, J.P., Ingram, D.C., Bayless, D.J., (2007) J. Power Sources, 164, pp. 659-667; Gemmen, R.S., Trembly, J., (2006) J. Power Sources, 161, pp. 1084-1095; Trembly, J.P., Gemmen, R.S., Bayless, D.J., (2007) J. Power Sources, 163, pp. 986-996; Trembly, J.P., Gemmen, R.S., Bayless, D.J., (2007) J. Power Sources, 169, pp. 347-354; Trembly, J.P., Gemmen, R.S., Bayless, D.J., (2007) J. Power Sources, 171, pp. 818-825; Xu, B., Zondlo, J.W., Finklea, H.O., Demircan, O., Gong, M., Liu, X.B., (2009) J. Power Sources, 193, pp. 739-746; Yokokawa, H., Kishimoto, H., Yamaji, K., Horita, T., (2010) J. Electrochem. Soc., 157 (6); Yokokawa, H., Kishimoto, H., Yamaji, K., Horita, T., (2009) ECS Trans., 25 (2), pp. 2131-2140; Bao, J., Krishnan, G.N., Jayaweera, P., Perez-Mariano, J., Sanjurjo, A., (2009) J. Power Sources, 193, pp. 607-616; Bao, J., Krishnan, G.N., Jayaweera, P., Kau, K.H., Sanjurjo, A., (2009) J. Power Sources, 193, pp. 617-624; Bao, J., Krishnan, G.N., Jayaweera, P., Sanjurojo, A., (2010) J. Power Sources, 195 (5), pp. 1316-1324; Kishimoto, H., Sakai, N., Yamaji, K., Horita, T., Brito, M.E., Yokokawa, H., (2008) ECS Trans., 13 (26), pp. 105-114; Horita, T., Kishimoto, H., Yamaji, K., Sakai, N., Xiong, Y.P., Brito, M.E., Yokokawa, H., (2006) Solid State Ionics, 177, pp. 3179-3185; Horita, T., Kishimoto, H., Yamaji, K., Sakai, N., Xiong, Y.P., Brito, M.E., Yokokawa, H., (2006) Adv. Sci. Technol., 45, pp. 1857-1863; Yokokawa, H., Horita, T., Sakai, N., Yamaji, K., Brito, M.E., Xiong, Y.P., Kishimoto, H., (2006) Solid State Ionics, 177, pp. 1705-1714; Yokokawa, H., Horita, T., Sakai, N., Yamaji, K., Brito, M.E., Xiong, Y.P., Kishimoto, H., (2004) Solid State Ionics, 174, pp. 205-221; Matsuzaki, Y., Yasuda, I., (2001) J. Electrochem. Soc., 148, p. 126","page":"7070-7075","title":"General considerations on degradation of Solid Oxide Fuel Cell anodes and cathodes due to impurities in gases","type":"article-journal","volume":"196"},"uris":["http://www.mendeley.com/documents/?uuid=b156a620-65e2-4b70-83b9-27481baf40d4"]}],"mendeley":{"formattedCitation":"[111]","plainTextFormattedCitation":"[111]","previouslyFormattedCitation":"[111]"},"properties":{"noteIndex":0},"schema":"https://github.com/citation-style-language/schema/raw/master/csl-citation.json"}</w:instrText>
      </w:r>
      <w:r>
        <w:rPr>
          <w:bCs/>
        </w:rPr>
        <w:fldChar w:fldCharType="separate"/>
      </w:r>
      <w:r w:rsidR="006C586A" w:rsidRPr="006C586A">
        <w:rPr>
          <w:bCs/>
          <w:noProof/>
        </w:rPr>
        <w:t>[111]</w:t>
      </w:r>
      <w:r>
        <w:rPr>
          <w:bCs/>
        </w:rPr>
        <w:fldChar w:fldCharType="end"/>
      </w:r>
      <w:r w:rsidRPr="002B6C9E">
        <w:rPr>
          <w:bCs/>
        </w:rPr>
        <w:t>. This chemical, Ni</w:t>
      </w:r>
      <w:r w:rsidRPr="002B6C9E">
        <w:rPr>
          <w:bCs/>
          <w:vertAlign w:val="subscript"/>
        </w:rPr>
        <w:t>3</w:t>
      </w:r>
      <w:r w:rsidRPr="002B6C9E">
        <w:rPr>
          <w:bCs/>
        </w:rPr>
        <w:t>(PO</w:t>
      </w:r>
      <w:r w:rsidRPr="002B6C9E">
        <w:rPr>
          <w:bCs/>
          <w:vertAlign w:val="subscript"/>
        </w:rPr>
        <w:t>4</w:t>
      </w:r>
      <w:r w:rsidRPr="002B6C9E">
        <w:rPr>
          <w:bCs/>
        </w:rPr>
        <w:t>)</w:t>
      </w:r>
      <w:r w:rsidRPr="002B6C9E">
        <w:rPr>
          <w:bCs/>
          <w:vertAlign w:val="subscript"/>
        </w:rPr>
        <w:t>2</w:t>
      </w:r>
      <w:r w:rsidRPr="002B6C9E">
        <w:rPr>
          <w:bCs/>
        </w:rPr>
        <w:t xml:space="preserve"> appeared to directly attack the Ni/ </w:t>
      </w:r>
      <w:proofErr w:type="spellStart"/>
      <w:r w:rsidRPr="002B6C9E">
        <w:rPr>
          <w:bCs/>
        </w:rPr>
        <w:t>YSZ</w:t>
      </w:r>
      <w:r w:rsidRPr="002B6C9E">
        <w:rPr>
          <w:bCs/>
          <w:vertAlign w:val="subscript"/>
        </w:rPr>
        <w:t>anode</w:t>
      </w:r>
      <w:proofErr w:type="spellEnd"/>
      <w:r w:rsidRPr="002B6C9E">
        <w:rPr>
          <w:bCs/>
        </w:rPr>
        <w:t xml:space="preserve"> / </w:t>
      </w:r>
      <w:proofErr w:type="spellStart"/>
      <w:r w:rsidRPr="002B6C9E">
        <w:rPr>
          <w:bCs/>
        </w:rPr>
        <w:t>YSZ</w:t>
      </w:r>
      <w:r w:rsidRPr="002B6C9E">
        <w:rPr>
          <w:bCs/>
          <w:vertAlign w:val="subscript"/>
        </w:rPr>
        <w:t>electrolyte</w:t>
      </w:r>
      <w:proofErr w:type="spellEnd"/>
      <w:r w:rsidRPr="002B6C9E">
        <w:rPr>
          <w:bCs/>
        </w:rPr>
        <w:t xml:space="preserve"> sites. </w:t>
      </w:r>
      <w:r w:rsidRPr="000E7920">
        <w:rPr>
          <w:bCs/>
        </w:rPr>
        <w:fldChar w:fldCharType="begin"/>
      </w:r>
      <w:r w:rsidRPr="000E7920">
        <w:rPr>
          <w:bCs/>
        </w:rPr>
        <w:instrText xml:space="preserve"> REF _Ref37065705 \h  \* MERGEFORMAT </w:instrText>
      </w:r>
      <w:r w:rsidRPr="000E7920">
        <w:rPr>
          <w:bCs/>
        </w:rPr>
      </w:r>
      <w:r w:rsidRPr="000E7920">
        <w:rPr>
          <w:bCs/>
        </w:rPr>
        <w:fldChar w:fldCharType="separate"/>
      </w:r>
      <w:r w:rsidRPr="00C103C3">
        <w:t>Figure 2.14</w:t>
      </w:r>
      <w:r w:rsidRPr="000E7920">
        <w:rPr>
          <w:bCs/>
        </w:rPr>
        <w:fldChar w:fldCharType="end"/>
      </w:r>
      <w:r w:rsidRPr="000E7920">
        <w:rPr>
          <w:bCs/>
        </w:rPr>
        <w:t xml:space="preserve"> </w:t>
      </w:r>
      <w:r>
        <w:rPr>
          <w:bCs/>
        </w:rPr>
        <w:t xml:space="preserve">below </w:t>
      </w:r>
      <w:r w:rsidRPr="002B6C9E">
        <w:rPr>
          <w:bCs/>
        </w:rPr>
        <w:t xml:space="preserve">illustrates the movement of </w:t>
      </w:r>
      <w:proofErr w:type="spellStart"/>
      <w:r w:rsidRPr="002B6C9E">
        <w:rPr>
          <w:bCs/>
        </w:rPr>
        <w:t>Ar</w:t>
      </w:r>
      <w:proofErr w:type="spellEnd"/>
      <w:r w:rsidRPr="002B6C9E">
        <w:rPr>
          <w:bCs/>
        </w:rPr>
        <w:t xml:space="preserve"> and P phases through the fuel electrode arrangement: </w:t>
      </w:r>
    </w:p>
    <w:p w14:paraId="0DF9CD43" w14:textId="77777777" w:rsidR="00007F6C" w:rsidRPr="002B6C9E" w:rsidRDefault="00007F6C" w:rsidP="004B726A">
      <w:pPr>
        <w:keepNext/>
        <w:jc w:val="center"/>
      </w:pPr>
      <w:r w:rsidRPr="002B6C9E">
        <w:rPr>
          <w:bCs/>
          <w:noProof/>
          <w:lang w:eastAsia="en-GB"/>
        </w:rPr>
        <w:drawing>
          <wp:inline distT="0" distB="0" distL="0" distR="0" wp14:anchorId="76B52417" wp14:editId="7170F3BE">
            <wp:extent cx="3600000" cy="2269755"/>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oisoning of TPB from As and P Yokokawa et al 2011.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00000" cy="2269755"/>
                    </a:xfrm>
                    <a:prstGeom prst="rect">
                      <a:avLst/>
                    </a:prstGeom>
                  </pic:spPr>
                </pic:pic>
              </a:graphicData>
            </a:graphic>
          </wp:inline>
        </w:drawing>
      </w:r>
    </w:p>
    <w:p w14:paraId="43443338" w14:textId="3B4005A0" w:rsidR="00007F6C" w:rsidRPr="00582C49" w:rsidRDefault="00007F6C" w:rsidP="004B726A">
      <w:pPr>
        <w:jc w:val="center"/>
        <w:rPr>
          <w:bCs/>
          <w:i/>
          <w:iCs/>
          <w:color w:val="44546A" w:themeColor="text2"/>
          <w:sz w:val="18"/>
          <w:szCs w:val="18"/>
        </w:rPr>
      </w:pPr>
      <w:bookmarkStart w:id="102" w:name="_Ref37065705"/>
      <w:bookmarkStart w:id="103" w:name="_Toc69114926"/>
      <w:r w:rsidRPr="00582C49">
        <w:rPr>
          <w:i/>
          <w:iCs/>
          <w:color w:val="44546A" w:themeColor="text2"/>
          <w:sz w:val="18"/>
          <w:szCs w:val="18"/>
        </w:rPr>
        <w:t xml:space="preserve">Figure </w:t>
      </w:r>
      <w:r>
        <w:rPr>
          <w:i/>
          <w:iCs/>
          <w:color w:val="44546A" w:themeColor="text2"/>
          <w:sz w:val="18"/>
          <w:szCs w:val="18"/>
        </w:rPr>
        <w:t>2.</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804219">
        <w:rPr>
          <w:i/>
          <w:iCs/>
          <w:noProof/>
          <w:color w:val="44546A" w:themeColor="text2"/>
          <w:sz w:val="18"/>
          <w:szCs w:val="18"/>
        </w:rPr>
        <w:t>14</w:t>
      </w:r>
      <w:r w:rsidR="00285C23">
        <w:rPr>
          <w:i/>
          <w:iCs/>
          <w:color w:val="44546A" w:themeColor="text2"/>
          <w:sz w:val="18"/>
          <w:szCs w:val="18"/>
        </w:rPr>
        <w:fldChar w:fldCharType="end"/>
      </w:r>
      <w:bookmarkEnd w:id="102"/>
      <w:r w:rsidRPr="00582C49">
        <w:rPr>
          <w:i/>
          <w:iCs/>
          <w:color w:val="44546A" w:themeColor="text2"/>
          <w:sz w:val="18"/>
          <w:szCs w:val="18"/>
        </w:rPr>
        <w:t xml:space="preserve">: Diagram depicting the movement of As and P containing species through the cermet anode structure </w:t>
      </w:r>
      <w:r w:rsidRPr="00582C49">
        <w:rPr>
          <w:i/>
          <w:iCs/>
          <w:color w:val="44546A" w:themeColor="text2"/>
          <w:sz w:val="18"/>
          <w:szCs w:val="18"/>
        </w:rPr>
        <w:fldChar w:fldCharType="begin" w:fldLock="1"/>
      </w:r>
      <w:r w:rsidR="00D80A5D">
        <w:rPr>
          <w:i/>
          <w:iCs/>
          <w:color w:val="44546A" w:themeColor="text2"/>
          <w:sz w:val="18"/>
          <w:szCs w:val="18"/>
        </w:rPr>
        <w:instrText>ADDIN CSL_CITATION {"citationItems":[{"id":"ITEM-1","itemData":{"DOI":"10.1016/j.jpowsour.2010.07.093","ISBN":"03787753 (ISSN)","ISSN":"03787753","abstract":"The degradation mechanism of cathodes and anodes due to gaseous impurities has been considered to provide generalized understanding of materials behavior involved in degradation and hopefully to possible recovery processes. Considerations can be made in terms of (1) the chemical reactivity of gaseous impurities with a main component of electrode materials, (2) diffusivity of main components associated with chemical reactions, and (3) electrochemical reduction/oxidation processes of gaseous impurities in competing with recovery processes due to those electrochemical reactions or chemical reactions which lead to the volatilization of deposited substance and removal of poisons from the electrochemically active sites. The chemical reactivity of the main component with gaseous impurities can be well characterized in terms of the thermodynamic properties such as interaction parameters for intermetallic compounds or the stabilization energy/the valence stability of the transition-metal oxides for oxide electrodes. Diffusivity of main components should be discussed with the enhancement due to surface coverage of impurities. The electrochemical reduction/oxidation of the gaseous impurities provides the mechanism of impurities being deposited and accumulated at the electrochemical reaction sites. Possible recovery process could be examined by whether corresponding electrochemical or chemical process for the deposited substances to be volatilized is available. © 2010 Elsevier B.V. All rights reserved.","author":[{"dropping-particle":"","family":"Yokokawa","given":"Harumi","non-dropping-particle":"","parse-names":false,"suffix":""},{"dropping-particle":"","family":"Yamaji","given":"Katsuhiko","non-dropping-particle":"","parse-names":false,"suffix":""},{"dropping-particle":"","family":"Brito","given":"M. E.","non-dropping-particle":"","parse-names":false,"suffix":""},{"dropping-particle":"","family":"Kishimoto","given":"Haruo","non-dropping-particle":"","parse-names":false,"suffix":""},{"dropping-particle":"","family":"Horita","given":"Teruhisa","non-dropping-particle":"","parse-names":false,"suffix":""}],"container-title":"Journal of Power Sources","id":"ITEM-1","issue":"17","issued":{"date-parts":[["2011"]]},"language":"English","note":"Cited By :34\nExport Date: 11 October 2016\nCODEN: JPSOD\nCorrespondence Address: Yokokawa, H.; National Institute of Advanced Industrial Science and Technology (AIST), Energy Technology Research Institute, Higashi 1-1-1, Tsukuba, Ibaraki 305-8565, Japan; email: h-yokokawa@aist.go.jp\nReferences: Suzuki, M., Iwata, S., Higaki, K., Inoue, S., Shigehisa, T., Miyachi, I., Nakabayashi, H., Simazu, K., (2009) ECS Trans., 25 (2), pp. 143-148; Yokokawa, H., (2009) Handbook of Fuel Cells Fundamentals Technology and Application, Vol. 6. Advances in Electrocatalyst, Materials, Diagnostics, and Durability, pp. 923-932; Yokokawa, H., Sakai, N., Horita, T., Yamaji, K., (2009) Handbook of Fuel Cells Fundamentals Technology and Application, Vol. 6, Advances in Electrocatalyst, Materials, Diagnostics, and Durability, pp. 979-991; Yokokawa, H., Horita, T., Yamaji, K., Kishimoto, H., Xiong, Y.P., Brito, M.E., (2008) Proc. 8th European Solid Oxide Fuel Cell Forum, , B1004, July; Yamaji, K., Sakai, N., Kishimoto, H., Horita, T., Brito, M.E., Yokokawa, H., (2009) Handbook of Fuel Cells Fundamentals Technology and Application, Vol. 5, Advances in Electrocatalyst, Materials, Diagnostics, and Durability, pp. 555-565; Yokokawa, H., Horita, T., Yamaji, K., Kishimoto, H., Brito, M.E., (2010) J. Korean Ceram. Soc., 47 (1), pp. 26-38; Yokokawa, H., Horita, T., Sakai, N., Yamaji, J., Brito, M.E., Xiong, Y.P., Kishimoto, H., (2006) Solid State Ionics, 177, pp. 3193-3198; Yokokawa, H., Sakai, H., Horita, T., Yamaji, K., Brito, M.E., Kishimoto, H., (2008) J. Alloy Compd., 452, pp. 41-47; Yokokawa, H., Tu, H., Iwanschitz, B., Mai, A., (2008) J. Power Sources, 182, pp. 400-412; Marina, O.A., Pederson, L.R., Martinez, A., Gemmen, R., Gerdes, K., Finklea, H., Celik, I.B., (2009) Fuel Cell Seminar 2009 and Their Related Work; Mizusaki, J., Tagawa, H., Tsuneyoshi, K., Sawata, A., (1991) J. Electrochem. Soc., 138, p. 1867; Yokokawa, H., (2003) Annu. Rev. Mater. Res., 33, pp. 581-610; Trembly, J.P., Marques, A.I., Ohrn, T.R., Bayless, D.J., (2006) J. Power Sources, 158, pp. 263-273; Marques, A.I., Ohrn, T.R., Trembly, J.P., Ingram, D.C., Bayless, D.J., (2007) J. Power Sources, 164, pp. 659-667; Gemmen, R.S., Trembly, J., (2006) J. Power Sources, 161, pp. 1084-1095; Trembly, J.P., Gemmen, R.S., Bayless, D.J., (2007) J. Power Sources, 163, pp. 986-996; Trembly, J.P., Gemmen, R.S., Bayless, D.J., (2007) J. Power Sources, 169, pp. 347-354; Trembly, J.P., Gemmen, R.S., Bayless, D.J., (2007) J. Power Sources, 171, pp. 818-825; Xu, B., Zondlo, J.W., Finklea, H.O., Demircan, O., Gong, M., Liu, X.B., (2009) J. Power Sources, 193, pp. 739-746; Yokokawa, H., Kishimoto, H., Yamaji, K., Horita, T., (2010) J. Electrochem. Soc., 157 (6); Yokokawa, H., Kishimoto, H., Yamaji, K., Horita, T., (2009) ECS Trans., 25 (2), pp. 2131-2140; Bao, J., Krishnan, G.N., Jayaweera, P., Perez-Mariano, J., Sanjurjo, A., (2009) J. Power Sources, 193, pp. 607-616; Bao, J., Krishnan, G.N., Jayaweera, P., Kau, K.H., Sanjurjo, A., (2009) J. Power Sources, 193, pp. 617-624; Bao, J., Krishnan, G.N., Jayaweera, P., Sanjurojo, A., (2010) J. Power Sources, 195 (5), pp. 1316-1324; Kishimoto, H., Sakai, N., Yamaji, K., Horita, T., Brito, M.E., Yokokawa, H., (2008) ECS Trans., 13 (26), pp. 105-114; Horita, T., Kishimoto, H., Yamaji, K., Sakai, N., Xiong, Y.P., Brito, M.E., Yokokawa, H., (2006) Solid State Ionics, 177, pp. 3179-3185; Horita, T., Kishimoto, H., Yamaji, K., Sakai, N., Xiong, Y.P., Brito, M.E., Yokokawa, H., (2006) Adv. Sci. Technol., 45, pp. 1857-1863; Yokokawa, H., Horita, T., Sakai, N., Yamaji, K., Brito, M.E., Xiong, Y.P., Kishimoto, H., (2006) Solid State Ionics, 177, pp. 1705-1714; Yokokawa, H., Horita, T., Sakai, N., Yamaji, K., Brito, M.E., Xiong, Y.P., Kishimoto, H., (2004) Solid State Ionics, 174, pp. 205-221; Matsuzaki, Y., Yasuda, I., (2001) J. Electrochem. Soc., 148, p. 126","page":"7070-7075","title":"General considerations on degradation of Solid Oxide Fuel Cell anodes and cathodes due to impurities in gases","type":"article-journal","volume":"196"},"uris":["http://www.mendeley.com/documents/?uuid=b156a620-65e2-4b70-83b9-27481baf40d4"]}],"mendeley":{"formattedCitation":"[111]","plainTextFormattedCitation":"[111]","previouslyFormattedCitation":"[111]"},"properties":{"noteIndex":0},"schema":"https://github.com/citation-style-language/schema/raw/master/csl-citation.json"}</w:instrText>
      </w:r>
      <w:r w:rsidRPr="00582C49">
        <w:rPr>
          <w:i/>
          <w:iCs/>
          <w:color w:val="44546A" w:themeColor="text2"/>
          <w:sz w:val="18"/>
          <w:szCs w:val="18"/>
        </w:rPr>
        <w:fldChar w:fldCharType="separate"/>
      </w:r>
      <w:r w:rsidR="006C586A" w:rsidRPr="006C586A">
        <w:rPr>
          <w:iCs/>
          <w:noProof/>
          <w:color w:val="44546A" w:themeColor="text2"/>
          <w:sz w:val="18"/>
          <w:szCs w:val="18"/>
        </w:rPr>
        <w:t>[111]</w:t>
      </w:r>
      <w:bookmarkEnd w:id="103"/>
      <w:r w:rsidRPr="00582C49">
        <w:rPr>
          <w:i/>
          <w:iCs/>
          <w:color w:val="44546A" w:themeColor="text2"/>
          <w:sz w:val="18"/>
          <w:szCs w:val="18"/>
        </w:rPr>
        <w:fldChar w:fldCharType="end"/>
      </w:r>
    </w:p>
    <w:p w14:paraId="2A6DC7CF" w14:textId="6548C44C" w:rsidR="00007F6C" w:rsidRPr="002B6C9E" w:rsidRDefault="00007F6C" w:rsidP="004B726A">
      <w:pPr>
        <w:jc w:val="both"/>
      </w:pPr>
      <w:r w:rsidRPr="002B6C9E">
        <w:lastRenderedPageBreak/>
        <w:t>Formation of nickel phosphor oxysalt at the TPB The TPB is the position where a large amount of charge transfer occurs due to the formation of water vapour, the movement of electrons and ions through the anode. This underlines the importance determining the amount of charge transferred to each Ni particle. This was calculated to be 1.16x10</w:t>
      </w:r>
      <w:r w:rsidRPr="002B6C9E">
        <w:rPr>
          <w:vertAlign w:val="superscript"/>
        </w:rPr>
        <w:t>-20</w:t>
      </w:r>
      <w:r w:rsidR="002310D3">
        <w:rPr>
          <w:vertAlign w:val="superscript"/>
        </w:rPr>
        <w:t xml:space="preserve"> </w:t>
      </w:r>
      <w:r w:rsidRPr="002B6C9E">
        <w:t>C, however the issues with models such as this is that it has not been confirmed by experimental data</w:t>
      </w:r>
      <w:r>
        <w:t xml:space="preserve"> </w:t>
      </w:r>
      <w:r>
        <w:fldChar w:fldCharType="begin" w:fldLock="1"/>
      </w:r>
      <w:r w:rsidR="00D80A5D">
        <w:instrText>ADDIN CSL_CITATION {"citationItems":[{"id":"ITEM-1","itemData":{"DOI":"10.1016/j.jpowsour.2010.07.093","ISBN":"03787753 (ISSN)","ISSN":"03787753","abstract":"The degradation mechanism of cathodes and anodes due to gaseous impurities has been considered to provide generalized understanding of materials behavior involved in degradation and hopefully to possible recovery processes. Considerations can be made in terms of (1) the chemical reactivity of gaseous impurities with a main component of electrode materials, (2) diffusivity of main components associated with chemical reactions, and (3) electrochemical reduction/oxidation processes of gaseous impurities in competing with recovery processes due to those electrochemical reactions or chemical reactions which lead to the volatilization of deposited substance and removal of poisons from the electrochemically active sites. The chemical reactivity of the main component with gaseous impurities can be well characterized in terms of the thermodynamic properties such as interaction parameters for intermetallic compounds or the stabilization energy/the valence stability of the transition-metal oxides for oxide electrodes. Diffusivity of main components should be discussed with the enhancement due to surface coverage of impurities. The electrochemical reduction/oxidation of the gaseous impurities provides the mechanism of impurities being deposited and accumulated at the electrochemical reaction sites. Possible recovery process could be examined by whether corresponding electrochemical or chemical process for the deposited substances to be volatilized is available. © 2010 Elsevier B.V. All rights reserved.","author":[{"dropping-particle":"","family":"Yokokawa","given":"Harumi","non-dropping-particle":"","parse-names":false,"suffix":""},{"dropping-particle":"","family":"Yamaji","given":"Katsuhiko","non-dropping-particle":"","parse-names":false,"suffix":""},{"dropping-particle":"","family":"Brito","given":"M. E.","non-dropping-particle":"","parse-names":false,"suffix":""},{"dropping-particle":"","family":"Kishimoto","given":"Haruo","non-dropping-particle":"","parse-names":false,"suffix":""},{"dropping-particle":"","family":"Horita","given":"Teruhisa","non-dropping-particle":"","parse-names":false,"suffix":""}],"container-title":"Journal of Power Sources","id":"ITEM-1","issue":"17","issued":{"date-parts":[["2011"]]},"language":"English","note":"Cited By :34\nExport Date: 11 October 2016\nCODEN: JPSOD\nCorrespondence Address: Yokokawa, H.; National Institute of Advanced Industrial Science and Technology (AIST), Energy Technology Research Institute, Higashi 1-1-1, Tsukuba, Ibaraki 305-8565, Japan; email: h-yokokawa@aist.go.jp\nReferences: Suzuki, M., Iwata, S., Higaki, K., Inoue, S., Shigehisa, T., Miyachi, I., Nakabayashi, H., Simazu, K., (2009) ECS Trans., 25 (2), pp. 143-148; Yokokawa, H., (2009) Handbook of Fuel Cells Fundamentals Technology and Application, Vol. 6. Advances in Electrocatalyst, Materials, Diagnostics, and Durability, pp. 923-932; Yokokawa, H., Sakai, N., Horita, T., Yamaji, K., (2009) Handbook of Fuel Cells Fundamentals Technology and Application, Vol. 6, Advances in Electrocatalyst, Materials, Diagnostics, and Durability, pp. 979-991; Yokokawa, H., Horita, T., Yamaji, K., Kishimoto, H., Xiong, Y.P., Brito, M.E., (2008) Proc. 8th European Solid Oxide Fuel Cell Forum, , B1004, July; Yamaji, K., Sakai, N., Kishimoto, H., Horita, T., Brito, M.E., Yokokawa, H., (2009) Handbook of Fuel Cells Fundamentals Technology and Application, Vol. 5, Advances in Electrocatalyst, Materials, Diagnostics, and Durability, pp. 555-565; Yokokawa, H., Horita, T., Yamaji, K., Kishimoto, H., Brito, M.E., (2010) J. Korean Ceram. Soc., 47 (1), pp. 26-38; Yokokawa, H., Horita, T., Sakai, N., Yamaji, J., Brito, M.E., Xiong, Y.P., Kishimoto, H., (2006) Solid State Ionics, 177, pp. 3193-3198; Yokokawa, H., Sakai, H., Horita, T., Yamaji, K., Brito, M.E., Kishimoto, H., (2008) J. Alloy Compd., 452, pp. 41-47; Yokokawa, H., Tu, H., Iwanschitz, B., Mai, A., (2008) J. Power Sources, 182, pp. 400-412; Marina, O.A., Pederson, L.R., Martinez, A., Gemmen, R., Gerdes, K., Finklea, H., Celik, I.B., (2009) Fuel Cell Seminar 2009 and Their Related Work; Mizusaki, J., Tagawa, H., Tsuneyoshi, K., Sawata, A., (1991) J. Electrochem. Soc., 138, p. 1867; Yokokawa, H., (2003) Annu. Rev. Mater. Res., 33, pp. 581-610; Trembly, J.P., Marques, A.I., Ohrn, T.R., Bayless, D.J., (2006) J. Power Sources, 158, pp. 263-273; Marques, A.I., Ohrn, T.R., Trembly, J.P., Ingram, D.C., Bayless, D.J., (2007) J. Power Sources, 164, pp. 659-667; Gemmen, R.S., Trembly, J., (2006) J. Power Sources, 161, pp. 1084-1095; Trembly, J.P., Gemmen, R.S., Bayless, D.J., (2007) J. Power Sources, 163, pp. 986-996; Trembly, J.P., Gemmen, R.S., Bayless, D.J., (2007) J. Power Sources, 169, pp. 347-354; Trembly, J.P., Gemmen, R.S., Bayless, D.J., (2007) J. Power Sources, 171, pp. 818-825; Xu, B., Zondlo, J.W., Finklea, H.O., Demircan, O., Gong, M., Liu, X.B., (2009) J. Power Sources, 193, pp. 739-746; Yokokawa, H., Kishimoto, H., Yamaji, K., Horita, T., (2010) J. Electrochem. Soc., 157 (6); Yokokawa, H., Kishimoto, H., Yamaji, K., Horita, T., (2009) ECS Trans., 25 (2), pp. 2131-2140; Bao, J., Krishnan, G.N., Jayaweera, P., Perez-Mariano, J., Sanjurjo, A., (2009) J. Power Sources, 193, pp. 607-616; Bao, J., Krishnan, G.N., Jayaweera, P., Kau, K.H., Sanjurjo, A., (2009) J. Power Sources, 193, pp. 617-624; Bao, J., Krishnan, G.N., Jayaweera, P., Sanjurojo, A., (2010) J. Power Sources, 195 (5), pp. 1316-1324; Kishimoto, H., Sakai, N., Yamaji, K., Horita, T., Brito, M.E., Yokokawa, H., (2008) ECS Trans., 13 (26), pp. 105-114; Horita, T., Kishimoto, H., Yamaji, K., Sakai, N., Xiong, Y.P., Brito, M.E., Yokokawa, H., (2006) Solid State Ionics, 177, pp. 3179-3185; Horita, T., Kishimoto, H., Yamaji, K., Sakai, N., Xiong, Y.P., Brito, M.E., Yokokawa, H., (2006) Adv. Sci. Technol., 45, pp. 1857-1863; Yokokawa, H., Horita, T., Sakai, N., Yamaji, K., Brito, M.E., Xiong, Y.P., Kishimoto, H., (2006) Solid State Ionics, 177, pp. 1705-1714; Yokokawa, H., Horita, T., Sakai, N., Yamaji, K., Brito, M.E., Xiong, Y.P., Kishimoto, H., (2004) Solid State Ionics, 174, pp. 205-221; Matsuzaki, Y., Yasuda, I., (2001) J. Electrochem. Soc., 148, p. 126","page":"7070-7075","title":"General considerations on degradation of Solid Oxide Fuel Cell anodes and cathodes due to impurities in gases","type":"article-journal","volume":"196"},"uris":["http://www.mendeley.com/documents/?uuid=b156a620-65e2-4b70-83b9-27481baf40d4"]}],"mendeley":{"formattedCitation":"[111]","plainTextFormattedCitation":"[111]","previouslyFormattedCitation":"[111]"},"properties":{"noteIndex":0},"schema":"https://github.com/citation-style-language/schema/raw/master/csl-citation.json"}</w:instrText>
      </w:r>
      <w:r>
        <w:fldChar w:fldCharType="separate"/>
      </w:r>
      <w:r w:rsidR="006C586A" w:rsidRPr="006C586A">
        <w:rPr>
          <w:noProof/>
        </w:rPr>
        <w:t>[111]</w:t>
      </w:r>
      <w:r>
        <w:fldChar w:fldCharType="end"/>
      </w:r>
      <w:r w:rsidRPr="002B6C9E">
        <w:t xml:space="preserve">. </w:t>
      </w:r>
    </w:p>
    <w:p w14:paraId="50970938" w14:textId="0970BC31" w:rsidR="00007F6C" w:rsidRDefault="00007F6C" w:rsidP="004B726A">
      <w:pPr>
        <w:jc w:val="both"/>
        <w:rPr>
          <w:bCs/>
        </w:rPr>
      </w:pPr>
      <w:r w:rsidRPr="002B6C9E">
        <w:rPr>
          <w:bCs/>
        </w:rPr>
        <w:t xml:space="preserve">This certainly explains the reason to </w:t>
      </w:r>
      <w:r>
        <w:rPr>
          <w:bCs/>
        </w:rPr>
        <w:t>reduce</w:t>
      </w:r>
      <w:r w:rsidRPr="002B6C9E">
        <w:rPr>
          <w:bCs/>
        </w:rPr>
        <w:t xml:space="preserve"> the operating temperature from 800</w:t>
      </w:r>
      <w:r w:rsidR="002310D3">
        <w:rPr>
          <w:bCs/>
        </w:rPr>
        <w:t xml:space="preserve"> </w:t>
      </w:r>
      <w:r w:rsidRPr="002B6C9E">
        <w:rPr>
          <w:rFonts w:cstheme="minorHAnsi"/>
          <w:bCs/>
        </w:rPr>
        <w:t>°</w:t>
      </w:r>
      <w:r w:rsidRPr="002B6C9E">
        <w:rPr>
          <w:bCs/>
        </w:rPr>
        <w:t xml:space="preserve">C </w:t>
      </w:r>
      <w:r>
        <w:rPr>
          <w:bCs/>
        </w:rPr>
        <w:t xml:space="preserve">to </w:t>
      </w:r>
      <w:r w:rsidRPr="002B6C9E">
        <w:rPr>
          <w:bCs/>
        </w:rPr>
        <w:t>650</w:t>
      </w:r>
      <w:r w:rsidR="002310D3">
        <w:rPr>
          <w:bCs/>
        </w:rPr>
        <w:t xml:space="preserve"> </w:t>
      </w:r>
      <w:r w:rsidRPr="002B6C9E">
        <w:rPr>
          <w:rFonts w:cstheme="minorHAnsi"/>
          <w:bCs/>
        </w:rPr>
        <w:t>°</w:t>
      </w:r>
      <w:r w:rsidRPr="002B6C9E">
        <w:rPr>
          <w:bCs/>
        </w:rPr>
        <w:t>C even just to slow down the reaction kinetics for the formation of the phosphorus oxysalts in</w:t>
      </w:r>
      <w:r>
        <w:rPr>
          <w:bCs/>
        </w:rPr>
        <w:t xml:space="preserve"> </w:t>
      </w:r>
      <w:r>
        <w:rPr>
          <w:bCs/>
        </w:rPr>
        <w:fldChar w:fldCharType="begin"/>
      </w:r>
      <w:r>
        <w:rPr>
          <w:bCs/>
        </w:rPr>
        <w:instrText xml:space="preserve"> REF _Ref49775939 \h </w:instrText>
      </w:r>
      <w:r>
        <w:rPr>
          <w:bCs/>
        </w:rPr>
      </w:r>
      <w:r>
        <w:rPr>
          <w:bCs/>
        </w:rPr>
        <w:fldChar w:fldCharType="separate"/>
      </w:r>
      <w:r>
        <w:t>Equation 2.</w:t>
      </w:r>
      <w:r>
        <w:rPr>
          <w:noProof/>
        </w:rPr>
        <w:t>9</w:t>
      </w:r>
      <w:r>
        <w:rPr>
          <w:bCs/>
        </w:rPr>
        <w:fldChar w:fldCharType="end"/>
      </w:r>
      <w:r w:rsidRPr="002B6C9E">
        <w:rPr>
          <w:bCs/>
        </w:rPr>
        <w:t xml:space="preserve">. The formation of nickel intermetallic and impurity phases means that the catalyst content at the anode surface is severely reduced. This nickel exhaustion in the fuel electrode dominates at high temperatures so reducing the operating temperature should help mitigate this problem. </w:t>
      </w:r>
    </w:p>
    <w:p w14:paraId="4D498BF3" w14:textId="77777777" w:rsidR="00007F6C" w:rsidRPr="002B6C9E" w:rsidRDefault="00007F6C" w:rsidP="004B726A">
      <w:pPr>
        <w:keepNext/>
        <w:jc w:val="both"/>
        <w:rPr>
          <w:rFonts w:eastAsiaTheme="minorEastAsia"/>
          <w:bCs/>
        </w:rPr>
      </w:pPr>
      <m:oMathPara>
        <m:oMath>
          <m:r>
            <m:rPr>
              <m:sty m:val="p"/>
            </m:rPr>
            <w:rPr>
              <w:rFonts w:ascii="Cambria Math" w:hAnsi="Cambria Math"/>
            </w:rPr>
            <m:t>3Ni+2HP</m:t>
          </m:r>
          <m:sSub>
            <m:sSubPr>
              <m:ctrlPr>
                <w:rPr>
                  <w:rFonts w:ascii="Cambria Math" w:hAnsi="Cambria Math"/>
                  <w:bCs/>
                  <w:i/>
                </w:rPr>
              </m:ctrlPr>
            </m:sSubPr>
            <m:e>
              <m:r>
                <m:rPr>
                  <m:sty m:val="p"/>
                </m:rPr>
                <w:rPr>
                  <w:rFonts w:ascii="Cambria Math" w:hAnsi="Cambria Math"/>
                </w:rPr>
                <m:t>O</m:t>
              </m:r>
            </m:e>
            <m:sub>
              <m:r>
                <m:rPr>
                  <m:sty m:val="p"/>
                </m:rPr>
                <w:rPr>
                  <w:rFonts w:ascii="Cambria Math" w:hAnsi="Cambria Math"/>
                </w:rPr>
                <m:t>2(g)</m:t>
              </m:r>
            </m:sub>
          </m:sSub>
          <m:r>
            <m:rPr>
              <m:sty m:val="p"/>
            </m:rPr>
            <w:rPr>
              <w:rFonts w:ascii="Cambria Math" w:hAnsi="Cambria Math"/>
            </w:rPr>
            <m:t>+</m:t>
          </m:r>
          <m:sSup>
            <m:sSupPr>
              <m:ctrlPr>
                <w:rPr>
                  <w:rFonts w:ascii="Cambria Math" w:hAnsi="Cambria Math"/>
                  <w:bCs/>
                  <w:i/>
                </w:rPr>
              </m:ctrlPr>
            </m:sSupPr>
            <m:e>
              <m:r>
                <m:rPr>
                  <m:sty m:val="p"/>
                </m:rPr>
                <w:rPr>
                  <w:rFonts w:ascii="Cambria Math" w:hAnsi="Cambria Math"/>
                </w:rPr>
                <m:t>4O</m:t>
              </m:r>
            </m:e>
            <m:sup>
              <m:r>
                <m:rPr>
                  <m:sty m:val="p"/>
                </m:rPr>
                <w:rPr>
                  <w:rFonts w:ascii="Cambria Math" w:hAnsi="Cambria Math"/>
                </w:rPr>
                <m:t>2-</m:t>
              </m:r>
            </m:sup>
          </m:sSup>
          <m:r>
            <m:rPr>
              <m:sty m:val="p"/>
            </m:rPr>
            <w:rPr>
              <w:rFonts w:ascii="Cambria Math" w:hAnsi="Cambria Math"/>
            </w:rPr>
            <m:t xml:space="preserve"> →</m:t>
          </m:r>
          <m:sSub>
            <m:sSubPr>
              <m:ctrlPr>
                <w:rPr>
                  <w:rFonts w:ascii="Cambria Math" w:hAnsi="Cambria Math"/>
                  <w:bCs/>
                  <w:i/>
                </w:rPr>
              </m:ctrlPr>
            </m:sSubPr>
            <m:e>
              <m:r>
                <m:rPr>
                  <m:sty m:val="p"/>
                </m:rPr>
                <w:rPr>
                  <w:rFonts w:ascii="Cambria Math" w:hAnsi="Cambria Math"/>
                </w:rPr>
                <m:t>Ni</m:t>
              </m:r>
            </m:e>
            <m:sub>
              <m:r>
                <m:rPr>
                  <m:sty m:val="p"/>
                </m:rPr>
                <w:rPr>
                  <w:rFonts w:ascii="Cambria Math" w:hAnsi="Cambria Math"/>
                </w:rPr>
                <m:t>3</m:t>
              </m:r>
            </m:sub>
          </m:sSub>
          <m:sSub>
            <m:sSubPr>
              <m:ctrlPr>
                <w:rPr>
                  <w:rFonts w:ascii="Cambria Math" w:hAnsi="Cambria Math"/>
                  <w:bCs/>
                  <w:i/>
                </w:rPr>
              </m:ctrlPr>
            </m:sSubPr>
            <m:e>
              <m:r>
                <m:rPr>
                  <m:sty m:val="p"/>
                </m:rPr>
                <w:rPr>
                  <w:rFonts w:ascii="Cambria Math" w:hAnsi="Cambria Math"/>
                </w:rPr>
                <m:t>(P</m:t>
              </m:r>
              <m:sSub>
                <m:sSubPr>
                  <m:ctrlPr>
                    <w:rPr>
                      <w:rFonts w:ascii="Cambria Math" w:hAnsi="Cambria Math"/>
                      <w:bCs/>
                      <w:i/>
                    </w:rPr>
                  </m:ctrlPr>
                </m:sSubPr>
                <m:e>
                  <m:r>
                    <m:rPr>
                      <m:sty m:val="p"/>
                    </m:rPr>
                    <w:rPr>
                      <w:rFonts w:ascii="Cambria Math" w:hAnsi="Cambria Math"/>
                    </w:rPr>
                    <m:t>O</m:t>
                  </m:r>
                </m:e>
                <m:sub>
                  <m:r>
                    <m:rPr>
                      <m:sty m:val="p"/>
                    </m:rPr>
                    <w:rPr>
                      <w:rFonts w:ascii="Cambria Math" w:hAnsi="Cambria Math"/>
                    </w:rPr>
                    <m:t>4</m:t>
                  </m:r>
                </m:sub>
              </m:sSub>
              <m:r>
                <m:rPr>
                  <m:sty m:val="p"/>
                </m:rPr>
                <w:rPr>
                  <w:rFonts w:ascii="Cambria Math" w:hAnsi="Cambria Math"/>
                </w:rPr>
                <m:t>)</m:t>
              </m:r>
            </m:e>
            <m:sub>
              <m:r>
                <m:rPr>
                  <m:sty m:val="p"/>
                </m:rPr>
                <w:rPr>
                  <w:rFonts w:ascii="Cambria Math" w:hAnsi="Cambria Math"/>
                </w:rPr>
                <m:t>2</m:t>
              </m:r>
            </m:sub>
          </m:sSub>
          <m:r>
            <m:rPr>
              <m:sty m:val="p"/>
            </m:rPr>
            <w:rPr>
              <w:rFonts w:ascii="Cambria Math" w:hAnsi="Cambria Math"/>
            </w:rPr>
            <m:t>+ 8</m:t>
          </m:r>
          <m:sSup>
            <m:sSupPr>
              <m:ctrlPr>
                <w:rPr>
                  <w:rFonts w:ascii="Cambria Math" w:hAnsi="Cambria Math"/>
                  <w:bCs/>
                  <w:i/>
                </w:rPr>
              </m:ctrlPr>
            </m:sSupPr>
            <m:e>
              <m:r>
                <m:rPr>
                  <m:sty m:val="p"/>
                </m:rPr>
                <w:rPr>
                  <w:rFonts w:ascii="Cambria Math" w:hAnsi="Cambria Math"/>
                </w:rPr>
                <m:t>e</m:t>
              </m:r>
            </m:e>
            <m:sup>
              <m:r>
                <m:rPr>
                  <m:sty m:val="p"/>
                </m:rPr>
                <w:rPr>
                  <w:rFonts w:ascii="Cambria Math" w:hAnsi="Cambria Math"/>
                </w:rPr>
                <m:t>-</m:t>
              </m:r>
            </m:sup>
          </m:sSup>
        </m:oMath>
      </m:oMathPara>
    </w:p>
    <w:p w14:paraId="198AC49E" w14:textId="04A4913E" w:rsidR="00007F6C" w:rsidRPr="0068440C" w:rsidRDefault="00007F6C" w:rsidP="004B726A">
      <w:pPr>
        <w:jc w:val="right"/>
      </w:pPr>
      <w:bookmarkStart w:id="104" w:name="_Ref49775939"/>
      <w:r>
        <w:t>Equation 2.</w:t>
      </w:r>
      <w:r w:rsidR="00B51F53">
        <w:fldChar w:fldCharType="begin"/>
      </w:r>
      <w:r w:rsidR="00B51F53">
        <w:instrText xml:space="preserve"> SEQ Equation \* ARABIC </w:instrText>
      </w:r>
      <w:r w:rsidR="00B51F53">
        <w:fldChar w:fldCharType="separate"/>
      </w:r>
      <w:r w:rsidR="00315BF8">
        <w:rPr>
          <w:noProof/>
        </w:rPr>
        <w:t>9</w:t>
      </w:r>
      <w:r w:rsidR="00B51F53">
        <w:rPr>
          <w:noProof/>
        </w:rPr>
        <w:fldChar w:fldCharType="end"/>
      </w:r>
      <w:bookmarkEnd w:id="104"/>
    </w:p>
    <w:p w14:paraId="7BA5A4FB" w14:textId="77777777" w:rsidR="00007F6C" w:rsidRPr="002B6C9E" w:rsidRDefault="00007F6C" w:rsidP="004B726A">
      <w:pPr>
        <w:jc w:val="both"/>
        <w:rPr>
          <w:bCs/>
        </w:rPr>
      </w:pPr>
      <w:r w:rsidRPr="002B6C9E">
        <w:rPr>
          <w:bCs/>
        </w:rPr>
        <w:t>This study elucidates the key factors that can affect the fuel electrode structure in terms of how the impurities interact with the catalyst these are listed below:</w:t>
      </w:r>
    </w:p>
    <w:p w14:paraId="1CB72B3F" w14:textId="77777777" w:rsidR="00007F6C" w:rsidRPr="002B6C9E" w:rsidRDefault="00007F6C" w:rsidP="002310D3">
      <w:pPr>
        <w:numPr>
          <w:ilvl w:val="0"/>
          <w:numId w:val="9"/>
        </w:numPr>
        <w:spacing w:after="0"/>
        <w:jc w:val="both"/>
        <w:rPr>
          <w:bCs/>
        </w:rPr>
      </w:pPr>
      <w:r w:rsidRPr="002B6C9E">
        <w:rPr>
          <w:bCs/>
        </w:rPr>
        <w:t>Speed of gaseous adhesion to the pore entrance catalyst particles</w:t>
      </w:r>
    </w:p>
    <w:p w14:paraId="3A02BF51" w14:textId="77777777" w:rsidR="00007F6C" w:rsidRPr="002B6C9E" w:rsidRDefault="00007F6C" w:rsidP="002310D3">
      <w:pPr>
        <w:numPr>
          <w:ilvl w:val="0"/>
          <w:numId w:val="9"/>
        </w:numPr>
        <w:spacing w:after="0"/>
        <w:jc w:val="both"/>
        <w:rPr>
          <w:bCs/>
        </w:rPr>
      </w:pPr>
      <w:r w:rsidRPr="002B6C9E">
        <w:rPr>
          <w:bCs/>
        </w:rPr>
        <w:t>Availability of active area for gas adsorption partially in this case poisoning</w:t>
      </w:r>
    </w:p>
    <w:p w14:paraId="16725F72" w14:textId="77777777" w:rsidR="00007F6C" w:rsidRPr="002B6C9E" w:rsidRDefault="00007F6C" w:rsidP="002310D3">
      <w:pPr>
        <w:numPr>
          <w:ilvl w:val="0"/>
          <w:numId w:val="9"/>
        </w:numPr>
        <w:jc w:val="both"/>
        <w:rPr>
          <w:bCs/>
        </w:rPr>
      </w:pPr>
      <w:r w:rsidRPr="002B6C9E">
        <w:rPr>
          <w:bCs/>
        </w:rPr>
        <w:t>Access to electrochemical species for redox reactions</w:t>
      </w:r>
    </w:p>
    <w:p w14:paraId="3CC443CC" w14:textId="77777777" w:rsidR="00007F6C" w:rsidRPr="002B6C9E" w:rsidRDefault="00007F6C" w:rsidP="004B726A">
      <w:pPr>
        <w:jc w:val="both"/>
        <w:rPr>
          <w:bCs/>
        </w:rPr>
      </w:pPr>
      <w:r w:rsidRPr="002B6C9E">
        <w:rPr>
          <w:bCs/>
        </w:rPr>
        <w:t xml:space="preserve">Further work needs to be done to confirm how the reduction of operating temperature in SOFC stacks temperatures affects the formation of impurity phases like phosphorus oxysalts. The major impurity reaction </w:t>
      </w:r>
      <w:r>
        <w:rPr>
          <w:bCs/>
        </w:rPr>
        <w:t>involves</w:t>
      </w:r>
      <w:r w:rsidRPr="002B6C9E">
        <w:rPr>
          <w:bCs/>
        </w:rPr>
        <w:t xml:space="preserve"> sulphur.</w:t>
      </w:r>
    </w:p>
    <w:p w14:paraId="5069C977" w14:textId="5F6D49BA" w:rsidR="00007F6C" w:rsidRPr="002B6C9E" w:rsidRDefault="00007F6C" w:rsidP="004B726A">
      <w:pPr>
        <w:jc w:val="both"/>
        <w:rPr>
          <w:bCs/>
        </w:rPr>
      </w:pPr>
      <w:r w:rsidRPr="002B6C9E">
        <w:rPr>
          <w:bCs/>
        </w:rPr>
        <w:t xml:space="preserve">The findings from </w:t>
      </w:r>
      <w:proofErr w:type="spellStart"/>
      <w:r w:rsidRPr="002B6C9E">
        <w:rPr>
          <w:bCs/>
        </w:rPr>
        <w:t>Matsuzaki</w:t>
      </w:r>
      <w:proofErr w:type="spellEnd"/>
      <w:r w:rsidRPr="002B6C9E">
        <w:rPr>
          <w:bCs/>
        </w:rPr>
        <w:t xml:space="preserve"> et al probed the effect of sulphur on the long-term durability of Ni/YSZ composite anode in terms of temperature and time</w:t>
      </w:r>
      <w:r>
        <w:rPr>
          <w:bCs/>
        </w:rPr>
        <w:t xml:space="preserve"> </w:t>
      </w:r>
      <w:r>
        <w:rPr>
          <w:bCs/>
        </w:rPr>
        <w:fldChar w:fldCharType="begin" w:fldLock="1"/>
      </w:r>
      <w:r w:rsidR="00D80A5D">
        <w:rPr>
          <w:bCs/>
        </w:rPr>
        <w:instrText>ADDIN CSL_CITATION {"citationItems":[{"id":"ITEM-1","itemData":{"DOI":"http://dx.doi.org/10.1016/S0167-2738(00)00653-6","ISSN":"0167-2738","abstract":"The poisoning effect of a sulfur-containing impurity on the electrochemical oxidation of H2 has been studied at 1023–1273 K in a gas mixture of H2 and H2O at the interface between a Ni–YSZ cermet electrode and a YSZ electrolyte using a complex impedance analysis and a DC polarization method. The polarization resistance and the overvoltage of the electrode increased when the H2S concentration exceeded 0.05, 0.5, and 2 ppm at 1023, 1173 and 1273 K, respectively. A large temperature dependence was observed, which insists that a high-grade desulfurization is necessary at lower operating temperatures. The time needed for the influence of the sulfide impurity to saturate was almost independent of the sulfide concentration, and was found to be approximately 12, 9 and 4 ks at 1023, 1173 and 1273 K, respectively. Within the present experimental conditions, the performance loss caused by the sulfur-poisoning was recoverable when the sulfur source was removed from the fuel; the time needed for the recovery was approximately 360, 90 and 4 ks at 1023, 1173 and 1273 K, respectively. The degree of sulfur-poisoning was found to depend not on the equilibrium partial pressure of S2 but on the total sulfur content in the fuel.","author":[{"dropping-particle":"","family":"Matsuzaki","given":"Yoshio","non-dropping-particle":"","parse-names":false,"suffix":""},{"dropping-particle":"","family":"Yasuda","given":"Isamu","non-dropping-particle":"","parse-names":false,"suffix":""}],"container-title":"Solid State Ionics","id":"ITEM-1","issue":"3–4","issued":{"date-parts":[["2000","7","2"]]},"page":"261-269","title":"The poisoning effect of sulfur-containing impurity gas on a SOFC anode: Part I. Dependence on temperature, time, and impurity concentration","type":"article-journal","volume":"132"},"uris":["http://www.mendeley.com/documents/?uuid=a4b7b1f9-e225-4b15-a6f5-6c6adc5c84ad"]},{"id":"ITEM-2","itemData":{"DOI":"10.1149/2.068405jes","ISBN":"00134651 (ISSN)","ISSN":"0013-4651","abstract":"In this study, sulfur tolerance of a conventional Ni-yttria stabilized zirconia (Ni-YSZ) anode for solid oxide fuel cells is significantly improved by surface modification. The Ni-YSZ anode modified by the infiltration of BaZr 0.1Ce0.7Y0.1Yb0.1O 3?δ (BZCYYb) demonstrates stable performance in a sulfur-containing H2 fuel over 500 hours. In contrast, the bare Ni-YSZ anode without surface modification degrades drastically when exposed to the sulfur-containing H2 fuel. This implies that the BZCYYb coating is an excellent catalyst for surface modification of the conventional Ni-YSZ anode. A single step infiltration of BZCYYb into the Ni-YSZ anode was sufficient to provide good sulfur tolerance. © 2014 The Electrochemical Society. All rights reserved.","author":[{"dropping-particle":"","family":"Shin","given":"Jeeyoung","non-dropping-particle":"","parse-names":false,"suffix":""},{"dropping-particle":"","family":"Liu","given":"Mingfei","non-dropping-particle":"","parse-names":false,"suffix":""},{"dropping-particle":"","family":"Kim","given":"Guntae","non-dropping-particle":"","parse-names":false,"suffix":""},{"dropping-particle":"","family":"Lim","given":"Tak-Hyoung","non-dropping-particle":"","parse-names":false,"suffix":""},{"dropping-particle":"","family":"Sengodan","given":"Sivaprakash","non-dropping-particle":"","parse-names":false,"suffix":""},{"dropping-particle":"","family":"Liu","given":"Meilin","non-dropping-particle":"","parse-names":false,"suffix":""}],"container-title":"Journal of The Electrochemical Society","id":"ITEM-2","issue":"5","issued":{"date-parts":[["2014"]]},"language":"English","note":"Cited By :11\nExport Date: 20 January 2017\nCODEN: JESOA\nReferences: Yang, L., Wang, S., Blinn, K., Liu, M., Liu, Z., Cheng, Z., Liu, M., (2009) Science, 326, p. 126; Singhal, S.C., (2000) Solid State Ionics, 135, p. 305; Liu, M., Choi, Y., Yang, L., Blinn, K., Qin, W., Liu, P., Liu, M., (2012) Nano Energy, 1, p. 448; Toebes, M.L., Bitter, J.H., Dillen, A.J., Jong, K.P., (2002) Catal. Today., 76, p. 33; Lium. Lynch, E.M., Blinn, K., Alamgir, F.M., Choi, Y., (2011) Materials Today, 14, p. 534; Cheng, Z., Zha, S., Liu, M., (2007) J. Power Sources, 172, p. 688; Sasaki, K., Susuki, K., Iyoshi, A., Uchimura, M., Imamura, N., Kusaba, H., Teraoka, Y., Jingo, N., (2006) J. Electrochem Soc., 153, pp. A2023; Matsuzaki, Y., Yasuda, I., (2000) Solid State Ionics, 132, p. 261; Cheng, Z., Liu, M., (2007) Solid State Ionics, 178, p. 925; Choi, Y.M., Compson, C., Lin, M.C., Liu, M., (2006) Chem Phys Lett., 421, p. 179; Zha, S.W., Cheng, Z., Liu, M.L., (2007) J. Electrochem Soc., 154, pp. B201; Kim, G., Corre, G., Irvine, J.T.S., Vohs, J.M., Gorte, R.J., (2008) Electrochem Solid State Lett., 11, pp. B16; Huang, Y.-H., Dass, R.I., Denyszyn, J.C., Goodenough, J.B., (2006) J. Electrochem Soc., 153, pp. A1266; Cheng, Z., Zha, S., Aguilar, L., Wang, D., Winnick, J., Liu, M., (2006) Electrochem Solid State Lett., 9, pp. A31; Cooper, M., Channa, K., De Silva, R., Bayless, D.J., (2010) J. Electrochem Society., 157, pp. B1713; Torabi, A., Etsell, T.H., (2013) J. Power Sources, 225, p. 51; Choi, S., Wang, J., Cheng, Z., Liu, M., (2008) J. Electrochem Society., 155, pp. B449; Yun, J.W., Ham, H.C., Kim, H.S., Song, S.A., Nam, S.W., Yoon, S.P., (2013) J. Electrochem Society., 160, pp. F153; Yun, J.W., Yoon, S.P., Han, J., Park, S., Kim, H.S., Nam, S.W., (2010) J. Electrochem Society., 157, pp. B1825; Bessler, W.G., Vogler, M., Stormer, H., Gerthsen, D., Utz, A., Weber, A., Tiffee, E.I., (2010) Phys Chem Chem Phys., 12, p. 13888; Blinn, K.S., Liu, M., (2013) J. Power Sources., 243, p. 24; Blinn, K.S., Abernathy, H., Li, X., Liu, M., Bottomley, L.A., Liu, M., (2012) Energy Environ Sci., 5, p. 7913","page":"F668-F673","publisher":"Electrochemical Society Inc.","title":" Enhancing Sulfur Tolerance of a Ni-YSZ Anode through BaZr 0.1 Ce 0.7 Y 0.1 Yb 0.1 O  3− δ  Infiltration ","type":"article-journal","volume":"161"},"uris":["http://www.mendeley.com/documents/?uuid=bb53c01d-0ac9-4ef8-b942-7c317a96fcd0"]}],"mendeley":{"formattedCitation":"[112], [230]","plainTextFormattedCitation":"[112], [230]","previouslyFormattedCitation":"[112], [230]"},"properties":{"noteIndex":0},"schema":"https://github.com/citation-style-language/schema/raw/master/csl-citation.json"}</w:instrText>
      </w:r>
      <w:r>
        <w:rPr>
          <w:bCs/>
        </w:rPr>
        <w:fldChar w:fldCharType="separate"/>
      </w:r>
      <w:r w:rsidR="006C586A" w:rsidRPr="006C586A">
        <w:rPr>
          <w:bCs/>
          <w:noProof/>
        </w:rPr>
        <w:t>[112], [230]</w:t>
      </w:r>
      <w:r>
        <w:rPr>
          <w:bCs/>
        </w:rPr>
        <w:fldChar w:fldCharType="end"/>
      </w:r>
      <w:r w:rsidRPr="002B6C9E">
        <w:rPr>
          <w:bCs/>
        </w:rPr>
        <w:t xml:space="preserve">. The polarisation impedance of the Ni/YSZ cermet anode increased with increased concentration of sulphur impurity in the incident gas. This interaction was confirmed to be unaffected by the partial pressure of sulphur but dependent on the increase in temperature. As </w:t>
      </w:r>
      <w:r w:rsidRPr="00582C49">
        <w:rPr>
          <w:bCs/>
        </w:rPr>
        <w:t xml:space="preserve">demonstrated by </w:t>
      </w:r>
      <w:r w:rsidRPr="00582C49">
        <w:rPr>
          <w:bCs/>
        </w:rPr>
        <w:fldChar w:fldCharType="begin"/>
      </w:r>
      <w:r w:rsidRPr="00582C49">
        <w:rPr>
          <w:bCs/>
        </w:rPr>
        <w:instrText xml:space="preserve"> REF _Ref471463010 \h  \* MERGEFORMAT </w:instrText>
      </w:r>
      <w:r w:rsidRPr="00582C49">
        <w:rPr>
          <w:bCs/>
        </w:rPr>
      </w:r>
      <w:r w:rsidRPr="00582C49">
        <w:rPr>
          <w:bCs/>
        </w:rPr>
        <w:fldChar w:fldCharType="separate"/>
      </w:r>
      <w:r w:rsidRPr="00C103C3">
        <w:t>Figure 2.15</w:t>
      </w:r>
      <w:r w:rsidRPr="00582C49">
        <w:rPr>
          <w:bCs/>
        </w:rPr>
        <w:fldChar w:fldCharType="end"/>
      </w:r>
      <w:r w:rsidRPr="00582C49">
        <w:rPr>
          <w:bCs/>
        </w:rPr>
        <w:t xml:space="preserve"> </w:t>
      </w:r>
      <w:r w:rsidRPr="002B6C9E">
        <w:rPr>
          <w:bCs/>
        </w:rPr>
        <w:t xml:space="preserve">below: </w:t>
      </w:r>
    </w:p>
    <w:p w14:paraId="0562CAB4" w14:textId="77777777" w:rsidR="00007F6C" w:rsidRPr="00DA408B" w:rsidRDefault="00007F6C" w:rsidP="004B726A">
      <w:pPr>
        <w:keepNext/>
        <w:jc w:val="center"/>
      </w:pPr>
      <w:r w:rsidRPr="002B6C9E">
        <w:rPr>
          <w:bCs/>
          <w:noProof/>
          <w:lang w:eastAsia="en-GB"/>
        </w:rPr>
        <w:drawing>
          <wp:inline distT="0" distB="0" distL="0" distR="0" wp14:anchorId="2DC3830A" wp14:editId="0111D3B9">
            <wp:extent cx="2880000" cy="2841321"/>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srcRect l="52849" t="32971" r="24005" b="26355"/>
                    <a:stretch/>
                  </pic:blipFill>
                  <pic:spPr bwMode="auto">
                    <a:xfrm>
                      <a:off x="0" y="0"/>
                      <a:ext cx="2880000" cy="2841321"/>
                    </a:xfrm>
                    <a:prstGeom prst="rect">
                      <a:avLst/>
                    </a:prstGeom>
                    <a:noFill/>
                    <a:ln>
                      <a:noFill/>
                    </a:ln>
                    <a:extLst>
                      <a:ext uri="{53640926-AAD7-44D8-BBD7-CCE9431645EC}">
                        <a14:shadowObscured xmlns:a14="http://schemas.microsoft.com/office/drawing/2010/main"/>
                      </a:ext>
                    </a:extLst>
                  </pic:spPr>
                </pic:pic>
              </a:graphicData>
            </a:graphic>
          </wp:inline>
        </w:drawing>
      </w:r>
    </w:p>
    <w:p w14:paraId="3A070128" w14:textId="50D66E28" w:rsidR="00007F6C" w:rsidRPr="00DA408B" w:rsidRDefault="00007F6C" w:rsidP="004B726A">
      <w:pPr>
        <w:jc w:val="center"/>
        <w:rPr>
          <w:bCs/>
          <w:color w:val="44546A" w:themeColor="text2"/>
        </w:rPr>
      </w:pPr>
      <w:bookmarkStart w:id="105" w:name="_Ref471463010"/>
      <w:bookmarkStart w:id="106" w:name="_Toc69114927"/>
      <w:r w:rsidRPr="00DA408B">
        <w:rPr>
          <w:color w:val="44546A" w:themeColor="text2"/>
          <w:sz w:val="18"/>
          <w:szCs w:val="18"/>
        </w:rPr>
        <w:t>Figure 2.</w:t>
      </w:r>
      <w:r w:rsidR="00285C23">
        <w:rPr>
          <w:color w:val="44546A" w:themeColor="text2"/>
          <w:sz w:val="18"/>
          <w:szCs w:val="18"/>
        </w:rPr>
        <w:fldChar w:fldCharType="begin"/>
      </w:r>
      <w:r w:rsidR="00285C23">
        <w:rPr>
          <w:color w:val="44546A" w:themeColor="text2"/>
          <w:sz w:val="18"/>
          <w:szCs w:val="18"/>
        </w:rPr>
        <w:instrText xml:space="preserve"> SEQ Figure \* ARABIC </w:instrText>
      </w:r>
      <w:r w:rsidR="00285C23">
        <w:rPr>
          <w:color w:val="44546A" w:themeColor="text2"/>
          <w:sz w:val="18"/>
          <w:szCs w:val="18"/>
        </w:rPr>
        <w:fldChar w:fldCharType="separate"/>
      </w:r>
      <w:r w:rsidR="00804219">
        <w:rPr>
          <w:noProof/>
          <w:color w:val="44546A" w:themeColor="text2"/>
          <w:sz w:val="18"/>
          <w:szCs w:val="18"/>
        </w:rPr>
        <w:t>15</w:t>
      </w:r>
      <w:r w:rsidR="00285C23">
        <w:rPr>
          <w:color w:val="44546A" w:themeColor="text2"/>
          <w:sz w:val="18"/>
          <w:szCs w:val="18"/>
        </w:rPr>
        <w:fldChar w:fldCharType="end"/>
      </w:r>
      <w:bookmarkEnd w:id="105"/>
      <w:r w:rsidRPr="00DA408B">
        <w:rPr>
          <w:color w:val="44546A" w:themeColor="text2"/>
          <w:sz w:val="18"/>
          <w:szCs w:val="18"/>
        </w:rPr>
        <w:t>: A graph depicting the overvoltage vs. parts per million of hydrogen sulphide  in a Ni/YSZ (8% Y</w:t>
      </w:r>
      <w:r w:rsidRPr="00DA408B">
        <w:rPr>
          <w:color w:val="44546A" w:themeColor="text2"/>
          <w:sz w:val="18"/>
          <w:szCs w:val="18"/>
          <w:vertAlign w:val="subscript"/>
        </w:rPr>
        <w:t>2</w:t>
      </w:r>
      <w:r w:rsidRPr="00DA408B">
        <w:rPr>
          <w:color w:val="44546A" w:themeColor="text2"/>
          <w:sz w:val="18"/>
          <w:szCs w:val="18"/>
        </w:rPr>
        <w:t>O</w:t>
      </w:r>
      <w:r w:rsidRPr="00DA408B">
        <w:rPr>
          <w:color w:val="44546A" w:themeColor="text2"/>
          <w:sz w:val="18"/>
          <w:szCs w:val="18"/>
          <w:vertAlign w:val="subscript"/>
        </w:rPr>
        <w:t>3</w:t>
      </w:r>
      <w:r w:rsidRPr="00DA408B">
        <w:rPr>
          <w:color w:val="44546A" w:themeColor="text2"/>
          <w:sz w:val="18"/>
          <w:szCs w:val="18"/>
        </w:rPr>
        <w:t xml:space="preserve"> - 92% ZrO</w:t>
      </w:r>
      <w:r w:rsidRPr="00DA408B">
        <w:rPr>
          <w:color w:val="44546A" w:themeColor="text2"/>
          <w:sz w:val="18"/>
          <w:szCs w:val="18"/>
          <w:vertAlign w:val="subscript"/>
        </w:rPr>
        <w:t>2</w:t>
      </w:r>
      <w:r w:rsidRPr="00DA408B">
        <w:rPr>
          <w:color w:val="44546A" w:themeColor="text2"/>
          <w:sz w:val="18"/>
          <w:szCs w:val="18"/>
        </w:rPr>
        <w:t>)</w:t>
      </w:r>
      <w:r w:rsidRPr="00DA408B">
        <w:rPr>
          <w:bCs/>
          <w:color w:val="44546A" w:themeColor="text2"/>
          <w:sz w:val="18"/>
          <w:szCs w:val="18"/>
        </w:rPr>
        <w:t xml:space="preserve"> </w:t>
      </w:r>
      <w:r w:rsidRPr="00DA408B">
        <w:rPr>
          <w:bCs/>
          <w:color w:val="44546A" w:themeColor="text2"/>
          <w:sz w:val="18"/>
          <w:szCs w:val="18"/>
        </w:rPr>
        <w:fldChar w:fldCharType="begin" w:fldLock="1"/>
      </w:r>
      <w:r w:rsidR="00D80A5D">
        <w:rPr>
          <w:bCs/>
          <w:color w:val="44546A" w:themeColor="text2"/>
          <w:sz w:val="18"/>
          <w:szCs w:val="18"/>
        </w:rPr>
        <w:instrText>ADDIN CSL_CITATION {"citationItems":[{"id":"ITEM-1","itemData":{"DOI":"http://dx.doi.org/10.1016/S0167-2738(00)00653-6","ISSN":"0167-2738","abstract":"The poisoning effect of a sulfur-containing impurity on the electrochemical oxidation of H2 has been studied at 1023–1273 K in a gas mixture of H2 and H2O at the interface between a Ni–YSZ cermet electrode and a YSZ electrolyte using a complex impedance analysis and a DC polarization method. The polarization resistance and the overvoltage of the electrode increased when the H2S concentration exceeded 0.05, 0.5, and 2 ppm at 1023, 1173 and 1273 K, respectively. A large temperature dependence was observed, which insists that a high-grade desulfurization is necessary at lower operating temperatures. The time needed for the influence of the sulfide impurity to saturate was almost independent of the sulfide concentration, and was found to be approximately 12, 9 and 4 ks at 1023, 1173 and 1273 K, respectively. Within the present experimental conditions, the performance loss caused by the sulfur-poisoning was recoverable when the sulfur source was removed from the fuel; the time needed for the recovery was approximately 360, 90 and 4 ks at 1023, 1173 and 1273 K, respectively. The degree of sulfur-poisoning was found to depend not on the equilibrium partial pressure of S2 but on the total sulfur content in the fuel.","author":[{"dropping-particle":"","family":"Matsuzaki","given":"Yoshio","non-dropping-particle":"","parse-names":false,"suffix":""},{"dropping-particle":"","family":"Yasuda","given":"Isamu","non-dropping-particle":"","parse-names":false,"suffix":""}],"container-title":"Solid State Ionics","id":"ITEM-1","issue":"3–4","issued":{"date-parts":[["2000","7","2"]]},"page":"261-269","title":"The poisoning effect of sulfur-containing impurity gas on a SOFC anode: Part I. Dependence on temperature, time, and impurity concentration","type":"article-journal","volume":"132"},"uris":["http://www.mendeley.com/documents/?uuid=a4b7b1f9-e225-4b15-a6f5-6c6adc5c84ad"]}],"mendeley":{"formattedCitation":"[230]","plainTextFormattedCitation":"[230]","previouslyFormattedCitation":"[230]"},"properties":{"noteIndex":0},"schema":"https://github.com/citation-style-language/schema/raw/master/csl-citation.json"}</w:instrText>
      </w:r>
      <w:r w:rsidRPr="00DA408B">
        <w:rPr>
          <w:bCs/>
          <w:color w:val="44546A" w:themeColor="text2"/>
          <w:sz w:val="18"/>
          <w:szCs w:val="18"/>
        </w:rPr>
        <w:fldChar w:fldCharType="separate"/>
      </w:r>
      <w:r w:rsidR="006C586A" w:rsidRPr="006C586A">
        <w:rPr>
          <w:bCs/>
          <w:noProof/>
          <w:color w:val="44546A" w:themeColor="text2"/>
          <w:sz w:val="18"/>
          <w:szCs w:val="18"/>
        </w:rPr>
        <w:t>[230]</w:t>
      </w:r>
      <w:bookmarkEnd w:id="106"/>
      <w:r w:rsidRPr="00DA408B">
        <w:rPr>
          <w:bCs/>
          <w:color w:val="44546A" w:themeColor="text2"/>
          <w:sz w:val="18"/>
          <w:szCs w:val="18"/>
        </w:rPr>
        <w:fldChar w:fldCharType="end"/>
      </w:r>
    </w:p>
    <w:p w14:paraId="39C423FD" w14:textId="23F40F1D" w:rsidR="00007F6C" w:rsidRPr="00DA408B" w:rsidRDefault="00007F6C" w:rsidP="004B726A">
      <w:pPr>
        <w:jc w:val="both"/>
        <w:rPr>
          <w:bCs/>
        </w:rPr>
      </w:pPr>
      <w:r w:rsidRPr="00DA408B">
        <w:rPr>
          <w:bCs/>
        </w:rPr>
        <w:lastRenderedPageBreak/>
        <w:t xml:space="preserve">Impurity segregation has also been confirmed as a mode of microstructural degradation by Liu et al in 2016 </w:t>
      </w:r>
      <w:r w:rsidRPr="00DA408B">
        <w:rPr>
          <w:bCs/>
        </w:rPr>
        <w:fldChar w:fldCharType="begin" w:fldLock="1"/>
      </w:r>
      <w:r w:rsidR="00D80A5D">
        <w:rPr>
          <w:bCs/>
        </w:rPr>
        <w:instrText>ADDIN CSL_CITATION {"citationItems":[{"id":"ITEM-1","itemData":{"DOI":"10.1149/05701.1801ecst","ISBN":"19385862 (ISSN)","ISSN":"1938-6737","abstract":"To develop next generation solid oxide fuel cells operated at reduced temps. with a wide variety of hydrocarbon fuels, surface modification of electrodes is an effective approach to enhancing the performance of both the state-of-the-art Ni-YSZ anode and La0.6Sr0.4Co0.2Fe0.8O3-δ (LSCF) cathodes.  For example, BaO nano-islands on the surfaces of Ni grains greatly improved the coking-tolerance of Ni-YSZ anode through a water mediated carbon removal process.  Similarly, an efficient catalyst layer was created in Ni-YSZ anodes when proper amt. of BaCO3 was added to the NiO-YSZ anode support in the early stage of processing.  For SOFC cathodes, a soln. infiltration process has been used to coat various active catalysts on the surface of LSCF cathodes to enhance the catalytic activity and stability.  The surface coatings include discrete particles of doped ceria and samarium doped strontium cobaltite (SSC), and dense, continuous thin films of La1-xSrxMnO3-δ (LSM), Pr0.75Sr0.2MnO3-δ (PSM), and PrSrCoMnO6-δ (PSCM). [on SciFinder(R)]","author":[{"dropping-particle":"","family":"Ding","given":"D.","non-dropping-particle":"","parse-names":false,"suffix":""},{"dropping-particle":"","family":"Liu","given":"M.","non-dropping-particle":"","parse-names":false,"suffix":""}],"container-title":"ECS Transactions","edition":"1","id":"ITEM-1","issue":"1","issued":{"date-parts":[["2013"]]},"language":"English","note":"Cited By :6\nExport Date: 20 January 2017\nReferences: Minh, N.Q., (1993) J. Am. Ceram. Soc, 76, p. 563; Steele, B.C.H., Heinzel, A., (2001) Nature, 414, p. 345; Singhal, S.C., (2002) Solid State Ionics, 152, p. 405; McIntosh, S., Gorte, R.J., (2004) Chem. Rev, 104, p. 4845; Cheng, Z., Wang, J.-H., Choi, Y., Yang, L., Lin, M.C., Liu, M., (2011) Energy Environ. Sci, 4, p. 4380; Atkinson, A., Barnett, S., Gorte, R.J., Irvine, J.T.S., McEvoy, A.J., Mogensen, M., Singhal, S.C., Vohs, J., (2004) Nature Materials, 3, p. 17; Yang, L., Wang, S.Z., Blinn, K., Liu, M.F., Liu, Z., Cheng, Z., Liu, M.L., (2009) Science, 326, p. 126; Fleig, J., (2003) Ann. Rev. Mater. Res, 33, p. 361; Tao, S.W., Irvine, J.T.S., (2003) Nature Materials, 2, p. 320; Huang, Y.H., Dass, R.I., Xing, Z.L., Goodenough, J.B., (2006) Science, 312, p. 254; Shao, Z.P., Haile, S.M., (2004) Nature, 431, p. 170; Xia, C.R., Rauch, W., Chen, F.L., Liu, M.L., (2002) Solid State Ionics, 149, p. 11; Kim, G., Wang, S., Jacobson, A.J., Reimus, L., Brodersen, P., Mims, C.A., (2007) J. Mater. Chem, 17, p. 2500; Watanabe, M., Uchida, H., Shibata, M., Mochizuki, N., Amikura, K., (1994) J. Electrochem. Soc, 141, p. 342; Liu, M., Choi, Y., Yang, L., Blinn, K., Qin, W., Liu, P., Liu, M., (2012) Nano Energy, 1, p. 448; Yang, L., Choi, Y., Qin, W., Chen, H., Blinn, K., Liu, M., Liu, P., Liu, M., (2011) Nature Commun, 2; Nie, L.F., Liu, M.F., Zhang, Y.J., Liu, M.L., (2010) J Power Sources, 195, p. 4704; Liu, M.F., Ding, D., Blinn, K., Li, X.X., Nie, L.F., Liu, M., (2012) Int. J. Hydrogen Energ, 37, p. 8613; Lou, X.Y., Wang, S.Z., Liu, Z., Yang, L., Liu, M.L., (2009) Solid State Ionics, 180, p. 1285; Choi, J.-J., Qin, W., Liu, M., Liu, M., (2011) J. Am. Ceram. Soc, 94, p. 3340; Lynch, M.E., Yang, L., Qin, W., Choi, J.-J., Liu, M., Blinn, K., Liu, M., (2011) Energy Environ. Sci, 4, p. 2249; Ding, D., Liu, M., Liu, Z., Li, X., Blinn, K., Zhu, X., Liu, M., Adv. Energy Mater, , DOI: 10.1002/aenm.201200984; Kim, Y.B., Holme, T.P., Gür, T.M., Prinz, F.B., (2011) Adv. Funct. Mater, 21, p. 4684; Ding, D., Zhu, W., Gao, J.F., Xia, C.R., (2008) J. Power Sources, 179, p. 177; Sholklapper, T.Z., Kurokawa, H., Jacobson, C.P., Visco, S.J., De Jonghe, L.C., (2007) Nano Letters, 7, p. 2136; Lee, S., Miller, N., Abernathy, H., Gerdes, K., Manivannan, A., (2011) J. Electrochem. Soc, 158, pp. B735; Saeki, M.J., Uchida, H., Watanabe, M., (1994) Catal Lett, 26, p. 149; Zhan, Z.L., Barnett, S., (2005) Solid Oxide Fuel Cells (SOFC IX), p. 1060. , Pennington, NJ; Jiang, S.P., (2002) Solid State Ionics, 146, p. 1; Esquirol, A., Brandon, N.P., Kilner, J.A., Mogensen, M., (2004) J. Electrochem. Soc, 151, pp. A1847; Baumann, F.S., Fleig, J., Habermeier, H.U., Maier, J., (2006) Solid State Ionics, 177, p. 1071; Simrick, N.J., Bieberle-Hutter, A., Ryll, T.M., Kilner, J.A., Atkinson, A., Rupp, J.L.M., (2012) Solid State Ionics, 206, p. 7; Prestat, M., Infortuna, A., Korrodi, S., Rey-Mermet, S., Muralt, P., Gauckler, L.J., (2007) J. Electroceram, 18, p. 111; Simner, S.P., Anderson, M.D., Engelhard, M.H., Stevenson, J.W., (2006) Electrochem. Solid State Lett, 9, pp. A478; Kim, J.Y., Sprenkle, V.L., Canfield, N.L., Meinhardt, K.D., Chick, L.A., (2006) J. Electrochem Soc, 153, pp. A880; Becker, M., Mai, A., Ivers-Tiffee, E., Tietz, F., (2005) Solid Oxide Fuel Cells (SOFC IX), p. 514. , Pennington, NJ; Jiang, S.P., (2006) Mat. Sci. Eng. A-struct, 418, p. 199; Bai, Y., Liu, M., Ding, D., Blinn, K., Qin, W., Liu, J., Liu, M., (2012) J. Power Sources, 205, p. 80","page":"1801-1810","publisher":"Electrochemical Society Inc.","title":"Enhancing SOFC Electrode Performance Through Surface Modification","type":"paper-conference","volume":"57"},"uris":["http://www.mendeley.com/documents/?uuid=3a92cb4a-86aa-45e7-8062-4ca91358a0ce"]},{"id":"ITEM-2","itemData":{"DOI":"10.1021/acsami.6b00925","ISBN":"1944-8244","ISSN":"19448252","PMID":"27052726","abstract":"Conventional anode materials for solid oxide fuel cells (SOFCs) are Ni-based cermets, which are highly susceptible to deactivation by contaminants in hydrocarbon fuels. Hydrogen sulfide is one of the commonly existed contaminants in readily available natural gas and gasification product gasses of pyrolysis of biomasses. Development of sulfur tolerant anode materials is thus one of the critical challenges for commercial viability and practical application of SOFC technologies. Here we report a viable approach to substantially enhance the sulfur poisoning resistance of Ni-gadolinia doped ceria (Ni-GDC) anode through impregnation of proton conducting perovskite BaCe0.9Yb0.1O3-δ (BCYb). The impregnation of BCYb nanoparticles improves the electrochemical performance of Ni-GDC anode in both H2 and H2S containing fuels. Moreover, more importantly, the enhanced stability is observed in 500 ppm H2S/H2. The SEM and XPS analysis indicate that the infiltrated BCYb fine particles inhibit the adsorption of sulfur and facilitate sulfur removal from active sites, thus preventing the detrimental interaction between sulfur and Ni-GDC and the formation of cerium sulfide. The preliminary results of the cell with BCYb+Ni-GDC anode in methane fuel containing 5000 ppm H2S show the promising potential of the BCYb infiltration approach in the development of highly active and stable Ni-GDC based anodes fed with hydrocarbon fuels containing a high concentration of sulfur compounds.","author":[{"dropping-particle":"","family":"Li","given":"Meng","non-dropping-particle":"","parse-names":false,"suffix":""},{"dropping-particle":"","family":"Hua","given":"Bin","non-dropping-particle":"","parse-names":false,"suffix":""},{"dropping-particle":"","family":"Luo","given":"Jing Li","non-dropping-particle":"","parse-names":false,"suffix":""},{"dropping-particle":"","family":"Jiang","given":"San Ping","non-dropping-particle":"","parse-names":false,"suffix":""},{"dropping-particle":"","family":"Pu","given":"Jian","non-dropping-particle":"","parse-names":false,"suffix":""},{"dropping-particle":"","family":"Chi","given":"Bo","non-dropping-particle":"","parse-names":false,"suffix":""},{"dropping-particle":"","family":"Li","given":"Jian","non-dropping-particle":"","parse-names":false,"suffix":""}],"container-title":"ACS Applied Materials and Interfaces","id":"ITEM-2","issue":"16","issued":{"date-parts":[["2016"]]},"language":"English","note":"Cited By :3\nExport Date: 20 January 2017\nCorrespondence Address: Jiang, S.P.; Fuels and Energy Technology Institute, Department of Chemical Engineering, Curtin UniversityAustralia; email: s.jiang@curtin.edu.au\nFunding details: U1134001, NSFC, National Natural Science Foundation of China\nReferences: Yi, Y., Rao, A.D., Brouwer, J., Samuelsen, G.S., Fuel Flexibility Study of an Integrated 25 kW SOFC Reformer System (2005) J. Power Sources, 144 (1), pp. 67-76; Eguchi, K., Kojo, H., Takeguchi, T., Kikuchi, R., Sasaki, K., Fuel Flexibility in Power Generation by Solid Oxide Fuel Cells (2002) Solid State Ionics, 152-153, pp. 411-416; Calkins, W.H., Investigation of Organic Sulfur-Containing Structures in Coal by Flash Pyrolysis Experiments (1987) Energy Fuels, 1 (1), pp. 59-64; Duan, L., Zhao, C., Zhou, W., Qu, C., Chen, X., Investigation on Coal Pyrolysis in CO2 Atmosphere (2009) Energy Fuels, 23, pp. 3826-3830; Niakolas, D.K., Sulfur Poisoning of Ni-based Anodes for Solid Oxide Fuel Cells in H/C-Based Fuels (2014) Appl. Catal., A, 486, pp. 123-142; Cheng, Z., Wang, J.-H., Choi, Y., Yang, L., Lin, M.C., Liu, M., From Ni-YSZ to Sulfur-Tolerant Anode Materials for SOFCs: Electrochemical Behavior, in Situ Characterization, Modeling, and Future Perspectives (2011) Energy Environ. Sci., 4 (11), pp. 4380-4409; Trembly, J.P., Marquez, A.I., Ohrn, T.R., Bayless, D.J., Effects of Coal Syngas and H2S on the Performance of Solid Oxide Fuel Cells: Single-Cell Tests (2006) J. Power Sources, 158 (1), pp. 263-273; McIntosh, S., Gorte, R.J., Direct Hydrocarbon Solid Oxide Fuel Cells (2004) Chem. Rev., 104 (10), pp. 4845-4866; Zha, S., Cheng, Z., Liu, M., A Sulfur-Tolerant Anode Material for SOFCs (2005) Electrochem. Solid-State Lett., 8 (8), pp. A406-A408; Matsuzaki, Y., Yasuda, I., The Poisoning Effect of Sulfur-Containing Impurity Gas on a SOFC Anode: Part I. Dependence on Temperature, Time, and Impurity Concentration (2000) Solid State Ionics, 132 (34), pp. 261-269; Yun, J.W., Yoon, S.P., Han, J., Park, S., Kim, H.S., Nam, S.W., Ceria Coatings Effect on H2S Poisoning of Ni/YSZ Anodes for Solid Oxide Fuel Cells (2010) J. Electrochem. Soc., 157 (12), pp. B1825-B1830; Brightman, E., Ivey, D.G., Brett, D.J.L., Brandon, N.P., The Effect of Current Density on H2S-Poisoning of Nickel-Based Solid Oxide Fuel Cell Anodes (2011) J. Power Sources, 196 (17), pp. 7182-7187; Hagen, A., Sulfur Poisoning of the Water Gas Shift Reaction on Anode Supported Solid Oxide Fuel Cells (2013) J. Electrochem. Soc., 160 (2), pp. F111-F118; Zheng, L.L., Wang, X., Zhang, L., Wang, J.-Y., Jiang, S.P., Effect of Pd-Impregnation on Performance, Sulfur Poisoning and Tolerance of Ni/GDC Anode of Solid Oxide Fuel Cells (2012) Int. J. Hydrogen Energy, 37 (13), pp. 10299-10310; Lohsoontorn, P., Brett, D.J.L., Brandon, N.P., The Effect of Fuel Composition and Temperature on the Interaction of H2S with Nickel-Ceria Anodes for Solid Oxide Fuel Cells (2008) J. Power Sources, 183 (1), pp. 232-239; Smith, T.R., Wood, A., Birss, V.I., Effect of Hydrogen Sulfide on the Direct Internal Reforming of Methane in Solid Oxide Fuel Cells (2009) Appl. Catal., A, 354 (12), pp. 1-7; Wang, J.-H., Liu, M., Computational Study of Sulfur-Nickel Interactions: A New S-Ni Phase Diagram (2007) Electrochem. Commun., 9 (9), pp. 2212-2217; Gong, M., Liu, X., Trembly, J., Johnson, C., Sulfur-Tolerant Anode Materials for Solid Oxide Fuel Cell Application (2007) J. Power Sources, 168 (2), pp. 289-298; Sun, C., Stimming, U., Recent Anode Advances in Solid Oxide Fuel Cells (2007) J. Power Sources, 171 (2), pp. 247-260; Mukundan, R., Brosha, E.L., Garzon, F.H., Sulfur Tolerant Anodes for SOFCs (2004) Electrochem. Solid-State Lett., 7 (1), pp. A5-A7; Aguilar, L., Zha, S., Li, S., Winnick, J., Liu, M., Sulfur-Tolerant Materials for the Hydrogen Sulfide SOFC (2004) Electrochem. Solid-State Lett., 7 (10), pp. A324-A326; Zha, S., Tsang, P., Cheng, Z., Liu, M., Electrical Properties and Sulfur Tolerance of La0.75Sr0.25Cr1-xMnxO3 under Anodic Conditions (2005) J. Solid State Chem., 178 (6), pp. 1844-1850; Xu, D., Zhu, X., Bu, Y., Yan, H., Tan, W., Zhong, Q., Synthesis and Performance of Sm0.9Sr0.1Cr0.5Fe0.5O3 as Anode Material for SOFCs Running on H2S-Containing Fuel (2013) Ionics, 19 (3), pp. 491-497; Huang, Y.-H., Dass, R.I., Xing, Z.-L., Goodenough, J.B., Double Perovskites as Anode Materials for Solid-Oxide Fuel Cells (2006) Science, 312 (5771), pp. 254-257; Wang, S., Liu, M., Winnick, J., Stabilities and Electrical Conductivities of Electrode Materials for Use in H2S-Containing Gases (2001) J. Solid State Electrochem., 5 (3), pp. 188-195; Kurokawa, H., Sholklapper, T.Z., Jacobson, C.P., De Jonghe, L.C., Visco, S.J., Ceria Nanocoating for Sulfur Tolerant Ni-Based Anodes of Solid Oxide Fuel Cells (2007) Electrochem. Solid-State Lett., 10 (9), pp. B135-B138; Choi, S., Wang, J., Cheng, Z., Liu, M., Surface Modification of Ni-YSZ Using Niobium Oxide for Sulfur-Tolerant Anodes in Solid Oxide Fuel Cells (2008) J. Electrochem. Soc., 155 (5), pp. B449-B454; Sasaki, K., Susuki, K., Iyoshi, A., Uchimura, M., Imamura, N., Kusaba, H., Teraoka, Y., Jingo, N., H2S Poisoning of Solid Oxide Fuel Cells (2006) J. Electrochem. Soc., 153 (11), pp. A2023-A2029; Liu, L., Sun, K., Zhou, X., Li, X., Zhang, M., Zhang, N., Sulfur Tolerance Improvement of Ni-YSZ Anode by Alkaline Earth Metal Oxide BaO for Solid Oxide Fuel Cells (2012) Electrochem. Commun., 19, pp. 63-66; Marina, O.A., Coyle, C.A., Engelhard, M.H., Pederson, L.R., Mitigation of Sulfur Poisoning of Ni/Zirconia SOFC Anodes by Antimony and Tin (2011) J. Electrochem. Soc., 158 (4), pp. B424-B429; Yang, L., Wang, S., Blinn, K., Liu, M., Liu, Z., Cheng, Z., Liu, M., Enhanced Sulfur and Coking Tolerance of a Mixed Ion Conductor for SOFCs: BaZr0.1Ce0.7Y0.2-xYbxO3-δ (2009) Science, 326 (5949), pp. 126-129; Sengodan, S., Liu, M., Lim, T.-H., Shin, J., Liu, M., Kim, G., Enhancing Sulfur Tolerance of a Ni-YSZ Anode through BaZr0.1Ce0.7Y0.1Yb0.1O3-δ Infiltration (2014) J. Electrochem. Soc., 161 (5), pp. F668-F673; Li, M., Hua, B., Luo, J.-L., Jiang, S.P., Pu, J., Chi, B., Jian, L., Carbon-Tolerant Ni-Based Cermet Anodes Modified by Proton Conducting Yttrium- and Ytterbium-Doped Barium Cerates for Direct Methane Solid Oxide Fuel Cells (2015) J. Mater. Chem. A, 3, pp. 21609-21617; Yoo, S., Jun, A., Ju, Y.-W., Odkhuu, D., Hyodo, J., Jeong, H.Y., Park, N., Kim, G., Development of Double-Perovskite Compounds as Cathode Materials for Low-Temperature Solid Oxide Fuel Cells (2014) Angew. Chem., Int. Ed., 53, pp. 13064-13067; Xia, C., Rauch, W., Chen, F., Liu, M., Sm0.5Sr0.5CoO3 Cathodes for Low-Temperature SOFCs (2002) Solid State Ionics, 149, pp. 11-19; Liu, M., Hu, H., Effect of Interfacial Resistance on Determination of Transport Properties of Mixed-Conducting Electrolytes (1996) J. Electrochem. Soc., 143, pp. L109-L112; Mogensen, M., Sammes, N.M., Tompsett, G.A., Physical, Chemical and Electrochemical Properties of Pure and Doped Ceria (2000) Solid State Ionics, 129 (14), pp. 63-94; Park, S.-H., Yoo, H.-I., Thermoelectric Behavior of a Mixed Ionic Electronic Conductor, Ce1-xGdxO2-x/2-δ (2009) Phys. Chem. Chem. Phys., 11, pp. 391-401; Chen, K., Zhang, L., Ai, N., Zhang, S., Song, Y., Song, Y., Yi, Q., Jiang, S.P., Feasibility of Direct Utilization of Biomass Gasification Product Gas Fuels in Tubular Solid Oxide Fuel Cells for On-Site Electricity Generation (2016) Energy Fuels, 30, pp. 1849-1857; Zhang, L., Jiang, S.P., He, H.Q., Chen, X., Ma, J., Song, X.C., A Comparative Study of H2S Poisoning on Electrode Behavior of Ni/YSZ and Ni/GDC Anodes of Solid Oxide Fuel Cells (2010) Int. J. Hydrogen Energy, 35 (22), pp. 12359-12368; Ferrizz, R.M., Gorte, R.J., Vohs, J.M., TPD and XPS Investigation of the Interaction of SO2 with Model Ceria Catalysts (2002) Catal. Lett., 82 (12), pp. 123-129; Lindberg, B.J., Hamrin, K., Johansson, G., Gelius, U., Fahlman, A., Nordling, C., Siegbahn, K., Molecular Spectroscopy by Means of ESCA II. Sulfur Compounds. Correlation of Electron Binding Energy with Structure (1970) Phys. Scr., 1 (56), p. 286; Shalvoy, R.B., Fisher, G.B., Stiles, P.J., X-Ray Photoemission Studies of the Valence Bands of Nine IV-VI Compounds (1977) Phys. Rev. B, 15 (4), pp. 2021-2024; Rodriguez, J., Jirsak, T., Freitag, A., Hanson, J., Larese, J., Chaturvedi, S., Interaction of SO2 with CeO2 and Cu/CeO2 Catalysts: Photoemission, XANES and TPD Studies (1999) Catal. Lett., 62 (24), pp. 113-119; Xu, C., Gansor, P., Zondlo, J.W., Sabolsky, K., Sabolsky, E.M., An H2S-Tolerant Ni-GDC Anode with a GDC Barrier Layer (2011) J. Electrochem. Soc., 158 (11), pp. B1405-B1416; Burroughs, P., Hamnett, A., Orchard, A.F., Thornton, G., Satellite Structure in the X-Ray Photoelectron Spectra of Some Binary and Mixed Oxides of Lanthanum and Cerium (1976) J. Chem. Soc., Dalton Trans., 17, pp. 1686-1698; Ma, Y., Ge, Q., Li, W., Xu, H., Methanol Synthesis from Sulfur-Containing Syngas over Pd/CeO2 Catalyst (2009) Appl. Catal., B, 90 (12), pp. 99-104; Chen, Z., Gao, Q., Enhanced Carbon Monoxide Oxidation Activity over Gold-Ceria Nanocomposites (2008) Appl. Catal., B, 84 (34), pp. 790-796; Shen, W.-J., Ichihashi, Y., Ando, H., Matsumura, Y., Okumura, M., Haruta, M., Effect of Reduction Temperature on Structural Properties and CO/CO2 Hydrogenation Characteristics of a Pd-CeO2 Catalyst (2001) Appl. Catal., A, 217 (12), pp. 231-239; Jirátová, K., Mikulová, J., Klempa, J., Grygar, T., Bastl, Z., Kovanda, F., Modification of Co-Mn-Al Mixed Oxide with Potassium and Its Effect on Deep Oxidation of VOC (2009) Appl. Catal., A, 361 (12), pp. 106-116; Scurtu, R., Somacescu, S., Calderon-Moreno, J.M., Culita, D., Bulimestru, I., Popa, N., Gulea, A., Osiceanu, P., Nanocrystalline Sm0.5Sr0.5CoO3-δ Synthesized Using a Chelating Route for Use in IT-SOFC Cathodes: Microstructure, Surface Chemistry and Electrical Conductivity (2014) J. Solid State Chem., 210 (1), pp. 53-59; Wenyi, T., Qin, Z., Han, Y., Xiufang, Z., Hongyi, L., Deactivation of Anode Catalyst La0.75Sr0.25Cr0.5Mn0.5O3±δ in SOFC with Fuel Containing Hydrogen Sulfur: The Role of Lattice Oxygen (2012) Int. J. Hydrogen Energy, 37 (9), pp. 7398-7404; Bu, Y., Zhong, Q., Xu, D., Tan, W., Redox Stability and Sulfur Resistance of Sm0.9Sr0.1CrxFe1-xO3-δ Perovskite Materials (2013) J. Alloys Compd., 578, pp. 60-66; Bessler, W.G., Vogler, M., Stormer, H., Gerthsen, D., Utz, A., Weber, A., Ivers-Tiffee, E., Model Anodes and Anode Models for Understanding the Mechanism of Hydrogen Oxidation in Solid Oxide Fuel Cells (2010) Phys. Chem. Chem. Phys., 12 (42), pp. 13888-13903; Rosenqvist, T., A Thermodynamic Study of the Iron, Cobalt and Nickel Sulfides (1954) J. Iron Steel Inst.: London, 176, pp. 37-57; Shishkin, M., Ziegler, T., Coke-Tolerant Ni/BaCe1-xYxO3-δ Anodes for Solid Oxide Fuel Cells: DFT Study (2013) J. Phys. Chem. C, 117 (14), pp. 7086-7096; Liu, M., Choi, Y., Yang, L., Blinn, K., Qin, W., Liu, P., Liu, M., Direct Octane Fuel Cells: A Promising Power for Transportation (2012) Nano Energy, 1 (3), pp. 448-455; Yamazaki, Y., Babilo, P., Haile, S.M., Defect Chemistry of Yttrium-Doped Barium Zirconate: A Thermodynamic Analysis of Water Uptake (2008) Chem. Mater., 20 (20), pp. 6352-6357; Yang, L., Choi, Y., Qin, W., Chen, H., Blinn, K., Liu, M., Liu, P., Liu, M., Promotion of Water-Mediated Carbon Removal by Nanostructured Barium Oxide/Nickel Interfaces in Solid Oxide Fuel Cells (2011) Nat. Commun., 2, p. 357; Wang, W., Su, C., Ran, R., Zhao, B., Shao, Z., Tade, M.O., Liu, S., Nickel-Based Anode with Water Storage Capability to Mitigate Carbon Deposition for Direct Ethanol Solid Oxide Fuel Cells (2014) ChemSusChem, 7 (6), pp. 1719-1728; Wang, F., Wang, W., Qu, J., Zhong, Y., Tade, M.O., Shao, Z., Enhanced Sulfur Tolerance of Nickel-Based Anodes for Oxygen-Ion Conducting Solid Oxide Fuel Cells by Incorporating a Secondary Water Storing Phase (2014) Environ. Sci. Technol., 48 (20), pp. 12427-12434; Jiang, S.P., Badwal, S.B.S., H2 Oxidation Reactions at the Ni and Pt Electrodes on Y-TZP Electrolytes (1997) J. Electrochem. Soc., 144, pp. 3777-3784; Jiang, S.P., Badwal, S.B.S., An Electrode Kinetics Study of H2 Oxidation on Ni/Y2O3-ZrO2 Cermet Electrode of the Solid Oxide Fuel Cell (1999) Solid State Ionics, 123, pp. 209-224","page":"10293-10301","publisher":"American Chemical Society","title":"Enhancing Sulfur Tolerance of Ni-Based Cermet Anodes of Solid Oxide Fuel Cells by Ytterbium-Doped Barium Cerate Infiltration","type":"article-journal","volume":"8"},"uris":["http://www.mendeley.com/documents/?uuid=6bfddec2-4b86-4522-8949-04bba9e3acd0"]}],"mendeley":{"formattedCitation":"[231], [232]","plainTextFormattedCitation":"[231], [232]","previouslyFormattedCitation":"[231], [232]"},"properties":{"noteIndex":0},"schema":"https://github.com/citation-style-language/schema/raw/master/csl-citation.json"}</w:instrText>
      </w:r>
      <w:r w:rsidRPr="00DA408B">
        <w:rPr>
          <w:bCs/>
        </w:rPr>
        <w:fldChar w:fldCharType="separate"/>
      </w:r>
      <w:r w:rsidR="006C586A" w:rsidRPr="006C586A">
        <w:rPr>
          <w:bCs/>
          <w:noProof/>
        </w:rPr>
        <w:t>[231], [232]</w:t>
      </w:r>
      <w:r w:rsidRPr="00DA408B">
        <w:rPr>
          <w:bCs/>
        </w:rPr>
        <w:fldChar w:fldCharType="end"/>
      </w:r>
      <w:r w:rsidRPr="00DA408B">
        <w:rPr>
          <w:bCs/>
        </w:rPr>
        <w:t>. Despite a large amount of literature investigating the pickup of impurity phases at temperatures exceeding 750</w:t>
      </w:r>
      <w:r w:rsidR="002310D3">
        <w:rPr>
          <w:bCs/>
        </w:rPr>
        <w:t xml:space="preserve"> </w:t>
      </w:r>
      <w:r w:rsidRPr="00DA408B">
        <w:rPr>
          <w:bCs/>
        </w:rPr>
        <w:t>°C there appears to be much less data contamination ingress at lower temperatures. This could be due to the slower reaction speed because of decreased kinetics synonymous with the decreased temperature. Added detrimental effects like phase delamination could become prevalent with continued heating.</w:t>
      </w:r>
    </w:p>
    <w:p w14:paraId="34A56D30" w14:textId="67FE7B50" w:rsidR="00007F6C" w:rsidRPr="00DA408B" w:rsidRDefault="00007F6C" w:rsidP="004B726A">
      <w:pPr>
        <w:jc w:val="both"/>
        <w:rPr>
          <w:bCs/>
        </w:rPr>
      </w:pPr>
      <w:r w:rsidRPr="00DA408B">
        <w:rPr>
          <w:bCs/>
        </w:rPr>
        <w:t>Similar issues can also occur with implementing the addition of extra phases to counter nickel sintering. Other cermet oxides like alumina and rutile (Al</w:t>
      </w:r>
      <w:r w:rsidRPr="00DA408B">
        <w:rPr>
          <w:bCs/>
        </w:rPr>
        <w:softHyphen/>
      </w:r>
      <w:r w:rsidRPr="00DA408B">
        <w:rPr>
          <w:bCs/>
          <w:vertAlign w:val="subscript"/>
        </w:rPr>
        <w:t>2</w:t>
      </w:r>
      <w:r w:rsidRPr="00DA408B">
        <w:rPr>
          <w:bCs/>
        </w:rPr>
        <w:t>O</w:t>
      </w:r>
      <w:r w:rsidRPr="00DA408B">
        <w:rPr>
          <w:bCs/>
          <w:vertAlign w:val="subscript"/>
        </w:rPr>
        <w:t>3</w:t>
      </w:r>
      <w:r w:rsidRPr="00DA408B">
        <w:rPr>
          <w:bCs/>
        </w:rPr>
        <w:t xml:space="preserve"> and TiO</w:t>
      </w:r>
      <w:r w:rsidRPr="00DA408B">
        <w:rPr>
          <w:bCs/>
          <w:vertAlign w:val="subscript"/>
        </w:rPr>
        <w:t>2</w:t>
      </w:r>
      <w:r w:rsidRPr="00DA408B">
        <w:rPr>
          <w:bCs/>
        </w:rPr>
        <w:t>) are known to react with the elements present in Ni/YSZ infiltrated cermets which can seriously reduce the conductivity of the anode arrangement (</w:t>
      </w:r>
      <w:r w:rsidRPr="00DA408B">
        <w:fldChar w:fldCharType="begin"/>
      </w:r>
      <w:r w:rsidRPr="00DA408B">
        <w:instrText xml:space="preserve"> REF _Ref468271031 \h  \* MERGEFORMAT </w:instrText>
      </w:r>
      <w:r w:rsidRPr="00DA408B">
        <w:fldChar w:fldCharType="separate"/>
      </w:r>
      <w:r w:rsidR="00804219" w:rsidRPr="00804219">
        <w:t>Figure 2.12</w:t>
      </w:r>
      <w:r w:rsidRPr="00DA408B">
        <w:fldChar w:fldCharType="end"/>
      </w:r>
      <w:r w:rsidR="00804219">
        <w:t xml:space="preserve"> and </w:t>
      </w:r>
      <w:r w:rsidR="00804219" w:rsidRPr="00DA408B">
        <w:fldChar w:fldCharType="begin"/>
      </w:r>
      <w:r w:rsidR="00804219" w:rsidRPr="00DA408B">
        <w:instrText xml:space="preserve"> REF _Ref468275106 \h  \* MERGEFORMAT </w:instrText>
      </w:r>
      <w:r w:rsidR="00804219" w:rsidRPr="00DA408B">
        <w:fldChar w:fldCharType="separate"/>
      </w:r>
      <w:r w:rsidR="00804219" w:rsidRPr="00804219">
        <w:t>Figure 2.13</w:t>
      </w:r>
      <w:r w:rsidR="00804219" w:rsidRPr="00DA408B">
        <w:fldChar w:fldCharType="end"/>
      </w:r>
      <w:r w:rsidR="00804219" w:rsidRPr="00DA408B">
        <w:rPr>
          <w:bCs/>
        </w:rPr>
        <w:t xml:space="preserve"> </w:t>
      </w:r>
      <w:r w:rsidR="00804219">
        <w:t xml:space="preserve"> </w:t>
      </w:r>
      <w:r w:rsidRPr="00DA408B">
        <w:rPr>
          <w:bCs/>
        </w:rPr>
        <w:t xml:space="preserve">) </w:t>
      </w:r>
      <w:r w:rsidRPr="00DA408B">
        <w:rPr>
          <w:bCs/>
        </w:rPr>
        <w:fldChar w:fldCharType="begin" w:fldLock="1"/>
      </w:r>
      <w:r w:rsidR="00D80A5D">
        <w:rPr>
          <w:bCs/>
        </w:rPr>
        <w:instrText>ADDIN CSL_CITATION {"citationItems":[{"id":"ITEM-1","itemData":{"DOI":"10.1016/j.jpowsour.2010.05.047","ISSN":"03787753","abstract":"Sintering of Ni is a key stability issue for Ni-YSZ anodes, and especially infiltration based electrodes. The potential of MgO, Al2O 3, TiO2, CeO2 and Ce0.90Gd 0.10O1.95 (CGO10) as sintering inhibitors was investigated for infiltrated Ni based anode structures. The structures were prepared from tape cast porous YSZ layers that were impregnated with Ni to form an electronic percolating phase. The Ni-YSZ structure was subsequently impregnated with the inhibitor candidate, and the stability of the structure was evaluated from conductivity measurements. Lower conductivity degradation rates were observed for samples infiltrated with the inhibitor candidates, and the best inhibitor effect was seen with higher loadings of CGO10, and CeO2 showed similar potential. The degradation in conductivity was not visibly reflected in the microstructure as Ni coarsening in any of the cases. An adverse effect of MgO, TiO2 and Al2O3 was reduced conductivity, possibly due to reaction with Ni and the formation of higher resistive phases. The Ni-infiltrated anodes were shown to have better initial electrochemical performance at 650 °C than conventionally produced Ni-YSZ anodes, but still very poor stability, and further improvement of the inhibitor approach is necessary before applying the Ni-infiltrated anodes in SOFCs. © 2010 Elsevier B.V.","author":[{"dropping-particle":"","family":"Klemensø","given":"Trine","non-dropping-particle":"","parse-names":false,"suffix":""},{"dropping-particle":"","family":"Thydén","given":"Karl","non-dropping-particle":"","parse-names":false,"suffix":""},{"dropping-particle":"","family":"Chen","given":"Ming","non-dropping-particle":"","parse-names":false,"suffix":""},{"dropping-particle":"","family":"Wang","given":"Hsiang Jen","non-dropping-particle":"","parse-names":false,"suffix":""}],"container-title":"Journal of Power Sources","id":"ITEM-1","issue":"21","issued":{"date-parts":[["2010"]]},"page":"7295-7301","title":"Stability of Ni-yttria stabilized zirconia anodes based on Ni-impregnation","type":"article-journal","volume":"195"},"uris":["http://www.mendeley.com/documents/?uuid=dc80fc60-c38e-45b3-afcf-3e76a9be68c2"]}],"mendeley":{"formattedCitation":"[219]","plainTextFormattedCitation":"[219]","previouslyFormattedCitation":"[219]"},"properties":{"noteIndex":0},"schema":"https://github.com/citation-style-language/schema/raw/master/csl-citation.json"}</w:instrText>
      </w:r>
      <w:r w:rsidRPr="00DA408B">
        <w:rPr>
          <w:bCs/>
        </w:rPr>
        <w:fldChar w:fldCharType="separate"/>
      </w:r>
      <w:r w:rsidR="006C586A" w:rsidRPr="006C586A">
        <w:rPr>
          <w:bCs/>
          <w:noProof/>
        </w:rPr>
        <w:t>[219]</w:t>
      </w:r>
      <w:r w:rsidRPr="00DA408B">
        <w:rPr>
          <w:bCs/>
        </w:rPr>
        <w:fldChar w:fldCharType="end"/>
      </w:r>
      <w:r w:rsidRPr="00DA408B">
        <w:rPr>
          <w:bCs/>
        </w:rPr>
        <w:t>.</w:t>
      </w:r>
    </w:p>
    <w:p w14:paraId="495AA0D4" w14:textId="4040E1DB" w:rsidR="00007F6C" w:rsidRPr="00DA408B" w:rsidRDefault="00007F6C" w:rsidP="004B726A">
      <w:pPr>
        <w:pStyle w:val="Heading4"/>
      </w:pPr>
      <w:bookmarkStart w:id="107" w:name="_Toc474489926"/>
      <w:r w:rsidRPr="00DA408B">
        <w:t>2.3.2.</w:t>
      </w:r>
      <w:r w:rsidR="00506BA6">
        <w:t>3</w:t>
      </w:r>
      <w:r w:rsidRPr="00DA408B">
        <w:t xml:space="preserve"> </w:t>
      </w:r>
      <w:bookmarkEnd w:id="107"/>
      <w:r w:rsidR="00BB5885">
        <w:t>Influence of Operating Temperature</w:t>
      </w:r>
      <w:r w:rsidR="00291C03">
        <w:t xml:space="preserve"> and Creep</w:t>
      </w:r>
    </w:p>
    <w:p w14:paraId="34D8CF6A" w14:textId="63222B7A" w:rsidR="00007F6C" w:rsidRPr="00DA408B" w:rsidRDefault="00007F6C" w:rsidP="004B726A">
      <w:pPr>
        <w:jc w:val="both"/>
        <w:rPr>
          <w:bCs/>
        </w:rPr>
      </w:pPr>
      <w:r w:rsidRPr="00DA408B">
        <w:rPr>
          <w:bCs/>
        </w:rPr>
        <w:t>The thermal expansion coefficient can be the key to how a sample interacts whilst being electrochemically cycled. In the case of solid oxide fuel cell electrode materials, a metal is usually incorporated in the ceramic matrix or as catalytic media. In a service environment with a temperature that exceeds 600°C, the nickel catalysts increase in volume by up to 69% as a result of nickel oxide formation</w:t>
      </w:r>
      <w:r w:rsidR="00291C03">
        <w:rPr>
          <w:bCs/>
        </w:rPr>
        <w:t xml:space="preserve"> </w:t>
      </w:r>
      <w:r w:rsidRPr="00DA408B">
        <w:rPr>
          <w:bCs/>
        </w:rPr>
        <w:fldChar w:fldCharType="begin" w:fldLock="1"/>
      </w:r>
      <w:r w:rsidR="00D80A5D">
        <w:rPr>
          <w:bCs/>
        </w:rPr>
        <w:instrText>ADDIN CSL_CITATION {"citationItems":[{"id":"ITEM-1","itemData":{"DOI":"10.1016/j.jpowsour.2015.04.072","ISSN":"03787753","abstract":"Ni infiltration into porous YSZ scaffolds is a promising route for the construction of high performing and redox-stable Ni-YSZ anodes for application in solid oxide fuel cells (SOFCs). However, the long-term instability of this type of anode is a critical problem. Here, it is shown that an interconnected Ni film, rather than discrete Ni particles, can be formed inside a porous, pre-sintered YSZ scaffold by using a polymeric Ni-based precursor as the infiltration medium. To understand the effect of the YSZ microstructure on the long-term stability and the electrochemical performance of the resulting composites, two types of Ni-YSZ anodes were investigated. Anodes prepared by polymeric Ni infiltration into a YSZ scaffold with large grains (0.5 μm) and pores (0.5 μm and 5 μm) showed extensive agglomeration in the Ni phase, resulting in poor stability and poor activity. In contrast, Ni infiltration into YSZ scaffolds with finer particle and pore sizes (</w:instrText>
      </w:r>
      <w:r w:rsidR="00D80A5D">
        <w:rPr>
          <w:rFonts w:ascii="Cambria Math" w:hAnsi="Cambria Math" w:cs="Cambria Math"/>
          <w:bCs/>
        </w:rPr>
        <w:instrText>∼</w:instrText>
      </w:r>
      <w:r w:rsidR="00D80A5D">
        <w:rPr>
          <w:bCs/>
        </w:rPr>
        <w:instrText xml:space="preserve">200 nm each) produced anodes with a very small polarization resistance of ca. 0.1 </w:instrText>
      </w:r>
      <w:r w:rsidR="00D80A5D">
        <w:rPr>
          <w:rFonts w:ascii="Calibri" w:hAnsi="Calibri" w:cs="Calibri"/>
          <w:bCs/>
        </w:rPr>
        <w:instrText>Ω</w:instrText>
      </w:r>
      <w:r w:rsidR="00D80A5D">
        <w:rPr>
          <w:bCs/>
        </w:rPr>
        <w:instrText xml:space="preserve"> cm&lt;sup&gt;2&lt;/sup&gt; per electrode at 800 </w:instrText>
      </w:r>
      <w:r w:rsidR="00D80A5D">
        <w:rPr>
          <w:rFonts w:ascii="Calibri" w:hAnsi="Calibri" w:cs="Calibri"/>
          <w:bCs/>
        </w:rPr>
        <w:instrText>°</w:instrText>
      </w:r>
      <w:r w:rsidR="00D80A5D">
        <w:rPr>
          <w:bCs/>
        </w:rPr>
        <w:instrText xml:space="preserve">C. An increase of only </w:instrText>
      </w:r>
      <w:r w:rsidR="00D80A5D">
        <w:rPr>
          <w:rFonts w:ascii="Cambria Math" w:hAnsi="Cambria Math" w:cs="Cambria Math"/>
          <w:bCs/>
        </w:rPr>
        <w:instrText>∼</w:instrText>
      </w:r>
      <w:r w:rsidR="00D80A5D">
        <w:rPr>
          <w:bCs/>
        </w:rPr>
        <w:instrText>5% was seen in the resistance after ca. 110 h at this temperature, achieved by preventing Ni agglomeration.","author":[{"dropping-particle":"","family":"Buyukaksoy","given":"Aligul","non-dropping-particle":"","parse-names":false,"suffix":""},{"dropping-particle":"","family":"Kammampata","given":"Sanoop P.","non-dropping-particle":"","parse-names":false,"suffix":""},{"dropping-particle":"","family":"Birss","given":"Viola I.","non-dropping-particle":"","parse-names":false,"suffix":""}],"container-title":"Journal of Power Sources","id":"ITEM-1","issued":{"date-parts":[["2015"]]},"page":"349-358","publisher":"Elsevier B.V","title":"Effect of porous YSZ scaffold microstructure on the long-term performance of infiltrated Ni-YSZ anodes","type":"article-journal","volume":"287"},"uris":["http://www.mendeley.com/documents/?uuid=95f6b41b-9065-4cf8-9ddb-f27577bdf473"]}],"mendeley":{"formattedCitation":"[233]","plainTextFormattedCitation":"[233]","previouslyFormattedCitation":"[233]"},"properties":{"noteIndex":0},"schema":"https://github.com/citation-style-language/schema/raw/master/csl-citation.json"}</w:instrText>
      </w:r>
      <w:r w:rsidRPr="00DA408B">
        <w:rPr>
          <w:bCs/>
        </w:rPr>
        <w:fldChar w:fldCharType="separate"/>
      </w:r>
      <w:r w:rsidR="006C586A" w:rsidRPr="006C586A">
        <w:rPr>
          <w:bCs/>
          <w:noProof/>
        </w:rPr>
        <w:t>[233]</w:t>
      </w:r>
      <w:r w:rsidRPr="00DA408B">
        <w:rPr>
          <w:bCs/>
        </w:rPr>
        <w:fldChar w:fldCharType="end"/>
      </w:r>
      <w:r w:rsidRPr="00DA408B">
        <w:rPr>
          <w:bCs/>
        </w:rPr>
        <w:t xml:space="preserve">. </w:t>
      </w:r>
    </w:p>
    <w:p w14:paraId="7C99ECA5" w14:textId="5634190A" w:rsidR="00007F6C" w:rsidRPr="00DA408B" w:rsidRDefault="00007F6C" w:rsidP="004B726A">
      <w:pPr>
        <w:jc w:val="both"/>
        <w:rPr>
          <w:bCs/>
        </w:rPr>
      </w:pPr>
      <w:r w:rsidRPr="00DA408B">
        <w:rPr>
          <w:bCs/>
        </w:rPr>
        <w:t xml:space="preserve">Metallic components such as the nickel present in Ni/YSZ cermets or on the surface of porous ceramic scaffolds could be subject to thermomechanical phenomena such as creep. Creep is the non-time dependent permanent deformation of a material in the presence of elevated temperatures. For bulk metals this effect is not usually a factor until the operating temperature exceeds half the melting point of the material </w:t>
      </w:r>
      <w:r w:rsidRPr="00DA408B">
        <w:rPr>
          <w:bCs/>
        </w:rPr>
        <w:fldChar w:fldCharType="begin" w:fldLock="1"/>
      </w:r>
      <w:r w:rsidR="00D80A5D">
        <w:rPr>
          <w:bCs/>
        </w:rPr>
        <w:instrText>ADDIN CSL_CITATION {"citationItems":[{"id":"ITEM-1","itemData":{"DOI":"10.1016/j.jpowsour.2016.04.097","ISSN":"03787753","abstract":"To evaluate the reliability of solid oxide fuel cell (SOFC) stacks during operation, the stress field in the stack must be known. During operation the stress field will depend on time as creep processes relax stresses. The creep of reduced Ni-YSZ anode support at operating conditions has been studied previously. In this work a newly discovered creep phenomenon taking place during the reduction is reported. This relaxes stresses at a much higher rate (</w:instrText>
      </w:r>
      <w:r w:rsidR="00D80A5D">
        <w:rPr>
          <w:rFonts w:ascii="Cambria Math" w:hAnsi="Cambria Math" w:cs="Cambria Math"/>
          <w:bCs/>
        </w:rPr>
        <w:instrText>∼</w:instrText>
      </w:r>
      <w:r w:rsidR="00D80A5D">
        <w:rPr>
          <w:rFonts w:ascii="Calibri" w:hAnsi="Calibri" w:cs="Calibri"/>
          <w:bCs/>
        </w:rPr>
        <w:instrText>×</w:instrText>
      </w:r>
      <w:r w:rsidR="00D80A5D">
        <w:rPr>
          <w:bCs/>
        </w:rPr>
        <w:instrText>104) than creep during operation. The phenomenon was studied both in three-point bending and uniaxial tension. Differences between the two measurements could be explained by newly observed stress promoted reduction. Finally, samples exposed to a small tensile stress (</w:instrText>
      </w:r>
      <w:r w:rsidR="00D80A5D">
        <w:rPr>
          <w:rFonts w:ascii="Cambria Math" w:hAnsi="Cambria Math" w:cs="Cambria Math"/>
          <w:bCs/>
        </w:rPr>
        <w:instrText>∼</w:instrText>
      </w:r>
      <w:r w:rsidR="00D80A5D">
        <w:rPr>
          <w:bCs/>
        </w:rPr>
        <w:instrText>0.004 MPa) were observed to expand during reduction, which is in contradiction to previous literature. These observations suggest that release of internal residual stresses between the NiO and the YSZ phases occurs during reduction. The accelerated creep should practically eliminate any residual stress in the anode support in an SOFC stack, as has previously been indirectly observed. This phenomenon has to be taken into account both in the production of stacks and in the simulation of the stress field in a stack based on anode supported SOFCs.","author":[{"dropping-particle":"","family":"Frandsen","given":"H. L.","non-dropping-particle":"","parse-names":false,"suffix":""},{"dropping-particle":"","family":"Makowska","given":"M.","non-dropping-particle":"","parse-names":false,"suffix":""},{"dropping-particle":"","family":"Greco","given":"F.","non-dropping-particle":"","parse-names":false,"suffix":""},{"dropping-particle":"","family":"Chatzichristodoulou","given":"C.","non-dropping-particle":"","parse-names":false,"suffix":""},{"dropping-particle":"","family":"Ni","given":"D. W.","non-dropping-particle":"","parse-names":false,"suffix":""},{"dropping-particle":"","family":"Curran","given":"D. J.","non-dropping-particle":"","parse-names":false,"suffix":""},{"dropping-particle":"","family":"Strobl","given":"M.","non-dropping-particle":"","parse-names":false,"suffix":""},{"dropping-particle":"","family":"Kuhn","given":"L. T.","non-dropping-particle":"","parse-names":false,"suffix":""},{"dropping-particle":"V.","family":"Hendriksen","given":"P.","non-dropping-particle":"","parse-names":false,"suffix":""}],"container-title":"Journal of Power Sources","id":"ITEM-1","issued":{"date-parts":[["2016"]]},"page":"78-89","title":"Accelerated creep in solid oxide fuel cell anode supports during reduction","type":"article-journal","volume":"323"},"uris":["http://www.mendeley.com/documents/?uuid=290097aa-069b-48a0-9ecb-5882c812f917"]}],"mendeley":{"formattedCitation":"[234]","plainTextFormattedCitation":"[234]","previouslyFormattedCitation":"[234]"},"properties":{"noteIndex":0},"schema":"https://github.com/citation-style-language/schema/raw/master/csl-citation.json"}</w:instrText>
      </w:r>
      <w:r w:rsidRPr="00DA408B">
        <w:rPr>
          <w:bCs/>
        </w:rPr>
        <w:fldChar w:fldCharType="separate"/>
      </w:r>
      <w:r w:rsidR="006C586A" w:rsidRPr="006C586A">
        <w:rPr>
          <w:bCs/>
          <w:noProof/>
        </w:rPr>
        <w:t>[234]</w:t>
      </w:r>
      <w:r w:rsidRPr="00DA408B">
        <w:rPr>
          <w:bCs/>
        </w:rPr>
        <w:fldChar w:fldCharType="end"/>
      </w:r>
      <w:r w:rsidRPr="00DA408B">
        <w:rPr>
          <w:bCs/>
        </w:rPr>
        <w:t>.</w:t>
      </w:r>
    </w:p>
    <w:p w14:paraId="38187FA9" w14:textId="5BFE53E7" w:rsidR="00007F6C" w:rsidRDefault="00007F6C" w:rsidP="004B726A">
      <w:pPr>
        <w:jc w:val="both"/>
        <w:rPr>
          <w:bCs/>
        </w:rPr>
      </w:pPr>
      <w:r w:rsidRPr="00DA408B">
        <w:rPr>
          <w:bCs/>
        </w:rPr>
        <w:t>In SOFCs the support media is usually synonymous with the electrode material to avoid cracking from thermal expansion mismatch.</w:t>
      </w:r>
      <w:r w:rsidR="00291C03">
        <w:rPr>
          <w:bCs/>
        </w:rPr>
        <w:t xml:space="preserve"> This is a key benefit to the use of wet impregnated Ni/YSZ fuel electrodes </w:t>
      </w:r>
      <w:r w:rsidR="00291C03">
        <w:rPr>
          <w:bCs/>
        </w:rPr>
        <w:fldChar w:fldCharType="begin" w:fldLock="1"/>
      </w:r>
      <w:r w:rsidR="00D80A5D">
        <w:rPr>
          <w:bCs/>
        </w:rPr>
        <w:instrText>ADDIN CSL_CITATION {"citationItems":[{"id":"ITEM-1","itemData":{"DOI":"10.1007/s40243-017-0096-2","ISSN":"21941467","abstract":"Commercially available anode supported solid oxide fuel cells (NiO-8YSZ/8YSZ/LSCF-20 mm in diameter) were anode infiltrated with gadolinium doped ceria (CGO) using a scalable drop-on-demand inkjet printing process. Cells were infiltrated with two different precursor solutions-water based or propionic acid based. The saturation limit of the 0.5 lm thick anode supports sintered at 1400 °C was found to be approximately 1wt%. No significant enhancement in power output was recorded at practical voltage levels. Microstructural characterisation was carried out after electrochemical performance testing using high resolution scanning electron microscopy. This work demonstrates that despite the feasibility of achieving CGO nanoparticle infiltration into thick, commercial SOFC anodes with a simple, low-cost and industrially scalable procedure other loss mechanisms were dominant. Infiltration of model symmetric anode cells with the propionic acid based ink demonstrated that significant reductions in polarisation resistance were possible.","author":[{"dropping-particle":"","family":"Mitchell-Williams","given":"T. B.","non-dropping-particle":"","parse-names":false,"suffix":""},{"dropping-particle":"","family":"Tomov","given":"R. I.","non-dropping-particle":"","parse-names":false,"suffix":""},{"dropping-particle":"","family":"Saadabadi","given":"S. A.","non-dropping-particle":"","parse-names":false,"suffix":""},{"dropping-particle":"","family":"Krauz","given":"M.","non-dropping-particle":"","parse-names":false,"suffix":""},{"dropping-particle":"V.","family":"Aravind","given":"P.","non-dropping-particle":"","parse-names":false,"suffix":""},{"dropping-particle":"","family":"Glowacki","given":"B. A.","non-dropping-particle":"","parse-names":false,"suffix":""},{"dropping-particle":"V.","family":"Kumar","given":"R.","non-dropping-particle":"","parse-names":false,"suffix":""}],"container-title":"Materials for Renewable and Sustainable Energy","id":"ITEM-1","issue":"2","issued":{"date-parts":[["2017"]]},"page":"1-9","publisher":"Springer Berlin Heidelberg","title":"Infiltration of commercially available, anode supported SOFC’s via inkjet printing","type":"article-journal","volume":"6"},"uris":["http://www.mendeley.com/documents/?uuid=609e2f4d-870e-40cf-904b-73fa215bef9d"]},{"id":"ITEM-2","itemData":{"DOI":"10.1016/j.ces.2009.06.033","ISBN":"00092509 (ISSN)","ISSN":"00092509","abstract":"Improved electrochemical properties of Ni/YSZ anodes for solid oxide fuel cells (SOFCs) were obtained when a proton conducting material, SrZr0.95 Y0.05 O3 - α (SZY), was infiltrated to the anode. The synthesis of SZY in Ni/YSZ anodes involved first adding an SZY precursor solution by the infiltration method and then calcinating at 1300 °C to induce the chemical decomposition reaction of the SZY precursor. When the amount of infiltrated SZY was increased, the performance of SOFCs with Ni/YSZ-SZY increased, while the degradation of the anode decreased in dry methane fuel. Based on the performance, anode potential, and degradation ratio of the SOFCs, the optimal amount of infiltrated SZY was about 1/14 (SZY/NiO by wt). The improved electrochemical properties might be due to electrochemically produced H2O and the high oxygen coverage near the triple phase boundary of SZY-infiltrated Ni/YSZ. © 2009 Elsevier Ltd. All rights reserved.","author":[{"dropping-particle":"","family":"Jin","given":"Y.","non-dropping-particle":"","parse-names":false,"suffix":""},{"dropping-particle":"","family":"Yasutake","given":"H.","non-dropping-particle":"","parse-names":false,"suffix":""},{"dropping-particle":"","family":"Yamahara","given":"K.","non-dropping-particle":"","parse-names":false,"suffix":""},{"dropping-particle":"","family":"Ihara","given":"M.","non-dropping-particle":"","parse-names":false,"suffix":""}],"container-title":"Chemical Engineering Science","id":"ITEM-2","issue":"1","issued":{"date-parts":[["2010"]]},"language":"English","note":"Cited By :14\nExport Date: 20 January 2017\nCODEN: CESCA\nCorrespondence Address: Ihara, M.; Research Center for Carbon Recycling and Energy, Tokyo Institute of Technology, 2-12-1 Ookayama, Meguro-ku, Tokyo, 152-8552, Japan; email: mihara@chem.titech.ac.jp\nReferences: Ihara, M., Kusano, T., Yokoyama, C., Competitive adsorption reaction mechanism of Ni/yttria-stabilized zirconia cermet anodes in H 2-H 2O solid oxide fuel cell (2001) Journal of Electrochemical Society, 148, pp. A209-A219; Ihara, M., Characteristics of SOFC with Ni/GDC cermet anode in pure dry methane fuel (2002) Proceedings of Fifth European SOFC Forum, 1, p. 523; Iwahara, H., Proton conducting ceramics and their applications (1996) Solid State Ionics, 86-88, pp. 9-15; Jin, Y., Levy, C., Saito, H., Hasegawa, S., Yamahara, K., Hanamura, K., Ihara, M., Electrochemical characteristics of anode with SrZr 0.95 Y 0.05 O 3 - α for SOFC in dry methane fuel (2007) ECS Transactions, 7, pp. 1753-1760; Jin, Y., Saito, H., Hasegawa, S., Yamahara, Ihara, M., Improvement in durability and performance of nickel cermet anode with SrZr 0.95 Y 0.05 O 3 - α in dry methane fuel (2009) Electrochemical and Solid-State Letters, 12, pp. B8-B10; Jin, Y., Yasutake, H., Yamahara, K., Ihara, M., Distribution of carbon deposition and proton conductor in nickel/yittria-stablized zirconia anode infiltrated by proton conductor of SrZr 0.95 Y 0.05 O 3 - α after power generation in dry methane fuel. ECS Transactions (2009), accepted for publicationKee, R., Zhu, H., Goodwin, D., Solid-oxide fuel cells with hydrocarbon fuels (2005) Proceedings of the Combustion Institute, 30, pp. 2379-2404; Levy, C., Yamahara, K., Hasegawa, S., Ihara, M., Dependence of electrochemical performance of SOFC in dry methane fuel on anode materials (2006) Proceedings of the Seventh European SOFC forum, p. 709; Levy, C., Nakamura, S., Hasegawa, S., Yamahara, K., Hanamura, K., Ihara, M., 2006b. Electrochemical characteristics of Ni/Gd-doped ceria and Ni/Sm-doped ceria anodes for SOFC using dry methane fuel. In: Advances in Solid Oxide Fuel Cells II, Ceramic Engineering and Science Proceedings, 27 (4), p. 175Mather, G., Figueiredo, F., Jurado, J., Frade, J., Electrochemical behaviour of Ni-cermet anodes containing a proton-conducting ceramic phase on YSZ substrate (2004) Electrochimica Acta, 49, pp. 2601-2612; Mclntosh, S., Gorte, R., Direct hydrocarbon solid oxide fuel cell (2004) Chemical Reviews, 104, pp. 4845-4865; Nakamura, S., Hanamura, K., Ihara, M., Effects of proton-conductor adding to anodes on the characteristic of SOFC using CeO 2-based solid electrolytes (2005) Proceedings of the 14th Symposium on SOFCs, pp. 110-113. , Japan, pp; Triantafyllopoulos, N., Neophytides, S., The nature and binding strength of carbon adspecies formed during the equilibrium dissociative adsorption of CH 4 on Ni-YSZ cermet catalysts (2003) Journal of Catalysis, 217, pp. 324-333; Triantafyllopoulos, N., Neophytides, S., Dissociative adsorption of CH 4 on NiAu/YSZ: the nature of adsorbed carbonaceous species and the inhibition of graphitic C formation (2006) Journal of Catalysis, 239, pp. 187-199; Wincewicz, K., Cooper, J., Taxonomies of SOFC material and manufacturing alternatives (2005) Journal of Power Sources, 140, pp. 280-296; Zhu, W., Deevi, S., A review on the status of anode materials for solid oxide fuel cells (2003) Materials Science and Engineering A, 362, pp. 228-239","page":"597-602","title":"Improved electrochemical properties of Ni/YSZ anodes infiltrated by proton conductor SZY in solid oxide fuel cells with dry methane fuel: Dependence on amount of SZY","type":"article-journal","volume":"65"},"uris":["http://www.mendeley.com/documents/?uuid=2a75d604-206d-4b15-ba48-3349e9b21509"]},{"id":"ITEM-3","itemData":{"DOI":"10.1016/j.scriptamat.2017.06.054","ISSN":"13596462","abstract":"Ni/yttria-stabilized zirconia anodes of solid oxide fuel cells are fabricated by a wet infiltration technique and the ability of the infiltration technique to control the anode microstructure is quantitatively demonstrated by a detailed three-dimensional microstructural analysis. The microstructural analysis reveals favorable aspects of the infiltrated anodes, such as larger triple-phase boundary density and sufficiently large pore size, and they are mostly unachievable by the conventional powder-mixing and sintering approaches. The improved controllability of the infiltration technique is expected to be useful to tailor porous microstructures to meet the multiple requirements for transport and electrochemical reactions within the anodes.","author":[{"dropping-particle":"","family":"Kishimoto","given":"Masashi","non-dropping-particle":"","parse-names":false,"suffix":""},{"dropping-particle":"","family":"Kawakami","given":"Yuki","non-dropping-particle":"","parse-names":false,"suffix":""},{"dropping-particle":"","family":"Otani","given":"Yuki","non-dropping-particle":"","parse-names":false,"suffix":""},{"dropping-particle":"","family":"Iwai","given":"Hiroshi","non-dropping-particle":"","parse-names":false,"suffix":""},{"dropping-particle":"","family":"Yoshida","given":"Hideo","non-dropping-particle":"","parse-names":false,"suffix":""}],"container-title":"Scripta Materialia","id":"ITEM-3","issued":{"date-parts":[["2017"]]},"page":"5-8","publisher":"Acta Materialia Inc.","title":"Improved controllability of wet infiltration technique for fabrication of solid oxide fuel cell anodes","type":"article-journal","volume":"140"},"uris":["http://www.mendeley.com/documents/?uuid=56a8b51e-2a3f-4522-b63b-e98070078f31"]}],"mendeley":{"formattedCitation":"[235]–[237]","plainTextFormattedCitation":"[235]–[237]","previouslyFormattedCitation":"[235]–[237]"},"properties":{"noteIndex":0},"schema":"https://github.com/citation-style-language/schema/raw/master/csl-citation.json"}</w:instrText>
      </w:r>
      <w:r w:rsidR="00291C03">
        <w:rPr>
          <w:bCs/>
        </w:rPr>
        <w:fldChar w:fldCharType="separate"/>
      </w:r>
      <w:r w:rsidR="006C586A" w:rsidRPr="006C586A">
        <w:rPr>
          <w:bCs/>
          <w:noProof/>
        </w:rPr>
        <w:t>[235]–[237]</w:t>
      </w:r>
      <w:r w:rsidR="00291C03">
        <w:rPr>
          <w:bCs/>
        </w:rPr>
        <w:fldChar w:fldCharType="end"/>
      </w:r>
      <w:r w:rsidR="00291C03">
        <w:rPr>
          <w:bCs/>
        </w:rPr>
        <w:t>.</w:t>
      </w:r>
      <w:r w:rsidRPr="00DA408B">
        <w:rPr>
          <w:bCs/>
        </w:rPr>
        <w:t xml:space="preserve"> </w:t>
      </w:r>
    </w:p>
    <w:p w14:paraId="5572A137" w14:textId="74043FB4" w:rsidR="00BB5885" w:rsidRDefault="00BB5885" w:rsidP="004B726A">
      <w:pPr>
        <w:jc w:val="both"/>
        <w:rPr>
          <w:bCs/>
        </w:rPr>
      </w:pPr>
      <w:r>
        <w:rPr>
          <w:bCs/>
        </w:rPr>
        <w:t>The Tammann temperature (</w:t>
      </w:r>
      <w:proofErr w:type="spellStart"/>
      <w:r>
        <w:rPr>
          <w:bCs/>
        </w:rPr>
        <w:t>T</w:t>
      </w:r>
      <w:r>
        <w:rPr>
          <w:bCs/>
          <w:vertAlign w:val="subscript"/>
        </w:rPr>
        <w:t>Tammann</w:t>
      </w:r>
      <w:proofErr w:type="spellEnd"/>
      <w:r>
        <w:rPr>
          <w:bCs/>
        </w:rPr>
        <w:t>) is defined as the temperature (in Kelvin) that a solid material develops 70 % of its vibrational freedom, when the temperature is equal to or exceeds half the melting point of the solid</w:t>
      </w:r>
      <w:r w:rsidR="00315BF8">
        <w:rPr>
          <w:bCs/>
        </w:rPr>
        <w:t xml:space="preserve"> </w:t>
      </w:r>
      <w:r w:rsidR="00DA32CA">
        <w:rPr>
          <w:bCs/>
        </w:rPr>
        <w:t xml:space="preserve">(See </w:t>
      </w:r>
      <w:r w:rsidR="00DA32CA">
        <w:rPr>
          <w:bCs/>
        </w:rPr>
        <w:fldChar w:fldCharType="begin"/>
      </w:r>
      <w:r w:rsidR="00DA32CA">
        <w:rPr>
          <w:bCs/>
        </w:rPr>
        <w:instrText xml:space="preserve"> REF _Ref65836481 \h </w:instrText>
      </w:r>
      <w:r w:rsidR="00DA32CA">
        <w:rPr>
          <w:bCs/>
        </w:rPr>
      </w:r>
      <w:r w:rsidR="00DA32CA">
        <w:rPr>
          <w:bCs/>
        </w:rPr>
        <w:fldChar w:fldCharType="separate"/>
      </w:r>
      <w:r w:rsidR="00DA32CA">
        <w:t>Equation 2.</w:t>
      </w:r>
      <w:r w:rsidR="00DA32CA">
        <w:rPr>
          <w:noProof/>
        </w:rPr>
        <w:t>10</w:t>
      </w:r>
      <w:r w:rsidR="00DA32CA">
        <w:rPr>
          <w:bCs/>
        </w:rPr>
        <w:fldChar w:fldCharType="end"/>
      </w:r>
      <w:r w:rsidR="00DA32CA">
        <w:rPr>
          <w:bCs/>
        </w:rPr>
        <w:t xml:space="preserve"> below)</w:t>
      </w:r>
      <w:r w:rsidR="00315BF8">
        <w:rPr>
          <w:bCs/>
        </w:rPr>
        <w:fldChar w:fldCharType="begin" w:fldLock="1"/>
      </w:r>
      <w:r w:rsidR="00D80A5D">
        <w:rPr>
          <w:bCs/>
        </w:rPr>
        <w:instrText>ADDIN CSL_CITATION {"citationItems":[{"id":"ITEM-1","itemData":{"DOI":"10.1002/zaac.19191070102","abstract":"Abstract Übersicht S.1.– 1. Die regellose Verteilung zweier Molekülarten S.9.–2. Die regelmäßigen Verteilungen zweier Atomarten in Raumgittern S. 15.–3. Die bei der Extraktion mit Salpetersäure verbleibenden Rückstände der Gold - Silber- und Gold -Kupferlegierungen S. 49. – 4. Vorläufige Bestimmung der Einwirkungsgrenzen von schwefelhaltigen Agentien und schwachen Oxydationsmitteln auf die Cu-Au-Mischkristalle und der Einfluß der Temperatur auf diese Einwirkungsgrenzen S. 57 – 5. Genauere Bestimmung der Einwirkungsgrenzen auf die Cu-Au- und Ag-Au-Mischkristalle in Abhängigkeit von der Natur der chemischen Agentien S. 62. – 6. Über die Löslichkeit von Wasserstoff in Palladiummischkristallen S. 89. – 7. Deutung der Einwirkungsgrenzen S. 96. – 8. Das Verhalten der ternären Mischkristalle von Cu, Ag und Au gegen chemische Agentien und ihre Farben S. 107. – 9. Die Einwirkungsgrenzen der Mischkristalle des Vanadins und Siliciums mit Eisen S. 118.–10. Die galvanischen Spannungen der Legierungen S. 136.– 11. Angenäherte Bestimmung der Einwirkungsgrenzen auf die Mischkristallreihen des Mn mit Ag und die des Mg mit Ag S. 169. – 12. Über den Einfluß der Kaltbearbeitung auf die chemischen Einwirkungsgrenzen S. 171. – 13. Zusammenfassung der Resultate, betreffend die Einwirkungsgrenzen und Übersicht ihrer Deutung S. 186. – 14. Über den atomistischen Aufbau nichtmetallischer Mischkristalle S. 186.– 15. Die normale Molekülverteilung in Mischkristallen als Ursache ihrer anomalen Doppelbrechung S. 208. – 16. Isomere metallische Mischkristalle S. 217.–17. Bemerkungen über „Säure”︁ beständige Legierungen S.235.– Schlußwort S.237.","author":[{"dropping-particle":"","family":"Tammann","given":"G","non-dropping-particle":"","parse-names":false,"suffix":""}],"container-title":"Zeitschrift für anorganische und allgemeine Chemie","id":"ITEM-1","issue":"1","issued":{"date-parts":[["1919"]]},"page":"1-239","title":"Zum Gedächtnis der Entdeckung des Isomorphismus vor 100 Jahren. Die chemischen und galvanischen Eigenschaften von Mischkristallreihen und ihre Atomverteilung","type":"article-journal","volume":"107"},"uris":["http://www.mendeley.com/documents/?uuid=6284032c-9c7e-43bd-bed0-65f21129f2be"]},{"id":"ITEM-2","itemData":{"author":[{"dropping-particle":"","family":"Resident","given":"Chief","non-dropping-particle":"","parse-names":false,"suffix":""},{"dropping-particle":"","family":"Anandprakash","given":"Inspector","non-dropping-particle":"","parse-names":false,"suffix":""}],"container-title":"Defense Science Journal","id":"ITEM-2","issue":"3","issued":{"date-parts":[["1998"]]},"page":"303-308","title":"Effect of Tammann Chromate Temperature and and Relative Humidity on Lead Compositions","type":"article-journal"},"uris":["http://www.mendeley.com/documents/?uuid=418fa266-d5b8-475d-a592-b407cde18fa1"]}],"mendeley":{"formattedCitation":"[238], [239]","plainTextFormattedCitation":"[238], [239]","previouslyFormattedCitation":"[238], [239]"},"properties":{"noteIndex":0},"schema":"https://github.com/citation-style-language/schema/raw/master/csl-citation.json"}</w:instrText>
      </w:r>
      <w:r w:rsidR="00315BF8">
        <w:rPr>
          <w:bCs/>
        </w:rPr>
        <w:fldChar w:fldCharType="separate"/>
      </w:r>
      <w:r w:rsidR="006C586A" w:rsidRPr="006C586A">
        <w:rPr>
          <w:bCs/>
          <w:noProof/>
        </w:rPr>
        <w:t>[238], [239]</w:t>
      </w:r>
      <w:r w:rsidR="00315BF8">
        <w:rPr>
          <w:bCs/>
        </w:rPr>
        <w:fldChar w:fldCharType="end"/>
      </w:r>
      <w:r>
        <w:rPr>
          <w:bCs/>
        </w:rPr>
        <w:t>.</w:t>
      </w:r>
      <w:r w:rsidR="00315BF8">
        <w:rPr>
          <w:bCs/>
        </w:rPr>
        <w:t xml:space="preserve"> In the case of the nickel catalyst this is 727.50 </w:t>
      </w:r>
      <w:r w:rsidR="00315BF8">
        <w:rPr>
          <w:rFonts w:cstheme="minorHAnsi"/>
          <w:bCs/>
        </w:rPr>
        <w:t>°</w:t>
      </w:r>
      <w:r w:rsidR="00315BF8">
        <w:rPr>
          <w:bCs/>
        </w:rPr>
        <w:t xml:space="preserve">C (1000.65 K). As SOFC stack operating temperatures have been documented to exceed 800 </w:t>
      </w:r>
      <w:r w:rsidR="00315BF8">
        <w:rPr>
          <w:rFonts w:cstheme="minorHAnsi"/>
          <w:bCs/>
        </w:rPr>
        <w:t>°</w:t>
      </w:r>
      <w:r w:rsidR="00315BF8">
        <w:rPr>
          <w:bCs/>
        </w:rPr>
        <w:t xml:space="preserve">C, this means that the catalyst media will possess a high degree of mobility </w:t>
      </w:r>
      <w:r w:rsidR="00A67AA5">
        <w:rPr>
          <w:bCs/>
        </w:rPr>
        <w:t>priming sintering mechanisms.</w:t>
      </w:r>
      <w:r w:rsidR="00315BF8">
        <w:rPr>
          <w:bCs/>
        </w:rPr>
        <w:t xml:space="preserve"> </w:t>
      </w:r>
    </w:p>
    <w:p w14:paraId="3FFE0F18" w14:textId="1B0DC094" w:rsidR="00315BF8" w:rsidRPr="00315BF8" w:rsidRDefault="00315BF8" w:rsidP="004B726A">
      <w:pPr>
        <w:pStyle w:val="Caption"/>
        <w:keepNext/>
        <w:jc w:val="both"/>
        <w:rPr>
          <w:vertAlign w:val="subscript"/>
        </w:rPr>
      </w:pPr>
      <w:bookmarkStart w:id="108" w:name="_Ref65836481"/>
      <w:r>
        <w:t>Equation 2.</w:t>
      </w:r>
      <w:r w:rsidR="00B51F53">
        <w:fldChar w:fldCharType="begin"/>
      </w:r>
      <w:r w:rsidR="00B51F53">
        <w:instrText xml:space="preserve"> SEQ Equation \* ARABIC </w:instrText>
      </w:r>
      <w:r w:rsidR="00B51F53">
        <w:fldChar w:fldCharType="separate"/>
      </w:r>
      <w:r>
        <w:rPr>
          <w:noProof/>
        </w:rPr>
        <w:t>10</w:t>
      </w:r>
      <w:r w:rsidR="00B51F53">
        <w:rPr>
          <w:noProof/>
        </w:rPr>
        <w:fldChar w:fldCharType="end"/>
      </w:r>
      <w:bookmarkEnd w:id="108"/>
      <w:r>
        <w:t xml:space="preserve">: The Tammann Temperature of a solid. If </w:t>
      </w:r>
      <w:r>
        <w:rPr>
          <w:rFonts w:cstheme="minorHAnsi"/>
        </w:rPr>
        <w:t>α</w:t>
      </w:r>
      <w:r>
        <w:t xml:space="preserve"> is 0.5 the </w:t>
      </w:r>
      <w:proofErr w:type="spellStart"/>
      <w:r>
        <w:t>T</w:t>
      </w:r>
      <w:r>
        <w:rPr>
          <w:vertAlign w:val="subscript"/>
        </w:rPr>
        <w:t>Tammann</w:t>
      </w:r>
      <w:proofErr w:type="spellEnd"/>
      <w:r>
        <w:rPr>
          <w:vertAlign w:val="subscript"/>
        </w:rPr>
        <w:t xml:space="preserve"> </w:t>
      </w:r>
      <w:r w:rsidRPr="00315BF8">
        <w:t>has been reached</w:t>
      </w:r>
      <w:r>
        <w:t xml:space="preserve"> </w:t>
      </w:r>
      <w:r>
        <w:fldChar w:fldCharType="begin" w:fldLock="1"/>
      </w:r>
      <w:r w:rsidR="00D80A5D">
        <w:instrText>ADDIN CSL_CITATION {"citationItems":[{"id":"ITEM-1","itemData":{"DOI":"10.1002/zaac.19191070102","abstract":"Abstract Übersicht S.1.– 1. Die regellose Verteilung zweier Molekülarten S.9.–2. Die regelmäßigen Verteilungen zweier Atomarten in Raumgittern S. 15.–3. Die bei der Extraktion mit Salpetersäure verbleibenden Rückstände der Gold - Silber- und Gold -Kupferlegierungen S. 49. – 4. Vorläufige Bestimmung der Einwirkungsgrenzen von schwefelhaltigen Agentien und schwachen Oxydationsmitteln auf die Cu-Au-Mischkristalle und der Einfluß der Temperatur auf diese Einwirkungsgrenzen S. 57 – 5. Genauere Bestimmung der Einwirkungsgrenzen auf die Cu-Au- und Ag-Au-Mischkristalle in Abhängigkeit von der Natur der chemischen Agentien S. 62. – 6. Über die Löslichkeit von Wasserstoff in Palladiummischkristallen S. 89. – 7. Deutung der Einwirkungsgrenzen S. 96. – 8. Das Verhalten der ternären Mischkristalle von Cu, Ag und Au gegen chemische Agentien und ihre Farben S. 107. – 9. Die Einwirkungsgrenzen der Mischkristalle des Vanadins und Siliciums mit Eisen S. 118.–10. Die galvanischen Spannungen der Legierungen S. 136.– 11. Angenäherte Bestimmung der Einwirkungsgrenzen auf die Mischkristallreihen des Mn mit Ag und die des Mg mit Ag S. 169. – 12. Über den Einfluß der Kaltbearbeitung auf die chemischen Einwirkungsgrenzen S. 171. – 13. Zusammenfassung der Resultate, betreffend die Einwirkungsgrenzen und Übersicht ihrer Deutung S. 186. – 14. Über den atomistischen Aufbau nichtmetallischer Mischkristalle S. 186.– 15. Die normale Molekülverteilung in Mischkristallen als Ursache ihrer anomalen Doppelbrechung S. 208. – 16. Isomere metallische Mischkristalle S. 217.–17. Bemerkungen über „Säure”︁ beständige Legierungen S.235.– Schlußwort S.237.","author":[{"dropping-particle":"","family":"Tammann","given":"G","non-dropping-particle":"","parse-names":false,"suffix":""}],"container-title":"Zeitschrift für anorganische und allgemeine Chemie","id":"ITEM-1","issue":"1","issued":{"date-parts":[["1919"]]},"page":"1-239","title":"Zum Gedächtnis der Entdeckung des Isomorphismus vor 100 Jahren. Die chemischen und galvanischen Eigenschaften von Mischkristallreihen und ihre Atomverteilung","type":"article-journal","volume":"107"},"uris":["http://www.mendeley.com/documents/?uuid=6284032c-9c7e-43bd-bed0-65f21129f2be"]},{"id":"ITEM-2","itemData":{"author":[{"dropping-particle":"","family":"Resident","given":"Chief","non-dropping-particle":"","parse-names":false,"suffix":""},{"dropping-particle":"","family":"Anandprakash","given":"Inspector","non-dropping-particle":"","parse-names":false,"suffix":""}],"container-title":"Defense Science Journal","id":"ITEM-2","issue":"3","issued":{"date-parts":[["1998"]]},"page":"303-308","title":"Effect of Tammann Chromate Temperature and and Relative Humidity on Lead Compositions","type":"article-journal"},"uris":["http://www.mendeley.com/documents/?uuid=418fa266-d5b8-475d-a592-b407cde18fa1"]},{"id":"ITEM-3","itemData":{"DOI":"10.1021/ja064884j","ISSN":"00027863","abstract":"A novel in situ autoreduction route has been developed, by which monodispersed silver nanoparticles with tunable sizes could be easily fabricated on silica-based materials, especially inside the channels of mesoporous silica (MPS). 13C CP/MAS NMR spectroscopy was employed to monitor the whole assembly process. It was demonstrated that the amino groups of APTS (aminopropyltriethoxyl silane)-modified MPS can be used to anchor formaldehyde to form novel reducing species (NHCH2OH), on which Ag(NH 3)2NO3 could be in situ reduced. Monodispersed silver nanoparticles were thus obtained. In situ XRD and in situ TEM experiments were used to investigate and compare the thermal stabilities of silver nanoparticles on the external surface of silica gels (unconfined) and those located inside the channels of SBA-15 (confined). It was observed that unconfined silver nanoparticles tended to agglomerate at low temperatures (i.e., lower than 773 K). The aggregation of silver nanoparticles became more serious at 773 K. However, for those confined silver nanoparticles, no coarsening process was observed at 773 K, much higher than its Tammann temperature (i.e., 617 K). Only when the treating temperature was higher than 873 K could the agglomeration of those confined silver nanoparticles happen with time-varying via the Ostwald ripening process. The confinement of mesopores played a key role in improving the thermal stabilities of silver nanoparticles (stable up to 773 K without any observable coarsening), which is essential to the further investigations on their chemical (e.g., catalytic) properties. © 2006 American Chemical Society.","author":[{"dropping-particle":"","family":"Sun","given":"Junming","non-dropping-particle":"","parse-names":false,"suffix":""},{"dropping-particle":"","family":"Ma","given":"Ding","non-dropping-particle":"","parse-names":false,"suffix":""},{"dropping-particle":"","family":"Zhang","given":"He","non-dropping-particle":"","parse-names":false,"suffix":""},{"dropping-particle":"","family":"Liu","given":"Xiumei","non-dropping-particle":"","parse-names":false,"suffix":""},{"dropping-particle":"","family":"Han","given":"Xiuwen","non-dropping-particle":"","parse-names":false,"suffix":""},{"dropping-particle":"","family":"Bao","given":"Xinhe","non-dropping-particle":"","parse-names":false,"suffix":""},{"dropping-particle":"","family":"Weinberg","given":"Gisela","non-dropping-particle":"","parse-names":false,"suffix":""},{"dropping-particle":"","family":"Pfänder","given":"Norbert","non-dropping-particle":"","parse-names":false,"suffix":""},{"dropping-particle":"","family":"Su","given":"Dangsheng","non-dropping-particle":"","parse-names":false,"suffix":""}],"container-title":"Journal of the American Chemical Society","id":"ITEM-3","issue":"49","issued":{"date-parts":[["2006"]]},"page":"15756-15764","title":"Toward monodispersed silver nanoparticles with unusual thermal stability","type":"article-journal","volume":"128"},"uris":["http://www.mendeley.com/documents/?uuid=dc0962e1-e02a-4d5c-8187-79d214c01270"]}],"mendeley":{"formattedCitation":"[238]–[240]","plainTextFormattedCitation":"[238]–[240]","previouslyFormattedCitation":"[238]–[240]"},"properties":{"noteIndex":0},"schema":"https://github.com/citation-style-language/schema/raw/master/csl-citation.json"}</w:instrText>
      </w:r>
      <w:r>
        <w:fldChar w:fldCharType="separate"/>
      </w:r>
      <w:r w:rsidR="006C586A" w:rsidRPr="006C586A">
        <w:rPr>
          <w:i w:val="0"/>
          <w:noProof/>
        </w:rPr>
        <w:t>[238]–[240]</w:t>
      </w:r>
      <w:r>
        <w:fldChar w:fldCharType="end"/>
      </w:r>
    </w:p>
    <w:p w14:paraId="3869ACE8" w14:textId="2EFE5ABE" w:rsidR="00BB5885" w:rsidRPr="00BB5885" w:rsidRDefault="00BB5885" w:rsidP="004B726A">
      <w:pPr>
        <w:jc w:val="both"/>
        <w:rPr>
          <w:bCs/>
        </w:rPr>
      </w:pPr>
      <m:oMathPara>
        <m:oMath>
          <m:r>
            <w:rPr>
              <w:rFonts w:ascii="Cambria Math" w:hAnsi="Cambria Math"/>
            </w:rPr>
            <m:t xml:space="preserve">α= </m:t>
          </m:r>
          <m:f>
            <m:fPr>
              <m:ctrlPr>
                <w:rPr>
                  <w:rFonts w:ascii="Cambria Math" w:hAnsi="Cambria Math"/>
                  <w:bCs/>
                  <w:i/>
                </w:rPr>
              </m:ctrlPr>
            </m:fPr>
            <m:num>
              <m:sSub>
                <m:sSubPr>
                  <m:ctrlPr>
                    <w:rPr>
                      <w:rFonts w:ascii="Cambria Math" w:hAnsi="Cambria Math"/>
                      <w:bCs/>
                      <w:i/>
                    </w:rPr>
                  </m:ctrlPr>
                </m:sSubPr>
                <m:e>
                  <m:r>
                    <w:rPr>
                      <w:rFonts w:ascii="Cambria Math" w:hAnsi="Cambria Math"/>
                    </w:rPr>
                    <m:t>T</m:t>
                  </m:r>
                </m:e>
                <m:sub>
                  <m:r>
                    <w:rPr>
                      <w:rFonts w:ascii="Cambria Math" w:hAnsi="Cambria Math"/>
                    </w:rPr>
                    <m:t>Solid</m:t>
                  </m:r>
                </m:sub>
              </m:sSub>
            </m:num>
            <m:den>
              <m:sSub>
                <m:sSubPr>
                  <m:ctrlPr>
                    <w:rPr>
                      <w:rFonts w:ascii="Cambria Math" w:hAnsi="Cambria Math"/>
                      <w:bCs/>
                      <w:i/>
                    </w:rPr>
                  </m:ctrlPr>
                </m:sSubPr>
                <m:e>
                  <m:r>
                    <w:rPr>
                      <w:rFonts w:ascii="Cambria Math" w:hAnsi="Cambria Math"/>
                    </w:rPr>
                    <m:t>T</m:t>
                  </m:r>
                </m:e>
                <m:sub>
                  <m:r>
                    <w:rPr>
                      <w:rFonts w:ascii="Cambria Math" w:hAnsi="Cambria Math"/>
                    </w:rPr>
                    <m:t>Melting Point</m:t>
                  </m:r>
                </m:sub>
              </m:sSub>
            </m:den>
          </m:f>
          <m:r>
            <w:rPr>
              <w:rFonts w:ascii="Cambria Math" w:hAnsi="Cambria Math"/>
            </w:rPr>
            <m:t xml:space="preserve">   </m:t>
          </m:r>
          <m:sSub>
            <m:sSubPr>
              <m:ctrlPr>
                <w:rPr>
                  <w:rFonts w:ascii="Cambria Math" w:hAnsi="Cambria Math"/>
                  <w:bCs/>
                  <w:i/>
                </w:rPr>
              </m:ctrlPr>
            </m:sSubPr>
            <m:e>
              <m:r>
                <w:rPr>
                  <w:rFonts w:ascii="Cambria Math" w:hAnsi="Cambria Math"/>
                </w:rPr>
                <m:t>T</m:t>
              </m:r>
            </m:e>
            <m:sub>
              <m:r>
                <w:rPr>
                  <w:rFonts w:ascii="Cambria Math" w:hAnsi="Cambria Math"/>
                </w:rPr>
                <m:t>Tammann</m:t>
              </m:r>
            </m:sub>
          </m:sSub>
          <m:r>
            <w:rPr>
              <w:rFonts w:ascii="Cambria Math" w:hAnsi="Cambria Math"/>
            </w:rPr>
            <m:t xml:space="preserve">≥0.5 </m:t>
          </m:r>
          <m:sSub>
            <m:sSubPr>
              <m:ctrlPr>
                <w:rPr>
                  <w:rFonts w:ascii="Cambria Math" w:hAnsi="Cambria Math"/>
                  <w:bCs/>
                  <w:i/>
                </w:rPr>
              </m:ctrlPr>
            </m:sSubPr>
            <m:e>
              <m:r>
                <w:rPr>
                  <w:rFonts w:ascii="Cambria Math" w:hAnsi="Cambria Math"/>
                </w:rPr>
                <m:t>T</m:t>
              </m:r>
            </m:e>
            <m:sub>
              <m:r>
                <w:rPr>
                  <w:rFonts w:ascii="Cambria Math" w:hAnsi="Cambria Math"/>
                </w:rPr>
                <m:t>Melting</m:t>
              </m:r>
            </m:sub>
          </m:sSub>
        </m:oMath>
      </m:oMathPara>
    </w:p>
    <w:p w14:paraId="1EE64AD7" w14:textId="2505485B" w:rsidR="00007F6C" w:rsidRPr="00DA408B" w:rsidRDefault="00007F6C" w:rsidP="004B726A">
      <w:pPr>
        <w:jc w:val="both"/>
        <w:rPr>
          <w:bCs/>
        </w:rPr>
      </w:pPr>
      <w:r w:rsidRPr="00DA408B">
        <w:rPr>
          <w:bCs/>
        </w:rPr>
        <w:t xml:space="preserve">Creep </w:t>
      </w:r>
      <w:r w:rsidR="00315BF8">
        <w:rPr>
          <w:bCs/>
        </w:rPr>
        <w:t>could also</w:t>
      </w:r>
      <w:r w:rsidRPr="00DA408B">
        <w:rPr>
          <w:bCs/>
        </w:rPr>
        <w:t xml:space="preserve"> be a factor</w:t>
      </w:r>
      <w:r w:rsidR="00315BF8">
        <w:rPr>
          <w:bCs/>
        </w:rPr>
        <w:t xml:space="preserve"> </w:t>
      </w:r>
      <w:r w:rsidR="00A67AA5">
        <w:rPr>
          <w:bCs/>
        </w:rPr>
        <w:t xml:space="preserve">as the </w:t>
      </w:r>
      <w:proofErr w:type="spellStart"/>
      <w:r w:rsidR="00315BF8">
        <w:rPr>
          <w:bCs/>
        </w:rPr>
        <w:t>T</w:t>
      </w:r>
      <w:r w:rsidR="00315BF8">
        <w:rPr>
          <w:bCs/>
          <w:vertAlign w:val="subscript"/>
        </w:rPr>
        <w:t>Tammann</w:t>
      </w:r>
      <w:proofErr w:type="spellEnd"/>
      <w:r w:rsidR="00315BF8">
        <w:rPr>
          <w:bCs/>
          <w:vertAlign w:val="subscript"/>
        </w:rPr>
        <w:t xml:space="preserve"> </w:t>
      </w:r>
      <w:r w:rsidR="00A67AA5">
        <w:rPr>
          <w:bCs/>
        </w:rPr>
        <w:t>criteria</w:t>
      </w:r>
      <w:r w:rsidR="00315BF8">
        <w:rPr>
          <w:bCs/>
        </w:rPr>
        <w:t xml:space="preserve"> is being met. </w:t>
      </w:r>
      <w:r w:rsidR="00A67AA5">
        <w:rPr>
          <w:bCs/>
        </w:rPr>
        <w:t>However,</w:t>
      </w:r>
      <w:r w:rsidR="00315BF8">
        <w:rPr>
          <w:bCs/>
        </w:rPr>
        <w:t xml:space="preserve"> creep is </w:t>
      </w:r>
      <w:r w:rsidR="00A67AA5">
        <w:rPr>
          <w:bCs/>
        </w:rPr>
        <w:t>restricted to bulk samples and unlikely to affect nanostructured electrodes.</w:t>
      </w:r>
      <w:r w:rsidRPr="00DA408B">
        <w:rPr>
          <w:bCs/>
        </w:rPr>
        <w:t xml:space="preserve"> The effect of “accelerated” creep was illustrated during an investigation into simultaneously loading and reducing the nickel oxide in stacked complete SOFC cells</w:t>
      </w:r>
      <w:r w:rsidR="00A67AA5">
        <w:rPr>
          <w:bCs/>
        </w:rPr>
        <w:t xml:space="preserve"> </w:t>
      </w:r>
      <w:r w:rsidR="00A67AA5">
        <w:rPr>
          <w:bCs/>
        </w:rPr>
        <w:fldChar w:fldCharType="begin" w:fldLock="1"/>
      </w:r>
      <w:r w:rsidR="00D80A5D">
        <w:rPr>
          <w:bCs/>
        </w:rPr>
        <w:instrText>ADDIN CSL_CITATION {"citationItems":[{"id":"ITEM-1","itemData":{"DOI":"10.1016/j.jpowsour.2016.04.097","ISSN":"03787753","abstract":"To evaluate the reliability of solid oxide fuel cell (SOFC) stacks during operation, the stress field in the stack must be known. During operation the stress field will depend on time as creep processes relax stresses. The creep of reduced Ni-YSZ anode support at operating conditions has been studied previously. In this work a newly discovered creep phenomenon taking place during the reduction is reported. This relaxes stresses at a much higher rate (</w:instrText>
      </w:r>
      <w:r w:rsidR="00D80A5D">
        <w:rPr>
          <w:rFonts w:ascii="Cambria Math" w:hAnsi="Cambria Math" w:cs="Cambria Math"/>
          <w:bCs/>
        </w:rPr>
        <w:instrText>∼</w:instrText>
      </w:r>
      <w:r w:rsidR="00D80A5D">
        <w:rPr>
          <w:rFonts w:ascii="Calibri" w:hAnsi="Calibri" w:cs="Calibri"/>
          <w:bCs/>
        </w:rPr>
        <w:instrText>×</w:instrText>
      </w:r>
      <w:r w:rsidR="00D80A5D">
        <w:rPr>
          <w:bCs/>
        </w:rPr>
        <w:instrText>104) than creep during operation. The phenomenon was studied both in three-point bending and uniaxial tension. Differences between the two measurements could be explained by newly observed stress promoted reduction. Finally, samples exposed to a small tensile stress (</w:instrText>
      </w:r>
      <w:r w:rsidR="00D80A5D">
        <w:rPr>
          <w:rFonts w:ascii="Cambria Math" w:hAnsi="Cambria Math" w:cs="Cambria Math"/>
          <w:bCs/>
        </w:rPr>
        <w:instrText>∼</w:instrText>
      </w:r>
      <w:r w:rsidR="00D80A5D">
        <w:rPr>
          <w:bCs/>
        </w:rPr>
        <w:instrText>0.004 MPa) were observed to expand during reduction, which is in contradiction to previous literature. These observations suggest that release of internal residual stresses between the NiO and the YSZ phases occurs during reduction. The accelerated creep should practically eliminate any residual stress in the anode support in an SOFC stack, as has previously been indirectly observed. This phenomenon has to be taken into account both in the production of stacks and in the simulation of the stress field in a stack based on anode supported SOFCs.","author":[{"dropping-particle":"","family":"Frandsen","given":"H. L.","non-dropping-particle":"","parse-names":false,"suffix":""},{"dropping-particle":"","family":"Makowska","given":"M.","non-dropping-particle":"","parse-names":false,"suffix":""},{"dropping-particle":"","family":"Greco","given":"F.","non-dropping-particle":"","parse-names":false,"suffix":""},{"dropping-particle":"","family":"Chatzichristodoulou","given":"C.","non-dropping-particle":"","parse-names":false,"suffix":""},{"dropping-particle":"","family":"Ni","given":"D. W.","non-dropping-particle":"","parse-names":false,"suffix":""},{"dropping-particle":"","family":"Curran","given":"D. J.","non-dropping-particle":"","parse-names":false,"suffix":""},{"dropping-particle":"","family":"Strobl","given":"M.","non-dropping-particle":"","parse-names":false,"suffix":""},{"dropping-particle":"","family":"Kuhn","given":"L. T.","non-dropping-particle":"","parse-names":false,"suffix":""},{"dropping-particle":"V.","family":"Hendriksen","given":"P.","non-dropping-particle":"","parse-names":false,"suffix":""}],"container-title":"Journal of Power Sources","id":"ITEM-1","issued":{"date-parts":[["2016"]]},"page":"78-89","title":"Accelerated creep in solid oxide fuel cell anode supports during reduction","type":"article-journal","volume":"323"},"uris":["http://www.mendeley.com/documents/?uuid=ec74fe12-0f88-4e7a-8ed6-2b739353b19f"]}],"mendeley":{"formattedCitation":"[234]","plainTextFormattedCitation":"[234]","previouslyFormattedCitation":"[234]"},"properties":{"noteIndex":0},"schema":"https://github.com/citation-style-language/schema/raw/master/csl-citation.json"}</w:instrText>
      </w:r>
      <w:r w:rsidR="00A67AA5">
        <w:rPr>
          <w:bCs/>
        </w:rPr>
        <w:fldChar w:fldCharType="separate"/>
      </w:r>
      <w:r w:rsidR="006C586A" w:rsidRPr="006C586A">
        <w:rPr>
          <w:bCs/>
          <w:noProof/>
        </w:rPr>
        <w:t>[234]</w:t>
      </w:r>
      <w:r w:rsidR="00A67AA5">
        <w:rPr>
          <w:bCs/>
        </w:rPr>
        <w:fldChar w:fldCharType="end"/>
      </w:r>
      <w:r w:rsidRPr="00DA408B">
        <w:rPr>
          <w:bCs/>
        </w:rPr>
        <w:t>.</w:t>
      </w:r>
    </w:p>
    <w:p w14:paraId="03D1E8C9" w14:textId="77777777" w:rsidR="00007F6C" w:rsidRPr="00DA408B" w:rsidRDefault="00007F6C" w:rsidP="004B726A">
      <w:pPr>
        <w:jc w:val="both"/>
        <w:rPr>
          <w:bCs/>
        </w:rPr>
      </w:pPr>
      <w:r w:rsidRPr="00DA408B">
        <w:rPr>
          <w:bCs/>
        </w:rPr>
        <w:t xml:space="preserve">Another consequence of impurity interaction can in fact be mechanical wear. In cermet anodes the </w:t>
      </w:r>
      <w:proofErr w:type="spellStart"/>
      <w:r w:rsidRPr="00DA408B">
        <w:rPr>
          <w:bCs/>
        </w:rPr>
        <w:t>NiO</w:t>
      </w:r>
      <w:proofErr w:type="spellEnd"/>
      <w:r w:rsidRPr="00DA408B">
        <w:rPr>
          <w:bCs/>
        </w:rPr>
        <w:t xml:space="preserve"> powders involved can also include some SiO</w:t>
      </w:r>
      <w:r w:rsidRPr="00DA408B">
        <w:rPr>
          <w:bCs/>
          <w:vertAlign w:val="subscript"/>
        </w:rPr>
        <w:t>2</w:t>
      </w:r>
      <w:r w:rsidRPr="00DA408B">
        <w:rPr>
          <w:bCs/>
        </w:rPr>
        <w:t xml:space="preserve"> impurities which penetrate into Y</w:t>
      </w:r>
      <w:r w:rsidRPr="00DA408B">
        <w:rPr>
          <w:bCs/>
          <w:vertAlign w:val="subscript"/>
        </w:rPr>
        <w:t>2</w:t>
      </w:r>
      <w:r w:rsidRPr="00DA408B">
        <w:rPr>
          <w:bCs/>
        </w:rPr>
        <w:t>O</w:t>
      </w:r>
      <w:r w:rsidRPr="00DA408B">
        <w:rPr>
          <w:bCs/>
          <w:vertAlign w:val="subscript"/>
        </w:rPr>
        <w:t>3</w:t>
      </w:r>
      <w:r w:rsidRPr="00DA408B">
        <w:rPr>
          <w:bCs/>
        </w:rPr>
        <w:t>-ZrO</w:t>
      </w:r>
      <w:r w:rsidRPr="00DA408B">
        <w:rPr>
          <w:bCs/>
          <w:vertAlign w:val="subscript"/>
        </w:rPr>
        <w:t>2</w:t>
      </w:r>
      <w:r w:rsidRPr="00DA408B">
        <w:rPr>
          <w:bCs/>
        </w:rPr>
        <w:t xml:space="preserve"> causing surface damage. As the major constituent of glass, silica flows through the pores and abrades the surface of the YSZ causing deterioration. </w:t>
      </w:r>
    </w:p>
    <w:p w14:paraId="26DC0FDB" w14:textId="20E29C31" w:rsidR="00007F6C" w:rsidRPr="00DA408B" w:rsidRDefault="00007F6C" w:rsidP="004B726A">
      <w:pPr>
        <w:pStyle w:val="Heading4"/>
      </w:pPr>
      <w:bookmarkStart w:id="109" w:name="_Toc474489927"/>
      <w:r w:rsidRPr="00DA408B">
        <w:lastRenderedPageBreak/>
        <w:t>2.3.2.</w:t>
      </w:r>
      <w:r w:rsidR="00506BA6">
        <w:t>4</w:t>
      </w:r>
      <w:r w:rsidRPr="00DA408B">
        <w:t xml:space="preserve"> </w:t>
      </w:r>
      <w:r w:rsidR="006C2E3A">
        <w:t xml:space="preserve">Thermal Cycling and </w:t>
      </w:r>
      <w:r w:rsidRPr="00DA408B">
        <w:t xml:space="preserve">Degradation </w:t>
      </w:r>
      <w:r w:rsidR="00316043">
        <w:t>L</w:t>
      </w:r>
      <w:r w:rsidRPr="00DA408B">
        <w:t>oad</w:t>
      </w:r>
      <w:bookmarkEnd w:id="109"/>
    </w:p>
    <w:p w14:paraId="21371DB6" w14:textId="5FEF743E" w:rsidR="006C2E3A" w:rsidRDefault="006C2E3A" w:rsidP="006C2E3A">
      <w:pPr>
        <w:jc w:val="both"/>
      </w:pPr>
      <w:r>
        <w:t>During its lifetime a Ni-YSZ fuel electrode is subject to a series of changes including atmospheric, temperature and load cycling</w:t>
      </w:r>
      <w:r w:rsidR="00D20946">
        <w:t xml:space="preserve"> </w:t>
      </w:r>
      <w:r w:rsidR="00D20946">
        <w:fldChar w:fldCharType="begin" w:fldLock="1"/>
      </w:r>
      <w:r w:rsidR="00D80A5D">
        <w:instrText>ADDIN CSL_CITATION {"citationItems":[{"id":"ITEM-1","itemData":{"DOI":"10.3390/membranes2030585","ISSN":"20770375","abstract":"Solid oxide fuel cells are able to convert fuels, including hydrocarbons, to electricity with an unbeatable efficiency even for small systems. One of the main limitations for long-term utilization is the reduction-oxidation cycling (RedOx cycles) of the nickel-based anodes. This paper will review the effects and parameters influencing RedOx cycles of the Ni-ceramic anode. Second, solutions for RedOx instability are reviewed in the patent and open scientific literature. The solutions are described from the point of view of the system, stack design, cell design, new materials and microstructure optimization. Finally, a brief synthesis on RedOx cycling of Ni-based anode supports for standard and optimized microstructures is depicted. © 2012 by the authors; licensee MDPI, Basel, Switzerland.","author":[{"dropping-particle":"","family":"Faes","given":"Antonin","non-dropping-particle":"","parse-names":false,"suffix":""},{"dropping-particle":"","family":"Hessler-Wyser","given":"Aïcha","non-dropping-particle":"","parse-names":false,"suffix":""},{"dropping-particle":"","family":"Zryd","given":"Amédée","non-dropping-particle":"","parse-names":false,"suffix":""},{"dropping-particle":"","family":"Herle","given":"Jan","non-dropping-particle":"Van","parse-names":false,"suffix":""}],"container-title":"Membranes","id":"ITEM-1","issue":"3","issued":{"date-parts":[["2012"]]},"page":"585-664","title":"A review of RedOx cycling of solid oxide fuel cells anode","type":"article-journal","volume":"2"},"uris":["http://www.mendeley.com/documents/?uuid=3a6487a5-f4c8-423f-89a3-b1af10828b94"]}],"mendeley":{"formattedCitation":"[115]","plainTextFormattedCitation":"[115]","previouslyFormattedCitation":"[115]"},"properties":{"noteIndex":0},"schema":"https://github.com/citation-style-language/schema/raw/master/csl-citation.json"}</w:instrText>
      </w:r>
      <w:r w:rsidR="00D20946">
        <w:fldChar w:fldCharType="separate"/>
      </w:r>
      <w:r w:rsidR="006C586A" w:rsidRPr="006C586A">
        <w:rPr>
          <w:noProof/>
        </w:rPr>
        <w:t>[115]</w:t>
      </w:r>
      <w:r w:rsidR="00D20946">
        <w:fldChar w:fldCharType="end"/>
      </w:r>
      <w:r>
        <w:t>. Each of these factors has an impact on the microstructural properties of the anode during operating.</w:t>
      </w:r>
    </w:p>
    <w:p w14:paraId="5A7B8D62" w14:textId="3B4CA869" w:rsidR="006C2E3A" w:rsidRDefault="006C2E3A" w:rsidP="006C2E3A">
      <w:pPr>
        <w:jc w:val="both"/>
      </w:pPr>
      <w:r>
        <w:t xml:space="preserve">As the operating temperatures of SOFCs exceed the </w:t>
      </w:r>
      <w:proofErr w:type="spellStart"/>
      <w:r>
        <w:t>T</w:t>
      </w:r>
      <w:r>
        <w:rPr>
          <w:vertAlign w:val="subscript"/>
        </w:rPr>
        <w:t>Tammann</w:t>
      </w:r>
      <w:proofErr w:type="spellEnd"/>
      <w:r>
        <w:t xml:space="preserve"> temperature (800 – 1000 </w:t>
      </w:r>
      <w:r>
        <w:rPr>
          <w:rFonts w:cstheme="minorHAnsi"/>
        </w:rPr>
        <w:t>°</w:t>
      </w:r>
      <w:r>
        <w:t>C) the metal catalyst in Ni-YSZ electrodes possesses a high degree of mobility and moves to sinter to reduce its interfacial energy</w:t>
      </w:r>
      <w:r w:rsidR="0088681D">
        <w:t xml:space="preserve"> </w:t>
      </w:r>
      <w:r w:rsidR="0088681D">
        <w:fldChar w:fldCharType="begin" w:fldLock="1"/>
      </w:r>
      <w:r w:rsidR="00EC62EF">
        <w:instrText>ADDIN CSL_CITATION {"citationItems":[{"id":"ITEM-1","itemData":{"DOI":"10.1021/ja064884j","ISSN":"00027863","abstract":"A novel in situ autoreduction route has been developed, by which monodispersed silver nanoparticles with tunable sizes could be easily fabricated on silica-based materials, especially inside the channels of mesoporous silica (MPS). 13C CP/MAS NMR spectroscopy was employed to monitor the whole assembly process. It was demonstrated that the amino groups of APTS (aminopropyltriethoxyl silane)-modified MPS can be used to anchor formaldehyde to form novel reducing species (NHCH2OH), on which Ag(NH 3)2NO3 could be in situ reduced. Monodispersed silver nanoparticles were thus obtained. In situ XRD and in situ TEM experiments were used to investigate and compare the thermal stabilities of silver nanoparticles on the external surface of silica gels (unconfined) and those located inside the channels of SBA-15 (confined). It was observed that unconfined silver nanoparticles tended to agglomerate at low temperatures (i.e., lower than 773 K). The aggregation of silver nanoparticles became more serious at 773 K. However, for those confined silver nanoparticles, no coarsening process was observed at 773 K, much higher than its Tammann temperature (i.e., 617 K). Only when the treating temperature was higher than 873 K could the agglomeration of those confined silver nanoparticles happen with time-varying via the Ostwald ripening process. The confinement of mesopores played a key role in improving the thermal stabilities of silver nanoparticles (stable up to 773 K without any observable coarsening), which is essential to the further investigations on their chemical (e.g., catalytic) properties. © 2006 American Chemical Society.","author":[{"dropping-particle":"","family":"Sun","given":"Junming","non-dropping-particle":"","parse-names":false,"suffix":""},{"dropping-particle":"","family":"Ma","given":"Ding","non-dropping-particle":"","parse-names":false,"suffix":""},{"dropping-particle":"","family":"Zhang","given":"He","non-dropping-particle":"","parse-names":false,"suffix":""},{"dropping-particle":"","family":"Liu","given":"Xiumei","non-dropping-particle":"","parse-names":false,"suffix":""},{"dropping-particle":"","family":"Han","given":"Xiuwen","non-dropping-particle":"","parse-names":false,"suffix":""},{"dropping-particle":"","family":"Bao","given":"Xinhe","non-dropping-particle":"","parse-names":false,"suffix":""},{"dropping-particle":"","family":"Weinberg","given":"Gisela","non-dropping-particle":"","parse-names":false,"suffix":""},{"dropping-particle":"","family":"Pfänder","given":"Norbert","non-dropping-particle":"","parse-names":false,"suffix":""},{"dropping-particle":"","family":"Su","given":"Dangsheng","non-dropping-particle":"","parse-names":false,"suffix":""}],"container-title":"Journal of the American Chemical Society","id":"ITEM-1","issue":"49","issued":{"date-parts":[["2006"]]},"page":"15756-15764","title":"Toward monodispersed silver nanoparticles with unusual thermal stability","type":"article-journal","volume":"128"},"uris":["http://www.mendeley.com/documents/?uuid=dc0962e1-e02a-4d5c-8187-79d214c01270"]},{"id":"ITEM-2","itemData":{"DOI":"10.1002/fuce.200800147","ISBN":"16156846 (ISSN)","ISSN":"16156846","abstract":"Microstructural evolution of anode supported solid oxide fuel cells (SOFC) during medium-term stack testing has been characterised by scanning electron microscopy (SEM). Low acceleration voltage SEM imaging is used to separate the three anode phases (nickel, yttria-stabilised zirconia and porosity). Microstructural quantification is obtained using a software code that yields phase proportion, particle size, particle size distribution and a direct measure of triple phase boundary (TPB) density (lm-2). In addition, an anode degradation model is proposed. The model describes the gradual degradation of the anode due to nickel particle sintering and the concomitant loss of TPB. Fundamental operational and structural parameters of the anode can be used to estimate the TPB length change with time from the degradation rate. The combination of experimental results and modelling allows separating the degradation due to sintering of nickel particles from total stack degradation. Anode degradation occurs principally during the first 500 operating hours. For stack tests carried out over more than 1,000 h, anode degradation was responsible for 18 to 41% of the total degradation depending on initial microstructure. © 2009 WILEY-VCH Verlag GmbH &amp;amp; Co. KGaA, Weinheim.","author":[{"dropping-particle":"","family":"herle","given":"J.","non-dropping-particle":"Van","parse-names":false,"suffix":""},{"dropping-particle":"","family":"Faes","given":"A.","non-dropping-particle":"","parse-names":false,"suffix":""},{"dropping-particle":"","family":"Vayenas","given":"C. G.","non-dropping-particle":"","parse-names":false,"suffix":""},{"dropping-particle":"","family":"Hessler-Wyser","given":"A.","non-dropping-particle":"","parse-names":false,"suffix":""},{"dropping-particle":"","family":"Presvytes","given":"D.","non-dropping-particle":"","parse-names":false,"suffix":""}],"container-title":"Fuel Cells","id":"ITEM-2","issue":"6","issued":{"date-parts":[["2009"]]},"language":"English","note":"From Duplicate 2 (Nickelâ</w:instrText>
      </w:r>
      <w:r w:rsidR="00EC62EF">
        <w:rPr>
          <w:rFonts w:ascii="Calibri" w:hAnsi="Calibri" w:cs="Calibri"/>
        </w:rPr>
        <w:instrText>“</w:instrText>
      </w:r>
      <w:r w:rsidR="00EC62EF">
        <w:instrText>Zirconia Anode Degradation and Triple Phase Boundary Quantification from Microstructural Analysis - Van herle, J.; Faes, A.; Vayenas, C. G.; Hessler-Wyser, A.; Presvytes, D.)\n\nCited By :93\nExport Date: 3 November 2016\nCorrespondence Address: Faes, A.; Industrial Energy Systems Laboratory (LENI), Ecole Polytechnique Fédérale de Lausanne (EPFL), CH-1015, Lausanne, Switzerland; email: antonin.faes@epfl.ch\nReferences: Molinelli, M., Larrain, D., Autissier, N., Ihringer, R., Sfeir, J., Badel, N., Bucheli, O., Van Herle, J., (2006) J. Power Sources, 154, p. 394; Yang, Z., Weil, K.S., Paxton, D.M., Stevenson, J.W., (2003) J. Electrochem. Soc, 150, pp. A1090; Larrain, D., Van herle, J., Favrat, D., (2006) J. Power Sources, 161, p. 392; Joergensen, M.J., Holtappels, P., Appel, C.C., (2000) J. App. Electrochem, 30, p. 411; Yokokawa, H., Sakai, N., Kawada, T., Dokiya, M., (1990) Solid State Ionics, 40, p. 398; Lee, H.Y., Oh, S.M., (1996) Solid State Ionics, 90, p. 133; Taniguchi, S., Kadowaki, M., Kawamura, H., Yasuo, T., Akiyama, Y., Miyake, Y., Saitoh, T., (1995) J. Power Sources, 55, p. 73; Yokokawa, H., Horita, T., Sakai, N., Yamaji, K., Brito, M.E., Xiong, Y.P., Kishimoto, H., (2006) Solid State Ionics, 177, p. 3193; Hattori, M., Takeda, Y., Sakaki, Y., Nakanishi, A., Ohara, S., Mukai, K., Lee, J.H., Fukui, T., (2004) J. Power Sources, 126, p. 23; Van herle, J., Vasquez, R., (2004) J. Eur. Ceram. Soc, 24, p. 1177; Haering, C., Roosen, A., Schichl, H., (2005) Solid State Ionics, 176, p. 253; Ioselevich, A., Kornyshev, A.A., Lehnert, W., (1997) J. Electrochem. Soc, 144, p. 3010; Simwonis, D., Tietz, F., Stoever, D., (2000) Solid State Ionics, 132, p. 241; Primdahl, S., Mogensen, M., (2000) J. Appl. Electrochem, 30, p. 247; Vassen, R., Simwonis, D., Stoever, D., (2001) J. Mater. Sci, 36, p. 147; Tu, H., Stimming, U., (2004) J. Power Sources, 127, p. 284; Cassidy, M., Lindsay, G., Kendall, K., (1996) J. Power Sources, 61, p. 189; Klemensoe, T., (2005), Ph.D. Thesis, Technical University of Danemark, Risoe National Laboratory, Topsoe Fuel CellSarantaridis, D., Atkinson, A., (2007) Fuel Cells, 7, p. 246; Z. Wuillemin, N. Autissier, M. Nakajo, M. Luong, J. Van herle, D. Favrat, J. Fuel Cell Sci. Technol. 2008, 5, 0110161Murray, E.P., Tsai, T., Barnett, S.A., (1999) Nature, 400, p. 649; Sasaki, K., Watanabe, K., Shiosaki, K., Susuki, K., Teraoka, Y., (2004) J. Electroceram, 13, p. 669; Pujare, N.U., Semkow, K.W., Sammells, A.F., (1987) J. Electrochem. Soc, 134, p. 2639; Matsuzaki, Y., Yasuda, I., (2000) Solid State Ionics, 132, p. 261; Zha, S., Cheng, Z., Liu, M., (2007) J. Electrochem. Soc, 154, pp. B201; Jiang, S.P., (2003) J. Mater. Sci, 38, p. 3775; Hagen, A., Barfod, R., Hendriksen, P.V., Liu, Y.L., Ramousse, S., (2006) J. Electrochem. Soc, 153, pp. A1165; C. Monachon, A. H.-Wyser, A. Faes, J. Van herle, E. Tagliaferri, J. Am. Ceram. Soc. 2008, 91, 3405Lee, J.H., Moon, H., Lee, H.W., Kim, J., Kim, J.D., Yoon, K.H., (2002) Solid State Ionics, 148, p. 15; Ioselevich, A., Kornyshev, A.A., Lehnert, W., (1999) Solid State Ionics, 124, p. 221; Van herle, J., Perednis, D., Nakamura, K., Diethelm, S., Zahid, M., Aslanides, A., Somekawa, T., Bucheli, O., (2008) J. Power Sources, 182, p. 389; Diethelm, S., Van herle, J., Wuillemin, Z., Nakajo, A., Autissier, N., Molinelli, M., (2008) J. Fuel Cell Sci. Technol, 5, p. 31003; Ayache, J., Beaunier, L., Boumendil, J., Ehret, G., Laub, D., (2007) Guide de Preparation des Echantillons pour la Microscopie Electronique en Transmission-Tome II, 2. , Universite de Saint-Etienne, Saint-Etienne; Lee, K.R., Choi, S.H., Kim, J., Lee, H.W., Lee, J.H., (2005) J. Power Sources, 140, p. 226; K. Thydén, Y. L. Liu, J. B. B.-Soerensen, Solid State Ionics 2008, 178, 1984Russ, J., (1992) The Image Processing Handbook, , CRC Press, Boca Raton, 224 pp; Heijmans, H., Morphological Image Operators (1994) Advances in Electronics and Electron Physics, 25. , Academic Press, San Diego, 55 pp; Underwood, E., (1970) Quantitative Stereology, , Addison-Wesley Publishing, Menlo Park; Mendelson, M.I., (1969) J. Am. Ceram. Soc, 52, p. 443; (1967), 31. , ASTM E 112-63, American Society for Testing Materials, Philadelphia, 446 ppSerra, J., (1982) Image Analysis and Mathematical Morphology, , Academic Press Limited, San Diego; Giardina, C., Dougherty, E., (1988) Morphological Methods in Image and Signal Processing, , Prentice-Hall, Englewood Cliffs, New Jersey, 97 pp; Bowen, P., (2005) J. Dispersion Sci. Technol, 23, p. 631; Brunauer, S., Emmett, P.H., Teller, E., (1938) J. Am. Chem. Soc, 60, p. 309; Rahaman, M.N., (2008) Sintering of Ceramics, , CRC Press, Boca Raton; Froment, G., Bischo, K., (1990) Chemical Reactor Analysis and Design, , 2nd Ed, Wiley, New York; Jiang, S.P., Chan, S.H., (2004) J. Mater. Sci, 39, p. 4405; Wilson, J.R., Kobsiriphat, W., Mendoza, R., Chen, H.Y., Hiller, J.M., Miller, D.J., Thornton, K., Barnett, S.A., (2006) Nat. Mater, 5, p. 541; J. O. M. Bockris, A. K. M. Reddy, M. G.-Aldeco, Modern Electrochemistry, Kluwer Academic and Plenum Press, New York, 2000Vayenas, C.G., Jaksic, M.M., Bebelis, S., Neophytides, S.G., (1996) Modern Aspect of Electrochemistry, , Eds, J. O. M. Bockris, B. E. Conway, R. E. White, Kluwer Academic and Plenum Press, New York; Tao, S., Irvine, J.T.S., (2004) Chem. Rec, 4, p. 83; P. Tanasini, A. Faes, P. Costamana, M. Cannarozzo, A. H.-Wyser, J. Van herle, C. Comninellis, Fuel Cells 2009, this issue(1973) CRC Handbook of Chemistry and Physics, pp. B-114. , 53rd Ed, CRC Press, Cleveland","page":"841-851","title":"Nickelâ</w:instrText>
      </w:r>
      <w:r w:rsidR="00EC62EF">
        <w:rPr>
          <w:rFonts w:ascii="Calibri" w:hAnsi="Calibri" w:cs="Calibri"/>
        </w:rPr>
        <w:instrText>“</w:instrText>
      </w:r>
      <w:r w:rsidR="00EC62EF">
        <w:instrText>Zirconia Anode Degradation and Triple Phase Boundary Quantification from Microstructural Analysis","type":"article-journal","volume":"9"},"uris":["http://www.mendeley.com/documents/?uuid=7e9f1685-acf2-417f-92d4-a74a569e2c37"]}],"mendeley":{"formattedCitation":"[240], [241]","plainTextFormattedCitation":"[240], [241]","previouslyFormattedCitation":"[240], [241]"},"properties":{"noteIndex":0},"schema":"https://github.com/citation-style-language/schema/raw/master/csl-citation.json"}</w:instrText>
      </w:r>
      <w:r w:rsidR="0088681D">
        <w:fldChar w:fldCharType="separate"/>
      </w:r>
      <w:r w:rsidR="006C586A" w:rsidRPr="006C586A">
        <w:rPr>
          <w:noProof/>
        </w:rPr>
        <w:t>[240], [241]</w:t>
      </w:r>
      <w:r w:rsidR="0088681D">
        <w:fldChar w:fldCharType="end"/>
      </w:r>
      <w:r>
        <w:t xml:space="preserve">. </w:t>
      </w:r>
    </w:p>
    <w:p w14:paraId="50EBC044" w14:textId="6B6E1F92" w:rsidR="006C2E3A" w:rsidRDefault="006C2E3A" w:rsidP="006C2E3A">
      <w:pPr>
        <w:jc w:val="both"/>
      </w:pPr>
      <w:r>
        <w:t xml:space="preserve">During the start-up procedure the SOFC is heated from room to operating temperature at a rate between 1-5 </w:t>
      </w:r>
      <w:r>
        <w:rPr>
          <w:rFonts w:cstheme="minorHAnsi"/>
        </w:rPr>
        <w:t>°</w:t>
      </w:r>
      <w:r>
        <w:t>Cmin</w:t>
      </w:r>
      <w:r>
        <w:rPr>
          <w:vertAlign w:val="superscript"/>
        </w:rPr>
        <w:t>-1</w:t>
      </w:r>
      <w:r>
        <w:t xml:space="preserve"> to avoid thermal shock and cracking in the ceramic materials. The start-up process can vary between 7 h and a few days depending on the application</w:t>
      </w:r>
      <w:r w:rsidR="0088681D">
        <w:t xml:space="preserve"> </w:t>
      </w:r>
      <w:r w:rsidR="0088681D">
        <w:fldChar w:fldCharType="begin" w:fldLock="1"/>
      </w:r>
      <w:r w:rsidR="00D80A5D">
        <w:instrText>ADDIN CSL_CITATION {"citationItems":[{"id":"ITEM-1","itemData":{"DOI":"10.1016/j.jpowsour.2015.04.072","ISBN":"0378-7753","ISSN":"03787753","abstract":"Ni infiltration into porous YSZ scaffolds is a promising route for the construction of high performing and redox-stable Ni-YSZ anodes for application in solid oxide fuel cells (SOFCs). However, the long-term instability of this type of anode is a critical problem. Here, it is shown that an interconnected Ni film, rather than discrete Ni particles, can be formed inside a porous, pre-sintered YSZ scaffold by using a polymeric Ni-based precursor as the infiltration medium. To understand the effect of the YSZ microstructure on the long-term stability and the electrochemical performance of the resulting composites, two types of Ni-YSZ anodes were investigated. Anodes prepared by polymeric Ni infiltration into a YSZ scaffold with large grains (0.5 μm) and pores (0.5 μm and 5 μm) showed extensive agglomeration in the Ni phase, resulting in poor stability and poor activity. In contrast, Ni infiltration into YSZ scaffolds with finer particle and pore sizes (</w:instrText>
      </w:r>
      <w:r w:rsidR="00D80A5D">
        <w:rPr>
          <w:rFonts w:ascii="Cambria Math" w:hAnsi="Cambria Math" w:cs="Cambria Math"/>
        </w:rPr>
        <w:instrText>∼</w:instrText>
      </w:r>
      <w:r w:rsidR="00D80A5D">
        <w:instrText xml:space="preserve">200 nm each) produced anodes with a very small polarization resistance of ca. 0.1 </w:instrText>
      </w:r>
      <w:r w:rsidR="00D80A5D">
        <w:rPr>
          <w:rFonts w:ascii="Calibri" w:hAnsi="Calibri" w:cs="Calibri"/>
        </w:rPr>
        <w:instrText>Ω</w:instrText>
      </w:r>
      <w:r w:rsidR="00D80A5D">
        <w:instrText xml:space="preserve"> cm&lt;sup&gt;2&lt;/sup&gt; per electrode at 800 °C. An increase of only </w:instrText>
      </w:r>
      <w:r w:rsidR="00D80A5D">
        <w:rPr>
          <w:rFonts w:ascii="Cambria Math" w:hAnsi="Cambria Math" w:cs="Cambria Math"/>
        </w:rPr>
        <w:instrText>∼</w:instrText>
      </w:r>
      <w:r w:rsidR="00D80A5D">
        <w:instrText>5% was seen in the resistance after ca. 110 h at this temperature, achieved by preventing Ni agglomeration.","author":[{"dropping-particle":"","family":"Buyukaksoy","given":"Aligul","non-dropping-particle":"","parse-names":false,"suffix":""},{"dropping-particle":"","family":"Kammampata","given":"Sanoop P.","non-dropping-particle":"","parse-names":false,"suffix":""},{"dropping-particle":"","family":"Birss","given":"Viola I.","non-dropping-particle":"","parse-names":false,"suffix":""}],"container-title":"Journal of Power Sources","id":"ITEM-1","issued":{"date-parts":[["2015"]]},"page":"349-358","publisher":"Elsevier B.V","title":"Effect of porous YSZ scaffold microstructure on the long-term performance of infiltrated Ni-YSZ anodes","type":"article-journal","volume":"287"},"uris":["http://www.mendeley.com/documents/?uuid=21512bd9-57bd-44f6-b278-0f70c65b86c6"]},{"id":"ITEM-2","itemData":{"DOI":"10.1016/j.jpowsour.2015.12.022","ISBN":"03787753","ISSN":"03787753","abstract":"The optimum operating temperature of micro solid oxide fuel cells (μ-SOFCs) is &lt; 600°C, which normally results in an undesirably high internal resistance. While the resistance of the electrolyte (most commonly yttria stabilized zirconia, YSZ) can be lowered significantly simply by decreasing its thickness, minimization of the electrode resistance (thus maintaining rapid reaction kinetics) is not as straightforward. In this work, an ethylene glycol based polymeric precursor solution, which promotes the intimate mixing of the Ni, Y and Zr components prior to their crystallization as oxides, was spin-coated onto a YSZ disc, generating a nanocomposite NiO-YSZ thin film. The in-situ reduction of NiO phase within the dense NiO-YSZ film to Ni, in combination with the nanoscale size of the Ni and YSZ particles (ca. 25 nm), resulted in a nanoporous, Ni-YSZ anode morphology (thickness &lt; 1 μm) with a homogeneous distribution of Ni and YSZ and a very high triple phase boundary length. Very small electrode polarization resistances of 0.65 Ω cm2 per electrode were obtained at 550°C in humidified H2, the lowest values yet reported for SOFCs at this temperature. These highly active anodes are therefore very promising for use in next generation μ-SOFCs.","author":[{"dropping-particle":"","family":"Buyukaksoy","given":"Aligul","non-dropping-particle":"","parse-names":false,"suffix":""},{"dropping-particle":"","family":"Birss","given":"Viola I.","non-dropping-particle":"","parse-names":false,"suffix":""}],"container-title":"Journal of Power Sources","id":"ITEM-2","issued":{"date-parts":[["2016"]]},"page":"449-453","publisher":"Elsevier B.V","title":"Highly active nanoscale Ni - Yttria stabilized zirconia anodes for micro-solid oxide fuel cell applications","type":"article-journal","volume":"307"},"uris":["http://www.mendeley.com/documents/?uuid=9eeae31c-fd94-471a-a2d8-f5077178be84"]}],"mendeley":{"formattedCitation":"[242], [243]","plainTextFormattedCitation":"[242], [243]","previouslyFormattedCitation":"[242], [243]"},"properties":{"noteIndex":0},"schema":"https://github.com/citation-style-language/schema/raw/master/csl-citation.json"}</w:instrText>
      </w:r>
      <w:r w:rsidR="0088681D">
        <w:fldChar w:fldCharType="separate"/>
      </w:r>
      <w:r w:rsidR="006C586A" w:rsidRPr="006C586A">
        <w:rPr>
          <w:noProof/>
        </w:rPr>
        <w:t>[242], [243]</w:t>
      </w:r>
      <w:r w:rsidR="0088681D">
        <w:fldChar w:fldCharType="end"/>
      </w:r>
      <w:r w:rsidR="0088681D">
        <w:t xml:space="preserve">. </w:t>
      </w:r>
      <w:r>
        <w:t xml:space="preserve">In SOFC stacks a compromise is reached between the waste thermal energy removal rate through the cathode and temperature differences of up to 100 </w:t>
      </w:r>
      <w:r>
        <w:rPr>
          <w:rFonts w:cstheme="minorHAnsi"/>
        </w:rPr>
        <w:t>°</w:t>
      </w:r>
      <w:r>
        <w:t>C</w:t>
      </w:r>
      <w:r w:rsidR="0088681D">
        <w:t xml:space="preserve"> </w:t>
      </w:r>
      <w:r w:rsidR="0088681D">
        <w:fldChar w:fldCharType="begin" w:fldLock="1"/>
      </w:r>
      <w:r w:rsidR="00D80A5D">
        <w:instrText>ADDIN CSL_CITATION {"citationItems":[{"id":"ITEM-1","itemData":{"DOI":"10.1016/j.jpowsour.2015.04.072","ISBN":"0378-7753","ISSN":"03787753","abstract":"Ni infiltration into porous YSZ scaffolds is a promising route for the construction of high performing and redox-stable Ni-YSZ anodes for application in solid oxide fuel cells (SOFCs). However, the long-term instability of this type of anode is a critical problem. Here, it is shown that an interconnected Ni film, rather than discrete Ni particles, can be formed inside a porous, pre-sintered YSZ scaffold by using a polymeric Ni-based precursor as the infiltration medium. To understand the effect of the YSZ microstructure on the long-term stability and the electrochemical performance of the resulting composites, two types of Ni-YSZ anodes were investigated. Anodes prepared by polymeric Ni infiltration into a YSZ scaffold with large grains (0.5 μm) and pores (0.5 μm and 5 μm) showed extensive agglomeration in the Ni phase, resulting in poor stability and poor activity. In contrast, Ni infiltration into YSZ scaffolds with finer particle and pore sizes (</w:instrText>
      </w:r>
      <w:r w:rsidR="00D80A5D">
        <w:rPr>
          <w:rFonts w:ascii="Cambria Math" w:hAnsi="Cambria Math" w:cs="Cambria Math"/>
        </w:rPr>
        <w:instrText>∼</w:instrText>
      </w:r>
      <w:r w:rsidR="00D80A5D">
        <w:instrText xml:space="preserve">200 nm each) produced anodes with a very small polarization resistance of ca. 0.1 Ω cm&lt;sup&gt;2&lt;/sup&gt; per electrode at 800 °C. An increase of only </w:instrText>
      </w:r>
      <w:r w:rsidR="00D80A5D">
        <w:rPr>
          <w:rFonts w:ascii="Cambria Math" w:hAnsi="Cambria Math" w:cs="Cambria Math"/>
        </w:rPr>
        <w:instrText>∼</w:instrText>
      </w:r>
      <w:r w:rsidR="00D80A5D">
        <w:instrText>5% was seen in the resistance after ca. 110 h at this temperature, achieved by preventing Ni agglomeration.","author":[{"dropping-particle":"","family":"Buyukaksoy","given":"Aligul","non-dropping-particle":"","parse-names":false,"suffix":""},{"dropping-particle":"","family":"Kammampata","given":"Sanoop P.","non-dropping-particle":"","parse-names":false,"suffix":""},{"dropping-particle":"","family":"Birss","given":"Viola I.","non-dropping-particle":"","parse-names":false,"suffix":""}],"container-title":"Journal of Power Sources","id":"ITEM-1","issued":{"date-parts":[["2015"]]},"page":"349-358","publisher":"Elsevier B.V","title":"Effect of porous YSZ scaffold microstructure on the long-term performance of infiltrated Ni-YSZ anodes","type":"article-journal","volume":"287"},"uris":["http://www.mendeley.com/documents/?uuid=21512bd9-57bd-44f6-b278-0f70c65b86c6"]},{"id":"ITEM-2","itemData":{"DOI":"10.1016/j.jpowsour.2015.12.022","ISBN":"03787753","ISSN":"03787753","abstract":"The optimum operating temperature of micro solid oxide fuel cells (μ-SOFCs) is &lt; 600°C, which normally results in an undesirably high internal resistance. While the resistance of the electrolyte (most commonly yttria stabilized zirconia, YSZ) can be lowered significantly simply by decreasing its thickness, minimization of the electrode resistance (thus maintaining rapid reaction kinetics) is not as straightforward. In this work, an ethylene glycol based polymeric precursor solution, which promotes the intimate mixing of the Ni, Y and Zr components prior to their crystallization as oxides, was spin-coated onto a YSZ disc, generating a nanocomposite NiO-YSZ thin film. The in-situ reduction of NiO phase within the dense NiO-YSZ film to Ni, in combination with the nanoscale size of the Ni and YSZ particles (ca. 25 nm), resulted in a nanoporous, Ni-YSZ anode morphology (thickness &lt; 1 μm) with a homogeneous distribution of Ni and YSZ and a very high triple phase boundary length. Very small electrode polarization resistances of 0.65 Ω cm2 per electrode were obtained at 550°C in humidified H2, the lowest values yet reported for SOFCs at this temperature. These highly active anodes are therefore very promising for use in next generation μ-SOFCs.","author":[{"dropping-particle":"","family":"Buyukaksoy","given":"Aligul","non-dropping-particle":"","parse-names":false,"suffix":""},{"dropping-particle":"","family":"Birss","given":"Viola I.","non-dropping-particle":"","parse-names":false,"suffix":""}],"container-title":"Journal of Power Sources","id":"ITEM-2","issued":{"date-parts":[["2016"]]},"page":"449-453","publisher":"Elsevier B.V","title":"Highly active nanoscale Ni - Yttria stabilized zirconia anodes for micro-solid oxide fuel cell applications","type":"article-journal","volume":"307"},"uris":["http://www.mendeley.com/documents/?uuid=9eeae31c-fd94-471a-a2d8-f5077178be84"]}],"mendeley":{"formattedCitation":"[242], [243]","plainTextFormattedCitation":"[242], [243]","previouslyFormattedCitation":"[242], [243]"},"properties":{"noteIndex":0},"schema":"https://github.com/citation-style-language/schema/raw/master/csl-citation.json"}</w:instrText>
      </w:r>
      <w:r w:rsidR="0088681D">
        <w:fldChar w:fldCharType="separate"/>
      </w:r>
      <w:r w:rsidR="006C586A" w:rsidRPr="006C586A">
        <w:rPr>
          <w:noProof/>
        </w:rPr>
        <w:t>[242], [243]</w:t>
      </w:r>
      <w:r w:rsidR="0088681D">
        <w:fldChar w:fldCharType="end"/>
      </w:r>
      <w:r w:rsidR="0088681D">
        <w:t xml:space="preserve">. </w:t>
      </w:r>
      <w:r>
        <w:t xml:space="preserve"> In stationary power generation SOFC stacks are subject to a possible 1-2 start-ups a year.</w:t>
      </w:r>
    </w:p>
    <w:p w14:paraId="7F3BDE78" w14:textId="1955E2C1" w:rsidR="006C2E3A" w:rsidRDefault="006C2E3A" w:rsidP="006C2E3A">
      <w:pPr>
        <w:jc w:val="both"/>
      </w:pPr>
      <w:r>
        <w:t xml:space="preserve">Additional cycling issues are a result of the repeated reduction and oxidation of the nickel catalyst. During reduction </w:t>
      </w:r>
      <w:proofErr w:type="spellStart"/>
      <w:r>
        <w:t>bunsenite</w:t>
      </w:r>
      <w:proofErr w:type="spellEnd"/>
      <w:r>
        <w:t xml:space="preserve"> (</w:t>
      </w:r>
      <w:proofErr w:type="spellStart"/>
      <w:r>
        <w:t>NiO</w:t>
      </w:r>
      <w:proofErr w:type="spellEnd"/>
      <w:r>
        <w:t>) has been documented to shrink by 40 vol % and then increase by 66 % during reoxidation triggering cracking in the ceramic material</w:t>
      </w:r>
      <w:r w:rsidR="0088681D">
        <w:t xml:space="preserve"> </w:t>
      </w:r>
      <w:r w:rsidR="0088681D">
        <w:fldChar w:fldCharType="begin" w:fldLock="1"/>
      </w:r>
      <w:r w:rsidR="00D80A5D">
        <w:instrText>ADDIN CSL_CITATION {"citationItems":[{"id":"ITEM-1","itemData":{"DOI":"10.3390/membranes2030585","ISSN":"20770375","abstract":"Solid oxide fuel cells are able to convert fuels, including hydrocarbons, to electricity with an unbeatable efficiency even for small systems. One of the main limitations for long-term utilization is the reduction-oxidation cycling (RedOx cycles) of the nickel-based anodes. This paper will review the effects and parameters influencing RedOx cycles of the Ni-ceramic anode. Second, solutions for RedOx instability are reviewed in the patent and open scientific literature. The solutions are described from the point of view of the system, stack design, cell design, new materials and microstructure optimization. Finally, a brief synthesis on RedOx cycling of Ni-based anode supports for standard and optimized microstructures is depicted. © 2012 by the authors; licensee MDPI, Basel, Switzerland.","author":[{"dropping-particle":"","family":"Faes","given":"Antonin","non-dropping-particle":"","parse-names":false,"suffix":""},{"dropping-particle":"","family":"Hessler-Wyser","given":"Aïcha","non-dropping-particle":"","parse-names":false,"suffix":""},{"dropping-particle":"","family":"Zryd","given":"Amédée","non-dropping-particle":"","parse-names":false,"suffix":""},{"dropping-particle":"","family":"Herle","given":"Jan","non-dropping-particle":"Van","parse-names":false,"suffix":""}],"container-title":"Membranes","id":"ITEM-1","issue":"3","issued":{"date-parts":[["2012"]]},"page":"585-664","title":"A review of RedOx cycling of solid oxide fuel cells anode","type":"article-journal","volume":"2"},"uris":["http://www.mendeley.com/documents/?uuid=3a6487a5-f4c8-423f-89a3-b1af10828b94"]}],"mendeley":{"formattedCitation":"[115]","plainTextFormattedCitation":"[115]","previouslyFormattedCitation":"[115]"},"properties":{"noteIndex":0},"schema":"https://github.com/citation-style-language/schema/raw/master/csl-citation.json"}</w:instrText>
      </w:r>
      <w:r w:rsidR="0088681D">
        <w:fldChar w:fldCharType="separate"/>
      </w:r>
      <w:r w:rsidR="006C586A" w:rsidRPr="006C586A">
        <w:rPr>
          <w:noProof/>
        </w:rPr>
        <w:t>[115]</w:t>
      </w:r>
      <w:r w:rsidR="0088681D">
        <w:fldChar w:fldCharType="end"/>
      </w:r>
      <w:r>
        <w:t>. This is exacerbated by anode-supported systems where cracking can lead to exposure of the catalyst to air which perpetuates the re-oxidation of the catalyst</w:t>
      </w:r>
      <w:r w:rsidR="0088681D">
        <w:t xml:space="preserve"> </w:t>
      </w:r>
      <w:r w:rsidR="0088681D">
        <w:fldChar w:fldCharType="begin" w:fldLock="1"/>
      </w:r>
      <w:r w:rsidR="00D80A5D">
        <w:instrText>ADDIN CSL_CITATION {"citationItems":[{"id":"ITEM-1","itemData":{"DOI":"10.1016/j.jpowsour.2017.11.024","ISSN":"03787753","abstract":"Ni-YSZ anodes for Solid Oxide Fuel Cells are vulnerable to microstructural damage during redox cycling leading to a decrease in the electrochemical performance. This study quantifies the microstructural changes as a function of redox cycles at 800 °C and associates it to the deterioration of the mechanical properties and polarisation resistance. A physically-based model is used to estimate the triple-phase boundary (TPB) length from impedance spectra, and satisfactorily matches the TPB length quantified by FIB-SEM tomography: within 20 redox cycles, the TPB density decreases from 4.63 μm−2 to 1.06 μm−2. Although the polarisation resistance increases by an order of magnitude after 20 cycles, after each re-reduction the electrode polarisation improves consistently due to the transient generation of Ni nanoparticles around the TPBs. Nonetheless, the long-term degradation overshadows this transient improvement due to the nickel agglomeration. In addition, FIB-SEM tomography reveals fractures along YSZ grain boundaries, Ni-YSZ detachment and increased porosity in the composite that lead to irreversible mechanical damage: the elastic modulus diminishes from 36.4 GPa to 20.2 GPa and the hardness from 0.40 GPa to 0.15 GPa. These results suggest that microstructural, mechanical and electrochemical properties are strongly interdependent in determining the degradation caused by redox cycling.","author":[{"dropping-particle":"","family":"Song","given":"Bowen","non-dropping-particle":"","parse-names":false,"suffix":""},{"dropping-particle":"","family":"Ruiz-Trejo","given":"Enrique","non-dropping-particle":"","parse-names":false,"suffix":""},{"dropping-particle":"","family":"Bertei","given":"Antonio","non-dropping-particle":"","parse-names":false,"suffix":""},{"dropping-particle":"","family":"Brandon","given":"Nigel P.","non-dropping-particle":"","parse-names":false,"suffix":""}],"container-title":"Journal of Power Sources","id":"ITEM-1","issue":"November 2017","issued":{"date-parts":[["2018"]]},"page":"61-68","publisher":"Elsevier","title":"Quantification of the degradation of Ni-YSZ anodes upon redox cycling","type":"article-journal","volume":"374"},"uris":["http://www.mendeley.com/documents/?uuid=c3b21179-541d-4a76-a15b-a99d173790b5"]},{"id":"ITEM-2","itemData":{"DOI":"10.1016/j.jpowsour.2014.04.152","ISSN":"03787753","abstract":"In the present study, correlation between solid oxide fuel cell anode microstructure and electrochemical performance during redox cycles was investigated. Electrolyte-support cell with nickel/yttria stabilized zirconia composite anode was prepared and tested under discharge process with redox cycles. Redox treatment was basically conducted every 20 h during discharge process. Polarization resistance decreased just after redox treatment and increased during discharge process. Enhancement of cell performance after every redox cycles and faster degradation in the following discharge process were observed. Polarization resistance gradually increased as redox cycles were repeated. Focused ion beam-scanning electron microscopy (FIB-SEM) observation was conducted for reconstructing the three dimensional microstructures of the tested samples. From the three dimensional microstructure reconstruction, it is found that the shape of nickel particle got thinner and complicated after redox cycles. Triple phase boundary (TPB) length increased after redox treatment and decreased after discharge process. This TPB change was highly associated with Ni connectivity and Ni specific surface area. These microstructure changes are consistent with the change of cell performance enhancement after redox treatment and degradation after discharge process. However, TPB length density kept on increasing as redox cycles are repeated, which is inconsistent with the gradual degradation of anode performance. © 2014 Elsevier B.V. All rights reserved.","author":[{"dropping-particle":"","family":"Shimura","given":"Takaaki","non-dropping-particle":"","parse-names":false,"suffix":""},{"dropping-particle":"","family":"Jiao","given":"Zhenjun","non-dropping-particle":"","parse-names":false,"suffix":""},{"dropping-particle":"","family":"Hara","given":"Shotaro","non-dropping-particle":"","parse-names":false,"suffix":""},{"dropping-particle":"","family":"Shikazono","given":"Naoki","non-dropping-particle":"","parse-names":false,"suffix":""}],"container-title":"Journal of Power Sources","id":"ITEM-2","issued":{"date-parts":[["2014"]]},"page":"58-68","publisher":"Elsevier","title":"Quantitative analysis of solid oxide fuel cell anode microstructure change during redox cycles","type":"article-journal","volume":"267"},"uris":["http://www.mendeley.com/documents/?uuid=0076f1e1-d796-4f00-be9e-d77f119a863c"]}],"mendeley":{"formattedCitation":"[244], [245]","plainTextFormattedCitation":"[244], [245]","previouslyFormattedCitation":"[244], [245]"},"properties":{"noteIndex":0},"schema":"https://github.com/citation-style-language/schema/raw/master/csl-citation.json"}</w:instrText>
      </w:r>
      <w:r w:rsidR="0088681D">
        <w:fldChar w:fldCharType="separate"/>
      </w:r>
      <w:r w:rsidR="006C586A" w:rsidRPr="006C586A">
        <w:rPr>
          <w:noProof/>
        </w:rPr>
        <w:t>[244], [245]</w:t>
      </w:r>
      <w:r w:rsidR="0088681D">
        <w:fldChar w:fldCharType="end"/>
      </w:r>
      <w:r>
        <w:t xml:space="preserve">. Voids form around the </w:t>
      </w:r>
      <w:proofErr w:type="spellStart"/>
      <w:r>
        <w:t>NiO</w:t>
      </w:r>
      <w:proofErr w:type="spellEnd"/>
      <w:r>
        <w:t xml:space="preserve"> because of the mismatch of the diffusion rates between the Ni</w:t>
      </w:r>
      <w:r>
        <w:rPr>
          <w:vertAlign w:val="superscript"/>
        </w:rPr>
        <w:t xml:space="preserve">+ </w:t>
      </w:r>
      <w:r>
        <w:t xml:space="preserve">cations diffusion towards the edge and oxygens anion towards the centre. </w:t>
      </w:r>
    </w:p>
    <w:p w14:paraId="36D2A5C5" w14:textId="1179A3F2" w:rsidR="006C2E3A" w:rsidRDefault="006C2E3A" w:rsidP="006C2E3A">
      <w:pPr>
        <w:jc w:val="both"/>
      </w:pPr>
      <w:r>
        <w:t>Oxidation of the catalyst can occur from several factors namely</w:t>
      </w:r>
      <w:r w:rsidR="0088681D">
        <w:t xml:space="preserve"> </w:t>
      </w:r>
      <w:r w:rsidR="0088681D">
        <w:fldChar w:fldCharType="begin" w:fldLock="1"/>
      </w:r>
      <w:r w:rsidR="00D80A5D">
        <w:instrText>ADDIN CSL_CITATION {"citationItems":[{"id":"ITEM-1","itemData":{"DOI":"10.3390/membranes2030585","ISSN":"20770375","abstract":"Solid oxide fuel cells are able to convert fuels, including hydrocarbons, to electricity with an unbeatable efficiency even for small systems. One of the main limitations for long-term utilization is the reduction-oxidation cycling (RedOx cycles) of the nickel-based anodes. This paper will review the effects and parameters influencing RedOx cycles of the Ni-ceramic anode. Second, solutions for RedOx instability are reviewed in the patent and open scientific literature. The solutions are described from the point of view of the system, stack design, cell design, new materials and microstructure optimization. Finally, a brief synthesis on RedOx cycling of Ni-based anode supports for standard and optimized microstructures is depicted. © 2012 by the authors; licensee MDPI, Basel, Switzerland.","author":[{"dropping-particle":"","family":"Faes","given":"Antonin","non-dropping-particle":"","parse-names":false,"suffix":""},{"dropping-particle":"","family":"Hessler-Wyser","given":"Aïcha","non-dropping-particle":"","parse-names":false,"suffix":""},{"dropping-particle":"","family":"Zryd","given":"Amédée","non-dropping-particle":"","parse-names":false,"suffix":""},{"dropping-particle":"","family":"Herle","given":"Jan","non-dropping-particle":"Van","parse-names":false,"suffix":""}],"container-title":"Membranes","id":"ITEM-1","issue":"3","issued":{"date-parts":[["2012"]]},"page":"585-664","title":"A review of RedOx cycling of solid oxide fuel cells anode","type":"article-journal","volume":"2"},"uris":["http://www.mendeley.com/documents/?uuid=3a6487a5-f4c8-423f-89a3-b1af10828b94"]}],"mendeley":{"formattedCitation":"[115]","plainTextFormattedCitation":"[115]","previouslyFormattedCitation":"[115]"},"properties":{"noteIndex":0},"schema":"https://github.com/citation-style-language/schema/raw/master/csl-citation.json"}</w:instrText>
      </w:r>
      <w:r w:rsidR="0088681D">
        <w:fldChar w:fldCharType="separate"/>
      </w:r>
      <w:r w:rsidR="006C586A" w:rsidRPr="006C586A">
        <w:rPr>
          <w:noProof/>
        </w:rPr>
        <w:t>[115]</w:t>
      </w:r>
      <w:r w:rsidR="0088681D">
        <w:fldChar w:fldCharType="end"/>
      </w:r>
      <w:r>
        <w:t xml:space="preserve">: </w:t>
      </w:r>
    </w:p>
    <w:p w14:paraId="4A2E39ED" w14:textId="77777777" w:rsidR="006C2E3A" w:rsidRDefault="006C2E3A" w:rsidP="006C2E3A">
      <w:pPr>
        <w:pStyle w:val="ListParagraph"/>
        <w:numPr>
          <w:ilvl w:val="0"/>
          <w:numId w:val="41"/>
        </w:numPr>
        <w:jc w:val="both"/>
      </w:pPr>
      <w:r>
        <w:t xml:space="preserve">Application of a high electrical load and high fuel utilisation conditions such as those found at the fuel electrode </w:t>
      </w:r>
      <w:proofErr w:type="gramStart"/>
      <w:r>
        <w:t>TPBs</w:t>
      </w:r>
      <w:proofErr w:type="gramEnd"/>
    </w:p>
    <w:p w14:paraId="6A711E40" w14:textId="77777777" w:rsidR="006C2E3A" w:rsidRDefault="006C2E3A" w:rsidP="006C2E3A">
      <w:pPr>
        <w:pStyle w:val="ListParagraph"/>
        <w:numPr>
          <w:ilvl w:val="0"/>
          <w:numId w:val="41"/>
        </w:numPr>
        <w:jc w:val="both"/>
      </w:pPr>
      <w:r>
        <w:t>Leaks in the interconnect and seals of the stack</w:t>
      </w:r>
    </w:p>
    <w:p w14:paraId="10A25F56" w14:textId="77777777" w:rsidR="006C2E3A" w:rsidRDefault="006C2E3A" w:rsidP="006C2E3A">
      <w:pPr>
        <w:pStyle w:val="ListParagraph"/>
        <w:numPr>
          <w:ilvl w:val="0"/>
          <w:numId w:val="41"/>
        </w:numPr>
        <w:jc w:val="both"/>
      </w:pPr>
      <w:r>
        <w:t>Impurities in the gas stream</w:t>
      </w:r>
    </w:p>
    <w:p w14:paraId="403010CD" w14:textId="77777777" w:rsidR="006C2E3A" w:rsidRDefault="006C2E3A" w:rsidP="006C2E3A">
      <w:pPr>
        <w:pStyle w:val="ListParagraph"/>
        <w:numPr>
          <w:ilvl w:val="0"/>
          <w:numId w:val="41"/>
        </w:numPr>
        <w:jc w:val="both"/>
      </w:pPr>
      <w:r>
        <w:t xml:space="preserve">Lack of inert gas to protect the Nickel during restart </w:t>
      </w:r>
      <w:proofErr w:type="gramStart"/>
      <w:r>
        <w:t>processes</w:t>
      </w:r>
      <w:proofErr w:type="gramEnd"/>
    </w:p>
    <w:p w14:paraId="0F0168E9" w14:textId="67BF9060" w:rsidR="006C2E3A" w:rsidRDefault="006C2E3A" w:rsidP="006C2E3A">
      <w:pPr>
        <w:jc w:val="both"/>
      </w:pPr>
      <w:r>
        <w:t xml:space="preserve">In nanostructured electrode such as wet impregnated Ni-YSZ electrodes reducing the pore size and reducing the Ni volume percent to 20 %, had been shown by the </w:t>
      </w:r>
      <w:proofErr w:type="spellStart"/>
      <w:r>
        <w:t>Birss</w:t>
      </w:r>
      <w:proofErr w:type="spellEnd"/>
      <w:r>
        <w:t xml:space="preserve"> group to hinder the volume expansion due to reoxidation</w:t>
      </w:r>
      <w:r w:rsidR="0088681D">
        <w:t xml:space="preserve"> </w:t>
      </w:r>
      <w:r w:rsidR="0088681D">
        <w:fldChar w:fldCharType="begin" w:fldLock="1"/>
      </w:r>
      <w:r w:rsidR="00D80A5D">
        <w:instrText>ADDIN CSL_CITATION {"citationItems":[{"id":"ITEM-1","itemData":{"DOI":"10.1016/j.jpowsour.2015.04.072","ISBN":"0378-7753","ISSN":"03787753","abstract":"Ni infiltration into porous YSZ scaffolds is a promising route for the construction of high performing and redox-stable Ni-YSZ anodes for application in solid oxide fuel cells (SOFCs). However, the long-term instability of this type of anode is a critical problem. Here, it is shown that an interconnected Ni film, rather than discrete Ni particles, can be formed inside a porous, pre-sintered YSZ scaffold by using a polymeric Ni-based precursor as the infiltration medium. To understand the effect of the YSZ microstructure on the long-term stability and the electrochemical performance of the resulting composites, two types of Ni-YSZ anodes were investigated. Anodes prepared by polymeric Ni infiltration into a YSZ scaffold with large grains (0.5 μm) and pores (0.5 μm and 5 μm) showed extensive agglomeration in the Ni phase, resulting in poor stability and poor activity. In contrast, Ni infiltration into YSZ scaffolds with finer particle and pore sizes (</w:instrText>
      </w:r>
      <w:r w:rsidR="00D80A5D">
        <w:rPr>
          <w:rFonts w:ascii="Cambria Math" w:hAnsi="Cambria Math" w:cs="Cambria Math"/>
        </w:rPr>
        <w:instrText>∼</w:instrText>
      </w:r>
      <w:r w:rsidR="00D80A5D">
        <w:instrText xml:space="preserve">200 nm each) produced anodes with a very small polarization resistance of ca. 0.1 </w:instrText>
      </w:r>
      <w:r w:rsidR="00D80A5D">
        <w:rPr>
          <w:rFonts w:ascii="Calibri" w:hAnsi="Calibri" w:cs="Calibri"/>
        </w:rPr>
        <w:instrText>Ω</w:instrText>
      </w:r>
      <w:r w:rsidR="00D80A5D">
        <w:instrText xml:space="preserve"> cm&lt;sup&gt;2&lt;/sup&gt; per electrode at 800 </w:instrText>
      </w:r>
      <w:r w:rsidR="00D80A5D">
        <w:rPr>
          <w:rFonts w:ascii="Calibri" w:hAnsi="Calibri" w:cs="Calibri"/>
        </w:rPr>
        <w:instrText>°</w:instrText>
      </w:r>
      <w:r w:rsidR="00D80A5D">
        <w:instrText xml:space="preserve">C. An increase of only </w:instrText>
      </w:r>
      <w:r w:rsidR="00D80A5D">
        <w:rPr>
          <w:rFonts w:ascii="Cambria Math" w:hAnsi="Cambria Math" w:cs="Cambria Math"/>
        </w:rPr>
        <w:instrText>∼</w:instrText>
      </w:r>
      <w:r w:rsidR="00D80A5D">
        <w:instrText>5% was seen in the resistance after ca. 110 h at this temperature, achieved by preventing Ni agglomeration.","author":[{"dropping-particle":"","family":"Buyukaksoy","given":"Aligul","non-dropping-particle":"","parse-names":false,"suffix":""},{"dropping-particle":"","family":"Kammampata","given":"Sanoop P.","non-dropping-particle":"","parse-names":false,"suffix":""},{"dropping-particle":"","family":"Birss","given":"Viola I.","non-dropping-particle":"","parse-names":false,"suffix":""}],"container-title":"Journal of Power Sources","id":"ITEM-1","issued":{"date-parts":[["2015"]]},"page":"349-358","publisher":"Elsevier B.V","title":"Effect of porous YSZ scaffold microstructure on the long-term performance of infiltrated Ni-YSZ anodes","type":"article-journal","volume":"287"},"uris":["http://www.mendeley.com/documents/?uuid=21512bd9-57bd-44f6-b278-0f70c65b86c6"]},{"id":"ITEM-2","itemData":{"DOI":"10.1016/j.jpowsour.2015.12.022","ISBN":"03787753","ISSN":"03787753","abstract":"The optimum operating temperature of micro solid oxide fuel cells (μ-SOFCs) is &lt; 600°C, which normally results in an undesirably high internal resistance. While the resistance of the electrolyte (most commonly yttria stabilized zirconia, YSZ) can be lowered significantly simply by decreasing its thickness, minimization of the electrode resistance (thus maintaining rapid reaction kinetics) is not as straightforward. In this work, an ethylene glycol based polymeric precursor solution, which promotes the intimate mixing of the Ni, Y and Zr components prior to their crystallization as oxides, was spin-coated onto a YSZ disc, generating a nanocomposite NiO-YSZ thin film. The in-situ reduction of NiO phase within the dense NiO-YSZ film to Ni, in combination with the nanoscale size of the Ni and YSZ particles (ca. 25 nm), resulted in a nanoporous, Ni-YSZ anode morphology (thickness &lt; 1 μm) with a homogeneous distribution of Ni and YSZ and a very high triple phase boundary length. Very small electrode polarization resistances of 0.65 Ω cm2 per electrode were obtained at 550°C in humidified H2, the lowest values yet reported for SOFCs at this temperature. These highly active anodes are therefore very promising for use in next generation μ-SOFCs.","author":[{"dropping-particle":"","family":"Buyukaksoy","given":"Aligul","non-dropping-particle":"","parse-names":false,"suffix":""},{"dropping-particle":"","family":"Birss","given":"Viola I.","non-dropping-particle":"","parse-names":false,"suffix":""}],"container-title":"Journal of Power Sources","id":"ITEM-2","issued":{"date-parts":[["2016"]]},"page":"449-453","publisher":"Elsevier B.V","title":"Highly active nanoscale Ni - Yttria stabilized zirconia anodes for micro-solid oxide fuel cell applications","type":"article-journal","volume":"307"},"uris":["http://www.mendeley.com/documents/?uuid=9eeae31c-fd94-471a-a2d8-f5077178be84"]}],"mendeley":{"formattedCitation":"[242], [243]","plainTextFormattedCitation":"[242], [243]","previouslyFormattedCitation":"[242], [243]"},"properties":{"noteIndex":0},"schema":"https://github.com/citation-style-language/schema/raw/master/csl-citation.json"}</w:instrText>
      </w:r>
      <w:r w:rsidR="0088681D">
        <w:fldChar w:fldCharType="separate"/>
      </w:r>
      <w:r w:rsidR="006C586A" w:rsidRPr="006C586A">
        <w:rPr>
          <w:noProof/>
        </w:rPr>
        <w:t>[242], [243]</w:t>
      </w:r>
      <w:r w:rsidR="0088681D">
        <w:fldChar w:fldCharType="end"/>
      </w:r>
      <w:r>
        <w:t>. This was achieved by the physical trapping of the nickel catalyst in 200 nm pores in the YSZ backbone and the reduction of initial catalyst volume percent to offset the expansion</w:t>
      </w:r>
      <w:r w:rsidR="0088681D">
        <w:t xml:space="preserve"> </w:t>
      </w:r>
      <w:r w:rsidR="0088681D">
        <w:fldChar w:fldCharType="begin" w:fldLock="1"/>
      </w:r>
      <w:r w:rsidR="00D80A5D">
        <w:instrText>ADDIN CSL_CITATION {"citationItems":[{"id":"ITEM-1","itemData":{"DOI":"10.1016/j.jpowsour.2015.04.072","ISSN":"03787753","abstract":"Ni infiltration into porous YSZ scaffolds is a promising route for the construction of high performing and redox-stable Ni-YSZ anodes for application in solid oxide fuel cells (SOFCs). However, the long-term instability of this type of anode is a critical problem. Here, it is shown that an interconnected Ni film, rather than discrete Ni particles, can be formed inside a porous, pre-sintered YSZ scaffold by using a polymeric Ni-based precursor as the infiltration medium. To understand the effect of the YSZ microstructure on the long-term stability and the electrochemical performance of the resulting composites, two types of Ni-YSZ anodes were investigated. Anodes prepared by polymeric Ni infiltration into a YSZ scaffold with large grains (0.5 μm) and pores (0.5 μm and 5 μm) showed extensive agglomeration in the Ni phase, resulting in poor stability and poor activity. In contrast, Ni infiltration into YSZ scaffolds with finer particle and pore sizes (</w:instrText>
      </w:r>
      <w:r w:rsidR="00D80A5D">
        <w:rPr>
          <w:rFonts w:ascii="Cambria Math" w:hAnsi="Cambria Math" w:cs="Cambria Math"/>
        </w:rPr>
        <w:instrText>∼</w:instrText>
      </w:r>
      <w:r w:rsidR="00D80A5D">
        <w:instrText xml:space="preserve">200 nm each) produced anodes with a very small polarization resistance of ca. 0.1 </w:instrText>
      </w:r>
      <w:r w:rsidR="00D80A5D">
        <w:rPr>
          <w:rFonts w:ascii="Calibri" w:hAnsi="Calibri" w:cs="Calibri"/>
        </w:rPr>
        <w:instrText>Ω</w:instrText>
      </w:r>
      <w:r w:rsidR="00D80A5D">
        <w:instrText xml:space="preserve"> cm&lt;sup&gt;2&lt;/sup&gt; per electrode at 800 </w:instrText>
      </w:r>
      <w:r w:rsidR="00D80A5D">
        <w:rPr>
          <w:rFonts w:ascii="Calibri" w:hAnsi="Calibri" w:cs="Calibri"/>
        </w:rPr>
        <w:instrText>°</w:instrText>
      </w:r>
      <w:r w:rsidR="00D80A5D">
        <w:instrText xml:space="preserve">C. An increase of only </w:instrText>
      </w:r>
      <w:r w:rsidR="00D80A5D">
        <w:rPr>
          <w:rFonts w:ascii="Cambria Math" w:hAnsi="Cambria Math" w:cs="Cambria Math"/>
        </w:rPr>
        <w:instrText>∼</w:instrText>
      </w:r>
      <w:r w:rsidR="00D80A5D">
        <w:instrText>5% was seen in the resistance after ca. 110 h at this temperature, achieved by preventing Ni agglomeration.","author":[{"dropping-particle":"","family":"Buyukaksoy","given":"Aligul","non-dropping-particle":"","parse-names":false,"suffix":""},{"dropping-particle":"","family":"Kammampata","given":"Sanoop P.","non-dropping-particle":"","parse-names":false,"suffix":""},{"dropping-particle":"","family":"Birss","given":"Viola I.","non-dropping-particle":"","parse-names":false,"suffix":""}],"container-title":"Journal of Power Sources","id":"ITEM-1","issued":{"date-parts":[["2015"]]},"page":"349-358","publisher":"Elsevier B.V","title":"Effect of porous YSZ scaffold microstructure on the long-term performance of infiltrated Ni-YSZ anodes","type":"article-journal","volume":"287"},"uris":["http://www.mendeley.com/documents/?uuid=95f6b41b-9065-4cf8-9ddb-f27577bdf473"]}],"mendeley":{"formattedCitation":"[233]","plainTextFormattedCitation":"[233]","previouslyFormattedCitation":"[233]"},"properties":{"noteIndex":0},"schema":"https://github.com/citation-style-language/schema/raw/master/csl-citation.json"}</w:instrText>
      </w:r>
      <w:r w:rsidR="0088681D">
        <w:fldChar w:fldCharType="separate"/>
      </w:r>
      <w:r w:rsidR="006C586A" w:rsidRPr="006C586A">
        <w:rPr>
          <w:noProof/>
        </w:rPr>
        <w:t>[233]</w:t>
      </w:r>
      <w:r w:rsidR="0088681D">
        <w:fldChar w:fldCharType="end"/>
      </w:r>
      <w:r>
        <w:t>.</w:t>
      </w:r>
    </w:p>
    <w:p w14:paraId="44225D5B" w14:textId="5E694D9A" w:rsidR="006C2E3A" w:rsidRPr="004334A8" w:rsidRDefault="006C2E3A" w:rsidP="006C2E3A">
      <w:pPr>
        <w:jc w:val="both"/>
      </w:pPr>
      <w:r>
        <w:t xml:space="preserve">In this thesis 20 vol % Nickel content was used to provide a comparison with the work of </w:t>
      </w:r>
      <w:proofErr w:type="spellStart"/>
      <w:r>
        <w:t>Buykaksoy</w:t>
      </w:r>
      <w:proofErr w:type="spellEnd"/>
      <w:r>
        <w:t xml:space="preserve"> et al</w:t>
      </w:r>
      <w:r w:rsidR="0088681D">
        <w:t xml:space="preserve"> </w:t>
      </w:r>
      <w:r w:rsidR="0088681D">
        <w:fldChar w:fldCharType="begin" w:fldLock="1"/>
      </w:r>
      <w:r w:rsidR="00D80A5D">
        <w:instrText>ADDIN CSL_CITATION {"citationItems":[{"id":"ITEM-1","itemData":{"DOI":"10.1016/j.jpowsour.2015.04.072","ISBN":"0378-7753","ISSN":"03787753","abstract":"Ni infiltration into porous YSZ scaffolds is a promising route for the construction of high performing and redox-stable Ni-YSZ anodes for application in solid oxide fuel cells (SOFCs). However, the long-term instability of this type of anode is a critical problem. Here, it is shown that an interconnected Ni film, rather than discrete Ni particles, can be formed inside a porous, pre-sintered YSZ scaffold by using a polymeric Ni-based precursor as the infiltration medium. To understand the effect of the YSZ microstructure on the long-term stability and the electrochemical performance of the resulting composites, two types of Ni-YSZ anodes were investigated. Anodes prepared by polymeric Ni infiltration into a YSZ scaffold with large grains (0.5 μm) and pores (0.5 μm and 5 μm) showed extensive agglomeration in the Ni phase, resulting in poor stability and poor activity. In contrast, Ni infiltration into YSZ scaffolds with finer particle and pore sizes (</w:instrText>
      </w:r>
      <w:r w:rsidR="00D80A5D">
        <w:rPr>
          <w:rFonts w:ascii="Cambria Math" w:hAnsi="Cambria Math" w:cs="Cambria Math"/>
        </w:rPr>
        <w:instrText>∼</w:instrText>
      </w:r>
      <w:r w:rsidR="00D80A5D">
        <w:instrText xml:space="preserve">200 nm each) produced anodes with a very small polarization resistance of ca. 0.1 Ω cm&lt;sup&gt;2&lt;/sup&gt; per electrode at 800 °C. An increase of only </w:instrText>
      </w:r>
      <w:r w:rsidR="00D80A5D">
        <w:rPr>
          <w:rFonts w:ascii="Cambria Math" w:hAnsi="Cambria Math" w:cs="Cambria Math"/>
        </w:rPr>
        <w:instrText>∼</w:instrText>
      </w:r>
      <w:r w:rsidR="00D80A5D">
        <w:instrText>5% was seen in the resistance after ca. 110 h at this temperature, achieved by preventing Ni agglomeration.","author":[{"dropping-particle":"","family":"Buyukaksoy","given":"Aligul","non-dropping-particle":"","parse-names":false,"suffix":""},{"dropping-particle":"","family":"Kammampata","given":"Sanoop P.","non-dropping-particle":"","parse-names":false,"suffix":""},{"dropping-particle":"","family":"Birss","given":"Viola I.","non-dropping-particle":"","parse-names":false,"suffix":""}],"container-title":"Journal of Power Sources","id":"ITEM-1","issued":{"date-parts":[["2015"]]},"page":"349-358","publisher":"Elsevier B.V","title":"Effect of porous YSZ scaffold microstructure on the long-term performance of infiltrated Ni-YSZ anodes","type":"article-journal","volume":"287"},"uris":["http://www.mendeley.com/documents/?uuid=21512bd9-57bd-44f6-b278-0f70c65b86c6"]},{"id":"ITEM-2","itemData":{"DOI":"10.1016/j.jpowsour.2015.12.022","ISBN":"03787753","ISSN":"03787753","abstract":"The optimum operating temperature of micro solid oxide fuel cells (μ-SOFCs) is &lt; 600°C, which normally results in an undesirably high internal resistance. While the resistance of the electrolyte (most commonly yttria stabilized zirconia, YSZ) can be lowered significantly simply by decreasing its thickness, minimization of the electrode resistance (thus maintaining rapid reaction kinetics) is not as straightforward. In this work, an ethylene glycol based polymeric precursor solution, which promotes the intimate mixing of the Ni, Y and Zr components prior to their crystallization as oxides, was spin-coated onto a YSZ disc, generating a nanocomposite NiO-YSZ thin film. The in-situ reduction of NiO phase within the dense NiO-YSZ film to Ni, in combination with the nanoscale size of the Ni and YSZ particles (ca. 25 nm), resulted in a nanoporous, Ni-YSZ anode morphology (thickness &lt; 1 μm) with a homogeneous distribution of Ni and YSZ and a very high triple phase boundary length. Very small electrode polarization resistances of 0.65 Ω cm2 per electrode were obtained at 550°C in humidified H2, the lowest values yet reported for SOFCs at this temperature. These highly active anodes are therefore very promising for use in next generation μ-SOFCs.","author":[{"dropping-particle":"","family":"Buyukaksoy","given":"Aligul","non-dropping-particle":"","parse-names":false,"suffix":""},{"dropping-particle":"","family":"Birss","given":"Viola I.","non-dropping-particle":"","parse-names":false,"suffix":""}],"container-title":"Journal of Power Sources","id":"ITEM-2","issued":{"date-parts":[["2016"]]},"page":"449-453","publisher":"Elsevier B.V","title":"Highly active nanoscale Ni - Yttria stabilized zirconia anodes for micro-solid oxide fuel cell applications","type":"article-journal","volume":"307"},"uris":["http://www.mendeley.com/documents/?uuid=9eeae31c-fd94-471a-a2d8-f5077178be84"]}],"mendeley":{"formattedCitation":"[242], [243]","plainTextFormattedCitation":"[242], [243]","previouslyFormattedCitation":"[242], [243]"},"properties":{"noteIndex":0},"schema":"https://github.com/citation-style-language/schema/raw/master/csl-citation.json"}</w:instrText>
      </w:r>
      <w:r w:rsidR="0088681D">
        <w:fldChar w:fldCharType="separate"/>
      </w:r>
      <w:r w:rsidR="006C586A" w:rsidRPr="006C586A">
        <w:rPr>
          <w:noProof/>
        </w:rPr>
        <w:t>[242], [243]</w:t>
      </w:r>
      <w:r w:rsidR="0088681D">
        <w:fldChar w:fldCharType="end"/>
      </w:r>
      <w:r w:rsidR="0088681D">
        <w:t xml:space="preserve">. </w:t>
      </w:r>
      <w:r>
        <w:t xml:space="preserve"> </w:t>
      </w:r>
      <w:r w:rsidR="0088681D">
        <w:t>Additionally,</w:t>
      </w:r>
      <w:r>
        <w:t xml:space="preserve"> it ensured that the reoxidation of the catalyst was not the key degradation mechanism in this work.</w:t>
      </w:r>
    </w:p>
    <w:p w14:paraId="03857B4B" w14:textId="31567F68" w:rsidR="00007F6C" w:rsidRPr="002B6C9E" w:rsidRDefault="00007F6C" w:rsidP="004B726A">
      <w:pPr>
        <w:pStyle w:val="Heading4"/>
      </w:pPr>
      <w:bookmarkStart w:id="110" w:name="_Toc474489928"/>
      <w:r>
        <w:t>2.3.2.</w:t>
      </w:r>
      <w:r w:rsidR="00506BA6">
        <w:t>5</w:t>
      </w:r>
      <w:r>
        <w:tab/>
      </w:r>
      <w:r w:rsidRPr="002B6C9E">
        <w:t xml:space="preserve">Interconnectivity </w:t>
      </w:r>
      <w:r w:rsidR="00316043">
        <w:t>R</w:t>
      </w:r>
      <w:r w:rsidRPr="002B6C9E">
        <w:t>eduction</w:t>
      </w:r>
      <w:bookmarkEnd w:id="110"/>
    </w:p>
    <w:p w14:paraId="32D79323" w14:textId="77777777" w:rsidR="00007F6C" w:rsidRPr="002B6C9E" w:rsidRDefault="00007F6C" w:rsidP="004B726A">
      <w:pPr>
        <w:jc w:val="both"/>
      </w:pPr>
      <w:r w:rsidRPr="002B6C9E">
        <w:t xml:space="preserve">There are two points of discussion with infiltration analogous to the two primary components. </w:t>
      </w:r>
    </w:p>
    <w:p w14:paraId="1334639C" w14:textId="77777777" w:rsidR="00007F6C" w:rsidRPr="002B6C9E" w:rsidRDefault="00007F6C" w:rsidP="004B726A">
      <w:pPr>
        <w:jc w:val="both"/>
      </w:pPr>
      <w:r w:rsidRPr="002B6C9E">
        <w:t>Firstly, a highly porous scaffold is required when trying to use wet impregnation to form suitable infiltrated electrode materials (30% open porosity). The pursuit of this overall density value has driven the use of pore formers in the manufacturing of the ceramic backbone in anode materials.</w:t>
      </w:r>
    </w:p>
    <w:p w14:paraId="5BDE0C7F" w14:textId="77777777" w:rsidR="00007F6C" w:rsidRPr="002B6C9E" w:rsidRDefault="00007F6C" w:rsidP="004B726A">
      <w:pPr>
        <w:jc w:val="both"/>
      </w:pPr>
      <w:r w:rsidRPr="002B6C9E">
        <w:t xml:space="preserve">The microstructure of the scaffold material has been recently shown to be key in the controlling the size of the nanoparticle catalysts used in </w:t>
      </w:r>
      <w:r>
        <w:t>SOFC</w:t>
      </w:r>
      <w:r w:rsidRPr="002B6C9E">
        <w:t xml:space="preserve"> anode materials.  </w:t>
      </w:r>
    </w:p>
    <w:p w14:paraId="70924025" w14:textId="7779A2E6" w:rsidR="00007F6C" w:rsidRDefault="00007F6C" w:rsidP="004B726A">
      <w:pPr>
        <w:jc w:val="both"/>
      </w:pPr>
      <w:r w:rsidRPr="002B6C9E">
        <w:lastRenderedPageBreak/>
        <w:t xml:space="preserve">The impact of using a pore former (PMMA) in the production of the scaffold material was assessed to see whether this influenced the microstructural properties of the catalyst particles. The resultant structure from the burn out step of the pore former affected the distribution of the nickel particles. The 2 </w:t>
      </w:r>
      <w:proofErr w:type="gramStart"/>
      <w:r w:rsidRPr="002B6C9E">
        <w:t>hour</w:t>
      </w:r>
      <w:proofErr w:type="gramEnd"/>
      <w:r w:rsidRPr="002B6C9E">
        <w:t xml:space="preserve"> 1350°C heat treatment left large 5</w:t>
      </w:r>
      <w:r>
        <w:t xml:space="preserve"> </w:t>
      </w:r>
      <w:r w:rsidRPr="002B6C9E">
        <w:t xml:space="preserve">µm openings which post infiltrate deposition lead to an uneven dispersal of nickel around the edge of these holes (See </w:t>
      </w:r>
      <w:r w:rsidRPr="00DA408B">
        <w:fldChar w:fldCharType="begin"/>
      </w:r>
      <w:r w:rsidRPr="00DA408B">
        <w:instrText xml:space="preserve"> REF _Ref473714654 \h  \* MERGEFORMAT </w:instrText>
      </w:r>
      <w:r w:rsidRPr="00DA408B">
        <w:fldChar w:fldCharType="separate"/>
      </w:r>
      <w:r w:rsidRPr="00C103C3">
        <w:t>Figure 2.16</w:t>
      </w:r>
      <w:r w:rsidRPr="00DA408B">
        <w:fldChar w:fldCharType="end"/>
      </w:r>
      <w:r w:rsidRPr="002B6C9E">
        <w:t>). This was further exacerbated during the electrical testing at 800</w:t>
      </w:r>
      <w:r w:rsidR="00186EC6">
        <w:t xml:space="preserve"> </w:t>
      </w:r>
      <w:r w:rsidRPr="002B6C9E">
        <w:t>°C which caused extreme agglomeration with large 4</w:t>
      </w:r>
      <w:r>
        <w:t xml:space="preserve"> </w:t>
      </w:r>
      <w:r w:rsidRPr="002B6C9E">
        <w:t xml:space="preserve">µm Ni grains inserting themselves into the gaps. </w:t>
      </w:r>
    </w:p>
    <w:p w14:paraId="35B3CDBE" w14:textId="77777777" w:rsidR="00007F6C" w:rsidRPr="002B6C9E" w:rsidRDefault="00007F6C" w:rsidP="004B726A">
      <w:pPr>
        <w:keepNext/>
        <w:ind w:left="360"/>
        <w:jc w:val="center"/>
      </w:pPr>
      <w:r w:rsidRPr="002B6C9E">
        <w:rPr>
          <w:noProof/>
          <w:lang w:eastAsia="en-GB"/>
        </w:rPr>
        <w:drawing>
          <wp:inline distT="0" distB="0" distL="0" distR="0" wp14:anchorId="10856902" wp14:editId="0F272EEF">
            <wp:extent cx="5400000" cy="3792801"/>
            <wp:effectExtent l="0" t="0" r="0" b="0"/>
            <wp:docPr id="21" name="Picture 21" descr="Scanning electron microscope images of Anode A. (a) Top-down surface, (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anning electron microscope images of Anode A. (a) Top-down surface, (b) ..."/>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0000" cy="3792801"/>
                    </a:xfrm>
                    <a:prstGeom prst="rect">
                      <a:avLst/>
                    </a:prstGeom>
                    <a:noFill/>
                    <a:ln>
                      <a:noFill/>
                    </a:ln>
                  </pic:spPr>
                </pic:pic>
              </a:graphicData>
            </a:graphic>
          </wp:inline>
        </w:drawing>
      </w:r>
    </w:p>
    <w:p w14:paraId="7629B73B" w14:textId="13E8EA5A" w:rsidR="00007F6C" w:rsidRDefault="00007F6C" w:rsidP="00186EC6">
      <w:pPr>
        <w:jc w:val="center"/>
        <w:rPr>
          <w:i/>
          <w:iCs/>
          <w:color w:val="44546A" w:themeColor="text2"/>
          <w:sz w:val="18"/>
          <w:szCs w:val="18"/>
        </w:rPr>
      </w:pPr>
      <w:bookmarkStart w:id="111" w:name="_Ref473714654"/>
      <w:bookmarkStart w:id="112" w:name="_Toc69114928"/>
      <w:r w:rsidRPr="00582C49">
        <w:rPr>
          <w:i/>
          <w:iCs/>
          <w:color w:val="44546A" w:themeColor="text2"/>
          <w:sz w:val="18"/>
          <w:szCs w:val="18"/>
        </w:rPr>
        <w:t>Figure 2.</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804219">
        <w:rPr>
          <w:i/>
          <w:iCs/>
          <w:noProof/>
          <w:color w:val="44546A" w:themeColor="text2"/>
          <w:sz w:val="18"/>
          <w:szCs w:val="18"/>
        </w:rPr>
        <w:t>16</w:t>
      </w:r>
      <w:r w:rsidR="00285C23">
        <w:rPr>
          <w:i/>
          <w:iCs/>
          <w:color w:val="44546A" w:themeColor="text2"/>
          <w:sz w:val="18"/>
          <w:szCs w:val="18"/>
        </w:rPr>
        <w:fldChar w:fldCharType="end"/>
      </w:r>
      <w:bookmarkEnd w:id="111"/>
      <w:r w:rsidRPr="00582C49">
        <w:rPr>
          <w:i/>
          <w:iCs/>
          <w:color w:val="44546A" w:themeColor="text2"/>
          <w:sz w:val="18"/>
          <w:szCs w:val="18"/>
        </w:rPr>
        <w:t>: A set field-emission scanning electron micrograph of the PMMA pore formed YSZ scaffold with nickel particles. Images a and b detail the microstructure in the as reduced state. [(a.) top-down view and b.) cross-section] Images c and d show the microstructure of the sample after the 500-800°C annealing step</w:t>
      </w:r>
      <w:r w:rsidR="003F07C7">
        <w:rPr>
          <w:i/>
          <w:iCs/>
          <w:color w:val="44546A" w:themeColor="text2"/>
          <w:sz w:val="18"/>
          <w:szCs w:val="18"/>
        </w:rPr>
        <w:t xml:space="preserve"> </w:t>
      </w:r>
      <w:r w:rsidR="003F07C7">
        <w:t xml:space="preserve"> </w:t>
      </w:r>
      <w:r w:rsidR="003F07C7" w:rsidRPr="003F07C7">
        <w:rPr>
          <w:sz w:val="18"/>
          <w:szCs w:val="18"/>
        </w:rPr>
        <w:fldChar w:fldCharType="begin" w:fldLock="1"/>
      </w:r>
      <w:r w:rsidR="00D80A5D">
        <w:rPr>
          <w:sz w:val="18"/>
          <w:szCs w:val="18"/>
        </w:rPr>
        <w:instrText>ADDIN CSL_CITATION {"citationItems":[{"id":"ITEM-1","itemData":{"DOI":"10.1016/j.jpowsour.2015.12.022","ISBN":"03787753","author":[{"dropping-particle":"","family":"Buyukaksoy","given":"Aligul","non-dropping-particle":"","parse-names":false,"suffix":""},{"dropping-particle":"","family":"Birss","given":"Viola I","non-dropping-particle":"","parse-names":false,"suffix":""}],"container-title":"Journal of Power Sources","id":"ITEM-1","issued":{"date-parts":[["2016"]]},"page":"449-453","title":"Highly active nanoscale Ni - Yttria stabilized zirconia anodes for micro-solid oxide fuel cell applications","type":"article-journal","volume":"307"},"uris":["http://www.mendeley.com/documents/?uuid=e3c63d98-1088-45eb-b52c-252427604655"]},{"id":"ITEM-2","itemData":{"DOI":"10.1149/2.050206jes","ISBN":"0013-4651","ISSN":"0013-4651","abstract":"The long term performance of SOFC with nanocomposite Ni-YSZ anode and LSM-YSZ cathode was reported. The SOFC was prepared by infiltrating polymeric precursors of NiO and LSM from anode and cathode sides respectively. The fuel cell showed relatively high initial performance (0.49 Watt/cm(2) at 800 degrees C) for the given electrolyte thickness (similar to 170 mu m). Long term stability tests showed that the power density dropped to 0.41 Watt/cm(2) in the first 60 hours of operation in short circuit conditions and no further change in the power density was observed. Low electrode polarization resistance was obtained (similar to 0.080 Ohm.cm(2) for combined anode and cathode at 800 degrees C) which showed no significant change with prolonged time. The slight drop in power density was related to the change in ohmic resistance which was attributed to the increase in current collection resistance. The fact that the majority of the resistance was due to the electrolyte resistance (similar to 80%) suggests that stable SOFCs with high power densities could be achieved with thinner electrolytes. After &gt; 100 hours of operation at 800 degrees C in short circuit conditions, the fuel cell was measured at higher temperatures. Power densities were 0.71 Watt/cm(2) and 1.0 Watt/cm(2) at 900 degrees C and 1000 degrees C, respectively. (C) 2012 The Electrochemical Society. DOI: 10.1149/2.050206jes] All rights reserved.","author":[{"dropping-particle":"","family":"Buyukaksoy","given":"Aligul","non-dropping-particle":"","parse-names":false,"suffix":""},{"dropping-particle":"","family":"Petrovsky","given":"Vladimir","non-dropping-particle":"","parse-names":false,"suffix":""},{"dropping-particle":"","family":"Dogan","given":"Fatih","non-dropping-particle":"","parse-names":false,"suffix":""}],"container-title":"Journal of The Electrochemical Society","id":"ITEM-2","issue":"6","issued":{"date-parts":[["2012"]]},"page":"B666-B669","title":"Stability and Performance of Solid Oxide Fuel Cells with Nanocomposite Electrodes","type":"article-journal","volume":"159"},"uris":["http://www.mendeley.com/documents/?uuid=a98e9984-3cde-4e37-a2e6-95fe9af1d1c2"]}],"mendeley":{"formattedCitation":"[246], [247]","plainTextFormattedCitation":"[246], [247]","previouslyFormattedCitation":"[246], [247]"},"properties":{"noteIndex":0},"schema":"https://github.com/citation-style-language/schema/raw/master/csl-citation.json"}</w:instrText>
      </w:r>
      <w:r w:rsidR="003F07C7" w:rsidRPr="003F07C7">
        <w:rPr>
          <w:sz w:val="18"/>
          <w:szCs w:val="18"/>
        </w:rPr>
        <w:fldChar w:fldCharType="separate"/>
      </w:r>
      <w:r w:rsidR="006C586A" w:rsidRPr="006C586A">
        <w:rPr>
          <w:noProof/>
          <w:sz w:val="18"/>
          <w:szCs w:val="18"/>
        </w:rPr>
        <w:t>[246], [247]</w:t>
      </w:r>
      <w:bookmarkEnd w:id="112"/>
      <w:r w:rsidR="003F07C7" w:rsidRPr="003F07C7">
        <w:rPr>
          <w:sz w:val="18"/>
          <w:szCs w:val="18"/>
        </w:rPr>
        <w:fldChar w:fldCharType="end"/>
      </w:r>
    </w:p>
    <w:p w14:paraId="39674D64" w14:textId="6E52D065" w:rsidR="00007F6C" w:rsidRDefault="00007F6C" w:rsidP="004B726A">
      <w:pPr>
        <w:jc w:val="both"/>
      </w:pPr>
      <w:r w:rsidRPr="002B6C9E">
        <w:t>In contrast the pore size in the as prepared YSZ scaffold sample was much smaller (in the range of 200</w:t>
      </w:r>
      <w:r>
        <w:t xml:space="preserve"> </w:t>
      </w:r>
      <w:r w:rsidRPr="002B6C9E">
        <w:t xml:space="preserve">nm) (See </w:t>
      </w:r>
      <w:r w:rsidRPr="00582C49">
        <w:fldChar w:fldCharType="begin"/>
      </w:r>
      <w:r w:rsidRPr="00582C49">
        <w:instrText xml:space="preserve"> REF _Ref473713712 \h  \* MERGEFORMAT </w:instrText>
      </w:r>
      <w:r w:rsidRPr="00582C49">
        <w:fldChar w:fldCharType="separate"/>
      </w:r>
      <w:r w:rsidRPr="00C103C3">
        <w:t>Figure 2.17</w:t>
      </w:r>
      <w:r w:rsidRPr="00582C49">
        <w:fldChar w:fldCharType="end"/>
      </w:r>
      <w:r w:rsidRPr="00582C49">
        <w:t>)</w:t>
      </w:r>
      <w:r w:rsidRPr="002B6C9E">
        <w:t>. This had a beneficial effect on the nickel grain size with some nickel grains being reported at 1</w:t>
      </w:r>
      <w:r>
        <w:t xml:space="preserve"> </w:t>
      </w:r>
      <w:r w:rsidRPr="002B6C9E">
        <w:t xml:space="preserve">µm in size. The key finding was that after the 800°C annealing stage was that despite the earlier crystallisation, these grains did not increase further in size and remained connected to the scaffold. This underlines the importance that the porous ceramic backbone has on constricting the nickel sintering process and could prove ideal in improving the durability of </w:t>
      </w:r>
      <w:r w:rsidRPr="00DA408B">
        <w:t xml:space="preserve">infiltrated SOFC anodes. </w:t>
      </w:r>
    </w:p>
    <w:p w14:paraId="4F749B11" w14:textId="77777777" w:rsidR="00186EC6" w:rsidRPr="00DA408B" w:rsidRDefault="00186EC6" w:rsidP="00186EC6">
      <w:pPr>
        <w:jc w:val="both"/>
      </w:pPr>
      <w:r w:rsidRPr="00DA408B">
        <w:t xml:space="preserve">A large amount of the literature focuses on the coarsening of the nickel particles whilst </w:t>
      </w:r>
      <w:proofErr w:type="spellStart"/>
      <w:r w:rsidRPr="00DA408B">
        <w:t>Buyakaksoy</w:t>
      </w:r>
      <w:proofErr w:type="spellEnd"/>
      <w:r w:rsidRPr="00DA408B">
        <w:t xml:space="preserve"> et al has pinpointed interconnectivity loss as a primary degradation mechanism in anode materials</w:t>
      </w:r>
      <w:r>
        <w:t xml:space="preserve"> </w:t>
      </w:r>
      <w:r>
        <w:fldChar w:fldCharType="begin" w:fldLock="1"/>
      </w:r>
      <w:r>
        <w:instrText>ADDIN CSL_CITATION {"citationItems":[{"id":"ITEM-1","itemData":{"DOI":"10.1016/j.jpowsour.2015.12.022","ISBN":"03787753","author":[{"dropping-particle":"","family":"Buyukaksoy","given":"Aligul","non-dropping-particle":"","parse-names":false,"suffix":""},{"dropping-particle":"","family":"Birss","given":"Viola I","non-dropping-particle":"","parse-names":false,"suffix":""}],"container-title":"Journal of Power Sources","id":"ITEM-1","issued":{"date-parts":[["2016"]]},"page":"449-453","title":"Highly active nanoscale Ni - Yttria stabilized zirconia anodes for micro-solid oxide fuel cell applications","type":"article-journal","volume":"307"},"uris":["http://www.mendeley.com/documents/?uuid=e3c63d98-1088-45eb-b52c-252427604655"]},{"id":"ITEM-2","itemData":{"DOI":"10.1149/2.050206jes","ISBN":"0013-4651","ISSN":"0013-4651","abstract":"The long term performance of SOFC with nanocomposite Ni-YSZ anode and LSM-YSZ cathode was reported. The SOFC was prepared by infiltrating polymeric precursors of NiO and LSM from anode and cathode sides respectively. The fuel cell showed relatively high initial performance (0.49 Watt/cm(2) at 800 degrees C) for the given electrolyte thickness (similar to 170 mu m). Long term stability tests showed that the power density dropped to 0.41 Watt/cm(2) in the first 60 hours of operation in short circuit conditions and no further change in the power density was observed. Low electrode polarization resistance was obtained (similar to 0.080 Ohm.cm(2) for combined anode and cathode at 800 degrees C) which showed no significant change with prolonged time. The slight drop in power density was related to the change in ohmic resistance which was attributed to the increase in current collection resistance. The fact that the majority of the resistance was due to the electrolyte resistance (similar to 80%) suggests that stable SOFCs with high power densities could be achieved with thinner electrolytes. After &gt; 100 hours of operation at 800 degrees C in short circuit conditions, the fuel cell was measured at higher temperatures. Power densities were 0.71 Watt/cm(2) and 1.0 Watt/cm(2) at 900 degrees C and 1000 degrees C, respectively. (C) 2012 The Electrochemical Society. DOI: 10.1149/2.050206jes] All rights reserved.","author":[{"dropping-particle":"","family":"Buyukaksoy","given":"Aligul","non-dropping-particle":"","parse-names":false,"suffix":""},{"dropping-particle":"","family":"Petrovsky","given":"Vladimir","non-dropping-particle":"","parse-names":false,"suffix":""},{"dropping-particle":"","family":"Dogan","given":"Fatih","non-dropping-particle":"","parse-names":false,"suffix":""}],"container-title":"Journal of The Electrochemical Society","id":"ITEM-2","issue":"6","issued":{"date-parts":[["2012"]]},"page":"B666-B669","title":"Stability and Performance of Solid Oxide Fuel Cells with Nanocomposite Electrodes","type":"article-journal","volume":"159"},"uris":["http://www.mendeley.com/documents/?uuid=a98e9984-3cde-4e37-a2e6-95fe9af1d1c2"]}],"mendeley":{"formattedCitation":"[246], [247]","plainTextFormattedCitation":"[246], [247]","previouslyFormattedCitation":"[246], [247]"},"properties":{"noteIndex":0},"schema":"https://github.com/citation-style-language/schema/raw/master/csl-citation.json"}</w:instrText>
      </w:r>
      <w:r>
        <w:fldChar w:fldCharType="separate"/>
      </w:r>
      <w:r w:rsidRPr="006C586A">
        <w:rPr>
          <w:noProof/>
        </w:rPr>
        <w:t>[246], [247]</w:t>
      </w:r>
      <w:r>
        <w:fldChar w:fldCharType="end"/>
      </w:r>
      <w:r w:rsidRPr="00DA408B">
        <w:t>. This factor has been relatively unexplored in the literature with Tao et al also investigating the effect of precursor solution on the distribution of catalyst particles</w:t>
      </w:r>
      <w:r>
        <w:t xml:space="preserve"> </w:t>
      </w:r>
      <w:r>
        <w:fldChar w:fldCharType="begin" w:fldLock="1"/>
      </w:r>
      <w:r>
        <w:instrText>ADDIN CSL_CITATION {"citationItems":[{"id":"ITEM-1","itemData":{"DOI":"10.1016/j.fuel.2015.10.023","ISSN":"00162361","abstract":"A series of SBA-15-supported Ni catalysts were prepared by incipient-wetness impregnation with different nickel nitrate solutions and applied in the CO methanation reaction for the production of synthetic natural gas (SNG). The catalysts were also characterized using X-ray diffraction (XRD), N2physisorption measurements, hydrogen temperature-programmed reduction (H2-TPR), CO chemisorption, CO temperature-programmed desorption (CO-TPD) and transmission electron microscope (TEM). The results showed that the impregnation solvent influenced the catalytic activity in the CO methanation. The catalyst 20%Ni/SBA-15(ET) prepared from ethanol solution exhibited the highest activity with 100% CO conversion and 95% CH4yield at 300 °C under 0.3 MPa. The effect of impregnation solvents could be related to the polarities of solvents and the solubility of nickel nitrate. The decreased polarity of the solvent caused an increase in the interaction between the nickel complex and silica surface, which would promote the fixation of the precursor onto the silica support and increase the nickel dispersion. As a result, the activity of the catalysts was improved effectively. The lifetime test also indicated that Ni based SBA-15 catalysts had a good catalytic stability. This was because of the stronger interaction between Ni and support.","author":[{"dropping-particle":"","family":"Tao","given":"Miao","non-dropping-particle":"","parse-names":false,"suffix":""},{"dropping-particle":"","family":"Meng","given":"Xin","non-dropping-particle":"","parse-names":false,"suffix":""},{"dropping-particle":"","family":"Lv","given":"Yuhao","non-dropping-particle":"","parse-names":false,"suffix":""},{"dropping-particle":"","family":"Bian","given":"Zhicheng","non-dropping-particle":"","parse-names":false,"suffix":""},{"dropping-particle":"","family":"Xin","given":"Zhong","non-dropping-particle":"","parse-names":false,"suffix":""}],"container-title":"Fuel","id":"ITEM-1","issue":"130","issued":{"date-parts":[["2016"]]},"page":"289-297","publisher":"Elsevier Ltd","title":"Effect of impregnation solvent on Ni dispersion and catalytic properties of Ni/SBA-15 for CO methanation reaction","type":"article-journal","volume":"165"},"uris":["http://www.mendeley.com/documents/?uuid=aba7659c-9488-4da5-acfe-3d8b5c49749a"]}],"mendeley":{"formattedCitation":"[248]","plainTextFormattedCitation":"[248]","previouslyFormattedCitation":"[248]"},"properties":{"noteIndex":0},"schema":"https://github.com/citation-style-language/schema/raw/master/csl-citation.json"}</w:instrText>
      </w:r>
      <w:r>
        <w:fldChar w:fldCharType="separate"/>
      </w:r>
      <w:r w:rsidRPr="006C586A">
        <w:rPr>
          <w:noProof/>
        </w:rPr>
        <w:t>[248]</w:t>
      </w:r>
      <w:r>
        <w:fldChar w:fldCharType="end"/>
      </w:r>
      <w:r w:rsidRPr="00DA408B">
        <w:t xml:space="preserve">. </w:t>
      </w:r>
    </w:p>
    <w:p w14:paraId="7A11B643" w14:textId="77777777" w:rsidR="00186EC6" w:rsidRDefault="00186EC6" w:rsidP="004B726A">
      <w:pPr>
        <w:jc w:val="both"/>
      </w:pPr>
    </w:p>
    <w:p w14:paraId="4B10D204" w14:textId="77777777" w:rsidR="00007F6C" w:rsidRPr="002B6C9E" w:rsidRDefault="00007F6C" w:rsidP="004B726A">
      <w:pPr>
        <w:jc w:val="center"/>
      </w:pPr>
      <w:r w:rsidRPr="002B6C9E">
        <w:rPr>
          <w:noProof/>
          <w:lang w:eastAsia="en-GB"/>
        </w:rPr>
        <w:lastRenderedPageBreak/>
        <w:drawing>
          <wp:inline distT="0" distB="0" distL="0" distR="0" wp14:anchorId="2B42EB5E" wp14:editId="3C4444E2">
            <wp:extent cx="5400000" cy="3843416"/>
            <wp:effectExtent l="0" t="0" r="0" b="5080"/>
            <wp:docPr id="20" name="Picture 20" descr="Scanning electron microscope images of Anode B. (a) Top-down surface, (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anning electron microscope images of Anode B. (a) Top-down surface, (b) ..."/>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0000" cy="3843416"/>
                    </a:xfrm>
                    <a:prstGeom prst="rect">
                      <a:avLst/>
                    </a:prstGeom>
                    <a:noFill/>
                    <a:ln>
                      <a:noFill/>
                    </a:ln>
                  </pic:spPr>
                </pic:pic>
              </a:graphicData>
            </a:graphic>
          </wp:inline>
        </w:drawing>
      </w:r>
    </w:p>
    <w:p w14:paraId="5F55B161" w14:textId="3E660573" w:rsidR="00007F6C" w:rsidRPr="00582C49" w:rsidRDefault="00007F6C" w:rsidP="004B726A">
      <w:pPr>
        <w:jc w:val="center"/>
        <w:rPr>
          <w:i/>
          <w:iCs/>
          <w:color w:val="44546A" w:themeColor="text2"/>
          <w:sz w:val="18"/>
          <w:szCs w:val="18"/>
        </w:rPr>
      </w:pPr>
      <w:bookmarkStart w:id="113" w:name="_Ref473713712"/>
      <w:bookmarkStart w:id="114" w:name="_Toc69114929"/>
      <w:r w:rsidRPr="00582C49">
        <w:rPr>
          <w:i/>
          <w:iCs/>
          <w:color w:val="44546A" w:themeColor="text2"/>
          <w:sz w:val="18"/>
          <w:szCs w:val="18"/>
        </w:rPr>
        <w:t>Figure 2.</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804219">
        <w:rPr>
          <w:i/>
          <w:iCs/>
          <w:noProof/>
          <w:color w:val="44546A" w:themeColor="text2"/>
          <w:sz w:val="18"/>
          <w:szCs w:val="18"/>
        </w:rPr>
        <w:t>17</w:t>
      </w:r>
      <w:r w:rsidR="00285C23">
        <w:rPr>
          <w:i/>
          <w:iCs/>
          <w:color w:val="44546A" w:themeColor="text2"/>
          <w:sz w:val="18"/>
          <w:szCs w:val="18"/>
        </w:rPr>
        <w:fldChar w:fldCharType="end"/>
      </w:r>
      <w:bookmarkEnd w:id="113"/>
      <w:r w:rsidRPr="00582C49">
        <w:rPr>
          <w:i/>
          <w:iCs/>
          <w:color w:val="44546A" w:themeColor="text2"/>
          <w:sz w:val="18"/>
          <w:szCs w:val="18"/>
        </w:rPr>
        <w:t>: A set field-emission scanning electron micrograph of the as-prepared YSZ scaffold with nickel particles. Images a and b detail the microstructure in the as reduced state. [(a.) top-down view and (b.) cross-section] Images c and d show the microstructure of the sample after the 500-800°C annealing step</w:t>
      </w:r>
      <w:r w:rsidR="003F07C7">
        <w:rPr>
          <w:i/>
          <w:iCs/>
          <w:color w:val="44546A" w:themeColor="text2"/>
          <w:sz w:val="18"/>
          <w:szCs w:val="18"/>
        </w:rPr>
        <w:t xml:space="preserve"> </w:t>
      </w:r>
      <w:r w:rsidR="003F07C7">
        <w:t xml:space="preserve"> </w:t>
      </w:r>
      <w:r w:rsidR="003F07C7" w:rsidRPr="003F07C7">
        <w:rPr>
          <w:sz w:val="18"/>
          <w:szCs w:val="18"/>
        </w:rPr>
        <w:fldChar w:fldCharType="begin" w:fldLock="1"/>
      </w:r>
      <w:r w:rsidR="00D80A5D">
        <w:rPr>
          <w:sz w:val="18"/>
          <w:szCs w:val="18"/>
        </w:rPr>
        <w:instrText>ADDIN CSL_CITATION {"citationItems":[{"id":"ITEM-1","itemData":{"DOI":"10.1016/j.jpowsour.2015.12.022","ISBN":"03787753","author":[{"dropping-particle":"","family":"Buyukaksoy","given":"Aligul","non-dropping-particle":"","parse-names":false,"suffix":""},{"dropping-particle":"","family":"Birss","given":"Viola I","non-dropping-particle":"","parse-names":false,"suffix":""}],"container-title":"Journal of Power Sources","id":"ITEM-1","issued":{"date-parts":[["2016"]]},"page":"449-453","title":"Highly active nanoscale Ni - Yttria stabilized zirconia anodes for micro-solid oxide fuel cell applications","type":"article-journal","volume":"307"},"uris":["http://www.mendeley.com/documents/?uuid=e3c63d98-1088-45eb-b52c-252427604655"]},{"id":"ITEM-2","itemData":{"DOI":"10.1149/2.050206jes","ISBN":"0013-4651","ISSN":"0013-4651","abstract":"The long term performance of SOFC with nanocomposite Ni-YSZ anode and LSM-YSZ cathode was reported. The SOFC was prepared by infiltrating polymeric precursors of NiO and LSM from anode and cathode sides respectively. The fuel cell showed relatively high initial performance (0.49 Watt/cm(2) at 800 degrees C) for the given electrolyte thickness (similar to 170 mu m). Long term stability tests showed that the power density dropped to 0.41 Watt/cm(2) in the first 60 hours of operation in short circuit conditions and no further change in the power density was observed. Low electrode polarization resistance was obtained (similar to 0.080 Ohm.cm(2) for combined anode and cathode at 800 degrees C) which showed no significant change with prolonged time. The slight drop in power density was related to the change in ohmic resistance which was attributed to the increase in current collection resistance. The fact that the majority of the resistance was due to the electrolyte resistance (similar to 80%) suggests that stable SOFCs with high power densities could be achieved with thinner electrolytes. After &gt; 100 hours of operation at 800 degrees C in short circuit conditions, the fuel cell was measured at higher temperatures. Power densities were 0.71 Watt/cm(2) and 1.0 Watt/cm(2) at 900 degrees C and 1000 degrees C, respectively. (C) 2012 The Electrochemical Society. DOI: 10.1149/2.050206jes] All rights reserved.","author":[{"dropping-particle":"","family":"Buyukaksoy","given":"Aligul","non-dropping-particle":"","parse-names":false,"suffix":""},{"dropping-particle":"","family":"Petrovsky","given":"Vladimir","non-dropping-particle":"","parse-names":false,"suffix":""},{"dropping-particle":"","family":"Dogan","given":"Fatih","non-dropping-particle":"","parse-names":false,"suffix":""}],"container-title":"Journal of The Electrochemical Society","id":"ITEM-2","issue":"6","issued":{"date-parts":[["2012"]]},"page":"B666-B669","title":"Stability and Performance of Solid Oxide Fuel Cells with Nanocomposite Electrodes","type":"article-journal","volume":"159"},"uris":["http://www.mendeley.com/documents/?uuid=a98e9984-3cde-4e37-a2e6-95fe9af1d1c2"]}],"mendeley":{"formattedCitation":"[246], [247]","plainTextFormattedCitation":"[246], [247]","previouslyFormattedCitation":"[246], [247]"},"properties":{"noteIndex":0},"schema":"https://github.com/citation-style-language/schema/raw/master/csl-citation.json"}</w:instrText>
      </w:r>
      <w:r w:rsidR="003F07C7" w:rsidRPr="003F07C7">
        <w:rPr>
          <w:sz w:val="18"/>
          <w:szCs w:val="18"/>
        </w:rPr>
        <w:fldChar w:fldCharType="separate"/>
      </w:r>
      <w:r w:rsidR="006C586A" w:rsidRPr="006C586A">
        <w:rPr>
          <w:noProof/>
          <w:sz w:val="18"/>
          <w:szCs w:val="18"/>
        </w:rPr>
        <w:t>[246], [247]</w:t>
      </w:r>
      <w:bookmarkEnd w:id="114"/>
      <w:r w:rsidR="003F07C7" w:rsidRPr="003F07C7">
        <w:rPr>
          <w:sz w:val="18"/>
          <w:szCs w:val="18"/>
        </w:rPr>
        <w:fldChar w:fldCharType="end"/>
      </w:r>
      <w:r w:rsidRPr="003F07C7">
        <w:rPr>
          <w:i/>
          <w:iCs/>
          <w:color w:val="44546A" w:themeColor="text2"/>
          <w:sz w:val="14"/>
          <w:szCs w:val="14"/>
        </w:rPr>
        <w:t xml:space="preserve"> </w:t>
      </w:r>
    </w:p>
    <w:p w14:paraId="311FC725" w14:textId="1D612CF8" w:rsidR="00007F6C" w:rsidRDefault="004B726A" w:rsidP="005129DC">
      <w:pPr>
        <w:pStyle w:val="Heading2"/>
      </w:pPr>
      <w:bookmarkStart w:id="115" w:name="_Toc69129369"/>
      <w:bookmarkEnd w:id="88"/>
      <w:r>
        <w:t xml:space="preserve">2.4 </w:t>
      </w:r>
      <w:r w:rsidR="00007F6C">
        <w:t xml:space="preserve">Sintering Characterisation </w:t>
      </w:r>
      <w:r w:rsidR="00E53F5F">
        <w:t>M</w:t>
      </w:r>
      <w:r w:rsidR="00007F6C">
        <w:t>ethods for SOFCs</w:t>
      </w:r>
      <w:bookmarkEnd w:id="115"/>
    </w:p>
    <w:p w14:paraId="2B27B5FA" w14:textId="77777777" w:rsidR="00007F6C" w:rsidRDefault="00007F6C" w:rsidP="004B726A">
      <w:pPr>
        <w:jc w:val="both"/>
      </w:pPr>
      <w:r>
        <w:t xml:space="preserve">Reducing the rate of electrocatalyst sintering in electrodes has been a key objective for the SOFC field in the past decade. The shift from analysing the REDOX stability of the cells in the past decade to </w:t>
      </w:r>
      <w:r w:rsidRPr="00AC7F7A">
        <w:t>phase quantification of the catalyst</w:t>
      </w:r>
      <w:r>
        <w:t xml:space="preserve"> in using interrupted ex-situ imaging.</w:t>
      </w:r>
    </w:p>
    <w:p w14:paraId="2D7D0200" w14:textId="77777777" w:rsidR="00007F6C" w:rsidRDefault="00007F6C" w:rsidP="005129DC">
      <w:pPr>
        <w:pStyle w:val="Heading3"/>
      </w:pPr>
      <w:bookmarkStart w:id="116" w:name="_Toc69129370"/>
      <w:r>
        <w:t>2.4.1</w:t>
      </w:r>
      <w:r>
        <w:tab/>
        <w:t>Sintering Characterisation</w:t>
      </w:r>
      <w:bookmarkEnd w:id="116"/>
    </w:p>
    <w:p w14:paraId="2FC28D19" w14:textId="77777777" w:rsidR="00007F6C" w:rsidRDefault="00007F6C" w:rsidP="004B726A">
      <w:pPr>
        <w:jc w:val="both"/>
      </w:pPr>
      <w:r>
        <w:t xml:space="preserve">For the sintering and fuel electrode deactivation mechanisms in SOFCs to be fully understood; infiltrated fuel electrodes require a suite of techniques which can monitor the microstructural changes associated with coarsening. </w:t>
      </w:r>
    </w:p>
    <w:p w14:paraId="55ABBC6A" w14:textId="77777777" w:rsidR="00007F6C" w:rsidRDefault="00007F6C" w:rsidP="004B726A">
      <w:pPr>
        <w:jc w:val="both"/>
      </w:pPr>
      <w:r>
        <w:t>These methods can be split into four subsections:</w:t>
      </w:r>
    </w:p>
    <w:p w14:paraId="38682186" w14:textId="77777777" w:rsidR="00007F6C" w:rsidRDefault="00007F6C" w:rsidP="004B726A">
      <w:pPr>
        <w:numPr>
          <w:ilvl w:val="0"/>
          <w:numId w:val="14"/>
        </w:numPr>
        <w:spacing w:after="0"/>
        <w:jc w:val="both"/>
      </w:pPr>
      <w:r>
        <w:t>Model electrode systems</w:t>
      </w:r>
    </w:p>
    <w:p w14:paraId="0DDAE48E" w14:textId="77777777" w:rsidR="00007F6C" w:rsidRDefault="00007F6C" w:rsidP="004B726A">
      <w:pPr>
        <w:numPr>
          <w:ilvl w:val="0"/>
          <w:numId w:val="14"/>
        </w:numPr>
        <w:spacing w:after="0"/>
        <w:jc w:val="both"/>
      </w:pPr>
      <w:r>
        <w:t>Microstructural quantification</w:t>
      </w:r>
    </w:p>
    <w:p w14:paraId="217ECB05" w14:textId="77777777" w:rsidR="00007F6C" w:rsidRDefault="00007F6C" w:rsidP="004B726A">
      <w:pPr>
        <w:numPr>
          <w:ilvl w:val="0"/>
          <w:numId w:val="14"/>
        </w:numPr>
        <w:spacing w:after="0"/>
        <w:jc w:val="both"/>
      </w:pPr>
      <w:r>
        <w:t>Electrochemical property testing</w:t>
      </w:r>
    </w:p>
    <w:p w14:paraId="183F3178" w14:textId="77777777" w:rsidR="00007F6C" w:rsidRDefault="00007F6C" w:rsidP="004B726A">
      <w:pPr>
        <w:numPr>
          <w:ilvl w:val="0"/>
          <w:numId w:val="14"/>
        </w:numPr>
        <w:jc w:val="both"/>
      </w:pPr>
      <w:r>
        <w:t>Structural Analysis</w:t>
      </w:r>
    </w:p>
    <w:p w14:paraId="4B599A57" w14:textId="77777777" w:rsidR="00007F6C" w:rsidRDefault="00007F6C" w:rsidP="004B726A">
      <w:pPr>
        <w:jc w:val="both"/>
      </w:pPr>
      <w:r w:rsidRPr="00401EAB">
        <w:t xml:space="preserve">One of the key challenges with characterising the </w:t>
      </w:r>
      <w:r>
        <w:t>degradation phenomena present in infiltrated SOFC fuel electrodes is that monitoring a specimen in-situ is extremely difficult. With the high operating temperatures and corrosive conditions present at the active TPBs phase boundaries, few characterisation techniques can accurately probe what is changing. Spectroscopic measurement techniques such as electrochemical impedance spectroscopy is invaluable at showing changes in anode functional properties during operation.</w:t>
      </w:r>
    </w:p>
    <w:p w14:paraId="4782DBF7" w14:textId="77777777" w:rsidR="00007F6C" w:rsidRDefault="00007F6C" w:rsidP="004B726A">
      <w:pPr>
        <w:jc w:val="both"/>
      </w:pPr>
      <w:r>
        <w:lastRenderedPageBreak/>
        <w:t>Linking the microstructural changes in the fuel electrode and their electrochemical properties is key to determining the rate limiting step present in infiltrated SOFC anodes. This underlines the importance of combining structural, microscopic, and spectroscopic methods to monitor the phases present in the anode.</w:t>
      </w:r>
    </w:p>
    <w:p w14:paraId="023D5CD7" w14:textId="77777777" w:rsidR="00007F6C" w:rsidRPr="002B6C9E" w:rsidRDefault="00007F6C" w:rsidP="004B726A">
      <w:pPr>
        <w:jc w:val="both"/>
      </w:pPr>
      <w:r w:rsidRPr="00324D81">
        <w:rPr>
          <w:color w:val="000000" w:themeColor="text1"/>
        </w:rPr>
        <w:t xml:space="preserve">This </w:t>
      </w:r>
      <w:r>
        <w:rPr>
          <w:color w:val="000000" w:themeColor="text1"/>
        </w:rPr>
        <w:t>section</w:t>
      </w:r>
      <w:r w:rsidRPr="00324D81">
        <w:rPr>
          <w:color w:val="000000" w:themeColor="text1"/>
        </w:rPr>
        <w:t xml:space="preserve"> of the document discusses the use of different characterisation techniques in terms of post fabrication analysis with a view to critiquing how useful each of the techniques are and how they</w:t>
      </w:r>
      <w:r>
        <w:t xml:space="preserve"> assess the sample.</w:t>
      </w:r>
    </w:p>
    <w:p w14:paraId="071F49E0" w14:textId="58BFD39F" w:rsidR="00007F6C" w:rsidRPr="002B6C9E" w:rsidRDefault="00007F6C" w:rsidP="004B726A">
      <w:pPr>
        <w:jc w:val="both"/>
      </w:pPr>
      <w:r w:rsidRPr="002B6C9E">
        <w:t xml:space="preserve">The spectroscopic measurement techniques have been split into their respective analysis media with </w:t>
      </w:r>
      <w:r>
        <w:t>Sections 2.4.2-2.4.4</w:t>
      </w:r>
      <w:r w:rsidRPr="002B6C9E">
        <w:t xml:space="preserve"> detailing electron and </w:t>
      </w:r>
      <w:r>
        <w:t>X</w:t>
      </w:r>
      <w:r w:rsidRPr="002B6C9E">
        <w:t xml:space="preserve">-ray characterisation techniques, respectively. The determination and assessment of functional properties such as the line specific resistance and </w:t>
      </w:r>
      <w:proofErr w:type="spellStart"/>
      <w:r w:rsidRPr="002B6C9E">
        <w:t>TPB</w:t>
      </w:r>
      <w:r w:rsidRPr="002B6C9E">
        <w:rPr>
          <w:vertAlign w:val="subscript"/>
        </w:rPr>
        <w:t>l</w:t>
      </w:r>
      <w:proofErr w:type="spellEnd"/>
      <w:r w:rsidRPr="002B6C9E">
        <w:t xml:space="preserve"> are also discussed</w:t>
      </w:r>
      <w:r w:rsidR="00135F70">
        <w:t>.</w:t>
      </w:r>
    </w:p>
    <w:p w14:paraId="5661B878" w14:textId="77777777" w:rsidR="00007F6C" w:rsidRPr="002B6C9E" w:rsidRDefault="00007F6C" w:rsidP="005129DC">
      <w:pPr>
        <w:pStyle w:val="Heading3"/>
      </w:pPr>
      <w:bookmarkStart w:id="117" w:name="_Ref469054825"/>
      <w:bookmarkStart w:id="118" w:name="_Ref469056672"/>
      <w:bookmarkStart w:id="119" w:name="_Toc474489931"/>
      <w:bookmarkStart w:id="120" w:name="_Toc69129371"/>
      <w:r>
        <w:t>2.4.2</w:t>
      </w:r>
      <w:r>
        <w:tab/>
      </w:r>
      <w:r w:rsidRPr="002B6C9E">
        <w:t>Microstructural Imaging</w:t>
      </w:r>
      <w:bookmarkEnd w:id="117"/>
      <w:bookmarkEnd w:id="118"/>
      <w:bookmarkEnd w:id="119"/>
      <w:bookmarkEnd w:id="120"/>
    </w:p>
    <w:p w14:paraId="7DEEB6DC" w14:textId="77777777" w:rsidR="00007F6C" w:rsidRPr="002B6C9E" w:rsidRDefault="00007F6C" w:rsidP="005129DC">
      <w:pPr>
        <w:pStyle w:val="TOC2"/>
        <w:rPr>
          <w:i/>
        </w:rPr>
      </w:pPr>
      <w:r w:rsidRPr="002B6C9E">
        <w:t xml:space="preserve">This section discusses the impact of qualitative imaging techniques on characterising the arrangement of the fuel electrode with many of the methods </w:t>
      </w:r>
      <w:r>
        <w:t xml:space="preserve">utilising </w:t>
      </w:r>
      <w:r w:rsidRPr="002B6C9E">
        <w:t>an electron as the investigative species.</w:t>
      </w:r>
      <w:r>
        <w:t xml:space="preserve"> In the past decade of SOFC research microstructural imaging has transitioned from qualitative assessment into phase quantification of the microstructure changes in SOFCs.</w:t>
      </w:r>
    </w:p>
    <w:p w14:paraId="49EA20B0" w14:textId="77777777" w:rsidR="00007F6C" w:rsidRPr="00582C49" w:rsidRDefault="00007F6C" w:rsidP="005129DC">
      <w:pPr>
        <w:pStyle w:val="Heading4"/>
        <w:rPr>
          <w:rStyle w:val="EndNoteCategoryHeadingChar"/>
          <w:b w:val="0"/>
          <w:noProof w:val="0"/>
          <w:color w:val="1F3763" w:themeColor="accent1" w:themeShade="7F"/>
          <w:sz w:val="24"/>
          <w:szCs w:val="24"/>
          <w:lang w:val="en-GB"/>
        </w:rPr>
      </w:pPr>
      <w:bookmarkStart w:id="121" w:name="_Toc474489932"/>
      <w:r w:rsidRPr="00582C49">
        <w:rPr>
          <w:rStyle w:val="EndNoteCategoryHeadingChar"/>
          <w:b w:val="0"/>
          <w:noProof w:val="0"/>
          <w:color w:val="1F3763" w:themeColor="accent1" w:themeShade="7F"/>
          <w:sz w:val="24"/>
          <w:szCs w:val="24"/>
          <w:lang w:val="en-GB"/>
        </w:rPr>
        <w:t>2.4.2.1</w:t>
      </w:r>
      <w:r w:rsidRPr="00582C49">
        <w:rPr>
          <w:rStyle w:val="EndNoteCategoryHeadingChar"/>
          <w:b w:val="0"/>
          <w:noProof w:val="0"/>
          <w:color w:val="1F3763" w:themeColor="accent1" w:themeShade="7F"/>
          <w:sz w:val="24"/>
          <w:szCs w:val="24"/>
          <w:lang w:val="en-GB"/>
        </w:rPr>
        <w:tab/>
        <w:t>Scanning Electron Microscopy /Energy Dispersive X-ray analysis</w:t>
      </w:r>
      <w:bookmarkEnd w:id="121"/>
      <w:r w:rsidRPr="00582C49">
        <w:rPr>
          <w:rStyle w:val="EndNoteCategoryHeadingChar"/>
          <w:b w:val="0"/>
          <w:noProof w:val="0"/>
          <w:color w:val="1F3763" w:themeColor="accent1" w:themeShade="7F"/>
          <w:sz w:val="24"/>
          <w:szCs w:val="24"/>
          <w:lang w:val="en-GB"/>
        </w:rPr>
        <w:t xml:space="preserve"> (SEM/EDX)</w:t>
      </w:r>
    </w:p>
    <w:p w14:paraId="35F4E910" w14:textId="77777777" w:rsidR="00007F6C" w:rsidRPr="002B6C9E" w:rsidRDefault="00007F6C" w:rsidP="005129DC">
      <w:pPr>
        <w:jc w:val="both"/>
      </w:pPr>
      <w:r w:rsidRPr="002B6C9E">
        <w:t xml:space="preserve">A large segment of the characterisation techniques that are used to analyse infiltrated IT-SFOC anodes largely focus on imaging the microstructure of the system. Scanning and transmission electron microscopy are used for the qualitative imaging of the electrode surface in nearly every piece of anode degradation literature. </w:t>
      </w:r>
    </w:p>
    <w:p w14:paraId="0F9DDE96" w14:textId="77777777" w:rsidR="00007F6C" w:rsidRPr="002B6C9E" w:rsidRDefault="00007F6C" w:rsidP="005129DC">
      <w:pPr>
        <w:jc w:val="both"/>
      </w:pPr>
      <w:r w:rsidRPr="002B6C9E">
        <w:t xml:space="preserve">Some scanning electron microscopes utilise Energy Dispersive Spectroscopy or Energy Dispersive X-ray analysis (EDS/EDX) to provide a reading of what elements are present in a sample and can map how they are distributed across the sample. However, this technique is thought not to be viable for assessing infiltrated </w:t>
      </w:r>
      <w:r>
        <w:t>SOFC</w:t>
      </w:r>
      <w:r w:rsidRPr="002B6C9E">
        <w:t xml:space="preserve"> anodes as the interaction volume of the scanning electron is much greater in comparison than the volume of NP catalysts being assessed.</w:t>
      </w:r>
    </w:p>
    <w:p w14:paraId="3670D6D1" w14:textId="45AC2E9A" w:rsidR="00007F6C" w:rsidRPr="002B6C9E" w:rsidRDefault="00007F6C" w:rsidP="005129DC">
      <w:pPr>
        <w:jc w:val="both"/>
      </w:pPr>
      <w:r w:rsidRPr="002B6C9E">
        <w:t xml:space="preserve">Despite this issue </w:t>
      </w:r>
      <w:r>
        <w:rPr>
          <w:i/>
          <w:iCs/>
        </w:rPr>
        <w:t>Jasinski</w:t>
      </w:r>
      <w:r w:rsidRPr="002B6C9E">
        <w:rPr>
          <w:i/>
          <w:iCs/>
        </w:rPr>
        <w:t xml:space="preserve"> et al </w:t>
      </w:r>
      <w:r w:rsidRPr="002B6C9E">
        <w:t>successfully demonstrated in 2010 that EDX can used on wet impregnated Ni/YSZ anode samples. A pulverised nickel infiltrated Ni/YSZ pellet was assessed in this manner and produced a reading that had two very large peaks corresponding to Ni and Zr. Other elements such as oxygen were also identified. The presence of yttrium was not acknowledged in the resultant spectra by the authors, but this could be due to the EDX peak for this element either overlapping or being covered by that of zircon</w:t>
      </w:r>
      <w:r>
        <w:t xml:space="preserve"> </w:t>
      </w:r>
      <w:r>
        <w:fldChar w:fldCharType="begin" w:fldLock="1"/>
      </w:r>
      <w:r w:rsidR="00D80A5D">
        <w:instrText>ADDIN CSL_CITATION {"citationItems":[{"id":"ITEM-1","itemData":{"DOI":"10.1016/j.jpowsour.2010.03.050","ISBN":"03787753 (ISSN)","ISSN":"03787753","abstract":"Ceramic-metal composites (cermets) containing yttria-stabilized zirconia, YSZ, and Ni particles are commonly used as anode materials in solid oxide fuel cells. The long-term performance of fuel cells is strictly related to both the structural and electrical properties of anode materials. In order to achieve high mixed electrical conductivity and high activity of electrochemical reactions and hydrocarbon fuel reforming, it is necessary to select an appropriate chemical composition and a suitable method of preparation. Materials containing 8 mol% yttria-stabilized zirconia and Ni were prepared by means of two methods: co-precipitation and impregnation. The structure of the materials was characterized by means of X-ray diffraction (XRD), scanning electron microscopy (SEM) and porosity studies. The thermal expansion coefficient (TEC) was determined using the dilathometric method. Electrochemical impedance spectroscopy (EIS) and the Wagner polarization method were used to determine electrical conductivity and the electron transference numbers, respectively. © 2010 Elsevier B.V. All rights reserved.","author":[{"dropping-particle":"","family":"Jasinski","given":"M.","non-dropping-particle":"","parse-names":false,"suffix":""},{"dropping-particle":"","family":"Radecka","given":"M.","non-dropping-particle":"","parse-names":false,"suffix":""},{"dropping-particle":"","family":"Rekas","given":"M.","non-dropping-particle":"","parse-names":false,"suffix":""},{"dropping-particle":"","family":"Pasierb","given":"P.","non-dropping-particle":"","parse-names":false,"suffix":""},{"dropping-particle":"","family":"Haberko","given":"K.","non-dropping-particle":"","parse-names":false,"suffix":""}],"container-title":"Journal of Power Sources","id":"ITEM-1","issue":"17","issued":{"date-parts":[["2010"]]},"language":"English","note":"Cited By :19\nExport Date: 28 November 2016\nCODEN: JPSOD\nCorrespondence Address: Rekas, M.; AGH University of Science and Technology, Faculty of Materials Science and Ceramics, al.Mickiewicza 30, 30-059 Cracow, Poland; email: rekas@agh.edu.pl\nReferences: Minh, N.Q., Takahashi, T., (1995) Science and Technology of Ceramic Fuel Cells, , Elsevier, Amsterdam; Yano, M., Tomita, A., Sano, M., Hibino, T., (2007) Solid State Ionics, 177, p. 3351; Van Rij, L.N., Le, J., Van Landschoot, Schoonman, J., (2001) J. Mater. Sci., 36, p. 1069; Park, S., Craciun, R., Vohs, J.M., Gorte, J., (1999) J. Electrochem. Soc., 146, p. 3603; Iida, T., Kawano, M., Matsui, T., Kikuchi, R., Eguchi, K., (2007) J. Electrochem. Soc., 154, pp. B234; Sarantaridis, D., Atkinson, A., (2007) Fuel cells, 7, p. 246; Tsepis, E.V., Kharton, V.V., (2008) J. Solid State Electrochem., 12, p. 1039; Zhu, W.Z., Deevi, S.C., (2003) Mater. Sci. Eng. A, 362, p. 228; Nait-Ali, B., Haberko, K., Vesteghem, H., Absi, J., Smith, D.S., (2006) J. Eur. Ceram. Soc., 26, p. 3567; Abe, H., Moon, W.-J., Naito, M., (2006) Fuel Cells Bull., p. 12; Chen, Y.-Y., Wei, W.-Ch.J., (2006) Solid State Ionics, 177, p. 351; Liu, B., Zhang, Y., Tu, B., Dong, Y., Cheng, M., (2007) J. Power Sources, 165, p. 114; Lang, M., Auer, C., Eismann, A., Szabo, P., Wagner, N., (2008) Electrochim. Acta, 53, p. 7509; West, R.W., Tallan, N.M., (1965) J. Appl. Phys., 36, p. 543; Lee, J.-H., Heo, J.-W., Lee, D.-S., Kim, J., Kim, G.-H., Lee, H.-W., Song, H.S., Moon, J.-H., (2003) Solid State Ionics, 158, p. 225; Abe, H., Murata, K., Moon, W.-J., Kaneko, K., Nito, M., (2006) Fuel Cell Bull., p. 12; Minh, N.Q., (1993) J. Am. Ceram. Soc., 76, p. 563; Kim, S.-D., Moon, H., Hyun, S.-H., Moon, J., Kim, J., Lee, H.-W., (2007) Solid State Ionics, 178, p. 1304; Dees, D.W., Claar, T.D., Easler, T.E., Fee, D.C., Mrazek, F.C., (1987) J. Electrochem. Soc., 134, p. 2141; Childs, P.R.N., (2001) Practical Temperature Measurement, , Butterworth-Heinemann p. 172; Bruggeman, D.A.G., (1935) Ann. Phys., 24, p. 636; Baumard, J.F., Abelard, P., (1984) Science and Technology of Zirconia II, Advances in Ceramics, 12, pp. 557-571. , Claussen N., Rühle M., and Heuer A.H. (Eds), American Ceramic Society, Columbus; Pimenov, A., Ulrich, J., Lukenheimer, P., Loidl, A., Rüscher, C.H., (1998) Solid State Ionics, 109, p. 111; Gong, J., Li, Y., Zhang, Z., Tang, Z., (2000) J. Am. Ceram. Soc., 83, p. 648; Martin, M.C., Mecartney, M.L., (2003) Solid State Ionics, 171, p. 67; Wierzbicka, M., Pasierb, P., Rekas, M., (2007) Phys. B, 387, p. 302","page":"5527-5533","title":"Structural and electrical properties of Ni–YSZ cermet materials","type":"article-journal","volume":"195"},"uris":["http://www.mendeley.com/documents/?uuid=121e1dbd-2000-45dd-baca-b07c05b24380"]},{"id":"ITEM-2","itemData":{"DOI":"10.1039/B821304F","ISBN":"1463-9076","abstract":"Up-converted red and green fluorescence has been measured in low-crystallinity Er3+:Y2O3 nanotubes upon IR excitation. A new preparation procedure for thin-walled erbium doped yttria nanotubes using alumina templates as shape defining tools and rare earth nitrates as precursors for a purely thermolytic production of erbium doped yttria was developed. The products with a diameter of approximately 40-50 nm and a wall thickness of only 6-8 nm showed up-converted fluorescence with green and red emission bands when excited at 815 nm. The fluorescence properties are compared to the ones of bulk erbium-doped yttria obtained from the same precursor system.","author":[{"dropping-particle":"","family":"Erk","given":"Christoph","non-dropping-particle":"","parse-names":false,"suffix":""},{"dropping-particle":"","family":"Martin Caba","given":"Sofia","non-dropping-particle":"","parse-names":false,"suffix":""},{"dropping-particle":"","family":"Lange","given":"Holger","non-dropping-particle":"","parse-names":false,"suffix":""},{"dropping-particle":"","family":"Werner","given":"Stefan","non-dropping-particle":"","parse-names":false,"suffix":""},{"dropping-particle":"","family":"Thomsen","given":"Christian","non-dropping-particle":"","parse-names":false,"suffix":""},{"dropping-particle":"","family":"Steinhart","given":"Martin","non-dropping-particle":"","parse-names":false,"suffix":""},{"dropping-particle":"","family":"Berger","given":"Andreas","non-dropping-particle":"","parse-names":false,"suffix":""},{"dropping-particle":"","family":"Schlecht","given":"Sabine","non-dropping-particle":"","parse-names":false,"suffix":""}],"container-title":"Physical Chemistry Chemical Physics","id":"ITEM-2","issue":"19","issued":{"date-parts":[["2009"]]},"page":"3623-3627","publisher":"The Royal Society of Chemistry","title":"Thin-walled Er3+:Y2O3 nanotubes showing up-converted fluorescence","type":"article-journal","volume":"11"},"uris":["http://www.mendeley.com/documents/?uuid=8a638ba8-fa66-4c61-8433-f025a6ab8e54"]}],"mendeley":{"formattedCitation":"[154], [249]","plainTextFormattedCitation":"[154], [249]","previouslyFormattedCitation":"[154], [249]"},"properties":{"noteIndex":0},"schema":"https://github.com/citation-style-language/schema/raw/master/csl-citation.json"}</w:instrText>
      </w:r>
      <w:r>
        <w:fldChar w:fldCharType="separate"/>
      </w:r>
      <w:r w:rsidR="006C586A" w:rsidRPr="006C586A">
        <w:rPr>
          <w:noProof/>
        </w:rPr>
        <w:t>[154], [249]</w:t>
      </w:r>
      <w:r>
        <w:fldChar w:fldCharType="end"/>
      </w:r>
      <w:r w:rsidRPr="002B6C9E">
        <w:t xml:space="preserve">. </w:t>
      </w:r>
    </w:p>
    <w:p w14:paraId="21EDDDDA" w14:textId="7E4094F9" w:rsidR="00007F6C" w:rsidRDefault="00007F6C" w:rsidP="005129DC">
      <w:pPr>
        <w:jc w:val="both"/>
      </w:pPr>
      <w:r w:rsidRPr="002B6C9E">
        <w:t xml:space="preserve">A couple questions arise from the </w:t>
      </w:r>
      <w:r>
        <w:rPr>
          <w:i/>
          <w:iCs/>
        </w:rPr>
        <w:t>Jasinski</w:t>
      </w:r>
      <w:r w:rsidRPr="002B6C9E">
        <w:rPr>
          <w:i/>
          <w:iCs/>
        </w:rPr>
        <w:t xml:space="preserve"> </w:t>
      </w:r>
      <w:r w:rsidRPr="002B6C9E">
        <w:t>investigation comparing wet impregnation against co-precipitation. An interesting observation during this study was that the agglomeration of YSZ was confirmed by SEM to be more widespread in the two infiltrated samples. This could have been due the NPs not being large enough to stop the YSZ clumping phenomena whilst in the CP the nickel in present in the matrix and would form blocking sites. When imaged using SEM it was noted that the co-precipitated YSZ particles were much finer and homogeneous than the infiltrated particles which would co</w:t>
      </w:r>
      <w:r>
        <w:t xml:space="preserve">unter the clumping hypothesis </w:t>
      </w:r>
      <w:r>
        <w:fldChar w:fldCharType="begin" w:fldLock="1"/>
      </w:r>
      <w:r w:rsidR="00D80A5D">
        <w:instrText>ADDIN CSL_CITATION {"citationItems":[{"id":"ITEM-1","itemData":{"DOI":"10.1016/j.jpowsour.2010.03.050","ISBN":"03787753 (ISSN)","ISSN":"03787753","abstract":"Ceramic-metal composites (cermets) containing yttria-stabilized zirconia, YSZ, and Ni particles are commonly used as anode materials in solid oxide fuel cells. The long-term performance of fuel cells is strictly related to both the structural and electrical properties of anode materials. In order to achieve high mixed electrical conductivity and high activity of electrochemical reactions and hydrocarbon fuel reforming, it is necessary to select an appropriate chemical composition and a suitable method of preparation. Materials containing 8 mol% yttria-stabilized zirconia and Ni were prepared by means of two methods: co-precipitation and impregnation. The structure of the materials was characterized by means of X-ray diffraction (XRD), scanning electron microscopy (SEM) and porosity studies. The thermal expansion coefficient (TEC) was determined using the dilathometric method. Electrochemical impedance spectroscopy (EIS) and the Wagner polarization method were used to determine electrical conductivity and the electron transference numbers, respectively. © 2010 Elsevier B.V. All rights reserved.","author":[{"dropping-particle":"","family":"Jasinski","given":"M.","non-dropping-particle":"","parse-names":false,"suffix":""},{"dropping-particle":"","family":"Radecka","given":"M.","non-dropping-particle":"","parse-names":false,"suffix":""},{"dropping-particle":"","family":"Rekas","given":"M.","non-dropping-particle":"","parse-names":false,"suffix":""},{"dropping-particle":"","family":"Pasierb","given":"P.","non-dropping-particle":"","parse-names":false,"suffix":""},{"dropping-particle":"","family":"Haberko","given":"K.","non-dropping-particle":"","parse-names":false,"suffix":""}],"container-title":"Journal of Power Sources","id":"ITEM-1","issue":"17","issued":{"date-parts":[["2010"]]},"language":"English","note":"Cited By :19\nExport Date: 28 November 2016\nCODEN: JPSOD\nCorrespondence Address: Rekas, M.; AGH University of Science and Technology, Faculty of Materials Science and Ceramics, al.Mickiewicza 30, 30-059 Cracow, Poland; email: rekas@agh.edu.pl\nReferences: Minh, N.Q., Takahashi, T., (1995) Science and Technology of Ceramic Fuel Cells, , Elsevier, Amsterdam; Yano, M., Tomita, A., Sano, M., Hibino, T., (2007) Solid State Ionics, 177, p. 3351; Van Rij, L.N., Le, J., Van Landschoot, Schoonman, J., (2001) J. Mater. Sci., 36, p. 1069; Park, S., Craciun, R., Vohs, J.M., Gorte, J., (1999) J. Electrochem. Soc., 146, p. 3603; Iida, T., Kawano, M., Matsui, T., Kikuchi, R., Eguchi, K., (2007) J. Electrochem. Soc., 154, pp. B234; Sarantaridis, D., Atkinson, A., (2007) Fuel cells, 7, p. 246; Tsepis, E.V., Kharton, V.V., (2008) J. Solid State Electrochem., 12, p. 1039; Zhu, W.Z., Deevi, S.C., (2003) Mater. Sci. Eng. A, 362, p. 228; Nait-Ali, B., Haberko, K., Vesteghem, H., Absi, J., Smith, D.S., (2006) J. Eur. Ceram. Soc., 26, p. 3567; Abe, H., Moon, W.-J., Naito, M., (2006) Fuel Cells Bull., p. 12; Chen, Y.-Y., Wei, W.-Ch.J., (2006) Solid State Ionics, 177, p. 351; Liu, B., Zhang, Y., Tu, B., Dong, Y., Cheng, M., (2007) J. Power Sources, 165, p. 114; Lang, M., Auer, C., Eismann, A., Szabo, P., Wagner, N., (2008) Electrochim. Acta, 53, p. 7509; West, R.W., Tallan, N.M., (1965) J. Appl. Phys., 36, p. 543; Lee, J.-H., Heo, J.-W., Lee, D.-S., Kim, J., Kim, G.-H., Lee, H.-W., Song, H.S., Moon, J.-H., (2003) Solid State Ionics, 158, p. 225; Abe, H., Murata, K., Moon, W.-J., Kaneko, K., Nito, M., (2006) Fuel Cell Bull., p. 12; Minh, N.Q., (1993) J. Am. Ceram. Soc., 76, p. 563; Kim, S.-D., Moon, H., Hyun, S.-H., Moon, J., Kim, J., Lee, H.-W., (2007) Solid State Ionics, 178, p. 1304; Dees, D.W., Claar, T.D., Easler, T.E., Fee, D.C., Mrazek, F.C., (1987) J. Electrochem. Soc., 134, p. 2141; Childs, P.R.N., (2001) Practical Temperature Measurement, , Butterworth-Heinemann p. 172; Bruggeman, D.A.G., (1935) Ann. Phys., 24, p. 636; Baumard, J.F., Abelard, P., (1984) Science and Technology of Zirconia II, Advances in Ceramics, 12, pp. 557-571. , Claussen N., Rühle M., and Heuer A.H. (Eds), American Ceramic Society, Columbus; Pimenov, A., Ulrich, J., Lukenheimer, P., Loidl, A., Rüscher, C.H., (1998) Solid State Ionics, 109, p. 111; Gong, J., Li, Y., Zhang, Z., Tang, Z., (2000) J. Am. Ceram. Soc., 83, p. 648; Martin, M.C., Mecartney, M.L., (2003) Solid State Ionics, 171, p. 67; Wierzbicka, M., Pasierb, P., Rekas, M., (2007) Phys. B, 387, p. 302","page":"5527-5533","title":"Structural and electrical properties of Ni–YSZ cermet materials","type":"article-journal","volume":"195"},"uris":["http://www.mendeley.com/documents/?uuid=121e1dbd-2000-45dd-baca-b07c05b24380"]},{"id":"ITEM-2","itemData":{"DOI":"10.1016/j.ssi.2012.06.002","ISBN":"01672738 (ISSN)","ISSN":"01672738","abstract":"Niobium-doped strontium titanate was used as the anode for a solid oxide fuel cell. Electrolyte-supported cells were prepared with pure perovskite and composite perovskite-yttria-stabilized-zirconia (YSZ) anodes. Fuel cell tests demonstrated significant improvement in power density after infiltration with a small amount of Ni. The obtained values of power densities are comparable with conventional Ni/YSZ cermet anode. In addition, stability tests showed initial degradation followed by stable operation. © 2012 Elsevier B.V. All rights reserved.","author":[{"dropping-particle":"","family":"Kusz","given":"B.","non-dropping-particle":"","parse-names":false,"suffix":""},{"dropping-particle":"","family":"Jasinski","given":"P.","non-dropping-particle":"","parse-names":false,"suffix":""},{"dropping-particle":"","family":"Karczewski","given":"J.","non-dropping-particle":"","parse-names":false,"suffix":""},{"dropping-particle":"","family":"Molin","given":"S.","non-dropping-particle":"","parse-names":false,"suffix":""},{"dropping-particle":"","family":"Gazda","given":"M.","non-dropping-particle":"","parse-names":false,"suffix":""},{"dropping-particle":"","family":"Bochentyn","given":"B.","non-dropping-particle":"","parse-names":false,"suffix":""}],"container-title":"Solid State Ionics","id":"ITEM-2","issued":{"date-parts":[["2012"]]},"language":"English","note":"Cited By :8\nExport Date: 20 January 2017\nCODEN: SSIOD\nCorrespondence Address: Karczewski, J.; Department of Solid State Physics, Gdansk University of Technology, Narutowicza 11/12, 80-233 Gdansk, Poland; email: ja_kubek@wp.pl\nReferences: Orera, A., Slater, P.R., (2010) Chem. Mater., 22, pp. 675-690; Fergus, J.W., (2006) Solid State Ionics, 177, pp. 1529-1541; Zhu, W.Z., Deevi, S.C., (2003) Mater. Sci. Eng., A362, pp. 228-239; Matsuzaki, Y., Yasuda, I., (2000) Solid State Ionics, 132, pp. 261-269; Kolodiazhnyi, T., Petric, A., (2005) J. Electroceram., 15, pp. 5-11; Karczewski, J., Riegel, B., Gazda, M., Jasinski, P., Kusz, B., (2010) J. Electroceram., 24 (4), pp. 326-330; Koutcheiko, S., Yoo, Y., Petric, A., Davidson, I., (2006) Ceram. Int., 32, pp. 67-72; Savaniu, C.D., Irvine, J.T.I., (2011) Solid State Ionics, 192, pp. 491-493; Liu, J., Madsen, B.D., Li, Z.Q., Barnett, S.A., (2002) Electrochem. Solid-State Lett., 5, pp. 122-A124; Lee, S., Kim, G., Vohs, J.M., Gorte, R.J., (2008) J. Electrochem. Soc., 155 (11), pp. 1179-B1183; Gross, M.D., Vohs, J.M., Gorte, R.J., (2007) J. Electrochem. Soc., 154 (7), pp. 694-B699; Gross, M.D., Carver, K.M., Deighan, M.A., Schenkel, A., Smith, B.M., Yee, A.Z., (2009) J. Electrochem. Soc., 156 (4), pp. 540-B545; Kim, G., Gross, M.D., Wang, W., Vohs, J.M., Gorte, R.J., (2008) J. Electrochem. Soc., 155 (4), pp. 360-B366; Kim, G., Lee, S., Shin, J.Y., Corre, G., Irvine, J.T.S., Vohs, J.M., Gorte, R.J., (2009) Electrochem. Solid-State Lett., 12 (3), pp. 48-B52; Smith, B.H., Gross, M.D., (2011) Electrochem. Solid-State Lett., 14 (1), pp. 1-B5; Sun, Ch., Stimming, U., (2007) J. Power Sources, 171, pp. 247-260; Kurokawa, H., Yang, L., Jacobson, C.P., De Jonghe, L.C., Visco, S.J., (2007) J. Power Sources, 164, pp. 510-518; Bochentyn, B., Karczewski, J., Molin, S., Klimczuk, T., Gazda, M., Jasiński, P., Safarik, D.J., Kusz, B., (2012) J. Electroceram., 28, pp. 132-138; Van Berkel, F.P.F., Stodólny, M., Sillessen, M., Ouweltjes, J.P., (2008) Proceedings of the 8th European Solid Oxide Fuel Cell Forum, p. 0621. , European Fuel Cell Forum; Orui, H., Watanabe, K., Chiba, R., Arakawa, M., (2004) J. Electrochem. Soc., 151 (9), pp. 1412-A1417; Laurencin, J., Delette, G., Sicardy, O., Rosini, S., Lefebvre-Joud, F., (2010) J. Power Sources, 195, pp. 2747-2753; Primdahl, S., (1999) Nickel/Yttria-stabilised Zirconia Cermet Anodes for Solid Oxide Fuel Cells, , Riso National Laboratory; Hussain, M.A., Hogh, J.V.T., Jacobsen, T., Bonanos, N., (2012) Int. J. Hydrog. Energy, 37, pp. 4309-4318; Kim, J.-S., Nair, V.V., Vohs, J.M., Gorte, R.J., (2011) Scr. Mater., 65, p. 90; Klemenso, T., Thyden, K., Chen, M., Wang, H., (2010) J. Power Sources, 195, pp. 7295-7301","page":"11-14","title":"Solid oxide fuel cells with Ni-infiltrated perovskite anode","type":"article-journal","volume":"221"},"uris":["http://www.mendeley.com/documents/?uuid=7932b896-821a-41b0-862d-9d0cce9db154"]}],"mendeley":{"formattedCitation":"[154], [250]","plainTextFormattedCitation":"[154], [250]","previouslyFormattedCitation":"[154], [250]"},"properties":{"noteIndex":0},"schema":"https://github.com/citation-style-language/schema/raw/master/csl-citation.json"}</w:instrText>
      </w:r>
      <w:r>
        <w:fldChar w:fldCharType="separate"/>
      </w:r>
      <w:r w:rsidR="006C586A" w:rsidRPr="006C586A">
        <w:rPr>
          <w:noProof/>
        </w:rPr>
        <w:t>[154], [250]</w:t>
      </w:r>
      <w:r>
        <w:fldChar w:fldCharType="end"/>
      </w:r>
      <w:r>
        <w:t>. Focussed</w:t>
      </w:r>
      <w:r w:rsidRPr="002B6C9E">
        <w:t xml:space="preserve"> ion beam </w:t>
      </w:r>
      <w:r>
        <w:t>scanning electron microscopy has also been utilised in some studies.</w:t>
      </w:r>
      <w:r w:rsidRPr="002B6C9E">
        <w:t xml:space="preserve"> </w:t>
      </w:r>
    </w:p>
    <w:p w14:paraId="0EA00168" w14:textId="77777777" w:rsidR="00811792" w:rsidRPr="002B6C9E" w:rsidRDefault="00811792" w:rsidP="005129DC">
      <w:pPr>
        <w:jc w:val="both"/>
      </w:pPr>
    </w:p>
    <w:p w14:paraId="3D64CA70" w14:textId="77777777" w:rsidR="00007F6C" w:rsidRPr="002B6C9E" w:rsidRDefault="00007F6C" w:rsidP="005129DC">
      <w:pPr>
        <w:pStyle w:val="Heading4"/>
      </w:pPr>
      <w:bookmarkStart w:id="122" w:name="_Toc474489934"/>
      <w:bookmarkStart w:id="123" w:name="_Toc474489935"/>
      <w:r>
        <w:lastRenderedPageBreak/>
        <w:t>2.4.2.2</w:t>
      </w:r>
      <w:r>
        <w:tab/>
      </w:r>
      <w:r w:rsidRPr="002B6C9E">
        <w:t xml:space="preserve">Transmission </w:t>
      </w:r>
      <w:r>
        <w:t>E</w:t>
      </w:r>
      <w:r w:rsidRPr="002B6C9E">
        <w:t xml:space="preserve">lectron </w:t>
      </w:r>
      <w:r>
        <w:t>M</w:t>
      </w:r>
      <w:r w:rsidRPr="002B6C9E">
        <w:t>icroscopy</w:t>
      </w:r>
      <w:bookmarkEnd w:id="122"/>
      <w:r>
        <w:t xml:space="preserve"> (TEM)</w:t>
      </w:r>
    </w:p>
    <w:p w14:paraId="5EB70726" w14:textId="1BE664A0" w:rsidR="00007F6C" w:rsidRPr="002B6C9E" w:rsidRDefault="00007F6C" w:rsidP="005129DC">
      <w:pPr>
        <w:jc w:val="both"/>
      </w:pPr>
      <w:r w:rsidRPr="002B6C9E">
        <w:t>Transmission Electron Microscopy (TEM)</w:t>
      </w:r>
      <w:r>
        <w:t xml:space="preserve"> has been a mainstay for the</w:t>
      </w:r>
      <w:r w:rsidRPr="002B6C9E">
        <w:t xml:space="preserve"> nanoscale imaging of the Ni/YSZ microstructure. Samples suitable for this imaging system were in recent years hard to produce until the emergence of the focussed ion beam (FIB) method approximately 10 years ago. The FIB/lift out technique can be used to isolate a select region of sample to be polished and mounted for TEM assessment</w:t>
      </w:r>
      <w:r>
        <w:t xml:space="preserve"> </w:t>
      </w:r>
      <w:r>
        <w:fldChar w:fldCharType="begin" w:fldLock="1"/>
      </w:r>
      <w:r w:rsidR="00D80A5D">
        <w:instrText xml:space="preserve">ADDIN CSL_CITATION {"citationItems":[{"id":"ITEM-1","itemData":{"DOI":"10.1016/j.ssi.2004.08.018","ISBN":"0167-2738","ISSN":"01672738","abstract":"This work is one of the first attempts of using focused ion beam/lift-out (FIB/lift-out) techniques to prepare TEM specimens containing electrode/electrolyte interfaces in solid oxide fuel cells (SOFC). The present specimen was made from an Ni+YSZ (anode)/YSZ (electrolyte) half-cell which has undergone a long-term testing at a temperature of 850 °C over 1800 h in H 2 with 1% to 3% H 2O under an anodic load of 300 mA cm -2. The microstructure and phase chemistry in the interfacial region was analyzed using a JEM-3000F and EDS with a lateral resolution of nanometers. The impurity phase accumulated at the interface seen earlier by SEM have been characterized. It is a silicate glass with an amorphous structure and a composition of </w:instrText>
      </w:r>
      <w:r w:rsidR="00D80A5D">
        <w:rPr>
          <w:rFonts w:ascii="Cambria Math" w:hAnsi="Cambria Math" w:cs="Cambria Math"/>
        </w:rPr>
        <w:instrText>∼</w:instrText>
      </w:r>
      <w:r w:rsidR="00D80A5D">
        <w:instrText>90 mol% SiO 2 as well as a few percent of Na 2O, CaO, ZrO 2, V 2O 3 etc. The silicate glass phase is distributed as films of nanoscale along the anode/electrolyte interface and Ni/YSZ grain boundaries. Its influence on the microstructural degradation of the interfacial region is evaluated. The FIB/lift-out techniques have been shown to be viable for specimen preparation from SOFC interface. © 2004 Elsevier B.V. All rights reserved.","author":[{"dropping-particle":"","family":"Liu","given":"Y. L.","non-dropping-particle":"","parse-names":false,"suffix":""},{"dropping-particle":"","family":"Jiao","given":"Chengge","non-dropping-particle":"","parse-names":false,"suffix":""}],"container-title":"Solid State Ionics","id":"ITEM-1","issue":"5-6","issued":{"date-parts":[["2005"]]},"page":"435-442","title":"Microstructure degradation of an anode/electrolyte interface in SOFC studied by transmission electron microscopy","type":"article-journal","volume":"176"},"uris":["http://www.mendeley.com/documents/?uuid=9f09d688-26c7-4c4d-8619-ef96f258068a"]}],"mendeley":{"formattedCitation":"[251]","plainTextFormattedCitation":"[251]","previouslyFormattedCitation":"[251]"},"properties":{"noteIndex":0},"schema":"https://github.com/citation-style-language/schema/raw/master/csl-citation.json"}</w:instrText>
      </w:r>
      <w:r>
        <w:fldChar w:fldCharType="separate"/>
      </w:r>
      <w:r w:rsidR="006C586A" w:rsidRPr="006C586A">
        <w:rPr>
          <w:noProof/>
        </w:rPr>
        <w:t>[251]</w:t>
      </w:r>
      <w:r>
        <w:fldChar w:fldCharType="end"/>
      </w:r>
      <w:r w:rsidRPr="002B6C9E">
        <w:t xml:space="preserve">. </w:t>
      </w:r>
    </w:p>
    <w:p w14:paraId="2E9A1C31" w14:textId="23DC8FF4" w:rsidR="00007F6C" w:rsidRDefault="00007F6C" w:rsidP="00811792">
      <w:pPr>
        <w:spacing w:after="0"/>
        <w:jc w:val="both"/>
      </w:pPr>
      <w:r w:rsidRPr="002B6C9E">
        <w:t>One standout study from Liu et al characterised the boundary between the two components of a Ni/YSZ half-cell pellet</w:t>
      </w:r>
      <w:r>
        <w:t xml:space="preserve"> </w:t>
      </w:r>
      <w:r>
        <w:fldChar w:fldCharType="begin" w:fldLock="1"/>
      </w:r>
      <w:r w:rsidR="00D80A5D">
        <w:instrText xml:space="preserve">ADDIN CSL_CITATION {"citationItems":[{"id":"ITEM-1","itemData":{"DOI":"10.1016/j.ssi.2004.08.018","ISBN":"01672738 (ISSN)","abstract":"This work is one of the first attempts of using focused ion beam/lift-out (FIB/lift-out) techniques to prepare TEM specimens containing electrode/electrolyte interfaces in solid oxide fuel cells (SOFC). The present specimen was made from an Ni+YSZ (anode)/YSZ (electrolyte) half-cell which has undergone a long-term testing at a temperature of 850 °C over 1800 h in H 2 with 1% to 3% H 2O under an anodic load of 300 mA cm -2. The microstructure and phase chemistry in the interfacial region was analyzed using a JEM-3000F and EDS with a lateral resolution of nanometers. The impurity phase accumulated at the interface seen earlier by SEM have been characterized. It is a silicate glass with an amorphous structure and a composition of </w:instrText>
      </w:r>
      <w:r w:rsidR="00D80A5D">
        <w:rPr>
          <w:rFonts w:ascii="Cambria Math" w:hAnsi="Cambria Math" w:cs="Cambria Math"/>
        </w:rPr>
        <w:instrText>∼</w:instrText>
      </w:r>
      <w:r w:rsidR="00D80A5D">
        <w:instrText>90 mol% SiO 2 as well as a few percent of Na 2O, CaO, ZrO 2, V 2O 3 etc. The silicate glass phase is distributed as films of nanoscale along the anode/electrolyte interface and Ni/YSZ grain boundaries. Its influence on the microstructural degradation of the interfacial region is evaluated. The FIB/lift-out techniques have been shown to be viable for specimen preparation from SOFC interface. © 2004 Elsevier B.V. All rights reserved.","author":[{"dropping-particle":"","family":"Liu","given":"Y L","non-dropping-particle":"","parse-names":false,"suffix":""},{"dropping-particle":"","family":"Jiao","given":"C","non-dropping-particle":"","parse-names":false,"suffix":""}],"container-title":"Solid State Ionics","id":"ITEM-1","issue":"5-6","issued":{"date-parts":[["2005"]]},"language":"English","note":"Cited By :74\nExport Date: 3 November 2016\nCODEN: SSIOD\nCorrespondence Address: Materials Research Department, Risø National Laboratory, P.O. Box 49, 4000 Roskilde, DenmarkDenmark; email: yi.lin.liu@risoe.dk\nReferences: Jørgensen, M.J., Holtappels, P., Appel, C.C., (2000) J. Appl. Electrochem., 30, pp. 411-418; Wiik, K., Schmidt, C.R., Faaland, S., Shamsili, S., Einarsrud, M.-A., Grande, T., (1999) J. Am. Ceram. Soc., 82, pp. 721-728; Hansen, K.V., Wallenberg, R., Chorkendorff, I., Mogensen, M., (2003) Solid State Ionics, 160, pp. 27-37; Liu, Y.L., Primdahl, S., Mogensen, M., (2003) Solid State Ionics, 161, pp. 1-10; Prenitzer, B.I., Urbanik-Shannon, C.A., Giannuzzi, L.A., Brown, S.R., Irwin, R.B., Shofner, T.L., Stevie, F.A., (2003) Microsc. Microanal., 9, pp. 216-236; Engelmann, H.-J., (2003) Prakt. Metallogr., 40, pp. 163-174; Primdahl, S., Mogensen, M., (2000) J. Appl. Electrochem., 30, pp. 247-257; Giannuzzi, L.A., Drown, J.L., Brown, S.R., Irwin, R.B., Stevie, F.A., (1998) Microsc. Res. Tech., 41, pp. 285-290; Dobrzhinetskaya, L.F., Green, H.W., Weschler, M., Darus, M., Wang, Y.-C., Massonne, H.-J., Stöckhert, B., (2003) Earth Planet. Sci. Lett., 210, pp. 399-410; Hutchinson, C.R., Hackenberg, R.E., Shiflet, G.J., (2003) Ultramicroscopy, 94, pp. 37-48; Loos, J., Van Duren, J.K.J., Morrissey, F., Janssen, R.A.J., (2002) Polymer, 43, pp. 7493-7496; Tietz, F., Koepke, J., Urland, W., (1992) J. Cryst. Growth, 118, pp. 314-318; Mazurin, O.V., Streltsina, M.V., Shvaiko-Shvaikovskaya, T.P., (1987) Handbook of Glass Data, Part C, p. 566. , Elsevier; Hughes, A.E., Badwal, S.P.S., (1991) Solid State Ionics, 46, pp. 265-274; Appel, C.C., Bonanos, N., (1999) J. Eur. Ceram. Soc., 19, pp. 847-851; Kuzjukevics, A., Linderoth, S., (1997) Solid State Ionics, 93, pp. 255-261; Kilo, M., Borchardt, G., De Souza, R.A., Ivers-Tiffee, E., Weber, S., Scherrer, S., Proceedings of the 195. Meeting of the electrochemical society (1999) The Electrochemical Society International Symposium Proceedings, 99, pp. 229-237. , E.D. Wachsman J.R. Akridge M. Liu N. Yamazoe, Solid-State Ionic Devices, The Electrochemical society Pennington, NJ, USA; Yokokawa, H., (1998) Key. Eng. Mater., 37, pp. 153-154; De Ridder, M., Van Welzenis, R.G., Denier Van DerGon, A.W., Brongersma, H.H., (2002) J. Appl. Phys., 92, pp. 3056-3064; Nakagawa, N., Sakurai, H., Kondo, K., Morimoto, T., Hatanaka, K., Kato, K., (1995) J. Electrochem. Soc., 142, p. 3474; Holland, L., (1964) The Properties of Glass Surface, , Chapman &amp;amp; Hall London; Tsoga, A., Naoumidis, A., Nikolopoulos, P., (1996) Acta Mater., 44, pp. 3679-3692; Volf, M.B., Chemical approach to glass (1984) Glass Science and Technology, 7, p. 329. , Elsevier; Larsen, P.H., (1999) Sealing Materials for Solid Oxide Fuel Cells, , PhD thesis, Sheffield University, UK; Mogensen, M., Primdahl, S., Vels Jensen, K., Jorgensen, M.J., Bagger, C., Foreign phases and SOFC electrode kinetics (2001) Proc. Solid Oxide Fuel Cells VII-Electrochemical Society 2001-16, pp. 521-528","page":"435-442","title":"Microstructure degradation of an anode/electrolyte interface in SOFC studied by transmission electron microscopy","type":"article-journal","volume":"176"},"uris":["http://www.mendeley.com/documents/?uuid=bd6ad123-8c88-4f6a-948e-24dd5fbe5142"]}],"mendeley":{"formattedCitation":"[252]","plainTextFormattedCitation":"[252]","previouslyFormattedCitation":"[252]"},"properties":{"noteIndex":0},"schema":"https://github.com/citation-style-language/schema/raw/master/csl-citation.json"}</w:instrText>
      </w:r>
      <w:r>
        <w:fldChar w:fldCharType="separate"/>
      </w:r>
      <w:r w:rsidR="006C586A" w:rsidRPr="006C586A">
        <w:rPr>
          <w:noProof/>
        </w:rPr>
        <w:t>[252]</w:t>
      </w:r>
      <w:r>
        <w:fldChar w:fldCharType="end"/>
      </w:r>
      <w:r w:rsidRPr="002B6C9E">
        <w:t xml:space="preserve">. For the first time in the literature, the interface was directly imaged in a line using a JEM3000-F transmission electron microscope equipped with an electron gun. </w:t>
      </w:r>
      <w:r>
        <w:fldChar w:fldCharType="begin"/>
      </w:r>
      <w:r>
        <w:instrText xml:space="preserve"> REF _Ref469054866 \h  \* MERGEFORMAT </w:instrText>
      </w:r>
      <w:r>
        <w:fldChar w:fldCharType="separate"/>
      </w:r>
      <w:r w:rsidRPr="00C103C3">
        <w:t xml:space="preserve">Figure </w:t>
      </w:r>
      <w:r w:rsidRPr="00C103C3">
        <w:rPr>
          <w:noProof/>
        </w:rPr>
        <w:t>2.18</w:t>
      </w:r>
      <w:r>
        <w:fldChar w:fldCharType="end"/>
      </w:r>
      <w:r w:rsidRPr="002B6C9E">
        <w:t xml:space="preserve"> is a good example of a model patterned electrode with a deposited metallic layer coating the sample</w:t>
      </w:r>
      <w:r>
        <w:t xml:space="preserve"> </w:t>
      </w:r>
      <w:r>
        <w:fldChar w:fldCharType="begin" w:fldLock="1"/>
      </w:r>
      <w:r w:rsidR="00D80A5D">
        <w:instrText xml:space="preserve">ADDIN CSL_CITATION {"citationItems":[{"id":"ITEM-1","itemData":{"DOI":"10.1039/c0cp00541j","ISSN":"14639076","abstract":"This article presents a literature review and new results on experimental and theoretical investigations of the electrochemistry of solid oxide fuel cell (SOFC) model anodes, focusing on the nickel/yttria-stabilized zirconia (Ni/YSZ) materials system with operation under H2/H2O atmospheres. Micropatterned model anodes were used for electrochemical characterization under well-defined operating conditions. Structural and chemical integrity was confirmed by ex situ pre-test and post-test microstructural and chemical analysis. Elementary kinetic models of reaction and transport processes were used to assess reaction pathways and rate-determining steps. The comparison of experimental and simulated electrochemical behaviors of pattern anodes shows quantitative agreement over a wide range of operating conditions (pH2 = 8×102-9×104 Pa, pH2O = 2×101-6×104 Pa, T = 400-800 °C). Previously published experimental data on model anodes show a strong scatter in electrochemical performance. Furthermore, model anodes exhibit a pronounced dynamics on multiple time scales which is not reproduced in state-of-the-art models and which is also not observed in technical cermet anodes. Potential origin of these effects as well as consequences for further steps in model anode and anode model studies are discussed. © the Owner Societies 2010.","author":[{"dropping-particle":"","family":"Bessler","given":"Wolfgang G.","non-dropping-particle":"","parse-names":false,"suffix":""},{"dropping-particle":"","family":"Vogler","given":"Marcel","non-dropping-particle":"","parse-names":false,"suffix":""},{"dropping-particle":"","family":"Störmer","given":"Heike","non-dropping-particle":"","parse-names":false,"suffix":""},{"dropping-particle":"","family":"Gerthsen","given":"Dagmar","non-dropping-particle":"","parse-names":false,"suffix":""},{"dropping-particle":"","family":"Utz","given":"Annika","non-dropping-particle":"","parse-names":false,"suffix":""},{"dropping-particle":"","family":"Weber","given":"André","non-dropping-particle":"","parse-names":false,"suffix":""},{"dropping-particle":"","family":"Ivers-Tiffée","given":"Ellen","non-dropping-particle":"","parse-names":false,"suffix":""}],"container-title":"Physical Chemistry Chemical Physics","id":"ITEM-1","issue":"42","issued":{"date-parts":[["2010"]]},"page":"13888-13903","title":"Model anodes and anode models for understanding the mechanism of hydrogen oxidation in solid oxide fuel cells","type":"article-journal","volume":"12"},"uris":["http://www.mendeley.com/documents/?uuid=056d2e77-d009-464e-9f9f-abfd9ef2e304"]},{"id":"ITEM-2","itemData":{"DOI":"10.1016/j.ssi.2004.08.018","ISBN":"01672738 (ISSN)","abstract":"This work is one of the first attempts of using focused ion beam/lift-out (FIB/lift-out) techniques to prepare TEM specimens containing electrode/electrolyte interfaces in solid oxide fuel cells (SOFC). The present specimen was made from an Ni+YSZ (anode)/YSZ (electrolyte) half-cell which has undergone a long-term testing at a temperature of 850 °C over 1800 h in H 2 with 1% to 3% H 2O under an anodic load of 300 mA cm -2. The microstructure and phase chemistry in the interfacial region was analyzed using a JEM-3000F and EDS with a lateral resolution of nanometers. The impurity phase accumulated at the interface seen earlier by SEM have been characterized. It is a silicate glass with an amorphous structure and a composition of </w:instrText>
      </w:r>
      <w:r w:rsidR="00D80A5D">
        <w:rPr>
          <w:rFonts w:ascii="Cambria Math" w:hAnsi="Cambria Math" w:cs="Cambria Math"/>
        </w:rPr>
        <w:instrText>∼</w:instrText>
      </w:r>
      <w:r w:rsidR="00D80A5D">
        <w:instrText>90 mol% SiO 2 as well as a few percent of Na 2O, CaO, ZrO 2, V 2O 3 etc. The silicate glass phase is distributed as films of nanoscale along the anode/electrolyte interface and Ni/YSZ grain boundaries. Its influence on the microstructural degradation of the interfacial region is evaluated. The FIB/lift-out techniques have been shown to be viable for specimen preparation from SOFC interface. © 2004 Elsevier B.V. All rights reserved.","author":[{"dropping-particle":"","family":"Liu","given":"Y L","non-dropping-particle":"","parse-names":false,"suffix":""},{"dropping-particle":"","family":"Jiao","given":"C","non-dropping-particle":"","parse-names":false,"suffix":""}],"container-title":"Solid State Ionics","id":"ITEM-2","issue":"5-6","issued":{"date-parts":[["2005"]]},"language":"English","note":"Cited By :74\nExport Date: 3 November 2016\nCODEN: SSIOD\nCorrespondence Address: Materials Research Department, Risø National Laboratory, P.O. Box 49, 4000 Roskilde, DenmarkDenmark; email: yi.lin.liu@risoe.dk\nReferences: Jørgensen, M.J., Holtappels, P., Appel, C.C., (2000) J. Appl. Electrochem., 30, pp. 411-418; Wiik, K., Schmidt, C.R., Faaland, S., Shamsili, S., Einarsrud, M.-A., Grande, T., (1999) J. Am. Ceram. Soc., 82, pp. 721-728; Hansen, K.V., Wallenberg, R., Chorkendorff, I., Mogensen, M., (2003) Solid State Ionics, 160, pp. 27-37; Liu, Y.L., Primdahl, S., Mogensen, M., (2003) Solid State Ionics, 161, pp. 1-10; Prenitzer, B.I., Urbanik-Shannon, C.A., Giannuzzi, L.A., Brown, S.R., Irwin, R.B., Shofner, T.L., Stevie, F.A., (2003) Microsc. Microanal., 9, pp. 216-236; Engelmann, H.-J., (2003) Prakt. Metallogr., 40, pp. 163-174; Primdahl, S., Mogensen, M., (2000) J. Appl. Electrochem., 30, pp. 247-257; Giannuzzi, L.A., Drown, J.L., Brown, S.R., Irwin, R.B., Stevie, F.A., (1998) Microsc. Res. Tech., 41, pp. 285-290; Dobrzhinetskaya, L.F., Green, H.W., Weschler, M., Darus, M., Wang, Y.-C., Massonne, H.-J., Stöckhert, B., (2003) Earth Planet. Sci. Lett., 210, pp. 399-410; Hutchinson, C.R., Hackenberg, R.E., Shiflet, G.J., (2003) Ultramicroscopy, 94, pp. 37-48; Loos, J., Van Duren, J.K.J., Morrissey, F., Janssen, R.A.J., (2002) Polymer, 43, pp. 7493-7496; Tietz, F., Koepke, J., Urland, W., (1992) J. Cryst. Growth, 118, pp. 314-318; Mazurin, O.V., Streltsina, M.V., Shvaiko-Shvaikovskaya, T.P., (1987) Handbook of Glass Data, Part C, p. 566. , Elsevier; Hughes, A.E., Badwal, S.P.S., (1991) Solid State Ionics, 46, pp. 265-274; Appel, C.C., Bonanos, N., (1999) J. Eur. Ceram. Soc., 19, pp. 847-851; Kuzjukevics, A., Linderoth, S., (1997) Solid State Ionics, 93, pp. 255-261; Kilo, M., Borchardt, G., De Souza, R.A., Ivers-Tiffee, E., Weber, S., Scherrer, S., Proceedings of the 195. Meeting of the electrochemical society (1999) The Electrochemical Society International Symposium Proceedings, 99, pp. 229-237. , E.D. Wachsman J.R. Akridge M. Liu N. Yamazoe, Solid-State Ionic Devices, The Electrochemical society Pennington, NJ, USA; Yokokawa, H., (1998) Key. Eng. Mater., 37, pp. 153-154; De Ridder, M., Van Welzenis, R.G., Denier Van DerGon, A.W., Brongersma, H.H., (2002) J. Appl. Phys., 92, pp. 3056-3064; Nakagawa, N., Sakurai, H., Kondo, K., Morimoto, T., Hatanaka, K., Kato, K., (1995) J. Electrochem. Soc., 142, p. 3474; Holland, L., (1964) The Properties of Glass Surface, , Chapman &amp;amp; Hall London; Tsoga, A., Naoumidis, A., Nikolopoulos, P., (1996) Acta Mater., 44, pp. 3679-3692; Volf, M.B., Chemical approach to glass (1984) Glass Science and Technology, 7, p. 329. , Elsevier; Larsen, P.H., (1999) Sealing Materials for Solid Oxide Fuel Cells, , PhD thesis, Sheffield University, UK; Mogensen, M., Primdahl, S., Vels Jensen, K., Jorgensen, M.J., Bagger, C., Foreign phases and SOFC electrode kinetics (2001) Proc. Solid Oxide Fuel Cells VII-Electrochemical Society 2001-16, pp. 521-528","page":"435-442","title":"Microstructure degradation of an anode/electrolyte interface in SOFC studied by transmission electron microscopy","type":"article-journal","volume":"176"},"uris":["http://www.mendeley.com/documents/?uuid=bd6ad123-8c88-4f6a-948e-24dd5fbe5142"]}],"mendeley":{"formattedCitation":"[213], [252]","plainTextFormattedCitation":"[213], [252]","previouslyFormattedCitation":"[213], [252]"},"properties":{"noteIndex":0},"schema":"https://github.com/citation-style-language/schema/raw/master/csl-citation.json"}</w:instrText>
      </w:r>
      <w:r>
        <w:fldChar w:fldCharType="separate"/>
      </w:r>
      <w:r w:rsidR="006C586A" w:rsidRPr="006C586A">
        <w:rPr>
          <w:noProof/>
        </w:rPr>
        <w:t>[213], [252]</w:t>
      </w:r>
      <w:r>
        <w:fldChar w:fldCharType="end"/>
      </w:r>
      <w:r w:rsidRPr="002B6C9E">
        <w:t xml:space="preserve">. </w:t>
      </w:r>
    </w:p>
    <w:p w14:paraId="6938400A" w14:textId="77777777" w:rsidR="00007F6C" w:rsidRPr="002B6C9E" w:rsidRDefault="00007F6C" w:rsidP="005129DC">
      <w:pPr>
        <w:keepNext/>
        <w:jc w:val="center"/>
      </w:pPr>
      <w:r w:rsidRPr="002B6C9E">
        <w:rPr>
          <w:noProof/>
          <w:lang w:eastAsia="en-GB"/>
        </w:rPr>
        <w:drawing>
          <wp:inline distT="0" distB="0" distL="0" distR="0" wp14:anchorId="22ADE911" wp14:editId="03649DD6">
            <wp:extent cx="2880000" cy="2664130"/>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M image of the Ni YSZ interface post FIB milling.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2664130"/>
                    </a:xfrm>
                    <a:prstGeom prst="rect">
                      <a:avLst/>
                    </a:prstGeom>
                  </pic:spPr>
                </pic:pic>
              </a:graphicData>
            </a:graphic>
          </wp:inline>
        </w:drawing>
      </w:r>
    </w:p>
    <w:p w14:paraId="2DFDC156" w14:textId="2C14ACBA" w:rsidR="00007F6C" w:rsidRPr="00657603" w:rsidRDefault="00007F6C" w:rsidP="005129DC">
      <w:pPr>
        <w:jc w:val="center"/>
        <w:rPr>
          <w:i/>
          <w:iCs/>
          <w:color w:val="44546A" w:themeColor="text2"/>
          <w:sz w:val="18"/>
          <w:szCs w:val="18"/>
        </w:rPr>
      </w:pPr>
      <w:bookmarkStart w:id="124" w:name="_Ref469054866"/>
      <w:bookmarkStart w:id="125" w:name="_Toc69114930"/>
      <w:r w:rsidRPr="00582C49">
        <w:rPr>
          <w:i/>
          <w:iCs/>
          <w:color w:val="44546A" w:themeColor="text2"/>
          <w:sz w:val="18"/>
          <w:szCs w:val="18"/>
        </w:rPr>
        <w:t>Figure 2.</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804219">
        <w:rPr>
          <w:i/>
          <w:iCs/>
          <w:noProof/>
          <w:color w:val="44546A" w:themeColor="text2"/>
          <w:sz w:val="18"/>
          <w:szCs w:val="18"/>
        </w:rPr>
        <w:t>18</w:t>
      </w:r>
      <w:r w:rsidR="00285C23">
        <w:rPr>
          <w:i/>
          <w:iCs/>
          <w:color w:val="44546A" w:themeColor="text2"/>
          <w:sz w:val="18"/>
          <w:szCs w:val="18"/>
        </w:rPr>
        <w:fldChar w:fldCharType="end"/>
      </w:r>
      <w:bookmarkEnd w:id="124"/>
      <w:r w:rsidRPr="00582C49">
        <w:rPr>
          <w:i/>
          <w:iCs/>
          <w:color w:val="44546A" w:themeColor="text2"/>
          <w:sz w:val="18"/>
          <w:szCs w:val="18"/>
        </w:rPr>
        <w:t>: Transmission electron micrograph of a focussed ion beam milled Ni/YSZ TEM sample [</w:t>
      </w:r>
      <w:r w:rsidRPr="00582C49">
        <w:rPr>
          <w:i/>
          <w:iCs/>
          <w:noProof/>
          <w:color w:val="44546A" w:themeColor="text2"/>
          <w:sz w:val="18"/>
          <w:szCs w:val="18"/>
        </w:rPr>
        <w:t>107]</w:t>
      </w:r>
      <w:bookmarkEnd w:id="125"/>
    </w:p>
    <w:p w14:paraId="7AEEC3D3" w14:textId="51468058" w:rsidR="00007F6C" w:rsidRDefault="00007F6C" w:rsidP="005129DC">
      <w:pPr>
        <w:jc w:val="both"/>
      </w:pPr>
      <w:r w:rsidRPr="002B6C9E">
        <w:t>The half-cell was cycled under hydrogen at 850°C for 1800</w:t>
      </w:r>
      <w:r>
        <w:t xml:space="preserve"> </w:t>
      </w:r>
      <w:r w:rsidRPr="002B6C9E">
        <w:t>h under an anodic load of 300 mAcm</w:t>
      </w:r>
      <w:r w:rsidRPr="002B6C9E">
        <w:rPr>
          <w:vertAlign w:val="superscript"/>
        </w:rPr>
        <w:t>-2</w:t>
      </w:r>
      <w:r w:rsidRPr="002B6C9E">
        <w:t>. Using TEM the authors in this study found that a SiO</w:t>
      </w:r>
      <w:r w:rsidRPr="002B6C9E">
        <w:rPr>
          <w:vertAlign w:val="subscript"/>
        </w:rPr>
        <w:t>2</w:t>
      </w:r>
      <w:r w:rsidRPr="002B6C9E">
        <w:t xml:space="preserve"> glassy phase formed between the nickel and the electrolyte which would seriously affect the functional properties of the half cell. In addition, this revelation is increasingly significant when there was only 100 ppm of SiO</w:t>
      </w:r>
      <w:r w:rsidRPr="002B6C9E">
        <w:rPr>
          <w:vertAlign w:val="subscript"/>
        </w:rPr>
        <w:t>2</w:t>
      </w:r>
      <w:r w:rsidRPr="002B6C9E">
        <w:t xml:space="preserve"> in the system</w:t>
      </w:r>
      <w:r>
        <w:t xml:space="preserve"> </w:t>
      </w:r>
      <w:r>
        <w:fldChar w:fldCharType="begin" w:fldLock="1"/>
      </w:r>
      <w:r w:rsidR="00D80A5D">
        <w:instrText xml:space="preserve">ADDIN CSL_CITATION {"citationItems":[{"id":"ITEM-1","itemData":{"DOI":"10.1016/j.ssi.2004.08.018","ISBN":"01672738 (ISSN)","abstract":"This work is one of the first attempts of using focused ion beam/lift-out (FIB/lift-out) techniques to prepare TEM specimens containing electrode/electrolyte interfaces in solid oxide fuel cells (SOFC). The present specimen was made from an Ni+YSZ (anode)/YSZ (electrolyte) half-cell which has undergone a long-term testing at a temperature of 850 °C over 1800 h in H 2 with 1% to 3% H 2O under an anodic load of 300 mA cm -2. The microstructure and phase chemistry in the interfacial region was analyzed using a JEM-3000F and EDS with a lateral resolution of nanometers. The impurity phase accumulated at the interface seen earlier by SEM have been characterized. It is a silicate glass with an amorphous structure and a composition of </w:instrText>
      </w:r>
      <w:r w:rsidR="00D80A5D">
        <w:rPr>
          <w:rFonts w:ascii="Cambria Math" w:hAnsi="Cambria Math" w:cs="Cambria Math"/>
        </w:rPr>
        <w:instrText>∼</w:instrText>
      </w:r>
      <w:r w:rsidR="00D80A5D">
        <w:instrText>90 mol% SiO 2 as well as a few percent of Na 2O, CaO, ZrO 2, V 2O 3 etc. The silicate glass phase is distributed as films of nanoscale along the anode/electrolyte interface and Ni/YSZ grain boundaries. Its influence on the microstructural degradation of the interfacial region is evaluated. The FIB/lift-out techniques have been shown to be viable for specimen preparation from SOFC interface. © 2004 Elsevier B.V. All rights reserved.","author":[{"dropping-particle":"","family":"Liu","given":"Y L","non-dropping-particle":"","parse-names":false,"suffix":""},{"dropping-particle":"","family":"Jiao","given":"C","non-dropping-particle":"","parse-names":false,"suffix":""}],"container-title":"Solid State Ionics","id":"ITEM-1","issue":"5-6","issued":{"date-parts":[["2005"]]},"language":"English","note":"Cited By :74\nExport Date: 3 November 2016\nCODEN: SSIOD\nCorrespondence Address: Materials Research Department, Risø National Laboratory, P.O. Box 49, 4000 Roskilde, DenmarkDenmark; email: yi.lin.liu@risoe.dk\nReferences: Jørgensen, M.J., Holtappels, P., Appel, C.C., (2000) J. Appl. Electrochem., 30, pp. 411-418; Wiik, K., Schmidt, C.R., Faaland, S., Shamsili, S., Einarsrud, M.-A., Grande, T., (1999) J. Am. Ceram. Soc., 82, pp. 721-728; Hansen, K.V., Wallenberg, R., Chorkendorff, I., Mogensen, M., (2003) Solid State Ionics, 160, pp. 27-37; Liu, Y.L., Primdahl, S., Mogensen, M., (2003) Solid State Ionics, 161, pp. 1-10; Prenitzer, B.I., Urbanik-Shannon, C.A., Giannuzzi, L.A., Brown, S.R., Irwin, R.B., Shofner, T.L., Stevie, F.A., (2003) Microsc. Microanal., 9, pp. 216-236; Engelmann, H.-J., (2003) Prakt. Metallogr., 40, pp. 163-174; Primdahl, S., Mogensen, M., (2000) J. Appl. Electrochem., 30, pp. 247-257; Giannuzzi, L.A., Drown, J.L., Brown, S.R., Irwin, R.B., Stevie, F.A., (1998) Microsc. Res. Tech., 41, pp. 285-290; Dobrzhinetskaya, L.F., Green, H.W., Weschler, M., Darus, M., Wang, Y.-C., Massonne, H.-J., Stöckhert, B., (2003) Earth Planet. Sci. Lett., 210, pp. 399-410; Hutchinson, C.R., Hackenberg, R.E., Shiflet, G.J., (2003) Ultramicroscopy, 94, pp. 37-48; Loos, J., Van Duren, J.K.J., Morrissey, F., Janssen, R.A.J., (2002) Polymer, 43, pp. 7493-7496; Tietz, F., Koepke, J., Urland, W., (1992) J. Cryst. Growth, 118, pp. 314-318; Mazurin, O.V., Streltsina, M.V., Shvaiko-Shvaikovskaya, T.P., (1987) Handbook of Glass Data, Part C, p. 566. , Elsevier; Hughes, A.E., Badwal, S.P.S., (1991) Solid State Ionics, 46, pp. 265-274; Appel, C.C., Bonanos, N., (1999) J. Eur. Ceram. Soc., 19, pp. 847-851; Kuzjukevics, A., Linderoth, S., (1997) Solid State Ionics, 93, pp. 255-261; Kilo, M., Borchardt, G., De Souza, R.A., Ivers-Tiffee, E., Weber, S., Scherrer, S., Proceedings of the 195. Meeting of the electrochemical society (1999) The Electrochemical Society International Symposium Proceedings, 99, pp. 229-237. , E.D. Wachsman J.R. Akridge M. Liu N. Yamazoe, Solid-State Ionic Devices, The Electrochemical society Pennington, NJ, USA; Yokokawa, H., (1998) Key. Eng. Mater., 37, pp. 153-154; De Ridder, M., Van Welzenis, R.G., Denier Van DerGon, A.W., Brongersma, H.H., (2002) J. Appl. Phys., 92, pp. 3056-3064; Nakagawa, N., Sakurai, H., Kondo, K., Morimoto, T., Hatanaka, K., Kato, K., (1995) J. Electrochem. Soc., 142, p. 3474; Holland, L., (1964) The Properties of Glass Surface, , Chapman &amp;amp; Hall London; Tsoga, A., Naoumidis, A., Nikolopoulos, P., (1996) Acta Mater., 44, pp. 3679-3692; Volf, M.B., Chemical approach to glass (1984) Glass Science and Technology, 7, p. 329. , Elsevier; Larsen, P.H., (1999) Sealing Materials for Solid Oxide Fuel Cells, , PhD thesis, Sheffield University, UK; Mogensen, M., Primdahl, S., Vels Jensen, K., Jorgensen, M.J., Bagger, C., Foreign phases and SOFC electrode kinetics (2001) Proc. Solid Oxide Fuel Cells VII-Electrochemical Society 2001-16, pp. 521-528","page":"435-442","title":"Microstructure degradation of an anode/electrolyte interface in SOFC studied by transmission electron microscopy","type":"article-journal","volume":"176"},"uris":["http://www.mendeley.com/documents/?uuid=bd6ad123-8c88-4f6a-948e-24dd5fbe5142"]}],"mendeley":{"formattedCitation":"[252]","plainTextFormattedCitation":"[252]","previouslyFormattedCitation":"[252]"},"properties":{"noteIndex":0},"schema":"https://github.com/citation-style-language/schema/raw/master/csl-citation.json"}</w:instrText>
      </w:r>
      <w:r>
        <w:fldChar w:fldCharType="separate"/>
      </w:r>
      <w:r w:rsidR="006C586A" w:rsidRPr="006C586A">
        <w:rPr>
          <w:noProof/>
        </w:rPr>
        <w:t>[252]</w:t>
      </w:r>
      <w:r>
        <w:fldChar w:fldCharType="end"/>
      </w:r>
      <w:r w:rsidRPr="002B6C9E">
        <w:t xml:space="preserve">. </w:t>
      </w:r>
    </w:p>
    <w:p w14:paraId="61596EE9" w14:textId="4607C24E" w:rsidR="00007F6C" w:rsidRPr="002B6C9E" w:rsidRDefault="00007F6C" w:rsidP="005129DC">
      <w:pPr>
        <w:jc w:val="both"/>
      </w:pPr>
      <w:r>
        <w:t>Utilising a wet impregnation fabrication method will avoid the formation of glassy phases in Ni-YSZ fuel electrodes (</w:t>
      </w:r>
      <w:r w:rsidRPr="00CC117F">
        <w:rPr>
          <w:rFonts w:cstheme="minorHAnsi"/>
        </w:rPr>
        <w:fldChar w:fldCharType="begin"/>
      </w:r>
      <w:r w:rsidRPr="00CC117F">
        <w:rPr>
          <w:rFonts w:cstheme="minorHAnsi"/>
        </w:rPr>
        <w:instrText xml:space="preserve"> REF _Ref51157434 \h  \* MERGEFORMAT </w:instrText>
      </w:r>
      <w:r w:rsidRPr="00CC117F">
        <w:rPr>
          <w:rFonts w:cstheme="minorHAnsi"/>
        </w:rPr>
      </w:r>
      <w:r w:rsidRPr="00CC117F">
        <w:rPr>
          <w:rFonts w:cstheme="minorHAnsi"/>
        </w:rPr>
        <w:fldChar w:fldCharType="separate"/>
      </w:r>
      <w:r w:rsidRPr="00C103C3">
        <w:rPr>
          <w:rFonts w:cstheme="minorHAnsi"/>
        </w:rPr>
        <w:t>Figure 2.19</w:t>
      </w:r>
      <w:r w:rsidRPr="00CC117F">
        <w:rPr>
          <w:rFonts w:cstheme="minorHAnsi"/>
        </w:rPr>
        <w:fldChar w:fldCharType="end"/>
      </w:r>
      <w:r w:rsidRPr="00CC117F">
        <w:rPr>
          <w:rFonts w:cstheme="minorHAnsi"/>
        </w:rPr>
        <w:t xml:space="preserve">) </w:t>
      </w:r>
      <w:r w:rsidRPr="00CC117F">
        <w:rPr>
          <w:rFonts w:cstheme="minorHAnsi"/>
          <w:i/>
          <w:iCs/>
        </w:rPr>
        <w:fldChar w:fldCharType="begin" w:fldLock="1"/>
      </w:r>
      <w:r w:rsidR="00D80A5D">
        <w:rPr>
          <w:rFonts w:cstheme="minorHAnsi"/>
          <w:i/>
          <w:iCs/>
        </w:rPr>
        <w:instrText xml:space="preserve">ADDIN CSL_CITATION {"citationItems":[{"id":"ITEM-1","itemData":{"DOI":"10.1016/j.ssi.2004.08.018","ISBN":"01672738 (ISSN)","abstract":"This work is one of the first attempts of using focused ion beam/lift-out (FIB/lift-out) techniques to prepare TEM specimens containing electrode/electrolyte interfaces in solid oxide fuel cells (SOFC). The present specimen was made from an Ni+YSZ (anode)/YSZ (electrolyte) half-cell which has undergone a long-term testing at a temperature of 850 °C over 1800 h in H 2 with 1% to 3% H 2O under an anodic load of 300 mA cm -2. The microstructure and phase chemistry in the interfacial region was analyzed using a JEM-3000F and EDS with a lateral resolution of nanometers. The impurity phase accumulated at the interface seen earlier by SEM have been characterized. It is a silicate glass with an amorphous structure and a composition of </w:instrText>
      </w:r>
      <w:r w:rsidR="00D80A5D">
        <w:rPr>
          <w:rFonts w:ascii="Cambria Math" w:hAnsi="Cambria Math" w:cs="Cambria Math"/>
          <w:i/>
          <w:iCs/>
        </w:rPr>
        <w:instrText>∼</w:instrText>
      </w:r>
      <w:r w:rsidR="00D80A5D">
        <w:rPr>
          <w:rFonts w:cstheme="minorHAnsi"/>
          <w:i/>
          <w:iCs/>
        </w:rPr>
        <w:instrText>90 mol% SiO 2 as well as a few percent of Na 2O, CaO, ZrO 2, V 2O 3 etc. The silicate glass phase is distributed as films of nanoscale along the anode/electrolyte interface and Ni/YSZ grain boundaries. Its influence on the microstructural degradation of the interfacial region is evaluated. The FIB/lift-out techniques have been shown to be viable for specimen preparation from SOFC interface. © 2004 Elsevier B.V. All rights reserved.","author":[{"dropping-particle":"","family":"Liu","given":"Y L","non-dropping-particle":"","parse-names":false,"suffix":""},{"dropping-particle":"","family":"Jiao","given":"C","non-dropping-particle":"","parse-names":false,"suffix":""}],"container-title":"Solid State Ionics","id":"ITEM-1","issue":"5-6","issued":{"date-parts":[["2005"]]},"language":"English","note":"Cited By :74\nExport Date: 3 November 2016\nCODEN: SSIOD\nCorrespondence Address: Materials Research Department, Risø National Laboratory, P.O. Box 49, 4000 Roskilde, DenmarkDenmark; email: yi.lin.liu@risoe.dk\nReferences: Jørgensen, M.J., Holtappels, P., Appel, C.C., (2000) J. Appl. Electrochem., 30, pp. 411-418; Wiik, K., Schmidt, C.R., Faaland, S., Shamsili, S., Einarsrud, M.-A., Grande, T., (1999) J. Am. Ceram. Soc., 82, pp. 721-728; Hansen, K.V., Wallenberg, R., Chorkendorff, I., Mogensen, M., (2003) Solid State Ionics, 160, pp. 27-37; Liu, Y.L., Primdahl, S., Mogensen, M., (2003) Solid State Ionics, 161, pp. 1-10; Prenitzer, B.I., Urbanik-Shannon, C.A., Giannuzzi, L.A., Brown, S.R., Irwin, R.B., Shofner, T.L., Stevie, F.A., (2003) Microsc. Microanal., 9, pp. 216-236; Engelmann, H.-J., (2003) Prakt. Metallogr., 40, pp. 163-174; Primdahl, S., Mogensen, M., (2000) J. Appl. Electrochem., 30, pp. 247-257; Giannuzzi, L.A., Drown, J.L., Brown, S.R., Irwin, R.B., Stevie, F.A., (1998) Microsc. Res. Tech., 41, pp. 285-290; Dobrzhinetskaya, L.F., Green, H.W., Weschler, M., Darus, M., Wang, Y.-C., Massonne, H.-J., Stöckhert, B., (2003) Earth Planet. Sci. Lett., 210, pp. 399-410; Hutchinson, C.R., Hackenberg, R.E., Shiflet, G.J., (2003) Ultramicroscopy, 94, pp. 37-48; Loos, J., Van Duren, J.K.J., Morrissey, F., Janssen, R.A.J., (2002) Polymer, 43, pp. 7493-7496; Tietz, F., Koepke, J., Urland, W., (1992) J. Cryst. Growth, 118, pp. 314-318; Mazurin, O.V., Streltsina, M.V., Shvaiko-Shvaikovskaya, T.P., (1987) Handbook of Glass Data, Part C, p. 566. , Elsevier; Hughes, A.E., Badwal, S.P.S., (1991) Solid State Ionics, 46, pp. 265-274; Appel, C.C., Bonanos, N., (1999) J. Eur. Ceram. Soc., 19, pp. 847-851; Kuzjukevics, A., Linderoth, S., (1997) Solid State Ionics, 93, pp. 255-261; Kilo, M., Borchardt, G., De Souza, R.A., Ivers-Tiffee, E., Weber, S., Scherrer, S., Proceedings of the 195. Meeting of the electrochemical society (1999) The Electrochemical Society International Symposium Proceedings, 99, pp. 229-237. , E.D. Wachsman J.R. Akridge M. Liu N. Yamazoe, Solid-State Ionic Devices, The Electrochemical society Pennington, NJ, USA; Yokokawa, H., (1998) Key. Eng. Mater., 37, pp. 153-154; De Ridder, M., Van Welzenis, R.G., Denier Van DerGon, A.W., Brongersma, H.H., (2002) J. Appl. Phys., 92, pp. 3056-3064; Nakagawa, N., Sakurai, H., Kondo, K., Morimoto, T., Hatanaka, K., Kato, K., (1995) J. Electrochem. Soc., 142, p. 3474; Holland, L., (1964) The Properties of Glass Surface, , Chapman &amp;amp; Hall London; Tsoga, A., Naoumidis, A., Nikolopoulos, P., (1996) Acta Mater., 44, pp. 3679-3692; Volf, M.B., Chemical approach to glass (1984) Glass Science and Technology, 7, p. 329. , Elsevier; Larsen, P.H., (1999) Sealing Materials for Solid Oxide Fuel Cells, , PhD thesis, Sheffield University, UK; Mogensen, M., Primdahl, S., Vels Jensen, K., Jorgensen, M.J., Bagger, C., Foreign phases and SOFC electrode kinetics (2001) Proc. Solid Oxide Fuel Cells VII-Electrochemical Society 2001-16, pp. 521-528","page":"435-442","title":"Microstructure degradation of an anode/electrolyte interface in SOFC studied by transmission electron microscopy","type":"article-journal","volume":"176"},"uris":["http://www.mendeley.com/documents/?uuid=bd6ad123-8c88-4f6a-948e-24dd5fbe5142"]}],"mendeley":{"formattedCitation":"[252]","plainTextFormattedCitation":"[252]","previouslyFormattedCitation":"[252]"},"properties":{"noteIndex":0},"schema":"https://github.com/citation-style-language/schema/raw/master/csl-citation.json"}</w:instrText>
      </w:r>
      <w:r w:rsidRPr="00CC117F">
        <w:rPr>
          <w:rFonts w:cstheme="minorHAnsi"/>
          <w:i/>
          <w:iCs/>
        </w:rPr>
        <w:fldChar w:fldCharType="separate"/>
      </w:r>
      <w:r w:rsidR="006C586A" w:rsidRPr="006C586A">
        <w:rPr>
          <w:rFonts w:cstheme="minorHAnsi"/>
          <w:iCs/>
          <w:noProof/>
        </w:rPr>
        <w:t>[252]</w:t>
      </w:r>
      <w:r w:rsidRPr="00CC117F">
        <w:rPr>
          <w:rFonts w:cstheme="minorHAnsi"/>
          <w:i/>
          <w:iCs/>
        </w:rPr>
        <w:fldChar w:fldCharType="end"/>
      </w:r>
      <w:r w:rsidRPr="00CC117F">
        <w:rPr>
          <w:rFonts w:cstheme="minorHAnsi"/>
        </w:rPr>
        <w:t>.</w:t>
      </w:r>
      <w:r w:rsidRPr="00CC117F">
        <w:t xml:space="preserve"> </w:t>
      </w:r>
      <w:r>
        <w:t xml:space="preserve">As the nickel nitrate solution does not possess the silicon impurity that can be found in the nickel oxide powders used in co-sintered cermet anodes. </w:t>
      </w:r>
    </w:p>
    <w:p w14:paraId="3F00B9A9" w14:textId="77777777" w:rsidR="00007F6C" w:rsidRPr="002B6C9E" w:rsidRDefault="00007F6C" w:rsidP="005129DC">
      <w:pPr>
        <w:keepNext/>
        <w:jc w:val="center"/>
      </w:pPr>
      <w:r w:rsidRPr="002B6C9E">
        <w:rPr>
          <w:noProof/>
          <w:lang w:eastAsia="en-GB"/>
        </w:rPr>
        <w:drawing>
          <wp:inline distT="0" distB="0" distL="0" distR="0" wp14:anchorId="2A05078E" wp14:editId="59323274">
            <wp:extent cx="4320000" cy="1777585"/>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EM image of the Ni YSZ interface post thermal cycling.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320000" cy="1777585"/>
                    </a:xfrm>
                    <a:prstGeom prst="rect">
                      <a:avLst/>
                    </a:prstGeom>
                  </pic:spPr>
                </pic:pic>
              </a:graphicData>
            </a:graphic>
          </wp:inline>
        </w:drawing>
      </w:r>
    </w:p>
    <w:p w14:paraId="19DF5A25" w14:textId="3B68F7E3" w:rsidR="00007F6C" w:rsidRPr="00582C49" w:rsidRDefault="00007F6C" w:rsidP="005129DC">
      <w:pPr>
        <w:jc w:val="center"/>
        <w:rPr>
          <w:i/>
          <w:iCs/>
          <w:color w:val="44546A" w:themeColor="text2"/>
          <w:sz w:val="18"/>
          <w:szCs w:val="18"/>
        </w:rPr>
      </w:pPr>
      <w:bookmarkStart w:id="126" w:name="_Ref51157434"/>
      <w:bookmarkStart w:id="127" w:name="_Toc69114931"/>
      <w:r w:rsidRPr="00582C49">
        <w:rPr>
          <w:i/>
          <w:iCs/>
          <w:color w:val="44546A" w:themeColor="text2"/>
          <w:sz w:val="18"/>
          <w:szCs w:val="18"/>
        </w:rPr>
        <w:t xml:space="preserve">Figure </w:t>
      </w:r>
      <w:r>
        <w:rPr>
          <w:i/>
          <w:iCs/>
          <w:color w:val="44546A" w:themeColor="text2"/>
          <w:sz w:val="18"/>
          <w:szCs w:val="18"/>
        </w:rPr>
        <w:t>2.</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804219">
        <w:rPr>
          <w:i/>
          <w:iCs/>
          <w:noProof/>
          <w:color w:val="44546A" w:themeColor="text2"/>
          <w:sz w:val="18"/>
          <w:szCs w:val="18"/>
        </w:rPr>
        <w:t>19</w:t>
      </w:r>
      <w:r w:rsidR="00285C23">
        <w:rPr>
          <w:i/>
          <w:iCs/>
          <w:color w:val="44546A" w:themeColor="text2"/>
          <w:sz w:val="18"/>
          <w:szCs w:val="18"/>
        </w:rPr>
        <w:fldChar w:fldCharType="end"/>
      </w:r>
      <w:bookmarkEnd w:id="126"/>
      <w:r w:rsidRPr="00582C49">
        <w:rPr>
          <w:i/>
          <w:iCs/>
          <w:color w:val="44546A" w:themeColor="text2"/>
          <w:sz w:val="18"/>
          <w:szCs w:val="18"/>
        </w:rPr>
        <w:t xml:space="preserve">: A selection of transmission electron micrographs showing the formation of silicate glass impurity phases between the Ni particles and the YSZ electrolyte </w:t>
      </w:r>
      <w:r w:rsidRPr="00582C49">
        <w:rPr>
          <w:i/>
          <w:iCs/>
          <w:color w:val="44546A" w:themeColor="text2"/>
          <w:sz w:val="18"/>
          <w:szCs w:val="18"/>
        </w:rPr>
        <w:fldChar w:fldCharType="begin" w:fldLock="1"/>
      </w:r>
      <w:r w:rsidR="00D80A5D">
        <w:rPr>
          <w:i/>
          <w:iCs/>
          <w:color w:val="44546A" w:themeColor="text2"/>
          <w:sz w:val="18"/>
          <w:szCs w:val="18"/>
        </w:rPr>
        <w:instrText xml:space="preserve">ADDIN CSL_CITATION {"citationItems":[{"id":"ITEM-1","itemData":{"DOI":"10.1016/j.ssi.2004.08.018","ISBN":"01672738 (ISSN)","abstract":"This work is one of the first attempts of using focused ion beam/lift-out (FIB/lift-out) techniques to prepare TEM specimens containing electrode/electrolyte interfaces in solid oxide fuel cells (SOFC). The present specimen was made from an Ni+YSZ (anode)/YSZ (electrolyte) half-cell which has undergone a long-term testing at a temperature of 850 °C over 1800 h in H 2 with 1% to 3% H 2O under an anodic load of 300 mA cm -2. The microstructure and phase chemistry in the interfacial region was analyzed using a JEM-3000F and EDS with a lateral resolution of nanometers. The impurity phase accumulated at the interface seen earlier by SEM have been characterized. It is a silicate glass with an amorphous structure and a composition of </w:instrText>
      </w:r>
      <w:r w:rsidR="00D80A5D">
        <w:rPr>
          <w:rFonts w:ascii="Cambria Math" w:hAnsi="Cambria Math" w:cs="Cambria Math"/>
          <w:i/>
          <w:iCs/>
          <w:color w:val="44546A" w:themeColor="text2"/>
          <w:sz w:val="18"/>
          <w:szCs w:val="18"/>
        </w:rPr>
        <w:instrText>∼</w:instrText>
      </w:r>
      <w:r w:rsidR="00D80A5D">
        <w:rPr>
          <w:i/>
          <w:iCs/>
          <w:color w:val="44546A" w:themeColor="text2"/>
          <w:sz w:val="18"/>
          <w:szCs w:val="18"/>
        </w:rPr>
        <w:instrText>90 mol% SiO 2 as well as a few percent of Na 2O, CaO, ZrO 2, V 2O 3 etc. The silicate glass phase is distributed as films of nanoscale along the anode/electrolyte interface and Ni/YSZ grain boundaries. Its influence on the microstructural degradation of the interfacial region is evaluated. The FIB/lift-out techniques have been shown to be viable for specimen preparation from SOFC interface. © 2004 Elsevier B.V. All rights reserved.","author":[{"dropping-particle":"","family":"Liu","given":"Y L","non-dropping-particle":"","parse-names":false,"suffix":""},{"dropping-particle":"","family":"Jiao","given":"C","non-dropping-particle":"","parse-names":false,"suffix":""}],"container-title":"Solid State Ionics","id":"ITEM-1","issue":"5-6","issued":{"date-parts":[["2005"]]},"language":"English","note":"Cited By :74\nExport Date: 3 November 2016\nCODEN: SSIOD\nCorrespondence Address: Materials Research Department, Risø National Laboratory, P.O. Box 49, 4000 Roskilde, DenmarkDenmark; email: yi.lin.liu@risoe.dk\nReferences: Jørgensen, M.J., Holtappels, P., Appel, C.C., (2000) J. Appl. Electrochem., 30, pp. 411-418; Wiik, K., Schmidt, C.R., Faaland, S., Shamsili, S., Einarsrud, M.-A., Grande, T., (1999) J. Am. Ceram. Soc., 82, pp. 721-728; Hansen, K.V., Wallenberg, R., Chorkendorff, I., Mogensen, M., (2003) Solid State Ionics, 160, pp. 27-37; Liu, Y.L., Primdahl, S., Mogensen, M., (2003) Solid State Ionics, 161, pp. 1-10; Prenitzer, B.I., Urbanik-Shannon, C.A., Giannuzzi, L.A., Brown, S.R., Irwin, R.B., Shofner, T.L., Stevie, F.A., (2003) Microsc. Microanal., 9, pp. 216-236; Engelmann, H.-J., (2003) Prakt. Metallogr., 40, pp. 163-174; Primdahl, S., Mogensen, M., (2000) J. Appl. Electrochem., 30, pp. 247-257; Giannuzzi, L.A., Drown, J.L., Brown, S.R., Irwin, R.B., Stevie, F.A., (1998) Microsc. Res. Tech., 41, pp. 285-290; Dobrzhinetskaya, L.F., Green, H.W., Weschler, M., Darus, M., Wang, Y.-C., Massonne, H.-J., Stöckhert, B., (2003) Earth Planet. Sci. Lett., 210, pp. 399-410; Hutchinson, C.R., Hackenberg, R.E., Shiflet, G.J., (2003) Ultramicroscopy, 94, pp. 37-48; Loos, J., Van Duren, J.K.J., Morrissey, F., Janssen, R.A.J., (2002) Polymer, 43, pp. 7493-7496; Tietz, F., Koepke, J., Urland, W., (1992) J. Cryst. Growth, 118, pp. 314-318; Mazurin, O.V., Streltsina, M.V., Shvaiko-Shvaikovskaya, T.P., (1987) Handbook of Glass Data, Part C, p. 566. , Elsevier; Hughes, A.E., Badwal, S.P.S., (1991) Solid State Ionics, 46, pp. 265-274; Appel, C.C., Bonanos, N., (1999) J. Eur. Ceram. Soc., 19, pp. 847-851; Kuzjukevics, A., Linderoth, S., (1997) Solid State Ionics, 93, pp. 255-261; Kilo, M., Borchardt, G., De Souza, R.A., Ivers-Tiffee, E., Weber, S., Scherrer, S., Proceedings of the 195. Meeting of the electrochemical society (1999) The Electrochemical Society International Symposium Proceedings, 99, pp. 229-237. , E.D. Wachsman J.R. Akridge M. Liu N. Yamazoe, Solid-State Ionic Devices, The Electrochemical society Pennington, NJ, USA; Yokokawa, H., (1998) Key. Eng. Mater., 37, pp. 153-154; De Ridder, M., Van Welzenis, R.G., Denier Van DerGon, A.W., Brongersma, H.H., (2002) J. Appl. Phys., 92, pp. 3056-3064; Nakagawa, N., Sakurai, H., Kondo, K., Morimoto, T., Hatanaka, K., Kato, K., (1995) J. Electrochem. Soc., 142, p. 3474; Holland, L., (1964) The Properties of Glass Surface, , Chapman &amp;amp; Hall London; Tsoga, A., Naoumidis, A., Nikolopoulos, P., (1996) Acta Mater., 44, pp. 3679-3692; Volf, M.B., Chemical approach to glass (1984) Glass Science and Technology, 7, p. 329. , Elsevier; Larsen, P.H., (1999) Sealing Materials for Solid Oxide Fuel Cells, , PhD thesis, Sheffield University, UK; Mogensen, M., Primdahl, S., Vels Jensen, K., Jorgensen, M.J., Bagger, C., Foreign phases and SOFC electrode kinetics (2001) Proc. Solid Oxide Fuel Cells VII-Electrochemical Society 2001-16, pp. 521-528","page":"435-442","title":"Microstructure degradation of an anode/electrolyte interface in SOFC studied by transmission electron microscopy","type":"article-journal","volume":"176"},"uris":["http://www.mendeley.com/documents/?uuid=bd6ad123-8c88-4f6a-948e-24dd5fbe5142"]}],"mendeley":{"formattedCitation":"[252]","plainTextFormattedCitation":"[252]","previouslyFormattedCitation":"[252]"},"properties":{"noteIndex":0},"schema":"https://github.com/citation-style-language/schema/raw/master/csl-citation.json"}</w:instrText>
      </w:r>
      <w:r w:rsidRPr="00582C49">
        <w:rPr>
          <w:i/>
          <w:iCs/>
          <w:color w:val="44546A" w:themeColor="text2"/>
          <w:sz w:val="18"/>
          <w:szCs w:val="18"/>
        </w:rPr>
        <w:fldChar w:fldCharType="separate"/>
      </w:r>
      <w:r w:rsidR="006C586A" w:rsidRPr="006C586A">
        <w:rPr>
          <w:iCs/>
          <w:noProof/>
          <w:color w:val="44546A" w:themeColor="text2"/>
          <w:sz w:val="18"/>
          <w:szCs w:val="18"/>
        </w:rPr>
        <w:t>[252]</w:t>
      </w:r>
      <w:bookmarkEnd w:id="127"/>
      <w:r w:rsidRPr="00582C49">
        <w:rPr>
          <w:i/>
          <w:iCs/>
          <w:color w:val="44546A" w:themeColor="text2"/>
          <w:sz w:val="18"/>
          <w:szCs w:val="18"/>
        </w:rPr>
        <w:fldChar w:fldCharType="end"/>
      </w:r>
    </w:p>
    <w:p w14:paraId="2891F770" w14:textId="6A418391" w:rsidR="00007F6C" w:rsidRDefault="00007F6C" w:rsidP="005129DC">
      <w:pPr>
        <w:jc w:val="both"/>
      </w:pPr>
      <w:r>
        <w:lastRenderedPageBreak/>
        <w:t>The imaging of nickel crystallites on the surface of the cera</w:t>
      </w:r>
      <w:r w:rsidRPr="00612386">
        <w:t xml:space="preserve">mic substrate has been done successfully in a variety of situations with a notable example from a study into nickel catalyst dispersion by </w:t>
      </w:r>
      <w:proofErr w:type="spellStart"/>
      <w:r w:rsidRPr="00612386">
        <w:t>Sietsma</w:t>
      </w:r>
      <w:proofErr w:type="spellEnd"/>
      <w:r w:rsidRPr="00612386">
        <w:t>.</w:t>
      </w:r>
      <w:r>
        <w:t xml:space="preserve"> The use of high angular angle annular dark field imaging (HAADF) to image this system provided some striking transmission electron micrographs. The major benefit of using this detector setting is that the smaller catalyst particles are portrayed in white making analysing the image easier. (See </w:t>
      </w:r>
      <w:r w:rsidRPr="00582C49">
        <w:fldChar w:fldCharType="begin"/>
      </w:r>
      <w:r w:rsidRPr="00582C49">
        <w:instrText xml:space="preserve"> REF _Ref474416318 \h  \* MERGEFORMAT </w:instrText>
      </w:r>
      <w:r w:rsidRPr="00582C49">
        <w:fldChar w:fldCharType="separate"/>
      </w:r>
      <w:r w:rsidR="00804219" w:rsidRPr="00804219">
        <w:t>Figure 2.20</w:t>
      </w:r>
      <w:r w:rsidRPr="00582C49">
        <w:fldChar w:fldCharType="end"/>
      </w:r>
      <w:r>
        <w:t xml:space="preserve">) These images illustrate how effective TEM can be for qualitative microstructural analysis of Ni/YSZ anodes. The micrograph showing the dispersion of the </w:t>
      </w:r>
      <w:proofErr w:type="spellStart"/>
      <w:r>
        <w:t>NiO</w:t>
      </w:r>
      <w:proofErr w:type="spellEnd"/>
      <w:r>
        <w:t xml:space="preserve"> across the silica (bottom right hand corner) also shows how at very small adatom sizes and high distributions the contrast begins to become slightly unclear </w:t>
      </w:r>
      <w:r>
        <w:fldChar w:fldCharType="begin" w:fldLock="1"/>
      </w:r>
      <w:r w:rsidR="00D80A5D">
        <w:instrText>ADDIN CSL_CITATION {"citationItems":[{"id":"ITEM-1","itemData":{"DOI":"10.1149/1.2193400","ISBN":"0013-4651","ISSN":"00134651","abstract":"The degradation behavior of anode supported solid oxide fuel cells ͑SOFCs͒ was investigated as a function of operating tempera-ture and current density. Degradation rates were defined and shown to be mainly dependent on the cell polarization. The combi-nation of a detailed evaluation of electrochemical properties by impedance spectroscopy, in particular, and post-test microscopy revealed that cathode degradation was the dominant contribution to degradation at higher current densities and lower temperatures. The anode was found to contribute more to degradation at higher temperatures. Generally, the degradation rates obtained were lower at higher operating temperatures, even at higher current densities. A degradation rate as low as 2%/1000 h was observed at 1.7 A/cm 2 and 950°C over an operating period of 1500 h. Long-term stability is an important requirement for the applica-tion of fuel cell technology. The total degradation of the cell perfor-mance while operating under constant conditions is the sum of con-tributions from all constituents of the test assembly ͓anode, cathode, electrolyte of the solid oxide fuel cell ͑SOFC͒, their interfaces, and perhaps also auxiliary components 1,2","author":[{"dropping-particle":"","family":"Barfod","given":"Rasmus","non-dropping-particle":"","parse-names":false,"suffix":""},{"dropping-particle":"","family":"Hagen","given":"Anke","non-dropping-particle":"","parse-names":false,"suffix":""},{"dropping-particle":"","family":"Ramousse","given":"Severine","non-dropping-particle":"","parse-names":false,"suffix":""},{"dropping-particle":"","family":"Hendriksen","given":"Peter Vang","non-dropping-particle":"","parse-names":false,"suffix":""},{"dropping-particle":"","family":"Liu","given":"Yi-Lin","non-dropping-particle":"","parse-names":false,"suffix":""}],"container-title":"Journal of The Electrochemical Society","id":"ITEM-1","issue":"6","issued":{"date-parts":[["2007"]]},"page":"A1165","title":"Degradation of Anode Supported SOFCs as a Function of Temperature and Current Load","type":"article-journal","volume":"153"},"uris":["http://www.mendeley.com/documents/?uuid=32c76044-f4c8-4507-8574-f44636b27cf7"]},{"id":"ITEM-2","itemData":{"DOI":"10.1002/anie.200700608","ISBN":"1521-3773","author":[{"dropping-particle":"","family":"Sietsma","given":"Jelle R  A","non-dropping-particle":"","parse-names":false,"suffix":""},{"dropping-particle":"","family":"Meeldijk","given":"Johannes D","non-dropping-particle":"","parse-names":false,"suffix":""},{"dropping-particle":"","family":"den Breejen","given":"Johan P","non-dropping-particle":"","parse-names":false,"suffix":""},{"dropping-particle":"","family":"Versluijs-Helder","given":"Marjan","non-dropping-particle":"","parse-names":false,"suffix":""},{"dropping-particle":"","family":"van Dillen","given":"A  Jos","non-dropping-particle":"","parse-names":false,"suffix":""},{"dropping-particle":"","family":"de Jongh","given":"Petra E","non-dropping-particle":"","parse-names":false,"suffix":""},{"dropping-particle":"","family":"de Jong","given":"Krijn P","non-dropping-particle":"","parse-names":false,"suffix":""}],"container-title":"Angewandte Chemie International Edition","id":"ITEM-2","issue":"24","issued":{"date-parts":[["2007"]]},"page":"4547-4549","publisher":"WILEY-VCH Verlag","title":"The Preparation of Supported NiO and Co3O4 Nanoparticles by the Nitric Oxide Controlled Thermal Decomposition of Nitrates","type":"article-journal","volume":"46"},"uris":["http://www.mendeley.com/documents/?uuid=be767477-553a-4708-8283-aecfed03def0"]}],"mendeley":{"formattedCitation":"[174], [253]","plainTextFormattedCitation":"[174], [253]","previouslyFormattedCitation":"[174], [253]"},"properties":{"noteIndex":0},"schema":"https://github.com/citation-style-language/schema/raw/master/csl-citation.json"}</w:instrText>
      </w:r>
      <w:r>
        <w:fldChar w:fldCharType="separate"/>
      </w:r>
      <w:r w:rsidR="006C586A" w:rsidRPr="006C586A">
        <w:rPr>
          <w:noProof/>
        </w:rPr>
        <w:t>[174], [253]</w:t>
      </w:r>
      <w:r>
        <w:fldChar w:fldCharType="end"/>
      </w:r>
      <w:r>
        <w:t xml:space="preserve">. </w:t>
      </w:r>
    </w:p>
    <w:p w14:paraId="02CE4DCC" w14:textId="339C5528" w:rsidR="00007F6C" w:rsidRDefault="00007F6C" w:rsidP="005129DC">
      <w:pPr>
        <w:jc w:val="both"/>
      </w:pPr>
      <w:r w:rsidRPr="002B6C9E">
        <w:t>The dispersal of metal catalysts throughout the YSZ pore structure cannot be</w:t>
      </w:r>
      <w:r>
        <w:t xml:space="preserve"> simply</w:t>
      </w:r>
      <w:r w:rsidRPr="002B6C9E">
        <w:t xml:space="preserve"> analysed using transition electron microscopy. This is due to the 2D image of the </w:t>
      </w:r>
      <w:r>
        <w:t xml:space="preserve">sample being producing less qualitative information of the </w:t>
      </w:r>
      <w:r w:rsidRPr="002B6C9E">
        <w:t>3D pore network.</w:t>
      </w:r>
      <w:r>
        <w:t xml:space="preserve"> This opens the door for other characterisation techniques such as tomography and atomic force </w:t>
      </w:r>
      <w:r w:rsidR="00811792">
        <w:t>microscopy.</w:t>
      </w:r>
      <w:r w:rsidRPr="002B6C9E">
        <w:t xml:space="preserve"> </w:t>
      </w:r>
    </w:p>
    <w:p w14:paraId="3F8B30E0" w14:textId="77777777" w:rsidR="00007F6C" w:rsidRDefault="00007F6C" w:rsidP="005129DC">
      <w:pPr>
        <w:keepNext/>
        <w:jc w:val="center"/>
      </w:pPr>
      <w:r>
        <w:rPr>
          <w:noProof/>
          <w:lang w:eastAsia="en-GB"/>
        </w:rPr>
        <w:drawing>
          <wp:inline distT="0" distB="0" distL="0" distR="0" wp14:anchorId="749AC25D" wp14:editId="72B9204C">
            <wp:extent cx="3600000" cy="5061098"/>
            <wp:effectExtent l="0" t="0" r="635" b="635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Sietsma TEM images.png"/>
                    <pic:cNvPicPr/>
                  </pic:nvPicPr>
                  <pic:blipFill rotWithShape="1">
                    <a:blip r:embed="rId40" cstate="print">
                      <a:extLst>
                        <a:ext uri="{28A0092B-C50C-407E-A947-70E740481C1C}">
                          <a14:useLocalDpi xmlns:a14="http://schemas.microsoft.com/office/drawing/2010/main" val="0"/>
                        </a:ext>
                      </a:extLst>
                    </a:blip>
                    <a:srcRect b="9252"/>
                    <a:stretch/>
                  </pic:blipFill>
                  <pic:spPr bwMode="auto">
                    <a:xfrm>
                      <a:off x="0" y="0"/>
                      <a:ext cx="3600000" cy="5061098"/>
                    </a:xfrm>
                    <a:prstGeom prst="rect">
                      <a:avLst/>
                    </a:prstGeom>
                    <a:ln>
                      <a:noFill/>
                    </a:ln>
                    <a:extLst>
                      <a:ext uri="{53640926-AAD7-44D8-BBD7-CCE9431645EC}">
                        <a14:shadowObscured xmlns:a14="http://schemas.microsoft.com/office/drawing/2010/main"/>
                      </a:ext>
                    </a:extLst>
                  </pic:spPr>
                </pic:pic>
              </a:graphicData>
            </a:graphic>
          </wp:inline>
        </w:drawing>
      </w:r>
    </w:p>
    <w:p w14:paraId="59DEC9D5" w14:textId="4CC037DB" w:rsidR="00007F6C" w:rsidRPr="00582C49" w:rsidRDefault="00007F6C" w:rsidP="005129DC">
      <w:pPr>
        <w:jc w:val="center"/>
        <w:rPr>
          <w:i/>
          <w:iCs/>
          <w:color w:val="44546A" w:themeColor="text2"/>
          <w:sz w:val="18"/>
          <w:szCs w:val="18"/>
        </w:rPr>
      </w:pPr>
      <w:bookmarkStart w:id="128" w:name="_Ref474416318"/>
      <w:bookmarkStart w:id="129" w:name="_Ref474416313"/>
      <w:bookmarkStart w:id="130" w:name="_Toc69114932"/>
      <w:r w:rsidRPr="00582C49">
        <w:rPr>
          <w:i/>
          <w:iCs/>
          <w:color w:val="44546A" w:themeColor="text2"/>
          <w:sz w:val="18"/>
          <w:szCs w:val="18"/>
        </w:rPr>
        <w:t>Figure 2.</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804219">
        <w:rPr>
          <w:i/>
          <w:iCs/>
          <w:noProof/>
          <w:color w:val="44546A" w:themeColor="text2"/>
          <w:sz w:val="18"/>
          <w:szCs w:val="18"/>
        </w:rPr>
        <w:t>20</w:t>
      </w:r>
      <w:r w:rsidR="00285C23">
        <w:rPr>
          <w:i/>
          <w:iCs/>
          <w:color w:val="44546A" w:themeColor="text2"/>
          <w:sz w:val="18"/>
          <w:szCs w:val="18"/>
        </w:rPr>
        <w:fldChar w:fldCharType="end"/>
      </w:r>
      <w:bookmarkEnd w:id="128"/>
      <w:r w:rsidRPr="00582C49">
        <w:rPr>
          <w:i/>
          <w:iCs/>
          <w:color w:val="44546A" w:themeColor="text2"/>
          <w:sz w:val="18"/>
          <w:szCs w:val="18"/>
        </w:rPr>
        <w:t>: Scanning transmission electron micrographs of Nickel nitrate hydroxide (centre) on silica substrates after a drying step at 120</w:t>
      </w:r>
      <w:r>
        <w:rPr>
          <w:i/>
          <w:iCs/>
          <w:color w:val="44546A" w:themeColor="text2"/>
          <w:sz w:val="18"/>
          <w:szCs w:val="18"/>
        </w:rPr>
        <w:t>⁰</w:t>
      </w:r>
      <w:r w:rsidRPr="00582C49">
        <w:rPr>
          <w:i/>
          <w:iCs/>
          <w:color w:val="44546A" w:themeColor="text2"/>
          <w:sz w:val="18"/>
          <w:szCs w:val="18"/>
        </w:rPr>
        <w:t xml:space="preserve">C. The outer images depict the </w:t>
      </w:r>
      <w:proofErr w:type="spellStart"/>
      <w:r w:rsidRPr="00582C49">
        <w:rPr>
          <w:i/>
          <w:iCs/>
          <w:color w:val="44546A" w:themeColor="text2"/>
          <w:sz w:val="18"/>
          <w:szCs w:val="18"/>
        </w:rPr>
        <w:t>NiO</w:t>
      </w:r>
      <w:proofErr w:type="spellEnd"/>
      <w:r w:rsidRPr="00582C49">
        <w:rPr>
          <w:i/>
          <w:iCs/>
          <w:color w:val="44546A" w:themeColor="text2"/>
          <w:sz w:val="18"/>
          <w:szCs w:val="18"/>
        </w:rPr>
        <w:t xml:space="preserve"> catalysts after a heat treatment at 450°C in different atmospheres. The micrographs on the LHS use air and RHS use either helium or 1%NO/He</w:t>
      </w:r>
      <w:r w:rsidRPr="00582C49">
        <w:rPr>
          <w:i/>
          <w:iCs/>
          <w:color w:val="44546A" w:themeColor="text2"/>
          <w:sz w:val="18"/>
          <w:szCs w:val="18"/>
        </w:rPr>
        <w:fldChar w:fldCharType="begin" w:fldLock="1"/>
      </w:r>
      <w:r w:rsidR="00D80A5D">
        <w:rPr>
          <w:i/>
          <w:iCs/>
          <w:color w:val="44546A" w:themeColor="text2"/>
          <w:sz w:val="18"/>
          <w:szCs w:val="18"/>
        </w:rPr>
        <w:instrText>ADDIN CSL_CITATION {"citationItems":[{"id":"ITEM-1","itemData":{"DOI":"http://dx.doi.org/10.1016/j.jcat.2008.10.007","ISBN":"0021-9517","abstract":"An explanation is put forward for the beneficial effect of thermal decomposition of supported Ni3(NO3)2(OH)4 in NO/He flow (0.1–1 vol%) that enables preparation of well-dispersed (3–5 nm particles) 24 wt% Ni-catalysts via impregnation and drying using aqueous [Ni(OH2)6](NO3)2 precursor solution. Moreover, combining electron tomography, XRD and N2-physisorption with SBA-15 support yielded a clear picture of the impact of air, He and NO/He gas atmospheres on NiO shape and distribution. TGA/MS indicated that NO2, N2O, H2O products evolved more gradually in NO/He. In situ XRD and DSC revealed that NO lowers the nitrate decomposition rate and appears less endothermic than in air supposedly due to exothermic scavenging of oxygen by NO, which is supported by MS results. The Ni/SiO2 catalyst prepared via the NO-method displayed a higher activity in the hydrogenation of soybean oil as the required hydrogenation time decreased by 30% compared to the traditionally air calcined catalyst.","author":[{"dropping-particle":"","family":"Sietsma","given":"Jelle R A","non-dropping-particle":"","parse-names":false,"suffix":""},{"dropping-particle":"","family":"Friedrich","given":"Heiner","non-dropping-particle":"","parse-names":false,"suffix":""},{"dropping-particle":"","family":"Broersma","given":"Alfred","non-dropping-particle":"","parse-names":false,"suffix":""},{"dropping-particle":"","family":"Versluijs-Helder","given":"Marjan","non-dropping-particle":"","parse-names":false,"suffix":""},{"dropping-particle":"","family":"Jos van Dillen","given":"A","non-dropping-particle":"","parse-names":false,"suffix":""},{"dropping-particle":"","family":"Jongh","given":"Petra E","non-dropping-particle":"de","parse-names":false,"suffix":""},{"dropping-particle":"","family":"Jong","given":"Krijn P","non-dropping-particle":"de","parse-names":false,"suffix":""}],"container-title":"Journal of Catalysis","id":"ITEM-1","issue":"2","issued":{"date-parts":[["2008"]]},"page":"227-235","title":"How nitric oxide affects the decomposition of supported nickel nitrate to arrive at highly dispersed catalysts","type":"article-journal","volume":"260"},"uris":["http://www.mendeley.com/documents/?uuid=bb48dacb-b120-4d69-8aa1-ed647712a98d"]}],"mendeley":{"formattedCitation":"[175]","plainTextFormattedCitation":"[175]","previouslyFormattedCitation":"[175]"},"properties":{"noteIndex":0},"schema":"https://github.com/citation-style-language/schema/raw/master/csl-citation.json"}</w:instrText>
      </w:r>
      <w:r w:rsidRPr="00582C49">
        <w:rPr>
          <w:i/>
          <w:iCs/>
          <w:color w:val="44546A" w:themeColor="text2"/>
          <w:sz w:val="18"/>
          <w:szCs w:val="18"/>
        </w:rPr>
        <w:fldChar w:fldCharType="separate"/>
      </w:r>
      <w:r w:rsidR="006C586A" w:rsidRPr="006C586A">
        <w:rPr>
          <w:iCs/>
          <w:noProof/>
          <w:color w:val="44546A" w:themeColor="text2"/>
          <w:sz w:val="18"/>
          <w:szCs w:val="18"/>
        </w:rPr>
        <w:t>[175]</w:t>
      </w:r>
      <w:r w:rsidRPr="00582C49">
        <w:rPr>
          <w:i/>
          <w:iCs/>
          <w:color w:val="44546A" w:themeColor="text2"/>
          <w:sz w:val="18"/>
          <w:szCs w:val="18"/>
        </w:rPr>
        <w:fldChar w:fldCharType="end"/>
      </w:r>
      <w:r w:rsidRPr="00582C49">
        <w:rPr>
          <w:i/>
          <w:iCs/>
          <w:color w:val="44546A" w:themeColor="text2"/>
          <w:sz w:val="18"/>
          <w:szCs w:val="18"/>
        </w:rPr>
        <w:t>.</w:t>
      </w:r>
      <w:bookmarkEnd w:id="123"/>
      <w:bookmarkEnd w:id="129"/>
      <w:bookmarkEnd w:id="130"/>
      <w:r>
        <w:rPr>
          <w:i/>
          <w:iCs/>
          <w:color w:val="44546A" w:themeColor="text2"/>
          <w:sz w:val="18"/>
          <w:szCs w:val="18"/>
        </w:rPr>
        <w:t xml:space="preserve"> </w:t>
      </w:r>
    </w:p>
    <w:p w14:paraId="52F1D3A8" w14:textId="77777777" w:rsidR="00007F6C" w:rsidRPr="002B6C9E" w:rsidRDefault="00007F6C" w:rsidP="005129DC">
      <w:pPr>
        <w:pStyle w:val="Heading4"/>
      </w:pPr>
      <w:bookmarkStart w:id="131" w:name="_Ref468873661"/>
      <w:bookmarkStart w:id="132" w:name="_Toc474489933"/>
      <w:bookmarkStart w:id="133" w:name="_Toc474489942"/>
      <w:bookmarkStart w:id="134" w:name="_Toc474489936"/>
      <w:r>
        <w:lastRenderedPageBreak/>
        <w:t>2.4.2.3</w:t>
      </w:r>
      <w:r>
        <w:tab/>
      </w:r>
      <w:r w:rsidRPr="002B6C9E">
        <w:t xml:space="preserve">Focussed </w:t>
      </w:r>
      <w:r>
        <w:t>I</w:t>
      </w:r>
      <w:r w:rsidRPr="002B6C9E">
        <w:t xml:space="preserve">on beam Scanning Electron </w:t>
      </w:r>
      <w:bookmarkEnd w:id="131"/>
      <w:bookmarkEnd w:id="132"/>
      <w:r>
        <w:t>Microscopy (FIB-SEM)</w:t>
      </w:r>
    </w:p>
    <w:p w14:paraId="2251C7B9" w14:textId="2A07AB2D" w:rsidR="00007F6C" w:rsidRDefault="00007F6C" w:rsidP="005129DC">
      <w:pPr>
        <w:jc w:val="both"/>
      </w:pPr>
      <w:r>
        <w:t>In the past 15 years SOFC research has transitioned from the analysis of 2D micrographs to calculating the volume % changes of phases in the electrode using 3D reconstructions</w:t>
      </w:r>
      <w:r>
        <w:fldChar w:fldCharType="begin" w:fldLock="1"/>
      </w:r>
      <w:r w:rsidR="00D80A5D">
        <w:instrText>ADDIN CSL_CITATION {"citationItems":[{"id":"ITEM-1","itemData":{"DOI":"10.1038/nmat1668","ISSN":"14764660","author":[{"dropping-particle":"","family":"Wilson","given":"James R.","non-dropping-particle":"","parse-names":false,"suffix":""},{"dropping-particle":"","family":"Kobsiriphat","given":"Worawarit","non-dropping-particle":"","parse-names":false,"suffix":""},{"dropping-particle":"","family":"Mendoza","given":"Roberto","non-dropping-particle":"","parse-names":false,"suffix":""},{"dropping-particle":"","family":"Chen","given":"Hsun Yi","non-dropping-particle":"","parse-names":false,"suffix":""},{"dropping-particle":"","family":"Hiller","given":"Jon M.","non-dropping-particle":"","parse-names":false,"suffix":""},{"dropping-particle":"","family":"Miller","given":"Dean J.","non-dropping-particle":"","parse-names":false,"suffix":""},{"dropping-particle":"","family":"Thornton","given":"Katsuyo","non-dropping-particle":"","parse-names":false,"suffix":""},{"dropping-particle":"","family":"Voorhees","given":"Peter W.","non-dropping-particle":"","parse-names":false,"suffix":""},{"dropping-particle":"","family":"Adler","given":"Stuart B.","non-dropping-particle":"","parse-names":false,"suffix":""},{"dropping-particle":"","family":"Barnett","given":"Scott A.","non-dropping-particle":"","parse-names":false,"suffix":""}],"container-title":"Nature Materials","id":"ITEM-1","issue":"7","issued":{"date-parts":[["2006"]]},"page":"541-544","title":"Three-dimensional reconstruction of a solid-oxide fuel-cell anode","type":"article-journal","volume":"5"},"uris":["http://www.mendeley.com/documents/?uuid=10b95baa-5353-467e-bf32-720599c670bd"]},{"id":"ITEM-2","itemData":{"DOI":"10.1016/j.mattod.2019.05.019","ISSN":"18734103","abstract":"Over the last century, X-ray imaging instruments and their accompanying tomographic reconstruction algorithms have developed considerably. With improved tomogram quality and resolution, voxel sizes down to tens of nanometers can now be achieved. Moreover, recent advancements in readily accessible lab-based X-ray computed tomography (X-ray CT) instruments have produced spatial resolutions comparable to specialist synchrotron facilities. Electrochemical energy conversion devices, such as fuel cells and batteries, have inherently complex electrode microstructures to achieve competitive power delivery for consideration as replacements for conventional sources. With resolution capabilities spanning tens of microns to tens of nanometers, X-ray CT has become widely employed in the three-dimensional (3D) characterization of electrochemical materials. The ability to perform multiscale imaging has enabled characterization from system-down to particle-level, with the ability to resolve critical features within device microstructures. X-ray characterization presents a favorable alternative to other 3D methods, such as focused ion beam scanning electron microscopy, due to its non-destructive nature, which allows four-dimensional (4D) studies, three spatial dimensions plus time, linking structural dynamics to device performance and lifetime. X-ray CT has accelerated research from fundamental understanding of the links between cell structure and performance, to the improvement in manufacturing and scale-up of full electrochemical cells. Furthermore, this has aided in the mitigation of degradation and cell-level failures, such as thermal runaway. This review presents recent developments in the use of X-ray CT as a characterization method and its role in the advancement of electrochemical materials engineering.","author":[{"dropping-particle":"","family":"Heenan","given":"Thomas M.M.","non-dropping-particle":"","parse-names":false,"suffix":""},{"dropping-particle":"","family":"Tan","given":"Chun","non-dropping-particle":"","parse-names":false,"suffix":""},{"dropping-particle":"","family":"Hack","given":"Jennifer","non-dropping-particle":"","parse-names":false,"suffix":""},{"dropping-particle":"","family":"Brett","given":"Dan J.L.","non-dropping-particle":"","parse-names":false,"suffix":""},{"dropping-particle":"","family":"Shearing","given":"Paul R.","non-dropping-particle":"","parse-names":false,"suffix":""}],"container-title":"Materials Today","id":"ITEM-2","issue":"December","issued":{"date-parts":[["2019"]]},"page":"69-85","publisher":"Elsevier B.V.","title":"Developments in X-ray tomography characterization for electrochemical devices","type":"article-journal","volume":"31"},"uris":["http://www.mendeley.com/documents/?uuid=5a69f3ee-6f01-46b1-a3b2-22259527df4c"]}],"mendeley":{"formattedCitation":"[254], [255]","plainTextFormattedCitation":"[254], [255]","previouslyFormattedCitation":"[254], [255]"},"properties":{"noteIndex":0},"schema":"https://github.com/citation-style-language/schema/raw/master/csl-citation.json"}</w:instrText>
      </w:r>
      <w:r>
        <w:fldChar w:fldCharType="separate"/>
      </w:r>
      <w:r w:rsidR="006C586A" w:rsidRPr="006C586A">
        <w:rPr>
          <w:noProof/>
        </w:rPr>
        <w:t>[254], [255]</w:t>
      </w:r>
      <w:r>
        <w:fldChar w:fldCharType="end"/>
      </w:r>
      <w:r>
        <w:t xml:space="preserve">. </w:t>
      </w:r>
      <w:r w:rsidRPr="00612386">
        <w:t>This was first pioneered by Wilson et al. using Focussed-Ion Beam Scanning Electron Microscopy (FIB-SEM)</w:t>
      </w:r>
      <w:r>
        <w:t xml:space="preserve"> </w:t>
      </w:r>
      <w:r w:rsidRPr="00612386">
        <w:fldChar w:fldCharType="begin" w:fldLock="1"/>
      </w:r>
      <w:r w:rsidR="00D80A5D">
        <w:instrText>ADDIN CSL_CITATION {"citationItems":[{"id":"ITEM-1","itemData":{"DOI":"10.1038/nmat1668","ISSN":"14764660","author":[{"dropping-particle":"","family":"Wilson","given":"James R.","non-dropping-particle":"","parse-names":false,"suffix":""},{"dropping-particle":"","family":"Kobsiriphat","given":"Worawarit","non-dropping-particle":"","parse-names":false,"suffix":""},{"dropping-particle":"","family":"Mendoza","given":"Roberto","non-dropping-particle":"","parse-names":false,"suffix":""},{"dropping-particle":"","family":"Chen","given":"Hsun Yi","non-dropping-particle":"","parse-names":false,"suffix":""},{"dropping-particle":"","family":"Hiller","given":"Jon M.","non-dropping-particle":"","parse-names":false,"suffix":""},{"dropping-particle":"","family":"Miller","given":"Dean J.","non-dropping-particle":"","parse-names":false,"suffix":""},{"dropping-particle":"","family":"Thornton","given":"Katsuyo","non-dropping-particle":"","parse-names":false,"suffix":""},{"dropping-particle":"","family":"Voorhees","given":"Peter W.","non-dropping-particle":"","parse-names":false,"suffix":""},{"dropping-particle":"","family":"Adler","given":"Stuart B.","non-dropping-particle":"","parse-names":false,"suffix":""},{"dropping-particle":"","family":"Barnett","given":"Scott A.","non-dropping-particle":"","parse-names":false,"suffix":""}],"container-title":"Nature Materials","id":"ITEM-1","issue":"7","issued":{"date-parts":[["2006"]]},"page":"541-544","title":"Three-dimensional reconstruction of a solid-oxide fuel-cell anode","type":"article-journal","volume":"5"},"uris":["http://www.mendeley.com/documents/?uuid=10b95baa-5353-467e-bf32-720599c670bd"]}],"mendeley":{"formattedCitation":"[254]","plainTextFormattedCitation":"[254]","previouslyFormattedCitation":"[254]"},"properties":{"noteIndex":0},"schema":"https://github.com/citation-style-language/schema/raw/master/csl-citation.json"}</w:instrText>
      </w:r>
      <w:r w:rsidRPr="00612386">
        <w:fldChar w:fldCharType="separate"/>
      </w:r>
      <w:r w:rsidR="006C586A" w:rsidRPr="006C586A">
        <w:rPr>
          <w:noProof/>
        </w:rPr>
        <w:t>[254]</w:t>
      </w:r>
      <w:r w:rsidRPr="00612386">
        <w:fldChar w:fldCharType="end"/>
      </w:r>
      <w:r w:rsidRPr="00612386">
        <w:t>.</w:t>
      </w:r>
    </w:p>
    <w:p w14:paraId="3667C911" w14:textId="3F74E553" w:rsidR="00007F6C" w:rsidRDefault="00007F6C" w:rsidP="005129DC">
      <w:pPr>
        <w:jc w:val="both"/>
      </w:pPr>
      <w:r>
        <w:t xml:space="preserve">In a bid to identify the rate limiting step present in fuel electrodes, microstructural phase quantification has become commonplace in SOFC research </w:t>
      </w:r>
      <w:r>
        <w:fldChar w:fldCharType="begin" w:fldLock="1"/>
      </w:r>
      <w:r w:rsidR="00D80A5D">
        <w:instrText xml:space="preserve">ADDIN CSL_CITATION {"citationItems":[{"id":"ITEM-1","itemData":{"DOI":"10.1016/j.jpowsour.2017.11.024","ISSN":"03787753","abstract":"Ni-YSZ anodes for Solid Oxide Fuel Cells are vulnerable to microstructural damage during redox cycling leading to a decrease in the electrochemical performance. This study quantifies the microstructural changes as a function of redox cycles at 800 °C and associates it to the deterioration of the mechanical properties and polarisation resistance. A physically-based model is used to estimate the triple-phase boundary (TPB) length from impedance spectra, and satisfactorily matches the TPB length quantified by FIB-SEM tomography: within 20 redox cycles, the TPB density decreases from 4.63 μm−2 to 1.06 μm−2. Although the polarisation resistance increases by an order of magnitude after 20 cycles, after each re-reduction the electrode polarisation improves consistently due to the transient generation of Ni nanoparticles around the TPBs. Nonetheless, the long-term degradation overshadows this transient improvement due to the nickel agglomeration. In addition, FIB-SEM tomography reveals fractures along YSZ grain boundaries, Ni-YSZ detachment and increased porosity in the composite that lead to irreversible mechanical damage: the elastic modulus diminishes from 36.4 GPa to 20.2 GPa and the hardness from 0.40 GPa to 0.15 GPa. These results suggest that microstructural, mechanical and electrochemical properties are strongly interdependent in determining the degradation caused by redox cycling.","author":[{"dropping-particle":"","family":"Song","given":"Bowen","non-dropping-particle":"","parse-names":false,"suffix":""},{"dropping-particle":"","family":"Ruiz-Trejo","given":"Enrique","non-dropping-particle":"","parse-names":false,"suffix":""},{"dropping-particle":"","family":"Bertei","given":"Antonio","non-dropping-particle":"","parse-names":false,"suffix":""},{"dropping-particle":"","family":"Brandon","given":"Nigel P.","non-dropping-particle":"","parse-names":false,"suffix":""}],"container-title":"Journal of Power Sources","id":"ITEM-1","issue":"October 2017","issued":{"date-parts":[["2018"]]},"page":"61-68","publisher":"Elsevier","title":"Quantification of the degradation of Ni-YSZ anodes upon redox cycling","type":"article-journal","volume":"374"},"uris":["http://www.mendeley.com/documents/?uuid=2d196a90-b175-41a8-8950-bf55e54a2b42"]},{"id":"ITEM-2","itemData":{"DOI":"10.1016/j.jpowsour.2014.05.038","ISBN":"03787753","ISSN":"03787753","abstract":"This paper, for the first time, demonstrates the three-dimensional imaging of nano-particle infiltrated Ni-GDC (gadolinia-doped ceria) electrodes using focused ion beam tomography. Microstructural parameters of the actual electrode microstructure are quantified, such as volume fraction, TPB density and mean particle/pore sizes. These microstructural parameters reveal that the infiltrated electrodes have eight times larger TPB density than conventional electrodes fabricated by powder mixing and sintering methods. Comparison between the infiltrated electrodes and conventional electrodes indicates that the infiltrated electrodes have a greater potential to independently control metal particle size, porosity and TPB density, which is a significant advantage in developing design optimized electrode microstructures. © 2014 Elsevier B.V. All rights reserved.","author":[{"dropping-particle":"","family":"Kishimoto","given":"Masashi","non-dropping-particle":"","parse-names":false,"suffix":""},{"dropping-particle":"","family":"Lomberg","given":"Marina","non-dropping-particle":"","parse-names":false,"suffix":""},{"dropping-particle":"","family":"Ruiz-Trejo","given":"Enrique","non-dropping-particle":"","parse-names":false,"suffix":""},{"dropping-particle":"","family":"Brandon","given":"Nigel P.","non-dropping-particle":"","parse-names":false,"suffix":""}],"container-title":"Journal of Power Sources","id":"ITEM-2","issued":{"date-parts":[["2014"]]},"page":"291-295","publisher":"Elsevier B.V","title":"Enhanced triple-phase boundary density in infiltrated electrodes for solid oxide fuel cells demonstrated by high-resolution tomography","type":"article-journal","volume":"266"},"uris":["http://www.mendeley.com/documents/?uuid=e77748b0-09e4-4f33-8c23-e66dfce43624"]},{"id":"ITEM-3","itemData":{"DOI":"10.1016/j.scriptamat.2010.09.025","ISSN":"13596462","abstract":"In this work we demonstrate the utility of three-dimensional focused ion beam-scanning electron microscopy nanotomography for understanding composite electrode performance and degradation. Phase connectivity, electrochemically active triple-phase boundary density and phase tortuosity are calculated for a series of anodes with varying Ni-YSZ composition. These structural characteristics, achievable only through three-dimensional interrogation, are shown to play a vital role in determining electrode polarization resistance. Additionally, Ni-YSZ samples are experimentally annealed in hydrogen and reconstructed to quantitatively assess degradation as a function of reduced triple-phase boundary density. © 2011 Acta Materialia Inc. Published by Elsevier Ltd. All rights reserved.","author":[{"dropping-particle":"","family":"Wilson","given":"James R.","non-dropping-particle":"","parse-names":false,"suffix":""},{"dropping-particle":"","family":"Cronin","given":"J. Scott","non-dropping-particle":"","parse-names":false,"suffix":""},{"dropping-particle":"","family":"Barnett","given":"Scott A.","non-dropping-particle":"","parse-names":false,"suffix":""}],"container-title":"Scripta Materialia","id":"ITEM-3","issue":"2","issued":{"date-parts":[["2011"]]},"page":"67-72","publisher":"Acta Materialia Inc.","title":"Linking the microstructure, performance and durability of Ni-yttria-stabilized zirconia solid oxide fuel cell anodes using three-dimensional focused ion beam-scanning electron microscopy imaging","type":"article-journal","volume":"65"},"uris":["http://www.mendeley.com/documents/?uuid=8e224c26-4322-4844-85ac-4034d442ccb6"]},{"id":"ITEM-4","itemData":{"DOI":"10.1016/j.jpowsour.2010.10.084","ISSN":"03787753","abstract":"Temperature induced degradation in Solid Oxide Fuel Cell (SOFC) Ni-YSZ anodes was studied using both impedance spectroscopy and three-dimensional tomography via Focused Ion Beam-Scanning Electron Microscopy. A 100 h anneal at 1100 °C caused a 90% increase in cell polarization resistance, which correlated with the observed factor of </w:instrText>
      </w:r>
      <w:r w:rsidR="00D80A5D">
        <w:rPr>
          <w:rFonts w:ascii="Cambria Math" w:hAnsi="Cambria Math" w:cs="Cambria Math"/>
        </w:rPr>
        <w:instrText>∼</w:instrText>
      </w:r>
      <w:r w:rsidR="00D80A5D">
        <w:instrText>2 reduction in the electrochemically active three-phase boundary (TPB) density. The TPB decrease was caused by a significant decrease in pore percolation, and a reduction in pore interfacial area due to pores becoming larger and more equiaxed. The anneal caused no measurable change in average Ni particle size; Ni coarsening was apparently highly constrained in these anodes due to the relatively large YSZ volume fraction and low pore volume. © 2010 Elsevier B.V. All rights reserved.","author":[{"dropping-particle":"","family":"Cronin","given":"J. Scott","non-dropping-particle":"","parse-names":false,"suffix":""},{"dropping-particle":"","family":"Wilson","given":"James R.","non-dropping-particle":"","parse-names":false,"suffix":""},{"dropping-particle":"","family":"Barnett","given":"Scott A.","non-dropping-particle":"","parse-names":false,"suffix":""}],"container-title":"Journal of Power Sources","id":"ITEM-4","issue":"5","issued":{"date-parts":[["2011"]]},"page":"2640-2643","publisher":"Elsevier B.V.","title":"Impact of pore microstructure evolution on polarization resistance of Ni-Yttria-stabilized zirconia fuel cell anodes","type":"article-journal","volume":"196"},"uris":["http://www.mendeley.com/documents/?uuid=ccb61cf7-34f3-40b3-bb2f-a2f8f48f0cb8"]},{"id":"ITEM-5","itemData":{"DOI":"10.1016/j.jpowsour.2009.09.005","ISSN":"03787753","abstract":"The three-dimensional microstructure of an SOFC anode is quantified using a dual beam focused ion beam scanning electron microscopy (FIB-SEM) system equipped with an energy dispersive X-ray spectroscopy (EDX) unit. The microstructure of the Ni-YSZ anode is virtually reconstructed in a computational field using a series of acquired two-dimensional SEM images. The three-phase boundary (TPB) density and tortuosity factors are carefully evaluated by applying two different evaluation methods to each parameter. The TPB density is estimated by a volume expansion method and a centroid method, while the tortuosity factors are evaluated by a random walk calculation and a lattice Boltzmann method (LBM). Estimates of each parameter obtained by the two methods are in good agreement with each other, thereby validating the reliability of the analysis methods proposed in this study. © 2009 Elsevier B.V. All rights reserved.","author":[{"dropping-particle":"","family":"Iwai","given":"Hiroshi","non-dropping-particle":"","parse-names":false,"suffix":""},{"dropping-particle":"","family":"Shikazono","given":"Naoki","non-dropping-particle":"","parse-names":false,"suffix":""},{"dropping-particle":"","family":"Matsui","given":"Toshiaki","non-dropping-particle":"","parse-names":false,"suffix":""},{"dropping-particle":"","family":"Teshima","given":"Hisanori","non-dropping-particle":"","parse-names":false,"suffix":""},{"dropping-particle":"","family":"Kishimoto","given":"Masashi","non-dropping-particle":"","parse-names":false,"suffix":""},{"dropping-particle":"","family":"Kishida","given":"Ryo","non-dropping-particle":"","parse-names":false,"suffix":""},{"dropping-particle":"","family":"Hayashi","given":"Daisuke","non-dropping-particle":"","parse-names":false,"suffix":""},{"dropping-particle":"","family":"Matsuzaki","given":"Katsuhisa","non-dropping-particle":"","parse-names":false,"suffix":""},{"dropping-particle":"","family":"Kanno","given":"Daisuke","non-dropping-particle":"","parse-names":false,"suffix":""},{"dropping-particle":"","family":"Saito","given":"Motohiro","non-dropping-particle":"","parse-names":false,"suffix":""},{"dropping-particle":"","family":"Muroyama","given":"Hiroki","non-dropping-particle":"","parse-names":false,"suffix":""},{"dropping-particle":"","family":"Eguchi","given":"Koichi","non-dropping-particle":"","parse-names":false,"suffix":""},{"dropping-particle":"","family":"Kasagi","given":"Nobuhide","non-dropping-particle":"","parse-names":false,"suffix":""},{"dropping-particle":"","family":"Yoshida","given":"Hideo","non-dropping-particle":"","parse-names":false,"suffix":""}],"container-title":"Journal of Power Sources","id":"ITEM-5","issue":"4","issued":{"date-parts":[["2010"]]},"page":"955-961","title":"Quantification of SOFC anode microstructure based on dual beam FIB-SEM technique","type":"article-journal","volume":"195"},"uris":["http://www.mendeley.com/documents/?uuid=d0270fa6-36b9-4b32-bbd2-58844d68e136"]},{"id":"ITEM-6","itemData":{"DOI":"10.1038/nmat1668","ISSN":"14764660","author":[{"dropping-particle":"","family":"Wilson","given":"James R.","non-dropping-particle":"","parse-names":false,"suffix":""},{"dropping-particle":"","family":"Kobsiriphat","given":"Worawarit","non-dropping-particle":"","parse-names":false,"suffix":""},{"dropping-particle":"","family":"Mendoza","given":"Roberto","non-dropping-particle":"","parse-names":false,"suffix":""},{"dropping-particle":"","family":"Chen","given":"Hsun Yi","non-dropping-particle":"","parse-names":false,"suffix":""},{"dropping-particle":"","family":"Hiller","given":"Jon M.","non-dropping-particle":"","parse-names":false,"suffix":""},{"dropping-particle":"","family":"Miller","given":"Dean J.","non-dropping-particle":"","parse-names":false,"suffix":""},{"dropping-particle":"","family":"Thornton","given":"Katsuyo","non-dropping-particle":"","parse-names":false,"suffix":""},{"dropping-particle":"","family":"Voorhees","given":"Peter W.","non-dropping-particle":"","parse-names":false,"suffix":""},{"dropping-particle":"","family":"Adler","given":"Stuart B.","non-dropping-particle":"","parse-names":false,"suffix":""},{"dropping-particle":"","family":"Barnett","given":"Scott A.","non-dropping-particle":"","parse-names":false,"suffix":""}],"container-title":"Nature Materials","id":"ITEM-6","issue":"7","issued":{"date-parts":[["2006"]]},"page":"541-544","title":"Three-dimensional reconstruction of a solid-oxide fuel-cell anode","type":"article-journal","volume":"5"},"uris":["http://www.mendeley.com/documents/?uuid=10b95baa-5353-467e-bf32-720599c670bd"]}],"mendeley":{"formattedCitation":"[254], [256]–[260]","plainTextFormattedCitation":"[254], [256]–[260]","previouslyFormattedCitation":"[254], [256]–[260]"},"properties":{"noteIndex":0},"schema":"https://github.com/citation-style-language/schema/raw/master/csl-citation.json"}</w:instrText>
      </w:r>
      <w:r>
        <w:fldChar w:fldCharType="separate"/>
      </w:r>
      <w:r w:rsidR="006C586A" w:rsidRPr="006C586A">
        <w:rPr>
          <w:noProof/>
        </w:rPr>
        <w:t>[254], [256]–[260]</w:t>
      </w:r>
      <w:r>
        <w:fldChar w:fldCharType="end"/>
      </w:r>
      <w:r>
        <w:t xml:space="preserve">. FIB-SEM images the 2D polished cross-section of the region of interest. This is then destructively milled away using the ion beam and the nascent material is then imaged. These 2D micrographs are stacked to and processed using reconstruction algorithms produce a 3D rendering of the entire imaged microstructure </w:t>
      </w:r>
      <w:r>
        <w:fldChar w:fldCharType="begin" w:fldLock="1"/>
      </w:r>
      <w:r w:rsidR="00D80A5D">
        <w:instrText xml:space="preserve">ADDIN CSL_CITATION {"citationItems":[{"id":"ITEM-1","itemData":{"DOI":"10.1016/j.jpowsour.2017.11.024","ISSN":"03787753","abstract":"Ni-YSZ anodes for Solid Oxide Fuel Cells are vulnerable to microstructural damage during redox cycling leading to a decrease in the electrochemical performance. This study quantifies the microstructural changes as a function of redox cycles at 800 °C and associates it to the deterioration of the mechanical properties and polarisation resistance. A physically-based model is used to estimate the triple-phase boundary (TPB) length from impedance spectra, and satisfactorily matches the TPB length quantified by FIB-SEM tomography: within 20 redox cycles, the TPB density decreases from 4.63 μm−2 to 1.06 μm−2. Although the polarisation resistance increases by an order of magnitude after 20 cycles, after each re-reduction the electrode polarisation improves consistently due to the transient generation of Ni nanoparticles around the TPBs. Nonetheless, the long-term degradation overshadows this transient improvement due to the nickel agglomeration. In addition, FIB-SEM tomography reveals fractures along YSZ grain boundaries, Ni-YSZ detachment and increased porosity in the composite that lead to irreversible mechanical damage: the elastic modulus diminishes from 36.4 GPa to 20.2 GPa and the hardness from 0.40 GPa to 0.15 GPa. These results suggest that microstructural, mechanical and electrochemical properties are strongly interdependent in determining the degradation caused by redox cycling.","author":[{"dropping-particle":"","family":"Song","given":"Bowen","non-dropping-particle":"","parse-names":false,"suffix":""},{"dropping-particle":"","family":"Ruiz-Trejo","given":"Enrique","non-dropping-particle":"","parse-names":false,"suffix":""},{"dropping-particle":"","family":"Bertei","given":"Antonio","non-dropping-particle":"","parse-names":false,"suffix":""},{"dropping-particle":"","family":"Brandon","given":"Nigel P.","non-dropping-particle":"","parse-names":false,"suffix":""}],"container-title":"Journal of Power Sources","id":"ITEM-1","issue":"October 2017","issued":{"date-parts":[["2018"]]},"page":"61-68","publisher":"Elsevier","title":"Quantification of the degradation of Ni-YSZ anodes upon redox cycling","type":"article-journal","volume":"374"},"uris":["http://www.mendeley.com/documents/?uuid=2d196a90-b175-41a8-8950-bf55e54a2b42"]},{"id":"ITEM-2","itemData":{"DOI":"10.1016/j.jpowsour.2014.05.038","ISBN":"03787753","ISSN":"03787753","abstract":"This paper, for the first time, demonstrates the three-dimensional imaging of nano-particle infiltrated Ni-GDC (gadolinia-doped ceria) electrodes using focused ion beam tomography. Microstructural parameters of the actual electrode microstructure are quantified, such as volume fraction, TPB density and mean particle/pore sizes. These microstructural parameters reveal that the infiltrated electrodes have eight times larger TPB density than conventional electrodes fabricated by powder mixing and sintering methods. Comparison between the infiltrated electrodes and conventional electrodes indicates that the infiltrated electrodes have a greater potential to independently control metal particle size, porosity and TPB density, which is a significant advantage in developing design optimized electrode microstructures. © 2014 Elsevier B.V. All rights reserved.","author":[{"dropping-particle":"","family":"Kishimoto","given":"Masashi","non-dropping-particle":"","parse-names":false,"suffix":""},{"dropping-particle":"","family":"Lomberg","given":"Marina","non-dropping-particle":"","parse-names":false,"suffix":""},{"dropping-particle":"","family":"Ruiz-Trejo","given":"Enrique","non-dropping-particle":"","parse-names":false,"suffix":""},{"dropping-particle":"","family":"Brandon","given":"Nigel P.","non-dropping-particle":"","parse-names":false,"suffix":""}],"container-title":"Journal of Power Sources","id":"ITEM-2","issued":{"date-parts":[["2014"]]},"page":"291-295","publisher":"Elsevier B.V","title":"Enhanced triple-phase boundary density in infiltrated electrodes for solid oxide fuel cells demonstrated by high-resolution tomography","type":"article-journal","volume":"266"},"uris":["http://www.mendeley.com/documents/?uuid=e77748b0-09e4-4f33-8c23-e66dfce43624"]},{"id":"ITEM-3","itemData":{"DOI":"10.1016/j.scriptamat.2010.09.025","ISSN":"13596462","abstract":"In this work we demonstrate the utility of three-dimensional focused ion beam-scanning electron microscopy nanotomography for understanding composite electrode performance and degradation. Phase connectivity, electrochemically active triple-phase boundary density and phase tortuosity are calculated for a series of anodes with varying Ni-YSZ composition. These structural characteristics, achievable only through three-dimensional interrogation, are shown to play a vital role in determining electrode polarization resistance. Additionally, Ni-YSZ samples are experimentally annealed in hydrogen and reconstructed to quantitatively assess degradation as a function of reduced triple-phase boundary density. © 2011 Acta Materialia Inc. Published by Elsevier Ltd. All rights reserved.","author":[{"dropping-particle":"","family":"Wilson","given":"James R.","non-dropping-particle":"","parse-names":false,"suffix":""},{"dropping-particle":"","family":"Cronin","given":"J. Scott","non-dropping-particle":"","parse-names":false,"suffix":""},{"dropping-particle":"","family":"Barnett","given":"Scott A.","non-dropping-particle":"","parse-names":false,"suffix":""}],"container-title":"Scripta Materialia","id":"ITEM-3","issue":"2","issued":{"date-parts":[["2011"]]},"page":"67-72","publisher":"Acta Materialia Inc.","title":"Linking the microstructure, performance and durability of Ni-yttria-stabilized zirconia solid oxide fuel cell anodes using three-dimensional focused ion beam-scanning electron microscopy imaging","type":"article-journal","volume":"65"},"uris":["http://www.mendeley.com/documents/?uuid=8e224c26-4322-4844-85ac-4034d442ccb6"]},{"id":"ITEM-4","itemData":{"DOI":"10.1016/j.jpowsour.2010.10.084","ISSN":"03787753","abstract":"Temperature induced degradation in Solid Oxide Fuel Cell (SOFC) Ni-YSZ anodes was studied using both impedance spectroscopy and three-dimensional tomography via Focused Ion Beam-Scanning Electron Microscopy. A 100 h anneal at 1100 °C caused a 90% increase in cell polarization resistance, which correlated with the observed factor of </w:instrText>
      </w:r>
      <w:r w:rsidR="00D80A5D">
        <w:rPr>
          <w:rFonts w:ascii="Cambria Math" w:hAnsi="Cambria Math" w:cs="Cambria Math"/>
        </w:rPr>
        <w:instrText>∼</w:instrText>
      </w:r>
      <w:r w:rsidR="00D80A5D">
        <w:instrText>2 reduction in the electrochemically active three-phase boundary (TPB) density. The TPB decrease was caused by a significant decrease in pore percolation, and a reduction in pore interfacial area due to pores becoming larger and more equiaxed. The anneal caused no measurable change in average Ni particle size; Ni coarsening was apparently highly constrained in these anodes due to the relatively large YSZ volume fraction and low pore volume. © 2010 Elsevier B.V. All rights reserved.","author":[{"dropping-particle":"","family":"Cronin","given":"J. Scott","non-dropping-particle":"","parse-names":false,"suffix":""},{"dropping-particle":"","family":"Wilson","given":"James R.","non-dropping-particle":"","parse-names":false,"suffix":""},{"dropping-particle":"","family":"Barnett","given":"Scott A.","non-dropping-particle":"","parse-names":false,"suffix":""}],"container-title":"Journal of Power Sources","id":"ITEM-4","issue":"5","issued":{"date-parts":[["2011"]]},"page":"2640-2643","publisher":"Elsevier B.V.","title":"Impact of pore microstructure evolution on polarization resistance of Ni-Yttria-stabilized zirconia fuel cell anodes","type":"article-journal","volume":"196"},"uris":["http://www.mendeley.com/documents/?uuid=ccb61cf7-34f3-40b3-bb2f-a2f8f48f0cb8"]},{"id":"ITEM-5","itemData":{"DOI":"10.1016/j.jpowsour.2009.09.005","ISSN":"03787753","abstract":"The three-dimensional microstructure of an SOFC anode is quantified using a dual beam focused ion beam scanning electron microscopy (FIB-SEM) system equipped with an energy dispersive X-ray spectroscopy (EDX) unit. The microstructure of the Ni-YSZ anode is virtually reconstructed in a computational field using a series of acquired two-dimensional SEM images. The three-phase boundary (TPB) density and tortuosity factors are carefully evaluated by applying two different evaluation methods to each parameter. The TPB density is estimated by a volume expansion method and a centroid method, while the tortuosity factors are evaluated by a random walk calculation and a lattice Boltzmann method (LBM). Estimates of each parameter obtained by the two methods are in good agreement with each other, thereby validating the reliability of the analysis methods proposed in this study. © 2009 Elsevier B.V. All rights reserved.","author":[{"dropping-particle":"","family":"Iwai","given":"Hiroshi","non-dropping-particle":"","parse-names":false,"suffix":""},{"dropping-particle":"","family":"Shikazono","given":"Naoki","non-dropping-particle":"","parse-names":false,"suffix":""},{"dropping-particle":"","family":"Matsui","given":"Toshiaki","non-dropping-particle":"","parse-names":false,"suffix":""},{"dropping-particle":"","family":"Teshima","given":"Hisanori","non-dropping-particle":"","parse-names":false,"suffix":""},{"dropping-particle":"","family":"Kishimoto","given":"Masashi","non-dropping-particle":"","parse-names":false,"suffix":""},{"dropping-particle":"","family":"Kishida","given":"Ryo","non-dropping-particle":"","parse-names":false,"suffix":""},{"dropping-particle":"","family":"Hayashi","given":"Daisuke","non-dropping-particle":"","parse-names":false,"suffix":""},{"dropping-particle":"","family":"Matsuzaki","given":"Katsuhisa","non-dropping-particle":"","parse-names":false,"suffix":""},{"dropping-particle":"","family":"Kanno","given":"Daisuke","non-dropping-particle":"","parse-names":false,"suffix":""},{"dropping-particle":"","family":"Saito","given":"Motohiro","non-dropping-particle":"","parse-names":false,"suffix":""},{"dropping-particle":"","family":"Muroyama","given":"Hiroki","non-dropping-particle":"","parse-names":false,"suffix":""},{"dropping-particle":"","family":"Eguchi","given":"Koichi","non-dropping-particle":"","parse-names":false,"suffix":""},{"dropping-particle":"","family":"Kasagi","given":"Nobuhide","non-dropping-particle":"","parse-names":false,"suffix":""},{"dropping-particle":"","family":"Yoshida","given":"Hideo","non-dropping-particle":"","parse-names":false,"suffix":""}],"container-title":"Journal of Power Sources","id":"ITEM-5","issue":"4","issued":{"date-parts":[["2010"]]},"page":"955-961","title":"Quantification of SOFC anode microstructure based on dual beam FIB-SEM technique","type":"article-journal","volume":"195"},"uris":["http://www.mendeley.com/documents/?uuid=d0270fa6-36b9-4b32-bbd2-58844d68e136"]},{"id":"ITEM-6","itemData":{"DOI":"10.1038/nmat1668","ISSN":"14764660","author":[{"dropping-particle":"","family":"Wilson","given":"James R.","non-dropping-particle":"","parse-names":false,"suffix":""},{"dropping-particle":"","family":"Kobsiriphat","given":"Worawarit","non-dropping-particle":"","parse-names":false,"suffix":""},{"dropping-particle":"","family":"Mendoza","given":"Roberto","non-dropping-particle":"","parse-names":false,"suffix":""},{"dropping-particle":"","family":"Chen","given":"Hsun Yi","non-dropping-particle":"","parse-names":false,"suffix":""},{"dropping-particle":"","family":"Hiller","given":"Jon M.","non-dropping-particle":"","parse-names":false,"suffix":""},{"dropping-particle":"","family":"Miller","given":"Dean J.","non-dropping-particle":"","parse-names":false,"suffix":""},{"dropping-particle":"","family":"Thornton","given":"Katsuyo","non-dropping-particle":"","parse-names":false,"suffix":""},{"dropping-particle":"","family":"Voorhees","given":"Peter W.","non-dropping-particle":"","parse-names":false,"suffix":""},{"dropping-particle":"","family":"Adler","given":"Stuart B.","non-dropping-particle":"","parse-names":false,"suffix":""},{"dropping-particle":"","family":"Barnett","given":"Scott A.","non-dropping-particle":"","parse-names":false,"suffix":""}],"container-title":"Nature Materials","id":"ITEM-6","issue":"7","issued":{"date-parts":[["2006"]]},"page":"541-544","title":"Three-dimensional reconstruction of a solid-oxide fuel-cell anode","type":"article-journal","volume":"5"},"uris":["http://www.mendeley.com/documents/?uuid=10b95baa-5353-467e-bf32-720599c670bd"]}],"mendeley":{"formattedCitation":"[254], [256]–[260]","plainTextFormattedCitation":"[254], [256]–[260]","previouslyFormattedCitation":"[254], [256]–[260]"},"properties":{"noteIndex":0},"schema":"https://github.com/citation-style-language/schema/raw/master/csl-citation.json"}</w:instrText>
      </w:r>
      <w:r>
        <w:fldChar w:fldCharType="separate"/>
      </w:r>
      <w:r w:rsidR="006C586A" w:rsidRPr="006C586A">
        <w:rPr>
          <w:noProof/>
        </w:rPr>
        <w:t>[254], [256]–[260]</w:t>
      </w:r>
      <w:r>
        <w:fldChar w:fldCharType="end"/>
      </w:r>
      <w:r>
        <w:t>.</w:t>
      </w:r>
    </w:p>
    <w:p w14:paraId="4699683E" w14:textId="0756627E" w:rsidR="00007F6C" w:rsidRPr="00335F46" w:rsidRDefault="00007F6C" w:rsidP="005129DC">
      <w:pPr>
        <w:jc w:val="both"/>
      </w:pPr>
      <w:r w:rsidRPr="00335F46">
        <w:t xml:space="preserve">During the transition from micrograph to reconstruction the graphical representation of the region of interest has also changed. Pixels change into voxels which in addition to being adding a third dimension(depth) also possess scalar measures such as density </w:t>
      </w:r>
      <w:r w:rsidRPr="00335F46">
        <w:fldChar w:fldCharType="begin" w:fldLock="1"/>
      </w:r>
      <w:r w:rsidR="00D80A5D">
        <w:instrText>ADDIN CSL_CITATION {"citationItems":[{"id":"ITEM-1","itemData":{"DOI":"10.1149/1.2895067","ISSN":"00134651","abstract":"A high-resolution, nondestructive X-ray computed tomography (XCT) technique is applied to image the three-dimensional (3D) microstructure of a solid oxide fuel cell (SOFC) composed of a solid yttria-stabilized zirconia (YSZ) electrolyte and a porous nickel YSZ (Ni-YSZ) anode. The X-ray microscope uses the 8 keV Cu K alpha line from a laboratory X-ray source, with a reflective condenser optic lens providing a spatial resolution of 42.7 nm. The reconstructed volume data is visualized as 3D images and further postprocessed in binary-image format to obtain structural parameters. The porosity is calculated using a voxel counting method, and tortuosity is evaluated by solving the Laplace equation. A 3D representation of the microstructure is used to calculate true structural parameters and carry out a detailed study of the gas transport within an SOFC electrode at the pore scale. Simulation of multicomponent mass transport and electrochemical reactions in the anode microstructure using the XCT data as geometric input illustrate the impact of this technique on SOFC modeling. (c) 2008 The Electrochemical Society.","author":[{"dropping-particle":"","family":"Izzo","given":"John R.","non-dropping-particle":"","parse-names":false,"suffix":""},{"dropping-particle":"","family":"Joshi","given":"Abhijit S.","non-dropping-particle":"","parse-names":false,"suffix":""},{"dropping-particle":"","family":"Grew","given":"Kyle N.","non-dropping-particle":"","parse-names":false,"suffix":""},{"dropping-particle":"","family":"Chiu","given":"Wilson K. S.","non-dropping-particle":"","parse-names":false,"suffix":""},{"dropping-particle":"","family":"Tkachuk","given":"Andrei","non-dropping-particle":"","parse-names":false,"suffix":""},{"dropping-particle":"","family":"Wang","given":"Siew H.","non-dropping-particle":"","parse-names":false,"suffix":""},{"dropping-particle":"","family":"Yun","given":"Wenbing","non-dropping-particle":"","parse-names":false,"suffix":""}],"container-title":"Journal of The Electrochemical Society","id":"ITEM-1","issue":"5","issued":{"date-parts":[["2008"]]},"page":"B504","title":"Nondestructive Reconstruction and Analysis of SOFC Anodes Using X-ray Computed Tomography at Sub-50 nm Resolution","type":"article-journal","volume":"155"},"uris":["http://www.mendeley.com/documents/?uuid=224f9837-702c-4894-924c-fa722e4fc965"]},{"id":"ITEM-2","itemData":{"DOI":"10.1016/j.jpowsour.2013.06.069","ISSN":"03787753","abstract":"SOFC electrochemical performances are strongly dependent on the micro and nanostructure of the electrodes. 3D image analysis is an essential tool to characterise these microstructures. However, the studied volumes have to be sufficiently large to be representative of the heterogenous medium. In this study, quantitative phase contrast X-ray nano-holotomography is performed on large volumes of SOFC anode consisting by a Ni/YSZ cermet. Both the electrode functional layer and the current collector of anode supported cell are characterised in 3D. The setup and data processing adaptation needed for such an absorbing materials are described. The X-ray nano-holotomography was performed with an isotropic voxel size of 25 × 25 × 25 nm3 and a field of view of about 50 μm. This technique is non-destructive and was used in local tomography mode. After filtering and thresholding, the segmentation of the 3D reconstructions allows precisely separating the network of each phase of the electrode (metallic, ceramic and porosity), giving representative features of the microstructure. © 2013 Elsevier B.V. All rights reserved.","author":[{"dropping-particle":"","family":"Julie","given":"Villanova","non-dropping-particle":"","parse-names":false,"suffix":""},{"dropping-particle":"","family":"Jérôme","given":"Laurencin","non-dropping-particle":"","parse-names":false,"suffix":""},{"dropping-particle":"","family":"Peter","given":"Cloetens","non-dropping-particle":"","parse-names":false,"suffix":""},{"dropping-particle":"","family":"Pierre","given":"Bleuet","non-dropping-particle":"","parse-names":false,"suffix":""},{"dropping-particle":"","family":"Gérard","given":"Delette","non-dropping-particle":"","parse-names":false,"suffix":""},{"dropping-particle":"","family":"Heikki","given":"Suhonen","non-dropping-particle":"","parse-names":false,"suffix":""},{"dropping-particle":"","family":"François","given":"Usseglio Viretta","non-dropping-particle":"","parse-names":false,"suffix":""}],"container-title":"Journal of Power Sources","id":"ITEM-2","issued":{"date-parts":[["2013"]]},"page":"841-849","publisher":"Elsevier B.V","title":"3D phase mapping of solid oxide fuel cell YSZ/Ni cermet at the nanoscale by holographic X-ray nanotomography","type":"article-journal","volume":"243"},"uris":["http://www.mendeley.com/documents/?uuid=ef81f0f0-f7c6-4496-9196-8a577cb4d86e"]},{"id":"ITEM-3","itemData":{"DOI":"10.1016/j.jpowsour.2013.08.021","ISSN":"03787753","abstract":"Three-dimensional microstructure reconstructions of Ni-yttria-stabilized zirconia (Ni/YSZ) anodes are presented, all of which are based on focused ion beam tomography data. The reconstruction procedure, starting from a series of 2D scanning electron micrographs, is investigated step by step and potential sources of error are identified. The distinction between Ni phase, YSZ phase and pore phase is solved by an advanced algorithm, which belongs to the region-growing image segmentation methods. This improves the accuracy of automated grayscale segmentation especially for images with low contrast, which is characteristic of both solid phases in Ni/YSZ anodes. Critical microstructure parameters like material fractions, surface areas, particle size and distribution of Ni, YSZ, and pore phase, as well as phase connectivity and triple-phase boundary density, are evaluated and discussed. In this contribution, two types of high-performance Ni/YSZ anodes - differing in thickness of both the anode functional layer and the anode substrate - are reconstructed and compared to each other. For the first time, the anode functional layer adjacent to the thin film electrolyte is separately quantified. The presented methods are qualified to quantitatively compare different anode microstructures and relate the result to their electrochemical performance. © 2013 Elsevier B.V. All rights reserved.","author":[{"dropping-particle":"","family":"Joos","given":"Jochen","non-dropping-particle":"","parse-names":false,"suffix":""},{"dropping-particle":"","family":"Ender","given":"Moses","non-dropping-particle":"","parse-names":false,"suffix":""},{"dropping-particle":"","family":"Rotscholl","given":"Ingo","non-dropping-particle":"","parse-names":false,"suffix":""},{"dropping-particle":"","family":"Menzler","given":"Norbert H.","non-dropping-particle":"","parse-names":false,"suffix":""},{"dropping-particle":"","family":"Ivers-Tiffée","given":"Ellen","non-dropping-particle":"","parse-names":false,"suffix":""}],"container-title":"Journal of Power Sources","id":"ITEM-3","issued":{"date-parts":[["2014"]]},"page":"819-830","publisher":"Elsevier B.V","title":"Quantification of double-layer Ni/YSZ fuel cell anodes from focused ion beam tomography data","type":"article-journal","volume":"246"},"uris":["http://www.mendeley.com/documents/?uuid=6eef33ec-7e3e-4f38-8edd-bd5a17e947b8"]},{"id":"ITEM-4","itemData":{"DOI":"10.1016/j.mattod.2019.05.019","ISSN":"18734103","abstract":"Over the last century, X-ray imaging instruments and their accompanying tomographic reconstruction algorithms have developed considerably. With improved tomogram quality and resolution, voxel sizes down to tens of nanometers can now be achieved. Moreover, recent advancements in readily accessible lab-based X-ray computed tomography (X-ray CT) instruments have produced spatial resolutions comparable to specialist synchrotron facilities. Electrochemical energy conversion devices, such as fuel cells and batteries, have inherently complex electrode microstructures to achieve competitive power delivery for consideration as replacements for conventional sources. With resolution capabilities spanning tens of microns to tens of nanometers, X-ray CT has become widely employed in the three-dimensional (3D) characterization of electrochemical materials. The ability to perform multiscale imaging has enabled characterization from system-down to particle-level, with the ability to resolve critical features within device microstructures. X-ray characterization presents a favorable alternative to other 3D methods, such as focused ion beam scanning electron microscopy, due to its non-destructive nature, which allows four-dimensional (4D) studies, three spatial dimensions plus time, linking structural dynamics to device performance and lifetime. X-ray CT has accelerated research from fundamental understanding of the links between cell structure and performance, to the improvement in manufacturing and scale-up of full electrochemical cells. Furthermore, this has aided in the mitigation of degradation and cell-level failures, such as thermal runaway. This review presents recent developments in the use of X-ray CT as a characterization method and its role in the advancement of electrochemical materials engineering.","author":[{"dropping-particle":"","family":"Heenan","given":"Thomas M.M.","non-dropping-particle":"","parse-names":false,"suffix":""},{"dropping-particle":"","family":"Tan","given":"Chun","non-dropping-particle":"","parse-names":false,"suffix":""},{"dropping-particle":"","family":"Hack","given":"Jennifer","non-dropping-particle":"","parse-names":false,"suffix":""},{"dropping-particle":"","family":"Brett","given":"Dan J.L.","non-dropping-particle":"","parse-names":false,"suffix":""},{"dropping-particle":"","family":"Shearing","given":"Paul R.","non-dropping-particle":"","parse-names":false,"suffix":""}],"container-title":"Materials Today","id":"ITEM-4","issue":"December","issued":{"date-parts":[["2019"]]},"page":"69-85","publisher":"Elsevier B.V.","title":"Developments in X-ray tomography characterization for electrochemical devices","type":"article-journal","volume":"31"},"uris":["http://www.mendeley.com/documents/?uuid=5a69f3ee-6f01-46b1-a3b2-22259527df4c"]}],"mendeley":{"formattedCitation":"[255], [261]–[263]","plainTextFormattedCitation":"[255], [261]–[263]","previouslyFormattedCitation":"[255], [261]–[263]"},"properties":{"noteIndex":0},"schema":"https://github.com/citation-style-language/schema/raw/master/csl-citation.json"}</w:instrText>
      </w:r>
      <w:r w:rsidRPr="00335F46">
        <w:fldChar w:fldCharType="separate"/>
      </w:r>
      <w:r w:rsidR="006C586A" w:rsidRPr="006C586A">
        <w:rPr>
          <w:noProof/>
        </w:rPr>
        <w:t>[255], [261]–[263]</w:t>
      </w:r>
      <w:r w:rsidRPr="00335F46">
        <w:fldChar w:fldCharType="end"/>
      </w:r>
      <w:r w:rsidRPr="00335F46">
        <w:t>. These form the building blocks of these reconstructed volumes and the voxel size is a measure of the resolution of the imaging used.</w:t>
      </w:r>
    </w:p>
    <w:p w14:paraId="0640EEEA" w14:textId="47FE783C" w:rsidR="00007F6C" w:rsidRPr="00335F46" w:rsidRDefault="00007F6C" w:rsidP="005129DC">
      <w:pPr>
        <w:jc w:val="both"/>
      </w:pPr>
      <w:r w:rsidRPr="00335F46">
        <w:t xml:space="preserve">In fuel electrodes. three phases are then segmented- catalyst, pore and backbone- in most papers this consists of Ni-YSZ </w:t>
      </w:r>
      <w:r w:rsidRPr="00335F46">
        <w:fldChar w:fldCharType="begin" w:fldLock="1"/>
      </w:r>
      <w:r w:rsidR="00D80A5D">
        <w:instrText xml:space="preserve">ADDIN CSL_CITATION {"citationItems":[{"id":"ITEM-1","itemData":{"DOI":"10.1016/j.jpowsour.2017.11.024","ISSN":"03787753","abstract":"Ni-YSZ anodes for Solid Oxide Fuel Cells are vulnerable to microstructural damage during redox cycling leading to a decrease in the electrochemical performance. This study quantifies the microstructural changes as a function of redox cycles at 800 °C and associates it to the deterioration of the mechanical properties and polarisation resistance. A physically-based model is used to estimate the triple-phase boundary (TPB) length from impedance spectra, and satisfactorily matches the TPB length quantified by FIB-SEM tomography: within 20 redox cycles, the TPB density decreases from 4.63 μm−2 to 1.06 μm−2. Although the polarisation resistance increases by an order of magnitude after 20 cycles, after each re-reduction the electrode polarisation improves consistently due to the transient generation of Ni nanoparticles around the TPBs. Nonetheless, the long-term degradation overshadows this transient improvement due to the nickel agglomeration. In addition, FIB-SEM tomography reveals fractures along YSZ grain boundaries, Ni-YSZ detachment and increased porosity in the composite that lead to irreversible mechanical damage: the elastic modulus diminishes from 36.4 GPa to 20.2 GPa and the hardness from 0.40 GPa to 0.15 GPa. These results suggest that microstructural, mechanical and electrochemical properties are strongly interdependent in determining the degradation caused by redox cycling.","author":[{"dropping-particle":"","family":"Song","given":"Bowen","non-dropping-particle":"","parse-names":false,"suffix":""},{"dropping-particle":"","family":"Ruiz-Trejo","given":"Enrique","non-dropping-particle":"","parse-names":false,"suffix":""},{"dropping-particle":"","family":"Bertei","given":"Antonio","non-dropping-particle":"","parse-names":false,"suffix":""},{"dropping-particle":"","family":"Brandon","given":"Nigel P.","non-dropping-particle":"","parse-names":false,"suffix":""}],"container-title":"Journal of Power Sources","id":"ITEM-1","issue":"October 2017","issued":{"date-parts":[["2018"]]},"page":"61-68","publisher":"Elsevier","title":"Quantification of the degradation of Ni-YSZ anodes upon redox cycling","type":"article-journal","volume":"374"},"uris":["http://www.mendeley.com/documents/?uuid=2d196a90-b175-41a8-8950-bf55e54a2b42"]},{"id":"ITEM-2","itemData":{"DOI":"10.1016/j.jpowsour.2014.05.038","ISBN":"03787753","ISSN":"03787753","abstract":"This paper, for the first time, demonstrates the three-dimensional imaging of nano-particle infiltrated Ni-GDC (gadolinia-doped ceria) electrodes using focused ion beam tomography. Microstructural parameters of the actual electrode microstructure are quantified, such as volume fraction, TPB density and mean particle/pore sizes. These microstructural parameters reveal that the infiltrated electrodes have eight times larger TPB density than conventional electrodes fabricated by powder mixing and sintering methods. Comparison between the infiltrated electrodes and conventional electrodes indicates that the infiltrated electrodes have a greater potential to independently control metal particle size, porosity and TPB density, which is a significant advantage in developing design optimized electrode microstructures. © 2014 Elsevier B.V. All rights reserved.","author":[{"dropping-particle":"","family":"Kishimoto","given":"Masashi","non-dropping-particle":"","parse-names":false,"suffix":""},{"dropping-particle":"","family":"Lomberg","given":"Marina","non-dropping-particle":"","parse-names":false,"suffix":""},{"dropping-particle":"","family":"Ruiz-Trejo","given":"Enrique","non-dropping-particle":"","parse-names":false,"suffix":""},{"dropping-particle":"","family":"Brandon","given":"Nigel P.","non-dropping-particle":"","parse-names":false,"suffix":""}],"container-title":"Journal of Power Sources","id":"ITEM-2","issued":{"date-parts":[["2014"]]},"page":"291-295","publisher":"Elsevier B.V","title":"Enhanced triple-phase boundary density in infiltrated electrodes for solid oxide fuel cells demonstrated by high-resolution tomography","type":"article-journal","volume":"266"},"uris":["http://www.mendeley.com/documents/?uuid=e77748b0-09e4-4f33-8c23-e66dfce43624"]},{"id":"ITEM-3","itemData":{"DOI":"10.1016/j.scriptamat.2010.09.025","ISSN":"13596462","abstract":"In this work we demonstrate the utility of three-dimensional focused ion beam-scanning electron microscopy nanotomography for understanding composite electrode performance and degradation. Phase connectivity, electrochemically active triple-phase boundary density and phase tortuosity are calculated for a series of anodes with varying Ni-YSZ composition. These structural characteristics, achievable only through three-dimensional interrogation, are shown to play a vital role in determining electrode polarization resistance. Additionally, Ni-YSZ samples are experimentally annealed in hydrogen and reconstructed to quantitatively assess degradation as a function of reduced triple-phase boundary density. © 2011 Acta Materialia Inc. Published by Elsevier Ltd. All rights reserved.","author":[{"dropping-particle":"","family":"Wilson","given":"James R.","non-dropping-particle":"","parse-names":false,"suffix":""},{"dropping-particle":"","family":"Cronin","given":"J. Scott","non-dropping-particle":"","parse-names":false,"suffix":""},{"dropping-particle":"","family":"Barnett","given":"Scott A.","non-dropping-particle":"","parse-names":false,"suffix":""}],"container-title":"Scripta Materialia","id":"ITEM-3","issue":"2","issued":{"date-parts":[["2011"]]},"page":"67-72","publisher":"Acta Materialia Inc.","title":"Linking the microstructure, performance and durability of Ni-yttria-stabilized zirconia solid oxide fuel cell anodes using three-dimensional focused ion beam-scanning electron microscopy imaging","type":"article-journal","volume":"65"},"uris":["http://www.mendeley.com/documents/?uuid=8e224c26-4322-4844-85ac-4034d442ccb6"]},{"id":"ITEM-4","itemData":{"DOI":"10.1016/j.jpowsour.2010.10.084","ISSN":"03787753","abstract":"Temperature induced degradation in Solid Oxide Fuel Cell (SOFC) Ni-YSZ anodes was studied using both impedance spectroscopy and three-dimensional tomography via Focused Ion Beam-Scanning Electron Microscopy. A 100 h anneal at 1100 °C caused a 90% increase in cell polarization resistance, which correlated with the observed factor of </w:instrText>
      </w:r>
      <w:r w:rsidR="00D80A5D">
        <w:rPr>
          <w:rFonts w:ascii="Cambria Math" w:hAnsi="Cambria Math" w:cs="Cambria Math"/>
        </w:rPr>
        <w:instrText>∼</w:instrText>
      </w:r>
      <w:r w:rsidR="00D80A5D">
        <w:instrText>2 reduction in the electrochemically active three-phase boundary (TPB) density. The TPB decrease was caused by a significant decrease in pore percolation, and a reduction in pore interfacial area due to pores becoming larger and more equiaxed. The anneal caused no measurable change in average Ni particle size; Ni coarsening was apparently highly constrained in these anodes due to the relatively large YSZ volume fraction and low pore volume. © 2010 Elsevier B.V. All rights reserved.","author":[{"dropping-particle":"","family":"Cronin","given":"J. Scott","non-dropping-particle":"","parse-names":false,"suffix":""},{"dropping-particle":"","family":"Wilson","given":"James R.","non-dropping-particle":"","parse-names":false,"suffix":""},{"dropping-particle":"","family":"Barnett","given":"Scott A.","non-dropping-particle":"","parse-names":false,"suffix":""}],"container-title":"Journal of Power Sources","id":"ITEM-4","issue":"5","issued":{"date-parts":[["2011"]]},"page":"2640-2643","publisher":"Elsevier B.V.","title":"Impact of pore microstructure evolution on polarization resistance of Ni-Yttria-stabilized zirconia fuel cell anodes","type":"article-journal","volume":"196"},"uris":["http://www.mendeley.com/documents/?uuid=ccb61cf7-34f3-40b3-bb2f-a2f8f48f0cb8"]},{"id":"ITEM-5","itemData":{"DOI":"10.1016/j.jpowsour.2009.09.005","ISSN":"03787753","abstract":"The three-dimensional microstructure of an SOFC anode is quantified using a dual beam focused ion beam scanning electron microscopy (FIB-SEM) system equipped with an energy dispersive X-ray spectroscopy (EDX) unit. The microstructure of the Ni-YSZ anode is virtually reconstructed in a computational field using a series of acquired two-dimensional SEM images. The three-phase boundary (TPB) density and tortuosity factors are carefully evaluated by applying two different evaluation methods to each parameter. The TPB density is estimated by a volume expansion method and a centroid method, while the tortuosity factors are evaluated by a random walk calculation and a lattice Boltzmann method (LBM). Estimates of each parameter obtained by the two methods are in good agreement with each other, thereby validating the reliability of the analysis methods proposed in this study. © 2009 Elsevier B.V. All rights reserved.","author":[{"dropping-particle":"","family":"Iwai","given":"Hiroshi","non-dropping-particle":"","parse-names":false,"suffix":""},{"dropping-particle":"","family":"Shikazono","given":"Naoki","non-dropping-particle":"","parse-names":false,"suffix":""},{"dropping-particle":"","family":"Matsui","given":"Toshiaki","non-dropping-particle":"","parse-names":false,"suffix":""},{"dropping-particle":"","family":"Teshima","given":"Hisanori","non-dropping-particle":"","parse-names":false,"suffix":""},{"dropping-particle":"","family":"Kishimoto","given":"Masashi","non-dropping-particle":"","parse-names":false,"suffix":""},{"dropping-particle":"","family":"Kishida","given":"Ryo","non-dropping-particle":"","parse-names":false,"suffix":""},{"dropping-particle":"","family":"Hayashi","given":"Daisuke","non-dropping-particle":"","parse-names":false,"suffix":""},{"dropping-particle":"","family":"Matsuzaki","given":"Katsuhisa","non-dropping-particle":"","parse-names":false,"suffix":""},{"dropping-particle":"","family":"Kanno","given":"Daisuke","non-dropping-particle":"","parse-names":false,"suffix":""},{"dropping-particle":"","family":"Saito","given":"Motohiro","non-dropping-particle":"","parse-names":false,"suffix":""},{"dropping-particle":"","family":"Muroyama","given":"Hiroki","non-dropping-particle":"","parse-names":false,"suffix":""},{"dropping-particle":"","family":"Eguchi","given":"Koichi","non-dropping-particle":"","parse-names":false,"suffix":""},{"dropping-particle":"","family":"Kasagi","given":"Nobuhide","non-dropping-particle":"","parse-names":false,"suffix":""},{"dropping-particle":"","family":"Yoshida","given":"Hideo","non-dropping-particle":"","parse-names":false,"suffix":""}],"container-title":"Journal of Power Sources","id":"ITEM-5","issue":"4","issued":{"date-parts":[["2010"]]},"page":"955-961","title":"Quantification of SOFC anode microstructure based on dual beam FIB-SEM technique","type":"article-journal","volume":"195"},"uris":["http://www.mendeley.com/documents/?uuid=d0270fa6-36b9-4b32-bbd2-58844d68e136"]},{"id":"ITEM-6","itemData":{"DOI":"10.1038/nmat1668","ISSN":"14764660","author":[{"dropping-particle":"","family":"Wilson","given":"James R.","non-dropping-particle":"","parse-names":false,"suffix":""},{"dropping-particle":"","family":"Kobsiriphat","given":"Worawarit","non-dropping-particle":"","parse-names":false,"suffix":""},{"dropping-particle":"","family":"Mendoza","given":"Roberto","non-dropping-particle":"","parse-names":false,"suffix":""},{"dropping-particle":"","family":"Chen","given":"Hsun Yi","non-dropping-particle":"","parse-names":false,"suffix":""},{"dropping-particle":"","family":"Hiller","given":"Jon M.","non-dropping-particle":"","parse-names":false,"suffix":""},{"dropping-particle":"","family":"Miller","given":"Dean J.","non-dropping-particle":"","parse-names":false,"suffix":""},{"dropping-particle":"","family":"Thornton","given":"Katsuyo","non-dropping-particle":"","parse-names":false,"suffix":""},{"dropping-particle":"","family":"Voorhees","given":"Peter W.","non-dropping-particle":"","parse-names":false,"suffix":""},{"dropping-particle":"","family":"Adler","given":"Stuart B.","non-dropping-particle":"","parse-names":false,"suffix":""},{"dropping-particle":"","family":"Barnett","given":"Scott A.","non-dropping-particle":"","parse-names":false,"suffix":""}],"container-title":"Nature Materials","id":"ITEM-6","issue":"7","issued":{"date-parts":[["2006"]]},"page":"541-544","title":"Three-dimensional reconstruction of a solid-oxide fuel-cell anode","type":"article-journal","volume":"5"},"uris":["http://www.mendeley.com/documents/?uuid=10b95baa-5353-467e-bf32-720599c670bd"]}],"mendeley":{"formattedCitation":"[254], [256]–[260]","plainTextFormattedCitation":"[254], [256]–[260]","previouslyFormattedCitation":"[254], [256]–[260]"},"properties":{"noteIndex":0},"schema":"https://github.com/citation-style-language/schema/raw/master/csl-citation.json"}</w:instrText>
      </w:r>
      <w:r w:rsidRPr="00335F46">
        <w:fldChar w:fldCharType="separate"/>
      </w:r>
      <w:r w:rsidR="006C586A" w:rsidRPr="006C586A">
        <w:rPr>
          <w:noProof/>
        </w:rPr>
        <w:t>[254], [256]–[260]</w:t>
      </w:r>
      <w:r w:rsidRPr="00335F46">
        <w:fldChar w:fldCharType="end"/>
      </w:r>
      <w:r w:rsidRPr="00335F46">
        <w:t>. 3D-tomographical phase distribution maps are produced by repeating the milling and imaging procedure to produce a stacked micrograph of the fuel electrode structure. In the past decade, this technique has been used to quantify the phase volume percentage changes.</w:t>
      </w:r>
    </w:p>
    <w:p w14:paraId="041A3910" w14:textId="540585A4" w:rsidR="00007F6C" w:rsidRPr="00335F46" w:rsidRDefault="00007F6C" w:rsidP="005129DC">
      <w:pPr>
        <w:jc w:val="both"/>
      </w:pPr>
      <w:r w:rsidRPr="00335F46">
        <w:t>Over the past 5 years the attention given to FIB-SEM has been fixed on proving concepts and illustrating the density of TPBs throughout MIEC and uncommon systems. Little to no FIB-SEM studies have been done focussing on the infiltrated Ni/YSZ cermet system</w:t>
      </w:r>
      <w:r>
        <w:t xml:space="preserve"> </w:t>
      </w:r>
      <w:r w:rsidRPr="00335F46">
        <w:fldChar w:fldCharType="begin" w:fldLock="1"/>
      </w:r>
      <w:r w:rsidR="00D80A5D">
        <w:instrText>ADDIN CSL_CITATION {"citationItems":[{"id":"ITEM-1","itemData":{"DOI":"10.1016/j.jpowsour.2014.05.038","ISBN":"03787753","ISSN":"03787753","abstract":"This paper, for the first time, demonstrates the three-dimensional imaging of nano-particle infiltrated Ni-GDC (gadolinia-doped ceria) electrodes using focused ion beam tomography. Microstructural parameters of the actual electrode microstructure are quantified, such as volume fraction, TPB density and mean particle/pore sizes. These microstructural parameters reveal that the infiltrated electrodes have eight times larger TPB density than conventional electrodes fabricated by powder mixing and sintering methods. Comparison between the infiltrated electrodes and conventional electrodes indicates that the infiltrated electrodes have a greater potential to independently control metal particle size, porosity and TPB density, which is a significant advantage in developing design optimized electrode microstructures. © 2014 Elsevier B.V. All rights reserved.","author":[{"dropping-particle":"","family":"Kishimoto","given":"Masashi","non-dropping-particle":"","parse-names":false,"suffix":""},{"dropping-particle":"","family":"Lomberg","given":"Marina","non-dropping-particle":"","parse-names":false,"suffix":""},{"dropping-particle":"","family":"Ruiz-Trejo","given":"Enrique","non-dropping-particle":"","parse-names":false,"suffix":""},{"dropping-particle":"","family":"Brandon","given":"Nigel P.","non-dropping-particle":"","parse-names":false,"suffix":""}],"container-title":"Journal of Power Sources","id":"ITEM-1","issued":{"date-parts":[["2014"]]},"page":"291-295","publisher":"Elsevier B.V","title":"Enhanced triple-phase boundary density in infiltrated electrodes for solid oxide fuel cells demonstrated by high-resolution tomography","type":"article-journal","volume":"266"},"uris":["http://www.mendeley.com/documents/?uuid=e77748b0-09e4-4f33-8c23-e66dfce43624"]},{"id":"ITEM-2","itemData":{"DOI":"10.1149/07801.1397ecst","ISBN":"9781607685395","ISSN":"1938-6737","abstract":"© The Electrochemical Society. The performance of SOFCs degrades with increasing fuel utilization, since the fuel oxidation reaction faces increased competition for the triple-phase-boundary (TPB) sites in the anode from adsorbed water vapor species. Introduction of additional TPB sites by infiltration of Ni nanoparticles into the anode is an effective way to alleviate this problem. Both liquid and vapor phase infiltrations of Ni nanoparticles into commercially available Ni/YSZ cermet anodes have been explored. The microstructure of the anode before infiltration has been examined by FIB/SEM 3-D reconstruction to quantify the TPB length. Infiltrated and uninfiltrated cells have been electrochemically characterized by I-V and electrochemical impedance spectroscopy (EIS) techniques in a temperature range of 600°C-800°C at varying water vapor partials pressures. The infiltrated Ni nanoparticles have been characterized by image analysis of SEM micrographs from fracture crosssections, before and after electrochemical testing. The effects of the nanoparticles on cell electrochemical performance as a function of temperature and anode input water vapor content, the stability of the nanoparticles, as well as the thermodynamics of vapor phase infiltration of Ni are presented.","author":[{"dropping-particle":"","family":"Basu","given":"Soumendra Nath","non-dropping-particle":"","parse-names":false,"suffix":""},{"dropping-particle":"","family":"Lu","given":"Yanchen","non-dropping-particle":"","parse-names":false,"suffix":""},{"dropping-particle":"","family":"Gasper","given":"Paul Joseph","non-dropping-particle":"","parse-names":false,"suffix":""},{"dropping-particle":"","family":"Gopalan","given":"Srikanth","non-dropping-particle":"","parse-names":false,"suffix":""},{"dropping-particle":"","family":"Pal","given":"Uday Bhanu","non-dropping-particle":"","parse-names":false,"suffix":""}],"container-title":"ECS Transactions","id":"ITEM-2","issue":"1","issued":{"date-parts":[["2017"]]},"page":"1397-1405","title":"Enhancing Anodic Catalytic Activity at High Fuel Utilization By Infiltration of Ni Nanoparticles","type":"article-journal","volume":"78"},"uris":["http://www.mendeley.com/documents/?uuid=2c8dd15b-8c79-4548-8cf3-45a05c0a1233"]}],"mendeley":{"formattedCitation":"[257], [264]","plainTextFormattedCitation":"[257], [264]","previouslyFormattedCitation":"[257], [264]"},"properties":{"noteIndex":0},"schema":"https://github.com/citation-style-language/schema/raw/master/csl-citation.json"}</w:instrText>
      </w:r>
      <w:r w:rsidRPr="00335F46">
        <w:fldChar w:fldCharType="separate"/>
      </w:r>
      <w:r w:rsidR="006C586A" w:rsidRPr="006C586A">
        <w:rPr>
          <w:noProof/>
        </w:rPr>
        <w:t>[257], [264]</w:t>
      </w:r>
      <w:r w:rsidRPr="00335F46">
        <w:fldChar w:fldCharType="end"/>
      </w:r>
      <w:r w:rsidRPr="00335F46">
        <w:t xml:space="preserve">. </w:t>
      </w:r>
    </w:p>
    <w:p w14:paraId="7D0BDB2C" w14:textId="0F7BACEF" w:rsidR="00007F6C" w:rsidRPr="00335F46" w:rsidRDefault="00007F6C" w:rsidP="005129DC">
      <w:pPr>
        <w:jc w:val="both"/>
      </w:pPr>
      <w:r w:rsidRPr="00335F46">
        <w:t xml:space="preserve">Despite being one of the less popular current SOFC anode compositions; the Ni-GDC (nickel – gadolinium doped ceria) system was the first fuel electrode composition analysed by FIB-SEM. </w:t>
      </w:r>
      <w:proofErr w:type="spellStart"/>
      <w:r w:rsidRPr="00335F46">
        <w:t>Kishimoto</w:t>
      </w:r>
      <w:proofErr w:type="spellEnd"/>
      <w:r w:rsidRPr="00335F46">
        <w:t xml:space="preserve"> delved into the how the triple phase boundary density evolved between the infiltrated Ni-GDC anode and a Ni-YSZ cermet</w:t>
      </w:r>
      <w:r>
        <w:t xml:space="preserve"> </w:t>
      </w:r>
      <w:r w:rsidRPr="00335F46">
        <w:fldChar w:fldCharType="begin" w:fldLock="1"/>
      </w:r>
      <w:r w:rsidR="00D80A5D">
        <w:instrText>ADDIN CSL_CITATION {"citationItems":[{"id":"ITEM-1","itemData":{"DOI":"10.1016/j.jpowsour.2014.05.038","ISSN":"03787753","author":[{"dropping-particle":"","family":"Kishimoto","given":"Masashi","non-dropping-particle":"","parse-names":false,"suffix":""},{"dropping-particle":"","family":"Lomberg","given":"Marina","non-dropping-particle":"","parse-names":false,"suffix":""},{"dropping-particle":"","family":"Ruiz-Trejo","given":"Enrique","non-dropping-particle":"","parse-names":false,"suffix":""},{"dropping-particle":"","family":"Brandon","given":"Nigel P.","non-dropping-particle":"","parse-names":false,"suffix":""}],"container-title":"Journal of Power Sources","id":"ITEM-1","issued":{"date-parts":[["2014","11"]]},"page":"291-295","title":"Enhanced triple-phase boundary density in infiltrated electrodes for solid oxide fuel cells demonstrated by high-resolution tomography","type":"article-journal","volume":"266"},"uris":["http://www.mendeley.com/documents/?uuid=17df3852-1971-3bbc-9bc9-837010b18dd5"]}],"mendeley":{"formattedCitation":"[265]","plainTextFormattedCitation":"[265]","previouslyFormattedCitation":"[265]"},"properties":{"noteIndex":0},"schema":"https://github.com/citation-style-language/schema/raw/master/csl-citation.json"}</w:instrText>
      </w:r>
      <w:r w:rsidRPr="00335F46">
        <w:fldChar w:fldCharType="separate"/>
      </w:r>
      <w:r w:rsidR="006C586A" w:rsidRPr="006C586A">
        <w:rPr>
          <w:noProof/>
        </w:rPr>
        <w:t>[265]</w:t>
      </w:r>
      <w:r w:rsidRPr="00335F46">
        <w:fldChar w:fldCharType="end"/>
      </w:r>
      <w:r w:rsidRPr="00335F46">
        <w:t>. Triple phase boundary densities were compared between the GDC scaffold, infiltrated Ni-GDC samples and a Ni/YSZ cermet anode. The specific resistance of each electrode was measured at 690</w:t>
      </w:r>
      <w:r w:rsidR="00811792">
        <w:t xml:space="preserve"> </w:t>
      </w:r>
      <w:r w:rsidRPr="00335F46">
        <w:t xml:space="preserve">°C. </w:t>
      </w:r>
    </w:p>
    <w:p w14:paraId="4AE4284F" w14:textId="730117FE" w:rsidR="00007F6C" w:rsidRDefault="00007F6C" w:rsidP="005129DC">
      <w:pPr>
        <w:jc w:val="both"/>
      </w:pPr>
      <w:r w:rsidRPr="002B6C9E">
        <w:t>The results were extremely positive in terms of the wet impregnated samples with an almost quadruple increase in TPB density when the once infiltrated sample was contrasted with the Ni/YSZ cermet. When compared with the ten times infiltrated sample the TPB density values difference is even starker in comparison (18.4 µm µm</w:t>
      </w:r>
      <w:r w:rsidRPr="002B6C9E">
        <w:rPr>
          <w:vertAlign w:val="superscript"/>
        </w:rPr>
        <w:t>-3</w:t>
      </w:r>
      <w:r w:rsidRPr="002B6C9E">
        <w:t>, 2.49 µm µm</w:t>
      </w:r>
      <w:r w:rsidRPr="002B6C9E">
        <w:rPr>
          <w:vertAlign w:val="superscript"/>
        </w:rPr>
        <w:t>-3</w:t>
      </w:r>
      <w:r w:rsidRPr="002B6C9E">
        <w:t>)</w:t>
      </w:r>
      <w:r>
        <w:t xml:space="preserve"> (</w:t>
      </w:r>
      <w:r w:rsidRPr="00F55983">
        <w:fldChar w:fldCharType="begin"/>
      </w:r>
      <w:r w:rsidRPr="00F55983">
        <w:instrText xml:space="preserve"> REF _Ref51157970 \h  \* MERGEFORMAT </w:instrText>
      </w:r>
      <w:r w:rsidRPr="00F55983">
        <w:fldChar w:fldCharType="separate"/>
      </w:r>
      <w:r w:rsidR="00804219" w:rsidRPr="00804219">
        <w:t>Figure 2.21</w:t>
      </w:r>
      <w:r w:rsidRPr="00F55983">
        <w:fldChar w:fldCharType="end"/>
      </w:r>
      <w:r w:rsidR="00811792">
        <w:t xml:space="preserve"> below</w:t>
      </w:r>
      <w:r>
        <w:t xml:space="preserve">) </w:t>
      </w:r>
      <w:r>
        <w:fldChar w:fldCharType="begin" w:fldLock="1"/>
      </w:r>
      <w:r w:rsidR="00D80A5D">
        <w:instrText>ADDIN CSL_CITATION {"citationItems":[{"id":"ITEM-1","itemData":{"DOI":"10.1016/j.jpowsour.2014.05.038","ISSN":"03787753","author":[{"dropping-particle":"","family":"Kishimoto","given":"Masashi","non-dropping-particle":"","parse-names":false,"suffix":""},{"dropping-particle":"","family":"Lomberg","given":"Marina","non-dropping-particle":"","parse-names":false,"suffix":""},{"dropping-particle":"","family":"Ruiz-Trejo","given":"Enrique","non-dropping-particle":"","parse-names":false,"suffix":""},{"dropping-particle":"","family":"Brandon","given":"Nigel P.","non-dropping-particle":"","parse-names":false,"suffix":""}],"container-title":"Journal of Power Sources","id":"ITEM-1","issued":{"date-parts":[["2014","11"]]},"page":"291-295","title":"Enhanced triple-phase boundary density in infiltrated electrodes for solid oxide fuel cells demonstrated by high-resolution tomography","type":"article-journal","volume":"266"},"uris":["http://www.mendeley.com/documents/?uuid=17df3852-1971-3bbc-9bc9-837010b18dd5"]}],"mendeley":{"formattedCitation":"[265]","plainTextFormattedCitation":"[265]","previouslyFormattedCitation":"[265]"},"properties":{"noteIndex":0},"schema":"https://github.com/citation-style-language/schema/raw/master/csl-citation.json"}</w:instrText>
      </w:r>
      <w:r>
        <w:fldChar w:fldCharType="separate"/>
      </w:r>
      <w:r w:rsidR="006C586A" w:rsidRPr="006C586A">
        <w:rPr>
          <w:noProof/>
        </w:rPr>
        <w:t>[265]</w:t>
      </w:r>
      <w:r>
        <w:fldChar w:fldCharType="end"/>
      </w:r>
      <w:r w:rsidRPr="002B6C9E">
        <w:t xml:space="preserve">. </w:t>
      </w:r>
    </w:p>
    <w:p w14:paraId="28F4D423" w14:textId="2FAB02D1" w:rsidR="00811792" w:rsidRPr="002B6C9E" w:rsidRDefault="00811792" w:rsidP="005129DC">
      <w:pPr>
        <w:jc w:val="both"/>
      </w:pPr>
      <w:r w:rsidRPr="002B6C9E">
        <w:t>The key points for discussion from this investigation are very much how the infiltration of nickel into the YSZ structure would affect the results. The comparison between the Ni/YSZ and Ni</w:t>
      </w:r>
      <w:r w:rsidRPr="002B6C9E">
        <w:rPr>
          <w:vertAlign w:val="subscript"/>
        </w:rPr>
        <w:t xml:space="preserve">infiltrated </w:t>
      </w:r>
      <w:r w:rsidRPr="002B6C9E">
        <w:t>/GDC cannot be truly validated as the nickel in the first system is not synonymous in terms of mass when compared to the second system. Surely a comparison Ni</w:t>
      </w:r>
      <w:r w:rsidRPr="002B6C9E">
        <w:rPr>
          <w:vertAlign w:val="subscript"/>
        </w:rPr>
        <w:t>infiltrated</w:t>
      </w:r>
      <w:r w:rsidRPr="002B6C9E">
        <w:t xml:space="preserve"> / YSZ system with identical infiltrate loadings would be preferable in terms of assessing the effect of infiltration on TPB densities. The effect of TPB density was not also assessed in terms of functional properties, techniques such as electrochemical impedance spectroscopy (EIS) could be used to gauge the impact of the </w:t>
      </w:r>
      <w:r>
        <w:t>FIB-SEM</w:t>
      </w:r>
      <w:r w:rsidRPr="002B6C9E">
        <w:t xml:space="preserve"> results.</w:t>
      </w:r>
    </w:p>
    <w:p w14:paraId="2DEB4C52" w14:textId="77777777" w:rsidR="00007F6C" w:rsidRPr="002B6C9E" w:rsidRDefault="00007F6C" w:rsidP="005129DC">
      <w:pPr>
        <w:keepNext/>
        <w:jc w:val="center"/>
      </w:pPr>
      <w:r w:rsidRPr="002B6C9E">
        <w:rPr>
          <w:noProof/>
          <w:lang w:eastAsia="en-GB"/>
        </w:rPr>
        <w:lastRenderedPageBreak/>
        <w:drawing>
          <wp:inline distT="0" distB="0" distL="0" distR="0" wp14:anchorId="7BCDF325" wp14:editId="3A50B33A">
            <wp:extent cx="2670023" cy="351425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ickel infiltration in GDC scaffolds, FST - Kishimoto.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70023" cy="3514251"/>
                    </a:xfrm>
                    <a:prstGeom prst="rect">
                      <a:avLst/>
                    </a:prstGeom>
                  </pic:spPr>
                </pic:pic>
              </a:graphicData>
            </a:graphic>
          </wp:inline>
        </w:drawing>
      </w:r>
    </w:p>
    <w:p w14:paraId="36DBB5AA" w14:textId="56C69ABE" w:rsidR="00007F6C" w:rsidRPr="00582C49" w:rsidRDefault="00007F6C" w:rsidP="005129DC">
      <w:pPr>
        <w:jc w:val="center"/>
        <w:rPr>
          <w:i/>
          <w:iCs/>
          <w:color w:val="44546A" w:themeColor="text2"/>
          <w:sz w:val="18"/>
          <w:szCs w:val="18"/>
        </w:rPr>
      </w:pPr>
      <w:bookmarkStart w:id="135" w:name="_Ref51157970"/>
      <w:bookmarkStart w:id="136" w:name="_Toc69114933"/>
      <w:r w:rsidRPr="00582C49">
        <w:rPr>
          <w:i/>
          <w:iCs/>
          <w:color w:val="44546A" w:themeColor="text2"/>
          <w:sz w:val="18"/>
          <w:szCs w:val="18"/>
        </w:rPr>
        <w:t xml:space="preserve">Figure </w:t>
      </w:r>
      <w:r>
        <w:rPr>
          <w:i/>
          <w:iCs/>
          <w:color w:val="44546A" w:themeColor="text2"/>
          <w:sz w:val="18"/>
          <w:szCs w:val="18"/>
        </w:rPr>
        <w:t>2.</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804219">
        <w:rPr>
          <w:i/>
          <w:iCs/>
          <w:noProof/>
          <w:color w:val="44546A" w:themeColor="text2"/>
          <w:sz w:val="18"/>
          <w:szCs w:val="18"/>
        </w:rPr>
        <w:t>21</w:t>
      </w:r>
      <w:r w:rsidR="00285C23">
        <w:rPr>
          <w:i/>
          <w:iCs/>
          <w:color w:val="44546A" w:themeColor="text2"/>
          <w:sz w:val="18"/>
          <w:szCs w:val="18"/>
        </w:rPr>
        <w:fldChar w:fldCharType="end"/>
      </w:r>
      <w:bookmarkEnd w:id="135"/>
      <w:r w:rsidRPr="00582C49">
        <w:rPr>
          <w:i/>
          <w:iCs/>
          <w:color w:val="44546A" w:themeColor="text2"/>
          <w:sz w:val="18"/>
          <w:szCs w:val="18"/>
        </w:rPr>
        <w:t>: FIB-SEM 3D renderings of the two wet impregnated Ni/GDC anodes with various phases present. Row (a) shows the presence of Ni in the system, Row (b) shows the Ni/GDC interfaces present in the arrangement and Row (c) shows the TPB lines in the sample</w:t>
      </w:r>
      <w:r>
        <w:rPr>
          <w:i/>
          <w:iCs/>
          <w:color w:val="44546A" w:themeColor="text2"/>
          <w:sz w:val="18"/>
          <w:szCs w:val="18"/>
        </w:rPr>
        <w:t xml:space="preserve"> </w:t>
      </w:r>
      <w:r w:rsidRPr="00582C49">
        <w:rPr>
          <w:i/>
          <w:iCs/>
          <w:color w:val="44546A" w:themeColor="text2"/>
          <w:sz w:val="18"/>
          <w:szCs w:val="18"/>
        </w:rPr>
        <w:fldChar w:fldCharType="begin" w:fldLock="1"/>
      </w:r>
      <w:r w:rsidR="00D80A5D">
        <w:rPr>
          <w:i/>
          <w:iCs/>
          <w:color w:val="44546A" w:themeColor="text2"/>
          <w:sz w:val="18"/>
          <w:szCs w:val="18"/>
        </w:rPr>
        <w:instrText>ADDIN CSL_CITATION {"citationItems":[{"id":"ITEM-1","itemData":{"DOI":"10.1016/j.jpowsour.2014.05.038","ISSN":"03787753","author":[{"dropping-particle":"","family":"Kishimoto","given":"Masashi","non-dropping-particle":"","parse-names":false,"suffix":""},{"dropping-particle":"","family":"Lomberg","given":"Marina","non-dropping-particle":"","parse-names":false,"suffix":""},{"dropping-particle":"","family":"Ruiz-Trejo","given":"Enrique","non-dropping-particle":"","parse-names":false,"suffix":""},{"dropping-particle":"","family":"Brandon","given":"Nigel P.","non-dropping-particle":"","parse-names":false,"suffix":""}],"container-title":"Journal of Power Sources","id":"ITEM-1","issued":{"date-parts":[["2014","11"]]},"page":"291-295","title":"Enhanced triple-phase boundary density in infiltrated electrodes for solid oxide fuel cells demonstrated by high-resolution tomography","type":"article-journal","volume":"266"},"uris":["http://www.mendeley.com/documents/?uuid=17df3852-1971-3bbc-9bc9-837010b18dd5"]}],"mendeley":{"formattedCitation":"[265]","plainTextFormattedCitation":"[265]","previouslyFormattedCitation":"[265]"},"properties":{"noteIndex":0},"schema":"https://github.com/citation-style-language/schema/raw/master/csl-citation.json"}</w:instrText>
      </w:r>
      <w:r w:rsidRPr="00582C49">
        <w:rPr>
          <w:i/>
          <w:iCs/>
          <w:color w:val="44546A" w:themeColor="text2"/>
          <w:sz w:val="18"/>
          <w:szCs w:val="18"/>
        </w:rPr>
        <w:fldChar w:fldCharType="separate"/>
      </w:r>
      <w:r w:rsidR="006C586A" w:rsidRPr="006C586A">
        <w:rPr>
          <w:iCs/>
          <w:noProof/>
          <w:color w:val="44546A" w:themeColor="text2"/>
          <w:sz w:val="18"/>
          <w:szCs w:val="18"/>
        </w:rPr>
        <w:t>[265]</w:t>
      </w:r>
      <w:r w:rsidRPr="00582C49">
        <w:rPr>
          <w:i/>
          <w:iCs/>
          <w:color w:val="44546A" w:themeColor="text2"/>
          <w:sz w:val="18"/>
          <w:szCs w:val="18"/>
        </w:rPr>
        <w:fldChar w:fldCharType="end"/>
      </w:r>
      <w:r w:rsidRPr="00582C49">
        <w:rPr>
          <w:i/>
          <w:iCs/>
          <w:color w:val="44546A" w:themeColor="text2"/>
          <w:sz w:val="18"/>
          <w:szCs w:val="18"/>
        </w:rPr>
        <w:t>.</w:t>
      </w:r>
      <w:bookmarkEnd w:id="136"/>
      <w:r w:rsidRPr="00582C49">
        <w:rPr>
          <w:i/>
          <w:iCs/>
          <w:color w:val="44546A" w:themeColor="text2"/>
          <w:sz w:val="18"/>
          <w:szCs w:val="18"/>
        </w:rPr>
        <w:t xml:space="preserve"> </w:t>
      </w:r>
    </w:p>
    <w:p w14:paraId="7861DBD3" w14:textId="4FB3EEC5" w:rsidR="00007F6C" w:rsidRDefault="00007F6C" w:rsidP="005129DC">
      <w:pPr>
        <w:jc w:val="both"/>
      </w:pPr>
      <w:r>
        <w:t xml:space="preserve">Some of the major issues with FIB-SEM lie with hinge upon its sample preparation especially during imaging. If the distance between each milled layer exceeds that of the catalyst being imaged key microstructural changes will be missed </w:t>
      </w:r>
      <w:r>
        <w:fldChar w:fldCharType="begin" w:fldLock="1"/>
      </w:r>
      <w:r w:rsidR="00D80A5D">
        <w:instrText>ADDIN CSL_CITATION {"citationItems":[{"id":"ITEM-1","itemData":{"author":[{"dropping-particle":"","family":"Harshil Parikh","given":"","non-dropping-particle":"","parse-names":false,"suffix":""}],"id":"ITEM-1","issued":{"date-parts":[["2015"]]},"title":"MICROSTRUCTURE CHANGES IN SOLID OXIDE FUEL CELL ANODES AFTER OPERATION , OBSERVED USING THREE-DIMENSIONAL RECONSTRUCTION AND MICROCHEMICAL ANALYSIS by HARSHIL PARIKH Submitted in partial fulfillment of the requirements for the degree of","type":"thesis"},"uris":["http://www.mendeley.com/documents/?uuid=2a155718-25c7-47a0-b28a-7772589c0978"]}],"mendeley":{"formattedCitation":"[266]","plainTextFormattedCitation":"[266]","previouslyFormattedCitation":"[266]"},"properties":{"noteIndex":0},"schema":"https://github.com/citation-style-language/schema/raw/master/csl-citation.json"}</w:instrText>
      </w:r>
      <w:r>
        <w:fldChar w:fldCharType="separate"/>
      </w:r>
      <w:r w:rsidR="006C586A" w:rsidRPr="006C586A">
        <w:rPr>
          <w:noProof/>
        </w:rPr>
        <w:t>[266]</w:t>
      </w:r>
      <w:r>
        <w:fldChar w:fldCharType="end"/>
      </w:r>
      <w:r>
        <w:t xml:space="preserve">. This could certainly be the case in infiltrated systems where the initial catalyst length is under 10 nm </w:t>
      </w:r>
      <w:r>
        <w:fldChar w:fldCharType="begin" w:fldLock="1"/>
      </w:r>
      <w:r w:rsidR="00D80A5D">
        <w:instrText>ADDIN CSL_CITATION {"citationItems":[{"id":"ITEM-1","itemData":{"DOI":"10.1021/cs5006772","ISSN":"21555435","abstract":"The nanoscale distribution of the supported metal phase is an important property for highly active, selective, and stable catalysts. Here, the nanoscale redistribution and aggregate formation of cobalt nitrate during the synthesis of supported cobalt catalysts were studied. Drying over a range of temperatures in stagnant air resulted in cobalt particles (8 nm) present in large aggregates (30-150 nm). However, drying in a N2 flow resulted in cobalt nanoparticles distributed either in aggregates or uniformly on various SiO2 and-Al2O3 supports, critically dependent on the drying temperature. The mechanism of aggregation was studied through chemical immobilization of the precursor on a silica support after drying in a N2 flow. The aggregation behavior upon drying in a gas flow at temperatures below 100 °C showed a remarkable similarity to distributions obtained upon the dewetting of colloidal films, suggesting a physical process. Alternatively, by inducing decomposition of the cobalt nitrate above 100 °C before drying was complete, aggregation was brought about through a chemical process that occurred both in stagnant and flowing gas. A-alumina support exhibited increased precursor-support interactions and displayed little cobalt aggregation upon drying in a gas flow but extensive aggregation upon drying in stagnant air. The aggregation behavior was further tested on silica supports with pore sizes between 3 and 15 nm and tested under industrially relevant Fischer-Tropsch conditions, which revealed that uniform cobalt nanoparticle distributions were up to 50% more active compared to aggregated systems. Thus, hydrodynamics and the temperature of the gas phase are critical parameters to control nanoscale distributions during drying of functional nanomaterials such as supported catalysts.","author":[{"dropping-particle":"","family":"Munnik","given":"Peter","non-dropping-particle":"","parse-names":false,"suffix":""},{"dropping-particle":"","family":"Krans","given":"Nynke A.","non-dropping-particle":"","parse-names":false,"suffix":""},{"dropping-particle":"","family":"Jongh","given":"Petra E.","non-dropping-particle":"De","parse-names":false,"suffix":""},{"dropping-particle":"","family":"Jong","given":"Krijn P.","non-dropping-particle":"De","parse-names":false,"suffix":""}],"container-title":"ACS Catalysis","id":"ITEM-1","issue":"9","issued":{"date-parts":[["2014"]]},"page":"3219-3226","title":"Effects of drying conditions on the synthesis of Co/SiO2 and Co/Al2O3 fischer-tropsch catalysts","type":"article-journal","volume":"4"},"uris":["http://www.mendeley.com/documents/?uuid=ff2d8c3b-b606-4a55-9be4-2f66736d890c"]}],"mendeley":{"formattedCitation":"[171]","plainTextFormattedCitation":"[171]","previouslyFormattedCitation":"[171]"},"properties":{"noteIndex":0},"schema":"https://github.com/citation-style-language/schema/raw/master/csl-citation.json"}</w:instrText>
      </w:r>
      <w:r>
        <w:fldChar w:fldCharType="separate"/>
      </w:r>
      <w:r w:rsidR="006C586A" w:rsidRPr="006C586A">
        <w:rPr>
          <w:noProof/>
        </w:rPr>
        <w:t>[171]</w:t>
      </w:r>
      <w:r>
        <w:fldChar w:fldCharType="end"/>
      </w:r>
      <w:r>
        <w:t xml:space="preserve">. Additionally due to the milling process ageing experiments cannot be conducted with FIB-SEM </w:t>
      </w:r>
      <w:r>
        <w:fldChar w:fldCharType="begin" w:fldLock="1"/>
      </w:r>
      <w:r w:rsidR="00D80A5D">
        <w:instrText>ADDIN CSL_CITATION {"citationItems":[{"id":"ITEM-1","itemData":{"DOI":"10.1016/j.jpowsour.2017.11.024","ISSN":"03787753","abstract":"Ni-YSZ anodes for Solid Oxide Fuel Cells are vulnerable to microstructural damage during redox cycling leading to a decrease in the electrochemical performance. This study quantifies the microstructural changes as a function of redox cycles at 800 °C and associates it to the deterioration of the mechanical properties and polarisation resistance. A physically-based model is used to estimate the triple-phase boundary (TPB) length from impedance spectra, and satisfactorily matches the TPB length quantified by FIB-SEM tomography: within 20 redox cycles, the TPB density decreases from 4.63 μm−2 to 1.06 μm−2. Although the polarisation resistance increases by an order of magnitude after 20 cycles, after each re-reduction the electrode polarisation improves consistently due to the transient generation of Ni nanoparticles around the TPBs. Nonetheless, the long-term degradation overshadows this transient improvement due to the nickel agglomeration. In addition, FIB-SEM tomography reveals fractures along YSZ grain boundaries, Ni-YSZ detachment and increased porosity in the composite that lead to irreversible mechanical damage: the elastic modulus diminishes from 36.4 GPa to 20.2 GPa and the hardness from 0.40 GPa to 0.15 GPa. These results suggest that microstructural, mechanical and electrochemical properties are strongly interdependent in determining the degradation caused by redox cycling.","author":[{"dropping-particle":"","family":"Song","given":"Bowen","non-dropping-particle":"","parse-names":false,"suffix":""},{"dropping-particle":"","family":"Ruiz-Trejo","given":"Enrique","non-dropping-particle":"","parse-names":false,"suffix":""},{"dropping-particle":"","family":"Bertei","given":"Antonio","non-dropping-particle":"","parse-names":false,"suffix":""},{"dropping-particle":"","family":"Brandon","given":"Nigel P.","non-dropping-particle":"","parse-names":false,"suffix":""}],"container-title":"Journal of Power Sources","id":"ITEM-1","issue":"October 2017","issued":{"date-parts":[["2018"]]},"page":"61-68","publisher":"Elsevier","title":"Quantification of the degradation of Ni-YSZ anodes upon redox cycling","type":"article-journal","volume":"374"},"uris":["http://www.mendeley.com/documents/?uuid=2d196a90-b175-41a8-8950-bf55e54a2b42"]},{"id":"ITEM-2","itemData":{"DOI":"http://dx.doi.org/10.1016/j.jpowsour.2016.09.006","ISBN":"0378-7753","abstract":"Degradation of Solid Oxide Fuel Cell (SOFC) anode during discharge operation and redox cycles operation were evaluated by three-dimensional electrochemical calculations using a Lattice Boltzmann method (LBM). Three dimensional microstructures were obtained by Focused Ion Beam Scanning Electron Microscopy (FIB-SEM) reconstruction. In the electrochemical calculations, changes in exchange current density and ionic conductivity of Yttria stabilized Zirconia (YSZ) during the operations were assumed and their values were calculated by fitting the calculated overpotential values to the experimental ones. Changes in triple phase boundary density calculated from the reconstructed microstructures were inconsistent with the gradual degradation observed during repeated redox-discharge cycles. Changes of the fitted exchange current density and YSZ ionic conductivity values in both discharge operation and redox cycle operation showed same tendency as the experimental results. Change in exchange current density or YSZ ionic conductivity should be considered as an essential factor which governs the cell performance change regardless of the redox treatment.","author":[{"dropping-particle":"","family":"Shimura","given":"Takaaki","non-dropping-particle":"","parse-names":false,"suffix":""},{"dropping-particle":"","family":"Jiao","given":"Zhenjun","non-dropping-particle":"","parse-names":false,"suffix":""},{"dropping-particle":"","family":"Shikazono","given":"Naoki","non-dropping-particle":"","parse-names":false,"suffix":""}],"container-title":"Journal of Power Sources","id":"ITEM-2","issued":{"date-parts":[["2016"]]},"page":"149-155","title":"Evaluation of nickel-yttria stabilized zirconia anode degradation during discharge operation and redox cycles operation by electrochemical calculation","type":"article-journal","volume":"330"},"uris":["http://www.mendeley.com/documents/?uuid=0da4bcb7-ecc3-4979-8485-bc171fc35bb0"]},{"id":"ITEM-3","itemData":{"DOI":"10.1016/j.mattod.2019.05.019","ISSN":"18734103","abstract":"Over the last century, X-ray imaging instruments and their accompanying tomographic reconstruction algorithms have developed considerably. With improved tomogram quality and resolution, voxel sizes down to tens of nanometers can now be achieved. Moreover, recent advancements in readily accessible lab-based X-ray computed tomography (X-ray CT) instruments have produced spatial resolutions comparable to specialist synchrotron facilities. Electrochemical energy conversion devices, such as fuel cells and batteries, have inherently complex electrode microstructures to achieve competitive power delivery for consideration as replacements for conventional sources. With resolution capabilities spanning tens of microns to tens of nanometers, X-ray CT has become widely employed in the three-dimensional (3D) characterization of electrochemical materials. The ability to perform multiscale imaging has enabled characterization from system-down to particle-level, with the ability to resolve critical features within device microstructures. X-ray characterization presents a favorable alternative to other 3D methods, such as focused ion beam scanning electron microscopy, due to its non-destructive nature, which allows four-dimensional (4D) studies, three spatial dimensions plus time, linking structural dynamics to device performance and lifetime. X-ray CT has accelerated research from fundamental understanding of the links between cell structure and performance, to the improvement in manufacturing and scale-up of full electrochemical cells. Furthermore, this has aided in the mitigation of degradation and cell-level failures, such as thermal runaway. This review presents recent developments in the use of X-ray CT as a characterization method and its role in the advancement of electrochemical materials engineering.","author":[{"dropping-particle":"","family":"Heenan","given":"Thomas M.M.","non-dropping-particle":"","parse-names":false,"suffix":""},{"dropping-particle":"","family":"Tan","given":"Chun","non-dropping-particle":"","parse-names":false,"suffix":""},{"dropping-particle":"","family":"Hack","given":"Jennifer","non-dropping-particle":"","parse-names":false,"suffix":""},{"dropping-particle":"","family":"Brett","given":"Dan J.L.","non-dropping-particle":"","parse-names":false,"suffix":""},{"dropping-particle":"","family":"Shearing","given":"Paul R.","non-dropping-particle":"","parse-names":false,"suffix":""}],"container-title":"Materials Today","id":"ITEM-3","issue":"December","issued":{"date-parts":[["2019"]]},"page":"69-85","publisher":"Elsevier B.V.","title":"Developments in X-ray tomography characterization for electrochemical devices","type":"article-journal","volume":"31"},"uris":["http://www.mendeley.com/documents/?uuid=5a69f3ee-6f01-46b1-a3b2-22259527df4c"]}],"mendeley":{"formattedCitation":"[255], [256], [267]","plainTextFormattedCitation":"[255], [256], [267]","previouslyFormattedCitation":"[255], [256], [267]"},"properties":{"noteIndex":0},"schema":"https://github.com/citation-style-language/schema/raw/master/csl-citation.json"}</w:instrText>
      </w:r>
      <w:r>
        <w:fldChar w:fldCharType="separate"/>
      </w:r>
      <w:r w:rsidR="006C586A" w:rsidRPr="006C586A">
        <w:rPr>
          <w:noProof/>
        </w:rPr>
        <w:t>[255], [256], [267]</w:t>
      </w:r>
      <w:r>
        <w:fldChar w:fldCharType="end"/>
      </w:r>
      <w:r>
        <w:t>.</w:t>
      </w:r>
    </w:p>
    <w:p w14:paraId="5D3B16C6" w14:textId="77777777" w:rsidR="00007F6C" w:rsidRDefault="00007F6C" w:rsidP="005129DC">
      <w:pPr>
        <w:jc w:val="both"/>
      </w:pPr>
      <w:r w:rsidRPr="002B6C9E">
        <w:t xml:space="preserve">One of the key issues in attempting to use </w:t>
      </w:r>
      <w:r>
        <w:t>FIB-SEM</w:t>
      </w:r>
      <w:r w:rsidRPr="002B6C9E">
        <w:t xml:space="preserve"> is its requirement of having to use back scattered electrons (BSE) to image the surface of the sample. BSE has multiple benefits in terms of surface resolution due its low interaction volume. Microstructural variance would almost certainly affect the TPB density values being produced from the rendering. One answer would be to do images of multiple surfaces and average the resultant TPB density values to produce a much more accurate set of results.   </w:t>
      </w:r>
    </w:p>
    <w:p w14:paraId="3EE5A423" w14:textId="77777777" w:rsidR="00007F6C" w:rsidRDefault="00007F6C" w:rsidP="005129DC">
      <w:pPr>
        <w:jc w:val="both"/>
      </w:pPr>
      <w:r w:rsidRPr="002B6C9E">
        <w:t xml:space="preserve">Further work needs to be done utilising </w:t>
      </w:r>
      <w:r>
        <w:t>FIB-SEM</w:t>
      </w:r>
      <w:r w:rsidRPr="002B6C9E">
        <w:t xml:space="preserve"> to characterise and calculate the TPB densities of infiltrated Ni/YSZ anodes. Caution would be required when the back scattered mode on the SEM as the nickel NPs would have a very low interaction volume which could affect the resolution of the imaging.</w:t>
      </w:r>
    </w:p>
    <w:p w14:paraId="0AD6B65F" w14:textId="77777777" w:rsidR="00007F6C" w:rsidRPr="002B6C9E" w:rsidRDefault="00007F6C" w:rsidP="005129DC">
      <w:pPr>
        <w:pStyle w:val="Heading4"/>
      </w:pPr>
      <w:r>
        <w:t>2.4.2.5</w:t>
      </w:r>
      <w:r>
        <w:tab/>
      </w:r>
      <w:r w:rsidRPr="002B6C9E">
        <w:t xml:space="preserve">X-ray </w:t>
      </w:r>
      <w:r>
        <w:t xml:space="preserve">Computed </w:t>
      </w:r>
      <w:r w:rsidRPr="002B6C9E">
        <w:t>Tomography</w:t>
      </w:r>
      <w:bookmarkEnd w:id="133"/>
      <w:r>
        <w:t xml:space="preserve"> (XCT)</w:t>
      </w:r>
    </w:p>
    <w:p w14:paraId="6A1F2450" w14:textId="7AD60A56" w:rsidR="00007F6C" w:rsidRPr="00731EDF" w:rsidRDefault="00007F6C" w:rsidP="005129DC">
      <w:pPr>
        <w:jc w:val="both"/>
      </w:pPr>
      <w:r w:rsidRPr="00731EDF">
        <w:t xml:space="preserve">Over the past 12 years X-ray computed tomography (XCT) has begun to supersede FIB-SEM in the procurement and monitoring of 3D rendered fuel electrode microstructures. This technique utilises X-rays to produce tomograms of a sample that is rotated in the path of the incident beam. This technique can produce transmission X-ray microscopy measurements (TXM) which observe the morphological changes of nickel nanoparticles on the surface of yttria-stabilised zirconia during ageing. A series of 3D images are generated by the system which map the microstructural evolution of the sample over time.  The key advantage is that the same sample can be imaged throughout ageing times of interest </w:t>
      </w:r>
      <w:r w:rsidRPr="00731EDF">
        <w:fldChar w:fldCharType="begin" w:fldLock="1"/>
      </w:r>
      <w:r w:rsidR="00D80A5D">
        <w:instrText>ADDIN CSL_CITATION {"citationItems":[{"id":"ITEM-1","itemData":{"DOI":"10.1016/j.jpowsour.2014.05.038","ISSN":"03787753","author":[{"dropping-particle":"","family":"Kishimoto","given":"Masashi","non-dropping-particle":"","parse-names":false,"suffix":""},{"dropping-particle":"","family":"Lomberg","given":"Marina","non-dropping-particle":"","parse-names":false,"suffix":""},{"dropping-particle":"","family":"Ruiz-Trejo","given":"Enrique","non-dropping-particle":"","parse-names":false,"suffix":""},{"dropping-particle":"","family":"Brandon","given":"Nigel P.","non-dropping-particle":"","parse-names":false,"suffix":""}],"container-title":"Journal of Power Sources","id":"ITEM-1","issued":{"date-parts":[["2014","11"]]},"page":"291-295","title":"Enhanced triple-phase boundary density in infiltrated electrodes for solid oxide fuel cells demonstrated by high-resolution tomography","type":"article-journal","volume":"266"},"uris":["http://www.mendeley.com/documents/?uuid=17df3852-1971-3bbc-9bc9-837010b18dd5"]},{"id":"ITEM-2","itemData":{"DOI":"http://dx.doi.org/10.1016/j.ijhydene.2016.09.100","ISSN":"0360-3199","abstract":"Abstract This study presents a physically-based model for the simulation of impedance spectra in solid oxide fuel cell (SOFC) composite anodes. The model takes into account the charge transport and the charge-transfer reaction at the three-phase boundary distributed along the anode thickness, as well as the phenomena at the electrode/electrolyte interface and the multicomponent gas diffusion in the test rig. The model is calibrated with experimental impedance spectra of cermet anodes made of nickel and scandia-stabilized zirconia and satisfactorily validated in electrodes with different microstructural properties, quantified through focused ion beam SEM tomography. Besides providing the material-specific kinetic parameters of the electrochemical hydrogen oxidation, this study shows that the correlation between electrode microstructure and electrochemical performance can be successfully addressed by combining physically-based modelling, impedance spectroscopy and 3D tomography. This approach overcomes the limits of phenomenological equivalent circuits and is suitable for the interpretation of experimental data and for the optimisation of the electrode microstructure.","author":[{"dropping-particle":"","family":"Bertei","given":"A","non-dropping-particle":"","parse-names":false,"suffix":""},{"dropping-particle":"","family":"Ruiz-Trejo","given":"E","non-dropping-particle":"","parse-names":false,"suffix":""},{"dropping-particle":"","family":"Tariq","given":"F","non-dropping-particle":"","parse-names":false,"suffix":""},{"dropping-particle":"","family":"Yufit","given":"V","non-dropping-particle":"","parse-names":false,"suffix":""},{"dropping-particle":"","family":"Atkinson","given":"A","non-dropping-particle":"","parse-names":false,"suffix":""},{"dropping-particle":"","family":"Brandon","given":"N P","non-dropping-particle":"","parse-names":false,"suffix":""}],"container-title":"International Journal of Hydrogen Energy","id":"ITEM-2","issue":"47","issued":{"date-parts":[["2016","12","21"]]},"page":"22381-22393","title":"Validation of a physically-based solid oxide fuel cell anode model combining 3D tomography and impedance spectroscopy","type":"article-journal","volume":"41"},"uris":["http://www.mendeley.com/documents/?uuid=388e23da-1115-41a9-b1f0-170cc0337056"]},{"id":"ITEM-3","itemData":{"DOI":"10.1149/2.0821709jes","ISSN":"0013-4651","abstract":"© The Author(s) 2017. Published by ECS. This study investigates the stability of nickel-impregnated scandia-stabilize zirconia composite electrodes during isothermal annealing at temperatures from 600 to 950.C in a humidified hydrogen atmosphere (3 vol% water vapor). Typically an initial rapid degradation of the electrode during the first 17 h of annealing is revealed by both an increase in polarization resistance and a fall in electronic conductivity. Secondary electron images show a shift in nickel particle size toward larger values after 50 h of annealing. The declining electrochemical performance is hence attributed to nickel coarsening at elevated temperatures. Nickel coarsening has two microstructural effects: breaking up nickel percolation; and reducing the density of triple phase boundaries. Their impact on electrode area specific resistance is explored using a physical model of electrode performance which relates the macroscopic electrochemical performance to measurable microstructural parameters.","author":[{"dropping-particle":"","family":"Chen","given":"Jingyi","non-dropping-particle":"","parse-names":false,"suffix":""},{"dropping-particle":"","family":"Bertei","given":"Antonio","non-dropping-particle":"","parse-names":false,"suffix":""},{"dropping-particle":"","family":"Atkinson","given":"Alan","non-dropping-particle":"","parse-names":false,"suffix":""},{"dropping-particle":"","family":"Ruiz-Trejo","given":"Enrique","non-dropping-particle":"","parse-names":false,"suffix":""},{"dropping-particle":"","family":"Brandon","given":"Nigel P.","non-dropping-particle":"","parse-names":false,"suffix":""}],"container-title":"Journal of The Electrochemical Society","id":"ITEM-3","issue":"9","issued":{"date-parts":[["2017"]]},"title":"Characterization of Degradation in Nickel Impregnated Scandia-Stabilize Zirconia Electrodes during Isothermal Annealing","type":"article-journal","volume":"164"},"uris":["http://www.mendeley.com/documents/?uuid=a659a128-d647-3e87-bb2d-cafb854494c8"]},{"id":"ITEM-4","itemData":{"DOI":"10.1016/j.actamat.2015.09.055","ISSN":"13596454","abstract":"This report describes a transmission X-ray microscopy observation of the high-temperature microstructural evolution of a solid oxide fuel cell Ni-Yttria-stabilized zirconia (Ni-YSZ) anode. Unlike prior studies that compared microstructural differences between different anodes, this three-dimensional measurement directly shows the changes occurring in the same region of an anode, enabling a new understanding of evolutionary processes. High-temperature ageing for 48 h at 1050 °C yielded substantial structural changes in the Ni, YSZ and pore networks, including coalescence of Ni particles, leading to a three-fold decrease in three phase boundary length. Implications for fuel cell long-term degradation are discussed.","author":[{"dropping-particle":"","family":"Kennouche","given":"David","non-dropping-particle":"","parse-names":false,"suffix":""},{"dropping-particle":"","family":"Chen-Wiegart","given":"Yu Chen Karen","non-dropping-particle":"","parse-names":false,"suffix":""},{"dropping-particle":"","family":"Yakal-Kremski","given":"Kyle J.","non-dropping-particle":"","parse-names":false,"suffix":""},{"dropping-particle":"","family":"Wang","given":"Jun","non-dropping-particle":"","parse-names":false,"suffix":""},{"dropping-particle":"","family":"Gibbs","given":"John W.","non-dropping-particle":"","parse-names":false,"suffix":""},{"dropping-particle":"","family":"Voorhees","given":"Peter W.","non-dropping-particle":"","parse-names":false,"suffix":""},{"dropping-particle":"","family":"Barnett","given":"Scott A.","non-dropping-particle":"","parse-names":false,"suffix":""}],"container-title":"Acta Materialia","id":"ITEM-4","issued":{"date-parts":[["2016"]]},"page":"204-210","publisher":"Elsevier Ltd","title":"Observing the microstructural evolution of Ni-Yttria-stabilized zirconia solid oxide fuel cell anodes","type":"article-journal","volume":"103"},"uris":["http://www.mendeley.com/documents/?uuid=77011ff6-b56a-4a62-b511-e1a60eddf244"]},{"id":"ITEM-5","itemData":{"DOI":"10.1016/j.mattod.2019.05.019","ISSN":"18734103","abstract":"Over the last century, X-ray imaging instruments and their accompanying tomographic reconstruction algorithms have developed considerably. With improved tomogram quality and resolution, voxel sizes down to tens of nanometers can now be achieved. Moreover, recent advancements in readily accessible lab-based X-ray computed tomography (X-ray CT) instruments have produced spatial resolutions comparable to specialist synchrotron facilities. Electrochemical energy conversion devices, such as fuel cells and batteries, have inherently complex electrode microstructures to achieve competitive power delivery for consideration as replacements for conventional sources. With resolution capabilities spanning tens of microns to tens of nanometers, X-ray CT has become widely employed in the three-dimensional (3D) characterization of electrochemical materials. The ability to perform multiscale imaging has enabled characterization from system-down to particle-level, with the ability to resolve critical features within device microstructures. X-ray characterization presents a favorable alternative to other 3D methods, such as focused ion beam scanning electron microscopy, due to its non-destructive nature, which allows four-dimensional (4D) studies, three spatial dimensions plus time, linking structural dynamics to device performance and lifetime. X-ray CT has accelerated research from fundamental understanding of the links between cell structure and performance, to the improvement in manufacturing and scale-up of full electrochemical cells. Furthermore, this has aided in the mitigation of degradation and cell-level failures, such as thermal runaway. This review presents recent developments in the use of X-ray CT as a characterization method and its role in the advancement of electrochemical materials engineering.","author":[{"dropping-particle":"","family":"Heenan","given":"Thomas M.M.","non-dropping-particle":"","parse-names":false,"suffix":""},{"dropping-particle":"","family":"Tan","given":"Chun","non-dropping-particle":"","parse-names":false,"suffix":""},{"dropping-particle":"","family":"Hack","given":"Jennifer","non-dropping-particle":"","parse-names":false,"suffix":""},{"dropping-particle":"","family":"Brett","given":"Dan J.L.","non-dropping-particle":"","parse-names":false,"suffix":""},{"dropping-particle":"","family":"Shearing","given":"Paul R.","non-dropping-particle":"","parse-names":false,"suffix":""}],"container-title":"Materials Today","id":"ITEM-5","issue":"December","issued":{"date-parts":[["2019"]]},"page":"69-85","publisher":"Elsevier B.V.","title":"Developments in X-ray tomography characterization for electrochemical devices","type":"article-journal","volume":"31"},"uris":["http://www.mendeley.com/documents/?uuid=5a69f3ee-6f01-46b1-a3b2-22259527df4c"]}],"mendeley":{"formattedCitation":"[255], [265], [268]–[270]","plainTextFormattedCitation":"[255], [265], [268]–[270]","previouslyFormattedCitation":"[255], [265], [268]–[270]"},"properties":{"noteIndex":0},"schema":"https://github.com/citation-style-language/schema/raw/master/csl-citation.json"}</w:instrText>
      </w:r>
      <w:r w:rsidRPr="00731EDF">
        <w:fldChar w:fldCharType="separate"/>
      </w:r>
      <w:r w:rsidR="006C586A" w:rsidRPr="006C586A">
        <w:rPr>
          <w:noProof/>
        </w:rPr>
        <w:t>[255], [265], [268]–[270]</w:t>
      </w:r>
      <w:r w:rsidRPr="00731EDF">
        <w:fldChar w:fldCharType="end"/>
      </w:r>
      <w:r w:rsidRPr="00731EDF">
        <w:t>.</w:t>
      </w:r>
    </w:p>
    <w:p w14:paraId="47C10E0B" w14:textId="231F2767" w:rsidR="00007F6C" w:rsidRPr="00731EDF" w:rsidRDefault="00007F6C" w:rsidP="005129DC">
      <w:pPr>
        <w:jc w:val="both"/>
      </w:pPr>
      <w:r w:rsidRPr="00731EDF">
        <w:lastRenderedPageBreak/>
        <w:t xml:space="preserve">One of the major advantages of this technique in that it can be performed interrupted in-situ measurements (4D-ageing time measurements) are possible, which leads to significant results in terms of degradation analysis. </w:t>
      </w:r>
      <w:proofErr w:type="spellStart"/>
      <w:r w:rsidRPr="00731EDF">
        <w:t>Kennouche</w:t>
      </w:r>
      <w:proofErr w:type="spellEnd"/>
      <w:r w:rsidRPr="00731EDF">
        <w:t xml:space="preserve"> et al first discussed the implications of TXM technique in 2013 </w:t>
      </w:r>
      <w:r w:rsidRPr="00731EDF">
        <w:fldChar w:fldCharType="begin" w:fldLock="1"/>
      </w:r>
      <w:r w:rsidR="00D80A5D">
        <w:instrText>ADDIN CSL_CITATION {"citationItems":[{"id":"ITEM-1","itemData":{"DOI":"10.1149/2.084311jes","ISSN":"00134651","abstract":"The microstructural evolution of Ni - Yttria-Stabilized Zirconia (YSZ) anode functional layers in anode-supported solid oxide fuel cells was studied after aging in humidified hydrogen at temperatures from 900-1100?C and times up to 500 h. The relatively large (~6000μm3) three-dimensional transmission X-ray microscopy images provided good statistics in measured microstructural data. Feature sizes in the YSZ and Ni phases changed little until the highest temperature and time, whereas the pore phase feature size increased for all temperatures and times. Ni-YSZ interfacial area increased at the expense of pore-YSZ interfaces after moderate annealing, with a general decrease in interfacial areas observed at longer times and higher temperatures. Three-phase boundary (TPB) density decreased rapidly initially, but then more slowly, with increasing annealing temperature and time. Electrochemical impedance spectroscopy measurements showed a corresponding increase in the anode response associated with electrochemical hydrogen oxidation at TPBs. A higher fraction of isolated pores and larger pore tortuosity was observed at intermediate annealing temperatures and times, with a corresponding increase in the gas diffusion impedance response. © 2013 The Electrochemical Society.","author":[{"dropping-particle":"","family":"Kennouche","given":"David","non-dropping-particle":"","parse-names":false,"suffix":""},{"dropping-particle":"","family":"Chen-Wiegart","given":"Yu Chen Karen","non-dropping-particle":"","parse-names":false,"suffix":""},{"dropping-particle":"","family":"Cronin","given":"J. Scott","non-dropping-particle":"","parse-names":false,"suffix":""},{"dropping-particle":"","family":"Wang","given":"Jun","non-dropping-particle":"","parse-names":false,"suffix":""},{"dropping-particle":"","family":"Barnett","given":"Scott A.","non-dropping-particle":"","parse-names":false,"suffix":""}],"container-title":"Journal of the Electrochemical Society","id":"ITEM-1","issue":"11","issued":{"date-parts":[["2013"]]},"page":"1293-1304","title":"Three-dimensional microstructural evolution of ni-yttria-stabilized zirconia solid oxide fuel cell anodes at elevated temperatures","type":"article-journal","volume":"160"},"uris":["http://www.mendeley.com/documents/?uuid=d9120fe3-cb0b-4700-9cbc-b51bd112c883"]}],"mendeley":{"formattedCitation":"[224]","plainTextFormattedCitation":"[224]","previouslyFormattedCitation":"[224]"},"properties":{"noteIndex":0},"schema":"https://github.com/citation-style-language/schema/raw/master/csl-citation.json"}</w:instrText>
      </w:r>
      <w:r w:rsidRPr="00731EDF">
        <w:fldChar w:fldCharType="separate"/>
      </w:r>
      <w:r w:rsidR="006C586A" w:rsidRPr="006C586A">
        <w:rPr>
          <w:noProof/>
        </w:rPr>
        <w:t>[224]</w:t>
      </w:r>
      <w:r w:rsidRPr="00731EDF">
        <w:fldChar w:fldCharType="end"/>
      </w:r>
      <w:r w:rsidRPr="00731EDF">
        <w:t xml:space="preserve">. During this study, TXM in was utilised to characterise the microstructural changes developed in a 50:50 </w:t>
      </w:r>
      <w:proofErr w:type="spellStart"/>
      <w:r w:rsidRPr="00731EDF">
        <w:t>NiO</w:t>
      </w:r>
      <w:proofErr w:type="spellEnd"/>
      <w:r w:rsidRPr="00731EDF">
        <w:t>/YSZ pellet after a 1 hour, 1100</w:t>
      </w:r>
      <w:r w:rsidR="00A54A2B">
        <w:t xml:space="preserve"> </w:t>
      </w:r>
      <w:r w:rsidRPr="00731EDF">
        <w:t xml:space="preserve">°C ageing step. The main purpose of this investigation was to assess the effect of temperature on the active triple phase boundary densities present in the fuel electrode. </w:t>
      </w:r>
    </w:p>
    <w:p w14:paraId="544494EF" w14:textId="7D37687D" w:rsidR="00007F6C" w:rsidRPr="002B6C9E" w:rsidRDefault="00007F6C" w:rsidP="005129DC">
      <w:pPr>
        <w:jc w:val="both"/>
      </w:pPr>
      <w:r w:rsidRPr="002B6C9E">
        <w:t>Relatively short annealing/ reducing times (20-500</w:t>
      </w:r>
      <w:r>
        <w:t xml:space="preserve"> </w:t>
      </w:r>
      <w:r w:rsidRPr="002B6C9E">
        <w:t>h) were applied to the cells at a variety of temperatures (800-1100</w:t>
      </w:r>
      <w:r w:rsidR="00A54A2B">
        <w:t xml:space="preserve"> </w:t>
      </w:r>
      <w:r w:rsidRPr="002B6C9E">
        <w:t xml:space="preserve">°C). SEM images showed that the rate of growth of the microstructural feature growth increased with larger annealing temperatures. </w:t>
      </w:r>
    </w:p>
    <w:p w14:paraId="661285F7" w14:textId="7FB1C0EC" w:rsidR="00007F6C" w:rsidRPr="002B6C9E" w:rsidRDefault="00007F6C" w:rsidP="005129DC">
      <w:pPr>
        <w:jc w:val="both"/>
      </w:pPr>
      <w:r w:rsidRPr="002B6C9E">
        <w:t>It was found that the active area at the anode appeared to decrease sharply at intermediate temperatures namely 1000</w:t>
      </w:r>
      <w:r w:rsidR="00A54A2B">
        <w:t xml:space="preserve"> </w:t>
      </w:r>
      <w:r w:rsidRPr="002B6C9E">
        <w:t>°C for 500</w:t>
      </w:r>
      <w:r w:rsidR="00A54A2B">
        <w:t xml:space="preserve"> </w:t>
      </w:r>
      <w:r w:rsidRPr="002B6C9E">
        <w:t>h produced the lowest active TPB density of 74</w:t>
      </w:r>
      <w:r>
        <w:t xml:space="preserve"> </w:t>
      </w:r>
      <w:r w:rsidRPr="002B6C9E">
        <w:t xml:space="preserve">%. What was interesting in terms of </w:t>
      </w:r>
      <w:r>
        <w:t>SOFC</w:t>
      </w:r>
      <w:r w:rsidRPr="002B6C9E">
        <w:t>s is that for the lowest temperature annealed (800</w:t>
      </w:r>
      <w:r w:rsidR="00A54A2B">
        <w:t xml:space="preserve"> </w:t>
      </w:r>
      <w:r w:rsidRPr="002B6C9E">
        <w:t xml:space="preserve">°C) the active TPB density was </w:t>
      </w:r>
      <w:r>
        <w:t>the</w:t>
      </w:r>
      <w:r w:rsidRPr="002B6C9E">
        <w:t xml:space="preserve"> highest for all the samples tested in this study. </w:t>
      </w:r>
    </w:p>
    <w:p w14:paraId="6FAA3935" w14:textId="6E852BF0" w:rsidR="00007F6C" w:rsidRDefault="00007F6C" w:rsidP="005129DC">
      <w:pPr>
        <w:jc w:val="both"/>
      </w:pPr>
      <w:r w:rsidRPr="002B6C9E">
        <w:t xml:space="preserve">A complementary study by </w:t>
      </w:r>
      <w:proofErr w:type="spellStart"/>
      <w:r w:rsidRPr="002B6C9E">
        <w:rPr>
          <w:i/>
          <w:iCs/>
        </w:rPr>
        <w:t>Kennouche</w:t>
      </w:r>
      <w:proofErr w:type="spellEnd"/>
      <w:r w:rsidRPr="002B6C9E">
        <w:rPr>
          <w:i/>
          <w:iCs/>
        </w:rPr>
        <w:t xml:space="preserve"> et al </w:t>
      </w:r>
      <w:r>
        <w:t>in 2016</w:t>
      </w:r>
      <w:r w:rsidRPr="002B6C9E">
        <w:t xml:space="preserve"> measured the microstructural evolution of the fuel electrode compositions mentioned above</w:t>
      </w:r>
      <w:r>
        <w:t xml:space="preserve"> </w:t>
      </w:r>
      <w:r>
        <w:fldChar w:fldCharType="begin" w:fldLock="1"/>
      </w:r>
      <w:r w:rsidR="00D80A5D">
        <w:instrText>ADDIN CSL_CITATION {"citationItems":[{"id":"ITEM-1","itemData":{"DOI":"10.1016/j.jpowsour.2015.12.126","ISBN":"0378-7753","ISSN":"03787753","abstract":"Accelerated ageing of Ni-Yttria Stabilized Zirconia (YSZ) anode functional layers (AFLs) in solid oxide fuel cells (SOFCs) is carried out at 1000-1200°C, the resulting morphological changes are investigated using transmission X-ray microscopy (TXM), and properties are characterized using electrochemical impedance spectroscopy (EIS). Prior to ageing, the as prepared NiO-YSZ AFLs are reduced to Ni-YSZ and then aged at 1100°C for 100 h in order to eliminate early-stage morphological changes. Measured particle size and three phase boundary (TPB) density changes with ageing time and temperature are fit reasonably well using a power-law coarsening model. This model is also used in conjunction with an electrochemical model to predict changes in the anode charge-transfer polarization resistance. The models are used to make predictions of the structural and electrochemical performance evolution of these Ni-YSZ anodes, for cells operated long-term at normal (700-850°C) operating temperatures. Additional experiments to verify the model predictions are suggested.","author":[{"dropping-particle":"","family":"Kennouche","given":"David","non-dropping-particle":"","parse-names":false,"suffix":""},{"dropping-particle":"","family":"Chen-Wiegart","given":"Yu Chen Karen","non-dropping-particle":"","parse-names":false,"suffix":""},{"dropping-particle":"","family":"Riscoe","given":"Casey","non-dropping-particle":"","parse-names":false,"suffix":""},{"dropping-particle":"","family":"Wang","given":"Jun","non-dropping-particle":"","parse-names":false,"suffix":""},{"dropping-particle":"","family":"Barnett","given":"Scott A.","non-dropping-particle":"","parse-names":false,"suffix":""}],"container-title":"Journal of Power Sources","id":"ITEM-1","issued":{"date-parts":[["2016"]]},"page":"604-612","publisher":"Elsevier B.V","title":"Combined electrochemical and X-ray tomography study of the high temperature evolution of Nickel - Yttria Stabilized Zirconia solid oxide fuel cell anodes","type":"article-journal","volume":"307"},"uris":["http://www.mendeley.com/documents/?uuid=35cde2cb-3ee7-4e00-997e-a47772c79d62"]}],"mendeley":{"formattedCitation":"[271]","plainTextFormattedCitation":"[271]","previouslyFormattedCitation":"[271]"},"properties":{"noteIndex":0},"schema":"https://github.com/citation-style-language/schema/raw/master/csl-citation.json"}</w:instrText>
      </w:r>
      <w:r>
        <w:fldChar w:fldCharType="separate"/>
      </w:r>
      <w:r w:rsidR="006C586A" w:rsidRPr="006C586A">
        <w:rPr>
          <w:noProof/>
        </w:rPr>
        <w:t>[271]</w:t>
      </w:r>
      <w:r>
        <w:fldChar w:fldCharType="end"/>
      </w:r>
      <w:r w:rsidRPr="002B6C9E">
        <w:t>. The aim of the investigation was to assess the damage done by thermal cycling to infiltrated fuel electrode structures.</w:t>
      </w:r>
    </w:p>
    <w:p w14:paraId="70619658" w14:textId="7909C2FE" w:rsidR="00007F6C" w:rsidRPr="002B6C9E" w:rsidRDefault="00007F6C" w:rsidP="005129DC">
      <w:pPr>
        <w:jc w:val="both"/>
      </w:pPr>
      <w:r>
        <w:fldChar w:fldCharType="begin"/>
      </w:r>
      <w:r>
        <w:instrText xml:space="preserve"> REF _Ref468284073 \h  \* MERGEFORMAT </w:instrText>
      </w:r>
      <w:r>
        <w:fldChar w:fldCharType="separate"/>
      </w:r>
      <w:r w:rsidR="00A54A2B" w:rsidRPr="00A54A2B">
        <w:t xml:space="preserve">Figure </w:t>
      </w:r>
      <w:r w:rsidR="00A54A2B" w:rsidRPr="00A54A2B">
        <w:rPr>
          <w:noProof/>
        </w:rPr>
        <w:t>2.22</w:t>
      </w:r>
      <w:r>
        <w:fldChar w:fldCharType="end"/>
      </w:r>
      <w:r w:rsidRPr="002B6C9E">
        <w:t xml:space="preserve"> is a demonstration of how the number of active triple phase boundaries decrease at increased temperatures.</w:t>
      </w:r>
    </w:p>
    <w:p w14:paraId="6AD1A3FB" w14:textId="77777777" w:rsidR="00007F6C" w:rsidRPr="002B6C9E" w:rsidRDefault="00007F6C" w:rsidP="005129DC">
      <w:pPr>
        <w:keepNext/>
        <w:jc w:val="center"/>
      </w:pPr>
      <w:r w:rsidRPr="002B6C9E">
        <w:rPr>
          <w:noProof/>
          <w:lang w:eastAsia="en-GB"/>
        </w:rPr>
        <w:drawing>
          <wp:inline distT="0" distB="0" distL="0" distR="0" wp14:anchorId="3F935635" wp14:editId="26034CFD">
            <wp:extent cx="4320000" cy="1817310"/>
            <wp:effectExtent l="0" t="0" r="444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PB lines shown by TXM in Kennouche et al 2016.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20000" cy="1817310"/>
                    </a:xfrm>
                    <a:prstGeom prst="rect">
                      <a:avLst/>
                    </a:prstGeom>
                  </pic:spPr>
                </pic:pic>
              </a:graphicData>
            </a:graphic>
          </wp:inline>
        </w:drawing>
      </w:r>
    </w:p>
    <w:p w14:paraId="078CB153" w14:textId="1D6CB4B1" w:rsidR="00007F6C" w:rsidRPr="00582C49" w:rsidRDefault="00007F6C" w:rsidP="005129DC">
      <w:pPr>
        <w:jc w:val="center"/>
        <w:rPr>
          <w:i/>
          <w:iCs/>
          <w:color w:val="44546A" w:themeColor="text2"/>
          <w:sz w:val="18"/>
          <w:szCs w:val="18"/>
        </w:rPr>
      </w:pPr>
      <w:bookmarkStart w:id="137" w:name="_Ref468284073"/>
      <w:bookmarkStart w:id="138" w:name="_Toc69114934"/>
      <w:r w:rsidRPr="00582C49">
        <w:rPr>
          <w:i/>
          <w:iCs/>
          <w:color w:val="44546A" w:themeColor="text2"/>
          <w:sz w:val="18"/>
          <w:szCs w:val="18"/>
        </w:rPr>
        <w:t xml:space="preserve">Figure </w:t>
      </w:r>
      <w:r>
        <w:rPr>
          <w:i/>
          <w:iCs/>
          <w:color w:val="44546A" w:themeColor="text2"/>
          <w:sz w:val="18"/>
          <w:szCs w:val="18"/>
        </w:rPr>
        <w:t>2.</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A54A2B">
        <w:rPr>
          <w:i/>
          <w:iCs/>
          <w:noProof/>
          <w:color w:val="44546A" w:themeColor="text2"/>
          <w:sz w:val="18"/>
          <w:szCs w:val="18"/>
        </w:rPr>
        <w:t>22</w:t>
      </w:r>
      <w:r w:rsidR="00285C23">
        <w:rPr>
          <w:i/>
          <w:iCs/>
          <w:color w:val="44546A" w:themeColor="text2"/>
          <w:sz w:val="18"/>
          <w:szCs w:val="18"/>
        </w:rPr>
        <w:fldChar w:fldCharType="end"/>
      </w:r>
      <w:bookmarkEnd w:id="137"/>
      <w:r w:rsidRPr="00582C49">
        <w:rPr>
          <w:i/>
          <w:iCs/>
          <w:color w:val="44546A" w:themeColor="text2"/>
          <w:sz w:val="18"/>
          <w:szCs w:val="18"/>
        </w:rPr>
        <w:t xml:space="preserve">: 3D renderings of the available three phase boundaries present in an infiltrated Ni/YSZ anode heated at different temperatures for a </w:t>
      </w:r>
      <w:r w:rsidR="00106A5B">
        <w:rPr>
          <w:i/>
          <w:iCs/>
          <w:color w:val="44546A" w:themeColor="text2"/>
          <w:sz w:val="18"/>
          <w:szCs w:val="18"/>
        </w:rPr>
        <w:t xml:space="preserve">time </w:t>
      </w:r>
      <w:r w:rsidRPr="00582C49">
        <w:rPr>
          <w:i/>
          <w:iCs/>
          <w:color w:val="44546A" w:themeColor="text2"/>
          <w:sz w:val="18"/>
          <w:szCs w:val="18"/>
        </w:rPr>
        <w:t>period of 500</w:t>
      </w:r>
      <w:r w:rsidR="00106A5B">
        <w:rPr>
          <w:i/>
          <w:iCs/>
          <w:color w:val="44546A" w:themeColor="text2"/>
          <w:sz w:val="18"/>
          <w:szCs w:val="18"/>
        </w:rPr>
        <w:t xml:space="preserve"> </w:t>
      </w:r>
      <w:r w:rsidRPr="00582C49">
        <w:rPr>
          <w:i/>
          <w:iCs/>
          <w:color w:val="44546A" w:themeColor="text2"/>
          <w:sz w:val="18"/>
          <w:szCs w:val="18"/>
        </w:rPr>
        <w:t>h after a thermal ageing step at 1100°C for an hour a) 1000</w:t>
      </w:r>
      <w:r w:rsidR="00106A5B">
        <w:rPr>
          <w:i/>
          <w:iCs/>
          <w:color w:val="44546A" w:themeColor="text2"/>
          <w:sz w:val="18"/>
          <w:szCs w:val="18"/>
        </w:rPr>
        <w:t xml:space="preserve"> </w:t>
      </w:r>
      <w:r w:rsidRPr="00582C49">
        <w:rPr>
          <w:i/>
          <w:iCs/>
          <w:color w:val="44546A" w:themeColor="text2"/>
          <w:sz w:val="18"/>
          <w:szCs w:val="18"/>
        </w:rPr>
        <w:t>°C b) 1100</w:t>
      </w:r>
      <w:r w:rsidR="00106A5B">
        <w:rPr>
          <w:i/>
          <w:iCs/>
          <w:color w:val="44546A" w:themeColor="text2"/>
          <w:sz w:val="18"/>
          <w:szCs w:val="18"/>
        </w:rPr>
        <w:t xml:space="preserve"> </w:t>
      </w:r>
      <w:r w:rsidRPr="00582C49">
        <w:rPr>
          <w:i/>
          <w:iCs/>
          <w:color w:val="44546A" w:themeColor="text2"/>
          <w:sz w:val="18"/>
          <w:szCs w:val="18"/>
        </w:rPr>
        <w:t>°C c) 1200</w:t>
      </w:r>
      <w:r w:rsidR="00106A5B">
        <w:rPr>
          <w:i/>
          <w:iCs/>
          <w:color w:val="44546A" w:themeColor="text2"/>
          <w:sz w:val="18"/>
          <w:szCs w:val="18"/>
        </w:rPr>
        <w:t xml:space="preserve"> </w:t>
      </w:r>
      <w:r w:rsidRPr="00582C49">
        <w:rPr>
          <w:i/>
          <w:iCs/>
          <w:color w:val="44546A" w:themeColor="text2"/>
          <w:sz w:val="18"/>
          <w:szCs w:val="18"/>
        </w:rPr>
        <w:t>°</w:t>
      </w:r>
      <w:proofErr w:type="gramStart"/>
      <w:r w:rsidRPr="00582C49">
        <w:rPr>
          <w:i/>
          <w:iCs/>
          <w:color w:val="44546A" w:themeColor="text2"/>
          <w:sz w:val="18"/>
          <w:szCs w:val="18"/>
        </w:rPr>
        <w:t>C</w:t>
      </w:r>
      <w:bookmarkEnd w:id="138"/>
      <w:proofErr w:type="gramEnd"/>
      <w:r w:rsidRPr="00582C49">
        <w:rPr>
          <w:i/>
          <w:iCs/>
          <w:color w:val="44546A" w:themeColor="text2"/>
          <w:sz w:val="18"/>
          <w:szCs w:val="18"/>
        </w:rPr>
        <w:t xml:space="preserve"> </w:t>
      </w:r>
    </w:p>
    <w:p w14:paraId="3B7B683D" w14:textId="09134C29" w:rsidR="00007F6C" w:rsidRPr="002B6C9E" w:rsidRDefault="00007F6C" w:rsidP="00106A5B">
      <w:pPr>
        <w:spacing w:after="0"/>
        <w:jc w:val="both"/>
      </w:pPr>
      <w:r w:rsidRPr="002B6C9E">
        <w:t xml:space="preserve">In agreement with their earlier paper </w:t>
      </w:r>
      <w:proofErr w:type="spellStart"/>
      <w:r w:rsidRPr="002B6C9E">
        <w:rPr>
          <w:i/>
          <w:iCs/>
        </w:rPr>
        <w:t>Kennouche</w:t>
      </w:r>
      <w:proofErr w:type="spellEnd"/>
      <w:r w:rsidRPr="002B6C9E">
        <w:rPr>
          <w:i/>
          <w:iCs/>
        </w:rPr>
        <w:t xml:space="preserve"> et al</w:t>
      </w:r>
      <w:r w:rsidRPr="002B6C9E">
        <w:t xml:space="preserve"> have ignored the </w:t>
      </w:r>
      <w:r w:rsidR="00811792" w:rsidRPr="002B6C9E">
        <w:t>early-stage</w:t>
      </w:r>
      <w:r w:rsidRPr="002B6C9E">
        <w:t xml:space="preserve"> nickel coarsening phenomena listing them as an equilibration period for the particles in the anode. Similarly, to the paper from 2013 the thermal degradation behaviour was accelerated by cycling the sample at a much higher temperature than the stated </w:t>
      </w:r>
      <w:r>
        <w:t>SOFC</w:t>
      </w:r>
      <w:r w:rsidRPr="002B6C9E">
        <w:t xml:space="preserve"> operating temperature described in the introduction of this document. </w:t>
      </w:r>
    </w:p>
    <w:p w14:paraId="085AB0A6" w14:textId="77777777" w:rsidR="00007F6C" w:rsidRPr="002B6C9E" w:rsidRDefault="00007F6C" w:rsidP="005129DC">
      <w:pPr>
        <w:jc w:val="both"/>
      </w:pPr>
      <w:r w:rsidRPr="002B6C9E">
        <w:t>Two samples were compared at two different temperatures: T1 and T2 (T2 being the elevated temperature) and then also compared with different ageing times to gauge which of the two parameters is more significant in terms of degradation.</w:t>
      </w:r>
    </w:p>
    <w:p w14:paraId="1A378488" w14:textId="77777777" w:rsidR="00007F6C" w:rsidRPr="002B6C9E" w:rsidRDefault="00007F6C" w:rsidP="005129DC">
      <w:pPr>
        <w:jc w:val="both"/>
      </w:pPr>
      <w:r w:rsidRPr="002B6C9E">
        <w:t>One of the major results from this investigation was the fitting of the coarsening behaviour of the Ni/YSZ pellet to a power law model for validation purposes. This helped to cement the results and helped predict the behaviour of the fuel electrode over period much longer than 40,000</w:t>
      </w:r>
      <w:r>
        <w:t xml:space="preserve"> </w:t>
      </w:r>
      <w:r w:rsidRPr="002B6C9E">
        <w:t xml:space="preserve">h. The authors noted that for systems with smaller features the degradation rate should be slower. </w:t>
      </w:r>
    </w:p>
    <w:p w14:paraId="5EE42009" w14:textId="213241F7" w:rsidR="00007F6C" w:rsidRPr="002B6C9E" w:rsidRDefault="00007F6C" w:rsidP="005129DC">
      <w:pPr>
        <w:jc w:val="both"/>
      </w:pPr>
      <w:r w:rsidRPr="002B6C9E">
        <w:lastRenderedPageBreak/>
        <w:t>However, to ignore the first 100</w:t>
      </w:r>
      <w:r w:rsidR="00811792">
        <w:t xml:space="preserve"> </w:t>
      </w:r>
      <w:r w:rsidRPr="002B6C9E">
        <w:t xml:space="preserve">h of heating/operating to account for structural equilibration does not appear to be the best course of action. In the same paper the authors discuss the impact of the first 24 hours on the microstructure of the fuel electrode and have also been part of a study where between 12-24 hours of heating the metallic particles coarsened. </w:t>
      </w:r>
      <w:r>
        <w:t xml:space="preserve">This highlights a period key to the microstructural changes present in SOFC operation </w:t>
      </w:r>
      <w:r>
        <w:fldChar w:fldCharType="begin" w:fldLock="1"/>
      </w:r>
      <w:r w:rsidR="00D80A5D">
        <w:instrText>ADDIN CSL_CITATION {"citationItems":[{"id":"ITEM-1","itemData":{"DOI":"10.1111/jmi.12577","ISSN":"13652818","abstract":"A robust and versatile sample preparation technique for the fabrication of cylindrical pillars for imaging by X-ray nano-computed tomography (nano-CT) is presented. The procedure employs simple, cost-effective laser micro-machining coupled with focused-ion beam (FIB) milling, when required, to yield mechanically robust samples at the micrometre length-scale to match the field-of-view (FOV) for nano-CT imaging. A variety of energy and geological materials are exhibited as case studies, demonstrating the procedure can be applied to a variety of materials to provide geometrically optimised samples whose size and shape are tailored to the attenuation coefficients of the constituent phases. The procedure can be implemented for the bespoke preparation of pillars for both lab- and synchrotron-based X-ray nano-CT investigations of a wide range of samples.","author":[{"dropping-particle":"","family":"Bailey","given":"J. J.","non-dropping-particle":"","parse-names":false,"suffix":""},{"dropping-particle":"","family":"Heenan","given":"T. M.M.","non-dropping-particle":"","parse-names":false,"suffix":""},{"dropping-particle":"","family":"Finegan","given":"D. P.","non-dropping-particle":"","parse-names":false,"suffix":""},{"dropping-particle":"","family":"Lu","given":"X.","non-dropping-particle":"","parse-names":false,"suffix":""},{"dropping-particle":"","family":"Daemi","given":"S. R.","non-dropping-particle":"","parse-names":false,"suffix":""},{"dropping-particle":"","family":"Iacoviello","given":"F.","non-dropping-particle":"","parse-names":false,"suffix":""},{"dropping-particle":"","family":"Backeberg","given":"N. R.","non-dropping-particle":"","parse-names":false,"suffix":""},{"dropping-particle":"","family":"Taiwo","given":"O. O.","non-dropping-particle":"","parse-names":false,"suffix":""},{"dropping-particle":"","family":"Brett","given":"D. J.L.","non-dropping-particle":"","parse-names":false,"suffix":""},{"dropping-particle":"","family":"Atkinson","given":"A.","non-dropping-particle":"","parse-names":false,"suffix":""},{"dropping-particle":"","family":"Shearing","given":"P. R.","non-dropping-particle":"","parse-names":false,"suffix":""}],"container-title":"Journal of Microscopy","id":"ITEM-1","issue":"3","issued":{"date-parts":[["2017"]]},"page":"384-396","title":"Laser-preparation of geometrically optimised samples for X-ray nano-CT","type":"article-journal","volume":"267"},"uris":["http://www.mendeley.com/documents/?uuid=170634cd-31c8-4596-869e-d43b301c2f12"]},{"id":"ITEM-2","itemData":{"DOI":"10.1002/fuce.201600176","ISSN":"16156854","abstract":"Triple-phase boundaries are an important microstructural metric to assess the performance and durability of solid oxide fuel cell electrodes and are known to significantly influence the performance at cell level. In recent years many advancements have been made in the quantification of TPBs including the use of focused ion beam scanning electron microscopes and synchrotron X-ray tomography, although neither technique comes without limitation; the former being destructive and the latter having limited availability. This work demonstrates the first example of the application of lab-based X-ray nano-CT for non-destructive, microstructural characterization of a SOFC electrode, where three-phase segmentation has been achieved. A SOFC anode cermet consisting of nickel and yttria-stabilized zirconia was imaged under X-ray using two fields of view: 64 µm × 64 µm and 16 µm × 16 µm, with compositional data displayed for several samples at the two resolutions. This work highlights the possibility of three-phase segmentation using lab-based equipment allowing non-destructive quantification and mapping of triple-phase boundaries without the need for synchrotron radiation.","author":[{"dropping-particle":"","family":"Heenan","given":"T. M.M.","non-dropping-particle":"","parse-names":false,"suffix":""},{"dropping-particle":"","family":"Bailey","given":"J. J.","non-dropping-particle":"","parse-names":false,"suffix":""},{"dropping-particle":"","family":"Lu","given":"X.","non-dropping-particle":"","parse-names":false,"suffix":""},{"dropping-particle":"","family":"Robinson","given":"J. B.","non-dropping-particle":"","parse-names":false,"suffix":""},{"dropping-particle":"","family":"Iacoviello","given":"F.","non-dropping-particle":"","parse-names":false,"suffix":""},{"dropping-particle":"","family":"Finegan","given":"D. P.","non-dropping-particle":"","parse-names":false,"suffix":""},{"dropping-particle":"","family":"Brett","given":"D. J.L.","non-dropping-particle":"","parse-names":false,"suffix":""},{"dropping-particle":"","family":"Shearing","given":"P. R.","non-dropping-particle":"","parse-names":false,"suffix":""}],"container-title":"Fuel Cells","id":"ITEM-2","issue":"1","issued":{"date-parts":[["2017"]]},"page":"75-82","title":"Three-Phase Segmentation of Solid Oxide Fuel Cell Anode Materials Using Lab Based X-ray Nano-Computed Tomography","type":"article-journal","volume":"17"},"uris":["http://www.mendeley.com/documents/?uuid=fe586665-7984-4c8b-8b5e-2a5ffce1bf74"]}],"mendeley":{"formattedCitation":"[272], [273]","plainTextFormattedCitation":"[272], [273]","previouslyFormattedCitation":"[272], [273]"},"properties":{"noteIndex":0},"schema":"https://github.com/citation-style-language/schema/raw/master/csl-citation.json"}</w:instrText>
      </w:r>
      <w:r>
        <w:fldChar w:fldCharType="separate"/>
      </w:r>
      <w:r w:rsidR="006C586A" w:rsidRPr="006C586A">
        <w:rPr>
          <w:noProof/>
        </w:rPr>
        <w:t>[272], [273]</w:t>
      </w:r>
      <w:r>
        <w:fldChar w:fldCharType="end"/>
      </w:r>
      <w:r>
        <w:t>.</w:t>
      </w:r>
    </w:p>
    <w:p w14:paraId="70ADCFCF" w14:textId="67AD44FF" w:rsidR="00007F6C" w:rsidRPr="002B6C9E" w:rsidRDefault="00007F6C" w:rsidP="005129DC">
      <w:pPr>
        <w:jc w:val="both"/>
      </w:pPr>
      <w:r w:rsidRPr="002B6C9E">
        <w:t>The ageing issue is an interesting one in terms of ceramic processing, it is well documented that the sintering temperature of Ni/YSZ cermets is 1400</w:t>
      </w:r>
      <w:r w:rsidR="00811792">
        <w:t xml:space="preserve"> </w:t>
      </w:r>
      <w:r w:rsidRPr="002B6C9E">
        <w:t xml:space="preserve">°C. So, it is logical that </w:t>
      </w:r>
      <w:proofErr w:type="spellStart"/>
      <w:r w:rsidRPr="002B6C9E">
        <w:rPr>
          <w:i/>
          <w:iCs/>
        </w:rPr>
        <w:t>Kennouche</w:t>
      </w:r>
      <w:proofErr w:type="spellEnd"/>
      <w:r w:rsidRPr="002B6C9E">
        <w:rPr>
          <w:i/>
          <w:iCs/>
        </w:rPr>
        <w:t xml:space="preserve"> et al</w:t>
      </w:r>
      <w:r w:rsidRPr="002B6C9E">
        <w:t xml:space="preserve"> have used a temperature substantially lower than that for ageing the system. The view that the ageing will have accelerated the coarsening as if the SOFC is further into its lifetime is possibly a correct view having successfully fitted the data onto a coarsening model.</w:t>
      </w:r>
    </w:p>
    <w:p w14:paraId="570A3088" w14:textId="24B3CFA9" w:rsidR="00007F6C" w:rsidRPr="002B6C9E" w:rsidRDefault="00007F6C" w:rsidP="005129DC">
      <w:pPr>
        <w:jc w:val="both"/>
      </w:pPr>
      <w:r w:rsidRPr="002B6C9E">
        <w:t>What cannot be confirmed is whether this increased temperature ageing has pushed the nickel sintering and grain growth past the point it would have been at intermediate temperatures (600-850</w:t>
      </w:r>
      <w:r w:rsidR="00811792">
        <w:t xml:space="preserve"> </w:t>
      </w:r>
      <w:r w:rsidRPr="002B6C9E">
        <w:t xml:space="preserve">°C) for longer heating regimes. A comparative study attempting to compare the two would be preferably in future work. </w:t>
      </w:r>
      <w:r>
        <w:t>A</w:t>
      </w:r>
      <w:r w:rsidRPr="002B6C9E">
        <w:t xml:space="preserve"> brief discussion of the impact of smaller feature sizes a</w:t>
      </w:r>
      <w:r>
        <w:t>t temperatures of</w:t>
      </w:r>
      <w:r w:rsidRPr="002B6C9E">
        <w:t xml:space="preserve"> 600</w:t>
      </w:r>
      <w:r w:rsidR="00811792">
        <w:t xml:space="preserve"> </w:t>
      </w:r>
      <w:r w:rsidRPr="002B6C9E">
        <w:t xml:space="preserve">°C is included in the report. </w:t>
      </w:r>
    </w:p>
    <w:p w14:paraId="3CF4C6D2" w14:textId="6E256921" w:rsidR="00007F6C" w:rsidRPr="002B6C9E" w:rsidRDefault="00007F6C" w:rsidP="005129DC">
      <w:pPr>
        <w:jc w:val="both"/>
      </w:pPr>
      <w:r w:rsidRPr="002B6C9E">
        <w:t>TXM is a technique which has the advantage of being able to render 3D depictions of where the three phase boundary lines manifest themselves in the anode functional layer (AFL) and gives quantitative calculated percentages of the active triple phase boundaries within the sample</w:t>
      </w:r>
      <w:r>
        <w:t xml:space="preserve"> </w:t>
      </w:r>
      <w:r>
        <w:fldChar w:fldCharType="begin" w:fldLock="1"/>
      </w:r>
      <w:r w:rsidR="00D80A5D">
        <w:instrText>ADDIN CSL_CITATION {"citationItems":[{"id":"ITEM-1","itemData":{"DOI":"10.1016/j.mattod.2019.05.019","ISSN":"18734103","abstract":"Over the last century, X-ray imaging instruments and their accompanying tomographic reconstruction algorithms have developed considerably. With improved tomogram quality and resolution, voxel sizes down to tens of nanometers can now be achieved. Moreover, recent advancements in readily accessible lab-based X-ray computed tomography (X-ray CT) instruments have produced spatial resolutions comparable to specialist synchrotron facilities. Electrochemical energy conversion devices, such as fuel cells and batteries, have inherently complex electrode microstructures to achieve competitive power delivery for consideration as replacements for conventional sources. With resolution capabilities spanning tens of microns to tens of nanometers, X-ray CT has become widely employed in the three-dimensional (3D) characterization of electrochemical materials. The ability to perform multiscale imaging has enabled characterization from system-down to particle-level, with the ability to resolve critical features within device microstructures. X-ray characterization presents a favorable alternative to other 3D methods, such as focused ion beam scanning electron microscopy, due to its non-destructive nature, which allows four-dimensional (4D) studies, three spatial dimensions plus time, linking structural dynamics to device performance and lifetime. X-ray CT has accelerated research from fundamental understanding of the links between cell structure and performance, to the improvement in manufacturing and scale-up of full electrochemical cells. Furthermore, this has aided in the mitigation of degradation and cell-level failures, such as thermal runaway. This review presents recent developments in the use of X-ray CT as a characterization method and its role in the advancement of electrochemical materials engineering.","author":[{"dropping-particle":"","family":"Heenan","given":"Thomas M.M.","non-dropping-particle":"","parse-names":false,"suffix":""},{"dropping-particle":"","family":"Tan","given":"Chun","non-dropping-particle":"","parse-names":false,"suffix":""},{"dropping-particle":"","family":"Hack","given":"Jennifer","non-dropping-particle":"","parse-names":false,"suffix":""},{"dropping-particle":"","family":"Brett","given":"Dan J.L.","non-dropping-particle":"","parse-names":false,"suffix":""},{"dropping-particle":"","family":"Shearing","given":"Paul R.","non-dropping-particle":"","parse-names":false,"suffix":""}],"container-title":"Materials Today","id":"ITEM-1","issue":"December","issued":{"date-parts":[["2019"]]},"page":"69-85","publisher":"Elsevier B.V.","title":"Developments in X-ray tomography characterization for electrochemical devices","type":"article-journal","volume":"31"},"uris":["http://www.mendeley.com/documents/?uuid=5a69f3ee-6f01-46b1-a3b2-22259527df4c"]},{"id":"ITEM-2","itemData":{"DOI":"10.1149/2.084311jes","ISBN":"0272-8842","ISSN":"0013-4651","abstract":"The microstructural evolution of Ni -Yttria-Stabilized Zirconia (YSZ) anode functional layers in anode-supported solid oxide fuel cells was studied after aging in humidified hydrogen at temperatures from 900–1100 • C and times up to 500 h. The relatively large (</w:instrText>
      </w:r>
      <w:r w:rsidR="00D80A5D">
        <w:rPr>
          <w:rFonts w:ascii="Cambria Math" w:hAnsi="Cambria Math" w:cs="Cambria Math"/>
        </w:rPr>
        <w:instrText>∼</w:instrText>
      </w:r>
      <w:r w:rsidR="00D80A5D">
        <w:instrText xml:space="preserve">6000 </w:instrText>
      </w:r>
      <w:r w:rsidR="00D80A5D">
        <w:rPr>
          <w:rFonts w:ascii="Calibri" w:hAnsi="Calibri" w:cs="Calibri"/>
        </w:rPr>
        <w:instrText>μ</w:instrText>
      </w:r>
      <w:r w:rsidR="00D80A5D">
        <w:instrText>m 3) three-dimensional transmission X-ray microscopy images provided good statistics in measured microstructural data. Feature sizes in the YSZ and Ni phases changed little until the highest temperature and time, whereas the pore phase feature size increased for all temperatures and times. Ni-YSZ interfacial area increased at the expense of pore-YSZ interfaces after moderate annealing, with a general decrease in interfacial areas observed at longer times and higher temperatures. Three-phase boundary (TPB) density decreased rapidly initially, but then more slowly, with increasing annealing temperature and time. Electrochemical impedance spectroscopy measurements showed a corresponding increase in the anode response associated with electrochemical hydrogen oxidation at TPBs. A higher fraction of isolated pores and larger pore tortuosity was observed at intermediate annealing temperatures and times, with a corresponding increase in the gas diffusion impedance response. Solid oxide fuel cell (SOFC) systems are being developed mainly for stationary power generation, where they should operate with minimal performance loss at elevated temperature for at least 40,000 hours. 1 Achieving minimal long-term degradation is thus crit-ical to the commercialization these systems. Coarsening of Ni parti-cles in nickel – yttria stabilized zirconia (Ni-YSZ) anodes has been reported as a reason for SOFC performance degradation. 2–4 While these studies have mostly quantified Ni coarsening, it is also desir-able to have a more complete description of Ni-YSZ anode structural evolution including the YSZ and pore phases, since the electrode po-larization resistance depends on many structural factors. Furthermore, Ni-YSZ anodes with different characteristic microstructures – includ-ing the volume fractions of the solid and pore phases, particle sizes, etc. – will presumably evolve differently for a given set of operating conditions. For example, Cronin et al. 5 suggested that anodes with low Ni content and low pore volume are less susceptible to Ni coars-ening. Thus, it is important to provide a full description of the anode microstructure in studies of microstructural evolution. Focused ion beam – scanning electro…","author":[{"dropping-particle":"","family":"Chen-Wiegart","given":"Yu-chen Karen","non-dropping-particle":"","parse-names":false,"suffix":""},{"dropping-particle":"","family":"Barnett","given":"Scott A.","non-dropping-particle":"","parse-names":false,"suffix":""},{"dropping-particle":"","family":"Cronin","given":"J. Scott","non-dropping-particle":"","parse-names":false,"suffix":""},{"dropping-particle":"","family":"Wang","given":"Jun","non-dropping-particle":"","parse-names":false,"suffix":""},{"dropping-particle":"","family":"Kennouche","given":"David","non-dropping-particle":"","parse-names":false,"suffix":""}],"container-title":"Journal of The Electrochemical Society","id":"ITEM-2","issue":"11","issued":{"date-parts":[["2013"]]},"language":"English","note":"Cited By :14\nExport Date: 30 November 2016\nCODEN: JESOA\nCorrespondence Address: Department of Materials Science and Engineering, Northwestern University, Evanston, IL 60208, United States\nFunding Details: DMR-0907639, NSF, National Science Foundation\nFunding Details: DOE, U.S. Department of Energy\nReferences: Minh, N.Q., (1993) Journal of the American Ceramic Society, 76, p. 563; Simwonis, D., Tietz, F., Stöver, D., (2000) Solid State Ionics, 132, p. 241; Faes, A., Hessler-Wyser, A., Presvytes, D., Vayenas, C.G., Van Herle, J., (2009) Fuel Cells, 9, p. 841; Tanasini, P., Cannarozzo, M., Costamagna, P., Faes, A., Van Herle, J., Hessler-Wyser, A., Comninellis, C., (2009) Fuel Cells, 9, p. 740; Cronin, J.S., Wilson, J.R., Barnett, S.A., (2011) Journal of Power Sources, 196, p. 2640; Chen, H.-Y., Yu, H.-C., Cronin, J.S., Wilson, J.R., Barnett, S.A., Thornton, K., (2011) Journal of Power Sources, 196, p. 1333; Jiao, Z., Shikazono, N., (2013) Journal of the Electrochemical Society, 160, pp. F709; Wilson, J.R., Kobsiriphat, W., Mendoza, R., Chen, H.Y., Hiller, J.M., Miller, D.J., Thornton, K., Barnett, S.A., (2006) Nature Materials, 5, p. 541; Cronin, J.S., Muangnapoh, K., Patterson, Z., Yakal-Kremski, K.J., Dravid, V.P., Barnett, S.A., (2012) Journal of the Electrochemical Society, 159, pp. B385; Chen-Wiegart, Y.C.K., Cronin, J.S., Yuan, Q.X., Yakal-Kremski, K.J., Barnett, S.A., Wang, J., (2012) Journal of Power Sources, 218, p. 348; Holzer, L., Iwanschitz, B., Hocker, T., Munch, B., Prestat, M., Wiedenmann, D., Vogt, U., Graule, T., (2011) Journal of Power Sources, 196, p. 1279; Iwanschitz, B., Holzer, L., Mai, A., Schutze, M., (2012) Solid State Ionics, 211, p. 69; Nelson, G.J., Grew, K.N., Izzo Jr., J.R., Lombardo, J.J., Harris, W.M., Faes, A., Hessler-Wyser, A., Chiu, W.K.S., (2012) Acta Materialia, 60, p. 3491; Jiao, Z.J., Shikazono, N., Kasagi, N., (2012) Journal of the Electrochemical Society, 159, pp. B285; Shearing, P.R., Bradley, R.S., Gelb, J., Lee, S.N., Atkinson, A., Withers, P.J., Brandon, N.P., (2011) Electrochemical and Solid-State Letters, 14, pp. B117; Liu, R.R., Kim, S.H., Taniguchi, S., Oshima, T., Shiratori, Y., Ito, K., Sasaki, K., (2011) Journal of Power Sources, 196, p. 7090; Cronin, J.S., Chen-Wiegart, Y.C.K., Wang, J., Barnett, S.A., (2013) Journal of Power Sources, 233, p. 174; Wilson, J.R., Cronin, J.S., Barnett, S.A., (2011) Scripta Materialia, 65, p. 67; Jiang, S.P., (2003) Journal of Materials Science, 38, p. 3775; Hagen, A., Barfod, R., Hendriksen, P.V., Liu, Y.L., Ramousse, S., (2006) Journal of the Electrochemical Society, 153, pp. A1165; Nicholas, J.D., Barnett, S.A., (2010) Journal of the Electrochemical Society, 157, pp. B536; Wang, J., Chen, Y.C.K., Yuan, Q.X., Tkachuk, A., Erdonmez, C., Hornberger, B., Feser, M., (2012) Applied Physics Letters, 100, p. 143107; Natterer, F., (2001) The Mathematics of Computerized Tomography, , Society for Industrial and Applied Mathematics; Wilson, J.R., Cronin, J.S., Duong, A.T., Rukes, S., Chen, H.Y., Thornton, K., Mumm, D.R., Barnett, S., (2010) Journal of Power Sources, 195, p. 1829; Shearing, P.R., Gelb, J., Yi, J., Lee, W.K., Drakopolous, M., Brandon, N.P., (2010) Electrochemistry Communications, 12, p. 1021; Shearing, P.R., Cai, Q., Golbert, J.I., Yufit, V., Adjiman, C.S., Brandon, N.P., (2010) Journal of Power Sources, 195, p. 4804; Metcalfe, C., Kesler, O., Rivard, T., Gitzhofer, F., Abatzoglou, N., (2010) Journal of the Electrochemical Society, 157, pp. B1326; Chen-Wiegart, Y.C.K., Demike, R., Erdonmez, C., Barnett, S., Thornton, K., Wang, J., Tortuosity Characterization of 3D Microstructure at Nano-scale for Energy Storage and Conversion Materials, , in preparation; Primdahl, S., Mogensen, M., (1998) Journal of the Electrochemical Society, 145, p. 2431; Jensen, S.H., Hjelm, J., Hagen, A., Mogensen, M., (2006) Handbook of Fuel Cells; Leonide, A., Weber, A., Ivers-Tiffée, E., (2010), p. 1183Leonide, A., Sonn, V., Weber, A., Ivers-Tiffee, E., (2008) Journal of the Electrochemical Society, 155, pp. B36; Zhu, H.Y., Kromp, A., Leonide, A., Ivers-Tiffee, E., Deutschmann, O., Kee, R.J., (2012) Journal of the Electrochemical Society, 159, pp. F255; Tanner, C.W., Fung, K.Z., Virkar, A.V., (1997) Journal of the Electrochemical Society, 144, p. 21; Bessler, W.G., Vogler, M., Stormer, H., Gerthsen, D., Utz, A., Weber, A., Ivers-Tiffee, E., (2010) Physical Chemistry Chemical Physics, 12, p. 13888","page":"F1293-F1304","title":"Three-Dimensional Microstructural Evolution of Ni- Yttria-Stabilized Zirconia Solid Oxide Fuel Cell Anodes At Elevated Temperatures","type":"article-journal","volume":"160"},"uris":["http://www.mendeley.com/documents/?uuid=31c251b0-ae43-4997-a218-6acfc7178cc9"]},{"id":"ITEM-3","itemData":{"DOI":"Unsp 83381g\r10.1117/12.917618","ISBN":"0277-786x","abstract":"This paper discusses ptychography, a coherent diffraction imaging technique. Advantages of ptychography with respect conventional imaging techniques for cell visualisation are highlighted and demonstrated using unstained healthy and tumorous mouse cells as the object under investigation. A novel procedure to automatically refocus a possible slightly out of focus ptychographic data set will be discussed, by which an improved quantitative analysis and discrimination is enabled.","author":[{"dropping-particle":"","family":"Claus","given":"D","non-dropping-particle":"","parse-names":false,"suffix":""},{"dropping-particle":"","family":"Schluesener","given":"H","non-dropping-particle":"","parse-names":false,"suffix":""},{"dropping-particle":"","family":"Maiden","given":"A","non-dropping-particle":"","parse-names":false,"suffix":""},{"dropping-particle":"","family":"Zhang","given":"F C","non-dropping-particle":"","parse-names":false,"suffix":""},{"dropping-particle":"","family":"Sweeney","given":"F","non-dropping-particle":"","parse-names":false,"suffix":""},{"dropping-particle":"","family":"Humphry","given":"M","non-dropping-particle":"","parse-names":false,"suffix":""},{"dropping-particle":"","family":"Rodenburg","given":"J","non-dropping-particle":"","parse-names":false,"suffix":""}],"container-title":"Tenth International Conference on Correlation Optics","id":"ITEM-3","issued":{"date-parts":[["2011"]]},"language":"English","note":"Byf20\nTimes Cited:0\nCited References Count:16\nProceedings of SPIE","title":"Ptychography: A powerful phase retrieval technique for biomedical imaging","type":"article-journal","volume":"8338"},"uris":["http://www.mendeley.com/documents/?uuid=0f8dd5a9-b7ca-4ee9-8fce-0f3cd4eb3a64"]},{"id":"ITEM-4","itemData":{"DOI":"10.1016/j.jpowsour.2010.08.006","ISBN":"0378-7753","ISSN":"03787753","abstract":"The present study is focusing on the elaboration of the quantitative relationships between the primary microstructural parameters (i.e. the phase volume fractions Φ, the particle and pore sizes and the corresponding size distributions PSD) with the more complex topological features (triple phase boundary length TPBL, and specific surface area SSA) in porous Ni-cermet anodes. These relationships are crucial for the microstructure optimization and for the improvement of the corresponding electrode performance. In the first part of the study a pristine anode material with a graded microstructure is analyzed. The results from the different zonations indicate that the TPBL correlates well with the volume fraction of the coarsest phase which is nickel. However the volume fractions also correlate with the particle size after sintering due to stronger particle coalescence at higher nickel volume fractions. Since the larger particle size leads to a decrease of the TPBL this coarsening effect partly neutralizes the advantage of a higher nickel volume fraction. Furthermore, the TPBL is also linked with the nickel surface area and with the corresponding pore-nickel interface area. The pore-nickel interface is the least abundant internal surface and therefore it represents the microstructural feature which predominantly limits the TPB formation in our nickel-cermet anode. In the second part the effects of microstructural degradation during exposure in a humid gas environment at 950 °C are investigated. During the early period (&lt;200 h) the rapid decrease of the TPBL is directly linked with the kinetics of nickel grain growth. At longer periods (&gt;1000 h) the nickel coarsening ceases whereas the decrease of the TPBL continues at a lower rate. During longer exposure time the reduction of TPBL is most probably caused by a slight volatilization of the nickel phase and by the formation of continuous CGO layers which are shielding the surface of the nickel grains. © 2010 Elsevier B.V. All rights reserved.","author":[{"dropping-particle":"","family":"Holzer","given":"L.","non-dropping-particle":"","parse-names":false,"suffix":""},{"dropping-particle":"","family":"Münch","given":"B.","non-dropping-particle":"","parse-names":false,"suffix":""},{"dropping-particle":"","family":"Iwanschitz","given":"B.","non-dropping-particle":"","parse-names":false,"suffix":""},{"dropping-particle":"","family":"Cantoni","given":"M.","non-dropping-particle":"","parse-names":false,"suffix":""},{"dropping-particle":"","family":"Hocker","given":"Th","non-dropping-particle":"","parse-names":false,"suffix":""},{"dropping-particle":"","family":"Graule","given":"Th","non-dropping-particle":"","parse-names":false,"suffix":""}],"container-title":"Journal of Power Sources","id":"ITEM-4","issue":"17","issued":{"date-parts":[["2011"]]},"page":"7076-7089","title":"Quantitative relationships between composition, particle size, triple phase boundary length and surface area in nickel-cermet anodes for Solid Oxide Fuel Cells","type":"article-journal","volume":"196"},"uris":["http://www.mendeley.com/documents/?uuid=506caff6-1f66-46a7-918b-41dab83f3366"]}],"mendeley":{"formattedCitation":"[255], [274]–[276]","plainTextFormattedCitation":"[255], [274]–[276]","previouslyFormattedCitation":"[255], [274]–[276]"},"properties":{"noteIndex":0},"schema":"https://github.com/citation-style-language/schema/raw/master/csl-citation.json"}</w:instrText>
      </w:r>
      <w:r>
        <w:fldChar w:fldCharType="separate"/>
      </w:r>
      <w:r w:rsidR="006C586A" w:rsidRPr="006C586A">
        <w:rPr>
          <w:noProof/>
        </w:rPr>
        <w:t>[255], [274]–[276]</w:t>
      </w:r>
      <w:r>
        <w:fldChar w:fldCharType="end"/>
      </w:r>
      <w:r w:rsidRPr="002B6C9E">
        <w:t>.</w:t>
      </w:r>
    </w:p>
    <w:p w14:paraId="157C31F8" w14:textId="77777777" w:rsidR="00007F6C" w:rsidRPr="002B6C9E" w:rsidRDefault="00007F6C" w:rsidP="005129DC">
      <w:pPr>
        <w:jc w:val="both"/>
      </w:pPr>
      <w:r w:rsidRPr="002B6C9E">
        <w:t>This method does possess many disadvantages when trying to observe the effect of elevated temperatures on the properties of the electrode material. A short breakdown of these problems is discussed below:</w:t>
      </w:r>
    </w:p>
    <w:p w14:paraId="5895BC1A" w14:textId="2DC538AE" w:rsidR="00007F6C" w:rsidRPr="002B6C9E" w:rsidRDefault="00007F6C" w:rsidP="005129DC">
      <w:pPr>
        <w:jc w:val="both"/>
      </w:pPr>
      <w:r w:rsidRPr="002B6C9E">
        <w:t xml:space="preserve">A large amount of sample preparation is required to get the sample to TXM standard – a cylindrical specimen spanning </w:t>
      </w:r>
      <w:r>
        <w:t>1</w:t>
      </w:r>
      <w:r w:rsidRPr="002B6C9E">
        <w:t>5</w:t>
      </w:r>
      <w:r>
        <w:t xml:space="preserve"> </w:t>
      </w:r>
      <w:r w:rsidRPr="002B6C9E">
        <w:t>µm by 80</w:t>
      </w:r>
      <w:r>
        <w:t xml:space="preserve"> </w:t>
      </w:r>
      <w:r w:rsidRPr="002B6C9E">
        <w:t>µm is broken up. One of the pieces is focus ion beam milled into a tip with a sample edge</w:t>
      </w:r>
      <w:r>
        <w:t xml:space="preserve"> </w:t>
      </w:r>
      <w:r>
        <w:fldChar w:fldCharType="begin" w:fldLock="1"/>
      </w:r>
      <w:r w:rsidR="00D80A5D">
        <w:instrText>ADDIN CSL_CITATION {"citationItems":[{"id":"ITEM-1","itemData":{"DOI":"10.1016/j.jpowsour.2011.03.060","abstract":"The three-dimensional microstructure of an SOFC anode has been characterized using a focused ion beam-scanning electron microscope. The sample preparation and the experimental milling and imaging parameters have been optimized in order to obtain a high-quality 3D reconstruction. Volume fractions and the volumetric connectivity of the individual phases, specific surface and interface areas and the three-phase boundary length have been estimated. Effective thermal, electronic and ionic conductivities of the sample as well as the tortuosity of the solid phases have been evaluated by solving the diffusive transport equation with an implicit 3D finite difference method.","author":[{"dropping-particle":"","family":"Vivet","given":"Nicolas","non-dropping-particle":"","parse-names":false,"suffix":""},{"dropping-particle":"","family":"Chupin","given":"Sylvain","non-dropping-particle":"","parse-names":false,"suffix":""},{"dropping-particle":"","family":"Estrade","given":"E","non-dropping-particle":"","parse-names":false,"suffix":""},{"dropping-particle":"","family":"Piquero","given":"T","non-dropping-particle":"","parse-names":false,"suffix":""},{"dropping-particle":"","family":"Pommier","given":"P L","non-dropping-particle":"","parse-names":false,"suffix":""},{"dropping-particle":"","family":"Rochais","given":"Denis","non-dropping-particle":"","parse-names":false,"suffix":""},{"dropping-particle":"","family":"Bruneton","given":"E","non-dropping-particle":"","parse-names":false,"suffix":""}],"container-title":"Lancet","id":"ITEM-1","issued":{"date-parts":[["2011","9","1"]]},"page":"7541-7549","title":"3D Microstructural characterization of a solid oxide fuel cell anode reconstructed by focused ion beam tomography","type":"article-journal","volume":"196"},"uris":["http://www.mendeley.com/documents/?uuid=b922285e-17b8-4ea7-8f75-e090caa9b28e"]}],"mendeley":{"formattedCitation":"[277]","plainTextFormattedCitation":"[277]","previouslyFormattedCitation":"[277]"},"properties":{"noteIndex":0},"schema":"https://github.com/citation-style-language/schema/raw/master/csl-citation.json"}</w:instrText>
      </w:r>
      <w:r>
        <w:fldChar w:fldCharType="separate"/>
      </w:r>
      <w:r w:rsidR="006C586A" w:rsidRPr="006C586A">
        <w:rPr>
          <w:noProof/>
        </w:rPr>
        <w:t>[277]</w:t>
      </w:r>
      <w:r>
        <w:fldChar w:fldCharType="end"/>
      </w:r>
      <w:r w:rsidRPr="002B6C9E">
        <w:t xml:space="preserve">. This challenging multistep process could also add to the misrepresentation issue for TXM. An AFL in an operating SOC may not possess as acute edges and it is unknown how the pore arrangement differs at the edge of a sample to the interior. </w:t>
      </w:r>
    </w:p>
    <w:p w14:paraId="035E1674" w14:textId="77777777" w:rsidR="00007F6C" w:rsidRPr="002B6C9E" w:rsidRDefault="00007F6C" w:rsidP="005129DC">
      <w:pPr>
        <w:jc w:val="both"/>
      </w:pPr>
      <w:r w:rsidRPr="002B6C9E">
        <w:t xml:space="preserve">The way the different particles interact at high temperatures could also be a source of error or effect how the system responds. Necks can form between adjacent Ni particles leading to a reduced active area at the triple phase boundary. The coalescence of Ni onto YSZ could also be a problem in terms of maintaining a high effective active area. </w:t>
      </w:r>
    </w:p>
    <w:p w14:paraId="4B900DEC" w14:textId="77777777" w:rsidR="00007F6C" w:rsidRPr="002B6C9E" w:rsidRDefault="00007F6C" w:rsidP="005129DC">
      <w:pPr>
        <w:spacing w:before="240" w:line="240" w:lineRule="auto"/>
        <w:jc w:val="both"/>
      </w:pPr>
      <w:r w:rsidRPr="002B6C9E">
        <w:t>With comparing two samples at T</w:t>
      </w:r>
      <w:r w:rsidRPr="002B6C9E">
        <w:rPr>
          <w:vertAlign w:val="subscript"/>
        </w:rPr>
        <w:t>1</w:t>
      </w:r>
      <w:r w:rsidRPr="002B6C9E">
        <w:t xml:space="preserve"> and T</w:t>
      </w:r>
      <w:r w:rsidRPr="002B6C9E">
        <w:rPr>
          <w:vertAlign w:val="subscript"/>
        </w:rPr>
        <w:t>2</w:t>
      </w:r>
      <w:r w:rsidRPr="002B6C9E">
        <w:t xml:space="preserve"> (where T</w:t>
      </w:r>
      <w:r w:rsidRPr="002B6C9E">
        <w:rPr>
          <w:vertAlign w:val="subscript"/>
        </w:rPr>
        <w:t xml:space="preserve">1 </w:t>
      </w:r>
      <w:r w:rsidRPr="002B6C9E">
        <w:t>&lt; T</w:t>
      </w:r>
      <w:r w:rsidRPr="002B6C9E">
        <w:rPr>
          <w:vertAlign w:val="subscript"/>
        </w:rPr>
        <w:t>2</w:t>
      </w:r>
      <w:r w:rsidRPr="002B6C9E">
        <w:t>) the following problems can occur:</w:t>
      </w:r>
    </w:p>
    <w:p w14:paraId="7072EFE5" w14:textId="77777777" w:rsidR="00007F6C" w:rsidRPr="002B6C9E" w:rsidRDefault="00007F6C" w:rsidP="005129DC">
      <w:pPr>
        <w:numPr>
          <w:ilvl w:val="0"/>
          <w:numId w:val="7"/>
        </w:numPr>
        <w:spacing w:after="0" w:line="240" w:lineRule="auto"/>
        <w:jc w:val="both"/>
      </w:pPr>
      <w:r w:rsidRPr="002B6C9E">
        <w:t xml:space="preserve">Uncertainties and errors from comparing different </w:t>
      </w:r>
      <w:proofErr w:type="gramStart"/>
      <w:r w:rsidRPr="002B6C9E">
        <w:t>samples</w:t>
      </w:r>
      <w:proofErr w:type="gramEnd"/>
    </w:p>
    <w:p w14:paraId="046A2A3E" w14:textId="63AE079A" w:rsidR="00007F6C" w:rsidRPr="002B6C9E" w:rsidRDefault="00007F6C" w:rsidP="005129DC">
      <w:pPr>
        <w:numPr>
          <w:ilvl w:val="0"/>
          <w:numId w:val="7"/>
        </w:numPr>
        <w:spacing w:after="0" w:line="240" w:lineRule="auto"/>
        <w:jc w:val="both"/>
      </w:pPr>
      <w:r w:rsidRPr="002B6C9E">
        <w:t>Averaged microstructural quantities may not be entirely representative (</w:t>
      </w:r>
      <w:r w:rsidR="00AA3079" w:rsidRPr="002B6C9E">
        <w:t>i.e.,</w:t>
      </w:r>
      <w:r w:rsidRPr="002B6C9E">
        <w:t xml:space="preserve"> if outliers end up in the calculation)</w:t>
      </w:r>
    </w:p>
    <w:p w14:paraId="77E33E59" w14:textId="77777777" w:rsidR="00007F6C" w:rsidRDefault="00007F6C" w:rsidP="005129DC">
      <w:pPr>
        <w:numPr>
          <w:ilvl w:val="0"/>
          <w:numId w:val="7"/>
        </w:numPr>
        <w:spacing w:after="0" w:line="240" w:lineRule="auto"/>
        <w:jc w:val="both"/>
      </w:pPr>
      <w:r w:rsidRPr="002B6C9E">
        <w:t xml:space="preserve">If the initial </w:t>
      </w:r>
      <w:r>
        <w:t>X</w:t>
      </w:r>
      <w:r w:rsidRPr="002B6C9E">
        <w:t>-ray diffraction scan characterises a position in the sample which is not representative of the overall structure</w:t>
      </w:r>
    </w:p>
    <w:p w14:paraId="63DBD484" w14:textId="77777777" w:rsidR="00007F6C" w:rsidRPr="002B6C9E" w:rsidRDefault="00007F6C" w:rsidP="005129DC">
      <w:pPr>
        <w:spacing w:after="0" w:line="240" w:lineRule="auto"/>
        <w:jc w:val="both"/>
      </w:pPr>
    </w:p>
    <w:p w14:paraId="0374B349" w14:textId="77245F39" w:rsidR="00007F6C" w:rsidRDefault="00007F6C" w:rsidP="005129DC">
      <w:pPr>
        <w:jc w:val="both"/>
      </w:pPr>
      <w:r w:rsidRPr="002B6C9E">
        <w:t>The microstructural evolution of anode functional layers has been successfully examined using TXM. One of the key questions that further TXM studies must answer is whether this technique truly model</w:t>
      </w:r>
      <w:r>
        <w:t>s</w:t>
      </w:r>
      <w:r w:rsidRPr="002B6C9E">
        <w:t xml:space="preserve"> the region of interest in SOCs – the active area. Current studies have ignored the early stage coarsening to focus on the long-term development of the Ni/YSZ fuel electrode. It appeared that at 1000</w:t>
      </w:r>
      <w:r w:rsidR="00BB29A6">
        <w:t xml:space="preserve"> </w:t>
      </w:r>
      <w:r w:rsidRPr="002B6C9E">
        <w:t>°C the maximum effect of degradation on the triple phase boundary density can be felt.</w:t>
      </w:r>
    </w:p>
    <w:p w14:paraId="2F0E9724" w14:textId="66D4E7C2" w:rsidR="00007F6C" w:rsidRPr="002B6C9E" w:rsidRDefault="00007F6C" w:rsidP="005129DC">
      <w:pPr>
        <w:jc w:val="both"/>
      </w:pPr>
      <w:r w:rsidRPr="002B6C9E">
        <w:lastRenderedPageBreak/>
        <w:t>Continued research in the area should focus on the earliest stages of microstructural evolution as it widely assumed in the scientific community that Ni particles could sinter at much lower temperatures than 1100</w:t>
      </w:r>
      <w:r w:rsidR="00BB29A6">
        <w:t xml:space="preserve"> </w:t>
      </w:r>
      <w:r w:rsidRPr="002B6C9E">
        <w:t xml:space="preserve">°C which could explain the decrease in TPB density values at higher temperatures. </w:t>
      </w:r>
    </w:p>
    <w:p w14:paraId="5DC90C94" w14:textId="68BAF1A3" w:rsidR="00007F6C" w:rsidRDefault="00007F6C" w:rsidP="005129DC">
      <w:pPr>
        <w:jc w:val="both"/>
      </w:pPr>
      <w:r w:rsidRPr="007562A9">
        <w:t>The state-of-the-art resolution of XCT has been stated to be around 50</w:t>
      </w:r>
      <w:r>
        <w:t xml:space="preserve"> </w:t>
      </w:r>
      <w:r w:rsidRPr="007562A9">
        <w:t>nm</w:t>
      </w:r>
      <w:r>
        <w:t xml:space="preserve"> </w:t>
      </w:r>
      <w:r w:rsidRPr="007562A9">
        <w:fldChar w:fldCharType="begin" w:fldLock="1"/>
      </w:r>
      <w:r w:rsidR="00D80A5D">
        <w:instrText>ADDIN CSL_CITATION {"citationItems":[{"id":"ITEM-1","itemData":{"DOI":"10.1524/zkri.2007.222.11.650","ISSN":"00442968","abstract":"High-resolution X-ray computed tomography (XCT) enables nondestructive 3D imaging of complex structures, regardless of their state of crystallinity. This work describes a sub-50 nm resolution XCT system operating at 8 keV in absorption and Zernike phase contrast modes based on a commercially available Cu rotating anode laboratory X-ray source. The system utilizes a high efficiency reflective capillary condenser lens and high-resolution Fresnel zone plates with an outermost zone width of 35 nm and 700 nm structure height resulting in a spatial resolution better than 50 nm currently. Imaging a fragment of the solid oxide fuel cells (SOFC) with 50 nm resolution is presented as an application example of the XCT technique in materials science and nanotechnology. © by Oldenbourg Wissenschaftsverlag.","author":[{"dropping-particle":"","family":"Tkachuk","given":"Andrei","non-dropping-particle":"","parse-names":false,"suffix":""},{"dropping-particle":"","family":"Duewer","given":"Fred","non-dropping-particle":"","parse-names":false,"suffix":""},{"dropping-particle":"","family":"Cui","given":"Hongtao","non-dropping-particle":"","parse-names":false,"suffix":""},{"dropping-particle":"","family":"Feser","given":"Michael","non-dropping-particle":"","parse-names":false,"suffix":""},{"dropping-particle":"","family":"Wang","given":"Steve","non-dropping-particle":"","parse-names":false,"suffix":""},{"dropping-particle":"","family":"Yun","given":"Wenbing","non-dropping-particle":"","parse-names":false,"suffix":""}],"container-title":"Zeitschrift fur Kristallographie","id":"ITEM-1","issue":"11","issued":{"date-parts":[["2007"]]},"page":"650-655","title":"X-ray computed tomography in Zernike phase contrast mode at 8 keV with 50-nm resolution using Cu rotating anode X-ray source","type":"article-journal","volume":"222"},"uris":["http://www.mendeley.com/documents/?uuid=5a6cd3fa-8965-444d-9563-384f86a60b12"]},{"id":"ITEM-2","itemData":{"DOI":"10.1149/1.2895067","ISSN":"00134651","abstract":"A high-resolution, nondestructive X-ray computed tomography (XCT) technique is applied to image the three-dimensional (3D) microstructure of a solid oxide fuel cell (SOFC) composed of a solid yttria-stabilized zirconia (YSZ) electrolyte and a porous nickel YSZ (Ni-YSZ) anode. The X-ray microscope uses the 8 keV Cu K alpha line from a laboratory X-ray source, with a reflective condenser optic lens providing a spatial resolution of 42.7 nm. The reconstructed volume data is visualized as 3D images and further postprocessed in binary-image format to obtain structural parameters. The porosity is calculated using a voxel counting method, and tortuosity is evaluated by solving the Laplace equation. A 3D representation of the microstructure is used to calculate true structural parameters and carry out a detailed study of the gas transport within an SOFC electrode at the pore scale. Simulation of multicomponent mass transport and electrochemical reactions in the anode microstructure using the XCT data as geometric input illustrate the impact of this technique on SOFC modeling. (c) 2008 The Electrochemical Society.","author":[{"dropping-particle":"","family":"Izzo","given":"John R.","non-dropping-particle":"","parse-names":false,"suffix":""},{"dropping-particle":"","family":"Joshi","given":"Abhijit S.","non-dropping-particle":"","parse-names":false,"suffix":""},{"dropping-particle":"","family":"Grew","given":"Kyle N.","non-dropping-particle":"","parse-names":false,"suffix":""},{"dropping-particle":"","family":"Chiu","given":"Wilson K. S.","non-dropping-particle":"","parse-names":false,"suffix":""},{"dropping-particle":"","family":"Tkachuk","given":"Andrei","non-dropping-particle":"","parse-names":false,"suffix":""},{"dropping-particle":"","family":"Wang","given":"Siew H.","non-dropping-particle":"","parse-names":false,"suffix":""},{"dropping-particle":"","family":"Yun","given":"Wenbing","non-dropping-particle":"","parse-names":false,"suffix":""}],"container-title":"Journal of The Electrochemical Society","id":"ITEM-2","issue":"5","issued":{"date-parts":[["2008"]]},"page":"B504","title":"Nondestructive Reconstruction and Analysis of SOFC Anodes Using X-ray Computed Tomography at Sub-50 nm Resolution","type":"article-journal","volume":"155"},"uris":["http://www.mendeley.com/documents/?uuid=224f9837-702c-4894-924c-fa722e4fc965"]},{"id":"ITEM-3","itemData":{"DOI":"10.1016/j.mattod.2019.05.019","ISSN":"18734103","abstract":"Over the last century, X-ray imaging instruments and their accompanying tomographic reconstruction algorithms have developed considerably. With improved tomogram quality and resolution, voxel sizes down to tens of nanometers can now be achieved. Moreover, recent advancements in readily accessible lab-based X-ray computed tomography (X-ray CT) instruments have produced spatial resolutions comparable to specialist synchrotron facilities. Electrochemical energy conversion devices, such as fuel cells and batteries, have inherently complex electrode microstructures to achieve competitive power delivery for consideration as replacements for conventional sources. With resolution capabilities spanning tens of microns to tens of nanometers, X-ray CT has become widely employed in the three-dimensional (3D) characterization of electrochemical materials. The ability to perform multiscale imaging has enabled characterization from system-down to particle-level, with the ability to resolve critical features within device microstructures. X-ray characterization presents a favorable alternative to other 3D methods, such as focused ion beam scanning electron microscopy, due to its non-destructive nature, which allows four-dimensional (4D) studies, three spatial dimensions plus time, linking structural dynamics to device performance and lifetime. X-ray CT has accelerated research from fundamental understanding of the links between cell structure and performance, to the improvement in manufacturing and scale-up of full electrochemical cells. Furthermore, this has aided in the mitigation of degradation and cell-level failures, such as thermal runaway. This review presents recent developments in the use of X-ray CT as a characterization method and its role in the advancement of electrochemical materials engineering.","author":[{"dropping-particle":"","family":"Heenan","given":"Thomas M.M.","non-dropping-particle":"","parse-names":false,"suffix":""},{"dropping-particle":"","family":"Tan","given":"Chun","non-dropping-particle":"","parse-names":false,"suffix":""},{"dropping-particle":"","family":"Hack","given":"Jennifer","non-dropping-particle":"","parse-names":false,"suffix":""},{"dropping-particle":"","family":"Brett","given":"Dan J.L.","non-dropping-particle":"","parse-names":false,"suffix":""},{"dropping-particle":"","family":"Shearing","given":"Paul R.","non-dropping-particle":"","parse-names":false,"suffix":""}],"container-title":"Materials Today","id":"ITEM-3","issue":"December","issued":{"date-parts":[["2019"]]},"page":"69-85","publisher":"Elsevier B.V.","title":"Developments in X-ray tomography characterization for electrochemical devices","type":"article-journal","volume":"31"},"uris":["http://www.mendeley.com/documents/?uuid=5a69f3ee-6f01-46b1-a3b2-22259527df4c"]}],"mendeley":{"formattedCitation":"[255], [261], [278]","plainTextFormattedCitation":"[255], [261], [278]","previouslyFormattedCitation":"[255], [261], [278]"},"properties":{"noteIndex":0},"schema":"https://github.com/citation-style-language/schema/raw/master/csl-citation.json"}</w:instrText>
      </w:r>
      <w:r w:rsidRPr="007562A9">
        <w:fldChar w:fldCharType="separate"/>
      </w:r>
      <w:r w:rsidR="006C586A" w:rsidRPr="006C586A">
        <w:rPr>
          <w:noProof/>
        </w:rPr>
        <w:t>[255], [261], [278]</w:t>
      </w:r>
      <w:r w:rsidRPr="007562A9">
        <w:fldChar w:fldCharType="end"/>
      </w:r>
      <w:r w:rsidRPr="007562A9">
        <w:t xml:space="preserve">. This would be too low to characterise the </w:t>
      </w:r>
      <w:r w:rsidR="00BB29A6" w:rsidRPr="007562A9">
        <w:t>early-stage</w:t>
      </w:r>
      <w:r w:rsidRPr="007562A9">
        <w:t xml:space="preserve"> sintering that would occur in infiltrated systems.</w:t>
      </w:r>
      <w:r>
        <w:t xml:space="preserve"> </w:t>
      </w:r>
      <w:r w:rsidRPr="002B6C9E">
        <w:t xml:space="preserve">One further research route would be to gauge the effect of feature size on the coarsening behaviour of </w:t>
      </w:r>
      <w:r>
        <w:t xml:space="preserve">infiltrated catalyst in the </w:t>
      </w:r>
      <w:r w:rsidRPr="002B6C9E">
        <w:t xml:space="preserve">fuel electrode system. It was mentioned in the tomographical literature that a microstructure with </w:t>
      </w:r>
      <w:r>
        <w:t xml:space="preserve">well dispersed, nanoscale particles </w:t>
      </w:r>
      <w:r w:rsidRPr="002B6C9E">
        <w:t xml:space="preserve">small aspects could help reduce the effect of degradation on the active TPB density. Infiltrating a porous YSZ scaffold with NPs of nickel could be one method of investigating this hypothesis. </w:t>
      </w:r>
    </w:p>
    <w:p w14:paraId="04F47511" w14:textId="77777777" w:rsidR="00007F6C" w:rsidRDefault="00007F6C" w:rsidP="005129DC">
      <w:pPr>
        <w:pStyle w:val="Heading4"/>
      </w:pPr>
      <w:r>
        <w:t>2.4.2.6</w:t>
      </w:r>
      <w:r>
        <w:tab/>
        <w:t>Near-field Ptychography</w:t>
      </w:r>
    </w:p>
    <w:p w14:paraId="313BC4D9" w14:textId="7242247C" w:rsidR="00007F6C" w:rsidRDefault="00007F6C" w:rsidP="004B726A">
      <w:pPr>
        <w:jc w:val="both"/>
        <w:rPr>
          <w:rFonts w:cs="Arial"/>
        </w:rPr>
      </w:pPr>
      <w:r>
        <w:rPr>
          <w:rFonts w:cs="Arial"/>
        </w:rPr>
        <w:t xml:space="preserve">Ptychography (also known as holo-tomography) is a non-destructive lenseless imaging method which can calculate the phase changes in a sample via changes in coherent interference patterns. Fourier transforms are deconvoluted to generate information on the phases present in a sample imaged at a range of angles </w:t>
      </w:r>
      <w:r>
        <w:rPr>
          <w:rFonts w:cs="Arial"/>
        </w:rPr>
        <w:fldChar w:fldCharType="begin" w:fldLock="1"/>
      </w:r>
      <w:r w:rsidR="00D80A5D">
        <w:rPr>
          <w:rFonts w:cs="Arial"/>
        </w:rPr>
        <w:instrText>ADDIN CSL_CITATION {"citationItems":[{"id":"ITEM-1","itemData":{"DOI":"10.1016/S1076-5670(07)00003-1","ISBN":"1076-5670","author":[{"dropping-particle":"","family":"Rodenburg","given":"J M","non-dropping-particle":"","parse-names":false,"suffix":""}],"container-title":"Advances in Imaging and Electron Physics, Vol 150","id":"ITEM-1","issued":{"date-parts":[["2008"]]},"language":"English","note":"Bhm03\nTimes Cited:167\nCited References Count:74\nAdvances in Imaging and Electron Physics","page":"87-184","title":"Ptychography and related diffractive imaging methods","type":"article-journal","volume":"150"},"uris":["http://www.mendeley.com/documents/?uuid=b1a2165a-9ae1-4237-a124-5128076d7a1d"]},{"id":"ITEM-2","itemData":{"DOI":"10.1038/s41566-017-0072-5","ISSN":"17494893","abstract":"X-ray ptychographic microscopy combines the advantages of raster scanning X-ray microscopy with the more recently developed techniques of coherent diffraction imaging. It is limited neither by the fabricational challenges associated with X-ray optics nor by the requirements of isolated specimen preparation, and offers in principle wavelength-limited resolution, as well as stable access and solution to the phase problem. In this Review, we discuss the basic principles of X-ray ptychography and summarize the main milestones in the evolution of X-ray ptychographic microscopy and tomography over the past ten years, since its first demonstration with X-rays. We also highlight the potential for applications in the life and materials sciences, and discuss the latest advanced concepts and probable future developments.","author":[{"dropping-particle":"","family":"Pfeiffer","given":"Franz","non-dropping-particle":"","parse-names":false,"suffix":""}],"container-title":"Nature Photonics","id":"ITEM-2","issue":"1","issued":{"date-parts":[["2018"]]},"page":"9-17","title":"X-ray ptychography","type":"article-journal","volume":"12"},"uris":["http://www.mendeley.com/documents/?uuid=f07d4ad4-9c47-46a5-ac64-978c8deec92e"]}],"mendeley":{"formattedCitation":"[279], [280]","plainTextFormattedCitation":"[279], [280]","previouslyFormattedCitation":"[279], [280]"},"properties":{"noteIndex":0},"schema":"https://github.com/citation-style-language/schema/raw/master/csl-citation.json"}</w:instrText>
      </w:r>
      <w:r>
        <w:rPr>
          <w:rFonts w:cs="Arial"/>
        </w:rPr>
        <w:fldChar w:fldCharType="separate"/>
      </w:r>
      <w:r w:rsidR="006C586A" w:rsidRPr="006C586A">
        <w:rPr>
          <w:rFonts w:cs="Arial"/>
          <w:noProof/>
        </w:rPr>
        <w:t>[279], [280]</w:t>
      </w:r>
      <w:r>
        <w:rPr>
          <w:rFonts w:cs="Arial"/>
        </w:rPr>
        <w:fldChar w:fldCharType="end"/>
      </w:r>
      <w:r>
        <w:rPr>
          <w:rFonts w:cs="Arial"/>
        </w:rPr>
        <w:t xml:space="preserve">. </w:t>
      </w:r>
    </w:p>
    <w:p w14:paraId="5CFB9119" w14:textId="77777777" w:rsidR="00007F6C" w:rsidRPr="00EA3AE1" w:rsidRDefault="00007F6C" w:rsidP="004B726A">
      <w:pPr>
        <w:jc w:val="both"/>
        <w:rPr>
          <w:rFonts w:cs="Arial"/>
        </w:rPr>
      </w:pPr>
      <w:r>
        <w:rPr>
          <w:rFonts w:cs="Arial"/>
        </w:rPr>
        <w:t>For the data to be termed ptychographic these three conditions must be fulfilled:</w:t>
      </w:r>
    </w:p>
    <w:p w14:paraId="39FA44DF" w14:textId="77777777" w:rsidR="00007F6C" w:rsidRDefault="00007F6C" w:rsidP="004B726A">
      <w:pPr>
        <w:numPr>
          <w:ilvl w:val="0"/>
          <w:numId w:val="16"/>
        </w:numPr>
        <w:jc w:val="both"/>
        <w:rPr>
          <w:rFonts w:cs="Arial"/>
        </w:rPr>
      </w:pPr>
      <w:r>
        <w:rPr>
          <w:rFonts w:cs="Arial"/>
        </w:rPr>
        <w:t xml:space="preserve">Minimum of two interference patterns are taken where the radiation source has been shifted a known distance with respect to the </w:t>
      </w:r>
      <w:proofErr w:type="gramStart"/>
      <w:r>
        <w:rPr>
          <w:rFonts w:cs="Arial"/>
        </w:rPr>
        <w:t>sample</w:t>
      </w:r>
      <w:proofErr w:type="gramEnd"/>
    </w:p>
    <w:p w14:paraId="51310237" w14:textId="77777777" w:rsidR="00007F6C" w:rsidRDefault="00007F6C" w:rsidP="004B726A">
      <w:pPr>
        <w:numPr>
          <w:ilvl w:val="0"/>
          <w:numId w:val="16"/>
        </w:numPr>
        <w:jc w:val="both"/>
        <w:rPr>
          <w:rFonts w:cs="Arial"/>
        </w:rPr>
      </w:pPr>
      <w:r>
        <w:rPr>
          <w:rFonts w:cs="Arial"/>
        </w:rPr>
        <w:t xml:space="preserve">Intensity data used must have been collected downstream from a sample that has been irradiated in transmission by a radiation </w:t>
      </w:r>
      <w:proofErr w:type="gramStart"/>
      <w:r>
        <w:rPr>
          <w:rFonts w:cs="Arial"/>
        </w:rPr>
        <w:t>source</w:t>
      </w:r>
      <w:proofErr w:type="gramEnd"/>
    </w:p>
    <w:p w14:paraId="602EE4B3" w14:textId="77777777" w:rsidR="00007F6C" w:rsidRDefault="00007F6C" w:rsidP="004B726A">
      <w:pPr>
        <w:numPr>
          <w:ilvl w:val="0"/>
          <w:numId w:val="16"/>
        </w:numPr>
        <w:jc w:val="both"/>
        <w:rPr>
          <w:rFonts w:cs="Arial"/>
        </w:rPr>
      </w:pPr>
      <w:r>
        <w:rPr>
          <w:rFonts w:cs="Arial"/>
        </w:rPr>
        <w:t xml:space="preserve">The phase approximations must be reconstructed with a minimum of two interference patterns utilising all the available diffraction </w:t>
      </w:r>
      <w:proofErr w:type="gramStart"/>
      <w:r>
        <w:rPr>
          <w:rFonts w:cs="Arial"/>
        </w:rPr>
        <w:t>directions</w:t>
      </w:r>
      <w:proofErr w:type="gramEnd"/>
      <w:r>
        <w:rPr>
          <w:rFonts w:cs="Arial"/>
        </w:rPr>
        <w:t xml:space="preserve"> </w:t>
      </w:r>
    </w:p>
    <w:p w14:paraId="02089660" w14:textId="72C5919D" w:rsidR="00007F6C" w:rsidRDefault="00007F6C" w:rsidP="004B726A">
      <w:pPr>
        <w:jc w:val="both"/>
        <w:rPr>
          <w:rFonts w:cs="Arial"/>
        </w:rPr>
      </w:pPr>
      <w:r>
        <w:rPr>
          <w:rFonts w:cs="Arial"/>
        </w:rPr>
        <w:t>A practical method of producing the interference patterns required for ptychography is to rotate the sample in the illuminating beam. 180</w:t>
      </w:r>
      <w:r>
        <w:rPr>
          <w:rFonts w:cstheme="minorHAnsi"/>
        </w:rPr>
        <w:t>°</w:t>
      </w:r>
      <w:r>
        <w:rPr>
          <w:rFonts w:cs="Arial"/>
        </w:rPr>
        <w:t xml:space="preserve"> of rotation can be extrapolated to produce interference patterns of the entire sample, hence the use of the term “ptycho” to fold. Phase information can then be deciphered by reconstructing these patterns using the branching iterative Goldstein algorithm </w:t>
      </w:r>
      <w:r>
        <w:rPr>
          <w:rFonts w:cs="Arial"/>
        </w:rPr>
        <w:fldChar w:fldCharType="begin" w:fldLock="1"/>
      </w:r>
      <w:r w:rsidR="00D80A5D">
        <w:rPr>
          <w:rFonts w:cs="Arial"/>
        </w:rPr>
        <w:instrText>ADDIN CSL_CITATION {"citationItems":[{"id":"ITEM-1","itemData":{"DOI":"10.3807/hkh.2007.18.2.122","ISSN":"1225-6285","author":[{"dropping-particle":"","family":"Yoon","given":"Seon-Kyu","non-dropping-particle":"","parse-names":false,"suffix":""},{"dropping-particle":"","family":"Cho","given":"Hyung-Jun","non-dropping-particle":"","parse-names":false,"suffix":""},{"dropping-particle":"","family":"Kim","given":"Doo-Cheol","non-dropping-particle":"","parse-names":false,"suffix":""},{"dropping-particle":"","family":"Yu","given":"Young-Hun","non-dropping-particle":"","parse-names":false,"suffix":""},{"dropping-particle":"","family":"Kim","given":"Sung-Kyu","non-dropping-particle":"","parse-names":false,"suffix":""}],"container-title":"Hankook Kwanghak Hoeji","id":"ITEM-1","issue":"2","issued":{"date-parts":[["2009"]]},"page":"122-129","title":"Phase Unwrapping using Modified Goldstein Algorithm in Digital Holography","type":"article-journal","volume":"18"},"uris":["http://www.mendeley.com/documents/?uuid=8ffd822b-3adc-482e-af73-348b88b29b38"]}],"mendeley":{"formattedCitation":"[281]","plainTextFormattedCitation":"[281]","previouslyFormattedCitation":"[281]"},"properties":{"noteIndex":0},"schema":"https://github.com/citation-style-language/schema/raw/master/csl-citation.json"}</w:instrText>
      </w:r>
      <w:r>
        <w:rPr>
          <w:rFonts w:cs="Arial"/>
        </w:rPr>
        <w:fldChar w:fldCharType="separate"/>
      </w:r>
      <w:r w:rsidR="006C586A" w:rsidRPr="006C586A">
        <w:rPr>
          <w:rFonts w:cs="Arial"/>
          <w:noProof/>
        </w:rPr>
        <w:t>[281]</w:t>
      </w:r>
      <w:r>
        <w:rPr>
          <w:rFonts w:cs="Arial"/>
        </w:rPr>
        <w:fldChar w:fldCharType="end"/>
      </w:r>
      <w:r>
        <w:rPr>
          <w:rFonts w:cs="Arial"/>
        </w:rPr>
        <w:t>. These reconstructions can then be converted into 3D renderings of the system identical to that of X</w:t>
      </w:r>
      <w:r w:rsidR="00956300">
        <w:rPr>
          <w:rFonts w:cs="Arial"/>
        </w:rPr>
        <w:t>C</w:t>
      </w:r>
      <w:r>
        <w:rPr>
          <w:rFonts w:cs="Arial"/>
        </w:rPr>
        <w:t xml:space="preserve">T. </w:t>
      </w:r>
    </w:p>
    <w:p w14:paraId="1E7D9135" w14:textId="1A423EBF" w:rsidR="00007F6C" w:rsidRDefault="00007F6C" w:rsidP="004B726A">
      <w:pPr>
        <w:jc w:val="both"/>
      </w:pPr>
      <w:r>
        <w:rPr>
          <w:rFonts w:cs="Arial"/>
        </w:rPr>
        <w:t xml:space="preserve">In the past several years, </w:t>
      </w:r>
      <w:r w:rsidRPr="00467C0F">
        <w:t>ptychography</w:t>
      </w:r>
      <w:r>
        <w:t xml:space="preserve"> has been utilised in the characterisation of SOFC microstructures</w:t>
      </w:r>
      <w:r w:rsidRPr="00467C0F">
        <w:t xml:space="preserve"> </w:t>
      </w:r>
      <w:r>
        <w:t xml:space="preserve">a total of three times[references]. The extremely fine resolution of this technique (around 30 nm) means that rapid microstructural changes such as coarsening can be imaged successfully. Despite this, only SOFCs produced using powder methods have been imaged using ptychography </w:t>
      </w:r>
      <w:r>
        <w:fldChar w:fldCharType="begin" w:fldLock="1"/>
      </w:r>
      <w:r w:rsidR="00D80A5D">
        <w:instrText xml:space="preserve">ADDIN CSL_CITATION {"citationItems":[{"id":"ITEM-1","itemData":{"DOI":"10.1016/j.jpowsour.2013.06.069","ISSN":"03787753","abstract":"SOFC electrochemical performances are strongly dependent on the micro and nanostructure of the electrodes. 3D image analysis is an essential tool to characterise these microstructures. However, the studied volumes have to be sufficiently large to be representative of the heterogenous medium. In this study, quantitative phase contrast X-ray nano-holotomography is performed on large volumes of SOFC anode consisting by a Ni/YSZ cermet. Both the electrode functional layer and the current collector of anode supported cell are characterised in 3D. The setup and data processing adaptation needed for such an absorbing materials are described. The X-ray nano-holotomography was performed with an isotropic voxel size of 25 × 25 × 25 nm3 and a field of view of about 50 μm. This technique is non-destructive and was used in local tomography mode. After filtering and thresholding, the segmentation of the 3D reconstructions allows precisely separating the network of each phase of the electrode (metallic, ceramic and porosity), giving representative features of the microstructure. © 2013 Elsevier B.V. All rights reserved.","author":[{"dropping-particle":"","family":"Julie","given":"Villanova","non-dropping-particle":"","parse-names":false,"suffix":""},{"dropping-particle":"","family":"Jérôme","given":"Laurencin","non-dropping-particle":"","parse-names":false,"suffix":""},{"dropping-particle":"","family":"Peter","given":"Cloetens","non-dropping-particle":"","parse-names":false,"suffix":""},{"dropping-particle":"","family":"Pierre","given":"Bleuet","non-dropping-particle":"","parse-names":false,"suffix":""},{"dropping-particle":"","family":"Gérard","given":"Delette","non-dropping-particle":"","parse-names":false,"suffix":""},{"dropping-particle":"","family":"Heikki","given":"Suhonen","non-dropping-particle":"","parse-names":false,"suffix":""},{"dropping-particle":"","family":"François","given":"Usseglio Viretta","non-dropping-particle":"","parse-names":false,"suffix":""}],"container-title":"Journal of Power Sources","id":"ITEM-1","issued":{"date-parts":[["2013"]]},"page":"841-849","publisher":"Elsevier B.V","title":"3D phase mapping of solid oxide fuel cell YSZ/Ni cermet at the nanoscale by holographic X-ray nanotomography","type":"article-journal","volume":"243"},"uris":["http://www.mendeley.com/documents/?uuid=ef81f0f0-f7c6-4496-9196-8a577cb4d86e"]},{"id":"ITEM-2","itemData":{"DOI":"10.1364/oe.23.012720","ISSN":"1094-4087","abstract":"Propagation-based imaging or inline holography in combination with computed tomography (holotomography) is a versatile tool to access a sample&amp;#x02019;s three-dimensional (3D) micro or nano structure. However, the phase retrieval step needed prior to tomographic reconstruction can be challenging especially for strongly absorbing and refracting samples. Near-field ptychography is a recently developed phase imaging method that has been proven to overcome this hurdle in projection data. In this work we extend near-field ptychography to three dimensions and we show that, in combination with tomography, it can access the nano structure of a solid oxide fuel cell (SOFC). The quality of the resulting tomographic data and the structural properties of the anode extracted from this volume were compared to previous results obtained with holotomography. This work highlights the potential of 3D near-field ptychography for reliable and detailed investigations of samples at the nanometer scale, with important applications in materials and life sciences among others.","author":[{"dropping-particle":"","family":"Stockmar","given":"Marco","non-dropping-particle":"","parse-names":false,"suffix":""},{"dropping-particle":"","family":"Hubert","given":"Maxime","non-dropping-particle":"","parse-names":false,"suffix":""},{"dropping-particle":"","family":"Dierolf","given":"Martin","non-dropping-particle":"","parse-names":false,"suffix":""},{"dropping-particle":"","family":"Enders","given":"Bjoern","non-dropping-particle":"","parse-names":false,"suffix":""},{"dropping-particle":"","family":"Clare","given":"Richard","non-dropping-particle":"","parse-names":false,"suffix":""},{"dropping-particle":"","family":"Allner","given":"Sebastian","non-dropping-particle":"","parse-names":false,"suffix":""},{"dropping-particle":"","family":"Fehringer","given":"Andreas","non-dropping-particle":"","parse-names":false,"suffix":""},{"dropping-particle":"","family":"Zanette","given":"Irene","non-dropping-particle":"","parse-names":false,"suffix":""},{"dropping-particle":"","family":"Villanova","given":"Julie","non-dropping-particle":"","parse-names":false,"suffix":""},{"dropping-particle":"","family":"Laurencin","given":"Jérôme","non-dropping-particle":"","parse-names":false,"suffix":""},{"dropping-particle":"","family":"Cloetens","given":"Peter","non-dropping-particle":"","parse-names":false,"suffix":""},{"dropping-particle":"","family":"Pfeiffer","given":"Franz","non-dropping-particle":"","parse-names":false,"suffix":""},{"dropping-particle":"","family":"Thibault","given":"Pierre","non-dropping-particle":"","parse-names":false,"suffix":""}],"container-title":"Optics Express","id":"ITEM-2","issue":"10","issued":{"date-parts":[["2015"]]},"page":"12720","title":"X-ray nanotomography using near-field ptychography","type":"article-journal","volume":"23"},"uris":["http://www.mendeley.com/documents/?uuid=ca97d9df-303a-4b69-9bd2-daebbfc4d824"]},{"id":"ITEM-3","itemData":{"DOI":"10.1016/j.jpowsour.2018.06.097","ISSN":"03787753","abstract":"Long-term experiments have been carried out to investigate the impact of Nickel (Ni) coarsening on the performance of Solid Oxide Cell. Durability tests have been performed with H2 electrode supported cells at 850 °C and 750 °C in fuel cell and electrolysis modes. Microstructural changes in the composite electrode of Nickel and Yttria Stabilized Zirconia (YSZ) have been characterized by synchrotron X-ray nanotomography. Analysis of the reconstructions have revealed that Ni coarsening induces a significant decrease of both the density of Triple Phase Boundary lengths (TPBls) and the Ni/gas specific surface area. However, the contact surface between Ni and YSZ is not changed upon operation, meaning the Ni sintering is inhibited by the YSZ backbone. Moreover, the Ni coarsening rate is independent of the electrode polarization. The evolution of TPBls in operation has been fitted by a phenomenological law implemented in an electrochemical model. Simulations have shown that microstructural changes in the H2 electrode explain </w:instrText>
      </w:r>
      <w:r w:rsidR="00D80A5D">
        <w:rPr>
          <w:rFonts w:ascii="Cambria Math" w:hAnsi="Cambria Math" w:cs="Cambria Math"/>
        </w:rPr>
        <w:instrText>∼</w:instrText>
      </w:r>
      <w:r w:rsidR="00D80A5D">
        <w:instrText xml:space="preserve">30% of the total degradation in fuel cell mode and </w:instrText>
      </w:r>
      <w:r w:rsidR="00D80A5D">
        <w:rPr>
          <w:rFonts w:ascii="Cambria Math" w:hAnsi="Cambria Math" w:cs="Cambria Math"/>
        </w:rPr>
        <w:instrText>∼</w:instrText>
      </w:r>
      <w:r w:rsidR="00D80A5D">
        <w:instrText xml:space="preserve">25% in electrolysis mode at 850 </w:instrText>
      </w:r>
      <w:r w:rsidR="00D80A5D">
        <w:rPr>
          <w:rFonts w:ascii="Calibri" w:hAnsi="Calibri" w:cs="Calibri"/>
        </w:rPr>
        <w:instrText>°</w:instrText>
      </w:r>
      <w:r w:rsidR="00D80A5D">
        <w:instrText>C after 1000</w:instrText>
      </w:r>
      <w:r w:rsidR="00D80A5D">
        <w:rPr>
          <w:rFonts w:ascii="Calibri" w:hAnsi="Calibri" w:cs="Calibri"/>
        </w:rPr>
        <w:instrText>–</w:instrText>
      </w:r>
      <w:r w:rsidR="00D80A5D">
        <w:instrText>2000 h. Moreover, it has been highlighted that the temperature at which the degradation is estimated after the durability experiment plays a major role on the result.","author":[{"dropping-particle":"","family":"Hubert","given":"M.","non-dropping-particle":"","parse-names":false,"suffix":""},{"dropping-particle":"","family":"Laurencin","given":"J.","non-dropping-particle":"","parse-names":false,"suffix":""},{"dropping-particle":"","family":"Cloetens","given":"P.","non-dropping-particle":"","parse-names":false,"suffix":""},{"dropping-particle":"","family":"Morel","given":"B.","non-dropping-particle":"","parse-names":false,"suffix":""},{"dropping-particle":"","family":"Montinaro","given":"D.","non-dropping-particle":"","parse-names":false,"suffix":""},{"dropping-particle":"","family":"Lefebvre-Joud","given":"F.","non-dropping-particle":"","parse-names":false,"suffix":""}],"container-title":"Journal of Power Sources","id":"ITEM-3","issue":"June","issued":{"date-parts":[["2018"]]},"page":"240-251","publisher":"Elsevier","title":"Impact of Nickel agglomeration on Solid Oxide Cell operated in fuel cell and electrolysis modes","type":"article-journal","volume":"397"},"uris":["http://www.mendeley.com/documents/?uuid=df9379ab-1fe2-4aa4-a88f-a4b0b92a7dd1"]}],"mendeley":{"formattedCitation":"[262], [282], [283]","plainTextFormattedCitation":"[262], [282], [283]","previouslyFormattedCitation":"[262], [282], [283]"},"properties":{"noteIndex":0},"schema":"https://github.com/citation-style-language/schema/raw/master/csl-citation.json"}</w:instrText>
      </w:r>
      <w:r>
        <w:fldChar w:fldCharType="separate"/>
      </w:r>
      <w:r w:rsidR="006C586A" w:rsidRPr="006C586A">
        <w:rPr>
          <w:noProof/>
        </w:rPr>
        <w:t>[262], [282], [283]</w:t>
      </w:r>
      <w:r>
        <w:fldChar w:fldCharType="end"/>
      </w:r>
      <w:r>
        <w:t>.</w:t>
      </w:r>
    </w:p>
    <w:p w14:paraId="523857CD" w14:textId="0A7166D8" w:rsidR="00007F6C" w:rsidRDefault="00007F6C" w:rsidP="004B726A">
      <w:pPr>
        <w:jc w:val="both"/>
      </w:pPr>
      <w:r>
        <w:t>The simple sample preparation and high brilliance of the X-ray utilised in this technique means that more representative volumes than X</w:t>
      </w:r>
      <w:r w:rsidR="00956300">
        <w:t>C</w:t>
      </w:r>
      <w:r>
        <w:t xml:space="preserve">T (volumes exceeding 10 </w:t>
      </w:r>
      <w:r>
        <w:rPr>
          <w:rFonts w:cstheme="minorHAnsi"/>
        </w:rPr>
        <w:t>µ</w:t>
      </w:r>
      <w:r>
        <w:t xml:space="preserve">m x 10 </w:t>
      </w:r>
      <w:r>
        <w:rPr>
          <w:rFonts w:cstheme="minorHAnsi"/>
        </w:rPr>
        <w:t>µ</w:t>
      </w:r>
      <w:r>
        <w:t xml:space="preserve">m x 10 </w:t>
      </w:r>
      <w:r>
        <w:rPr>
          <w:rFonts w:cstheme="minorHAnsi"/>
        </w:rPr>
        <w:t>µ</w:t>
      </w:r>
      <w:r>
        <w:t xml:space="preserve">m) can be segmented providing more information about mechanisms such as sintering and void formation during the REDOX cycle </w:t>
      </w:r>
      <w:r>
        <w:fldChar w:fldCharType="begin" w:fldLock="1"/>
      </w:r>
      <w:r w:rsidR="00D80A5D">
        <w:instrText>ADDIN CSL_CITATION {"citationItems":[{"id":"ITEM-1","itemData":{"DOI":"10.1016/j.jpowsour.2017.06.035","ISSN":"03787753","abstract":"For solid oxide fuel and electrolysis cells, precise tracking of 3D microstructural change in the electrodes during operation is considered critical to understand the complex relationship between electrode microstructure and performance. Here, for the first time, we report a significant step towards this aim by visualizing a complete redox cycle in a solid oxide cell (SOC) electrode. The experiment demonstrates synchrotron-based ptychography as a method of imaging SOC electrodes, providing an unprecedented combination of 3D image quality and spatial resolution among non-destructive imaging techniques. Spatially registered 3D reconstructions of the same location in the electrode clearly show the evolution of the microstructure from the pristine state to the oxidized state and to the reduced state. A complete mechanical destruction of the zirconia backbone is observed via grain boundary fracture, the nickel and pore networks undergo major reorganization and the formation of internal voids is observed in the nickel-oxide particles after the oxidation. These observations are discussed in terms of reaction kinetics, electrode mechanical stress and the consequences of redox cycling on electrode performance.","author":[{"dropping-particle":"","family":"Angelis","given":"Salvatore","non-dropping-particle":"De","parse-names":false,"suffix":""},{"dropping-particle":"","family":"Jørgensen","given":"Peter Stanley","non-dropping-particle":"","parse-names":false,"suffix":""},{"dropping-particle":"","family":"Esposito","given":"Vincenzo","non-dropping-particle":"","parse-names":false,"suffix":""},{"dropping-particle":"","family":"Tsai","given":"Esther Hsiao Rho","non-dropping-particle":"","parse-names":false,"suffix":""},{"dropping-particle":"","family":"Holler","given":"Mirko","non-dropping-particle":"","parse-names":false,"suffix":""},{"dropping-particle":"","family":"Kreka","given":"Kosova","non-dropping-particle":"","parse-names":false,"suffix":""},{"dropping-particle":"","family":"Abdellahi","given":"Ebtisam","non-dropping-particle":"","parse-names":false,"suffix":""},{"dropping-particle":"","family":"Bowen","given":"Jacob R.","non-dropping-particle":"","parse-names":false,"suffix":""}],"container-title":"Journal of Power Sources","id":"ITEM-1","issued":{"date-parts":[["2017"]]},"page":"520-527","publisher":"Elsevier B.V","title":"Ex-situ tracking solid oxide cell electrode microstructural evolution in a redox cycle by high resolution ptychographic nanotomography","type":"article-journal","volume":"360"},"uris":["http://www.mendeley.com/documents/?uuid=c4caa851-6102-44b3-813e-bb7f2053a7e9"]}],"mendeley":{"formattedCitation":"[284]","plainTextFormattedCitation":"[284]","previouslyFormattedCitation":"[284]"},"properties":{"noteIndex":0},"schema":"https://github.com/citation-style-language/schema/raw/master/csl-citation.json"}</w:instrText>
      </w:r>
      <w:r>
        <w:fldChar w:fldCharType="separate"/>
      </w:r>
      <w:r w:rsidR="006C586A" w:rsidRPr="006C586A">
        <w:rPr>
          <w:noProof/>
        </w:rPr>
        <w:t>[284]</w:t>
      </w:r>
      <w:r>
        <w:fldChar w:fldCharType="end"/>
      </w:r>
      <w:r>
        <w:t>.</w:t>
      </w:r>
    </w:p>
    <w:p w14:paraId="568D3122" w14:textId="10CBECC0" w:rsidR="00007F6C" w:rsidRDefault="00007F6C" w:rsidP="004B726A">
      <w:pPr>
        <w:jc w:val="both"/>
      </w:pPr>
      <w:r>
        <w:t>The challenge with SOFC fuel electrode compositions such as Ni-YSZ have very high X-ray attenuation coefficients. For adequate transmission through the ceramic phase the beam energies required can range between 16-30</w:t>
      </w:r>
      <w:r w:rsidR="00BB29A6">
        <w:t xml:space="preserve"> </w:t>
      </w:r>
      <w:r>
        <w:t xml:space="preserve">keV, which are only achievable using X-ray radiation from synchrotrons. As the </w:t>
      </w:r>
      <w:r w:rsidRPr="00C51086">
        <w:t xml:space="preserve">sample thickness increases the beam energy must increase; which was epitomised in the work done </w:t>
      </w:r>
      <w:r w:rsidRPr="00C51086">
        <w:rPr>
          <w:i/>
          <w:iCs/>
        </w:rPr>
        <w:t xml:space="preserve">Villanova et al. </w:t>
      </w:r>
      <w:r w:rsidRPr="00C51086">
        <w:t>in 2013</w:t>
      </w:r>
      <w:r>
        <w:t xml:space="preserve"> </w:t>
      </w:r>
      <w:r w:rsidRPr="00C51086">
        <w:fldChar w:fldCharType="begin" w:fldLock="1"/>
      </w:r>
      <w:r w:rsidR="00D80A5D">
        <w:instrText>ADDIN CSL_CITATION {"citationItems":[{"id":"ITEM-1","itemData":{"DOI":"10.1016/j.jpowsour.2013.06.069","ISSN":"03787753","abstract":"SOFC electrochemical performances are strongly dependent on the micro and nanostructure of the electrodes. 3D image analysis is an essential tool to characterise these microstructures. However, the studied volumes have to be sufficiently large to be representative of the heterogenous medium. In this study, quantitative phase contrast X-ray nano-holotomography is performed on large volumes of SOFC anode consisting by a Ni/YSZ cermet. Both the electrode functional layer and the current collector of anode supported cell are characterised in 3D. The setup and data processing adaptation needed for such an absorbing materials are described. The X-ray nano-holotomography was performed with an isotropic voxel size of 25 × 25 × 25 nm3 and a field of view of about 50 μm. This technique is non-destructive and was used in local tomography mode. After filtering and thresholding, the segmentation of the 3D reconstructions allows precisely separating the network of each phase of the electrode (metallic, ceramic and porosity), giving representative features of the microstructure. © 2013 Elsevier B.V. All rights reserved.","author":[{"dropping-particle":"","family":"Julie","given":"Villanova","non-dropping-particle":"","parse-names":false,"suffix":""},{"dropping-particle":"","family":"Jérôme","given":"Laurencin","non-dropping-particle":"","parse-names":false,"suffix":""},{"dropping-particle":"","family":"Peter","given":"Cloetens","non-dropping-particle":"","parse-names":false,"suffix":""},{"dropping-particle":"","family":"Pierre","given":"Bleuet","non-dropping-particle":"","parse-names":false,"suffix":""},{"dropping-particle":"","family":"Gérard","given":"Delette","non-dropping-particle":"","parse-names":false,"suffix":""},{"dropping-particle":"","family":"Heikki","given":"Suhonen","non-dropping-particle":"","parse-names":false,"suffix":""},{"dropping-particle":"","family":"François","given":"Usseglio Viretta","non-dropping-particle":"","parse-names":false,"suffix":""}],"container-title":"Journal of Power Sources","id":"ITEM-1","issued":{"date-parts":[["2013"]]},"page":"841-849","publisher":"Elsevier B.V","title":"3D phase mapping of solid oxide fuel cell YSZ/Ni cermet at the nanoscale by holographic X-ray nanotomography","type":"article-journal","volume":"243"},"uris":["http://www.mendeley.com/documents/?uuid=ef81f0f0-f7c6-4496-9196-8a577cb4d86e"]}],"mendeley":{"formattedCitation":"[262]","plainTextFormattedCitation":"[262]","previouslyFormattedCitation":"[262]"},"properties":{"noteIndex":0},"schema":"https://github.com/citation-style-language/schema/raw/master/csl-citation.json"}</w:instrText>
      </w:r>
      <w:r w:rsidRPr="00C51086">
        <w:fldChar w:fldCharType="separate"/>
      </w:r>
      <w:r w:rsidR="006C586A" w:rsidRPr="006C586A">
        <w:rPr>
          <w:noProof/>
        </w:rPr>
        <w:t>[262]</w:t>
      </w:r>
      <w:r w:rsidRPr="00C51086">
        <w:fldChar w:fldCharType="end"/>
      </w:r>
      <w:r w:rsidRPr="00C51086">
        <w:t>.</w:t>
      </w:r>
    </w:p>
    <w:p w14:paraId="01A2C125" w14:textId="3371F501" w:rsidR="00007F6C" w:rsidRDefault="00007F6C" w:rsidP="004B726A">
      <w:pPr>
        <w:jc w:val="both"/>
        <w:rPr>
          <w:rFonts w:cs="Arial"/>
        </w:rPr>
      </w:pPr>
      <w:r>
        <w:lastRenderedPageBreak/>
        <w:t>Although described as a non-destructive technique, d</w:t>
      </w:r>
      <w:r>
        <w:rPr>
          <w:rFonts w:cs="Arial"/>
        </w:rPr>
        <w:t xml:space="preserve">ue to the minimum requirement of at least 50% X-ray transmission, the sample diameter must be reduced to at least 100 </w:t>
      </w:r>
      <w:r>
        <w:rPr>
          <w:rFonts w:cstheme="minorHAnsi"/>
        </w:rPr>
        <w:t>µ</w:t>
      </w:r>
      <w:r>
        <w:rPr>
          <w:rFonts w:cs="Arial"/>
        </w:rPr>
        <w:t xml:space="preserve">m but ideally around 15 </w:t>
      </w:r>
      <w:r>
        <w:rPr>
          <w:rFonts w:cstheme="minorHAnsi"/>
        </w:rPr>
        <w:t>µ</w:t>
      </w:r>
      <w:r>
        <w:rPr>
          <w:rFonts w:cs="Arial"/>
        </w:rPr>
        <w:t xml:space="preserve">m. This also concurrently reduces scan time. Although unclear in some SOFC work; Ni-YSZ ptychography samples are usually milled to thickness using FIB-SEM, which is inherently destructive </w:t>
      </w:r>
      <w:r>
        <w:rPr>
          <w:rFonts w:cs="Arial"/>
        </w:rPr>
        <w:fldChar w:fldCharType="begin" w:fldLock="1"/>
      </w:r>
      <w:r w:rsidR="00D80A5D">
        <w:rPr>
          <w:rFonts w:cs="Arial"/>
        </w:rPr>
        <w:instrText xml:space="preserve">ADDIN CSL_CITATION {"citationItems":[{"id":"ITEM-1","itemData":{"DOI":"10.1016/j.jpowsour.2013.06.069","ISSN":"03787753","abstract":"SOFC electrochemical performances are strongly dependent on the micro and nanostructure of the electrodes. 3D image analysis is an essential tool to characterise these microstructures. However, the studied volumes have to be sufficiently large to be representative of the heterogenous medium. In this study, quantitative phase contrast X-ray nano-holotomography is performed on large volumes of SOFC anode consisting by a Ni/YSZ cermet. Both the electrode functional layer and the current collector of anode supported cell are characterised in 3D. The setup and data processing adaptation needed for such an absorbing materials are described. The X-ray nano-holotomography was performed with an isotropic voxel size of 25 × 25 × 25 nm3 and a field of view of about 50 μm. This technique is non-destructive and was used in local tomography mode. After filtering and thresholding, the segmentation of the 3D reconstructions allows precisely separating the network of each phase of the electrode (metallic, ceramic and porosity), giving representative features of the microstructure. © 2013 Elsevier B.V. All rights reserved.","author":[{"dropping-particle":"","family":"Julie","given":"Villanova","non-dropping-particle":"","parse-names":false,"suffix":""},{"dropping-particle":"","family":"Jérôme","given":"Laurencin","non-dropping-particle":"","parse-names":false,"suffix":""},{"dropping-particle":"","family":"Peter","given":"Cloetens","non-dropping-particle":"","parse-names":false,"suffix":""},{"dropping-particle":"","family":"Pierre","given":"Bleuet","non-dropping-particle":"","parse-names":false,"suffix":""},{"dropping-particle":"","family":"Gérard","given":"Delette","non-dropping-particle":"","parse-names":false,"suffix":""},{"dropping-particle":"","family":"Heikki","given":"Suhonen","non-dropping-particle":"","parse-names":false,"suffix":""},{"dropping-particle":"","family":"François","given":"Usseglio Viretta","non-dropping-particle":"","parse-names":false,"suffix":""}],"container-title":"Journal of Power Sources","id":"ITEM-1","issued":{"date-parts":[["2013"]]},"page":"841-849","publisher":"Elsevier B.V","title":"3D phase mapping of solid oxide fuel cell YSZ/Ni cermet at the nanoscale by holographic X-ray nanotomography","type":"article-journal","volume":"243"},"uris":["http://www.mendeley.com/documents/?uuid=ef81f0f0-f7c6-4496-9196-8a577cb4d86e"]},{"id":"ITEM-2","itemData":{"DOI":"10.1364/oe.23.012720","ISSN":"1094-4087","abstract":"Propagation-based imaging or inline holography in combination with computed tomography (holotomography) is a versatile tool to access a sample&amp;#x02019;s three-dimensional (3D) micro or nano structure. However, the phase retrieval step needed prior to tomographic reconstruction can be challenging especially for strongly absorbing and refracting samples. Near-field ptychography is a recently developed phase imaging method that has been proven to overcome this hurdle in projection data. In this work we extend near-field ptychography to three dimensions and we show that, in combination with tomography, it can access the nano structure of a solid oxide fuel cell (SOFC). The quality of the resulting tomographic data and the structural properties of the anode extracted from this volume were compared to previous results obtained with holotomography. This work highlights the potential of 3D near-field ptychography for reliable and detailed investigations of samples at the nanometer scale, with important applications in materials and life sciences among others.","author":[{"dropping-particle":"","family":"Stockmar","given":"Marco","non-dropping-particle":"","parse-names":false,"suffix":""},{"dropping-particle":"","family":"Hubert","given":"Maxime","non-dropping-particle":"","parse-names":false,"suffix":""},{"dropping-particle":"","family":"Dierolf","given":"Martin","non-dropping-particle":"","parse-names":false,"suffix":""},{"dropping-particle":"","family":"Enders","given":"Bjoern","non-dropping-particle":"","parse-names":false,"suffix":""},{"dropping-particle":"","family":"Clare","given":"Richard","non-dropping-particle":"","parse-names":false,"suffix":""},{"dropping-particle":"","family":"Allner","given":"Sebastian","non-dropping-particle":"","parse-names":false,"suffix":""},{"dropping-particle":"","family":"Fehringer","given":"Andreas","non-dropping-particle":"","parse-names":false,"suffix":""},{"dropping-particle":"","family":"Zanette","given":"Irene","non-dropping-particle":"","parse-names":false,"suffix":""},{"dropping-particle":"","family":"Villanova","given":"Julie","non-dropping-particle":"","parse-names":false,"suffix":""},{"dropping-particle":"","family":"Laurencin","given":"Jérôme","non-dropping-particle":"","parse-names":false,"suffix":""},{"dropping-particle":"","family":"Cloetens","given":"Peter","non-dropping-particle":"","parse-names":false,"suffix":""},{"dropping-particle":"","family":"Pfeiffer","given":"Franz","non-dropping-particle":"","parse-names":false,"suffix":""},{"dropping-particle":"","family":"Thibault","given":"Pierre","non-dropping-particle":"","parse-names":false,"suffix":""}],"container-title":"Optics Express","id":"ITEM-2","issue":"10","issued":{"date-parts":[["2015"]]},"page":"12720","title":"X-ray nanotomography using near-field ptychography","type":"article-journal","volume":"23"},"uris":["http://www.mendeley.com/documents/?uuid=ca97d9df-303a-4b69-9bd2-daebbfc4d824"]},{"id":"ITEM-3","itemData":{"DOI":"10.1016/j.jpowsour.2018.06.097","ISSN":"03787753","abstract":"Long-term experiments have been carried out to investigate the impact of Nickel (Ni) coarsening on the performance of Solid Oxide Cell. Durability tests have been performed with H2 electrode supported cells at 850 °C and 750 °C in fuel cell and electrolysis modes. Microstructural changes in the composite electrode of Nickel and Yttria Stabilized Zirconia (YSZ) have been characterized by synchrotron X-ray nanotomography. Analysis of the reconstructions have revealed that Ni coarsening induces a significant decrease of both the density of Triple Phase Boundary lengths (TPBls) and the Ni/gas specific surface area. However, the contact surface between Ni and YSZ is not changed upon operation, meaning the Ni sintering is inhibited by the YSZ backbone. Moreover, the Ni coarsening rate is independent of the electrode polarization. The evolution of TPBls in operation has been fitted by a phenomenological law implemented in an electrochemical model. Simulations have shown that microstructural changes in the H2 electrode explain </w:instrText>
      </w:r>
      <w:r w:rsidR="00D80A5D">
        <w:rPr>
          <w:rFonts w:ascii="Cambria Math" w:hAnsi="Cambria Math" w:cs="Cambria Math"/>
        </w:rPr>
        <w:instrText>∼</w:instrText>
      </w:r>
      <w:r w:rsidR="00D80A5D">
        <w:rPr>
          <w:rFonts w:cs="Arial"/>
        </w:rPr>
        <w:instrText xml:space="preserve">30% of the total degradation in fuel cell mode and </w:instrText>
      </w:r>
      <w:r w:rsidR="00D80A5D">
        <w:rPr>
          <w:rFonts w:ascii="Cambria Math" w:hAnsi="Cambria Math" w:cs="Cambria Math"/>
        </w:rPr>
        <w:instrText>∼</w:instrText>
      </w:r>
      <w:r w:rsidR="00D80A5D">
        <w:rPr>
          <w:rFonts w:cs="Arial"/>
        </w:rPr>
        <w:instrText xml:space="preserve">25% in electrolysis mode at 850 </w:instrText>
      </w:r>
      <w:r w:rsidR="00D80A5D">
        <w:rPr>
          <w:rFonts w:ascii="Calibri" w:hAnsi="Calibri" w:cs="Calibri"/>
        </w:rPr>
        <w:instrText>°</w:instrText>
      </w:r>
      <w:r w:rsidR="00D80A5D">
        <w:rPr>
          <w:rFonts w:cs="Arial"/>
        </w:rPr>
        <w:instrText>C after 1000</w:instrText>
      </w:r>
      <w:r w:rsidR="00D80A5D">
        <w:rPr>
          <w:rFonts w:ascii="Calibri" w:hAnsi="Calibri" w:cs="Calibri"/>
        </w:rPr>
        <w:instrText>–</w:instrText>
      </w:r>
      <w:r w:rsidR="00D80A5D">
        <w:rPr>
          <w:rFonts w:cs="Arial"/>
        </w:rPr>
        <w:instrText>2000 h. Moreover, it has been highlighted that the temperature at which the degradation is estimated after the durability experiment plays a major role on the result.","author":[{"dropping-particle":"","family":"Hubert","given":"M.","non-dropping-particle":"","parse-names":false,"suffix":""},{"dropping-particle":"","family":"Laurencin","given":"J.","non-dropping-particle":"","parse-names":false,"suffix":""},{"dropping-particle":"","family":"Cloetens","given":"P.","non-dropping-particle":"","parse-names":false,"suffix":""},{"dropping-particle":"","family":"Morel","given":"B.","non-dropping-particle":"","parse-names":false,"suffix":""},{"dropping-particle":"","family":"Montinaro","given":"D.","non-dropping-particle":"","parse-names":false,"suffix":""},{"dropping-particle":"","family":"Lefebvre-Joud","given":"F.","non-dropping-particle":"","parse-names":false,"suffix":""}],"container-title":"Journal of Power Sources","id":"ITEM-3","issue":"June","issued":{"date-parts":[["2018"]]},"page":"240-251","publisher":"Elsevier","title":"Impact of Nickel agglomeration on Solid Oxide Cell operated in fuel cell and electrolysis modes","type":"article-journal","volume":"397"},"uris":["http://www.mendeley.com/documents/?uuid=df9379ab-1fe2-4aa4-a88f-a4b0b92a7dd1"]}],"mendeley":{"formattedCitation":"[262], [282], [283]","plainTextFormattedCitation":"[262], [282], [283]","previouslyFormattedCitation":"[262], [282], [283]"},"properties":{"noteIndex":0},"schema":"https://github.com/citation-style-language/schema/raw/master/csl-citation.json"}</w:instrText>
      </w:r>
      <w:r>
        <w:rPr>
          <w:rFonts w:cs="Arial"/>
        </w:rPr>
        <w:fldChar w:fldCharType="separate"/>
      </w:r>
      <w:r w:rsidR="006C586A" w:rsidRPr="006C586A">
        <w:rPr>
          <w:rFonts w:cs="Arial"/>
          <w:noProof/>
        </w:rPr>
        <w:t>[262], [282], [283]</w:t>
      </w:r>
      <w:r>
        <w:rPr>
          <w:rFonts w:cs="Arial"/>
        </w:rPr>
        <w:fldChar w:fldCharType="end"/>
      </w:r>
      <w:r>
        <w:rPr>
          <w:rFonts w:cs="Arial"/>
        </w:rPr>
        <w:t>.</w:t>
      </w:r>
    </w:p>
    <w:p w14:paraId="5BD8491C" w14:textId="77777777" w:rsidR="00007F6C" w:rsidRDefault="00007F6C" w:rsidP="004B726A">
      <w:pPr>
        <w:jc w:val="both"/>
        <w:rPr>
          <w:rFonts w:cs="Arial"/>
        </w:rPr>
      </w:pPr>
      <w:r>
        <w:rPr>
          <w:rFonts w:cs="Arial"/>
        </w:rPr>
        <w:t>However, due to its high resolution, ptychography is uniquely equipped to characterise the initial coarsening stages in wet-impregnated fuel electrodes. As the sub 10 nm nickel particle sinter and coarsen their particle growth past 30nm and phase volume percent changes can be tracked using this technique.</w:t>
      </w:r>
    </w:p>
    <w:p w14:paraId="13799882" w14:textId="77777777" w:rsidR="00007F6C" w:rsidRPr="002B6C9E" w:rsidRDefault="00007F6C" w:rsidP="005129DC">
      <w:pPr>
        <w:pStyle w:val="Heading3"/>
      </w:pPr>
      <w:bookmarkStart w:id="139" w:name="_Toc69129372"/>
      <w:r>
        <w:t>2.4.3</w:t>
      </w:r>
      <w:r>
        <w:tab/>
      </w:r>
      <w:r w:rsidRPr="002B6C9E">
        <w:t xml:space="preserve">Electrochemical </w:t>
      </w:r>
      <w:bookmarkEnd w:id="134"/>
      <w:r>
        <w:t>Testing</w:t>
      </w:r>
      <w:bookmarkEnd w:id="139"/>
    </w:p>
    <w:p w14:paraId="3ADC704B" w14:textId="77777777" w:rsidR="00007F6C" w:rsidRPr="00CF26F9" w:rsidRDefault="00007F6C" w:rsidP="005129DC">
      <w:pPr>
        <w:pStyle w:val="TOC2"/>
      </w:pPr>
      <w:r w:rsidRPr="002B6C9E">
        <w:t xml:space="preserve">This section discusses the </w:t>
      </w:r>
      <w:r w:rsidRPr="00700E4A">
        <w:t>tests used on a material</w:t>
      </w:r>
      <w:r>
        <w:t xml:space="preserve"> to determine its effectiveness in terms of electrochemical cycling and functional properties.</w:t>
      </w:r>
    </w:p>
    <w:p w14:paraId="35CCC882" w14:textId="77777777" w:rsidR="00007F6C" w:rsidRPr="002B6C9E" w:rsidRDefault="00007F6C" w:rsidP="005129DC">
      <w:pPr>
        <w:pStyle w:val="Heading4"/>
      </w:pPr>
      <w:bookmarkStart w:id="140" w:name="_Toc474489937"/>
      <w:r>
        <w:t>2.4.3</w:t>
      </w:r>
      <w:r w:rsidRPr="002B6C9E">
        <w:t>.1 Electrochemical Impedance Spectroscopy</w:t>
      </w:r>
      <w:bookmarkEnd w:id="140"/>
    </w:p>
    <w:p w14:paraId="0C350636" w14:textId="6EF7AB8C" w:rsidR="00007F6C" w:rsidRDefault="00007F6C" w:rsidP="005129DC">
      <w:pPr>
        <w:jc w:val="both"/>
      </w:pPr>
      <w:r>
        <w:t xml:space="preserve">This form of characterisation has been successfully utilised by a large proportion of the literature mainly to derive the polarisation resistance of the sample. </w:t>
      </w:r>
      <w:r>
        <w:rPr>
          <w:i/>
          <w:iCs/>
        </w:rPr>
        <w:t xml:space="preserve">Hagen </w:t>
      </w:r>
      <w:r>
        <w:t>successfully demonstrated that the cell voltage stability decreased as a result of decreased temperatures and increased current lo</w:t>
      </w:r>
      <w:r w:rsidRPr="001C6DAE">
        <w:t>ad (</w:t>
      </w:r>
      <w:r w:rsidRPr="001C6DAE">
        <w:fldChar w:fldCharType="begin"/>
      </w:r>
      <w:r w:rsidRPr="001C6DAE">
        <w:instrText xml:space="preserve"> REF _Ref51675440 \h </w:instrText>
      </w:r>
      <w:r>
        <w:instrText xml:space="preserve"> \* MERGEFORMAT </w:instrText>
      </w:r>
      <w:r w:rsidRPr="001C6DAE">
        <w:fldChar w:fldCharType="separate"/>
      </w:r>
      <w:r w:rsidR="0069370F" w:rsidRPr="0069370F">
        <w:t>Figure 2.23</w:t>
      </w:r>
      <w:r w:rsidRPr="001C6DAE">
        <w:fldChar w:fldCharType="end"/>
      </w:r>
      <w:r w:rsidRPr="001C6DAE">
        <w:t xml:space="preserve">) </w:t>
      </w:r>
      <w:r w:rsidRPr="001C6DAE">
        <w:fldChar w:fldCharType="begin" w:fldLock="1"/>
      </w:r>
      <w:r w:rsidR="00D80A5D">
        <w:instrText>ADDIN CSL_CITATION {"citationItems":[{"id":"ITEM-1","itemData":{"DOI":"10.1149/1.2193400","ISBN":"0013-4651","ISSN":"00134651","abstract":"The degradation behavior of anode supported solid oxide fuel cells ͑SOFCs͒ was investigated as a function of operating tempera-ture and current density. Degradation rates were defined and shown to be mainly dependent on the cell polarization. The combi-nation of a detailed evaluation of electrochemical properties by impedance spectroscopy, in particular, and post-test microscopy revealed that cathode degradation was the dominant contribution to degradation at higher current densities and lower temperatures. The anode was found to contribute more to degradation at higher temperatures. Generally, the degradation rates obtained were lower at higher operating temperatures, even at higher current densities. A degradation rate as low as 2%/1000 h was observed at 1.7 A/cm 2 and 950°C over an operating period of 1500 h. Long-term stability is an important requirement for the applica-tion of fuel cell technology. The total degradation of the cell perfor-mance while operating under constant conditions is the sum of con-tributions from all constituents of the test assembly ͓anode, cathode, electrolyte of the solid oxide fuel cell ͑SOFC͒, their interfaces, and perhaps also auxiliary components 1,2","author":[{"dropping-particle":"","family":"Barfod","given":"Rasmus","non-dropping-particle":"","parse-names":false,"suffix":""},{"dropping-particle":"","family":"Hagen","given":"Anke","non-dropping-particle":"","parse-names":false,"suffix":""},{"dropping-particle":"","family":"Ramousse","given":"Severine","non-dropping-particle":"","parse-names":false,"suffix":""},{"dropping-particle":"","family":"Hendriksen","given":"Peter Vang","non-dropping-particle":"","parse-names":false,"suffix":""},{"dropping-particle":"","family":"Liu","given":"Yi-Lin","non-dropping-particle":"","parse-names":false,"suffix":""}],"container-title":"Journal of The Electrochemical Society","id":"ITEM-1","issue":"6","issued":{"date-parts":[["2007"]]},"page":"A1165","title":"Degradation of Anode Supported SOFCs as a Function of Temperature and Current Load","type":"article-journal","volume":"153"},"uris":["http://www.mendeley.com/documents/?uuid=32c76044-f4c8-4507-8574-f44636b27cf7"]}],"mendeley":{"formattedCitation":"[253]","plainTextFormattedCitation":"[253]","previouslyFormattedCitation":"[253]"},"properties":{"noteIndex":0},"schema":"https://github.com/citation-style-language/schema/raw/master/csl-citation.json"}</w:instrText>
      </w:r>
      <w:r w:rsidRPr="001C6DAE">
        <w:fldChar w:fldCharType="separate"/>
      </w:r>
      <w:r w:rsidR="006C586A" w:rsidRPr="006C586A">
        <w:rPr>
          <w:noProof/>
        </w:rPr>
        <w:t>[253]</w:t>
      </w:r>
      <w:r w:rsidRPr="001C6DAE">
        <w:fldChar w:fldCharType="end"/>
      </w:r>
      <w:r w:rsidRPr="001C6DAE">
        <w:t>.</w:t>
      </w:r>
      <w:r>
        <w:t xml:space="preserve"> </w:t>
      </w:r>
    </w:p>
    <w:p w14:paraId="693BF711" w14:textId="77777777" w:rsidR="00007F6C" w:rsidRDefault="00007F6C" w:rsidP="005129DC">
      <w:pPr>
        <w:keepNext/>
        <w:jc w:val="center"/>
      </w:pPr>
      <w:r>
        <w:rPr>
          <w:noProof/>
          <w:lang w:eastAsia="en-GB"/>
        </w:rPr>
        <w:drawing>
          <wp:inline distT="0" distB="0" distL="0" distR="0" wp14:anchorId="609F69E7" wp14:editId="5EAE9D21">
            <wp:extent cx="2814840" cy="344291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srcRect l="17620" t="19740" r="49364" b="8467"/>
                    <a:stretch/>
                  </pic:blipFill>
                  <pic:spPr bwMode="auto">
                    <a:xfrm>
                      <a:off x="0" y="0"/>
                      <a:ext cx="2838784" cy="3472202"/>
                    </a:xfrm>
                    <a:prstGeom prst="rect">
                      <a:avLst/>
                    </a:prstGeom>
                    <a:ln>
                      <a:noFill/>
                    </a:ln>
                    <a:extLst>
                      <a:ext uri="{53640926-AAD7-44D8-BBD7-CCE9431645EC}">
                        <a14:shadowObscured xmlns:a14="http://schemas.microsoft.com/office/drawing/2010/main"/>
                      </a:ext>
                    </a:extLst>
                  </pic:spPr>
                </pic:pic>
              </a:graphicData>
            </a:graphic>
          </wp:inline>
        </w:drawing>
      </w:r>
    </w:p>
    <w:p w14:paraId="3C8242E2" w14:textId="78D3338A" w:rsidR="00007F6C" w:rsidRPr="00582C49" w:rsidRDefault="00007F6C" w:rsidP="005129DC">
      <w:pPr>
        <w:jc w:val="center"/>
        <w:rPr>
          <w:i/>
          <w:iCs/>
          <w:color w:val="44546A" w:themeColor="text2"/>
          <w:sz w:val="18"/>
          <w:szCs w:val="18"/>
        </w:rPr>
      </w:pPr>
      <w:bookmarkStart w:id="141" w:name="_Ref51675440"/>
      <w:bookmarkStart w:id="142" w:name="_Toc69114935"/>
      <w:r w:rsidRPr="00582C49">
        <w:rPr>
          <w:i/>
          <w:iCs/>
          <w:color w:val="44546A" w:themeColor="text2"/>
          <w:sz w:val="18"/>
          <w:szCs w:val="18"/>
        </w:rPr>
        <w:t xml:space="preserve">Figure </w:t>
      </w:r>
      <w:r>
        <w:rPr>
          <w:i/>
          <w:iCs/>
          <w:color w:val="44546A" w:themeColor="text2"/>
          <w:sz w:val="18"/>
          <w:szCs w:val="18"/>
        </w:rPr>
        <w:t>2.</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69370F">
        <w:rPr>
          <w:i/>
          <w:iCs/>
          <w:noProof/>
          <w:color w:val="44546A" w:themeColor="text2"/>
          <w:sz w:val="18"/>
          <w:szCs w:val="18"/>
        </w:rPr>
        <w:t>23</w:t>
      </w:r>
      <w:r w:rsidR="00285C23">
        <w:rPr>
          <w:i/>
          <w:iCs/>
          <w:color w:val="44546A" w:themeColor="text2"/>
          <w:sz w:val="18"/>
          <w:szCs w:val="18"/>
        </w:rPr>
        <w:fldChar w:fldCharType="end"/>
      </w:r>
      <w:bookmarkEnd w:id="141"/>
      <w:r w:rsidRPr="00582C49">
        <w:rPr>
          <w:i/>
          <w:iCs/>
          <w:color w:val="44546A" w:themeColor="text2"/>
          <w:sz w:val="18"/>
          <w:szCs w:val="18"/>
        </w:rPr>
        <w:t>: Impedance Spectra of anode supported SOFCs tested for 1500</w:t>
      </w:r>
      <w:r w:rsidR="0069370F">
        <w:rPr>
          <w:i/>
          <w:iCs/>
          <w:color w:val="44546A" w:themeColor="text2"/>
          <w:sz w:val="18"/>
          <w:szCs w:val="18"/>
        </w:rPr>
        <w:t xml:space="preserve"> </w:t>
      </w:r>
      <w:r w:rsidRPr="00582C49">
        <w:rPr>
          <w:i/>
          <w:iCs/>
          <w:color w:val="44546A" w:themeColor="text2"/>
          <w:sz w:val="18"/>
          <w:szCs w:val="18"/>
        </w:rPr>
        <w:t>h at 750 and 850</w:t>
      </w:r>
      <w:r w:rsidR="0069370F">
        <w:rPr>
          <w:i/>
          <w:iCs/>
          <w:color w:val="44546A" w:themeColor="text2"/>
          <w:sz w:val="18"/>
          <w:szCs w:val="18"/>
        </w:rPr>
        <w:t xml:space="preserve"> </w:t>
      </w:r>
      <w:r w:rsidRPr="00582C49">
        <w:rPr>
          <w:i/>
          <w:iCs/>
          <w:color w:val="44546A" w:themeColor="text2"/>
          <w:sz w:val="18"/>
          <w:szCs w:val="18"/>
        </w:rPr>
        <w:t>°C under a load current of 0.75</w:t>
      </w:r>
      <w:r w:rsidR="0069370F" w:rsidRPr="0069370F">
        <w:rPr>
          <w:i/>
          <w:iCs/>
          <w:color w:val="44546A" w:themeColor="text2"/>
          <w:sz w:val="18"/>
          <w:szCs w:val="18"/>
        </w:rPr>
        <w:t xml:space="preserve"> </w:t>
      </w:r>
      <w:r w:rsidR="0069370F" w:rsidRPr="00582C49">
        <w:rPr>
          <w:i/>
          <w:iCs/>
          <w:color w:val="44546A" w:themeColor="text2"/>
          <w:sz w:val="18"/>
          <w:szCs w:val="18"/>
        </w:rPr>
        <w:t>Ac</w:t>
      </w:r>
      <w:r w:rsidR="0069370F">
        <w:rPr>
          <w:i/>
          <w:iCs/>
          <w:color w:val="44546A" w:themeColor="text2"/>
          <w:sz w:val="18"/>
          <w:szCs w:val="18"/>
        </w:rPr>
        <w:t>m</w:t>
      </w:r>
      <w:r w:rsidR="0069370F">
        <w:rPr>
          <w:i/>
          <w:iCs/>
          <w:color w:val="44546A" w:themeColor="text2"/>
          <w:sz w:val="18"/>
          <w:szCs w:val="18"/>
          <w:vertAlign w:val="superscript"/>
        </w:rPr>
        <w:t>-2</w:t>
      </w:r>
      <w:r w:rsidR="0069370F" w:rsidRPr="00582C49">
        <w:rPr>
          <w:i/>
          <w:iCs/>
          <w:color w:val="44546A" w:themeColor="text2"/>
          <w:sz w:val="18"/>
          <w:szCs w:val="18"/>
          <w:vertAlign w:val="subscript"/>
        </w:rPr>
        <w:t xml:space="preserve"> </w:t>
      </w:r>
      <w:r w:rsidRPr="00582C49">
        <w:rPr>
          <w:i/>
          <w:iCs/>
          <w:color w:val="44546A" w:themeColor="text2"/>
          <w:sz w:val="18"/>
          <w:szCs w:val="18"/>
        </w:rPr>
        <w:t>and 1.75</w:t>
      </w:r>
      <w:r w:rsidR="0069370F">
        <w:rPr>
          <w:i/>
          <w:iCs/>
          <w:color w:val="44546A" w:themeColor="text2"/>
          <w:sz w:val="18"/>
          <w:szCs w:val="18"/>
        </w:rPr>
        <w:t xml:space="preserve"> </w:t>
      </w:r>
      <w:r w:rsidRPr="00582C49">
        <w:rPr>
          <w:i/>
          <w:iCs/>
          <w:color w:val="44546A" w:themeColor="text2"/>
          <w:sz w:val="18"/>
          <w:szCs w:val="18"/>
        </w:rPr>
        <w:t>Ac</w:t>
      </w:r>
      <w:r w:rsidR="0069370F">
        <w:rPr>
          <w:i/>
          <w:iCs/>
          <w:color w:val="44546A" w:themeColor="text2"/>
          <w:sz w:val="18"/>
          <w:szCs w:val="18"/>
        </w:rPr>
        <w:t>m</w:t>
      </w:r>
      <w:r w:rsidR="0069370F">
        <w:rPr>
          <w:i/>
          <w:iCs/>
          <w:color w:val="44546A" w:themeColor="text2"/>
          <w:sz w:val="18"/>
          <w:szCs w:val="18"/>
          <w:vertAlign w:val="superscript"/>
        </w:rPr>
        <w:t>-</w:t>
      </w:r>
      <w:proofErr w:type="gramStart"/>
      <w:r w:rsidR="0069370F">
        <w:rPr>
          <w:i/>
          <w:iCs/>
          <w:color w:val="44546A" w:themeColor="text2"/>
          <w:sz w:val="18"/>
          <w:szCs w:val="18"/>
          <w:vertAlign w:val="superscript"/>
        </w:rPr>
        <w:t>2</w:t>
      </w:r>
      <w:proofErr w:type="gramEnd"/>
      <w:r w:rsidRPr="00582C49">
        <w:rPr>
          <w:i/>
          <w:iCs/>
          <w:color w:val="44546A" w:themeColor="text2"/>
          <w:sz w:val="18"/>
          <w:szCs w:val="18"/>
          <w:vertAlign w:val="subscript"/>
        </w:rPr>
        <w:t xml:space="preserve"> </w:t>
      </w:r>
      <w:r w:rsidRPr="00582C49">
        <w:rPr>
          <w:i/>
          <w:iCs/>
          <w:color w:val="44546A" w:themeColor="text2"/>
          <w:sz w:val="18"/>
          <w:szCs w:val="18"/>
        </w:rPr>
        <w:t xml:space="preserve">respectively. (a) Diamonds – pre-HT, Triangles – post HT. (b) Square – pre-HT, Circles – post HT </w:t>
      </w:r>
      <w:r w:rsidRPr="00582C49">
        <w:rPr>
          <w:i/>
          <w:iCs/>
          <w:color w:val="44546A" w:themeColor="text2"/>
          <w:sz w:val="18"/>
          <w:szCs w:val="18"/>
        </w:rPr>
        <w:fldChar w:fldCharType="begin" w:fldLock="1"/>
      </w:r>
      <w:r w:rsidR="00D80A5D">
        <w:rPr>
          <w:i/>
          <w:iCs/>
          <w:color w:val="44546A" w:themeColor="text2"/>
          <w:sz w:val="18"/>
          <w:szCs w:val="18"/>
        </w:rPr>
        <w:instrText>ADDIN CSL_CITATION {"citationItems":[{"id":"ITEM-1","itemData":{"DOI":"10.1149/1.2193400","ISBN":"0013-4651","ISSN":"00134651","abstract":"The degradation behavior of anode supported solid oxide fuel cells ͑SOFCs͒ was investigated as a function of operating tempera-ture and current density. Degradation rates were defined and shown to be mainly dependent on the cell polarization. The combi-nation of a detailed evaluation of electrochemical properties by impedance spectroscopy, in particular, and post-test microscopy revealed that cathode degradation was the dominant contribution to degradation at higher current densities and lower temperatures. The anode was found to contribute more to degradation at higher temperatures. Generally, the degradation rates obtained were lower at higher operating temperatures, even at higher current densities. A degradation rate as low as 2%/1000 h was observed at 1.7 A/cm 2 and 950°C over an operating period of 1500 h. Long-term stability is an important requirement for the applica-tion of fuel cell technology. The total degradation of the cell perfor-mance while operating under constant conditions is the sum of con-tributions from all constituents of the test assembly ͓anode, cathode, electrolyte of the solid oxide fuel cell ͑SOFC͒, their interfaces, and perhaps also auxiliary components 1,2","author":[{"dropping-particle":"","family":"Barfod","given":"Rasmus","non-dropping-particle":"","parse-names":false,"suffix":""},{"dropping-particle":"","family":"Hagen","given":"Anke","non-dropping-particle":"","parse-names":false,"suffix":""},{"dropping-particle":"","family":"Ramousse","given":"Severine","non-dropping-particle":"","parse-names":false,"suffix":""},{"dropping-particle":"","family":"Hendriksen","given":"Peter Vang","non-dropping-particle":"","parse-names":false,"suffix":""},{"dropping-particle":"","family":"Liu","given":"Yi-Lin","non-dropping-particle":"","parse-names":false,"suffix":""}],"container-title":"Journal of The Electrochemical Society","id":"ITEM-1","issue":"6","issued":{"date-parts":[["2007"]]},"page":"A1165","title":"Degradation of Anode Supported SOFCs as a Function of Temperature and Current Load","type":"article-journal","volume":"153"},"uris":["http://www.mendeley.com/documents/?uuid=32c76044-f4c8-4507-8574-f44636b27cf7"]}],"mendeley":{"formattedCitation":"[253]","plainTextFormattedCitation":"[253]","previouslyFormattedCitation":"[253]"},"properties":{"noteIndex":0},"schema":"https://github.com/citation-style-language/schema/raw/master/csl-citation.json"}</w:instrText>
      </w:r>
      <w:r w:rsidRPr="00582C49">
        <w:rPr>
          <w:i/>
          <w:iCs/>
          <w:color w:val="44546A" w:themeColor="text2"/>
          <w:sz w:val="18"/>
          <w:szCs w:val="18"/>
        </w:rPr>
        <w:fldChar w:fldCharType="separate"/>
      </w:r>
      <w:r w:rsidR="006C586A" w:rsidRPr="006C586A">
        <w:rPr>
          <w:iCs/>
          <w:noProof/>
          <w:color w:val="44546A" w:themeColor="text2"/>
          <w:sz w:val="18"/>
          <w:szCs w:val="18"/>
        </w:rPr>
        <w:t>[253]</w:t>
      </w:r>
      <w:bookmarkEnd w:id="142"/>
      <w:r w:rsidRPr="00582C49">
        <w:rPr>
          <w:i/>
          <w:iCs/>
          <w:color w:val="44546A" w:themeColor="text2"/>
          <w:sz w:val="18"/>
          <w:szCs w:val="18"/>
        </w:rPr>
        <w:fldChar w:fldCharType="end"/>
      </w:r>
    </w:p>
    <w:p w14:paraId="6C4CADAB" w14:textId="13FE2AAE" w:rsidR="00007F6C" w:rsidRPr="002B6C9E" w:rsidRDefault="00007F6C" w:rsidP="005129DC">
      <w:pPr>
        <w:jc w:val="both"/>
      </w:pPr>
      <w:r>
        <w:t>The stability of the system after the 1500 h 850</w:t>
      </w:r>
      <w:r w:rsidR="00BB29A6">
        <w:t xml:space="preserve"> </w:t>
      </w:r>
      <w:r>
        <w:t>°C HT is evident when compared with the 750</w:t>
      </w:r>
      <w:r w:rsidR="00BB29A6">
        <w:t xml:space="preserve"> </w:t>
      </w:r>
      <w:r>
        <w:t>°C</w:t>
      </w:r>
      <w:r w:rsidR="00BB29A6">
        <w:t xml:space="preserve"> dataset</w:t>
      </w:r>
      <w:r>
        <w:t xml:space="preserve">. The scale of this durability is almost a fifth smaller in terms of imaginary impedance post heat treatment </w:t>
      </w:r>
      <w:r>
        <w:fldChar w:fldCharType="begin" w:fldLock="1"/>
      </w:r>
      <w:r w:rsidR="00D80A5D">
        <w:instrText>ADDIN CSL_CITATION {"citationItems":[{"id":"ITEM-1","itemData":{"DOI":"10.1149/1.2193400","ISBN":"0013-4651","ISSN":"00134651","abstract":"The degradation behavior of anode supported solid oxide fuel cells ͑SOFCs͒ was investigated as a function of operating tempera-ture and current density. Degradation rates were defined and shown to be mainly dependent on the cell polarization. The combi-nation of a detailed evaluation of electrochemical properties by impedance spectroscopy, in particular, and post-test microscopy revealed that cathode degradation was the dominant contribution to degradation at higher current densities and lower temperatures. The anode was found to contribute more to degradation at higher temperatures. Generally, the degradation rates obtained were lower at higher operating temperatures, even at higher current densities. A degradation rate as low as 2%/1000 h was observed at 1.7 A/cm 2 and 950°C over an operating period of 1500 h. Long-term stability is an important requirement for the applica-tion of fuel cell technology. The total degradation of the cell perfor-mance while operating under constant conditions is the sum of con-tributions from all constituents of the test assembly ͓anode, cathode, electrolyte of the solid oxide fuel cell ͑SOFC͒, their interfaces, and perhaps also auxiliary components 1,2","author":[{"dropping-particle":"","family":"Barfod","given":"Rasmus","non-dropping-particle":"","parse-names":false,"suffix":""},{"dropping-particle":"","family":"Hagen","given":"Anke","non-dropping-particle":"","parse-names":false,"suffix":""},{"dropping-particle":"","family":"Ramousse","given":"Severine","non-dropping-particle":"","parse-names":false,"suffix":""},{"dropping-particle":"","family":"Hendriksen","given":"Peter Vang","non-dropping-particle":"","parse-names":false,"suffix":""},{"dropping-particle":"","family":"Liu","given":"Yi-Lin","non-dropping-particle":"","parse-names":false,"suffix":""}],"container-title":"Journal of The Electrochemical Society","id":"ITEM-1","issue":"6","issued":{"date-parts":[["2007"]]},"page":"A1165","title":"Degradation of Anode Supported SOFCs as a Function of Temperature and Current Load","type":"article-journal","volume":"153"},"uris":["http://www.mendeley.com/documents/?uuid=32c76044-f4c8-4507-8574-f44636b27cf7"]}],"mendeley":{"formattedCitation":"[253]","plainTextFormattedCitation":"[253]","previouslyFormattedCitation":"[253]"},"properties":{"noteIndex":0},"schema":"https://github.com/citation-style-language/schema/raw/master/csl-citation.json"}</w:instrText>
      </w:r>
      <w:r>
        <w:fldChar w:fldCharType="separate"/>
      </w:r>
      <w:r w:rsidR="006C586A" w:rsidRPr="006C586A">
        <w:rPr>
          <w:noProof/>
        </w:rPr>
        <w:t>[253]</w:t>
      </w:r>
      <w:r>
        <w:fldChar w:fldCharType="end"/>
      </w:r>
      <w:r>
        <w:t>. This is echoed by the polarisation resistance as shown belo</w:t>
      </w:r>
      <w:r w:rsidRPr="00654E34">
        <w:t xml:space="preserve">w in </w:t>
      </w:r>
      <w:r w:rsidRPr="00654E34">
        <w:fldChar w:fldCharType="begin"/>
      </w:r>
      <w:r w:rsidRPr="00654E34">
        <w:instrText xml:space="preserve"> REF _Ref474403262 \h  \* MERGEFORMAT </w:instrText>
      </w:r>
      <w:r w:rsidRPr="00654E34">
        <w:fldChar w:fldCharType="separate"/>
      </w:r>
      <w:r w:rsidR="007E7970" w:rsidRPr="007E7970">
        <w:t>Table 2.3</w:t>
      </w:r>
      <w:r w:rsidRPr="00654E34">
        <w:fldChar w:fldCharType="end"/>
      </w:r>
      <w:r w:rsidRPr="00654E34">
        <w:t xml:space="preserve">. </w:t>
      </w:r>
      <w:r>
        <w:t xml:space="preserve">However, the two current loads were differed between samples so the comparability of these EIS spectra is certainly lacking. </w:t>
      </w:r>
    </w:p>
    <w:p w14:paraId="0E30716C" w14:textId="77777777" w:rsidR="00007F6C" w:rsidRDefault="00007F6C" w:rsidP="005129DC">
      <w:pPr>
        <w:jc w:val="both"/>
        <w:rPr>
          <w:highlight w:val="yellow"/>
        </w:rPr>
      </w:pPr>
    </w:p>
    <w:p w14:paraId="737BF4BA" w14:textId="6831EE19" w:rsidR="00007F6C" w:rsidRDefault="00007F6C" w:rsidP="005129DC">
      <w:pPr>
        <w:jc w:val="both"/>
      </w:pPr>
      <w:r w:rsidRPr="00C93CEF">
        <w:lastRenderedPageBreak/>
        <w:t>When</w:t>
      </w:r>
      <w:r>
        <w:t xml:space="preserve"> contrasted with the R</w:t>
      </w:r>
      <w:r>
        <w:rPr>
          <w:vertAlign w:val="subscript"/>
        </w:rPr>
        <w:t xml:space="preserve">P </w:t>
      </w:r>
      <w:r>
        <w:t>values of an infiltrated Ni/YSZ anode (0.</w:t>
      </w:r>
      <w:r w:rsidRPr="00654E34">
        <w:t>55</w:t>
      </w:r>
      <w:r w:rsidR="007E7970">
        <w:t xml:space="preserve"> </w:t>
      </w:r>
      <w:r w:rsidRPr="00654E34">
        <w:t>Acm</w:t>
      </w:r>
      <w:r>
        <w:rPr>
          <w:vertAlign w:val="superscript"/>
        </w:rPr>
        <w:t>-</w:t>
      </w:r>
      <w:r w:rsidRPr="00654E34">
        <w:rPr>
          <w:vertAlign w:val="superscript"/>
        </w:rPr>
        <w:t>2</w:t>
      </w:r>
      <w:r>
        <w:t>)</w:t>
      </w:r>
      <w:r w:rsidRPr="00C93CEF">
        <w:t xml:space="preserve"> </w:t>
      </w:r>
      <w:r>
        <w:t>at after a 124h heating regime at 800</w:t>
      </w:r>
      <w:r w:rsidR="007E7970">
        <w:t xml:space="preserve"> </w:t>
      </w:r>
      <w:r>
        <w:t xml:space="preserve">°C the polarisation resistance of the experiment was less than a third of the </w:t>
      </w:r>
      <w:proofErr w:type="spellStart"/>
      <w:r>
        <w:t>Buyukaksoy</w:t>
      </w:r>
      <w:proofErr w:type="spellEnd"/>
      <w:r>
        <w:t xml:space="preserve"> paper </w:t>
      </w:r>
      <w:r>
        <w:fldChar w:fldCharType="begin" w:fldLock="1"/>
      </w:r>
      <w:r w:rsidR="00D80A5D">
        <w:instrText>ADDIN CSL_CITATION {"citationItems":[{"id":"ITEM-1","itemData":{"DOI":"10.1149/1.2193400","ISBN":"0013-4651","ISSN":"00134651","abstract":"The degradation behavior of anode supported solid oxide fuel cells ͑SOFCs͒ was investigated as a function of operating tempera-ture and current density. Degradation rates were defined and shown to be mainly dependent on the cell polarization. The combi-nation of a detailed evaluation of electrochemical properties by impedance spectroscopy, in particular, and post-test microscopy revealed that cathode degradation was the dominant contribution to degradation at higher current densities and lower temperatures. The anode was found to contribute more to degradation at higher temperatures. Generally, the degradation rates obtained were lower at higher operating temperatures, even at higher current densities. A degradation rate as low as 2%/1000 h was observed at 1.7 A/cm 2 and 950°C over an operating period of 1500 h. Long-term stability is an important requirement for the applica-tion of fuel cell technology. The total degradation of the cell perfor-mance while operating under constant conditions is the sum of con-tributions from all constituents of the test assembly ͓anode, cathode, electrolyte of the solid oxide fuel cell ͑SOFC͒, their interfaces, and perhaps also auxiliary components 1,2","author":[{"dropping-particle":"","family":"Barfod","given":"Rasmus","non-dropping-particle":"","parse-names":false,"suffix":""},{"dropping-particle":"","family":"Hagen","given":"Anke","non-dropping-particle":"","parse-names":false,"suffix":""},{"dropping-particle":"","family":"Ramousse","given":"Severine","non-dropping-particle":"","parse-names":false,"suffix":""},{"dropping-particle":"","family":"Hendriksen","given":"Peter Vang","non-dropping-particle":"","parse-names":false,"suffix":""},{"dropping-particle":"","family":"Liu","given":"Yi-Lin","non-dropping-particle":"","parse-names":false,"suffix":""}],"container-title":"Journal of The Electrochemical Society","id":"ITEM-1","issue":"6","issued":{"date-parts":[["2007"]]},"page":"A1165","title":"Degradation of Anode Supported SOFCs as a Function of Temperature and Current Load","type":"article-journal","volume":"153"},"uris":["http://www.mendeley.com/documents/?uuid=32c76044-f4c8-4507-8574-f44636b27cf7"]},{"id":"ITEM-2","itemData":{"DOI":"10.1016/j.jpowsour.2015.04.072","ISSN":"03787753","abstract":"Ni infiltration into porous YSZ scaffolds is a promising route for the construction of high performing and redox-stable Ni-YSZ anodes for application in solid oxide fuel cells (SOFCs). However, the long-term instability of this type of anode is a critical problem. Here, it is shown that an interconnected Ni film, rather than discrete Ni particles, can be formed inside a porous, pre-sintered YSZ scaffold by using a polymeric Ni-based precursor as the infiltration medium. To understand the effect of the YSZ microstructure on the long-term stability and the electrochemical performance of the resulting composites, two types of Ni-YSZ anodes were investigated. Anodes prepared by polymeric Ni infiltration into a YSZ scaffold with large grains (0.5 μm) and pores (0.5 μm and 5 μm) showed extensive agglomeration in the Ni phase, resulting in poor stability and poor activity. In contrast, Ni infiltration into YSZ scaffolds with finer particle and pore sizes (</w:instrText>
      </w:r>
      <w:r w:rsidR="00D80A5D">
        <w:rPr>
          <w:rFonts w:ascii="Cambria Math" w:hAnsi="Cambria Math" w:cs="Cambria Math"/>
        </w:rPr>
        <w:instrText>∼</w:instrText>
      </w:r>
      <w:r w:rsidR="00D80A5D">
        <w:instrText xml:space="preserve">200 nm each) produced anodes with a very small polarization resistance of ca. 0.1 </w:instrText>
      </w:r>
      <w:r w:rsidR="00D80A5D">
        <w:rPr>
          <w:rFonts w:ascii="Calibri" w:hAnsi="Calibri" w:cs="Calibri"/>
        </w:rPr>
        <w:instrText>Ω</w:instrText>
      </w:r>
      <w:r w:rsidR="00D80A5D">
        <w:instrText xml:space="preserve"> cm&lt;sup&gt;2&lt;/sup&gt; per electrode at 800 °C. An increase of only </w:instrText>
      </w:r>
      <w:r w:rsidR="00D80A5D">
        <w:rPr>
          <w:rFonts w:ascii="Cambria Math" w:hAnsi="Cambria Math" w:cs="Cambria Math"/>
        </w:rPr>
        <w:instrText>∼</w:instrText>
      </w:r>
      <w:r w:rsidR="00D80A5D">
        <w:instrText>5% was seen in the resistance after ca. 110 h at this temperature, achieved by preventing Ni agglomeration.","author":[{"dropping-particle":"","family":"Buyukaksoy","given":"Aligul","non-dropping-particle":"","parse-names":false,"suffix":""},{"dropping-particle":"","family":"Kammampata","given":"Sanoop P.","non-dropping-particle":"","parse-names":false,"suffix":""},{"dropping-particle":"","family":"Birss","given":"Viola I.","non-dropping-particle":"","parse-names":false,"suffix":""}],"container-title":"Journal of Power Sources","id":"ITEM-2","issued":{"date-parts":[["2015"]]},"page":"349-358","publisher":"Elsevier B.V","title":"Effect of porous YSZ scaffold microstructure on the long-term performance of infiltrated Ni-YSZ anodes","type":"article-journal","volume":"287"},"uris":["http://www.mendeley.com/documents/?uuid=95f6b41b-9065-4cf8-9ddb-f27577bdf473"]}],"mendeley":{"formattedCitation":"[233], [253]","plainTextFormattedCitation":"[233], [253]","previouslyFormattedCitation":"[233], [253]"},"properties":{"noteIndex":0},"schema":"https://github.com/citation-style-language/schema/raw/master/csl-citation.json"}</w:instrText>
      </w:r>
      <w:r>
        <w:fldChar w:fldCharType="separate"/>
      </w:r>
      <w:r w:rsidR="006C586A" w:rsidRPr="006C586A">
        <w:rPr>
          <w:noProof/>
        </w:rPr>
        <w:t>[233], [253]</w:t>
      </w:r>
      <w:r>
        <w:fldChar w:fldCharType="end"/>
      </w:r>
      <w:r>
        <w:t>.</w:t>
      </w:r>
    </w:p>
    <w:p w14:paraId="298F0086" w14:textId="0867B12C" w:rsidR="00BB29A6" w:rsidRPr="00582C49" w:rsidRDefault="00BB29A6" w:rsidP="00D04EC6">
      <w:pPr>
        <w:keepNext/>
        <w:spacing w:after="0"/>
        <w:rPr>
          <w:i/>
          <w:iCs/>
          <w:color w:val="44546A" w:themeColor="text2"/>
          <w:sz w:val="18"/>
          <w:szCs w:val="18"/>
        </w:rPr>
      </w:pPr>
      <w:bookmarkStart w:id="143" w:name="_Ref474403262"/>
      <w:bookmarkStart w:id="144" w:name="_Ref474403256"/>
      <w:r w:rsidRPr="00582C49">
        <w:rPr>
          <w:i/>
          <w:iCs/>
          <w:color w:val="44546A" w:themeColor="text2"/>
          <w:sz w:val="18"/>
          <w:szCs w:val="18"/>
        </w:rPr>
        <w:t>Table 2.</w:t>
      </w:r>
      <w:r w:rsidRPr="00582C49">
        <w:rPr>
          <w:i/>
          <w:iCs/>
          <w:color w:val="44546A" w:themeColor="text2"/>
          <w:sz w:val="18"/>
          <w:szCs w:val="18"/>
        </w:rPr>
        <w:fldChar w:fldCharType="begin"/>
      </w:r>
      <w:r w:rsidRPr="00582C49">
        <w:rPr>
          <w:i/>
          <w:iCs/>
          <w:color w:val="44546A" w:themeColor="text2"/>
          <w:sz w:val="18"/>
          <w:szCs w:val="18"/>
        </w:rPr>
        <w:instrText xml:space="preserve"> SEQ Table \* ARABIC </w:instrText>
      </w:r>
      <w:r w:rsidRPr="00582C49">
        <w:rPr>
          <w:i/>
          <w:iCs/>
          <w:color w:val="44546A" w:themeColor="text2"/>
          <w:sz w:val="18"/>
          <w:szCs w:val="18"/>
        </w:rPr>
        <w:fldChar w:fldCharType="separate"/>
      </w:r>
      <w:r w:rsidR="007E7970">
        <w:rPr>
          <w:i/>
          <w:iCs/>
          <w:noProof/>
          <w:color w:val="44546A" w:themeColor="text2"/>
          <w:sz w:val="18"/>
          <w:szCs w:val="18"/>
        </w:rPr>
        <w:t>3</w:t>
      </w:r>
      <w:r w:rsidRPr="00582C49">
        <w:rPr>
          <w:i/>
          <w:iCs/>
          <w:noProof/>
          <w:color w:val="44546A" w:themeColor="text2"/>
          <w:sz w:val="18"/>
          <w:szCs w:val="18"/>
        </w:rPr>
        <w:fldChar w:fldCharType="end"/>
      </w:r>
      <w:bookmarkEnd w:id="143"/>
      <w:r w:rsidRPr="00582C49">
        <w:rPr>
          <w:i/>
          <w:iCs/>
          <w:color w:val="44546A" w:themeColor="text2"/>
          <w:sz w:val="18"/>
          <w:szCs w:val="18"/>
        </w:rPr>
        <w:t>: Polarisation resistance values of the samples before and after the HT treatments under various current loads</w:t>
      </w:r>
      <w:r>
        <w:rPr>
          <w:i/>
          <w:iCs/>
          <w:color w:val="44546A" w:themeColor="text2"/>
          <w:sz w:val="18"/>
          <w:szCs w:val="18"/>
        </w:rPr>
        <w:t xml:space="preserve"> </w:t>
      </w:r>
      <w:r w:rsidRPr="00582C49">
        <w:rPr>
          <w:i/>
          <w:iCs/>
          <w:color w:val="44546A" w:themeColor="text2"/>
          <w:sz w:val="18"/>
          <w:szCs w:val="18"/>
        </w:rPr>
        <w:fldChar w:fldCharType="begin" w:fldLock="1"/>
      </w:r>
      <w:r>
        <w:rPr>
          <w:i/>
          <w:iCs/>
          <w:color w:val="44546A" w:themeColor="text2"/>
          <w:sz w:val="18"/>
          <w:szCs w:val="18"/>
        </w:rPr>
        <w:instrText>ADDIN CSL_CITATION {"citationItems":[{"id":"ITEM-1","itemData":{"DOI":"10.1149/1.2193400","ISBN":"0013-4651","ISSN":"00134651","abstract":"The degradation behavior of anode supported solid oxide fuel cells ͑SOFCs͒ was investigated as a function of operating tempera-ture and current density. Degradation rates were defined and shown to be mainly dependent on the cell polarization. The combi-nation of a detailed evaluation of electrochemical properties by impedance spectroscopy, in particular, and post-test microscopy revealed that cathode degradation was the dominant contribution to degradation at higher current densities and lower temperatures. The anode was found to contribute more to degradation at higher temperatures. Generally, the degradation rates obtained were lower at higher operating temperatures, even at higher current densities. A degradation rate as low as 2%/1000 h was observed at 1.7 A/cm 2 and 950°C over an operating period of 1500 h. Long-term stability is an important requirement for the applica-tion of fuel cell technology. The total degradation of the cell perfor-mance while operating under constant conditions is the sum of con-tributions from all constituents of the test assembly ͓anode, cathode, electrolyte of the solid oxide fuel cell ͑SOFC͒, their interfaces, and perhaps also auxiliary components 1,2","author":[{"dropping-particle":"","family":"Barfod","given":"Rasmus","non-dropping-particle":"","parse-names":false,"suffix":""},{"dropping-particle":"","family":"Hagen","given":"Anke","non-dropping-particle":"","parse-names":false,"suffix":""},{"dropping-particle":"","family":"Ramousse","given":"Severine","non-dropping-particle":"","parse-names":false,"suffix":""},{"dropping-particle":"","family":"Hendriksen","given":"Peter Vang","non-dropping-particle":"","parse-names":false,"suffix":""},{"dropping-particle":"","family":"Liu","given":"Yi-Lin","non-dropping-particle":"","parse-names":false,"suffix":""}],"container-title":"Journal of The Electrochemical Society","id":"ITEM-1","issue":"6","issued":{"date-parts":[["2007"]]},"page":"A1165","title":"Degradation of Anode Supported SOFCs as a Function of Temperature and Current Load","type":"article-journal","volume":"153"},"uris":["http://www.mendeley.com/documents/?uuid=32c76044-f4c8-4507-8574-f44636b27cf7"]}],"mendeley":{"formattedCitation":"[253]","plainTextFormattedCitation":"[253]","previouslyFormattedCitation":"[253]"},"properties":{"noteIndex":0},"schema":"https://github.com/citation-style-language/schema/raw/master/csl-citation.json"}</w:instrText>
      </w:r>
      <w:r w:rsidRPr="00582C49">
        <w:rPr>
          <w:i/>
          <w:iCs/>
          <w:color w:val="44546A" w:themeColor="text2"/>
          <w:sz w:val="18"/>
          <w:szCs w:val="18"/>
        </w:rPr>
        <w:fldChar w:fldCharType="separate"/>
      </w:r>
      <w:r w:rsidRPr="006C586A">
        <w:rPr>
          <w:iCs/>
          <w:noProof/>
          <w:color w:val="44546A" w:themeColor="text2"/>
          <w:sz w:val="18"/>
          <w:szCs w:val="18"/>
        </w:rPr>
        <w:t>[253]</w:t>
      </w:r>
      <w:r w:rsidRPr="00582C49">
        <w:rPr>
          <w:i/>
          <w:iCs/>
          <w:color w:val="44546A" w:themeColor="text2"/>
          <w:sz w:val="18"/>
          <w:szCs w:val="18"/>
        </w:rPr>
        <w:fldChar w:fldCharType="end"/>
      </w:r>
      <w:r w:rsidRPr="00582C49">
        <w:rPr>
          <w:i/>
          <w:iCs/>
          <w:color w:val="44546A" w:themeColor="text2"/>
          <w:sz w:val="18"/>
          <w:szCs w:val="18"/>
        </w:rPr>
        <w:t xml:space="preserve">. </w:t>
      </w:r>
      <w:bookmarkEnd w:id="144"/>
    </w:p>
    <w:tbl>
      <w:tblPr>
        <w:tblStyle w:val="TableGrid"/>
        <w:tblW w:w="0" w:type="auto"/>
        <w:jc w:val="center"/>
        <w:tblLook w:val="04A0" w:firstRow="1" w:lastRow="0" w:firstColumn="1" w:lastColumn="0" w:noHBand="0" w:noVBand="1"/>
      </w:tblPr>
      <w:tblGrid>
        <w:gridCol w:w="1798"/>
        <w:gridCol w:w="2163"/>
        <w:gridCol w:w="1268"/>
        <w:gridCol w:w="1366"/>
      </w:tblGrid>
      <w:tr w:rsidR="00BB29A6" w14:paraId="2A406134" w14:textId="77777777" w:rsidTr="00BB29A6">
        <w:trPr>
          <w:jc w:val="center"/>
        </w:trPr>
        <w:tc>
          <w:tcPr>
            <w:tcW w:w="0" w:type="auto"/>
            <w:vMerge w:val="restart"/>
          </w:tcPr>
          <w:p w14:paraId="6E13EBD2" w14:textId="77777777" w:rsidR="00BB29A6" w:rsidRPr="00EE207B" w:rsidRDefault="00BB29A6" w:rsidP="00BB29A6">
            <w:pPr>
              <w:jc w:val="center"/>
              <w:rPr>
                <w:b/>
                <w:bCs/>
              </w:rPr>
            </w:pPr>
            <w:r w:rsidRPr="00EE207B">
              <w:rPr>
                <w:b/>
                <w:bCs/>
              </w:rPr>
              <w:t>Temperature [°C]</w:t>
            </w:r>
          </w:p>
        </w:tc>
        <w:tc>
          <w:tcPr>
            <w:tcW w:w="0" w:type="auto"/>
            <w:vMerge w:val="restart"/>
          </w:tcPr>
          <w:p w14:paraId="0D4AD1A6" w14:textId="77777777" w:rsidR="00BB29A6" w:rsidRPr="00EE207B" w:rsidRDefault="00BB29A6" w:rsidP="00BB29A6">
            <w:pPr>
              <w:jc w:val="center"/>
              <w:rPr>
                <w:b/>
                <w:bCs/>
              </w:rPr>
            </w:pPr>
            <w:r w:rsidRPr="00EE207B">
              <w:rPr>
                <w:b/>
                <w:bCs/>
              </w:rPr>
              <w:t>Load Current [A/cm</w:t>
            </w:r>
            <w:r w:rsidRPr="00EE207B">
              <w:rPr>
                <w:b/>
                <w:bCs/>
                <w:vertAlign w:val="superscript"/>
              </w:rPr>
              <w:t>2</w:t>
            </w:r>
            <w:r w:rsidRPr="00EE207B">
              <w:rPr>
                <w:b/>
                <w:bCs/>
              </w:rPr>
              <w:t>]</w:t>
            </w:r>
          </w:p>
        </w:tc>
        <w:tc>
          <w:tcPr>
            <w:tcW w:w="0" w:type="auto"/>
            <w:gridSpan w:val="2"/>
          </w:tcPr>
          <w:p w14:paraId="0A59989C" w14:textId="77777777" w:rsidR="00BB29A6" w:rsidRPr="00EE207B" w:rsidRDefault="00BB29A6" w:rsidP="00BB29A6">
            <w:pPr>
              <w:jc w:val="center"/>
              <w:rPr>
                <w:b/>
                <w:bCs/>
                <w:highlight w:val="yellow"/>
              </w:rPr>
            </w:pPr>
            <w:r w:rsidRPr="00EE207B">
              <w:rPr>
                <w:b/>
                <w:bCs/>
              </w:rPr>
              <w:t>Polarisation Resistance, R</w:t>
            </w:r>
            <w:r w:rsidRPr="00EE207B">
              <w:rPr>
                <w:b/>
                <w:bCs/>
                <w:vertAlign w:val="subscript"/>
              </w:rPr>
              <w:t>P</w:t>
            </w:r>
          </w:p>
        </w:tc>
      </w:tr>
      <w:tr w:rsidR="00BB29A6" w14:paraId="16544532" w14:textId="77777777" w:rsidTr="00BB29A6">
        <w:trPr>
          <w:jc w:val="center"/>
        </w:trPr>
        <w:tc>
          <w:tcPr>
            <w:tcW w:w="0" w:type="auto"/>
            <w:vMerge/>
          </w:tcPr>
          <w:p w14:paraId="02DDDB24" w14:textId="77777777" w:rsidR="00BB29A6" w:rsidRPr="00EE207B" w:rsidRDefault="00BB29A6" w:rsidP="00BB29A6">
            <w:pPr>
              <w:jc w:val="center"/>
              <w:rPr>
                <w:b/>
                <w:bCs/>
              </w:rPr>
            </w:pPr>
          </w:p>
        </w:tc>
        <w:tc>
          <w:tcPr>
            <w:tcW w:w="0" w:type="auto"/>
            <w:vMerge/>
          </w:tcPr>
          <w:p w14:paraId="142C9FFD" w14:textId="77777777" w:rsidR="00BB29A6" w:rsidRPr="00EE207B" w:rsidRDefault="00BB29A6" w:rsidP="00BB29A6">
            <w:pPr>
              <w:jc w:val="center"/>
              <w:rPr>
                <w:b/>
                <w:bCs/>
              </w:rPr>
            </w:pPr>
          </w:p>
        </w:tc>
        <w:tc>
          <w:tcPr>
            <w:tcW w:w="0" w:type="auto"/>
          </w:tcPr>
          <w:p w14:paraId="0F027153" w14:textId="77777777" w:rsidR="00BB29A6" w:rsidRPr="00EE207B" w:rsidRDefault="00BB29A6" w:rsidP="00BB29A6">
            <w:pPr>
              <w:jc w:val="center"/>
              <w:rPr>
                <w:b/>
                <w:bCs/>
              </w:rPr>
            </w:pPr>
            <w:r w:rsidRPr="00EE207B">
              <w:rPr>
                <w:b/>
                <w:bCs/>
              </w:rPr>
              <w:t>Pre</w:t>
            </w:r>
            <w:r>
              <w:rPr>
                <w:b/>
                <w:bCs/>
              </w:rPr>
              <w:t>-</w:t>
            </w:r>
            <w:r w:rsidRPr="00EE207B">
              <w:rPr>
                <w:b/>
                <w:bCs/>
              </w:rPr>
              <w:t>Test</w:t>
            </w:r>
          </w:p>
        </w:tc>
        <w:tc>
          <w:tcPr>
            <w:tcW w:w="0" w:type="auto"/>
          </w:tcPr>
          <w:p w14:paraId="6BC24169" w14:textId="77777777" w:rsidR="00BB29A6" w:rsidRPr="00EE207B" w:rsidRDefault="00BB29A6" w:rsidP="00BB29A6">
            <w:pPr>
              <w:jc w:val="center"/>
              <w:rPr>
                <w:b/>
                <w:bCs/>
              </w:rPr>
            </w:pPr>
            <w:r w:rsidRPr="00EE207B">
              <w:rPr>
                <w:b/>
                <w:bCs/>
              </w:rPr>
              <w:t>Post Test</w:t>
            </w:r>
          </w:p>
        </w:tc>
      </w:tr>
      <w:tr w:rsidR="00BB29A6" w14:paraId="485B694E" w14:textId="77777777" w:rsidTr="00BB29A6">
        <w:trPr>
          <w:jc w:val="center"/>
        </w:trPr>
        <w:tc>
          <w:tcPr>
            <w:tcW w:w="0" w:type="auto"/>
          </w:tcPr>
          <w:p w14:paraId="39EF3FF1" w14:textId="77777777" w:rsidR="00BB29A6" w:rsidRPr="00EE207B" w:rsidRDefault="00BB29A6" w:rsidP="00BB29A6">
            <w:pPr>
              <w:jc w:val="center"/>
            </w:pPr>
            <w:r w:rsidRPr="00EE207B">
              <w:t>750</w:t>
            </w:r>
          </w:p>
        </w:tc>
        <w:tc>
          <w:tcPr>
            <w:tcW w:w="0" w:type="auto"/>
          </w:tcPr>
          <w:p w14:paraId="2A74E3E8" w14:textId="77777777" w:rsidR="00BB29A6" w:rsidRPr="00EE207B" w:rsidRDefault="00BB29A6" w:rsidP="00BB29A6">
            <w:pPr>
              <w:jc w:val="center"/>
            </w:pPr>
            <w:r w:rsidRPr="00EE207B">
              <w:t>0.75</w:t>
            </w:r>
          </w:p>
        </w:tc>
        <w:tc>
          <w:tcPr>
            <w:tcW w:w="0" w:type="auto"/>
          </w:tcPr>
          <w:p w14:paraId="61580F93" w14:textId="77777777" w:rsidR="00BB29A6" w:rsidRPr="00DD7989" w:rsidRDefault="00BB29A6" w:rsidP="00BB29A6">
            <w:pPr>
              <w:jc w:val="center"/>
            </w:pPr>
            <w:r w:rsidRPr="00DD7989">
              <w:t>0.41</w:t>
            </w:r>
          </w:p>
        </w:tc>
        <w:tc>
          <w:tcPr>
            <w:tcW w:w="0" w:type="auto"/>
          </w:tcPr>
          <w:p w14:paraId="0A5A6182" w14:textId="77777777" w:rsidR="00BB29A6" w:rsidRPr="00DD7989" w:rsidRDefault="00BB29A6" w:rsidP="00BB29A6">
            <w:pPr>
              <w:jc w:val="center"/>
            </w:pPr>
            <w:r w:rsidRPr="00DD7989">
              <w:t>0.89</w:t>
            </w:r>
          </w:p>
        </w:tc>
      </w:tr>
      <w:tr w:rsidR="00BB29A6" w14:paraId="46ECE788" w14:textId="77777777" w:rsidTr="00BB29A6">
        <w:trPr>
          <w:jc w:val="center"/>
        </w:trPr>
        <w:tc>
          <w:tcPr>
            <w:tcW w:w="0" w:type="auto"/>
          </w:tcPr>
          <w:p w14:paraId="75E3AE33" w14:textId="77777777" w:rsidR="00BB29A6" w:rsidRPr="00EE207B" w:rsidRDefault="00BB29A6" w:rsidP="00BB29A6">
            <w:pPr>
              <w:jc w:val="center"/>
            </w:pPr>
            <w:r w:rsidRPr="00EE207B">
              <w:t>850</w:t>
            </w:r>
          </w:p>
        </w:tc>
        <w:tc>
          <w:tcPr>
            <w:tcW w:w="0" w:type="auto"/>
          </w:tcPr>
          <w:p w14:paraId="3A9EC4B4" w14:textId="77777777" w:rsidR="00BB29A6" w:rsidRPr="00EE207B" w:rsidRDefault="00BB29A6" w:rsidP="00BB29A6">
            <w:pPr>
              <w:jc w:val="center"/>
            </w:pPr>
            <w:r w:rsidRPr="00EE207B">
              <w:t>1.75</w:t>
            </w:r>
          </w:p>
        </w:tc>
        <w:tc>
          <w:tcPr>
            <w:tcW w:w="0" w:type="auto"/>
          </w:tcPr>
          <w:p w14:paraId="77ECEFB3" w14:textId="77777777" w:rsidR="00BB29A6" w:rsidRPr="00DD7989" w:rsidRDefault="00BB29A6" w:rsidP="00BB29A6">
            <w:pPr>
              <w:jc w:val="center"/>
            </w:pPr>
            <w:r w:rsidRPr="00DD7989">
              <w:t>0.15</w:t>
            </w:r>
          </w:p>
        </w:tc>
        <w:tc>
          <w:tcPr>
            <w:tcW w:w="0" w:type="auto"/>
          </w:tcPr>
          <w:p w14:paraId="57B49CB6" w14:textId="77777777" w:rsidR="00BB29A6" w:rsidRPr="00DD7989" w:rsidRDefault="00BB29A6" w:rsidP="00BB29A6">
            <w:pPr>
              <w:jc w:val="center"/>
            </w:pPr>
            <w:r w:rsidRPr="00DD7989">
              <w:t>0.16</w:t>
            </w:r>
          </w:p>
        </w:tc>
      </w:tr>
    </w:tbl>
    <w:p w14:paraId="5ACDADFD" w14:textId="77777777" w:rsidR="00D04EC6" w:rsidRPr="00D04EC6" w:rsidRDefault="00D04EC6" w:rsidP="005129DC">
      <w:pPr>
        <w:jc w:val="both"/>
        <w:rPr>
          <w:sz w:val="4"/>
          <w:szCs w:val="4"/>
        </w:rPr>
      </w:pPr>
    </w:p>
    <w:p w14:paraId="4554D786" w14:textId="2D95AA07" w:rsidR="00007F6C" w:rsidRDefault="00007F6C" w:rsidP="005129DC">
      <w:pPr>
        <w:jc w:val="both"/>
      </w:pPr>
      <w:r>
        <w:t>Interestingly infiltrated samples appeared to possess a much lower polarization resistance in comparison with the co-sintered anode values (</w:t>
      </w:r>
      <w:r w:rsidRPr="00654E34">
        <w:fldChar w:fldCharType="begin"/>
      </w:r>
      <w:r w:rsidRPr="00654E34">
        <w:instrText xml:space="preserve"> REF _Ref51158800 \h  \* MERGEFORMAT </w:instrText>
      </w:r>
      <w:r w:rsidRPr="00654E34">
        <w:fldChar w:fldCharType="separate"/>
      </w:r>
      <w:r w:rsidR="007E7970" w:rsidRPr="007E7970">
        <w:t>Figure 2.24</w:t>
      </w:r>
      <w:r w:rsidRPr="00654E34">
        <w:fldChar w:fldCharType="end"/>
      </w:r>
      <w:r>
        <w:t>). The experiment from Kim et al showing incredibly stable polarization resistance values despite a 550</w:t>
      </w:r>
      <w:r w:rsidR="00BB29A6">
        <w:t xml:space="preserve"> </w:t>
      </w:r>
      <w:r>
        <w:t>h, 800</w:t>
      </w:r>
      <w:r w:rsidR="00BB29A6">
        <w:t xml:space="preserve"> </w:t>
      </w:r>
      <w:r>
        <w:t xml:space="preserve">°C heating regime in a Ni/YSZ cermet sample. Although no further work has been done to support these results </w:t>
      </w:r>
      <w:r>
        <w:fldChar w:fldCharType="begin" w:fldLock="1"/>
      </w:r>
      <w:r w:rsidR="00D80A5D">
        <w:instrText>ADDIN CSL_CITATION {"citationItems":[{"id":"ITEM-1","itemData":{"DOI":"10.1016/j.jpowsour.2006.09.015","ISBN":"03787753 (ISSN)","ISSN":"03787753","abstract":"A functional composite powder containing nano-sized NiO and YSZ (8 mol% Y2O3-ZrO2) co-conjugated on YSZ powder is synthesized by a Pechini-type polymerizable complex method in an effort to yield improved performance and durability in solid oxide fuel cells (SOFCs). A SOFC single cell made from the dual composite powder exhibited high power density of 1.2 W cm-2 and showed excellent durability (zero degradation) under a load of 1.0 A cm-2 during 550 h of operation at 800 °C. The durability is attributed to the uniform and constrained cermet structure, and particularly from the interface between Ni and YSZ, which has been modified via nano-conjugation. The proposed composite powder is an attractive candidate material for making homogeneous, durable, and highly efficient electrode microstructures. © 2006 Elsevier B.V. All rights reserved.","author":[{"dropping-particle":"","family":"Moon","given":"Jooho","non-dropping-particle":"","parse-names":false,"suffix":""},{"dropping-particle":"","family":"Lee","given":"Hae-Weon","non-dropping-particle":"","parse-names":false,"suffix":""},{"dropping-particle":"","family":"Moon","given":"Hwan","non-dropping-particle":"","parse-names":false,"suffix":""},{"dropping-particle":"","family":"Kim","given":"Joosun","non-dropping-particle":"","parse-names":false,"suffix":""},{"dropping-particle":"","family":"Hyun","given":"Sang-Hoon","non-dropping-particle":"","parse-names":false,"suffix":""},{"dropping-particle":"","family":"Kim","given":"Sun-Dong","non-dropping-particle":"","parse-names":false,"suffix":""}],"container-title":"Journal of Power Sources","id":"ITEM-1","issue":"1","issued":{"date-parts":[["2006"]]},"language":"English","note":"Cited By :63\nExport Date: 3 November 2016\nCODEN: JPSOD\nCorrespondence Address: Hyun, S.-H.; School of Advanced Materials Science and Engineering, Yonsei University, Seoul, 120-749, South Korea; email: prohsh@yonsei.ac.kr\nReferences: Primdahl, S., Mogensen, M., (2000) J. Appl. Electrochem., 30, p. 247; Waldbillig, D., Wood, A., Ivey, D.G., (2005) J. Power Sources, 145, p. 206; Hsiao, Y.C., Selman, J.R., (1997) Solid State Ionics, 98, p. 33; Simwonis, D., Tietz, F., Stover, D., (2000) Solid State Ionics, 132, p. 241; Waldbillig, D., Wood, A., Ivey, D.G., (2005) Solid State Ionics, 176, p. 847; Mogensen, M., Skaarup, S., (1996) Solid State Ionics, 86, p. 1151; Mogensen, M., Primdahl, S., Jorgensen, M.J., Bagger, C., (2000) J. Electroceram., 5, p. 141; Costamagna, P., Costa, P., Antonucci, V., (1998) Electrochem. Acta, 43, p. 375; van Berkel, F.P.F., van Heuveln, F.H., Huijsmans, J.P.P., (1994) Solid State Ionics, 72, p. 240; Kim, S.D., Moon, H., Hyun, S.H., Moon, J., Kim, J., Lee, H.W., (2006) Solid State Ionics, 177, p. 931; Sunagawa, Y., Yamamoto, K., Muramatsu, A., (2006) J. Phys. Chem. B, 110, p. 6224; Duran, P., Tartaj, J., Capel, F., Moure, C., (2003) J. Eur. Ceram. Soc., 23, p. 2125; Pratihar, S.K., Sharma, A.D., Basu, R.N., Maiti, H.S., (2004) J. Power Sources, 129, p. 138; Wang, F.H., Guo, R.S., Wei, Q.T., Zhou, Y., Li, H.L., Li, S.L., (2004) Mater. Lett., 58, p. 3079; Gen, G., Guo, Z.X., Davies, C.K.L., (2000) Scr. Mater., 43, p. 307; Moon, J.W., Lee, H.L., Kim, J.D., Kim, G.D., Lee, D.A., Lee, H.W., (1999) Mater. Lett., 38, p. 214; Fukui, T., Murata, K., Ohara, S., Abe, H., Naito, M., Nogi, K., (2004) J. Power Sources, 125, p. 17; Simwonis, D., Thulen, H., Dias, F.J., Naoumidis, A., Stover, D., (1999) J. Mater. Process. Technol., 92-93, p. 107; Tsoga, A., Naoumidis, A., Nikolopoulos, P., (1996) Acta Mater., 44, p. 3679; Jiang, S.P., (2003) J. Mater. Sci., 38, p. 3775; Kim, S.D., Hyun, S.H., Moon, J., Kim, J.H., Song, R.H., (2005) J. Power Sources, 139, p. 67; Deng, X., Petric, A., (2005) J. Power Sources, 140, p. 297; Clemmer, R.M.C., Corbin, S.F., (2004) Solid State Ionics, 166, p. 251; Srdic, V.V., Winterer, M., Hahn, H., (2000) J. Am. Ceram. Soc., 83, p. 1853; Bakunov, V.S., Belyakov, A.V., (1996) Inorg. Mater., 32, p. 519","page":"392-397","title":"Nano-composite materials for high-performance and durability of solid oxide fuel cells","type":"article-journal","volume":"163"},"uris":["http://www.mendeley.com/documents/?uuid=0dfe50d8-6993-4ed8-bbf6-7136228033b4"]}],"mendeley":{"formattedCitation":"[285]","plainTextFormattedCitation":"[285]","previouslyFormattedCitation":"[285]"},"properties":{"noteIndex":0},"schema":"https://github.com/citation-style-language/schema/raw/master/csl-citation.json"}</w:instrText>
      </w:r>
      <w:r>
        <w:fldChar w:fldCharType="separate"/>
      </w:r>
      <w:r w:rsidR="006C586A" w:rsidRPr="006C586A">
        <w:rPr>
          <w:noProof/>
        </w:rPr>
        <w:t>[285]</w:t>
      </w:r>
      <w:r>
        <w:fldChar w:fldCharType="end"/>
      </w:r>
      <w:r>
        <w:t xml:space="preserve">. </w:t>
      </w:r>
    </w:p>
    <w:p w14:paraId="62DCF7AF" w14:textId="77777777" w:rsidR="00007F6C" w:rsidRDefault="00007F6C" w:rsidP="005129DC">
      <w:pPr>
        <w:keepNext/>
        <w:jc w:val="center"/>
      </w:pPr>
      <w:r>
        <w:rPr>
          <w:noProof/>
          <w:lang w:eastAsia="en-GB"/>
        </w:rPr>
        <mc:AlternateContent>
          <mc:Choice Requires="wpg">
            <w:drawing>
              <wp:anchor distT="0" distB="0" distL="114300" distR="114300" simplePos="0" relativeHeight="251659264" behindDoc="0" locked="0" layoutInCell="1" allowOverlap="1" wp14:anchorId="6BCEEF80" wp14:editId="6AC1D9A7">
                <wp:simplePos x="0" y="0"/>
                <wp:positionH relativeFrom="column">
                  <wp:posOffset>3147060</wp:posOffset>
                </wp:positionH>
                <wp:positionV relativeFrom="paragraph">
                  <wp:posOffset>1421765</wp:posOffset>
                </wp:positionV>
                <wp:extent cx="1520190" cy="1548130"/>
                <wp:effectExtent l="0" t="0" r="22860" b="13970"/>
                <wp:wrapNone/>
                <wp:docPr id="2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0190" cy="1548130"/>
                          <a:chOff x="6186" y="3944"/>
                          <a:chExt cx="2394" cy="2438"/>
                        </a:xfrm>
                      </wpg:grpSpPr>
                      <wps:wsp>
                        <wps:cNvPr id="27" name="Rectangle 3"/>
                        <wps:cNvSpPr>
                          <a:spLocks noChangeArrowheads="1"/>
                        </wps:cNvSpPr>
                        <wps:spPr bwMode="auto">
                          <a:xfrm>
                            <a:off x="6186" y="3944"/>
                            <a:ext cx="839" cy="514"/>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30" name="Rectangle 4"/>
                        <wps:cNvSpPr>
                          <a:spLocks noChangeArrowheads="1"/>
                        </wps:cNvSpPr>
                        <wps:spPr bwMode="auto">
                          <a:xfrm>
                            <a:off x="6228" y="5670"/>
                            <a:ext cx="2352" cy="712"/>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E07E7A" id="Group 5" o:spid="_x0000_s1026" style="position:absolute;margin-left:247.8pt;margin-top:111.95pt;width:119.7pt;height:121.9pt;z-index:251659264" coordorigin="6186,3944" coordsize="2394,2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">
                <v:rect id="Rectangle 3" o:spid="_x0000_s1027" style="position:absolute;left:6186;top:3944;width:839;height: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">
                  <v:fill opacity="0"/>
                </v:rect>
                <v:rect id="Rectangle 4" o:spid="_x0000_s1028" style="position:absolute;left:6228;top:5670;width:2352;height: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">
                  <v:fill opacity="0"/>
                </v:rect>
              </v:group>
            </w:pict>
          </mc:Fallback>
        </mc:AlternateContent>
      </w:r>
      <w:r>
        <w:rPr>
          <w:noProof/>
        </w:rPr>
        <w:drawing>
          <wp:inline distT="0" distB="0" distL="0" distR="0" wp14:anchorId="76716C8D" wp14:editId="37DE346B">
            <wp:extent cx="6163310" cy="4054475"/>
            <wp:effectExtent l="0" t="0" r="8890" b="317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63310" cy="4054475"/>
                    </a:xfrm>
                    <a:prstGeom prst="rect">
                      <a:avLst/>
                    </a:prstGeom>
                    <a:noFill/>
                  </pic:spPr>
                </pic:pic>
              </a:graphicData>
            </a:graphic>
          </wp:inline>
        </w:drawing>
      </w:r>
    </w:p>
    <w:p w14:paraId="5216E3C4" w14:textId="294A829E" w:rsidR="00007F6C" w:rsidRPr="001C6DAE" w:rsidRDefault="00007F6C" w:rsidP="005129DC">
      <w:pPr>
        <w:jc w:val="center"/>
        <w:rPr>
          <w:i/>
          <w:iCs/>
          <w:color w:val="44546A" w:themeColor="text2"/>
          <w:sz w:val="18"/>
          <w:szCs w:val="18"/>
        </w:rPr>
      </w:pPr>
      <w:bookmarkStart w:id="145" w:name="_Ref51158800"/>
      <w:bookmarkStart w:id="146" w:name="_Toc69114936"/>
      <w:r w:rsidRPr="00582C49">
        <w:rPr>
          <w:i/>
          <w:iCs/>
          <w:color w:val="44546A" w:themeColor="text2"/>
          <w:sz w:val="18"/>
          <w:szCs w:val="18"/>
        </w:rPr>
        <w:t>Figure 2.</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7E7970">
        <w:rPr>
          <w:i/>
          <w:iCs/>
          <w:noProof/>
          <w:color w:val="44546A" w:themeColor="text2"/>
          <w:sz w:val="18"/>
          <w:szCs w:val="18"/>
        </w:rPr>
        <w:t>24</w:t>
      </w:r>
      <w:r w:rsidR="00285C23">
        <w:rPr>
          <w:i/>
          <w:iCs/>
          <w:color w:val="44546A" w:themeColor="text2"/>
          <w:sz w:val="18"/>
          <w:szCs w:val="18"/>
        </w:rPr>
        <w:fldChar w:fldCharType="end"/>
      </w:r>
      <w:bookmarkEnd w:id="145"/>
      <w:r w:rsidRPr="00582C49">
        <w:rPr>
          <w:i/>
          <w:iCs/>
          <w:color w:val="44546A" w:themeColor="text2"/>
          <w:sz w:val="18"/>
          <w:szCs w:val="18"/>
        </w:rPr>
        <w:t xml:space="preserve">: </w:t>
      </w:r>
      <w:r>
        <w:rPr>
          <w:i/>
          <w:iCs/>
          <w:color w:val="44546A" w:themeColor="text2"/>
          <w:sz w:val="18"/>
          <w:szCs w:val="18"/>
        </w:rPr>
        <w:t>Comparison of the</w:t>
      </w:r>
      <w:r w:rsidRPr="00582C49">
        <w:rPr>
          <w:i/>
          <w:iCs/>
          <w:color w:val="44546A" w:themeColor="text2"/>
          <w:sz w:val="18"/>
          <w:szCs w:val="18"/>
        </w:rPr>
        <w:t xml:space="preserve"> different polarization resistance values generated for a variety of nickel/YSZ anodes. Data points in the boxes indicate co-sintered Ni/YSZ samples. All R</w:t>
      </w:r>
      <w:r w:rsidRPr="00582C49">
        <w:rPr>
          <w:i/>
          <w:iCs/>
          <w:color w:val="44546A" w:themeColor="text2"/>
          <w:sz w:val="18"/>
          <w:szCs w:val="18"/>
          <w:vertAlign w:val="subscript"/>
        </w:rPr>
        <w:t>P</w:t>
      </w:r>
      <w:r w:rsidRPr="00582C49">
        <w:rPr>
          <w:i/>
          <w:iCs/>
          <w:color w:val="44546A" w:themeColor="text2"/>
          <w:sz w:val="18"/>
          <w:szCs w:val="18"/>
        </w:rPr>
        <w:t xml:space="preserve"> values were produced with using EIS</w:t>
      </w:r>
      <w:r>
        <w:rPr>
          <w:i/>
          <w:iCs/>
          <w:color w:val="44546A" w:themeColor="text2"/>
          <w:sz w:val="18"/>
          <w:szCs w:val="18"/>
        </w:rPr>
        <w:t xml:space="preserve"> </w:t>
      </w:r>
      <w:r w:rsidRPr="00582C49">
        <w:rPr>
          <w:i/>
          <w:iCs/>
          <w:color w:val="44546A" w:themeColor="text2"/>
          <w:sz w:val="18"/>
          <w:szCs w:val="18"/>
        </w:rPr>
        <w:fldChar w:fldCharType="begin" w:fldLock="1"/>
      </w:r>
      <w:r w:rsidR="00D80A5D">
        <w:rPr>
          <w:i/>
          <w:iCs/>
          <w:color w:val="44546A" w:themeColor="text2"/>
          <w:sz w:val="18"/>
          <w:szCs w:val="18"/>
        </w:rPr>
        <w:instrText>ADDIN CSL_CITATION {"citationItems":[{"id":"ITEM-1","itemData":{"DOI":"10.1016/j.jpowsour.2006.09.015","ISBN":"03787753 (ISSN)","ISSN":"03787753","abstract":"A functional composite powder containing nano-sized NiO and YSZ (8 mol% Y2O3-ZrO2) co-conjugated on YSZ powder is synthesized by a Pechini-type polymerizable complex method in an effort to yield improved performance and durability in solid oxide fuel cells (SOFCs). A SOFC single cell made from the dual composite powder exhibited high power density of 1.2 W cm-2 and showed excellent durability (zero degradation) under a load of 1.0 A cm-2 during 550 h of operation at 800 °C. The durability is attributed to the uniform and constrained cermet structure, and particularly from the interface between Ni and YSZ, which has been modified via nano-conjugation. The proposed composite powder is an attractive candidate material for making homogeneous, durable, and highly efficient electrode microstructures. © 2006 Elsevier B.V. All rights reserved.","author":[{"dropping-particle":"","family":"Moon","given":"Jooho","non-dropping-particle":"","parse-names":false,"suffix":""},{"dropping-particle":"","family":"Lee","given":"Hae-Weon","non-dropping-particle":"","parse-names":false,"suffix":""},{"dropping-particle":"","family":"Moon","given":"Hwan","non-dropping-particle":"","parse-names":false,"suffix":""},{"dropping-particle":"","family":"Kim","given":"Joosun","non-dropping-particle":"","parse-names":false,"suffix":""},{"dropping-particle":"","family":"Hyun","given":"Sang-Hoon","non-dropping-particle":"","parse-names":false,"suffix":""},{"dropping-particle":"","family":"Kim","given":"Sun-Dong","non-dropping-particle":"","parse-names":false,"suffix":""}],"container-title":"Journal of Power Sources","id":"ITEM-1","issue":"1","issued":{"date-parts":[["2006"]]},"language":"English","note":"From Duplicate 2 (Nano-composite materials for high-performance and durability of solid oxide fuel cells - Moon, Jooho; Lee, Hae-Weon; Moon, Hwan; Kim, Joosun; Hyun, Sang-Hoon; Kim, Sun-Dong)\n\nCited By :63\nExport Date: 3 November 2016\nCODEN: JPSOD\nCorrespondence Address: Hyun, S.-H.; School of Advanced Materials Science and Engineering, Yonsei University, Seoul, 120-749, South Korea; email: prohsh@yonsei.ac.kr\nReferences: Primdahl, S., Mogensen, M., (2000) J. Appl. Electrochem., 30, p. 247; Waldbillig, D., Wood, A., Ivey, D.G., (2005) J. Power Sources, 145, p. 206; Hsiao, Y.C., Selman, J.R., (1997) Solid State Ionics, 98, p. 33; Simwonis, D., Tietz, F., Stover, D., (2000) Solid State Ionics, 132, p. 241; Waldbillig, D., Wood, A., Ivey, D.G., (2005) Solid State Ionics, 176, p. 847; Mogensen, M., Skaarup, S., (1996) Solid State Ionics, 86, p. 1151; Mogensen, M., Primdahl, S., Jorgensen, M.J., Bagger, C., (2000) J. Electroceram., 5, p. 141; Costamagna, P., Costa, P., Antonucci, V., (1998) Electrochem. Acta, 43, p. 375; van Berkel, F.P.F., van Heuveln, F.H., Huijsmans, J.P.P., (1994) Solid State Ionics, 72, p. 240; Kim, S.D., Moon, H., Hyun, S.H., Moon, J., Kim, J., Lee, H.W., (2006) Solid State Ionics, 177, p. 931; Sunagawa, Y., Yamamoto, K., Muramatsu, A., (2006) J. Phys. Chem. B, 110, p. 6224; Duran, P., Tartaj, J., Capel, F., Moure, C., (2003) J. Eur. Ceram. Soc., 23, p. 2125; Pratihar, S.K., Sharma, A.D., Basu, R.N., Maiti, H.S., (2004) J. Power Sources, 129, p. 138; Wang, F.H., Guo, R.S., Wei, Q.T., Zhou, Y., Li, H.L., Li, S.L., (2004) Mater. Lett., 58, p. 3079; Gen, G., Guo, Z.X., Davies, C.K.L., (2000) Scr. Mater., 43, p. 307; Moon, J.W., Lee, H.L., Kim, J.D., Kim, G.D., Lee, D.A., Lee, H.W., (1999) Mater. Lett., 38, p. 214; Fukui, T., Murata, K., Ohara, S., Abe, H., Naito, M., Nogi, K., (2004) J. Power Sources, 125, p. 17; Simwonis, D., Thulen, H., Dias, F.J., Naoumidis, A., Stover, D., (1999) J. Mater. Process. Technol., 92-93, p. 107; Tsoga, A., Naoumidis, A., Nikolopoulos, P., (1996) Acta Mater., 44, p. 3679; Jiang, S.P., (2003) J. Mater. Sci., 38, p. 3775; Kim, S.D., Hyun, S.H., Moon, J., Kim, J.H., Song, R.H., (2005) J. Power Sources, 139, p. 67; Deng, X., Petric, A., (2005) J. Power Sources, 140, p. 297; Clemmer, R.M.C., Corbin, S.F., (2004) Solid State Ionics, 166, p. 251; Srdic, V.V., Winterer, M., Hahn, H., (2000) J. Am. Ceram. Soc., 83, p. 1853; Bakunov, V.S., Belyakov, A.V., (1996) Inorg. Mater., 32, p. 519","page":"392-397","title":"Nano-composite materials for high-performance and durability of solid oxide fuel cells","type":"article-journal","volume":"163"},"uris":["http://www.mendeley.com/documents/?uuid=836c3f6d-42b1-41be-a7e5-731f898b75d0"]},{"id":"ITEM-2","itemData":{"DOI":"10.1149/1.2193400","ISBN":"0013-4651","ISSN":"00134651","abstract":"The degradation behavior of anode supported solid oxide fuel cells ͑SOFCs͒ was investigated as a function of operating tempera-ture and current density. Degradation rates were defined and shown to be mainly dependent on the cell polarization. The combi-nation of a detailed evaluation of electrochemical properties by impedance spectroscopy, in particular, and post-test microscopy revealed that cathode degradation was the dominant contribution to degradation at higher current densities and lower temperatures. The anode was found to contribute more to degradation at higher temperatures. Generally, the degradation rates obtained were lower at higher operating temperatures, even at higher current densities. A degradation rate as low as 2%/1000 h was observed at 1.7 A/cm 2 and 950°C over an operating period of 1500 h. Long-term stability is an important requirement for the applica-tion of fuel cell technology. The total degradation of the cell perfor-mance while operating under constant conditions is the sum of con-tributions from all constituents of the test assembly ͓anode, cathode, electrolyte of the solid oxide fuel cell ͑SOFC͒, their interfaces, and perhaps also auxiliary components 1,2","author":[{"dropping-particle":"","family":"Barfod","given":"Rasmus","non-dropping-particle":"","parse-names":false,"suffix":""},{"dropping-particle":"","family":"Hagen","given":"Anke","non-dropping-particle":"","parse-names":false,"suffix":""},{"dropping-particle":"","family":"Ramousse","given":"Severine","non-dropping-particle":"","parse-names":false,"suffix":""},{"dropping-particle":"","family":"Hendriksen","given":"Peter Vang","non-dropping-particle":"","parse-names":false,"suffix":""},{"dropping-particle":"","family":"Liu","given":"Yi-Lin","non-dropping-particle":"","parse-names":false,"suffix":""}],"container-title":"Journal of The Electrochemical Society","id":"ITEM-2","issue":"6","issued":{"date-parts":[["2007"]]},"page":"A1165","title":"Degradation of Anode Supported SOFCs as a Function of Temperature and Current Load","type":"article-journal","volume":"153"},"uris":["http://www.mendeley.com/documents/?uuid=32c76044-f4c8-4507-8574-f44636b27cf7"]},{"id":"ITEM-3","itemData":{"DOI":"http://dx.doi.org/10.1016/j.ijhydene.2016.09.100","ISBN":"0360-3199","abstract":"This study presents a physically-based model for the simulation of impedance spectra in solid oxide fuel cell (SOFC) composite anodes. The model takes into account the charge transport and the charge-transfer reaction at the three-phase boundary distributed along the anode thickness, as well as the phenomena at the electrode/electrolyte interface and the multicomponent gas diffusion in the test rig. The model is calibrated with experimental impedance spectra of cermet anodes made of nickel and scandia-stabilized zirconia and satisfactorily validated in electrodes with different microstructural properties, quantified through focused ion beam SEM tomography. Besides providing the material-specific kinetic parameters of the electrochemical hydrogen oxidation, this study shows that the correlation between electrode microstructure and electrochemical performance can be successfully addressed by combining physically-based modelling, impedance spectroscopy and 3D tomography. This approach overcomes the limits of phenomenological equivalent circuits and is suitable for the interpretation of experimental data and for the optimisation of the electrode microstructure.","author":[{"dropping-particle":"","family":"Bertei","given":"A","non-dropping-particle":"","parse-names":false,"suffix":""},{"dropping-particle":"","family":"Ruiz-Trejo","given":"E","non-dropping-particle":"","parse-names":false,"suffix":""},{"dropping-particle":"","family":"Tariq","given":"F","non-dropping-particle":"","parse-names":false,"suffix":""},{"dropping-particle":"","family":"Yufit","given":"V","non-dropping-particle":"","parse-names":false,"suffix":""},{"dropping-particle":"","family":"Atkinson","given":"A","non-dropping-particle":"","parse-names":false,"suffix":""},{"dropping-particle":"","family":"Brandon","given":"N P","non-dropping-particle":"","parse-names":false,"suffix":""}],"container-title":"International Journal of Hydrogen Energy","id":"ITEM-3","issue":"47","issued":{"date-parts":[["2016"]]},"page":"22381-22393","title":"Validation of a physically-based solid oxide fuel cell anode model combining 3D tomography and impedance spectroscopy","type":"article-journal","volume":"41"},"uris":["http://www.mendeley.com/documents/?uuid=652580f7-fc72-489c-91a8-21b001b1f875"]},{"id":"ITEM-4","itemData":{"DOI":"10.1016/j.jpowsour.2015.04.072","ISBN":"0378-7753","ISSN":"03787753","abstract":"Ni infiltration into porous YSZ scaffolds is a promising route for the construction of high performing and redox-stable Ni-YSZ anodes for application in solid oxide fuel cells (SOFCs). However, the long-term instability of this type of anode is a critical problem. Here, it is shown that an interconnected Ni film, rather than discrete Ni particles, can be formed inside a porous, pre-sintered YSZ scaffold by using a polymeric Ni-based precursor as the infiltration medium. To understand the effect of the YSZ microstructure on the long-term stability and the electrochemical performance of the resulting composites, two types of Ni-YSZ anodes were investigated. Anodes prepared by polymeric Ni infiltration into a YSZ scaffold with large grains (0.5 μm) and pores (0.5 μm and 5 μm) showed extensive agglomeration in the Ni phase, resulting in poor stability and poor activity. In contrast, Ni infiltration into YSZ scaffolds with finer particle and pore sizes (</w:instrText>
      </w:r>
      <w:r w:rsidR="00D80A5D">
        <w:rPr>
          <w:rFonts w:ascii="Cambria Math" w:hAnsi="Cambria Math" w:cs="Cambria Math"/>
          <w:i/>
          <w:iCs/>
          <w:color w:val="44546A" w:themeColor="text2"/>
          <w:sz w:val="18"/>
          <w:szCs w:val="18"/>
        </w:rPr>
        <w:instrText>∼</w:instrText>
      </w:r>
      <w:r w:rsidR="00D80A5D">
        <w:rPr>
          <w:i/>
          <w:iCs/>
          <w:color w:val="44546A" w:themeColor="text2"/>
          <w:sz w:val="18"/>
          <w:szCs w:val="18"/>
        </w:rPr>
        <w:instrText xml:space="preserve">200 nm each) produced anodes with a very small polarization resistance of ca. 0.1 Ω cm&lt;sup&gt;2&lt;/sup&gt; per electrode at 800 °C. An increase of only </w:instrText>
      </w:r>
      <w:r w:rsidR="00D80A5D">
        <w:rPr>
          <w:rFonts w:ascii="Cambria Math" w:hAnsi="Cambria Math" w:cs="Cambria Math"/>
          <w:i/>
          <w:iCs/>
          <w:color w:val="44546A" w:themeColor="text2"/>
          <w:sz w:val="18"/>
          <w:szCs w:val="18"/>
        </w:rPr>
        <w:instrText>∼</w:instrText>
      </w:r>
      <w:r w:rsidR="00D80A5D">
        <w:rPr>
          <w:i/>
          <w:iCs/>
          <w:color w:val="44546A" w:themeColor="text2"/>
          <w:sz w:val="18"/>
          <w:szCs w:val="18"/>
        </w:rPr>
        <w:instrText>5% was seen in the resistance after ca. 110 h at this temperature, achieved by preventing Ni agglomeration.","author":[{"dropping-particle":"","family":"Buyukaksoy","given":"Aligul","non-dropping-particle":"","parse-names":false,"suffix":""},{"dropping-particle":"","family":"Kammampata","given":"Sanoop P.","non-dropping-particle":"","parse-names":false,"suffix":""},{"dropping-particle":"","family":"Birss","given":"Viola I.","non-dropping-particle":"","parse-names":false,"suffix":""}],"container-title":"Journal of Power Sources","id":"ITEM-4","issued":{"date-parts":[["2015"]]},"page":"349-358","publisher":"Elsevier B.V","title":"Effect of porous YSZ scaffold microstructure on the long-term performance of infiltrated Ni-YSZ anodes","type":"article-journal","volume":"287"},"uris":["http://www.mendeley.com/documents/?uuid=21512bd9-57bd-44f6-b278-0f70c65b86c6"]}],"mendeley":{"formattedCitation":"[242], [253], [286], [287]","plainTextFormattedCitation":"[242], [253], [286], [287]","previouslyFormattedCitation":"[242], [253], [286], [287]"},"properties":{"noteIndex":0},"schema":"https://github.com/citation-style-language/schema/raw/master/csl-citation.json"}</w:instrText>
      </w:r>
      <w:r w:rsidRPr="00582C49">
        <w:rPr>
          <w:i/>
          <w:iCs/>
          <w:color w:val="44546A" w:themeColor="text2"/>
          <w:sz w:val="18"/>
          <w:szCs w:val="18"/>
        </w:rPr>
        <w:fldChar w:fldCharType="separate"/>
      </w:r>
      <w:r w:rsidR="006C586A" w:rsidRPr="006C586A">
        <w:rPr>
          <w:iCs/>
          <w:noProof/>
          <w:color w:val="44546A" w:themeColor="text2"/>
          <w:sz w:val="18"/>
          <w:szCs w:val="18"/>
        </w:rPr>
        <w:t>[242], [253], [286], [287]</w:t>
      </w:r>
      <w:r w:rsidRPr="00582C49">
        <w:rPr>
          <w:i/>
          <w:iCs/>
          <w:color w:val="44546A" w:themeColor="text2"/>
          <w:sz w:val="18"/>
          <w:szCs w:val="18"/>
        </w:rPr>
        <w:fldChar w:fldCharType="end"/>
      </w:r>
      <w:r w:rsidRPr="00582C49">
        <w:rPr>
          <w:i/>
          <w:iCs/>
          <w:color w:val="44546A" w:themeColor="text2"/>
          <w:sz w:val="18"/>
          <w:szCs w:val="18"/>
        </w:rPr>
        <w:t>.</w:t>
      </w:r>
      <w:bookmarkEnd w:id="146"/>
    </w:p>
    <w:p w14:paraId="532CC552" w14:textId="77777777" w:rsidR="00007F6C" w:rsidRPr="002B6C9E" w:rsidRDefault="00007F6C" w:rsidP="005129DC">
      <w:pPr>
        <w:jc w:val="both"/>
      </w:pPr>
      <w:r>
        <w:t xml:space="preserve">The large variety of sources using electrochemical impedance spectroscopy highlights its numerous advantages and will certainly be prevalent in any future work on infiltrated SOFC anodes. </w:t>
      </w:r>
    </w:p>
    <w:p w14:paraId="779AC2F0" w14:textId="77777777" w:rsidR="00007F6C" w:rsidRPr="002B6C9E" w:rsidRDefault="00007F6C" w:rsidP="005129DC">
      <w:pPr>
        <w:pStyle w:val="Heading4"/>
      </w:pPr>
      <w:bookmarkStart w:id="147" w:name="_Toc474489938"/>
      <w:r>
        <w:t>2.4.3.2</w:t>
      </w:r>
      <w:r>
        <w:tab/>
      </w:r>
      <w:r w:rsidRPr="002B6C9E">
        <w:t>DC Conductivity testing</w:t>
      </w:r>
      <w:bookmarkEnd w:id="147"/>
      <w:r w:rsidRPr="002B6C9E">
        <w:t xml:space="preserve"> </w:t>
      </w:r>
    </w:p>
    <w:p w14:paraId="07355D76" w14:textId="77777777" w:rsidR="00007F6C" w:rsidRPr="002B6C9E" w:rsidRDefault="00007F6C" w:rsidP="004B726A">
      <w:pPr>
        <w:jc w:val="both"/>
        <w:rPr>
          <w:rFonts w:ascii="Calibri" w:hAnsi="Calibri"/>
        </w:rPr>
      </w:pPr>
      <w:r w:rsidRPr="002B6C9E">
        <w:rPr>
          <w:rFonts w:ascii="Calibri" w:hAnsi="Calibri"/>
        </w:rPr>
        <w:t xml:space="preserve">One of the major methods of measuring the in-plane resistance of a sample is to use a set of direct current conductivity tests. This technique revolves around passing a current between two probes on the surface of the sample and measuring the resistance between the two points of electrical contact. </w:t>
      </w:r>
      <w:r w:rsidRPr="002B6C9E">
        <w:rPr>
          <w:rFonts w:ascii="Calibri" w:hAnsi="Calibri"/>
        </w:rPr>
        <w:lastRenderedPageBreak/>
        <w:t>As a potential difference is generated between these points which is key to calculating the resistance of the test piece.</w:t>
      </w:r>
    </w:p>
    <w:p w14:paraId="254F3D7A" w14:textId="7770EA60" w:rsidR="00007F6C" w:rsidRPr="002B6C9E" w:rsidRDefault="00007F6C" w:rsidP="00D04EC6">
      <w:pPr>
        <w:spacing w:after="0"/>
        <w:jc w:val="both"/>
        <w:rPr>
          <w:rFonts w:ascii="Calibri" w:hAnsi="Calibri"/>
        </w:rPr>
      </w:pPr>
      <w:r w:rsidRPr="002B6C9E">
        <w:rPr>
          <w:rFonts w:ascii="Calibri" w:hAnsi="Calibri"/>
        </w:rPr>
        <w:t>The probe system arrangement varies between separate uses a four-point probe (4PP) system is a used usually for the characterisation of semiconducting materials</w:t>
      </w:r>
      <w:r>
        <w:rPr>
          <w:rFonts w:ascii="Calibri" w:hAnsi="Calibri"/>
        </w:rPr>
        <w:t xml:space="preserve"> (</w:t>
      </w:r>
      <w:r w:rsidRPr="00654E34">
        <w:rPr>
          <w:rFonts w:ascii="Calibri" w:hAnsi="Calibri"/>
        </w:rPr>
        <w:fldChar w:fldCharType="begin"/>
      </w:r>
      <w:r w:rsidRPr="00654E34">
        <w:rPr>
          <w:rFonts w:ascii="Calibri" w:hAnsi="Calibri"/>
        </w:rPr>
        <w:instrText xml:space="preserve"> REF _Ref51158871 \h  \* MERGEFORMAT </w:instrText>
      </w:r>
      <w:r w:rsidRPr="00654E34">
        <w:rPr>
          <w:rFonts w:ascii="Calibri" w:hAnsi="Calibri"/>
        </w:rPr>
      </w:r>
      <w:r w:rsidRPr="00654E34">
        <w:rPr>
          <w:rFonts w:ascii="Calibri" w:hAnsi="Calibri"/>
        </w:rPr>
        <w:fldChar w:fldCharType="separate"/>
      </w:r>
      <w:r w:rsidR="007E7970" w:rsidRPr="007E7970">
        <w:rPr>
          <w:rFonts w:ascii="Calibri" w:hAnsi="Calibri"/>
        </w:rPr>
        <w:t>Figure 2.25</w:t>
      </w:r>
      <w:r w:rsidRPr="00654E34">
        <w:rPr>
          <w:rFonts w:ascii="Calibri" w:hAnsi="Calibri"/>
        </w:rPr>
        <w:fldChar w:fldCharType="end"/>
      </w:r>
      <w:r>
        <w:rPr>
          <w:rFonts w:ascii="Calibri" w:hAnsi="Calibri"/>
        </w:rPr>
        <w:t>).</w:t>
      </w:r>
      <w:r w:rsidRPr="002B6C9E">
        <w:rPr>
          <w:rFonts w:ascii="Calibri" w:hAnsi="Calibri"/>
        </w:rPr>
        <w:t xml:space="preserve"> A </w:t>
      </w:r>
      <w:r>
        <w:rPr>
          <w:rFonts w:ascii="Calibri" w:hAnsi="Calibri"/>
        </w:rPr>
        <w:t>potential difference</w:t>
      </w:r>
      <w:r w:rsidRPr="002B6C9E">
        <w:rPr>
          <w:rFonts w:ascii="Calibri" w:hAnsi="Calibri"/>
        </w:rPr>
        <w:t xml:space="preserve"> is created between the two inner probes by passing a current through the outermost probes. Other set-ups have been known to run 2 probes</w:t>
      </w:r>
      <w:r>
        <w:rPr>
          <w:rFonts w:ascii="Calibri" w:hAnsi="Calibri"/>
        </w:rPr>
        <w:t xml:space="preserve"> </w:t>
      </w:r>
      <w:r>
        <w:rPr>
          <w:rFonts w:ascii="Calibri" w:hAnsi="Calibri"/>
        </w:rPr>
        <w:fldChar w:fldCharType="begin" w:fldLock="1"/>
      </w:r>
      <w:r w:rsidR="00D80A5D">
        <w:rPr>
          <w:rFonts w:ascii="Calibri" w:hAnsi="Calibri"/>
        </w:rPr>
        <w:instrText>ADDIN CSL_CITATION {"citationItems":[{"id":"ITEM-1","itemData":{"URL":"http://pveducation.org/pvcdrom/characterisation/four-point-probe-resistivity-measurements","author":[{"dropping-particle":"","family":"Honsberg","given":"C","non-dropping-particle":"","parse-names":false,"suffix":""}],"id":"ITEM-1","issue":"30/01/2017","issued":{"date-parts":[["2015"]]},"title":"Four Point Probe Resistivity measurements.  ","type":"webpage","volume":"2017"},"uris":["http://www.mendeley.com/documents/?uuid=6889fc05-7fca-479b-94e5-54d3e7ab6440"]}],"mendeley":{"formattedCitation":"[288]","plainTextFormattedCitation":"[288]","previouslyFormattedCitation":"[288]"},"properties":{"noteIndex":0},"schema":"https://github.com/citation-style-language/schema/raw/master/csl-citation.json"}</w:instrText>
      </w:r>
      <w:r>
        <w:rPr>
          <w:rFonts w:ascii="Calibri" w:hAnsi="Calibri"/>
        </w:rPr>
        <w:fldChar w:fldCharType="separate"/>
      </w:r>
      <w:r w:rsidR="006C586A" w:rsidRPr="006C586A">
        <w:rPr>
          <w:rFonts w:ascii="Calibri" w:hAnsi="Calibri"/>
          <w:noProof/>
        </w:rPr>
        <w:t>[288]</w:t>
      </w:r>
      <w:r>
        <w:rPr>
          <w:rFonts w:ascii="Calibri" w:hAnsi="Calibri"/>
        </w:rPr>
        <w:fldChar w:fldCharType="end"/>
      </w:r>
      <w:r w:rsidRPr="002B6C9E">
        <w:rPr>
          <w:rFonts w:ascii="Calibri" w:hAnsi="Calibri"/>
        </w:rPr>
        <w:t xml:space="preserve">. </w:t>
      </w:r>
    </w:p>
    <w:p w14:paraId="6BF64157" w14:textId="77777777" w:rsidR="00007F6C" w:rsidRPr="002B6C9E" w:rsidRDefault="00007F6C" w:rsidP="004B726A">
      <w:pPr>
        <w:keepNext/>
        <w:ind w:left="480"/>
        <w:jc w:val="center"/>
        <w:rPr>
          <w:rFonts w:ascii="Calibri" w:hAnsi="Calibri"/>
        </w:rPr>
      </w:pPr>
      <w:r w:rsidRPr="002B6C9E">
        <w:rPr>
          <w:noProof/>
          <w:lang w:eastAsia="en-GB"/>
        </w:rPr>
        <w:drawing>
          <wp:inline distT="0" distB="0" distL="0" distR="0" wp14:anchorId="548C8EDD" wp14:editId="2F51A235">
            <wp:extent cx="1924216" cy="262877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PP diagram.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33836" cy="2641917"/>
                    </a:xfrm>
                    <a:prstGeom prst="rect">
                      <a:avLst/>
                    </a:prstGeom>
                  </pic:spPr>
                </pic:pic>
              </a:graphicData>
            </a:graphic>
          </wp:inline>
        </w:drawing>
      </w:r>
    </w:p>
    <w:p w14:paraId="6135A682" w14:textId="08A968E4" w:rsidR="00007F6C" w:rsidRPr="00582C49" w:rsidRDefault="00007F6C" w:rsidP="004B726A">
      <w:pPr>
        <w:ind w:left="480"/>
        <w:jc w:val="center"/>
        <w:rPr>
          <w:rFonts w:ascii="Calibri" w:hAnsi="Calibri"/>
          <w:i/>
          <w:iCs/>
          <w:color w:val="44546A" w:themeColor="text2"/>
          <w:sz w:val="18"/>
          <w:szCs w:val="18"/>
        </w:rPr>
      </w:pPr>
      <w:bookmarkStart w:id="148" w:name="_Ref51158871"/>
      <w:bookmarkStart w:id="149" w:name="_Toc69114937"/>
      <w:r w:rsidRPr="00582C49">
        <w:rPr>
          <w:rFonts w:ascii="Calibri" w:hAnsi="Calibri"/>
          <w:i/>
          <w:iCs/>
          <w:color w:val="44546A" w:themeColor="text2"/>
          <w:sz w:val="18"/>
          <w:szCs w:val="18"/>
        </w:rPr>
        <w:t>Figure 2.</w:t>
      </w:r>
      <w:r w:rsidR="00285C23">
        <w:rPr>
          <w:rFonts w:ascii="Calibri" w:hAnsi="Calibri"/>
          <w:i/>
          <w:iCs/>
          <w:color w:val="44546A" w:themeColor="text2"/>
          <w:sz w:val="18"/>
          <w:szCs w:val="18"/>
        </w:rPr>
        <w:fldChar w:fldCharType="begin"/>
      </w:r>
      <w:r w:rsidR="00285C23">
        <w:rPr>
          <w:rFonts w:ascii="Calibri" w:hAnsi="Calibri"/>
          <w:i/>
          <w:iCs/>
          <w:color w:val="44546A" w:themeColor="text2"/>
          <w:sz w:val="18"/>
          <w:szCs w:val="18"/>
        </w:rPr>
        <w:instrText xml:space="preserve"> SEQ Figure \* ARABIC </w:instrText>
      </w:r>
      <w:r w:rsidR="00285C23">
        <w:rPr>
          <w:rFonts w:ascii="Calibri" w:hAnsi="Calibri"/>
          <w:i/>
          <w:iCs/>
          <w:color w:val="44546A" w:themeColor="text2"/>
          <w:sz w:val="18"/>
          <w:szCs w:val="18"/>
        </w:rPr>
        <w:fldChar w:fldCharType="separate"/>
      </w:r>
      <w:r w:rsidR="007E7970">
        <w:rPr>
          <w:rFonts w:ascii="Calibri" w:hAnsi="Calibri"/>
          <w:i/>
          <w:iCs/>
          <w:noProof/>
          <w:color w:val="44546A" w:themeColor="text2"/>
          <w:sz w:val="18"/>
          <w:szCs w:val="18"/>
        </w:rPr>
        <w:t>25</w:t>
      </w:r>
      <w:r w:rsidR="00285C23">
        <w:rPr>
          <w:rFonts w:ascii="Calibri" w:hAnsi="Calibri"/>
          <w:i/>
          <w:iCs/>
          <w:color w:val="44546A" w:themeColor="text2"/>
          <w:sz w:val="18"/>
          <w:szCs w:val="18"/>
        </w:rPr>
        <w:fldChar w:fldCharType="end"/>
      </w:r>
      <w:bookmarkEnd w:id="148"/>
      <w:r w:rsidRPr="00582C49">
        <w:rPr>
          <w:rFonts w:ascii="Calibri" w:hAnsi="Calibri"/>
          <w:i/>
          <w:iCs/>
          <w:color w:val="44546A" w:themeColor="text2"/>
          <w:sz w:val="18"/>
          <w:szCs w:val="18"/>
        </w:rPr>
        <w:t xml:space="preserve">: Diagram of the 4PP apparatus </w:t>
      </w:r>
      <w:r w:rsidRPr="00582C49">
        <w:rPr>
          <w:rFonts w:ascii="Calibri" w:hAnsi="Calibri"/>
          <w:i/>
          <w:iCs/>
          <w:color w:val="44546A" w:themeColor="text2"/>
          <w:sz w:val="18"/>
          <w:szCs w:val="18"/>
        </w:rPr>
        <w:fldChar w:fldCharType="begin" w:fldLock="1"/>
      </w:r>
      <w:r w:rsidR="00D80A5D">
        <w:rPr>
          <w:rFonts w:ascii="Calibri" w:hAnsi="Calibri"/>
          <w:i/>
          <w:iCs/>
          <w:color w:val="44546A" w:themeColor="text2"/>
          <w:sz w:val="18"/>
          <w:szCs w:val="18"/>
        </w:rPr>
        <w:instrText>ADDIN CSL_CITATION {"citationItems":[{"id":"ITEM-1","itemData":{"URL":"http://pveducation.org/pvcdrom/characterisation/four-point-probe-resistivity-measurements","author":[{"dropping-particle":"","family":"Honsberg","given":"C","non-dropping-particle":"","parse-names":false,"suffix":""}],"id":"ITEM-1","issue":"30/01/2017","issued":{"date-parts":[["2015"]]},"title":"Four Point Probe Resistivity measurements.  ","type":"webpage","volume":"2017"},"uris":["http://www.mendeley.com/documents/?uuid=6889fc05-7fca-479b-94e5-54d3e7ab6440"]}],"mendeley":{"formattedCitation":"[288]","plainTextFormattedCitation":"[288]","previouslyFormattedCitation":"[288]"},"properties":{"noteIndex":0},"schema":"https://github.com/citation-style-language/schema/raw/master/csl-citation.json"}</w:instrText>
      </w:r>
      <w:r w:rsidRPr="00582C49">
        <w:rPr>
          <w:rFonts w:ascii="Calibri" w:hAnsi="Calibri"/>
          <w:i/>
          <w:iCs/>
          <w:color w:val="44546A" w:themeColor="text2"/>
          <w:sz w:val="18"/>
          <w:szCs w:val="18"/>
        </w:rPr>
        <w:fldChar w:fldCharType="separate"/>
      </w:r>
      <w:r w:rsidR="006C586A" w:rsidRPr="006C586A">
        <w:rPr>
          <w:rFonts w:ascii="Calibri" w:hAnsi="Calibri"/>
          <w:iCs/>
          <w:noProof/>
          <w:color w:val="44546A" w:themeColor="text2"/>
          <w:sz w:val="18"/>
          <w:szCs w:val="18"/>
        </w:rPr>
        <w:t>[288]</w:t>
      </w:r>
      <w:bookmarkEnd w:id="149"/>
      <w:r w:rsidRPr="00582C49">
        <w:rPr>
          <w:rFonts w:ascii="Calibri" w:hAnsi="Calibri"/>
          <w:i/>
          <w:iCs/>
          <w:color w:val="44546A" w:themeColor="text2"/>
          <w:sz w:val="18"/>
          <w:szCs w:val="18"/>
        </w:rPr>
        <w:fldChar w:fldCharType="end"/>
      </w:r>
    </w:p>
    <w:p w14:paraId="6241A576" w14:textId="77777777" w:rsidR="00007F6C" w:rsidRPr="002B6C9E" w:rsidRDefault="00007F6C" w:rsidP="004B726A">
      <w:pPr>
        <w:jc w:val="both"/>
      </w:pPr>
      <w:r w:rsidRPr="002B6C9E">
        <w:t>As alluded to earlier probe contact is key to maintaining the accuracy of this technique. To reduce the impact of this factor the tip of the probe is usually coated in a paste to ensure electrical contact is maximised during testing.</w:t>
      </w:r>
    </w:p>
    <w:p w14:paraId="0B7590B6" w14:textId="56B811FD" w:rsidR="00007F6C" w:rsidRDefault="00007F6C" w:rsidP="004B726A">
      <w:pPr>
        <w:jc w:val="both"/>
      </w:pPr>
      <w:r>
        <w:t xml:space="preserve">This technique has been used relatively sparingly with only a handful of studies using this method to study the cell voltage characteristics under load. Providing suitable electrical contact is maintained; DC conductivity measurements map the potential difference with a high amount of stability </w:t>
      </w:r>
      <w:r>
        <w:fldChar w:fldCharType="begin" w:fldLock="1"/>
      </w:r>
      <w:r w:rsidR="00D80A5D">
        <w:instrText>ADDIN CSL_CITATION {"citationItems":[{"id":"ITEM-1","itemData":{"DOI":"10.1149/1.2193400","ISBN":"0013-4651","ISSN":"00134651","abstract":"The degradation behavior of anode supported solid oxide fuel cells ͑SOFCs͒ was investigated as a function of operating tempera-ture and current density. Degradation rates were defined and shown to be mainly dependent on the cell polarization. The combi-nation of a detailed evaluation of electrochemical properties by impedance spectroscopy, in particular, and post-test microscopy revealed that cathode degradation was the dominant contribution to degradation at higher current densities and lower temperatures. The anode was found to contribute more to degradation at higher temperatures. Generally, the degradation rates obtained were lower at higher operating temperatures, even at higher current densities. A degradation rate as low as 2%/1000 h was observed at 1.7 A/cm 2 and 950°C over an operating period of 1500 h. Long-term stability is an important requirement for the applica-tion of fuel cell technology. The total degradation of the cell perfor-mance while operating under constant conditions is the sum of con-tributions from all constituents of the test assembly ͓anode, cathode, electrolyte of the solid oxide fuel cell ͑SOFC͒, their interfaces, and perhaps also auxiliary components 1,2","author":[{"dropping-particle":"","family":"Barfod","given":"Rasmus","non-dropping-particle":"","parse-names":false,"suffix":""},{"dropping-particle":"","family":"Hagen","given":"Anke","non-dropping-particle":"","parse-names":false,"suffix":""},{"dropping-particle":"","family":"Ramousse","given":"Severine","non-dropping-particle":"","parse-names":false,"suffix":""},{"dropping-particle":"","family":"Hendriksen","given":"Peter Vang","non-dropping-particle":"","parse-names":false,"suffix":""},{"dropping-particle":"","family":"Liu","given":"Yi-Lin","non-dropping-particle":"","parse-names":false,"suffix":""}],"container-title":"Journal of The Electrochemical Society","id":"ITEM-1","issue":"6","issued":{"date-parts":[["2007"]]},"page":"A1165","title":"Degradation of Anode Supported SOFCs as a Function of Temperature and Current Load","type":"article-journal","volume":"153"},"uris":["http://www.mendeley.com/documents/?uuid=32c76044-f4c8-4507-8574-f44636b27cf7"]}],"mendeley":{"formattedCitation":"[253]","plainTextFormattedCitation":"[253]","previouslyFormattedCitation":"[253]"},"properties":{"noteIndex":0},"schema":"https://github.com/citation-style-language/schema/raw/master/csl-citation.json"}</w:instrText>
      </w:r>
      <w:r>
        <w:fldChar w:fldCharType="separate"/>
      </w:r>
      <w:r w:rsidR="006C586A" w:rsidRPr="006C586A">
        <w:rPr>
          <w:noProof/>
        </w:rPr>
        <w:t>[253]</w:t>
      </w:r>
      <w:r>
        <w:fldChar w:fldCharType="end"/>
      </w:r>
      <w:r>
        <w:t xml:space="preserve">. </w:t>
      </w:r>
    </w:p>
    <w:p w14:paraId="383D5EB9" w14:textId="691BF751" w:rsidR="00007F6C" w:rsidRDefault="00007F6C" w:rsidP="00D04EC6">
      <w:pPr>
        <w:spacing w:after="0"/>
        <w:jc w:val="both"/>
      </w:pPr>
      <w:r>
        <w:t xml:space="preserve">The cell voltage was certainly more unstable at lower temperatures and this instability increased at higher current </w:t>
      </w:r>
      <w:r w:rsidRPr="001C6DAE">
        <w:t>loads (</w:t>
      </w:r>
      <w:r w:rsidRPr="001C6DAE">
        <w:fldChar w:fldCharType="begin"/>
      </w:r>
      <w:r w:rsidRPr="001C6DAE">
        <w:instrText xml:space="preserve"> REF _Ref51675820 \h </w:instrText>
      </w:r>
      <w:r>
        <w:instrText xml:space="preserve"> \* MERGEFORMAT </w:instrText>
      </w:r>
      <w:r w:rsidRPr="001C6DAE">
        <w:fldChar w:fldCharType="separate"/>
      </w:r>
      <w:r w:rsidR="007E7970" w:rsidRPr="007E7970">
        <w:t>Figure 2.26</w:t>
      </w:r>
      <w:r w:rsidRPr="001C6DAE">
        <w:fldChar w:fldCharType="end"/>
      </w:r>
      <w:r w:rsidRPr="001C6DAE">
        <w:t>).</w:t>
      </w:r>
      <w:r>
        <w:t xml:space="preserve"> This is certainly a cause for concern when looking at infiltrated anodes that would be suitable for SOFCs.  A lot more research using DC conductivity measurements of ion impregnated systems are required for this technique to be highly viable.</w:t>
      </w:r>
    </w:p>
    <w:p w14:paraId="2567B96C" w14:textId="77777777" w:rsidR="00007F6C" w:rsidRDefault="00007F6C" w:rsidP="004B726A">
      <w:pPr>
        <w:jc w:val="both"/>
      </w:pPr>
      <w:r>
        <w:rPr>
          <w:noProof/>
          <w:lang w:eastAsia="en-GB"/>
        </w:rPr>
        <w:drawing>
          <wp:inline distT="0" distB="0" distL="0" distR="0" wp14:anchorId="69C890A3" wp14:editId="4E619EB2">
            <wp:extent cx="5731510" cy="1925955"/>
            <wp:effectExtent l="0" t="0" r="254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DC Conductivity measurements.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1510" cy="1925955"/>
                    </a:xfrm>
                    <a:prstGeom prst="rect">
                      <a:avLst/>
                    </a:prstGeom>
                  </pic:spPr>
                </pic:pic>
              </a:graphicData>
            </a:graphic>
          </wp:inline>
        </w:drawing>
      </w:r>
    </w:p>
    <w:p w14:paraId="17413263" w14:textId="1F2E0D30" w:rsidR="00007F6C" w:rsidRPr="001C6DAE" w:rsidRDefault="00007F6C" w:rsidP="004B726A">
      <w:pPr>
        <w:jc w:val="center"/>
        <w:rPr>
          <w:i/>
          <w:iCs/>
          <w:color w:val="44546A" w:themeColor="text2"/>
          <w:sz w:val="18"/>
          <w:szCs w:val="18"/>
        </w:rPr>
      </w:pPr>
      <w:bookmarkStart w:id="150" w:name="_Ref51675820"/>
      <w:bookmarkStart w:id="151" w:name="_Toc69114938"/>
      <w:r w:rsidRPr="00F46652">
        <w:rPr>
          <w:i/>
          <w:iCs/>
          <w:color w:val="44546A" w:themeColor="text2"/>
          <w:sz w:val="18"/>
          <w:szCs w:val="18"/>
        </w:rPr>
        <w:t>Figure 2.</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7E7970">
        <w:rPr>
          <w:i/>
          <w:iCs/>
          <w:noProof/>
          <w:color w:val="44546A" w:themeColor="text2"/>
          <w:sz w:val="18"/>
          <w:szCs w:val="18"/>
        </w:rPr>
        <w:t>26</w:t>
      </w:r>
      <w:r w:rsidR="00285C23">
        <w:rPr>
          <w:i/>
          <w:iCs/>
          <w:color w:val="44546A" w:themeColor="text2"/>
          <w:sz w:val="18"/>
          <w:szCs w:val="18"/>
        </w:rPr>
        <w:fldChar w:fldCharType="end"/>
      </w:r>
      <w:bookmarkEnd w:id="150"/>
      <w:r w:rsidRPr="00F46652">
        <w:rPr>
          <w:i/>
          <w:iCs/>
          <w:color w:val="44546A" w:themeColor="text2"/>
          <w:sz w:val="18"/>
          <w:szCs w:val="18"/>
        </w:rPr>
        <w:t>: DC Conductivity measurements of infiltrated Ni/YSZ samples heated at (a) 750</w:t>
      </w:r>
      <w:r w:rsidR="007E7970">
        <w:rPr>
          <w:i/>
          <w:iCs/>
          <w:color w:val="44546A" w:themeColor="text2"/>
          <w:sz w:val="18"/>
          <w:szCs w:val="18"/>
        </w:rPr>
        <w:t xml:space="preserve"> </w:t>
      </w:r>
      <w:r w:rsidRPr="00F46652">
        <w:rPr>
          <w:i/>
          <w:iCs/>
          <w:color w:val="44546A" w:themeColor="text2"/>
          <w:sz w:val="18"/>
          <w:szCs w:val="18"/>
        </w:rPr>
        <w:t>°C and (b) 850</w:t>
      </w:r>
      <w:r w:rsidR="007E7970">
        <w:rPr>
          <w:i/>
          <w:iCs/>
          <w:color w:val="44546A" w:themeColor="text2"/>
          <w:sz w:val="18"/>
          <w:szCs w:val="18"/>
        </w:rPr>
        <w:t xml:space="preserve"> </w:t>
      </w:r>
      <w:r w:rsidRPr="00F46652">
        <w:rPr>
          <w:i/>
          <w:iCs/>
          <w:color w:val="44546A" w:themeColor="text2"/>
          <w:sz w:val="18"/>
          <w:szCs w:val="18"/>
        </w:rPr>
        <w:t xml:space="preserve">°C </w:t>
      </w:r>
      <w:r w:rsidRPr="00F46652">
        <w:rPr>
          <w:i/>
          <w:iCs/>
          <w:color w:val="44546A" w:themeColor="text2"/>
          <w:sz w:val="18"/>
          <w:szCs w:val="18"/>
        </w:rPr>
        <w:fldChar w:fldCharType="begin" w:fldLock="1"/>
      </w:r>
      <w:r w:rsidR="00D80A5D">
        <w:rPr>
          <w:i/>
          <w:iCs/>
          <w:color w:val="44546A" w:themeColor="text2"/>
          <w:sz w:val="18"/>
          <w:szCs w:val="18"/>
        </w:rPr>
        <w:instrText>ADDIN CSL_CITATION {"citationItems":[{"id":"ITEM-1","itemData":{"DOI":"10.1149/1.2193400","ISBN":"0013-4651","ISSN":"00134651","abstract":"The degradation behavior of anode supported solid oxide fuel cells ͑SOFCs͒ was investigated as a function of operating tempera-ture and current density. Degradation rates were defined and shown to be mainly dependent on the cell polarization. The combi-nation of a detailed evaluation of electrochemical properties by impedance spectroscopy, in particular, and post-test microscopy revealed that cathode degradation was the dominant contribution to degradation at higher current densities and lower temperatures. The anode was found to contribute more to degradation at higher temperatures. Generally, the degradation rates obtained were lower at higher operating temperatures, even at higher current densities. A degradation rate as low as 2%/1000 h was observed at 1.7 A/cm 2 and 950°C over an operating period of 1500 h. Long-term stability is an important requirement for the applica-tion of fuel cell technology. The total degradation of the cell perfor-mance while operating under constant conditions is the sum of con-tributions from all constituents of the test assembly ͓anode, cathode, electrolyte of the solid oxide fuel cell ͑SOFC͒, their interfaces, and perhaps also auxiliary components 1,2","author":[{"dropping-particle":"","family":"Barfod","given":"Rasmus","non-dropping-particle":"","parse-names":false,"suffix":""},{"dropping-particle":"","family":"Hagen","given":"Anke","non-dropping-particle":"","parse-names":false,"suffix":""},{"dropping-particle":"","family":"Ramousse","given":"Severine","non-dropping-particle":"","parse-names":false,"suffix":""},{"dropping-particle":"","family":"Hendriksen","given":"Peter Vang","non-dropping-particle":"","parse-names":false,"suffix":""},{"dropping-particle":"","family":"Liu","given":"Yi-Lin","non-dropping-particle":"","parse-names":false,"suffix":""}],"container-title":"Journal of The Electrochemical Society","id":"ITEM-1","issue":"6","issued":{"date-parts":[["2007"]]},"page":"A1165","title":"Degradation of Anode Supported SOFCs as a Function of Temperature and Current Load","type":"article-journal","volume":"153"},"uris":["http://www.mendeley.com/documents/?uuid=32c76044-f4c8-4507-8574-f44636b27cf7"]}],"mendeley":{"formattedCitation":"[253]","plainTextFormattedCitation":"[253]","previouslyFormattedCitation":"[253]"},"properties":{"noteIndex":0},"schema":"https://github.com/citation-style-language/schema/raw/master/csl-citation.json"}</w:instrText>
      </w:r>
      <w:r w:rsidRPr="00F46652">
        <w:rPr>
          <w:i/>
          <w:iCs/>
          <w:color w:val="44546A" w:themeColor="text2"/>
          <w:sz w:val="18"/>
          <w:szCs w:val="18"/>
        </w:rPr>
        <w:fldChar w:fldCharType="separate"/>
      </w:r>
      <w:r w:rsidR="006C586A" w:rsidRPr="006C586A">
        <w:rPr>
          <w:iCs/>
          <w:noProof/>
          <w:color w:val="44546A" w:themeColor="text2"/>
          <w:sz w:val="18"/>
          <w:szCs w:val="18"/>
        </w:rPr>
        <w:t>[253]</w:t>
      </w:r>
      <w:r w:rsidRPr="00F46652">
        <w:rPr>
          <w:i/>
          <w:iCs/>
          <w:color w:val="44546A" w:themeColor="text2"/>
          <w:sz w:val="18"/>
          <w:szCs w:val="18"/>
        </w:rPr>
        <w:fldChar w:fldCharType="end"/>
      </w:r>
      <w:r w:rsidRPr="00F46652">
        <w:rPr>
          <w:i/>
          <w:iCs/>
          <w:color w:val="44546A" w:themeColor="text2"/>
          <w:sz w:val="18"/>
          <w:szCs w:val="18"/>
        </w:rPr>
        <w:t>.</w:t>
      </w:r>
      <w:bookmarkEnd w:id="151"/>
    </w:p>
    <w:p w14:paraId="3F26C9D9" w14:textId="2071F8CD" w:rsidR="00007F6C" w:rsidRDefault="00007F6C" w:rsidP="00D04EC6">
      <w:pPr>
        <w:jc w:val="both"/>
      </w:pPr>
      <w:bookmarkStart w:id="152" w:name="_Ref469056792"/>
      <w:bookmarkStart w:id="153" w:name="_Ref469056806"/>
      <w:bookmarkStart w:id="154" w:name="_Ref469056811"/>
      <w:bookmarkStart w:id="155" w:name="_Ref469056816"/>
      <w:r w:rsidRPr="002B6C9E">
        <w:lastRenderedPageBreak/>
        <w:t xml:space="preserve">In a large majority of the recent literature there has been one core parameter which has been described as the controlling factor for the hydrogen oxidation kinetics. The line specific resistance (LSR, Ωm) is defined as the polarisation resistance generated along a triple phase boundary line. </w:t>
      </w:r>
    </w:p>
    <w:p w14:paraId="4E1A6A57" w14:textId="54FC5741" w:rsidR="00007F6C" w:rsidRPr="002B6C9E" w:rsidRDefault="00007F6C" w:rsidP="004B726A">
      <w:pPr>
        <w:jc w:val="both"/>
      </w:pPr>
      <w:r w:rsidRPr="002B6C9E">
        <w:t xml:space="preserve">A standout study by </w:t>
      </w:r>
      <w:r w:rsidRPr="002B6C9E">
        <w:rPr>
          <w:i/>
          <w:iCs/>
        </w:rPr>
        <w:t xml:space="preserve">Rao et al </w:t>
      </w:r>
      <w:r w:rsidRPr="002B6C9E">
        <w:t>demonstrated that the LSR is crystal structure dependent</w:t>
      </w:r>
      <w:r>
        <w:t xml:space="preserve"> </w:t>
      </w:r>
      <w:r>
        <w:fldChar w:fldCharType="begin" w:fldLock="1"/>
      </w:r>
      <w:r w:rsidR="00D80A5D">
        <w:instrText>ADDIN CSL_CITATION {"citationItems":[{"id":"ITEM-1","itemData":{"DOI":"10.1002/fuce.201800166","ISSN":"16156854","abstract":"In the renewable energy scenario, energy storage is of essence. In this context, power-to-liquid (PtL) and power-to-gas (PtG) concepts have attracted large attention, where the use of solid oxide electrolysis cells (SOECs) has a huge potential, due to their high conversion efficiencies. However, performance and durability of these cells still need to be improved for a large-scale commercialization of the SOEC technology. It is often difficult to identify the various loss and degradation mechanisms limiting the cell performance and durability. This paper contributes to this scientific discussion, by providing a careful analysis of the degradation mechanisms occurring in three different cells during long-term H2O and CO2 co-electrolysis, at 1,200 mV. Electrochemical impedance spectroscopy (EIS) is measured before, during and after the electrolysis operation, and is utilized to address the individual electrode degradation mechanisms and the development of leaks through the electrolyte. Moreover, the leak rates under open circuit voltage (OCV) measurements were compared. In addition, microstructural analysis of the electrodes and electrolytes is related to the electrochemical findings to contribute to the discussion on the interdependency of the degradation mechanisms.","author":[{"dropping-particle":"","family":"Rao","given":"M.","non-dropping-particle":"","parse-names":false,"suffix":""},{"dropping-particle":"","family":"Jensen","given":"S. H.","non-dropping-particle":"","parse-names":false,"suffix":""},{"dropping-particle":"","family":"Sun","given":"X.","non-dropping-particle":"","parse-names":false,"suffix":""},{"dropping-particle":"","family":"Hagen","given":"A.","non-dropping-particle":"","parse-names":false,"suffix":""}],"container-title":"Fuel Cells","id":"ITEM-1","issue":"4","issued":{"date-parts":[["2019"]]},"page":"445-457","title":"Unwinding Entangled Degradation Mechanisms in Solid Oxide Electrolysis Cells Through Electrode Modifications and Impedance Analysis","type":"article-journal","volume":"19"},"uris":["http://www.mendeley.com/documents/?uuid=a64a168d-2653-45b3-8e45-0cc148ac2e0e"]}],"mendeley":{"formattedCitation":"[289]","plainTextFormattedCitation":"[289]","previouslyFormattedCitation":"[289]"},"properties":{"noteIndex":0},"schema":"https://github.com/citation-style-language/schema/raw/master/csl-citation.json"}</w:instrText>
      </w:r>
      <w:r>
        <w:fldChar w:fldCharType="separate"/>
      </w:r>
      <w:r w:rsidR="006C586A" w:rsidRPr="006C586A">
        <w:rPr>
          <w:noProof/>
        </w:rPr>
        <w:t>[289]</w:t>
      </w:r>
      <w:r>
        <w:fldChar w:fldCharType="end"/>
      </w:r>
      <w:r w:rsidRPr="002B6C9E">
        <w:t xml:space="preserve">. Symmetrical patterned Ni/YSZ cells are analysed using EIS and formed almost complete single semicircle arcs. The total polarisation resistance exhibited a crystal structure dependence listed below in order of favour: </w:t>
      </w:r>
    </w:p>
    <w:p w14:paraId="666E63A5" w14:textId="77777777" w:rsidR="00007F6C" w:rsidRPr="002B6C9E" w:rsidRDefault="00007F6C" w:rsidP="00D04EC6">
      <w:pPr>
        <w:numPr>
          <w:ilvl w:val="0"/>
          <w:numId w:val="11"/>
        </w:numPr>
        <w:spacing w:after="0"/>
        <w:jc w:val="both"/>
      </w:pPr>
      <w:r w:rsidRPr="002B6C9E">
        <w:t>&lt;100&gt;</w:t>
      </w:r>
    </w:p>
    <w:p w14:paraId="33F19B31" w14:textId="77777777" w:rsidR="00007F6C" w:rsidRPr="002B6C9E" w:rsidRDefault="00007F6C" w:rsidP="00D04EC6">
      <w:pPr>
        <w:numPr>
          <w:ilvl w:val="0"/>
          <w:numId w:val="11"/>
        </w:numPr>
        <w:spacing w:after="0"/>
        <w:jc w:val="both"/>
      </w:pPr>
      <w:r w:rsidRPr="002B6C9E">
        <w:t>&lt;111&gt;</w:t>
      </w:r>
    </w:p>
    <w:p w14:paraId="56DB7001" w14:textId="77777777" w:rsidR="00007F6C" w:rsidRPr="002B6C9E" w:rsidRDefault="00007F6C" w:rsidP="00D04EC6">
      <w:pPr>
        <w:numPr>
          <w:ilvl w:val="0"/>
          <w:numId w:val="11"/>
        </w:numPr>
        <w:jc w:val="both"/>
      </w:pPr>
      <w:r w:rsidRPr="002B6C9E">
        <w:t>&lt;110&gt;</w:t>
      </w:r>
    </w:p>
    <w:p w14:paraId="3B64C1F6" w14:textId="6C78BFFB" w:rsidR="00007F6C" w:rsidRPr="002B6C9E" w:rsidRDefault="00007F6C" w:rsidP="004B726A">
      <w:pPr>
        <w:jc w:val="both"/>
      </w:pPr>
      <w:r w:rsidRPr="00654E34">
        <w:t>The LSR values for the &lt;100&gt; direction was in fact 50</w:t>
      </w:r>
      <w:r>
        <w:t xml:space="preserve"> </w:t>
      </w:r>
      <w:r w:rsidRPr="00654E34">
        <w:t>% lower than the other two directions. This was mirrored by the capacitance of the Ni/YSZ system, respectively. This supports the findings of the Borodzinski</w:t>
      </w:r>
      <w:r w:rsidRPr="002B6C9E">
        <w:rPr>
          <w:i/>
          <w:iCs/>
        </w:rPr>
        <w:t xml:space="preserve"> </w:t>
      </w:r>
      <w:r w:rsidRPr="002B6C9E">
        <w:t>relative diameter model which also hinted at &lt;100&gt; Cuboctahedra being formed by the Ni crystallites</w:t>
      </w:r>
      <w:r>
        <w:t xml:space="preserve"> </w:t>
      </w:r>
      <w:r>
        <w:fldChar w:fldCharType="begin" w:fldLock="1"/>
      </w:r>
      <w:r w:rsidR="00D80A5D">
        <w:instrText xml:space="preserve">ADDIN CSL_CITATION {"citationItems":[{"id":"ITEM-1","itemData":{"DOI":"10.1021/la962103u","ISSN":"07437463","abstract":"Universal mathematical relations between the mean relative size of metallic crystallites (drel(VS)) and their dispersion (FE) in supported metal catalysts have been developed. The relations are: drel(VS) = 5.01/FE for FE &lt; 0.2, and drel(VS) = 3.32/FE1.23 for 0.2 ≤ FE ≤ 0.92, where drel(VS) = dVS/dat, (dVS) is the volume-surface mean diameter of an assembly of particles of different sizes, and dat is the atomic diameter of a given metal. It is shown that for FE &gt; 0.2 the commonly used definition of dVS should be modified. The developed relations apply well to various thermodynamically probable crystallite shapes including fee cubooctahedra of varying geometry, icosahedra, surface-reconstructed cubooctahedra, bcc rhombic dodecahedra, and hep truncated bipyramids. The new relations are more precise than the commonly used equation dVS = α/FE, where α is a constant specific to a given metal.","author":[{"dropping-particle":"","family":"Borodziński","given":"Andrzej","non-dropping-particle":"","parse-names":false,"suffix":""},{"dropping-particle":"","family":"Bonarowska","given":"Magdalena","non-dropping-particle":"","parse-names":false,"suffix":""}],"container-title":"Langmuir","id":"ITEM-1","issue":"21","issued":{"date-parts":[["1997"]]},"page":"5613-5620","title":"Relation between crystallite size and dispersion on supported metal catalysts","type":"article-journal","volume":"13"},"uris":["http://www.mendeley.com/documents/?uuid=7557bdae-45b0-4d74-8cc9-c409ff3e96af"]},{"id":"ITEM-2","itemData":{"DOI":"10.1039/c5ee03858h","ISBN":"1754-5692","ISSN":"17545706","abstract":"This article provides a perspective review of low-temperature solid oxide fuel cells research and development.This article provides a perspective on solid oxide fuel cells operating at low temperature, defined here to be the range from </w:instrText>
      </w:r>
      <w:r w:rsidR="00D80A5D">
        <w:rPr>
          <w:rFonts w:ascii="Cambria Math" w:hAnsi="Cambria Math" w:cs="Cambria Math"/>
        </w:rPr>
        <w:instrText>∼</w:instrText>
      </w:r>
      <w:r w:rsidR="00D80A5D">
        <w:instrText xml:space="preserve">400 </w:instrText>
      </w:r>
      <w:r w:rsidR="00D80A5D">
        <w:rPr>
          <w:rFonts w:ascii="Calibri" w:hAnsi="Calibri" w:cs="Calibri"/>
        </w:rPr>
        <w:instrText>°</w:instrText>
      </w:r>
      <w:r w:rsidR="00D80A5D">
        <w:instrText xml:space="preserve">C to 650 </w:instrText>
      </w:r>
      <w:r w:rsidR="00D80A5D">
        <w:rPr>
          <w:rFonts w:ascii="Calibri" w:hAnsi="Calibri" w:cs="Calibri"/>
        </w:rPr>
        <w:instrText>°</w:instrText>
      </w:r>
      <w:r w:rsidR="00D80A5D">
        <w:instrText>C. These low-temperature solid oxide fuel cells (LT-SOFCs) have seen considerable research and development and are widely viewed as the “next generation” technology, following the 650–850 °C SOFCs that are currently undergoing commercialization. LT-SOFCs have potential advantages for conventional SOFC applications such as stationary power generation, and may be viable for new portable and transportation power applications, along with electrolytic fuel production and energy storage. The characteristics of electrolyte and electrode materials are reviewed, with a focus on materials that have demonstrated good properties and cell performance at low temperature. Only oxygen-ion-conducting electrolytes are considered here. Anode materials are discussed, primarily the various Ni–cermet anode compositions that yield good low-temperature performance. Mixed ionically and electronically conducting cathode materials are described in detail, reflecting the extensive research activity that has aimed at providing useful oxygen reduction kinetics at low operating temperature. Cell design, materials compatibility, processing methods, and resulting microstructures are discussed, along with their role in determining cell performance. Results from state of the art LT-SOFCs are presented, and future prospects are discussed.","author":[{"dropping-particle":"","family":"Gao","given":"Zhan","non-dropping-particle":"","parse-names":false,"suffix":""},{"dropping-particle":"V.","family":"Mogni","given":"Liliana","non-dropping-particle":"","parse-names":false,"suffix":""},{"dropping-particle":"","family":"Miller","given":"Elizabeth C.","non-dropping-particle":"","parse-names":false,"suffix":""},{"dropping-particle":"","family":"Railsback","given":"Justin G.","non-dropping-particle":"","parse-names":false,"suffix":""},{"dropping-particle":"","family":"Barnett","given":"Scott A.","non-dropping-particle":"","parse-names":false,"suffix":""}],"container-title":"Energy and Environmental Science","id":"ITEM-2","issue":"5","issued":{"date-parts":[["2016"]]},"language":"English","note":"Dl5tj\nTimes Cited:5\nCited References Count:505","page":"1602-1644","title":"A perspective on low-temperature solid oxide fuel cells","type":"article-journal","volume":"9"},"uris":["http://www.mendeley.com/documents/?uuid=ebe18e5a-0207-4340-a107-37bc019ae173"]},{"id":"ITEM-3","itemData":{"DOI":"http://dx.doi.org/10.1016/j.ssi.2010.06.025","ISBN":"0167-2738","abstract":"In order to investigate the role played by the solid electrolyte in the H2 oxidation reaction, patterned Ni electrodes on YSZ (yttria stabilized zirconia) single crystals with different crystallographic orientations, on polycrystalline YSZ and on polycrystalline LSGM ((La,Sr)(Ga,Mg)O3 − x) were studied in H2 + H2O gas as a function of partial pressure of H2O in the temperature range of 673–823 K. Symmetrical cells using YSZ single crystals exhibit a single almost perfect electrode semicircle in the Nyquist plot. The corresponding polarisation resistance (Rp) depends on the surface orientation of the YSZ single crystals with a maximum of Rp for &lt; 110&gt; and a minimum for &lt; 100&gt;. The capacitance obtained from the impedance arc is almost temperature independent but different for the three surfaces. In the case of polycrystalline YSZ a depressed impedance arc results with the capacitance being between the extreme values measured for single crystals of different orientation. A modified situation is found for patterned Ni electrode on LSGM: the capacitance of the single arc depends on temperature and is much larger than in the case of YSZ cells. The polarisation resistance on polycrystalline LSGM is much smaller than on polycrystalline YSZ while activation energies of the polarization resistance are still similar. Capacitances and resistances are discussed in terms of possible mechanisms.","author":[{"dropping-particle":"","family":"Rao","given":"Manga Venkateswara","non-dropping-particle":"","parse-names":false,"suffix":""},{"dropping-particle":"","family":"Fleig","given":"Juergen","non-dropping-particle":"","parse-names":false,"suffix":""},{"dropping-particle":"","family":"Zinkevich","given":"Matvei","non-dropping-particle":"","parse-names":false,"suffix":""},{"dropping-particle":"","family":"Aldinger","given":"Fritz","non-dropping-particle":"","parse-names":false,"suffix":""}],"container-title":"Solid State Ionics","id":"ITEM-3","issue":"25–26","issued":{"date-parts":[["2010"]]},"page":"1170-1177","title":"The influence of the solid electrolyte on the impedance of hydrogen oxidation at patterned Ni electrodes","type":"article-journal","volume":"181"},"uris":["http://www.mendeley.com/documents/?uuid=4c16c902-6926-44e1-ab42-97221c2ebc19"]}],"mendeley":{"formattedCitation":"[100], [221], [290]","plainTextFormattedCitation":"[100], [221], [290]","previouslyFormattedCitation":"[100], [221], [290]"},"properties":{"noteIndex":0},"schema":"https://github.com/citation-style-language/schema/raw/master/csl-citation.json"}</w:instrText>
      </w:r>
      <w:r>
        <w:fldChar w:fldCharType="separate"/>
      </w:r>
      <w:r w:rsidR="006C586A" w:rsidRPr="006C586A">
        <w:rPr>
          <w:noProof/>
        </w:rPr>
        <w:t>[100], [221], [290]</w:t>
      </w:r>
      <w:r>
        <w:fldChar w:fldCharType="end"/>
      </w:r>
      <w:r w:rsidRPr="002B6C9E">
        <w:t xml:space="preserve">. </w:t>
      </w:r>
      <w:r>
        <w:t xml:space="preserve"> </w:t>
      </w:r>
    </w:p>
    <w:p w14:paraId="2371CDEA" w14:textId="77777777" w:rsidR="00007F6C" w:rsidRPr="002B6C9E" w:rsidRDefault="00007F6C" w:rsidP="004B726A">
      <w:pPr>
        <w:jc w:val="both"/>
      </w:pPr>
      <w:r w:rsidRPr="002B6C9E">
        <w:t>In composite electrodes such as Ni/YSZ anodes it can be tough the gauge the R</w:t>
      </w:r>
      <w:r w:rsidRPr="002B6C9E">
        <w:rPr>
          <w:vertAlign w:val="subscript"/>
        </w:rPr>
        <w:t>PA</w:t>
      </w:r>
      <w:r w:rsidRPr="002B6C9E">
        <w:t xml:space="preserve"> due to the multiple contributions from the different materials. This challenge has been steadily overcome using models such as the transmission line model which has been utilised in a variety of studies.  </w:t>
      </w:r>
    </w:p>
    <w:p w14:paraId="5FF551CA" w14:textId="4327E41D" w:rsidR="00007F6C" w:rsidRDefault="00007F6C" w:rsidP="004B726A">
      <w:pPr>
        <w:jc w:val="both"/>
      </w:pPr>
      <w:r w:rsidRPr="00F46652">
        <w:t>The issue of temperature dependence of LSR was tackled by Utz during her study of the patterned Ni/YSZ anodes where the transmission line model was successfully used to calculate the polarisation resistance of the composite electrodes. Utz found that the LSR was much larger for intermediate temperatures (700°C as a pose to 850°C). This underlines how important minimising the LSR is to the improved efficiency of the SOFC</w:t>
      </w:r>
      <w:r>
        <w:t xml:space="preserve"> </w:t>
      </w:r>
      <w:r w:rsidR="007E7970">
        <w:t>(</w:t>
      </w:r>
      <w:r w:rsidR="007E7970" w:rsidRPr="007E7970">
        <w:fldChar w:fldCharType="begin"/>
      </w:r>
      <w:r w:rsidR="007E7970" w:rsidRPr="007E7970">
        <w:instrText xml:space="preserve"> REF _Ref68859303 \h  \* MERGEFORMAT </w:instrText>
      </w:r>
      <w:r w:rsidR="007E7970" w:rsidRPr="007E7970">
        <w:fldChar w:fldCharType="separate"/>
      </w:r>
      <w:r w:rsidR="007E7970" w:rsidRPr="007E7970">
        <w:t>Figure 2.</w:t>
      </w:r>
      <w:r w:rsidR="007E7970" w:rsidRPr="007E7970">
        <w:rPr>
          <w:noProof/>
        </w:rPr>
        <w:t>27</w:t>
      </w:r>
      <w:r w:rsidR="007E7970" w:rsidRPr="007E7970">
        <w:fldChar w:fldCharType="end"/>
      </w:r>
      <w:r w:rsidR="007E7970">
        <w:t>)</w:t>
      </w:r>
      <w:r w:rsidRPr="00F46652">
        <w:fldChar w:fldCharType="begin" w:fldLock="1"/>
      </w:r>
      <w:r w:rsidR="00D80A5D">
        <w:instrText xml:space="preserve">ADDIN CSL_CITATION {"citationItems":[{"id":"ITEM-1","itemData":{"DOI":"10.1149/1.3383041","ISSN":"00134651","abstract":"Patterned Ni anodes on Y2 O3 -stabilized ZrO 2 (YSZ) represent a promising approach to determine the kinetics of electrochemical reactions in solid oxide fuel cells. Contrary to technical Ni/YSZ cermet anodes, the reaction zone for the hydrogen oxidation has the potential to be well defined. This study is focused on the reproducibility of electrochemical characterization results of patterned Ni anodes, with a parameter variation of the partial pressures of H2 and H2 O, temperature, and polarization voltage. Considerable (electro)chemical relaxation and degradation processes with time constants in the order of some hours were found and are discussed: (i) an initial decrease in the line specific resistance (LSR) during the first 20-25 h of temperature exposure (T=800°C) attributed to a restructuring process in the Ni thin film, (ii) reversible changes in LSR upon variations of the partial pressure of H2 and H2 O in correlation to the initial gas composition, and (iii) rapid reversible changes in LSR upon anodic and cathodic polarization voltages followed by a slow relaxation. The corresponding preconditions for reliable measurement series were deduced and yield the data set of the LSR values. Furthermore, a detailed comparison of the obtained LSR values with literature data is given. © 2010 The Electrochemical Society.","author":[{"dropping-particle":"","family":"Utz","given":"A.","non-dropping-particle":"","parse-names":false,"suffix":""},{"dropping-particle":"","family":"Störmer","given":"H.","non-dropping-particle":"","parse-names":false,"suffix":""},{"dropping-particle":"","family":"Leonide","given":"A.","non-dropping-particle":"","parse-names":false,"suffix":""},{"dropping-particle":"","family":"Weber","given":"A.","non-dropping-particle":"","parse-names":false,"suffix":""},{"dropping-particle":"","family":"Ivers-Tiff́e","given":"E.","non-dropping-particle":"","parse-names":false,"suffix":""}],"container-title":"Journal of the Electrochemical Society","id":"ITEM-1","issue":"6","issued":{"date-parts":[["2010"]]},"page":"920-930","title":"Degradation and relaxation effects of ni patterned anodes in H2 - H2O atmosphere","type":"article-journal","volume":"157"},"uris":["http://www.mendeley.com/documents/?uuid=050db752-f17f-4729-b7b4-da9dfb66b667"]},{"id":"ITEM-2","itemData":{"DOI":"10.1039/c5ee03858h","ISBN":"1754-5692","ISSN":"17545706","abstract":"This article provides a perspective review of low-temperature solid oxide fuel cells research and development.This article provides a perspective on solid oxide fuel cells operating at low temperature, defined here to be the range from </w:instrText>
      </w:r>
      <w:r w:rsidR="00D80A5D">
        <w:rPr>
          <w:rFonts w:ascii="Cambria Math" w:hAnsi="Cambria Math" w:cs="Cambria Math"/>
        </w:rPr>
        <w:instrText>∼</w:instrText>
      </w:r>
      <w:r w:rsidR="00D80A5D">
        <w:instrText xml:space="preserve">400 </w:instrText>
      </w:r>
      <w:r w:rsidR="00D80A5D">
        <w:rPr>
          <w:rFonts w:ascii="Calibri" w:hAnsi="Calibri" w:cs="Calibri"/>
        </w:rPr>
        <w:instrText>°</w:instrText>
      </w:r>
      <w:r w:rsidR="00D80A5D">
        <w:instrText xml:space="preserve">C to 650 </w:instrText>
      </w:r>
      <w:r w:rsidR="00D80A5D">
        <w:rPr>
          <w:rFonts w:ascii="Calibri" w:hAnsi="Calibri" w:cs="Calibri"/>
        </w:rPr>
        <w:instrText>°</w:instrText>
      </w:r>
      <w:r w:rsidR="00D80A5D">
        <w:instrText>C. These low-temperature solid oxide fuel cells (LT-SOFCs) have seen considerable research and development and are widely viewed as the “next generation” technology, following the 650–850 °C SOFCs that are currently undergoing commercialization. LT-SOFCs have potential advantages for conventional SOFC applications such as stationary power generation, and may be viable for new portable and transportation power applications, along with electrolytic fuel production and energy storage. The characteristics of electrolyte and electrode materials are reviewed, with a focus on materials that have demonstrated good properties and cell performance at low temperature. Only oxygen-ion-conducting electrolytes are considered here. Anode materials are discussed, primarily the various Ni–cermet anode compositions that yield good low-temperature performance. Mixed ionically and electronically conducting cathode materials are described in detail, reflecting the extensive research activity that has aimed at providing useful oxygen reduction kinetics at low operating temperature. Cell design, materials compatibility, processing methods, and resulting microstructures are discussed, along with their role in determining cell performance. Results from state of the art LT-SOFCs are presented, and future prospects are discussed.","author":[{"dropping-particle":"","family":"Gao","given":"Zhan","non-dropping-particle":"","parse-names":false,"suffix":""},{"dropping-particle":"V.","family":"Mogni","given":"Liliana","non-dropping-particle":"","parse-names":false,"suffix":""},{"dropping-particle":"","family":"Miller","given":"Elizabeth C.","non-dropping-particle":"","parse-names":false,"suffix":""},{"dropping-particle":"","family":"Railsback","given":"Justin G.","non-dropping-particle":"","parse-names":false,"suffix":""},{"dropping-particle":"","family":"Barnett","given":"Scott A.","non-dropping-particle":"","parse-names":false,"suffix":""}],"container-title":"Energy and Environmental Science","id":"ITEM-2","issue":"5","issued":{"date-parts":[["2016"]]},"language":"English","note":"Dl5tj\nTimes Cited:5\nCited References Count:505","page":"1602-1644","title":"A perspective on low-temperature solid oxide fuel cells","type":"article-journal","volume":"9"},"uris":["http://www.mendeley.com/documents/?uuid=ebe18e5a-0207-4340-a107-37bc019ae173"]}],"mendeley":{"formattedCitation":"[100], [291]","plainTextFormattedCitation":"[100], [291]","previouslyFormattedCitation":"[100], [291]"},"properties":{"noteIndex":0},"schema":"https://github.com/citation-style-language/schema/raw/master/csl-citation.json"}</w:instrText>
      </w:r>
      <w:r w:rsidRPr="00F46652">
        <w:fldChar w:fldCharType="separate"/>
      </w:r>
      <w:r w:rsidR="006C586A" w:rsidRPr="006C586A">
        <w:rPr>
          <w:noProof/>
        </w:rPr>
        <w:t>[100], [291]</w:t>
      </w:r>
      <w:r w:rsidRPr="00F46652">
        <w:fldChar w:fldCharType="end"/>
      </w:r>
      <w:r w:rsidRPr="00F46652">
        <w:t xml:space="preserve">.  </w:t>
      </w:r>
    </w:p>
    <w:p w14:paraId="3099DF57" w14:textId="0CFA2F5D" w:rsidR="007E7970" w:rsidRPr="002B6C9E" w:rsidRDefault="007E7970" w:rsidP="007E7970">
      <w:pPr>
        <w:keepNext/>
        <w:jc w:val="center"/>
      </w:pPr>
      <w:r>
        <w:rPr>
          <w:noProof/>
        </w:rPr>
        <w:drawing>
          <wp:inline distT="0" distB="0" distL="0" distR="0" wp14:anchorId="74F7AFAA" wp14:editId="0B95B9B8">
            <wp:extent cx="5731510" cy="1119505"/>
            <wp:effectExtent l="0" t="0" r="2540" b="4445"/>
            <wp:docPr id="466" name="Picture 46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Graphical user interface&#10;&#10;Description automatically generated with medium confidenc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1510" cy="1119505"/>
                    </a:xfrm>
                    <a:prstGeom prst="rect">
                      <a:avLst/>
                    </a:prstGeom>
                  </pic:spPr>
                </pic:pic>
              </a:graphicData>
            </a:graphic>
          </wp:inline>
        </w:drawing>
      </w:r>
    </w:p>
    <w:p w14:paraId="37BB8995" w14:textId="0A0282E4" w:rsidR="007E7970" w:rsidRPr="007E7970" w:rsidRDefault="007E7970" w:rsidP="007E7970">
      <w:pPr>
        <w:jc w:val="center"/>
        <w:rPr>
          <w:i/>
          <w:iCs/>
          <w:color w:val="44546A" w:themeColor="text2"/>
          <w:sz w:val="20"/>
          <w:szCs w:val="20"/>
        </w:rPr>
      </w:pPr>
      <w:bookmarkStart w:id="156" w:name="_Ref68859303"/>
      <w:bookmarkStart w:id="157" w:name="_Toc69114939"/>
      <w:r w:rsidRPr="00582C49">
        <w:rPr>
          <w:i/>
          <w:iCs/>
          <w:color w:val="44546A" w:themeColor="text2"/>
          <w:sz w:val="20"/>
          <w:szCs w:val="20"/>
        </w:rPr>
        <w:t xml:space="preserve">Figure </w:t>
      </w:r>
      <w:r>
        <w:rPr>
          <w:i/>
          <w:iCs/>
          <w:color w:val="44546A" w:themeColor="text2"/>
          <w:sz w:val="20"/>
          <w:szCs w:val="20"/>
        </w:rPr>
        <w:t>2.</w:t>
      </w:r>
      <w:r>
        <w:rPr>
          <w:i/>
          <w:iCs/>
          <w:color w:val="44546A" w:themeColor="text2"/>
          <w:sz w:val="20"/>
          <w:szCs w:val="20"/>
        </w:rPr>
        <w:fldChar w:fldCharType="begin"/>
      </w:r>
      <w:r>
        <w:rPr>
          <w:i/>
          <w:iCs/>
          <w:color w:val="44546A" w:themeColor="text2"/>
          <w:sz w:val="20"/>
          <w:szCs w:val="20"/>
        </w:rPr>
        <w:instrText xml:space="preserve"> SEQ Figure \* ARABIC </w:instrText>
      </w:r>
      <w:r>
        <w:rPr>
          <w:i/>
          <w:iCs/>
          <w:color w:val="44546A" w:themeColor="text2"/>
          <w:sz w:val="20"/>
          <w:szCs w:val="20"/>
        </w:rPr>
        <w:fldChar w:fldCharType="separate"/>
      </w:r>
      <w:r>
        <w:rPr>
          <w:i/>
          <w:iCs/>
          <w:noProof/>
          <w:color w:val="44546A" w:themeColor="text2"/>
          <w:sz w:val="20"/>
          <w:szCs w:val="20"/>
        </w:rPr>
        <w:t>27</w:t>
      </w:r>
      <w:r>
        <w:rPr>
          <w:i/>
          <w:iCs/>
          <w:color w:val="44546A" w:themeColor="text2"/>
          <w:sz w:val="20"/>
          <w:szCs w:val="20"/>
        </w:rPr>
        <w:fldChar w:fldCharType="end"/>
      </w:r>
      <w:bookmarkEnd w:id="156"/>
      <w:r w:rsidRPr="00582C49">
        <w:rPr>
          <w:i/>
          <w:iCs/>
          <w:color w:val="44546A" w:themeColor="text2"/>
          <w:sz w:val="20"/>
          <w:szCs w:val="20"/>
        </w:rPr>
        <w:t>: Comparison of measured LSR values with added confidence values and comparison with other literature sources. a) 700°C b) 800°C c) 850°C</w:t>
      </w:r>
      <w:r>
        <w:rPr>
          <w:i/>
          <w:iCs/>
          <w:color w:val="44546A" w:themeColor="text2"/>
          <w:sz w:val="20"/>
          <w:szCs w:val="20"/>
        </w:rPr>
        <w:t xml:space="preserve"> </w:t>
      </w:r>
      <w:r w:rsidRPr="00582C49">
        <w:rPr>
          <w:i/>
          <w:iCs/>
          <w:color w:val="44546A" w:themeColor="text2"/>
          <w:sz w:val="20"/>
          <w:szCs w:val="20"/>
        </w:rPr>
        <w:fldChar w:fldCharType="begin" w:fldLock="1"/>
      </w:r>
      <w:r>
        <w:rPr>
          <w:i/>
          <w:iCs/>
          <w:color w:val="44546A" w:themeColor="text2"/>
          <w:sz w:val="20"/>
          <w:szCs w:val="20"/>
        </w:rPr>
        <w:instrText>ADDIN CSL_CITATION {"citationItems":[{"id":"ITEM-1","itemData":{"DOI":"10.1149/1.3383041","ISSN":"00134651","abstract":"Patterned Ni anodes on Y2 O3 -stabilized ZrO 2 (YSZ) represent a promising approach to determine the kinetics of electrochemical reactions in solid oxide fuel cells. Contrary to technical Ni/YSZ cermet anodes, the reaction zone for the hydrogen oxidation has the potential to be well defined. This study is focused on the reproducibility of electrochemical characterization results of patterned Ni anodes, with a parameter variation of the partial pressures of H2 and H2 O, temperature, and polarization voltage. Considerable (electro)chemical relaxation and degradation processes with time constants in the order of some hours were found and are discussed: (i) an initial decrease in the line specific resistance (LSR) during the first 20-25 h of temperature exposure (T=800°C) attributed to a restructuring process in the Ni thin film, (ii) reversible changes in LSR upon variations of the partial pressure of H2 and H2 O in correlation to the initial gas composition, and (iii) rapid reversible changes in LSR upon anodic and cathodic polarization voltages followed by a slow relaxation. The corresponding preconditions for reliable measurement series were deduced and yield the data set of the LSR values. Furthermore, a detailed comparison of the obtained LSR values with literature data is given. © 2010 The Electrochemical Society.","author":[{"dropping-particle":"","family":"Utz","given":"A.","non-dropping-particle":"","parse-names":false,"suffix":""},{"dropping-particle":"","family":"Störmer","given":"H.","non-dropping-particle":"","parse-names":false,"suffix":""},{"dropping-particle":"","family":"Leonide","given":"A.","non-dropping-particle":"","parse-names":false,"suffix":""},{"dropping-particle":"","family":"Weber","given":"A.","non-dropping-particle":"","parse-names":false,"suffix":""},{"dropping-particle":"","family":"Ivers-Tiff́e","given":"E.","non-dropping-particle":"","parse-names":false,"suffix":""}],"container-title":"Journal of the Electrochemical Society","id":"ITEM-1","issue":"6","issued":{"date-parts":[["2010"]]},"page":"920-930","title":"Degradation and relaxation effects of ni patterned anodes in H2 - H2O atmosphere","type":"article-journal","volume":"157"},"uris":["http://www.mendeley.com/documents/?uuid=050db752-f17f-4729-b7b4-da9dfb66b667"]}],"mendeley":{"formattedCitation":"[291]","plainTextFormattedCitation":"[291]","previouslyFormattedCitation":"[291]"},"properties":{"noteIndex":0},"schema":"https://github.com/citation-style-language/schema/raw/master/csl-citation.json"}</w:instrText>
      </w:r>
      <w:r w:rsidRPr="00582C49">
        <w:rPr>
          <w:i/>
          <w:iCs/>
          <w:color w:val="44546A" w:themeColor="text2"/>
          <w:sz w:val="20"/>
          <w:szCs w:val="20"/>
        </w:rPr>
        <w:fldChar w:fldCharType="separate"/>
      </w:r>
      <w:r w:rsidRPr="006C586A">
        <w:rPr>
          <w:iCs/>
          <w:noProof/>
          <w:color w:val="44546A" w:themeColor="text2"/>
          <w:sz w:val="20"/>
          <w:szCs w:val="20"/>
        </w:rPr>
        <w:t>[291]</w:t>
      </w:r>
      <w:bookmarkEnd w:id="157"/>
      <w:r w:rsidRPr="00582C49">
        <w:rPr>
          <w:i/>
          <w:iCs/>
          <w:color w:val="44546A" w:themeColor="text2"/>
          <w:sz w:val="20"/>
          <w:szCs w:val="20"/>
        </w:rPr>
        <w:fldChar w:fldCharType="end"/>
      </w:r>
      <w:r w:rsidRPr="00582C49">
        <w:rPr>
          <w:i/>
          <w:iCs/>
          <w:color w:val="44546A" w:themeColor="text2"/>
          <w:sz w:val="20"/>
          <w:szCs w:val="20"/>
        </w:rPr>
        <w:t xml:space="preserve"> </w:t>
      </w:r>
    </w:p>
    <w:p w14:paraId="614F8CAB" w14:textId="77777777" w:rsidR="00007F6C" w:rsidRPr="00F46652" w:rsidRDefault="00007F6C" w:rsidP="004B726A">
      <w:pPr>
        <w:jc w:val="both"/>
      </w:pPr>
      <w:r w:rsidRPr="002B6C9E">
        <w:t xml:space="preserve">The problem with this course of action is that in a system modelled with roughly equal particle volume distributions with similar particle sizes should produce the highest </w:t>
      </w:r>
      <w:proofErr w:type="spellStart"/>
      <w:r w:rsidRPr="002B6C9E">
        <w:t>TPB</w:t>
      </w:r>
      <w:r w:rsidRPr="002B6C9E">
        <w:rPr>
          <w:vertAlign w:val="subscript"/>
        </w:rPr>
        <w:t>l</w:t>
      </w:r>
      <w:proofErr w:type="spellEnd"/>
      <w:r w:rsidRPr="002B6C9E">
        <w:rPr>
          <w:vertAlign w:val="subscript"/>
        </w:rPr>
        <w:t>.</w:t>
      </w:r>
      <w:r w:rsidRPr="002B6C9E">
        <w:t xml:space="preserve"> This would show that infiltration techniques be highly detrimental to the </w:t>
      </w:r>
      <w:proofErr w:type="spellStart"/>
      <w:r w:rsidRPr="002B6C9E">
        <w:t>TPB</w:t>
      </w:r>
      <w:r w:rsidRPr="002B6C9E">
        <w:rPr>
          <w:vertAlign w:val="subscript"/>
        </w:rPr>
        <w:t>l</w:t>
      </w:r>
      <w:proofErr w:type="spellEnd"/>
      <w:r w:rsidRPr="002B6C9E">
        <w:rPr>
          <w:vertAlign w:val="subscript"/>
        </w:rPr>
        <w:t xml:space="preserve"> </w:t>
      </w:r>
      <w:r w:rsidRPr="002B6C9E">
        <w:t xml:space="preserve">of a sample due to the disparity between the very small metal NPs and the much larger YSZ particles. Furthermore, a system with almost identical </w:t>
      </w:r>
      <w:r w:rsidRPr="00F46652">
        <w:t xml:space="preserve">particle size distributions and sizes is highly idealised and currently unachievable experimentally. </w:t>
      </w:r>
    </w:p>
    <w:p w14:paraId="43D4779A" w14:textId="49622D24" w:rsidR="00007F6C" w:rsidRPr="00F46652" w:rsidRDefault="00007F6C" w:rsidP="004B726A">
      <w:pPr>
        <w:tabs>
          <w:tab w:val="left" w:pos="6889"/>
        </w:tabs>
        <w:jc w:val="both"/>
      </w:pPr>
      <w:r w:rsidRPr="00F46652">
        <w:t>A</w:t>
      </w:r>
      <w:r w:rsidR="007E7970">
        <w:t>n</w:t>
      </w:r>
      <w:r w:rsidRPr="00F46652">
        <w:t xml:space="preserve"> earlier paper from Zhu et al appeared to support this with a theoretical model on the ion impregnation in Ni/YSZ anodes </w:t>
      </w:r>
      <w:r w:rsidRPr="00F46652">
        <w:fldChar w:fldCharType="begin" w:fldLock="1"/>
      </w:r>
      <w:r w:rsidR="00D80A5D">
        <w:instrText>ADDIN CSL_CITATION {"citationItems":[{"id":"ITEM-1","itemData":{"DOI":"10.1149/1.2895009","ISBN":"10990062 (ISSN)","ISSN":"10990062","abstract":"A theoretical model is proposed to estimate the length of three-phase boundary (TPB) of ion-impregnation-derived solid oxide fuel cell (SOFC) electrodes, which have experimentally shown considerable advantages in performance when compared with standard composite electrodes such as Ni-yttria-stabilized zirconia (YSZ) and (La,Sr)MnO3-YSZ. The electrode is modeled as a sphere-packed framework whose surface is coated with second-phase nanoscale particles. Compared with the composite electrodes, the impregnated electrodes show great enhancement in TPB length, theoretically indicating the feasibility of achieving highly electrochemically active electrodes by means of ion impregnation.","author":[{"dropping-particle":"","family":"Zhu","given":"Wei","non-dropping-particle":"","parse-names":false,"suffix":""},{"dropping-particle":"","family":"Ding","given":"Dong","non-dropping-particle":"","parse-names":false,"suffix":""},{"dropping-particle":"","family":"Xia","given":"Changrong","non-dropping-particle":"","parse-names":false,"suffix":""}],"container-title":"Electrochemical and Solid-State Letters","id":"ITEM-1","issue":"6","issued":{"date-parts":[["2008"]]},"language":"English","note":"Cited By :61\nExport Date: 13 December 2016\nCODEN: ESLEF\nCorrespondence Address: Zhu, W.; Department of Electrical and Computer Engineering, FAMU-FSU College of Engineering, Tallahassee, FL 32310, United States\nReferences: Minh, N.Q., (1993) J. Am. Ceram. Soc., 76, p. 563. , JACTAW 0002-7820 10.1111/j.1151-2916.1993.tb03645.x; De Boer, B., Gonzalez, M., Bouwmeester, H.J.M., Verweij, H., (2000) Solid State Ionics, 127, p. 269. , SSIOD3 0167-2738 10.1016/S0167-2738(99)00299-4; Bieberle, A., Meier, L.P., Gauckler, L.J., (2001) J. Electrochem. Soc., 148, p. 646. , JESOAN 0013-4651 10.1149/1.1372219; Vanheuveln, F.H., Bouwmeester, H.J.M., Vanberkel, F.P.F., (1997) J. Electrochem. Soc., 144, p. 126. , JESOAN 0013-4651 10.1149/1.1837374; Horita, T., Yamaji, K., Sakai, N., Xiong, X.P., Kato, T., Yokokawa, H., Kawada, T., (2002) J. Power Sources, 106, p. 224. , JPSODZ 0378-7753 10.1016/S0378-7753(01)01017-5; Deseure, J., Bultel, Y., Dessemond, L., Siebert, E., (2005) Electrochim. Acta, 50, p. 2037. , ELCAAV 0013-4686 10.1016/j.electacta.2004.09.012; Tanner, C.W., Fung, K.Z., Virkar, A.V., (1997) J. Electrochem. Soc., 144, p. 21. , JESOAN 0013-4651 10.1149/1.1837360; Chan, S.H., Xia, Z.T., (2001) J. Electrochem. Soc., 148, p. 388. , JESOAN 0013-4651 10.1149/1.1357174; Fukui, T., Ohara, S., Naito, M., Nogi, K., (2001) J. Nanopart. Res., 3, p. 171. , JNARFA 1388-0764; Mamak, M., Metraux, G.S., Petrov, S., Coombs, N., Ozin, G.A., Green, M.A., (2003) J. Am. Chem. Soc., 125, p. 5161. , JACSAT 0002-7863 10.1021/ja027881; Lee, D.S., Lee, J.H., Kim, J., Lee, H.W., Song, H.S., (2004) Solid State Ionics, 166, p. 13. , SSIOD3 0167-2738 10.1016/j.ssi.2003.10.003; Esposito, V., De Florio, D.Z., Fonseca, F.C., Muccillo, E.N.S., Muccillo, R., Traversa, E., (2005) J. Eur. Ceram. Soc., 25, p. 2637. , JECSER 0955-2219 10.1016/j.jeurceramsoc.2005.03.116; Lu, C., Sholklapper, T.Z., Jacobson, C.P., Visco, S.J., De Jonghe, L.C., (2006) J. Electrochem. Soc., 153, p. 1115. , JESOAN 0013-4651 10.1149/1.2192733; Jiang, S.P., Zhang, S., Zhen, Y.D., Koh, A.P., (2004) Electrochem. Solid-State Lett., 7, p. 282. , ESLEF6 1099-0062 10.1149/1.1783112; Jiang, S.P., Zhang, S., Da Zhen, Y., Wang, W., (2005) J. Am. Ceram. Soc., 88, p. 1779. , JACTAW 0002-7820 10.1111/j.1551-2916.2005.00362.x; Jiang, S.P., Wang, W., Zhen, Y.D., (2005) J. Power Sources, 147, p. 1. , JPSODZ 0378-7753; Jasinski, P., Suzuki, T., Petrovsky, V., Anderson, H.U., (2005) Electrochem. Solid-State Lett., 8, p. 219. , ESLEF6 1099-0062 10.1149/1.1869153; Zhu, W., Xia, C.R., Fan, J., Peng, R.R., Meng, G.Y., (2006) J. Power Sources, 160, p. 897. , JPSODZ 0378-7753; Xu, X.Y., Jiang, Z.Y., Fan, X., Xia, C.R., (2006) Solid State Ionics, 177, p. 2113. , SSIOD3 0167-2738; Jiang, S.P., Wang, W., (2005) J. Electrochem. Soc., 152, p. 1398. , JESOAN 0013-4651 10.1149/1.1928167; Huang, Y.Y., Vohs, J.M., Gorte, R.J., (2005) J. Electrochem. Soc., 152, p. 1347. , JESOAN 0013-4651 10.1149/1.1926669; Xu, X.Y., Xia, C.R., Mao, G.L., Peng, D., (2005) Solid State Ionics, 176, p. 1513. , SSIOD3 0167-2738; Zhao, F., Peng, R.R., Xia, C.R., (2008) Mater. Res. Bull., 43, p. 370. , MRBUAC 0025-5408; Costamagna, P., Costa, P., Antonucci, V., (1998) Electrochim. Acta, 43, p. 375. , ELCAAV 0013-4686 10.1016/S0013-4686(97)00063-7; Bouvard, D., Lange, F.F., (1991) Acta Metall. Mater., 39, p. 3083. , AMATEB 0956-7151 10.1016/0956-7151(91)90041-X; Suzuki, M., Oshima, T., (1983) Powder Technol., 35, p. 159. , POTEBX 0032-5910 10.1016/0032-5910(83)87004-1; Sholklapper, T.Z., Kurokawa, H., Jacobson, C.P., Visco, S.J., De Jonghe, L.C., (2007) Nano Lett., 7, p. 2136. , NALEFD 1530-6984","page":"B83","title":"Enhancement in Three-Phase Boundary of SOFC Electrodes by an Ion Impregnation Method: A Modeling Comparison","type":"article-journal","volume":"11"},"uris":["http://www.mendeley.com/documents/?uuid=983c0e6d-8bcb-42c9-88f6-6bd44b3259e5"]}],"mendeley":{"formattedCitation":"[292]","plainTextFormattedCitation":"[292]","previouslyFormattedCitation":"[292]"},"properties":{"noteIndex":0},"schema":"https://github.com/citation-style-language/schema/raw/master/csl-citation.json"}</w:instrText>
      </w:r>
      <w:r w:rsidRPr="00F46652">
        <w:fldChar w:fldCharType="separate"/>
      </w:r>
      <w:r w:rsidR="006C586A" w:rsidRPr="006C586A">
        <w:rPr>
          <w:noProof/>
        </w:rPr>
        <w:t>[292]</w:t>
      </w:r>
      <w:r w:rsidRPr="00F46652">
        <w:fldChar w:fldCharType="end"/>
      </w:r>
      <w:r w:rsidRPr="00F46652">
        <w:t>. In this case the size difference between the nickel and the yttria stabilised zirconia was much greater than the one discussed in Wilson’s paper</w:t>
      </w:r>
      <w:r>
        <w:t xml:space="preserve"> </w:t>
      </w:r>
      <w:r w:rsidRPr="00F46652">
        <w:fldChar w:fldCharType="begin" w:fldLock="1"/>
      </w:r>
      <w:r w:rsidR="00D80A5D">
        <w:instrText>ADDIN CSL_CITATION {"citationItems":[{"id":"ITEM-1","itemData":{"DOI":"http://dx.doi.org/10.1016/j.scriptamat.2010.09.025","ISBN":"1359-6462","abstract":"In this work we demonstrate the utility of three-dimensional focused ion beam–scanning electron microscopy nanotomography for understanding composite electrode performance and degradation. Phase connectivity, electrochemically active triple-phase boundary density and phase tortuosity are calculated for a series of anodes with varying Ni-YSZ composition. These structural characteristics, achievable only through three-dimensional interrogation, are shown to play a vital role in determining electrode polarization resistance. Additionally, Ni-YSZ samples are experimentally annealed in hydrogen and reconstructed to quantitatively assess degradation as a function of reduced triple-phase boundary density.","author":[{"dropping-particle":"","family":"Wilson","given":"James R","non-dropping-particle":"","parse-names":false,"suffix":""},{"dropping-particle":"","family":"Cronin","given":"J Scott","non-dropping-particle":"","parse-names":false,"suffix":""},{"dropping-particle":"","family":"Barnett","given":"Scott A","non-dropping-particle":"","parse-names":false,"suffix":""}],"container-title":"Scripta Materialia","id":"ITEM-1","issue":"2","issued":{"date-parts":[["2011"]]},"page":"67-72","title":"Linking the microstructure, performance and durability of Ni-yttria-stabilized zirconia solid oxide fuel cell anodes using three-dimensional focused ion beam–scanning electron microscopy imaging","type":"article-journal","volume":"65"},"uris":["http://www.mendeley.com/documents/?uuid=60a346b6-f16b-4c72-9c8b-e16ff126b7be"]}],"mendeley":{"formattedCitation":"[293]","plainTextFormattedCitation":"[293]","previouslyFormattedCitation":"[293]"},"properties":{"noteIndex":0},"schema":"https://github.com/citation-style-language/schema/raw/master/csl-citation.json"}</w:instrText>
      </w:r>
      <w:r w:rsidRPr="00F46652">
        <w:fldChar w:fldCharType="separate"/>
      </w:r>
      <w:r w:rsidR="006C586A" w:rsidRPr="006C586A">
        <w:rPr>
          <w:noProof/>
        </w:rPr>
        <w:t>[293]</w:t>
      </w:r>
      <w:r w:rsidRPr="00F46652">
        <w:fldChar w:fldCharType="end"/>
      </w:r>
      <w:r w:rsidRPr="00F46652">
        <w:t xml:space="preserve">. And understandably the volume contribution from the YSZ was much larger than the Ni. The key aspect was that the maximum triple phase boundary length was discovered in this investigation when the Ni/YSZ size difference was at its greatest.  This contradiction to the recent literature also emphasises how important experimental data is to the development and assessment of the validity of models. </w:t>
      </w:r>
    </w:p>
    <w:p w14:paraId="3715C473" w14:textId="2F64DCEA" w:rsidR="00007F6C" w:rsidRPr="002B6C9E" w:rsidRDefault="00007F6C" w:rsidP="004B726A">
      <w:pPr>
        <w:jc w:val="both"/>
      </w:pPr>
      <w:r w:rsidRPr="002B6C9E">
        <w:lastRenderedPageBreak/>
        <w:t>The major equation that governs the R</w:t>
      </w:r>
      <w:r w:rsidRPr="002B6C9E">
        <w:rPr>
          <w:vertAlign w:val="subscript"/>
        </w:rPr>
        <w:t>PA</w:t>
      </w:r>
      <w:r w:rsidRPr="002B6C9E">
        <w:t xml:space="preserve"> involves the triple phase boundary length and anode resistance is listed below</w:t>
      </w:r>
      <w:r w:rsidR="00D04EC6">
        <w:t xml:space="preserve"> (</w:t>
      </w:r>
      <w:r w:rsidR="00D04EC6" w:rsidRPr="0050245F">
        <w:fldChar w:fldCharType="begin"/>
      </w:r>
      <w:r w:rsidR="00D04EC6" w:rsidRPr="0050245F">
        <w:instrText xml:space="preserve"> REF _Ref51159305 \h  \* MERGEFORMAT </w:instrText>
      </w:r>
      <w:r w:rsidR="00D04EC6" w:rsidRPr="0050245F">
        <w:fldChar w:fldCharType="separate"/>
      </w:r>
      <w:r w:rsidR="00D04EC6" w:rsidRPr="00D04EC6">
        <w:t>Equation 2.11</w:t>
      </w:r>
      <w:r w:rsidR="00D04EC6" w:rsidRPr="0050245F">
        <w:fldChar w:fldCharType="end"/>
      </w:r>
      <w:r w:rsidR="00D04EC6">
        <w:t>)</w:t>
      </w:r>
      <w:r>
        <w:t xml:space="preserve">. The equation describes the relation between the </w:t>
      </w:r>
      <w:r w:rsidRPr="0050245F">
        <w:t>specific line resistance (R</w:t>
      </w:r>
      <w:r w:rsidRPr="0050245F">
        <w:rPr>
          <w:vertAlign w:val="superscript"/>
        </w:rPr>
        <w:t>LS</w:t>
      </w:r>
      <w:r w:rsidRPr="0050245F">
        <w:t>), effective ionic conductivity (</w:t>
      </w:r>
      <w:proofErr w:type="spellStart"/>
      <w:r w:rsidRPr="0050245F">
        <w:t>σ</w:t>
      </w:r>
      <w:r w:rsidRPr="0050245F">
        <w:rPr>
          <w:vertAlign w:val="subscript"/>
        </w:rPr>
        <w:t>ion</w:t>
      </w:r>
      <w:proofErr w:type="spellEnd"/>
      <w:r w:rsidRPr="0050245F">
        <w:t>) and triple phase boundary length on the anode resistance</w:t>
      </w:r>
      <w:r>
        <w:t xml:space="preserve"> </w:t>
      </w:r>
      <w:r w:rsidRPr="0050245F">
        <w:fldChar w:fldCharType="begin" w:fldLock="1"/>
      </w:r>
      <w:r w:rsidR="00D80A5D">
        <w:instrText>ADDIN CSL_CITATION {"citationItems":[{"id":"ITEM-1","itemData":{"DOI":"10.1149/1.3383041","ISSN":"00134651","abstract":"Patterned Ni anodes on Y2 O3 -stabilized ZrO 2 (YSZ) represent a promising approach to determine the kinetics of electrochemical reactions in solid oxide fuel cells. Contrary to technical Ni/YSZ cermet anodes, the reaction zone for the hydrogen oxidation has the potential to be well defined. This study is focused on the reproducibility of electrochemical characterization results of patterned Ni anodes, with a parameter variation of the partial pressures of H2 and H2 O, temperature, and polarization voltage. Considerable (electro)chemical relaxation and degradation processes with time constants in the order of some hours were found and are discussed: (i) an initial decrease in the line specific resistance (LSR) during the first 20-25 h of temperature exposure (T=800°C) attributed to a restructuring process in the Ni thin film, (ii) reversible changes in LSR upon variations of the partial pressure of H2 and H2 O in correlation to the initial gas composition, and (iii) rapid reversible changes in LSR upon anodic and cathodic polarization voltages followed by a slow relaxation. The corresponding preconditions for reliable measurement series were deduced and yield the data set of the LSR values. Furthermore, a detailed comparison of the obtained LSR values with literature data is given. © 2010 The Electrochemical Society.","author":[{"dropping-particle":"","family":"Utz","given":"A.","non-dropping-particle":"","parse-names":false,"suffix":""},{"dropping-particle":"","family":"Störmer","given":"H.","non-dropping-particle":"","parse-names":false,"suffix":""},{"dropping-particle":"","family":"Leonide","given":"A.","non-dropping-particle":"","parse-names":false,"suffix":""},{"dropping-particle":"","family":"Weber","given":"A.","non-dropping-particle":"","parse-names":false,"suffix":""},{"dropping-particle":"","family":"Ivers-Tiff́e","given":"E.","non-dropping-particle":"","parse-names":false,"suffix":""}],"container-title":"Journal of the Electrochemical Society","id":"ITEM-1","issue":"6","issued":{"date-parts":[["2010"]]},"page":"920-930","title":"Degradation and relaxation effects of ni patterned anodes in H2 - H2O atmosphere","type":"article-journal","volume":"157"},"uris":["http://www.mendeley.com/documents/?uuid=050db752-f17f-4729-b7b4-da9dfb66b667"]}],"mendeley":{"formattedCitation":"[291]","plainTextFormattedCitation":"[291]","previouslyFormattedCitation":"[291]"},"properties":{"noteIndex":0},"schema":"https://github.com/citation-style-language/schema/raw/master/csl-citation.json"}</w:instrText>
      </w:r>
      <w:r w:rsidRPr="0050245F">
        <w:fldChar w:fldCharType="separate"/>
      </w:r>
      <w:r w:rsidR="006C586A" w:rsidRPr="006C586A">
        <w:rPr>
          <w:noProof/>
        </w:rPr>
        <w:t>[291]</w:t>
      </w:r>
      <w:r w:rsidRPr="0050245F">
        <w:fldChar w:fldCharType="end"/>
      </w:r>
      <w:r w:rsidR="00D04EC6">
        <w:t>.</w:t>
      </w:r>
    </w:p>
    <w:p w14:paraId="591E3336" w14:textId="77777777" w:rsidR="00007F6C" w:rsidRPr="00501FF1" w:rsidRDefault="00B51F53" w:rsidP="004B726A">
      <w:pPr>
        <w:pStyle w:val="Caption"/>
        <w:keepNext/>
        <w:jc w:val="both"/>
        <w:rPr>
          <w:rFonts w:eastAsiaTheme="minorEastAsia"/>
          <w:color w:val="auto"/>
          <w:sz w:val="22"/>
          <w:szCs w:val="22"/>
        </w:rPr>
      </w:pPr>
      <m:oMathPara>
        <m:oMath>
          <m:sSub>
            <m:sSubPr>
              <m:ctrlPr>
                <w:rPr>
                  <w:rFonts w:ascii="Cambria Math" w:hAnsi="Cambria Math"/>
                  <w:i w:val="0"/>
                  <w:color w:val="auto"/>
                  <w:sz w:val="22"/>
                  <w:szCs w:val="22"/>
                </w:rPr>
              </m:ctrlPr>
            </m:sSubPr>
            <m:e>
              <m:r>
                <w:rPr>
                  <w:rFonts w:ascii="Cambria Math" w:hAnsi="Cambria Math"/>
                  <w:color w:val="auto"/>
                  <w:sz w:val="22"/>
                  <w:szCs w:val="22"/>
                </w:rPr>
                <m:t>R</m:t>
              </m:r>
            </m:e>
            <m:sub>
              <m:r>
                <w:rPr>
                  <w:rFonts w:ascii="Cambria Math" w:hAnsi="Cambria Math"/>
                  <w:color w:val="auto"/>
                  <w:sz w:val="22"/>
                  <w:szCs w:val="22"/>
                </w:rPr>
                <m:t>PA</m:t>
              </m:r>
            </m:sub>
          </m:sSub>
          <m:r>
            <w:rPr>
              <w:rFonts w:ascii="Cambria Math" w:hAnsi="Cambria Math"/>
              <w:color w:val="auto"/>
              <w:sz w:val="22"/>
              <w:szCs w:val="22"/>
            </w:rPr>
            <m:t>=</m:t>
          </m:r>
          <m:rad>
            <m:radPr>
              <m:degHide m:val="1"/>
              <m:ctrlPr>
                <w:rPr>
                  <w:rFonts w:ascii="Cambria Math" w:hAnsi="Cambria Math"/>
                  <w:i w:val="0"/>
                  <w:color w:val="auto"/>
                  <w:sz w:val="22"/>
                  <w:szCs w:val="22"/>
                </w:rPr>
              </m:ctrlPr>
            </m:radPr>
            <m:deg/>
            <m:e>
              <m:f>
                <m:fPr>
                  <m:ctrlPr>
                    <w:rPr>
                      <w:rFonts w:ascii="Cambria Math" w:hAnsi="Cambria Math"/>
                      <w:i w:val="0"/>
                      <w:color w:val="auto"/>
                      <w:sz w:val="22"/>
                      <w:szCs w:val="22"/>
                    </w:rPr>
                  </m:ctrlPr>
                </m:fPr>
                <m:num>
                  <m:sSup>
                    <m:sSupPr>
                      <m:ctrlPr>
                        <w:rPr>
                          <w:rFonts w:ascii="Cambria Math" w:hAnsi="Cambria Math"/>
                          <w:i w:val="0"/>
                          <w:color w:val="auto"/>
                          <w:sz w:val="22"/>
                          <w:szCs w:val="22"/>
                        </w:rPr>
                      </m:ctrlPr>
                    </m:sSupPr>
                    <m:e>
                      <m:r>
                        <w:rPr>
                          <w:rFonts w:ascii="Cambria Math" w:hAnsi="Cambria Math"/>
                          <w:color w:val="auto"/>
                          <w:sz w:val="22"/>
                          <w:szCs w:val="22"/>
                        </w:rPr>
                        <m:t>R</m:t>
                      </m:r>
                    </m:e>
                    <m:sup>
                      <m:r>
                        <w:rPr>
                          <w:rFonts w:ascii="Cambria Math" w:hAnsi="Cambria Math"/>
                          <w:color w:val="auto"/>
                          <w:sz w:val="22"/>
                          <w:szCs w:val="22"/>
                        </w:rPr>
                        <m:t>LS</m:t>
                      </m:r>
                    </m:sup>
                  </m:sSup>
                </m:num>
                <m:den>
                  <m:sSub>
                    <m:sSubPr>
                      <m:ctrlPr>
                        <w:rPr>
                          <w:rFonts w:ascii="Cambria Math" w:hAnsi="Cambria Math"/>
                          <w:i w:val="0"/>
                          <w:color w:val="auto"/>
                          <w:sz w:val="22"/>
                          <w:szCs w:val="22"/>
                        </w:rPr>
                      </m:ctrlPr>
                    </m:sSubPr>
                    <m:e>
                      <m:r>
                        <w:rPr>
                          <w:rFonts w:ascii="Cambria Math" w:hAnsi="Cambria Math"/>
                          <w:color w:val="auto"/>
                          <w:sz w:val="22"/>
                          <w:szCs w:val="22"/>
                        </w:rPr>
                        <m:t>σ</m:t>
                      </m:r>
                    </m:e>
                    <m:sub>
                      <m:r>
                        <w:rPr>
                          <w:rFonts w:ascii="Cambria Math" w:hAnsi="Cambria Math"/>
                          <w:color w:val="auto"/>
                          <w:sz w:val="22"/>
                          <w:szCs w:val="22"/>
                        </w:rPr>
                        <m:t>ion</m:t>
                      </m:r>
                    </m:sub>
                  </m:sSub>
                  <m:sSub>
                    <m:sSubPr>
                      <m:ctrlPr>
                        <w:rPr>
                          <w:rFonts w:ascii="Cambria Math" w:hAnsi="Cambria Math"/>
                          <w:i w:val="0"/>
                          <w:color w:val="auto"/>
                          <w:sz w:val="22"/>
                          <w:szCs w:val="22"/>
                        </w:rPr>
                      </m:ctrlPr>
                    </m:sSubPr>
                    <m:e>
                      <m:r>
                        <w:rPr>
                          <w:rFonts w:ascii="Cambria Math" w:hAnsi="Cambria Math"/>
                          <w:color w:val="auto"/>
                          <w:sz w:val="22"/>
                          <w:szCs w:val="22"/>
                        </w:rPr>
                        <m:t>l</m:t>
                      </m:r>
                    </m:e>
                    <m:sub>
                      <m:r>
                        <w:rPr>
                          <w:rFonts w:ascii="Cambria Math" w:hAnsi="Cambria Math"/>
                          <w:color w:val="auto"/>
                          <w:sz w:val="22"/>
                          <w:szCs w:val="22"/>
                        </w:rPr>
                        <m:t>TPB</m:t>
                      </m:r>
                    </m:sub>
                  </m:sSub>
                </m:den>
              </m:f>
            </m:e>
          </m:rad>
          <m:func>
            <m:funcPr>
              <m:ctrlPr>
                <w:rPr>
                  <w:rFonts w:ascii="Cambria Math" w:hAnsi="Cambria Math"/>
                  <w:i w:val="0"/>
                  <w:color w:val="auto"/>
                  <w:sz w:val="22"/>
                  <w:szCs w:val="22"/>
                </w:rPr>
              </m:ctrlPr>
            </m:funcPr>
            <m:fName>
              <m:r>
                <w:rPr>
                  <w:rFonts w:ascii="Cambria Math" w:hAnsi="Cambria Math"/>
                  <w:color w:val="auto"/>
                  <w:sz w:val="22"/>
                  <w:szCs w:val="22"/>
                </w:rPr>
                <m:t>coth</m:t>
              </m:r>
            </m:fName>
            <m:e>
              <m:d>
                <m:dPr>
                  <m:ctrlPr>
                    <w:rPr>
                      <w:rFonts w:ascii="Cambria Math" w:hAnsi="Cambria Math"/>
                      <w:i w:val="0"/>
                      <w:color w:val="auto"/>
                      <w:sz w:val="22"/>
                      <w:szCs w:val="22"/>
                    </w:rPr>
                  </m:ctrlPr>
                </m:dPr>
                <m:e>
                  <m:r>
                    <w:rPr>
                      <w:rFonts w:ascii="Cambria Math" w:hAnsi="Cambria Math"/>
                      <w:color w:val="auto"/>
                      <w:sz w:val="22"/>
                      <w:szCs w:val="22"/>
                    </w:rPr>
                    <m:t>L</m:t>
                  </m:r>
                  <m:rad>
                    <m:radPr>
                      <m:degHide m:val="1"/>
                      <m:ctrlPr>
                        <w:rPr>
                          <w:rFonts w:ascii="Cambria Math" w:hAnsi="Cambria Math"/>
                          <w:i w:val="0"/>
                          <w:color w:val="auto"/>
                          <w:sz w:val="22"/>
                          <w:szCs w:val="22"/>
                        </w:rPr>
                      </m:ctrlPr>
                    </m:radPr>
                    <m:deg/>
                    <m:e>
                      <m:f>
                        <m:fPr>
                          <m:ctrlPr>
                            <w:rPr>
                              <w:rFonts w:ascii="Cambria Math" w:hAnsi="Cambria Math"/>
                              <w:i w:val="0"/>
                              <w:color w:val="auto"/>
                              <w:sz w:val="22"/>
                              <w:szCs w:val="22"/>
                            </w:rPr>
                          </m:ctrlPr>
                        </m:fPr>
                        <m:num>
                          <m:sSub>
                            <m:sSubPr>
                              <m:ctrlPr>
                                <w:rPr>
                                  <w:rFonts w:ascii="Cambria Math" w:hAnsi="Cambria Math"/>
                                  <w:i w:val="0"/>
                                  <w:color w:val="auto"/>
                                  <w:sz w:val="22"/>
                                  <w:szCs w:val="22"/>
                                </w:rPr>
                              </m:ctrlPr>
                            </m:sSubPr>
                            <m:e>
                              <m:r>
                                <w:rPr>
                                  <w:rFonts w:ascii="Cambria Math" w:hAnsi="Cambria Math"/>
                                  <w:color w:val="auto"/>
                                  <w:sz w:val="22"/>
                                  <w:szCs w:val="22"/>
                                </w:rPr>
                                <m:t>l</m:t>
                              </m:r>
                            </m:e>
                            <m:sub>
                              <m:r>
                                <w:rPr>
                                  <w:rFonts w:ascii="Cambria Math" w:hAnsi="Cambria Math"/>
                                  <w:color w:val="auto"/>
                                  <w:sz w:val="22"/>
                                  <w:szCs w:val="22"/>
                                </w:rPr>
                                <m:t>TPB</m:t>
                              </m:r>
                            </m:sub>
                          </m:sSub>
                        </m:num>
                        <m:den>
                          <m:sSub>
                            <m:sSubPr>
                              <m:ctrlPr>
                                <w:rPr>
                                  <w:rFonts w:ascii="Cambria Math" w:hAnsi="Cambria Math"/>
                                  <w:i w:val="0"/>
                                  <w:color w:val="auto"/>
                                  <w:sz w:val="22"/>
                                  <w:szCs w:val="22"/>
                                </w:rPr>
                              </m:ctrlPr>
                            </m:sSubPr>
                            <m:e>
                              <m:r>
                                <w:rPr>
                                  <w:rFonts w:ascii="Cambria Math" w:hAnsi="Cambria Math"/>
                                  <w:color w:val="auto"/>
                                  <w:sz w:val="22"/>
                                  <w:szCs w:val="22"/>
                                </w:rPr>
                                <m:t>σ</m:t>
                              </m:r>
                            </m:e>
                            <m:sub>
                              <m:r>
                                <w:rPr>
                                  <w:rFonts w:ascii="Cambria Math" w:hAnsi="Cambria Math"/>
                                  <w:color w:val="auto"/>
                                  <w:sz w:val="22"/>
                                  <w:szCs w:val="22"/>
                                </w:rPr>
                                <m:t>ion</m:t>
                              </m:r>
                            </m:sub>
                          </m:sSub>
                          <m:sSup>
                            <m:sSupPr>
                              <m:ctrlPr>
                                <w:rPr>
                                  <w:rFonts w:ascii="Cambria Math" w:hAnsi="Cambria Math"/>
                                  <w:i w:val="0"/>
                                  <w:color w:val="auto"/>
                                  <w:sz w:val="22"/>
                                  <w:szCs w:val="22"/>
                                </w:rPr>
                              </m:ctrlPr>
                            </m:sSupPr>
                            <m:e>
                              <m:r>
                                <w:rPr>
                                  <w:rFonts w:ascii="Cambria Math" w:hAnsi="Cambria Math"/>
                                  <w:color w:val="auto"/>
                                  <w:sz w:val="22"/>
                                  <w:szCs w:val="22"/>
                                </w:rPr>
                                <m:t>R</m:t>
                              </m:r>
                            </m:e>
                            <m:sup>
                              <m:r>
                                <w:rPr>
                                  <w:rFonts w:ascii="Cambria Math" w:hAnsi="Cambria Math"/>
                                  <w:color w:val="auto"/>
                                  <w:sz w:val="22"/>
                                  <w:szCs w:val="22"/>
                                </w:rPr>
                                <m:t>LS</m:t>
                              </m:r>
                            </m:sup>
                          </m:sSup>
                        </m:den>
                      </m:f>
                    </m:e>
                  </m:rad>
                </m:e>
              </m:d>
            </m:e>
          </m:func>
        </m:oMath>
      </m:oMathPara>
    </w:p>
    <w:p w14:paraId="769F8ABC" w14:textId="3FE7877C" w:rsidR="00007F6C" w:rsidRPr="00F46652" w:rsidRDefault="00007F6C" w:rsidP="004B726A">
      <w:pPr>
        <w:pStyle w:val="Caption"/>
        <w:keepNext/>
        <w:jc w:val="right"/>
        <w:rPr>
          <w:rFonts w:eastAsiaTheme="minorEastAsia"/>
          <w:i w:val="0"/>
          <w:iCs w:val="0"/>
          <w:color w:val="auto"/>
          <w:sz w:val="22"/>
          <w:szCs w:val="22"/>
        </w:rPr>
      </w:pPr>
      <w:bookmarkStart w:id="158" w:name="_Ref51159305"/>
      <w:r w:rsidRPr="00F46652">
        <w:rPr>
          <w:i w:val="0"/>
          <w:iCs w:val="0"/>
          <w:color w:val="auto"/>
          <w:sz w:val="22"/>
          <w:szCs w:val="22"/>
        </w:rPr>
        <w:t xml:space="preserve">Equation </w:t>
      </w:r>
      <w:r>
        <w:rPr>
          <w:i w:val="0"/>
          <w:iCs w:val="0"/>
          <w:color w:val="auto"/>
          <w:sz w:val="22"/>
          <w:szCs w:val="22"/>
        </w:rPr>
        <w:t>2.</w:t>
      </w:r>
      <w:r>
        <w:rPr>
          <w:i w:val="0"/>
          <w:iCs w:val="0"/>
          <w:color w:val="auto"/>
          <w:sz w:val="22"/>
          <w:szCs w:val="22"/>
        </w:rPr>
        <w:fldChar w:fldCharType="begin"/>
      </w:r>
      <w:r>
        <w:rPr>
          <w:i w:val="0"/>
          <w:iCs w:val="0"/>
          <w:color w:val="auto"/>
          <w:sz w:val="22"/>
          <w:szCs w:val="22"/>
        </w:rPr>
        <w:instrText xml:space="preserve"> SEQ Equation \* ARABIC </w:instrText>
      </w:r>
      <w:r>
        <w:rPr>
          <w:i w:val="0"/>
          <w:iCs w:val="0"/>
          <w:color w:val="auto"/>
          <w:sz w:val="22"/>
          <w:szCs w:val="22"/>
        </w:rPr>
        <w:fldChar w:fldCharType="separate"/>
      </w:r>
      <w:r w:rsidR="00315BF8">
        <w:rPr>
          <w:i w:val="0"/>
          <w:iCs w:val="0"/>
          <w:noProof/>
          <w:color w:val="auto"/>
          <w:sz w:val="22"/>
          <w:szCs w:val="22"/>
        </w:rPr>
        <w:t>11</w:t>
      </w:r>
      <w:r>
        <w:rPr>
          <w:i w:val="0"/>
          <w:iCs w:val="0"/>
          <w:color w:val="auto"/>
          <w:sz w:val="22"/>
          <w:szCs w:val="22"/>
        </w:rPr>
        <w:fldChar w:fldCharType="end"/>
      </w:r>
      <w:bookmarkEnd w:id="158"/>
    </w:p>
    <w:p w14:paraId="619A529E" w14:textId="77777777" w:rsidR="00007F6C" w:rsidRPr="002B6C9E" w:rsidRDefault="00007F6C" w:rsidP="004B726A">
      <w:pPr>
        <w:spacing w:line="240" w:lineRule="auto"/>
        <w:jc w:val="both"/>
      </w:pPr>
    </w:p>
    <w:p w14:paraId="78606F35" w14:textId="7CC868AE" w:rsidR="00007F6C" w:rsidRPr="002B6C9E" w:rsidRDefault="00D04EC6" w:rsidP="004B726A">
      <w:pPr>
        <w:jc w:val="both"/>
      </w:pPr>
      <w:r>
        <w:t xml:space="preserve">This </w:t>
      </w:r>
      <w:r w:rsidR="00007F6C" w:rsidRPr="002B6C9E">
        <w:t xml:space="preserve">demonstrates how impactful the triple phase boundary length is on the overall fuel electrode resistance but if you break down the factors that govern the </w:t>
      </w:r>
      <w:proofErr w:type="spellStart"/>
      <w:r w:rsidR="00007F6C" w:rsidRPr="002B6C9E">
        <w:t>TPB</w:t>
      </w:r>
      <w:r w:rsidR="00007F6C" w:rsidRPr="002B6C9E">
        <w:rPr>
          <w:vertAlign w:val="subscript"/>
        </w:rPr>
        <w:t>l</w:t>
      </w:r>
      <w:proofErr w:type="spellEnd"/>
      <w:r w:rsidR="00007F6C" w:rsidRPr="002B6C9E">
        <w:t xml:space="preserve"> a pattern emerges. The length of the triple phase boundary is a product of the system microstructure and particle size distribution which are in turn a result of the processing conditions used. These are also hugely impactful in determining the LSR of the composite anode components. The production conditions have a major effect on how tortuous the gas transfer pathways are through the oxygen electrode</w:t>
      </w:r>
      <w:r w:rsidR="00007F6C">
        <w:t>.</w:t>
      </w:r>
    </w:p>
    <w:p w14:paraId="26972F1B" w14:textId="5D8913C1" w:rsidR="00007F6C" w:rsidRDefault="00007F6C" w:rsidP="004B726A">
      <w:pPr>
        <w:jc w:val="both"/>
      </w:pPr>
      <w:r w:rsidRPr="0050245F">
        <w:t xml:space="preserve">A comparative review by </w:t>
      </w:r>
      <w:proofErr w:type="spellStart"/>
      <w:r w:rsidRPr="0050245F">
        <w:t>Bessler</w:t>
      </w:r>
      <w:proofErr w:type="spellEnd"/>
      <w:r w:rsidRPr="0050245F">
        <w:t xml:space="preserve"> et al discuss</w:t>
      </w:r>
      <w:r w:rsidR="00D65B62">
        <w:t>ed</w:t>
      </w:r>
      <w:r w:rsidRPr="0050245F">
        <w:t xml:space="preserve"> the effect of hydrogen oxidation in SOFCs discussed the impact of LSR as a method of analysing the amount of degradation present in a Ni/YSZ patterned model anode </w:t>
      </w:r>
      <w:r w:rsidRPr="0050245F">
        <w:fldChar w:fldCharType="begin" w:fldLock="1"/>
      </w:r>
      <w:r w:rsidR="00D80A5D">
        <w:instrText>ADDIN CSL_CITATION {"citationItems":[{"id":"ITEM-1","itemData":{"DOI":"10.1039/c0cp00541j","ISSN":"14639076","abstract":"This article presents a literature review and new results on experimental and theoretical investigations of the electrochemistry of solid oxide fuel cell (SOFC) model anodes, focusing on the nickel/yttria-stabilized zirconia (Ni/YSZ) materials system with operation under H2/H2O atmospheres. Micropatterned model anodes were used for electrochemical characterization under well-defined operating conditions. Structural and chemical integrity was confirmed by ex situ pre-test and post-test microstructural and chemical analysis. Elementary kinetic models of reaction and transport processes were used to assess reaction pathways and rate-determining steps. The comparison of experimental and simulated electrochemical behaviors of pattern anodes shows quantitative agreement over a wide range of operating conditions (pH2 = 8×102-9×104 Pa, pH2O = 2×101-6×104 Pa, T = 400-800 °C). Previously published experimental data on model anodes show a strong scatter in electrochemical performance. Furthermore, model anodes exhibit a pronounced dynamics on multiple time scales which is not reproduced in state-of-the-art models and which is also not observed in technical cermet anodes. Potential origin of these effects as well as consequences for further steps in model anode and anode model studies are discussed. © the Owner Societies 2010.","author":[{"dropping-particle":"","family":"Bessler","given":"Wolfgang G.","non-dropping-particle":"","parse-names":false,"suffix":""},{"dropping-particle":"","family":"Vogler","given":"Marcel","non-dropping-particle":"","parse-names":false,"suffix":""},{"dropping-particle":"","family":"Störmer","given":"Heike","non-dropping-particle":"","parse-names":false,"suffix":""},{"dropping-particle":"","family":"Gerthsen","given":"Dagmar","non-dropping-particle":"","parse-names":false,"suffix":""},{"dropping-particle":"","family":"Utz","given":"Annika","non-dropping-particle":"","parse-names":false,"suffix":""},{"dropping-particle":"","family":"Weber","given":"André","non-dropping-particle":"","parse-names":false,"suffix":""},{"dropping-particle":"","family":"Ivers-Tiffée","given":"Ellen","non-dropping-particle":"","parse-names":false,"suffix":""}],"container-title":"Physical Chemistry Chemical Physics","id":"ITEM-1","issue":"42","issued":{"date-parts":[["2010"]]},"page":"13888-13903","title":"Model anodes and anode models for understanding the mechanism of hydrogen oxidation in solid oxide fuel cells","type":"article-journal","volume":"12"},"uris":["http://www.mendeley.com/documents/?uuid=056d2e77-d009-464e-9f9f-abfd9ef2e304"]}],"mendeley":{"formattedCitation":"[213]","plainTextFormattedCitation":"[213]","previouslyFormattedCitation":"[213]"},"properties":{"noteIndex":0},"schema":"https://github.com/citation-style-language/schema/raw/master/csl-citation.json"}</w:instrText>
      </w:r>
      <w:r w:rsidRPr="0050245F">
        <w:fldChar w:fldCharType="separate"/>
      </w:r>
      <w:r w:rsidR="006C586A" w:rsidRPr="006C586A">
        <w:rPr>
          <w:noProof/>
        </w:rPr>
        <w:t>[213]</w:t>
      </w:r>
      <w:r w:rsidRPr="0050245F">
        <w:fldChar w:fldCharType="end"/>
      </w:r>
      <w:r w:rsidRPr="0050245F">
        <w:t xml:space="preserve">. What makes this study stand out is their modifications of the original TPB calculations. </w:t>
      </w:r>
      <w:proofErr w:type="spellStart"/>
      <w:r w:rsidRPr="0050245F">
        <w:t>Bessler</w:t>
      </w:r>
      <w:proofErr w:type="spellEnd"/>
      <w:r w:rsidRPr="0050245F">
        <w:t xml:space="preserve"> acknowledge</w:t>
      </w:r>
      <w:r w:rsidR="00D65B62">
        <w:t>d</w:t>
      </w:r>
      <w:r w:rsidRPr="0050245F">
        <w:t xml:space="preserve"> that the </w:t>
      </w:r>
      <w:proofErr w:type="spellStart"/>
      <w:r w:rsidRPr="0050245F">
        <w:t>TPB</w:t>
      </w:r>
      <w:r w:rsidRPr="0050245F">
        <w:rPr>
          <w:vertAlign w:val="subscript"/>
        </w:rPr>
        <w:t>l</w:t>
      </w:r>
      <w:proofErr w:type="spellEnd"/>
      <w:r w:rsidRPr="0050245F">
        <w:t xml:space="preserve"> will elongate because of grain sintering at temperatures exceeding 600</w:t>
      </w:r>
      <w:r w:rsidR="00D65B62">
        <w:t xml:space="preserve"> </w:t>
      </w:r>
      <w:r w:rsidRPr="0050245F">
        <w:t xml:space="preserve">°C and has adjusted their calculations to represent that. The success of these model can be seen in by how accurate the simulated LSR values plotted in </w:t>
      </w:r>
      <w:r w:rsidRPr="0050245F">
        <w:rPr>
          <w:sz w:val="28"/>
          <w:szCs w:val="28"/>
        </w:rPr>
        <w:fldChar w:fldCharType="begin"/>
      </w:r>
      <w:r w:rsidRPr="0050245F">
        <w:rPr>
          <w:sz w:val="28"/>
          <w:szCs w:val="28"/>
        </w:rPr>
        <w:instrText xml:space="preserve"> REF _Ref474483058 \h  \* MERGEFORMAT </w:instrText>
      </w:r>
      <w:r w:rsidRPr="0050245F">
        <w:rPr>
          <w:sz w:val="28"/>
          <w:szCs w:val="28"/>
        </w:rPr>
      </w:r>
      <w:r w:rsidRPr="0050245F">
        <w:rPr>
          <w:sz w:val="28"/>
          <w:szCs w:val="28"/>
        </w:rPr>
        <w:fldChar w:fldCharType="separate"/>
      </w:r>
      <w:r w:rsidR="007E7970" w:rsidRPr="007E7970">
        <w:t>Figure 2.28</w:t>
      </w:r>
      <w:r w:rsidRPr="0050245F">
        <w:rPr>
          <w:sz w:val="28"/>
          <w:szCs w:val="28"/>
        </w:rPr>
        <w:fldChar w:fldCharType="end"/>
      </w:r>
      <w:r w:rsidRPr="0050245F">
        <w:t xml:space="preserve"> in comparison to the experimental work. </w:t>
      </w:r>
    </w:p>
    <w:p w14:paraId="10F6D330" w14:textId="77777777" w:rsidR="00007F6C" w:rsidRPr="002B6C9E" w:rsidRDefault="00007F6C" w:rsidP="004B726A">
      <w:pPr>
        <w:keepNext/>
        <w:jc w:val="center"/>
      </w:pPr>
      <w:r w:rsidRPr="002B6C9E">
        <w:rPr>
          <w:noProof/>
          <w:lang w:eastAsia="en-GB"/>
        </w:rPr>
        <w:drawing>
          <wp:inline distT="0" distB="0" distL="0" distR="0" wp14:anchorId="150A138F" wp14:editId="3E9D12C4">
            <wp:extent cx="5731510" cy="25857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SR values for Various patterned Ni YSZ anodes_Bessler.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1510" cy="2585720"/>
                    </a:xfrm>
                    <a:prstGeom prst="rect">
                      <a:avLst/>
                    </a:prstGeom>
                  </pic:spPr>
                </pic:pic>
              </a:graphicData>
            </a:graphic>
          </wp:inline>
        </w:drawing>
      </w:r>
    </w:p>
    <w:p w14:paraId="68108AA3" w14:textId="4C45278A" w:rsidR="00007F6C" w:rsidRPr="001C6DAE" w:rsidRDefault="00007F6C" w:rsidP="004B726A">
      <w:pPr>
        <w:jc w:val="center"/>
        <w:rPr>
          <w:i/>
          <w:iCs/>
          <w:color w:val="44546A" w:themeColor="text2"/>
          <w:sz w:val="18"/>
          <w:szCs w:val="18"/>
        </w:rPr>
      </w:pPr>
      <w:bookmarkStart w:id="159" w:name="_Ref474483058"/>
      <w:bookmarkStart w:id="160" w:name="_Toc69114940"/>
      <w:r w:rsidRPr="00582C49">
        <w:rPr>
          <w:i/>
          <w:iCs/>
          <w:color w:val="44546A" w:themeColor="text2"/>
          <w:sz w:val="18"/>
          <w:szCs w:val="18"/>
        </w:rPr>
        <w:t>Figure 2.</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7E7970">
        <w:rPr>
          <w:i/>
          <w:iCs/>
          <w:noProof/>
          <w:color w:val="44546A" w:themeColor="text2"/>
          <w:sz w:val="18"/>
          <w:szCs w:val="18"/>
        </w:rPr>
        <w:t>28</w:t>
      </w:r>
      <w:r w:rsidR="00285C23">
        <w:rPr>
          <w:i/>
          <w:iCs/>
          <w:color w:val="44546A" w:themeColor="text2"/>
          <w:sz w:val="18"/>
          <w:szCs w:val="18"/>
        </w:rPr>
        <w:fldChar w:fldCharType="end"/>
      </w:r>
      <w:bookmarkEnd w:id="159"/>
      <w:r w:rsidRPr="00582C49">
        <w:rPr>
          <w:i/>
          <w:iCs/>
          <w:color w:val="44546A" w:themeColor="text2"/>
          <w:sz w:val="18"/>
          <w:szCs w:val="18"/>
        </w:rPr>
        <w:t>: LSR values for a variety of Ni/YSZ patterned anodes processed at a variety of temperatures and partial gas pressures. The black line shows the estimated line specific resistance values as a function of temperature</w:t>
      </w:r>
      <w:r>
        <w:rPr>
          <w:i/>
          <w:iCs/>
          <w:color w:val="44546A" w:themeColor="text2"/>
          <w:sz w:val="18"/>
          <w:szCs w:val="18"/>
        </w:rPr>
        <w:t xml:space="preserve"> </w:t>
      </w:r>
      <w:r w:rsidRPr="00582C49">
        <w:rPr>
          <w:i/>
          <w:iCs/>
          <w:color w:val="44546A" w:themeColor="text2"/>
          <w:sz w:val="18"/>
          <w:szCs w:val="18"/>
        </w:rPr>
        <w:fldChar w:fldCharType="begin" w:fldLock="1"/>
      </w:r>
      <w:r w:rsidR="00D80A5D">
        <w:rPr>
          <w:i/>
          <w:iCs/>
          <w:color w:val="44546A" w:themeColor="text2"/>
          <w:sz w:val="18"/>
          <w:szCs w:val="18"/>
        </w:rPr>
        <w:instrText xml:space="preserve">ADDIN CSL_CITATION {"citationItems":[{"id":"ITEM-1","itemData":{"DOI":"10.1039/c5ee03858h","ISBN":"1754-5692","ISSN":"17545706","abstract":"This article provides a perspective review of low-temperature solid oxide fuel cells research and development.This article provides a perspective on solid oxide fuel cells operating at low temperature, defined here to be the range from </w:instrText>
      </w:r>
      <w:r w:rsidR="00D80A5D">
        <w:rPr>
          <w:rFonts w:ascii="Cambria Math" w:hAnsi="Cambria Math" w:cs="Cambria Math"/>
          <w:i/>
          <w:iCs/>
          <w:color w:val="44546A" w:themeColor="text2"/>
          <w:sz w:val="18"/>
          <w:szCs w:val="18"/>
        </w:rPr>
        <w:instrText>∼</w:instrText>
      </w:r>
      <w:r w:rsidR="00D80A5D">
        <w:rPr>
          <w:i/>
          <w:iCs/>
          <w:color w:val="44546A" w:themeColor="text2"/>
          <w:sz w:val="18"/>
          <w:szCs w:val="18"/>
        </w:rPr>
        <w:instrText xml:space="preserve">400 </w:instrText>
      </w:r>
      <w:r w:rsidR="00D80A5D">
        <w:rPr>
          <w:rFonts w:ascii="Calibri" w:hAnsi="Calibri" w:cs="Calibri"/>
          <w:i/>
          <w:iCs/>
          <w:color w:val="44546A" w:themeColor="text2"/>
          <w:sz w:val="18"/>
          <w:szCs w:val="18"/>
        </w:rPr>
        <w:instrText>°</w:instrText>
      </w:r>
      <w:r w:rsidR="00D80A5D">
        <w:rPr>
          <w:i/>
          <w:iCs/>
          <w:color w:val="44546A" w:themeColor="text2"/>
          <w:sz w:val="18"/>
          <w:szCs w:val="18"/>
        </w:rPr>
        <w:instrText xml:space="preserve">C to 650 </w:instrText>
      </w:r>
      <w:r w:rsidR="00D80A5D">
        <w:rPr>
          <w:rFonts w:ascii="Calibri" w:hAnsi="Calibri" w:cs="Calibri"/>
          <w:i/>
          <w:iCs/>
          <w:color w:val="44546A" w:themeColor="text2"/>
          <w:sz w:val="18"/>
          <w:szCs w:val="18"/>
        </w:rPr>
        <w:instrText>°</w:instrText>
      </w:r>
      <w:r w:rsidR="00D80A5D">
        <w:rPr>
          <w:i/>
          <w:iCs/>
          <w:color w:val="44546A" w:themeColor="text2"/>
          <w:sz w:val="18"/>
          <w:szCs w:val="18"/>
        </w:rPr>
        <w:instrText>C. These low-temperature solid oxide fuel cells (LT-SOFCs) have seen considerable research and development and are widely viewed as the “next generation” technology, following the 650–850 °C SOFCs that are currently undergoing commercialization. LT-SOFCs have potential advantages for conventional SOFC applications such as stationary power generation, and may be viable for new portable and transportation power applications, along with electrolytic fuel production and energy storage. The characteristics of electrolyte and electrode materials are reviewed, with a focus on materials that have demonstrated good properties and cell performance at low temperature. Only oxygen-ion-conducting electrolytes are considered here. Anode materials are discussed, primarily the various Ni–cermet anode compositions that yield good low-temperature performance. Mixed ionically and electronically conducting cathode materials are described in detail, reflecting the extensive research activity that has aimed at providing useful oxygen reduction kinetics at low operating temperature. Cell design, materials compatibility, processing methods, and resulting microstructures are discussed, along with their role in determining cell performance. Results from state of the art LT-SOFCs are presented, and future prospects are discussed.","author":[{"dropping-particle":"","family":"Gao","given":"Zhan","non-dropping-particle":"","parse-names":false,"suffix":""},{"dropping-particle":"V.","family":"Mogni","given":"Liliana","non-dropping-particle":"","parse-names":false,"suffix":""},{"dropping-particle":"","family":"Miller","given":"Elizabeth C.","non-dropping-particle":"","parse-names":false,"suffix":""},{"dropping-particle":"","family":"Railsback","given":"Justin G.","non-dropping-particle":"","parse-names":false,"suffix":""},{"dropping-particle":"","family":"Barnett","given":"Scott A.","non-dropping-particle":"","parse-names":false,"suffix":""}],"container-title":"Energy and Environmental Science","id":"ITEM-1","issue":"5","issued":{"date-parts":[["2016"]]},"language":"English","note":"Dl5tj\nTimes Cited:5\nCited References Count:505","page":"1602-1644","title":"A perspective on low-temperature solid oxide fuel cells","type":"article-journal","volume":"9"},"uris":["http://www.mendeley.com/documents/?uuid=ebe18e5a-0207-4340-a107-37bc019ae173"]},{"id":"ITEM-2","itemData":{"DOI":"10.1039/c0cp00541j","ISSN":"14639076","abstract":"This article presents a literature review and new results on experimental and theoretical investigations of the electrochemistry of solid oxide fuel cell (SOFC) model anodes, focusing on the nickel/yttria-stabilized zirconia (Ni/YSZ) materials system with operation under H2/H2O atmospheres. Micropatterned model anodes were used for electrochemical characterization under well-defined operating conditions. Structural and chemical integrity was confirmed by ex situ pre-test and post-test microstructural and chemical analysis. Elementary kinetic models of reaction and transport processes were used to assess reaction pathways and rate-determining steps. The comparison of experimental and simulated electrochemical behaviors of pattern anodes shows quantitative agreement over a wide range of operating conditions (pH2 = 8×102-9×104 Pa, pH2O = 2×101-6×104 Pa, T = 400-800 °C). Previously published experimental data on model anodes show a strong scatter in electrochemical performance. Furthermore, model anodes exhibit a pronounced dynamics on multiple time scales which is not reproduced in state-of-the-art models and which is also not observed in technical cermet anodes. Potential origin of these effects as well as consequences for further steps in model anode and anode model studies are discussed. © the Owner Societies 2010.","author":[{"dropping-particle":"","family":"Bessler","given":"Wolfgang G.","non-dropping-particle":"","parse-names":false,"suffix":""},{"dropping-particle":"","family":"Vogler","given":"Marcel","non-dropping-particle":"","parse-names":false,"suffix":""},{"dropping-particle":"","family":"Störmer","given":"Heike","non-dropping-particle":"","parse-names":false,"suffix":""},{"dropping-particle":"","family":"Gerthsen","given":"Dagmar","non-dropping-particle":"","parse-names":false,"suffix":""},{"dropping-particle":"","family":"Utz","given":"Annika","non-dropping-particle":"","parse-names":false,"suffix":""},{"dropping-particle":"","family":"Weber","given":"André","non-dropping-particle":"","parse-names":false,"suffix":""},{"dropping-particle":"","family":"Ivers-Tiffée","given":"Ellen","non-dropping-particle":"","parse-names":false,"suffix":""}],"container-title":"Physical Chemistry Chemical Physics","id":"ITEM-2","issue":"42","issued":{"date-parts":[["2010"]]},"page":"13888-13903","title":"Model anodes and anode models for understanding the mechanism of hydrogen oxidation in solid oxide fuel cells","type":"article-journal","volume":"12"},"uris":["http://www.mendeley.com/documents/?uuid=056d2e77-d009-464e-9f9f-abfd9ef2e304"]}],"mendeley":{"formattedCitation":"[100], [213]","plainTextFormattedCitation":"[100], [213]","previouslyFormattedCitation":"[100], [213]"},"properties":{"noteIndex":0},"schema":"https://github.com/citation-style-language/schema/raw/master/csl-citation.json"}</w:instrText>
      </w:r>
      <w:r w:rsidRPr="00582C49">
        <w:rPr>
          <w:i/>
          <w:iCs/>
          <w:color w:val="44546A" w:themeColor="text2"/>
          <w:sz w:val="18"/>
          <w:szCs w:val="18"/>
        </w:rPr>
        <w:fldChar w:fldCharType="separate"/>
      </w:r>
      <w:r w:rsidR="006C586A" w:rsidRPr="006C586A">
        <w:rPr>
          <w:iCs/>
          <w:noProof/>
          <w:color w:val="44546A" w:themeColor="text2"/>
          <w:sz w:val="18"/>
          <w:szCs w:val="18"/>
        </w:rPr>
        <w:t>[100], [213]</w:t>
      </w:r>
      <w:r w:rsidRPr="00582C49">
        <w:rPr>
          <w:i/>
          <w:iCs/>
          <w:color w:val="44546A" w:themeColor="text2"/>
          <w:sz w:val="18"/>
          <w:szCs w:val="18"/>
        </w:rPr>
        <w:fldChar w:fldCharType="end"/>
      </w:r>
      <w:r w:rsidRPr="00582C49">
        <w:rPr>
          <w:i/>
          <w:iCs/>
          <w:color w:val="44546A" w:themeColor="text2"/>
          <w:sz w:val="18"/>
          <w:szCs w:val="18"/>
        </w:rPr>
        <w:t>.</w:t>
      </w:r>
      <w:bookmarkEnd w:id="160"/>
      <w:r w:rsidRPr="00582C49">
        <w:rPr>
          <w:i/>
          <w:iCs/>
          <w:color w:val="44546A" w:themeColor="text2"/>
          <w:sz w:val="18"/>
          <w:szCs w:val="18"/>
        </w:rPr>
        <w:t xml:space="preserve"> </w:t>
      </w:r>
    </w:p>
    <w:p w14:paraId="5DA383E0" w14:textId="7C6CE6C7" w:rsidR="00007F6C" w:rsidRDefault="00007F6C" w:rsidP="004B726A">
      <w:pPr>
        <w:jc w:val="both"/>
      </w:pPr>
      <w:r w:rsidRPr="00426959">
        <w:t>The</w:t>
      </w:r>
      <w:r>
        <w:t xml:space="preserve"> key issue with this study is of representation. The degradation rate seen in this study far exceeded that of current Ni/YSZ cermet anode SOFCs. The LSR appeared to increase post polarisation linearly at a rate of 0.4 Ωmh</w:t>
      </w:r>
      <w:r>
        <w:rPr>
          <w:vertAlign w:val="superscript"/>
        </w:rPr>
        <w:t>-1</w:t>
      </w:r>
      <w:r>
        <w:t xml:space="preserve"> at 800</w:t>
      </w:r>
      <w:r w:rsidR="00D65B62">
        <w:t xml:space="preserve"> </w:t>
      </w:r>
      <w:r>
        <w:t xml:space="preserve">°C. This was reported to be 1000x larger than that of a cermet system. On the other hand, a patterned model anode is a highly idealised system with open porosity and short TPBs. The differences between this system and a cermet or infiltrated anode in terms of size and morphology could the reason as to why the line specific resistance is so much larger </w:t>
      </w:r>
      <w:r w:rsidRPr="00A81094">
        <w:fldChar w:fldCharType="begin" w:fldLock="1"/>
      </w:r>
      <w:r w:rsidR="00D80A5D">
        <w:instrText xml:space="preserve">ADDIN CSL_CITATION {"citationItems":[{"id":"ITEM-1","itemData":{"DOI":"10.1039/c5ee03858h","ISBN":"1754-5692","ISSN":"17545706","abstract":"This article provides a perspective review of low-temperature solid oxide fuel cells research and development.This article provides a perspective on solid oxide fuel cells operating at low temperature, defined here to be the range from </w:instrText>
      </w:r>
      <w:r w:rsidR="00D80A5D">
        <w:rPr>
          <w:rFonts w:ascii="Cambria Math" w:hAnsi="Cambria Math" w:cs="Cambria Math"/>
        </w:rPr>
        <w:instrText>∼</w:instrText>
      </w:r>
      <w:r w:rsidR="00D80A5D">
        <w:instrText xml:space="preserve">400 </w:instrText>
      </w:r>
      <w:r w:rsidR="00D80A5D">
        <w:rPr>
          <w:rFonts w:ascii="Calibri" w:hAnsi="Calibri" w:cs="Calibri"/>
        </w:rPr>
        <w:instrText>°</w:instrText>
      </w:r>
      <w:r w:rsidR="00D80A5D">
        <w:instrText xml:space="preserve">C to 650 </w:instrText>
      </w:r>
      <w:r w:rsidR="00D80A5D">
        <w:rPr>
          <w:rFonts w:ascii="Calibri" w:hAnsi="Calibri" w:cs="Calibri"/>
        </w:rPr>
        <w:instrText>°</w:instrText>
      </w:r>
      <w:r w:rsidR="00D80A5D">
        <w:instrText>C. These low-temperature solid oxide fuel cells (LT-SOFCs) have seen considerable research and development and are widely viewed as the “next generation” technology, following the 650–850 °C SOFCs that are currently undergoing commercialization. LT-SOFCs have potential advantages for conventional SOFC applications such as stationary power generation, and may be viable for new portable and transportation power applications, along with electrolytic fuel production and energy storage. The characteristics of electrolyte and electrode materials are reviewed, with a focus on materials that have demonstrated good properties and cell performance at low temperature. Only oxygen-ion-conducting electrolytes are considered here. Anode materials are discussed, primarily the various Ni–cermet anode compositions that yield good low-temperature performance. Mixed ionically and electronically conducting cathode materials are described in detail, reflecting the extensive research activity that has aimed at providing useful oxygen reduction kinetics at low operating temperature. Cell design, materials compatibility, processing methods, and resulting microstructures are discussed, along with their role in determining cell performance. Results from state of the art LT-SOFCs are presented, and future prospects are discussed.","author":[{"dropping-particle":"","family":"Gao","given":"Zhan","non-dropping-particle":"","parse-names":false,"suffix":""},{"dropping-particle":"V.","family":"Mogni","given":"Liliana","non-dropping-particle":"","parse-names":false,"suffix":""},{"dropping-particle":"","family":"Miller","given":"Elizabeth C.","non-dropping-particle":"","parse-names":false,"suffix":""},{"dropping-particle":"","family":"Railsback","given":"Justin G.","non-dropping-particle":"","parse-names":false,"suffix":""},{"dropping-particle":"","family":"Barnett","given":"Scott A.","non-dropping-particle":"","parse-names":false,"suffix":""}],"container-title":"Energy and Environmental Science","id":"ITEM-1","issue":"5","issued":{"date-parts":[["2016"]]},"language":"English","note":"Dl5tj\nTimes Cited:5\nCited References Count:505","page":"1602-1644","title":"A perspective on low-temperature solid oxide fuel cells","type":"article-journal","volume":"9"},"uris":["http://www.mendeley.com/documents/?uuid=ebe18e5a-0207-4340-a107-37bc019ae173"]},{"id":"ITEM-2","itemData":{"DOI":"10.1039/c0cp00541j","ISSN":"14639076","abstract":"This article presents a literature review and new results on experimental and theoretical investigations of the electrochemistry of solid oxide fuel cell (SOFC) model anodes, focusing on the nickel/yttria-stabilized zirconia (Ni/YSZ) materials system with operation under H2/H2O atmospheres. Micropatterned model anodes were used for electrochemical characterization under well-defined operating conditions. Structural and chemical integrity was confirmed by ex situ pre-test and post-test microstructural and chemical analysis. Elementary kinetic models of reaction and transport processes were used to assess reaction pathways and rate-determining steps. The comparison of experimental and simulated electrochemical behaviors of pattern anodes shows quantitative agreement over a wide range of operating conditions (pH2 = 8×102-9×104 Pa, pH2O = 2×101-6×104 Pa, T = 400-800 °C). Previously published experimental data on model anodes show a strong scatter in electrochemical performance. Furthermore, model anodes exhibit a pronounced dynamics on multiple time scales which is not reproduced in state-of-the-art models and which is also not observed in technical cermet anodes. Potential origin of these effects as well as consequences for further steps in model anode and anode model studies are discussed. © the Owner Societies 2010.","author":[{"dropping-particle":"","family":"Bessler","given":"Wolfgang G.","non-dropping-particle":"","parse-names":false,"suffix":""},{"dropping-particle":"","family":"Vogler","given":"Marcel","non-dropping-particle":"","parse-names":false,"suffix":""},{"dropping-particle":"","family":"Störmer","given":"Heike","non-dropping-particle":"","parse-names":false,"suffix":""},{"dropping-particle":"","family":"Gerthsen","given":"Dagmar","non-dropping-particle":"","parse-names":false,"suffix":""},{"dropping-particle":"","family":"Utz","given":"Annika","non-dropping-particle":"","parse-names":false,"suffix":""},{"dropping-particle":"","family":"Weber","given":"André","non-dropping-particle":"","parse-names":false,"suffix":""},{"dropping-particle":"","family":"Ivers-Tiffée","given":"Ellen","non-dropping-particle":"","parse-names":false,"suffix":""}],"container-title":"Physical Chemistry Chemical Physics","id":"ITEM-2","issue":"42","issued":{"date-parts":[["2010"]]},"page":"13888-13903","title":"Model anodes and anode models for understanding the mechanism of hydrogen oxidation in solid oxide fuel cells","type":"article-journal","volume":"12"},"uris":["http://www.mendeley.com/documents/?uuid=056d2e77-d009-464e-9f9f-abfd9ef2e304"]}],"mendeley":{"formattedCitation":"[100], [213]","plainTextFormattedCitation":"[100], [213]","previouslyFormattedCitation":"[100], [213]"},"properties":{"noteIndex":0},"schema":"https://github.com/citation-style-language/schema/raw/master/csl-citation.json"}</w:instrText>
      </w:r>
      <w:r w:rsidRPr="00A81094">
        <w:fldChar w:fldCharType="separate"/>
      </w:r>
      <w:r w:rsidR="006C586A" w:rsidRPr="006C586A">
        <w:rPr>
          <w:noProof/>
        </w:rPr>
        <w:t>[100], [213]</w:t>
      </w:r>
      <w:r w:rsidRPr="00A81094">
        <w:fldChar w:fldCharType="end"/>
      </w:r>
      <w:r w:rsidRPr="00A81094">
        <w:t>.</w:t>
      </w:r>
      <w:r>
        <w:t xml:space="preserve"> </w:t>
      </w:r>
    </w:p>
    <w:p w14:paraId="65072175" w14:textId="77777777" w:rsidR="00007F6C" w:rsidRPr="002B6C9E" w:rsidRDefault="00007F6C" w:rsidP="004B726A">
      <w:pPr>
        <w:jc w:val="both"/>
      </w:pPr>
      <w:r>
        <w:lastRenderedPageBreak/>
        <w:t xml:space="preserve">The key point of continuation would be to do a benchmark test on an infiltrated Ni/YSZ system to compare with the patterned model anode and use the LSR calculation to analyse degradation. This technique with its continued modification due to changes in the </w:t>
      </w:r>
      <w:proofErr w:type="spellStart"/>
      <w:r>
        <w:t>TPB</w:t>
      </w:r>
      <w:r>
        <w:rPr>
          <w:vertAlign w:val="subscript"/>
        </w:rPr>
        <w:t>l</w:t>
      </w:r>
      <w:proofErr w:type="spellEnd"/>
      <w:r>
        <w:t xml:space="preserve"> and particle size should provide an accurate method to assess the durability of a wet impregnated anode.</w:t>
      </w:r>
    </w:p>
    <w:p w14:paraId="5D9B73B9" w14:textId="77777777" w:rsidR="00007F6C" w:rsidRPr="002B6C9E" w:rsidRDefault="00007F6C" w:rsidP="004B726A">
      <w:pPr>
        <w:pStyle w:val="Heading4"/>
      </w:pPr>
      <w:bookmarkStart w:id="161" w:name="_Toc474489940"/>
      <w:r>
        <w:t>2</w:t>
      </w:r>
      <w:r w:rsidRPr="002B6C9E">
        <w:t>.</w:t>
      </w:r>
      <w:r>
        <w:t>4.4</w:t>
      </w:r>
      <w:r w:rsidRPr="002B6C9E">
        <w:t xml:space="preserve"> Structural analysis</w:t>
      </w:r>
      <w:bookmarkEnd w:id="152"/>
      <w:bookmarkEnd w:id="153"/>
      <w:bookmarkEnd w:id="154"/>
      <w:bookmarkEnd w:id="155"/>
      <w:bookmarkEnd w:id="161"/>
    </w:p>
    <w:p w14:paraId="2FB36177" w14:textId="77777777" w:rsidR="00007F6C" w:rsidRPr="002B6C9E" w:rsidRDefault="00007F6C" w:rsidP="004B726A">
      <w:pPr>
        <w:jc w:val="both"/>
      </w:pPr>
      <w:r w:rsidRPr="002B6C9E">
        <w:t xml:space="preserve">The main structural examination method in fuel electrode studies is X-ray diffraction which is used by many authors in the literature. However, in recent times more innovative techniques have been used to examine the assembly of wet impregnated fuel electrodes in </w:t>
      </w:r>
      <w:r>
        <w:t>SOFC</w:t>
      </w:r>
      <w:r w:rsidRPr="002B6C9E">
        <w:t>s.</w:t>
      </w:r>
    </w:p>
    <w:p w14:paraId="0FAEE33B" w14:textId="77777777" w:rsidR="00007F6C" w:rsidRPr="002B6C9E" w:rsidRDefault="00007F6C" w:rsidP="004B726A">
      <w:pPr>
        <w:pStyle w:val="Heading5"/>
      </w:pPr>
      <w:bookmarkStart w:id="162" w:name="_Toc474489941"/>
      <w:r>
        <w:t>2.4.4.1</w:t>
      </w:r>
      <w:r>
        <w:tab/>
      </w:r>
      <w:r w:rsidRPr="002B6C9E">
        <w:t>X-ray Diffraction</w:t>
      </w:r>
      <w:bookmarkEnd w:id="162"/>
    </w:p>
    <w:p w14:paraId="43500F79" w14:textId="3D42573E" w:rsidR="00007F6C" w:rsidRDefault="00007F6C" w:rsidP="004B726A">
      <w:pPr>
        <w:jc w:val="both"/>
      </w:pPr>
      <w:r w:rsidRPr="002B6C9E">
        <w:t xml:space="preserve">Structural characterisation methods such as </w:t>
      </w:r>
      <w:r>
        <w:t>X</w:t>
      </w:r>
      <w:r w:rsidRPr="002B6C9E">
        <w:t xml:space="preserve">-ray diffraction (XRD) can also be used to confirm whether the nickel oxide have been reduced successfully into catalytic nickel adatoms on the surface of the fuel electrode. An incomplete reduction event </w:t>
      </w:r>
      <w:r w:rsidRPr="00C6692E">
        <w:t>would result in a diffraction pattern that would contain peaks from nickel, nickel oxide and yttria stabilized zirconia. Studies such as Jasinski et al</w:t>
      </w:r>
      <w:r w:rsidRPr="002B6C9E">
        <w:t xml:space="preserve"> used XRD merely to confirm that this event had occur</w:t>
      </w:r>
      <w:r w:rsidRPr="00521366">
        <w:t>red (</w:t>
      </w:r>
      <w:r w:rsidRPr="00521366">
        <w:fldChar w:fldCharType="begin"/>
      </w:r>
      <w:r w:rsidRPr="00521366">
        <w:instrText xml:space="preserve"> REF _Ref51675978 \h </w:instrText>
      </w:r>
      <w:r>
        <w:instrText xml:space="preserve"> \* MERGEFORMAT </w:instrText>
      </w:r>
      <w:r w:rsidRPr="00521366">
        <w:fldChar w:fldCharType="separate"/>
      </w:r>
      <w:r w:rsidR="00C97002" w:rsidRPr="00C97002">
        <w:t>Figure 2.29</w:t>
      </w:r>
      <w:r w:rsidRPr="00521366">
        <w:fldChar w:fldCharType="end"/>
      </w:r>
      <w:r w:rsidRPr="00521366">
        <w:t xml:space="preserve">) </w:t>
      </w:r>
      <w:r w:rsidRPr="00521366">
        <w:fldChar w:fldCharType="begin" w:fldLock="1"/>
      </w:r>
      <w:r w:rsidR="00D80A5D">
        <w:instrText>ADDIN CSL_CITATION {"citationItems":[{"id":"ITEM-1","itemData":{"DOI":"10.1016/j.jpowsour.2010.03.050","ISBN":"03787753 (ISSN)","ISSN":"03787753","abstract":"Ceramic-metal composites (cermets) containing yttria-stabilized zirconia, YSZ, and Ni particles are commonly used as anode materials in solid oxide fuel cells. The long-term performance of fuel cells is strictly related to both the structural and electrical properties of anode materials. In order to achieve high mixed electrical conductivity and high activity of electrochemical reactions and hydrocarbon fuel reforming, it is necessary to select an appropriate chemical composition and a suitable method of preparation. Materials containing 8 mol% yttria-stabilized zirconia and Ni were prepared by means of two methods: co-precipitation and impregnation. The structure of the materials was characterized by means of X-ray diffraction (XRD), scanning electron microscopy (SEM) and porosity studies. The thermal expansion coefficient (TEC) was determined using the dilathometric method. Electrochemical impedance spectroscopy (EIS) and the Wagner polarization method were used to determine electrical conductivity and the electron transference numbers, respectively. © 2010 Elsevier B.V. All rights reserved.","author":[{"dropping-particle":"","family":"Jasinski","given":"M.","non-dropping-particle":"","parse-names":false,"suffix":""},{"dropping-particle":"","family":"Radecka","given":"M.","non-dropping-particle":"","parse-names":false,"suffix":""},{"dropping-particle":"","family":"Rekas","given":"M.","non-dropping-particle":"","parse-names":false,"suffix":""},{"dropping-particle":"","family":"Pasierb","given":"P.","non-dropping-particle":"","parse-names":false,"suffix":""},{"dropping-particle":"","family":"Haberko","given":"K.","non-dropping-particle":"","parse-names":false,"suffix":""}],"container-title":"Journal of Power Sources","id":"ITEM-1","issue":"17","issued":{"date-parts":[["2010"]]},"language":"English","note":"Cited By :19\nExport Date: 28 November 2016\nCODEN: JPSOD\nCorrespondence Address: Rekas, M.; AGH University of Science and Technology, Faculty of Materials Science and Ceramics, al.Mickiewicza 30, 30-059 Cracow, Poland; email: rekas@agh.edu.pl\nReferences: Minh, N.Q., Takahashi, T., (1995) Science and Technology of Ceramic Fuel Cells, , Elsevier, Amsterdam; Yano, M., Tomita, A., Sano, M., Hibino, T., (2007) Solid State Ionics, 177, p. 3351; Van Rij, L.N., Le, J., Van Landschoot, Schoonman, J., (2001) J. Mater. Sci., 36, p. 1069; Park, S., Craciun, R., Vohs, J.M., Gorte, J., (1999) J. Electrochem. Soc., 146, p. 3603; Iida, T., Kawano, M., Matsui, T., Kikuchi, R., Eguchi, K., (2007) J. Electrochem. Soc., 154, pp. B234; Sarantaridis, D., Atkinson, A., (2007) Fuel cells, 7, p. 246; Tsepis, E.V., Kharton, V.V., (2008) J. Solid State Electrochem., 12, p. 1039; Zhu, W.Z., Deevi, S.C., (2003) Mater. Sci. Eng. A, 362, p. 228; Nait-Ali, B., Haberko, K., Vesteghem, H., Absi, J., Smith, D.S., (2006) J. Eur. Ceram. Soc., 26, p. 3567; Abe, H., Moon, W.-J., Naito, M., (2006) Fuel Cells Bull., p. 12; Chen, Y.-Y., Wei, W.-Ch.J., (2006) Solid State Ionics, 177, p. 351; Liu, B., Zhang, Y., Tu, B., Dong, Y., Cheng, M., (2007) J. Power Sources, 165, p. 114; Lang, M., Auer, C., Eismann, A., Szabo, P., Wagner, N., (2008) Electrochim. Acta, 53, p. 7509; West, R.W., Tallan, N.M., (1965) J. Appl. Phys., 36, p. 543; Lee, J.-H., Heo, J.-W., Lee, D.-S., Kim, J., Kim, G.-H., Lee, H.-W., Song, H.S., Moon, J.-H., (2003) Solid State Ionics, 158, p. 225; Abe, H., Murata, K., Moon, W.-J., Kaneko, K., Nito, M., (2006) Fuel Cell Bull., p. 12; Minh, N.Q., (1993) J. Am. Ceram. Soc., 76, p. 563; Kim, S.-D., Moon, H., Hyun, S.-H., Moon, J., Kim, J., Lee, H.-W., (2007) Solid State Ionics, 178, p. 1304; Dees, D.W., Claar, T.D., Easler, T.E., Fee, D.C., Mrazek, F.C., (1987) J. Electrochem. Soc., 134, p. 2141; Childs, P.R.N., (2001) Practical Temperature Measurement, , Butterworth-Heinemann p. 172; Bruggeman, D.A.G., (1935) Ann. Phys., 24, p. 636; Baumard, J.F., Abelard, P., (1984) Science and Technology of Zirconia II, Advances in Ceramics, 12, pp. 557-571. , Claussen N., Rühle M., and Heuer A.H. (Eds), American Ceramic Society, Columbus; Pimenov, A., Ulrich, J., Lukenheimer, P., Loidl, A., Rüscher, C.H., (1998) Solid State Ionics, 109, p. 111; Gong, J., Li, Y., Zhang, Z., Tang, Z., (2000) J. Am. Ceram. Soc., 83, p. 648; Martin, M.C., Mecartney, M.L., (2003) Solid State Ionics, 171, p. 67; Wierzbicka, M., Pasierb, P., Rekas, M., (2007) Phys. B, 387, p. 302","page":"5527-5533","title":"Structural and electrical properties of Ni–YSZ cermet materials","type":"article-journal","volume":"195"},"uris":["http://www.mendeley.com/documents/?uuid=121e1dbd-2000-45dd-baca-b07c05b24380"]}],"mendeley":{"formattedCitation":"[154]","plainTextFormattedCitation":"[154]","previouslyFormattedCitation":"[154]"},"properties":{"noteIndex":0},"schema":"https://github.com/citation-style-language/schema/raw/master/csl-citation.json"}</w:instrText>
      </w:r>
      <w:r w:rsidRPr="00521366">
        <w:fldChar w:fldCharType="separate"/>
      </w:r>
      <w:r w:rsidR="006C586A" w:rsidRPr="006C586A">
        <w:rPr>
          <w:noProof/>
        </w:rPr>
        <w:t>[154]</w:t>
      </w:r>
      <w:r w:rsidRPr="00521366">
        <w:fldChar w:fldCharType="end"/>
      </w:r>
      <w:r w:rsidRPr="002B6C9E">
        <w:t xml:space="preserve">. However, as this was more of a </w:t>
      </w:r>
      <w:r w:rsidR="00D65B62" w:rsidRPr="002B6C9E">
        <w:t>proof-of-concept</w:t>
      </w:r>
      <w:r w:rsidRPr="002B6C9E">
        <w:t xml:space="preserve"> investigation the XRD diffraction pattern provided was a co-precipitated Ni/YSZ sample and not either of the two infiltrated samples.</w:t>
      </w:r>
    </w:p>
    <w:p w14:paraId="716E61E8" w14:textId="77777777" w:rsidR="00007F6C" w:rsidRDefault="00007F6C" w:rsidP="004B726A">
      <w:pPr>
        <w:keepNext/>
      </w:pPr>
      <w:r>
        <w:rPr>
          <w:noProof/>
          <w:lang w:eastAsia="en-GB"/>
        </w:rPr>
        <w:drawing>
          <wp:inline distT="0" distB="0" distL="0" distR="0" wp14:anchorId="2AE5BD6D" wp14:editId="4AA0B85E">
            <wp:extent cx="5731510" cy="260731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XRD structural characterisation.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510" cy="2607310"/>
                    </a:xfrm>
                    <a:prstGeom prst="rect">
                      <a:avLst/>
                    </a:prstGeom>
                  </pic:spPr>
                </pic:pic>
              </a:graphicData>
            </a:graphic>
          </wp:inline>
        </w:drawing>
      </w:r>
    </w:p>
    <w:p w14:paraId="32AEF007" w14:textId="72441A64" w:rsidR="00007F6C" w:rsidRPr="00582C49" w:rsidRDefault="00007F6C" w:rsidP="004B726A">
      <w:pPr>
        <w:jc w:val="center"/>
        <w:rPr>
          <w:i/>
          <w:iCs/>
          <w:color w:val="44546A" w:themeColor="text2"/>
          <w:sz w:val="18"/>
          <w:szCs w:val="18"/>
        </w:rPr>
      </w:pPr>
      <w:bookmarkStart w:id="163" w:name="_Ref51675978"/>
      <w:bookmarkStart w:id="164" w:name="_Toc69114941"/>
      <w:r w:rsidRPr="00582C49">
        <w:rPr>
          <w:i/>
          <w:iCs/>
          <w:color w:val="44546A" w:themeColor="text2"/>
          <w:sz w:val="18"/>
          <w:szCs w:val="18"/>
        </w:rPr>
        <w:t>Figure 2.</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C97002">
        <w:rPr>
          <w:i/>
          <w:iCs/>
          <w:noProof/>
          <w:color w:val="44546A" w:themeColor="text2"/>
          <w:sz w:val="18"/>
          <w:szCs w:val="18"/>
        </w:rPr>
        <w:t>29</w:t>
      </w:r>
      <w:r w:rsidR="00285C23">
        <w:rPr>
          <w:i/>
          <w:iCs/>
          <w:color w:val="44546A" w:themeColor="text2"/>
          <w:sz w:val="18"/>
          <w:szCs w:val="18"/>
        </w:rPr>
        <w:fldChar w:fldCharType="end"/>
      </w:r>
      <w:bookmarkEnd w:id="163"/>
      <w:r w:rsidRPr="00582C49">
        <w:rPr>
          <w:i/>
          <w:iCs/>
          <w:color w:val="44546A" w:themeColor="text2"/>
          <w:sz w:val="18"/>
          <w:szCs w:val="18"/>
        </w:rPr>
        <w:t>: X-ray diffraction spectra of two Ni/YSZ samples both reduced in humidified hydrogen at 500</w:t>
      </w:r>
      <w:r w:rsidR="00DA7BBE">
        <w:rPr>
          <w:i/>
          <w:iCs/>
          <w:color w:val="44546A" w:themeColor="text2"/>
          <w:sz w:val="18"/>
          <w:szCs w:val="18"/>
        </w:rPr>
        <w:t xml:space="preserve"> </w:t>
      </w:r>
      <w:r w:rsidRPr="00582C49">
        <w:rPr>
          <w:i/>
          <w:iCs/>
          <w:color w:val="44546A" w:themeColor="text2"/>
          <w:sz w:val="18"/>
          <w:szCs w:val="18"/>
        </w:rPr>
        <w:t xml:space="preserve">°C. LHS – Ni/YSZ co-precipitated sample. RHS – Ni/YSZ infiltrated sample </w:t>
      </w:r>
      <w:r w:rsidRPr="00582C49">
        <w:rPr>
          <w:i/>
          <w:iCs/>
          <w:color w:val="44546A" w:themeColor="text2"/>
          <w:sz w:val="18"/>
          <w:szCs w:val="18"/>
        </w:rPr>
        <w:fldChar w:fldCharType="begin" w:fldLock="1"/>
      </w:r>
      <w:r w:rsidR="00D80A5D">
        <w:rPr>
          <w:i/>
          <w:iCs/>
          <w:color w:val="44546A" w:themeColor="text2"/>
          <w:sz w:val="18"/>
          <w:szCs w:val="18"/>
        </w:rPr>
        <w:instrText>ADDIN CSL_CITATION {"citationItems":[{"id":"ITEM-1","itemData":{"DOI":"10.1016/j.jpowsour.2010.03.050","ISBN":"03787753 (ISSN)","ISSN":"03787753","abstract":"Ceramic-metal composites (cermets) containing yttria-stabilized zirconia, YSZ, and Ni particles are commonly used as anode materials in solid oxide fuel cells. The long-term performance of fuel cells is strictly related to both the structural and electrical properties of anode materials. In order to achieve high mixed electrical conductivity and high activity of electrochemical reactions and hydrocarbon fuel reforming, it is necessary to select an appropriate chemical composition and a suitable method of preparation. Materials containing 8 mol% yttria-stabilized zirconia and Ni were prepared by means of two methods: co-precipitation and impregnation. The structure of the materials was characterized by means of X-ray diffraction (XRD), scanning electron microscopy (SEM) and porosity studies. The thermal expansion coefficient (TEC) was determined using the dilathometric method. Electrochemical impedance spectroscopy (EIS) and the Wagner polarization method were used to determine electrical conductivity and the electron transference numbers, respectively. © 2010 Elsevier B.V. All rights reserved.","author":[{"dropping-particle":"","family":"Jasinski","given":"M.","non-dropping-particle":"","parse-names":false,"suffix":""},{"dropping-particle":"","family":"Radecka","given":"M.","non-dropping-particle":"","parse-names":false,"suffix":""},{"dropping-particle":"","family":"Rekas","given":"M.","non-dropping-particle":"","parse-names":false,"suffix":""},{"dropping-particle":"","family":"Pasierb","given":"P.","non-dropping-particle":"","parse-names":false,"suffix":""},{"dropping-particle":"","family":"Haberko","given":"K.","non-dropping-particle":"","parse-names":false,"suffix":""}],"container-title":"Journal of Power Sources","id":"ITEM-1","issue":"17","issued":{"date-parts":[["2010"]]},"language":"English","note":"Cited By :19\nExport Date: 28 November 2016\nCODEN: JPSOD\nCorrespondence Address: Rekas, M.; AGH University of Science and Technology, Faculty of Materials Science and Ceramics, al.Mickiewicza 30, 30-059 Cracow, Poland; email: rekas@agh.edu.pl\nReferences: Minh, N.Q., Takahashi, T., (1995) Science and Technology of Ceramic Fuel Cells, , Elsevier, Amsterdam; Yano, M., Tomita, A., Sano, M., Hibino, T., (2007) Solid State Ionics, 177, p. 3351; Van Rij, L.N., Le, J., Van Landschoot, Schoonman, J., (2001) J. Mater. Sci., 36, p. 1069; Park, S., Craciun, R., Vohs, J.M., Gorte, J., (1999) J. Electrochem. Soc., 146, p. 3603; Iida, T., Kawano, M., Matsui, T., Kikuchi, R., Eguchi, K., (2007) J. Electrochem. Soc., 154, pp. B234; Sarantaridis, D., Atkinson, A., (2007) Fuel cells, 7, p. 246; Tsepis, E.V., Kharton, V.V., (2008) J. Solid State Electrochem., 12, p. 1039; Zhu, W.Z., Deevi, S.C., (2003) Mater. Sci. Eng. A, 362, p. 228; Nait-Ali, B., Haberko, K., Vesteghem, H., Absi, J., Smith, D.S., (2006) J. Eur. Ceram. Soc., 26, p. 3567; Abe, H., Moon, W.-J., Naito, M., (2006) Fuel Cells Bull., p. 12; Chen, Y.-Y., Wei, W.-Ch.J., (2006) Solid State Ionics, 177, p. 351; Liu, B., Zhang, Y., Tu, B., Dong, Y., Cheng, M., (2007) J. Power Sources, 165, p. 114; Lang, M., Auer, C., Eismann, A., Szabo, P., Wagner, N., (2008) Electrochim. Acta, 53, p. 7509; West, R.W., Tallan, N.M., (1965) J. Appl. Phys., 36, p. 543; Lee, J.-H., Heo, J.-W., Lee, D.-S., Kim, J., Kim, G.-H., Lee, H.-W., Song, H.S., Moon, J.-H., (2003) Solid State Ionics, 158, p. 225; Abe, H., Murata, K., Moon, W.-J., Kaneko, K., Nito, M., (2006) Fuel Cell Bull., p. 12; Minh, N.Q., (1993) J. Am. Ceram. Soc., 76, p. 563; Kim, S.-D., Moon, H., Hyun, S.-H., Moon, J., Kim, J., Lee, H.-W., (2007) Solid State Ionics, 178, p. 1304; Dees, D.W., Claar, T.D., Easler, T.E., Fee, D.C., Mrazek, F.C., (1987) J. Electrochem. Soc., 134, p. 2141; Childs, P.R.N., (2001) Practical Temperature Measurement, , Butterworth-Heinemann p. 172; Bruggeman, D.A.G., (1935) Ann. Phys., 24, p. 636; Baumard, J.F., Abelard, P., (1984) Science and Technology of Zirconia II, Advances in Ceramics, 12, pp. 557-571. , Claussen N., Rühle M., and Heuer A.H. (Eds), American Ceramic Society, Columbus; Pimenov, A., Ulrich, J., Lukenheimer, P., Loidl, A., Rüscher, C.H., (1998) Solid State Ionics, 109, p. 111; Gong, J., Li, Y., Zhang, Z., Tang, Z., (2000) J. Am. Ceram. Soc., 83, p. 648; Martin, M.C., Mecartney, M.L., (2003) Solid State Ionics, 171, p. 67; Wierzbicka, M., Pasierb, P., Rekas, M., (2007) Phys. B, 387, p. 302","page":"5527-5533","title":"Structural and electrical properties of Ni–YSZ cermet materials","type":"article-journal","volume":"195"},"uris":["http://www.mendeley.com/documents/?uuid=121e1dbd-2000-45dd-baca-b07c05b24380"]},{"id":"ITEM-2","itemData":{"DOI":"10.1016/j.ssi.2012.06.002","ISBN":"01672738 (ISSN)","ISSN":"01672738","abstract":"Niobium-doped strontium titanate was used as the anode for a solid oxide fuel cell. Electrolyte-supported cells were prepared with pure perovskite and composite perovskite-yttria-stabilized-zirconia (YSZ) anodes. Fuel cell tests demonstrated significant improvement in power density after infiltration with a small amount of Ni. The obtained values of power densities are comparable with conventional Ni/YSZ cermet anode. In addition, stability tests showed initial degradation followed by stable operation. © 2012 Elsevier B.V. All rights reserved.","author":[{"dropping-particle":"","family":"Kusz","given":"B.","non-dropping-particle":"","parse-names":false,"suffix":""},{"dropping-particle":"","family":"Jasinski","given":"P.","non-dropping-particle":"","parse-names":false,"suffix":""},{"dropping-particle":"","family":"Karczewski","given":"J.","non-dropping-particle":"","parse-names":false,"suffix":""},{"dropping-particle":"","family":"Molin","given":"S.","non-dropping-particle":"","parse-names":false,"suffix":""},{"dropping-particle":"","family":"Gazda","given":"M.","non-dropping-particle":"","parse-names":false,"suffix":""},{"dropping-particle":"","family":"Bochentyn","given":"B.","non-dropping-particle":"","parse-names":false,"suffix":""}],"container-title":"Solid State Ionics","id":"ITEM-2","issued":{"date-parts":[["2012"]]},"language":"English","note":"Cited By :8\nExport Date: 20 January 2017\nCODEN: SSIOD\nCorrespondence Address: Karczewski, J.; Department of Solid State Physics, Gdansk University of Technology, Narutowicza 11/12, 80-233 Gdansk, Poland; email: ja_kubek@wp.pl\nReferences: Orera, A., Slater, P.R., (2010) Chem. Mater., 22, pp. 675-690; Fergus, J.W., (2006) Solid State Ionics, 177, pp. 1529-1541; Zhu, W.Z., Deevi, S.C., (2003) Mater. Sci. Eng., A362, pp. 228-239; Matsuzaki, Y., Yasuda, I., (2000) Solid State Ionics, 132, pp. 261-269; Kolodiazhnyi, T., Petric, A., (2005) J. Electroceram., 15, pp. 5-11; Karczewski, J., Riegel, B., Gazda, M., Jasinski, P., Kusz, B., (2010) J. Electroceram., 24 (4), pp. 326-330; Koutcheiko, S., Yoo, Y., Petric, A., Davidson, I., (2006) Ceram. Int., 32, pp. 67-72; Savaniu, C.D., Irvine, J.T.I., (2011) Solid State Ionics, 192, pp. 491-493; Liu, J., Madsen, B.D., Li, Z.Q., Barnett, S.A., (2002) Electrochem. Solid-State Lett., 5, pp. 122-A124; Lee, S., Kim, G., Vohs, J.M., Gorte, R.J., (2008) J. Electrochem. Soc., 155 (11), pp. 1179-B1183; Gross, M.D., Vohs, J.M., Gorte, R.J., (2007) J. Electrochem. Soc., 154 (7), pp. 694-B699; Gross, M.D., Carver, K.M., Deighan, M.A., Schenkel, A., Smith, B.M., Yee, A.Z., (2009) J. Electrochem. Soc., 156 (4), pp. 540-B545; Kim, G., Gross, M.D., Wang, W., Vohs, J.M., Gorte, R.J., (2008) J. Electrochem. Soc., 155 (4), pp. 360-B366; Kim, G., Lee, S., Shin, J.Y., Corre, G., Irvine, J.T.S., Vohs, J.M., Gorte, R.J., (2009) Electrochem. Solid-State Lett., 12 (3), pp. 48-B52; Smith, B.H., Gross, M.D., (2011) Electrochem. Solid-State Lett., 14 (1), pp. 1-B5; Sun, Ch., Stimming, U., (2007) J. Power Sources, 171, pp. 247-260; Kurokawa, H., Yang, L., Jacobson, C.P., De Jonghe, L.C., Visco, S.J., (2007) J. Power Sources, 164, pp. 510-518; Bochentyn, B., Karczewski, J., Molin, S., Klimczuk, T., Gazda, M., Jasiński, P., Safarik, D.J., Kusz, B., (2012) J. Electroceram., 28, pp. 132-138; Van Berkel, F.P.F., Stodólny, M., Sillessen, M., Ouweltjes, J.P., (2008) Proceedings of the 8th European Solid Oxide Fuel Cell Forum, p. 0621. , European Fuel Cell Forum; Orui, H., Watanabe, K., Chiba, R., Arakawa, M., (2004) J. Electrochem. Soc., 151 (9), pp. 1412-A1417; Laurencin, J., Delette, G., Sicardy, O., Rosini, S., Lefebvre-Joud, F., (2010) J. Power Sources, 195, pp. 2747-2753; Primdahl, S., (1999) Nickel/Yttria-stabilised Zirconia Cermet Anodes for Solid Oxide Fuel Cells, , Riso National Laboratory; Hussain, M.A., Hogh, J.V.T., Jacobsen, T., Bonanos, N., (2012) Int. J. Hydrog. Energy, 37, pp. 4309-4318; Kim, J.-S., Nair, V.V., Vohs, J.M., Gorte, R.J., (2011) Scr. Mater., 65, p. 90; Klemenso, T., Thyden, K., Chen, M., Wang, H., (2010) J. Power Sources, 195, pp. 7295-7301","page":"11-14","title":"Solid oxide fuel cells with Ni-infiltrated perovskite anode","type":"article-journal","volume":"221"},"uris":["http://www.mendeley.com/documents/?uuid=7932b896-821a-41b0-862d-9d0cce9db154"]},{"id":"ITEM-3","itemData":{"DOI":"10.1016/j.jpowsour.2015.12.022","ISBN":"03787753","author":[{"dropping-particle":"","family":"Buyukaksoy","given":"Aligul","non-dropping-particle":"","parse-names":false,"suffix":""},{"dropping-particle":"","family":"Birss","given":"Viola I","non-dropping-particle":"","parse-names":false,"suffix":""}],"container-title":"Journal of Power Sources","id":"ITEM-3","issued":{"date-parts":[["2016"]]},"page":"449-453","title":"Highly active nanoscale Ni - Yttria stabilized zirconia anodes for micro-solid oxide fuel cell applications","type":"article-journal","volume":"307"},"uris":["http://www.mendeley.com/documents/?uuid=d6aaa1f4-4250-4552-8a17-02890e6cd9c7"]}],"mendeley":{"formattedCitation":"[154], [246], [250]","plainTextFormattedCitation":"[154], [246], [250]","previouslyFormattedCitation":"[154], [246], [250]"},"properties":{"noteIndex":0},"schema":"https://github.com/citation-style-language/schema/raw/master/csl-citation.json"}</w:instrText>
      </w:r>
      <w:r w:rsidRPr="00582C49">
        <w:rPr>
          <w:i/>
          <w:iCs/>
          <w:color w:val="44546A" w:themeColor="text2"/>
          <w:sz w:val="18"/>
          <w:szCs w:val="18"/>
        </w:rPr>
        <w:fldChar w:fldCharType="separate"/>
      </w:r>
      <w:r w:rsidR="006C586A" w:rsidRPr="006C586A">
        <w:rPr>
          <w:iCs/>
          <w:noProof/>
          <w:color w:val="44546A" w:themeColor="text2"/>
          <w:sz w:val="18"/>
          <w:szCs w:val="18"/>
        </w:rPr>
        <w:t>[154], [246], [250]</w:t>
      </w:r>
      <w:bookmarkEnd w:id="164"/>
      <w:r w:rsidRPr="00582C49">
        <w:rPr>
          <w:i/>
          <w:iCs/>
          <w:color w:val="44546A" w:themeColor="text2"/>
          <w:sz w:val="18"/>
          <w:szCs w:val="18"/>
        </w:rPr>
        <w:fldChar w:fldCharType="end"/>
      </w:r>
    </w:p>
    <w:p w14:paraId="7C3B0200" w14:textId="6A4991F8" w:rsidR="00007F6C" w:rsidRDefault="00007F6C" w:rsidP="004B726A">
      <w:pPr>
        <w:jc w:val="both"/>
      </w:pPr>
      <w:r w:rsidRPr="002B6C9E">
        <w:t xml:space="preserve">One of the key issues for </w:t>
      </w:r>
      <w:r>
        <w:t>X</w:t>
      </w:r>
      <w:r w:rsidRPr="002B6C9E">
        <w:t xml:space="preserve">-ray diffraction </w:t>
      </w:r>
      <w:r w:rsidR="00DA7BBE">
        <w:t>is</w:t>
      </w:r>
      <w:r w:rsidRPr="002B6C9E">
        <w:t xml:space="preserve"> the detection limit. When samples possess very small amount of impurity phases i.e. less than 1</w:t>
      </w:r>
      <w:r>
        <w:t xml:space="preserve"> </w:t>
      </w:r>
      <w:r w:rsidRPr="002B6C9E">
        <w:t>wt</w:t>
      </w:r>
      <w:r w:rsidR="00DA7BBE">
        <w:t xml:space="preserve"> </w:t>
      </w:r>
      <w:r w:rsidRPr="002B6C9E">
        <w:t>% they may not be detected using x-ray diffraction</w:t>
      </w:r>
      <w:r>
        <w:t xml:space="preserve"> </w:t>
      </w:r>
      <w:r>
        <w:fldChar w:fldCharType="begin" w:fldLock="1"/>
      </w:r>
      <w:r w:rsidR="00D80A5D">
        <w:instrText>ADDIN CSL_CITATION {"citationItems":[{"id":"ITEM-1","itemData":{"DOI":"10.1002/(sici)1099-0739(200004)14:4&lt;227::aid-aoc949&gt;3.0.co;2-f","ISSN":"0268-2605","author":[{"dropping-particle":"","family":"West","given":"Anthony R.","non-dropping-particle":"","parse-names":false,"suffix":""}],"container-title":"Applied Organometallic Chemistry","edition":"2nd","id":"ITEM-1","issue":"4","issued":{"date-parts":[["2000"]]},"number-of-pages":"227-228","publisher":"Wiley-Blackwell","title":"Basic Solid State Chemistry","type":"book","volume":"14"},"uris":["http://www.mendeley.com/documents/?uuid=cfc7d172-f48b-4960-bd9a-272da03540f8"]},{"id":"ITEM-2","itemData":{"author":[{"dropping-particle":"","family":"Speakman, Scott","given":"A","non-dropping-particle":"","parse-names":false,"suffix":""}],"id":"ITEM-2","issued":{"date-parts":[["2007"]]},"number-of-pages":"105","publisher-place":"Massachusetts","title":"Estimating Crystallite Size Using XRD","type":"report"},"uris":["http://www.mendeley.com/documents/?uuid=c1d4ea7f-d976-417b-b8c7-0752c88810ec"]}],"mendeley":{"formattedCitation":"[294], [295]","plainTextFormattedCitation":"[294], [295]","previouslyFormattedCitation":"[294], [295]"},"properties":{"noteIndex":0},"schema":"https://github.com/citation-style-language/schema/raw/master/csl-citation.json"}</w:instrText>
      </w:r>
      <w:r>
        <w:fldChar w:fldCharType="separate"/>
      </w:r>
      <w:r w:rsidR="006C586A" w:rsidRPr="006C586A">
        <w:rPr>
          <w:noProof/>
        </w:rPr>
        <w:t>[294], [295]</w:t>
      </w:r>
      <w:r>
        <w:fldChar w:fldCharType="end"/>
      </w:r>
      <w:r w:rsidRPr="002B6C9E">
        <w:t>.</w:t>
      </w:r>
    </w:p>
    <w:p w14:paraId="7EC8A272" w14:textId="22194250" w:rsidR="00007F6C" w:rsidRDefault="00007F6C" w:rsidP="004B726A">
      <w:pPr>
        <w:jc w:val="both"/>
      </w:pPr>
      <w:r>
        <w:t xml:space="preserve">As alluded to earlier X-ray diffraction has been largely used to confirm the presence of certain phases during the decomposition of the nitrate precursor solution (in wet impregnated samples) and reduction steps.  In the case of ion implanted samples, the nickel is at the surface of the anode and thus has much more intense peaks than those found in the co-precipitated sample </w:t>
      </w:r>
      <w:r>
        <w:fldChar w:fldCharType="begin" w:fldLock="1"/>
      </w:r>
      <w:r w:rsidR="00D80A5D">
        <w:instrText>ADDIN CSL_CITATION {"citationItems":[{"id":"ITEM-1","itemData":{"DOI":"10.1016/j.jpowsour.2010.03.050","ISBN":"03787753 (ISSN)","ISSN":"03787753","abstract":"Ceramic-metal composites (cermets) containing yttria-stabilized zirconia, YSZ, and Ni particles are commonly used as anode materials in solid oxide fuel cells. The long-term performance of fuel cells is strictly related to both the structural and electrical properties of anode materials. In order to achieve high mixed electrical conductivity and high activity of electrochemical reactions and hydrocarbon fuel reforming, it is necessary to select an appropriate chemical composition and a suitable method of preparation. Materials containing 8 mol% yttria-stabilized zirconia and Ni were prepared by means of two methods: co-precipitation and impregnation. The structure of the materials was characterized by means of X-ray diffraction (XRD), scanning electron microscopy (SEM) and porosity studies. The thermal expansion coefficient (TEC) was determined using the dilathometric method. Electrochemical impedance spectroscopy (EIS) and the Wagner polarization method were used to determine electrical conductivity and the electron transference numbers, respectively. © 2010 Elsevier B.V. All rights reserved.","author":[{"dropping-particle":"","family":"Jasinski","given":"M.","non-dropping-particle":"","parse-names":false,"suffix":""},{"dropping-particle":"","family":"Radecka","given":"M.","non-dropping-particle":"","parse-names":false,"suffix":""},{"dropping-particle":"","family":"Rekas","given":"M.","non-dropping-particle":"","parse-names":false,"suffix":""},{"dropping-particle":"","family":"Pasierb","given":"P.","non-dropping-particle":"","parse-names":false,"suffix":""},{"dropping-particle":"","family":"Haberko","given":"K.","non-dropping-particle":"","parse-names":false,"suffix":""}],"container-title":"Journal of Power Sources","id":"ITEM-1","issue":"17","issued":{"date-parts":[["2010"]]},"language":"English","note":"Cited By :19\nExport Date: 28 November 2016\nCODEN: JPSOD\nCorrespondence Address: Rekas, M.; AGH University of Science and Technology, Faculty of Materials Science and Ceramics, al.Mickiewicza 30, 30-059 Cracow, Poland; email: rekas@agh.edu.pl\nReferences: Minh, N.Q., Takahashi, T., (1995) Science and Technology of Ceramic Fuel Cells, , Elsevier, Amsterdam; Yano, M., Tomita, A., Sano, M., Hibino, T., (2007) Solid State Ionics, 177, p. 3351; Van Rij, L.N., Le, J., Van Landschoot, Schoonman, J., (2001) J. Mater. Sci., 36, p. 1069; Park, S., Craciun, R., Vohs, J.M., Gorte, J., (1999) J. Electrochem. Soc., 146, p. 3603; Iida, T., Kawano, M., Matsui, T., Kikuchi, R., Eguchi, K., (2007) J. Electrochem. Soc., 154, pp. B234; Sarantaridis, D., Atkinson, A., (2007) Fuel cells, 7, p. 246; Tsepis, E.V., Kharton, V.V., (2008) J. Solid State Electrochem., 12, p. 1039; Zhu, W.Z., Deevi, S.C., (2003) Mater. Sci. Eng. A, 362, p. 228; Nait-Ali, B., Haberko, K., Vesteghem, H., Absi, J., Smith, D.S., (2006) J. Eur. Ceram. Soc., 26, p. 3567; Abe, H., Moon, W.-J., Naito, M., (2006) Fuel Cells Bull., p. 12; Chen, Y.-Y., Wei, W.-Ch.J., (2006) Solid State Ionics, 177, p. 351; Liu, B., Zhang, Y., Tu, B., Dong, Y., Cheng, M., (2007) J. Power Sources, 165, p. 114; Lang, M., Auer, C., Eismann, A., Szabo, P., Wagner, N., (2008) Electrochim. Acta, 53, p. 7509; West, R.W., Tallan, N.M., (1965) J. Appl. Phys., 36, p. 543; Lee, J.-H., Heo, J.-W., Lee, D.-S., Kim, J., Kim, G.-H., Lee, H.-W., Song, H.S., Moon, J.-H., (2003) Solid State Ionics, 158, p. 225; Abe, H., Murata, K., Moon, W.-J., Kaneko, K., Nito, M., (2006) Fuel Cell Bull., p. 12; Minh, N.Q., (1993) J. Am. Ceram. Soc., 76, p. 563; Kim, S.-D., Moon, H., Hyun, S.-H., Moon, J., Kim, J., Lee, H.-W., (2007) Solid State Ionics, 178, p. 1304; Dees, D.W., Claar, T.D., Easler, T.E., Fee, D.C., Mrazek, F.C., (1987) J. Electrochem. Soc., 134, p. 2141; Childs, P.R.N., (2001) Practical Temperature Measurement, , Butterworth-Heinemann p. 172; Bruggeman, D.A.G., (1935) Ann. Phys., 24, p. 636; Baumard, J.F., Abelard, P., (1984) Science and Technology of Zirconia II, Advances in Ceramics, 12, pp. 557-571. , Claussen N., Rühle M., and Heuer A.H. (Eds), American Ceramic Society, Columbus; Pimenov, A., Ulrich, J., Lukenheimer, P., Loidl, A., Rüscher, C.H., (1998) Solid State Ionics, 109, p. 111; Gong, J., Li, Y., Zhang, Z., Tang, Z., (2000) J. Am. Ceram. Soc., 83, p. 648; Martin, M.C., Mecartney, M.L., (2003) Solid State Ionics, 171, p. 67; Wierzbicka, M., Pasierb, P., Rekas, M., (2007) Phys. B, 387, p. 302","page":"5527-5533","title":"Structural and electrical properties of Ni–YSZ cermet materials","type":"article-journal","volume":"195"},"uris":["http://www.mendeley.com/documents/?uuid=121e1dbd-2000-45dd-baca-b07c05b24380"]},{"id":"ITEM-2","itemData":{"DOI":"10.1016/j.ssi.2012.06.002","ISBN":"01672738 (ISSN)","ISSN":"01672738","abstract":"Niobium-doped strontium titanate was used as the anode for a solid oxide fuel cell. Electrolyte-supported cells were prepared with pure perovskite and composite perovskite-yttria-stabilized-zirconia (YSZ) anodes. Fuel cell tests demonstrated significant improvement in power density after infiltration with a small amount of Ni. The obtained values of power densities are comparable with conventional Ni/YSZ cermet anode. In addition, stability tests showed initial degradation followed by stable operation. © 2012 Elsevier B.V. All rights reserved.","author":[{"dropping-particle":"","family":"Kusz","given":"B.","non-dropping-particle":"","parse-names":false,"suffix":""},{"dropping-particle":"","family":"Jasinski","given":"P.","non-dropping-particle":"","parse-names":false,"suffix":""},{"dropping-particle":"","family":"Karczewski","given":"J.","non-dropping-particle":"","parse-names":false,"suffix":""},{"dropping-particle":"","family":"Molin","given":"S.","non-dropping-particle":"","parse-names":false,"suffix":""},{"dropping-particle":"","family":"Gazda","given":"M.","non-dropping-particle":"","parse-names":false,"suffix":""},{"dropping-particle":"","family":"Bochentyn","given":"B.","non-dropping-particle":"","parse-names":false,"suffix":""}],"container-title":"Solid State Ionics","id":"ITEM-2","issued":{"date-parts":[["2012"]]},"language":"English","note":"Cited By :8\nExport Date: 20 January 2017\nCODEN: SSIOD\nCorrespondence Address: Karczewski, J.; Department of Solid State Physics, Gdansk University of Technology, Narutowicza 11/12, 80-233 Gdansk, Poland; email: ja_kubek@wp.pl\nReferences: Orera, A., Slater, P.R., (2010) Chem. Mater., 22, pp. 675-690; Fergus, J.W., (2006) Solid State Ionics, 177, pp. 1529-1541; Zhu, W.Z., Deevi, S.C., (2003) Mater. Sci. Eng., A362, pp. 228-239; Matsuzaki, Y., Yasuda, I., (2000) Solid State Ionics, 132, pp. 261-269; Kolodiazhnyi, T., Petric, A., (2005) J. Electroceram., 15, pp. 5-11; Karczewski, J., Riegel, B., Gazda, M., Jasinski, P., Kusz, B., (2010) J. Electroceram., 24 (4), pp. 326-330; Koutcheiko, S., Yoo, Y., Petric, A., Davidson, I., (2006) Ceram. Int., 32, pp. 67-72; Savaniu, C.D., Irvine, J.T.I., (2011) Solid State Ionics, 192, pp. 491-493; Liu, J., Madsen, B.D., Li, Z.Q., Barnett, S.A., (2002) Electrochem. Solid-State Lett., 5, pp. 122-A124; Lee, S., Kim, G., Vohs, J.M., Gorte, R.J., (2008) J. Electrochem. Soc., 155 (11), pp. 1179-B1183; Gross, M.D., Vohs, J.M., Gorte, R.J., (2007) J. Electrochem. Soc., 154 (7), pp. 694-B699; Gross, M.D., Carver, K.M., Deighan, M.A., Schenkel, A., Smith, B.M., Yee, A.Z., (2009) J. Electrochem. Soc., 156 (4), pp. 540-B545; Kim, G., Gross, M.D., Wang, W., Vohs, J.M., Gorte, R.J., (2008) J. Electrochem. Soc., 155 (4), pp. 360-B366; Kim, G., Lee, S., Shin, J.Y., Corre, G., Irvine, J.T.S., Vohs, J.M., Gorte, R.J., (2009) Electrochem. Solid-State Lett., 12 (3), pp. 48-B52; Smith, B.H., Gross, M.D., (2011) Electrochem. Solid-State Lett., 14 (1), pp. 1-B5; Sun, Ch., Stimming, U., (2007) J. Power Sources, 171, pp. 247-260; Kurokawa, H., Yang, L., Jacobson, C.P., De Jonghe, L.C., Visco, S.J., (2007) J. Power Sources, 164, pp. 510-518; Bochentyn, B., Karczewski, J., Molin, S., Klimczuk, T., Gazda, M., Jasiński, P., Safarik, D.J., Kusz, B., (2012) J. Electroceram., 28, pp. 132-138; Van Berkel, F.P.F., Stodólny, M., Sillessen, M., Ouweltjes, J.P., (2008) Proceedings of the 8th European Solid Oxide Fuel Cell Forum, p. 0621. , European Fuel Cell Forum; Orui, H., Watanabe, K., Chiba, R., Arakawa, M., (2004) J. Electrochem. Soc., 151 (9), pp. 1412-A1417; Laurencin, J., Delette, G., Sicardy, O., Rosini, S., Lefebvre-Joud, F., (2010) J. Power Sources, 195, pp. 2747-2753; Primdahl, S., (1999) Nickel/Yttria-stabilised Zirconia Cermet Anodes for Solid Oxide Fuel Cells, , Riso National Laboratory; Hussain, M.A., Hogh, J.V.T., Jacobsen, T., Bonanos, N., (2012) Int. J. Hydrog. Energy, 37, pp. 4309-4318; Kim, J.-S., Nair, V.V., Vohs, J.M., Gorte, R.J., (2011) Scr. Mater., 65, p. 90; Klemenso, T., Thyden, K., Chen, M., Wang, H., (2010) J. Power Sources, 195, pp. 7295-7301","page":"11-14","title":"Solid oxide fuel cells with Ni-infiltrated perovskite anode","type":"article-journal","volume":"221"},"uris":["http://www.mendeley.com/documents/?uuid=7932b896-821a-41b0-862d-9d0cce9db154"]},{"id":"ITEM-3","itemData":{"DOI":"10.1016/j.jpowsour.2015.12.022","ISBN":"03787753","author":[{"dropping-particle":"","family":"Buyukaksoy","given":"Aligul","non-dropping-particle":"","parse-names":false,"suffix":""},{"dropping-particle":"","family":"Birss","given":"Viola I","non-dropping-particle":"","parse-names":false,"suffix":""}],"container-title":"Journal of Power Sources","id":"ITEM-3","issued":{"date-parts":[["2016"]]},"page":"449-453","title":"Highly active nanoscale Ni - Yttria stabilized zirconia anodes for micro-solid oxide fuel cell applications","type":"article-journal","volume":"307"},"uris":["http://www.mendeley.com/documents/?uuid=d6aaa1f4-4250-4552-8a17-02890e6cd9c7"]}],"mendeley":{"formattedCitation":"[154], [246], [250]","plainTextFormattedCitation":"[154], [246], [250]","previouslyFormattedCitation":"[154], [246], [250]"},"properties":{"noteIndex":0},"schema":"https://github.com/citation-style-language/schema/raw/master/csl-citation.json"}</w:instrText>
      </w:r>
      <w:r>
        <w:fldChar w:fldCharType="separate"/>
      </w:r>
      <w:r w:rsidR="006C586A" w:rsidRPr="006C586A">
        <w:rPr>
          <w:noProof/>
        </w:rPr>
        <w:t>[154], [246], [250]</w:t>
      </w:r>
      <w:r>
        <w:fldChar w:fldCharType="end"/>
      </w:r>
      <w:r>
        <w:t xml:space="preserve">. </w:t>
      </w:r>
    </w:p>
    <w:p w14:paraId="720CF7B5" w14:textId="212D1F14" w:rsidR="00007F6C" w:rsidRDefault="00007F6C" w:rsidP="004B726A">
      <w:pPr>
        <w:jc w:val="both"/>
      </w:pPr>
      <w:r w:rsidRPr="002B6C9E">
        <w:t>As porosity increases</w:t>
      </w:r>
      <w:r>
        <w:t xml:space="preserve"> the detection limit becomes more of a factor </w:t>
      </w:r>
      <w:r w:rsidRPr="002B6C9E">
        <w:t xml:space="preserve">which is why XRD cannot be used to accurately </w:t>
      </w:r>
      <w:r>
        <w:t>map</w:t>
      </w:r>
      <w:r w:rsidRPr="002B6C9E">
        <w:t xml:space="preserve"> the microstructural evolution of the catalysts.</w:t>
      </w:r>
      <w:r>
        <w:t xml:space="preserve"> Although the structural evaluation of samples at certain temperatures and atmospheres is possible.</w:t>
      </w:r>
    </w:p>
    <w:p w14:paraId="0535B1ED" w14:textId="77777777" w:rsidR="00285C23" w:rsidRDefault="00285C23" w:rsidP="005129DC">
      <w:pPr>
        <w:pStyle w:val="Heading3"/>
      </w:pPr>
      <w:bookmarkStart w:id="165" w:name="_Toc69129373"/>
      <w:r>
        <w:lastRenderedPageBreak/>
        <w:t>2.4.5</w:t>
      </w:r>
      <w:r>
        <w:tab/>
        <w:t>Chemisorption</w:t>
      </w:r>
      <w:bookmarkEnd w:id="165"/>
      <w:r>
        <w:t xml:space="preserve"> </w:t>
      </w:r>
    </w:p>
    <w:p w14:paraId="4F880B5D" w14:textId="52889578" w:rsidR="00285C23" w:rsidRDefault="00285C23" w:rsidP="004B726A">
      <w:pPr>
        <w:jc w:val="both"/>
      </w:pPr>
      <w:r>
        <w:t>As an example of a heterogeneous catalyst process the infiltrated Ni-YSZ electrode is subject to adsorption by the fuel during operation. In this process the formation of a TPB between the gaseous hydrogen fuel, nickel catalyst particle and electrons are a clear example of chemisorption. This is defined as the movement of an interacting gas or solid with the consequential formation and cleavage of chemical bonds</w:t>
      </w:r>
      <w:r w:rsidR="00CE7C60">
        <w:t xml:space="preserve"> </w:t>
      </w:r>
      <w:r w:rsidR="00CE7C60">
        <w:fldChar w:fldCharType="begin" w:fldLock="1"/>
      </w:r>
      <w:r w:rsidR="00D80A5D">
        <w:instrText>ADDIN CSL_CITATION {"citationItems":[{"id":"ITEM-1","itemData":{"abstract":"The chemical adsorption isotherm reveals information about the active surface of a material and has been employed for many years as a standard analytical tool for the evaluation of catalysts. Temperature-programmed reaction techniques have emerged from the 1950's as an indispensable companion to chemisorption isotherm analyses in many areas of industry and research. This paper provides an introduction to these analytical techniques.","author":[{"dropping-particle":"","family":"Webb","given":"Paul a","non-dropping-particle":"","parse-names":false,"suffix":""}],"container-title":"MIC Technical Publications","id":"ITEM-1","issue":"January","issued":{"date-parts":[["2003"]]},"page":"1-4","title":"Introduction to Chemical Adsorption Analytical Techniques and their Applications to Catalysis","type":"article-journal","volume":"13"},"uris":["http://www.mendeley.com/documents/?uuid=2320a996-8291-43b2-9f15-56bbed16e102"]},{"id":"ITEM-2","itemData":{"ISBN":"9783527292882","author":[{"dropping-particle":"","family":"Thomas","given":"J M","non-dropping-particle":"","parse-names":false,"suffix":""},{"dropping-particle":"","family":"Thomas","given":"W J","non-dropping-particle":"","parse-names":false,"suffix":""}],"id":"ITEM-2","issued":{"date-parts":[["1997"]]},"publisher":"VCH","title":"Principles and practice of heterogeneous catalysis","type":"book"},"uris":["http://www.mendeley.com/documents/?uuid=8987bcb7-a496-460f-bac8-295454041508"]}],"mendeley":{"formattedCitation":"[296], [297]","plainTextFormattedCitation":"[296], [297]","previouslyFormattedCitation":"[296], [297]"},"properties":{"noteIndex":0},"schema":"https://github.com/citation-style-language/schema/raw/master/csl-citation.json"}</w:instrText>
      </w:r>
      <w:r w:rsidR="00CE7C60">
        <w:fldChar w:fldCharType="separate"/>
      </w:r>
      <w:r w:rsidR="006C586A" w:rsidRPr="006C586A">
        <w:rPr>
          <w:noProof/>
        </w:rPr>
        <w:t>[296], [297]</w:t>
      </w:r>
      <w:r w:rsidR="00CE7C60">
        <w:fldChar w:fldCharType="end"/>
      </w:r>
      <w:r>
        <w:t>. The charge transfer generated by the atomic orbital overlap (</w:t>
      </w:r>
      <w:r w:rsidR="00974ECA">
        <w:t xml:space="preserve">See </w:t>
      </w:r>
      <w:r w:rsidR="00974ECA">
        <w:fldChar w:fldCharType="begin"/>
      </w:r>
      <w:r w:rsidR="00974ECA">
        <w:instrText xml:space="preserve"> REF _Ref65572550 \h </w:instrText>
      </w:r>
      <w:r w:rsidR="00CE7C60">
        <w:instrText xml:space="preserve"> \* MERGEFORMAT </w:instrText>
      </w:r>
      <w:r w:rsidR="00974ECA">
        <w:fldChar w:fldCharType="separate"/>
      </w:r>
      <w:r w:rsidR="00C97002">
        <w:t>Figure 2.30</w:t>
      </w:r>
      <w:r w:rsidR="00974ECA">
        <w:fldChar w:fldCharType="end"/>
      </w:r>
      <w:r w:rsidR="00974ECA">
        <w:t>)</w:t>
      </w:r>
      <w:r>
        <w:t xml:space="preserve"> lead</w:t>
      </w:r>
      <w:r w:rsidR="00974ECA">
        <w:t xml:space="preserve">s </w:t>
      </w:r>
      <w:r>
        <w:t xml:space="preserve">to </w:t>
      </w:r>
      <w:r w:rsidR="00974ECA">
        <w:t xml:space="preserve">the formation of </w:t>
      </w:r>
      <w:r>
        <w:t xml:space="preserve">strong almost covalent </w:t>
      </w:r>
      <w:r w:rsidR="00CE7C60">
        <w:t xml:space="preserve">nature </w:t>
      </w:r>
      <w:r>
        <w:t>bonds between the catalyst and the probe gas.</w:t>
      </w:r>
    </w:p>
    <w:p w14:paraId="5597843B" w14:textId="77777777" w:rsidR="00C97002" w:rsidRDefault="00C97002" w:rsidP="00C97002">
      <w:pPr>
        <w:keepNext/>
        <w:jc w:val="center"/>
      </w:pPr>
      <w:r w:rsidRPr="002B6C9E">
        <w:rPr>
          <w:noProof/>
          <w:lang w:eastAsia="en-GB"/>
        </w:rPr>
        <w:drawing>
          <wp:inline distT="0" distB="0" distL="0" distR="0" wp14:anchorId="376F972E" wp14:editId="4F07894A">
            <wp:extent cx="3878856" cy="2403980"/>
            <wp:effectExtent l="0" t="0" r="762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as Chemisorption bond diagram.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915001" cy="2426382"/>
                    </a:xfrm>
                    <a:prstGeom prst="rect">
                      <a:avLst/>
                    </a:prstGeom>
                  </pic:spPr>
                </pic:pic>
              </a:graphicData>
            </a:graphic>
          </wp:inline>
        </w:drawing>
      </w:r>
    </w:p>
    <w:p w14:paraId="5CDAEBDE" w14:textId="6F2AC3F5" w:rsidR="00C97002" w:rsidRDefault="00C97002" w:rsidP="00C97002">
      <w:pPr>
        <w:pStyle w:val="Caption"/>
        <w:spacing w:after="240"/>
      </w:pPr>
      <w:bookmarkStart w:id="166" w:name="_Ref65572550"/>
      <w:bookmarkStart w:id="167" w:name="_Toc69114942"/>
      <w:r>
        <w:t>Figure 2.</w:t>
      </w:r>
      <w:r w:rsidR="00B51F53">
        <w:fldChar w:fldCharType="begin"/>
      </w:r>
      <w:r w:rsidR="00B51F53">
        <w:instrText xml:space="preserve"> SEQ Figure \* ARABIC </w:instrText>
      </w:r>
      <w:r w:rsidR="00B51F53">
        <w:fldChar w:fldCharType="separate"/>
      </w:r>
      <w:r>
        <w:rPr>
          <w:noProof/>
        </w:rPr>
        <w:t>30</w:t>
      </w:r>
      <w:r w:rsidR="00B51F53">
        <w:rPr>
          <w:noProof/>
        </w:rPr>
        <w:fldChar w:fldCharType="end"/>
      </w:r>
      <w:bookmarkEnd w:id="166"/>
      <w:r>
        <w:t xml:space="preserve">: </w:t>
      </w:r>
      <w:r w:rsidRPr="002B6C9E">
        <w:t>Diagram of the bonding present in a Gas Chemisorption (GC) catalysis event</w:t>
      </w:r>
      <w:r>
        <w:t xml:space="preserve"> </w:t>
      </w:r>
      <w:r>
        <w:fldChar w:fldCharType="begin" w:fldLock="1"/>
      </w:r>
      <w:r>
        <w:instrText>ADDIN CSL_CITATION {"citationItems":[{"id":"ITEM-1","itemData":{"abstract":"The chemical adsorption isotherm reveals information about the active surface of a material and has been employed for many years as a standard analytical tool for the evaluation of catalysts. Temperature-programmed reaction techniques have emerged from the 1950's as an indispensable companion to chemisorption isotherm analyses in many areas of industry and research. This paper provides an introduction to these analytical techniques.","author":[{"dropping-particle":"","family":"Webb","given":"Paul a","non-dropping-particle":"","parse-names":false,"suffix":""}],"container-title":"MIC Technical Publications","id":"ITEM-1","issue":"January","issued":{"date-parts":[["2003"]]},"page":"1-4","title":"Introduction to Chemical Adsorption Analytical Techniques and their Applications to Catalysis","type":"article-journal","volume":"13"},"uris":["http://www.mendeley.com/documents/?uuid=04559c97-d5dd-4f6b-835c-c2f807061b59"]},{"id":"ITEM-2","itemData":{"DOI":"10.1007/s11467-011-0171-6","ISBN":"1146701101","ISSN":"20950470","abstract":"In this short review, we will briefly discuss the story of hydrogen storage, its impact on clean energy application, especially the challenges of using hydrogen adsorption for onboard application. After a short comparison of the main methods of hydrogen storage (high pressure tank, metal hydride and adsorption), we will focus our discussion on adsorption of hydrogen in graphitic carbon based large surface area adsorbents including carbon nanotubes, graphene and metal organic frameworks. The mechanisms, advantages, disadvantages and recent progresses will be discussed and reviewed for physisorption, metal-assisted storage and chemisorption. In the last section, we will discuss hydrogen spillover chemisorption in detail for the mechanism, status, challenges and perspectives. We hope to present a clear picture of the present technologies, challenges and the perspectives of hydrogen storage for the future studies. © Higher Education Press and Springer-Verlag Berlin Heidelberg 2011.","author":[{"dropping-particle":"","family":"Ding","given":"Feng","non-dropping-particle":"","parse-names":false,"suffix":""},{"dropping-particle":"","family":"Yakobson","given":"Boris I.","non-dropping-particle":"","parse-names":false,"suffix":""}],"container-title":"Frontiers of Physics","id":"ITEM-2","issue":"2","issued":{"date-parts":[["2011"]]},"page":"142-150","title":"Challenges in hydrogen adsorptions: From physisorption to chemisorption","type":"article-journal","volume":"6"},"uris":["http://www.mendeley.com/documents/?uuid=9ec0473e-7a71-4ffb-abb4-759c9700570f"]}],"mendeley":{"formattedCitation":"[296], [298]","plainTextFormattedCitation":"[296], [298]","previouslyFormattedCitation":"[296], [298]"},"properties":{"noteIndex":0},"schema":"https://github.com/citation-style-language/schema/raw/master/csl-citation.json"}</w:instrText>
      </w:r>
      <w:r>
        <w:fldChar w:fldCharType="separate"/>
      </w:r>
      <w:r w:rsidRPr="006C586A">
        <w:rPr>
          <w:i w:val="0"/>
          <w:noProof/>
        </w:rPr>
        <w:t>[296], [298]</w:t>
      </w:r>
      <w:bookmarkEnd w:id="167"/>
      <w:r>
        <w:fldChar w:fldCharType="end"/>
      </w:r>
    </w:p>
    <w:p w14:paraId="33173E27" w14:textId="197DE10F" w:rsidR="00285C23" w:rsidRDefault="00285C23" w:rsidP="004B726A">
      <w:pPr>
        <w:jc w:val="both"/>
      </w:pPr>
      <w:r w:rsidRPr="002B6C9E">
        <w:t>One of the main problems with trying to examine NP sintering at the submicron scale is that many the characterisation techniques cannot probe or analyse the region at which the sample is being assessed. This opens the door for gas chemisorption to be used for</w:t>
      </w:r>
      <w:r>
        <w:t xml:space="preserve"> a</w:t>
      </w:r>
      <w:r w:rsidRPr="002B6C9E">
        <w:t xml:space="preserve"> characterisation</w:t>
      </w:r>
      <w:r>
        <w:t xml:space="preserve"> technique for infiltrated SOFCs as the radius of the probe gas particles (usually H</w:t>
      </w:r>
      <w:r>
        <w:rPr>
          <w:vertAlign w:val="subscript"/>
        </w:rPr>
        <w:t>2</w:t>
      </w:r>
      <w:r>
        <w:t xml:space="preserve"> or CO) can easily penetrate the porous scaffold</w:t>
      </w:r>
      <w:r w:rsidR="00D70E59">
        <w:t xml:space="preserve"> </w:t>
      </w:r>
      <w:r w:rsidR="00D70E59">
        <w:fldChar w:fldCharType="begin" w:fldLock="1"/>
      </w:r>
      <w:r w:rsidR="00D80A5D">
        <w:instrText>ADDIN CSL_CITATION {"citationItems":[{"id":"ITEM-1","itemData":{"ISBN":"9783527292882","author":[{"dropping-particle":"","family":"Thomas","given":"J M","non-dropping-particle":"","parse-names":false,"suffix":""},{"dropping-particle":"","family":"Thomas","given":"W J","non-dropping-particle":"","parse-names":false,"suffix":""}],"id":"ITEM-1","issued":{"date-parts":[["1997"]]},"publisher":"VCH","title":"Principles and practice of heterogeneous catalysis","type":"book"},"uris":["http://www.mendeley.com/documents/?uuid=8987bcb7-a496-460f-bac8-295454041508"]}],"mendeley":{"formattedCitation":"[297]","plainTextFormattedCitation":"[297]","previouslyFormattedCitation":"[297]"},"properties":{"noteIndex":0},"schema":"https://github.com/citation-style-language/schema/raw/master/csl-citation.json"}</w:instrText>
      </w:r>
      <w:r w:rsidR="00D70E59">
        <w:fldChar w:fldCharType="separate"/>
      </w:r>
      <w:r w:rsidR="006C586A" w:rsidRPr="006C586A">
        <w:rPr>
          <w:noProof/>
        </w:rPr>
        <w:t>[297]</w:t>
      </w:r>
      <w:r w:rsidR="00D70E59">
        <w:fldChar w:fldCharType="end"/>
      </w:r>
      <w:r>
        <w:t>.  The probe molecules can chemisorb onto the catalyst and providing the volume and purity of the gas are known, information such as surface area and percent dispersion of the catalyst can be calculated. In addition, nickel catalysts like nickel have been documented to interact with probe gases such as H</w:t>
      </w:r>
      <w:r>
        <w:rPr>
          <w:vertAlign w:val="subscript"/>
        </w:rPr>
        <w:t>2</w:t>
      </w:r>
      <w:r>
        <w:t xml:space="preserve"> or CO highlighting chemisorption as a key method of chemical analysis</w:t>
      </w:r>
      <w:r w:rsidR="00D70E59">
        <w:t xml:space="preserve"> </w:t>
      </w:r>
      <w:r w:rsidR="00D70E59">
        <w:fldChar w:fldCharType="begin" w:fldLock="1"/>
      </w:r>
      <w:r w:rsidR="00D80A5D">
        <w:instrText>ADDIN CSL_CITATION {"citationItems":[{"id":"ITEM-1","itemData":{"DOI":"10.1016/0021-9517(76)90054-3","ISBN":"00219517 (ISSN)","abstract":"A study of the chemistry involved in preparation, pretreatment, and reduction of Ni Al2O3 catalysts was carried out using hydrogen chemisorption, thermal gravimetric analysis, and chromatographic analysis. Data showing effects on nickel surface area of calcination, heating rate during reduction, nickel loading, and passivation are presented and discussed. The results indicate that controlled decomposition of alumina-supported nickel nitrate in hydrogen atmosphere (without prior calcination) tends to maximize nickel surface area, dispersion, and reduction to nickel metal. Nickel surface area and the fraction of nickel reduced to the metallic state both increase as the hydrogen space velocity during reduction is increased. Upon increasing the reduction temperature from 300 to 500 °C, the percentage reduction to nickel metal is increased from 40 to 100% whereas nickel surface area changes relatively little. © 1976.","author":[{"dropping-particle":"","family":"Bartholomew","given":"C H","non-dropping-particle":"","parse-names":false,"suffix":""},{"dropping-particle":"","family":"Farrauto","given":"R J","non-dropping-particle":"","parse-names":false,"suffix":""}],"container-title":"Journal of Catalysis","id":"ITEM-1","issue":"1","issued":{"date-parts":[["1976"]]},"language":"English","note":"Cited By :265\nExport Date: 8 February 2017\nCODEN: JCTLA\nCorrespondence Address: Bartholomew, C.H.; Department of Chemical Engineering Science, Brigham Young University, Provo, UT 84602, United States\nReferences: Reinen, Selwood, (1963) J. Catal., 2, p. 109; Sieg, Constabaris, Linquist, (1963) Amer. Chem. Soc. Meeting, , New York; Levinson, (1967) Preprints, p. 47. , Division of Petroleum Chemistry, Amer. Chem. Soc, Chicago, September; Bicek, Kelly, (1967) Preprints, p. 57. , Division of Petroleum Chemistry, Amer. Chem. Soc, Chicago, September; Beuther, Larson, (1965) Ind. Eng. Chem. Proc. Design Develop., 4, p. 177; Swift, Lutinski, Tobin, (1966) J. Catal., 5, p. 285; Holm, Clark, (1968) J. Catal., 11, p. 305; Eischens, (1974) Proceedings of the Battelle Conference on Surface Chemistry, , Gstaad, Switzerland; Dzis'ko, Noskova, Borisova, Bolgova, Karakchiev, (1975) Kinet. Catal., 15, p. 667; Hill, Selwood, (1949) J. Amer. Chem. Soc., 71, p. 2522; Martin, Ceaphalan, Montgolfier, (1973) J. Chim. Phys., 70, p. 1422; Farrauto, (1974) AIChE Symp. Ser., 70, p. 9; Farrauto, (1975) Chem. Engr. Prog., 71, p. 37. , published in short form in; Yates, Taylor, Sinfelt, (1964) J. Amer. Chem. Soc., 86, p. 2996; Bartholomew, Boudart, (1972) J. Catal., 25, p. 173; Pattison, Keeley, Maynor, (1960) J. Chem. Eng. Data, 5, pp. 433-434; Branson, Kinetics and Mechanism of the Reaction Between Zinc Oxide and Aluminum Oxide (1965) Journal of the American Ceramic Society, 48, p. 591; Swift, Lutinski, Kehl, (1965) J. Phys. Chem., 69, p. 3268; Leech, III, Campbell, (1974) ACS Division INDE, 167th National Meeting of the American Chemical Society, , Los Angeles, California; Andrew, (1976) Preparation of Catalysts, pp. 429-444. , B. Delmon, P.A. Jacobs, G. Poncelet, Elsevier, Amsterdam; Anderson, Jr., Conn, Brandenberger, (1970) J. Catal., 16, p. 326; Remey, (1956) Treatise on Inorganic Chemistry, 2, p. 310. , Elsevier, Amsterdam; Heinicke, (1963) Chem. Tech., 15, p. 197; Bartholomew, (1975) Ind. Eng. Chem. Prod. Res. Develop., 14, p. 29","page":"41-53","title":"Chemistry of nickel-alumina catalysts","type":"article-journal","volume":"45"},"uris":["http://www.mendeley.com/documents/?uuid=067872e0-572f-4652-9032-fa60ba7d4c5f"]},{"id":"ITEM-2","itemData":{"DOI":"10.1016/j.surfrep.2015.01.001","ISBN":"0167-5729","ISSN":"01675729","abstract":"In recent years, the field of catalysis has experienced an astonishing transformation, driven in part by more demanding environmental standards and critical societal and industrial needs such as the search for alternative energy sources. Thanks to the advent of nanotechnology, major steps have been made towards the rational design of novel catalysts. Striking new catalytic properties, including greatly enhanced reactivities and selectivities, have been reported for nanoparticle (NP) catalysts as compared to their bulk counterparts. However, in order to harness the power of these nanocatalysts, a detailed understanding of the origin of their enhanced performance is needed. The present review focuses on the role of the NP size and shape on chemisorption and catalytic performance. Since homogeneity in NP size and shape is a prerequisite for the understanding of structure-reactivity correlations, we first review different synthesis methods that result in narrow NP size distributions and shape controlled NPs. Next, size-dependent phenomena which influence the chemical reactivity of NPs, including quantum size-effects and the presence of under-coordinated surface atoms are examined. The effect of the NP shape on catalytic performance is discussed and explained based on the existence of different atomic structures on the NP surface with distinct chemisorption properties. The influence of additional factors, such as the oxidation state of the NPs and NP-support interactions, is also considered in the frame of the size- and shape-dependency that these phenomena present. Ultimately, our review highlights the importance of achieving a systematic understanding of the factors that control the activity and selectivity of a catalyst in order to avoid trial and error methods in the rational design of the new generation of nanocatalysts with properties tunable at the atomic level.","author":[{"dropping-particle":"","family":"Roldan Cuenya","given":"Beatriz","non-dropping-particle":"","parse-names":false,"suffix":""},{"dropping-particle":"","family":"Behafarid","given":"Farzad","non-dropping-particle":"","parse-names":false,"suffix":""}],"container-title":"Surface Science Reports","id":"ITEM-2","issue":"2","issued":{"date-parts":[["2015"]]},"language":"English","note":"Cited By :20\nExport Date: 9 February 2017\nCODEN: SSRED\nCorrespondence Address: Roldan Cuenya, B.; Department of Physics, Ruhr University BochumGermany\nReferences: Li, Y., Liu, Q., Shen, W., (2011) Dalton Trans., 40, pp. 5811-5826; Roldan Cuenya, B., (2012) Acc. Chem. Res., 46, pp. 1682-1691; Mostafa, S., Behafarid, F., Croy, J.R., Ono, L.K., Li, L., Yang, J.C., (2010) J. Am. Chem. Soc., 132, pp. 15714-15719; Jaramillo, T.F., Baeck, S.H., Roldan Cuenya, B., McFarland, E.W., (2003) J. Am. Chem. Soc., 125, pp. 7148-7149; Valden, M., Lai, X., Goodman, D.W., (1998) Science, 281, pp. 1647-1650; Haruta, M., (1997) Catal. Today, 36, pp. 153-166; Xie, S., Choi, S.-I., Xia, X., Xia, Y., (2013) Curr. Opin. Chem. Eng., 2, pp. 142-150; Zaera, F., (2001) Prog. Surf. Sci., 69, pp. 1-98; Zaera, F., (2013) Chem. Soc. Rev., 42, pp. 2746-2762; Qin, Z.H., Lewandowski, M., Sun, Y.N., Shaikhutdinov, S., Freund, H.J., (2008) J. Phys. Chem. C, 112, pp. 10209-10213; Campbell, C.T., Sharp, J.C., Yao, Y., Karp, E.M., Silbaugh, T.L., (2011) Faraday Discuss., 152, pp. 227-239; Shaikhutdinov, S.K., Meyer, R., Naschitzki, M., Baumer, M., Freund, H.J., (2003) Catal. Lett., 86, pp. 211-219; Ono, L., Yuan, B., Heinrich, H., Cuenya, B.R., (2010) J. Phys. Chem. C, 114, pp. 22119-22133; Cuenya, B.R., (2010) Thin Solid Films, 518, pp. 3127-3150; Ackermann, M., Pedersen, T., Hendriksen, B., Robach, O., Bobaru, S., Popa, I., (2005) Phys. Rev. Lett., 95, p. 255505; Merte, L.R., Ahmadi, M., Behafarid, F., Ono, L.K., Lira, E., Matos, J., (2013) ACS Catal., 3, pp. 1460-1468; Ouyang, R., Liu, J.-X., Li, W.-X., (2012) J. Am. Chem. Soc., 135, pp. 1760-1771; Mistry, H., Behafarid, F., Bare, S.R., Cuenya, B.R., (2014) ChemCatChem, 6, pp. 348-352; Mager-Maury, C., Bonnard, G., Chizallet, C., Sautet, P., Raybaud, P., (2011) ChemCatChem, 3, pp. 200-207; Yang, J.C., Small, M.W., Grieshaber, R.V., Nuzzo, R.G., (2012) Chem. Soc. Rev., 41, pp. 8179-8194; Bañares, M.A., (2011) Adv. Mater., 23, pp. 5293-5301; Chen, M.S., Goodman, D.W., (2004) Science, 306, pp. 252-255; Freund, H.-J., (2008) Top. Catal., 48, pp. 137-144; Frank, M., Baumer, M., (2000) Phys. Chem. Chem. Phys., 2, pp. 3723-3737; Baron, M., Bondarchuk, O., Stacchiola, D., Shaikhutdinov, S., Freund, H.J., (2009) J. Phys. Chem. C, 113, pp. 6042-6049; Kitchin, J.R., Barteau, M.A., Chen, J.G., (2003) Surf. Sci., 526, pp. 323-331; Behafarid, F., Roldan Cuenya, B., (2012) Surf. Sci., 606, pp. 908-918; Christensen, S.T., Feng, H., Libera, J.L., Guo, N., Miller, J.T., Stair, P.C., (2010) Nano Lett., 10, pp. 3047-3051; Detavernier, C., Dendooven, J., Pulinthanathu Sree, S., Ludwig, K.F., Martens, J.A., (2011) Chem. Soc. Rev., 40, p. 5242; Hsu, I.J., Kimmel, Y.C., Jiang, X., Willis, B.G., Chen, J.G., (2012) Chem. Commun., 48, pp. 1063-1065; Hsu, I.J., Hansgen, D.A., McCandless, B.E., Willis, B.G., Chen, J.G., (2011) J. Phys. Chem. C, 115, pp. 3709-3715; Iddir, H., Komanicky, V., Ogut, S., You, H., Zapol, P., (2007) J. Phys. Chem. C, 111, pp. 14782-14789; Komanicky, V., Iddir, H., Chang, K.C., Menzel, A., Karapetrov, G., Hennessy, D., (2009) J. Am. Chem. Soc., 131, pp. 5732-5733; Eppler, A.S., Rupprechter, G., Guczi, L., Somorjai, G.A., (1997) J. Phys. Chem. B, 101, p. 9973; Jacobs, P.W., Ribeiro, F.H., Somorjai, G.A., Wind, S.J., (1996) Catal. Lett., 37, pp. 131-136; Kosiorek, A., Kandulski, W., Glaczynska, H., Giersig, M., (2005) Small, 1, pp. 439-444; Haynes, C.L., Van Duyne, R.P., (2001) J. Phys. Chem. B, 105, pp. 5599-5611; Kosiorek, A., Kandulski, W., Chudzinski, P., Kempa, K., Giersig, M., (2004) Nano Lett., 4, pp. 1359-1363; Haynes, C.L., McFarland, A.D., Smith, M.T., Hulteen, J.C., Van Duyne, R.P., (2002) J. Phys. Chem. B, 106, pp. 1898-1902; Johanek, V., Laurin, M., Hoffmann, J., Schauermann, S., Grant, A.W., Kasemo, B., (2004) Surf. Sci., 561, pp. L218-L224; Somorjai, G.A., (1997) Appl. Surf. Sci., 121, pp. 1-19; Song, Z., Hrbek, J., Osgood, R., (2005) Nano Lett., 5, pp. 1327-1332; Gross, E., Asscher, M., Lundwall, M., Goodman, D.W., (2007) J. Phys. Chem. C, 111, p. 16197; King, J.S., Wittstock, A., Biener, J., Kucheyev, S.O., Wang, Y.M., Baumann, T.F., (2008) Nano Lett., 8, pp. 2405-2409; Boies, A.M., Roberts, J.T., Girshick, S.L., Zhang, B., Nakamura, T., Mochizuki, A., (2009) Nanotechnology, 20, p. 295604; Boyd, D.A., Greengard, L., Brongersma, M., El-Naggar, M.Y., Goodwin, D.G., (2006) Nano Lett., 6, pp. 2592-2597; Palgrave, R.G., Parkin, I.P., (2008) Gold Bull., 41, pp. 66-69; Benz, L., Tong, X., Kemper, P., Lilach, Y., Kolmakov, A., Metiu, H., (2005) J. Chem. Phys., 122, p. 081102; Pratontep, S., Carroll, S.J., Xirouchaki, C., Streun, M., Palmer, R.E., (2005) Rev. Sci. Instrum., 76; Von Issendorff, B., Palmer, R.E., (1999) Rev. Sci. Instrum., 70, pp. 4497-4501; Goldby, I.M., Onissendorff, B.V., Kuipers, L., Palmer, R.E., (1997) Rev. Sci. Instrum., 68, pp. 3327-3334; Wang, Z.W., Palmer, R.E., (2012) Nano Lett., 12, pp. 91-95; Baeck, S.H., Jaramillo, T.F., Stucky, G.D., McFarland, E.W., (2002) Nano Lett., 2, p. 831; Baeck, S.H., Jaramillo, T.F., Kleinman-Shwarsetein, A., McFarland, E.W., (2005) Meas. Sci. Technol., 16, p. 54; Zoval, J.V., Lee, J., Gorer, S., Penner, R.M., (1998) J. Phys. Chem. B, 102, pp. 1166-1175; Stiger, R.M., Gorer, S., Craft, B., Penner, R.M., (1999) Langmuir, 15, pp. 790-798; Zhang, L., Fang, Z., Zhao, G.C., Wei, X.W., (2008) Int. J. Electrochem. Sci., 3, pp. 746-754; Narayanan, R., El-Sayed, M.A., (2004) J. Phys. Chem. B, 108, pp. 5726-5733; Yamamuro, S., Sumiyama, K., (2006) Chem. Phys. Lett., 418, pp. 166-169; Jia, C.-J., Schüth, F., (2011) Phys. Chem. Chem. Phys., 13, p. 2457; Hutchings, G.J., (2004) Gold Bull., 37, pp. 3-11; Akita, T., Okumura, M., Tanaka, K., Tsubota, S., Haruta, M., (2003) J. Electron Microsc., 52, pp. 119-124; Ichikawa, M., (1992) Advances in Catalysis, , H.P.D.D. Eley, P.B. Weisz, Academic Press Inc. San Diego; Carpenter, M.K., Moylan, T.E., Kukreja, R.S., Atwan, M.H., Tessema, M.M., (2012) J. Am. Chem. Soc., 134, pp. 8535-8542; Cui, C., Gan, L., Li, H.-H., Yu, S.-H., Heggen, M., Strasser, P., (2012) Nano Lett., 12, pp. 5885-5889; Cui, C., Gan, L., Heggen, M., Rudi, S., Strasser, P., (2013) Nat. Mater., 12, pp. 765-771; Knecht, M.R., Weir, M.G., Myers, V.S., Pyrz, W.D., Ye, H., Petkov, V., (2008) Chem. Mater., 20, pp. 5218-5228; Jin, L., Yang, S.P., Tian, Q.W., Wu, H.X., Cai, Y.J., (2008) Mater. Chem. Phys., 112, pp. 977-983; Crooks, R.M., Zhao, M.Q., Sun, L., Chechik, V., Yeung, L.K., (2001) Acc. Chem. Res., 34, pp. 181-190; Kastle, G., Boyen, H.G., Weigl, F., Lengl, G., Herzog, T., Ziemann, P., (2003) Adv. Funct. Mater., 13, pp. 853-861; Roldan Cuenya, B., Baeck, S.H., Jaramillo, T.F., McFarland, E.W., (2003) J. Am. Chem. Soc., 125, pp. 12928-12934; Ono, L.K., Sudfeld, D., Cuenya, B.R., (2006) Surf. Sci., 600, pp. 5041-5050; Croy, J.R., Mostafa, S., Heinrich, H., Cuenya, B.R., (2009) Catal. Lett., 131, p. 21; Lee, C.-H., Wong, S.-T., Lin, T.-S., Mou, C.-Y., (2005) J. Phys. Chem. B, 109, pp. 775-784; Bedioui, F., (1995) Coord. Chem. Rev., 144, pp. 39-68; Murphy, E.F., Ferri, D., Baiker, A., Van Doorslaer, S., Schweiger, A., (2003) Inorg. Chem., 42, pp. 2559-2571; Seelan, S., Sinha, A.K., Srinivas, D., Sivasanker, S., (2000) J. Mol. Catal. A: Chem., 157, pp. 163-171; Koner, S., Chaudhari, K., Das, T.K., Sivasanker, S., (1999) J. Mol. Catal. A: Chem., 150, pp. 295-297; Ganesan, R., Viswanathan, B., (2004) J. Phys. Chem. B, 108, pp. 7102-7114; Zhang, Q., Lee, I., Ge, J., Zaera, F., Yin, Y., (2010) Adv. Funct. Mater., 20, pp. 2201-2214; Schüth, F., (2014) Chem. Mater., 26, pp. 423-434; Kleibert, A., Rosellen, W., Getzlaff, M., Bansmann, J., Beilstein, (2011) J. Nanotechnol., 2, pp. 47-56; Palmer, R.E., Pratontep, S., Boyen, H.G., (2003) Nat. Mater., 2, pp. 443-448; Xirouchaki, C., Palmer, R.E., (2004) Philos. Trans. A, 362, pp. 117-124; Vajda, S., Pellin, M.J., Greeley, J.P., Marshall, C.L., Curtiss, L.A., Ballentine, G.A., (2009) Nat. Mater., 8, pp. 213-216; Perez-Alonso, F.J., McCarthy, D.N., Nierhoff, A., Hernandez-Fernandez, P., Strebel, C., Stephens, I.E.L., (2012) Angew. Chem. Int. Ed., 51, pp. 4641-4643; Bratlie, K.M., Lee, H., Komvopoulos, K., Yang, P., Somorjai, G.A., (2007) Nano Lett., 7, pp. 3097-3101; Lee, H., Habas, S.E., Kweskin, S., Butcher, D., Somorjai, G.A., Yang, P.D., (2006) Angew. Chem. Int. Ed., 45, pp. 7824-7828; Zhang, Y.W., Grass, M.E., Kuhn, J.N., Tao, F., Habas, S.E., Huang, W.Y., (2008) J. Am. Chem. Soc., 130, pp. 5868-5869; Murphy, C.J., (2002) Science, 298, pp. 2139-2141; Lee, H., Habas, S.E., Kweskin, S., Butcher, D., Somorjai, G.A., Yang, P., (2006) Angew. Chem. Int. Edit., 118, pp. 7988-7992; Mott, D., Galkowski, J., Wang, L., Luo, J., Zhong, C.-J., (2007) Langmuir, 23, pp. 5740-5745; Chen, Y., Gu, X., Nie, C.-G., Jiang, Z.-Y., Xie, Z.-X., Lin, C.-J., (2005) Chem. Commun., p. 4181; Ren, J., Tilley, R.D., (2007) Small, 3, pp. 1508-1512; Kim, F., Connor, S., Song, H., Kuykendall, T., Yang, P., (2004) Angew. Chem. Int. Ed., 116, pp. 3759-3763; Grzelczak, M., Pérez-Juste, J., Mulvaney, P., Liz-Marzán, L.M., (2008) Chem. Soc. Rev., 37, p. 1783; Teranishi, T., Kurita, R., Miyake, M., (2000) J. Inorg. Organomet. Polym., 10, pp. 145-156; Cheong, S., Watt, J.D., Tilley, R.D., (2010) Nanoscale, 2, p. 2045; Xia, Y., Xiong, Y., Lim, B., Skrabalak, S.E., (2009) Angew. Chem. Int. Ed., 48, pp. 60-103; Behafarid, F., Cuenya, B.R., (2011) Nano Lett., 11, pp. 5290-5296; Zaera, F., (2012) Catal. Lett., 142, pp. 501-516; Crespo-Quesada, M., Yarulin, A., Jin, M., Xia, Y., (2011) J. Am. Chem. Soc., 133, pp. 12787-12794; Narayanan, R., El-Sayed, M.A., (2004) Nano Lett., 4, pp. 1343-1348; Xu, R., Wang, D., Zhang, J., Li, Y., (2006) Chem. Asian J., 1, pp. 888-893; Kuo, C.-H., Huang, M.H., (2010) Nano Today, 5, pp. 106-116; Park, J., Joo, J., Kwon, S.G., Jang, Y., Hyeon, T., (2007) Angew. Chem. Int. Ed., 46, pp. 4630-4660; Lablokov, V., Beaumont, S.K., Alayoglu, S., Pushkarev, V.V., Specht, C., Gao, J., (2012) Nano Lett., 12, pp. 3091-3096; Park, J., Lee, E., Hwang, N.-M., Kang, M., Kim, S.C., Hwang, Y., (2005) Angew. Chem. Int. Ed, 117, pp. 2932-2937; Tao, A.R., Habas, S., Yang, P., (2008) Small, 4, pp. 310-325; Xia, Y.N., Jin, M.S., Zhang, H., Xie, Z.X., (2011) Angew. Chem. Int. Ed., 50, pp. 7850-7854; Roldan Cuenya, B., Croy, J.R., Mostafa, S., Behafarid, F., Li, L., Zhang, Z., (2010) J. Am. Chem. Soc., 132, pp. 8747-8756; Ono, L.K., Croy, J.R., Heinrich, H., Roldan Cuenya, B., (2011) J. Phys. Chem. C, 115, pp. 16856-16866; Behafarid, F., Ono, L.K., Mostafa, S., Croy, J.R., Shafai, G., Hong, S., (2012) Phys. Chem. Chem. Phys., 14, p. 11766; Mistry, H., Behafarid, F., Zhou, E., Ono, L.K., Zhang, L., Roldan Cuenya, B., (2014) ACS Catal., 4, pp. 109-115; Naitabdi, A., Ono, L.K., Behafarid, F., Roldan Cuenya, B., (2009) J. Phys. Chem. C, 113, pp. 1433-1446; Yeh, S.-W., Wu, T.-L., Wei, K.-H., (2005) Nanotechnology, 16, pp. 683-687; Fan, J.A., Bao, K., Sun, L., Bao, J., Manoharan, V.N., Nordlander, P., (2012) Nano Lett., 12, pp. 5318-5324; La, Y.-H., Stoykovich, M.P., Park, S.-M., Nealey, P.F., (2007) Chem. Mater., 19, pp. 4538-4544; Barth, J.V., Costantini, G., Kern, K., (2005) Nature, 437, pp. 671-679; Parker, A.J., Childs, P.A., Palmer, R.E., Brust, M., (1999) Appl. Phys. Lett., 74, p. 2833; Whang, D., Jin, S., Lieber, C.M., (2003) Nano Lett., 3, pp. 951-954; Li, J.-L., Jia, J.-F., Liang, X.-J., Liu, X., Wang, J.-Z., Xue, Q.-K., (2002) Phys. Rev. Lett., 88; Winningham, T.A., Gillis, H.P., Choutov, D.A., Martin, K.P., Moore, J.T., Douglas, K., (1998) Surf. Sci., 406, pp. 221-228; Pan, Y., Gao, M., Huang, L., Liu, F., Gao, H.J., (2009) Appl. Phys. Lett., 95, p. 093106; Hoeppener, S., Maoz, R., Cohen, S.R., Chi, L.F., Fuchs, H., Sagiv, J., (2002) Adv. Mater., 14, p. 1036; Wang, D., Möhwalda, H., (2004) J. Mater. Chem., 14, pp. 459-468; Goriachko, A., He, Y., Knapp, M., Over, H., Corso, M., Brugger, T., (2007) Langmuir, 23, pp. 2928-2931; Brihuega, I., Michaelis, C.H., Zhang, J., Bose, S., Sessi, V., Honolka, J., (2008) Surf. Sci., 602, pp. L95-L99; N'Diaye, A., Bleikamp, S., Feibelman, P., Michely, T., (2006) Phys. Rev. Lett., 97, p. 215501; Berdunov, N., Mariotto, G., Balakrishnan, K., Murphy, S., Shvets, I.V., (2006) Surf. Sci., 600, pp. L287-L290; Hövel, H., Barke, I., (2006) Prog. Surf. Sci., 81, pp. 53-111; Yuan, Z., Stephan, R., Hanf, M.C., Becht, J.M., Le Drian, C., Hugentobler, M., (2011) Eur. Phys. J. D, 63, pp. 401-406; Limat, M., Fóti, G., Hugentobler, M., Stephan, R., Harbich, W., (2009) Catal. Today, 146, pp. 378-385; Yuan, Z., Hanf, M.C., Stephan, R., Dulot, F., Denys, E., Florentin, A., (2015) Sur. Interface Anal., 47, pp. 82-86; Hugentobler, M., Bonanni, S., Sautier, A., Harbich, W., (2011) Eur. Phys. J. D, 63, pp. 215-220; Maury, P., Escalante, M., Reinhoudt, D.N., Huskens, J., (2005) Adv. Mater., 17, pp. 2718-2723; Glangchai, L.C., Caldorera-Moore, M., Shi, L., Roy, K., (2008) J. Control. Release, 125, pp. 263-272; Contreras, A.M., Grunes, J., Yan, X.M., Liddle, A., Somorjai, G.A., (2005) Catal. Lett., 100, pp. 115-124; Qin, D., Xia, Y., Xu, B., Yang, H., Zhu, C., Whitesides, G.M., (1999) Adv. Mater., 11, pp. 1433-1437; Shin, D.O., Lee, D.H., Moon, H.-S., Jeong, S.-J., Kim, J.Y., Mun, J.H., (2011) Adv. Funct. Mater., 21, pp. 250-254; Park, M., Harrison, C., Chaikin, P.M., Register, R.A., Adamson, D.H., (1997) Science, 276, pp. 1401-1404; Jeong, S.-J., Xia, G., Kim, B.H., Shin, D.O., Kwon, S.-H., Kang, S.-W., (2008) Adv. Mater., 20, pp. 1898-1904; Behafarid, F., Cuenya, B.R., (2013) Top. Catal., 56, pp. 1542-1559; N. Gjostein, P. Wynblatt, Formation and growth of supported metal crystallites, in: Abstracts of papers of The American Chemical Society (pp. 52-52). 1155 16th St, NW, Washington, DC 20036, Amer Chemical Soc, 1974 JanuaryWynblatt, P., Gjostein, N.A., (1975) Prog. Solid State Chem., 9, pp. 21-58; Jak, M.J.J., Konstapel, C., Van Kreuningen, A., Chrost, J., Verhoeven, J., Frenken, J.W.M., (2001) Surf. Sci., 474, pp. 28-36; Campbell, C.T., Sellers, J.R.V., (2013) Faraday Discuss., 162, p. 9; Datye, A.K., Xu, Q., Kharas, K.C., McCarty, J.M., (2006) Catal. Today, 111, pp. 59-67; Campbell, C.T., Parker, S.C., Starr, D.E., (2002) Science, 298, pp. 811-814; Wiley, B., Sun, Y., Mayers, B., Xia, Y., (2005) Chem-Eur. J., 11, pp. 454-463; Humphrey, S.M., Grass, M.E., Habas, S.E., Niesz, K., Somorjai, G.A., Tilley, T.D., (2007) Nano Lett., 7, pp. 785-790; Somorjai, G.A., Park, J.Y., (2008) Top. Catal., 49, pp. 126-135; Murphy, C.J., Sau, T.K., Gole, A.M., Orendorff, C.J., Gao, J., Gou, L., (2005) J. Phys. Chem. B, 109, pp. 13857-13870; Tran, T.-H., Nguyen, T.-D., (2011) Colloids Surf. B Biointerfaces, 88, pp. 1-22; Niu, W.X., Xu, G.B., (2011) Nano Today, 6, pp. 265-285; Chen, J.Y., Lim, B., Lee, E.P., Xia, Y.N., (2009) Nano Today, 4, pp. 81-95; Shankar, S.S., Rai, A., Ankamwar, B., Singh, A., Ahmad, A., Sastry, M., (2004) Nat. Mater., 3, pp. 482-488; Song, H., Kim, F., Connor, S., Somorjai, G.A., Yang, P., (2005) J. Phys. Chem. B, 109, pp. 188-193; Gschneidtner, T.A., Fernandez, Y.A.D., Syrenova, S., Westerlund, F., Langhammer, C., Moth-Poulsen, K., (2014) Langmuir, 30, pp. 3041-3050; Niu, W., Zhang, L., Xu, G., (2010) ACS Nano, 4, pp. 1987-1996; Wu, H.-L., Kuo, C.-H., Huang, M.H., (2010) Langmuir, 26, pp. 12307-12313; Mayers, B., Jiang, X., Sunderland, D., Cattle, B., Xia, Y., (2003) J. Am. Chem. Soc., 125, pp. 13364-13365; Manna, L., Milliron, D.J., Meisel, A., Scher, E.C., Alivisatos, A.P., (2003) Nat. Mater., 2, pp. 382-385; Yong, K.-T., Sahoo, Y., Choudhury, K.R., Swihart, M.T., Minter, J.R., Prasad, P.N., (2006) Nano Lett., 6, pp. 709-714; Zhu, J., Liu, S., Palchik, O., Koltypin, Y., Gedanken, A., (2000) Langmuir, 16, pp. 6396-6399; Ortac, I., Simberg, D., Yeh, Y.-S., Yang, J., Messmer, B., Trogler, W.C., (2014) Nano Lett., 14, pp. 3023-3032; Teng, X., Yang, H., (2005) Nano Lett., 5, pp. 885-891; Lattuada, M., Hatton, T.A., (2011) Nano Today, 6, pp. 286-308; Marks, L.D., (1994) Rep. Prog. Phys., 57, pp. 603-649; Personick, M.L., Langille, M.R., Zhang, J., Mirkin, C.A., (2011) Nano Lett., 11, pp. 3394-3398; Tao, A., Sinsermsuksakul, P., Yang, P., (2006) Angew. Chem. Int. Ed., 45, pp. 4597-4601; Fievet, F., Lagier, J., Blin, B., Beaudoin, B., Figlarz, M., (1989) Solid State Ionics, 32-33, pp. 198-205; Sun, Y., Xia, Y., (2002) Science, 298, pp. 2176-2179; Ahmadi, T.S., Wang, Z.L., Henglein, A., El-Sayed, M.A., (1996) Chem. Mater., 8, pp. 1161-1163; Ahmadi, T.S., Wang, Z.L., Green, T.C., Henglein, A., El-Sayed, M.A., (1996) Science, 272, pp. 1924-1925; Petroski, J.M., Wang, Z.L., Green, T.C., El-Sayed, M.A., (1998) J. Phys. Chem. B, 102, pp. 3316-3320; Wang, C., Daimon, H., Onodera, T., Koda, T., Sun, S., (2008) Angew. Chem. Int. Ed., 47, pp. 3588-3591; Tian, N., Zhou, Z.-Y., Sun, S.-G., (2008) J. Phys. Chem. C, 112, pp. 19801-19817; Egli, W.A., Visintin, A., Triaca, W.E., Arvia, A.J., (1993) Appl. Surf. Sci., 68, pp. 583-593; Visintin, A., Canullo, J.C., Triaca, W.E., Arvia, A.J., (1988) J. Electroanal. Chem., 239, pp. 67-89; Tian, N., Zhou, Z.-Y., Sun, S.-G., Ding, Y., Wang, Z.L., (2007) Science, 316, pp. 732-735; Zhou, Z.-Y., Tian, N., Huang, Z.-Z., Chen, D.-J., Sun, S.-G., (2009) Faraday Discuss., 140, p. 81; Strasser, P., Koh, S., Anniyev, T., Greeley, J., More, K., Yu, C.F., (2010) Nat. Chem., 2, pp. 454-460; Ahmadi, M., Behafarid, F., Cui, C., Strasser, P., Roldan Cuenya, B., (2013) ACS Nano, 7, pp. 9195-9204; Wu, Y., Wang, D., Niu, Z., Chen, P., Zhou, G., Li, Y., (2012) Angew. Chem. Int. Ed., 51, pp. 12524-12528; Mahmoud, M.A., Saira, F., El-Sayed, M.A., (2010) Nano Lett., 10, pp. 3764-3769; Kuo, C.-H., Huang, M.H., (2008) J. Am. Chem. Soc., 130, pp. 12815-12820; Lee, I., Delbecq, F., Morales, R., Albiter, M.A., Zaera, F., (2009) Nat. Mater., 8, pp. 132-138; Wulff, G., (1901) Z. Kryst. Miner., 34, pp. 449-530; Henry, C.R., (2005) Prog. Surf. Sci., 80, pp. 92-116; Wang, C.M., Baer, D.R., Amonette, J.E., Engelhard, M.H., Qiang, Y., Antony, J., (2007) Nanotechnology, 18, p. 255603; Saito, Y., Mihama, K., Uyeda, R., (1980) Jpn. J. Appl. Phys., 19, pp. 1603-1610; Barnard, A.S., Lin, X.M., Curtiss, L.A., (2005) J. Phys. Chem. B, 109, pp. 24465-24472; Vystavel, T., Koch, S.A., Palasantzas, G., Hosson, J.T.M.D., (2005) Appl. Phys. Lett., 86, p. 113113; Kleibert, A., Voitkans, A., Meiwes-Broer, K.-H., (2010) Phys. Status Solidi B, 247, pp. 1048-1055; Graoui, H., Giorgio, S., Enry, C.R., (2001) Philos. Mag. B, 81, pp. 1649-1658; Graoui, H., Giorgio, S., Henry, C.R., (1998) Surf. Sci., 417, pp. 350-360; Ryu, J.H., Han, S.S., Kim, D.H., Henkelman, G., Lee, H.M., (2011) ACS Nano, 5, pp. 8515-8522; Kim, H.Y., Henkelman, G., (2013) J. Phys. Chem. Lett., 4, pp. 216-221; Nolte, P., Stierle, A., Jin-Phillip, N.Y., Kasper, N., Schulli, T.U., Dosch, H., (2008) Science, 321, pp. 1654-1658; Croy, J.R., (2010) Supported Mono and Bimetallic Platinum and Iron Nanoparticles: Electronic, Structural, Catalytic, and Vibrational Properties, , University of Central Florida; Giorgio, S., Henry, C.R., Pauwels, B., Van Tendeloo, G., (2001) Mater. Sci. Eng. A, 297, pp. 197-202; Kaischew, R., (1952) Arbeitstagung Festkörperphysik, pp. 81-83. , Wissenshaften Dresden, Berlin; Paredis, K., Ono, L.K., Behafarid, F., Zhang, Z.F., Yang, J.C., Frenkel, A.I., (2011) J. Am. Chem. Soc., 133, pp. 13455-13464; Behafarid, F., Roldan Cuenya, B., (2012) J. Phys. Chem. Lett., 3, pp. 608-612; Roldan Cuenya, B., Alcantra Ortigoza, M., Ono, L.K., Behafarid, F., Mostafa, S., Croy, J.R., (2011) Phys. Rev. B, 84, p. 245438; Naitabdi, A., Behafarid, F., Cuenya, B.R., (2009) Appl. Phys. Lett., 94, p. 083102; McKenna, K.P., Shluger, A.L., (2007) J. Phys. Chem. C, 111, pp. 18848-18852; Newton, M.A., (2008) Chem. Soc. Rev., 37, pp. 2644-2657; El-Sayed, M.A., (2001) Acc. Chem. Res., 34, pp. 257-264; Cabié, M., Giorgio, S., Henry, C.R., Axet, M.R., Philippot, K., Chaudret, B., (2010) J. Phys. Chem. C, 114, pp. 2160-2163; Lee, I., Morales, R., Albiter, M.A., Zaera, F., (2008) PNAS, 105, pp. 15241-15246; Matos, J., Ono, L.K., Behafarid, F., Croy, J.R., Mostafa, S., Delariva, A.T., (2012) Phys. Chem. Chem. Phys., 14, p. 11457; Hansen, P.L., Wagner, J.B., Helveg, S., Rostrup-Nielsen, J.R., Clausen, B.S., Topsoe, H., (2002) Science, 295, pp. 2053-2055; Nørskov, J.K., Bligaard, T., Rossmeis, J., Christensen, C.H., (2009) Nat. Chem., 1, pp. 37-46; Vang, R.T., Lauritsen, J.V., Laegsgaard, E., Besenbacher, F., (2008) Chem. Soc. Rev., 37, pp. 2191-2203; Si, R., Flytzani-Stephanopoulos, M., (2008) Angew. Chem. Int. Ed., 47, pp. 2884-2887; Tao, F., Grass, M.E., Zhang, Y., Butcher, D.R., Renzas, J.R., Liu, Z., (2008) Science, 322, pp. 932-934; Salmeron, M., Schlögl, R., (2008) Surf. Sci. Rep., 63, pp. 169-199; Nørskov, J.K., Bligaard, T., Hvolbæk, B., Abild-Pedersen, F., Chorkendorff, I., Christensen, C.H., (2008) Chem. Soc. Rev., 37, pp. 2163-2171; Mittendorfer, F., Seriani, N., Dubay, O., Kresse, G., (2007) Phys. Rev. B, 76, p. 233413; Getman, R.B., Schneider, W.F., (2010) ChemCatChem, 2, pp. 1450-1460; Oxford, S.M., Lee, P.L., Chupas, P.J., Chapman, K.W., Kung, M.C., Kung, H.H., (2010) J. Phys. Chem. C, 114, pp. 17085-17091; Weckhuysen, B.M., (2009) Angew. Chem. Int. Ed., 48, pp. 4910-4943; Newton, M.A., Belver-Coldeira, C., Martínez-Arias, A., Fernández-García, M., (2007) Nat. Mater., 6, pp. 528-532; Newton, M.A., Di Michiel, M., Kubacka, A., Fernandez-Garcia, M., (2010) J. Am. Chem. Soc., 132, pp. 4540-4541; Shi, A.C., Masel, R.I., (1989) J. Catal., 120, pp. 421-431; Hrbek, J., Hoffmann, F.M., Park, J.B., Liu, P., Stacchiola, D., Hoo, Y.S., (2008) J. Am. Chem. Soc., 130, pp. 17272-17273; Lee, W.H., Vanloon, K.R., Petrova, V., Woodhouse, J.B., Loxton, C.M., Masel, R.I., (1990) J. Catal., 126, pp. 658-670; Enterkin, J.A., Poeppelmeier, K.R., Marks, L.D., (2011) Nano Lett., 11, pp. 993-997; Yang, J.","page":"135-187","publisher":"Elsevier","title":"Nanocatalysis: Size- and shape-dependent chemisorption and catalytic reactivity","type":"article-journal","volume":"70"},"uris":["http://www.mendeley.com/documents/?uuid=3145ea49-713e-4c6b-afdf-a435a25cbd9a"]}],"mendeley":{"formattedCitation":"[148], [194]","plainTextFormattedCitation":"[148], [194]","previouslyFormattedCitation":"[148], [194]"},"properties":{"noteIndex":0},"schema":"https://github.com/citation-style-language/schema/raw/master/csl-citation.json"}</w:instrText>
      </w:r>
      <w:r w:rsidR="00D70E59">
        <w:fldChar w:fldCharType="separate"/>
      </w:r>
      <w:r w:rsidR="006C586A" w:rsidRPr="006C586A">
        <w:rPr>
          <w:noProof/>
        </w:rPr>
        <w:t>[148], [194]</w:t>
      </w:r>
      <w:r w:rsidR="00D70E59">
        <w:fldChar w:fldCharType="end"/>
      </w:r>
      <w:r>
        <w:t>.</w:t>
      </w:r>
    </w:p>
    <w:p w14:paraId="1DB83889" w14:textId="4F44F743" w:rsidR="00285C23" w:rsidRDefault="00285C23" w:rsidP="004B726A">
      <w:pPr>
        <w:jc w:val="both"/>
        <w:rPr>
          <w:bCs/>
        </w:rPr>
      </w:pPr>
      <w:r w:rsidRPr="002B6C9E">
        <w:rPr>
          <w:bCs/>
        </w:rPr>
        <w:t>One of the most</w:t>
      </w:r>
      <w:r>
        <w:rPr>
          <w:bCs/>
        </w:rPr>
        <w:t xml:space="preserve"> used</w:t>
      </w:r>
      <w:r w:rsidRPr="002B6C9E">
        <w:rPr>
          <w:bCs/>
        </w:rPr>
        <w:t xml:space="preserve"> gas chemisorption techniques</w:t>
      </w:r>
      <w:r>
        <w:rPr>
          <w:bCs/>
        </w:rPr>
        <w:t xml:space="preserve"> in surface catalysis</w:t>
      </w:r>
      <w:r w:rsidRPr="002B6C9E">
        <w:rPr>
          <w:bCs/>
        </w:rPr>
        <w:t xml:space="preserve"> is the </w:t>
      </w:r>
      <w:r>
        <w:rPr>
          <w:bCs/>
        </w:rPr>
        <w:t>pulsed gas</w:t>
      </w:r>
      <w:r w:rsidRPr="002B6C9E">
        <w:rPr>
          <w:bCs/>
        </w:rPr>
        <w:t xml:space="preserve"> chemisorption method. This process involves the injection of a fixed amount of infiltrate into a gas stream above the sample. As the infiltrate passes over the sample, a minute pressure increase occurs pressing the contained gas onto the sample surface. Meanwhile the rest of the infiltrate continues to move across the system towards a detector which calculates the amount of gas remaining within the adsorption media and displays it as a voltage. Further</w:t>
      </w:r>
      <w:r>
        <w:rPr>
          <w:bCs/>
        </w:rPr>
        <w:t xml:space="preserve"> injections</w:t>
      </w:r>
      <w:r w:rsidRPr="002B6C9E">
        <w:rPr>
          <w:bCs/>
        </w:rPr>
        <w:t xml:space="preserve"> of the infiltrate are done until sample saturation occurs</w:t>
      </w:r>
      <w:r>
        <w:rPr>
          <w:bCs/>
        </w:rPr>
        <w:t xml:space="preserve"> (</w:t>
      </w:r>
      <w:r w:rsidR="00D70E59">
        <w:rPr>
          <w:bCs/>
        </w:rPr>
        <w:t xml:space="preserve">See </w:t>
      </w:r>
      <w:r w:rsidR="00D70E59">
        <w:rPr>
          <w:bCs/>
        </w:rPr>
        <w:fldChar w:fldCharType="begin"/>
      </w:r>
      <w:r w:rsidR="00D70E59">
        <w:rPr>
          <w:bCs/>
        </w:rPr>
        <w:instrText xml:space="preserve"> REF _Ref468880629 \h </w:instrText>
      </w:r>
      <w:r w:rsidR="00CE7C60">
        <w:rPr>
          <w:bCs/>
        </w:rPr>
        <w:instrText xml:space="preserve"> \* MERGEFORMAT </w:instrText>
      </w:r>
      <w:r w:rsidR="00D70E59">
        <w:rPr>
          <w:bCs/>
        </w:rPr>
      </w:r>
      <w:r w:rsidR="00D70E59">
        <w:rPr>
          <w:bCs/>
        </w:rPr>
        <w:fldChar w:fldCharType="separate"/>
      </w:r>
      <w:r w:rsidR="00BA50C7">
        <w:t>Figure</w:t>
      </w:r>
      <w:r w:rsidR="00BA50C7" w:rsidRPr="002B6C9E">
        <w:t xml:space="preserve"> </w:t>
      </w:r>
      <w:r w:rsidR="00BA50C7">
        <w:t>2.31</w:t>
      </w:r>
      <w:r w:rsidR="00D70E59">
        <w:rPr>
          <w:bCs/>
        </w:rPr>
        <w:fldChar w:fldCharType="end"/>
      </w:r>
      <w:r w:rsidR="00D70E59">
        <w:rPr>
          <w:bCs/>
        </w:rPr>
        <w:t xml:space="preserve"> below</w:t>
      </w:r>
      <w:r>
        <w:rPr>
          <w:bCs/>
        </w:rPr>
        <w:t>)</w:t>
      </w:r>
      <w:r w:rsidR="00D70E59">
        <w:rPr>
          <w:bCs/>
        </w:rPr>
        <w:t xml:space="preserve"> </w:t>
      </w:r>
      <w:r w:rsidR="00D70E59">
        <w:rPr>
          <w:bCs/>
        </w:rPr>
        <w:fldChar w:fldCharType="begin" w:fldLock="1"/>
      </w:r>
      <w:r w:rsidR="00D80A5D">
        <w:rPr>
          <w:bCs/>
        </w:rPr>
        <w:instrText>ADDIN CSL_CITATION {"citationItems":[{"id":"ITEM-1","itemData":{"abstract":"The chemical adsorption isotherm reveals information about the active surface of a material and has been employed for many years as a standard analytical tool for the evaluation of catalysts. Temperature-programmed reaction techniques have emerged from the 1950's as an indispensable companion to chemisorption isotherm analyses in many areas of industry and research. This paper provides an introduction to these analytical techniques.","author":[{"dropping-particle":"","family":"Webb","given":"Paul a","non-dropping-particle":"","parse-names":false,"suffix":""}],"container-title":"MIC Technical Publications","id":"ITEM-1","issue":"January","issued":{"date-parts":[["2003"]]},"page":"1-4","title":"Introduction to Chemical Adsorption Analytical Techniques and their Applications to Catalysis","type":"article-journal","volume":"13"},"uris":["http://www.mendeley.com/documents/?uuid=04559c97-d5dd-4f6b-835c-c2f807061b59"]}],"mendeley":{"formattedCitation":"[296]","plainTextFormattedCitation":"[296]","previouslyFormattedCitation":"[296]"},"properties":{"noteIndex":0},"schema":"https://github.com/citation-style-language/schema/raw/master/csl-citation.json"}</w:instrText>
      </w:r>
      <w:r w:rsidR="00D70E59">
        <w:rPr>
          <w:bCs/>
        </w:rPr>
        <w:fldChar w:fldCharType="separate"/>
      </w:r>
      <w:r w:rsidR="006C586A" w:rsidRPr="006C586A">
        <w:rPr>
          <w:bCs/>
          <w:noProof/>
        </w:rPr>
        <w:t>[296]</w:t>
      </w:r>
      <w:r w:rsidR="00D70E59">
        <w:rPr>
          <w:bCs/>
        </w:rPr>
        <w:fldChar w:fldCharType="end"/>
      </w:r>
      <w:r w:rsidR="00D70E59">
        <w:rPr>
          <w:bCs/>
        </w:rPr>
        <w:t>.</w:t>
      </w:r>
    </w:p>
    <w:p w14:paraId="4A66E63E" w14:textId="671266DF" w:rsidR="00BA50C7" w:rsidRPr="00F927C0" w:rsidRDefault="00BA50C7" w:rsidP="00BA50C7">
      <w:pPr>
        <w:jc w:val="both"/>
        <w:rPr>
          <w:bCs/>
        </w:rPr>
      </w:pPr>
      <w:r w:rsidRPr="002B6C9E">
        <w:rPr>
          <w:bCs/>
        </w:rPr>
        <w:t>After many</w:t>
      </w:r>
      <w:r>
        <w:rPr>
          <w:bCs/>
        </w:rPr>
        <w:t xml:space="preserve"> of</w:t>
      </w:r>
      <w:r w:rsidRPr="002B6C9E">
        <w:rPr>
          <w:bCs/>
        </w:rPr>
        <w:t xml:space="preserve"> these gas/ interface adsorption events occur, a monolayer form across the sample surface completely blocking the continued adsorption of gaseous molecules. This prevention of further adsorption is known as “saturation” and can be seen on a chemisorption spectrum as when the detector voltage readings lines become equal</w:t>
      </w:r>
      <w:r>
        <w:rPr>
          <w:bCs/>
        </w:rPr>
        <w:t xml:space="preserve"> </w:t>
      </w:r>
      <w:r>
        <w:rPr>
          <w:bCs/>
        </w:rPr>
        <w:fldChar w:fldCharType="begin" w:fldLock="1"/>
      </w:r>
      <w:r>
        <w:rPr>
          <w:bCs/>
        </w:rPr>
        <w:instrText>ADDIN CSL_CITATION {"citationItems":[{"id":"ITEM-1","itemData":{"abstract":"The chemical adsorption isotherm reveals information about the active surface of a material and has been employed for many years as a standard analytical tool for the evaluation of catalysts. Temperature-programmed reaction techniques have emerged from the 1950's as an indispensable companion to chemisorption isotherm analyses in many areas of industry and research. This paper provides an introduction to these analytical techniques.","author":[{"dropping-particle":"","family":"Webb","given":"Paul a","non-dropping-particle":"","parse-names":false,"suffix":""}],"container-title":"MIC Technical Publications","id":"ITEM-1","issue":"January","issued":{"date-parts":[["2003"]]},"page":"1-4","title":"Introduction to Chemical Adsorption Analytical Techniques and their Applications to Catalysis","type":"article-journal","volume":"13"},"uris":["http://www.mendeley.com/documents/?uuid=04559c97-d5dd-4f6b-835c-c2f807061b59"]}],"mendeley":{"formattedCitation":"[296]","plainTextFormattedCitation":"[296]","previouslyFormattedCitation":"[296]"},"properties":{"noteIndex":0},"schema":"https://github.com/citation-style-language/schema/raw/master/csl-citation.json"}</w:instrText>
      </w:r>
      <w:r>
        <w:rPr>
          <w:bCs/>
        </w:rPr>
        <w:fldChar w:fldCharType="separate"/>
      </w:r>
      <w:r w:rsidRPr="006C586A">
        <w:rPr>
          <w:bCs/>
          <w:noProof/>
        </w:rPr>
        <w:t>[296]</w:t>
      </w:r>
      <w:r>
        <w:rPr>
          <w:bCs/>
        </w:rPr>
        <w:fldChar w:fldCharType="end"/>
      </w:r>
      <w:r w:rsidRPr="002B6C9E">
        <w:rPr>
          <w:bCs/>
        </w:rPr>
        <w:t xml:space="preserve">. </w:t>
      </w:r>
      <w:r>
        <w:rPr>
          <w:bCs/>
        </w:rPr>
        <w:t>In</w:t>
      </w:r>
      <w:r w:rsidRPr="002B6C9E">
        <w:rPr>
          <w:bCs/>
        </w:rPr>
        <w:t xml:space="preserve"> </w:t>
      </w:r>
      <w:r>
        <w:fldChar w:fldCharType="begin"/>
      </w:r>
      <w:r>
        <w:instrText xml:space="preserve"> REF _Ref468880629 \h  \* MERGEFORMAT </w:instrText>
      </w:r>
      <w:r>
        <w:fldChar w:fldCharType="separate"/>
      </w:r>
      <w:r>
        <w:t>Figure</w:t>
      </w:r>
      <w:r w:rsidRPr="002B6C9E">
        <w:t xml:space="preserve"> </w:t>
      </w:r>
      <w:r>
        <w:rPr>
          <w:noProof/>
        </w:rPr>
        <w:t>2.31</w:t>
      </w:r>
      <w:r>
        <w:fldChar w:fldCharType="end"/>
      </w:r>
      <w:r w:rsidRPr="002B6C9E">
        <w:rPr>
          <w:bCs/>
        </w:rPr>
        <w:t xml:space="preserve"> this is shown after </w:t>
      </w:r>
      <w:r>
        <w:rPr>
          <w:bCs/>
        </w:rPr>
        <w:t>6</w:t>
      </w:r>
      <w:r w:rsidRPr="002B6C9E">
        <w:rPr>
          <w:bCs/>
        </w:rPr>
        <w:t xml:space="preserve"> applications of the adsorptive.</w:t>
      </w:r>
      <w:r>
        <w:rPr>
          <w:bCs/>
        </w:rPr>
        <w:t xml:space="preserve"> </w:t>
      </w:r>
    </w:p>
    <w:p w14:paraId="23CEAA45" w14:textId="77777777" w:rsidR="00BA50C7" w:rsidRDefault="00BA50C7" w:rsidP="004B726A">
      <w:pPr>
        <w:jc w:val="both"/>
        <w:rPr>
          <w:bCs/>
        </w:rPr>
      </w:pPr>
    </w:p>
    <w:p w14:paraId="54FF1D1C" w14:textId="77777777" w:rsidR="00285C23" w:rsidRPr="002B6C9E" w:rsidRDefault="00285C23" w:rsidP="004B726A">
      <w:pPr>
        <w:keepNext/>
        <w:jc w:val="center"/>
      </w:pPr>
      <w:r w:rsidRPr="00613BFA">
        <w:rPr>
          <w:noProof/>
        </w:rPr>
        <w:lastRenderedPageBreak/>
        <w:drawing>
          <wp:inline distT="0" distB="0" distL="0" distR="0" wp14:anchorId="33639BBB" wp14:editId="089F9613">
            <wp:extent cx="4008120" cy="3086100"/>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a:extLst>
                        <a:ext uri="{28A0092B-C50C-407E-A947-70E740481C1C}">
                          <a14:useLocalDpi xmlns:a14="http://schemas.microsoft.com/office/drawing/2010/main" val="0"/>
                        </a:ext>
                      </a:extLst>
                    </a:blip>
                    <a:srcRect t="7759" r="13487" b="4957"/>
                    <a:stretch/>
                  </pic:blipFill>
                  <pic:spPr bwMode="auto">
                    <a:xfrm>
                      <a:off x="0" y="0"/>
                      <a:ext cx="4008120" cy="3086100"/>
                    </a:xfrm>
                    <a:prstGeom prst="rect">
                      <a:avLst/>
                    </a:prstGeom>
                    <a:noFill/>
                    <a:ln>
                      <a:noFill/>
                    </a:ln>
                    <a:extLst>
                      <a:ext uri="{53640926-AAD7-44D8-BBD7-CCE9431645EC}">
                        <a14:shadowObscured xmlns:a14="http://schemas.microsoft.com/office/drawing/2010/main"/>
                      </a:ext>
                    </a:extLst>
                  </pic:spPr>
                </pic:pic>
              </a:graphicData>
            </a:graphic>
          </wp:inline>
        </w:drawing>
      </w:r>
    </w:p>
    <w:p w14:paraId="5A0CAD5C" w14:textId="14054AED" w:rsidR="00285C23" w:rsidRPr="00F927C0" w:rsidRDefault="00285C23" w:rsidP="004B726A">
      <w:pPr>
        <w:pStyle w:val="Caption"/>
        <w:rPr>
          <w:bCs/>
        </w:rPr>
      </w:pPr>
      <w:bookmarkStart w:id="168" w:name="_Ref468880629"/>
      <w:bookmarkStart w:id="169" w:name="_Toc69114943"/>
      <w:r>
        <w:t>Figure</w:t>
      </w:r>
      <w:r w:rsidRPr="002B6C9E">
        <w:t xml:space="preserve"> </w:t>
      </w:r>
      <w:r>
        <w:t>2.</w:t>
      </w:r>
      <w:r w:rsidR="00B51F53">
        <w:fldChar w:fldCharType="begin"/>
      </w:r>
      <w:r w:rsidR="00B51F53">
        <w:instrText xml:space="preserve"> SEQ Figure \* ARABIC </w:instrText>
      </w:r>
      <w:r w:rsidR="00B51F53">
        <w:fldChar w:fldCharType="separate"/>
      </w:r>
      <w:r w:rsidR="00BA50C7">
        <w:rPr>
          <w:noProof/>
        </w:rPr>
        <w:t>31</w:t>
      </w:r>
      <w:r w:rsidR="00B51F53">
        <w:rPr>
          <w:noProof/>
        </w:rPr>
        <w:fldChar w:fldCharType="end"/>
      </w:r>
      <w:bookmarkEnd w:id="168"/>
      <w:r w:rsidRPr="002B6C9E">
        <w:t>: A typical dynamic gas chemisorption spectrum developed by the adsorption of gas onto the sample</w:t>
      </w:r>
      <w:r>
        <w:t>. Adapted from Webb</w:t>
      </w:r>
      <w:r w:rsidRPr="002B6C9E">
        <w:t xml:space="preserve"> </w:t>
      </w:r>
      <w:r w:rsidR="00D70E59">
        <w:fldChar w:fldCharType="begin" w:fldLock="1"/>
      </w:r>
      <w:r w:rsidR="00D80A5D">
        <w:instrText>ADDIN CSL_CITATION {"citationItems":[{"id":"ITEM-1","itemData":{"abstract":"The chemical adsorption isotherm reveals information about the active surface of a material and has been employed for many years as a standard analytical tool for the evaluation of catalysts. Temperature-programmed reaction techniques have emerged from the 1950's as an indispensable companion to chemisorption isotherm analyses in many areas of industry and research. This paper provides an introduction to these analytical techniques.","author":[{"dropping-particle":"","family":"Webb","given":"Paul a","non-dropping-particle":"","parse-names":false,"suffix":""}],"container-title":"MIC Technical Publications","id":"ITEM-1","issue":"January","issued":{"date-parts":[["2003"]]},"page":"1-4","title":"Introduction to Chemical Adsorption Analytical Techniques and their Applications to Catalysis","type":"article-journal","volume":"13"},"uris":["http://www.mendeley.com/documents/?uuid=04559c97-d5dd-4f6b-835c-c2f807061b59"]}],"mendeley":{"formattedCitation":"[296]","plainTextFormattedCitation":"[296]","previouslyFormattedCitation":"[296]"},"properties":{"noteIndex":0},"schema":"https://github.com/citation-style-language/schema/raw/master/csl-citation.json"}</w:instrText>
      </w:r>
      <w:r w:rsidR="00D70E59">
        <w:fldChar w:fldCharType="separate"/>
      </w:r>
      <w:r w:rsidR="006C586A" w:rsidRPr="006C586A">
        <w:rPr>
          <w:i w:val="0"/>
          <w:noProof/>
        </w:rPr>
        <w:t>[296]</w:t>
      </w:r>
      <w:bookmarkEnd w:id="169"/>
      <w:r w:rsidR="00D70E59">
        <w:fldChar w:fldCharType="end"/>
      </w:r>
    </w:p>
    <w:p w14:paraId="61E8B9E9" w14:textId="77777777" w:rsidR="00285C23" w:rsidRPr="002B6C9E" w:rsidRDefault="00285C23" w:rsidP="004B726A">
      <w:pPr>
        <w:pStyle w:val="NoSpacing"/>
        <w:spacing w:after="240"/>
        <w:jc w:val="both"/>
        <w:rPr>
          <w:lang w:val="en-GB"/>
        </w:rPr>
      </w:pPr>
      <w:r>
        <w:rPr>
          <w:lang w:val="en-GB"/>
        </w:rPr>
        <w:t>In the field of infiltrated SOFC anode production gas chemisorption has been completely untested despite its use in assessing the concentration of solution absorption in other catalysis applications. This technique certainly has the potential to be able to assess the amount of precursor solution being absorbed by the porous scaffold in anode wet impregnation studies. This could lead to more accurate calculation on catalyst loading and finer control of the infiltration step.</w:t>
      </w:r>
    </w:p>
    <w:p w14:paraId="5B0E064D" w14:textId="1D3D6CEB" w:rsidR="00285C23" w:rsidRPr="002B6C9E" w:rsidRDefault="00EF1630" w:rsidP="004B726A">
      <w:pPr>
        <w:jc w:val="both"/>
      </w:pPr>
      <w:r>
        <w:t>The limitations of chemisorption stem from the dissociation of the adsorbate especially the H-H bond in a H</w:t>
      </w:r>
      <w:r>
        <w:rPr>
          <w:vertAlign w:val="subscript"/>
        </w:rPr>
        <w:t>2</w:t>
      </w:r>
      <w:r>
        <w:t xml:space="preserve"> molecule</w:t>
      </w:r>
      <w:r w:rsidR="00CE7C60">
        <w:t xml:space="preserve"> </w:t>
      </w:r>
      <w:r w:rsidR="00CE7C60">
        <w:fldChar w:fldCharType="begin" w:fldLock="1"/>
      </w:r>
      <w:r w:rsidR="00D80A5D">
        <w:instrText>ADDIN CSL_CITATION {"citationItems":[{"id":"ITEM-1","itemData":{"ISBN":"9783527292882","author":[{"dropping-particle":"","family":"Thomas","given":"J M","non-dropping-particle":"","parse-names":false,"suffix":""},{"dropping-particle":"","family":"Thomas","given":"W J","non-dropping-particle":"","parse-names":false,"suffix":""}],"id":"ITEM-1","issued":{"date-parts":[["1997"]]},"publisher":"VCH","title":"Principles and practice of heterogeneous catalysis","type":"book"},"uris":["http://www.mendeley.com/documents/?uuid=8987bcb7-a496-460f-bac8-295454041508"]}],"mendeley":{"formattedCitation":"[297]","plainTextFormattedCitation":"[297]","previouslyFormattedCitation":"[297]"},"properties":{"noteIndex":0},"schema":"https://github.com/citation-style-language/schema/raw/master/csl-citation.json"}</w:instrText>
      </w:r>
      <w:r w:rsidR="00CE7C60">
        <w:fldChar w:fldCharType="separate"/>
      </w:r>
      <w:r w:rsidR="006C586A" w:rsidRPr="006C586A">
        <w:rPr>
          <w:noProof/>
        </w:rPr>
        <w:t>[297]</w:t>
      </w:r>
      <w:r w:rsidR="00CE7C60">
        <w:fldChar w:fldCharType="end"/>
      </w:r>
      <w:r>
        <w:t xml:space="preserve">. </w:t>
      </w:r>
      <w:r w:rsidR="00612B5C">
        <w:t>The rupture of this bond requires an energy of 3-4 eV</w:t>
      </w:r>
      <w:r w:rsidR="005E2010">
        <w:t xml:space="preserve"> making chemisorption tough to achieve at room temperature. </w:t>
      </w:r>
      <w:r w:rsidR="00BE7238">
        <w:t xml:space="preserve">Additionally, the catalyst must have a high surface area </w:t>
      </w:r>
      <w:r w:rsidR="00154370">
        <w:t xml:space="preserve">and </w:t>
      </w:r>
      <w:r w:rsidR="006D5160">
        <w:t xml:space="preserve">be able to produce a binding energy exceeding 2.31 V </w:t>
      </w:r>
      <w:r w:rsidR="00BE7238">
        <w:t>to facilitate chemisorption</w:t>
      </w:r>
      <w:r w:rsidR="00CE7C60">
        <w:t xml:space="preserve"> </w:t>
      </w:r>
      <w:r w:rsidR="00CE7C60">
        <w:fldChar w:fldCharType="begin" w:fldLock="1"/>
      </w:r>
      <w:r w:rsidR="00D80A5D">
        <w:instrText>ADDIN CSL_CITATION {"citationItems":[{"id":"ITEM-1","itemData":{"DOI":"10.1007/s11467-011-0171-6","ISBN":"1146701101","ISSN":"20950470","abstract":"In this short review, we will briefly discuss the story of hydrogen storage, its impact on clean energy application, especially the challenges of using hydrogen adsorption for onboard application. After a short comparison of the main methods of hydrogen storage (high pressure tank, metal hydride and adsorption), we will focus our discussion on adsorption of hydrogen in graphitic carbon based large surface area adsorbents including carbon nanotubes, graphene and metal organic frameworks. The mechanisms, advantages, disadvantages and recent progresses will be discussed and reviewed for physisorption, metal-assisted storage and chemisorption. In the last section, we will discuss hydrogen spillover chemisorption in detail for the mechanism, status, challenges and perspectives. We hope to present a clear picture of the present technologies, challenges and the perspectives of hydrogen storage for the future studies. © Higher Education Press and Springer-Verlag Berlin Heidelberg 2011.","author":[{"dropping-particle":"","family":"Ding","given":"Feng","non-dropping-particle":"","parse-names":false,"suffix":""},{"dropping-particle":"","family":"Yakobson","given":"Boris I.","non-dropping-particle":"","parse-names":false,"suffix":""}],"container-title":"Frontiers of Physics","id":"ITEM-1","issue":"2","issued":{"date-parts":[["2011"]]},"page":"142-150","title":"Challenges in hydrogen adsorptions: From physisorption to chemisorption","type":"article-journal","volume":"6"},"uris":["http://www.mendeley.com/documents/?uuid=9ec0473e-7a71-4ffb-abb4-759c9700570f"]}],"mendeley":{"formattedCitation":"[298]","plainTextFormattedCitation":"[298]","previouslyFormattedCitation":"[298]"},"properties":{"noteIndex":0},"schema":"https://github.com/citation-style-language/schema/raw/master/csl-citation.json"}</w:instrText>
      </w:r>
      <w:r w:rsidR="00CE7C60">
        <w:fldChar w:fldCharType="separate"/>
      </w:r>
      <w:r w:rsidR="006C586A" w:rsidRPr="006C586A">
        <w:rPr>
          <w:noProof/>
        </w:rPr>
        <w:t>[298]</w:t>
      </w:r>
      <w:r w:rsidR="00CE7C60">
        <w:fldChar w:fldCharType="end"/>
      </w:r>
      <w:r w:rsidR="00BE7238">
        <w:t xml:space="preserve">. </w:t>
      </w:r>
      <w:r w:rsidR="006D5160">
        <w:t>These drawbacks could mean that infiltrated nickel catalysts may not interact for pulsed gas chemisorption.</w:t>
      </w:r>
    </w:p>
    <w:p w14:paraId="7687C42D" w14:textId="076628C6" w:rsidR="00007F6C" w:rsidRDefault="00007F6C" w:rsidP="005129DC">
      <w:pPr>
        <w:pStyle w:val="Heading3"/>
      </w:pPr>
      <w:bookmarkStart w:id="170" w:name="_Toc69129374"/>
      <w:r>
        <w:t>2.4.</w:t>
      </w:r>
      <w:r w:rsidR="00285C23">
        <w:t>6</w:t>
      </w:r>
      <w:r>
        <w:tab/>
        <w:t xml:space="preserve">Energetic </w:t>
      </w:r>
      <w:r w:rsidR="00AA79DE">
        <w:t>B</w:t>
      </w:r>
      <w:r>
        <w:t xml:space="preserve">arriers to </w:t>
      </w:r>
      <w:r w:rsidR="00DA7BBE">
        <w:t>S</w:t>
      </w:r>
      <w:r>
        <w:t>intering</w:t>
      </w:r>
      <w:bookmarkEnd w:id="170"/>
    </w:p>
    <w:p w14:paraId="517DE211" w14:textId="77777777" w:rsidR="00007F6C" w:rsidRDefault="00007F6C" w:rsidP="005129DC">
      <w:pPr>
        <w:jc w:val="both"/>
      </w:pPr>
      <w:r>
        <w:t>For infiltrated SOFC electrode design to effective in combatting electrocatalyst sintering; energetic barriers must be induced in the sample to make the reduction in surface energy unfeasible for the catalyst system. The materials challenge that stems from this solution are numerous:</w:t>
      </w:r>
    </w:p>
    <w:p w14:paraId="6556796B" w14:textId="77777777" w:rsidR="00007F6C" w:rsidRDefault="00007F6C" w:rsidP="005129DC">
      <w:pPr>
        <w:jc w:val="both"/>
      </w:pPr>
      <w:r>
        <w:t>The fuel electrode operates under extremely aggressive conditions with both a highly reductive atmosphere and temperatures exceeding the homologous temperature of the catalyst media. This means that these solutions must be able to withstand these conditions in addition to providing the desired energetic barrier to sintering.</w:t>
      </w:r>
    </w:p>
    <w:p w14:paraId="417CF682" w14:textId="65BB9870" w:rsidR="00007F6C" w:rsidRDefault="00007F6C" w:rsidP="005129DC">
      <w:pPr>
        <w:jc w:val="both"/>
      </w:pPr>
      <w:r>
        <w:t xml:space="preserve">Two coarsening routes are discussed as the dominant mechanisms in the nickel electro-catalyst </w:t>
      </w:r>
      <w:r>
        <w:fldChar w:fldCharType="begin" w:fldLock="1"/>
      </w:r>
      <w:r w:rsidR="00D80A5D">
        <w:instrText>ADDIN CSL_CITATION {"citationItems":[{"id":"ITEM-1","itemData":{"DOI":"10.1021/ar3002427","ISBN":"1520-4898 (Electronic)\r0001-4842 (Linking)","PMID":"23634641","abstract":"Metal nanoparticles contain the active sites in heterogeneous catalysts, which are important for many industrial applications including the production of clean fuels, chemicals and pharmaceuticals, and the cleanup of exhaust from automobiles and stationary power plants. Sintering, or thermal deactivation, is an important mechanism for the loss of catalyst activity. This is especially true for high temperature catalytic processes, such as steam reforming, automotive exhaust treatment, or catalytic combustion. With dwindling supplies of precious metals and increasing demand, fundamental understanding of catalyst sintering is very important for achieving clean energy and a clean environment, and for efficient chemical conversion processes with atom selectivity. Scientists have proposed two mechanisms for sintering of nanoparticles: particle migration and coalescence (PMC) and Ostwald ripening (OR). PMC involves the mobility of particles in a Brownian-like motion on the support surface, with subsequent coalescence leading to nanoparticle growth. In contrast, OR involves the migration of adatoms or mobile molecular species, driven by differences in free energy and local adatom concentrations on the support surface. In this Account, we divide the process of sintering into three phases. Phase I involves rapid loss in catalyst activity (or surface area), phase II is where sintering slows down, and phase III is where the catalyst may reach a stable performance. Much of the previous work is based on inferences from catalysts that were observed before and after long term treatments. While the general phenomena can be captured correctly, the mechanisms cannot be determined. Advancements in the techniques of in situ TEM allow us to observe catalysts at elevated temperatures under working conditions. We review recent evidence obtained via in situ methods to determine the relative importance of PMC and OR in each of these phases of catalyst sintering. The evidence suggests that, in phase I, OR is responsible for the rapid loss of activity that occurs when particles are very small. Surprisingly, very little PMC is observed in this phase. Instead, the rapid loss of activity is caused by the disappearance of the smallest particles. These findings are in good agreement with representative atomistic simulations of sintering. In phase II, sintering slows down since the smallest particles have disappeared. We now see a combination of PMC and OR, but do not fully understand t…","author":[{"dropping-particle":"","family":"Hansen","given":"T W","non-dropping-particle":"","parse-names":false,"suffix":""},{"dropping-particle":"","family":"Delariva","given":"A T","non-dropping-particle":"","parse-names":false,"suffix":""},{"dropping-particle":"","family":"Challa","given":"S R","non-dropping-particle":"","parse-names":false,"suffix":""},{"dropping-particle":"","family":"Datye","given":"A K","non-dropping-particle":"","parse-names":false,"suffix":""}],"chapter-number":"1720","container-title":"Acc Chem Res","id":"ITEM-1","issue":"8","issued":{"date-parts":[["2013"]]},"note":"Hansen, Thomas W\nDelariva, Andrew T\nChalla, Sivakumar R\nDatye, Abhaya K\neng\nResearch Support, Non-U.S. Gov't\nResearch Support, U.S. Gov't, Non-P.H.S.\nReview\n2013/05/03 06:00\nAcc Chem Res. 2013 Aug 20;46(8):1720-30. doi: 10.1021/ar3002427. Epub 2013 May 1.","page":"1720-1730","title":"Sintering of catalytic nanoparticles: particle migration or Ostwald ripening?","type":"article-journal","volume":"46"},"uris":["http://www.mendeley.com/documents/?uuid=39c90cb7-90f0-4c22-a635-4a4de038ffe1"]},{"id":"ITEM-2","itemData":{"DOI":"10.1103/PhysRevApplied.7.044007","ISSN":"23317019","abstract":"The microstructural evolution of a porous electrode consisting of a metal-ceramic matrix, consisting of nickel and yttria-stabilized zirconia (YSZ), is one of the main degradation mechanisms in a solid-oxide cell (SOC), in either fuel cell or electrolyzer mode. In that respect, the agglomeration of nickel particles in a SOC electrode leads to a decrease in the electronic conductivity as well as in the active catalytic area for the oxidation-reduction reaction of the fuel-water steam. An analytical model of the agglomeration behavior of a Ni/YSZ electrode is proposed that allows for a quantitative description of the nickel agglomeration. The accuracy of the model is validated in terms of a comparison with experimental degradation measurements. The model is based on contact probabilities of nickel clusters in a porous network of nickel and YSZ, derived from an algorithm of the agglomeration process. The iterative algorithm is converted into an analytical function, which involves structural parameters of the electrode, such as the porosity and the nickel content. Furthermore, to describe the agglomeration mechanism, the influence of the steam content and the flux rate are taken into account via reactions on the nickel surface. In the next step, the developed agglomeration model is combined with the mechanism of the Ostwald ripening. The calculated grain-size growth is compared to measurements at different temperatures and under low flux rates and low steam content, as well as under high flux rates and high steam content. The results confirm the necessity of connecting the two mechanisms and clarify the circumstances in which the single processes occur and how they contribute to the total agglomeration of the particles in the electrode.","author":[{"dropping-particle":"","family":"Kröll","given":"L.","non-dropping-particle":"","parse-names":false,"suffix":""},{"dropping-particle":"","family":"Haart","given":"L. G.J.","non-dropping-particle":"De","parse-names":false,"suffix":""},{"dropping-particle":"","family":"Vinke","given":"I.","non-dropping-particle":"","parse-names":false,"suffix":""},{"dropping-particle":"","family":"Eichel","given":"R. A.","non-dropping-particle":"","parse-names":false,"suffix":""}],"container-title":"Physical Review Applied","id":"ITEM-2","issue":"4","issued":{"date-parts":[["2017"]]},"page":"1-22","title":"Degradation Mechanisms in Solid-Oxide Fuel and Electrolyzer Cells: Analytical Description of Nickel Agglomeration in a Ni/YSZ Electrode","type":"article-journal","volume":"7"},"uris":["http://www.mendeley.com/documents/?uuid=48345c88-3aa7-4a30-ae1b-f00f937a5bbf"]}],"mendeley":{"formattedCitation":"[118], [299]","plainTextFormattedCitation":"[118], [299]","previouslyFormattedCitation":"[118], [299]"},"properties":{"noteIndex":0},"schema":"https://github.com/citation-style-language/schema/raw/master/csl-citation.json"}</w:instrText>
      </w:r>
      <w:r>
        <w:fldChar w:fldCharType="separate"/>
      </w:r>
      <w:r w:rsidR="006C586A" w:rsidRPr="006C586A">
        <w:rPr>
          <w:noProof/>
        </w:rPr>
        <w:t>[118], [299]</w:t>
      </w:r>
      <w:r>
        <w:fldChar w:fldCharType="end"/>
      </w:r>
      <w:r>
        <w:t xml:space="preserve">: </w:t>
      </w:r>
    </w:p>
    <w:p w14:paraId="72099DA2" w14:textId="77777777" w:rsidR="00007F6C" w:rsidRDefault="00007F6C" w:rsidP="005129DC">
      <w:pPr>
        <w:numPr>
          <w:ilvl w:val="0"/>
          <w:numId w:val="17"/>
        </w:numPr>
        <w:spacing w:after="0"/>
        <w:jc w:val="both"/>
      </w:pPr>
      <w:r>
        <w:t>Atomic (Ostwald) Ripening</w:t>
      </w:r>
    </w:p>
    <w:p w14:paraId="44AA657E" w14:textId="440752BC" w:rsidR="00007F6C" w:rsidRDefault="00007F6C" w:rsidP="00DA7BBE">
      <w:pPr>
        <w:numPr>
          <w:ilvl w:val="0"/>
          <w:numId w:val="17"/>
        </w:numPr>
        <w:jc w:val="both"/>
      </w:pPr>
      <w:r>
        <w:t xml:space="preserve">Particle Migration Coalescence </w:t>
      </w:r>
    </w:p>
    <w:p w14:paraId="58046904" w14:textId="77777777" w:rsidR="00007F6C" w:rsidRPr="00B013ED" w:rsidRDefault="00007F6C" w:rsidP="005129DC">
      <w:pPr>
        <w:jc w:val="both"/>
      </w:pPr>
      <w:r>
        <w:t xml:space="preserve">In surface catalysis various reviews have discussed common strategies that are usually utilised to improve the dispersal and homogeneity of their catalysts or implement a physical barrier to sintering.  </w:t>
      </w:r>
      <w:r w:rsidRPr="00B013ED">
        <w:t>The</w:t>
      </w:r>
      <w:r>
        <w:t xml:space="preserve"> feasibility of these techniques</w:t>
      </w:r>
      <w:r w:rsidRPr="00B013ED">
        <w:t xml:space="preserve"> is discussed in</w:t>
      </w:r>
      <w:r w:rsidRPr="00B013ED">
        <w:rPr>
          <w:i/>
          <w:iCs/>
        </w:rPr>
        <w:t xml:space="preserve"> </w:t>
      </w:r>
      <w:r w:rsidRPr="00B013ED">
        <w:t>the next two sections.</w:t>
      </w:r>
    </w:p>
    <w:p w14:paraId="3C3D9AEA" w14:textId="4F484AE7" w:rsidR="00007F6C" w:rsidRDefault="00007F6C" w:rsidP="005129DC">
      <w:pPr>
        <w:pStyle w:val="Heading4"/>
      </w:pPr>
      <w:r>
        <w:lastRenderedPageBreak/>
        <w:t>2.4.</w:t>
      </w:r>
      <w:r w:rsidR="00AB1C35">
        <w:t>6</w:t>
      </w:r>
      <w:r>
        <w:t>.1</w:t>
      </w:r>
      <w:r>
        <w:tab/>
        <w:t>Catalyst Morphology, Size and Dispersion</w:t>
      </w:r>
    </w:p>
    <w:p w14:paraId="0E7D3DE8" w14:textId="177CD93E" w:rsidR="00DA7BBE" w:rsidRDefault="00007F6C" w:rsidP="004B726A">
      <w:pPr>
        <w:jc w:val="both"/>
      </w:pPr>
      <w:r>
        <w:t xml:space="preserve">Atomic ripening is documented as one of the two major coarsening processes present in nanoscale fuel electrodes. This key to inhibiting this process is to engineer a catalyst network which possesses energetic barriers to sintering.  For processes such as atomic ripening the catalyst particles are far less likely to sinter if their inter particle distances, morphology and size are similar </w:t>
      </w:r>
      <w:r>
        <w:fldChar w:fldCharType="begin" w:fldLock="1"/>
      </w:r>
      <w:r w:rsidR="00D80A5D">
        <w:instrText>ADDIN CSL_CITATION {"citationItems":[{"id":"ITEM-1","itemData":{"DOI":"10.1021/acscatal.7b01975","ISSN":"2155-5435","author":[{"dropping-particle":"","family":"Goodman","given":"Emmett D.","non-dropping-particle":"","parse-names":false,"suffix":""},{"dropping-particle":"","family":"Schwalbe","given":"Jay A.","non-dropping-particle":"","parse-names":false,"suffix":""},{"dropping-particle":"","family":"Cargnello","given":"Matteo","non-dropping-particle":"","parse-names":false,"suffix":""}],"container-title":"ACS Catalysis","id":"ITEM-1","issue":"10","issued":{"date-parts":[["2017","10","6"]]},"page":"7156-7173","title":"Mechanistic Understanding and the Rational Design of Sinter-Resistant Heterogeneous Catalysts","type":"article-journal","volume":"7"},"uris":["http://www.mendeley.com/documents/?uuid=b28e850f-3457-3249-b2ac-8734fa0e1fea"]},{"id":"ITEM-2","itemData":{"DOI":"10.1039/c7cs00650k","abstract":"Catalyst sintering, a main cause of the loss of catalytic activity and/or selectivity at high reaction temperatures, is a major concern and grand challenge in the general area of heterogeneous catalysis. Although all heterogeneous catalysts are inevitably subjected to sintering during their operation, the immediate and drastic consequences can be mitigated by carefully engineering the catalytic particles and their interactions with the supports. In this tutorial review, we highlight recent progress in understanding the physical chemistry and materials science involved in sintering, including the discussion of advanced techniques, such as in situ microscopy and spectroscopy, for investigating the sintering process and its rate. We also discuss strategies for the design and rational fabrication of sinter-resistant catalysts. Finally, we showcase recent success in improving the thermal stability and thus sinter resistance of supported catalytic systems. Key learning points (1) Key obstacles to the development of sinter-resistant catalytic systems (2) Thermodynamic and kinetic aspects in the sintering of supported metal nanoparticles (3) New insights into the sintering mechanisms as elucidated through advanced analytic tools (4) Major strategies for enhancing the thermal stability of a catalytic system involving supported metal nanoparticles (5) Recent success and future directions towards the development of sinter-resistant catalysts","author":[{"dropping-particle":"","family":"Dai","given":"Yunqian","non-dropping-particle":"","parse-names":false,"suffix":""},{"dropping-particle":"","family":"Lu","given":"Ping","non-dropping-particle":"","parse-names":false,"suffix":""},{"dropping-particle":"","family":"Cao","given":"Zhenming","non-dropping-particle":"","parse-names":false,"suffix":""},{"dropping-particle":"","family":"Campbell","given":"Charles T","non-dropping-particle":"","parse-names":false,"suffix":""},{"dropping-particle":"","family":"Xia","given":"Younan","non-dropping-particle":"","parse-names":false,"suffix":""}],"container-title":"4314 | Chem. Soc. Rev","id":"ITEM-2","issued":{"date-parts":[["2018"]]},"page":"4314","title":"The physical chemistry and materials science behind sinter-resistant catalysts","type":"article-journal","volume":"47"},"uris":["http://www.mendeley.com/documents/?uuid=4b3e7ee9-ac08-3c1c-b616-0a6feef47699"]}],"mendeley":{"formattedCitation":"[300], [301]","plainTextFormattedCitation":"[300], [301]","previouslyFormattedCitation":"[300], [301]"},"properties":{"noteIndex":0},"schema":"https://github.com/citation-style-language/schema/raw/master/csl-citation.json"}</w:instrText>
      </w:r>
      <w:r>
        <w:fldChar w:fldCharType="separate"/>
      </w:r>
      <w:r w:rsidR="006C586A" w:rsidRPr="006C586A">
        <w:rPr>
          <w:noProof/>
        </w:rPr>
        <w:t>[300], [301]</w:t>
      </w:r>
      <w:r>
        <w:fldChar w:fldCharType="end"/>
      </w:r>
      <w:r>
        <w:t xml:space="preserve">. This also a case if the inter-particle distances between the close to equidistant, the surface energy for the particles is balanced by the attraction to </w:t>
      </w:r>
      <w:r w:rsidRPr="00582C49">
        <w:t xml:space="preserve">other particles (See </w:t>
      </w:r>
      <w:r w:rsidRPr="00582C49">
        <w:fldChar w:fldCharType="begin"/>
      </w:r>
      <w:r w:rsidRPr="00582C49">
        <w:instrText xml:space="preserve"> REF _Ref35521156 \h  \* MERGEFORMAT </w:instrText>
      </w:r>
      <w:r w:rsidRPr="00582C49">
        <w:fldChar w:fldCharType="separate"/>
      </w:r>
      <w:r w:rsidR="00E944AB" w:rsidRPr="00E944AB">
        <w:t>Figure 2.32</w:t>
      </w:r>
      <w:r w:rsidRPr="00582C49">
        <w:fldChar w:fldCharType="end"/>
      </w:r>
      <w:r w:rsidR="00DA7BBE">
        <w:t xml:space="preserve"> below</w:t>
      </w:r>
      <w:r w:rsidRPr="00582C49">
        <w:t>).</w:t>
      </w:r>
    </w:p>
    <w:p w14:paraId="75BCA793" w14:textId="77777777" w:rsidR="00DA7BBE" w:rsidRDefault="00007F6C" w:rsidP="00DA7BBE">
      <w:pPr>
        <w:keepNext/>
        <w:jc w:val="center"/>
      </w:pPr>
      <w:r w:rsidRPr="00582C49">
        <w:t xml:space="preserve"> </w:t>
      </w:r>
      <w:r w:rsidR="00DA7BBE">
        <w:rPr>
          <w:noProof/>
        </w:rPr>
        <w:drawing>
          <wp:inline distT="0" distB="0" distL="0" distR="0" wp14:anchorId="447D51B6" wp14:editId="16B4938E">
            <wp:extent cx="1293541" cy="1252800"/>
            <wp:effectExtent l="0" t="0" r="1905" b="5080"/>
            <wp:docPr id="1"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eal 4 catalyst particle system.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93541" cy="1252800"/>
                    </a:xfrm>
                    <a:prstGeom prst="rect">
                      <a:avLst/>
                    </a:prstGeom>
                  </pic:spPr>
                </pic:pic>
              </a:graphicData>
            </a:graphic>
          </wp:inline>
        </w:drawing>
      </w:r>
    </w:p>
    <w:p w14:paraId="21FDF63B" w14:textId="2BA6EFEC" w:rsidR="00DA7BBE" w:rsidRPr="00DA7BBE" w:rsidRDefault="00DA7BBE" w:rsidP="00E944AB">
      <w:pPr>
        <w:jc w:val="center"/>
        <w:rPr>
          <w:i/>
          <w:iCs/>
          <w:color w:val="44546A" w:themeColor="text2"/>
          <w:sz w:val="18"/>
          <w:szCs w:val="18"/>
        </w:rPr>
      </w:pPr>
      <w:bookmarkStart w:id="171" w:name="_Ref35521156"/>
      <w:bookmarkStart w:id="172" w:name="_Toc69114944"/>
      <w:r w:rsidRPr="00582C49">
        <w:rPr>
          <w:i/>
          <w:iCs/>
          <w:color w:val="44546A" w:themeColor="text2"/>
          <w:sz w:val="18"/>
          <w:szCs w:val="18"/>
        </w:rPr>
        <w:t xml:space="preserve">Figure </w:t>
      </w:r>
      <w:r>
        <w:rPr>
          <w:i/>
          <w:iCs/>
          <w:color w:val="44546A" w:themeColor="text2"/>
          <w:sz w:val="18"/>
          <w:szCs w:val="18"/>
        </w:rPr>
        <w:t>2.</w:t>
      </w:r>
      <w:r>
        <w:rPr>
          <w:i/>
          <w:iCs/>
          <w:color w:val="44546A" w:themeColor="text2"/>
          <w:sz w:val="18"/>
          <w:szCs w:val="18"/>
        </w:rPr>
        <w:fldChar w:fldCharType="begin"/>
      </w:r>
      <w:r>
        <w:rPr>
          <w:i/>
          <w:iCs/>
          <w:color w:val="44546A" w:themeColor="text2"/>
          <w:sz w:val="18"/>
          <w:szCs w:val="18"/>
        </w:rPr>
        <w:instrText xml:space="preserve"> SEQ Figure \* ARABIC </w:instrText>
      </w:r>
      <w:r>
        <w:rPr>
          <w:i/>
          <w:iCs/>
          <w:color w:val="44546A" w:themeColor="text2"/>
          <w:sz w:val="18"/>
          <w:szCs w:val="18"/>
        </w:rPr>
        <w:fldChar w:fldCharType="separate"/>
      </w:r>
      <w:r w:rsidR="00E944AB">
        <w:rPr>
          <w:i/>
          <w:iCs/>
          <w:noProof/>
          <w:color w:val="44546A" w:themeColor="text2"/>
          <w:sz w:val="18"/>
          <w:szCs w:val="18"/>
        </w:rPr>
        <w:t>32</w:t>
      </w:r>
      <w:r>
        <w:rPr>
          <w:i/>
          <w:iCs/>
          <w:color w:val="44546A" w:themeColor="text2"/>
          <w:sz w:val="18"/>
          <w:szCs w:val="18"/>
        </w:rPr>
        <w:fldChar w:fldCharType="end"/>
      </w:r>
      <w:bookmarkEnd w:id="171"/>
      <w:r w:rsidRPr="00582C49">
        <w:rPr>
          <w:i/>
          <w:iCs/>
          <w:color w:val="44546A" w:themeColor="text2"/>
          <w:sz w:val="18"/>
          <w:szCs w:val="18"/>
        </w:rPr>
        <w:t>: Idealised 4 surface particle system supported on a substrate from a top-down view. The arrows indicate that the surface energy of the particles is balanced due to their identical size, shape, and inter-particle distance</w:t>
      </w:r>
      <w:r>
        <w:rPr>
          <w:i/>
          <w:iCs/>
          <w:color w:val="44546A" w:themeColor="text2"/>
          <w:sz w:val="18"/>
          <w:szCs w:val="18"/>
        </w:rPr>
        <w:t>.</w:t>
      </w:r>
      <w:bookmarkEnd w:id="172"/>
    </w:p>
    <w:p w14:paraId="4635F8EF" w14:textId="77777777" w:rsidR="00007F6C" w:rsidRPr="00842667" w:rsidRDefault="00007F6C" w:rsidP="004B726A">
      <w:pPr>
        <w:jc w:val="both"/>
      </w:pPr>
      <w:r w:rsidRPr="00842667">
        <w:t>In wet impregnated systems the morphology of the decorated catalysts can be tuned by a mixture of process changes:</w:t>
      </w:r>
    </w:p>
    <w:p w14:paraId="1F9BC42A" w14:textId="2D837BE2" w:rsidR="00007F6C" w:rsidRPr="00842667" w:rsidRDefault="00007F6C" w:rsidP="004B726A">
      <w:pPr>
        <w:numPr>
          <w:ilvl w:val="0"/>
          <w:numId w:val="18"/>
        </w:numPr>
        <w:spacing w:after="0"/>
        <w:jc w:val="both"/>
      </w:pPr>
      <w:r w:rsidRPr="00842667">
        <w:t xml:space="preserve">Changing the wetting angle  </w:t>
      </w:r>
      <w:r w:rsidRPr="00842667">
        <w:fldChar w:fldCharType="begin" w:fldLock="1"/>
      </w:r>
      <w:r w:rsidR="00D80A5D">
        <w:instrText>ADDIN CSL_CITATION {"citationItems":[{"id":"ITEM-1","itemData":{"DOI":"10.1016/j.jpowsour.2015.04.072","ISBN":"0378-7753","ISSN":"03787753","abstract":"Ni infiltration into porous YSZ scaffolds is a promising route for the construction of high performing and redox-stable Ni-YSZ anodes for application in solid oxide fuel cells (SOFCs). However, the long-term instability of this type of anode is a critical problem. Here, it is shown that an interconnected Ni film, rather than discrete Ni particles, can be formed inside a porous, pre-sintered YSZ scaffold by using a polymeric Ni-based precursor as the infiltration medium. To understand the effect of the YSZ microstructure on the long-term stability and the electrochemical performance of the resulting composites, two types of Ni-YSZ anodes were investigated. Anodes prepared by polymeric Ni infiltration into a YSZ scaffold with large grains (0.5 μm) and pores (0.5 μm and 5 μm) showed extensive agglomeration in the Ni phase, resulting in poor stability and poor activity. In contrast, Ni infiltration into YSZ scaffolds with finer particle and pore sizes (</w:instrText>
      </w:r>
      <w:r w:rsidR="00D80A5D">
        <w:rPr>
          <w:rFonts w:ascii="Cambria Math" w:hAnsi="Cambria Math" w:cs="Cambria Math"/>
        </w:rPr>
        <w:instrText>∼</w:instrText>
      </w:r>
      <w:r w:rsidR="00D80A5D">
        <w:instrText xml:space="preserve">200 nm each) produced anodes with a very small polarization resistance of ca. 0.1 </w:instrText>
      </w:r>
      <w:r w:rsidR="00D80A5D">
        <w:rPr>
          <w:rFonts w:ascii="Calibri" w:hAnsi="Calibri" w:cs="Calibri"/>
        </w:rPr>
        <w:instrText>Ω</w:instrText>
      </w:r>
      <w:r w:rsidR="00D80A5D">
        <w:instrText xml:space="preserve"> cm&lt;sup&gt;2&lt;/sup&gt; per electrode at 800 </w:instrText>
      </w:r>
      <w:r w:rsidR="00D80A5D">
        <w:rPr>
          <w:rFonts w:ascii="Calibri" w:hAnsi="Calibri" w:cs="Calibri"/>
        </w:rPr>
        <w:instrText>°</w:instrText>
      </w:r>
      <w:r w:rsidR="00D80A5D">
        <w:instrText xml:space="preserve">C. An increase of only </w:instrText>
      </w:r>
      <w:r w:rsidR="00D80A5D">
        <w:rPr>
          <w:rFonts w:ascii="Cambria Math" w:hAnsi="Cambria Math" w:cs="Cambria Math"/>
        </w:rPr>
        <w:instrText>∼</w:instrText>
      </w:r>
      <w:r w:rsidR="00D80A5D">
        <w:instrText>5% was seen in the resistance after ca. 110 h at this temperature, achieved by preventing Ni agglomeration.","author":[{"dropping-particle":"","family":"Buyukaksoy","given":"Aligul","non-dropping-particle":"","parse-names":false,"suffix":""},{"dropping-particle":"","family":"Kammampata","given":"Sanoop P.","non-dropping-particle":"","parse-names":false,"suffix":""},{"dropping-particle":"","family":"Birss","given":"Viola I.","non-dropping-particle":"","parse-names":false,"suffix":""}],"container-title":"Journal of Power Sources","id":"ITEM-1","issued":{"date-parts":[["2015"]]},"page":"349-358","publisher":"Elsevier B.V","title":"Effect of porous YSZ scaffold microstructure on the long-term performance of infiltrated Ni-YSZ anodes","type":"article-journal","volume":"287"},"uris":["http://www.mendeley.com/documents/?uuid=21512bd9-57bd-44f6-b278-0f70c65b86c6"]},{"id":"ITEM-2","itemData":{"DOI":"10.1016/j.jpowsour.2009.07.048","ISSN":"03787753","abstract":"Infiltration has been widely used in surface modification of porous electrodes in solid oxide fuel cells (SOFCs). The stability and performance of a porous electrode infiltrated with a catalyst depend sensitively on the composition, morphology, and nanostructure of the catalyst. In this contribution, we report our findings on investigation into the effect of wetting property on the formation of catalyst coatings through an infiltration process. It is observed that aqueous solutions containing catalyst precursors wet SOFC electrolyte materials (e.g., yttria-stabilized zirconia or YSZ) better than cathode materials (e.g., La0.6Sr0.4Co0.2Fe0.8O3-δ or LSCF). Controlling the wetting of catalyst precursor solutions on porous electrode backbones can dramatically improve the uniformity of the infiltrated catalyst layer on porous cathode backbone, thus enhancing the electrochemical performance of infiltrated cathodes, especially at low operating temperatures. © 2009 Elsevier B.V. All rights reserved.","author":[{"dropping-particle":"","family":"Lou","given":"Xiaoyuan","non-dropping-particle":"","parse-names":false,"suffix":""},{"dropping-particle":"","family":"Liu","given":"Ze","non-dropping-particle":"","parse-names":false,"suffix":""},{"dropping-particle":"","family":"Wang","given":"Shizhong","non-dropping-particle":"","parse-names":false,"suffix":""},{"dropping-particle":"","family":"Xiu","given":"Yonghao","non-dropping-particle":"","parse-names":false,"suffix":""},{"dropping-particle":"","family":"Wong","given":"C. P.","non-dropping-particle":"","parse-names":false,"suffix":""},{"dropping-particle":"","family":"Liu","given":"Meilin","non-dropping-particle":"","parse-names":false,"suffix":""}],"container-title":"Journal of Power Sources","id":"ITEM-2","issue":"2","issued":{"date-parts":[["2010"]]},"page":"419-424","title":"Controlling the morphology and uniformity of a catalyst-infiltrated cathode for solid oxide fuel cells by tuning wetting property","type":"article-journal","volume":"195"},"uris":["http://www.mendeley.com/documents/?uuid=937f9a70-52a1-4399-ae13-a68e7561f983"]},{"id":"ITEM-3","itemData":{"DOI":"10.1039/c3ee42926a","ISBN":"1754-5692","ISSN":"17545706","abstract":"Solid oxide fuel cells (SOFCs) have the potential to be one of the cleanest and most efficient energy technologies for direct conversion of chemical fuels to electricity. Economically competitive SOFC systems appear poised for commercialization, but widespread market penetration will require continuous innovation of materials and fabrication processes to enhance system lifetime and reduce cost. One early technical opportunity is minimization of resistance to the oxygen reduction reaction (ORR) at the cathode, which contributes the most to performance degradation and efficiency loss in the existing SOFCs, especially at temperatures &lt;700 °C. Detailed study over the past 15 years has revealed the positive impact of catalyst infiltration on SOFC cathode performance, both in power density and durability metrics. However, realizable performance improvements rely upon strongly-coupled relationships in materials and morphology between the infiltrate and the backbone, and therefore efficacious systems cannot be simply generated with a set of simple heuristics. This article reviews recent progress in enhancing SOFC cathode performance by surface modification through a solution-based infiltration process, focusing on two backbone architectures – inherently functional and skeletal – infiltrated using wet-chemistry processes. An efficient cathode consists of a porous mixed-conducting backbone and an active coating catalyst; the porous backbone provides excellent ionic and electronic conductivity, while the infiltrated surface coating possesses high catalytic activity and stability. As available, performance comparisons are emphasized and reaction schematics for specific infiltrate/backbone systems are summarized. While significant progress has been achieved in enhancing surface catalytic activity and durability, the detailed mechanisms of performance enhancement are insufficiently understood to obtain critical insights and a scientific basis for rational design of more efficient catalysts and novel electrode architectures. Recent progress in characterization of surfaces and interfaces is briefly discussed with challenges and perspectives in surface modification of SOFC electrodes. Surface modification through infiltration is expected to play an increasingly important role in current and next-generation commercial SOFC development, and this review illustrates the sophisticated technical considerations required to inform judicious selection of an infiltrate for a give…","author":[{"dropping-particle":"","family":"Ding","given":"Dong","non-dropping-particle":"","parse-names":false,"suffix":""},{"dropping-particle":"","family":"Li","given":"Xiaxi","non-dropping-particle":"","parse-names":false,"suffix":""},{"dropping-particle":"","family":"Lai","given":"Samson Yuxiu","non-dropping-particle":"","parse-names":false,"suffix":""},{"dropping-particle":"","family":"Gerdes","given":"Kirk","non-dropping-particle":"","parse-names":false,"suffix":""},{"dropping-particle":"","family":"Liu","given":"Meilin","non-dropping-particle":"","parse-names":false,"suffix":""}],"container-title":"Energy and Environmental Science","id":"ITEM-3","issue":"2","issued":{"date-parts":[["2014"]]},"page":"552-575","title":"Enhancing SOFC cathode performance by surface modification through infiltration","type":"article-journal","volume":"7"},"uris":["http://www.mendeley.com/documents/?uuid=e4d4557b-db90-4e63-ae90-5b6a860616c9"]},{"id":"ITEM-4","itemData":{"DOI":"10.1016/j.jpowsour.2013.10.121","ISSN":"03787753","abstract":"In solid oxide fuel cells (SOFCs), Ni coarsening in porous anodes that are comprised of Ni and yttria stabilized zirconia (YSZ) leads to changes in several microstructural attributes, which affect the electrochemical performance. Herein we present an integrated modeling approach, where a dynamic mesoscale phase field model is linked with a stationary macroscale electrochemical cell level model in order to assess the role of Ni coarsening on the performance of SOFCs. The phase field model is capable of capturing the morphological evolution of Ni and accounting for its polycrystalline nature, while the electrochemical model encompasses the entire set of processes of gas transport, electronic and ionic conduction as well as the electrochemical reactions. Microstructural features are extracted from the phase field model as anode systems evolve over time and employed as effective properties in the electrochemical model. Simulation results highlight the importance of Ni and YSZ particle size and ratio on both the microstructural stability and electrochemical performance of SOFCs. In particular, it is shown that, for the classes of microstructures employed in this work, coarsening of Ni particles can either improve or diminish the maximum power density relative to the as-sintered ones, depending on the initial particle size. © 2013 Elsevier Ltd. All rights reserved.","author":[{"dropping-particle":"","family":"Abdeljawad","given":"Fadi","non-dropping-particle":"","parse-names":false,"suffix":""},{"dropping-particle":"","family":"Völker","given":"Benjamin","non-dropping-particle":"","parse-names":false,"suffix":""},{"dropping-particle":"","family":"Davis","given":"Ryan","non-dropping-particle":"","parse-names":false,"suffix":""},{"dropping-particle":"","family":"McMeeking","given":"Robert M.","non-dropping-particle":"","parse-names":false,"suffix":""},{"dropping-particle":"","family":"Haataja","given":"Mikko","non-dropping-particle":"","parse-names":false,"suffix":""}],"container-title":"Journal of Power Sources","id":"ITEM-4","issued":{"date-parts":[["2014"]]},"page":"319-331","publisher":"Elsevier B.V","title":"Connecting microstructural coarsening processes to electrochemical performance in solid oxide fuel cells: An integrated modeling approach","type":"article-journal","volume":"250"},"uris":["http://www.mendeley.com/documents/?uuid=e262cea0-9e2b-446f-8e37-14840e21b698"]}],"mendeley":{"formattedCitation":"[242], [302]–[304]","plainTextFormattedCitation":"[242], [302]–[304]","previouslyFormattedCitation":"[242], [302]–[304]"},"properties":{"noteIndex":0},"schema":"https://github.com/citation-style-language/schema/raw/master/csl-citation.json"}</w:instrText>
      </w:r>
      <w:r w:rsidRPr="00842667">
        <w:fldChar w:fldCharType="separate"/>
      </w:r>
      <w:r w:rsidR="006C586A" w:rsidRPr="006C586A">
        <w:rPr>
          <w:noProof/>
        </w:rPr>
        <w:t>[242], [302]–[304]</w:t>
      </w:r>
      <w:r w:rsidRPr="00842667">
        <w:fldChar w:fldCharType="end"/>
      </w:r>
    </w:p>
    <w:p w14:paraId="35C142D8" w14:textId="77777777" w:rsidR="00007F6C" w:rsidRPr="00842667" w:rsidRDefault="00007F6C" w:rsidP="004B726A">
      <w:pPr>
        <w:numPr>
          <w:ilvl w:val="0"/>
          <w:numId w:val="18"/>
        </w:numPr>
        <w:spacing w:after="0"/>
        <w:jc w:val="both"/>
      </w:pPr>
      <w:r w:rsidRPr="00842667">
        <w:t xml:space="preserve">Adding </w:t>
      </w:r>
      <w:r>
        <w:t>solvents with lower evaporation temperatures</w:t>
      </w:r>
    </w:p>
    <w:p w14:paraId="522E2C2A" w14:textId="292A453F" w:rsidR="00007F6C" w:rsidRDefault="00007F6C" w:rsidP="004B726A">
      <w:pPr>
        <w:numPr>
          <w:ilvl w:val="0"/>
          <w:numId w:val="18"/>
        </w:numPr>
        <w:jc w:val="both"/>
      </w:pPr>
      <w:r w:rsidRPr="00842667">
        <w:t>Adding a dispersant</w:t>
      </w:r>
      <w:r>
        <w:t xml:space="preserve"> </w:t>
      </w:r>
      <w:r>
        <w:fldChar w:fldCharType="begin" w:fldLock="1"/>
      </w:r>
      <w:r w:rsidR="00D80A5D">
        <w:instrText>ADDIN CSL_CITATION {"citationItems":[{"id":"ITEM-1","itemData":{"DOI":"http://dx.doi.org/10.1016/j.jpowsour.2015.10.012","ISBN":"0378-7753","ISSN":"03787753","abstract":"Here, the addition of the surfactant Triton X-100 or the chelating agent citric acid to Solid Oxide Fuel Cell (SOFC) La0.6Sr0.4Co0.8Fe0.2O3–x (LSCF) precursor nitrate solutions is shown via scanning electron microscopy (SEM) and X-ray diffraction (XRD) to reduce average infiltrate nano-particle size and improve infiltrate phase purity. In addition, the desiccation of LSCF precursor solutions containing the aforementioned organic solution additives further reduces the average LSCF infiltrate nano-particle size and improves the low-temperature infiltrate phase purity. In particular, CaCl2-desiccation reduces the average size of Triton X-100 derived (TXD) LSCF particles fired at 700 °C from 48 to 22 nm, and reduces the average size of citric acid derived LSCF particles fired at 700 °C from 50 to 41 nm. Modeling and electrochemical impedance spectroscopy (EIS) tests indicate that particle size reductions alone are responsible for desiccation-induced cathode performance improvements such as CaCl2-desiccated TXD La0.6Sr0.4Co0.8Fe0.2O3-x – Ce0.9Gd0.1O1.95 (LSCF-GDC) cathodes reaching a polarization resistance of 0.17 Ωcm2 at 540 °C, compared to 600 °C for undesiccated TXD LSCF-GDC cathodes. This excellent low-temperature performance, combined with a low open-circuit 540 °C degradation rate, suggests that the desiccation of organic-additive-containing infiltrate precursor solutions may be useful for the development of durable, high-power, low-temperature SOFCs.","author":[{"dropping-particle":"","family":"Burye","given":"Theodore E.","non-dropping-particle":"","parse-names":false,"suffix":""},{"dropping-particle":"","family":"Nicholas","given":"Jason D.","non-dropping-particle":"","parse-names":false,"suffix":""}],"container-title":"Journal of Power Sources","id":"ITEM-1","issued":{"date-parts":[["2016"]]},"page":"287-298","publisher":"Elsevier B.V","title":"Precursor solution additives improve desiccated La0.6Sr0.4Co0.8Fe0.2O3–x infiltrated solid oxide fuel cell cathode performance","type":"article-journal","volume":"301"},"uris":["http://www.mendeley.com/documents/?uuid=17fa01df-6d27-4374-8ab7-4b52d0024b22"]},{"id":"ITEM-2","itemData":{"DOI":"10.1149/2.056405jes","ISBN":"19385862 (ISSN)","ISSN":"0013-4651","abstract":"A range of Ni-contg. solns., including an aq. soln. contg. the Triton-X surfactant, and aq. or ethanolic solns. contg. urea, have been infiltrated into a sym. tubular half-cell composed of a slip-casted, porous yttria-stabilized zirconia (YSZ) anode support, Ni-YSZ functional layers, a YSZ electrolyte, and a 2nd, outer porous YSZ anode support layer, aiming at the development of high performance anodes.  A combination of surface wettability expts. and optical and electron microscopy imaging was used to det. how well these solns. penetrate the porous YSZ matrix, then correlating these results with the electrochem. performance in humidified H2 environments at 800°.  The addn. of Triton-X-100 surfactant to the infiltration soln. results in excellent penetration of the Ni phase deep into the YSZ matrix, while the use of urea as a Ni complexing agent leaves a Ni-rich layer on the outer anode surface.  Importantly, the use of a 2-step process, involving several vacuum-infiltrations with Ni nitrate solns. contg. Triton-X-100, followed by several infiltrations with urea-contg. solns., leads to the best cell performance as well as the best Ni distribution inside the anode layers. [on SciFinder(R)]","author":[{"dropping-particle":"","family":"Keyvanfar","given":"Parastoo","non-dropping-particle":"","parse-names":false,"suffix":""},{"dropping-particle":"","family":"Birss","given":"Viola","non-dropping-particle":"","parse-names":false,"suffix":""}],"container-title":"Journal of The Electrochemical Society","edition":"1","id":"ITEM-2","issue":"5","issued":{"date-parts":[["2014"]]},"language":"English","note":"Cited By :3\nExport Date: 20 January 2017\nReferences: Sarantaridis, D., Atkins, A., (2007) FUEL CELLS, 7, p. 246; Sholklapper, T.Z., Lu, C., Jacobsona, C.P., Viscoa, S.J., Jonghe De, L.C., (2006) Electrochem Solid-State Lett., 9, pp. A376; Buyukaksoy, A., Petrovsky, V., Dogan, F., (2012) J. Electrochem. Soc., 159, pp. B666; Sholklapper, T.Z., Radmilovic, V., Jacobson, C.P., Visco, S.J., De Jonghe, L.C., (2007) Electrochem Solid-State Lett., 10, pp. B74; Bidrawn, F., Kima, G., Aramrueang, N., Vohs, J.M., Gorte, R.J., (2010) J. Power Sources, 195, p. 720; Yamahara, K., Jacobson, C.P., Visco, S.J., Feng Zhang, X., De Jonghe, L.C., (2005) Solid State Ionics, 176, p. 275; Jung, S.N., Lu, C., He, H., Ahn, K., Gorte, R.J., Vohs, J.M., (2006) J. Power Sources, 154, p. 42; Lee, S., Kima, G., Vohs, J.M., Gorte, R.J., (2008) J. Electrochem. Soc., 155, pp. B1179; Huang, Y., Vohs, J.M., Gorte, R.J., (2006) Electrochem Solid-State Lett., 9, pp. A237; Tucker, M.C., Lau, G.Y., Jacobson, C.P., Dejonghe, L.C., Visco, S.J., (2007) J. Power Sources, 171, p. 477; Klemensø, T., Thydén, K., Chen, M., Wang, H.J., (2010) J. Power Sources, 195, p. 7295; Li, W., Lü, Z., Zhu, X., Guan, B., Wei, B., Guan, C., Su, W., (2011) Electrochimica Acta, 56, p. 2230; Nicholas, J.D., Barnett, S.A., (2010) J. Electrochem. Soc., 157, pp. B536; Hanifi, A.R., Shinbine, A., Etsell, T.H., Sarkar, P., (2012) Int. J. Appl. Ceram. Technol., 9, p. 1011; Kilbride, I.P., (1996) Journal of Power Sources, 61, p. 167; Conga, L., Hea, T., Jia, Y., Guana, P., Huanga, Y., Su, W., (2003) J. Alloys Compd., 348, p. 325; Primdahl, S., Mogensen, M., (1998) J. Electrochem. Soc., 145, p. 2431; Primdahl, S., Mogensen, M., (1999) J. Electrochem. Soc., 146, p. 2827; Jiang, S.P., Badwal, S.P.S., (1999) Solid State Ionics, 123, p. 209; Sonn, V., Leonide, A., Ivers-Tiffée, E., (2008) J. Electrochem. Soc., 155, pp. B675","page":"F660-F667","publisher":"Electrochemical Society Inc.","title":"Optimization of Infiltration Techniques Used to Construct Ni/YSZ Anodes","type":"paper-conference","volume":"161"},"uris":["http://www.mendeley.com/documents/?uuid=ce167f45-7dc6-4612-b9e4-271bc94a97b6"]}],"mendeley":{"formattedCitation":"[6], [305]","plainTextFormattedCitation":"[6], [305]","previouslyFormattedCitation":"[6], [305]"},"properties":{"noteIndex":0},"schema":"https://github.com/citation-style-language/schema/raw/master/csl-citation.json"}</w:instrText>
      </w:r>
      <w:r>
        <w:fldChar w:fldCharType="separate"/>
      </w:r>
      <w:r w:rsidR="006C586A" w:rsidRPr="006C586A">
        <w:rPr>
          <w:noProof/>
        </w:rPr>
        <w:t>[6], [305]</w:t>
      </w:r>
      <w:r>
        <w:fldChar w:fldCharType="end"/>
      </w:r>
    </w:p>
    <w:p w14:paraId="0F7D4DE9" w14:textId="77777777" w:rsidR="00875010" w:rsidRPr="00072231" w:rsidRDefault="00875010" w:rsidP="00DA7BBE">
      <w:pPr>
        <w:spacing w:after="0"/>
        <w:jc w:val="both"/>
      </w:pPr>
      <w:r>
        <w:t xml:space="preserve">Ideally, for this method to work in wet impregnated catalyst systems processing methods such as controlled drying must be implemented to ensure that all these parameters are as homogenous as possible during electrode manufacture.  The dispersion of the particles would also have to be analysed using a gaseous </w:t>
      </w:r>
      <w:r w:rsidRPr="008A1F1C">
        <w:t>probe t</w:t>
      </w:r>
      <w:r>
        <w:t>o</w:t>
      </w:r>
      <w:r w:rsidRPr="008A1F1C">
        <w:t xml:space="preserve"> determine the active area of the nanoscale catalyst.</w:t>
      </w:r>
    </w:p>
    <w:p w14:paraId="08242DF1" w14:textId="77777777" w:rsidR="00007F6C" w:rsidRDefault="00007F6C" w:rsidP="004B726A">
      <w:pPr>
        <w:keepNext/>
      </w:pPr>
      <w:r>
        <w:rPr>
          <w:noProof/>
        </w:rPr>
        <w:drawing>
          <wp:inline distT="0" distB="0" distL="0" distR="0" wp14:anchorId="1522DF02" wp14:editId="75D20034">
            <wp:extent cx="5731510" cy="1250950"/>
            <wp:effectExtent l="0" t="0" r="2540" b="6350"/>
            <wp:docPr id="9" name="Picture 9" descr="A picture containing object, clock,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intering in simple 4 catalyst particle structure.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1250950"/>
                    </a:xfrm>
                    <a:prstGeom prst="rect">
                      <a:avLst/>
                    </a:prstGeom>
                  </pic:spPr>
                </pic:pic>
              </a:graphicData>
            </a:graphic>
          </wp:inline>
        </w:drawing>
      </w:r>
    </w:p>
    <w:p w14:paraId="6F031DD0" w14:textId="25BFBDD7" w:rsidR="00007F6C" w:rsidRPr="00582C49" w:rsidRDefault="00007F6C" w:rsidP="004B726A">
      <w:pPr>
        <w:jc w:val="center"/>
        <w:rPr>
          <w:i/>
          <w:iCs/>
          <w:color w:val="44546A" w:themeColor="text2"/>
          <w:sz w:val="18"/>
          <w:szCs w:val="18"/>
        </w:rPr>
      </w:pPr>
      <w:bookmarkStart w:id="173" w:name="_Ref35521238"/>
      <w:bookmarkStart w:id="174" w:name="_Toc69114945"/>
      <w:r w:rsidRPr="00582C49">
        <w:rPr>
          <w:i/>
          <w:iCs/>
          <w:color w:val="44546A" w:themeColor="text2"/>
          <w:sz w:val="18"/>
          <w:szCs w:val="18"/>
        </w:rPr>
        <w:t>Figure 2.</w:t>
      </w:r>
      <w:r w:rsidR="00285C23">
        <w:rPr>
          <w:i/>
          <w:iCs/>
          <w:color w:val="44546A" w:themeColor="text2"/>
          <w:sz w:val="18"/>
          <w:szCs w:val="18"/>
        </w:rPr>
        <w:fldChar w:fldCharType="begin"/>
      </w:r>
      <w:r w:rsidR="00285C23">
        <w:rPr>
          <w:i/>
          <w:iCs/>
          <w:color w:val="44546A" w:themeColor="text2"/>
          <w:sz w:val="18"/>
          <w:szCs w:val="18"/>
        </w:rPr>
        <w:instrText xml:space="preserve"> SEQ Figure \* ARABIC </w:instrText>
      </w:r>
      <w:r w:rsidR="00285C23">
        <w:rPr>
          <w:i/>
          <w:iCs/>
          <w:color w:val="44546A" w:themeColor="text2"/>
          <w:sz w:val="18"/>
          <w:szCs w:val="18"/>
        </w:rPr>
        <w:fldChar w:fldCharType="separate"/>
      </w:r>
      <w:r w:rsidR="00E944AB">
        <w:rPr>
          <w:i/>
          <w:iCs/>
          <w:noProof/>
          <w:color w:val="44546A" w:themeColor="text2"/>
          <w:sz w:val="18"/>
          <w:szCs w:val="18"/>
        </w:rPr>
        <w:t>33</w:t>
      </w:r>
      <w:r w:rsidR="00285C23">
        <w:rPr>
          <w:i/>
          <w:iCs/>
          <w:color w:val="44546A" w:themeColor="text2"/>
          <w:sz w:val="18"/>
          <w:szCs w:val="18"/>
        </w:rPr>
        <w:fldChar w:fldCharType="end"/>
      </w:r>
      <w:bookmarkEnd w:id="173"/>
      <w:r w:rsidRPr="00582C49">
        <w:rPr>
          <w:i/>
          <w:iCs/>
          <w:color w:val="44546A" w:themeColor="text2"/>
          <w:sz w:val="18"/>
          <w:szCs w:val="18"/>
        </w:rPr>
        <w:t xml:space="preserve">: 4 particle system supported on a substrate with one shorter inter-particle distance from a </w:t>
      </w:r>
      <w:r w:rsidR="00E944AB" w:rsidRPr="00582C49">
        <w:rPr>
          <w:i/>
          <w:iCs/>
          <w:color w:val="44546A" w:themeColor="text2"/>
          <w:sz w:val="18"/>
          <w:szCs w:val="18"/>
        </w:rPr>
        <w:t>top-down</w:t>
      </w:r>
      <w:r w:rsidRPr="00582C49">
        <w:rPr>
          <w:i/>
          <w:iCs/>
          <w:color w:val="44546A" w:themeColor="text2"/>
          <w:sz w:val="18"/>
          <w:szCs w:val="18"/>
        </w:rPr>
        <w:t xml:space="preserve"> view. The arrows indicate the movement of the particles to the one of the RHS in a bid to reduce surface energy and the leading to subsequent sintering events </w:t>
      </w:r>
      <w:r w:rsidRPr="00582C49">
        <w:rPr>
          <w:i/>
          <w:iCs/>
          <w:color w:val="44546A" w:themeColor="text2"/>
          <w:sz w:val="18"/>
          <w:szCs w:val="18"/>
        </w:rPr>
        <w:fldChar w:fldCharType="begin" w:fldLock="1"/>
      </w:r>
      <w:r w:rsidR="00D80A5D">
        <w:rPr>
          <w:i/>
          <w:iCs/>
          <w:color w:val="44546A" w:themeColor="text2"/>
          <w:sz w:val="18"/>
          <w:szCs w:val="18"/>
        </w:rPr>
        <w:instrText>ADDIN CSL_CITATION {"citationItems":[{"id":"ITEM-1","itemData":{"DOI":"10.1021/acscatal.7b01975","ISSN":"2155-5435","author":[{"dropping-particle":"","family":"Goodman","given":"Emmett D.","non-dropping-particle":"","parse-names":false,"suffix":""},{"dropping-particle":"","family":"Schwalbe","given":"Jay A.","non-dropping-particle":"","parse-names":false,"suffix":""},{"dropping-particle":"","family":"Cargnello","given":"Matteo","non-dropping-particle":"","parse-names":false,"suffix":""}],"container-title":"ACS Catalysis","id":"ITEM-1","issue":"10","issued":{"date-parts":[["2017","10","6"]]},"page":"7156-7173","title":"Mechanistic Understanding and the Rational Design of Sinter-Resistant Heterogeneous Catalysts","type":"article-journal","volume":"7"},"uris":["http://www.mendeley.com/documents/?uuid=b28e850f-3457-3249-b2ac-8734fa0e1fea"]},{"id":"ITEM-2","itemData":{"DOI":"10.1039/c7cs00650k","abstract":"Catalyst sintering, a main cause of the loss of catalytic activity and/or selectivity at high reaction temperatures, is a major concern and grand challenge in the general area of heterogeneous catalysis. Although all heterogeneous catalysts are inevitably subjected to sintering during their operation, the immediate and drastic consequences can be mitigated by carefully engineering the catalytic particles and their interactions with the supports. In this tutorial review, we highlight recent progress in understanding the physical chemistry and materials science involved in sintering, including the discussion of advanced techniques, such as in situ microscopy and spectroscopy, for investigating the sintering process and its rate. We also discuss strategies for the design and rational fabrication of sinter-resistant catalysts. Finally, we showcase recent success in improving the thermal stability and thus sinter resistance of supported catalytic systems. Key learning points (1) Key obstacles to the development of sinter-resistant catalytic systems (2) Thermodynamic and kinetic aspects in the sintering of supported metal nanoparticles (3) New insights into the sintering mechanisms as elucidated through advanced analytic tools (4) Major strategies for enhancing the thermal stability of a catalytic system involving supported metal nanoparticles (5) Recent success and future directions towards the development of sinter-resistant catalysts","author":[{"dropping-particle":"","family":"Dai","given":"Yunqian","non-dropping-particle":"","parse-names":false,"suffix":""},{"dropping-particle":"","family":"Lu","given":"Ping","non-dropping-particle":"","parse-names":false,"suffix":""},{"dropping-particle":"","family":"Cao","given":"Zhenming","non-dropping-particle":"","parse-names":false,"suffix":""},{"dropping-particle":"","family":"Campbell","given":"Charles T","non-dropping-particle":"","parse-names":false,"suffix":""},{"dropping-particle":"","family":"Xia","given":"Younan","non-dropping-particle":"","parse-names":false,"suffix":""}],"container-title":"4314 | Chem. Soc. Rev","id":"ITEM-2","issued":{"date-parts":[["2018"]]},"page":"4314","title":"The physical chemistry and materials science behind sinter-resistant catalysts","type":"article-journal","volume":"47"},"uris":["http://www.mendeley.com/documents/?uuid=4b3e7ee9-ac08-3c1c-b616-0a6feef47699"]}],"mendeley":{"formattedCitation":"[300], [301]","plainTextFormattedCitation":"[300], [301]","previouslyFormattedCitation":"[300], [301]"},"properties":{"noteIndex":0},"schema":"https://github.com/citation-style-language/schema/raw/master/csl-citation.json"}</w:instrText>
      </w:r>
      <w:r w:rsidRPr="00582C49">
        <w:rPr>
          <w:i/>
          <w:iCs/>
          <w:color w:val="44546A" w:themeColor="text2"/>
          <w:sz w:val="18"/>
          <w:szCs w:val="18"/>
        </w:rPr>
        <w:fldChar w:fldCharType="separate"/>
      </w:r>
      <w:r w:rsidR="006C586A" w:rsidRPr="006C586A">
        <w:rPr>
          <w:iCs/>
          <w:noProof/>
          <w:color w:val="44546A" w:themeColor="text2"/>
          <w:sz w:val="18"/>
          <w:szCs w:val="18"/>
        </w:rPr>
        <w:t>[300], [301]</w:t>
      </w:r>
      <w:bookmarkEnd w:id="174"/>
      <w:r w:rsidRPr="00582C49">
        <w:rPr>
          <w:i/>
          <w:iCs/>
          <w:color w:val="44546A" w:themeColor="text2"/>
          <w:sz w:val="18"/>
          <w:szCs w:val="18"/>
        </w:rPr>
        <w:fldChar w:fldCharType="end"/>
      </w:r>
    </w:p>
    <w:p w14:paraId="659B954B" w14:textId="0AD5CBF6" w:rsidR="00007F6C" w:rsidRDefault="00007F6C" w:rsidP="004B726A">
      <w:pPr>
        <w:jc w:val="both"/>
      </w:pPr>
      <w:r w:rsidRPr="00582C49">
        <w:fldChar w:fldCharType="begin"/>
      </w:r>
      <w:r w:rsidRPr="00582C49">
        <w:instrText xml:space="preserve"> REF _Ref35521238 \h  \* MERGEFORMAT </w:instrText>
      </w:r>
      <w:r w:rsidRPr="00582C49">
        <w:fldChar w:fldCharType="separate"/>
      </w:r>
      <w:r w:rsidR="00E944AB" w:rsidRPr="00E944AB">
        <w:t>Figure 2.33</w:t>
      </w:r>
      <w:r w:rsidRPr="00582C49">
        <w:fldChar w:fldCharType="end"/>
      </w:r>
      <w:r w:rsidRPr="00582C49">
        <w:t xml:space="preserve"> </w:t>
      </w:r>
      <w:r>
        <w:t xml:space="preserve">shows a </w:t>
      </w:r>
      <w:r w:rsidR="00E944AB">
        <w:t>top-down</w:t>
      </w:r>
      <w:r>
        <w:t xml:space="preserve"> view of 4 adatoms (A) on top of a substrate where one of the particles has a shorter inter-particle distance than the other three particles. This leads to an energetically feasible attraction event that leads to the Ostwald ripening of the particles. Once the agglomerate has formed, the surface energy of larger particle (B) can overcome the energy barrier set by the separated particles leading a cascade-like effect where the agglomeration and sintering events continue until the surface energy has been reduced to a low energy state.</w:t>
      </w:r>
    </w:p>
    <w:p w14:paraId="1CBB4B45" w14:textId="478565D1" w:rsidR="00007F6C" w:rsidRDefault="00007F6C" w:rsidP="004B726A">
      <w:pPr>
        <w:jc w:val="both"/>
      </w:pPr>
      <w:r>
        <w:t xml:space="preserve">To reduce the rate of atomic ripening the particle size distribution of the particles is required to be as close to mono-disperse as possible </w:t>
      </w:r>
      <w:r>
        <w:fldChar w:fldCharType="begin" w:fldLock="1"/>
      </w:r>
      <w:r w:rsidR="00D80A5D">
        <w:instrText>ADDIN CSL_CITATION {"citationItems":[{"id":"ITEM-1","itemData":{"DOI":"10.1002/cctc.201800331","ISSN":"18673899","abstract":"Stability of dispersed particles on their supports is one of the central topics in heterogeneous catalysis and quantifying the influence of the particle size distribution on lifetime and thermal stability is highly valuable for rational design of efficient nanocatalysts. We report here a theoretical study of Ostwald ripening of supported particles, in particular, the kinetic evolution of particle number, average size, and dispersion with respect to time and thermal temperature in a wide range of size and monodispersity. Phase diagrams of half-lifetime and onset temperature of ripening as functions of size and monodispersity were constructed. If decreasing the average particle size, though there is a modest gain in the dispersion, the stability declines dramatically; specifically, the half-lifetime of ripening decreases exponentially and the corresponding onset temperature decreases by hundreds of Kelvin. Decline in stability owing to the decrease in size could, however, be systematically compensated by increasing the monodispersity of the size distribution. We find that the supported particles with the same half-life time and onset temperature could originate from different particle size distributions, whereas the particle size distribution with the same apparent dispersion could have very different onset temperature and half-lifetime. The result highlights the importance of both size and monodispersity in particle size distribution to the ripening resistance of supported particles, and the methodology developed for simulating ripening kinetics could be used to accelerate the aging protocols.","author":[{"dropping-particle":"","family":"Hu","given":"Sulei","non-dropping-particle":"","parse-names":false,"suffix":""},{"dropping-particle":"","family":"Li","given":"Wei Xue","non-dropping-particle":"","parse-names":false,"suffix":""}],"container-title":"ChemCatChem","id":"ITEM-1","issue":"13","issued":{"date-parts":[["2018"]]},"page":"2900-2907","title":"Influence of Particle Size Distribution on Lifetime and Thermal Stability of Ostwald Ripening of Supported Particles","type":"article-journal","volume":"10"},"uris":["http://www.mendeley.com/documents/?uuid=c0825c77-95c9-4a8e-ad53-0ba235d1b158"]},{"id":"ITEM-2","itemData":{"DOI":"10.1016/j.jcat.2011.10.021","ISSN":"00219517","abstract":"A series of Ir/CeO 2 catalysts of different oxide and metallic phase dispersions was investigated by XRD, TPR, HRTEM, CO 2 TPD/calorimetry, in situ DRIFT spectroscopy, and oxygen isotopic exchange techniques in order to elucidate the specific influence of catalyst morphology and structure on the oxidative steam reforming (OSR) of ethanol. Structure/texture sensitivity is demonstrated on the basis of the OSR mechanism, which involves, in order: (i) ethanol adsorption on the ceria surface, (ii) partial oxidation to acetate and surface migration of the C2 intermediates along the ceria support toward the Ir particles, (iii) cracking and further oxidation into Ir carbonyls and ceria carbonates, and (iv) hydrogen and carbon monoxide desorption from the Ir particles. Structure sensitivity is established by considering two types of sites: the ceria surface sites, which are essentially pairs of oxygen vacancies and basic OH groups, as well as interfacial sites between Ir and ceria phases, involving pairs of Ir coordinately unsaturated sites (CUSs) and the aforementioned peripheral ceria sites. This structure sensitivity is revealed by TOF calculations based on these two types of sites, which correspond to the two main rate controlling steps of the ethanol OSR mechanism, namely steps (ii) and (iii). The materials considered display activity, selectivity, and resistance to aging (manifested by coke deposition and sintering) that are closely related to their initial structure and texture. Two domains in terms of iridium and ceria particle size are identified, leading either to stable and selective catalysts or to unstable and unselective catalysts. Such an original and quantified structure sensitivity analysis should prove useful for further process development. © 2011 Elsevier Inc. All rights reserved.","author":[{"dropping-particle":"","family":"Cai","given":"Weijie","non-dropping-particle":"","parse-names":false,"suffix":""},{"dropping-particle":"","family":"Wang","given":"Fagen","non-dropping-particle":"","parse-names":false,"suffix":""},{"dropping-particle":"","family":"Daniel","given":"Cécile","non-dropping-particle":"","parse-names":false,"suffix":""},{"dropping-particle":"","family":"Veen","given":"Andre C.","non-dropping-particle":"Van","parse-names":false,"suffix":""},{"dropping-particle":"","family":"Schuurman","given":"Yves","non-dropping-particle":"","parse-names":false,"suffix":""},{"dropping-particle":"","family":"Descorme","given":"Claude","non-dropping-particle":"","parse-names":false,"suffix":""},{"dropping-particle":"","family":"Provendier","given":"Hélne","non-dropping-particle":"","parse-names":false,"suffix":""},{"dropping-particle":"","family":"Shen","given":"Wenjie","non-dropping-particle":"","parse-names":false,"suffix":""},{"dropping-particle":"","family":"Mirodatos","given":"Claude","non-dropping-particle":"","parse-names":false,"suffix":""}],"container-title":"Journal of Catalysis","id":"ITEM-2","issued":{"date-parts":[["2012"]]},"page":"137-152","publisher":"Elsevier Inc.","title":"Oxidative steam reforming of ethanol over Ir/CeO 2 catalysts: A structure sensitivity analysis","type":"article-journal","volume":"286"},"uris":["http://www.mendeley.com/documents/?uuid=9ecf7688-c8be-4723-a4ea-94f750670e0a"]}],"mendeley":{"formattedCitation":"[306], [307]","plainTextFormattedCitation":"[306], [307]","previouslyFormattedCitation":"[306], [307]"},"properties":{"noteIndex":0},"schema":"https://github.com/citation-style-language/schema/raw/master/csl-citation.json"}</w:instrText>
      </w:r>
      <w:r>
        <w:fldChar w:fldCharType="separate"/>
      </w:r>
      <w:r w:rsidR="006C586A" w:rsidRPr="006C586A">
        <w:rPr>
          <w:noProof/>
        </w:rPr>
        <w:t>[306], [307]</w:t>
      </w:r>
      <w:r>
        <w:fldChar w:fldCharType="end"/>
      </w:r>
      <w:r>
        <w:t xml:space="preserve">.  The diffusion coefficients of the particles lower with increased particle size distribution </w:t>
      </w:r>
      <w:r>
        <w:fldChar w:fldCharType="begin" w:fldLock="1"/>
      </w:r>
      <w:r w:rsidR="00D80A5D">
        <w:instrText>ADDIN CSL_CITATION {"citationItems":[{"id":"ITEM-1","itemData":{"DOI":"10.1016/s0167-2991(01)80193-2","ISSN":"01672991","author":[{"dropping-particle":"","family":"Xu","given":"Qing","non-dropping-particle":"","parse-names":false,"suffix":""},{"dropping-particle":"","family":"Kharas","given":"Karl C.C.","non-dropping-particle":"","parse-names":false,"suffix":""},{"dropping-particle":"","family":"Datye","given":"A. K.","non-dropping-particle":"","parse-names":false,"suffix":""}],"container-title":"Studies in Surface Science and Catalysis","id":"ITEM-1","issued":{"date-parts":[["2001"]]},"page":"157-164","title":"The effect of catalyst loading on the sintering of supported Pd/Al2O3 automotive catalysts","type":"article-journal","volume":"139"},"uris":["http://www.mendeley.com/documents/?uuid=30348965-03f0-4f05-b23c-0c5c7f525d30"]}],"mendeley":{"formattedCitation":"[308]","plainTextFormattedCitation":"[308]","previouslyFormattedCitation":"[308]"},"properties":{"noteIndex":0},"schema":"https://github.com/citation-style-language/schema/raw/master/csl-citation.json"}</w:instrText>
      </w:r>
      <w:r>
        <w:fldChar w:fldCharType="separate"/>
      </w:r>
      <w:r w:rsidR="006C586A" w:rsidRPr="006C586A">
        <w:rPr>
          <w:noProof/>
        </w:rPr>
        <w:t>[308]</w:t>
      </w:r>
      <w:r>
        <w:fldChar w:fldCharType="end"/>
      </w:r>
      <w:r>
        <w:t>. This should lower the catalyst sintering rate.</w:t>
      </w:r>
    </w:p>
    <w:p w14:paraId="5843548E" w14:textId="589E5B06" w:rsidR="00007F6C" w:rsidRDefault="00007F6C" w:rsidP="004B726A">
      <w:pPr>
        <w:jc w:val="both"/>
      </w:pPr>
      <w:r w:rsidRPr="00AD4DF5">
        <w:lastRenderedPageBreak/>
        <w:t xml:space="preserve">The system is still susceptible to coarsening via PMC however, this could be reduced by the fine controls during the wet impregnation step. </w:t>
      </w:r>
      <w:r>
        <w:t xml:space="preserve"> The use of increased catalyst dispersion as a via coarsening inhibitor method for infiltrated electrodes has not been explicitly discussed. One key methodology that could change this is the use of drying steps to reduce the particle size and increase their dispersion </w:t>
      </w:r>
      <w:r>
        <w:fldChar w:fldCharType="begin" w:fldLock="1"/>
      </w:r>
      <w:r w:rsidR="00D80A5D">
        <w:instrText>ADDIN CSL_CITATION {"citationItems":[{"id":"ITEM-1","itemData":{"DOI":"10.1016/j.cattod.2010.02.052","ISBN":"09205861 (ISSN)","ISSN":"09205861","abstract":"Control over the size and size distribution of supported nanoparticles is key to their efficient use in catalysis. In the preparation of nanoparticles by impregnation using nitrate precursors, the support pore diameter can be used to influence the average crystallite size. However, the particle size distributions obtained via this method are generally broad and the dispersions relatively low. Higher dispersions and narrow particle size distributions are obtained via thermal decomposition of the metal nitrate precursor in 1% (v/v) NO in Ar instead of air. Here we will show that by combining the confinement effect of ordered mesoporous silica with a decomposition step of metal nitrates in NO, silica supported nickel and cobalt oxides with a tunable particle size (2-4 nm) can be obtained at high loadings (10-20 wt%). © 2010 Elsevier B.V.","author":[{"dropping-particle":"","family":"Wolters","given":"Mariska","non-dropping-particle":"","parse-names":false,"suffix":""},{"dropping-particle":"","family":"Grotel","given":"Lotte J.W. W","non-dropping-particle":"Van","parse-names":false,"suffix":""},{"dropping-particle":"","family":"Eggenhuisen","given":"Tamara M.","non-dropping-particle":"","parse-names":false,"suffix":""},{"dropping-particle":"","family":"Sietsma","given":"Jelle R.A. A","non-dropping-particle":"","parse-names":false,"suffix":""},{"dropping-particle":"","family":"Jong","given":"Krijn P.","non-dropping-particle":"De","parse-names":false,"suffix":""},{"dropping-particle":"","family":"Jongh","given":"Petra E.","non-dropping-particle":"De","parse-names":false,"suffix":""}],"container-title":"Catalysis Today","id":"ITEM-1","issue":"1","issued":{"date-parts":[["2011"]]},"language":"English","note":"From Duplicate 1 (Combining confinement and NO calcination to arrive at highly dispersed supported nickel and cobalt oxide catalysts with a tunable particle size - Wolters, M; Van Grotel, L J W; Eggenhuisen, T M; Sietsma, J R A; De Jong, K P; De Jongh, P E)\n\nCited By :33\nExport Date: 20 January 2017\nCODEN: CATTE\nCorrespondence Address: De Jongh, P. E.; Inorganic Chemistry and Catalysis, Debye Institute for NanoMaterials Science, Utrecht University, Sorbonnelaan 16, NL-3584 CA Utrecht, Netherlands; email: p.e.dejongh@uu.nl\nReferences: Balakos, M.W., Hernandez, E.E., (1997) Catal. Today, 35, p. 415; Chorkendorff, I., Niemantsverdriet, H., (2007) Concepts of Modern Catalysis and Kinetics, , Wiley-VCH Weinheim; Jiao, F., Frei, H., (2009) Angew. Chem. Int. Ed., 48, p. 1841; Bell, A.T., (2003) Science, 299, p. 1688; Che, M., Bennett, C.O., (1989) Adv. Catal., 36, p. 55; Somorjai, G.A., Park, J.Y., (2008) Top. Catal., 49, p. 126; Van Santen, R.A., (2009) Acc. Chem. Res., 42, p. 57; Bezemer, G.L., Bitter, J.H., Kuipers, H., Oosterbeek, H., Holewijn, J.E., Xu, X.D., Kapteijn, F., De Jong, K.P., (2006) J. Am. Chem. Soc., 128, p. 3956; Den Breejen, J.P., Radstake, P.B., Bezemer, G.L., Bitter, J.H., Froseth, V., Holmen, A., De Jong, K.P., (2009) J. Am. Chem. Soc., 131, p. 7197; De Jong, K.P., (1999) Curr. Opin. Solid State Mater. Sci., 4, p. 55; Bourikas, K., Kordulis, C., Lycourghiotis, A., (2006) Catal. Rev. Sci. Eng., 48, p. 363; Van Der Lee, M.K., Van Dillen, A.J., Bitter, J.H., De Jong, K.P., (2005) J. Am. Chem. Soc., 127, p. 13573; Van Dillen, A.J., Terörde, R.J.A.M., Lensveld, D.J., Geus, J.W., De Jong, K.P., (2003) J. Catal., 216, p. 257; Van De Loosdrecht, J., Barradas, S., Caricato, E.A., Ngwenya, N.G., Nkwanyana, P.S., Rawat, M.A.S., Sigwebela, B.H., Visagie, J.L., (2003) Top. Catal., 26, p. 121; Sietsma, J.R.A., Meeldijk, J.D., Den Breejen, J.P., Versluijs-Helder, M., Van Dillen, A.J., De Jongh, P.E., De Jong, K.P., (2007) Angew. Chem. Int. Ed., 46, p. 4547; Sietsma, J.R.A., Friedrich, H., Broersma, A., Versluijs-Helder, M., Van Dillen, A.J., De Jongh, P.E., De Jong, K.P., (2008) J. Catal., 260, p. 227; Khodakov, A.Y., Griboval-Constant, A., Bechara, R., Villain, F., (2001) J. Phys. Chem. B, 105, p. 9805; Jentys, A., Pham, N.H., Vinek, H., Englisch, M., Lercher, J.A., (1998) Catal. Today, 39, p. 311; Li, H.L., Li, J.L., Ni, H.K., Song, D.C., (2006) Catal. Lett., 110, p. 71; Borg Ø, Walmsley, J.C., Dehghan, R., Tanem, B.S., Blekkan, E.A., Eri, S., Rytter, E., Holmen, A., (2008) Catal. Lett., 126, p. 224; Van Der Meer, J., Bardez, I., Bart, F., Albouy, P.A., Wallez, G., Davidson, A., (2009) Micropor. Mesopor. Mater., 118, p. 183; Borg Ø, Dietzel, P.D.C., Spjelkavik, A.I., Tveten, E.Z., Walmsley, J.C., Diplas, S., Eri, S., Rytter, E., (2008) J. Catal., 259, p. 161; Zhao, D., Feng, J., Huo, Q., Melosh, N., Fredrickson, G.H., Chmelka, B.F., Stucky, G.D., (1998) Science, 279, p. 548; Cheng, C., Park, D.H., Klinowski, J., (1997) J. Chem. Soc. Faraday Trans., 93, p. 193; Jaroniec, M., Kruk, M., Olivier, J.P., Koch, S., (2000) Stud. Surf. Sci. Catal., 128, p. 71; Lippens, B.C., De Boer, J.H., (1965) J. Catal., 4, p. 319; Harkins, W.D., Jura, G., (1944) J. Am. Chem. Soc., 66, p. 1366; Gallezot, P., Prettre, M., (1968) Bull. Soc. Chim. Fr., 2, p. 407; Sietsma, J.R.A., Meeldijk, J.D., Versluijs-Helder, M., Broersma, A., Van Dillen, A.J., De Jongh, P.E., De Jong, K.P., (2008) Chem. Mater., 20, p. 2921; Petrov, K., Zotov, N., Mirtcheva, E., Garciamartinez, O., Rojas, R.M., (1994) J. Mater. Chem., 4, p. 611; Brockner, W., Ehrhardt, C., Gjikaj, M., (2007) Thermochim. Acta, 456, p. 64; Estelle, J., Salagre, P., Cesteros, Y., Serra, M., Medina, F., Sueiras, J.E., (2003) Solid State Ionics, 156, p. 233; Friedrich, H., Sietsma, J.R.A., De Jongh, P.E., Verkley, A.J., De Jong, K.P., (2007) J. Am. Chem. Soc., 129, p. 10249","page":"27-32","publisher":"Elsevier B.V.","title":"Combining confinement and NO calcination to arrive at highly dispersed supported nickel and cobalt oxide catalysts with a tunable particle size","type":"article-journal","volume":"163"},"uris":["http://www.mendeley.com/documents/?uuid=68f5959a-0c4a-4e95-ae5c-485ad2ab9e6a"]},{"id":"ITEM-2","itemData":{"DOI":"10.1021/jp1081406","ISBN":"1932-7447\r1932-7455","author":[{"dropping-particle":"","family":"Wolters","given":"M","non-dropping-particle":"","parse-names":false,"suffix":""},{"dropping-particle":"","family":"Munnik","given":"P","non-dropping-particle":"","parse-names":false,"suffix":""},{"dropping-particle":"","family":"Bitter","given":"J H","non-dropping-particle":"","parse-names":false,"suffix":""},{"dropping-particle":"","family":"Jongh","given":"P E","non-dropping-particle":"de","parse-names":false,"suffix":""},{"dropping-particle":"","family":"Jong","given":"K P","non-dropping-particle":"de","parse-names":false,"suffix":""}],"container-title":"The Journal of Physical Chemistry C","id":"ITEM-2","issue":"8","issued":{"date-parts":[["2011"]]},"page":"3332-3339","title":"How NO Affects Nickel and Cobalt Nitrates at Low Temperatures To Arrive at Highly Dispersed Silica-Supported Nickel and Cobalt Catalysts","type":"article-journal","volume":"115"},"uris":["http://www.mendeley.com/documents/?uuid=7bb3dca6-3239-44ca-bcf9-9d9b3bfc1ce6"]},{"id":"ITEM-3","itemData":{"DOI":"10.1002/anie.200700608","ISBN":"14337851 (ISSN)","abstract":"A need for NO: Moderating the thermal decomposition of supported nitrates with NO (see picture, center) prevents precursor mobility and is a versatile method for the preparation of small NiO (left; compared to the product of the conventional procedure, right) and Co3O4 particles. These materials can be used as heterogeneous catalysts and show good activity in the Fischer-Tropsch synthesis. © 2007 Wiley-VCH Verlag GmbH &amp; Co. KGaA.","author":[{"dropping-particle":"","family":"Sietsma","given":"J R A","non-dropping-particle":"","parse-names":false,"suffix":""},{"dropping-particle":"","family":"Meeldijk","given":"J D","non-dropping-particle":"","parse-names":false,"suffix":""},{"dropping-particle":"","family":"Breejen","given":"J P","non-dropping-particle":"Den","parse-names":false,"suffix":""},{"dropping-particle":"","family":"Versluijs-Helder","given":"M","non-dropping-particle":"","parse-names":false,"suffix":""},{"dropping-particle":"","family":"Dillen","given":"A J","non-dropping-particle":"Van","parse-names":false,"suffix":""},{"dropping-particle":"","family":"Jongh","given":"P E","non-dropping-particle":"De","parse-names":false,"suffix":""},{"dropping-particle":"","family":"Jong","given":"K P","non-dropping-particle":"De","parse-names":false,"suffix":""}],"container-title":"Angewandte Chemie - International Edition","id":"ITEM-3","issue":"24","issued":{"date-parts":[["2007"]]},"language":"English","note":"Cited By :160\nExport Date: 20 January 2017\nCODEN: ACIEA\nCorrespondence Address: Sietsma, J.R.A.; Inorganic Chemistry and Catalysis, Utrecht University, Sorbonnelaan 16, 3584 CA, Utrecht, Netherlands\nReferences: Poizot, P., Laruelle, S., Grugeon, S., Dupont, L., Tarascon, J.-M., (2000) Nature, 407, pp. 496-499; O'Regan, B., Grätzel, M., (1991) Nature, 353, pp. 737-740; Kim, J., Lee, J.E., Lee, J., Jang, Y., Kim, S.-W., An, K., Yu, J.H., Hyeon, T., (2006) Angew. Chem, 118, pp. 4907-4911; Angew, (2006) Chem. Int. Ed, 45, pp. 4789-4793; Bell, A.T., (2003) Science, 299, pp. 1688-1691; Schlögl, R., Abd Hamid, S.B., (2004) Angew. Chem, 116, pp. 1656-1667; Angew, (2004) Chem. Int. Ed, 43, pp. 1628-1637; Ying, J.Y., (2006) Chem. Eng. Sci, 61, pp. 1540-1548; Mal, N.K., Fuijwara, N., Tanaka, Y., (2003) Nature, 421, pp. 350-353; de Jong, K.P., (1999) Curr. Opin. Solid State Mater. Sci, 4, pp. 55-62; Bourikas, K., Kordulis, C., Lycourghiotis, A., (2006) Catal. Rev. Sci. Eng, 48, pp. 363-444; Négrier, F., Marceau, E., Che, M., Giraudon, J.-M., Gengembre, L., Löfberg, A., (2005) J. Phys. Chem. B, 109, pp. 2836-2845; van der Lee, M.K., van Dillen, A.J., Bitter, J.H., de Jong, K.P., (2005) J. Am. Chem. Soc, 127, pp. 13573-13582; Burattin, P., Che, M., Louis, C., (1999) J. Phys. Chem. B, 103, pp. 6171-6178; van Dillen, A.J., Terörde, R.J.A.M., Lensveld, D.J., Geus, J.W., de Jong, K.P., (2003) J. Catal, 216, pp. 257-264; Poels, E.K., Dekker, J.G., van Leeuwen, W.A., (1991) Stud. Surf. Sci. Catal, 63, pp. 205-214; van de Loosdrecht, J., Barradas, S., Caricato, E.A., Ngwenya, N.G., Nkwanyana, P.S., Rawat, M.A.S., Sigwebela, B.H., Visagie, J.L., (2003) Top. Catal, 26, pp. 121-127; Chernavskii, P.A., Khodakov, A.Y., Pankina, G.V., Girardon, J.-S., Quinet, E., (2006) Appl. Catal. A, 306, pp. 108-119; Iglesia, E., (1997) Appl. Catal. A, 161, pp. 59-78; Bezemer, G.L., Bitter, J.H., Kuipers, H.P.C.E., Oosterbeek, H., Holewijn, J.E., Xu, X., Kapteijn, F., de Jong, K.P., (2006) J. Am. Chem. Soc, 128, pp. 3956-3964; Sietsma, J.R.A., van Dillen, A.J., de Jongh, P.E., de Jong, K.P., (2006) Stud. Surf. Sci. Catal, pp. 95-102; Thomas, J.M., Midgley, P.A., Yates, T.J.V., Barnard, J.S., Raja, R., Arslan, I., Weyland, M., (2004) Angew. Chem, 116, pp. 6913-6915; Angew, (2004) Chem. Int. Ed, 43, pp. 6745-6747; Salabas, E.L., Rumplecker, A., Kleitz, F., Radu, F., Schüth, F., (2006) Nano Lett, 6, pp. 2977-2981; Vradman, L., Landau, M.V., Kantorovich, D., Koltypin, Y., Gedanken, A., (2005) Microporous Mesoporous Mater, 79, pp. 307-318; Escax, V., Impéror-Clerc, M., Bazin, D., Davidson, A., (2005) C. R. Chim, 8, pp. 663-677; Ravikovitch, P.I., Neimark, A.V., (2002) Langmuir, 18, pp. 9830-9837; Janssen, A.H., Yang, C.-M., Wang, Y., Schüth, F., Koster, A.J., de Jong, K.P., (2003) J. Phys. Chem. B, 107, pp. 10552-10556; Zhao, D., Feng, J., Huo, Q., Melosh, N., Fredrickson, G.H., Chmelka, B.F., Stucky, G.D., (1998) Science, 279, pp. 548-552; Jaroniec, M., Kruk, M., Olivier, J.P., Koch, S., (1999) Proceedings of COPS-V, , Heidelberg, Germany","page":"4547-4549","title":"The preparation of supported NiO and Co3O4 nanoparticles by the nitric oxide controlled thermal decomposition of nitrates","type":"article-journal","volume":"46"},"uris":["http://www.mendeley.com/documents/?uuid=d6a7467a-0b47-4b87-9a79-efd212fb8a5b"]}],"mendeley":{"formattedCitation":"[166], [169], [180]","plainTextFormattedCitation":"[166], [169], [180]","previouslyFormattedCitation":"[166], [169], [180]"},"properties":{"noteIndex":0},"schema":"https://github.com/citation-style-language/schema/raw/master/csl-citation.json"}</w:instrText>
      </w:r>
      <w:r>
        <w:fldChar w:fldCharType="separate"/>
      </w:r>
      <w:r w:rsidR="006C586A" w:rsidRPr="006C586A">
        <w:rPr>
          <w:noProof/>
        </w:rPr>
        <w:t>[166], [169], [180]</w:t>
      </w:r>
      <w:r>
        <w:fldChar w:fldCharType="end"/>
      </w:r>
      <w:r>
        <w:t xml:space="preserve">. </w:t>
      </w:r>
    </w:p>
    <w:p w14:paraId="6E934BD3" w14:textId="1D731ED1" w:rsidR="00B95F77" w:rsidRDefault="00B95F77" w:rsidP="004B726A">
      <w:r>
        <w:t>An example from surface catalysis of a physical sintering barrier is the formation of Nickel Carbide (Ni</w:t>
      </w:r>
      <w:r>
        <w:rPr>
          <w:vertAlign w:val="subscript"/>
        </w:rPr>
        <w:t>3</w:t>
      </w:r>
      <w:r>
        <w:t xml:space="preserve">C) as a coating for nickel catalysts. In steam reformation these supported catalysts are subject to carbon deposition and adsorption during the methanation preparation reaction. Further information can be found in </w:t>
      </w:r>
      <w:proofErr w:type="spellStart"/>
      <w:r>
        <w:t>Kihlman</w:t>
      </w:r>
      <w:proofErr w:type="spellEnd"/>
      <w:r>
        <w:t xml:space="preserve"> et al </w:t>
      </w:r>
      <w:r>
        <w:fldChar w:fldCharType="begin" w:fldLock="1"/>
      </w:r>
      <w:r w:rsidR="00D80A5D">
        <w:instrText>ADDIN CSL_CITATION {"citationItems":[{"id":"ITEM-1","itemData":{"DOI":"10.1016/j.apcata.2018.07.011","ISSN":"0926860X","abstract":"Whisker carbon formation in the steam reforming of biomass gasification gas was studied in a laboratory scale reactor using two commercial nickel catalysts, precious metal catalyst and inert materials. The synthetic feed gas contained ethylene, tar model compounds and H2S as impurities. Whisker carbon was formed below the reaction temperature of 700 °C on an calcium-doped nickel catalyst and below 850 °C on an undoped nickel catalyst when the feed gas contained no sulfur. With the addition of more than 50 ppmv of H2S in the feed gas, the whisker carbon formation was inhibited. Thermodynamic calculations were carried out to estimate the upper limit temperature for the whisker carbon formation but the calculations did not correlate well with the experimental results. One of the probable explanations for this was the high concentration of unsaturated C2+ hydrocarbons in the feed gas.","author":[{"dropping-particle":"","family":"Kihlman","given":"Johanna","non-dropping-particle":"","parse-names":false,"suffix":""},{"dropping-particle":"","family":"Kaisalo","given":"Noora","non-dropping-particle":"","parse-names":false,"suffix":""},{"dropping-particle":"","family":"Koskinen-Soivi","given":"Mari Leena","non-dropping-particle":"","parse-names":false,"suffix":""},{"dropping-particle":"","family":"Simell","given":"Pekka","non-dropping-particle":"","parse-names":false,"suffix":""},{"dropping-particle":"","family":"Niemelä","given":"Marita","non-dropping-particle":"","parse-names":false,"suffix":""},{"dropping-particle":"","family":"Lehtonen","given":"Juha","non-dropping-particle":"","parse-names":false,"suffix":""}],"container-title":"Applied Catalysis A: General","id":"ITEM-1","issue":"February","issued":{"date-parts":[["2018"]]},"page":"133-141","publisher":"Elsevier","title":"Whisker carbon formation in catalytic steam reforming of biomass gasification gas","type":"article-journal","volume":"564"},"uris":["http://www.mendeley.com/documents/?uuid=f9e11b16-52e5-442c-bfbd-9e72d797f2f5"]}],"mendeley":{"formattedCitation":"[309]","plainTextFormattedCitation":"[309]","previouslyFormattedCitation":"[309]"},"properties":{"noteIndex":0},"schema":"https://github.com/citation-style-language/schema/raw/master/csl-citation.json"}</w:instrText>
      </w:r>
      <w:r>
        <w:fldChar w:fldCharType="separate"/>
      </w:r>
      <w:r w:rsidR="006C586A" w:rsidRPr="006C586A">
        <w:rPr>
          <w:noProof/>
        </w:rPr>
        <w:t>[309]</w:t>
      </w:r>
      <w:r>
        <w:fldChar w:fldCharType="end"/>
      </w:r>
      <w:r>
        <w:t>.</w:t>
      </w:r>
    </w:p>
    <w:p w14:paraId="23D0CBF3" w14:textId="176A76BC" w:rsidR="00B95F77" w:rsidRDefault="00B95F77" w:rsidP="004B726A">
      <w:pPr>
        <w:jc w:val="both"/>
      </w:pPr>
      <w:r>
        <w:t xml:space="preserve">Carbon whiskers consisting of threads of graphite been documented to form via diffusion through the nickel catalyst under reductive atmospheres at temperatures exceeding 500 </w:t>
      </w:r>
      <w:r>
        <w:rPr>
          <w:rFonts w:cstheme="minorHAnsi"/>
        </w:rPr>
        <w:t>°</w:t>
      </w:r>
      <w:r>
        <w:t xml:space="preserve">C </w:t>
      </w:r>
      <w:r>
        <w:fldChar w:fldCharType="begin" w:fldLock="1"/>
      </w:r>
      <w:r w:rsidR="00D80A5D">
        <w:instrText>ADDIN CSL_CITATION {"citationItems":[{"id":"ITEM-1","itemData":{"DOI":"10.1016/j.apcata.2018.07.011","ISSN":"0926860X","abstract":"Whisker carbon formation in the steam reforming of biomass gasification gas was studied in a laboratory scale reactor using two commercial nickel catalysts, precious metal catalyst and inert materials. The synthetic feed gas contained ethylene, tar model compounds and H2S as impurities. Whisker carbon was formed below the reaction temperature of 700 °C on an calcium-doped nickel catalyst and below 850 °C on an undoped nickel catalyst when the feed gas contained no sulfur. With the addition of more than 50 ppmv of H2S in the feed gas, the whisker carbon formation was inhibited. Thermodynamic calculations were carried out to estimate the upper limit temperature for the whisker carbon formation but the calculations did not correlate well with the experimental results. One of the probable explanations for this was the high concentration of unsaturated C2+ hydrocarbons in the feed gas.","author":[{"dropping-particle":"","family":"Kihlman","given":"Johanna","non-dropping-particle":"","parse-names":false,"suffix":""},{"dropping-particle":"","family":"Kaisalo","given":"Noora","non-dropping-particle":"","parse-names":false,"suffix":""},{"dropping-particle":"","family":"Koskinen-Soivi","given":"Mari Leena","non-dropping-particle":"","parse-names":false,"suffix":""},{"dropping-particle":"","family":"Simell","given":"Pekka","non-dropping-particle":"","parse-names":false,"suffix":""},{"dropping-particle":"","family":"Niemelä","given":"Marita","non-dropping-particle":"","parse-names":false,"suffix":""},{"dropping-particle":"","family":"Lehtonen","given":"Juha","non-dropping-particle":"","parse-names":false,"suffix":""}],"container-title":"Applied Catalysis A: General","id":"ITEM-1","issue":"February","issued":{"date-parts":[["2018"]]},"page":"133-141","publisher":"Elsevier","title":"Whisker carbon formation in catalytic steam reforming of biomass gasification gas","type":"article-journal","volume":"564"},"uris":["http://www.mendeley.com/documents/?uuid=f9e11b16-52e5-442c-bfbd-9e72d797f2f5"]}],"mendeley":{"formattedCitation":"[309]","plainTextFormattedCitation":"[309]","previouslyFormattedCitation":"[309]"},"properties":{"noteIndex":0},"schema":"https://github.com/citation-style-language/schema/raw/master/csl-citation.json"}</w:instrText>
      </w:r>
      <w:r>
        <w:fldChar w:fldCharType="separate"/>
      </w:r>
      <w:r w:rsidR="006C586A" w:rsidRPr="006C586A">
        <w:rPr>
          <w:noProof/>
        </w:rPr>
        <w:t>[309]</w:t>
      </w:r>
      <w:r>
        <w:fldChar w:fldCharType="end"/>
      </w:r>
      <w:r>
        <w:t xml:space="preserve">.These </w:t>
      </w:r>
      <w:proofErr w:type="spellStart"/>
      <w:r>
        <w:t>fibers</w:t>
      </w:r>
      <w:proofErr w:type="spellEnd"/>
      <w:r>
        <w:t xml:space="preserve"> are detrimental to the catalyst with the whiskers shearing the adhesion of the catalyst with its support. </w:t>
      </w:r>
    </w:p>
    <w:p w14:paraId="1C2CEB24" w14:textId="12D6DF0B" w:rsidR="00B95F77" w:rsidRPr="001F4F7E" w:rsidRDefault="00B95F77" w:rsidP="004B726A">
      <w:pPr>
        <w:jc w:val="both"/>
      </w:pPr>
      <w:r>
        <w:t xml:space="preserve">Glancing Angle X-ray Diffraction GAXRD studies between 400 – 800 </w:t>
      </w:r>
      <w:r>
        <w:rPr>
          <w:rFonts w:cstheme="minorHAnsi"/>
        </w:rPr>
        <w:t>°</w:t>
      </w:r>
      <w:r>
        <w:t xml:space="preserve">C reveal that the nickel carbide and whisker formation between 500 – 600 </w:t>
      </w:r>
      <w:r>
        <w:rPr>
          <w:rFonts w:cstheme="minorHAnsi"/>
        </w:rPr>
        <w:t>°</w:t>
      </w:r>
      <w:r>
        <w:t xml:space="preserve">C causes internal stresses in the nickel (220) crystallographic plane </w:t>
      </w:r>
      <w:r>
        <w:fldChar w:fldCharType="begin" w:fldLock="1"/>
      </w:r>
      <w:r w:rsidR="00D80A5D">
        <w:instrText>ADDIN CSL_CITATION {"citationItems":[{"id":"ITEM-1","itemData":{"author":[{"dropping-particle":"","family":"Xiong","given":"Authors W","non-dropping-particle":"","parse-names":false,"suffix":""},{"dropping-particle":"","family":"Zhou","given":"Y S","non-dropping-particle":"","parse-names":false,"suffix":""},{"dropping-particle":"","family":"Hou","given":"W J","non-dropping-particle":"","parse-names":false,"suffix":""},{"dropping-particle":"","family":"Guillemet","given":"T","non-dropping-particle":"","parse-names":false,"suffix":""},{"dropping-particle":"","family":"Silvain","given":"J F","non-dropping-particle":"","parse-names":false,"suffix":""},{"dropping-particle":"","family":"Lahaye","given":"M","non-dropping-particle":"","parse-names":false,"suffix":""}],"id":"ITEM-1","issued":{"date-parts":[["0"]]},"title":"Title : Nickel carbide ( Ni 3 C ) as an intermediate phase for graphene formation","type":"article-journal"},"uris":["http://www.mendeley.com/documents/?uuid=f4023a49-d58e-456a-bb89-6faf652e6008"]}],"mendeley":{"formattedCitation":"[310]","plainTextFormattedCitation":"[310]","previouslyFormattedCitation":"[310]"},"properties":{"noteIndex":0},"schema":"https://github.com/citation-style-language/schema/raw/master/csl-citation.json"}</w:instrText>
      </w:r>
      <w:r>
        <w:fldChar w:fldCharType="separate"/>
      </w:r>
      <w:r w:rsidR="006C586A" w:rsidRPr="006C586A">
        <w:rPr>
          <w:noProof/>
        </w:rPr>
        <w:t>[310]</w:t>
      </w:r>
      <w:r>
        <w:fldChar w:fldCharType="end"/>
      </w:r>
      <w:r>
        <w:t>. The decomposition of the Ni</w:t>
      </w:r>
      <w:r>
        <w:rPr>
          <w:vertAlign w:val="subscript"/>
        </w:rPr>
        <w:t>3</w:t>
      </w:r>
      <w:r>
        <w:t xml:space="preserve">C into graphitic C removes these stresses at temperatures exceeding 800 </w:t>
      </w:r>
      <w:r>
        <w:rPr>
          <w:rFonts w:cstheme="minorHAnsi"/>
        </w:rPr>
        <w:t>°</w:t>
      </w:r>
      <w:r>
        <w:t>C. This means that the interaction is possible in SOFCs with a methane (CH</w:t>
      </w:r>
      <w:r>
        <w:rPr>
          <w:vertAlign w:val="subscript"/>
        </w:rPr>
        <w:t>4</w:t>
      </w:r>
      <w:r>
        <w:t>) fuel ad could be a key interaction in developing sinter resistant infiltrated Ni-YSZ anodes.</w:t>
      </w:r>
    </w:p>
    <w:p w14:paraId="2A0FB829" w14:textId="77777777" w:rsidR="00007F6C" w:rsidRDefault="00007F6C" w:rsidP="005129DC">
      <w:pPr>
        <w:pStyle w:val="Heading2"/>
      </w:pPr>
      <w:bookmarkStart w:id="175" w:name="_Toc69129375"/>
      <w:r>
        <w:t xml:space="preserve">2.5 Concluding </w:t>
      </w:r>
      <w:proofErr w:type="gramStart"/>
      <w:r>
        <w:t>Remarks</w:t>
      </w:r>
      <w:bookmarkEnd w:id="175"/>
      <w:proofErr w:type="gramEnd"/>
    </w:p>
    <w:p w14:paraId="27555120" w14:textId="073FF2CA" w:rsidR="00007F6C" w:rsidRDefault="00007F6C" w:rsidP="00E944AB">
      <w:pPr>
        <w:pStyle w:val="NoSpacing"/>
        <w:jc w:val="both"/>
        <w:rPr>
          <w:lang w:val="en-GB"/>
        </w:rPr>
      </w:pPr>
      <w:r w:rsidRPr="002B6C9E">
        <w:rPr>
          <w:lang w:val="en-GB"/>
        </w:rPr>
        <w:t xml:space="preserve">A summation of what has been done for the literature for </w:t>
      </w:r>
      <w:r>
        <w:rPr>
          <w:lang w:val="en-GB"/>
        </w:rPr>
        <w:t>SOFC</w:t>
      </w:r>
      <w:r w:rsidRPr="002B6C9E">
        <w:rPr>
          <w:lang w:val="en-GB"/>
        </w:rPr>
        <w:t xml:space="preserve"> infiltrated anodes and the nickel coarsening phenomena seen in nanostructured fuel electrode systems has been conducted. This document discusses the various characterisation technique used to analyse the degradation of current state of art SOFC anode materials. </w:t>
      </w:r>
    </w:p>
    <w:p w14:paraId="0F15F16D" w14:textId="3D57F3AC" w:rsidR="00007F6C" w:rsidRDefault="00007F6C" w:rsidP="00E944AB">
      <w:pPr>
        <w:spacing w:line="240" w:lineRule="auto"/>
        <w:jc w:val="both"/>
      </w:pPr>
      <w:r w:rsidRPr="002B6C9E">
        <w:t xml:space="preserve">Despite </w:t>
      </w:r>
      <w:r w:rsidR="00E944AB">
        <w:t>the</w:t>
      </w:r>
      <w:r w:rsidRPr="002B6C9E">
        <w:t xml:space="preserve"> </w:t>
      </w:r>
      <w:r w:rsidR="00E944AB">
        <w:t xml:space="preserve">documented </w:t>
      </w:r>
      <w:r w:rsidRPr="002B6C9E">
        <w:t>benefits</w:t>
      </w:r>
      <w:r w:rsidR="00E944AB">
        <w:t xml:space="preserve"> of utilising</w:t>
      </w:r>
      <w:r w:rsidRPr="002B6C9E">
        <w:t xml:space="preserve"> infiltrat</w:t>
      </w:r>
      <w:r w:rsidR="00E944AB">
        <w:t xml:space="preserve">ed </w:t>
      </w:r>
      <w:r>
        <w:t>fuel electrode</w:t>
      </w:r>
      <w:r w:rsidR="00E944AB">
        <w:t>s,</w:t>
      </w:r>
      <w:r>
        <w:t xml:space="preserve"> </w:t>
      </w:r>
      <w:r w:rsidRPr="002B6C9E">
        <w:t xml:space="preserve">there </w:t>
      </w:r>
      <w:r>
        <w:t xml:space="preserve">is </w:t>
      </w:r>
      <w:r w:rsidRPr="002B6C9E">
        <w:t xml:space="preserve">not a large amount of experimental data relating </w:t>
      </w:r>
      <w:r w:rsidR="00E944AB">
        <w:t xml:space="preserve">to </w:t>
      </w:r>
      <w:r w:rsidRPr="002B6C9E">
        <w:t xml:space="preserve">the degradation of </w:t>
      </w:r>
      <w:r w:rsidR="00E944AB">
        <w:t>these materials</w:t>
      </w:r>
      <w:r>
        <w:t>. There are holes in key areas namely:</w:t>
      </w:r>
    </w:p>
    <w:p w14:paraId="57DB89EF" w14:textId="77777777" w:rsidR="00007F6C" w:rsidRDefault="00007F6C" w:rsidP="00E944AB">
      <w:pPr>
        <w:numPr>
          <w:ilvl w:val="0"/>
          <w:numId w:val="13"/>
        </w:numPr>
        <w:spacing w:after="0" w:line="240" w:lineRule="auto"/>
        <w:jc w:val="both"/>
      </w:pPr>
      <w:r>
        <w:t>Monitoring the microstructural changes and the deactivation mechanism in infiltrated fuel electrodes especially in early-stage sintering (0-10 h)</w:t>
      </w:r>
    </w:p>
    <w:p w14:paraId="1C477D87" w14:textId="77777777" w:rsidR="00007F6C" w:rsidRDefault="00007F6C" w:rsidP="00E944AB">
      <w:pPr>
        <w:numPr>
          <w:ilvl w:val="0"/>
          <w:numId w:val="13"/>
        </w:numPr>
        <w:spacing w:line="240" w:lineRule="auto"/>
        <w:jc w:val="both"/>
      </w:pPr>
      <w:r>
        <w:t xml:space="preserve">Using new novel processing steps such as drying and nanoconfinement to reduce the rate of coarsening in infiltrated SOFC fuel </w:t>
      </w:r>
      <w:proofErr w:type="gramStart"/>
      <w:r>
        <w:t>electrodes</w:t>
      </w:r>
      <w:proofErr w:type="gramEnd"/>
    </w:p>
    <w:p w14:paraId="7DA76680" w14:textId="76A904B4" w:rsidR="00007F6C" w:rsidRDefault="00007F6C" w:rsidP="00E944AB">
      <w:pPr>
        <w:spacing w:line="240" w:lineRule="auto"/>
        <w:jc w:val="both"/>
      </w:pPr>
      <w:r>
        <w:t>Additionally, t</w:t>
      </w:r>
      <w:r w:rsidRPr="002B6C9E">
        <w:t xml:space="preserve">he analysis of degradation events in </w:t>
      </w:r>
      <w:r>
        <w:t>SOFC</w:t>
      </w:r>
      <w:r w:rsidRPr="002B6C9E">
        <w:t xml:space="preserve"> fuel electrodes has been almost exclusively at the later stages of processing largely during the operation and cycling of the anodes.</w:t>
      </w:r>
      <w:r>
        <w:t xml:space="preserve"> </w:t>
      </w:r>
      <w:r w:rsidRPr="002B6C9E">
        <w:t xml:space="preserve">There appears to be a large gap in the </w:t>
      </w:r>
      <w:r>
        <w:t>fuel</w:t>
      </w:r>
      <w:r w:rsidRPr="002B6C9E">
        <w:t xml:space="preserve"> electrode literature where the initial stages of degradation </w:t>
      </w:r>
      <w:r>
        <w:t xml:space="preserve">in infiltrated systems </w:t>
      </w:r>
      <w:r w:rsidRPr="002B6C9E">
        <w:t xml:space="preserve">have been overlooked. It is well known that the </w:t>
      </w:r>
      <w:proofErr w:type="spellStart"/>
      <w:r w:rsidRPr="002B6C9E">
        <w:t>TPB</w:t>
      </w:r>
      <w:r w:rsidRPr="002B6C9E">
        <w:rPr>
          <w:vertAlign w:val="subscript"/>
        </w:rPr>
        <w:t>l</w:t>
      </w:r>
      <w:proofErr w:type="spellEnd"/>
      <w:r w:rsidRPr="002B6C9E">
        <w:t>, area and line specific resistances are highly affected by the processing</w:t>
      </w:r>
      <w:r>
        <w:t xml:space="preserve">. </w:t>
      </w:r>
      <w:r w:rsidRPr="002B6C9E">
        <w:t xml:space="preserve"> </w:t>
      </w:r>
      <w:r w:rsidR="00E944AB">
        <w:t>This highlights the need to analyse the impact of</w:t>
      </w:r>
      <w:r w:rsidRPr="002B6C9E">
        <w:t xml:space="preserve"> the </w:t>
      </w:r>
      <w:r w:rsidR="00E944AB">
        <w:t xml:space="preserve">processing steps on </w:t>
      </w:r>
      <w:r w:rsidRPr="002B6C9E">
        <w:t>SOFC degradation</w:t>
      </w:r>
      <w:r w:rsidR="00E944AB">
        <w:t xml:space="preserve">. </w:t>
      </w:r>
      <w:r w:rsidRPr="002B6C9E">
        <w:t>The properties of any material are directly influenced by its fabrication process, which underlines the need to assess the early stages of anode durability loss.</w:t>
      </w:r>
    </w:p>
    <w:p w14:paraId="1A144120" w14:textId="77777777" w:rsidR="00007F6C" w:rsidRDefault="00007F6C" w:rsidP="00E944AB">
      <w:pPr>
        <w:spacing w:after="0" w:line="240" w:lineRule="auto"/>
        <w:jc w:val="both"/>
      </w:pPr>
      <w:r>
        <w:t>This PhD project will focus on:</w:t>
      </w:r>
    </w:p>
    <w:p w14:paraId="16132F96" w14:textId="77777777" w:rsidR="00007F6C" w:rsidRPr="000A51D3" w:rsidRDefault="00007F6C" w:rsidP="00E944AB">
      <w:pPr>
        <w:numPr>
          <w:ilvl w:val="0"/>
          <w:numId w:val="15"/>
        </w:numPr>
        <w:spacing w:after="0" w:line="240" w:lineRule="auto"/>
        <w:jc w:val="both"/>
      </w:pPr>
      <w:r w:rsidRPr="000A51D3">
        <w:t>Understanding the deactivation mechanism in infiltrated SOFC fuel electrodes using ptychography</w:t>
      </w:r>
    </w:p>
    <w:p w14:paraId="7915417D" w14:textId="77777777" w:rsidR="00007F6C" w:rsidRPr="000A51D3" w:rsidRDefault="00007F6C" w:rsidP="00E944AB">
      <w:pPr>
        <w:numPr>
          <w:ilvl w:val="0"/>
          <w:numId w:val="15"/>
        </w:numPr>
        <w:spacing w:after="0" w:line="240" w:lineRule="auto"/>
        <w:jc w:val="both"/>
      </w:pPr>
      <w:r w:rsidRPr="000A51D3">
        <w:t xml:space="preserve">Drying as a method of increasing electrocatalyst dispersion and </w:t>
      </w:r>
      <w:r>
        <w:t xml:space="preserve">decreasing the </w:t>
      </w:r>
      <w:r w:rsidRPr="000A51D3">
        <w:t xml:space="preserve">coarsening rate </w:t>
      </w:r>
    </w:p>
    <w:p w14:paraId="3F7E5ADC" w14:textId="77777777" w:rsidR="00007F6C" w:rsidRPr="000A51D3" w:rsidRDefault="00007F6C" w:rsidP="00E944AB">
      <w:pPr>
        <w:numPr>
          <w:ilvl w:val="0"/>
          <w:numId w:val="15"/>
        </w:numPr>
        <w:spacing w:line="240" w:lineRule="auto"/>
        <w:jc w:val="both"/>
      </w:pPr>
      <w:r>
        <w:t xml:space="preserve">Characterising the influence of the current collector material in the degradation of </w:t>
      </w:r>
      <w:r w:rsidRPr="000A51D3">
        <w:t xml:space="preserve">infiltrated SOFC fuel electrodes </w:t>
      </w:r>
    </w:p>
    <w:p w14:paraId="6D708CE6" w14:textId="77777777" w:rsidR="00007F6C" w:rsidRDefault="00007F6C" w:rsidP="00E944AB">
      <w:pPr>
        <w:spacing w:line="240" w:lineRule="auto"/>
        <w:jc w:val="both"/>
      </w:pPr>
      <w:r>
        <w:t>This rest of this document details</w:t>
      </w:r>
      <w:r w:rsidRPr="002B6C9E">
        <w:t xml:space="preserve"> </w:t>
      </w:r>
      <w:r>
        <w:t xml:space="preserve">how this </w:t>
      </w:r>
      <w:r w:rsidRPr="002B6C9E">
        <w:t>project will be determination of the degradation mechanisms exhibited in infiltrated nickel/ yttria stabilised zirconia anodes</w:t>
      </w:r>
      <w:r>
        <w:t>. The techniques and sample preparation used to</w:t>
      </w:r>
      <w:r w:rsidRPr="002B6C9E">
        <w:t xml:space="preserve"> quantify these mechanisms </w:t>
      </w:r>
      <w:r>
        <w:t>are described in the next section of this document.</w:t>
      </w:r>
      <w:r>
        <w:br w:type="page"/>
      </w:r>
    </w:p>
    <w:p w14:paraId="11DA51BD" w14:textId="77777777" w:rsidR="00007F6C" w:rsidRPr="00CB29E5" w:rsidRDefault="00007F6C" w:rsidP="00007F6C">
      <w:pPr>
        <w:pStyle w:val="Heading1"/>
      </w:pPr>
      <w:bookmarkStart w:id="176" w:name="_Toc69129376"/>
      <w:r w:rsidRPr="00CB29E5">
        <w:lastRenderedPageBreak/>
        <w:t>Chapter 3: Materials and Methods</w:t>
      </w:r>
      <w:bookmarkEnd w:id="176"/>
    </w:p>
    <w:p w14:paraId="7F7E6EA3" w14:textId="77777777" w:rsidR="00007F6C" w:rsidRDefault="00007F6C" w:rsidP="00867A7F">
      <w:pPr>
        <w:spacing w:line="240" w:lineRule="auto"/>
        <w:jc w:val="both"/>
      </w:pPr>
      <w:r>
        <w:t xml:space="preserve">This section of the thesis discusses the experimental methods used to discern the coarsening and degradation processes present in infiltrated Ni-YSZ solid oxide fuel electrodes. The first section details the construction of the symmetrical Ni-YSZ samples which are the primary cells used for the microstructural and impedance work in this project. </w:t>
      </w:r>
    </w:p>
    <w:p w14:paraId="30675F26" w14:textId="77777777" w:rsidR="00007F6C" w:rsidRDefault="00007F6C" w:rsidP="00867A7F">
      <w:pPr>
        <w:spacing w:line="240" w:lineRule="auto"/>
        <w:jc w:val="both"/>
      </w:pPr>
      <w:r>
        <w:t>The second part of this chapter details the characterisation techniques used in this throughout the three experimental chapters in this project.</w:t>
      </w:r>
    </w:p>
    <w:p w14:paraId="08B9F911" w14:textId="77777777" w:rsidR="00007F6C" w:rsidRDefault="00007F6C" w:rsidP="00007F6C">
      <w:pPr>
        <w:pStyle w:val="Heading2"/>
        <w:jc w:val="both"/>
        <w:rPr>
          <w:rFonts w:asciiTheme="minorHAnsi" w:hAnsiTheme="minorHAnsi"/>
        </w:rPr>
      </w:pPr>
      <w:bookmarkStart w:id="177" w:name="_Ref50733946"/>
      <w:bookmarkStart w:id="178" w:name="_Toc69129377"/>
      <w:r>
        <w:rPr>
          <w:rFonts w:asciiTheme="minorHAnsi" w:hAnsiTheme="minorHAnsi"/>
        </w:rPr>
        <w:t xml:space="preserve">3.1 </w:t>
      </w:r>
      <w:r>
        <w:rPr>
          <w:rFonts w:asciiTheme="minorHAnsi" w:hAnsiTheme="minorHAnsi"/>
        </w:rPr>
        <w:tab/>
        <w:t>Symmetrical Fuel Electrode Sample Preparation</w:t>
      </w:r>
      <w:bookmarkEnd w:id="177"/>
      <w:bookmarkEnd w:id="178"/>
    </w:p>
    <w:p w14:paraId="6194C6DB" w14:textId="0F7DAB9D" w:rsidR="00007F6C" w:rsidRDefault="00007F6C" w:rsidP="00007F6C">
      <w:pPr>
        <w:pStyle w:val="Heading3"/>
        <w:jc w:val="both"/>
        <w:rPr>
          <w:rFonts w:asciiTheme="minorHAnsi" w:hAnsiTheme="minorHAnsi"/>
        </w:rPr>
      </w:pPr>
      <w:bookmarkStart w:id="179" w:name="_Toc69129378"/>
      <w:r>
        <w:rPr>
          <w:rFonts w:asciiTheme="minorHAnsi" w:hAnsiTheme="minorHAnsi"/>
        </w:rPr>
        <w:t xml:space="preserve">3.1.1 YSZ </w:t>
      </w:r>
      <w:r w:rsidR="001F7341">
        <w:rPr>
          <w:rFonts w:asciiTheme="minorHAnsi" w:hAnsiTheme="minorHAnsi"/>
        </w:rPr>
        <w:t>E</w:t>
      </w:r>
      <w:r>
        <w:rPr>
          <w:rFonts w:asciiTheme="minorHAnsi" w:hAnsiTheme="minorHAnsi"/>
        </w:rPr>
        <w:t xml:space="preserve">lectrolyte and </w:t>
      </w:r>
      <w:r w:rsidR="001F7341">
        <w:rPr>
          <w:rFonts w:asciiTheme="minorHAnsi" w:hAnsiTheme="minorHAnsi"/>
        </w:rPr>
        <w:t>F</w:t>
      </w:r>
      <w:r>
        <w:rPr>
          <w:rFonts w:asciiTheme="minorHAnsi" w:hAnsiTheme="minorHAnsi"/>
        </w:rPr>
        <w:t xml:space="preserve">uel </w:t>
      </w:r>
      <w:r w:rsidR="001F7341">
        <w:rPr>
          <w:rFonts w:asciiTheme="minorHAnsi" w:hAnsiTheme="minorHAnsi"/>
        </w:rPr>
        <w:t>E</w:t>
      </w:r>
      <w:r>
        <w:rPr>
          <w:rFonts w:asciiTheme="minorHAnsi" w:hAnsiTheme="minorHAnsi"/>
        </w:rPr>
        <w:t xml:space="preserve">lectrode </w:t>
      </w:r>
      <w:r w:rsidR="001F7341">
        <w:rPr>
          <w:rFonts w:asciiTheme="minorHAnsi" w:hAnsiTheme="minorHAnsi"/>
        </w:rPr>
        <w:t>B</w:t>
      </w:r>
      <w:r>
        <w:rPr>
          <w:rFonts w:asciiTheme="minorHAnsi" w:hAnsiTheme="minorHAnsi"/>
        </w:rPr>
        <w:t xml:space="preserve">ackbone </w:t>
      </w:r>
      <w:r w:rsidR="001F7341">
        <w:rPr>
          <w:rFonts w:asciiTheme="minorHAnsi" w:hAnsiTheme="minorHAnsi"/>
        </w:rPr>
        <w:t>P</w:t>
      </w:r>
      <w:r>
        <w:rPr>
          <w:rFonts w:asciiTheme="minorHAnsi" w:hAnsiTheme="minorHAnsi"/>
        </w:rPr>
        <w:t>roduction</w:t>
      </w:r>
      <w:bookmarkEnd w:id="179"/>
    </w:p>
    <w:p w14:paraId="239DBCEA" w14:textId="0E6D13C9" w:rsidR="00007F6C" w:rsidRDefault="00007F6C" w:rsidP="00867A7F">
      <w:pPr>
        <w:spacing w:after="0" w:line="240" w:lineRule="auto"/>
        <w:jc w:val="both"/>
        <w:rPr>
          <w:rFonts w:cs="Arial"/>
          <w:szCs w:val="24"/>
        </w:rPr>
      </w:pPr>
      <w:r>
        <w:t xml:space="preserve">Yttria-stabilised zirconia powder (YSZ, DKKK - Japan) was ground and ball-milled in isopropanol and 1 wt% Triton X-114 dispersant for </w:t>
      </w:r>
      <w:r w:rsidRPr="00454776">
        <w:t>18</w:t>
      </w:r>
      <w:r>
        <w:t xml:space="preserve"> </w:t>
      </w:r>
      <w:r w:rsidRPr="00454776">
        <w:t>h at 1800 rpm.</w:t>
      </w:r>
      <w:r>
        <w:t xml:space="preserve"> The mixture was dried at 90</w:t>
      </w:r>
      <w:r w:rsidR="00867A7F">
        <w:t xml:space="preserve"> </w:t>
      </w:r>
      <w:r>
        <w:t xml:space="preserve">°C in a drying oven overnight prior to pressing. 0.25 g YSZ electrolyte pellets </w:t>
      </w:r>
      <w:r>
        <w:rPr>
          <w:rFonts w:cs="Arial"/>
          <w:szCs w:val="24"/>
        </w:rPr>
        <w:t xml:space="preserve">(0.5 mm thick, 12.0 mm diameter) </w:t>
      </w:r>
      <w:r>
        <w:t xml:space="preserve">were produced by </w:t>
      </w:r>
      <w:r>
        <w:rPr>
          <w:rFonts w:cs="Arial"/>
          <w:szCs w:val="24"/>
        </w:rPr>
        <w:t xml:space="preserve">uniaxial pressing into pellets under 1 T of force (867 kPa) for 30 s with a </w:t>
      </w:r>
      <w:proofErr w:type="spellStart"/>
      <w:r>
        <w:rPr>
          <w:rFonts w:cs="Arial"/>
          <w:szCs w:val="24"/>
        </w:rPr>
        <w:t>Specac</w:t>
      </w:r>
      <w:proofErr w:type="spellEnd"/>
      <w:r>
        <w:rPr>
          <w:rFonts w:cs="Arial"/>
          <w:szCs w:val="24"/>
        </w:rPr>
        <w:t xml:space="preserve"> Manual Press (</w:t>
      </w:r>
      <w:r>
        <w:rPr>
          <w:rFonts w:cs="Arial"/>
          <w:szCs w:val="24"/>
        </w:rPr>
        <w:fldChar w:fldCharType="begin"/>
      </w:r>
      <w:r>
        <w:rPr>
          <w:rFonts w:cs="Arial"/>
          <w:szCs w:val="24"/>
        </w:rPr>
        <w:instrText xml:space="preserve"> REF _Ref51676116 \h </w:instrText>
      </w:r>
      <w:r w:rsidR="00867A7F">
        <w:rPr>
          <w:rFonts w:cs="Arial"/>
          <w:szCs w:val="24"/>
        </w:rPr>
        <w:instrText xml:space="preserve"> \* MERGEFORMAT </w:instrText>
      </w:r>
      <w:r>
        <w:rPr>
          <w:rFonts w:cs="Arial"/>
          <w:szCs w:val="24"/>
        </w:rPr>
      </w:r>
      <w:r>
        <w:rPr>
          <w:rFonts w:cs="Arial"/>
          <w:szCs w:val="24"/>
        </w:rPr>
        <w:fldChar w:fldCharType="separate"/>
      </w:r>
      <w:r w:rsidR="00823051">
        <w:t>Figure 3.1</w:t>
      </w:r>
      <w:r>
        <w:rPr>
          <w:rFonts w:cs="Arial"/>
          <w:szCs w:val="24"/>
        </w:rPr>
        <w:fldChar w:fldCharType="end"/>
      </w:r>
      <w:r>
        <w:rPr>
          <w:rFonts w:cs="Arial"/>
          <w:szCs w:val="24"/>
        </w:rPr>
        <w:t xml:space="preserve">). The </w:t>
      </w:r>
      <w:r w:rsidRPr="0094413B">
        <w:rPr>
          <w:rFonts w:cs="Arial"/>
          <w:szCs w:val="24"/>
        </w:rPr>
        <w:t>electrolyte</w:t>
      </w:r>
      <w:r>
        <w:rPr>
          <w:rFonts w:cs="Arial"/>
          <w:szCs w:val="24"/>
        </w:rPr>
        <w:t xml:space="preserve"> pellets were sintered at 1400°C for 4 h in an </w:t>
      </w:r>
      <w:r w:rsidRPr="0094413B">
        <w:rPr>
          <w:rFonts w:cs="Arial"/>
          <w:szCs w:val="24"/>
        </w:rPr>
        <w:t xml:space="preserve">Elite BRF 15/27 </w:t>
      </w:r>
      <w:r>
        <w:rPr>
          <w:rFonts w:cs="Arial"/>
          <w:szCs w:val="24"/>
        </w:rPr>
        <w:t>box furnace (</w:t>
      </w:r>
      <w:r>
        <w:rPr>
          <w:rFonts w:cs="Arial"/>
          <w:szCs w:val="24"/>
        </w:rPr>
        <w:fldChar w:fldCharType="begin"/>
      </w:r>
      <w:r>
        <w:rPr>
          <w:rFonts w:cs="Arial"/>
          <w:szCs w:val="24"/>
        </w:rPr>
        <w:instrText xml:space="preserve"> REF _Ref64465863 \h </w:instrText>
      </w:r>
      <w:r w:rsidR="00867A7F">
        <w:rPr>
          <w:rFonts w:cs="Arial"/>
          <w:szCs w:val="24"/>
        </w:rPr>
        <w:instrText xml:space="preserve"> \* MERGEFORMAT </w:instrText>
      </w:r>
      <w:r>
        <w:rPr>
          <w:rFonts w:cs="Arial"/>
          <w:szCs w:val="24"/>
        </w:rPr>
      </w:r>
      <w:r>
        <w:rPr>
          <w:rFonts w:cs="Arial"/>
          <w:szCs w:val="24"/>
        </w:rPr>
        <w:fldChar w:fldCharType="separate"/>
      </w:r>
      <w:r w:rsidR="00823051">
        <w:t>Figure 3.2</w:t>
      </w:r>
      <w:r>
        <w:rPr>
          <w:rFonts w:cs="Arial"/>
          <w:szCs w:val="24"/>
        </w:rPr>
        <w:fldChar w:fldCharType="end"/>
      </w:r>
      <w:r>
        <w:rPr>
          <w:rFonts w:cs="Arial"/>
          <w:szCs w:val="24"/>
        </w:rPr>
        <w:t>).</w:t>
      </w:r>
    </w:p>
    <w:p w14:paraId="7565326C" w14:textId="77777777" w:rsidR="00007F6C" w:rsidRDefault="00007F6C" w:rsidP="00007F6C">
      <w:pPr>
        <w:keepNext/>
        <w:jc w:val="center"/>
      </w:pPr>
      <w:r>
        <w:rPr>
          <w:noProof/>
          <w:lang w:eastAsia="en-GB"/>
        </w:rPr>
        <w:drawing>
          <wp:inline distT="0" distB="0" distL="0" distR="0" wp14:anchorId="145EB8BD" wp14:editId="62D063D0">
            <wp:extent cx="2880000" cy="2259117"/>
            <wp:effectExtent l="0" t="0" r="0" b="8255"/>
            <wp:docPr id="371"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owder Pressing Diagram.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80000" cy="2259117"/>
                    </a:xfrm>
                    <a:prstGeom prst="rect">
                      <a:avLst/>
                    </a:prstGeom>
                  </pic:spPr>
                </pic:pic>
              </a:graphicData>
            </a:graphic>
          </wp:inline>
        </w:drawing>
      </w:r>
    </w:p>
    <w:p w14:paraId="464C5C22" w14:textId="61BDEF08" w:rsidR="00007F6C" w:rsidRDefault="00007F6C" w:rsidP="00007F6C">
      <w:pPr>
        <w:pStyle w:val="Caption"/>
      </w:pPr>
      <w:bookmarkStart w:id="180" w:name="_Ref50296124"/>
      <w:bookmarkStart w:id="181" w:name="_Ref51159732"/>
      <w:bookmarkStart w:id="182" w:name="_Ref51676116"/>
      <w:bookmarkStart w:id="183" w:name="_Toc69114946"/>
      <w:r>
        <w:t>Figure 3.</w:t>
      </w:r>
      <w:bookmarkEnd w:id="180"/>
      <w:bookmarkEnd w:id="181"/>
      <w:r w:rsidR="00285C23">
        <w:fldChar w:fldCharType="begin"/>
      </w:r>
      <w:r w:rsidR="00285C23">
        <w:instrText xml:space="preserve"> SEQ Figure \* ARABIC </w:instrText>
      </w:r>
      <w:r w:rsidR="00823051">
        <w:instrText>\r 1</w:instrText>
      </w:r>
      <w:r w:rsidR="00285C23">
        <w:fldChar w:fldCharType="separate"/>
      </w:r>
      <w:r w:rsidR="00823051">
        <w:rPr>
          <w:noProof/>
        </w:rPr>
        <w:t>1</w:t>
      </w:r>
      <w:r w:rsidR="00285C23">
        <w:fldChar w:fldCharType="end"/>
      </w:r>
      <w:bookmarkEnd w:id="182"/>
      <w:r>
        <w:t xml:space="preserve">: Schematic breaking down the components used in the </w:t>
      </w:r>
      <w:proofErr w:type="spellStart"/>
      <w:r>
        <w:t>Specac</w:t>
      </w:r>
      <w:proofErr w:type="spellEnd"/>
      <w:r>
        <w:t xml:space="preserve"> Manual Hydraulic Pellet Press </w:t>
      </w:r>
      <w:r>
        <w:fldChar w:fldCharType="begin" w:fldLock="1"/>
      </w:r>
      <w:r w:rsidR="00D80A5D">
        <w:instrText>ADDIN CSL_CITATION {"citationItems":[{"id":"ITEM-1","itemData":{"URL":"https://www.specac.com/en/products/sample-prep/hydraulic-press/manual/manual","abstract":"Specac Limited Pellet Press","accessed":{"date-parts":[["2020","4","20"]]},"author":[{"dropping-particle":"","family":"Specac","given":"","non-dropping-particle":"","parse-names":false,"suffix":""}],"container-title":"Specac Limited Product Page","id":"ITEM-1","issued":{"date-parts":[["2020"]]},"page":"1-2","title":"Specac Manual Hydraulic Pellet Press Brochure Listing","type":"webpage"},"uris":["http://www.mendeley.com/documents/?uuid=ee94a287-6a23-4787-96b4-94795b87f3d1"]}],"mendeley":{"formattedCitation":"[311]","plainTextFormattedCitation":"[311]","previouslyFormattedCitation":"[311]"},"properties":{"noteIndex":0},"schema":"https://github.com/citation-style-language/schema/raw/master/csl-citation.json"}</w:instrText>
      </w:r>
      <w:r>
        <w:fldChar w:fldCharType="separate"/>
      </w:r>
      <w:r w:rsidR="006C586A" w:rsidRPr="006C586A">
        <w:rPr>
          <w:i w:val="0"/>
          <w:noProof/>
        </w:rPr>
        <w:t>[311]</w:t>
      </w:r>
      <w:bookmarkEnd w:id="183"/>
      <w:r>
        <w:fldChar w:fldCharType="end"/>
      </w:r>
    </w:p>
    <w:p w14:paraId="0870AB71" w14:textId="26AB69CE" w:rsidR="00867A7F" w:rsidRDefault="00867A7F" w:rsidP="00867A7F">
      <w:pPr>
        <w:jc w:val="both"/>
        <w:rPr>
          <w:rFonts w:cs="Arial"/>
          <w:szCs w:val="24"/>
        </w:rPr>
      </w:pPr>
      <w:r>
        <w:rPr>
          <w:rFonts w:cs="Arial"/>
          <w:szCs w:val="24"/>
        </w:rPr>
        <w:t>42 wt % YSZ powder (DKKK) was mixed with 28 wt % KS4 Graphite (</w:t>
      </w:r>
      <w:proofErr w:type="spellStart"/>
      <w:r>
        <w:rPr>
          <w:rFonts w:cs="Arial"/>
          <w:szCs w:val="24"/>
        </w:rPr>
        <w:t>Imerys</w:t>
      </w:r>
      <w:proofErr w:type="spellEnd"/>
      <w:r>
        <w:rPr>
          <w:rFonts w:cs="Arial"/>
          <w:szCs w:val="24"/>
        </w:rPr>
        <w:t xml:space="preserve">, Switzerland) powder, ethyl cellulose and </w:t>
      </w:r>
      <w:proofErr w:type="spellStart"/>
      <w:r>
        <w:rPr>
          <w:rFonts w:cs="Arial"/>
          <w:szCs w:val="24"/>
        </w:rPr>
        <w:t>Texanol</w:t>
      </w:r>
      <w:proofErr w:type="spellEnd"/>
      <w:r>
        <w:rPr>
          <w:rFonts w:cs="Arial"/>
          <w:szCs w:val="24"/>
        </w:rPr>
        <w:t xml:space="preserve"> solvent </w:t>
      </w:r>
      <w:r>
        <w:rPr>
          <w:rFonts w:cs="Arial"/>
          <w:szCs w:val="24"/>
        </w:rPr>
        <w:fldChar w:fldCharType="begin" w:fldLock="1"/>
      </w:r>
      <w:r>
        <w:rPr>
          <w:rFonts w:cs="Arial"/>
          <w:szCs w:val="24"/>
        </w:rPr>
        <w:instrText>ADDIN CSL_CITATION {"citationItems":[{"id":"ITEM-1","itemData":{"author":[{"dropping-particle":"","family":"Imerys Graphite &amp; Carbon","given":"","non-dropping-particle":"","parse-names":false,"suffix":""}],"id":"ITEM-1","issued":{"date-parts":[["2014"]]},"title":"Specialty Carbons for Powder Metallurgy and Hard Metals Produktbroschüre","type":"article-journal"},"uris":["http://www.mendeley.com/documents/?uuid=1fac1f0e-e82c-4bc4-813c-56d990a2f07c"]}],"mendeley":{"formattedCitation":"[312]","plainTextFormattedCitation":"[312]","previouslyFormattedCitation":"[312]"},"properties":{"noteIndex":0},"schema":"https://github.com/citation-style-language/schema/raw/master/csl-citation.json"}</w:instrText>
      </w:r>
      <w:r>
        <w:rPr>
          <w:rFonts w:cs="Arial"/>
          <w:szCs w:val="24"/>
        </w:rPr>
        <w:fldChar w:fldCharType="separate"/>
      </w:r>
      <w:r w:rsidRPr="006C586A">
        <w:rPr>
          <w:rFonts w:cs="Arial"/>
          <w:noProof/>
          <w:szCs w:val="24"/>
        </w:rPr>
        <w:t>[312]</w:t>
      </w:r>
      <w:r>
        <w:rPr>
          <w:rFonts w:cs="Arial"/>
          <w:szCs w:val="24"/>
        </w:rPr>
        <w:fldChar w:fldCharType="end"/>
      </w:r>
      <w:r>
        <w:rPr>
          <w:rFonts w:cs="Arial"/>
          <w:szCs w:val="24"/>
        </w:rPr>
        <w:t xml:space="preserve">. A slurry was formed by mixing the powder, plasticiser, binders, and dispersant using a DAC </w:t>
      </w:r>
      <w:proofErr w:type="spellStart"/>
      <w:r>
        <w:rPr>
          <w:rFonts w:cs="Arial"/>
          <w:szCs w:val="24"/>
        </w:rPr>
        <w:t>Speedmixer</w:t>
      </w:r>
      <w:proofErr w:type="spellEnd"/>
      <w:r>
        <w:rPr>
          <w:rFonts w:cs="Arial"/>
          <w:szCs w:val="24"/>
        </w:rPr>
        <w:t xml:space="preserve"> at 2100 rpm for five 2-minute intervals. The ink recipe with detailed component weight percent can be found below in</w:t>
      </w:r>
      <w:r w:rsidR="00823051">
        <w:rPr>
          <w:rFonts w:cs="Arial"/>
          <w:szCs w:val="24"/>
        </w:rPr>
        <w:t xml:space="preserve"> </w:t>
      </w:r>
      <w:r w:rsidR="00823051">
        <w:rPr>
          <w:rFonts w:cs="Arial"/>
          <w:szCs w:val="24"/>
        </w:rPr>
        <w:fldChar w:fldCharType="begin"/>
      </w:r>
      <w:r w:rsidR="00823051">
        <w:rPr>
          <w:rFonts w:cs="Arial"/>
          <w:szCs w:val="24"/>
        </w:rPr>
        <w:instrText xml:space="preserve"> REF _Ref68860186 \h </w:instrText>
      </w:r>
      <w:r w:rsidR="00823051">
        <w:rPr>
          <w:rFonts w:cs="Arial"/>
          <w:szCs w:val="24"/>
        </w:rPr>
      </w:r>
      <w:r w:rsidR="00823051">
        <w:rPr>
          <w:rFonts w:cs="Arial"/>
          <w:szCs w:val="24"/>
        </w:rPr>
        <w:fldChar w:fldCharType="separate"/>
      </w:r>
      <w:r w:rsidR="00823051">
        <w:t>Table 3.</w:t>
      </w:r>
      <w:r w:rsidR="00823051">
        <w:rPr>
          <w:noProof/>
        </w:rPr>
        <w:t>1</w:t>
      </w:r>
      <w:r w:rsidR="00823051">
        <w:rPr>
          <w:rFonts w:cs="Arial"/>
          <w:szCs w:val="24"/>
        </w:rPr>
        <w:fldChar w:fldCharType="end"/>
      </w:r>
      <w:r>
        <w:rPr>
          <w:rFonts w:cs="Arial"/>
          <w:szCs w:val="24"/>
        </w:rPr>
        <w:t>.</w:t>
      </w:r>
    </w:p>
    <w:p w14:paraId="656DCE43" w14:textId="1906DC07" w:rsidR="00867A7F" w:rsidRPr="002C22B4" w:rsidRDefault="00867A7F" w:rsidP="00867A7F">
      <w:pPr>
        <w:pStyle w:val="Caption"/>
        <w:keepNext/>
        <w:jc w:val="both"/>
      </w:pPr>
      <w:bookmarkStart w:id="184" w:name="_Ref68860186"/>
      <w:r>
        <w:t>Table 3.</w:t>
      </w:r>
      <w:r>
        <w:fldChar w:fldCharType="begin"/>
      </w:r>
      <w:r>
        <w:instrText xml:space="preserve"> SEQ Table \* ARABIC </w:instrText>
      </w:r>
      <w:r w:rsidR="00823051">
        <w:instrText>\r 1</w:instrText>
      </w:r>
      <w:r>
        <w:fldChar w:fldCharType="separate"/>
      </w:r>
      <w:r w:rsidR="00823051">
        <w:rPr>
          <w:noProof/>
        </w:rPr>
        <w:t>1</w:t>
      </w:r>
      <w:r>
        <w:rPr>
          <w:noProof/>
        </w:rPr>
        <w:fldChar w:fldCharType="end"/>
      </w:r>
      <w:bookmarkEnd w:id="184"/>
      <w:r>
        <w:t>: A breakdown of the different components of the YSZ/C ink including role in the mixture and the supplier. The ink consisted of 70 wt</w:t>
      </w:r>
      <w:r w:rsidR="00823051">
        <w:t xml:space="preserve"> </w:t>
      </w:r>
      <w:r>
        <w:t>% solid materials with a powder surface area of 8.1 m</w:t>
      </w:r>
      <w:r>
        <w:rPr>
          <w:vertAlign w:val="superscript"/>
        </w:rPr>
        <w:t>2</w:t>
      </w:r>
      <w:r>
        <w:t>g</w:t>
      </w:r>
      <w:r>
        <w:rPr>
          <w:vertAlign w:val="superscript"/>
        </w:rPr>
        <w:t>-1</w:t>
      </w:r>
      <w:r>
        <w:t xml:space="preserve"> and the Triton X-114 dispersant coverage was calculated to be 2.5 mg m</w:t>
      </w:r>
      <w:r>
        <w:rPr>
          <w:vertAlign w:val="superscript"/>
        </w:rPr>
        <w:t>-</w:t>
      </w:r>
      <w:proofErr w:type="gramStart"/>
      <w:r>
        <w:rPr>
          <w:vertAlign w:val="superscript"/>
        </w:rPr>
        <w:t>2</w:t>
      </w:r>
      <w:proofErr w:type="gramEnd"/>
    </w:p>
    <w:tbl>
      <w:tblPr>
        <w:tblStyle w:val="TableGrid"/>
        <w:tblW w:w="0" w:type="auto"/>
        <w:jc w:val="center"/>
        <w:tblLayout w:type="fixed"/>
        <w:tblLook w:val="04A0" w:firstRow="1" w:lastRow="0" w:firstColumn="1" w:lastColumn="0" w:noHBand="0" w:noVBand="1"/>
      </w:tblPr>
      <w:tblGrid>
        <w:gridCol w:w="1696"/>
        <w:gridCol w:w="2694"/>
        <w:gridCol w:w="1842"/>
        <w:gridCol w:w="1276"/>
        <w:gridCol w:w="851"/>
      </w:tblGrid>
      <w:tr w:rsidR="00867A7F" w14:paraId="01B3EB25" w14:textId="77777777" w:rsidTr="00C64D74">
        <w:trPr>
          <w:jc w:val="center"/>
        </w:trPr>
        <w:tc>
          <w:tcPr>
            <w:tcW w:w="1696" w:type="dxa"/>
            <w:shd w:val="clear" w:color="auto" w:fill="D9D9D9" w:themeFill="background1" w:themeFillShade="D9"/>
          </w:tcPr>
          <w:p w14:paraId="408EDF3B" w14:textId="77777777" w:rsidR="00867A7F" w:rsidRPr="00AB1BB3" w:rsidRDefault="00867A7F" w:rsidP="00C64D74">
            <w:pPr>
              <w:jc w:val="both"/>
              <w:rPr>
                <w:rFonts w:cs="Arial"/>
                <w:b/>
                <w:bCs/>
              </w:rPr>
            </w:pPr>
            <w:r w:rsidRPr="00AB1BB3">
              <w:rPr>
                <w:rFonts w:cs="Arial"/>
                <w:b/>
                <w:bCs/>
              </w:rPr>
              <w:t>Ingredient</w:t>
            </w:r>
          </w:p>
        </w:tc>
        <w:tc>
          <w:tcPr>
            <w:tcW w:w="2694" w:type="dxa"/>
            <w:shd w:val="clear" w:color="auto" w:fill="D9D9D9" w:themeFill="background1" w:themeFillShade="D9"/>
          </w:tcPr>
          <w:p w14:paraId="4416B865" w14:textId="77777777" w:rsidR="00867A7F" w:rsidRPr="00AB1BB3" w:rsidRDefault="00867A7F" w:rsidP="00C64D74">
            <w:pPr>
              <w:jc w:val="both"/>
              <w:rPr>
                <w:rFonts w:cs="Arial"/>
                <w:b/>
                <w:bCs/>
              </w:rPr>
            </w:pPr>
            <w:r w:rsidRPr="00AB1BB3">
              <w:rPr>
                <w:rFonts w:cs="Arial"/>
                <w:b/>
                <w:bCs/>
              </w:rPr>
              <w:t>Details</w:t>
            </w:r>
          </w:p>
        </w:tc>
        <w:tc>
          <w:tcPr>
            <w:tcW w:w="1842" w:type="dxa"/>
            <w:shd w:val="clear" w:color="auto" w:fill="D9D9D9" w:themeFill="background1" w:themeFillShade="D9"/>
          </w:tcPr>
          <w:p w14:paraId="36ACCBFD" w14:textId="77777777" w:rsidR="00867A7F" w:rsidRPr="00AB1BB3" w:rsidRDefault="00867A7F" w:rsidP="00C64D74">
            <w:pPr>
              <w:jc w:val="both"/>
              <w:rPr>
                <w:rFonts w:cs="Arial"/>
                <w:b/>
                <w:bCs/>
              </w:rPr>
            </w:pPr>
            <w:r w:rsidRPr="00AB1BB3">
              <w:rPr>
                <w:rFonts w:cs="Arial"/>
                <w:b/>
                <w:bCs/>
              </w:rPr>
              <w:t>Supplier</w:t>
            </w:r>
          </w:p>
        </w:tc>
        <w:tc>
          <w:tcPr>
            <w:tcW w:w="1276" w:type="dxa"/>
            <w:shd w:val="clear" w:color="auto" w:fill="D9D9D9" w:themeFill="background1" w:themeFillShade="D9"/>
            <w:vAlign w:val="bottom"/>
          </w:tcPr>
          <w:p w14:paraId="1E1A85D3" w14:textId="77777777" w:rsidR="00867A7F" w:rsidRDefault="00867A7F" w:rsidP="00C64D74">
            <w:pPr>
              <w:jc w:val="both"/>
              <w:rPr>
                <w:rFonts w:cs="Arial"/>
              </w:rPr>
            </w:pPr>
            <w:r>
              <w:rPr>
                <w:rFonts w:ascii="Calibri" w:hAnsi="Calibri" w:cs="Calibri"/>
                <w:b/>
                <w:bCs/>
                <w:color w:val="000000"/>
              </w:rPr>
              <w:t>Weight (g)</w:t>
            </w:r>
          </w:p>
        </w:tc>
        <w:tc>
          <w:tcPr>
            <w:tcW w:w="851" w:type="dxa"/>
            <w:shd w:val="clear" w:color="auto" w:fill="D9D9D9" w:themeFill="background1" w:themeFillShade="D9"/>
            <w:vAlign w:val="bottom"/>
          </w:tcPr>
          <w:p w14:paraId="7A8CAC1E" w14:textId="77777777" w:rsidR="00867A7F" w:rsidRDefault="00867A7F" w:rsidP="00C64D74">
            <w:pPr>
              <w:jc w:val="both"/>
              <w:rPr>
                <w:rFonts w:cs="Arial"/>
              </w:rPr>
            </w:pPr>
            <w:r>
              <w:rPr>
                <w:rFonts w:ascii="Calibri" w:hAnsi="Calibri" w:cs="Calibri"/>
                <w:b/>
                <w:bCs/>
                <w:color w:val="000000"/>
              </w:rPr>
              <w:t>wt %</w:t>
            </w:r>
          </w:p>
        </w:tc>
      </w:tr>
      <w:tr w:rsidR="00867A7F" w14:paraId="5F46D126" w14:textId="77777777" w:rsidTr="00C64D74">
        <w:trPr>
          <w:jc w:val="center"/>
        </w:trPr>
        <w:tc>
          <w:tcPr>
            <w:tcW w:w="1696" w:type="dxa"/>
            <w:vAlign w:val="bottom"/>
          </w:tcPr>
          <w:p w14:paraId="6E50A1D0" w14:textId="77777777" w:rsidR="00867A7F" w:rsidRDefault="00867A7F" w:rsidP="00C64D74">
            <w:pPr>
              <w:jc w:val="both"/>
              <w:rPr>
                <w:rFonts w:cs="Arial"/>
              </w:rPr>
            </w:pPr>
            <w:r>
              <w:rPr>
                <w:rFonts w:ascii="Calibri" w:hAnsi="Calibri" w:cs="Calibri"/>
                <w:color w:val="000000"/>
              </w:rPr>
              <w:t>YSZ (Ceramic)</w:t>
            </w:r>
          </w:p>
        </w:tc>
        <w:tc>
          <w:tcPr>
            <w:tcW w:w="2694" w:type="dxa"/>
            <w:vAlign w:val="bottom"/>
          </w:tcPr>
          <w:p w14:paraId="265C8B52" w14:textId="77777777" w:rsidR="00867A7F" w:rsidRDefault="00867A7F" w:rsidP="00C64D74">
            <w:pPr>
              <w:jc w:val="both"/>
              <w:rPr>
                <w:rFonts w:cs="Arial"/>
              </w:rPr>
            </w:pPr>
            <w:r>
              <w:rPr>
                <w:rFonts w:ascii="Calibri" w:hAnsi="Calibri" w:cs="Calibri"/>
                <w:color w:val="000000"/>
              </w:rPr>
              <w:t>Yttria-stabilised zirconia</w:t>
            </w:r>
          </w:p>
        </w:tc>
        <w:tc>
          <w:tcPr>
            <w:tcW w:w="1842" w:type="dxa"/>
            <w:vAlign w:val="bottom"/>
          </w:tcPr>
          <w:p w14:paraId="4759A2C7" w14:textId="77777777" w:rsidR="00867A7F" w:rsidRDefault="00867A7F" w:rsidP="00C64D74">
            <w:pPr>
              <w:jc w:val="both"/>
              <w:rPr>
                <w:rFonts w:cs="Arial"/>
              </w:rPr>
            </w:pPr>
            <w:r>
              <w:rPr>
                <w:rFonts w:ascii="Calibri" w:hAnsi="Calibri" w:cs="Calibri"/>
                <w:color w:val="000000"/>
              </w:rPr>
              <w:t>DKKK</w:t>
            </w:r>
          </w:p>
        </w:tc>
        <w:tc>
          <w:tcPr>
            <w:tcW w:w="1276" w:type="dxa"/>
          </w:tcPr>
          <w:p w14:paraId="54C68BE7" w14:textId="77777777" w:rsidR="00867A7F" w:rsidRDefault="00867A7F" w:rsidP="00C64D74">
            <w:pPr>
              <w:jc w:val="right"/>
              <w:rPr>
                <w:rFonts w:cs="Arial"/>
              </w:rPr>
            </w:pPr>
            <w:r w:rsidRPr="00EF7928">
              <w:t>21.00</w:t>
            </w:r>
          </w:p>
        </w:tc>
        <w:tc>
          <w:tcPr>
            <w:tcW w:w="851" w:type="dxa"/>
          </w:tcPr>
          <w:p w14:paraId="5FF1EE10" w14:textId="77777777" w:rsidR="00867A7F" w:rsidRDefault="00867A7F" w:rsidP="00C64D74">
            <w:pPr>
              <w:jc w:val="right"/>
              <w:rPr>
                <w:rFonts w:cs="Arial"/>
              </w:rPr>
            </w:pPr>
            <w:r w:rsidRPr="00EF7928">
              <w:t>42.0%</w:t>
            </w:r>
          </w:p>
        </w:tc>
      </w:tr>
      <w:tr w:rsidR="00867A7F" w14:paraId="53D4EE3D" w14:textId="77777777" w:rsidTr="00C64D74">
        <w:trPr>
          <w:jc w:val="center"/>
        </w:trPr>
        <w:tc>
          <w:tcPr>
            <w:tcW w:w="1696" w:type="dxa"/>
            <w:vAlign w:val="bottom"/>
          </w:tcPr>
          <w:p w14:paraId="3AD289E1" w14:textId="77777777" w:rsidR="00867A7F" w:rsidRDefault="00867A7F" w:rsidP="00C64D74">
            <w:pPr>
              <w:jc w:val="both"/>
              <w:rPr>
                <w:rFonts w:cs="Arial"/>
              </w:rPr>
            </w:pPr>
            <w:r>
              <w:rPr>
                <w:rFonts w:ascii="Calibri" w:hAnsi="Calibri" w:cs="Calibri"/>
                <w:color w:val="000000"/>
              </w:rPr>
              <w:t>C (Pore Former)</w:t>
            </w:r>
          </w:p>
        </w:tc>
        <w:tc>
          <w:tcPr>
            <w:tcW w:w="2694" w:type="dxa"/>
            <w:vAlign w:val="bottom"/>
          </w:tcPr>
          <w:p w14:paraId="3A0045DE" w14:textId="77777777" w:rsidR="00867A7F" w:rsidRDefault="00867A7F" w:rsidP="00C64D74">
            <w:pPr>
              <w:jc w:val="both"/>
              <w:rPr>
                <w:rFonts w:cs="Arial"/>
              </w:rPr>
            </w:pPr>
            <w:r>
              <w:rPr>
                <w:rFonts w:ascii="Calibri" w:hAnsi="Calibri" w:cs="Calibri"/>
                <w:color w:val="000000"/>
              </w:rPr>
              <w:t>KS4 Graphite</w:t>
            </w:r>
          </w:p>
        </w:tc>
        <w:tc>
          <w:tcPr>
            <w:tcW w:w="1842" w:type="dxa"/>
            <w:vAlign w:val="bottom"/>
          </w:tcPr>
          <w:p w14:paraId="37853A47" w14:textId="77777777" w:rsidR="00867A7F" w:rsidRDefault="00867A7F" w:rsidP="00C64D74">
            <w:pPr>
              <w:jc w:val="both"/>
              <w:rPr>
                <w:rFonts w:cs="Arial"/>
              </w:rPr>
            </w:pPr>
            <w:proofErr w:type="spellStart"/>
            <w:r>
              <w:rPr>
                <w:rFonts w:ascii="Calibri" w:hAnsi="Calibri" w:cs="Calibri"/>
                <w:color w:val="000000"/>
              </w:rPr>
              <w:t>Imerys</w:t>
            </w:r>
            <w:proofErr w:type="spellEnd"/>
          </w:p>
        </w:tc>
        <w:tc>
          <w:tcPr>
            <w:tcW w:w="1276" w:type="dxa"/>
          </w:tcPr>
          <w:p w14:paraId="0D198D76" w14:textId="77777777" w:rsidR="00867A7F" w:rsidRDefault="00867A7F" w:rsidP="00C64D74">
            <w:pPr>
              <w:jc w:val="right"/>
              <w:rPr>
                <w:rFonts w:cs="Arial"/>
              </w:rPr>
            </w:pPr>
            <w:r w:rsidRPr="00EF7928">
              <w:t>14.00</w:t>
            </w:r>
          </w:p>
        </w:tc>
        <w:tc>
          <w:tcPr>
            <w:tcW w:w="851" w:type="dxa"/>
          </w:tcPr>
          <w:p w14:paraId="2854AF47" w14:textId="77777777" w:rsidR="00867A7F" w:rsidRDefault="00867A7F" w:rsidP="00C64D74">
            <w:pPr>
              <w:jc w:val="right"/>
              <w:rPr>
                <w:rFonts w:cs="Arial"/>
              </w:rPr>
            </w:pPr>
            <w:r w:rsidRPr="00EF7928">
              <w:t>28.0%</w:t>
            </w:r>
          </w:p>
        </w:tc>
      </w:tr>
      <w:tr w:rsidR="00867A7F" w14:paraId="071AC140" w14:textId="77777777" w:rsidTr="00C64D74">
        <w:trPr>
          <w:jc w:val="center"/>
        </w:trPr>
        <w:tc>
          <w:tcPr>
            <w:tcW w:w="1696" w:type="dxa"/>
            <w:vAlign w:val="bottom"/>
          </w:tcPr>
          <w:p w14:paraId="2AC483E3" w14:textId="77777777" w:rsidR="00867A7F" w:rsidRDefault="00867A7F" w:rsidP="00C64D74">
            <w:pPr>
              <w:jc w:val="both"/>
              <w:rPr>
                <w:rFonts w:cs="Arial"/>
              </w:rPr>
            </w:pPr>
            <w:r>
              <w:rPr>
                <w:rFonts w:ascii="Calibri" w:hAnsi="Calibri" w:cs="Calibri"/>
                <w:color w:val="000000"/>
              </w:rPr>
              <w:t>Dispersant</w:t>
            </w:r>
          </w:p>
        </w:tc>
        <w:tc>
          <w:tcPr>
            <w:tcW w:w="2694" w:type="dxa"/>
            <w:vAlign w:val="bottom"/>
          </w:tcPr>
          <w:p w14:paraId="50045A41" w14:textId="77777777" w:rsidR="00867A7F" w:rsidRDefault="00867A7F" w:rsidP="00C64D74">
            <w:pPr>
              <w:jc w:val="both"/>
              <w:rPr>
                <w:rFonts w:cs="Arial"/>
              </w:rPr>
            </w:pPr>
            <w:r>
              <w:rPr>
                <w:rFonts w:ascii="Calibri" w:hAnsi="Calibri" w:cs="Calibri"/>
                <w:color w:val="000000"/>
              </w:rPr>
              <w:t>Triton X-114</w:t>
            </w:r>
          </w:p>
        </w:tc>
        <w:tc>
          <w:tcPr>
            <w:tcW w:w="1842" w:type="dxa"/>
            <w:vAlign w:val="bottom"/>
          </w:tcPr>
          <w:p w14:paraId="520751B2" w14:textId="77777777" w:rsidR="00867A7F" w:rsidRDefault="00867A7F" w:rsidP="00C64D74">
            <w:pPr>
              <w:jc w:val="both"/>
              <w:rPr>
                <w:rFonts w:cs="Arial"/>
              </w:rPr>
            </w:pPr>
            <w:r>
              <w:rPr>
                <w:rFonts w:ascii="Calibri" w:hAnsi="Calibri" w:cs="Calibri"/>
                <w:color w:val="000000"/>
              </w:rPr>
              <w:t>Sigma Aldrich</w:t>
            </w:r>
          </w:p>
        </w:tc>
        <w:tc>
          <w:tcPr>
            <w:tcW w:w="1276" w:type="dxa"/>
          </w:tcPr>
          <w:p w14:paraId="7DD5EA95" w14:textId="77777777" w:rsidR="00867A7F" w:rsidRDefault="00867A7F" w:rsidP="00C64D74">
            <w:pPr>
              <w:jc w:val="right"/>
              <w:rPr>
                <w:rFonts w:cs="Arial"/>
              </w:rPr>
            </w:pPr>
            <w:r w:rsidRPr="00EF7928">
              <w:t>0.7</w:t>
            </w:r>
            <w:r>
              <w:t>1(mg)</w:t>
            </w:r>
          </w:p>
        </w:tc>
        <w:tc>
          <w:tcPr>
            <w:tcW w:w="851" w:type="dxa"/>
          </w:tcPr>
          <w:p w14:paraId="12955CEE" w14:textId="77777777" w:rsidR="00867A7F" w:rsidRDefault="00867A7F" w:rsidP="00C64D74">
            <w:pPr>
              <w:jc w:val="right"/>
              <w:rPr>
                <w:rFonts w:cs="Arial"/>
              </w:rPr>
            </w:pPr>
            <w:r w:rsidRPr="00EF7928">
              <w:t>1.4%</w:t>
            </w:r>
          </w:p>
        </w:tc>
      </w:tr>
      <w:tr w:rsidR="00867A7F" w14:paraId="05CCAEC5" w14:textId="77777777" w:rsidTr="00C64D74">
        <w:trPr>
          <w:jc w:val="center"/>
        </w:trPr>
        <w:tc>
          <w:tcPr>
            <w:tcW w:w="1696" w:type="dxa"/>
            <w:vAlign w:val="bottom"/>
          </w:tcPr>
          <w:p w14:paraId="28745CDD" w14:textId="77777777" w:rsidR="00867A7F" w:rsidRDefault="00867A7F" w:rsidP="00C64D74">
            <w:pPr>
              <w:jc w:val="both"/>
              <w:rPr>
                <w:rFonts w:cs="Arial"/>
              </w:rPr>
            </w:pPr>
            <w:r>
              <w:rPr>
                <w:rFonts w:ascii="Calibri" w:hAnsi="Calibri" w:cs="Calibri"/>
                <w:color w:val="000000"/>
              </w:rPr>
              <w:t>Binder</w:t>
            </w:r>
          </w:p>
        </w:tc>
        <w:tc>
          <w:tcPr>
            <w:tcW w:w="2694" w:type="dxa"/>
            <w:vAlign w:val="bottom"/>
          </w:tcPr>
          <w:p w14:paraId="131B4EFF" w14:textId="77777777" w:rsidR="00867A7F" w:rsidRDefault="00867A7F" w:rsidP="00C64D74">
            <w:pPr>
              <w:jc w:val="both"/>
              <w:rPr>
                <w:rFonts w:cs="Arial"/>
              </w:rPr>
            </w:pPr>
            <w:proofErr w:type="spellStart"/>
            <w:r>
              <w:rPr>
                <w:rFonts w:ascii="Calibri" w:hAnsi="Calibri" w:cs="Calibri"/>
                <w:color w:val="000000"/>
              </w:rPr>
              <w:t>Ethylcellulose</w:t>
            </w:r>
            <w:proofErr w:type="spellEnd"/>
            <w:r>
              <w:rPr>
                <w:rFonts w:ascii="Calibri" w:hAnsi="Calibri" w:cs="Calibri"/>
                <w:color w:val="000000"/>
              </w:rPr>
              <w:t xml:space="preserve"> N7 grade</w:t>
            </w:r>
          </w:p>
        </w:tc>
        <w:tc>
          <w:tcPr>
            <w:tcW w:w="1842" w:type="dxa"/>
            <w:vAlign w:val="bottom"/>
          </w:tcPr>
          <w:p w14:paraId="19B255C5" w14:textId="77777777" w:rsidR="00867A7F" w:rsidRDefault="00867A7F" w:rsidP="00C64D74">
            <w:pPr>
              <w:jc w:val="both"/>
              <w:rPr>
                <w:rFonts w:cs="Arial"/>
              </w:rPr>
            </w:pPr>
            <w:r>
              <w:rPr>
                <w:rFonts w:ascii="Calibri" w:hAnsi="Calibri" w:cs="Calibri"/>
                <w:color w:val="000000"/>
              </w:rPr>
              <w:t>Ashland</w:t>
            </w:r>
          </w:p>
        </w:tc>
        <w:tc>
          <w:tcPr>
            <w:tcW w:w="1276" w:type="dxa"/>
          </w:tcPr>
          <w:p w14:paraId="699124D4" w14:textId="77777777" w:rsidR="00867A7F" w:rsidRDefault="00867A7F" w:rsidP="00C64D74">
            <w:pPr>
              <w:jc w:val="right"/>
              <w:rPr>
                <w:rFonts w:cs="Arial"/>
              </w:rPr>
            </w:pPr>
            <w:r w:rsidRPr="00EF7928">
              <w:t>1.05</w:t>
            </w:r>
          </w:p>
        </w:tc>
        <w:tc>
          <w:tcPr>
            <w:tcW w:w="851" w:type="dxa"/>
          </w:tcPr>
          <w:p w14:paraId="003ED70D" w14:textId="77777777" w:rsidR="00867A7F" w:rsidRDefault="00867A7F" w:rsidP="00C64D74">
            <w:pPr>
              <w:jc w:val="right"/>
              <w:rPr>
                <w:rFonts w:cs="Arial"/>
              </w:rPr>
            </w:pPr>
            <w:r w:rsidRPr="00EF7928">
              <w:t>2.1%</w:t>
            </w:r>
          </w:p>
        </w:tc>
      </w:tr>
      <w:tr w:rsidR="00867A7F" w14:paraId="0DAB7EA2" w14:textId="77777777" w:rsidTr="00C64D74">
        <w:trPr>
          <w:jc w:val="center"/>
        </w:trPr>
        <w:tc>
          <w:tcPr>
            <w:tcW w:w="1696" w:type="dxa"/>
            <w:vAlign w:val="bottom"/>
          </w:tcPr>
          <w:p w14:paraId="18597304" w14:textId="77777777" w:rsidR="00867A7F" w:rsidRDefault="00867A7F" w:rsidP="00C64D74">
            <w:pPr>
              <w:jc w:val="both"/>
              <w:rPr>
                <w:rFonts w:cs="Arial"/>
              </w:rPr>
            </w:pPr>
            <w:r>
              <w:rPr>
                <w:rFonts w:ascii="Calibri" w:hAnsi="Calibri" w:cs="Calibri"/>
                <w:color w:val="000000"/>
              </w:rPr>
              <w:t>Solvent</w:t>
            </w:r>
          </w:p>
        </w:tc>
        <w:tc>
          <w:tcPr>
            <w:tcW w:w="2694" w:type="dxa"/>
            <w:vAlign w:val="bottom"/>
          </w:tcPr>
          <w:p w14:paraId="3A9E3230" w14:textId="77777777" w:rsidR="00867A7F" w:rsidRDefault="00867A7F" w:rsidP="00C64D74">
            <w:pPr>
              <w:jc w:val="both"/>
              <w:rPr>
                <w:rFonts w:cs="Arial"/>
              </w:rPr>
            </w:pPr>
            <w:proofErr w:type="spellStart"/>
            <w:r>
              <w:rPr>
                <w:rFonts w:ascii="Calibri" w:hAnsi="Calibri" w:cs="Calibri"/>
                <w:color w:val="000000"/>
              </w:rPr>
              <w:t>Texanol</w:t>
            </w:r>
            <w:proofErr w:type="spellEnd"/>
            <w:r>
              <w:rPr>
                <w:rFonts w:ascii="Calibri" w:hAnsi="Calibri" w:cs="Calibri"/>
                <w:color w:val="000000"/>
              </w:rPr>
              <w:t xml:space="preserve"> (Alcohol ester)</w:t>
            </w:r>
          </w:p>
        </w:tc>
        <w:tc>
          <w:tcPr>
            <w:tcW w:w="1842" w:type="dxa"/>
            <w:vAlign w:val="bottom"/>
          </w:tcPr>
          <w:p w14:paraId="61F824E7" w14:textId="77777777" w:rsidR="00867A7F" w:rsidRDefault="00867A7F" w:rsidP="00C64D74">
            <w:pPr>
              <w:jc w:val="both"/>
              <w:rPr>
                <w:rFonts w:cs="Arial"/>
              </w:rPr>
            </w:pPr>
            <w:r>
              <w:rPr>
                <w:rFonts w:ascii="Calibri" w:hAnsi="Calibri" w:cs="Calibri"/>
                <w:color w:val="000000"/>
              </w:rPr>
              <w:t>IMCD/Eastman</w:t>
            </w:r>
          </w:p>
        </w:tc>
        <w:tc>
          <w:tcPr>
            <w:tcW w:w="1276" w:type="dxa"/>
          </w:tcPr>
          <w:p w14:paraId="07ACA2C4" w14:textId="77777777" w:rsidR="00867A7F" w:rsidRDefault="00867A7F" w:rsidP="00C64D74">
            <w:pPr>
              <w:jc w:val="right"/>
              <w:rPr>
                <w:rFonts w:cs="Arial"/>
              </w:rPr>
            </w:pPr>
            <w:r w:rsidRPr="00EF7928">
              <w:t>13.24</w:t>
            </w:r>
          </w:p>
        </w:tc>
        <w:tc>
          <w:tcPr>
            <w:tcW w:w="851" w:type="dxa"/>
          </w:tcPr>
          <w:p w14:paraId="04ECDB73" w14:textId="77777777" w:rsidR="00867A7F" w:rsidRDefault="00867A7F" w:rsidP="00C64D74">
            <w:pPr>
              <w:jc w:val="right"/>
              <w:rPr>
                <w:rFonts w:cs="Arial"/>
              </w:rPr>
            </w:pPr>
            <w:r w:rsidRPr="00EF7928">
              <w:t>26.5%</w:t>
            </w:r>
          </w:p>
        </w:tc>
      </w:tr>
    </w:tbl>
    <w:p w14:paraId="0725B4A4" w14:textId="610118E5" w:rsidR="00867A7F" w:rsidRDefault="00867A7F" w:rsidP="00867A7F">
      <w:pPr>
        <w:spacing w:before="240"/>
        <w:jc w:val="both"/>
        <w:rPr>
          <w:rFonts w:cs="Arial"/>
        </w:rPr>
      </w:pPr>
      <w:r>
        <w:rPr>
          <w:rFonts w:cs="Arial"/>
          <w:szCs w:val="24"/>
        </w:rPr>
        <w:t xml:space="preserve">A hole punch was used to create </w:t>
      </w:r>
      <w:r>
        <w:rPr>
          <w:rFonts w:cs="Arial"/>
        </w:rPr>
        <w:t xml:space="preserve">a circular hole in the </w:t>
      </w:r>
      <w:r>
        <w:rPr>
          <w:rFonts w:cs="Arial"/>
          <w:szCs w:val="24"/>
        </w:rPr>
        <w:t xml:space="preserve">80 µm thick scotch tape. </w:t>
      </w:r>
      <w:r>
        <w:rPr>
          <w:rFonts w:cs="Arial"/>
        </w:rPr>
        <w:t xml:space="preserve">The tape was applied to the surface of the dense YSZ pellet. The YSZ/C ceramic ink was applied by sliding a glass slide across the surface of the tape – filling the cavity with the slurry. The scotch tape was removed leaving a cylindrical region of ink on top of the pellet (See </w:t>
      </w:r>
      <w:r>
        <w:rPr>
          <w:rFonts w:cs="Arial"/>
        </w:rPr>
        <w:fldChar w:fldCharType="begin"/>
      </w:r>
      <w:r>
        <w:rPr>
          <w:rFonts w:cs="Arial"/>
        </w:rPr>
        <w:instrText xml:space="preserve"> REF _Ref524428236 \h  \* MERGEFORMAT </w:instrText>
      </w:r>
      <w:r>
        <w:rPr>
          <w:rFonts w:cs="Arial"/>
        </w:rPr>
      </w:r>
      <w:r>
        <w:rPr>
          <w:rFonts w:cs="Arial"/>
        </w:rPr>
        <w:fldChar w:fldCharType="separate"/>
      </w:r>
      <w:r w:rsidR="00823051">
        <w:rPr>
          <w:rFonts w:cs="Arial"/>
        </w:rPr>
        <w:t>Figure 3.3</w:t>
      </w:r>
      <w:r>
        <w:rPr>
          <w:rFonts w:cs="Arial"/>
        </w:rPr>
        <w:fldChar w:fldCharType="end"/>
      </w:r>
      <w:r>
        <w:rPr>
          <w:rFonts w:cs="Arial"/>
        </w:rPr>
        <w:t>).</w:t>
      </w:r>
    </w:p>
    <w:p w14:paraId="01A740E1" w14:textId="77777777" w:rsidR="00867A7F" w:rsidRPr="00867A7F" w:rsidRDefault="00867A7F" w:rsidP="00867A7F"/>
    <w:p w14:paraId="7A776AC6" w14:textId="77777777" w:rsidR="00007F6C" w:rsidRDefault="00007F6C" w:rsidP="00007F6C">
      <w:pPr>
        <w:keepNext/>
        <w:jc w:val="center"/>
      </w:pPr>
      <w:r w:rsidRPr="0094413B">
        <w:rPr>
          <w:noProof/>
        </w:rPr>
        <w:drawing>
          <wp:inline distT="0" distB="0" distL="0" distR="0" wp14:anchorId="45BD233F" wp14:editId="32CA3354">
            <wp:extent cx="5040000" cy="3773604"/>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5">
                      <a:extLst>
                        <a:ext uri="{28A0092B-C50C-407E-A947-70E740481C1C}">
                          <a14:useLocalDpi xmlns:a14="http://schemas.microsoft.com/office/drawing/2010/main" val="0"/>
                        </a:ext>
                      </a:extLst>
                    </a:blip>
                    <a:srcRect l="6193" t="6607" r="3440" b="4805"/>
                    <a:stretch/>
                  </pic:blipFill>
                  <pic:spPr bwMode="auto">
                    <a:xfrm>
                      <a:off x="0" y="0"/>
                      <a:ext cx="5040000" cy="3773604"/>
                    </a:xfrm>
                    <a:prstGeom prst="rect">
                      <a:avLst/>
                    </a:prstGeom>
                    <a:noFill/>
                    <a:ln>
                      <a:noFill/>
                    </a:ln>
                    <a:extLst>
                      <a:ext uri="{53640926-AAD7-44D8-BBD7-CCE9431645EC}">
                        <a14:shadowObscured xmlns:a14="http://schemas.microsoft.com/office/drawing/2010/main"/>
                      </a:ext>
                    </a:extLst>
                  </pic:spPr>
                </pic:pic>
              </a:graphicData>
            </a:graphic>
          </wp:inline>
        </w:drawing>
      </w:r>
    </w:p>
    <w:p w14:paraId="524839BF" w14:textId="6A85EEBC" w:rsidR="00007F6C" w:rsidRPr="0094413B" w:rsidRDefault="00007F6C" w:rsidP="00867A7F">
      <w:pPr>
        <w:pStyle w:val="Caption"/>
      </w:pPr>
      <w:bookmarkStart w:id="185" w:name="_Ref64465863"/>
      <w:bookmarkStart w:id="186" w:name="_Toc69114947"/>
      <w:r>
        <w:t>Figure 3.</w:t>
      </w:r>
      <w:r w:rsidR="00B51F53">
        <w:fldChar w:fldCharType="begin"/>
      </w:r>
      <w:r w:rsidR="00B51F53">
        <w:instrText xml:space="preserve"> SEQ Figure \* ARABIC </w:instrText>
      </w:r>
      <w:r w:rsidR="00B51F53">
        <w:fldChar w:fldCharType="separate"/>
      </w:r>
      <w:r w:rsidR="00823051">
        <w:rPr>
          <w:noProof/>
        </w:rPr>
        <w:t>2</w:t>
      </w:r>
      <w:r w:rsidR="00B51F53">
        <w:rPr>
          <w:noProof/>
        </w:rPr>
        <w:fldChar w:fldCharType="end"/>
      </w:r>
      <w:bookmarkEnd w:id="185"/>
      <w:r>
        <w:t>: Firing profile for the YSZ dense electrolyte. The sintering time was 4 h.</w:t>
      </w:r>
      <w:bookmarkEnd w:id="186"/>
    </w:p>
    <w:p w14:paraId="1495BC5E" w14:textId="77777777" w:rsidR="00007F6C" w:rsidRDefault="00007F6C" w:rsidP="00007F6C">
      <w:pPr>
        <w:jc w:val="center"/>
        <w:rPr>
          <w:rFonts w:cs="Arial"/>
        </w:rPr>
      </w:pPr>
      <w:r>
        <w:rPr>
          <w:rFonts w:cs="Arial"/>
          <w:noProof/>
          <w:lang w:eastAsia="en-GB"/>
        </w:rPr>
        <w:drawing>
          <wp:inline distT="0" distB="0" distL="0" distR="0" wp14:anchorId="4319484B" wp14:editId="493DA729">
            <wp:extent cx="3600000" cy="1334623"/>
            <wp:effectExtent l="0" t="0" r="635"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4369"/>
                    <a:stretch/>
                  </pic:blipFill>
                  <pic:spPr bwMode="auto">
                    <a:xfrm>
                      <a:off x="0" y="0"/>
                      <a:ext cx="3600000" cy="1334623"/>
                    </a:xfrm>
                    <a:prstGeom prst="rect">
                      <a:avLst/>
                    </a:prstGeom>
                    <a:noFill/>
                    <a:ln>
                      <a:noFill/>
                    </a:ln>
                    <a:extLst>
                      <a:ext uri="{53640926-AAD7-44D8-BBD7-CCE9431645EC}">
                        <a14:shadowObscured xmlns:a14="http://schemas.microsoft.com/office/drawing/2010/main"/>
                      </a:ext>
                    </a:extLst>
                  </pic:spPr>
                </pic:pic>
              </a:graphicData>
            </a:graphic>
          </wp:inline>
        </w:drawing>
      </w:r>
    </w:p>
    <w:p w14:paraId="4F681579" w14:textId="159AFC5C" w:rsidR="00007F6C" w:rsidRDefault="00007F6C" w:rsidP="00007F6C">
      <w:pPr>
        <w:pStyle w:val="Caption"/>
        <w:rPr>
          <w:rFonts w:cs="Arial"/>
        </w:rPr>
      </w:pPr>
      <w:bookmarkStart w:id="187" w:name="_Ref524428236"/>
      <w:bookmarkStart w:id="188" w:name="_Toc69114948"/>
      <w:r>
        <w:rPr>
          <w:rFonts w:cs="Arial"/>
        </w:rPr>
        <w:t>Figure 3.</w:t>
      </w:r>
      <w:r w:rsidR="00285C23">
        <w:rPr>
          <w:rFonts w:cs="Arial"/>
        </w:rPr>
        <w:fldChar w:fldCharType="begin"/>
      </w:r>
      <w:r w:rsidR="00285C23">
        <w:rPr>
          <w:rFonts w:cs="Arial"/>
        </w:rPr>
        <w:instrText xml:space="preserve"> SEQ Figure \* ARABIC </w:instrText>
      </w:r>
      <w:r w:rsidR="00285C23">
        <w:rPr>
          <w:rFonts w:cs="Arial"/>
        </w:rPr>
        <w:fldChar w:fldCharType="separate"/>
      </w:r>
      <w:r w:rsidR="00823051">
        <w:rPr>
          <w:rFonts w:cs="Arial"/>
          <w:noProof/>
        </w:rPr>
        <w:t>3</w:t>
      </w:r>
      <w:r w:rsidR="00285C23">
        <w:rPr>
          <w:rFonts w:cs="Arial"/>
        </w:rPr>
        <w:fldChar w:fldCharType="end"/>
      </w:r>
      <w:bookmarkEnd w:id="187"/>
      <w:r>
        <w:rPr>
          <w:rFonts w:cs="Arial"/>
        </w:rPr>
        <w:t>: Doctor blading technique to forming symmetrical porous samples – the black indicates the YSZ/C slurry and the white the electrolyte material. The black dotted line is 80µm thick scotch tape the red arrow indicates the direction of the blue doctor blade. Parts c. and d. show the doctor blading method repeated on the 2</w:t>
      </w:r>
      <w:r>
        <w:rPr>
          <w:rFonts w:cs="Arial"/>
          <w:vertAlign w:val="superscript"/>
        </w:rPr>
        <w:t>nd</w:t>
      </w:r>
      <w:r>
        <w:rPr>
          <w:rFonts w:cs="Arial"/>
        </w:rPr>
        <w:t xml:space="preserve"> side of the dense YSZ pellet and then fired to form two porous regions.</w:t>
      </w:r>
      <w:bookmarkEnd w:id="188"/>
    </w:p>
    <w:p w14:paraId="670CAD0E" w14:textId="77777777" w:rsidR="00007F6C" w:rsidRDefault="00007F6C" w:rsidP="00007F6C">
      <w:pPr>
        <w:keepNext/>
        <w:jc w:val="center"/>
        <w:rPr>
          <w:rFonts w:cs="Arial"/>
        </w:rPr>
      </w:pPr>
      <w:r>
        <w:rPr>
          <w:rFonts w:cs="Arial"/>
          <w:noProof/>
          <w:lang w:eastAsia="en-GB"/>
        </w:rPr>
        <w:drawing>
          <wp:inline distT="0" distB="0" distL="0" distR="0" wp14:anchorId="1780FD90" wp14:editId="4A8C4086">
            <wp:extent cx="5400000" cy="1748458"/>
            <wp:effectExtent l="0" t="0" r="0" b="444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00000" cy="1748458"/>
                    </a:xfrm>
                    <a:prstGeom prst="rect">
                      <a:avLst/>
                    </a:prstGeom>
                    <a:noFill/>
                    <a:ln>
                      <a:noFill/>
                    </a:ln>
                  </pic:spPr>
                </pic:pic>
              </a:graphicData>
            </a:graphic>
          </wp:inline>
        </w:drawing>
      </w:r>
    </w:p>
    <w:p w14:paraId="6C57D3B7" w14:textId="6E631129" w:rsidR="00007F6C" w:rsidRDefault="00007F6C" w:rsidP="00007F6C">
      <w:pPr>
        <w:pStyle w:val="Caption"/>
        <w:rPr>
          <w:rFonts w:cs="Arial"/>
        </w:rPr>
      </w:pPr>
      <w:bookmarkStart w:id="189" w:name="_Ref503793802"/>
      <w:bookmarkStart w:id="190" w:name="_Toc69114949"/>
      <w:r>
        <w:rPr>
          <w:rFonts w:cs="Arial"/>
        </w:rPr>
        <w:t>Figure 3.</w:t>
      </w:r>
      <w:r w:rsidR="00285C23">
        <w:rPr>
          <w:rFonts w:cs="Arial"/>
        </w:rPr>
        <w:fldChar w:fldCharType="begin"/>
      </w:r>
      <w:r w:rsidR="00285C23">
        <w:rPr>
          <w:rFonts w:cs="Arial"/>
        </w:rPr>
        <w:instrText xml:space="preserve"> SEQ Figure \* ARABIC </w:instrText>
      </w:r>
      <w:r w:rsidR="00285C23">
        <w:rPr>
          <w:rFonts w:cs="Arial"/>
        </w:rPr>
        <w:fldChar w:fldCharType="separate"/>
      </w:r>
      <w:r w:rsidR="00823051">
        <w:rPr>
          <w:rFonts w:cs="Arial"/>
          <w:noProof/>
        </w:rPr>
        <w:t>4</w:t>
      </w:r>
      <w:r w:rsidR="00285C23">
        <w:rPr>
          <w:rFonts w:cs="Arial"/>
        </w:rPr>
        <w:fldChar w:fldCharType="end"/>
      </w:r>
      <w:bookmarkEnd w:id="189"/>
      <w:r>
        <w:rPr>
          <w:rFonts w:cs="Arial"/>
        </w:rPr>
        <w:t>: Images of the doctor blading process. 1. Dense YSZ pellet with scotch tape, 2. Dried YSZ/C S1 of P2 and 3. Mounted doctor bladed YSZ P1 pellet on an SEM stub. S1 is facing upwards in image 3.</w:t>
      </w:r>
      <w:bookmarkEnd w:id="190"/>
    </w:p>
    <w:p w14:paraId="2FECF445" w14:textId="77777777" w:rsidR="00867A7F" w:rsidRDefault="00867A7F" w:rsidP="00007F6C">
      <w:pPr>
        <w:jc w:val="both"/>
        <w:rPr>
          <w:rFonts w:cs="Arial"/>
        </w:rPr>
      </w:pPr>
    </w:p>
    <w:p w14:paraId="00620753" w14:textId="15A4900A" w:rsidR="00007F6C" w:rsidRDefault="00007F6C" w:rsidP="00007F6C">
      <w:pPr>
        <w:jc w:val="both"/>
        <w:rPr>
          <w:rFonts w:cs="Arial"/>
        </w:rPr>
      </w:pPr>
      <w:r>
        <w:rPr>
          <w:rFonts w:cs="Arial"/>
        </w:rPr>
        <w:lastRenderedPageBreak/>
        <w:t>The ceramic ink was dried for 1 hour in a drying oven at 120</w:t>
      </w:r>
      <w:r w:rsidR="00823051">
        <w:rPr>
          <w:rFonts w:cs="Arial"/>
        </w:rPr>
        <w:t xml:space="preserve"> </w:t>
      </w:r>
      <w:r>
        <w:rPr>
          <w:rFonts w:cs="Arial"/>
        </w:rPr>
        <w:t>°C then the doctor blading process was repeated on the other side of the pellet. The ink layers were fired on top of the YSZ pellets using a dwell at 600°C for 2 hours to remove the organic compounds in the ink. This was followed by a high temperature-firing step at 1150</w:t>
      </w:r>
      <w:r w:rsidR="00823051">
        <w:rPr>
          <w:rFonts w:cs="Arial"/>
        </w:rPr>
        <w:t xml:space="preserve"> </w:t>
      </w:r>
      <w:r>
        <w:rPr>
          <w:rFonts w:cs="Arial"/>
        </w:rPr>
        <w:t xml:space="preserve">°C for 2 hours (See </w:t>
      </w:r>
      <w:r>
        <w:rPr>
          <w:rFonts w:cs="Arial"/>
        </w:rPr>
        <w:fldChar w:fldCharType="begin"/>
      </w:r>
      <w:r>
        <w:rPr>
          <w:rFonts w:cs="Arial"/>
        </w:rPr>
        <w:instrText xml:space="preserve"> REF _Ref503793802 \h  \* MERGEFORMAT </w:instrText>
      </w:r>
      <w:r>
        <w:rPr>
          <w:rFonts w:cs="Arial"/>
        </w:rPr>
      </w:r>
      <w:r>
        <w:rPr>
          <w:rFonts w:cs="Arial"/>
        </w:rPr>
        <w:fldChar w:fldCharType="separate"/>
      </w:r>
      <w:r w:rsidR="00867A7F">
        <w:rPr>
          <w:rFonts w:cs="Arial"/>
        </w:rPr>
        <w:t>Figure 3.45</w:t>
      </w:r>
      <w:r>
        <w:rPr>
          <w:rFonts w:cs="Arial"/>
        </w:rPr>
        <w:fldChar w:fldCharType="end"/>
      </w:r>
      <w:r>
        <w:rPr>
          <w:rFonts w:cs="Arial"/>
        </w:rPr>
        <w:t xml:space="preserve">). The firing temperature routine was programmed using a </w:t>
      </w:r>
      <w:proofErr w:type="spellStart"/>
      <w:r>
        <w:rPr>
          <w:rFonts w:cs="Arial"/>
        </w:rPr>
        <w:t>Eurotherm</w:t>
      </w:r>
      <w:proofErr w:type="spellEnd"/>
      <w:r>
        <w:rPr>
          <w:rFonts w:cs="Arial"/>
        </w:rPr>
        <w:t xml:space="preserve"> 2416 controller</w:t>
      </w:r>
      <w:r w:rsidR="00867A7F">
        <w:rPr>
          <w:rFonts w:cs="Arial"/>
        </w:rPr>
        <w:t xml:space="preserve"> and can be found in </w:t>
      </w:r>
      <w:r w:rsidR="00867A7F">
        <w:rPr>
          <w:rFonts w:cs="Arial"/>
        </w:rPr>
        <w:fldChar w:fldCharType="begin"/>
      </w:r>
      <w:r w:rsidR="00867A7F">
        <w:rPr>
          <w:rFonts w:cs="Arial"/>
        </w:rPr>
        <w:instrText xml:space="preserve"> REF _Ref68785626 \h </w:instrText>
      </w:r>
      <w:r w:rsidR="00867A7F">
        <w:rPr>
          <w:rFonts w:cs="Arial"/>
        </w:rPr>
      </w:r>
      <w:r w:rsidR="00867A7F">
        <w:rPr>
          <w:rFonts w:cs="Arial"/>
        </w:rPr>
        <w:fldChar w:fldCharType="separate"/>
      </w:r>
      <w:r w:rsidR="00823051">
        <w:t>Figure 3.</w:t>
      </w:r>
      <w:r w:rsidR="00823051">
        <w:rPr>
          <w:noProof/>
        </w:rPr>
        <w:t>5</w:t>
      </w:r>
      <w:r w:rsidR="00867A7F">
        <w:rPr>
          <w:rFonts w:cs="Arial"/>
        </w:rPr>
        <w:fldChar w:fldCharType="end"/>
      </w:r>
      <w:r>
        <w:rPr>
          <w:rFonts w:cs="Arial"/>
        </w:rPr>
        <w:t>.</w:t>
      </w:r>
    </w:p>
    <w:p w14:paraId="4BBFA7BC" w14:textId="77777777" w:rsidR="00007F6C" w:rsidRDefault="00007F6C" w:rsidP="00007F6C">
      <w:pPr>
        <w:keepNext/>
        <w:jc w:val="center"/>
      </w:pPr>
      <w:r w:rsidRPr="0094413B">
        <w:rPr>
          <w:rFonts w:cs="Arial"/>
          <w:noProof/>
        </w:rPr>
        <w:drawing>
          <wp:inline distT="0" distB="0" distL="0" distR="0" wp14:anchorId="01942BE6" wp14:editId="5F5009CF">
            <wp:extent cx="5040000" cy="3764051"/>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8">
                      <a:extLst>
                        <a:ext uri="{28A0092B-C50C-407E-A947-70E740481C1C}">
                          <a14:useLocalDpi xmlns:a14="http://schemas.microsoft.com/office/drawing/2010/main" val="0"/>
                        </a:ext>
                      </a:extLst>
                    </a:blip>
                    <a:srcRect l="6192" t="6307" r="3212" b="5105"/>
                    <a:stretch/>
                  </pic:blipFill>
                  <pic:spPr bwMode="auto">
                    <a:xfrm>
                      <a:off x="0" y="0"/>
                      <a:ext cx="5040000" cy="3764051"/>
                    </a:xfrm>
                    <a:prstGeom prst="rect">
                      <a:avLst/>
                    </a:prstGeom>
                    <a:noFill/>
                    <a:ln>
                      <a:noFill/>
                    </a:ln>
                    <a:extLst>
                      <a:ext uri="{53640926-AAD7-44D8-BBD7-CCE9431645EC}">
                        <a14:shadowObscured xmlns:a14="http://schemas.microsoft.com/office/drawing/2010/main"/>
                      </a:ext>
                    </a:extLst>
                  </pic:spPr>
                </pic:pic>
              </a:graphicData>
            </a:graphic>
          </wp:inline>
        </w:drawing>
      </w:r>
    </w:p>
    <w:p w14:paraId="1292B410" w14:textId="7628ACF9" w:rsidR="00007F6C" w:rsidRDefault="00007F6C" w:rsidP="00007F6C">
      <w:pPr>
        <w:pStyle w:val="Caption"/>
      </w:pPr>
      <w:bookmarkStart w:id="191" w:name="_Ref68785626"/>
      <w:bookmarkStart w:id="192" w:name="_Toc69114950"/>
      <w:r>
        <w:t>Figure 3.</w:t>
      </w:r>
      <w:r w:rsidR="00B51F53">
        <w:fldChar w:fldCharType="begin"/>
      </w:r>
      <w:r w:rsidR="00B51F53">
        <w:instrText xml:space="preserve"> SEQ Figure \* ARABIC </w:instrText>
      </w:r>
      <w:r w:rsidR="00B51F53">
        <w:fldChar w:fldCharType="separate"/>
      </w:r>
      <w:r w:rsidR="00823051">
        <w:rPr>
          <w:noProof/>
        </w:rPr>
        <w:t>5</w:t>
      </w:r>
      <w:r w:rsidR="00B51F53">
        <w:rPr>
          <w:noProof/>
        </w:rPr>
        <w:fldChar w:fldCharType="end"/>
      </w:r>
      <w:bookmarkEnd w:id="191"/>
      <w:r>
        <w:t xml:space="preserve">: Firing profile for the porous YSZ scaffolds for the fuel electrode </w:t>
      </w:r>
      <w:proofErr w:type="gramStart"/>
      <w:r>
        <w:t>samples</w:t>
      </w:r>
      <w:bookmarkEnd w:id="192"/>
      <w:proofErr w:type="gramEnd"/>
    </w:p>
    <w:p w14:paraId="5EC78142" w14:textId="77777777" w:rsidR="00007F6C" w:rsidRDefault="00007F6C" w:rsidP="00007F6C">
      <w:pPr>
        <w:pStyle w:val="Heading4"/>
      </w:pPr>
      <w:r>
        <w:t>3.1.1.1 Thickness measurements</w:t>
      </w:r>
    </w:p>
    <w:p w14:paraId="26B6AC33" w14:textId="77777777" w:rsidR="00007F6C" w:rsidRDefault="00007F6C" w:rsidP="00007F6C">
      <w:pPr>
        <w:jc w:val="both"/>
      </w:pPr>
      <w:r>
        <w:t xml:space="preserve">The non-infiltrated electrolyte was scored using a diamond scribe, </w:t>
      </w:r>
      <w:proofErr w:type="gramStart"/>
      <w:r>
        <w:t>sectioned</w:t>
      </w:r>
      <w:proofErr w:type="gramEnd"/>
      <w:r>
        <w:t xml:space="preserve"> and mounted onto a stainless-steel SEM stub using carbon tape (</w:t>
      </w:r>
      <w:r>
        <w:fldChar w:fldCharType="begin"/>
      </w:r>
      <w:r>
        <w:instrText xml:space="preserve"> REF _Ref50296234 \h  \* MERGEFORMAT </w:instrText>
      </w:r>
      <w:r>
        <w:fldChar w:fldCharType="separate"/>
      </w:r>
      <w:r>
        <w:t>Figure 3.6</w:t>
      </w:r>
      <w:r>
        <w:fldChar w:fldCharType="end"/>
      </w:r>
      <w:r>
        <w:t>). The mounted sample was coated with 10 nm of gold sputter coated using an Agar Sputter coater.</w:t>
      </w:r>
    </w:p>
    <w:p w14:paraId="48F8F798" w14:textId="77777777" w:rsidR="00007F6C" w:rsidRDefault="00007F6C" w:rsidP="00007F6C">
      <w:pPr>
        <w:keepNext/>
        <w:jc w:val="center"/>
      </w:pPr>
      <w:r>
        <w:rPr>
          <w:noProof/>
        </w:rPr>
        <w:drawing>
          <wp:inline distT="0" distB="0" distL="0" distR="0" wp14:anchorId="341FCA21" wp14:editId="7EAC444B">
            <wp:extent cx="2880000" cy="1745453"/>
            <wp:effectExtent l="0" t="0" r="0"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10 Witness sample - flush 25_01_18.jpg"/>
                    <pic:cNvPicPr/>
                  </pic:nvPicPr>
                  <pic:blipFill rotWithShape="1">
                    <a:blip r:embed="rId59" cstate="print">
                      <a:extLst>
                        <a:ext uri="{28A0092B-C50C-407E-A947-70E740481C1C}">
                          <a14:useLocalDpi xmlns:a14="http://schemas.microsoft.com/office/drawing/2010/main" val="0"/>
                        </a:ext>
                      </a:extLst>
                    </a:blip>
                    <a:srcRect l="13030" t="31907" r="34323" b="44163"/>
                    <a:stretch/>
                  </pic:blipFill>
                  <pic:spPr bwMode="auto">
                    <a:xfrm>
                      <a:off x="0" y="0"/>
                      <a:ext cx="2880000" cy="1745453"/>
                    </a:xfrm>
                    <a:prstGeom prst="rect">
                      <a:avLst/>
                    </a:prstGeom>
                    <a:ln>
                      <a:noFill/>
                    </a:ln>
                    <a:extLst>
                      <a:ext uri="{53640926-AAD7-44D8-BBD7-CCE9431645EC}">
                        <a14:shadowObscured xmlns:a14="http://schemas.microsoft.com/office/drawing/2010/main"/>
                      </a:ext>
                    </a:extLst>
                  </pic:spPr>
                </pic:pic>
              </a:graphicData>
            </a:graphic>
          </wp:inline>
        </w:drawing>
      </w:r>
    </w:p>
    <w:p w14:paraId="123F5E9C" w14:textId="623763FF" w:rsidR="00007F6C" w:rsidRDefault="00007F6C" w:rsidP="00007F6C">
      <w:pPr>
        <w:pStyle w:val="Caption"/>
      </w:pPr>
      <w:bookmarkStart w:id="193" w:name="_Ref50296234"/>
      <w:bookmarkStart w:id="194" w:name="_Toc69114951"/>
      <w:r>
        <w:t>Figure 3.</w:t>
      </w:r>
      <w:r w:rsidR="00B51F53">
        <w:fldChar w:fldCharType="begin"/>
      </w:r>
      <w:r w:rsidR="00B51F53">
        <w:instrText xml:space="preserve"> SEQ Figure \* ARABIC </w:instrText>
      </w:r>
      <w:r w:rsidR="00B51F53">
        <w:fldChar w:fldCharType="separate"/>
      </w:r>
      <w:r w:rsidR="00823051">
        <w:rPr>
          <w:noProof/>
        </w:rPr>
        <w:t>6</w:t>
      </w:r>
      <w:r w:rsidR="00B51F53">
        <w:rPr>
          <w:noProof/>
        </w:rPr>
        <w:fldChar w:fldCharType="end"/>
      </w:r>
      <w:bookmarkEnd w:id="193"/>
      <w:r>
        <w:t>: Photograph of the porous scaffold// YSZ electrolyte with porous YSZ scaffold mounted on a 45</w:t>
      </w:r>
      <w:r>
        <w:rPr>
          <w:rFonts w:cstheme="minorHAnsi"/>
        </w:rPr>
        <w:t>°</w:t>
      </w:r>
      <w:r>
        <w:t xml:space="preserve"> SEM sample stub prior to sputter </w:t>
      </w:r>
      <w:proofErr w:type="gramStart"/>
      <w:r>
        <w:t>coating</w:t>
      </w:r>
      <w:bookmarkEnd w:id="194"/>
      <w:proofErr w:type="gramEnd"/>
    </w:p>
    <w:p w14:paraId="241D38BA" w14:textId="3996EE8D" w:rsidR="00007F6C" w:rsidRDefault="00007F6C" w:rsidP="00007F6C">
      <w:pPr>
        <w:spacing w:line="256" w:lineRule="auto"/>
        <w:jc w:val="both"/>
      </w:pPr>
      <w:r>
        <w:t xml:space="preserve">The fired scaffolds were imaged using a </w:t>
      </w:r>
      <w:r w:rsidRPr="000A7F53">
        <w:rPr>
          <w:rFonts w:cs="Arial"/>
        </w:rPr>
        <w:t xml:space="preserve">JEOL JSM-6010LA </w:t>
      </w:r>
      <w:r>
        <w:t>Scanning Electron Microscope (</w:t>
      </w:r>
      <w:r>
        <w:fldChar w:fldCharType="begin"/>
      </w:r>
      <w:r>
        <w:instrText xml:space="preserve"> REF _Ref50283791 \h  \* MERGEFORMAT </w:instrText>
      </w:r>
      <w:r>
        <w:fldChar w:fldCharType="separate"/>
      </w:r>
      <w:r w:rsidR="00823051" w:rsidRPr="00E75504">
        <w:rPr>
          <w:rFonts w:cstheme="minorHAnsi"/>
        </w:rPr>
        <w:t xml:space="preserve">Figure </w:t>
      </w:r>
      <w:r w:rsidR="00823051">
        <w:rPr>
          <w:rFonts w:cstheme="minorHAnsi"/>
        </w:rPr>
        <w:t>3.48</w:t>
      </w:r>
      <w:r>
        <w:fldChar w:fldCharType="end"/>
      </w:r>
      <w:r>
        <w:t xml:space="preserve">). </w:t>
      </w:r>
    </w:p>
    <w:p w14:paraId="1015F7F0" w14:textId="77777777" w:rsidR="00007F6C" w:rsidRPr="00E75504" w:rsidRDefault="00007F6C" w:rsidP="00007F6C">
      <w:pPr>
        <w:keepNext/>
        <w:spacing w:after="0"/>
        <w:jc w:val="center"/>
        <w:rPr>
          <w:rFonts w:cstheme="minorHAnsi"/>
        </w:rPr>
      </w:pPr>
      <w:r w:rsidRPr="00E75504">
        <w:rPr>
          <w:rFonts w:cstheme="minorHAnsi"/>
          <w:noProof/>
          <w:lang w:eastAsia="en-GB"/>
        </w:rPr>
        <w:lastRenderedPageBreak/>
        <w:drawing>
          <wp:inline distT="0" distB="0" distL="0" distR="0" wp14:anchorId="2DE19684" wp14:editId="42580A96">
            <wp:extent cx="3702517" cy="1744345"/>
            <wp:effectExtent l="0" t="0" r="0" b="8255"/>
            <wp:docPr id="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34391"/>
                    <a:stretch/>
                  </pic:blipFill>
                  <pic:spPr bwMode="auto">
                    <a:xfrm>
                      <a:off x="0" y="0"/>
                      <a:ext cx="3718806" cy="1752019"/>
                    </a:xfrm>
                    <a:prstGeom prst="rect">
                      <a:avLst/>
                    </a:prstGeom>
                    <a:noFill/>
                    <a:ln>
                      <a:noFill/>
                    </a:ln>
                    <a:extLst>
                      <a:ext uri="{53640926-AAD7-44D8-BBD7-CCE9431645EC}">
                        <a14:shadowObscured xmlns:a14="http://schemas.microsoft.com/office/drawing/2010/main"/>
                      </a:ext>
                    </a:extLst>
                  </pic:spPr>
                </pic:pic>
              </a:graphicData>
            </a:graphic>
          </wp:inline>
        </w:drawing>
      </w:r>
    </w:p>
    <w:p w14:paraId="35D566CA" w14:textId="6A7A6DB4" w:rsidR="00007F6C" w:rsidRPr="00E75504" w:rsidRDefault="00007F6C" w:rsidP="00007F6C">
      <w:pPr>
        <w:pStyle w:val="Caption"/>
        <w:rPr>
          <w:rFonts w:cstheme="minorHAnsi"/>
        </w:rPr>
      </w:pPr>
      <w:bookmarkStart w:id="195" w:name="_Ref50283791"/>
      <w:bookmarkStart w:id="196" w:name="_Toc69114952"/>
      <w:r w:rsidRPr="00E75504">
        <w:rPr>
          <w:rFonts w:cstheme="minorHAnsi"/>
        </w:rPr>
        <w:t xml:space="preserve">Figure </w:t>
      </w:r>
      <w:r>
        <w:rPr>
          <w:rFonts w:cstheme="minorHAnsi"/>
        </w:rPr>
        <w:t>3.</w:t>
      </w:r>
      <w:r w:rsidR="00285C23">
        <w:rPr>
          <w:rFonts w:cstheme="minorHAnsi"/>
        </w:rPr>
        <w:fldChar w:fldCharType="begin"/>
      </w:r>
      <w:r w:rsidR="00285C23">
        <w:rPr>
          <w:rFonts w:cstheme="minorHAnsi"/>
        </w:rPr>
        <w:instrText xml:space="preserve"> SEQ Figure \* ARABIC </w:instrText>
      </w:r>
      <w:r w:rsidR="00285C23">
        <w:rPr>
          <w:rFonts w:cstheme="minorHAnsi"/>
        </w:rPr>
        <w:fldChar w:fldCharType="separate"/>
      </w:r>
      <w:r w:rsidR="00823051">
        <w:rPr>
          <w:rFonts w:cstheme="minorHAnsi"/>
          <w:noProof/>
        </w:rPr>
        <w:t>7</w:t>
      </w:r>
      <w:r w:rsidR="00285C23">
        <w:rPr>
          <w:rFonts w:cstheme="minorHAnsi"/>
        </w:rPr>
        <w:fldChar w:fldCharType="end"/>
      </w:r>
      <w:bookmarkEnd w:id="195"/>
      <w:r w:rsidRPr="00E75504">
        <w:rPr>
          <w:rFonts w:cstheme="minorHAnsi"/>
        </w:rPr>
        <w:t xml:space="preserve">: Scanning electron micrograph of the P10 ink layer. Measurements were done using the </w:t>
      </w:r>
      <w:r>
        <w:rPr>
          <w:rFonts w:cstheme="minorHAnsi"/>
        </w:rPr>
        <w:t xml:space="preserve">JEOL </w:t>
      </w:r>
      <w:proofErr w:type="spellStart"/>
      <w:r w:rsidRPr="00E75504">
        <w:rPr>
          <w:rFonts w:cstheme="minorHAnsi"/>
        </w:rPr>
        <w:t>Touch</w:t>
      </w:r>
      <w:r>
        <w:rPr>
          <w:rFonts w:cstheme="minorHAnsi"/>
        </w:rPr>
        <w:t>s</w:t>
      </w:r>
      <w:r w:rsidRPr="00E75504">
        <w:rPr>
          <w:rFonts w:cstheme="minorHAnsi"/>
        </w:rPr>
        <w:t>cope</w:t>
      </w:r>
      <w:proofErr w:type="spellEnd"/>
      <w:r w:rsidRPr="00E75504">
        <w:rPr>
          <w:rFonts w:cstheme="minorHAnsi"/>
        </w:rPr>
        <w:t xml:space="preserve"> software</w:t>
      </w:r>
      <w:bookmarkEnd w:id="196"/>
    </w:p>
    <w:p w14:paraId="56D51A7D" w14:textId="77777777" w:rsidR="00007F6C" w:rsidRPr="001D22A6" w:rsidRDefault="00007F6C" w:rsidP="00007F6C">
      <w:pPr>
        <w:pStyle w:val="Caption"/>
        <w:jc w:val="both"/>
        <w:rPr>
          <w:rFonts w:cstheme="minorHAnsi"/>
          <w:i w:val="0"/>
          <w:iCs w:val="0"/>
          <w:color w:val="auto"/>
          <w:sz w:val="22"/>
          <w:szCs w:val="22"/>
        </w:rPr>
      </w:pPr>
      <w:r w:rsidRPr="000C4613">
        <w:rPr>
          <w:rFonts w:cstheme="minorHAnsi"/>
          <w:i w:val="0"/>
          <w:iCs w:val="0"/>
          <w:color w:val="auto"/>
          <w:sz w:val="22"/>
          <w:szCs w:val="22"/>
        </w:rPr>
        <w:t xml:space="preserve">A total of eight measurements were taken using the JEOL </w:t>
      </w:r>
      <w:proofErr w:type="spellStart"/>
      <w:r w:rsidRPr="000C4613">
        <w:rPr>
          <w:rFonts w:cstheme="minorHAnsi"/>
          <w:i w:val="0"/>
          <w:iCs w:val="0"/>
          <w:color w:val="auto"/>
          <w:sz w:val="22"/>
          <w:szCs w:val="22"/>
        </w:rPr>
        <w:t>Touchscope</w:t>
      </w:r>
      <w:proofErr w:type="spellEnd"/>
      <w:r w:rsidRPr="000C4613">
        <w:rPr>
          <w:rFonts w:cstheme="minorHAnsi"/>
          <w:i w:val="0"/>
          <w:iCs w:val="0"/>
          <w:color w:val="auto"/>
          <w:sz w:val="22"/>
          <w:szCs w:val="22"/>
        </w:rPr>
        <w:t xml:space="preserve"> software so that an average thickness of the scaffold could be </w:t>
      </w:r>
      <w:r w:rsidRPr="001D22A6">
        <w:rPr>
          <w:rFonts w:cstheme="minorHAnsi"/>
          <w:i w:val="0"/>
          <w:iCs w:val="0"/>
          <w:color w:val="auto"/>
          <w:sz w:val="22"/>
          <w:szCs w:val="22"/>
        </w:rPr>
        <w:t>calculated</w:t>
      </w:r>
      <w:r>
        <w:rPr>
          <w:rFonts w:cstheme="minorHAnsi"/>
          <w:i w:val="0"/>
          <w:iCs w:val="0"/>
          <w:color w:val="auto"/>
          <w:sz w:val="22"/>
          <w:szCs w:val="22"/>
        </w:rPr>
        <w:t xml:space="preserve"> </w:t>
      </w:r>
      <w:r w:rsidRPr="001D22A6">
        <w:rPr>
          <w:rFonts w:cstheme="minorHAnsi"/>
          <w:i w:val="0"/>
          <w:iCs w:val="0"/>
          <w:color w:val="auto"/>
          <w:sz w:val="22"/>
          <w:szCs w:val="22"/>
        </w:rPr>
        <w:t>(</w:t>
      </w:r>
      <w:r w:rsidRPr="001D22A6">
        <w:rPr>
          <w:rFonts w:cstheme="minorHAnsi"/>
          <w:i w:val="0"/>
          <w:iCs w:val="0"/>
          <w:color w:val="auto"/>
          <w:sz w:val="22"/>
          <w:szCs w:val="22"/>
        </w:rPr>
        <w:fldChar w:fldCharType="begin"/>
      </w:r>
      <w:r w:rsidRPr="001D22A6">
        <w:rPr>
          <w:rFonts w:cstheme="minorHAnsi"/>
          <w:i w:val="0"/>
          <w:iCs w:val="0"/>
          <w:color w:val="auto"/>
          <w:sz w:val="22"/>
          <w:szCs w:val="22"/>
        </w:rPr>
        <w:instrText xml:space="preserve"> REF _Ref51159906 \h  \* MERGEFORMAT </w:instrText>
      </w:r>
      <w:r w:rsidRPr="001D22A6">
        <w:rPr>
          <w:rFonts w:cstheme="minorHAnsi"/>
          <w:i w:val="0"/>
          <w:iCs w:val="0"/>
          <w:color w:val="auto"/>
          <w:sz w:val="22"/>
          <w:szCs w:val="22"/>
        </w:rPr>
      </w:r>
      <w:r w:rsidRPr="001D22A6">
        <w:rPr>
          <w:rFonts w:cstheme="minorHAnsi"/>
          <w:i w:val="0"/>
          <w:iCs w:val="0"/>
          <w:color w:val="auto"/>
          <w:sz w:val="22"/>
          <w:szCs w:val="22"/>
        </w:rPr>
        <w:fldChar w:fldCharType="separate"/>
      </w:r>
      <w:r w:rsidRPr="00C103C3">
        <w:rPr>
          <w:rFonts w:cstheme="minorHAnsi"/>
          <w:i w:val="0"/>
          <w:iCs w:val="0"/>
          <w:color w:val="auto"/>
          <w:sz w:val="22"/>
          <w:szCs w:val="22"/>
        </w:rPr>
        <w:t>Table 3.1</w:t>
      </w:r>
      <w:r w:rsidRPr="001D22A6">
        <w:rPr>
          <w:rFonts w:cstheme="minorHAnsi"/>
          <w:i w:val="0"/>
          <w:iCs w:val="0"/>
          <w:color w:val="auto"/>
          <w:sz w:val="22"/>
          <w:szCs w:val="22"/>
        </w:rPr>
        <w:fldChar w:fldCharType="end"/>
      </w:r>
      <w:r w:rsidRPr="001D22A6">
        <w:rPr>
          <w:rFonts w:cstheme="minorHAnsi"/>
          <w:i w:val="0"/>
          <w:iCs w:val="0"/>
          <w:color w:val="auto"/>
          <w:sz w:val="22"/>
          <w:szCs w:val="22"/>
        </w:rPr>
        <w:t>).</w:t>
      </w:r>
    </w:p>
    <w:p w14:paraId="486615B6" w14:textId="29D1042A" w:rsidR="00007F6C" w:rsidRPr="000629A3" w:rsidRDefault="00007F6C" w:rsidP="00007F6C">
      <w:pPr>
        <w:pStyle w:val="Caption"/>
        <w:keepNext/>
        <w:rPr>
          <w:rFonts w:cstheme="minorHAnsi"/>
        </w:rPr>
      </w:pPr>
      <w:bookmarkStart w:id="197" w:name="_Ref505592498"/>
      <w:bookmarkStart w:id="198" w:name="_Ref51159906"/>
      <w:r w:rsidRPr="000629A3">
        <w:rPr>
          <w:rFonts w:cstheme="minorHAnsi"/>
        </w:rPr>
        <w:t xml:space="preserve">Table </w:t>
      </w:r>
      <w:r>
        <w:rPr>
          <w:rFonts w:cstheme="minorHAnsi"/>
        </w:rPr>
        <w:t>3.</w:t>
      </w:r>
      <w:bookmarkEnd w:id="197"/>
      <w:r>
        <w:rPr>
          <w:rFonts w:cstheme="minorHAnsi"/>
        </w:rPr>
        <w:fldChar w:fldCharType="begin"/>
      </w:r>
      <w:r>
        <w:rPr>
          <w:rFonts w:cstheme="minorHAnsi"/>
        </w:rPr>
        <w:instrText xml:space="preserve"> SEQ Table \* ARABIC \r 1 </w:instrText>
      </w:r>
      <w:r>
        <w:rPr>
          <w:rFonts w:cstheme="minorHAnsi"/>
        </w:rPr>
        <w:fldChar w:fldCharType="separate"/>
      </w:r>
      <w:r w:rsidR="00331279">
        <w:rPr>
          <w:rFonts w:cstheme="minorHAnsi"/>
          <w:noProof/>
        </w:rPr>
        <w:t>1</w:t>
      </w:r>
      <w:r>
        <w:rPr>
          <w:rFonts w:cstheme="minorHAnsi"/>
        </w:rPr>
        <w:fldChar w:fldCharType="end"/>
      </w:r>
      <w:bookmarkEnd w:id="198"/>
      <w:r w:rsidRPr="000629A3">
        <w:rPr>
          <w:rFonts w:cstheme="minorHAnsi"/>
        </w:rPr>
        <w:t xml:space="preserve">: A table detailing the different ink thicknesses in microns measured across </w:t>
      </w:r>
      <w:r>
        <w:rPr>
          <w:rFonts w:cstheme="minorHAnsi"/>
        </w:rPr>
        <w:fldChar w:fldCharType="begin"/>
      </w:r>
      <w:r>
        <w:rPr>
          <w:rFonts w:cstheme="minorHAnsi"/>
        </w:rPr>
        <w:instrText xml:space="preserve"> REF _Ref50283791 \h </w:instrText>
      </w:r>
      <w:r>
        <w:rPr>
          <w:rFonts w:cstheme="minorHAnsi"/>
        </w:rPr>
      </w:r>
      <w:r>
        <w:rPr>
          <w:rFonts w:cstheme="minorHAnsi"/>
        </w:rPr>
        <w:fldChar w:fldCharType="separate"/>
      </w:r>
      <w:r w:rsidRPr="00E75504">
        <w:rPr>
          <w:rFonts w:cstheme="minorHAnsi"/>
        </w:rPr>
        <w:t xml:space="preserve">Figure </w:t>
      </w:r>
      <w:r>
        <w:rPr>
          <w:rFonts w:cstheme="minorHAnsi"/>
        </w:rPr>
        <w:t>3.</w:t>
      </w:r>
      <w:r>
        <w:rPr>
          <w:rFonts w:cstheme="minorHAnsi"/>
          <w:noProof/>
        </w:rPr>
        <w:t>5</w:t>
      </w:r>
      <w:r>
        <w:rPr>
          <w:rFonts w:cstheme="minorHAnsi"/>
        </w:rPr>
        <w:fldChar w:fldCharType="end"/>
      </w:r>
    </w:p>
    <w:p w14:paraId="0F5BBAF7" w14:textId="77777777" w:rsidR="00007F6C" w:rsidRPr="009D7277" w:rsidRDefault="00007F6C" w:rsidP="00007F6C">
      <w:pPr>
        <w:jc w:val="center"/>
        <w:rPr>
          <w:rFonts w:ascii="Arial" w:hAnsi="Arial" w:cs="Arial"/>
        </w:rPr>
      </w:pPr>
      <w:r w:rsidRPr="009D7277">
        <w:rPr>
          <w:rFonts w:ascii="Arial" w:hAnsi="Arial" w:cs="Arial"/>
          <w:noProof/>
          <w:lang w:eastAsia="en-GB"/>
        </w:rPr>
        <w:drawing>
          <wp:inline distT="0" distB="0" distL="0" distR="0" wp14:anchorId="469B0504" wp14:editId="441C5334">
            <wp:extent cx="2520000" cy="2520000"/>
            <wp:effectExtent l="0" t="0" r="0" b="0"/>
            <wp:docPr id="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pic:spPr>
                </pic:pic>
              </a:graphicData>
            </a:graphic>
          </wp:inline>
        </w:drawing>
      </w:r>
    </w:p>
    <w:p w14:paraId="4D205305" w14:textId="34E77D88" w:rsidR="00007F6C" w:rsidRPr="000629A3" w:rsidRDefault="00007F6C" w:rsidP="00007F6C">
      <w:pPr>
        <w:jc w:val="both"/>
        <w:rPr>
          <w:rFonts w:cstheme="minorHAnsi"/>
        </w:rPr>
      </w:pPr>
      <w:r w:rsidRPr="000629A3">
        <w:rPr>
          <w:rFonts w:cstheme="minorHAnsi"/>
        </w:rPr>
        <w:t>The thickness reduction of the YSZ/graphite ink during firing amounted to 55.54</w:t>
      </w:r>
      <w:r w:rsidR="000E31C9">
        <w:rPr>
          <w:rFonts w:cstheme="minorHAnsi"/>
        </w:rPr>
        <w:t xml:space="preserve"> </w:t>
      </w:r>
      <w:r w:rsidRPr="000629A3">
        <w:rPr>
          <w:rFonts w:cstheme="minorHAnsi"/>
        </w:rPr>
        <w:t>% height loss. This was slightly lower than the anticipated 62.5</w:t>
      </w:r>
      <w:r w:rsidR="00823051">
        <w:rPr>
          <w:rFonts w:cstheme="minorHAnsi"/>
        </w:rPr>
        <w:t xml:space="preserve"> </w:t>
      </w:r>
      <w:r w:rsidRPr="000629A3">
        <w:rPr>
          <w:rFonts w:cstheme="minorHAnsi"/>
        </w:rPr>
        <w:t>% (80</w:t>
      </w:r>
      <w:r>
        <w:rPr>
          <w:rFonts w:cstheme="minorHAnsi"/>
        </w:rPr>
        <w:t xml:space="preserve"> </w:t>
      </w:r>
      <w:proofErr w:type="spellStart"/>
      <w:r w:rsidRPr="000629A3">
        <w:rPr>
          <w:rFonts w:cstheme="minorHAnsi"/>
        </w:rPr>
        <w:t>μm</w:t>
      </w:r>
      <w:proofErr w:type="spellEnd"/>
      <w:r w:rsidRPr="000629A3">
        <w:rPr>
          <w:rFonts w:cstheme="minorHAnsi"/>
        </w:rPr>
        <w:t xml:space="preserve"> →30</w:t>
      </w:r>
      <w:r>
        <w:rPr>
          <w:rFonts w:cstheme="minorHAnsi"/>
        </w:rPr>
        <w:t xml:space="preserve"> </w:t>
      </w:r>
      <w:proofErr w:type="spellStart"/>
      <w:r w:rsidRPr="000629A3">
        <w:rPr>
          <w:rFonts w:cstheme="minorHAnsi"/>
        </w:rPr>
        <w:t>μm</w:t>
      </w:r>
      <w:proofErr w:type="spellEnd"/>
      <w:r w:rsidRPr="000629A3">
        <w:rPr>
          <w:rFonts w:cstheme="minorHAnsi"/>
        </w:rPr>
        <w:t>). The diameter of the circular pores in the ink section pores measured between 0.5-1.0</w:t>
      </w:r>
      <w:r>
        <w:rPr>
          <w:rFonts w:cstheme="minorHAnsi"/>
        </w:rPr>
        <w:t xml:space="preserve"> </w:t>
      </w:r>
      <w:proofErr w:type="spellStart"/>
      <w:r w:rsidRPr="000629A3">
        <w:rPr>
          <w:rFonts w:cstheme="minorHAnsi"/>
        </w:rPr>
        <w:t>μm</w:t>
      </w:r>
      <w:proofErr w:type="spellEnd"/>
      <w:r w:rsidRPr="000629A3">
        <w:rPr>
          <w:rFonts w:cstheme="minorHAnsi"/>
        </w:rPr>
        <w:t xml:space="preserve"> which will be ideal for infiltration of sub 50</w:t>
      </w:r>
      <w:r w:rsidR="00823051">
        <w:rPr>
          <w:rFonts w:cstheme="minorHAnsi"/>
        </w:rPr>
        <w:t xml:space="preserve"> </w:t>
      </w:r>
      <w:proofErr w:type="spellStart"/>
      <w:r w:rsidRPr="000629A3">
        <w:rPr>
          <w:rFonts w:cstheme="minorHAnsi"/>
        </w:rPr>
        <w:t>μm</w:t>
      </w:r>
      <w:proofErr w:type="spellEnd"/>
      <w:r w:rsidRPr="000629A3">
        <w:rPr>
          <w:rFonts w:cstheme="minorHAnsi"/>
        </w:rPr>
        <w:t xml:space="preserve"> catalytic particles and for sufficient gas percolation. The scaffold was deemed suitable for infiltration.</w:t>
      </w:r>
    </w:p>
    <w:p w14:paraId="6C1DD6FB" w14:textId="77777777" w:rsidR="00007F6C" w:rsidRDefault="00007F6C" w:rsidP="00007F6C">
      <w:pPr>
        <w:pStyle w:val="Heading3"/>
        <w:jc w:val="both"/>
        <w:rPr>
          <w:rFonts w:asciiTheme="minorHAnsi" w:hAnsiTheme="minorHAnsi" w:cs="Arial"/>
        </w:rPr>
      </w:pPr>
      <w:bookmarkStart w:id="199" w:name="_Toc69129379"/>
      <w:r>
        <w:rPr>
          <w:rFonts w:asciiTheme="minorHAnsi" w:hAnsiTheme="minorHAnsi" w:cs="Arial"/>
        </w:rPr>
        <w:t>3.1.2 Infiltrate Solution Production</w:t>
      </w:r>
      <w:bookmarkEnd w:id="199"/>
    </w:p>
    <w:p w14:paraId="4FCD582A" w14:textId="52997834" w:rsidR="00007F6C" w:rsidRDefault="00007F6C" w:rsidP="00007F6C">
      <w:pPr>
        <w:jc w:val="both"/>
      </w:pPr>
      <w:r>
        <w:t>The hydrated nickel nitrate (Sigma Aldrich, UK) solute was weighed using a</w:t>
      </w:r>
      <w:r w:rsidRPr="00BF0362">
        <w:t xml:space="preserve"> Sartorius analytical </w:t>
      </w:r>
      <w:r>
        <w:t>balance. The solvent (de-ionised water) was added to the solute after measurement in a volumetric flask, followed by 1 wt % Triton X-114 dispersant (Sigma Aldrich, UK) (</w:t>
      </w:r>
      <w:r>
        <w:fldChar w:fldCharType="begin"/>
      </w:r>
      <w:r>
        <w:instrText xml:space="preserve"> REF _Ref50296313 \h </w:instrText>
      </w:r>
      <w:r>
        <w:fldChar w:fldCharType="separate"/>
      </w:r>
      <w:r>
        <w:t>Table 3.</w:t>
      </w:r>
      <w:r>
        <w:rPr>
          <w:noProof/>
        </w:rPr>
        <w:t>2</w:t>
      </w:r>
      <w:r>
        <w:fldChar w:fldCharType="end"/>
      </w:r>
      <w:r>
        <w:t xml:space="preserve">). The 5-M concentration solution was mixed using a </w:t>
      </w:r>
      <w:proofErr w:type="spellStart"/>
      <w:r>
        <w:t>CamLab</w:t>
      </w:r>
      <w:proofErr w:type="spellEnd"/>
      <w:r>
        <w:t xml:space="preserve"> MS-H280-Pro Magnetic Hotplate Stirrer at 100 rpm for 2h at 50</w:t>
      </w:r>
      <w:r w:rsidR="00331279">
        <w:t xml:space="preserve"> </w:t>
      </w:r>
      <w:r>
        <w:rPr>
          <w:rFonts w:cstheme="minorHAnsi"/>
        </w:rPr>
        <w:t>°</w:t>
      </w:r>
      <w:r>
        <w:t xml:space="preserve">C. The choice of molarity was to provide some comparability to papers for the </w:t>
      </w:r>
      <w:r>
        <w:rPr>
          <w:i/>
          <w:iCs/>
        </w:rPr>
        <w:t xml:space="preserve">Barnett </w:t>
      </w:r>
      <w:r>
        <w:t xml:space="preserve">group </w:t>
      </w:r>
      <w:r w:rsidRPr="00E77C5D">
        <w:fldChar w:fldCharType="begin" w:fldLock="1"/>
      </w:r>
      <w:r w:rsidR="00D80A5D">
        <w:instrText>ADDIN CSL_CITATION {"citationItems":[{"id":"ITEM-1","itemData":{"DOI":"10.1002/fuce.201300155","ISSN":"16156846","abstract":"This paper describes Sr0.8La0.2TiO3 (SLT)-supported solid oxide fuel cells with a thin (La0.9Sr 0.1)0.98Ga0.8Mg0.2O 3-δ (LSGM) electrolyte and porous LSGM anode functional layer (AFL). Optimized processing for the SLT support bisque firing, LSGM electrolyte layer co-firing, and LSGM AFL colloidal composition is presented. Cells without a functional layer yielded a power density of 228 mW cm-2 at 650°C, while cells with a porous LSGM functional layer yielded a power density of 434 mW cm-2 at 650°C. Cells with an AFL yielded a higher open circuit voltage, possibly due to reduced Ti diffusion into the electrolyte. Infiltration produced Ni nanoparticles within the support and AFL, which proved crucial for the electrochemical activity of the anode. Power densities increased with increasing Ni loadings, reaching 514 mW cm-2 at 650°C for 5.1 vol.% Ni loading. Electrochemical impedance spectroscopy analysis indicated that the cell resistance was dominated by the cathode and electrolyte resistance with the anode resistance being relatively small. © 2013 WILEY-VCH Verlag GmbH &amp; Co. KGaA, Weinheim.","author":[{"dropping-particle":"","family":"Miller","given":"E. C.","non-dropping-particle":"","parse-names":false,"suffix":""},{"dropping-particle":"","family":"Gao","given":"Z.","non-dropping-particle":"","parse-names":false,"suffix":""},{"dropping-particle":"","family":"Barnett","given":"S. A.","non-dropping-particle":"","parse-names":false,"suffix":""}],"container-title":"Fuel Cells","id":"ITEM-1","issue":"6","issued":{"date-parts":[["2013"]]},"page":"1060-1067","title":"Fabrication of solid oxide fuel cells with a thin (La0.9Sr 0.1)0.98(Ga0.8Mg0.2)O 3-δ electrolyte on a Sr0.8La0.2TiO 3 support","type":"article-journal","volume":"13"},"uris":["http://www.mendeley.com/documents/?uuid=376acc49-374e-457f-aef0-9d9652550dd1"]}],"mendeley":{"formattedCitation":"[313]","plainTextFormattedCitation":"[313]","previouslyFormattedCitation":"[313]"},"properties":{"noteIndex":0},"schema":"https://github.com/citation-style-language/schema/raw/master/csl-citation.json"}</w:instrText>
      </w:r>
      <w:r w:rsidRPr="00E77C5D">
        <w:fldChar w:fldCharType="separate"/>
      </w:r>
      <w:r w:rsidR="006C586A" w:rsidRPr="006C586A">
        <w:rPr>
          <w:noProof/>
        </w:rPr>
        <w:t>[313]</w:t>
      </w:r>
      <w:r w:rsidRPr="00E77C5D">
        <w:fldChar w:fldCharType="end"/>
      </w:r>
      <w:r>
        <w:t>. It also consequently reduced the number of infiltrations to reach 20 vol %.</w:t>
      </w:r>
    </w:p>
    <w:p w14:paraId="13BC1C33" w14:textId="6FD9DBA1" w:rsidR="00007F6C" w:rsidRDefault="00007F6C" w:rsidP="00007F6C">
      <w:pPr>
        <w:pStyle w:val="Caption"/>
        <w:keepNext/>
      </w:pPr>
      <w:bookmarkStart w:id="200" w:name="_Ref50296313"/>
      <w:r>
        <w:t>Table 3.</w:t>
      </w:r>
      <w:r w:rsidR="00B51F53">
        <w:fldChar w:fldCharType="begin"/>
      </w:r>
      <w:r w:rsidR="00B51F53">
        <w:instrText xml:space="preserve"> SEQ Table</w:instrText>
      </w:r>
      <w:r w:rsidR="00B51F53">
        <w:instrText xml:space="preserve"> \* ARABIC </w:instrText>
      </w:r>
      <w:r w:rsidR="00B51F53">
        <w:fldChar w:fldCharType="separate"/>
      </w:r>
      <w:r w:rsidR="00331279">
        <w:rPr>
          <w:noProof/>
        </w:rPr>
        <w:t>2</w:t>
      </w:r>
      <w:r w:rsidR="00B51F53">
        <w:rPr>
          <w:noProof/>
        </w:rPr>
        <w:fldChar w:fldCharType="end"/>
      </w:r>
      <w:bookmarkEnd w:id="200"/>
      <w:r>
        <w:t xml:space="preserve">: Table detailing the chemicals used to produce the aqueous 5M nickel nitrate </w:t>
      </w:r>
      <w:proofErr w:type="gramStart"/>
      <w:r>
        <w:t>solution</w:t>
      </w:r>
      <w:proofErr w:type="gramEnd"/>
    </w:p>
    <w:tbl>
      <w:tblPr>
        <w:tblStyle w:val="TableGrid"/>
        <w:tblW w:w="0" w:type="auto"/>
        <w:jc w:val="center"/>
        <w:tblLook w:val="04A0" w:firstRow="1" w:lastRow="0" w:firstColumn="1" w:lastColumn="0" w:noHBand="0" w:noVBand="1"/>
      </w:tblPr>
      <w:tblGrid>
        <w:gridCol w:w="1938"/>
        <w:gridCol w:w="2834"/>
        <w:gridCol w:w="1605"/>
      </w:tblGrid>
      <w:tr w:rsidR="00007F6C" w14:paraId="24B306AF" w14:textId="77777777" w:rsidTr="005E2F1E">
        <w:trPr>
          <w:jc w:val="center"/>
        </w:trPr>
        <w:tc>
          <w:tcPr>
            <w:tcW w:w="1938" w:type="dxa"/>
          </w:tcPr>
          <w:p w14:paraId="32929B4F" w14:textId="77777777" w:rsidR="00007F6C" w:rsidRPr="007F5BDC" w:rsidRDefault="00007F6C" w:rsidP="005E2F1E">
            <w:pPr>
              <w:jc w:val="both"/>
              <w:rPr>
                <w:b/>
              </w:rPr>
            </w:pPr>
            <w:r w:rsidRPr="007F5BDC">
              <w:rPr>
                <w:b/>
              </w:rPr>
              <w:t>Substance Composition</w:t>
            </w:r>
          </w:p>
        </w:tc>
        <w:tc>
          <w:tcPr>
            <w:tcW w:w="2834" w:type="dxa"/>
          </w:tcPr>
          <w:p w14:paraId="3D5CE3D1" w14:textId="77777777" w:rsidR="00007F6C" w:rsidRPr="007F5BDC" w:rsidRDefault="00007F6C" w:rsidP="005E2F1E">
            <w:pPr>
              <w:jc w:val="both"/>
              <w:rPr>
                <w:b/>
              </w:rPr>
            </w:pPr>
            <w:r>
              <w:rPr>
                <w:b/>
              </w:rPr>
              <w:t>Name/Role</w:t>
            </w:r>
          </w:p>
        </w:tc>
        <w:tc>
          <w:tcPr>
            <w:tcW w:w="1605" w:type="dxa"/>
          </w:tcPr>
          <w:p w14:paraId="2F9C92A8" w14:textId="77777777" w:rsidR="00007F6C" w:rsidRPr="007F5BDC" w:rsidRDefault="00007F6C" w:rsidP="005E2F1E">
            <w:pPr>
              <w:jc w:val="both"/>
              <w:rPr>
                <w:b/>
              </w:rPr>
            </w:pPr>
            <w:r w:rsidRPr="007F5BDC">
              <w:rPr>
                <w:b/>
              </w:rPr>
              <w:t>Supplier</w:t>
            </w:r>
          </w:p>
        </w:tc>
      </w:tr>
      <w:tr w:rsidR="00007F6C" w14:paraId="103C7A94" w14:textId="77777777" w:rsidTr="005E2F1E">
        <w:trPr>
          <w:jc w:val="center"/>
        </w:trPr>
        <w:tc>
          <w:tcPr>
            <w:tcW w:w="1938" w:type="dxa"/>
          </w:tcPr>
          <w:p w14:paraId="03141E47" w14:textId="77777777" w:rsidR="00007F6C" w:rsidRDefault="00007F6C" w:rsidP="005E2F1E">
            <w:pPr>
              <w:jc w:val="both"/>
            </w:pPr>
            <w:r w:rsidRPr="00FB3434">
              <w:t>Ni (NO</w:t>
            </w:r>
            <w:r w:rsidRPr="00FB3434">
              <w:rPr>
                <w:vertAlign w:val="subscript"/>
              </w:rPr>
              <w:t>3</w:t>
            </w:r>
            <w:r w:rsidRPr="00624788">
              <w:t>)</w:t>
            </w:r>
            <w:r w:rsidRPr="00FB3434">
              <w:rPr>
                <w:vertAlign w:val="subscript"/>
              </w:rPr>
              <w:t>2</w:t>
            </w:r>
            <w:r w:rsidRPr="00FB3434">
              <w:t>.6H</w:t>
            </w:r>
            <w:r w:rsidRPr="00FB3434">
              <w:rPr>
                <w:vertAlign w:val="subscript"/>
              </w:rPr>
              <w:t>2</w:t>
            </w:r>
            <w:r w:rsidRPr="00FB3434">
              <w:t>O</w:t>
            </w:r>
          </w:p>
        </w:tc>
        <w:tc>
          <w:tcPr>
            <w:tcW w:w="2834" w:type="dxa"/>
          </w:tcPr>
          <w:p w14:paraId="35DA2DD6" w14:textId="77777777" w:rsidR="00007F6C" w:rsidRDefault="00007F6C" w:rsidP="005E2F1E">
            <w:pPr>
              <w:jc w:val="both"/>
            </w:pPr>
            <w:r>
              <w:t>Nickel nitrate hexa-hydrate</w:t>
            </w:r>
          </w:p>
        </w:tc>
        <w:tc>
          <w:tcPr>
            <w:tcW w:w="1605" w:type="dxa"/>
          </w:tcPr>
          <w:p w14:paraId="0E1D2C63" w14:textId="77777777" w:rsidR="00007F6C" w:rsidRDefault="00007F6C" w:rsidP="005E2F1E">
            <w:pPr>
              <w:jc w:val="both"/>
            </w:pPr>
            <w:r>
              <w:t>Sigma Aldrich</w:t>
            </w:r>
          </w:p>
        </w:tc>
      </w:tr>
      <w:tr w:rsidR="00007F6C" w14:paraId="78F3BA72" w14:textId="77777777" w:rsidTr="005E2F1E">
        <w:trPr>
          <w:jc w:val="center"/>
        </w:trPr>
        <w:tc>
          <w:tcPr>
            <w:tcW w:w="1938" w:type="dxa"/>
          </w:tcPr>
          <w:p w14:paraId="7B374479" w14:textId="77777777" w:rsidR="00007F6C" w:rsidRPr="00FF19D3" w:rsidRDefault="00007F6C" w:rsidP="005E2F1E">
            <w:pPr>
              <w:jc w:val="both"/>
            </w:pPr>
            <w:r>
              <w:t>H</w:t>
            </w:r>
            <w:r>
              <w:rPr>
                <w:vertAlign w:val="subscript"/>
              </w:rPr>
              <w:t>2</w:t>
            </w:r>
            <w:r>
              <w:t>O</w:t>
            </w:r>
          </w:p>
        </w:tc>
        <w:tc>
          <w:tcPr>
            <w:tcW w:w="2834" w:type="dxa"/>
          </w:tcPr>
          <w:p w14:paraId="124AC574" w14:textId="77777777" w:rsidR="00007F6C" w:rsidRDefault="00007F6C" w:rsidP="005E2F1E">
            <w:pPr>
              <w:jc w:val="both"/>
            </w:pPr>
            <w:r>
              <w:t>De-ionised water / solvent</w:t>
            </w:r>
          </w:p>
        </w:tc>
        <w:tc>
          <w:tcPr>
            <w:tcW w:w="1605" w:type="dxa"/>
          </w:tcPr>
          <w:p w14:paraId="5985B168" w14:textId="77777777" w:rsidR="00007F6C" w:rsidRDefault="00007F6C" w:rsidP="005E2F1E">
            <w:pPr>
              <w:jc w:val="both"/>
            </w:pPr>
            <w:r>
              <w:t>CBE (</w:t>
            </w:r>
            <w:proofErr w:type="spellStart"/>
            <w:r>
              <w:t>UoS</w:t>
            </w:r>
            <w:proofErr w:type="spellEnd"/>
            <w:r>
              <w:t>)</w:t>
            </w:r>
          </w:p>
        </w:tc>
      </w:tr>
      <w:tr w:rsidR="00007F6C" w14:paraId="69A349B2" w14:textId="77777777" w:rsidTr="005E2F1E">
        <w:trPr>
          <w:jc w:val="center"/>
        </w:trPr>
        <w:tc>
          <w:tcPr>
            <w:tcW w:w="1938" w:type="dxa"/>
          </w:tcPr>
          <w:p w14:paraId="3944952F" w14:textId="77777777" w:rsidR="00007F6C" w:rsidRDefault="00007F6C" w:rsidP="005E2F1E">
            <w:pPr>
              <w:jc w:val="both"/>
            </w:pPr>
            <w:r>
              <w:t>Triton X-114</w:t>
            </w:r>
          </w:p>
        </w:tc>
        <w:tc>
          <w:tcPr>
            <w:tcW w:w="2834" w:type="dxa"/>
          </w:tcPr>
          <w:p w14:paraId="171C09F6" w14:textId="77777777" w:rsidR="00007F6C" w:rsidRDefault="00007F6C" w:rsidP="005E2F1E">
            <w:pPr>
              <w:jc w:val="both"/>
            </w:pPr>
            <w:r>
              <w:t>Triton X-114 / Dispersant</w:t>
            </w:r>
          </w:p>
        </w:tc>
        <w:tc>
          <w:tcPr>
            <w:tcW w:w="1605" w:type="dxa"/>
          </w:tcPr>
          <w:p w14:paraId="29B6ECB3" w14:textId="77777777" w:rsidR="00007F6C" w:rsidRDefault="00007F6C" w:rsidP="005E2F1E">
            <w:pPr>
              <w:jc w:val="both"/>
            </w:pPr>
            <w:r>
              <w:t>Sigma Aldrich</w:t>
            </w:r>
          </w:p>
        </w:tc>
      </w:tr>
    </w:tbl>
    <w:p w14:paraId="384F141F" w14:textId="4026CFD0" w:rsidR="00007F6C" w:rsidRDefault="00007F6C" w:rsidP="00007F6C">
      <w:pPr>
        <w:pStyle w:val="Heading3"/>
        <w:jc w:val="both"/>
        <w:rPr>
          <w:rFonts w:asciiTheme="minorHAnsi" w:hAnsiTheme="minorHAnsi" w:cs="Arial"/>
        </w:rPr>
      </w:pPr>
      <w:bookmarkStart w:id="201" w:name="_Ref38440241"/>
      <w:bookmarkStart w:id="202" w:name="_Toc69129380"/>
      <w:r>
        <w:rPr>
          <w:rFonts w:asciiTheme="minorHAnsi" w:hAnsiTheme="minorHAnsi" w:cs="Arial"/>
        </w:rPr>
        <w:lastRenderedPageBreak/>
        <w:t xml:space="preserve">3.1.3 Infiltration and </w:t>
      </w:r>
      <w:r w:rsidR="001F7341">
        <w:rPr>
          <w:rFonts w:asciiTheme="minorHAnsi" w:hAnsiTheme="minorHAnsi" w:cs="Arial"/>
        </w:rPr>
        <w:t>D</w:t>
      </w:r>
      <w:r>
        <w:rPr>
          <w:rFonts w:asciiTheme="minorHAnsi" w:hAnsiTheme="minorHAnsi" w:cs="Arial"/>
        </w:rPr>
        <w:t xml:space="preserve">rying of </w:t>
      </w:r>
      <w:r w:rsidR="001F7341">
        <w:rPr>
          <w:rFonts w:asciiTheme="minorHAnsi" w:hAnsiTheme="minorHAnsi" w:cs="Arial"/>
        </w:rPr>
        <w:t>N</w:t>
      </w:r>
      <w:r>
        <w:rPr>
          <w:rFonts w:asciiTheme="minorHAnsi" w:hAnsiTheme="minorHAnsi" w:cs="Arial"/>
        </w:rPr>
        <w:t xml:space="preserve">ickel </w:t>
      </w:r>
      <w:r w:rsidR="001F7341">
        <w:rPr>
          <w:rFonts w:asciiTheme="minorHAnsi" w:hAnsiTheme="minorHAnsi" w:cs="Arial"/>
        </w:rPr>
        <w:t>C</w:t>
      </w:r>
      <w:r>
        <w:rPr>
          <w:rFonts w:asciiTheme="minorHAnsi" w:hAnsiTheme="minorHAnsi" w:cs="Arial"/>
        </w:rPr>
        <w:t>atalysts</w:t>
      </w:r>
      <w:bookmarkEnd w:id="201"/>
      <w:bookmarkEnd w:id="202"/>
    </w:p>
    <w:p w14:paraId="4CC3B6AA" w14:textId="60E5F554" w:rsidR="00007F6C" w:rsidRDefault="00007F6C" w:rsidP="00007F6C">
      <w:pPr>
        <w:jc w:val="both"/>
        <w:rPr>
          <w:rFonts w:cs="Arial"/>
          <w:szCs w:val="24"/>
        </w:rPr>
      </w:pPr>
      <w:r>
        <w:rPr>
          <w:rFonts w:cs="Arial"/>
          <w:szCs w:val="24"/>
        </w:rPr>
        <w:t xml:space="preserve">10 </w:t>
      </w:r>
      <w:proofErr w:type="spellStart"/>
      <w:r>
        <w:rPr>
          <w:rFonts w:cs="Arial"/>
          <w:szCs w:val="24"/>
        </w:rPr>
        <w:t>μL</w:t>
      </w:r>
      <w:proofErr w:type="spellEnd"/>
      <w:r>
        <w:rPr>
          <w:rFonts w:cs="Arial"/>
          <w:szCs w:val="24"/>
        </w:rPr>
        <w:t xml:space="preserve"> of 5 M </w:t>
      </w:r>
      <w:proofErr w:type="gramStart"/>
      <w:r>
        <w:rPr>
          <w:rFonts w:cs="Arial"/>
          <w:szCs w:val="24"/>
        </w:rPr>
        <w:t>Ni(</w:t>
      </w:r>
      <w:proofErr w:type="gramEnd"/>
      <w:r>
        <w:rPr>
          <w:rFonts w:cs="Arial"/>
          <w:szCs w:val="24"/>
        </w:rPr>
        <w:t>NO</w:t>
      </w:r>
      <w:r>
        <w:rPr>
          <w:rFonts w:cs="Arial"/>
          <w:szCs w:val="24"/>
          <w:vertAlign w:val="subscript"/>
        </w:rPr>
        <w:t>3</w:t>
      </w:r>
      <w:r>
        <w:rPr>
          <w:rFonts w:cs="Arial"/>
          <w:szCs w:val="24"/>
        </w:rPr>
        <w:t>)</w:t>
      </w:r>
      <w:r>
        <w:rPr>
          <w:rFonts w:cs="Arial"/>
          <w:szCs w:val="24"/>
          <w:vertAlign w:val="subscript"/>
        </w:rPr>
        <w:t>2</w:t>
      </w:r>
      <w:r>
        <w:rPr>
          <w:rFonts w:cs="Arial"/>
          <w:szCs w:val="24"/>
        </w:rPr>
        <w:t>.6H</w:t>
      </w:r>
      <w:r>
        <w:rPr>
          <w:rFonts w:cs="Arial"/>
          <w:szCs w:val="24"/>
          <w:vertAlign w:val="subscript"/>
        </w:rPr>
        <w:t>2</w:t>
      </w:r>
      <w:r>
        <w:rPr>
          <w:rFonts w:cs="Arial"/>
          <w:szCs w:val="24"/>
        </w:rPr>
        <w:t>O was injected onto the porous regions of the pellets using an Eppendorf pipette.  The solution was left to soak for 0.5 h at room temperature and was absorbed into the layer by capillary motion. This side was dried under flowing air or N</w:t>
      </w:r>
      <w:r>
        <w:rPr>
          <w:rFonts w:cs="Arial"/>
          <w:szCs w:val="24"/>
          <w:vertAlign w:val="subscript"/>
        </w:rPr>
        <w:t>2</w:t>
      </w:r>
      <w:r>
        <w:rPr>
          <w:rFonts w:cs="Arial"/>
          <w:szCs w:val="24"/>
        </w:rPr>
        <w:t xml:space="preserve"> at 120</w:t>
      </w:r>
      <w:r w:rsidR="00D555C7">
        <w:rPr>
          <w:rFonts w:cs="Arial"/>
          <w:szCs w:val="24"/>
        </w:rPr>
        <w:t xml:space="preserve"> </w:t>
      </w:r>
      <w:r>
        <w:rPr>
          <w:rFonts w:cs="Arial"/>
          <w:szCs w:val="24"/>
        </w:rPr>
        <w:t xml:space="preserve">°C for 1 hour (See </w:t>
      </w:r>
      <w:r>
        <w:rPr>
          <w:rFonts w:cs="Arial"/>
        </w:rPr>
        <w:fldChar w:fldCharType="begin"/>
      </w:r>
      <w:r>
        <w:rPr>
          <w:rFonts w:cs="Arial"/>
        </w:rPr>
        <w:instrText xml:space="preserve"> REF _Ref524528970 \h  \* MERGEFORMAT </w:instrText>
      </w:r>
      <w:r>
        <w:rPr>
          <w:rFonts w:cs="Arial"/>
        </w:rPr>
      </w:r>
      <w:r>
        <w:rPr>
          <w:rFonts w:cs="Arial"/>
        </w:rPr>
        <w:fldChar w:fldCharType="separate"/>
      </w:r>
      <w:r w:rsidR="00331279" w:rsidRPr="00331279">
        <w:rPr>
          <w:rFonts w:cs="Arial"/>
          <w:bCs/>
        </w:rPr>
        <w:t>Figure 3.8</w:t>
      </w:r>
      <w:r>
        <w:rPr>
          <w:rFonts w:cs="Arial"/>
        </w:rPr>
        <w:fldChar w:fldCharType="end"/>
      </w:r>
      <w:r>
        <w:rPr>
          <w:rFonts w:cs="Arial"/>
          <w:szCs w:val="24"/>
        </w:rPr>
        <w:t xml:space="preserve">). </w:t>
      </w:r>
      <w:r>
        <w:t>The drying and calcination steps utilised a gas flow rate of 5 mLmin</w:t>
      </w:r>
      <w:r>
        <w:rPr>
          <w:vertAlign w:val="superscript"/>
        </w:rPr>
        <w:t>-1</w:t>
      </w:r>
      <w:r>
        <w:t xml:space="preserve"> (1 bar). </w:t>
      </w:r>
      <w:r>
        <w:rPr>
          <w:rFonts w:cs="Arial"/>
          <w:szCs w:val="24"/>
        </w:rPr>
        <w:t xml:space="preserve"> This routine was repeated for the other side. The sample was then calcined for 1.5 hours at 350</w:t>
      </w:r>
      <w:r w:rsidR="00D555C7">
        <w:rPr>
          <w:rFonts w:cs="Arial"/>
          <w:szCs w:val="24"/>
        </w:rPr>
        <w:t xml:space="preserve"> </w:t>
      </w:r>
      <w:r>
        <w:rPr>
          <w:rFonts w:cs="Arial"/>
          <w:szCs w:val="24"/>
        </w:rPr>
        <w:t>˚C (</w:t>
      </w:r>
      <w:r>
        <w:rPr>
          <w:rFonts w:cs="Arial"/>
          <w:szCs w:val="24"/>
        </w:rPr>
        <w:fldChar w:fldCharType="begin"/>
      </w:r>
      <w:r>
        <w:rPr>
          <w:rFonts w:cs="Arial"/>
          <w:szCs w:val="24"/>
        </w:rPr>
        <w:instrText xml:space="preserve"> REF _Ref41039514 \h </w:instrText>
      </w:r>
      <w:r>
        <w:rPr>
          <w:rFonts w:cs="Arial"/>
          <w:szCs w:val="24"/>
        </w:rPr>
      </w:r>
      <w:r>
        <w:rPr>
          <w:rFonts w:cs="Arial"/>
          <w:szCs w:val="24"/>
        </w:rPr>
        <w:fldChar w:fldCharType="separate"/>
      </w:r>
      <w:r w:rsidR="00331279">
        <w:t>Figure 3.</w:t>
      </w:r>
      <w:r w:rsidR="00331279">
        <w:rPr>
          <w:noProof/>
        </w:rPr>
        <w:t>9</w:t>
      </w:r>
      <w:r>
        <w:rPr>
          <w:rFonts w:cs="Arial"/>
          <w:szCs w:val="24"/>
        </w:rPr>
        <w:fldChar w:fldCharType="end"/>
      </w:r>
      <w:r>
        <w:rPr>
          <w:rFonts w:cs="Arial"/>
          <w:szCs w:val="24"/>
        </w:rPr>
        <w:t xml:space="preserve">) </w:t>
      </w:r>
      <w:r>
        <w:rPr>
          <w:rFonts w:cs="Arial"/>
          <w:szCs w:val="24"/>
        </w:rPr>
        <w:fldChar w:fldCharType="begin" w:fldLock="1"/>
      </w:r>
      <w:r w:rsidR="00D80A5D">
        <w:rPr>
          <w:rFonts w:cs="Arial"/>
          <w:szCs w:val="24"/>
        </w:rPr>
        <w:instrText>ADDIN CSL_CITATION {"citationItems":[{"id":"ITEM-1","itemData":{"DOI":"10.1016/S0065-2792(08)60225-3","author":[{"dropping-particle":"","family":"Addison","given":"C C","non-dropping-particle":"","parse-names":false,"suffix":""},{"dropping-particle":"","family":"Logan","given":"N","non-dropping-particle":"","parse-names":false,"suffix":""}],"container-title":"Advances in Inorganic Chemistry and Radiochemistry","id":"ITEM-1","issued":{"date-parts":[["1964"]]},"note":"Cited By :51\nExport Date: 2 February 2017","page":"71-142","title":"Anhydrous Metal Nitrates","type":"article","volume":"6"},"uris":["http://www.mendeley.com/documents/?uuid=e92d5c9d-9a76-45ae-ab06-11588d25cff8"]},{"id":"ITEM-2","itemData":{"DOI":"http://dx.doi.org/10.1016/0040-6031(93)80287-K","ISBN":"0040-6031","abstract":"The thermal decomposition of nickel nitrate hexahydrate (NiNHH) under dynamic atmosphere of air has been thoroughly studied. Reactions occurring throughout the decomposition up to 600°C were monitored by means of thermogravimetry (TG) and differential thermal analysis (DTA). These reactions were characterized by analysis of the solid calcination products at different temperatures at which various intermediates were expected. Solid analysis was carried out using infrared spectroscopy and X-ray diffractometry. Non-isothermal kinetic parameters (ΔE, A and k) were determined. TG and DTA under nitrogen atmosphere has been carried out. The results indicate the formation of Ni(NO3)2 · nH2O (where n = 5.5, 4 and 2) and mixture of anhydrous and basic nickel nitrate as intermediate solid products. Basic nickel nitrate intermediate was formed in nitrogen atmosphere as well as in air, which was attributed to a hydrolysis process involving the water of dihydrate intermediate. The morphological changes throughout the decomposition course have been followed by scanning electron microscopy and the results are correlated with the obtained thermoanalytical results of the decomposition course of NiNHH.","author":[{"dropping-particle":"","family":"Mansour","given":"Seham A A","non-dropping-particle":"","parse-names":false,"suffix":""}],"container-title":"Thermochimica Acta","id":"ITEM-2","issued":{"date-parts":[["1993"]]},"page":"173-189","title":"Spectroscopic and microscopic investigations of the thermal decomposition of nickel oxysalts: Part 2. Nickel nitrate hexahydrate","type":"article-journal","volume":"228"},"uris":["http://www.mendeley.com/documents/?uuid=cd416a1c-ba4c-4e85-9297-c7c14144c0ec"]},{"id":"ITEM-3","itemData":{"DOI":"10.1016/S0167-2991(10)75009-6","ISBN":"01672991 (ISSN); 9780444536013 (ISBN)","abstract":"In previous communications we have shown that the decomposition of nickel and cobalt nitrate in a flow of NO/He prevented agglomeration, yielding high nickel and cobalt oxide dispersions. We now report on the impact of NO on the decomposition of first row transition metal nitrates, i.e. Sc, Mn, Fe, Co, Ni, Cu, Zn, using thermal gravimetric analysis and mass spectrometry. It was found that NO decreased the temperature of decomposition significantly for all investigated metal nitrates. For cobalt, nickel and copper nitrate it was verified that decomposition in the presence of NO yielded high dispersions and narrow particle size distributions, whereas in Ar agglomeration resulted in broad particle size distributions. The beneficial effect of NO on the dispersion of Co, Ni and Cu coincided with a large difference in the decomposition profiles of these metal nitrates compared to that in Ar. It was found that NO induced fast and complete hydrolysis to highly dispersed cobalt, nickel and copper hydroxynitrates which decomposed to yield highly dispersed metal oxides. This is in contrast to literature reports that ascribe loss in dispersion to the formation of metal hydroxynitrate intermediates. © 2010 Elsevier B.V.","author":[{"dropping-particle":"","family":"Wolters","given":"M","non-dropping-particle":"","parse-names":false,"suffix":""},{"dropping-particle":"","family":"Contreras Andrade","given":"I C A","non-dropping-particle":"","parse-names":false,"suffix":""},{"dropping-particle":"","family":"Munnik","given":"P","non-dropping-particle":"","parse-names":false,"suffix":""},{"dropping-particle":"","family":"Bitter","given":"J H","non-dropping-particle":"","parse-names":false,"suffix":""},{"dropping-particle":"","family":"Jongh","given":"P E","non-dropping-particle":"De","parse-names":false,"suffix":""},{"dropping-particle":"","family":"Jong","given":"K P","non-dropping-particle":"De","parse-names":false,"suffix":""}],"container-title":"10th International Symposium on Scientific Bases for the Preparation of Heterogeneous Catalysts","id":"ITEM-3","issued":{"date-parts":[["2010"]]},"language":"English","note":"Conference code: 83704\nCited By :6\nExport Date: 20 January 2017\nCODEN: SSCTD\nCorrespondence Address: Wolters, M.; Inorganic Chemistry and Catalysis, Debye Institute for Nanomaterials Science, Utrecht University, Sorbonnelaan 16, 3584 CA Utrecht, Netherlands\nReferences: Paulik, F., Paulik, J., Arnold, M., (1987) Thermochimica Acta, 121, p. 137; Elmasry, M.A.A., Gaber, A., Khater, E.M.H., (1998) J. Therm. Anal. Calorim., 52, p. 489; Estelle, J., Salagre, P., Cesteros, Y., Serra, M., Medina, F., Sueiras, J.E., (2003) Solid State Ionics, 156, p. 233; Llewellyn, P.L., Chevrota, V., Ragaib, J., Cerclier, O., Estienne, J., Rouquerol, F., (1997) Solid State Ionics, 101-103, p. 1293; Toupance, T., Kermarec, M., Louis, C., (2000) J. Phys. Chem. B, 104, p. 965; Chouillet, C., Villain, F., Kermarec, M., Lauron-Pernot, H., Louis, C., (2003) J. Phys. Chem. B, 107, p. 3565; Catillon-Mucherie, S., Ammari, F., Krafft, J.M., Lauron-Pernot, H., Touroude, R., Louis, C., (2007) J. Phys. Chem. C, 111, p. 11619; Van De Loosdrecht, J., Barradas, S., Caricato, E.A., Ngwenya, N.G., Nkwanyana, P.S., Rawat, M.A.S., Sigwebela, B.H., Visagie, J.L., (2003) Top. Catal., 26, p. 121; Sietsma, J.R.A., Meeldijk, J.D., Versluijs-Helder, M., Broersma, A., Van Dillen, A.J., De Jongh, P.E., De Jong, K.P., (2008) Chem. Mater., 20, p. 2921; Sietsma, J.R.A., Meeldijk, J.D., Den Breejen, J.P., Versluijs-Helder, M., Van Dillen, A.J., De Jongh, P.E., De Jong, K.P., (2007) Angew. Chem. Int. Ed., 46, p. 4547; Sietsma, J.R.A., Friedrich, H., Broersma, A., Versluijs-Helder, M., Jos Van Dillen, A., De Jongh, P.E., De Jong, K.P., (2008) J. Catal., 260, p. 227; Nissinena, T., Leskel, M., Gasika, M., Lamminen, J., (2005) Thermochimica Acta, 427, p. 155; Wieczorek-Ciurowa, K., Kozak, A.J., (1999) J. Therm. Anal. Calorim., 58, p. 647; Yuvaraj, S., Fan-Yuan, L., Tsong-Huei, C., Chuin-Tih, Y., (2003) J. Phys. Chem. B, 107, p. 1044; Malecka, B., Gajerski, R., Malecki, A., Wierzbicka, M., Olszewski, P., (2003) Thermochimica Acta, 404, p. 125; Cseri, T., Békássy, Kenessey, G., Liptay, G., Figueras, F., (1996) Thermochimica Acta, 288, p. 137; Ettarh, C., Galwey, A.K., (1996) Thermochim. Acta, 288, p. 203; Dickens, P.G., Sutcliffe, M.B., (1964) Trans. Faraday. Soc., 60, p. 1272; Brockner, W., Ehrhardt, C., Gjikaj, M., (2007) Thermochim. Acta, 456, p. 64; Malecki, A., Gajerski, R., Labus, S., Prochowska-Klisch, B., Wojciechowski, K.T., (2000) J. Therm. Anal., 60, p. 17","page":"69-76","publisher-place":"Louvain-la-Neuve","title":"Impact of NO on the decomposition of supported metal nitrate catalyst precursors and the final metal oxide dispersion","type":"article","volume":"175"},"uris":["http://www.mendeley.com/documents/?uuid=60616314-3fad-4af3-ad66-c5b4121f79e1"]}],"mendeley":{"formattedCitation":"[165], [184], [206]","plainTextFormattedCitation":"[165], [184], [206]","previouslyFormattedCitation":"[165], [184], [206]"},"properties":{"noteIndex":0},"schema":"https://github.com/citation-style-language/schema/raw/master/csl-citation.json"}</w:instrText>
      </w:r>
      <w:r>
        <w:rPr>
          <w:rFonts w:cs="Arial"/>
          <w:szCs w:val="24"/>
        </w:rPr>
        <w:fldChar w:fldCharType="separate"/>
      </w:r>
      <w:r w:rsidR="006C586A" w:rsidRPr="006C586A">
        <w:rPr>
          <w:rFonts w:cs="Arial"/>
          <w:noProof/>
          <w:szCs w:val="24"/>
        </w:rPr>
        <w:t>[165], [184], [206]</w:t>
      </w:r>
      <w:r>
        <w:rPr>
          <w:rFonts w:cs="Arial"/>
          <w:szCs w:val="24"/>
        </w:rPr>
        <w:fldChar w:fldCharType="end"/>
      </w:r>
      <w:r>
        <w:rPr>
          <w:rFonts w:cs="Arial"/>
          <w:szCs w:val="24"/>
        </w:rPr>
        <w:t xml:space="preserve">. </w:t>
      </w:r>
      <w:r>
        <w:t>A K-type thermocouple was used to monitor the internal temperature of the tube.</w:t>
      </w:r>
      <w:r>
        <w:rPr>
          <w:rFonts w:cs="Arial"/>
          <w:szCs w:val="24"/>
        </w:rPr>
        <w:t xml:space="preserve"> This decomposed the </w:t>
      </w:r>
      <w:proofErr w:type="gramStart"/>
      <w:r>
        <w:rPr>
          <w:rFonts w:cs="Arial"/>
          <w:szCs w:val="24"/>
        </w:rPr>
        <w:t>Ni(</w:t>
      </w:r>
      <w:proofErr w:type="gramEnd"/>
      <w:r>
        <w:rPr>
          <w:rFonts w:cs="Arial"/>
          <w:szCs w:val="24"/>
        </w:rPr>
        <w:t>NO</w:t>
      </w:r>
      <w:r>
        <w:rPr>
          <w:rFonts w:cs="Arial"/>
          <w:szCs w:val="24"/>
          <w:vertAlign w:val="subscript"/>
        </w:rPr>
        <w:t>3</w:t>
      </w:r>
      <w:r>
        <w:rPr>
          <w:rFonts w:cs="Arial"/>
          <w:szCs w:val="24"/>
        </w:rPr>
        <w:t>)</w:t>
      </w:r>
      <w:r>
        <w:rPr>
          <w:rFonts w:cs="Arial"/>
          <w:szCs w:val="24"/>
          <w:vertAlign w:val="subscript"/>
        </w:rPr>
        <w:t>2</w:t>
      </w:r>
      <w:r>
        <w:rPr>
          <w:rFonts w:cs="Arial"/>
          <w:szCs w:val="24"/>
        </w:rPr>
        <w:t xml:space="preserve"> to </w:t>
      </w:r>
      <w:proofErr w:type="spellStart"/>
      <w:r>
        <w:rPr>
          <w:rFonts w:cs="Arial"/>
          <w:szCs w:val="24"/>
        </w:rPr>
        <w:t>NiO</w:t>
      </w:r>
      <w:proofErr w:type="spellEnd"/>
      <w:r>
        <w:rPr>
          <w:rFonts w:cs="Arial"/>
          <w:szCs w:val="24"/>
        </w:rPr>
        <w:t xml:space="preserve"> particles on the surface of the porous YSZ sample. The infiltration process was repeated between the separate drying and calcination steps. </w:t>
      </w:r>
    </w:p>
    <w:p w14:paraId="0B436397" w14:textId="77777777" w:rsidR="00007F6C" w:rsidRDefault="00007F6C" w:rsidP="00007F6C">
      <w:pPr>
        <w:keepNext/>
        <w:spacing w:before="100" w:after="0" w:line="276" w:lineRule="auto"/>
        <w:ind w:left="720"/>
        <w:contextualSpacing/>
        <w:jc w:val="center"/>
        <w:rPr>
          <w:rFonts w:cs="Arial"/>
          <w:sz w:val="20"/>
          <w:szCs w:val="20"/>
        </w:rPr>
      </w:pPr>
    </w:p>
    <w:p w14:paraId="33504470" w14:textId="77777777" w:rsidR="00007F6C" w:rsidRDefault="00007F6C" w:rsidP="00007F6C">
      <w:pPr>
        <w:keepNext/>
        <w:spacing w:before="100" w:after="0" w:line="276" w:lineRule="auto"/>
        <w:ind w:left="720"/>
        <w:contextualSpacing/>
        <w:rPr>
          <w:rFonts w:cs="Arial"/>
          <w:sz w:val="20"/>
          <w:szCs w:val="20"/>
        </w:rPr>
      </w:pPr>
      <w:r>
        <w:rPr>
          <w:rFonts w:cs="Arial"/>
          <w:noProof/>
          <w:sz w:val="20"/>
          <w:szCs w:val="20"/>
          <w:lang w:eastAsia="en-GB"/>
        </w:rPr>
        <w:drawing>
          <wp:inline distT="0" distB="0" distL="0" distR="0" wp14:anchorId="0DB0C92F" wp14:editId="5222DB00">
            <wp:extent cx="5400000" cy="3221287"/>
            <wp:effectExtent l="0" t="0" r="0" b="0"/>
            <wp:docPr id="379" name="Picture 379" descr="Drying Rig Schemat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Drying Rig Schematic.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00000" cy="3221287"/>
                    </a:xfrm>
                    <a:prstGeom prst="rect">
                      <a:avLst/>
                    </a:prstGeom>
                    <a:noFill/>
                    <a:ln>
                      <a:noFill/>
                    </a:ln>
                  </pic:spPr>
                </pic:pic>
              </a:graphicData>
            </a:graphic>
          </wp:inline>
        </w:drawing>
      </w:r>
    </w:p>
    <w:p w14:paraId="295E5973" w14:textId="0622081F" w:rsidR="00007F6C" w:rsidRPr="00F62769" w:rsidRDefault="00007F6C" w:rsidP="00007F6C">
      <w:pPr>
        <w:spacing w:before="100" w:after="200" w:line="276" w:lineRule="auto"/>
        <w:rPr>
          <w:rFonts w:cs="Arial"/>
          <w:i/>
          <w:iCs/>
          <w:color w:val="44546A" w:themeColor="text2"/>
          <w:sz w:val="18"/>
          <w:szCs w:val="18"/>
        </w:rPr>
      </w:pPr>
      <w:bookmarkStart w:id="203" w:name="_Ref524528970"/>
      <w:bookmarkStart w:id="204" w:name="_Toc69114953"/>
      <w:r w:rsidRPr="00F62769">
        <w:rPr>
          <w:rFonts w:cs="Arial"/>
          <w:i/>
          <w:iCs/>
          <w:color w:val="44546A" w:themeColor="text2"/>
          <w:sz w:val="18"/>
          <w:szCs w:val="18"/>
        </w:rPr>
        <w:t xml:space="preserve">Figure </w:t>
      </w:r>
      <w:r>
        <w:rPr>
          <w:rFonts w:cs="Arial"/>
          <w:i/>
          <w:iCs/>
          <w:color w:val="44546A" w:themeColor="text2"/>
          <w:sz w:val="18"/>
          <w:szCs w:val="18"/>
        </w:rPr>
        <w:t>3.</w:t>
      </w:r>
      <w:r w:rsidR="00285C23">
        <w:rPr>
          <w:rFonts w:cs="Arial"/>
          <w:i/>
          <w:iCs/>
          <w:color w:val="44546A" w:themeColor="text2"/>
          <w:sz w:val="18"/>
          <w:szCs w:val="18"/>
        </w:rPr>
        <w:fldChar w:fldCharType="begin"/>
      </w:r>
      <w:r w:rsidR="00285C23">
        <w:rPr>
          <w:rFonts w:cs="Arial"/>
          <w:i/>
          <w:iCs/>
          <w:color w:val="44546A" w:themeColor="text2"/>
          <w:sz w:val="18"/>
          <w:szCs w:val="18"/>
        </w:rPr>
        <w:instrText xml:space="preserve"> SEQ Figure \* ARABIC </w:instrText>
      </w:r>
      <w:r w:rsidR="00285C23">
        <w:rPr>
          <w:rFonts w:cs="Arial"/>
          <w:i/>
          <w:iCs/>
          <w:color w:val="44546A" w:themeColor="text2"/>
          <w:sz w:val="18"/>
          <w:szCs w:val="18"/>
        </w:rPr>
        <w:fldChar w:fldCharType="separate"/>
      </w:r>
      <w:r w:rsidR="00331279">
        <w:rPr>
          <w:rFonts w:cs="Arial"/>
          <w:i/>
          <w:iCs/>
          <w:noProof/>
          <w:color w:val="44546A" w:themeColor="text2"/>
          <w:sz w:val="18"/>
          <w:szCs w:val="18"/>
        </w:rPr>
        <w:t>8</w:t>
      </w:r>
      <w:r w:rsidR="00285C23">
        <w:rPr>
          <w:rFonts w:cs="Arial"/>
          <w:i/>
          <w:iCs/>
          <w:color w:val="44546A" w:themeColor="text2"/>
          <w:sz w:val="18"/>
          <w:szCs w:val="18"/>
        </w:rPr>
        <w:fldChar w:fldCharType="end"/>
      </w:r>
      <w:bookmarkEnd w:id="203"/>
      <w:r w:rsidRPr="00F62769">
        <w:rPr>
          <w:rFonts w:cs="Arial"/>
          <w:i/>
          <w:iCs/>
          <w:color w:val="44546A" w:themeColor="text2"/>
          <w:sz w:val="18"/>
          <w:szCs w:val="18"/>
        </w:rPr>
        <w:t>: Schematic of the sealed sample case during drying under flowing N</w:t>
      </w:r>
      <w:r w:rsidRPr="00F62769">
        <w:rPr>
          <w:rFonts w:cs="Arial"/>
          <w:i/>
          <w:iCs/>
          <w:color w:val="44546A" w:themeColor="text2"/>
          <w:sz w:val="18"/>
          <w:szCs w:val="18"/>
          <w:vertAlign w:val="subscript"/>
        </w:rPr>
        <w:t>2</w:t>
      </w:r>
      <w:r w:rsidRPr="00F62769">
        <w:rPr>
          <w:rFonts w:cs="Arial"/>
          <w:i/>
          <w:iCs/>
          <w:color w:val="44546A" w:themeColor="text2"/>
          <w:sz w:val="18"/>
          <w:szCs w:val="18"/>
        </w:rPr>
        <w:t>. The hot plate was set to 120°C.</w:t>
      </w:r>
      <w:bookmarkEnd w:id="204"/>
    </w:p>
    <w:p w14:paraId="239A65AC" w14:textId="4631B177" w:rsidR="00007F6C" w:rsidRDefault="00007F6C" w:rsidP="00007F6C">
      <w:pPr>
        <w:jc w:val="both"/>
        <w:rPr>
          <w:rFonts w:cstheme="minorHAnsi"/>
          <w:szCs w:val="24"/>
        </w:rPr>
      </w:pPr>
      <w:r w:rsidRPr="00F62769">
        <w:rPr>
          <w:rFonts w:cstheme="minorHAnsi"/>
          <w:szCs w:val="24"/>
        </w:rPr>
        <w:t xml:space="preserve">The mass changes between each infiltrated drying step and calcination step for the infiltrated symmetrical cell samples were monitored using a Sigma Aldrich balance. The nickel loading during infiltration was measured using volume percent calculated from the mass changes after calcination. The minimum nickel loading for the samples was calculated to be 20 </w:t>
      </w:r>
      <w:r>
        <w:rPr>
          <w:rFonts w:cstheme="minorHAnsi"/>
          <w:szCs w:val="24"/>
        </w:rPr>
        <w:t>vol %</w:t>
      </w:r>
      <w:r w:rsidRPr="00F62769">
        <w:rPr>
          <w:rFonts w:cstheme="minorHAnsi"/>
          <w:szCs w:val="24"/>
        </w:rPr>
        <w:t xml:space="preserve"> </w:t>
      </w:r>
      <w:r w:rsidRPr="00F62769">
        <w:rPr>
          <w:rFonts w:cstheme="minorHAnsi"/>
          <w:szCs w:val="24"/>
        </w:rPr>
        <w:fldChar w:fldCharType="begin" w:fldLock="1"/>
      </w:r>
      <w:r w:rsidR="00D80A5D">
        <w:rPr>
          <w:rFonts w:cstheme="minorHAnsi"/>
          <w:szCs w:val="24"/>
        </w:rPr>
        <w:instrText>ADDIN CSL_CITATION {"citationItems":[{"id":"ITEM-1","itemData":{"DOI":"10.1149/2.050206jes","ISBN":"0013-4651","ISSN":"0013-4651","abstract":"The long term performance of SOFC with nanocomposite Ni-YSZ anode and LSM-YSZ cathode was reported. The SOFC was prepared by infiltrating polymeric precursors of NiO and LSM from anode and cathode sides respectively. The fuel cell showed relatively high initial performance (0.49 Watt/cm(2) at 800 degrees C) for the given electrolyte thickness (similar to 170 mu m). Long term stability tests showed that the power density dropped to 0.41 Watt/cm(2) in the first 60 hours of operation in short circuit conditions and no further change in the power density was observed. Low electrode polarization resistance was obtained (similar to 0.080 Ohm.cm(2) for combined anode and cathode at 800 degrees C) which showed no significant change with prolonged time. The slight drop in power density was related to the change in ohmic resistance which was attributed to the increase in current collection resistance. The fact that the majority of the resistance was due to the electrolyte resistance (similar to 80%) suggests that stable SOFCs with high power densities could be achieved with thinner electrolytes. After &gt; 100 hours of operation at 800 degrees C in short circuit conditions, the fuel cell was measured at higher temperatures. Power densities were 0.71 Watt/cm(2) and 1.0 Watt/cm(2) at 900 degrees C and 1000 degrees C, respectively. (C) 2012 The Electrochemical Society. DOI: 10.1149/2.050206jes] All rights reserved.","author":[{"dropping-particle":"","family":"Buyukaksoy","given":"Aligul","non-dropping-particle":"","parse-names":false,"suffix":""},{"dropping-particle":"","family":"Petrovsky","given":"Vladimir","non-dropping-particle":"","parse-names":false,"suffix":""},{"dropping-particle":"","family":"Dogan","given":"Fatih","non-dropping-particle":"","parse-names":false,"suffix":""}],"container-title":"Journal of The Electrochemical Society","id":"ITEM-1","issue":"6","issued":{"date-parts":[["2012"]]},"page":"B666-B669","title":"Stability and Performance of Solid Oxide Fuel Cells with Nanocomposite Electrodes","type":"article-journal","volume":"159"},"uris":["http://www.mendeley.com/documents/?uuid=a98e9984-3cde-4e37-a2e6-95fe9af1d1c2"]},{"id":"ITEM-2","itemData":{"DOI":"10.1016/j.jpowsour.2015.04.072","ISBN":"0378-7753","ISSN":"03787753","abstract":"Ni infiltration into porous YSZ scaffolds is a promising route for the construction of high performing and redox-stable Ni-YSZ anodes for application in solid oxide fuel cells (SOFCs). However, the long-term instability of this type of anode is a critical problem. Here, it is shown that an interconnected Ni film, rather than discrete Ni particles, can be formed inside a porous, pre-sintered YSZ scaffold by using a polymeric Ni-based precursor as the infiltration medium. To understand the effect of the YSZ microstructure on the long-term stability and the electrochemical performance of the resulting composites, two types of Ni-YSZ anodes were investigated. Anodes prepared by polymeric Ni infiltration into a YSZ scaffold with large grains (0.5 μm) and pores (0.5 μm and 5 μm) showed extensive agglomeration in the Ni phase, resulting in poor stability and poor activity. In contrast, Ni infiltration into YSZ scaffolds with finer particle and pore sizes (</w:instrText>
      </w:r>
      <w:r w:rsidR="00D80A5D">
        <w:rPr>
          <w:rFonts w:ascii="Cambria Math" w:hAnsi="Cambria Math" w:cs="Cambria Math"/>
          <w:szCs w:val="24"/>
        </w:rPr>
        <w:instrText>∼</w:instrText>
      </w:r>
      <w:r w:rsidR="00D80A5D">
        <w:rPr>
          <w:rFonts w:cstheme="minorHAnsi"/>
          <w:szCs w:val="24"/>
        </w:rPr>
        <w:instrText xml:space="preserve">200 nm each) produced anodes with a very small polarization resistance of ca. 0.1 </w:instrText>
      </w:r>
      <w:r w:rsidR="00D80A5D">
        <w:rPr>
          <w:rFonts w:ascii="Calibri" w:hAnsi="Calibri" w:cs="Calibri"/>
          <w:szCs w:val="24"/>
        </w:rPr>
        <w:instrText>Ω</w:instrText>
      </w:r>
      <w:r w:rsidR="00D80A5D">
        <w:rPr>
          <w:rFonts w:cstheme="minorHAnsi"/>
          <w:szCs w:val="24"/>
        </w:rPr>
        <w:instrText xml:space="preserve"> cm&lt;sup&gt;2&lt;/sup&gt; per electrode at 800 </w:instrText>
      </w:r>
      <w:r w:rsidR="00D80A5D">
        <w:rPr>
          <w:rFonts w:ascii="Calibri" w:hAnsi="Calibri" w:cs="Calibri"/>
          <w:szCs w:val="24"/>
        </w:rPr>
        <w:instrText>°</w:instrText>
      </w:r>
      <w:r w:rsidR="00D80A5D">
        <w:rPr>
          <w:rFonts w:cstheme="minorHAnsi"/>
          <w:szCs w:val="24"/>
        </w:rPr>
        <w:instrText xml:space="preserve">C. An increase of only </w:instrText>
      </w:r>
      <w:r w:rsidR="00D80A5D">
        <w:rPr>
          <w:rFonts w:ascii="Cambria Math" w:hAnsi="Cambria Math" w:cs="Cambria Math"/>
          <w:szCs w:val="24"/>
        </w:rPr>
        <w:instrText>∼</w:instrText>
      </w:r>
      <w:r w:rsidR="00D80A5D">
        <w:rPr>
          <w:rFonts w:cstheme="minorHAnsi"/>
          <w:szCs w:val="24"/>
        </w:rPr>
        <w:instrText>5% was seen in the resistance after ca. 110 h at this temperature, achieved by preventing Ni agglomeration.","author":[{"dropping-particle":"","family":"Buyukaksoy","given":"Aligul","non-dropping-particle":"","parse-names":false,"suffix":""},{"dropping-particle":"","family":"Kammampata","given":"Sanoop P.","non-dropping-particle":"","parse-names":false,"suffix":""},{"dropping-particle":"","family":"Birss","given":"Viola I.","non-dropping-particle":"","parse-names":false,"suffix":""}],"container-title":"Journal of Power Sources","id":"ITEM-2","issued":{"date-parts":[["2015"]]},"page":"349-358","title":"Effect of porous YSZ scaffold microstructure on the long-term performance of infiltrated Ni-YSZ anodes","type":"article-journal","volume":"287"},"uris":["http://www.mendeley.com/documents/?uuid=812e52dc-2e3b-4f61-823f-2cc187b99b0e"]},{"id":"ITEM-3","itemData":{"DOI":"10.1016/j.jpowsour.2015.12.022","ISBN":"03787753","author":[{"dropping-particle":"","family":"Buyukaksoy","given":"Aligul","non-dropping-particle":"","parse-names":false,"suffix":""},{"dropping-particle":"","family":"Birss","given":"Viola I","non-dropping-particle":"","parse-names":false,"suffix":""}],"container-title":"Journal of Power Sources","id":"ITEM-3","issued":{"date-parts":[["2016"]]},"page":"449-453","title":"Highly active nanoscale Ni - Yttria stabilized zirconia anodes for micro-solid oxide fuel cell applications","type":"article-journal","volume":"307"},"uris":["http://www.mendeley.com/documents/?uuid=d6aaa1f4-4250-4552-8a17-02890e6cd9c7"]}],"mendeley":{"formattedCitation":"[246], [247], [314]","plainTextFormattedCitation":"[246], [247], [314]","previouslyFormattedCitation":"[246], [247], [314]"},"properties":{"noteIndex":0},"schema":"https://github.com/citation-style-language/schema/raw/master/csl-citation.json"}</w:instrText>
      </w:r>
      <w:r w:rsidRPr="00F62769">
        <w:rPr>
          <w:rFonts w:cstheme="minorHAnsi"/>
          <w:szCs w:val="24"/>
        </w:rPr>
        <w:fldChar w:fldCharType="separate"/>
      </w:r>
      <w:r w:rsidR="006C586A" w:rsidRPr="006C586A">
        <w:rPr>
          <w:rFonts w:cstheme="minorHAnsi"/>
          <w:noProof/>
          <w:szCs w:val="24"/>
        </w:rPr>
        <w:t>[246], [247], [314]</w:t>
      </w:r>
      <w:r w:rsidRPr="00F62769">
        <w:rPr>
          <w:rFonts w:cstheme="minorHAnsi"/>
          <w:szCs w:val="24"/>
        </w:rPr>
        <w:fldChar w:fldCharType="end"/>
      </w:r>
      <w:r w:rsidRPr="00F62769">
        <w:rPr>
          <w:rFonts w:cstheme="minorHAnsi"/>
          <w:szCs w:val="24"/>
        </w:rPr>
        <w:t>.</w:t>
      </w:r>
    </w:p>
    <w:p w14:paraId="753B499A" w14:textId="77777777" w:rsidR="00007F6C" w:rsidRDefault="00007F6C" w:rsidP="00007F6C">
      <w:pPr>
        <w:keepNext/>
        <w:jc w:val="center"/>
      </w:pPr>
      <w:r w:rsidRPr="00B80091">
        <w:rPr>
          <w:noProof/>
          <w:color w:val="FFC000"/>
        </w:rPr>
        <w:drawing>
          <wp:inline distT="0" distB="0" distL="0" distR="0" wp14:anchorId="1E38816B" wp14:editId="78C9A75B">
            <wp:extent cx="5400000" cy="1756525"/>
            <wp:effectExtent l="0" t="0" r="0" b="0"/>
            <wp:docPr id="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00000" cy="1756525"/>
                    </a:xfrm>
                    <a:prstGeom prst="rect">
                      <a:avLst/>
                    </a:prstGeom>
                  </pic:spPr>
                </pic:pic>
              </a:graphicData>
            </a:graphic>
          </wp:inline>
        </w:drawing>
      </w:r>
    </w:p>
    <w:p w14:paraId="7E839C24" w14:textId="5542BA63" w:rsidR="00007F6C" w:rsidRPr="00B80091" w:rsidRDefault="00007F6C" w:rsidP="00007F6C">
      <w:pPr>
        <w:pStyle w:val="Caption"/>
      </w:pPr>
      <w:bookmarkStart w:id="205" w:name="_Ref41039514"/>
      <w:bookmarkStart w:id="206" w:name="_Toc69114954"/>
      <w:r>
        <w:t>Figure 3.</w:t>
      </w:r>
      <w:r w:rsidR="00B51F53">
        <w:fldChar w:fldCharType="begin"/>
      </w:r>
      <w:r w:rsidR="00B51F53">
        <w:instrText xml:space="preserve"> SEQ Figure \* ARABIC </w:instrText>
      </w:r>
      <w:r w:rsidR="00B51F53">
        <w:fldChar w:fldCharType="separate"/>
      </w:r>
      <w:r w:rsidR="00331279">
        <w:rPr>
          <w:noProof/>
        </w:rPr>
        <w:t>9</w:t>
      </w:r>
      <w:r w:rsidR="00B51F53">
        <w:rPr>
          <w:noProof/>
        </w:rPr>
        <w:fldChar w:fldCharType="end"/>
      </w:r>
      <w:bookmarkEnd w:id="205"/>
      <w:r>
        <w:t xml:space="preserve">: </w:t>
      </w:r>
      <w:r w:rsidRPr="00B80091">
        <w:t xml:space="preserve">Sample Preparation: </w:t>
      </w:r>
      <w:r w:rsidRPr="00B80091">
        <w:rPr>
          <w:b/>
          <w:bCs/>
        </w:rPr>
        <w:t xml:space="preserve">a-c. </w:t>
      </w:r>
      <w:r w:rsidRPr="00B80091">
        <w:t xml:space="preserve">Doctor blading of YSZ/C tape onto YSZ </w:t>
      </w:r>
      <w:r w:rsidR="00D555C7" w:rsidRPr="00B80091">
        <w:t>pellet, nitrate</w:t>
      </w:r>
      <w:r w:rsidRPr="00B80091">
        <w:t xml:space="preserve"> solution, </w:t>
      </w:r>
      <w:r w:rsidRPr="00B80091">
        <w:rPr>
          <w:b/>
          <w:bCs/>
        </w:rPr>
        <w:t xml:space="preserve">d. </w:t>
      </w:r>
      <w:r w:rsidRPr="00B80091">
        <w:t xml:space="preserve">Firing of porous scaffolds, </w:t>
      </w:r>
      <w:r w:rsidRPr="00B80091">
        <w:rPr>
          <w:b/>
          <w:bCs/>
        </w:rPr>
        <w:t xml:space="preserve">e. </w:t>
      </w:r>
      <w:r w:rsidRPr="00B80091">
        <w:t xml:space="preserve">Infiltration with nickel nitrate solution, </w:t>
      </w:r>
      <w:r w:rsidRPr="00B80091">
        <w:rPr>
          <w:b/>
          <w:bCs/>
        </w:rPr>
        <w:t xml:space="preserve">f. </w:t>
      </w:r>
      <w:r w:rsidRPr="00B80091">
        <w:t>Drying under flowing N</w:t>
      </w:r>
      <w:r w:rsidRPr="00B80091">
        <w:rPr>
          <w:vertAlign w:val="subscript"/>
        </w:rPr>
        <w:t>2</w:t>
      </w:r>
      <w:r>
        <w:rPr>
          <w:vertAlign w:val="subscript"/>
        </w:rPr>
        <w:t xml:space="preserve"> </w:t>
      </w:r>
      <w:r w:rsidRPr="00B80091">
        <w:t>(1</w:t>
      </w:r>
      <w:r>
        <w:t>2</w:t>
      </w:r>
      <w:r w:rsidRPr="00B80091">
        <w:t>0</w:t>
      </w:r>
      <w:r>
        <w:t xml:space="preserve"> </w:t>
      </w:r>
      <w:r>
        <w:rPr>
          <w:rFonts w:cstheme="minorHAnsi"/>
        </w:rPr>
        <w:t>°</w:t>
      </w:r>
      <w:r>
        <w:t>C</w:t>
      </w:r>
      <w:r w:rsidRPr="00B80091">
        <w:t>, 1</w:t>
      </w:r>
      <w:r>
        <w:t xml:space="preserve"> </w:t>
      </w:r>
      <w:r w:rsidRPr="00B80091">
        <w:t xml:space="preserve">h), </w:t>
      </w:r>
      <w:r w:rsidRPr="00B80091">
        <w:rPr>
          <w:b/>
          <w:bCs/>
        </w:rPr>
        <w:t xml:space="preserve">g-h. </w:t>
      </w:r>
      <w:r w:rsidRPr="00B80091">
        <w:t>Calcination then</w:t>
      </w:r>
      <w:r>
        <w:rPr>
          <w:b/>
          <w:bCs/>
        </w:rPr>
        <w:t xml:space="preserve"> r</w:t>
      </w:r>
      <w:r w:rsidRPr="00B80091">
        <w:t>eduction under 10</w:t>
      </w:r>
      <w:r w:rsidR="00D555C7">
        <w:t xml:space="preserve"> </w:t>
      </w:r>
      <w:r w:rsidRPr="00B80091">
        <w:t>% H</w:t>
      </w:r>
      <w:r w:rsidRPr="00B80091">
        <w:rPr>
          <w:vertAlign w:val="subscript"/>
        </w:rPr>
        <w:t>2</w:t>
      </w:r>
      <w:r w:rsidRPr="00B80091">
        <w:t>/</w:t>
      </w:r>
      <w:proofErr w:type="gramStart"/>
      <w:r w:rsidRPr="00B80091">
        <w:t>N</w:t>
      </w:r>
      <w:r w:rsidRPr="00B80091">
        <w:rPr>
          <w:vertAlign w:val="subscript"/>
        </w:rPr>
        <w:t>2</w:t>
      </w:r>
      <w:bookmarkEnd w:id="206"/>
      <w:proofErr w:type="gramEnd"/>
    </w:p>
    <w:p w14:paraId="1A0A1362" w14:textId="3E836346" w:rsidR="00007F6C" w:rsidRDefault="00007F6C" w:rsidP="00007F6C">
      <w:pPr>
        <w:pStyle w:val="Heading3"/>
      </w:pPr>
      <w:bookmarkStart w:id="207" w:name="_Ref49934236"/>
      <w:bookmarkStart w:id="208" w:name="_Toc69129381"/>
      <w:r>
        <w:lastRenderedPageBreak/>
        <w:t xml:space="preserve">3.1.4 </w:t>
      </w:r>
      <w:r>
        <w:tab/>
        <w:t xml:space="preserve">Pillar </w:t>
      </w:r>
      <w:r w:rsidR="001F7341">
        <w:t>S</w:t>
      </w:r>
      <w:r>
        <w:t xml:space="preserve">ample </w:t>
      </w:r>
      <w:r w:rsidR="001F7341">
        <w:t>P</w:t>
      </w:r>
      <w:r>
        <w:t>reparation</w:t>
      </w:r>
      <w:bookmarkEnd w:id="207"/>
      <w:bookmarkEnd w:id="208"/>
    </w:p>
    <w:p w14:paraId="0F964549" w14:textId="7EDDF0D1" w:rsidR="00007F6C" w:rsidRDefault="00007F6C" w:rsidP="00007F6C">
      <w:pPr>
        <w:jc w:val="both"/>
      </w:pPr>
      <w:r>
        <w:t xml:space="preserve">For ptychographic imaging the infiltrated Ni-YSZ samples from Section 3.1.3 were milled into fine pillars. These were milled and lathed using an Oxford Instruments micromachining laser at the Electrochemical Innovation Laboratory (University College London, UK) </w:t>
      </w:r>
      <w:r>
        <w:fldChar w:fldCharType="begin" w:fldLock="1"/>
      </w:r>
      <w:r w:rsidR="00D80A5D">
        <w:instrText>ADDIN CSL_CITATION {"citationItems":[{"id":"ITEM-1","itemData":{"DOI":"10.1111/jmi.12577","ISSN":"13652818","abstract":"A robust and versatile sample preparation technique for the fabrication of cylindrical pillars for imaging by X-ray nano-computed tomography (nano-CT) is presented. The procedure employs simple, cost-effective laser micro-machining coupled with focused-ion beam (FIB) milling, when required, to yield mechanically robust samples at the micrometre length-scale to match the field-of-view (FOV) for nano-CT imaging. A variety of energy and geological materials are exhibited as case studies, demonstrating the procedure can be applied to a variety of materials to provide geometrically optimised samples whose size and shape are tailored to the attenuation coefficients of the constituent phases. The procedure can be implemented for the bespoke preparation of pillars for both lab- and synchrotron-based X-ray nano-CT investigations of a wide range of samples.","author":[{"dropping-particle":"","family":"Bailey","given":"J. J.","non-dropping-particle":"","parse-names":false,"suffix":""},{"dropping-particle":"","family":"Heenan","given":"T. M.M.","non-dropping-particle":"","parse-names":false,"suffix":""},{"dropping-particle":"","family":"Finegan","given":"D. P.","non-dropping-particle":"","parse-names":false,"suffix":""},{"dropping-particle":"","family":"Lu","given":"X.","non-dropping-particle":"","parse-names":false,"suffix":""},{"dropping-particle":"","family":"Daemi","given":"S. R.","non-dropping-particle":"","parse-names":false,"suffix":""},{"dropping-particle":"","family":"Iacoviello","given":"F.","non-dropping-particle":"","parse-names":false,"suffix":""},{"dropping-particle":"","family":"Backeberg","given":"N. R.","non-dropping-particle":"","parse-names":false,"suffix":""},{"dropping-particle":"","family":"Taiwo","given":"O. O.","non-dropping-particle":"","parse-names":false,"suffix":""},{"dropping-particle":"","family":"Brett","given":"D. J.L.","non-dropping-particle":"","parse-names":false,"suffix":""},{"dropping-particle":"","family":"Atkinson","given":"A.","non-dropping-particle":"","parse-names":false,"suffix":""},{"dropping-particle":"","family":"Shearing","given":"P. R.","non-dropping-particle":"","parse-names":false,"suffix":""}],"container-title":"Journal of Microscopy","id":"ITEM-1","issue":"3","issued":{"date-parts":[["2017"]]},"page":"384-396","title":"Laser-preparation of geometrically optimised samples for X-ray nano-CT","type":"article-journal","volume":"267"},"uris":["http://www.mendeley.com/documents/?uuid=170634cd-31c8-4596-869e-d43b301c2f12"]},{"id":"ITEM-2","itemData":{"DOI":"10.1016/j.mattod.2019.05.019","ISSN":"18734103","abstract":"Over the last century, X-ray imaging instruments and their accompanying tomographic reconstruction algorithms have developed considerably. With improved tomogram quality and resolution, voxel sizes down to tens of nanometers can now be achieved. Moreover, recent advancements in readily accessible lab-based X-ray computed tomography (X-ray CT) instruments have produced spatial resolutions comparable to specialist synchrotron facilities. Electrochemical energy conversion devices, such as fuel cells and batteries, have inherently complex electrode microstructures to achieve competitive power delivery for consideration as replacements for conventional sources. With resolution capabilities spanning tens of microns to tens of nanometers, X-ray CT has become widely employed in the three-dimensional (3D) characterization of electrochemical materials. The ability to perform multiscale imaging has enabled characterization from system-down to particle-level, with the ability to resolve critical features within device microstructures. X-ray characterization presents a favorable alternative to other 3D methods, such as focused ion beam scanning electron microscopy, due to its non-destructive nature, which allows four-dimensional (4D) studies, three spatial dimensions plus time, linking structural dynamics to device performance and lifetime. X-ray CT has accelerated research from fundamental understanding of the links between cell structure and performance, to the improvement in manufacturing and scale-up of full electrochemical cells. Furthermore, this has aided in the mitigation of degradation and cell-level failures, such as thermal runaway. This review presents recent developments in the use of X-ray CT as a characterization method and its role in the advancement of electrochemical materials engineering.","author":[{"dropping-particle":"","family":"Heenan","given":"Thomas M.M.","non-dropping-particle":"","parse-names":false,"suffix":""},{"dropping-particle":"","family":"Tan","given":"Chun","non-dropping-particle":"","parse-names":false,"suffix":""},{"dropping-particle":"","family":"Hack","given":"Jennifer","non-dropping-particle":"","parse-names":false,"suffix":""},{"dropping-particle":"","family":"Brett","given":"Dan J.L.","non-dropping-particle":"","parse-names":false,"suffix":""},{"dropping-particle":"","family":"Shearing","given":"Paul R.","non-dropping-particle":"","parse-names":false,"suffix":""}],"container-title":"Materials Today","id":"ITEM-2","issue":"December","issued":{"date-parts":[["2019"]]},"page":"69-85","publisher":"Elsevier B.V.","title":"Developments in X-ray tomography characterization for electrochemical devices","type":"article-journal","volume":"31"},"uris":["http://www.mendeley.com/documents/?uuid=5a69f3ee-6f01-46b1-a3b2-22259527df4c"]}],"mendeley":{"formattedCitation":"[255], [272]","plainTextFormattedCitation":"[255], [272]","previouslyFormattedCitation":"[255], [272]"},"properties":{"noteIndex":0},"schema":"https://github.com/citation-style-language/schema/raw/master/csl-citation.json"}</w:instrText>
      </w:r>
      <w:r>
        <w:fldChar w:fldCharType="separate"/>
      </w:r>
      <w:r w:rsidR="006C586A" w:rsidRPr="006C586A">
        <w:rPr>
          <w:noProof/>
        </w:rPr>
        <w:t>[255], [272]</w:t>
      </w:r>
      <w:r>
        <w:fldChar w:fldCharType="end"/>
      </w:r>
      <w:r>
        <w:t>. The Ni-YSZ pillar samples were produced using a 2-step procedure. Initially a coarse puck was milled with the instrument followed by a lathing step to produce a fine rod sample.</w:t>
      </w:r>
    </w:p>
    <w:p w14:paraId="12ECBB38" w14:textId="06502216" w:rsidR="00007F6C" w:rsidRDefault="00007F6C" w:rsidP="00007F6C">
      <w:pPr>
        <w:pStyle w:val="Heading4"/>
        <w:rPr>
          <w:rFonts w:eastAsia="Times New Roman"/>
          <w:lang w:eastAsia="en-GB"/>
        </w:rPr>
      </w:pPr>
      <w:r>
        <w:rPr>
          <w:rFonts w:eastAsia="Times New Roman"/>
          <w:lang w:eastAsia="en-GB"/>
        </w:rPr>
        <w:t xml:space="preserve">3.1.4.1 Sample </w:t>
      </w:r>
      <w:r w:rsidR="001F7341">
        <w:rPr>
          <w:rFonts w:eastAsia="Times New Roman"/>
          <w:lang w:eastAsia="en-GB"/>
        </w:rPr>
        <w:t>M</w:t>
      </w:r>
      <w:r>
        <w:rPr>
          <w:rFonts w:eastAsia="Times New Roman"/>
          <w:lang w:eastAsia="en-GB"/>
        </w:rPr>
        <w:t xml:space="preserve">ount </w:t>
      </w:r>
      <w:r w:rsidR="001F7341">
        <w:rPr>
          <w:rFonts w:eastAsia="Times New Roman"/>
          <w:lang w:eastAsia="en-GB"/>
        </w:rPr>
        <w:t>P</w:t>
      </w:r>
      <w:r>
        <w:rPr>
          <w:rFonts w:eastAsia="Times New Roman"/>
          <w:lang w:eastAsia="en-GB"/>
        </w:rPr>
        <w:t>roduction</w:t>
      </w:r>
    </w:p>
    <w:p w14:paraId="1ED70194" w14:textId="77777777" w:rsidR="00007F6C" w:rsidRDefault="00007F6C" w:rsidP="00007F6C">
      <w:pPr>
        <w:jc w:val="both"/>
        <w:rPr>
          <w:rFonts w:eastAsia="Times New Roman" w:cstheme="minorHAnsi"/>
          <w:color w:val="000000"/>
          <w:lang w:eastAsia="en-GB"/>
        </w:rPr>
      </w:pPr>
      <w:r>
        <w:rPr>
          <w:rFonts w:eastAsia="Times New Roman" w:cstheme="minorHAnsi"/>
          <w:color w:val="000000"/>
          <w:lang w:eastAsia="en-GB"/>
        </w:rPr>
        <w:t>To provide a flat surface for the fuel electrode puck and fine pillar structure. Aremco ceramic paste was applied to the end of the alumina tubes to produce a sealed platform for the infiltrated fuel electrode. The paste was left to set for 2 hours. The surface of this was ground flat and any excess paste was removed using sandpaper. A stainless-steel dowel was then coated in superglue and inserted into the alumina rod. The mounts were left for half an hour to dry.</w:t>
      </w:r>
    </w:p>
    <w:p w14:paraId="39644104" w14:textId="4B5187D4" w:rsidR="00007F6C" w:rsidRDefault="00007F6C" w:rsidP="00007F6C">
      <w:pPr>
        <w:pStyle w:val="Heading4"/>
        <w:rPr>
          <w:rFonts w:eastAsia="Times New Roman"/>
          <w:lang w:eastAsia="en-GB"/>
        </w:rPr>
      </w:pPr>
      <w:r>
        <w:rPr>
          <w:rFonts w:eastAsia="Times New Roman"/>
          <w:lang w:eastAsia="en-GB"/>
        </w:rPr>
        <w:t xml:space="preserve">3.1.4.2 Coarse </w:t>
      </w:r>
      <w:r w:rsidR="001F7341">
        <w:rPr>
          <w:rFonts w:eastAsia="Times New Roman"/>
          <w:lang w:eastAsia="en-GB"/>
        </w:rPr>
        <w:t>P</w:t>
      </w:r>
      <w:r>
        <w:rPr>
          <w:rFonts w:eastAsia="Times New Roman"/>
          <w:lang w:eastAsia="en-GB"/>
        </w:rPr>
        <w:t>illar</w:t>
      </w:r>
    </w:p>
    <w:p w14:paraId="561EFD69" w14:textId="77777777" w:rsidR="00007F6C" w:rsidRDefault="00007F6C" w:rsidP="00007F6C">
      <w:pPr>
        <w:jc w:val="both"/>
        <w:rPr>
          <w:rFonts w:eastAsia="Times New Roman" w:cstheme="minorHAnsi"/>
          <w:color w:val="000000"/>
          <w:lang w:eastAsia="en-GB"/>
        </w:rPr>
      </w:pPr>
      <w:r>
        <w:rPr>
          <w:rFonts w:eastAsia="Times New Roman" w:cstheme="minorHAnsi"/>
          <w:color w:val="000000"/>
          <w:lang w:eastAsia="en-GB"/>
        </w:rPr>
        <w:t xml:space="preserve">After infiltration, drying and calcination. Coarse </w:t>
      </w:r>
      <w:proofErr w:type="spellStart"/>
      <w:r>
        <w:rPr>
          <w:rFonts w:eastAsia="Times New Roman" w:cstheme="minorHAnsi"/>
          <w:color w:val="000000"/>
          <w:lang w:eastAsia="en-GB"/>
        </w:rPr>
        <w:t>NiO</w:t>
      </w:r>
      <w:proofErr w:type="spellEnd"/>
      <w:r>
        <w:rPr>
          <w:rFonts w:eastAsia="Times New Roman" w:cstheme="minorHAnsi"/>
          <w:color w:val="000000"/>
          <w:lang w:eastAsia="en-GB"/>
        </w:rPr>
        <w:t xml:space="preserve">-YSZ cylindrical pillars (150 µm diameter) were milled with the Oxford Instruments micromachining laser. The laser was programmed using the </w:t>
      </w:r>
      <w:proofErr w:type="spellStart"/>
      <w:r>
        <w:rPr>
          <w:rFonts w:eastAsia="Times New Roman" w:cstheme="minorHAnsi"/>
          <w:color w:val="000000"/>
          <w:lang w:eastAsia="en-GB"/>
        </w:rPr>
        <w:t>Cimita</w:t>
      </w:r>
      <w:proofErr w:type="spellEnd"/>
      <w:r>
        <w:rPr>
          <w:rFonts w:eastAsia="Times New Roman" w:cstheme="minorHAnsi"/>
          <w:color w:val="000000"/>
          <w:lang w:eastAsia="en-GB"/>
        </w:rPr>
        <w:t xml:space="preserve"> 4.08 software with the optimised beam energies for zirconia.  The sample was mounted onto a machining block in the laser chamber. The edges of the specimen were aligned using a reticule in the software. The initial coarse pillars took between 50-60 minutes to cut using a rotating donut beam path. Most of this time was spent cutting through the YSZ electrolyte.</w:t>
      </w:r>
    </w:p>
    <w:p w14:paraId="7DEC7F81" w14:textId="0820311C" w:rsidR="00007F6C" w:rsidRDefault="00007F6C" w:rsidP="00007F6C">
      <w:pPr>
        <w:jc w:val="both"/>
        <w:rPr>
          <w:rFonts w:eastAsia="Times New Roman" w:cstheme="minorHAnsi"/>
          <w:color w:val="000000"/>
          <w:lang w:eastAsia="en-GB"/>
        </w:rPr>
      </w:pPr>
      <w:r>
        <w:rPr>
          <w:rFonts w:eastAsia="Times New Roman" w:cstheme="minorHAnsi"/>
          <w:color w:val="000000"/>
          <w:lang w:eastAsia="en-GB"/>
        </w:rPr>
        <w:t>All the coarse samples were mounted onto the alumina tubes with Aremco ceramic paste and air-dried overnight before a 2 h curing step in air in a tube furnace at 90</w:t>
      </w:r>
      <w:r w:rsidR="00D555C7">
        <w:rPr>
          <w:rFonts w:eastAsia="Times New Roman" w:cstheme="minorHAnsi"/>
          <w:color w:val="000000"/>
          <w:lang w:eastAsia="en-GB"/>
        </w:rPr>
        <w:t xml:space="preserve"> </w:t>
      </w:r>
      <w:r>
        <w:rPr>
          <w:rFonts w:eastAsia="Times New Roman" w:cstheme="minorHAnsi"/>
          <w:color w:val="000000"/>
          <w:lang w:eastAsia="en-GB"/>
        </w:rPr>
        <w:t>°C.</w:t>
      </w:r>
    </w:p>
    <w:p w14:paraId="74E47A4F" w14:textId="009DAC20" w:rsidR="00007F6C" w:rsidRDefault="00007F6C" w:rsidP="00007F6C">
      <w:pPr>
        <w:pStyle w:val="Heading4"/>
      </w:pPr>
      <w:r>
        <w:t xml:space="preserve">3.1.4.3 Fine </w:t>
      </w:r>
      <w:r w:rsidR="001F7341">
        <w:t>P</w:t>
      </w:r>
      <w:r>
        <w:t xml:space="preserve">illar </w:t>
      </w:r>
      <w:r w:rsidR="001F7341">
        <w:t>L</w:t>
      </w:r>
      <w:r>
        <w:t>athing</w:t>
      </w:r>
    </w:p>
    <w:p w14:paraId="7C35320A" w14:textId="0EF26977" w:rsidR="00007F6C" w:rsidRDefault="00007F6C" w:rsidP="00007F6C">
      <w:pPr>
        <w:jc w:val="both"/>
        <w:rPr>
          <w:lang w:eastAsia="en-GB"/>
        </w:rPr>
      </w:pPr>
      <w:r>
        <w:rPr>
          <w:lang w:eastAsia="en-GB"/>
        </w:rPr>
        <w:t xml:space="preserve">After the ceramic paste was cured the samples were mounted horizontally in the Oxford Instruments Micromachining laser chuck. The sample alignment was checked using internal cameras in 90° rotations to ensure that the centre of rotation matched with the stainless-steel dowel. This was achieved by making sure that a sample edge was parallel with the centre of rotation at 0°, 90°, 180° and 270°. Each of the fine pillar sample were initially lathed 50 µm then finished to a final diameter of 15 µm in </w:t>
      </w:r>
      <w:r w:rsidRPr="00687E53">
        <w:rPr>
          <w:lang w:eastAsia="en-GB"/>
        </w:rPr>
        <w:t>45</w:t>
      </w:r>
      <w:r>
        <w:rPr>
          <w:lang w:eastAsia="en-GB"/>
        </w:rPr>
        <w:t xml:space="preserve"> </w:t>
      </w:r>
      <w:r w:rsidRPr="00687E53">
        <w:rPr>
          <w:lang w:eastAsia="en-GB"/>
        </w:rPr>
        <w:t>minutes</w:t>
      </w:r>
      <w:r w:rsidR="00B14934">
        <w:rPr>
          <w:lang w:eastAsia="en-GB"/>
        </w:rPr>
        <w:t xml:space="preserve"> (</w:t>
      </w:r>
      <w:r w:rsidR="00B14934">
        <w:rPr>
          <w:lang w:eastAsia="en-GB"/>
        </w:rPr>
        <w:fldChar w:fldCharType="begin"/>
      </w:r>
      <w:r w:rsidR="00B14934">
        <w:rPr>
          <w:lang w:eastAsia="en-GB"/>
        </w:rPr>
        <w:instrText xml:space="preserve"> REF _Ref68860983 \h </w:instrText>
      </w:r>
      <w:r w:rsidR="00B14934">
        <w:rPr>
          <w:lang w:eastAsia="en-GB"/>
        </w:rPr>
      </w:r>
      <w:r w:rsidR="00B14934">
        <w:rPr>
          <w:lang w:eastAsia="en-GB"/>
        </w:rPr>
        <w:fldChar w:fldCharType="separate"/>
      </w:r>
      <w:r w:rsidR="00B14934">
        <w:t>Figure 3.</w:t>
      </w:r>
      <w:r w:rsidR="00B14934">
        <w:rPr>
          <w:noProof/>
        </w:rPr>
        <w:t>10</w:t>
      </w:r>
      <w:r w:rsidR="00B14934">
        <w:rPr>
          <w:lang w:eastAsia="en-GB"/>
        </w:rPr>
        <w:fldChar w:fldCharType="end"/>
      </w:r>
      <w:r w:rsidR="00B14934">
        <w:rPr>
          <w:lang w:eastAsia="en-GB"/>
        </w:rPr>
        <w:t>)</w:t>
      </w:r>
      <w:r w:rsidRPr="00687E53">
        <w:rPr>
          <w:lang w:eastAsia="en-GB"/>
        </w:rPr>
        <w:t>.</w:t>
      </w:r>
      <w:r>
        <w:rPr>
          <w:lang w:eastAsia="en-GB"/>
        </w:rPr>
        <w:t xml:space="preserve"> Photographs and micrographs of the fine pillar can be found in </w:t>
      </w:r>
      <w:r>
        <w:rPr>
          <w:lang w:eastAsia="en-GB"/>
        </w:rPr>
        <w:fldChar w:fldCharType="begin"/>
      </w:r>
      <w:r>
        <w:rPr>
          <w:lang w:eastAsia="en-GB"/>
        </w:rPr>
        <w:instrText xml:space="preserve"> REF _Ref43456301 \h  \* MERGEFORMAT </w:instrText>
      </w:r>
      <w:r>
        <w:rPr>
          <w:lang w:eastAsia="en-GB"/>
        </w:rPr>
      </w:r>
      <w:r>
        <w:rPr>
          <w:lang w:eastAsia="en-GB"/>
        </w:rPr>
        <w:fldChar w:fldCharType="separate"/>
      </w:r>
      <w:r w:rsidR="00B14934">
        <w:t>Figure 3.11</w:t>
      </w:r>
      <w:r>
        <w:rPr>
          <w:lang w:eastAsia="en-GB"/>
        </w:rPr>
        <w:fldChar w:fldCharType="end"/>
      </w:r>
      <w:r>
        <w:rPr>
          <w:lang w:eastAsia="en-GB"/>
        </w:rPr>
        <w:t xml:space="preserve"> and </w:t>
      </w:r>
      <w:r>
        <w:rPr>
          <w:lang w:eastAsia="en-GB"/>
        </w:rPr>
        <w:fldChar w:fldCharType="begin"/>
      </w:r>
      <w:r>
        <w:rPr>
          <w:lang w:eastAsia="en-GB"/>
        </w:rPr>
        <w:instrText xml:space="preserve"> REF _Ref43456268 \h  \* MERGEFORMAT </w:instrText>
      </w:r>
      <w:r>
        <w:rPr>
          <w:lang w:eastAsia="en-GB"/>
        </w:rPr>
      </w:r>
      <w:r>
        <w:rPr>
          <w:lang w:eastAsia="en-GB"/>
        </w:rPr>
        <w:fldChar w:fldCharType="separate"/>
      </w:r>
      <w:r w:rsidR="00B14934">
        <w:t>Figure 3.12</w:t>
      </w:r>
      <w:r>
        <w:rPr>
          <w:lang w:eastAsia="en-GB"/>
        </w:rPr>
        <w:fldChar w:fldCharType="end"/>
      </w:r>
      <w:r>
        <w:rPr>
          <w:lang w:eastAsia="en-GB"/>
        </w:rPr>
        <w:t>.</w:t>
      </w:r>
    </w:p>
    <w:p w14:paraId="1FCDA7E4" w14:textId="77777777" w:rsidR="00007F6C" w:rsidRDefault="00007F6C" w:rsidP="00007F6C">
      <w:pPr>
        <w:keepNext/>
        <w:spacing w:after="0" w:line="240" w:lineRule="auto"/>
        <w:jc w:val="center"/>
      </w:pPr>
      <w:r>
        <w:rPr>
          <w:noProof/>
          <w:lang w:eastAsia="en-GB"/>
        </w:rPr>
        <w:drawing>
          <wp:inline distT="0" distB="0" distL="0" distR="0" wp14:anchorId="6B2644D1" wp14:editId="362B0262">
            <wp:extent cx="5051465" cy="2533650"/>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a:extLst>
                        <a:ext uri="{28A0092B-C50C-407E-A947-70E740481C1C}">
                          <a14:useLocalDpi xmlns:a14="http://schemas.microsoft.com/office/drawing/2010/main" val="0"/>
                        </a:ext>
                      </a:extLst>
                    </a:blip>
                    <a:srcRect l="2643" r="2824" b="6322"/>
                    <a:stretch>
                      <a:fillRect/>
                    </a:stretch>
                  </pic:blipFill>
                  <pic:spPr bwMode="auto">
                    <a:xfrm>
                      <a:off x="0" y="0"/>
                      <a:ext cx="5100151" cy="2558070"/>
                    </a:xfrm>
                    <a:prstGeom prst="rect">
                      <a:avLst/>
                    </a:prstGeom>
                    <a:noFill/>
                  </pic:spPr>
                </pic:pic>
              </a:graphicData>
            </a:graphic>
          </wp:inline>
        </w:drawing>
      </w:r>
    </w:p>
    <w:p w14:paraId="2FAE8BDA" w14:textId="5B82A959" w:rsidR="00007F6C" w:rsidRPr="003E41E2" w:rsidRDefault="00007F6C" w:rsidP="00007F6C">
      <w:pPr>
        <w:pStyle w:val="Caption"/>
      </w:pPr>
      <w:bookmarkStart w:id="209" w:name="_Ref68860983"/>
      <w:bookmarkStart w:id="210" w:name="_Toc69114955"/>
      <w:r>
        <w:t>Figure 3.</w:t>
      </w:r>
      <w:r w:rsidR="00B51F53">
        <w:fldChar w:fldCharType="begin"/>
      </w:r>
      <w:r w:rsidR="00B51F53">
        <w:instrText xml:space="preserve"> SEQ Figure \* ARABIC </w:instrText>
      </w:r>
      <w:r w:rsidR="00B51F53">
        <w:fldChar w:fldCharType="separate"/>
      </w:r>
      <w:r w:rsidR="00B14934">
        <w:rPr>
          <w:noProof/>
        </w:rPr>
        <w:t>10</w:t>
      </w:r>
      <w:r w:rsidR="00B51F53">
        <w:rPr>
          <w:noProof/>
        </w:rPr>
        <w:fldChar w:fldCharType="end"/>
      </w:r>
      <w:bookmarkEnd w:id="209"/>
      <w:r>
        <w:t>: Diagram of the laser lathing of the fine Ni-YSZ pillar using the alumina tube mounted in the Oxford Micromachining Laser unit</w:t>
      </w:r>
      <w:bookmarkEnd w:id="210"/>
    </w:p>
    <w:p w14:paraId="5638029C" w14:textId="77777777" w:rsidR="00007F6C" w:rsidRDefault="00007F6C" w:rsidP="00007F6C">
      <w:pPr>
        <w:keepNext/>
        <w:jc w:val="center"/>
      </w:pPr>
      <w:r>
        <w:rPr>
          <w:noProof/>
        </w:rPr>
        <w:lastRenderedPageBreak/>
        <w:drawing>
          <wp:inline distT="0" distB="0" distL="0" distR="0" wp14:anchorId="2B073834" wp14:editId="4F03EB1F">
            <wp:extent cx="5400000" cy="2043098"/>
            <wp:effectExtent l="0" t="0" r="0" b="0"/>
            <wp:docPr id="72" name="Picture 72" descr="A picture containing indoor, food, table, c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illed Ni-YSZ Pillar.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00000" cy="2043098"/>
                    </a:xfrm>
                    <a:prstGeom prst="rect">
                      <a:avLst/>
                    </a:prstGeom>
                  </pic:spPr>
                </pic:pic>
              </a:graphicData>
            </a:graphic>
          </wp:inline>
        </w:drawing>
      </w:r>
    </w:p>
    <w:p w14:paraId="3DC90166" w14:textId="52F5CA58" w:rsidR="00007F6C" w:rsidRDefault="00007F6C" w:rsidP="00007F6C">
      <w:pPr>
        <w:pStyle w:val="Caption"/>
        <w:rPr>
          <w:color w:val="000000" w:themeColor="text1"/>
        </w:rPr>
      </w:pPr>
      <w:bookmarkStart w:id="211" w:name="_Ref43456301"/>
      <w:bookmarkStart w:id="212" w:name="_Toc69114956"/>
      <w:r>
        <w:t>Figure 3.</w:t>
      </w:r>
      <w:r w:rsidR="00B51F53">
        <w:fldChar w:fldCharType="begin"/>
      </w:r>
      <w:r w:rsidR="00B51F53">
        <w:instrText xml:space="preserve"> SEQ Figure </w:instrText>
      </w:r>
      <w:r w:rsidR="00B51F53">
        <w:instrText xml:space="preserve">\* ARABIC </w:instrText>
      </w:r>
      <w:r w:rsidR="00B51F53">
        <w:fldChar w:fldCharType="separate"/>
      </w:r>
      <w:r w:rsidR="00B14934">
        <w:rPr>
          <w:noProof/>
        </w:rPr>
        <w:t>11</w:t>
      </w:r>
      <w:r w:rsidR="00B51F53">
        <w:rPr>
          <w:noProof/>
        </w:rPr>
        <w:fldChar w:fldCharType="end"/>
      </w:r>
      <w:bookmarkEnd w:id="211"/>
      <w:r>
        <w:t>: Photograph of the Ni-YSZ pillar sample after the first fine lathing pass. The alumina mount is also visible in the image.</w:t>
      </w:r>
      <w:bookmarkEnd w:id="212"/>
    </w:p>
    <w:p w14:paraId="63478104" w14:textId="77777777" w:rsidR="00007F6C" w:rsidRPr="00601796" w:rsidRDefault="00007F6C" w:rsidP="00007F6C">
      <w:pPr>
        <w:spacing w:after="0" w:line="240" w:lineRule="auto"/>
        <w:jc w:val="both"/>
        <w:rPr>
          <w:rFonts w:eastAsia="Times New Roman" w:cstheme="minorHAnsi"/>
          <w:lang w:eastAsia="en-GB"/>
        </w:rPr>
      </w:pPr>
      <w:r w:rsidRPr="00601796">
        <w:rPr>
          <w:rFonts w:eastAsia="Times New Roman" w:cstheme="minorHAnsi"/>
          <w:lang w:eastAsia="en-GB"/>
        </w:rPr>
        <w:t xml:space="preserve">The surface and milled thickness of the Ni-YSZ fuel electrode pillar samples were imaged using a JEOL </w:t>
      </w:r>
      <w:r>
        <w:rPr>
          <w:rFonts w:cs="Arial"/>
        </w:rPr>
        <w:t>JSM-6010LA SEM (</w:t>
      </w:r>
      <w:r>
        <w:rPr>
          <w:rFonts w:cs="Arial"/>
        </w:rPr>
        <w:fldChar w:fldCharType="begin"/>
      </w:r>
      <w:r>
        <w:rPr>
          <w:rFonts w:cs="Arial"/>
        </w:rPr>
        <w:instrText xml:space="preserve"> REF _Ref43456268 \h  \* MERGEFORMAT </w:instrText>
      </w:r>
      <w:r>
        <w:rPr>
          <w:rFonts w:cs="Arial"/>
        </w:rPr>
      </w:r>
      <w:r>
        <w:rPr>
          <w:rFonts w:cs="Arial"/>
        </w:rPr>
        <w:fldChar w:fldCharType="separate"/>
      </w:r>
      <w:r>
        <w:t xml:space="preserve">Figure </w:t>
      </w:r>
      <w:r>
        <w:rPr>
          <w:noProof/>
        </w:rPr>
        <w:t>3.10</w:t>
      </w:r>
      <w:r>
        <w:rPr>
          <w:rFonts w:cs="Arial"/>
        </w:rPr>
        <w:fldChar w:fldCharType="end"/>
      </w:r>
      <w:r>
        <w:rPr>
          <w:rFonts w:cs="Arial"/>
        </w:rPr>
        <w:t>). The purpose of this was to check that the electrode was not removed during lathing.</w:t>
      </w:r>
    </w:p>
    <w:p w14:paraId="492D63EC" w14:textId="77777777" w:rsidR="00007F6C" w:rsidRDefault="00007F6C" w:rsidP="00007F6C">
      <w:pPr>
        <w:spacing w:after="0" w:line="240" w:lineRule="auto"/>
        <w:jc w:val="both"/>
        <w:rPr>
          <w:rFonts w:eastAsia="Times New Roman" w:cstheme="minorHAnsi"/>
          <w:sz w:val="24"/>
          <w:szCs w:val="24"/>
          <w:lang w:eastAsia="en-GB"/>
        </w:rPr>
      </w:pPr>
    </w:p>
    <w:p w14:paraId="6D5F3D08" w14:textId="77777777" w:rsidR="00007F6C" w:rsidRDefault="00007F6C" w:rsidP="00007F6C">
      <w:pPr>
        <w:keepNext/>
        <w:spacing w:after="0" w:line="240" w:lineRule="auto"/>
        <w:jc w:val="center"/>
      </w:pPr>
      <w:r>
        <w:rPr>
          <w:noProof/>
        </w:rPr>
        <w:drawing>
          <wp:inline distT="0" distB="0" distL="0" distR="0" wp14:anchorId="645FE1FF" wp14:editId="4D6DD664">
            <wp:extent cx="2700000" cy="1943695"/>
            <wp:effectExtent l="0" t="0" r="571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b="4016"/>
                    <a:stretch/>
                  </pic:blipFill>
                  <pic:spPr bwMode="auto">
                    <a:xfrm>
                      <a:off x="0" y="0"/>
                      <a:ext cx="2700000" cy="194369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9C6A39B" wp14:editId="247F2CA7">
            <wp:extent cx="2700000" cy="1943695"/>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4016"/>
                    <a:stretch/>
                  </pic:blipFill>
                  <pic:spPr bwMode="auto">
                    <a:xfrm>
                      <a:off x="0" y="0"/>
                      <a:ext cx="2700000" cy="1943695"/>
                    </a:xfrm>
                    <a:prstGeom prst="rect">
                      <a:avLst/>
                    </a:prstGeom>
                    <a:noFill/>
                    <a:ln>
                      <a:noFill/>
                    </a:ln>
                    <a:extLst>
                      <a:ext uri="{53640926-AAD7-44D8-BBD7-CCE9431645EC}">
                        <a14:shadowObscured xmlns:a14="http://schemas.microsoft.com/office/drawing/2010/main"/>
                      </a:ext>
                    </a:extLst>
                  </pic:spPr>
                </pic:pic>
              </a:graphicData>
            </a:graphic>
          </wp:inline>
        </w:drawing>
      </w:r>
    </w:p>
    <w:p w14:paraId="79B5561C" w14:textId="5AB1D5EE" w:rsidR="00007F6C" w:rsidRDefault="00007F6C" w:rsidP="00007F6C">
      <w:pPr>
        <w:pStyle w:val="Caption"/>
        <w:jc w:val="both"/>
      </w:pPr>
      <w:bookmarkStart w:id="213" w:name="_Ref43456268"/>
      <w:bookmarkStart w:id="214" w:name="_Toc69114957"/>
      <w:r>
        <w:t>Figure 3.</w:t>
      </w:r>
      <w:r w:rsidR="00B51F53">
        <w:fldChar w:fldCharType="begin"/>
      </w:r>
      <w:r w:rsidR="00B51F53">
        <w:instrText xml:space="preserve"> SEQ Figure \* ARABIC </w:instrText>
      </w:r>
      <w:r w:rsidR="00B51F53">
        <w:fldChar w:fldCharType="separate"/>
      </w:r>
      <w:r w:rsidR="00B14934">
        <w:rPr>
          <w:noProof/>
        </w:rPr>
        <w:t>12</w:t>
      </w:r>
      <w:r w:rsidR="00B51F53">
        <w:rPr>
          <w:noProof/>
        </w:rPr>
        <w:fldChar w:fldCharType="end"/>
      </w:r>
      <w:bookmarkEnd w:id="213"/>
      <w:r>
        <w:t>: Scanning electron micrographs of the laser milled fine Ni-YSZ pillar sample milled for the first pass. The edges of the sample illustrate the conical nature of the laser.</w:t>
      </w:r>
      <w:bookmarkEnd w:id="214"/>
    </w:p>
    <w:p w14:paraId="3CB57A44" w14:textId="77777777" w:rsidR="00007F6C" w:rsidRDefault="00007F6C" w:rsidP="00007F6C">
      <w:pPr>
        <w:pStyle w:val="Heading3"/>
      </w:pPr>
      <w:bookmarkStart w:id="215" w:name="_Toc69129382"/>
      <w:r>
        <w:t>3.1.5 Witness Sample Preparation</w:t>
      </w:r>
      <w:bookmarkEnd w:id="215"/>
    </w:p>
    <w:p w14:paraId="1920538E" w14:textId="1F530652" w:rsidR="00007F6C" w:rsidRDefault="00007F6C" w:rsidP="00007F6C">
      <w:pPr>
        <w:tabs>
          <w:tab w:val="left" w:pos="2256"/>
        </w:tabs>
        <w:jc w:val="both"/>
        <w:rPr>
          <w:bCs/>
        </w:rPr>
      </w:pPr>
      <w:r>
        <w:rPr>
          <w:bCs/>
        </w:rPr>
        <w:t>The milled sample husks from section 3.1.4.3 were sectioned into four segments (</w:t>
      </w:r>
      <w:r>
        <w:rPr>
          <w:bCs/>
        </w:rPr>
        <w:fldChar w:fldCharType="begin"/>
      </w:r>
      <w:r>
        <w:rPr>
          <w:bCs/>
        </w:rPr>
        <w:instrText xml:space="preserve"> REF _Ref50279659 \h </w:instrText>
      </w:r>
      <w:r>
        <w:rPr>
          <w:bCs/>
        </w:rPr>
      </w:r>
      <w:r>
        <w:rPr>
          <w:bCs/>
        </w:rPr>
        <w:fldChar w:fldCharType="separate"/>
      </w:r>
      <w:r w:rsidR="00B14934">
        <w:t>Figure 3.</w:t>
      </w:r>
      <w:r w:rsidR="00B14934">
        <w:rPr>
          <w:noProof/>
        </w:rPr>
        <w:t>13</w:t>
      </w:r>
      <w:r>
        <w:rPr>
          <w:bCs/>
        </w:rPr>
        <w:fldChar w:fldCharType="end"/>
      </w:r>
      <w:r>
        <w:rPr>
          <w:bCs/>
        </w:rPr>
        <w:t>). These segments were aged offline in an alumina firing tray using an Elite 2580 tube furnace. These were aged for the same atmosphere and times as the samples analysed at the I13-1 beamline. This ensured that the data gathered from these samples could be directly compared with that of the samples utilised during the ptychographic experiments.</w:t>
      </w:r>
    </w:p>
    <w:p w14:paraId="083221B1" w14:textId="77777777" w:rsidR="00007F6C" w:rsidRDefault="00007F6C" w:rsidP="00007F6C">
      <w:pPr>
        <w:keepNext/>
        <w:tabs>
          <w:tab w:val="left" w:pos="2256"/>
        </w:tabs>
        <w:jc w:val="center"/>
      </w:pPr>
      <w:r>
        <w:rPr>
          <w:bCs/>
          <w:noProof/>
        </w:rPr>
        <w:drawing>
          <wp:inline distT="0" distB="0" distL="0" distR="0" wp14:anchorId="3DE0D71D" wp14:editId="75A94235">
            <wp:extent cx="4276056" cy="1717529"/>
            <wp:effectExtent l="0" t="0" r="0" b="0"/>
            <wp:docPr id="75" name="Picture 75" descr="A picture containing building,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itness sample diagram.png"/>
                    <pic:cNvPicPr/>
                  </pic:nvPicPr>
                  <pic:blipFill>
                    <a:blip r:embed="rId68">
                      <a:extLst>
                        <a:ext uri="{28A0092B-C50C-407E-A947-70E740481C1C}">
                          <a14:useLocalDpi xmlns:a14="http://schemas.microsoft.com/office/drawing/2010/main" val="0"/>
                        </a:ext>
                      </a:extLst>
                    </a:blip>
                    <a:stretch>
                      <a:fillRect/>
                    </a:stretch>
                  </pic:blipFill>
                  <pic:spPr>
                    <a:xfrm>
                      <a:off x="0" y="0"/>
                      <a:ext cx="4333703" cy="1740684"/>
                    </a:xfrm>
                    <a:prstGeom prst="rect">
                      <a:avLst/>
                    </a:prstGeom>
                  </pic:spPr>
                </pic:pic>
              </a:graphicData>
            </a:graphic>
          </wp:inline>
        </w:drawing>
      </w:r>
    </w:p>
    <w:p w14:paraId="06433223" w14:textId="3338A6F5" w:rsidR="00007F6C" w:rsidRPr="00CB34C0" w:rsidRDefault="00007F6C" w:rsidP="00007F6C">
      <w:pPr>
        <w:pStyle w:val="Caption"/>
      </w:pPr>
      <w:bookmarkStart w:id="216" w:name="_Ref50279659"/>
      <w:bookmarkStart w:id="217" w:name="_Toc69114958"/>
      <w:r>
        <w:t>Figure 3.</w:t>
      </w:r>
      <w:r w:rsidR="00B51F53">
        <w:fldChar w:fldCharType="begin"/>
      </w:r>
      <w:r w:rsidR="00B51F53">
        <w:instrText xml:space="preserve"> SEQ Figure \* ARABIC </w:instrText>
      </w:r>
      <w:r w:rsidR="00B51F53">
        <w:fldChar w:fldCharType="separate"/>
      </w:r>
      <w:r w:rsidR="00B14934">
        <w:rPr>
          <w:noProof/>
        </w:rPr>
        <w:t>13</w:t>
      </w:r>
      <w:r w:rsidR="00B51F53">
        <w:rPr>
          <w:noProof/>
        </w:rPr>
        <w:fldChar w:fldCharType="end"/>
      </w:r>
      <w:bookmarkEnd w:id="216"/>
      <w:r>
        <w:t>: Diagram of the milled sample husk split into 4 witness sample segments</w:t>
      </w:r>
      <w:bookmarkEnd w:id="217"/>
      <w:r>
        <w:br w:type="page"/>
      </w:r>
    </w:p>
    <w:p w14:paraId="5AE709FB" w14:textId="77777777" w:rsidR="00007F6C" w:rsidRDefault="00007F6C" w:rsidP="00007F6C">
      <w:pPr>
        <w:pStyle w:val="Heading2"/>
      </w:pPr>
      <w:bookmarkStart w:id="218" w:name="_Toc69129383"/>
      <w:r>
        <w:lastRenderedPageBreak/>
        <w:t>3.2</w:t>
      </w:r>
      <w:r>
        <w:tab/>
        <w:t>Experimental variable changes</w:t>
      </w:r>
      <w:bookmarkEnd w:id="218"/>
    </w:p>
    <w:p w14:paraId="6C76D4E5" w14:textId="77777777" w:rsidR="00007F6C" w:rsidRDefault="00007F6C" w:rsidP="00007F6C">
      <w:pPr>
        <w:jc w:val="both"/>
      </w:pPr>
      <w:r>
        <w:t>The wet impregnation routine of the symmetrical fuel electrode samples was altered in 4 ways to test impact of the different variables on the electrochemical properties of the infiltrated system. Investigating the changes to the wet-impregnation method was a key part of the work with over half of the methods discussed changing variables associated with infiltrated. Two changes focussed on the scaffold with a view to controlling the electrode thickness. The choice of current collector material was scrutinised post-production during electrochemical impedance spectroscopy (EIS) work.</w:t>
      </w:r>
    </w:p>
    <w:p w14:paraId="25D258EB" w14:textId="77777777" w:rsidR="00007F6C" w:rsidRDefault="00007F6C" w:rsidP="00007F6C">
      <w:pPr>
        <w:pStyle w:val="Heading3"/>
      </w:pPr>
      <w:bookmarkStart w:id="219" w:name="_Toc69129384"/>
      <w:r>
        <w:t>3.2.1 Scaffold Ink Composition</w:t>
      </w:r>
      <w:bookmarkEnd w:id="219"/>
    </w:p>
    <w:p w14:paraId="11A9EF70" w14:textId="4EF356EF" w:rsidR="00007F6C" w:rsidRDefault="00007F6C" w:rsidP="00007F6C">
      <w:pPr>
        <w:jc w:val="both"/>
      </w:pPr>
      <w:r>
        <w:t>Two YSZ (DKKK, Japan) electrode inks were trialled for the doctor blading process. An in-house tape casting ink recipe was used (See Appendix, Section 3.1.1). The first of these inks had 28</w:t>
      </w:r>
      <w:r w:rsidR="00D555C7">
        <w:t xml:space="preserve"> </w:t>
      </w:r>
      <w:r>
        <w:t>wt</w:t>
      </w:r>
      <w:r w:rsidR="00D555C7">
        <w:t xml:space="preserve"> </w:t>
      </w:r>
      <w:r>
        <w:t xml:space="preserve">% Graphite </w:t>
      </w:r>
      <w:proofErr w:type="spellStart"/>
      <w:r>
        <w:t>Imerys</w:t>
      </w:r>
      <w:proofErr w:type="spellEnd"/>
      <w:r>
        <w:t xml:space="preserve"> KS4 Graphite as the pore former and was fired at 1200</w:t>
      </w:r>
      <w:r w:rsidR="00D555C7">
        <w:t xml:space="preserve"> </w:t>
      </w:r>
      <w:r>
        <w:rPr>
          <w:rFonts w:cstheme="minorHAnsi"/>
        </w:rPr>
        <w:t>°</w:t>
      </w:r>
      <w:r>
        <w:t>C for 2</w:t>
      </w:r>
      <w:r w:rsidR="00D555C7">
        <w:t xml:space="preserve"> </w:t>
      </w:r>
      <w:r>
        <w:t>h. A carbonless ink was also synthesised using the method described in Section 3.1.1. The porous electrode ink composition was fired at 1100</w:t>
      </w:r>
      <w:r w:rsidR="00D555C7">
        <w:t xml:space="preserve"> </w:t>
      </w:r>
      <w:r>
        <w:rPr>
          <w:rFonts w:cstheme="minorHAnsi"/>
        </w:rPr>
        <w:t>°</w:t>
      </w:r>
      <w:r>
        <w:t xml:space="preserve">C for 2 h </w:t>
      </w:r>
      <w:r>
        <w:fldChar w:fldCharType="begin" w:fldLock="1"/>
      </w:r>
      <w:r w:rsidR="00D80A5D">
        <w:instrText>ADDIN CSL_CITATION {"citationItems":[{"id":"ITEM-1","itemData":{"DOI":"10.1016/j.jpowsour.2015.04.072","ISBN":"0378-7753","ISSN":"03787753","abstract":"Ni infiltration into porous YSZ scaffolds is a promising route for the construction of high performing and redox-stable Ni-YSZ anodes for application in solid oxide fuel cells (SOFCs). However, the long-term instability of this type of anode is a critical problem. Here, it is shown that an interconnected Ni film, rather than discrete Ni particles, can be formed inside a porous, pre-sintered YSZ scaffold by using a polymeric Ni-based precursor as the infiltration medium. To understand the effect of the YSZ microstructure on the long-term stability and the electrochemical performance of the resulting composites, two types of Ni-YSZ anodes were investigated. Anodes prepared by polymeric Ni infiltration into a YSZ scaffold with large grains (0.5 μm) and pores (0.5 μm and 5 μm) showed extensive agglomeration in the Ni phase, resulting in poor stability and poor activity. In contrast, Ni infiltration into YSZ scaffolds with finer particle and pore sizes (</w:instrText>
      </w:r>
      <w:r w:rsidR="00D80A5D">
        <w:rPr>
          <w:rFonts w:ascii="Cambria Math" w:hAnsi="Cambria Math" w:cs="Cambria Math"/>
        </w:rPr>
        <w:instrText>∼</w:instrText>
      </w:r>
      <w:r w:rsidR="00D80A5D">
        <w:instrText xml:space="preserve">200 nm each) produced anodes with a very small polarization resistance of ca. 0.1 Ω cm&lt;sup&gt;2&lt;/sup&gt; per electrode at 800 °C. An increase of only </w:instrText>
      </w:r>
      <w:r w:rsidR="00D80A5D">
        <w:rPr>
          <w:rFonts w:ascii="Cambria Math" w:hAnsi="Cambria Math" w:cs="Cambria Math"/>
        </w:rPr>
        <w:instrText>∼</w:instrText>
      </w:r>
      <w:r w:rsidR="00D80A5D">
        <w:instrText>5% was seen in the resistance after ca. 110 h at this temperature, achieved by preventing Ni agglomeration.","author":[{"dropping-particle":"","family":"Buyukaksoy","given":"Aligul","non-dropping-particle":"","parse-names":false,"suffix":""},{"dropping-particle":"","family":"Kammampata","given":"Sanoop P.","non-dropping-particle":"","parse-names":false,"suffix":""},{"dropping-particle":"","family":"Birss","given":"Viola I.","non-dropping-particle":"","parse-names":false,"suffix":""}],"container-title":"Journal of Power Sources","id":"ITEM-1","issued":{"date-parts":[["2015"]]},"page":"349-358","title":"Effect of porous YSZ scaffold microstructure on the long-term performance of infiltrated Ni-YSZ anodes","type":"article-journal","volume":"287"},"uris":["http://www.mendeley.com/documents/?uuid=812e52dc-2e3b-4f61-823f-2cc187b99b0e"]}],"mendeley":{"formattedCitation":"[314]","plainTextFormattedCitation":"[314]","previouslyFormattedCitation":"[314]"},"properties":{"noteIndex":0},"schema":"https://github.com/citation-style-language/schema/raw/master/csl-citation.json"}</w:instrText>
      </w:r>
      <w:r>
        <w:fldChar w:fldCharType="separate"/>
      </w:r>
      <w:r w:rsidR="006C586A" w:rsidRPr="006C586A">
        <w:rPr>
          <w:noProof/>
        </w:rPr>
        <w:t>[314]</w:t>
      </w:r>
      <w:r>
        <w:fldChar w:fldCharType="end"/>
      </w:r>
      <w:r>
        <w:t xml:space="preserve">. </w:t>
      </w:r>
    </w:p>
    <w:p w14:paraId="3F535AC7" w14:textId="2679322C" w:rsidR="00007F6C" w:rsidRDefault="00007F6C" w:rsidP="00007F6C">
      <w:pPr>
        <w:pStyle w:val="Heading3"/>
      </w:pPr>
      <w:bookmarkStart w:id="220" w:name="_Toc69129385"/>
      <w:r>
        <w:t xml:space="preserve">3.2.2 Drying </w:t>
      </w:r>
      <w:r w:rsidR="00937866">
        <w:t>A</w:t>
      </w:r>
      <w:r>
        <w:t>tmospheres</w:t>
      </w:r>
      <w:bookmarkEnd w:id="220"/>
    </w:p>
    <w:p w14:paraId="7BCE5BE1" w14:textId="56D868AB" w:rsidR="00007F6C" w:rsidRDefault="00007F6C" w:rsidP="00007F6C">
      <w:pPr>
        <w:jc w:val="both"/>
      </w:pPr>
      <w:r>
        <w:t xml:space="preserve">Two drying atmospheres were applied to the samples: Air and Nitrogen. Both gas streams were applied to the samples with identical flowrates of </w:t>
      </w:r>
      <w:r w:rsidRPr="00112802">
        <w:t>5 mLmin</w:t>
      </w:r>
      <w:r w:rsidR="00C75748">
        <w:rPr>
          <w:vertAlign w:val="superscript"/>
        </w:rPr>
        <w:t>-1</w:t>
      </w:r>
      <w:r w:rsidRPr="00112802">
        <w:t xml:space="preserve">. </w:t>
      </w:r>
      <w:r>
        <w:t xml:space="preserve">These drying steps were implemented after the wet impregnation procedure and described in Section 3.1.3. The calcination atmospheres were also changed to these atmospheres. Further discussion into these steps can be found in </w:t>
      </w:r>
      <w:r w:rsidRPr="00CE26CC">
        <w:t>Chapter 4.</w:t>
      </w:r>
    </w:p>
    <w:p w14:paraId="36A7D3E7" w14:textId="77777777" w:rsidR="00007F6C" w:rsidRDefault="00007F6C" w:rsidP="00007F6C">
      <w:pPr>
        <w:pStyle w:val="Heading3"/>
      </w:pPr>
      <w:bookmarkStart w:id="221" w:name="_Ref64281299"/>
      <w:bookmarkStart w:id="222" w:name="_Toc69129386"/>
      <w:r>
        <w:t>3.2.3 Current Collector</w:t>
      </w:r>
      <w:bookmarkEnd w:id="221"/>
      <w:bookmarkEnd w:id="222"/>
      <w:r>
        <w:t xml:space="preserve"> </w:t>
      </w:r>
    </w:p>
    <w:p w14:paraId="5F7926D9" w14:textId="67E5A93F" w:rsidR="00007F6C" w:rsidRDefault="00007F6C" w:rsidP="00007F6C">
      <w:pPr>
        <w:jc w:val="both"/>
      </w:pPr>
      <w:r>
        <w:t xml:space="preserve">For the first portion of electrochemical impedance spectroscopy work the current collector material used was a conductive silver (Gwent, UK) paste </w:t>
      </w:r>
      <w:r>
        <w:fldChar w:fldCharType="begin" w:fldLock="1"/>
      </w:r>
      <w:r w:rsidR="00D80A5D">
        <w:instrText>ADDIN CSL_CITATION {"citationItems":[{"id":"ITEM-1","itemData":{"URL":"http://www.gwent.org/gem_data_sheets/single_and_multilayer_products/ltcc_tape_products/ag_ink_c2010515d4.pdf","accessed":{"date-parts":[["2020","4","22"]]},"author":[{"dropping-particle":"","family":"Ltd","given":"Gwent Electronic Materials","non-dropping-particle":"","parse-names":false,"suffix":""}],"container-title":"Gwent Group Advanced Materials Catalog","id":"ITEM-1","issued":{"date-parts":[["2020"]]},"page":"1-2","title":"Gwent C2010515D4 Silver Ink Data Sheet","type":"webpage"},"uris":["http://www.mendeley.com/documents/?uuid=c31ef178-ac8d-40e7-9e8e-1563696ce764"]}],"mendeley":{"formattedCitation":"[315]","plainTextFormattedCitation":"[315]","previouslyFormattedCitation":"[315]"},"properties":{"noteIndex":0},"schema":"https://github.com/citation-style-language/schema/raw/master/csl-citation.json"}</w:instrText>
      </w:r>
      <w:r>
        <w:fldChar w:fldCharType="separate"/>
      </w:r>
      <w:r w:rsidR="006C586A" w:rsidRPr="006C586A">
        <w:rPr>
          <w:noProof/>
        </w:rPr>
        <w:t>[315]</w:t>
      </w:r>
      <w:r>
        <w:fldChar w:fldCharType="end"/>
      </w:r>
      <w:r>
        <w:t xml:space="preserve">. Further discussion into this can be found in </w:t>
      </w:r>
      <w:r w:rsidRPr="00795D58">
        <w:t>Chapter</w:t>
      </w:r>
      <w:r>
        <w:t>s</w:t>
      </w:r>
      <w:r w:rsidRPr="00795D58">
        <w:t xml:space="preserve"> </w:t>
      </w:r>
      <w:r>
        <w:t xml:space="preserve">4 and </w:t>
      </w:r>
      <w:r w:rsidRPr="00795D58">
        <w:t>5.</w:t>
      </w:r>
      <w:r>
        <w:t xml:space="preserve"> A total of four current collector materials were trialled. Each of the pastes was applied to the calcined symmetrical </w:t>
      </w:r>
      <w:proofErr w:type="spellStart"/>
      <w:r>
        <w:t>NiO</w:t>
      </w:r>
      <w:proofErr w:type="spellEnd"/>
      <w:r>
        <w:t>-YSZ samples using screen printing. A hole punch was used to produce a cavity for the current collector grid to coat the electrode in a piece of scotch tape.</w:t>
      </w:r>
    </w:p>
    <w:p w14:paraId="45D43C2E" w14:textId="77777777" w:rsidR="00007F6C" w:rsidRDefault="00007F6C" w:rsidP="00007F6C">
      <w:pPr>
        <w:jc w:val="both"/>
      </w:pPr>
      <w:r>
        <w:t xml:space="preserve">Prior to screen printing this piece was applied to the </w:t>
      </w:r>
      <w:proofErr w:type="spellStart"/>
      <w:r>
        <w:t>NiO</w:t>
      </w:r>
      <w:proofErr w:type="spellEnd"/>
      <w:r>
        <w:t xml:space="preserve">-YSZ sample and the pastes were mixed with 50 wt% isopropanol. The sample was mounted under an MTI 12 x 12-inch precision screen (250 </w:t>
      </w:r>
      <w:r>
        <w:rPr>
          <w:rFonts w:cstheme="minorHAnsi"/>
        </w:rPr>
        <w:t>µ</w:t>
      </w:r>
      <w:r>
        <w:t xml:space="preserve">m mesh size). The distance between the screen and the sample was 500 </w:t>
      </w:r>
      <w:r>
        <w:rPr>
          <w:rFonts w:cstheme="minorHAnsi"/>
        </w:rPr>
        <w:t>µ</w:t>
      </w:r>
      <w:r>
        <w:t xml:space="preserve">m.  A SPW aluminium squeegee was coated in the current collector and then brushed across the mesh applying a 15 </w:t>
      </w:r>
      <w:r>
        <w:rPr>
          <w:rFonts w:cstheme="minorHAnsi"/>
        </w:rPr>
        <w:t>µ</w:t>
      </w:r>
      <w:r>
        <w:t xml:space="preserve">m thick grid. </w:t>
      </w:r>
    </w:p>
    <w:p w14:paraId="7A159962" w14:textId="3C78FAA6" w:rsidR="00007F6C" w:rsidRDefault="00007F6C" w:rsidP="00007F6C">
      <w:pPr>
        <w:jc w:val="both"/>
      </w:pPr>
      <w:r>
        <w:t xml:space="preserve">The four current collector pastes </w:t>
      </w:r>
      <w:r w:rsidR="005E2F1E">
        <w:t xml:space="preserve">used during this work are detailed in </w:t>
      </w:r>
      <w:r w:rsidR="005E2F1E">
        <w:fldChar w:fldCharType="begin"/>
      </w:r>
      <w:r w:rsidR="005E2F1E">
        <w:instrText xml:space="preserve"> REF _Ref64894170 \h </w:instrText>
      </w:r>
      <w:r w:rsidR="005E2F1E">
        <w:fldChar w:fldCharType="separate"/>
      </w:r>
      <w:r w:rsidR="005E2F1E">
        <w:t>Table 3.</w:t>
      </w:r>
      <w:r w:rsidR="005E2F1E">
        <w:rPr>
          <w:noProof/>
        </w:rPr>
        <w:t>3</w:t>
      </w:r>
      <w:r w:rsidR="005E2F1E">
        <w:fldChar w:fldCharType="end"/>
      </w:r>
      <w:r w:rsidR="005E2F1E">
        <w:t xml:space="preserve"> below</w:t>
      </w:r>
      <w:r>
        <w:t>:</w:t>
      </w:r>
    </w:p>
    <w:p w14:paraId="5843A455" w14:textId="6B23E18F" w:rsidR="005E2F1E" w:rsidRDefault="005E2F1E" w:rsidP="005E2F1E">
      <w:pPr>
        <w:pStyle w:val="Caption"/>
        <w:keepNext/>
        <w:spacing w:after="240"/>
        <w:jc w:val="left"/>
      </w:pPr>
      <w:bookmarkStart w:id="223" w:name="_Ref64894170"/>
      <w:r>
        <w:t>Table 3.</w:t>
      </w:r>
      <w:r w:rsidR="00B51F53">
        <w:fldChar w:fldCharType="begin"/>
      </w:r>
      <w:r w:rsidR="00B51F53">
        <w:instrText xml:space="preserve"> SEQ Table \* ARABIC </w:instrText>
      </w:r>
      <w:r w:rsidR="00B51F53">
        <w:fldChar w:fldCharType="separate"/>
      </w:r>
      <w:r w:rsidR="0022061C">
        <w:rPr>
          <w:noProof/>
        </w:rPr>
        <w:t>3</w:t>
      </w:r>
      <w:r w:rsidR="00B51F53">
        <w:rPr>
          <w:noProof/>
        </w:rPr>
        <w:fldChar w:fldCharType="end"/>
      </w:r>
      <w:bookmarkEnd w:id="223"/>
      <w:r>
        <w:t xml:space="preserve">: List of the four current collector materials tested during the project including the suppliers and solid content. NB the nickel solids content is listed as N/A due to the paste being out of </w:t>
      </w:r>
      <w:proofErr w:type="gramStart"/>
      <w:r>
        <w:t>production</w:t>
      </w:r>
      <w:proofErr w:type="gramEnd"/>
      <w:r>
        <w:t xml:space="preserve"> </w:t>
      </w:r>
    </w:p>
    <w:tbl>
      <w:tblPr>
        <w:tblStyle w:val="TableGrid"/>
        <w:tblW w:w="0" w:type="auto"/>
        <w:jc w:val="center"/>
        <w:tblLook w:val="04A0" w:firstRow="1" w:lastRow="0" w:firstColumn="1" w:lastColumn="0" w:noHBand="0" w:noVBand="1"/>
      </w:tblPr>
      <w:tblGrid>
        <w:gridCol w:w="2410"/>
        <w:gridCol w:w="2268"/>
        <w:gridCol w:w="1985"/>
        <w:gridCol w:w="1984"/>
      </w:tblGrid>
      <w:tr w:rsidR="00007F6C" w14:paraId="06981FF1" w14:textId="77777777" w:rsidTr="005E2F1E">
        <w:trPr>
          <w:trHeight w:val="251"/>
          <w:jc w:val="center"/>
        </w:trPr>
        <w:tc>
          <w:tcPr>
            <w:tcW w:w="2410" w:type="dxa"/>
          </w:tcPr>
          <w:p w14:paraId="2CFA9C05" w14:textId="77777777" w:rsidR="00007F6C" w:rsidRPr="00BC4556" w:rsidRDefault="00007F6C" w:rsidP="005E2F1E">
            <w:pPr>
              <w:jc w:val="center"/>
              <w:rPr>
                <w:b/>
                <w:bCs/>
              </w:rPr>
            </w:pPr>
            <w:r w:rsidRPr="00BC4556">
              <w:rPr>
                <w:b/>
                <w:bCs/>
              </w:rPr>
              <w:t>Current Collector Paste</w:t>
            </w:r>
          </w:p>
        </w:tc>
        <w:tc>
          <w:tcPr>
            <w:tcW w:w="2268" w:type="dxa"/>
          </w:tcPr>
          <w:p w14:paraId="254036E6" w14:textId="77777777" w:rsidR="00007F6C" w:rsidRPr="00BC4556" w:rsidRDefault="00007F6C" w:rsidP="005E2F1E">
            <w:pPr>
              <w:jc w:val="center"/>
              <w:rPr>
                <w:b/>
                <w:bCs/>
              </w:rPr>
            </w:pPr>
            <w:r w:rsidRPr="00BC4556">
              <w:rPr>
                <w:b/>
                <w:bCs/>
              </w:rPr>
              <w:t>Supplier</w:t>
            </w:r>
          </w:p>
        </w:tc>
        <w:tc>
          <w:tcPr>
            <w:tcW w:w="1985" w:type="dxa"/>
          </w:tcPr>
          <w:p w14:paraId="2B86C92F" w14:textId="77777777" w:rsidR="00007F6C" w:rsidRPr="00BC4556" w:rsidRDefault="00007F6C" w:rsidP="005E2F1E">
            <w:pPr>
              <w:jc w:val="center"/>
              <w:rPr>
                <w:b/>
                <w:bCs/>
              </w:rPr>
            </w:pPr>
            <w:r w:rsidRPr="00BC4556">
              <w:rPr>
                <w:b/>
                <w:bCs/>
              </w:rPr>
              <w:t>Product Code</w:t>
            </w:r>
          </w:p>
        </w:tc>
        <w:tc>
          <w:tcPr>
            <w:tcW w:w="1984" w:type="dxa"/>
          </w:tcPr>
          <w:p w14:paraId="6CE0C951" w14:textId="77777777" w:rsidR="00007F6C" w:rsidRPr="00BC4556" w:rsidRDefault="00007F6C" w:rsidP="005E2F1E">
            <w:pPr>
              <w:jc w:val="center"/>
              <w:rPr>
                <w:b/>
                <w:bCs/>
              </w:rPr>
            </w:pPr>
            <w:proofErr w:type="gramStart"/>
            <w:r w:rsidRPr="00BC4556">
              <w:rPr>
                <w:b/>
                <w:bCs/>
              </w:rPr>
              <w:t>Solids</w:t>
            </w:r>
            <w:proofErr w:type="gramEnd"/>
            <w:r w:rsidRPr="00BC4556">
              <w:rPr>
                <w:b/>
                <w:bCs/>
              </w:rPr>
              <w:t xml:space="preserve"> content [%]</w:t>
            </w:r>
          </w:p>
        </w:tc>
      </w:tr>
      <w:tr w:rsidR="00007F6C" w14:paraId="6CC85446" w14:textId="77777777" w:rsidTr="005E2F1E">
        <w:trPr>
          <w:jc w:val="center"/>
        </w:trPr>
        <w:tc>
          <w:tcPr>
            <w:tcW w:w="2410" w:type="dxa"/>
          </w:tcPr>
          <w:p w14:paraId="150E093D" w14:textId="77777777" w:rsidR="00007F6C" w:rsidRDefault="00007F6C" w:rsidP="005E2F1E">
            <w:pPr>
              <w:jc w:val="center"/>
            </w:pPr>
            <w:r>
              <w:t>Silver, Ag</w:t>
            </w:r>
          </w:p>
        </w:tc>
        <w:tc>
          <w:tcPr>
            <w:tcW w:w="2268" w:type="dxa"/>
          </w:tcPr>
          <w:p w14:paraId="568534D6" w14:textId="77777777" w:rsidR="00007F6C" w:rsidRDefault="00007F6C" w:rsidP="005E2F1E">
            <w:pPr>
              <w:jc w:val="both"/>
            </w:pPr>
            <w:r>
              <w:t xml:space="preserve">Gwent Materials </w:t>
            </w:r>
          </w:p>
        </w:tc>
        <w:tc>
          <w:tcPr>
            <w:tcW w:w="1985" w:type="dxa"/>
          </w:tcPr>
          <w:p w14:paraId="4F48E11D" w14:textId="309DB1FA" w:rsidR="00007F6C" w:rsidRDefault="00007F6C" w:rsidP="005E2F1E">
            <w:pPr>
              <w:jc w:val="right"/>
            </w:pPr>
            <w:r>
              <w:t xml:space="preserve">C2010515D4 </w:t>
            </w:r>
            <w:r>
              <w:fldChar w:fldCharType="begin" w:fldLock="1"/>
            </w:r>
            <w:r w:rsidR="00D80A5D">
              <w:instrText>ADDIN CSL_CITATION {"citationItems":[{"id":"ITEM-1","itemData":{"URL":"http://www.gwent.org/gem_data_sheets/single_and_multilayer_products/ltcc_tape_products/ag_ink_c2010515d4.pdf","accessed":{"date-parts":[["2020","4","22"]]},"author":[{"dropping-particle":"","family":"Ltd","given":"Gwent Electronic Materials","non-dropping-particle":"","parse-names":false,"suffix":""}],"container-title":"Gwent Group Advanced Materials Catalog","id":"ITEM-1","issued":{"date-parts":[["2020"]]},"page":"1-2","title":"Gwent C2010515D4 Silver Ink Data Sheet","type":"webpage"},"uris":["http://www.mendeley.com/documents/?uuid=c31ef178-ac8d-40e7-9e8e-1563696ce764"]}],"mendeley":{"formattedCitation":"[315]","plainTextFormattedCitation":"[315]","previouslyFormattedCitation":"[315]"},"properties":{"noteIndex":0},"schema":"https://github.com/citation-style-language/schema/raw/master/csl-citation.json"}</w:instrText>
            </w:r>
            <w:r>
              <w:fldChar w:fldCharType="separate"/>
            </w:r>
            <w:r w:rsidR="006C586A" w:rsidRPr="006C586A">
              <w:rPr>
                <w:noProof/>
              </w:rPr>
              <w:t>[315]</w:t>
            </w:r>
            <w:r>
              <w:fldChar w:fldCharType="end"/>
            </w:r>
          </w:p>
        </w:tc>
        <w:tc>
          <w:tcPr>
            <w:tcW w:w="1984" w:type="dxa"/>
          </w:tcPr>
          <w:p w14:paraId="39F0FA8A" w14:textId="77777777" w:rsidR="00007F6C" w:rsidRDefault="00007F6C" w:rsidP="005E2F1E">
            <w:pPr>
              <w:jc w:val="right"/>
            </w:pPr>
            <w:r>
              <w:t xml:space="preserve">83.0 </w:t>
            </w:r>
            <w:r>
              <w:rPr>
                <w:rFonts w:cstheme="minorHAnsi"/>
              </w:rPr>
              <w:t>±</w:t>
            </w:r>
            <w:r>
              <w:t xml:space="preserve"> 2</w:t>
            </w:r>
          </w:p>
        </w:tc>
      </w:tr>
      <w:tr w:rsidR="00007F6C" w14:paraId="1D64E00B" w14:textId="77777777" w:rsidTr="005E2F1E">
        <w:trPr>
          <w:jc w:val="center"/>
        </w:trPr>
        <w:tc>
          <w:tcPr>
            <w:tcW w:w="2410" w:type="dxa"/>
          </w:tcPr>
          <w:p w14:paraId="5C5600F5" w14:textId="77777777" w:rsidR="00007F6C" w:rsidRDefault="00007F6C" w:rsidP="005E2F1E">
            <w:pPr>
              <w:jc w:val="center"/>
            </w:pPr>
            <w:r>
              <w:t>Gold, Au</w:t>
            </w:r>
          </w:p>
        </w:tc>
        <w:tc>
          <w:tcPr>
            <w:tcW w:w="2268" w:type="dxa"/>
          </w:tcPr>
          <w:p w14:paraId="6A6F96D6" w14:textId="77777777" w:rsidR="00007F6C" w:rsidRDefault="00007F6C" w:rsidP="005E2F1E">
            <w:pPr>
              <w:jc w:val="both"/>
            </w:pPr>
            <w:r>
              <w:t>Heraeus Materials Ltd</w:t>
            </w:r>
          </w:p>
        </w:tc>
        <w:tc>
          <w:tcPr>
            <w:tcW w:w="1985" w:type="dxa"/>
          </w:tcPr>
          <w:p w14:paraId="55FA75CB" w14:textId="33501E56" w:rsidR="00007F6C" w:rsidRDefault="00007F6C" w:rsidP="005E2F1E">
            <w:pPr>
              <w:jc w:val="right"/>
            </w:pPr>
            <w:r>
              <w:t xml:space="preserve">C5729 </w:t>
            </w:r>
            <w:r>
              <w:fldChar w:fldCharType="begin" w:fldLock="1"/>
            </w:r>
            <w:r w:rsidR="00D80A5D">
              <w:instrText>ADDIN CSL_CITATION {"citationItems":[{"id":"ITEM-1","itemData":{"author":[{"dropping-particle":"","family":"Sheet","given":"Technical Data","non-dropping-particle":"","parse-names":false,"suffix":""}],"container-title":"Heraeus Thick Film Materials Fuel Cell Materials Technical Data Sheet","id":"ITEM-1","issued":{"date-parts":[["2020"]]},"page":"1-2","title":"THICK FILM Product Type : Conductors","type":"webpage"},"uris":["http://www.mendeley.com/documents/?uuid=e61dbdac-ff71-43d5-88da-5b48abbd96a1"]}],"mendeley":{"formattedCitation":"[316]","plainTextFormattedCitation":"[316]","previouslyFormattedCitation":"[316]"},"properties":{"noteIndex":0},"schema":"https://github.com/citation-style-language/schema/raw/master/csl-citation.json"}</w:instrText>
            </w:r>
            <w:r>
              <w:fldChar w:fldCharType="separate"/>
            </w:r>
            <w:r w:rsidR="006C586A" w:rsidRPr="006C586A">
              <w:rPr>
                <w:noProof/>
              </w:rPr>
              <w:t>[316]</w:t>
            </w:r>
            <w:r>
              <w:fldChar w:fldCharType="end"/>
            </w:r>
          </w:p>
        </w:tc>
        <w:tc>
          <w:tcPr>
            <w:tcW w:w="1984" w:type="dxa"/>
          </w:tcPr>
          <w:p w14:paraId="0485D5B9" w14:textId="77777777" w:rsidR="00007F6C" w:rsidRDefault="00007F6C" w:rsidP="005E2F1E">
            <w:pPr>
              <w:jc w:val="right"/>
            </w:pPr>
            <w:r>
              <w:t xml:space="preserve">86.5 </w:t>
            </w:r>
            <w:r>
              <w:rPr>
                <w:rFonts w:cstheme="minorHAnsi"/>
              </w:rPr>
              <w:t>±</w:t>
            </w:r>
            <w:r>
              <w:t xml:space="preserve"> 1</w:t>
            </w:r>
          </w:p>
        </w:tc>
      </w:tr>
      <w:tr w:rsidR="00007F6C" w14:paraId="208AEC19" w14:textId="77777777" w:rsidTr="005E2F1E">
        <w:trPr>
          <w:jc w:val="center"/>
        </w:trPr>
        <w:tc>
          <w:tcPr>
            <w:tcW w:w="2410" w:type="dxa"/>
          </w:tcPr>
          <w:p w14:paraId="41F3C490" w14:textId="77777777" w:rsidR="00007F6C" w:rsidRDefault="00007F6C" w:rsidP="005E2F1E">
            <w:pPr>
              <w:jc w:val="center"/>
            </w:pPr>
            <w:r>
              <w:t>Platinum, Pt</w:t>
            </w:r>
          </w:p>
        </w:tc>
        <w:tc>
          <w:tcPr>
            <w:tcW w:w="2268" w:type="dxa"/>
          </w:tcPr>
          <w:p w14:paraId="3FC8957D" w14:textId="77777777" w:rsidR="00007F6C" w:rsidRDefault="00007F6C" w:rsidP="005E2F1E">
            <w:pPr>
              <w:jc w:val="both"/>
            </w:pPr>
            <w:r>
              <w:t>Heraeus Materials Ltd</w:t>
            </w:r>
          </w:p>
        </w:tc>
        <w:tc>
          <w:tcPr>
            <w:tcW w:w="1985" w:type="dxa"/>
          </w:tcPr>
          <w:p w14:paraId="0D1BB9B3" w14:textId="35327F28" w:rsidR="00007F6C" w:rsidRDefault="00007F6C" w:rsidP="005E2F1E">
            <w:pPr>
              <w:jc w:val="right"/>
            </w:pPr>
            <w:r>
              <w:t xml:space="preserve">M637C </w:t>
            </w:r>
            <w:r>
              <w:fldChar w:fldCharType="begin" w:fldLock="1"/>
            </w:r>
            <w:r w:rsidR="00D80A5D">
              <w:instrText>ADDIN CSL_CITATION {"citationItems":[{"id":"ITEM-1","itemData":{"DOI":"HET31101-0616-1","URL":"https://www.heraeus.com/media/media/het/doc_het/products_and_solutions_het_documents/thick_film/data_sheets_th/Fuel_Cell_Materials_Product_Feature.pdf","accessed":{"date-parts":[["2020","4","24"]]},"author":[{"dropping-particle":"","family":"Heraeus","given":"","non-dropping-particle":"","parse-names":false,"suffix":""}],"container-title":"Heraeus Thick Film Materials Fuel Cell Materials Technical Data Sheet","id":"ITEM-1","issued":{"date-parts":[["2020"]]},"page":"1-2","title":"Fuel Cell Materials Technical Data Sheet","type":"webpage"},"uris":["http://www.mendeley.com/documents/?uuid=28700d51-d7ae-47d0-8f4d-5257bdc16502"]}],"mendeley":{"formattedCitation":"[317]","plainTextFormattedCitation":"[317]","previouslyFormattedCitation":"[317]"},"properties":{"noteIndex":0},"schema":"https://github.com/citation-style-language/schema/raw/master/csl-citation.json"}</w:instrText>
            </w:r>
            <w:r>
              <w:fldChar w:fldCharType="separate"/>
            </w:r>
            <w:r w:rsidR="006C586A" w:rsidRPr="006C586A">
              <w:rPr>
                <w:noProof/>
              </w:rPr>
              <w:t>[317]</w:t>
            </w:r>
            <w:r>
              <w:fldChar w:fldCharType="end"/>
            </w:r>
          </w:p>
        </w:tc>
        <w:tc>
          <w:tcPr>
            <w:tcW w:w="1984" w:type="dxa"/>
          </w:tcPr>
          <w:p w14:paraId="7BAFC0F8" w14:textId="77777777" w:rsidR="00007F6C" w:rsidRDefault="00007F6C" w:rsidP="005E2F1E">
            <w:pPr>
              <w:jc w:val="right"/>
            </w:pPr>
            <w:r>
              <w:t xml:space="preserve">63.0 </w:t>
            </w:r>
            <w:r>
              <w:rPr>
                <w:rFonts w:cstheme="minorHAnsi"/>
              </w:rPr>
              <w:t xml:space="preserve">± </w:t>
            </w:r>
            <w:r>
              <w:t>1</w:t>
            </w:r>
          </w:p>
        </w:tc>
      </w:tr>
      <w:tr w:rsidR="00007F6C" w14:paraId="5DE5CA7C" w14:textId="77777777" w:rsidTr="005E2F1E">
        <w:trPr>
          <w:jc w:val="center"/>
        </w:trPr>
        <w:tc>
          <w:tcPr>
            <w:tcW w:w="2410" w:type="dxa"/>
          </w:tcPr>
          <w:p w14:paraId="0C903441" w14:textId="77777777" w:rsidR="00007F6C" w:rsidRDefault="00007F6C" w:rsidP="005E2F1E">
            <w:pPr>
              <w:jc w:val="center"/>
            </w:pPr>
            <w:r>
              <w:t xml:space="preserve">Nickel Oxide, </w:t>
            </w:r>
            <w:proofErr w:type="spellStart"/>
            <w:r>
              <w:t>NiO</w:t>
            </w:r>
            <w:proofErr w:type="spellEnd"/>
          </w:p>
        </w:tc>
        <w:tc>
          <w:tcPr>
            <w:tcW w:w="2268" w:type="dxa"/>
          </w:tcPr>
          <w:p w14:paraId="13316BCC" w14:textId="77777777" w:rsidR="00007F6C" w:rsidRDefault="00007F6C" w:rsidP="005E2F1E">
            <w:pPr>
              <w:jc w:val="both"/>
            </w:pPr>
            <w:proofErr w:type="spellStart"/>
            <w:r>
              <w:t>Shoei</w:t>
            </w:r>
            <w:proofErr w:type="spellEnd"/>
            <w:r>
              <w:t xml:space="preserve"> Chemicals Inc</w:t>
            </w:r>
          </w:p>
        </w:tc>
        <w:tc>
          <w:tcPr>
            <w:tcW w:w="1985" w:type="dxa"/>
          </w:tcPr>
          <w:p w14:paraId="6A011DD7" w14:textId="5AADFC57" w:rsidR="00007F6C" w:rsidRDefault="00007F6C" w:rsidP="005E2F1E">
            <w:pPr>
              <w:jc w:val="right"/>
            </w:pPr>
            <w:r>
              <w:t xml:space="preserve">X-NH053 </w:t>
            </w:r>
            <w:r>
              <w:fldChar w:fldCharType="begin" w:fldLock="1"/>
            </w:r>
            <w:r w:rsidR="00D80A5D">
              <w:instrText>ADDIN CSL_CITATION {"citationItems":[{"id":"ITEM-1","itemData":{"URL":"https://www.shoeichem.co.jp/global/products/eng_panf.pdf","accessed":{"date-parts":[["2020","4","24"]]},"author":[{"dropping-particle":"","family":"Inc.","given":"Shoei Chemical","non-dropping-particle":"","parse-names":false,"suffix":""}],"container-title":"Shoei Chemical Inc Metal Paste","id":"ITEM-1","issued":{"date-parts":[["2020"]]},"page":"3-10","title":"Shoei Chemical Inc Products: Fine Powders and Thick Film Materials","type":"webpage"},"uris":["http://www.mendeley.com/documents/?uuid=48acdfdf-a39f-419c-aa3f-714f22a24e2b"]}],"mendeley":{"formattedCitation":"[318]","plainTextFormattedCitation":"[318]","previouslyFormattedCitation":"[318]"},"properties":{"noteIndex":0},"schema":"https://github.com/citation-style-language/schema/raw/master/csl-citation.json"}</w:instrText>
            </w:r>
            <w:r>
              <w:fldChar w:fldCharType="separate"/>
            </w:r>
            <w:r w:rsidR="006C586A" w:rsidRPr="006C586A">
              <w:rPr>
                <w:noProof/>
              </w:rPr>
              <w:t>[318]</w:t>
            </w:r>
            <w:r>
              <w:fldChar w:fldCharType="end"/>
            </w:r>
          </w:p>
        </w:tc>
        <w:tc>
          <w:tcPr>
            <w:tcW w:w="1984" w:type="dxa"/>
          </w:tcPr>
          <w:p w14:paraId="47E2ABCE" w14:textId="05DF2FBA" w:rsidR="00007F6C" w:rsidRDefault="005E2F1E" w:rsidP="005E2F1E">
            <w:pPr>
              <w:jc w:val="right"/>
            </w:pPr>
            <w:r>
              <w:t>N/A</w:t>
            </w:r>
          </w:p>
        </w:tc>
      </w:tr>
    </w:tbl>
    <w:p w14:paraId="5395F048" w14:textId="77777777" w:rsidR="00007F6C" w:rsidRDefault="00007F6C" w:rsidP="00007F6C">
      <w:pPr>
        <w:jc w:val="both"/>
      </w:pPr>
    </w:p>
    <w:p w14:paraId="3A2FCFF3" w14:textId="32C06EED" w:rsidR="00007F6C" w:rsidRPr="00415497" w:rsidRDefault="00007F6C" w:rsidP="00007F6C">
      <w:pPr>
        <w:pStyle w:val="Heading3"/>
      </w:pPr>
      <w:bookmarkStart w:id="224" w:name="_Toc69129387"/>
      <w:r>
        <w:t xml:space="preserve">3.2.5 Ceramic </w:t>
      </w:r>
      <w:r w:rsidR="00937866">
        <w:t>B</w:t>
      </w:r>
      <w:r>
        <w:t xml:space="preserve">ackbone </w:t>
      </w:r>
      <w:r w:rsidR="00937866">
        <w:t>M</w:t>
      </w:r>
      <w:r>
        <w:t>aterial</w:t>
      </w:r>
      <w:bookmarkEnd w:id="224"/>
    </w:p>
    <w:p w14:paraId="5749764B" w14:textId="685AF88C" w:rsidR="00007F6C" w:rsidRDefault="00007F6C" w:rsidP="00007F6C">
      <w:pPr>
        <w:rPr>
          <w:rFonts w:eastAsiaTheme="majorEastAsia" w:cstheme="majorBidi"/>
          <w:color w:val="2F5496" w:themeColor="accent1" w:themeShade="BF"/>
          <w:sz w:val="26"/>
          <w:szCs w:val="26"/>
        </w:rPr>
      </w:pPr>
      <w:r>
        <w:t>The ceramic oxide material used during this study was either yttria-stabilised zirconia (Y</w:t>
      </w:r>
      <w:r>
        <w:rPr>
          <w:vertAlign w:val="subscript"/>
        </w:rPr>
        <w:t>2</w:t>
      </w:r>
      <w:r>
        <w:t>O</w:t>
      </w:r>
      <w:r>
        <w:rPr>
          <w:vertAlign w:val="subscript"/>
        </w:rPr>
        <w:t>3</w:t>
      </w:r>
      <w:r>
        <w:t xml:space="preserve"> – ZrO</w:t>
      </w:r>
      <w:r>
        <w:rPr>
          <w:vertAlign w:val="subscript"/>
        </w:rPr>
        <w:t>2</w:t>
      </w:r>
      <w:r>
        <w:t>, YSZ) or gadolinium doped ceria (Gd CeO</w:t>
      </w:r>
      <w:r w:rsidRPr="00D55A5E">
        <w:rPr>
          <w:vertAlign w:val="subscript"/>
        </w:rPr>
        <w:t>2</w:t>
      </w:r>
      <w:r>
        <w:t>,</w:t>
      </w:r>
      <w:r w:rsidR="00D555C7">
        <w:t xml:space="preserve"> </w:t>
      </w:r>
      <w:proofErr w:type="gramStart"/>
      <w:r>
        <w:t>GDC )</w:t>
      </w:r>
      <w:proofErr w:type="gramEnd"/>
      <w:r>
        <w:t xml:space="preserve">. The main material used in this work is YSZ as both the </w:t>
      </w:r>
      <w:r w:rsidR="005E2F1E">
        <w:t xml:space="preserve">electrolyte material and the porous ceramic backbone </w:t>
      </w:r>
      <w:r w:rsidR="009A7723">
        <w:t>for the nanostructured symmetrical cell samples.</w:t>
      </w:r>
    </w:p>
    <w:p w14:paraId="384BECFE" w14:textId="7D6C7409" w:rsidR="00007F6C" w:rsidRDefault="00007F6C" w:rsidP="00007F6C">
      <w:pPr>
        <w:pStyle w:val="Heading2"/>
        <w:rPr>
          <w:rFonts w:asciiTheme="minorHAnsi" w:hAnsiTheme="minorHAnsi"/>
        </w:rPr>
      </w:pPr>
      <w:bookmarkStart w:id="225" w:name="_Ref64971943"/>
      <w:bookmarkStart w:id="226" w:name="_Toc69129388"/>
      <w:r>
        <w:rPr>
          <w:rFonts w:asciiTheme="minorHAnsi" w:hAnsiTheme="minorHAnsi"/>
        </w:rPr>
        <w:lastRenderedPageBreak/>
        <w:t>3.3</w:t>
      </w:r>
      <w:r>
        <w:rPr>
          <w:rFonts w:asciiTheme="minorHAnsi" w:hAnsiTheme="minorHAnsi"/>
        </w:rPr>
        <w:tab/>
        <w:t xml:space="preserve">Characterisation </w:t>
      </w:r>
      <w:r w:rsidR="00937866">
        <w:rPr>
          <w:rFonts w:asciiTheme="minorHAnsi" w:hAnsiTheme="minorHAnsi"/>
        </w:rPr>
        <w:t>T</w:t>
      </w:r>
      <w:r>
        <w:rPr>
          <w:rFonts w:asciiTheme="minorHAnsi" w:hAnsiTheme="minorHAnsi"/>
        </w:rPr>
        <w:t>echniques</w:t>
      </w:r>
      <w:bookmarkEnd w:id="225"/>
      <w:bookmarkEnd w:id="226"/>
      <w:r>
        <w:rPr>
          <w:rFonts w:asciiTheme="minorHAnsi" w:hAnsiTheme="minorHAnsi"/>
        </w:rPr>
        <w:t xml:space="preserve"> </w:t>
      </w:r>
    </w:p>
    <w:p w14:paraId="53CFACA1" w14:textId="77777777" w:rsidR="00007F6C" w:rsidRDefault="00007F6C" w:rsidP="00007F6C">
      <w:pPr>
        <w:pStyle w:val="Heading3"/>
        <w:rPr>
          <w:rFonts w:asciiTheme="minorHAnsi" w:hAnsiTheme="minorHAnsi" w:cs="Arial"/>
        </w:rPr>
      </w:pPr>
      <w:bookmarkStart w:id="227" w:name="_Toc69129389"/>
      <w:r>
        <w:rPr>
          <w:rFonts w:asciiTheme="minorHAnsi" w:hAnsiTheme="minorHAnsi" w:cs="Arial"/>
        </w:rPr>
        <w:t>3.3.1</w:t>
      </w:r>
      <w:r>
        <w:rPr>
          <w:rFonts w:asciiTheme="minorHAnsi" w:hAnsiTheme="minorHAnsi" w:cs="Arial"/>
        </w:rPr>
        <w:tab/>
        <w:t>X-ray Diffraction</w:t>
      </w:r>
      <w:bookmarkEnd w:id="227"/>
    </w:p>
    <w:p w14:paraId="611E8CF4" w14:textId="2BFABC71" w:rsidR="00007F6C" w:rsidRDefault="00007F6C" w:rsidP="00007F6C">
      <w:pPr>
        <w:jc w:val="both"/>
      </w:pPr>
      <w:r>
        <w:t>X-rays are a form of electromagnetic radiation with a wavelength of 1</w:t>
      </w:r>
      <w:r>
        <w:rPr>
          <w:rFonts w:cstheme="minorHAnsi"/>
        </w:rPr>
        <w:t>Å (10 nm)</w:t>
      </w:r>
      <w:r>
        <w:t xml:space="preserve">. </w:t>
      </w:r>
      <w:r w:rsidRPr="00DC0F56">
        <w:t>X-ray diffraction</w:t>
      </w:r>
      <w:r>
        <w:t xml:space="preserve"> measures the constructive interference generated by the diffraction of this radiation by atoms in the sample. In crystalline structures these diffraction events stem from the interaction of X-ray photons with the crystallographic planes and lattices (2-3</w:t>
      </w:r>
      <w:r w:rsidRPr="004E6F70">
        <w:rPr>
          <w:rFonts w:cstheme="minorHAnsi"/>
        </w:rPr>
        <w:t xml:space="preserve"> </w:t>
      </w:r>
      <w:r>
        <w:rPr>
          <w:rFonts w:cstheme="minorHAnsi"/>
        </w:rPr>
        <w:t>Å</w:t>
      </w:r>
      <w:r>
        <w:t xml:space="preserve"> interatomic distances). This non-destructive procedure technique characterises the crystal structure of a material.  The radiation is produced via the elastic collision of an accelerated electron with one of the inner orbital electrons from the sample atom forming a hole. An electron from a higher energy orbital moves down to fill the hole leading to a subsequent emission of an X-ray photon and finally detection</w:t>
      </w:r>
      <w:r w:rsidR="007A75B6">
        <w:t xml:space="preserve"> </w:t>
      </w:r>
      <w:r>
        <w:t>(</w:t>
      </w:r>
      <w:r>
        <w:fldChar w:fldCharType="begin"/>
      </w:r>
      <w:r>
        <w:instrText xml:space="preserve"> REF _Ref50296498 \h </w:instrText>
      </w:r>
      <w:r>
        <w:fldChar w:fldCharType="separate"/>
      </w:r>
      <w:r w:rsidR="009858F1">
        <w:t>Figure 3.</w:t>
      </w:r>
      <w:r w:rsidR="009858F1">
        <w:rPr>
          <w:noProof/>
        </w:rPr>
        <w:t>14</w:t>
      </w:r>
      <w:r>
        <w:fldChar w:fldCharType="end"/>
      </w:r>
      <w:r>
        <w:t xml:space="preserve">). The emitted X-ray photons consists of two forms: </w:t>
      </w:r>
      <w:r w:rsidRPr="00BE4A0F">
        <w:rPr>
          <w:i/>
          <w:iCs/>
        </w:rPr>
        <w:t xml:space="preserve">monochromatic </w:t>
      </w:r>
      <w:r>
        <w:t xml:space="preserve">and </w:t>
      </w:r>
      <w:r w:rsidRPr="00BE4A0F">
        <w:rPr>
          <w:i/>
          <w:iCs/>
        </w:rPr>
        <w:t>white</w:t>
      </w:r>
      <w:r>
        <w:t xml:space="preserve"> radiation.</w:t>
      </w:r>
    </w:p>
    <w:p w14:paraId="6C125F21" w14:textId="77777777" w:rsidR="00007F6C" w:rsidRDefault="00007F6C" w:rsidP="00007F6C">
      <w:pPr>
        <w:keepNext/>
        <w:jc w:val="center"/>
      </w:pPr>
      <w:r>
        <w:rPr>
          <w:noProof/>
          <w:color w:val="FFC000"/>
        </w:rPr>
        <w:drawing>
          <wp:inline distT="0" distB="0" distL="0" distR="0" wp14:anchorId="795DE0D0" wp14:editId="21868B9E">
            <wp:extent cx="2654794" cy="2875109"/>
            <wp:effectExtent l="0" t="0" r="0" b="1905"/>
            <wp:docPr id="76" name="Picture 7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u X-ray production diagram.png"/>
                    <pic:cNvPicPr/>
                  </pic:nvPicPr>
                  <pic:blipFill rotWithShape="1">
                    <a:blip r:embed="rId69" cstate="print">
                      <a:extLst>
                        <a:ext uri="{28A0092B-C50C-407E-A947-70E740481C1C}">
                          <a14:useLocalDpi xmlns:a14="http://schemas.microsoft.com/office/drawing/2010/main" val="0"/>
                        </a:ext>
                      </a:extLst>
                    </a:blip>
                    <a:srcRect t="4234" r="4238" b="3672"/>
                    <a:stretch/>
                  </pic:blipFill>
                  <pic:spPr bwMode="auto">
                    <a:xfrm>
                      <a:off x="0" y="0"/>
                      <a:ext cx="2681012" cy="2903503"/>
                    </a:xfrm>
                    <a:prstGeom prst="rect">
                      <a:avLst/>
                    </a:prstGeom>
                    <a:ln>
                      <a:noFill/>
                    </a:ln>
                    <a:extLst>
                      <a:ext uri="{53640926-AAD7-44D8-BBD7-CCE9431645EC}">
                        <a14:shadowObscured xmlns:a14="http://schemas.microsoft.com/office/drawing/2010/main"/>
                      </a:ext>
                    </a:extLst>
                  </pic:spPr>
                </pic:pic>
              </a:graphicData>
            </a:graphic>
          </wp:inline>
        </w:drawing>
      </w:r>
    </w:p>
    <w:p w14:paraId="17D863CF" w14:textId="40DA23FF" w:rsidR="00007F6C" w:rsidRPr="00976FD3" w:rsidRDefault="00007F6C" w:rsidP="00007F6C">
      <w:pPr>
        <w:pStyle w:val="Caption"/>
        <w:rPr>
          <w:color w:val="FFC000"/>
        </w:rPr>
      </w:pPr>
      <w:bookmarkStart w:id="228" w:name="_Ref50296498"/>
      <w:bookmarkStart w:id="229" w:name="_Toc69114959"/>
      <w:r>
        <w:t>Figure 3.</w:t>
      </w:r>
      <w:r w:rsidR="00B51F53">
        <w:fldChar w:fldCharType="begin"/>
      </w:r>
      <w:r w:rsidR="00B51F53">
        <w:instrText xml:space="preserve"> SEQ Figure \* ARABIC </w:instrText>
      </w:r>
      <w:r w:rsidR="00B51F53">
        <w:fldChar w:fldCharType="separate"/>
      </w:r>
      <w:r w:rsidR="009858F1">
        <w:rPr>
          <w:noProof/>
        </w:rPr>
        <w:t>14</w:t>
      </w:r>
      <w:r w:rsidR="00B51F53">
        <w:rPr>
          <w:noProof/>
        </w:rPr>
        <w:fldChar w:fldCharType="end"/>
      </w:r>
      <w:bookmarkEnd w:id="228"/>
      <w:r>
        <w:t xml:space="preserve">: Diagram of an X-ray photon being emitted from a Cu atom. A 2p electron filling a hole generated by the elastic collision of a 1s electron and the accelerated electron in an X-ray tube.  The red orbitals indicate the s orbitals, the blue </w:t>
      </w:r>
      <w:proofErr w:type="gramStart"/>
      <w:r>
        <w:t>p</w:t>
      </w:r>
      <w:proofErr w:type="gramEnd"/>
      <w:r>
        <w:t xml:space="preserve"> respectively. Adapted from West, </w:t>
      </w:r>
      <w:proofErr w:type="spellStart"/>
      <w:r>
        <w:t>Prins</w:t>
      </w:r>
      <w:proofErr w:type="spellEnd"/>
      <w:r>
        <w:t xml:space="preserve">, and Thomas </w:t>
      </w:r>
      <w:r>
        <w:fldChar w:fldCharType="begin" w:fldLock="1"/>
      </w:r>
      <w:r w:rsidR="00D80A5D">
        <w:instrText>ADDIN CSL_CITATION {"citationItems":[{"id":"ITEM-1","itemData":{"ISBN":"9781786340832","author":[{"dropping-particle":"","family":"Prins","given":"R","non-dropping-particle":"","parse-names":false,"suffix":""},{"dropping-particle":"","family":"Wang","given":"A","non-dropping-particle":"","parse-names":false,"suffix":""},{"dropping-particle":"","family":"Li","given":"X","non-dropping-particle":"","parse-names":false,"suffix":""}],"collection-title":"Advanced Tetxtbooks in Chemistry","id":"ITEM-1","issued":{"date-parts":[["2016"]]},"publisher":"World Scientific Publishing Company","title":"Introduction to Heterogeneous Catalysis","type":"book"},"uris":["http://www.mendeley.com/documents/?uuid=791c55bd-09cb-4693-a698-17d41c597b23"]},{"id":"ITEM-2","itemData":{"ISBN":"9783527292882","author":[{"dropping-particle":"","family":"Thomas","given":"J M","non-dropping-particle":"","parse-names":false,"suffix":""},{"dropping-particle":"","family":"Thomas","given":"W J","non-dropping-particle":"","parse-names":false,"suffix":""}],"id":"ITEM-2","issued":{"date-parts":[["1997"]]},"publisher":"VCH","title":"Principles and practice of heterogeneous catalysis","type":"book"},"uris":["http://www.mendeley.com/documents/?uuid=8987bcb7-a496-460f-bac8-295454041508"]},{"id":"ITEM-3","itemData":{"DOI":"10.1002/(sici)1099-0739(200004)14:4&lt;227::aid-aoc949&gt;3.0.co;2-f","ISSN":"0268-2605","author":[{"dropping-particle":"","family":"West","given":"Anthony R.","non-dropping-particle":"","parse-names":false,"suffix":""}],"container-title":"Applied Organometallic Chemistry","edition":"2nd","id":"ITEM-3","issue":"4","issued":{"date-parts":[["2000"]]},"number-of-pages":"227-228","publisher":"Wiley-Blackwell","title":"Basic Solid State Chemistry","type":"book","volume":"14"},"uris":["http://www.mendeley.com/documents/?uuid=cfc7d172-f48b-4960-bd9a-272da03540f8"]}],"mendeley":{"formattedCitation":"[294], [297], [319]","plainTextFormattedCitation":"[294], [297], [319]","previouslyFormattedCitation":"[294], [297], [319]"},"properties":{"noteIndex":0},"schema":"https://github.com/citation-style-language/schema/raw/master/csl-citation.json"}</w:instrText>
      </w:r>
      <w:r>
        <w:fldChar w:fldCharType="separate"/>
      </w:r>
      <w:r w:rsidR="006C586A" w:rsidRPr="006C586A">
        <w:rPr>
          <w:i w:val="0"/>
          <w:noProof/>
        </w:rPr>
        <w:t>[294], [297], [319]</w:t>
      </w:r>
      <w:bookmarkEnd w:id="229"/>
      <w:r>
        <w:fldChar w:fldCharType="end"/>
      </w:r>
    </w:p>
    <w:p w14:paraId="6379C88D" w14:textId="67913ED7" w:rsidR="00007F6C" w:rsidRDefault="00007F6C" w:rsidP="00007F6C">
      <w:pPr>
        <w:jc w:val="both"/>
      </w:pPr>
      <w:r w:rsidRPr="00E742EF">
        <w:t>The X-ray diffraction pattern</w:t>
      </w:r>
      <w:r>
        <w:t xml:space="preserve"> consists of reflection peaks generated by the constructive interference of these monochromatic photons superimposed onto the white (background) radiation. X-ray </w:t>
      </w:r>
      <w:r w:rsidRPr="00F41595">
        <w:t>reflection peaks indicate that the incident X-ray radiation equals the angle in Bragg’s law (</w:t>
      </w:r>
      <w:r w:rsidRPr="00F41595">
        <w:fldChar w:fldCharType="begin"/>
      </w:r>
      <w:r w:rsidRPr="00F41595">
        <w:instrText xml:space="preserve"> REF _Ref51160329 \h  \* MERGEFORMAT </w:instrText>
      </w:r>
      <w:r w:rsidRPr="00F41595">
        <w:fldChar w:fldCharType="separate"/>
      </w:r>
      <w:r w:rsidRPr="00C103C3">
        <w:t>Equation 3.</w:t>
      </w:r>
      <w:r w:rsidRPr="00F41595">
        <w:fldChar w:fldCharType="end"/>
      </w:r>
      <w:proofErr w:type="gramStart"/>
      <w:r w:rsidRPr="00F41595">
        <w:t>)</w:t>
      </w:r>
      <w:r>
        <w:t xml:space="preserve"> </w:t>
      </w:r>
      <w:r w:rsidRPr="00F41595">
        <w:t>.</w:t>
      </w:r>
      <w:proofErr w:type="gramEnd"/>
      <w:r>
        <w:t xml:space="preserve"> The product of the order of reflection n, X-ray wavelength </w:t>
      </w:r>
      <w:r>
        <w:rPr>
          <w:rFonts w:cstheme="minorHAnsi"/>
        </w:rPr>
        <w:t>λ</w:t>
      </w:r>
      <w:r>
        <w:t>, is equal to the twice the</w:t>
      </w:r>
      <w:r w:rsidRPr="00455D0A">
        <w:t xml:space="preserve"> </w:t>
      </w:r>
      <w:r>
        <w:t xml:space="preserve">distance between crystallographic planes d and the sine of the angle of incidence between X-ray radiation and crystallographic plane </w:t>
      </w:r>
      <w:r>
        <w:rPr>
          <w:rFonts w:cstheme="minorHAnsi"/>
        </w:rPr>
        <w:t xml:space="preserve">θ </w:t>
      </w:r>
      <w:r w:rsidRPr="00455D0A">
        <w:rPr>
          <w:rFonts w:cstheme="minorHAnsi"/>
        </w:rPr>
        <w:fldChar w:fldCharType="begin" w:fldLock="1"/>
      </w:r>
      <w:r w:rsidR="00D80A5D">
        <w:rPr>
          <w:rFonts w:cstheme="minorHAnsi"/>
        </w:rPr>
        <w:instrText>ADDIN CSL_CITATION {"citationItems":[{"id":"ITEM-1","itemData":{"DOI":"10.1002/(sici)1099-0739(200004)14:4&lt;227::aid-aoc949&gt;3.0.co;2-f","ISSN":"0268-2605","author":[{"dropping-particle":"","family":"West","given":"Anthony R.","non-dropping-particle":"","parse-names":false,"suffix":""}],"container-title":"Applied Organometallic Chemistry","edition":"2nd","id":"ITEM-1","issue":"4","issued":{"date-parts":[["2000"]]},"number-of-pages":"227-228","publisher":"Wiley-Blackwell","title":"Basic Solid State Chemistry","type":"book","volume":"14"},"uris":["http://www.mendeley.com/documents/?uuid=cfc7d172-f48b-4960-bd9a-272da03540f8"]}],"mendeley":{"formattedCitation":"[294]","plainTextFormattedCitation":"[294]","previouslyFormattedCitation":"[294]"},"properties":{"noteIndex":0},"schema":"https://github.com/citation-style-language/schema/raw/master/csl-citation.json"}</w:instrText>
      </w:r>
      <w:r w:rsidRPr="00455D0A">
        <w:rPr>
          <w:rFonts w:cstheme="minorHAnsi"/>
        </w:rPr>
        <w:fldChar w:fldCharType="separate"/>
      </w:r>
      <w:r w:rsidR="006C586A" w:rsidRPr="006C586A">
        <w:rPr>
          <w:rFonts w:cstheme="minorHAnsi"/>
          <w:noProof/>
        </w:rPr>
        <w:t>[294]</w:t>
      </w:r>
      <w:r w:rsidRPr="00455D0A">
        <w:rPr>
          <w:rFonts w:cstheme="minorHAnsi"/>
        </w:rPr>
        <w:fldChar w:fldCharType="end"/>
      </w:r>
      <w:r w:rsidRPr="00455D0A">
        <w:t>.</w:t>
      </w:r>
      <w:r>
        <w:t>Angles of incidence which do not fulfil Bragg’s law destructively interfere and consequently do not contribute to the overall pattern.</w:t>
      </w:r>
    </w:p>
    <w:p w14:paraId="520FA695" w14:textId="77777777" w:rsidR="00007F6C" w:rsidRPr="00E82414" w:rsidRDefault="00007F6C" w:rsidP="00007F6C">
      <w:pPr>
        <w:keepNext/>
        <w:rPr>
          <w:rFonts w:eastAsiaTheme="minorEastAsia"/>
        </w:rPr>
      </w:pPr>
      <m:oMathPara>
        <m:oMath>
          <m:r>
            <m:rPr>
              <m:sty m:val="p"/>
            </m:rPr>
            <w:rPr>
              <w:rFonts w:ascii="Cambria Math" w:hAnsi="Cambria Math"/>
            </w:rPr>
            <m:t>nλ=2d</m:t>
          </m:r>
          <m:func>
            <m:funcPr>
              <m:ctrlPr>
                <w:rPr>
                  <w:rFonts w:ascii="Cambria Math" w:hAnsi="Cambria Math"/>
                  <w:i/>
                </w:rPr>
              </m:ctrlPr>
            </m:funcPr>
            <m:fName>
              <m:r>
                <m:rPr>
                  <m:sty m:val="p"/>
                </m:rPr>
                <w:rPr>
                  <w:rFonts w:ascii="Cambria Math" w:hAnsi="Cambria Math"/>
                </w:rPr>
                <m:t>sin</m:t>
              </m:r>
            </m:fName>
            <m:e>
              <m:r>
                <m:rPr>
                  <m:sty m:val="p"/>
                </m:rPr>
                <w:rPr>
                  <w:rFonts w:ascii="Cambria Math" w:hAnsi="Cambria Math"/>
                </w:rPr>
                <m:t>θ</m:t>
              </m:r>
            </m:e>
          </m:func>
        </m:oMath>
      </m:oMathPara>
    </w:p>
    <w:p w14:paraId="3D768868" w14:textId="5D2AF908" w:rsidR="00007F6C" w:rsidRPr="00F41595" w:rsidRDefault="00007F6C" w:rsidP="00007F6C">
      <w:pPr>
        <w:pStyle w:val="Caption"/>
        <w:jc w:val="right"/>
        <w:rPr>
          <w:i w:val="0"/>
          <w:iCs w:val="0"/>
          <w:color w:val="auto"/>
          <w:sz w:val="22"/>
          <w:szCs w:val="22"/>
        </w:rPr>
      </w:pPr>
      <w:bookmarkStart w:id="230" w:name="_Ref50296772"/>
      <w:bookmarkStart w:id="231" w:name="_Ref51160329"/>
      <w:r w:rsidRPr="00F41595">
        <w:rPr>
          <w:i w:val="0"/>
          <w:iCs w:val="0"/>
          <w:color w:val="auto"/>
          <w:sz w:val="22"/>
          <w:szCs w:val="22"/>
        </w:rPr>
        <w:t>Equation 3.</w:t>
      </w:r>
      <w:bookmarkEnd w:id="230"/>
      <w:bookmarkEnd w:id="231"/>
      <w:r>
        <w:rPr>
          <w:i w:val="0"/>
          <w:iCs w:val="0"/>
          <w:color w:val="auto"/>
          <w:sz w:val="22"/>
          <w:szCs w:val="22"/>
        </w:rPr>
        <w:fldChar w:fldCharType="begin"/>
      </w:r>
      <w:r>
        <w:rPr>
          <w:i w:val="0"/>
          <w:iCs w:val="0"/>
          <w:color w:val="auto"/>
          <w:sz w:val="22"/>
          <w:szCs w:val="22"/>
        </w:rPr>
        <w:instrText xml:space="preserve"> SEQ Equation \* ARABIC \r 1 </w:instrText>
      </w:r>
      <w:r>
        <w:rPr>
          <w:i w:val="0"/>
          <w:iCs w:val="0"/>
          <w:color w:val="auto"/>
          <w:sz w:val="22"/>
          <w:szCs w:val="22"/>
        </w:rPr>
        <w:fldChar w:fldCharType="separate"/>
      </w:r>
      <w:r w:rsidR="00315BF8">
        <w:rPr>
          <w:i w:val="0"/>
          <w:iCs w:val="0"/>
          <w:noProof/>
          <w:color w:val="auto"/>
          <w:sz w:val="22"/>
          <w:szCs w:val="22"/>
        </w:rPr>
        <w:t>1</w:t>
      </w:r>
      <w:r>
        <w:rPr>
          <w:i w:val="0"/>
          <w:iCs w:val="0"/>
          <w:color w:val="auto"/>
          <w:sz w:val="22"/>
          <w:szCs w:val="22"/>
        </w:rPr>
        <w:fldChar w:fldCharType="end"/>
      </w:r>
    </w:p>
    <w:p w14:paraId="075BD54D" w14:textId="2D9BB76B" w:rsidR="00007F6C" w:rsidRDefault="00007F6C" w:rsidP="00007F6C">
      <w:pPr>
        <w:jc w:val="both"/>
      </w:pPr>
      <w:r>
        <w:t xml:space="preserve">In crystalline materials there can be thousands of lattice planes and interactions present; however due to crystallographic symmetry these can be sorted into repeating 3D grids. The unit cell is the lowest common denominator of the material’s crystalline structure. Each crystalline phase has a characteristic fingerprint X-ray diffraction pattern, which can be used to identify the material, derive the unit cell and crystallographic planes. </w:t>
      </w:r>
      <w:r>
        <w:fldChar w:fldCharType="begin"/>
      </w:r>
      <w:r>
        <w:instrText xml:space="preserve"> REF _Ref39666373 \h  \* MERGEFORMAT </w:instrText>
      </w:r>
      <w:r>
        <w:fldChar w:fldCharType="separate"/>
      </w:r>
      <w:r w:rsidR="00AC5F7B">
        <w:t xml:space="preserve">Table </w:t>
      </w:r>
      <w:r w:rsidR="00AC5F7B">
        <w:rPr>
          <w:noProof/>
        </w:rPr>
        <w:t>3.4</w:t>
      </w:r>
      <w:r>
        <w:fldChar w:fldCharType="end"/>
      </w:r>
      <w:r>
        <w:t xml:space="preserve"> below details the diffraction peaks present in the fuel electrode materials analysed in this study. </w:t>
      </w:r>
    </w:p>
    <w:p w14:paraId="3FE8D949" w14:textId="77777777" w:rsidR="009C7E71" w:rsidRDefault="009C7E71" w:rsidP="00007F6C">
      <w:pPr>
        <w:jc w:val="both"/>
      </w:pPr>
    </w:p>
    <w:p w14:paraId="6912A471" w14:textId="77777777" w:rsidR="00007F6C" w:rsidRDefault="00007F6C" w:rsidP="00007F6C">
      <w:pPr>
        <w:jc w:val="both"/>
      </w:pPr>
      <w:r w:rsidRPr="00ED2968">
        <w:lastRenderedPageBreak/>
        <w:t>The three main materials assessed in this thesis are</w:t>
      </w:r>
      <w:r>
        <w:t>:</w:t>
      </w:r>
    </w:p>
    <w:p w14:paraId="0B3B691B" w14:textId="77777777" w:rsidR="00007F6C" w:rsidRDefault="00007F6C" w:rsidP="00007F6C">
      <w:pPr>
        <w:pStyle w:val="ListParagraph"/>
        <w:numPr>
          <w:ilvl w:val="0"/>
          <w:numId w:val="20"/>
        </w:numPr>
        <w:jc w:val="both"/>
      </w:pPr>
      <w:r>
        <w:t>Yttria stabilised zirconia</w:t>
      </w:r>
      <w:r w:rsidRPr="00ED2968">
        <w:t xml:space="preserve"> </w:t>
      </w:r>
      <w:r>
        <w:t>(</w:t>
      </w:r>
      <w:r w:rsidRPr="00ED2968">
        <w:t xml:space="preserve">electrolyte and </w:t>
      </w:r>
      <w:r>
        <w:t>fuel electrode ceramic backbone)</w:t>
      </w:r>
    </w:p>
    <w:p w14:paraId="013BF36D" w14:textId="77777777" w:rsidR="00007F6C" w:rsidRDefault="00007F6C" w:rsidP="00007F6C">
      <w:pPr>
        <w:pStyle w:val="ListParagraph"/>
        <w:numPr>
          <w:ilvl w:val="0"/>
          <w:numId w:val="20"/>
        </w:numPr>
        <w:jc w:val="both"/>
      </w:pPr>
      <w:r>
        <w:t>Nickel Oxide</w:t>
      </w:r>
      <w:r>
        <w:tab/>
      </w:r>
      <w:r>
        <w:tab/>
        <w:t>(transition metal oxide catalyst precursor)</w:t>
      </w:r>
    </w:p>
    <w:p w14:paraId="73F63C11" w14:textId="77777777" w:rsidR="00007F6C" w:rsidRDefault="00007F6C" w:rsidP="00007F6C">
      <w:pPr>
        <w:pStyle w:val="ListParagraph"/>
        <w:numPr>
          <w:ilvl w:val="0"/>
          <w:numId w:val="20"/>
        </w:numPr>
        <w:jc w:val="both"/>
      </w:pPr>
      <w:r>
        <w:t>Nickel</w:t>
      </w:r>
      <w:r>
        <w:tab/>
      </w:r>
      <w:r>
        <w:tab/>
      </w:r>
      <w:r>
        <w:tab/>
        <w:t>(metal electrocatalyst in the fuel electrode)</w:t>
      </w:r>
    </w:p>
    <w:p w14:paraId="486B3D1B" w14:textId="2502FF39" w:rsidR="00007F6C" w:rsidRPr="00BA3CEC" w:rsidRDefault="00007F6C" w:rsidP="00007F6C">
      <w:pPr>
        <w:jc w:val="both"/>
        <w:rPr>
          <w:rFonts w:cs="Arial"/>
        </w:rPr>
      </w:pPr>
      <w:r w:rsidRPr="00BA3CEC">
        <w:rPr>
          <w:rFonts w:cs="Arial"/>
        </w:rPr>
        <w:t xml:space="preserve">X-ray diffraction was used to confirm the presence of </w:t>
      </w:r>
      <w:proofErr w:type="spellStart"/>
      <w:r w:rsidRPr="00BA3CEC">
        <w:rPr>
          <w:rFonts w:cs="Arial"/>
        </w:rPr>
        <w:t>NiO</w:t>
      </w:r>
      <w:proofErr w:type="spellEnd"/>
      <w:r w:rsidRPr="00BA3CEC">
        <w:rPr>
          <w:rFonts w:cs="Arial"/>
        </w:rPr>
        <w:t xml:space="preserve"> on the YSZ scaffold layer and to calculate the </w:t>
      </w:r>
      <w:proofErr w:type="spellStart"/>
      <w:r w:rsidRPr="00BA3CEC">
        <w:rPr>
          <w:rFonts w:cs="Arial"/>
        </w:rPr>
        <w:t>NiO</w:t>
      </w:r>
      <w:proofErr w:type="spellEnd"/>
      <w:r w:rsidRPr="00BA3CEC">
        <w:rPr>
          <w:rFonts w:cs="Arial"/>
        </w:rPr>
        <w:t xml:space="preserve"> crystallite length in nanometres. The diffraction patterns of the </w:t>
      </w:r>
      <w:proofErr w:type="spellStart"/>
      <w:r w:rsidRPr="00BA3CEC">
        <w:rPr>
          <w:rFonts w:cs="Arial"/>
        </w:rPr>
        <w:t>NiO</w:t>
      </w:r>
      <w:proofErr w:type="spellEnd"/>
      <w:r w:rsidRPr="00BA3CEC">
        <w:rPr>
          <w:rFonts w:cs="Arial"/>
        </w:rPr>
        <w:t>-YSZ samples were obtained using a Bruker D2 XRD Phaser. The samples were scanned for 1 hour using Cu K</w:t>
      </w:r>
      <w:r w:rsidRPr="00BA3CEC">
        <w:rPr>
          <w:rFonts w:cs="Arial"/>
          <w:vertAlign w:val="subscript"/>
        </w:rPr>
        <w:t>α</w:t>
      </w:r>
      <w:r w:rsidRPr="00BA3CEC">
        <w:rPr>
          <w:rFonts w:cs="Arial"/>
        </w:rPr>
        <w:t xml:space="preserve"> radiation (1.54184 Å). The </w:t>
      </w:r>
      <w:proofErr w:type="spellStart"/>
      <w:r w:rsidRPr="00BA3CEC">
        <w:rPr>
          <w:rFonts w:cs="Arial"/>
        </w:rPr>
        <w:t>NiO</w:t>
      </w:r>
      <w:proofErr w:type="spellEnd"/>
      <w:r w:rsidRPr="00BA3CEC">
        <w:rPr>
          <w:rFonts w:cs="Arial"/>
        </w:rPr>
        <w:t xml:space="preserve"> crystallite length (D) was calculated using the Scherrer formula for line broadening analysis</w:t>
      </w:r>
      <w:r>
        <w:t>)</w:t>
      </w:r>
      <w:r w:rsidRPr="00BA3CEC">
        <w:rPr>
          <w:rFonts w:cs="Arial"/>
        </w:rPr>
        <w:t>. The diffraction patterns of the materials were analysed using the ICDD PDF4+ 2016</w:t>
      </w:r>
      <w:r>
        <w:rPr>
          <w:rFonts w:cs="Arial"/>
        </w:rPr>
        <w:t>, Crystallography Open Database</w:t>
      </w:r>
      <w:r w:rsidRPr="00BA3CEC">
        <w:rPr>
          <w:rFonts w:cs="Arial"/>
        </w:rPr>
        <w:t xml:space="preserve"> and Bruker </w:t>
      </w:r>
      <w:proofErr w:type="spellStart"/>
      <w:r w:rsidRPr="00BA3CEC">
        <w:rPr>
          <w:rFonts w:cs="Arial"/>
        </w:rPr>
        <w:t>Diffrac</w:t>
      </w:r>
      <w:proofErr w:type="spellEnd"/>
      <w:r w:rsidRPr="00BA3CEC">
        <w:rPr>
          <w:rFonts w:cs="Arial"/>
        </w:rPr>
        <w:t xml:space="preserve"> Eva programs</w:t>
      </w:r>
      <w:r>
        <w:rPr>
          <w:rFonts w:cs="Arial"/>
        </w:rPr>
        <w:t xml:space="preserve"> </w:t>
      </w:r>
      <w:r>
        <w:rPr>
          <w:rFonts w:cs="Arial"/>
        </w:rPr>
        <w:fldChar w:fldCharType="begin" w:fldLock="1"/>
      </w:r>
      <w:r w:rsidR="00D80A5D">
        <w:rPr>
          <w:rFonts w:cs="Arial"/>
        </w:rPr>
        <w:instrText>ADDIN CSL_CITATION {"citationItems":[{"id":"ITEM-1","itemData":{"DOI":"10.1017/S0885715619000812","ISSN":"19457413","abstract":"The ICDD's Powder Diffraction File™ (PDF®) is a database of inorganic and organic diffraction data used for phase identification and materials characterization by powder diffraction. The PDF has been available for over 75 years and finds application in X-ray, synchrotron, electron, and neutron diffraction analyses. With entries based on powder and single crystal data, the PDF is the only crystallographic database where every entry is editorially reviewed and marked with a quality mark that alerts the user to the reliability/quality of the submitted data. The editorial processes of ICDD's quality management system are unique in that they are ISO 9001:2015 certified. Initially offered as text on paper cards and books, the PDF evolved to a computer-readable database in the 1960s and today is both computer and web accessible. With data mining and phase identification software available in PDF products, and the databases' compatibility with vendor (third party) software, the 1 000 000+ published PDF entries serve a wide range of disciplines covering academic, industrial, and government laboratories. Details describing the content of database entries are presented to enhance the use of the PDF.","author":[{"dropping-particle":"","family":"Gates-Rector","given":"Stacy","non-dropping-particle":"","parse-names":false,"suffix":""},{"dropping-particle":"","family":"Blanton","given":"Thomas","non-dropping-particle":"","parse-names":false,"suffix":""}],"container-title":"Powder Diffraction","id":"ITEM-1","issue":"4","issued":{"date-parts":[["2019"]]},"page":"352-360","title":"The Powder Diffraction File: a quality materials characterization database","type":"article-journal","volume":"34"},"uris":["http://www.mendeley.com/documents/?uuid=7c811479-6833-4400-8e6a-25f3831c0174"]}],"mendeley":{"formattedCitation":"[320]","manualFormatting":"[320]–[326]","plainTextFormattedCitation":"[320]","previouslyFormattedCitation":"[320]"},"properties":{"noteIndex":0},"schema":"https://github.com/citation-style-language/schema/raw/master/csl-citation.json"}</w:instrText>
      </w:r>
      <w:r>
        <w:rPr>
          <w:rFonts w:cs="Arial"/>
        </w:rPr>
        <w:fldChar w:fldCharType="separate"/>
      </w:r>
      <w:r w:rsidRPr="00552E66">
        <w:rPr>
          <w:rFonts w:cstheme="minorHAnsi"/>
          <w:noProof/>
        </w:rPr>
        <w:fldChar w:fldCharType="begin" w:fldLock="1"/>
      </w:r>
      <w:r w:rsidR="00D80A5D">
        <w:rPr>
          <w:rFonts w:cstheme="minorHAnsi"/>
          <w:noProof/>
        </w:rPr>
        <w:instrText xml:space="preserve">ADDIN CSL_CITATION {"citationItems":[{"id":"ITEM-1","itemData":{"DOI":"10.3390/cryst6080087","ISBN":"3908059291","ISSN":"20734352","abstract":"During recent decades innovative nanomaterials have been extensively studied, aiming at both investigating the structure-property relationship and discovering new properties, in order to achieve relevant improvements in current state-of-the art materials. Lately, controlled growth and/or assembly of nanostructures into hierarchical and complex architectures have played a key role in engineering novel functionalized materials. Since the structural characterization of such materials is a fundamental step, here we discuss X-ray scattering/diffraction techniques to analyze inorganic nanomaterials under different conditions: dispersed in solutions, dried in powders, embedded in matrix, and deposited onto surfaces or underneath them.","author":[{"dropping-particle":"","family":"Giannini","given":"Cinzia","non-dropping-particle":"","parse-names":false,"suffix":""},{"dropping-particle":"","family":"Ladisa","given":"Massimo","non-dropping-particle":"","parse-names":false,"suffix":""},{"dropping-particle":"","family":"Altamura","given":"Davide","non-dropping-particle":"","parse-names":false,"suffix":""},{"dropping-particle":"","family":"Siliqi","given":"Dritan","non-dropping-particle":"","parse-names":false,"suffix":""},{"dropping-particle":"","family":"Sibillano","given":"Teresa","non-dropping-particle":"","parse-names":false,"suffix":""},{"dropping-particle":"","family":"Caro","given":"Liberato","non-dropping-particle":"De","parse-names":false,"suffix":""}],"container-title":"Crystals","id":"ITEM-1","issue":"8","issued":{"date-parts":[["2016"]]},"page":"1-22","title":"X-ray Diffraction: A powerful technique for the multiple-length-scale structural analysis of nanomaterials","type":"article-journal","volume":"6"},"uris":["http://www.mendeley.com/documents/?uuid=5c3f6b62-8b49-430f-9183-5045df461f72"]},{"id":"ITEM-2","itemData":{"DOI":"10.1017/S0885715619000812","ISSN":"19457413","abstract":"The ICDD's Powder Diffraction File™ (PDF®) is a database of inorganic and organic diffraction data used for phase identification and materials characterization by powder diffraction. The PDF has been available for over 75 years and finds application in X-ray, synchrotron, electron, and neutron diffraction analyses. With entries based on powder and single crystal data, the PDF is the only crystallographic database where every entry is editorially reviewed and marked with a quality mark that alerts the user to the reliability/quality of the submitted data. The editorial processes of ICDD's quality management system are unique in that they are ISO 9001:2015 certified. Initially offered as text on paper cards and books, the PDF evolved to a computer-readable database in the 1960s and today is both computer and web accessible. With data mining and phase identification software available in PDF products, and the databases' compatibility with vendor (third party) software, the 1 000 000+ published PDF entries serve a wide range of disciplines covering academic, industrial, and government laboratories. Details describing the content of database entries are presented to enhance the use of the PDF.","author":[{"dropping-particle":"","family":"Gates-Rector","given":"Stacy","non-dropping-particle":"","parse-names":false,"suffix":""},{"dropping-particle":"","family":"Blanton","given":"Thomas","non-dropping-particle":"","parse-names":false,"suffix":""}],"container-title":"Powder Diffraction","id":"ITEM-2","issue":"4","issued":{"date-parts":[["2019"]]},"page":"352-360","title":"The Powder Diffraction File: a quality materials characterization database","type":"article-journal","volume":"34"},"uris":["http://www.mendeley.com/documents/?uuid=7c811479-6833-4400-8e6a-25f3831c0174"]},{"id":"ITEM-3","itemData":{"DOI":"10.1107/S0108768103026582","ISSN":"01087681","abstract":"Pure lead phosphate, Pb3(PO4)2, undergoes a phase transition from C2/c to R3̄m symmetry at a pressure of approximately 1.8 GPa and room temperature. Single-crystal X-ray diffraction measurements of the unit-cell parameters of a sample doped with 1.6% Ba 2+ for the Pb2+ indicates that the doping reduces the transition pressure by approximately 0.1 GPa. The structural evolution of both samples through the phase transition has been determined by Rietveld refinement of neutron powder diffraction data collected to pressures of 6.3 and 3.3 GPa, respectively. There is no evidence for any significant change in the local structure at the phase transition at high pressures; the structure of the R3̄m phase at pressures just above the phase transition includes disordered positions for several atoms. The observation of diffuse scattering from the R3̄m phase at high pressure by single-crystal X-ray diffraction suggests that the disorder is static and arises from the presence of several orientations of the ordered micro-domains of the monoclinic local structure. The macroscopic transition from monoclinic to trigonal symmetry therefore appears to correspond to the pressure at which the coherency strains between the locally monoclinic microdomains are sufficient to create a dimensionally trigonal lattice within which local displacements of atoms are still significant. A further pressure increase then decreases the magnitude of these displacements until at 3.5 GPa or higher they are not detectable by our current experimental probes, and the structure appears to have true local and global trigonal symmetry. © 2004 International Union of Crystallography Printed in Great Britain - all rights reserved.","author":[{"dropping-particle":"","family":"Angel","given":"R. J.","non-dropping-particle":"","parse-names":false,"suffix":""},{"dropping-particle":"","family":"Bismayer","given":"U.","non-dropping-particle":"","parse-names":false,"suffix":""},{"dropping-particle":"","family":"Marshall","given":"W. G.","non-dropping-particle":"","parse-names":false,"suffix":""}],"container-title":"Acta Crystallographica Section B: Structural Science","id":"ITEM-3","issue":"1","issued":{"date-parts":[["2004"]]},"page":"1-9","title":"Local and long-range order in ferroelastic lead phosphate at high pressure","type":"article-journal","volume":"60"},"uris":["http://www.mendeley.com/documents/?uuid=b4e85a36-2ba8-455a-adad-f98ba82194d0"]},{"id":"ITEM-4","itemData":{"DOI":"10.1186/s13321-018-0279-6","ISSN":"17582946","abstract":"Computer descriptions of chemical molecular connectivity are necessary for searching chemical databases and for predicting chemical properties from molecular structure. In this article, the ongoing work to describe the chemical connectivity of entries contained in the Crystallography Open Database (COD) in SMILES format is reported. This collection of SMILES is publicly available for chemical (substructure) search or for any other purpose on an open-access basis, as is the COD itself. The conventions that have been followed for the representation of compounds that do not fit into the valence bond theory are outlined for the most frequently found cases. The procedure for getting the SMILES out of the CIF files starts with checking whether the atoms in the asymmetric unit are a chemically acceptable image of the compound. When they are not (molecule in a symmetry element, disorder, polymeric species,etc.), the previously published cif_molecule program is used to get such image in many cases. The program package Open Babel is then applied to get SMILES strings from the CIF files (either those directly taken from the COD or those produced by cif_molecule when applicable). The results are then checked and/or fixed by a human editor, in a computer-aided task that at present still consumes a great deal of human time. Even if the procedure still needs to be improved to make it more automatic (and hence faster), it has already yielded more than 160,000 curated chemical structures and the purpose of this article is to announce the existence of this work to the chemical community as well as to spread the use of its results.","author":[{"dropping-particle":"","family":"Quirós","given":"Miguel","non-dropping-particle":"","parse-names":false,"suffix":""},{"dropping-particle":"","family":"Gražulis","given":"Saulius","non-dropping-particle":"","parse-names":false,"suffix":""},{"dropping-particle":"","family":"Girdzijauskaitė","given":"Saulė","non-dropping-particle":"","parse-names":false,"suffix":""},{"dropping-particle":"","family":"Merkys","given":"Andrius","non-dropping-particle":"","parse-names":false,"suffix":""},{"dropping-particle":"","family":"Vaitkus","given":"Antanas","non-dropping-particle":"","parse-names":false,"suffix":""}],"container-title":"Journal of Cheminformatics","id":"ITEM-4","issue":"1","issued":{"date-parts":[["2018"]]},"title":"Using SMILES strings for the description of chemical connectivity in the Crystallography Open Database","type":"article-journal","volume":"10"},"uris":["http://www.mendeley.com/documents/?uuid=07e9d0c8-335c-4b8f-97d2-c75ad7145d54"]},{"id":"ITEM-5","itemData":{"DOI":"10.1107/S1600576715022396","ISSN":"16005767","abstract":"A syntax-correcting CIF parser, COD::CIF::Parser, is presented that can parse CIF 1.1 files and accurately report the position and the nature of the discovered syntactic problems. In addition, the parser is able to automatically fix the most common and the most obvious syntactic deficiencies of the input files. Bindings for Perl, C and Python programming environments are available. Based on COD::CIF::Parser, the cod-tools package for manipulating the CIFs in the Crystallography Open Database (COD) has been developed. The cod-tools package has been successfully used for continuous updates of the data in the automated COD data deposition pipeline, and to check the validity of COD data against the IUCr data validation guidelines. The performance, capabilities and applications of different parsers are compared.","author":[{"dropping-particle":"","family":"Merkys","given":"Andrius","non-dropping-particle":"","parse-names":false,"suffix":""},{"dropping-particle":"","family":"Vaitkus","given":"Antanas","non-dropping-particle":"","parse-names":false,"suffix":""},{"dropping-particle":"","family":"Butkus","given":"Justas","non-dropping-particle":"","parse-names":false,"suffix":""},{"dropping-particle":"","family":"Okulič-Kazarinas","given":"Mykolas","non-dropping-particle":"","parse-names":false,"suffix":""},{"dropping-particle":"","family":"Kairys","given":"Visvaldas","non-dropping-particle":"","parse-names":false,"suffix":""},{"dropping-particle":"","family":"Gražulis","given":"Saulius","non-dropping-particle":"","parse-names":false,"suffix":""}],"container-title":"Journal of Applied Crystallography","id":"ITEM-5","issued":{"date-parts":[["2016"]]},"page":"292-301","title":"COD::CIF::Parser: An error-correcting CIF parser for the Perl language","type":"article-journal","volume":"49"},"uris":["http://www.mendeley.com/documents/?uuid=db3a7dfd-cab1-4b96-b30a-07936ad8191b"]},{"id":"ITEM-6","itemData":{"DOI":"10.1107/S1600576714025904","ISSN":"16005767","abstract":"Crystallographic investigations deliver high-accuracy information about positions of atoms in crystal unit cells. For chemists, however, the structure of a molecule is most often of interest. The structure must thus be reconstructed from crystallographic files using symmetry information and chemical properties of atoms. Most existing algorithms faithfully reconstruct separate molecules but not the overall stoichiometry of the complex present in a crystal. Here, an algorithm that can reconstruct stoichiometrically correct multimolecular ensembles is described. This algorithm uses only the crystal symmetry information for determining molecule numbers and their stoichiometric ratios. The algorithm can be used by chemists and crystallographers as a standalone implementation for investigating above-molecular ensembles or as a function implemented in graphical crystal analysis software. The greatest envisaged benefit of the algorithm, however, is for the users of large crystallographic and chemical databases, since it will permit database maintainers to generate stoichiometrically correct chemical representations of crystal structures automatically and to match them against chemical databases, enabling multidisciplinary searches across multiple databases.","author":[{"dropping-particle":"","family":"Gražulis","given":"Saulius","non-dropping-particle":"","parse-names":false,"suffix":""},{"dropping-particle":"","family":"Merkys","given":"Andrius","non-dropping-particle":"","parse-names":false,"suffix":""},{"dropping-particle":"","family":"Vaitkus","given":"Antanas","non-dropping-particle":"","parse-names":false,"suffix":""},{"dropping-particle":"","family":"Okulič-Kazarinas","given":"Mykolas","non-dropping-particle":"","parse-names":false,"suffix":""}],"container-title":"Journal of Applied Crystallography","id":"ITEM-6","issue":"1","issued":{"date-parts":[["2015"]]},"page":"85-91","title":"Computing stoichiometric molecular composition from crystal structures","type":"article-journal","volume":"48"},"uris":["http://www.mendeley.com/documents/?uuid=07d96075-1079-4a74-afbe-f60217eabfdd"]},{"id":"ITEM-7","itemData":{"DOI":"10.1093/nar/gkr900","ISSN":"03051048","PMID":"22070882","abstract":"Using an open-access distribution model, the Crystallography Open Database (COD, http://www .crystallography.net) collects all known 'small molecule / small to medium sized unit cell' crystal structures and makes them available freely on the Internet. As of today, the COD has aggregated </w:instrText>
      </w:r>
      <w:r w:rsidR="00D80A5D">
        <w:rPr>
          <w:rFonts w:ascii="Cambria Math" w:hAnsi="Cambria Math" w:cs="Cambria Math"/>
          <w:noProof/>
        </w:rPr>
        <w:instrText>∼</w:instrText>
      </w:r>
      <w:r w:rsidR="00D80A5D">
        <w:rPr>
          <w:rFonts w:cstheme="minorHAnsi"/>
          <w:noProof/>
        </w:rPr>
        <w:instrText>150 000 structures, offering basic search capabilities and the possibility to download the whole database, or parts thereof using a variety of standard open communication protocols. A newly developed website provides capabilities for all registered users to deposit published and so far unpublished structures as personal communications or pre-publication depositions. Such a setup enables extension of the COD database by many users simultaneously. This increases the possibilities for growth of the COD database, and is the first step towards establishing a world wide Internet-based collaborative platform dedicated to the collection and curation of structural knowledge. © The Author(s) 2011.","author":[{"dropping-particle":"","family":"Gražulis","given":"Saulius","non-dropping-particle":"","parse-names":false,"suffix":""},{"dropping-particle":"","family":"Daškevič","given":"Adriana","non-dropping-particle":"","parse-names":false,"suffix":""},{"dropping-particle":"","family":"Merkys","given":"Andrius","non-dropping-particle":"","parse-names":false,"suffix":""},{"dropping-particle":"","family":"Chateigner","given":"Daniel","non-dropping-particle":"","parse-names":false,"suffix":""},{"dropping-particle":"","family":"Lutterotti","given":"Luca","non-dropping-particle":"","parse-names":false,"suffix":""},{"dropping-particle":"","family":"Quirós","given":"Miguel","non-dropping-particle":"","parse-names":false,"suffix":""},{"dropping-particle":"","family":"Serebryanaya","given":"Nadezhda R.","non-dropping-particle":"","parse-names":false,"suffix":""},{"dropping-particle":"","family":"Moeck","given":"Peter","non-dropping-particle":"","parse-names":false,"suffix":""},{"dropping-particle":"","family":"Downs","given":"Robert T.","non-dropping-particle":"","parse-names":false,"suffix":""},{"dropping-particle":"","family":"Bail","given":"Armel","non-dropping-particle":"Le","parse-names":false,"suffix":""}],"container-title":"Nucleic Acids Research","id":"ITEM-7","issue":"D1","issued":{"date-parts":[["2012"]]},"title":"Crystallography Open Database (COD): An open-access collection of crystal structures and platform for world-wide collaboration","type":"article-journal","volume":"40"},"uris":["http://www.mendeley.com/documents/?uuid=62bdaf84-4c28-45c9-be23-08fe25d01975"]}],"mendeley":{"formattedCitation":"[320]–[326]","plainTextFormattedCitation":"[320]–[326]","previouslyFormattedCitation":"[320]–[326]"},"properties":{"noteIndex":0},"schema":"https://github.com/citation-style-language/schema/raw/master/csl-citation.json"}</w:instrText>
      </w:r>
      <w:r w:rsidRPr="00552E66">
        <w:rPr>
          <w:rFonts w:cstheme="minorHAnsi"/>
          <w:noProof/>
        </w:rPr>
        <w:fldChar w:fldCharType="separate"/>
      </w:r>
      <w:r w:rsidR="006C586A" w:rsidRPr="006C586A">
        <w:rPr>
          <w:rFonts w:cstheme="minorHAnsi"/>
          <w:noProof/>
        </w:rPr>
        <w:t>[320]–[326]</w:t>
      </w:r>
      <w:r w:rsidRPr="00552E66">
        <w:rPr>
          <w:rFonts w:cstheme="minorHAnsi"/>
          <w:noProof/>
        </w:rPr>
        <w:fldChar w:fldCharType="end"/>
      </w:r>
      <w:r>
        <w:rPr>
          <w:rFonts w:cs="Arial"/>
        </w:rPr>
        <w:fldChar w:fldCharType="end"/>
      </w:r>
      <w:r w:rsidRPr="00BA3CEC">
        <w:rPr>
          <w:rFonts w:cs="Arial"/>
        </w:rPr>
        <w:t>.</w:t>
      </w:r>
    </w:p>
    <w:p w14:paraId="55140D99" w14:textId="07BD0093" w:rsidR="00007F6C" w:rsidRDefault="00007F6C" w:rsidP="00007F6C">
      <w:pPr>
        <w:pStyle w:val="Caption"/>
        <w:keepNext/>
      </w:pPr>
      <w:bookmarkStart w:id="232" w:name="_Ref39666373"/>
      <w:r>
        <w:t>Table 3.</w:t>
      </w:r>
      <w:r w:rsidR="00B51F53">
        <w:fldChar w:fldCharType="begin"/>
      </w:r>
      <w:r w:rsidR="00B51F53">
        <w:instrText xml:space="preserve"> SEQ Table \* ARABIC </w:instrText>
      </w:r>
      <w:r w:rsidR="00B51F53">
        <w:fldChar w:fldCharType="separate"/>
      </w:r>
      <w:r w:rsidR="0022061C">
        <w:rPr>
          <w:noProof/>
        </w:rPr>
        <w:t>4</w:t>
      </w:r>
      <w:r w:rsidR="00B51F53">
        <w:rPr>
          <w:noProof/>
        </w:rPr>
        <w:fldChar w:fldCharType="end"/>
      </w:r>
      <w:bookmarkEnd w:id="232"/>
      <w:r>
        <w:t>: Table detailing the peak assignments present in the 20-80</w:t>
      </w:r>
      <w:r>
        <w:rPr>
          <w:rFonts w:cstheme="minorHAnsi"/>
        </w:rPr>
        <w:t>°</w:t>
      </w:r>
      <w:r>
        <w:t xml:space="preserve"> </w:t>
      </w:r>
      <w:r>
        <w:rPr>
          <w:rFonts w:cstheme="minorHAnsi"/>
        </w:rPr>
        <w:t>θ</w:t>
      </w:r>
      <w:r>
        <w:t xml:space="preserve"> range using Cu K</w:t>
      </w:r>
      <w:r>
        <w:rPr>
          <w:rFonts w:cstheme="minorHAnsi"/>
        </w:rPr>
        <w:t xml:space="preserve">α radiation </w:t>
      </w:r>
      <w:r>
        <w:rPr>
          <w:rFonts w:cstheme="minorHAnsi"/>
        </w:rPr>
        <w:fldChar w:fldCharType="begin" w:fldLock="1"/>
      </w:r>
      <w:r w:rsidR="00D80A5D">
        <w:rPr>
          <w:rFonts w:cstheme="minorHAnsi"/>
        </w:rPr>
        <w:instrText xml:space="preserve">ADDIN CSL_CITATION {"citationItems":[{"id":"ITEM-1","itemData":{"DOI":"10.3390/cryst6080087","ISBN":"3908059291","ISSN":"20734352","abstract":"During recent decades innovative nanomaterials have been extensively studied, aiming at both investigating the structure-property relationship and discovering new properties, in order to achieve relevant improvements in current state-of-the art materials. Lately, controlled growth and/or assembly of nanostructures into hierarchical and complex architectures have played a key role in engineering novel functionalized materials. Since the structural characterization of such materials is a fundamental step, here we discuss X-ray scattering/diffraction techniques to analyze inorganic nanomaterials under different conditions: dispersed in solutions, dried in powders, embedded in matrix, and deposited onto surfaces or underneath them.","author":[{"dropping-particle":"","family":"Giannini","given":"Cinzia","non-dropping-particle":"","parse-names":false,"suffix":""},{"dropping-particle":"","family":"Ladisa","given":"Massimo","non-dropping-particle":"","parse-names":false,"suffix":""},{"dropping-particle":"","family":"Altamura","given":"Davide","non-dropping-particle":"","parse-names":false,"suffix":""},{"dropping-particle":"","family":"Siliqi","given":"Dritan","non-dropping-particle":"","parse-names":false,"suffix":""},{"dropping-particle":"","family":"Sibillano","given":"Teresa","non-dropping-particle":"","parse-names":false,"suffix":""},{"dropping-particle":"","family":"Caro","given":"Liberato","non-dropping-particle":"De","parse-names":false,"suffix":""}],"container-title":"Crystals","id":"ITEM-1","issue":"8","issued":{"date-parts":[["2016"]]},"page":"1-22","title":"X-ray Diffraction: A powerful technique for the multiple-length-scale structural analysis of nanomaterials","type":"article-journal","volume":"6"},"uris":["http://www.mendeley.com/documents/?uuid=5c3f6b62-8b49-430f-9183-5045df461f72"]},{"id":"ITEM-2","itemData":{"DOI":"10.1017/S0885715619000812","ISSN":"19457413","abstract":"The ICDD's Powder Diffraction File™ (PDF®) is a database of inorganic and organic diffraction data used for phase identification and materials characterization by powder diffraction. The PDF has been available for over 75 years and finds application in X-ray, synchrotron, electron, and neutron diffraction analyses. With entries based on powder and single crystal data, the PDF is the only crystallographic database where every entry is editorially reviewed and marked with a quality mark that alerts the user to the reliability/quality of the submitted data. The editorial processes of ICDD's quality management system are unique in that they are ISO 9001:2015 certified. Initially offered as text on paper cards and books, the PDF evolved to a computer-readable database in the 1960s and today is both computer and web accessible. With data mining and phase identification software available in PDF products, and the databases' compatibility with vendor (third party) software, the 1 000 000+ published PDF entries serve a wide range of disciplines covering academic, industrial, and government laboratories. Details describing the content of database entries are presented to enhance the use of the PDF.","author":[{"dropping-particle":"","family":"Gates-Rector","given":"Stacy","non-dropping-particle":"","parse-names":false,"suffix":""},{"dropping-particle":"","family":"Blanton","given":"Thomas","non-dropping-particle":"","parse-names":false,"suffix":""}],"container-title":"Powder Diffraction","id":"ITEM-2","issue":"4","issued":{"date-parts":[["2019"]]},"page":"352-360","title":"The Powder Diffraction File: a quality materials characterization database","type":"article-journal","volume":"34"},"uris":["http://www.mendeley.com/documents/?uuid=7c811479-6833-4400-8e6a-25f3831c0174"]},{"id":"ITEM-3","itemData":{"DOI":"10.1107/S0108768103026582","ISSN":"01087681","abstract":"Pure lead phosphate, Pb3(PO4)2, undergoes a phase transition from C2/c to R3̄m symmetry at a pressure of approximately 1.8 GPa and room temperature. Single-crystal X-ray diffraction measurements of the unit-cell parameters of a sample doped with 1.6% Ba 2+ for the Pb2+ indicates that the doping reduces the transition pressure by approximately 0.1 GPa. The structural evolution of both samples through the phase transition has been determined by Rietveld refinement of neutron powder diffraction data collected to pressures of 6.3 and 3.3 GPa, respectively. There is no evidence for any significant change in the local structure at the phase transition at high pressures; the structure of the R3̄m phase at pressures just above the phase transition includes disordered positions for several atoms. The observation of diffuse scattering from the R3̄m phase at high pressure by single-crystal X-ray diffraction suggests that the disorder is static and arises from the presence of several orientations of the ordered micro-domains of the monoclinic local structure. The macroscopic transition from monoclinic to trigonal symmetry therefore appears to correspond to the pressure at which the coherency strains between the locally monoclinic microdomains are sufficient to create a dimensionally trigonal lattice within which local displacements of atoms are still significant. A further pressure increase then decreases the magnitude of these displacements until at 3.5 GPa or higher they are not detectable by our current experimental probes, and the structure appears to have true local and global trigonal symmetry. © 2004 International Union of Crystallography Printed in Great Britain - all rights reserved.","author":[{"dropping-particle":"","family":"Angel","given":"R. J.","non-dropping-particle":"","parse-names":false,"suffix":""},{"dropping-particle":"","family":"Bismayer","given":"U.","non-dropping-particle":"","parse-names":false,"suffix":""},{"dropping-particle":"","family":"Marshall","given":"W. G.","non-dropping-particle":"","parse-names":false,"suffix":""}],"container-title":"Acta Crystallographica Section B: Structural Science","id":"ITEM-3","issue":"1","issued":{"date-parts":[["2004"]]},"page":"1-9","title":"Local and long-range order in ferroelastic lead phosphate at high pressure","type":"article-journal","volume":"60"},"uris":["http://www.mendeley.com/documents/?uuid=b4e85a36-2ba8-455a-adad-f98ba82194d0"]},{"id":"ITEM-4","itemData":{"DOI":"10.1186/s13321-018-0279-6","ISSN":"17582946","abstract":"Computer descriptions of chemical molecular connectivity are necessary for searching chemical databases and for predicting chemical properties from molecular structure. In this article, the ongoing work to describe the chemical connectivity of entries contained in the Crystallography Open Database (COD) in SMILES format is reported. This collection of SMILES is publicly available for chemical (substructure) search or for any other purpose on an open-access basis, as is the COD itself. The conventions that have been followed for the representation of compounds that do not fit into the valence bond theory are outlined for the most frequently found cases. The procedure for getting the SMILES out of the CIF files starts with checking whether the atoms in the asymmetric unit are a chemically acceptable image of the compound. When they are not (molecule in a symmetry element, disorder, polymeric species,etc.), the previously published cif_molecule program is used to get such image in many cases. The program package Open Babel is then applied to get SMILES strings from the CIF files (either those directly taken from the COD or those produced by cif_molecule when applicable). The results are then checked and/or fixed by a human editor, in a computer-aided task that at present still consumes a great deal of human time. Even if the procedure still needs to be improved to make it more automatic (and hence faster), it has already yielded more than 160,000 curated chemical structures and the purpose of this article is to announce the existence of this work to the chemical community as well as to spread the use of its results.","author":[{"dropping-particle":"","family":"Quirós","given":"Miguel","non-dropping-particle":"","parse-names":false,"suffix":""},{"dropping-particle":"","family":"Gražulis","given":"Saulius","non-dropping-particle":"","parse-names":false,"suffix":""},{"dropping-particle":"","family":"Girdzijauskaitė","given":"Saulė","non-dropping-particle":"","parse-names":false,"suffix":""},{"dropping-particle":"","family":"Merkys","given":"Andrius","non-dropping-particle":"","parse-names":false,"suffix":""},{"dropping-particle":"","family":"Vaitkus","given":"Antanas","non-dropping-particle":"","parse-names":false,"suffix":""}],"container-title":"Journal of Cheminformatics","id":"ITEM-4","issue":"1","issued":{"date-parts":[["2018"]]},"title":"Using SMILES strings for the description of chemical connectivity in the Crystallography Open Database","type":"article-journal","volume":"10"},"uris":["http://www.mendeley.com/documents/?uuid=07e9d0c8-335c-4b8f-97d2-c75ad7145d54"]},{"id":"ITEM-5","itemData":{"DOI":"10.1107/S1600576715022396","ISSN":"16005767","abstract":"A syntax-correcting CIF parser, COD::CIF::Parser, is presented that can parse CIF 1.1 files and accurately report the position and the nature of the discovered syntactic problems. In addition, the parser is able to automatically fix the most common and the most obvious syntactic deficiencies of the input files. Bindings for Perl, C and Python programming environments are available. Based on COD::CIF::Parser, the cod-tools package for manipulating the CIFs in the Crystallography Open Database (COD) has been developed. The cod-tools package has been successfully used for continuous updates of the data in the automated COD data deposition pipeline, and to check the validity of COD data against the IUCr data validation guidelines. The performance, capabilities and applications of different parsers are compared.","author":[{"dropping-particle":"","family":"Merkys","given":"Andrius","non-dropping-particle":"","parse-names":false,"suffix":""},{"dropping-particle":"","family":"Vaitkus","given":"Antanas","non-dropping-particle":"","parse-names":false,"suffix":""},{"dropping-particle":"","family":"Butkus","given":"Justas","non-dropping-particle":"","parse-names":false,"suffix":""},{"dropping-particle":"","family":"Okulič-Kazarinas","given":"Mykolas","non-dropping-particle":"","parse-names":false,"suffix":""},{"dropping-particle":"","family":"Kairys","given":"Visvaldas","non-dropping-particle":"","parse-names":false,"suffix":""},{"dropping-particle":"","family":"Gražulis","given":"Saulius","non-dropping-particle":"","parse-names":false,"suffix":""}],"container-title":"Journal of Applied Crystallography","id":"ITEM-5","issued":{"date-parts":[["2016"]]},"page":"292-301","title":"COD::CIF::Parser: An error-correcting CIF parser for the Perl language","type":"article-journal","volume":"49"},"uris":["http://www.mendeley.com/documents/?uuid=db3a7dfd-cab1-4b96-b30a-07936ad8191b"]},{"id":"ITEM-6","itemData":{"DOI":"10.1107/S1600576714025904","ISSN":"16005767","abstract":"Crystallographic investigations deliver high-accuracy information about positions of atoms in crystal unit cells. For chemists, however, the structure of a molecule is most often of interest. The structure must thus be reconstructed from crystallographic files using symmetry information and chemical properties of atoms. Most existing algorithms faithfully reconstruct separate molecules but not the overall stoichiometry of the complex present in a crystal. Here, an algorithm that can reconstruct stoichiometrically correct multimolecular ensembles is described. This algorithm uses only the crystal symmetry information for determining molecule numbers and their stoichiometric ratios. The algorithm can be used by chemists and crystallographers as a standalone implementation for investigating above-molecular ensembles or as a function implemented in graphical crystal analysis software. The greatest envisaged benefit of the algorithm, however, is for the users of large crystallographic and chemical databases, since it will permit database maintainers to generate stoichiometrically correct chemical representations of crystal structures automatically and to match them against chemical databases, enabling multidisciplinary searches across multiple databases.","author":[{"dropping-particle":"","family":"Gražulis","given":"Saulius","non-dropping-particle":"","parse-names":false,"suffix":""},{"dropping-particle":"","family":"Merkys","given":"Andrius","non-dropping-particle":"","parse-names":false,"suffix":""},{"dropping-particle":"","family":"Vaitkus","given":"Antanas","non-dropping-particle":"","parse-names":false,"suffix":""},{"dropping-particle":"","family":"Okulič-Kazarinas","given":"Mykolas","non-dropping-particle":"","parse-names":false,"suffix":""}],"container-title":"Journal of Applied Crystallography","id":"ITEM-6","issue":"1","issued":{"date-parts":[["2015"]]},"page":"85-91","title":"Computing stoichiometric molecular composition from crystal structures","type":"article-journal","volume":"48"},"uris":["http://www.mendeley.com/documents/?uuid=07d96075-1079-4a74-afbe-f60217eabfdd"]},{"id":"ITEM-7","itemData":{"DOI":"10.1093/nar/gkr900","ISSN":"03051048","PMID":"22070882","abstract":"Using an open-access distribution model, the Crystallography Open Database (COD, http://www .crystallography.net) collects all known 'small molecule / small to medium sized unit cell' crystal structures and makes them available freely on the Internet. As of today, the COD has aggregated </w:instrText>
      </w:r>
      <w:r w:rsidR="00D80A5D">
        <w:rPr>
          <w:rFonts w:ascii="Cambria Math" w:hAnsi="Cambria Math" w:cs="Cambria Math"/>
        </w:rPr>
        <w:instrText>∼</w:instrText>
      </w:r>
      <w:r w:rsidR="00D80A5D">
        <w:rPr>
          <w:rFonts w:cstheme="minorHAnsi"/>
        </w:rPr>
        <w:instrText>150 000 structures, offering basic search capabilities and the possibility to download the whole database, or parts thereof using a variety of standard open communication protocols. A newly developed website provides capabilities for all registered users to deposit published and so far unpublished structures as personal communications or pre-publication depositions. Such a setup enables extension of the COD database by many users simultaneously. This increases the possibilities for growth of the COD database, and is the first step towards establishing a world wide Internet-based collaborative platform dedicated to the collection and curation of structural knowledge. © The Author(s) 2011.","author":[{"dropping-particle":"","family":"Gražulis","given":"Saulius","non-dropping-particle":"","parse-names":false,"suffix":""},{"dropping-particle":"","family":"Daškevič","given":"Adriana","non-dropping-particle":"","parse-names":false,"suffix":""},{"dropping-particle":"","family":"Merkys","given":"Andrius","non-dropping-particle":"","parse-names":false,"suffix":""},{"dropping-particle":"","family":"Chateigner","given":"Daniel","non-dropping-particle":"","parse-names":false,"suffix":""},{"dropping-particle":"","family":"Lutterotti","given":"Luca","non-dropping-particle":"","parse-names":false,"suffix":""},{"dropping-particle":"","family":"Quirós","given":"Miguel","non-dropping-particle":"","parse-names":false,"suffix":""},{"dropping-particle":"","family":"Serebryanaya","given":"Nadezhda R.","non-dropping-particle":"","parse-names":false,"suffix":""},{"dropping-particle":"","family":"Moeck","given":"Peter","non-dropping-particle":"","parse-names":false,"suffix":""},{"dropping-particle":"","family":"Downs","given":"Robert T.","non-dropping-particle":"","parse-names":false,"suffix":""},{"dropping-particle":"","family":"Bail","given":"Armel","non-dropping-particle":"Le","parse-names":false,"suffix":""}],"container-title":"Nucleic Acids Research","id":"ITEM-7","issue":"D1","issued":{"date-parts":[["2012"]]},"title":"Crystallography Open Database (COD): An open-access collection of crystal structures and platform for world-wide collaboration","type":"article-journal","volume":"40"},"uris":["http://www.mendeley.com/documents/?uuid=62bdaf84-4c28-45c9-be23-08fe25d01975"]}],"mendeley":{"formattedCitation":"[320]–[326]","plainTextFormattedCitation":"[320]–[326]","previouslyFormattedCitation":"[320]–[326]"},"properties":{"noteIndex":0},"schema":"https://github.com/citation-style-language/schema/raw/master/csl-citation.json"}</w:instrText>
      </w:r>
      <w:r>
        <w:rPr>
          <w:rFonts w:cstheme="minorHAnsi"/>
        </w:rPr>
        <w:fldChar w:fldCharType="separate"/>
      </w:r>
      <w:r w:rsidR="006C586A" w:rsidRPr="006C586A">
        <w:rPr>
          <w:rFonts w:cstheme="minorHAnsi"/>
          <w:i w:val="0"/>
          <w:noProof/>
        </w:rPr>
        <w:t>[320]–[326]</w:t>
      </w:r>
      <w:r>
        <w:rPr>
          <w:rFonts w:cstheme="minorHAnsi"/>
        </w:rPr>
        <w:fldChar w:fldCharType="end"/>
      </w:r>
    </w:p>
    <w:tbl>
      <w:tblPr>
        <w:tblStyle w:val="TableGrid"/>
        <w:tblW w:w="0" w:type="auto"/>
        <w:jc w:val="center"/>
        <w:tblLook w:val="04A0" w:firstRow="1" w:lastRow="0" w:firstColumn="1" w:lastColumn="0" w:noHBand="0" w:noVBand="1"/>
      </w:tblPr>
      <w:tblGrid>
        <w:gridCol w:w="1755"/>
        <w:gridCol w:w="1547"/>
        <w:gridCol w:w="1655"/>
        <w:gridCol w:w="1365"/>
        <w:gridCol w:w="2694"/>
      </w:tblGrid>
      <w:tr w:rsidR="00007F6C" w14:paraId="7317247F" w14:textId="77777777" w:rsidTr="005E2F1E">
        <w:trPr>
          <w:trHeight w:val="371"/>
          <w:jc w:val="center"/>
        </w:trPr>
        <w:tc>
          <w:tcPr>
            <w:tcW w:w="0" w:type="auto"/>
          </w:tcPr>
          <w:p w14:paraId="7D5A89C9" w14:textId="77777777" w:rsidR="00007F6C" w:rsidRPr="00E051F8" w:rsidRDefault="00007F6C" w:rsidP="005E2F1E">
            <w:pPr>
              <w:rPr>
                <w:rFonts w:cstheme="minorHAnsi"/>
                <w:b/>
                <w:bCs/>
              </w:rPr>
            </w:pPr>
            <w:r w:rsidRPr="00E051F8">
              <w:rPr>
                <w:rFonts w:cstheme="minorHAnsi"/>
                <w:b/>
                <w:bCs/>
              </w:rPr>
              <w:t>Material</w:t>
            </w:r>
          </w:p>
        </w:tc>
        <w:tc>
          <w:tcPr>
            <w:tcW w:w="0" w:type="auto"/>
          </w:tcPr>
          <w:p w14:paraId="1564D0BE" w14:textId="77777777" w:rsidR="00007F6C" w:rsidRPr="00E051F8" w:rsidRDefault="00007F6C" w:rsidP="005E2F1E">
            <w:pPr>
              <w:rPr>
                <w:rFonts w:cstheme="minorHAnsi"/>
                <w:b/>
                <w:bCs/>
              </w:rPr>
            </w:pPr>
            <w:r w:rsidRPr="00E051F8">
              <w:rPr>
                <w:rFonts w:cstheme="minorHAnsi"/>
                <w:b/>
                <w:bCs/>
              </w:rPr>
              <w:t>Crystal Structure</w:t>
            </w:r>
          </w:p>
        </w:tc>
        <w:tc>
          <w:tcPr>
            <w:tcW w:w="1655" w:type="dxa"/>
          </w:tcPr>
          <w:p w14:paraId="57A8D214" w14:textId="77777777" w:rsidR="00007F6C" w:rsidRPr="00E051F8" w:rsidRDefault="00007F6C" w:rsidP="005E2F1E">
            <w:pPr>
              <w:rPr>
                <w:rFonts w:cstheme="minorHAnsi"/>
                <w:b/>
                <w:bCs/>
              </w:rPr>
            </w:pPr>
            <w:r w:rsidRPr="00E051F8">
              <w:rPr>
                <w:rFonts w:cstheme="minorHAnsi"/>
                <w:b/>
                <w:bCs/>
              </w:rPr>
              <w:t>Key Peak assignments</w:t>
            </w:r>
          </w:p>
        </w:tc>
        <w:tc>
          <w:tcPr>
            <w:tcW w:w="1365" w:type="dxa"/>
          </w:tcPr>
          <w:p w14:paraId="029026EE" w14:textId="77777777" w:rsidR="00007F6C" w:rsidRPr="00E051F8" w:rsidRDefault="00007F6C" w:rsidP="005E2F1E">
            <w:pPr>
              <w:jc w:val="both"/>
              <w:rPr>
                <w:rFonts w:cstheme="minorHAnsi"/>
                <w:b/>
              </w:rPr>
            </w:pPr>
            <w:r w:rsidRPr="00E051F8">
              <w:rPr>
                <w:rFonts w:cstheme="minorHAnsi"/>
                <w:b/>
              </w:rPr>
              <w:t>PDF card no.</w:t>
            </w:r>
          </w:p>
        </w:tc>
        <w:tc>
          <w:tcPr>
            <w:tcW w:w="0" w:type="auto"/>
          </w:tcPr>
          <w:p w14:paraId="6F322DE2" w14:textId="77777777" w:rsidR="00007F6C" w:rsidRPr="00E051F8" w:rsidRDefault="00007F6C" w:rsidP="005E2F1E">
            <w:pPr>
              <w:rPr>
                <w:rFonts w:cstheme="minorHAnsi"/>
                <w:b/>
                <w:bCs/>
              </w:rPr>
            </w:pPr>
            <w:r w:rsidRPr="00E051F8">
              <w:rPr>
                <w:rFonts w:cstheme="minorHAnsi"/>
                <w:b/>
              </w:rPr>
              <w:t>Analysis program</w:t>
            </w:r>
          </w:p>
        </w:tc>
      </w:tr>
      <w:tr w:rsidR="00007F6C" w14:paraId="06CB80A9" w14:textId="77777777" w:rsidTr="005E2F1E">
        <w:trPr>
          <w:trHeight w:val="545"/>
          <w:jc w:val="center"/>
        </w:trPr>
        <w:tc>
          <w:tcPr>
            <w:tcW w:w="0" w:type="auto"/>
          </w:tcPr>
          <w:p w14:paraId="59E0148C" w14:textId="77777777" w:rsidR="00007F6C" w:rsidRPr="00E051F8" w:rsidRDefault="00007F6C" w:rsidP="005E2F1E">
            <w:r w:rsidRPr="00E051F8">
              <w:t xml:space="preserve">Yttria stabilised zirconia </w:t>
            </w:r>
          </w:p>
          <w:p w14:paraId="048114CE" w14:textId="77777777" w:rsidR="00007F6C" w:rsidRPr="00E051F8" w:rsidRDefault="00007F6C" w:rsidP="005E2F1E">
            <w:r w:rsidRPr="00E051F8">
              <w:t>[(Y</w:t>
            </w:r>
            <w:r w:rsidRPr="00E051F8">
              <w:rPr>
                <w:vertAlign w:val="subscript"/>
              </w:rPr>
              <w:t>2</w:t>
            </w:r>
            <w:r w:rsidRPr="00E051F8">
              <w:t>O</w:t>
            </w:r>
            <w:r w:rsidRPr="00E051F8">
              <w:rPr>
                <w:vertAlign w:val="subscript"/>
              </w:rPr>
              <w:t>3</w:t>
            </w:r>
            <w:r w:rsidRPr="00E051F8">
              <w:t>)</w:t>
            </w:r>
            <w:r w:rsidRPr="00E051F8">
              <w:rPr>
                <w:vertAlign w:val="subscript"/>
              </w:rPr>
              <w:t xml:space="preserve">0.08 </w:t>
            </w:r>
            <w:r w:rsidRPr="00E051F8">
              <w:t>(ZrO</w:t>
            </w:r>
            <w:r w:rsidRPr="00E051F8">
              <w:rPr>
                <w:vertAlign w:val="subscript"/>
              </w:rPr>
              <w:t>2</w:t>
            </w:r>
            <w:r w:rsidRPr="00E051F8">
              <w:t>)</w:t>
            </w:r>
            <w:r w:rsidRPr="00E051F8">
              <w:rPr>
                <w:vertAlign w:val="subscript"/>
              </w:rPr>
              <w:t>0.92</w:t>
            </w:r>
            <w:r w:rsidRPr="00E051F8">
              <w:t>]</w:t>
            </w:r>
          </w:p>
        </w:tc>
        <w:tc>
          <w:tcPr>
            <w:tcW w:w="0" w:type="auto"/>
          </w:tcPr>
          <w:p w14:paraId="6707E36C" w14:textId="77777777" w:rsidR="00007F6C" w:rsidRPr="00E051F8" w:rsidRDefault="00007F6C" w:rsidP="005E2F1E">
            <w:r w:rsidRPr="00E051F8">
              <w:t>Cubic – Fluorite</w:t>
            </w:r>
          </w:p>
        </w:tc>
        <w:tc>
          <w:tcPr>
            <w:tcW w:w="1655" w:type="dxa"/>
          </w:tcPr>
          <w:p w14:paraId="34AC961A" w14:textId="77777777" w:rsidR="00007F6C" w:rsidRPr="00E051F8" w:rsidRDefault="00007F6C" w:rsidP="005E2F1E">
            <w:r w:rsidRPr="00E051F8">
              <w:t>(111)</w:t>
            </w:r>
          </w:p>
          <w:p w14:paraId="5C07448D" w14:textId="77777777" w:rsidR="00007F6C" w:rsidRPr="00E051F8" w:rsidRDefault="00007F6C" w:rsidP="005E2F1E">
            <w:r w:rsidRPr="00E051F8">
              <w:t>(200)</w:t>
            </w:r>
          </w:p>
          <w:p w14:paraId="1DDDBEA6" w14:textId="77777777" w:rsidR="00007F6C" w:rsidRPr="00E051F8" w:rsidRDefault="00007F6C" w:rsidP="005E2F1E">
            <w:r w:rsidRPr="00E051F8">
              <w:t>(220)</w:t>
            </w:r>
          </w:p>
          <w:p w14:paraId="5EE7AF95" w14:textId="77777777" w:rsidR="00007F6C" w:rsidRPr="00E051F8" w:rsidRDefault="00007F6C" w:rsidP="005E2F1E">
            <w:r w:rsidRPr="00E051F8">
              <w:t>(311)</w:t>
            </w:r>
          </w:p>
          <w:p w14:paraId="7947D9B1" w14:textId="77777777" w:rsidR="00007F6C" w:rsidRPr="00E051F8" w:rsidRDefault="00007F6C" w:rsidP="005E2F1E">
            <w:r w:rsidRPr="00E051F8">
              <w:t>(222)</w:t>
            </w:r>
          </w:p>
          <w:p w14:paraId="54775116" w14:textId="77777777" w:rsidR="00007F6C" w:rsidRPr="00E051F8" w:rsidRDefault="00007F6C" w:rsidP="005E2F1E">
            <w:pPr>
              <w:rPr>
                <w:color w:val="FFC000"/>
              </w:rPr>
            </w:pPr>
            <w:r w:rsidRPr="00E051F8">
              <w:t>(400)</w:t>
            </w:r>
          </w:p>
        </w:tc>
        <w:tc>
          <w:tcPr>
            <w:tcW w:w="1365" w:type="dxa"/>
          </w:tcPr>
          <w:p w14:paraId="006EA784" w14:textId="77777777" w:rsidR="00007F6C" w:rsidRPr="005823B5" w:rsidRDefault="00007F6C" w:rsidP="005E2F1E">
            <w:r w:rsidRPr="005823B5">
              <w:t>04-016-2092</w:t>
            </w:r>
          </w:p>
          <w:p w14:paraId="301D235C" w14:textId="77777777" w:rsidR="00007F6C" w:rsidRPr="005823B5" w:rsidRDefault="00007F6C" w:rsidP="005E2F1E">
            <w:pPr>
              <w:rPr>
                <w:rStyle w:val="fontstyle01"/>
                <w:rFonts w:asciiTheme="minorHAnsi" w:hAnsiTheme="minorHAnsi" w:cstheme="minorHAnsi"/>
                <w:color w:val="auto"/>
                <w:sz w:val="22"/>
                <w:szCs w:val="22"/>
              </w:rPr>
            </w:pPr>
            <w:r w:rsidRPr="005823B5">
              <w:rPr>
                <w:rStyle w:val="fontstyle01"/>
                <w:rFonts w:asciiTheme="minorHAnsi" w:hAnsiTheme="minorHAnsi" w:cstheme="minorHAnsi"/>
                <w:color w:val="auto"/>
                <w:sz w:val="22"/>
                <w:szCs w:val="22"/>
              </w:rPr>
              <w:t>04-010-3268</w:t>
            </w:r>
          </w:p>
          <w:p w14:paraId="68E240EF" w14:textId="77777777" w:rsidR="00007F6C" w:rsidRPr="005823B5" w:rsidRDefault="00007F6C" w:rsidP="005E2F1E">
            <w:r w:rsidRPr="005823B5">
              <w:t>04-018-5452</w:t>
            </w:r>
          </w:p>
        </w:tc>
        <w:tc>
          <w:tcPr>
            <w:tcW w:w="0" w:type="auto"/>
          </w:tcPr>
          <w:p w14:paraId="4AE2053A" w14:textId="77777777" w:rsidR="00007F6C" w:rsidRPr="00E051F8" w:rsidRDefault="00007F6C" w:rsidP="005E2F1E">
            <w:r w:rsidRPr="00E051F8">
              <w:t>PDF4+ 2016</w:t>
            </w:r>
          </w:p>
          <w:p w14:paraId="5BEF4F8B" w14:textId="77777777" w:rsidR="00007F6C" w:rsidRPr="00E051F8" w:rsidRDefault="00007F6C" w:rsidP="005E2F1E">
            <w:pPr>
              <w:rPr>
                <w:color w:val="FFC000"/>
              </w:rPr>
            </w:pPr>
            <w:r w:rsidRPr="00E051F8">
              <w:t xml:space="preserve">Bruker </w:t>
            </w:r>
            <w:proofErr w:type="spellStart"/>
            <w:r w:rsidRPr="00E051F8">
              <w:t>Diffrac</w:t>
            </w:r>
            <w:proofErr w:type="spellEnd"/>
            <w:r w:rsidRPr="00E051F8">
              <w:t xml:space="preserve"> Eva</w:t>
            </w:r>
          </w:p>
        </w:tc>
      </w:tr>
      <w:tr w:rsidR="00007F6C" w14:paraId="514B701B" w14:textId="77777777" w:rsidTr="005E2F1E">
        <w:trPr>
          <w:trHeight w:val="557"/>
          <w:jc w:val="center"/>
        </w:trPr>
        <w:tc>
          <w:tcPr>
            <w:tcW w:w="0" w:type="auto"/>
          </w:tcPr>
          <w:p w14:paraId="48137BDB" w14:textId="77777777" w:rsidR="00007F6C" w:rsidRPr="00E051F8" w:rsidRDefault="00007F6C" w:rsidP="005E2F1E">
            <w:r w:rsidRPr="00E051F8">
              <w:t>Nickel</w:t>
            </w:r>
            <w:r>
              <w:t xml:space="preserve"> </w:t>
            </w:r>
            <w:r w:rsidRPr="00E051F8">
              <w:t xml:space="preserve">(II) Oxide </w:t>
            </w:r>
          </w:p>
          <w:p w14:paraId="2E835DB2" w14:textId="77777777" w:rsidR="00007F6C" w:rsidRPr="00E051F8" w:rsidRDefault="00007F6C" w:rsidP="005E2F1E">
            <w:r w:rsidRPr="00E051F8">
              <w:t>[</w:t>
            </w:r>
            <w:proofErr w:type="spellStart"/>
            <w:r w:rsidRPr="00E051F8">
              <w:t>NiO</w:t>
            </w:r>
            <w:proofErr w:type="spellEnd"/>
            <w:r w:rsidRPr="00E051F8">
              <w:t xml:space="preserve">] </w:t>
            </w:r>
          </w:p>
        </w:tc>
        <w:tc>
          <w:tcPr>
            <w:tcW w:w="0" w:type="auto"/>
          </w:tcPr>
          <w:p w14:paraId="00AE470A" w14:textId="77777777" w:rsidR="00007F6C" w:rsidRPr="00E051F8" w:rsidRDefault="00007F6C" w:rsidP="005E2F1E">
            <w:r w:rsidRPr="00E051F8">
              <w:t>Cubic - Rock Salt</w:t>
            </w:r>
          </w:p>
        </w:tc>
        <w:tc>
          <w:tcPr>
            <w:tcW w:w="1655" w:type="dxa"/>
          </w:tcPr>
          <w:p w14:paraId="38E80826" w14:textId="77777777" w:rsidR="00007F6C" w:rsidRPr="00E051F8" w:rsidRDefault="00007F6C" w:rsidP="005E2F1E">
            <w:r w:rsidRPr="00E051F8">
              <w:t>(111)</w:t>
            </w:r>
          </w:p>
          <w:p w14:paraId="388D7884" w14:textId="77777777" w:rsidR="00007F6C" w:rsidRPr="00E051F8" w:rsidRDefault="00007F6C" w:rsidP="005E2F1E">
            <w:r w:rsidRPr="00E051F8">
              <w:t>(200)</w:t>
            </w:r>
          </w:p>
          <w:p w14:paraId="265535AC" w14:textId="77777777" w:rsidR="00007F6C" w:rsidRPr="00E051F8" w:rsidRDefault="00007F6C" w:rsidP="005E2F1E">
            <w:r w:rsidRPr="00E051F8">
              <w:t>(220)</w:t>
            </w:r>
          </w:p>
          <w:p w14:paraId="2DF8D988" w14:textId="77777777" w:rsidR="00007F6C" w:rsidRPr="00E051F8" w:rsidRDefault="00007F6C" w:rsidP="005E2F1E">
            <w:r w:rsidRPr="00E051F8">
              <w:t>(311)</w:t>
            </w:r>
          </w:p>
          <w:p w14:paraId="3EBE0C46" w14:textId="77777777" w:rsidR="00007F6C" w:rsidRPr="00E051F8" w:rsidRDefault="00007F6C" w:rsidP="005E2F1E">
            <w:r w:rsidRPr="00E051F8">
              <w:t>(222)</w:t>
            </w:r>
          </w:p>
        </w:tc>
        <w:tc>
          <w:tcPr>
            <w:tcW w:w="1365" w:type="dxa"/>
          </w:tcPr>
          <w:p w14:paraId="1BE9B96A" w14:textId="77777777" w:rsidR="00007F6C" w:rsidRPr="005823B5" w:rsidRDefault="00007F6C" w:rsidP="005E2F1E">
            <w:pPr>
              <w:rPr>
                <w:rStyle w:val="fontstyle01"/>
                <w:rFonts w:asciiTheme="minorHAnsi" w:hAnsiTheme="minorHAnsi" w:cstheme="minorHAnsi"/>
                <w:color w:val="auto"/>
                <w:sz w:val="22"/>
                <w:szCs w:val="22"/>
              </w:rPr>
            </w:pPr>
            <w:r w:rsidRPr="005823B5">
              <w:t>00-047-1049</w:t>
            </w:r>
          </w:p>
          <w:p w14:paraId="707AE522" w14:textId="77777777" w:rsidR="00007F6C" w:rsidRPr="005823B5" w:rsidRDefault="00007F6C" w:rsidP="005E2F1E">
            <w:r w:rsidRPr="005823B5">
              <w:rPr>
                <w:rStyle w:val="fontstyle01"/>
                <w:rFonts w:asciiTheme="minorHAnsi" w:hAnsiTheme="minorHAnsi" w:cstheme="minorHAnsi"/>
                <w:color w:val="auto"/>
                <w:sz w:val="22"/>
                <w:szCs w:val="22"/>
              </w:rPr>
              <w:t>00-044-1159</w:t>
            </w:r>
          </w:p>
          <w:p w14:paraId="35B52A16" w14:textId="77777777" w:rsidR="00007F6C" w:rsidRPr="005823B5" w:rsidRDefault="00007F6C" w:rsidP="005E2F1E">
            <w:r w:rsidRPr="005823B5">
              <w:t>01-089-3080</w:t>
            </w:r>
          </w:p>
        </w:tc>
        <w:tc>
          <w:tcPr>
            <w:tcW w:w="0" w:type="auto"/>
          </w:tcPr>
          <w:p w14:paraId="021C54A7" w14:textId="77777777" w:rsidR="00007F6C" w:rsidRPr="00E051F8" w:rsidRDefault="00007F6C" w:rsidP="005E2F1E">
            <w:r w:rsidRPr="00E051F8">
              <w:t>PDF4+ 2016</w:t>
            </w:r>
          </w:p>
          <w:p w14:paraId="13E84929" w14:textId="77777777" w:rsidR="00007F6C" w:rsidRPr="00E051F8" w:rsidRDefault="00007F6C" w:rsidP="005E2F1E">
            <w:r w:rsidRPr="00E051F8">
              <w:t xml:space="preserve">Bruker </w:t>
            </w:r>
            <w:proofErr w:type="spellStart"/>
            <w:r w:rsidRPr="00E051F8">
              <w:t>Diffrac</w:t>
            </w:r>
            <w:proofErr w:type="spellEnd"/>
            <w:r w:rsidRPr="00E051F8">
              <w:t xml:space="preserve"> Eva</w:t>
            </w:r>
          </w:p>
        </w:tc>
      </w:tr>
      <w:tr w:rsidR="00007F6C" w14:paraId="61616D67" w14:textId="77777777" w:rsidTr="005E2F1E">
        <w:trPr>
          <w:trHeight w:val="545"/>
          <w:jc w:val="center"/>
        </w:trPr>
        <w:tc>
          <w:tcPr>
            <w:tcW w:w="0" w:type="auto"/>
          </w:tcPr>
          <w:p w14:paraId="56188DDB" w14:textId="77777777" w:rsidR="00007F6C" w:rsidRPr="00E051F8" w:rsidRDefault="00007F6C" w:rsidP="005E2F1E">
            <w:r w:rsidRPr="00E051F8">
              <w:t xml:space="preserve">Nickel </w:t>
            </w:r>
          </w:p>
          <w:p w14:paraId="0706E06E" w14:textId="77777777" w:rsidR="00007F6C" w:rsidRPr="00E051F8" w:rsidRDefault="00007F6C" w:rsidP="005E2F1E">
            <w:r w:rsidRPr="00E051F8">
              <w:t>[Ni]</w:t>
            </w:r>
          </w:p>
        </w:tc>
        <w:tc>
          <w:tcPr>
            <w:tcW w:w="0" w:type="auto"/>
          </w:tcPr>
          <w:p w14:paraId="2DDC9595" w14:textId="77777777" w:rsidR="00007F6C" w:rsidRPr="00E051F8" w:rsidRDefault="00007F6C" w:rsidP="005E2F1E">
            <w:r w:rsidRPr="00E051F8">
              <w:t>Face-Centred Cubic</w:t>
            </w:r>
          </w:p>
        </w:tc>
        <w:tc>
          <w:tcPr>
            <w:tcW w:w="1655" w:type="dxa"/>
          </w:tcPr>
          <w:p w14:paraId="026342C2" w14:textId="77777777" w:rsidR="00007F6C" w:rsidRPr="00E051F8" w:rsidRDefault="00007F6C" w:rsidP="005E2F1E">
            <w:r w:rsidRPr="00E051F8">
              <w:t>(111)</w:t>
            </w:r>
          </w:p>
          <w:p w14:paraId="3504C6D9" w14:textId="77777777" w:rsidR="00007F6C" w:rsidRPr="00E051F8" w:rsidRDefault="00007F6C" w:rsidP="005E2F1E">
            <w:r w:rsidRPr="00E051F8">
              <w:t>(200)</w:t>
            </w:r>
          </w:p>
          <w:p w14:paraId="134D396B" w14:textId="77777777" w:rsidR="00007F6C" w:rsidRPr="00E051F8" w:rsidRDefault="00007F6C" w:rsidP="005E2F1E">
            <w:r w:rsidRPr="00E051F8">
              <w:t>(220)</w:t>
            </w:r>
          </w:p>
        </w:tc>
        <w:tc>
          <w:tcPr>
            <w:tcW w:w="1365" w:type="dxa"/>
          </w:tcPr>
          <w:p w14:paraId="14A08C66" w14:textId="77777777" w:rsidR="00007F6C" w:rsidRPr="005823B5" w:rsidRDefault="00007F6C" w:rsidP="005E2F1E">
            <w:r w:rsidRPr="005823B5">
              <w:t>2102245</w:t>
            </w:r>
          </w:p>
          <w:p w14:paraId="6E36E651" w14:textId="77777777" w:rsidR="00007F6C" w:rsidRPr="005823B5" w:rsidRDefault="00007F6C" w:rsidP="005E2F1E">
            <w:r w:rsidRPr="005823B5">
              <w:t>9008476</w:t>
            </w:r>
          </w:p>
        </w:tc>
        <w:tc>
          <w:tcPr>
            <w:tcW w:w="0" w:type="auto"/>
          </w:tcPr>
          <w:p w14:paraId="4B2E9348" w14:textId="77777777" w:rsidR="00007F6C" w:rsidRPr="00E051F8" w:rsidRDefault="00007F6C" w:rsidP="005E2F1E">
            <w:r w:rsidRPr="00E051F8">
              <w:t>PDF4+ 2016</w:t>
            </w:r>
          </w:p>
          <w:p w14:paraId="54D513B0" w14:textId="77777777" w:rsidR="00007F6C" w:rsidRDefault="00007F6C" w:rsidP="005E2F1E">
            <w:r w:rsidRPr="00E051F8">
              <w:t xml:space="preserve">Bruker </w:t>
            </w:r>
            <w:proofErr w:type="spellStart"/>
            <w:r w:rsidRPr="00E051F8">
              <w:t>Diffrac</w:t>
            </w:r>
            <w:proofErr w:type="spellEnd"/>
            <w:r w:rsidRPr="00E051F8">
              <w:t xml:space="preserve"> Eva</w:t>
            </w:r>
          </w:p>
          <w:p w14:paraId="0D611B4F" w14:textId="77777777" w:rsidR="00007F6C" w:rsidRPr="00E051F8" w:rsidRDefault="00007F6C" w:rsidP="005E2F1E">
            <w:r>
              <w:t>Crystallography Open Database (COD)</w:t>
            </w:r>
          </w:p>
        </w:tc>
      </w:tr>
    </w:tbl>
    <w:p w14:paraId="61F078AF" w14:textId="77777777" w:rsidR="00007F6C" w:rsidRDefault="00007F6C" w:rsidP="009C7E71">
      <w:pPr>
        <w:spacing w:before="240" w:after="0"/>
        <w:jc w:val="both"/>
        <w:rPr>
          <w:rFonts w:cs="Arial"/>
        </w:rPr>
      </w:pPr>
      <w:r>
        <w:rPr>
          <w:rFonts w:cs="Arial"/>
        </w:rPr>
        <w:t>The experimental parameters for the Bruker D2 X-ray Diffractometer are listed below:</w:t>
      </w:r>
    </w:p>
    <w:p w14:paraId="6152B84D" w14:textId="77777777" w:rsidR="00007F6C" w:rsidRDefault="00007F6C" w:rsidP="00007F6C">
      <w:pPr>
        <w:pStyle w:val="ListParagraph"/>
        <w:numPr>
          <w:ilvl w:val="0"/>
          <w:numId w:val="21"/>
        </w:numPr>
        <w:spacing w:after="200" w:line="276" w:lineRule="auto"/>
        <w:jc w:val="both"/>
      </w:pPr>
      <w:r>
        <w:t xml:space="preserve">Cu </w:t>
      </w:r>
      <w:r>
        <w:rPr>
          <w:rFonts w:cs="Arial"/>
        </w:rPr>
        <w:t>K</w:t>
      </w:r>
      <w:r>
        <w:rPr>
          <w:rFonts w:cs="Arial"/>
          <w:vertAlign w:val="subscript"/>
        </w:rPr>
        <w:t>α</w:t>
      </w:r>
      <w:r>
        <w:rPr>
          <w:rFonts w:cs="Arial"/>
        </w:rPr>
        <w:t xml:space="preserve"> radiation (1.54184 Å)</w:t>
      </w:r>
    </w:p>
    <w:p w14:paraId="3D753CF0" w14:textId="77777777" w:rsidR="00007F6C" w:rsidRPr="007768F6" w:rsidRDefault="00007F6C" w:rsidP="00007F6C">
      <w:pPr>
        <w:pStyle w:val="ListParagraph"/>
        <w:numPr>
          <w:ilvl w:val="0"/>
          <w:numId w:val="21"/>
        </w:numPr>
        <w:spacing w:after="200" w:line="276" w:lineRule="auto"/>
        <w:jc w:val="both"/>
      </w:pPr>
      <w:r w:rsidRPr="007768F6">
        <w:t>2</w:t>
      </w:r>
      <w:r w:rsidRPr="007768F6">
        <w:rPr>
          <w:rFonts w:cstheme="minorHAnsi"/>
        </w:rPr>
        <w:t>θ</w:t>
      </w:r>
      <w:r w:rsidRPr="007768F6">
        <w:t xml:space="preserve"> range between 20-80</w:t>
      </w:r>
      <w:r w:rsidRPr="007768F6">
        <w:rPr>
          <w:rFonts w:cstheme="minorHAnsi"/>
        </w:rPr>
        <w:t>°</w:t>
      </w:r>
    </w:p>
    <w:p w14:paraId="55AF8A4B" w14:textId="77777777" w:rsidR="00007F6C" w:rsidRPr="007768F6" w:rsidRDefault="00007F6C" w:rsidP="00007F6C">
      <w:pPr>
        <w:pStyle w:val="ListParagraph"/>
        <w:numPr>
          <w:ilvl w:val="0"/>
          <w:numId w:val="21"/>
        </w:numPr>
        <w:spacing w:after="200" w:line="276" w:lineRule="auto"/>
        <w:jc w:val="both"/>
      </w:pPr>
      <w:r w:rsidRPr="007768F6">
        <w:rPr>
          <w:rFonts w:cs="Arial"/>
        </w:rPr>
        <w:t>0.02</w:t>
      </w:r>
      <w:r w:rsidRPr="007768F6">
        <w:rPr>
          <w:rFonts w:ascii="Arial" w:hAnsi="Arial" w:cs="Arial"/>
        </w:rPr>
        <w:t>º</w:t>
      </w:r>
      <w:r w:rsidRPr="007768F6">
        <w:rPr>
          <w:rFonts w:cs="Arial"/>
        </w:rPr>
        <w:t xml:space="preserve"> increment of per measurement</w:t>
      </w:r>
      <w:r>
        <w:rPr>
          <w:rFonts w:cs="Arial"/>
        </w:rPr>
        <w:t>s</w:t>
      </w:r>
    </w:p>
    <w:p w14:paraId="4A59478C" w14:textId="77777777" w:rsidR="00007F6C" w:rsidRPr="007768F6" w:rsidRDefault="00007F6C" w:rsidP="00007F6C">
      <w:pPr>
        <w:pStyle w:val="ListParagraph"/>
        <w:numPr>
          <w:ilvl w:val="0"/>
          <w:numId w:val="21"/>
        </w:numPr>
        <w:spacing w:after="200" w:line="276" w:lineRule="auto"/>
        <w:jc w:val="both"/>
      </w:pPr>
      <w:r w:rsidRPr="007768F6">
        <w:t>Lower and upper discriminators of 0.11 and 0.25</w:t>
      </w:r>
    </w:p>
    <w:p w14:paraId="5E1A99B4" w14:textId="77777777" w:rsidR="00007F6C" w:rsidRPr="00131949" w:rsidRDefault="00007F6C" w:rsidP="00007F6C">
      <w:pPr>
        <w:pStyle w:val="ListParagraph"/>
        <w:numPr>
          <w:ilvl w:val="0"/>
          <w:numId w:val="21"/>
        </w:numPr>
        <w:spacing w:after="200" w:line="276" w:lineRule="auto"/>
        <w:jc w:val="both"/>
        <w:rPr>
          <w:i/>
          <w:iCs/>
        </w:rPr>
      </w:pPr>
      <w:r w:rsidRPr="007768F6">
        <w:t xml:space="preserve">A 1.0 mm </w:t>
      </w:r>
      <w:proofErr w:type="spellStart"/>
      <w:r>
        <w:t>S</w:t>
      </w:r>
      <w:r w:rsidRPr="007768F6">
        <w:t>oller</w:t>
      </w:r>
      <w:proofErr w:type="spellEnd"/>
      <w:r w:rsidRPr="007768F6">
        <w:t xml:space="preserve"> slit with a Ni </w:t>
      </w:r>
      <w:proofErr w:type="gramStart"/>
      <w:r w:rsidRPr="007768F6">
        <w:t>filter</w:t>
      </w:r>
      <w:proofErr w:type="gramEnd"/>
    </w:p>
    <w:p w14:paraId="3D87720C" w14:textId="77777777" w:rsidR="00007F6C" w:rsidRPr="007768F6" w:rsidRDefault="00007F6C" w:rsidP="00007F6C">
      <w:pPr>
        <w:pStyle w:val="ListParagraph"/>
        <w:numPr>
          <w:ilvl w:val="0"/>
          <w:numId w:val="21"/>
        </w:numPr>
        <w:spacing w:after="120" w:line="240" w:lineRule="auto"/>
        <w:ind w:left="714" w:hanging="357"/>
        <w:jc w:val="both"/>
        <w:rPr>
          <w:i/>
          <w:iCs/>
        </w:rPr>
      </w:pPr>
      <w:r>
        <w:t>60 min scan time</w:t>
      </w:r>
    </w:p>
    <w:p w14:paraId="102F002B" w14:textId="77777777" w:rsidR="00007F6C" w:rsidRDefault="00007F6C" w:rsidP="00007F6C">
      <w:pPr>
        <w:pStyle w:val="Heading4"/>
      </w:pPr>
      <w:r>
        <w:rPr>
          <w:rFonts w:asciiTheme="minorHAnsi" w:hAnsiTheme="minorHAnsi" w:cs="Arial"/>
        </w:rPr>
        <w:t xml:space="preserve">3.3.1.1 </w:t>
      </w:r>
      <w:r w:rsidRPr="00AD1399">
        <w:rPr>
          <w:rFonts w:asciiTheme="minorHAnsi" w:hAnsiTheme="minorHAnsi" w:cstheme="minorHAnsi"/>
        </w:rPr>
        <w:t xml:space="preserve">Crystallite size measurements using X-ray </w:t>
      </w:r>
      <w:proofErr w:type="gramStart"/>
      <w:r w:rsidRPr="00AD1399">
        <w:rPr>
          <w:rFonts w:asciiTheme="minorHAnsi" w:hAnsiTheme="minorHAnsi" w:cstheme="minorHAnsi"/>
        </w:rPr>
        <w:t>diffraction</w:t>
      </w:r>
      <w:proofErr w:type="gramEnd"/>
    </w:p>
    <w:p w14:paraId="762621DF" w14:textId="4D1C13B1" w:rsidR="00007F6C" w:rsidRPr="001B718D" w:rsidRDefault="00007F6C" w:rsidP="00007F6C">
      <w:pPr>
        <w:jc w:val="both"/>
      </w:pPr>
      <w:r w:rsidRPr="001B718D">
        <w:rPr>
          <w:rFonts w:cstheme="minorHAnsi"/>
        </w:rPr>
        <w:t>The full width half maximum</w:t>
      </w:r>
      <w:r>
        <w:rPr>
          <w:rFonts w:cstheme="minorHAnsi"/>
        </w:rPr>
        <w:t xml:space="preserve"> β,</w:t>
      </w:r>
      <w:r w:rsidRPr="001B718D">
        <w:rPr>
          <w:rFonts w:cstheme="minorHAnsi"/>
        </w:rPr>
        <w:t xml:space="preserve"> of </w:t>
      </w:r>
      <w:proofErr w:type="spellStart"/>
      <w:r w:rsidRPr="001B718D">
        <w:rPr>
          <w:rFonts w:cstheme="minorHAnsi"/>
        </w:rPr>
        <w:t>NiO</w:t>
      </w:r>
      <w:proofErr w:type="spellEnd"/>
      <w:r w:rsidRPr="001B718D">
        <w:rPr>
          <w:rFonts w:cstheme="minorHAnsi"/>
        </w:rPr>
        <w:t xml:space="preserve"> crystallites in the </w:t>
      </w:r>
      <w:r>
        <w:rPr>
          <w:rFonts w:cstheme="minorHAnsi"/>
        </w:rPr>
        <w:t xml:space="preserve">by integrating the X-ray reflections using </w:t>
      </w:r>
      <w:proofErr w:type="gramStart"/>
      <w:r>
        <w:rPr>
          <w:rFonts w:cstheme="minorHAnsi"/>
        </w:rPr>
        <w:t xml:space="preserve">a </w:t>
      </w:r>
      <w:r w:rsidRPr="001B718D">
        <w:rPr>
          <w:rFonts w:cstheme="minorHAnsi"/>
        </w:rPr>
        <w:t xml:space="preserve"> peak</w:t>
      </w:r>
      <w:proofErr w:type="gramEnd"/>
      <w:r w:rsidRPr="001B718D">
        <w:rPr>
          <w:rFonts w:cstheme="minorHAnsi"/>
        </w:rPr>
        <w:t xml:space="preserve"> analysis </w:t>
      </w:r>
      <w:r>
        <w:rPr>
          <w:rFonts w:cstheme="minorHAnsi"/>
        </w:rPr>
        <w:t xml:space="preserve">baseline fitting </w:t>
      </w:r>
      <w:r w:rsidRPr="001B718D">
        <w:rPr>
          <w:rFonts w:cstheme="minorHAnsi"/>
        </w:rPr>
        <w:t xml:space="preserve">function in </w:t>
      </w:r>
      <w:proofErr w:type="spellStart"/>
      <w:r w:rsidRPr="001B718D">
        <w:rPr>
          <w:rFonts w:cstheme="minorHAnsi"/>
        </w:rPr>
        <w:t>OriginPro</w:t>
      </w:r>
      <w:proofErr w:type="spellEnd"/>
      <w:r>
        <w:rPr>
          <w:rFonts w:cstheme="minorHAnsi"/>
        </w:rPr>
        <w:t xml:space="preserve"> 2020.</w:t>
      </w:r>
      <w:r w:rsidRPr="001B718D">
        <w:rPr>
          <w:rFonts w:cstheme="minorHAnsi"/>
        </w:rPr>
        <w:t xml:space="preserve"> This was converted to radians.</w:t>
      </w:r>
      <w:r>
        <w:rPr>
          <w:rFonts w:cstheme="minorHAnsi"/>
        </w:rPr>
        <w:t xml:space="preserve"> The wavelength of the incident X-ray radiation is denoted by λ. The diffraction angle </w:t>
      </w:r>
      <w:r w:rsidRPr="00D8148F">
        <w:rPr>
          <w:rFonts w:cstheme="minorHAnsi"/>
        </w:rPr>
        <w:t>θ, is half the Bragg angle for the characteristic reflections in the diffraction pattern.</w:t>
      </w:r>
      <w:r>
        <w:rPr>
          <w:rFonts w:cstheme="minorHAnsi"/>
        </w:rPr>
        <w:t xml:space="preserve"> A shape factor k, of 0.89 was used for the nickel compounds. This term is a dimensionless constant ranging between 0.62 - 2.08, 0.89 denotes a spherical morphology </w:t>
      </w:r>
      <w:r>
        <w:rPr>
          <w:rFonts w:cstheme="minorHAnsi"/>
        </w:rPr>
        <w:fldChar w:fldCharType="begin" w:fldLock="1"/>
      </w:r>
      <w:r w:rsidR="00D80A5D">
        <w:rPr>
          <w:rFonts w:cstheme="minorHAnsi"/>
        </w:rPr>
        <w:instrText>ADDIN CSL_CITATION {"citationItems":[{"id":"ITEM-1","itemData":{"author":[{"dropping-particle":"","family":"Speakman, Scott","given":"A","non-dropping-particle":"","parse-names":false,"suffix":""}],"id":"ITEM-1","issued":{"date-parts":[["2007"]]},"number-of-pages":"105","publisher-place":"Massachusetts","title":"Estimating Crystallite Size Using XRD","type":"report"},"uris":["http://www.mendeley.com/documents/?uuid=c1d4ea7f-d976-417b-b8c7-0752c88810ec"]},{"id":"ITEM-2","itemData":{"DOI":"10.1038/nnano.2011.145","ISSN":"1748-3387","author":[{"dropping-particle":"","family":"Holzwarth","given":"Uwe","non-dropping-particle":"","parse-names":false,"suffix":""},{"dropping-particle":"","family":"Gibson","given":"Neil","non-dropping-particle":"","parse-names":false,"suffix":""}],"container-title":"Nature Nanotechnology","id":"ITEM-2","issue":"9","issued":{"date-parts":[["2011","9","28"]]},"page":"534-534","title":"The Scherrer equation versus the 'Debye-Scherrer equation'","type":"article-journal","volume":"6"},"uris":["http://www.mendeley.com/documents/?uuid=0d665b2b-4b5c-3bb9-8e44-b6462dc88b00"]}],"mendeley":{"formattedCitation":"[295], [327]","plainTextFormattedCitation":"[295], [327]","previouslyFormattedCitation":"[295], [327]"},"properties":{"noteIndex":0},"schema":"https://github.com/citation-style-language/schema/raw/master/csl-citation.json"}</w:instrText>
      </w:r>
      <w:r>
        <w:rPr>
          <w:rFonts w:cstheme="minorHAnsi"/>
        </w:rPr>
        <w:fldChar w:fldCharType="separate"/>
      </w:r>
      <w:r w:rsidR="006C586A" w:rsidRPr="006C586A">
        <w:rPr>
          <w:rFonts w:cstheme="minorHAnsi"/>
          <w:noProof/>
        </w:rPr>
        <w:t>[295], [327]</w:t>
      </w:r>
      <w:r>
        <w:rPr>
          <w:rFonts w:cstheme="minorHAnsi"/>
        </w:rPr>
        <w:fldChar w:fldCharType="end"/>
      </w:r>
      <w:r>
        <w:rPr>
          <w:rFonts w:cstheme="minorHAnsi"/>
        </w:rPr>
        <w:t>.  The</w:t>
      </w:r>
      <w:r w:rsidRPr="001B718D">
        <w:t xml:space="preserve"> </w:t>
      </w:r>
      <w:proofErr w:type="spellStart"/>
      <w:r w:rsidRPr="001B718D">
        <w:t>NiO</w:t>
      </w:r>
      <w:proofErr w:type="spellEnd"/>
      <w:r w:rsidRPr="001B718D">
        <w:t xml:space="preserve"> and Ni crystallite lengths (D) were calculated using the Debye-Scherrer equation for line broadening analysis</w:t>
      </w:r>
      <w:r>
        <w:t xml:space="preserve"> (</w:t>
      </w:r>
      <w:r w:rsidRPr="009858F1">
        <w:fldChar w:fldCharType="begin"/>
      </w:r>
      <w:r w:rsidRPr="009858F1">
        <w:instrText xml:space="preserve"> REF _Ref51676565 \h </w:instrText>
      </w:r>
      <w:r w:rsidR="009858F1" w:rsidRPr="009858F1">
        <w:instrText xml:space="preserve"> \* MERGEFORMAT </w:instrText>
      </w:r>
      <w:r w:rsidRPr="009858F1">
        <w:fldChar w:fldCharType="separate"/>
      </w:r>
      <w:r w:rsidRPr="009858F1">
        <w:t>Equation 3.</w:t>
      </w:r>
      <w:r w:rsidRPr="009858F1">
        <w:rPr>
          <w:noProof/>
        </w:rPr>
        <w:t>2</w:t>
      </w:r>
      <w:r w:rsidRPr="009858F1">
        <w:fldChar w:fldCharType="end"/>
      </w:r>
      <w:r w:rsidRPr="00896683">
        <w:t>)</w:t>
      </w:r>
      <w:r>
        <w:t xml:space="preserve"> </w:t>
      </w:r>
      <w:r w:rsidRPr="00896683">
        <w:rPr>
          <w:rFonts w:cstheme="minorHAnsi"/>
        </w:rPr>
        <w:fldChar w:fldCharType="begin" w:fldLock="1"/>
      </w:r>
      <w:r w:rsidR="00D80A5D">
        <w:rPr>
          <w:rFonts w:cstheme="minorHAnsi"/>
        </w:rPr>
        <w:instrText>ADDIN CSL_CITATION {"citationItems":[{"id":"ITEM-1","itemData":{"DOI":"10.1038/nnano.2011.145","ISSN":"1748-3387","author":[{"dropping-particle":"","family":"Holzwarth","given":"Uwe","non-dropping-particle":"","parse-names":false,"suffix":""},{"dropping-particle":"","family":"Gibson","given":"Neil","non-dropping-particle":"","parse-names":false,"suffix":""}],"container-title":"Nature Nanotechnology","id":"ITEM-1","issue":"9","issued":{"date-parts":[["2011","9","28"]]},"page":"534-534","title":"The Scherrer equation versus the 'Debye-Scherrer equation'","type":"article-journal","volume":"6"},"uris":["http://www.mendeley.com/documents/?uuid=0d665b2b-4b5c-3bb9-8e44-b6462dc88b00"]},{"id":"ITEM-2","itemData":{"DOI":"10.1017/S0305004100021988","ISSN":"0305-0041","author":[{"dropping-particle":"","family":"Stokes","given":"A. R.","non-dropping-particle":"","parse-names":false,"suffix":""},{"dropping-particle":"","family":"Wilson","given":"A. J. C.","non-dropping-particle":"","parse-names":false,"suffix":""},{"dropping-particle":"","family":"Bragg","given":"W. L.","non-dropping-particle":"","parse-names":false,"suffix":""}],"container-title":"Mathematical Proceedings of the Cambridge Philosophical Society","id":"ITEM-2","issue":"03","issued":{"date-parts":[["1942","7","24"]]},"page":"313","title":"A method of calculating the integral breadths of Debye-Scherrer lines","type":"article-journal","volume":"38"},"uris":["http://www.mendeley.com/documents/?uuid=1063872a-4031-38db-9402-b8a52daa2289"]},{"id":"ITEM-3","itemData":{"DOI":"10.17586/2220-8054-2018-9-3-364-369","abstract":"The lower limit of the applicability of the Scherrer formula has been established by calculating the diffraction patterns from model nanoparticles by the Debye formula. Particle size was calculated using the Scherrer formula for different hkl-peaks. The obtained data of particle sizes were compared with \"real\" sizes of model particles in the same hkl-directions. The form-factor K hkl was analyzed as main correction of Scherrer formula. It was shown that the Scherrer formula error increases nonlinearly at particle sizes less than 4 nm. For any hkl direction, the absolute error of average particle size determination using formula does not exceed 0.3 nm. Analysis shows that average particle size can be determined by Scherrer formula from single diffraction peak of experimental pattern for center-symmetrical particles.","author":[{"dropping-particle":"","family":"Vorokh","given":"A S","non-dropping-particle":"","parse-names":false,"suffix":""}],"container-title":"NANOSYSTEMS: PHYSICS, CHEMISTRY, MATHEMATICS","id":"ITEM-3","issue":"3","issued":{"date-parts":[["2018"]]},"page":"364-369","title":"Scherrer formula: estimation of error in determining small nanoparticle size","type":"article-journal","volume":"9"},"uris":["http://www.mendeley.com/documents/?uuid=d3e0dab3-9b8b-3790-9284-63a6c39c9251"]},{"id":"ITEM-4","itemData":{"ISBN":"9783527292882","author":[{"dropping-particle":"","family":"Thomas","given":"J M","non-dropping-particle":"","parse-names":false,"suffix":""},{"dropping-particle":"","family":"Thomas","given":"W J","non-dropping-particle":"","parse-names":false,"suffix":""}],"id":"ITEM-4","issued":{"date-parts":[["1997"]]},"publisher":"VCH","title":"Principles and practice of heterogeneous catalysis","type":"book"},"uris":["http://www.mendeley.com/documents/?uuid=8987bcb7-a496-460f-bac8-295454041508"]},{"id":"ITEM-5","itemData":{"ISBN":"9781786340832","author":[{"dropping-particle":"","family":"Prins","given":"R","non-dropping-particle":"","parse-names":false,"suffix":""},{"dropping-particle":"","family":"Wang","given":"A","non-dropping-particle":"","parse-names":false,"suffix":""},{"dropping-particle":"","family":"Li","given":"X","non-dropping-particle":"","parse-names":false,"suffix":""}],"collection-title":"Advanced Tetxtbooks in Chemistry","id":"ITEM-5","issued":{"date-parts":[["2016"]]},"publisher":"World Scientific Publishing Company","title":"Introduction to Heterogeneous Catalysis","type":"book"},"uris":["http://www.mendeley.com/documents/?uuid=791c55bd-09cb-4693-a698-17d41c597b23"]}],"mendeley":{"formattedCitation":"[297], [319], [327]–[329]","plainTextFormattedCitation":"[297], [319], [327]–[329]","previouslyFormattedCitation":"[297], [319], [327]–[329]"},"properties":{"noteIndex":0},"schema":"https://github.com/citation-style-language/schema/raw/master/csl-citation.json"}</w:instrText>
      </w:r>
      <w:r w:rsidRPr="00896683">
        <w:rPr>
          <w:rFonts w:cstheme="minorHAnsi"/>
        </w:rPr>
        <w:fldChar w:fldCharType="separate"/>
      </w:r>
      <w:r w:rsidR="006C586A" w:rsidRPr="006C586A">
        <w:rPr>
          <w:rFonts w:cstheme="minorHAnsi"/>
          <w:noProof/>
        </w:rPr>
        <w:t>[297], [319], [327]–[329]</w:t>
      </w:r>
      <w:r w:rsidRPr="00896683">
        <w:rPr>
          <w:rFonts w:cstheme="minorHAnsi"/>
        </w:rPr>
        <w:fldChar w:fldCharType="end"/>
      </w:r>
      <w:r w:rsidRPr="00896683">
        <w:rPr>
          <w:rFonts w:cstheme="minorHAnsi"/>
        </w:rPr>
        <w:t>.</w:t>
      </w:r>
      <w:r w:rsidRPr="001B718D">
        <w:t xml:space="preserve"> The purpose of this was the monitor the crystallite lengths of the infiltrated catalysts during the first 5</w:t>
      </w:r>
      <w:r>
        <w:t xml:space="preserve"> </w:t>
      </w:r>
      <w:r w:rsidRPr="001B718D">
        <w:t xml:space="preserve">h of ageing. The full width half maximum of the diffraction peaks was calculated using </w:t>
      </w:r>
      <w:proofErr w:type="spellStart"/>
      <w:r w:rsidRPr="001B718D">
        <w:t>OriginPro</w:t>
      </w:r>
      <w:proofErr w:type="spellEnd"/>
      <w:r w:rsidRPr="001B718D">
        <w:t xml:space="preserve"> 2020.</w:t>
      </w:r>
    </w:p>
    <w:p w14:paraId="2FEE6751" w14:textId="25075F2F" w:rsidR="00007F6C" w:rsidRPr="001B718D" w:rsidRDefault="00007F6C" w:rsidP="00007F6C">
      <w:pPr>
        <w:jc w:val="both"/>
      </w:pPr>
      <w:r w:rsidRPr="001B718D">
        <w:lastRenderedPageBreak/>
        <w:t xml:space="preserve">The instrumental contribution was removed from the data by subtracting the full width half maximum of a </w:t>
      </w:r>
      <w:r>
        <w:t xml:space="preserve">known calibration sample. In this study this was a </w:t>
      </w:r>
      <w:r w:rsidRPr="001B718D">
        <w:t>bulk nickel foil sample (XRD pattern can be found in the Appendix)</w:t>
      </w:r>
      <w:r>
        <w:t xml:space="preserve"> </w:t>
      </w:r>
      <w:r>
        <w:fldChar w:fldCharType="begin" w:fldLock="1"/>
      </w:r>
      <w:r w:rsidR="00D80A5D">
        <w:instrText>ADDIN CSL_CITATION {"citationItems":[{"id":"ITEM-1","itemData":{"author":[{"dropping-particle":"","family":"Speakman, Scott","given":"A","non-dropping-particle":"","parse-names":false,"suffix":""}],"id":"ITEM-1","issued":{"date-parts":[["2007"]]},"number-of-pages":"105","publisher-place":"Massachusetts","title":"Estimating Crystallite Size Using XRD","type":"report"},"uris":["http://www.mendeley.com/documents/?uuid=c1d4ea7f-d976-417b-b8c7-0752c88810ec"]}],"mendeley":{"formattedCitation":"[295]","plainTextFormattedCitation":"[295]","previouslyFormattedCitation":"[295]"},"properties":{"noteIndex":0},"schema":"https://github.com/citation-style-language/schema/raw/master/csl-citation.json"}</w:instrText>
      </w:r>
      <w:r>
        <w:fldChar w:fldCharType="separate"/>
      </w:r>
      <w:r w:rsidR="006C586A" w:rsidRPr="006C586A">
        <w:rPr>
          <w:noProof/>
        </w:rPr>
        <w:t>[295]</w:t>
      </w:r>
      <w:r>
        <w:fldChar w:fldCharType="end"/>
      </w:r>
      <w:r w:rsidRPr="001B718D">
        <w:t xml:space="preserve">. </w:t>
      </w:r>
    </w:p>
    <w:p w14:paraId="67FE5947" w14:textId="77777777" w:rsidR="00007F6C" w:rsidRPr="00896683" w:rsidRDefault="00007F6C" w:rsidP="00007F6C">
      <w:pPr>
        <w:keepNext/>
        <w:jc w:val="both"/>
        <w:rPr>
          <w:rFonts w:ascii="Arial" w:hAnsi="Arial" w:cs="Arial"/>
          <w:sz w:val="24"/>
          <w:lang w:val="en-US"/>
        </w:rPr>
      </w:pPr>
      <m:oMathPara>
        <m:oMath>
          <m:r>
            <m:rPr>
              <m:sty m:val="p"/>
            </m:rPr>
            <w:rPr>
              <w:rFonts w:ascii="Cambria Math" w:hAnsi="Cambria Math" w:cs="Arial"/>
              <w:sz w:val="24"/>
              <w:lang w:val="en-US"/>
            </w:rPr>
            <m:t xml:space="preserve">D= </m:t>
          </m:r>
          <m:f>
            <m:fPr>
              <m:ctrlPr>
                <w:rPr>
                  <w:rFonts w:ascii="Cambria Math" w:hAnsi="Cambria Math" w:cs="Arial"/>
                  <w:i/>
                  <w:sz w:val="24"/>
                  <w:lang w:val="en-US"/>
                </w:rPr>
              </m:ctrlPr>
            </m:fPr>
            <m:num>
              <m:r>
                <m:rPr>
                  <m:sty m:val="p"/>
                </m:rPr>
                <w:rPr>
                  <w:rFonts w:ascii="Cambria Math" w:hAnsi="Cambria Math" w:cs="Arial"/>
                  <w:sz w:val="24"/>
                  <w:lang w:val="en-US"/>
                </w:rPr>
                <m:t>Kλ</m:t>
              </m:r>
            </m:num>
            <m:den>
              <m:r>
                <m:rPr>
                  <m:sty m:val="p"/>
                </m:rPr>
                <w:rPr>
                  <w:rFonts w:ascii="Cambria Math" w:hAnsi="Cambria Math" w:cs="Arial"/>
                  <w:sz w:val="24"/>
                  <w:lang w:val="en-US"/>
                </w:rPr>
                <m:t>β</m:t>
              </m:r>
              <m:func>
                <m:funcPr>
                  <m:ctrlPr>
                    <w:rPr>
                      <w:rFonts w:ascii="Cambria Math" w:hAnsi="Cambria Math" w:cs="Arial"/>
                      <w:i/>
                      <w:sz w:val="24"/>
                      <w:lang w:val="en-US"/>
                    </w:rPr>
                  </m:ctrlPr>
                </m:funcPr>
                <m:fName>
                  <m:r>
                    <m:rPr>
                      <m:sty m:val="p"/>
                    </m:rPr>
                    <w:rPr>
                      <w:rFonts w:ascii="Cambria Math" w:hAnsi="Cambria Math" w:cs="Arial"/>
                      <w:sz w:val="24"/>
                      <w:lang w:val="en-US"/>
                    </w:rPr>
                    <m:t>cos</m:t>
                  </m:r>
                </m:fName>
                <m:e>
                  <m:r>
                    <m:rPr>
                      <m:sty m:val="p"/>
                    </m:rPr>
                    <w:rPr>
                      <w:rFonts w:ascii="Cambria Math" w:hAnsi="Cambria Math" w:cs="Arial"/>
                      <w:sz w:val="24"/>
                      <w:lang w:val="en-US"/>
                    </w:rPr>
                    <m:t>θ</m:t>
                  </m:r>
                </m:e>
              </m:func>
            </m:den>
          </m:f>
        </m:oMath>
      </m:oMathPara>
    </w:p>
    <w:p w14:paraId="23B3E43E" w14:textId="6FC2F5EA" w:rsidR="00007F6C" w:rsidRPr="006364CE" w:rsidRDefault="00007F6C" w:rsidP="00007F6C">
      <w:pPr>
        <w:pStyle w:val="Caption"/>
        <w:jc w:val="right"/>
        <w:rPr>
          <w:i w:val="0"/>
          <w:iCs w:val="0"/>
          <w:color w:val="auto"/>
          <w:sz w:val="22"/>
          <w:szCs w:val="22"/>
        </w:rPr>
      </w:pPr>
      <w:bookmarkStart w:id="233" w:name="_Ref51676565"/>
      <w:bookmarkStart w:id="234" w:name="_Ref490832923"/>
      <w:r w:rsidRPr="006364CE">
        <w:rPr>
          <w:i w:val="0"/>
          <w:iCs w:val="0"/>
          <w:color w:val="auto"/>
          <w:sz w:val="22"/>
          <w:szCs w:val="22"/>
        </w:rPr>
        <w:t>Equation 3.</w:t>
      </w:r>
      <w:r w:rsidRPr="006364CE">
        <w:rPr>
          <w:i w:val="0"/>
          <w:iCs w:val="0"/>
          <w:color w:val="auto"/>
          <w:sz w:val="22"/>
          <w:szCs w:val="22"/>
        </w:rPr>
        <w:fldChar w:fldCharType="begin"/>
      </w:r>
      <w:r w:rsidRPr="006364CE">
        <w:rPr>
          <w:i w:val="0"/>
          <w:iCs w:val="0"/>
          <w:color w:val="auto"/>
          <w:sz w:val="22"/>
          <w:szCs w:val="22"/>
        </w:rPr>
        <w:instrText xml:space="preserve"> SEQ Equation \* ARABIC </w:instrText>
      </w:r>
      <w:r w:rsidRPr="006364CE">
        <w:rPr>
          <w:i w:val="0"/>
          <w:iCs w:val="0"/>
          <w:color w:val="auto"/>
          <w:sz w:val="22"/>
          <w:szCs w:val="22"/>
        </w:rPr>
        <w:fldChar w:fldCharType="separate"/>
      </w:r>
      <w:r w:rsidR="00315BF8">
        <w:rPr>
          <w:i w:val="0"/>
          <w:iCs w:val="0"/>
          <w:noProof/>
          <w:color w:val="auto"/>
          <w:sz w:val="22"/>
          <w:szCs w:val="22"/>
        </w:rPr>
        <w:t>2</w:t>
      </w:r>
      <w:r w:rsidRPr="006364CE">
        <w:rPr>
          <w:i w:val="0"/>
          <w:iCs w:val="0"/>
          <w:color w:val="auto"/>
          <w:sz w:val="22"/>
          <w:szCs w:val="22"/>
        </w:rPr>
        <w:fldChar w:fldCharType="end"/>
      </w:r>
      <w:bookmarkEnd w:id="233"/>
    </w:p>
    <w:bookmarkEnd w:id="234"/>
    <w:p w14:paraId="2C07BC60" w14:textId="47B43C00" w:rsidR="00007F6C" w:rsidRPr="001B718D" w:rsidRDefault="00007F6C" w:rsidP="00007F6C">
      <w:pPr>
        <w:jc w:val="both"/>
        <w:rPr>
          <w:rFonts w:cstheme="minorHAnsi"/>
        </w:rPr>
      </w:pPr>
      <w:r w:rsidRPr="001B718D">
        <w:rPr>
          <w:rFonts w:cstheme="minorHAnsi"/>
        </w:rPr>
        <w:t xml:space="preserve">Debye-Scherrer analysis is not the sole method from which the particle size of a sample can be calculated. Nanocrystalline materials such as the infiltrated nickel phase in anode samples possess a strain component which impacts X-ray diffraction pattern produced from the samples. As these variables are independent of each other The strain ε of the full width half maximum, was calculated using the Williamson hall </w:t>
      </w:r>
      <w:r w:rsidRPr="00896683">
        <w:rPr>
          <w:rFonts w:cstheme="minorHAnsi"/>
        </w:rPr>
        <w:t>method (</w:t>
      </w:r>
      <w:r w:rsidRPr="00896683">
        <w:rPr>
          <w:rFonts w:cstheme="minorHAnsi"/>
        </w:rPr>
        <w:fldChar w:fldCharType="begin"/>
      </w:r>
      <w:r w:rsidRPr="00896683">
        <w:rPr>
          <w:rFonts w:cstheme="minorHAnsi"/>
        </w:rPr>
        <w:instrText xml:space="preserve"> REF _Ref38891122 \h </w:instrText>
      </w:r>
      <w:r>
        <w:rPr>
          <w:rFonts w:cstheme="minorHAnsi"/>
        </w:rPr>
        <w:instrText xml:space="preserve"> \* MERGEFORMAT </w:instrText>
      </w:r>
      <w:r w:rsidRPr="00896683">
        <w:rPr>
          <w:rFonts w:cstheme="minorHAnsi"/>
        </w:rPr>
      </w:r>
      <w:r w:rsidRPr="00896683">
        <w:rPr>
          <w:rFonts w:cstheme="minorHAnsi"/>
        </w:rPr>
        <w:fldChar w:fldCharType="separate"/>
      </w:r>
      <w:r w:rsidRPr="00C103C3">
        <w:t xml:space="preserve">Equation </w:t>
      </w:r>
      <w:r w:rsidRPr="00C103C3">
        <w:rPr>
          <w:noProof/>
        </w:rPr>
        <w:t>3.3</w:t>
      </w:r>
      <w:r w:rsidR="009858F1">
        <w:rPr>
          <w:noProof/>
        </w:rPr>
        <w:t>)</w:t>
      </w:r>
      <w:r w:rsidRPr="00896683">
        <w:rPr>
          <w:rFonts w:cstheme="minorHAnsi"/>
        </w:rPr>
        <w:fldChar w:fldCharType="end"/>
      </w:r>
      <w:r w:rsidRPr="00896683">
        <w:rPr>
          <w:rFonts w:cstheme="minorHAnsi"/>
        </w:rPr>
        <w:t>,</w:t>
      </w:r>
      <w:r w:rsidRPr="001B718D">
        <w:rPr>
          <w:rFonts w:cstheme="minorHAnsi"/>
        </w:rPr>
        <w:t xml:space="preserve"> whic</w:t>
      </w:r>
      <w:r w:rsidR="009858F1">
        <w:rPr>
          <w:rFonts w:cstheme="minorHAnsi"/>
        </w:rPr>
        <w:t>h</w:t>
      </w:r>
      <w:r w:rsidRPr="001B718D">
        <w:rPr>
          <w:rFonts w:cstheme="minorHAnsi"/>
        </w:rPr>
        <w:t xml:space="preserve"> removes this component from</w:t>
      </w:r>
      <w:r>
        <w:rPr>
          <w:rFonts w:cstheme="minorHAnsi"/>
        </w:rPr>
        <w:t xml:space="preserve"> </w:t>
      </w:r>
      <w:r>
        <w:rPr>
          <w:rFonts w:cstheme="minorHAnsi"/>
        </w:rPr>
        <w:fldChar w:fldCharType="begin"/>
      </w:r>
      <w:r>
        <w:rPr>
          <w:rFonts w:cstheme="minorHAnsi"/>
        </w:rPr>
        <w:instrText xml:space="preserve"> REF _Ref51676565 \h </w:instrText>
      </w:r>
      <w:r>
        <w:rPr>
          <w:rFonts w:cstheme="minorHAnsi"/>
        </w:rPr>
      </w:r>
      <w:r>
        <w:rPr>
          <w:rFonts w:cstheme="minorHAnsi"/>
        </w:rPr>
        <w:fldChar w:fldCharType="separate"/>
      </w:r>
      <w:r w:rsidRPr="006364CE">
        <w:rPr>
          <w:i/>
          <w:iCs/>
        </w:rPr>
        <w:t>Equation 3.</w:t>
      </w:r>
      <w:r>
        <w:rPr>
          <w:i/>
          <w:iCs/>
          <w:noProof/>
        </w:rPr>
        <w:t>2</w:t>
      </w:r>
      <w:r>
        <w:rPr>
          <w:rFonts w:cstheme="minorHAnsi"/>
        </w:rPr>
        <w:fldChar w:fldCharType="end"/>
      </w:r>
      <w:r w:rsidRPr="001B718D">
        <w:rPr>
          <w:rFonts w:cstheme="minorHAnsi"/>
        </w:rPr>
        <w:t>.</w:t>
      </w:r>
    </w:p>
    <w:p w14:paraId="3FD2886A" w14:textId="77777777" w:rsidR="00007F6C" w:rsidRPr="00896683" w:rsidRDefault="00007F6C" w:rsidP="00007F6C">
      <w:pPr>
        <w:jc w:val="both"/>
        <w:rPr>
          <w:rFonts w:ascii="Arial" w:eastAsiaTheme="minorEastAsia" w:hAnsi="Arial" w:cs="Arial"/>
          <w:sz w:val="24"/>
          <w:lang w:val="en-US"/>
        </w:rPr>
      </w:pPr>
      <m:oMathPara>
        <m:oMath>
          <m:r>
            <m:rPr>
              <m:sty m:val="p"/>
            </m:rPr>
            <w:rPr>
              <w:rFonts w:ascii="Cambria Math" w:hAnsi="Cambria Math" w:cs="Arial"/>
              <w:sz w:val="24"/>
              <w:lang w:val="en-US"/>
            </w:rPr>
            <m:t xml:space="preserve">ε= </m:t>
          </m:r>
          <m:f>
            <m:fPr>
              <m:ctrlPr>
                <w:rPr>
                  <w:rFonts w:ascii="Cambria Math" w:hAnsi="Cambria Math" w:cs="Arial"/>
                  <w:i/>
                  <w:sz w:val="24"/>
                  <w:lang w:val="en-US"/>
                </w:rPr>
              </m:ctrlPr>
            </m:fPr>
            <m:num>
              <m:sSub>
                <m:sSubPr>
                  <m:ctrlPr>
                    <w:rPr>
                      <w:rFonts w:ascii="Cambria Math" w:hAnsi="Cambria Math" w:cs="Arial"/>
                      <w:i/>
                      <w:sz w:val="24"/>
                      <w:lang w:val="en-US"/>
                    </w:rPr>
                  </m:ctrlPr>
                </m:sSubPr>
                <m:e>
                  <m:r>
                    <m:rPr>
                      <m:sty m:val="p"/>
                    </m:rPr>
                    <w:rPr>
                      <w:rFonts w:ascii="Cambria Math" w:hAnsi="Cambria Math" w:cs="Arial"/>
                      <w:sz w:val="24"/>
                      <w:lang w:val="en-US"/>
                    </w:rPr>
                    <m:t>β</m:t>
                  </m:r>
                </m:e>
                <m:sub>
                  <m:r>
                    <m:rPr>
                      <m:sty m:val="p"/>
                    </m:rPr>
                    <w:rPr>
                      <w:rFonts w:ascii="Cambria Math" w:hAnsi="Cambria Math" w:cs="Arial"/>
                      <w:sz w:val="24"/>
                      <w:lang w:val="en-US"/>
                    </w:rPr>
                    <m:t>Strain</m:t>
                  </m:r>
                </m:sub>
              </m:sSub>
            </m:num>
            <m:den>
              <m:r>
                <m:rPr>
                  <m:sty m:val="p"/>
                </m:rPr>
                <w:rPr>
                  <w:rFonts w:ascii="Cambria Math" w:hAnsi="Cambria Math" w:cs="Arial"/>
                  <w:sz w:val="24"/>
                  <w:lang w:val="en-US"/>
                </w:rPr>
                <m:t>4</m:t>
              </m:r>
              <m:func>
                <m:funcPr>
                  <m:ctrlPr>
                    <w:rPr>
                      <w:rFonts w:ascii="Cambria Math" w:hAnsi="Cambria Math" w:cs="Arial"/>
                      <w:i/>
                      <w:sz w:val="24"/>
                      <w:lang w:val="en-US"/>
                    </w:rPr>
                  </m:ctrlPr>
                </m:funcPr>
                <m:fName>
                  <m:r>
                    <m:rPr>
                      <m:sty m:val="p"/>
                    </m:rPr>
                    <w:rPr>
                      <w:rFonts w:ascii="Cambria Math" w:hAnsi="Cambria Math" w:cs="Arial"/>
                      <w:sz w:val="24"/>
                      <w:lang w:val="en-US"/>
                    </w:rPr>
                    <m:t>tan</m:t>
                  </m:r>
                </m:fName>
                <m:e>
                  <m:r>
                    <m:rPr>
                      <m:sty m:val="p"/>
                    </m:rPr>
                    <w:rPr>
                      <w:rFonts w:ascii="Cambria Math" w:hAnsi="Cambria Math" w:cs="Arial"/>
                      <w:sz w:val="24"/>
                      <w:lang w:val="en-US"/>
                    </w:rPr>
                    <m:t>θ</m:t>
                  </m:r>
                </m:e>
              </m:func>
            </m:den>
          </m:f>
        </m:oMath>
      </m:oMathPara>
    </w:p>
    <w:p w14:paraId="0AC826AC" w14:textId="77777777" w:rsidR="00007F6C" w:rsidRPr="00896683" w:rsidRDefault="00B51F53" w:rsidP="00007F6C">
      <w:pPr>
        <w:keepNext/>
        <w:jc w:val="both"/>
        <w:rPr>
          <w:rFonts w:ascii="Arial" w:eastAsiaTheme="minorEastAsia" w:hAnsi="Arial" w:cs="Arial"/>
          <w:sz w:val="24"/>
          <w:lang w:val="en-US"/>
        </w:rPr>
      </w:pPr>
      <m:oMathPara>
        <m:oMath>
          <m:sSub>
            <m:sSubPr>
              <m:ctrlPr>
                <w:rPr>
                  <w:rFonts w:ascii="Cambria Math" w:hAnsi="Cambria Math" w:cs="Arial"/>
                  <w:i/>
                  <w:sz w:val="24"/>
                  <w:lang w:val="en-US"/>
                </w:rPr>
              </m:ctrlPr>
            </m:sSubPr>
            <m:e>
              <m:r>
                <m:rPr>
                  <m:sty m:val="p"/>
                </m:rPr>
                <w:rPr>
                  <w:rFonts w:ascii="Cambria Math" w:hAnsi="Cambria Math" w:cs="Arial"/>
                  <w:sz w:val="24"/>
                  <w:lang w:val="en-US"/>
                </w:rPr>
                <m:t>β</m:t>
              </m:r>
            </m:e>
            <m:sub>
              <m:r>
                <m:rPr>
                  <m:sty m:val="p"/>
                </m:rPr>
                <w:rPr>
                  <w:rFonts w:ascii="Cambria Math" w:hAnsi="Cambria Math" w:cs="Arial"/>
                  <w:sz w:val="24"/>
                  <w:lang w:val="en-US"/>
                </w:rPr>
                <m:t>Strain</m:t>
              </m:r>
            </m:sub>
          </m:sSub>
          <m:r>
            <m:rPr>
              <m:sty m:val="p"/>
            </m:rPr>
            <w:rPr>
              <w:rFonts w:ascii="Cambria Math" w:hAnsi="Cambria Math" w:cs="Arial"/>
              <w:sz w:val="24"/>
              <w:lang w:val="en-US"/>
            </w:rPr>
            <m:t xml:space="preserve">= </m:t>
          </m:r>
          <m:f>
            <m:fPr>
              <m:ctrlPr>
                <w:rPr>
                  <w:rFonts w:ascii="Cambria Math" w:hAnsi="Cambria Math" w:cs="Arial"/>
                  <w:i/>
                  <w:sz w:val="24"/>
                  <w:lang w:val="en-US"/>
                </w:rPr>
              </m:ctrlPr>
            </m:fPr>
            <m:num>
              <m:r>
                <m:rPr>
                  <m:sty m:val="p"/>
                </m:rPr>
                <w:rPr>
                  <w:rFonts w:ascii="Cambria Math" w:hAnsi="Cambria Math" w:cs="Arial"/>
                  <w:sz w:val="24"/>
                  <w:lang w:val="en-US"/>
                </w:rPr>
                <m:t>4ε</m:t>
              </m:r>
              <m:func>
                <m:funcPr>
                  <m:ctrlPr>
                    <w:rPr>
                      <w:rFonts w:ascii="Cambria Math" w:hAnsi="Cambria Math" w:cs="Arial"/>
                      <w:i/>
                      <w:sz w:val="24"/>
                      <w:lang w:val="en-US"/>
                    </w:rPr>
                  </m:ctrlPr>
                </m:funcPr>
                <m:fName>
                  <m:r>
                    <m:rPr>
                      <m:sty m:val="p"/>
                    </m:rPr>
                    <w:rPr>
                      <w:rFonts w:ascii="Cambria Math" w:hAnsi="Cambria Math" w:cs="Arial"/>
                      <w:sz w:val="24"/>
                      <w:lang w:val="en-US"/>
                    </w:rPr>
                    <m:t>sin</m:t>
                  </m:r>
                </m:fName>
                <m:e>
                  <m:r>
                    <m:rPr>
                      <m:sty m:val="p"/>
                    </m:rPr>
                    <w:rPr>
                      <w:rFonts w:ascii="Cambria Math" w:hAnsi="Cambria Math" w:cs="Arial"/>
                      <w:sz w:val="24"/>
                      <w:lang w:val="en-US"/>
                    </w:rPr>
                    <m:t>θ</m:t>
                  </m:r>
                </m:e>
              </m:func>
            </m:num>
            <m:den>
              <m:func>
                <m:funcPr>
                  <m:ctrlPr>
                    <w:rPr>
                      <w:rFonts w:ascii="Cambria Math" w:hAnsi="Cambria Math" w:cs="Arial"/>
                      <w:i/>
                      <w:sz w:val="24"/>
                      <w:lang w:val="en-US"/>
                    </w:rPr>
                  </m:ctrlPr>
                </m:funcPr>
                <m:fName>
                  <m:r>
                    <m:rPr>
                      <m:sty m:val="p"/>
                    </m:rPr>
                    <w:rPr>
                      <w:rFonts w:ascii="Cambria Math" w:hAnsi="Cambria Math" w:cs="Arial"/>
                      <w:sz w:val="24"/>
                      <w:lang w:val="en-US"/>
                    </w:rPr>
                    <m:t>cos</m:t>
                  </m:r>
                </m:fName>
                <m:e>
                  <m:r>
                    <m:rPr>
                      <m:sty m:val="p"/>
                    </m:rPr>
                    <w:rPr>
                      <w:rFonts w:ascii="Cambria Math" w:hAnsi="Cambria Math" w:cs="Arial"/>
                      <w:sz w:val="24"/>
                      <w:lang w:val="en-US"/>
                    </w:rPr>
                    <m:t>θ</m:t>
                  </m:r>
                </m:e>
              </m:func>
            </m:den>
          </m:f>
        </m:oMath>
      </m:oMathPara>
    </w:p>
    <w:p w14:paraId="3B8057FF" w14:textId="7D4F031F" w:rsidR="00007F6C" w:rsidRPr="006364CE" w:rsidRDefault="00007F6C" w:rsidP="00007F6C">
      <w:pPr>
        <w:pStyle w:val="Caption"/>
        <w:jc w:val="right"/>
        <w:rPr>
          <w:i w:val="0"/>
          <w:iCs w:val="0"/>
          <w:color w:val="auto"/>
          <w:sz w:val="22"/>
          <w:szCs w:val="22"/>
        </w:rPr>
      </w:pPr>
      <w:bookmarkStart w:id="235" w:name="_Ref51162172"/>
      <w:bookmarkStart w:id="236" w:name="_Ref38891122"/>
      <w:r w:rsidRPr="006364CE">
        <w:rPr>
          <w:i w:val="0"/>
          <w:iCs w:val="0"/>
          <w:color w:val="auto"/>
          <w:sz w:val="22"/>
          <w:szCs w:val="22"/>
        </w:rPr>
        <w:t>Equation 3.</w:t>
      </w:r>
      <w:r w:rsidRPr="006364CE">
        <w:rPr>
          <w:i w:val="0"/>
          <w:iCs w:val="0"/>
          <w:color w:val="auto"/>
          <w:sz w:val="22"/>
          <w:szCs w:val="22"/>
        </w:rPr>
        <w:fldChar w:fldCharType="begin"/>
      </w:r>
      <w:r w:rsidRPr="006364CE">
        <w:rPr>
          <w:i w:val="0"/>
          <w:iCs w:val="0"/>
          <w:color w:val="auto"/>
          <w:sz w:val="22"/>
          <w:szCs w:val="22"/>
        </w:rPr>
        <w:instrText xml:space="preserve"> SEQ Equation \* ARABIC </w:instrText>
      </w:r>
      <w:r w:rsidRPr="006364CE">
        <w:rPr>
          <w:i w:val="0"/>
          <w:iCs w:val="0"/>
          <w:color w:val="auto"/>
          <w:sz w:val="22"/>
          <w:szCs w:val="22"/>
        </w:rPr>
        <w:fldChar w:fldCharType="separate"/>
      </w:r>
      <w:r w:rsidR="00315BF8">
        <w:rPr>
          <w:i w:val="0"/>
          <w:iCs w:val="0"/>
          <w:noProof/>
          <w:color w:val="auto"/>
          <w:sz w:val="22"/>
          <w:szCs w:val="22"/>
        </w:rPr>
        <w:t>3</w:t>
      </w:r>
      <w:r w:rsidRPr="006364CE">
        <w:rPr>
          <w:i w:val="0"/>
          <w:iCs w:val="0"/>
          <w:color w:val="auto"/>
          <w:sz w:val="22"/>
          <w:szCs w:val="22"/>
        </w:rPr>
        <w:fldChar w:fldCharType="end"/>
      </w:r>
      <w:bookmarkEnd w:id="235"/>
    </w:p>
    <w:bookmarkEnd w:id="236"/>
    <w:p w14:paraId="45BC9E5D" w14:textId="77777777" w:rsidR="00007F6C" w:rsidRPr="006364CE" w:rsidRDefault="00007F6C" w:rsidP="00007F6C">
      <w:pPr>
        <w:jc w:val="both"/>
        <w:rPr>
          <w:i/>
          <w:iCs/>
        </w:rPr>
      </w:pPr>
      <w:r w:rsidRPr="001B718D">
        <w:rPr>
          <w:rFonts w:cstheme="minorHAnsi"/>
          <w:lang w:val="en-US"/>
        </w:rPr>
        <w:t xml:space="preserve">The </w:t>
      </w:r>
      <w:r>
        <w:rPr>
          <w:rFonts w:cstheme="minorHAnsi"/>
          <w:lang w:val="en-US"/>
        </w:rPr>
        <w:t xml:space="preserve">impact of the </w:t>
      </w:r>
      <w:r w:rsidRPr="001B718D">
        <w:rPr>
          <w:rFonts w:cstheme="minorHAnsi"/>
          <w:lang w:val="en-US"/>
        </w:rPr>
        <w:t>strain component</w:t>
      </w:r>
      <w:r>
        <w:rPr>
          <w:rFonts w:cstheme="minorHAnsi"/>
          <w:lang w:val="en-US"/>
        </w:rPr>
        <w:t xml:space="preserve"> from </w:t>
      </w:r>
      <w:r w:rsidRPr="006364CE">
        <w:rPr>
          <w:rFonts w:cstheme="minorHAnsi"/>
          <w:lang w:val="en-US"/>
        </w:rPr>
        <w:fldChar w:fldCharType="begin"/>
      </w:r>
      <w:r w:rsidRPr="006364CE">
        <w:rPr>
          <w:rFonts w:cstheme="minorHAnsi"/>
          <w:lang w:val="en-US"/>
        </w:rPr>
        <w:instrText xml:space="preserve"> REF _Ref51162172 \h  \* MERGEFORMAT </w:instrText>
      </w:r>
      <w:r w:rsidRPr="006364CE">
        <w:rPr>
          <w:rFonts w:cstheme="minorHAnsi"/>
          <w:lang w:val="en-US"/>
        </w:rPr>
      </w:r>
      <w:r w:rsidRPr="006364CE">
        <w:rPr>
          <w:rFonts w:cstheme="minorHAnsi"/>
          <w:lang w:val="en-US"/>
        </w:rPr>
        <w:fldChar w:fldCharType="separate"/>
      </w:r>
      <w:r w:rsidRPr="00C103C3">
        <w:t>Equation 3.3</w:t>
      </w:r>
      <w:r w:rsidRPr="006364CE">
        <w:rPr>
          <w:rFonts w:cstheme="minorHAnsi"/>
          <w:lang w:val="en-US"/>
        </w:rPr>
        <w:fldChar w:fldCharType="end"/>
      </w:r>
      <w:r>
        <w:rPr>
          <w:rFonts w:cstheme="minorHAnsi"/>
          <w:lang w:val="en-US"/>
        </w:rPr>
        <w:t xml:space="preserve"> on the FWHM was removed by </w:t>
      </w:r>
      <w:r w:rsidRPr="001B718D">
        <w:rPr>
          <w:rFonts w:cstheme="minorHAnsi"/>
          <w:lang w:val="en-US"/>
        </w:rPr>
        <w:t xml:space="preserve">applying the  </w:t>
      </w:r>
      <m:oMath>
        <m:r>
          <m:rPr>
            <m:sty m:val="p"/>
          </m:rPr>
          <w:rPr>
            <w:rFonts w:ascii="Cambria Math" w:hAnsi="Cambria Math" w:cstheme="minorHAnsi"/>
            <w:lang w:val="en-US"/>
          </w:rPr>
          <m:t>tanθ = sinθ/cosθ</m:t>
        </m:r>
      </m:oMath>
      <w:r w:rsidRPr="001B718D">
        <w:rPr>
          <w:rFonts w:cstheme="minorHAnsi"/>
          <w:lang w:val="en-US"/>
        </w:rPr>
        <w:t xml:space="preserve"> equivalence to </w:t>
      </w:r>
      <w:r w:rsidRPr="001B718D">
        <w:rPr>
          <w:rFonts w:cstheme="minorHAnsi"/>
          <w:lang w:val="en-US"/>
        </w:rPr>
        <w:fldChar w:fldCharType="begin"/>
      </w:r>
      <w:r w:rsidRPr="001B718D">
        <w:rPr>
          <w:rFonts w:cstheme="minorHAnsi"/>
          <w:lang w:val="en-US"/>
        </w:rPr>
        <w:instrText xml:space="preserve"> REF _Ref490832923 \h  \* MERGEFORMAT </w:instrText>
      </w:r>
      <w:r w:rsidRPr="001B718D">
        <w:rPr>
          <w:rFonts w:cstheme="minorHAnsi"/>
          <w:lang w:val="en-US"/>
        </w:rPr>
      </w:r>
      <w:r w:rsidRPr="001B718D">
        <w:rPr>
          <w:rFonts w:cstheme="minorHAnsi"/>
          <w:lang w:val="en-US"/>
        </w:rPr>
        <w:fldChar w:fldCharType="separate"/>
      </w:r>
      <w:r w:rsidRPr="00C103C3">
        <w:rPr>
          <w:rFonts w:cstheme="minorHAnsi"/>
        </w:rPr>
        <w:t xml:space="preserve">Equation </w:t>
      </w:r>
      <w:r w:rsidRPr="00C103C3">
        <w:rPr>
          <w:rFonts w:cstheme="minorHAnsi"/>
          <w:noProof/>
        </w:rPr>
        <w:t>3.2</w:t>
      </w:r>
    </w:p>
    <w:p w14:paraId="70142F9F" w14:textId="1CF33FD2" w:rsidR="00007F6C" w:rsidRPr="001B718D" w:rsidRDefault="00007F6C" w:rsidP="00007F6C">
      <w:pPr>
        <w:jc w:val="both"/>
        <w:rPr>
          <w:rFonts w:cstheme="minorHAnsi"/>
          <w:lang w:val="en-US"/>
        </w:rPr>
      </w:pPr>
      <w:r w:rsidRPr="001B718D">
        <w:rPr>
          <w:rFonts w:cstheme="minorHAnsi"/>
          <w:lang w:val="en-US"/>
        </w:rPr>
        <w:fldChar w:fldCharType="end"/>
      </w:r>
      <w:r w:rsidRPr="001B718D">
        <w:rPr>
          <w:rFonts w:cstheme="minorHAnsi"/>
          <w:lang w:val="en-US"/>
        </w:rPr>
        <w:t xml:space="preserve">. After that the </w:t>
      </w:r>
      <w:r>
        <w:rPr>
          <w:rFonts w:cstheme="minorHAnsi"/>
          <w:lang w:val="en-US"/>
        </w:rPr>
        <w:t xml:space="preserve">resulting </w:t>
      </w:r>
      <w:r w:rsidRPr="001B718D">
        <w:rPr>
          <w:rFonts w:cstheme="minorHAnsi"/>
          <w:lang w:val="en-US"/>
        </w:rPr>
        <w:t xml:space="preserve">equation </w:t>
      </w:r>
      <w:r>
        <w:rPr>
          <w:rFonts w:cstheme="minorHAnsi"/>
          <w:lang w:val="en-US"/>
        </w:rPr>
        <w:t xml:space="preserve">was </w:t>
      </w:r>
      <w:r w:rsidRPr="001B718D">
        <w:rPr>
          <w:rFonts w:cstheme="minorHAnsi"/>
          <w:lang w:val="en-US"/>
        </w:rPr>
        <w:t>rearranged to make the crystallite length D, the subject (</w:t>
      </w:r>
      <w:r w:rsidRPr="006364CE">
        <w:rPr>
          <w:rFonts w:cstheme="minorHAnsi"/>
          <w:lang w:val="en-US"/>
        </w:rPr>
        <w:t xml:space="preserve">See </w:t>
      </w:r>
      <w:r w:rsidRPr="006364CE">
        <w:rPr>
          <w:rFonts w:cstheme="minorHAnsi"/>
          <w:lang w:val="en-US"/>
        </w:rPr>
        <w:fldChar w:fldCharType="begin"/>
      </w:r>
      <w:r w:rsidRPr="006364CE">
        <w:rPr>
          <w:rFonts w:cstheme="minorHAnsi"/>
          <w:lang w:val="en-US"/>
        </w:rPr>
        <w:instrText xml:space="preserve"> REF _Ref51162246 \h  \* MERGEFORMAT </w:instrText>
      </w:r>
      <w:r w:rsidRPr="006364CE">
        <w:rPr>
          <w:rFonts w:cstheme="minorHAnsi"/>
          <w:lang w:val="en-US"/>
        </w:rPr>
      </w:r>
      <w:r w:rsidRPr="006364CE">
        <w:rPr>
          <w:rFonts w:cstheme="minorHAnsi"/>
          <w:lang w:val="en-US"/>
        </w:rPr>
        <w:fldChar w:fldCharType="separate"/>
      </w:r>
      <w:r w:rsidRPr="00C103C3">
        <w:t>Equation 3.4</w:t>
      </w:r>
      <w:r w:rsidRPr="006364CE">
        <w:rPr>
          <w:rFonts w:cstheme="minorHAnsi"/>
          <w:lang w:val="en-US"/>
        </w:rPr>
        <w:fldChar w:fldCharType="end"/>
      </w:r>
      <w:r w:rsidRPr="00896683">
        <w:rPr>
          <w:rFonts w:cstheme="minorHAnsi"/>
          <w:lang w:val="en-US"/>
        </w:rPr>
        <w:t>)</w:t>
      </w:r>
      <w:r w:rsidRPr="00896683">
        <w:rPr>
          <w:rFonts w:cstheme="minorHAnsi"/>
        </w:rPr>
        <w:t xml:space="preserve"> </w:t>
      </w:r>
      <w:r w:rsidRPr="00896683">
        <w:rPr>
          <w:rFonts w:cstheme="minorHAnsi"/>
        </w:rPr>
        <w:fldChar w:fldCharType="begin" w:fldLock="1"/>
      </w:r>
      <w:r w:rsidR="00D80A5D">
        <w:rPr>
          <w:rFonts w:cstheme="minorHAnsi"/>
        </w:rPr>
        <w:instrText>ADDIN CSL_CITATION {"citationItems":[{"id":"ITEM-1","itemData":{"DOI":"10.1038/nnano.2011.145","ISSN":"1748-3387","author":[{"dropping-particle":"","family":"Holzwarth","given":"Uwe","non-dropping-particle":"","parse-names":false,"suffix":""},{"dropping-particle":"","family":"Gibson","given":"Neil","non-dropping-particle":"","parse-names":false,"suffix":""}],"container-title":"Nature Nanotechnology","id":"ITEM-1","issue":"9","issued":{"date-parts":[["2011","9","28"]]},"page":"534-534","title":"The Scherrer equation versus the 'Debye-Scherrer equation'","type":"article-journal","volume":"6"},"uris":["http://www.mendeley.com/documents/?uuid=0d665b2b-4b5c-3bb9-8e44-b6462dc88b00"]},{"id":"ITEM-2","itemData":{"DOI":"10.1017/S0305004100021988","ISSN":"0305-0041","author":[{"dropping-particle":"","family":"Stokes","given":"A. R.","non-dropping-particle":"","parse-names":false,"suffix":""},{"dropping-particle":"","family":"Wilson","given":"A. J. C.","non-dropping-particle":"","parse-names":false,"suffix":""},{"dropping-particle":"","family":"Bragg","given":"W. L.","non-dropping-particle":"","parse-names":false,"suffix":""}],"container-title":"Mathematical Proceedings of the Cambridge Philosophical Society","id":"ITEM-2","issue":"03","issued":{"date-parts":[["1942","7","24"]]},"page":"313","title":"A method of calculating the integral breadths of Debye-Scherrer lines","type":"article-journal","volume":"38"},"uris":["http://www.mendeley.com/documents/?uuid=1063872a-4031-38db-9402-b8a52daa2289"]},{"id":"ITEM-3","itemData":{"DOI":"10.17586/2220-8054-2018-9-3-364-369","abstract":"The lower limit of the applicability of the Scherrer formula has been established by calculating the diffraction patterns from model nanoparticles by the Debye formula. Particle size was calculated using the Scherrer formula for different hkl-peaks. The obtained data of particle sizes were compared with \"real\" sizes of model particles in the same hkl-directions. The form-factor K hkl was analyzed as main correction of Scherrer formula. It was shown that the Scherrer formula error increases nonlinearly at particle sizes less than 4 nm. For any hkl direction, the absolute error of average particle size determination using formula does not exceed 0.3 nm. Analysis shows that average particle size can be determined by Scherrer formula from single diffraction peak of experimental pattern for center-symmetrical particles.","author":[{"dropping-particle":"","family":"Vorokh","given":"A S","non-dropping-particle":"","parse-names":false,"suffix":""}],"container-title":"NANOSYSTEMS: PHYSICS, CHEMISTRY, MATHEMATICS","id":"ITEM-3","issue":"3","issued":{"date-parts":[["2018"]]},"page":"364-369","title":"Scherrer formula: estimation of error in determining small nanoparticle size","type":"article-journal","volume":"9"},"uris":["http://www.mendeley.com/documents/?uuid=d3e0dab3-9b8b-3790-9284-63a6c39c9251"]},{"id":"ITEM-4","itemData":{"ISBN":"9783527292882","author":[{"dropping-particle":"","family":"Thomas","given":"J M","non-dropping-particle":"","parse-names":false,"suffix":""},{"dropping-particle":"","family":"Thomas","given":"W J","non-dropping-particle":"","parse-names":false,"suffix":""}],"id":"ITEM-4","issued":{"date-parts":[["1997"]]},"publisher":"VCH","title":"Principles and practice of heterogeneous catalysis","type":"book"},"uris":["http://www.mendeley.com/documents/?uuid=8987bcb7-a496-460f-bac8-295454041508"]},{"id":"ITEM-5","itemData":{"ISBN":"9781786340832","author":[{"dropping-particle":"","family":"Prins","given":"R","non-dropping-particle":"","parse-names":false,"suffix":""},{"dropping-particle":"","family":"Wang","given":"A","non-dropping-particle":"","parse-names":false,"suffix":""},{"dropping-particle":"","family":"Li","given":"X","non-dropping-particle":"","parse-names":false,"suffix":""}],"collection-title":"Advanced Tetxtbooks in Chemistry","id":"ITEM-5","issued":{"date-parts":[["2016"]]},"publisher":"World Scientific Publishing Company","title":"Introduction to Heterogeneous Catalysis","type":"book"},"uris":["http://www.mendeley.com/documents/?uuid=791c55bd-09cb-4693-a698-17d41c597b23"]},{"id":"ITEM-6","itemData":{"DOI":"10.1186/2251-7235-6-6","ISSN":"22517235","abstract":"ZnO nanoparticles were prepared by coprecipitation method at 450C. X-ray diffraction result indicates that the sample is having a crystalline wurtzite phase. Transmission electron microscopy (TEM) result reveals that the ZnO sample is spherical in shape with an average grain size of about 50nm. X-ray peak broadening analysis was used to evaluate the crystalline sizes and lattice strain by the Williamson-Hall (W-H) analysis. All other relevant physical parameters such as strain, stress, and energy density values were also calculated using W-H analysis with different models, viz, uniform deformation model, uniform deformation stress model and uniform deformation energy density model. The root mean square strain was determined from the interplanar spacing and strain estimated from the three models. The three models yield different strain values; it may be due to the anisotropic nature of the material. The mean particle size of ZnO nanoparticles estimated from TEM analysis, Scherrers formula and W-H analysis is highly intercorrelated.","author":[{"dropping-particle":"","family":"Mote","given":"Vd","non-dropping-particle":"","parse-names":false,"suffix":""},{"dropping-particle":"","family":"Purushotham","given":"Y.","non-dropping-particle":"","parse-names":false,"suffix":""},{"dropping-particle":"","family":"Dole","given":"Bn","non-dropping-particle":"","parse-names":false,"suffix":""}],"container-title":"Journal of Theoretical and Applied Physics","id":"ITEM-6","issue":"1","issued":{"date-parts":[["2012"]]},"page":"2-9","title":"Williamson-Hall analysis in estimation of lattice strain in nanometer-sized ZnO particles","type":"article-journal","volume":"6"},"uris":["http://www.mendeley.com/documents/?uuid=2e98168a-ffb3-41b9-81fc-ca1546859879"]},{"id":"ITEM-7","itemData":{"ISSN":"14523981","abstract":"Electrodeposited Ni and Ni-Mo films were investigated by X-ray diffraction (XRD) and electron probe microanalysis (EPMA). Using a Williamson-Hall technique by X-ray diffraction, the Ni thin film, which shows four Bragg diffraction peaks in the XRD chart, is estimated to have a mean grain size of 30 nm. The Ni-Mo film having a Mo content of 9.6 to 10.6 at. % indicates that the Bragg peaks that exist in the XRD pattern of the Ni thin film disappear in the XRD pattern except for a broad diffraction from a (111) crystallographic plane. An atomic pair distribution function (PDF) calculated from the XRD pattern reveals that the Ni-Mo film has a long-range structural order and contains Mo as a solute atom that substitutes for a Ni atom. The electrodeposited Ni-Mo film is concluded to have a nanocrystalline characteristic comprising a Ni-Ni atomic bond and Ni-Mo atomic bond.","author":[{"dropping-particle":"","family":"Saitou","given":"Masatoshi","non-dropping-particle":"","parse-names":false,"suffix":""}],"container-title":"International Journal of Electrochemical Science","id":"ITEM-7","issue":"11","issued":{"date-parts":[["2014"]]},"page":"6033-6042","title":"Characterization of electrodeposited Ni and Ni-Mo thin films by X-ray diffraction","type":"article-journal","volume":"9"},"uris":["http://www.mendeley.com/documents/?uuid=89114f6c-9504-4d79-a709-e3a75bbdd946"]}],"mendeley":{"formattedCitation":"[297], [319], [327]–[331]","plainTextFormattedCitation":"[297], [319], [327]–[331]","previouslyFormattedCitation":"[297], [319], [327]–[331]"},"properties":{"noteIndex":0},"schema":"https://github.com/citation-style-language/schema/raw/master/csl-citation.json"}</w:instrText>
      </w:r>
      <w:r w:rsidRPr="00896683">
        <w:rPr>
          <w:rFonts w:cstheme="minorHAnsi"/>
        </w:rPr>
        <w:fldChar w:fldCharType="separate"/>
      </w:r>
      <w:r w:rsidR="006C586A" w:rsidRPr="006C586A">
        <w:rPr>
          <w:rFonts w:cstheme="minorHAnsi"/>
          <w:noProof/>
        </w:rPr>
        <w:t>[297], [319], [327]–[331]</w:t>
      </w:r>
      <w:r w:rsidRPr="00896683">
        <w:rPr>
          <w:rFonts w:cstheme="minorHAnsi"/>
        </w:rPr>
        <w:fldChar w:fldCharType="end"/>
      </w:r>
      <w:r w:rsidRPr="00896683">
        <w:rPr>
          <w:rFonts w:cstheme="minorHAnsi"/>
          <w:lang w:val="en-US"/>
        </w:rPr>
        <w:t>.</w:t>
      </w:r>
    </w:p>
    <w:p w14:paraId="5173DECC" w14:textId="77777777" w:rsidR="00007F6C" w:rsidRPr="00896683" w:rsidRDefault="00007F6C" w:rsidP="00007F6C">
      <w:pPr>
        <w:jc w:val="both"/>
        <w:rPr>
          <w:rFonts w:ascii="Arial" w:hAnsi="Arial" w:cs="Arial"/>
          <w:sz w:val="24"/>
          <w:lang w:val="en-US"/>
        </w:rPr>
      </w:pPr>
      <m:oMathPara>
        <m:oMath>
          <m:r>
            <m:rPr>
              <m:sty m:val="p"/>
            </m:rPr>
            <w:rPr>
              <w:rFonts w:ascii="Cambria Math" w:hAnsi="Cambria Math" w:cs="Arial"/>
              <w:sz w:val="24"/>
              <w:lang w:val="en-US"/>
            </w:rPr>
            <m:t>β</m:t>
          </m:r>
          <m:func>
            <m:funcPr>
              <m:ctrlPr>
                <w:rPr>
                  <w:rFonts w:ascii="Cambria Math" w:hAnsi="Cambria Math" w:cs="Arial"/>
                  <w:i/>
                  <w:sz w:val="24"/>
                  <w:lang w:val="en-US"/>
                </w:rPr>
              </m:ctrlPr>
            </m:funcPr>
            <m:fName>
              <m:r>
                <m:rPr>
                  <m:sty m:val="p"/>
                </m:rPr>
                <w:rPr>
                  <w:rFonts w:ascii="Cambria Math" w:hAnsi="Cambria Math" w:cs="Arial"/>
                  <w:sz w:val="24"/>
                  <w:lang w:val="en-US"/>
                </w:rPr>
                <m:t>cos</m:t>
              </m:r>
            </m:fName>
            <m:e>
              <m:r>
                <m:rPr>
                  <m:sty m:val="p"/>
                </m:rPr>
                <w:rPr>
                  <w:rFonts w:ascii="Cambria Math" w:hAnsi="Cambria Math" w:cs="Arial"/>
                  <w:sz w:val="24"/>
                  <w:lang w:val="en-US"/>
                </w:rPr>
                <m:t>θ</m:t>
              </m:r>
            </m:e>
          </m:func>
          <m:r>
            <m:rPr>
              <m:sty m:val="p"/>
            </m:rPr>
            <w:rPr>
              <w:rFonts w:ascii="Cambria Math" w:hAnsi="Cambria Math" w:cs="Arial"/>
              <w:sz w:val="24"/>
              <w:lang w:val="en-US"/>
            </w:rPr>
            <m:t xml:space="preserve">= </m:t>
          </m:r>
          <m:f>
            <m:fPr>
              <m:ctrlPr>
                <w:rPr>
                  <w:rFonts w:ascii="Cambria Math" w:hAnsi="Cambria Math" w:cs="Arial"/>
                  <w:i/>
                  <w:sz w:val="24"/>
                  <w:lang w:val="en-US"/>
                </w:rPr>
              </m:ctrlPr>
            </m:fPr>
            <m:num>
              <m:r>
                <m:rPr>
                  <m:sty m:val="p"/>
                </m:rPr>
                <w:rPr>
                  <w:rFonts w:ascii="Cambria Math" w:hAnsi="Cambria Math" w:cs="Arial"/>
                  <w:sz w:val="24"/>
                  <w:lang w:val="en-US"/>
                </w:rPr>
                <m:t>Kλ</m:t>
              </m:r>
            </m:num>
            <m:den>
              <m:r>
                <m:rPr>
                  <m:sty m:val="p"/>
                </m:rPr>
                <w:rPr>
                  <w:rFonts w:ascii="Cambria Math" w:hAnsi="Cambria Math" w:cs="Arial"/>
                  <w:sz w:val="24"/>
                  <w:lang w:val="en-US"/>
                </w:rPr>
                <m:t>D</m:t>
              </m:r>
            </m:den>
          </m:f>
          <m:r>
            <m:rPr>
              <m:sty m:val="p"/>
            </m:rPr>
            <w:rPr>
              <w:rFonts w:ascii="Cambria Math" w:hAnsi="Cambria Math" w:cs="Arial"/>
              <w:sz w:val="24"/>
              <w:lang w:val="en-US"/>
            </w:rPr>
            <m:t>+4ε</m:t>
          </m:r>
          <m:func>
            <m:funcPr>
              <m:ctrlPr>
                <w:rPr>
                  <w:rFonts w:ascii="Cambria Math" w:hAnsi="Cambria Math" w:cs="Arial"/>
                  <w:i/>
                  <w:sz w:val="24"/>
                  <w:lang w:val="en-US"/>
                </w:rPr>
              </m:ctrlPr>
            </m:funcPr>
            <m:fName>
              <m:r>
                <m:rPr>
                  <m:sty m:val="p"/>
                </m:rPr>
                <w:rPr>
                  <w:rFonts w:ascii="Cambria Math" w:hAnsi="Cambria Math" w:cs="Arial"/>
                  <w:sz w:val="24"/>
                  <w:lang w:val="en-US"/>
                </w:rPr>
                <m:t>sin</m:t>
              </m:r>
            </m:fName>
            <m:e>
              <m:r>
                <m:rPr>
                  <m:sty m:val="p"/>
                </m:rPr>
                <w:rPr>
                  <w:rFonts w:ascii="Cambria Math" w:hAnsi="Cambria Math" w:cs="Arial"/>
                  <w:sz w:val="24"/>
                  <w:lang w:val="en-US"/>
                </w:rPr>
                <m:t>θ</m:t>
              </m:r>
            </m:e>
          </m:func>
        </m:oMath>
      </m:oMathPara>
    </w:p>
    <w:p w14:paraId="653711A6" w14:textId="77777777" w:rsidR="00007F6C" w:rsidRPr="00896683" w:rsidRDefault="00007F6C" w:rsidP="00007F6C">
      <w:pPr>
        <w:keepNext/>
        <w:jc w:val="both"/>
        <w:rPr>
          <w:rFonts w:ascii="Arial" w:hAnsi="Arial" w:cs="Arial"/>
          <w:sz w:val="24"/>
          <w:lang w:val="en-US"/>
        </w:rPr>
      </w:pPr>
      <m:oMathPara>
        <m:oMath>
          <m:r>
            <m:rPr>
              <m:sty m:val="p"/>
            </m:rPr>
            <w:rPr>
              <w:rFonts w:ascii="Cambria Math" w:hAnsi="Cambria Math" w:cs="Arial"/>
              <w:sz w:val="24"/>
              <w:lang w:val="en-US"/>
            </w:rPr>
            <m:t xml:space="preserve">D= </m:t>
          </m:r>
          <m:f>
            <m:fPr>
              <m:ctrlPr>
                <w:rPr>
                  <w:rFonts w:ascii="Cambria Math" w:hAnsi="Cambria Math" w:cs="Arial"/>
                  <w:i/>
                  <w:sz w:val="24"/>
                  <w:lang w:val="en-US"/>
                </w:rPr>
              </m:ctrlPr>
            </m:fPr>
            <m:num>
              <m:r>
                <m:rPr>
                  <m:sty m:val="p"/>
                </m:rPr>
                <w:rPr>
                  <w:rFonts w:ascii="Cambria Math" w:hAnsi="Cambria Math" w:cs="Arial"/>
                  <w:sz w:val="24"/>
                  <w:lang w:val="en-US"/>
                </w:rPr>
                <m:t>Kλ</m:t>
              </m:r>
            </m:num>
            <m:den>
              <m:r>
                <m:rPr>
                  <m:sty m:val="p"/>
                </m:rPr>
                <w:rPr>
                  <w:rFonts w:ascii="Cambria Math" w:hAnsi="Cambria Math" w:cs="Arial"/>
                  <w:sz w:val="24"/>
                  <w:lang w:val="en-US"/>
                </w:rPr>
                <m:t>β</m:t>
              </m:r>
              <m:func>
                <m:funcPr>
                  <m:ctrlPr>
                    <w:rPr>
                      <w:rFonts w:ascii="Cambria Math" w:hAnsi="Cambria Math" w:cs="Arial"/>
                      <w:i/>
                      <w:sz w:val="24"/>
                      <w:lang w:val="en-US"/>
                    </w:rPr>
                  </m:ctrlPr>
                </m:funcPr>
                <m:fName>
                  <m:r>
                    <m:rPr>
                      <m:sty m:val="p"/>
                    </m:rPr>
                    <w:rPr>
                      <w:rFonts w:ascii="Cambria Math" w:hAnsi="Cambria Math" w:cs="Arial"/>
                      <w:sz w:val="24"/>
                      <w:lang w:val="en-US"/>
                    </w:rPr>
                    <m:t>cos</m:t>
                  </m:r>
                </m:fName>
                <m:e>
                  <m:r>
                    <m:rPr>
                      <m:sty m:val="p"/>
                    </m:rPr>
                    <w:rPr>
                      <w:rFonts w:ascii="Cambria Math" w:hAnsi="Cambria Math" w:cs="Arial"/>
                      <w:sz w:val="24"/>
                      <w:lang w:val="en-US"/>
                    </w:rPr>
                    <m:t>θ</m:t>
                  </m:r>
                </m:e>
              </m:func>
              <m:r>
                <m:rPr>
                  <m:sty m:val="p"/>
                </m:rPr>
                <w:rPr>
                  <w:rFonts w:ascii="Cambria Math" w:hAnsi="Cambria Math" w:cs="Arial"/>
                  <w:sz w:val="24"/>
                  <w:lang w:val="en-US"/>
                </w:rPr>
                <m:t>-4ε</m:t>
              </m:r>
              <m:func>
                <m:funcPr>
                  <m:ctrlPr>
                    <w:rPr>
                      <w:rFonts w:ascii="Cambria Math" w:hAnsi="Cambria Math" w:cs="Arial"/>
                      <w:i/>
                      <w:sz w:val="24"/>
                      <w:lang w:val="en-US"/>
                    </w:rPr>
                  </m:ctrlPr>
                </m:funcPr>
                <m:fName>
                  <m:r>
                    <m:rPr>
                      <m:sty m:val="p"/>
                    </m:rPr>
                    <w:rPr>
                      <w:rFonts w:ascii="Cambria Math" w:hAnsi="Cambria Math" w:cs="Arial"/>
                      <w:sz w:val="24"/>
                      <w:lang w:val="en-US"/>
                    </w:rPr>
                    <m:t>sin</m:t>
                  </m:r>
                </m:fName>
                <m:e>
                  <m:r>
                    <m:rPr>
                      <m:sty m:val="p"/>
                    </m:rPr>
                    <w:rPr>
                      <w:rFonts w:ascii="Cambria Math" w:hAnsi="Cambria Math" w:cs="Arial"/>
                      <w:sz w:val="24"/>
                      <w:lang w:val="en-US"/>
                    </w:rPr>
                    <m:t>θ</m:t>
                  </m:r>
                </m:e>
              </m:func>
            </m:den>
          </m:f>
        </m:oMath>
      </m:oMathPara>
    </w:p>
    <w:p w14:paraId="0CACE978" w14:textId="22B23239" w:rsidR="00007F6C" w:rsidRPr="006364CE" w:rsidRDefault="00007F6C" w:rsidP="00007F6C">
      <w:pPr>
        <w:pStyle w:val="Caption"/>
        <w:jc w:val="right"/>
        <w:rPr>
          <w:i w:val="0"/>
          <w:iCs w:val="0"/>
          <w:color w:val="auto"/>
          <w:sz w:val="22"/>
          <w:szCs w:val="22"/>
        </w:rPr>
      </w:pPr>
      <w:bookmarkStart w:id="237" w:name="_Ref51162246"/>
      <w:bookmarkStart w:id="238" w:name="_Ref38897297"/>
      <w:bookmarkStart w:id="239" w:name="_Ref39062870"/>
      <w:r w:rsidRPr="006364CE">
        <w:rPr>
          <w:i w:val="0"/>
          <w:iCs w:val="0"/>
          <w:color w:val="auto"/>
          <w:sz w:val="22"/>
          <w:szCs w:val="22"/>
        </w:rPr>
        <w:t>Equation 3.</w:t>
      </w:r>
      <w:r w:rsidRPr="006364CE">
        <w:rPr>
          <w:i w:val="0"/>
          <w:iCs w:val="0"/>
          <w:color w:val="auto"/>
          <w:sz w:val="22"/>
          <w:szCs w:val="22"/>
        </w:rPr>
        <w:fldChar w:fldCharType="begin"/>
      </w:r>
      <w:r w:rsidRPr="006364CE">
        <w:rPr>
          <w:i w:val="0"/>
          <w:iCs w:val="0"/>
          <w:color w:val="auto"/>
          <w:sz w:val="22"/>
          <w:szCs w:val="22"/>
        </w:rPr>
        <w:instrText xml:space="preserve"> SEQ Equation \* ARABIC </w:instrText>
      </w:r>
      <w:r w:rsidRPr="006364CE">
        <w:rPr>
          <w:i w:val="0"/>
          <w:iCs w:val="0"/>
          <w:color w:val="auto"/>
          <w:sz w:val="22"/>
          <w:szCs w:val="22"/>
        </w:rPr>
        <w:fldChar w:fldCharType="separate"/>
      </w:r>
      <w:r w:rsidR="00315BF8">
        <w:rPr>
          <w:i w:val="0"/>
          <w:iCs w:val="0"/>
          <w:noProof/>
          <w:color w:val="auto"/>
          <w:sz w:val="22"/>
          <w:szCs w:val="22"/>
        </w:rPr>
        <w:t>4</w:t>
      </w:r>
      <w:r w:rsidRPr="006364CE">
        <w:rPr>
          <w:i w:val="0"/>
          <w:iCs w:val="0"/>
          <w:color w:val="auto"/>
          <w:sz w:val="22"/>
          <w:szCs w:val="22"/>
        </w:rPr>
        <w:fldChar w:fldCharType="end"/>
      </w:r>
      <w:bookmarkEnd w:id="237"/>
    </w:p>
    <w:bookmarkEnd w:id="238"/>
    <w:bookmarkEnd w:id="239"/>
    <w:p w14:paraId="6085641A" w14:textId="77777777" w:rsidR="00007F6C" w:rsidRPr="00CF4E50" w:rsidRDefault="00007F6C" w:rsidP="00007F6C">
      <w:pPr>
        <w:jc w:val="both"/>
      </w:pPr>
      <w:r w:rsidRPr="00896683">
        <w:t xml:space="preserve">The Debye-Scherrer calculation was used to calculate the crystallite lengths of the nickel </w:t>
      </w:r>
      <w:r>
        <w:t xml:space="preserve">particles </w:t>
      </w:r>
      <w:r w:rsidRPr="00896683">
        <w:t>present on the fuel electrode samples. These were calculated in Microsoft Excel 2016.</w:t>
      </w:r>
      <w:r w:rsidRPr="00210A7B">
        <w:t xml:space="preserve"> </w:t>
      </w:r>
    </w:p>
    <w:p w14:paraId="785E2C88" w14:textId="77777777" w:rsidR="00007F6C" w:rsidRDefault="00007F6C" w:rsidP="00007F6C">
      <w:pPr>
        <w:pStyle w:val="Heading4"/>
        <w:rPr>
          <w:rFonts w:asciiTheme="minorHAnsi" w:hAnsiTheme="minorHAnsi" w:cs="Arial"/>
        </w:rPr>
      </w:pPr>
      <w:r>
        <w:rPr>
          <w:rFonts w:asciiTheme="minorHAnsi" w:hAnsiTheme="minorHAnsi" w:cs="Arial"/>
        </w:rPr>
        <w:t>3.3.1.2 Wide Angle X-ray Scattering (WAXS)</w:t>
      </w:r>
    </w:p>
    <w:p w14:paraId="4FDF5D9C" w14:textId="083E0203" w:rsidR="00007F6C" w:rsidRDefault="00007F6C" w:rsidP="00007F6C">
      <w:pPr>
        <w:jc w:val="both"/>
        <w:rPr>
          <w:rFonts w:cs="Arial"/>
        </w:rPr>
      </w:pPr>
      <w:r>
        <w:rPr>
          <w:rFonts w:cs="Arial"/>
        </w:rPr>
        <w:t xml:space="preserve">The </w:t>
      </w:r>
      <w:proofErr w:type="spellStart"/>
      <w:r>
        <w:rPr>
          <w:rFonts w:cs="Arial"/>
        </w:rPr>
        <w:t>NiO</w:t>
      </w:r>
      <w:proofErr w:type="spellEnd"/>
      <w:r>
        <w:rPr>
          <w:rFonts w:cs="Arial"/>
        </w:rPr>
        <w:t>-YSZ scaffold layers of two air dried and N</w:t>
      </w:r>
      <w:r>
        <w:rPr>
          <w:rFonts w:cs="Arial"/>
          <w:vertAlign w:val="subscript"/>
        </w:rPr>
        <w:t>2</w:t>
      </w:r>
      <w:r>
        <w:rPr>
          <w:rFonts w:cs="Arial"/>
        </w:rPr>
        <w:t xml:space="preserve"> dried samples were scraped off their respective pellets and sealed in scotch tape. The powders were mounted on an aluminium plate and scanned at the Advanced Photon Source Argonne National Laboratory 9-ID beamline using) monochromatic radiation from a Si crystal (220) (wavelength </w:t>
      </w:r>
      <w:r>
        <w:rPr>
          <w:rFonts w:ascii="Times New Roman" w:hAnsi="Times New Roman" w:cs="Times New Roman"/>
        </w:rPr>
        <w:t>λ</w:t>
      </w:r>
      <w:r>
        <w:rPr>
          <w:rFonts w:cs="Arial"/>
        </w:rPr>
        <w:t xml:space="preserve">, 0.58 Å) for a 4-minute scan time </w:t>
      </w:r>
      <w:r>
        <w:rPr>
          <w:rFonts w:cs="Arial"/>
        </w:rPr>
        <w:fldChar w:fldCharType="begin" w:fldLock="1"/>
      </w:r>
      <w:r w:rsidR="00D80A5D">
        <w:rPr>
          <w:rFonts w:cs="Arial"/>
        </w:rPr>
        <w:instrText>ADDIN CSL_CITATION {"citationItems":[{"id":"ITEM-1","itemData":{"DOI":"10.1107/S160057671800643X","ISSN":"16005767","abstract":"Following many years of evolutionary development, first at the National Synchrotron Light Source, Brookhaven National Laboratory, and then at the Advanced Photon Source (APS), Argonne National Laboratory, the APS ultrasmall- angle X-ray scattering (USAXS) facility has been transformed by several new developments. These comprise a conversion to higher-order crystal optics and higher X-ray energies as the standard operating mode, rapid fly scan measurements also as a standard operational mode, automated contiguous pinhole small-angle X-ray scattering (SAXS) measurements at intermediate scattering vectors, and associated rapid wide-angle X-ray scattering (WAXS) measurements for X-ray diffraction without disturbing the sample geometry. With each mode using the USAXS incident beam optics upstream of the sample, USAXS/SAXS/WAXS measurements can now be made within 5 min, allowing in situ and operando measurement capabilities with great flexibility under a wide range of sample conditions. These developments are described, together with examples of their application to investigate materials phenomena of technological importance. Developments of two novel USAXS applications, USAXSbased X-ray photon correlation spectroscopy and USAXS imaging, are also briefly reviewed.","author":[{"dropping-particle":"","family":"Ilavsky","given":"Jan","non-dropping-particle":"","parse-names":false,"suffix":""},{"dropping-particle":"","family":"Zhang","given":"Fan","non-dropping-particle":"","parse-names":false,"suffix":""},{"dropping-particle":"","family":"Andrews","given":"Ross N.","non-dropping-particle":"","parse-names":false,"suffix":""},{"dropping-particle":"","family":"Kuzmenko","given":"Ivan","non-dropping-particle":"","parse-names":false,"suffix":""},{"dropping-particle":"","family":"Jemian","given":"Pete R.","non-dropping-particle":"","parse-names":false,"suffix":""},{"dropping-particle":"","family":"Levine","given":"Lyle E.","non-dropping-particle":"","parse-names":false,"suffix":""},{"dropping-particle":"","family":"Allen","given":"Andrew J.","non-dropping-particle":"","parse-names":false,"suffix":""}],"container-title":"Journal of Applied Crystallography","id":"ITEM-1","issued":{"date-parts":[["2018"]]},"page":"867-882","title":"Development of combined microstructure and structure characterization facility for in situ and operando studies at the advanced photon source","type":"article-journal","volume":"51"},"uris":["http://www.mendeley.com/documents/?uuid=0dd4339a-27a1-4f70-9469-8eb5268ae9f0","http://www.mendeley.com/documents/?uuid=2a04065c-a41e-4faf-8b75-1f68f4e8f6b6"]}],"mendeley":{"formattedCitation":"[332]","plainTextFormattedCitation":"[332]","previouslyFormattedCitation":"[332]"},"properties":{"noteIndex":0},"schema":"https://github.com/citation-style-language/schema/raw/master/csl-citation.json"}</w:instrText>
      </w:r>
      <w:r>
        <w:rPr>
          <w:rFonts w:cs="Arial"/>
        </w:rPr>
        <w:fldChar w:fldCharType="separate"/>
      </w:r>
      <w:r w:rsidR="006C586A" w:rsidRPr="006C586A">
        <w:rPr>
          <w:rFonts w:cs="Arial"/>
          <w:noProof/>
        </w:rPr>
        <w:t>[332]</w:t>
      </w:r>
      <w:r>
        <w:rPr>
          <w:rFonts w:cs="Arial"/>
        </w:rPr>
        <w:fldChar w:fldCharType="end"/>
      </w:r>
      <w:r>
        <w:rPr>
          <w:rFonts w:cs="Arial"/>
        </w:rPr>
        <w:t>. Wide-Angle X-ray Diffraction patterns between diffraction angles Q, of 1-6 Å</w:t>
      </w:r>
      <w:r>
        <w:rPr>
          <w:rFonts w:cs="Arial"/>
          <w:vertAlign w:val="superscript"/>
        </w:rPr>
        <w:t>-1</w:t>
      </w:r>
      <w:r>
        <w:rPr>
          <w:rFonts w:cs="Arial"/>
        </w:rPr>
        <w:t xml:space="preserve"> were captured using the 300 mm WAXS camera (</w:t>
      </w:r>
      <w:r>
        <w:rPr>
          <w:rFonts w:cs="Arial"/>
        </w:rPr>
        <w:fldChar w:fldCharType="begin"/>
      </w:r>
      <w:r>
        <w:rPr>
          <w:rFonts w:cs="Arial"/>
        </w:rPr>
        <w:instrText xml:space="preserve"> REF _Ref64629293 \h </w:instrText>
      </w:r>
      <w:r>
        <w:rPr>
          <w:rFonts w:cs="Arial"/>
        </w:rPr>
      </w:r>
      <w:r>
        <w:rPr>
          <w:rFonts w:cs="Arial"/>
        </w:rPr>
        <w:fldChar w:fldCharType="separate"/>
      </w:r>
      <w:r>
        <w:t>Figure 3.</w:t>
      </w:r>
      <w:r>
        <w:rPr>
          <w:noProof/>
        </w:rPr>
        <w:t>15</w:t>
      </w:r>
      <w:r>
        <w:rPr>
          <w:rFonts w:cs="Arial"/>
        </w:rPr>
        <w:fldChar w:fldCharType="end"/>
      </w:r>
      <w:r>
        <w:rPr>
          <w:rFonts w:cs="Arial"/>
        </w:rPr>
        <w:t>). The data was collected by the 9-ID beamline scientists using the sample mail-in program.</w:t>
      </w:r>
    </w:p>
    <w:p w14:paraId="4716FB6B" w14:textId="77777777" w:rsidR="00007F6C" w:rsidRDefault="00007F6C" w:rsidP="00007F6C">
      <w:pPr>
        <w:keepNext/>
        <w:jc w:val="both"/>
      </w:pPr>
      <w:r>
        <w:rPr>
          <w:rFonts w:cs="Arial"/>
          <w:noProof/>
        </w:rPr>
        <w:lastRenderedPageBreak/>
        <w:drawing>
          <wp:inline distT="0" distB="0" distL="0" distR="0" wp14:anchorId="41A6F035" wp14:editId="3C5A09DB">
            <wp:extent cx="5731510" cy="1200785"/>
            <wp:effectExtent l="0" t="0" r="0" b="0"/>
            <wp:docPr id="453" name="Picture 45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descr="Diagram&#10;&#10;Description automatically generated with medium confidenc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1510" cy="1200785"/>
                    </a:xfrm>
                    <a:prstGeom prst="rect">
                      <a:avLst/>
                    </a:prstGeom>
                  </pic:spPr>
                </pic:pic>
              </a:graphicData>
            </a:graphic>
          </wp:inline>
        </w:drawing>
      </w:r>
    </w:p>
    <w:p w14:paraId="57B8183A" w14:textId="62FE3D88" w:rsidR="00007F6C" w:rsidRDefault="00007F6C" w:rsidP="00007F6C">
      <w:pPr>
        <w:pStyle w:val="Caption"/>
        <w:jc w:val="both"/>
        <w:rPr>
          <w:rFonts w:cs="Arial"/>
        </w:rPr>
      </w:pPr>
      <w:bookmarkStart w:id="240" w:name="_Ref64629293"/>
      <w:bookmarkStart w:id="241" w:name="_Toc69114960"/>
      <w:r>
        <w:t>Figure 3.</w:t>
      </w:r>
      <w:r w:rsidR="00B51F53">
        <w:fldChar w:fldCharType="begin"/>
      </w:r>
      <w:r w:rsidR="00B51F53">
        <w:instrText xml:space="preserve"> SEQ Figure \* ARABIC </w:instrText>
      </w:r>
      <w:r w:rsidR="00B51F53">
        <w:fldChar w:fldCharType="separate"/>
      </w:r>
      <w:r w:rsidR="009858F1">
        <w:rPr>
          <w:noProof/>
        </w:rPr>
        <w:t>15</w:t>
      </w:r>
      <w:r w:rsidR="00B51F53">
        <w:rPr>
          <w:noProof/>
        </w:rPr>
        <w:fldChar w:fldCharType="end"/>
      </w:r>
      <w:bookmarkEnd w:id="240"/>
      <w:r>
        <w:t xml:space="preserve">: Top-down diagram of the Wide-Angle X-ray Scattering unit at the 9-ID beamline at ANL. The monochromatic radiation from the Si (220) crystal is focussed using a collimator. Adapted from </w:t>
      </w:r>
      <w:proofErr w:type="spellStart"/>
      <w:r>
        <w:t>Ilavsky</w:t>
      </w:r>
      <w:proofErr w:type="spellEnd"/>
      <w:r>
        <w:t xml:space="preserve"> et al </w:t>
      </w:r>
      <w:r>
        <w:fldChar w:fldCharType="begin" w:fldLock="1"/>
      </w:r>
      <w:r w:rsidR="00D80A5D">
        <w:instrText>ADDIN CSL_CITATION {"citationItems":[{"id":"ITEM-1","itemData":{"DOI":"10.1107/S160057671800643X","ISSN":"16005767","abstract":"Following many years of evolutionary development, first at the National Synchrotron Light Source, Brookhaven National Laboratory, and then at the Advanced Photon Source (APS), Argonne National Laboratory, the APS ultrasmall- angle X-ray scattering (USAXS) facility has been transformed by several new developments. These comprise a conversion to higher-order crystal optics and higher X-ray energies as the standard operating mode, rapid fly scan measurements also as a standard operational mode, automated contiguous pinhole small-angle X-ray scattering (SAXS) measurements at intermediate scattering vectors, and associated rapid wide-angle X-ray scattering (WAXS) measurements for X-ray diffraction without disturbing the sample geometry. With each mode using the USAXS incident beam optics upstream of the sample, USAXS/SAXS/WAXS measurements can now be made within 5 min, allowing in situ and operando measurement capabilities with great flexibility under a wide range of sample conditions. These developments are described, together with examples of their application to investigate materials phenomena of technological importance. Developments of two novel USAXS applications, USAXSbased X-ray photon correlation spectroscopy and USAXS imaging, are also briefly reviewed.","author":[{"dropping-particle":"","family":"Ilavsky","given":"Jan","non-dropping-particle":"","parse-names":false,"suffix":""},{"dropping-particle":"","family":"Zhang","given":"Fan","non-dropping-particle":"","parse-names":false,"suffix":""},{"dropping-particle":"","family":"Andrews","given":"Ross N.","non-dropping-particle":"","parse-names":false,"suffix":""},{"dropping-particle":"","family":"Kuzmenko","given":"Ivan","non-dropping-particle":"","parse-names":false,"suffix":""},{"dropping-particle":"","family":"Jemian","given":"Pete R.","non-dropping-particle":"","parse-names":false,"suffix":""},{"dropping-particle":"","family":"Levine","given":"Lyle E.","non-dropping-particle":"","parse-names":false,"suffix":""},{"dropping-particle":"","family":"Allen","given":"Andrew J.","non-dropping-particle":"","parse-names":false,"suffix":""}],"container-title":"Journal of Applied Crystallography","id":"ITEM-1","issued":{"date-parts":[["2018"]]},"page":"867-882","title":"Development of combined microstructure and structure characterization facility for in situ and operando studies at the advanced photon source","type":"article-journal","volume":"51"},"uris":["http://www.mendeley.com/documents/?uuid=2a04065c-a41e-4faf-8b75-1f68f4e8f6b6","http://www.mendeley.com/documents/?uuid=0dd4339a-27a1-4f70-9469-8eb5268ae9f0"]}],"mendeley":{"formattedCitation":"[332]","plainTextFormattedCitation":"[332]","previouslyFormattedCitation":"[332]"},"properties":{"noteIndex":0},"schema":"https://github.com/citation-style-language/schema/raw/master/csl-citation.json"}</w:instrText>
      </w:r>
      <w:r>
        <w:fldChar w:fldCharType="separate"/>
      </w:r>
      <w:r w:rsidR="006C586A" w:rsidRPr="006C586A">
        <w:rPr>
          <w:i w:val="0"/>
          <w:noProof/>
        </w:rPr>
        <w:t>[332]</w:t>
      </w:r>
      <w:bookmarkEnd w:id="241"/>
      <w:r>
        <w:fldChar w:fldCharType="end"/>
      </w:r>
    </w:p>
    <w:p w14:paraId="4C86598A" w14:textId="54893D76" w:rsidR="00007F6C" w:rsidRPr="003A3027" w:rsidRDefault="00007F6C" w:rsidP="00007F6C">
      <w:pPr>
        <w:jc w:val="both"/>
        <w:rPr>
          <w:rFonts w:cstheme="minorHAnsi"/>
        </w:rPr>
      </w:pPr>
      <w:r w:rsidRPr="00BD589F">
        <w:rPr>
          <w:rFonts w:cstheme="minorHAnsi"/>
        </w:rPr>
        <w:t xml:space="preserve">The incident </w:t>
      </w:r>
      <w:r>
        <w:rPr>
          <w:rFonts w:cstheme="minorHAnsi"/>
        </w:rPr>
        <w:t>photon beam from the APS beamline is focussed through t</w:t>
      </w:r>
      <w:r w:rsidRPr="00BD589F">
        <w:rPr>
          <w:rFonts w:cstheme="minorHAnsi"/>
        </w:rPr>
        <w:t xml:space="preserve">he Si crystal </w:t>
      </w:r>
      <w:r>
        <w:rPr>
          <w:rFonts w:cstheme="minorHAnsi"/>
        </w:rPr>
        <w:t>and</w:t>
      </w:r>
      <w:r w:rsidRPr="00BD589F">
        <w:rPr>
          <w:rFonts w:cstheme="minorHAnsi"/>
        </w:rPr>
        <w:t xml:space="preserve"> mono</w:t>
      </w:r>
      <w:r>
        <w:rPr>
          <w:rFonts w:cstheme="minorHAnsi"/>
        </w:rPr>
        <w:t>-</w:t>
      </w:r>
      <w:r w:rsidRPr="00BD589F">
        <w:rPr>
          <w:rFonts w:cstheme="minorHAnsi"/>
        </w:rPr>
        <w:t>chromated with optics to the (220) direction in the collimating stage to produce a radiation λ, of 0.58 Å.</w:t>
      </w:r>
      <w:r>
        <w:rPr>
          <w:rFonts w:cstheme="minorHAnsi"/>
        </w:rPr>
        <w:t xml:space="preserve"> These X-rays pass through the sample and undergo</w:t>
      </w:r>
      <w:r w:rsidRPr="00BD589F">
        <w:rPr>
          <w:rFonts w:cstheme="minorHAnsi"/>
        </w:rPr>
        <w:t xml:space="preserve"> </w:t>
      </w:r>
      <w:r>
        <w:rPr>
          <w:rFonts w:cstheme="minorHAnsi"/>
        </w:rPr>
        <w:t xml:space="preserve">Bragg diffraction producing interference patterns which can be analysed in the same way as X-ray powder diffraction </w:t>
      </w:r>
      <w:r>
        <w:rPr>
          <w:rFonts w:cstheme="minorHAnsi"/>
        </w:rPr>
        <w:fldChar w:fldCharType="begin" w:fldLock="1"/>
      </w:r>
      <w:r w:rsidR="00D80A5D">
        <w:rPr>
          <w:rFonts w:cstheme="minorHAnsi"/>
        </w:rPr>
        <w:instrText>ADDIN CSL_CITATION {"citationItems":[{"id":"ITEM-1","itemData":{"DOI":"10.1002/(sici)1099-0739(200004)14:4&lt;227::aid-aoc949&gt;3.0.co;2-f","ISSN":"0268-2605","author":[{"dropping-particle":"","family":"West","given":"Anthony R.","non-dropping-particle":"","parse-names":false,"suffix":""}],"container-title":"Applied Organometallic Chemistry","edition":"2nd","id":"ITEM-1","issue":"4","issued":{"date-parts":[["2000"]]},"number-of-pages":"227-228","publisher":"Wiley-Blackwell","title":"Basic Solid State Chemistry","type":"book","volume":"14"},"uris":["http://www.mendeley.com/documents/?uuid=cfc7d172-f48b-4960-bd9a-272da03540f8"]}],"mendeley":{"formattedCitation":"[294]","plainTextFormattedCitation":"[294]","previouslyFormattedCitation":"[294]"},"properties":{"noteIndex":0},"schema":"https://github.com/citation-style-language/schema/raw/master/csl-citation.json"}</w:instrText>
      </w:r>
      <w:r>
        <w:rPr>
          <w:rFonts w:cstheme="minorHAnsi"/>
        </w:rPr>
        <w:fldChar w:fldCharType="separate"/>
      </w:r>
      <w:r w:rsidR="006C586A" w:rsidRPr="006C586A">
        <w:rPr>
          <w:rFonts w:cstheme="minorHAnsi"/>
          <w:noProof/>
        </w:rPr>
        <w:t>[294]</w:t>
      </w:r>
      <w:r>
        <w:rPr>
          <w:rFonts w:cstheme="minorHAnsi"/>
        </w:rPr>
        <w:fldChar w:fldCharType="end"/>
      </w:r>
      <w:r>
        <w:rPr>
          <w:rFonts w:cstheme="minorHAnsi"/>
        </w:rPr>
        <w:t>.</w:t>
      </w:r>
    </w:p>
    <w:p w14:paraId="5925CF42" w14:textId="77777777" w:rsidR="00007F6C" w:rsidRDefault="00007F6C" w:rsidP="00007F6C">
      <w:pPr>
        <w:pStyle w:val="Heading3"/>
        <w:rPr>
          <w:rFonts w:asciiTheme="minorHAnsi" w:hAnsiTheme="minorHAnsi" w:cs="Arial"/>
        </w:rPr>
      </w:pPr>
      <w:bookmarkStart w:id="242" w:name="_Toc69129390"/>
      <w:r>
        <w:rPr>
          <w:rFonts w:asciiTheme="minorHAnsi" w:hAnsiTheme="minorHAnsi" w:cs="Arial"/>
        </w:rPr>
        <w:t>3.3.2 Scanning Electron Microscopy</w:t>
      </w:r>
      <w:bookmarkEnd w:id="242"/>
    </w:p>
    <w:p w14:paraId="1A8D05CC" w14:textId="1DA46850" w:rsidR="00007F6C" w:rsidRDefault="00007F6C" w:rsidP="00007F6C">
      <w:pPr>
        <w:jc w:val="both"/>
      </w:pPr>
      <w:r>
        <w:t xml:space="preserve">Scanning electron microscopy utilises a raster-scan motion with an electron beam to image the microstructure of sample. First established in 1937 </w:t>
      </w:r>
      <w:r w:rsidRPr="00B663F1">
        <w:t xml:space="preserve">by </w:t>
      </w:r>
      <w:r w:rsidRPr="00B663F1">
        <w:rPr>
          <w:i/>
        </w:rPr>
        <w:t xml:space="preserve">Von </w:t>
      </w:r>
      <w:proofErr w:type="spellStart"/>
      <w:r w:rsidRPr="00B663F1">
        <w:rPr>
          <w:i/>
        </w:rPr>
        <w:t>Ardenne</w:t>
      </w:r>
      <w:proofErr w:type="spellEnd"/>
      <w:r w:rsidRPr="00B663F1">
        <w:t xml:space="preserve"> this</w:t>
      </w:r>
      <w:r>
        <w:t xml:space="preserve"> characterisation technique can produce 3D images of the surface of a sample </w:t>
      </w:r>
      <w:r>
        <w:fldChar w:fldCharType="begin" w:fldLock="1"/>
      </w:r>
      <w:r w:rsidR="00D80A5D">
        <w:instrText>ADDIN CSL_CITATION {"citationItems":[{"id":"ITEM-1","itemData":{"ISBN":"9781786340832","author":[{"dropping-particle":"","family":"Prins","given":"R","non-dropping-particle":"","parse-names":false,"suffix":""},{"dropping-particle":"","family":"Wang","given":"A","non-dropping-particle":"","parse-names":false,"suffix":""},{"dropping-particle":"","family":"Li","given":"X","non-dropping-particle":"","parse-names":false,"suffix":""}],"collection-title":"Advanced Tetxtbooks in Chemistry","id":"ITEM-1","issued":{"date-parts":[["2016"]]},"publisher":"World Scientific Publishing Company","title":"Introduction to Heterogeneous Catalysis","type":"book"},"uris":["http://www.mendeley.com/documents/?uuid=791c55bd-09cb-4693-a698-17d41c597b23"]}],"mendeley":{"formattedCitation":"[319]","plainTextFormattedCitation":"[319]","previouslyFormattedCitation":"[319]"},"properties":{"noteIndex":0},"schema":"https://github.com/citation-style-language/schema/raw/master/csl-citation.json"}</w:instrText>
      </w:r>
      <w:r>
        <w:fldChar w:fldCharType="separate"/>
      </w:r>
      <w:r w:rsidR="006C586A" w:rsidRPr="006C586A">
        <w:rPr>
          <w:noProof/>
        </w:rPr>
        <w:t>[319]</w:t>
      </w:r>
      <w:r>
        <w:fldChar w:fldCharType="end"/>
      </w:r>
      <w:r>
        <w:t>.The nascent electron beam is produced by thermionic emission using either a tungsten filament or a field emission gun. The beam energy can be varied between 0.2-40 keV using an electric field. The stream of electrons is firstly focussed to an outer diameter of under 5 nm using a pair of condenser lens before being diverted using deflector coils to the sample.</w:t>
      </w:r>
    </w:p>
    <w:p w14:paraId="2F242F63" w14:textId="0C07ED02" w:rsidR="00007F6C" w:rsidRDefault="00007F6C" w:rsidP="00007F6C">
      <w:pPr>
        <w:jc w:val="both"/>
      </w:pPr>
      <w:r>
        <w:t>The electrons collide with the sample leading to several different collisions dependent on their energy. The raster motion and thin electron beam result in a rectangular field of view.</w:t>
      </w:r>
      <w:r w:rsidRPr="00600E38">
        <w:t xml:space="preserve"> </w:t>
      </w:r>
      <w:r>
        <w:t>From the initial point of contact with the electron beam a lachrymiform volume of the sample interacts with the electrons (</w:t>
      </w:r>
      <w:r>
        <w:fldChar w:fldCharType="begin"/>
      </w:r>
      <w:r>
        <w:instrText xml:space="preserve"> REF _Ref39668497 \h  \* MERGEFORMAT </w:instrText>
      </w:r>
      <w:r>
        <w:fldChar w:fldCharType="separate"/>
      </w:r>
      <w:r w:rsidR="00791418">
        <w:t>Figure 3.16</w:t>
      </w:r>
      <w:r>
        <w:fldChar w:fldCharType="end"/>
      </w:r>
      <w:r>
        <w:t xml:space="preserve">). </w:t>
      </w:r>
    </w:p>
    <w:p w14:paraId="1A3ABF5C" w14:textId="77777777" w:rsidR="00007F6C" w:rsidRDefault="00007F6C" w:rsidP="00007F6C">
      <w:pPr>
        <w:keepNext/>
        <w:jc w:val="center"/>
      </w:pPr>
      <w:r>
        <w:rPr>
          <w:noProof/>
          <w:color w:val="FFC000"/>
        </w:rPr>
        <w:drawing>
          <wp:inline distT="0" distB="0" distL="0" distR="0" wp14:anchorId="6538DFE9" wp14:editId="05D32AFF">
            <wp:extent cx="3600000" cy="3194979"/>
            <wp:effectExtent l="0" t="0" r="635" b="5715"/>
            <wp:docPr id="77" name="Picture 77" descr="A picture containing object, black, dark,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EM Lachrimyform diagram.png"/>
                    <pic:cNvPicPr/>
                  </pic:nvPicPr>
                  <pic:blipFill rotWithShape="1">
                    <a:blip r:embed="rId71" cstate="print">
                      <a:extLst>
                        <a:ext uri="{28A0092B-C50C-407E-A947-70E740481C1C}">
                          <a14:useLocalDpi xmlns:a14="http://schemas.microsoft.com/office/drawing/2010/main" val="0"/>
                        </a:ext>
                      </a:extLst>
                    </a:blip>
                    <a:srcRect l="1994" t="2002" r="2682"/>
                    <a:stretch/>
                  </pic:blipFill>
                  <pic:spPr bwMode="auto">
                    <a:xfrm>
                      <a:off x="0" y="0"/>
                      <a:ext cx="3600000" cy="3194979"/>
                    </a:xfrm>
                    <a:prstGeom prst="rect">
                      <a:avLst/>
                    </a:prstGeom>
                    <a:ln>
                      <a:noFill/>
                    </a:ln>
                    <a:extLst>
                      <a:ext uri="{53640926-AAD7-44D8-BBD7-CCE9431645EC}">
                        <a14:shadowObscured xmlns:a14="http://schemas.microsoft.com/office/drawing/2010/main"/>
                      </a:ext>
                    </a:extLst>
                  </pic:spPr>
                </pic:pic>
              </a:graphicData>
            </a:graphic>
          </wp:inline>
        </w:drawing>
      </w:r>
    </w:p>
    <w:p w14:paraId="5ACBF075" w14:textId="343E85BC" w:rsidR="00007F6C" w:rsidRPr="00AE3A59" w:rsidRDefault="00007F6C" w:rsidP="00007F6C">
      <w:pPr>
        <w:pStyle w:val="Caption"/>
        <w:rPr>
          <w:color w:val="FFC000"/>
        </w:rPr>
      </w:pPr>
      <w:bookmarkStart w:id="243" w:name="_Ref39668497"/>
      <w:bookmarkStart w:id="244" w:name="_Toc69114961"/>
      <w:r>
        <w:t>Figure 3.</w:t>
      </w:r>
      <w:r w:rsidR="00B51F53">
        <w:fldChar w:fldCharType="begin"/>
      </w:r>
      <w:r w:rsidR="00B51F53">
        <w:instrText xml:space="preserve"> SEQ Figure \* ARABI</w:instrText>
      </w:r>
      <w:r w:rsidR="00B51F53">
        <w:instrText xml:space="preserve">C </w:instrText>
      </w:r>
      <w:r w:rsidR="00B51F53">
        <w:fldChar w:fldCharType="separate"/>
      </w:r>
      <w:r w:rsidR="00791418">
        <w:rPr>
          <w:noProof/>
        </w:rPr>
        <w:t>16</w:t>
      </w:r>
      <w:r w:rsidR="00B51F53">
        <w:rPr>
          <w:noProof/>
        </w:rPr>
        <w:fldChar w:fldCharType="end"/>
      </w:r>
      <w:bookmarkEnd w:id="243"/>
      <w:r>
        <w:t>: Diagram of the sample interaction volume in scanning electron microscopy</w:t>
      </w:r>
      <w:r>
        <w:fldChar w:fldCharType="begin" w:fldLock="1"/>
      </w:r>
      <w:r w:rsidR="00D80A5D">
        <w:instrText>ADDIN CSL_CITATION {"citationItems":[{"id":"ITEM-1","itemData":{"ISBN":"9781786340832","author":[{"dropping-particle":"","family":"Prins","given":"R","non-dropping-particle":"","parse-names":false,"suffix":""},{"dropping-particle":"","family":"Wang","given":"A","non-dropping-particle":"","parse-names":false,"suffix":""},{"dropping-particle":"","family":"Li","given":"X","non-dropping-particle":"","parse-names":false,"suffix":""}],"collection-title":"Advanced Tetxtbooks in Chemistry","id":"ITEM-1","issued":{"date-parts":[["2016"]]},"publisher":"World Scientific Publishing Company","title":"Introduction to Heterogeneous Catalysis","type":"book"},"uris":["http://www.mendeley.com/documents/?uuid=791c55bd-09cb-4693-a698-17d41c597b23"]}],"mendeley":{"formattedCitation":"[319]","plainTextFormattedCitation":"[319]","previouslyFormattedCitation":"[319]"},"properties":{"noteIndex":0},"schema":"https://github.com/citation-style-language/schema/raw/master/csl-citation.json"}</w:instrText>
      </w:r>
      <w:r>
        <w:fldChar w:fldCharType="separate"/>
      </w:r>
      <w:r w:rsidR="006C586A" w:rsidRPr="006C586A">
        <w:rPr>
          <w:i w:val="0"/>
          <w:noProof/>
        </w:rPr>
        <w:t>[319]</w:t>
      </w:r>
      <w:bookmarkEnd w:id="244"/>
      <w:r>
        <w:fldChar w:fldCharType="end"/>
      </w:r>
    </w:p>
    <w:p w14:paraId="4E3F064A" w14:textId="77777777" w:rsidR="00EE0D88" w:rsidRDefault="00007F6C" w:rsidP="00007F6C">
      <w:pPr>
        <w:jc w:val="both"/>
      </w:pPr>
      <w:r>
        <w:t>The depth of this interaction volume ranges from 100-5000 nm (see</w:t>
      </w:r>
      <w:r w:rsidRPr="00CF2184">
        <w:t xml:space="preserve"> </w:t>
      </w:r>
      <w:r>
        <w:fldChar w:fldCharType="begin"/>
      </w:r>
      <w:r>
        <w:instrText xml:space="preserve"> REF _Ref39668497 \h  \* MERGEFORMAT </w:instrText>
      </w:r>
      <w:r>
        <w:fldChar w:fldCharType="separate"/>
      </w:r>
      <w:r>
        <w:t>Figure 3.13</w:t>
      </w:r>
      <w:r>
        <w:fldChar w:fldCharType="end"/>
      </w:r>
      <w:r>
        <w:t xml:space="preserve"> above)</w:t>
      </w:r>
      <w:r w:rsidRPr="00CF2184">
        <w:t>.</w:t>
      </w:r>
      <w:r>
        <w:t xml:space="preserve"> The lachrymiform can be divided into 3 sections. Secondary electrons are released from the first 10</w:t>
      </w:r>
      <w:r w:rsidR="00A56F4A">
        <w:t xml:space="preserve"> </w:t>
      </w:r>
      <w:r>
        <w:t xml:space="preserve">nm of the interaction volume. Back-scattered electrons are emitted from 100-2000 nm. X-rays from 2-5 </w:t>
      </w:r>
      <w:r>
        <w:rPr>
          <w:rFonts w:cstheme="minorHAnsi"/>
        </w:rPr>
        <w:t>µ</w:t>
      </w:r>
      <w:r>
        <w:t xml:space="preserve">m. </w:t>
      </w:r>
    </w:p>
    <w:p w14:paraId="5CD48FA5" w14:textId="6181DE6E" w:rsidR="00007F6C" w:rsidRDefault="00007F6C" w:rsidP="00007F6C">
      <w:pPr>
        <w:jc w:val="both"/>
      </w:pPr>
      <w:r>
        <w:lastRenderedPageBreak/>
        <w:t>The size of this region is entirely dependent on 3 factors:</w:t>
      </w:r>
    </w:p>
    <w:p w14:paraId="6197904B" w14:textId="77777777" w:rsidR="00007F6C" w:rsidRDefault="00007F6C" w:rsidP="00007F6C">
      <w:pPr>
        <w:pStyle w:val="ListParagraph"/>
        <w:numPr>
          <w:ilvl w:val="0"/>
          <w:numId w:val="12"/>
        </w:numPr>
        <w:jc w:val="both"/>
      </w:pPr>
      <w:r>
        <w:t>The energy of the incident electron beam</w:t>
      </w:r>
    </w:p>
    <w:p w14:paraId="0E8787E8" w14:textId="77777777" w:rsidR="00007F6C" w:rsidRDefault="00007F6C" w:rsidP="00007F6C">
      <w:pPr>
        <w:pStyle w:val="ListParagraph"/>
        <w:numPr>
          <w:ilvl w:val="0"/>
          <w:numId w:val="12"/>
        </w:numPr>
        <w:jc w:val="both"/>
      </w:pPr>
      <w:r>
        <w:t>The atomic number of the sample material</w:t>
      </w:r>
    </w:p>
    <w:p w14:paraId="00759006" w14:textId="77777777" w:rsidR="00007F6C" w:rsidRDefault="00007F6C" w:rsidP="00007F6C">
      <w:pPr>
        <w:pStyle w:val="ListParagraph"/>
        <w:numPr>
          <w:ilvl w:val="0"/>
          <w:numId w:val="12"/>
        </w:numPr>
        <w:jc w:val="both"/>
      </w:pPr>
      <w:r>
        <w:t>The density of the sample material</w:t>
      </w:r>
    </w:p>
    <w:p w14:paraId="3922E742" w14:textId="112523B9" w:rsidR="00007F6C" w:rsidRDefault="00007F6C" w:rsidP="00007F6C">
      <w:pPr>
        <w:jc w:val="both"/>
      </w:pPr>
      <w:r>
        <w:t xml:space="preserve">Magnifications of between 50 - 500,000x </w:t>
      </w:r>
      <w:r w:rsidRPr="005B0BB1">
        <w:t>possible with SEM</w:t>
      </w:r>
      <w:r>
        <w:t xml:space="preserve"> with features of 1</w:t>
      </w:r>
      <w:r w:rsidR="00EE0D88">
        <w:t xml:space="preserve"> </w:t>
      </w:r>
      <w:r>
        <w:t xml:space="preserve">nm available in ideal highly conductive samples </w:t>
      </w:r>
      <w:r w:rsidRPr="005B0BB1">
        <w:fldChar w:fldCharType="begin" w:fldLock="1"/>
      </w:r>
      <w:r w:rsidR="00D80A5D">
        <w:instrText>ADDIN CSL_CITATION {"citationItems":[{"id":"ITEM-1","itemData":{"ISBN":"9781786340832","author":[{"dropping-particle":"","family":"Prins","given":"R","non-dropping-particle":"","parse-names":false,"suffix":""},{"dropping-particle":"","family":"Wang","given":"A","non-dropping-particle":"","parse-names":false,"suffix":""},{"dropping-particle":"","family":"Li","given":"X","non-dropping-particle":"","parse-names":false,"suffix":""}],"collection-title":"Advanced Tetxtbooks in Chemistry","id":"ITEM-1","issued":{"date-parts":[["2016"]]},"publisher":"World Scientific Publishing Company","title":"Introduction to Heterogeneous Catalysis","type":"book"},"uris":["http://www.mendeley.com/documents/?uuid=791c55bd-09cb-4693-a698-17d41c597b23"]}],"mendeley":{"formattedCitation":"[319]","plainTextFormattedCitation":"[319]","previouslyFormattedCitation":"[319]"},"properties":{"noteIndex":0},"schema":"https://github.com/citation-style-language/schema/raw/master/csl-citation.json"}</w:instrText>
      </w:r>
      <w:r w:rsidRPr="005B0BB1">
        <w:fldChar w:fldCharType="separate"/>
      </w:r>
      <w:r w:rsidR="006C586A" w:rsidRPr="006C586A">
        <w:rPr>
          <w:noProof/>
        </w:rPr>
        <w:t>[319]</w:t>
      </w:r>
      <w:r w:rsidRPr="005B0BB1">
        <w:fldChar w:fldCharType="end"/>
      </w:r>
      <w:r>
        <w:t>. However, the presence of the electrically insulative YSZ ceramic scaffold and electrolyte in the fuel electrode samples results in charge build up which reduces the resolution and clarity of the micrographs.</w:t>
      </w:r>
    </w:p>
    <w:p w14:paraId="0B0EA7D9" w14:textId="0493480D" w:rsidR="00007F6C" w:rsidRDefault="00007F6C" w:rsidP="00007F6C">
      <w:pPr>
        <w:jc w:val="both"/>
        <w:rPr>
          <w:rFonts w:cs="Arial"/>
        </w:rPr>
      </w:pPr>
      <w:r w:rsidRPr="004A3F7C">
        <w:rPr>
          <w:rFonts w:cs="Arial"/>
        </w:rPr>
        <w:t xml:space="preserve">The size of the nickel particles in the micrographs were measured in the micrographs using the </w:t>
      </w:r>
      <w:r w:rsidRPr="004A3F7C">
        <w:t>using the FIJI-ImageJ analysis program</w:t>
      </w:r>
      <w:r>
        <w:t xml:space="preserve"> </w:t>
      </w:r>
      <w:r w:rsidRPr="004A3F7C">
        <w:fldChar w:fldCharType="begin" w:fldLock="1"/>
      </w:r>
      <w:r w:rsidR="00D80A5D">
        <w:instrText>ADDIN CSL_CITATION {"citationItems":[{"id":"ITEM-1","itemData":{"DOI":"10.1038/nmeth.2019","ISSN":"1548-7105","abstract":"Presented is an overview of the image-analysis software platform Fiji, a distribution of ImageJ that updates the underlying ImageJ architecture and adds modern software design elements to expand the capabilities of the platform and facilitate collaboration between biologists and computer scientists.","author":[{"dropping-particle":"","family":"Schindelin","given":"Johannes","non-dropping-particle":"","parse-names":false,"suffix":""},{"dropping-particle":"","family":"Arganda-Carreras","given":"Ignacio","non-dropping-particle":"","parse-names":false,"suffix":""},{"dropping-particle":"","family":"Frise","given":"Erwin","non-dropping-particle":"","parse-names":false,"suffix":""},{"dropping-particle":"","family":"Kaynig","given":"Verena","non-dropping-particle":"","parse-names":false,"suffix":""},{"dropping-particle":"","family":"Longair","given":"Mark","non-dropping-particle":"","parse-names":false,"suffix":""},{"dropping-particle":"","family":"Pietzsch","given":"Tobias","non-dropping-particle":"","parse-names":false,"suffix":""},{"dropping-particle":"","family":"Preibisch","given":"Stephan","non-dropping-particle":"","parse-names":false,"suffix":""},{"dropping-particle":"","family":"Rueden","given":"Curtis","non-dropping-particle":"","parse-names":false,"suffix":""},{"dropping-particle":"","family":"Saalfeld","given":"Stephan","non-dropping-particle":"","parse-names":false,"suffix":""},{"dropping-particle":"","family":"Schmid","given":"Benjamin","non-dropping-particle":"","parse-names":false,"suffix":""},{"dropping-particle":"","family":"Tinevez","given":"Jean-Yves","non-dropping-particle":"","parse-names":false,"suffix":""},{"dropping-particle":"","family":"White","given":"Daniel James","non-dropping-particle":"","parse-names":false,"suffix":""},{"dropping-particle":"","family":"Hartenstein","given":"Volker","non-dropping-particle":"","parse-names":false,"suffix":""},{"dropping-particle":"","family":"Eliceiri","given":"Kevin","non-dropping-particle":"","parse-names":false,"suffix":""},{"dropping-particle":"","family":"Tomancak","given":"Pavel","non-dropping-particle":"","parse-names":false,"suffix":""},{"dropping-particle":"","family":"Cardona","given":"Albert","non-dropping-particle":"","parse-names":false,"suffix":""}],"container-title":"Nature Methods","id":"ITEM-1","issue":"7","issued":{"date-parts":[["2012"]]},"page":"676-682","title":"Fiji: an open-source platform for biological-image analysis","type":"article-journal","volume":"9"},"uris":["http://www.mendeley.com/documents/?uuid=72742387-673c-4513-b48b-819005c6bc17"]}],"mendeley":{"formattedCitation":"[333]","plainTextFormattedCitation":"[333]","previouslyFormattedCitation":"[333]"},"properties":{"noteIndex":0},"schema":"https://github.com/citation-style-language/schema/raw/master/csl-citation.json"}</w:instrText>
      </w:r>
      <w:r w:rsidRPr="004A3F7C">
        <w:fldChar w:fldCharType="separate"/>
      </w:r>
      <w:r w:rsidR="006C586A" w:rsidRPr="006C586A">
        <w:rPr>
          <w:noProof/>
        </w:rPr>
        <w:t>[333]</w:t>
      </w:r>
      <w:r w:rsidRPr="004A3F7C">
        <w:fldChar w:fldCharType="end"/>
      </w:r>
      <w:r w:rsidRPr="004A3F7C">
        <w:t>.</w:t>
      </w:r>
      <w:r>
        <w:t xml:space="preserve"> </w:t>
      </w:r>
    </w:p>
    <w:p w14:paraId="4C49D8BE" w14:textId="77777777" w:rsidR="00007F6C" w:rsidRPr="00AE3A59" w:rsidRDefault="00007F6C" w:rsidP="00007F6C">
      <w:pPr>
        <w:pStyle w:val="Heading4"/>
      </w:pPr>
      <w:r>
        <w:t>3.3.2.1</w:t>
      </w:r>
      <w:r>
        <w:tab/>
        <w:t>SE</w:t>
      </w:r>
      <w:r w:rsidRPr="00DC04F4">
        <w:t>M sample</w:t>
      </w:r>
      <w:r>
        <w:t xml:space="preserve"> preparation</w:t>
      </w:r>
    </w:p>
    <w:p w14:paraId="480CD19B" w14:textId="7FB1A417" w:rsidR="00007F6C" w:rsidRDefault="00007F6C" w:rsidP="00007F6C">
      <w:pPr>
        <w:jc w:val="both"/>
        <w:rPr>
          <w:rFonts w:cs="Arial"/>
        </w:rPr>
      </w:pPr>
      <w:r>
        <w:rPr>
          <w:rFonts w:cs="Arial"/>
        </w:rPr>
        <w:t xml:space="preserve">The symmetric cells were sectioned using a diamond scribe. The samples were mounted on carbon tape and coated in a 10 nm layer of gold using an </w:t>
      </w:r>
      <w:proofErr w:type="spellStart"/>
      <w:r>
        <w:rPr>
          <w:rFonts w:cs="Arial"/>
        </w:rPr>
        <w:t>Emscope</w:t>
      </w:r>
      <w:proofErr w:type="spellEnd"/>
      <w:r>
        <w:rPr>
          <w:rFonts w:cs="Arial"/>
        </w:rPr>
        <w:t xml:space="preserve"> Sputter Coater (</w:t>
      </w:r>
      <w:r>
        <w:rPr>
          <w:rFonts w:cs="Arial"/>
        </w:rPr>
        <w:fldChar w:fldCharType="begin"/>
      </w:r>
      <w:r>
        <w:rPr>
          <w:rFonts w:cs="Arial"/>
        </w:rPr>
        <w:instrText xml:space="preserve"> REF _Ref50283615 \h </w:instrText>
      </w:r>
      <w:r>
        <w:rPr>
          <w:rFonts w:cs="Arial"/>
        </w:rPr>
      </w:r>
      <w:r>
        <w:rPr>
          <w:rFonts w:cs="Arial"/>
        </w:rPr>
        <w:fldChar w:fldCharType="separate"/>
      </w:r>
      <w:r w:rsidR="004F4702">
        <w:t>Figure 3.</w:t>
      </w:r>
      <w:r w:rsidR="004F4702">
        <w:rPr>
          <w:noProof/>
        </w:rPr>
        <w:t>17</w:t>
      </w:r>
      <w:r>
        <w:rPr>
          <w:rFonts w:cs="Arial"/>
        </w:rPr>
        <w:fldChar w:fldCharType="end"/>
      </w:r>
      <w:r>
        <w:rPr>
          <w:rFonts w:cs="Arial"/>
        </w:rPr>
        <w:t xml:space="preserve">). This was to reduce the charging effect generated by the electrolyte material. The scaffold thickness of non-infiltrated cells was measured using the </w:t>
      </w:r>
      <w:proofErr w:type="spellStart"/>
      <w:r>
        <w:rPr>
          <w:rFonts w:cs="Arial"/>
        </w:rPr>
        <w:t>TouchScope</w:t>
      </w:r>
      <w:proofErr w:type="spellEnd"/>
      <w:r>
        <w:rPr>
          <w:rFonts w:cs="Arial"/>
        </w:rPr>
        <w:t xml:space="preserve"> software. The micrographs of the symmetrical cell scaffolds were taken using a JEOL JSM-6010LA </w:t>
      </w:r>
      <w:proofErr w:type="gramStart"/>
      <w:r>
        <w:rPr>
          <w:rFonts w:cs="Arial"/>
        </w:rPr>
        <w:t>SEM</w:t>
      </w:r>
      <w:proofErr w:type="gramEnd"/>
    </w:p>
    <w:p w14:paraId="2ED20652" w14:textId="77777777" w:rsidR="00007F6C" w:rsidRDefault="00007F6C" w:rsidP="00007F6C">
      <w:pPr>
        <w:keepNext/>
        <w:jc w:val="center"/>
      </w:pPr>
      <w:r w:rsidRPr="00146411">
        <w:rPr>
          <w:noProof/>
          <w:lang w:eastAsia="en-GB"/>
        </w:rPr>
        <w:drawing>
          <wp:inline distT="0" distB="0" distL="0" distR="0" wp14:anchorId="6E9B9B03" wp14:editId="6296B0FB">
            <wp:extent cx="1440000" cy="2560615"/>
            <wp:effectExtent l="0" t="0" r="8255" b="0"/>
            <wp:docPr id="78" name="Picture 78" descr="\\stfdata07\home\FC\Fcp16ejr\ManW7\Downloads\IMG_20170808_134200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fdata07\home\FC\Fcp16ejr\ManW7\Downloads\IMG_20170808_13420049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40000" cy="2560615"/>
                    </a:xfrm>
                    <a:prstGeom prst="rect">
                      <a:avLst/>
                    </a:prstGeom>
                    <a:noFill/>
                    <a:ln>
                      <a:noFill/>
                    </a:ln>
                  </pic:spPr>
                </pic:pic>
              </a:graphicData>
            </a:graphic>
          </wp:inline>
        </w:drawing>
      </w:r>
      <w:r w:rsidRPr="00146411">
        <w:rPr>
          <w:noProof/>
          <w:lang w:eastAsia="en-GB"/>
        </w:rPr>
        <w:drawing>
          <wp:inline distT="0" distB="0" distL="0" distR="0" wp14:anchorId="4A1086CB" wp14:editId="770FEC04">
            <wp:extent cx="1440000" cy="2560615"/>
            <wp:effectExtent l="0" t="0" r="8255" b="0"/>
            <wp:docPr id="79" name="Picture 79" descr="\\stfdata07\home\FC\Fcp16ejr\ManW7\Downloads\IMG_20170808_134157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fdata07\home\FC\Fcp16ejr\ManW7\Downloads\IMG_20170808_13415736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flipH="1">
                      <a:off x="0" y="0"/>
                      <a:ext cx="1440000" cy="2560615"/>
                    </a:xfrm>
                    <a:prstGeom prst="rect">
                      <a:avLst/>
                    </a:prstGeom>
                    <a:noFill/>
                    <a:ln>
                      <a:noFill/>
                    </a:ln>
                  </pic:spPr>
                </pic:pic>
              </a:graphicData>
            </a:graphic>
          </wp:inline>
        </w:drawing>
      </w:r>
    </w:p>
    <w:p w14:paraId="4A49378E" w14:textId="4675721A" w:rsidR="00007F6C" w:rsidRDefault="00007F6C" w:rsidP="00007F6C">
      <w:pPr>
        <w:pStyle w:val="Caption"/>
      </w:pPr>
      <w:bookmarkStart w:id="245" w:name="_Ref50283615"/>
      <w:bookmarkStart w:id="246" w:name="_Toc69114962"/>
      <w:r>
        <w:t>Figure 3.</w:t>
      </w:r>
      <w:r w:rsidR="00B51F53">
        <w:fldChar w:fldCharType="begin"/>
      </w:r>
      <w:r w:rsidR="00B51F53">
        <w:instrText xml:space="preserve"> SEQ Figure \* ARABIC </w:instrText>
      </w:r>
      <w:r w:rsidR="00B51F53">
        <w:fldChar w:fldCharType="separate"/>
      </w:r>
      <w:r w:rsidR="004F4702">
        <w:rPr>
          <w:noProof/>
        </w:rPr>
        <w:t>17</w:t>
      </w:r>
      <w:r w:rsidR="00B51F53">
        <w:rPr>
          <w:noProof/>
        </w:rPr>
        <w:fldChar w:fldCharType="end"/>
      </w:r>
      <w:bookmarkEnd w:id="245"/>
      <w:r>
        <w:t xml:space="preserve">: 2 images of the YSZ scaffold samples being coated with gold with the </w:t>
      </w:r>
      <w:proofErr w:type="spellStart"/>
      <w:r>
        <w:t>Emscope</w:t>
      </w:r>
      <w:proofErr w:type="spellEnd"/>
      <w:r>
        <w:t xml:space="preserve"> sputtering </w:t>
      </w:r>
      <w:proofErr w:type="gramStart"/>
      <w:r>
        <w:t>instrument</w:t>
      </w:r>
      <w:bookmarkEnd w:id="246"/>
      <w:proofErr w:type="gramEnd"/>
    </w:p>
    <w:p w14:paraId="75E50C2A" w14:textId="77777777" w:rsidR="00007F6C" w:rsidRDefault="00007F6C" w:rsidP="00007F6C">
      <w:pPr>
        <w:jc w:val="both"/>
        <w:rPr>
          <w:rFonts w:cs="Arial"/>
        </w:rPr>
      </w:pPr>
      <w:r>
        <w:rPr>
          <w:rFonts w:cs="Arial"/>
        </w:rPr>
        <w:t>The SEM instruments used for this work were:</w:t>
      </w:r>
    </w:p>
    <w:p w14:paraId="6F108F55" w14:textId="77777777" w:rsidR="00007F6C" w:rsidRDefault="00007F6C" w:rsidP="00007F6C">
      <w:pPr>
        <w:pStyle w:val="ListParagraph"/>
        <w:numPr>
          <w:ilvl w:val="0"/>
          <w:numId w:val="23"/>
        </w:numPr>
        <w:jc w:val="both"/>
        <w:rPr>
          <w:rFonts w:cs="Arial"/>
        </w:rPr>
      </w:pPr>
      <w:r>
        <w:rPr>
          <w:rFonts w:cs="Arial"/>
        </w:rPr>
        <w:t xml:space="preserve">JEOL JSM-6010LA in the Department of Chemical and Biological Engineering </w:t>
      </w:r>
      <w:r w:rsidRPr="00A826D3">
        <w:rPr>
          <w:rFonts w:cs="Arial"/>
        </w:rPr>
        <w:t>(University of Sheffield, UK)</w:t>
      </w:r>
    </w:p>
    <w:p w14:paraId="69579541" w14:textId="77777777" w:rsidR="00007F6C" w:rsidRPr="00A826D3" w:rsidRDefault="00007F6C" w:rsidP="00007F6C">
      <w:pPr>
        <w:pStyle w:val="ListParagraph"/>
        <w:numPr>
          <w:ilvl w:val="0"/>
          <w:numId w:val="23"/>
        </w:numPr>
        <w:jc w:val="both"/>
        <w:rPr>
          <w:rFonts w:cs="Arial"/>
        </w:rPr>
      </w:pPr>
      <w:r w:rsidRPr="00A826D3">
        <w:rPr>
          <w:rFonts w:cs="Arial"/>
        </w:rPr>
        <w:t xml:space="preserve">FEI Inspect F50 at the </w:t>
      </w:r>
      <w:proofErr w:type="spellStart"/>
      <w:r w:rsidRPr="00A826D3">
        <w:rPr>
          <w:rFonts w:cs="Arial"/>
        </w:rPr>
        <w:t>Sorby</w:t>
      </w:r>
      <w:proofErr w:type="spellEnd"/>
      <w:r w:rsidRPr="00A826D3">
        <w:rPr>
          <w:rFonts w:cs="Arial"/>
        </w:rPr>
        <w:t xml:space="preserve"> Centre for Electron Microscopy (University of Sheffield, UK)</w:t>
      </w:r>
    </w:p>
    <w:p w14:paraId="6005D5AC" w14:textId="77777777" w:rsidR="00007F6C" w:rsidRDefault="00007F6C" w:rsidP="00007F6C">
      <w:pPr>
        <w:pStyle w:val="Heading4"/>
      </w:pPr>
      <w:r>
        <w:t>3.3.2.2</w:t>
      </w:r>
      <w:r>
        <w:tab/>
        <w:t>Focussed Ion Beam Scanning Electron Microscopy</w:t>
      </w:r>
    </w:p>
    <w:p w14:paraId="5AE31960" w14:textId="60C2A244" w:rsidR="00007F6C" w:rsidRDefault="00007F6C" w:rsidP="00007F6C">
      <w:pPr>
        <w:jc w:val="both"/>
      </w:pPr>
      <w:r w:rsidRPr="002B6C9E">
        <w:t>A new and upcoming portion of the research in terms of anode microstructural assessment is focussed ion beam scanning electron tomography (FST)</w:t>
      </w:r>
      <w:r>
        <w:t xml:space="preserve"> </w:t>
      </w:r>
      <w:r>
        <w:fldChar w:fldCharType="begin" w:fldLock="1"/>
      </w:r>
      <w:r w:rsidR="00D80A5D">
        <w:instrText>ADDIN CSL_CITATION {"citationItems":[{"id":"ITEM-1","itemData":{"DOI":"http://dx.doi.org/10.1016/j.scriptamat.2010.09.025","ISBN":"1359-6462","abstract":"In this work we demonstrate the utility of three-dimensional focused ion beam–scanning electron microscopy nanotomography for understanding composite electrode performance and degradation. Phase connectivity, electrochemically active triple-phase boundary density and phase tortuosity are calculated for a series of anodes with varying Ni-YSZ composition. These structural characteristics, achievable only through three-dimensional interrogation, are shown to play a vital role in determining electrode polarization resistance. Additionally, Ni-YSZ samples are experimentally annealed in hydrogen and reconstructed to quantitatively assess degradation as a function of reduced triple-phase boundary density.","author":[{"dropping-particle":"","family":"Wilson","given":"James R","non-dropping-particle":"","parse-names":false,"suffix":""},{"dropping-particle":"","family":"Cronin","given":"J Scott","non-dropping-particle":"","parse-names":false,"suffix":""},{"dropping-particle":"","family":"Barnett","given":"Scott A","non-dropping-particle":"","parse-names":false,"suffix":""}],"container-title":"Scripta Materialia","id":"ITEM-1","issue":"2","issued":{"date-parts":[["2011"]]},"page":"67-72","title":"Linking the microstructure, performance and durability of Ni-yttria-stabilized zirconia solid oxide fuel cell anodes using three-dimensional focused ion beam–scanning electron microscopy imaging","type":"article-journal","volume":"65"},"uris":["http://www.mendeley.com/documents/?uuid=60a346b6-f16b-4c72-9c8b-e16ff126b7be"]},{"id":"ITEM-2","itemData":{"DOI":"http://dx.doi.org/10.1016/j.jpowsour.2010.12.100","ISSN":"0378-7753","abstract":"A three-dimensional microstructure of a solid oxide fuel cell (SOFC) anode is directly observed by a focused ion beam and scanning electron microscope (FIB–SEM) technique. Microstructural parameters, which are closely related to transport phenomena and electrochemical reaction in a porous anode, are quantitatively evaluated, such as volume fraction, percolation probability, tortuosity factor, surface-to-volume ratio, and three-phase boundary density. A random-walk-based diffusion simulation is effectively used for quantification. As an application of the quantified parameters, 1D numerical simulation of a SOFC anode is conducted. The predicted anode overpotential agrees well with the experimental counterparts in the condition of 3.0% H2O–97% H2, 1273 K, while it is overestimated at high humidified and low temperature conditions.","author":[{"dropping-particle":"","family":"Kishimoto","given":"Masashi","non-dropping-particle":"","parse-names":false,"suffix":""},{"dropping-particle":"","family":"Iwai","given":"Hiroshi","non-dropping-particle":"","parse-names":false,"suffix":""},{"dropping-particle":"","family":"Saito","given":"Motohiro","non-dropping-particle":"","parse-names":false,"suffix":""},{"dropping-particle":"","family":"Yoshida","given":"Hideo","non-dropping-particle":"","parse-names":false,"suffix":""}],"container-title":"Journal of Power Sources","id":"ITEM-2","issue":"10","issued":{"date-parts":[["2011","5","15"]]},"page":"4555-4563","title":"Quantitative evaluation of solid oxide fuel cell porous anode microstructure based on focused ion beam and scanning electron microscope technique and prediction of anode overpotentials","type":"article-journal","volume":"196"},"uris":["http://www.mendeley.com/documents/?uuid=747531b5-3050-4322-be8b-3274cc8ad624"]},{"id":"ITEM-3","itemData":{"DOI":"http://dx.doi.org/10.1016/j.jpowsour.2014.04.152","ISSN":"0378-7753","abstract":"Abstract In the present study, correlation between solid oxide fuel cell anode microstructure and electrochemical performance during redox cycles was investigated. Electrolyte-support cell with nickel/yttria stabilized zirconia composite anode was prepared and tested under discharge process with redox cycles. Redox treatment was basically conducted every 20 h during discharge process. Polarization resistance decreased just after redox treatment and increased during discharge process. Enhancement of cell performance after every redox cycles and faster degradation in the following discharge process were observed. Polarization resistance gradually increased as redox cycles were repeated. Focused ion beam-scanning electron microscopy (FIB-SEM) observation was conducted for reconstructing the three dimensional microstructures of the tested samples. From the three dimensional microstructure reconstruction, it is found that the shape of nickel particle got thinner and complicated after redox cycles. Triple phase boundary (TPB) length increased after redox treatment and decreased after discharge process. This TPB change was highly associated with Ni connectivity and Ni specific surface area. These microstructure changes are consistent with the change of cell performance enhancement after redox treatment and degradation after discharge process. However, TPB length density kept on increasing as redox cycles are repeated, which is inconsistent with the gradual degradation of anode performance.","author":[{"dropping-particle":"","family":"Shimura","given":"Takaaki","non-dropping-particle":"","parse-names":false,"suffix":""},{"dropping-particle":"","family":"Jiao","given":"Zhenjun","non-dropping-particle":"","parse-names":false,"suffix":""},{"dropping-particle":"","family":"Hara","given":"Shotaro","non-dropping-particle":"","parse-names":false,"suffix":""},{"dropping-particle":"","family":"Shikazono","given":"Naoki","non-dropping-particle":"","parse-names":false,"suffix":""}],"container-title":"Journal of Power Sources","id":"ITEM-3","issued":{"date-parts":[["2014","12","1"]]},"page":"58-68","title":"Quantitative analysis of solid oxide fuel cell anode microstructure change during redox cycles","type":"article-journal","volume":"267"},"uris":["http://www.mendeley.com/documents/?uuid=ead53131-7c60-4b84-b6b3-4ee4372f463f"]}],"mendeley":{"formattedCitation":"[293], [334], [335]","plainTextFormattedCitation":"[293], [334], [335]","previouslyFormattedCitation":"[293], [334], [335]"},"properties":{"noteIndex":0},"schema":"https://github.com/citation-style-language/schema/raw/master/csl-citation.json"}</w:instrText>
      </w:r>
      <w:r>
        <w:fldChar w:fldCharType="separate"/>
      </w:r>
      <w:r w:rsidR="006C586A" w:rsidRPr="006C586A">
        <w:rPr>
          <w:noProof/>
        </w:rPr>
        <w:t>[293], [334], [335]</w:t>
      </w:r>
      <w:r>
        <w:fldChar w:fldCharType="end"/>
      </w:r>
      <w:r w:rsidRPr="002B6C9E">
        <w:t>. This technique is highly unique as usually tomographical methods utilise x-ray diffraction to build up the structure into an image. This characterisation technique can render a 3D illustration from a FIB-SEM image to show the arrangement of pores within the system. These results can be used to produce an estimation into the proportion of TPBs in the overall system.</w:t>
      </w:r>
    </w:p>
    <w:p w14:paraId="5551554F" w14:textId="3E291868" w:rsidR="00007F6C" w:rsidRDefault="00007F6C" w:rsidP="00007F6C">
      <w:pPr>
        <w:jc w:val="both"/>
        <w:rPr>
          <w:noProof/>
          <w:lang w:eastAsia="en-GB"/>
        </w:rPr>
      </w:pPr>
      <w:r>
        <w:rPr>
          <w:noProof/>
          <w:lang w:eastAsia="en-GB"/>
        </w:rPr>
        <w:lastRenderedPageBreak/>
        <w:t xml:space="preserve">Focussed Ion Beam Scanning Electron Microscopy (FIB-SEM) was performed using a </w:t>
      </w:r>
      <w:r w:rsidRPr="00761F7B">
        <w:rPr>
          <w:noProof/>
          <w:lang w:eastAsia="en-GB"/>
        </w:rPr>
        <w:t>Helios Nanolab G3</w:t>
      </w:r>
      <w:r>
        <w:rPr>
          <w:noProof/>
          <w:lang w:eastAsia="en-GB"/>
        </w:rPr>
        <w:t xml:space="preserve"> instrument. Prior to imaging the sample was coated using with an 8 nm layer of gold.  A platinum layer measuring 30 </w:t>
      </w:r>
      <w:r>
        <w:rPr>
          <w:rFonts w:cstheme="minorHAnsi"/>
          <w:noProof/>
          <w:lang w:eastAsia="en-GB"/>
        </w:rPr>
        <w:t>µ</w:t>
      </w:r>
      <w:r>
        <w:rPr>
          <w:noProof/>
          <w:lang w:eastAsia="en-GB"/>
        </w:rPr>
        <w:t xml:space="preserve">m by 5 </w:t>
      </w:r>
      <w:r>
        <w:rPr>
          <w:rFonts w:cstheme="minorHAnsi"/>
          <w:noProof/>
          <w:lang w:eastAsia="en-GB"/>
        </w:rPr>
        <w:t>µ</w:t>
      </w:r>
      <w:r>
        <w:rPr>
          <w:noProof/>
          <w:lang w:eastAsia="en-GB"/>
        </w:rPr>
        <w:t>m was applied with the electron beam then the GIS needle (</w:t>
      </w:r>
      <w:r>
        <w:rPr>
          <w:noProof/>
          <w:lang w:eastAsia="en-GB"/>
        </w:rPr>
        <w:fldChar w:fldCharType="begin"/>
      </w:r>
      <w:r>
        <w:rPr>
          <w:noProof/>
          <w:lang w:eastAsia="en-GB"/>
        </w:rPr>
        <w:instrText xml:space="preserve"> REF _Ref50296673 \h </w:instrText>
      </w:r>
      <w:r>
        <w:rPr>
          <w:noProof/>
          <w:lang w:eastAsia="en-GB"/>
        </w:rPr>
      </w:r>
      <w:r>
        <w:rPr>
          <w:noProof/>
          <w:lang w:eastAsia="en-GB"/>
        </w:rPr>
        <w:fldChar w:fldCharType="separate"/>
      </w:r>
      <w:r w:rsidR="004F4702">
        <w:t>Figure 3.</w:t>
      </w:r>
      <w:r w:rsidR="004F4702">
        <w:rPr>
          <w:noProof/>
        </w:rPr>
        <w:t>18</w:t>
      </w:r>
      <w:r>
        <w:rPr>
          <w:noProof/>
          <w:lang w:eastAsia="en-GB"/>
        </w:rPr>
        <w:fldChar w:fldCharType="end"/>
      </w:r>
      <w:r>
        <w:rPr>
          <w:noProof/>
          <w:lang w:eastAsia="en-GB"/>
        </w:rPr>
        <w:t xml:space="preserve"> and </w:t>
      </w:r>
      <w:r>
        <w:rPr>
          <w:noProof/>
          <w:lang w:eastAsia="en-GB"/>
        </w:rPr>
        <w:fldChar w:fldCharType="begin"/>
      </w:r>
      <w:r>
        <w:rPr>
          <w:noProof/>
          <w:lang w:eastAsia="en-GB"/>
        </w:rPr>
        <w:instrText xml:space="preserve"> REF _Ref48566596 \h </w:instrText>
      </w:r>
      <w:r>
        <w:rPr>
          <w:noProof/>
          <w:lang w:eastAsia="en-GB"/>
        </w:rPr>
      </w:r>
      <w:r>
        <w:rPr>
          <w:noProof/>
          <w:lang w:eastAsia="en-GB"/>
        </w:rPr>
        <w:fldChar w:fldCharType="separate"/>
      </w:r>
      <w:r w:rsidR="004F4702">
        <w:t>Figure 3.</w:t>
      </w:r>
      <w:r w:rsidR="004F4702">
        <w:rPr>
          <w:noProof/>
        </w:rPr>
        <w:t>19</w:t>
      </w:r>
      <w:r>
        <w:rPr>
          <w:noProof/>
          <w:lang w:eastAsia="en-GB"/>
        </w:rPr>
        <w:fldChar w:fldCharType="end"/>
      </w:r>
      <w:r>
        <w:rPr>
          <w:noProof/>
          <w:lang w:eastAsia="en-GB"/>
        </w:rPr>
        <w:t>).  The samples were tilted 52</w:t>
      </w:r>
      <w:r>
        <w:rPr>
          <w:rFonts w:cstheme="minorHAnsi"/>
          <w:noProof/>
          <w:lang w:eastAsia="en-GB"/>
        </w:rPr>
        <w:t>⁰</w:t>
      </w:r>
      <w:r>
        <w:rPr>
          <w:noProof/>
          <w:lang w:eastAsia="en-GB"/>
        </w:rPr>
        <w:t xml:space="preserve">. The gallium source was used to coarsely mill a 15 </w:t>
      </w:r>
      <w:r>
        <w:rPr>
          <w:rFonts w:cstheme="minorHAnsi"/>
          <w:noProof/>
          <w:lang w:eastAsia="en-GB"/>
        </w:rPr>
        <w:t>µ</w:t>
      </w:r>
      <w:r>
        <w:rPr>
          <w:noProof/>
          <w:lang w:eastAsia="en-GB"/>
        </w:rPr>
        <w:t>m trench using a beam current of 9.3 nA (</w:t>
      </w:r>
      <w:r>
        <w:rPr>
          <w:noProof/>
          <w:lang w:eastAsia="en-GB"/>
        </w:rPr>
        <w:fldChar w:fldCharType="begin"/>
      </w:r>
      <w:r>
        <w:rPr>
          <w:noProof/>
          <w:lang w:eastAsia="en-GB"/>
        </w:rPr>
        <w:instrText xml:space="preserve"> REF _Ref48566596 \h </w:instrText>
      </w:r>
      <w:r>
        <w:rPr>
          <w:noProof/>
          <w:lang w:eastAsia="en-GB"/>
        </w:rPr>
      </w:r>
      <w:r>
        <w:rPr>
          <w:noProof/>
          <w:lang w:eastAsia="en-GB"/>
        </w:rPr>
        <w:fldChar w:fldCharType="separate"/>
      </w:r>
      <w:r w:rsidR="004F4702">
        <w:t>Figure 3.</w:t>
      </w:r>
      <w:r w:rsidR="004F4702">
        <w:rPr>
          <w:noProof/>
        </w:rPr>
        <w:t>19</w:t>
      </w:r>
      <w:r>
        <w:rPr>
          <w:noProof/>
          <w:lang w:eastAsia="en-GB"/>
        </w:rPr>
        <w:fldChar w:fldCharType="end"/>
      </w:r>
      <w:r>
        <w:rPr>
          <w:noProof/>
          <w:lang w:eastAsia="en-GB"/>
        </w:rPr>
        <w:t xml:space="preserve">). Finer polishing steps including the reduction of the beam current 2.5nA and a finishing pass at 0.43 nA. </w:t>
      </w:r>
    </w:p>
    <w:p w14:paraId="2C42A4F2" w14:textId="77777777" w:rsidR="00007F6C" w:rsidRDefault="00007F6C" w:rsidP="00007F6C">
      <w:pPr>
        <w:jc w:val="both"/>
        <w:rPr>
          <w:noProof/>
          <w:lang w:eastAsia="en-GB"/>
        </w:rPr>
      </w:pPr>
      <w:r>
        <w:rPr>
          <w:noProof/>
          <w:lang w:eastAsia="en-GB"/>
        </w:rPr>
        <w:t>Further microstructural imaging was performed using the FEI Inspect F50 SEM in both secondary electron and back-scattered electron detector modes.</w:t>
      </w:r>
    </w:p>
    <w:p w14:paraId="13BEAB50" w14:textId="77777777" w:rsidR="00007F6C" w:rsidRDefault="00007F6C" w:rsidP="00007F6C">
      <w:pPr>
        <w:keepNext/>
        <w:jc w:val="center"/>
      </w:pPr>
      <w:r>
        <w:rPr>
          <w:noProof/>
          <w:lang w:eastAsia="en-GB"/>
        </w:rPr>
        <w:drawing>
          <wp:inline distT="0" distB="0" distL="0" distR="0" wp14:anchorId="38DE403A" wp14:editId="4DA4A364">
            <wp:extent cx="3600000" cy="2399867"/>
            <wp:effectExtent l="0" t="0" r="635" b="63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t layer e beam N2 0h.tif"/>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600000" cy="2399867"/>
                    </a:xfrm>
                    <a:prstGeom prst="rect">
                      <a:avLst/>
                    </a:prstGeom>
                  </pic:spPr>
                </pic:pic>
              </a:graphicData>
            </a:graphic>
          </wp:inline>
        </w:drawing>
      </w:r>
    </w:p>
    <w:p w14:paraId="14BED5E9" w14:textId="5A82AEAE" w:rsidR="00007F6C" w:rsidRDefault="00007F6C" w:rsidP="00007F6C">
      <w:pPr>
        <w:pStyle w:val="Caption"/>
        <w:jc w:val="both"/>
      </w:pPr>
      <w:bookmarkStart w:id="247" w:name="_Ref50296673"/>
      <w:bookmarkStart w:id="248" w:name="_Toc69114963"/>
      <w:r>
        <w:t>Figure 3.</w:t>
      </w:r>
      <w:r w:rsidR="00B51F53">
        <w:fldChar w:fldCharType="begin"/>
      </w:r>
      <w:r w:rsidR="00B51F53">
        <w:instrText xml:space="preserve"> SEQ Figure \* ARABIC </w:instrText>
      </w:r>
      <w:r w:rsidR="00B51F53">
        <w:fldChar w:fldCharType="separate"/>
      </w:r>
      <w:r w:rsidR="004F4702">
        <w:rPr>
          <w:noProof/>
        </w:rPr>
        <w:t>18</w:t>
      </w:r>
      <w:r w:rsidR="00B51F53">
        <w:rPr>
          <w:noProof/>
        </w:rPr>
        <w:fldChar w:fldCharType="end"/>
      </w:r>
      <w:bookmarkEnd w:id="247"/>
      <w:r>
        <w:t xml:space="preserve">: Image of the protective platinum layer applied to the </w:t>
      </w:r>
      <w:proofErr w:type="spellStart"/>
      <w:r>
        <w:t>NiO</w:t>
      </w:r>
      <w:proofErr w:type="spellEnd"/>
      <w:r>
        <w:t>-YSZ sample by electron beam (5000x magnification)</w:t>
      </w:r>
      <w:bookmarkEnd w:id="248"/>
    </w:p>
    <w:p w14:paraId="782107CF" w14:textId="77777777" w:rsidR="00007F6C" w:rsidRDefault="00007F6C" w:rsidP="00007F6C">
      <w:pPr>
        <w:keepNext/>
        <w:jc w:val="center"/>
      </w:pPr>
      <w:r>
        <w:rPr>
          <w:noProof/>
        </w:rPr>
        <w:drawing>
          <wp:inline distT="0" distB="0" distL="0" distR="0" wp14:anchorId="1F5368EC" wp14:editId="6EAC95CF">
            <wp:extent cx="3600000" cy="1597385"/>
            <wp:effectExtent l="0" t="0" r="635" b="3175"/>
            <wp:docPr id="81" name="Picture 81" descr="A close up of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lose up of a stone wall&#10;&#10;Description automatically generated"/>
                    <pic:cNvPicPr/>
                  </pic:nvPicPr>
                  <pic:blipFill rotWithShape="1">
                    <a:blip r:embed="rId75" cstate="print">
                      <a:extLst>
                        <a:ext uri="{28A0092B-C50C-407E-A947-70E740481C1C}">
                          <a14:useLocalDpi xmlns:a14="http://schemas.microsoft.com/office/drawing/2010/main" val="0"/>
                        </a:ext>
                      </a:extLst>
                    </a:blip>
                    <a:srcRect b="2483"/>
                    <a:stretch/>
                  </pic:blipFill>
                  <pic:spPr bwMode="auto">
                    <a:xfrm>
                      <a:off x="0" y="0"/>
                      <a:ext cx="3600000" cy="1597385"/>
                    </a:xfrm>
                    <a:prstGeom prst="rect">
                      <a:avLst/>
                    </a:prstGeom>
                    <a:ln>
                      <a:noFill/>
                    </a:ln>
                    <a:extLst>
                      <a:ext uri="{53640926-AAD7-44D8-BBD7-CCE9431645EC}">
                        <a14:shadowObscured xmlns:a14="http://schemas.microsoft.com/office/drawing/2010/main"/>
                      </a:ext>
                    </a:extLst>
                  </pic:spPr>
                </pic:pic>
              </a:graphicData>
            </a:graphic>
          </wp:inline>
        </w:drawing>
      </w:r>
    </w:p>
    <w:p w14:paraId="26358AEF" w14:textId="0B3152EA" w:rsidR="00007F6C" w:rsidRDefault="00007F6C" w:rsidP="00007F6C">
      <w:pPr>
        <w:pStyle w:val="Caption"/>
        <w:jc w:val="both"/>
      </w:pPr>
      <w:bookmarkStart w:id="249" w:name="_Ref48566596"/>
      <w:bookmarkStart w:id="250" w:name="_Toc69114964"/>
      <w:r>
        <w:t>Figure 3.</w:t>
      </w:r>
      <w:r w:rsidR="00B51F53">
        <w:fldChar w:fldCharType="begin"/>
      </w:r>
      <w:r w:rsidR="00B51F53">
        <w:instrText xml:space="preserve"> SEQ Figure \* ARABIC </w:instrText>
      </w:r>
      <w:r w:rsidR="00B51F53">
        <w:fldChar w:fldCharType="separate"/>
      </w:r>
      <w:r w:rsidR="004F4702">
        <w:rPr>
          <w:noProof/>
        </w:rPr>
        <w:t>19</w:t>
      </w:r>
      <w:r w:rsidR="00B51F53">
        <w:rPr>
          <w:noProof/>
        </w:rPr>
        <w:fldChar w:fldCharType="end"/>
      </w:r>
      <w:bookmarkEnd w:id="249"/>
      <w:r>
        <w:t>:Micrograph of a FIB-SEM trench milled at 52</w:t>
      </w:r>
      <w:r>
        <w:rPr>
          <w:rFonts w:cstheme="minorHAnsi"/>
        </w:rPr>
        <w:t>⁰</w:t>
      </w:r>
      <w:r>
        <w:t xml:space="preserve"> in an infiltrated Ni-YSZ fuel electrode sample (3500 x magnification)</w:t>
      </w:r>
      <w:bookmarkEnd w:id="250"/>
    </w:p>
    <w:p w14:paraId="32B87ABE" w14:textId="77777777" w:rsidR="00007F6C" w:rsidRDefault="00007F6C" w:rsidP="00007F6C">
      <w:pPr>
        <w:pStyle w:val="Heading3"/>
        <w:rPr>
          <w:rFonts w:asciiTheme="minorHAnsi" w:hAnsiTheme="minorHAnsi" w:cs="Arial"/>
        </w:rPr>
      </w:pPr>
      <w:bookmarkStart w:id="251" w:name="_Toc69129391"/>
      <w:r>
        <w:rPr>
          <w:rFonts w:asciiTheme="minorHAnsi" w:hAnsiTheme="minorHAnsi" w:cs="Arial"/>
        </w:rPr>
        <w:t>3.3.3 Temperature Programmed Reduction</w:t>
      </w:r>
      <w:bookmarkEnd w:id="251"/>
    </w:p>
    <w:p w14:paraId="6A4999FF" w14:textId="2C510BED" w:rsidR="00007F6C" w:rsidRDefault="00007F6C" w:rsidP="00007F6C">
      <w:pPr>
        <w:jc w:val="both"/>
        <w:rPr>
          <w:rFonts w:cs="Arial"/>
          <w:szCs w:val="24"/>
        </w:rPr>
      </w:pPr>
      <w:r>
        <w:rPr>
          <w:rFonts w:cs="Arial"/>
          <w:szCs w:val="24"/>
        </w:rPr>
        <w:t xml:space="preserve">Temperature Programmed Reduction (TPR) observes the interaction of a sample with a probe gas molecule during heating. In this case this procedure can be used to determine the changes in the oxidation state of the catalyst from its interactions with the reductive gas. Similarly, to gas calorimetry (GC) or mass spectroscopy (MS) a thermal conductivity detector (TCD) is utilised to monitor the gas uptake in TPR </w:t>
      </w:r>
      <w:r>
        <w:rPr>
          <w:rFonts w:cs="Arial"/>
          <w:szCs w:val="24"/>
        </w:rPr>
        <w:fldChar w:fldCharType="begin" w:fldLock="1"/>
      </w:r>
      <w:r w:rsidR="00D80A5D">
        <w:rPr>
          <w:rFonts w:cs="Arial"/>
          <w:szCs w:val="24"/>
        </w:rPr>
        <w:instrText>ADDIN CSL_CITATION {"citationItems":[{"id":"ITEM-1","itemData":{"DOI":"10.1039/C3CP54622E","abstract":"The electronic structure of nano-NiO was determined using resonant inelastic X-ray scattering (RIXS) spectroscopy. The nanosized NiO particles were reduced in situ{,} leading to the formation of metallic Ni in a single step. Time-resolved RIXS elucidated in real time the changes on the occupied and unoccupied electronic structure of the material{,} which are dramatically affected by the reduction process.","author":[{"dropping-particle":"","family":"Sá","given":"Jacinto","non-dropping-particle":"","parse-names":false,"suffix":""},{"dropping-particle":"","family":"Kayser","given":"Yves","non-dropping-particle":"","parse-names":false,"suffix":""},{"dropping-particle":"","family":"Milne","given":"Christopher J","non-dropping-particle":"","parse-names":false,"suffix":""},{"dropping-particle":"","family":"Abreu Fernandes","given":"Daniel Luis","non-dropping-particle":"","parse-names":false,"suffix":""},{"dropping-particle":"","family":"Szlachetko","given":"Jakub","non-dropping-particle":"","parse-names":false,"suffix":""}],"container-title":"Phys. Chem. Chem. Phys.","id":"ITEM-1","issue":"17","issued":{"date-parts":[["2014"]]},"page":"7692-7696","publisher":"The Royal Society of Chemistry","title":"Temperature-programmed reduction of NiO nanoparticles followed by time-resolved RIXS","type":"article-journal","volume":"16"},"uris":["http://www.mendeley.com/documents/?uuid=632c3a9f-e5e9-4bea-be05-c3509e4d6e19"]},{"id":"ITEM-2","itemData":{"DOI":"https://doi.org/10.1016/j.ces.2007.09.043","ISSN":"0009-2509","abstract":"The powder samples of nickel oxide were synthesized by sol–gel procedure. The non-isothermal reduction of nickel oxide using hydrogen was investigated by temperature-programmed reduction (TPR) at four different heating rates (2.5, 5, 10 and 20</w:instrText>
      </w:r>
      <w:r w:rsidR="00D80A5D">
        <w:rPr>
          <w:rFonts w:ascii="Cambria Math" w:hAnsi="Cambria Math" w:cs="Cambria Math"/>
          <w:szCs w:val="24"/>
        </w:rPr>
        <w:instrText>∘</w:instrText>
      </w:r>
      <w:r w:rsidR="00D80A5D">
        <w:rPr>
          <w:rFonts w:cs="Arial"/>
          <w:szCs w:val="24"/>
        </w:rPr>
        <w:instrText>Cmin-1). Reaction kinetics parameters (Ea, lnA) were determined using a few methods: Stationary point (SP), Kissinger, Friedman, Flynn</w:instrText>
      </w:r>
      <w:r w:rsidR="00D80A5D">
        <w:rPr>
          <w:rFonts w:ascii="Calibri" w:hAnsi="Calibri" w:cs="Calibri"/>
          <w:szCs w:val="24"/>
        </w:rPr>
        <w:instrText>–</w:instrText>
      </w:r>
      <w:r w:rsidR="00D80A5D">
        <w:rPr>
          <w:rFonts w:cs="Arial"/>
          <w:szCs w:val="24"/>
        </w:rPr>
        <w:instrText>Wall–Ozawa and Kissinger–Akahira–Sunose methods. The Málek's kinetic procedure was used for the determination of the most suitable kinetic model and calculation of a complete set of kinetic parameters. The kinetic model of the investigated reduction process was determined, and this model corresponds to the empirical two-parameter Šesták–Berggren equation which gives a more quantitative description. The kinetic triplet obtained for the investigated process is Ea=90.8kJmol-1; lnA=19.50 (A expressed in min-1) and f(α)=α0.63(1-α)1.39. The reliability of kinetics parameters calculated from TPR data is tested by comparing calculated and experimental non-isothermal data. Comparing both experimental and calculated rate curves at constant heating rate assessed the adequate consistency of the kinetic triplet. In agreement with the obtained results, the mechanism of nickel oxide reduction by hydrogen was considered.","author":[{"dropping-particle":"","family":"Janković","given":"B","non-dropping-particle":"","parse-names":false,"suffix":""},{"dropping-particle":"","family":"Adnađević","given":"B","non-dropping-particle":"","parse-names":false,"suffix":""},{"dropping-particle":"","family":"Mentus","given":"S","non-dropping-particle":"","parse-names":false,"suffix":""}],"container-title":"Chemical Engineering Science","id":"ITEM-2","issue":"3","issued":{"date-parts":[["2008"]]},"page":"567-575","title":"The kinetic study of temperature-programmed reduction of nickel oxide in hydrogen atmosphere","type":"article-journal","volume":"63"},"uris":["http://www.mendeley.com/documents/?uuid=55d44a01-b6ab-40f0-85dd-e47a92a119d3"]},{"id":"ITEM-3","itemData":{"ISBN":"9781786340832","author":[{"dropping-particle":"","family":"Prins","given":"R","non-dropping-particle":"","parse-names":false,"suffix":""},{"dropping-particle":"","family":"Wang","given":"A","non-dropping-particle":"","parse-names":false,"suffix":""},{"dropping-particle":"","family":"Li","given":"X","non-dropping-particle":"","parse-names":false,"suffix":""}],"collection-title":"Advanced Tetxtbooks in Chemistry","id":"ITEM-3","issued":{"date-parts":[["2016"]]},"publisher":"World Scientific Publishing Company","title":"Introduction to Heterogeneous Catalysis","type":"book"},"uris":["http://www.mendeley.com/documents/?uuid=791c55bd-09cb-4693-a698-17d41c597b23"]}],"mendeley":{"formattedCitation":"[319], [336], [337]","plainTextFormattedCitation":"[319], [336], [337]","previouslyFormattedCitation":"[319], [336], [337]"},"properties":{"noteIndex":0},"schema":"https://github.com/citation-style-language/schema/raw/master/csl-citation.json"}</w:instrText>
      </w:r>
      <w:r>
        <w:rPr>
          <w:rFonts w:cs="Arial"/>
          <w:szCs w:val="24"/>
        </w:rPr>
        <w:fldChar w:fldCharType="separate"/>
      </w:r>
      <w:r w:rsidR="006C586A" w:rsidRPr="006C586A">
        <w:rPr>
          <w:rFonts w:cs="Arial"/>
          <w:noProof/>
          <w:szCs w:val="24"/>
        </w:rPr>
        <w:t>[319], [336], [337]</w:t>
      </w:r>
      <w:r>
        <w:rPr>
          <w:rFonts w:cs="Arial"/>
          <w:szCs w:val="24"/>
        </w:rPr>
        <w:fldChar w:fldCharType="end"/>
      </w:r>
      <w:r>
        <w:rPr>
          <w:rFonts w:cs="Arial"/>
          <w:szCs w:val="24"/>
        </w:rPr>
        <w:t xml:space="preserve">. </w:t>
      </w:r>
    </w:p>
    <w:p w14:paraId="24A5B6B6" w14:textId="77777777" w:rsidR="00007F6C" w:rsidRDefault="00007F6C" w:rsidP="00007F6C">
      <w:pPr>
        <w:jc w:val="both"/>
        <w:rPr>
          <w:rFonts w:cs="Arial"/>
          <w:szCs w:val="24"/>
        </w:rPr>
      </w:pPr>
      <w:r>
        <w:rPr>
          <w:rFonts w:cs="Arial"/>
          <w:szCs w:val="24"/>
        </w:rPr>
        <w:t>During TPR the supported catalyst is firstly flushed with an inert carrier gas prior to any heating which provides a baseline TCD reading. During the temperature ramp 5-10 vol % of the reductive gas is flowed across the sample in the inert carrier gas. The reduction event is denoted by the generation of a peak in the y axis (TCD reading) across a temperature range (x axis).</w:t>
      </w:r>
    </w:p>
    <w:p w14:paraId="045F2D40" w14:textId="77777777" w:rsidR="00007F6C" w:rsidRDefault="00007F6C" w:rsidP="00007F6C">
      <w:pPr>
        <w:jc w:val="both"/>
        <w:rPr>
          <w:rFonts w:cs="Arial"/>
          <w:szCs w:val="24"/>
        </w:rPr>
      </w:pPr>
      <w:r>
        <w:rPr>
          <w:rFonts w:cs="Arial"/>
          <w:szCs w:val="24"/>
        </w:rPr>
        <w:t xml:space="preserve">The area and positions of peaks illustrate the changes in the degree of reducibility of the catalyst material. In TPR data if a peak occurs at lower temperatures the reduction temperature of the catalyst </w:t>
      </w:r>
      <w:r>
        <w:rPr>
          <w:rFonts w:cs="Arial"/>
          <w:szCs w:val="24"/>
        </w:rPr>
        <w:lastRenderedPageBreak/>
        <w:t xml:space="preserve">involved has been reduced. If the peaks sharpen the reducibility of the catalyst has been increased. As a result, this method provides a combination of qualitative and quantitative data.   </w:t>
      </w:r>
    </w:p>
    <w:p w14:paraId="5257AE84" w14:textId="6398D532" w:rsidR="00007F6C" w:rsidRDefault="00007F6C" w:rsidP="00007F6C">
      <w:pPr>
        <w:jc w:val="both"/>
        <w:rPr>
          <w:rFonts w:cs="Arial"/>
          <w:szCs w:val="24"/>
        </w:rPr>
      </w:pPr>
      <w:r w:rsidRPr="00B41588">
        <w:rPr>
          <w:rFonts w:cs="Arial"/>
          <w:szCs w:val="24"/>
        </w:rPr>
        <w:t xml:space="preserve">A Micromeritics 2720 Chemisorb was used to produce the temperature-reduction profiles of </w:t>
      </w:r>
      <w:proofErr w:type="spellStart"/>
      <w:r w:rsidRPr="00B41588">
        <w:rPr>
          <w:rFonts w:cs="Arial"/>
          <w:szCs w:val="24"/>
        </w:rPr>
        <w:t>NiO</w:t>
      </w:r>
      <w:proofErr w:type="spellEnd"/>
      <w:r w:rsidRPr="00B41588">
        <w:rPr>
          <w:rFonts w:cs="Arial"/>
          <w:szCs w:val="24"/>
        </w:rPr>
        <w:t>-YSZ samples between 25-600</w:t>
      </w:r>
      <w:r w:rsidR="00EE0D88">
        <w:rPr>
          <w:rFonts w:cs="Arial"/>
          <w:szCs w:val="24"/>
        </w:rPr>
        <w:t xml:space="preserve"> </w:t>
      </w:r>
      <w:r w:rsidRPr="00B41588">
        <w:rPr>
          <w:rFonts w:cs="Arial"/>
          <w:szCs w:val="24"/>
        </w:rPr>
        <w:t>°C</w:t>
      </w:r>
      <w:r>
        <w:rPr>
          <w:rFonts w:cs="Arial"/>
          <w:szCs w:val="24"/>
        </w:rPr>
        <w:t xml:space="preserve"> (</w:t>
      </w:r>
      <w:r>
        <w:rPr>
          <w:rFonts w:cs="Arial"/>
          <w:szCs w:val="24"/>
        </w:rPr>
        <w:fldChar w:fldCharType="begin"/>
      </w:r>
      <w:r>
        <w:rPr>
          <w:rFonts w:cs="Arial"/>
          <w:szCs w:val="24"/>
        </w:rPr>
        <w:instrText xml:space="preserve"> REF _Ref50283550 \h </w:instrText>
      </w:r>
      <w:r>
        <w:rPr>
          <w:rFonts w:cs="Arial"/>
          <w:szCs w:val="24"/>
        </w:rPr>
      </w:r>
      <w:r>
        <w:rPr>
          <w:rFonts w:cs="Arial"/>
          <w:szCs w:val="24"/>
        </w:rPr>
        <w:fldChar w:fldCharType="separate"/>
      </w:r>
      <w:r w:rsidR="004F4702">
        <w:t>Figure 3.</w:t>
      </w:r>
      <w:r w:rsidR="004F4702">
        <w:rPr>
          <w:noProof/>
        </w:rPr>
        <w:t>20</w:t>
      </w:r>
      <w:r>
        <w:rPr>
          <w:rFonts w:cs="Arial"/>
          <w:szCs w:val="24"/>
        </w:rPr>
        <w:fldChar w:fldCharType="end"/>
      </w:r>
      <w:r>
        <w:rPr>
          <w:rFonts w:cs="Arial"/>
          <w:szCs w:val="24"/>
        </w:rPr>
        <w:t>)</w:t>
      </w:r>
      <w:r w:rsidRPr="00B41588">
        <w:rPr>
          <w:rFonts w:cs="Arial"/>
          <w:szCs w:val="24"/>
        </w:rPr>
        <w:t xml:space="preserve">. Prior to reduction, the </w:t>
      </w:r>
      <w:proofErr w:type="spellStart"/>
      <w:r w:rsidRPr="00B41588">
        <w:rPr>
          <w:rFonts w:cs="Arial"/>
          <w:szCs w:val="24"/>
        </w:rPr>
        <w:t>NiO</w:t>
      </w:r>
      <w:proofErr w:type="spellEnd"/>
      <w:r w:rsidRPr="00B41588">
        <w:rPr>
          <w:rFonts w:cs="Arial"/>
          <w:szCs w:val="24"/>
        </w:rPr>
        <w:t>-YSZ samples were flushed with pure argon for 15 minutes at room temperature at a flow rate of 25</w:t>
      </w:r>
      <w:r w:rsidR="00EE0D88">
        <w:rPr>
          <w:rFonts w:cs="Arial"/>
          <w:szCs w:val="24"/>
        </w:rPr>
        <w:t xml:space="preserve"> </w:t>
      </w:r>
      <w:r w:rsidRPr="00B41588">
        <w:rPr>
          <w:rFonts w:cs="Arial"/>
          <w:szCs w:val="24"/>
        </w:rPr>
        <w:t>mL</w:t>
      </w:r>
      <w:r w:rsidR="00EE0D88">
        <w:rPr>
          <w:rFonts w:cs="Arial"/>
          <w:szCs w:val="24"/>
        </w:rPr>
        <w:t>min</w:t>
      </w:r>
      <w:r w:rsidR="00EE0D88">
        <w:rPr>
          <w:rFonts w:cs="Arial"/>
          <w:szCs w:val="24"/>
          <w:vertAlign w:val="superscript"/>
        </w:rPr>
        <w:t>-1</w:t>
      </w:r>
      <w:r w:rsidRPr="00B41588">
        <w:rPr>
          <w:rFonts w:cs="Arial"/>
          <w:szCs w:val="24"/>
        </w:rPr>
        <w:t>. After this samples were reduced in by a 5</w:t>
      </w:r>
      <w:r>
        <w:rPr>
          <w:rFonts w:cs="Arial"/>
          <w:szCs w:val="24"/>
        </w:rPr>
        <w:t xml:space="preserve"> </w:t>
      </w:r>
      <w:r w:rsidRPr="00B41588">
        <w:rPr>
          <w:rFonts w:cs="Arial"/>
          <w:szCs w:val="24"/>
        </w:rPr>
        <w:t>% H</w:t>
      </w:r>
      <w:r w:rsidRPr="00C7447E">
        <w:rPr>
          <w:rFonts w:cs="Arial"/>
          <w:szCs w:val="24"/>
          <w:vertAlign w:val="subscript"/>
        </w:rPr>
        <w:t>2</w:t>
      </w:r>
      <w:r w:rsidRPr="00B41588">
        <w:rPr>
          <w:rFonts w:cs="Arial"/>
          <w:szCs w:val="24"/>
        </w:rPr>
        <w:t>/</w:t>
      </w:r>
      <w:proofErr w:type="spellStart"/>
      <w:r w:rsidRPr="00B41588">
        <w:rPr>
          <w:rFonts w:cs="Arial"/>
          <w:szCs w:val="24"/>
        </w:rPr>
        <w:t>Ar</w:t>
      </w:r>
      <w:proofErr w:type="spellEnd"/>
      <w:r w:rsidRPr="00B41588">
        <w:rPr>
          <w:rFonts w:cs="Arial"/>
          <w:szCs w:val="24"/>
        </w:rPr>
        <w:t xml:space="preserve"> carrier gas at a flow rate of 2</w:t>
      </w:r>
      <w:r>
        <w:rPr>
          <w:rFonts w:cs="Arial"/>
          <w:szCs w:val="24"/>
        </w:rPr>
        <w:t xml:space="preserve">0 </w:t>
      </w:r>
      <w:r w:rsidRPr="00B41588">
        <w:rPr>
          <w:rFonts w:cs="Arial"/>
          <w:szCs w:val="24"/>
        </w:rPr>
        <w:t>mL</w:t>
      </w:r>
      <w:r w:rsidR="00EE0D88">
        <w:rPr>
          <w:rFonts w:cs="Arial"/>
          <w:szCs w:val="24"/>
        </w:rPr>
        <w:t>min</w:t>
      </w:r>
      <w:r w:rsidR="00EE0D88">
        <w:rPr>
          <w:rFonts w:cs="Arial"/>
          <w:szCs w:val="24"/>
          <w:vertAlign w:val="superscript"/>
        </w:rPr>
        <w:t>-1</w:t>
      </w:r>
      <w:r w:rsidRPr="00B41588">
        <w:rPr>
          <w:rFonts w:cs="Arial"/>
          <w:szCs w:val="24"/>
        </w:rPr>
        <w:t xml:space="preserve"> between 25-600</w:t>
      </w:r>
      <w:r w:rsidR="00EE0D88">
        <w:rPr>
          <w:rFonts w:cs="Arial"/>
          <w:szCs w:val="24"/>
        </w:rPr>
        <w:t xml:space="preserve"> </w:t>
      </w:r>
      <w:r w:rsidRPr="00B41588">
        <w:rPr>
          <w:rFonts w:cs="Arial"/>
          <w:szCs w:val="24"/>
        </w:rPr>
        <w:t>°C.</w:t>
      </w:r>
      <w:r>
        <w:rPr>
          <w:rFonts w:cs="Arial"/>
          <w:szCs w:val="24"/>
        </w:rPr>
        <w:t xml:space="preserve"> This flowrate was selected to mimic the gas flow present during ageing and EIS. </w:t>
      </w:r>
      <w:r w:rsidRPr="00B41588">
        <w:rPr>
          <w:rFonts w:cs="Arial"/>
          <w:szCs w:val="24"/>
        </w:rPr>
        <w:t>To eliminate the impact of moisture, all samples were dried for 2 hours at 100</w:t>
      </w:r>
      <w:r w:rsidR="00EE0D88">
        <w:rPr>
          <w:rFonts w:cs="Arial"/>
          <w:szCs w:val="24"/>
        </w:rPr>
        <w:t xml:space="preserve"> </w:t>
      </w:r>
      <w:r w:rsidRPr="00B41588">
        <w:rPr>
          <w:rFonts w:cs="Arial"/>
          <w:szCs w:val="24"/>
        </w:rPr>
        <w:t>°C in a drying oven and desiccated overnight prior to the any temperature-programmed reduction.</w:t>
      </w:r>
      <w:r>
        <w:rPr>
          <w:rFonts w:cs="Arial"/>
          <w:szCs w:val="24"/>
        </w:rPr>
        <w:t xml:space="preserve"> </w:t>
      </w:r>
    </w:p>
    <w:p w14:paraId="08CED59F" w14:textId="77777777" w:rsidR="00007F6C" w:rsidRDefault="00007F6C" w:rsidP="00007F6C">
      <w:pPr>
        <w:keepNext/>
        <w:jc w:val="center"/>
      </w:pPr>
      <w:r>
        <w:rPr>
          <w:rFonts w:cs="Arial"/>
          <w:noProof/>
          <w:szCs w:val="24"/>
        </w:rPr>
        <w:drawing>
          <wp:inline distT="0" distB="0" distL="0" distR="0" wp14:anchorId="66EA8986" wp14:editId="4EAAB9AA">
            <wp:extent cx="3604260" cy="2879725"/>
            <wp:effectExtent l="0" t="0" r="0" b="0"/>
            <wp:docPr id="82" name="Picture 82" descr="A cluttered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0190625_153703.jpg"/>
                    <pic:cNvPicPr/>
                  </pic:nvPicPr>
                  <pic:blipFill rotWithShape="1">
                    <a:blip r:embed="rId76" cstate="print">
                      <a:extLst>
                        <a:ext uri="{28A0092B-C50C-407E-A947-70E740481C1C}">
                          <a14:useLocalDpi xmlns:a14="http://schemas.microsoft.com/office/drawing/2010/main" val="0"/>
                        </a:ext>
                      </a:extLst>
                    </a:blip>
                    <a:srcRect l="931" t="27819" r="2891" b="14549"/>
                    <a:stretch/>
                  </pic:blipFill>
                  <pic:spPr bwMode="auto">
                    <a:xfrm>
                      <a:off x="0" y="0"/>
                      <a:ext cx="3604605" cy="2880000"/>
                    </a:xfrm>
                    <a:prstGeom prst="rect">
                      <a:avLst/>
                    </a:prstGeom>
                    <a:ln>
                      <a:noFill/>
                    </a:ln>
                    <a:extLst>
                      <a:ext uri="{53640926-AAD7-44D8-BBD7-CCE9431645EC}">
                        <a14:shadowObscured xmlns:a14="http://schemas.microsoft.com/office/drawing/2010/main"/>
                      </a:ext>
                    </a:extLst>
                  </pic:spPr>
                </pic:pic>
              </a:graphicData>
            </a:graphic>
          </wp:inline>
        </w:drawing>
      </w:r>
    </w:p>
    <w:p w14:paraId="01E5FC2C" w14:textId="2C02DA93" w:rsidR="00007F6C" w:rsidRPr="00B41588" w:rsidRDefault="00007F6C" w:rsidP="00007F6C">
      <w:pPr>
        <w:pStyle w:val="Caption"/>
        <w:rPr>
          <w:rFonts w:cs="Arial"/>
          <w:szCs w:val="24"/>
        </w:rPr>
      </w:pPr>
      <w:bookmarkStart w:id="252" w:name="_Ref50283550"/>
      <w:bookmarkStart w:id="253" w:name="_Toc69114965"/>
      <w:r>
        <w:t>Figure 3.</w:t>
      </w:r>
      <w:r w:rsidR="00B51F53">
        <w:fldChar w:fldCharType="begin"/>
      </w:r>
      <w:r w:rsidR="00B51F53">
        <w:instrText xml:space="preserve"> SEQ Figure \* ARABIC </w:instrText>
      </w:r>
      <w:r w:rsidR="00B51F53">
        <w:fldChar w:fldCharType="separate"/>
      </w:r>
      <w:r w:rsidR="004F4702">
        <w:rPr>
          <w:noProof/>
        </w:rPr>
        <w:t>20</w:t>
      </w:r>
      <w:r w:rsidR="00B51F53">
        <w:rPr>
          <w:noProof/>
        </w:rPr>
        <w:fldChar w:fldCharType="end"/>
      </w:r>
      <w:bookmarkEnd w:id="252"/>
      <w:r>
        <w:t xml:space="preserve">: Photograph of the Micromeritics 2720 Chemisorb instrument used for the TPR </w:t>
      </w:r>
      <w:proofErr w:type="gramStart"/>
      <w:r>
        <w:t>work</w:t>
      </w:r>
      <w:bookmarkEnd w:id="253"/>
      <w:proofErr w:type="gramEnd"/>
    </w:p>
    <w:p w14:paraId="6F07DB6E" w14:textId="77777777" w:rsidR="00007F6C" w:rsidRDefault="00007F6C" w:rsidP="00007F6C">
      <w:pPr>
        <w:jc w:val="both"/>
        <w:rPr>
          <w:rFonts w:cs="Arial"/>
          <w:szCs w:val="24"/>
        </w:rPr>
      </w:pPr>
      <w:r w:rsidRPr="00B41588">
        <w:rPr>
          <w:rFonts w:cs="Arial"/>
          <w:szCs w:val="24"/>
        </w:rPr>
        <w:t xml:space="preserve">The TCD response of the Micromeritics 2720 was calibrated using the reduction of a </w:t>
      </w:r>
      <w:proofErr w:type="spellStart"/>
      <w:r w:rsidRPr="00B41588">
        <w:rPr>
          <w:rFonts w:cs="Arial"/>
          <w:szCs w:val="24"/>
        </w:rPr>
        <w:t>NiO</w:t>
      </w:r>
      <w:proofErr w:type="spellEnd"/>
      <w:r w:rsidRPr="00B41588">
        <w:rPr>
          <w:rFonts w:cs="Arial"/>
          <w:szCs w:val="24"/>
        </w:rPr>
        <w:t xml:space="preserve"> powder</w:t>
      </w:r>
      <w:r>
        <w:rPr>
          <w:rFonts w:cs="Arial"/>
          <w:szCs w:val="24"/>
        </w:rPr>
        <w:t xml:space="preserve"> sample </w:t>
      </w:r>
      <w:r w:rsidRPr="00B41588">
        <w:rPr>
          <w:rFonts w:cs="Arial"/>
          <w:szCs w:val="24"/>
        </w:rPr>
        <w:t>(J.T. Baker, USA, 99.99</w:t>
      </w:r>
      <w:r>
        <w:rPr>
          <w:rFonts w:cs="Arial"/>
          <w:szCs w:val="24"/>
        </w:rPr>
        <w:t xml:space="preserve"> </w:t>
      </w:r>
      <w:r w:rsidRPr="00B41588">
        <w:rPr>
          <w:rFonts w:cs="Arial"/>
          <w:szCs w:val="24"/>
        </w:rPr>
        <w:t>% pure).</w:t>
      </w:r>
      <w:r>
        <w:rPr>
          <w:rFonts w:cs="Arial"/>
          <w:szCs w:val="24"/>
        </w:rPr>
        <w:t xml:space="preserve"> This sample was used to identify the reduction temperature of bulk </w:t>
      </w:r>
      <w:proofErr w:type="spellStart"/>
      <w:r>
        <w:rPr>
          <w:rFonts w:cs="Arial"/>
          <w:szCs w:val="24"/>
        </w:rPr>
        <w:t>NiO</w:t>
      </w:r>
      <w:proofErr w:type="spellEnd"/>
      <w:r>
        <w:rPr>
          <w:rFonts w:cs="Arial"/>
          <w:szCs w:val="24"/>
        </w:rPr>
        <w:t>, with a view to seeing reduction events earlier in the infiltrated samples.</w:t>
      </w:r>
    </w:p>
    <w:p w14:paraId="1B79F4B1" w14:textId="5D25FFD5" w:rsidR="00007F6C" w:rsidRDefault="00007F6C" w:rsidP="00007F6C">
      <w:pPr>
        <w:jc w:val="both"/>
        <w:rPr>
          <w:rFonts w:cs="Arial"/>
        </w:rPr>
      </w:pPr>
      <w:r w:rsidRPr="00897A3B">
        <w:rPr>
          <w:rFonts w:cs="Arial"/>
        </w:rPr>
        <w:t xml:space="preserve">The temperature-programmed reduction profiles of the calcined </w:t>
      </w:r>
      <w:proofErr w:type="spellStart"/>
      <w:r w:rsidRPr="00897A3B">
        <w:rPr>
          <w:rFonts w:cs="Arial"/>
        </w:rPr>
        <w:t>NiO</w:t>
      </w:r>
      <w:proofErr w:type="spellEnd"/>
      <w:r w:rsidRPr="00897A3B">
        <w:rPr>
          <w:rFonts w:cs="Arial"/>
        </w:rPr>
        <w:t>-YSZ samples 2 and 16 (N</w:t>
      </w:r>
      <w:r w:rsidRPr="00737D1A">
        <w:rPr>
          <w:rFonts w:cs="Arial"/>
          <w:vertAlign w:val="subscript"/>
        </w:rPr>
        <w:t>2</w:t>
      </w:r>
      <w:r w:rsidRPr="00897A3B">
        <w:rPr>
          <w:rFonts w:cs="Arial"/>
        </w:rPr>
        <w:t xml:space="preserve"> and Air dried) were Micromeritics 2720 Chemisorb between 25-600</w:t>
      </w:r>
      <w:r w:rsidR="00EE0D88">
        <w:rPr>
          <w:rFonts w:cs="Arial"/>
        </w:rPr>
        <w:t xml:space="preserve"> </w:t>
      </w:r>
      <w:r w:rsidRPr="00897A3B">
        <w:rPr>
          <w:rFonts w:cs="Arial"/>
        </w:rPr>
        <w:t>°C under a 5</w:t>
      </w:r>
      <w:r>
        <w:rPr>
          <w:rFonts w:cs="Arial"/>
        </w:rPr>
        <w:t xml:space="preserve"> </w:t>
      </w:r>
      <w:r w:rsidRPr="00897A3B">
        <w:rPr>
          <w:rFonts w:cs="Arial"/>
        </w:rPr>
        <w:t>%</w:t>
      </w:r>
      <w:r>
        <w:rPr>
          <w:rFonts w:cs="Arial"/>
        </w:rPr>
        <w:t xml:space="preserve"> </w:t>
      </w:r>
      <w:r w:rsidRPr="00897A3B">
        <w:rPr>
          <w:rFonts w:cs="Arial"/>
        </w:rPr>
        <w:t>H</w:t>
      </w:r>
      <w:r w:rsidRPr="00897A3B">
        <w:rPr>
          <w:rFonts w:cs="Arial"/>
          <w:vertAlign w:val="subscript"/>
        </w:rPr>
        <w:t>2</w:t>
      </w:r>
      <w:r w:rsidRPr="00897A3B">
        <w:rPr>
          <w:rFonts w:cs="Arial"/>
        </w:rPr>
        <w:t>/</w:t>
      </w:r>
      <w:proofErr w:type="spellStart"/>
      <w:r w:rsidRPr="00897A3B">
        <w:rPr>
          <w:rFonts w:cs="Arial"/>
        </w:rPr>
        <w:t>Ar</w:t>
      </w:r>
      <w:proofErr w:type="spellEnd"/>
      <w:r w:rsidRPr="00897A3B">
        <w:rPr>
          <w:rFonts w:cs="Arial"/>
        </w:rPr>
        <w:t xml:space="preserve"> atmosphere. A calibration curve was produced using between 3.0-40.0</w:t>
      </w:r>
      <w:r>
        <w:rPr>
          <w:rFonts w:cs="Arial"/>
        </w:rPr>
        <w:t xml:space="preserve"> </w:t>
      </w:r>
      <w:r w:rsidRPr="00897A3B">
        <w:rPr>
          <w:rFonts w:cs="Arial"/>
        </w:rPr>
        <w:t xml:space="preserve">mg </w:t>
      </w:r>
      <w:proofErr w:type="spellStart"/>
      <w:r w:rsidRPr="00897A3B">
        <w:rPr>
          <w:rFonts w:cs="Arial"/>
        </w:rPr>
        <w:t>NiO</w:t>
      </w:r>
      <w:proofErr w:type="spellEnd"/>
      <w:r w:rsidRPr="00897A3B">
        <w:rPr>
          <w:rFonts w:cs="Arial"/>
        </w:rPr>
        <w:t xml:space="preserve"> powder (JT Baker, USA).</w:t>
      </w:r>
    </w:p>
    <w:p w14:paraId="30ACD9BB" w14:textId="77777777" w:rsidR="00007F6C" w:rsidRPr="007B44A7" w:rsidRDefault="00007F6C" w:rsidP="00007F6C">
      <w:pPr>
        <w:pStyle w:val="Heading4"/>
      </w:pPr>
      <w:r w:rsidRPr="007B44A7">
        <w:t>3.3.3.1 Dispersion calculations</w:t>
      </w:r>
    </w:p>
    <w:p w14:paraId="7229B3F2" w14:textId="77777777" w:rsidR="00007F6C" w:rsidRPr="007B44A7" w:rsidRDefault="00007F6C" w:rsidP="00007F6C">
      <w:pPr>
        <w:jc w:val="both"/>
      </w:pPr>
      <w:r w:rsidRPr="007B44A7">
        <w:t xml:space="preserve">With knowledge of the crystallite length and particle size gleaned from the SEM, XRD and TPR. The % dispersion of the infiltrated nickel particles can be calculated using the particle sizes and crystallite lengths of the </w:t>
      </w:r>
    </w:p>
    <w:p w14:paraId="44E94306" w14:textId="77777777" w:rsidR="00007F6C" w:rsidRPr="007B44A7" w:rsidRDefault="00007F6C" w:rsidP="00007F6C">
      <w:pPr>
        <w:jc w:val="both"/>
      </w:pPr>
      <w:r w:rsidRPr="007B44A7">
        <w:t>The scanning electron micrographs revealed that the morphology of the wet impregnated nickel particles was spherical in shape</w:t>
      </w:r>
      <w:r>
        <w:t xml:space="preserve"> </w:t>
      </w:r>
      <w:r w:rsidRPr="007B44A7">
        <w:t>(</w:t>
      </w:r>
      <w:r>
        <w:rPr>
          <w:color w:val="FF0000"/>
        </w:rPr>
        <w:fldChar w:fldCharType="begin"/>
      </w:r>
      <w:r>
        <w:instrText xml:space="preserve"> REF _Ref50905217 \h </w:instrText>
      </w:r>
      <w:r>
        <w:rPr>
          <w:color w:val="FF0000"/>
        </w:rPr>
      </w:r>
      <w:r>
        <w:rPr>
          <w:color w:val="FF0000"/>
        </w:rPr>
        <w:fldChar w:fldCharType="separate"/>
      </w:r>
      <w:r>
        <w:t>Figure 4.</w:t>
      </w:r>
      <w:r>
        <w:rPr>
          <w:noProof/>
        </w:rPr>
        <w:t>14</w:t>
      </w:r>
      <w:r>
        <w:rPr>
          <w:color w:val="FF0000"/>
        </w:rPr>
        <w:fldChar w:fldCharType="end"/>
      </w:r>
      <w:r>
        <w:rPr>
          <w:color w:val="FF0000"/>
        </w:rPr>
        <w:t xml:space="preserve"> </w:t>
      </w:r>
      <w:r w:rsidRPr="00A05731">
        <w:t xml:space="preserve">and </w:t>
      </w:r>
      <w:r>
        <w:rPr>
          <w:color w:val="FF0000"/>
        </w:rPr>
        <w:fldChar w:fldCharType="begin"/>
      </w:r>
      <w:r>
        <w:rPr>
          <w:color w:val="FF0000"/>
        </w:rPr>
        <w:instrText xml:space="preserve"> REF _Ref50905218 \h </w:instrText>
      </w:r>
      <w:r>
        <w:rPr>
          <w:color w:val="FF0000"/>
        </w:rPr>
      </w:r>
      <w:r>
        <w:rPr>
          <w:color w:val="FF0000"/>
        </w:rPr>
        <w:fldChar w:fldCharType="separate"/>
      </w:r>
      <w:r>
        <w:t>Figure 4.</w:t>
      </w:r>
      <w:r>
        <w:rPr>
          <w:noProof/>
        </w:rPr>
        <w:t>15</w:t>
      </w:r>
      <w:r>
        <w:rPr>
          <w:color w:val="FF0000"/>
        </w:rPr>
        <w:fldChar w:fldCharType="end"/>
      </w:r>
      <w:r w:rsidRPr="007B44A7">
        <w:t>). This information means that calculations involving spherical particles can be assumed for any dispersion calculations.</w:t>
      </w:r>
    </w:p>
    <w:p w14:paraId="43BD1D9D" w14:textId="77777777" w:rsidR="00007F6C" w:rsidRPr="007B44A7" w:rsidRDefault="00007F6C" w:rsidP="00007F6C">
      <w:pPr>
        <w:jc w:val="both"/>
      </w:pPr>
      <w:r w:rsidRPr="007B44A7">
        <w:t>Assumptions:</w:t>
      </w:r>
    </w:p>
    <w:p w14:paraId="4925E11B" w14:textId="77777777" w:rsidR="00007F6C" w:rsidRPr="007B44A7" w:rsidRDefault="00007F6C" w:rsidP="00007F6C">
      <w:pPr>
        <w:pStyle w:val="ListParagraph"/>
        <w:numPr>
          <w:ilvl w:val="0"/>
          <w:numId w:val="24"/>
        </w:numPr>
        <w:jc w:val="both"/>
      </w:pPr>
      <w:r w:rsidRPr="007B44A7">
        <w:t xml:space="preserve">Length of the crystallite is the diameter of the </w:t>
      </w:r>
      <w:proofErr w:type="gramStart"/>
      <w:r w:rsidRPr="007B44A7">
        <w:t>particles</w:t>
      </w:r>
      <w:proofErr w:type="gramEnd"/>
    </w:p>
    <w:p w14:paraId="4D39B72D" w14:textId="77777777" w:rsidR="00007F6C" w:rsidRPr="007B44A7" w:rsidRDefault="00007F6C" w:rsidP="00007F6C">
      <w:pPr>
        <w:pStyle w:val="ListParagraph"/>
        <w:numPr>
          <w:ilvl w:val="0"/>
          <w:numId w:val="24"/>
        </w:numPr>
        <w:jc w:val="both"/>
      </w:pPr>
      <w:r w:rsidRPr="007B44A7">
        <w:t>Particles are spherical in</w:t>
      </w:r>
      <w:r>
        <w:t xml:space="preserve"> morphology</w:t>
      </w:r>
      <w:r w:rsidRPr="007B44A7">
        <w:t xml:space="preserve"> (</w:t>
      </w:r>
      <w:r>
        <w:rPr>
          <w:color w:val="FF0000"/>
        </w:rPr>
        <w:fldChar w:fldCharType="begin"/>
      </w:r>
      <w:r>
        <w:instrText xml:space="preserve"> REF _Ref50905217 \h </w:instrText>
      </w:r>
      <w:r>
        <w:rPr>
          <w:color w:val="FF0000"/>
        </w:rPr>
      </w:r>
      <w:r>
        <w:rPr>
          <w:color w:val="FF0000"/>
        </w:rPr>
        <w:fldChar w:fldCharType="separate"/>
      </w:r>
      <w:r>
        <w:t>Figure 4.</w:t>
      </w:r>
      <w:r>
        <w:rPr>
          <w:noProof/>
        </w:rPr>
        <w:t>14</w:t>
      </w:r>
      <w:r>
        <w:rPr>
          <w:color w:val="FF0000"/>
        </w:rPr>
        <w:fldChar w:fldCharType="end"/>
      </w:r>
      <w:r>
        <w:rPr>
          <w:color w:val="FF0000"/>
        </w:rPr>
        <w:t xml:space="preserve"> </w:t>
      </w:r>
      <w:r w:rsidRPr="00A05731">
        <w:t xml:space="preserve">and </w:t>
      </w:r>
      <w:r>
        <w:rPr>
          <w:color w:val="FF0000"/>
        </w:rPr>
        <w:fldChar w:fldCharType="begin"/>
      </w:r>
      <w:r>
        <w:rPr>
          <w:color w:val="FF0000"/>
        </w:rPr>
        <w:instrText xml:space="preserve"> REF _Ref50905218 \h </w:instrText>
      </w:r>
      <w:r>
        <w:rPr>
          <w:color w:val="FF0000"/>
        </w:rPr>
      </w:r>
      <w:r>
        <w:rPr>
          <w:color w:val="FF0000"/>
        </w:rPr>
        <w:fldChar w:fldCharType="separate"/>
      </w:r>
      <w:r>
        <w:t>Figure 4.</w:t>
      </w:r>
      <w:r>
        <w:rPr>
          <w:noProof/>
        </w:rPr>
        <w:t>15</w:t>
      </w:r>
      <w:r>
        <w:rPr>
          <w:color w:val="FF0000"/>
        </w:rPr>
        <w:fldChar w:fldCharType="end"/>
      </w:r>
      <w:r w:rsidRPr="007B44A7">
        <w:t>).</w:t>
      </w:r>
    </w:p>
    <w:p w14:paraId="3A35288B" w14:textId="77777777" w:rsidR="00007F6C" w:rsidRDefault="00007F6C" w:rsidP="00007F6C">
      <w:pPr>
        <w:jc w:val="both"/>
      </w:pPr>
      <w:r w:rsidRPr="007B44A7">
        <w:lastRenderedPageBreak/>
        <w:t xml:space="preserve">The planar density of nickel particles at the 111 crystallographic planes was calculated using the crystallite lengths determined by the Debye-Scherrer calculation assuming a spherical volume. The number of Ni unit cells were calculated by dividing the catalyst volume by the volume of a single </w:t>
      </w:r>
      <w:proofErr w:type="spellStart"/>
      <w:r w:rsidRPr="007B44A7">
        <w:t>Ni</w:t>
      </w:r>
      <w:r w:rsidRPr="007B44A7">
        <w:rPr>
          <w:vertAlign w:val="subscript"/>
        </w:rPr>
        <w:t>FCC</w:t>
      </w:r>
      <w:proofErr w:type="spellEnd"/>
      <w:r w:rsidRPr="007B44A7">
        <w:t xml:space="preserve"> unit cell. Afterwards the percent dispersion of the </w:t>
      </w:r>
      <w:r w:rsidRPr="00600E38">
        <w:t xml:space="preserve">nickel phase was calculated using the planar density, contact area and number of nickel atoms according to </w:t>
      </w:r>
      <w:r w:rsidRPr="00600E38">
        <w:fldChar w:fldCharType="begin"/>
      </w:r>
      <w:r w:rsidRPr="00600E38">
        <w:instrText xml:space="preserve"> REF _Ref51232720 \h  \* MERGEFORMAT </w:instrText>
      </w:r>
      <w:r w:rsidRPr="00600E38">
        <w:fldChar w:fldCharType="separate"/>
      </w:r>
      <w:r w:rsidRPr="00C103C3">
        <w:t>Equation 3.5</w:t>
      </w:r>
      <w:r w:rsidRPr="00600E38">
        <w:fldChar w:fldCharType="end"/>
      </w:r>
      <w:r w:rsidRPr="00600E38">
        <w:t>.</w:t>
      </w:r>
    </w:p>
    <w:p w14:paraId="24612541" w14:textId="77777777" w:rsidR="00007F6C" w:rsidRPr="00526073" w:rsidRDefault="00B51F53" w:rsidP="00007F6C">
      <w:pPr>
        <w:keepNext/>
        <w:rPr>
          <w:rFonts w:eastAsiaTheme="minorEastAsia"/>
          <w:i/>
        </w:rPr>
      </w:pPr>
      <m:oMathPara>
        <m:oMath>
          <m:sSub>
            <m:sSubPr>
              <m:ctrlPr>
                <w:rPr>
                  <w:rFonts w:ascii="Cambria Math" w:hAnsi="Cambria Math"/>
                  <w:i/>
                </w:rPr>
              </m:ctrlPr>
            </m:sSubPr>
            <m:e>
              <m:r>
                <m:rPr>
                  <m:sty m:val="p"/>
                </m:rPr>
                <w:rPr>
                  <w:rFonts w:ascii="Cambria Math" w:hAnsi="Cambria Math"/>
                </w:rPr>
                <m:t>D</m:t>
              </m:r>
            </m:e>
            <m:sub>
              <m:r>
                <m:rPr>
                  <m:sty m:val="p"/>
                </m:rPr>
                <w:rPr>
                  <w:rFonts w:ascii="Cambria Math" w:hAnsi="Cambria Math"/>
                </w:rPr>
                <m:t>Ni</m:t>
              </m:r>
            </m:sub>
          </m:sSub>
          <m:r>
            <m:rPr>
              <m:sty m:val="p"/>
            </m:rPr>
            <w:rPr>
              <w:rFonts w:ascii="Cambria Math" w:hAnsi="Cambria Math"/>
            </w:rPr>
            <m:t>=</m:t>
          </m:r>
          <m:f>
            <m:fPr>
              <m:ctrlPr>
                <w:rPr>
                  <w:rFonts w:ascii="Cambria Math" w:hAnsi="Cambria Math"/>
                  <w:i/>
                </w:rPr>
              </m:ctrlPr>
            </m:fPr>
            <m:num>
              <m:sSub>
                <m:sSubPr>
                  <m:ctrlPr>
                    <w:rPr>
                      <w:rFonts w:ascii="Cambria Math" w:hAnsi="Cambria Math"/>
                      <w:i/>
                    </w:rPr>
                  </m:ctrlPr>
                </m:sSubPr>
                <m:e>
                  <m:r>
                    <m:rPr>
                      <m:sty m:val="p"/>
                    </m:rPr>
                    <w:rPr>
                      <w:rFonts w:ascii="Cambria Math" w:hAnsi="Cambria Math"/>
                    </w:rPr>
                    <m:t>Ni</m:t>
                  </m:r>
                </m:e>
                <m:sub>
                  <m:r>
                    <m:rPr>
                      <m:sty m:val="p"/>
                    </m:rPr>
                    <w:rPr>
                      <w:rFonts w:ascii="Cambria Math" w:hAnsi="Cambria Math"/>
                    </w:rPr>
                    <m:t>111 surface</m:t>
                  </m:r>
                </m:sub>
              </m:sSub>
              <m:r>
                <m:rPr>
                  <m:sty m:val="p"/>
                </m:rPr>
                <w:rPr>
                  <w:rFonts w:ascii="Cambria Math" w:hAnsi="Cambria Math"/>
                </w:rPr>
                <m:t xml:space="preserve"> </m:t>
              </m:r>
            </m:num>
            <m:den>
              <m:sSub>
                <m:sSubPr>
                  <m:ctrlPr>
                    <w:rPr>
                      <w:rFonts w:ascii="Cambria Math" w:hAnsi="Cambria Math"/>
                      <w:i/>
                    </w:rPr>
                  </m:ctrlPr>
                </m:sSubPr>
                <m:e>
                  <m:r>
                    <m:rPr>
                      <m:sty m:val="p"/>
                    </m:rPr>
                    <w:rPr>
                      <w:rFonts w:ascii="Cambria Math" w:hAnsi="Cambria Math"/>
                    </w:rPr>
                    <m:t>Ni</m:t>
                  </m:r>
                </m:e>
                <m:sub>
                  <m:r>
                    <m:rPr>
                      <m:sty m:val="p"/>
                    </m:rPr>
                    <w:rPr>
                      <w:rFonts w:ascii="Cambria Math" w:hAnsi="Cambria Math"/>
                    </w:rPr>
                    <m:t>Total</m:t>
                  </m:r>
                </m:sub>
              </m:sSub>
            </m:den>
          </m:f>
          <m:r>
            <m:rPr>
              <m:sty m:val="p"/>
            </m:rPr>
            <w:rPr>
              <w:rFonts w:ascii="Cambria Math" w:hAnsi="Cambria Math"/>
            </w:rPr>
            <m:t xml:space="preserve"> </m:t>
          </m:r>
        </m:oMath>
      </m:oMathPara>
    </w:p>
    <w:p w14:paraId="3DDEF067" w14:textId="6C2966BF" w:rsidR="00007F6C" w:rsidRPr="00526073" w:rsidRDefault="00007F6C" w:rsidP="00007F6C">
      <w:pPr>
        <w:pStyle w:val="Caption"/>
        <w:jc w:val="right"/>
        <w:rPr>
          <w:rFonts w:eastAsiaTheme="minorEastAsia"/>
          <w:i w:val="0"/>
          <w:iCs w:val="0"/>
          <w:color w:val="auto"/>
          <w:sz w:val="22"/>
          <w:szCs w:val="22"/>
        </w:rPr>
      </w:pPr>
      <w:bookmarkStart w:id="254" w:name="_Ref51232720"/>
      <w:r w:rsidRPr="00526073">
        <w:rPr>
          <w:i w:val="0"/>
          <w:iCs w:val="0"/>
          <w:color w:val="auto"/>
          <w:sz w:val="22"/>
          <w:szCs w:val="22"/>
        </w:rPr>
        <w:t>Equation 3.</w:t>
      </w:r>
      <w:r w:rsidRPr="00526073">
        <w:rPr>
          <w:i w:val="0"/>
          <w:iCs w:val="0"/>
          <w:color w:val="auto"/>
          <w:sz w:val="22"/>
          <w:szCs w:val="22"/>
        </w:rPr>
        <w:fldChar w:fldCharType="begin"/>
      </w:r>
      <w:r w:rsidRPr="00526073">
        <w:rPr>
          <w:i w:val="0"/>
          <w:iCs w:val="0"/>
          <w:color w:val="auto"/>
          <w:sz w:val="22"/>
          <w:szCs w:val="22"/>
        </w:rPr>
        <w:instrText xml:space="preserve"> SEQ Equation \* ARABIC </w:instrText>
      </w:r>
      <w:r w:rsidRPr="00526073">
        <w:rPr>
          <w:i w:val="0"/>
          <w:iCs w:val="0"/>
          <w:color w:val="auto"/>
          <w:sz w:val="22"/>
          <w:szCs w:val="22"/>
        </w:rPr>
        <w:fldChar w:fldCharType="separate"/>
      </w:r>
      <w:r w:rsidR="00315BF8">
        <w:rPr>
          <w:i w:val="0"/>
          <w:iCs w:val="0"/>
          <w:noProof/>
          <w:color w:val="auto"/>
          <w:sz w:val="22"/>
          <w:szCs w:val="22"/>
        </w:rPr>
        <w:t>5</w:t>
      </w:r>
      <w:r w:rsidRPr="00526073">
        <w:rPr>
          <w:i w:val="0"/>
          <w:iCs w:val="0"/>
          <w:color w:val="auto"/>
          <w:sz w:val="22"/>
          <w:szCs w:val="22"/>
        </w:rPr>
        <w:fldChar w:fldCharType="end"/>
      </w:r>
      <w:bookmarkEnd w:id="254"/>
    </w:p>
    <w:p w14:paraId="2CB96554" w14:textId="77777777" w:rsidR="00007F6C" w:rsidRDefault="00007F6C" w:rsidP="00007F6C">
      <w:pPr>
        <w:jc w:val="both"/>
      </w:pPr>
      <w:r>
        <w:t>The percent dispersion of the reduced nickel catalysts was calculated with respect to ageing time. The crystallite length determined by the Scherrer method was used to calculate the catalyst volume using the methods described below.</w:t>
      </w:r>
    </w:p>
    <w:p w14:paraId="5F710D0C" w14:textId="77777777" w:rsidR="00007F6C" w:rsidRDefault="00007F6C" w:rsidP="00007F6C">
      <w:pPr>
        <w:pStyle w:val="Heading5"/>
      </w:pPr>
      <w:r w:rsidRPr="00526284">
        <w:t>Unit cell length calculation</w:t>
      </w:r>
      <w:r>
        <w:t xml:space="preserve"> – Volumetric method</w:t>
      </w:r>
    </w:p>
    <w:p w14:paraId="0F0E74C8" w14:textId="77777777" w:rsidR="00007F6C" w:rsidRDefault="00007F6C" w:rsidP="00007F6C">
      <w:pPr>
        <w:jc w:val="both"/>
      </w:pPr>
      <w:r>
        <w:t xml:space="preserve">Two methods were used to determine the unit cell length of the face centred cubic nickel. The first method utilised the molecular mass and density of nickel to calculate the volume of the unit cell to produce the unit cell length of the (111) crystallographic plane. This plane corresponded to the </w:t>
      </w:r>
      <w:proofErr w:type="spellStart"/>
      <w:r>
        <w:t>Ni</w:t>
      </w:r>
      <w:r>
        <w:rPr>
          <w:vertAlign w:val="subscript"/>
        </w:rPr>
        <w:t>FCC</w:t>
      </w:r>
      <w:proofErr w:type="spellEnd"/>
      <w:r>
        <w:t xml:space="preserve"> peak used in the Scherrer calculation.</w:t>
      </w:r>
    </w:p>
    <w:p w14:paraId="38A2D3F4" w14:textId="5FDDF303" w:rsidR="00007F6C" w:rsidRDefault="00007F6C" w:rsidP="00007F6C">
      <w:pPr>
        <w:jc w:val="both"/>
      </w:pPr>
      <w:r>
        <w:t>The volume of the unit cell was calculated by dividing the mass of the four atoms in the unit cell by the density of nickel (8.908 g/cm</w:t>
      </w:r>
      <w:r>
        <w:rPr>
          <w:vertAlign w:val="superscript"/>
        </w:rPr>
        <w:t>3</w:t>
      </w:r>
      <w:r>
        <w:t>). This volume was then cube rooted to produce the unit cell length in nm. This value was also checked using the atomic radii method</w:t>
      </w:r>
      <w:r w:rsidRPr="001B718D">
        <w:t xml:space="preserve"> </w:t>
      </w:r>
      <w:r w:rsidRPr="001B718D">
        <w:fldChar w:fldCharType="begin" w:fldLock="1"/>
      </w:r>
      <w:r w:rsidR="00D80A5D">
        <w:instrText>ADDIN CSL_CITATION {"citationItems":[{"id":"ITEM-1","itemData":{"DOI":"10.1109/MCISE.2001.963423","ISBN":"1521-9615","ISSN":"1521-9615","PMID":"22096182","abstract":"This road map of Ireland has been specifically prepared for tourism and long-distance travel, allowing for easy planning and route-finding and also features indexed town plans of Belfast, Cork, Derry/Londonderry and Dublin. The mapping is at 9 miles to 1 inch, showing all major roads, and includes airports and ferries.","author":[{"dropping-particle":"","family":"Callister","given":"William","non-dropping-particle":"","parse-names":false,"suffix":""},{"dropping-particle":"","family":"Rethwisch","given":"David","non-dropping-particle":"","parse-names":false,"suffix":""}],"container-title":"Computing in Science &amp; Engineering","id":"ITEM-1","issue":"4","issued":{"date-parts":[["2014"]]},"page":"4172","title":"Materials Science &amp; Engineering","type":"article-journal","volume":"2"},"uris":["http://www.mendeley.com/documents/?uuid=935a88ab-a9d3-4a88-91ac-42b366e36c18"]},{"id":"ITEM-2","itemData":{"DOI":"10.1002/(sici)1099-0739(200004)14:4&lt;227::aid-aoc949&gt;3.0.co;2-f","ISSN":"0268-2605","author":[{"dropping-particle":"","family":"West","given":"Anthony R.","non-dropping-particle":"","parse-names":false,"suffix":""}],"container-title":"Applied Organometallic Chemistry","edition":"2nd","id":"ITEM-2","issue":"4","issued":{"date-parts":[["2000"]]},"number-of-pages":"227-228","publisher":"Wiley-Blackwell","title":"Basic Solid State Chemistry","type":"book","volume":"14"},"uris":["http://www.mendeley.com/documents/?uuid=cfc7d172-f48b-4960-bd9a-272da03540f8"]},{"id":"ITEM-3","itemData":{"ISBN":"9783527645336","author":[{"dropping-particle":"","family":"Che","given":"M","non-dropping-particle":"","parse-names":false,"suffix":""},{"dropping-particle":"","family":"Vedrine","given":"J C","non-dropping-particle":"","parse-names":false,"suffix":""}],"id":"ITEM-3","issued":{"date-parts":[["2012"]]},"publisher":"Wiley","title":"Characterization of Solid Materials and Heterogeneous Catalysts: From Structure to Surface Reactivity","type":"book"},"uris":["http://www.mendeley.com/documents/?uuid=32c40c4a-3193-48c4-9c88-dcbd1d8fbec8"]}],"mendeley":{"formattedCitation":"[294], [338], [339]","plainTextFormattedCitation":"[294], [338], [339]","previouslyFormattedCitation":"[294], [338], [339]"},"properties":{"noteIndex":0},"schema":"https://github.com/citation-style-language/schema/raw/master/csl-citation.json"}</w:instrText>
      </w:r>
      <w:r w:rsidRPr="001B718D">
        <w:fldChar w:fldCharType="separate"/>
      </w:r>
      <w:r w:rsidR="006C586A" w:rsidRPr="006C586A">
        <w:rPr>
          <w:noProof/>
        </w:rPr>
        <w:t>[294], [338], [339]</w:t>
      </w:r>
      <w:r w:rsidRPr="001B718D">
        <w:fldChar w:fldCharType="end"/>
      </w:r>
      <w:r>
        <w:t>.</w:t>
      </w:r>
    </w:p>
    <w:p w14:paraId="59AA136D" w14:textId="77777777" w:rsidR="00007F6C" w:rsidRDefault="00007F6C" w:rsidP="00007F6C">
      <w:pPr>
        <w:jc w:val="both"/>
      </w:pPr>
      <w:r w:rsidRPr="006A3770">
        <w:rPr>
          <w:rFonts w:eastAsiaTheme="minorEastAsia"/>
        </w:rPr>
        <w:t>Both methods produced a unit cell length of 0.352 nm (to 3dp). This value was then cubed to produce the unit cell volume in nm</w:t>
      </w:r>
      <w:r w:rsidRPr="006A3770">
        <w:rPr>
          <w:rFonts w:eastAsiaTheme="minorEastAsia"/>
          <w:vertAlign w:val="superscript"/>
        </w:rPr>
        <w:t>3</w:t>
      </w:r>
      <w:r w:rsidRPr="006A3770">
        <w:rPr>
          <w:rFonts w:eastAsiaTheme="minorEastAsia"/>
        </w:rPr>
        <w:t xml:space="preserve">. </w:t>
      </w:r>
      <w:r w:rsidRPr="006A3770">
        <w:t>The percent dispersion was calculated by number of surface nickel atoms by the total number of atoms present in the sample (</w:t>
      </w:r>
      <w:r w:rsidRPr="00600E38">
        <w:fldChar w:fldCharType="begin"/>
      </w:r>
      <w:r w:rsidRPr="00600E38">
        <w:instrText xml:space="preserve"> REF _Ref51232720 \h  \* MERGEFORMAT </w:instrText>
      </w:r>
      <w:r w:rsidRPr="00600E38">
        <w:fldChar w:fldCharType="separate"/>
      </w:r>
      <w:r w:rsidRPr="00C103C3">
        <w:t>Equation 3.5</w:t>
      </w:r>
      <w:r w:rsidRPr="00600E38">
        <w:fldChar w:fldCharType="end"/>
      </w:r>
      <w:r w:rsidRPr="006A3770">
        <w:t xml:space="preserve">). The nickel particles were found to be spherical in shape from </w:t>
      </w:r>
      <w:r>
        <w:rPr>
          <w:color w:val="FF0000"/>
        </w:rPr>
        <w:fldChar w:fldCharType="begin"/>
      </w:r>
      <w:r>
        <w:instrText xml:space="preserve"> REF _Ref50905217 \h </w:instrText>
      </w:r>
      <w:r>
        <w:rPr>
          <w:color w:val="FF0000"/>
        </w:rPr>
      </w:r>
      <w:r>
        <w:rPr>
          <w:color w:val="FF0000"/>
        </w:rPr>
        <w:fldChar w:fldCharType="separate"/>
      </w:r>
      <w:r>
        <w:t>Figure 4.</w:t>
      </w:r>
      <w:r>
        <w:rPr>
          <w:noProof/>
        </w:rPr>
        <w:t>14</w:t>
      </w:r>
      <w:r>
        <w:rPr>
          <w:color w:val="FF0000"/>
        </w:rPr>
        <w:fldChar w:fldCharType="end"/>
      </w:r>
      <w:r>
        <w:rPr>
          <w:color w:val="FF0000"/>
        </w:rPr>
        <w:t xml:space="preserve"> </w:t>
      </w:r>
      <w:r w:rsidRPr="00A05731">
        <w:t xml:space="preserve">and </w:t>
      </w:r>
      <w:r>
        <w:rPr>
          <w:color w:val="FF0000"/>
        </w:rPr>
        <w:fldChar w:fldCharType="begin"/>
      </w:r>
      <w:r>
        <w:rPr>
          <w:color w:val="FF0000"/>
        </w:rPr>
        <w:instrText xml:space="preserve"> REF _Ref50905218 \h </w:instrText>
      </w:r>
      <w:r>
        <w:rPr>
          <w:color w:val="FF0000"/>
        </w:rPr>
      </w:r>
      <w:r>
        <w:rPr>
          <w:color w:val="FF0000"/>
        </w:rPr>
        <w:fldChar w:fldCharType="separate"/>
      </w:r>
      <w:r>
        <w:t>Figure 4.</w:t>
      </w:r>
      <w:r>
        <w:rPr>
          <w:noProof/>
        </w:rPr>
        <w:t>15</w:t>
      </w:r>
      <w:r>
        <w:rPr>
          <w:color w:val="FF0000"/>
        </w:rPr>
        <w:fldChar w:fldCharType="end"/>
      </w:r>
      <w:r w:rsidRPr="007B44A7">
        <w:t>.</w:t>
      </w:r>
    </w:p>
    <w:p w14:paraId="702FD69A" w14:textId="74EA16B5" w:rsidR="00007F6C" w:rsidRPr="0068691E" w:rsidRDefault="00007F6C" w:rsidP="00007F6C">
      <w:pPr>
        <w:pStyle w:val="Heading3"/>
      </w:pPr>
      <w:bookmarkStart w:id="255" w:name="_Toc69129392"/>
      <w:r>
        <w:t>3</w:t>
      </w:r>
      <w:r w:rsidRPr="0068691E">
        <w:t>.</w:t>
      </w:r>
      <w:r>
        <w:t>3.</w:t>
      </w:r>
      <w:r w:rsidR="00730347">
        <w:t>4</w:t>
      </w:r>
      <w:r w:rsidRPr="0068691E">
        <w:t xml:space="preserve"> Fourier Transform Infra-Red Spectroscopy</w:t>
      </w:r>
      <w:bookmarkEnd w:id="255"/>
    </w:p>
    <w:p w14:paraId="7648D059" w14:textId="3FC3785A" w:rsidR="00007F6C" w:rsidRPr="00974EC1" w:rsidRDefault="00007F6C" w:rsidP="00007F6C">
      <w:pPr>
        <w:jc w:val="both"/>
        <w:rPr>
          <w:rFonts w:cs="Arial"/>
          <w:szCs w:val="24"/>
        </w:rPr>
      </w:pPr>
      <w:r>
        <w:rPr>
          <w:rFonts w:cs="Arial"/>
          <w:szCs w:val="24"/>
        </w:rPr>
        <w:t>Fourier-transform Infra-Red Spectroscopy (FT-IR) analyses the wavelengths emitted from a sample after it has been subjected to infra-red wavelength radiation. The chemical composition of the material can be deduced by the spectrum generated by the sample. Key materials in this study like nickel nitrate can be identified by characteristic absorbance bands at wavenumbers of 1376 and 1620 cm</w:t>
      </w:r>
      <w:r>
        <w:rPr>
          <w:rFonts w:cs="Arial"/>
          <w:szCs w:val="24"/>
          <w:vertAlign w:val="superscript"/>
        </w:rPr>
        <w:t>-1</w:t>
      </w:r>
      <w:r>
        <w:rPr>
          <w:rFonts w:cs="Arial"/>
          <w:szCs w:val="24"/>
          <w:vertAlign w:val="subscript"/>
        </w:rPr>
        <w:t xml:space="preserve"> </w:t>
      </w:r>
      <w:r>
        <w:rPr>
          <w:rFonts w:cs="Arial"/>
          <w:szCs w:val="24"/>
          <w:vertAlign w:val="subscript"/>
        </w:rPr>
        <w:fldChar w:fldCharType="begin" w:fldLock="1"/>
      </w:r>
      <w:r w:rsidR="00D80A5D">
        <w:rPr>
          <w:rFonts w:cs="Arial"/>
          <w:szCs w:val="24"/>
          <w:vertAlign w:val="subscript"/>
        </w:rPr>
        <w:instrText>ADDIN CSL_CITATION {"citationItems":[{"id":"ITEM-1","itemData":{"DOI":"10.7508/jns.2015.02.009","ISSN":"2322-4142","abstract":"The aim of the present study was to prepare nano-sized calcium fluoride (CaF2). Calcium fluoride nanoparticles were synthesized by CaCl2.6H2O and ammonium fluoride. Nanoparticles were synthesized by co-precipitation method. The synthesized nanocrystals were characterized by X-ray diffraction (XRD), Fourier transform infrared spectroscopy (FTIR), scanning electron microscopy (SEM). The crystallite size estimated using Scherer’s formula was found to be in the range of 20–30nm for nanocrystals synthesized by this method. The morphological features as studied using SEM revealed that the nanoparticles were agglomerated, crispy with porous. Keywords:","author":[{"dropping-particle":"","family":"Das","given":"D.","non-dropping-particle":"","parse-names":false,"suffix":""},{"dropping-particle":"","family":"Gharib","given":"F.","non-dropping-particle":"","parse-names":false,"suffix":""}],"container-title":"International Journal of Bio-Inorganic Hybrid Nanomaterials","id":"ITEM-1","issue":"2","issued":{"date-parts":[["2015"]]},"page":"59-64","title":"Cubic NiO Nanoparticles: Synthesis and Characterization","type":"article-journal","volume":"4"},"uris":["http://www.mendeley.com/documents/?uuid=c798eb58-f3d5-4e34-8abe-653250e879f5"]},{"id":"ITEM-2","itemData":{"DOI":"10.1007/978-1-4614-3909-7_6","ISBN":"9781461439097","author":[{"dropping-particle":"","family":"Schneider","given":"Matthias","non-dropping-particle":"","parse-names":false,"suffix":""},{"dropping-particle":"","family":"Demoulin","given":"Philippe","non-dropping-particle":"","parse-names":false,"suffix":""},{"dropping-particle":"","family":"Sussmann","given":"Ralf","non-dropping-particle":"","parse-names":false,"suffix":""},{"dropping-particle":"","family":"Notholt","given":"Justus","non-dropping-particle":"","parse-names":false,"suffix":""}],"container-title":"Monitoring Atmospheric Water Vapour: Ground-Based Remote Sensing and In-situ Methods","id":"ITEM-2","issued":{"date-parts":[["2013"]]},"number-of-pages":"95-111","title":"Fourier transform infrared spectrometry","type":"book","volume":"10"},"uris":["http://www.mendeley.com/documents/?uuid=5520b17c-79a9-465e-8266-3974d24f64e5"]}],"mendeley":{"formattedCitation":"[340], [341]","plainTextFormattedCitation":"[340], [341]","previouslyFormattedCitation":"[340], [341]"},"properties":{"noteIndex":0},"schema":"https://github.com/citation-style-language/schema/raw/master/csl-citation.json"}</w:instrText>
      </w:r>
      <w:r>
        <w:rPr>
          <w:rFonts w:cs="Arial"/>
          <w:szCs w:val="24"/>
          <w:vertAlign w:val="subscript"/>
        </w:rPr>
        <w:fldChar w:fldCharType="separate"/>
      </w:r>
      <w:r w:rsidR="006C586A" w:rsidRPr="006C586A">
        <w:rPr>
          <w:rFonts w:cs="Arial"/>
          <w:noProof/>
          <w:szCs w:val="24"/>
        </w:rPr>
        <w:t>[340], [341]</w:t>
      </w:r>
      <w:r>
        <w:rPr>
          <w:rFonts w:cs="Arial"/>
          <w:szCs w:val="24"/>
          <w:vertAlign w:val="subscript"/>
        </w:rPr>
        <w:fldChar w:fldCharType="end"/>
      </w:r>
      <w:r>
        <w:rPr>
          <w:rFonts w:cs="Arial"/>
          <w:szCs w:val="24"/>
        </w:rPr>
        <w:t>.</w:t>
      </w:r>
    </w:p>
    <w:p w14:paraId="626DD0A7" w14:textId="398ED5FB" w:rsidR="00007F6C" w:rsidRDefault="00007F6C" w:rsidP="00007F6C">
      <w:pPr>
        <w:jc w:val="both"/>
        <w:rPr>
          <w:rFonts w:cs="Arial"/>
          <w:szCs w:val="24"/>
        </w:rPr>
      </w:pPr>
      <w:r>
        <w:rPr>
          <w:rFonts w:cs="Arial"/>
          <w:szCs w:val="24"/>
        </w:rPr>
        <w:t xml:space="preserve">In FT-IR a high-energy ceramic light source is heated to 1200 K. The source emits an infra-red beam (10,000-100 </w:t>
      </w:r>
      <w:proofErr w:type="gramStart"/>
      <w:r>
        <w:rPr>
          <w:rFonts w:cs="Arial"/>
          <w:szCs w:val="24"/>
        </w:rPr>
        <w:t>cm</w:t>
      </w:r>
      <w:r>
        <w:rPr>
          <w:rFonts w:cs="Arial"/>
          <w:szCs w:val="24"/>
          <w:vertAlign w:val="superscript"/>
        </w:rPr>
        <w:t>-1</w:t>
      </w:r>
      <w:proofErr w:type="gramEnd"/>
      <w:r>
        <w:rPr>
          <w:rFonts w:cs="Arial"/>
          <w:szCs w:val="24"/>
        </w:rPr>
        <w:t>) that passes through a sample via radiation. This beam is partially converted to kinetic rotation or vibrational energy in the sample energy and resulting signal is collected as a spectrum. This spectral fingerprint is a result of the change in the dipole moment (</w:t>
      </w:r>
      <w:r>
        <w:rPr>
          <w:rFonts w:cstheme="minorHAnsi"/>
          <w:szCs w:val="24"/>
        </w:rPr>
        <w:t>µ</w:t>
      </w:r>
      <w:r>
        <w:rPr>
          <w:rFonts w:cs="Arial"/>
          <w:szCs w:val="24"/>
        </w:rPr>
        <w:t xml:space="preserve">) generated by the vibration of the sample bonds under the beam </w:t>
      </w:r>
      <w:r>
        <w:rPr>
          <w:rFonts w:cs="Arial"/>
          <w:szCs w:val="24"/>
        </w:rPr>
        <w:fldChar w:fldCharType="begin" w:fldLock="1"/>
      </w:r>
      <w:r w:rsidR="00D80A5D">
        <w:rPr>
          <w:rFonts w:cs="Arial"/>
          <w:szCs w:val="24"/>
        </w:rPr>
        <w:instrText>ADDIN CSL_CITATION {"citationItems":[{"id":"ITEM-1","itemData":{"DOI":"10.1016/J.CLAY.2015.05.005","ISSN":"0169-1317","abstract":"Carbon capture, utilization and storage (CCUS) in saline reservoirs in sedimentary formations has the potential to reduce the impact of fossil fuel combustion on climate change by reducing CO2 emissions to the atmosphere and storing the CO2 in geologic formations in perpetuity. At pressure and temperature (PT) conditions relevant to CCUS, CO2 is less dense than the pre-existing brine in the formation, and the more buoyant CO2 will migrate to the top of the formation where it will be in contact with cap rock. Interactions between clay-rich shale cap rocks and CO2 are poorly understood at PT conditions appropriate for CCUS in saline formations. In this study, the interaction of CO2 with clay minerals in the cap rock overlying a saline formation has been examined using Na+ exchanged montmorillonite (Mt) (Na+-STx-1) (Na+ Mt) as an analog for clay-rich shale. Attenuated Total Reflectance-Fourier Transform Infrared Spectroscopy (ATR-FTIR) was used to discern mechanistic information for CO2 interaction with hydrated (both one- and two-water layers) and relatively dehydrated (both dehydrated layers and one-water layers) Na+-STx-1 at 35°C and 50°C and CO2 pressure from 0–5.9MPa. CO2-induced perturbations associated with the water layer and Na+-STx-1 vibrational modes such as AlAlOH and AlMgOH were examined. Data indicate that CO2 is preferentially incorporated into the interlayer space, with relatively dehydrated Na+-STx-1 capable of incorporating more CO2 compared to hydrated Na+-STx-1. Spectroscopic data provide no evidence of formation of carbonate minerals or the interaction of CO2 with sodium cations in the Na+-STx-1 structure.","author":[{"dropping-particle":"","family":"Krukowski","given":"Elizabeth G.","non-dropping-particle":"","parse-names":false,"suffix":""},{"dropping-particle":"","family":"Goodman","given":"Angela","non-dropping-particle":"","parse-names":false,"suffix":""},{"dropping-particle":"","family":"Rother","given":"Gernot","non-dropping-particle":"","parse-names":false,"suffix":""},{"dropping-particle":"","family":"Ilton","given":"Eugene S.","non-dropping-particle":"","parse-names":false,"suffix":""},{"dropping-particle":"","family":"Guthrie","given":"George","non-dropping-particle":"","parse-names":false,"suffix":""},{"dropping-particle":"","family":"Bodnar","given":"Robert J.","non-dropping-particle":"","parse-names":false,"suffix":""}],"container-title":"Applied Clay Science","id":"ITEM-1","issued":{"date-parts":[["2015","9","1"]]},"page":"61-68","publisher":"Elsevier","title":"FT-IR study of CO2 interaction with Na+ exchanged montmorillonite","type":"article-journal","volume":"114"},"uris":["http://www.mendeley.com/documents/?uuid=84270bd5-d772-33cf-8ea1-f4637c48c41e"]},{"id":"ITEM-2","itemData":{"DOI":"10.1007/978-1-4614-3909-7_6","ISBN":"9781461439097","author":[{"dropping-particle":"","family":"Schneider","given":"Matthias","non-dropping-particle":"","parse-names":false,"suffix":""},{"dropping-particle":"","family":"Demoulin","given":"Philippe","non-dropping-particle":"","parse-names":false,"suffix":""},{"dropping-particle":"","family":"Sussmann","given":"Ralf","non-dropping-particle":"","parse-names":false,"suffix":""},{"dropping-particle":"","family":"Notholt","given":"Justus","non-dropping-particle":"","parse-names":false,"suffix":""}],"container-title":"Monitoring Atmospheric Water Vapour: Ground-Based Remote Sensing and In-situ Methods","id":"ITEM-2","issued":{"date-parts":[["2013"]]},"number-of-pages":"95-111","title":"Fourier transform infrared spectrometry","type":"book","volume":"10"},"uris":["http://www.mendeley.com/documents/?uuid=5520b17c-79a9-465e-8266-3974d24f64e5"]}],"mendeley":{"formattedCitation":"[341], [342]","plainTextFormattedCitation":"[341], [342]","previouslyFormattedCitation":"[341], [342]"},"properties":{"noteIndex":0},"schema":"https://github.com/citation-style-language/schema/raw/master/csl-citation.json"}</w:instrText>
      </w:r>
      <w:r>
        <w:rPr>
          <w:rFonts w:cs="Arial"/>
          <w:szCs w:val="24"/>
        </w:rPr>
        <w:fldChar w:fldCharType="separate"/>
      </w:r>
      <w:r w:rsidR="006C586A" w:rsidRPr="006C586A">
        <w:rPr>
          <w:rFonts w:cs="Arial"/>
          <w:noProof/>
          <w:szCs w:val="24"/>
        </w:rPr>
        <w:t>[341], [342]</w:t>
      </w:r>
      <w:r>
        <w:rPr>
          <w:rFonts w:cs="Arial"/>
          <w:szCs w:val="24"/>
        </w:rPr>
        <w:fldChar w:fldCharType="end"/>
      </w:r>
      <w:r>
        <w:rPr>
          <w:rFonts w:cs="Arial"/>
          <w:szCs w:val="24"/>
        </w:rPr>
        <w:t xml:space="preserve">.  </w:t>
      </w:r>
    </w:p>
    <w:p w14:paraId="29EA8D48" w14:textId="36DE66A7" w:rsidR="00007F6C" w:rsidRDefault="00007F6C" w:rsidP="00007F6C">
      <w:pPr>
        <w:jc w:val="both"/>
        <w:rPr>
          <w:rFonts w:cs="Arial"/>
          <w:szCs w:val="24"/>
        </w:rPr>
      </w:pPr>
      <w:r>
        <w:rPr>
          <w:rFonts w:cs="Arial"/>
          <w:szCs w:val="24"/>
        </w:rPr>
        <w:t xml:space="preserve">The FT-IR instrument used during this work was a Shimadzu IRAffinity-1S instrument. The 4000 scans were taken for each sample. </w:t>
      </w:r>
      <w:r w:rsidRPr="004B24E4">
        <w:rPr>
          <w:rFonts w:cs="Arial"/>
          <w:szCs w:val="24"/>
        </w:rPr>
        <w:t xml:space="preserve">The FT-IR </w:t>
      </w:r>
      <w:r>
        <w:rPr>
          <w:rFonts w:cs="Arial"/>
          <w:szCs w:val="24"/>
        </w:rPr>
        <w:t xml:space="preserve">was </w:t>
      </w:r>
      <w:r w:rsidRPr="004B24E4">
        <w:rPr>
          <w:rFonts w:cs="Arial"/>
          <w:szCs w:val="24"/>
        </w:rPr>
        <w:t xml:space="preserve">used in attenuated total reflection (ATR) mode </w:t>
      </w:r>
      <w:r>
        <w:rPr>
          <w:rFonts w:cs="Arial"/>
          <w:szCs w:val="24"/>
        </w:rPr>
        <w:t xml:space="preserve">which used the change of refractive indexes induced with the presence of a sample in relation to an internal reflecting element </w:t>
      </w:r>
      <w:r>
        <w:rPr>
          <w:rFonts w:cs="Arial"/>
          <w:szCs w:val="24"/>
        </w:rPr>
        <w:fldChar w:fldCharType="begin" w:fldLock="1"/>
      </w:r>
      <w:r w:rsidR="00D80A5D">
        <w:rPr>
          <w:rFonts w:cs="Arial"/>
          <w:szCs w:val="24"/>
        </w:rPr>
        <w:instrText>ADDIN CSL_CITATION {"citationItems":[{"id":"ITEM-1","itemData":{"DOI":"10.1007/978-1-4614-3909-7_6","ISBN":"9781461439097","author":[{"dropping-particle":"","family":"Schneider","given":"Matthias","non-dropping-particle":"","parse-names":false,"suffix":""},{"dropping-particle":"","family":"Demoulin","given":"Philippe","non-dropping-particle":"","parse-names":false,"suffix":""},{"dropping-particle":"","family":"Sussmann","given":"Ralf","non-dropping-particle":"","parse-names":false,"suffix":""},{"dropping-particle":"","family":"Notholt","given":"Justus","non-dropping-particle":"","parse-names":false,"suffix":""}],"container-title":"Monitoring Atmospheric Water Vapour: Ground-Based Remote Sensing and In-situ Methods","id":"ITEM-1","issued":{"date-parts":[["2013"]]},"number-of-pages":"95-111","title":"Fourier transform infrared spectrometry","type":"book","volume":"10"},"uris":["http://www.mendeley.com/documents/?uuid=5520b17c-79a9-465e-8266-3974d24f64e5"]}],"mendeley":{"formattedCitation":"[341]","plainTextFormattedCitation":"[341]","previouslyFormattedCitation":"[341]"},"properties":{"noteIndex":0},"schema":"https://github.com/citation-style-language/schema/raw/master/csl-citation.json"}</w:instrText>
      </w:r>
      <w:r>
        <w:rPr>
          <w:rFonts w:cs="Arial"/>
          <w:szCs w:val="24"/>
        </w:rPr>
        <w:fldChar w:fldCharType="separate"/>
      </w:r>
      <w:r w:rsidR="006C586A" w:rsidRPr="006C586A">
        <w:rPr>
          <w:rFonts w:cs="Arial"/>
          <w:noProof/>
          <w:szCs w:val="24"/>
        </w:rPr>
        <w:t>[341]</w:t>
      </w:r>
      <w:r>
        <w:rPr>
          <w:rFonts w:cs="Arial"/>
          <w:szCs w:val="24"/>
        </w:rPr>
        <w:fldChar w:fldCharType="end"/>
      </w:r>
      <w:r>
        <w:rPr>
          <w:rFonts w:cs="Arial"/>
          <w:szCs w:val="24"/>
        </w:rPr>
        <w:t xml:space="preserve">. </w:t>
      </w:r>
    </w:p>
    <w:p w14:paraId="263ACB3D" w14:textId="6ED47294" w:rsidR="00007F6C" w:rsidRDefault="00007F6C" w:rsidP="00007F6C">
      <w:pPr>
        <w:jc w:val="both"/>
      </w:pPr>
      <w:r>
        <w:t>A Shimadzu IRAffinity-1S Fourier Transform Infra-red Spectrophotometer was used to determine the phase transitions present during the drying and calcination of the transition metal nitrate. This includes checking whether an oxynitrate had formed after the calcination step. Each sample was scanned for a period of</w:t>
      </w:r>
      <w:r w:rsidRPr="00232BCD">
        <w:t xml:space="preserve"> 1600 </w:t>
      </w:r>
      <w:r>
        <w:t>cycles. Each of the samples were dried in a drying oven at 120</w:t>
      </w:r>
      <w:r w:rsidR="004F4702">
        <w:t xml:space="preserve"> </w:t>
      </w:r>
      <w:r>
        <w:rPr>
          <w:rFonts w:cstheme="minorHAnsi"/>
        </w:rPr>
        <w:t>⁰</w:t>
      </w:r>
      <w:r>
        <w:t>C for 2h prior to FTIR assessment to remove any excess moisture from the powders.</w:t>
      </w:r>
    </w:p>
    <w:p w14:paraId="3893B2F6" w14:textId="25F1A2EE" w:rsidR="00007F6C" w:rsidRPr="0075058C" w:rsidRDefault="00007F6C" w:rsidP="00007F6C">
      <w:pPr>
        <w:jc w:val="both"/>
      </w:pPr>
      <w:r>
        <w:lastRenderedPageBreak/>
        <w:t xml:space="preserve">One of the benefits of FTIR is that the absorption peaks related to the ceramic backbone do not overlap with the nickel oxide catalyst meaning that the decomposition of the nickel nitrate to nickel oxide can be mapped sufficiently </w:t>
      </w:r>
      <w:r>
        <w:fldChar w:fldCharType="begin" w:fldLock="1"/>
      </w:r>
      <w:r w:rsidR="00D80A5D">
        <w:instrText>ADDIN CSL_CITATION {"citationItems":[{"id":"ITEM-1","itemData":{"DOI":"10.7508/jns.2015.02.009","ISSN":"2322-4142","abstract":"The aim of the present study was to prepare nano-sized calcium fluoride (CaF2). Calcium fluoride nanoparticles were synthesized by CaCl2.6H2O and ammonium fluoride. Nanoparticles were synthesized by co-precipitation method. The synthesized nanocrystals were characterized by X-ray diffraction (XRD), Fourier transform infrared spectroscopy (FTIR), scanning electron microscopy (SEM). The crystallite size estimated using Scherer’s formula was found to be in the range of 20–30nm for nanocrystals synthesized by this method. The morphological features as studied using SEM revealed that the nanoparticles were agglomerated, crispy with porous. Keywords:","author":[{"dropping-particle":"","family":"Das","given":"D.","non-dropping-particle":"","parse-names":false,"suffix":""},{"dropping-particle":"","family":"Gharib","given":"F.","non-dropping-particle":"","parse-names":false,"suffix":""}],"container-title":"International Journal of Bio-Inorganic Hybrid Nanomaterials","id":"ITEM-1","issue":"2","issued":{"date-parts":[["2015"]]},"page":"59-64","title":"Cubic NiO Nanoparticles: Synthesis and Characterization","type":"article-journal","volume":"4"},"uris":["http://www.mendeley.com/documents/?uuid=c798eb58-f3d5-4e34-8abe-653250e879f5"]},{"id":"ITEM-2","itemData":{"DOI":"10.7508/jns.2015.02.009","ISSN":"2322-4142","abstract":"In the current paper,Nanostructured Nickel oxide (NiO) were synthesized by co-precipitation method using Nickel(II) Chloride Hexahydrate (NiCl2.6H2O) and sodium hydroxide (NaOH) as starting material. Structural, optical and magnetic properties of nanostructures were characterized by X-ray diffraction (XRD), scanning electron microscopy (SEM), Atomic force microscope (AFM), UV–Vis absorption; Fourier transformed infrared (FTIR) and vibrating sample magnetometer (VSM) technique. The X-ray diffraction pattern studies revealed the NiO have a face-centered cubic (FCC) structure and confirmed the presence of high degree of crystallinity nature NiO nanoparticles that their average size is found to be 26 nm. The composition of nanostructures confirmed by analysis of FTIR spectra. The average size of the NiO nanoparticle observed from scanning electron microscopy images is found to be dimensions about 24 nm. Magnetic measurement confirmed the Nickel Oxide nanostructures superparamagnetic behavior at room temperature (RT) after calcinations.","author":[{"dropping-particle":"","family":"Dehno Khalaji","given":"A.","non-dropping-particle":"","parse-names":false,"suffix":""},{"dropping-particle":"","family":"Das","given":"D.","non-dropping-particle":"","parse-names":false,"suffix":""},{"dropping-particle":"","family":"Matalobos","given":"J.","non-dropping-particle":"","parse-names":false,"suffix":""},{"dropping-particle":"","family":"Gharib","given":"F.","non-dropping-particle":"","parse-names":false,"suffix":""}],"container-title":"International Journal of Bio-Inorganic Hybrid Nanomaterials","id":"ITEM-2","issue":"2","issued":{"date-parts":[["2015"]]},"page":"59-64","title":"Cubic NiO Nanoparticles: Synthesis and Characterization","type":"article-journal","volume":"4"},"uris":["http://www.mendeley.com/documents/?uuid=ec4ea8bb-3afb-4c5f-9792-283af3c8e54c"]}],"mendeley":{"formattedCitation":"[340], [343]","plainTextFormattedCitation":"[340], [343]","previouslyFormattedCitation":"[340], [343]"},"properties":{"noteIndex":0},"schema":"https://github.com/citation-style-language/schema/raw/master/csl-citation.json"}</w:instrText>
      </w:r>
      <w:r>
        <w:fldChar w:fldCharType="separate"/>
      </w:r>
      <w:r w:rsidR="006C586A" w:rsidRPr="006C586A">
        <w:rPr>
          <w:noProof/>
        </w:rPr>
        <w:t>[340], [343]</w:t>
      </w:r>
      <w:r>
        <w:fldChar w:fldCharType="end"/>
      </w:r>
      <w:r>
        <w:t xml:space="preserve">. </w:t>
      </w:r>
    </w:p>
    <w:p w14:paraId="15454C01" w14:textId="08925E55" w:rsidR="00007F6C" w:rsidRDefault="00007F6C" w:rsidP="00007F6C">
      <w:pPr>
        <w:jc w:val="both"/>
        <w:rPr>
          <w:rFonts w:cs="Arial"/>
          <w:szCs w:val="24"/>
        </w:rPr>
      </w:pPr>
      <w:r>
        <w:rPr>
          <w:rFonts w:cs="Arial"/>
          <w:szCs w:val="24"/>
        </w:rPr>
        <w:t xml:space="preserve">However, FT-IR does suffer from some drawbacks. Data analysis is nontrivial especially if the compounds being analysed produce discrete absorption peaks which may have shifted due to compositional and functional groups </w:t>
      </w:r>
      <w:r>
        <w:rPr>
          <w:rFonts w:cs="Arial"/>
          <w:szCs w:val="24"/>
        </w:rPr>
        <w:fldChar w:fldCharType="begin" w:fldLock="1"/>
      </w:r>
      <w:r w:rsidR="00D80A5D">
        <w:rPr>
          <w:rFonts w:cs="Arial"/>
          <w:szCs w:val="24"/>
        </w:rPr>
        <w:instrText>ADDIN CSL_CITATION {"citationItems":[{"id":"ITEM-1","itemData":{"ISBN":"9781786340832","author":[{"dropping-particle":"","family":"Prins","given":"R","non-dropping-particle":"","parse-names":false,"suffix":""},{"dropping-particle":"","family":"Wang","given":"A","non-dropping-particle":"","parse-names":false,"suffix":""},{"dropping-particle":"","family":"Li","given":"X","non-dropping-particle":"","parse-names":false,"suffix":""}],"collection-title":"Advanced Tetxtbooks in Chemistry","id":"ITEM-1","issued":{"date-parts":[["2016"]]},"publisher":"World Scientific Publishing Company","title":"Introduction to Heterogeneous Catalysis","type":"book"},"uris":["http://www.mendeley.com/documents/?uuid=791c55bd-09cb-4693-a698-17d41c597b23"]},{"id":"ITEM-2","itemData":{"ISBN":"9783527292882","author":[{"dropping-particle":"","family":"Thomas","given":"J M","non-dropping-particle":"","parse-names":false,"suffix":""},{"dropping-particle":"","family":"Thomas","given":"W J","non-dropping-particle":"","parse-names":false,"suffix":""}],"id":"ITEM-2","issued":{"date-parts":[["1997"]]},"publisher":"VCH","title":"Principles and practice of heterogeneous catalysis","type":"book"},"uris":["http://www.mendeley.com/documents/?uuid=8987bcb7-a496-460f-bac8-295454041508"]}],"mendeley":{"formattedCitation":"[297], [319]","plainTextFormattedCitation":"[297], [319]","previouslyFormattedCitation":"[297], [319]"},"properties":{"noteIndex":0},"schema":"https://github.com/citation-style-language/schema/raw/master/csl-citation.json"}</w:instrText>
      </w:r>
      <w:r>
        <w:rPr>
          <w:rFonts w:cs="Arial"/>
          <w:szCs w:val="24"/>
        </w:rPr>
        <w:fldChar w:fldCharType="separate"/>
      </w:r>
      <w:r w:rsidR="006C586A" w:rsidRPr="006C586A">
        <w:rPr>
          <w:rFonts w:cs="Arial"/>
          <w:noProof/>
          <w:szCs w:val="24"/>
        </w:rPr>
        <w:t>[297], [319]</w:t>
      </w:r>
      <w:r>
        <w:rPr>
          <w:rFonts w:cs="Arial"/>
          <w:szCs w:val="24"/>
        </w:rPr>
        <w:fldChar w:fldCharType="end"/>
      </w:r>
      <w:r>
        <w:rPr>
          <w:rFonts w:cs="Arial"/>
          <w:szCs w:val="24"/>
        </w:rPr>
        <w:t xml:space="preserve">. Atmospheric moisture is also present in the spectra since the beam passes through air which could make analysis of dried compounds hard. The use of ATR can also provide some issues with beam penetration limited by the sample thickness </w:t>
      </w:r>
      <w:r>
        <w:rPr>
          <w:rFonts w:cs="Arial"/>
          <w:szCs w:val="24"/>
        </w:rPr>
        <w:fldChar w:fldCharType="begin" w:fldLock="1"/>
      </w:r>
      <w:r w:rsidR="00D80A5D">
        <w:rPr>
          <w:rFonts w:cs="Arial"/>
          <w:szCs w:val="24"/>
        </w:rPr>
        <w:instrText>ADDIN CSL_CITATION {"citationItems":[{"id":"ITEM-1","itemData":{"DOI":"10.1007/978-1-4614-3909-7_6","ISBN":"9781461439097","author":[{"dropping-particle":"","family":"Schneider","given":"Matthias","non-dropping-particle":"","parse-names":false,"suffix":""},{"dropping-particle":"","family":"Demoulin","given":"Philippe","non-dropping-particle":"","parse-names":false,"suffix":""},{"dropping-particle":"","family":"Sussmann","given":"Ralf","non-dropping-particle":"","parse-names":false,"suffix":""},{"dropping-particle":"","family":"Notholt","given":"Justus","non-dropping-particle":"","parse-names":false,"suffix":""}],"container-title":"Monitoring Atmospheric Water Vapour: Ground-Based Remote Sensing and In-situ Methods","id":"ITEM-1","issued":{"date-parts":[["2013"]]},"number-of-pages":"95-111","title":"Fourier transform infrared spectrometry","type":"book","volume":"10"},"uris":["http://www.mendeley.com/documents/?uuid=5520b17c-79a9-465e-8266-3974d24f64e5"]}],"mendeley":{"formattedCitation":"[341]","plainTextFormattedCitation":"[341]","previouslyFormattedCitation":"[341]"},"properties":{"noteIndex":0},"schema":"https://github.com/citation-style-language/schema/raw/master/csl-citation.json"}</w:instrText>
      </w:r>
      <w:r>
        <w:rPr>
          <w:rFonts w:cs="Arial"/>
          <w:szCs w:val="24"/>
        </w:rPr>
        <w:fldChar w:fldCharType="separate"/>
      </w:r>
      <w:r w:rsidR="006C586A" w:rsidRPr="006C586A">
        <w:rPr>
          <w:rFonts w:cs="Arial"/>
          <w:noProof/>
          <w:szCs w:val="24"/>
        </w:rPr>
        <w:t>[341]</w:t>
      </w:r>
      <w:r>
        <w:rPr>
          <w:rFonts w:cs="Arial"/>
          <w:szCs w:val="24"/>
        </w:rPr>
        <w:fldChar w:fldCharType="end"/>
      </w:r>
      <w:r>
        <w:rPr>
          <w:rFonts w:cs="Arial"/>
          <w:szCs w:val="24"/>
        </w:rPr>
        <w:t>.</w:t>
      </w:r>
    </w:p>
    <w:p w14:paraId="1E818487" w14:textId="77777777" w:rsidR="00007F6C" w:rsidRDefault="00007F6C" w:rsidP="00007F6C">
      <w:pPr>
        <w:jc w:val="both"/>
        <w:rPr>
          <w:rFonts w:cs="Arial"/>
          <w:color w:val="FFC000"/>
          <w:szCs w:val="24"/>
        </w:rPr>
      </w:pPr>
      <w:r>
        <w:rPr>
          <w:rFonts w:cs="Arial"/>
          <w:szCs w:val="24"/>
        </w:rPr>
        <w:t>FT-IR was used in this work to confirm that the calcination routine had successfully produced nickel oxide and to monitor if any oxynitrate complexes had been formed during drying.</w:t>
      </w:r>
    </w:p>
    <w:p w14:paraId="69C5F16D" w14:textId="7348CA44" w:rsidR="00007F6C" w:rsidRDefault="00007F6C" w:rsidP="00007F6C">
      <w:pPr>
        <w:pStyle w:val="Heading3"/>
        <w:rPr>
          <w:rFonts w:asciiTheme="minorHAnsi" w:hAnsiTheme="minorHAnsi" w:cs="Arial"/>
        </w:rPr>
      </w:pPr>
      <w:bookmarkStart w:id="256" w:name="_Toc69129393"/>
      <w:r>
        <w:rPr>
          <w:rFonts w:asciiTheme="minorHAnsi" w:hAnsiTheme="minorHAnsi" w:cs="Arial"/>
        </w:rPr>
        <w:t>3.3.</w:t>
      </w:r>
      <w:r w:rsidR="00730347">
        <w:rPr>
          <w:rFonts w:asciiTheme="minorHAnsi" w:hAnsiTheme="minorHAnsi" w:cs="Arial"/>
        </w:rPr>
        <w:t>5</w:t>
      </w:r>
      <w:r>
        <w:rPr>
          <w:rFonts w:asciiTheme="minorHAnsi" w:hAnsiTheme="minorHAnsi" w:cs="Arial"/>
        </w:rPr>
        <w:t xml:space="preserve"> Electrochemical Impedance Spectroscopy</w:t>
      </w:r>
      <w:bookmarkEnd w:id="256"/>
    </w:p>
    <w:p w14:paraId="69CBE040" w14:textId="77777777" w:rsidR="00007F6C" w:rsidRPr="002B6C9E" w:rsidRDefault="00007F6C" w:rsidP="00007F6C">
      <w:pPr>
        <w:jc w:val="both"/>
      </w:pPr>
      <w:r>
        <w:t>Electrochemical Impedance Spectroscopy (EIS) is a versatile technique used to extract the resistance and capacitance values of a sample as function of temperature. This technique is well suited to the study of interfacial phenomena. It has been</w:t>
      </w:r>
      <w:r w:rsidRPr="002B6C9E">
        <w:t xml:space="preserve"> a mainstay for assessing the macroscopic properties of the electrode material on both sides of the </w:t>
      </w:r>
      <w:r>
        <w:t>SOFC</w:t>
      </w:r>
      <w:r w:rsidRPr="002B6C9E">
        <w:t xml:space="preserve"> electrolyte. As the primary method of functional analysis, it has been the most popular technique in terms of experimental design.</w:t>
      </w:r>
    </w:p>
    <w:p w14:paraId="4D66E88B" w14:textId="77777777" w:rsidR="00007F6C" w:rsidRPr="002B6C9E" w:rsidRDefault="00007F6C" w:rsidP="00007F6C">
      <w:pPr>
        <w:jc w:val="both"/>
      </w:pPr>
      <w:r w:rsidRPr="002B6C9E">
        <w:t>One of the largest characterisation issues with the current wet impregnated anode literature is due to the size of the nanoparticle catalysts such as nickel. To a large degree the macroscopic approach to degradation has been widely covered by various sources in the literature.</w:t>
      </w:r>
    </w:p>
    <w:p w14:paraId="7FF3E88B" w14:textId="77777777" w:rsidR="00007F6C" w:rsidRPr="002B6C9E" w:rsidRDefault="00007F6C" w:rsidP="00007F6C">
      <w:pPr>
        <w:spacing w:after="0" w:line="240" w:lineRule="auto"/>
        <w:jc w:val="both"/>
      </w:pPr>
      <w:r w:rsidRPr="002B6C9E">
        <w:t xml:space="preserve">Impedance spectroscopy involves the variation of frequency with a view to affecting the electrical relaxation response of a sample across time. The impedance of a sample consists of two pieces which require calculating: a reactive (conductive/inductive) and resistive segment. </w:t>
      </w:r>
    </w:p>
    <w:p w14:paraId="4B2D2AB6" w14:textId="77777777" w:rsidR="00007F6C" w:rsidRPr="002B6C9E" w:rsidRDefault="00007F6C" w:rsidP="00007F6C">
      <w:pPr>
        <w:spacing w:after="0" w:line="240" w:lineRule="auto"/>
        <w:jc w:val="both"/>
        <w:rPr>
          <w:color w:val="0070C0"/>
        </w:rPr>
      </w:pPr>
    </w:p>
    <w:p w14:paraId="1ECC58AB" w14:textId="77777777" w:rsidR="00007F6C" w:rsidRDefault="00007F6C" w:rsidP="00007F6C">
      <w:pPr>
        <w:jc w:val="both"/>
      </w:pPr>
      <w:r w:rsidRPr="002B6C9E">
        <w:t>The major benefit of this technique is its flexibility in terms of assessment as individual conductive and resistive parts can be calculated for separate sections of the material. The method of taking an EIS measurement is listed below:</w:t>
      </w:r>
    </w:p>
    <w:p w14:paraId="207255B7" w14:textId="77777777" w:rsidR="00007F6C" w:rsidRPr="002B6C9E" w:rsidRDefault="00007F6C" w:rsidP="00007F6C">
      <w:pPr>
        <w:pStyle w:val="ListParagraph"/>
        <w:numPr>
          <w:ilvl w:val="0"/>
          <w:numId w:val="10"/>
        </w:numPr>
        <w:spacing w:after="0" w:line="240" w:lineRule="auto"/>
        <w:jc w:val="both"/>
      </w:pPr>
      <w:r w:rsidRPr="002B6C9E">
        <w:t>An AC voltage is applied across a standard resistor and the sample (which are in series)</w:t>
      </w:r>
    </w:p>
    <w:p w14:paraId="5D4F0CCB" w14:textId="77777777" w:rsidR="00007F6C" w:rsidRPr="002B6C9E" w:rsidRDefault="00007F6C" w:rsidP="00007F6C">
      <w:pPr>
        <w:pStyle w:val="ListParagraph"/>
        <w:numPr>
          <w:ilvl w:val="0"/>
          <w:numId w:val="10"/>
        </w:numPr>
        <w:spacing w:after="0" w:line="240" w:lineRule="auto"/>
        <w:jc w:val="both"/>
      </w:pPr>
      <w:r w:rsidRPr="002B6C9E">
        <w:t>In and out of phase components of voltage across the samples are then measured</w:t>
      </w:r>
    </w:p>
    <w:p w14:paraId="3CAAB43E" w14:textId="77777777" w:rsidR="00007F6C" w:rsidRPr="002B6C9E" w:rsidRDefault="00007F6C" w:rsidP="00007F6C">
      <w:pPr>
        <w:pStyle w:val="ListParagraph"/>
        <w:numPr>
          <w:ilvl w:val="0"/>
          <w:numId w:val="10"/>
        </w:numPr>
        <w:spacing w:after="0" w:line="240" w:lineRule="auto"/>
        <w:jc w:val="both"/>
      </w:pPr>
      <w:r w:rsidRPr="002B6C9E">
        <w:t>Dividing these parts by the current produces the resistive and reactive components of the impedance.</w:t>
      </w:r>
    </w:p>
    <w:p w14:paraId="7BD188F5" w14:textId="77777777" w:rsidR="00007F6C" w:rsidRPr="002B6C9E" w:rsidRDefault="00007F6C" w:rsidP="00007F6C">
      <w:pPr>
        <w:pStyle w:val="ListParagraph"/>
        <w:numPr>
          <w:ilvl w:val="0"/>
          <w:numId w:val="10"/>
        </w:numPr>
        <w:spacing w:after="0" w:line="240" w:lineRule="auto"/>
        <w:jc w:val="both"/>
      </w:pPr>
      <w:r w:rsidRPr="002B6C9E">
        <w:t>With each frequency increment the measurements are repeated up to the desired frequency</w:t>
      </w:r>
    </w:p>
    <w:p w14:paraId="3080286C" w14:textId="77777777" w:rsidR="00007F6C" w:rsidRPr="002B6C9E" w:rsidRDefault="00007F6C" w:rsidP="00007F6C">
      <w:pPr>
        <w:spacing w:after="0" w:line="240" w:lineRule="auto"/>
        <w:jc w:val="both"/>
        <w:rPr>
          <w:color w:val="0070C0"/>
        </w:rPr>
      </w:pPr>
    </w:p>
    <w:p w14:paraId="3F9B962B" w14:textId="4595FDC6" w:rsidR="00007F6C" w:rsidRDefault="00007F6C" w:rsidP="00007F6C">
      <w:pPr>
        <w:jc w:val="both"/>
      </w:pPr>
      <w:r w:rsidRPr="002B6C9E">
        <w:t>This technique can isolate the different sources of resistance</w:t>
      </w:r>
      <w:r>
        <w:t xml:space="preserve"> contributions</w:t>
      </w:r>
      <w:r w:rsidRPr="002B6C9E">
        <w:t xml:space="preserve"> from bulk resistance </w:t>
      </w:r>
      <w:r>
        <w:t>sources</w:t>
      </w:r>
      <w:r w:rsidRPr="002B6C9E">
        <w:t xml:space="preserve"> to grain boundary segments. The most common form of </w:t>
      </w:r>
      <w:r>
        <w:t xml:space="preserve">EIS plot is the Nyquist plot which maps the </w:t>
      </w:r>
      <w:r w:rsidRPr="002B6C9E">
        <w:t>response of a linear system to different frequencies. This is shown by plotting the natural log of the imaginary frequency response against the logarithmic real frequency contribution of the system. The contribution of a Ni/YSZ anode usually shows an arc based on the x axis under a frequency of 10,000 Hz</w:t>
      </w:r>
      <w:r>
        <w:t xml:space="preserve"> </w:t>
      </w:r>
      <w:r>
        <w:fldChar w:fldCharType="begin" w:fldLock="1"/>
      </w:r>
      <w:r w:rsidR="00D80A5D">
        <w:instrText>ADDIN CSL_CITATION {"citationItems":[{"id":"ITEM-1","itemData":{"DOI":"10.1016/j.ssi.2006.02.007","ISBN":"01672738 (ISSN)","ISSN":"01672738","abstract":"NiO-coated YSZ composite powders were synthesized through the Pechini process in order to improve the performance and durability of SOFC anodes. Their microstructures and electrical properties have been investigated with thermal and redox cycling tests. The coverage of NiO crystals on the YSZ surface could be modulated by controlling the composition of the reaction mixture and the ratio of NiO and YSZ. Ni-YSZ electrodes were manufactured by sintering the die-pressed NiO-YSZ pellet at 1400 °C for 3 h, followed by reducing it to 800 °C under hydrogen atmosphere. The anode made from NiO/YSZ composite powder, which has a high homogeneity and plenty of contact sites between Ni and YSZ, has an excellent tolerance against thermal and redox cycling. The maximum power density of a single cell made from NiO/YSZ composite powder was 0.56 W cm- 2 at 800 °C in reactive gases of humidified hydrogen and air. It can be concluded that the functional NiO/YSZ composite powder will suppress the degradation of anodes and enhance the long-term and redox stability of the unit cell at elevated temperatures. © 2006 Elsevier B.V. All rights reserved.","author":[{"dropping-particle":"","family":"HYUN","given":"S","non-dropping-particle":"","parse-names":false,"suffix":""},{"dropping-particle":"","family":"LEE","given":"H","non-dropping-particle":"","parse-names":false,"suffix":""},{"dropping-particle":"","family":"MOON","given":"J","non-dropping-particle":"","parse-names":false,"suffix":""},{"dropping-particle":"","family":"KIM","given":"J","non-dropping-particle":"","parse-names":false,"suffix":""},{"dropping-particle":"","family":"KIM","given":"S","non-dropping-particle":"","parse-names":false,"suffix":""},{"dropping-particle":"","family":"MOON","given":"H","non-dropping-particle":"","parse-names":false,"suffix":""}],"container-title":"Solid State Ionics","id":"ITEM-1","issue":"9-10","issued":{"date-parts":[["2006"]]},"language":"English","note":"Cited By :99\nExport Date: 3 November 2016\nCODEN: SSIOD\nCorrespondence Address: Hyun, S.-H.; School of Advanced Materials Science and Engineering, Yonsei University, Seoul, 120-749, South Korea; email: prohsh@yonsei.ac.kr\nReferences: Primdahl, S., Mogensen, M., (2000) J. Appl. Electrochem., 30, p. 247; Lee, C.H., Lee, C.H., Lee, H.Y., Oh, S.M., (1997) Solid State Ionics, 98, p. 39; Mogensen, M., Primdahl, S.P., Jorgensen, M.J., Bagger, C., (2000) J. Electroceram., 5 (2), p. 141; Jiang, S.P., (2003) J. Mater. Sci., 38, p. 3775; Waldbillig, D., Wood, A., Ivey, D.G., (2005) J. Power Sources, 145, p. 206; Liu, Y.L., Jiao, C., (2005) Solid State Ionics, 176, p. 435; Hsiao, Y.C., Selman, J.R., (1997) Solid State Ionics, 98, p. 33; Koide, H., Someya, Y., Yoshida, T., Maruyama, T., (2000) Solid State Ionics, 132, p. 253; Wilkenhoener, R., Vasen, R., Buchkremer, H.P., Stover, D., (1999) J. Mater. Sci., 34, p. 257; Lee, J.H., Moon, H., Lee, H.W., Kim, J., Kim, J.D., Yoon, K.H., (2002) Solid State Ionics, 148, p. 15; Xu, B.Q., Wei, J.M., Yu, Y.T., Li, Y., Li, J.L., Zhu, Q.M., (2003) J. Phys. Chem., B, 107, p. 5203; Mogensen, M., Skaarup, S., (1996) Solid State Ionics, 86-88, p. 1151; Fukui, T., Murata, K., Ohara, S., Abe, H., Naito, M., Nogi, K., (2004) J. Power Sources, 125, p. 17; Moon, J.W., Lee, H.L., Kim, J.D., Kim, G.D., Lee, D.A., Lee, H.W., (1999) Mater. Lett., 38, p. 214; Duran, P., Tartaj, J., Capel, F., Moure, C., (2003) J. Eur. Ceram. Soc., 23, p. 2125; Pratihar, S.K., Sharma, A.D., Basu, R.N., Maiti, H.S., (2004) J. Power Sources, 129, p. 138; Wang, F.H., Guo, R.S., Wei, Q.T., Zhou, Y., Li, H.L., Li, S.L., (2004) Mater. Lett., 58, p. 3079; Gen, G., Guo, Z.X., Davies, C.K.L., (2000) Scr. Mater., 43, p. 307; Kim, S.D., Hyun, S.H., Moon, J., Kim, J.H., Song, R.H., (2005) J. Power Sources, 139, p. 67; Pomfret, M.B., Stolts, C., Varughese, B., Walker, R.A., (2005) Anal. Chem., 77, p. 1791; Dongare, M.K., Malshe, K., Gopinath, C.S., Murwani, I.K., Kemnitz, E., (2004) J. Catal., 222, p. 80; Symianakis, E., Ladas, S., Evangelakis, G.A., (2003) Appl. Surf. Sci., 217, p. 239; Zhang, H.L., Wang, D.Z., Yang, B., Huang, N.K., (1997) Phys. Statatus Solidi, A, 160, p. 145; Simwonis, D., Tietz, F., Stover, D., (2000) Solid State Ionics, 132, p. 241; Simwonis, D., Naoumidis, A., Dias, F.J., Linke, J., Moropoulou, A., (1997) J. Mater. Res., 12 (6), p. 1508","page":"931-938","title":"Performance and durability of Ni-coated YSZ anodes for intermediate temperature solid oxide fuel cells","type":"article-journal","volume":"177"},"uris":["http://www.mendeley.com/documents/?uuid=40967ba4-70ff-49f1-a7aa-933ed1490106"]},{"id":"ITEM-2","itemData":{"DOI":"10.1016/S0167-2738(99)00299-4","ISSN":"01672738","abstract":"The electrochemical performance of a porous nickel electrode with its surface modified by deposition with fine yttria-stabilized zirconia (YSZ) powder is compared with that of the `bare' electrode. Image analysis of the electrode microstructure yields values for the triple phase boundary (TPB) length in the range of 45-61 m cm-2. The nickel coverage is in the range of 55-72%. The hydrogen oxidation reaction studied on the two types of electrodes indicates that the electrode reaction is dominated by one process, suggesting a common rate-determining step. The total electrode conductivity increases with increasing TPB length. However, at similar TPB length the electrode conductivity of the modified porous nickel electrode is considerably higher than that of the bare nickel electrode. This result indicates that the presence of fine YSZ particles on the nickel electrode surface creates additional active sites onto which the electrode reaction can proceed. The data of this study are interpreted to reflect an active role for YSZ in the Ni/YSZ SOFC cermet anode.","author":[{"dropping-particle":"","family":"Boer","given":"B.","non-dropping-particle":"de","parse-names":false,"suffix":""},{"dropping-particle":"","family":"Gonzalez","given":"M.","non-dropping-particle":"","parse-names":false,"suffix":""},{"dropping-particle":"","family":"Bouwmeester","given":"H. J.M.","non-dropping-particle":"","parse-names":false,"suffix":""},{"dropping-particle":"","family":"Verweij","given":"H.","non-dropping-particle":"","parse-names":false,"suffix":""}],"container-title":"Solid State Ionics","id":"ITEM-2","issue":"3","issued":{"date-parts":[["2000"]]},"page":"269-276","title":"Effect of the presence of fine YSZ particles on the performance of porous nickel electrodes","type":"article-journal","volume":"127"},"uris":["http://www.mendeley.com/documents/?uuid=1e1c0152-4ab0-4274-9eea-a364bcccd12e"]}],"mendeley":{"formattedCitation":"[66], [133]","plainTextFormattedCitation":"[66], [133]","previouslyFormattedCitation":"[66], [133]"},"properties":{"noteIndex":0},"schema":"https://github.com/citation-style-language/schema/raw/master/csl-citation.json"}</w:instrText>
      </w:r>
      <w:r>
        <w:fldChar w:fldCharType="separate"/>
      </w:r>
      <w:r w:rsidR="006C586A" w:rsidRPr="006C586A">
        <w:rPr>
          <w:noProof/>
        </w:rPr>
        <w:t>[66], [133]</w:t>
      </w:r>
      <w:r>
        <w:fldChar w:fldCharType="end"/>
      </w:r>
      <w:r w:rsidRPr="002B6C9E">
        <w:t xml:space="preserve">. </w:t>
      </w:r>
    </w:p>
    <w:p w14:paraId="4EDCCEC8" w14:textId="77777777" w:rsidR="00007F6C" w:rsidRPr="00C5318F" w:rsidRDefault="00007F6C" w:rsidP="00007F6C">
      <w:pPr>
        <w:keepNext/>
        <w:jc w:val="both"/>
        <w:rPr>
          <w:rFonts w:eastAsiaTheme="minorEastAsia"/>
        </w:rPr>
      </w:pPr>
      <m:oMathPara>
        <m:oMath>
          <m:r>
            <m:rPr>
              <m:sty m:val="p"/>
            </m:rPr>
            <w:rPr>
              <w:rFonts w:ascii="Cambria Math" w:hAnsi="Cambria Math"/>
            </w:rPr>
            <m:t>Relaxation Time, τ=RC</m:t>
          </m:r>
        </m:oMath>
      </m:oMathPara>
    </w:p>
    <w:p w14:paraId="07F59C5C" w14:textId="47DFD10B" w:rsidR="00007F6C" w:rsidRPr="00526073" w:rsidRDefault="00007F6C" w:rsidP="00007F6C">
      <w:pPr>
        <w:pStyle w:val="Caption"/>
        <w:jc w:val="right"/>
        <w:rPr>
          <w:i w:val="0"/>
          <w:iCs w:val="0"/>
          <w:color w:val="auto"/>
          <w:sz w:val="22"/>
          <w:szCs w:val="22"/>
        </w:rPr>
      </w:pPr>
      <w:bookmarkStart w:id="257" w:name="_Ref51676917"/>
      <w:bookmarkStart w:id="258" w:name="_Ref49860547"/>
      <w:r w:rsidRPr="00526073">
        <w:rPr>
          <w:i w:val="0"/>
          <w:iCs w:val="0"/>
          <w:color w:val="auto"/>
          <w:sz w:val="22"/>
          <w:szCs w:val="22"/>
        </w:rPr>
        <w:t>Equation 3.</w:t>
      </w:r>
      <w:r w:rsidRPr="00526073">
        <w:rPr>
          <w:i w:val="0"/>
          <w:iCs w:val="0"/>
          <w:color w:val="auto"/>
          <w:sz w:val="22"/>
          <w:szCs w:val="22"/>
        </w:rPr>
        <w:fldChar w:fldCharType="begin"/>
      </w:r>
      <w:r w:rsidRPr="00526073">
        <w:rPr>
          <w:i w:val="0"/>
          <w:iCs w:val="0"/>
          <w:color w:val="auto"/>
          <w:sz w:val="22"/>
          <w:szCs w:val="22"/>
        </w:rPr>
        <w:instrText xml:space="preserve"> SEQ Equation \* ARABIC </w:instrText>
      </w:r>
      <w:r w:rsidRPr="00526073">
        <w:rPr>
          <w:i w:val="0"/>
          <w:iCs w:val="0"/>
          <w:color w:val="auto"/>
          <w:sz w:val="22"/>
          <w:szCs w:val="22"/>
        </w:rPr>
        <w:fldChar w:fldCharType="separate"/>
      </w:r>
      <w:r w:rsidR="00315BF8">
        <w:rPr>
          <w:i w:val="0"/>
          <w:iCs w:val="0"/>
          <w:noProof/>
          <w:color w:val="auto"/>
          <w:sz w:val="22"/>
          <w:szCs w:val="22"/>
        </w:rPr>
        <w:t>6</w:t>
      </w:r>
      <w:r w:rsidRPr="00526073">
        <w:rPr>
          <w:i w:val="0"/>
          <w:iCs w:val="0"/>
          <w:color w:val="auto"/>
          <w:sz w:val="22"/>
          <w:szCs w:val="22"/>
        </w:rPr>
        <w:fldChar w:fldCharType="end"/>
      </w:r>
      <w:bookmarkEnd w:id="257"/>
    </w:p>
    <w:bookmarkEnd w:id="258"/>
    <w:p w14:paraId="179651DA" w14:textId="77777777" w:rsidR="006331EE" w:rsidRDefault="00007F6C" w:rsidP="006331EE">
      <w:pPr>
        <w:pStyle w:val="Caption"/>
        <w:jc w:val="both"/>
        <w:rPr>
          <w:i w:val="0"/>
          <w:iCs w:val="0"/>
          <w:color w:val="auto"/>
          <w:sz w:val="22"/>
          <w:szCs w:val="22"/>
        </w:rPr>
      </w:pPr>
      <w:r w:rsidRPr="006331EE">
        <w:rPr>
          <w:i w:val="0"/>
          <w:iCs w:val="0"/>
          <w:color w:val="auto"/>
          <w:sz w:val="22"/>
          <w:szCs w:val="22"/>
        </w:rPr>
        <w:t xml:space="preserve">For SOFCs this means that the complex impedance response of different fuel electrode components can be modelled using a series of resistors and capacitors (RC). The use of alternating frequencies means that a sinusoidal interaction is generated from the sample, meaning that the product of maximum loss </w:t>
      </w:r>
      <w:proofErr w:type="spellStart"/>
      <w:r w:rsidRPr="006331EE">
        <w:rPr>
          <w:rFonts w:cstheme="minorHAnsi"/>
          <w:i w:val="0"/>
          <w:iCs w:val="0"/>
          <w:color w:val="auto"/>
          <w:sz w:val="22"/>
          <w:szCs w:val="22"/>
        </w:rPr>
        <w:t>ω</w:t>
      </w:r>
      <w:r w:rsidRPr="006331EE">
        <w:rPr>
          <w:i w:val="0"/>
          <w:iCs w:val="0"/>
          <w:color w:val="auto"/>
          <w:sz w:val="22"/>
          <w:szCs w:val="22"/>
          <w:vertAlign w:val="subscript"/>
        </w:rPr>
        <w:t>Max</w:t>
      </w:r>
      <w:proofErr w:type="spellEnd"/>
      <w:r w:rsidRPr="006331EE">
        <w:rPr>
          <w:i w:val="0"/>
          <w:iCs w:val="0"/>
          <w:color w:val="auto"/>
          <w:sz w:val="22"/>
          <w:szCs w:val="22"/>
        </w:rPr>
        <w:t xml:space="preserve"> with the resistive and capacitive components equals 1 (</w:t>
      </w:r>
      <w:r w:rsidRPr="006331EE">
        <w:rPr>
          <w:i w:val="0"/>
          <w:iCs w:val="0"/>
          <w:color w:val="auto"/>
          <w:sz w:val="22"/>
          <w:szCs w:val="22"/>
        </w:rPr>
        <w:fldChar w:fldCharType="begin"/>
      </w:r>
      <w:r w:rsidRPr="006331EE">
        <w:rPr>
          <w:i w:val="0"/>
          <w:iCs w:val="0"/>
          <w:color w:val="auto"/>
          <w:sz w:val="22"/>
          <w:szCs w:val="22"/>
        </w:rPr>
        <w:instrText xml:space="preserve"> REF _Ref51676898 \h </w:instrText>
      </w:r>
      <w:r w:rsidR="006331EE" w:rsidRPr="006331EE">
        <w:rPr>
          <w:i w:val="0"/>
          <w:iCs w:val="0"/>
          <w:color w:val="auto"/>
          <w:sz w:val="22"/>
          <w:szCs w:val="22"/>
        </w:rPr>
        <w:instrText xml:space="preserve"> \* MERGEFORMAT </w:instrText>
      </w:r>
      <w:r w:rsidRPr="006331EE">
        <w:rPr>
          <w:i w:val="0"/>
          <w:iCs w:val="0"/>
          <w:color w:val="auto"/>
          <w:sz w:val="22"/>
          <w:szCs w:val="22"/>
        </w:rPr>
      </w:r>
      <w:r w:rsidRPr="006331EE">
        <w:rPr>
          <w:i w:val="0"/>
          <w:iCs w:val="0"/>
          <w:color w:val="auto"/>
          <w:sz w:val="22"/>
          <w:szCs w:val="22"/>
        </w:rPr>
        <w:fldChar w:fldCharType="separate"/>
      </w:r>
      <w:r w:rsidRPr="006331EE">
        <w:rPr>
          <w:i w:val="0"/>
          <w:iCs w:val="0"/>
          <w:color w:val="auto"/>
          <w:sz w:val="22"/>
          <w:szCs w:val="22"/>
        </w:rPr>
        <w:t>Equation 3.</w:t>
      </w:r>
      <w:r w:rsidRPr="006331EE">
        <w:rPr>
          <w:i w:val="0"/>
          <w:iCs w:val="0"/>
          <w:noProof/>
          <w:color w:val="auto"/>
          <w:sz w:val="22"/>
          <w:szCs w:val="22"/>
        </w:rPr>
        <w:t>7</w:t>
      </w:r>
      <w:r w:rsidRPr="006331EE">
        <w:rPr>
          <w:i w:val="0"/>
          <w:iCs w:val="0"/>
          <w:color w:val="auto"/>
          <w:sz w:val="22"/>
          <w:szCs w:val="22"/>
        </w:rPr>
        <w:fldChar w:fldCharType="end"/>
      </w:r>
      <w:r w:rsidRPr="006331EE">
        <w:rPr>
          <w:i w:val="0"/>
          <w:iCs w:val="0"/>
          <w:color w:val="auto"/>
          <w:sz w:val="22"/>
          <w:szCs w:val="22"/>
        </w:rPr>
        <w:fldChar w:fldCharType="begin"/>
      </w:r>
      <w:r w:rsidRPr="006331EE">
        <w:rPr>
          <w:i w:val="0"/>
          <w:iCs w:val="0"/>
          <w:color w:val="auto"/>
          <w:sz w:val="22"/>
          <w:szCs w:val="22"/>
        </w:rPr>
        <w:instrText xml:space="preserve"> REF _Ref49861196 \h  \* MERGEFORMAT </w:instrText>
      </w:r>
      <w:r w:rsidRPr="006331EE">
        <w:rPr>
          <w:i w:val="0"/>
          <w:iCs w:val="0"/>
          <w:color w:val="auto"/>
          <w:sz w:val="22"/>
          <w:szCs w:val="22"/>
        </w:rPr>
      </w:r>
      <w:r w:rsidRPr="006331EE">
        <w:rPr>
          <w:i w:val="0"/>
          <w:iCs w:val="0"/>
          <w:color w:val="auto"/>
          <w:sz w:val="22"/>
          <w:szCs w:val="22"/>
        </w:rPr>
        <w:fldChar w:fldCharType="end"/>
      </w:r>
      <w:r w:rsidRPr="006331EE">
        <w:rPr>
          <w:i w:val="0"/>
          <w:iCs w:val="0"/>
          <w:color w:val="auto"/>
          <w:sz w:val="22"/>
          <w:szCs w:val="22"/>
        </w:rPr>
        <w:t xml:space="preserve">). </w:t>
      </w:r>
    </w:p>
    <w:p w14:paraId="5C4D994D" w14:textId="7D469385" w:rsidR="00007F6C" w:rsidRDefault="00007F6C" w:rsidP="006331EE">
      <w:pPr>
        <w:pStyle w:val="Caption"/>
        <w:jc w:val="both"/>
      </w:pPr>
      <w:r w:rsidRPr="006331EE">
        <w:rPr>
          <w:rFonts w:cstheme="minorHAnsi"/>
          <w:i w:val="0"/>
          <w:iCs w:val="0"/>
          <w:color w:val="auto"/>
          <w:sz w:val="22"/>
          <w:szCs w:val="22"/>
        </w:rPr>
        <w:lastRenderedPageBreak/>
        <w:t>This means that a unique relaxation time τ, can be derived individual RC elements (i.e. fuel electrode parts such as pores) (</w:t>
      </w:r>
      <w:r w:rsidRPr="006331EE">
        <w:rPr>
          <w:rFonts w:cstheme="minorHAnsi"/>
          <w:i w:val="0"/>
          <w:iCs w:val="0"/>
          <w:color w:val="auto"/>
          <w:sz w:val="22"/>
          <w:szCs w:val="22"/>
        </w:rPr>
        <w:fldChar w:fldCharType="begin"/>
      </w:r>
      <w:r w:rsidRPr="006331EE">
        <w:rPr>
          <w:rFonts w:cstheme="minorHAnsi"/>
          <w:i w:val="0"/>
          <w:iCs w:val="0"/>
          <w:color w:val="auto"/>
          <w:sz w:val="22"/>
          <w:szCs w:val="22"/>
        </w:rPr>
        <w:instrText xml:space="preserve"> REF _Ref51676917 \h </w:instrText>
      </w:r>
      <w:r w:rsidR="006331EE" w:rsidRPr="006331EE">
        <w:rPr>
          <w:rFonts w:cstheme="minorHAnsi"/>
          <w:i w:val="0"/>
          <w:iCs w:val="0"/>
          <w:color w:val="auto"/>
          <w:sz w:val="22"/>
          <w:szCs w:val="22"/>
        </w:rPr>
        <w:instrText xml:space="preserve"> \* MERGEFORMAT </w:instrText>
      </w:r>
      <w:r w:rsidRPr="006331EE">
        <w:rPr>
          <w:rFonts w:cstheme="minorHAnsi"/>
          <w:i w:val="0"/>
          <w:iCs w:val="0"/>
          <w:color w:val="auto"/>
          <w:sz w:val="22"/>
          <w:szCs w:val="22"/>
        </w:rPr>
      </w:r>
      <w:r w:rsidRPr="006331EE">
        <w:rPr>
          <w:rFonts w:cstheme="minorHAnsi"/>
          <w:i w:val="0"/>
          <w:iCs w:val="0"/>
          <w:color w:val="auto"/>
          <w:sz w:val="22"/>
          <w:szCs w:val="22"/>
        </w:rPr>
        <w:fldChar w:fldCharType="separate"/>
      </w:r>
      <w:r w:rsidRPr="006331EE">
        <w:rPr>
          <w:rFonts w:cstheme="minorHAnsi"/>
          <w:i w:val="0"/>
          <w:iCs w:val="0"/>
          <w:color w:val="auto"/>
          <w:sz w:val="22"/>
          <w:szCs w:val="22"/>
        </w:rPr>
        <w:t>Equation 3.</w:t>
      </w:r>
      <w:r w:rsidRPr="006331EE">
        <w:rPr>
          <w:rFonts w:cstheme="minorHAnsi"/>
          <w:i w:val="0"/>
          <w:iCs w:val="0"/>
          <w:noProof/>
          <w:color w:val="auto"/>
          <w:sz w:val="22"/>
          <w:szCs w:val="22"/>
        </w:rPr>
        <w:t>6</w:t>
      </w:r>
      <w:r w:rsidRPr="006331EE">
        <w:rPr>
          <w:rFonts w:cstheme="minorHAnsi"/>
          <w:i w:val="0"/>
          <w:iCs w:val="0"/>
          <w:color w:val="auto"/>
          <w:sz w:val="22"/>
          <w:szCs w:val="22"/>
        </w:rPr>
        <w:fldChar w:fldCharType="end"/>
      </w:r>
      <w:r w:rsidRPr="006331EE">
        <w:rPr>
          <w:rFonts w:cstheme="minorHAnsi"/>
          <w:i w:val="0"/>
          <w:iCs w:val="0"/>
          <w:color w:val="auto"/>
          <w:sz w:val="22"/>
          <w:szCs w:val="22"/>
        </w:rPr>
        <w:t xml:space="preserve">) </w:t>
      </w:r>
      <w:r w:rsidRPr="006331EE">
        <w:rPr>
          <w:rFonts w:cstheme="minorHAnsi"/>
          <w:i w:val="0"/>
          <w:iCs w:val="0"/>
          <w:color w:val="auto"/>
          <w:sz w:val="22"/>
          <w:szCs w:val="22"/>
        </w:rPr>
        <w:fldChar w:fldCharType="begin" w:fldLock="1"/>
      </w:r>
      <w:r w:rsidR="00D80A5D" w:rsidRPr="006331EE">
        <w:rPr>
          <w:rFonts w:cstheme="minorHAnsi"/>
          <w:i w:val="0"/>
          <w:iCs w:val="0"/>
          <w:color w:val="auto"/>
          <w:sz w:val="22"/>
          <w:szCs w:val="22"/>
        </w:rPr>
        <w:instrText>ADDIN CSL_CITATION {"citationItems":[{"id":"ITEM-1","itemData":{"DOI":"10.1002/adma.19900020304","ISBN":"1521-4095","ISSN":"15214095","abstract":"Electroceramics are advanced materials whose properties and applications depend on the close control of structure, composition, ceramic texture, dopants and dopant (or defect) distribution. Impedance spectroscopy is a powerful technique for unravelling the complexities of such materials, which functions by utilizing the different frequency dependences of the constituent components for their separation. Thus, electrical inhomogeneities in ceramic electrolytes, electrode/electrolyte interfaces, surface layers on glasses, ferroelectricity, positive temperature coefficient of resistance behavior and even ferrimagnetism can all be probed, successfully, using this technique.","author":[{"dropping-particle":"","family":"Irvine","given":"John T S","non-dropping-particle":"","parse-names":false,"suffix":""},{"dropping-particle":"","family":"Sinclair","given":"Derek C.","non-dropping-particle":"","parse-names":false,"suffix":""},{"dropping-particle":"","family":"West","given":"Anthony R.","non-dropping-particle":"","parse-names":false,"suffix":""}],"container-title":"Advanced Materials","id":"ITEM-1","issue":"3","issued":{"date-parts":[["1990"]]},"page":"132-138","title":"Electroceramics: Characterization by Impedance Spectroscopy","type":"article-journal","volume":"2"},"uris":["http://www.mendeley.com/documents/?uuid=411a3cd6-a50c-4165-a77e-2ff882fdb069"]},{"id":"ITEM-2","itemData":{"DOI":"10.1039/c4ta04789c","ISBN":"20507488 (ISSN)","ISSN":"20507496","abstract":" Infiltration of ceramic materials into a pre-formed ceramic scaffold for a solid oxide fuel cell with nano-structured ceramic electrodes through low-temperature processing led to high performance using H 2 as well as carbonaceous fuel.  Infiltration of ceramic materials into a pre-formed ceramic scaffold is an effective way of fabricating a solid oxide fuel cell with nano-structured ceramic electrodes by avoiding detrimental interfacial reactions through low-temperature processing for achieving high performance using hydrogen as well as a carbonaceous fuel. However, there are significant concerns about the applicability of this method because of the difficulty in fabricating a large-area gas-tight but thin electrolyte between two highly porous ceramic and the multiple repetitions of infiltration process. Here, a large-area (5 cm by 5 cm) scaffold with a thin yttria-stabilized zirconia (YSZ) electrolyte sandwiched between two identical porous structures is prepared by tape casting and co-firing, and then solution precursors are impregnated into the porous scaffolds to prepare nano-structured La 0.8 Sr 0.2 FeO 3 (LSF) and La 0.7 Sr 0.3 VO 3−δ (LSV red ). The thus prepared solid oxide fuel cell with 10 wt% ceria + 1 wt% Pd as a catalyst in anodes shows a peak power of 489 mW cm −2 (</w:instrText>
      </w:r>
      <w:r w:rsidR="00D80A5D" w:rsidRPr="006331EE">
        <w:rPr>
          <w:rFonts w:ascii="Cambria Math" w:hAnsi="Cambria Math" w:cs="Cambria Math"/>
          <w:i w:val="0"/>
          <w:iCs w:val="0"/>
          <w:color w:val="auto"/>
          <w:sz w:val="22"/>
          <w:szCs w:val="22"/>
        </w:rPr>
        <w:instrText>∼</w:instrText>
      </w:r>
      <w:r w:rsidR="00D80A5D" w:rsidRPr="006331EE">
        <w:rPr>
          <w:rFonts w:cstheme="minorHAnsi"/>
          <w:i w:val="0"/>
          <w:iCs w:val="0"/>
          <w:color w:val="auto"/>
          <w:sz w:val="22"/>
          <w:szCs w:val="22"/>
        </w:rPr>
        <w:instrText>6 W per cell) at 800 °C using H 2 as a fuel and air as an oxidant. This large-area fuel cell retained the integrity of the thin electrolyte and high performance after the reducing-oxidation cycle at 900 °C, showing superiority over the conventional Ni(O)-YSZ based support. ","author":[{"dropping-particle":"","family":"Ni","given":"C. S.","non-dropping-particle":"","parse-names":false,"suffix":""},{"dropping-particle":"","family":"Vohs","given":"J. M.","non-dropping-particle":"","parse-names":false,"suffix":""},{"dropping-particle":"","family":"Gorte","given":"R. J.","non-dropping-particle":"","parse-names":false,"suffix":""},{"dropping-particle":"","family":"Irvine","given":"J. T.S.","non-dropping-particle":"","parse-names":false,"suffix":""}],"container-title":"Journal of Materials Chemistry A","id":"ITEM-2","issue":"45","issued":{"date-parts":[["2014"]]},"language":"English","note":"Cited By :11\nExport Date: 20 January 2017\nCODEN: JMCAE\nCorrespondence Address: Irvine, J.T.S.; School of Chemistry, University of St AndrewsUnited Kingdom\nFunding details: EPSRC, Engineering and Physical Sciences Research Council\nReferences: (2004) Fuel Cell Handbook 7th Edition, , http://www.netl.doe.gov/technologies/coalpower/fuelcells/seca/pubs/FCHandbook7.pdf, U.S. Department of Energy; Minh, N.Q., (1993) J. Am. Ceram. Soc., 76, pp. 563-588; Marina, O.A., Canfield, N.L., Stevenson, J.W., (2002) Solid State Ionics, 149, pp. 21-28; Ruiz-Morales, J.C., Canales-Vázquez, J., Savaniu, C., Marrero-López, D., Zhou, W., Irvine, J.T.S., (2006) Nature, 439, pp. 568-571; Tao, S., Irvine, J.T.S., (2003) Nat. Mater., 2, pp. 320-323; Tao, S.W., Irvine, J.T.S., Kilner, J.A., (2005) Adv. Mater., 17, pp. 1734-1737; Huang, Y.H., Dass, R.I., Xing, Z.L., Goodenough, J.B., (2006) Science, 312, pp. 254-257; Gorte, R.J., Vohs, J.M., (2011) Annu. Rev. Chem. Biomol. Eng., 2, pp. 9-30; Kim, G., Lee, S., Shin, J.Y., Corre, G., Irvine, J.T.S., Vohs, J.M., Gorte, R.J., (2009) Electrochem. Solid-State Lett., 12, pp. 48-B52; Gorte, R.J., Park, S., Vohs, J.M., Wang, C., (2000) Adv. Mater., 12, pp. 1465-1469; Sholklapper, T.Z., Kurokawa, H., Jacobson, C.P., Visco, S.J., De Jonghe, L.C., (2007) Nano Lett., 7, pp. 2136-2141; Jiang, S.P., (2012) Int. J. Hydrogen Energy, 37, pp. 449-470; Gorte, R.J., Vohs, J.M., (2009) Curr. Opin. Colloid Interface Sci., 14, pp. 236-244; Atkinson, A., Barnett, S., Gorte, R.J., Irvine, J.T.S., McEvoy, A.J., Mogensen, M., Singhal, S.C., Vohs, J., (2004) Nat. Mater., 3, pp. 17-27; Park, J.-S., Hasson, I.D., Gross, M.D., Chen, C., Vohs, J.M., Gorte, R.J., (2011) J. Power Sources, 196, pp. 7488-7494; Cheng, Z., Zha, S., Aguilar, L., Liu, M., (2005) Solid State Ionics, 176, pp. 1921-1928; Adijanto, L., Balaji Padmanabhan, V., Holmes, K.J., Gorte, R.J., Vohs, J.M., (2012) J. Solid State Chem., 190, pp. 12-17; Vohs, J.M., Gorte, R.J., (2009) Adv. Mater., 21, pp. 943-956; De Jonghe, L.C., Jacobson, C.P., Visco, S.J., (2003) Annu. Rev. Mater. Res., 33, pp. 169-182; Sholklapper, T.Z., Jacobson, C.P., Visco, S.J., De Jonghe, L.C., (2008) Fuel Cells, 8, pp. 303-312; Taek, L.K., Yoon, H.S., Ahn, J.S., Wachsman, E.D., (2012) J. Mater. Chem., 22, pp. 17113-17120; Le, S., Sun, K.N., Zhang, N., Zhu, X., Sun, H., Yuan, Y.X., Zhou, X., (2010) J. Power Sources, 195, pp. 2644-2648; Verbraeken, M.C., Iwanschitz, B., Mai, A., Irvine, J.T.S., (2012) J. Electrochem. Soc., 159, pp. 757-F762; An, C.M., Song, J.-H., Kang, I., Sammes, N., (2010) J. Power Sources, 195, pp. 821-824; Shah, P.R., Khader, M.M., Vohs, J.M., Gorte, R.J., (2008) J. Phys. Chem. C, 112, pp. 2613-2617; Li, Y.X., Wu, G.J., Ruan, C., Zhou, Q., Wang, Y., Doherty, W., Xie, K., Wu, Y.C., (2014) J. Power Sources, 253, pp. 349-359; Ge, X., Zhang, L., Fang, Y., Zeng, J., Chan, S.H., (2011) RSC Adv., 1, pp. 715-724; Ge, X.M., Chan, S.H., (2009) J. Electrochem. Soc., 156, pp. 386-B91; Sayer, M., Chen, P., Fletcher, R., Mansingh, A., (1975) J. Phys. C: Solid State Phys., 8, pp. 2059-2071; Kestigian, M., Dickinson, J.G., Ward, R., (1957) J. Am. Chem. Soc., 79, pp. 5598-5601; Chen, J., Liang, F., Yan, D., Pu, J., Chi, B., Jiang, S.P., Jian, L., (2010) J. Power Sources, 195, pp. 5201-5205; Jørgensen, M.J., Mogensen, M., (2001) J. Electrochem. Soc., 148, pp. 433-A442; Cassidy, M., Lindsay, G., Kendall, K., (1996) J. Power Sources, 61, pp. 189-192; Kim, J.S., Wieder, N.L., Abraham, A.J., Cargnello, M., Fornasiero, P., Gorte, R.J., Vohs, J.M., (2011) J. Electrochem. Soc., 158, pp. 596-B600; Park, J.-S., Luo, J., Adijanto, L., Vohs, J.M., Gorte, R.J., (2013) J. Power Sources, 222, pp. 123-128; Corre, G., Kim, G., Cassidy, M., Vohs, J.M., Gorte, R.J., Irvine, J.T.S., (2009) Chem. Mater., 21, pp. 1077-1084","page":"19150-19155","publisher":"Royal Society of Chemistry","title":"Fabrication and characterisation of a large-area solid oxide fuel cell based on dual tape cast YSZ electrode skeleton supported YSZ electrolytes with vanadate and ferrite perovskite-impregnated anodes and cathodes","type":"article-journal","volume":"2"},"uris":["http://www.mendeley.com/documents/?uuid=78e393b3-8ca3-4db6-b222-13bc71edae34"]}],"mendeley":{"formattedCitation":"[142], [344]","plainTextFormattedCitation":"[142], [344]","previouslyFormattedCitation":"[142], [344]"},"properties":{"noteIndex":0},"schema":"https://github.com/citation-style-language/schema/raw/master/csl-citation.json"}</w:instrText>
      </w:r>
      <w:r w:rsidRPr="006331EE">
        <w:rPr>
          <w:rFonts w:cstheme="minorHAnsi"/>
          <w:i w:val="0"/>
          <w:iCs w:val="0"/>
          <w:color w:val="auto"/>
          <w:sz w:val="22"/>
          <w:szCs w:val="22"/>
        </w:rPr>
        <w:fldChar w:fldCharType="separate"/>
      </w:r>
      <w:r w:rsidR="006C586A" w:rsidRPr="006331EE">
        <w:rPr>
          <w:rFonts w:cstheme="minorHAnsi"/>
          <w:i w:val="0"/>
          <w:iCs w:val="0"/>
          <w:noProof/>
          <w:color w:val="auto"/>
          <w:sz w:val="22"/>
          <w:szCs w:val="22"/>
        </w:rPr>
        <w:t>[142], [344]</w:t>
      </w:r>
      <w:r w:rsidRPr="006331EE">
        <w:rPr>
          <w:rFonts w:cstheme="minorHAnsi"/>
          <w:i w:val="0"/>
          <w:iCs w:val="0"/>
          <w:color w:val="auto"/>
          <w:sz w:val="22"/>
          <w:szCs w:val="22"/>
        </w:rPr>
        <w:fldChar w:fldCharType="end"/>
      </w:r>
      <w:r w:rsidRPr="006331EE">
        <w:rPr>
          <w:rFonts w:cstheme="minorHAnsi"/>
          <w:i w:val="0"/>
          <w:iCs w:val="0"/>
          <w:color w:val="auto"/>
          <w:sz w:val="22"/>
          <w:szCs w:val="22"/>
        </w:rPr>
        <w:t>.</w:t>
      </w:r>
      <w:r w:rsidRPr="006331EE">
        <w:rPr>
          <w:color w:val="auto"/>
        </w:rPr>
        <w:t xml:space="preserve"> </w:t>
      </w:r>
    </w:p>
    <w:p w14:paraId="27FEFD4F" w14:textId="77777777" w:rsidR="00007F6C" w:rsidRPr="00C5318F" w:rsidRDefault="00B51F53" w:rsidP="00007F6C">
      <w:pPr>
        <w:keepNext/>
        <w:jc w:val="both"/>
        <w:rPr>
          <w:rFonts w:eastAsiaTheme="minorEastAsia"/>
        </w:rPr>
      </w:pPr>
      <m:oMathPara>
        <m:oMath>
          <m:sSub>
            <m:sSubPr>
              <m:ctrlPr>
                <w:rPr>
                  <w:rFonts w:ascii="Cambria Math" w:hAnsi="Cambria Math"/>
                  <w:i/>
                </w:rPr>
              </m:ctrlPr>
            </m:sSubPr>
            <m:e>
              <m:r>
                <m:rPr>
                  <m:sty m:val="p"/>
                </m:rPr>
                <w:rPr>
                  <w:rFonts w:ascii="Cambria Math" w:hAnsi="Cambria Math"/>
                </w:rPr>
                <m:t>ω</m:t>
              </m:r>
            </m:e>
            <m:sub>
              <m:r>
                <m:rPr>
                  <m:sty m:val="p"/>
                </m:rPr>
                <w:rPr>
                  <w:rFonts w:ascii="Cambria Math" w:hAnsi="Cambria Math"/>
                </w:rPr>
                <m:t>Max</m:t>
              </m:r>
            </m:sub>
          </m:sSub>
          <m:r>
            <m:rPr>
              <m:sty m:val="p"/>
            </m:rPr>
            <w:rPr>
              <w:rFonts w:ascii="Cambria Math" w:hAnsi="Cambria Math"/>
            </w:rPr>
            <m:t>RC=1</m:t>
          </m:r>
        </m:oMath>
      </m:oMathPara>
    </w:p>
    <w:p w14:paraId="7C488D79" w14:textId="4569E933" w:rsidR="00007F6C" w:rsidRPr="007F56CF" w:rsidRDefault="00007F6C" w:rsidP="00007F6C">
      <w:pPr>
        <w:pStyle w:val="Caption"/>
        <w:jc w:val="right"/>
        <w:rPr>
          <w:i w:val="0"/>
          <w:iCs w:val="0"/>
          <w:color w:val="auto"/>
          <w:sz w:val="22"/>
          <w:szCs w:val="22"/>
        </w:rPr>
      </w:pPr>
      <w:bookmarkStart w:id="259" w:name="_Ref51676898"/>
      <w:bookmarkStart w:id="260" w:name="_Ref49861196"/>
      <w:r w:rsidRPr="007F56CF">
        <w:rPr>
          <w:i w:val="0"/>
          <w:iCs w:val="0"/>
          <w:color w:val="auto"/>
          <w:sz w:val="22"/>
          <w:szCs w:val="22"/>
        </w:rPr>
        <w:t>Equation 3.</w:t>
      </w:r>
      <w:r w:rsidRPr="007F56CF">
        <w:rPr>
          <w:i w:val="0"/>
          <w:iCs w:val="0"/>
          <w:color w:val="auto"/>
          <w:sz w:val="22"/>
          <w:szCs w:val="22"/>
        </w:rPr>
        <w:fldChar w:fldCharType="begin"/>
      </w:r>
      <w:r w:rsidRPr="007F56CF">
        <w:rPr>
          <w:i w:val="0"/>
          <w:iCs w:val="0"/>
          <w:color w:val="auto"/>
          <w:sz w:val="22"/>
          <w:szCs w:val="22"/>
        </w:rPr>
        <w:instrText xml:space="preserve"> SEQ Equation \* ARABIC </w:instrText>
      </w:r>
      <w:r w:rsidRPr="007F56CF">
        <w:rPr>
          <w:i w:val="0"/>
          <w:iCs w:val="0"/>
          <w:color w:val="auto"/>
          <w:sz w:val="22"/>
          <w:szCs w:val="22"/>
        </w:rPr>
        <w:fldChar w:fldCharType="separate"/>
      </w:r>
      <w:r w:rsidR="00315BF8">
        <w:rPr>
          <w:i w:val="0"/>
          <w:iCs w:val="0"/>
          <w:noProof/>
          <w:color w:val="auto"/>
          <w:sz w:val="22"/>
          <w:szCs w:val="22"/>
        </w:rPr>
        <w:t>7</w:t>
      </w:r>
      <w:r w:rsidRPr="007F56CF">
        <w:rPr>
          <w:i w:val="0"/>
          <w:iCs w:val="0"/>
          <w:color w:val="auto"/>
          <w:sz w:val="22"/>
          <w:szCs w:val="22"/>
        </w:rPr>
        <w:fldChar w:fldCharType="end"/>
      </w:r>
      <w:bookmarkEnd w:id="259"/>
    </w:p>
    <w:bookmarkEnd w:id="260"/>
    <w:p w14:paraId="066849A1" w14:textId="35D6FF63" w:rsidR="00007F6C" w:rsidRDefault="00007F6C" w:rsidP="00007F6C">
      <w:pPr>
        <w:jc w:val="both"/>
      </w:pPr>
      <w:r>
        <w:t>In the fuel electrode the frequency responses can be assigned separate components like the bulk and gas diffusion impedance</w:t>
      </w:r>
      <w:r>
        <w:fldChar w:fldCharType="begin" w:fldLock="1"/>
      </w:r>
      <w:r w:rsidR="00D80A5D">
        <w:instrText>ADDIN CSL_CITATION {"citationItems":[{"id":"ITEM-1","itemData":{"DOI":"http://dx.doi.org/10.1016/j.ijhydene.2016.09.100","ISBN":"0360-3199","ISSN":"03603199","abstract":"This study presents a physically-based model for the simulation of impedance spectra in solid oxide fuel cell (SOFC) composite anodes. The model takes into account the charge transport and the charge-transfer reaction at the three-phase boundary distributed along the anode thickness, as well as the phenomena at the electrode/electrolyte interface and the multicomponent gas diffusion in the test rig. The model is calibrated with experimental impedance spectra of cermet anodes made of nickel and scandia-stabilized zirconia and satisfactorily validated in electrodes with different microstructural properties, quantified through focused ion beam SEM tomography. Besides providing the material-specific kinetic parameters of the electrochemical hydrogen oxidation, this study shows that the correlation between electrode microstructure and electrochemical performance can be successfully addressed by combining physically-based modelling, impedance spectroscopy and 3D tomography. This approach overcomes the limits of phenomenological equivalent circuits and is suitable for the interpretation of experimental data and for the optimisation of the electrode microstructure.","author":[{"dropping-particle":"","family":"Bertei","given":"A.","non-dropping-particle":"","parse-names":false,"suffix":""},{"dropping-particle":"","family":"Ruiz-Trejo","given":"E.","non-dropping-particle":"","parse-names":false,"suffix":""},{"dropping-particle":"","family":"Tariq","given":"F.","non-dropping-particle":"","parse-names":false,"suffix":""},{"dropping-particle":"","family":"Yufit","given":"V.","non-dropping-particle":"","parse-names":false,"suffix":""},{"dropping-particle":"","family":"Atkinson","given":"A.","non-dropping-particle":"","parse-names":false,"suffix":""},{"dropping-particle":"","family":"Brandon","given":"N. P.","non-dropping-particle":"","parse-names":false,"suffix":""}],"container-title":"International Journal of Hydrogen Energy","id":"ITEM-1","issue":"47","issued":{"date-parts":[["2016"]]},"page":"22381-22393","publisher":"Elsevier Ltd","title":"Validation of a physically-based solid oxide fuel cell anode model combining 3D tomography and impedance spectroscopy","type":"article-journal","volume":"41"},"uris":["http://www.mendeley.com/documents/?uuid=61d740b6-7114-480b-abb2-2cecd20bcf96"]},{"id":"ITEM-2","itemData":{"DOI":"10.1023/A:1003991529552","ISBN":"0021891X (ISSN)","abstract":"The long-term properties of Ni/yttria stabilized zirconia (YSZ) cermet anodes for solid oxide fuel cells were evaluated experimentally. A total of 13 anodes of three types based on two commercial NiO powders were examined. The durability was evaluated at temperatures of 850 °C, 1000 °C and 1050 °C over 1300 to 2000 h at an anodic d.c. load of 300 mA cm-2 in hydrogen with 1 to 3% water. The anode-related polarization resistance, RP, was measured by impedance spectroscopy and found to be in the range of 0.05 to 0.7 Ω cm2. After an initial stabilization period of up to 300 h, RP varied linearly with time within the experimental uncertainty. At 1050 °C no degradation was observed. At 1000 °C a degradation rate of 10 mΩ cm2 per 1000 h was found. The degradation rate was possibly higher at 850 °C. A single anode was exposed to nine thermal cycles from 1000 to below 100 °C at 100 °C h-1. An increase in RP of about 30 mΩ cm2 was observed over the first two cycles. For the following thermal cycles RP was stable within the experimental uncertainty.","author":[{"dropping-particle":"","family":"Primdahl","given":"S","non-dropping-particle":"","parse-names":false,"suffix":""},{"dropping-particle":"","family":"Mogensen","given":"M","non-dropping-particle":"","parse-names":false,"suffix":""}],"container-title":"Journal of Applied Electrochemistry","id":"ITEM-2","issue":"2","issued":{"date-parts":[["2000"]]},"language":"English","note":"Cited By :40\nExport Date: 11 October 2016\nCODEN: JAELB\nCorrespondence Address: Primdahl, S.; Riso Natl Lab, Roskilde, Denmark\nReferences: Ippommatsu, M., Sasaki, H., Otoshi, S., (1996) Int. J. Hydrogen Energy, 21, p. 129; Bagger, C., Christiansen, N., Hendriksen, P.V., Jensen, E.J., Larsen, S.S., Mogensen, M., High Temperature Electrochemistry: Ceramics and Metals (1996) 17th Risø International Symposium on Materials Science, p. 167. , F.W. Poulsen, N. Bonanos, S. Linderoth, M. Mogensen and B. Zachau-Chistiansen (Eds); Badwal, S.P.S., Foger, K., (1997) Materials Forum, 21, p. 187; Winkler, J., Hendriksen, P.V., Bonanos, N., Mogensen, M., (1998) J. Electrochem. Soc., 145, p. 1184; Mizusaki, J., Tagawa, H., Saito, T., Kamitani, K., Yamamura, T., Hirano, K., Ehara, S., Hashimoto, K., (1994) J. Electrochem. Soc., 141, p. 2129; Norby, T., Osborg, P.A., Ræder, H., (1994) Proceedings of the 'First European Solid Oxide Fuel Cell Forum', p. 671. , U. Bossel (Ed.), European SOFC Forum, Oberrohrdorf, CH; Mogensen, M., Skaarup, S., (1996) Solid State Ionics, 86-88, p. 1151; Murphy, M.M., Van Herle, J., McEvoy, A.J., Thampi, K.R., (1994) J. Electrochem. Soc., 141, pp. L94; Brown, M., Primdahl, S., Mogensen, M., J. Electrochem. Soc., , submitted; Sakamoto, S., Taria, H., Takagi, H., (1996) Denki Kagaku, 64, p. 609; Badwal, S.P.S., (1992) Solid State Ionics, 52, p. 23; Singhal, S.C., The Electrochemical Society Proceedings Series (1997) Solid Oxide Fuel Cells, 97 PV (40), p. 37. , U. Stimming, S.C. Singhal, H. Tagawa W. Lehnert (Eds), Pennington, NJ; Beie, H.J., Blum, L., Drenckhahn, W., Greiner, H., Schisschl, H., (1998) Proceedings of the 'Third European Solid Fuel Cell Forum', p. 3. , P. Stevens (Ed.), European SOFC Forum, Oberrohrdorf, CH; Schäfer, W., Geier, H., Lindemann, G., Stolten, D., High Temperature Electrochemical Behaviour of Fast Ion and Mixed Conductors (1993) 14th Risø International Symposium on Materials Science, p. 409. , F.W. Poulsen, J.J. Bentzen, T. Jacobsen, E. Skou and M.J.L. Østergård, (Eds.), Roskilde DK; Middleton, P.H., Seiersten, M.E., Steele, B.C.H., The Electrochemical Society Proceedings Series (1989) Solid Oxide Fuel Cells, 89 PV (11), p. 90. , S.C. Singhal, (Ed.), Pennington, NJ; Kinderman, L., Poulsen, F.W., Bagger, C., (1998) Proceedings of the 'Third European Solid Oxide Fuel Cell Forum', p. 133. , P. Stevens, (Ed.), Poster section, European SOFC Forum, Oberrohrdorf, CH; Fukui, T., Ohara, S., Mukai, K., (1998) Electrochem. Solid-State Lett., 1, p. 120; Iwata, T., (1996) J. Electrochem. Soc., 143, p. 1521; Khandkar, A.C., Elangovan, S., Liu, M., Timper, M., (1991) High Temperature Electrode Materials and Characterization, 91 PV (6), p. 175. , D.D. Macdonald and A.C. Khandkar, (Eds.), The Electrochemical Society, Pennington, NJ; Bagger, C., (1992) 1992 Fuel Cell Seminar, p. 241. , Courtesy Associates, Inc. Washington, DC; Hartung, R., Möbius, H.-H., (1968) Chemie-Ing. Techn., 40, p. 592; Boukamp, B.A., (1986) Solid State Ionics, 20, p. 31; Primdahl, S., Mogensen, M., (1997) J. Electrochem. Soc., 144, p. 3409; Primdahl, S., Mogensen, M., (1998) J. Electrochem. Soc., 145, p. 2431; Primdahl, S., Mogensen, M., (1999) J. Electrochem. Soc., 146, p. 2827; Primdahl, S., Mogensen, M., , p. 530. , 12Mohamedi-Boulenouar, F.Z., Guindet, J., Hammou, A., , p. 441. , 12Primdahl, S., Sørensen, B.F., Mogensen, M., J. Am. Ceram. Soc., , accepted; Jørgensen, M.J., Primdahl, S., Mogensen, M., (1999) Electrochim. Acta, 44, p. 4195; Gubner, A., Landes, H., Metzger, J., Seeg, H., Stübner, R., , p. 844. , 12Appel, C.C., Bonanos, N., Horsewell, A., Linderoth, S., in preparationUR - https://www.scopus.com/inward/record.uri?eid=2-s2.0-0033896708&amp;amp;partnerID=40&amp;amp;md5=0dc5f67c06ceb5ce61e9d381d0542e72","page":"247-257","publisher":"Kluwer Academic Publishers","publisher-place":"Dordrecht, Netherlands","title":"Durability and thermal cycling of Ni/YSZ cermet anodes for solid oxide fuel cells","type":"article-journal","volume":"30"},"uris":["http://www.mendeley.com/documents/?uuid=11c8adef-ec2d-42e2-9f44-159250db8470"]},{"id":"ITEM-3","itemData":{"DOI":"10.1016/S0167-2738(99)00299-4","ISSN":"01672738","abstract":"The electrochemical performance of a porous nickel electrode with its surface modified by deposition with fine yttria-stabilized zirconia (YSZ) powder is compared with that of the `bare' electrode. Image analysis of the electrode microstructure yields values for the triple phase boundary (TPB) length in the range of 45-61 m cm-2. The nickel coverage is in the range of 55-72%. The hydrogen oxidation reaction studied on the two types of electrodes indicates that the electrode reaction is dominated by one process, suggesting a common rate-determining step. The total electrode conductivity increases with increasing TPB length. However, at similar TPB length the electrode conductivity of the modified porous nickel electrode is considerably higher than that of the bare nickel electrode. This result indicates that the presence of fine YSZ particles on the nickel electrode surface creates additional active sites onto which the electrode reaction can proceed. The data of this study are interpreted to reflect an active role for YSZ in the Ni/YSZ SOFC cermet anode.","author":[{"dropping-particle":"","family":"Boer","given":"B.","non-dropping-particle":"de","parse-names":false,"suffix":""},{"dropping-particle":"","family":"Gonzalez","given":"M.","non-dropping-particle":"","parse-names":false,"suffix":""},{"dropping-particle":"","family":"Bouwmeester","given":"H. J.M.","non-dropping-particle":"","parse-names":false,"suffix":""},{"dropping-particle":"","family":"Verweij","given":"H.","non-dropping-particle":"","parse-names":false,"suffix":""}],"container-title":"Solid State Ionics","id":"ITEM-3","issue":"3","issued":{"date-parts":[["2000"]]},"page":"269-276","title":"Effect of the presence of fine YSZ particles on the performance of porous nickel electrodes","type":"article-journal","volume":"127"},"uris":["http://www.mendeley.com/documents/?uuid=1e1c0152-4ab0-4274-9eea-a364bcccd12e"]}],"mendeley":{"formattedCitation":"[131], [133], [345]","plainTextFormattedCitation":"[131], [133], [345]","previouslyFormattedCitation":"[131], [133], [345]"},"properties":{"noteIndex":0},"schema":"https://github.com/citation-style-language/schema/raw/master/csl-citation.json"}</w:instrText>
      </w:r>
      <w:r>
        <w:fldChar w:fldCharType="separate"/>
      </w:r>
      <w:r w:rsidR="006C586A" w:rsidRPr="006C586A">
        <w:rPr>
          <w:noProof/>
        </w:rPr>
        <w:t>[131], [133], [345]</w:t>
      </w:r>
      <w:r>
        <w:fldChar w:fldCharType="end"/>
      </w:r>
      <w:r>
        <w:t>. The sinusoidal response results in a complex response from the system. The impedance Z is used to denote the total contribution of the resistive and capacitive elements (</w:t>
      </w:r>
      <w:r w:rsidRPr="00600E38">
        <w:fldChar w:fldCharType="begin"/>
      </w:r>
      <w:r w:rsidRPr="00600E38">
        <w:instrText xml:space="preserve"> REF _Ref51676935 \h  \* MERGEFORMAT </w:instrText>
      </w:r>
      <w:r w:rsidRPr="00600E38">
        <w:fldChar w:fldCharType="separate"/>
      </w:r>
      <w:r w:rsidRPr="00C103C3">
        <w:t>Equation 3.8</w:t>
      </w:r>
      <w:r w:rsidRPr="00600E38">
        <w:fldChar w:fldCharType="end"/>
      </w:r>
      <w:r>
        <w:t>). This is expressed as a Cartesian complex number so the real and imaginary parts (Z’ and Z’’) can be plotted in a Nyquist plot (</w:t>
      </w:r>
      <w:r>
        <w:fldChar w:fldCharType="begin"/>
      </w:r>
      <w:r>
        <w:instrText xml:space="preserve"> REF _Ref49863132 \h  \* MERGEFORMAT </w:instrText>
      </w:r>
      <w:r>
        <w:fldChar w:fldCharType="separate"/>
      </w:r>
      <w:r w:rsidR="006331EE">
        <w:t xml:space="preserve">Figure </w:t>
      </w:r>
      <w:r w:rsidR="006331EE">
        <w:rPr>
          <w:noProof/>
        </w:rPr>
        <w:t>3.21</w:t>
      </w:r>
      <w:r>
        <w:fldChar w:fldCharType="end"/>
      </w:r>
      <w:r>
        <w:t>)</w:t>
      </w:r>
      <w:r>
        <w:fldChar w:fldCharType="begin" w:fldLock="1"/>
      </w:r>
      <w:r w:rsidR="00D80A5D">
        <w:instrText>ADDIN CSL_CITATION {"citationItems":[{"id":"ITEM-1","itemData":{"DOI":"10.1002/adma.19900020304","ISBN":"0935-9648\r1521-4095","abstract":"Electroceramics are advanced materials whose properties and applications depend on the close control of structure, composition, ceramic texture, dopants and dopant (or defect) distribution. Impedance spectroscopy is a powerful technique for unravelling the complexities of such materials, which functions by utilizing the different frequency dependences of the constituent components for their separation. Thus, electrical inhomogeneities in ceramic electrolytes, electrode/electrolyte interfaces, surface layers on glasses, ferroelectricity, positive temperature coefficient of resistance behavior and even ferrimagnetism can all be probed, successfully, using this technique. Copyright © 1990 Verlag GmbH &amp; Co. KGaA, Weinheim","author":[{"dropping-particle":"","family":"Irvine","given":"John T S","non-dropping-particle":"","parse-names":false,"suffix":""},{"dropping-particle":"","family":"Sinclair","given":"Derek C","non-dropping-particle":"","parse-names":false,"suffix":""},{"dropping-particle":"","family":"West","given":"Anthony R","non-dropping-particle":"","parse-names":false,"suffix":""}],"container-title":"Advanced Materials","id":"ITEM-1","issue":"3","issued":{"date-parts":[["1990"]]},"language":"English","note":"Cited By :808\nExport Date: 18 October 2016\nCorrespondence Address: Irvine, J.T.S.; Department of Chemistry, University of Aberdeen, Meston Building, Meston Walk, Old Aberdeen, AB9 2UE, United Kingdom\nReferences: Sudworth, J.L., Tilley, A.R., (1985) The Sodium‐Sulfur Battery, , Chapman and Hall, London; Takahashi, T., (1989) High Conductivity Solid Ionic Conductors, , World Scientific, Singapore; Mahan, G.D., Levinson, L.M., Phillipp, H.R., (1979) J. Appl. Phys., 50, p. 2799; Dimos, D., Chaudhari, P., Mannhart, J., LeGoues, F.K., (1988) Phys. Rev. Lett., 61, p. 219; Ihrig, H., Klerk, M., (1979) Appl. Phys. Lett., 35, p. 307; Ross Macdonald, J., (1987) Impedance Spectroscopy, , Wiley, Chichester; Irvine, J.T.S., Lacerda, M., West, A.R., (1988) Mat. Res. Bull., 23, p. 1033; Bruce, P.G., West, A.R., (1983) J. Electrochem. Soc., 30, p. 662; Reid, W.B., West, A.R., (1988) Solid State Ionics, 28-30, p. 681; Quintana, P., West, A.R., (1987) Solid State Ionics, 23, p. 179; Sinclair, D.C., West, A.R., (1989) J. Appl. Phys., 66, p. 3850; Sinclair, D.C., West, A.R., (1989) Phys. Rev. B, 39, p. 13. , 486; Irvine, J.T.S., Huanosta, A., Amano, E., Valenzuela, R., West, A.R., UR - https://www.scopus.com/inward/record.uri?eid=2-s2.0-4143089548&amp;amp;partnerID=40&amp;amp;md5=212cf7a5dc00011d9b9a45e93e457dc8","page":"132-138","title":"Electroceramics: Characterization by Impedance Spectroscopy","type":"article-journal","volume":"2"},"uris":["http://www.mendeley.com/documents/?uuid=6adbfa09-dc2a-4509-83da-49d1ef63d309"]}],"mendeley":{"formattedCitation":"[346]","plainTextFormattedCitation":"[346]","previouslyFormattedCitation":"[346]"},"properties":{"noteIndex":0},"schema":"https://github.com/citation-style-language/schema/raw/master/csl-citation.json"}</w:instrText>
      </w:r>
      <w:r>
        <w:fldChar w:fldCharType="separate"/>
      </w:r>
      <w:r w:rsidR="006C586A" w:rsidRPr="006C586A">
        <w:rPr>
          <w:noProof/>
        </w:rPr>
        <w:t>[346]</w:t>
      </w:r>
      <w:r>
        <w:fldChar w:fldCharType="end"/>
      </w:r>
      <w:r>
        <w:t xml:space="preserve">. </w:t>
      </w:r>
    </w:p>
    <w:p w14:paraId="69DD63E7" w14:textId="77777777" w:rsidR="00007F6C" w:rsidRDefault="00007F6C" w:rsidP="00007F6C">
      <w:pPr>
        <w:keepNext/>
      </w:pPr>
      <m:oMathPara>
        <m:oMath>
          <m:r>
            <m:rPr>
              <m:sty m:val="p"/>
            </m:rPr>
            <w:rPr>
              <w:rFonts w:ascii="Cambria Math" w:hAnsi="Cambria Math"/>
            </w:rPr>
            <m:t>Z=</m:t>
          </m:r>
          <m:sSup>
            <m:sSupPr>
              <m:ctrlPr>
                <w:rPr>
                  <w:rFonts w:ascii="Cambria Math" w:hAnsi="Cambria Math"/>
                  <w:i/>
                </w:rPr>
              </m:ctrlPr>
            </m:sSupPr>
            <m:e>
              <m:r>
                <m:rPr>
                  <m:sty m:val="p"/>
                </m:rPr>
                <w:rPr>
                  <w:rFonts w:ascii="Cambria Math" w:hAnsi="Cambria Math"/>
                </w:rPr>
                <m:t>Z</m:t>
              </m:r>
            </m:e>
            <m:sup>
              <m:r>
                <m:rPr>
                  <m:sty m:val="p"/>
                </m:rPr>
                <w:rPr>
                  <w:rFonts w:ascii="Cambria Math" w:hAnsi="Cambria Math"/>
                </w:rPr>
                <m:t>'</m:t>
              </m:r>
            </m:sup>
          </m:sSup>
          <m:r>
            <m:rPr>
              <m:sty m:val="p"/>
            </m:rPr>
            <w:rPr>
              <w:rFonts w:ascii="Cambria Math" w:hAnsi="Cambria Math"/>
            </w:rPr>
            <m:t>+jZ''</m:t>
          </m:r>
        </m:oMath>
      </m:oMathPara>
    </w:p>
    <w:p w14:paraId="6D4E7A85" w14:textId="0B81EFDE" w:rsidR="00007F6C" w:rsidRPr="007F56CF" w:rsidRDefault="00007F6C" w:rsidP="00007F6C">
      <w:pPr>
        <w:pStyle w:val="Caption"/>
        <w:jc w:val="right"/>
        <w:rPr>
          <w:i w:val="0"/>
          <w:iCs w:val="0"/>
          <w:color w:val="auto"/>
          <w:sz w:val="22"/>
          <w:szCs w:val="22"/>
        </w:rPr>
      </w:pPr>
      <w:bookmarkStart w:id="261" w:name="_Ref51676935"/>
      <w:r w:rsidRPr="007F56CF">
        <w:rPr>
          <w:i w:val="0"/>
          <w:iCs w:val="0"/>
          <w:color w:val="auto"/>
          <w:sz w:val="22"/>
          <w:szCs w:val="22"/>
        </w:rPr>
        <w:t xml:space="preserve">Equation </w:t>
      </w:r>
      <w:r>
        <w:rPr>
          <w:i w:val="0"/>
          <w:iCs w:val="0"/>
          <w:color w:val="auto"/>
          <w:sz w:val="22"/>
          <w:szCs w:val="22"/>
        </w:rPr>
        <w:t>3.</w:t>
      </w:r>
      <w:r w:rsidRPr="007F56CF">
        <w:rPr>
          <w:i w:val="0"/>
          <w:iCs w:val="0"/>
          <w:color w:val="auto"/>
          <w:sz w:val="22"/>
          <w:szCs w:val="22"/>
        </w:rPr>
        <w:fldChar w:fldCharType="begin"/>
      </w:r>
      <w:r w:rsidRPr="007F56CF">
        <w:rPr>
          <w:i w:val="0"/>
          <w:iCs w:val="0"/>
          <w:color w:val="auto"/>
          <w:sz w:val="22"/>
          <w:szCs w:val="22"/>
        </w:rPr>
        <w:instrText xml:space="preserve"> SEQ Equation \* ARABIC </w:instrText>
      </w:r>
      <w:r w:rsidRPr="007F56CF">
        <w:rPr>
          <w:i w:val="0"/>
          <w:iCs w:val="0"/>
          <w:color w:val="auto"/>
          <w:sz w:val="22"/>
          <w:szCs w:val="22"/>
        </w:rPr>
        <w:fldChar w:fldCharType="separate"/>
      </w:r>
      <w:r w:rsidR="00315BF8">
        <w:rPr>
          <w:i w:val="0"/>
          <w:iCs w:val="0"/>
          <w:noProof/>
          <w:color w:val="auto"/>
          <w:sz w:val="22"/>
          <w:szCs w:val="22"/>
        </w:rPr>
        <w:t>8</w:t>
      </w:r>
      <w:r w:rsidRPr="007F56CF">
        <w:rPr>
          <w:i w:val="0"/>
          <w:iCs w:val="0"/>
          <w:color w:val="auto"/>
          <w:sz w:val="22"/>
          <w:szCs w:val="22"/>
        </w:rPr>
        <w:fldChar w:fldCharType="end"/>
      </w:r>
      <w:bookmarkEnd w:id="261"/>
    </w:p>
    <w:p w14:paraId="76BF25D7" w14:textId="1D9799FC" w:rsidR="00007F6C" w:rsidRDefault="00007F6C" w:rsidP="00007F6C">
      <w:pPr>
        <w:jc w:val="both"/>
      </w:pPr>
      <w:r>
        <w:t xml:space="preserve">The complex response for each component in the specimen is represented in the Nyquist plot which monitors the impedance at increasing frequencies from right to left </w:t>
      </w:r>
      <w:r>
        <w:fldChar w:fldCharType="begin" w:fldLock="1"/>
      </w:r>
      <w:r w:rsidR="00D80A5D">
        <w:instrText>ADDIN CSL_CITATION {"citationItems":[{"id":"ITEM-1","itemData":{"DOI":"10.1002/9781118164075","ISBN":"9780470627785","abstract":"This book presents a balance of theoretical considerations and practical problem solving of electrochemical impedance spectroscopy. This book incorporates the results of the last two decades of research on the theories and applications of impedance spectroscopy, including more detailed reviews of the impedance methods applications in industrial colloids, biomedical sensors and devices, and supercapacitive polymeric films. The book covers all of the topics needed to help readers quickly grasp how to apply their knowledge of impedance spectroscopy methods to their own research problems. It also helps the reader identify whether impedance spectroscopy may be an appropriate method for their particular research problem. This includes understanding how to correctly make impedance measurements, interpret the results, compare results with expected previously published results form similar chemical systems, and use correct mathematical formulas to verify the accuracy of the data. Unique features of the book include theoretical considerations for dealing with modeling, equivalent circuits, and equations in the complex domain, review of impedance instrumentation, best measurement methods for particular systems and alerts to potential sources of errors, equations and circuit diagrams for the most widely used impedance models and applications, figures depicting impedance spectra of typical materials and devices, extensive references to the scientific literature for more information on particular topics and current research, and a review of related techniques and impedance spectroscopy modifications. © 2012 John Wiley &amp; Sons, Inc. All rights reserved.","author":[{"dropping-particle":"","family":"Lvovich","given":"Vadim F.","non-dropping-particle":"","parse-names":false,"suffix":""}],"container-title":"Impedance Spectroscopy: Applications to Electrochemical and Dielectric Phenomena","id":"ITEM-1","issued":{"date-parts":[["2012"]]},"number-of-pages":"23-40","title":"Impedance Spectroscopy: Applications to Electrochemical and Dielectric Phenomena","type":"book"},"uris":["http://www.mendeley.com/documents/?uuid=e183203f-b7a1-4a27-b9c4-617bda13e721"]}],"mendeley":{"formattedCitation":"[347]","plainTextFormattedCitation":"[347]","previouslyFormattedCitation":"[347]"},"properties":{"noteIndex":0},"schema":"https://github.com/citation-style-language/schema/raw/master/csl-citation.json"}</w:instrText>
      </w:r>
      <w:r>
        <w:fldChar w:fldCharType="separate"/>
      </w:r>
      <w:r w:rsidR="006C586A" w:rsidRPr="006C586A">
        <w:rPr>
          <w:noProof/>
        </w:rPr>
        <w:t>[347]</w:t>
      </w:r>
      <w:r>
        <w:fldChar w:fldCharType="end"/>
      </w:r>
      <w:r>
        <w:t xml:space="preserve">. The high frequency </w:t>
      </w:r>
      <w:r>
        <w:rPr>
          <w:i/>
          <w:iCs/>
        </w:rPr>
        <w:t>i</w:t>
      </w:r>
      <w:r>
        <w:rPr>
          <w:i/>
          <w:iCs/>
          <w:vertAlign w:val="subscript"/>
        </w:rPr>
        <w:t>1</w:t>
      </w:r>
      <w:r>
        <w:t xml:space="preserve"> (or Series resistance, R</w:t>
      </w:r>
      <w:r>
        <w:rPr>
          <w:vertAlign w:val="subscript"/>
        </w:rPr>
        <w:t>S</w:t>
      </w:r>
      <w:r>
        <w:t>) represents entirely resistive behaviour (</w:t>
      </w:r>
      <w:proofErr w:type="gramStart"/>
      <w:r>
        <w:t>i.e.</w:t>
      </w:r>
      <w:proofErr w:type="gramEnd"/>
      <w:r>
        <w:t xml:space="preserve"> the electrolyte in an SOFC infiltrated fuel electrode and contributions from jig components) whilst the distance between this and the low frequency intercept </w:t>
      </w:r>
      <w:r w:rsidRPr="00356B10">
        <w:rPr>
          <w:i/>
          <w:iCs/>
        </w:rPr>
        <w:t>i</w:t>
      </w:r>
      <w:r w:rsidRPr="00356B10">
        <w:rPr>
          <w:i/>
          <w:iCs/>
          <w:vertAlign w:val="subscript"/>
        </w:rPr>
        <w:t>2</w:t>
      </w:r>
      <w:r>
        <w:t xml:space="preserve"> signifies the contribution of the electrode itself. This transition is described as the charge transfer resistance to polarisation (R</w:t>
      </w:r>
      <w:r>
        <w:rPr>
          <w:vertAlign w:val="subscript"/>
        </w:rPr>
        <w:t>p</w:t>
      </w:r>
      <w:r>
        <w:t xml:space="preserve">) </w:t>
      </w:r>
      <w:r>
        <w:fldChar w:fldCharType="begin" w:fldLock="1"/>
      </w:r>
      <w:r w:rsidR="00D80A5D">
        <w:instrText>ADDIN CSL_CITATION {"citationItems":[{"id":"ITEM-1","itemData":{"DOI":"10.1016/j.jpowsour.2012.03.110","ISSN":"03787753","abstract":"The electrode performance of solid oxide fuel cell anode with Pd nanoparticles at the interface of ScYSZ electrolyte and Sr 0.94Ti 0.9Nb 0.1O 3 (STN) electrode introduced in the form of metal functional layer have been investigated at temperatures below 600 °C. A metal functional layer consisting of Pd was deposited by magnetron sputtering. Effecting from heat treatments, Pd nanoparticles with particle sizes in the range of 5-20 nm were distributed at the interface, and throughout the backbone. The polarization resistance of the modified STN reduced to 30 Ωcm 2 at 600 °C, which is three times less than an unmodified STN backbone. In order to improve the anode performance further, Pd and Gd-doped CeO 2 electrocatalysts were infiltrated into the STN backbone. The modified interface with Pd nanoparticles in combination with nanostructured electrocatalyst by infiltration resulted in polarisation resistances of 0.35 Ωcm 2 at 600 °C in H 2/3% H 2O fuel. © 2012 Elsevier B.V. All rights reserved.","author":[{"dropping-particle":"","family":"Hussain","given":"A. Mohammed","non-dropping-particle":"","parse-names":false,"suffix":""},{"dropping-particle":"","family":"Hogh","given":"Jens V.T.","non-dropping-particle":"","parse-names":false,"suffix":""},{"dropping-particle":"","family":"Zhang","given":"Wei","non-dropping-particle":"","parse-names":false,"suffix":""},{"dropping-particle":"","family":"Stamate","given":"Eugen","non-dropping-particle":"","parse-names":false,"suffix":""},{"dropping-particle":"","family":"Thydén","given":"Karl T.S.","non-dropping-particle":"","parse-names":false,"suffix":""},{"dropping-particle":"","family":"Bonanos","given":"Nikolaos","non-dropping-particle":"","parse-names":false,"suffix":""}],"container-title":"Journal of Power Sources","id":"ITEM-1","issued":{"date-parts":[["2012"]]},"page":"247-253","publisher":"Elsevier B.V","title":"Improved ceramic anodes for SOFCs with modified electrode/electrolyte interface","type":"article-journal","volume":"212"},"uris":["http://www.mendeley.com/documents/?uuid=c6a1cbc6-c177-4d8c-a7d3-f624d880d80f"]},{"id":"ITEM-2","itemData":{"DOI":"10.1007/s40243-017-0096-2","ISSN":"21941467","abstract":"Commercially available anode supported solid oxide fuel cells (NiO-8YSZ/8YSZ/LSCF-20 mm in diameter) were anode infiltrated with gadolinium doped ceria (CGO) using a scalable drop-on-demand inkjet printing process. Cells were infiltrated with two different precursor solutions-water based or propionic acid based. The saturation limit of the 0.5 lm thick anode supports sintered at 1400 °C was found to be approximately 1wt%. No significant enhancement in power output was recorded at practical voltage levels. Microstructural characterisation was carried out after electrochemical performance testing using high resolution scanning electron microscopy. This work demonstrates that despite the feasibility of achieving CGO nanoparticle infiltration into thick, commercial SOFC anodes with a simple, low-cost and industrially scalable procedure other loss mechanisms were dominant. Infiltration of model symmetric anode cells with the propionic acid based ink demonstrated that significant reductions in polarisation resistance were possible.","author":[{"dropping-particle":"","family":"Mitchell-Williams","given":"T. B.","non-dropping-particle":"","parse-names":false,"suffix":""},{"dropping-particle":"","family":"Tomov","given":"R. I.","non-dropping-particle":"","parse-names":false,"suffix":""},{"dropping-particle":"","family":"Saadabadi","given":"S. A.","non-dropping-particle":"","parse-names":false,"suffix":""},{"dropping-particle":"","family":"Krauz","given":"M.","non-dropping-particle":"","parse-names":false,"suffix":""},{"dropping-particle":"V.","family":"Aravind","given":"P.","non-dropping-particle":"","parse-names":false,"suffix":""},{"dropping-particle":"","family":"Glowacki","given":"B. A.","non-dropping-particle":"","parse-names":false,"suffix":""},{"dropping-particle":"V.","family":"Kumar","given":"R.","non-dropping-particle":"","parse-names":false,"suffix":""}],"container-title":"Materials for Renewable and Sustainable Energy","id":"ITEM-2","issue":"2","issued":{"date-parts":[["2017"]]},"page":"1-9","publisher":"Springer Berlin Heidelberg","title":"Infiltration of commercially available, anode supported SOFC’s via inkjet printing","type":"article-journal","volume":"6"},"uris":["http://www.mendeley.com/documents/?uuid=609e2f4d-870e-40cf-904b-73fa215bef9d"]},{"id":"ITEM-3","itemData":{"DOI":"10.1002/9781118191323","ISBN":"9781118087565","author":[{"dropping-particle":"","family":"Bagotsky","given":"Vladimir S.","non-dropping-particle":"","parse-names":false,"suffix":""}],"container-title":"Fuel Cells: Problems and Solutions: Second Edition","id":"ITEM-3","issued":{"date-parts":[["2012"]]},"publisher":"Wiley","title":"Fuel Cells: Problems and Solutions: Second Edition","type":"book"},"uris":["http://www.mendeley.com/documents/?uuid=5535ffbc-e449-42b4-b693-48381de2e17d"]}],"mendeley":{"formattedCitation":"[235], [348], [349]","plainTextFormattedCitation":"[235], [348], [349]","previouslyFormattedCitation":"[235], [348], [349]"},"properties":{"noteIndex":0},"schema":"https://github.com/citation-style-language/schema/raw/master/csl-citation.json"}</w:instrText>
      </w:r>
      <w:r>
        <w:fldChar w:fldCharType="separate"/>
      </w:r>
      <w:r w:rsidR="006C586A" w:rsidRPr="006C586A">
        <w:rPr>
          <w:noProof/>
        </w:rPr>
        <w:t>[235], [348], [349]</w:t>
      </w:r>
      <w:r>
        <w:fldChar w:fldCharType="end"/>
      </w:r>
      <w:r>
        <w:t>.</w:t>
      </w:r>
    </w:p>
    <w:p w14:paraId="1E1BAE1B" w14:textId="33185D60" w:rsidR="00007F6C" w:rsidRDefault="00007F6C" w:rsidP="00007F6C">
      <w:pPr>
        <w:jc w:val="both"/>
      </w:pPr>
      <w:r>
        <w:t xml:space="preserve">Additionally, a Bode plot (plot of log frequency vs the absolute Z phase) can be used to identify the key frequencies responses for different fuel electrode contributions i.e. bulk and gas diffusion </w:t>
      </w:r>
      <w:r>
        <w:fldChar w:fldCharType="begin" w:fldLock="1"/>
      </w:r>
      <w:r w:rsidR="00D80A5D">
        <w:instrText>ADDIN CSL_CITATION {"citationItems":[{"id":"ITEM-1","itemData":{"ISBN":"9036513375","abstract":"This thesis deals with the porous Ni/yttria-stabilized zirconia (YSZ) cermet anode on a YSZ electrolyte for solid oxide fuel cells (SOFC). Such anodes are predominantly operated in moist hydrogen at 700C to 1000C, and the most important technological parameters are the polarization resistance and the long-term stability. The polarization resistance can be measured by a number of techniques, in the present work impedance spectroscopy has been used extensively. By impedance spectroscopy limiting processes in the anode polarization resistance may often be separated and characterized individually, provided they have a reasonable separation in time constants. Three limiting processes are recognized in impedance spectra obtained on technological Ni/YSZ cermet anodes characterized against a stable reference electrode atmosphere. By parameter studies and illustrative experiments, the two contributions at low and medium frequency have been identified as gas conversion and diffusion limitations, respectively. Both of these effects are concentration limitations relating to the inefficient exchange of fuel gas in the test setup outside the porous cermet. A test setup geometry where these concentration effects are avoided for high-performance electrodes is recommended. The high frequency limitation is demonstrated to relate to the cermet structure. The dependence on gas composition, temperature, adsorbed species (sulfur), isotopes (H/D), sintering temperature and cermet thickness is investigated. Despite these studies and several similar studies by others, the exact chemical or physical nature of the limiting step has not been incontestably identified. However, there is a general consensus in literature about the hydrogen oxidation process taking place on or near to the triple phase boundary (TPB) line, where open gas-filled pores, the continuous electrolyte phase (oxide ion conductor) and the continuous Ni phase (electronic conductor) meet. The physical thickness of a cermet anode that contains active TPB sites contributing to the current density of an SOFC is demonstrated to be about 10 µm. This result has technological importance, as any overlying structure serves primarily as a current collector and needs not be optimized for transport of oxide ions. The anode durability is investigated over 1300 to 1900 hrs at 300 mA/cm2 and shown to be stable at 1050C. At 1000C a degradation rate of about 10 mΩcm2 /1000 hrs is observed, and at 850C a degradation rate of about …","author":[{"dropping-particle":"","family":"Primdahl Søren","given":"","non-dropping-particle":"","parse-names":false,"suffix":""}],"container-title":"Technical University of Denmark","id":"ITEM-1","issued":{"date-parts":[["1999"]]},"number-of-pages":"203","title":"Nickel/yttria-stabilised zirconia cermet anodes for solid oxide fuel cells","type":"book","volume":"PhD"},"uris":["http://www.mendeley.com/documents/?uuid=69a51db7-8194-45b3-9303-50e966b75c01"]},{"id":"ITEM-2","itemData":{"DOI":"10.1016/S0167-2738(99)00299-4","ISSN":"01672738","abstract":"The electrochemical performance of a porous nickel electrode with its surface modified by deposition with fine yttria-stabilized zirconia (YSZ) powder is compared with that of the `bare' electrode. Image analysis of the electrode microstructure yields values for the triple phase boundary (TPB) length in the range of 45-61 m cm-2. The nickel coverage is in the range of 55-72%. The hydrogen oxidation reaction studied on the two types of electrodes indicates that the electrode reaction is dominated by one process, suggesting a common rate-determining step. The total electrode conductivity increases with increasing TPB length. However, at similar TPB length the electrode conductivity of the modified porous nickel electrode is considerably higher than that of the bare nickel electrode. This result indicates that the presence of fine YSZ particles on the nickel electrode surface creates additional active sites onto which the electrode reaction can proceed. The data of this study are interpreted to reflect an active role for YSZ in the Ni/YSZ SOFC cermet anode.","author":[{"dropping-particle":"","family":"Boer","given":"B.","non-dropping-particle":"de","parse-names":false,"suffix":""},{"dropping-particle":"","family":"Gonzalez","given":"M.","non-dropping-particle":"","parse-names":false,"suffix":""},{"dropping-particle":"","family":"Bouwmeester","given":"H. J.M.","non-dropping-particle":"","parse-names":false,"suffix":""},{"dropping-particle":"","family":"Verweij","given":"H.","non-dropping-particle":"","parse-names":false,"suffix":""}],"container-title":"Solid State Ionics","id":"ITEM-2","issue":"3","issued":{"date-parts":[["2000"]]},"page":"269-276","title":"Effect of the presence of fine YSZ particles on the performance of porous nickel electrodes","type":"article-journal","volume":"127"},"uris":["http://www.mendeley.com/documents/?uuid=1e1c0152-4ab0-4274-9eea-a364bcccd12e"]},{"id":"ITEM-3","itemData":{"DOI":"10.1016/j.electacta.2007.05.071","ISSN":"00134686","abstract":"In this paper, over 150 journal papers were reviewed with respect to AC impedance modeling and validation in solid oxide fuel cell (SOFC) diagnosis. Different models based on experimental AC impedance data and their advantages and disadvantages in data interpretation were discussed. The challenges currently faced by AC impedance modeling and validation were identified and possible directions and approaches in addressing these challenges were suggested. Crown Copyright © 2007.","author":[{"dropping-particle":"","family":"Huang","given":"Qiu An","non-dropping-particle":"","parse-names":false,"suffix":""},{"dropping-particle":"","family":"Hui","given":"Rob","non-dropping-particle":"","parse-names":false,"suffix":""},{"dropping-particle":"","family":"Wang","given":"Bingwen","non-dropping-particle":"","parse-names":false,"suffix":""},{"dropping-particle":"","family":"Zhang","given":"Jiujun","non-dropping-particle":"","parse-names":false,"suffix":""}],"container-title":"Electrochimica Acta","id":"ITEM-3","issue":"28","issued":{"date-parts":[["2007"]]},"page":"8144-8164","title":"A review of AC impedance modeling and validation in SOFC diagnosis","type":"article-journal","volume":"52"},"uris":["http://www.mendeley.com/documents/?uuid=4f3761f5-2c52-430c-946c-cb2dfa6b97c2"]},{"id":"ITEM-4","itemData":{"DOI":"10.1007/s10853-011-6109-0","ISSN":"15734803","abstract":"Ceramic-metal composites (cermets) containing yttria-stabilized zirconia(YSZ) and Ni particles as anode materials in solid oxide fuel cells were prepared by a new method. The method encompasses nickel oxalate dihydrate precipitation on the nanometre YSZ powder, and decomposition at 633 K in inert atmosphere. The composite powders containing 30, 40, and 50% Ni manufactured by the oxalate method were compacted into disk pellets, and sintered in Ar containing 10% H 2 . The structure of the cermet materials was characterized by means of X-ray diffractometry (XRD), scanning electron microscopy (SEM), and mercury porosimetry. The thermal expansion coefficient (TEC) was determined by the dilatometric method. Electrochemical impedance spectroscopy (EIS) was used to determine electrical conductivity. The oxalate method leads to obtaining the Ni/YSZ anodes with the Ni content reduced to 40 wt% and well obeying based requirements for anode material in SOFCs. © 2011 Springer Science+Business Media, LLC Reference:.","author":[{"dropping-particle":"","family":"Drożdż-Cieśla","given":"E.","non-dropping-particle":"","parse-names":false,"suffix":""},{"dropping-particle":"","family":"Wyrwa","given":"J.","non-dropping-particle":"","parse-names":false,"suffix":""},{"dropping-particle":"","family":"Pyda","given":"W.","non-dropping-particle":"","parse-names":false,"suffix":""},{"dropping-particle":"","family":"Rękas","given":"M.","non-dropping-particle":"","parse-names":false,"suffix":""}],"container-title":"Journal of Materials Science","id":"ITEM-4","issue":"6","issued":{"date-parts":[["2012"]]},"page":"2807-2817","title":"A new method of preparing Ni/YSZ cermet materials","type":"article-journal","volume":"47"},"uris":["http://www.mendeley.com/documents/?uuid=cfcdd43b-e2c3-41ab-a861-efc3f87675e2"]}],"mendeley":{"formattedCitation":"[133], [350]–[352]","plainTextFormattedCitation":"[133], [350]–[352]","previouslyFormattedCitation":"[133], [350]–[352]"},"properties":{"noteIndex":0},"schema":"https://github.com/citation-style-language/schema/raw/master/csl-citation.json"}</w:instrText>
      </w:r>
      <w:r>
        <w:fldChar w:fldCharType="separate"/>
      </w:r>
      <w:r w:rsidR="006C586A" w:rsidRPr="006C586A">
        <w:rPr>
          <w:noProof/>
        </w:rPr>
        <w:t>[133], [350]–[352]</w:t>
      </w:r>
      <w:r>
        <w:fldChar w:fldCharType="end"/>
      </w:r>
      <w:r>
        <w:t xml:space="preserve">. These changes are represented by points of inflection these plots </w:t>
      </w:r>
      <w:r>
        <w:fldChar w:fldCharType="begin" w:fldLock="1"/>
      </w:r>
      <w:r w:rsidR="00D80A5D">
        <w:instrText>ADDIN CSL_CITATION {"citationItems":[{"id":"ITEM-1","itemData":{"abstract":"Solid oxide fuel cell (SOFC) is a promising alternative energy source, with its advantages of high operating efficiency, fuel flexibility, low emissions and relatively low cost. However, there are several challenges concerning the SOFC research. Little is known about the complex interfacial electrochemistry and thermochemistry, and it is also difficult to diagnose problems and optimize cell performance. Therefore, physics-based models are needed to better understand the underlying mechanisms of SOFCs. This research work addressed two important aspects of the numerical modeling of SOFCs: the multicomponent gas diffusion in porous electrode at the anode and the heterogeneous electrocatalysis of oxygen reduction reaction (ORR) at the cathode. First, anode was diagnosed to be mainly controlled by multicomponent gas diffusion inside the anode bulk (supporting) layer, and the Dusty Gas model is identified as an appropriate model to describe the gas diffusion resistance extracted from no bias AC impedance. Anode-supported SOFCs with Ni-yttria-stabilized zirconia (YSZ) anode were used to study the multicomponent gas transport in porous electrodes. A fuel gas mixture of H2-H2O-N2 was fed to the anode and AC impedance data were measured at 800ºC by varying hydrogen partial pressure at both no bias and a current of 300 mA. Impedance data were also collected at no bias at three different temperatures (800ºC, 850ºC and 900ºC). For the first time, three models were used to analytically derive the diffusion resistance (Rb), which was then compared to the values extracted from experimental impedance data. The Dusty Gas model yields the best predictions and the tortuosity values derived from Dusty Gas model are found to be independent of feeding gas composition, operating current and temperatures, which is consistent with the fundamental or underlying physics. Moreover, with the anode porosity known to be approximately 46%, the tortuosity derived from the Dusty Gas model is 2.3~3.3, which matches both theoretical expectations and experimental measurements. This gas diffusion resistance analysis using AC impedance greatly improves the way to study the multicomponent gas diffusion within porous electrodes. Secondly, electrocatalysis at the SOFC cathode was studied using symmetric cathode cells, whose no bias AC impedance was investigated and modeled using a physics-based electrocatalysis model, describing the coupled dissociative adsorption of oxygen molecules onto the ca…","author":[{"dropping-particle":"","family":"Fu","given":"Yeqing","non-dropping-particle":"","parse-names":false,"suffix":""},{"dropping-particle":"","family":"Bazant","given":"M Z","non-dropping-particle":"","parse-names":false,"suffix":""}],"container-title":"Chemical Engineering","id":"ITEM-1","issue":"2006","issued":{"date-parts":[["2014"]]},"number-of-pages":"107","title":"Theoretical and Experimental Study of Solid Oxide Fuel Cell (SOFC) Using Impedance Spectra","type":"thesis","volume":"Doctor of"},"uris":["http://www.mendeley.com/documents/?uuid=b1357a82-d378-45a7-88ad-b40387b58bb5"]}],"mendeley":{"formattedCitation":"[353]","plainTextFormattedCitation":"[353]","previouslyFormattedCitation":"[353]"},"properties":{"noteIndex":0},"schema":"https://github.com/citation-style-language/schema/raw/master/csl-citation.json"}</w:instrText>
      </w:r>
      <w:r>
        <w:fldChar w:fldCharType="separate"/>
      </w:r>
      <w:r w:rsidR="006C586A" w:rsidRPr="006C586A">
        <w:rPr>
          <w:noProof/>
        </w:rPr>
        <w:t>[353]</w:t>
      </w:r>
      <w:r>
        <w:fldChar w:fldCharType="end"/>
      </w:r>
      <w:r>
        <w:t xml:space="preserve">.  </w:t>
      </w:r>
    </w:p>
    <w:p w14:paraId="26F3052C" w14:textId="5DDB0F38" w:rsidR="00007F6C" w:rsidRDefault="00007F6C" w:rsidP="00007F6C">
      <w:pPr>
        <w:jc w:val="both"/>
      </w:pPr>
      <w:r>
        <w:t xml:space="preserve">Examples of the impedance contributions to the complex impedance response of infiltrated fuel electrode samples can be found in </w:t>
      </w:r>
      <w:r>
        <w:fldChar w:fldCharType="begin"/>
      </w:r>
      <w:r>
        <w:instrText xml:space="preserve"> REF _Ref49863132 \h </w:instrText>
      </w:r>
      <w:r>
        <w:fldChar w:fldCharType="separate"/>
      </w:r>
      <w:r w:rsidR="006331EE">
        <w:t>Figure 3.</w:t>
      </w:r>
      <w:r w:rsidR="006331EE">
        <w:rPr>
          <w:noProof/>
        </w:rPr>
        <w:t>21</w:t>
      </w:r>
      <w:r>
        <w:fldChar w:fldCharType="end"/>
      </w:r>
      <w:r>
        <w:t>.</w:t>
      </w:r>
    </w:p>
    <w:p w14:paraId="541A27C6" w14:textId="77777777" w:rsidR="00007F6C" w:rsidRPr="00356B10" w:rsidRDefault="00007F6C" w:rsidP="00007F6C">
      <w:pPr>
        <w:jc w:val="both"/>
      </w:pPr>
    </w:p>
    <w:p w14:paraId="0A74B904" w14:textId="77777777" w:rsidR="00007F6C" w:rsidRDefault="00007F6C" w:rsidP="00007F6C">
      <w:pPr>
        <w:keepNext/>
        <w:jc w:val="center"/>
      </w:pPr>
      <w:r w:rsidRPr="0011639F">
        <w:rPr>
          <w:noProof/>
        </w:rPr>
        <w:drawing>
          <wp:inline distT="0" distB="0" distL="0" distR="0" wp14:anchorId="06A17C63" wp14:editId="7C2D9C55">
            <wp:extent cx="5400000" cy="3243231"/>
            <wp:effectExtent l="0" t="0" r="0" b="0"/>
            <wp:docPr id="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00000" cy="3243231"/>
                    </a:xfrm>
                    <a:prstGeom prst="rect">
                      <a:avLst/>
                    </a:prstGeom>
                  </pic:spPr>
                </pic:pic>
              </a:graphicData>
            </a:graphic>
          </wp:inline>
        </w:drawing>
      </w:r>
    </w:p>
    <w:p w14:paraId="3AEA7903" w14:textId="0F31DEFD" w:rsidR="00007F6C" w:rsidRDefault="00007F6C" w:rsidP="00007F6C">
      <w:pPr>
        <w:pStyle w:val="Caption"/>
      </w:pPr>
      <w:bookmarkStart w:id="262" w:name="_Ref49863132"/>
      <w:bookmarkStart w:id="263" w:name="_Ref49863129"/>
      <w:bookmarkStart w:id="264" w:name="_Toc69114966"/>
      <w:r>
        <w:t>Figure 3.</w:t>
      </w:r>
      <w:r w:rsidR="00B51F53">
        <w:fldChar w:fldCharType="begin"/>
      </w:r>
      <w:r w:rsidR="00B51F53">
        <w:instrText xml:space="preserve"> SEQ Figure \</w:instrText>
      </w:r>
      <w:r w:rsidR="00B51F53">
        <w:instrText xml:space="preserve">* ARABIC </w:instrText>
      </w:r>
      <w:r w:rsidR="00B51F53">
        <w:fldChar w:fldCharType="separate"/>
      </w:r>
      <w:r w:rsidR="006331EE">
        <w:rPr>
          <w:noProof/>
        </w:rPr>
        <w:t>21</w:t>
      </w:r>
      <w:r w:rsidR="00B51F53">
        <w:rPr>
          <w:noProof/>
        </w:rPr>
        <w:fldChar w:fldCharType="end"/>
      </w:r>
      <w:bookmarkEnd w:id="262"/>
      <w:r>
        <w:t xml:space="preserve">:  </w:t>
      </w:r>
      <w:r w:rsidRPr="0011639F">
        <w:t xml:space="preserve">Nyquist plot showing the complex impedance response of an </w:t>
      </w:r>
      <w:r>
        <w:t>yttria-stabilised zirconia (YSZ)</w:t>
      </w:r>
      <w:r w:rsidRPr="0011639F">
        <w:t xml:space="preserve"> pellet at 300</w:t>
      </w:r>
      <w:r w:rsidR="00740AF7">
        <w:t xml:space="preserve"> </w:t>
      </w:r>
      <w:r>
        <w:rPr>
          <w:rFonts w:cstheme="minorHAnsi"/>
        </w:rPr>
        <w:t>⁰</w:t>
      </w:r>
      <w:proofErr w:type="gramStart"/>
      <w:r w:rsidRPr="0011639F">
        <w:t>C</w:t>
      </w:r>
      <w:bookmarkEnd w:id="263"/>
      <w:bookmarkEnd w:id="264"/>
      <w:proofErr w:type="gramEnd"/>
    </w:p>
    <w:p w14:paraId="50314886" w14:textId="77777777" w:rsidR="00007F6C" w:rsidRDefault="00007F6C" w:rsidP="00007F6C">
      <w:pPr>
        <w:pStyle w:val="Heading4"/>
      </w:pPr>
      <w:r>
        <w:lastRenderedPageBreak/>
        <w:t>3.3.6.1</w:t>
      </w:r>
      <w:r>
        <w:tab/>
        <w:t>Experimental Apparatus and Data Acquisition</w:t>
      </w:r>
    </w:p>
    <w:p w14:paraId="0DB80DC1" w14:textId="77777777" w:rsidR="00007F6C" w:rsidRDefault="00007F6C" w:rsidP="00007F6C">
      <w:pPr>
        <w:jc w:val="both"/>
      </w:pPr>
      <w:r w:rsidRPr="003F193B">
        <w:t>A ceramic compression jig was fabricated to house the infiltrated symmetrical cell samples in this project.</w:t>
      </w:r>
      <w:r>
        <w:t xml:space="preserve"> The ceramic internal tube was designed in </w:t>
      </w:r>
      <w:proofErr w:type="spellStart"/>
      <w:r>
        <w:t>Solidworks</w:t>
      </w:r>
      <w:proofErr w:type="spellEnd"/>
      <w:r>
        <w:t xml:space="preserve"> 2017 CAD Software. Alumina tubing was sectioned using a glassware saw and mounted into a stainless-steel flange. A stainless-steel O-ring with a rubber exterior was used to seal the chamber. The samples were housed in an alumina sheath with a K-type thermocouple monitoring the temperature by the Ni-YSZ sample (</w:t>
      </w:r>
      <w:r>
        <w:fldChar w:fldCharType="begin"/>
      </w:r>
      <w:r>
        <w:instrText xml:space="preserve"> REF _Ref64463065 \h </w:instrText>
      </w:r>
      <w:r>
        <w:fldChar w:fldCharType="separate"/>
      </w:r>
      <w:r>
        <w:t>Figure 3.</w:t>
      </w:r>
      <w:r>
        <w:rPr>
          <w:noProof/>
        </w:rPr>
        <w:t>19</w:t>
      </w:r>
      <w:r>
        <w:fldChar w:fldCharType="end"/>
      </w:r>
      <w:r>
        <w:t xml:space="preserve">). Gold meshes were spot welded onto the gold wires and these were compressed using spring loaded pyrophyllite piston to provide adequate electrical contact between gold mesh and the sample electrodes. Prior to EIS measurements, the samples were checked for short-circuits using a multi-meter. </w:t>
      </w:r>
    </w:p>
    <w:p w14:paraId="68F46D1E" w14:textId="17C50DB8" w:rsidR="00007F6C" w:rsidRPr="00DF576D" w:rsidRDefault="00007F6C" w:rsidP="00007F6C">
      <w:pPr>
        <w:jc w:val="both"/>
        <w:rPr>
          <w:rFonts w:cs="Arial"/>
        </w:rPr>
      </w:pPr>
      <w:r w:rsidRPr="00135EAC">
        <w:t>Prior to EIS, the samples were coated in a nickel oxide conductive paste (</w:t>
      </w:r>
      <w:proofErr w:type="spellStart"/>
      <w:r w:rsidRPr="00135EAC">
        <w:t>Shoei</w:t>
      </w:r>
      <w:proofErr w:type="spellEnd"/>
      <w:r w:rsidRPr="00135EAC">
        <w:t>, Japan) using a screen-printing method</w:t>
      </w:r>
      <w:r>
        <w:t xml:space="preserve"> (See 3.2.3)</w:t>
      </w:r>
      <w:r w:rsidRPr="00135EAC">
        <w:t>. The thickness of the electrodes was measured to be 3</w:t>
      </w:r>
      <w:r>
        <w:t>5</w:t>
      </w:r>
      <w:r w:rsidRPr="00135EAC">
        <w:t xml:space="preserve"> </w:t>
      </w:r>
      <w:r w:rsidRPr="00135EAC">
        <w:rPr>
          <w:rFonts w:cstheme="minorHAnsi"/>
        </w:rPr>
        <w:t>µ</w:t>
      </w:r>
      <w:r w:rsidRPr="00135EAC">
        <w:t>m per side (</w:t>
      </w:r>
      <w:r w:rsidRPr="00135EAC">
        <w:fldChar w:fldCharType="begin"/>
      </w:r>
      <w:r w:rsidRPr="00135EAC">
        <w:instrText xml:space="preserve"> REF _Ref50283791 \h </w:instrText>
      </w:r>
      <w:r>
        <w:instrText xml:space="preserve"> \* MERGEFORMAT </w:instrText>
      </w:r>
      <w:r w:rsidRPr="00135EAC">
        <w:fldChar w:fldCharType="separate"/>
      </w:r>
      <w:r w:rsidR="007C0B6D" w:rsidRPr="00E75504">
        <w:rPr>
          <w:rFonts w:cstheme="minorHAnsi"/>
        </w:rPr>
        <w:t xml:space="preserve">Figure </w:t>
      </w:r>
      <w:r w:rsidR="007C0B6D">
        <w:rPr>
          <w:rFonts w:cstheme="minorHAnsi"/>
        </w:rPr>
        <w:t>3.7</w:t>
      </w:r>
      <w:r w:rsidRPr="00135EAC">
        <w:fldChar w:fldCharType="end"/>
      </w:r>
      <w:r w:rsidRPr="00135EAC">
        <w:t>). The area of the samples was calculated to be 0.2827</w:t>
      </w:r>
      <w:r>
        <w:t xml:space="preserve"> </w:t>
      </w:r>
      <w:r w:rsidRPr="00135EAC">
        <w:t>cm</w:t>
      </w:r>
      <w:r w:rsidRPr="00135EAC">
        <w:rPr>
          <w:vertAlign w:val="superscript"/>
        </w:rPr>
        <w:t>2</w:t>
      </w:r>
      <w:r w:rsidRPr="00135EAC">
        <w:t xml:space="preserve">.  After the current collector was dried the samples were </w:t>
      </w:r>
      <w:r w:rsidRPr="00135EAC">
        <w:rPr>
          <w:rFonts w:cs="Arial"/>
        </w:rPr>
        <w:t xml:space="preserve">loaded into </w:t>
      </w:r>
      <w:r>
        <w:rPr>
          <w:rFonts w:cs="Arial"/>
        </w:rPr>
        <w:t xml:space="preserve">the </w:t>
      </w:r>
      <w:r w:rsidRPr="00135EAC">
        <w:rPr>
          <w:rFonts w:cs="Arial"/>
        </w:rPr>
        <w:t>ceramic impedance jig</w:t>
      </w:r>
      <w:r>
        <w:rPr>
          <w:rFonts w:cs="Arial"/>
        </w:rPr>
        <w:t xml:space="preserve"> (</w:t>
      </w:r>
      <w:r>
        <w:rPr>
          <w:rFonts w:cs="Arial"/>
        </w:rPr>
        <w:fldChar w:fldCharType="begin"/>
      </w:r>
      <w:r>
        <w:rPr>
          <w:rFonts w:cs="Arial"/>
        </w:rPr>
        <w:instrText xml:space="preserve"> REF _Ref64463065 \h </w:instrText>
      </w:r>
      <w:r>
        <w:rPr>
          <w:rFonts w:cs="Arial"/>
        </w:rPr>
      </w:r>
      <w:r>
        <w:rPr>
          <w:rFonts w:cs="Arial"/>
        </w:rPr>
        <w:fldChar w:fldCharType="separate"/>
      </w:r>
      <w:r w:rsidR="007C0B6D">
        <w:t>Figure 3.</w:t>
      </w:r>
      <w:r w:rsidR="007C0B6D">
        <w:rPr>
          <w:noProof/>
        </w:rPr>
        <w:t>22</w:t>
      </w:r>
      <w:r>
        <w:rPr>
          <w:rFonts w:cs="Arial"/>
        </w:rPr>
        <w:fldChar w:fldCharType="end"/>
      </w:r>
      <w:r>
        <w:rPr>
          <w:rFonts w:cs="Arial"/>
        </w:rPr>
        <w:t>)</w:t>
      </w:r>
      <w:r w:rsidRPr="00135EAC">
        <w:rPr>
          <w:rFonts w:cs="Arial"/>
        </w:rPr>
        <w:t>.</w:t>
      </w:r>
      <w:r>
        <w:rPr>
          <w:rFonts w:cs="Arial"/>
        </w:rPr>
        <w:t xml:space="preserve"> The samples were ramped at 5</w:t>
      </w:r>
      <w:r w:rsidR="00740AF7">
        <w:rPr>
          <w:rFonts w:cs="Arial"/>
        </w:rPr>
        <w:t xml:space="preserve"> </w:t>
      </w:r>
      <w:r>
        <w:rPr>
          <w:rFonts w:cs="Arial"/>
        </w:rPr>
        <w:t>°C</w:t>
      </w:r>
      <w:r w:rsidR="00740AF7">
        <w:rPr>
          <w:rFonts w:cs="Arial"/>
        </w:rPr>
        <w:t>min</w:t>
      </w:r>
      <w:r w:rsidR="00740AF7">
        <w:rPr>
          <w:rFonts w:cs="Arial"/>
          <w:vertAlign w:val="superscript"/>
        </w:rPr>
        <w:t>-1</w:t>
      </w:r>
      <w:r>
        <w:rPr>
          <w:rFonts w:cs="Arial"/>
        </w:rPr>
        <w:t xml:space="preserve"> up to 800°C under a </w:t>
      </w:r>
      <w:r w:rsidR="004D4DD8">
        <w:rPr>
          <w:rFonts w:cs="Arial"/>
        </w:rPr>
        <w:t>5</w:t>
      </w:r>
      <w:r>
        <w:rPr>
          <w:rFonts w:cs="Arial"/>
        </w:rPr>
        <w:t xml:space="preserve"> mL</w:t>
      </w:r>
      <w:r w:rsidR="00740AF7">
        <w:rPr>
          <w:rFonts w:cs="Arial"/>
        </w:rPr>
        <w:t>min</w:t>
      </w:r>
      <w:r w:rsidR="00740AF7">
        <w:rPr>
          <w:rFonts w:cs="Arial"/>
          <w:vertAlign w:val="superscript"/>
        </w:rPr>
        <w:t>-1</w:t>
      </w:r>
      <w:r w:rsidR="00740AF7">
        <w:rPr>
          <w:rFonts w:cs="Arial"/>
        </w:rPr>
        <w:t xml:space="preserve"> </w:t>
      </w:r>
      <w:r>
        <w:rPr>
          <w:rFonts w:cs="Arial"/>
        </w:rPr>
        <w:t>flow of 10 % H</w:t>
      </w:r>
      <w:r>
        <w:rPr>
          <w:rFonts w:cs="Arial"/>
          <w:vertAlign w:val="subscript"/>
        </w:rPr>
        <w:t>2</w:t>
      </w:r>
      <w:r>
        <w:rPr>
          <w:rFonts w:cs="Arial"/>
        </w:rPr>
        <w:t>/N</w:t>
      </w:r>
      <w:r>
        <w:rPr>
          <w:rFonts w:cs="Arial"/>
          <w:vertAlign w:val="subscript"/>
        </w:rPr>
        <w:t>2</w:t>
      </w:r>
      <w:r>
        <w:rPr>
          <w:rFonts w:cs="Arial"/>
        </w:rPr>
        <w:t>. The gas was humidified to a H</w:t>
      </w:r>
      <w:r>
        <w:rPr>
          <w:rFonts w:cs="Arial"/>
        </w:rPr>
        <w:softHyphen/>
      </w:r>
      <w:r>
        <w:rPr>
          <w:rFonts w:cs="Arial"/>
          <w:vertAlign w:val="subscript"/>
        </w:rPr>
        <w:t>2</w:t>
      </w:r>
      <w:r>
        <w:rPr>
          <w:rFonts w:cs="Arial"/>
        </w:rPr>
        <w:t>O saturation of 10 % at 25</w:t>
      </w:r>
      <w:r w:rsidR="00740AF7">
        <w:rPr>
          <w:rFonts w:cs="Arial"/>
        </w:rPr>
        <w:t xml:space="preserve"> </w:t>
      </w:r>
      <w:r>
        <w:rPr>
          <w:rFonts w:cstheme="minorHAnsi"/>
        </w:rPr>
        <w:t>°</w:t>
      </w:r>
      <w:r>
        <w:rPr>
          <w:rFonts w:cs="Arial"/>
        </w:rPr>
        <w:t xml:space="preserve">C via the use of an in-line check valve bubbler (Sigma Aldrich). </w:t>
      </w:r>
      <w:r>
        <w:rPr>
          <w:noProof/>
          <w:lang w:eastAsia="en-GB"/>
        </w:rPr>
        <w:t xml:space="preserve">The flowrate of the gas was kept constant </w:t>
      </w:r>
      <w:r w:rsidR="004D4DD8">
        <w:rPr>
          <w:noProof/>
          <w:lang w:eastAsia="en-GB"/>
        </w:rPr>
        <w:t>5</w:t>
      </w:r>
      <w:r>
        <w:rPr>
          <w:noProof/>
          <w:lang w:eastAsia="en-GB"/>
        </w:rPr>
        <w:t xml:space="preserve"> mL</w:t>
      </w:r>
      <w:r w:rsidR="00740AF7">
        <w:rPr>
          <w:noProof/>
          <w:lang w:eastAsia="en-GB"/>
        </w:rPr>
        <w:t>min</w:t>
      </w:r>
      <w:r w:rsidR="00740AF7">
        <w:rPr>
          <w:noProof/>
          <w:vertAlign w:val="superscript"/>
          <w:lang w:eastAsia="en-GB"/>
        </w:rPr>
        <w:t>-1</w:t>
      </w:r>
      <w:r>
        <w:rPr>
          <w:noProof/>
          <w:lang w:eastAsia="en-GB"/>
        </w:rPr>
        <w:t xml:space="preserve"> at using a Supelco rotameter.</w:t>
      </w:r>
      <w:r>
        <w:rPr>
          <w:rFonts w:cs="Arial"/>
        </w:rPr>
        <w:t xml:space="preserve"> The heating was done using an Elite tube furnace, </w:t>
      </w:r>
      <w:proofErr w:type="spellStart"/>
      <w:r>
        <w:rPr>
          <w:rFonts w:cs="Arial"/>
        </w:rPr>
        <w:t>Eurotherm</w:t>
      </w:r>
      <w:proofErr w:type="spellEnd"/>
      <w:r>
        <w:rPr>
          <w:rFonts w:cs="Arial"/>
        </w:rPr>
        <w:t xml:space="preserve"> 2420 temperature controller and monitored with a K-type thermocouple and </w:t>
      </w:r>
      <w:proofErr w:type="spellStart"/>
      <w:r>
        <w:rPr>
          <w:rFonts w:cs="Arial"/>
        </w:rPr>
        <w:t>Picolog</w:t>
      </w:r>
      <w:proofErr w:type="spellEnd"/>
      <w:r>
        <w:rPr>
          <w:rFonts w:cs="Arial"/>
        </w:rPr>
        <w:t xml:space="preserve"> TC-08 datalogger. The complex impedance response was measured between 0.1 Hz-65 kHz using a </w:t>
      </w:r>
      <w:proofErr w:type="spellStart"/>
      <w:r>
        <w:rPr>
          <w:rFonts w:cs="Arial"/>
        </w:rPr>
        <w:t>Solartron</w:t>
      </w:r>
      <w:proofErr w:type="spellEnd"/>
      <w:r>
        <w:rPr>
          <w:rFonts w:cs="Arial"/>
        </w:rPr>
        <w:t xml:space="preserve"> </w:t>
      </w:r>
      <w:proofErr w:type="spellStart"/>
      <w:r>
        <w:rPr>
          <w:rFonts w:cs="Arial"/>
        </w:rPr>
        <w:t>Modulab</w:t>
      </w:r>
      <w:proofErr w:type="spellEnd"/>
      <w:r>
        <w:rPr>
          <w:rFonts w:cs="Arial"/>
        </w:rPr>
        <w:t xml:space="preserve"> 1250 frequency response analyser and 1287 electrochemical interface. Measurements were collected using the Scribner </w:t>
      </w:r>
      <w:proofErr w:type="spellStart"/>
      <w:r>
        <w:rPr>
          <w:rFonts w:cs="Arial"/>
        </w:rPr>
        <w:t>ZView</w:t>
      </w:r>
      <w:proofErr w:type="spellEnd"/>
      <w:r>
        <w:rPr>
          <w:rFonts w:cs="Arial"/>
        </w:rPr>
        <w:t xml:space="preserve"> and </w:t>
      </w:r>
      <w:proofErr w:type="spellStart"/>
      <w:r>
        <w:rPr>
          <w:rFonts w:cs="Arial"/>
        </w:rPr>
        <w:t>ZPlot</w:t>
      </w:r>
      <w:proofErr w:type="spellEnd"/>
      <w:r>
        <w:rPr>
          <w:rFonts w:cs="Arial"/>
        </w:rPr>
        <w:t xml:space="preserve"> software. Each sample was aged for a period of 50 h. </w:t>
      </w:r>
    </w:p>
    <w:p w14:paraId="2C95373A" w14:textId="737486F5" w:rsidR="007C0B6D" w:rsidRDefault="00007F6C" w:rsidP="00007F6C">
      <w:pPr>
        <w:jc w:val="both"/>
        <w:rPr>
          <w:rFonts w:cs="Arial"/>
        </w:rPr>
      </w:pPr>
      <w:r>
        <w:rPr>
          <w:rFonts w:cs="Arial"/>
        </w:rPr>
        <w:t>Additionally, between EIS measurements the gold meshes were cleaned using isopropanol and then heated in air to 200</w:t>
      </w:r>
      <w:r w:rsidR="00740AF7">
        <w:rPr>
          <w:rFonts w:cs="Arial"/>
        </w:rPr>
        <w:t xml:space="preserve"> </w:t>
      </w:r>
      <w:r>
        <w:rPr>
          <w:rFonts w:cstheme="minorHAnsi"/>
        </w:rPr>
        <w:t>°</w:t>
      </w:r>
      <w:r>
        <w:rPr>
          <w:rFonts w:cs="Arial"/>
        </w:rPr>
        <w:t>C for 2 h in the Elite tube furnace to remove any previous material and reduce the impact of cross-contamination between the samples.</w:t>
      </w:r>
    </w:p>
    <w:p w14:paraId="361BEC7A" w14:textId="77777777" w:rsidR="00007F6C" w:rsidRDefault="00007F6C" w:rsidP="00007F6C">
      <w:pPr>
        <w:keepNext/>
        <w:jc w:val="center"/>
      </w:pPr>
      <w:r>
        <w:rPr>
          <w:rFonts w:cs="Arial"/>
          <w:noProof/>
        </w:rPr>
        <w:drawing>
          <wp:inline distT="0" distB="0" distL="0" distR="0" wp14:anchorId="7CD355D2" wp14:editId="20F1CEDB">
            <wp:extent cx="3960000" cy="3083412"/>
            <wp:effectExtent l="0" t="0" r="2540" b="3175"/>
            <wp:docPr id="19" name="Picture 1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960000" cy="3083412"/>
                    </a:xfrm>
                    <a:prstGeom prst="rect">
                      <a:avLst/>
                    </a:prstGeom>
                  </pic:spPr>
                </pic:pic>
              </a:graphicData>
            </a:graphic>
          </wp:inline>
        </w:drawing>
      </w:r>
    </w:p>
    <w:p w14:paraId="684BC61B" w14:textId="03638547" w:rsidR="00007F6C" w:rsidRDefault="00007F6C" w:rsidP="00007F6C">
      <w:pPr>
        <w:pStyle w:val="Caption"/>
        <w:jc w:val="left"/>
        <w:rPr>
          <w:rFonts w:cs="Arial"/>
        </w:rPr>
      </w:pPr>
      <w:bookmarkStart w:id="265" w:name="_Ref64463065"/>
      <w:bookmarkStart w:id="266" w:name="_Toc69114967"/>
      <w:r>
        <w:t>Figure 3.</w:t>
      </w:r>
      <w:r w:rsidR="00B51F53">
        <w:fldChar w:fldCharType="begin"/>
      </w:r>
      <w:r w:rsidR="00B51F53">
        <w:instrText xml:space="preserve"> SEQ Figure \* ARABIC </w:instrText>
      </w:r>
      <w:r w:rsidR="00B51F53">
        <w:fldChar w:fldCharType="separate"/>
      </w:r>
      <w:r w:rsidR="007C0B6D">
        <w:rPr>
          <w:noProof/>
        </w:rPr>
        <w:t>22</w:t>
      </w:r>
      <w:r w:rsidR="00B51F53">
        <w:rPr>
          <w:noProof/>
        </w:rPr>
        <w:fldChar w:fldCharType="end"/>
      </w:r>
      <w:bookmarkEnd w:id="265"/>
      <w:r>
        <w:t xml:space="preserve">:  Images of the ceramic compression jig used to perform the electrochemical impedance spectroscopy measurements. a. Shows a photograph of the ceramic compression jig lengthways without the alumina sheath. b. A photograph of the stainless-steel flange with gas inlet, outlet, and K-type thermocouple. c. An exploded schematic of the sample housing with sample layers and jig components in the compression clip. d. A photograph of a Ni-YSZ symmetrical cell in the sample housing (denoted by the red square – diagram found in part c.) including the pyrophyllite piston. </w:t>
      </w:r>
      <w:bookmarkEnd w:id="266"/>
    </w:p>
    <w:p w14:paraId="3DFBE615" w14:textId="77777777" w:rsidR="00007F6C" w:rsidRDefault="00007F6C" w:rsidP="00007F6C">
      <w:pPr>
        <w:pStyle w:val="Heading4"/>
      </w:pPr>
      <w:r>
        <w:lastRenderedPageBreak/>
        <w:t>3.3.6.2</w:t>
      </w:r>
      <w:r>
        <w:tab/>
        <w:t>Equivalent Circuit Fitting</w:t>
      </w:r>
    </w:p>
    <w:p w14:paraId="03B6792B" w14:textId="77777777" w:rsidR="00007F6C" w:rsidRPr="00B1263B" w:rsidRDefault="00007F6C" w:rsidP="00007F6C">
      <w:pPr>
        <w:jc w:val="both"/>
      </w:pPr>
      <w:r w:rsidRPr="00B1263B">
        <w:t>Equivalent circuit (</w:t>
      </w:r>
      <w:r w:rsidRPr="00B1263B">
        <w:rPr>
          <w:b/>
          <w:bCs/>
        </w:rPr>
        <w:t>EC</w:t>
      </w:r>
      <w:r w:rsidRPr="00B1263B">
        <w:t xml:space="preserve">)fitting was also performed for each of the samples in </w:t>
      </w:r>
      <w:proofErr w:type="spellStart"/>
      <w:r w:rsidRPr="00B1263B">
        <w:t>ZView</w:t>
      </w:r>
      <w:proofErr w:type="spellEnd"/>
      <w:r w:rsidRPr="00B1263B">
        <w:t xml:space="preserve"> (Scribner, USA).  The electrochemical impedance arcs present in the Nyquist plots were fitted using EC fitting tool in </w:t>
      </w:r>
      <w:proofErr w:type="spellStart"/>
      <w:r w:rsidRPr="00B1263B">
        <w:t>ZView</w:t>
      </w:r>
      <w:proofErr w:type="spellEnd"/>
      <w:r w:rsidRPr="00B1263B">
        <w:t>.  Each of the fittings were run for 100 iterations.</w:t>
      </w:r>
    </w:p>
    <w:p w14:paraId="0A530951" w14:textId="3355D56F" w:rsidR="00007F6C" w:rsidRDefault="00007F6C" w:rsidP="00007F6C">
      <w:pPr>
        <w:jc w:val="both"/>
      </w:pPr>
      <w:r w:rsidRPr="00B1263B">
        <w:t>A resistor was used to emulate the contribution to the impedance of the electrolyte (R</w:t>
      </w:r>
      <w:r w:rsidRPr="00B1263B">
        <w:rPr>
          <w:vertAlign w:val="subscript"/>
        </w:rPr>
        <w:t>S</w:t>
      </w:r>
      <w:r w:rsidRPr="00B1263B">
        <w:t>). The infiltrated electrode resistance component was represented using a resistor with a constant phase element. Initially an instant fit (IF) was performed on the data to produce rough estimations of the resistive values for the electrolyte and electrode. The Rs and R</w:t>
      </w:r>
      <w:r w:rsidRPr="00B1263B">
        <w:rPr>
          <w:vertAlign w:val="subscript"/>
        </w:rPr>
        <w:t>1</w:t>
      </w:r>
      <w:r w:rsidRPr="00B1263B">
        <w:t xml:space="preserve"> values generated were used to inform the EC fit used with the first pass utilising this circuit</w:t>
      </w:r>
      <w:r>
        <w:t xml:space="preserve"> </w:t>
      </w:r>
      <w:r w:rsidRPr="00B1263B">
        <w:t>(</w:t>
      </w:r>
      <w:r w:rsidRPr="00C803C0">
        <w:fldChar w:fldCharType="begin"/>
      </w:r>
      <w:r w:rsidRPr="00C803C0">
        <w:instrText xml:space="preserve"> REF _Ref41318393 \h  \* MERGEFORMAT </w:instrText>
      </w:r>
      <w:r w:rsidRPr="00C803C0">
        <w:fldChar w:fldCharType="separate"/>
      </w:r>
      <w:r>
        <w:t xml:space="preserve">Figure </w:t>
      </w:r>
      <w:r>
        <w:rPr>
          <w:noProof/>
        </w:rPr>
        <w:t>4.32</w:t>
      </w:r>
      <w:r w:rsidRPr="00C803C0">
        <w:fldChar w:fldCharType="end"/>
      </w:r>
      <w:r w:rsidRPr="00C803C0">
        <w:t>)</w:t>
      </w:r>
      <w:r w:rsidRPr="00B1263B">
        <w:t xml:space="preserve"> which has been used in multiple solid oxide fuel electrode studies</w:t>
      </w:r>
      <w:r>
        <w:t xml:space="preserve"> </w:t>
      </w:r>
      <w:r w:rsidRPr="00B1263B">
        <w:fldChar w:fldCharType="begin" w:fldLock="1"/>
      </w:r>
      <w:r w:rsidR="00D80A5D">
        <w:instrText>ADDIN CSL_CITATION {"citationItems":[{"id":"ITEM-1","itemData":{"ISBN":"9036513375","abstract":"This thesis deals with the porous Ni/yttria-stabilized zirconia (YSZ) cermet anode on a YSZ electrolyte for solid oxide fuel cells (SOFC). Such anodes are predominantly operated in moist hydrogen at 700C to 1000C, and the most important technological parameters are the polarization resistance and the long-term stability. The polarization resistance can be measured by a number of techniques, in the present work impedance spectroscopy has been used extensively. By impedance spectroscopy limiting processes in the anode polarization resistance may often be separated and characterized individually, provided they have a reasonable separation in time constants. Three limiting processes are recognized in impedance spectra obtained on technological Ni/YSZ cermet anodes characterized against a stable reference electrode atmosphere. By parameter studies and illustrative experiments, the two contributions at low and medium frequency have been identified as gas conversion and diffusion limitations, respectively. Both of these effects are concentration limitations relating to the inefficient exchange of fuel gas in the test setup outside the porous cermet. A test setup geometry where these concentration effects are avoided for high-performance electrodes is recommended. The high frequency limitation is demonstrated to relate to the cermet structure. The dependence on gas composition, temperature, adsorbed species (sulfur), isotopes (H/D), sintering temperature and cermet thickness is investigated. Despite these studies and several similar studies by others, the exact chemical or physical nature of the limiting step has not been incontestably identified. However, there is a general consensus in literature about the hydrogen oxidation process taking place on or near to the triple phase boundary (TPB) line, where open gas-filled pores, the continuous electrolyte phase (oxide ion conductor) and the continuous Ni phase (electronic conductor) meet. The physical thickness of a cermet anode that contains active TPB sites contributing to the current density of an SOFC is demonstrated to be about 10 µm. This result has technological importance, as any overlying structure serves primarily as a current collector and needs not be optimized for transport of oxide ions. The anode durability is investigated over 1300 to 1900 hrs at 300 mA/cm2 and shown to be stable at 1050C. At 1000C a degradation rate of about 10 mΩcm2 /1000 hrs is observed, and at 850C a degradation rate of about …","author":[{"dropping-particle":"","family":"Primdahl Søren","given":"","non-dropping-particle":"","parse-names":false,"suffix":""}],"container-title":"Technical University of Denmark","id":"ITEM-1","issued":{"date-parts":[["1999"]]},"number-of-pages":"203","publisher":"University of Twente","title":"Nickel/yttria-stabilised zirconia cermet anodes for solid oxide fuel cells","type":"thesis","volume":"PhD"},"uris":["http://www.mendeley.com/documents/?uuid=0fe024e0-9cb0-4090-a4ab-f51c03e5a594"]},{"id":"ITEM-2","itemData":{"DOI":"10.1023/A:1003991529552","ISBN":"0021891X (ISSN)","abstract":"The long-term properties of Ni/yttria stabilized zirconia (YSZ) cermet anodes for solid oxide fuel cells were evaluated experimentally. A total of 13 anodes of three types based on two commercial NiO powders were examined. The durability was evaluated at temperatures of 850 °C, 1000 °C and 1050 °C over 1300 to 2000 h at an anodic d.c. load of 300 mA cm-2 in hydrogen with 1 to 3% water. The anode-related polarization resistance, RP, was measured by impedance spectroscopy and found to be in the range of 0.05 to 0.7 Ω cm2. After an initial stabilization period of up to 300 h, RP varied linearly with time within the experimental uncertainty. At 1050 °C no degradation was observed. At 1000 °C a degradation rate of 10 mΩ cm2 per 1000 h was found. The degradation rate was possibly higher at 850 °C. A single anode was exposed to nine thermal cycles from 1000 to below 100 °C at 100 °C h-1. An increase in RP of about 30 mΩ cm2 was observed over the first two cycles. For the following thermal cycles RP was stable within the experimental uncertainty.","author":[{"dropping-particle":"","family":"Primdahl","given":"S","non-dropping-particle":"","parse-names":false,"suffix":""},{"dropping-particle":"","family":"Mogensen","given":"M","non-dropping-particle":"","parse-names":false,"suffix":""}],"container-title":"Journal of Applied Electrochemistry","id":"ITEM-2","issue":"2","issued":{"date-parts":[["2000"]]},"language":"English","note":"Cited By :40\nExport Date: 11 October 2016\nCODEN: JAELB\nCorrespondence Address: Primdahl, S.; Riso Natl Lab, Roskilde, Denmark\nReferences: Ippommatsu, M., Sasaki, H., Otoshi, S., (1996) Int. J. Hydrogen Energy, 21, p. 129; Bagger, C., Christiansen, N., Hendriksen, P.V., Jensen, E.J., Larsen, S.S., Mogensen, M., High Temperature Electrochemistry: Ceramics and Metals (1996) 17th Risø International Symposium on Materials Science, p. 167. , F.W. Poulsen, N. Bonanos, S. Linderoth, M. Mogensen and B. Zachau-Chistiansen (Eds); Badwal, S.P.S., Foger, K., (1997) Materials Forum, 21, p. 187; Winkler, J., Hendriksen, P.V., Bonanos, N., Mogensen, M., (1998) J. Electrochem. Soc., 145, p. 1184; Mizusaki, J., Tagawa, H., Saito, T., Kamitani, K., Yamamura, T., Hirano, K., Ehara, S., Hashimoto, K., (1994) J. Electrochem. Soc., 141, p. 2129; Norby, T., Osborg, P.A., Ræder, H., (1994) Proceedings of the 'First European Solid Oxide Fuel Cell Forum', p. 671. , U. Bossel (Ed.), European SOFC Forum, Oberrohrdorf, CH; Mogensen, M., Skaarup, S., (1996) Solid State Ionics, 86-88, p. 1151; Murphy, M.M., Van Herle, J., McEvoy, A.J., Thampi, K.R., (1994) J. Electrochem. Soc., 141, pp. L94; Brown, M., Primdahl, S., Mogensen, M., J. Electrochem. Soc., , submitted; Sakamoto, S., Taria, H., Takagi, H., (1996) Denki Kagaku, 64, p. 609; Badwal, S.P.S., (1992) Solid State Ionics, 52, p. 23; Singhal, S.C., The Electrochemical Society Proceedings Series (1997) Solid Oxide Fuel Cells, 97 PV (40), p. 37. , U. Stimming, S.C. Singhal, H. Tagawa W. Lehnert (Eds), Pennington, NJ; Beie, H.J., Blum, L., Drenckhahn, W., Greiner, H., Schisschl, H., (1998) Proceedings of the 'Third European Solid Fuel Cell Forum', p. 3. , P. Stevens (Ed.), European SOFC Forum, Oberrohrdorf, CH; Schäfer, W., Geier, H., Lindemann, G., Stolten, D., High Temperature Electrochemical Behaviour of Fast Ion and Mixed Conductors (1993) 14th Risø International Symposium on Materials Science, p. 409. , F.W. Poulsen, J.J. Bentzen, T. Jacobsen, E. Skou and M.J.L. Østergård, (Eds.), Roskilde DK; Middleton, P.H., Seiersten, M.E., Steele, B.C.H., The Electrochemical Society Proceedings Series (1989) Solid Oxide Fuel Cells, 89 PV (11), p. 90. , S.C. Singhal, (Ed.), Pennington, NJ; Kinderman, L., Poulsen, F.W., Bagger, C., (1998) Proceedings of the 'Third European Solid Oxide Fuel Cell Forum', p. 133. , P. Stevens, (Ed.), Poster section, European SOFC Forum, Oberrohrdorf, CH; Fukui, T., Ohara, S., Mukai, K., (1998) Electrochem. Solid-State Lett., 1, p. 120; Iwata, T., (1996) J. Electrochem. Soc., 143, p. 1521; Khandkar, A.C., Elangovan, S., Liu, M., Timper, M., (1991) High Temperature Electrode Materials and Characterization, 91 PV (6), p. 175. , D.D. Macdonald and A.C. Khandkar, (Eds.), The Electrochemical Society, Pennington, NJ; Bagger, C., (1992) 1992 Fuel Cell Seminar, p. 241. , Courtesy Associates, Inc. Washington, DC; Hartung, R., Möbius, H.-H., (1968) Chemie-Ing. Techn., 40, p. 592; Boukamp, B.A., (1986) Solid State Ionics, 20, p. 31; Primdahl, S., Mogensen, M., (1997) J. Electrochem. Soc., 144, p. 3409; Primdahl, S., Mogensen, M., (1998) J. Electrochem. Soc., 145, p. 2431; Primdahl, S., Mogensen, M., (1999) J. Electrochem. Soc., 146, p. 2827; Primdahl, S., Mogensen, M., , p. 530. , 12Mohamedi-Boulenouar, F.Z., Guindet, J., Hammou, A., , p. 441. , 12Primdahl, S., Sørensen, B.F., Mogensen, M., J. Am. Ceram. Soc., , accepted; Jørgensen, M.J., Primdahl, S., Mogensen, M., (1999) Electrochim. Acta, 44, p. 4195; Gubner, A., Landes, H., Metzger, J., Seeg, H., Stübner, R., , p. 844. , 12Appel, C.C., Bonanos, N., Horsewell, A., Linderoth, S., in preparationUR - https://www.scopus.com/inward/record.uri?eid=2-s2.0-0033896708&amp;amp;partnerID=40&amp;amp;md5=0dc5f67c06ceb5ce61e9d381d0542e72","page":"247-257","publisher":"Kluwer Academic Publishers","publisher-place":"Dordrecht, Netherlands","title":"Durability and thermal cycling of Ni/YSZ cermet anodes for solid oxide fuel cells","type":"article-journal","volume":"30"},"uris":["http://www.mendeley.com/documents/?uuid=11c8adef-ec2d-42e2-9f44-159250db8470"]},{"id":"ITEM-3","itemData":{"DOI":"10.1149/05701.1627ecst","ISBN":"19385862 (ISSN)","abstract":"A range of Ni-containing solutions have been infiltrated into a symmetrical tubular half-cell composed of a slip-casted, porous yttria-stabilized zirconia (YSZ) anode support, Ni-YSZ functional layers, a YSZ electrolyte, and a second, outer porous YSZ anode support layer, aiming at the development of high performance anodes that are tolerant to redox-cycling. A combination of surface wettability experiments and optical and electron microscopy imaging has been used to determine how well these solutions penetrate the porous YSZ matrix, then correlating these results with the electrochemical performance in humidified H2 environments at 800 oC. It is shown that the addition of the Triton-X-100 surfactant to the infiltration solution results in excellent penetration of the YSZ matrix, while the use of urea as a Ni complexing agent does not give good wettability, thus leaving a Ni-rich layer on the outer anode surface. Overall, the use of a two-step process, involving several infiltrations with Ni nitrate soluzions containing Triton-X-100, followed by several infiltrations with urea-containing solutions, leads to the best cell performance as well as the best Ni distribution inside the anode layers. © The Electrochemical Society.","author":[{"dropping-particle":"","family":"Keyvanfar","given":"P","non-dropping-particle":"","parse-names":false,"suffix":""},{"dropping-particle":"","family":"Birss","given":"V","non-dropping-particle":"","parse-names":false,"suffix":""}],"container-title":"ECS Transactions","edition":"1","id":"ITEM-3","issued":{"date-parts":[["2013"]]},"language":"English","note":"Cited By :3\nExport Date: 20 January 2017\nReferences: Sarantaridis, D., Atkins, A., (2007) FUEL CELLS, 7, p. 246; Sholklapper, T.Z., Lu, C., Jacobsona, C.P., Viscoa, S.J., Jonghe De, L.C., (2006) Electrochem Solid-State Lett., 9, pp. A376; Buyukaksoy, A., Petrovsky, V., Dogan, F., (2012) J. Electrochem. Soc., 159, pp. B666; Sholklapper, T.Z., Radmilovic, V., Jacobson, C.P., Visco, S.J., De Jonghe, L.C., (2007) Electrochem Solid-State Lett., 10, pp. B74; Bidrawn, F., Kima, G., Aramrueang, N., Vohs, J.M., Gorte, R.J., (2010) J. Power Sources, 195, p. 720; Yamahara, K., Jacobson, C.P., Visco, S.J., Feng Zhang, X., De Jonghe, L.C., (2005) Solid State Ionics, 176, p. 275; Jung, S.N., Lu, C., He, H., Ahn, K., Gorte, R.J., Vohs, J.M., (2006) J. Power Sources, 154, p. 42; Lee, S., Kima, G., Vohs, J.M., Gorte, R.J., (2008) J. Electrochem. Soc., 155, pp. B1179; Huang, Y., Vohs, J.M., Gorte, R.J., (2006) Electrochem Solid-State Lett., 9, pp. A237; Tucker, M.C., Lau, G.Y., Jacobson, C.P., Dejonghe, L.C., Visco, S.J., (2007) J. Power Sources, 171, p. 477; Klemensø, T., Thydén, K., Chen, M., Wang, H.J., (2010) J. Power Sources, 195, p. 7295; Li, W., Lü, Z., Zhu, X., Guan, B., Wei, B., Guan, C., Su, W., (2011) Electrochimica Acta, 56, p. 2230; Nicholas, J.D., Barnett, S.A., (2010) J. Electrochem. Soc., 157, pp. B536; Hanifi, A.R., Shinbine, A., Etsell, T.H., Sarkar, P., (2012) Int. J. Appl. Ceram. Technol., 9, p. 1011; Kilbride, I.P., (1996) Journal of Power Sources, 61, p. 167; Conga, L., Hea, T., Jia, Y., Guana, P., Huanga, Y., Su, W., (2003) J. Alloys Compd., 348, p. 325; Primdahl, S., Mogensen, M., (1998) J. Electrochem. Soc., 145, p. 2431; Primdahl, S., Mogensen, M., (1999) J. Electrochem. Soc., 146, p. 2827; Jiang, S.P., Badwal, S.P.S., (1999) Solid State Ionics, 123, p. 209; Sonn, V., Leonide, A., Ivers-Tiffée, E., (2008) J. Electrochem. Soc., 155, pp. B675","page":"1627-1638","publisher":"Electrochemical Society Inc.","title":"Optimization of infiltration techniques used to construct Ni/YSZ anodes","type":"paper-conference","volume":"57"},"uris":["http://www.mendeley.com/documents/?uuid=5f2f8be1-dd3d-4a6a-8666-4285a4f9f54a"]},{"id":"ITEM-4","itemData":{"DOI":"10.1016/j.jpowsour.2015.04.072","ISSN":"03787753","abstract":"Ni infiltration into porous YSZ scaffolds is a promising route for the construction of high performing and redox-stable Ni-YSZ anodes for application in solid oxide fuel cells (SOFCs). However, the long-term instability of this type of anode is a critical problem. Here, it is shown that an interconnected Ni film, rather than discrete Ni particles, can be formed inside a porous, pre-sintered YSZ scaffold by using a polymeric Ni-based precursor as the infiltration medium. To understand the effect of the YSZ microstructure on the long-term stability and the electrochemical performance of the resulting composites, two types of Ni-YSZ anodes were investigated. Anodes prepared by polymeric Ni infiltration into a YSZ scaffold with large grains (0.5 μm) and pores (0.5 μm and 5 μm) showed extensive agglomeration in the Ni phase, resulting in poor stability and poor activity. In contrast, Ni infiltration into YSZ scaffolds with finer particle and pore sizes (</w:instrText>
      </w:r>
      <w:r w:rsidR="00D80A5D">
        <w:rPr>
          <w:rFonts w:ascii="Cambria Math" w:hAnsi="Cambria Math" w:cs="Cambria Math"/>
        </w:rPr>
        <w:instrText>∼</w:instrText>
      </w:r>
      <w:r w:rsidR="00D80A5D">
        <w:instrText xml:space="preserve">200 nm each) produced anodes with a very small polarization resistance of ca. 0.1 </w:instrText>
      </w:r>
      <w:r w:rsidR="00D80A5D">
        <w:rPr>
          <w:rFonts w:ascii="Calibri" w:hAnsi="Calibri" w:cs="Calibri"/>
        </w:rPr>
        <w:instrText>Ω</w:instrText>
      </w:r>
      <w:r w:rsidR="00D80A5D">
        <w:instrText xml:space="preserve"> cm&lt;sup&gt;2&lt;/sup&gt; per electrode at 800 </w:instrText>
      </w:r>
      <w:r w:rsidR="00D80A5D">
        <w:rPr>
          <w:rFonts w:ascii="Calibri" w:hAnsi="Calibri" w:cs="Calibri"/>
        </w:rPr>
        <w:instrText>°</w:instrText>
      </w:r>
      <w:r w:rsidR="00D80A5D">
        <w:instrText xml:space="preserve">C. An increase of only </w:instrText>
      </w:r>
      <w:r w:rsidR="00D80A5D">
        <w:rPr>
          <w:rFonts w:ascii="Cambria Math" w:hAnsi="Cambria Math" w:cs="Cambria Math"/>
        </w:rPr>
        <w:instrText>∼</w:instrText>
      </w:r>
      <w:r w:rsidR="00D80A5D">
        <w:instrText>5% was seen in the resistance after ca. 110 h at this temperature, achieved by preventing Ni agglomeration.","author":[{"dropping-particle":"","family":"Buyukaksoy","given":"Aligul","non-dropping-particle":"","parse-names":false,"suffix":""},{"dropping-particle":"","family":"Kammampata","given":"Sanoop P.","non-dropping-particle":"","parse-names":false,"suffix":""},{"dropping-particle":"","family":"Birss","given":"Viola I.","non-dropping-particle":"","parse-names":false,"suffix":""}],"container-title":"Journal of Power Sources","id":"ITEM-4","issued":{"date-parts":[["2015"]]},"page":"349-358","publisher":"Elsevier B.V","title":"Effect of porous YSZ scaffold microstructure on the long-term performance of infiltrated Ni-YSZ anodes","type":"article-journal","volume":"287"},"uris":["http://www.mendeley.com/documents/?uuid=bf3a7d3f-cd78-42db-a93a-ee5fbe68d623"]}],"mendeley":{"formattedCitation":"[130], [131], [233], [354]","plainTextFormattedCitation":"[130], [131], [233], [354]","previouslyFormattedCitation":"[130], [131], [233], [354]"},"properties":{"noteIndex":0},"schema":"https://github.com/citation-style-language/schema/raw/master/csl-citation.json"}</w:instrText>
      </w:r>
      <w:r w:rsidRPr="00B1263B">
        <w:fldChar w:fldCharType="separate"/>
      </w:r>
      <w:r w:rsidR="006C586A" w:rsidRPr="006C586A">
        <w:rPr>
          <w:noProof/>
        </w:rPr>
        <w:t>[130], [131], [233], [354]</w:t>
      </w:r>
      <w:r w:rsidRPr="00B1263B">
        <w:fldChar w:fldCharType="end"/>
      </w:r>
      <w:r w:rsidRPr="00B1263B">
        <w:t>.</w:t>
      </w:r>
    </w:p>
    <w:p w14:paraId="4362D7FF" w14:textId="5907D6FE" w:rsidR="00007F6C" w:rsidRDefault="00007F6C" w:rsidP="00007F6C">
      <w:pPr>
        <w:pStyle w:val="Heading3"/>
        <w:rPr>
          <w:rFonts w:asciiTheme="minorHAnsi" w:hAnsiTheme="minorHAnsi" w:cs="Arial"/>
        </w:rPr>
      </w:pPr>
      <w:bookmarkStart w:id="267" w:name="_Toc69129394"/>
      <w:r>
        <w:rPr>
          <w:rFonts w:asciiTheme="minorHAnsi" w:hAnsiTheme="minorHAnsi" w:cs="Arial"/>
        </w:rPr>
        <w:t>3.3.</w:t>
      </w:r>
      <w:r w:rsidR="00730347">
        <w:rPr>
          <w:rFonts w:asciiTheme="minorHAnsi" w:hAnsiTheme="minorHAnsi" w:cs="Arial"/>
        </w:rPr>
        <w:t>6</w:t>
      </w:r>
      <w:r>
        <w:rPr>
          <w:rFonts w:asciiTheme="minorHAnsi" w:hAnsiTheme="minorHAnsi" w:cs="Arial"/>
        </w:rPr>
        <w:t xml:space="preserve"> Ptychographic X-ray Computed Tomography (PXCT) (Scanning diffraction microscopy)</w:t>
      </w:r>
      <w:bookmarkEnd w:id="267"/>
    </w:p>
    <w:p w14:paraId="420518AB" w14:textId="1EDF1C8A" w:rsidR="00007F6C" w:rsidRDefault="00007F6C" w:rsidP="00007F6C">
      <w:pPr>
        <w:jc w:val="both"/>
        <w:rPr>
          <w:rFonts w:cs="Arial"/>
        </w:rPr>
      </w:pPr>
      <w:r w:rsidRPr="00516F80">
        <w:rPr>
          <w:rFonts w:cs="Arial"/>
        </w:rPr>
        <w:t>Ptychography is a form of coherent diffractive imaging</w:t>
      </w:r>
      <w:r>
        <w:rPr>
          <w:rFonts w:cs="Arial"/>
        </w:rPr>
        <w:t xml:space="preserve"> (CDI) </w:t>
      </w:r>
      <w:r w:rsidRPr="00516F80">
        <w:rPr>
          <w:rFonts w:cs="Arial"/>
        </w:rPr>
        <w:fldChar w:fldCharType="begin" w:fldLock="1"/>
      </w:r>
      <w:r w:rsidR="00D80A5D">
        <w:rPr>
          <w:rFonts w:cs="Arial"/>
        </w:rPr>
        <w:instrText>ADDIN CSL_CITATION {"citationItems":[{"id":"ITEM-1","itemData":{"DOI":"10.1016/S1076-5670(07)00003-1","ISBN":"1076-5670","author":[{"dropping-particle":"","family":"Rodenburg","given":"J M","non-dropping-particle":"","parse-names":false,"suffix":""}],"container-title":"Advances in Imaging and Electron Physics, Vol 150","id":"ITEM-1","issued":{"date-parts":[["2008"]]},"language":"English","note":"Bhm03\nTimes Cited:167\nCited References Count:74\nAdvances in Imaging and Electron Physics","page":"87-184","title":"Ptychography and related diffractive imaging methods","type":"article-journal","volume":"150"},"uris":["http://www.mendeley.com/documents/?uuid=b1a2165a-9ae1-4237-a124-5128076d7a1d"]},{"id":"ITEM-2","itemData":{"DOI":"Unsp 83381g\r10.1117/12.917618","ISBN":"0277-786x","abstract":"This paper discusses ptychography, a coherent diffraction imaging technique. Advantages of ptychography with respect conventional imaging techniques for cell visualisation are highlighted and demonstrated using unstained healthy and tumorous mouse cells as the object under investigation. A novel procedure to automatically refocus a possible slightly out of focus ptychographic data set will be discussed, by which an improved quantitative analysis and discrimination is enabled.","author":[{"dropping-particle":"","family":"Claus","given":"D","non-dropping-particle":"","parse-names":false,"suffix":""},{"dropping-particle":"","family":"Schluesener","given":"H","non-dropping-particle":"","parse-names":false,"suffix":""},{"dropping-particle":"","family":"Maiden","given":"A","non-dropping-particle":"","parse-names":false,"suffix":""},{"dropping-particle":"","family":"Zhang","given":"F C","non-dropping-particle":"","parse-names":false,"suffix":""},{"dropping-particle":"","family":"Sweeney","given":"F","non-dropping-particle":"","parse-names":false,"suffix":""},{"dropping-particle":"","family":"Humphry","given":"M","non-dropping-particle":"","parse-names":false,"suffix":""},{"dropping-particle":"","family":"Rodenburg","given":"J","non-dropping-particle":"","parse-names":false,"suffix":""}],"container-title":"Tenth International Conference on Correlation Optics","id":"ITEM-2","issued":{"date-parts":[["2011"]]},"language":"English","note":"Byf20\nTimes Cited:0\nCited References Count:16\nProceedings of SPIE","title":"Ptychography: A powerful phase retrieval technique for biomedical imaging","type":"article-journal","volume":"8338"},"uris":["http://www.mendeley.com/documents/?uuid=0f8dd5a9-b7ca-4ee9-8fce-0f3cd4eb3a64"]}],"mendeley":{"formattedCitation":"[275], [279]","plainTextFormattedCitation":"[275], [279]","previouslyFormattedCitation":"[275], [279]"},"properties":{"noteIndex":0},"schema":"https://github.com/citation-style-language/schema/raw/master/csl-citation.json"}</w:instrText>
      </w:r>
      <w:r w:rsidRPr="00516F80">
        <w:rPr>
          <w:rFonts w:cs="Arial"/>
        </w:rPr>
        <w:fldChar w:fldCharType="separate"/>
      </w:r>
      <w:r w:rsidR="006C586A" w:rsidRPr="006C586A">
        <w:rPr>
          <w:rFonts w:cs="Arial"/>
          <w:noProof/>
        </w:rPr>
        <w:t>[275], [279]</w:t>
      </w:r>
      <w:r w:rsidRPr="00516F80">
        <w:rPr>
          <w:rFonts w:cs="Arial"/>
        </w:rPr>
        <w:fldChar w:fldCharType="end"/>
      </w:r>
      <w:r w:rsidRPr="00516F80">
        <w:rPr>
          <w:rFonts w:cs="Arial"/>
        </w:rPr>
        <w:t>. This form of imaging retrieves phase data from a sample from reconstructed the diffractograms. These far field diffraction patterns are produced by illuminating the sample in the incident X-ray beam and taking images at increments within a 180</w:t>
      </w:r>
      <w:r w:rsidRPr="00516F80">
        <w:rPr>
          <w:rFonts w:cstheme="minorHAnsi"/>
        </w:rPr>
        <w:t>° rotation.</w:t>
      </w:r>
      <w:r w:rsidRPr="00516F80">
        <w:rPr>
          <w:rFonts w:cs="Arial"/>
        </w:rPr>
        <w:t xml:space="preserve"> The illuminated sections overlap reducing the information lost when applying an iterative feedback algorithm</w:t>
      </w:r>
      <w:r>
        <w:rPr>
          <w:rFonts w:cs="Arial"/>
        </w:rPr>
        <w:t xml:space="preserve"> </w:t>
      </w:r>
      <w:r w:rsidRPr="00516F80">
        <w:rPr>
          <w:rFonts w:cs="Arial"/>
        </w:rPr>
        <w:fldChar w:fldCharType="begin" w:fldLock="1"/>
      </w:r>
      <w:r w:rsidR="00D80A5D">
        <w:rPr>
          <w:rFonts w:cs="Arial"/>
        </w:rPr>
        <w:instrText>ADDIN CSL_CITATION {"citationItems":[{"id":"ITEM-1","itemData":{"DOI":"10.1017/s1431927618012862","ISSN":"1431-9276","abstract":"//static.cambridge.org/content/id/urn%3Acambridge.org%3Aid%3Aarticle%3AS1431927618012862/resource/name/firstPage-S1431927618012862a.jpg","author":[{"dropping-particle":"","family":"Cipiccia","given":"Silvia","non-dropping-particle":"","parse-names":false,"suffix":""},{"dropping-particle":"","family":"Batey","given":"Darren J.","non-dropping-particle":"","parse-names":false,"suffix":""},{"dropping-particle":"","family":"Shi","given":"Xiaowen","non-dropping-particle":"","parse-names":false,"suffix":""},{"dropping-particle":"","family":"Price","given":"Stephen","non-dropping-particle":"","parse-names":false,"suffix":""},{"dropping-particle":"","family":"Parsons","given":"Aaron","non-dropping-particle":"","parse-names":false,"suffix":""},{"dropping-particle":"","family":"Wanelik","given":"Kaz","non-dropping-particle":"","parse-names":false,"suffix":""},{"dropping-particle":"","family":"Wilson","given":"Andrew","non-dropping-particle":"","parse-names":false,"suffix":""},{"dropping-particle":"","family":"Crook","given":"Robert","non-dropping-particle":"","parse-names":false,"suffix":""},{"dropping-particle":"","family":"Raja","given":"Robert","non-dropping-particle":"","parse-names":false,"suffix":""},{"dropping-particle":"","family":"Rau","given":"Christoph","non-dropping-particle":"","parse-names":false,"suffix":""}],"container-title":"Microscopy and Microanalysis","id":"ITEM-1","issue":"S2","issued":{"date-parts":[["2018"]]},"page":"96-97","title":"An Iterative Self-Absorption Correction Algorithm for 3D Ptycho-Fluorescence Imaging","type":"article-journal","volume":"24"},"uris":["http://www.mendeley.com/documents/?uuid=a16409b2-3929-4e61-bd33-09f325eff6c4"]},{"id":"ITEM-2","itemData":{"DOI":"10.1002/pssa.201184272","ISSN":"18626300","abstract":"The Diamond beamline I13 for imaging and coherence applications is dedicated to hard X-ray imaging on the micro and nano-lengthscale. Two independent stations will be operated in a separate building at a distance of 250m from the source. The imaging branch will perform in-line phase contrast imaging and tomography over a large field of view in the 6-35keV energy range. In addition it will be possible to switch to full-field microscopy with 50nm spatial resolution. Other microscopies will be developed according to the scientific needs. Resolution beyond the limitations given by the detector and X-ray optics will be achieved on the 'coherence' branch. Techniques working in the far field such as Coherent X-Ray Diffraction and other Coherent Diffraction Imaging techniques such as ptychography will be implemented. Typical applications cover different fields such as bio-medicine, materials science, geo- and astrophysics or even cultural heritage. The beamline hosts a number of innovative features such as the so-called 'mini-beta' layout for electron optics in the storage ring or new concepts for beamline instrumentation. The stations will be operational in 2011. Copyright © 2011 WILEY-VCH Verlag GmbH &amp; Co. KGaA, Weinheim.","author":[{"dropping-particle":"","family":"Rau","given":"Christoph","non-dropping-particle":"","parse-names":false,"suffix":""},{"dropping-particle":"","family":"Wagner","given":"Ulrich","non-dropping-particle":"","parse-names":false,"suffix":""},{"dropping-particle":"","family":"Pešić","given":"Zoran","non-dropping-particle":"","parse-names":false,"suffix":""},{"dropping-particle":"","family":"Fanis","given":"Alberto","non-dropping-particle":"De","parse-names":false,"suffix":""}],"container-title":"Physica Status Solidi (A) Applications and Materials Science","id":"ITEM-2","issue":"11","issued":{"date-parts":[["2011"]]},"page":"2522-2525","title":"Coherent imaging at the Diamond beamline I13","type":"article-journal","volume":"208"},"uris":["http://www.mendeley.com/documents/?uuid=17887118-d3c8-43ca-a52b-1c4ed231e58a"]},{"id":"ITEM-3","itemData":{"DOI":"10.1080/08940886.2017.1364530","ISSN":"19317344","author":[{"dropping-particle":"","family":"Rau","given":"Christoph","non-dropping-particle":"","parse-names":false,"suffix":""}],"container-title":"Synchrotron Radiation News","id":"ITEM-3","issue":"5","issued":{"date-parts":[["2017"]]},"page":"19-25","title":"Imaging with Coherent Synchrotron Radiation: X-ray Imaging and Coherence Beamline (I13) at Diamond Light Source","type":"article-journal","volume":"30"},"uris":["http://www.mendeley.com/documents/?uuid=1fefddd3-eaa7-4dc5-8c6e-3640f94f15a6"]},{"id":"ITEM-4","itemData":{"DOI":"10.1063/1.5084575","ISBN":"9780735417823","ISSN":"15517616","abstract":"The I13 imaging and coherence beamline aims for multiscale imaging in the energy range of 6-30keV. The achievable resolution ranges from several microns to tens of nanometers. Several experimental methods are available on two independently operating branchlines. The Diamond-Manchester imaging branchline applies methods in direct space, such as In-line phase contrast, grating interferometry and full-field microscopy. The coherence branch covers far-field techniques such as ptychography and Bragg-CDI. The ptychography is now available as user-friendly experiment and the spatial and temporal resolution has been significantly enhanced. The scientific program at I13 will increasingly explore the suite of experimental techniques available at the beamline for multi-scale imaging.","author":[{"dropping-particle":"","family":"Rau","given":"Christoph","non-dropping-particle":"","parse-names":false,"suffix":""},{"dropping-particle":"","family":"Storm","given":"Malte","non-dropping-particle":"","parse-names":false,"suffix":""},{"dropping-particle":"","family":"Marathe","given":"Shashidhara","non-dropping-particle":"","parse-names":false,"suffix":""},{"dropping-particle":"","family":"Bodey","given":"Andrew J.","non-dropping-particle":"","parse-names":false,"suffix":""},{"dropping-particle":"","family":"Cipiccia","given":"Silvia","non-dropping-particle":"","parse-names":false,"suffix":""},{"dropping-particle":"","family":"Batey","given":"Darren","non-dropping-particle":"","parse-names":false,"suffix":""},{"dropping-particle":"","family":"Shi","given":"Xiaowen","non-dropping-particle":"","parse-names":false,"suffix":""},{"dropping-particle":"","family":"Zdora","given":"Marie Christine","non-dropping-particle":"","parse-names":false,"suffix":""},{"dropping-particle":"","family":"Zanette","given":"Irene","non-dropping-particle":"","parse-names":false,"suffix":""}],"container-title":"AIP Conference Proceedings","id":"ITEM-4","issue":"January","issued":{"date-parts":[["2019"]]},"title":"Multi-scale imaging at the diamond beamline I13","type":"article-journal","volume":"2054"},"uris":["http://www.mendeley.com/documents/?uuid=7debb4f7-9d6c-488a-ac25-2195d9a671c0"]}],"mendeley":{"formattedCitation":"[355]–[358]","plainTextFormattedCitation":"[355]–[358]","previouslyFormattedCitation":"[355]–[358]"},"properties":{"noteIndex":0},"schema":"https://github.com/citation-style-language/schema/raw/master/csl-citation.json"}</w:instrText>
      </w:r>
      <w:r w:rsidRPr="00516F80">
        <w:rPr>
          <w:rFonts w:cs="Arial"/>
        </w:rPr>
        <w:fldChar w:fldCharType="separate"/>
      </w:r>
      <w:r w:rsidR="006C586A" w:rsidRPr="006C586A">
        <w:rPr>
          <w:rFonts w:cs="Arial"/>
          <w:noProof/>
        </w:rPr>
        <w:t>[355]–[358]</w:t>
      </w:r>
      <w:r w:rsidRPr="00516F80">
        <w:rPr>
          <w:rFonts w:cs="Arial"/>
        </w:rPr>
        <w:fldChar w:fldCharType="end"/>
      </w:r>
      <w:r w:rsidRPr="00516F80">
        <w:rPr>
          <w:rFonts w:cs="Arial"/>
        </w:rPr>
        <w:t xml:space="preserve">. </w:t>
      </w:r>
      <w:r>
        <w:rPr>
          <w:rFonts w:cs="Arial"/>
        </w:rPr>
        <w:t xml:space="preserve">These algorithms and imaging method can be combined with high flux X-ray sources to form a scanning diffraction microscopy technique known as Ptychographic X-ray Computed Tomography (PXCT). </w:t>
      </w:r>
    </w:p>
    <w:p w14:paraId="58903974" w14:textId="5A86DAA7" w:rsidR="00007F6C" w:rsidRDefault="00007F6C" w:rsidP="00007F6C">
      <w:pPr>
        <w:jc w:val="both"/>
        <w:rPr>
          <w:rFonts w:cs="Arial"/>
        </w:rPr>
      </w:pPr>
      <w:r>
        <w:rPr>
          <w:rFonts w:cs="Arial"/>
        </w:rPr>
        <w:t>With the use of high-brilliance X-rays, the resolution of PXCT exceeds that of its XCT counterparts</w:t>
      </w:r>
      <w:r>
        <w:rPr>
          <w:rFonts w:cs="Arial"/>
        </w:rPr>
        <w:fldChar w:fldCharType="begin" w:fldLock="1"/>
      </w:r>
      <w:r w:rsidR="00D80A5D">
        <w:rPr>
          <w:rFonts w:cs="Arial"/>
        </w:rPr>
        <w:instrText>ADDIN CSL_CITATION {"citationItems":[{"id":"ITEM-1","itemData":{"DOI":"10.1016/S1369-7021(07)70305-X","ISSN":"13697021","abstract":"Almost every area of science has been revolutionized by our ability to collect two-dimensional images of increasingly fine detail, ranging from radio signals of far-off solar systems, to high-resolution electron microscopy images. With the advent of digital image capture, tomography - the art of reconstructing a sliceable virtual three-dimensional copy of the object from two-dimensional images - is becoming increasingly popular across a range of imaging modalities and length scales. One area attracting a lot of attention is the area of submicron X-ray tomography, popularly dubbed X-ray nanotomography. © 2007 Elsevier Ltd. All rights reserved.","author":[{"dropping-particle":"","family":"Withers","given":"Philip J.","non-dropping-particle":"","parse-names":false,"suffix":""}],"container-title":"Materials Today","id":"ITEM-1","issue":"12","issued":{"date-parts":[["2007"]]},"page":"26-34","title":"X-ray nanotomography","type":"article-journal","volume":"10"},"uris":["http://www.mendeley.com/documents/?uuid=b7869de3-8cb6-4d70-9120-b4238a78d600"]},{"id":"ITEM-2","itemData":{"DOI":"10.1038/srep03857","ISSN":"20452322","PMID":"24457289","abstract":"X-ray ptychography is a scanning variant of coherent diffractive imaging with the ability to image large fields of view at high resolution. It further allows imaging of non-isolated specimens and can produce quantitative mapping of the electron density distribution in 3D when combined with computed tomography. The method does not require imaging lenses, which makes it dose efficient and suitable to multi-keV X-rays, where efficient photon counting, pixelated detectors are available. Here we present the first highly resolved quantitative X-ray ptychographic tomography of an extended object yielding 16â€...nm isotropic 3D resolution recorded at 2 Å wavelength. This first-of-its-kind demonstration paves the way for ptychographic X-ray tomography to become a promising method for X-ray imaging of representative sample volumes at unmatched resolution, opening tremendous potential for characterizing samples in materials science and biology by filling the resolution gap between electron microscopy and other X-ray imaging techniques.","author":[{"dropping-particle":"","family":"Holler","given":"M.","non-dropping-particle":"","parse-names":false,"suffix":""},{"dropping-particle":"","family":"Diaz","given":"A.","non-dropping-particle":"","parse-names":false,"suffix":""},{"dropping-particle":"","family":"Guizar-Sicairos","given":"M.","non-dropping-particle":"","parse-names":false,"suffix":""},{"dropping-particle":"","family":"Karvinen","given":"P.","non-dropping-particle":"","parse-names":false,"suffix":""},{"dropping-particle":"","family":"Färm","given":"Elina","non-dropping-particle":"","parse-names":false,"suffix":""},{"dropping-particle":"","family":"Härkönen","given":"Emma","non-dropping-particle":"","parse-names":false,"suffix":""},{"dropping-particle":"","family":"Ritala","given":"Mikko","non-dropping-particle":"","parse-names":false,"suffix":""},{"dropping-particle":"","family":"Menzel","given":"A.","non-dropping-particle":"","parse-names":false,"suffix":""},{"dropping-particle":"","family":"Raabe","given":"J.","non-dropping-particle":"","parse-names":false,"suffix":""},{"dropping-particle":"","family":"Bunk","given":"O.","non-dropping-particle":"","parse-names":false,"suffix":""}],"container-title":"Scientific Reports","id":"ITEM-2","issued":{"date-parts":[["2014"]]},"page":"1-5","title":"X-ray ptychographic computed tomography at 16 nm isotropic 3D resolution","type":"article-journal","volume":"4"},"uris":["http://www.mendeley.com/documents/?uuid=6da5cea7-1a7c-49d7-9557-32fd544131f9"]}],"mendeley":{"formattedCitation":"[359], [360]","plainTextFormattedCitation":"[359], [360]","previouslyFormattedCitation":"[359], [360]"},"properties":{"noteIndex":0},"schema":"https://github.com/citation-style-language/schema/raw/master/csl-citation.json"}</w:instrText>
      </w:r>
      <w:r>
        <w:rPr>
          <w:rFonts w:cs="Arial"/>
        </w:rPr>
        <w:fldChar w:fldCharType="separate"/>
      </w:r>
      <w:r w:rsidR="006C586A" w:rsidRPr="006C586A">
        <w:rPr>
          <w:rFonts w:cs="Arial"/>
          <w:noProof/>
        </w:rPr>
        <w:t>[359], [360]</w:t>
      </w:r>
      <w:r>
        <w:rPr>
          <w:rFonts w:cs="Arial"/>
        </w:rPr>
        <w:fldChar w:fldCharType="end"/>
      </w:r>
      <w:r>
        <w:rPr>
          <w:rFonts w:cs="Arial"/>
        </w:rPr>
        <w:t xml:space="preserve">. This is due to the fact that CDI techniques are lenseless and thus are only constrained by the wavelength of the X-ray radiation used </w:t>
      </w:r>
      <w:r>
        <w:rPr>
          <w:rFonts w:cs="Arial"/>
        </w:rPr>
        <w:fldChar w:fldCharType="begin" w:fldLock="1"/>
      </w:r>
      <w:r w:rsidR="00D80A5D">
        <w:rPr>
          <w:rFonts w:cs="Arial"/>
        </w:rPr>
        <w:instrText>ADDIN CSL_CITATION {"citationItems":[{"id":"ITEM-1","itemData":{"DOI":"10.1016/S1076-5670(07)00003-1","ISSN":"10765670","author":[{"dropping-particle":"","family":"Rodenburg","given":"J. M.","non-dropping-particle":"","parse-names":false,"suffix":""}],"container-title":"Advances in Imaging and Electron Physics","id":"ITEM-1","issue":"07","issued":{"date-parts":[["2008"]]},"page":"87-184","title":"Ptychography and related diffractive imaging methods","type":"article-journal","volume":"150"},"uris":["http://www.mendeley.com/documents/?uuid=7fb0f38b-ae01-48f5-be9c-ef58ae057014"]},{"id":"ITEM-2","itemData":{"DOI":"Unsp 83381g\r10.1117/12.917618","ISBN":"0277-786x","abstract":"This paper discusses ptychography, a coherent diffraction imaging technique. Advantages of ptychography with respect conventional imaging techniques for cell visualisation are highlighted and demonstrated using unstained healthy and tumorous mouse cells as the object under investigation. A novel procedure to automatically refocus a possible slightly out of focus ptychographic data set will be discussed, by which an improved quantitative analysis and discrimination is enabled.","author":[{"dropping-particle":"","family":"Claus","given":"D","non-dropping-particle":"","parse-names":false,"suffix":""},{"dropping-particle":"","family":"Schluesener","given":"H","non-dropping-particle":"","parse-names":false,"suffix":""},{"dropping-particle":"","family":"Maiden","given":"A","non-dropping-particle":"","parse-names":false,"suffix":""},{"dropping-particle":"","family":"Zhang","given":"F C","non-dropping-particle":"","parse-names":false,"suffix":""},{"dropping-particle":"","family":"Sweeney","given":"F","non-dropping-particle":"","parse-names":false,"suffix":""},{"dropping-particle":"","family":"Humphry","given":"M","non-dropping-particle":"","parse-names":false,"suffix":""},{"dropping-particle":"","family":"Rodenburg","given":"J","non-dropping-particle":"","parse-names":false,"suffix":""}],"container-title":"Tenth International Conference on Correlation Optics","id":"ITEM-2","issued":{"date-parts":[["2011"]]},"language":"English","note":"Byf20\nTimes Cited:0\nCited References Count:16\nProceedings of SPIE","title":"Ptychography: A powerful phase retrieval technique for biomedical imaging","type":"article-journal","volume":"8338"},"uris":["http://www.mendeley.com/documents/?uuid=0f8dd5a9-b7ca-4ee9-8fce-0f3cd4eb3a64"]},{"id":"ITEM-3","itemData":{"DOI":"10.1016/j.mattod.2019.05.019","ISSN":"18734103","abstract":"Over the last century, X-ray imaging instruments and their accompanying tomographic reconstruction algorithms have developed considerably. With improved tomogram quality and resolution, voxel sizes down to tens of nanometers can now be achieved. Moreover, recent advancements in readily accessible lab-based X-ray computed tomography (X-ray CT) instruments have produced spatial resolutions comparable to specialist synchrotron facilities. Electrochemical energy conversion devices, such as fuel cells and batteries, have inherently complex electrode microstructures to achieve competitive power delivery for consideration as replacements for conventional sources. With resolution capabilities spanning tens of microns to tens of nanometers, X-ray CT has become widely employed in the three-dimensional (3D) characterization of electrochemical materials. The ability to perform multiscale imaging has enabled characterization from system-down to particle-level, with the ability to resolve critical features within device microstructures. X-ray characterization presents a favorable alternative to other 3D methods, such as focused ion beam scanning electron microscopy, due to its non-destructive nature, which allows four-dimensional (4D) studies, three spatial dimensions plus time, linking structural dynamics to device performance and lifetime. X-ray CT has accelerated research from fundamental understanding of the links between cell structure and performance, to the improvement in manufacturing and scale-up of full electrochemical cells. Furthermore, this has aided in the mitigation of degradation and cell-level failures, such as thermal runaway. This review presents recent developments in the use of X-ray CT as a characterization method and its role in the advancement of electrochemical materials engineering.","author":[{"dropping-particle":"","family":"Heenan","given":"Thomas M.M.","non-dropping-particle":"","parse-names":false,"suffix":""},{"dropping-particle":"","family":"Tan","given":"Chun","non-dropping-particle":"","parse-names":false,"suffix":""},{"dropping-particle":"","family":"Hack","given":"Jennifer","non-dropping-particle":"","parse-names":false,"suffix":""},{"dropping-particle":"","family":"Brett","given":"Dan J.L.","non-dropping-particle":"","parse-names":false,"suffix":""},{"dropping-particle":"","family":"Shearing","given":"Paul R.","non-dropping-particle":"","parse-names":false,"suffix":""}],"container-title":"Materials Today","id":"ITEM-3","issue":"December","issued":{"date-parts":[["2019"]]},"page":"69-85","publisher":"Elsevier B.V.","title":"Developments in X-ray tomography characterization for electrochemical devices","type":"article-journal","volume":"31"},"uris":["http://www.mendeley.com/documents/?uuid=5a69f3ee-6f01-46b1-a3b2-22259527df4c"]}],"mendeley":{"formattedCitation":"[255], [275], [361]","plainTextFormattedCitation":"[255], [275], [361]","previouslyFormattedCitation":"[255], [275], [361]"},"properties":{"noteIndex":0},"schema":"https://github.com/citation-style-language/schema/raw/master/csl-citation.json"}</w:instrText>
      </w:r>
      <w:r>
        <w:rPr>
          <w:rFonts w:cs="Arial"/>
        </w:rPr>
        <w:fldChar w:fldCharType="separate"/>
      </w:r>
      <w:r w:rsidR="006C586A" w:rsidRPr="006C586A">
        <w:rPr>
          <w:rFonts w:cs="Arial"/>
          <w:noProof/>
        </w:rPr>
        <w:t>[255], [275], [361]</w:t>
      </w:r>
      <w:r>
        <w:rPr>
          <w:rFonts w:cs="Arial"/>
        </w:rPr>
        <w:fldChar w:fldCharType="end"/>
      </w:r>
      <w:r>
        <w:rPr>
          <w:rFonts w:cs="Arial"/>
        </w:rPr>
        <w:t>. Phase retrieval algorithms are substituted in for X-ray optics resulting in 3D tomographic renderings with sub 16 nm resolution</w:t>
      </w:r>
      <w:r>
        <w:rPr>
          <w:rFonts w:cs="Arial"/>
        </w:rPr>
        <w:fldChar w:fldCharType="begin" w:fldLock="1"/>
      </w:r>
      <w:r w:rsidR="00D80A5D">
        <w:rPr>
          <w:rFonts w:cs="Arial"/>
        </w:rPr>
        <w:instrText>ADDIN CSL_CITATION {"citationItems":[{"id":"ITEM-1","itemData":{"DOI":"10.1038/srep03857","ISSN":"20452322","PMID":"24457289","abstract":"X-ray ptychography is a scanning variant of coherent diffractive imaging with the ability to image large fields of view at high resolution. It further allows imaging of non-isolated specimens and can produce quantitative mapping of the electron density distribution in 3D when combined with computed tomography. The method does not require imaging lenses, which makes it dose efficient and suitable to multi-keV X-rays, where efficient photon counting, pixelated detectors are available. Here we present the first highly resolved quantitative X-ray ptychographic tomography of an extended object yielding 16â€...nm isotropic 3D resolution recorded at 2 Å wavelength. This first-of-its-kind demonstration paves the way for ptychographic X-ray tomography to become a promising method for X-ray imaging of representative sample volumes at unmatched resolution, opening tremendous potential for characterizing samples in materials science and biology by filling the resolution gap between electron microscopy and other X-ray imaging techniques.","author":[{"dropping-particle":"","family":"Holler","given":"M.","non-dropping-particle":"","parse-names":false,"suffix":""},{"dropping-particle":"","family":"Diaz","given":"A.","non-dropping-particle":"","parse-names":false,"suffix":""},{"dropping-particle":"","family":"Guizar-Sicairos","given":"M.","non-dropping-particle":"","parse-names":false,"suffix":""},{"dropping-particle":"","family":"Karvinen","given":"P.","non-dropping-particle":"","parse-names":false,"suffix":""},{"dropping-particle":"","family":"Färm","given":"Elina","non-dropping-particle":"","parse-names":false,"suffix":""},{"dropping-particle":"","family":"Härkönen","given":"Emma","non-dropping-particle":"","parse-names":false,"suffix":""},{"dropping-particle":"","family":"Ritala","given":"Mikko","non-dropping-particle":"","parse-names":false,"suffix":""},{"dropping-particle":"","family":"Menzel","given":"A.","non-dropping-particle":"","parse-names":false,"suffix":""},{"dropping-particle":"","family":"Raabe","given":"J.","non-dropping-particle":"","parse-names":false,"suffix":""},{"dropping-particle":"","family":"Bunk","given":"O.","non-dropping-particle":"","parse-names":false,"suffix":""}],"container-title":"Scientific Reports","id":"ITEM-1","issued":{"date-parts":[["2014"]]},"page":"1-5","title":"X-ray ptychographic computed tomography at 16 nm isotropic 3D resolution","type":"article-journal","volume":"4"},"uris":["http://www.mendeley.com/documents/?uuid=6da5cea7-1a7c-49d7-9557-32fd544131f9"]}],"mendeley":{"formattedCitation":"[360]","plainTextFormattedCitation":"[360]","previouslyFormattedCitation":"[360]"},"properties":{"noteIndex":0},"schema":"https://github.com/citation-style-language/schema/raw/master/csl-citation.json"}</w:instrText>
      </w:r>
      <w:r>
        <w:rPr>
          <w:rFonts w:cs="Arial"/>
        </w:rPr>
        <w:fldChar w:fldCharType="separate"/>
      </w:r>
      <w:r w:rsidR="006C586A" w:rsidRPr="006C586A">
        <w:rPr>
          <w:rFonts w:cs="Arial"/>
          <w:noProof/>
        </w:rPr>
        <w:t>[360]</w:t>
      </w:r>
      <w:r>
        <w:rPr>
          <w:rFonts w:cs="Arial"/>
        </w:rPr>
        <w:fldChar w:fldCharType="end"/>
      </w:r>
      <w:r>
        <w:rPr>
          <w:rFonts w:cs="Arial"/>
        </w:rPr>
        <w:t xml:space="preserve">. This is far finer than the reported 50 nm resolution available to XCT with a 50 </w:t>
      </w:r>
      <w:r>
        <w:rPr>
          <w:rFonts w:cstheme="minorHAnsi"/>
        </w:rPr>
        <w:t>µ</w:t>
      </w:r>
      <w:r>
        <w:rPr>
          <w:rFonts w:cs="Arial"/>
        </w:rPr>
        <w:t>m diameter sample</w:t>
      </w:r>
      <w:r>
        <w:rPr>
          <w:rFonts w:cs="Arial"/>
        </w:rPr>
        <w:fldChar w:fldCharType="begin" w:fldLock="1"/>
      </w:r>
      <w:r w:rsidR="00D80A5D">
        <w:rPr>
          <w:rFonts w:cs="Arial"/>
        </w:rPr>
        <w:instrText>ADDIN CSL_CITATION {"citationItems":[{"id":"ITEM-1","itemData":{"DOI":"10.1016/S1369-7021(07)70305-X","ISSN":"13697021","abstract":"Almost every area of science has been revolutionized by our ability to collect two-dimensional images of increasingly fine detail, ranging from radio signals of far-off solar systems, to high-resolution electron microscopy images. With the advent of digital image capture, tomography - the art of reconstructing a sliceable virtual three-dimensional copy of the object from two-dimensional images - is becoming increasingly popular across a range of imaging modalities and length scales. One area attracting a lot of attention is the area of submicron X-ray tomography, popularly dubbed X-ray nanotomography. © 2007 Elsevier Ltd. All rights reserved.","author":[{"dropping-particle":"","family":"Withers","given":"Philip J.","non-dropping-particle":"","parse-names":false,"suffix":""}],"container-title":"Materials Today","id":"ITEM-1","issue":"12","issued":{"date-parts":[["2007"]]},"page":"26-34","title":"X-ray nanotomography","type":"article-journal","volume":"10"},"uris":["http://www.mendeley.com/documents/?uuid=b7869de3-8cb6-4d70-9120-b4238a78d600"]}],"mendeley":{"formattedCitation":"[359]","plainTextFormattedCitation":"[359]","previouslyFormattedCitation":"[359]"},"properties":{"noteIndex":0},"schema":"https://github.com/citation-style-language/schema/raw/master/csl-citation.json"}</w:instrText>
      </w:r>
      <w:r>
        <w:rPr>
          <w:rFonts w:cs="Arial"/>
        </w:rPr>
        <w:fldChar w:fldCharType="separate"/>
      </w:r>
      <w:r w:rsidR="006C586A" w:rsidRPr="006C586A">
        <w:rPr>
          <w:rFonts w:cs="Arial"/>
          <w:noProof/>
        </w:rPr>
        <w:t>[359]</w:t>
      </w:r>
      <w:r>
        <w:rPr>
          <w:rFonts w:cs="Arial"/>
        </w:rPr>
        <w:fldChar w:fldCharType="end"/>
      </w:r>
      <w:r>
        <w:rPr>
          <w:rFonts w:cs="Arial"/>
        </w:rPr>
        <w:t>.</w:t>
      </w:r>
    </w:p>
    <w:p w14:paraId="2FF8EF1C" w14:textId="2CB7D1A2" w:rsidR="00007F6C" w:rsidRPr="000C42AA" w:rsidRDefault="00007F6C" w:rsidP="00007F6C">
      <w:pPr>
        <w:jc w:val="both"/>
        <w:rPr>
          <w:rFonts w:cs="Arial"/>
        </w:rPr>
      </w:pPr>
      <w:r w:rsidRPr="00516F80">
        <w:rPr>
          <w:rFonts w:cs="Arial"/>
        </w:rPr>
        <w:t xml:space="preserve">The </w:t>
      </w:r>
      <w:r>
        <w:rPr>
          <w:rFonts w:cs="Arial"/>
        </w:rPr>
        <w:t>PXCT</w:t>
      </w:r>
      <w:r w:rsidRPr="00516F80">
        <w:rPr>
          <w:rFonts w:cs="Arial"/>
        </w:rPr>
        <w:t xml:space="preserve"> experiments performed in this project were done at the I13-1 beamline at the Diamond Light Source (Oxford, UK).  </w:t>
      </w:r>
      <w:r>
        <w:rPr>
          <w:rFonts w:cs="Arial"/>
        </w:rPr>
        <w:t>Ptychographic scans at the c</w:t>
      </w:r>
      <w:r w:rsidRPr="00516F80">
        <w:rPr>
          <w:rFonts w:cs="Arial"/>
        </w:rPr>
        <w:t xml:space="preserve">oherence </w:t>
      </w:r>
      <w:r>
        <w:rPr>
          <w:rFonts w:cs="Arial"/>
        </w:rPr>
        <w:t>beamline utilise a 14 m detector to sample distance</w:t>
      </w:r>
      <w:r w:rsidR="008B3A81">
        <w:rPr>
          <w:rFonts w:cs="Arial"/>
        </w:rPr>
        <w:t xml:space="preserve"> </w:t>
      </w:r>
      <w:r>
        <w:rPr>
          <w:rFonts w:cs="Arial"/>
        </w:rPr>
        <w:fldChar w:fldCharType="begin" w:fldLock="1"/>
      </w:r>
      <w:r w:rsidR="00D80A5D">
        <w:rPr>
          <w:rFonts w:cs="Arial"/>
        </w:rPr>
        <w:instrText>ADDIN CSL_CITATION {"citationItems":[{"id":"ITEM-1","itemData":{"DOI":"10.1063/1.5084575","ISBN":"9780735417823","ISSN":"15517616","abstract":"The I13 imaging and coherence beamline aims for multiscale imaging in the energy range of 6-30keV. The achievable resolution ranges from several microns to tens of nanometers. Several experimental methods are available on two independently operating branchlines. The Diamond-Manchester imaging branchline applies methods in direct space, such as In-line phase contrast, grating interferometry and full-field microscopy. The coherence branch covers far-field techniques such as ptychography and Bragg-CDI. The ptychography is now available as user-friendly experiment and the spatial and temporal resolution has been significantly enhanced. The scientific program at I13 will increasingly explore the suite of experimental techniques available at the beamline for multi-scale imaging.","author":[{"dropping-particle":"","family":"Rau","given":"Christoph","non-dropping-particle":"","parse-names":false,"suffix":""},{"dropping-particle":"","family":"Storm","given":"Malte","non-dropping-particle":"","parse-names":false,"suffix":""},{"dropping-particle":"","family":"Marathe","given":"Shashidhara","non-dropping-particle":"","parse-names":false,"suffix":""},{"dropping-particle":"","family":"Bodey","given":"Andrew J.","non-dropping-particle":"","parse-names":false,"suffix":""},{"dropping-particle":"","family":"Cipiccia","given":"Silvia","non-dropping-particle":"","parse-names":false,"suffix":""},{"dropping-particle":"","family":"Batey","given":"Darren","non-dropping-particle":"","parse-names":false,"suffix":""},{"dropping-particle":"","family":"Shi","given":"Xiaowen","non-dropping-particle":"","parse-names":false,"suffix":""},{"dropping-particle":"","family":"Zdora","given":"Marie Christine","non-dropping-particle":"","parse-names":false,"suffix":""},{"dropping-particle":"","family":"Zanette","given":"Irene","non-dropping-particle":"","parse-names":false,"suffix":""}],"container-title":"AIP Conference Proceedings","id":"ITEM-1","issue":"January","issued":{"date-parts":[["2019"]]},"title":"Multi-scale imaging at the diamond beamline I13","type":"article-journal","volume":"2054"},"uris":["http://www.mendeley.com/documents/?uuid=7debb4f7-9d6c-488a-ac25-2195d9a671c0"]}],"mendeley":{"formattedCitation":"[358]","plainTextFormattedCitation":"[358]","previouslyFormattedCitation":"[358]"},"properties":{"noteIndex":0},"schema":"https://github.com/citation-style-language/schema/raw/master/csl-citation.json"}</w:instrText>
      </w:r>
      <w:r>
        <w:rPr>
          <w:rFonts w:cs="Arial"/>
        </w:rPr>
        <w:fldChar w:fldCharType="separate"/>
      </w:r>
      <w:r w:rsidR="006C586A" w:rsidRPr="006C586A">
        <w:rPr>
          <w:rFonts w:cs="Arial"/>
          <w:noProof/>
        </w:rPr>
        <w:t>[358]</w:t>
      </w:r>
      <w:r>
        <w:rPr>
          <w:rFonts w:cs="Arial"/>
        </w:rPr>
        <w:fldChar w:fldCharType="end"/>
      </w:r>
      <w:r>
        <w:rPr>
          <w:rFonts w:cs="Arial"/>
        </w:rPr>
        <w:t>. This beamline can produce X-rays wavelengths between 6-20 keV</w:t>
      </w:r>
      <w:r>
        <w:rPr>
          <w:rFonts w:cs="Arial"/>
        </w:rPr>
        <w:fldChar w:fldCharType="begin" w:fldLock="1"/>
      </w:r>
      <w:r w:rsidR="00D80A5D">
        <w:rPr>
          <w:rFonts w:cs="Arial"/>
        </w:rPr>
        <w:instrText>ADDIN CSL_CITATION {"citationItems":[{"id":"ITEM-1","itemData":{"DOI":"10.1002/pssa.201184272","ISSN":"18626300","abstract":"The Diamond beamline I13 for imaging and coherence applications is dedicated to hard X-ray imaging on the micro and nano-lengthscale. Two independent stations will be operated in a separate building at a distance of 250m from the source. The imaging branch will perform in-line phase contrast imaging and tomography over a large field of view in the 6-35keV energy range. In addition it will be possible to switch to full-field microscopy with 50nm spatial resolution. Other microscopies will be developed according to the scientific needs. Resolution beyond the limitations given by the detector and X-ray optics will be achieved on the 'coherence' branch. Techniques working in the far field such as Coherent X-Ray Diffraction and other Coherent Diffraction Imaging techniques such as ptychography will be implemented. Typical applications cover different fields such as bio-medicine, materials science, geo- and astrophysics or even cultural heritage. The beamline hosts a number of innovative features such as the so-called 'mini-beta' layout for electron optics in the storage ring or new concepts for beamline instrumentation. The stations will be operational in 2011. Copyright © 2011 WILEY-VCH Verlag GmbH &amp; Co. KGaA, Weinheim.","author":[{"dropping-particle":"","family":"Rau","given":"Christoph","non-dropping-particle":"","parse-names":false,"suffix":""},{"dropping-particle":"","family":"Wagner","given":"Ulrich","non-dropping-particle":"","parse-names":false,"suffix":""},{"dropping-particle":"","family":"Pešić","given":"Zoran","non-dropping-particle":"","parse-names":false,"suffix":""},{"dropping-particle":"","family":"Fanis","given":"Alberto","non-dropping-particle":"De","parse-names":false,"suffix":""}],"container-title":"Physica Status Solidi (A) Applications and Materials Science","id":"ITEM-1","issue":"11","issued":{"date-parts":[["2011"]]},"page":"2522-2525","title":"Coherent imaging at the Diamond beamline I13","type":"article-journal","volume":"208"},"uris":["http://www.mendeley.com/documents/?uuid=17887118-d3c8-43ca-a52b-1c4ed231e58a"]},{"id":"ITEM-2","itemData":{"DOI":"10.1063/1.5084575","ISBN":"9780735417823","ISSN":"15517616","abstract":"The I13 imaging and coherence beamline aims for multiscale imaging in the energy range of 6-30keV. The achievable resolution ranges from several microns to tens of nanometers. Several experimental methods are available on two independently operating branchlines. The Diamond-Manchester imaging branchline applies methods in direct space, such as In-line phase contrast, grating interferometry and full-field microscopy. The coherence branch covers far-field techniques such as ptychography and Bragg-CDI. The ptychography is now available as user-friendly experiment and the spatial and temporal resolution has been significantly enhanced. The scientific program at I13 will increasingly explore the suite of experimental techniques available at the beamline for multi-scale imaging.","author":[{"dropping-particle":"","family":"Rau","given":"Christoph","non-dropping-particle":"","parse-names":false,"suffix":""},{"dropping-particle":"","family":"Storm","given":"Malte","non-dropping-particle":"","parse-names":false,"suffix":""},{"dropping-particle":"","family":"Marathe","given":"Shashidhara","non-dropping-particle":"","parse-names":false,"suffix":""},{"dropping-particle":"","family":"Bodey","given":"Andrew J.","non-dropping-particle":"","parse-names":false,"suffix":""},{"dropping-particle":"","family":"Cipiccia","given":"Silvia","non-dropping-particle":"","parse-names":false,"suffix":""},{"dropping-particle":"","family":"Batey","given":"Darren","non-dropping-particle":"","parse-names":false,"suffix":""},{"dropping-particle":"","family":"Shi","given":"Xiaowen","non-dropping-particle":"","parse-names":false,"suffix":""},{"dropping-particle":"","family":"Zdora","given":"Marie Christine","non-dropping-particle":"","parse-names":false,"suffix":""},{"dropping-particle":"","family":"Zanette","given":"Irene","non-dropping-particle":"","parse-names":false,"suffix":""}],"container-title":"AIP Conference Proceedings","id":"ITEM-2","issue":"January","issued":{"date-parts":[["2019"]]},"title":"Multi-scale imaging at the diamond beamline I13","type":"article-journal","volume":"2054"},"uris":["http://www.mendeley.com/documents/?uuid=7debb4f7-9d6c-488a-ac25-2195d9a671c0"]}],"mendeley":{"formattedCitation":"[356], [358]","plainTextFormattedCitation":"[356], [358]","previouslyFormattedCitation":"[356], [358]"},"properties":{"noteIndex":0},"schema":"https://github.com/citation-style-language/schema/raw/master/csl-citation.json"}</w:instrText>
      </w:r>
      <w:r>
        <w:rPr>
          <w:rFonts w:cs="Arial"/>
        </w:rPr>
        <w:fldChar w:fldCharType="separate"/>
      </w:r>
      <w:r w:rsidR="006C586A" w:rsidRPr="006C586A">
        <w:rPr>
          <w:rFonts w:cs="Arial"/>
          <w:noProof/>
        </w:rPr>
        <w:t>[356], [358]</w:t>
      </w:r>
      <w:r>
        <w:rPr>
          <w:rFonts w:cs="Arial"/>
        </w:rPr>
        <w:fldChar w:fldCharType="end"/>
      </w:r>
      <w:r>
        <w:rPr>
          <w:rFonts w:cs="Arial"/>
        </w:rPr>
        <w:t xml:space="preserve">. The transverse coherence of the X-ray beam </w:t>
      </w:r>
      <w:proofErr w:type="spellStart"/>
      <w:r>
        <w:rPr>
          <w:rFonts w:cstheme="minorHAnsi"/>
        </w:rPr>
        <w:t>ξ</w:t>
      </w:r>
      <w:r>
        <w:rPr>
          <w:rFonts w:cs="Arial"/>
          <w:vertAlign w:val="subscript"/>
        </w:rPr>
        <w:t>t</w:t>
      </w:r>
      <w:proofErr w:type="spellEnd"/>
      <w:r>
        <w:rPr>
          <w:rFonts w:cs="Arial"/>
        </w:rPr>
        <w:t xml:space="preserve"> is a function of the X-ray wavelength </w:t>
      </w:r>
      <w:r>
        <w:rPr>
          <w:rFonts w:cstheme="minorHAnsi"/>
        </w:rPr>
        <w:t>λ</w:t>
      </w:r>
      <w:r>
        <w:rPr>
          <w:rFonts w:cs="Arial"/>
        </w:rPr>
        <w:t xml:space="preserve">, sample-detector distance R, and the </w:t>
      </w:r>
      <w:r>
        <w:rPr>
          <w:rFonts w:cs="Arial"/>
          <w:i/>
          <w:iCs/>
        </w:rPr>
        <w:t>D</w:t>
      </w:r>
      <w:r>
        <w:rPr>
          <w:rFonts w:cs="Arial"/>
        </w:rPr>
        <w:t xml:space="preserve"> the detachment between the point and X-ray source (</w:t>
      </w:r>
      <w:r w:rsidRPr="00600E38">
        <w:rPr>
          <w:rFonts w:cs="Arial"/>
        </w:rPr>
        <w:fldChar w:fldCharType="begin"/>
      </w:r>
      <w:r w:rsidRPr="00600E38">
        <w:rPr>
          <w:rFonts w:cs="Arial"/>
        </w:rPr>
        <w:instrText xml:space="preserve"> REF _Ref51677050 \h  \* MERGEFORMAT </w:instrText>
      </w:r>
      <w:r w:rsidRPr="00600E38">
        <w:rPr>
          <w:rFonts w:cs="Arial"/>
        </w:rPr>
      </w:r>
      <w:r w:rsidRPr="00600E38">
        <w:rPr>
          <w:rFonts w:cs="Arial"/>
        </w:rPr>
        <w:fldChar w:fldCharType="separate"/>
      </w:r>
      <w:r w:rsidRPr="00C103C3">
        <w:t>Equation 3.9</w:t>
      </w:r>
      <w:r w:rsidRPr="00600E38">
        <w:rPr>
          <w:rFonts w:cs="Arial"/>
        </w:rPr>
        <w:fldChar w:fldCharType="end"/>
      </w:r>
      <w:r>
        <w:rPr>
          <w:rFonts w:cs="Arial"/>
        </w:rPr>
        <w:t xml:space="preserve">) </w:t>
      </w:r>
      <w:r>
        <w:rPr>
          <w:rFonts w:cs="Arial"/>
        </w:rPr>
        <w:fldChar w:fldCharType="begin" w:fldLock="1"/>
      </w:r>
      <w:r w:rsidR="00D80A5D">
        <w:rPr>
          <w:rFonts w:cs="Arial"/>
        </w:rPr>
        <w:instrText>ADDIN CSL_CITATION {"citationItems":[{"id":"ITEM-1","itemData":{"DOI":"10.1364/oe.27.000533","ISSN":"1094-4087","PMID":"30696138","abstract":"Ptychographic X-ray computed tomography is a phase-contrast imaging technique capable of retrieving three-dimensional maps of the index of refraction of the imaged volumes with nanometric resolution. Despite its unmatched reach, its application remains prerogative of a limited number of laboratories at synchrotron sources. We present a detailed description of an experimental procedure and a data analysis pipeline which can be both exploited for ptychographic X-ray computed tomography experiments at any high-brilliance X-ray source. These have been validated at the I13-1 Coherence Branchline within the first experiment of its kind to be successfully carried out on a biological sample at Diamond Light Source.","author":[{"dropping-particle":"","family":"Sala","given":"Simone","non-dropping-particle":"","parse-names":false,"suffix":""},{"dropping-particle":"","family":"Batey","given":"Darren J.","non-dropping-particle":"","parse-names":false,"suffix":""},{"dropping-particle":"","family":"Prakash","given":"Anupama","non-dropping-particle":"","parse-names":false,"suffix":""},{"dropping-particle":"","family":"Ahmed","given":"Sharif","non-dropping-particle":"","parse-names":false,"suffix":""},{"dropping-particle":"","family":"Rau","given":"Christoph","non-dropping-particle":"","parse-names":false,"suffix":""},{"dropping-particle":"","family":"Thibault","given":"Pierre","non-dropping-particle":"","parse-names":false,"suffix":""}],"container-title":"Optics Express","id":"ITEM-1","issue":"2","issued":{"date-parts":[["2019"]]},"page":"533","title":"Ptychographic X-ray computed tomography at a high-brilliance X-ray source","type":"article-journal","volume":"27"},"uris":["http://www.mendeley.com/documents/?uuid=07a80d40-762e-4ff5-9db3-b72eef527f7e"]}],"mendeley":{"formattedCitation":"[362]","plainTextFormattedCitation":"[362]","previouslyFormattedCitation":"[362]"},"properties":{"noteIndex":0},"schema":"https://github.com/citation-style-language/schema/raw/master/csl-citation.json"}</w:instrText>
      </w:r>
      <w:r>
        <w:rPr>
          <w:rFonts w:cs="Arial"/>
        </w:rPr>
        <w:fldChar w:fldCharType="separate"/>
      </w:r>
      <w:r w:rsidR="006C586A" w:rsidRPr="006C586A">
        <w:rPr>
          <w:rFonts w:cs="Arial"/>
          <w:noProof/>
        </w:rPr>
        <w:t>[362]</w:t>
      </w:r>
      <w:r>
        <w:rPr>
          <w:rFonts w:cs="Arial"/>
        </w:rPr>
        <w:fldChar w:fldCharType="end"/>
      </w:r>
      <w:r>
        <w:rPr>
          <w:rFonts w:cs="Arial"/>
        </w:rPr>
        <w:t xml:space="preserve">. </w:t>
      </w:r>
    </w:p>
    <w:p w14:paraId="7BF9C216" w14:textId="77777777" w:rsidR="00007F6C" w:rsidRPr="00526073" w:rsidRDefault="00B51F53" w:rsidP="00007F6C">
      <w:pPr>
        <w:keepNext/>
        <w:jc w:val="both"/>
        <w:rPr>
          <w:rFonts w:eastAsiaTheme="minorEastAsia" w:cs="Arial"/>
        </w:rPr>
      </w:pPr>
      <m:oMathPara>
        <m:oMath>
          <m:sSub>
            <m:sSubPr>
              <m:ctrlPr>
                <w:rPr>
                  <w:rFonts w:ascii="Cambria Math" w:eastAsiaTheme="minorEastAsia" w:hAnsi="Cambria Math" w:cs="Arial"/>
                  <w:i/>
                </w:rPr>
              </m:ctrlPr>
            </m:sSubPr>
            <m:e>
              <m:r>
                <m:rPr>
                  <m:sty m:val="p"/>
                </m:rPr>
                <w:rPr>
                  <w:rFonts w:ascii="Cambria Math" w:eastAsiaTheme="minorEastAsia" w:hAnsi="Cambria Math" w:cs="Arial"/>
                </w:rPr>
                <m:t>ξ</m:t>
              </m:r>
            </m:e>
            <m:sub>
              <m:r>
                <m:rPr>
                  <m:sty m:val="p"/>
                </m:rPr>
                <w:rPr>
                  <w:rFonts w:ascii="Cambria Math" w:eastAsiaTheme="minorEastAsia" w:hAnsi="Cambria Math" w:cs="Arial"/>
                </w:rPr>
                <m:t>t</m:t>
              </m:r>
            </m:sub>
          </m:sSub>
          <m:r>
            <m:rPr>
              <m:sty m:val="p"/>
            </m:rPr>
            <w:rPr>
              <w:rFonts w:ascii="Cambria Math" w:eastAsiaTheme="minorEastAsia" w:hAnsi="Cambria Math" w:cs="Arial"/>
            </w:rPr>
            <m:t>=</m:t>
          </m:r>
          <m:f>
            <m:fPr>
              <m:ctrlPr>
                <w:rPr>
                  <w:rFonts w:ascii="Cambria Math" w:eastAsiaTheme="minorEastAsia" w:hAnsi="Cambria Math" w:cs="Arial"/>
                  <w:i/>
                </w:rPr>
              </m:ctrlPr>
            </m:fPr>
            <m:num>
              <m:r>
                <m:rPr>
                  <m:sty m:val="p"/>
                </m:rPr>
                <w:rPr>
                  <w:rFonts w:ascii="Cambria Math" w:eastAsiaTheme="minorEastAsia" w:hAnsi="Cambria Math" w:cs="Arial"/>
                </w:rPr>
                <m:t>1</m:t>
              </m:r>
            </m:num>
            <m:den>
              <m:r>
                <m:rPr>
                  <m:sty m:val="p"/>
                </m:rPr>
                <w:rPr>
                  <w:rFonts w:ascii="Cambria Math" w:eastAsiaTheme="minorEastAsia" w:hAnsi="Cambria Math" w:cs="Arial"/>
                </w:rPr>
                <m:t>2</m:t>
              </m:r>
            </m:den>
          </m:f>
          <m:r>
            <m:rPr>
              <m:sty m:val="p"/>
            </m:rPr>
            <w:rPr>
              <w:rFonts w:ascii="Cambria Math" w:eastAsiaTheme="minorEastAsia" w:hAnsi="Cambria Math" w:cs="Arial"/>
            </w:rPr>
            <m:t>∙</m:t>
          </m:r>
          <m:f>
            <m:fPr>
              <m:ctrlPr>
                <w:rPr>
                  <w:rFonts w:ascii="Cambria Math" w:eastAsiaTheme="minorEastAsia" w:hAnsi="Cambria Math" w:cs="Arial"/>
                  <w:i/>
                </w:rPr>
              </m:ctrlPr>
            </m:fPr>
            <m:num>
              <m:r>
                <m:rPr>
                  <m:sty m:val="p"/>
                </m:rPr>
                <w:rPr>
                  <w:rFonts w:ascii="Cambria Math" w:eastAsiaTheme="minorEastAsia" w:hAnsi="Cambria Math" w:cs="Arial"/>
                </w:rPr>
                <m:t>λR</m:t>
              </m:r>
            </m:num>
            <m:den>
              <m:r>
                <m:rPr>
                  <m:sty m:val="p"/>
                </m:rPr>
                <w:rPr>
                  <w:rFonts w:ascii="Cambria Math" w:eastAsiaTheme="minorEastAsia" w:hAnsi="Cambria Math" w:cs="Arial"/>
                </w:rPr>
                <m:t>D</m:t>
              </m:r>
            </m:den>
          </m:f>
        </m:oMath>
      </m:oMathPara>
    </w:p>
    <w:p w14:paraId="3797B9AF" w14:textId="7A0534E2" w:rsidR="00007F6C" w:rsidRPr="00B86CCB" w:rsidRDefault="00007F6C" w:rsidP="00007F6C">
      <w:pPr>
        <w:pStyle w:val="Caption"/>
        <w:jc w:val="right"/>
        <w:rPr>
          <w:rFonts w:eastAsiaTheme="minorEastAsia" w:cs="Arial"/>
          <w:i w:val="0"/>
          <w:iCs w:val="0"/>
          <w:color w:val="auto"/>
          <w:sz w:val="22"/>
          <w:szCs w:val="22"/>
        </w:rPr>
      </w:pPr>
      <w:bookmarkStart w:id="268" w:name="_Ref51677050"/>
      <w:r w:rsidRPr="00B86CCB">
        <w:rPr>
          <w:i w:val="0"/>
          <w:iCs w:val="0"/>
          <w:color w:val="auto"/>
          <w:sz w:val="22"/>
          <w:szCs w:val="22"/>
        </w:rPr>
        <w:t>Equation 3.</w:t>
      </w:r>
      <w:r w:rsidRPr="00B86CCB">
        <w:rPr>
          <w:i w:val="0"/>
          <w:iCs w:val="0"/>
          <w:color w:val="auto"/>
          <w:sz w:val="22"/>
          <w:szCs w:val="22"/>
        </w:rPr>
        <w:fldChar w:fldCharType="begin"/>
      </w:r>
      <w:r w:rsidRPr="00B86CCB">
        <w:rPr>
          <w:i w:val="0"/>
          <w:iCs w:val="0"/>
          <w:color w:val="auto"/>
          <w:sz w:val="22"/>
          <w:szCs w:val="22"/>
        </w:rPr>
        <w:instrText xml:space="preserve"> SEQ Equation \* ARABIC </w:instrText>
      </w:r>
      <w:r w:rsidRPr="00B86CCB">
        <w:rPr>
          <w:i w:val="0"/>
          <w:iCs w:val="0"/>
          <w:color w:val="auto"/>
          <w:sz w:val="22"/>
          <w:szCs w:val="22"/>
        </w:rPr>
        <w:fldChar w:fldCharType="separate"/>
      </w:r>
      <w:r w:rsidR="00315BF8">
        <w:rPr>
          <w:i w:val="0"/>
          <w:iCs w:val="0"/>
          <w:noProof/>
          <w:color w:val="auto"/>
          <w:sz w:val="22"/>
          <w:szCs w:val="22"/>
        </w:rPr>
        <w:t>9</w:t>
      </w:r>
      <w:r w:rsidRPr="00B86CCB">
        <w:rPr>
          <w:i w:val="0"/>
          <w:iCs w:val="0"/>
          <w:color w:val="auto"/>
          <w:sz w:val="22"/>
          <w:szCs w:val="22"/>
        </w:rPr>
        <w:fldChar w:fldCharType="end"/>
      </w:r>
      <w:bookmarkEnd w:id="268"/>
    </w:p>
    <w:p w14:paraId="52BB336F" w14:textId="0CC74B40" w:rsidR="00007F6C" w:rsidRDefault="00007F6C" w:rsidP="00007F6C">
      <w:pPr>
        <w:jc w:val="both"/>
        <w:rPr>
          <w:rFonts w:cs="Arial"/>
        </w:rPr>
      </w:pPr>
      <w:r w:rsidRPr="004B36AF">
        <w:rPr>
          <w:rFonts w:cs="Arial"/>
        </w:rPr>
        <w:t xml:space="preserve">The beam energy of the </w:t>
      </w:r>
      <w:r>
        <w:rPr>
          <w:rFonts w:cs="Arial"/>
        </w:rPr>
        <w:t>PXCT</w:t>
      </w:r>
      <w:r w:rsidRPr="004B36AF">
        <w:rPr>
          <w:rFonts w:cs="Arial"/>
        </w:rPr>
        <w:t xml:space="preserve"> experiment was calculated using X-ray attenuation coefficients present </w:t>
      </w:r>
      <w:r>
        <w:rPr>
          <w:rFonts w:cs="Arial"/>
        </w:rPr>
        <w:t xml:space="preserve">approaching the nickel beam edge </w:t>
      </w:r>
      <w:r>
        <w:rPr>
          <w:rFonts w:cs="Arial"/>
        </w:rPr>
        <w:fldChar w:fldCharType="begin" w:fldLock="1"/>
      </w:r>
      <w:r w:rsidR="00D80A5D">
        <w:rPr>
          <w:rFonts w:cs="Arial"/>
        </w:rPr>
        <w:instrText>ADDIN CSL_CITATION {"citationItems":[{"id":"ITEM-1","itemData":{"DOI":"10.1006/adnd.1993.1013","ISSN":"0092640X","abstract":"The primary interactions of low-energy x-rays within condensed matter, viz. photoabsorption and coherent scattering, have been described for photon energies outside the absorption threshold regions by using atomic scattering factors. The atomic scattering factors may be accurately determined from the atomic photoabsorption cross sections using modified Kramers-Kronig dispersion relations. From a synthesis of the currently available experimental data and recent theoretical calculations for photoabsorption, the angle-independent, forward-scattering components of the atomic scattering factors have been thus semiempirically determined and tabulated here for 92 elements and for the region 50-30, 000 eV. Atomic scattering factors for all angles of coherent scattering and at the higher photon energies are obtained from these tabulated forward-scattering values by adding a simple angle-dependent form-factor correction. The incoherent scattering contributions that become significant for the light elements at the higher photon energies are similarly determined. The basic x-ray interaction relations that are used in applied x-ray physics are presented here in terms of the atomic scattering factors. The bulk optical constants are also related to the atomic scattering factors. These atomic and optical relations are applied to the detailed calculation of the reflectivity characteristics of a series of practical x-ray mirror, multilayer, and crystal monochromators. Comparisons of the results of this semiempirical, \"atomic-like\" description of x-ray interactions for the low-energy region with those of experiment and ab initio theory are presented. © 1993 Academic Press. All rights reserved.","author":[{"dropping-particle":"","family":"Henke","given":"B. L.","non-dropping-particle":"","parse-names":false,"suffix":""},{"dropping-particle":"","family":"Gullikson","given":"E. M.","non-dropping-particle":"","parse-names":false,"suffix":""},{"dropping-particle":"","family":"Davis","given":"J. C.","non-dropping-particle":"","parse-names":false,"suffix":""}],"container-title":"Atomic Data and Nuclear Data Tables","id":"ITEM-1","issue":"2","issued":{"date-parts":[["1993"]]},"page":"181-342","title":"X-ray interactions: Photoabsorption, scattering, transmission, and reflection at E = 50-30, 000 eV, Z = 1-92","type":"article","volume":"54"},"uris":["http://www.mendeley.com/documents/?uuid=c9e38a82-bcee-4f05-a163-b91831acb567"]},{"id":"ITEM-2","itemData":{"DOI":"10.1016/j.matdes.2020.108585","ISSN":"18734197","abstract":"X-ray computed tomography (CT) has emerged as a powerful tool for the 3D characterisation of materials. However, in order to obtain a useful tomogram, sufficient image quality should be achieved in the radiographs before reconstruction into a 3D dataset. The ratio of signal- and contrast-to-noise (SNR and CNR, respectively) quantify the image quality and are largely determined by the transmission and detection of photons that have undergone useful interactions with the sample. Theoretical transmission can be predicted if only a few variables are known: the material chemistry and penetrating thickness e.g. the particle diameter. This work discusses the calculations required to obtain transmission values for various Li(NiXMnYCoZ)O2 (NMC) lithium-ion battery cathodes. These calculations produce reference plots for quick assessment of beam parameters when designing an experiment. This is then extended to the theoretical material thicknesses for optimum image contrast. Finally, the theoretically predicted transmission is validated through comparison to experimentally determined values. These calculations are not exclusive to NMC, nor battery materials, but may be applied as a framework to calculate various sample transmissions and therefore may aid in the design and characterisation of numerous materials.","author":[{"dropping-particle":"","family":"Heenan","given":"T. M.M.","non-dropping-particle":"","parse-names":false,"suffix":""},{"dropping-particle":"","family":"Tan","given":"C.","non-dropping-particle":"","parse-names":false,"suffix":""},{"dropping-particle":"","family":"Wade","given":"A. J.","non-dropping-particle":"","parse-names":false,"suffix":""},{"dropping-particle":"","family":"Jervis","given":"R.","non-dropping-particle":"","parse-names":false,"suffix":""},{"dropping-particle":"","family":"Brett","given":"D. J.L.","non-dropping-particle":"","parse-names":false,"suffix":""},{"dropping-particle":"","family":"Shearing","given":"P. R.","non-dropping-particle":"","parse-names":false,"suffix":""}],"container-title":"Materials and Design","id":"ITEM-2","issued":{"date-parts":[["2020"]]},"page":"108585","publisher":"Elsevier Ltd","title":"Theoretical transmissions for X-ray computed tomography studies of lithium-ion battery cathodes","type":"article-journal","volume":"191"},"uris":["http://www.mendeley.com/documents/?uuid=46e59c77-c7ec-401c-a898-41e030c4ad9f"]},{"id":"ITEM-3","itemData":{"DOI":"10.18434/t4d01f","abstract":"Tables and graphs of the photon mass attenuation coefficient μ/ρ and the mass energy-absorption coefficient μen/ρ are presented for all of the elements Z = 1 to 92, and for 48 compounds and mixtures of radiological interest. The tables cover energies of the photon (x-ray, gamma ray, bremsstrahlung) from 1 keV to 20 MeV. The μ/ρ values are taken from the current photon interaction database at the National Institute of Standards and Technology, and the μen/ρ values are based on the new calculations by Seltzer described in Radiation Research 136, 147 (1993). These tables of μ/ρ and μen/ρ replace and extend the tables given by Hubbell in the International Journal of Applied Radiation and Isotopes 33, 1269 (1982).","author":[{"dropping-particle":"","family":"Seltzer","given":"Stephen","non-dropping-particle":"","parse-names":false,"suffix":""}],"container-title":"NIST Standard Reference Database 126","id":"ITEM-3","issued":{"date-parts":[["1996"]]},"title":"Tables of X-Ray Mass Attenuation Coefficients and Mass Energy-Absorption Coefficients, NIST Standard Reference Database 126","type":"article-journal"},"uris":["http://www.mendeley.com/documents/?uuid=9c035abc-9431-4234-b17f-af36642ee992"]}],"mendeley":{"formattedCitation":"[363]–[365]","plainTextFormattedCitation":"[363]–[365]","previouslyFormattedCitation":"[363]–[365]"},"properties":{"noteIndex":0},"schema":"https://github.com/citation-style-language/schema/raw/master/csl-citation.json"}</w:instrText>
      </w:r>
      <w:r>
        <w:rPr>
          <w:rFonts w:cs="Arial"/>
        </w:rPr>
        <w:fldChar w:fldCharType="separate"/>
      </w:r>
      <w:r w:rsidR="006C586A" w:rsidRPr="006C586A">
        <w:rPr>
          <w:rFonts w:cs="Arial"/>
          <w:noProof/>
        </w:rPr>
        <w:t>[363]–[365]</w:t>
      </w:r>
      <w:r>
        <w:rPr>
          <w:rFonts w:cs="Arial"/>
        </w:rPr>
        <w:fldChar w:fldCharType="end"/>
      </w:r>
      <w:r>
        <w:rPr>
          <w:rFonts w:cs="Arial"/>
        </w:rPr>
        <w:t>. The sample to detector distance in these The density of the sample was calculated using by multiplying individual elemental densities with their weight percent</w:t>
      </w:r>
      <w:r>
        <w:rPr>
          <w:rFonts w:cs="Arial"/>
        </w:rPr>
        <w:fldChar w:fldCharType="begin" w:fldLock="1"/>
      </w:r>
      <w:r w:rsidR="00D80A5D">
        <w:rPr>
          <w:rFonts w:cs="Arial"/>
        </w:rPr>
        <w:instrText>ADDIN CSL_CITATION {"citationItems":[{"id":"ITEM-1","itemData":{"DOI":"10.1016/j.jpowsour.2013.06.069","ISSN":"03787753","abstract":"SOFC electrochemical performances are strongly dependent on the micro and nanostructure of the electrodes. 3D image analysis is an essential tool to characterise these microstructures. However, the studied volumes have to be sufficiently large to be representative of the heterogenous medium. In this study, quantitative phase contrast X-ray nano-holotomography is performed on large volumes of SOFC anode consisting by a Ni/YSZ cermet. Both the electrode functional layer and the current collector of anode supported cell are characterised in 3D. The setup and data processing adaptation needed for such an absorbing materials are described. The X-ray nano-holotomography was performed with an isotropic voxel size of 25 × 25 × 25 nm3 and a field of view of about 50 μm. This technique is non-destructive and was used in local tomography mode. After filtering and thresholding, the segmentation of the 3D reconstructions allows precisely separating the network of each phase of the electrode (metallic, ceramic and porosity), giving representative features of the microstructure. © 2013 Elsevier B.V. All rights reserved.","author":[{"dropping-particle":"","family":"Julie","given":"Villanova","non-dropping-particle":"","parse-names":false,"suffix":""},{"dropping-particle":"","family":"Jérôme","given":"Laurencin","non-dropping-particle":"","parse-names":false,"suffix":""},{"dropping-particle":"","family":"Peter","given":"Cloetens","non-dropping-particle":"","parse-names":false,"suffix":""},{"dropping-particle":"","family":"Pierre","given":"Bleuet","non-dropping-particle":"","parse-names":false,"suffix":""},{"dropping-particle":"","family":"Gérard","given":"Delette","non-dropping-particle":"","parse-names":false,"suffix":""},{"dropping-particle":"","family":"Heikki","given":"Suhonen","non-dropping-particle":"","parse-names":false,"suffix":""},{"dropping-particle":"","family":"François","given":"Usseglio Viretta","non-dropping-particle":"","parse-names":false,"suffix":""}],"container-title":"Journal of Power Sources","id":"ITEM-1","issued":{"date-parts":[["2013"]]},"page":"841-849","publisher":"Elsevier B.V","title":"3D phase mapping of solid oxide fuel cell YSZ/Ni cermet at the nanoscale by holographic X-ray nanotomography","type":"article-journal","volume":"243"},"uris":["http://www.mendeley.com/documents/?uuid=ef81f0f0-f7c6-4496-9196-8a577cb4d86e"]},{"id":"ITEM-2","itemData":{"DOI":"10.1364/OE.23.012720","ISBN":"1094-4087 (Electronic)\r1094-4087 (Linking)","PMID":"26074526","abstract":"Propagation-based imaging or inline holography in combination with computed tomography (holotomography) is a versatile tool to access a sample's three-dimensional (3D) micro or nano structure. However, the phase retrieval step needed prior to tomographic reconstruction can be challenging especially for strongly absorbing and refracting samples. Near-field ptychography is a recently developed phase imaging method that has been proven to overcome this hurdle in projection data. In this work we extend near-field ptychography to three dimensions and we show that, in combination with tomography, it can access the nano structure of a solid oxide fuel cell (SOFC). The quality of the resulting tomographic data and the structural properties of the anode extracted from this volume were compared to previous results obtained with holotomography. This work highlights the potential of 3D near-field ptychography for reliable and detailed investigations of samples at the nanometer scale, with important applications in materials and life sciences among others.","author":[{"dropping-particle":"","family":"Stockmar","given":"M","non-dropping-particle":"","parse-names":false,"suffix":""},{"dropping-particle":"","family":"Hubert","given":"M","non-dropping-particle":"","parse-names":false,"suffix":""},{"dropping-particle":"","family":"Dierolf","given":"M","non-dropping-particle":"","parse-names":false,"suffix":""},{"dropping-particle":"","family":"Enders","given":"B","non-dropping-particle":"","parse-names":false,"suffix":""},{"dropping-particle":"","family":"Clare","given":"R","non-dropping-particle":"","parse-names":false,"suffix":""},{"dropping-particle":"","family":"Allner","given":"S","non-dropping-particle":"","parse-names":false,"suffix":""},{"dropping-particle":"","family":"Fehringer","given":"A","non-dropping-particle":"","parse-names":false,"suffix":""},{"dropping-particle":"","family":"Zanette","given":"I","non-dropping-particle":"","parse-names":false,"suffix":""},{"dropping-particle":"","family":"Villanova","given":"J","non-dropping-particle":"","parse-names":false,"suffix":""},{"dropping-particle":"","family":"Laurencin","given":"J","non-dropping-particle":"","parse-names":false,"suffix":""},{"dropping-particle":"","family":"Cloetens","given":"P","non-dropping-particle":"","parse-names":false,"suffix":""},{"dropping-particle":"","family":"Pfeiffer","given":"F","non-dropping-particle":"","parse-names":false,"suffix":""},{"dropping-particle":"","family":"Thibault","given":"P","non-dropping-particle":"","parse-names":false,"suffix":""}],"container-title":"Opt Express","edition":"2015/06/16","id":"ITEM-2","issue":"10","issued":{"date-parts":[["2015"]]},"note":"Stockmar, Marco\nHubert, Maxime\nDierolf, Martin\nEnders, Bjoern\nClare, Richard\nAllner, Sebastian\nFehringer, Andreas\nZanette, Irene\nVillanova, Julie\nLaurencin, Jerome\nCloetens, Peter\nPfeiffer, Franz\nThibault, Pierre\neng\nOpt Express. 2015 May 18;23(10):12720-31. doi: 10.1364/OE.23.012720.","page":"12720-12731","title":"X-ray nanotomography using near-field ptychography","type":"article-journal","volume":"23"},"uris":["http://www.mendeley.com/documents/?uuid=47d8b451-10c5-4f92-8912-2de26588a428"]}],"mendeley":{"formattedCitation":"[262], [366]","plainTextFormattedCitation":"[262], [366]","previouslyFormattedCitation":"[262], [366]"},"properties":{"noteIndex":0},"schema":"https://github.com/citation-style-language/schema/raw/master/csl-citation.json"}</w:instrText>
      </w:r>
      <w:r>
        <w:rPr>
          <w:rFonts w:cs="Arial"/>
        </w:rPr>
        <w:fldChar w:fldCharType="separate"/>
      </w:r>
      <w:r w:rsidR="006C586A" w:rsidRPr="006C586A">
        <w:rPr>
          <w:rFonts w:cs="Arial"/>
          <w:noProof/>
        </w:rPr>
        <w:t>[262], [366]</w:t>
      </w:r>
      <w:r>
        <w:rPr>
          <w:rFonts w:cs="Arial"/>
        </w:rPr>
        <w:fldChar w:fldCharType="end"/>
      </w:r>
      <w:r>
        <w:rPr>
          <w:rFonts w:cs="Arial"/>
        </w:rPr>
        <w:t>. For sufficient phase recovery the X-ray beam must be coherent with respect to the material of interest</w:t>
      </w:r>
      <w:r>
        <w:rPr>
          <w:rFonts w:cs="Arial"/>
        </w:rPr>
        <w:fldChar w:fldCharType="begin" w:fldLock="1"/>
      </w:r>
      <w:r w:rsidR="00D80A5D">
        <w:rPr>
          <w:rFonts w:cs="Arial"/>
        </w:rPr>
        <w:instrText>ADDIN CSL_CITATION {"citationItems":[{"id":"ITEM-1","itemData":{"DOI":"10.1016/S1076-5670(07)00003-1","ISSN":"10765670","author":[{"dropping-particle":"","family":"Rodenburg","given":"J. M.","non-dropping-particle":"","parse-names":false,"suffix":""}],"container-title":"Advances in Imaging and Electron Physics","id":"ITEM-1","issue":"07","issued":{"date-parts":[["2008"]]},"page":"87-184","title":"Ptychography and related diffractive imaging methods","type":"article-journal","volume":"150"},"uris":["http://www.mendeley.com/documents/?uuid=7fb0f38b-ae01-48f5-be9c-ef58ae057014"]}],"mendeley":{"formattedCitation":"[361]","plainTextFormattedCitation":"[361]","previouslyFormattedCitation":"[361]"},"properties":{"noteIndex":0},"schema":"https://github.com/citation-style-language/schema/raw/master/csl-citation.json"}</w:instrText>
      </w:r>
      <w:r>
        <w:rPr>
          <w:rFonts w:cs="Arial"/>
        </w:rPr>
        <w:fldChar w:fldCharType="separate"/>
      </w:r>
      <w:r w:rsidR="006C586A" w:rsidRPr="006C586A">
        <w:rPr>
          <w:rFonts w:cs="Arial"/>
          <w:noProof/>
        </w:rPr>
        <w:t>[361]</w:t>
      </w:r>
      <w:r>
        <w:rPr>
          <w:rFonts w:cs="Arial"/>
        </w:rPr>
        <w:fldChar w:fldCharType="end"/>
      </w:r>
      <w:r>
        <w:rPr>
          <w:rFonts w:cs="Arial"/>
        </w:rPr>
        <w:t xml:space="preserve">. To optimise the transverse coherence of the X-ray beam and reduce the impact of sample attenuation on </w:t>
      </w:r>
      <w:r w:rsidRPr="00520E15">
        <w:rPr>
          <w:rFonts w:cs="Arial"/>
        </w:rPr>
        <w:t>D</w:t>
      </w:r>
      <w:r>
        <w:rPr>
          <w:rFonts w:cs="Arial"/>
        </w:rPr>
        <w:t>, t</w:t>
      </w:r>
      <w:r w:rsidRPr="00520E15">
        <w:rPr>
          <w:rFonts w:cs="Arial"/>
        </w:rPr>
        <w:t>he</w:t>
      </w:r>
      <w:r>
        <w:rPr>
          <w:rFonts w:cs="Arial"/>
        </w:rPr>
        <w:t xml:space="preserve"> milled sample thickness was 15 </w:t>
      </w:r>
      <w:r>
        <w:rPr>
          <w:rFonts w:cstheme="minorHAnsi"/>
        </w:rPr>
        <w:t>µ</w:t>
      </w:r>
      <w:r>
        <w:rPr>
          <w:rFonts w:cs="Arial"/>
        </w:rPr>
        <w:t xml:space="preserve">m (see Section </w:t>
      </w:r>
      <w:r w:rsidRPr="00600E38">
        <w:rPr>
          <w:rFonts w:cs="Arial"/>
        </w:rPr>
        <w:t>3.1.4</w:t>
      </w:r>
      <w:r>
        <w:rPr>
          <w:rFonts w:cs="Arial"/>
        </w:rPr>
        <w:t>).</w:t>
      </w:r>
    </w:p>
    <w:p w14:paraId="72B10063" w14:textId="77777777" w:rsidR="00007F6C" w:rsidRPr="00600E38" w:rsidRDefault="00007F6C" w:rsidP="00007F6C">
      <w:pPr>
        <w:keepNext/>
        <w:jc w:val="both"/>
        <w:rPr>
          <w:rFonts w:eastAsiaTheme="minorEastAsia" w:cs="Arial"/>
        </w:rPr>
      </w:pPr>
      <m:oMathPara>
        <m:oMath>
          <m:r>
            <m:rPr>
              <m:sty m:val="p"/>
            </m:rPr>
            <w:rPr>
              <w:rFonts w:ascii="Cambria Math" w:hAnsi="Cambria Math" w:cs="Arial"/>
            </w:rPr>
            <m:t>n=1-δ+iβ</m:t>
          </m:r>
        </m:oMath>
      </m:oMathPara>
    </w:p>
    <w:p w14:paraId="0B68D8B8" w14:textId="04174229" w:rsidR="00007F6C" w:rsidRDefault="00007F6C" w:rsidP="00007F6C">
      <w:pPr>
        <w:jc w:val="right"/>
        <w:rPr>
          <w:rFonts w:cs="Arial"/>
        </w:rPr>
      </w:pPr>
      <w:bookmarkStart w:id="269" w:name="_Ref51677252"/>
      <w:r>
        <w:t>Equation 3.</w:t>
      </w:r>
      <w:r w:rsidR="00B51F53">
        <w:fldChar w:fldCharType="begin"/>
      </w:r>
      <w:r w:rsidR="00B51F53">
        <w:instrText xml:space="preserve"> SEQ Equation \* ARABIC </w:instrText>
      </w:r>
      <w:r w:rsidR="00B51F53">
        <w:fldChar w:fldCharType="separate"/>
      </w:r>
      <w:r w:rsidR="00315BF8">
        <w:rPr>
          <w:noProof/>
        </w:rPr>
        <w:t>10</w:t>
      </w:r>
      <w:r w:rsidR="00B51F53">
        <w:rPr>
          <w:noProof/>
        </w:rPr>
        <w:fldChar w:fldCharType="end"/>
      </w:r>
      <w:bookmarkEnd w:id="269"/>
    </w:p>
    <w:p w14:paraId="504EBCF8" w14:textId="427DBA50" w:rsidR="00007F6C" w:rsidRDefault="00007F6C" w:rsidP="00007F6C">
      <w:pPr>
        <w:jc w:val="both"/>
        <w:rPr>
          <w:rFonts w:cs="Arial"/>
        </w:rPr>
      </w:pPr>
      <w:r>
        <w:rPr>
          <w:rFonts w:cs="Arial"/>
        </w:rPr>
        <w:t xml:space="preserve">The relationship between the refractive index of a specimen </w:t>
      </w:r>
      <w:r>
        <w:rPr>
          <w:rFonts w:cs="Arial"/>
          <w:i/>
          <w:iCs/>
        </w:rPr>
        <w:t>n</w:t>
      </w:r>
      <w:r>
        <w:rPr>
          <w:rFonts w:cs="Arial"/>
        </w:rPr>
        <w:t xml:space="preserve">, with an X-ray beam of energy </w:t>
      </w:r>
      <w:r>
        <w:rPr>
          <w:rFonts w:cs="Arial"/>
          <w:i/>
          <w:iCs/>
        </w:rPr>
        <w:t>E</w:t>
      </w:r>
      <w:r>
        <w:rPr>
          <w:rFonts w:cs="Arial"/>
        </w:rPr>
        <w:t>, is expressed as a conjugate number (</w:t>
      </w:r>
      <w:r>
        <w:rPr>
          <w:rFonts w:cs="Arial"/>
        </w:rPr>
        <w:fldChar w:fldCharType="begin"/>
      </w:r>
      <w:r>
        <w:rPr>
          <w:rFonts w:cs="Arial"/>
        </w:rPr>
        <w:instrText xml:space="preserve"> REF _Ref51677252 \h </w:instrText>
      </w:r>
      <w:r>
        <w:rPr>
          <w:rFonts w:cs="Arial"/>
        </w:rPr>
      </w:r>
      <w:r>
        <w:rPr>
          <w:rFonts w:cs="Arial"/>
        </w:rPr>
        <w:fldChar w:fldCharType="separate"/>
      </w:r>
      <w:r>
        <w:t>Equation 3.</w:t>
      </w:r>
      <w:r>
        <w:rPr>
          <w:noProof/>
        </w:rPr>
        <w:t>10</w:t>
      </w:r>
      <w:r>
        <w:rPr>
          <w:rFonts w:cs="Arial"/>
        </w:rPr>
        <w:fldChar w:fldCharType="end"/>
      </w:r>
      <w:r>
        <w:rPr>
          <w:rFonts w:cs="Arial"/>
        </w:rPr>
        <w:t xml:space="preserve">) </w:t>
      </w:r>
      <w:r>
        <w:rPr>
          <w:rFonts w:cs="Arial"/>
        </w:rPr>
        <w:fldChar w:fldCharType="begin" w:fldLock="1"/>
      </w:r>
      <w:r w:rsidR="00D80A5D">
        <w:rPr>
          <w:rFonts w:cs="Arial"/>
        </w:rPr>
        <w:instrText>ADDIN CSL_CITATION {"citationItems":[{"id":"ITEM-1","itemData":{"DOI":"10.1016/S1076-5670(07)00003-1","ISSN":"10765670","author":[{"dropping-particle":"","family":"Rodenburg","given":"J. M.","non-dropping-particle":"","parse-names":false,"suffix":""}],"container-title":"Advances in Imaging and Electron Physics","id":"ITEM-1","issue":"07","issued":{"date-parts":[["2008"]]},"page":"87-184","title":"Ptychography and related diffractive imaging methods","type":"article-journal","volume":"150"},"uris":["http://www.mendeley.com/documents/?uuid=7fb0f38b-ae01-48f5-be9c-ef58ae057014"]},{"id":"ITEM-2","itemData":{"DOI":"Unsp 83381g\r10.1117/12.917618","ISBN":"0277-786x","abstract":"This paper discusses ptychography, a coherent diffraction imaging technique. Advantages of ptychography with respect conventional imaging techniques for cell visualisation are highlighted and demonstrated using unstained healthy and tumorous mouse cells as the object under investigation. A novel procedure to automatically refocus a possible slightly out of focus ptychographic data set will be discussed, by which an improved quantitative analysis and discrimination is enabled.","author":[{"dropping-particle":"","family":"Claus","given":"D","non-dropping-particle":"","parse-names":false,"suffix":""},{"dropping-particle":"","family":"Schluesener","given":"H","non-dropping-particle":"","parse-names":false,"suffix":""},{"dropping-particle":"","family":"Maiden","given":"A","non-dropping-particle":"","parse-names":false,"suffix":""},{"dropping-particle":"","family":"Zhang","given":"F C","non-dropping-particle":"","parse-names":false,"suffix":""},{"dropping-particle":"","family":"Sweeney","given":"F","non-dropping-particle":"","parse-names":false,"suffix":""},{"dropping-particle":"","family":"Humphry","given":"M","non-dropping-particle":"","parse-names":false,"suffix":""},{"dropping-particle":"","family":"Rodenburg","given":"J","non-dropping-particle":"","parse-names":false,"suffix":""}],"container-title":"Tenth International Conference on Correlation Optics","id":"ITEM-2","issued":{"date-parts":[["2011"]]},"language":"English","note":"Byf20\nTimes Cited:0\nCited References Count:16\nProceedings of SPIE","title":"Ptychography: A powerful phase retrieval technique for biomedical imaging","type":"article-journal","volume":"8338"},"uris":["http://www.mendeley.com/documents/?uuid=0f8dd5a9-b7ca-4ee9-8fce-0f3cd4eb3a64"]}],"mendeley":{"formattedCitation":"[275], [361]","plainTextFormattedCitation":"[275], [361]","previouslyFormattedCitation":"[275], [361]"},"properties":{"noteIndex":0},"schema":"https://github.com/citation-style-language/schema/raw/master/csl-citation.json"}</w:instrText>
      </w:r>
      <w:r>
        <w:rPr>
          <w:rFonts w:cs="Arial"/>
        </w:rPr>
        <w:fldChar w:fldCharType="separate"/>
      </w:r>
      <w:r w:rsidR="006C586A" w:rsidRPr="006C586A">
        <w:rPr>
          <w:rFonts w:cs="Arial"/>
          <w:noProof/>
        </w:rPr>
        <w:t>[275], [361]</w:t>
      </w:r>
      <w:r>
        <w:rPr>
          <w:rFonts w:cs="Arial"/>
        </w:rPr>
        <w:fldChar w:fldCharType="end"/>
      </w:r>
      <w:r>
        <w:rPr>
          <w:rFonts w:cs="Arial"/>
        </w:rPr>
        <w:t xml:space="preserve">. The sample-reliant real (δ) and imaginary portions (β) of the transmission function(TF) in PXCT are used to express the lack of a phase </w:t>
      </w:r>
      <w:r>
        <w:rPr>
          <w:rFonts w:cs="Arial"/>
        </w:rPr>
        <w:lastRenderedPageBreak/>
        <w:t xml:space="preserve">by the use of binary values </w:t>
      </w:r>
      <w:r>
        <w:rPr>
          <w:rFonts w:cs="Arial"/>
        </w:rPr>
        <w:fldChar w:fldCharType="begin" w:fldLock="1"/>
      </w:r>
      <w:r w:rsidR="00D80A5D">
        <w:rPr>
          <w:rFonts w:cs="Arial"/>
        </w:rPr>
        <w:instrText>ADDIN CSL_CITATION {"citationItems":[{"id":"ITEM-1","itemData":{"DOI":"10.1016/S1076-5670(07)00003-1","ISSN":"10765670","abstract":"Ptychography is a nonholographic solution of the phase problem. It is a method for calculating the phase relationships among different parts of a scattered wave disturbance in a situation where only the magnitude (intensity or flux) of the wave can be physically measured. Its usefulness lies in its ability (like holography) to obtain images without the use of lenses, and hence to lead to resolution improvements and access to properties of the scattering medium that cannot be easily obtained from conventional imaging methods. The chapter discusses ptychography in the context of other phase-retrieval methods in both historical and conceptual terms. In an original and oblique approach to the phase problem, it was Hoppe who proposed the first version of the particular solution to the phase problem. The word “ptychography” was introduced to suggest a solution to the phase problem using the convolution theorem, or rather the “folding” of diffraction orders into one another via the convolution of the Fourier transform of a localized aperture or illumination function in the object plane. Apart from computers, the two most important experimental issues that affect ptychography, relate to the degree of coherence in the illuminating beam and the detector efficiency and dynamic range.","author":[{"dropping-particle":"","family":"Rodenburg","given":"J. M.","non-dropping-particle":"","parse-names":false,"suffix":""}],"container-title":"Advances in Imaging and Electron Physics","id":"ITEM-1","issue":"07","issued":{"date-parts":[["2008"]]},"page":"87-184","title":"Ptychography and related diffractive imaging methods","type":"article-journal","volume":"150"},"uris":["http://www.mendeley.com/documents/?uuid=05143c62-4c7c-4087-abd1-b69fd8341ad5"]},{"id":"ITEM-2","itemData":{"DOI":"10.1017/s1431927618012862","ISSN":"1431-9276","abstract":"//static.cambridge.org/content/id/urn%3Acambridge.org%3Aid%3Aarticle%3AS1431927618012862/resource/name/firstPage-S1431927618012862a.jpg","author":[{"dropping-particle":"","family":"Cipiccia","given":"Silvia","non-dropping-particle":"","parse-names":false,"suffix":""},{"dropping-particle":"","family":"Batey","given":"Darren J.","non-dropping-particle":"","parse-names":false,"suffix":""},{"dropping-particle":"","family":"Shi","given":"Xiaowen","non-dropping-particle":"","parse-names":false,"suffix":""},{"dropping-particle":"","family":"Price","given":"Stephen","non-dropping-particle":"","parse-names":false,"suffix":""},{"dropping-particle":"","family":"Parsons","given":"Aaron","non-dropping-particle":"","parse-names":false,"suffix":""},{"dropping-particle":"","family":"Wanelik","given":"Kaz","non-dropping-particle":"","parse-names":false,"suffix":""},{"dropping-particle":"","family":"Wilson","given":"Andrew","non-dropping-particle":"","parse-names":false,"suffix":""},{"dropping-particle":"","family":"Crook","given":"Robert","non-dropping-particle":"","parse-names":false,"suffix":""},{"dropping-particle":"","family":"Raja","given":"Robert","non-dropping-particle":"","parse-names":false,"suffix":""},{"dropping-particle":"","family":"Rau","given":"Christoph","non-dropping-particle":"","parse-names":false,"suffix":""}],"container-title":"Microscopy and Microanalysis","id":"ITEM-2","issue":"S2","issued":{"date-parts":[["2018"]]},"page":"96-97","title":"An Iterative Self-Absorption Correction Algorithm for 3D Ptycho-Fluorescence Imaging","type":"article-journal","volume":"24"},"uris":["http://www.mendeley.com/documents/?uuid=a16409b2-3929-4e61-bd33-09f325eff6c4"]}],"mendeley":{"formattedCitation":"[355], [367]","plainTextFormattedCitation":"[355], [367]","previouslyFormattedCitation":"[355], [367]"},"properties":{"noteIndex":0},"schema":"https://github.com/citation-style-language/schema/raw/master/csl-citation.json"}</w:instrText>
      </w:r>
      <w:r>
        <w:rPr>
          <w:rFonts w:cs="Arial"/>
        </w:rPr>
        <w:fldChar w:fldCharType="separate"/>
      </w:r>
      <w:r w:rsidR="006C586A" w:rsidRPr="006C586A">
        <w:rPr>
          <w:rFonts w:cs="Arial"/>
          <w:noProof/>
        </w:rPr>
        <w:t>[355], [367]</w:t>
      </w:r>
      <w:r>
        <w:rPr>
          <w:rFonts w:cs="Arial"/>
        </w:rPr>
        <w:fldChar w:fldCharType="end"/>
      </w:r>
      <w:r>
        <w:rPr>
          <w:rFonts w:cs="Arial"/>
        </w:rPr>
        <w:t xml:space="preserve">.  This function can be described using (n-1) with respect to the horizontal axis of the optics </w:t>
      </w:r>
      <w:r>
        <w:rPr>
          <w:rFonts w:cs="Arial"/>
          <w:i/>
          <w:iCs/>
        </w:rPr>
        <w:t>Z</w:t>
      </w:r>
      <w:r w:rsidRPr="00F57521">
        <w:rPr>
          <w:rFonts w:cs="Arial"/>
        </w:rPr>
        <w:t>, further information can be found in</w:t>
      </w:r>
      <w:r>
        <w:rPr>
          <w:rFonts w:cs="Arial"/>
          <w:i/>
          <w:iCs/>
        </w:rPr>
        <w:t xml:space="preserve"> Sala et al </w:t>
      </w:r>
      <w:r>
        <w:rPr>
          <w:rFonts w:cs="Arial"/>
        </w:rPr>
        <w:fldChar w:fldCharType="begin" w:fldLock="1"/>
      </w:r>
      <w:r w:rsidR="00D80A5D">
        <w:rPr>
          <w:rFonts w:cs="Arial"/>
        </w:rPr>
        <w:instrText>ADDIN CSL_CITATION {"citationItems":[{"id":"ITEM-1","itemData":{"DOI":"10.1364/oe.27.000533","ISSN":"1094-4087","PMID":"30696138","abstract":"Ptychographic X-ray computed tomography is a phase-contrast imaging technique capable of retrieving three-dimensional maps of the index of refraction of the imaged volumes with nanometric resolution. Despite its unmatched reach, its application remains prerogative of a limited number of laboratories at synchrotron sources. We present a detailed description of an experimental procedure and a data analysis pipeline which can be both exploited for ptychographic X-ray computed tomography experiments at any high-brilliance X-ray source. These have been validated at the I13-1 Coherence Branchline within the first experiment of its kind to be successfully carried out on a biological sample at Diamond Light Source.","author":[{"dropping-particle":"","family":"Sala","given":"Simone","non-dropping-particle":"","parse-names":false,"suffix":""},{"dropping-particle":"","family":"Batey","given":"Darren J.","non-dropping-particle":"","parse-names":false,"suffix":""},{"dropping-particle":"","family":"Prakash","given":"Anupama","non-dropping-particle":"","parse-names":false,"suffix":""},{"dropping-particle":"","family":"Ahmed","given":"Sharif","non-dropping-particle":"","parse-names":false,"suffix":""},{"dropping-particle":"","family":"Rau","given":"Christoph","non-dropping-particle":"","parse-names":false,"suffix":""},{"dropping-particle":"","family":"Thibault","given":"Pierre","non-dropping-particle":"","parse-names":false,"suffix":""}],"container-title":"Optics Express","id":"ITEM-1","issue":"2","issued":{"date-parts":[["2019"]]},"page":"533","title":"Ptychographic X-ray computed tomography at a high-brilliance X-ray source","type":"article-journal","volume":"27"},"uris":["http://www.mendeley.com/documents/?uuid=07a80d40-762e-4ff5-9db3-b72eef527f7e"]}],"mendeley":{"formattedCitation":"[362]","plainTextFormattedCitation":"[362]","previouslyFormattedCitation":"[362]"},"properties":{"noteIndex":0},"schema":"https://github.com/citation-style-language/schema/raw/master/csl-citation.json"}</w:instrText>
      </w:r>
      <w:r>
        <w:rPr>
          <w:rFonts w:cs="Arial"/>
        </w:rPr>
        <w:fldChar w:fldCharType="separate"/>
      </w:r>
      <w:r w:rsidR="006C586A" w:rsidRPr="006C586A">
        <w:rPr>
          <w:rFonts w:cs="Arial"/>
          <w:noProof/>
        </w:rPr>
        <w:t>[362]</w:t>
      </w:r>
      <w:r>
        <w:rPr>
          <w:rFonts w:cs="Arial"/>
        </w:rPr>
        <w:fldChar w:fldCharType="end"/>
      </w:r>
      <w:r>
        <w:rPr>
          <w:rFonts w:cs="Arial"/>
        </w:rPr>
        <w:t>.</w:t>
      </w:r>
    </w:p>
    <w:p w14:paraId="77B463C9" w14:textId="6CA488D8" w:rsidR="00007F6C" w:rsidRDefault="00007F6C" w:rsidP="00007F6C">
      <w:pPr>
        <w:jc w:val="both"/>
        <w:rPr>
          <w:rFonts w:cs="Arial"/>
        </w:rPr>
      </w:pPr>
      <w:r>
        <w:t xml:space="preserve">The PXCT beam energy used in this study was 17 keV(near to a nickel beam edge), equating to a to a wavelength of 0.73 </w:t>
      </w:r>
      <w:r>
        <w:rPr>
          <w:rFonts w:cstheme="minorHAnsi"/>
        </w:rPr>
        <w:t xml:space="preserve">Å. </w:t>
      </w:r>
      <w:r>
        <w:rPr>
          <w:rFonts w:cstheme="minorHAnsi"/>
        </w:rPr>
        <w:fldChar w:fldCharType="begin"/>
      </w:r>
      <w:r>
        <w:rPr>
          <w:rFonts w:cstheme="minorHAnsi"/>
        </w:rPr>
        <w:instrText xml:space="preserve"> REF _Ref49949154 \h  \* MERGEFORMAT </w:instrText>
      </w:r>
      <w:r>
        <w:rPr>
          <w:rFonts w:cstheme="minorHAnsi"/>
        </w:rPr>
      </w:r>
      <w:r>
        <w:rPr>
          <w:rFonts w:cstheme="minorHAnsi"/>
        </w:rPr>
        <w:fldChar w:fldCharType="separate"/>
      </w:r>
      <w:r w:rsidR="008B3A81">
        <w:t>Figure 3.23</w:t>
      </w:r>
      <w:r>
        <w:rPr>
          <w:rFonts w:cstheme="minorHAnsi"/>
        </w:rPr>
        <w:fldChar w:fldCharType="end"/>
      </w:r>
      <w:r>
        <w:t xml:space="preserve"> below shows the refractive indexes of both parts against X-ray wavelength </w:t>
      </w:r>
      <w:r>
        <w:fldChar w:fldCharType="begin" w:fldLock="1"/>
      </w:r>
      <w:r w:rsidR="00D80A5D">
        <w:instrText>ADDIN CSL_CITATION {"citationItems":[{"id":"ITEM-1","itemData":{"DOI":"10.1006/adnd.1993.1013","ISSN":"0092640X","abstract":"The primary interactions of low-energy x-rays within condensed matter, viz. photoabsorption and coherent scattering, have been described for photon energies outside the absorption threshold regions by using atomic scattering factors. The atomic scattering factors may be accurately determined from the atomic photoabsorption cross sections using modified Kramers-Kronig dispersion relations. From a synthesis of the currently available experimental data and recent theoretical calculations for photoabsorption, the angle-independent, forward-scattering components of the atomic scattering factors have been thus semiempirically determined and tabulated here for 92 elements and for the region 50-30, 000 eV. Atomic scattering factors for all angles of coherent scattering and at the higher photon energies are obtained from these tabulated forward-scattering values by adding a simple angle-dependent form-factor correction. The incoherent scattering contributions that become significant for the light elements at the higher photon energies are similarly determined. The basic x-ray interaction relations that are used in applied x-ray physics are presented here in terms of the atomic scattering factors. The bulk optical constants are also related to the atomic scattering factors. These atomic and optical relations are applied to the detailed calculation of the reflectivity characteristics of a series of practical x-ray mirror, multilayer, and crystal monochromators. Comparisons of the results of this semiempirical, \"atomic-like\" description of x-ray interactions for the low-energy region with those of experiment and ab initio theory are presented. © 1993 Academic Press. All rights reserved.","author":[{"dropping-particle":"","family":"Henke","given":"B. L.","non-dropping-particle":"","parse-names":false,"suffix":""},{"dropping-particle":"","family":"Gullikson","given":"E. M.","non-dropping-particle":"","parse-names":false,"suffix":""},{"dropping-particle":"","family":"Davis","given":"J. C.","non-dropping-particle":"","parse-names":false,"suffix":""}],"container-title":"Atomic Data and Nuclear Data Tables","id":"ITEM-1","issue":"2","issued":{"date-parts":[["1993"]]},"page":"181-342","title":"X-ray interactions: Photoabsorption, scattering, transmission, and reflection at E = 50-30, 000 eV, Z = 1-92","type":"article","volume":"54"},"uris":["http://www.mendeley.com/documents/?uuid=c9e38a82-bcee-4f05-a163-b91831acb567"]}],"mendeley":{"formattedCitation":"[363]","plainTextFormattedCitation":"[363]","previouslyFormattedCitation":"[363]"},"properties":{"noteIndex":0},"schema":"https://github.com/citation-style-language/schema/raw/master/csl-citation.json"}</w:instrText>
      </w:r>
      <w:r>
        <w:fldChar w:fldCharType="separate"/>
      </w:r>
      <w:r w:rsidR="006C586A" w:rsidRPr="006C586A">
        <w:rPr>
          <w:noProof/>
        </w:rPr>
        <w:t>[363]</w:t>
      </w:r>
      <w:r>
        <w:fldChar w:fldCharType="end"/>
      </w:r>
      <w:r>
        <w:t xml:space="preserve">. </w:t>
      </w:r>
      <w:r>
        <w:rPr>
          <w:rFonts w:cs="Arial"/>
        </w:rPr>
        <w:t xml:space="preserve">The numerical values of these parts were generated using the absorption values calculated by </w:t>
      </w:r>
      <w:r>
        <w:rPr>
          <w:rFonts w:cs="Arial"/>
          <w:i/>
          <w:iCs/>
        </w:rPr>
        <w:t xml:space="preserve">Henke et al </w:t>
      </w:r>
      <w:r>
        <w:rPr>
          <w:rFonts w:cs="Arial"/>
          <w:i/>
          <w:iCs/>
        </w:rPr>
        <w:fldChar w:fldCharType="begin" w:fldLock="1"/>
      </w:r>
      <w:r w:rsidR="00D80A5D">
        <w:rPr>
          <w:rFonts w:cs="Arial"/>
          <w:i/>
          <w:iCs/>
        </w:rPr>
        <w:instrText>ADDIN CSL_CITATION {"citationItems":[{"id":"ITEM-1","itemData":{"DOI":"10.1006/adnd.1993.1013","ISSN":"0092640X","abstract":"The primary interactions of low-energy x-rays within condensed matter, viz. photoabsorption and coherent scattering, have been described for photon energies outside the absorption threshold regions by using atomic scattering factors. The atomic scattering factors may be accurately determined from the atomic photoabsorption cross sections using modified Kramers-Kronig dispersion relations. From a synthesis of the currently available experimental data and recent theoretical calculations for photoabsorption, the angle-independent, forward-scattering components of the atomic scattering factors have been thus semiempirically determined and tabulated here for 92 elements and for the region 50-30, 000 eV. Atomic scattering factors for all angles of coherent scattering and at the higher photon energies are obtained from these tabulated forward-scattering values by adding a simple angle-dependent form-factor correction. The incoherent scattering contributions that become significant for the light elements at the higher photon energies are similarly determined. The basic x-ray interaction relations that are used in applied x-ray physics are presented here in terms of the atomic scattering factors. The bulk optical constants are also related to the atomic scattering factors. These atomic and optical relations are applied to the detailed calculation of the reflectivity characteristics of a series of practical x-ray mirror, multilayer, and crystal monochromators. Comparisons of the results of this semiempirical, \"atomic-like\" description of x-ray interactions for the low-energy region with those of experiment and ab initio theory are presented. © 1993 Academic Press. All rights reserved.","author":[{"dropping-particle":"","family":"Henke","given":"B. L.","non-dropping-particle":"","parse-names":false,"suffix":""},{"dropping-particle":"","family":"Gullikson","given":"E. M.","non-dropping-particle":"","parse-names":false,"suffix":""},{"dropping-particle":"","family":"Davis","given":"J. C.","non-dropping-particle":"","parse-names":false,"suffix":""}],"container-title":"Atomic Data and Nuclear Data Tables","id":"ITEM-1","issue":"2","issued":{"date-parts":[["1993"]]},"page":"181-342","title":"X-ray interactions: Photoabsorption, scattering, transmission, and reflection at E = 50-30, 000 eV, Z = 1-92","type":"article","volume":"54"},"uris":["http://www.mendeley.com/documents/?uuid=c9e38a82-bcee-4f05-a163-b91831acb567"]}],"mendeley":{"formattedCitation":"[363]","plainTextFormattedCitation":"[363]","previouslyFormattedCitation":"[363]"},"properties":{"noteIndex":0},"schema":"https://github.com/citation-style-language/schema/raw/master/csl-citation.json"}</w:instrText>
      </w:r>
      <w:r>
        <w:rPr>
          <w:rFonts w:cs="Arial"/>
          <w:i/>
          <w:iCs/>
        </w:rPr>
        <w:fldChar w:fldCharType="separate"/>
      </w:r>
      <w:r w:rsidR="006C586A" w:rsidRPr="006C586A">
        <w:rPr>
          <w:rFonts w:cs="Arial"/>
          <w:iCs/>
          <w:noProof/>
        </w:rPr>
        <w:t>[363]</w:t>
      </w:r>
      <w:r>
        <w:rPr>
          <w:rFonts w:cs="Arial"/>
          <w:i/>
          <w:iCs/>
        </w:rPr>
        <w:fldChar w:fldCharType="end"/>
      </w:r>
      <w:r>
        <w:rPr>
          <w:rFonts w:cs="Arial"/>
        </w:rPr>
        <w:t>. The real (δ) and imaginary segments (β) amounted to 6 x 10</w:t>
      </w:r>
      <w:r>
        <w:rPr>
          <w:rFonts w:cs="Arial"/>
          <w:vertAlign w:val="superscript"/>
        </w:rPr>
        <w:t>-4</w:t>
      </w:r>
      <w:r>
        <w:rPr>
          <w:rFonts w:cs="Arial"/>
        </w:rPr>
        <w:t xml:space="preserve"> and 1.68 x 10</w:t>
      </w:r>
      <w:r>
        <w:rPr>
          <w:rFonts w:cs="Arial"/>
          <w:vertAlign w:val="superscript"/>
        </w:rPr>
        <w:t>-3</w:t>
      </w:r>
      <w:r>
        <w:rPr>
          <w:rFonts w:cs="Arial"/>
        </w:rPr>
        <w:t>, respectively (</w:t>
      </w:r>
      <w:r>
        <w:rPr>
          <w:rFonts w:cs="Arial"/>
        </w:rPr>
        <w:fldChar w:fldCharType="begin"/>
      </w:r>
      <w:r>
        <w:rPr>
          <w:rFonts w:cs="Arial"/>
        </w:rPr>
        <w:instrText xml:space="preserve"> REF _Ref49949154 \h  \* MERGEFORMAT </w:instrText>
      </w:r>
      <w:r>
        <w:rPr>
          <w:rFonts w:cs="Arial"/>
        </w:rPr>
      </w:r>
      <w:r>
        <w:rPr>
          <w:rFonts w:cs="Arial"/>
        </w:rPr>
        <w:fldChar w:fldCharType="separate"/>
      </w:r>
      <w:r w:rsidR="004971C5">
        <w:t>Figure 3.23</w:t>
      </w:r>
      <w:r>
        <w:rPr>
          <w:rFonts w:cs="Arial"/>
        </w:rPr>
        <w:fldChar w:fldCharType="end"/>
      </w:r>
      <w:r>
        <w:rPr>
          <w:rFonts w:cs="Arial"/>
        </w:rPr>
        <w:t>).</w:t>
      </w:r>
    </w:p>
    <w:p w14:paraId="669F5FA0" w14:textId="77777777" w:rsidR="00007F6C" w:rsidRDefault="00007F6C" w:rsidP="00007F6C">
      <w:pPr>
        <w:keepNext/>
        <w:jc w:val="center"/>
      </w:pPr>
      <w:r w:rsidRPr="00E24F55">
        <w:rPr>
          <w:noProof/>
        </w:rPr>
        <w:drawing>
          <wp:inline distT="0" distB="0" distL="0" distR="0" wp14:anchorId="07670148" wp14:editId="15A8E08E">
            <wp:extent cx="4320000" cy="3424538"/>
            <wp:effectExtent l="0" t="0" r="4445" b="508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9">
                      <a:extLst>
                        <a:ext uri="{28A0092B-C50C-407E-A947-70E740481C1C}">
                          <a14:useLocalDpi xmlns:a14="http://schemas.microsoft.com/office/drawing/2010/main" val="0"/>
                        </a:ext>
                      </a:extLst>
                    </a:blip>
                    <a:srcRect l="4129" t="9310" r="13991" b="5705"/>
                    <a:stretch/>
                  </pic:blipFill>
                  <pic:spPr bwMode="auto">
                    <a:xfrm>
                      <a:off x="0" y="0"/>
                      <a:ext cx="4320000" cy="3424538"/>
                    </a:xfrm>
                    <a:prstGeom prst="rect">
                      <a:avLst/>
                    </a:prstGeom>
                    <a:noFill/>
                    <a:ln>
                      <a:noFill/>
                    </a:ln>
                    <a:extLst>
                      <a:ext uri="{53640926-AAD7-44D8-BBD7-CCE9431645EC}">
                        <a14:shadowObscured xmlns:a14="http://schemas.microsoft.com/office/drawing/2010/main"/>
                      </a:ext>
                    </a:extLst>
                  </pic:spPr>
                </pic:pic>
              </a:graphicData>
            </a:graphic>
          </wp:inline>
        </w:drawing>
      </w:r>
    </w:p>
    <w:p w14:paraId="0CF668B9" w14:textId="46D2799C" w:rsidR="00007F6C" w:rsidRDefault="00007F6C" w:rsidP="005E2F1E">
      <w:pPr>
        <w:pStyle w:val="Caption"/>
      </w:pPr>
      <w:bookmarkStart w:id="270" w:name="_Ref49949154"/>
      <w:bookmarkStart w:id="271" w:name="_Toc69114968"/>
      <w:bookmarkStart w:id="272" w:name="_Ref49947222"/>
      <w:r>
        <w:t>Figure 3.</w:t>
      </w:r>
      <w:r w:rsidR="00B51F53">
        <w:fldChar w:fldCharType="begin"/>
      </w:r>
      <w:r w:rsidR="00B51F53">
        <w:instrText xml:space="preserve"> SEQ Figure \* ARABIC </w:instrText>
      </w:r>
      <w:r w:rsidR="00B51F53">
        <w:fldChar w:fldCharType="separate"/>
      </w:r>
      <w:r w:rsidR="004971C5">
        <w:rPr>
          <w:noProof/>
        </w:rPr>
        <w:t>23</w:t>
      </w:r>
      <w:r w:rsidR="00B51F53">
        <w:rPr>
          <w:noProof/>
        </w:rPr>
        <w:fldChar w:fldCharType="end"/>
      </w:r>
      <w:bookmarkEnd w:id="270"/>
      <w:r>
        <w:t xml:space="preserve">: Real and complex parts of the transmission function plotted against X-ray wavelength </w:t>
      </w:r>
      <w:r>
        <w:fldChar w:fldCharType="begin" w:fldLock="1"/>
      </w:r>
      <w:r w:rsidR="00D80A5D">
        <w:instrText>ADDIN CSL_CITATION {"citationItems":[{"id":"ITEM-1","itemData":{"DOI":"10.1006/adnd.1993.1013","ISSN":"0092640X","abstract":"The primary interactions of low-energy x-rays within condensed matter, viz. photoabsorption and coherent scattering, have been described for photon energies outside the absorption threshold regions by using atomic scattering factors. The atomic scattering factors may be accurately determined from the atomic photoabsorption cross sections using modified Kramers-Kronig dispersion relations. From a synthesis of the currently available experimental data and recent theoretical calculations for photoabsorption, the angle-independent, forward-scattering components of the atomic scattering factors have been thus semiempirically determined and tabulated here for 92 elements and for the region 50-30, 000 eV. Atomic scattering factors for all angles of coherent scattering and at the higher photon energies are obtained from these tabulated forward-scattering values by adding a simple angle-dependent form-factor correction. The incoherent scattering contributions that become significant for the light elements at the higher photon energies are similarly determined. The basic x-ray interaction relations that are used in applied x-ray physics are presented here in terms of the atomic scattering factors. The bulk optical constants are also related to the atomic scattering factors. These atomic and optical relations are applied to the detailed calculation of the reflectivity characteristics of a series of practical x-ray mirror, multilayer, and crystal monochromators. Comparisons of the results of this semiempirical, \"atomic-like\" description of x-ray interactions for the low-energy region with those of experiment and ab initio theory are presented. © 1993 Academic Press. All rights reserved.","author":[{"dropping-particle":"","family":"Henke","given":"B. L.","non-dropping-particle":"","parse-names":false,"suffix":""},{"dropping-particle":"","family":"Gullikson","given":"E. M.","non-dropping-particle":"","parse-names":false,"suffix":""},{"dropping-particle":"","family":"Davis","given":"J. C.","non-dropping-particle":"","parse-names":false,"suffix":""}],"container-title":"Atomic Data and Nuclear Data Tables","id":"ITEM-1","issue":"2","issued":{"date-parts":[["1993"]]},"page":"181-342","title":"X-ray interactions: Photoabsorption, scattering, transmission, and reflection at E = 50-30, 000 eV, Z = 1-92","type":"article","volume":"54"},"uris":["http://www.mendeley.com/documents/?uuid=c9e38a82-bcee-4f05-a163-b91831acb567"]}],"mendeley":{"formattedCitation":"[363]","plainTextFormattedCitation":"[363]","previouslyFormattedCitation":"[363]"},"properties":{"noteIndex":0},"schema":"https://github.com/citation-style-language/schema/raw/master/csl-citation.json"}</w:instrText>
      </w:r>
      <w:r>
        <w:fldChar w:fldCharType="separate"/>
      </w:r>
      <w:r w:rsidR="006C586A" w:rsidRPr="006C586A">
        <w:rPr>
          <w:i w:val="0"/>
          <w:noProof/>
        </w:rPr>
        <w:t>[363]</w:t>
      </w:r>
      <w:bookmarkEnd w:id="271"/>
      <w:r>
        <w:fldChar w:fldCharType="end"/>
      </w:r>
      <w:bookmarkEnd w:id="272"/>
    </w:p>
    <w:p w14:paraId="2AF0E125" w14:textId="77777777" w:rsidR="00007F6C" w:rsidRDefault="00007F6C" w:rsidP="00007F6C">
      <w:pPr>
        <w:pStyle w:val="Heading4"/>
      </w:pPr>
      <w:r>
        <w:t>3.3.7.1</w:t>
      </w:r>
      <w:r>
        <w:tab/>
        <w:t>PXCT Data Acquisition</w:t>
      </w:r>
    </w:p>
    <w:p w14:paraId="75FA0821" w14:textId="72A53FA0" w:rsidR="00007F6C" w:rsidRPr="00345716" w:rsidRDefault="00007F6C" w:rsidP="00007F6C">
      <w:pPr>
        <w:jc w:val="both"/>
      </w:pPr>
      <w:r w:rsidRPr="00345716">
        <w:t>The Ni-YSZ pillar sample and SEM stub were mounted onto the sample stage manipulator using an align key. Prior to any beam work the top of the sample was raised to bring the sample into the beam denoted by an alignment laser. A sample to detector distance of 10 m was used to provide adequate transmission through the infiltrated Ni-YSZ fuel electrode pillar specimen</w:t>
      </w:r>
      <w:r>
        <w:t xml:space="preserve"> (</w:t>
      </w:r>
      <w:r>
        <w:fldChar w:fldCharType="begin"/>
      </w:r>
      <w:r>
        <w:instrText xml:space="preserve"> REF _Ref49950146 \h </w:instrText>
      </w:r>
      <w:r>
        <w:fldChar w:fldCharType="separate"/>
      </w:r>
      <w:r w:rsidR="004971C5">
        <w:t>Figure 3.</w:t>
      </w:r>
      <w:r w:rsidR="004971C5">
        <w:rPr>
          <w:noProof/>
        </w:rPr>
        <w:t>24</w:t>
      </w:r>
      <w:r>
        <w:fldChar w:fldCharType="end"/>
      </w:r>
      <w:r>
        <w:t>)</w:t>
      </w:r>
      <w:r w:rsidRPr="00345716">
        <w:t>.</w:t>
      </w:r>
    </w:p>
    <w:p w14:paraId="1416C2F7" w14:textId="0BF8C286" w:rsidR="00007F6C" w:rsidRPr="00345716" w:rsidRDefault="00007F6C" w:rsidP="00007F6C">
      <w:pPr>
        <w:jc w:val="both"/>
      </w:pPr>
      <w:r w:rsidRPr="00345716">
        <w:t>The X-ray photons were counted using the EXCALIBUR detector after they had passed through the sample</w:t>
      </w:r>
      <w:r>
        <w:t xml:space="preserve"> </w:t>
      </w:r>
      <w:r>
        <w:fldChar w:fldCharType="begin" w:fldLock="1"/>
      </w:r>
      <w:r w:rsidR="00D80A5D">
        <w:instrText>ADDIN CSL_CITATION {"citationItems":[{"id":"ITEM-1","itemData":{"DOI":"10.1088/1742-6596/425/6/062003","ISSN":"17426596","abstract":"Coherent X-ray diffraction experiments on synchrotron X-ray beamlines require detectors with high spatial resolution and large detection area. The read-out chip developed by the MEDIPIX3 collaboration offers a small pixel size of 55 microns resulting in a very high spatial resolution when coupled to a direct X-ray conversion segmented silicon sensor. MEDIPIX3 assemblies present also the advantages of hybrid pixel detectors working in single photon counting mode: noiseless imaging, large dynamic range, extremely high frame rate. The EXCALIBUR detector is under development for the X-ray Coherence and Imaging Beamline I13 of the Diamond Light Source. This new detector consists of three modules, each with 16 MEDIPIX3 chips which can be read-out at 100 frames per second in continuous mode or 1000 frames per second in burst mode. In each module, the sensor is a large single silicon die covering 2 rows of 8 individual MEDIPIX3 read-out chips and provides a continuous active detection region within a module. Each module includes 1 million solder bumps connecting the 55 microns pixels of the silicon sensor to the 55 microns pixels of the 16 MEDIPIX3 read-out chips. The detection area of the 3-module EXCALIBUR detector is 115 mm × 100 mm with a small 6.8 mm wide inactive region between modules. Each detector module is connected to 2 FPGA read-out boards via a flexi-rigid circuit to allow a fully parallel read-out of the 16 MEDIPIX3 chips. The 6 FPGA read-out boards used in the EXCALIBUR detector are interfaced to 6 computing nodes via 10Gbit/s fibre-optic links to maintain the very high frame-rate capability. The standard suite of EPICS control software is used to operate the detector and to integrate it with the Diamond Light Source beamline software environment. This article describes the design, fabrication and characterisation of the MEDIPIX3-based modules composing the EXCALIBUR detector. © 2013 IOP Publishing Ltd.","author":[{"dropping-particle":"","family":"Marchal","given":"J.","non-dropping-particle":"","parse-names":false,"suffix":""},{"dropping-particle":"","family":"Horswell","given":"I.","non-dropping-particle":"","parse-names":false,"suffix":""},{"dropping-particle":"","family":"Willis","given":"B.","non-dropping-particle":"","parse-names":false,"suffix":""},{"dropping-particle":"","family":"Plackett","given":"R.","non-dropping-particle":"","parse-names":false,"suffix":""},{"dropping-particle":"","family":"Gimenez","given":"E. N.","non-dropping-particle":"","parse-names":false,"suffix":""},{"dropping-particle":"","family":"Spiers","given":"J.","non-dropping-particle":"","parse-names":false,"suffix":""},{"dropping-particle":"","family":"Ballard","given":"D.","non-dropping-particle":"","parse-names":false,"suffix":""},{"dropping-particle":"","family":"Booker","given":"P.","non-dropping-particle":"","parse-names":false,"suffix":""},{"dropping-particle":"","family":"Thompson","given":"J. A.","non-dropping-particle":"","parse-names":false,"suffix":""},{"dropping-particle":"","family":"Gibbons","given":"P.","non-dropping-particle":"","parse-names":false,"suffix":""},{"dropping-particle":"","family":"Burge","given":"S. R.","non-dropping-particle":"","parse-names":false,"suffix":""},{"dropping-particle":"","family":"Nicholls","given":"T.","non-dropping-particle":"","parse-names":false,"suffix":""},{"dropping-particle":"","family":"Lipp","given":"J.","non-dropping-particle":"","parse-names":false,"suffix":""},{"dropping-particle":"","family":"Tartoni","given":"N.","non-dropping-particle":"","parse-names":false,"suffix":""}],"container-title":"Journal of Physics: Conference Series","id":"ITEM-1","issue":"PART 6","issued":{"date-parts":[["2013"]]},"title":"EXCALIBUR: A small-pixel photon counting area detector for coherent X-ray diffraction - Front-end design, fabrication and characterisation","type":"article-journal","volume":"425"},"uris":["http://www.mendeley.com/documents/?uuid=df098df7-13b9-410a-babd-b071d861da95"]}],"mendeley":{"formattedCitation":"[368]","plainTextFormattedCitation":"[368]","previouslyFormattedCitation":"[368]"},"properties":{"noteIndex":0},"schema":"https://github.com/citation-style-language/schema/raw/master/csl-citation.json"}</w:instrText>
      </w:r>
      <w:r>
        <w:fldChar w:fldCharType="separate"/>
      </w:r>
      <w:r w:rsidR="006C586A" w:rsidRPr="006C586A">
        <w:rPr>
          <w:noProof/>
        </w:rPr>
        <w:t>[368]</w:t>
      </w:r>
      <w:r>
        <w:fldChar w:fldCharType="end"/>
      </w:r>
      <w:r>
        <w:t xml:space="preserve">. </w:t>
      </w:r>
      <w:r w:rsidRPr="00345716">
        <w:t>A series of focussing optics were used to optimise the incident beam for transverse coherence</w:t>
      </w:r>
      <w:r>
        <w:t xml:space="preserve">. </w:t>
      </w:r>
      <w:r w:rsidRPr="00345716">
        <w:t>The central stop (CS), Fresnel Zone plate (FZP) and Order Sorting Aperture (OSA) were aligned with respect optimising the sample resolution to the X-ray beam energy.</w:t>
      </w:r>
    </w:p>
    <w:p w14:paraId="484243A3" w14:textId="77777777" w:rsidR="00007F6C" w:rsidRDefault="00007F6C" w:rsidP="00007F6C">
      <w:pPr>
        <w:keepNext/>
        <w:jc w:val="center"/>
      </w:pPr>
      <w:r>
        <w:rPr>
          <w:noProof/>
        </w:rPr>
        <w:drawing>
          <wp:inline distT="0" distB="0" distL="0" distR="0" wp14:anchorId="05A54B8E" wp14:editId="5CAA7407">
            <wp:extent cx="4320000" cy="1480243"/>
            <wp:effectExtent l="0" t="0" r="4445" b="5715"/>
            <wp:docPr id="89" name="Picture 89" descr="A picture containing objec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object, clock&#10;&#10;Description automatically generated"/>
                    <pic:cNvPicPr/>
                  </pic:nvPicPr>
                  <pic:blipFill rotWithShape="1">
                    <a:blip r:embed="rId80" cstate="print">
                      <a:extLst>
                        <a:ext uri="{28A0092B-C50C-407E-A947-70E740481C1C}">
                          <a14:useLocalDpi xmlns:a14="http://schemas.microsoft.com/office/drawing/2010/main" val="0"/>
                        </a:ext>
                      </a:extLst>
                    </a:blip>
                    <a:srcRect r="1285"/>
                    <a:stretch/>
                  </pic:blipFill>
                  <pic:spPr bwMode="auto">
                    <a:xfrm>
                      <a:off x="0" y="0"/>
                      <a:ext cx="4320000" cy="1480243"/>
                    </a:xfrm>
                    <a:prstGeom prst="rect">
                      <a:avLst/>
                    </a:prstGeom>
                    <a:ln>
                      <a:noFill/>
                    </a:ln>
                    <a:extLst>
                      <a:ext uri="{53640926-AAD7-44D8-BBD7-CCE9431645EC}">
                        <a14:shadowObscured xmlns:a14="http://schemas.microsoft.com/office/drawing/2010/main"/>
                      </a:ext>
                    </a:extLst>
                  </pic:spPr>
                </pic:pic>
              </a:graphicData>
            </a:graphic>
          </wp:inline>
        </w:drawing>
      </w:r>
    </w:p>
    <w:p w14:paraId="3129B01D" w14:textId="5830AF5C" w:rsidR="00007F6C" w:rsidRDefault="00007F6C" w:rsidP="00007F6C">
      <w:pPr>
        <w:pStyle w:val="Caption"/>
      </w:pPr>
      <w:bookmarkStart w:id="273" w:name="_Ref49950146"/>
      <w:bookmarkStart w:id="274" w:name="_Toc69114969"/>
      <w:r>
        <w:t>Figure 3.</w:t>
      </w:r>
      <w:r w:rsidR="00B51F53">
        <w:fldChar w:fldCharType="begin"/>
      </w:r>
      <w:r w:rsidR="00B51F53">
        <w:instrText xml:space="preserve"> SEQ Figure \* ARABIC </w:instrText>
      </w:r>
      <w:r w:rsidR="00B51F53">
        <w:fldChar w:fldCharType="separate"/>
      </w:r>
      <w:r w:rsidR="004971C5">
        <w:rPr>
          <w:noProof/>
        </w:rPr>
        <w:t>24</w:t>
      </w:r>
      <w:r w:rsidR="00B51F53">
        <w:rPr>
          <w:noProof/>
        </w:rPr>
        <w:fldChar w:fldCharType="end"/>
      </w:r>
      <w:bookmarkEnd w:id="273"/>
      <w:r>
        <w:t xml:space="preserve">: Diagram of the I13-1 sample to detector set up including focussing optics. Adapted from Sala et al </w:t>
      </w:r>
      <w:r>
        <w:fldChar w:fldCharType="begin" w:fldLock="1"/>
      </w:r>
      <w:r w:rsidR="00D80A5D">
        <w:instrText>ADDIN CSL_CITATION {"citationItems":[{"id":"ITEM-1","itemData":{"DOI":"10.1364/oe.27.000533","ISSN":"1094-4087","PMID":"30696138","abstract":"Ptychographic X-ray computed tomography is a phase-contrast imaging technique capable of retrieving three-dimensional maps of the index of refraction of the imaged volumes with nanometric resolution. Despite its unmatched reach, its application remains prerogative of a limited number of laboratories at synchrotron sources. We present a detailed description of an experimental procedure and a data analysis pipeline which can be both exploited for ptychographic X-ray computed tomography experiments at any high-brilliance X-ray source. These have been validated at the I13-1 Coherence Branchline within the first experiment of its kind to be successfully carried out on a biological sample at Diamond Light Source.","author":[{"dropping-particle":"","family":"Sala","given":"Simone","non-dropping-particle":"","parse-names":false,"suffix":""},{"dropping-particle":"","family":"Batey","given":"Darren J.","non-dropping-particle":"","parse-names":false,"suffix":""},{"dropping-particle":"","family":"Prakash","given":"Anupama","non-dropping-particle":"","parse-names":false,"suffix":""},{"dropping-particle":"","family":"Ahmed","given":"Sharif","non-dropping-particle":"","parse-names":false,"suffix":""},{"dropping-particle":"","family":"Rau","given":"Christoph","non-dropping-particle":"","parse-names":false,"suffix":""},{"dropping-particle":"","family":"Thibault","given":"Pierre","non-dropping-particle":"","parse-names":false,"suffix":""}],"container-title":"Optics Express","id":"ITEM-1","issue":"2","issued":{"date-parts":[["2019"]]},"page":"533","title":"Ptychographic X-ray computed tomography at a high-brilliance X-ray source","type":"article-journal","volume":"27"},"uris":["http://www.mendeley.com/documents/?uuid=07a80d40-762e-4ff5-9db3-b72eef527f7e"]}],"mendeley":{"formattedCitation":"[362]","plainTextFormattedCitation":"[362]","previouslyFormattedCitation":"[362]"},"properties":{"noteIndex":0},"schema":"https://github.com/citation-style-language/schema/raw/master/csl-citation.json"}</w:instrText>
      </w:r>
      <w:r>
        <w:fldChar w:fldCharType="separate"/>
      </w:r>
      <w:r w:rsidR="006C586A" w:rsidRPr="006C586A">
        <w:rPr>
          <w:i w:val="0"/>
          <w:noProof/>
        </w:rPr>
        <w:t>[362]</w:t>
      </w:r>
      <w:bookmarkEnd w:id="274"/>
      <w:r>
        <w:fldChar w:fldCharType="end"/>
      </w:r>
    </w:p>
    <w:p w14:paraId="06E8BB6D" w14:textId="77777777" w:rsidR="00587812" w:rsidRDefault="00007F6C" w:rsidP="00587812">
      <w:pPr>
        <w:jc w:val="both"/>
      </w:pPr>
      <w:r w:rsidRPr="00345716">
        <w:lastRenderedPageBreak/>
        <w:t>Once the alignment of the optical components was complete. A Siemens star pattern was used to trial the beam energy and derive the beam size available at the sample surface. After this step, the final fine tuning for the sample alignment was done.</w:t>
      </w:r>
    </w:p>
    <w:p w14:paraId="5774A3EA" w14:textId="77777777" w:rsidR="00587812" w:rsidRDefault="00007F6C" w:rsidP="00587812">
      <w:pPr>
        <w:pStyle w:val="Heading5"/>
      </w:pPr>
      <w:r>
        <w:t>Sample Alignment</w:t>
      </w:r>
    </w:p>
    <w:p w14:paraId="615E03FB" w14:textId="77777777" w:rsidR="00587812" w:rsidRDefault="00007F6C" w:rsidP="00587812">
      <w:pPr>
        <w:jc w:val="both"/>
      </w:pPr>
      <w:r>
        <w:t>The sample was fixed to the rotation stage using an Allen key. The sample was then raised to a height where the pillar would be in the path of the X-ray beam. This is checked using an optical microscope prior to any use of synchrotron radiation.</w:t>
      </w:r>
    </w:p>
    <w:p w14:paraId="1A45890D" w14:textId="77777777" w:rsidR="004971C5" w:rsidRDefault="00007F6C" w:rsidP="004971C5">
      <w:pPr>
        <w:jc w:val="both"/>
      </w:pPr>
      <w:r>
        <w:t xml:space="preserve">The position of the axis of rotation of the sample is a key to the accurate reconstruction of the 3D microstructure of the phases present in the specimen. Therefore, the sample must be aligned so the region of interest is lined up to the centre of rotation. </w:t>
      </w:r>
    </w:p>
    <w:p w14:paraId="5810BA0E" w14:textId="58828A78" w:rsidR="00007F6C" w:rsidRDefault="00007F6C" w:rsidP="004971C5">
      <w:pPr>
        <w:jc w:val="both"/>
      </w:pPr>
      <w:r>
        <w:fldChar w:fldCharType="begin"/>
      </w:r>
      <w:r>
        <w:instrText xml:space="preserve"> REF _Ref37235203 \h </w:instrText>
      </w:r>
      <w:r>
        <w:fldChar w:fldCharType="separate"/>
      </w:r>
      <w:r w:rsidR="004971C5">
        <w:t>Figure 3.</w:t>
      </w:r>
      <w:r w:rsidR="004971C5">
        <w:rPr>
          <w:noProof/>
        </w:rPr>
        <w:t>25</w:t>
      </w:r>
      <w:r>
        <w:fldChar w:fldCharType="end"/>
      </w:r>
      <w:r>
        <w:t xml:space="preserve"> below shows an example of the field of view present in ptychographic scans like those found in</w:t>
      </w:r>
      <w:r w:rsidR="004971C5">
        <w:t xml:space="preserve"> </w:t>
      </w:r>
      <w:r w:rsidR="004971C5">
        <w:fldChar w:fldCharType="begin"/>
      </w:r>
      <w:r w:rsidR="004971C5">
        <w:instrText xml:space="preserve"> REF _Ref68867192 \h </w:instrText>
      </w:r>
      <w:r w:rsidR="004971C5">
        <w:fldChar w:fldCharType="separate"/>
      </w:r>
      <w:r w:rsidR="004971C5">
        <w:t>Figure 3.</w:t>
      </w:r>
      <w:r w:rsidR="004971C5">
        <w:rPr>
          <w:noProof/>
        </w:rPr>
        <w:t>26</w:t>
      </w:r>
      <w:r w:rsidR="004971C5">
        <w:fldChar w:fldCharType="end"/>
      </w:r>
      <w:r>
        <w:t>. The I13-1 beamline utilises a series of cameras and detectors to monitor the position of the sample.</w:t>
      </w:r>
    </w:p>
    <w:p w14:paraId="14BE8C6C" w14:textId="77777777" w:rsidR="00007F6C" w:rsidRDefault="00007F6C" w:rsidP="00587812">
      <w:pPr>
        <w:keepNext/>
        <w:jc w:val="center"/>
      </w:pPr>
      <w:r>
        <w:rPr>
          <w:noProof/>
        </w:rPr>
        <w:drawing>
          <wp:inline distT="0" distB="0" distL="0" distR="0" wp14:anchorId="6E79E1DA" wp14:editId="4B13381C">
            <wp:extent cx="4320000" cy="1870915"/>
            <wp:effectExtent l="0" t="0" r="4445" b="0"/>
            <wp:docPr id="90" name="Picture 90" descr="A picture containing colorful, red, hor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eam alignment Diagram 08.04.2020.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320000" cy="1870915"/>
                    </a:xfrm>
                    <a:prstGeom prst="rect">
                      <a:avLst/>
                    </a:prstGeom>
                  </pic:spPr>
                </pic:pic>
              </a:graphicData>
            </a:graphic>
          </wp:inline>
        </w:drawing>
      </w:r>
    </w:p>
    <w:p w14:paraId="6D1DBCD6" w14:textId="5FD63514" w:rsidR="00007F6C" w:rsidRDefault="00007F6C" w:rsidP="00007F6C">
      <w:pPr>
        <w:pStyle w:val="Caption"/>
        <w:rPr>
          <w:rFonts w:cs="Arial"/>
        </w:rPr>
      </w:pPr>
      <w:bookmarkStart w:id="275" w:name="_Ref37235203"/>
      <w:bookmarkStart w:id="276" w:name="_Toc69114970"/>
      <w:r>
        <w:t>Figure 3.</w:t>
      </w:r>
      <w:r w:rsidR="00B51F53">
        <w:fldChar w:fldCharType="begin"/>
      </w:r>
      <w:r w:rsidR="00B51F53">
        <w:instrText xml:space="preserve"> SEQ Figure \* ARABIC </w:instrText>
      </w:r>
      <w:r w:rsidR="00B51F53">
        <w:fldChar w:fldCharType="separate"/>
      </w:r>
      <w:r w:rsidR="004971C5">
        <w:rPr>
          <w:noProof/>
        </w:rPr>
        <w:t>25</w:t>
      </w:r>
      <w:r w:rsidR="00B51F53">
        <w:rPr>
          <w:noProof/>
        </w:rPr>
        <w:fldChar w:fldCharType="end"/>
      </w:r>
      <w:bookmarkEnd w:id="275"/>
      <w:r>
        <w:t>: Figure showing the field of view of a sample with rotations around the x axis. The incident beam is approaching via the y axis.</w:t>
      </w:r>
      <w:bookmarkEnd w:id="276"/>
    </w:p>
    <w:p w14:paraId="28E24106" w14:textId="5145B42F" w:rsidR="00007F6C" w:rsidRDefault="00007F6C" w:rsidP="00007F6C">
      <w:pPr>
        <w:jc w:val="both"/>
      </w:pPr>
      <w:r>
        <w:t>For the ptychographic scans of the infiltrated Ni-YSZ samples the pillars were moved so that the outer   edges of the pillars remained in the field of view. This ensured that the pillar itself was aligned to the centre of rotation for the rotational stage (</w:t>
      </w:r>
      <w:r w:rsidR="004971C5">
        <w:fldChar w:fldCharType="begin"/>
      </w:r>
      <w:r w:rsidR="004971C5">
        <w:instrText xml:space="preserve"> REF _Ref68867192 \h </w:instrText>
      </w:r>
      <w:r w:rsidR="004971C5">
        <w:fldChar w:fldCharType="separate"/>
      </w:r>
      <w:r w:rsidR="004971C5">
        <w:t>Figure 3.</w:t>
      </w:r>
      <w:r w:rsidR="004971C5">
        <w:rPr>
          <w:noProof/>
        </w:rPr>
        <w:t>26</w:t>
      </w:r>
      <w:r w:rsidR="004971C5">
        <w:fldChar w:fldCharType="end"/>
      </w:r>
      <w:r>
        <w:t xml:space="preserve">). </w:t>
      </w:r>
    </w:p>
    <w:p w14:paraId="5A526E41" w14:textId="7C3855E2" w:rsidR="004971C5" w:rsidRDefault="004971C5" w:rsidP="004971C5">
      <w:pPr>
        <w:jc w:val="center"/>
      </w:pPr>
      <w:r>
        <w:rPr>
          <w:noProof/>
        </w:rPr>
        <w:drawing>
          <wp:inline distT="0" distB="0" distL="0" distR="0" wp14:anchorId="1CCB879E" wp14:editId="7A6EB07A">
            <wp:extent cx="5731510" cy="1170940"/>
            <wp:effectExtent l="0" t="0" r="2540" b="0"/>
            <wp:docPr id="471" name="Picture 471"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descr="A picture containing website&#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31510" cy="1170940"/>
                    </a:xfrm>
                    <a:prstGeom prst="rect">
                      <a:avLst/>
                    </a:prstGeom>
                  </pic:spPr>
                </pic:pic>
              </a:graphicData>
            </a:graphic>
          </wp:inline>
        </w:drawing>
      </w:r>
    </w:p>
    <w:p w14:paraId="5AE9C58B" w14:textId="3B60C470" w:rsidR="004971C5" w:rsidRDefault="004971C5" w:rsidP="004971C5">
      <w:pPr>
        <w:pStyle w:val="Caption"/>
        <w:keepNext/>
      </w:pPr>
      <w:bookmarkStart w:id="277" w:name="_Ref68867192"/>
      <w:bookmarkStart w:id="278" w:name="_Toc69114971"/>
      <w:r>
        <w:t>Figure 3.</w:t>
      </w:r>
      <w:r w:rsidR="00B51F53">
        <w:fldChar w:fldCharType="begin"/>
      </w:r>
      <w:r w:rsidR="00B51F53">
        <w:instrText xml:space="preserve"> SEQ Figure \* ARABIC </w:instrText>
      </w:r>
      <w:r w:rsidR="00B51F53">
        <w:fldChar w:fldCharType="separate"/>
      </w:r>
      <w:r>
        <w:rPr>
          <w:noProof/>
        </w:rPr>
        <w:t>26</w:t>
      </w:r>
      <w:r w:rsidR="00B51F53">
        <w:rPr>
          <w:noProof/>
        </w:rPr>
        <w:fldChar w:fldCharType="end"/>
      </w:r>
      <w:bookmarkEnd w:id="277"/>
      <w:r>
        <w:t>: Figure showing the initial ptychography scans of a milled infiltrated Ni-YSZ pillar sample.</w:t>
      </w:r>
      <w:bookmarkEnd w:id="278"/>
    </w:p>
    <w:p w14:paraId="1843C91F" w14:textId="02013AF5" w:rsidR="004971C5" w:rsidRDefault="004971C5" w:rsidP="004971C5">
      <w:pPr>
        <w:pStyle w:val="Caption"/>
        <w:keepNext/>
      </w:pPr>
      <w:r>
        <w:t xml:space="preserve"> The initial scans were 32 </w:t>
      </w:r>
      <w:r>
        <w:rPr>
          <w:rFonts w:cstheme="minorHAnsi"/>
        </w:rPr>
        <w:t>µ</w:t>
      </w:r>
      <w:r>
        <w:t xml:space="preserve">m x 16 </w:t>
      </w:r>
      <w:r>
        <w:rPr>
          <w:rFonts w:cstheme="minorHAnsi"/>
        </w:rPr>
        <w:t>µ</w:t>
      </w:r>
      <w:r>
        <w:t xml:space="preserve">m in </w:t>
      </w:r>
      <w:proofErr w:type="gramStart"/>
      <w:r>
        <w:t>size</w:t>
      </w:r>
      <w:proofErr w:type="gramEnd"/>
    </w:p>
    <w:p w14:paraId="0AE55096" w14:textId="65E6DE4A" w:rsidR="00007F6C" w:rsidRDefault="00007F6C" w:rsidP="00007F6C">
      <w:pPr>
        <w:jc w:val="both"/>
      </w:pPr>
      <w:r>
        <w:t xml:space="preserve">Once the sample is alignment was deemed suitable, the experimental beam hutch was opened and initial 32 µm x 16 µm scans were taken at -90°, 0° and 90° to ensure that the entire sample remains in the scan </w:t>
      </w:r>
      <w:r w:rsidR="008675DD">
        <w:t>(</w:t>
      </w:r>
      <w:r w:rsidR="008675DD">
        <w:fldChar w:fldCharType="begin"/>
      </w:r>
      <w:r w:rsidR="008675DD">
        <w:instrText xml:space="preserve"> REF _Ref68867192 \h </w:instrText>
      </w:r>
      <w:r w:rsidR="008675DD">
        <w:fldChar w:fldCharType="separate"/>
      </w:r>
      <w:r w:rsidR="008675DD">
        <w:t>Figure 3.</w:t>
      </w:r>
      <w:r w:rsidR="008675DD">
        <w:rPr>
          <w:noProof/>
        </w:rPr>
        <w:t>26</w:t>
      </w:r>
      <w:r w:rsidR="008675DD">
        <w:fldChar w:fldCharType="end"/>
      </w:r>
      <w:r w:rsidR="008675DD">
        <w:t xml:space="preserve">). </w:t>
      </w:r>
      <w:r>
        <w:t>Positional adjustments are made in the prior to long term scanning. These scans are checked for to ensure that the correct region of interest is centred.</w:t>
      </w:r>
    </w:p>
    <w:p w14:paraId="1A512FF5" w14:textId="08C3FE75" w:rsidR="00007F6C" w:rsidRDefault="00007F6C" w:rsidP="00007F6C">
      <w:pPr>
        <w:jc w:val="both"/>
      </w:pPr>
      <w:r>
        <w:t xml:space="preserve">To increase the amount of sample present in the scan, the x dimensions of the scan are reduced. For a tomographic raster scan the final scan size was taken (25 µm x 10 µm scans) </w:t>
      </w:r>
      <w:r>
        <w:fldChar w:fldCharType="begin" w:fldLock="1"/>
      </w:r>
      <w:r w:rsidR="00D80A5D">
        <w:instrText>ADDIN CSL_CITATION {"citationItems":[{"id":"ITEM-1","itemData":{"DOI":"10.1364/oe.27.000533","ISSN":"1094-4087","PMID":"30696138","abstract":"Ptychographic X-ray computed tomography is a phase-contrast imaging technique capable of retrieving three-dimensional maps of the index of refraction of the imaged volumes with nanometric resolution. Despite its unmatched reach, its application remains prerogative of a limited number of laboratories at synchrotron sources. We present a detailed description of an experimental procedure and a data analysis pipeline which can be both exploited for ptychographic X-ray computed tomography experiments at any high-brilliance X-ray source. These have been validated at the I13-1 Coherence Branchline within the first experiment of its kind to be successfully carried out on a biological sample at Diamond Light Source.","author":[{"dropping-particle":"","family":"Sala","given":"Simone","non-dropping-particle":"","parse-names":false,"suffix":""},{"dropping-particle":"","family":"Batey","given":"Darren J.","non-dropping-particle":"","parse-names":false,"suffix":""},{"dropping-particle":"","family":"Prakash","given":"Anupama","non-dropping-particle":"","parse-names":false,"suffix":""},{"dropping-particle":"","family":"Ahmed","given":"Sharif","non-dropping-particle":"","parse-names":false,"suffix":""},{"dropping-particle":"","family":"Rau","given":"Christoph","non-dropping-particle":"","parse-names":false,"suffix":""},{"dropping-particle":"","family":"Thibault","given":"Pierre","non-dropping-particle":"","parse-names":false,"suffix":""}],"container-title":"Optics Express","id":"ITEM-1","issue":"2","issued":{"date-parts":[["2019"]]},"page":"533","title":"Ptychographic X-ray computed tomography at a high-brilliance X-ray source","type":"article-journal","volume":"27"},"uris":["http://www.mendeley.com/documents/?uuid=07a80d40-762e-4ff5-9db3-b72eef527f7e"]},{"id":"ITEM-2","itemData":{"DOI":"10.1107/S1600577518007221","ISSN":"16005775","PMID":"29979184","abstract":"The success of ptychography and other imaging experiments at third-generation X-ray sources is apparent from their increasingly widespread application and the improving quality of the images they produce both for resolution and contrast and in terms of relaxation of experimental constraints. The wider availability of highly coherent X-rays stimulates the development of several complementary techniques which have seen limited mutual integration in recent years. This paper presents a framework in which some of the established imaging techniques – with particular regard for ptychography – are flexibly applied to tackle the variable requirements occurring at typical synchrotron experiments. In such a framework one can obtain low-resolution images of whole samples and smoothly zoom in on specific regions of interest as they are revealed by switching to a higher-resolution imaging mode. The techniques involved range from full-field microscopy, to reach the widest fields of view (&gt;mm), to ptychography, to achieve the highest resolution (&lt;100 nm), and have been implemented at the I13 Coherence Branchline at Diamond Light Source.","author":[{"dropping-particle":"","family":"Sala","given":"Simone","non-dropping-particle":"","parse-names":false,"suffix":""},{"dropping-particle":"","family":"Kuppili","given":"Venkata S.C.","non-dropping-particle":"","parse-names":false,"suffix":""},{"dropping-particle":"","family":"Chalkidis","given":"Stefanos","non-dropping-particle":"","parse-names":false,"suffix":""},{"dropping-particle":"","family":"Batey","given":"Darren J.","non-dropping-particle":"","parse-names":false,"suffix":""},{"dropping-particle":"","family":"Shi","given":"Xiaowen","non-dropping-particle":"","parse-names":false,"suffix":""},{"dropping-particle":"","family":"Rau","given":"Christoph","non-dropping-particle":"","parse-names":false,"suffix":""},{"dropping-particle":"","family":"Thibault","given":"Pierre","non-dropping-particle":"","parse-names":false,"suffix":""}],"container-title":"Journal of Synchrotron Radiation","id":"ITEM-2","issue":"4","issued":{"date-parts":[["2018"]]},"page":"1214-1221","title":"Multiscale X-ray imaging using ptychography","type":"article-journal","volume":"25"},"uris":["http://www.mendeley.com/documents/?uuid=4479cbe8-1b0a-4fee-8373-f05ed9b503a6"]}],"mendeley":{"formattedCitation":"[362], [369]","plainTextFormattedCitation":"[362], [369]","previouslyFormattedCitation":"[362], [369]"},"properties":{"noteIndex":0},"schema":"https://github.com/citation-style-language/schema/raw/master/csl-citation.json"}</w:instrText>
      </w:r>
      <w:r>
        <w:fldChar w:fldCharType="separate"/>
      </w:r>
      <w:r w:rsidR="006C586A" w:rsidRPr="006C586A">
        <w:rPr>
          <w:noProof/>
        </w:rPr>
        <w:t>[362], [369]</w:t>
      </w:r>
      <w:r>
        <w:fldChar w:fldCharType="end"/>
      </w:r>
      <w:r>
        <w:t>. A total of 800 diffractograms were taken over a 180° rotation. The PXCT scans took 4-6 h to complete.</w:t>
      </w:r>
    </w:p>
    <w:p w14:paraId="37A99CF3" w14:textId="77777777" w:rsidR="00007F6C" w:rsidRDefault="00007F6C" w:rsidP="00007F6C">
      <w:pPr>
        <w:pStyle w:val="Heading4"/>
      </w:pPr>
      <w:r>
        <w:lastRenderedPageBreak/>
        <w:t>3.3.7.2</w:t>
      </w:r>
      <w:r>
        <w:tab/>
        <w:t>Sample Ageing</w:t>
      </w:r>
    </w:p>
    <w:p w14:paraId="00F6F30B" w14:textId="77777777" w:rsidR="00007F6C" w:rsidRDefault="00007F6C" w:rsidP="00007F6C">
      <w:pPr>
        <w:jc w:val="both"/>
      </w:pPr>
      <w:r w:rsidRPr="00AA2EB8">
        <w:t>A pyrophyllite piece was designed using AutoCAD to house the fine pillar sample. The pyrophyllite sample tray was machined using a CNC machine and a pillar drill. The ceramic was fired using a temperature o</w:t>
      </w:r>
      <w:r w:rsidRPr="002F4E88">
        <w:t>f 1</w:t>
      </w:r>
      <w:r>
        <w:t>1</w:t>
      </w:r>
      <w:r w:rsidRPr="002F4E88">
        <w:t xml:space="preserve">00 </w:t>
      </w:r>
      <w:r w:rsidRPr="00AA2EB8">
        <w:rPr>
          <w:rFonts w:cstheme="minorHAnsi"/>
        </w:rPr>
        <w:t>°</w:t>
      </w:r>
      <w:r w:rsidRPr="00AA2EB8">
        <w:t>C for</w:t>
      </w:r>
      <w:r w:rsidRPr="00394A5A">
        <w:rPr>
          <w:color w:val="FFC000"/>
        </w:rPr>
        <w:t xml:space="preserve"> </w:t>
      </w:r>
      <w:r w:rsidRPr="002F4E88">
        <w:t>2</w:t>
      </w:r>
      <w:r w:rsidRPr="00394A5A">
        <w:rPr>
          <w:color w:val="FFC000"/>
        </w:rPr>
        <w:t xml:space="preserve"> </w:t>
      </w:r>
      <w:r w:rsidRPr="00AA2EB8">
        <w:t>hours.</w:t>
      </w:r>
    </w:p>
    <w:p w14:paraId="1CD69B87" w14:textId="1C4936DE" w:rsidR="00007F6C" w:rsidRDefault="00007F6C" w:rsidP="00007F6C">
      <w:pPr>
        <w:jc w:val="both"/>
      </w:pPr>
      <w:r>
        <w:t xml:space="preserve">An offline ageing procedure was performed on the fine Ni-YSZ pillar samples. being </w:t>
      </w:r>
      <w:proofErr w:type="gramStart"/>
      <w:r>
        <w:t>The</w:t>
      </w:r>
      <w:proofErr w:type="gramEnd"/>
      <w:r>
        <w:t xml:space="preserve"> fine pillar sample was loaded into the sample tray and inserted into the tip of the second glass piece (</w:t>
      </w:r>
      <w:r>
        <w:fldChar w:fldCharType="begin"/>
      </w:r>
      <w:r>
        <w:instrText xml:space="preserve"> REF _Ref40449474 \h  \* MERGEFORMAT </w:instrText>
      </w:r>
      <w:r>
        <w:fldChar w:fldCharType="separate"/>
      </w:r>
      <w:r w:rsidR="00271881">
        <w:t xml:space="preserve">Figure </w:t>
      </w:r>
      <w:r w:rsidR="00271881">
        <w:rPr>
          <w:noProof/>
        </w:rPr>
        <w:t>3.27</w:t>
      </w:r>
      <w:r>
        <w:fldChar w:fldCharType="end"/>
      </w:r>
      <w:r>
        <w:t>). The glass heating rig was sealed using and the chamber was filled with 10</w:t>
      </w:r>
      <w:r w:rsidR="00186183">
        <w:t xml:space="preserve"> </w:t>
      </w:r>
      <w:r>
        <w:t>% H</w:t>
      </w:r>
      <w:r>
        <w:rPr>
          <w:vertAlign w:val="subscript"/>
        </w:rPr>
        <w:t>2</w:t>
      </w:r>
      <w:r>
        <w:t>/N</w:t>
      </w:r>
      <w:r>
        <w:rPr>
          <w:vertAlign w:val="subscript"/>
        </w:rPr>
        <w:t>2</w:t>
      </w:r>
      <w:r>
        <w:t xml:space="preserve"> gas. After leak testing the end of the tube was heated to 800 </w:t>
      </w:r>
      <w:r>
        <w:rPr>
          <w:rFonts w:cstheme="minorHAnsi"/>
        </w:rPr>
        <w:t>°</w:t>
      </w:r>
      <w:r>
        <w:t xml:space="preserve">C in an Elite tube furnace. This sample was heated for an hour prior to the system being cooled to room temperature at 10 </w:t>
      </w:r>
      <w:r>
        <w:rPr>
          <w:rFonts w:cstheme="minorHAnsi"/>
        </w:rPr>
        <w:t>°</w:t>
      </w:r>
      <w:r>
        <w:t>Cmin</w:t>
      </w:r>
      <w:r w:rsidR="00186183">
        <w:rPr>
          <w:vertAlign w:val="superscript"/>
        </w:rPr>
        <w:t>-1</w:t>
      </w:r>
      <w:r>
        <w:t xml:space="preserve">. The temperature was monitored during the heating process using a </w:t>
      </w:r>
      <w:proofErr w:type="spellStart"/>
      <w:r>
        <w:t>Picolog</w:t>
      </w:r>
      <w:proofErr w:type="spellEnd"/>
      <w:r>
        <w:t xml:space="preserve"> TC-08 datalogger with K-type thermocouple. </w:t>
      </w:r>
    </w:p>
    <w:p w14:paraId="70195C2A" w14:textId="77777777" w:rsidR="00007F6C" w:rsidRDefault="00007F6C" w:rsidP="00007F6C">
      <w:pPr>
        <w:keepNext/>
        <w:jc w:val="center"/>
      </w:pPr>
      <w:r>
        <w:rPr>
          <w:noProof/>
        </w:rPr>
        <w:drawing>
          <wp:inline distT="0" distB="0" distL="0" distR="0" wp14:anchorId="57E159E0" wp14:editId="7B41C887">
            <wp:extent cx="5400000" cy="2730512"/>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LS Gas apparatus.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400000" cy="2730512"/>
                    </a:xfrm>
                    <a:prstGeom prst="rect">
                      <a:avLst/>
                    </a:prstGeom>
                  </pic:spPr>
                </pic:pic>
              </a:graphicData>
            </a:graphic>
          </wp:inline>
        </w:drawing>
      </w:r>
    </w:p>
    <w:p w14:paraId="17F19F99" w14:textId="089FC0FA" w:rsidR="00007F6C" w:rsidRPr="00240BB6" w:rsidRDefault="00007F6C" w:rsidP="00007F6C">
      <w:pPr>
        <w:pStyle w:val="Caption"/>
      </w:pPr>
      <w:bookmarkStart w:id="279" w:name="_Ref40449474"/>
      <w:bookmarkStart w:id="280" w:name="_Toc69114972"/>
      <w:r>
        <w:t>Figure 3.</w:t>
      </w:r>
      <w:r w:rsidR="00B51F53">
        <w:fldChar w:fldCharType="begin"/>
      </w:r>
      <w:r w:rsidR="00B51F53">
        <w:instrText xml:space="preserve"> SEQ</w:instrText>
      </w:r>
      <w:r w:rsidR="00B51F53">
        <w:instrText xml:space="preserve"> Figure \* ARABIC </w:instrText>
      </w:r>
      <w:r w:rsidR="00B51F53">
        <w:fldChar w:fldCharType="separate"/>
      </w:r>
      <w:r w:rsidR="00271881">
        <w:rPr>
          <w:noProof/>
        </w:rPr>
        <w:t>27</w:t>
      </w:r>
      <w:r w:rsidR="00B51F53">
        <w:rPr>
          <w:noProof/>
        </w:rPr>
        <w:fldChar w:fldCharType="end"/>
      </w:r>
      <w:bookmarkEnd w:id="279"/>
      <w:r>
        <w:t>: Diagram of the heating apparatus used to age the Ni-YSZ fine pillar samples. The gas atmosphere was humidified 10</w:t>
      </w:r>
      <w:r w:rsidR="00186183">
        <w:t xml:space="preserve"> </w:t>
      </w:r>
      <w:r>
        <w:t>% H</w:t>
      </w:r>
      <w:r>
        <w:rPr>
          <w:vertAlign w:val="subscript"/>
        </w:rPr>
        <w:t>2</w:t>
      </w:r>
      <w:r>
        <w:t>/N</w:t>
      </w:r>
      <w:r>
        <w:rPr>
          <w:vertAlign w:val="subscript"/>
        </w:rPr>
        <w:t>2</w:t>
      </w:r>
      <w:r>
        <w:t xml:space="preserve"> at with an inlet flow rate of </w:t>
      </w:r>
      <w:r w:rsidR="004D4DD8">
        <w:t>5</w:t>
      </w:r>
      <w:r w:rsidR="00E32C9D">
        <w:t xml:space="preserve"> </w:t>
      </w:r>
      <w:r>
        <w:t>mLmin</w:t>
      </w:r>
      <w:r w:rsidR="00E32C9D">
        <w:rPr>
          <w:vertAlign w:val="superscript"/>
        </w:rPr>
        <w:t>-1</w:t>
      </w:r>
      <w:r>
        <w:t>. The apparatus was mounted in a tube furnace via clamps and the entire apparatus was housed in a fume cupboard.</w:t>
      </w:r>
      <w:bookmarkEnd w:id="280"/>
    </w:p>
    <w:p w14:paraId="2B8474D8" w14:textId="77777777" w:rsidR="00007F6C" w:rsidRDefault="00007F6C" w:rsidP="00007F6C">
      <w:pPr>
        <w:jc w:val="both"/>
      </w:pPr>
      <w:r>
        <w:t>After cooling the pillar sample was remounted into the sample holders detailed in Section 3.1.4. For further ptychographic scans. This scan and heating routine were repeated to enable the imaging of detailed ageing routines of the fuel electrode samples to be performed. This routine was used to track via snapshotting the evolution of the phases in the infiltrated Ni-YSZ symmetrical cell during ageing.</w:t>
      </w:r>
    </w:p>
    <w:p w14:paraId="13834828" w14:textId="77777777" w:rsidR="00007F6C" w:rsidRDefault="00007F6C" w:rsidP="00007F6C">
      <w:pPr>
        <w:pStyle w:val="Heading4"/>
      </w:pPr>
      <w:r>
        <w:t>3.3.7.3</w:t>
      </w:r>
      <w:r>
        <w:tab/>
        <w:t>Data processing and manipulation</w:t>
      </w:r>
    </w:p>
    <w:p w14:paraId="2E73D729" w14:textId="1F4CD5AE" w:rsidR="00007F6C" w:rsidRDefault="00007F6C" w:rsidP="00007F6C">
      <w:pPr>
        <w:tabs>
          <w:tab w:val="left" w:pos="2256"/>
        </w:tabs>
        <w:jc w:val="both"/>
        <w:rPr>
          <w:bCs/>
        </w:rPr>
      </w:pPr>
      <w:r w:rsidRPr="008A34B5">
        <w:rPr>
          <w:bCs/>
        </w:rPr>
        <w:t xml:space="preserve">Ptychographic reconstructions were performed to convert the raw ptychogram </w:t>
      </w:r>
      <w:r>
        <w:rPr>
          <w:bCs/>
        </w:rPr>
        <w:t>to a tomogram suitable for phase segmentation in Avizo Lite (FEI). The data analysis was split using into two different procedures: ptychographic and tomographic (</w:t>
      </w:r>
      <w:r>
        <w:rPr>
          <w:bCs/>
        </w:rPr>
        <w:fldChar w:fldCharType="begin"/>
      </w:r>
      <w:r>
        <w:rPr>
          <w:bCs/>
        </w:rPr>
        <w:instrText xml:space="preserve"> REF _Ref49265307 \h  \* MERGEFORMAT </w:instrText>
      </w:r>
      <w:r>
        <w:rPr>
          <w:bCs/>
        </w:rPr>
      </w:r>
      <w:r>
        <w:rPr>
          <w:bCs/>
        </w:rPr>
        <w:fldChar w:fldCharType="separate"/>
      </w:r>
      <w:r w:rsidR="00B636B3">
        <w:t xml:space="preserve">Figure </w:t>
      </w:r>
      <w:r w:rsidR="00B636B3">
        <w:rPr>
          <w:noProof/>
        </w:rPr>
        <w:t>3.28</w:t>
      </w:r>
      <w:r>
        <w:rPr>
          <w:bCs/>
        </w:rPr>
        <w:fldChar w:fldCharType="end"/>
      </w:r>
      <w:r>
        <w:rPr>
          <w:bCs/>
        </w:rPr>
        <w:t>).</w:t>
      </w:r>
    </w:p>
    <w:p w14:paraId="2D121550" w14:textId="77777777" w:rsidR="00007F6C" w:rsidRDefault="00007F6C" w:rsidP="00007F6C">
      <w:pPr>
        <w:keepNext/>
        <w:tabs>
          <w:tab w:val="left" w:pos="2256"/>
        </w:tabs>
        <w:jc w:val="center"/>
      </w:pPr>
      <w:r>
        <w:rPr>
          <w:bCs/>
          <w:noProof/>
        </w:rPr>
        <w:drawing>
          <wp:inline distT="0" distB="0" distL="0" distR="0" wp14:anchorId="25B6E14D" wp14:editId="73EDFCFE">
            <wp:extent cx="5731510" cy="909955"/>
            <wp:effectExtent l="0" t="0" r="2540" b="4445"/>
            <wp:docPr id="68" name="Picture 68"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close up of a sign&#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31510" cy="909955"/>
                    </a:xfrm>
                    <a:prstGeom prst="rect">
                      <a:avLst/>
                    </a:prstGeom>
                  </pic:spPr>
                </pic:pic>
              </a:graphicData>
            </a:graphic>
          </wp:inline>
        </w:drawing>
      </w:r>
    </w:p>
    <w:p w14:paraId="29C87A9A" w14:textId="1CDB86F1" w:rsidR="00007F6C" w:rsidRDefault="00007F6C" w:rsidP="00007F6C">
      <w:pPr>
        <w:pStyle w:val="Caption"/>
      </w:pPr>
      <w:bookmarkStart w:id="281" w:name="_Ref49265307"/>
      <w:bookmarkStart w:id="282" w:name="_Toc69114973"/>
      <w:r>
        <w:t>Figure 3.</w:t>
      </w:r>
      <w:r w:rsidR="00B51F53">
        <w:fldChar w:fldCharType="begin"/>
      </w:r>
      <w:r w:rsidR="00B51F53">
        <w:instrText xml:space="preserve"> SEQ Figure \* ARABIC </w:instrText>
      </w:r>
      <w:r w:rsidR="00B51F53">
        <w:fldChar w:fldCharType="separate"/>
      </w:r>
      <w:r w:rsidR="00B636B3">
        <w:rPr>
          <w:noProof/>
        </w:rPr>
        <w:t>28</w:t>
      </w:r>
      <w:r w:rsidR="00B51F53">
        <w:rPr>
          <w:noProof/>
        </w:rPr>
        <w:fldChar w:fldCharType="end"/>
      </w:r>
      <w:bookmarkEnd w:id="281"/>
      <w:r>
        <w:t xml:space="preserve">: Breakdown of the two workflows required to convert raw PXCT data to 3D tomographic renderings. The workflow moved from </w:t>
      </w:r>
      <w:r w:rsidR="00182ACD">
        <w:t>ptychographic</w:t>
      </w:r>
      <w:r>
        <w:t xml:space="preserve"> to tomographic during data processing and </w:t>
      </w:r>
      <w:proofErr w:type="gramStart"/>
      <w:r>
        <w:t>analysis</w:t>
      </w:r>
      <w:bookmarkEnd w:id="282"/>
      <w:proofErr w:type="gramEnd"/>
    </w:p>
    <w:p w14:paraId="0B1425F0" w14:textId="77777777" w:rsidR="00007F6C" w:rsidRDefault="00007F6C" w:rsidP="00007F6C">
      <w:pPr>
        <w:tabs>
          <w:tab w:val="left" w:pos="2256"/>
        </w:tabs>
        <w:jc w:val="both"/>
        <w:rPr>
          <w:bCs/>
        </w:rPr>
      </w:pPr>
      <w:r>
        <w:rPr>
          <w:bCs/>
        </w:rPr>
        <w:t xml:space="preserve">The ptychographic data workflow is primarily focussed on the producing 2D projections of the transmission function of the dataset for each individual scan file. These projections were collected for </w:t>
      </w:r>
      <w:r>
        <w:rPr>
          <w:bCs/>
        </w:rPr>
        <w:lastRenderedPageBreak/>
        <w:t>each angle of rotation in the scan. After alignment and back filtered correction are performed these files can be stacked to form a 3D dataset and resulting tomogram.</w:t>
      </w:r>
    </w:p>
    <w:p w14:paraId="1F002050" w14:textId="5782E77E" w:rsidR="00007F6C" w:rsidRDefault="00007F6C" w:rsidP="00007F6C">
      <w:pPr>
        <w:tabs>
          <w:tab w:val="left" w:pos="2256"/>
        </w:tabs>
        <w:jc w:val="both"/>
        <w:rPr>
          <w:bCs/>
        </w:rPr>
      </w:pPr>
      <w:r>
        <w:rPr>
          <w:bCs/>
        </w:rPr>
        <w:t>The diffraction patterns of the samples were trimmed to 700 x 700 pixels which combined with the rotation morphology of the dataset produced a reconstructed pixel size of 36 nm. Regions of zero phase shift (</w:t>
      </w:r>
      <w:proofErr w:type="gramStart"/>
      <w:r>
        <w:rPr>
          <w:bCs/>
        </w:rPr>
        <w:t>i.e.</w:t>
      </w:r>
      <w:proofErr w:type="gramEnd"/>
      <w:r>
        <w:rPr>
          <w:bCs/>
        </w:rPr>
        <w:t xml:space="preserve"> ambient air around the sample) were used to identify and remove phase offsets present in the data. After phase retrieval was completed the phase unwrapping was performed using the DLS DAWN (Data Analysis </w:t>
      </w:r>
      <w:proofErr w:type="spellStart"/>
      <w:r>
        <w:rPr>
          <w:bCs/>
        </w:rPr>
        <w:t>WorkbeNch</w:t>
      </w:r>
      <w:proofErr w:type="spellEnd"/>
      <w:r>
        <w:rPr>
          <w:bCs/>
        </w:rPr>
        <w:t xml:space="preserve">, DLS I13-1) </w:t>
      </w:r>
      <w:r>
        <w:rPr>
          <w:bCs/>
        </w:rPr>
        <w:fldChar w:fldCharType="begin" w:fldLock="1"/>
      </w:r>
      <w:r w:rsidR="00D80A5D">
        <w:rPr>
          <w:bCs/>
        </w:rPr>
        <w:instrText>ADDIN CSL_CITATION {"citationItems":[{"id":"ITEM-1","itemData":{"DOI":"10.1107/S1600577515002283","ISSN":"16005775","abstract":"Synchrotron light source facilities worldwide generate terabytes of data in numerous incompatible data formats from a wide range of experiment types. The Data Analysis WorkbeNch (DAWN) was developed to address the challenge of providing a single visualization and analysis platform for data from any synchrotron experiment (including single-crystal and powder diffraction, tomography and spectroscopy), whilst also being sufficiently extensible for new specific use case analysis environments to be incorporated (e.g. ARPES, PEEM). In this work, the history and current state of DAWN are presented, with two case studies to demonstrate specific functionality. The first is an example of a data processing and reduction problem using the generic tools, whilst the second shows how these tools can be targeted to a specific scientific area.","author":[{"dropping-particle":"","family":"Basham","given":"Mark","non-dropping-particle":"","parse-names":false,"suffix":""},{"dropping-particle":"","family":"Filik","given":"Jacob","non-dropping-particle":"","parse-names":false,"suffix":""},{"dropping-particle":"","family":"Wharmby","given":"Michael T.","non-dropping-particle":"","parse-names":false,"suffix":""},{"dropping-particle":"","family":"Chang","given":"Peter C.Y.","non-dropping-particle":"","parse-names":false,"suffix":""},{"dropping-particle":"","family":"Kassaby","given":"Baha","non-dropping-particle":"El","parse-names":false,"suffix":""},{"dropping-particle":"","family":"Gerring","given":"Matthew","non-dropping-particle":"","parse-names":false,"suffix":""},{"dropping-particle":"","family":"Aishima","given":"Jun","non-dropping-particle":"","parse-names":false,"suffix":""},{"dropping-particle":"","family":"Levik","given":"Karl","non-dropping-particle":"","parse-names":false,"suffix":""},{"dropping-particle":"","family":"Pulford","given":"Bill C.A.","non-dropping-particle":"","parse-names":false,"suffix":""},{"dropping-particle":"","family":"Sikharulidze","given":"Irakli","non-dropping-particle":"","parse-names":false,"suffix":""},{"dropping-particle":"","family":"Sneddon","given":"Duncan","non-dropping-particle":"","parse-names":false,"suffix":""},{"dropping-particle":"","family":"Webber","given":"Matthew","non-dropping-particle":"","parse-names":false,"suffix":""},{"dropping-particle":"","family":"Dhesi","given":"Sarnjeet S.","non-dropping-particle":"","parse-names":false,"suffix":""},{"dropping-particle":"","family":"Maccherozzi","given":"Francesco","non-dropping-particle":"","parse-names":false,"suffix":""},{"dropping-particle":"","family":"Svensson","given":"Olof","non-dropping-particle":"","parse-names":false,"suffix":""},{"dropping-particle":"","family":"Brockhauser","given":"Sandor","non-dropping-particle":"","parse-names":false,"suffix":""},{"dropping-particle":"","family":"Náray","given":"Gabor","non-dropping-particle":"","parse-names":false,"suffix":""},{"dropping-particle":"","family":"Ashton","given":"Alun W.","non-dropping-particle":"","parse-names":false,"suffix":""}],"container-title":"Journal of Synchrotron Radiation","id":"ITEM-1","issued":{"date-parts":[["2015"]]},"page":"853-858","title":"Data Analysis WorkbeNch (DAWN)","type":"article-journal","volume":"22"},"uris":["http://www.mendeley.com/documents/?uuid=07bd52a7-a08c-4f12-8098-40bd80e2fb52"]},{"id":"ITEM-2","itemData":{"DOI":"10.1107/S1600576717004708","ISSN":"16005767","abstract":"A software package for the calibration and processing of powder X-ray diffraction and small-angle X-ray scattering data is presented. It provides a multitude of data processing and visualization tools as well as a command-line scripting interface for on-the-fly processing and the incorporation of complex data treatment tasks. Customizable processing chains permit the execution of many data processing steps to convert a single image or a batch of raw two-dimensional data into meaningful data and one-dimensional diffractograms. The processed data files contain the full data provenance of each process applied to the data. The calibration routines can run automatically even for high energies and also for large detector tilt angles. Some of the functionalities are highlighted by specific use cases.The Powder Calibration and Processing packages implemented in DAWN 2 provide an automated diffraction-geometry calibration and data processing environment for two-dimensional diffraction experiments. The customizable processing chains permit the execution of data processing steps to convert raw two-dimensional data into meaningful data and diffractograms. The provenance of the processed data is maintained, which guarantees reproducibility and transparency of the data treatment.","author":[{"dropping-particle":"","family":"Filik","given":"J.","non-dropping-particle":"","parse-names":false,"suffix":""},{"dropping-particle":"","family":"Ashton","given":"A. W.","non-dropping-particle":"","parse-names":false,"suffix":""},{"dropping-particle":"","family":"Chang","given":"P. C.Y.","non-dropping-particle":"","parse-names":false,"suffix":""},{"dropping-particle":"","family":"Chater","given":"P. A.","non-dropping-particle":"","parse-names":false,"suffix":""},{"dropping-particle":"","family":"Day","given":"S. J.","non-dropping-particle":"","parse-names":false,"suffix":""},{"dropping-particle":"","family":"Drakopoulos","given":"M.","non-dropping-particle":"","parse-names":false,"suffix":""},{"dropping-particle":"","family":"Gerring","given":"M. W.","non-dropping-particle":"","parse-names":false,"suffix":""},{"dropping-particle":"","family":"Hart","given":"M. L.","non-dropping-particle":"","parse-names":false,"suffix":""},{"dropping-particle":"V.","family":"Magdysyuk","given":"O.","non-dropping-particle":"","parse-names":false,"suffix":""},{"dropping-particle":"","family":"Michalik","given":"S.","non-dropping-particle":"","parse-names":false,"suffix":""},{"dropping-particle":"","family":"Smith","given":"A.","non-dropping-particle":"","parse-names":false,"suffix":""},{"dropping-particle":"","family":"Tang","given":"C. C.","non-dropping-particle":"","parse-names":false,"suffix":""},{"dropping-particle":"","family":"Terrill","given":"N. J.","non-dropping-particle":"","parse-names":false,"suffix":""},{"dropping-particle":"","family":"Wharmby","given":"M. T.","non-dropping-particle":"","parse-names":false,"suffix":""},{"dropping-particle":"","family":"Wilhelm","given":"H.","non-dropping-particle":"","parse-names":false,"suffix":""}],"container-title":"Journal of Applied Crystallography","id":"ITEM-2","issue":"3","issued":{"date-parts":[["2017"]]},"page":"959-966","title":"Processing two-dimensional X-ray diffraction and small-angle scattering data in DAWN 2","type":"article-journal","volume":"50"},"uris":["http://www.mendeley.com/documents/?uuid=ec98a160-725c-44e8-8269-e3ea6e100a8c"]}],"mendeley":{"formattedCitation":"[370], [371]","plainTextFormattedCitation":"[370], [371]","previouslyFormattedCitation":"[370], [371]"},"properties":{"noteIndex":0},"schema":"https://github.com/citation-style-language/schema/raw/master/csl-citation.json"}</w:instrText>
      </w:r>
      <w:r>
        <w:rPr>
          <w:bCs/>
        </w:rPr>
        <w:fldChar w:fldCharType="separate"/>
      </w:r>
      <w:r w:rsidR="006C586A" w:rsidRPr="006C586A">
        <w:rPr>
          <w:bCs/>
          <w:noProof/>
        </w:rPr>
        <w:t>[370], [371]</w:t>
      </w:r>
      <w:r>
        <w:rPr>
          <w:bCs/>
        </w:rPr>
        <w:fldChar w:fldCharType="end"/>
      </w:r>
      <w:r>
        <w:rPr>
          <w:bCs/>
        </w:rPr>
        <w:t xml:space="preserve">. This produced 2D sinogram projections of the transmitted function which were misaligned both vertically and horizontally </w:t>
      </w:r>
      <w:r>
        <w:rPr>
          <w:bCs/>
        </w:rPr>
        <w:fldChar w:fldCharType="begin" w:fldLock="1"/>
      </w:r>
      <w:r w:rsidR="00D80A5D">
        <w:rPr>
          <w:bCs/>
        </w:rPr>
        <w:instrText>ADDIN CSL_CITATION {"citationItems":[{"id":"ITEM-1","itemData":{"DOI":"10.1107/S1600577518007221","ISSN":"16005775","PMID":"29979184","abstract":"The success of ptychography and other imaging experiments at third-generation X-ray sources is apparent from their increasingly widespread application and the improving quality of the images they produce both for resolution and contrast and in terms of relaxation of experimental constraints. The wider availability of highly coherent X-rays stimulates the development of several complementary techniques which have seen limited mutual integration in recent years. This paper presents a framework in which some of the established imaging techniques – with particular regard for ptychography – are flexibly applied to tackle the variable requirements occurring at typical synchrotron experiments. In such a framework one can obtain low-resolution images of whole samples and smoothly zoom in on specific regions of interest as they are revealed by switching to a higher-resolution imaging mode. The techniques involved range from full-field microscopy, to reach the widest fields of view (&gt;mm), to ptychography, to achieve the highest resolution (&lt;100 nm), and have been implemented at the I13 Coherence Branchline at Diamond Light Source.","author":[{"dropping-particle":"","family":"Sala","given":"Simone","non-dropping-particle":"","parse-names":false,"suffix":""},{"dropping-particle":"","family":"Kuppili","given":"Venkata S.C.","non-dropping-particle":"","parse-names":false,"suffix":""},{"dropping-particle":"","family":"Chalkidis","given":"Stefanos","non-dropping-particle":"","parse-names":false,"suffix":""},{"dropping-particle":"","family":"Batey","given":"Darren J.","non-dropping-particle":"","parse-names":false,"suffix":""},{"dropping-particle":"","family":"Shi","given":"Xiaowen","non-dropping-particle":"","parse-names":false,"suffix":""},{"dropping-particle":"","family":"Rau","given":"Christoph","non-dropping-particle":"","parse-names":false,"suffix":""},{"dropping-particle":"","family":"Thibault","given":"Pierre","non-dropping-particle":"","parse-names":false,"suffix":""}],"container-title":"Journal of Synchrotron Radiation","id":"ITEM-1","issue":"4","issued":{"date-parts":[["2018"]]},"page":"1214-1221","title":"Multiscale X-ray imaging using ptychography","type":"article-journal","volume":"25"},"uris":["http://www.mendeley.com/documents/?uuid=4479cbe8-1b0a-4fee-8373-f05ed9b503a6"]}],"mendeley":{"formattedCitation":"[369]","plainTextFormattedCitation":"[369]","previouslyFormattedCitation":"[369]"},"properties":{"noteIndex":0},"schema":"https://github.com/citation-style-language/schema/raw/master/csl-citation.json"}</w:instrText>
      </w:r>
      <w:r>
        <w:rPr>
          <w:bCs/>
        </w:rPr>
        <w:fldChar w:fldCharType="separate"/>
      </w:r>
      <w:r w:rsidR="006C586A" w:rsidRPr="006C586A">
        <w:rPr>
          <w:bCs/>
          <w:noProof/>
        </w:rPr>
        <w:t>[369]</w:t>
      </w:r>
      <w:r>
        <w:rPr>
          <w:bCs/>
        </w:rPr>
        <w:fldChar w:fldCharType="end"/>
      </w:r>
      <w:r>
        <w:rPr>
          <w:bCs/>
        </w:rPr>
        <w:t>.</w:t>
      </w:r>
    </w:p>
    <w:p w14:paraId="62E45269" w14:textId="44CC9335" w:rsidR="00007F6C" w:rsidRDefault="00007F6C" w:rsidP="00007F6C">
      <w:pPr>
        <w:tabs>
          <w:tab w:val="left" w:pos="2256"/>
        </w:tabs>
        <w:jc w:val="both"/>
        <w:rPr>
          <w:bCs/>
        </w:rPr>
      </w:pPr>
      <w:r>
        <w:rPr>
          <w:bCs/>
        </w:rPr>
        <w:t xml:space="preserve">Horizontal alignment was achieved via iterative reconstruction on the sinograms of the films. A filter-back projection was applied in combination with thresholding and an inverse Radon transform to apply localised tomography </w:t>
      </w:r>
      <w:r>
        <w:rPr>
          <w:bCs/>
        </w:rPr>
        <w:fldChar w:fldCharType="begin" w:fldLock="1"/>
      </w:r>
      <w:r w:rsidR="00D80A5D">
        <w:rPr>
          <w:bCs/>
        </w:rPr>
        <w:instrText>ADDIN CSL_CITATION {"citationItems":[{"id":"ITEM-1","itemData":{"DOI":"10.1107/S1600577518007221","ISSN":"16005775","PMID":"29979184","abstract":"The success of ptychography and other imaging experiments at third-generation X-ray sources is apparent from their increasingly widespread application and the improving quality of the images they produce both for resolution and contrast and in terms of relaxation of experimental constraints. The wider availability of highly coherent X-rays stimulates the development of several complementary techniques which have seen limited mutual integration in recent years. This paper presents a framework in which some of the established imaging techniques – with particular regard for ptychography – are flexibly applied to tackle the variable requirements occurring at typical synchrotron experiments. In such a framework one can obtain low-resolution images of whole samples and smoothly zoom in on specific regions of interest as they are revealed by switching to a higher-resolution imaging mode. The techniques involved range from full-field microscopy, to reach the widest fields of view (&gt;mm), to ptychography, to achieve the highest resolution (&lt;100 nm), and have been implemented at the I13 Coherence Branchline at Diamond Light Source.","author":[{"dropping-particle":"","family":"Sala","given":"Simone","non-dropping-particle":"","parse-names":false,"suffix":""},{"dropping-particle":"","family":"Kuppili","given":"Venkata S.C.","non-dropping-particle":"","parse-names":false,"suffix":""},{"dropping-particle":"","family":"Chalkidis","given":"Stefanos","non-dropping-particle":"","parse-names":false,"suffix":""},{"dropping-particle":"","family":"Batey","given":"Darren J.","non-dropping-particle":"","parse-names":false,"suffix":""},{"dropping-particle":"","family":"Shi","given":"Xiaowen","non-dropping-particle":"","parse-names":false,"suffix":""},{"dropping-particle":"","family":"Rau","given":"Christoph","non-dropping-particle":"","parse-names":false,"suffix":""},{"dropping-particle":"","family":"Thibault","given":"Pierre","non-dropping-particle":"","parse-names":false,"suffix":""}],"container-title":"Journal of Synchrotron Radiation","id":"ITEM-1","issue":"4","issued":{"date-parts":[["2018"]]},"page":"1214-1221","title":"Multiscale X-ray imaging using ptychography","type":"article-journal","volume":"25"},"uris":["http://www.mendeley.com/documents/?uuid=4479cbe8-1b0a-4fee-8373-f05ed9b503a6"]},{"id":"ITEM-2","itemData":{"DOI":"10.1364/oe.27.000533","ISSN":"1094-4087","PMID":"30696138","abstract":"Ptychographic X-ray computed tomography is a phase-contrast imaging technique capable of retrieving three-dimensional maps of the index of refraction of the imaged volumes with nanometric resolution. Despite its unmatched reach, its application remains prerogative of a limited number of laboratories at synchrotron sources. We present a detailed description of an experimental procedure and a data analysis pipeline which can be both exploited for ptychographic X-ray computed tomography experiments at any high-brilliance X-ray source. These have been validated at the I13-1 Coherence Branchline within the first experiment of its kind to be successfully carried out on a biological sample at Diamond Light Source.","author":[{"dropping-particle":"","family":"Sala","given":"Simone","non-dropping-particle":"","parse-names":false,"suffix":""},{"dropping-particle":"","family":"Batey","given":"Darren J.","non-dropping-particle":"","parse-names":false,"suffix":""},{"dropping-particle":"","family":"Prakash","given":"Anupama","non-dropping-particle":"","parse-names":false,"suffix":""},{"dropping-particle":"","family":"Ahmed","given":"Sharif","non-dropping-particle":"","parse-names":false,"suffix":""},{"dropping-particle":"","family":"Rau","given":"Christoph","non-dropping-particle":"","parse-names":false,"suffix":""},{"dropping-particle":"","family":"Thibault","given":"Pierre","non-dropping-particle":"","parse-names":false,"suffix":""}],"container-title":"Optics Express","id":"ITEM-2","issue":"2","issued":{"date-parts":[["2019"]]},"page":"533","title":"Ptychographic X-ray computed tomography at a high-brilliance X-ray source","type":"article-journal","volume":"27"},"uris":["http://www.mendeley.com/documents/?uuid=07a80d40-762e-4ff5-9db3-b72eef527f7e"]}],"mendeley":{"formattedCitation":"[362], [369]","plainTextFormattedCitation":"[362], [369]","previouslyFormattedCitation":"[362], [369]"},"properties":{"noteIndex":0},"schema":"https://github.com/citation-style-language/schema/raw/master/csl-citation.json"}</w:instrText>
      </w:r>
      <w:r>
        <w:rPr>
          <w:bCs/>
        </w:rPr>
        <w:fldChar w:fldCharType="separate"/>
      </w:r>
      <w:r w:rsidR="006C586A" w:rsidRPr="006C586A">
        <w:rPr>
          <w:bCs/>
          <w:noProof/>
        </w:rPr>
        <w:t>[362], [369]</w:t>
      </w:r>
      <w:r>
        <w:rPr>
          <w:bCs/>
        </w:rPr>
        <w:fldChar w:fldCharType="end"/>
      </w:r>
      <w:r>
        <w:rPr>
          <w:bCs/>
        </w:rPr>
        <w:t>. This was repeated for each scan file, which were then joined to form a projection which was aligned pixel by pixel.</w:t>
      </w:r>
    </w:p>
    <w:p w14:paraId="6C3A6C92" w14:textId="48E610F3" w:rsidR="00007F6C" w:rsidRPr="00691BCB" w:rsidRDefault="00007F6C" w:rsidP="00007F6C">
      <w:pPr>
        <w:tabs>
          <w:tab w:val="left" w:pos="2256"/>
        </w:tabs>
        <w:jc w:val="both"/>
        <w:rPr>
          <w:bCs/>
        </w:rPr>
      </w:pPr>
      <w:r>
        <w:rPr>
          <w:bCs/>
        </w:rPr>
        <w:t xml:space="preserve">This produced a sinogram which was not correctly aligned to the centre of rotation utilised in the PXCT scan. A final arrangement in SAVU was applied to correct the file and create a series of TIF images which can be stacked to form a 3D tomogram </w:t>
      </w:r>
      <w:r>
        <w:rPr>
          <w:bCs/>
        </w:rPr>
        <w:fldChar w:fldCharType="begin" w:fldLock="1"/>
      </w:r>
      <w:r w:rsidR="00D80A5D">
        <w:rPr>
          <w:bCs/>
        </w:rPr>
        <w:instrText>ADDIN CSL_CITATION {"citationItems":[{"id":"ITEM-1","itemData":{"abstract":"Diamond Light Source (DLS), the UK synchrotron facility, attracts scientists from across the world to perform ground-breaking x-ray experiments. With over 3000 scientific users per year, vast amounts of data are collected across the experimental beamlines, with the highest volume of data collected during tomographic imaging experiments. A growing interest in tomography as an imaging technique, has led to an expansion in the range of experiments performed, in addition to a growth in the size of the data per experiment. Savu is a portable, flexible, scientific processing pipeline capable of processing multiple, n-dimensional datasets in serial on a PC, or in parallel across a cluster. Developed at DLS, and successfully deployed across the beamlines, it uses a modular plugin format to enable experiment-specific processing and utilises parallel HDF5 to remove RAM restrictions. The Savu design, described throughout this paper, focuses on easy integration of existing and new functionality, flexibility and ease of use for users and developers alike.","author":[{"dropping-particle":"","family":"Wadeson","given":"Nicola","non-dropping-particle":"","parse-names":false,"suffix":""},{"dropping-particle":"","family":"Basham","given":"Mark","non-dropping-particle":"","parse-names":false,"suffix":""}],"container-title":"arXiv:1610.08015 [cs]","id":"ITEM-1","issued":{"date-parts":[["2016"]]},"title":"Savu: A Python-based, MPI Framework for Simultaneous Processing of Multiple, N-dimensional, Large Tomography Datasets","type":"article-journal"},"uris":["http://www.mendeley.com/documents/?uuid=4c61ec8e-4ff7-4a10-8322-bce715d9166e"]},{"id":"ITEM-2","itemData":{"DOI":"10.1002/pssa.201184272","ISSN":"18626300","abstract":"The Diamond beamline I13 for imaging and coherence applications is dedicated to hard X-ray imaging on the micro and nano-lengthscale. Two independent stations will be operated in a separate building at a distance of 250m from the source. The imaging branch will perform in-line phase contrast imaging and tomography over a large field of view in the 6-35keV energy range. In addition it will be possible to switch to full-field microscopy with 50nm spatial resolution. Other microscopies will be developed according to the scientific needs. Resolution beyond the limitations given by the detector and X-ray optics will be achieved on the 'coherence' branch. Techniques working in the far field such as Coherent X-Ray Diffraction and other Coherent Diffraction Imaging techniques such as ptychography will be implemented. Typical applications cover different fields such as bio-medicine, materials science, geo- and astrophysics or even cultural heritage. The beamline hosts a number of innovative features such as the so-called 'mini-beta' layout for electron optics in the storage ring or new concepts for beamline instrumentation. The stations will be operational in 2011. Copyright © 2011 WILEY-VCH Verlag GmbH &amp; Co. KGaA, Weinheim.","author":[{"dropping-particle":"","family":"Rau","given":"Christoph","non-dropping-particle":"","parse-names":false,"suffix":""},{"dropping-particle":"","family":"Wagner","given":"Ulrich","non-dropping-particle":"","parse-names":false,"suffix":""},{"dropping-particle":"","family":"Pešić","given":"Zoran","non-dropping-particle":"","parse-names":false,"suffix":""},{"dropping-particle":"","family":"Fanis","given":"Alberto","non-dropping-particle":"De","parse-names":false,"suffix":""}],"container-title":"Physica Status Solidi (A) Applications and Materials Science","id":"ITEM-2","issue":"11","issued":{"date-parts":[["2011"]]},"page":"2522-2525","title":"Coherent imaging at the Diamond beamline I13","type":"article-journal","volume":"208"},"uris":["http://www.mendeley.com/documents/?uuid=17887118-d3c8-43ca-a52b-1c4ed231e58a"]},{"id":"ITEM-3","itemData":{"DOI":"10.1063/1.5084575","ISBN":"9780735417823","ISSN":"15517616","abstract":"The I13 imaging and coherence beamline aims for multiscale imaging in the energy range of 6-30keV. The achievable resolution ranges from several microns to tens of nanometers. Several experimental methods are available on two independently operating branchlines. The Diamond-Manchester imaging branchline applies methods in direct space, such as In-line phase contrast, grating interferometry and full-field microscopy. The coherence branch covers far-field techniques such as ptychography and Bragg-CDI. The ptychography is now available as user-friendly experiment and the spatial and temporal resolution has been significantly enhanced. The scientific program at I13 will increasingly explore the suite of experimental techniques available at the beamline for multi-scale imaging.","author":[{"dropping-particle":"","family":"Rau","given":"Christoph","non-dropping-particle":"","parse-names":false,"suffix":""},{"dropping-particle":"","family":"Storm","given":"Malte","non-dropping-particle":"","parse-names":false,"suffix":""},{"dropping-particle":"","family":"Marathe","given":"Shashidhara","non-dropping-particle":"","parse-names":false,"suffix":""},{"dropping-particle":"","family":"Bodey","given":"Andrew J.","non-dropping-particle":"","parse-names":false,"suffix":""},{"dropping-particle":"","family":"Cipiccia","given":"Silvia","non-dropping-particle":"","parse-names":false,"suffix":""},{"dropping-particle":"","family":"Batey","given":"Darren","non-dropping-particle":"","parse-names":false,"suffix":""},{"dropping-particle":"","family":"Shi","given":"Xiaowen","non-dropping-particle":"","parse-names":false,"suffix":""},{"dropping-particle":"","family":"Zdora","given":"Marie Christine","non-dropping-particle":"","parse-names":false,"suffix":""},{"dropping-particle":"","family":"Zanette","given":"Irene","non-dropping-particle":"","parse-names":false,"suffix":""}],"container-title":"AIP Conference Proceedings","id":"ITEM-3","issue":"January","issued":{"date-parts":[["2019"]]},"title":"Multi-scale imaging at the diamond beamline I13","type":"article-journal","volume":"2054"},"uris":["http://www.mendeley.com/documents/?uuid=7debb4f7-9d6c-488a-ac25-2195d9a671c0"]},{"id":"ITEM-4","itemData":{"DOI":"10.1107/S1600577518007221","ISSN":"16005775","PMID":"29979184","abstract":"The success of ptychography and other imaging experiments at third-generation X-ray sources is apparent from their increasingly widespread application and the improving quality of the images they produce both for resolution and contrast and in terms of relaxation of experimental constraints. The wider availability of highly coherent X-rays stimulates the development of several complementary techniques which have seen limited mutual integration in recent years. This paper presents a framework in which some of the established imaging techniques – with particular regard for ptychography – are flexibly applied to tackle the variable requirements occurring at typical synchrotron experiments. In such a framework one can obtain low-resolution images of whole samples and smoothly zoom in on specific regions of interest as they are revealed by switching to a higher-resolution imaging mode. The techniques involved range from full-field microscopy, to reach the widest fields of view (&gt;mm), to ptychography, to achieve the highest resolution (&lt;100 nm), and have been implemented at the I13 Coherence Branchline at Diamond Light Source.","author":[{"dropping-particle":"","family":"Sala","given":"Simone","non-dropping-particle":"","parse-names":false,"suffix":""},{"dropping-particle":"","family":"Kuppili","given":"Venkata S.C.","non-dropping-particle":"","parse-names":false,"suffix":""},{"dropping-particle":"","family":"Chalkidis","given":"Stefanos","non-dropping-particle":"","parse-names":false,"suffix":""},{"dropping-particle":"","family":"Batey","given":"Darren J.","non-dropping-particle":"","parse-names":false,"suffix":""},{"dropping-particle":"","family":"Shi","given":"Xiaowen","non-dropping-particle":"","parse-names":false,"suffix":""},{"dropping-particle":"","family":"Rau","given":"Christoph","non-dropping-particle":"","parse-names":false,"suffix":""},{"dropping-particle":"","family":"Thibault","given":"Pierre","non-dropping-particle":"","parse-names":false,"suffix":""}],"container-title":"Journal of Synchrotron Radiation","id":"ITEM-4","issue":"4","issued":{"date-parts":[["2018"]]},"page":"1214-1221","title":"Multiscale X-ray imaging using ptychography","type":"article-journal","volume":"25"},"uris":["http://www.mendeley.com/documents/?uuid=4479cbe8-1b0a-4fee-8373-f05ed9b503a6"]},{"id":"ITEM-5","itemData":{"DOI":"10.1364/oe.27.000533","ISSN":"1094-4087","PMID":"30696138","abstract":"Ptychographic X-ray computed tomography is a phase-contrast imaging technique capable of retrieving three-dimensional maps of the index of refraction of the imaged volumes with nanometric resolution. Despite its unmatched reach, its application remains prerogative of a limited number of laboratories at synchrotron sources. We present a detailed description of an experimental procedure and a data analysis pipeline which can be both exploited for ptychographic X-ray computed tomography experiments at any high-brilliance X-ray source. These have been validated at the I13-1 Coherence Branchline within the first experiment of its kind to be successfully carried out on a biological sample at Diamond Light Source.","author":[{"dropping-particle":"","family":"Sala","given":"Simone","non-dropping-particle":"","parse-names":false,"suffix":""},{"dropping-particle":"","family":"Batey","given":"Darren J.","non-dropping-particle":"","parse-names":false,"suffix":""},{"dropping-particle":"","family":"Prakash","given":"Anupama","non-dropping-particle":"","parse-names":false,"suffix":""},{"dropping-particle":"","family":"Ahmed","given":"Sharif","non-dropping-particle":"","parse-names":false,"suffix":""},{"dropping-particle":"","family":"Rau","given":"Christoph","non-dropping-particle":"","parse-names":false,"suffix":""},{"dropping-particle":"","family":"Thibault","given":"Pierre","non-dropping-particle":"","parse-names":false,"suffix":""}],"container-title":"Optics Express","id":"ITEM-5","issue":"2","issued":{"date-parts":[["2019"]]},"page":"533","title":"Ptychographic X-ray computed tomography at a high-brilliance X-ray source","type":"article-journal","volume":"27"},"uris":["http://www.mendeley.com/documents/?uuid=07a80d40-762e-4ff5-9db3-b72eef527f7e"]}],"mendeley":{"formattedCitation":"[356], [358], [362], [369], [372]","plainTextFormattedCitation":"[356], [358], [362], [369], [372]","previouslyFormattedCitation":"[356], [358], [362], [369], [372]"},"properties":{"noteIndex":0},"schema":"https://github.com/citation-style-language/schema/raw/master/csl-citation.json"}</w:instrText>
      </w:r>
      <w:r>
        <w:rPr>
          <w:bCs/>
        </w:rPr>
        <w:fldChar w:fldCharType="separate"/>
      </w:r>
      <w:r w:rsidR="006C586A" w:rsidRPr="006C586A">
        <w:rPr>
          <w:bCs/>
          <w:noProof/>
        </w:rPr>
        <w:t>[356], [358], [362], [369], [372]</w:t>
      </w:r>
      <w:r>
        <w:rPr>
          <w:bCs/>
        </w:rPr>
        <w:fldChar w:fldCharType="end"/>
      </w:r>
      <w:r>
        <w:rPr>
          <w:bCs/>
        </w:rPr>
        <w:t xml:space="preserve">. Phase segmentation of the tomograms was performed on Avizo Lite. </w:t>
      </w:r>
      <w:r>
        <w:rPr>
          <w:bCs/>
        </w:rPr>
        <w:fldChar w:fldCharType="begin"/>
      </w:r>
      <w:r>
        <w:rPr>
          <w:bCs/>
        </w:rPr>
        <w:instrText xml:space="preserve"> REF _Ref40450759 \h  \* MERGEFORMAT </w:instrText>
      </w:r>
      <w:r>
        <w:rPr>
          <w:bCs/>
        </w:rPr>
      </w:r>
      <w:r>
        <w:rPr>
          <w:bCs/>
        </w:rPr>
        <w:fldChar w:fldCharType="separate"/>
      </w:r>
      <w:r w:rsidR="00B636B3">
        <w:t xml:space="preserve">Figure </w:t>
      </w:r>
      <w:r w:rsidR="00B636B3">
        <w:rPr>
          <w:noProof/>
        </w:rPr>
        <w:t>3.29</w:t>
      </w:r>
      <w:r>
        <w:rPr>
          <w:bCs/>
        </w:rPr>
        <w:fldChar w:fldCharType="end"/>
      </w:r>
      <w:r>
        <w:rPr>
          <w:bCs/>
        </w:rPr>
        <w:t xml:space="preserve"> below details the various steps and data formats required to produce 3D tomographic renderings of the structure.</w:t>
      </w:r>
    </w:p>
    <w:p w14:paraId="1864027F" w14:textId="77777777" w:rsidR="00007F6C" w:rsidRDefault="00007F6C" w:rsidP="00007F6C">
      <w:pPr>
        <w:keepNext/>
        <w:jc w:val="center"/>
      </w:pPr>
      <w:r>
        <w:rPr>
          <w:noProof/>
        </w:rPr>
        <w:drawing>
          <wp:inline distT="0" distB="0" distL="0" distR="0" wp14:anchorId="0C0F9B0E" wp14:editId="4DBC2873">
            <wp:extent cx="3707055" cy="4320000"/>
            <wp:effectExtent l="0" t="0" r="8255" b="0"/>
            <wp:docPr id="92" name="Picture 92" descr="A picture containing text, monit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ata Processing steps for Ptychography.tif"/>
                    <pic:cNvPicPr/>
                  </pic:nvPicPr>
                  <pic:blipFill>
                    <a:blip r:embed="rId85">
                      <a:extLst>
                        <a:ext uri="{28A0092B-C50C-407E-A947-70E740481C1C}">
                          <a14:useLocalDpi xmlns:a14="http://schemas.microsoft.com/office/drawing/2010/main" val="0"/>
                        </a:ext>
                      </a:extLst>
                    </a:blip>
                    <a:stretch>
                      <a:fillRect/>
                    </a:stretch>
                  </pic:blipFill>
                  <pic:spPr>
                    <a:xfrm>
                      <a:off x="0" y="0"/>
                      <a:ext cx="3707055" cy="4320000"/>
                    </a:xfrm>
                    <a:prstGeom prst="rect">
                      <a:avLst/>
                    </a:prstGeom>
                  </pic:spPr>
                </pic:pic>
              </a:graphicData>
            </a:graphic>
          </wp:inline>
        </w:drawing>
      </w:r>
    </w:p>
    <w:p w14:paraId="4FC07384" w14:textId="37B4B11E" w:rsidR="00007F6C" w:rsidRDefault="00007F6C" w:rsidP="00007F6C">
      <w:pPr>
        <w:pStyle w:val="Caption"/>
      </w:pPr>
      <w:bookmarkStart w:id="283" w:name="_Ref40450759"/>
      <w:bookmarkStart w:id="284" w:name="_Toc69114974"/>
      <w:r>
        <w:t>Figure 3.</w:t>
      </w:r>
      <w:r w:rsidR="00B51F53">
        <w:fldChar w:fldCharType="begin"/>
      </w:r>
      <w:r w:rsidR="00B51F53">
        <w:instrText xml:space="preserve"> SEQ Figure \* ARABIC </w:instrText>
      </w:r>
      <w:r w:rsidR="00B51F53">
        <w:fldChar w:fldCharType="separate"/>
      </w:r>
      <w:r w:rsidR="00B636B3">
        <w:rPr>
          <w:noProof/>
        </w:rPr>
        <w:t>29</w:t>
      </w:r>
      <w:r w:rsidR="00B51F53">
        <w:rPr>
          <w:noProof/>
        </w:rPr>
        <w:fldChar w:fldCharType="end"/>
      </w:r>
      <w:bookmarkEnd w:id="283"/>
      <w:r>
        <w:t>: A flow chart detailing the data processing steps required to produce a 3D digital rendering of ptychographic diffractograms. The orange sections detail the data format, python modules used and rendering software. In this case the * indicate a DLS python module and the ** show the rendering program used</w:t>
      </w:r>
      <w:bookmarkEnd w:id="284"/>
    </w:p>
    <w:p w14:paraId="7C407FC9" w14:textId="02C43709" w:rsidR="00726EF6" w:rsidRDefault="00726EF6"/>
    <w:p w14:paraId="3C800CC4" w14:textId="55F483F3" w:rsidR="00937866" w:rsidRDefault="0046689F" w:rsidP="00481BD0">
      <w:pPr>
        <w:pStyle w:val="Heading2"/>
        <w:jc w:val="both"/>
      </w:pPr>
      <w:bookmarkStart w:id="285" w:name="_Toc69129395"/>
      <w:r>
        <w:lastRenderedPageBreak/>
        <w:t xml:space="preserve">3.4 </w:t>
      </w:r>
      <w:r w:rsidR="00937866">
        <w:t>Experimental Characterisation Methodology</w:t>
      </w:r>
      <w:bookmarkEnd w:id="285"/>
      <w:r w:rsidR="00937866">
        <w:t xml:space="preserve"> </w:t>
      </w:r>
    </w:p>
    <w:p w14:paraId="0571BE80" w14:textId="4745AA6F" w:rsidR="00937866" w:rsidRPr="00937866" w:rsidRDefault="0046689F" w:rsidP="00481BD0">
      <w:pPr>
        <w:jc w:val="both"/>
      </w:pPr>
      <w:r>
        <w:fldChar w:fldCharType="begin"/>
      </w:r>
      <w:r>
        <w:instrText xml:space="preserve"> REF _Ref64971394 \h </w:instrText>
      </w:r>
      <w:r w:rsidR="00481BD0">
        <w:instrText xml:space="preserve"> \* MERGEFORMAT </w:instrText>
      </w:r>
      <w:r>
        <w:fldChar w:fldCharType="separate"/>
      </w:r>
      <w:r w:rsidR="00B636B3">
        <w:t>Table 3.5</w:t>
      </w:r>
      <w:r>
        <w:fldChar w:fldCharType="end"/>
      </w:r>
      <w:r>
        <w:t xml:space="preserve"> </w:t>
      </w:r>
      <w:r w:rsidR="007926CE">
        <w:t xml:space="preserve">below </w:t>
      </w:r>
      <w:r>
        <w:t xml:space="preserve">details the different </w:t>
      </w:r>
      <w:r w:rsidR="007926CE">
        <w:t>characterisation techniques used throughout this thesis. For reference further details on the methods can be found in 3.3 preceding this table.</w:t>
      </w:r>
    </w:p>
    <w:p w14:paraId="5465437B" w14:textId="5FC90916" w:rsidR="00937866" w:rsidRDefault="00937866" w:rsidP="00186183">
      <w:pPr>
        <w:pStyle w:val="Caption"/>
        <w:keepNext/>
        <w:spacing w:after="240"/>
        <w:jc w:val="both"/>
      </w:pPr>
      <w:bookmarkStart w:id="286" w:name="_Ref64971394"/>
      <w:r>
        <w:t>Table 3.</w:t>
      </w:r>
      <w:r w:rsidR="00B51F53">
        <w:fldChar w:fldCharType="begin"/>
      </w:r>
      <w:r w:rsidR="00B51F53">
        <w:instrText xml:space="preserve"> SEQ Table \* ARABIC </w:instrText>
      </w:r>
      <w:r w:rsidR="00B51F53">
        <w:fldChar w:fldCharType="separate"/>
      </w:r>
      <w:r w:rsidR="00B636B3">
        <w:rPr>
          <w:noProof/>
        </w:rPr>
        <w:t>5</w:t>
      </w:r>
      <w:r w:rsidR="00B51F53">
        <w:rPr>
          <w:noProof/>
        </w:rPr>
        <w:fldChar w:fldCharType="end"/>
      </w:r>
      <w:bookmarkEnd w:id="286"/>
      <w:r>
        <w:t xml:space="preserve">: A breakdown of the different characterisation techniques utilised during the </w:t>
      </w:r>
      <w:r w:rsidR="004D793F">
        <w:t xml:space="preserve">3 </w:t>
      </w:r>
      <w:r>
        <w:t xml:space="preserve">experimental chapters of this </w:t>
      </w:r>
      <w:proofErr w:type="gramStart"/>
      <w:r>
        <w:t>work</w:t>
      </w:r>
      <w:proofErr w:type="gramEnd"/>
    </w:p>
    <w:tbl>
      <w:tblPr>
        <w:tblStyle w:val="TableGrid"/>
        <w:tblW w:w="0" w:type="auto"/>
        <w:tblLook w:val="04A0" w:firstRow="1" w:lastRow="0" w:firstColumn="1" w:lastColumn="0" w:noHBand="0" w:noVBand="1"/>
      </w:tblPr>
      <w:tblGrid>
        <w:gridCol w:w="993"/>
        <w:gridCol w:w="987"/>
        <w:gridCol w:w="1134"/>
        <w:gridCol w:w="1134"/>
        <w:gridCol w:w="1148"/>
        <w:gridCol w:w="905"/>
        <w:gridCol w:w="905"/>
        <w:gridCol w:w="905"/>
        <w:gridCol w:w="905"/>
      </w:tblGrid>
      <w:tr w:rsidR="00937866" w14:paraId="604BB127" w14:textId="77777777" w:rsidTr="00937866">
        <w:tc>
          <w:tcPr>
            <w:tcW w:w="993" w:type="dxa"/>
            <w:vMerge w:val="restart"/>
            <w:shd w:val="clear" w:color="auto" w:fill="D9D9D9" w:themeFill="background1" w:themeFillShade="D9"/>
          </w:tcPr>
          <w:p w14:paraId="17AC3EDF" w14:textId="4C94F8BA" w:rsidR="00937866" w:rsidRPr="00937866" w:rsidRDefault="00937866" w:rsidP="00481BD0">
            <w:pPr>
              <w:jc w:val="both"/>
              <w:rPr>
                <w:b/>
                <w:bCs/>
              </w:rPr>
            </w:pPr>
            <w:r w:rsidRPr="00937866">
              <w:rPr>
                <w:b/>
                <w:bCs/>
              </w:rPr>
              <w:t>Thesis Chapter</w:t>
            </w:r>
          </w:p>
        </w:tc>
        <w:tc>
          <w:tcPr>
            <w:tcW w:w="8023" w:type="dxa"/>
            <w:gridSpan w:val="8"/>
            <w:shd w:val="clear" w:color="auto" w:fill="D9D9D9" w:themeFill="background1" w:themeFillShade="D9"/>
          </w:tcPr>
          <w:p w14:paraId="48A796A9" w14:textId="10D21F7B" w:rsidR="00937866" w:rsidRPr="00937866" w:rsidRDefault="00937866" w:rsidP="00481BD0">
            <w:pPr>
              <w:jc w:val="center"/>
              <w:rPr>
                <w:b/>
                <w:bCs/>
              </w:rPr>
            </w:pPr>
            <w:r w:rsidRPr="00937866">
              <w:rPr>
                <w:b/>
                <w:bCs/>
              </w:rPr>
              <w:t>Characterisation Technique</w:t>
            </w:r>
          </w:p>
        </w:tc>
      </w:tr>
      <w:tr w:rsidR="00937866" w14:paraId="57B4B1AC" w14:textId="77777777" w:rsidTr="00937866">
        <w:tc>
          <w:tcPr>
            <w:tcW w:w="993" w:type="dxa"/>
            <w:vMerge/>
            <w:shd w:val="clear" w:color="auto" w:fill="D9D9D9" w:themeFill="background1" w:themeFillShade="D9"/>
          </w:tcPr>
          <w:p w14:paraId="52D80440" w14:textId="77777777" w:rsidR="00937866" w:rsidRPr="00937866" w:rsidRDefault="00937866" w:rsidP="00481BD0">
            <w:pPr>
              <w:jc w:val="both"/>
              <w:rPr>
                <w:b/>
                <w:bCs/>
              </w:rPr>
            </w:pPr>
          </w:p>
        </w:tc>
        <w:tc>
          <w:tcPr>
            <w:tcW w:w="987" w:type="dxa"/>
          </w:tcPr>
          <w:p w14:paraId="4427F858" w14:textId="74B9CFC1" w:rsidR="00937866" w:rsidRPr="00937866" w:rsidRDefault="00937866" w:rsidP="00481BD0">
            <w:pPr>
              <w:jc w:val="both"/>
              <w:rPr>
                <w:b/>
                <w:bCs/>
              </w:rPr>
            </w:pPr>
            <w:r w:rsidRPr="00937866">
              <w:rPr>
                <w:b/>
                <w:bCs/>
              </w:rPr>
              <w:t>XRD</w:t>
            </w:r>
          </w:p>
        </w:tc>
        <w:tc>
          <w:tcPr>
            <w:tcW w:w="1134" w:type="dxa"/>
          </w:tcPr>
          <w:p w14:paraId="4C6F33CA" w14:textId="1764150E" w:rsidR="00937866" w:rsidRPr="00937866" w:rsidRDefault="00937866" w:rsidP="00481BD0">
            <w:pPr>
              <w:jc w:val="both"/>
              <w:rPr>
                <w:b/>
                <w:bCs/>
              </w:rPr>
            </w:pPr>
            <w:r w:rsidRPr="00937866">
              <w:rPr>
                <w:b/>
                <w:bCs/>
              </w:rPr>
              <w:t>WAXS</w:t>
            </w:r>
          </w:p>
        </w:tc>
        <w:tc>
          <w:tcPr>
            <w:tcW w:w="1134" w:type="dxa"/>
          </w:tcPr>
          <w:p w14:paraId="6122B4D5" w14:textId="758869F6" w:rsidR="00937866" w:rsidRPr="00937866" w:rsidRDefault="00937866" w:rsidP="00481BD0">
            <w:pPr>
              <w:jc w:val="both"/>
              <w:rPr>
                <w:b/>
                <w:bCs/>
              </w:rPr>
            </w:pPr>
            <w:r w:rsidRPr="00937866">
              <w:rPr>
                <w:b/>
                <w:bCs/>
              </w:rPr>
              <w:t>SEM</w:t>
            </w:r>
          </w:p>
        </w:tc>
        <w:tc>
          <w:tcPr>
            <w:tcW w:w="1148" w:type="dxa"/>
          </w:tcPr>
          <w:p w14:paraId="0B80312A" w14:textId="0D560532" w:rsidR="00937866" w:rsidRPr="00937866" w:rsidRDefault="00937866" w:rsidP="00481BD0">
            <w:pPr>
              <w:jc w:val="both"/>
              <w:rPr>
                <w:b/>
                <w:bCs/>
              </w:rPr>
            </w:pPr>
            <w:r w:rsidRPr="00937866">
              <w:rPr>
                <w:b/>
                <w:bCs/>
              </w:rPr>
              <w:t>FIB-SEM</w:t>
            </w:r>
          </w:p>
        </w:tc>
        <w:tc>
          <w:tcPr>
            <w:tcW w:w="905" w:type="dxa"/>
          </w:tcPr>
          <w:p w14:paraId="4FEACD4E" w14:textId="38120856" w:rsidR="00937866" w:rsidRPr="00937866" w:rsidRDefault="00937866" w:rsidP="00481BD0">
            <w:pPr>
              <w:jc w:val="both"/>
              <w:rPr>
                <w:b/>
                <w:bCs/>
              </w:rPr>
            </w:pPr>
            <w:r w:rsidRPr="00937866">
              <w:rPr>
                <w:b/>
                <w:bCs/>
              </w:rPr>
              <w:t>TPR</w:t>
            </w:r>
          </w:p>
        </w:tc>
        <w:tc>
          <w:tcPr>
            <w:tcW w:w="905" w:type="dxa"/>
          </w:tcPr>
          <w:p w14:paraId="7DD31A40" w14:textId="26D6956C" w:rsidR="00937866" w:rsidRPr="00937866" w:rsidRDefault="00937866" w:rsidP="00481BD0">
            <w:pPr>
              <w:jc w:val="both"/>
              <w:rPr>
                <w:b/>
                <w:bCs/>
              </w:rPr>
            </w:pPr>
            <w:r w:rsidRPr="00937866">
              <w:rPr>
                <w:b/>
                <w:bCs/>
              </w:rPr>
              <w:t>FTIR</w:t>
            </w:r>
          </w:p>
        </w:tc>
        <w:tc>
          <w:tcPr>
            <w:tcW w:w="905" w:type="dxa"/>
          </w:tcPr>
          <w:p w14:paraId="26A2FF30" w14:textId="112F2355" w:rsidR="00937866" w:rsidRPr="00937866" w:rsidRDefault="00937866" w:rsidP="00481BD0">
            <w:pPr>
              <w:jc w:val="both"/>
              <w:rPr>
                <w:b/>
                <w:bCs/>
              </w:rPr>
            </w:pPr>
            <w:r w:rsidRPr="00937866">
              <w:rPr>
                <w:b/>
                <w:bCs/>
              </w:rPr>
              <w:t>EIS</w:t>
            </w:r>
          </w:p>
        </w:tc>
        <w:tc>
          <w:tcPr>
            <w:tcW w:w="905" w:type="dxa"/>
          </w:tcPr>
          <w:p w14:paraId="5624AAAE" w14:textId="586B3836" w:rsidR="00937866" w:rsidRPr="00937866" w:rsidRDefault="00937866" w:rsidP="00481BD0">
            <w:pPr>
              <w:jc w:val="both"/>
              <w:rPr>
                <w:b/>
                <w:bCs/>
              </w:rPr>
            </w:pPr>
            <w:r w:rsidRPr="00937866">
              <w:rPr>
                <w:b/>
                <w:bCs/>
              </w:rPr>
              <w:t>PXCT</w:t>
            </w:r>
          </w:p>
        </w:tc>
      </w:tr>
      <w:tr w:rsidR="00937866" w14:paraId="7892C0F4" w14:textId="77777777" w:rsidTr="00937866">
        <w:tc>
          <w:tcPr>
            <w:tcW w:w="993" w:type="dxa"/>
          </w:tcPr>
          <w:p w14:paraId="4A10F2DE" w14:textId="308348B4" w:rsidR="00937866" w:rsidRPr="00937866" w:rsidRDefault="00937866" w:rsidP="00481BD0">
            <w:pPr>
              <w:jc w:val="center"/>
              <w:rPr>
                <w:b/>
                <w:bCs/>
              </w:rPr>
            </w:pPr>
            <w:r w:rsidRPr="00937866">
              <w:rPr>
                <w:b/>
                <w:bCs/>
              </w:rPr>
              <w:t>4</w:t>
            </w:r>
          </w:p>
        </w:tc>
        <w:tc>
          <w:tcPr>
            <w:tcW w:w="987" w:type="dxa"/>
            <w:shd w:val="clear" w:color="auto" w:fill="00B050"/>
          </w:tcPr>
          <w:p w14:paraId="07421142" w14:textId="77777777" w:rsidR="00937866" w:rsidRDefault="00937866" w:rsidP="00481BD0">
            <w:pPr>
              <w:jc w:val="both"/>
            </w:pPr>
          </w:p>
        </w:tc>
        <w:tc>
          <w:tcPr>
            <w:tcW w:w="1134" w:type="dxa"/>
            <w:shd w:val="clear" w:color="auto" w:fill="00B050"/>
          </w:tcPr>
          <w:p w14:paraId="0C9CC5F4" w14:textId="77777777" w:rsidR="00937866" w:rsidRDefault="00937866" w:rsidP="00481BD0">
            <w:pPr>
              <w:jc w:val="both"/>
            </w:pPr>
          </w:p>
        </w:tc>
        <w:tc>
          <w:tcPr>
            <w:tcW w:w="1134" w:type="dxa"/>
            <w:shd w:val="clear" w:color="auto" w:fill="00B050"/>
          </w:tcPr>
          <w:p w14:paraId="7562E539" w14:textId="77777777" w:rsidR="00937866" w:rsidRDefault="00937866" w:rsidP="00481BD0">
            <w:pPr>
              <w:jc w:val="both"/>
            </w:pPr>
          </w:p>
        </w:tc>
        <w:tc>
          <w:tcPr>
            <w:tcW w:w="1148" w:type="dxa"/>
          </w:tcPr>
          <w:p w14:paraId="6E00B5C3" w14:textId="77777777" w:rsidR="00937866" w:rsidRDefault="00937866" w:rsidP="00481BD0">
            <w:pPr>
              <w:jc w:val="both"/>
            </w:pPr>
          </w:p>
        </w:tc>
        <w:tc>
          <w:tcPr>
            <w:tcW w:w="905" w:type="dxa"/>
            <w:shd w:val="clear" w:color="auto" w:fill="00B050"/>
          </w:tcPr>
          <w:p w14:paraId="2C49F5FF" w14:textId="77777777" w:rsidR="00937866" w:rsidRDefault="00937866" w:rsidP="00481BD0">
            <w:pPr>
              <w:jc w:val="both"/>
            </w:pPr>
          </w:p>
        </w:tc>
        <w:tc>
          <w:tcPr>
            <w:tcW w:w="905" w:type="dxa"/>
            <w:shd w:val="clear" w:color="auto" w:fill="00B050"/>
          </w:tcPr>
          <w:p w14:paraId="2C6F10BA" w14:textId="77777777" w:rsidR="00937866" w:rsidRDefault="00937866" w:rsidP="00481BD0">
            <w:pPr>
              <w:jc w:val="both"/>
            </w:pPr>
          </w:p>
        </w:tc>
        <w:tc>
          <w:tcPr>
            <w:tcW w:w="905" w:type="dxa"/>
            <w:shd w:val="clear" w:color="auto" w:fill="00B050"/>
          </w:tcPr>
          <w:p w14:paraId="3BE18849" w14:textId="77777777" w:rsidR="00937866" w:rsidRDefault="00937866" w:rsidP="00481BD0">
            <w:pPr>
              <w:jc w:val="both"/>
            </w:pPr>
          </w:p>
        </w:tc>
        <w:tc>
          <w:tcPr>
            <w:tcW w:w="905" w:type="dxa"/>
          </w:tcPr>
          <w:p w14:paraId="563634C1" w14:textId="77777777" w:rsidR="00937866" w:rsidRDefault="00937866" w:rsidP="00481BD0">
            <w:pPr>
              <w:jc w:val="both"/>
            </w:pPr>
          </w:p>
        </w:tc>
      </w:tr>
      <w:tr w:rsidR="00937866" w14:paraId="6980F8B0" w14:textId="77777777" w:rsidTr="00937866">
        <w:tc>
          <w:tcPr>
            <w:tcW w:w="993" w:type="dxa"/>
          </w:tcPr>
          <w:p w14:paraId="31013F9C" w14:textId="3788E8E0" w:rsidR="00937866" w:rsidRPr="00937866" w:rsidRDefault="00937866" w:rsidP="00481BD0">
            <w:pPr>
              <w:jc w:val="center"/>
              <w:rPr>
                <w:b/>
                <w:bCs/>
              </w:rPr>
            </w:pPr>
            <w:r w:rsidRPr="00937866">
              <w:rPr>
                <w:b/>
                <w:bCs/>
              </w:rPr>
              <w:t>5</w:t>
            </w:r>
          </w:p>
        </w:tc>
        <w:tc>
          <w:tcPr>
            <w:tcW w:w="987" w:type="dxa"/>
          </w:tcPr>
          <w:p w14:paraId="17F21DF7" w14:textId="77777777" w:rsidR="00937866" w:rsidRDefault="00937866" w:rsidP="00481BD0">
            <w:pPr>
              <w:jc w:val="both"/>
            </w:pPr>
          </w:p>
        </w:tc>
        <w:tc>
          <w:tcPr>
            <w:tcW w:w="1134" w:type="dxa"/>
          </w:tcPr>
          <w:p w14:paraId="3E743B7C" w14:textId="77777777" w:rsidR="00937866" w:rsidRDefault="00937866" w:rsidP="00481BD0">
            <w:pPr>
              <w:jc w:val="both"/>
            </w:pPr>
          </w:p>
        </w:tc>
        <w:tc>
          <w:tcPr>
            <w:tcW w:w="1134" w:type="dxa"/>
            <w:shd w:val="clear" w:color="auto" w:fill="00B050"/>
          </w:tcPr>
          <w:p w14:paraId="0C1AEB14" w14:textId="77777777" w:rsidR="00937866" w:rsidRDefault="00937866" w:rsidP="00481BD0">
            <w:pPr>
              <w:jc w:val="both"/>
            </w:pPr>
          </w:p>
        </w:tc>
        <w:tc>
          <w:tcPr>
            <w:tcW w:w="1148" w:type="dxa"/>
          </w:tcPr>
          <w:p w14:paraId="7FB9085F" w14:textId="77777777" w:rsidR="00937866" w:rsidRDefault="00937866" w:rsidP="00481BD0">
            <w:pPr>
              <w:jc w:val="both"/>
            </w:pPr>
          </w:p>
        </w:tc>
        <w:tc>
          <w:tcPr>
            <w:tcW w:w="905" w:type="dxa"/>
            <w:shd w:val="clear" w:color="auto" w:fill="00B050"/>
          </w:tcPr>
          <w:p w14:paraId="788327DC" w14:textId="77777777" w:rsidR="00937866" w:rsidRDefault="00937866" w:rsidP="00481BD0">
            <w:pPr>
              <w:jc w:val="both"/>
            </w:pPr>
          </w:p>
        </w:tc>
        <w:tc>
          <w:tcPr>
            <w:tcW w:w="905" w:type="dxa"/>
          </w:tcPr>
          <w:p w14:paraId="5A9D0CCB" w14:textId="77777777" w:rsidR="00937866" w:rsidRDefault="00937866" w:rsidP="00481BD0">
            <w:pPr>
              <w:jc w:val="both"/>
            </w:pPr>
          </w:p>
        </w:tc>
        <w:tc>
          <w:tcPr>
            <w:tcW w:w="905" w:type="dxa"/>
            <w:shd w:val="clear" w:color="auto" w:fill="00B050"/>
          </w:tcPr>
          <w:p w14:paraId="5600BAE9" w14:textId="77777777" w:rsidR="00937866" w:rsidRDefault="00937866" w:rsidP="00481BD0">
            <w:pPr>
              <w:jc w:val="both"/>
            </w:pPr>
          </w:p>
        </w:tc>
        <w:tc>
          <w:tcPr>
            <w:tcW w:w="905" w:type="dxa"/>
          </w:tcPr>
          <w:p w14:paraId="750F5D73" w14:textId="77777777" w:rsidR="00937866" w:rsidRDefault="00937866" w:rsidP="00481BD0">
            <w:pPr>
              <w:jc w:val="both"/>
            </w:pPr>
          </w:p>
        </w:tc>
      </w:tr>
      <w:tr w:rsidR="00937866" w14:paraId="03475E55" w14:textId="77777777" w:rsidTr="00937866">
        <w:tc>
          <w:tcPr>
            <w:tcW w:w="993" w:type="dxa"/>
          </w:tcPr>
          <w:p w14:paraId="13D17825" w14:textId="1A5A97CB" w:rsidR="00937866" w:rsidRPr="00937866" w:rsidRDefault="00937866" w:rsidP="00481BD0">
            <w:pPr>
              <w:jc w:val="center"/>
              <w:rPr>
                <w:b/>
                <w:bCs/>
              </w:rPr>
            </w:pPr>
            <w:r w:rsidRPr="00937866">
              <w:rPr>
                <w:b/>
                <w:bCs/>
              </w:rPr>
              <w:t>6</w:t>
            </w:r>
          </w:p>
        </w:tc>
        <w:tc>
          <w:tcPr>
            <w:tcW w:w="987" w:type="dxa"/>
            <w:shd w:val="clear" w:color="auto" w:fill="00B050"/>
          </w:tcPr>
          <w:p w14:paraId="65FACEBF" w14:textId="77777777" w:rsidR="00937866" w:rsidRDefault="00937866" w:rsidP="00481BD0">
            <w:pPr>
              <w:jc w:val="both"/>
            </w:pPr>
          </w:p>
        </w:tc>
        <w:tc>
          <w:tcPr>
            <w:tcW w:w="1134" w:type="dxa"/>
          </w:tcPr>
          <w:p w14:paraId="61DA7523" w14:textId="77777777" w:rsidR="00937866" w:rsidRDefault="00937866" w:rsidP="00481BD0">
            <w:pPr>
              <w:jc w:val="both"/>
            </w:pPr>
          </w:p>
        </w:tc>
        <w:tc>
          <w:tcPr>
            <w:tcW w:w="1134" w:type="dxa"/>
          </w:tcPr>
          <w:p w14:paraId="14CCB44E" w14:textId="77777777" w:rsidR="00937866" w:rsidRDefault="00937866" w:rsidP="00481BD0">
            <w:pPr>
              <w:jc w:val="both"/>
            </w:pPr>
          </w:p>
        </w:tc>
        <w:tc>
          <w:tcPr>
            <w:tcW w:w="1148" w:type="dxa"/>
            <w:shd w:val="clear" w:color="auto" w:fill="00B050"/>
          </w:tcPr>
          <w:p w14:paraId="0C2DE018" w14:textId="77777777" w:rsidR="00937866" w:rsidRDefault="00937866" w:rsidP="00481BD0">
            <w:pPr>
              <w:jc w:val="both"/>
            </w:pPr>
          </w:p>
        </w:tc>
        <w:tc>
          <w:tcPr>
            <w:tcW w:w="905" w:type="dxa"/>
          </w:tcPr>
          <w:p w14:paraId="56FA9E55" w14:textId="77777777" w:rsidR="00937866" w:rsidRDefault="00937866" w:rsidP="00481BD0">
            <w:pPr>
              <w:jc w:val="both"/>
            </w:pPr>
          </w:p>
        </w:tc>
        <w:tc>
          <w:tcPr>
            <w:tcW w:w="905" w:type="dxa"/>
          </w:tcPr>
          <w:p w14:paraId="679903C2" w14:textId="77777777" w:rsidR="00937866" w:rsidRDefault="00937866" w:rsidP="00481BD0">
            <w:pPr>
              <w:jc w:val="both"/>
            </w:pPr>
          </w:p>
        </w:tc>
        <w:tc>
          <w:tcPr>
            <w:tcW w:w="905" w:type="dxa"/>
            <w:shd w:val="clear" w:color="auto" w:fill="00B050"/>
          </w:tcPr>
          <w:p w14:paraId="7432245B" w14:textId="77777777" w:rsidR="00937866" w:rsidRDefault="00937866" w:rsidP="00481BD0">
            <w:pPr>
              <w:jc w:val="both"/>
            </w:pPr>
          </w:p>
        </w:tc>
        <w:tc>
          <w:tcPr>
            <w:tcW w:w="905" w:type="dxa"/>
            <w:shd w:val="clear" w:color="auto" w:fill="00B050"/>
          </w:tcPr>
          <w:p w14:paraId="42A9B311" w14:textId="77777777" w:rsidR="00937866" w:rsidRDefault="00937866" w:rsidP="00481BD0">
            <w:pPr>
              <w:jc w:val="both"/>
            </w:pPr>
          </w:p>
        </w:tc>
      </w:tr>
    </w:tbl>
    <w:p w14:paraId="251C5D55" w14:textId="419E1F79" w:rsidR="00726EF6" w:rsidRDefault="00726EF6" w:rsidP="00937866">
      <w:pPr>
        <w:jc w:val="both"/>
      </w:pPr>
    </w:p>
    <w:p w14:paraId="4C353934" w14:textId="77777777" w:rsidR="00007F6C" w:rsidRPr="00063006" w:rsidRDefault="00007F6C" w:rsidP="00063006">
      <w:pPr>
        <w:pStyle w:val="Heading1"/>
        <w:rPr>
          <w:color w:val="auto"/>
          <w:sz w:val="36"/>
          <w:szCs w:val="36"/>
        </w:rPr>
      </w:pPr>
      <w:bookmarkStart w:id="287" w:name="_Toc69129396"/>
      <w:bookmarkStart w:id="288" w:name="_Toc474489950"/>
      <w:r w:rsidRPr="00063006">
        <w:rPr>
          <w:color w:val="auto"/>
          <w:sz w:val="36"/>
          <w:szCs w:val="36"/>
        </w:rPr>
        <w:t xml:space="preserve">Chapter 4: Quantifying the impact of gas drying atmospheres on infiltrated SOFC fuel </w:t>
      </w:r>
      <w:proofErr w:type="gramStart"/>
      <w:r w:rsidRPr="00063006">
        <w:rPr>
          <w:color w:val="auto"/>
          <w:sz w:val="36"/>
          <w:szCs w:val="36"/>
        </w:rPr>
        <w:t>electrodes</w:t>
      </w:r>
      <w:bookmarkEnd w:id="287"/>
      <w:proofErr w:type="gramEnd"/>
    </w:p>
    <w:p w14:paraId="30E069FE" w14:textId="77777777" w:rsidR="00007F6C" w:rsidRDefault="00007F6C" w:rsidP="00007F6C">
      <w:pPr>
        <w:pStyle w:val="Heading1"/>
      </w:pPr>
      <w:bookmarkStart w:id="289" w:name="_Toc69129397"/>
      <w:r>
        <w:t>4.1</w:t>
      </w:r>
      <w:r>
        <w:tab/>
      </w:r>
      <w:r w:rsidRPr="00644D81">
        <w:t>Introduction</w:t>
      </w:r>
      <w:bookmarkEnd w:id="289"/>
    </w:p>
    <w:p w14:paraId="157A1041" w14:textId="07D4A8F6" w:rsidR="00007F6C" w:rsidRDefault="00007F6C" w:rsidP="00007F6C">
      <w:pPr>
        <w:jc w:val="both"/>
      </w:pPr>
      <w:r>
        <w:t>The key limiting factor toward the widespread application of infiltrated electrode systems is that of catalyst durability. Due to prolonged exposure under SOFC operating temperatures (800-1000</w:t>
      </w:r>
      <w:r>
        <w:rPr>
          <w:rFonts w:cstheme="minorHAnsi"/>
        </w:rPr>
        <w:t>°</w:t>
      </w:r>
      <w:r>
        <w:t>C) the fine nanoscale catalysts coarsen thus reducing the active surface area (See Chapter 2). This agglomeration leads to reduced reaction rates by the formation of dead zones. Reducing the size of the catalysts and increasing their dispersion has been discussed as a method of retaining these large surface areas</w:t>
      </w:r>
      <w:r w:rsidR="00677835">
        <w:t xml:space="preserve"> and retain the high power densities associated with wet impregnated electrodes.</w:t>
      </w:r>
      <w:r>
        <w:t xml:space="preserve"> </w:t>
      </w:r>
      <w:r>
        <w:rPr>
          <w:rFonts w:cstheme="minorHAnsi"/>
          <w:szCs w:val="24"/>
        </w:rPr>
        <w:fldChar w:fldCharType="begin" w:fldLock="1"/>
      </w:r>
      <w:r w:rsidR="008B6E91">
        <w:rPr>
          <w:rFonts w:cstheme="minorHAnsi"/>
          <w:szCs w:val="24"/>
        </w:rPr>
        <w:instrText>ADDIN CSL_CITATION {"citationItems":[{"id":"ITEM-1","itemData":{"DOI":"10.1002/anie.200700608","ISBN":"1521-3773","author":[{"dropping-particle":"","family":"Sietsma","given":"Jelle R  A","non-dropping-particle":"","parse-names":false,"suffix":""},{"dropping-particle":"","family":"Meeldijk","given":"Johannes D","non-dropping-particle":"","parse-names":false,"suffix":""},{"dropping-particle":"","family":"den Breejen","given":"Johan P","non-dropping-particle":"","parse-names":false,"suffix":""},{"dropping-particle":"","family":"Versluijs-Helder","given":"Marjan","non-dropping-particle":"","parse-names":false,"suffix":""},{"dropping-particle":"","family":"van Dillen","given":"A  Jos","non-dropping-particle":"","parse-names":false,"suffix":""},{"dropping-particle":"","family":"de Jongh","given":"Petra E","non-dropping-particle":"","parse-names":false,"suffix":""},{"dropping-particle":"","family":"de Jong","given":"Krijn P","non-dropping-particle":"","parse-names":false,"suffix":""}],"container-title":"Angewandte Chemie International Edition","id":"ITEM-1","issue":"24","issued":{"date-parts":[["2007"]]},"page":"4547-4549","publisher":"WILEY-VCH Verlag","title":"The Preparation of Supported NiO and Co3O4 Nanoparticles by the Nitric Oxide Controlled Thermal Decomposition of Nitrates","type":"article-journal","volume":"46"},"uris":["http://www.mendeley.com/documents/?uuid=be767477-553a-4708-8283-aecfed03def0"]},{"id":"ITEM-2","itemData":{"DOI":"10.1021/cm702610h","ISBN":"0897-4756","abstract":"In this contribution, we investigated the preparation of Ni/SiO2 catalysts with aqueous [Ni(OH2)6](NO3)2 solutions via the impregnation and drying method using ordered mesoporous silica SBA-15 (mesopore diameter of 9 nm) as model support to study each step in the preparation: impregnation, drying, calcination, and reduction. After impregnation, not all the mesopores of SBA-15 appeared filled with precursor solution. Consecutive drying led to formation of 9 nm Ni3(NO3)2(OH)4 crystallites exclusively within the mesopores. During air calcination, severe sintering and redistribution took place, resulting in a low NiO dispersion, including large NiO crystals outside of the mesopores and rodlike NiO particles inside the mesopores. The degree of sintering depended on the concentration of Ni3(NO3)2(OH)4 decomposition products (NO2, N2O, O2 and H2O), and in particular NO2 and O2 were found to promote sintering and redistribution. Therefore, maintaining low concentrations of the latter components during the thermal nitrate decomposition is advocated, which was achieved by carrying out the treatment in the presence of H2. The latter treatment prevented formation of NO2/O2 as decomposition products, moderated the decomposition rate of Ni3(NO3)2(OH)4 into NiO as observed from in situ XRD experiments, and led to NiO particles of 3 nm on average at a loading of 20 wt % Ni/SiO2.","author":[{"dropping-particle":"","family":"Sietsma","given":"Jelle R A","non-dropping-particle":"","parse-names":false,"suffix":""},{"dropping-particle":"","family":"Meeldijk","given":"Johannes D","non-dropping-particle":"","parse-names":false,"suffix":""},{"dropping-particle":"","family":"Versluijs-Helder","given":"Marjan","non-dropping-particle":"","parse-names":false,"suffix":""},{"dropping-particle":"","family":"Broersma","given":"Alfred","non-dropping-particle":"","parse-names":false,"suffix":""},{"dropping-particle":"van","family":"Dillen","given":"A Jos","non-dropping-particle":"","parse-names":false,"suffix":""},{"dropping-particle":"","family":"Jongh","given":"Petra E","non-dropping-particle":"de","parse-names":false,"suffix":""},{"dropping-particle":"","family":"Jong","given":"Krijn P","non-dropping-particle":"de","parse-names":false,"suffix":""}],"container-title":"Chemistry of Materials","id":"ITEM-2","issue":"9","issued":{"date-parts":[["2008"]]},"page":"2921-2931","publisher":"American Chemical Society","title":"Ordered Mesoporous Silica to Study the Preparation of Ni/SiO2 ex Nitrate Catalysts: Impregnation, Drying, and Thermal Treatments","type":"article-journal","volume":"20"},"uris":["http://www.mendeley.com/documents/?uuid=2018eb49-5fae-4c1a-9b49-b649ae7a5c8b"]},{"id":"ITEM-3","itemData":{"author":[{"dropping-particle":"","family":"Sietsma","given":"J R A","non-dropping-particle":"","parse-names":false,"suffix":""},{"dropping-particle":"De","family":"Jong","given":"K P","non-dropping-particle":"","parse-names":false,"suffix":""},{"dropping-particle":"Van","family":"Dillen","given":"A J","non-dropping-particle":"","parse-names":false,"suffix":""},{"dropping-particle":"De","family":"Jongh","given":"P E","non-dropping-particle":"","parse-names":false,"suffix":""}],"id":"ITEM-3","issued":{"date-parts":[["1998"]]},"page":"80003","title":"A Novel Calcination Method for Supported Metal Nitrate Catalyst Precursors","type":"article-journal"},"uris":["http://www.mendeley.com/documents/?uuid=ab012286-f1af-4fa7-8097-70131174da08"]},{"id":"ITEM-4","itemData":{"DOI":"10.1016/j.cattod.2010.02.052","ISBN":"0920-5861","ISSN":"09205861","abstract":"Control over the size and size distribution of supported nanoparticles is key to their efficient use in catalysis. In the preparation of nanoparticles by impregnation using nitrate precursors, the support pore diameter can be used to influence the average crystallite size. However, the particle size distributions obtained via this method are generally broad and the dispersions relatively low. Higher dispersions and narrow particle size distributions are obtained via thermal decomposition of the metal nitrate precursor in 1% (v/v) NO in Ar instead of air. Here we will show that by combining the confinement effect of ordered mesoporous silica with a decomposition step of metal nitrates in NO, silica supported nickel and cobalt oxides with a tunable particle size (2-4 nm) can be obtained at high loadings (10-20 wt%). © 2010 Elsevier B.V.","author":[{"dropping-particle":"","family":"Wolters","given":"Mariska","non-dropping-particle":"","parse-names":false,"suffix":""},{"dropping-particle":"","family":"Grotel","given":"Lotte J.W.","non-dropping-particle":"Van","parse-names":false,"suffix":""},{"dropping-particle":"","family":"Eggenhuisen","given":"Tamara M.","non-dropping-particle":"","parse-names":false,"suffix":""},{"dropping-particle":"","family":"Sietsma","given":"Jelle R.A.","non-dropping-particle":"","parse-names":false,"suffix":""},{"dropping-particle":"","family":"Jong","given":"Krijn P.","non-dropping-particle":"De","parse-names":false,"suffix":""},{"dropping-particle":"","family":"Jongh","given":"Petra E.","non-dropping-particle":"De","parse-names":false,"suffix":""}],"container-title":"Catalysis Today","id":"ITEM-4","issue":"1","issued":{"date-parts":[["2011"]]},"page":"27-32","publisher":"Elsevier B.V.","title":"Combining confinement and NO calcination to arrive at highly dispersed supported nickel and cobalt oxide catalysts with a tunable particle size","type":"article-journal","volume":"163"},"uris":["http://www.mendeley.com/documents/?uuid=dbe71c3a-342d-4308-a33f-f7c793681e9f"]},{"id":"ITEM-5","itemData":{"DOI":"10.1021/cs5006772","ISSN":"21555435","abstract":"The nanoscale distribution of the supported metal phase is an important property for highly active, selective, and stable catalysts. Here, the nanoscale redistribution and aggregate formation of cobalt nitrate during the synthesis of supported cobalt catalysts were studied. Drying over a range of temperatures in stagnant air resulted in cobalt particles (8 nm) present in large aggregates (30-150 nm). However, drying in a N2 flow resulted in cobalt nanoparticles distributed either in aggregates or uniformly on various SiO2 and-Al2O3 supports, critically dependent on the drying temperature. The mechanism of aggregation was studied through chemical immobilization of the precursor on a silica support after drying in a N2 flow. The aggregation behavior upon drying in a gas flow at temperatures below 100 °C showed a remarkable similarity to distributions obtained upon the dewetting of colloidal films, suggesting a physical process. Alternatively, by inducing decomposition of the cobalt nitrate above 100 °C before drying was complete, aggregation was brought about through a chemical process that occurred both in stagnant and flowing gas. A-alumina support exhibited increased precursor-support interactions and displayed little cobalt aggregation upon drying in a gas flow but extensive aggregation upon drying in stagnant air. The aggregation behavior was further tested on silica supports with pore sizes between 3 and 15 nm and tested under industrially relevant Fischer-Tropsch conditions, which revealed that uniform cobalt nanoparticle distributions were up to 50% more active compared to aggregated systems. Thus, hydrodynamics and the temperature of the gas phase are critical parameters to control nanoscale distributions during drying of functional nanomaterials such as supported catalysts.","author":[{"dropping-particle":"","family":"Munnik","given":"Peter","non-dropping-particle":"","parse-names":false,"suffix":""},{"dropping-particle":"","family":"Krans","given":"Nynke A.","non-dropping-particle":"","parse-names":false,"suffix":""},{"dropping-particle":"","family":"Jongh","given":"Petra E.","non-dropping-particle":"De","parse-names":false,"suffix":""},{"dropping-particle":"","family":"Jong","given":"Krijn P.","non-dropping-particle":"De","parse-names":false,"suffix":""}],"container-title":"ACS Catalysis","id":"ITEM-5","issue":"9","issued":{"date-parts":[["2014"]]},"page":"3219-3226","title":"Effects of drying conditions on the synthesis of Co/SiO2 and Co/Al2O3 fischer-tropsch catalysts","type":"article-journal","volume":"4"},"uris":["http://www.mendeley.com/documents/?uuid=ff2d8c3b-b606-4a55-9be4-2f66736d890c"]}],"mendeley":{"formattedCitation":"[171], [173], [174], [200], [373]","plainTextFormattedCitation":"[171], [173], [174], [200], [373]","previouslyFormattedCitation":"[171], [173], [174], [200], [373]"},"properties":{"noteIndex":0},"schema":"https://github.com/citation-style-language/schema/raw/master/csl-citation.json"}</w:instrText>
      </w:r>
      <w:r>
        <w:rPr>
          <w:rFonts w:cstheme="minorHAnsi"/>
          <w:szCs w:val="24"/>
        </w:rPr>
        <w:fldChar w:fldCharType="separate"/>
      </w:r>
      <w:r w:rsidR="00237E21" w:rsidRPr="00237E21">
        <w:rPr>
          <w:rFonts w:cstheme="minorHAnsi"/>
          <w:noProof/>
          <w:szCs w:val="24"/>
        </w:rPr>
        <w:t>[171], [173], [174], [200], [373]</w:t>
      </w:r>
      <w:r>
        <w:rPr>
          <w:rFonts w:cstheme="minorHAnsi"/>
          <w:szCs w:val="24"/>
        </w:rPr>
        <w:fldChar w:fldCharType="end"/>
      </w:r>
      <w:r>
        <w:rPr>
          <w:rFonts w:cstheme="minorHAnsi"/>
        </w:rPr>
        <w:t xml:space="preserve">. </w:t>
      </w:r>
      <w:r>
        <w:t xml:space="preserve"> </w:t>
      </w:r>
    </w:p>
    <w:p w14:paraId="35BFF1B2" w14:textId="219FFD00" w:rsidR="00007F6C" w:rsidRDefault="00007F6C" w:rsidP="00007F6C">
      <w:pPr>
        <w:jc w:val="both"/>
        <w:rPr>
          <w:rFonts w:cstheme="minorHAnsi"/>
          <w:szCs w:val="24"/>
        </w:rPr>
      </w:pPr>
      <w:r w:rsidRPr="00E54F22">
        <w:rPr>
          <w:rFonts w:cstheme="minorHAnsi"/>
          <w:szCs w:val="24"/>
        </w:rPr>
        <w:t>One</w:t>
      </w:r>
      <w:r>
        <w:rPr>
          <w:rFonts w:cstheme="minorHAnsi"/>
          <w:szCs w:val="24"/>
        </w:rPr>
        <w:t xml:space="preserve"> </w:t>
      </w:r>
      <w:r w:rsidRPr="00E54F22">
        <w:rPr>
          <w:rFonts w:cstheme="minorHAnsi"/>
          <w:szCs w:val="24"/>
        </w:rPr>
        <w:t xml:space="preserve">unexplored fabrication route for </w:t>
      </w:r>
      <w:r w:rsidR="00677835">
        <w:rPr>
          <w:rFonts w:cstheme="minorHAnsi"/>
          <w:szCs w:val="24"/>
        </w:rPr>
        <w:t xml:space="preserve">infiltrated </w:t>
      </w:r>
      <w:r w:rsidRPr="00E54F22">
        <w:rPr>
          <w:rFonts w:cstheme="minorHAnsi"/>
          <w:szCs w:val="24"/>
        </w:rPr>
        <w:t xml:space="preserve">fuel </w:t>
      </w:r>
      <w:r w:rsidR="00677835">
        <w:rPr>
          <w:rFonts w:cstheme="minorHAnsi"/>
          <w:szCs w:val="24"/>
        </w:rPr>
        <w:t>electrode</w:t>
      </w:r>
      <w:r w:rsidRPr="00E54F22">
        <w:rPr>
          <w:rFonts w:cstheme="minorHAnsi"/>
          <w:szCs w:val="24"/>
        </w:rPr>
        <w:t xml:space="preserve"> materials is the use of a catalyst drying step</w:t>
      </w:r>
      <w:r>
        <w:rPr>
          <w:rFonts w:cstheme="minorHAnsi"/>
          <w:szCs w:val="24"/>
        </w:rPr>
        <w:t xml:space="preserve"> under a specific atmosphere </w:t>
      </w:r>
      <w:r w:rsidRPr="00E54F22">
        <w:rPr>
          <w:rFonts w:cstheme="minorHAnsi"/>
          <w:szCs w:val="24"/>
        </w:rPr>
        <w:t>prior to reduction and electrochemical cycling</w:t>
      </w:r>
      <w:r w:rsidRPr="00E54F22">
        <w:rPr>
          <w:rFonts w:cstheme="minorHAnsi"/>
        </w:rPr>
        <w:t xml:space="preserve">. </w:t>
      </w:r>
      <w:r>
        <w:rPr>
          <w:rFonts w:cstheme="minorHAnsi"/>
        </w:rPr>
        <w:t>In the field</w:t>
      </w:r>
      <w:r w:rsidRPr="00E54F22">
        <w:rPr>
          <w:rFonts w:cstheme="minorHAnsi"/>
          <w:szCs w:val="24"/>
        </w:rPr>
        <w:t xml:space="preserve"> of surface catalysis, </w:t>
      </w:r>
      <w:r>
        <w:rPr>
          <w:rFonts w:cstheme="minorHAnsi"/>
          <w:szCs w:val="24"/>
        </w:rPr>
        <w:t xml:space="preserve">a nitric oxide gas drying step was found </w:t>
      </w:r>
      <w:r w:rsidRPr="00E54F22">
        <w:rPr>
          <w:rFonts w:cstheme="minorHAnsi"/>
          <w:szCs w:val="24"/>
        </w:rPr>
        <w:t xml:space="preserve">to disperse and reduce the size of </w:t>
      </w:r>
      <w:r>
        <w:rPr>
          <w:rFonts w:cstheme="minorHAnsi"/>
          <w:szCs w:val="24"/>
        </w:rPr>
        <w:t xml:space="preserve"> wet impregnated </w:t>
      </w:r>
      <w:r w:rsidRPr="00E54F22">
        <w:rPr>
          <w:rFonts w:cstheme="minorHAnsi"/>
          <w:szCs w:val="24"/>
        </w:rPr>
        <w:t>transition metal catalysts</w:t>
      </w:r>
      <w:r>
        <w:rPr>
          <w:rFonts w:cstheme="minorHAnsi"/>
          <w:szCs w:val="24"/>
        </w:rPr>
        <w:t xml:space="preserve"> </w:t>
      </w:r>
      <w:r>
        <w:rPr>
          <w:rFonts w:cstheme="minorHAnsi"/>
          <w:szCs w:val="24"/>
        </w:rPr>
        <w:fldChar w:fldCharType="begin" w:fldLock="1"/>
      </w:r>
      <w:r w:rsidR="008B6E91">
        <w:rPr>
          <w:rFonts w:cstheme="minorHAnsi"/>
          <w:szCs w:val="24"/>
        </w:rPr>
        <w:instrText>ADDIN CSL_CITATION {"citationItems":[{"id":"ITEM-1","itemData":{"DOI":"10.1002/anie.200700608","ISBN":"1521-3773","author":[{"dropping-particle":"","family":"Sietsma","given":"Jelle R  A","non-dropping-particle":"","parse-names":false,"suffix":""},{"dropping-particle":"","family":"Meeldijk","given":"Johannes D","non-dropping-particle":"","parse-names":false,"suffix":""},{"dropping-particle":"","family":"den Breejen","given":"Johan P","non-dropping-particle":"","parse-names":false,"suffix":""},{"dropping-particle":"","family":"Versluijs-Helder","given":"Marjan","non-dropping-particle":"","parse-names":false,"suffix":""},{"dropping-particle":"","family":"van Dillen","given":"A  Jos","non-dropping-particle":"","parse-names":false,"suffix":""},{"dropping-particle":"","family":"de Jongh","given":"Petra E","non-dropping-particle":"","parse-names":false,"suffix":""},{"dropping-particle":"","family":"de Jong","given":"Krijn P","non-dropping-particle":"","parse-names":false,"suffix":""}],"container-title":"Angewandte Chemie International Edition","id":"ITEM-1","issue":"24","issued":{"date-parts":[["2007"]]},"page":"4547-4549","publisher":"WILEY-VCH Verlag","title":"The Preparation of Supported NiO and Co3O4 Nanoparticles by the Nitric Oxide Controlled Thermal Decomposition of Nitrates","type":"article-journal","volume":"46"},"uris":["http://www.mendeley.com/documents/?uuid=be767477-553a-4708-8283-aecfed03def0"]},{"id":"ITEM-2","itemData":{"DOI":"10.1021/cm702610h","ISBN":"0897-4756","abstract":"In this contribution, we investigated the preparation of Ni/SiO2 catalysts with aqueous [Ni(OH2)6](NO3)2 solutions via the impregnation and drying method using ordered mesoporous silica SBA-15 (mesopore diameter of 9 nm) as model support to study each step in the preparation: impregnation, drying, calcination, and reduction. After impregnation, not all the mesopores of SBA-15 appeared filled with precursor solution. Consecutive drying led to formation of 9 nm Ni3(NO3)2(OH)4 crystallites exclusively within the mesopores. During air calcination, severe sintering and redistribution took place, resulting in a low NiO dispersion, including large NiO crystals outside of the mesopores and rodlike NiO particles inside the mesopores. The degree of sintering depended on the concentration of Ni3(NO3)2(OH)4 decomposition products (NO2, N2O, O2 and H2O), and in particular NO2 and O2 were found to promote sintering and redistribution. Therefore, maintaining low concentrations of the latter components during the thermal nitrate decomposition is advocated, which was achieved by carrying out the treatment in the presence of H2. The latter treatment prevented formation of NO2/O2 as decomposition products, moderated the decomposition rate of Ni3(NO3)2(OH)4 into NiO as observed from in situ XRD experiments, and led to NiO particles of 3 nm on average at a loading of 20 wt % Ni/SiO2.","author":[{"dropping-particle":"","family":"Sietsma","given":"Jelle R A","non-dropping-particle":"","parse-names":false,"suffix":""},{"dropping-particle":"","family":"Meeldijk","given":"Johannes D","non-dropping-particle":"","parse-names":false,"suffix":""},{"dropping-particle":"","family":"Versluijs-Helder","given":"Marjan","non-dropping-particle":"","parse-names":false,"suffix":""},{"dropping-particle":"","family":"Broersma","given":"Alfred","non-dropping-particle":"","parse-names":false,"suffix":""},{"dropping-particle":"van","family":"Dillen","given":"A Jos","non-dropping-particle":"","parse-names":false,"suffix":""},{"dropping-particle":"","family":"Jongh","given":"Petra E","non-dropping-particle":"de","parse-names":false,"suffix":""},{"dropping-particle":"","family":"Jong","given":"Krijn P","non-dropping-particle":"de","parse-names":false,"suffix":""}],"container-title":"Chemistry of Materials","id":"ITEM-2","issue":"9","issued":{"date-parts":[["2008"]]},"page":"2921-2931","publisher":"American Chemical Society","title":"Ordered Mesoporous Silica to Study the Preparation of Ni/SiO2 ex Nitrate Catalysts: Impregnation, Drying, and Thermal Treatments","type":"article-journal","volume":"20"},"uris":["http://www.mendeley.com/documents/?uuid=2018eb49-5fae-4c1a-9b49-b649ae7a5c8b"]},{"id":"ITEM-3","itemData":{"author":[{"dropping-particle":"","family":"Sietsma","given":"J R A","non-dropping-particle":"","parse-names":false,"suffix":""},{"dropping-particle":"De","family":"Jong","given":"K P","non-dropping-particle":"","parse-names":false,"suffix":""},{"dropping-particle":"Van","family":"Dillen","given":"A J","non-dropping-particle":"","parse-names":false,"suffix":""},{"dropping-particle":"De","family":"Jongh","given":"P E","non-dropping-particle":"","parse-names":false,"suffix":""}],"id":"ITEM-3","issued":{"date-parts":[["1998"]]},"page":"80003","title":"A Novel Calcination Method for Supported Metal Nitrate Catalyst Precursors","type":"article-journal"},"uris":["http://www.mendeley.com/documents/?uuid=ab012286-f1af-4fa7-8097-70131174da08"]},{"id":"ITEM-4","itemData":{"DOI":"10.1016/j.cattod.2010.02.052","ISBN":"0920-5861","ISSN":"09205861","abstract":"Control over the size and size distribution of supported nanoparticles is key to their efficient use in catalysis. In the preparation of nanoparticles by impregnation using nitrate precursors, the support pore diameter can be used to influence the average crystallite size. However, the particle size distributions obtained via this method are generally broad and the dispersions relatively low. Higher dispersions and narrow particle size distributions are obtained via thermal decomposition of the metal nitrate precursor in 1% (v/v) NO in Ar instead of air. Here we will show that by combining the confinement effect of ordered mesoporous silica with a decomposition step of metal nitrates in NO, silica supported nickel and cobalt oxides with a tunable particle size (2-4 nm) can be obtained at high loadings (10-20 wt%). © 2010 Elsevier B.V.","author":[{"dropping-particle":"","family":"Wolters","given":"Mariska","non-dropping-particle":"","parse-names":false,"suffix":""},{"dropping-particle":"","family":"Grotel","given":"Lotte J.W.","non-dropping-particle":"Van","parse-names":false,"suffix":""},{"dropping-particle":"","family":"Eggenhuisen","given":"Tamara M.","non-dropping-particle":"","parse-names":false,"suffix":""},{"dropping-particle":"","family":"Sietsma","given":"Jelle R.A.","non-dropping-particle":"","parse-names":false,"suffix":""},{"dropping-particle":"","family":"Jong","given":"Krijn P.","non-dropping-particle":"De","parse-names":false,"suffix":""},{"dropping-particle":"","family":"Jongh","given":"Petra E.","non-dropping-particle":"De","parse-names":false,"suffix":""}],"container-title":"Catalysis Today","id":"ITEM-4","issue":"1","issued":{"date-parts":[["2011"]]},"page":"27-32","publisher":"Elsevier B.V.","title":"Combining confinement and NO calcination to arrive at highly dispersed supported nickel and cobalt oxide catalysts with a tunable particle size","type":"article-journal","volume":"163"},"uris":["http://www.mendeley.com/documents/?uuid=dbe71c3a-342d-4308-a33f-f7c793681e9f"]},{"id":"ITEM-5","itemData":{"DOI":"10.1021/cs5006772","ISSN":"21555435","abstract":"The nanoscale distribution of the supported metal phase is an important property for highly active, selective, and stable catalysts. Here, the nanoscale redistribution and aggregate formation of cobalt nitrate during the synthesis of supported cobalt catalysts were studied. Drying over a range of temperatures in stagnant air resulted in cobalt particles (8 nm) present in large aggregates (30-150 nm). However, drying in a N2 flow resulted in cobalt nanoparticles distributed either in aggregates or uniformly on various SiO2 and-Al2O3 supports, critically dependent on the drying temperature. The mechanism of aggregation was studied through chemical immobilization of the precursor on a silica support after drying in a N2 flow. The aggregation behavior upon drying in a gas flow at temperatures below 100 °C showed a remarkable similarity to distributions obtained upon the dewetting of colloidal films, suggesting a physical process. Alternatively, by inducing decomposition of the cobalt nitrate above 100 °C before drying was complete, aggregation was brought about through a chemical process that occurred both in stagnant and flowing gas. A-alumina support exhibited increased precursor-support interactions and displayed little cobalt aggregation upon drying in a gas flow but extensive aggregation upon drying in stagnant air. The aggregation behavior was further tested on silica supports with pore sizes between 3 and 15 nm and tested under industrially relevant Fischer-Tropsch conditions, which revealed that uniform cobalt nanoparticle distributions were up to 50% more active compared to aggregated systems. Thus, hydrodynamics and the temperature of the gas phase are critical parameters to control nanoscale distributions during drying of functional nanomaterials such as supported catalysts.","author":[{"dropping-particle":"","family":"Munnik","given":"Peter","non-dropping-particle":"","parse-names":false,"suffix":""},{"dropping-particle":"","family":"Krans","given":"Nynke A.","non-dropping-particle":"","parse-names":false,"suffix":""},{"dropping-particle":"","family":"Jongh","given":"Petra E.","non-dropping-particle":"De","parse-names":false,"suffix":""},{"dropping-particle":"","family":"Jong","given":"Krijn P.","non-dropping-particle":"De","parse-names":false,"suffix":""}],"container-title":"ACS Catalysis","id":"ITEM-5","issue":"9","issued":{"date-parts":[["2014"]]},"page":"3219-3226","title":"Effects of drying conditions on the synthesis of Co/SiO2 and Co/Al2O3 fischer-tropsch catalysts","type":"article-journal","volume":"4"},"uris":["http://www.mendeley.com/documents/?uuid=ff2d8c3b-b606-4a55-9be4-2f66736d890c"]}],"mendeley":{"formattedCitation":"[171], [173], [174], [200], [373]","plainTextFormattedCitation":"[171], [173], [174], [200], [373]","previouslyFormattedCitation":"[171], [173], [174], [200], [373]"},"properties":{"noteIndex":0},"schema":"https://github.com/citation-style-language/schema/raw/master/csl-citation.json"}</w:instrText>
      </w:r>
      <w:r>
        <w:rPr>
          <w:rFonts w:cstheme="minorHAnsi"/>
          <w:szCs w:val="24"/>
        </w:rPr>
        <w:fldChar w:fldCharType="separate"/>
      </w:r>
      <w:r w:rsidR="00237E21" w:rsidRPr="00237E21">
        <w:rPr>
          <w:rFonts w:cstheme="minorHAnsi"/>
          <w:noProof/>
          <w:szCs w:val="24"/>
        </w:rPr>
        <w:t>[171], [173], [174], [200], [373]</w:t>
      </w:r>
      <w:r>
        <w:rPr>
          <w:rFonts w:cstheme="minorHAnsi"/>
          <w:szCs w:val="24"/>
        </w:rPr>
        <w:fldChar w:fldCharType="end"/>
      </w:r>
      <w:r>
        <w:rPr>
          <w:rFonts w:cstheme="minorHAnsi"/>
        </w:rPr>
        <w:t xml:space="preserve">. </w:t>
      </w:r>
      <w:r w:rsidRPr="00E54F22">
        <w:rPr>
          <w:rFonts w:cstheme="minorHAnsi"/>
          <w:szCs w:val="24"/>
        </w:rPr>
        <w:t>The implementation of this step produced well-ordered transition metal nanoparticles under</w:t>
      </w:r>
      <w:r>
        <w:rPr>
          <w:rFonts w:cstheme="minorHAnsi"/>
          <w:szCs w:val="24"/>
        </w:rPr>
        <w:t xml:space="preserve"> 10 nm</w:t>
      </w:r>
      <w:r w:rsidRPr="00E54F22">
        <w:rPr>
          <w:rFonts w:cstheme="minorHAnsi"/>
          <w:szCs w:val="24"/>
        </w:rPr>
        <w:t xml:space="preserve"> in length.</w:t>
      </w:r>
      <w:r>
        <w:rPr>
          <w:rFonts w:cstheme="minorHAnsi"/>
          <w:szCs w:val="24"/>
        </w:rPr>
        <w:t xml:space="preserve"> </w:t>
      </w:r>
      <w:r w:rsidRPr="00E54F22">
        <w:rPr>
          <w:rFonts w:cstheme="minorHAnsi"/>
          <w:szCs w:val="24"/>
        </w:rPr>
        <w:t>The success of this technique</w:t>
      </w:r>
      <w:r>
        <w:rPr>
          <w:rFonts w:cstheme="minorHAnsi"/>
          <w:szCs w:val="24"/>
        </w:rPr>
        <w:t xml:space="preserve"> was attributed to</w:t>
      </w:r>
      <w:r w:rsidRPr="00E54F22">
        <w:rPr>
          <w:rFonts w:cstheme="minorHAnsi"/>
          <w:szCs w:val="24"/>
        </w:rPr>
        <w:t xml:space="preserve"> the ability of NO to remove the oxygen from the metal oxide nanoparticles formi</w:t>
      </w:r>
      <w:r w:rsidRPr="000C3A52">
        <w:rPr>
          <w:rFonts w:cstheme="minorHAnsi"/>
          <w:szCs w:val="24"/>
        </w:rPr>
        <w:t>ng NO</w:t>
      </w:r>
      <w:r w:rsidRPr="000C3A52">
        <w:rPr>
          <w:rFonts w:cstheme="minorHAnsi"/>
          <w:szCs w:val="24"/>
          <w:vertAlign w:val="subscript"/>
        </w:rPr>
        <w:t>2</w:t>
      </w:r>
      <w:r>
        <w:rPr>
          <w:rFonts w:cstheme="minorHAnsi"/>
          <w:szCs w:val="24"/>
          <w:vertAlign w:val="subscript"/>
        </w:rPr>
        <w:t xml:space="preserve"> </w:t>
      </w:r>
      <w:r w:rsidRPr="000C3A52">
        <w:rPr>
          <w:rFonts w:cstheme="minorHAnsi"/>
          <w:szCs w:val="24"/>
          <w:vertAlign w:val="subscript"/>
        </w:rPr>
        <w:fldChar w:fldCharType="begin" w:fldLock="1"/>
      </w:r>
      <w:r w:rsidR="008B6E91">
        <w:rPr>
          <w:rFonts w:cstheme="minorHAnsi"/>
          <w:szCs w:val="24"/>
          <w:vertAlign w:val="subscript"/>
        </w:rPr>
        <w:instrText>ADDIN CSL_CITATION {"citationItems":[{"id":"ITEM-1","itemData":{"DOI":"http://dx.doi.org/10.1016/j.cattod.2010.02.052","ISBN":"0920-5861","abstract":"Control over the size and size distribution of supported nanoparticles is key to their efficient use in catalysis. In the preparation of nanoparticles by impregnation using nitrate precursors, the support pore diameter can be used to influence the average crystallite size. However, the particle size distributions obtained via this method are generally broad and the dispersions relatively low. Higher dispersions and narrow particle size distributions are obtained via thermal decomposition of the metal nitrate precursor in 1% (v/v) NO in Ar instead of air. Here we will show that by combining the confinement effect of ordered mesoporous silica with a decomposition step of metal nitrates in NO, silica supported nickel and cobalt oxides with a tunable particle size (2–4nm) can be obtained at high loadings (10–20wt%).","author":[{"dropping-particle":"","family":"Wolters","given":"Mariska","non-dropping-particle":"","parse-names":false,"suffix":""},{"dropping-particle":"","family":"Grotel","given":"Lotte J W","non-dropping-particle":"van","parse-names":false,"suffix":""},{"dropping-particle":"","family":"Eggenhuisen","given":"Tamara M","non-dropping-particle":"","parse-names":false,"suffix":""},{"dropping-particle":"","family":"Sietsma","given":"Jelle R A","non-dropping-particle":"","parse-names":false,"suffix":""},{"dropping-particle":"","family":"Jong","given":"Krijn P","non-dropping-particle":"de","parse-names":false,"suffix":""},{"dropping-particle":"","family":"Jongh","given":"Petra E","non-dropping-particle":"de","parse-names":false,"suffix":""}],"container-title":"Catalysis Today","id":"ITEM-1","issue":"1","issued":{"date-parts":[["2011"]]},"page":"27-32","title":"Combining confinement and NO calcination to arrive at highly dispersed supported nickel and cobalt oxide catalysts with a tunable particle size","type":"article-journal","volume":"163"},"uris":["http://www.mendeley.com/documents/?uuid=b91fe889-f3c7-4fe2-8721-76b9176e98a1"]},{"id":"ITEM-2","itemData":{"DOI":"10.1016/j.cattod.2010.02.052","ISBN":"09205861 (ISSN)","abstract":"Control over the size and size distribution of supported nanoparticles is key to their efficient use in catalysis. In the preparation of nanoparticles by impregnation using nitrate precursors, the support pore diameter can be used to influence the average crystallite size. However, the particle size distributions obtained via this method are generally broad and the dispersions relatively low. Higher dispersions and narrow particle size distributions are obtained via thermal decomposition of the metal nitrate precursor in 1% (v/v) NO in Ar instead of air. Here we will show that by combining the confinement effect of ordered mesoporous silica with a decomposition step of metal nitrates in NO, silica supported nickel and cobalt oxides with a tunable particle size (2-4 nm) can be obtained at high loadings (10-20 wt%). © 2010 Elsevier B.V.","author":[{"dropping-particle":"","family":"Wolters","given":"M","non-dropping-particle":"","parse-names":false,"suffix":""},{"dropping-particle":"","family":"Grotel","given":"L J W","non-dropping-particle":"Van","parse-names":false,"suffix":""},{"dropping-particle":"","family":"Eggenhuisen","given":"T M","non-dropping-particle":"","parse-names":false,"suffix":""},{"dropping-particle":"","family":"Sietsma","given":"J R A","non-dropping-particle":"","parse-names":false,"suffix":""},{"dropping-particle":"","family":"Jong","given":"K P","non-dropping-particle":"De","parse-names":false,"suffix":""},{"dropping-particle":"","family":"Jongh","given":"P E","non-dropping-particle":"De","parse-names":false,"suffix":""}],"container-title":"Catalysis Today","id":"ITEM-2","issue":"1","issued":{"date-parts":[["2011"]]},"language":"English","note":"Cited By :33\nExport Date: 20 January 2017\nCODEN: CATTE\nCorrespondence Address: De Jongh, P. E.; Inorganic Chemistry and Catalysis, Debye Institute for NanoMaterials Science, Utrecht University, Sorbonnelaan 16, NL-3584 CA Utrecht, Netherlands; email: p.e.dejongh@uu.nl\nReferences: Balakos, M.W., Hernandez, E.E., (1997) Catal. Today, 35, p. 415; Chorkendorff, I., Niemantsverdriet, H., (2007) Concepts of Modern Catalysis and Kinetics, , Wiley-VCH Weinheim; Jiao, F., Frei, H., (2009) Angew. Chem. Int. Ed., 48, p. 1841; Bell, A.T., (2003) Science, 299, p. 1688; Che, M., Bennett, C.O., (1989) Adv. Catal., 36, p. 55; Somorjai, G.A., Park, J.Y., (2008) Top. Catal., 49, p. 126; Van Santen, R.A., (2009) Acc. Chem. Res., 42, p. 57; Bezemer, G.L., Bitter, J.H., Kuipers, H., Oosterbeek, H., Holewijn, J.E., Xu, X.D., Kapteijn, F., De Jong, K.P., (2006) J. Am. Chem. Soc., 128, p. 3956; Den Breejen, J.P., Radstake, P.B., Bezemer, G.L., Bitter, J.H., Froseth, V., Holmen, A., De Jong, K.P., (2009) J. Am. Chem. Soc., 131, p. 7197; De Jong, K.P., (1999) Curr. Opin. Solid State Mater. Sci., 4, p. 55; Bourikas, K., Kordulis, C., Lycourghiotis, A., (2006) Catal. Rev. Sci. Eng., 48, p. 363; Van Der Lee, M.K., Van Dillen, A.J., Bitter, J.H., De Jong, K.P., (2005) J. Am. Chem. Soc., 127, p. 13573; Van Dillen, A.J., Terörde, R.J.A.M., Lensveld, D.J., Geus, J.W., De Jong, K.P., (2003) J. Catal., 216, p. 257; Van De Loosdrecht, J., Barradas, S., Caricato, E.A., Ngwenya, N.G., Nkwanyana, P.S., Rawat, M.A.S., Sigwebela, B.H., Visagie, J.L., (2003) Top. Catal., 26, p. 121; Sietsma, J.R.A., Meeldijk, J.D., Den Breejen, J.P., Versluijs-Helder, M., Van Dillen, A.J., De Jongh, P.E., De Jong, K.P., (2007) Angew. Chem. Int. Ed., 46, p. 4547; Sietsma, J.R.A., Friedrich, H., Broersma, A., Versluijs-Helder, M., Van Dillen, A.J., De Jongh, P.E., De Jong, K.P., (2008) J. Catal., 260, p. 227; Khodakov, A.Y., Griboval-Constant, A., Bechara, R., Villain, F., (2001) J. Phys. Chem. B, 105, p. 9805; Jentys, A., Pham, N.H., Vinek, H., Englisch, M., Lercher, J.A., (1998) Catal. Today, 39, p. 311; Li, H.L., Li, J.L., Ni, H.K., Song, D.C., (2006) Catal. Lett., 110, p. 71; Borg Ø, Walmsley, J.C., Dehghan, R., Tanem, B.S., Blekkan, E.A., Eri, S., Rytter, E., Holmen, A., (2008) Catal. Lett., 126, p. 224; Van Der Meer, J., Bardez, I., Bart, F., Albouy, P.A., Wallez, G., Davidson, A., (2009) Micropor. Mesopor. Mater., 118, p. 183; Borg Ø, Dietzel, P.D.C., Spjelkavik, A.I., Tveten, E.Z., Walmsley, J.C., Diplas, S., Eri, S., Rytter, E., (2008) J. Catal., 259, p. 161; Zhao, D., Feng, J., Huo, Q., Melosh, N., Fredrickson, G.H., Chmelka, B.F., Stucky, G.D., (1998) Science, 279, p. 548; Cheng, C., Park, D.H., Klinowski, J., (1997) J. Chem. Soc. Faraday Trans., 93, p. 193; Jaroniec, M., Kruk, M., Olivier, J.P., Koch, S., (2000) Stud. Surf. Sci. Catal., 128, p. 71; Lippens, B.C., De Boer, J.H., (1965) J. Catal., 4, p. 319; Harkins, W.D., Jura, G., (1944) J. Am. Chem. Soc., 66, p. 1366; Gallezot, P., Prettre, M., (1968) Bull. Soc. Chim. Fr., 2, p. 407; Sietsma, J.R.A., Meeldijk, J.D., Versluijs-Helder, M., Broersma, A., Van Dillen, A.J., De Jongh, P.E., De Jong, K.P., (2008) Chem. Mater., 20, p. 2921; Petrov, K., Zotov, N., Mirtcheva, E., Garciamartinez, O., Rojas, R.M., (1994) J. Mater. Chem., 4, p. 611; Brockner, W., Ehrhardt, C., Gjikaj, M., (2007) Thermochim. Acta, 456, p. 64; Estelle, J., Salagre, P., Cesteros, Y., Serra, M., Medina, F., Sueiras, J.E., (2003) Solid State Ionics, 156, p. 233; Friedrich, H., Sietsma, J.R.A., De Jongh, P.E., Verkley, A.J., De Jong, K.P., (2007) J. Am. Chem. Soc., 129, p. 10249","page":"27-32","title":"Combining confinement and NO calcination to arrive at highly dispersed supported nickel and cobalt oxide catalysts with a tunable particle size","type":"article-journal","volume":"163"},"uris":["http://www.mendeley.com/documents/?uuid=f332073a-8245-40b8-869f-64cef4c02a05"]},{"id":"ITEM-3","itemData":{"DOI":"10.1021/cs5006772","ISBN":"2155-5435\r2155-5435","author":[{"dropping-particle":"","family":"Munnik","given":"Peter","non-dropping-particle":"","parse-names":false,"suffix":""},{"dropping-particle":"","family":"Krans","given":"Nynke A","non-dropping-particle":"","parse-names":false,"suffix":""},{"dropping-particle":"","family":"Jongh","given":"Petra E","non-dropping-particle":"de","parse-names":false,"suffix":""},{"dropping-particle":"","family":"Jong","given":"Krijn P","non-dropping-particle":"de","parse-names":false,"suffix":""}],"container-title":"ACS Catalysis","id":"ITEM-3","issue":"9","issued":{"date-parts":[["2014"]]},"page":"3219-3226","title":"Effects of Drying Conditions on the Synthesis of Co/SiO2and Co/Al2O3Fischer–Tropsch Catalysts","type":"article-journal","volume":"4"},"uris":["http://www.mendeley.com/documents/?uuid=a38e2c6c-43a6-4ee3-9c34-1ca39eaa0c09"]}],"mendeley":{"formattedCitation":"[176], [177], [374]","plainTextFormattedCitation":"[176], [177], [374]","previouslyFormattedCitation":"[176], [177], [374]"},"properties":{"noteIndex":0},"schema":"https://github.com/citation-style-language/schema/raw/master/csl-citation.json"}</w:instrText>
      </w:r>
      <w:r w:rsidRPr="000C3A52">
        <w:rPr>
          <w:rFonts w:cstheme="minorHAnsi"/>
          <w:szCs w:val="24"/>
          <w:vertAlign w:val="subscript"/>
        </w:rPr>
        <w:fldChar w:fldCharType="separate"/>
      </w:r>
      <w:r w:rsidR="00237E21" w:rsidRPr="00237E21">
        <w:rPr>
          <w:rFonts w:cstheme="minorHAnsi"/>
          <w:noProof/>
          <w:szCs w:val="24"/>
        </w:rPr>
        <w:t>[176], [177], [374]</w:t>
      </w:r>
      <w:r w:rsidRPr="000C3A52">
        <w:rPr>
          <w:rFonts w:cstheme="minorHAnsi"/>
          <w:szCs w:val="24"/>
          <w:vertAlign w:val="subscript"/>
        </w:rPr>
        <w:fldChar w:fldCharType="end"/>
      </w:r>
      <w:r w:rsidRPr="000C3A52">
        <w:rPr>
          <w:rFonts w:cstheme="minorHAnsi"/>
          <w:szCs w:val="24"/>
        </w:rPr>
        <w:t>.</w:t>
      </w:r>
      <w:r w:rsidR="00677835">
        <w:rPr>
          <w:rFonts w:cstheme="minorHAnsi"/>
          <w:szCs w:val="24"/>
        </w:rPr>
        <w:t xml:space="preserve"> </w:t>
      </w:r>
      <w:r>
        <w:rPr>
          <w:rFonts w:cstheme="minorHAnsi"/>
          <w:szCs w:val="24"/>
        </w:rPr>
        <w:t>The examples of published work of drying infiltrated electrodes for SOFCs focussed on the desiccation of</w:t>
      </w:r>
      <w:r w:rsidR="00677835">
        <w:rPr>
          <w:rFonts w:cstheme="minorHAnsi"/>
          <w:szCs w:val="24"/>
        </w:rPr>
        <w:t xml:space="preserve"> the oxygen</w:t>
      </w:r>
      <w:r>
        <w:rPr>
          <w:rFonts w:cstheme="minorHAnsi"/>
          <w:szCs w:val="24"/>
        </w:rPr>
        <w:t xml:space="preserve"> electrode </w:t>
      </w:r>
      <w:r>
        <w:rPr>
          <w:rFonts w:cstheme="minorHAnsi"/>
          <w:szCs w:val="24"/>
        </w:rPr>
        <w:fldChar w:fldCharType="begin" w:fldLock="1"/>
      </w:r>
      <w:r w:rsidR="00D80A5D">
        <w:rPr>
          <w:rFonts w:cstheme="minorHAnsi"/>
          <w:szCs w:val="24"/>
        </w:rPr>
        <w:instrText xml:space="preserve">ADDIN CSL_CITATION {"citationItems":[{"id":"ITEM-1","itemData":{"abstract":"Here, electrochemical impedance spectroscopy, X-ray diffraction, and scanning electron microscopy were used to determine the effect of precursor solution desiccation and nano-ceria pre-infiltration on Solid Oxide Fuel Cell cathodes with various infiltrate compositions. The calcium chloride desiccation of citric acid containing La0.6Sr0.4FeO3-x (LSF), La0.6Sr0.4Fe0.8Co0.2O3-x (LSFC), La0.6Sr0.4Fe0.5Co0.5O3-x (LSCF55), La0.6Sr0.4Fe0.2Co0.8O3-x (LSCF), and La0.6Sr0.4CoO3-x (LSC) infiltrate precursor solutions reduced average infiltrate particle sizes from the </w:instrText>
      </w:r>
      <w:r w:rsidR="00D80A5D">
        <w:rPr>
          <w:rFonts w:ascii="Cambria Math" w:hAnsi="Cambria Math" w:cs="Cambria Math"/>
          <w:szCs w:val="24"/>
        </w:rPr>
        <w:instrText>∼</w:instrText>
      </w:r>
      <w:r w:rsidR="00D80A5D">
        <w:rPr>
          <w:rFonts w:cstheme="minorHAnsi"/>
          <w:szCs w:val="24"/>
        </w:rPr>
        <w:instrText xml:space="preserve">53 nm obtained with standard processing to </w:instrText>
      </w:r>
      <w:r w:rsidR="00D80A5D">
        <w:rPr>
          <w:rFonts w:ascii="Cambria Math" w:hAnsi="Cambria Math" w:cs="Cambria Math"/>
          <w:szCs w:val="24"/>
        </w:rPr>
        <w:instrText>∼</w:instrText>
      </w:r>
      <w:r w:rsidR="00D80A5D">
        <w:rPr>
          <w:rFonts w:cstheme="minorHAnsi"/>
          <w:szCs w:val="24"/>
        </w:rPr>
        <w:instrText xml:space="preserve">42 nm. Similarly, infiltration of the aforementioned La0.6Sr0.4FeyCo1-yO3-x precursor solutions into porous cathodes containing pre-infiltrated gadolinium doped ceria (GDC) particles reduced average La0.6Sr0.4FeyCo1-yO3-x infiltrate particle sizes from the </w:instrText>
      </w:r>
      <w:r w:rsidR="00D80A5D">
        <w:rPr>
          <w:rFonts w:ascii="Cambria Math" w:hAnsi="Cambria Math" w:cs="Cambria Math"/>
          <w:szCs w:val="24"/>
        </w:rPr>
        <w:instrText>∼</w:instrText>
      </w:r>
      <w:r w:rsidR="00D80A5D">
        <w:rPr>
          <w:rFonts w:cstheme="minorHAnsi"/>
          <w:szCs w:val="24"/>
        </w:rPr>
        <w:instrText xml:space="preserve">53 nm obtained with standard processing (i.e. in the absence of nano-GDC pre-infiltration) to </w:instrText>
      </w:r>
      <w:r w:rsidR="00D80A5D">
        <w:rPr>
          <w:rFonts w:ascii="Cambria Math" w:hAnsi="Cambria Math" w:cs="Cambria Math"/>
          <w:szCs w:val="24"/>
        </w:rPr>
        <w:instrText>∼</w:instrText>
      </w:r>
      <w:r w:rsidR="00D80A5D">
        <w:rPr>
          <w:rFonts w:cstheme="minorHAnsi"/>
          <w:szCs w:val="24"/>
        </w:rPr>
        <w:instrText>27 nm with nano-GDC pre-infiltration. These desiccation and nano-GDC pre-infiltration induced infiltrate particle size reductions resulted in improved cathode performance. For example, in comparison with the 650°C operating temperatures required for standard LSC-GDC cathodes to achieve a polarization resistance of 0.1 Ωcm2, identical cathodes subjected to desiccation or nano-GDC pre-infiltration achieved 0.1 Ωcm2 at 630°C and 570°C, respectively. These promising results suggest that precursor solution desiccation or nano-GDC pre-infiltration may be useful for reducing the sizes of a variety of SOFC infiltrate materials. ","author":[{"dropping-particle":"","family":"Burye","given":"Theodore E","non-dropping-particle":"","parse-names":false,"suffix":""},{"dropping-particle":"","family":"Tang","given":"Hongjie","non-dropping-particle":"","parse-names":false,"suffix":""},{"dropping-particle":"","family":"Nicholas","given":"Jason D","non-dropping-particle":"","parse-names":false,"suffix":""}],"container-title":"Journal of The Electrochemical Society ","id":"ITEM-1","issue":"9 ","issued":{"date-parts":[["2016","1","1"]]},"note":"10.1149/2.0431609jes","page":"F1017-F1022","title":"The Effect of Precursor Solution Desiccation or Nano-Ceria Pre-Infiltration on Various La0.6Sr0.4FeyCo1-yO3-x Infiltrate Compositions","type":"article-journal","volume":"163 "},"uris":["http://www.mendeley.com/documents/?uuid=56838a14-6065-40bc-ac2e-3a86d0351566"]},{"id":"ITEM-2","itemData":{"DOI":"10.1016/j.jpowsour.2015.10.012","ISSN":"03787753","abstract":"Here, the addition of the surfactant Triton X-100 or the chelating agent citric acid to Solid Oxide Fuel Cell (SOFC) La0.6Sr0.4Co0.8Fe0.2O3-x (LSCF) precursor nitrate solutions is shown via scanning electron microscopy (SEM) and X-ray diffraction (XRD) to reduce average infiltrate nano-particle size and improve infiltrate phase purity. In addition, the desiccation of LSCF precursor solutions containing the aforementioned organic solution additives further reduces the average LSCF infiltrate nano-particle size and improves the low-temperature infiltrate phase purity. In particular, CaCl2-desiccation reduces the average size of Triton X-100 derived (TXD) LSCF particles fired at 700 °C from 48 to 22 nm, and reduces the average size of citric acid derived LSCF particles fired at 700 °C from 50 to 41 nm. Modeling and electrochemical impedance spectroscopy (EIS) tests indicate that particle size reductions alone are responsible for desiccation-induced cathode performance improvements such as CaCl2-desiccated TXD La0.6Sr0.4Co0.8Fe0.2O3-x - Ce0.9Gd0.1O1.95 (LSCF-GDC) cathodes reaching a polarization resistance of 0.17Ωcm2 at 540 °C, compared to 600 °C for undesiccated TXD LSCF-GDC cathodes. This excellent low-temperature performance, combined with a low open-circuit 540 °C degradation rate, suggests that the desiccation of organic-additive-containing infiltrate precursor solutions may be useful for the development of durable, high-power, low-temperature SOFCs.","author":[{"dropping-particle":"","family":"Burye","given":"Theodore E.","non-dropping-particle":"","parse-names":false,"suffix":""},{"dropping-particle":"","family":"Nicholas","given":"Jason D.","non-dropping-particle":"","parse-names":false,"suffix":""}],"container-title":"Journal of Power Sources","id":"ITEM-2","issued":{"date-parts":[["2016"]]},"page":"287-298","publisher":"Elsevier B.V","title":"Precursor solution additives improve desiccated La0.6Sr0.4Co0.8Fe0.2O3-x infiltrated solid oxide fuel cell cathode performance","type":"article-journal","volume":"301"},"uris":["http://www.mendeley.com/documents/?uuid=d60a1792-fe3e-41df-b4e8-26b3fc03abe4"]}],"mendeley":{"formattedCitation":"[163], [164]","manualFormatting":"[9],[10]","plainTextFormattedCitation":"[163], [164]","previouslyFormattedCitation":"[163], [164]"},"properties":{"noteIndex":0},"schema":"https://github.com/citation-style-language/schema/raw/master/csl-citation.json"}</w:instrText>
      </w:r>
      <w:r>
        <w:rPr>
          <w:rFonts w:cstheme="minorHAnsi"/>
          <w:szCs w:val="24"/>
        </w:rPr>
        <w:fldChar w:fldCharType="separate"/>
      </w:r>
      <w:r w:rsidRPr="007C1FD8">
        <w:rPr>
          <w:rFonts w:cstheme="minorHAnsi"/>
          <w:noProof/>
          <w:szCs w:val="24"/>
        </w:rPr>
        <w:t>[9],[10]</w:t>
      </w:r>
      <w:r>
        <w:rPr>
          <w:rFonts w:cstheme="minorHAnsi"/>
          <w:szCs w:val="24"/>
        </w:rPr>
        <w:fldChar w:fldCharType="end"/>
      </w:r>
      <w:r>
        <w:rPr>
          <w:rFonts w:cstheme="minorHAnsi"/>
          <w:szCs w:val="24"/>
        </w:rPr>
        <w:t>. There has been no literature to date quantifying the impact of drying atmospheres on the electrochemical properties of the fuel electrode.</w:t>
      </w:r>
    </w:p>
    <w:p w14:paraId="1AC172FA" w14:textId="77777777" w:rsidR="00677835" w:rsidRDefault="00007F6C" w:rsidP="00007F6C">
      <w:pPr>
        <w:jc w:val="both"/>
        <w:rPr>
          <w:rFonts w:cstheme="minorHAnsi"/>
          <w:color w:val="000000" w:themeColor="text1"/>
          <w:szCs w:val="24"/>
        </w:rPr>
      </w:pPr>
      <w:r w:rsidRPr="000C3A52">
        <w:rPr>
          <w:rFonts w:cstheme="minorHAnsi"/>
          <w:color w:val="000000" w:themeColor="text1"/>
          <w:szCs w:val="24"/>
        </w:rPr>
        <w:t xml:space="preserve">This work sits in </w:t>
      </w:r>
      <w:r w:rsidR="00677835">
        <w:rPr>
          <w:rFonts w:cstheme="minorHAnsi"/>
          <w:color w:val="000000" w:themeColor="text1"/>
          <w:szCs w:val="24"/>
        </w:rPr>
        <w:t>a</w:t>
      </w:r>
      <w:r w:rsidRPr="000C3A52">
        <w:rPr>
          <w:rFonts w:cstheme="minorHAnsi"/>
          <w:color w:val="000000" w:themeColor="text1"/>
          <w:szCs w:val="24"/>
        </w:rPr>
        <w:t xml:space="preserve"> unique position </w:t>
      </w:r>
      <w:r w:rsidR="00677835">
        <w:rPr>
          <w:rFonts w:cstheme="minorHAnsi"/>
          <w:color w:val="000000" w:themeColor="text1"/>
          <w:szCs w:val="24"/>
        </w:rPr>
        <w:t xml:space="preserve">by </w:t>
      </w:r>
      <w:r w:rsidRPr="000C3A52">
        <w:rPr>
          <w:rFonts w:cstheme="minorHAnsi"/>
          <w:color w:val="000000" w:themeColor="text1"/>
          <w:szCs w:val="24"/>
        </w:rPr>
        <w:t>applying kno</w:t>
      </w:r>
      <w:r w:rsidR="00677835">
        <w:rPr>
          <w:rFonts w:cstheme="minorHAnsi"/>
          <w:color w:val="000000" w:themeColor="text1"/>
          <w:szCs w:val="24"/>
        </w:rPr>
        <w:t>wl</w:t>
      </w:r>
      <w:r w:rsidRPr="000C3A52">
        <w:rPr>
          <w:rFonts w:cstheme="minorHAnsi"/>
          <w:color w:val="000000" w:themeColor="text1"/>
          <w:szCs w:val="24"/>
        </w:rPr>
        <w:t xml:space="preserve">edge from the field of surface catalysis to infiltrated </w:t>
      </w:r>
      <w:r>
        <w:rPr>
          <w:rFonts w:cstheme="minorHAnsi"/>
          <w:color w:val="000000" w:themeColor="text1"/>
          <w:szCs w:val="24"/>
        </w:rPr>
        <w:t>SOFCs</w:t>
      </w:r>
      <w:r w:rsidR="00677835">
        <w:rPr>
          <w:rFonts w:cstheme="minorHAnsi"/>
          <w:color w:val="000000" w:themeColor="text1"/>
          <w:szCs w:val="24"/>
        </w:rPr>
        <w:t xml:space="preserve"> by demonstrating the impact of utilising a drying step on wet impregnated Ni-YSZ anodes. </w:t>
      </w:r>
      <w:r w:rsidRPr="000C3A52">
        <w:rPr>
          <w:rFonts w:cstheme="minorHAnsi"/>
          <w:color w:val="000000" w:themeColor="text1"/>
          <w:szCs w:val="24"/>
        </w:rPr>
        <w:t xml:space="preserve"> </w:t>
      </w:r>
    </w:p>
    <w:p w14:paraId="0C1E2344" w14:textId="7E688771" w:rsidR="00007F6C" w:rsidRDefault="00007F6C" w:rsidP="00007F6C">
      <w:pPr>
        <w:jc w:val="both"/>
        <w:rPr>
          <w:rFonts w:cstheme="minorHAnsi"/>
          <w:szCs w:val="24"/>
        </w:rPr>
      </w:pPr>
      <w:r>
        <w:rPr>
          <w:rFonts w:cstheme="minorHAnsi"/>
          <w:szCs w:val="24"/>
        </w:rPr>
        <w:t xml:space="preserve">To increase the dispersion and reduce the size of infiltrated </w:t>
      </w:r>
      <w:proofErr w:type="spellStart"/>
      <w:r>
        <w:rPr>
          <w:rFonts w:cstheme="minorHAnsi"/>
          <w:szCs w:val="24"/>
        </w:rPr>
        <w:t>NiO</w:t>
      </w:r>
      <w:proofErr w:type="spellEnd"/>
      <w:r>
        <w:rPr>
          <w:rFonts w:cstheme="minorHAnsi"/>
          <w:szCs w:val="24"/>
        </w:rPr>
        <w:t xml:space="preserve"> particles in Ni-YSZ fuel electrodes, a</w:t>
      </w:r>
      <w:r w:rsidRPr="00C3462C">
        <w:rPr>
          <w:rFonts w:cstheme="minorHAnsi"/>
          <w:szCs w:val="24"/>
        </w:rPr>
        <w:t xml:space="preserve">n inert flowing nitrogen gas drying step </w:t>
      </w:r>
      <w:r w:rsidR="00677835">
        <w:rPr>
          <w:rFonts w:cstheme="minorHAnsi"/>
          <w:szCs w:val="24"/>
        </w:rPr>
        <w:t>was applied</w:t>
      </w:r>
      <w:r w:rsidRPr="00C3462C">
        <w:rPr>
          <w:rFonts w:cstheme="minorHAnsi"/>
          <w:szCs w:val="24"/>
        </w:rPr>
        <w:t xml:space="preserve"> prior to calcination</w:t>
      </w:r>
      <w:r>
        <w:rPr>
          <w:rFonts w:cstheme="minorHAnsi"/>
          <w:szCs w:val="24"/>
        </w:rPr>
        <w:t xml:space="preserve">. </w:t>
      </w:r>
      <w:r w:rsidRPr="00C3462C">
        <w:rPr>
          <w:rFonts w:cstheme="minorHAnsi"/>
          <w:szCs w:val="24"/>
        </w:rPr>
        <w:t xml:space="preserve"> </w:t>
      </w:r>
      <w:r>
        <w:rPr>
          <w:rFonts w:cstheme="minorHAnsi"/>
          <w:szCs w:val="24"/>
        </w:rPr>
        <w:t xml:space="preserve">These were compared to air-dried samples. </w:t>
      </w:r>
      <w:r w:rsidRPr="00C3462C">
        <w:rPr>
          <w:rFonts w:cstheme="minorHAnsi"/>
        </w:rPr>
        <w:t xml:space="preserve">Several characterisation techniques </w:t>
      </w:r>
      <w:r w:rsidR="00677835">
        <w:rPr>
          <w:rFonts w:cstheme="minorHAnsi"/>
        </w:rPr>
        <w:t>wer</w:t>
      </w:r>
      <w:r w:rsidRPr="00C3462C">
        <w:rPr>
          <w:rFonts w:cstheme="minorHAnsi"/>
        </w:rPr>
        <w:t xml:space="preserve">e utilised with a view to observing how these drying steps impact the dispersion, morphology, and size of the supported catalysts. The challenge of quantifying these structures is discussed with respect to their electrochemical performance. A total of four different decomposition configurations </w:t>
      </w:r>
      <w:r w:rsidR="00677835">
        <w:rPr>
          <w:rFonts w:cstheme="minorHAnsi"/>
        </w:rPr>
        <w:t>we</w:t>
      </w:r>
      <w:r w:rsidRPr="00C3462C">
        <w:rPr>
          <w:rFonts w:cstheme="minorHAnsi"/>
        </w:rPr>
        <w:t xml:space="preserve">re </w:t>
      </w:r>
      <w:r w:rsidR="00677835">
        <w:rPr>
          <w:rFonts w:cstheme="minorHAnsi"/>
        </w:rPr>
        <w:t>assessed</w:t>
      </w:r>
      <w:r w:rsidRPr="00C3462C">
        <w:rPr>
          <w:rFonts w:cstheme="minorHAnsi"/>
        </w:rPr>
        <w:t xml:space="preserve"> during this work.</w:t>
      </w:r>
    </w:p>
    <w:p w14:paraId="7B3B9C86" w14:textId="77777777" w:rsidR="00007F6C" w:rsidRDefault="00007F6C" w:rsidP="00007F6C">
      <w:pPr>
        <w:pStyle w:val="Heading2"/>
        <w:jc w:val="both"/>
      </w:pPr>
      <w:bookmarkStart w:id="290" w:name="_Toc69129398"/>
      <w:r>
        <w:t>4.1.1</w:t>
      </w:r>
      <w:r>
        <w:tab/>
        <w:t xml:space="preserve">Chapter </w:t>
      </w:r>
      <w:proofErr w:type="gramStart"/>
      <w:r>
        <w:t>Aims</w:t>
      </w:r>
      <w:bookmarkEnd w:id="290"/>
      <w:proofErr w:type="gramEnd"/>
    </w:p>
    <w:p w14:paraId="38F0C30E" w14:textId="77777777" w:rsidR="00007F6C" w:rsidRDefault="00007F6C" w:rsidP="00007F6C">
      <w:pPr>
        <w:jc w:val="both"/>
      </w:pPr>
      <w:r w:rsidRPr="00012F74">
        <w:rPr>
          <w:rFonts w:cstheme="minorHAnsi"/>
          <w:szCs w:val="24"/>
        </w:rPr>
        <w:t xml:space="preserve">This work aims to address the sintering </w:t>
      </w:r>
      <w:r>
        <w:rPr>
          <w:rFonts w:cstheme="minorHAnsi"/>
          <w:szCs w:val="24"/>
        </w:rPr>
        <w:t>mechanisms in infiltrated SOFC fuel electrodes</w:t>
      </w:r>
      <w:r w:rsidRPr="00012F74">
        <w:rPr>
          <w:rFonts w:cstheme="minorHAnsi"/>
          <w:szCs w:val="24"/>
        </w:rPr>
        <w:t xml:space="preserve"> using a</w:t>
      </w:r>
      <w:r>
        <w:rPr>
          <w:rFonts w:cstheme="minorHAnsi"/>
          <w:szCs w:val="24"/>
        </w:rPr>
        <w:t xml:space="preserve"> tailored </w:t>
      </w:r>
      <w:r w:rsidRPr="00012F74">
        <w:rPr>
          <w:rFonts w:cstheme="minorHAnsi"/>
          <w:szCs w:val="24"/>
        </w:rPr>
        <w:t>gas drying step prior to calcination</w:t>
      </w:r>
      <w:r>
        <w:rPr>
          <w:rFonts w:cstheme="minorHAnsi"/>
          <w:szCs w:val="24"/>
        </w:rPr>
        <w:t>. This is</w:t>
      </w:r>
      <w:r w:rsidRPr="00012F74">
        <w:rPr>
          <w:rFonts w:cstheme="minorHAnsi"/>
          <w:szCs w:val="24"/>
        </w:rPr>
        <w:t xml:space="preserve"> to</w:t>
      </w:r>
      <w:r>
        <w:rPr>
          <w:rFonts w:cstheme="minorHAnsi"/>
          <w:szCs w:val="24"/>
        </w:rPr>
        <w:t xml:space="preserve"> study the effect of this processing stage</w:t>
      </w:r>
      <w:r>
        <w:t xml:space="preserve"> on the size and </w:t>
      </w:r>
      <w:r>
        <w:lastRenderedPageBreak/>
        <w:t>distribution of the infiltrated electro-catalyst towards the application of controlling the particle sintering behaviour.</w:t>
      </w:r>
      <w:r>
        <w:rPr>
          <w:rFonts w:cstheme="minorHAnsi"/>
          <w:szCs w:val="24"/>
        </w:rPr>
        <w:t xml:space="preserve"> It will secondarily identify the ke</w:t>
      </w:r>
      <w:r>
        <w:t>y processing parameter in the infiltration process and translate how it impacts the functional properties namely the polarisation resistance present in the anode.</w:t>
      </w:r>
    </w:p>
    <w:p w14:paraId="0777CC07" w14:textId="77777777" w:rsidR="00007F6C" w:rsidRDefault="00007F6C" w:rsidP="00007F6C">
      <w:pPr>
        <w:pStyle w:val="Heading2"/>
      </w:pPr>
      <w:bookmarkStart w:id="291" w:name="_Toc69129399"/>
      <w:r>
        <w:t>4.1.2</w:t>
      </w:r>
      <w:r>
        <w:tab/>
        <w:t>Hypotheses</w:t>
      </w:r>
      <w:bookmarkEnd w:id="291"/>
    </w:p>
    <w:p w14:paraId="19DAD727" w14:textId="77777777" w:rsidR="00007F6C" w:rsidRDefault="00007F6C" w:rsidP="00007F6C">
      <w:pPr>
        <w:numPr>
          <w:ilvl w:val="0"/>
          <w:numId w:val="25"/>
        </w:numPr>
        <w:spacing w:line="240" w:lineRule="auto"/>
        <w:jc w:val="both"/>
      </w:pPr>
      <w:r w:rsidRPr="004343E2">
        <w:t xml:space="preserve">The size of infiltrated catalysts can be </w:t>
      </w:r>
      <w:r>
        <w:t>reduced</w:t>
      </w:r>
      <w:r w:rsidRPr="004343E2">
        <w:t xml:space="preserve"> by using</w:t>
      </w:r>
      <w:r>
        <w:t xml:space="preserve"> a pure N</w:t>
      </w:r>
      <w:r>
        <w:rPr>
          <w:vertAlign w:val="subscript"/>
        </w:rPr>
        <w:t xml:space="preserve">2 </w:t>
      </w:r>
      <w:r>
        <w:t>d</w:t>
      </w:r>
      <w:r w:rsidRPr="004343E2">
        <w:t xml:space="preserve">rying </w:t>
      </w:r>
      <w:proofErr w:type="gramStart"/>
      <w:r w:rsidRPr="004343E2">
        <w:t>atmosphere</w:t>
      </w:r>
      <w:proofErr w:type="gramEnd"/>
    </w:p>
    <w:p w14:paraId="7B7CA5E4" w14:textId="44274B86" w:rsidR="00007F6C" w:rsidRPr="004343E2" w:rsidRDefault="00007F6C" w:rsidP="00007F6C">
      <w:pPr>
        <w:numPr>
          <w:ilvl w:val="0"/>
          <w:numId w:val="25"/>
        </w:numPr>
        <w:spacing w:line="240" w:lineRule="auto"/>
        <w:jc w:val="both"/>
      </w:pPr>
      <w:r w:rsidRPr="004343E2">
        <w:t xml:space="preserve">The initial polarisation resistance of the infiltrated fuel electrode can be reduced by drying the catalyst </w:t>
      </w:r>
      <w:r w:rsidR="00EC45C7">
        <w:t xml:space="preserve">in an inert atmosphere prior to </w:t>
      </w:r>
      <w:proofErr w:type="gramStart"/>
      <w:r w:rsidRPr="004343E2">
        <w:t>calcination</w:t>
      </w:r>
      <w:proofErr w:type="gramEnd"/>
    </w:p>
    <w:p w14:paraId="77F51AE7" w14:textId="77777777" w:rsidR="00007F6C" w:rsidRPr="004343E2" w:rsidRDefault="00007F6C" w:rsidP="00007F6C">
      <w:pPr>
        <w:numPr>
          <w:ilvl w:val="0"/>
          <w:numId w:val="25"/>
        </w:numPr>
        <w:spacing w:line="240" w:lineRule="auto"/>
        <w:jc w:val="both"/>
      </w:pPr>
      <w:r w:rsidRPr="004343E2">
        <w:t xml:space="preserve">The degradation rate of infiltrated fuel electrodes can be reduced using </w:t>
      </w:r>
      <w:r>
        <w:t xml:space="preserve">a </w:t>
      </w:r>
      <w:r w:rsidRPr="004343E2">
        <w:t>N</w:t>
      </w:r>
      <w:r w:rsidRPr="004343E2">
        <w:rPr>
          <w:vertAlign w:val="subscript"/>
        </w:rPr>
        <w:t>2</w:t>
      </w:r>
      <w:r w:rsidRPr="004343E2">
        <w:t xml:space="preserve"> drying</w:t>
      </w:r>
      <w:r>
        <w:t xml:space="preserve"> </w:t>
      </w:r>
      <w:proofErr w:type="gramStart"/>
      <w:r>
        <w:t>step</w:t>
      </w:r>
      <w:proofErr w:type="gramEnd"/>
    </w:p>
    <w:p w14:paraId="11161285" w14:textId="15325089" w:rsidR="00007F6C" w:rsidRDefault="00007F6C" w:rsidP="00007F6C">
      <w:pPr>
        <w:pStyle w:val="Heading1"/>
      </w:pPr>
      <w:bookmarkStart w:id="292" w:name="_Toc69129400"/>
      <w:r>
        <w:t>4.2</w:t>
      </w:r>
      <w:r>
        <w:tab/>
      </w:r>
      <w:r w:rsidRPr="00644D81">
        <w:t xml:space="preserve">Experimental </w:t>
      </w:r>
      <w:r w:rsidR="006267CE">
        <w:t>P</w:t>
      </w:r>
      <w:r w:rsidRPr="00644D81">
        <w:t>rocedure</w:t>
      </w:r>
      <w:r>
        <w:t xml:space="preserve"> </w:t>
      </w:r>
      <w:r w:rsidR="006267CE">
        <w:t>O</w:t>
      </w:r>
      <w:r>
        <w:t>verview</w:t>
      </w:r>
      <w:bookmarkEnd w:id="292"/>
    </w:p>
    <w:p w14:paraId="16D142DF" w14:textId="77777777" w:rsidR="00007F6C" w:rsidRPr="003A125C" w:rsidRDefault="00007F6C" w:rsidP="00007F6C">
      <w:pPr>
        <w:jc w:val="both"/>
      </w:pPr>
      <w:r w:rsidRPr="003A125C">
        <w:t xml:space="preserve">The characterisation techniques used in this project are discussed in more detail in Chapter 3. </w:t>
      </w:r>
      <w:r>
        <w:t xml:space="preserve">The methods discussed below were used to characterise the wet impregnated fuel electrode samples used in this study. </w:t>
      </w:r>
    </w:p>
    <w:p w14:paraId="74FF3495" w14:textId="77777777" w:rsidR="00007F6C" w:rsidRDefault="00007F6C" w:rsidP="00007F6C">
      <w:pPr>
        <w:pStyle w:val="Heading2"/>
      </w:pPr>
      <w:bookmarkStart w:id="293" w:name="_Toc69129401"/>
      <w:r>
        <w:t>4.2.1</w:t>
      </w:r>
      <w:r>
        <w:tab/>
        <w:t>Sample preparation</w:t>
      </w:r>
      <w:bookmarkEnd w:id="293"/>
    </w:p>
    <w:p w14:paraId="7D913495" w14:textId="77777777" w:rsidR="00007F6C" w:rsidRDefault="00007F6C" w:rsidP="00007F6C">
      <w:pPr>
        <w:jc w:val="both"/>
      </w:pPr>
      <w:r>
        <w:t xml:space="preserve">The Ni-YSZ symmetrical cells were produced using the procedure detailed </w:t>
      </w:r>
      <w:r w:rsidRPr="00E431C5">
        <w:t>in Section 3.1.</w:t>
      </w:r>
      <w:r>
        <w:t xml:space="preserve"> A breakdown of the synthesis route is described Section 3.1. The key steps were:</w:t>
      </w:r>
    </w:p>
    <w:p w14:paraId="469B2D18" w14:textId="77777777" w:rsidR="00007F6C" w:rsidRDefault="00007F6C" w:rsidP="00007F6C">
      <w:pPr>
        <w:pStyle w:val="ListParagraph"/>
        <w:numPr>
          <w:ilvl w:val="0"/>
          <w:numId w:val="28"/>
        </w:numPr>
        <w:jc w:val="both"/>
      </w:pPr>
      <w:r>
        <w:t xml:space="preserve">Sintering of YSZ electrolyte pellet (1400 </w:t>
      </w:r>
      <w:r>
        <w:rPr>
          <w:rFonts w:cstheme="minorHAnsi"/>
        </w:rPr>
        <w:t>⁰</w:t>
      </w:r>
      <w:r>
        <w:t>C, 4 h)</w:t>
      </w:r>
    </w:p>
    <w:p w14:paraId="4A1DBA06" w14:textId="77777777" w:rsidR="00007F6C" w:rsidRDefault="00007F6C" w:rsidP="00007F6C">
      <w:pPr>
        <w:pStyle w:val="ListParagraph"/>
        <w:numPr>
          <w:ilvl w:val="0"/>
          <w:numId w:val="28"/>
        </w:numPr>
        <w:jc w:val="both"/>
      </w:pPr>
      <w:r>
        <w:t>Doctor blading of YSZ/C ink</w:t>
      </w:r>
    </w:p>
    <w:p w14:paraId="71765CE1" w14:textId="77777777" w:rsidR="00007F6C" w:rsidRDefault="00007F6C" w:rsidP="00007F6C">
      <w:pPr>
        <w:pStyle w:val="ListParagraph"/>
        <w:numPr>
          <w:ilvl w:val="0"/>
          <w:numId w:val="28"/>
        </w:numPr>
        <w:jc w:val="both"/>
      </w:pPr>
      <w:r>
        <w:t xml:space="preserve">Firing of porous YSZ ceramic backbone (1150 </w:t>
      </w:r>
      <w:r>
        <w:rPr>
          <w:rFonts w:cstheme="minorHAnsi"/>
        </w:rPr>
        <w:t>⁰</w:t>
      </w:r>
      <w:r>
        <w:t>C, 2 h)</w:t>
      </w:r>
    </w:p>
    <w:p w14:paraId="64D628BC" w14:textId="77777777" w:rsidR="00007F6C" w:rsidRDefault="00007F6C" w:rsidP="00007F6C">
      <w:pPr>
        <w:pStyle w:val="ListParagraph"/>
        <w:numPr>
          <w:ilvl w:val="0"/>
          <w:numId w:val="28"/>
        </w:numPr>
        <w:jc w:val="both"/>
      </w:pPr>
      <w:r>
        <w:t>Infiltration nickel nitrate solution</w:t>
      </w:r>
    </w:p>
    <w:p w14:paraId="06E59E06" w14:textId="77777777" w:rsidR="00007F6C" w:rsidRDefault="00007F6C" w:rsidP="00007F6C">
      <w:pPr>
        <w:pStyle w:val="ListParagraph"/>
        <w:numPr>
          <w:ilvl w:val="0"/>
          <w:numId w:val="28"/>
        </w:numPr>
        <w:jc w:val="both"/>
      </w:pPr>
      <w:r>
        <w:t>Drying of nickel catalysts at 120</w:t>
      </w:r>
      <w:r>
        <w:rPr>
          <w:rFonts w:cstheme="minorHAnsi"/>
        </w:rPr>
        <w:t>⁰</w:t>
      </w:r>
      <w:r>
        <w:t>C using either a flowing Air or N</w:t>
      </w:r>
      <w:r>
        <w:rPr>
          <w:vertAlign w:val="subscript"/>
        </w:rPr>
        <w:t>2</w:t>
      </w:r>
      <w:r>
        <w:t xml:space="preserve"> atmosphere</w:t>
      </w:r>
    </w:p>
    <w:p w14:paraId="31EC0AF9" w14:textId="77777777" w:rsidR="00007F6C" w:rsidRDefault="00007F6C" w:rsidP="00007F6C">
      <w:pPr>
        <w:pStyle w:val="ListParagraph"/>
        <w:numPr>
          <w:ilvl w:val="0"/>
          <w:numId w:val="28"/>
        </w:numPr>
        <w:jc w:val="both"/>
      </w:pPr>
      <w:r>
        <w:t>Calcination of infiltrated media using either a flowing Air or N</w:t>
      </w:r>
      <w:r>
        <w:rPr>
          <w:vertAlign w:val="subscript"/>
        </w:rPr>
        <w:t>2</w:t>
      </w:r>
      <w:r>
        <w:t xml:space="preserve"> atmosphere</w:t>
      </w:r>
    </w:p>
    <w:p w14:paraId="476DAE2D" w14:textId="77777777" w:rsidR="00007F6C" w:rsidRDefault="00007F6C" w:rsidP="00007F6C">
      <w:pPr>
        <w:jc w:val="both"/>
      </w:pPr>
      <w:r>
        <w:t xml:space="preserve">The air and nitrogen dried samples were denoted using the nomenclature shown in </w:t>
      </w:r>
      <w:r>
        <w:fldChar w:fldCharType="begin"/>
      </w:r>
      <w:r>
        <w:instrText xml:space="preserve"> REF _Ref51227052 \h </w:instrText>
      </w:r>
      <w:r>
        <w:fldChar w:fldCharType="separate"/>
      </w:r>
      <w:r>
        <w:t>Table 4.</w:t>
      </w:r>
      <w:r>
        <w:rPr>
          <w:noProof/>
        </w:rPr>
        <w:t>1</w:t>
      </w:r>
      <w:r>
        <w:fldChar w:fldCharType="end"/>
      </w:r>
      <w:r>
        <w:t xml:space="preserve"> below:</w:t>
      </w:r>
    </w:p>
    <w:p w14:paraId="55BFC545" w14:textId="2418B974" w:rsidR="00007F6C" w:rsidRDefault="00007F6C" w:rsidP="00007F6C">
      <w:pPr>
        <w:pStyle w:val="Caption"/>
        <w:keepNext/>
      </w:pPr>
      <w:bookmarkStart w:id="294" w:name="_Ref50298228"/>
      <w:bookmarkStart w:id="295" w:name="_Ref51227052"/>
      <w:r>
        <w:t>Table 4.</w:t>
      </w:r>
      <w:bookmarkEnd w:id="294"/>
      <w:r>
        <w:fldChar w:fldCharType="begin"/>
      </w:r>
      <w:r>
        <w:instrText xml:space="preserve"> SEQ Table \* ARABIC \r 1 </w:instrText>
      </w:r>
      <w:r>
        <w:fldChar w:fldCharType="separate"/>
      </w:r>
      <w:r w:rsidR="0022061C">
        <w:rPr>
          <w:noProof/>
        </w:rPr>
        <w:t>1</w:t>
      </w:r>
      <w:r>
        <w:fldChar w:fldCharType="end"/>
      </w:r>
      <w:bookmarkEnd w:id="295"/>
      <w:r>
        <w:t xml:space="preserve">: Table detailing the different gas atmospheres trialled during this body of experimental </w:t>
      </w:r>
      <w:proofErr w:type="gramStart"/>
      <w:r>
        <w:t>work</w:t>
      </w:r>
      <w:proofErr w:type="gramEnd"/>
    </w:p>
    <w:tbl>
      <w:tblPr>
        <w:tblStyle w:val="TableGrid"/>
        <w:tblW w:w="0" w:type="auto"/>
        <w:jc w:val="center"/>
        <w:tblLook w:val="04A0" w:firstRow="1" w:lastRow="0" w:firstColumn="1" w:lastColumn="0" w:noHBand="0" w:noVBand="1"/>
      </w:tblPr>
      <w:tblGrid>
        <w:gridCol w:w="1969"/>
        <w:gridCol w:w="2390"/>
        <w:gridCol w:w="2009"/>
      </w:tblGrid>
      <w:tr w:rsidR="00007F6C" w14:paraId="171CD6FA" w14:textId="77777777" w:rsidTr="005E2F1E">
        <w:trPr>
          <w:jc w:val="center"/>
        </w:trPr>
        <w:tc>
          <w:tcPr>
            <w:tcW w:w="0" w:type="auto"/>
          </w:tcPr>
          <w:p w14:paraId="38FFC880" w14:textId="77777777" w:rsidR="00007F6C" w:rsidRPr="00854D4E" w:rsidRDefault="00007F6C" w:rsidP="005E2F1E">
            <w:pPr>
              <w:rPr>
                <w:b/>
              </w:rPr>
            </w:pPr>
            <w:r w:rsidRPr="00854D4E">
              <w:rPr>
                <w:b/>
              </w:rPr>
              <w:t>Drying atmosphere</w:t>
            </w:r>
          </w:p>
        </w:tc>
        <w:tc>
          <w:tcPr>
            <w:tcW w:w="0" w:type="auto"/>
          </w:tcPr>
          <w:p w14:paraId="47BBA793" w14:textId="77777777" w:rsidR="00007F6C" w:rsidRPr="00854D4E" w:rsidRDefault="00007F6C" w:rsidP="005E2F1E">
            <w:pPr>
              <w:rPr>
                <w:b/>
              </w:rPr>
            </w:pPr>
            <w:r w:rsidRPr="00854D4E">
              <w:rPr>
                <w:b/>
              </w:rPr>
              <w:t>Calcination atmosphere</w:t>
            </w:r>
          </w:p>
        </w:tc>
        <w:tc>
          <w:tcPr>
            <w:tcW w:w="0" w:type="auto"/>
          </w:tcPr>
          <w:p w14:paraId="05187A6A" w14:textId="77777777" w:rsidR="00007F6C" w:rsidRPr="00854D4E" w:rsidRDefault="00007F6C" w:rsidP="005E2F1E">
            <w:pPr>
              <w:rPr>
                <w:b/>
              </w:rPr>
            </w:pPr>
            <w:r>
              <w:rPr>
                <w:b/>
              </w:rPr>
              <w:t>Sample designation</w:t>
            </w:r>
          </w:p>
        </w:tc>
      </w:tr>
      <w:tr w:rsidR="00007F6C" w14:paraId="5D251EAB" w14:textId="77777777" w:rsidTr="005E2F1E">
        <w:trPr>
          <w:jc w:val="center"/>
        </w:trPr>
        <w:tc>
          <w:tcPr>
            <w:tcW w:w="0" w:type="auto"/>
          </w:tcPr>
          <w:p w14:paraId="486FFD93" w14:textId="77777777" w:rsidR="00007F6C" w:rsidRPr="00F30C9B" w:rsidRDefault="00007F6C" w:rsidP="005E2F1E">
            <w:pPr>
              <w:jc w:val="center"/>
            </w:pPr>
            <w:r>
              <w:t>N</w:t>
            </w:r>
            <w:r>
              <w:rPr>
                <w:vertAlign w:val="subscript"/>
              </w:rPr>
              <w:t>2</w:t>
            </w:r>
          </w:p>
        </w:tc>
        <w:tc>
          <w:tcPr>
            <w:tcW w:w="0" w:type="auto"/>
          </w:tcPr>
          <w:p w14:paraId="0B5FD88E" w14:textId="77777777" w:rsidR="00007F6C" w:rsidRPr="00F30C9B" w:rsidRDefault="00007F6C" w:rsidP="005E2F1E">
            <w:pPr>
              <w:jc w:val="center"/>
            </w:pPr>
            <w:r>
              <w:t>N</w:t>
            </w:r>
            <w:r>
              <w:rPr>
                <w:vertAlign w:val="subscript"/>
              </w:rPr>
              <w:t>2</w:t>
            </w:r>
          </w:p>
        </w:tc>
        <w:tc>
          <w:tcPr>
            <w:tcW w:w="0" w:type="auto"/>
          </w:tcPr>
          <w:p w14:paraId="7703857E" w14:textId="77777777" w:rsidR="00007F6C" w:rsidRPr="00D45E04" w:rsidRDefault="00007F6C" w:rsidP="005E2F1E">
            <w:pPr>
              <w:jc w:val="center"/>
            </w:pPr>
            <w:r>
              <w:t>ND NC (N</w:t>
            </w:r>
            <w:r>
              <w:rPr>
                <w:vertAlign w:val="subscript"/>
              </w:rPr>
              <w:t>2</w:t>
            </w:r>
            <w:r>
              <w:t xml:space="preserve"> DC)</w:t>
            </w:r>
          </w:p>
        </w:tc>
      </w:tr>
      <w:tr w:rsidR="00007F6C" w14:paraId="6B37458A" w14:textId="77777777" w:rsidTr="005E2F1E">
        <w:trPr>
          <w:jc w:val="center"/>
        </w:trPr>
        <w:tc>
          <w:tcPr>
            <w:tcW w:w="0" w:type="auto"/>
          </w:tcPr>
          <w:p w14:paraId="74167589" w14:textId="77777777" w:rsidR="00007F6C" w:rsidRPr="00F30C9B" w:rsidRDefault="00007F6C" w:rsidP="005E2F1E">
            <w:pPr>
              <w:jc w:val="center"/>
            </w:pPr>
            <w:r>
              <w:t>N</w:t>
            </w:r>
            <w:r>
              <w:rPr>
                <w:vertAlign w:val="subscript"/>
              </w:rPr>
              <w:t>2</w:t>
            </w:r>
          </w:p>
        </w:tc>
        <w:tc>
          <w:tcPr>
            <w:tcW w:w="0" w:type="auto"/>
          </w:tcPr>
          <w:p w14:paraId="1CA80CCC" w14:textId="77777777" w:rsidR="00007F6C" w:rsidRDefault="00007F6C" w:rsidP="005E2F1E">
            <w:pPr>
              <w:jc w:val="center"/>
            </w:pPr>
            <w:r>
              <w:t>Air</w:t>
            </w:r>
          </w:p>
        </w:tc>
        <w:tc>
          <w:tcPr>
            <w:tcW w:w="0" w:type="auto"/>
          </w:tcPr>
          <w:p w14:paraId="75FFA3AE" w14:textId="77777777" w:rsidR="00007F6C" w:rsidRDefault="00007F6C" w:rsidP="005E2F1E">
            <w:pPr>
              <w:jc w:val="center"/>
            </w:pPr>
            <w:r>
              <w:t>ND AC</w:t>
            </w:r>
          </w:p>
        </w:tc>
      </w:tr>
      <w:tr w:rsidR="00007F6C" w14:paraId="1FB110B3" w14:textId="77777777" w:rsidTr="005E2F1E">
        <w:trPr>
          <w:jc w:val="center"/>
        </w:trPr>
        <w:tc>
          <w:tcPr>
            <w:tcW w:w="0" w:type="auto"/>
          </w:tcPr>
          <w:p w14:paraId="4273BEBC" w14:textId="77777777" w:rsidR="00007F6C" w:rsidRDefault="00007F6C" w:rsidP="005E2F1E">
            <w:pPr>
              <w:jc w:val="center"/>
            </w:pPr>
            <w:r>
              <w:t>Air</w:t>
            </w:r>
          </w:p>
        </w:tc>
        <w:tc>
          <w:tcPr>
            <w:tcW w:w="0" w:type="auto"/>
          </w:tcPr>
          <w:p w14:paraId="6D691905" w14:textId="77777777" w:rsidR="00007F6C" w:rsidRDefault="00007F6C" w:rsidP="005E2F1E">
            <w:pPr>
              <w:jc w:val="center"/>
            </w:pPr>
            <w:r>
              <w:t>Air</w:t>
            </w:r>
          </w:p>
        </w:tc>
        <w:tc>
          <w:tcPr>
            <w:tcW w:w="0" w:type="auto"/>
          </w:tcPr>
          <w:p w14:paraId="73F1D624" w14:textId="77777777" w:rsidR="00007F6C" w:rsidRDefault="00007F6C" w:rsidP="005E2F1E">
            <w:pPr>
              <w:jc w:val="center"/>
            </w:pPr>
            <w:r>
              <w:t>AD AC (Air DC)</w:t>
            </w:r>
          </w:p>
        </w:tc>
      </w:tr>
      <w:tr w:rsidR="00007F6C" w14:paraId="299FC12C" w14:textId="77777777" w:rsidTr="005E2F1E">
        <w:trPr>
          <w:jc w:val="center"/>
        </w:trPr>
        <w:tc>
          <w:tcPr>
            <w:tcW w:w="0" w:type="auto"/>
          </w:tcPr>
          <w:p w14:paraId="66DA72F9" w14:textId="77777777" w:rsidR="00007F6C" w:rsidRDefault="00007F6C" w:rsidP="005E2F1E">
            <w:pPr>
              <w:jc w:val="center"/>
            </w:pPr>
            <w:r>
              <w:t>Air</w:t>
            </w:r>
          </w:p>
        </w:tc>
        <w:tc>
          <w:tcPr>
            <w:tcW w:w="0" w:type="auto"/>
          </w:tcPr>
          <w:p w14:paraId="6579B364" w14:textId="77777777" w:rsidR="00007F6C" w:rsidRPr="00F30C9B" w:rsidRDefault="00007F6C" w:rsidP="005E2F1E">
            <w:pPr>
              <w:jc w:val="center"/>
            </w:pPr>
            <w:r>
              <w:t>N</w:t>
            </w:r>
            <w:r>
              <w:rPr>
                <w:vertAlign w:val="subscript"/>
              </w:rPr>
              <w:t>2</w:t>
            </w:r>
          </w:p>
        </w:tc>
        <w:tc>
          <w:tcPr>
            <w:tcW w:w="0" w:type="auto"/>
          </w:tcPr>
          <w:p w14:paraId="08E3E39D" w14:textId="77777777" w:rsidR="00007F6C" w:rsidRDefault="00007F6C" w:rsidP="005E2F1E">
            <w:pPr>
              <w:jc w:val="center"/>
            </w:pPr>
            <w:r>
              <w:t>AD NC</w:t>
            </w:r>
          </w:p>
        </w:tc>
      </w:tr>
    </w:tbl>
    <w:p w14:paraId="70C2853B" w14:textId="77777777" w:rsidR="00007F6C" w:rsidRDefault="00007F6C" w:rsidP="00007F6C"/>
    <w:p w14:paraId="717E16E0" w14:textId="405D3DAE" w:rsidR="00007F6C" w:rsidRDefault="00007F6C" w:rsidP="00007F6C">
      <w:pPr>
        <w:jc w:val="both"/>
      </w:pPr>
      <w:r>
        <w:t xml:space="preserve">This temperature was selected as it lies between the lowest calcination temperature of nickel nitrate and the Tammann temperature of nickel metal </w:t>
      </w:r>
      <w:r>
        <w:fldChar w:fldCharType="begin" w:fldLock="1"/>
      </w:r>
      <w:r w:rsidR="00D80A5D">
        <w:instrText>ADDIN CSL_CITATION {"citationItems":[{"id":"ITEM-1","itemData":{"DOI":"10.1002/zaac.19191070102","abstract":"Abstract Übersicht S.1.– 1. Die regellose Verteilung zweier Molekülarten S.9.–2. Die regelmäßigen Verteilungen zweier Atomarten in Raumgittern S. 15.–3. Die bei der Extraktion mit Salpetersäure verbleibenden Rückstände der Gold - Silber- und Gold -Kupferlegierungen S. 49. – 4. Vorläufige Bestimmung der Einwirkungsgrenzen von schwefelhaltigen Agentien und schwachen Oxydationsmitteln auf die Cu-Au-Mischkristalle und der Einfluß der Temperatur auf diese Einwirkungsgrenzen S. 57 – 5. Genauere Bestimmung der Einwirkungsgrenzen auf die Cu-Au- und Ag-Au-Mischkristalle in Abhängigkeit von der Natur der chemischen Agentien S. 62. – 6. Über die Löslichkeit von Wasserstoff in Palladiummischkristallen S. 89. – 7. Deutung der Einwirkungsgrenzen S. 96. – 8. Das Verhalten der ternären Mischkristalle von Cu, Ag und Au gegen chemische Agentien und ihre Farben S. 107. – 9. Die Einwirkungsgrenzen der Mischkristalle des Vanadins und Siliciums mit Eisen S. 118.–10. Die galvanischen Spannungen der Legierungen S. 136.– 11. Angenäherte Bestimmung der Einwirkungsgrenzen auf die Mischkristallreihen des Mn mit Ag und die des Mg mit Ag S. 169. – 12. Über den Einfluß der Kaltbearbeitung auf die chemischen Einwirkungsgrenzen S. 171. – 13. Zusammenfassung der Resultate, betreffend die Einwirkungsgrenzen und Übersicht ihrer Deutung S. 186. – 14. Über den atomistischen Aufbau nichtmetallischer Mischkristalle S. 186.– 15. Die normale Molekülverteilung in Mischkristallen als Ursache ihrer anomalen Doppelbrechung S. 208. – 16. Isomere metallische Mischkristalle S. 217.–17. Bemerkungen über „Säure”︁ beständige Legierungen S.235.– Schlußwort S.237.","author":[{"dropping-particle":"","family":"Tammann","given":"G","non-dropping-particle":"","parse-names":false,"suffix":""}],"container-title":"Zeitschrift für anorganische und allgemeine Chemie","id":"ITEM-1","issue":"1","issued":{"date-parts":[["1919"]]},"page":"1-239","title":"Zum Gedächtnis der Entdeckung des Isomorphismus vor 100 Jahren. Die chemischen und galvanischen Eigenschaften von Mischkristallreihen und ihre Atomverteilung","type":"article-journal","volume":"107"},"uris":["http://www.mendeley.com/documents/?uuid=6284032c-9c7e-43bd-bed0-65f21129f2be"]}],"mendeley":{"formattedCitation":"[238]","plainTextFormattedCitation":"[238]","previouslyFormattedCitation":"[238]"},"properties":{"noteIndex":0},"schema":"https://github.com/citation-style-language/schema/raw/master/csl-citation.json"}</w:instrText>
      </w:r>
      <w:r>
        <w:fldChar w:fldCharType="separate"/>
      </w:r>
      <w:r w:rsidR="006C586A" w:rsidRPr="006C586A">
        <w:rPr>
          <w:noProof/>
        </w:rPr>
        <w:t>[238]</w:t>
      </w:r>
      <w:r>
        <w:fldChar w:fldCharType="end"/>
      </w:r>
      <w:r>
        <w:t xml:space="preserve">. The removal of the nitrate phase must be as efficient as possible during the calcination step to ensure that as much </w:t>
      </w:r>
      <w:proofErr w:type="spellStart"/>
      <w:r>
        <w:t>NiO</w:t>
      </w:r>
      <w:proofErr w:type="spellEnd"/>
      <w:r>
        <w:t xml:space="preserve"> and consequently nickel is available for the fuel oxidation reaction in the cell.</w:t>
      </w:r>
    </w:p>
    <w:p w14:paraId="0D4085B1" w14:textId="77777777" w:rsidR="00007F6C" w:rsidRDefault="00007F6C" w:rsidP="00007F6C">
      <w:pPr>
        <w:pStyle w:val="Heading2"/>
      </w:pPr>
      <w:bookmarkStart w:id="296" w:name="_Ref41036362"/>
      <w:bookmarkStart w:id="297" w:name="_Toc69129402"/>
      <w:r>
        <w:t>4.2.2 X-ray Diffraction</w:t>
      </w:r>
      <w:bookmarkEnd w:id="296"/>
      <w:bookmarkEnd w:id="297"/>
    </w:p>
    <w:p w14:paraId="7F558394" w14:textId="77777777" w:rsidR="00007F6C" w:rsidRPr="00D23442" w:rsidRDefault="00007F6C" w:rsidP="00007F6C">
      <w:pPr>
        <w:jc w:val="both"/>
      </w:pPr>
      <w:r w:rsidRPr="00D23442">
        <w:t xml:space="preserve">Primarily the X-ray diffraction performed was used to confirm that </w:t>
      </w:r>
      <w:proofErr w:type="spellStart"/>
      <w:r w:rsidRPr="00D23442">
        <w:t>NiO</w:t>
      </w:r>
      <w:proofErr w:type="spellEnd"/>
      <w:r w:rsidRPr="00D23442">
        <w:t xml:space="preserve"> had been produced after the calcination step during the production of the wet impregnated symmetrical samples. The purity of the product was also monitored with Fourier Transform Infrared Spectroscopy (See Section 4.3.1)</w:t>
      </w:r>
    </w:p>
    <w:p w14:paraId="0EA5D262" w14:textId="6A544DB6" w:rsidR="00007F6C" w:rsidRDefault="00007F6C" w:rsidP="00007F6C">
      <w:pPr>
        <w:jc w:val="both"/>
        <w:rPr>
          <w:rFonts w:cstheme="minorHAnsi"/>
        </w:rPr>
      </w:pPr>
      <w:r>
        <w:rPr>
          <w:rFonts w:cstheme="minorHAnsi"/>
        </w:rPr>
        <w:t xml:space="preserve">X-ray diffraction has a detection limit of up to 1 % per volume of the sample </w:t>
      </w:r>
      <w:r>
        <w:rPr>
          <w:rFonts w:cstheme="minorHAnsi"/>
        </w:rPr>
        <w:fldChar w:fldCharType="begin" w:fldLock="1"/>
      </w:r>
      <w:r w:rsidR="008B6E91">
        <w:rPr>
          <w:rFonts w:cstheme="minorHAnsi"/>
        </w:rPr>
        <w:instrText>ADDIN CSL_CITATION {"citationItems":[{"id":"ITEM-1","itemData":{"URL":"http://www.nf-itwg.org/pdfs/ITWG-INFL-PXRD.pdf","accessed":{"date-parts":[["2020","5","27"]]},"author":[{"dropping-particle":"","family":"Schwartz","given":"D.","non-dropping-particle":"","parse-names":false,"suffix":""}],"id":"ITEM-1","issued":{"date-parts":[["2015"]]},"page":"3-6","title":"ITWG Guideline on Powder X-Ray Diffraction (XRD)","type":"webpage"},"uris":["http://www.mendeley.com/documents/?uuid=950811e5-bb07-4e2f-941d-de111c72c14b"]},{"id":"ITEM-2","itemData":{"DOI":"10.1002/cite.201100101","ISBN":"0009286X (ISSN)","abstract":"Catalysts containing transition metals like nickel are frequently used in technical hydrogenation reactions. Typically their activity and selectivity are determined via metal dispersion. XRD, H 2 TPD, volumetric chemisorption of H 2 and CO pulse chemisorption were applied to determine the Ni crystallite size of Ni-containing catalysts. The methods were compared with regard to their information content and validity as well as their applicability in quality control during industrial manufacturing of catalysts. Pulse chemisorption of CO showed the best results for utilization in quality control. The Ni crystallite size of Ni-containing catalysts was determined by different techniques: XRD, H 2 TPD, volumetric chemisorption of H 2 and CO pulse chemisorption with hydrogen as carrier gas. It was shown that the most cost effective method is the pulse chemisorption of CO for quality control during catalyst manufacturing. © 2012 WILEY-VCH Verlag GmbH &amp;amp; Co. KGaA, Weinheim.","author":[{"dropping-particle":"","family":"Geyer","given":"R","non-dropping-particle":"","parse-names":false,"suffix":""},{"dropping-particle":"","family":"Hunold","given":"J","non-dropping-particle":"","parse-names":false,"suffix":""},{"dropping-particle":"","family":"Keck","given":"M","non-dropping-particle":"","parse-names":false,"suffix":""},{"dropping-particle":"","family":"Kraak","given":"P","non-dropping-particle":"","parse-names":false,"suffix":""},{"dropping-particle":"","family":"Pachulski","given":"A","non-dropping-particle":"","parse-names":false,"suffix":""},{"dropping-particle":"","family":"Schödel","given":"R","non-dropping-particle":"","parse-names":false,"suffix":""}],"container-title":"Chemie-Ingenieur-Technik","id":"ITEM-2","issue":"1-2","issued":{"date-parts":[["2012"]]},"language":"English","note":"Cited By :15\nExport Date: 16 March 2017\nCODEN: CITEA\nCorrespondence Address: Pachulski, A.; KataLeuna GmbH Catalysts, Am Haupttor, Gebäude 8322, 06237 Leuna, Germany; email: Axel.Pachulski@cri-criterion.com\nReferences: Hu, S., Xue, M., Chen, H., Shen, J., (2010) Chem. Eng. J., 162 (1), p. 371. , DOI: 10.1016/j.cej.2010.05.019; Masalska, A., (2008) Catal. Today, 137 (24), p. 439. , DOI: 10.1016/j.cattod.2008.01.009; Pawelec, B., Castano, P., Arandes, J.M., Bilbao, J., Thomas, S., Pena, M.A., Fierro, J.L.G., Factors influencing the thioresistance of nickel catalysts in aromatics hydrogenation (2007) Applied Catalysis A: General, 317 (1), pp. 20-33. , DOI 10.1016/j.apcata.2006.09.035, PII S0926860X06007083; Schimpf, S., Louis, C., Claus, P., Ni/SiO 2 catalysts prepared with ethylenediamine nickel precursors: Influence of the pretreatment on the catalytic properties in glucose hydrogenation (2007) Applied Catalysis A: General, 318, pp. 45-53. , DOI 10.1016/j.apcata.2006.10.034, PII S0926860X0600771X; Jeon, J.-K., Yim, J.-H., Park, Y.K., (2008) Chem. Eng. J., 140 (13), p. 555. , DOI: 10.1016/j.cej.2007.12.004; Rajadhyaksha, R.A., Karwa, S.L., Solvent effects in catalytic hydrogenation (1986) Chemical Engineering Science, 41 (7), pp. 1765-1770. , DOI 10.1016/0009-2509(86)87055-5; Varga, K., Kutsan, G., Hannus, I., Kiricsi, I., Halasz, J., Fejes, P., (1991) Appl. Catal., 69 (1), p. 75. , DOI: 10.1016/S0166-9834(00)83292-3; Brooks, C.S., Christopher, G.L.M., (1968) J. Catal., 10 (3), p. 211. , DOI: 10.1016/S0021-9517(68)80001-6; Vannice, M.A., (1978) J. Catal., 44, p. 152; Varga, K., Kutsán, G., Hannus, I., Kiricsi, I., Halász, J., Fejes, P., (1991) Appl. Catal., 69 (1), p. 75; Bartholomew, C.H., Pannell, R.B., (1980) J. Catal., 65 (2), p. 390. , DOI: 10.1016/0021-9517(80)90316-4; Mustard, D.G., Bartholomew, C.H., (1981) J. Catal., 67 (1), p. 186. , DOI: 10.1016/0021-9517(81)90271-2; Mirodatos, C., Praliaud, H., Primet, M., (1987) J.Catal., 107 (2), p. 275. , DOI: 10.1016/0021-9517(87)90294-6; Hoang-Van, C., Kachaya, Y., Teichner, S.J., (1989) Appl. Catal., 46 (2), p. 281. , DOI: 10.1016/S0166-9834(00)81123-9; Narayanan, S., Unnikrishnan, R., Vishwanathan, V., (1995) Appl. Catal., A, 129 (1), p. 9. , DOI: 10.1016/0926-860X(95)00087-9; Miao, Q., Xiong, G., Sheng, S., Cui, W., Xu, L., Guo, X., (1997) Appl. Catal., A, 154 (12), p. 17. , DOI: 10.1016/S0926-860X(96)00377-8; Yan, Q.G., Weng, W.Z., Wan, H.L., Toghiani, H., Toghiani, R.K., Pittman Jr., C.U., (2003) Appl. Catal., A, 239 (12), p. 43. , DOI: 10.1016/S0926-860X(02)00351-4; Natesakhawat, S., Oktar, O., Ozkan, U.S., (2005) J. Mol. Catal. A: Chem., 241, p. 133. , DOI: 10.1016/j.molcata.2005.07.017; Pawelec, B., Castano, P., Arandes, J.M., Bilbao, J., Thomas, S., Pena, M.A., Fierro, J.L.G., Factors influencing the thioresistance of nickel catalysts in aromatics hydrogenation (2007) Applied Catalysis A: General, 317 (1), pp. 20-33. , DOI 10.1016/j.apcata.2006.09.035, PII S0926860X06007083; Zhang, Q., Wang, H., Sun, G., Huang, K., Fang, W., Yang, Y., (2009) Catal. Commun., 10 (14), p. 1796. , DOI: 10.1016/j.catcom.2009.05.025; Krämer, M., Stöwe, K., Duisberg, M., Müller, F., Reiser, M., Sticher, S., Maier, W.F., (2009) Appl. Catal., A, 369 (12), p. 42. , DOI: 10.1016/j.apcata.2009.08.027; Qiujie, S., Zhijun, L., Bin, L., Xuejuan, H., (2009) J. Rare Earths, 27 (3), p. 443. , DOI: 10.1016/S1002-0721(08)60267-7; Ko, E.I., Hupp, J.M., Rogan, F.H., Wagner, N.J., (1983) J. Catal., 84 (1), p. 85. , DOI: 10.1016/0021-9517(83)90088-X; Arena, F., Horrell, B.A., Cocke, D.L., Parmalina, A., Giordano, N., (1991) J. Catal., 132 (1), p. 58. , DOI: 10.1016/0021-9517(91)90246-Z; Dias, J.A.C., Assaf, J.M., The advantages of air addition on the methane steam reforming over Ni/γ-Al 2O 3 (2004) Journal of Power Sources, 137 (2), pp. 264-268. , DOI 10.1016/j.jpowsour.2004.05.031; Wojcieszak, R., Monteverdi, S., Mercy, M., Nowak, I., Ziolek, M., Bettahar, M.M., (2004) Appl. Catal., A, 268 (12), p. 241. , DOI: 10.1016/j.apcata.2004.03.047; Boudjahem, A.G., Monteverdi, S., Mercy, M., Bettahar, M.M., (2004) J. Catal., 221 (2), p. 325. , DOI: 10.1016/j.jcat.2003.08.002; Velu, S., Gangwal, S.K., (2006) Solid State Ionics, 177 (78), p. 803; Keane, M.A., Webb, G., (1992) J.Catal., 136 (1), p. 1. , DOI: 10.1016/0021-9517(92)90101-M; Cesteros, Y., Salagre, P., Medina, F., Sueiras, J.E., Synthesis and characterization of several Ni/NiAl 2O 4 catalysts active for the 1,2,4-trichlorobenzene hydrodechlorination (2000) Applied Catalysis B: Environmental, 25 (4), pp. 213-227. , DOI 10.1016/S0926-3373(99)00133-2, PII S0926337399001332; Roh, H., Potdar, H.S., Jun, K.-W., (2004) Catal. Today, 93, p. 39. , DOI: 10.1016/j.cattod.2004.05.012; Pengpanich, S., Meeyoo, V., Rirksomboon, T., (2004) Catal. Today, p. 95. , 93 - 95, DOI: 10.1016/j.cattod.2004.06.079; Chary, K.V.R., Rao, P.V.R., Vishwanathan, V., Synthesis and high performance of ceria supported nickel catalysts for hydrodechlorination reaction (2006) Catalysis Communications, 7 (12), pp. 974-978. , DOI 10.1016/j.catcom.2006.04.013, PII S1566736706001191; Lohrengel, G., Baerns, M., (1981) Appl. Catal., 1 (12), p. 31. , DOI: 10.1016/0166-9834(81)80016-4; Cerro-Alarcon, M., Bachiller-Baeza, B., Guerrero-Ruiz, A., Rodriguez-Ramos, I., Effect of the reduction-preparation method on the surface states and catalytic properties of supported-nickel particles (2006) Journal of Molecular Catalysis A: Chemical, 258 (1-2), pp. 221-230. , DOI 10.1016/j.molcata.2006.05.056, PII S1381116906008727; Guo, J., Lou, H., Zhao, H., Chai, D., Zheng, X., (2004) Appl. Catal., A, 273 (12), p. 75. , DOI: 10.1016/j.apcata.2004.06.014; Rasmussen, F.B., Sehested, J., Teunissen, H.T., Molenbroek, A.M., Clausen, B.S., (2004) Appl. Catal., A, 267 (12), p. 165. , DOI: 10.1016/j.apcata.2004.03.001; Richardson, J.T., Desai, P., (1976) J. Catal., 42 (2), p. 294. , DOI: 10.1016/0021-9517(76)90265-7; Richardson, J.T., Dubus, R.J., (1978) J. Catal., 54 (2), p. 207. , DOI: 10.1016/0021-9517(78)90043-X; Zagli, A.E., Falconer, J.L., Keenan, C.A., (1979) J. Catal., 56 (3), p. 453. , DOI: 10.1016/0021-9517(79)90136-2; Smith, J.S., Thrower, P.A., Vannice, M.A., (1981) J. Catal., 68 (2), p. 270. , DOI: 10.1016/0021-9517(81)90097-X","page":"160-164","title":"Methods for determining the metal crystallite size of Ni supported catalysts","type":"article-journal","volume":"84"},"uris":["http://www.mendeley.com/documents/?uuid=61a2aa1c-a8c0-4f7d-94ea-4830e9198cf4"]},{"id":"ITEM-3","itemData":{"ISBN":"9781786340832","author":[{"dropping-particle":"","family":"Prins","given":"R","non-dropping-particle":"","parse-names":false,"suffix":""},{"dropping-particle":"","family":"Wang","given":"A","non-dropping-particle":"","parse-names":false,"suffix":""},{"dropping-particle":"","family":"Li","given":"X","non-dropping-particle":"","parse-names":false,"suffix":""}],"collection-title":"Advanced Tetxtbooks in Chemistry","id":"ITEM-3","issued":{"date-parts":[["2016"]]},"publisher":"World Scientific Publishing Company","title":"Introduction to Heterogeneous Catalysis","type":"book"},"uris":["http://www.mendeley.com/documents/?uuid=791c55bd-09cb-4693-a698-17d41c597b23"]},{"id":"ITEM-4","itemData":{"DOI":"10.1002/(sici)1099-0739(200004)14:4&lt;227::aid-aoc949&gt;3.0.co;2-f","ISSN":"0268-2605","author":[{"dropping-particle":"","family":"West","given":"Anthony R.","non-dropping-particle":"","parse-names":false,"suffix":""}],"container-title":"Applied Organometallic Chemistry","edition":"2nd","id":"ITEM-4","issue":"4","issued":{"date-parts":[["2000"]]},"number-of-pages":"227-228","publisher":"Wiley-Blackwell","title":"Basic Solid State Chemistry","type":"book","volume":"14"},"uris":["http://www.mendeley.com/documents/?uuid=cfc7d172-f48b-4960-bd9a-272da03540f8"]},{"id":"ITEM-5","itemData":{"ISBN":"9783527292882","author":[{"dropping-particle":"","family":"Thomas","given":"J M","non-dropping-particle":"","parse-names":false,"suffix":""},{"dropping-particle":"","family":"Thomas","given":"W J","non-dropping-particle":"","parse-names":false,"suffix":""}],"id":"ITEM-5","issued":{"date-parts":[["1997"]]},"publisher":"VCH","title":"Principles and practice of heterogeneous catalysis","type":"book"},"uris":["http://www.mendeley.com/documents/?uuid=8987bcb7-a496-460f-bac8-295454041508"]}],"mendeley":{"formattedCitation":"[294], [297], [319], [375], [376]","plainTextFormattedCitation":"[294], [297], [319], [375], [376]","previouslyFormattedCitation":"[294], [297], [319], [375], [376]"},"properties":{"noteIndex":0},"schema":"https://github.com/citation-style-language/schema/raw/master/csl-citation.json"}</w:instrText>
      </w:r>
      <w:r>
        <w:rPr>
          <w:rFonts w:cstheme="minorHAnsi"/>
        </w:rPr>
        <w:fldChar w:fldCharType="separate"/>
      </w:r>
      <w:r w:rsidR="00237E21" w:rsidRPr="00237E21">
        <w:rPr>
          <w:rFonts w:cstheme="minorHAnsi"/>
          <w:noProof/>
        </w:rPr>
        <w:t>[294], [297], [319], [375], [376]</w:t>
      </w:r>
      <w:r>
        <w:rPr>
          <w:rFonts w:cstheme="minorHAnsi"/>
        </w:rPr>
        <w:fldChar w:fldCharType="end"/>
      </w:r>
      <w:r>
        <w:rPr>
          <w:rFonts w:cstheme="minorHAnsi"/>
        </w:rPr>
        <w:t>. However, the wet impregnated samples used in this work had a Ni content of 20 vol %, ensuring that the catalyst would be detected with the Bruker D2 XRD phaser.</w:t>
      </w:r>
    </w:p>
    <w:p w14:paraId="0A84B8C5" w14:textId="34E1D34E" w:rsidR="00007F6C" w:rsidRPr="00B309DD" w:rsidRDefault="008C7ED1" w:rsidP="00007F6C">
      <w:pPr>
        <w:pStyle w:val="Heading3"/>
      </w:pPr>
      <w:bookmarkStart w:id="298" w:name="_Toc69129403"/>
      <w:r>
        <w:lastRenderedPageBreak/>
        <w:t xml:space="preserve">4.2.2.1 </w:t>
      </w:r>
      <w:r w:rsidR="00007F6C" w:rsidRPr="00B309DD">
        <w:t>Particle size analysis</w:t>
      </w:r>
      <w:bookmarkEnd w:id="298"/>
    </w:p>
    <w:p w14:paraId="20B115C4" w14:textId="77777777" w:rsidR="00007F6C" w:rsidRDefault="00007F6C" w:rsidP="00007F6C">
      <w:pPr>
        <w:jc w:val="both"/>
      </w:pPr>
      <w:r w:rsidRPr="00B309DD">
        <w:t>Additionally, the crystallite length of the calcined and reduced catalyst phase was monitored using the Debye-Scherrer analysis</w:t>
      </w:r>
      <w:r>
        <w:t xml:space="preserve"> (Section 3.3.1.1)</w:t>
      </w:r>
      <w:r w:rsidRPr="00B309DD">
        <w:t>. This was used to calculate the crystallite length of the nickel species in the calcined infiltrated samples to track the particle growth over time</w:t>
      </w:r>
      <w:r w:rsidRPr="00471523">
        <w:t xml:space="preserve">.  Additionally, </w:t>
      </w:r>
      <w:r>
        <w:t>Wide-Angle X-ray Scattering was performed to further reduce the impact of micro strain on the crystallite length calculations.</w:t>
      </w:r>
    </w:p>
    <w:p w14:paraId="449CBC85" w14:textId="77777777" w:rsidR="00007F6C" w:rsidRDefault="00007F6C" w:rsidP="00007F6C">
      <w:pPr>
        <w:pStyle w:val="Heading2"/>
      </w:pPr>
      <w:bookmarkStart w:id="299" w:name="_Toc69129404"/>
      <w:r>
        <w:t xml:space="preserve">4.2.3 Fourier Transform Infra-red </w:t>
      </w:r>
      <w:proofErr w:type="gramStart"/>
      <w:r>
        <w:t>Spectroscopy</w:t>
      </w:r>
      <w:bookmarkEnd w:id="299"/>
      <w:proofErr w:type="gramEnd"/>
    </w:p>
    <w:p w14:paraId="4BF91C9F" w14:textId="02E588FC" w:rsidR="00007F6C" w:rsidRPr="00506ED1" w:rsidRDefault="00007F6C" w:rsidP="00007F6C">
      <w:pPr>
        <w:jc w:val="both"/>
      </w:pPr>
      <w:r>
        <w:t>FTIR was performed to monitor the compositional changes present in the wet impregnated Ni-YSZ samples during infiltration, drying and calcination.</w:t>
      </w:r>
      <w:r w:rsidR="00BC35D8">
        <w:t xml:space="preserve"> This was done for both the AD and ND datasets.</w:t>
      </w:r>
    </w:p>
    <w:p w14:paraId="2ECBE597" w14:textId="77777777" w:rsidR="00007F6C" w:rsidRDefault="00007F6C" w:rsidP="00007F6C">
      <w:pPr>
        <w:pStyle w:val="Heading2"/>
      </w:pPr>
      <w:bookmarkStart w:id="300" w:name="_Toc69129405"/>
      <w:r>
        <w:t>4.2.4 Temperature Programmed Reduction</w:t>
      </w:r>
      <w:bookmarkEnd w:id="300"/>
    </w:p>
    <w:p w14:paraId="5F33A5EC" w14:textId="77777777" w:rsidR="00007F6C" w:rsidRDefault="00007F6C" w:rsidP="00007F6C">
      <w:pPr>
        <w:jc w:val="both"/>
      </w:pPr>
      <w:r>
        <w:t xml:space="preserve">The dispersion and reactivity of the catalysts are key to ensuring a high hydrogen oxidation rate at the surface of the Ni-YSZ fuel electrodes. TPR was used to show the degree of reducibility of the fuel electrode catalysts and provide information of the dispersion and size of the catalytic media present on the samples. </w:t>
      </w:r>
    </w:p>
    <w:p w14:paraId="5B71474B" w14:textId="77777777" w:rsidR="00007F6C" w:rsidRDefault="00007F6C" w:rsidP="00007F6C">
      <w:pPr>
        <w:jc w:val="both"/>
      </w:pPr>
      <w:r>
        <w:t>Increased chemical activity was gauged using two metrics:</w:t>
      </w:r>
    </w:p>
    <w:p w14:paraId="23C8EC0D" w14:textId="1B9A8B37" w:rsidR="00007F6C" w:rsidRDefault="00007F6C" w:rsidP="00007F6C">
      <w:pPr>
        <w:pStyle w:val="ListParagraph"/>
        <w:numPr>
          <w:ilvl w:val="0"/>
          <w:numId w:val="26"/>
        </w:numPr>
        <w:jc w:val="both"/>
      </w:pPr>
      <w:r>
        <w:t>Position of reduction peaks – reduction peaks earlier than 350</w:t>
      </w:r>
      <w:r w:rsidR="00C44F8F">
        <w:t xml:space="preserve"> </w:t>
      </w:r>
      <w:r w:rsidR="003C2CA2">
        <w:rPr>
          <w:rFonts w:cstheme="minorHAnsi"/>
        </w:rPr>
        <w:t>°</w:t>
      </w:r>
      <w:r>
        <w:t xml:space="preserve">C indicate a high surface area nanoscale system </w:t>
      </w:r>
      <w:r>
        <w:fldChar w:fldCharType="begin" w:fldLock="1"/>
      </w:r>
      <w:r w:rsidR="008B6E91">
        <w:instrText>ADDIN CSL_CITATION {"citationItems":[{"id":"ITEM-1","itemData":{"DOI":"10.1016/j.ssi.2005.06.016","ISSN":"01672738","abstract":"Effect of redox cycling on a Ni-YSZ anode prepared from 50 wt.% NiO and 50 wt.% YSZ was investigated by using temperature-programmed reduction (TPR), XRD and SEM techniques. XRD results showed that NiO was formed during re-oxidation. Both the XRD and TPR results depicted that the conversion of nickel to NiO depended on the re-oxidation temperature. The oxidation of Ni to NiO occurred quickly in the initial several minutes and then reached a quasi equilibrium. The TPR profiles tracing the redox cycling showed that it brought continuous changes in the NiO micro-structure at 800°C, whereas at 600°C it had only little effects on the reduction of NiO. Re-oxidation resulted in the formation of spongy aggregates of NiO crystallites. Redox cycling at 800°C led to a continuous decrease in the primary crystallite size of NiO and a high dispersion of the Ni particles. A continuous expansion of the slice sample was observed in both of the oxidized and reduced states during the redox cycling at 800°C, whereas this process did not occur during the redox cycling at 600°C. © 2005 Elsevier B.V. All rights reserved.","author":[{"dropping-particle":"","family":"Zhang","given":"Yun","non-dropping-particle":"","parse-names":false,"suffix":""},{"dropping-particle":"","family":"Liu","given":"Bin","non-dropping-particle":"","parse-names":false,"suffix":""},{"dropping-particle":"","family":"Tu","given":"Baofeng","non-dropping-particle":"","parse-names":false,"suffix":""},{"dropping-particle":"","family":"Dong","given":"Yonglai","non-dropping-particle":"","parse-names":false,"suffix":""},{"dropping-particle":"","family":"Cheng","given":"Mojie","non-dropping-particle":"","parse-names":false,"suffix":""}],"container-title":"Solid State Ionics","id":"ITEM-1","issue":"29-30","issued":{"date-parts":[["2005"]]},"page":"2193-2199","title":"Redox cycling of Ni-YSZ anode investigated by TPR technique","type":"article-journal","volume":"176"},"uris":["http://www.mendeley.com/documents/?uuid=c95dfa6f-fc36-4928-a8cd-93f7c3b2c1fc"]},{"id":"ITEM-2","itemData":{"DOI":"http://dx.doi.org/10.1016/0040-6031(93)80287-K","ISBN":"0040-6031","abstract":"The thermal decomposition of nickel nitrate hexahydrate (NiNHH) under dynamic atmosphere of air has been thoroughly studied. Reactions occurring throughout the decomposition up to 600°C were monitored by means of thermogravimetry (TG) and differential thermal analysis (DTA). These reactions were characterized by analysis of the solid calcination products at different temperatures at which various intermediates were expected. Solid analysis was carried out using infrared spectroscopy and X-ray diffractometry. Non-isothermal kinetic parameters (ΔE, A and k) were determined. TG and DTA under nitrogen atmosphere has been carried out. The results indicate the formation of Ni(NO3)2 · nH2O (where n = 5.5, 4 and 2) and mixture of anhydrous and basic nickel nitrate as intermediate solid products. Basic nickel nitrate intermediate was formed in nitrogen atmosphere as well as in air, which was attributed to a hydrolysis process involving the water of dihydrate intermediate. The morphological changes throughout the decomposition course have been followed by scanning electron microscopy and the results are correlated with the obtained thermoanalytical results of the decomposition course of NiNHH.","author":[{"dropping-particle":"","family":"Mansour","given":"Seham A A","non-dropping-particle":"","parse-names":false,"suffix":""}],"container-title":"Thermochimica Acta","id":"ITEM-2","issued":{"date-parts":[["1993"]]},"page":"173-189","title":"Spectroscopic and microscopic investigations of the thermal decomposition of nickel oxysalts: Part 2. Nickel nitrate hexahydrate","type":"article-journal","volume":"228"},"uris":["http://www.mendeley.com/documents/?uuid=cd416a1c-ba4c-4e85-9297-c7c14144c0ec"]}],"mendeley":{"formattedCitation":"[206], [377]","plainTextFormattedCitation":"[206], [377]","previouslyFormattedCitation":"[206], [377]"},"properties":{"noteIndex":0},"schema":"https://github.com/citation-style-language/schema/raw/master/csl-citation.json"}</w:instrText>
      </w:r>
      <w:r>
        <w:fldChar w:fldCharType="separate"/>
      </w:r>
      <w:r w:rsidR="00237E21" w:rsidRPr="00237E21">
        <w:rPr>
          <w:noProof/>
        </w:rPr>
        <w:t>[206], [377]</w:t>
      </w:r>
      <w:r>
        <w:fldChar w:fldCharType="end"/>
      </w:r>
    </w:p>
    <w:p w14:paraId="6E148676" w14:textId="77777777" w:rsidR="00007F6C" w:rsidRDefault="00007F6C" w:rsidP="00007F6C">
      <w:pPr>
        <w:pStyle w:val="ListParagraph"/>
        <w:numPr>
          <w:ilvl w:val="0"/>
          <w:numId w:val="26"/>
        </w:numPr>
        <w:jc w:val="both"/>
      </w:pPr>
      <w:r>
        <w:t xml:space="preserve">Reduction reaction temperature range – the reduction profile of a system with nanoscale is expected to occupy a smaller temperature </w:t>
      </w:r>
      <w:proofErr w:type="gramStart"/>
      <w:r>
        <w:t>range</w:t>
      </w:r>
      <w:proofErr w:type="gramEnd"/>
      <w:r>
        <w:t xml:space="preserve"> </w:t>
      </w:r>
    </w:p>
    <w:p w14:paraId="2477519C" w14:textId="7E47BDB8" w:rsidR="00007F6C" w:rsidRDefault="00007F6C" w:rsidP="00007F6C">
      <w:pPr>
        <w:jc w:val="both"/>
      </w:pPr>
      <w:r w:rsidRPr="00AA3AAF">
        <w:t>The reduction temperature of nickel oxide is according to the literature between 280-</w:t>
      </w:r>
      <w:r>
        <w:t>4</w:t>
      </w:r>
      <w:r w:rsidRPr="00AA3AAF">
        <w:t>50</w:t>
      </w:r>
      <w:r w:rsidR="003C2CA2">
        <w:t xml:space="preserve"> </w:t>
      </w:r>
      <w:r w:rsidRPr="00AA3AAF">
        <w:rPr>
          <w:rFonts w:cstheme="minorHAnsi"/>
        </w:rPr>
        <w:t>°</w:t>
      </w:r>
      <w:r w:rsidRPr="00AA3AAF">
        <w:t>C</w:t>
      </w:r>
      <w:r>
        <w:t xml:space="preserve"> depending on the size and activity of the particles</w:t>
      </w:r>
      <w:r w:rsidR="00C44F8F">
        <w:t xml:space="preserve"> </w:t>
      </w:r>
      <w:r>
        <w:fldChar w:fldCharType="begin" w:fldLock="1"/>
      </w:r>
      <w:r w:rsidR="008B6E91">
        <w:instrText>ADDIN CSL_CITATION {"citationItems":[{"id":"ITEM-1","itemData":{"DOI":"http://dx.doi.org/10.1016/0040-6031(93)80287-K","ISBN":"0040-6031","abstract":"The thermal decomposition of nickel nitrate hexahydrate (NiNHH) under dynamic atmosphere of air has been thoroughly studied. Reactions occurring throughout the decomposition up to 600°C were monitored by means of thermogravimetry (TG) and differential thermal analysis (DTA). These reactions were characterized by analysis of the solid calcination products at different temperatures at which various intermediates were expected. Solid analysis was carried out using infrared spectroscopy and X-ray diffractometry. Non-isothermal kinetic parameters (ΔE, A and k) were determined. TG and DTA under nitrogen atmosphere has been carried out. The results indicate the formation of Ni(NO3)2 · nH2O (where n = 5.5, 4 and 2) and mixture of anhydrous and basic nickel nitrate as intermediate solid products. Basic nickel nitrate intermediate was formed in nitrogen atmosphere as well as in air, which was attributed to a hydrolysis process involving the water of dihydrate intermediate. The morphological changes throughout the decomposition course have been followed by scanning electron microscopy and the results are correlated with the obtained thermoanalytical results of the decomposition course of NiNHH.","author":[{"dropping-particle":"","family":"Mansour","given":"Seham A A","non-dropping-particle":"","parse-names":false,"suffix":""}],"container-title":"Thermochimica Acta","id":"ITEM-1","issued":{"date-parts":[["1993"]]},"page":"173-189","title":"Spectroscopic and microscopic investigations of the thermal decomposition of nickel oxysalts: Part 2. Nickel nitrate hexahydrate","type":"article-journal","volume":"228"},"uris":["http://www.mendeley.com/documents/?uuid=cd416a1c-ba4c-4e85-9297-c7c14144c0ec"]},{"id":"ITEM-2","itemData":{"DOI":"10.1039/FT9928802075","ISSN":"09565000","abstract":"Three different kinds of nickel-containing species have been found in silica-supported nickel oxide samples according to their different reducibilities during temperature-programmed reduction (TPR). Species A is similar to bulk phase nickel oxide, species B is attributed to SiO4 containing nickel oxide particles and species C is a stoichiometric or non-stoichiometric nickel silicate. Examination of the effects of silica-supported NiO particle size on the reducibility shows that the difference in the ease of reduction of NiO crystallites may be caused by the penetration of silica into the lattice of NiO; moreover, the presence of SiO4 groups can retard the sintering of NiO.","author":[{"dropping-particle":"","family":"Zhang","given":"Lifeng","non-dropping-particle":"","parse-names":false,"suffix":""},{"dropping-particle":"","family":"Lin","given":"Junfan","non-dropping-particle":"","parse-names":false,"suffix":""},{"dropping-particle":"","family":"Chen","given":"Yi","non-dropping-particle":"","parse-names":false,"suffix":""}],"container-title":"Journal of the Chemical Society, Faraday Transactions","id":"ITEM-2","issue":"14","issued":{"date-parts":[["1992"]]},"page":"2075-2078","title":"Studies of surface NiO species in NiO/SiO2 catalysts using temperature-programmed reduction and X-ray diffraction","type":"article-journal","volume":"88"},"uris":["http://www.mendeley.com/documents/?uuid=558e1a67-978c-469a-b78a-1fd3f72bbab7"]},{"id":"ITEM-3","itemData":{"DOI":"10.1016/j.ssi.2005.06.016","ISSN":"01672738","abstract":"Effect of redox cycling on a Ni-YSZ anode prepared from 50 wt.% NiO and 50 wt.% YSZ was investigated by using temperature-programmed reduction (TPR), XRD and SEM techniques. XRD results showed that NiO was formed during re-oxidation. Both the XRD and TPR results depicted that the conversion of nickel to NiO depended on the re-oxidation temperature. The oxidation of Ni to NiO occurred quickly in the initial several minutes and then reached a quasi equilibrium. The TPR profiles tracing the redox cycling showed that it brought continuous changes in the NiO micro-structure at 800°C, whereas at 600°C it had only little effects on the reduction of NiO. Re-oxidation resulted in the formation of spongy aggregates of NiO crystallites. Redox cycling at 800°C led to a continuous decrease in the primary crystallite size of NiO and a high dispersion of the Ni particles. A continuous expansion of the slice sample was observed in both of the oxidized and reduced states during the redox cycling at 800°C, whereas this process did not occur during the redox cycling at 600°C. © 2005 Elsevier B.V. All rights reserved.","author":[{"dropping-particle":"","family":"Zhang","given":"Yun","non-dropping-particle":"","parse-names":false,"suffix":""},{"dropping-particle":"","family":"Liu","given":"Bin","non-dropping-particle":"","parse-names":false,"suffix":""},{"dropping-particle":"","family":"Tu","given":"Baofeng","non-dropping-particle":"","parse-names":false,"suffix":""},{"dropping-particle":"","family":"Dong","given":"Yonglai","non-dropping-particle":"","parse-names":false,"suffix":""},{"dropping-particle":"","family":"Cheng","given":"Mojie","non-dropping-particle":"","parse-names":false,"suffix":""}],"container-title":"Solid State Ionics","id":"ITEM-3","issue":"29-30","issued":{"date-parts":[["2005"]]},"page":"2193-2199","title":"Redox cycling of Ni-YSZ anode investigated by TPR technique","type":"article-journal","volume":"176"},"uris":["http://www.mendeley.com/documents/?uuid=c95dfa6f-fc36-4928-a8cd-93f7c3b2c1fc"]},{"id":"ITEM-4","itemData":{"DOI":"10.1021/ie00046a009","ISSN":"15205045","abstract":"The role of NO3− anion in the preparation of nickel catalysts detected by temperature-programmed reduction (TPR) and Fourier transform infrared spectroscopy was studied. Thermogravimetric analysis-mass spectrometry, X-ray photoelectron spectroscopy, and BET surface area were also used to evaluate the effect of calcination temperature. The role of NO3‒ anion is one of the key factors which determine the activities and properties of the prepared catalysts. Two reduction peaks, NO3− anion and NiO, of TPR were obtained for nickel catalyst drying at 110 °C. The results indicated that the reduction of NO3− anion occurs at 278 °C, and then nickel nitrate converts to Ni2O3 under hydrogen atmosphere. Nickel nitrate decomposed into NiO only and exhausted both NO and NO2‒ when it was calcined in air. On the basis of the results of BET, both surface area and pore volume of catalysts slightly increased and then decreased with calcination temperature. The average pore size was almost constant when calcination temperature was less than 1100 °C, after which it significantly increased. © 1995, American Chemical Society. All rights reserved.","author":[{"dropping-particle":"","family":"Ho","given":"Sheng Chung","non-dropping-particle":"","parse-names":false,"suffix":""},{"dropping-particle":"","family":"Chou","given":"Tse Chuan","non-dropping-particle":"","parse-names":false,"suffix":""}],"container-title":"Industrial and Engineering Chemistry Research","id":"ITEM-4","issue":"7","issued":{"date-parts":[["1995"]]},"page":"2279-2284","title":"The Role of Anion in the Preparation of Nickel Catalyst Detected by TPR and FTIR Spectra","type":"article-journal","volume":"34"},"uris":["http://www.mendeley.com/documents/?uuid=20d462c6-6517-41ec-a3ae-b19645b5c1d1"]}],"mendeley":{"formattedCitation":"[206], [377]–[379]","plainTextFormattedCitation":"[206], [377]–[379]","previouslyFormattedCitation":"[206], [377]–[379]"},"properties":{"noteIndex":0},"schema":"https://github.com/citation-style-language/schema/raw/master/csl-citation.json"}</w:instrText>
      </w:r>
      <w:r>
        <w:fldChar w:fldCharType="separate"/>
      </w:r>
      <w:r w:rsidR="00237E21" w:rsidRPr="00237E21">
        <w:rPr>
          <w:noProof/>
        </w:rPr>
        <w:t>[206], [377]–[379]</w:t>
      </w:r>
      <w:r>
        <w:fldChar w:fldCharType="end"/>
      </w:r>
      <w:r>
        <w:t xml:space="preserve">. </w:t>
      </w:r>
    </w:p>
    <w:p w14:paraId="10828127" w14:textId="77777777" w:rsidR="00007F6C" w:rsidRDefault="00007F6C" w:rsidP="00007F6C">
      <w:pPr>
        <w:pStyle w:val="Heading2"/>
      </w:pPr>
      <w:bookmarkStart w:id="301" w:name="_Toc69129406"/>
      <w:r>
        <w:t>4.2.5 Scanning Electron Microscopy</w:t>
      </w:r>
      <w:bookmarkEnd w:id="301"/>
    </w:p>
    <w:p w14:paraId="79A16079" w14:textId="4208CCF9" w:rsidR="00007F6C" w:rsidRDefault="00007F6C" w:rsidP="00007F6C">
      <w:pPr>
        <w:jc w:val="both"/>
      </w:pPr>
      <w:r w:rsidRPr="00465F0D">
        <w:t>Scanning electron microscopy (SEM) was utilised to show the changes displayed in the nickel catalytic media after drying and calcining in different atmospheres.</w:t>
      </w:r>
      <w:r>
        <w:t xml:space="preserve"> Electron microscopy techniques such as SEM are essential in providing qualitative data which can be used to track microstructural changes in the electrode</w:t>
      </w:r>
      <w:r w:rsidR="00C44F8F">
        <w:t xml:space="preserve"> </w:t>
      </w:r>
      <w:r>
        <w:fldChar w:fldCharType="begin" w:fldLock="1"/>
      </w:r>
      <w:r w:rsidR="00D80A5D">
        <w:instrText xml:space="preserve">ADDIN CSL_CITATION {"citationItems":[{"id":"ITEM-1","itemData":{"DOI":"10.1016/j.jpowsour.2010.10.084","ISSN":"03787753","abstract":"Temperature induced degradation in Solid Oxide Fuel Cell (SOFC) Ni-YSZ anodes was studied using both impedance spectroscopy and three-dimensional tomography via Focused Ion Beam-Scanning Electron Microscopy. A 100 h anneal at 1100 °C caused a 90% increase in cell polarization resistance, which correlated with the observed factor of </w:instrText>
      </w:r>
      <w:r w:rsidR="00D80A5D">
        <w:rPr>
          <w:rFonts w:ascii="Cambria Math" w:hAnsi="Cambria Math" w:cs="Cambria Math"/>
        </w:rPr>
        <w:instrText>∼</w:instrText>
      </w:r>
      <w:r w:rsidR="00D80A5D">
        <w:instrText>2 reduction in the electrochemically active three-phase boundary (TPB) density. The TPB decrease was caused by a significant decrease in pore percolation, and a reduction in pore interfacial area due to pores becoming larger and more equiaxed. The anneal caused no measurable change in average Ni particle size; Ni coarsening was apparently highly constrained in these anodes due to the relatively large YSZ volume fraction and low pore volume. © 2010 Elsevier B.V. All rights reserved.","author":[{"dropping-particle":"","family":"Cronin","given":"J. Scott","non-dropping-particle":"","parse-names":false,"suffix":""},{"dropping-particle":"","family":"Wilson","given":"James R.","non-dropping-particle":"","parse-names":false,"suffix":""},{"dropping-particle":"","family":"Barnett","given":"Scott A.","non-dropping-particle":"","parse-names":false,"suffix":""}],"container-title":"Journal of Power Sources","id":"ITEM-1","issue":"5","issued":{"date-parts":[["2011"]]},"page":"2640-2643","publisher":"Elsevier B.V.","title":"Impact of pore microstructure evolution on polarization resistance of Ni-Yttria-stabilized zirconia fuel cell anodes","type":"article-journal","volume":"196"},"uris":["http://www.mendeley.com/documents/?uuid=ccb61cf7-34f3-40b3-bb2f-a2f8f48f0cb8"]},{"id":"ITEM-2","itemData":{"ISBN":"978-87-550-3625-3","abstract":"Ni-YSZ cermets have been used as anode materials in SOFCs for more than 20 \nyears. Despite this fact, the major cause of degradation within the Ni-YSZ anode, \nnamely Ni sintering / coarsening, is still not fully understood. Even if microstructural \nstudies of anodes in tested cells are of technological relevance, it is difficult to \nidentify the effect from isolated parameters such as temperature, fuel gas composition \nand polarization. Model studies of high temperature aged Ni-YSZ cermets are \ngenerally performed in atmospheres containing relatively low concentrations of H2O. \nIn this work, the microstructural degradation in both electrochemically longterm \ntested cells and high-temperature aged model materials are studied. Since Ni \nparticle sintering / coarsening is attributed to be the major cause of anode degradation, \nthis subject attains the primary focus. A large part of the work is focused on \nimproving microstructural techniques and shows that the application of low \nacceleration voltages (≤ 1 kV) in a FE-SEM makes it possible to obtain two useful \ntypes of contrast between the phases in Ni-YSZ composites. By changing between the \nordinary lateral SE detector and the inlens detector, using similar microscope settings, \ntwo very different sample characteristics are probed: 1) The difference in secondary \nemission coefficient, δ, between the percolating and non-percolating Ni is maximized \nin the low-voltage range due to a high δ for the former and the suppression of δ by a \npositive charge for the latter. This difference yields a contrast between the two phases \nwhich is picked up by an inlens secondary electron detector. 2) The difference in \nbackscatter coefficient, η, between Ni and YSZ is shown to increase with decreasing \nvoltage. The contrast is illustrated in images collected by the normal secondary \ndetector since parts of the secondary signals are generated by backscattered electrons. \nHigh temperature aging experiments of model Ni-YSZ anode cermets show \nthat Ni sintering / coarsening is significantly increased, not only at higher \ntemperatures, but also when the concentration of H2O in the reducing atmosphere is \nincreased. It is proposed that the mobility of Ni is facilitated by the formation of Ni- \nOH complexes which are capable of segregating on the Ni particles surface, on the \nYSZ surface and via gas phase. This is a mechanism which has previously been \nreported in the context of Ni steam-reforming catalysis. \nIn the context of…","author":[{"dropping-particle":"","family":"Thydén","given":"Karl Tor Sune","non-dropping-particle":"","parse-names":false,"suffix":""}],"id":"ITEM-2","issued":{"date-parts":[["2008"]]},"title":"Microstructural degradation of Ni-YSZ anodes for solid oxide fuel cells","type":"book"},"uris":["http://www.mendeley.com/documents/?uuid=7f9118f0-e7e0-48f5-bdee-ad5f69e9fe11"]},{"id":"ITEM-3","itemData":{"DOI":"10.1016/j.jpowsour.2017.11.024","ISSN":"03787753","abstract":"Ni-YSZ anodes for Solid Oxide Fuel Cells are vulnerable to microstructural damage during redox cycling leading to a decrease in the electrochemical performance. This study quantifies the microstructural changes as a function of redox cycles at 800 °C and associates it to the deterioration of the mechanical properties and polarisation resistance. A physically-based model is used to estimate the triple-phase boundary (TPB) length from impedance spectra, and satisfactorily matches the TPB length quantified by FIB-SEM tomography: within 20 redox cycles, the TPB density decreases from 4.63 μm−2 to 1.06 μm−2. Although the polarisation resistance increases by an order of magnitude after 20 cycles, after each re-reduction the electrode polarisation improves consistently due to the transient generation of Ni nanoparticles around the TPBs. Nonetheless, the long-term degradation overshadows this transient improvement due to the nickel agglomeration. In addition, FIB-SEM tomography reveals fractures along YSZ grain boundaries, Ni-YSZ detachment and increased porosity in the composite that lead to irreversible mechanical damage: the elastic modulus diminishes from 36.4 GPa to 20.2 GPa and the hardness from 0.40 GPa to 0.15 GPa. These results suggest that microstructural, mechanical and electrochemical properties are strongly interdependent in determining the degradation caused by redox cycling.","author":[{"dropping-particle":"","family":"Song","given":"Bowen","non-dropping-particle":"","parse-names":false,"suffix":""},{"dropping-particle":"","family":"Ruiz-Trejo","given":"Enrique","non-dropping-particle":"","parse-names":false,"suffix":""},{"dropping-particle":"","family":"Bertei","given":"Antonio","non-dropping-particle":"","parse-names":false,"suffix":""},{"dropping-particle":"","family":"Brandon","given":"Nigel P.","non-dropping-particle":"","parse-names":false,"suffix":""}],"container-title":"Journal of Power Sources","id":"ITEM-3","issue":"October 2017","issued":{"date-parts":[["2018"]]},"page":"61-68","publisher":"Elsevier","title":"Quantification of the degradation of Ni-YSZ anodes upon redox cycling","type":"article-journal","volume":"374"},"uris":["http://www.mendeley.com/documents/?uuid=2d196a90-b175-41a8-8950-bf55e54a2b42"]}],"mendeley":{"formattedCitation":"[90], [256], [259]","plainTextFormattedCitation":"[90], [256], [259]","previouslyFormattedCitation":"[90], [256], [259]"},"properties":{"noteIndex":0},"schema":"https://github.com/citation-style-language/schema/raw/master/csl-citation.json"}</w:instrText>
      </w:r>
      <w:r>
        <w:fldChar w:fldCharType="separate"/>
      </w:r>
      <w:r w:rsidR="006C586A" w:rsidRPr="006C586A">
        <w:rPr>
          <w:noProof/>
        </w:rPr>
        <w:t>[90], [256], [259]</w:t>
      </w:r>
      <w:r>
        <w:fldChar w:fldCharType="end"/>
      </w:r>
      <w:r>
        <w:t xml:space="preserve">. </w:t>
      </w:r>
    </w:p>
    <w:p w14:paraId="3EFF01B6" w14:textId="77777777" w:rsidR="00007F6C" w:rsidRDefault="00007F6C" w:rsidP="00007F6C">
      <w:pPr>
        <w:pStyle w:val="Heading2"/>
      </w:pPr>
      <w:bookmarkStart w:id="302" w:name="_Toc69129407"/>
      <w:r>
        <w:t>4.2.6 Electrochemical Impedance Spectroscopy</w:t>
      </w:r>
      <w:bookmarkEnd w:id="302"/>
    </w:p>
    <w:p w14:paraId="57F1716B" w14:textId="7EF9F10F" w:rsidR="00007F6C" w:rsidRPr="007C545D" w:rsidRDefault="00007F6C" w:rsidP="00007F6C">
      <w:pPr>
        <w:jc w:val="both"/>
      </w:pPr>
      <w:r w:rsidRPr="00EB44A2">
        <w:t>Electrochemical Impedance Spectroscopy (EIS) is th</w:t>
      </w:r>
      <w:r>
        <w:t>e primary characterisation method for solid oxide electrode samples</w:t>
      </w:r>
      <w:r w:rsidR="00C44F8F">
        <w:t xml:space="preserve"> </w:t>
      </w:r>
      <w:r>
        <w:fldChar w:fldCharType="begin" w:fldLock="1"/>
      </w:r>
      <w:r w:rsidR="008B6E91">
        <w:instrText>ADDIN CSL_CITATION {"citationItems":[{"id":"ITEM-1","itemData":{"DOI":"10.1039/c1ee01982a","ISBN":"1754-5692","ISSN":"17545692","abstract":"Reduced-temperature solid oxide fuel cells (SOFCs), featuring thin strontium- and magnesium-doped lanthanum gallate (LSGM) electrolytes and nano-scale Ni anodes, showed high power densities of 1.20 W cm-2 at 650 [degree]C and 0.39 W cm-2 at 550 [degree]C when operated on humidified hydrogen fuel and air oxidant.","author":[{"dropping-particle":"","family":"Zhan","given":"Zhongliang","non-dropping-particle":"","parse-names":false,"suffix":""},{"dropping-particle":"","family":"Bierschenk","given":"David M.","non-dropping-particle":"","parse-names":false,"suffix":""},{"dropping-particle":"","family":"Cronin","given":"J. Scott","non-dropping-particle":"","parse-names":false,"suffix":""},{"dropping-particle":"","family":"Barnett","given":"Scott A.","non-dropping-particle":"","parse-names":false,"suffix":""}],"container-title":"Energy and Environmental Science","id":"ITEM-1","issue":"10","issued":{"date-parts":[["2011"]]},"language":"English","note":"Cited By :59\nExport Date: 18 October 2016\nCorrespondence Address: Zhan, Z.; CAS Key Laboratory of Materials for Energy Conversion, Shanghai Institute of Ceramics, Chinese Academy of Sciences (SICCAS), 1295 Dingxi Road, Shanghai 200050, China; email: zzhan@mail.sic.ac.cn\nReferences: Fergus, J.W., (2006) J. Power Sources, 162, pp. 30-40; Wilson, J.R., Kobsiriphat, W., Mendoza, R., Chen, H.Y., Hiller, J.M., Miller, D.J., Thornton, K., Barnett, S.A., (2006) Nat. Mater., 5, pp. 541-544; Cronin, J.S., Wilson, J.R., Barnett, S.A., (2011) J. Power Sources, 196, pp. 2640-2643; Leonide, A., Sonn, V., Weber, A., Ivers-Tiffee, E., (2008) J. Electrochem. Soc., 155, pp. 36-B41; Nicholas, J.D., Barnett, S.A., (2010) J. Electrochem. Soc., 157, pp. 536-B541; Shao, Z.P., Haile, S.M., (2004) Nature, 431, pp. 170-173; Xia, C.R., Zhao, F., Wang, Z.Y., Liu, M.F., Zhang, L., Chen, F.L., (2008) J. Power Sources, 185, pp. 13-18; Huang, K.Q., Goodenough, J.B., (2000) J. Alloys Compd., 303, pp. 454-464; Lin, Y.B., Barnett, S.A., (2006) Electrochem. Solid-State Lett., 9, pp. 285-A288; Huang, K., Wan, J., Goodenough, J.B., (2001) J. Mater. Sci., 36, pp. 1093-1098; Yan, J., Matsumoto, H., Akbay, T., Yamada, T., Ishihara, T., (2006) J. Power Sources, 157, pp. 714-719; Zhan, Z.L., Barnett, S.A., (2006) J. Power Sources, 157, pp. 422-429; Park, S.D., Vohs, J.M., Gorte, R.J., (2000) Nature, 404, pp. 265-267; Gorte, R.J., Park, S., Vohs, J.M., Wang, C.H., (2000) Adv. Mater., 12, pp. 1465-1469; Gorte, R.J., Vohs, J.M., (2009) Curr. Opin. Colloid Interface Sci., 14, pp. 236-244; Vohs, J.M., Gorte, R.J., (2009) Adv. Mater., 21, pp. 943-956; Singh, C.A., Krishan, V.V., (2008) ECS Trans., 6, pp. 25-32; Hagen, A., Liu, Y.L., Barfod, R., Hendriksen, P.V., (2007) ECS Trans., 7, pp. 301-309; Tanner, C.W., Fung, K.Z., Virkar, A.V., (1997) J. Electrochem. Soc., 144, pp. 21-30; Hansen, K.V., Norrman, K., Mogensen, M., (2004) J. Electrochem. Soc., 151, pp. 1436-A1444; Bieberle, A., Meier, L.P., Gauckler, L.J., (2001) J. Electrochem. Soc., 148, pp. 646-A656; Mizusaki, J., Tagawa, H., Saito, T., Kamitani, K., Yamamura, T., Hirano, K., Ehara, S., Hashimoto, K., (1994) J. Electrochem. Soc., 141, pp. 2129-2134; Von Dollen, P., Barnett, S., (2005) J. Am. Ceram. Soc., 88, pp. 3361-3368; Pillai, M.R., Jiang, Y., Mansourian, N., Kim, I., Bierschenk, D.M., Zhu, H.Y., Kee, R.J., Barnett, S.A., (2008) Electrochem. Solid-State Lett., 11, pp. 174-B177; Shah, M., Hughes, G., Voorhees, P.W., Barnett, S.A., (2011) ECS Trans., 35, pp. 2045-2053","page":"3951-3954","title":"A reduced temperature solid oxide fuel cell with nanostructured anodes","type":"article-journal","volume":"4"},"uris":["http://www.mendeley.com/documents/?uuid=111c3a48-7020-4e1a-93b0-52db039d337a"]},{"id":"ITEM-2","itemData":{"DOI":"10.1002/adma.19900020304","ISBN":"1521-4095","ISSN":"15214095","abstract":"Electroceramics are advanced materials whose properties and applications depend on the close control of structure, composition, ceramic texture, dopants and dopant (or defect) distribution. Impedance spectroscopy is a powerful technique for unravelling the complexities of such materials, which functions by utilizing the different frequency dependences of the constituent components for their separation. Thus, electrical inhomogeneities in ceramic electrolytes, electrode/electrolyte interfaces, surface layers on glasses, ferroelectricity, positive temperature coefficient of resistance behavior and even ferrimagnetism can all be probed, successfully, using this technique.","author":[{"dropping-particle":"","family":"Irvine","given":"John T S","non-dropping-particle":"","parse-names":false,"suffix":""},{"dropping-particle":"","family":"Sinclair","given":"Derek C.","non-dropping-particle":"","parse-names":false,"suffix":""},{"dropping-particle":"","family":"West","given":"Anthony R.","non-dropping-particle":"","parse-names":false,"suffix":""}],"container-title":"Advanced Materials","id":"ITEM-2","issue":"3","issued":{"date-parts":[["1990"]]},"page":"132-138","title":"Electroceramics: Characterization by Impedance Spectroscopy","type":"article-journal","volume":"2"},"uris":["http://www.mendeley.com/documents/?uuid=411a3cd6-a50c-4165-a77e-2ff882fdb069"]},{"id":"ITEM-3","itemData":{"ISSN":"0366-3175","abstract":"Résumé des méthodes de caractérisation par impédance, description des différents spectres obtenus et de leur analyse","author":[{"dropping-particle":"","family":"Sinclair","given":"Derek C","non-dropping-particle":"","parse-names":false,"suffix":""}],"container-title":"Boletin de la Sociedad Espanola de Ceramica y Vidrio","id":"ITEM-3","issued":{"date-parts":[["1995"]]},"page":"55-66","title":"D.C. Characterization of Electro-materials using AC Impedance Spectroscopy","type":"article-journal","volume":"65"},"uris":["http://www.mendeley.com/documents/?uuid=c98adb03-71ee-46d8-875f-be6023c0f9e1"]},{"id":"ITEM-4","itemData":{"author":[{"dropping-particle":"","family":"West","given":"A R","non-dropping-particle":"","parse-names":false,"suffix":""}],"container-title":"MAT2920: Materials and Energy","id":"ITEM-4","issue":"1","issued":{"date-parts":[["2014"]]},"publisher":"University of Sheffield","publisher-place":"Department of Materials Science and Engineering","title":"Electrochemistry: Generation, Storage and Utilisation of Energy in Fuel Cells and Batteries","type":"article"},"uris":["http://www.mendeley.com/documents/?uuid=859c205d-3b65-4a19-9602-4e13698918d5"]}],"mendeley":{"formattedCitation":"[108], [344], [380], [381]","plainTextFormattedCitation":"[108], [344], [380], [381]","previouslyFormattedCitation":"[108], [344], [380], [381]"},"properties":{"noteIndex":0},"schema":"https://github.com/citation-style-language/schema/raw/master/csl-citation.json"}</w:instrText>
      </w:r>
      <w:r>
        <w:fldChar w:fldCharType="separate"/>
      </w:r>
      <w:r w:rsidR="00237E21" w:rsidRPr="00237E21">
        <w:rPr>
          <w:noProof/>
        </w:rPr>
        <w:t>[108], [344], [380], [381]</w:t>
      </w:r>
      <w:r>
        <w:fldChar w:fldCharType="end"/>
      </w:r>
      <w:r>
        <w:t>. The electrochemical performance of the infiltrated symmetrical fuel electrode samples was analysed using this method. The aim of this was to monitor the changes in the charge transfer polarisation resistance over time for the different drying and calcination routines.</w:t>
      </w:r>
    </w:p>
    <w:p w14:paraId="6498E897" w14:textId="77777777" w:rsidR="00007F6C" w:rsidRDefault="00007F6C" w:rsidP="00007F6C">
      <w:pPr>
        <w:pStyle w:val="Heading1"/>
      </w:pPr>
      <w:bookmarkStart w:id="303" w:name="_Toc69129408"/>
      <w:bookmarkStart w:id="304" w:name="_Hlk45269143"/>
      <w:r>
        <w:t>4.3</w:t>
      </w:r>
      <w:r>
        <w:tab/>
      </w:r>
      <w:r w:rsidRPr="00644D81">
        <w:t>Results</w:t>
      </w:r>
      <w:bookmarkEnd w:id="303"/>
    </w:p>
    <w:p w14:paraId="591FD713" w14:textId="77777777" w:rsidR="00007F6C" w:rsidRDefault="00007F6C" w:rsidP="00007F6C">
      <w:pPr>
        <w:jc w:val="both"/>
      </w:pPr>
      <w:r w:rsidRPr="00441746">
        <w:t xml:space="preserve">The experimental data collected for the wet impregnated samples dried under different atmosphere is described in this section of the chapter. </w:t>
      </w:r>
      <w:r>
        <w:t xml:space="preserve">Further information into the background of these methods can be found in Section 3.3. </w:t>
      </w:r>
      <w:r w:rsidRPr="00441746">
        <w:t>The samples for each of the characterisation techniques were taken from the same experimental batch to reduce the impact of processing errors including drying and calcination times.</w:t>
      </w:r>
    </w:p>
    <w:p w14:paraId="358AD529" w14:textId="77777777" w:rsidR="00007F6C" w:rsidRDefault="00007F6C" w:rsidP="003A288A">
      <w:pPr>
        <w:pStyle w:val="Heading2"/>
      </w:pPr>
      <w:bookmarkStart w:id="305" w:name="_Ref41036396"/>
      <w:bookmarkStart w:id="306" w:name="_Toc69129409"/>
      <w:r>
        <w:lastRenderedPageBreak/>
        <w:t>4.3.1</w:t>
      </w:r>
      <w:r>
        <w:tab/>
        <w:t>Structural Identification</w:t>
      </w:r>
      <w:bookmarkEnd w:id="305"/>
      <w:bookmarkEnd w:id="306"/>
    </w:p>
    <w:p w14:paraId="2A2056E5" w14:textId="3CE7748F" w:rsidR="00007F6C" w:rsidRDefault="008C7ED1" w:rsidP="003A288A">
      <w:pPr>
        <w:pStyle w:val="Heading3"/>
      </w:pPr>
      <w:bookmarkStart w:id="307" w:name="_Toc69129410"/>
      <w:r>
        <w:t>4.3.1.</w:t>
      </w:r>
      <w:r w:rsidR="00496F75">
        <w:t>1</w:t>
      </w:r>
      <w:r>
        <w:t xml:space="preserve"> </w:t>
      </w:r>
      <w:r w:rsidR="00007F6C">
        <w:t>X-ray Diffraction</w:t>
      </w:r>
      <w:bookmarkEnd w:id="307"/>
    </w:p>
    <w:p w14:paraId="35B2503B" w14:textId="5A4CDA96" w:rsidR="00007F6C" w:rsidRDefault="00007F6C" w:rsidP="00007F6C">
      <w:pPr>
        <w:jc w:val="both"/>
      </w:pPr>
      <w:r>
        <w:t xml:space="preserve">XRD was performed using a Bruker D2 phaser instrument using the parameters detailed in Section 4.2.2.1. Additionally, two nickel contrast samples were also scanned run to remove the instrumental contribution for both </w:t>
      </w:r>
      <w:proofErr w:type="spellStart"/>
      <w:r>
        <w:t>bunsenite</w:t>
      </w:r>
      <w:proofErr w:type="spellEnd"/>
      <w:r>
        <w:t xml:space="preserve"> (</w:t>
      </w:r>
      <w:proofErr w:type="spellStart"/>
      <w:r>
        <w:t>NiO</w:t>
      </w:r>
      <w:proofErr w:type="spellEnd"/>
      <w:r>
        <w:t xml:space="preserve">) and reduced nickel metal, respectively. </w:t>
      </w:r>
      <w:r>
        <w:fldChar w:fldCharType="begin"/>
      </w:r>
      <w:r>
        <w:instrText xml:space="preserve"> REF _Ref51677625 \h </w:instrText>
      </w:r>
      <w:r>
        <w:fldChar w:fldCharType="separate"/>
      </w:r>
      <w:r w:rsidR="00B636B3">
        <w:t>Figure 4.</w:t>
      </w:r>
      <w:r w:rsidR="00B636B3">
        <w:rPr>
          <w:noProof/>
        </w:rPr>
        <w:t>1</w:t>
      </w:r>
      <w:r>
        <w:fldChar w:fldCharType="end"/>
      </w:r>
      <w:r>
        <w:t xml:space="preserve"> below shows these scans and two </w:t>
      </w:r>
      <w:proofErr w:type="spellStart"/>
      <w:r>
        <w:t>NiO</w:t>
      </w:r>
      <w:proofErr w:type="spellEnd"/>
      <w:r>
        <w:t>-YSZ samples dried in N</w:t>
      </w:r>
      <w:r>
        <w:rPr>
          <w:vertAlign w:val="subscript"/>
        </w:rPr>
        <w:t>2</w:t>
      </w:r>
      <w:r>
        <w:t xml:space="preserve"> or Air atmospheres. The nitrogen and air dried and calcined samples are referred to as following the N</w:t>
      </w:r>
      <w:r>
        <w:rPr>
          <w:vertAlign w:val="subscript"/>
        </w:rPr>
        <w:t>2</w:t>
      </w:r>
      <w:r>
        <w:t xml:space="preserve"> and Air DC throughout this study.</w:t>
      </w:r>
    </w:p>
    <w:p w14:paraId="14BCB463" w14:textId="77777777" w:rsidR="00007F6C" w:rsidRDefault="00007F6C" w:rsidP="00007F6C">
      <w:pPr>
        <w:keepNext/>
        <w:jc w:val="center"/>
      </w:pPr>
      <w:r>
        <w:rPr>
          <w:noProof/>
        </w:rPr>
        <w:drawing>
          <wp:inline distT="0" distB="0" distL="0" distR="0" wp14:anchorId="46689EBD" wp14:editId="71FCEFED">
            <wp:extent cx="5580000" cy="4262586"/>
            <wp:effectExtent l="0" t="0" r="1905" b="5080"/>
            <wp:docPr id="49" name="Picture 4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close up of a logo&#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5580000" cy="4262586"/>
                    </a:xfrm>
                    <a:prstGeom prst="rect">
                      <a:avLst/>
                    </a:prstGeom>
                  </pic:spPr>
                </pic:pic>
              </a:graphicData>
            </a:graphic>
          </wp:inline>
        </w:drawing>
      </w:r>
    </w:p>
    <w:p w14:paraId="76E174C4" w14:textId="545A5383" w:rsidR="00B636B3" w:rsidRDefault="00007F6C" w:rsidP="00C44F8F">
      <w:pPr>
        <w:pStyle w:val="Caption"/>
      </w:pPr>
      <w:bookmarkStart w:id="308" w:name="_Ref42249278"/>
      <w:bookmarkStart w:id="309" w:name="_Ref51227231"/>
      <w:bookmarkStart w:id="310" w:name="_Ref51677625"/>
      <w:bookmarkStart w:id="311" w:name="_Toc69114975"/>
      <w:r>
        <w:t>Figure 4.</w:t>
      </w:r>
      <w:bookmarkEnd w:id="308"/>
      <w:bookmarkEnd w:id="309"/>
      <w:r w:rsidR="00285C23">
        <w:fldChar w:fldCharType="begin"/>
      </w:r>
      <w:r w:rsidR="00285C23">
        <w:instrText xml:space="preserve"> SEQ Figure \* ARABIC </w:instrText>
      </w:r>
      <w:r w:rsidR="00B636B3">
        <w:instrText>\r 1</w:instrText>
      </w:r>
      <w:r w:rsidR="00285C23">
        <w:fldChar w:fldCharType="separate"/>
      </w:r>
      <w:r w:rsidR="00B636B3">
        <w:rPr>
          <w:noProof/>
        </w:rPr>
        <w:t>1</w:t>
      </w:r>
      <w:r w:rsidR="00285C23">
        <w:fldChar w:fldCharType="end"/>
      </w:r>
      <w:bookmarkEnd w:id="310"/>
      <w:r>
        <w:t xml:space="preserve">: </w:t>
      </w:r>
      <w:bookmarkStart w:id="312" w:name="_Hlk48832527"/>
      <w:r>
        <w:t xml:space="preserve">X-ray Diffraction patterns of samples containing nickel compounds. From left to right: </w:t>
      </w:r>
      <w:proofErr w:type="spellStart"/>
      <w:r>
        <w:t>NiO</w:t>
      </w:r>
      <w:proofErr w:type="spellEnd"/>
      <w:r>
        <w:t xml:space="preserve"> powder (JT Baker, USA), nickel metal foil (</w:t>
      </w:r>
      <w:proofErr w:type="spellStart"/>
      <w:r>
        <w:t>Alfar</w:t>
      </w:r>
      <w:proofErr w:type="spellEnd"/>
      <w:r>
        <w:t xml:space="preserve"> </w:t>
      </w:r>
      <w:proofErr w:type="spellStart"/>
      <w:r>
        <w:t>Aesar</w:t>
      </w:r>
      <w:proofErr w:type="spellEnd"/>
      <w:r>
        <w:t xml:space="preserve">), calcined </w:t>
      </w:r>
      <w:proofErr w:type="spellStart"/>
      <w:r>
        <w:t>NiO</w:t>
      </w:r>
      <w:proofErr w:type="spellEnd"/>
      <w:r>
        <w:t>-YSZ (N</w:t>
      </w:r>
      <w:r>
        <w:rPr>
          <w:vertAlign w:val="subscript"/>
        </w:rPr>
        <w:t>2</w:t>
      </w:r>
      <w:r>
        <w:t xml:space="preserve"> dried) and calcined </w:t>
      </w:r>
      <w:proofErr w:type="spellStart"/>
      <w:r>
        <w:t>NiO</w:t>
      </w:r>
      <w:proofErr w:type="spellEnd"/>
      <w:r>
        <w:t>-YSZ (Air dried). Characteristic peaks for</w:t>
      </w:r>
      <w:r w:rsidR="00B636B3">
        <w:t xml:space="preserve"> n</w:t>
      </w:r>
      <w:r>
        <w:t xml:space="preserve">ickel oxide, nickel and yttria-stabilised zirconia are denoted by +, -, and * </w:t>
      </w:r>
      <w:proofErr w:type="gramStart"/>
      <w:r>
        <w:t>respectively</w:t>
      </w:r>
      <w:bookmarkEnd w:id="312"/>
      <w:bookmarkEnd w:id="311"/>
      <w:proofErr w:type="gramEnd"/>
    </w:p>
    <w:p w14:paraId="2842B743" w14:textId="227D43AF" w:rsidR="00B636B3" w:rsidRDefault="00B636B3" w:rsidP="00B636B3"/>
    <w:p w14:paraId="4BE9701E" w14:textId="59AD93EA" w:rsidR="00B636B3" w:rsidRPr="002F5A59" w:rsidRDefault="00B636B3" w:rsidP="00B636B3">
      <w:pPr>
        <w:jc w:val="both"/>
      </w:pPr>
      <w:r w:rsidRPr="00E26753">
        <w:rPr>
          <w:rFonts w:cstheme="minorHAnsi"/>
        </w:rPr>
        <w:t xml:space="preserve">The diffraction patterns for the </w:t>
      </w:r>
      <w:proofErr w:type="spellStart"/>
      <w:r w:rsidRPr="00E26753">
        <w:rPr>
          <w:rFonts w:cstheme="minorHAnsi"/>
        </w:rPr>
        <w:t>NiO</w:t>
      </w:r>
      <w:proofErr w:type="spellEnd"/>
      <w:r w:rsidRPr="00E26753">
        <w:rPr>
          <w:rFonts w:cstheme="minorHAnsi"/>
        </w:rPr>
        <w:t xml:space="preserve">-YSZ cells showed </w:t>
      </w:r>
      <w:r>
        <w:rPr>
          <w:rFonts w:cstheme="minorHAnsi"/>
        </w:rPr>
        <w:t>broadened</w:t>
      </w:r>
      <w:r w:rsidRPr="00E26753">
        <w:rPr>
          <w:rFonts w:cstheme="minorHAnsi"/>
        </w:rPr>
        <w:t xml:space="preserve"> </w:t>
      </w:r>
      <w:r>
        <w:rPr>
          <w:rFonts w:cstheme="minorHAnsi"/>
        </w:rPr>
        <w:t>reflections</w:t>
      </w:r>
      <w:r w:rsidRPr="00E26753">
        <w:rPr>
          <w:rFonts w:cstheme="minorHAnsi"/>
        </w:rPr>
        <w:t xml:space="preserve"> associated with nanoscale </w:t>
      </w:r>
      <w:r>
        <w:rPr>
          <w:rFonts w:cstheme="minorHAnsi"/>
        </w:rPr>
        <w:t>grains</w:t>
      </w:r>
      <w:r w:rsidRPr="00E26753">
        <w:rPr>
          <w:rFonts w:cstheme="minorHAnsi"/>
        </w:rPr>
        <w:t>.</w:t>
      </w:r>
      <w:r>
        <w:rPr>
          <w:rFonts w:cstheme="minorHAnsi"/>
        </w:rPr>
        <w:t xml:space="preserve"> The infiltrated </w:t>
      </w:r>
      <w:proofErr w:type="spellStart"/>
      <w:r>
        <w:rPr>
          <w:rFonts w:cstheme="minorHAnsi"/>
        </w:rPr>
        <w:t>NiO</w:t>
      </w:r>
      <w:proofErr w:type="spellEnd"/>
      <w:r>
        <w:rPr>
          <w:rFonts w:cstheme="minorHAnsi"/>
        </w:rPr>
        <w:t xml:space="preserve"> nanoparticles are a result of the calcination step where the nitrate species is decomposed to nitrous oxide via thermal decomposition. After calcination the colour of the infiltrated scaffolds went from green to </w:t>
      </w:r>
      <w:r w:rsidRPr="00E173E0">
        <w:rPr>
          <w:rFonts w:cstheme="minorHAnsi"/>
        </w:rPr>
        <w:t xml:space="preserve">black </w:t>
      </w:r>
      <w:r w:rsidRPr="00E173E0">
        <w:t>indicating that</w:t>
      </w:r>
      <w:r>
        <w:t xml:space="preserve"> the nickel nitrate had decomposed to form</w:t>
      </w:r>
      <w:r w:rsidRPr="00E173E0">
        <w:t xml:space="preserve"> nanoscale nickel oxide</w:t>
      </w:r>
      <w:r>
        <w:t xml:space="preserve"> </w:t>
      </w:r>
      <w:r>
        <w:fldChar w:fldCharType="begin" w:fldLock="1"/>
      </w:r>
      <w:r>
        <w:instrText>ADDIN CSL_CITATION {"citationItems":[{"id":"ITEM-1","itemData":{"DOI":"10.1016/j.jpowsour.2015.12.022","ISBN":"03787753","ISSN":"03787753","abstract":"The optimum operating temperature of micro solid oxide fuel cells (μ-SOFCs) is &lt; 600°C, which normally results in an undesirably high internal resistance. While the resistance of the electrolyte (most commonly yttria stabilized zirconia, YSZ) can be lowered significantly simply by decreasing its thickness, minimization of the electrode resistance (thus maintaining rapid reaction kinetics) is not as straightforward. In this work, an ethylene glycol based polymeric precursor solution, which promotes the intimate mixing of the Ni, Y and Zr components prior to their crystallization as oxides, was spin-coated onto a YSZ disc, generating a nanocomposite NiO-YSZ thin film. The in-situ reduction of NiO phase within the dense NiO-YSZ film to Ni, in combination with the nanoscale size of the Ni and YSZ particles (ca. 25 nm), resulted in a nanoporous, Ni-YSZ anode morphology (thickness &lt; 1 μm) with a homogeneous distribution of Ni and YSZ and a very high triple phase boundary length. Very small electrode polarization resistances of 0.65 Ω cm2 per electrode were obtained at 550°C in humidified H2, the lowest values yet reported for SOFCs at this temperature. These highly active anodes are therefore very promising for use in next generation μ-SOFCs.","author":[{"dropping-particle":"","family":"Buyukaksoy","given":"Aligul","non-dropping-particle":"","parse-names":false,"suffix":""},{"dropping-particle":"","family":"Birss","given":"Viola I.","non-dropping-particle":"","parse-names":false,"suffix":""}],"container-title":"Journal of Power Sources","id":"ITEM-1","issued":{"date-parts":[["2016"]]},"page":"449-453","publisher":"Elsevier B.V","title":"Highly active nanoscale Ni - Yttria stabilized zirconia anodes for micro-solid oxide fuel cell applications","type":"article-journal","volume":"307"},"uris":["http://www.mendeley.com/documents/?uuid=9eeae31c-fd94-471a-a2d8-f5077178be84"]}],"mendeley":{"formattedCitation":"[243]","plainTextFormattedCitation":"[243]","previouslyFormattedCitation":"[243]"},"properties":{"noteIndex":0},"schema":"https://github.com/citation-style-language/schema/raw/master/csl-citation.json"}</w:instrText>
      </w:r>
      <w:r>
        <w:fldChar w:fldCharType="separate"/>
      </w:r>
      <w:r w:rsidRPr="006C586A">
        <w:rPr>
          <w:noProof/>
        </w:rPr>
        <w:t>[243]</w:t>
      </w:r>
      <w:r>
        <w:fldChar w:fldCharType="end"/>
      </w:r>
      <w:r w:rsidRPr="00E173E0">
        <w:t xml:space="preserve">. </w:t>
      </w:r>
      <w:r>
        <w:t>Furthermore, the wide peaks present in scans C and D (</w:t>
      </w:r>
      <w:r>
        <w:fldChar w:fldCharType="begin"/>
      </w:r>
      <w:r>
        <w:instrText xml:space="preserve"> REF _Ref51677625 \h </w:instrText>
      </w:r>
      <w:r>
        <w:fldChar w:fldCharType="separate"/>
      </w:r>
      <w:r>
        <w:t>Figure 4.</w:t>
      </w:r>
      <w:r>
        <w:rPr>
          <w:noProof/>
        </w:rPr>
        <w:t>1</w:t>
      </w:r>
      <w:r>
        <w:fldChar w:fldCharType="end"/>
      </w:r>
      <w:r>
        <w:t xml:space="preserve">) also show that that the </w:t>
      </w:r>
      <w:proofErr w:type="spellStart"/>
      <w:r>
        <w:t>bunsenite</w:t>
      </w:r>
      <w:proofErr w:type="spellEnd"/>
      <w:r>
        <w:t xml:space="preserve"> on the samples is nanoscale in length.</w:t>
      </w:r>
    </w:p>
    <w:p w14:paraId="3A9A48D9" w14:textId="77777777" w:rsidR="00B636B3" w:rsidRPr="00B636B3" w:rsidRDefault="00B636B3" w:rsidP="00B636B3"/>
    <w:p w14:paraId="1247CF18" w14:textId="5F23AE45" w:rsidR="00007F6C" w:rsidRPr="009D7277" w:rsidRDefault="00007F6C" w:rsidP="00C44F8F">
      <w:pPr>
        <w:pStyle w:val="Caption"/>
        <w:rPr>
          <w:rFonts w:ascii="Arial" w:hAnsi="Arial" w:cs="Arial"/>
        </w:rPr>
      </w:pPr>
      <w:r w:rsidRPr="009D7277">
        <w:rPr>
          <w:rFonts w:ascii="Arial" w:hAnsi="Arial" w:cs="Arial"/>
          <w:noProof/>
          <w:lang w:eastAsia="en-GB"/>
        </w:rPr>
        <w:lastRenderedPageBreak/>
        <w:drawing>
          <wp:inline distT="0" distB="0" distL="0" distR="0" wp14:anchorId="7F582849" wp14:editId="459C71FE">
            <wp:extent cx="4530662" cy="3600000"/>
            <wp:effectExtent l="0" t="0" r="381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X-ray Diffraction Pattern Air dried 2nd draft.png"/>
                    <pic:cNvPicPr/>
                  </pic:nvPicPr>
                  <pic:blipFill rotWithShape="1">
                    <a:blip r:embed="rId87" cstate="print">
                      <a:extLst>
                        <a:ext uri="{28A0092B-C50C-407E-A947-70E740481C1C}">
                          <a14:useLocalDpi xmlns:a14="http://schemas.microsoft.com/office/drawing/2010/main" val="0"/>
                        </a:ext>
                      </a:extLst>
                    </a:blip>
                    <a:srcRect l="3722" t="8267" r="12786" b="4887"/>
                    <a:stretch/>
                  </pic:blipFill>
                  <pic:spPr bwMode="auto">
                    <a:xfrm>
                      <a:off x="0" y="0"/>
                      <a:ext cx="4530662" cy="3600000"/>
                    </a:xfrm>
                    <a:prstGeom prst="rect">
                      <a:avLst/>
                    </a:prstGeom>
                    <a:ln>
                      <a:noFill/>
                    </a:ln>
                    <a:extLst>
                      <a:ext uri="{53640926-AAD7-44D8-BBD7-CCE9431645EC}">
                        <a14:shadowObscured xmlns:a14="http://schemas.microsoft.com/office/drawing/2010/main"/>
                      </a:ext>
                    </a:extLst>
                  </pic:spPr>
                </pic:pic>
              </a:graphicData>
            </a:graphic>
          </wp:inline>
        </w:drawing>
      </w:r>
    </w:p>
    <w:p w14:paraId="67E08F60" w14:textId="21C5CF72" w:rsidR="00007F6C" w:rsidRPr="00E26753" w:rsidRDefault="00007F6C" w:rsidP="00007F6C">
      <w:pPr>
        <w:pStyle w:val="Caption"/>
        <w:rPr>
          <w:rFonts w:cstheme="minorHAnsi"/>
        </w:rPr>
      </w:pPr>
      <w:bookmarkStart w:id="313" w:name="_Ref68867522"/>
      <w:bookmarkStart w:id="314" w:name="_Toc69114976"/>
      <w:r w:rsidRPr="00E26753">
        <w:rPr>
          <w:rFonts w:cstheme="minorHAnsi"/>
        </w:rPr>
        <w:t xml:space="preserve">Figure </w:t>
      </w:r>
      <w:r>
        <w:rPr>
          <w:rFonts w:cstheme="minorHAnsi"/>
        </w:rPr>
        <w:t>4.</w:t>
      </w:r>
      <w:r w:rsidR="00285C23">
        <w:rPr>
          <w:rFonts w:cstheme="minorHAnsi"/>
        </w:rPr>
        <w:fldChar w:fldCharType="begin"/>
      </w:r>
      <w:r w:rsidR="00285C23">
        <w:rPr>
          <w:rFonts w:cstheme="minorHAnsi"/>
        </w:rPr>
        <w:instrText xml:space="preserve"> SEQ Figure \* ARABIC </w:instrText>
      </w:r>
      <w:r w:rsidR="00285C23">
        <w:rPr>
          <w:rFonts w:cstheme="minorHAnsi"/>
        </w:rPr>
        <w:fldChar w:fldCharType="separate"/>
      </w:r>
      <w:r w:rsidR="00B636B3">
        <w:rPr>
          <w:rFonts w:cstheme="minorHAnsi"/>
          <w:noProof/>
        </w:rPr>
        <w:t>2</w:t>
      </w:r>
      <w:r w:rsidR="00285C23">
        <w:rPr>
          <w:rFonts w:cstheme="minorHAnsi"/>
        </w:rPr>
        <w:fldChar w:fldCharType="end"/>
      </w:r>
      <w:bookmarkEnd w:id="313"/>
      <w:r w:rsidRPr="00E26753">
        <w:rPr>
          <w:rFonts w:cstheme="minorHAnsi"/>
        </w:rPr>
        <w:t xml:space="preserve">: X-ray diffraction pattern of the infiltrated </w:t>
      </w:r>
      <w:proofErr w:type="spellStart"/>
      <w:r w:rsidRPr="00E26753">
        <w:rPr>
          <w:rFonts w:cstheme="minorHAnsi"/>
        </w:rPr>
        <w:t>NiO</w:t>
      </w:r>
      <w:proofErr w:type="spellEnd"/>
      <w:r w:rsidRPr="00E26753">
        <w:rPr>
          <w:rFonts w:cstheme="minorHAnsi"/>
        </w:rPr>
        <w:t>-YSZ sample dried in Air and then calcined for at 350</w:t>
      </w:r>
      <w:r w:rsidR="00C44F8F">
        <w:rPr>
          <w:rFonts w:cstheme="minorHAnsi"/>
        </w:rPr>
        <w:t xml:space="preserve"> </w:t>
      </w:r>
      <w:r w:rsidRPr="00E26753">
        <w:rPr>
          <w:rFonts w:cstheme="minorHAnsi"/>
        </w:rPr>
        <w:t>°C for 1.5 hours</w:t>
      </w:r>
      <w:r>
        <w:rPr>
          <w:rFonts w:cstheme="minorHAnsi"/>
        </w:rPr>
        <w:t xml:space="preserve"> </w:t>
      </w:r>
      <w:r>
        <w:rPr>
          <w:rFonts w:cstheme="minorHAnsi"/>
        </w:rPr>
        <w:fldChar w:fldCharType="begin" w:fldLock="1"/>
      </w:r>
      <w:r w:rsidR="008B6E91">
        <w:rPr>
          <w:rFonts w:cstheme="minorHAnsi"/>
        </w:rPr>
        <w:instrText>ADDIN CSL_CITATION {"citationItems":[{"id":"ITEM-1","itemData":{"DOI":"10.1590/1980-5373-MR-2016-0196","ISSN":"15161439","abstract":"Yttria stabilized zirconia (YSZ) nanoparticles were synthesized by the co-precipitation method. The crystallinity, morphological and optical properties of the YSZ nanoparticles were studied by using X-ray diffraction (XRD), scanning electron microscopy (SEM), transmission electron microscopy (TEM), FT-Raman, photoluminescence (PL) spectrum analyses. The grain size and crystal structure of the YSZ was confirmed by XRD. SEM and TEM analyses showed that the synthesized samples were composed of the size of nanometers. The optical property of the synthesized nanoparticles was studied from the photoluminescence spectrum. The dielectric properties such as the dielectric constant, the dielectric loss and AC conductivity of the YSZ nanoparticles were studied in the different frequencies and temperature.","author":[{"dropping-particle":"","family":"Maridurai","given":"Thirupathy","non-dropping-particle":"","parse-names":false,"suffix":""},{"dropping-particle":"","family":"Balaji","given":"Dhanapal","non-dropping-particle":"","parse-names":false,"suffix":""},{"dropping-particle":"","family":"Sagadevan","given":"Suresh","non-dropping-particle":"","parse-names":false,"suffix":""}],"container-title":"Materials Research","id":"ITEM-1","issue":"4","issued":{"date-parts":[["2016"]]},"page":"812-816","title":"Synthesis and characterization of yttrium stabilized zirconia nanoparticles","type":"article-journal","volume":"19"},"uris":["http://www.mendeley.com/documents/?uuid=b2d5c103-0e70-449c-adb0-298610c9c035"]}],"mendeley":{"formattedCitation":"[382]","plainTextFormattedCitation":"[382]","previouslyFormattedCitation":"[382]"},"properties":{"noteIndex":0},"schema":"https://github.com/citation-style-language/schema/raw/master/csl-citation.json"}</w:instrText>
      </w:r>
      <w:r>
        <w:rPr>
          <w:rFonts w:cstheme="minorHAnsi"/>
        </w:rPr>
        <w:fldChar w:fldCharType="separate"/>
      </w:r>
      <w:r w:rsidR="00237E21" w:rsidRPr="00237E21">
        <w:rPr>
          <w:rFonts w:cstheme="minorHAnsi"/>
          <w:i w:val="0"/>
          <w:noProof/>
        </w:rPr>
        <w:t>[382]</w:t>
      </w:r>
      <w:r>
        <w:rPr>
          <w:rFonts w:cstheme="minorHAnsi"/>
        </w:rPr>
        <w:fldChar w:fldCharType="end"/>
      </w:r>
      <w:r w:rsidRPr="00E26753">
        <w:rPr>
          <w:rFonts w:cstheme="minorHAnsi"/>
        </w:rPr>
        <w:t>.</w:t>
      </w:r>
      <w:bookmarkEnd w:id="314"/>
    </w:p>
    <w:p w14:paraId="2CE956E7" w14:textId="78E93474" w:rsidR="00007F6C" w:rsidRPr="00E26753" w:rsidRDefault="00007F6C" w:rsidP="00007F6C">
      <w:pPr>
        <w:rPr>
          <w:rFonts w:cstheme="minorHAnsi"/>
        </w:rPr>
      </w:pPr>
      <w:r w:rsidRPr="00E26753">
        <w:rPr>
          <w:rFonts w:cstheme="minorHAnsi"/>
        </w:rPr>
        <w:t xml:space="preserve">The resulting diffraction patterns were analysed </w:t>
      </w:r>
      <w:r>
        <w:rPr>
          <w:rFonts w:cstheme="minorHAnsi"/>
        </w:rPr>
        <w:t>and matched to YSZ, nickel oxide and nickel samples in the</w:t>
      </w:r>
      <w:r w:rsidRPr="00E26753">
        <w:rPr>
          <w:rFonts w:cstheme="minorHAnsi"/>
        </w:rPr>
        <w:t xml:space="preserve"> ICDD PDF4+ database and the Bruker </w:t>
      </w:r>
      <w:proofErr w:type="spellStart"/>
      <w:r w:rsidRPr="00E26753">
        <w:rPr>
          <w:rFonts w:cstheme="minorHAnsi"/>
        </w:rPr>
        <w:t>Diffrac</w:t>
      </w:r>
      <w:proofErr w:type="spellEnd"/>
      <w:r w:rsidRPr="00E26753">
        <w:rPr>
          <w:rFonts w:cstheme="minorHAnsi"/>
        </w:rPr>
        <w:t xml:space="preserve">. Eva </w:t>
      </w:r>
      <w:r w:rsidRPr="0081708C">
        <w:rPr>
          <w:rFonts w:cstheme="minorHAnsi"/>
        </w:rPr>
        <w:t xml:space="preserve">program </w:t>
      </w:r>
      <w:r w:rsidR="00B636B3">
        <w:rPr>
          <w:rFonts w:cstheme="minorHAnsi"/>
        </w:rPr>
        <w:t>(</w:t>
      </w:r>
      <w:r w:rsidR="00B636B3">
        <w:rPr>
          <w:rFonts w:cstheme="minorHAnsi"/>
        </w:rPr>
        <w:fldChar w:fldCharType="begin"/>
      </w:r>
      <w:r w:rsidR="00B636B3">
        <w:rPr>
          <w:rFonts w:cstheme="minorHAnsi"/>
        </w:rPr>
        <w:instrText xml:space="preserve"> REF _Ref68867522 \h </w:instrText>
      </w:r>
      <w:r w:rsidR="00B636B3">
        <w:rPr>
          <w:rFonts w:cstheme="minorHAnsi"/>
        </w:rPr>
      </w:r>
      <w:r w:rsidR="00B636B3">
        <w:rPr>
          <w:rFonts w:cstheme="minorHAnsi"/>
        </w:rPr>
        <w:fldChar w:fldCharType="separate"/>
      </w:r>
      <w:r w:rsidR="00B636B3" w:rsidRPr="00E26753">
        <w:rPr>
          <w:rFonts w:cstheme="minorHAnsi"/>
        </w:rPr>
        <w:t xml:space="preserve">Figure </w:t>
      </w:r>
      <w:r w:rsidR="00B636B3">
        <w:rPr>
          <w:rFonts w:cstheme="minorHAnsi"/>
        </w:rPr>
        <w:t>4.</w:t>
      </w:r>
      <w:r w:rsidR="00B636B3">
        <w:rPr>
          <w:rFonts w:cstheme="minorHAnsi"/>
          <w:noProof/>
        </w:rPr>
        <w:t>2</w:t>
      </w:r>
      <w:r w:rsidR="00B636B3">
        <w:rPr>
          <w:rFonts w:cstheme="minorHAnsi"/>
        </w:rPr>
        <w:fldChar w:fldCharType="end"/>
      </w:r>
      <w:r w:rsidR="00B636B3">
        <w:rPr>
          <w:rFonts w:cstheme="minorHAnsi"/>
        </w:rPr>
        <w:t xml:space="preserve">, </w:t>
      </w:r>
      <w:r w:rsidR="00B636B3">
        <w:rPr>
          <w:rFonts w:cstheme="minorHAnsi"/>
        </w:rPr>
        <w:fldChar w:fldCharType="begin"/>
      </w:r>
      <w:r w:rsidR="00B636B3">
        <w:rPr>
          <w:rFonts w:cstheme="minorHAnsi"/>
        </w:rPr>
        <w:instrText xml:space="preserve"> REF _Ref68867588 \h </w:instrText>
      </w:r>
      <w:r w:rsidR="00B636B3">
        <w:rPr>
          <w:rFonts w:cstheme="minorHAnsi"/>
        </w:rPr>
      </w:r>
      <w:r w:rsidR="00B636B3">
        <w:rPr>
          <w:rFonts w:cstheme="minorHAnsi"/>
        </w:rPr>
        <w:fldChar w:fldCharType="separate"/>
      </w:r>
      <w:r w:rsidR="00B636B3" w:rsidRPr="00E26753">
        <w:rPr>
          <w:rFonts w:cstheme="minorHAnsi"/>
        </w:rPr>
        <w:t xml:space="preserve">Table </w:t>
      </w:r>
      <w:r w:rsidR="00B636B3">
        <w:rPr>
          <w:rFonts w:cstheme="minorHAnsi"/>
        </w:rPr>
        <w:t>4.</w:t>
      </w:r>
      <w:r w:rsidR="00B636B3">
        <w:rPr>
          <w:rFonts w:cstheme="minorHAnsi"/>
          <w:noProof/>
        </w:rPr>
        <w:t>2</w:t>
      </w:r>
      <w:r w:rsidR="00B636B3">
        <w:rPr>
          <w:rFonts w:cstheme="minorHAnsi"/>
        </w:rPr>
        <w:fldChar w:fldCharType="end"/>
      </w:r>
      <w:r w:rsidR="00B636B3">
        <w:rPr>
          <w:rFonts w:cstheme="minorHAnsi"/>
        </w:rPr>
        <w:t xml:space="preserve">) </w:t>
      </w:r>
      <w:r w:rsidRPr="0081708C">
        <w:rPr>
          <w:rFonts w:cstheme="minorHAnsi"/>
        </w:rPr>
        <w:fldChar w:fldCharType="begin" w:fldLock="1"/>
      </w:r>
      <w:r w:rsidR="008B6E91">
        <w:rPr>
          <w:rFonts w:cstheme="minorHAnsi"/>
        </w:rPr>
        <w:instrText>ADDIN CSL_CITATION {"citationItems":[{"id":"ITEM-1","itemData":{"DOI":"10.1590/1980-5373-MR-2016-0196","ISSN":"15161439","abstract":"Yttria stabilized zirconia (YSZ) nanoparticles were synthesized by the co-precipitation method. The crystallinity, morphological and optical properties of the YSZ nanoparticles were studied by using X-ray diffraction (XRD), scanning electron microscopy (SEM), transmission electron microscopy (TEM), FT-Raman, photoluminescence (PL) spectrum analyses. The grain size and crystal structure of the YSZ was confirmed by XRD. SEM and TEM analyses showed that the synthesized samples were composed of the size of nanometers. The optical property of the synthesized nanoparticles was studied from the photoluminescence spectrum. The dielectric properties such as the dielectric constant, the dielectric loss and AC conductivity of the YSZ nanoparticles were studied in the different frequencies and temperature.","author":[{"dropping-particle":"","family":"Maridurai","given":"Thirupathy","non-dropping-particle":"","parse-names":false,"suffix":""},{"dropping-particle":"","family":"Balaji","given":"Dhanapal","non-dropping-particle":"","parse-names":false,"suffix":""},{"dropping-particle":"","family":"Sagadevan","given":"Suresh","non-dropping-particle":"","parse-names":false,"suffix":""}],"container-title":"Materials Research","id":"ITEM-1","issue":"4","issued":{"date-parts":[["2016"]]},"page":"812-816","title":"Synthesis and characterization of yttrium stabilized zirconia nanoparticles","type":"article-journal","volume":"19"},"uris":["http://www.mendeley.com/documents/?uuid=b2d5c103-0e70-449c-adb0-298610c9c035"]}],"mendeley":{"formattedCitation":"[382]","plainTextFormattedCitation":"[382]","previouslyFormattedCitation":"[382]"},"properties":{"noteIndex":0},"schema":"https://github.com/citation-style-language/schema/raw/master/csl-citation.json"}</w:instrText>
      </w:r>
      <w:r w:rsidRPr="0081708C">
        <w:rPr>
          <w:rFonts w:cstheme="minorHAnsi"/>
        </w:rPr>
        <w:fldChar w:fldCharType="separate"/>
      </w:r>
      <w:r w:rsidR="00237E21" w:rsidRPr="00237E21">
        <w:rPr>
          <w:rFonts w:cstheme="minorHAnsi"/>
          <w:noProof/>
        </w:rPr>
        <w:t>[382]</w:t>
      </w:r>
      <w:r w:rsidRPr="0081708C">
        <w:rPr>
          <w:rFonts w:cstheme="minorHAnsi"/>
        </w:rPr>
        <w:fldChar w:fldCharType="end"/>
      </w:r>
      <w:r w:rsidRPr="0081708C">
        <w:rPr>
          <w:rFonts w:cstheme="minorHAnsi"/>
        </w:rPr>
        <w:t>.</w:t>
      </w:r>
    </w:p>
    <w:p w14:paraId="0EB7AD85" w14:textId="24D4C7A8" w:rsidR="00007F6C" w:rsidRPr="00E26753" w:rsidRDefault="00007F6C" w:rsidP="00C44F8F">
      <w:pPr>
        <w:pStyle w:val="Caption"/>
        <w:keepNext/>
        <w:spacing w:after="240"/>
        <w:rPr>
          <w:rFonts w:cstheme="minorHAnsi"/>
        </w:rPr>
      </w:pPr>
      <w:bookmarkStart w:id="315" w:name="_Ref68867588"/>
      <w:r w:rsidRPr="00E26753">
        <w:rPr>
          <w:rFonts w:cstheme="minorHAnsi"/>
        </w:rPr>
        <w:t xml:space="preserve">Table </w:t>
      </w:r>
      <w:r>
        <w:rPr>
          <w:rFonts w:cstheme="minorHAnsi"/>
        </w:rPr>
        <w:t>4.</w:t>
      </w:r>
      <w:r w:rsidRPr="00E26753">
        <w:rPr>
          <w:rFonts w:cstheme="minorHAnsi"/>
        </w:rPr>
        <w:fldChar w:fldCharType="begin"/>
      </w:r>
      <w:r w:rsidRPr="00E26753">
        <w:rPr>
          <w:rFonts w:cstheme="minorHAnsi"/>
        </w:rPr>
        <w:instrText xml:space="preserve"> SEQ Table \* ARABIC </w:instrText>
      </w:r>
      <w:r w:rsidRPr="00E26753">
        <w:rPr>
          <w:rFonts w:cstheme="minorHAnsi"/>
        </w:rPr>
        <w:fldChar w:fldCharType="separate"/>
      </w:r>
      <w:r w:rsidR="0022061C">
        <w:rPr>
          <w:rFonts w:cstheme="minorHAnsi"/>
          <w:noProof/>
        </w:rPr>
        <w:t>2</w:t>
      </w:r>
      <w:r w:rsidRPr="00E26753">
        <w:rPr>
          <w:rFonts w:cstheme="minorHAnsi"/>
          <w:noProof/>
        </w:rPr>
        <w:fldChar w:fldCharType="end"/>
      </w:r>
      <w:bookmarkEnd w:id="315"/>
      <w:r w:rsidRPr="00E26753">
        <w:rPr>
          <w:rFonts w:cstheme="minorHAnsi"/>
        </w:rPr>
        <w:t xml:space="preserve">: A table detailing the International Crystallographic Diffraction Database PDF cards that the P17 sample has matched with during </w:t>
      </w:r>
      <w:proofErr w:type="gramStart"/>
      <w:r w:rsidRPr="00E26753">
        <w:rPr>
          <w:rFonts w:cstheme="minorHAnsi"/>
        </w:rPr>
        <w:t>analysis</w:t>
      </w:r>
      <w:proofErr w:type="gramEnd"/>
    </w:p>
    <w:tbl>
      <w:tblPr>
        <w:tblStyle w:val="TableGrid"/>
        <w:tblW w:w="0" w:type="auto"/>
        <w:jc w:val="center"/>
        <w:tblLook w:val="04A0" w:firstRow="1" w:lastRow="0" w:firstColumn="1" w:lastColumn="0" w:noHBand="0" w:noVBand="1"/>
      </w:tblPr>
      <w:tblGrid>
        <w:gridCol w:w="2357"/>
        <w:gridCol w:w="1973"/>
        <w:gridCol w:w="1446"/>
        <w:gridCol w:w="1821"/>
      </w:tblGrid>
      <w:tr w:rsidR="00007F6C" w:rsidRPr="00E26753" w14:paraId="16D4F1E7" w14:textId="77777777" w:rsidTr="005E2F1E">
        <w:trPr>
          <w:jc w:val="center"/>
        </w:trPr>
        <w:tc>
          <w:tcPr>
            <w:tcW w:w="0" w:type="auto"/>
          </w:tcPr>
          <w:p w14:paraId="37887360" w14:textId="77777777" w:rsidR="00007F6C" w:rsidRPr="00E26753" w:rsidRDefault="00007F6C" w:rsidP="005E2F1E">
            <w:pPr>
              <w:jc w:val="both"/>
              <w:rPr>
                <w:rFonts w:cstheme="minorHAnsi"/>
                <w:b/>
              </w:rPr>
            </w:pPr>
            <w:r w:rsidRPr="00E26753">
              <w:rPr>
                <w:rFonts w:cstheme="minorHAnsi"/>
                <w:b/>
              </w:rPr>
              <w:t>Compound</w:t>
            </w:r>
          </w:p>
        </w:tc>
        <w:tc>
          <w:tcPr>
            <w:tcW w:w="0" w:type="auto"/>
          </w:tcPr>
          <w:p w14:paraId="08BEFC3A" w14:textId="77777777" w:rsidR="00007F6C" w:rsidRPr="00E26753" w:rsidRDefault="00007F6C" w:rsidP="005E2F1E">
            <w:pPr>
              <w:jc w:val="both"/>
              <w:rPr>
                <w:rFonts w:cstheme="minorHAnsi"/>
                <w:b/>
              </w:rPr>
            </w:pPr>
            <w:r w:rsidRPr="00E26753">
              <w:rPr>
                <w:rFonts w:cstheme="minorHAnsi"/>
                <w:b/>
              </w:rPr>
              <w:t>PDF card no.</w:t>
            </w:r>
          </w:p>
        </w:tc>
        <w:tc>
          <w:tcPr>
            <w:tcW w:w="0" w:type="auto"/>
          </w:tcPr>
          <w:p w14:paraId="21DEE216" w14:textId="77777777" w:rsidR="00007F6C" w:rsidRPr="00E26753" w:rsidRDefault="00007F6C" w:rsidP="005E2F1E">
            <w:pPr>
              <w:jc w:val="both"/>
              <w:rPr>
                <w:rFonts w:cstheme="minorHAnsi"/>
                <w:b/>
              </w:rPr>
            </w:pPr>
            <w:r w:rsidRPr="00E26753">
              <w:rPr>
                <w:rFonts w:cstheme="minorHAnsi"/>
                <w:b/>
              </w:rPr>
              <w:t>Composition</w:t>
            </w:r>
          </w:p>
        </w:tc>
        <w:tc>
          <w:tcPr>
            <w:tcW w:w="0" w:type="auto"/>
          </w:tcPr>
          <w:p w14:paraId="7E94357D" w14:textId="77777777" w:rsidR="00007F6C" w:rsidRPr="00E26753" w:rsidRDefault="00007F6C" w:rsidP="005E2F1E">
            <w:pPr>
              <w:jc w:val="both"/>
              <w:rPr>
                <w:rFonts w:cstheme="minorHAnsi"/>
                <w:b/>
              </w:rPr>
            </w:pPr>
            <w:r w:rsidRPr="00E26753">
              <w:rPr>
                <w:rFonts w:cstheme="minorHAnsi"/>
                <w:b/>
              </w:rPr>
              <w:t>Analysis program</w:t>
            </w:r>
          </w:p>
        </w:tc>
      </w:tr>
      <w:tr w:rsidR="00007F6C" w:rsidRPr="00E26753" w14:paraId="0C163708" w14:textId="77777777" w:rsidTr="005E2F1E">
        <w:trPr>
          <w:jc w:val="center"/>
        </w:trPr>
        <w:tc>
          <w:tcPr>
            <w:tcW w:w="0" w:type="auto"/>
          </w:tcPr>
          <w:p w14:paraId="0250D734" w14:textId="77777777" w:rsidR="00007F6C" w:rsidRPr="00E26753" w:rsidRDefault="00007F6C" w:rsidP="005E2F1E">
            <w:pPr>
              <w:jc w:val="both"/>
              <w:rPr>
                <w:rFonts w:cstheme="minorHAnsi"/>
              </w:rPr>
            </w:pPr>
            <w:r w:rsidRPr="00E26753">
              <w:rPr>
                <w:rFonts w:cstheme="minorHAnsi"/>
              </w:rPr>
              <w:t>Yttria zirconium oxide</w:t>
            </w:r>
          </w:p>
        </w:tc>
        <w:tc>
          <w:tcPr>
            <w:tcW w:w="0" w:type="auto"/>
          </w:tcPr>
          <w:p w14:paraId="725CA6C7" w14:textId="77777777" w:rsidR="00007F6C" w:rsidRPr="000C73AE" w:rsidRDefault="00007F6C" w:rsidP="005E2F1E">
            <w:pPr>
              <w:jc w:val="both"/>
              <w:rPr>
                <w:rFonts w:cstheme="minorHAnsi"/>
              </w:rPr>
            </w:pPr>
            <w:r w:rsidRPr="000C73AE">
              <w:rPr>
                <w:rFonts w:cstheme="minorHAnsi"/>
              </w:rPr>
              <w:t>04-016-2092</w:t>
            </w:r>
          </w:p>
        </w:tc>
        <w:tc>
          <w:tcPr>
            <w:tcW w:w="0" w:type="auto"/>
          </w:tcPr>
          <w:p w14:paraId="677705AC" w14:textId="77777777" w:rsidR="00007F6C" w:rsidRPr="00E26753" w:rsidRDefault="00007F6C" w:rsidP="005E2F1E">
            <w:pPr>
              <w:jc w:val="both"/>
              <w:rPr>
                <w:rFonts w:cstheme="minorHAnsi"/>
              </w:rPr>
            </w:pPr>
            <w:r w:rsidRPr="00E26753">
              <w:rPr>
                <w:rFonts w:cstheme="minorHAnsi"/>
              </w:rPr>
              <w:t>Y</w:t>
            </w:r>
            <w:r w:rsidRPr="00E26753">
              <w:rPr>
                <w:rFonts w:cstheme="minorHAnsi"/>
                <w:vertAlign w:val="subscript"/>
              </w:rPr>
              <w:t>0.12</w:t>
            </w:r>
            <w:r w:rsidRPr="00E26753">
              <w:rPr>
                <w:rFonts w:cstheme="minorHAnsi"/>
              </w:rPr>
              <w:t>Zr</w:t>
            </w:r>
            <w:r w:rsidRPr="00E26753">
              <w:rPr>
                <w:rFonts w:cstheme="minorHAnsi"/>
                <w:vertAlign w:val="subscript"/>
              </w:rPr>
              <w:t>0.88</w:t>
            </w:r>
            <w:r w:rsidRPr="00E26753">
              <w:rPr>
                <w:rFonts w:cstheme="minorHAnsi"/>
              </w:rPr>
              <w:t>O</w:t>
            </w:r>
            <w:r w:rsidRPr="00E26753">
              <w:rPr>
                <w:rFonts w:cstheme="minorHAnsi"/>
                <w:vertAlign w:val="subscript"/>
              </w:rPr>
              <w:t>1.94</w:t>
            </w:r>
          </w:p>
        </w:tc>
        <w:tc>
          <w:tcPr>
            <w:tcW w:w="0" w:type="auto"/>
          </w:tcPr>
          <w:p w14:paraId="5C217F1C" w14:textId="77777777" w:rsidR="00007F6C" w:rsidRPr="00E26753" w:rsidRDefault="00007F6C" w:rsidP="005E2F1E">
            <w:pPr>
              <w:jc w:val="both"/>
              <w:rPr>
                <w:rFonts w:cstheme="minorHAnsi"/>
              </w:rPr>
            </w:pPr>
            <w:r w:rsidRPr="00E26753">
              <w:rPr>
                <w:rFonts w:cstheme="minorHAnsi"/>
              </w:rPr>
              <w:t>PDF4+ 2016</w:t>
            </w:r>
          </w:p>
        </w:tc>
      </w:tr>
      <w:tr w:rsidR="00007F6C" w:rsidRPr="00E26753" w14:paraId="523685A4" w14:textId="77777777" w:rsidTr="005E2F1E">
        <w:trPr>
          <w:jc w:val="center"/>
        </w:trPr>
        <w:tc>
          <w:tcPr>
            <w:tcW w:w="0" w:type="auto"/>
          </w:tcPr>
          <w:p w14:paraId="4B49E9EC" w14:textId="77777777" w:rsidR="00007F6C" w:rsidRPr="00E26753" w:rsidRDefault="00007F6C" w:rsidP="005E2F1E">
            <w:pPr>
              <w:jc w:val="both"/>
              <w:rPr>
                <w:rFonts w:cstheme="minorHAnsi"/>
              </w:rPr>
            </w:pPr>
            <w:r w:rsidRPr="00E26753">
              <w:rPr>
                <w:rFonts w:cstheme="minorHAnsi"/>
              </w:rPr>
              <w:t>Nickel oxide</w:t>
            </w:r>
          </w:p>
        </w:tc>
        <w:tc>
          <w:tcPr>
            <w:tcW w:w="0" w:type="auto"/>
          </w:tcPr>
          <w:p w14:paraId="6D9FEF87" w14:textId="77777777" w:rsidR="00007F6C" w:rsidRPr="000C73AE" w:rsidRDefault="00007F6C" w:rsidP="005E2F1E">
            <w:pPr>
              <w:jc w:val="both"/>
              <w:rPr>
                <w:rFonts w:cstheme="minorHAnsi"/>
              </w:rPr>
            </w:pPr>
            <w:r w:rsidRPr="000C73AE">
              <w:rPr>
                <w:rFonts w:cstheme="minorHAnsi"/>
              </w:rPr>
              <w:t>00-047-1049</w:t>
            </w:r>
          </w:p>
        </w:tc>
        <w:tc>
          <w:tcPr>
            <w:tcW w:w="0" w:type="auto"/>
          </w:tcPr>
          <w:p w14:paraId="2BB5045B" w14:textId="77777777" w:rsidR="00007F6C" w:rsidRPr="00E26753" w:rsidRDefault="00007F6C" w:rsidP="005E2F1E">
            <w:pPr>
              <w:jc w:val="both"/>
              <w:rPr>
                <w:rFonts w:cstheme="minorHAnsi"/>
              </w:rPr>
            </w:pPr>
            <w:proofErr w:type="spellStart"/>
            <w:r w:rsidRPr="00E26753">
              <w:rPr>
                <w:rFonts w:cstheme="minorHAnsi"/>
              </w:rPr>
              <w:t>NiO</w:t>
            </w:r>
            <w:proofErr w:type="spellEnd"/>
          </w:p>
        </w:tc>
        <w:tc>
          <w:tcPr>
            <w:tcW w:w="0" w:type="auto"/>
          </w:tcPr>
          <w:p w14:paraId="5A74E9B4" w14:textId="77777777" w:rsidR="00007F6C" w:rsidRPr="00E26753" w:rsidRDefault="00007F6C" w:rsidP="005E2F1E">
            <w:pPr>
              <w:jc w:val="both"/>
              <w:rPr>
                <w:rFonts w:cstheme="minorHAnsi"/>
              </w:rPr>
            </w:pPr>
            <w:r w:rsidRPr="00E26753">
              <w:rPr>
                <w:rFonts w:cstheme="minorHAnsi"/>
              </w:rPr>
              <w:t>PDF4+ 2016</w:t>
            </w:r>
          </w:p>
        </w:tc>
      </w:tr>
      <w:tr w:rsidR="00007F6C" w:rsidRPr="00E26753" w14:paraId="4CAF5FE1" w14:textId="77777777" w:rsidTr="005E2F1E">
        <w:trPr>
          <w:jc w:val="center"/>
        </w:trPr>
        <w:tc>
          <w:tcPr>
            <w:tcW w:w="0" w:type="auto"/>
          </w:tcPr>
          <w:p w14:paraId="10B1C9F6" w14:textId="77777777" w:rsidR="00007F6C" w:rsidRPr="000C73AE" w:rsidRDefault="00007F6C" w:rsidP="005E2F1E">
            <w:pPr>
              <w:jc w:val="both"/>
              <w:rPr>
                <w:rFonts w:cstheme="minorHAnsi"/>
              </w:rPr>
            </w:pPr>
            <w:r w:rsidRPr="000C73AE">
              <w:rPr>
                <w:rFonts w:cstheme="minorHAnsi"/>
              </w:rPr>
              <w:t>Yttria zirconium oxide</w:t>
            </w:r>
          </w:p>
        </w:tc>
        <w:tc>
          <w:tcPr>
            <w:tcW w:w="0" w:type="auto"/>
          </w:tcPr>
          <w:p w14:paraId="0F9D8CA1" w14:textId="77777777" w:rsidR="00007F6C" w:rsidRPr="000C73AE" w:rsidRDefault="00007F6C" w:rsidP="005E2F1E">
            <w:pPr>
              <w:jc w:val="both"/>
              <w:rPr>
                <w:rFonts w:cstheme="minorHAnsi"/>
              </w:rPr>
            </w:pPr>
            <w:r w:rsidRPr="000C73AE">
              <w:rPr>
                <w:rStyle w:val="fontstyle01"/>
                <w:rFonts w:asciiTheme="minorHAnsi" w:hAnsiTheme="minorHAnsi" w:cstheme="minorHAnsi"/>
                <w:color w:val="auto"/>
                <w:sz w:val="22"/>
                <w:szCs w:val="22"/>
              </w:rPr>
              <w:t>04-010-3268</w:t>
            </w:r>
          </w:p>
        </w:tc>
        <w:tc>
          <w:tcPr>
            <w:tcW w:w="0" w:type="auto"/>
          </w:tcPr>
          <w:p w14:paraId="2A28C10D" w14:textId="77777777" w:rsidR="00007F6C" w:rsidRPr="00E26753" w:rsidRDefault="00007F6C" w:rsidP="005E2F1E">
            <w:pPr>
              <w:jc w:val="both"/>
              <w:rPr>
                <w:rFonts w:cstheme="minorHAnsi"/>
              </w:rPr>
            </w:pPr>
            <w:r w:rsidRPr="00E26753">
              <w:rPr>
                <w:rFonts w:cstheme="minorHAnsi"/>
              </w:rPr>
              <w:t>Y</w:t>
            </w:r>
            <w:r w:rsidRPr="00E26753">
              <w:rPr>
                <w:rFonts w:cstheme="minorHAnsi"/>
                <w:vertAlign w:val="subscript"/>
              </w:rPr>
              <w:t>0.12</w:t>
            </w:r>
            <w:r w:rsidRPr="00E26753">
              <w:rPr>
                <w:rFonts w:cstheme="minorHAnsi"/>
              </w:rPr>
              <w:t>Zr</w:t>
            </w:r>
            <w:r w:rsidRPr="00E26753">
              <w:rPr>
                <w:rFonts w:cstheme="minorHAnsi"/>
                <w:vertAlign w:val="subscript"/>
              </w:rPr>
              <w:t>0.88</w:t>
            </w:r>
            <w:r w:rsidRPr="00E26753">
              <w:rPr>
                <w:rFonts w:cstheme="minorHAnsi"/>
              </w:rPr>
              <w:t>O</w:t>
            </w:r>
            <w:r w:rsidRPr="00E26753">
              <w:rPr>
                <w:rFonts w:cstheme="minorHAnsi"/>
                <w:vertAlign w:val="subscript"/>
              </w:rPr>
              <w:t>1.94</w:t>
            </w:r>
          </w:p>
        </w:tc>
        <w:tc>
          <w:tcPr>
            <w:tcW w:w="0" w:type="auto"/>
          </w:tcPr>
          <w:p w14:paraId="7882CAEA" w14:textId="77777777" w:rsidR="00007F6C" w:rsidRPr="00E26753" w:rsidRDefault="00007F6C" w:rsidP="005E2F1E">
            <w:pPr>
              <w:jc w:val="both"/>
              <w:rPr>
                <w:rFonts w:cstheme="minorHAnsi"/>
              </w:rPr>
            </w:pPr>
            <w:r w:rsidRPr="00E26753">
              <w:rPr>
                <w:rFonts w:cstheme="minorHAnsi"/>
              </w:rPr>
              <w:t>PDF4+ 2016</w:t>
            </w:r>
          </w:p>
        </w:tc>
      </w:tr>
      <w:tr w:rsidR="00007F6C" w:rsidRPr="00E26753" w14:paraId="48AD8F60" w14:textId="77777777" w:rsidTr="005E2F1E">
        <w:trPr>
          <w:jc w:val="center"/>
        </w:trPr>
        <w:tc>
          <w:tcPr>
            <w:tcW w:w="0" w:type="auto"/>
          </w:tcPr>
          <w:p w14:paraId="7EFE11BA" w14:textId="77777777" w:rsidR="00007F6C" w:rsidRPr="000C73AE" w:rsidRDefault="00007F6C" w:rsidP="005E2F1E">
            <w:pPr>
              <w:jc w:val="both"/>
              <w:rPr>
                <w:rFonts w:cstheme="minorHAnsi"/>
              </w:rPr>
            </w:pPr>
            <w:r w:rsidRPr="000C73AE">
              <w:rPr>
                <w:rFonts w:cstheme="minorHAnsi"/>
              </w:rPr>
              <w:t>Nickel oxide</w:t>
            </w:r>
          </w:p>
        </w:tc>
        <w:tc>
          <w:tcPr>
            <w:tcW w:w="0" w:type="auto"/>
          </w:tcPr>
          <w:p w14:paraId="73FB0859" w14:textId="77777777" w:rsidR="00007F6C" w:rsidRPr="000C73AE" w:rsidRDefault="00007F6C" w:rsidP="005E2F1E">
            <w:pPr>
              <w:jc w:val="both"/>
              <w:rPr>
                <w:rFonts w:cstheme="minorHAnsi"/>
              </w:rPr>
            </w:pPr>
            <w:r w:rsidRPr="000C73AE">
              <w:rPr>
                <w:rStyle w:val="fontstyle01"/>
                <w:rFonts w:asciiTheme="minorHAnsi" w:hAnsiTheme="minorHAnsi" w:cstheme="minorHAnsi"/>
                <w:color w:val="auto"/>
                <w:sz w:val="22"/>
                <w:szCs w:val="22"/>
              </w:rPr>
              <w:t>00-044-1159</w:t>
            </w:r>
          </w:p>
        </w:tc>
        <w:tc>
          <w:tcPr>
            <w:tcW w:w="0" w:type="auto"/>
          </w:tcPr>
          <w:p w14:paraId="007C413C" w14:textId="77777777" w:rsidR="00007F6C" w:rsidRPr="00E26753" w:rsidRDefault="00007F6C" w:rsidP="005E2F1E">
            <w:pPr>
              <w:jc w:val="both"/>
              <w:rPr>
                <w:rFonts w:cstheme="minorHAnsi"/>
              </w:rPr>
            </w:pPr>
            <w:proofErr w:type="spellStart"/>
            <w:r w:rsidRPr="00E26753">
              <w:rPr>
                <w:rFonts w:cstheme="minorHAnsi"/>
              </w:rPr>
              <w:t>NiO</w:t>
            </w:r>
            <w:proofErr w:type="spellEnd"/>
          </w:p>
        </w:tc>
        <w:tc>
          <w:tcPr>
            <w:tcW w:w="0" w:type="auto"/>
          </w:tcPr>
          <w:p w14:paraId="39DF5ADC" w14:textId="77777777" w:rsidR="00007F6C" w:rsidRPr="00E26753" w:rsidRDefault="00007F6C" w:rsidP="005E2F1E">
            <w:pPr>
              <w:jc w:val="both"/>
              <w:rPr>
                <w:rFonts w:cstheme="minorHAnsi"/>
              </w:rPr>
            </w:pPr>
            <w:r w:rsidRPr="00E26753">
              <w:rPr>
                <w:rFonts w:cstheme="minorHAnsi"/>
              </w:rPr>
              <w:t>PDF4+ 2016</w:t>
            </w:r>
          </w:p>
        </w:tc>
      </w:tr>
      <w:tr w:rsidR="00007F6C" w:rsidRPr="00E26753" w14:paraId="70575E8F" w14:textId="77777777" w:rsidTr="005E2F1E">
        <w:trPr>
          <w:jc w:val="center"/>
        </w:trPr>
        <w:tc>
          <w:tcPr>
            <w:tcW w:w="0" w:type="auto"/>
          </w:tcPr>
          <w:p w14:paraId="456238EE" w14:textId="77777777" w:rsidR="00007F6C" w:rsidRPr="00E26753" w:rsidRDefault="00007F6C" w:rsidP="005E2F1E">
            <w:pPr>
              <w:jc w:val="both"/>
              <w:rPr>
                <w:rFonts w:cstheme="minorHAnsi"/>
              </w:rPr>
            </w:pPr>
            <w:r w:rsidRPr="00E26753">
              <w:rPr>
                <w:rFonts w:cstheme="minorHAnsi"/>
              </w:rPr>
              <w:t>Yttria zirconium oxide</w:t>
            </w:r>
          </w:p>
        </w:tc>
        <w:tc>
          <w:tcPr>
            <w:tcW w:w="0" w:type="auto"/>
          </w:tcPr>
          <w:p w14:paraId="642EE13E" w14:textId="77777777" w:rsidR="00007F6C" w:rsidRPr="000C73AE" w:rsidRDefault="00007F6C" w:rsidP="005E2F1E">
            <w:pPr>
              <w:jc w:val="both"/>
              <w:rPr>
                <w:rFonts w:cstheme="minorHAnsi"/>
              </w:rPr>
            </w:pPr>
            <w:r w:rsidRPr="000C73AE">
              <w:rPr>
                <w:rFonts w:cstheme="minorHAnsi"/>
              </w:rPr>
              <w:t>04-018-5452</w:t>
            </w:r>
          </w:p>
        </w:tc>
        <w:tc>
          <w:tcPr>
            <w:tcW w:w="0" w:type="auto"/>
          </w:tcPr>
          <w:p w14:paraId="7583FF1B" w14:textId="77777777" w:rsidR="00007F6C" w:rsidRPr="00E26753" w:rsidRDefault="00007F6C" w:rsidP="005E2F1E">
            <w:pPr>
              <w:jc w:val="both"/>
              <w:rPr>
                <w:rFonts w:cstheme="minorHAnsi"/>
              </w:rPr>
            </w:pPr>
            <w:r w:rsidRPr="00E26753">
              <w:rPr>
                <w:rFonts w:cstheme="minorHAnsi"/>
              </w:rPr>
              <w:t>Y</w:t>
            </w:r>
            <w:r w:rsidRPr="00E26753">
              <w:rPr>
                <w:rFonts w:cstheme="minorHAnsi"/>
                <w:vertAlign w:val="subscript"/>
              </w:rPr>
              <w:t>0.12</w:t>
            </w:r>
            <w:r w:rsidRPr="00E26753">
              <w:rPr>
                <w:rFonts w:cstheme="minorHAnsi"/>
              </w:rPr>
              <w:t>Zr</w:t>
            </w:r>
            <w:r w:rsidRPr="00E26753">
              <w:rPr>
                <w:rFonts w:cstheme="minorHAnsi"/>
                <w:vertAlign w:val="subscript"/>
              </w:rPr>
              <w:t>0.88</w:t>
            </w:r>
            <w:r w:rsidRPr="00E26753">
              <w:rPr>
                <w:rFonts w:cstheme="minorHAnsi"/>
              </w:rPr>
              <w:t>O</w:t>
            </w:r>
            <w:r w:rsidRPr="00E26753">
              <w:rPr>
                <w:rFonts w:cstheme="minorHAnsi"/>
                <w:vertAlign w:val="subscript"/>
              </w:rPr>
              <w:t>1.94</w:t>
            </w:r>
          </w:p>
        </w:tc>
        <w:tc>
          <w:tcPr>
            <w:tcW w:w="0" w:type="auto"/>
          </w:tcPr>
          <w:p w14:paraId="63DEAB1D" w14:textId="77777777" w:rsidR="00007F6C" w:rsidRPr="00E26753" w:rsidRDefault="00007F6C" w:rsidP="005E2F1E">
            <w:pPr>
              <w:jc w:val="both"/>
              <w:rPr>
                <w:rFonts w:cstheme="minorHAnsi"/>
              </w:rPr>
            </w:pPr>
            <w:r w:rsidRPr="00E26753">
              <w:rPr>
                <w:rFonts w:cstheme="minorHAnsi"/>
              </w:rPr>
              <w:t xml:space="preserve">Bruker </w:t>
            </w:r>
            <w:proofErr w:type="spellStart"/>
            <w:r w:rsidRPr="00E26753">
              <w:rPr>
                <w:rFonts w:cstheme="minorHAnsi"/>
              </w:rPr>
              <w:t>Diffrac</w:t>
            </w:r>
            <w:proofErr w:type="spellEnd"/>
            <w:r w:rsidRPr="00E26753">
              <w:rPr>
                <w:rFonts w:cstheme="minorHAnsi"/>
              </w:rPr>
              <w:t xml:space="preserve"> Eva</w:t>
            </w:r>
          </w:p>
        </w:tc>
      </w:tr>
      <w:tr w:rsidR="00007F6C" w:rsidRPr="00E26753" w14:paraId="7A1B6AD1" w14:textId="77777777" w:rsidTr="005E2F1E">
        <w:trPr>
          <w:jc w:val="center"/>
        </w:trPr>
        <w:tc>
          <w:tcPr>
            <w:tcW w:w="0" w:type="auto"/>
          </w:tcPr>
          <w:p w14:paraId="62D38AC9" w14:textId="77777777" w:rsidR="00007F6C" w:rsidRPr="00E26753" w:rsidRDefault="00007F6C" w:rsidP="005E2F1E">
            <w:pPr>
              <w:jc w:val="both"/>
              <w:rPr>
                <w:rFonts w:cstheme="minorHAnsi"/>
              </w:rPr>
            </w:pPr>
            <w:r w:rsidRPr="00E26753">
              <w:rPr>
                <w:rFonts w:cstheme="minorHAnsi"/>
              </w:rPr>
              <w:t>Nickel oxide</w:t>
            </w:r>
          </w:p>
        </w:tc>
        <w:tc>
          <w:tcPr>
            <w:tcW w:w="0" w:type="auto"/>
          </w:tcPr>
          <w:p w14:paraId="68801E27" w14:textId="77777777" w:rsidR="00007F6C" w:rsidRPr="000C73AE" w:rsidRDefault="00007F6C" w:rsidP="005E2F1E">
            <w:pPr>
              <w:jc w:val="both"/>
              <w:rPr>
                <w:rFonts w:cstheme="minorHAnsi"/>
              </w:rPr>
            </w:pPr>
            <w:r w:rsidRPr="000C73AE">
              <w:rPr>
                <w:rFonts w:cstheme="minorHAnsi"/>
              </w:rPr>
              <w:t>01-089-3080</w:t>
            </w:r>
          </w:p>
        </w:tc>
        <w:tc>
          <w:tcPr>
            <w:tcW w:w="0" w:type="auto"/>
          </w:tcPr>
          <w:p w14:paraId="1611B5E8" w14:textId="77777777" w:rsidR="00007F6C" w:rsidRPr="00E26753" w:rsidRDefault="00007F6C" w:rsidP="005E2F1E">
            <w:pPr>
              <w:jc w:val="both"/>
              <w:rPr>
                <w:rFonts w:cstheme="minorHAnsi"/>
              </w:rPr>
            </w:pPr>
            <w:proofErr w:type="spellStart"/>
            <w:r w:rsidRPr="00E26753">
              <w:rPr>
                <w:rFonts w:cstheme="minorHAnsi"/>
              </w:rPr>
              <w:t>NiO</w:t>
            </w:r>
            <w:proofErr w:type="spellEnd"/>
          </w:p>
        </w:tc>
        <w:tc>
          <w:tcPr>
            <w:tcW w:w="0" w:type="auto"/>
          </w:tcPr>
          <w:p w14:paraId="407C42CC" w14:textId="77777777" w:rsidR="00007F6C" w:rsidRPr="00E26753" w:rsidRDefault="00007F6C" w:rsidP="005E2F1E">
            <w:pPr>
              <w:jc w:val="both"/>
              <w:rPr>
                <w:rFonts w:cstheme="minorHAnsi"/>
              </w:rPr>
            </w:pPr>
            <w:r w:rsidRPr="00E26753">
              <w:rPr>
                <w:rFonts w:cstheme="minorHAnsi"/>
              </w:rPr>
              <w:t xml:space="preserve">Bruker </w:t>
            </w:r>
            <w:proofErr w:type="spellStart"/>
            <w:r w:rsidRPr="00E26753">
              <w:rPr>
                <w:rFonts w:cstheme="minorHAnsi"/>
              </w:rPr>
              <w:t>Diffrac</w:t>
            </w:r>
            <w:proofErr w:type="spellEnd"/>
            <w:r w:rsidRPr="00E26753">
              <w:rPr>
                <w:rFonts w:cstheme="minorHAnsi"/>
              </w:rPr>
              <w:t xml:space="preserve"> Eva</w:t>
            </w:r>
          </w:p>
        </w:tc>
      </w:tr>
      <w:tr w:rsidR="00007F6C" w:rsidRPr="00E26753" w14:paraId="6B051817" w14:textId="77777777" w:rsidTr="005E2F1E">
        <w:trPr>
          <w:jc w:val="center"/>
        </w:trPr>
        <w:tc>
          <w:tcPr>
            <w:tcW w:w="0" w:type="auto"/>
          </w:tcPr>
          <w:p w14:paraId="08DDC48C" w14:textId="77777777" w:rsidR="00007F6C" w:rsidRPr="00E26753" w:rsidRDefault="00007F6C" w:rsidP="005E2F1E">
            <w:pPr>
              <w:jc w:val="both"/>
              <w:rPr>
                <w:rFonts w:cstheme="minorHAnsi"/>
              </w:rPr>
            </w:pPr>
            <w:r>
              <w:rPr>
                <w:rFonts w:cstheme="minorHAnsi"/>
              </w:rPr>
              <w:t>Nickel (metal)</w:t>
            </w:r>
          </w:p>
        </w:tc>
        <w:tc>
          <w:tcPr>
            <w:tcW w:w="0" w:type="auto"/>
          </w:tcPr>
          <w:p w14:paraId="3EC9E2A3" w14:textId="0D93F0AF" w:rsidR="00007F6C" w:rsidRPr="000C73AE" w:rsidRDefault="00007F6C" w:rsidP="005E2F1E">
            <w:pPr>
              <w:jc w:val="both"/>
              <w:rPr>
                <w:rFonts w:cstheme="minorHAnsi"/>
              </w:rPr>
            </w:pPr>
            <w:r w:rsidRPr="000C73AE">
              <w:rPr>
                <w:rFonts w:cstheme="minorHAnsi"/>
              </w:rPr>
              <w:t>2102245 (CIF)</w:t>
            </w:r>
            <w:r>
              <w:rPr>
                <w:rFonts w:cstheme="minorHAnsi"/>
              </w:rPr>
              <w:t xml:space="preserve"> </w:t>
            </w:r>
            <w:r w:rsidRPr="000C73AE">
              <w:rPr>
                <w:rFonts w:cstheme="minorHAnsi"/>
              </w:rPr>
              <w:fldChar w:fldCharType="begin" w:fldLock="1"/>
            </w:r>
            <w:r w:rsidR="008B6E91">
              <w:rPr>
                <w:rFonts w:cstheme="minorHAnsi"/>
              </w:rPr>
              <w:instrText>ADDIN CSL_CITATION {"citationItems":[{"id":"ITEM-1","itemData":{"DOI":"10.1107/S0108768103026582","id":"ITEM-1","issued":{"date-parts":[["0"]]},"title":"2102245","type":"article-journal"},"uris":["http://www.mendeley.com/documents/?uuid=b769aec6-7577-44bf-bdd8-6ef57fcf6f24"]}],"mendeley":{"formattedCitation":"[383]","plainTextFormattedCitation":"[383]","previouslyFormattedCitation":"[383]"},"properties":{"noteIndex":0},"schema":"https://github.com/citation-style-language/schema/raw/master/csl-citation.json"}</w:instrText>
            </w:r>
            <w:r w:rsidRPr="000C73AE">
              <w:rPr>
                <w:rFonts w:cstheme="minorHAnsi"/>
              </w:rPr>
              <w:fldChar w:fldCharType="separate"/>
            </w:r>
            <w:r w:rsidR="00237E21" w:rsidRPr="00237E21">
              <w:rPr>
                <w:rFonts w:cstheme="minorHAnsi"/>
                <w:noProof/>
              </w:rPr>
              <w:t>[383]</w:t>
            </w:r>
            <w:r w:rsidRPr="000C73AE">
              <w:rPr>
                <w:rFonts w:cstheme="minorHAnsi"/>
              </w:rPr>
              <w:fldChar w:fldCharType="end"/>
            </w:r>
          </w:p>
        </w:tc>
        <w:tc>
          <w:tcPr>
            <w:tcW w:w="0" w:type="auto"/>
          </w:tcPr>
          <w:p w14:paraId="62084E65" w14:textId="77777777" w:rsidR="00007F6C" w:rsidRPr="00E26753" w:rsidRDefault="00007F6C" w:rsidP="005E2F1E">
            <w:pPr>
              <w:jc w:val="both"/>
              <w:rPr>
                <w:rFonts w:cstheme="minorHAnsi"/>
              </w:rPr>
            </w:pPr>
            <w:r>
              <w:rPr>
                <w:rFonts w:cstheme="minorHAnsi"/>
              </w:rPr>
              <w:t>Ni</w:t>
            </w:r>
          </w:p>
        </w:tc>
        <w:tc>
          <w:tcPr>
            <w:tcW w:w="0" w:type="auto"/>
          </w:tcPr>
          <w:p w14:paraId="73B467F5" w14:textId="77777777" w:rsidR="00007F6C" w:rsidRPr="00E26753" w:rsidRDefault="00007F6C" w:rsidP="005E2F1E">
            <w:pPr>
              <w:jc w:val="both"/>
              <w:rPr>
                <w:rFonts w:cstheme="minorHAnsi"/>
              </w:rPr>
            </w:pPr>
            <w:r>
              <w:rPr>
                <w:rFonts w:cstheme="minorHAnsi"/>
              </w:rPr>
              <w:t xml:space="preserve">COD </w:t>
            </w:r>
          </w:p>
        </w:tc>
      </w:tr>
      <w:tr w:rsidR="00007F6C" w:rsidRPr="00E26753" w14:paraId="40A093E8" w14:textId="77777777" w:rsidTr="005E2F1E">
        <w:trPr>
          <w:jc w:val="center"/>
        </w:trPr>
        <w:tc>
          <w:tcPr>
            <w:tcW w:w="0" w:type="auto"/>
          </w:tcPr>
          <w:p w14:paraId="3D7A0E63" w14:textId="77777777" w:rsidR="00007F6C" w:rsidRDefault="00007F6C" w:rsidP="005E2F1E">
            <w:pPr>
              <w:jc w:val="both"/>
              <w:rPr>
                <w:rFonts w:cstheme="minorHAnsi"/>
              </w:rPr>
            </w:pPr>
            <w:r>
              <w:rPr>
                <w:rFonts w:cstheme="minorHAnsi"/>
              </w:rPr>
              <w:t>Gadolinium doped ceria</w:t>
            </w:r>
          </w:p>
        </w:tc>
        <w:tc>
          <w:tcPr>
            <w:tcW w:w="0" w:type="auto"/>
          </w:tcPr>
          <w:p w14:paraId="0E86B253" w14:textId="1DADCF51" w:rsidR="00007F6C" w:rsidRPr="000C73AE" w:rsidRDefault="00007F6C" w:rsidP="005E2F1E">
            <w:pPr>
              <w:jc w:val="both"/>
              <w:rPr>
                <w:rFonts w:cstheme="minorHAnsi"/>
              </w:rPr>
            </w:pPr>
            <w:r>
              <w:rPr>
                <w:rFonts w:cstheme="minorHAnsi"/>
              </w:rPr>
              <w:t xml:space="preserve">4341042 (CIF) </w:t>
            </w:r>
            <w:r>
              <w:rPr>
                <w:rFonts w:cstheme="minorHAnsi"/>
              </w:rPr>
              <w:fldChar w:fldCharType="begin" w:fldLock="1"/>
            </w:r>
            <w:r w:rsidR="008B6E91">
              <w:rPr>
                <w:rFonts w:cstheme="minorHAnsi"/>
              </w:rPr>
              <w:instrText>ADDIN CSL_CITATION {"citationItems":[{"id":"ITEM-1","itemData":{"DOI":"10.1021/ic5011242","ISSN":"0020-1669","author":[{"dropping-particle":"","family":"Artini","given":"Cristina","non-dropping-particle":"","parse-names":false,"suffix":""},{"dropping-particle":"","family":"Pani","given":"Marcella","non-dropping-particle":"","parse-names":false,"suffix":""},{"dropping-particle":"","family":"Lausi","given":"Andrea","non-dropping-particle":"","parse-names":false,"suffix":""},{"dropping-particle":"","family":"Masini","given":"Roberto","non-dropping-particle":"","parse-names":false,"suffix":""},{"dropping-particle":"","family":"Costa","given":"Giorgio A","non-dropping-particle":"","parse-names":false,"suffix":""}],"container-title":"Inorganic Chemistry","id":"ITEM-1","issue":"19","issued":{"date-parts":[["2014","10"]]},"page":"10140-10149","publisher":"American Chemical Society","title":"High Temperature Structural Study of Gd-Doped Ceria by Synchrotron X-ray Diffraction (673 K ≤ T ≤ 1073 K)","type":"article-journal","volume":"53"},"uris":["http://www.mendeley.com/documents/?uuid=e1cd3e95-788a-4768-b7fa-10751a2757bd","http://www.mendeley.com/documents/?uuid=42f6bd87-a810-4d42-b656-f9e1d6fd415c","http://www.mendeley.com/documents/?uuid=3646bdc3-2642-4ccb-880b-45cc3e6c8d2c"]}],"mendeley":{"formattedCitation":"[384]","plainTextFormattedCitation":"[384]","previouslyFormattedCitation":"[384]"},"properties":{"noteIndex":0},"schema":"https://github.com/citation-style-language/schema/raw/master/csl-citation.json"}</w:instrText>
            </w:r>
            <w:r>
              <w:rPr>
                <w:rFonts w:cstheme="minorHAnsi"/>
              </w:rPr>
              <w:fldChar w:fldCharType="separate"/>
            </w:r>
            <w:r w:rsidR="00237E21" w:rsidRPr="00237E21">
              <w:rPr>
                <w:rFonts w:cstheme="minorHAnsi"/>
                <w:noProof/>
              </w:rPr>
              <w:t>[384]</w:t>
            </w:r>
            <w:r>
              <w:rPr>
                <w:rFonts w:cstheme="minorHAnsi"/>
              </w:rPr>
              <w:fldChar w:fldCharType="end"/>
            </w:r>
          </w:p>
        </w:tc>
        <w:tc>
          <w:tcPr>
            <w:tcW w:w="0" w:type="auto"/>
          </w:tcPr>
          <w:p w14:paraId="6073E321" w14:textId="140484EF" w:rsidR="00007F6C" w:rsidRPr="00015B76" w:rsidRDefault="00015B76" w:rsidP="005E2F1E">
            <w:pPr>
              <w:jc w:val="both"/>
              <w:rPr>
                <w:rFonts w:cstheme="minorHAnsi"/>
              </w:rPr>
            </w:pPr>
            <w:r>
              <w:rPr>
                <w:rFonts w:cstheme="minorHAnsi"/>
              </w:rPr>
              <w:t>Gd</w:t>
            </w:r>
            <w:r>
              <w:rPr>
                <w:rFonts w:cstheme="minorHAnsi"/>
                <w:vertAlign w:val="subscript"/>
              </w:rPr>
              <w:t>0.1</w:t>
            </w:r>
            <w:r>
              <w:rPr>
                <w:rFonts w:cstheme="minorHAnsi"/>
              </w:rPr>
              <w:t>Ce</w:t>
            </w:r>
            <w:r>
              <w:rPr>
                <w:rFonts w:cstheme="minorHAnsi"/>
                <w:vertAlign w:val="subscript"/>
              </w:rPr>
              <w:t>0.9</w:t>
            </w:r>
            <w:r>
              <w:rPr>
                <w:rFonts w:cstheme="minorHAnsi"/>
              </w:rPr>
              <w:t>O</w:t>
            </w:r>
            <w:r w:rsidRPr="00015B76">
              <w:rPr>
                <w:rFonts w:cstheme="minorHAnsi"/>
                <w:vertAlign w:val="subscript"/>
              </w:rPr>
              <w:t>1.95</w:t>
            </w:r>
          </w:p>
        </w:tc>
        <w:tc>
          <w:tcPr>
            <w:tcW w:w="0" w:type="auto"/>
          </w:tcPr>
          <w:p w14:paraId="58DD660B" w14:textId="77777777" w:rsidR="00007F6C" w:rsidRDefault="00007F6C" w:rsidP="005E2F1E">
            <w:pPr>
              <w:jc w:val="both"/>
              <w:rPr>
                <w:rFonts w:cstheme="minorHAnsi"/>
              </w:rPr>
            </w:pPr>
            <w:r>
              <w:rPr>
                <w:rFonts w:cstheme="minorHAnsi"/>
              </w:rPr>
              <w:t>COD</w:t>
            </w:r>
          </w:p>
        </w:tc>
      </w:tr>
    </w:tbl>
    <w:p w14:paraId="018C690C" w14:textId="162AADDD" w:rsidR="00007F6C" w:rsidRDefault="00007F6C" w:rsidP="00C44F8F">
      <w:pPr>
        <w:spacing w:before="240"/>
        <w:jc w:val="both"/>
      </w:pPr>
      <w:r w:rsidRPr="00364E8E">
        <w:t xml:space="preserve">No characteristic XRD peaks were found for the nickel </w:t>
      </w:r>
      <w:proofErr w:type="spellStart"/>
      <w:r w:rsidRPr="00364E8E">
        <w:t>hydroxynitrite</w:t>
      </w:r>
      <w:proofErr w:type="spellEnd"/>
      <w:r w:rsidRPr="00364E8E">
        <w:t xml:space="preserve"> and other complex compounds that can be formed if the calcination step does not completely decompose the wet impregnated nickel nitrate</w:t>
      </w:r>
      <w:r w:rsidRPr="00364E8E">
        <w:fldChar w:fldCharType="begin" w:fldLock="1"/>
      </w:r>
      <w:r w:rsidR="008B6E91">
        <w:instrText>ADDIN CSL_CITATION {"citationItems":[{"id":"ITEM-1","itemData":{"DOI":"http://dx.doi.org/10.1016/0168-7336(87)80089-X","ISBN":"0168-7336","abstract":"The thermal decomposition of nickel nitrate has been followed by isothermal and non-isothermal thermogravimetry. The anhydrous salt was prepared by dehydrating the corresponding hexahydrate “in situ” at 150 °C. We believe that the above reaction takes place in a single step: Ni(NO3)2 → NiO + 2NO2 + 12O2 It has been shown that this transformation obeys the Avrami-Erofeev law with an exponent n = 2 and an activation energy close to 84 ± 3 kJ mol−1. These results can be interpreted by a reaction mechanism that involves instantaneous nucleation on the surface of the crystal with subsequent growth of the nuclei into particles.","author":[{"dropping-particle":"","family":"Criado","given":"J M","non-dropping-particle":"","parse-names":false,"suffix":""},{"dropping-particle":"","family":"Ortega","given":"A","non-dropping-particle":"","parse-names":false,"suffix":""},{"dropping-particle":"","family":"Real","given":"C","non-dropping-particle":"","parse-names":false,"suffix":""}],"container-title":"Reactivity of Solids","id":"ITEM-1","issue":"1–2","issued":{"date-parts":[["1987"]]},"page":"93-103","title":"Mechanism of the thermal decomposition of anhydrous nickel nitrate","type":"article-journal","volume":"4"},"uris":["http://www.mendeley.com/documents/?uuid=9e032fa6-18e6-44f8-99b8-3db90b521400"]},{"id":"ITEM-2","itemData":{"DOI":"http://dx.doi.org/10.1016/j.physb.2009.04.024","ISBN":"0921-4526","abstract":"The non-isothermal decomposition process of anhydrous nickel nitrate under air atmosphere was investigated. The kinetic analysis of decomposition process was performed using Friedman (FR), Kissinger–Akahira–Sunose (KAS) and Flynn–Wall–Ozawa (FWO) isoconversional methods. The kinetic model was determined by the Málek's method. The composite differential method I was used for checking the established reaction model. It was found that the value of Ea calculated by composite differential method (Ea=147.1 kJ mol−1) represents the medium value between the values of the apparent activation energy calculated by FR (Ea,FR=152.8 kJ mol−1) and FWO (Ea,FWO=143.1 kJ mol−1) methods. Using two special functions (y(α) and z(α)), it was found that the two-parameter autocatalytic model (Šesták–Berggren (SB) kinetic model) with kinetic exponents M=0.23 and N=1.14 is the most adequate one to describe the decomposition kinetics of the studied system at various heating rates. The obtained non-isothermal differential conversion curves from the experimental data show the results being accordant with those theoretically calculated. It was concluded that the SB kinetic model can be used for a quantitative description of non-isothermal decomposition process of anhydrous nickel nitrate which involves the partially overlapping nucleation and growth phases.","author":[{"dropping-particle":"","family":"Janković","given":"B","non-dropping-particle":"","parse-names":false,"suffix":""},{"dropping-particle":"","family":"Mentus","given":"S","non-dropping-particle":"","parse-names":false,"suffix":""},{"dropping-particle":"","family":"Jelić","given":"D","non-dropping-particle":"","parse-names":false,"suffix":""}],"container-title":"Physica B: Condensed Matter","id":"ITEM-2","issue":"16","issued":{"date-parts":[["2009"]]},"page":"2263-2269","title":"A kinetic study of non-isothermal decomposition process of anhydrous nickel nitrate under air atmosphere","type":"article-journal","volume":"404"},"uris":["http://www.mendeley.com/documents/?uuid=35427d5c-bbb7-4459-b234-95258dc1aa87"]},{"id":"ITEM-3","itemData":{"DOI":"10.1016/0021-9517(76)90054-3","ISBN":"00219517 (ISSN)","abstract":"A study of the chemistry involved in preparation, pretreatment, and reduction of Ni Al2O3 catalysts was carried out using hydrogen chemisorption, thermal gravimetric analysis, and chromatographic analysis. Data showing effects on nickel surface area of calcination, heating rate during reduction, nickel loading, and passivation are presented and discussed. The results indicate that controlled decomposition of alumina-supported nickel nitrate in hydrogen atmosphere (without prior calcination) tends to maximize nickel surface area, dispersion, and reduction to nickel metal. Nickel surface area and the fraction of nickel reduced to the metallic state both increase as the hydrogen space velocity during reduction is increased. Upon increasing the reduction temperature from 300 to 500 °C, the percentage reduction to nickel metal is increased from 40 to 100% whereas nickel surface area changes relatively little. © 1976.","author":[{"dropping-particle":"","family":"Bartholomew","given":"C H","non-dropping-particle":"","parse-names":false,"suffix":""},{"dropping-particle":"","family":"Farrauto","given":"R J","non-dropping-particle":"","parse-names":false,"suffix":""}],"container-title":"Journal of Catalysis","id":"ITEM-3","issue":"1","issued":{"date-parts":[["1976"]]},"language":"English","note":"Cited By :265\nExport Date: 8 February 2017\nCODEN: JCTLA\nCorrespondence Address: Bartholomew, C.H.; Department of Chemical Engineering Science, Brigham Young University, Provo, UT 84602, United States\nReferences: Reinen, Selwood, (1963) J. Catal., 2, p. 109; Sieg, Constabaris, Linquist, (1963) Amer. Chem. Soc. Meeting, , New York; Levinson, (1967) Preprints, p. 47. , Division of Petroleum Chemistry, Amer. Chem. Soc, Chicago, September; Bicek, Kelly, (1967) Preprints, p. 57. , Division of Petroleum Chemistry, Amer. Chem. Soc, Chicago, September; Beuther, Larson, (1965) Ind. Eng. Chem. Proc. Design Develop., 4, p. 177; Swift, Lutinski, Tobin, (1966) J. Catal., 5, p. 285; Holm, Clark, (1968) J. Catal., 11, p. 305; Eischens, (1974) Proceedings of the Battelle Conference on Surface Chemistry, , Gstaad, Switzerland; Dzis'ko, Noskova, Borisova, Bolgova, Karakchiev, (1975) Kinet. Catal., 15, p. 667; Hill, Selwood, (1949) J. Amer. Chem. Soc., 71, p. 2522; Martin, Ceaphalan, Montgolfier, (1973) J. Chim. Phys., 70, p. 1422; Farrauto, (1974) AIChE Symp. Ser., 70, p. 9; Farrauto, (1975) Chem. Engr. Prog., 71, p. 37. , published in short form in; Yates, Taylor, Sinfelt, (1964) J. Amer. Chem. Soc., 86, p. 2996; Bartholomew, Boudart, (1972) J. Catal., 25, p. 173; Pattison, Keeley, Maynor, (1960) J. Chem. Eng. Data, 5, pp. 433-434; Branson, Kinetics and Mechanism of the Reaction Between Zinc Oxide and Aluminum Oxide (1965) Journal of the American Ceramic Society, 48, p. 591; Swift, Lutinski, Kehl, (1965) J. Phys. Chem., 69, p. 3268; Leech, III, Campbell, (1974) ACS Division INDE, 167th National Meeting of the American Chemical Society, , Los Angeles, California; Andrew, (1976) Preparation of Catalysts, pp. 429-444. , B. Delmon, P.A. Jacobs, G. Poncelet, Elsevier, Amsterdam; Anderson, Jr., Conn, Brandenberger, (1970) J. Catal., 16, p. 326; Remey, (1956) Treatise on Inorganic Chemistry, 2, p. 310. , Elsevier, Amsterdam; Heinicke, (1963) Chem. Tech., 15, p. 197; Bartholomew, (1975) Ind. Eng. Chem. Prod. Res. Develop., 14, p. 29","page":"41-53","title":"Chemistry of nickel-alumina catalysts","type":"article-journal","volume":"45"},"uris":["http://www.mendeley.com/documents/?uuid=067872e0-572f-4652-9032-fa60ba7d4c5f"]}],"mendeley":{"formattedCitation":"[191], [194], [385]","plainTextFormattedCitation":"[191], [194], [385]","previouslyFormattedCitation":"[191], [194], [385]"},"properties":{"noteIndex":0},"schema":"https://github.com/citation-style-language/schema/raw/master/csl-citation.json"}</w:instrText>
      </w:r>
      <w:r w:rsidRPr="00364E8E">
        <w:fldChar w:fldCharType="separate"/>
      </w:r>
      <w:r w:rsidR="00237E21" w:rsidRPr="00237E21">
        <w:rPr>
          <w:noProof/>
        </w:rPr>
        <w:t>[191], [194], [385]</w:t>
      </w:r>
      <w:r w:rsidRPr="00364E8E">
        <w:fldChar w:fldCharType="end"/>
      </w:r>
      <w:r w:rsidRPr="00364E8E">
        <w:t>.</w:t>
      </w:r>
      <w:r>
        <w:t xml:space="preserve">  In the case of both drying atmospheres conditions, XRD has confirmed that the calcination step does decompose the nickel nitrate to nanoscale </w:t>
      </w:r>
      <w:proofErr w:type="spellStart"/>
      <w:r>
        <w:t>bunsenite</w:t>
      </w:r>
      <w:proofErr w:type="spellEnd"/>
      <w:r>
        <w:t>.</w:t>
      </w:r>
    </w:p>
    <w:p w14:paraId="02A6915C" w14:textId="21343035" w:rsidR="00007F6C" w:rsidRDefault="00007F6C" w:rsidP="00007F6C">
      <w:pPr>
        <w:rPr>
          <w:b/>
          <w:bCs/>
        </w:rPr>
      </w:pPr>
      <w:r>
        <w:t xml:space="preserve">Additionally, to trial the impact of changing the ceramic backbone material, two infiltrated Ni-GDC samples were also scanned used the Bruker D2 XRD. This was to investigate the impact of the metal-scaffold interaction between the nickel and the GDC, the diffraction patterns for these samples can be found in the Appendix Section 4.3.1. </w:t>
      </w:r>
    </w:p>
    <w:p w14:paraId="4B23190A" w14:textId="77777777" w:rsidR="00007F6C" w:rsidRDefault="00007F6C" w:rsidP="003A288A">
      <w:pPr>
        <w:pStyle w:val="Heading2"/>
      </w:pPr>
      <w:bookmarkStart w:id="316" w:name="_Toc69129411"/>
      <w:r>
        <w:lastRenderedPageBreak/>
        <w:t>4.3.2 Chemical Identification</w:t>
      </w:r>
      <w:bookmarkEnd w:id="316"/>
      <w:r>
        <w:t xml:space="preserve"> </w:t>
      </w:r>
    </w:p>
    <w:p w14:paraId="1C8476D4" w14:textId="748C25ED" w:rsidR="00007F6C" w:rsidRDefault="008C7ED1" w:rsidP="003A288A">
      <w:pPr>
        <w:pStyle w:val="Heading3"/>
      </w:pPr>
      <w:bookmarkStart w:id="317" w:name="_Toc69129412"/>
      <w:r>
        <w:t xml:space="preserve">4.3.2.1 </w:t>
      </w:r>
      <w:r w:rsidR="00007F6C">
        <w:t xml:space="preserve">Fourier Transform Infra-red </w:t>
      </w:r>
      <w:proofErr w:type="gramStart"/>
      <w:r w:rsidR="00007F6C">
        <w:t>Spectroscopy</w:t>
      </w:r>
      <w:bookmarkEnd w:id="317"/>
      <w:proofErr w:type="gramEnd"/>
      <w:r w:rsidR="00007F6C" w:rsidRPr="006D3314">
        <w:t xml:space="preserve"> </w:t>
      </w:r>
    </w:p>
    <w:p w14:paraId="20CF543F" w14:textId="77777777" w:rsidR="00007F6C" w:rsidRDefault="00007F6C" w:rsidP="00007F6C">
      <w:pPr>
        <w:jc w:val="both"/>
      </w:pPr>
      <w:r w:rsidRPr="006D3314">
        <w:t xml:space="preserve">Fourier transform infra-red spectroscopy was performed on a Shimadzu IRAffinity-1S Fourier </w:t>
      </w:r>
      <w:r>
        <w:t>Transform Infra-red Spectrophotometer. Measurements of three nickel oxide samples and two dried nickel nitrate hexahydrate samples were taken (</w:t>
      </w:r>
      <w:r>
        <w:fldChar w:fldCharType="begin"/>
      </w:r>
      <w:r>
        <w:instrText xml:space="preserve"> REF _Ref41051633 \h  \* MERGEFORMAT </w:instrText>
      </w:r>
      <w:r>
        <w:fldChar w:fldCharType="separate"/>
      </w:r>
      <w:r>
        <w:t>Figure 4.3</w:t>
      </w:r>
      <w:r>
        <w:fldChar w:fldCharType="end"/>
      </w:r>
      <w:r>
        <w:t xml:space="preserve"> and </w:t>
      </w:r>
      <w:r>
        <w:fldChar w:fldCharType="begin"/>
      </w:r>
      <w:r>
        <w:instrText xml:space="preserve"> REF _Ref41051950 \h </w:instrText>
      </w:r>
      <w:r>
        <w:fldChar w:fldCharType="separate"/>
      </w:r>
      <w:r>
        <w:t>Figure 4.</w:t>
      </w:r>
      <w:r>
        <w:rPr>
          <w:noProof/>
        </w:rPr>
        <w:t>4</w:t>
      </w:r>
      <w:r>
        <w:fldChar w:fldCharType="end"/>
      </w:r>
      <w:r>
        <w:t>):</w:t>
      </w:r>
    </w:p>
    <w:p w14:paraId="4CDFB553" w14:textId="77777777" w:rsidR="00007F6C" w:rsidRPr="00232BCD" w:rsidRDefault="00007F6C" w:rsidP="00007F6C">
      <w:pPr>
        <w:pStyle w:val="ListParagraph"/>
        <w:numPr>
          <w:ilvl w:val="0"/>
          <w:numId w:val="27"/>
        </w:numPr>
        <w:jc w:val="both"/>
      </w:pPr>
      <w:r w:rsidRPr="00232BCD">
        <w:t>Nickel Oxide powder (JT Baker)</w:t>
      </w:r>
    </w:p>
    <w:p w14:paraId="3D3C1316" w14:textId="77777777" w:rsidR="00007F6C" w:rsidRPr="00232BCD" w:rsidRDefault="00007F6C" w:rsidP="00007F6C">
      <w:pPr>
        <w:pStyle w:val="ListParagraph"/>
        <w:numPr>
          <w:ilvl w:val="0"/>
          <w:numId w:val="27"/>
        </w:numPr>
        <w:jc w:val="both"/>
      </w:pPr>
      <w:proofErr w:type="spellStart"/>
      <w:r w:rsidRPr="00232BCD">
        <w:t>NiO</w:t>
      </w:r>
      <w:proofErr w:type="spellEnd"/>
      <w:r w:rsidRPr="00232BCD">
        <w:t>-YSZ (Air dried)</w:t>
      </w:r>
    </w:p>
    <w:p w14:paraId="44B4F5FA" w14:textId="77777777" w:rsidR="00007F6C" w:rsidRDefault="00007F6C" w:rsidP="00007F6C">
      <w:pPr>
        <w:pStyle w:val="ListParagraph"/>
        <w:numPr>
          <w:ilvl w:val="0"/>
          <w:numId w:val="27"/>
        </w:numPr>
        <w:jc w:val="both"/>
      </w:pPr>
      <w:proofErr w:type="spellStart"/>
      <w:r w:rsidRPr="00232BCD">
        <w:t>NiO</w:t>
      </w:r>
      <w:proofErr w:type="spellEnd"/>
      <w:r w:rsidRPr="00232BCD">
        <w:t>-YSZ (N</w:t>
      </w:r>
      <w:r w:rsidRPr="00232BCD">
        <w:rPr>
          <w:vertAlign w:val="subscript"/>
        </w:rPr>
        <w:t>2</w:t>
      </w:r>
      <w:r w:rsidRPr="00232BCD">
        <w:t xml:space="preserve"> dried</w:t>
      </w:r>
      <w:r>
        <w:t>)</w:t>
      </w:r>
    </w:p>
    <w:p w14:paraId="6D4D607E" w14:textId="66DF645D" w:rsidR="00007F6C" w:rsidRDefault="00007F6C" w:rsidP="00007F6C">
      <w:pPr>
        <w:jc w:val="both"/>
      </w:pPr>
      <w:r>
        <w:t xml:space="preserve">FTIR was used to measure the chemical composition of the infiltrated </w:t>
      </w:r>
      <w:proofErr w:type="spellStart"/>
      <w:r>
        <w:t>NiO</w:t>
      </w:r>
      <w:proofErr w:type="spellEnd"/>
      <w:r>
        <w:t xml:space="preserve"> phase. The use of air in the drying and calcination atmospheres was discussed to promote the formation of undesirable nickel hydroxy nitrate phases</w:t>
      </w:r>
      <w:r>
        <w:fldChar w:fldCharType="begin" w:fldLock="1"/>
      </w:r>
      <w:r w:rsidR="008B6E91">
        <w:instrText>ADDIN CSL_CITATION {"citationItems":[{"id":"ITEM-1","itemData":{"DOI":"10.1016/0021-9517(76)90054-3","ISBN":"00219517 (ISSN)","abstract":"A study of the chemistry involved in preparation, pretreatment, and reduction of Ni Al2O3 catalysts was carried out using hydrogen chemisorption, thermal gravimetric analysis, and chromatographic analysis. Data showing effects on nickel surface area of calcination, heating rate during reduction, nickel loading, and passivation are presented and discussed. The results indicate that controlled decomposition of alumina-supported nickel nitrate in hydrogen atmosphere (without prior calcination) tends to maximize nickel surface area, dispersion, and reduction to nickel metal. Nickel surface area and the fraction of nickel reduced to the metallic state both increase as the hydrogen space velocity during reduction is increased. Upon increasing the reduction temperature from 300 to 500 °C, the percentage reduction to nickel metal is increased from 40 to 100% whereas nickel surface area changes relatively little. © 1976.","author":[{"dropping-particle":"","family":"Bartholomew","given":"C H","non-dropping-particle":"","parse-names":false,"suffix":""},{"dropping-particle":"","family":"Farrauto","given":"R J","non-dropping-particle":"","parse-names":false,"suffix":""}],"container-title":"Journal of Catalysis","id":"ITEM-1","issue":"1","issued":{"date-parts":[["1976"]]},"language":"English","note":"Cited By :265\nExport Date: 8 February 2017\nCODEN: JCTLA\nCorrespondence Address: Bartholomew, C.H.; Department of Chemical Engineering Science, Brigham Young University, Provo, UT 84602, United States\nReferences: Reinen, Selwood, (1963) J. Catal., 2, p. 109; Sieg, Constabaris, Linquist, (1963) Amer. Chem. Soc. Meeting, , New York; Levinson, (1967) Preprints, p. 47. , Division of Petroleum Chemistry, Amer. Chem. Soc, Chicago, September; Bicek, Kelly, (1967) Preprints, p. 57. , Division of Petroleum Chemistry, Amer. Chem. Soc, Chicago, September; Beuther, Larson, (1965) Ind. Eng. Chem. Proc. Design Develop., 4, p. 177; Swift, Lutinski, Tobin, (1966) J. Catal., 5, p. 285; Holm, Clark, (1968) J. Catal., 11, p. 305; Eischens, (1974) Proceedings of the Battelle Conference on Surface Chemistry, , Gstaad, Switzerland; Dzis'ko, Noskova, Borisova, Bolgova, Karakchiev, (1975) Kinet. Catal., 15, p. 667; Hill, Selwood, (1949) J. Amer. Chem. Soc., 71, p. 2522; Martin, Ceaphalan, Montgolfier, (1973) J. Chim. Phys., 70, p. 1422; Farrauto, (1974) AIChE Symp. Ser., 70, p. 9; Farrauto, (1975) Chem. Engr. Prog., 71, p. 37. , published in short form in; Yates, Taylor, Sinfelt, (1964) J. Amer. Chem. Soc., 86, p. 2996; Bartholomew, Boudart, (1972) J. Catal., 25, p. 173; Pattison, Keeley, Maynor, (1960) J. Chem. Eng. Data, 5, pp. 433-434; Branson, Kinetics and Mechanism of the Reaction Between Zinc Oxide and Aluminum Oxide (1965) Journal of the American Ceramic Society, 48, p. 591; Swift, Lutinski, Kehl, (1965) J. Phys. Chem., 69, p. 3268; Leech, III, Campbell, (1974) ACS Division INDE, 167th National Meeting of the American Chemical Society, , Los Angeles, California; Andrew, (1976) Preparation of Catalysts, pp. 429-444. , B. Delmon, P.A. Jacobs, G. Poncelet, Elsevier, Amsterdam; Anderson, Jr., Conn, Brandenberger, (1970) J. Catal., 16, p. 326; Remey, (1956) Treatise on Inorganic Chemistry, 2, p. 310. , Elsevier, Amsterdam; Heinicke, (1963) Chem. Tech., 15, p. 197; Bartholomew, (1975) Ind. Eng. Chem. Prod. Res. Develop., 14, p. 29","page":"41-53","title":"Chemistry of nickel-alumina catalysts","type":"article-journal","volume":"45"},"uris":["http://www.mendeley.com/documents/?uuid=067872e0-572f-4652-9032-fa60ba7d4c5f"]},{"id":"ITEM-2","itemData":{"author":[{"dropping-particle":"","family":"Jackson","given":"Jason G","non-dropping-particle":"","parse-names":false,"suffix":""},{"dropping-particle":"","family":"Fonseca","given":"Rodney W","non-dropping-particle":"","parse-names":false,"suffix":""},{"dropping-particle":"","family":"Holcombe","given":"James A","non-dropping-particle":"","parse-names":false,"suffix":""}],"id":"ITEM-2","issued":{"date-parts":[["1995"]]},"page":"1449-1457","title":"No +","type":"article-journal","volume":"50"},"uris":["http://www.mendeley.com/documents/?uuid=5417bff0-70a9-4b2e-9c78-bf2e3a8cde55"]},{"id":"ITEM-3","itemData":{"DOI":"10.1021/jp026961c","author":[{"dropping-particle":"","family":"Yuvaraj","given":"S","non-dropping-particle":"","parse-names":false,"suffix":""},{"dropping-particle":"","family":"Lin","given":"F Y","non-dropping-particle":"","parse-names":false,"suffix":""},{"dropping-particle":"","family":"Chang","given":"T H","non-dropping-particle":"","parse-names":false,"suffix":""},{"dropping-particle":"","family":"Yeh","given":"C T","non-dropping-particle":"","parse-names":false,"suffix":""}],"container-title":"Journal of Physical Chemistry B","id":"ITEM-3","issue":"4","issued":{"date-parts":[["2003"]]},"note":"Cited By :96\nExport Date: 2 February 2017","page":"1044-1047","title":"Thermal decomposition of metal nitrates in air and hydrogen environments","type":"article-journal","volume":"107"},"uris":["http://www.mendeley.com/documents/?uuid=cb09b765-a2e3-4e09-a384-129e50621d99"]},{"id":"ITEM-4","itemData":{"DOI":"10.1021/jp952268w","ISSN":"00223654","abstract":"On the basis of DRS, ESR, and XPS studies, the nature and the dispersion of nickel species deposited on ceria (by hydrolysis of an aqueous solution of nickel nitrate) have been investigated upon thermal activations in air. Before thermal activation, mainly octahedral NiII species belonging to a Ni(OH)2 deposit are observed by DRS (λ1 = 1230 nm). The concomitant presence of some NiII ions grafted on ceria (via NiII-O-Ce bridges) is suggested (i) in DRS, by a bathochromic shift leading to a λ1 peak at 1400 nm, indicating the presence of some NiII ions submitted to a weaker crystal field than in unsupported Ni(OH)2 and (ii) in XPS, by a NiII 2p3/2 peak at 857.4 eV, 0.5 eV higher than the NiII 2p3/2 peak observed for unsupported Ni(OH)2 according to a noticeable lowering of the Ni-O bond covalence. Some bulk NiO particles are also formed during the sample drying step as revealed by an XPS peak at 854 eV. These NiO particles are ESR silent at room temperature and at -196°C since NiO is an antiferromagnetic oxide with a Néel temperature of 250 °C. In agreement with a previous EXAFS study dealing with the Ni/TiO2 system, the calcination in air at 400°C mainly generates small NiO patches dispersed on ceria and giving a XPS Ni 2p3/2 peak at 855.5 eV. This binding energy is notably greater than that observed with bulk NiO (854 eV), and this shift is due to either a size effect or an electronic interaction with ceria. The NiII ions of these small patches are ESR silent, indicating that they are submitted to distorted crystal fields (S = 0). In parallel, the formation of NiII defects upon calcination at 400°C is indicated by a base-line drift of reflectance spectra and a XPS peak located at 857.5 eV. The coexistence of NiO particles and of NiIII-Oxn- (x and n = 1, 2) complexes grafted on the ceria surface is suggested. A thermal activation in air at 900°C induces the sintering of NiO particles as revealed by a decrease of the Ni 2p3/2 binding energy (855 eV) and of the normalized surface area ratio of the Ni 2p3/2 and Ce 3d XPS contributions, which indicates that 60% of the nickel ions are no longer detected on the ceria surface after calcination at 900°C. The agglomeration of adjacent small NiO domains giving a \"mosaic-like\" NiO material, characterized by an isotropic ESR signal whose position (signal A:g within the range 2.47-2.2) and line width (ΔHpp = 1200-1750 G) vary as a function of measurement temperature (from room temperature to -196°C) is proposed. In pa…","author":[{"dropping-particle":"","family":"Davidson","given":"A.","non-dropping-particle":"","parse-names":false,"suffix":""},{"dropping-particle":"","family":"Tempere","given":"J. F.","non-dropping-particle":"","parse-names":false,"suffix":""},{"dropping-particle":"","family":"Che","given":"M.","non-dropping-particle":"","parse-names":false,"suffix":""},{"dropping-particle":"","family":"Roulet","given":"H.","non-dropping-particle":"","parse-names":false,"suffix":""},{"dropping-particle":"","family":"Dufour","given":"G.","non-dropping-particle":"","parse-names":false,"suffix":""}],"container-title":"Journal of Physical Chemistry","id":"ITEM-4","issue":"12","issued":{"date-parts":[["1996"]]},"page":"4919-4929","title":"Spectroscopic studies of nickel(II) and nickel(III) species generated upon thermal treatments of nickel/ceria-supported materials","type":"article-journal","volume":"100"},"uris":["http://www.mendeley.com/documents/?uuid=63a09894-68e3-4334-92dc-8c84235f37f9"]}],"mendeley":{"formattedCitation":"[185], [186], [194], [386]","plainTextFormattedCitation":"[185], [186], [194], [386]","previouslyFormattedCitation":"[185], [186], [194], [386]"},"properties":{"noteIndex":0},"schema":"https://github.com/citation-style-language/schema/raw/master/csl-citation.json"}</w:instrText>
      </w:r>
      <w:r>
        <w:fldChar w:fldCharType="separate"/>
      </w:r>
      <w:r w:rsidR="00237E21" w:rsidRPr="00237E21">
        <w:rPr>
          <w:noProof/>
        </w:rPr>
        <w:t>[185], [186], [194], [386]</w:t>
      </w:r>
      <w:r>
        <w:fldChar w:fldCharType="end"/>
      </w:r>
      <w:r>
        <w:t xml:space="preserve">. </w:t>
      </w:r>
    </w:p>
    <w:p w14:paraId="4C7BB876" w14:textId="28C8DF05" w:rsidR="00007F6C" w:rsidRDefault="00007F6C" w:rsidP="00007F6C">
      <w:pPr>
        <w:jc w:val="both"/>
      </w:pPr>
      <w:r>
        <w:t>Each of the measurements share key absorption peaks for a variety of chemicals. Two of the chemicals present in all the spectra are CO</w:t>
      </w:r>
      <w:r>
        <w:rPr>
          <w:vertAlign w:val="subscript"/>
        </w:rPr>
        <w:t>2</w:t>
      </w:r>
      <w:r>
        <w:t xml:space="preserve"> and H</w:t>
      </w:r>
      <w:r>
        <w:rPr>
          <w:vertAlign w:val="subscript"/>
        </w:rPr>
        <w:t>2</w:t>
      </w:r>
      <w:r>
        <w:t xml:space="preserve">O based from the atmosphere around the KBr source </w:t>
      </w:r>
      <w:r>
        <w:fldChar w:fldCharType="begin" w:fldLock="1"/>
      </w:r>
      <w:r w:rsidR="00D80A5D">
        <w:instrText>ADDIN CSL_CITATION {"citationItems":[{"id":"ITEM-1","itemData":{"DOI":"10.7508/jns.2015.02.009","ISSN":"2322-4142","abstract":"The aim of the present study was to prepare nano-sized calcium fluoride (CaF2). Calcium fluoride nanoparticles were synthesized by CaCl2.6H2O and ammonium fluoride. Nanoparticles were synthesized by co-precipitation method. The synthesized nanocrystals were characterized by X-ray diffraction (XRD), Fourier transform infrared spectroscopy (FTIR), scanning electron microscopy (SEM). The crystallite size estimated using Scherer’s formula was found to be in the range of 20–30nm for nanocrystals synthesized by this method. The morphological features as studied using SEM revealed that the nanoparticles were agglomerated, crispy with porous. Keywords:","author":[{"dropping-particle":"","family":"Das","given":"D.","non-dropping-particle":"","parse-names":false,"suffix":""},{"dropping-particle":"","family":"Gharib","given":"F.","non-dropping-particle":"","parse-names":false,"suffix":""}],"container-title":"International Journal of Bio-Inorganic Hybrid Nanomaterials","id":"ITEM-1","issue":"2","issued":{"date-parts":[["2015"]]},"page":"59-64","title":"Cubic NiO Nanoparticles: Synthesis and Characterization","type":"article-journal","volume":"4"},"uris":["http://www.mendeley.com/documents/?uuid=c798eb58-f3d5-4e34-8abe-653250e879f5"]}],"mendeley":{"formattedCitation":"[340]","plainTextFormattedCitation":"[340]","previouslyFormattedCitation":"[340]"},"properties":{"noteIndex":0},"schema":"https://github.com/citation-style-language/schema/raw/master/csl-citation.json"}</w:instrText>
      </w:r>
      <w:r>
        <w:fldChar w:fldCharType="separate"/>
      </w:r>
      <w:r w:rsidR="006C586A" w:rsidRPr="006C586A">
        <w:rPr>
          <w:noProof/>
        </w:rPr>
        <w:t>[340]</w:t>
      </w:r>
      <w:r>
        <w:fldChar w:fldCharType="end"/>
      </w:r>
      <w:r>
        <w:t>. These were evident from the various peaks associated with these atmospheric water namely: O-H absorptions at 3537 cm</w:t>
      </w:r>
      <w:r w:rsidR="00700065">
        <w:t xml:space="preserve"> </w:t>
      </w:r>
      <w:r>
        <w:rPr>
          <w:vertAlign w:val="superscript"/>
        </w:rPr>
        <w:t>-1</w:t>
      </w:r>
      <w:r>
        <w:t xml:space="preserve"> and H-O-H bonding vibration at 1650 cm</w:t>
      </w:r>
      <w:r w:rsidR="00700065">
        <w:t xml:space="preserve"> </w:t>
      </w:r>
      <w:r>
        <w:rPr>
          <w:vertAlign w:val="superscript"/>
        </w:rPr>
        <w:t>-1</w:t>
      </w:r>
      <w:r>
        <w:t xml:space="preserve"> respectively </w:t>
      </w:r>
      <w:r>
        <w:rPr>
          <w:vertAlign w:val="subscript"/>
        </w:rPr>
        <w:fldChar w:fldCharType="begin" w:fldLock="1"/>
      </w:r>
      <w:r w:rsidR="008B6E91">
        <w:rPr>
          <w:vertAlign w:val="subscript"/>
        </w:rPr>
        <w:instrText>ADDIN CSL_CITATION {"citationItems":[{"id":"ITEM-1","itemData":{"ISBN":"9781786340832","author":[{"dropping-particle":"","family":"Prins","given":"R","non-dropping-particle":"","parse-names":false,"suffix":""},{"dropping-particle":"","family":"Wang","given":"A","non-dropping-particle":"","parse-names":false,"suffix":""},{"dropping-particle":"","family":"Li","given":"X","non-dropping-particle":"","parse-names":false,"suffix":""}],"collection-title":"Advanced Tetxtbooks in Chemistry","id":"ITEM-1","issued":{"date-parts":[["2016"]]},"publisher":"World Scientific Publishing Company","title":"Introduction to Heterogeneous Catalysis","type":"book"},"uris":["http://www.mendeley.com/documents/?uuid=791c55bd-09cb-4693-a698-17d41c597b23"]},{"id":"ITEM-2","itemData":{"DOI":"10.7508/jns.2015.02.009","ISSN":"2322-4142","abstract":"The aim of the present study was to prepare nano-sized calcium fluoride (CaF2). Calcium fluoride nanoparticles were synthesized by CaCl2.6H2O and ammonium fluoride. Nanoparticles were synthesized by co-precipitation method. The synthesized nanocrystals were characterized by X-ray diffraction (XRD), Fourier transform infrared spectroscopy (FTIR), scanning electron microscopy (SEM). The crystallite size estimated using Scherer’s formula was found to be in the range of 20–30nm for nanocrystals synthesized by this method. The morphological features as studied using SEM revealed that the nanoparticles were agglomerated, crispy with porous. Keywords:","author":[{"dropping-particle":"","family":"Das","given":"D.","non-dropping-particle":"","parse-names":false,"suffix":""},{"dropping-particle":"","family":"Gharib","given":"F.","non-dropping-particle":"","parse-names":false,"suffix":""}],"container-title":"International Journal of Bio-Inorganic Hybrid Nanomaterials","id":"ITEM-2","issue":"2","issued":{"date-parts":[["2015"]]},"page":"59-64","title":"Cubic NiO Nanoparticles: Synthesis and Characterization","type":"article-journal","volume":"4"},"uris":["http://www.mendeley.com/documents/?uuid=c798eb58-f3d5-4e34-8abe-653250e879f5"]},{"id":"ITEM-3","itemData":{"DOI":"10.14716/ijtech.v8i5.876","author":[{"dropping-particle":"","family":"Rahmawati","given":"Fitria","non-dropping-particle":"","parse-names":false,"suffix":""},{"dropping-particle":"","family":"Permadani","given":"Ita","non-dropping-particle":"","parse-names":false,"suffix":""},{"dropping-particle":"","family":"Syarif","given":"Dani","non-dropping-particle":"","parse-names":false,"suffix":""},{"dropping-particle":"","family":"Soepriyanto","given":"Syoni","non-dropping-particle":"","parse-names":false,"suffix":""}],"container-title":"International Journal of Technology","id":"ITEM-3","issued":{"date-parts":[["2017","10","31"]]},"page":"939","title":"Electrical Properties of Various Composition of Yttrium Doped-Zirconia Prepared from Local Zircon Sand","type":"article-journal","volume":"8"},"uris":["http://www.mendeley.com/documents/?uuid=8f1b9c3b-40ef-472f-832d-a8db9af066ed"]}],"mendeley":{"formattedCitation":"[319], [340], [387]","plainTextFormattedCitation":"[319], [340], [387]","previouslyFormattedCitation":"[319], [340], [387]"},"properties":{"noteIndex":0},"schema":"https://github.com/citation-style-language/schema/raw/master/csl-citation.json"}</w:instrText>
      </w:r>
      <w:r>
        <w:rPr>
          <w:vertAlign w:val="subscript"/>
        </w:rPr>
        <w:fldChar w:fldCharType="separate"/>
      </w:r>
      <w:r w:rsidR="00237E21" w:rsidRPr="00237E21">
        <w:rPr>
          <w:noProof/>
        </w:rPr>
        <w:t>[319], [340], [387]</w:t>
      </w:r>
      <w:r>
        <w:rPr>
          <w:vertAlign w:val="subscript"/>
        </w:rPr>
        <w:fldChar w:fldCharType="end"/>
      </w:r>
      <w:r>
        <w:t>. The sharp peak at 2350 cm</w:t>
      </w:r>
      <w:r w:rsidR="00700065">
        <w:t xml:space="preserve"> </w:t>
      </w:r>
      <w:r>
        <w:rPr>
          <w:vertAlign w:val="superscript"/>
        </w:rPr>
        <w:t>-1</w:t>
      </w:r>
      <w:r>
        <w:t xml:space="preserve"> is attributed to stretching of C=O which is associated with CO</w:t>
      </w:r>
      <w:r>
        <w:rPr>
          <w:vertAlign w:val="subscript"/>
        </w:rPr>
        <w:t xml:space="preserve">2 </w:t>
      </w:r>
      <w:r>
        <w:rPr>
          <w:vertAlign w:val="subscript"/>
        </w:rPr>
        <w:fldChar w:fldCharType="begin" w:fldLock="1"/>
      </w:r>
      <w:r w:rsidR="008B6E91">
        <w:rPr>
          <w:vertAlign w:val="subscript"/>
        </w:rPr>
        <w:instrText>ADDIN CSL_CITATION {"citationItems":[{"id":"ITEM-1","itemData":{"ISBN":"9781786340832","author":[{"dropping-particle":"","family":"Prins","given":"R","non-dropping-particle":"","parse-names":false,"suffix":""},{"dropping-particle":"","family":"Wang","given":"A","non-dropping-particle":"","parse-names":false,"suffix":""},{"dropping-particle":"","family":"Li","given":"X","non-dropping-particle":"","parse-names":false,"suffix":""}],"collection-title":"Advanced Tetxtbooks in Chemistry","id":"ITEM-1","issued":{"date-parts":[["2016"]]},"publisher":"World Scientific Publishing Company","title":"Introduction to Heterogeneous Catalysis","type":"book"},"uris":["http://www.mendeley.com/documents/?uuid=791c55bd-09cb-4693-a698-17d41c597b23"]},{"id":"ITEM-2","itemData":{"DOI":"10.7508/jns.2015.02.009","ISSN":"2322-4142","abstract":"The aim of the present study was to prepare nano-sized calcium fluoride (CaF2). Calcium fluoride nanoparticles were synthesized by CaCl2.6H2O and ammonium fluoride. Nanoparticles were synthesized by co-precipitation method. The synthesized nanocrystals were characterized by X-ray diffraction (XRD), Fourier transform infrared spectroscopy (FTIR), scanning electron microscopy (SEM). The crystallite size estimated using Scherer’s formula was found to be in the range of 20–30nm for nanocrystals synthesized by this method. The morphological features as studied using SEM revealed that the nanoparticles were agglomerated, crispy with porous. Keywords:","author":[{"dropping-particle":"","family":"Das","given":"D.","non-dropping-particle":"","parse-names":false,"suffix":""},{"dropping-particle":"","family":"Gharib","given":"F.","non-dropping-particle":"","parse-names":false,"suffix":""}],"container-title":"International Journal of Bio-Inorganic Hybrid Nanomaterials","id":"ITEM-2","issue":"2","issued":{"date-parts":[["2015"]]},"page":"59-64","title":"Cubic NiO Nanoparticles: Synthesis and Characterization","type":"article-journal","volume":"4"},"uris":["http://www.mendeley.com/documents/?uuid=c798eb58-f3d5-4e34-8abe-653250e879f5"]},{"id":"ITEM-3","itemData":{"DOI":"10.1007/s10973-011-2184-3","abstract":"The Y-Zr-O precursors derived from an aqueous sol–gel synthesis have been applied for the preparation of yttria-stabilized zirconia (YSZ) powders and thin films on the corundum (Al2O3) substrate, using dip-coating technique. In this aqueous sol–gel synthesis route, citric acid as a complexing agent has been used for the preparation of stable Y-Zr-O nitrate–citrate sols and gels. Thermal decomposition of dried gels was studied by simultaneous TG/DTA/EGA-FTIR measurements in the dynamic 80%Ar + 20%O2 atmosphere. FTIR and X-ray diffraction analyses were used for the determination of phase purity of the end products obtained at 700, 800 and 900 °C. The morphological features of the prepared YSZ coatings and powders were evaluated using scanning electron microscopy.","author":[{"dropping-particle":"","family":"Kaia","given":"Tonsuaadu","non-dropping-particle":"","parse-names":false,"suffix":""},{"dropping-particle":"","family":"Zalga","given":"Arturas","non-dropping-particle":"","parse-names":false,"suffix":""},{"dropping-particle":"","family":"Beganskienė","given":"Aldona","non-dropping-particle":"","parse-names":false,"suffix":""},{"dropping-particle":"","family":"Kareiva","given":"Aivaras","non-dropping-particle":"","parse-names":false,"suffix":""}],"container-title":"Journal of Thermal Analysis and Calorimetry","id":"ITEM-3","issued":{"date-parts":[["2012","10","1"]]},"title":"Thermoanalytical study of the YSZ precursors prepared by aqueous sol–gel synthesis route","type":"article-journal","volume":"110"},"uris":["http://www.mendeley.com/documents/?uuid=e6babf35-3b30-4da9-b2cb-377df1b52c97"]}],"mendeley":{"formattedCitation":"[319], [340], [388]","plainTextFormattedCitation":"[319], [340], [388]","previouslyFormattedCitation":"[319], [340], [388]"},"properties":{"noteIndex":0},"schema":"https://github.com/citation-style-language/schema/raw/master/csl-citation.json"}</w:instrText>
      </w:r>
      <w:r>
        <w:rPr>
          <w:vertAlign w:val="subscript"/>
        </w:rPr>
        <w:fldChar w:fldCharType="separate"/>
      </w:r>
      <w:r w:rsidR="00237E21" w:rsidRPr="00237E21">
        <w:rPr>
          <w:noProof/>
        </w:rPr>
        <w:t>[319], [340], [388]</w:t>
      </w:r>
      <w:r>
        <w:rPr>
          <w:vertAlign w:val="subscript"/>
        </w:rPr>
        <w:fldChar w:fldCharType="end"/>
      </w:r>
      <w:r>
        <w:t xml:space="preserve">.  </w:t>
      </w:r>
    </w:p>
    <w:p w14:paraId="416055EB" w14:textId="4382A713" w:rsidR="00007F6C" w:rsidRDefault="00D10669" w:rsidP="00007F6C">
      <w:pPr>
        <w:keepNext/>
        <w:jc w:val="center"/>
      </w:pPr>
      <w:r>
        <w:rPr>
          <w:noProof/>
        </w:rPr>
        <w:drawing>
          <wp:inline distT="0" distB="0" distL="0" distR="0" wp14:anchorId="0650671C" wp14:editId="1F472164">
            <wp:extent cx="4377307" cy="3627434"/>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pic:cNvPicPr/>
                  </pic:nvPicPr>
                  <pic:blipFill>
                    <a:blip r:embed="rId88">
                      <a:extLst>
                        <a:ext uri="{28A0092B-C50C-407E-A947-70E740481C1C}">
                          <a14:useLocalDpi xmlns:a14="http://schemas.microsoft.com/office/drawing/2010/main" val="0"/>
                        </a:ext>
                      </a:extLst>
                    </a:blip>
                    <a:stretch>
                      <a:fillRect/>
                    </a:stretch>
                  </pic:blipFill>
                  <pic:spPr>
                    <a:xfrm>
                      <a:off x="0" y="0"/>
                      <a:ext cx="4377307" cy="3627434"/>
                    </a:xfrm>
                    <a:prstGeom prst="rect">
                      <a:avLst/>
                    </a:prstGeom>
                  </pic:spPr>
                </pic:pic>
              </a:graphicData>
            </a:graphic>
          </wp:inline>
        </w:drawing>
      </w:r>
    </w:p>
    <w:p w14:paraId="27CCE40D" w14:textId="45B6FB8E" w:rsidR="00007F6C" w:rsidRPr="00BE4A79" w:rsidRDefault="00007F6C" w:rsidP="00007F6C">
      <w:pPr>
        <w:pStyle w:val="Caption"/>
        <w:rPr>
          <w:vertAlign w:val="superscript"/>
        </w:rPr>
      </w:pPr>
      <w:bookmarkStart w:id="318" w:name="_Ref41051633"/>
      <w:bookmarkStart w:id="319" w:name="_Toc69114977"/>
      <w:r>
        <w:t>Figure 4.</w:t>
      </w:r>
      <w:r w:rsidR="00B51F53">
        <w:fldChar w:fldCharType="begin"/>
      </w:r>
      <w:r w:rsidR="00B51F53">
        <w:instrText xml:space="preserve"> SEQ Figure \* ARABIC </w:instrText>
      </w:r>
      <w:r w:rsidR="00B51F53">
        <w:fldChar w:fldCharType="separate"/>
      </w:r>
      <w:r w:rsidR="00A219DF">
        <w:rPr>
          <w:noProof/>
        </w:rPr>
        <w:t>3</w:t>
      </w:r>
      <w:r w:rsidR="00B51F53">
        <w:rPr>
          <w:noProof/>
        </w:rPr>
        <w:fldChar w:fldCharType="end"/>
      </w:r>
      <w:bookmarkEnd w:id="318"/>
      <w:r>
        <w:t xml:space="preserve">: Overlaid FTIR spectra of the three </w:t>
      </w:r>
      <w:proofErr w:type="spellStart"/>
      <w:r>
        <w:t>NiO</w:t>
      </w:r>
      <w:proofErr w:type="spellEnd"/>
      <w:r>
        <w:t xml:space="preserve"> samples.</w:t>
      </w:r>
      <w:r w:rsidR="00D10669">
        <w:t xml:space="preserve"> The samples are offset by 0.8.</w:t>
      </w:r>
      <w:r>
        <w:t xml:space="preserve"> The </w:t>
      </w:r>
      <w:proofErr w:type="spellStart"/>
      <w:r>
        <w:t>NiO</w:t>
      </w:r>
      <w:proofErr w:type="spellEnd"/>
      <w:r>
        <w:t xml:space="preserve"> calibration powder (JT Baker) and the </w:t>
      </w:r>
      <w:proofErr w:type="spellStart"/>
      <w:r>
        <w:t>NiO</w:t>
      </w:r>
      <w:proofErr w:type="spellEnd"/>
      <w:r>
        <w:t xml:space="preserve"> produced after air and nitrogen drying and calcination steps. The data was taken between wavenumbers of 4000-400</w:t>
      </w:r>
      <w:r w:rsidR="00C44F8F">
        <w:t xml:space="preserve"> </w:t>
      </w:r>
      <w:r>
        <w:t>cm</w:t>
      </w:r>
      <w:r w:rsidR="00700065">
        <w:t xml:space="preserve"> </w:t>
      </w:r>
      <w:r>
        <w:rPr>
          <w:vertAlign w:val="superscript"/>
        </w:rPr>
        <w:t>-1</w:t>
      </w:r>
      <w:bookmarkEnd w:id="319"/>
    </w:p>
    <w:p w14:paraId="7A558BBA" w14:textId="5A7DD7B3" w:rsidR="00007F6C" w:rsidRDefault="00007F6C" w:rsidP="00007F6C">
      <w:pPr>
        <w:jc w:val="both"/>
      </w:pPr>
      <w:r>
        <w:t>In the case of compounds present in the calibration powder and wet impregnated samples the zirconia ceramic usually produces absorptions at 500 cm</w:t>
      </w:r>
      <w:r w:rsidR="00700065">
        <w:t xml:space="preserve"> </w:t>
      </w:r>
      <w:r>
        <w:rPr>
          <w:vertAlign w:val="superscript"/>
        </w:rPr>
        <w:t>-1</w:t>
      </w:r>
      <w:r>
        <w:t xml:space="preserve"> and 560 cm</w:t>
      </w:r>
      <w:r w:rsidR="00700065">
        <w:t xml:space="preserve"> </w:t>
      </w:r>
      <w:r>
        <w:rPr>
          <w:vertAlign w:val="superscript"/>
        </w:rPr>
        <w:t>-1</w:t>
      </w:r>
      <w:r>
        <w:t xml:space="preserve"> for YSZ, respectively </w:t>
      </w:r>
      <w:r>
        <w:fldChar w:fldCharType="begin" w:fldLock="1"/>
      </w:r>
      <w:r w:rsidR="008B6E91">
        <w:instrText>ADDIN CSL_CITATION {"citationItems":[{"id":"ITEM-1","itemData":{"DOI":"10.1007/s10973-011-2184-3","abstract":"The Y-Zr-O precursors derived from an aqueous sol–gel synthesis have been applied for the preparation of yttria-stabilized zirconia (YSZ) powders and thin films on the corundum (Al2O3) substrate, using dip-coating technique. In this aqueous sol–gel synthesis route, citric acid as a complexing agent has been used for the preparation of stable Y-Zr-O nitrate–citrate sols and gels. Thermal decomposition of dried gels was studied by simultaneous TG/DTA/EGA-FTIR measurements in the dynamic 80%Ar + 20%O2 atmosphere. FTIR and X-ray diffraction analyses were used for the determination of phase purity of the end products obtained at 700, 800 and 900 °C. The morphological features of the prepared YSZ coatings and powders were evaluated using scanning electron microscopy.","author":[{"dropping-particle":"","family":"Kaia","given":"Tonsuaadu","non-dropping-particle":"","parse-names":false,"suffix":""},{"dropping-particle":"","family":"Zalga","given":"Arturas","non-dropping-particle":"","parse-names":false,"suffix":""},{"dropping-particle":"","family":"Beganskienė","given":"Aldona","non-dropping-particle":"","parse-names":false,"suffix":""},{"dropping-particle":"","family":"Kareiva","given":"Aivaras","non-dropping-particle":"","parse-names":false,"suffix":""}],"container-title":"Journal of Thermal Analysis and Calorimetry","id":"ITEM-1","issued":{"date-parts":[["2012","10","1"]]},"title":"Thermoanalytical study of the YSZ precursors prepared by aqueous sol–gel synthesis route","type":"article-journal","volume":"110"},"uris":["http://www.mendeley.com/documents/?uuid=e6babf35-3b30-4da9-b2cb-377df1b52c97"]}],"mendeley":{"formattedCitation":"[388]","plainTextFormattedCitation":"[388]","previouslyFormattedCitation":"[388]"},"properties":{"noteIndex":0},"schema":"https://github.com/citation-style-language/schema/raw/master/csl-citation.json"}</w:instrText>
      </w:r>
      <w:r>
        <w:fldChar w:fldCharType="separate"/>
      </w:r>
      <w:r w:rsidR="00237E21" w:rsidRPr="00237E21">
        <w:rPr>
          <w:noProof/>
        </w:rPr>
        <w:t>[388]</w:t>
      </w:r>
      <w:r>
        <w:fldChar w:fldCharType="end"/>
      </w:r>
      <w:r>
        <w:t xml:space="preserve">. This absorption was masked by the instrument. However, a peak associated with </w:t>
      </w:r>
      <w:proofErr w:type="spellStart"/>
      <w:r>
        <w:t>NiO</w:t>
      </w:r>
      <w:proofErr w:type="spellEnd"/>
      <w:r>
        <w:t xml:space="preserve"> can be seen at 412-420 cm</w:t>
      </w:r>
      <w:r w:rsidR="00700065">
        <w:t xml:space="preserve"> </w:t>
      </w:r>
      <w:r>
        <w:rPr>
          <w:vertAlign w:val="superscript"/>
        </w:rPr>
        <w:t>-1</w:t>
      </w:r>
      <w:r>
        <w:t xml:space="preserve"> for all three of the samples (</w:t>
      </w:r>
      <w:r>
        <w:fldChar w:fldCharType="begin"/>
      </w:r>
      <w:r>
        <w:instrText xml:space="preserve"> REF _Ref41051950 \h  \* MERGEFORMAT </w:instrText>
      </w:r>
      <w:r>
        <w:fldChar w:fldCharType="separate"/>
      </w:r>
      <w:r w:rsidR="00A219DF">
        <w:t xml:space="preserve">Figure </w:t>
      </w:r>
      <w:r w:rsidR="00A219DF">
        <w:rPr>
          <w:noProof/>
        </w:rPr>
        <w:t>4.4</w:t>
      </w:r>
      <w:r>
        <w:fldChar w:fldCharType="end"/>
      </w:r>
      <w:r>
        <w:t xml:space="preserve">) </w:t>
      </w:r>
      <w:r>
        <w:fldChar w:fldCharType="begin" w:fldLock="1"/>
      </w:r>
      <w:r w:rsidR="008B6E91">
        <w:instrText>ADDIN CSL_CITATION {"citationItems":[{"id":"ITEM-1","itemData":{"DOI":"10.7508/jns.2015.02.009","ISSN":"2322-4142","abstract":"In the current paper,Nanostructured Nickel oxide (NiO) were synthesized by co-precipitation method using Nickel(II) Chloride Hexahydrate (NiCl2.6H2O) and sodium hydroxide (NaOH) as starting material. Structural, optical and magnetic properties of nanostructures were characterized by X-ray diffraction (XRD), scanning electron microscopy (SEM), Atomic force microscope (AFM), UV–Vis absorption; Fourier transformed infrared (FTIR) and vibrating sample magnetometer (VSM) technique. The X-ray diffraction pattern studies revealed the NiO have a face-centered cubic (FCC) structure and confirmed the presence of high degree of crystallinity nature NiO nanoparticles that their average size is found to be 26 nm. The composition of nanostructures confirmed by analysis of FTIR spectra. The average size of the NiO nanoparticle observed from scanning electron microscopy images is found to be dimensions about 24 nm. Magnetic measurement confirmed the Nickel Oxide nanostructures superparamagnetic behavior at room temperature (RT) after calcinations.","author":[{"dropping-particle":"","family":"Dehno Khalaji","given":"A.","non-dropping-particle":"","parse-names":false,"suffix":""},{"dropping-particle":"","family":"Das","given":"D.","non-dropping-particle":"","parse-names":false,"suffix":""},{"dropping-particle":"","family":"Matalobos","given":"J.","non-dropping-particle":"","parse-names":false,"suffix":""},{"dropping-particle":"","family":"Gharib","given":"F.","non-dropping-particle":"","parse-names":false,"suffix":""}],"container-title":"International Journal of Bio-Inorganic Hybrid Nanomaterials","id":"ITEM-1","issue":"2","issued":{"date-parts":[["2015"]]},"page":"59-64","title":"Cubic NiO Nanoparticles: Synthesis and Characterization","type":"article-journal","volume":"4"},"uris":["http://www.mendeley.com/documents/?uuid=ec4ea8bb-3afb-4c5f-9792-283af3c8e54c"]},{"id":"ITEM-2","itemData":{"DOI":"10.1021/am400012h","ISSN":"19448244","abstract":"NiO nanomaterial was synthesized at different calcination temperatures using cetyltrimethyl ammonium bromide (CTAB) as surfactant via microwave method. Thermogravimetric studies revealed the decomposition details of Ni(OH) 2 precursor. The structure and morphology of the NiO was characterized by X-ray diffraction (XRD), Fourier transform infrared spectroscopy (FTIR), scanning electron microscopy (SEM), and transmission electron microscopy (TEM). NiO calcined at 300 C shows a nanoflake-like structure. A possible formation mechanism has been discussed with time evolution study. Electrochemical studies indicate that the sample calcined at 300 C exhibits better charge storage. The NiO nanoflakes exhibit maximum specific capacitance of 401 F g-1 at a current density of 0.5 mA cm -2. The energy generated and hence the charges collected from wind and solar panels are slow but in many applications the power delivery has to be at a faster rate. Considering this aspect, slow-charge and fast-discharge tests have been performed and reported. The NiO nanoflakes appear to be a promising electrode material for supercapacitor application. © 2013 American Chemical Society.","author":[{"dropping-particle":"","family":"Vijayakumar","given":"Subbukalai","non-dropping-particle":"","parse-names":false,"suffix":""},{"dropping-particle":"","family":"Nagamuthu","given":"Sadayappan","non-dropping-particle":"","parse-names":false,"suffix":""},{"dropping-particle":"","family":"Muralidharan","given":"Gopalan","non-dropping-particle":"","parse-names":false,"suffix":""}],"container-title":"ACS Applied Materials and Interfaces","id":"ITEM-2","issue":"6","issued":{"date-parts":[["2013"]]},"page":"2188-2196","title":"Supercapacitor studies on NiO nanoflakes synthesized through a microwave route","type":"article-journal","volume":"5"},"uris":["http://www.mendeley.com/documents/?uuid=954135c6-2381-4011-bbfa-9328bce76449"]},{"id":"ITEM-3","itemData":{"DOI":"10.7508/jns.2015.02.009","ISSN":"2322-4142","abstract":"The aim of the present study was to prepare nano-sized calcium fluoride (CaF2). Calcium fluoride nanoparticles were synthesized by CaCl2.6H2O and ammonium fluoride. Nanoparticles were synthesized by co-precipitation method. The synthesized nanocrystals were characterized by X-ray diffraction (XRD), Fourier transform infrared spectroscopy (FTIR), scanning electron microscopy (SEM). The crystallite size estimated using Scherer’s formula was found to be in the range of 20–30nm for nanocrystals synthesized by this method. The morphological features as studied using SEM revealed that the nanoparticles were agglomerated, crispy with porous. Keywords:","author":[{"dropping-particle":"","family":"Das","given":"D.","non-dropping-particle":"","parse-names":false,"suffix":""},{"dropping-particle":"","family":"Gharib","given":"F.","non-dropping-particle":"","parse-names":false,"suffix":""}],"container-title":"International Journal of Bio-Inorganic Hybrid Nanomaterials","id":"ITEM-3","issue":"2","issued":{"date-parts":[["2015"]]},"page":"59-64","title":"Cubic NiO Nanoparticles: Synthesis and Characterization","type":"article-journal","volume":"4"},"uris":["http://www.mendeley.com/documents/?uuid=c798eb58-f3d5-4e34-8abe-653250e879f5"]}],"mendeley":{"formattedCitation":"[340], [343], [389]","plainTextFormattedCitation":"[340], [343], [389]","previouslyFormattedCitation":"[340], [343], [389]"},"properties":{"noteIndex":0},"schema":"https://github.com/citation-style-language/schema/raw/master/csl-citation.json"}</w:instrText>
      </w:r>
      <w:r>
        <w:fldChar w:fldCharType="separate"/>
      </w:r>
      <w:r w:rsidR="00237E21" w:rsidRPr="00237E21">
        <w:rPr>
          <w:noProof/>
        </w:rPr>
        <w:t>[340], [343], [389]</w:t>
      </w:r>
      <w:r>
        <w:fldChar w:fldCharType="end"/>
      </w:r>
      <w:r>
        <w:t>.</w:t>
      </w:r>
    </w:p>
    <w:p w14:paraId="3EDE69F0" w14:textId="77777777" w:rsidR="00007F6C" w:rsidRDefault="00007F6C" w:rsidP="00007F6C">
      <w:pPr>
        <w:keepNext/>
        <w:jc w:val="center"/>
      </w:pPr>
      <w:r w:rsidRPr="006D3314">
        <w:rPr>
          <w:noProof/>
          <w:color w:val="FFC000"/>
        </w:rPr>
        <w:lastRenderedPageBreak/>
        <w:drawing>
          <wp:inline distT="0" distB="0" distL="0" distR="0" wp14:anchorId="7BB158C0" wp14:editId="5DA6B94E">
            <wp:extent cx="4320000" cy="3552000"/>
            <wp:effectExtent l="0" t="0" r="0" b="0"/>
            <wp:docPr id="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89"/>
                    <a:srcRect l="5712" t="6602" r="11893" b="4876"/>
                    <a:stretch/>
                  </pic:blipFill>
                  <pic:spPr>
                    <a:xfrm>
                      <a:off x="0" y="0"/>
                      <a:ext cx="4320000" cy="3552000"/>
                    </a:xfrm>
                    <a:prstGeom prst="rect">
                      <a:avLst/>
                    </a:prstGeom>
                  </pic:spPr>
                </pic:pic>
              </a:graphicData>
            </a:graphic>
          </wp:inline>
        </w:drawing>
      </w:r>
    </w:p>
    <w:p w14:paraId="7592F054" w14:textId="3D20995C" w:rsidR="00007F6C" w:rsidRDefault="00007F6C" w:rsidP="00007F6C">
      <w:pPr>
        <w:pStyle w:val="Caption"/>
        <w:rPr>
          <w:vertAlign w:val="superscript"/>
        </w:rPr>
      </w:pPr>
      <w:bookmarkStart w:id="320" w:name="_Ref41051950"/>
      <w:bookmarkStart w:id="321" w:name="_Toc69114978"/>
      <w:r>
        <w:t>Figure 4.</w:t>
      </w:r>
      <w:r w:rsidR="00B51F53">
        <w:fldChar w:fldCharType="begin"/>
      </w:r>
      <w:r w:rsidR="00B51F53">
        <w:instrText xml:space="preserve"> SEQ Figure \* ARABIC </w:instrText>
      </w:r>
      <w:r w:rsidR="00B51F53">
        <w:fldChar w:fldCharType="separate"/>
      </w:r>
      <w:r w:rsidR="00A219DF">
        <w:rPr>
          <w:noProof/>
        </w:rPr>
        <w:t>4</w:t>
      </w:r>
      <w:r w:rsidR="00B51F53">
        <w:rPr>
          <w:noProof/>
        </w:rPr>
        <w:fldChar w:fldCharType="end"/>
      </w:r>
      <w:bookmarkEnd w:id="320"/>
      <w:r>
        <w:t xml:space="preserve">: FTIR Spectra of </w:t>
      </w:r>
      <w:proofErr w:type="spellStart"/>
      <w:r>
        <w:t>NiO</w:t>
      </w:r>
      <w:proofErr w:type="spellEnd"/>
      <w:r>
        <w:t xml:space="preserve"> samples based around wavenumbers ranging between 750-400</w:t>
      </w:r>
      <w:r w:rsidR="00C44F8F">
        <w:t xml:space="preserve"> </w:t>
      </w:r>
      <w:r>
        <w:t>cm</w:t>
      </w:r>
      <w:r w:rsidR="00700065">
        <w:t xml:space="preserve"> </w:t>
      </w:r>
      <w:r>
        <w:rPr>
          <w:vertAlign w:val="superscript"/>
        </w:rPr>
        <w:t>-1</w:t>
      </w:r>
      <w:bookmarkEnd w:id="321"/>
    </w:p>
    <w:p w14:paraId="211AC60C" w14:textId="2BE76D03" w:rsidR="00007F6C" w:rsidRPr="001374AC" w:rsidRDefault="00007F6C" w:rsidP="00007F6C">
      <w:r>
        <w:t>In addition to the calcined nickel oxide, nickel nitrate hexahydrate dried in both atmospheres was also analysed with FTIR. The spectra showed the presence of absorption bands relating to the free NO</w:t>
      </w:r>
      <w:r>
        <w:rPr>
          <w:vertAlign w:val="subscript"/>
        </w:rPr>
        <w:t>3</w:t>
      </w:r>
      <w:r>
        <w:rPr>
          <w:vertAlign w:val="superscript"/>
        </w:rPr>
        <w:t>2-</w:t>
      </w:r>
      <w:r>
        <w:t xml:space="preserve"> ion(</w:t>
      </w:r>
      <w:r>
        <w:fldChar w:fldCharType="begin"/>
      </w:r>
      <w:r>
        <w:instrText xml:space="preserve"> REF _Ref50388538 \h </w:instrText>
      </w:r>
      <w:r>
        <w:fldChar w:fldCharType="separate"/>
      </w:r>
      <w:r w:rsidR="00A219DF">
        <w:t>Figure 4.</w:t>
      </w:r>
      <w:r w:rsidR="00A219DF">
        <w:rPr>
          <w:noProof/>
        </w:rPr>
        <w:t>5</w:t>
      </w:r>
      <w:r>
        <w:fldChar w:fldCharType="end"/>
      </w:r>
      <w:r>
        <w:t>)</w:t>
      </w:r>
      <w:r>
        <w:fldChar w:fldCharType="begin" w:fldLock="1"/>
      </w:r>
      <w:r w:rsidR="008B6E91">
        <w:instrText>ADDIN CSL_CITATION {"citationItems":[{"id":"ITEM-1","itemData":{"author":[{"dropping-particle":"","family":"Pozdnyakov","given":"D","non-dropping-particle":"","parse-names":false,"suffix":""},{"dropping-particle":"","family":"Filimonov","given":"V","non-dropping-particle":"","parse-names":false,"suffix":""},{"dropping-particle":"","family":"Katal","given":"K","non-dropping-particle":"","parse-names":false,"suffix":""}],"container-title":"Kinet. Katal","id":"ITEM-1","issued":{"date-parts":[["1973"]]},"page":"760-766","title":"Infrared spectroscopic study of the chemisorption of nitric oxide and nitrogen dioxide on metal oxides","type":"article-journal","volume":"14"},"uris":["http://www.mendeley.com/documents/?uuid=8183af5c-ce6c-417d-87d5-6976c00ca863"]},{"id":"ITEM-2","itemData":{"DOI":"10.1016/j.jcat.2020.06.015","ISSN":"10902694","abstract":"Nitrates formed on ceria surface were investigated by FTIR spectroscopy and DFT methods. Isotope labelling (15N, 18O) was utilized to strengthen the conclusions. We found that the structures usually associated with monodentate nitrates (IR bands at ca. 1460, 1300 and 1030 cm−1), although bound to surface most strongly via one oxygen atom, are tridentate nitrates with C2v symmetry. The bidentate nitrates, as a rule, simultaneously bridge and chelate cerium cations. The spectral difference between these species is due to the binding geometry and symmetry reduction. An experimental approach is proposed to distinguish between different nitrate coordination. It is based on the split of the higher frequency IR band (1650–1450 cm−1) upon partial exchange with 18O: one new band appears for bidentate nitrates and two new bands for monodentate and the observed tridentate nitrates.","author":[{"dropping-particle":"","family":"Mihaylov","given":"M. Y.","non-dropping-particle":"","parse-names":false,"suffix":""},{"dropping-particle":"","family":"Zdravkova","given":"V. R.","non-dropping-particle":"","parse-names":false,"suffix":""},{"dropping-particle":"","family":"Ivanova","given":"E. Z.","non-dropping-particle":"","parse-names":false,"suffix":""},{"dropping-particle":"","family":"Aleksandrov","given":"H. A.","non-dropping-particle":"","parse-names":false,"suffix":""},{"dropping-particle":"","family":"Petkov","given":"P. St","non-dropping-particle":"","parse-names":false,"suffix":""},{"dropping-particle":"","family":"Vayssilov","given":"G. N.","non-dropping-particle":"","parse-names":false,"suffix":""},{"dropping-particle":"","family":"Hadjiivanov","given":"K. I.","non-dropping-particle":"","parse-names":false,"suffix":""}],"container-title":"Journal of Catalysis","id":"ITEM-2","issue":"xxxx","issued":{"date-parts":[["2020"]]},"page":"1-14","publisher":"Elsevier Inc.","title":"Infrared spectra of surface nitrates: Revision of the current opinions based on the case study of ceria","type":"article-journal"},"uris":["http://www.mendeley.com/documents/?uuid=ccef0782-329a-4d70-969f-8c632d36920f"]},{"id":"ITEM-3","itemData":{"DOI":"10.1016/j.molcata.2015.04.005","ISSN":"13811169","abstract":"The impregnation parameters setting is an essential strategy to find efficient active phase precursors in heterogeneous catalysts due to the close connection between the chemistry of impregnated aqueous solution and the nature of metal-support interactions. In this work, the effect of impregnation solution pH on active NiWS phase formation was studied. Ni/W/Al&lt;inf&gt;2&lt;/inf&gt;O&lt;inf&gt;3&lt;/inf&gt; catalysts were prepared by impregnation of a W/Al&lt;inf&gt;2&lt;/inf&gt;O&lt;inf&gt;3&lt;/inf&gt;-based catalyst using aqueous nickel-citric acid (CA) solutions (CA/Ni = 2) at different pH values (0.3, 3.4, 5.1 and 8.7). The citric acid presence and the impregnation pH influenced the NiWS phase formation. Citric acid provided isolation to supported metal species avoiding strong metal-support interactions, delaying nickel reduction at higher temperatures and decreasing WS&lt;inf&gt;2&lt;/inf&gt; sintering when compared with a free-citric acid catalyst. An increase of 2.2 times in NiWS fraction was related to these citric acid features. Furthermore, the solution pH influenced the aqueous and supported nickel speciation. Dispersed nickel species were associated with AlO-Ni-Cit surface complexes generated by the adsorption of [Ni(HCit)(Cit)(H&lt;inf&gt;2&lt;/inf&gt;O)&lt;inf&gt;4&lt;/inf&gt;]&lt;sup&gt;3-&lt;/sup&gt; or [Ni(Cit)&lt;inf&gt;2&lt;/inf&gt;(H&lt;inf&gt;2&lt;/inf&gt;O)&lt;inf&gt;4&lt;/inf&gt;]&lt;sup&gt;4-&lt;/sup&gt; over alumina surface. In turn, these surface complexes were associated with a higher W sulfidation. 3-fold increases in Ni/W/Al&lt;inf&gt;2&lt;/inf&gt;O&lt;inf&gt;3&lt;/inf&gt; catalytic activity for hydrodesulfurization of 4,6-dimethyldibenzothiophene were reached by the presence of citric acid and a pH of nickel-citric acid solution around 5. Therefore, the active NiWS species formation in Ni/W/Al&lt;inf&gt;2&lt;/inf&gt;O&lt;inf&gt;3&lt;/inf&gt; catalysts was improved with citric acid addition and furthermore, it was notably optimized by the control of the nickel species via tuned impregnation pH.","author":[{"dropping-particle":"","family":"Suárez-Toriello","given":"V. A.","non-dropping-particle":"","parse-names":false,"suffix":""},{"dropping-particle":"","family":"Santolalla-Vargas","given":"C. E.","non-dropping-particle":"","parse-names":false,"suffix":""},{"dropping-particle":"","family":"Los Reyes","given":"J. A.","non-dropping-particle":"De","parse-names":false,"suffix":""},{"dropping-particle":"","family":"Vázquez-Zavala","given":"A.","non-dropping-particle":"","parse-names":false,"suffix":""},{"dropping-particle":"","family":"Vrinat","given":"M.","non-dropping-particle":"","parse-names":false,"suffix":""},{"dropping-particle":"","family":"Geantet","given":"C.","non-dropping-particle":"","parse-names":false,"suffix":""}],"container-title":"Journal of Molecular Catalysis A: Chemical","id":"ITEM-3","issue":"April","issued":{"date-parts":[["2015"]]},"page":"36-46","publisher":"Elsevier B.V.","title":"Influence of the solution pH in impregnation with citric acid and activity of Ni/W/Al&lt;inf&gt;2&lt;/inf&gt;O&lt;inf&gt;3&lt;/inf&gt; catalysts","type":"article-journal","volume":"404-405"},"uris":["http://www.mendeley.com/documents/?uuid=0d348f81-aba8-4a89-9f86-64ef7734f54d"]}],"mendeley":{"formattedCitation":"[390]–[392]","plainTextFormattedCitation":"[390]–[392]","previouslyFormattedCitation":"[390]–[392]"},"properties":{"noteIndex":0},"schema":"https://github.com/citation-style-language/schema/raw/master/csl-citation.json"}</w:instrText>
      </w:r>
      <w:r>
        <w:fldChar w:fldCharType="separate"/>
      </w:r>
      <w:r w:rsidR="00237E21" w:rsidRPr="00237E21">
        <w:rPr>
          <w:noProof/>
        </w:rPr>
        <w:t>[390]–[392]</w:t>
      </w:r>
      <w:r>
        <w:fldChar w:fldCharType="end"/>
      </w:r>
      <w:r>
        <w:t xml:space="preserve">. </w:t>
      </w:r>
    </w:p>
    <w:p w14:paraId="1B2C73D5" w14:textId="77777777" w:rsidR="00007F6C" w:rsidRDefault="00007F6C" w:rsidP="00007F6C">
      <w:pPr>
        <w:keepNext/>
        <w:jc w:val="center"/>
      </w:pPr>
      <w:r>
        <w:rPr>
          <w:noProof/>
        </w:rPr>
        <w:drawing>
          <wp:inline distT="0" distB="0" distL="0" distR="0" wp14:anchorId="601FD367" wp14:editId="70B4B533">
            <wp:extent cx="3600000" cy="2930542"/>
            <wp:effectExtent l="0" t="0" r="635" b="3175"/>
            <wp:docPr id="44" name="Picture 44" descr="A picture containing flying, water, kite, loo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flying, water, kite, looking&#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3600000" cy="2930542"/>
                    </a:xfrm>
                    <a:prstGeom prst="rect">
                      <a:avLst/>
                    </a:prstGeom>
                  </pic:spPr>
                </pic:pic>
              </a:graphicData>
            </a:graphic>
          </wp:inline>
        </w:drawing>
      </w:r>
    </w:p>
    <w:p w14:paraId="13647212" w14:textId="2592F9AC" w:rsidR="00007F6C" w:rsidRDefault="00007F6C" w:rsidP="00700065">
      <w:pPr>
        <w:pStyle w:val="Caption"/>
        <w:spacing w:after="240"/>
      </w:pPr>
      <w:bookmarkStart w:id="322" w:name="_Ref50388538"/>
      <w:bookmarkStart w:id="323" w:name="_Toc69114979"/>
      <w:r>
        <w:t>Figure 4.</w:t>
      </w:r>
      <w:r w:rsidR="00B51F53">
        <w:fldChar w:fldCharType="begin"/>
      </w:r>
      <w:r w:rsidR="00B51F53">
        <w:instrText xml:space="preserve"> SEQ Figure \* ARABIC </w:instrText>
      </w:r>
      <w:r w:rsidR="00B51F53">
        <w:fldChar w:fldCharType="separate"/>
      </w:r>
      <w:r w:rsidR="00A219DF">
        <w:rPr>
          <w:noProof/>
        </w:rPr>
        <w:t>5</w:t>
      </w:r>
      <w:r w:rsidR="00B51F53">
        <w:rPr>
          <w:noProof/>
        </w:rPr>
        <w:fldChar w:fldCharType="end"/>
      </w:r>
      <w:bookmarkEnd w:id="322"/>
      <w:r>
        <w:t>: Overlaid FTIR spectra of nickel nitrate hexahydrate dried in air and nitrogen (denoted by the black and red series respectively)</w:t>
      </w:r>
      <w:r w:rsidRPr="001374AC">
        <w:rPr>
          <w:noProof/>
        </w:rPr>
        <w:t xml:space="preserve"> [47]–[49</w:t>
      </w:r>
      <w:r>
        <w:rPr>
          <w:noProof/>
        </w:rPr>
        <w:t>]</w:t>
      </w:r>
      <w:bookmarkEnd w:id="323"/>
    </w:p>
    <w:p w14:paraId="0F78DF27" w14:textId="0B09FA62" w:rsidR="00007F6C" w:rsidRDefault="00007F6C" w:rsidP="00700065">
      <w:pPr>
        <w:spacing w:after="0"/>
        <w:jc w:val="both"/>
      </w:pPr>
      <w:r>
        <w:t xml:space="preserve">Upon further inspection, there was also the presence of the </w:t>
      </w:r>
      <w:proofErr w:type="spellStart"/>
      <w:r>
        <w:t>bunsenite</w:t>
      </w:r>
      <w:proofErr w:type="spellEnd"/>
      <w:r>
        <w:t xml:space="preserve"> related bands at 410</w:t>
      </w:r>
      <w:r w:rsidR="00700065">
        <w:t xml:space="preserve"> </w:t>
      </w:r>
      <w:r>
        <w:t>-</w:t>
      </w:r>
      <w:r w:rsidR="00700065">
        <w:t xml:space="preserve"> </w:t>
      </w:r>
      <w:r>
        <w:t>420 cm</w:t>
      </w:r>
      <w:r w:rsidR="00700065">
        <w:t xml:space="preserve"> </w:t>
      </w:r>
      <w:r>
        <w:rPr>
          <w:vertAlign w:val="superscript"/>
        </w:rPr>
        <w:t>-1</w:t>
      </w:r>
      <w:r>
        <w:t xml:space="preserve"> which indicates that the nickel nitrate has already begun to decompose during drying(</w:t>
      </w:r>
      <w:r>
        <w:fldChar w:fldCharType="begin"/>
      </w:r>
      <w:r>
        <w:instrText xml:space="preserve"> REF _Ref50389199 \h  \* MERGEFORMAT </w:instrText>
      </w:r>
      <w:r>
        <w:fldChar w:fldCharType="separate"/>
      </w:r>
      <w:r w:rsidR="00A219DF">
        <w:t>Figure 4.6</w:t>
      </w:r>
      <w:r>
        <w:fldChar w:fldCharType="end"/>
      </w:r>
      <w:r>
        <w:t xml:space="preserve">) </w:t>
      </w:r>
      <w:r>
        <w:fldChar w:fldCharType="begin" w:fldLock="1"/>
      </w:r>
      <w:r w:rsidR="008B6E91">
        <w:instrText>ADDIN CSL_CITATION {"citationItems":[{"id":"ITEM-1","itemData":{"DOI":"10.7508/jns.2015.02.009","ISSN":"2322-4142","abstract":"In the current paper,Nanostructured Nickel oxide (NiO) were synthesized by co-precipitation method using Nickel(II) Chloride Hexahydrate (NiCl2.6H2O) and sodium hydroxide (NaOH) as starting material. Structural, optical and magnetic properties of nanostructures were characterized by X-ray diffraction (XRD), scanning electron microscopy (SEM), Atomic force microscope (AFM), UV–Vis absorption; Fourier transformed infrared (FTIR) and vibrating sample magnetometer (VSM) technique. The X-ray diffraction pattern studies revealed the NiO have a face-centered cubic (FCC) structure and confirmed the presence of high degree of crystallinity nature NiO nanoparticles that their average size is found to be 26 nm. The composition of nanostructures confirmed by analysis of FTIR spectra. The average size of the NiO nanoparticle observed from scanning electron microscopy images is found to be dimensions about 24 nm. Magnetic measurement confirmed the Nickel Oxide nanostructures superparamagnetic behavior at room temperature (RT) after calcinations.","author":[{"dropping-particle":"","family":"Dehno Khalaji","given":"A.","non-dropping-particle":"","parse-names":false,"suffix":""},{"dropping-particle":"","family":"Das","given":"D.","non-dropping-particle":"","parse-names":false,"suffix":""},{"dropping-particle":"","family":"Matalobos","given":"J.","non-dropping-particle":"","parse-names":false,"suffix":""},{"dropping-particle":"","family":"Gharib","given":"F.","non-dropping-particle":"","parse-names":false,"suffix":""}],"container-title":"International Journal of Bio-Inorganic Hybrid Nanomaterials","id":"ITEM-1","issue":"2","issued":{"date-parts":[["2015"]]},"page":"59-64","title":"Cubic NiO Nanoparticles: Synthesis and Characterization","type":"article-journal","volume":"4"},"uris":["http://www.mendeley.com/documents/?uuid=ec4ea8bb-3afb-4c5f-9792-283af3c8e54c"]},{"id":"ITEM-2","itemData":{"DOI":"10.1021/am400012h","ISSN":"19448244","abstract":"NiO nanomaterial was synthesized at different calcination temperatures using cetyltrimethyl ammonium bromide (CTAB) as surfactant via microwave method. Thermogravimetric studies revealed the decomposition details of Ni(OH) 2 precursor. The structure and morphology of the NiO was characterized by X-ray diffraction (XRD), Fourier transform infrared spectroscopy (FTIR), scanning electron microscopy (SEM), and transmission electron microscopy (TEM). NiO calcined at 300 C shows a nanoflake-like structure. A possible formation mechanism has been discussed with time evolution study. Electrochemical studies indicate that the sample calcined at 300 C exhibits better charge storage. The NiO nanoflakes exhibit maximum specific capacitance of 401 F g-1 at a current density of 0.5 mA cm -2. The energy generated and hence the charges collected from wind and solar panels are slow but in many applications the power delivery has to be at a faster rate. Considering this aspect, slow-charge and fast-discharge tests have been performed and reported. The NiO nanoflakes appear to be a promising electrode material for supercapacitor application. © 2013 American Chemical Society.","author":[{"dropping-particle":"","family":"Vijayakumar","given":"Subbukalai","non-dropping-particle":"","parse-names":false,"suffix":""},{"dropping-particle":"","family":"Nagamuthu","given":"Sadayappan","non-dropping-particle":"","parse-names":false,"suffix":""},{"dropping-particle":"","family":"Muralidharan","given":"Gopalan","non-dropping-particle":"","parse-names":false,"suffix":""}],"container-title":"ACS Applied Materials and Interfaces","id":"ITEM-2","issue":"6","issued":{"date-parts":[["2013"]]},"page":"2188-2196","title":"Supercapacitor studies on NiO nanoflakes synthesized through a microwave route","type":"article-journal","volume":"5"},"uris":["http://www.mendeley.com/documents/?uuid=954135c6-2381-4011-bbfa-9328bce76449"]},{"id":"ITEM-3","itemData":{"DOI":"10.7508/jns.2015.02.009","ISSN":"2322-4142","abstract":"The aim of the present study was to prepare nano-sized calcium fluoride (CaF2). Calcium fluoride nanoparticles were synthesized by CaCl2.6H2O and ammonium fluoride. Nanoparticles were synthesized by co-precipitation method. The synthesized nanocrystals were characterized by X-ray diffraction (XRD), Fourier transform infrared spectroscopy (FTIR), scanning electron microscopy (SEM). The crystallite size estimated using Scherer’s formula was found to be in the range of 20–30nm for nanocrystals synthesized by this method. The morphological features as studied using SEM revealed that the nanoparticles were agglomerated, crispy with porous. Keywords:","author":[{"dropping-particle":"","family":"Das","given":"D.","non-dropping-particle":"","parse-names":false,"suffix":""},{"dropping-particle":"","family":"Gharib","given":"F.","non-dropping-particle":"","parse-names":false,"suffix":""}],"container-title":"International Journal of Bio-Inorganic Hybrid Nanomaterials","id":"ITEM-3","issue":"2","issued":{"date-parts":[["2015"]]},"page":"59-64","title":"Cubic NiO Nanoparticles: Synthesis and Characterization","type":"article-journal","volume":"4"},"uris":["http://www.mendeley.com/documents/?uuid=c798eb58-f3d5-4e34-8abe-653250e879f5"]}],"mendeley":{"formattedCitation":"[340], [343], [389]","plainTextFormattedCitation":"[340], [343], [389]","previouslyFormattedCitation":"[340], [343], [389]"},"properties":{"noteIndex":0},"schema":"https://github.com/citation-style-language/schema/raw/master/csl-citation.json"}</w:instrText>
      </w:r>
      <w:r>
        <w:fldChar w:fldCharType="separate"/>
      </w:r>
      <w:r w:rsidR="00237E21" w:rsidRPr="00237E21">
        <w:rPr>
          <w:noProof/>
        </w:rPr>
        <w:t>[340], [343], [389]</w:t>
      </w:r>
      <w:r>
        <w:fldChar w:fldCharType="end"/>
      </w:r>
      <w:r>
        <w:t>. The presence of these eight bands underlines the speed of the decomposition of the nitrate material during the drying process.</w:t>
      </w:r>
    </w:p>
    <w:p w14:paraId="2B15A101" w14:textId="77777777" w:rsidR="00007F6C" w:rsidRDefault="00007F6C" w:rsidP="00007F6C">
      <w:pPr>
        <w:keepNext/>
        <w:jc w:val="center"/>
      </w:pPr>
      <w:r>
        <w:rPr>
          <w:noProof/>
        </w:rPr>
        <w:lastRenderedPageBreak/>
        <w:drawing>
          <wp:inline distT="0" distB="0" distL="0" distR="0" wp14:anchorId="10BC8EB0" wp14:editId="0CEAF532">
            <wp:extent cx="3600000" cy="2880872"/>
            <wp:effectExtent l="0" t="0" r="635" b="0"/>
            <wp:docPr id="50" name="Picture 50" descr="A picture containing flying, kite, dark,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flying, kite, dark, light&#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3600000" cy="2880872"/>
                    </a:xfrm>
                    <a:prstGeom prst="rect">
                      <a:avLst/>
                    </a:prstGeom>
                  </pic:spPr>
                </pic:pic>
              </a:graphicData>
            </a:graphic>
          </wp:inline>
        </w:drawing>
      </w:r>
    </w:p>
    <w:p w14:paraId="77CE61ED" w14:textId="15A040E6" w:rsidR="00007F6C" w:rsidRPr="00525C02" w:rsidRDefault="00007F6C" w:rsidP="00007F6C">
      <w:pPr>
        <w:pStyle w:val="Caption"/>
      </w:pPr>
      <w:bookmarkStart w:id="324" w:name="_Ref50389199"/>
      <w:bookmarkStart w:id="325" w:name="_Toc69114980"/>
      <w:r>
        <w:t>Figure 4.</w:t>
      </w:r>
      <w:r w:rsidR="00B51F53">
        <w:fldChar w:fldCharType="begin"/>
      </w:r>
      <w:r w:rsidR="00B51F53">
        <w:instrText xml:space="preserve"> SEQ Figure \* ARABIC </w:instrText>
      </w:r>
      <w:r w:rsidR="00B51F53">
        <w:fldChar w:fldCharType="separate"/>
      </w:r>
      <w:r w:rsidR="00A219DF">
        <w:rPr>
          <w:noProof/>
        </w:rPr>
        <w:t>6</w:t>
      </w:r>
      <w:r w:rsidR="00B51F53">
        <w:rPr>
          <w:noProof/>
        </w:rPr>
        <w:fldChar w:fldCharType="end"/>
      </w:r>
      <w:bookmarkEnd w:id="324"/>
      <w:r>
        <w:t>: Overlaid FTIR spectra of nickel nitrate hexahydrate dried in air and nitrogen (denoted by the black and red series respectively)</w:t>
      </w:r>
      <w:bookmarkEnd w:id="325"/>
    </w:p>
    <w:p w14:paraId="438FB4A3" w14:textId="77777777" w:rsidR="00007F6C" w:rsidRDefault="00007F6C" w:rsidP="00007F6C">
      <w:pPr>
        <w:jc w:val="both"/>
      </w:pPr>
      <w:r>
        <w:t>There was no evidence of absorption peaks associated with nickel hydroxide or and nickel hydroxy nitrates. This indicates that the calcination step has been successful in the decomposition of nickel nitrate to nickel oxide under both air and nitrogen atmospheres.</w:t>
      </w:r>
    </w:p>
    <w:p w14:paraId="7B11AEA6" w14:textId="77777777" w:rsidR="00007F6C" w:rsidRDefault="00007F6C" w:rsidP="003A288A">
      <w:pPr>
        <w:pStyle w:val="Heading2"/>
      </w:pPr>
      <w:bookmarkStart w:id="326" w:name="_Toc69129413"/>
      <w:r>
        <w:t>4.3.3</w:t>
      </w:r>
      <w:r>
        <w:tab/>
        <w:t>Particle size analysis</w:t>
      </w:r>
      <w:bookmarkEnd w:id="326"/>
      <w:r>
        <w:t xml:space="preserve"> </w:t>
      </w:r>
    </w:p>
    <w:p w14:paraId="7066038C" w14:textId="0F89DFE0" w:rsidR="00007F6C" w:rsidRDefault="008C7ED1" w:rsidP="003A288A">
      <w:pPr>
        <w:pStyle w:val="Heading3"/>
      </w:pPr>
      <w:bookmarkStart w:id="327" w:name="_Toc69129414"/>
      <w:r>
        <w:t xml:space="preserve">4.3.3.1 </w:t>
      </w:r>
      <w:r w:rsidR="00007F6C">
        <w:t>W</w:t>
      </w:r>
      <w:r w:rsidR="00007F6C" w:rsidRPr="007D62DE">
        <w:t>AXS crystallite size calculations</w:t>
      </w:r>
      <w:bookmarkEnd w:id="327"/>
    </w:p>
    <w:p w14:paraId="14A30BC5" w14:textId="18D735D4" w:rsidR="00007F6C" w:rsidRPr="00892BA9" w:rsidRDefault="00007F6C" w:rsidP="00007F6C">
      <w:pPr>
        <w:jc w:val="both"/>
        <w:rPr>
          <w:rFonts w:cstheme="minorHAnsi"/>
        </w:rPr>
      </w:pPr>
      <w:r w:rsidRPr="00952912">
        <w:rPr>
          <w:rFonts w:cstheme="minorHAnsi"/>
        </w:rPr>
        <w:t xml:space="preserve">Two </w:t>
      </w:r>
      <w:proofErr w:type="spellStart"/>
      <w:r w:rsidRPr="00952912">
        <w:rPr>
          <w:rFonts w:cstheme="minorHAnsi"/>
        </w:rPr>
        <w:t>NiO</w:t>
      </w:r>
      <w:proofErr w:type="spellEnd"/>
      <w:r w:rsidRPr="00952912">
        <w:rPr>
          <w:rFonts w:cstheme="minorHAnsi"/>
        </w:rPr>
        <w:t>-YSZ air dried and N</w:t>
      </w:r>
      <w:r w:rsidRPr="00952912">
        <w:rPr>
          <w:rFonts w:cstheme="minorHAnsi"/>
          <w:vertAlign w:val="subscript"/>
        </w:rPr>
        <w:t>2</w:t>
      </w:r>
      <w:r w:rsidRPr="00952912">
        <w:rPr>
          <w:rFonts w:cstheme="minorHAnsi"/>
        </w:rPr>
        <w:t xml:space="preserve"> dried samples were analysed using the Argonne National Laboratory 9-ID beamline. Wide Angle X-ray scattering diffraction patterns of both samples were generated</w:t>
      </w:r>
      <w:r>
        <w:rPr>
          <w:rFonts w:cstheme="minorHAnsi"/>
        </w:rPr>
        <w:t xml:space="preserve"> (</w:t>
      </w:r>
      <w:r>
        <w:rPr>
          <w:rFonts w:cstheme="minorHAnsi"/>
        </w:rPr>
        <w:fldChar w:fldCharType="begin"/>
      </w:r>
      <w:r>
        <w:rPr>
          <w:rFonts w:cstheme="minorHAnsi"/>
        </w:rPr>
        <w:instrText xml:space="preserve"> REF _Ref42505887 \h  \* MERGEFORMAT </w:instrText>
      </w:r>
      <w:r>
        <w:rPr>
          <w:rFonts w:cstheme="minorHAnsi"/>
        </w:rPr>
      </w:r>
      <w:r>
        <w:rPr>
          <w:rFonts w:cstheme="minorHAnsi"/>
        </w:rPr>
        <w:fldChar w:fldCharType="separate"/>
      </w:r>
      <w:r w:rsidRPr="00952912">
        <w:rPr>
          <w:rFonts w:cstheme="minorHAnsi"/>
        </w:rPr>
        <w:t xml:space="preserve">Figure </w:t>
      </w:r>
      <w:r>
        <w:rPr>
          <w:rFonts w:cstheme="minorHAnsi"/>
        </w:rPr>
        <w:t>4.8</w:t>
      </w:r>
      <w:r>
        <w:rPr>
          <w:rFonts w:cstheme="minorHAnsi"/>
        </w:rPr>
        <w:fldChar w:fldCharType="end"/>
      </w:r>
      <w:r>
        <w:rPr>
          <w:rFonts w:cstheme="minorHAnsi"/>
        </w:rPr>
        <w:t>)</w:t>
      </w:r>
      <w:r w:rsidRPr="00952912">
        <w:rPr>
          <w:rFonts w:cstheme="minorHAnsi"/>
        </w:rPr>
        <w:t xml:space="preserve">. </w:t>
      </w:r>
      <w:r>
        <w:rPr>
          <w:rFonts w:cstheme="minorHAnsi"/>
        </w:rPr>
        <w:t xml:space="preserve"> The </w:t>
      </w:r>
      <w:proofErr w:type="spellStart"/>
      <w:r>
        <w:rPr>
          <w:rFonts w:cstheme="minorHAnsi"/>
        </w:rPr>
        <w:t>NiO</w:t>
      </w:r>
      <w:proofErr w:type="spellEnd"/>
      <w:r>
        <w:rPr>
          <w:rFonts w:cstheme="minorHAnsi"/>
        </w:rPr>
        <w:t xml:space="preserve"> crystallite lengths were calculated using the Debye-Scherrer analysis. The purpose of these results was to remove any nano strain-based contributions to the FWHM which would impact the crystallite length calculations. A comparison of </w:t>
      </w:r>
      <w:proofErr w:type="spellStart"/>
      <w:r>
        <w:rPr>
          <w:rFonts w:cstheme="minorHAnsi"/>
        </w:rPr>
        <w:t>NiO</w:t>
      </w:r>
      <w:proofErr w:type="spellEnd"/>
      <w:r>
        <w:rPr>
          <w:rFonts w:cstheme="minorHAnsi"/>
        </w:rPr>
        <w:t xml:space="preserve">-YSZ X-ray diffraction and Wide-Angle X-ray scattering spectra can be found in </w:t>
      </w:r>
      <w:r>
        <w:rPr>
          <w:rFonts w:cstheme="minorHAnsi"/>
        </w:rPr>
        <w:fldChar w:fldCharType="begin"/>
      </w:r>
      <w:r>
        <w:rPr>
          <w:rFonts w:cstheme="minorHAnsi"/>
        </w:rPr>
        <w:instrText xml:space="preserve"> REF _Ref42505904 \h </w:instrText>
      </w:r>
      <w:r>
        <w:rPr>
          <w:rFonts w:cstheme="minorHAnsi"/>
        </w:rPr>
      </w:r>
      <w:r>
        <w:rPr>
          <w:rFonts w:cstheme="minorHAnsi"/>
        </w:rPr>
        <w:fldChar w:fldCharType="separate"/>
      </w:r>
      <w:r>
        <w:t>Figure 4.</w:t>
      </w:r>
      <w:r>
        <w:rPr>
          <w:noProof/>
        </w:rPr>
        <w:t>7</w:t>
      </w:r>
      <w:r>
        <w:rPr>
          <w:rFonts w:cstheme="minorHAnsi"/>
        </w:rPr>
        <w:fldChar w:fldCharType="end"/>
      </w:r>
      <w:r>
        <w:rPr>
          <w:rFonts w:cstheme="minorHAnsi"/>
        </w:rPr>
        <w:t xml:space="preserve">. From </w:t>
      </w:r>
      <w:r>
        <w:rPr>
          <w:rFonts w:cstheme="minorHAnsi"/>
        </w:rPr>
        <w:fldChar w:fldCharType="begin"/>
      </w:r>
      <w:r>
        <w:rPr>
          <w:rFonts w:cstheme="minorHAnsi"/>
        </w:rPr>
        <w:instrText xml:space="preserve"> REF _Ref42505904 \h </w:instrText>
      </w:r>
      <w:r>
        <w:rPr>
          <w:rFonts w:cstheme="minorHAnsi"/>
        </w:rPr>
      </w:r>
      <w:r>
        <w:rPr>
          <w:rFonts w:cstheme="minorHAnsi"/>
        </w:rPr>
        <w:fldChar w:fldCharType="separate"/>
      </w:r>
      <w:r>
        <w:t>Figure 4.</w:t>
      </w:r>
      <w:r>
        <w:rPr>
          <w:noProof/>
        </w:rPr>
        <w:t>7</w:t>
      </w:r>
      <w:r>
        <w:rPr>
          <w:rFonts w:cstheme="minorHAnsi"/>
        </w:rPr>
        <w:fldChar w:fldCharType="end"/>
      </w:r>
      <w:r>
        <w:rPr>
          <w:rFonts w:cstheme="minorHAnsi"/>
        </w:rPr>
        <w:t xml:space="preserve"> the </w:t>
      </w:r>
      <w:proofErr w:type="spellStart"/>
      <w:r>
        <w:rPr>
          <w:rFonts w:cstheme="minorHAnsi"/>
        </w:rPr>
        <w:t>NiO</w:t>
      </w:r>
      <w:proofErr w:type="spellEnd"/>
      <w:r>
        <w:rPr>
          <w:rFonts w:cstheme="minorHAnsi"/>
        </w:rPr>
        <w:t xml:space="preserve"> WAXS reflections are far more intense than the spectra gathered on the Bruker D2. The use of WAXS also removed the K</w:t>
      </w:r>
      <w:r>
        <w:rPr>
          <w:rFonts w:cstheme="minorHAnsi"/>
          <w:vertAlign w:val="subscript"/>
        </w:rPr>
        <w:t>β</w:t>
      </w:r>
      <w:r>
        <w:rPr>
          <w:rFonts w:cstheme="minorHAnsi"/>
        </w:rPr>
        <w:t xml:space="preserve"> contribution present at Q =3.4 Å</w:t>
      </w:r>
      <w:r w:rsidR="00700065">
        <w:rPr>
          <w:rFonts w:cstheme="minorHAnsi"/>
        </w:rPr>
        <w:t xml:space="preserve"> </w:t>
      </w:r>
      <w:r>
        <w:rPr>
          <w:rFonts w:cstheme="minorHAnsi"/>
          <w:vertAlign w:val="superscript"/>
        </w:rPr>
        <w:t>-1</w:t>
      </w:r>
      <w:r>
        <w:rPr>
          <w:rFonts w:cstheme="minorHAnsi"/>
        </w:rPr>
        <w:t>.</w:t>
      </w:r>
      <w:r w:rsidR="00A219DF">
        <w:rPr>
          <w:rFonts w:cstheme="minorHAnsi"/>
        </w:rPr>
        <w:t xml:space="preserve"> A comparison between AD and ND </w:t>
      </w:r>
      <w:proofErr w:type="spellStart"/>
      <w:r w:rsidR="00A219DF">
        <w:rPr>
          <w:rFonts w:cstheme="minorHAnsi"/>
        </w:rPr>
        <w:t>NiO</w:t>
      </w:r>
      <w:proofErr w:type="spellEnd"/>
      <w:r w:rsidR="00A219DF">
        <w:rPr>
          <w:rFonts w:cstheme="minorHAnsi"/>
        </w:rPr>
        <w:t xml:space="preserve">-YSZ is shown in </w:t>
      </w:r>
      <w:r w:rsidR="00A219DF">
        <w:rPr>
          <w:rFonts w:cstheme="minorHAnsi"/>
        </w:rPr>
        <w:fldChar w:fldCharType="begin"/>
      </w:r>
      <w:r w:rsidR="00A219DF">
        <w:rPr>
          <w:rFonts w:cstheme="minorHAnsi"/>
        </w:rPr>
        <w:instrText xml:space="preserve"> REF _Ref42505887 \h </w:instrText>
      </w:r>
      <w:r w:rsidR="00A219DF">
        <w:rPr>
          <w:rFonts w:cstheme="minorHAnsi"/>
        </w:rPr>
      </w:r>
      <w:r w:rsidR="00A219DF">
        <w:rPr>
          <w:rFonts w:cstheme="minorHAnsi"/>
        </w:rPr>
        <w:fldChar w:fldCharType="separate"/>
      </w:r>
      <w:r w:rsidR="00A219DF" w:rsidRPr="00952912">
        <w:rPr>
          <w:rFonts w:cstheme="minorHAnsi"/>
        </w:rPr>
        <w:t xml:space="preserve">Figure </w:t>
      </w:r>
      <w:r w:rsidR="00A219DF">
        <w:rPr>
          <w:rFonts w:cstheme="minorHAnsi"/>
        </w:rPr>
        <w:t>4.</w:t>
      </w:r>
      <w:r w:rsidR="00A219DF">
        <w:rPr>
          <w:rFonts w:cstheme="minorHAnsi"/>
          <w:noProof/>
        </w:rPr>
        <w:t>8</w:t>
      </w:r>
      <w:r w:rsidR="00A219DF">
        <w:rPr>
          <w:rFonts w:cstheme="minorHAnsi"/>
        </w:rPr>
        <w:fldChar w:fldCharType="end"/>
      </w:r>
      <w:r w:rsidR="00A219DF">
        <w:rPr>
          <w:rFonts w:cstheme="minorHAnsi"/>
        </w:rPr>
        <w:t>.</w:t>
      </w:r>
    </w:p>
    <w:p w14:paraId="4E074C6C" w14:textId="77777777" w:rsidR="00007F6C" w:rsidRDefault="00007F6C" w:rsidP="00007F6C">
      <w:pPr>
        <w:keepNext/>
        <w:jc w:val="center"/>
      </w:pPr>
      <w:r>
        <w:rPr>
          <w:noProof/>
          <w:color w:val="FFC000"/>
        </w:rPr>
        <w:drawing>
          <wp:inline distT="0" distB="0" distL="0" distR="0" wp14:anchorId="11EDA311" wp14:editId="5ED9D587">
            <wp:extent cx="3240000" cy="2618341"/>
            <wp:effectExtent l="0" t="0" r="0" b="0"/>
            <wp:docPr id="109" name="Picture 10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1.tif"/>
                    <pic:cNvPicPr/>
                  </pic:nvPicPr>
                  <pic:blipFill rotWithShape="1">
                    <a:blip r:embed="rId92" cstate="print">
                      <a:extLst>
                        <a:ext uri="{28A0092B-C50C-407E-A947-70E740481C1C}">
                          <a14:useLocalDpi xmlns:a14="http://schemas.microsoft.com/office/drawing/2010/main" val="0"/>
                        </a:ext>
                      </a:extLst>
                    </a:blip>
                    <a:srcRect l="5717" t="9382" r="12520" b="4272"/>
                    <a:stretch/>
                  </pic:blipFill>
                  <pic:spPr bwMode="auto">
                    <a:xfrm>
                      <a:off x="0" y="0"/>
                      <a:ext cx="3240000" cy="2618341"/>
                    </a:xfrm>
                    <a:prstGeom prst="rect">
                      <a:avLst/>
                    </a:prstGeom>
                    <a:ln>
                      <a:noFill/>
                    </a:ln>
                    <a:extLst>
                      <a:ext uri="{53640926-AAD7-44D8-BBD7-CCE9431645EC}">
                        <a14:shadowObscured xmlns:a14="http://schemas.microsoft.com/office/drawing/2010/main"/>
                      </a:ext>
                    </a:extLst>
                  </pic:spPr>
                </pic:pic>
              </a:graphicData>
            </a:graphic>
          </wp:inline>
        </w:drawing>
      </w:r>
    </w:p>
    <w:p w14:paraId="090BAC7F" w14:textId="27AA176E" w:rsidR="00007F6C" w:rsidRDefault="00007F6C" w:rsidP="00007F6C">
      <w:pPr>
        <w:pStyle w:val="Caption"/>
      </w:pPr>
      <w:bookmarkStart w:id="328" w:name="_Ref42505904"/>
      <w:bookmarkStart w:id="329" w:name="_Toc69114981"/>
      <w:r>
        <w:t>Figure 4.</w:t>
      </w:r>
      <w:r w:rsidR="00B51F53">
        <w:fldChar w:fldCharType="begin"/>
      </w:r>
      <w:r w:rsidR="00B51F53">
        <w:instrText xml:space="preserve"> SEQ Figure \* ARABIC </w:instrText>
      </w:r>
      <w:r w:rsidR="00B51F53">
        <w:fldChar w:fldCharType="separate"/>
      </w:r>
      <w:r w:rsidR="00A219DF">
        <w:rPr>
          <w:noProof/>
        </w:rPr>
        <w:t>7</w:t>
      </w:r>
      <w:r w:rsidR="00B51F53">
        <w:rPr>
          <w:noProof/>
        </w:rPr>
        <w:fldChar w:fldCharType="end"/>
      </w:r>
      <w:bookmarkEnd w:id="328"/>
      <w:r>
        <w:t xml:space="preserve">: Wide Angle X-ray Scattering diffraction pattern of an </w:t>
      </w:r>
      <w:proofErr w:type="spellStart"/>
      <w:r>
        <w:t>NiO</w:t>
      </w:r>
      <w:proofErr w:type="spellEnd"/>
      <w:r>
        <w:t>-YSZ electrode sample (Air-dried) post calcination.</w:t>
      </w:r>
      <w:bookmarkEnd w:id="329"/>
      <w:r>
        <w:t xml:space="preserve"> </w:t>
      </w:r>
    </w:p>
    <w:p w14:paraId="1FE52EC6" w14:textId="77777777" w:rsidR="00007F6C" w:rsidRPr="009D7277" w:rsidRDefault="00007F6C" w:rsidP="00007F6C">
      <w:pPr>
        <w:keepNext/>
        <w:jc w:val="center"/>
        <w:rPr>
          <w:rFonts w:ascii="Arial" w:hAnsi="Arial" w:cs="Arial"/>
        </w:rPr>
      </w:pPr>
      <w:r w:rsidRPr="009D7277">
        <w:rPr>
          <w:rFonts w:ascii="Arial" w:hAnsi="Arial" w:cs="Arial"/>
          <w:noProof/>
          <w:lang w:eastAsia="en-GB"/>
        </w:rPr>
        <w:lastRenderedPageBreak/>
        <w:drawing>
          <wp:inline distT="0" distB="0" distL="0" distR="0" wp14:anchorId="5884ED58" wp14:editId="0F9A2C98">
            <wp:extent cx="5400000" cy="293811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AXS Diffraction Patterns.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400000" cy="2938112"/>
                    </a:xfrm>
                    <a:prstGeom prst="rect">
                      <a:avLst/>
                    </a:prstGeom>
                  </pic:spPr>
                </pic:pic>
              </a:graphicData>
            </a:graphic>
          </wp:inline>
        </w:drawing>
      </w:r>
    </w:p>
    <w:p w14:paraId="364022F8" w14:textId="33FE3F22" w:rsidR="00007F6C" w:rsidRPr="00952912" w:rsidRDefault="00007F6C" w:rsidP="00007F6C">
      <w:pPr>
        <w:pStyle w:val="Caption"/>
        <w:jc w:val="both"/>
        <w:rPr>
          <w:rFonts w:cstheme="minorHAnsi"/>
        </w:rPr>
      </w:pPr>
      <w:bookmarkStart w:id="330" w:name="_Ref42505887"/>
      <w:bookmarkStart w:id="331" w:name="_Toc69114982"/>
      <w:r w:rsidRPr="00952912">
        <w:rPr>
          <w:rFonts w:cstheme="minorHAnsi"/>
        </w:rPr>
        <w:t xml:space="preserve">Figure </w:t>
      </w:r>
      <w:r>
        <w:rPr>
          <w:rFonts w:cstheme="minorHAnsi"/>
        </w:rPr>
        <w:t>4.</w:t>
      </w:r>
      <w:r w:rsidR="00285C23">
        <w:rPr>
          <w:rFonts w:cstheme="minorHAnsi"/>
        </w:rPr>
        <w:fldChar w:fldCharType="begin"/>
      </w:r>
      <w:r w:rsidR="00285C23">
        <w:rPr>
          <w:rFonts w:cstheme="minorHAnsi"/>
        </w:rPr>
        <w:instrText xml:space="preserve"> SEQ Figure \* ARABIC </w:instrText>
      </w:r>
      <w:r w:rsidR="00285C23">
        <w:rPr>
          <w:rFonts w:cstheme="minorHAnsi"/>
        </w:rPr>
        <w:fldChar w:fldCharType="separate"/>
      </w:r>
      <w:r w:rsidR="00A219DF">
        <w:rPr>
          <w:rFonts w:cstheme="minorHAnsi"/>
          <w:noProof/>
        </w:rPr>
        <w:t>8</w:t>
      </w:r>
      <w:r w:rsidR="00285C23">
        <w:rPr>
          <w:rFonts w:cstheme="minorHAnsi"/>
        </w:rPr>
        <w:fldChar w:fldCharType="end"/>
      </w:r>
      <w:bookmarkEnd w:id="330"/>
      <w:r w:rsidRPr="00952912">
        <w:rPr>
          <w:rFonts w:cstheme="minorHAnsi"/>
        </w:rPr>
        <w:t>: Wide Angle X-ray Scattering diffraction patterns of Pellet A and B (Air</w:t>
      </w:r>
      <w:r>
        <w:rPr>
          <w:rFonts w:cstheme="minorHAnsi"/>
        </w:rPr>
        <w:t xml:space="preserve"> red</w:t>
      </w:r>
      <w:r w:rsidRPr="00952912">
        <w:rPr>
          <w:rFonts w:cstheme="minorHAnsi"/>
        </w:rPr>
        <w:t xml:space="preserve"> and N</w:t>
      </w:r>
      <w:r w:rsidRPr="00952912">
        <w:rPr>
          <w:rFonts w:cstheme="minorHAnsi"/>
          <w:vertAlign w:val="subscript"/>
        </w:rPr>
        <w:t>2</w:t>
      </w:r>
      <w:r>
        <w:rPr>
          <w:rFonts w:cstheme="minorHAnsi"/>
          <w:vertAlign w:val="subscript"/>
        </w:rPr>
        <w:t xml:space="preserve"> -</w:t>
      </w:r>
      <w:r w:rsidRPr="00952912">
        <w:rPr>
          <w:rFonts w:cstheme="minorHAnsi"/>
        </w:rPr>
        <w:t>dried</w:t>
      </w:r>
      <w:r>
        <w:rPr>
          <w:rFonts w:cstheme="minorHAnsi"/>
        </w:rPr>
        <w:t xml:space="preserve"> blue</w:t>
      </w:r>
      <w:r w:rsidRPr="00952912">
        <w:rPr>
          <w:rFonts w:cstheme="minorHAnsi"/>
        </w:rPr>
        <w:t xml:space="preserve"> respectively).</w:t>
      </w:r>
      <w:bookmarkEnd w:id="331"/>
      <w:r>
        <w:rPr>
          <w:rFonts w:cstheme="minorHAnsi"/>
        </w:rPr>
        <w:t xml:space="preserve"> </w:t>
      </w:r>
    </w:p>
    <w:p w14:paraId="558A510B" w14:textId="77777777" w:rsidR="00007F6C" w:rsidRDefault="00007F6C" w:rsidP="00007F6C">
      <w:pPr>
        <w:jc w:val="both"/>
      </w:pPr>
      <w:bookmarkStart w:id="332" w:name="_Ref39059836"/>
      <w:r w:rsidRPr="00FB2708">
        <w:t xml:space="preserve">The crystallite length after the removal of the strain component is expected to increase after the removal of the strain component </w:t>
      </w:r>
      <w:r>
        <w:t xml:space="preserve">as the numerator is kept constant, whilst the denominator is concurrently reduced </w:t>
      </w:r>
      <w:r w:rsidRPr="000C73AE">
        <w:t>(See</w:t>
      </w:r>
      <w:r>
        <w:t xml:space="preserve"> 3.3.1.1). The upper and lower range for the particle size for the Debye-Scherrer and Williamson Hall corrected values intersect. The use of higher flux (reduced wavelength) X-rays on the 9ID beamline has reduced the calculated crystallite lengths as much more of the strain contribution is removed by the higher X-ray flux.</w:t>
      </w:r>
    </w:p>
    <w:p w14:paraId="365401BE" w14:textId="1AD54E3C" w:rsidR="00007F6C" w:rsidRDefault="00007F6C" w:rsidP="001660B4">
      <w:pPr>
        <w:pStyle w:val="Caption"/>
        <w:keepNext/>
        <w:spacing w:after="240"/>
      </w:pPr>
      <w:bookmarkStart w:id="333" w:name="_Ref42505913"/>
      <w:r>
        <w:t>Table 4.</w:t>
      </w:r>
      <w:r w:rsidR="00B51F53">
        <w:fldChar w:fldCharType="begin"/>
      </w:r>
      <w:r w:rsidR="00B51F53">
        <w:instrText xml:space="preserve"> SEQ Table \* ARABIC </w:instrText>
      </w:r>
      <w:r w:rsidR="00B51F53">
        <w:fldChar w:fldCharType="separate"/>
      </w:r>
      <w:r w:rsidR="00496F75">
        <w:rPr>
          <w:noProof/>
        </w:rPr>
        <w:t>3</w:t>
      </w:r>
      <w:r w:rsidR="00B51F53">
        <w:rPr>
          <w:noProof/>
        </w:rPr>
        <w:fldChar w:fldCharType="end"/>
      </w:r>
      <w:bookmarkEnd w:id="332"/>
      <w:bookmarkEnd w:id="333"/>
      <w:r>
        <w:t xml:space="preserve">: Table of the </w:t>
      </w:r>
      <w:proofErr w:type="spellStart"/>
      <w:r>
        <w:t>NiO</w:t>
      </w:r>
      <w:proofErr w:type="spellEnd"/>
      <w:r>
        <w:t xml:space="preserve"> and Ni crystallite length in nm calculated using Debye-Scherrer and Williamson Hall methods using two different X-ray Diffraction techniques for Ni-YSZ and Ni-GDC samples.</w:t>
      </w:r>
    </w:p>
    <w:tbl>
      <w:tblPr>
        <w:tblStyle w:val="TableGrid"/>
        <w:tblW w:w="0" w:type="auto"/>
        <w:jc w:val="center"/>
        <w:tblLook w:val="04A0" w:firstRow="1" w:lastRow="0" w:firstColumn="1" w:lastColumn="0" w:noHBand="0" w:noVBand="1"/>
      </w:tblPr>
      <w:tblGrid>
        <w:gridCol w:w="2075"/>
        <w:gridCol w:w="1962"/>
        <w:gridCol w:w="1976"/>
        <w:gridCol w:w="1962"/>
      </w:tblGrid>
      <w:tr w:rsidR="00007F6C" w14:paraId="4B65745A" w14:textId="77777777" w:rsidTr="00E74CD4">
        <w:trPr>
          <w:jc w:val="center"/>
        </w:trPr>
        <w:tc>
          <w:tcPr>
            <w:tcW w:w="0" w:type="auto"/>
            <w:vMerge w:val="restart"/>
          </w:tcPr>
          <w:p w14:paraId="6C4DBBA9" w14:textId="77777777" w:rsidR="00E74CD4" w:rsidRDefault="00007F6C" w:rsidP="005E2F1E">
            <w:pPr>
              <w:rPr>
                <w:b/>
                <w:bCs/>
              </w:rPr>
            </w:pPr>
            <w:r w:rsidRPr="00C623F0">
              <w:rPr>
                <w:b/>
                <w:bCs/>
              </w:rPr>
              <w:t xml:space="preserve">Sample composition </w:t>
            </w:r>
          </w:p>
          <w:p w14:paraId="4FD39B55" w14:textId="3BD81942" w:rsidR="00007F6C" w:rsidRPr="00C623F0" w:rsidRDefault="00007F6C" w:rsidP="005E2F1E">
            <w:pPr>
              <w:rPr>
                <w:b/>
                <w:bCs/>
              </w:rPr>
            </w:pPr>
            <w:r w:rsidRPr="00C623F0">
              <w:rPr>
                <w:b/>
                <w:bCs/>
              </w:rPr>
              <w:t>(Drying condition)</w:t>
            </w:r>
          </w:p>
        </w:tc>
        <w:tc>
          <w:tcPr>
            <w:tcW w:w="0" w:type="auto"/>
            <w:gridSpan w:val="3"/>
          </w:tcPr>
          <w:p w14:paraId="03FAE665" w14:textId="77777777" w:rsidR="00007F6C" w:rsidRPr="00C623F0" w:rsidRDefault="00007F6C" w:rsidP="005E2F1E">
            <w:pPr>
              <w:jc w:val="center"/>
              <w:rPr>
                <w:b/>
                <w:bCs/>
                <w:color w:val="FFC000"/>
              </w:rPr>
            </w:pPr>
            <w:r w:rsidRPr="00C623F0">
              <w:rPr>
                <w:b/>
                <w:bCs/>
              </w:rPr>
              <w:t xml:space="preserve">Crystallite Length </w:t>
            </w:r>
            <w:r>
              <w:rPr>
                <w:b/>
                <w:bCs/>
              </w:rPr>
              <w:t>in nm and d</w:t>
            </w:r>
            <w:r w:rsidRPr="00C623F0">
              <w:rPr>
                <w:b/>
                <w:bCs/>
              </w:rPr>
              <w:t>etermination method (Detector)</w:t>
            </w:r>
          </w:p>
        </w:tc>
      </w:tr>
      <w:tr w:rsidR="00007F6C" w14:paraId="702C1E0C" w14:textId="77777777" w:rsidTr="00E74CD4">
        <w:trPr>
          <w:jc w:val="center"/>
        </w:trPr>
        <w:tc>
          <w:tcPr>
            <w:tcW w:w="0" w:type="auto"/>
            <w:vMerge/>
          </w:tcPr>
          <w:p w14:paraId="0E2D7B5D" w14:textId="77777777" w:rsidR="00007F6C" w:rsidRPr="00C623F0" w:rsidRDefault="00007F6C" w:rsidP="005E2F1E">
            <w:pPr>
              <w:rPr>
                <w:b/>
                <w:bCs/>
              </w:rPr>
            </w:pPr>
          </w:p>
        </w:tc>
        <w:tc>
          <w:tcPr>
            <w:tcW w:w="0" w:type="auto"/>
          </w:tcPr>
          <w:p w14:paraId="01E24A06" w14:textId="77777777" w:rsidR="00007F6C" w:rsidRPr="00C623F0" w:rsidRDefault="00007F6C" w:rsidP="005E2F1E">
            <w:pPr>
              <w:rPr>
                <w:b/>
                <w:bCs/>
              </w:rPr>
            </w:pPr>
            <w:r w:rsidRPr="00C623F0">
              <w:rPr>
                <w:b/>
                <w:bCs/>
              </w:rPr>
              <w:t>Debye-Scherrer</w:t>
            </w:r>
          </w:p>
          <w:p w14:paraId="613E743C" w14:textId="77777777" w:rsidR="00007F6C" w:rsidRPr="00C623F0" w:rsidRDefault="00007F6C" w:rsidP="005E2F1E">
            <w:pPr>
              <w:rPr>
                <w:b/>
                <w:bCs/>
              </w:rPr>
            </w:pPr>
            <w:r w:rsidRPr="003E3035">
              <w:t>(D2)</w:t>
            </w:r>
            <w:r>
              <w:rPr>
                <w:b/>
                <w:bCs/>
              </w:rPr>
              <w:t xml:space="preserve"> [nm]</w:t>
            </w:r>
          </w:p>
        </w:tc>
        <w:tc>
          <w:tcPr>
            <w:tcW w:w="0" w:type="auto"/>
          </w:tcPr>
          <w:p w14:paraId="33FE1A82" w14:textId="77777777" w:rsidR="00007F6C" w:rsidRDefault="00007F6C" w:rsidP="005E2F1E">
            <w:pPr>
              <w:rPr>
                <w:b/>
                <w:bCs/>
              </w:rPr>
            </w:pPr>
            <w:r w:rsidRPr="00C623F0">
              <w:rPr>
                <w:b/>
                <w:bCs/>
              </w:rPr>
              <w:t xml:space="preserve">Williamson Hall </w:t>
            </w:r>
          </w:p>
          <w:p w14:paraId="364BCF9C" w14:textId="77777777" w:rsidR="00007F6C" w:rsidRPr="00C623F0" w:rsidRDefault="00007F6C" w:rsidP="005E2F1E">
            <w:pPr>
              <w:rPr>
                <w:b/>
                <w:bCs/>
              </w:rPr>
            </w:pPr>
            <w:r w:rsidRPr="003E3035">
              <w:t>(D2)</w:t>
            </w:r>
            <w:r>
              <w:rPr>
                <w:b/>
                <w:bCs/>
              </w:rPr>
              <w:t xml:space="preserve"> [nm]</w:t>
            </w:r>
          </w:p>
        </w:tc>
        <w:tc>
          <w:tcPr>
            <w:tcW w:w="0" w:type="auto"/>
          </w:tcPr>
          <w:p w14:paraId="15685A1B" w14:textId="77777777" w:rsidR="00007F6C" w:rsidRDefault="00007F6C" w:rsidP="005E2F1E">
            <w:pPr>
              <w:rPr>
                <w:b/>
                <w:bCs/>
              </w:rPr>
            </w:pPr>
            <w:r w:rsidRPr="00C623F0">
              <w:rPr>
                <w:b/>
                <w:bCs/>
              </w:rPr>
              <w:t xml:space="preserve">Debye-Scherrer </w:t>
            </w:r>
          </w:p>
          <w:p w14:paraId="5F558DC1" w14:textId="77777777" w:rsidR="00007F6C" w:rsidRPr="00C623F0" w:rsidRDefault="00007F6C" w:rsidP="005E2F1E">
            <w:pPr>
              <w:rPr>
                <w:b/>
                <w:bCs/>
              </w:rPr>
            </w:pPr>
            <w:r w:rsidRPr="003E3035">
              <w:t>(9ID)</w:t>
            </w:r>
            <w:r>
              <w:rPr>
                <w:b/>
                <w:bCs/>
              </w:rPr>
              <w:t xml:space="preserve"> [nm]</w:t>
            </w:r>
          </w:p>
        </w:tc>
      </w:tr>
      <w:tr w:rsidR="00007F6C" w14:paraId="243CF346" w14:textId="77777777" w:rsidTr="00E74CD4">
        <w:trPr>
          <w:jc w:val="center"/>
        </w:trPr>
        <w:tc>
          <w:tcPr>
            <w:tcW w:w="0" w:type="auto"/>
          </w:tcPr>
          <w:p w14:paraId="678992A4" w14:textId="77777777" w:rsidR="00007F6C" w:rsidRPr="001F3E81" w:rsidRDefault="00007F6C" w:rsidP="005E2F1E">
            <w:proofErr w:type="spellStart"/>
            <w:r w:rsidRPr="001F3E81">
              <w:t>NiO</w:t>
            </w:r>
            <w:proofErr w:type="spellEnd"/>
            <w:r w:rsidRPr="001F3E81">
              <w:t>-YSZ (</w:t>
            </w:r>
            <w:r w:rsidRPr="00C623F0">
              <w:rPr>
                <w:b/>
                <w:bCs/>
              </w:rPr>
              <w:t>AD</w:t>
            </w:r>
            <w:r w:rsidRPr="001F3E81">
              <w:t>)</w:t>
            </w:r>
            <w:r>
              <w:t xml:space="preserve"> </w:t>
            </w:r>
          </w:p>
        </w:tc>
        <w:tc>
          <w:tcPr>
            <w:tcW w:w="0" w:type="auto"/>
          </w:tcPr>
          <w:p w14:paraId="23CB8727" w14:textId="77777777" w:rsidR="00007F6C" w:rsidRPr="001F3E81" w:rsidRDefault="00007F6C" w:rsidP="005E2F1E">
            <w:pPr>
              <w:jc w:val="right"/>
            </w:pPr>
            <w:r>
              <w:t xml:space="preserve">25.73 </w:t>
            </w:r>
            <w:r>
              <w:rPr>
                <w:rFonts w:cstheme="minorHAnsi"/>
              </w:rPr>
              <w:t xml:space="preserve">± </w:t>
            </w:r>
            <w:r>
              <w:t>1.01</w:t>
            </w:r>
          </w:p>
        </w:tc>
        <w:tc>
          <w:tcPr>
            <w:tcW w:w="0" w:type="auto"/>
          </w:tcPr>
          <w:p w14:paraId="520CBA62" w14:textId="77777777" w:rsidR="00007F6C" w:rsidRPr="00373C90" w:rsidRDefault="00007F6C" w:rsidP="005E2F1E">
            <w:pPr>
              <w:jc w:val="right"/>
            </w:pPr>
            <w:r w:rsidRPr="00373C90">
              <w:t>27.06</w:t>
            </w:r>
            <w:r>
              <w:t xml:space="preserve"> </w:t>
            </w:r>
            <w:r>
              <w:rPr>
                <w:rFonts w:cstheme="minorHAnsi"/>
              </w:rPr>
              <w:t xml:space="preserve">± </w:t>
            </w:r>
            <w:r>
              <w:t>0.45</w:t>
            </w:r>
          </w:p>
        </w:tc>
        <w:tc>
          <w:tcPr>
            <w:tcW w:w="0" w:type="auto"/>
          </w:tcPr>
          <w:p w14:paraId="4D572BED" w14:textId="77777777" w:rsidR="00007F6C" w:rsidRPr="003E3035" w:rsidRDefault="00007F6C" w:rsidP="005E2F1E">
            <w:pPr>
              <w:jc w:val="right"/>
            </w:pPr>
            <w:r w:rsidRPr="003E3035">
              <w:t xml:space="preserve">14.71 </w:t>
            </w:r>
            <w:r w:rsidRPr="003E3035">
              <w:rPr>
                <w:rFonts w:cstheme="minorHAnsi"/>
              </w:rPr>
              <w:t>±</w:t>
            </w:r>
            <w:r>
              <w:rPr>
                <w:rFonts w:cstheme="minorHAnsi"/>
              </w:rPr>
              <w:t xml:space="preserve"> 1.13</w:t>
            </w:r>
          </w:p>
        </w:tc>
      </w:tr>
      <w:tr w:rsidR="00007F6C" w14:paraId="132AA844" w14:textId="77777777" w:rsidTr="00E74CD4">
        <w:trPr>
          <w:jc w:val="center"/>
        </w:trPr>
        <w:tc>
          <w:tcPr>
            <w:tcW w:w="0" w:type="auto"/>
          </w:tcPr>
          <w:p w14:paraId="514D858B" w14:textId="77777777" w:rsidR="00007F6C" w:rsidRDefault="00007F6C" w:rsidP="005E2F1E">
            <w:pPr>
              <w:rPr>
                <w:color w:val="FFC000"/>
              </w:rPr>
            </w:pPr>
            <w:proofErr w:type="spellStart"/>
            <w:r w:rsidRPr="00C623F0">
              <w:t>NiO</w:t>
            </w:r>
            <w:proofErr w:type="spellEnd"/>
            <w:r w:rsidRPr="00C623F0">
              <w:t>-YSZ (</w:t>
            </w:r>
            <w:r w:rsidRPr="00C623F0">
              <w:rPr>
                <w:b/>
                <w:bCs/>
              </w:rPr>
              <w:t>ND</w:t>
            </w:r>
            <w:r w:rsidRPr="00C623F0">
              <w:t>)</w:t>
            </w:r>
          </w:p>
        </w:tc>
        <w:tc>
          <w:tcPr>
            <w:tcW w:w="0" w:type="auto"/>
          </w:tcPr>
          <w:p w14:paraId="2608F96B" w14:textId="77777777" w:rsidR="00007F6C" w:rsidRPr="00373C90" w:rsidRDefault="00007F6C" w:rsidP="005E2F1E">
            <w:pPr>
              <w:jc w:val="right"/>
            </w:pPr>
            <w:r w:rsidRPr="00373C90">
              <w:t>19.65</w:t>
            </w:r>
            <w:r>
              <w:t xml:space="preserve"> </w:t>
            </w:r>
            <w:r w:rsidRPr="00373C90">
              <w:rPr>
                <w:rFonts w:cstheme="minorHAnsi"/>
              </w:rPr>
              <w:t>±</w:t>
            </w:r>
            <w:r>
              <w:rPr>
                <w:rFonts w:cstheme="minorHAnsi"/>
              </w:rPr>
              <w:t xml:space="preserve"> </w:t>
            </w:r>
            <w:r w:rsidRPr="00373C90">
              <w:t>1.01</w:t>
            </w:r>
          </w:p>
        </w:tc>
        <w:tc>
          <w:tcPr>
            <w:tcW w:w="0" w:type="auto"/>
          </w:tcPr>
          <w:p w14:paraId="41554222" w14:textId="77777777" w:rsidR="00007F6C" w:rsidRPr="00373C90" w:rsidRDefault="00007F6C" w:rsidP="005E2F1E">
            <w:pPr>
              <w:jc w:val="right"/>
            </w:pPr>
            <w:r w:rsidRPr="00373C90">
              <w:t>20.86</w:t>
            </w:r>
            <w:r>
              <w:t xml:space="preserve"> </w:t>
            </w:r>
            <w:r>
              <w:rPr>
                <w:rFonts w:cstheme="minorHAnsi"/>
              </w:rPr>
              <w:t xml:space="preserve">± </w:t>
            </w:r>
            <w:r>
              <w:t>0.39</w:t>
            </w:r>
          </w:p>
        </w:tc>
        <w:tc>
          <w:tcPr>
            <w:tcW w:w="0" w:type="auto"/>
          </w:tcPr>
          <w:p w14:paraId="7ED6D808" w14:textId="77777777" w:rsidR="00007F6C" w:rsidRPr="003E3035" w:rsidRDefault="00007F6C" w:rsidP="005E2F1E">
            <w:pPr>
              <w:jc w:val="right"/>
            </w:pPr>
            <w:r w:rsidRPr="003E3035">
              <w:t xml:space="preserve">10.20 </w:t>
            </w:r>
            <w:r w:rsidRPr="003E3035">
              <w:rPr>
                <w:rFonts w:cstheme="minorHAnsi"/>
              </w:rPr>
              <w:t>±</w:t>
            </w:r>
            <w:r>
              <w:rPr>
                <w:rFonts w:cstheme="minorHAnsi"/>
              </w:rPr>
              <w:t xml:space="preserve"> 1.13</w:t>
            </w:r>
          </w:p>
        </w:tc>
      </w:tr>
      <w:tr w:rsidR="00007F6C" w14:paraId="21FFD6DA" w14:textId="77777777" w:rsidTr="00E74CD4">
        <w:trPr>
          <w:jc w:val="center"/>
        </w:trPr>
        <w:tc>
          <w:tcPr>
            <w:tcW w:w="0" w:type="auto"/>
          </w:tcPr>
          <w:p w14:paraId="6685E7D5" w14:textId="77777777" w:rsidR="00007F6C" w:rsidRPr="00C623F0" w:rsidRDefault="00007F6C" w:rsidP="005E2F1E">
            <w:r>
              <w:t>Ni-YSZ (</w:t>
            </w:r>
            <w:r w:rsidRPr="00B11D9B">
              <w:rPr>
                <w:b/>
                <w:bCs/>
              </w:rPr>
              <w:t>AD</w:t>
            </w:r>
            <w:r>
              <w:t>)</w:t>
            </w:r>
          </w:p>
        </w:tc>
        <w:tc>
          <w:tcPr>
            <w:tcW w:w="0" w:type="auto"/>
          </w:tcPr>
          <w:p w14:paraId="3A1BB9E2" w14:textId="77777777" w:rsidR="00007F6C" w:rsidRPr="00373C90" w:rsidRDefault="00007F6C" w:rsidP="005E2F1E">
            <w:pPr>
              <w:jc w:val="right"/>
            </w:pPr>
            <w:r>
              <w:t xml:space="preserve">21.04 </w:t>
            </w:r>
            <w:r>
              <w:rPr>
                <w:rFonts w:cstheme="minorHAnsi"/>
              </w:rPr>
              <w:t xml:space="preserve">± </w:t>
            </w:r>
            <w:r>
              <w:t>1.01</w:t>
            </w:r>
          </w:p>
        </w:tc>
        <w:tc>
          <w:tcPr>
            <w:tcW w:w="0" w:type="auto"/>
          </w:tcPr>
          <w:p w14:paraId="54B6F555" w14:textId="77777777" w:rsidR="00007F6C" w:rsidRPr="00373C90" w:rsidRDefault="00007F6C" w:rsidP="005E2F1E">
            <w:pPr>
              <w:jc w:val="right"/>
            </w:pPr>
            <w:r>
              <w:t xml:space="preserve">22.16 </w:t>
            </w:r>
            <w:r>
              <w:rPr>
                <w:rFonts w:cstheme="minorHAnsi"/>
              </w:rPr>
              <w:t xml:space="preserve">± </w:t>
            </w:r>
            <w:r>
              <w:t xml:space="preserve">0.38 </w:t>
            </w:r>
          </w:p>
        </w:tc>
        <w:tc>
          <w:tcPr>
            <w:tcW w:w="0" w:type="auto"/>
          </w:tcPr>
          <w:p w14:paraId="09EE9CBE" w14:textId="77777777" w:rsidR="00007F6C" w:rsidRPr="003E3035" w:rsidRDefault="00007F6C" w:rsidP="005E2F1E">
            <w:pPr>
              <w:jc w:val="right"/>
            </w:pPr>
            <w:r>
              <w:t>N/A</w:t>
            </w:r>
          </w:p>
        </w:tc>
      </w:tr>
      <w:tr w:rsidR="00007F6C" w14:paraId="16B4ED54" w14:textId="77777777" w:rsidTr="00E74CD4">
        <w:trPr>
          <w:jc w:val="center"/>
        </w:trPr>
        <w:tc>
          <w:tcPr>
            <w:tcW w:w="0" w:type="auto"/>
          </w:tcPr>
          <w:p w14:paraId="6EE23B04" w14:textId="77777777" w:rsidR="00007F6C" w:rsidRPr="00C623F0" w:rsidRDefault="00007F6C" w:rsidP="005E2F1E">
            <w:r>
              <w:t>Ni-YSZ (</w:t>
            </w:r>
            <w:r w:rsidRPr="00B11D9B">
              <w:rPr>
                <w:b/>
                <w:bCs/>
              </w:rPr>
              <w:t>ND</w:t>
            </w:r>
            <w:r>
              <w:t>)</w:t>
            </w:r>
          </w:p>
        </w:tc>
        <w:tc>
          <w:tcPr>
            <w:tcW w:w="0" w:type="auto"/>
          </w:tcPr>
          <w:p w14:paraId="77FEEFC7" w14:textId="77777777" w:rsidR="00007F6C" w:rsidRPr="00373C90" w:rsidRDefault="00007F6C" w:rsidP="005E2F1E">
            <w:pPr>
              <w:jc w:val="right"/>
            </w:pPr>
            <w:r>
              <w:t xml:space="preserve">16.88 </w:t>
            </w:r>
            <w:r>
              <w:rPr>
                <w:rFonts w:cstheme="minorHAnsi"/>
              </w:rPr>
              <w:t xml:space="preserve">± </w:t>
            </w:r>
            <w:r>
              <w:t>1.01</w:t>
            </w:r>
          </w:p>
        </w:tc>
        <w:tc>
          <w:tcPr>
            <w:tcW w:w="0" w:type="auto"/>
          </w:tcPr>
          <w:p w14:paraId="0A4191B8" w14:textId="77777777" w:rsidR="00007F6C" w:rsidRPr="00373C90" w:rsidRDefault="00007F6C" w:rsidP="005E2F1E">
            <w:pPr>
              <w:jc w:val="right"/>
            </w:pPr>
            <w:r>
              <w:t xml:space="preserve">18.19 </w:t>
            </w:r>
            <w:r>
              <w:rPr>
                <w:rFonts w:cstheme="minorHAnsi"/>
              </w:rPr>
              <w:t xml:space="preserve">± </w:t>
            </w:r>
            <w:r>
              <w:t xml:space="preserve">0.31 </w:t>
            </w:r>
          </w:p>
        </w:tc>
        <w:tc>
          <w:tcPr>
            <w:tcW w:w="0" w:type="auto"/>
          </w:tcPr>
          <w:p w14:paraId="107FED07" w14:textId="77777777" w:rsidR="00007F6C" w:rsidRPr="003E3035" w:rsidRDefault="00007F6C" w:rsidP="005E2F1E">
            <w:pPr>
              <w:jc w:val="right"/>
            </w:pPr>
            <w:r>
              <w:t>N/A</w:t>
            </w:r>
          </w:p>
        </w:tc>
      </w:tr>
      <w:tr w:rsidR="00007F6C" w14:paraId="1CD23E27" w14:textId="77777777" w:rsidTr="00E74CD4">
        <w:trPr>
          <w:jc w:val="center"/>
        </w:trPr>
        <w:tc>
          <w:tcPr>
            <w:tcW w:w="0" w:type="auto"/>
          </w:tcPr>
          <w:p w14:paraId="36016371" w14:textId="77777777" w:rsidR="00007F6C" w:rsidRDefault="00007F6C" w:rsidP="005E2F1E">
            <w:proofErr w:type="spellStart"/>
            <w:r>
              <w:t>NiO</w:t>
            </w:r>
            <w:proofErr w:type="spellEnd"/>
            <w:r>
              <w:t>-GDC (</w:t>
            </w:r>
            <w:r w:rsidRPr="00BA1A27">
              <w:rPr>
                <w:b/>
                <w:bCs/>
              </w:rPr>
              <w:t>AD</w:t>
            </w:r>
            <w:r>
              <w:t>)</w:t>
            </w:r>
          </w:p>
        </w:tc>
        <w:tc>
          <w:tcPr>
            <w:tcW w:w="0" w:type="auto"/>
          </w:tcPr>
          <w:p w14:paraId="6E50BB2B" w14:textId="77777777" w:rsidR="00007F6C" w:rsidRDefault="00007F6C" w:rsidP="005E2F1E">
            <w:pPr>
              <w:jc w:val="right"/>
            </w:pPr>
            <w:r>
              <w:t>7.37</w:t>
            </w:r>
            <w:r>
              <w:rPr>
                <w:rFonts w:cstheme="minorHAnsi"/>
              </w:rPr>
              <w:t xml:space="preserve">± </w:t>
            </w:r>
            <w:r>
              <w:t>1.01</w:t>
            </w:r>
          </w:p>
        </w:tc>
        <w:tc>
          <w:tcPr>
            <w:tcW w:w="0" w:type="auto"/>
          </w:tcPr>
          <w:p w14:paraId="2A2947A6" w14:textId="77777777" w:rsidR="00007F6C" w:rsidRDefault="00007F6C" w:rsidP="005E2F1E">
            <w:pPr>
              <w:jc w:val="right"/>
            </w:pPr>
            <w:r>
              <w:t>N/A</w:t>
            </w:r>
          </w:p>
        </w:tc>
        <w:tc>
          <w:tcPr>
            <w:tcW w:w="0" w:type="auto"/>
          </w:tcPr>
          <w:p w14:paraId="0CAE7BDB" w14:textId="77777777" w:rsidR="00007F6C" w:rsidRDefault="00007F6C" w:rsidP="005E2F1E">
            <w:pPr>
              <w:jc w:val="right"/>
            </w:pPr>
            <w:r>
              <w:t>N/A</w:t>
            </w:r>
          </w:p>
        </w:tc>
      </w:tr>
      <w:tr w:rsidR="00007F6C" w14:paraId="3F3805B5" w14:textId="77777777" w:rsidTr="00E74CD4">
        <w:trPr>
          <w:jc w:val="center"/>
        </w:trPr>
        <w:tc>
          <w:tcPr>
            <w:tcW w:w="0" w:type="auto"/>
          </w:tcPr>
          <w:p w14:paraId="48A71D7B" w14:textId="77777777" w:rsidR="00007F6C" w:rsidRDefault="00007F6C" w:rsidP="005E2F1E">
            <w:proofErr w:type="spellStart"/>
            <w:r>
              <w:t>NiO</w:t>
            </w:r>
            <w:proofErr w:type="spellEnd"/>
            <w:r>
              <w:t>-GDC (</w:t>
            </w:r>
            <w:r w:rsidRPr="00BA1A27">
              <w:rPr>
                <w:b/>
                <w:bCs/>
              </w:rPr>
              <w:t>ND</w:t>
            </w:r>
            <w:r>
              <w:t>)</w:t>
            </w:r>
          </w:p>
        </w:tc>
        <w:tc>
          <w:tcPr>
            <w:tcW w:w="0" w:type="auto"/>
          </w:tcPr>
          <w:p w14:paraId="4E22E42E" w14:textId="77777777" w:rsidR="00007F6C" w:rsidRDefault="00007F6C" w:rsidP="005E2F1E">
            <w:pPr>
              <w:jc w:val="right"/>
            </w:pPr>
            <w:r>
              <w:t>9.81</w:t>
            </w:r>
            <w:r>
              <w:rPr>
                <w:rFonts w:cstheme="minorHAnsi"/>
              </w:rPr>
              <w:t xml:space="preserve">± </w:t>
            </w:r>
            <w:r>
              <w:t>1.01</w:t>
            </w:r>
          </w:p>
        </w:tc>
        <w:tc>
          <w:tcPr>
            <w:tcW w:w="0" w:type="auto"/>
          </w:tcPr>
          <w:p w14:paraId="2B989327" w14:textId="77777777" w:rsidR="00007F6C" w:rsidRDefault="00007F6C" w:rsidP="005E2F1E">
            <w:pPr>
              <w:jc w:val="right"/>
            </w:pPr>
            <w:r>
              <w:t>N/A</w:t>
            </w:r>
          </w:p>
        </w:tc>
        <w:tc>
          <w:tcPr>
            <w:tcW w:w="0" w:type="auto"/>
          </w:tcPr>
          <w:p w14:paraId="1751FBDD" w14:textId="77777777" w:rsidR="00007F6C" w:rsidRDefault="00007F6C" w:rsidP="005E2F1E">
            <w:pPr>
              <w:jc w:val="right"/>
            </w:pPr>
            <w:r>
              <w:t>N/A</w:t>
            </w:r>
          </w:p>
        </w:tc>
      </w:tr>
    </w:tbl>
    <w:p w14:paraId="633FC1F9" w14:textId="4D89D5B3" w:rsidR="00007F6C" w:rsidRDefault="00007F6C" w:rsidP="00E74CD4">
      <w:pPr>
        <w:spacing w:before="240" w:after="0"/>
        <w:jc w:val="both"/>
      </w:pPr>
      <w:r>
        <w:t>The use of the inert N</w:t>
      </w:r>
      <w:r>
        <w:rPr>
          <w:vertAlign w:val="subscript"/>
        </w:rPr>
        <w:t>2</w:t>
      </w:r>
      <w:r>
        <w:t xml:space="preserve"> atmosphere has been shown to reduce the size of the infiltrated nickel oxide crystallites by 30 % compared to the air atmosphere</w:t>
      </w:r>
      <w:r w:rsidR="00E74CD4">
        <w:t xml:space="preserve"> (</w:t>
      </w:r>
      <w:r w:rsidR="00E74CD4">
        <w:fldChar w:fldCharType="begin"/>
      </w:r>
      <w:r w:rsidR="00E74CD4">
        <w:instrText xml:space="preserve"> REF _Ref42505913 \h </w:instrText>
      </w:r>
      <w:r w:rsidR="00E74CD4">
        <w:fldChar w:fldCharType="separate"/>
      </w:r>
      <w:r w:rsidR="00E74CD4">
        <w:t>Table 4.</w:t>
      </w:r>
      <w:r w:rsidR="00E74CD4">
        <w:rPr>
          <w:noProof/>
        </w:rPr>
        <w:t>3</w:t>
      </w:r>
      <w:r w:rsidR="00E74CD4">
        <w:fldChar w:fldCharType="end"/>
      </w:r>
      <w:r w:rsidR="00E74CD4">
        <w:t>)</w:t>
      </w:r>
      <w:r>
        <w:t>. This reduction was present in all the crystallite length calculations. Due to experimental procedure having identical drying, calcination temperatures and duration this indicates that the drying atmosphere is the sole parameter that controls the crystallite length in infiltrated Ni-YSZ cells. After reduction, the size difference between the two datasets became 22 %. The reduction decreased the crystallite length of the nickel by 15-20 %.</w:t>
      </w:r>
    </w:p>
    <w:p w14:paraId="714344CA" w14:textId="17848FD6" w:rsidR="00007F6C" w:rsidRDefault="00007F6C" w:rsidP="00700065">
      <w:pPr>
        <w:jc w:val="both"/>
      </w:pPr>
      <w:r>
        <w:t>A 33</w:t>
      </w:r>
      <w:r w:rsidR="001660B4">
        <w:t xml:space="preserve"> </w:t>
      </w:r>
      <w:r>
        <w:t>% reduction in the nickel crystallite length was also recorded for the Ni-GDC samples. This indicates that the size reduction mechanism induced by drying is not scaffold dependent.</w:t>
      </w:r>
      <w:r w:rsidR="00E74CD4">
        <w:t xml:space="preserve"> </w:t>
      </w:r>
      <w:r>
        <w:t xml:space="preserve">The nickel nanoparticle in this case does not equate solely with the crystallite length as a particle can consist of a group of crystallites. However, the monitoring the crystallite length can help monitor what is microstructural changes in the nickel phase as it evolves over time. </w:t>
      </w:r>
    </w:p>
    <w:p w14:paraId="3CB2E940" w14:textId="036A0B20" w:rsidR="00007F6C" w:rsidRDefault="00007F6C" w:rsidP="00007F6C">
      <w:pPr>
        <w:jc w:val="both"/>
      </w:pPr>
      <w:r>
        <w:lastRenderedPageBreak/>
        <w:t xml:space="preserve">The reduction of the infiltrated </w:t>
      </w:r>
      <w:proofErr w:type="spellStart"/>
      <w:r>
        <w:t>NiO</w:t>
      </w:r>
      <w:proofErr w:type="spellEnd"/>
      <w:r>
        <w:t xml:space="preserve"> crystallites into metallic Ni nanoparticles occurs during the temperature ramp of the SOFC. This initiates an increase in the crystallite length of the catalyst as monitored by the Debye-Scherrer equation. The nickel length is detailed in </w:t>
      </w:r>
      <w:r>
        <w:rPr>
          <w:highlight w:val="yellow"/>
        </w:rPr>
        <w:fldChar w:fldCharType="begin"/>
      </w:r>
      <w:r>
        <w:instrText xml:space="preserve"> REF _Ref30171183 \h </w:instrText>
      </w:r>
      <w:r>
        <w:rPr>
          <w:highlight w:val="yellow"/>
        </w:rPr>
        <w:instrText xml:space="preserve"> \* MERGEFORMAT </w:instrText>
      </w:r>
      <w:r>
        <w:rPr>
          <w:highlight w:val="yellow"/>
        </w:rPr>
      </w:r>
      <w:r>
        <w:rPr>
          <w:highlight w:val="yellow"/>
        </w:rPr>
        <w:fldChar w:fldCharType="separate"/>
      </w:r>
      <w:r w:rsidR="00DF77DB">
        <w:t xml:space="preserve">Figure </w:t>
      </w:r>
      <w:r w:rsidR="00DF77DB">
        <w:rPr>
          <w:noProof/>
        </w:rPr>
        <w:t>4.88</w:t>
      </w:r>
      <w:r>
        <w:rPr>
          <w:highlight w:val="yellow"/>
        </w:rPr>
        <w:fldChar w:fldCharType="end"/>
      </w:r>
      <w:r>
        <w:t>.</w:t>
      </w:r>
    </w:p>
    <w:p w14:paraId="5D94F55A" w14:textId="77777777" w:rsidR="00007F6C" w:rsidRPr="007D62DE" w:rsidRDefault="00007F6C" w:rsidP="003A288A">
      <w:pPr>
        <w:pStyle w:val="Heading2"/>
      </w:pPr>
      <w:bookmarkStart w:id="334" w:name="_Ref50452329"/>
      <w:bookmarkStart w:id="335" w:name="_Toc69129415"/>
      <w:r>
        <w:t>4.3.4</w:t>
      </w:r>
      <w:r>
        <w:tab/>
        <w:t>Microstructural</w:t>
      </w:r>
      <w:bookmarkEnd w:id="334"/>
      <w:r>
        <w:t xml:space="preserve"> Evaluation</w:t>
      </w:r>
      <w:bookmarkEnd w:id="335"/>
    </w:p>
    <w:p w14:paraId="36956938" w14:textId="77777777" w:rsidR="00007F6C" w:rsidRDefault="00007F6C" w:rsidP="003A288A">
      <w:pPr>
        <w:pStyle w:val="Heading3"/>
      </w:pPr>
      <w:bookmarkStart w:id="336" w:name="_Toc69129416"/>
      <w:r w:rsidRPr="007D62DE">
        <w:t>Microstructural evaluation using scanning electron microscopy (Surface, cross-sectional)</w:t>
      </w:r>
      <w:bookmarkEnd w:id="336"/>
    </w:p>
    <w:p w14:paraId="1CF255EC" w14:textId="77777777" w:rsidR="00007F6C" w:rsidRDefault="00007F6C" w:rsidP="003A288A">
      <w:pPr>
        <w:jc w:val="both"/>
      </w:pPr>
      <w:r>
        <w:t>Micrographs were taken of the as-reduced Ni-YSZ samples and additionally the 50 h aged samples for both surface and cross-sectional work. These were taken to show qualitatively that the drying atmosphere does impact the microstructure of the infiltrated fuel electrode.</w:t>
      </w:r>
    </w:p>
    <w:p w14:paraId="17D70AA4" w14:textId="77777777" w:rsidR="00007F6C" w:rsidRDefault="00007F6C" w:rsidP="003A288A">
      <w:pPr>
        <w:jc w:val="both"/>
      </w:pPr>
      <w:r>
        <w:t>Additionally, micrographs were taken of the dried nickel nitrate solution on a YSZ substrate and a porous YSZ scaffold for both drying conditions.</w:t>
      </w:r>
    </w:p>
    <w:p w14:paraId="2FBFE921" w14:textId="77777777" w:rsidR="00007F6C" w:rsidRDefault="00007F6C" w:rsidP="003A288A">
      <w:pPr>
        <w:pStyle w:val="Heading4"/>
      </w:pPr>
      <w:r>
        <w:t>Surface</w:t>
      </w:r>
    </w:p>
    <w:p w14:paraId="705F6FA0" w14:textId="77777777" w:rsidR="00007F6C" w:rsidRPr="00FC0DE8" w:rsidRDefault="00007F6C" w:rsidP="003A288A">
      <w:pPr>
        <w:jc w:val="both"/>
      </w:pPr>
      <w:r>
        <w:t xml:space="preserve">The nickel nitrate solution dried on the YSZ electrolyte dried into 25 </w:t>
      </w:r>
      <w:r>
        <w:rPr>
          <w:rFonts w:cstheme="minorHAnsi"/>
        </w:rPr>
        <w:t>µ</w:t>
      </w:r>
      <w:r>
        <w:t xml:space="preserve">m wide overlapping plates on the surface of the substrate. Despite the flat substrate these plates have formed stacking layered structures seen in </w:t>
      </w:r>
      <w:r>
        <w:fldChar w:fldCharType="begin"/>
      </w:r>
      <w:r>
        <w:instrText xml:space="preserve"> REF _Ref50369517 \h  \* MERGEFORMAT </w:instrText>
      </w:r>
      <w:r>
        <w:fldChar w:fldCharType="separate"/>
      </w:r>
      <w:r>
        <w:t>Figure 4.9</w:t>
      </w:r>
      <w:r>
        <w:fldChar w:fldCharType="end"/>
      </w:r>
      <w:r>
        <w:t>.</w:t>
      </w:r>
    </w:p>
    <w:p w14:paraId="184A48C2" w14:textId="3477BF05" w:rsidR="00007F6C" w:rsidRDefault="002C10F7" w:rsidP="003A288A">
      <w:pPr>
        <w:keepNext/>
        <w:jc w:val="center"/>
      </w:pPr>
      <w:r>
        <w:rPr>
          <w:noProof/>
        </w:rPr>
        <w:drawing>
          <wp:inline distT="0" distB="0" distL="0" distR="0" wp14:anchorId="70E80352" wp14:editId="739D4859">
            <wp:extent cx="4320000" cy="4612435"/>
            <wp:effectExtent l="0" t="0" r="4445" b="0"/>
            <wp:docPr id="463" name="Picture 46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descr="Text&#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4320000" cy="4612435"/>
                    </a:xfrm>
                    <a:prstGeom prst="rect">
                      <a:avLst/>
                    </a:prstGeom>
                  </pic:spPr>
                </pic:pic>
              </a:graphicData>
            </a:graphic>
          </wp:inline>
        </w:drawing>
      </w:r>
    </w:p>
    <w:p w14:paraId="74D60939" w14:textId="07E9C210" w:rsidR="00007F6C" w:rsidRDefault="00007F6C" w:rsidP="003A288A">
      <w:pPr>
        <w:pStyle w:val="Caption"/>
      </w:pPr>
      <w:bookmarkStart w:id="337" w:name="_Ref50369517"/>
      <w:bookmarkStart w:id="338" w:name="_Toc69114983"/>
      <w:r>
        <w:t>Figure 4.</w:t>
      </w:r>
      <w:r w:rsidR="00B51F53">
        <w:fldChar w:fldCharType="begin"/>
      </w:r>
      <w:r w:rsidR="00B51F53">
        <w:instrText xml:space="preserve"> SEQ Figure \* ARABIC </w:instrText>
      </w:r>
      <w:r w:rsidR="00B51F53">
        <w:fldChar w:fldCharType="separate"/>
      </w:r>
      <w:r w:rsidR="00DF77DB">
        <w:rPr>
          <w:noProof/>
        </w:rPr>
        <w:t>9</w:t>
      </w:r>
      <w:r w:rsidR="00B51F53">
        <w:rPr>
          <w:noProof/>
        </w:rPr>
        <w:fldChar w:fldCharType="end"/>
      </w:r>
      <w:bookmarkEnd w:id="337"/>
      <w:r>
        <w:t xml:space="preserve">: Scanning electron micrographs of the </w:t>
      </w:r>
      <w:r w:rsidR="002C10F7">
        <w:t xml:space="preserve">dried </w:t>
      </w:r>
      <w:r>
        <w:t>nickel nitrate solution dried on</w:t>
      </w:r>
      <w:r w:rsidR="002C10F7">
        <w:t>: a.</w:t>
      </w:r>
      <w:r>
        <w:t xml:space="preserve"> YSZ electrolyte pellet</w:t>
      </w:r>
      <w:r w:rsidR="002C10F7">
        <w:t xml:space="preserve"> 500x (b. 5000x magnification), c. YSZ porous scaffold under an air atmosphere 500x (d. 5000x magnification), e. YSZ porous scaffold under an N</w:t>
      </w:r>
      <w:r w:rsidR="002C10F7">
        <w:rPr>
          <w:vertAlign w:val="subscript"/>
        </w:rPr>
        <w:t>2</w:t>
      </w:r>
      <w:r w:rsidR="002C10F7">
        <w:t xml:space="preserve"> atmosphere and (f. 5000x magnification)</w:t>
      </w:r>
      <w:bookmarkEnd w:id="338"/>
    </w:p>
    <w:p w14:paraId="522CCC3D" w14:textId="24E49725" w:rsidR="00007F6C" w:rsidRPr="00FC0DE8" w:rsidRDefault="00007F6C" w:rsidP="003A288A">
      <w:pPr>
        <w:jc w:val="both"/>
      </w:pPr>
      <w:r>
        <w:t xml:space="preserve">After the wet impregnation of the infiltrate solution into the porous YSZ scaffold, the drying characteristics of the nickel nitrate differed under the two-drying atmospheres. Stacked nitrate plates are visible in </w:t>
      </w:r>
      <w:r w:rsidR="00DF77DB">
        <w:fldChar w:fldCharType="begin"/>
      </w:r>
      <w:r w:rsidR="00DF77DB">
        <w:instrText xml:space="preserve"> REF _Ref50369517 \h  \* MERGEFORMAT </w:instrText>
      </w:r>
      <w:r w:rsidR="00DF77DB">
        <w:fldChar w:fldCharType="separate"/>
      </w:r>
      <w:r w:rsidR="00DF77DB">
        <w:t>Figure 4.9</w:t>
      </w:r>
      <w:r w:rsidR="00DF77DB">
        <w:fldChar w:fldCharType="end"/>
      </w:r>
      <w:r w:rsidR="00DF77DB">
        <w:t>b and d</w:t>
      </w:r>
      <w:r>
        <w:t xml:space="preserve"> particles have formed inside the deposited solid.</w:t>
      </w:r>
    </w:p>
    <w:p w14:paraId="04947794" w14:textId="77777777" w:rsidR="00007F6C" w:rsidRPr="00AD7BC9" w:rsidRDefault="00007F6C" w:rsidP="00443A24">
      <w:pPr>
        <w:pStyle w:val="Heading5"/>
      </w:pPr>
      <w:r w:rsidRPr="00AD7BC9">
        <w:lastRenderedPageBreak/>
        <w:t xml:space="preserve">As reduced </w:t>
      </w:r>
      <w:proofErr w:type="gramStart"/>
      <w:r w:rsidRPr="00AD7BC9">
        <w:t>samples</w:t>
      </w:r>
      <w:proofErr w:type="gramEnd"/>
    </w:p>
    <w:p w14:paraId="4EBC1054" w14:textId="77777777" w:rsidR="00007F6C" w:rsidRDefault="00007F6C" w:rsidP="003A288A">
      <w:pPr>
        <w:jc w:val="both"/>
      </w:pPr>
      <w:r>
        <w:t>The infiltrated nickel catalyst particles were imaged after a 1 h reduction at 350</w:t>
      </w:r>
      <w:r>
        <w:rPr>
          <w:rFonts w:cstheme="minorHAnsi"/>
        </w:rPr>
        <w:t>⁰</w:t>
      </w:r>
      <w:r>
        <w:t>C in 10% H</w:t>
      </w:r>
      <w:r>
        <w:rPr>
          <w:vertAlign w:val="subscript"/>
        </w:rPr>
        <w:t>2</w:t>
      </w:r>
      <w:r>
        <w:t>/N</w:t>
      </w:r>
      <w:r>
        <w:rPr>
          <w:vertAlign w:val="subscript"/>
        </w:rPr>
        <w:t>2</w:t>
      </w:r>
      <w:r>
        <w:t xml:space="preserve"> to emulate the in-situ reduction performed during SOFC operation. The surface of the wet impregnated electrodes consisted of a porous YSZ ceramic backbone with spherical nickel particles. A 5 </w:t>
      </w:r>
      <w:r>
        <w:rPr>
          <w:rFonts w:cstheme="minorHAnsi"/>
        </w:rPr>
        <w:t>µ</w:t>
      </w:r>
      <w:r>
        <w:t xml:space="preserve">m * 5 </w:t>
      </w:r>
      <w:r>
        <w:rPr>
          <w:rFonts w:cstheme="minorHAnsi"/>
        </w:rPr>
        <w:t>µ</w:t>
      </w:r>
      <w:r>
        <w:t xml:space="preserve">m region was selected in both micrographs. </w:t>
      </w:r>
      <w:r w:rsidRPr="00134B2C">
        <w:t xml:space="preserve">The nickel particle length was calculated using </w:t>
      </w:r>
      <w:r>
        <w:t xml:space="preserve">FIJI </w:t>
      </w:r>
      <w:r w:rsidRPr="00134B2C">
        <w:t xml:space="preserve">measurements on </w:t>
      </w:r>
      <w:r w:rsidRPr="00B829E2">
        <w:t xml:space="preserve">50 </w:t>
      </w:r>
      <w:r w:rsidRPr="00134B2C">
        <w:t>particles</w:t>
      </w:r>
      <w:r>
        <w:t xml:space="preserve"> in these sections a</w:t>
      </w:r>
      <w:r w:rsidRPr="00134B2C">
        <w:t xml:space="preserve"> table detailing the average particle length can be found below</w:t>
      </w:r>
      <w:r>
        <w:t xml:space="preserve"> (</w:t>
      </w:r>
      <w:r>
        <w:fldChar w:fldCharType="begin"/>
      </w:r>
      <w:r>
        <w:instrText xml:space="preserve"> REF _Ref47964010 \h  \* MERGEFORMAT </w:instrText>
      </w:r>
      <w:r>
        <w:fldChar w:fldCharType="separate"/>
      </w:r>
      <w:r>
        <w:t>Table 4.4</w:t>
      </w:r>
      <w:r>
        <w:fldChar w:fldCharType="end"/>
      </w:r>
      <w:r>
        <w:t>)</w:t>
      </w:r>
      <w:r w:rsidRPr="00134B2C">
        <w:t>.</w:t>
      </w:r>
      <w:r>
        <w:t xml:space="preserve"> </w:t>
      </w:r>
      <w:r w:rsidRPr="006516F8">
        <w:rPr>
          <w:color w:val="FF0000"/>
        </w:rPr>
        <w:t xml:space="preserve"> </w:t>
      </w:r>
    </w:p>
    <w:p w14:paraId="1FCB3CC3" w14:textId="43A7E499" w:rsidR="00007F6C" w:rsidRDefault="00007F6C" w:rsidP="003A288A">
      <w:pPr>
        <w:jc w:val="both"/>
      </w:pPr>
      <w:r>
        <w:t>The surface of the AD sample (</w:t>
      </w:r>
      <w:r>
        <w:fldChar w:fldCharType="begin"/>
      </w:r>
      <w:r>
        <w:instrText xml:space="preserve"> REF _Ref38897818 \h  \* MERGEFORMAT </w:instrText>
      </w:r>
      <w:r>
        <w:fldChar w:fldCharType="separate"/>
      </w:r>
      <w:r w:rsidR="0050096F">
        <w:t>Figure 4.10</w:t>
      </w:r>
      <w:r>
        <w:fldChar w:fldCharType="end"/>
      </w:r>
      <w:r>
        <w:t xml:space="preserve">) showed that the nickel particles were spherical in nature after the reduction. These particles ranged from 34-185 nm in length. </w:t>
      </w:r>
    </w:p>
    <w:p w14:paraId="52E6BAF0" w14:textId="77777777" w:rsidR="00007F6C" w:rsidRDefault="00007F6C" w:rsidP="003A288A">
      <w:pPr>
        <w:keepNext/>
        <w:jc w:val="center"/>
      </w:pPr>
      <w:r w:rsidRPr="009A2F72">
        <w:rPr>
          <w:noProof/>
          <w:color w:val="FFC000"/>
        </w:rPr>
        <w:drawing>
          <wp:inline distT="0" distB="0" distL="0" distR="0" wp14:anchorId="6CD52B97" wp14:editId="48F62BAD">
            <wp:extent cx="2880000" cy="2652187"/>
            <wp:effectExtent l="0" t="0" r="0" b="0"/>
            <wp:docPr id="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880000" cy="2652187"/>
                    </a:xfrm>
                    <a:prstGeom prst="rect">
                      <a:avLst/>
                    </a:prstGeom>
                  </pic:spPr>
                </pic:pic>
              </a:graphicData>
            </a:graphic>
          </wp:inline>
        </w:drawing>
      </w:r>
    </w:p>
    <w:p w14:paraId="789E6891" w14:textId="18E0B7DB" w:rsidR="00007F6C" w:rsidRDefault="00007F6C" w:rsidP="003A288A">
      <w:pPr>
        <w:pStyle w:val="Caption"/>
        <w:rPr>
          <w:color w:val="FFC000"/>
        </w:rPr>
      </w:pPr>
      <w:bookmarkStart w:id="339" w:name="_Ref38897818"/>
      <w:bookmarkStart w:id="340" w:name="_Toc69114984"/>
      <w:r>
        <w:t>Figure 4.</w:t>
      </w:r>
      <w:r w:rsidR="00B51F53">
        <w:fldChar w:fldCharType="begin"/>
      </w:r>
      <w:r w:rsidR="00B51F53">
        <w:instrText xml:space="preserve"> SEQ Figure \* ARABIC </w:instrText>
      </w:r>
      <w:r w:rsidR="00B51F53">
        <w:fldChar w:fldCharType="separate"/>
      </w:r>
      <w:r w:rsidR="0050096F">
        <w:rPr>
          <w:noProof/>
        </w:rPr>
        <w:t>10</w:t>
      </w:r>
      <w:r w:rsidR="00B51F53">
        <w:rPr>
          <w:noProof/>
        </w:rPr>
        <w:fldChar w:fldCharType="end"/>
      </w:r>
      <w:bookmarkEnd w:id="339"/>
      <w:r>
        <w:t>: Scanning electron microscopy of the surface if the air-dried Ni-YSZ electrode after a reduction at 350</w:t>
      </w:r>
      <w:r w:rsidR="0050096F">
        <w:t xml:space="preserve"> </w:t>
      </w:r>
      <w:r>
        <w:rPr>
          <w:rFonts w:cstheme="minorHAnsi"/>
        </w:rPr>
        <w:t>°</w:t>
      </w:r>
      <w:r>
        <w:t>C</w:t>
      </w:r>
      <w:bookmarkEnd w:id="340"/>
    </w:p>
    <w:p w14:paraId="701E8BA4" w14:textId="307C060F" w:rsidR="00007F6C" w:rsidRPr="00724529" w:rsidRDefault="00007F6C" w:rsidP="003A288A">
      <w:pPr>
        <w:jc w:val="both"/>
      </w:pPr>
      <w:r>
        <w:t>In contrast, the surface of the ND dried electrode had less prominent nickel features. This was a result of the N</w:t>
      </w:r>
      <w:r>
        <w:rPr>
          <w:vertAlign w:val="subscript"/>
        </w:rPr>
        <w:t>2</w:t>
      </w:r>
      <w:r>
        <w:t xml:space="preserve"> drying step having produced smaller more well dispersed nickel particles (</w:t>
      </w:r>
      <w:r>
        <w:fldChar w:fldCharType="begin"/>
      </w:r>
      <w:r>
        <w:instrText xml:space="preserve"> REF _Ref38897825 \h  \* MERGEFORMAT </w:instrText>
      </w:r>
      <w:r>
        <w:fldChar w:fldCharType="separate"/>
      </w:r>
      <w:r w:rsidR="0050096F">
        <w:t>Figure 4.11</w:t>
      </w:r>
      <w:r>
        <w:fldChar w:fldCharType="end"/>
      </w:r>
      <w:r>
        <w:t>). This was also evident from the Debye-Scherrer and dispersion calculations in Section 4.3.2. The nickel in these electrodes ranged from 18-111 nm in length (</w:t>
      </w:r>
      <w:r>
        <w:fldChar w:fldCharType="begin"/>
      </w:r>
      <w:r>
        <w:instrText xml:space="preserve"> REF _Ref47964010 \h  \* MERGEFORMAT </w:instrText>
      </w:r>
      <w:r>
        <w:fldChar w:fldCharType="separate"/>
      </w:r>
      <w:r>
        <w:t>Table 4.4</w:t>
      </w:r>
      <w:r>
        <w:fldChar w:fldCharType="end"/>
      </w:r>
      <w:r>
        <w:t>).</w:t>
      </w:r>
    </w:p>
    <w:p w14:paraId="5EE01447" w14:textId="77777777" w:rsidR="00007F6C" w:rsidRDefault="00007F6C" w:rsidP="003A288A">
      <w:pPr>
        <w:keepNext/>
        <w:jc w:val="center"/>
      </w:pPr>
      <w:r>
        <w:rPr>
          <w:noProof/>
          <w:color w:val="FFC000"/>
        </w:rPr>
        <w:drawing>
          <wp:inline distT="0" distB="0" distL="0" distR="0" wp14:anchorId="26F67460" wp14:editId="57DB4943">
            <wp:extent cx="2880000" cy="264850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80000" cy="2648509"/>
                    </a:xfrm>
                    <a:prstGeom prst="rect">
                      <a:avLst/>
                    </a:prstGeom>
                    <a:noFill/>
                  </pic:spPr>
                </pic:pic>
              </a:graphicData>
            </a:graphic>
          </wp:inline>
        </w:drawing>
      </w:r>
    </w:p>
    <w:p w14:paraId="5576D1D1" w14:textId="3594D079" w:rsidR="00007F6C" w:rsidRPr="00897D79" w:rsidRDefault="00007F6C" w:rsidP="003A288A">
      <w:pPr>
        <w:pStyle w:val="Caption"/>
      </w:pPr>
      <w:bookmarkStart w:id="341" w:name="_Ref38897825"/>
      <w:bookmarkStart w:id="342" w:name="_Toc69114985"/>
      <w:r>
        <w:t>Figure 4.</w:t>
      </w:r>
      <w:r w:rsidR="00B51F53">
        <w:fldChar w:fldCharType="begin"/>
      </w:r>
      <w:r w:rsidR="00B51F53">
        <w:instrText xml:space="preserve"> SEQ Figure \* ARABIC </w:instrText>
      </w:r>
      <w:r w:rsidR="00B51F53">
        <w:fldChar w:fldCharType="separate"/>
      </w:r>
      <w:r w:rsidR="0050096F">
        <w:rPr>
          <w:noProof/>
        </w:rPr>
        <w:t>11</w:t>
      </w:r>
      <w:r w:rsidR="00B51F53">
        <w:rPr>
          <w:noProof/>
        </w:rPr>
        <w:fldChar w:fldCharType="end"/>
      </w:r>
      <w:bookmarkEnd w:id="341"/>
      <w:r>
        <w:t>: Scanning electron microscopy of the surface if the nitrogen-dried Ni-YSZ electrode after a reduction at 350</w:t>
      </w:r>
      <w:r w:rsidR="0050096F">
        <w:t xml:space="preserve"> </w:t>
      </w:r>
      <w:r>
        <w:rPr>
          <w:rFonts w:cstheme="minorHAnsi"/>
        </w:rPr>
        <w:t>°</w:t>
      </w:r>
      <w:r>
        <w:t>C</w:t>
      </w:r>
      <w:bookmarkEnd w:id="342"/>
    </w:p>
    <w:p w14:paraId="4A5C1997" w14:textId="4C1F8D1F" w:rsidR="00007F6C" w:rsidRPr="00134B2C" w:rsidRDefault="00007F6C" w:rsidP="00443A24">
      <w:pPr>
        <w:pStyle w:val="Caption"/>
        <w:keepNext/>
        <w:spacing w:after="240"/>
      </w:pPr>
      <w:bookmarkStart w:id="343" w:name="_Ref47964010"/>
      <w:r>
        <w:lastRenderedPageBreak/>
        <w:t>Table 4.</w:t>
      </w:r>
      <w:r w:rsidR="00B51F53">
        <w:fldChar w:fldCharType="begin"/>
      </w:r>
      <w:r w:rsidR="00B51F53">
        <w:instrText xml:space="preserve"> SEQ Table \* ARABIC </w:instrText>
      </w:r>
      <w:r w:rsidR="00B51F53">
        <w:fldChar w:fldCharType="separate"/>
      </w:r>
      <w:r w:rsidR="0022061C">
        <w:rPr>
          <w:noProof/>
        </w:rPr>
        <w:t>4</w:t>
      </w:r>
      <w:r w:rsidR="00B51F53">
        <w:rPr>
          <w:noProof/>
        </w:rPr>
        <w:fldChar w:fldCharType="end"/>
      </w:r>
      <w:bookmarkEnd w:id="343"/>
      <w:r>
        <w:t xml:space="preserve">: Table detailing the average nickel particle length for wet impregnated Ni-YSZ electrodes dried in either Air or </w:t>
      </w:r>
      <w:proofErr w:type="gramStart"/>
      <w:r>
        <w:t>N</w:t>
      </w:r>
      <w:r>
        <w:rPr>
          <w:vertAlign w:val="subscript"/>
        </w:rPr>
        <w:t>2</w:t>
      </w:r>
      <w:proofErr w:type="gramEnd"/>
    </w:p>
    <w:tbl>
      <w:tblPr>
        <w:tblStyle w:val="TableGrid"/>
        <w:tblW w:w="0" w:type="auto"/>
        <w:jc w:val="center"/>
        <w:tblLook w:val="04A0" w:firstRow="1" w:lastRow="0" w:firstColumn="1" w:lastColumn="0" w:noHBand="0" w:noVBand="1"/>
      </w:tblPr>
      <w:tblGrid>
        <w:gridCol w:w="3005"/>
        <w:gridCol w:w="3005"/>
      </w:tblGrid>
      <w:tr w:rsidR="00007F6C" w14:paraId="7B2649A8" w14:textId="77777777" w:rsidTr="005E2F1E">
        <w:trPr>
          <w:jc w:val="center"/>
        </w:trPr>
        <w:tc>
          <w:tcPr>
            <w:tcW w:w="3005" w:type="dxa"/>
          </w:tcPr>
          <w:p w14:paraId="4A4E8774" w14:textId="77777777" w:rsidR="00007F6C" w:rsidRPr="00134B2C" w:rsidRDefault="00007F6C" w:rsidP="003A288A">
            <w:pPr>
              <w:rPr>
                <w:b/>
                <w:bCs/>
              </w:rPr>
            </w:pPr>
            <w:r w:rsidRPr="00134B2C">
              <w:rPr>
                <w:b/>
                <w:bCs/>
              </w:rPr>
              <w:t>Sample</w:t>
            </w:r>
          </w:p>
        </w:tc>
        <w:tc>
          <w:tcPr>
            <w:tcW w:w="3005" w:type="dxa"/>
          </w:tcPr>
          <w:p w14:paraId="41AF3F90" w14:textId="77777777" w:rsidR="00007F6C" w:rsidRPr="00134B2C" w:rsidRDefault="00007F6C" w:rsidP="003A288A">
            <w:pPr>
              <w:rPr>
                <w:b/>
                <w:bCs/>
              </w:rPr>
            </w:pPr>
            <w:r w:rsidRPr="00134B2C">
              <w:rPr>
                <w:b/>
                <w:bCs/>
              </w:rPr>
              <w:t>Average particle length (nm)</w:t>
            </w:r>
          </w:p>
        </w:tc>
      </w:tr>
      <w:tr w:rsidR="00007F6C" w14:paraId="1AAEB4D4" w14:textId="77777777" w:rsidTr="005E2F1E">
        <w:trPr>
          <w:jc w:val="center"/>
        </w:trPr>
        <w:tc>
          <w:tcPr>
            <w:tcW w:w="3005" w:type="dxa"/>
          </w:tcPr>
          <w:p w14:paraId="06E4A3C7" w14:textId="77777777" w:rsidR="00007F6C" w:rsidRPr="00134B2C" w:rsidRDefault="00007F6C" w:rsidP="003A288A">
            <w:pPr>
              <w:jc w:val="center"/>
            </w:pPr>
            <w:r w:rsidRPr="00134B2C">
              <w:t>Ni-YSZ (Air Dried)</w:t>
            </w:r>
          </w:p>
        </w:tc>
        <w:tc>
          <w:tcPr>
            <w:tcW w:w="3005" w:type="dxa"/>
          </w:tcPr>
          <w:p w14:paraId="0C6BB295" w14:textId="77777777" w:rsidR="00007F6C" w:rsidRPr="00134B2C" w:rsidRDefault="00007F6C" w:rsidP="003A288A">
            <w:pPr>
              <w:jc w:val="right"/>
            </w:pPr>
            <w:r>
              <w:t xml:space="preserve">86.0 </w:t>
            </w:r>
            <w:r>
              <w:rPr>
                <w:rFonts w:cstheme="minorHAnsi"/>
              </w:rPr>
              <w:t xml:space="preserve">± </w:t>
            </w:r>
            <w:r>
              <w:t>11.6</w:t>
            </w:r>
          </w:p>
        </w:tc>
      </w:tr>
      <w:tr w:rsidR="00007F6C" w14:paraId="0AEA445A" w14:textId="77777777" w:rsidTr="005E2F1E">
        <w:trPr>
          <w:jc w:val="center"/>
        </w:trPr>
        <w:tc>
          <w:tcPr>
            <w:tcW w:w="3005" w:type="dxa"/>
          </w:tcPr>
          <w:p w14:paraId="3B5BF36C" w14:textId="77777777" w:rsidR="00007F6C" w:rsidRPr="00134B2C" w:rsidRDefault="00007F6C" w:rsidP="003A288A">
            <w:pPr>
              <w:jc w:val="center"/>
            </w:pPr>
            <w:r w:rsidRPr="00134B2C">
              <w:t>Ni-YSZ (N</w:t>
            </w:r>
            <w:r w:rsidRPr="00134B2C">
              <w:rPr>
                <w:vertAlign w:val="subscript"/>
              </w:rPr>
              <w:t xml:space="preserve">2 </w:t>
            </w:r>
            <w:r w:rsidRPr="00134B2C">
              <w:t>dried</w:t>
            </w:r>
            <w:r>
              <w:t>)</w:t>
            </w:r>
          </w:p>
        </w:tc>
        <w:tc>
          <w:tcPr>
            <w:tcW w:w="3005" w:type="dxa"/>
          </w:tcPr>
          <w:p w14:paraId="519637DF" w14:textId="77777777" w:rsidR="00007F6C" w:rsidRPr="00134B2C" w:rsidRDefault="00007F6C" w:rsidP="003A288A">
            <w:pPr>
              <w:jc w:val="right"/>
            </w:pPr>
            <w:r>
              <w:t>47.6 ± 21.0</w:t>
            </w:r>
          </w:p>
        </w:tc>
      </w:tr>
    </w:tbl>
    <w:p w14:paraId="170B727B" w14:textId="77777777" w:rsidR="00007F6C" w:rsidRPr="00AD7BC9" w:rsidRDefault="00007F6C" w:rsidP="00443A24">
      <w:pPr>
        <w:pStyle w:val="Heading5"/>
      </w:pPr>
      <w:r w:rsidRPr="00AD7BC9">
        <w:t>Aged Ni-YSZ samples</w:t>
      </w:r>
    </w:p>
    <w:p w14:paraId="2D339707" w14:textId="77777777" w:rsidR="00007F6C" w:rsidRDefault="00007F6C" w:rsidP="003A288A">
      <w:pPr>
        <w:jc w:val="both"/>
        <w:rPr>
          <w:color w:val="000000" w:themeColor="text1"/>
        </w:rPr>
      </w:pPr>
      <w:r>
        <w:rPr>
          <w:color w:val="000000" w:themeColor="text1"/>
        </w:rPr>
        <w:t xml:space="preserve">The surface of the wet impregnated electrode samples was then imaged after a </w:t>
      </w:r>
      <w:proofErr w:type="gramStart"/>
      <w:r>
        <w:rPr>
          <w:color w:val="000000" w:themeColor="text1"/>
        </w:rPr>
        <w:t>50 h</w:t>
      </w:r>
      <w:proofErr w:type="gramEnd"/>
      <w:r>
        <w:rPr>
          <w:color w:val="000000" w:themeColor="text1"/>
        </w:rPr>
        <w:t xml:space="preserve"> ageing routine. The ageing conditions were identical to the that used in the EIS work (800</w:t>
      </w:r>
      <w:r>
        <w:rPr>
          <w:rFonts w:cstheme="minorHAnsi"/>
          <w:color w:val="000000" w:themeColor="text1"/>
        </w:rPr>
        <w:t>⁰</w:t>
      </w:r>
      <w:r>
        <w:rPr>
          <w:color w:val="000000" w:themeColor="text1"/>
        </w:rPr>
        <w:t>C, humidified 10 % H</w:t>
      </w:r>
      <w:r>
        <w:rPr>
          <w:color w:val="000000" w:themeColor="text1"/>
          <w:vertAlign w:val="subscript"/>
        </w:rPr>
        <w:t>2</w:t>
      </w:r>
      <w:r>
        <w:rPr>
          <w:color w:val="000000" w:themeColor="text1"/>
        </w:rPr>
        <w:t>/N</w:t>
      </w:r>
      <w:r>
        <w:rPr>
          <w:color w:val="000000" w:themeColor="text1"/>
          <w:vertAlign w:val="subscript"/>
        </w:rPr>
        <w:t>2</w:t>
      </w:r>
      <w:r>
        <w:rPr>
          <w:color w:val="000000" w:themeColor="text1"/>
        </w:rPr>
        <w:t xml:space="preserve"> atmosphere) for comparison purposes.</w:t>
      </w:r>
    </w:p>
    <w:p w14:paraId="2F359FD1" w14:textId="31F23A68" w:rsidR="00007F6C" w:rsidRDefault="00007F6C" w:rsidP="003A288A">
      <w:pPr>
        <w:jc w:val="both"/>
        <w:rPr>
          <w:color w:val="000000" w:themeColor="text1"/>
        </w:rPr>
      </w:pPr>
      <w:r>
        <w:rPr>
          <w:color w:val="000000" w:themeColor="text1"/>
        </w:rPr>
        <w:t>The decoration of the nickel catalyst lining the pores are evident in both sets of samples. This indicates that the wet impregnated catalyst network is still active. The circled particles illustrate the spherical morphology of the catalyst during ageing in H</w:t>
      </w:r>
      <w:r>
        <w:rPr>
          <w:color w:val="000000" w:themeColor="text1"/>
          <w:vertAlign w:val="subscript"/>
        </w:rPr>
        <w:t>2</w:t>
      </w:r>
      <w:r w:rsidR="0050096F">
        <w:rPr>
          <w:color w:val="000000" w:themeColor="text1"/>
          <w:vertAlign w:val="subscript"/>
        </w:rPr>
        <w:t xml:space="preserve"> </w:t>
      </w:r>
      <w:r w:rsidR="0050096F">
        <w:rPr>
          <w:color w:val="000000" w:themeColor="text1"/>
        </w:rPr>
        <w:t>(</w:t>
      </w:r>
      <w:r w:rsidR="0050096F">
        <w:rPr>
          <w:color w:val="000000" w:themeColor="text1"/>
        </w:rPr>
        <w:fldChar w:fldCharType="begin"/>
      </w:r>
      <w:r w:rsidR="0050096F">
        <w:rPr>
          <w:color w:val="000000" w:themeColor="text1"/>
        </w:rPr>
        <w:instrText xml:space="preserve"> REF _Ref50905217 \h </w:instrText>
      </w:r>
      <w:r w:rsidR="0050096F">
        <w:rPr>
          <w:color w:val="000000" w:themeColor="text1"/>
        </w:rPr>
      </w:r>
      <w:r w:rsidR="0050096F">
        <w:rPr>
          <w:color w:val="000000" w:themeColor="text1"/>
        </w:rPr>
        <w:fldChar w:fldCharType="separate"/>
      </w:r>
      <w:r w:rsidR="0050096F">
        <w:t>Figure 4.</w:t>
      </w:r>
      <w:r w:rsidR="0050096F">
        <w:rPr>
          <w:noProof/>
        </w:rPr>
        <w:t>12</w:t>
      </w:r>
      <w:r w:rsidR="0050096F">
        <w:rPr>
          <w:color w:val="000000" w:themeColor="text1"/>
        </w:rPr>
        <w:fldChar w:fldCharType="end"/>
      </w:r>
      <w:r w:rsidR="0050096F">
        <w:rPr>
          <w:color w:val="000000" w:themeColor="text1"/>
        </w:rPr>
        <w:t xml:space="preserve"> and </w:t>
      </w:r>
      <w:r w:rsidR="0050096F">
        <w:rPr>
          <w:color w:val="000000" w:themeColor="text1"/>
        </w:rPr>
        <w:fldChar w:fldCharType="begin"/>
      </w:r>
      <w:r w:rsidR="0050096F">
        <w:rPr>
          <w:color w:val="000000" w:themeColor="text1"/>
        </w:rPr>
        <w:instrText xml:space="preserve"> REF _Ref50905218 \h </w:instrText>
      </w:r>
      <w:r w:rsidR="0050096F">
        <w:rPr>
          <w:color w:val="000000" w:themeColor="text1"/>
        </w:rPr>
      </w:r>
      <w:r w:rsidR="0050096F">
        <w:rPr>
          <w:color w:val="000000" w:themeColor="text1"/>
        </w:rPr>
        <w:fldChar w:fldCharType="separate"/>
      </w:r>
      <w:r w:rsidR="0050096F">
        <w:t>Figure 4.</w:t>
      </w:r>
      <w:r w:rsidR="0050096F">
        <w:rPr>
          <w:noProof/>
        </w:rPr>
        <w:t>13</w:t>
      </w:r>
      <w:r w:rsidR="0050096F">
        <w:rPr>
          <w:color w:val="000000" w:themeColor="text1"/>
        </w:rPr>
        <w:fldChar w:fldCharType="end"/>
      </w:r>
      <w:r w:rsidR="0050096F">
        <w:rPr>
          <w:color w:val="000000" w:themeColor="text1"/>
        </w:rPr>
        <w:t>)</w:t>
      </w:r>
      <w:r>
        <w:rPr>
          <w:color w:val="000000" w:themeColor="text1"/>
        </w:rPr>
        <w:t>.</w:t>
      </w:r>
    </w:p>
    <w:p w14:paraId="3740D836" w14:textId="77777777" w:rsidR="00007F6C" w:rsidRDefault="00007F6C" w:rsidP="003A288A">
      <w:pPr>
        <w:keepNext/>
        <w:jc w:val="center"/>
      </w:pPr>
      <w:r>
        <w:rPr>
          <w:noProof/>
          <w:color w:val="000000" w:themeColor="text1"/>
        </w:rPr>
        <w:drawing>
          <wp:inline distT="0" distB="0" distL="0" distR="0" wp14:anchorId="129666A2" wp14:editId="324C8004">
            <wp:extent cx="2700000" cy="2457931"/>
            <wp:effectExtent l="0" t="0" r="5715" b="0"/>
            <wp:docPr id="60" name="Picture 60" descr="A close up of a co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D 50h surface.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00000" cy="2457931"/>
                    </a:xfrm>
                    <a:prstGeom prst="rect">
                      <a:avLst/>
                    </a:prstGeom>
                  </pic:spPr>
                </pic:pic>
              </a:graphicData>
            </a:graphic>
          </wp:inline>
        </w:drawing>
      </w:r>
    </w:p>
    <w:p w14:paraId="4DB36DCD" w14:textId="260D1958" w:rsidR="00007F6C" w:rsidRDefault="00007F6C" w:rsidP="003A288A">
      <w:pPr>
        <w:pStyle w:val="Caption"/>
        <w:rPr>
          <w:color w:val="FFC000"/>
        </w:rPr>
      </w:pPr>
      <w:bookmarkStart w:id="344" w:name="_Ref50905217"/>
      <w:bookmarkStart w:id="345" w:name="_Toc69114986"/>
      <w:r>
        <w:t>Figure 4.</w:t>
      </w:r>
      <w:r w:rsidR="00B51F53">
        <w:fldChar w:fldCharType="begin"/>
      </w:r>
      <w:r w:rsidR="00B51F53">
        <w:instrText xml:space="preserve"> SEQ Figure \* ARABIC </w:instrText>
      </w:r>
      <w:r w:rsidR="00B51F53">
        <w:fldChar w:fldCharType="separate"/>
      </w:r>
      <w:r w:rsidR="0050096F">
        <w:rPr>
          <w:noProof/>
        </w:rPr>
        <w:t>12</w:t>
      </w:r>
      <w:r w:rsidR="00B51F53">
        <w:rPr>
          <w:noProof/>
        </w:rPr>
        <w:fldChar w:fldCharType="end"/>
      </w:r>
      <w:bookmarkEnd w:id="344"/>
      <w:r>
        <w:t xml:space="preserve">: Scanning electron microscopy of the surface if the air-dried Ni-YSZ electrode aged for 50h in </w:t>
      </w:r>
      <w:proofErr w:type="gramStart"/>
      <w:r>
        <w:t>a</w:t>
      </w:r>
      <w:proofErr w:type="gramEnd"/>
      <w:r>
        <w:t xml:space="preserve"> 800</w:t>
      </w:r>
      <w:r w:rsidR="0050096F">
        <w:t xml:space="preserve"> </w:t>
      </w:r>
      <w:r>
        <w:rPr>
          <w:rFonts w:cstheme="minorHAnsi"/>
        </w:rPr>
        <w:t>⁰</w:t>
      </w:r>
      <w:r>
        <w:t>C 10</w:t>
      </w:r>
      <w:r w:rsidR="0050096F">
        <w:t xml:space="preserve"> </w:t>
      </w:r>
      <w:r>
        <w:t>%H</w:t>
      </w:r>
      <w:r>
        <w:rPr>
          <w:vertAlign w:val="subscript"/>
        </w:rPr>
        <w:t>2</w:t>
      </w:r>
      <w:r>
        <w:t>/N</w:t>
      </w:r>
      <w:r>
        <w:rPr>
          <w:vertAlign w:val="subscript"/>
        </w:rPr>
        <w:t>2</w:t>
      </w:r>
      <w:r>
        <w:t xml:space="preserve"> atmosphere</w:t>
      </w:r>
      <w:bookmarkEnd w:id="345"/>
    </w:p>
    <w:p w14:paraId="778837AC" w14:textId="77777777" w:rsidR="00007F6C" w:rsidRDefault="00007F6C" w:rsidP="003A288A">
      <w:pPr>
        <w:keepNext/>
        <w:jc w:val="center"/>
      </w:pPr>
      <w:r>
        <w:rPr>
          <w:noProof/>
          <w:color w:val="000000" w:themeColor="text1"/>
        </w:rPr>
        <w:drawing>
          <wp:inline distT="0" distB="0" distL="0" distR="0" wp14:anchorId="338C07B6" wp14:editId="33737D71">
            <wp:extent cx="2700000" cy="2465055"/>
            <wp:effectExtent l="0" t="0" r="5715" b="0"/>
            <wp:docPr id="61" name="Picture 61" descr="A picture containing covered, animal, display, fil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D 50h surface.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00000" cy="2465055"/>
                    </a:xfrm>
                    <a:prstGeom prst="rect">
                      <a:avLst/>
                    </a:prstGeom>
                  </pic:spPr>
                </pic:pic>
              </a:graphicData>
            </a:graphic>
          </wp:inline>
        </w:drawing>
      </w:r>
    </w:p>
    <w:p w14:paraId="3FCCB865" w14:textId="55C74C01" w:rsidR="00007F6C" w:rsidRDefault="00007F6C" w:rsidP="003A288A">
      <w:pPr>
        <w:pStyle w:val="Caption"/>
        <w:rPr>
          <w:color w:val="FFC000"/>
        </w:rPr>
      </w:pPr>
      <w:bookmarkStart w:id="346" w:name="_Ref50905218"/>
      <w:bookmarkStart w:id="347" w:name="_Toc69114987"/>
      <w:r>
        <w:t>Figure 4.</w:t>
      </w:r>
      <w:r w:rsidR="00B51F53">
        <w:fldChar w:fldCharType="begin"/>
      </w:r>
      <w:r w:rsidR="00B51F53">
        <w:instrText xml:space="preserve"> SEQ Figure \</w:instrText>
      </w:r>
      <w:r w:rsidR="00B51F53">
        <w:instrText xml:space="preserve">* ARABIC </w:instrText>
      </w:r>
      <w:r w:rsidR="00B51F53">
        <w:fldChar w:fldCharType="separate"/>
      </w:r>
      <w:r w:rsidR="0050096F">
        <w:rPr>
          <w:noProof/>
        </w:rPr>
        <w:t>13</w:t>
      </w:r>
      <w:r w:rsidR="00B51F53">
        <w:rPr>
          <w:noProof/>
        </w:rPr>
        <w:fldChar w:fldCharType="end"/>
      </w:r>
      <w:bookmarkEnd w:id="346"/>
      <w:r>
        <w:t>: Scanning electron microscopy of the surface if the N</w:t>
      </w:r>
      <w:r w:rsidRPr="00AB1439">
        <w:rPr>
          <w:vertAlign w:val="subscript"/>
        </w:rPr>
        <w:t>2</w:t>
      </w:r>
      <w:r>
        <w:t>-dried Ni-YSZ electrode aged for 50</w:t>
      </w:r>
      <w:r w:rsidR="0050096F">
        <w:t xml:space="preserve"> </w:t>
      </w:r>
      <w:r>
        <w:t xml:space="preserve">h in </w:t>
      </w:r>
      <w:proofErr w:type="gramStart"/>
      <w:r>
        <w:t>a</w:t>
      </w:r>
      <w:proofErr w:type="gramEnd"/>
      <w:r>
        <w:t xml:space="preserve"> 800</w:t>
      </w:r>
      <w:r w:rsidR="0050096F">
        <w:t xml:space="preserve"> </w:t>
      </w:r>
      <w:r>
        <w:rPr>
          <w:rFonts w:cstheme="minorHAnsi"/>
        </w:rPr>
        <w:t>⁰</w:t>
      </w:r>
      <w:r>
        <w:t>C 10</w:t>
      </w:r>
      <w:r w:rsidR="0050096F">
        <w:t xml:space="preserve"> </w:t>
      </w:r>
      <w:r>
        <w:t>%</w:t>
      </w:r>
      <w:r w:rsidR="0050096F">
        <w:t xml:space="preserve"> </w:t>
      </w:r>
      <w:r>
        <w:t>H</w:t>
      </w:r>
      <w:r>
        <w:rPr>
          <w:vertAlign w:val="subscript"/>
        </w:rPr>
        <w:t>2</w:t>
      </w:r>
      <w:r>
        <w:t>/N</w:t>
      </w:r>
      <w:r>
        <w:rPr>
          <w:vertAlign w:val="subscript"/>
        </w:rPr>
        <w:t>2</w:t>
      </w:r>
      <w:r>
        <w:t xml:space="preserve"> atmosphere</w:t>
      </w:r>
      <w:bookmarkEnd w:id="347"/>
    </w:p>
    <w:p w14:paraId="2BCADEB9" w14:textId="1A750A96" w:rsidR="00007F6C" w:rsidRPr="00CD4530" w:rsidRDefault="00007F6C" w:rsidP="003A288A">
      <w:pPr>
        <w:jc w:val="both"/>
        <w:rPr>
          <w:i/>
          <w:iCs/>
          <w:color w:val="000000" w:themeColor="text1"/>
        </w:rPr>
      </w:pPr>
      <w:r w:rsidRPr="001F7E1F">
        <w:rPr>
          <w:color w:val="000000" w:themeColor="text1"/>
        </w:rPr>
        <w:t xml:space="preserve">Both micrographs display a wide particle size distribution from 40-125 nm. The particles exceeding 200 nm are also visible at the edges of the pores and not present within them. This illustrates the fact that the particle coarsening rate appears to be reduced within the pore network. This was discussed as a method of sintering resistance by both Goodman and </w:t>
      </w:r>
      <w:proofErr w:type="spellStart"/>
      <w:r w:rsidRPr="001F7E1F">
        <w:rPr>
          <w:color w:val="000000" w:themeColor="text1"/>
        </w:rPr>
        <w:t>Buyukaksoy</w:t>
      </w:r>
      <w:proofErr w:type="spellEnd"/>
      <w:r w:rsidRPr="001F7E1F">
        <w:rPr>
          <w:color w:val="000000" w:themeColor="text1"/>
        </w:rPr>
        <w:t xml:space="preserve"> </w:t>
      </w:r>
      <w:r>
        <w:rPr>
          <w:color w:val="000000" w:themeColor="text1"/>
        </w:rPr>
        <w:fldChar w:fldCharType="begin" w:fldLock="1"/>
      </w:r>
      <w:r w:rsidR="00D80A5D">
        <w:rPr>
          <w:color w:val="000000" w:themeColor="text1"/>
        </w:rPr>
        <w:instrText>ADDIN CSL_CITATION {"citationItems":[{"id":"ITEM-1","itemData":{"DOI":"10.1021/acscatal.7b01975","ISSN":"2155-5435","author":[{"dropping-particle":"","family":"Goodman","given":"Emmett D.","non-dropping-particle":"","parse-names":false,"suffix":""},{"dropping-particle":"","family":"Schwalbe","given":"Jay A.","non-dropping-particle":"","parse-names":false,"suffix":""},{"dropping-particle":"","family":"Cargnello","given":"Matteo","non-dropping-particle":"","parse-names":false,"suffix":""}],"container-title":"ACS Catalysis","id":"ITEM-1","issue":"10","issued":{"date-parts":[["2017","10","6"]]},"page":"7156-7173","title":"Mechanistic Understanding and the Rational Design of Sinter-Resistant Heterogeneous Catalysts","type":"article-journal","volume":"7"},"uris":["http://www.mendeley.com/documents/?uuid=b28e850f-3457-3249-b2ac-8734fa0e1fea"]},{"id":"ITEM-2","itemData":{"DOI":"10.1016/j.jpowsour.2015.04.072","ISSN":"03787753","abstract":"Ni infiltration into porous YSZ scaffolds is a promising route for the construction of high performing and redox-stable Ni-YSZ anodes for application in solid oxide fuel cells (SOFCs). However, the long-term instability of this type of anode is a critical problem. Here, it is shown that an interconnected Ni film, rather than discrete Ni particles, can be formed inside a porous, pre-sintered YSZ scaffold by using a polymeric Ni-based precursor as the infiltration medium. To understand the effect of the YSZ microstructure on the long-term stability and the electrochemical performance of the resulting composites, two types of Ni-YSZ anodes were investigated. Anodes prepared by polymeric Ni infiltration into a YSZ scaffold with large grains (0.5 μm) and pores (0.5 μm and 5 μm) showed extensive agglomeration in the Ni phase, resulting in poor stability and poor activity. In contrast, Ni infiltration into YSZ scaffolds with finer particle and pore sizes (</w:instrText>
      </w:r>
      <w:r w:rsidR="00D80A5D">
        <w:rPr>
          <w:rFonts w:ascii="Cambria Math" w:hAnsi="Cambria Math" w:cs="Cambria Math"/>
          <w:color w:val="000000" w:themeColor="text1"/>
        </w:rPr>
        <w:instrText>∼</w:instrText>
      </w:r>
      <w:r w:rsidR="00D80A5D">
        <w:rPr>
          <w:color w:val="000000" w:themeColor="text1"/>
        </w:rPr>
        <w:instrText xml:space="preserve">200 nm each) produced anodes with a very small polarization resistance of ca. 0.1 </w:instrText>
      </w:r>
      <w:r w:rsidR="00D80A5D">
        <w:rPr>
          <w:rFonts w:ascii="Calibri" w:hAnsi="Calibri" w:cs="Calibri"/>
          <w:color w:val="000000" w:themeColor="text1"/>
        </w:rPr>
        <w:instrText>Ω</w:instrText>
      </w:r>
      <w:r w:rsidR="00D80A5D">
        <w:rPr>
          <w:color w:val="000000" w:themeColor="text1"/>
        </w:rPr>
        <w:instrText xml:space="preserve"> cm&lt;sup&gt;2&lt;/sup&gt; per electrode at 800 </w:instrText>
      </w:r>
      <w:r w:rsidR="00D80A5D">
        <w:rPr>
          <w:rFonts w:ascii="Calibri" w:hAnsi="Calibri" w:cs="Calibri"/>
          <w:color w:val="000000" w:themeColor="text1"/>
        </w:rPr>
        <w:instrText>°</w:instrText>
      </w:r>
      <w:r w:rsidR="00D80A5D">
        <w:rPr>
          <w:color w:val="000000" w:themeColor="text1"/>
        </w:rPr>
        <w:instrText xml:space="preserve">C. An increase of only </w:instrText>
      </w:r>
      <w:r w:rsidR="00D80A5D">
        <w:rPr>
          <w:rFonts w:ascii="Cambria Math" w:hAnsi="Cambria Math" w:cs="Cambria Math"/>
          <w:color w:val="000000" w:themeColor="text1"/>
        </w:rPr>
        <w:instrText>∼</w:instrText>
      </w:r>
      <w:r w:rsidR="00D80A5D">
        <w:rPr>
          <w:color w:val="000000" w:themeColor="text1"/>
        </w:rPr>
        <w:instrText>5% was seen in the resistance after ca. 110 h at this temperature, achieved by preventing Ni agglomeration.","author":[{"dropping-particle":"","family":"Buyukaksoy","given":"Aligul","non-dropping-particle":"","parse-names":false,"suffix":""},{"dropping-particle":"","family":"Kammampata","given":"Sanoop P.","non-dropping-particle":"","parse-names":false,"suffix":""},{"dropping-particle":"","family":"Birss","given":"Viola I.","non-dropping-particle":"","parse-names":false,"suffix":""}],"container-title":"Journal of Power Sources","id":"ITEM-2","issued":{"date-parts":[["2015"]]},"page":"349-358","publisher":"Elsevier B.V","title":"Effect of porous YSZ scaffold microstructure on the long-term performance of infiltrated Ni-YSZ anodes","type":"article-journal","volume":"287"},"uris":["http://www.mendeley.com/documents/?uuid=bf3a7d3f-cd78-42db-a93a-ee5fbe68d623"]}],"mendeley":{"formattedCitation":"[233], [300]","plainTextFormattedCitation":"[233], [300]","previouslyFormattedCitation":"[233], [300]"},"properties":{"noteIndex":0},"schema":"https://github.com/citation-style-language/schema/raw/master/csl-citation.json"}</w:instrText>
      </w:r>
      <w:r>
        <w:rPr>
          <w:color w:val="000000" w:themeColor="text1"/>
        </w:rPr>
        <w:fldChar w:fldCharType="separate"/>
      </w:r>
      <w:r w:rsidR="006C586A" w:rsidRPr="006C586A">
        <w:rPr>
          <w:noProof/>
          <w:color w:val="000000" w:themeColor="text1"/>
        </w:rPr>
        <w:t>[233], [300]</w:t>
      </w:r>
      <w:r>
        <w:rPr>
          <w:color w:val="000000" w:themeColor="text1"/>
        </w:rPr>
        <w:fldChar w:fldCharType="end"/>
      </w:r>
      <w:r>
        <w:rPr>
          <w:color w:val="000000" w:themeColor="text1"/>
        </w:rPr>
        <w:t>.</w:t>
      </w:r>
    </w:p>
    <w:p w14:paraId="20CF257E" w14:textId="77777777" w:rsidR="00007F6C" w:rsidRDefault="00007F6C" w:rsidP="003A288A">
      <w:pPr>
        <w:pStyle w:val="Heading4"/>
      </w:pPr>
      <w:r>
        <w:lastRenderedPageBreak/>
        <w:t>Cross Section</w:t>
      </w:r>
    </w:p>
    <w:p w14:paraId="45DE14C9" w14:textId="20AF803D" w:rsidR="00007F6C" w:rsidRPr="006B13BB" w:rsidRDefault="00007F6C" w:rsidP="00007F6C">
      <w:pPr>
        <w:rPr>
          <w:color w:val="000000" w:themeColor="text1"/>
        </w:rPr>
      </w:pPr>
      <w:r>
        <w:rPr>
          <w:color w:val="000000" w:themeColor="text1"/>
        </w:rPr>
        <w:t xml:space="preserve">The </w:t>
      </w:r>
      <w:r w:rsidR="00443A24">
        <w:rPr>
          <w:color w:val="000000" w:themeColor="text1"/>
        </w:rPr>
        <w:t>right-hand</w:t>
      </w:r>
      <w:r>
        <w:rPr>
          <w:color w:val="000000" w:themeColor="text1"/>
        </w:rPr>
        <w:t xml:space="preserve"> side of </w:t>
      </w:r>
      <w:r>
        <w:rPr>
          <w:color w:val="000000" w:themeColor="text1"/>
        </w:rPr>
        <w:fldChar w:fldCharType="begin"/>
      </w:r>
      <w:r>
        <w:rPr>
          <w:color w:val="000000" w:themeColor="text1"/>
        </w:rPr>
        <w:instrText xml:space="preserve"> REF _Ref41470487 \h </w:instrText>
      </w:r>
      <w:r>
        <w:rPr>
          <w:color w:val="000000" w:themeColor="text1"/>
        </w:rPr>
      </w:r>
      <w:r>
        <w:rPr>
          <w:color w:val="000000" w:themeColor="text1"/>
        </w:rPr>
        <w:fldChar w:fldCharType="separate"/>
      </w:r>
      <w:r w:rsidR="0050096F">
        <w:t>Figure 4.</w:t>
      </w:r>
      <w:r w:rsidR="0050096F">
        <w:rPr>
          <w:noProof/>
        </w:rPr>
        <w:t>14</w:t>
      </w:r>
      <w:r>
        <w:rPr>
          <w:color w:val="000000" w:themeColor="text1"/>
        </w:rPr>
        <w:fldChar w:fldCharType="end"/>
      </w:r>
      <w:r>
        <w:rPr>
          <w:color w:val="000000" w:themeColor="text1"/>
        </w:rPr>
        <w:t xml:space="preserve"> and </w:t>
      </w:r>
      <w:r>
        <w:rPr>
          <w:color w:val="000000" w:themeColor="text1"/>
        </w:rPr>
        <w:fldChar w:fldCharType="begin"/>
      </w:r>
      <w:r>
        <w:rPr>
          <w:color w:val="000000" w:themeColor="text1"/>
        </w:rPr>
        <w:instrText xml:space="preserve"> REF _Ref41470488 \h </w:instrText>
      </w:r>
      <w:r>
        <w:rPr>
          <w:color w:val="000000" w:themeColor="text1"/>
        </w:rPr>
      </w:r>
      <w:r>
        <w:rPr>
          <w:color w:val="000000" w:themeColor="text1"/>
        </w:rPr>
        <w:fldChar w:fldCharType="separate"/>
      </w:r>
      <w:r w:rsidR="0050096F">
        <w:t>Figure 4.</w:t>
      </w:r>
      <w:r w:rsidR="0050096F">
        <w:rPr>
          <w:noProof/>
        </w:rPr>
        <w:t>15</w:t>
      </w:r>
      <w:r>
        <w:rPr>
          <w:color w:val="000000" w:themeColor="text1"/>
        </w:rPr>
        <w:fldChar w:fldCharType="end"/>
      </w:r>
      <w:r>
        <w:rPr>
          <w:color w:val="000000" w:themeColor="text1"/>
        </w:rPr>
        <w:t xml:space="preserve"> show the YSZ electrolyte and 15 </w:t>
      </w:r>
      <w:r>
        <w:rPr>
          <w:rFonts w:cstheme="minorHAnsi"/>
          <w:color w:val="000000" w:themeColor="text1"/>
        </w:rPr>
        <w:t>µ</w:t>
      </w:r>
      <w:r>
        <w:rPr>
          <w:color w:val="000000" w:themeColor="text1"/>
        </w:rPr>
        <w:t xml:space="preserve">m of Ni-YSZ </w:t>
      </w:r>
      <w:proofErr w:type="gramStart"/>
      <w:r>
        <w:rPr>
          <w:color w:val="000000" w:themeColor="text1"/>
        </w:rPr>
        <w:t>electrode</w:t>
      </w:r>
      <w:proofErr w:type="gramEnd"/>
      <w:r>
        <w:rPr>
          <w:color w:val="000000" w:themeColor="text1"/>
        </w:rPr>
        <w:t xml:space="preserve"> respectively.</w:t>
      </w:r>
    </w:p>
    <w:p w14:paraId="73D03DD4" w14:textId="77777777" w:rsidR="00007F6C" w:rsidRDefault="00007F6C" w:rsidP="00007F6C">
      <w:pPr>
        <w:keepNext/>
        <w:jc w:val="center"/>
      </w:pPr>
      <w:r>
        <w:rPr>
          <w:noProof/>
        </w:rPr>
        <mc:AlternateContent>
          <mc:Choice Requires="wps">
            <w:drawing>
              <wp:anchor distT="0" distB="0" distL="114300" distR="114300" simplePos="0" relativeHeight="251661312" behindDoc="0" locked="0" layoutInCell="1" allowOverlap="1" wp14:anchorId="7CD514B4" wp14:editId="158839C6">
                <wp:simplePos x="0" y="0"/>
                <wp:positionH relativeFrom="column">
                  <wp:posOffset>3638550</wp:posOffset>
                </wp:positionH>
                <wp:positionV relativeFrom="paragraph">
                  <wp:posOffset>876935</wp:posOffset>
                </wp:positionV>
                <wp:extent cx="361950" cy="361950"/>
                <wp:effectExtent l="19050" t="19050" r="19050" b="19050"/>
                <wp:wrapNone/>
                <wp:docPr id="46" name="Oval 46"/>
                <wp:cNvGraphicFramePr/>
                <a:graphic xmlns:a="http://schemas.openxmlformats.org/drawingml/2006/main">
                  <a:graphicData uri="http://schemas.microsoft.com/office/word/2010/wordprocessingShape">
                    <wps:wsp>
                      <wps:cNvSpPr/>
                      <wps:spPr>
                        <a:xfrm>
                          <a:off x="0" y="0"/>
                          <a:ext cx="361950" cy="361950"/>
                        </a:xfrm>
                        <a:prstGeom prst="ellipse">
                          <a:avLst/>
                        </a:prstGeom>
                        <a:no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90A0AA9" id="Oval 46" o:spid="_x0000_s1026" style="position:absolute;margin-left:286.5pt;margin-top:69.05pt;width:28.5pt;height:28.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" filled="f" strokecolor="white [3212]" strokeweight="2.25pt">
                <v:stroke joinstyle="miter"/>
              </v:oval>
            </w:pict>
          </mc:Fallback>
        </mc:AlternateContent>
      </w:r>
      <w:r>
        <w:rPr>
          <w:noProof/>
        </w:rPr>
        <mc:AlternateContent>
          <mc:Choice Requires="wps">
            <w:drawing>
              <wp:anchor distT="0" distB="0" distL="114300" distR="114300" simplePos="0" relativeHeight="251660288" behindDoc="0" locked="0" layoutInCell="1" allowOverlap="1" wp14:anchorId="261D287D" wp14:editId="47A708CB">
                <wp:simplePos x="0" y="0"/>
                <wp:positionH relativeFrom="column">
                  <wp:posOffset>3324225</wp:posOffset>
                </wp:positionH>
                <wp:positionV relativeFrom="paragraph">
                  <wp:posOffset>1858010</wp:posOffset>
                </wp:positionV>
                <wp:extent cx="361950" cy="361950"/>
                <wp:effectExtent l="19050" t="19050" r="19050" b="19050"/>
                <wp:wrapNone/>
                <wp:docPr id="45" name="Oval 45"/>
                <wp:cNvGraphicFramePr/>
                <a:graphic xmlns:a="http://schemas.openxmlformats.org/drawingml/2006/main">
                  <a:graphicData uri="http://schemas.microsoft.com/office/word/2010/wordprocessingShape">
                    <wps:wsp>
                      <wps:cNvSpPr/>
                      <wps:spPr>
                        <a:xfrm>
                          <a:off x="0" y="0"/>
                          <a:ext cx="361950" cy="361950"/>
                        </a:xfrm>
                        <a:prstGeom prst="ellipse">
                          <a:avLst/>
                        </a:prstGeom>
                        <a:no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0EFD39" id="Oval 45" o:spid="_x0000_s1026" style="position:absolute;margin-left:261.75pt;margin-top:146.3pt;width:28.5pt;height:28.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" filled="f" strokecolor="white [3212]" strokeweight="2.25pt">
                <v:stroke joinstyle="miter"/>
              </v:oval>
            </w:pict>
          </mc:Fallback>
        </mc:AlternateContent>
      </w:r>
      <w:r>
        <w:rPr>
          <w:noProof/>
        </w:rPr>
        <w:drawing>
          <wp:inline distT="0" distB="0" distL="0" distR="0" wp14:anchorId="6E09353A" wp14:editId="5B063A5A">
            <wp:extent cx="2700000" cy="2467437"/>
            <wp:effectExtent l="0" t="0" r="5715" b="0"/>
            <wp:docPr id="443" name="Picture 443" descr="A picture containing photo, table, large,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Picture 443" descr="A picture containing photo, table, large, sitting&#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2700000" cy="2467437"/>
                    </a:xfrm>
                    <a:prstGeom prst="rect">
                      <a:avLst/>
                    </a:prstGeom>
                  </pic:spPr>
                </pic:pic>
              </a:graphicData>
            </a:graphic>
          </wp:inline>
        </w:drawing>
      </w:r>
    </w:p>
    <w:p w14:paraId="16E0F3EA" w14:textId="2263BC85" w:rsidR="00007F6C" w:rsidRPr="005D65AF" w:rsidRDefault="00007F6C" w:rsidP="0077748A">
      <w:pPr>
        <w:pStyle w:val="Caption"/>
        <w:spacing w:after="240"/>
        <w:rPr>
          <w:color w:val="FFC000"/>
        </w:rPr>
      </w:pPr>
      <w:bookmarkStart w:id="348" w:name="_Ref41470487"/>
      <w:bookmarkStart w:id="349" w:name="_Toc69114988"/>
      <w:r>
        <w:t>Figure 4.</w:t>
      </w:r>
      <w:r w:rsidR="00B51F53">
        <w:fldChar w:fldCharType="begin"/>
      </w:r>
      <w:r w:rsidR="00B51F53">
        <w:instrText xml:space="preserve"> SEQ Figure \* ARABIC </w:instrText>
      </w:r>
      <w:r w:rsidR="00B51F53">
        <w:fldChar w:fldCharType="separate"/>
      </w:r>
      <w:r w:rsidR="0050096F">
        <w:rPr>
          <w:noProof/>
        </w:rPr>
        <w:t>14</w:t>
      </w:r>
      <w:r w:rsidR="00B51F53">
        <w:rPr>
          <w:noProof/>
        </w:rPr>
        <w:fldChar w:fldCharType="end"/>
      </w:r>
      <w:bookmarkEnd w:id="348"/>
      <w:r>
        <w:t>: Scanning electron micrograph of the fractured cross section of an infiltrated Ni-YSZ fuel electrode sample (AD) aged for 50</w:t>
      </w:r>
      <w:r w:rsidR="0050096F">
        <w:t xml:space="preserve"> </w:t>
      </w:r>
      <w:r>
        <w:t>h in a</w:t>
      </w:r>
      <w:r w:rsidR="0050096F">
        <w:t>n</w:t>
      </w:r>
      <w:r>
        <w:t xml:space="preserve"> 800</w:t>
      </w:r>
      <w:r w:rsidR="0050096F">
        <w:t xml:space="preserve"> </w:t>
      </w:r>
      <w:r>
        <w:rPr>
          <w:rFonts w:cstheme="minorHAnsi"/>
        </w:rPr>
        <w:t>⁰</w:t>
      </w:r>
      <w:r>
        <w:t>C 10</w:t>
      </w:r>
      <w:r w:rsidR="0050096F">
        <w:t xml:space="preserve"> </w:t>
      </w:r>
      <w:r>
        <w:t>%</w:t>
      </w:r>
      <w:r w:rsidR="0077748A">
        <w:t xml:space="preserve"> </w:t>
      </w:r>
      <w:r>
        <w:t>H</w:t>
      </w:r>
      <w:r>
        <w:rPr>
          <w:vertAlign w:val="subscript"/>
        </w:rPr>
        <w:t>2</w:t>
      </w:r>
      <w:r>
        <w:t>/N</w:t>
      </w:r>
      <w:r>
        <w:rPr>
          <w:vertAlign w:val="subscript"/>
        </w:rPr>
        <w:t>2</w:t>
      </w:r>
      <w:r>
        <w:t xml:space="preserve"> atmosphere</w:t>
      </w:r>
      <w:bookmarkEnd w:id="349"/>
    </w:p>
    <w:p w14:paraId="4EFA2243" w14:textId="77777777" w:rsidR="00007F6C" w:rsidRDefault="00007F6C" w:rsidP="00007F6C">
      <w:pPr>
        <w:keepNext/>
        <w:jc w:val="center"/>
      </w:pPr>
      <w:r>
        <w:rPr>
          <w:noProof/>
        </w:rPr>
        <w:drawing>
          <wp:inline distT="0" distB="0" distL="0" distR="0" wp14:anchorId="62A9467E" wp14:editId="522FCB2F">
            <wp:extent cx="2700000" cy="2446875"/>
            <wp:effectExtent l="0" t="0" r="5715" b="0"/>
            <wp:docPr id="444" name="Picture 444" descr="A picture containing photo, sitting, standing, lar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Picture 444" descr="A picture containing photo, sitting, standing, large&#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2700000" cy="2446875"/>
                    </a:xfrm>
                    <a:prstGeom prst="rect">
                      <a:avLst/>
                    </a:prstGeom>
                  </pic:spPr>
                </pic:pic>
              </a:graphicData>
            </a:graphic>
          </wp:inline>
        </w:drawing>
      </w:r>
    </w:p>
    <w:p w14:paraId="6D013E67" w14:textId="189B78CB" w:rsidR="00007F6C" w:rsidRDefault="00007F6C" w:rsidP="0077748A">
      <w:pPr>
        <w:pStyle w:val="Caption"/>
        <w:spacing w:after="240"/>
        <w:rPr>
          <w:color w:val="FFC000"/>
        </w:rPr>
      </w:pPr>
      <w:bookmarkStart w:id="350" w:name="_Ref41470488"/>
      <w:bookmarkStart w:id="351" w:name="_Toc69114989"/>
      <w:r>
        <w:t>Figure 4.</w:t>
      </w:r>
      <w:r w:rsidR="00B51F53">
        <w:fldChar w:fldCharType="begin"/>
      </w:r>
      <w:r w:rsidR="00B51F53">
        <w:instrText xml:space="preserve"> SEQ Figure \* ARABIC </w:instrText>
      </w:r>
      <w:r w:rsidR="00B51F53">
        <w:fldChar w:fldCharType="separate"/>
      </w:r>
      <w:r w:rsidR="0050096F">
        <w:rPr>
          <w:noProof/>
        </w:rPr>
        <w:t>15</w:t>
      </w:r>
      <w:r w:rsidR="00B51F53">
        <w:rPr>
          <w:noProof/>
        </w:rPr>
        <w:fldChar w:fldCharType="end"/>
      </w:r>
      <w:bookmarkEnd w:id="350"/>
      <w:r>
        <w:t>: Scanning electron micrograph of the fractured cross section an infiltrated Ni-YSZ fuel electrode sample (ND) aged for 50</w:t>
      </w:r>
      <w:r w:rsidR="0050096F">
        <w:t xml:space="preserve"> </w:t>
      </w:r>
      <w:r>
        <w:t>h in a</w:t>
      </w:r>
      <w:r w:rsidR="0050096F">
        <w:t>n</w:t>
      </w:r>
      <w:r>
        <w:t xml:space="preserve"> 800</w:t>
      </w:r>
      <w:r w:rsidR="0050096F">
        <w:t xml:space="preserve"> </w:t>
      </w:r>
      <w:r>
        <w:rPr>
          <w:rFonts w:cstheme="minorHAnsi"/>
        </w:rPr>
        <w:t>⁰</w:t>
      </w:r>
      <w:r>
        <w:t>C 10</w:t>
      </w:r>
      <w:r w:rsidR="0050096F">
        <w:t xml:space="preserve"> </w:t>
      </w:r>
      <w:r>
        <w:t>%</w:t>
      </w:r>
      <w:r w:rsidR="0050096F">
        <w:t xml:space="preserve"> </w:t>
      </w:r>
      <w:r>
        <w:t>H</w:t>
      </w:r>
      <w:r>
        <w:rPr>
          <w:vertAlign w:val="subscript"/>
        </w:rPr>
        <w:t>2</w:t>
      </w:r>
      <w:r>
        <w:t>/N</w:t>
      </w:r>
      <w:r>
        <w:rPr>
          <w:vertAlign w:val="subscript"/>
        </w:rPr>
        <w:t>2</w:t>
      </w:r>
      <w:r>
        <w:t xml:space="preserve"> atmosphere</w:t>
      </w:r>
      <w:bookmarkEnd w:id="351"/>
    </w:p>
    <w:p w14:paraId="63C3DBFE" w14:textId="45CA2319" w:rsidR="00007F6C" w:rsidRDefault="00007F6C" w:rsidP="00007F6C">
      <w:pPr>
        <w:pStyle w:val="Caption"/>
        <w:jc w:val="both"/>
        <w:rPr>
          <w:i w:val="0"/>
          <w:iCs w:val="0"/>
          <w:color w:val="auto"/>
          <w:sz w:val="22"/>
          <w:szCs w:val="22"/>
        </w:rPr>
      </w:pPr>
      <w:r>
        <w:rPr>
          <w:i w:val="0"/>
          <w:iCs w:val="0"/>
          <w:color w:val="auto"/>
          <w:sz w:val="22"/>
          <w:szCs w:val="22"/>
        </w:rPr>
        <w:t xml:space="preserve">The </w:t>
      </w:r>
      <w:proofErr w:type="gramStart"/>
      <w:r>
        <w:rPr>
          <w:i w:val="0"/>
          <w:iCs w:val="0"/>
          <w:color w:val="auto"/>
          <w:sz w:val="22"/>
          <w:szCs w:val="22"/>
        </w:rPr>
        <w:t>50</w:t>
      </w:r>
      <w:r w:rsidR="00443A24">
        <w:rPr>
          <w:i w:val="0"/>
          <w:iCs w:val="0"/>
          <w:color w:val="auto"/>
          <w:sz w:val="22"/>
          <w:szCs w:val="22"/>
        </w:rPr>
        <w:t xml:space="preserve"> </w:t>
      </w:r>
      <w:r>
        <w:rPr>
          <w:i w:val="0"/>
          <w:iCs w:val="0"/>
          <w:color w:val="auto"/>
          <w:sz w:val="22"/>
          <w:szCs w:val="22"/>
        </w:rPr>
        <w:t>h</w:t>
      </w:r>
      <w:proofErr w:type="gramEnd"/>
      <w:r>
        <w:rPr>
          <w:i w:val="0"/>
          <w:iCs w:val="0"/>
          <w:color w:val="auto"/>
          <w:sz w:val="22"/>
          <w:szCs w:val="22"/>
        </w:rPr>
        <w:t xml:space="preserve"> </w:t>
      </w:r>
      <w:r w:rsidR="0050096F">
        <w:rPr>
          <w:i w:val="0"/>
          <w:iCs w:val="0"/>
          <w:color w:val="auto"/>
          <w:sz w:val="22"/>
          <w:szCs w:val="22"/>
        </w:rPr>
        <w:t>aged, air-dried</w:t>
      </w:r>
      <w:r>
        <w:rPr>
          <w:i w:val="0"/>
          <w:iCs w:val="0"/>
          <w:color w:val="auto"/>
          <w:sz w:val="22"/>
          <w:szCs w:val="22"/>
        </w:rPr>
        <w:t xml:space="preserve"> Ni-YSZ sample has two agglomerates stacked upon one another (circled </w:t>
      </w:r>
      <w:r w:rsidRPr="0081072A">
        <w:rPr>
          <w:i w:val="0"/>
          <w:iCs w:val="0"/>
          <w:color w:val="auto"/>
          <w:sz w:val="22"/>
          <w:szCs w:val="22"/>
        </w:rPr>
        <w:t xml:space="preserve">bottom right, </w:t>
      </w:r>
      <w:r w:rsidRPr="0081072A">
        <w:rPr>
          <w:i w:val="0"/>
          <w:iCs w:val="0"/>
          <w:color w:val="auto"/>
          <w:sz w:val="22"/>
          <w:szCs w:val="22"/>
        </w:rPr>
        <w:fldChar w:fldCharType="begin"/>
      </w:r>
      <w:r w:rsidRPr="0081072A">
        <w:rPr>
          <w:i w:val="0"/>
          <w:iCs w:val="0"/>
          <w:color w:val="auto"/>
          <w:sz w:val="22"/>
          <w:szCs w:val="22"/>
        </w:rPr>
        <w:instrText xml:space="preserve"> REF _Ref41470487 \h  \* MERGEFORMAT </w:instrText>
      </w:r>
      <w:r w:rsidRPr="0081072A">
        <w:rPr>
          <w:i w:val="0"/>
          <w:iCs w:val="0"/>
          <w:color w:val="auto"/>
          <w:sz w:val="22"/>
          <w:szCs w:val="22"/>
        </w:rPr>
      </w:r>
      <w:r w:rsidRPr="0081072A">
        <w:rPr>
          <w:i w:val="0"/>
          <w:iCs w:val="0"/>
          <w:color w:val="auto"/>
          <w:sz w:val="22"/>
          <w:szCs w:val="22"/>
        </w:rPr>
        <w:fldChar w:fldCharType="separate"/>
      </w:r>
      <w:r w:rsidR="0077748A" w:rsidRPr="0077748A">
        <w:rPr>
          <w:i w:val="0"/>
          <w:iCs w:val="0"/>
          <w:color w:val="auto"/>
          <w:sz w:val="22"/>
          <w:szCs w:val="22"/>
        </w:rPr>
        <w:t xml:space="preserve">Figure </w:t>
      </w:r>
      <w:r w:rsidR="0077748A" w:rsidRPr="0077748A">
        <w:rPr>
          <w:i w:val="0"/>
          <w:iCs w:val="0"/>
          <w:noProof/>
          <w:color w:val="auto"/>
          <w:sz w:val="22"/>
          <w:szCs w:val="22"/>
        </w:rPr>
        <w:t>4.14</w:t>
      </w:r>
      <w:r w:rsidRPr="0081072A">
        <w:rPr>
          <w:i w:val="0"/>
          <w:iCs w:val="0"/>
          <w:color w:val="auto"/>
          <w:sz w:val="22"/>
          <w:szCs w:val="22"/>
        </w:rPr>
        <w:fldChar w:fldCharType="end"/>
      </w:r>
      <w:r w:rsidRPr="0081072A">
        <w:rPr>
          <w:i w:val="0"/>
          <w:iCs w:val="0"/>
          <w:color w:val="auto"/>
          <w:sz w:val="22"/>
          <w:szCs w:val="22"/>
        </w:rPr>
        <w:t>)</w:t>
      </w:r>
      <w:r>
        <w:rPr>
          <w:i w:val="0"/>
          <w:iCs w:val="0"/>
          <w:color w:val="auto"/>
          <w:sz w:val="22"/>
          <w:szCs w:val="22"/>
        </w:rPr>
        <w:t>.</w:t>
      </w:r>
      <w:r w:rsidRPr="0081072A">
        <w:rPr>
          <w:i w:val="0"/>
          <w:iCs w:val="0"/>
          <w:color w:val="auto"/>
          <w:sz w:val="22"/>
          <w:szCs w:val="22"/>
        </w:rPr>
        <w:t xml:space="preserve"> </w:t>
      </w:r>
      <w:r>
        <w:rPr>
          <w:i w:val="0"/>
          <w:iCs w:val="0"/>
          <w:color w:val="auto"/>
          <w:sz w:val="22"/>
          <w:szCs w:val="22"/>
        </w:rPr>
        <w:t xml:space="preserve"> This behaviour is a visual example of particle migration coalescence (PMC), a sintering mechanism where larger agglomerates attract smaller particles with a view to reducing both particles surface energy </w:t>
      </w:r>
      <w:r>
        <w:rPr>
          <w:i w:val="0"/>
          <w:iCs w:val="0"/>
          <w:color w:val="auto"/>
          <w:sz w:val="22"/>
          <w:szCs w:val="22"/>
        </w:rPr>
        <w:fldChar w:fldCharType="begin" w:fldLock="1"/>
      </w:r>
      <w:r w:rsidR="00D80A5D">
        <w:rPr>
          <w:i w:val="0"/>
          <w:iCs w:val="0"/>
          <w:color w:val="auto"/>
          <w:sz w:val="22"/>
          <w:szCs w:val="22"/>
        </w:rPr>
        <w:instrText>ADDIN CSL_CITATION {"citationItems":[{"id":"ITEM-1","itemData":{"DOI":"10.1021/acscatal.7b01975","ISSN":"2155-5435","author":[{"dropping-particle":"","family":"Goodman","given":"Emmett D.","non-dropping-particle":"","parse-names":false,"suffix":""},{"dropping-particle":"","family":"Schwalbe","given":"Jay A.","non-dropping-particle":"","parse-names":false,"suffix":""},{"dropping-particle":"","family":"Cargnello","given":"Matteo","non-dropping-particle":"","parse-names":false,"suffix":""}],"container-title":"ACS Catalysis","id":"ITEM-1","issue":"10","issued":{"date-parts":[["2017","10","6"]]},"page":"7156-7173","title":"Mechanistic Understanding and the Rational Design of Sinter-Resistant Heterogeneous Catalysts","type":"article-journal","volume":"7"},"uris":["http://www.mendeley.com/documents/?uuid=b28e850f-3457-3249-b2ac-8734fa0e1fea"]},{"id":"ITEM-2","itemData":{"DOI":"10.1039/c7cs00650k","abstract":"Catalyst sintering, a main cause of the loss of catalytic activity and/or selectivity at high reaction temperatures, is a major concern and grand challenge in the general area of heterogeneous catalysis. Although all heterogeneous catalysts are inevitably subjected to sintering during their operation, the immediate and drastic consequences can be mitigated by carefully engineering the catalytic particles and their interactions with the supports. In this tutorial review, we highlight recent progress in understanding the physical chemistry and materials science involved in sintering, including the discussion of advanced techniques, such as in situ microscopy and spectroscopy, for investigating the sintering process and its rate. We also discuss strategies for the design and rational fabrication of sinter-resistant catalysts. Finally, we showcase recent success in improving the thermal stability and thus sinter resistance of supported catalytic systems. Key learning points (1) Key obstacles to the development of sinter-resistant catalytic systems (2) Thermodynamic and kinetic aspects in the sintering of supported metal nanoparticles (3) New insights into the sintering mechanisms as elucidated through advanced analytic tools (4) Major strategies for enhancing the thermal stability of a catalytic system involving supported metal nanoparticles (5) Recent success and future directions towards the development of sinter-resistant catalysts","author":[{"dropping-particle":"","family":"Dai","given":"Yunqian","non-dropping-particle":"","parse-names":false,"suffix":""},{"dropping-particle":"","family":"Lu","given":"Ping","non-dropping-particle":"","parse-names":false,"suffix":""},{"dropping-particle":"","family":"Cao","given":"Zhenming","non-dropping-particle":"","parse-names":false,"suffix":""},{"dropping-particle":"","family":"Campbell","given":"Charles T","non-dropping-particle":"","parse-names":false,"suffix":""},{"dropping-particle":"","family":"Xia","given":"Younan","non-dropping-particle":"","parse-names":false,"suffix":""}],"container-title":"4314 | Chem. Soc. Rev","id":"ITEM-2","issued":{"date-parts":[["2018"]]},"page":"4314","title":"The physical chemistry and materials science behind sinter-resistant catalysts","type":"article-journal","volume":"47"},"uris":["http://www.mendeley.com/documents/?uuid=4b3e7ee9-ac08-3c1c-b616-0a6feef47699"]}],"mendeley":{"formattedCitation":"[300], [301]","plainTextFormattedCitation":"[300], [301]","previouslyFormattedCitation":"[300], [301]"},"properties":{"noteIndex":0},"schema":"https://github.com/citation-style-language/schema/raw/master/csl-citation.json"}</w:instrText>
      </w:r>
      <w:r>
        <w:rPr>
          <w:i w:val="0"/>
          <w:iCs w:val="0"/>
          <w:color w:val="auto"/>
          <w:sz w:val="22"/>
          <w:szCs w:val="22"/>
        </w:rPr>
        <w:fldChar w:fldCharType="separate"/>
      </w:r>
      <w:r w:rsidR="006C586A" w:rsidRPr="006C586A">
        <w:rPr>
          <w:i w:val="0"/>
          <w:iCs w:val="0"/>
          <w:noProof/>
          <w:color w:val="auto"/>
          <w:sz w:val="22"/>
          <w:szCs w:val="22"/>
        </w:rPr>
        <w:t>[300], [301]</w:t>
      </w:r>
      <w:r>
        <w:rPr>
          <w:i w:val="0"/>
          <w:iCs w:val="0"/>
          <w:color w:val="auto"/>
          <w:sz w:val="22"/>
          <w:szCs w:val="22"/>
        </w:rPr>
        <w:fldChar w:fldCharType="end"/>
      </w:r>
      <w:r>
        <w:rPr>
          <w:i w:val="0"/>
          <w:iCs w:val="0"/>
          <w:color w:val="auto"/>
          <w:sz w:val="22"/>
          <w:szCs w:val="22"/>
        </w:rPr>
        <w:t xml:space="preserve">. The deposited catalyst can stack due to the repeated precursor solution injections in the infiltration procedure.  </w:t>
      </w:r>
    </w:p>
    <w:p w14:paraId="6BDB92BC" w14:textId="70193D94" w:rsidR="00007F6C" w:rsidRDefault="00007F6C" w:rsidP="00007F6C">
      <w:pPr>
        <w:jc w:val="both"/>
      </w:pPr>
      <w:r>
        <w:t>In contrast, the nickel phase in the micrograph of the N</w:t>
      </w:r>
      <w:r>
        <w:rPr>
          <w:vertAlign w:val="subscript"/>
        </w:rPr>
        <w:t>2</w:t>
      </w:r>
      <w:r>
        <w:t xml:space="preserve"> dried electrode did not appear to be faceted. No obvious particle stacking, or PMC was seen in the cross-section of this sample. There were only two infiltration steps in the procedure for this study which suggests that the stacking in </w:t>
      </w:r>
      <w:r w:rsidRPr="0081072A">
        <w:fldChar w:fldCharType="begin"/>
      </w:r>
      <w:r w:rsidRPr="0081072A">
        <w:instrText xml:space="preserve"> REF _Ref41470487 \h  \* MERGEFORMAT </w:instrText>
      </w:r>
      <w:r w:rsidRPr="0081072A">
        <w:fldChar w:fldCharType="separate"/>
      </w:r>
      <w:r w:rsidR="0077748A">
        <w:t xml:space="preserve">Figure </w:t>
      </w:r>
      <w:r w:rsidR="0077748A">
        <w:rPr>
          <w:noProof/>
        </w:rPr>
        <w:t>4.14</w:t>
      </w:r>
      <w:r w:rsidRPr="0081072A">
        <w:fldChar w:fldCharType="end"/>
      </w:r>
      <w:r>
        <w:t xml:space="preserve"> is largely the product of the drying conditions used for the electrode. As the nitrogen drying step expected to increase the dispersion of the particles the average particle size should be consistently smaller during ageing. This is evident with the average particle lengths calculated using FIJI in </w:t>
      </w:r>
      <w:r>
        <w:fldChar w:fldCharType="begin"/>
      </w:r>
      <w:r>
        <w:instrText xml:space="preserve"> REF _Ref42260273 \h  \* MERGEFORMAT </w:instrText>
      </w:r>
      <w:r>
        <w:fldChar w:fldCharType="separate"/>
      </w:r>
      <w:r>
        <w:t>Table 4.5</w:t>
      </w:r>
      <w:r>
        <w:fldChar w:fldCharType="end"/>
      </w:r>
      <w:r>
        <w:t>.</w:t>
      </w:r>
    </w:p>
    <w:p w14:paraId="619932FA" w14:textId="2C37B706" w:rsidR="00007F6C" w:rsidRDefault="00007F6C" w:rsidP="00007F6C">
      <w:pPr>
        <w:pStyle w:val="Caption"/>
        <w:keepNext/>
      </w:pPr>
      <w:bookmarkStart w:id="352" w:name="_Ref42260273"/>
      <w:r>
        <w:lastRenderedPageBreak/>
        <w:t>Table 4.</w:t>
      </w:r>
      <w:r w:rsidR="00B51F53">
        <w:fldChar w:fldCharType="begin"/>
      </w:r>
      <w:r w:rsidR="00B51F53">
        <w:instrText xml:space="preserve"> SEQ Table \* ARABIC </w:instrText>
      </w:r>
      <w:r w:rsidR="00B51F53">
        <w:fldChar w:fldCharType="separate"/>
      </w:r>
      <w:r w:rsidR="0022061C">
        <w:rPr>
          <w:noProof/>
        </w:rPr>
        <w:t>5</w:t>
      </w:r>
      <w:r w:rsidR="00B51F53">
        <w:rPr>
          <w:noProof/>
        </w:rPr>
        <w:fldChar w:fldCharType="end"/>
      </w:r>
      <w:bookmarkEnd w:id="352"/>
      <w:r>
        <w:t>: Average particle length for the pristine and aged Ni-YSZ wet impregnated samples</w:t>
      </w:r>
    </w:p>
    <w:tbl>
      <w:tblPr>
        <w:tblStyle w:val="TableGrid"/>
        <w:tblW w:w="0" w:type="auto"/>
        <w:jc w:val="center"/>
        <w:tblLook w:val="04A0" w:firstRow="1" w:lastRow="0" w:firstColumn="1" w:lastColumn="0" w:noHBand="0" w:noVBand="1"/>
      </w:tblPr>
      <w:tblGrid>
        <w:gridCol w:w="2254"/>
        <w:gridCol w:w="2136"/>
        <w:gridCol w:w="2409"/>
      </w:tblGrid>
      <w:tr w:rsidR="00007F6C" w14:paraId="413C9292" w14:textId="77777777" w:rsidTr="005E2F1E">
        <w:trPr>
          <w:jc w:val="center"/>
        </w:trPr>
        <w:tc>
          <w:tcPr>
            <w:tcW w:w="2254" w:type="dxa"/>
            <w:vMerge w:val="restart"/>
          </w:tcPr>
          <w:p w14:paraId="4D458440" w14:textId="77777777" w:rsidR="00007F6C" w:rsidRPr="000868A0" w:rsidRDefault="00007F6C" w:rsidP="005E2F1E">
            <w:pPr>
              <w:rPr>
                <w:b/>
                <w:bCs/>
              </w:rPr>
            </w:pPr>
            <w:r w:rsidRPr="000868A0">
              <w:rPr>
                <w:b/>
                <w:bCs/>
              </w:rPr>
              <w:t>Sample</w:t>
            </w:r>
          </w:p>
        </w:tc>
        <w:tc>
          <w:tcPr>
            <w:tcW w:w="4545" w:type="dxa"/>
            <w:gridSpan w:val="2"/>
          </w:tcPr>
          <w:p w14:paraId="7EEF6682" w14:textId="77777777" w:rsidR="00007F6C" w:rsidRPr="000868A0" w:rsidRDefault="00007F6C" w:rsidP="005E2F1E">
            <w:pPr>
              <w:rPr>
                <w:b/>
                <w:bCs/>
              </w:rPr>
            </w:pPr>
            <w:r>
              <w:rPr>
                <w:b/>
                <w:bCs/>
              </w:rPr>
              <w:t xml:space="preserve">Average </w:t>
            </w:r>
            <w:r w:rsidRPr="000868A0">
              <w:rPr>
                <w:b/>
                <w:bCs/>
              </w:rPr>
              <w:t>Particle Length [nm]</w:t>
            </w:r>
          </w:p>
        </w:tc>
      </w:tr>
      <w:tr w:rsidR="00007F6C" w14:paraId="1EBEB6CD" w14:textId="77777777" w:rsidTr="005E2F1E">
        <w:trPr>
          <w:jc w:val="center"/>
        </w:trPr>
        <w:tc>
          <w:tcPr>
            <w:tcW w:w="2254" w:type="dxa"/>
            <w:vMerge/>
          </w:tcPr>
          <w:p w14:paraId="4BCFC2EE" w14:textId="77777777" w:rsidR="00007F6C" w:rsidRPr="000868A0" w:rsidRDefault="00007F6C" w:rsidP="005E2F1E">
            <w:pPr>
              <w:rPr>
                <w:b/>
                <w:bCs/>
              </w:rPr>
            </w:pPr>
          </w:p>
        </w:tc>
        <w:tc>
          <w:tcPr>
            <w:tcW w:w="2136" w:type="dxa"/>
          </w:tcPr>
          <w:p w14:paraId="7C7600C5" w14:textId="77777777" w:rsidR="00007F6C" w:rsidRPr="000868A0" w:rsidRDefault="00007F6C" w:rsidP="005E2F1E">
            <w:pPr>
              <w:rPr>
                <w:b/>
                <w:bCs/>
              </w:rPr>
            </w:pPr>
            <w:r>
              <w:rPr>
                <w:b/>
                <w:bCs/>
              </w:rPr>
              <w:t>0h</w:t>
            </w:r>
          </w:p>
        </w:tc>
        <w:tc>
          <w:tcPr>
            <w:tcW w:w="2409" w:type="dxa"/>
          </w:tcPr>
          <w:p w14:paraId="56087D60" w14:textId="77777777" w:rsidR="00007F6C" w:rsidRPr="000868A0" w:rsidRDefault="00007F6C" w:rsidP="005E2F1E">
            <w:pPr>
              <w:rPr>
                <w:b/>
                <w:bCs/>
              </w:rPr>
            </w:pPr>
            <w:r>
              <w:rPr>
                <w:b/>
                <w:bCs/>
              </w:rPr>
              <w:t>50h cross-section</w:t>
            </w:r>
          </w:p>
        </w:tc>
      </w:tr>
      <w:tr w:rsidR="00007F6C" w14:paraId="10460A3C" w14:textId="77777777" w:rsidTr="005E2F1E">
        <w:trPr>
          <w:jc w:val="center"/>
        </w:trPr>
        <w:tc>
          <w:tcPr>
            <w:tcW w:w="2254" w:type="dxa"/>
          </w:tcPr>
          <w:p w14:paraId="157791AB" w14:textId="77777777" w:rsidR="00007F6C" w:rsidRDefault="00007F6C" w:rsidP="005E2F1E">
            <w:r>
              <w:t>Ni-YSZ (Air)</w:t>
            </w:r>
          </w:p>
        </w:tc>
        <w:tc>
          <w:tcPr>
            <w:tcW w:w="2136" w:type="dxa"/>
          </w:tcPr>
          <w:p w14:paraId="271C13A1" w14:textId="77777777" w:rsidR="00007F6C" w:rsidRDefault="00007F6C" w:rsidP="005E2F1E">
            <w:pPr>
              <w:jc w:val="right"/>
            </w:pPr>
            <w:r>
              <w:t>86.0</w:t>
            </w:r>
          </w:p>
        </w:tc>
        <w:tc>
          <w:tcPr>
            <w:tcW w:w="2409" w:type="dxa"/>
          </w:tcPr>
          <w:p w14:paraId="7B29DE67" w14:textId="77777777" w:rsidR="00007F6C" w:rsidRDefault="00007F6C" w:rsidP="005E2F1E">
            <w:pPr>
              <w:jc w:val="right"/>
            </w:pPr>
            <w:r>
              <w:t>805.7</w:t>
            </w:r>
          </w:p>
        </w:tc>
      </w:tr>
      <w:tr w:rsidR="00007F6C" w14:paraId="1B6B5EA0" w14:textId="77777777" w:rsidTr="005E2F1E">
        <w:trPr>
          <w:trHeight w:val="329"/>
          <w:jc w:val="center"/>
        </w:trPr>
        <w:tc>
          <w:tcPr>
            <w:tcW w:w="2254" w:type="dxa"/>
          </w:tcPr>
          <w:p w14:paraId="6A035A2A" w14:textId="77777777" w:rsidR="00007F6C" w:rsidRPr="00F93B51" w:rsidRDefault="00007F6C" w:rsidP="005E2F1E">
            <w:r>
              <w:t>Ni-YSZ (N</w:t>
            </w:r>
            <w:r>
              <w:rPr>
                <w:vertAlign w:val="subscript"/>
              </w:rPr>
              <w:t>2</w:t>
            </w:r>
            <w:r>
              <w:t>)</w:t>
            </w:r>
          </w:p>
        </w:tc>
        <w:tc>
          <w:tcPr>
            <w:tcW w:w="2136" w:type="dxa"/>
          </w:tcPr>
          <w:p w14:paraId="1DA6EA35" w14:textId="77777777" w:rsidR="00007F6C" w:rsidRDefault="00007F6C" w:rsidP="005E2F1E">
            <w:pPr>
              <w:jc w:val="right"/>
            </w:pPr>
            <w:r>
              <w:t>47.6</w:t>
            </w:r>
          </w:p>
        </w:tc>
        <w:tc>
          <w:tcPr>
            <w:tcW w:w="2409" w:type="dxa"/>
          </w:tcPr>
          <w:p w14:paraId="2773AAC7" w14:textId="77777777" w:rsidR="00007F6C" w:rsidRDefault="00007F6C" w:rsidP="005E2F1E">
            <w:pPr>
              <w:jc w:val="right"/>
            </w:pPr>
            <w:r>
              <w:t>601.3</w:t>
            </w:r>
          </w:p>
        </w:tc>
      </w:tr>
    </w:tbl>
    <w:p w14:paraId="0119DACC" w14:textId="77777777" w:rsidR="00007F6C" w:rsidRDefault="00007F6C" w:rsidP="00007F6C">
      <w:pPr>
        <w:rPr>
          <w:color w:val="ED7D31" w:themeColor="accent2"/>
        </w:rPr>
      </w:pPr>
    </w:p>
    <w:p w14:paraId="57EB8033" w14:textId="5E1CE495" w:rsidR="00007F6C" w:rsidRDefault="00007F6C" w:rsidP="00007F6C">
      <w:pPr>
        <w:jc w:val="both"/>
      </w:pPr>
      <w:r w:rsidRPr="009E449C">
        <w:t>The nickel particles in the nitrogen dried system were after reduction 4</w:t>
      </w:r>
      <w:r w:rsidR="008539F6">
        <w:t>5</w:t>
      </w:r>
      <w:r w:rsidRPr="009E449C">
        <w:t>.3</w:t>
      </w:r>
      <w:r>
        <w:t xml:space="preserve"> </w:t>
      </w:r>
      <w:r w:rsidRPr="009E449C">
        <w:t>% smaller than their air counterpart. After 50</w:t>
      </w:r>
      <w:r>
        <w:t xml:space="preserve"> </w:t>
      </w:r>
      <w:r w:rsidRPr="009E449C">
        <w:t>h of ageing at 800</w:t>
      </w:r>
      <w:r w:rsidRPr="009E449C">
        <w:rPr>
          <w:rFonts w:cstheme="minorHAnsi"/>
        </w:rPr>
        <w:t>⁰C in the humidified 10</w:t>
      </w:r>
      <w:r>
        <w:rPr>
          <w:rFonts w:cstheme="minorHAnsi"/>
        </w:rPr>
        <w:t xml:space="preserve"> </w:t>
      </w:r>
      <w:r w:rsidRPr="009E449C">
        <w:rPr>
          <w:rFonts w:cstheme="minorHAnsi"/>
        </w:rPr>
        <w:t>% H</w:t>
      </w:r>
      <w:r w:rsidRPr="009E449C">
        <w:rPr>
          <w:rFonts w:cstheme="minorHAnsi"/>
          <w:vertAlign w:val="subscript"/>
        </w:rPr>
        <w:t>2</w:t>
      </w:r>
      <w:r w:rsidRPr="009E449C">
        <w:rPr>
          <w:rFonts w:cstheme="minorHAnsi"/>
        </w:rPr>
        <w:t>/N</w:t>
      </w:r>
      <w:r w:rsidRPr="009E449C">
        <w:rPr>
          <w:rFonts w:cstheme="minorHAnsi"/>
          <w:vertAlign w:val="subscript"/>
        </w:rPr>
        <w:t>2</w:t>
      </w:r>
      <w:r w:rsidRPr="009E449C">
        <w:rPr>
          <w:rFonts w:cstheme="minorHAnsi"/>
        </w:rPr>
        <w:t xml:space="preserve"> atmosphere</w:t>
      </w:r>
      <w:r w:rsidRPr="009E449C">
        <w:t xml:space="preserve"> this reduction fell to 33.9</w:t>
      </w:r>
      <w:r>
        <w:t xml:space="preserve"> </w:t>
      </w:r>
      <w:r w:rsidRPr="009E449C">
        <w:t xml:space="preserve">%. </w:t>
      </w:r>
      <w:r>
        <w:t xml:space="preserve">This confirms that the nitrogen drying atmosphere does reduce the initial nickel particle size and hinders sintering processes during ageing. However, it also suggests that - assuming a linear decrease - this reduced particle size will only last within the first 200h of ageing (0.5 % of the reported SOFC 40,000 h lifetime) </w:t>
      </w:r>
      <w:r>
        <w:fldChar w:fldCharType="begin" w:fldLock="1"/>
      </w:r>
      <w:r w:rsidR="008B6E91">
        <w:instrText>ADDIN CSL_CITATION {"citationItems":[{"id":"ITEM-1","itemData":{"author":[{"dropping-particle":"","family":"Thijssen","given":"J","non-dropping-particle":"","parse-names":false,"suffix":""}],"editor":[{"dropping-particle":"","family":"Energy","given":"U S Department of","non-dropping-particle":"","parse-names":false,"suffix":""}],"id":"ITEM-1","issued":{"date-parts":[["2007"]]},"page":"3-70","publisher":"US Department of Energy","publisher-place":"DoE ","title":"The impact of scale-up and production volume on SOFC manufacturing cost","type":"article"},"uris":["http://www.mendeley.com/documents/?uuid=880572c5-525c-4f6f-a991-f466396cf0eb"]},{"id":"ITEM-2","itemData":{"ISBN":"1672","author":[{"dropping-particle":"","family":"Curtin  Gangi, J.","given":"S","non-dropping-particle":"","parse-names":false,"suffix":""}],"editor":[{"dropping-particle":"","family":"Energy","given":"U S Department of","non-dropping-particle":"","parse-names":false,"suffix":""}],"id":"ITEM-2","issued":{"date-parts":[["2016"]]},"publisher":"Fuel Cell and Hydrogen Energy Association","publisher-place":"Office of Energy Efficiency &amp; Renewable Energy","title":"Fuel Cell Technologies Market Report 2016","type":"article"},"uris":["http://www.mendeley.com/documents/?uuid=d71d95bf-4607-4eb1-b0dd-af42c460c426"]}],"mendeley":{"formattedCitation":"[73], [393]","plainTextFormattedCitation":"[73], [393]","previouslyFormattedCitation":"[73], [393]"},"properties":{"noteIndex":0},"schema":"https://github.com/citation-style-language/schema/raw/master/csl-citation.json"}</w:instrText>
      </w:r>
      <w:r>
        <w:fldChar w:fldCharType="separate"/>
      </w:r>
      <w:r w:rsidR="00237E21" w:rsidRPr="00237E21">
        <w:rPr>
          <w:noProof/>
        </w:rPr>
        <w:t>[73], [393]</w:t>
      </w:r>
      <w:r>
        <w:fldChar w:fldCharType="end"/>
      </w:r>
      <w:r>
        <w:t xml:space="preserve">. </w:t>
      </w:r>
    </w:p>
    <w:p w14:paraId="00A2184C" w14:textId="7016C29B" w:rsidR="00007F6C" w:rsidRDefault="00007F6C" w:rsidP="00007F6C">
      <w:pPr>
        <w:jc w:val="both"/>
      </w:pPr>
      <w:r>
        <w:t xml:space="preserve">One of the key challenges with image analysis of Ni-YSZ is discerning the metallic phase from the ceramic backbone. Additionally, this issue is commonplace in micrograph throughout the literature </w:t>
      </w:r>
      <w:r>
        <w:fldChar w:fldCharType="begin" w:fldLock="1"/>
      </w:r>
      <w:r w:rsidR="008B6E91">
        <w:instrText>ADDIN CSL_CITATION {"citationItems":[{"id":"ITEM-1","itemData":{"ISBN":"9036513375","abstract":"This thesis deals with the porous Ni/yttria-stabilized zirconia (YSZ) cermet anode on a YSZ electrolyte for solid oxide fuel cells (SOFC). Such anodes are predominantly operated in moist hydrogen at 700C to 1000C, and the most important technological parameters are the polarization resistance and the long-term stability. The polarization resistance can be measured by a number of techniques, in the present work impedance spectroscopy has been used extensively. By impedance spectroscopy limiting processes in the anode polarization resistance may often be separated and characterized individually, provided they have a reasonable separation in time constants. Three limiting processes are recognized in impedance spectra obtained on technological Ni/YSZ cermet anodes characterized against a stable reference electrode atmosphere. By parameter studies and illustrative experiments, the two contributions at low and medium frequency have been identified as gas conversion and diffusion limitations, respectively. Both of these effects are concentration limitations relating to the inefficient exchange of fuel gas in the test setup outside the porous cermet. A test setup geometry where these concentration effects are avoided for high-performance electrodes is recommended. The high frequency limitation is demonstrated to relate to the cermet structure. The dependence on gas composition, temperature, adsorbed species (sulfur), isotopes (H/D), sintering temperature and cermet thickness is investigated. Despite these studies and several similar studies by others, the exact chemical or physical nature of the limiting step has not been incontestably identified. However, there is a general consensus in literature about the hydrogen oxidation process taking place on or near to the triple phase boundary (TPB) line, where open gas-filled pores, the continuous electrolyte phase (oxide ion conductor) and the continuous Ni phase (electronic conductor) meet. The physical thickness of a cermet anode that contains active TPB sites contributing to the current density of an SOFC is demonstrated to be about 10 µm. This result has technological importance, as any overlying structure serves primarily as a current collector and needs not be optimized for transport of oxide ions. The anode durability is investigated over 1300 to 1900 hrs at 300 mA/cm2 and shown to be stable at 1050C. At 1000C a degradation rate of about 10 mΩcm2 /1000 hrs is observed, and at 850C a degradation rate of about …","author":[{"dropping-particle":"","family":"Primdahl Søren","given":"","non-dropping-particle":"","parse-names":false,"suffix":""}],"container-title":"Technical University of Denmark","id":"ITEM-1","issued":{"date-parts":[["1999"]]},"number-of-pages":"203","publisher":"University of Twente","title":"Nickel/yttria-stabilised zirconia cermet anodes for solid oxide fuel cells","type":"thesis","volume":"PhD"},"uris":["http://www.mendeley.com/documents/?uuid=0fe024e0-9cb0-4090-a4ab-f51c03e5a594"]},{"id":"ITEM-2","itemData":{"DOI":"10.1023/A:1003991529552","ISSN":"0021891X","abstract":"The long-term properties of Ni/yttria stabilized zirconia (YSZ) cermet anodes for solid oxide fuel cells were evaluated experimentally. A total of 13 anodes of three types based on two commercial NiO powders were examined. The durability was evaluated at temperatures of 850 °C, 1000 °C and 1050 °C over 1300 to 2000 h at an anodic d.c. load of 300 mA cm-2 in hydrogen with 1 to 3% water. The anode-related polarization resistance, RP, was measured by impedance spectroscopy and found to be in the range of 0.05 to 0.7 Ω cm2. After an initial stabilization period of up to 300 h, RP varied linearly with time within the experimental uncertainty. At 1050 °C no degradation was observed. At 1000 °C a degradation rate of 10 mΩ cm2 per 1000 h was found. The degradation rate was possibly higher at 850 °C. A single anode was exposed to nine thermal cycles from 1000 to below 100 °C at 100 °C h-1. An increase in RP of about 30 mΩ cm2 was observed over the first two cycles. For the following thermal cycles RP was stable within the experimental uncertainty.","author":[{"dropping-particle":"","family":"Primdahl","given":"S.","non-dropping-particle":"","parse-names":false,"suffix":""},{"dropping-particle":"","family":"Mogensen","given":"M.","non-dropping-particle":"","parse-names":false,"suffix":""}],"container-title":"Journal of Applied Electrochemistry","id":"ITEM-2","issue":"2","issued":{"date-parts":[["2000"]]},"page":"247-257","title":"Durability and thermal cycling of Ni/YSZ cermet anodes for solid oxide fuel cells","type":"article-journal","volume":"30"},"uris":["http://www.mendeley.com/documents/?uuid=4e5547a1-24f7-49a5-bc2a-bf1bda5cd364"]},{"id":"ITEM-3","itemData":{"DOI":"10.1149/1945-7111/ab74bf","ISSN":"1945-7111","author":[{"dropping-particle":"","family":"Mo","given":"Boshan","non-dropping-particle":"","parse-names":false,"suffix":""},{"dropping-particle":"","family":"Rix","given":"Jillian","non-dropping-particle":"","parse-names":false,"suffix":""},{"dropping-particle":"","family":"Pal","given":"Uday","non-dropping-particle":"","parse-names":false,"suffix":""},{"dropping-particle":"","family":"Basu","given":"Soumendra","non-dropping-particle":"","parse-names":false,"suffix":""},{"dropping-particle":"","family":"Gopalan","given":"Srikanth","non-dropping-particle":"","parse-names":false,"suffix":""}],"container-title":"Journal of The Electrochemical Society","id":"ITEM-3","issue":"5","issued":{"date-parts":[["2020"]]},"page":"054515","publisher":"IOP Publishing","title":"Characterizing Performance of Electrocatalyst Nanoparticles Infiltrated into Ni-YSZ Cermet Anodes for Solid Oxide Fuel Cells","type":"article-journal","volume":"167"},"uris":["http://www.mendeley.com/documents/?uuid=93159abb-25c7-4175-aec5-ec00ec25decb"]}],"mendeley":{"formattedCitation":"[130], [394], [395]","plainTextFormattedCitation":"[130], [394], [395]","previouslyFormattedCitation":"[130], [394], [395]"},"properties":{"noteIndex":0},"schema":"https://github.com/citation-style-language/schema/raw/master/csl-citation.json"}</w:instrText>
      </w:r>
      <w:r>
        <w:fldChar w:fldCharType="separate"/>
      </w:r>
      <w:r w:rsidR="00237E21" w:rsidRPr="00237E21">
        <w:rPr>
          <w:noProof/>
        </w:rPr>
        <w:t>[130], [394], [395]</w:t>
      </w:r>
      <w:r>
        <w:fldChar w:fldCharType="end"/>
      </w:r>
      <w:r>
        <w:t xml:space="preserve">.  This lack of clarity is especially apparent in </w:t>
      </w:r>
      <w:r>
        <w:fldChar w:fldCharType="begin"/>
      </w:r>
      <w:r>
        <w:instrText xml:space="preserve"> REF _Ref41470488 \h  \* MERGEFORMAT </w:instrText>
      </w:r>
      <w:r>
        <w:fldChar w:fldCharType="separate"/>
      </w:r>
      <w:r w:rsidR="0077748A">
        <w:t>Figures 4.15</w:t>
      </w:r>
      <w:r>
        <w:fldChar w:fldCharType="end"/>
      </w:r>
      <w:r w:rsidR="0077748A">
        <w:t xml:space="preserve"> and </w:t>
      </w:r>
      <w:r w:rsidR="0077748A">
        <w:fldChar w:fldCharType="begin"/>
      </w:r>
      <w:r w:rsidR="0077748A">
        <w:instrText xml:space="preserve"> REF _Ref68868363 \h </w:instrText>
      </w:r>
      <w:r w:rsidR="0077748A">
        <w:fldChar w:fldCharType="separate"/>
      </w:r>
      <w:r w:rsidR="0077748A">
        <w:t>4.</w:t>
      </w:r>
      <w:r w:rsidR="0077748A">
        <w:rPr>
          <w:noProof/>
        </w:rPr>
        <w:t>16</w:t>
      </w:r>
      <w:r w:rsidR="0077748A">
        <w:fldChar w:fldCharType="end"/>
      </w:r>
      <w:r>
        <w:t xml:space="preserve">. </w:t>
      </w:r>
    </w:p>
    <w:p w14:paraId="658ACC89" w14:textId="77777777" w:rsidR="00007F6C" w:rsidRDefault="00007F6C" w:rsidP="00007F6C">
      <w:pPr>
        <w:jc w:val="both"/>
      </w:pPr>
      <w:r>
        <w:t>Micrographs using vacuum infiltrated epoxy resin were attempted during this project however due to the fragility of the scaffold the resin also coated the electrode cross-section during mounting, making phase contrast and segmentation difficult.</w:t>
      </w:r>
    </w:p>
    <w:p w14:paraId="18D59511" w14:textId="77777777" w:rsidR="00007F6C" w:rsidRDefault="00007F6C" w:rsidP="00007F6C">
      <w:pPr>
        <w:jc w:val="both"/>
      </w:pPr>
      <w:r>
        <w:t>Back-scattered electron imaging was also performed, this underlined that the circular particles in the micrographs were nickel (as nickel has the lowest Z number in the electrode). Secondly, the nickel particles in this section were identified with their spherical morphology.</w:t>
      </w:r>
    </w:p>
    <w:p w14:paraId="54C45E54" w14:textId="77777777" w:rsidR="00007F6C" w:rsidRDefault="00007F6C" w:rsidP="00007F6C">
      <w:pPr>
        <w:keepNext/>
        <w:jc w:val="center"/>
      </w:pPr>
      <w:r>
        <w:rPr>
          <w:noProof/>
        </w:rPr>
        <w:drawing>
          <wp:inline distT="0" distB="0" distL="0" distR="0" wp14:anchorId="59028FAA" wp14:editId="524E6338">
            <wp:extent cx="2160000" cy="198865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60000" cy="1988655"/>
                    </a:xfrm>
                    <a:prstGeom prst="rect">
                      <a:avLst/>
                    </a:prstGeom>
                    <a:noFill/>
                    <a:ln>
                      <a:noFill/>
                    </a:ln>
                  </pic:spPr>
                </pic:pic>
              </a:graphicData>
            </a:graphic>
          </wp:inline>
        </w:drawing>
      </w:r>
      <w:r>
        <w:rPr>
          <w:noProof/>
        </w:rPr>
        <w:drawing>
          <wp:inline distT="0" distB="0" distL="0" distR="0" wp14:anchorId="24413BDA" wp14:editId="75A1F23C">
            <wp:extent cx="2160000" cy="198865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60000" cy="1988655"/>
                    </a:xfrm>
                    <a:prstGeom prst="rect">
                      <a:avLst/>
                    </a:prstGeom>
                    <a:noFill/>
                    <a:ln>
                      <a:noFill/>
                    </a:ln>
                  </pic:spPr>
                </pic:pic>
              </a:graphicData>
            </a:graphic>
          </wp:inline>
        </w:drawing>
      </w:r>
    </w:p>
    <w:p w14:paraId="0C639C5A" w14:textId="3EFB9AD6" w:rsidR="00007F6C" w:rsidRDefault="00007F6C" w:rsidP="00007F6C">
      <w:pPr>
        <w:pStyle w:val="Caption"/>
      </w:pPr>
      <w:bookmarkStart w:id="353" w:name="_Ref68868363"/>
      <w:bookmarkStart w:id="354" w:name="_Toc69114990"/>
      <w:r>
        <w:t>Figure 4.</w:t>
      </w:r>
      <w:r w:rsidR="00B51F53">
        <w:fldChar w:fldCharType="begin"/>
      </w:r>
      <w:r w:rsidR="00B51F53">
        <w:instrText xml:space="preserve"> SEQ Figure \* ARABIC </w:instrText>
      </w:r>
      <w:r w:rsidR="00B51F53">
        <w:fldChar w:fldCharType="separate"/>
      </w:r>
      <w:r w:rsidR="0077748A">
        <w:rPr>
          <w:noProof/>
        </w:rPr>
        <w:t>16</w:t>
      </w:r>
      <w:r w:rsidR="00B51F53">
        <w:rPr>
          <w:noProof/>
        </w:rPr>
        <w:fldChar w:fldCharType="end"/>
      </w:r>
      <w:bookmarkEnd w:id="353"/>
      <w:r>
        <w:t>: Micrographs of a 50h aged Ni-YSZ sample (secondary electron on the left, back-scattered electron on the right)</w:t>
      </w:r>
      <w:bookmarkEnd w:id="354"/>
    </w:p>
    <w:p w14:paraId="6471E862" w14:textId="77777777" w:rsidR="00007F6C" w:rsidRDefault="00007F6C" w:rsidP="00007F6C">
      <w:pPr>
        <w:spacing w:line="240" w:lineRule="auto"/>
        <w:jc w:val="both"/>
      </w:pPr>
      <w:r>
        <w:t>The SEM performed on the Ni-YSZ electrodes has shown that the use of a nitrogen drying atmosphere has reduced the initial and aged particle size of the catalyst phase. The micrographs shown indicate that the nitrogen drying atmosphere does impact the size and dispersion of the electro-catalyst. How these microstructural differences impact the reactivity and electrochemical performance of the solid oxide fuel electrodes are highlighted in sections 4.3.4 and 4.3.5.</w:t>
      </w:r>
    </w:p>
    <w:p w14:paraId="00ECE095" w14:textId="77777777" w:rsidR="00007F6C" w:rsidRDefault="00007F6C" w:rsidP="003A288A">
      <w:pPr>
        <w:pStyle w:val="Heading2"/>
      </w:pPr>
      <w:bookmarkStart w:id="355" w:name="_Toc69129417"/>
      <w:r>
        <w:t>4.3.5</w:t>
      </w:r>
      <w:r>
        <w:tab/>
        <w:t>Reactivity analysis</w:t>
      </w:r>
      <w:bookmarkEnd w:id="355"/>
    </w:p>
    <w:p w14:paraId="1A70539A" w14:textId="5236985E" w:rsidR="00007F6C" w:rsidRDefault="008C7ED1" w:rsidP="003A288A">
      <w:pPr>
        <w:pStyle w:val="Heading3"/>
      </w:pPr>
      <w:bookmarkStart w:id="356" w:name="_Toc69129418"/>
      <w:r>
        <w:t xml:space="preserve">4.3.5.1 </w:t>
      </w:r>
      <w:r w:rsidR="00007F6C" w:rsidRPr="007D62DE">
        <w:t xml:space="preserve">Temperature </w:t>
      </w:r>
      <w:r w:rsidR="00A22F5B">
        <w:t>P</w:t>
      </w:r>
      <w:r w:rsidR="00007F6C" w:rsidRPr="007D62DE">
        <w:t xml:space="preserve">rogrammed </w:t>
      </w:r>
      <w:r w:rsidR="00A22F5B">
        <w:t>R</w:t>
      </w:r>
      <w:r w:rsidR="00007F6C" w:rsidRPr="007D62DE">
        <w:t>eduction – active area measurements</w:t>
      </w:r>
      <w:bookmarkEnd w:id="356"/>
    </w:p>
    <w:p w14:paraId="64C7EF44" w14:textId="3C159D56" w:rsidR="00007F6C" w:rsidRPr="00126D12" w:rsidRDefault="00007F6C" w:rsidP="00007F6C">
      <w:pPr>
        <w:jc w:val="both"/>
        <w:rPr>
          <w:color w:val="000000" w:themeColor="text1"/>
        </w:rPr>
      </w:pPr>
      <w:r w:rsidRPr="00A91747">
        <w:rPr>
          <w:color w:val="000000" w:themeColor="text1"/>
        </w:rPr>
        <w:t>A set of calibration profiles</w:t>
      </w:r>
      <w:r>
        <w:rPr>
          <w:color w:val="000000" w:themeColor="text1"/>
        </w:rPr>
        <w:t xml:space="preserve"> on </w:t>
      </w:r>
      <w:proofErr w:type="spellStart"/>
      <w:r>
        <w:rPr>
          <w:color w:val="000000" w:themeColor="text1"/>
        </w:rPr>
        <w:t>NiO</w:t>
      </w:r>
      <w:proofErr w:type="spellEnd"/>
      <w:r>
        <w:rPr>
          <w:color w:val="000000" w:themeColor="text1"/>
        </w:rPr>
        <w:t xml:space="preserve"> powder (JT Baker, USA) ranging from 3-20</w:t>
      </w:r>
      <w:r w:rsidR="001E239A">
        <w:rPr>
          <w:color w:val="000000" w:themeColor="text1"/>
        </w:rPr>
        <w:t xml:space="preserve"> </w:t>
      </w:r>
      <w:r>
        <w:rPr>
          <w:color w:val="000000" w:themeColor="text1"/>
        </w:rPr>
        <w:t>mg</w:t>
      </w:r>
      <w:r w:rsidRPr="00A91747">
        <w:rPr>
          <w:color w:val="000000" w:themeColor="text1"/>
        </w:rPr>
        <w:t xml:space="preserve"> were performed using the Micromeritics 2720 Chemisorption unit.</w:t>
      </w:r>
      <w:r>
        <w:rPr>
          <w:color w:val="000000" w:themeColor="text1"/>
        </w:rPr>
        <w:t xml:space="preserve"> These can be found </w:t>
      </w:r>
      <w:r w:rsidRPr="006E1B6C">
        <w:rPr>
          <w:color w:val="000000" w:themeColor="text1"/>
        </w:rPr>
        <w:t>in the Appendix 4.3.5.</w:t>
      </w:r>
      <w:r>
        <w:rPr>
          <w:color w:val="000000" w:themeColor="text1"/>
        </w:rPr>
        <w:t xml:space="preserve"> </w:t>
      </w:r>
      <w:r>
        <w:t>In the surface catalysis literature, there are multiple reductio</w:t>
      </w:r>
      <w:r w:rsidRPr="00F25441">
        <w:rPr>
          <w:color w:val="000000" w:themeColor="text1"/>
        </w:rPr>
        <w:t xml:space="preserve">n peaks which detail the conversion of </w:t>
      </w:r>
      <w:proofErr w:type="spellStart"/>
      <w:r w:rsidRPr="00F25441">
        <w:rPr>
          <w:color w:val="000000" w:themeColor="text1"/>
        </w:rPr>
        <w:t>NiO</w:t>
      </w:r>
      <w:proofErr w:type="spellEnd"/>
      <w:r w:rsidRPr="00F25441">
        <w:rPr>
          <w:color w:val="000000" w:themeColor="text1"/>
        </w:rPr>
        <w:t xml:space="preserve"> to metallic nickel. Studies on bulk </w:t>
      </w:r>
      <w:proofErr w:type="spellStart"/>
      <w:r w:rsidRPr="00F25441">
        <w:rPr>
          <w:color w:val="000000" w:themeColor="text1"/>
        </w:rPr>
        <w:t>NiO</w:t>
      </w:r>
      <w:proofErr w:type="spellEnd"/>
      <w:r w:rsidRPr="00F25441">
        <w:rPr>
          <w:color w:val="000000" w:themeColor="text1"/>
        </w:rPr>
        <w:t xml:space="preserve"> have charted this interaction to fall between 350-400</w:t>
      </w:r>
      <w:r w:rsidR="001E239A">
        <w:rPr>
          <w:color w:val="000000" w:themeColor="text1"/>
        </w:rPr>
        <w:t xml:space="preserve"> </w:t>
      </w:r>
      <w:r w:rsidR="00126D12">
        <w:rPr>
          <w:rFonts w:cstheme="minorHAnsi"/>
        </w:rPr>
        <w:t>°</w:t>
      </w:r>
      <w:r>
        <w:t xml:space="preserve">C </w:t>
      </w:r>
      <w:r>
        <w:fldChar w:fldCharType="begin" w:fldLock="1"/>
      </w:r>
      <w:r w:rsidR="008B6E91">
        <w:instrText>ADDIN CSL_CITATION {"citationItems":[{"id":"ITEM-1","itemData":{"DOI":"10.1039/c3cp54622e","ISSN":"14639076","abstract":"The electronic structure of nano-NiO was determined using resonant inelastic X-ray scattering (RIXS) spectroscopy. The nanosized NiO particles were reduced in situ, leading to the formation of metallic Ni in a single step. Time-resolved RIXS elucidated in real time the changes on the occupied and unoccupied electronic structure of the material, which are dramatically affected by the reduction process. © 2014 the Partner Organisations.","author":[{"dropping-particle":"","family":"Sá","given":"Jacinto","non-dropping-particle":"","parse-names":false,"suffix":""},{"dropping-particle":"","family":"Kayser","given":"Yves","non-dropping-particle":"","parse-names":false,"suffix":""},{"dropping-particle":"","family":"Milne","given":"Christopher J.","non-dropping-particle":"","parse-names":false,"suffix":""},{"dropping-particle":"","family":"Abreu Fernandes","given":"Daniel Luis","non-dropping-particle":"","parse-names":false,"suffix":""},{"dropping-particle":"","family":"Szlachetko","given":"Jakub","non-dropping-particle":"","parse-names":false,"suffix":""}],"container-title":"Physical Chemistry Chemical Physics","id":"ITEM-1","issue":"17","issued":{"date-parts":[["2014"]]},"page":"7692-7696","title":"Temperature-programmed reduction of NiO nanoparticles followed by time-resolved RIXS","type":"article-journal","volume":"16"},"uris":["http://www.mendeley.com/documents/?uuid=91a1ddbc-97bb-4eb8-af85-a7fabe453150"]},{"id":"ITEM-2","itemData":{"DOI":"10.1016/j.ssi.2005.06.016","ISSN":"01672738","abstract":"Effect of redox cycling on a Ni-YSZ anode prepared from 50 wt.% NiO and 50 wt.% YSZ was investigated by using temperature-programmed reduction (TPR), XRD and SEM techniques. XRD results showed that NiO was formed during re-oxidation. Both the XRD and TPR results depicted that the conversion of nickel to NiO depended on the re-oxidation temperature. The oxidation of Ni to NiO occurred quickly in the initial several minutes and then reached a quasi equilibrium. The TPR profiles tracing the redox cycling showed that it brought continuous changes in the NiO micro-structure at 800°C, whereas at 600°C it had only little effects on the reduction of NiO. Re-oxidation resulted in the formation of spongy aggregates of NiO crystallites. Redox cycling at 800°C led to a continuous decrease in the primary crystallite size of NiO and a high dispersion of the Ni particles. A continuous expansion of the slice sample was observed in both of the oxidized and reduced states during the redox cycling at 800°C, whereas this process did not occur during the redox cycling at 600°C. © 2005 Elsevier B.V. All rights reserved.","author":[{"dropping-particle":"","family":"Zhang","given":"Yun","non-dropping-particle":"","parse-names":false,"suffix":""},{"dropping-particle":"","family":"Liu","given":"Bin","non-dropping-particle":"","parse-names":false,"suffix":""},{"dropping-particle":"","family":"Tu","given":"Baofeng","non-dropping-particle":"","parse-names":false,"suffix":""},{"dropping-particle":"","family":"Dong","given":"Yonglai","non-dropping-particle":"","parse-names":false,"suffix":""},{"dropping-particle":"","family":"Cheng","given":"Mojie","non-dropping-particle":"","parse-names":false,"suffix":""}],"container-title":"Solid State Ionics","id":"ITEM-2","issue":"29-30","issued":{"date-parts":[["2005"]]},"page":"2193-2199","title":"Redox cycling of Ni-YSZ anode investigated by TPR technique","type":"article-journal","volume":"176"},"uris":["http://www.mendeley.com/documents/?uuid=c95dfa6f-fc36-4928-a8cd-93f7c3b2c1fc"]}],"mendeley":{"formattedCitation":"[377], [396]","plainTextFormattedCitation":"[377], [396]","previouslyFormattedCitation":"[377], [396]"},"properties":{"noteIndex":0},"schema":"https://github.com/citation-style-language/schema/raw/master/csl-citation.json"}</w:instrText>
      </w:r>
      <w:r>
        <w:fldChar w:fldCharType="separate"/>
      </w:r>
      <w:r w:rsidR="00237E21" w:rsidRPr="00237E21">
        <w:rPr>
          <w:noProof/>
        </w:rPr>
        <w:t xml:space="preserve">[377], </w:t>
      </w:r>
      <w:r w:rsidR="00237E21" w:rsidRPr="00237E21">
        <w:rPr>
          <w:noProof/>
        </w:rPr>
        <w:lastRenderedPageBreak/>
        <w:t>[396]</w:t>
      </w:r>
      <w:r>
        <w:fldChar w:fldCharType="end"/>
      </w:r>
      <w:r>
        <w:t>. Nanoscale nickel particles have been documented to reduce at temperatures ranging between 290-350</w:t>
      </w:r>
      <w:r w:rsidR="001E239A">
        <w:t xml:space="preserve"> </w:t>
      </w:r>
      <w:r w:rsidR="00126D12">
        <w:rPr>
          <w:rFonts w:cstheme="minorHAnsi"/>
        </w:rPr>
        <w:t>°</w:t>
      </w:r>
      <w:r>
        <w:t xml:space="preserve">C. In this study the nickel oxide has been shown to be nanoscale in length due to the use of infiltration and the crystallite length calculations from XRD (Section 4.3.2). </w:t>
      </w:r>
    </w:p>
    <w:p w14:paraId="6532EF99" w14:textId="53A763CE" w:rsidR="00007F6C" w:rsidRDefault="00007F6C" w:rsidP="00007F6C">
      <w:pPr>
        <w:jc w:val="both"/>
      </w:pPr>
      <w:r>
        <w:t xml:space="preserve">The morphology of the reduction peaks in </w:t>
      </w:r>
      <w:r>
        <w:fldChar w:fldCharType="begin"/>
      </w:r>
      <w:r>
        <w:instrText xml:space="preserve"> REF _Ref40960562 \h  \* MERGEFORMAT </w:instrText>
      </w:r>
      <w:r>
        <w:fldChar w:fldCharType="separate"/>
      </w:r>
      <w:r w:rsidR="001E3ECE">
        <w:t xml:space="preserve">Figure </w:t>
      </w:r>
      <w:r w:rsidR="001E3ECE">
        <w:rPr>
          <w:noProof/>
        </w:rPr>
        <w:t>4.17</w:t>
      </w:r>
      <w:r>
        <w:fldChar w:fldCharType="end"/>
      </w:r>
      <w:r>
        <w:t xml:space="preserve"> </w:t>
      </w:r>
      <w:r w:rsidRPr="004606A6">
        <w:t>provide indicators to the size distribution of the infiltrated nickel particles present on the samples.</w:t>
      </w:r>
      <w:r>
        <w:t xml:space="preserve"> In the AD samples there </w:t>
      </w:r>
      <w:r w:rsidR="00E612A7">
        <w:t>were a maximum of 5</w:t>
      </w:r>
      <w:r>
        <w:t xml:space="preserve"> reduction peaks in present between 290-330</w:t>
      </w:r>
      <w:r w:rsidR="00126D12">
        <w:t xml:space="preserve"> </w:t>
      </w:r>
      <w:r w:rsidR="00126D12">
        <w:rPr>
          <w:rFonts w:cstheme="minorHAnsi"/>
        </w:rPr>
        <w:t>°</w:t>
      </w:r>
      <w:r>
        <w:t>C region, in addition to bulk reductions at 375-385</w:t>
      </w:r>
      <w:r w:rsidR="001E239A">
        <w:t xml:space="preserve"> </w:t>
      </w:r>
      <w:r>
        <w:rPr>
          <w:rFonts w:cstheme="minorHAnsi"/>
        </w:rPr>
        <w:t>⁰</w:t>
      </w:r>
      <w:r>
        <w:t>C</w:t>
      </w:r>
      <w:r w:rsidR="00E612A7">
        <w:t xml:space="preserve"> </w:t>
      </w:r>
      <w:r>
        <w:t>(</w:t>
      </w:r>
      <w:r w:rsidR="006A4FAB">
        <w:fldChar w:fldCharType="begin"/>
      </w:r>
      <w:r w:rsidR="006A4FAB">
        <w:instrText xml:space="preserve"> REF _Ref40960562 \h </w:instrText>
      </w:r>
      <w:r w:rsidR="006A4FAB">
        <w:fldChar w:fldCharType="separate"/>
      </w:r>
      <w:r w:rsidR="006A4FAB">
        <w:t>Figure 4.</w:t>
      </w:r>
      <w:r w:rsidR="006A4FAB">
        <w:rPr>
          <w:noProof/>
        </w:rPr>
        <w:t>89</w:t>
      </w:r>
      <w:r w:rsidR="006A4FAB">
        <w:fldChar w:fldCharType="end"/>
      </w:r>
      <w:r>
        <w:t xml:space="preserve">). This shows that the nickel particle size present in these samples range up to 50 nm. This is a result of the air-drying step </w:t>
      </w:r>
      <w:r w:rsidRPr="0027444E">
        <w:t>producing complex nickel hydroxy nitrates</w:t>
      </w:r>
      <w:r>
        <w:t xml:space="preserve"> </w:t>
      </w:r>
      <w:r w:rsidRPr="0027444E">
        <w:fldChar w:fldCharType="begin" w:fldLock="1"/>
      </w:r>
      <w:r w:rsidR="00D80A5D">
        <w:instrText>ADDIN CSL_CITATION {"citationItems":[{"id":"ITEM-1","itemData":{"DOI":"10.1016/0021-9517(76)90054-3","ISBN":"00219517 (ISSN)","abstract":"A study of the chemistry involved in preparation, pretreatment, and reduction of Ni Al2O3 catalysts was carried out using hydrogen chemisorption, thermal gravimetric analysis, and chromatographic analysis. Data showing effects on nickel surface area of calcination, heating rate during reduction, nickel loading, and passivation are presented and discussed. The results indicate that controlled decomposition of alumina-supported nickel nitrate in hydrogen atmosphere (without prior calcination) tends to maximize nickel surface area, dispersion, and reduction to nickel metal. Nickel surface area and the fraction of nickel reduced to the metallic state both increase as the hydrogen space velocity during reduction is increased. Upon increasing the reduction temperature from 300 to 500 °C, the percentage reduction to nickel metal is increased from 40 to 100% whereas nickel surface area changes relatively little. © 1976.","author":[{"dropping-particle":"","family":"Bartholomew","given":"C H","non-dropping-particle":"","parse-names":false,"suffix":""},{"dropping-particle":"","family":"Farrauto","given":"R J","non-dropping-particle":"","parse-names":false,"suffix":""}],"container-title":"Journal of Catalysis","id":"ITEM-1","issue":"1","issued":{"date-parts":[["1976"]]},"language":"English","note":"Cited By :265\nExport Date: 8 February 2017\nCODEN: JCTLA\nCorrespondence Address: Bartholomew, C.H.; Department of Chemical Engineering Science, Brigham Young University, Provo, UT 84602, United States\nReferences: Reinen, Selwood, (1963) J. Catal., 2, p. 109; Sieg, Constabaris, Linquist, (1963) Amer. Chem. Soc. Meeting, , New York; Levinson, (1967) Preprints, p. 47. , Division of Petroleum Chemistry, Amer. Chem. Soc, Chicago, September; Bicek, Kelly, (1967) Preprints, p. 57. , Division of Petroleum Chemistry, Amer. Chem. Soc, Chicago, September; Beuther, Larson, (1965) Ind. Eng. Chem. Proc. Design Develop., 4, p. 177; Swift, Lutinski, Tobin, (1966) J. Catal., 5, p. 285; Holm, Clark, (1968) J. Catal., 11, p. 305; Eischens, (1974) Proceedings of the Battelle Conference on Surface Chemistry, , Gstaad, Switzerland; Dzis'ko, Noskova, Borisova, Bolgova, Karakchiev, (1975) Kinet. Catal., 15, p. 667; Hill, Selwood, (1949) J. Amer. Chem. Soc., 71, p. 2522; Martin, Ceaphalan, Montgolfier, (1973) J. Chim. Phys., 70, p. 1422; Farrauto, (1974) AIChE Symp. Ser., 70, p. 9; Farrauto, (1975) Chem. Engr. Prog., 71, p. 37. , published in short form in; Yates, Taylor, Sinfelt, (1964) J. Amer. Chem. Soc., 86, p. 2996; Bartholomew, Boudart, (1972) J. Catal., 25, p. 173; Pattison, Keeley, Maynor, (1960) J. Chem. Eng. Data, 5, pp. 433-434; Branson, Kinetics and Mechanism of the Reaction Between Zinc Oxide and Aluminum Oxide (1965) Journal of the American Ceramic Society, 48, p. 591; Swift, Lutinski, Kehl, (1965) J. Phys. Chem., 69, p. 3268; Leech, III, Campbell, (1974) ACS Division INDE, 167th National Meeting of the American Chemical Society, , Los Angeles, California; Andrew, (1976) Preparation of Catalysts, pp. 429-444. , B. Delmon, P.A. Jacobs, G. Poncelet, Elsevier, Amsterdam; Anderson, Jr., Conn, Brandenberger, (1970) J. Catal., 16, p. 326; Remey, (1956) Treatise on Inorganic Chemistry, 2, p. 310. , Elsevier, Amsterdam; Heinicke, (1963) Chem. Tech., 15, p. 197; Bartholomew, (1975) Ind. Eng. Chem. Prod. Res. Develop., 14, p. 29","page":"41-53","title":"Chemistry of nickel-alumina catalysts","type":"article-journal","volume":"45"},"uris":["http://www.mendeley.com/documents/?uuid=067872e0-572f-4652-9032-fa60ba7d4c5f"]},{"id":"ITEM-2","itemData":{"DOI":"10.1016/S0926-860X(00)00843-7","ISSN":"0926860X","author":[{"dropping-particle":"","family":"Bartholomew","given":"Calvin H","non-dropping-particle":"","parse-names":false,"suffix":""}],"container-title":"Applied Catalysis A: General","id":"ITEM-2","issue":"1-2","issued":{"date-parts":[["2001","4"]]},"page":"17-60","title":"Mechanisms of catalyst deactivation","type":"article-journal","volume":"212"},"uris":["http://www.mendeley.com/documents/?uuid=1f7b1342-3032-36d1-a121-6c36018a82f6"]},{"id":"ITEM-3","itemData":{"DOI":"http://dx.doi.org/10.1016/0040-6031(93)80287-K","ISBN":"0040-6031","abstract":"The thermal decomposition of nickel nitrate hexahydrate (NiNHH) under dynamic atmosphere of air has been thoroughly studied. Reactions occurring throughout the decomposition up to 600°C were monitored by means of thermogravimetry (TG) and differential thermal analysis (DTA). These reactions were characterized by analysis of the solid calcination products at different temperatures at which various intermediates were expected. Solid analysis was carried out using infrared spectroscopy and X-ray diffractometry. Non-isothermal kinetic parameters (ΔE, A and k) were determined. TG and DTA under nitrogen atmosphere has been carried out. The results indicate the formation of Ni(NO3)2 · nH2O (where n = 5.5, 4 and 2) and mixture of anhydrous and basic nickel nitrate as intermediate solid products. Basic nickel nitrate intermediate was formed in nitrogen atmosphere as well as in air, which was attributed to a hydrolysis process involving the water of dihydrate intermediate. The morphological changes throughout the decomposition course have been followed by scanning electron microscopy and the results are correlated with the obtained thermoanalytical results of the decomposition course of NiNHH.","author":[{"dropping-particle":"","family":"Mansour","given":"Seham A A","non-dropping-particle":"","parse-names":false,"suffix":""}],"container-title":"Thermochimica Acta","id":"ITEM-3","issued":{"date-parts":[["1993"]]},"page":"173-189","title":"Spectroscopic and microscopic investigations of the thermal decomposition of nickel oxysalts: Part 2. Nickel nitrate hexahydrate","type":"article-journal","volume":"228"},"uris":["http://www.mendeley.com/documents/?uuid=cd416a1c-ba4c-4e85-9297-c7c14144c0ec"]}],"mendeley":{"formattedCitation":"[194], [204], [206]","plainTextFormattedCitation":"[194], [204], [206]","previouslyFormattedCitation":"[194], [204], [206]"},"properties":{"noteIndex":0},"schema":"https://github.com/citation-style-language/schema/raw/master/csl-citation.json"}</w:instrText>
      </w:r>
      <w:r w:rsidRPr="0027444E">
        <w:fldChar w:fldCharType="separate"/>
      </w:r>
      <w:r w:rsidR="006C586A" w:rsidRPr="006C586A">
        <w:rPr>
          <w:noProof/>
        </w:rPr>
        <w:t>[194], [204], [206]</w:t>
      </w:r>
      <w:r w:rsidRPr="0027444E">
        <w:fldChar w:fldCharType="end"/>
      </w:r>
      <w:r w:rsidRPr="0027444E">
        <w:t xml:space="preserve">. </w:t>
      </w:r>
    </w:p>
    <w:p w14:paraId="57B38B0C" w14:textId="60129D4E" w:rsidR="00C3260A" w:rsidRDefault="00C3260A" w:rsidP="00C3260A">
      <w:r>
        <w:t xml:space="preserve">Deconvolution of the TPR profiles for the </w:t>
      </w:r>
      <w:proofErr w:type="spellStart"/>
      <w:r>
        <w:t>NiO</w:t>
      </w:r>
      <w:proofErr w:type="spellEnd"/>
      <w:r>
        <w:t xml:space="preserve">-YSZ samples was performed in </w:t>
      </w:r>
      <w:proofErr w:type="spellStart"/>
      <w:r>
        <w:t>OriginPro</w:t>
      </w:r>
      <w:proofErr w:type="spellEnd"/>
      <w:r>
        <w:t xml:space="preserve"> using a Gaussian distribution</w:t>
      </w:r>
      <w:r w:rsidR="006A4FAB">
        <w:t xml:space="preserve"> (</w:t>
      </w:r>
      <w:r w:rsidR="006A4FAB">
        <w:fldChar w:fldCharType="begin"/>
      </w:r>
      <w:r w:rsidR="006A4FAB">
        <w:instrText xml:space="preserve"> REF _Ref50553497 \h </w:instrText>
      </w:r>
      <w:r w:rsidR="006A4FAB">
        <w:fldChar w:fldCharType="separate"/>
      </w:r>
      <w:r w:rsidR="001E3ECE">
        <w:t>Figure 4.</w:t>
      </w:r>
      <w:r w:rsidR="001E3ECE">
        <w:rPr>
          <w:noProof/>
        </w:rPr>
        <w:t>18</w:t>
      </w:r>
      <w:r w:rsidR="006A4FAB">
        <w:fldChar w:fldCharType="end"/>
      </w:r>
      <w:r w:rsidR="006A4FAB">
        <w:t>)</w:t>
      </w:r>
      <w:r>
        <w:t xml:space="preserve">. The analysis revealed that the air-dried samples had a minimum of 6 reduction events (peaks) which is indicative of a heterogeneous particle size distribution in the </w:t>
      </w:r>
      <w:proofErr w:type="spellStart"/>
      <w:r>
        <w:t>NiO</w:t>
      </w:r>
      <w:proofErr w:type="spellEnd"/>
      <w:r>
        <w:t xml:space="preserve"> catalyst.  The area beneath the peaks was calculated via integration for each of the reduction reactions. The reduction of </w:t>
      </w:r>
      <w:proofErr w:type="spellStart"/>
      <w:r>
        <w:t>NiO</w:t>
      </w:r>
      <w:proofErr w:type="spellEnd"/>
      <w:r>
        <w:t xml:space="preserve"> to metallic nickel has been documented to occur between 290 – 390 </w:t>
      </w:r>
      <w:r>
        <w:rPr>
          <w:rFonts w:cstheme="minorHAnsi"/>
        </w:rPr>
        <w:t>°</w:t>
      </w:r>
      <w:r>
        <w:t xml:space="preserve">C which has been further highlighted by the </w:t>
      </w:r>
      <w:proofErr w:type="spellStart"/>
      <w:r>
        <w:t>NiO</w:t>
      </w:r>
      <w:proofErr w:type="spellEnd"/>
      <w:r>
        <w:t>-YSZ in this study.</w:t>
      </w:r>
    </w:p>
    <w:p w14:paraId="45A8A855" w14:textId="77777777" w:rsidR="00007F6C" w:rsidRDefault="00007F6C" w:rsidP="00007F6C">
      <w:pPr>
        <w:keepNext/>
        <w:jc w:val="center"/>
      </w:pPr>
      <w:r w:rsidRPr="00054425">
        <w:rPr>
          <w:noProof/>
        </w:rPr>
        <w:drawing>
          <wp:inline distT="0" distB="0" distL="0" distR="0" wp14:anchorId="60D6D20B" wp14:editId="2C44DFB7">
            <wp:extent cx="4320000" cy="3097358"/>
            <wp:effectExtent l="0" t="0" r="444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3">
                      <a:extLst>
                        <a:ext uri="{28A0092B-C50C-407E-A947-70E740481C1C}">
                          <a14:useLocalDpi xmlns:a14="http://schemas.microsoft.com/office/drawing/2010/main" val="0"/>
                        </a:ext>
                      </a:extLst>
                    </a:blip>
                    <a:srcRect l="5446" t="3106" r="2178" b="2484"/>
                    <a:stretch/>
                  </pic:blipFill>
                  <pic:spPr bwMode="auto">
                    <a:xfrm>
                      <a:off x="0" y="0"/>
                      <a:ext cx="4320000" cy="3097358"/>
                    </a:xfrm>
                    <a:prstGeom prst="rect">
                      <a:avLst/>
                    </a:prstGeom>
                    <a:noFill/>
                    <a:ln>
                      <a:noFill/>
                    </a:ln>
                    <a:extLst>
                      <a:ext uri="{53640926-AAD7-44D8-BBD7-CCE9431645EC}">
                        <a14:shadowObscured xmlns:a14="http://schemas.microsoft.com/office/drawing/2010/main"/>
                      </a:ext>
                    </a:extLst>
                  </pic:spPr>
                </pic:pic>
              </a:graphicData>
            </a:graphic>
          </wp:inline>
        </w:drawing>
      </w:r>
    </w:p>
    <w:p w14:paraId="724E99D8" w14:textId="125F3612" w:rsidR="00007F6C" w:rsidRDefault="00007F6C" w:rsidP="00007F6C">
      <w:pPr>
        <w:pStyle w:val="Caption"/>
      </w:pPr>
      <w:bookmarkStart w:id="357" w:name="_Ref40960562"/>
      <w:bookmarkStart w:id="358" w:name="_Toc69114991"/>
      <w:r>
        <w:t>Figure 4.</w:t>
      </w:r>
      <w:r w:rsidR="00B51F53">
        <w:fldChar w:fldCharType="begin"/>
      </w:r>
      <w:r w:rsidR="00B51F53">
        <w:instrText xml:space="preserve"> S</w:instrText>
      </w:r>
      <w:r w:rsidR="00B51F53">
        <w:instrText xml:space="preserve">EQ Figure \* ARABIC </w:instrText>
      </w:r>
      <w:r w:rsidR="00B51F53">
        <w:fldChar w:fldCharType="separate"/>
      </w:r>
      <w:r w:rsidR="001E3ECE">
        <w:rPr>
          <w:noProof/>
        </w:rPr>
        <w:t>17</w:t>
      </w:r>
      <w:r w:rsidR="00B51F53">
        <w:rPr>
          <w:noProof/>
        </w:rPr>
        <w:fldChar w:fldCharType="end"/>
      </w:r>
      <w:bookmarkEnd w:id="357"/>
      <w:r>
        <w:t xml:space="preserve">: Normalised Temperature Programmed Reduction profiles of </w:t>
      </w:r>
      <w:proofErr w:type="gramStart"/>
      <w:r>
        <w:t>all of</w:t>
      </w:r>
      <w:proofErr w:type="gramEnd"/>
      <w:r>
        <w:t xml:space="preserve"> the drying and calcination combinations</w:t>
      </w:r>
      <w:r w:rsidRPr="009D179A">
        <w:rPr>
          <w:rFonts w:cstheme="minorHAnsi"/>
        </w:rPr>
        <w:t xml:space="preserve"> and a 3.0mg </w:t>
      </w:r>
      <w:proofErr w:type="spellStart"/>
      <w:r w:rsidRPr="009D179A">
        <w:rPr>
          <w:rFonts w:cstheme="minorHAnsi"/>
        </w:rPr>
        <w:t>NiO</w:t>
      </w:r>
      <w:proofErr w:type="spellEnd"/>
      <w:r w:rsidRPr="009D179A">
        <w:rPr>
          <w:rFonts w:cstheme="minorHAnsi"/>
        </w:rPr>
        <w:t xml:space="preserve"> calibration sample from JT Baker.</w:t>
      </w:r>
      <w:bookmarkEnd w:id="358"/>
      <w:r>
        <w:t xml:space="preserve"> </w:t>
      </w:r>
    </w:p>
    <w:p w14:paraId="42E8E2AD" w14:textId="6F6218B3" w:rsidR="00C3260A" w:rsidRDefault="00C3260A" w:rsidP="006A4FAB">
      <w:pPr>
        <w:spacing w:before="240"/>
        <w:jc w:val="both"/>
      </w:pPr>
      <w:r>
        <w:t xml:space="preserve">For the AD samples the initial reduction between 290 – 320 </w:t>
      </w:r>
      <w:r>
        <w:rPr>
          <w:rFonts w:cstheme="minorHAnsi"/>
        </w:rPr>
        <w:t>°</w:t>
      </w:r>
      <w:r>
        <w:t xml:space="preserve">C are shared with interactions at 295, 313 and 317 </w:t>
      </w:r>
      <w:r>
        <w:rPr>
          <w:rFonts w:cstheme="minorHAnsi"/>
        </w:rPr>
        <w:t>°</w:t>
      </w:r>
      <w:r>
        <w:t>C</w:t>
      </w:r>
      <w:r w:rsidR="00E612A7">
        <w:t xml:space="preserve"> (</w:t>
      </w:r>
      <w:r w:rsidR="00E612A7">
        <w:fldChar w:fldCharType="begin"/>
      </w:r>
      <w:r w:rsidR="00E612A7">
        <w:instrText xml:space="preserve"> REF _Ref67299331 \h </w:instrText>
      </w:r>
      <w:r w:rsidR="00E612A7">
        <w:fldChar w:fldCharType="separate"/>
      </w:r>
      <w:r w:rsidR="00E612A7">
        <w:t>Table 4.</w:t>
      </w:r>
      <w:r w:rsidR="00E612A7">
        <w:rPr>
          <w:noProof/>
        </w:rPr>
        <w:t>6</w:t>
      </w:r>
      <w:r w:rsidR="00E612A7">
        <w:fldChar w:fldCharType="end"/>
      </w:r>
      <w:r w:rsidR="00E612A7">
        <w:t>)</w:t>
      </w:r>
      <w:r>
        <w:t xml:space="preserve">. These reactions account for 24.7 and 37.5 % for the AD AC and AD NC </w:t>
      </w:r>
      <w:proofErr w:type="gramStart"/>
      <w:r>
        <w:t>samples</w:t>
      </w:r>
      <w:proofErr w:type="gramEnd"/>
      <w:r>
        <w:t xml:space="preserve"> respectively. This indicates that the nitrogen calcination step has reduced the particle size distribution between the two systems. The % area of the surface </w:t>
      </w:r>
      <w:proofErr w:type="spellStart"/>
      <w:r>
        <w:t>NiO</w:t>
      </w:r>
      <w:proofErr w:type="spellEnd"/>
      <w:r>
        <w:t xml:space="preserve"> nanoparticles at 290 </w:t>
      </w:r>
      <w:r>
        <w:rPr>
          <w:rFonts w:cstheme="minorHAnsi"/>
        </w:rPr>
        <w:t>°</w:t>
      </w:r>
      <w:r>
        <w:t xml:space="preserve">C has not differed between the two datasets (13 %) which indicates that the calcination does not impact the smallest </w:t>
      </w:r>
      <w:proofErr w:type="spellStart"/>
      <w:r>
        <w:t>NiO</w:t>
      </w:r>
      <w:proofErr w:type="spellEnd"/>
      <w:r>
        <w:t xml:space="preserve"> nanoparticles. In the first 50 </w:t>
      </w:r>
      <w:r>
        <w:rPr>
          <w:rFonts w:cstheme="minorHAnsi"/>
        </w:rPr>
        <w:t xml:space="preserve">°C of reduction (290 -340 °C) the AC specimen also had another interaction at 305.2 °C which is not present in its NC counterpart. </w:t>
      </w:r>
      <w:r>
        <w:t xml:space="preserve">The inert calcination step has also increased the reducibility of the bulk </w:t>
      </w:r>
      <w:proofErr w:type="spellStart"/>
      <w:r>
        <w:t>NiO</w:t>
      </w:r>
      <w:proofErr w:type="spellEnd"/>
      <w:r>
        <w:t xml:space="preserve"> agglomerates shifting the interactions from 378.0 and 384.6 </w:t>
      </w:r>
      <w:r>
        <w:rPr>
          <w:rFonts w:cstheme="minorHAnsi"/>
        </w:rPr>
        <w:t>°</w:t>
      </w:r>
      <w:r>
        <w:t xml:space="preserve">C to 357.8 and 369.4 </w:t>
      </w:r>
      <w:r>
        <w:rPr>
          <w:rFonts w:cstheme="minorHAnsi"/>
        </w:rPr>
        <w:t>°</w:t>
      </w:r>
      <w:proofErr w:type="gramStart"/>
      <w:r>
        <w:t>C</w:t>
      </w:r>
      <w:proofErr w:type="gramEnd"/>
      <w:r>
        <w:t xml:space="preserve"> respectively. For the AD AC sample, the first 5 reduction events occurred in the first 50 </w:t>
      </w:r>
      <w:r>
        <w:rPr>
          <w:rFonts w:cstheme="minorHAnsi"/>
        </w:rPr>
        <w:t>°</w:t>
      </w:r>
      <w:r>
        <w:t>C region which was 2.7 % lower than its NC counterpart.</w:t>
      </w:r>
    </w:p>
    <w:p w14:paraId="3EC50DFD" w14:textId="61BF7208" w:rsidR="006A4FAB" w:rsidRDefault="006A4FAB" w:rsidP="006A4FAB">
      <w:pPr>
        <w:pStyle w:val="Caption"/>
        <w:keepNext/>
      </w:pPr>
      <w:bookmarkStart w:id="359" w:name="_Ref67299331"/>
      <w:r>
        <w:lastRenderedPageBreak/>
        <w:t>Table 4.</w:t>
      </w:r>
      <w:r w:rsidR="00B51F53">
        <w:fldChar w:fldCharType="begin"/>
      </w:r>
      <w:r w:rsidR="00B51F53">
        <w:instrText xml:space="preserve"> SEQ Table \* ARABIC </w:instrText>
      </w:r>
      <w:r w:rsidR="00B51F53">
        <w:fldChar w:fldCharType="separate"/>
      </w:r>
      <w:r w:rsidR="0022061C">
        <w:rPr>
          <w:noProof/>
        </w:rPr>
        <w:t>6</w:t>
      </w:r>
      <w:r w:rsidR="00B51F53">
        <w:rPr>
          <w:noProof/>
        </w:rPr>
        <w:fldChar w:fldCharType="end"/>
      </w:r>
      <w:bookmarkEnd w:id="359"/>
      <w:r>
        <w:t xml:space="preserve">: Table showing the different reduction peak positions and % area per peak in </w:t>
      </w:r>
      <w:r w:rsidR="00E612A7">
        <w:t>the</w:t>
      </w:r>
      <w:r>
        <w:t xml:space="preserve"> infiltrated </w:t>
      </w:r>
      <w:proofErr w:type="spellStart"/>
      <w:r>
        <w:t>NiO</w:t>
      </w:r>
      <w:proofErr w:type="spellEnd"/>
      <w:r>
        <w:t>-YSZ samples</w:t>
      </w:r>
      <w:r w:rsidR="00E612A7">
        <w:t xml:space="preserve"> processed with either an Air or Nitrogen atmosphere</w:t>
      </w:r>
    </w:p>
    <w:tbl>
      <w:tblPr>
        <w:tblStyle w:val="TableGrid"/>
        <w:tblW w:w="9177" w:type="dxa"/>
        <w:tblInd w:w="-147" w:type="dxa"/>
        <w:tblLayout w:type="fixed"/>
        <w:tblLook w:val="04A0" w:firstRow="1" w:lastRow="0" w:firstColumn="1" w:lastColumn="0" w:noHBand="0" w:noVBand="1"/>
      </w:tblPr>
      <w:tblGrid>
        <w:gridCol w:w="1185"/>
        <w:gridCol w:w="960"/>
        <w:gridCol w:w="1176"/>
        <w:gridCol w:w="1146"/>
        <w:gridCol w:w="236"/>
        <w:gridCol w:w="968"/>
        <w:gridCol w:w="1006"/>
        <w:gridCol w:w="1348"/>
        <w:gridCol w:w="1152"/>
      </w:tblGrid>
      <w:tr w:rsidR="00E612A7" w14:paraId="324831D9" w14:textId="77777777" w:rsidTr="00E016A5">
        <w:tc>
          <w:tcPr>
            <w:tcW w:w="1185" w:type="dxa"/>
            <w:shd w:val="clear" w:color="auto" w:fill="D9D9D9" w:themeFill="background1" w:themeFillShade="D9"/>
          </w:tcPr>
          <w:p w14:paraId="28B68897" w14:textId="77777777" w:rsidR="00E612A7" w:rsidRPr="005B3E77" w:rsidRDefault="00E612A7" w:rsidP="006B3266">
            <w:pPr>
              <w:rPr>
                <w:b/>
                <w:bCs/>
              </w:rPr>
            </w:pPr>
            <w:bookmarkStart w:id="360" w:name="_Hlk66883744"/>
            <w:r w:rsidRPr="005B3E77">
              <w:rPr>
                <w:b/>
                <w:bCs/>
              </w:rPr>
              <w:t>Processing Condition</w:t>
            </w:r>
          </w:p>
        </w:tc>
        <w:tc>
          <w:tcPr>
            <w:tcW w:w="960" w:type="dxa"/>
            <w:shd w:val="clear" w:color="auto" w:fill="D9D9D9" w:themeFill="background1" w:themeFillShade="D9"/>
          </w:tcPr>
          <w:p w14:paraId="7DA2CEFC" w14:textId="77777777" w:rsidR="00E612A7" w:rsidRPr="005B3E77" w:rsidRDefault="00E612A7" w:rsidP="006B3266">
            <w:pPr>
              <w:rPr>
                <w:b/>
                <w:bCs/>
              </w:rPr>
            </w:pPr>
            <w:r w:rsidRPr="005B3E77">
              <w:rPr>
                <w:b/>
                <w:bCs/>
              </w:rPr>
              <w:t>Peak Position [</w:t>
            </w:r>
            <w:r w:rsidRPr="005B3E77">
              <w:rPr>
                <w:rFonts w:cstheme="minorHAnsi"/>
                <w:b/>
                <w:bCs/>
              </w:rPr>
              <w:t>°</w:t>
            </w:r>
            <w:r w:rsidRPr="005B3E77">
              <w:rPr>
                <w:b/>
                <w:bCs/>
              </w:rPr>
              <w:t>C]</w:t>
            </w:r>
          </w:p>
        </w:tc>
        <w:tc>
          <w:tcPr>
            <w:tcW w:w="1176" w:type="dxa"/>
            <w:shd w:val="clear" w:color="auto" w:fill="D9D9D9" w:themeFill="background1" w:themeFillShade="D9"/>
          </w:tcPr>
          <w:p w14:paraId="69EB9A59" w14:textId="77777777" w:rsidR="00E612A7" w:rsidRPr="005B3E77" w:rsidRDefault="00E612A7" w:rsidP="006B3266">
            <w:pPr>
              <w:rPr>
                <w:b/>
                <w:bCs/>
              </w:rPr>
            </w:pPr>
            <w:r w:rsidRPr="005B3E77">
              <w:rPr>
                <w:b/>
                <w:bCs/>
              </w:rPr>
              <w:t xml:space="preserve">Integrated Peak Area </w:t>
            </w:r>
          </w:p>
        </w:tc>
        <w:tc>
          <w:tcPr>
            <w:tcW w:w="1146" w:type="dxa"/>
            <w:shd w:val="clear" w:color="auto" w:fill="D9D9D9" w:themeFill="background1" w:themeFillShade="D9"/>
          </w:tcPr>
          <w:p w14:paraId="0E8D2B77" w14:textId="77777777" w:rsidR="00E612A7" w:rsidRPr="005B3E77" w:rsidRDefault="00E612A7" w:rsidP="006B3266">
            <w:pPr>
              <w:rPr>
                <w:b/>
                <w:bCs/>
              </w:rPr>
            </w:pPr>
            <w:r w:rsidRPr="005B3E77">
              <w:rPr>
                <w:b/>
                <w:bCs/>
              </w:rPr>
              <w:t>Area per Reduction Peak [%]</w:t>
            </w:r>
          </w:p>
        </w:tc>
        <w:tc>
          <w:tcPr>
            <w:tcW w:w="236" w:type="dxa"/>
            <w:vMerge w:val="restart"/>
            <w:shd w:val="clear" w:color="auto" w:fill="D9D9D9" w:themeFill="background1" w:themeFillShade="D9"/>
          </w:tcPr>
          <w:p w14:paraId="3F2C761E" w14:textId="77777777" w:rsidR="00E612A7" w:rsidRDefault="00E612A7" w:rsidP="006B3266">
            <w:pPr>
              <w:rPr>
                <w:b/>
                <w:bCs/>
              </w:rPr>
            </w:pPr>
          </w:p>
          <w:p w14:paraId="58C9339E" w14:textId="5A927201" w:rsidR="00E016A5" w:rsidRPr="00E016A5" w:rsidRDefault="00E016A5" w:rsidP="00E016A5"/>
        </w:tc>
        <w:tc>
          <w:tcPr>
            <w:tcW w:w="968" w:type="dxa"/>
            <w:shd w:val="clear" w:color="auto" w:fill="D9D9D9" w:themeFill="background1" w:themeFillShade="D9"/>
          </w:tcPr>
          <w:p w14:paraId="39CE27DD" w14:textId="77777777" w:rsidR="00E612A7" w:rsidRPr="005B3E77" w:rsidRDefault="00E612A7" w:rsidP="006B3266">
            <w:pPr>
              <w:rPr>
                <w:b/>
                <w:bCs/>
              </w:rPr>
            </w:pPr>
            <w:r w:rsidRPr="005B3E77">
              <w:rPr>
                <w:b/>
                <w:bCs/>
              </w:rPr>
              <w:t>Processing Condition</w:t>
            </w:r>
          </w:p>
        </w:tc>
        <w:tc>
          <w:tcPr>
            <w:tcW w:w="1006" w:type="dxa"/>
            <w:shd w:val="clear" w:color="auto" w:fill="D9D9D9" w:themeFill="background1" w:themeFillShade="D9"/>
          </w:tcPr>
          <w:p w14:paraId="34DC1F9B" w14:textId="77777777" w:rsidR="00E612A7" w:rsidRPr="005B3E77" w:rsidRDefault="00E612A7" w:rsidP="006B3266">
            <w:pPr>
              <w:rPr>
                <w:b/>
                <w:bCs/>
              </w:rPr>
            </w:pPr>
            <w:r w:rsidRPr="005B3E77">
              <w:rPr>
                <w:b/>
                <w:bCs/>
              </w:rPr>
              <w:t>Peak Position [</w:t>
            </w:r>
            <w:r w:rsidRPr="005B3E77">
              <w:rPr>
                <w:rFonts w:cstheme="minorHAnsi"/>
                <w:b/>
                <w:bCs/>
              </w:rPr>
              <w:t>°</w:t>
            </w:r>
            <w:r w:rsidRPr="005B3E77">
              <w:rPr>
                <w:b/>
                <w:bCs/>
              </w:rPr>
              <w:t>C]</w:t>
            </w:r>
          </w:p>
        </w:tc>
        <w:tc>
          <w:tcPr>
            <w:tcW w:w="1348" w:type="dxa"/>
            <w:shd w:val="clear" w:color="auto" w:fill="D9D9D9" w:themeFill="background1" w:themeFillShade="D9"/>
          </w:tcPr>
          <w:p w14:paraId="7BB53A5F" w14:textId="77777777" w:rsidR="00E612A7" w:rsidRPr="005B3E77" w:rsidRDefault="00E612A7" w:rsidP="006B3266">
            <w:pPr>
              <w:rPr>
                <w:b/>
                <w:bCs/>
              </w:rPr>
            </w:pPr>
            <w:r w:rsidRPr="005B3E77">
              <w:rPr>
                <w:b/>
                <w:bCs/>
              </w:rPr>
              <w:t xml:space="preserve">Integrated Peak Area </w:t>
            </w:r>
          </w:p>
        </w:tc>
        <w:tc>
          <w:tcPr>
            <w:tcW w:w="1152" w:type="dxa"/>
            <w:shd w:val="clear" w:color="auto" w:fill="D9D9D9" w:themeFill="background1" w:themeFillShade="D9"/>
          </w:tcPr>
          <w:p w14:paraId="728D5023" w14:textId="77777777" w:rsidR="00E612A7" w:rsidRPr="005B3E77" w:rsidRDefault="00E612A7" w:rsidP="006B3266">
            <w:pPr>
              <w:rPr>
                <w:b/>
                <w:bCs/>
              </w:rPr>
            </w:pPr>
            <w:r w:rsidRPr="005B3E77">
              <w:rPr>
                <w:b/>
                <w:bCs/>
              </w:rPr>
              <w:t>Area per Reduction Peak [%]</w:t>
            </w:r>
          </w:p>
        </w:tc>
      </w:tr>
      <w:tr w:rsidR="00E612A7" w14:paraId="31C5A051" w14:textId="77777777" w:rsidTr="00E016A5">
        <w:tc>
          <w:tcPr>
            <w:tcW w:w="1185" w:type="dxa"/>
            <w:vMerge w:val="restart"/>
          </w:tcPr>
          <w:p w14:paraId="16AD114D" w14:textId="77777777" w:rsidR="00E612A7" w:rsidRDefault="00E612A7" w:rsidP="006B3266">
            <w:pPr>
              <w:jc w:val="center"/>
            </w:pPr>
            <w:r>
              <w:t>AD AC</w:t>
            </w:r>
          </w:p>
        </w:tc>
        <w:tc>
          <w:tcPr>
            <w:tcW w:w="960" w:type="dxa"/>
            <w:vAlign w:val="bottom"/>
          </w:tcPr>
          <w:p w14:paraId="087D64AF" w14:textId="77777777" w:rsidR="00E612A7" w:rsidRDefault="00E612A7" w:rsidP="006B3266">
            <w:pPr>
              <w:jc w:val="right"/>
            </w:pPr>
            <w:r>
              <w:rPr>
                <w:rFonts w:ascii="Calibri" w:hAnsi="Calibri" w:cs="Calibri"/>
                <w:color w:val="000000"/>
              </w:rPr>
              <w:t>292.0</w:t>
            </w:r>
          </w:p>
        </w:tc>
        <w:tc>
          <w:tcPr>
            <w:tcW w:w="1176" w:type="dxa"/>
            <w:vAlign w:val="bottom"/>
          </w:tcPr>
          <w:p w14:paraId="4D8C3968" w14:textId="435DCE8D" w:rsidR="00E612A7" w:rsidRDefault="00E612A7" w:rsidP="006B3266">
            <w:pPr>
              <w:jc w:val="right"/>
            </w:pPr>
            <w:r>
              <w:rPr>
                <w:rFonts w:ascii="Calibri" w:hAnsi="Calibri" w:cs="Calibri"/>
                <w:color w:val="000000"/>
              </w:rPr>
              <w:t>9.00</w:t>
            </w:r>
            <w:r w:rsidR="006B3266">
              <w:rPr>
                <w:rFonts w:ascii="Calibri" w:hAnsi="Calibri" w:cs="Calibri"/>
                <w:color w:val="000000"/>
              </w:rPr>
              <w:t xml:space="preserve"> </w:t>
            </w:r>
          </w:p>
        </w:tc>
        <w:tc>
          <w:tcPr>
            <w:tcW w:w="1146" w:type="dxa"/>
            <w:vAlign w:val="bottom"/>
          </w:tcPr>
          <w:p w14:paraId="17832E97" w14:textId="77777777" w:rsidR="00E612A7" w:rsidRDefault="00E612A7" w:rsidP="006B3266">
            <w:pPr>
              <w:jc w:val="right"/>
            </w:pPr>
            <w:r>
              <w:rPr>
                <w:rFonts w:ascii="Calibri" w:hAnsi="Calibri" w:cs="Calibri"/>
                <w:color w:val="000000"/>
              </w:rPr>
              <w:t>13.04</w:t>
            </w:r>
          </w:p>
        </w:tc>
        <w:tc>
          <w:tcPr>
            <w:tcW w:w="236" w:type="dxa"/>
            <w:vMerge/>
          </w:tcPr>
          <w:p w14:paraId="1E9F083C" w14:textId="77777777" w:rsidR="00E612A7" w:rsidRDefault="00E612A7" w:rsidP="006B3266"/>
        </w:tc>
        <w:tc>
          <w:tcPr>
            <w:tcW w:w="968" w:type="dxa"/>
            <w:vMerge w:val="restart"/>
          </w:tcPr>
          <w:p w14:paraId="560BB42C" w14:textId="77777777" w:rsidR="00E612A7" w:rsidRDefault="00E612A7" w:rsidP="006B3266">
            <w:pPr>
              <w:jc w:val="center"/>
            </w:pPr>
            <w:r>
              <w:t>AD NC</w:t>
            </w:r>
          </w:p>
        </w:tc>
        <w:tc>
          <w:tcPr>
            <w:tcW w:w="1006" w:type="dxa"/>
          </w:tcPr>
          <w:p w14:paraId="1A0BD5AD" w14:textId="77777777" w:rsidR="00E612A7" w:rsidRPr="005B3E77" w:rsidRDefault="00E612A7" w:rsidP="006B3266">
            <w:pPr>
              <w:jc w:val="right"/>
              <w:rPr>
                <w:rFonts w:ascii="Calibri" w:hAnsi="Calibri" w:cs="Calibri"/>
                <w:color w:val="000000"/>
              </w:rPr>
            </w:pPr>
            <w:r>
              <w:rPr>
                <w:rFonts w:ascii="Calibri" w:hAnsi="Calibri" w:cs="Calibri"/>
                <w:color w:val="000000"/>
              </w:rPr>
              <w:t>295.6</w:t>
            </w:r>
          </w:p>
        </w:tc>
        <w:tc>
          <w:tcPr>
            <w:tcW w:w="1348" w:type="dxa"/>
          </w:tcPr>
          <w:p w14:paraId="53111195" w14:textId="688BD7FD" w:rsidR="00E612A7" w:rsidRPr="005B3E77" w:rsidRDefault="00E612A7" w:rsidP="006B3266">
            <w:pPr>
              <w:jc w:val="right"/>
              <w:rPr>
                <w:rFonts w:ascii="Calibri" w:hAnsi="Calibri" w:cs="Calibri"/>
                <w:color w:val="000000"/>
              </w:rPr>
            </w:pPr>
            <w:r>
              <w:rPr>
                <w:rFonts w:ascii="Calibri" w:hAnsi="Calibri" w:cs="Calibri"/>
                <w:color w:val="000000"/>
              </w:rPr>
              <w:t>8.70</w:t>
            </w:r>
            <w:r w:rsidR="00E016A5">
              <w:rPr>
                <w:rFonts w:ascii="Calibri" w:hAnsi="Calibri" w:cs="Calibri"/>
                <w:color w:val="000000"/>
              </w:rPr>
              <w:t xml:space="preserve"> </w:t>
            </w:r>
          </w:p>
        </w:tc>
        <w:tc>
          <w:tcPr>
            <w:tcW w:w="1152" w:type="dxa"/>
            <w:vAlign w:val="bottom"/>
          </w:tcPr>
          <w:p w14:paraId="50DC62C3" w14:textId="77777777" w:rsidR="00E612A7" w:rsidRDefault="00E612A7" w:rsidP="006B3266">
            <w:pPr>
              <w:jc w:val="right"/>
            </w:pPr>
            <w:r>
              <w:rPr>
                <w:rFonts w:ascii="Calibri" w:hAnsi="Calibri" w:cs="Calibri"/>
                <w:color w:val="000000"/>
              </w:rPr>
              <w:t>13.73</w:t>
            </w:r>
          </w:p>
        </w:tc>
      </w:tr>
      <w:tr w:rsidR="00E612A7" w14:paraId="64C68DAC" w14:textId="77777777" w:rsidTr="00E016A5">
        <w:tc>
          <w:tcPr>
            <w:tcW w:w="1185" w:type="dxa"/>
            <w:vMerge/>
          </w:tcPr>
          <w:p w14:paraId="05A4163A" w14:textId="77777777" w:rsidR="00E612A7" w:rsidRDefault="00E612A7" w:rsidP="006B3266"/>
        </w:tc>
        <w:tc>
          <w:tcPr>
            <w:tcW w:w="960" w:type="dxa"/>
            <w:vAlign w:val="bottom"/>
          </w:tcPr>
          <w:p w14:paraId="02F55789" w14:textId="77777777" w:rsidR="00E612A7" w:rsidRDefault="00E612A7" w:rsidP="006B3266">
            <w:pPr>
              <w:jc w:val="right"/>
            </w:pPr>
            <w:r>
              <w:rPr>
                <w:rFonts w:ascii="Calibri" w:hAnsi="Calibri" w:cs="Calibri"/>
                <w:color w:val="000000"/>
              </w:rPr>
              <w:t>305.2</w:t>
            </w:r>
          </w:p>
        </w:tc>
        <w:tc>
          <w:tcPr>
            <w:tcW w:w="1176" w:type="dxa"/>
            <w:vAlign w:val="bottom"/>
          </w:tcPr>
          <w:p w14:paraId="192BD98B" w14:textId="57E9E75D" w:rsidR="00E612A7" w:rsidRDefault="00E612A7" w:rsidP="006B3266">
            <w:pPr>
              <w:jc w:val="right"/>
            </w:pPr>
            <w:r>
              <w:rPr>
                <w:rFonts w:ascii="Calibri" w:hAnsi="Calibri" w:cs="Calibri"/>
                <w:color w:val="000000"/>
              </w:rPr>
              <w:t>3.71</w:t>
            </w:r>
            <w:r w:rsidR="00E016A5">
              <w:rPr>
                <w:rFonts w:ascii="Calibri" w:hAnsi="Calibri" w:cs="Calibri"/>
                <w:color w:val="000000"/>
              </w:rPr>
              <w:t xml:space="preserve"> </w:t>
            </w:r>
          </w:p>
        </w:tc>
        <w:tc>
          <w:tcPr>
            <w:tcW w:w="1146" w:type="dxa"/>
            <w:vAlign w:val="bottom"/>
          </w:tcPr>
          <w:p w14:paraId="42457ADF" w14:textId="77777777" w:rsidR="00E612A7" w:rsidRDefault="00E612A7" w:rsidP="006B3266">
            <w:pPr>
              <w:jc w:val="right"/>
            </w:pPr>
            <w:r>
              <w:rPr>
                <w:rFonts w:ascii="Calibri" w:hAnsi="Calibri" w:cs="Calibri"/>
                <w:color w:val="000000"/>
              </w:rPr>
              <w:t>5.38</w:t>
            </w:r>
          </w:p>
        </w:tc>
        <w:tc>
          <w:tcPr>
            <w:tcW w:w="236" w:type="dxa"/>
            <w:vMerge/>
          </w:tcPr>
          <w:p w14:paraId="7E879187" w14:textId="77777777" w:rsidR="00E612A7" w:rsidRDefault="00E612A7" w:rsidP="006B3266"/>
        </w:tc>
        <w:tc>
          <w:tcPr>
            <w:tcW w:w="968" w:type="dxa"/>
            <w:vMerge/>
          </w:tcPr>
          <w:p w14:paraId="31E6E40D" w14:textId="77777777" w:rsidR="00E612A7" w:rsidRDefault="00E612A7" w:rsidP="006B3266"/>
        </w:tc>
        <w:tc>
          <w:tcPr>
            <w:tcW w:w="1006" w:type="dxa"/>
            <w:vAlign w:val="bottom"/>
          </w:tcPr>
          <w:p w14:paraId="01C791E1" w14:textId="77777777" w:rsidR="00E612A7" w:rsidRDefault="00E612A7" w:rsidP="006B3266">
            <w:pPr>
              <w:jc w:val="right"/>
            </w:pPr>
            <w:r>
              <w:rPr>
                <w:rFonts w:ascii="Calibri" w:hAnsi="Calibri" w:cs="Calibri"/>
                <w:color w:val="000000"/>
              </w:rPr>
              <w:t>313.2</w:t>
            </w:r>
          </w:p>
        </w:tc>
        <w:tc>
          <w:tcPr>
            <w:tcW w:w="1348" w:type="dxa"/>
            <w:vAlign w:val="bottom"/>
          </w:tcPr>
          <w:p w14:paraId="60341F55" w14:textId="4208D979" w:rsidR="00E612A7" w:rsidRDefault="00E612A7" w:rsidP="006B3266">
            <w:pPr>
              <w:jc w:val="right"/>
            </w:pPr>
            <w:r>
              <w:rPr>
                <w:rFonts w:ascii="Calibri" w:hAnsi="Calibri" w:cs="Calibri"/>
                <w:color w:val="000000"/>
              </w:rPr>
              <w:t>0.63</w:t>
            </w:r>
            <w:r w:rsidR="00E016A5">
              <w:rPr>
                <w:rFonts w:ascii="Calibri" w:hAnsi="Calibri" w:cs="Calibri"/>
                <w:color w:val="000000"/>
              </w:rPr>
              <w:t xml:space="preserve"> </w:t>
            </w:r>
          </w:p>
        </w:tc>
        <w:tc>
          <w:tcPr>
            <w:tcW w:w="1152" w:type="dxa"/>
            <w:vAlign w:val="bottom"/>
          </w:tcPr>
          <w:p w14:paraId="4AA2DB5E" w14:textId="77777777" w:rsidR="00E612A7" w:rsidRDefault="00E612A7" w:rsidP="006B3266">
            <w:pPr>
              <w:jc w:val="right"/>
            </w:pPr>
            <w:r>
              <w:rPr>
                <w:rFonts w:ascii="Calibri" w:hAnsi="Calibri" w:cs="Calibri"/>
                <w:color w:val="000000"/>
              </w:rPr>
              <w:t>0.99</w:t>
            </w:r>
          </w:p>
        </w:tc>
      </w:tr>
      <w:tr w:rsidR="00E612A7" w14:paraId="3026C716" w14:textId="77777777" w:rsidTr="00E016A5">
        <w:tc>
          <w:tcPr>
            <w:tcW w:w="1185" w:type="dxa"/>
            <w:vMerge/>
          </w:tcPr>
          <w:p w14:paraId="3035E83C" w14:textId="77777777" w:rsidR="00E612A7" w:rsidRDefault="00E612A7" w:rsidP="006B3266"/>
        </w:tc>
        <w:tc>
          <w:tcPr>
            <w:tcW w:w="960" w:type="dxa"/>
            <w:vAlign w:val="bottom"/>
          </w:tcPr>
          <w:p w14:paraId="1F1B1D17" w14:textId="77777777" w:rsidR="00E612A7" w:rsidRDefault="00E612A7" w:rsidP="006B3266">
            <w:pPr>
              <w:jc w:val="right"/>
            </w:pPr>
            <w:r>
              <w:rPr>
                <w:rFonts w:ascii="Calibri" w:hAnsi="Calibri" w:cs="Calibri"/>
                <w:color w:val="000000"/>
              </w:rPr>
              <w:t>312.7</w:t>
            </w:r>
          </w:p>
        </w:tc>
        <w:tc>
          <w:tcPr>
            <w:tcW w:w="1176" w:type="dxa"/>
            <w:vAlign w:val="bottom"/>
          </w:tcPr>
          <w:p w14:paraId="6E37C648" w14:textId="77777777" w:rsidR="00E612A7" w:rsidRDefault="00E612A7" w:rsidP="006B3266">
            <w:pPr>
              <w:jc w:val="right"/>
            </w:pPr>
            <w:r>
              <w:rPr>
                <w:rFonts w:ascii="Calibri" w:hAnsi="Calibri" w:cs="Calibri"/>
                <w:color w:val="000000"/>
              </w:rPr>
              <w:t>0.87</w:t>
            </w:r>
          </w:p>
        </w:tc>
        <w:tc>
          <w:tcPr>
            <w:tcW w:w="1146" w:type="dxa"/>
            <w:vAlign w:val="bottom"/>
          </w:tcPr>
          <w:p w14:paraId="6CBEAA92" w14:textId="77777777" w:rsidR="00E612A7" w:rsidRDefault="00E612A7" w:rsidP="006B3266">
            <w:pPr>
              <w:jc w:val="right"/>
            </w:pPr>
            <w:r>
              <w:rPr>
                <w:rFonts w:ascii="Calibri" w:hAnsi="Calibri" w:cs="Calibri"/>
                <w:color w:val="000000"/>
              </w:rPr>
              <w:t>1.26</w:t>
            </w:r>
          </w:p>
        </w:tc>
        <w:tc>
          <w:tcPr>
            <w:tcW w:w="236" w:type="dxa"/>
            <w:vMerge/>
          </w:tcPr>
          <w:p w14:paraId="69A28AF6" w14:textId="77777777" w:rsidR="00E612A7" w:rsidRDefault="00E612A7" w:rsidP="006B3266"/>
        </w:tc>
        <w:tc>
          <w:tcPr>
            <w:tcW w:w="968" w:type="dxa"/>
            <w:vMerge/>
          </w:tcPr>
          <w:p w14:paraId="1BB9FD2D" w14:textId="77777777" w:rsidR="00E612A7" w:rsidRDefault="00E612A7" w:rsidP="006B3266"/>
        </w:tc>
        <w:tc>
          <w:tcPr>
            <w:tcW w:w="1006" w:type="dxa"/>
            <w:vAlign w:val="bottom"/>
          </w:tcPr>
          <w:p w14:paraId="493259D9" w14:textId="77777777" w:rsidR="00E612A7" w:rsidRDefault="00E612A7" w:rsidP="006B3266">
            <w:pPr>
              <w:jc w:val="right"/>
            </w:pPr>
            <w:r>
              <w:rPr>
                <w:rFonts w:ascii="Calibri" w:hAnsi="Calibri" w:cs="Calibri"/>
                <w:color w:val="000000"/>
              </w:rPr>
              <w:t>317.2</w:t>
            </w:r>
          </w:p>
        </w:tc>
        <w:tc>
          <w:tcPr>
            <w:tcW w:w="1348" w:type="dxa"/>
            <w:vAlign w:val="bottom"/>
          </w:tcPr>
          <w:p w14:paraId="2BADC402" w14:textId="707E8D8A" w:rsidR="00E612A7" w:rsidRDefault="00E612A7" w:rsidP="006B3266">
            <w:pPr>
              <w:jc w:val="right"/>
            </w:pPr>
            <w:r>
              <w:rPr>
                <w:rFonts w:ascii="Calibri" w:hAnsi="Calibri" w:cs="Calibri"/>
                <w:color w:val="000000"/>
              </w:rPr>
              <w:t>14.46</w:t>
            </w:r>
            <w:r w:rsidR="00E016A5">
              <w:rPr>
                <w:rFonts w:ascii="Calibri" w:hAnsi="Calibri" w:cs="Calibri"/>
                <w:color w:val="000000"/>
              </w:rPr>
              <w:t xml:space="preserve"> </w:t>
            </w:r>
          </w:p>
        </w:tc>
        <w:tc>
          <w:tcPr>
            <w:tcW w:w="1152" w:type="dxa"/>
            <w:vAlign w:val="bottom"/>
          </w:tcPr>
          <w:p w14:paraId="444542F7" w14:textId="77777777" w:rsidR="00E612A7" w:rsidRDefault="00E612A7" w:rsidP="006B3266">
            <w:pPr>
              <w:jc w:val="right"/>
            </w:pPr>
            <w:r>
              <w:rPr>
                <w:rFonts w:ascii="Calibri" w:hAnsi="Calibri" w:cs="Calibri"/>
                <w:color w:val="000000"/>
              </w:rPr>
              <w:t>22.80</w:t>
            </w:r>
          </w:p>
        </w:tc>
      </w:tr>
      <w:tr w:rsidR="00E612A7" w14:paraId="27C3AE3E" w14:textId="77777777" w:rsidTr="00E016A5">
        <w:tc>
          <w:tcPr>
            <w:tcW w:w="1185" w:type="dxa"/>
            <w:vMerge/>
          </w:tcPr>
          <w:p w14:paraId="5AB06A29" w14:textId="77777777" w:rsidR="00E612A7" w:rsidRDefault="00E612A7" w:rsidP="006B3266"/>
        </w:tc>
        <w:tc>
          <w:tcPr>
            <w:tcW w:w="960" w:type="dxa"/>
            <w:vAlign w:val="bottom"/>
          </w:tcPr>
          <w:p w14:paraId="3CE59890" w14:textId="77777777" w:rsidR="00E612A7" w:rsidRDefault="00E612A7" w:rsidP="006B3266">
            <w:pPr>
              <w:jc w:val="right"/>
            </w:pPr>
            <w:r>
              <w:rPr>
                <w:rFonts w:ascii="Calibri" w:hAnsi="Calibri" w:cs="Calibri"/>
                <w:color w:val="000000"/>
              </w:rPr>
              <w:t>317.0</w:t>
            </w:r>
          </w:p>
        </w:tc>
        <w:tc>
          <w:tcPr>
            <w:tcW w:w="1176" w:type="dxa"/>
            <w:vAlign w:val="bottom"/>
          </w:tcPr>
          <w:p w14:paraId="4F1A94D8" w14:textId="77777777" w:rsidR="00E612A7" w:rsidRDefault="00E612A7" w:rsidP="006B3266">
            <w:pPr>
              <w:jc w:val="right"/>
            </w:pPr>
            <w:r>
              <w:rPr>
                <w:rFonts w:ascii="Calibri" w:hAnsi="Calibri" w:cs="Calibri"/>
                <w:color w:val="000000"/>
              </w:rPr>
              <w:t>3.48</w:t>
            </w:r>
          </w:p>
        </w:tc>
        <w:tc>
          <w:tcPr>
            <w:tcW w:w="1146" w:type="dxa"/>
            <w:vAlign w:val="bottom"/>
          </w:tcPr>
          <w:p w14:paraId="49CCF5B7" w14:textId="77777777" w:rsidR="00E612A7" w:rsidRDefault="00E612A7" w:rsidP="006B3266">
            <w:pPr>
              <w:jc w:val="right"/>
            </w:pPr>
            <w:r>
              <w:rPr>
                <w:rFonts w:ascii="Calibri" w:hAnsi="Calibri" w:cs="Calibri"/>
                <w:color w:val="000000"/>
              </w:rPr>
              <w:t>5.04</w:t>
            </w:r>
          </w:p>
        </w:tc>
        <w:tc>
          <w:tcPr>
            <w:tcW w:w="236" w:type="dxa"/>
            <w:vMerge/>
          </w:tcPr>
          <w:p w14:paraId="56FB3FC0" w14:textId="77777777" w:rsidR="00E612A7" w:rsidRDefault="00E612A7" w:rsidP="006B3266"/>
        </w:tc>
        <w:tc>
          <w:tcPr>
            <w:tcW w:w="968" w:type="dxa"/>
            <w:vMerge/>
          </w:tcPr>
          <w:p w14:paraId="7FC99385" w14:textId="77777777" w:rsidR="00E612A7" w:rsidRDefault="00E612A7" w:rsidP="006B3266"/>
        </w:tc>
        <w:tc>
          <w:tcPr>
            <w:tcW w:w="1006" w:type="dxa"/>
            <w:vAlign w:val="bottom"/>
          </w:tcPr>
          <w:p w14:paraId="732D4F4C" w14:textId="77777777" w:rsidR="00E612A7" w:rsidRDefault="00E612A7" w:rsidP="006B3266">
            <w:pPr>
              <w:jc w:val="right"/>
            </w:pPr>
            <w:r>
              <w:rPr>
                <w:rFonts w:ascii="Calibri" w:hAnsi="Calibri" w:cs="Calibri"/>
                <w:color w:val="000000"/>
              </w:rPr>
              <w:t>338.4</w:t>
            </w:r>
          </w:p>
        </w:tc>
        <w:tc>
          <w:tcPr>
            <w:tcW w:w="1348" w:type="dxa"/>
            <w:vAlign w:val="bottom"/>
          </w:tcPr>
          <w:p w14:paraId="2C480BB9" w14:textId="4AB3D852" w:rsidR="00E612A7" w:rsidRDefault="00E612A7" w:rsidP="006B3266">
            <w:pPr>
              <w:jc w:val="right"/>
            </w:pPr>
            <w:r>
              <w:rPr>
                <w:rFonts w:ascii="Calibri" w:hAnsi="Calibri" w:cs="Calibri"/>
                <w:color w:val="000000"/>
              </w:rPr>
              <w:t>18.67</w:t>
            </w:r>
            <w:r w:rsidR="00E016A5">
              <w:rPr>
                <w:rFonts w:ascii="Calibri" w:hAnsi="Calibri" w:cs="Calibri"/>
                <w:color w:val="000000"/>
              </w:rPr>
              <w:t xml:space="preserve"> </w:t>
            </w:r>
          </w:p>
        </w:tc>
        <w:tc>
          <w:tcPr>
            <w:tcW w:w="1152" w:type="dxa"/>
            <w:vAlign w:val="bottom"/>
          </w:tcPr>
          <w:p w14:paraId="62F68E73" w14:textId="77777777" w:rsidR="00E612A7" w:rsidRDefault="00E612A7" w:rsidP="006B3266">
            <w:pPr>
              <w:jc w:val="right"/>
            </w:pPr>
            <w:r>
              <w:rPr>
                <w:rFonts w:ascii="Calibri" w:hAnsi="Calibri" w:cs="Calibri"/>
                <w:color w:val="000000"/>
              </w:rPr>
              <w:t>29.43</w:t>
            </w:r>
          </w:p>
        </w:tc>
      </w:tr>
      <w:tr w:rsidR="00E612A7" w14:paraId="09E73DC0" w14:textId="77777777" w:rsidTr="00E016A5">
        <w:tc>
          <w:tcPr>
            <w:tcW w:w="1185" w:type="dxa"/>
            <w:vMerge/>
          </w:tcPr>
          <w:p w14:paraId="1900398C" w14:textId="77777777" w:rsidR="00E612A7" w:rsidRDefault="00E612A7" w:rsidP="006B3266"/>
        </w:tc>
        <w:tc>
          <w:tcPr>
            <w:tcW w:w="960" w:type="dxa"/>
            <w:vAlign w:val="bottom"/>
          </w:tcPr>
          <w:p w14:paraId="38AC6C1A" w14:textId="77777777" w:rsidR="00E612A7" w:rsidRDefault="00E612A7" w:rsidP="006B3266">
            <w:pPr>
              <w:jc w:val="right"/>
            </w:pPr>
            <w:r>
              <w:rPr>
                <w:rFonts w:ascii="Calibri" w:hAnsi="Calibri" w:cs="Calibri"/>
                <w:color w:val="000000"/>
              </w:rPr>
              <w:t>321.0</w:t>
            </w:r>
          </w:p>
        </w:tc>
        <w:tc>
          <w:tcPr>
            <w:tcW w:w="1176" w:type="dxa"/>
            <w:vAlign w:val="bottom"/>
          </w:tcPr>
          <w:p w14:paraId="49BBFCC8" w14:textId="77777777" w:rsidR="00E612A7" w:rsidRDefault="00E612A7" w:rsidP="006B3266">
            <w:pPr>
              <w:jc w:val="right"/>
            </w:pPr>
            <w:r>
              <w:rPr>
                <w:rFonts w:ascii="Calibri" w:hAnsi="Calibri" w:cs="Calibri"/>
                <w:color w:val="000000"/>
              </w:rPr>
              <w:t>27.30</w:t>
            </w:r>
          </w:p>
        </w:tc>
        <w:tc>
          <w:tcPr>
            <w:tcW w:w="1146" w:type="dxa"/>
            <w:vAlign w:val="bottom"/>
          </w:tcPr>
          <w:p w14:paraId="4BDD6E9B" w14:textId="77777777" w:rsidR="00E612A7" w:rsidRDefault="00E612A7" w:rsidP="006B3266">
            <w:pPr>
              <w:jc w:val="right"/>
            </w:pPr>
            <w:r>
              <w:rPr>
                <w:rFonts w:ascii="Calibri" w:hAnsi="Calibri" w:cs="Calibri"/>
                <w:color w:val="000000"/>
              </w:rPr>
              <w:t>39.54</w:t>
            </w:r>
          </w:p>
        </w:tc>
        <w:tc>
          <w:tcPr>
            <w:tcW w:w="236" w:type="dxa"/>
            <w:vMerge/>
          </w:tcPr>
          <w:p w14:paraId="08E90402" w14:textId="77777777" w:rsidR="00E612A7" w:rsidRDefault="00E612A7" w:rsidP="006B3266"/>
        </w:tc>
        <w:tc>
          <w:tcPr>
            <w:tcW w:w="968" w:type="dxa"/>
            <w:vMerge/>
          </w:tcPr>
          <w:p w14:paraId="6E4B7014" w14:textId="77777777" w:rsidR="00E612A7" w:rsidRDefault="00E612A7" w:rsidP="006B3266"/>
        </w:tc>
        <w:tc>
          <w:tcPr>
            <w:tcW w:w="1006" w:type="dxa"/>
            <w:vAlign w:val="bottom"/>
          </w:tcPr>
          <w:p w14:paraId="5F17A7AC" w14:textId="77777777" w:rsidR="00E612A7" w:rsidRDefault="00E612A7" w:rsidP="006B3266">
            <w:pPr>
              <w:jc w:val="right"/>
            </w:pPr>
            <w:r>
              <w:rPr>
                <w:rFonts w:ascii="Calibri" w:hAnsi="Calibri" w:cs="Calibri"/>
                <w:color w:val="000000"/>
              </w:rPr>
              <w:t>357.8</w:t>
            </w:r>
          </w:p>
        </w:tc>
        <w:tc>
          <w:tcPr>
            <w:tcW w:w="1348" w:type="dxa"/>
            <w:vAlign w:val="bottom"/>
          </w:tcPr>
          <w:p w14:paraId="29886DCB" w14:textId="77777777" w:rsidR="00E612A7" w:rsidRDefault="00E612A7" w:rsidP="006B3266">
            <w:pPr>
              <w:jc w:val="right"/>
            </w:pPr>
            <w:r>
              <w:rPr>
                <w:rFonts w:ascii="Calibri" w:hAnsi="Calibri" w:cs="Calibri"/>
                <w:color w:val="000000"/>
              </w:rPr>
              <w:t>17.23</w:t>
            </w:r>
          </w:p>
        </w:tc>
        <w:tc>
          <w:tcPr>
            <w:tcW w:w="1152" w:type="dxa"/>
            <w:vAlign w:val="bottom"/>
          </w:tcPr>
          <w:p w14:paraId="71E8C555" w14:textId="77777777" w:rsidR="00E612A7" w:rsidRDefault="00E612A7" w:rsidP="006B3266">
            <w:pPr>
              <w:jc w:val="right"/>
            </w:pPr>
            <w:r>
              <w:rPr>
                <w:rFonts w:ascii="Calibri" w:hAnsi="Calibri" w:cs="Calibri"/>
                <w:color w:val="000000"/>
              </w:rPr>
              <w:t>27.17</w:t>
            </w:r>
          </w:p>
        </w:tc>
      </w:tr>
      <w:tr w:rsidR="00E612A7" w14:paraId="1D3A5897" w14:textId="77777777" w:rsidTr="00E016A5">
        <w:tc>
          <w:tcPr>
            <w:tcW w:w="1185" w:type="dxa"/>
            <w:vMerge/>
          </w:tcPr>
          <w:p w14:paraId="0738A993" w14:textId="77777777" w:rsidR="00E612A7" w:rsidRDefault="00E612A7" w:rsidP="006B3266"/>
        </w:tc>
        <w:tc>
          <w:tcPr>
            <w:tcW w:w="960" w:type="dxa"/>
            <w:vAlign w:val="bottom"/>
          </w:tcPr>
          <w:p w14:paraId="23CE1012" w14:textId="77777777" w:rsidR="00E612A7" w:rsidRDefault="00E612A7" w:rsidP="006B3266">
            <w:pPr>
              <w:jc w:val="right"/>
              <w:rPr>
                <w:rFonts w:ascii="Calibri" w:hAnsi="Calibri" w:cs="Calibri"/>
                <w:color w:val="000000"/>
              </w:rPr>
            </w:pPr>
            <w:r>
              <w:rPr>
                <w:rFonts w:ascii="Calibri" w:hAnsi="Calibri" w:cs="Calibri"/>
                <w:color w:val="000000"/>
              </w:rPr>
              <w:t>378.0</w:t>
            </w:r>
          </w:p>
        </w:tc>
        <w:tc>
          <w:tcPr>
            <w:tcW w:w="1176" w:type="dxa"/>
            <w:vAlign w:val="bottom"/>
          </w:tcPr>
          <w:p w14:paraId="334B47B3" w14:textId="77777777" w:rsidR="00E612A7" w:rsidRDefault="00E612A7" w:rsidP="006B3266">
            <w:pPr>
              <w:jc w:val="right"/>
            </w:pPr>
            <w:r>
              <w:rPr>
                <w:rFonts w:ascii="Calibri" w:hAnsi="Calibri" w:cs="Calibri"/>
                <w:color w:val="000000"/>
              </w:rPr>
              <w:t>23.89</w:t>
            </w:r>
          </w:p>
        </w:tc>
        <w:tc>
          <w:tcPr>
            <w:tcW w:w="1146" w:type="dxa"/>
            <w:vAlign w:val="bottom"/>
          </w:tcPr>
          <w:p w14:paraId="6A0A6A9A" w14:textId="77777777" w:rsidR="00E612A7" w:rsidRDefault="00E612A7" w:rsidP="006B3266">
            <w:pPr>
              <w:jc w:val="right"/>
            </w:pPr>
            <w:r>
              <w:rPr>
                <w:rFonts w:ascii="Calibri" w:hAnsi="Calibri" w:cs="Calibri"/>
                <w:color w:val="000000"/>
              </w:rPr>
              <w:t>34.61</w:t>
            </w:r>
          </w:p>
        </w:tc>
        <w:tc>
          <w:tcPr>
            <w:tcW w:w="236" w:type="dxa"/>
            <w:vMerge/>
          </w:tcPr>
          <w:p w14:paraId="2CA88836" w14:textId="77777777" w:rsidR="00E612A7" w:rsidRDefault="00E612A7" w:rsidP="006B3266"/>
        </w:tc>
        <w:tc>
          <w:tcPr>
            <w:tcW w:w="968" w:type="dxa"/>
            <w:vMerge/>
          </w:tcPr>
          <w:p w14:paraId="587E5988" w14:textId="77777777" w:rsidR="00E612A7" w:rsidRDefault="00E612A7" w:rsidP="006B3266"/>
        </w:tc>
        <w:tc>
          <w:tcPr>
            <w:tcW w:w="1006" w:type="dxa"/>
            <w:vAlign w:val="bottom"/>
          </w:tcPr>
          <w:p w14:paraId="023D8F0D" w14:textId="77777777" w:rsidR="00E612A7" w:rsidRDefault="00E612A7" w:rsidP="006B3266">
            <w:pPr>
              <w:jc w:val="right"/>
            </w:pPr>
            <w:r>
              <w:rPr>
                <w:rFonts w:ascii="Calibri" w:hAnsi="Calibri" w:cs="Calibri"/>
                <w:color w:val="000000"/>
              </w:rPr>
              <w:t>369.4</w:t>
            </w:r>
          </w:p>
        </w:tc>
        <w:tc>
          <w:tcPr>
            <w:tcW w:w="1348" w:type="dxa"/>
            <w:vAlign w:val="bottom"/>
          </w:tcPr>
          <w:p w14:paraId="0EA594A2" w14:textId="77777777" w:rsidR="00E612A7" w:rsidRDefault="00E612A7" w:rsidP="006B3266">
            <w:pPr>
              <w:jc w:val="right"/>
            </w:pPr>
            <w:r>
              <w:rPr>
                <w:rFonts w:ascii="Calibri" w:hAnsi="Calibri" w:cs="Calibri"/>
                <w:color w:val="000000"/>
              </w:rPr>
              <w:t>3.73</w:t>
            </w:r>
          </w:p>
        </w:tc>
        <w:tc>
          <w:tcPr>
            <w:tcW w:w="1152" w:type="dxa"/>
            <w:vAlign w:val="bottom"/>
          </w:tcPr>
          <w:p w14:paraId="0143B318" w14:textId="77777777" w:rsidR="00E612A7" w:rsidRPr="005B3E77" w:rsidRDefault="00E612A7" w:rsidP="006B3266">
            <w:pPr>
              <w:jc w:val="right"/>
              <w:rPr>
                <w:rFonts w:ascii="Calibri" w:hAnsi="Calibri" w:cs="Calibri"/>
                <w:color w:val="000000"/>
              </w:rPr>
            </w:pPr>
            <w:r>
              <w:rPr>
                <w:rFonts w:ascii="Calibri" w:hAnsi="Calibri" w:cs="Calibri"/>
                <w:color w:val="000000"/>
              </w:rPr>
              <w:t>5.88</w:t>
            </w:r>
          </w:p>
        </w:tc>
      </w:tr>
      <w:tr w:rsidR="00E612A7" w14:paraId="61E48937" w14:textId="77777777" w:rsidTr="00E016A5">
        <w:tc>
          <w:tcPr>
            <w:tcW w:w="1185" w:type="dxa"/>
            <w:vMerge/>
          </w:tcPr>
          <w:p w14:paraId="62656D86" w14:textId="77777777" w:rsidR="00E612A7" w:rsidRDefault="00E612A7" w:rsidP="006B3266"/>
        </w:tc>
        <w:tc>
          <w:tcPr>
            <w:tcW w:w="960" w:type="dxa"/>
            <w:vAlign w:val="bottom"/>
          </w:tcPr>
          <w:p w14:paraId="68279CC2" w14:textId="77777777" w:rsidR="00E612A7" w:rsidRDefault="00E612A7" w:rsidP="006B3266">
            <w:pPr>
              <w:jc w:val="right"/>
              <w:rPr>
                <w:rFonts w:ascii="Calibri" w:hAnsi="Calibri" w:cs="Calibri"/>
                <w:color w:val="000000"/>
              </w:rPr>
            </w:pPr>
            <w:r>
              <w:rPr>
                <w:rFonts w:ascii="Calibri" w:hAnsi="Calibri" w:cs="Calibri"/>
                <w:color w:val="000000"/>
              </w:rPr>
              <w:t>384.6</w:t>
            </w:r>
          </w:p>
        </w:tc>
        <w:tc>
          <w:tcPr>
            <w:tcW w:w="1176" w:type="dxa"/>
            <w:vAlign w:val="bottom"/>
          </w:tcPr>
          <w:p w14:paraId="52B5B65C" w14:textId="77777777" w:rsidR="00E612A7" w:rsidRDefault="00E612A7" w:rsidP="006B3266">
            <w:pPr>
              <w:jc w:val="right"/>
            </w:pPr>
            <w:r>
              <w:rPr>
                <w:rFonts w:ascii="Calibri" w:hAnsi="Calibri" w:cs="Calibri"/>
                <w:color w:val="000000"/>
              </w:rPr>
              <w:t>0.79</w:t>
            </w:r>
          </w:p>
        </w:tc>
        <w:tc>
          <w:tcPr>
            <w:tcW w:w="1146" w:type="dxa"/>
            <w:vAlign w:val="bottom"/>
          </w:tcPr>
          <w:p w14:paraId="2021D93D" w14:textId="77777777" w:rsidR="00E612A7" w:rsidRDefault="00E612A7" w:rsidP="006B3266">
            <w:pPr>
              <w:jc w:val="right"/>
            </w:pPr>
            <w:r>
              <w:rPr>
                <w:rFonts w:ascii="Calibri" w:hAnsi="Calibri" w:cs="Calibri"/>
                <w:color w:val="000000"/>
              </w:rPr>
              <w:t>1.14</w:t>
            </w:r>
          </w:p>
        </w:tc>
        <w:tc>
          <w:tcPr>
            <w:tcW w:w="236" w:type="dxa"/>
            <w:vMerge/>
          </w:tcPr>
          <w:p w14:paraId="4D97CFA0" w14:textId="77777777" w:rsidR="00E612A7" w:rsidRDefault="00E612A7" w:rsidP="006B3266"/>
        </w:tc>
        <w:tc>
          <w:tcPr>
            <w:tcW w:w="968" w:type="dxa"/>
            <w:vMerge/>
          </w:tcPr>
          <w:p w14:paraId="54051E7E" w14:textId="77777777" w:rsidR="00E612A7" w:rsidRDefault="00E612A7" w:rsidP="006B3266"/>
        </w:tc>
        <w:tc>
          <w:tcPr>
            <w:tcW w:w="3506" w:type="dxa"/>
            <w:gridSpan w:val="3"/>
            <w:vAlign w:val="bottom"/>
          </w:tcPr>
          <w:p w14:paraId="44E6B618" w14:textId="77777777" w:rsidR="00E612A7" w:rsidRDefault="00E612A7" w:rsidP="006B3266"/>
        </w:tc>
      </w:tr>
      <w:bookmarkEnd w:id="360"/>
      <w:tr w:rsidR="00E612A7" w14:paraId="236A505A" w14:textId="77777777" w:rsidTr="00E016A5">
        <w:tc>
          <w:tcPr>
            <w:tcW w:w="1185" w:type="dxa"/>
            <w:shd w:val="clear" w:color="auto" w:fill="D9D9D9" w:themeFill="background1" w:themeFillShade="D9"/>
          </w:tcPr>
          <w:p w14:paraId="7D63F889" w14:textId="77777777" w:rsidR="00E612A7" w:rsidRPr="005B3E77" w:rsidRDefault="00E612A7" w:rsidP="006B3266">
            <w:pPr>
              <w:rPr>
                <w:b/>
                <w:bCs/>
              </w:rPr>
            </w:pPr>
            <w:r w:rsidRPr="005B3E77">
              <w:rPr>
                <w:b/>
                <w:bCs/>
              </w:rPr>
              <w:t>Processing Condition</w:t>
            </w:r>
          </w:p>
        </w:tc>
        <w:tc>
          <w:tcPr>
            <w:tcW w:w="960" w:type="dxa"/>
            <w:shd w:val="clear" w:color="auto" w:fill="D9D9D9" w:themeFill="background1" w:themeFillShade="D9"/>
          </w:tcPr>
          <w:p w14:paraId="7F42AC1B" w14:textId="77777777" w:rsidR="00E612A7" w:rsidRPr="005B3E77" w:rsidRDefault="00E612A7" w:rsidP="006B3266">
            <w:pPr>
              <w:rPr>
                <w:b/>
                <w:bCs/>
              </w:rPr>
            </w:pPr>
            <w:r w:rsidRPr="005B3E77">
              <w:rPr>
                <w:b/>
                <w:bCs/>
              </w:rPr>
              <w:t>Peak Position [</w:t>
            </w:r>
            <w:r w:rsidRPr="005B3E77">
              <w:rPr>
                <w:rFonts w:cstheme="minorHAnsi"/>
                <w:b/>
                <w:bCs/>
              </w:rPr>
              <w:t>°</w:t>
            </w:r>
            <w:r w:rsidRPr="005B3E77">
              <w:rPr>
                <w:b/>
                <w:bCs/>
              </w:rPr>
              <w:t>C]</w:t>
            </w:r>
          </w:p>
        </w:tc>
        <w:tc>
          <w:tcPr>
            <w:tcW w:w="1176" w:type="dxa"/>
            <w:shd w:val="clear" w:color="auto" w:fill="D9D9D9" w:themeFill="background1" w:themeFillShade="D9"/>
          </w:tcPr>
          <w:p w14:paraId="3BD19041" w14:textId="77777777" w:rsidR="00E612A7" w:rsidRPr="005B3E77" w:rsidRDefault="00E612A7" w:rsidP="006B3266">
            <w:pPr>
              <w:rPr>
                <w:b/>
                <w:bCs/>
              </w:rPr>
            </w:pPr>
            <w:r w:rsidRPr="005B3E77">
              <w:rPr>
                <w:b/>
                <w:bCs/>
              </w:rPr>
              <w:t xml:space="preserve">Integrated Peak Area </w:t>
            </w:r>
          </w:p>
        </w:tc>
        <w:tc>
          <w:tcPr>
            <w:tcW w:w="1146" w:type="dxa"/>
            <w:shd w:val="clear" w:color="auto" w:fill="D9D9D9" w:themeFill="background1" w:themeFillShade="D9"/>
          </w:tcPr>
          <w:p w14:paraId="7197DE9C" w14:textId="77777777" w:rsidR="00E612A7" w:rsidRPr="005B3E77" w:rsidRDefault="00E612A7" w:rsidP="006B3266">
            <w:pPr>
              <w:rPr>
                <w:b/>
                <w:bCs/>
              </w:rPr>
            </w:pPr>
            <w:r w:rsidRPr="005B3E77">
              <w:rPr>
                <w:b/>
                <w:bCs/>
              </w:rPr>
              <w:t>Area per Reduction Peak [%]</w:t>
            </w:r>
          </w:p>
        </w:tc>
        <w:tc>
          <w:tcPr>
            <w:tcW w:w="236" w:type="dxa"/>
            <w:vMerge/>
            <w:shd w:val="clear" w:color="auto" w:fill="D9D9D9" w:themeFill="background1" w:themeFillShade="D9"/>
          </w:tcPr>
          <w:p w14:paraId="6A43EE12" w14:textId="77777777" w:rsidR="00E612A7" w:rsidRPr="005B3E77" w:rsidRDefault="00E612A7" w:rsidP="006B3266">
            <w:pPr>
              <w:rPr>
                <w:b/>
                <w:bCs/>
              </w:rPr>
            </w:pPr>
          </w:p>
        </w:tc>
        <w:tc>
          <w:tcPr>
            <w:tcW w:w="968" w:type="dxa"/>
            <w:shd w:val="clear" w:color="auto" w:fill="D9D9D9" w:themeFill="background1" w:themeFillShade="D9"/>
          </w:tcPr>
          <w:p w14:paraId="4B111BDA" w14:textId="77777777" w:rsidR="00E612A7" w:rsidRPr="005B3E77" w:rsidRDefault="00E612A7" w:rsidP="006B3266">
            <w:pPr>
              <w:rPr>
                <w:b/>
                <w:bCs/>
              </w:rPr>
            </w:pPr>
            <w:r w:rsidRPr="005B3E77">
              <w:rPr>
                <w:b/>
                <w:bCs/>
              </w:rPr>
              <w:t>Processing Condition</w:t>
            </w:r>
          </w:p>
        </w:tc>
        <w:tc>
          <w:tcPr>
            <w:tcW w:w="1006" w:type="dxa"/>
            <w:shd w:val="clear" w:color="auto" w:fill="D9D9D9" w:themeFill="background1" w:themeFillShade="D9"/>
          </w:tcPr>
          <w:p w14:paraId="6A6668F0" w14:textId="77777777" w:rsidR="00E612A7" w:rsidRPr="005B3E77" w:rsidRDefault="00E612A7" w:rsidP="006B3266">
            <w:pPr>
              <w:rPr>
                <w:b/>
                <w:bCs/>
              </w:rPr>
            </w:pPr>
            <w:r w:rsidRPr="005B3E77">
              <w:rPr>
                <w:b/>
                <w:bCs/>
              </w:rPr>
              <w:t>Peak Position [</w:t>
            </w:r>
            <w:r w:rsidRPr="005B3E77">
              <w:rPr>
                <w:rFonts w:cstheme="minorHAnsi"/>
                <w:b/>
                <w:bCs/>
              </w:rPr>
              <w:t>°</w:t>
            </w:r>
            <w:r w:rsidRPr="005B3E77">
              <w:rPr>
                <w:b/>
                <w:bCs/>
              </w:rPr>
              <w:t>C]</w:t>
            </w:r>
          </w:p>
        </w:tc>
        <w:tc>
          <w:tcPr>
            <w:tcW w:w="1348" w:type="dxa"/>
            <w:shd w:val="clear" w:color="auto" w:fill="D9D9D9" w:themeFill="background1" w:themeFillShade="D9"/>
          </w:tcPr>
          <w:p w14:paraId="75D4AADB" w14:textId="77777777" w:rsidR="00E612A7" w:rsidRPr="005B3E77" w:rsidRDefault="00E612A7" w:rsidP="006B3266">
            <w:pPr>
              <w:rPr>
                <w:b/>
                <w:bCs/>
              </w:rPr>
            </w:pPr>
            <w:r w:rsidRPr="005B3E77">
              <w:rPr>
                <w:b/>
                <w:bCs/>
              </w:rPr>
              <w:t xml:space="preserve">Integrated Peak Area </w:t>
            </w:r>
          </w:p>
        </w:tc>
        <w:tc>
          <w:tcPr>
            <w:tcW w:w="1152" w:type="dxa"/>
            <w:shd w:val="clear" w:color="auto" w:fill="D9D9D9" w:themeFill="background1" w:themeFillShade="D9"/>
          </w:tcPr>
          <w:p w14:paraId="7AAB946F" w14:textId="77777777" w:rsidR="00E612A7" w:rsidRPr="005B3E77" w:rsidRDefault="00E612A7" w:rsidP="006B3266">
            <w:pPr>
              <w:rPr>
                <w:b/>
                <w:bCs/>
              </w:rPr>
            </w:pPr>
            <w:r w:rsidRPr="005B3E77">
              <w:rPr>
                <w:b/>
                <w:bCs/>
              </w:rPr>
              <w:t>Area per Reduction Peak [%]</w:t>
            </w:r>
          </w:p>
        </w:tc>
      </w:tr>
      <w:tr w:rsidR="00E612A7" w14:paraId="1ADF373D" w14:textId="77777777" w:rsidTr="00E016A5">
        <w:tc>
          <w:tcPr>
            <w:tcW w:w="1185" w:type="dxa"/>
            <w:vMerge w:val="restart"/>
          </w:tcPr>
          <w:p w14:paraId="40994112" w14:textId="782FF8C7" w:rsidR="00E612A7" w:rsidRDefault="00E612A7" w:rsidP="00E612A7">
            <w:pPr>
              <w:jc w:val="center"/>
            </w:pPr>
            <w:r>
              <w:t>ND NC</w:t>
            </w:r>
          </w:p>
        </w:tc>
        <w:tc>
          <w:tcPr>
            <w:tcW w:w="960" w:type="dxa"/>
            <w:vAlign w:val="bottom"/>
          </w:tcPr>
          <w:p w14:paraId="5262281A" w14:textId="3D354637" w:rsidR="00E612A7" w:rsidRDefault="00E612A7" w:rsidP="00E612A7">
            <w:pPr>
              <w:jc w:val="right"/>
            </w:pPr>
            <w:r>
              <w:rPr>
                <w:rFonts w:ascii="Calibri" w:hAnsi="Calibri" w:cs="Calibri"/>
                <w:color w:val="000000"/>
              </w:rPr>
              <w:t>349.5</w:t>
            </w:r>
          </w:p>
        </w:tc>
        <w:tc>
          <w:tcPr>
            <w:tcW w:w="1176" w:type="dxa"/>
            <w:vAlign w:val="bottom"/>
          </w:tcPr>
          <w:p w14:paraId="1AA9621C" w14:textId="6ED23AAB" w:rsidR="00E612A7" w:rsidRDefault="00E612A7" w:rsidP="00E612A7">
            <w:pPr>
              <w:jc w:val="right"/>
            </w:pPr>
            <w:r>
              <w:rPr>
                <w:rFonts w:ascii="Calibri" w:hAnsi="Calibri" w:cs="Calibri"/>
                <w:color w:val="000000"/>
              </w:rPr>
              <w:t>4.36</w:t>
            </w:r>
          </w:p>
        </w:tc>
        <w:tc>
          <w:tcPr>
            <w:tcW w:w="1146" w:type="dxa"/>
            <w:vAlign w:val="bottom"/>
          </w:tcPr>
          <w:p w14:paraId="6F259EE4" w14:textId="17526DBC" w:rsidR="00E612A7" w:rsidRDefault="00E612A7" w:rsidP="00E612A7">
            <w:pPr>
              <w:jc w:val="right"/>
            </w:pPr>
            <w:r>
              <w:rPr>
                <w:rFonts w:ascii="Calibri" w:hAnsi="Calibri" w:cs="Calibri"/>
                <w:color w:val="000000"/>
              </w:rPr>
              <w:t>19.99</w:t>
            </w:r>
          </w:p>
        </w:tc>
        <w:tc>
          <w:tcPr>
            <w:tcW w:w="236" w:type="dxa"/>
            <w:vMerge/>
          </w:tcPr>
          <w:p w14:paraId="114D7F0D" w14:textId="77777777" w:rsidR="00E612A7" w:rsidRDefault="00E612A7" w:rsidP="00E612A7"/>
        </w:tc>
        <w:tc>
          <w:tcPr>
            <w:tcW w:w="968" w:type="dxa"/>
            <w:vMerge w:val="restart"/>
          </w:tcPr>
          <w:p w14:paraId="650FD0B0" w14:textId="1B2A33CF" w:rsidR="00E612A7" w:rsidRDefault="00E612A7" w:rsidP="00E612A7">
            <w:pPr>
              <w:jc w:val="center"/>
            </w:pPr>
            <w:r>
              <w:t>ND AC</w:t>
            </w:r>
          </w:p>
        </w:tc>
        <w:tc>
          <w:tcPr>
            <w:tcW w:w="1006" w:type="dxa"/>
          </w:tcPr>
          <w:p w14:paraId="2AC5EE45" w14:textId="65A8EC4C" w:rsidR="00E612A7" w:rsidRPr="005B3E77" w:rsidRDefault="00E612A7" w:rsidP="00E612A7">
            <w:pPr>
              <w:jc w:val="right"/>
              <w:rPr>
                <w:rFonts w:ascii="Calibri" w:hAnsi="Calibri" w:cs="Calibri"/>
                <w:color w:val="000000"/>
              </w:rPr>
            </w:pPr>
            <w:r>
              <w:rPr>
                <w:rFonts w:ascii="Calibri" w:hAnsi="Calibri" w:cs="Calibri"/>
                <w:color w:val="000000"/>
              </w:rPr>
              <w:t>375.2</w:t>
            </w:r>
          </w:p>
        </w:tc>
        <w:tc>
          <w:tcPr>
            <w:tcW w:w="1348" w:type="dxa"/>
          </w:tcPr>
          <w:p w14:paraId="065289FD" w14:textId="358855F0" w:rsidR="00E612A7" w:rsidRPr="005B3E77" w:rsidRDefault="00E612A7" w:rsidP="00E612A7">
            <w:pPr>
              <w:jc w:val="right"/>
              <w:rPr>
                <w:rFonts w:ascii="Calibri" w:hAnsi="Calibri" w:cs="Calibri"/>
                <w:color w:val="000000"/>
              </w:rPr>
            </w:pPr>
            <w:r>
              <w:rPr>
                <w:rFonts w:ascii="Calibri" w:hAnsi="Calibri" w:cs="Calibri"/>
                <w:color w:val="000000"/>
              </w:rPr>
              <w:t>30.12</w:t>
            </w:r>
          </w:p>
        </w:tc>
        <w:tc>
          <w:tcPr>
            <w:tcW w:w="1152" w:type="dxa"/>
            <w:vAlign w:val="bottom"/>
          </w:tcPr>
          <w:p w14:paraId="278455E0" w14:textId="3021E3B7" w:rsidR="00E612A7" w:rsidRDefault="00E612A7" w:rsidP="00E612A7">
            <w:pPr>
              <w:jc w:val="right"/>
            </w:pPr>
            <w:r>
              <w:rPr>
                <w:rFonts w:ascii="Calibri" w:hAnsi="Calibri" w:cs="Calibri"/>
                <w:color w:val="000000"/>
              </w:rPr>
              <w:t>100.00</w:t>
            </w:r>
          </w:p>
        </w:tc>
      </w:tr>
      <w:tr w:rsidR="00E612A7" w14:paraId="65E23511" w14:textId="77777777" w:rsidTr="00E016A5">
        <w:tc>
          <w:tcPr>
            <w:tcW w:w="1185" w:type="dxa"/>
            <w:vMerge/>
          </w:tcPr>
          <w:p w14:paraId="0056CFDE" w14:textId="77777777" w:rsidR="00E612A7" w:rsidRDefault="00E612A7" w:rsidP="00E612A7"/>
        </w:tc>
        <w:tc>
          <w:tcPr>
            <w:tcW w:w="960" w:type="dxa"/>
            <w:vAlign w:val="bottom"/>
          </w:tcPr>
          <w:p w14:paraId="1D712DAD" w14:textId="2F44BC23" w:rsidR="00E612A7" w:rsidRDefault="00E612A7" w:rsidP="00E612A7">
            <w:pPr>
              <w:jc w:val="right"/>
            </w:pPr>
            <w:r>
              <w:rPr>
                <w:rFonts w:ascii="Calibri" w:hAnsi="Calibri" w:cs="Calibri"/>
                <w:color w:val="000000"/>
              </w:rPr>
              <w:t>357.8</w:t>
            </w:r>
          </w:p>
        </w:tc>
        <w:tc>
          <w:tcPr>
            <w:tcW w:w="1176" w:type="dxa"/>
            <w:vAlign w:val="bottom"/>
          </w:tcPr>
          <w:p w14:paraId="19F1F7E7" w14:textId="635BEB8F" w:rsidR="00E612A7" w:rsidRDefault="00E612A7" w:rsidP="00E612A7">
            <w:pPr>
              <w:jc w:val="right"/>
            </w:pPr>
            <w:r>
              <w:rPr>
                <w:rFonts w:ascii="Calibri" w:hAnsi="Calibri" w:cs="Calibri"/>
                <w:color w:val="000000"/>
              </w:rPr>
              <w:t>17.45</w:t>
            </w:r>
          </w:p>
        </w:tc>
        <w:tc>
          <w:tcPr>
            <w:tcW w:w="1146" w:type="dxa"/>
            <w:vAlign w:val="bottom"/>
          </w:tcPr>
          <w:p w14:paraId="72C027AA" w14:textId="0EDB51F4" w:rsidR="00E612A7" w:rsidRDefault="00E612A7" w:rsidP="00E612A7">
            <w:pPr>
              <w:jc w:val="right"/>
            </w:pPr>
            <w:r>
              <w:rPr>
                <w:rFonts w:ascii="Calibri" w:hAnsi="Calibri" w:cs="Calibri"/>
                <w:color w:val="000000"/>
              </w:rPr>
              <w:t>80.01</w:t>
            </w:r>
          </w:p>
        </w:tc>
        <w:tc>
          <w:tcPr>
            <w:tcW w:w="236" w:type="dxa"/>
            <w:vMerge/>
          </w:tcPr>
          <w:p w14:paraId="50BEA14A" w14:textId="77777777" w:rsidR="00E612A7" w:rsidRDefault="00E612A7" w:rsidP="00E612A7"/>
        </w:tc>
        <w:tc>
          <w:tcPr>
            <w:tcW w:w="968" w:type="dxa"/>
            <w:vMerge/>
          </w:tcPr>
          <w:p w14:paraId="3C3E6987" w14:textId="77777777" w:rsidR="00E612A7" w:rsidRDefault="00E612A7" w:rsidP="00E612A7"/>
        </w:tc>
        <w:tc>
          <w:tcPr>
            <w:tcW w:w="3506" w:type="dxa"/>
            <w:gridSpan w:val="3"/>
            <w:vAlign w:val="bottom"/>
          </w:tcPr>
          <w:p w14:paraId="2BE75CDC" w14:textId="4776E02F" w:rsidR="00E612A7" w:rsidRDefault="00E612A7" w:rsidP="00E612A7">
            <w:pPr>
              <w:jc w:val="right"/>
            </w:pPr>
          </w:p>
        </w:tc>
      </w:tr>
    </w:tbl>
    <w:p w14:paraId="0872FF9E" w14:textId="77777777" w:rsidR="006A4FAB" w:rsidRPr="00C3260A" w:rsidRDefault="006A4FAB" w:rsidP="006A4FAB">
      <w:pPr>
        <w:spacing w:before="240"/>
        <w:jc w:val="both"/>
      </w:pPr>
    </w:p>
    <w:p w14:paraId="4C70F2EC" w14:textId="4E5C76FA" w:rsidR="00007F6C" w:rsidRDefault="005B3E77" w:rsidP="00007F6C">
      <w:pPr>
        <w:keepNext/>
        <w:jc w:val="center"/>
      </w:pPr>
      <w:r>
        <w:rPr>
          <w:noProof/>
        </w:rPr>
        <w:drawing>
          <wp:inline distT="0" distB="0" distL="0" distR="0" wp14:anchorId="4C4D4031" wp14:editId="400A8AE5">
            <wp:extent cx="5731510" cy="3879850"/>
            <wp:effectExtent l="0" t="0" r="2540" b="6350"/>
            <wp:docPr id="459" name="Picture 45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descr="A picture containing text&#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31510" cy="3879850"/>
                    </a:xfrm>
                    <a:prstGeom prst="rect">
                      <a:avLst/>
                    </a:prstGeom>
                  </pic:spPr>
                </pic:pic>
              </a:graphicData>
            </a:graphic>
          </wp:inline>
        </w:drawing>
      </w:r>
    </w:p>
    <w:p w14:paraId="24242087" w14:textId="58C6F799" w:rsidR="00007F6C" w:rsidRDefault="00007F6C" w:rsidP="00007F6C">
      <w:pPr>
        <w:pStyle w:val="Caption"/>
      </w:pPr>
      <w:bookmarkStart w:id="361" w:name="_Ref50553497"/>
      <w:bookmarkStart w:id="362" w:name="_Toc69114992"/>
      <w:r>
        <w:t>Figure 4.</w:t>
      </w:r>
      <w:r w:rsidR="00B51F53">
        <w:fldChar w:fldCharType="begin"/>
      </w:r>
      <w:r w:rsidR="00B51F53">
        <w:instrText xml:space="preserve"> SEQ Figure \* ARABIC </w:instrText>
      </w:r>
      <w:r w:rsidR="00B51F53">
        <w:fldChar w:fldCharType="separate"/>
      </w:r>
      <w:r w:rsidR="001E3ECE">
        <w:rPr>
          <w:noProof/>
        </w:rPr>
        <w:t>18</w:t>
      </w:r>
      <w:r w:rsidR="00B51F53">
        <w:rPr>
          <w:noProof/>
        </w:rPr>
        <w:fldChar w:fldCharType="end"/>
      </w:r>
      <w:bookmarkEnd w:id="361"/>
      <w:r>
        <w:t xml:space="preserve">: </w:t>
      </w:r>
      <w:r w:rsidR="005B3E77">
        <w:t xml:space="preserve">Deconvolution of TPR profiles of </w:t>
      </w:r>
      <w:proofErr w:type="spellStart"/>
      <w:r>
        <w:t>NiO</w:t>
      </w:r>
      <w:proofErr w:type="spellEnd"/>
      <w:r>
        <w:t>-YSZ samples</w:t>
      </w:r>
      <w:r w:rsidR="005B3E77">
        <w:t xml:space="preserve"> using a Gaussian distribution. a. Air Dried Air Calcined,</w:t>
      </w:r>
      <w:r>
        <w:t xml:space="preserve"> </w:t>
      </w:r>
      <w:r w:rsidR="005B3E77">
        <w:t>b. Air Dried Nitrogen Calcined, c. Nitrogen Dried Nitrogen Calcined and d. Nitrogen Dried Air Calcined</w:t>
      </w:r>
      <w:bookmarkEnd w:id="362"/>
    </w:p>
    <w:p w14:paraId="190097E3" w14:textId="6C288C68" w:rsidR="00007F6C" w:rsidRDefault="00007F6C" w:rsidP="00007F6C">
      <w:pPr>
        <w:jc w:val="both"/>
      </w:pPr>
      <w:r>
        <w:t>In contrast, the ND samples p</w:t>
      </w:r>
      <w:r w:rsidRPr="007E5678">
        <w:t>ossessed one distinct</w:t>
      </w:r>
      <w:r w:rsidRPr="007E5678">
        <w:rPr>
          <w:b/>
          <w:bCs/>
        </w:rPr>
        <w:t xml:space="preserve"> </w:t>
      </w:r>
      <w:r>
        <w:t>reduction peak, indicating very little variation in size of the wet impregnated nickel present (</w:t>
      </w:r>
      <w:r>
        <w:fldChar w:fldCharType="begin"/>
      </w:r>
      <w:r>
        <w:instrText xml:space="preserve"> REF _Ref40960562 \h  \* MERGEFORMAT </w:instrText>
      </w:r>
      <w:r>
        <w:fldChar w:fldCharType="separate"/>
      </w:r>
      <w:r w:rsidR="001E3ECE">
        <w:t>Figure 4.17</w:t>
      </w:r>
      <w:r>
        <w:fldChar w:fldCharType="end"/>
      </w:r>
      <w:r>
        <w:t>). The lack of particle size variation has contributed to simple single-step reduction. This is supported by the fact the pure ND NC routine completely reduced in 40</w:t>
      </w:r>
      <w:r>
        <w:rPr>
          <w:rFonts w:cstheme="minorHAnsi"/>
        </w:rPr>
        <w:t>⁰</w:t>
      </w:r>
      <w:r>
        <w:t>C window compared to the 90</w:t>
      </w:r>
      <w:r>
        <w:rPr>
          <w:rFonts w:cstheme="minorHAnsi"/>
        </w:rPr>
        <w:t>⁰</w:t>
      </w:r>
      <w:r>
        <w:t xml:space="preserve">C of the bulk </w:t>
      </w:r>
      <w:proofErr w:type="spellStart"/>
      <w:r>
        <w:t>NiO</w:t>
      </w:r>
      <w:proofErr w:type="spellEnd"/>
      <w:r>
        <w:t xml:space="preserve"> calibration sample (See </w:t>
      </w:r>
      <w:r>
        <w:lastRenderedPageBreak/>
        <w:fldChar w:fldCharType="begin"/>
      </w:r>
      <w:r>
        <w:instrText xml:space="preserve"> REF _Ref40960562 \h  \* MERGEFORMAT </w:instrText>
      </w:r>
      <w:r>
        <w:fldChar w:fldCharType="separate"/>
      </w:r>
      <w:r w:rsidR="001E3ECE">
        <w:t>Figure 4.17</w:t>
      </w:r>
      <w:r>
        <w:fldChar w:fldCharType="end"/>
      </w:r>
      <w:r>
        <w:t xml:space="preserve">). The reduction of nickel oxide to metallic nickel in the presence of a reductive gas can be described by </w:t>
      </w:r>
      <w:r>
        <w:fldChar w:fldCharType="begin"/>
      </w:r>
      <w:r>
        <w:instrText xml:space="preserve"> REF _Ref51228624 \h </w:instrText>
      </w:r>
      <w:r>
        <w:fldChar w:fldCharType="separate"/>
      </w:r>
      <w:r>
        <w:t>Equation 4.</w:t>
      </w:r>
      <w:r>
        <w:rPr>
          <w:noProof/>
        </w:rPr>
        <w:t>1</w:t>
      </w:r>
      <w:r>
        <w:fldChar w:fldCharType="end"/>
      </w:r>
      <w:r>
        <w:t>.</w:t>
      </w:r>
    </w:p>
    <w:p w14:paraId="46CFA5D3" w14:textId="77777777" w:rsidR="00007F6C" w:rsidRDefault="00007F6C" w:rsidP="00007F6C">
      <m:oMathPara>
        <m:oMath>
          <m:r>
            <m:rPr>
              <m:sty m:val="p"/>
            </m:rPr>
            <w:rPr>
              <w:rFonts w:ascii="Cambria Math" w:hAnsi="Cambria Math"/>
            </w:rPr>
            <m:t>NiO+</m:t>
          </m:r>
          <m:sSub>
            <m:sSubPr>
              <m:ctrlPr>
                <w:rPr>
                  <w:rFonts w:ascii="Cambria Math" w:hAnsi="Cambria Math"/>
                  <w:i/>
                </w:rPr>
              </m:ctrlPr>
            </m:sSubPr>
            <m:e>
              <m:r>
                <m:rPr>
                  <m:sty m:val="p"/>
                </m:rPr>
                <w:rPr>
                  <w:rFonts w:ascii="Cambria Math" w:hAnsi="Cambria Math"/>
                </w:rPr>
                <m:t>H</m:t>
              </m:r>
            </m:e>
            <m:sub>
              <m:r>
                <m:rPr>
                  <m:sty m:val="p"/>
                </m:rPr>
                <w:rPr>
                  <w:rFonts w:ascii="Cambria Math" w:hAnsi="Cambria Math"/>
                </w:rPr>
                <m:t xml:space="preserve">2 </m:t>
              </m:r>
            </m:sub>
          </m:sSub>
          <m:r>
            <m:rPr>
              <m:sty m:val="p"/>
            </m:rPr>
            <w:rPr>
              <w:rFonts w:ascii="Cambria Math" w:hAnsi="Cambria Math"/>
            </w:rPr>
            <m:t xml:space="preserve">→Ni+ </m:t>
          </m:r>
          <m:sSub>
            <m:sSubPr>
              <m:ctrlPr>
                <w:rPr>
                  <w:rFonts w:ascii="Cambria Math" w:hAnsi="Cambria Math"/>
                  <w:i/>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O</m:t>
          </m:r>
        </m:oMath>
      </m:oMathPara>
    </w:p>
    <w:p w14:paraId="271958A2" w14:textId="7EEDD9FF" w:rsidR="00007F6C" w:rsidRDefault="00007F6C" w:rsidP="00007F6C">
      <w:pPr>
        <w:jc w:val="right"/>
      </w:pPr>
      <w:bookmarkStart w:id="363" w:name="_Ref51228624"/>
      <w:r>
        <w:t>Equation 4.</w:t>
      </w:r>
      <w:r w:rsidR="00B51F53">
        <w:fldChar w:fldCharType="begin"/>
      </w:r>
      <w:r w:rsidR="00B51F53">
        <w:instrText xml:space="preserve"> SEQ Equation \* ARABIC \r 1 </w:instrText>
      </w:r>
      <w:r w:rsidR="00B51F53">
        <w:fldChar w:fldCharType="separate"/>
      </w:r>
      <w:r w:rsidR="00315BF8">
        <w:rPr>
          <w:noProof/>
        </w:rPr>
        <w:t>1</w:t>
      </w:r>
      <w:r w:rsidR="00B51F53">
        <w:rPr>
          <w:noProof/>
        </w:rPr>
        <w:fldChar w:fldCharType="end"/>
      </w:r>
      <w:bookmarkEnd w:id="363"/>
    </w:p>
    <w:p w14:paraId="126A158C" w14:textId="77777777" w:rsidR="00007F6C" w:rsidRDefault="00007F6C" w:rsidP="00007F6C">
      <w:pPr>
        <w:jc w:val="both"/>
      </w:pPr>
      <w:r>
        <w:t>The impact of the N</w:t>
      </w:r>
      <w:r>
        <w:rPr>
          <w:vertAlign w:val="subscript"/>
        </w:rPr>
        <w:t>2</w:t>
      </w:r>
      <w:r>
        <w:t xml:space="preserve"> calcination step is illustrated by the fact that the AD NC sample reduction finished at 385</w:t>
      </w:r>
      <w:r>
        <w:rPr>
          <w:rFonts w:cstheme="minorHAnsi"/>
        </w:rPr>
        <w:t>⁰</w:t>
      </w:r>
      <w:r>
        <w:t>C a total of 20</w:t>
      </w:r>
      <w:r>
        <w:rPr>
          <w:rFonts w:cstheme="minorHAnsi"/>
        </w:rPr>
        <w:t>⁰</w:t>
      </w:r>
      <w:r>
        <w:t xml:space="preserve">C earlier than its other air-dried counterpart. In addition, the fact that the air calcined samples both had reduced reaction rate demonstrated by their longer TPR profiles. </w:t>
      </w:r>
    </w:p>
    <w:p w14:paraId="0AC95568" w14:textId="59562C58" w:rsidR="00007F6C" w:rsidRDefault="00007F6C" w:rsidP="00007F6C">
      <w:pPr>
        <w:jc w:val="both"/>
      </w:pPr>
      <w:r>
        <w:t xml:space="preserve">It is well documented that increasing the calcination temperature of wet impregnated nitrate materials also reduces their surface area </w:t>
      </w:r>
      <w:r>
        <w:fldChar w:fldCharType="begin" w:fldLock="1"/>
      </w:r>
      <w:r w:rsidR="008B6E91">
        <w:instrText>ADDIN CSL_CITATION {"citationItems":[{"id":"ITEM-1","itemData":{"DOI":"10.1016/j.cattod.2010.02.052","ISBN":"09205861 (ISSN)","abstract":"Control over the size and size distribution of supported nanoparticles is key to their efficient use in catalysis. In the preparation of nanoparticles by impregnation using nitrate precursors, the support pore diameter can be used to influence the average crystallite size. However, the particle size distributions obtained via this method are generally broad and the dispersions relatively low. Higher dispersions and narrow particle size distributions are obtained via thermal decomposition of the metal nitrate precursor in 1% (v/v) NO in Ar instead of air. Here we will show that by combining the confinement effect of ordered mesoporous silica with a decomposition step of metal nitrates in NO, silica supported nickel and cobalt oxides with a tunable particle size (2-4 nm) can be obtained at high loadings (10-20 wt%). © 2010 Elsevier B.V.","author":[{"dropping-particle":"","family":"Wolters","given":"M","non-dropping-particle":"","parse-names":false,"suffix":""},{"dropping-particle":"","family":"Grotel","given":"L J W","non-dropping-particle":"Van","parse-names":false,"suffix":""},{"dropping-particle":"","family":"Eggenhuisen","given":"T M","non-dropping-particle":"","parse-names":false,"suffix":""},{"dropping-particle":"","family":"Sietsma","given":"J R A","non-dropping-particle":"","parse-names":false,"suffix":""},{"dropping-particle":"","family":"Jong","given":"K P","non-dropping-particle":"De","parse-names":false,"suffix":""},{"dropping-particle":"","family":"Jongh","given":"P E","non-dropping-particle":"De","parse-names":false,"suffix":""}],"container-title":"Catalysis Today","id":"ITEM-1","issue":"1","issued":{"date-parts":[["2011"]]},"language":"English","note":"Cited By :33\nExport Date: 20 January 2017\nCODEN: CATTE\nCorrespondence Address: De Jongh, P. E.; Inorganic Chemistry and Catalysis, Debye Institute for NanoMaterials Science, Utrecht University, Sorbonnelaan 16, NL-3584 CA Utrecht, Netherlands; email: p.e.dejongh@uu.nl\nReferences: Balakos, M.W., Hernandez, E.E., (1997) Catal. Today, 35, p. 415; Chorkendorff, I., Niemantsverdriet, H., (2007) Concepts of Modern Catalysis and Kinetics, , Wiley-VCH Weinheim; Jiao, F., Frei, H., (2009) Angew. Chem. Int. Ed., 48, p. 1841; Bell, A.T., (2003) Science, 299, p. 1688; Che, M., Bennett, C.O., (1989) Adv. Catal., 36, p. 55; Somorjai, G.A., Park, J.Y., (2008) Top. Catal., 49, p. 126; Van Santen, R.A., (2009) Acc. Chem. Res., 42, p. 57; Bezemer, G.L., Bitter, J.H., Kuipers, H., Oosterbeek, H., Holewijn, J.E., Xu, X.D., Kapteijn, F., De Jong, K.P., (2006) J. Am. Chem. Soc., 128, p. 3956; Den Breejen, J.P., Radstake, P.B., Bezemer, G.L., Bitter, J.H., Froseth, V., Holmen, A., De Jong, K.P., (2009) J. Am. Chem. Soc., 131, p. 7197; De Jong, K.P., (1999) Curr. Opin. Solid State Mater. Sci., 4, p. 55; Bourikas, K., Kordulis, C., Lycourghiotis, A., (2006) Catal. Rev. Sci. Eng., 48, p. 363; Van Der Lee, M.K., Van Dillen, A.J., Bitter, J.H., De Jong, K.P., (2005) J. Am. Chem. Soc., 127, p. 13573; Van Dillen, A.J., Terörde, R.J.A.M., Lensveld, D.J., Geus, J.W., De Jong, K.P., (2003) J. Catal., 216, p. 257; Van De Loosdrecht, J., Barradas, S., Caricato, E.A., Ngwenya, N.G., Nkwanyana, P.S., Rawat, M.A.S., Sigwebela, B.H., Visagie, J.L., (2003) Top. Catal., 26, p. 121; Sietsma, J.R.A., Meeldijk, J.D., Den Breejen, J.P., Versluijs-Helder, M., Van Dillen, A.J., De Jongh, P.E., De Jong, K.P., (2007) Angew. Chem. Int. Ed., 46, p. 4547; Sietsma, J.R.A., Friedrich, H., Broersma, A., Versluijs-Helder, M., Van Dillen, A.J., De Jongh, P.E., De Jong, K.P., (2008) J. Catal., 260, p. 227; Khodakov, A.Y., Griboval-Constant, A., Bechara, R., Villain, F., (2001) J. Phys. Chem. B, 105, p. 9805; Jentys, A., Pham, N.H., Vinek, H., Englisch, M., Lercher, J.A., (1998) Catal. Today, 39, p. 311; Li, H.L., Li, J.L., Ni, H.K., Song, D.C., (2006) Catal. Lett., 110, p. 71; Borg Ø, Walmsley, J.C., Dehghan, R., Tanem, B.S., Blekkan, E.A., Eri, S., Rytter, E., Holmen, A., (2008) Catal. Lett., 126, p. 224; Van Der Meer, J., Bardez, I., Bart, F., Albouy, P.A., Wallez, G., Davidson, A., (2009) Micropor. Mesopor. Mater., 118, p. 183; Borg Ø, Dietzel, P.D.C., Spjelkavik, A.I., Tveten, E.Z., Walmsley, J.C., Diplas, S., Eri, S., Rytter, E., (2008) J. Catal., 259, p. 161; Zhao, D., Feng, J., Huo, Q., Melosh, N., Fredrickson, G.H., Chmelka, B.F., Stucky, G.D., (1998) Science, 279, p. 548; Cheng, C., Park, D.H., Klinowski, J., (1997) J. Chem. Soc. Faraday Trans., 93, p. 193; Jaroniec, M., Kruk, M., Olivier, J.P., Koch, S., (2000) Stud. Surf. Sci. Catal., 128, p. 71; Lippens, B.C., De Boer, J.H., (1965) J. Catal., 4, p. 319; Harkins, W.D., Jura, G., (1944) J. Am. Chem. Soc., 66, p. 1366; Gallezot, P., Prettre, M., (1968) Bull. Soc. Chim. Fr., 2, p. 407; Sietsma, J.R.A., Meeldijk, J.D., Versluijs-Helder, M., Broersma, A., Van Dillen, A.J., De Jongh, P.E., De Jong, K.P., (2008) Chem. Mater., 20, p. 2921; Petrov, K., Zotov, N., Mirtcheva, E., Garciamartinez, O., Rojas, R.M., (1994) J. Mater. Chem., 4, p. 611; Brockner, W., Ehrhardt, C., Gjikaj, M., (2007) Thermochim. Acta, 456, p. 64; Estelle, J., Salagre, P., Cesteros, Y., Serra, M., Medina, F., Sueiras, J.E., (2003) Solid State Ionics, 156, p. 233; Friedrich, H., Sietsma, J.R.A., De Jongh, P.E., Verkley, A.J., De Jong, K.P., (2007) J. Am. Chem. Soc., 129, p. 10249","page":"27-32","title":"Combining confinement and NO calcination to arrive at highly dispersed supported nickel and cobalt oxide catalysts with a tunable particle size","type":"article-journal","volume":"163"},"uris":["http://www.mendeley.com/documents/?uuid=f332073a-8245-40b8-869f-64cef4c02a05"]},{"id":"ITEM-2","itemData":{"DOI":"10.1021/ja00112a014","ISSN":"15205126","abstract":"A new method of preparation of silica-supported nickel materials makes possible the control of the particle size of metallic nickel in the range 20—60 Å and in particular the obtention of decreasing particle size for increasing metal content. The preparation involves a two-step procedure: nickel in strong interaction with the support is deposited first, then nickel in weak interaction. After temperature-programmed reduction up to 700 °C, metal nickel particles are obtained whose size depends on the respective amounts of nickel deposited at each step of preparation. The average particle size is always smaller and the size distribution narrower than those of samples prepared by classical impregnation. This preparation method involves an easy to carry out procedure: (i) nickel in strong interaction is obtained by impregnation of nickel nitrate followed by water-washing or by ion-exchange followed by calcination; (ii) nickel in weak interaction is obtained by impregnation. It is shown that a mechanism of particle growth on the nickel nuclei is responsible for the changes in particle size. It takes place after impregnation during the drying step at 90 °C via condensation reactions between the two types of nickel. Nickel in strong interaction, identified as phyllosilicates or as grafted nickel depending on the preparation conditions, acts as nucleation sites for the particle growth arising from nickel in weak interaction. During drying in air at 90 °C, impregnated nickel nitrate transforms into a basic nitrate whose OH groups can react either with those in phyllosilicates or with H2O in the coordination sphere of grafted nickel. © 1995, American Chemical Society. All rights reserved.","author":[{"dropping-particle":"","family":"Che","given":"Michel","non-dropping-particle":"","parse-names":false,"suffix":""},{"dropping-particle":"","family":"Cheng","given":"Zheng Xing","non-dropping-particle":"","parse-names":false,"suffix":""},{"dropping-particle":"","family":"Louis","given":"Catherine","non-dropping-particle":"","parse-names":false,"suffix":""}],"container-title":"Journal of the American Chemical Society","id":"ITEM-2","issue":"7","issued":{"date-parts":[["1995"]]},"page":"2008-2018","title":"Nucleation and Particle Growth Processes Involved in the Preparation of Silica-Supported Nickel Materials by a Two-Step Procedure","type":"article-journal","volume":"117"},"uris":["http://www.mendeley.com/documents/?uuid=75082ae8-a72c-4dc1-a3d3-698d69928624"]}],"mendeley":{"formattedCitation":"[176], [397]","plainTextFormattedCitation":"[176], [397]","previouslyFormattedCitation":"[176], [397]"},"properties":{"noteIndex":0},"schema":"https://github.com/citation-style-language/schema/raw/master/csl-citation.json"}</w:instrText>
      </w:r>
      <w:r>
        <w:fldChar w:fldCharType="separate"/>
      </w:r>
      <w:r w:rsidR="00237E21" w:rsidRPr="00237E21">
        <w:rPr>
          <w:noProof/>
        </w:rPr>
        <w:t>[176], [397]</w:t>
      </w:r>
      <w:r>
        <w:fldChar w:fldCharType="end"/>
      </w:r>
      <w:r>
        <w:t xml:space="preserve">. This occurs as result of early stage particle sintering due to the calcination step </w:t>
      </w:r>
      <w:r>
        <w:fldChar w:fldCharType="begin" w:fldLock="1"/>
      </w:r>
      <w:r w:rsidR="008B6E91">
        <w:instrText xml:space="preserve">ADDIN CSL_CITATION {"citationItems":[{"id":"ITEM-1","itemData":{"DOI":"10.1016/j.apcatb.2006.07.023","ISSN":"09263373","abstract":"A mix-valenced nickel oxide, NiOx, was prepared from nickel nitrate aqueous solution through a precipitation with sodium hydroxide and an oxidation by sodium hypochlorite. Further, pure nickel oxide was obtained from the NiOx by calcination at 300, 400 and 500 °C (labeled as C300, C400 and C500, respectively). They were characterized by thermogravimetry (TG), X-ray diffraction (XRD), nitrogen adsorption at -196 °C and temperature-programmed reduction (TPR). Their catalytic activities towards the degradation of phenol were further studied under continuous bubbling of air through the liquid phase. Also, the effects of pH, temperature and kinds of nickel oxide on the efficiency of the microwave-enhance catalytic degradation (MECD) of phenol have been investigated. The results indicated that the relative activity affected significantly with the oxidation state of nickel, surface area and surface acidity of nickel oxide, i.e., NiOx (&gt;+2 and SBET = 201 m2 g-1) </w:instrText>
      </w:r>
      <w:r w:rsidR="008B6E91">
        <w:rPr>
          <w:rFonts w:ascii="Cambria Math" w:hAnsi="Cambria Math" w:cs="Cambria Math"/>
        </w:rPr>
        <w:instrText>≫</w:instrText>
      </w:r>
      <w:r w:rsidR="008B6E91">
        <w:instrText xml:space="preserve"> C300 (+2 and SBET = 104 m2 g-1) &gt; C400 (+2 and SBET = 52 m2 g-1) &gt; C500 (+2 and SBET = 27 m2 g-1). The introduction of microwave irradiation could greatly shorten the time of phenol degradation. </w:instrText>
      </w:r>
      <w:r w:rsidR="008B6E91">
        <w:rPr>
          <w:rFonts w:ascii="Calibri" w:hAnsi="Calibri" w:cs="Calibri"/>
        </w:rPr>
        <w:instrText>©</w:instrText>
      </w:r>
      <w:r w:rsidR="008B6E91">
        <w:instrText xml:space="preserve"> 2006 Elsevier B.V. All rights reserved.","author":[{"dropping-particle":"","family":"Lai","given":"Teh Long","non-dropping-particle":"","parse-names":false,"suffix":""},{"dropping-particle":"","family":"Lee","given":"Chia Chan","non-dropping-particle":"","parse-names":false,"suffix":""},{"dropping-particle":"","family":"Wu","given":"Kuen Shian","non-dropping-particle":"","parse-names":false,"suffix":""},{"dropping-particle":"","family":"Shu","given":"Youn Yuen","non-dropping-particle":"","parse-names":false,"suffix":""},{"dropping-particle":"Bin","family":"Wang","given":"Chen","non-dropping-particle":"","parse-names":false,"suffix":""}],"container-title":"Applied Catalysis B: Environmental","id":"ITEM-1","issue":"3-4","issued":{"date-parts":[["2006"]]},"page":"147-153","title":"Microwave-enhanced catalytic degradation of phenol over nickel oxide","type":"article-journal","volume":"68"},"uris":["http://www.mendeley.com/documents/?uuid=18b392e6-6899-4920-8edb-0c9938a5b0e5"]}],"mendeley":{"formattedCitation":"[398]","plainTextFormattedCitation":"[398]","previouslyFormattedCitation":"[398]"},"properties":{"noteIndex":0},"schema":"https://github.com/citation-style-language/schema/raw/master/csl-citation.json"}</w:instrText>
      </w:r>
      <w:r>
        <w:fldChar w:fldCharType="separate"/>
      </w:r>
      <w:r w:rsidR="00237E21" w:rsidRPr="00237E21">
        <w:rPr>
          <w:noProof/>
        </w:rPr>
        <w:t>[398]</w:t>
      </w:r>
      <w:r>
        <w:fldChar w:fldCharType="end"/>
      </w:r>
      <w:r>
        <w:t xml:space="preserve">. However, the samples in this study were all calcined at the same temperatures and times using the same furnace to eliminate instrument and conditional effects. </w:t>
      </w:r>
    </w:p>
    <w:p w14:paraId="68DE3D70" w14:textId="77777777" w:rsidR="00007F6C" w:rsidRDefault="00007F6C" w:rsidP="00007F6C">
      <w:pPr>
        <w:jc w:val="both"/>
      </w:pPr>
      <w:r>
        <w:t xml:space="preserve">The nitrogen calcination step has increased the degree of reducibility for the infiltrated nickel particles. This underlines the importance of utilising inert gas atmospheres in the preparation of heterogeneous catalysts. </w:t>
      </w:r>
    </w:p>
    <w:p w14:paraId="30E7D68B" w14:textId="733DEB56" w:rsidR="00007F6C" w:rsidRDefault="00007F6C" w:rsidP="00007F6C">
      <w:pPr>
        <w:jc w:val="both"/>
      </w:pPr>
      <w:r>
        <w:t xml:space="preserve">The percent dispersion of a Ni-YSZ sample was calculated for the sample aged between 0-3 h of ageing </w:t>
      </w:r>
      <w:r>
        <w:fldChar w:fldCharType="begin" w:fldLock="1"/>
      </w:r>
      <w:r w:rsidR="00D80A5D">
        <w:instrText>ADDIN CSL_CITATION {"citationItems":[{"id":"ITEM-1","itemData":{"ISBN":"9783527292882","author":[{"dropping-particle":"","family":"Thomas","given":"J M","non-dropping-particle":"","parse-names":false,"suffix":""},{"dropping-particle":"","family":"Thomas","given":"W J","non-dropping-particle":"","parse-names":false,"suffix":""}],"id":"ITEM-1","issued":{"date-parts":[["1997"]]},"publisher":"VCH","title":"Principles and practice of heterogeneous catalysis","type":"book"},"uris":["http://www.mendeley.com/documents/?uuid=8987bcb7-a496-460f-bac8-295454041508"]},{"id":"ITEM-2","itemData":{"ISBN":"9783527645336","author":[{"dropping-particle":"","family":"Che","given":"M","non-dropping-particle":"","parse-names":false,"suffix":""},{"dropping-particle":"","family":"Vedrine","given":"J C","non-dropping-particle":"","parse-names":false,"suffix":""}],"id":"ITEM-2","issued":{"date-parts":[["2012"]]},"publisher":"Wiley","title":"Characterization of Solid Materials and Heterogeneous Catalysts: From Structure to Surface Reactivity","type":"book"},"uris":["http://www.mendeley.com/documents/?uuid=32c40c4a-3193-48c4-9c88-dcbd1d8fbec8"]}],"mendeley":{"formattedCitation":"[297], [339]","plainTextFormattedCitation":"[297], [339]","previouslyFormattedCitation":"[297], [339]"},"properties":{"noteIndex":0},"schema":"https://github.com/citation-style-language/schema/raw/master/csl-citation.json"}</w:instrText>
      </w:r>
      <w:r>
        <w:fldChar w:fldCharType="separate"/>
      </w:r>
      <w:r w:rsidR="006C586A" w:rsidRPr="006C586A">
        <w:rPr>
          <w:noProof/>
        </w:rPr>
        <w:t>[297], [339]</w:t>
      </w:r>
      <w:r>
        <w:fldChar w:fldCharType="end"/>
      </w:r>
      <w:r>
        <w:t xml:space="preserve">. In </w:t>
      </w:r>
      <w:r>
        <w:fldChar w:fldCharType="begin"/>
      </w:r>
      <w:r>
        <w:instrText xml:space="preserve"> REF _Ref30171183 \h  \* MERGEFORMAT </w:instrText>
      </w:r>
      <w:r>
        <w:fldChar w:fldCharType="separate"/>
      </w:r>
      <w:r w:rsidR="001E3ECE">
        <w:t xml:space="preserve">Figure </w:t>
      </w:r>
      <w:r w:rsidR="001E3ECE">
        <w:rPr>
          <w:noProof/>
        </w:rPr>
        <w:t>4.19</w:t>
      </w:r>
      <w:r>
        <w:fldChar w:fldCharType="end"/>
      </w:r>
      <w:r>
        <w:t xml:space="preserve"> the dispersion of the samples decreased by 48 % after the first hour of ageing. This is the opposite of the crystallite length of the nickel species, which rose after 3 h of ageing. This indicates that the sintering of the nickel phase into larger agglomerates impacts the dispersion of the catalyst species. The initial dispersion of the nickel species can be found below in </w:t>
      </w:r>
      <w:r>
        <w:fldChar w:fldCharType="begin"/>
      </w:r>
      <w:r>
        <w:instrText xml:space="preserve"> REF _Ref41468384 \h  \* MERGEFORMAT </w:instrText>
      </w:r>
      <w:r>
        <w:fldChar w:fldCharType="separate"/>
      </w:r>
      <w:r>
        <w:t>Table 4.6</w:t>
      </w:r>
      <w:r>
        <w:fldChar w:fldCharType="end"/>
      </w:r>
      <w:r>
        <w:t xml:space="preserve">. </w:t>
      </w:r>
    </w:p>
    <w:p w14:paraId="491E58B4" w14:textId="7F2DFE29" w:rsidR="00007F6C" w:rsidRDefault="00007F6C" w:rsidP="00007F6C">
      <w:pPr>
        <w:pStyle w:val="Caption"/>
        <w:keepNext/>
      </w:pPr>
      <w:bookmarkStart w:id="364" w:name="_Ref41468384"/>
      <w:r>
        <w:t>Table 4.</w:t>
      </w:r>
      <w:r w:rsidR="00B51F53">
        <w:fldChar w:fldCharType="begin"/>
      </w:r>
      <w:r w:rsidR="00B51F53">
        <w:instrText xml:space="preserve"> SEQ Table \* ARABIC </w:instrText>
      </w:r>
      <w:r w:rsidR="00B51F53">
        <w:fldChar w:fldCharType="separate"/>
      </w:r>
      <w:r w:rsidR="0022061C">
        <w:rPr>
          <w:noProof/>
        </w:rPr>
        <w:t>7</w:t>
      </w:r>
      <w:r w:rsidR="00B51F53">
        <w:rPr>
          <w:noProof/>
        </w:rPr>
        <w:fldChar w:fldCharType="end"/>
      </w:r>
      <w:bookmarkEnd w:id="364"/>
      <w:r>
        <w:t xml:space="preserve">: Table detailing the % dispersion of the Ni species in the wet impregnated fuel electrode </w:t>
      </w:r>
      <w:proofErr w:type="gramStart"/>
      <w:r>
        <w:t>samples</w:t>
      </w:r>
      <w:proofErr w:type="gramEnd"/>
    </w:p>
    <w:tbl>
      <w:tblPr>
        <w:tblStyle w:val="TableGrid"/>
        <w:tblW w:w="5189" w:type="pct"/>
        <w:jc w:val="center"/>
        <w:tblLook w:val="04A0" w:firstRow="1" w:lastRow="0" w:firstColumn="1" w:lastColumn="0" w:noHBand="0" w:noVBand="1"/>
      </w:tblPr>
      <w:tblGrid>
        <w:gridCol w:w="2103"/>
        <w:gridCol w:w="1677"/>
        <w:gridCol w:w="1787"/>
        <w:gridCol w:w="1853"/>
        <w:gridCol w:w="1937"/>
      </w:tblGrid>
      <w:tr w:rsidR="00007F6C" w14:paraId="6145B40C" w14:textId="77777777" w:rsidTr="005E2F1E">
        <w:trPr>
          <w:jc w:val="center"/>
        </w:trPr>
        <w:tc>
          <w:tcPr>
            <w:tcW w:w="1124" w:type="pct"/>
            <w:vMerge w:val="restart"/>
          </w:tcPr>
          <w:p w14:paraId="2C3DD2CD" w14:textId="77777777" w:rsidR="00007F6C" w:rsidRDefault="00007F6C" w:rsidP="005E2F1E">
            <w:pPr>
              <w:rPr>
                <w:b/>
                <w:bCs/>
              </w:rPr>
            </w:pPr>
            <w:bookmarkStart w:id="365" w:name="_Hlk39493283"/>
            <w:r w:rsidRPr="00C623F0">
              <w:rPr>
                <w:b/>
                <w:bCs/>
              </w:rPr>
              <w:t>Sample composition</w:t>
            </w:r>
          </w:p>
          <w:p w14:paraId="5ACCBB0B" w14:textId="77777777" w:rsidR="00007F6C" w:rsidRPr="00C623F0" w:rsidRDefault="00007F6C" w:rsidP="005E2F1E">
            <w:pPr>
              <w:rPr>
                <w:b/>
                <w:bCs/>
              </w:rPr>
            </w:pPr>
            <w:r w:rsidRPr="00C623F0">
              <w:rPr>
                <w:b/>
                <w:bCs/>
              </w:rPr>
              <w:t>(Drying condition)</w:t>
            </w:r>
          </w:p>
        </w:tc>
        <w:tc>
          <w:tcPr>
            <w:tcW w:w="2841" w:type="pct"/>
            <w:gridSpan w:val="3"/>
          </w:tcPr>
          <w:p w14:paraId="7B307427" w14:textId="77777777" w:rsidR="00007F6C" w:rsidRPr="00C623F0" w:rsidRDefault="00007F6C" w:rsidP="005E2F1E">
            <w:pPr>
              <w:jc w:val="center"/>
              <w:rPr>
                <w:b/>
                <w:bCs/>
                <w:color w:val="FFC000"/>
              </w:rPr>
            </w:pPr>
            <w:r w:rsidRPr="00C623F0">
              <w:rPr>
                <w:b/>
                <w:bCs/>
              </w:rPr>
              <w:t xml:space="preserve">Crystallite Length </w:t>
            </w:r>
            <w:r>
              <w:rPr>
                <w:b/>
                <w:bCs/>
              </w:rPr>
              <w:t>in nm and d</w:t>
            </w:r>
            <w:r w:rsidRPr="00C623F0">
              <w:rPr>
                <w:b/>
                <w:bCs/>
              </w:rPr>
              <w:t>etermination method (Detector)</w:t>
            </w:r>
          </w:p>
        </w:tc>
        <w:tc>
          <w:tcPr>
            <w:tcW w:w="1035" w:type="pct"/>
            <w:vMerge w:val="restart"/>
          </w:tcPr>
          <w:p w14:paraId="0CE4F03C" w14:textId="77777777" w:rsidR="00007F6C" w:rsidRDefault="00007F6C" w:rsidP="005E2F1E">
            <w:pPr>
              <w:jc w:val="center"/>
              <w:rPr>
                <w:b/>
                <w:bCs/>
              </w:rPr>
            </w:pPr>
            <w:r>
              <w:rPr>
                <w:b/>
                <w:bCs/>
              </w:rPr>
              <w:t>Percent dispersion of the infiltrated nanoparticles</w:t>
            </w:r>
          </w:p>
          <w:p w14:paraId="45E0EF36" w14:textId="77777777" w:rsidR="00007F6C" w:rsidRDefault="00007F6C" w:rsidP="005E2F1E">
            <w:pPr>
              <w:jc w:val="center"/>
              <w:rPr>
                <w:b/>
                <w:bCs/>
              </w:rPr>
            </w:pPr>
            <w:r>
              <w:rPr>
                <w:b/>
                <w:bCs/>
              </w:rPr>
              <w:t>[%]</w:t>
            </w:r>
          </w:p>
        </w:tc>
      </w:tr>
      <w:tr w:rsidR="00007F6C" w14:paraId="1F20A179" w14:textId="77777777" w:rsidTr="005E2F1E">
        <w:trPr>
          <w:jc w:val="center"/>
        </w:trPr>
        <w:tc>
          <w:tcPr>
            <w:tcW w:w="1124" w:type="pct"/>
            <w:vMerge/>
          </w:tcPr>
          <w:p w14:paraId="4A190A7F" w14:textId="77777777" w:rsidR="00007F6C" w:rsidRPr="00C623F0" w:rsidRDefault="00007F6C" w:rsidP="005E2F1E">
            <w:pPr>
              <w:rPr>
                <w:b/>
                <w:bCs/>
              </w:rPr>
            </w:pPr>
          </w:p>
        </w:tc>
        <w:tc>
          <w:tcPr>
            <w:tcW w:w="896" w:type="pct"/>
          </w:tcPr>
          <w:p w14:paraId="3DB497AF" w14:textId="77777777" w:rsidR="00007F6C" w:rsidRPr="00C623F0" w:rsidRDefault="00007F6C" w:rsidP="005E2F1E">
            <w:pPr>
              <w:rPr>
                <w:b/>
                <w:bCs/>
              </w:rPr>
            </w:pPr>
            <w:r w:rsidRPr="00C623F0">
              <w:rPr>
                <w:b/>
                <w:bCs/>
              </w:rPr>
              <w:t>Debye-Scherrer</w:t>
            </w:r>
          </w:p>
          <w:p w14:paraId="542BDD7B" w14:textId="77777777" w:rsidR="00007F6C" w:rsidRPr="00C623F0" w:rsidRDefault="00007F6C" w:rsidP="005E2F1E">
            <w:pPr>
              <w:rPr>
                <w:b/>
                <w:bCs/>
              </w:rPr>
            </w:pPr>
            <w:r w:rsidRPr="003E3035">
              <w:t>(D2)</w:t>
            </w:r>
            <w:r>
              <w:rPr>
                <w:b/>
                <w:bCs/>
              </w:rPr>
              <w:t xml:space="preserve"> [nm]</w:t>
            </w:r>
          </w:p>
        </w:tc>
        <w:tc>
          <w:tcPr>
            <w:tcW w:w="955" w:type="pct"/>
          </w:tcPr>
          <w:p w14:paraId="31DC8769" w14:textId="77777777" w:rsidR="00007F6C" w:rsidRDefault="00007F6C" w:rsidP="005E2F1E">
            <w:pPr>
              <w:rPr>
                <w:b/>
                <w:bCs/>
              </w:rPr>
            </w:pPr>
            <w:r w:rsidRPr="00C623F0">
              <w:rPr>
                <w:b/>
                <w:bCs/>
              </w:rPr>
              <w:t xml:space="preserve">Williamson Hall </w:t>
            </w:r>
          </w:p>
          <w:p w14:paraId="744384CF" w14:textId="77777777" w:rsidR="00007F6C" w:rsidRPr="00C623F0" w:rsidRDefault="00007F6C" w:rsidP="005E2F1E">
            <w:pPr>
              <w:rPr>
                <w:b/>
                <w:bCs/>
              </w:rPr>
            </w:pPr>
            <w:r w:rsidRPr="003E3035">
              <w:t>(D2)</w:t>
            </w:r>
            <w:r>
              <w:rPr>
                <w:b/>
                <w:bCs/>
              </w:rPr>
              <w:t xml:space="preserve"> [nm]</w:t>
            </w:r>
          </w:p>
        </w:tc>
        <w:tc>
          <w:tcPr>
            <w:tcW w:w="990" w:type="pct"/>
          </w:tcPr>
          <w:p w14:paraId="5D4AE5D8" w14:textId="77777777" w:rsidR="00007F6C" w:rsidRDefault="00007F6C" w:rsidP="005E2F1E">
            <w:pPr>
              <w:rPr>
                <w:b/>
                <w:bCs/>
              </w:rPr>
            </w:pPr>
            <w:r w:rsidRPr="00C623F0">
              <w:rPr>
                <w:b/>
                <w:bCs/>
              </w:rPr>
              <w:t xml:space="preserve">Debye-Scherrer </w:t>
            </w:r>
          </w:p>
          <w:p w14:paraId="1D6077FF" w14:textId="77777777" w:rsidR="00007F6C" w:rsidRPr="00C623F0" w:rsidRDefault="00007F6C" w:rsidP="005E2F1E">
            <w:pPr>
              <w:rPr>
                <w:b/>
                <w:bCs/>
              </w:rPr>
            </w:pPr>
            <w:r w:rsidRPr="003E3035">
              <w:t>(9ID)</w:t>
            </w:r>
            <w:r>
              <w:rPr>
                <w:b/>
                <w:bCs/>
              </w:rPr>
              <w:t xml:space="preserve"> [nm]</w:t>
            </w:r>
          </w:p>
        </w:tc>
        <w:tc>
          <w:tcPr>
            <w:tcW w:w="1035" w:type="pct"/>
            <w:vMerge/>
          </w:tcPr>
          <w:p w14:paraId="18E83407" w14:textId="77777777" w:rsidR="00007F6C" w:rsidRPr="00C623F0" w:rsidRDefault="00007F6C" w:rsidP="005E2F1E">
            <w:pPr>
              <w:rPr>
                <w:b/>
                <w:bCs/>
              </w:rPr>
            </w:pPr>
          </w:p>
        </w:tc>
      </w:tr>
      <w:tr w:rsidR="00007F6C" w14:paraId="1521775B" w14:textId="77777777" w:rsidTr="005E2F1E">
        <w:trPr>
          <w:jc w:val="center"/>
        </w:trPr>
        <w:tc>
          <w:tcPr>
            <w:tcW w:w="1124" w:type="pct"/>
          </w:tcPr>
          <w:p w14:paraId="41DF69E3" w14:textId="77777777" w:rsidR="00007F6C" w:rsidRPr="001F3E81" w:rsidRDefault="00007F6C" w:rsidP="005E2F1E">
            <w:proofErr w:type="spellStart"/>
            <w:r w:rsidRPr="001F3E81">
              <w:t>NiO</w:t>
            </w:r>
            <w:proofErr w:type="spellEnd"/>
            <w:r w:rsidRPr="001F3E81">
              <w:t>-YSZ (</w:t>
            </w:r>
            <w:r w:rsidRPr="00C623F0">
              <w:rPr>
                <w:b/>
                <w:bCs/>
              </w:rPr>
              <w:t>AD</w:t>
            </w:r>
            <w:r>
              <w:rPr>
                <w:b/>
                <w:bCs/>
              </w:rPr>
              <w:t xml:space="preserve"> AC</w:t>
            </w:r>
            <w:r w:rsidRPr="001F3E81">
              <w:t>)</w:t>
            </w:r>
          </w:p>
        </w:tc>
        <w:tc>
          <w:tcPr>
            <w:tcW w:w="896" w:type="pct"/>
          </w:tcPr>
          <w:p w14:paraId="32EDF585" w14:textId="77777777" w:rsidR="00007F6C" w:rsidRPr="001F3E81" w:rsidRDefault="00007F6C" w:rsidP="005E2F1E">
            <w:pPr>
              <w:jc w:val="right"/>
            </w:pPr>
            <w:r>
              <w:t xml:space="preserve">25.73 </w:t>
            </w:r>
            <w:r>
              <w:rPr>
                <w:rFonts w:cstheme="minorHAnsi"/>
              </w:rPr>
              <w:t xml:space="preserve">± </w:t>
            </w:r>
            <w:r>
              <w:t>1.01</w:t>
            </w:r>
          </w:p>
        </w:tc>
        <w:tc>
          <w:tcPr>
            <w:tcW w:w="955" w:type="pct"/>
          </w:tcPr>
          <w:p w14:paraId="6DF0B0CD" w14:textId="77777777" w:rsidR="00007F6C" w:rsidRPr="00373C90" w:rsidRDefault="00007F6C" w:rsidP="005E2F1E">
            <w:pPr>
              <w:jc w:val="right"/>
            </w:pPr>
            <w:r w:rsidRPr="00373C90">
              <w:t>27.06</w:t>
            </w:r>
            <w:r>
              <w:t xml:space="preserve"> </w:t>
            </w:r>
            <w:r>
              <w:rPr>
                <w:rFonts w:cstheme="minorHAnsi"/>
              </w:rPr>
              <w:t xml:space="preserve">± </w:t>
            </w:r>
            <w:r>
              <w:t>0.45</w:t>
            </w:r>
          </w:p>
        </w:tc>
        <w:tc>
          <w:tcPr>
            <w:tcW w:w="990" w:type="pct"/>
          </w:tcPr>
          <w:p w14:paraId="45BB9F3C" w14:textId="77777777" w:rsidR="00007F6C" w:rsidRPr="003E3035" w:rsidRDefault="00007F6C" w:rsidP="005E2F1E">
            <w:pPr>
              <w:jc w:val="right"/>
            </w:pPr>
            <w:r w:rsidRPr="003E3035">
              <w:t xml:space="preserve">14.71 </w:t>
            </w:r>
            <w:r w:rsidRPr="003E3035">
              <w:rPr>
                <w:rFonts w:cstheme="minorHAnsi"/>
              </w:rPr>
              <w:t>±</w:t>
            </w:r>
            <w:r>
              <w:rPr>
                <w:rFonts w:cstheme="minorHAnsi"/>
              </w:rPr>
              <w:t xml:space="preserve"> 1.13</w:t>
            </w:r>
          </w:p>
        </w:tc>
        <w:tc>
          <w:tcPr>
            <w:tcW w:w="1035" w:type="pct"/>
          </w:tcPr>
          <w:p w14:paraId="49D896E4" w14:textId="77777777" w:rsidR="00007F6C" w:rsidRPr="003E3035" w:rsidRDefault="00007F6C" w:rsidP="005E2F1E">
            <w:pPr>
              <w:jc w:val="right"/>
            </w:pPr>
            <w:r>
              <w:t>4.73</w:t>
            </w:r>
          </w:p>
        </w:tc>
      </w:tr>
      <w:tr w:rsidR="00007F6C" w14:paraId="7223CD82" w14:textId="77777777" w:rsidTr="005E2F1E">
        <w:trPr>
          <w:jc w:val="center"/>
        </w:trPr>
        <w:tc>
          <w:tcPr>
            <w:tcW w:w="1124" w:type="pct"/>
          </w:tcPr>
          <w:p w14:paraId="3FEC9F52" w14:textId="77777777" w:rsidR="00007F6C" w:rsidRDefault="00007F6C" w:rsidP="005E2F1E">
            <w:pPr>
              <w:rPr>
                <w:color w:val="FFC000"/>
              </w:rPr>
            </w:pPr>
            <w:proofErr w:type="spellStart"/>
            <w:r w:rsidRPr="00C623F0">
              <w:t>NiO</w:t>
            </w:r>
            <w:proofErr w:type="spellEnd"/>
            <w:r w:rsidRPr="00C623F0">
              <w:t>-YSZ (</w:t>
            </w:r>
            <w:r w:rsidRPr="00C623F0">
              <w:rPr>
                <w:b/>
                <w:bCs/>
              </w:rPr>
              <w:t>ND</w:t>
            </w:r>
            <w:r>
              <w:rPr>
                <w:b/>
                <w:bCs/>
              </w:rPr>
              <w:t xml:space="preserve"> NC</w:t>
            </w:r>
            <w:r w:rsidRPr="00C623F0">
              <w:t>)</w:t>
            </w:r>
          </w:p>
        </w:tc>
        <w:tc>
          <w:tcPr>
            <w:tcW w:w="896" w:type="pct"/>
          </w:tcPr>
          <w:p w14:paraId="73A8EEA5" w14:textId="77777777" w:rsidR="00007F6C" w:rsidRPr="00373C90" w:rsidRDefault="00007F6C" w:rsidP="005E2F1E">
            <w:pPr>
              <w:jc w:val="right"/>
            </w:pPr>
            <w:r w:rsidRPr="00373C90">
              <w:t>19.65</w:t>
            </w:r>
            <w:r>
              <w:t xml:space="preserve"> </w:t>
            </w:r>
            <w:r w:rsidRPr="00373C90">
              <w:rPr>
                <w:rFonts w:cstheme="minorHAnsi"/>
              </w:rPr>
              <w:t>±</w:t>
            </w:r>
            <w:r>
              <w:rPr>
                <w:rFonts w:cstheme="minorHAnsi"/>
              </w:rPr>
              <w:t xml:space="preserve"> </w:t>
            </w:r>
            <w:r w:rsidRPr="00373C90">
              <w:t>1.01</w:t>
            </w:r>
          </w:p>
        </w:tc>
        <w:tc>
          <w:tcPr>
            <w:tcW w:w="955" w:type="pct"/>
          </w:tcPr>
          <w:p w14:paraId="32D81253" w14:textId="77777777" w:rsidR="00007F6C" w:rsidRPr="00373C90" w:rsidRDefault="00007F6C" w:rsidP="005E2F1E">
            <w:pPr>
              <w:jc w:val="right"/>
            </w:pPr>
            <w:r w:rsidRPr="00373C90">
              <w:t>20.86</w:t>
            </w:r>
            <w:r>
              <w:t xml:space="preserve"> </w:t>
            </w:r>
            <w:r>
              <w:rPr>
                <w:rFonts w:cstheme="minorHAnsi"/>
              </w:rPr>
              <w:t xml:space="preserve">± </w:t>
            </w:r>
            <w:r>
              <w:t>0.39</w:t>
            </w:r>
          </w:p>
        </w:tc>
        <w:tc>
          <w:tcPr>
            <w:tcW w:w="990" w:type="pct"/>
          </w:tcPr>
          <w:p w14:paraId="2643C0A9" w14:textId="77777777" w:rsidR="00007F6C" w:rsidRPr="003E3035" w:rsidRDefault="00007F6C" w:rsidP="005E2F1E">
            <w:pPr>
              <w:jc w:val="right"/>
            </w:pPr>
            <w:r w:rsidRPr="003E3035">
              <w:t xml:space="preserve">10.20 </w:t>
            </w:r>
            <w:r w:rsidRPr="003E3035">
              <w:rPr>
                <w:rFonts w:cstheme="minorHAnsi"/>
              </w:rPr>
              <w:t>±</w:t>
            </w:r>
            <w:r>
              <w:rPr>
                <w:rFonts w:cstheme="minorHAnsi"/>
              </w:rPr>
              <w:t xml:space="preserve"> 1.13</w:t>
            </w:r>
          </w:p>
        </w:tc>
        <w:tc>
          <w:tcPr>
            <w:tcW w:w="1035" w:type="pct"/>
          </w:tcPr>
          <w:p w14:paraId="1042EA51" w14:textId="77777777" w:rsidR="00007F6C" w:rsidRPr="003E3035" w:rsidRDefault="00007F6C" w:rsidP="005E2F1E">
            <w:pPr>
              <w:jc w:val="right"/>
            </w:pPr>
            <w:r>
              <w:t>6.19</w:t>
            </w:r>
          </w:p>
        </w:tc>
      </w:tr>
    </w:tbl>
    <w:bookmarkEnd w:id="365"/>
    <w:p w14:paraId="0BEBC973" w14:textId="77777777" w:rsidR="00007F6C" w:rsidRDefault="00007F6C" w:rsidP="00007F6C">
      <w:pPr>
        <w:spacing w:before="240"/>
        <w:jc w:val="both"/>
      </w:pPr>
      <w:r>
        <w:t>The dispersion of the infiltrated nickel electrocatalyst increased post reduction due to the crystallite length of the particles being reduced during the nitrogen drying step. As the catalyst phase coarsens under the elevated temperatures the crystallite length increases rapidly. Therefore, the dispersion of the particles drops due to the formation of large agglomerates.</w:t>
      </w:r>
    </w:p>
    <w:p w14:paraId="6F9C09D4" w14:textId="77777777" w:rsidR="00007F6C" w:rsidRDefault="00007F6C" w:rsidP="00007F6C">
      <w:pPr>
        <w:keepNext/>
        <w:jc w:val="center"/>
      </w:pPr>
      <w:r w:rsidRPr="00CB7903">
        <w:rPr>
          <w:noProof/>
          <w:lang w:eastAsia="en-GB"/>
        </w:rPr>
        <w:lastRenderedPageBreak/>
        <w:drawing>
          <wp:inline distT="0" distB="0" distL="0" distR="0" wp14:anchorId="17A1D7FE" wp14:editId="36E7D828">
            <wp:extent cx="5400000" cy="4022288"/>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5">
                      <a:extLst>
                        <a:ext uri="{28A0092B-C50C-407E-A947-70E740481C1C}">
                          <a14:useLocalDpi xmlns:a14="http://schemas.microsoft.com/office/drawing/2010/main" val="0"/>
                        </a:ext>
                      </a:extLst>
                    </a:blip>
                    <a:srcRect l="7869" t="10927" r="5584" b="4966"/>
                    <a:stretch/>
                  </pic:blipFill>
                  <pic:spPr bwMode="auto">
                    <a:xfrm>
                      <a:off x="0" y="0"/>
                      <a:ext cx="5400000" cy="4022288"/>
                    </a:xfrm>
                    <a:prstGeom prst="rect">
                      <a:avLst/>
                    </a:prstGeom>
                    <a:noFill/>
                    <a:ln>
                      <a:noFill/>
                    </a:ln>
                    <a:extLst>
                      <a:ext uri="{53640926-AAD7-44D8-BBD7-CCE9431645EC}">
                        <a14:shadowObscured xmlns:a14="http://schemas.microsoft.com/office/drawing/2010/main"/>
                      </a:ext>
                    </a:extLst>
                  </pic:spPr>
                </pic:pic>
              </a:graphicData>
            </a:graphic>
          </wp:inline>
        </w:drawing>
      </w:r>
    </w:p>
    <w:p w14:paraId="50320E0A" w14:textId="10A2A7C3" w:rsidR="00007F6C" w:rsidRDefault="00007F6C" w:rsidP="00007F6C">
      <w:pPr>
        <w:pStyle w:val="Caption"/>
      </w:pPr>
      <w:bookmarkStart w:id="366" w:name="_Ref30171183"/>
      <w:bookmarkStart w:id="367" w:name="_Toc69114993"/>
      <w:r>
        <w:t>Figure 4.</w:t>
      </w:r>
      <w:r w:rsidR="00B51F53">
        <w:fldChar w:fldCharType="begin"/>
      </w:r>
      <w:r w:rsidR="00B51F53">
        <w:instrText xml:space="preserve"> SEQ Figure \* ARABIC </w:instrText>
      </w:r>
      <w:r w:rsidR="00B51F53">
        <w:fldChar w:fldCharType="separate"/>
      </w:r>
      <w:r w:rsidR="001E3ECE">
        <w:rPr>
          <w:noProof/>
        </w:rPr>
        <w:t>19</w:t>
      </w:r>
      <w:r w:rsidR="00B51F53">
        <w:rPr>
          <w:noProof/>
        </w:rPr>
        <w:fldChar w:fldCharType="end"/>
      </w:r>
      <w:bookmarkEnd w:id="366"/>
      <w:r>
        <w:t>: Comparison of the impact of ageing time on the crystallite length (in nm) and % dispersion of the Ni in Ni-YSZ fuel electrodes (</w:t>
      </w:r>
      <w:r w:rsidRPr="00774643">
        <w:rPr>
          <w:b/>
          <w:bCs/>
        </w:rPr>
        <w:t>ND</w:t>
      </w:r>
      <w:r>
        <w:t>).</w:t>
      </w:r>
      <w:bookmarkEnd w:id="367"/>
    </w:p>
    <w:p w14:paraId="2B517192" w14:textId="77777777" w:rsidR="00007F6C" w:rsidRDefault="00007F6C" w:rsidP="00007F6C">
      <w:r>
        <w:br w:type="page"/>
      </w:r>
    </w:p>
    <w:p w14:paraId="6E7EC301" w14:textId="17EB499B" w:rsidR="00007F6C" w:rsidRDefault="00007F6C" w:rsidP="003A288A">
      <w:pPr>
        <w:pStyle w:val="Heading2"/>
      </w:pPr>
      <w:bookmarkStart w:id="368" w:name="_Toc69129419"/>
      <w:r>
        <w:lastRenderedPageBreak/>
        <w:t>4.3.</w:t>
      </w:r>
      <w:r w:rsidR="003A288A">
        <w:t>6</w:t>
      </w:r>
      <w:r>
        <w:tab/>
      </w:r>
      <w:r w:rsidRPr="007D62DE">
        <w:t xml:space="preserve">Electrochemical </w:t>
      </w:r>
      <w:r w:rsidR="00700065">
        <w:t>P</w:t>
      </w:r>
      <w:r w:rsidRPr="007D62DE">
        <w:t>erformance</w:t>
      </w:r>
      <w:bookmarkEnd w:id="368"/>
      <w:r w:rsidRPr="007D62DE">
        <w:t xml:space="preserve"> </w:t>
      </w:r>
    </w:p>
    <w:p w14:paraId="100BFCD2" w14:textId="000F452A" w:rsidR="00007F6C" w:rsidRDefault="008C7ED1" w:rsidP="003A288A">
      <w:pPr>
        <w:pStyle w:val="Heading3"/>
      </w:pPr>
      <w:bookmarkStart w:id="369" w:name="_Toc69129420"/>
      <w:r>
        <w:t xml:space="preserve">4.3.6.1 </w:t>
      </w:r>
      <w:r w:rsidR="00007F6C">
        <w:t>E</w:t>
      </w:r>
      <w:r w:rsidR="00007F6C" w:rsidRPr="007D62DE">
        <w:t xml:space="preserve">lectrical </w:t>
      </w:r>
      <w:r w:rsidR="00007F6C">
        <w:t>I</w:t>
      </w:r>
      <w:r w:rsidR="00007F6C" w:rsidRPr="007D62DE">
        <w:t xml:space="preserve">mpedance </w:t>
      </w:r>
      <w:r w:rsidR="00007F6C">
        <w:t>S</w:t>
      </w:r>
      <w:r w:rsidR="00007F6C" w:rsidRPr="007D62DE">
        <w:t>pectroscopy</w:t>
      </w:r>
      <w:bookmarkEnd w:id="369"/>
    </w:p>
    <w:p w14:paraId="7EE46DAF" w14:textId="3E38F84C" w:rsidR="00007F6C" w:rsidRDefault="00007F6C" w:rsidP="00B43A11">
      <w:pPr>
        <w:spacing w:after="0"/>
        <w:jc w:val="both"/>
      </w:pPr>
      <w:r>
        <w:t xml:space="preserve">The electrochemical response of the symmetrical Ni-YSZ cells was gathered using a </w:t>
      </w:r>
      <w:proofErr w:type="spellStart"/>
      <w:r>
        <w:t>Solartron</w:t>
      </w:r>
      <w:proofErr w:type="spellEnd"/>
      <w:r>
        <w:t xml:space="preserve"> 1250/1287 frequency response analyser. Initially the infiltrated Ni-YSZ cells were coated with a silver current collector (Gwent) however this </w:t>
      </w:r>
      <w:r w:rsidR="00CF7A32">
        <w:t xml:space="preserve">appeared to cause </w:t>
      </w:r>
      <w:r>
        <w:t xml:space="preserve">consistency issues with the samples. </w:t>
      </w:r>
      <w:r w:rsidRPr="00CF0045">
        <w:t xml:space="preserve">The electrolyte contribution was calculated as the resulting series resistance after the impedance jig contributions (1 </w:t>
      </w:r>
      <w:r w:rsidRPr="00CF0045">
        <w:rPr>
          <w:rFonts w:cstheme="minorHAnsi"/>
        </w:rPr>
        <w:t>Ω</w:t>
      </w:r>
      <w:r w:rsidRPr="00CF0045">
        <w:t>) were subtracted from the measured R</w:t>
      </w:r>
      <w:r w:rsidRPr="00CF0045">
        <w:rPr>
          <w:vertAlign w:val="subscript"/>
        </w:rPr>
        <w:t>S</w:t>
      </w:r>
      <w:r w:rsidR="00B43A11">
        <w:rPr>
          <w:vertAlign w:val="subscript"/>
        </w:rPr>
        <w:t xml:space="preserve"> </w:t>
      </w:r>
      <w:r w:rsidR="00B43A11">
        <w:t>prior to area normalisation</w:t>
      </w:r>
      <w:r w:rsidRPr="00CF0045">
        <w:t>. The Ni-YSZ fuel electrode contribution was calculated to be the R</w:t>
      </w:r>
      <w:r w:rsidRPr="00CF0045">
        <w:rPr>
          <w:vertAlign w:val="subscript"/>
        </w:rPr>
        <w:t>P</w:t>
      </w:r>
      <w:r w:rsidRPr="00CF0045">
        <w:t xml:space="preserve"> between the R</w:t>
      </w:r>
      <w:r w:rsidRPr="00CF0045">
        <w:rPr>
          <w:vertAlign w:val="subscript"/>
        </w:rPr>
        <w:t>S</w:t>
      </w:r>
      <w:r w:rsidRPr="00CF0045">
        <w:t xml:space="preserve"> and I</w:t>
      </w:r>
      <w:r w:rsidRPr="00CF0045">
        <w:rPr>
          <w:vertAlign w:val="subscript"/>
        </w:rPr>
        <w:t>2</w:t>
      </w:r>
      <w:r w:rsidRPr="00CF0045">
        <w:t xml:space="preserve"> intercept</w:t>
      </w:r>
      <w:r>
        <w:t xml:space="preserve"> (Section 3.3.6) </w:t>
      </w:r>
      <w:r>
        <w:fldChar w:fldCharType="begin" w:fldLock="1"/>
      </w:r>
      <w:r w:rsidR="008B6E91">
        <w:instrText>ADDIN CSL_CITATION {"citationItems":[{"id":"ITEM-1","itemData":{"DOI":"10.1023/A:1003991529552","ISBN":"0021891X (ISSN)","ISSN":"0021891X","abstract":"The long-term properties of Ni/yttria stabilized zirconia (YSZ) cermet anodes for solid oxide fuel cells were evaluated experimentally. A total of 13 anodes of three types based on two commercial NiO powders were examined. The durability was evaluated at temperatures of 850 degrees C, 1000 degrees C and 1050 degrees C over 1300 to 2000 h at an anodic DC load of 300 mA cm/sup -2/ in hydrogen with 1 to 3% water. The anode-related polarization resistance: R/sub p/, was measured by impedance spectroscopy and found to be in the range of 0.05 to 0.7 Omega cm/sup 2/. After an initial stabilization period of up to 300 h, R/sub p/ varied linearly with time within the experimental uncertainty. At 1050 degrees C no degradation was observed. At 1000 degrees C a degradation rate of 10 m Omega cm/sup 2/ per 1000 h was found. The degradation rate was possibly higher at 850 degrees C. A single anode was exposed to nine thermal cycles from 1000 to below 100 degrees C at 100 degrees C h/sup -1/. An increase in R/sub p/ of about 30 m Omega cm/sup 2/ was observed over the first two cycles. For the following thermal cycles R/sub p/ was stable within the experimental uncertainty. (31 References)","author":[{"dropping-particle":"","family":"Primdahl","given":"S.","non-dropping-particle":"","parse-names":false,"suffix":""},{"dropping-particle":"","family":"Mogensen","given":"M.","non-dropping-particle":"","parse-names":false,"suffix":""}],"container-title":"Journal of Applied Electrochemistry","id":"ITEM-1","issue":"2","issued":{"date-parts":[["2000"]]},"language":"English","note":"Cited By :40\nExport Date: 11 October 2016\nCODEN: JAELB\nCorrespondence Address: Primdahl, S.; Riso Natl Lab, Roskilde, Denmark\nReferences: Ippommatsu, M., Sasaki, H., Otoshi, S., (1996) Int. J. Hydrogen Energy, 21, p. 129; Bagger, C., Christiansen, N., Hendriksen, P.V., Jensen, E.J., Larsen, S.S., Mogensen, M., High Temperature Electrochemistry: Ceramics and Metals (1996) 17th Risø International Symposium on Materials Science, p. 167. , F.W. Poulsen, N. Bonanos, S. Linderoth, M. Mogensen and B. Zachau-Chistiansen (Eds); Badwal, S.P.S., Foger, K., (1997) Materials Forum, 21, p. 187; Winkler, J., Hendriksen, P.V., Bonanos, N., Mogensen, M., (1998) J. Electrochem. Soc., 145, p. 1184; Mizusaki, J., Tagawa, H., Saito, T., Kamitani, K., Yamamura, T., Hirano, K., Ehara, S., Hashimoto, K., (1994) J. Electrochem. Soc., 141, p. 2129; Norby, T., Osborg, P.A., Ræder, H., (1994) Proceedings of the 'First European Solid Oxide Fuel Cell Forum', p. 671. , U. Bossel (Ed.), European SOFC Forum, Oberrohrdorf, CH; Mogensen, M., Skaarup, S., (1996) Solid State Ionics, 86-88, p. 1151; Murphy, M.M., Van Herle, J., McEvoy, A.J., Thampi, K.R., (1994) J. Electrochem. Soc., 141, pp. L94; Brown, M., Primdahl, S., Mogensen, M., J. Electrochem. Soc., , submitted; Sakamoto, S., Taria, H., Takagi, H., (1996) Denki Kagaku, 64, p. 609; Badwal, S.P.S., (1992) Solid State Ionics, 52, p. 23; Singhal, S.C., The Electrochemical Society Proceedings Series (1997) Solid Oxide Fuel Cells, 97 PV (40), p. 37. , U. Stimming, S.C. Singhal, H. Tagawa W. Lehnert (Eds), Pennington, NJ; Beie, H.J., Blum, L., Drenckhahn, W., Greiner, H., Schisschl, H., (1998) Proceedings of the 'Third European Solid Fuel Cell Forum', p. 3. , P. Stevens (Ed.), European SOFC Forum, Oberrohrdorf, CH; Schäfer, W., Geier, H., Lindemann, G., Stolten, D., High Temperature Electrochemical Behaviour of Fast Ion and Mixed Conductors (1993) 14th Risø International Symposium on Materials Science, p. 409. , F.W. Poulsen, J.J. Bentzen, T. Jacobsen, E. Skou and M.J.L. Østergård, (Eds.), Roskilde DK; Middleton, P.H., Seiersten, M.E., Steele, B.C.H., The Electrochemical Society Proceedings Series (1989) Solid Oxide Fuel Cells, 89 PV (11), p. 90. , S.C. Singhal, (Ed.), Pennington, NJ; Kinderman, L., Poulsen, F.W., Bagger, C., (1998) Proceedings of the 'Third European Solid Oxide Fuel Cell Forum', p. 133. , P. Stevens, (Ed.), Poster section, European SOFC Forum, Oberrohrdorf, CH; Fukui, T., Ohara, S., Mukai, K., (1998) Electrochem. Solid-State Lett., 1, p. 120; Iwata, T., (1996) J. Electrochem. Soc., 143, p. 1521; Khandkar, A.C., Elangovan, S., Liu, M., Timper, M., (1991) High Temperature Electrode Materials and Characterization, 91 PV (6), p. 175. , D.D. Macdonald and A.C. Khandkar, (Eds.), The Electrochemical Society, Pennington, NJ; Bagger, C., (1992) 1992 Fuel Cell Seminar, p. 241. , Courtesy Associates, Inc. Washington, DC; Hartung, R., Möbius, H.-H., (1968) Chemie-Ing. Techn., 40, p. 592; Boukamp, B.A., (1986) Solid State Ionics, 20, p. 31; Primdahl, S., Mogensen, M., (1997) J. Electrochem. Soc., 144, p. 3409; Primdahl, S., Mogensen, M., (1998) J. Electrochem. Soc., 145, p. 2431; Primdahl, S., Mogensen, M., (1999) J. Electrochem. Soc., 146, p. 2827; Primdahl, S., Mogensen, M., , p. 530. , 12Mohamedi-Boulenouar, F.Z., Guindet, J., Hammou, A., , p. 441. , 12Primdahl, S., Sørensen, B.F., Mogensen, M., J. Am. Ceram. Soc., , accepted; Jørgensen, M.J., Primdahl, S., Mogensen, M., (1999) Electrochim. Acta, 44, p. 4195; Gubner, A., Landes, H., Metzger, J., Seeg, H., Stübner, R., , p. 844. , 12Appel, C.C., Bonanos, N., Horsewell, A., Linderoth, S., in preparationUR - https://www.scopus.com/inward/record.uri?eid=2-s2.0-0033896708&amp;amp;partnerID=40&amp;amp;md5=0dc5f67c06ceb5ce61e9d381d0542e72","page":"247-257","publisher":"Kluwer Academic Publishers","publisher-place":"Dordrecht, Netherlands","title":"Durability and thermal cycling of Ni/YSZ cermet anodes for solid oxide fuel cells","type":"article-journal","volume":"30"},"uris":["http://www.mendeley.com/documents/?uuid=bf6319ac-1949-45dc-9370-3201ebc90564"]},{"id":"ITEM-2","itemData":{"DOI":"10.1016/j.ssi.2010.06.025","ISBN":"01672738","ISSN":"01672738","abstract":"In order to investigate the role played by the solid electrolyte in the H2 oxidation reaction, patterned Ni electrodes on YSZ (yttria stabilized zirconia) single crystals with different crystallographic orientations, on polycrystalline YSZ and on polycrystalline LSGM ((La,Sr)(Ga,Mg)O3-x) were studied in H 2 + H2O gas as a function of partial pressure of H 2O in the temperature range of 673-823 K. Symmetrical cells using YSZ single crystals exhibit a single almost perfect electrode semicircle in the Nyquist plot. The corresponding polarisation resistance (Rp) depends on the surface orientation of the YSZ single crystals with a maximum of R p for &lt; 110&gt; and a minimum for &lt; 100&gt;. The capacitance obtained from the impedance arc is almost temperature independent but different for the three surfaces. In the case of polycrystalline YSZ a depressed impedance arc results with the capacitance being between the extreme values measured for single crystals of different orientation. A modified situation is found for patterned Ni electrode on LSGM: the capacitance of the single arc depends on temperature and is much larger than in the case of YSZ cells. The polarisation resistance on polycrystalline LSGM is much smaller than on polycrystalline YSZ while activation energies of the polarization resistance are still similar. Capacitances and resistances are discussed in terms of possible mechanisms. © 2010 Elsevier B.V. All rights reserved.","author":[{"dropping-particle":"","family":"Rao","given":"Manga Venkateswara","non-dropping-particle":"","parse-names":false,"suffix":""},{"dropping-particle":"","family":"Fleig","given":"Juergen","non-dropping-particle":"","parse-names":false,"suffix":""},{"dropping-particle":"","family":"Zinkevich","given":"Matvei","non-dropping-particle":"","parse-names":false,"suffix":""},{"dropping-particle":"","family":"Aldinger","given":"Fritz","non-dropping-particle":"","parse-names":false,"suffix":""}],"container-title":"Solid State Ionics","id":"ITEM-2","issue":"25-26","issued":{"date-parts":[["2010"]]},"page":"1170-1177","publisher":"Elsevier B.V.","title":"The influence of the solid electrolyte on the impedance of hydrogen oxidation at patterned Ni electrodes","type":"article-journal","volume":"181"},"uris":["http://www.mendeley.com/documents/?uuid=94bdd5c8-2630-471f-a57f-bc9cf296cc11"]}],"mendeley":{"formattedCitation":"[399], [400]","plainTextFormattedCitation":"[399], [400]","previouslyFormattedCitation":"[399], [400]"},"properties":{"noteIndex":0},"schema":"https://github.com/citation-style-language/schema/raw/master/csl-citation.json"}</w:instrText>
      </w:r>
      <w:r>
        <w:fldChar w:fldCharType="separate"/>
      </w:r>
      <w:r w:rsidR="00237E21" w:rsidRPr="00237E21">
        <w:rPr>
          <w:noProof/>
        </w:rPr>
        <w:t>[399], [400]</w:t>
      </w:r>
      <w:r>
        <w:fldChar w:fldCharType="end"/>
      </w:r>
      <w:r w:rsidRPr="00CF0045">
        <w:t xml:space="preserve">. </w:t>
      </w:r>
    </w:p>
    <w:p w14:paraId="1C50BF4C" w14:textId="5B0EEFAA" w:rsidR="00007F6C" w:rsidRPr="00CF0045" w:rsidRDefault="00007F6C" w:rsidP="00CF7A32">
      <w:pPr>
        <w:jc w:val="both"/>
      </w:pPr>
      <w:r>
        <w:fldChar w:fldCharType="begin"/>
      </w:r>
      <w:r>
        <w:instrText xml:space="preserve"> REF _Ref40344182 \h  \* MERGEFORMAT </w:instrText>
      </w:r>
      <w:r>
        <w:fldChar w:fldCharType="separate"/>
      </w:r>
      <w:r w:rsidR="004E1874">
        <w:t>Figure 4.20</w:t>
      </w:r>
      <w:r>
        <w:fldChar w:fldCharType="end"/>
      </w:r>
      <w:r>
        <w:t xml:space="preserve"> and </w:t>
      </w:r>
      <w:r>
        <w:fldChar w:fldCharType="begin"/>
      </w:r>
      <w:r>
        <w:instrText xml:space="preserve"> REF _Ref40344185 \h  \* MERGEFORMAT </w:instrText>
      </w:r>
      <w:r>
        <w:fldChar w:fldCharType="separate"/>
      </w:r>
      <w:r w:rsidR="004E1874">
        <w:t>Figure 4.21</w:t>
      </w:r>
      <w:r>
        <w:fldChar w:fldCharType="end"/>
      </w:r>
      <w:r>
        <w:t xml:space="preserve"> detail the evolution of the series and polarisation resistance were taken using a silver current collector </w:t>
      </w:r>
      <w:r>
        <w:fldChar w:fldCharType="begin" w:fldLock="1"/>
      </w:r>
      <w:r w:rsidR="00D80A5D">
        <w:instrText>ADDIN CSL_CITATION {"citationItems":[{"id":"ITEM-1","itemData":{"URL":"http://www.gwent.org/gem_data_sheets/single_and_multilayer_products/ltcc_tape_products/ag_ink_c2010515d4.pdf","accessed":{"date-parts":[["2020","4","22"]]},"author":[{"dropping-particle":"","family":"Ltd","given":"Gwent Electronic Materials","non-dropping-particle":"","parse-names":false,"suffix":""}],"container-title":"Gwent Group Advanced Materials Catalog","id":"ITEM-1","issued":{"date-parts":[["2020"]]},"page":"1-2","title":"Gwent C2010515D4 Silver Ink Data Sheet","type":"webpage"},"uris":["http://www.mendeley.com/documents/?uuid=c31ef178-ac8d-40e7-9e8e-1563696ce764"]}],"mendeley":{"formattedCitation":"[315]","plainTextFormattedCitation":"[315]","previouslyFormattedCitation":"[315]"},"properties":{"noteIndex":0},"schema":"https://github.com/citation-style-language/schema/raw/master/csl-citation.json"}</w:instrText>
      </w:r>
      <w:r>
        <w:fldChar w:fldCharType="separate"/>
      </w:r>
      <w:r w:rsidR="006C586A" w:rsidRPr="006C586A">
        <w:rPr>
          <w:noProof/>
        </w:rPr>
        <w:t>[315]</w:t>
      </w:r>
      <w:r>
        <w:fldChar w:fldCharType="end"/>
      </w:r>
      <w:r>
        <w:t xml:space="preserve">. </w:t>
      </w:r>
      <w:r w:rsidR="00F30D46">
        <w:t xml:space="preserve">Three repeats were performed for both sets of samples. </w:t>
      </w:r>
    </w:p>
    <w:p w14:paraId="60C78FAA" w14:textId="2424DA01" w:rsidR="00007F6C" w:rsidRDefault="00996C1F" w:rsidP="003A288A">
      <w:pPr>
        <w:pStyle w:val="ListParagraph"/>
        <w:keepNext/>
        <w:jc w:val="center"/>
      </w:pPr>
      <w:r w:rsidRPr="00996C1F">
        <w:rPr>
          <w:noProof/>
        </w:rPr>
        <w:drawing>
          <wp:inline distT="0" distB="0" distL="0" distR="0" wp14:anchorId="2696F535" wp14:editId="6581A339">
            <wp:extent cx="3240000" cy="2757149"/>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6">
                      <a:extLst>
                        <a:ext uri="{28A0092B-C50C-407E-A947-70E740481C1C}">
                          <a14:useLocalDpi xmlns:a14="http://schemas.microsoft.com/office/drawing/2010/main" val="0"/>
                        </a:ext>
                      </a:extLst>
                    </a:blip>
                    <a:srcRect l="9704" t="9914" r="14145" b="5172"/>
                    <a:stretch/>
                  </pic:blipFill>
                  <pic:spPr bwMode="auto">
                    <a:xfrm>
                      <a:off x="0" y="0"/>
                      <a:ext cx="3240000" cy="2757149"/>
                    </a:xfrm>
                    <a:prstGeom prst="rect">
                      <a:avLst/>
                    </a:prstGeom>
                    <a:noFill/>
                    <a:ln>
                      <a:noFill/>
                    </a:ln>
                    <a:extLst>
                      <a:ext uri="{53640926-AAD7-44D8-BBD7-CCE9431645EC}">
                        <a14:shadowObscured xmlns:a14="http://schemas.microsoft.com/office/drawing/2010/main"/>
                      </a:ext>
                    </a:extLst>
                  </pic:spPr>
                </pic:pic>
              </a:graphicData>
            </a:graphic>
          </wp:inline>
        </w:drawing>
      </w:r>
      <w:r w:rsidR="00CF7A32">
        <w:t xml:space="preserve"> </w:t>
      </w:r>
      <w:r w:rsidR="00B43A11">
        <w:t xml:space="preserve"> </w:t>
      </w:r>
    </w:p>
    <w:p w14:paraId="62DF4A6B" w14:textId="0522A36C" w:rsidR="00007F6C" w:rsidRDefault="00007F6C" w:rsidP="003A288A">
      <w:pPr>
        <w:pStyle w:val="Caption"/>
      </w:pPr>
      <w:bookmarkStart w:id="370" w:name="_Ref40344182"/>
      <w:bookmarkStart w:id="371" w:name="_Toc69114994"/>
      <w:r>
        <w:t>Figure 4.</w:t>
      </w:r>
      <w:r w:rsidR="00B51F53">
        <w:fldChar w:fldCharType="begin"/>
      </w:r>
      <w:r w:rsidR="00B51F53">
        <w:instrText xml:space="preserve"> SEQ Figure \* ARABIC </w:instrText>
      </w:r>
      <w:r w:rsidR="00B51F53">
        <w:fldChar w:fldCharType="separate"/>
      </w:r>
      <w:r w:rsidR="004E1874">
        <w:rPr>
          <w:noProof/>
        </w:rPr>
        <w:t>20</w:t>
      </w:r>
      <w:r w:rsidR="00B51F53">
        <w:rPr>
          <w:noProof/>
        </w:rPr>
        <w:fldChar w:fldCharType="end"/>
      </w:r>
      <w:bookmarkEnd w:id="370"/>
      <w:r>
        <w:t xml:space="preserve">: Series </w:t>
      </w:r>
      <w:r w:rsidRPr="007B1A6D">
        <w:t>resistance for infiltrated Ni-YSZ samples</w:t>
      </w:r>
      <w:r>
        <w:t xml:space="preserve"> dried under different atmospheres across 50h of ageing</w:t>
      </w:r>
      <w:r w:rsidRPr="007B1A6D">
        <w:t>. The filled markers denote that the sample was dried in air (AD),</w:t>
      </w:r>
      <w:r w:rsidR="00996C1F">
        <w:t xml:space="preserve"> red</w:t>
      </w:r>
      <w:r w:rsidRPr="007B1A6D">
        <w:t xml:space="preserve"> non-filled markers (ND).</w:t>
      </w:r>
      <w:bookmarkEnd w:id="371"/>
    </w:p>
    <w:p w14:paraId="2B36C6A9" w14:textId="20FB9251" w:rsidR="00007F6C" w:rsidRDefault="00996C1F" w:rsidP="003A288A">
      <w:pPr>
        <w:pStyle w:val="ListParagraph"/>
        <w:keepNext/>
        <w:jc w:val="center"/>
      </w:pPr>
      <w:r w:rsidRPr="00996C1F">
        <w:rPr>
          <w:noProof/>
        </w:rPr>
        <w:drawing>
          <wp:inline distT="0" distB="0" distL="0" distR="0" wp14:anchorId="61B4B525" wp14:editId="761168E8">
            <wp:extent cx="3240000" cy="2752259"/>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7">
                      <a:extLst>
                        <a:ext uri="{28A0092B-C50C-407E-A947-70E740481C1C}">
                          <a14:useLocalDpi xmlns:a14="http://schemas.microsoft.com/office/drawing/2010/main" val="0"/>
                        </a:ext>
                      </a:extLst>
                    </a:blip>
                    <a:srcRect l="10197" t="9483" r="13322" b="5388"/>
                    <a:stretch/>
                  </pic:blipFill>
                  <pic:spPr bwMode="auto">
                    <a:xfrm>
                      <a:off x="0" y="0"/>
                      <a:ext cx="3240000" cy="2752259"/>
                    </a:xfrm>
                    <a:prstGeom prst="rect">
                      <a:avLst/>
                    </a:prstGeom>
                    <a:noFill/>
                    <a:ln>
                      <a:noFill/>
                    </a:ln>
                    <a:extLst>
                      <a:ext uri="{53640926-AAD7-44D8-BBD7-CCE9431645EC}">
                        <a14:shadowObscured xmlns:a14="http://schemas.microsoft.com/office/drawing/2010/main"/>
                      </a:ext>
                    </a:extLst>
                  </pic:spPr>
                </pic:pic>
              </a:graphicData>
            </a:graphic>
          </wp:inline>
        </w:drawing>
      </w:r>
    </w:p>
    <w:p w14:paraId="6F70086D" w14:textId="5B5D3FB2" w:rsidR="00007F6C" w:rsidRDefault="00007F6C" w:rsidP="00996C1F">
      <w:pPr>
        <w:pStyle w:val="Caption"/>
        <w:spacing w:after="240"/>
      </w:pPr>
      <w:bookmarkStart w:id="372" w:name="_Ref40344185"/>
      <w:bookmarkStart w:id="373" w:name="_Toc69114995"/>
      <w:r>
        <w:t>Figure 4.</w:t>
      </w:r>
      <w:r w:rsidR="00B51F53">
        <w:fldChar w:fldCharType="begin"/>
      </w:r>
      <w:r w:rsidR="00B51F53">
        <w:instrText xml:space="preserve"> SEQ Figure \* ARABIC </w:instrText>
      </w:r>
      <w:r w:rsidR="00B51F53">
        <w:fldChar w:fldCharType="separate"/>
      </w:r>
      <w:r w:rsidR="004E1874">
        <w:rPr>
          <w:noProof/>
        </w:rPr>
        <w:t>21</w:t>
      </w:r>
      <w:r w:rsidR="00B51F53">
        <w:rPr>
          <w:noProof/>
        </w:rPr>
        <w:fldChar w:fldCharType="end"/>
      </w:r>
      <w:bookmarkEnd w:id="372"/>
      <w:r>
        <w:t xml:space="preserve">: </w:t>
      </w:r>
      <w:bookmarkStart w:id="374" w:name="_Hlk48815366"/>
      <w:r>
        <w:t xml:space="preserve">Polarisation </w:t>
      </w:r>
      <w:r w:rsidRPr="007B1A6D">
        <w:t>resistance for infiltrated Ni-YSZ samples</w:t>
      </w:r>
      <w:r>
        <w:t xml:space="preserve"> dried under different atmospheres across 50h of ageing</w:t>
      </w:r>
      <w:r w:rsidRPr="007B1A6D">
        <w:t xml:space="preserve">. The filled markers denote that the sample was dried in air (AD), </w:t>
      </w:r>
      <w:r w:rsidR="00996C1F">
        <w:t xml:space="preserve">red </w:t>
      </w:r>
      <w:r w:rsidRPr="007B1A6D">
        <w:t>non-filled markers (ND).</w:t>
      </w:r>
      <w:bookmarkEnd w:id="373"/>
      <w:r w:rsidRPr="007B1A6D">
        <w:t xml:space="preserve"> </w:t>
      </w:r>
    </w:p>
    <w:bookmarkEnd w:id="374"/>
    <w:p w14:paraId="38001EEE" w14:textId="2E6D2211" w:rsidR="00007F6C" w:rsidRDefault="00007F6C" w:rsidP="003A288A">
      <w:pPr>
        <w:jc w:val="both"/>
      </w:pPr>
      <w:r>
        <w:lastRenderedPageBreak/>
        <w:t>The series resistance of the air-dried sampl</w:t>
      </w:r>
      <w:r w:rsidRPr="00A433B4">
        <w:t>es (AD</w:t>
      </w:r>
      <w:r>
        <w:t>) R</w:t>
      </w:r>
      <w:r>
        <w:rPr>
          <w:vertAlign w:val="subscript"/>
        </w:rPr>
        <w:t>S</w:t>
      </w:r>
      <w:r>
        <w:t xml:space="preserve"> after 50</w:t>
      </w:r>
      <w:r w:rsidR="00222CE3">
        <w:t xml:space="preserve"> </w:t>
      </w:r>
      <w:r>
        <w:t xml:space="preserve">h of ageing appeared to be consistently 6 </w:t>
      </w:r>
      <w:r>
        <w:rPr>
          <w:rFonts w:cstheme="minorHAnsi"/>
        </w:rPr>
        <w:t>Ω</w:t>
      </w:r>
      <w:r>
        <w:t>cm</w:t>
      </w:r>
      <w:r>
        <w:rPr>
          <w:vertAlign w:val="superscript"/>
        </w:rPr>
        <w:t>2</w:t>
      </w:r>
      <w:r>
        <w:t xml:space="preserve">. This was not the case with the ND samples which ranged between 11-15 </w:t>
      </w:r>
      <w:r>
        <w:rPr>
          <w:rFonts w:cstheme="minorHAnsi"/>
        </w:rPr>
        <w:t>Ω</w:t>
      </w:r>
      <w:r>
        <w:t>cm</w:t>
      </w:r>
      <w:r>
        <w:rPr>
          <w:vertAlign w:val="superscript"/>
        </w:rPr>
        <w:t>2</w:t>
      </w:r>
      <w:r>
        <w:t xml:space="preserve"> this pointed to an issue with either the elect</w:t>
      </w:r>
      <w:r w:rsidR="00CF7A32">
        <w:t>rode</w:t>
      </w:r>
      <w:r>
        <w:t xml:space="preserve"> or the current collector.</w:t>
      </w:r>
      <w:r w:rsidR="00CF7A32">
        <w:t xml:space="preserve"> It was found that the current collector material was delaminating during operation leading to suboptimal electrical contact for the impedance equipment. </w:t>
      </w:r>
      <w:r>
        <w:t xml:space="preserve"> Further work into the impact of current collector degradation on the polarisation resistance of the Ni-YSZ cells can be found in Chapter 5.</w:t>
      </w:r>
    </w:p>
    <w:p w14:paraId="77AF6880" w14:textId="599A6092" w:rsidR="00007F6C" w:rsidRDefault="00007F6C" w:rsidP="003A288A">
      <w:pPr>
        <w:jc w:val="both"/>
      </w:pPr>
      <w:r>
        <w:t>The contribution associated with the YSZ electrolyte at 800</w:t>
      </w:r>
      <w:r>
        <w:rPr>
          <w:rFonts w:cstheme="minorHAnsi"/>
        </w:rPr>
        <w:t>°</w:t>
      </w:r>
      <w:r>
        <w:t>C was measured across and ageing period of 50h. The switch in current collector material to nickel oxide had a profound impact on the R</w:t>
      </w:r>
      <w:r>
        <w:rPr>
          <w:vertAlign w:val="subscript"/>
        </w:rPr>
        <w:t>P</w:t>
      </w:r>
      <w:r>
        <w:t xml:space="preserve"> of the symmetrical cells. The R</w:t>
      </w:r>
      <w:r w:rsidRPr="000F7933">
        <w:rPr>
          <w:vertAlign w:val="subscript"/>
        </w:rPr>
        <w:t>P</w:t>
      </w:r>
      <w:r>
        <w:t xml:space="preserve"> of the cells dropped by over 50 % from just the switch in current collector material</w:t>
      </w:r>
      <w:r w:rsidR="004E1874">
        <w:t xml:space="preserve"> (</w:t>
      </w:r>
      <w:r w:rsidR="004E1874">
        <w:fldChar w:fldCharType="begin"/>
      </w:r>
      <w:r w:rsidR="004E1874">
        <w:instrText xml:space="preserve"> REF _Ref40357571 \h </w:instrText>
      </w:r>
      <w:r w:rsidR="004E1874">
        <w:fldChar w:fldCharType="separate"/>
      </w:r>
      <w:r w:rsidR="004E1874">
        <w:t>Figures 4.</w:t>
      </w:r>
      <w:r w:rsidR="004E1874">
        <w:rPr>
          <w:noProof/>
        </w:rPr>
        <w:t>22</w:t>
      </w:r>
      <w:r w:rsidR="004E1874">
        <w:fldChar w:fldCharType="end"/>
      </w:r>
      <w:r w:rsidR="004E1874">
        <w:t xml:space="preserve">, </w:t>
      </w:r>
      <w:r w:rsidR="004E1874">
        <w:fldChar w:fldCharType="begin"/>
      </w:r>
      <w:r w:rsidR="004E1874">
        <w:instrText xml:space="preserve"> REF _Ref40357573 \h </w:instrText>
      </w:r>
      <w:r w:rsidR="004E1874">
        <w:fldChar w:fldCharType="separate"/>
      </w:r>
      <w:r w:rsidR="004E1874">
        <w:t>4.</w:t>
      </w:r>
      <w:r w:rsidR="004E1874">
        <w:rPr>
          <w:noProof/>
        </w:rPr>
        <w:t>23</w:t>
      </w:r>
      <w:r w:rsidR="004E1874">
        <w:fldChar w:fldCharType="end"/>
      </w:r>
      <w:r w:rsidR="004E1874">
        <w:fldChar w:fldCharType="begin"/>
      </w:r>
      <w:r w:rsidR="004E1874">
        <w:instrText xml:space="preserve"> REF _Ref40357576 \h </w:instrText>
      </w:r>
      <w:r w:rsidR="004E1874">
        <w:fldChar w:fldCharType="separate"/>
      </w:r>
      <w:r w:rsidR="004E1874">
        <w:t xml:space="preserve"> and 4.</w:t>
      </w:r>
      <w:r w:rsidR="004E1874">
        <w:rPr>
          <w:noProof/>
        </w:rPr>
        <w:t>24</w:t>
      </w:r>
      <w:r w:rsidR="004E1874">
        <w:fldChar w:fldCharType="end"/>
      </w:r>
      <w:r w:rsidR="004E1874">
        <w:t>)</w:t>
      </w:r>
      <w:r>
        <w:t>.</w:t>
      </w:r>
    </w:p>
    <w:p w14:paraId="1F48E0C0" w14:textId="77777777" w:rsidR="00007F6C" w:rsidRDefault="00007F6C" w:rsidP="003A288A">
      <w:pPr>
        <w:keepNext/>
        <w:jc w:val="center"/>
      </w:pPr>
      <w:r w:rsidRPr="000F7933">
        <w:rPr>
          <w:noProof/>
        </w:rPr>
        <w:drawing>
          <wp:inline distT="0" distB="0" distL="0" distR="0" wp14:anchorId="2B3996E1" wp14:editId="700C8E65">
            <wp:extent cx="3240000" cy="2727692"/>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8">
                      <a:extLst>
                        <a:ext uri="{28A0092B-C50C-407E-A947-70E740481C1C}">
                          <a14:useLocalDpi xmlns:a14="http://schemas.microsoft.com/office/drawing/2010/main" val="0"/>
                        </a:ext>
                      </a:extLst>
                    </a:blip>
                    <a:srcRect l="10197" t="9482" r="12830" b="5603"/>
                    <a:stretch/>
                  </pic:blipFill>
                  <pic:spPr bwMode="auto">
                    <a:xfrm>
                      <a:off x="0" y="0"/>
                      <a:ext cx="3240000" cy="2727692"/>
                    </a:xfrm>
                    <a:prstGeom prst="rect">
                      <a:avLst/>
                    </a:prstGeom>
                    <a:noFill/>
                    <a:ln>
                      <a:noFill/>
                    </a:ln>
                    <a:extLst>
                      <a:ext uri="{53640926-AAD7-44D8-BBD7-CCE9431645EC}">
                        <a14:shadowObscured xmlns:a14="http://schemas.microsoft.com/office/drawing/2010/main"/>
                      </a:ext>
                    </a:extLst>
                  </pic:spPr>
                </pic:pic>
              </a:graphicData>
            </a:graphic>
          </wp:inline>
        </w:drawing>
      </w:r>
    </w:p>
    <w:p w14:paraId="49E2EF1B" w14:textId="46A2B985" w:rsidR="00007F6C" w:rsidRDefault="00007F6C" w:rsidP="003A288A">
      <w:pPr>
        <w:pStyle w:val="Caption"/>
      </w:pPr>
      <w:bookmarkStart w:id="375" w:name="_Ref40357571"/>
      <w:bookmarkStart w:id="376" w:name="_Toc69114996"/>
      <w:r>
        <w:t>Figure 4.</w:t>
      </w:r>
      <w:r w:rsidR="00B51F53">
        <w:fldChar w:fldCharType="begin"/>
      </w:r>
      <w:r w:rsidR="00B51F53">
        <w:instrText xml:space="preserve"> SEQ Figure \* ARABIC </w:instrText>
      </w:r>
      <w:r w:rsidR="00B51F53">
        <w:fldChar w:fldCharType="separate"/>
      </w:r>
      <w:r w:rsidR="004E1874">
        <w:rPr>
          <w:noProof/>
        </w:rPr>
        <w:t>22</w:t>
      </w:r>
      <w:r w:rsidR="00B51F53">
        <w:rPr>
          <w:noProof/>
        </w:rPr>
        <w:fldChar w:fldCharType="end"/>
      </w:r>
      <w:bookmarkEnd w:id="375"/>
      <w:r>
        <w:t>: Scatter graph detailing the evolution of the series and polarisation resistance of a YSZ electrolyte pellet over 50h of ageing at 800</w:t>
      </w:r>
      <w:r>
        <w:rPr>
          <w:rFonts w:cstheme="minorHAnsi"/>
        </w:rPr>
        <w:t>°</w:t>
      </w:r>
      <w:r>
        <w:t xml:space="preserve">C using a </w:t>
      </w:r>
      <w:proofErr w:type="spellStart"/>
      <w:r>
        <w:t>NiO</w:t>
      </w:r>
      <w:proofErr w:type="spellEnd"/>
      <w:r>
        <w:t xml:space="preserve"> current collector. The black series denotes the series resistance and the red polarisation resistance </w:t>
      </w:r>
      <w:proofErr w:type="gramStart"/>
      <w:r>
        <w:t>respectively</w:t>
      </w:r>
      <w:bookmarkEnd w:id="376"/>
      <w:proofErr w:type="gramEnd"/>
    </w:p>
    <w:p w14:paraId="4FE7B57C" w14:textId="66A01CE8" w:rsidR="00007F6C" w:rsidRDefault="00996C1F" w:rsidP="003A288A">
      <w:pPr>
        <w:keepNext/>
        <w:jc w:val="center"/>
      </w:pPr>
      <w:r w:rsidRPr="00996C1F">
        <w:rPr>
          <w:noProof/>
        </w:rPr>
        <w:drawing>
          <wp:inline distT="0" distB="0" distL="0" distR="0" wp14:anchorId="53023315" wp14:editId="2CA422A8">
            <wp:extent cx="3573780" cy="2987040"/>
            <wp:effectExtent l="0" t="0" r="0" b="381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9">
                      <a:extLst>
                        <a:ext uri="{28A0092B-C50C-407E-A947-70E740481C1C}">
                          <a14:useLocalDpi xmlns:a14="http://schemas.microsoft.com/office/drawing/2010/main" val="0"/>
                        </a:ext>
                      </a:extLst>
                    </a:blip>
                    <a:srcRect l="9210" t="9914" r="13651" b="5603"/>
                    <a:stretch/>
                  </pic:blipFill>
                  <pic:spPr bwMode="auto">
                    <a:xfrm>
                      <a:off x="0" y="0"/>
                      <a:ext cx="3573780" cy="2987040"/>
                    </a:xfrm>
                    <a:prstGeom prst="rect">
                      <a:avLst/>
                    </a:prstGeom>
                    <a:noFill/>
                    <a:ln>
                      <a:noFill/>
                    </a:ln>
                    <a:extLst>
                      <a:ext uri="{53640926-AAD7-44D8-BBD7-CCE9431645EC}">
                        <a14:shadowObscured xmlns:a14="http://schemas.microsoft.com/office/drawing/2010/main"/>
                      </a:ext>
                    </a:extLst>
                  </pic:spPr>
                </pic:pic>
              </a:graphicData>
            </a:graphic>
          </wp:inline>
        </w:drawing>
      </w:r>
    </w:p>
    <w:p w14:paraId="072A44F2" w14:textId="768A8294" w:rsidR="00007F6C" w:rsidRDefault="00007F6C" w:rsidP="003A288A">
      <w:pPr>
        <w:pStyle w:val="Caption"/>
      </w:pPr>
      <w:bookmarkStart w:id="377" w:name="_Ref40357573"/>
      <w:bookmarkStart w:id="378" w:name="_Toc69114997"/>
      <w:r>
        <w:t>Figure 4.</w:t>
      </w:r>
      <w:r w:rsidR="00B51F53">
        <w:fldChar w:fldCharType="begin"/>
      </w:r>
      <w:r w:rsidR="00B51F53">
        <w:instrText xml:space="preserve"> SEQ Figure \* ARABIC </w:instrText>
      </w:r>
      <w:r w:rsidR="00B51F53">
        <w:fldChar w:fldCharType="separate"/>
      </w:r>
      <w:r w:rsidR="004E1874">
        <w:rPr>
          <w:noProof/>
        </w:rPr>
        <w:t>23</w:t>
      </w:r>
      <w:r w:rsidR="00B51F53">
        <w:rPr>
          <w:noProof/>
        </w:rPr>
        <w:fldChar w:fldCharType="end"/>
      </w:r>
      <w:bookmarkEnd w:id="377"/>
      <w:r>
        <w:t xml:space="preserve">: </w:t>
      </w:r>
      <w:r w:rsidRPr="00692D41">
        <w:t xml:space="preserve">Series resistance for infiltrated Ni-YSZ samples across 50h of ageing. The filled markers denote that the sample was dried in air (AD), non-filled markers (ND). The diamond marker shape shows that the sample was calcined in air (AC) and the square calcined in (NC) </w:t>
      </w:r>
      <w:proofErr w:type="gramStart"/>
      <w:r w:rsidRPr="00692D41">
        <w:t>respectively</w:t>
      </w:r>
      <w:bookmarkEnd w:id="378"/>
      <w:proofErr w:type="gramEnd"/>
    </w:p>
    <w:p w14:paraId="7BA3A4CB" w14:textId="77777777" w:rsidR="00007F6C" w:rsidRDefault="00007F6C" w:rsidP="003A288A">
      <w:pPr>
        <w:jc w:val="center"/>
      </w:pPr>
    </w:p>
    <w:p w14:paraId="4FF5F861" w14:textId="2CED4A26" w:rsidR="00007F6C" w:rsidRDefault="00996C1F" w:rsidP="003A288A">
      <w:pPr>
        <w:keepNext/>
        <w:jc w:val="center"/>
      </w:pPr>
      <w:r w:rsidRPr="00996C1F">
        <w:rPr>
          <w:noProof/>
        </w:rPr>
        <w:drawing>
          <wp:inline distT="0" distB="0" distL="0" distR="0" wp14:anchorId="6CD3628E" wp14:editId="416943B2">
            <wp:extent cx="3600000" cy="3019108"/>
            <wp:effectExtent l="0" t="0" r="63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0">
                      <a:extLst>
                        <a:ext uri="{28A0092B-C50C-407E-A947-70E740481C1C}">
                          <a14:useLocalDpi xmlns:a14="http://schemas.microsoft.com/office/drawing/2010/main" val="0"/>
                        </a:ext>
                      </a:extLst>
                    </a:blip>
                    <a:srcRect l="9375" t="9914" r="13158" b="4957"/>
                    <a:stretch/>
                  </pic:blipFill>
                  <pic:spPr bwMode="auto">
                    <a:xfrm>
                      <a:off x="0" y="0"/>
                      <a:ext cx="3600000" cy="3019108"/>
                    </a:xfrm>
                    <a:prstGeom prst="rect">
                      <a:avLst/>
                    </a:prstGeom>
                    <a:noFill/>
                    <a:ln>
                      <a:noFill/>
                    </a:ln>
                    <a:extLst>
                      <a:ext uri="{53640926-AAD7-44D8-BBD7-CCE9431645EC}">
                        <a14:shadowObscured xmlns:a14="http://schemas.microsoft.com/office/drawing/2010/main"/>
                      </a:ext>
                    </a:extLst>
                  </pic:spPr>
                </pic:pic>
              </a:graphicData>
            </a:graphic>
          </wp:inline>
        </w:drawing>
      </w:r>
    </w:p>
    <w:p w14:paraId="2A468C2A" w14:textId="40A0FA89" w:rsidR="00007F6C" w:rsidRDefault="00007F6C" w:rsidP="003A288A">
      <w:pPr>
        <w:pStyle w:val="Caption"/>
      </w:pPr>
      <w:bookmarkStart w:id="379" w:name="_Ref40357576"/>
      <w:bookmarkStart w:id="380" w:name="_Toc69114998"/>
      <w:r>
        <w:t>Figure 4.</w:t>
      </w:r>
      <w:r w:rsidR="00B51F53">
        <w:fldChar w:fldCharType="begin"/>
      </w:r>
      <w:r w:rsidR="00B51F53">
        <w:instrText xml:space="preserve"> SEQ Figure \* ARABIC </w:instrText>
      </w:r>
      <w:r w:rsidR="00B51F53">
        <w:fldChar w:fldCharType="separate"/>
      </w:r>
      <w:r w:rsidR="004E1874">
        <w:rPr>
          <w:noProof/>
        </w:rPr>
        <w:t>24</w:t>
      </w:r>
      <w:r w:rsidR="00B51F53">
        <w:rPr>
          <w:noProof/>
        </w:rPr>
        <w:fldChar w:fldCharType="end"/>
      </w:r>
      <w:bookmarkEnd w:id="379"/>
      <w:r>
        <w:t xml:space="preserve">: Polarisation </w:t>
      </w:r>
      <w:r w:rsidRPr="007B1A6D">
        <w:t>resistance for infiltrated Ni-YSZ samples</w:t>
      </w:r>
      <w:r>
        <w:t xml:space="preserve"> across 50h of ageing</w:t>
      </w:r>
      <w:r w:rsidRPr="007B1A6D">
        <w:t xml:space="preserve">. The filled markers denote that the sample was dried in air (AD), </w:t>
      </w:r>
      <w:r w:rsidR="00996C1F">
        <w:t xml:space="preserve">red </w:t>
      </w:r>
      <w:r w:rsidRPr="007B1A6D">
        <w:t xml:space="preserve">non-filled markers (ND). The diamond marker shape shows that the sample was calcined in air (AC) and the square </w:t>
      </w:r>
      <w:r>
        <w:t>calcined in (</w:t>
      </w:r>
      <w:r w:rsidRPr="00692D41">
        <w:t>NC</w:t>
      </w:r>
      <w:r>
        <w:t xml:space="preserve">) </w:t>
      </w:r>
      <w:proofErr w:type="gramStart"/>
      <w:r>
        <w:t>respectively</w:t>
      </w:r>
      <w:bookmarkEnd w:id="380"/>
      <w:proofErr w:type="gramEnd"/>
    </w:p>
    <w:p w14:paraId="6F7BE273" w14:textId="77777777" w:rsidR="00007F6C" w:rsidRPr="0091199B" w:rsidRDefault="00007F6C" w:rsidP="003A288A">
      <w:pPr>
        <w:jc w:val="both"/>
      </w:pPr>
      <w:r>
        <w:t>The lowest initial polarisation resistance was recorded by the ND AC sample.  With the highest R</w:t>
      </w:r>
      <w:r>
        <w:rPr>
          <w:vertAlign w:val="subscript"/>
        </w:rPr>
        <w:t>P</w:t>
      </w:r>
      <w:r>
        <w:t xml:space="preserve"> being recorded by its other nitrogen dried counterpart. However, this does not indicate that the ND NC samples was worst performing of the set, just that it had the highest R</w:t>
      </w:r>
      <w:r>
        <w:rPr>
          <w:vertAlign w:val="subscript"/>
        </w:rPr>
        <w:t>P</w:t>
      </w:r>
      <w:r>
        <w:t xml:space="preserve"> after 50h.</w:t>
      </w:r>
    </w:p>
    <w:p w14:paraId="7EAB42A5" w14:textId="540547E8" w:rsidR="00007F6C" w:rsidRPr="0091199B" w:rsidRDefault="00007F6C" w:rsidP="003A288A">
      <w:pPr>
        <w:jc w:val="both"/>
      </w:pPr>
      <w:r>
        <w:t>When the change in the polarisation resistance for the symmetrical samples from pristine to 50 h is calculated and displayed the largest change is Rp is displayed by the AD AC samples (</w:t>
      </w:r>
      <w:r>
        <w:fldChar w:fldCharType="begin"/>
      </w:r>
      <w:r>
        <w:instrText xml:space="preserve"> REF _Ref41316173 \h  \* MERGEFORMAT </w:instrText>
      </w:r>
      <w:r>
        <w:fldChar w:fldCharType="separate"/>
      </w:r>
      <w:r w:rsidR="004E1874">
        <w:t>Table 4.8</w:t>
      </w:r>
      <w:r>
        <w:fldChar w:fldCharType="end"/>
      </w:r>
      <w:r>
        <w:t>).</w:t>
      </w:r>
    </w:p>
    <w:p w14:paraId="0B28B14D" w14:textId="7BB27B77" w:rsidR="00007F6C" w:rsidRDefault="00007F6C" w:rsidP="003A288A">
      <w:pPr>
        <w:pStyle w:val="Caption"/>
        <w:keepNext/>
      </w:pPr>
      <w:bookmarkStart w:id="381" w:name="_Ref41316173"/>
      <w:r>
        <w:t>Table 4.</w:t>
      </w:r>
      <w:r w:rsidR="00B51F53">
        <w:fldChar w:fldCharType="begin"/>
      </w:r>
      <w:r w:rsidR="00B51F53">
        <w:instrText xml:space="preserve"> SEQ Table \* ARABIC </w:instrText>
      </w:r>
      <w:r w:rsidR="00B51F53">
        <w:fldChar w:fldCharType="separate"/>
      </w:r>
      <w:r w:rsidR="004E1874">
        <w:rPr>
          <w:noProof/>
        </w:rPr>
        <w:t>8</w:t>
      </w:r>
      <w:r w:rsidR="00B51F53">
        <w:rPr>
          <w:noProof/>
        </w:rPr>
        <w:fldChar w:fldCharType="end"/>
      </w:r>
      <w:bookmarkEnd w:id="381"/>
      <w:r>
        <w:t xml:space="preserve">: Series and polarisation resistance of wet impregnated Ni-YSZ symmetrical cells dried and calcined under different </w:t>
      </w:r>
      <w:proofErr w:type="gramStart"/>
      <w:r>
        <w:t>atmospheres</w:t>
      </w:r>
      <w:proofErr w:type="gramEnd"/>
    </w:p>
    <w:tbl>
      <w:tblPr>
        <w:tblStyle w:val="TableGrid"/>
        <w:tblW w:w="0" w:type="auto"/>
        <w:jc w:val="center"/>
        <w:tblLook w:val="04A0" w:firstRow="1" w:lastRow="0" w:firstColumn="1" w:lastColumn="0" w:noHBand="0" w:noVBand="1"/>
      </w:tblPr>
      <w:tblGrid>
        <w:gridCol w:w="1995"/>
        <w:gridCol w:w="1555"/>
        <w:gridCol w:w="1862"/>
        <w:gridCol w:w="1745"/>
        <w:gridCol w:w="1859"/>
      </w:tblGrid>
      <w:tr w:rsidR="00007F6C" w14:paraId="1C91BC78" w14:textId="77777777" w:rsidTr="00FF5110">
        <w:trPr>
          <w:jc w:val="center"/>
        </w:trPr>
        <w:tc>
          <w:tcPr>
            <w:tcW w:w="0" w:type="auto"/>
          </w:tcPr>
          <w:p w14:paraId="3326861B" w14:textId="77777777" w:rsidR="00007F6C" w:rsidRPr="00517350" w:rsidRDefault="00007F6C" w:rsidP="003A288A">
            <w:pPr>
              <w:rPr>
                <w:b/>
                <w:bCs/>
              </w:rPr>
            </w:pPr>
            <w:bookmarkStart w:id="382" w:name="_Hlk41999530"/>
            <w:r w:rsidRPr="00517350">
              <w:rPr>
                <w:b/>
                <w:bCs/>
              </w:rPr>
              <w:t>Sample (Drying and Calcination atmosphere)</w:t>
            </w:r>
          </w:p>
        </w:tc>
        <w:tc>
          <w:tcPr>
            <w:tcW w:w="0" w:type="auto"/>
          </w:tcPr>
          <w:p w14:paraId="67F376F3" w14:textId="77777777" w:rsidR="00007F6C" w:rsidRPr="00517350" w:rsidRDefault="00007F6C" w:rsidP="003A288A">
            <w:pPr>
              <w:rPr>
                <w:b/>
                <w:bCs/>
                <w:vertAlign w:val="subscript"/>
              </w:rPr>
            </w:pPr>
            <w:r w:rsidRPr="00517350">
              <w:rPr>
                <w:b/>
                <w:bCs/>
              </w:rPr>
              <w:t>Initial Series Resistance, Rs</w:t>
            </w:r>
            <w:r w:rsidRPr="00517350">
              <w:rPr>
                <w:b/>
                <w:bCs/>
                <w:vertAlign w:val="subscript"/>
              </w:rPr>
              <w:t>0</w:t>
            </w:r>
          </w:p>
          <w:p w14:paraId="02272A83" w14:textId="77777777" w:rsidR="00007F6C" w:rsidRPr="00517350" w:rsidRDefault="00007F6C" w:rsidP="003A288A">
            <w:pPr>
              <w:rPr>
                <w:b/>
                <w:bCs/>
              </w:rPr>
            </w:pPr>
            <w:r w:rsidRPr="00517350">
              <w:rPr>
                <w:b/>
                <w:bCs/>
                <w:vertAlign w:val="subscript"/>
              </w:rPr>
              <w:t xml:space="preserve"> </w:t>
            </w:r>
            <w:r w:rsidRPr="00517350">
              <w:rPr>
                <w:b/>
                <w:bCs/>
              </w:rPr>
              <w:t>[</w:t>
            </w:r>
            <w:r w:rsidRPr="00517350">
              <w:rPr>
                <w:rFonts w:cstheme="minorHAnsi"/>
                <w:b/>
                <w:bCs/>
              </w:rPr>
              <w:t>Ω</w:t>
            </w:r>
            <w:r w:rsidRPr="00517350">
              <w:rPr>
                <w:b/>
                <w:bCs/>
              </w:rPr>
              <w:t>cm</w:t>
            </w:r>
            <w:r w:rsidRPr="00517350">
              <w:rPr>
                <w:b/>
                <w:bCs/>
                <w:vertAlign w:val="superscript"/>
              </w:rPr>
              <w:t>2</w:t>
            </w:r>
            <w:r w:rsidRPr="00517350">
              <w:rPr>
                <w:b/>
                <w:bCs/>
              </w:rPr>
              <w:t>]</w:t>
            </w:r>
          </w:p>
        </w:tc>
        <w:tc>
          <w:tcPr>
            <w:tcW w:w="0" w:type="auto"/>
          </w:tcPr>
          <w:p w14:paraId="33969C16" w14:textId="77777777" w:rsidR="00007F6C" w:rsidRPr="00517350" w:rsidRDefault="00007F6C" w:rsidP="003A288A">
            <w:pPr>
              <w:rPr>
                <w:b/>
                <w:bCs/>
              </w:rPr>
            </w:pPr>
            <w:r w:rsidRPr="00517350">
              <w:rPr>
                <w:b/>
                <w:bCs/>
              </w:rPr>
              <w:t>Initial Polarisation Resistance, R</w:t>
            </w:r>
            <w:r w:rsidRPr="00517350">
              <w:rPr>
                <w:b/>
                <w:bCs/>
                <w:vertAlign w:val="subscript"/>
              </w:rPr>
              <w:t>P0</w:t>
            </w:r>
            <w:r w:rsidRPr="00517350">
              <w:rPr>
                <w:b/>
                <w:bCs/>
              </w:rPr>
              <w:t xml:space="preserve"> [</w:t>
            </w:r>
            <w:r w:rsidRPr="00517350">
              <w:rPr>
                <w:rFonts w:cstheme="minorHAnsi"/>
                <w:b/>
                <w:bCs/>
              </w:rPr>
              <w:t>Ω</w:t>
            </w:r>
            <w:r w:rsidRPr="00517350">
              <w:rPr>
                <w:b/>
                <w:bCs/>
              </w:rPr>
              <w:t>cm</w:t>
            </w:r>
            <w:r w:rsidRPr="00517350">
              <w:rPr>
                <w:b/>
                <w:bCs/>
                <w:vertAlign w:val="superscript"/>
              </w:rPr>
              <w:t>2</w:t>
            </w:r>
            <w:r w:rsidRPr="00517350">
              <w:rPr>
                <w:b/>
                <w:bCs/>
              </w:rPr>
              <w:t>]</w:t>
            </w:r>
          </w:p>
        </w:tc>
        <w:tc>
          <w:tcPr>
            <w:tcW w:w="0" w:type="auto"/>
          </w:tcPr>
          <w:p w14:paraId="33EED030" w14:textId="77777777" w:rsidR="00007F6C" w:rsidRPr="00517350" w:rsidRDefault="00007F6C" w:rsidP="003A288A">
            <w:pPr>
              <w:rPr>
                <w:b/>
                <w:bCs/>
              </w:rPr>
            </w:pPr>
            <w:r w:rsidRPr="00517350">
              <w:rPr>
                <w:b/>
                <w:bCs/>
              </w:rPr>
              <w:t xml:space="preserve">Series Resistance after 50h of ageing, Rs </w:t>
            </w:r>
          </w:p>
          <w:p w14:paraId="6BB583E6" w14:textId="77777777" w:rsidR="00007F6C" w:rsidRPr="00517350" w:rsidRDefault="00007F6C" w:rsidP="003A288A">
            <w:pPr>
              <w:rPr>
                <w:b/>
                <w:bCs/>
              </w:rPr>
            </w:pPr>
            <w:r w:rsidRPr="00517350">
              <w:rPr>
                <w:b/>
                <w:bCs/>
              </w:rPr>
              <w:t>[</w:t>
            </w:r>
            <w:r w:rsidRPr="00517350">
              <w:rPr>
                <w:rFonts w:cstheme="minorHAnsi"/>
                <w:b/>
                <w:bCs/>
              </w:rPr>
              <w:t>Ω</w:t>
            </w:r>
            <w:r w:rsidRPr="00517350">
              <w:rPr>
                <w:b/>
                <w:bCs/>
              </w:rPr>
              <w:t>cm</w:t>
            </w:r>
            <w:r w:rsidRPr="00517350">
              <w:rPr>
                <w:b/>
                <w:bCs/>
                <w:vertAlign w:val="superscript"/>
              </w:rPr>
              <w:t>2</w:t>
            </w:r>
            <w:r w:rsidRPr="00517350">
              <w:rPr>
                <w:b/>
                <w:bCs/>
              </w:rPr>
              <w:t>]</w:t>
            </w:r>
          </w:p>
        </w:tc>
        <w:tc>
          <w:tcPr>
            <w:tcW w:w="0" w:type="auto"/>
          </w:tcPr>
          <w:p w14:paraId="2D91ECD1" w14:textId="77777777" w:rsidR="00007F6C" w:rsidRPr="00517350" w:rsidRDefault="00007F6C" w:rsidP="003A288A">
            <w:pPr>
              <w:rPr>
                <w:b/>
                <w:bCs/>
              </w:rPr>
            </w:pPr>
            <w:r w:rsidRPr="00517350">
              <w:rPr>
                <w:b/>
                <w:bCs/>
              </w:rPr>
              <w:t>Polarisation</w:t>
            </w:r>
          </w:p>
          <w:p w14:paraId="5236D4E2" w14:textId="77777777" w:rsidR="00007F6C" w:rsidRPr="00517350" w:rsidRDefault="00007F6C" w:rsidP="003A288A">
            <w:pPr>
              <w:rPr>
                <w:b/>
                <w:bCs/>
              </w:rPr>
            </w:pPr>
            <w:r w:rsidRPr="00517350">
              <w:rPr>
                <w:b/>
                <w:bCs/>
              </w:rPr>
              <w:t>Resistance after 50h of ageing, R</w:t>
            </w:r>
            <w:r w:rsidRPr="00517350">
              <w:rPr>
                <w:b/>
                <w:bCs/>
                <w:vertAlign w:val="subscript"/>
              </w:rPr>
              <w:t>P</w:t>
            </w:r>
            <w:r w:rsidRPr="00517350">
              <w:rPr>
                <w:b/>
                <w:bCs/>
              </w:rPr>
              <w:t xml:space="preserve"> [</w:t>
            </w:r>
            <w:r w:rsidRPr="00517350">
              <w:rPr>
                <w:rFonts w:cstheme="minorHAnsi"/>
                <w:b/>
                <w:bCs/>
              </w:rPr>
              <w:t>Ω</w:t>
            </w:r>
            <w:r w:rsidRPr="00517350">
              <w:rPr>
                <w:b/>
                <w:bCs/>
              </w:rPr>
              <w:t>cm</w:t>
            </w:r>
            <w:r w:rsidRPr="00517350">
              <w:rPr>
                <w:b/>
                <w:bCs/>
                <w:vertAlign w:val="superscript"/>
              </w:rPr>
              <w:t>2</w:t>
            </w:r>
            <w:r w:rsidRPr="00517350">
              <w:rPr>
                <w:b/>
                <w:bCs/>
              </w:rPr>
              <w:t>]</w:t>
            </w:r>
          </w:p>
        </w:tc>
      </w:tr>
      <w:tr w:rsidR="00007F6C" w14:paraId="6C8873DC" w14:textId="77777777" w:rsidTr="00FF5110">
        <w:trPr>
          <w:jc w:val="center"/>
        </w:trPr>
        <w:tc>
          <w:tcPr>
            <w:tcW w:w="0" w:type="auto"/>
          </w:tcPr>
          <w:p w14:paraId="1DF7FD52" w14:textId="77777777" w:rsidR="00007F6C" w:rsidRDefault="00007F6C" w:rsidP="003A288A">
            <w:r>
              <w:t>ND NC</w:t>
            </w:r>
          </w:p>
        </w:tc>
        <w:tc>
          <w:tcPr>
            <w:tcW w:w="0" w:type="auto"/>
          </w:tcPr>
          <w:p w14:paraId="4DBDEF55" w14:textId="77777777" w:rsidR="00007F6C" w:rsidRDefault="00007F6C" w:rsidP="003A288A">
            <w:pPr>
              <w:jc w:val="right"/>
            </w:pPr>
            <w:r>
              <w:t>1.59</w:t>
            </w:r>
          </w:p>
        </w:tc>
        <w:tc>
          <w:tcPr>
            <w:tcW w:w="0" w:type="auto"/>
          </w:tcPr>
          <w:p w14:paraId="0A9360BB" w14:textId="77777777" w:rsidR="00007F6C" w:rsidRDefault="00007F6C" w:rsidP="003A288A">
            <w:pPr>
              <w:jc w:val="right"/>
            </w:pPr>
            <w:r>
              <w:t>21.64</w:t>
            </w:r>
          </w:p>
        </w:tc>
        <w:tc>
          <w:tcPr>
            <w:tcW w:w="0" w:type="auto"/>
          </w:tcPr>
          <w:p w14:paraId="52F29909" w14:textId="77777777" w:rsidR="00007F6C" w:rsidRDefault="00007F6C" w:rsidP="003A288A">
            <w:pPr>
              <w:jc w:val="right"/>
            </w:pPr>
            <w:r>
              <w:t>4.45</w:t>
            </w:r>
          </w:p>
        </w:tc>
        <w:tc>
          <w:tcPr>
            <w:tcW w:w="0" w:type="auto"/>
          </w:tcPr>
          <w:p w14:paraId="3FE5C377" w14:textId="77777777" w:rsidR="00007F6C" w:rsidRDefault="00007F6C" w:rsidP="003A288A">
            <w:pPr>
              <w:jc w:val="right"/>
            </w:pPr>
            <w:r>
              <w:t>42.14</w:t>
            </w:r>
          </w:p>
        </w:tc>
      </w:tr>
      <w:tr w:rsidR="00007F6C" w14:paraId="635F31D6" w14:textId="77777777" w:rsidTr="00FF5110">
        <w:trPr>
          <w:jc w:val="center"/>
        </w:trPr>
        <w:tc>
          <w:tcPr>
            <w:tcW w:w="0" w:type="auto"/>
          </w:tcPr>
          <w:p w14:paraId="49D1B1A3" w14:textId="77777777" w:rsidR="00007F6C" w:rsidRDefault="00007F6C" w:rsidP="003A288A">
            <w:r>
              <w:t>ND AC</w:t>
            </w:r>
          </w:p>
        </w:tc>
        <w:tc>
          <w:tcPr>
            <w:tcW w:w="0" w:type="auto"/>
          </w:tcPr>
          <w:p w14:paraId="0C9897A7" w14:textId="77777777" w:rsidR="00007F6C" w:rsidRDefault="00007F6C" w:rsidP="003A288A">
            <w:pPr>
              <w:jc w:val="right"/>
            </w:pPr>
            <w:r>
              <w:t>3.91</w:t>
            </w:r>
          </w:p>
        </w:tc>
        <w:tc>
          <w:tcPr>
            <w:tcW w:w="0" w:type="auto"/>
          </w:tcPr>
          <w:p w14:paraId="54FEA88D" w14:textId="77777777" w:rsidR="00007F6C" w:rsidRDefault="00007F6C" w:rsidP="003A288A">
            <w:pPr>
              <w:jc w:val="right"/>
            </w:pPr>
            <w:r>
              <w:t>15.42</w:t>
            </w:r>
          </w:p>
        </w:tc>
        <w:tc>
          <w:tcPr>
            <w:tcW w:w="0" w:type="auto"/>
          </w:tcPr>
          <w:p w14:paraId="4894FC9E" w14:textId="77777777" w:rsidR="00007F6C" w:rsidRDefault="00007F6C" w:rsidP="003A288A">
            <w:pPr>
              <w:jc w:val="right"/>
            </w:pPr>
            <w:r>
              <w:t>5.86</w:t>
            </w:r>
          </w:p>
        </w:tc>
        <w:tc>
          <w:tcPr>
            <w:tcW w:w="0" w:type="auto"/>
          </w:tcPr>
          <w:p w14:paraId="16AC199C" w14:textId="77777777" w:rsidR="00007F6C" w:rsidRDefault="00007F6C" w:rsidP="003A288A">
            <w:pPr>
              <w:jc w:val="right"/>
            </w:pPr>
            <w:r>
              <w:t>20.09</w:t>
            </w:r>
          </w:p>
        </w:tc>
      </w:tr>
      <w:tr w:rsidR="00007F6C" w14:paraId="1FB1FEE0" w14:textId="77777777" w:rsidTr="00FF5110">
        <w:trPr>
          <w:jc w:val="center"/>
        </w:trPr>
        <w:tc>
          <w:tcPr>
            <w:tcW w:w="0" w:type="auto"/>
          </w:tcPr>
          <w:p w14:paraId="5607D979" w14:textId="77777777" w:rsidR="00007F6C" w:rsidRDefault="00007F6C" w:rsidP="003A288A">
            <w:r>
              <w:t>AD AC</w:t>
            </w:r>
          </w:p>
        </w:tc>
        <w:tc>
          <w:tcPr>
            <w:tcW w:w="0" w:type="auto"/>
          </w:tcPr>
          <w:p w14:paraId="062EE508" w14:textId="77777777" w:rsidR="00007F6C" w:rsidRDefault="00007F6C" w:rsidP="003A288A">
            <w:pPr>
              <w:jc w:val="right"/>
            </w:pPr>
            <w:r>
              <w:t>3.35</w:t>
            </w:r>
          </w:p>
        </w:tc>
        <w:tc>
          <w:tcPr>
            <w:tcW w:w="0" w:type="auto"/>
          </w:tcPr>
          <w:p w14:paraId="501510DD" w14:textId="77777777" w:rsidR="00007F6C" w:rsidRDefault="00007F6C" w:rsidP="003A288A">
            <w:pPr>
              <w:jc w:val="right"/>
            </w:pPr>
            <w:r>
              <w:t>12.39</w:t>
            </w:r>
          </w:p>
        </w:tc>
        <w:tc>
          <w:tcPr>
            <w:tcW w:w="0" w:type="auto"/>
          </w:tcPr>
          <w:p w14:paraId="5334C786" w14:textId="77777777" w:rsidR="00007F6C" w:rsidRDefault="00007F6C" w:rsidP="003A288A">
            <w:pPr>
              <w:jc w:val="right"/>
            </w:pPr>
            <w:r>
              <w:t>5.16</w:t>
            </w:r>
          </w:p>
        </w:tc>
        <w:tc>
          <w:tcPr>
            <w:tcW w:w="0" w:type="auto"/>
          </w:tcPr>
          <w:p w14:paraId="2AD74655" w14:textId="77777777" w:rsidR="00007F6C" w:rsidRDefault="00007F6C" w:rsidP="003A288A">
            <w:pPr>
              <w:jc w:val="right"/>
            </w:pPr>
            <w:r>
              <w:t>39.89</w:t>
            </w:r>
          </w:p>
        </w:tc>
      </w:tr>
      <w:tr w:rsidR="00007F6C" w14:paraId="7B50722A" w14:textId="77777777" w:rsidTr="00FF5110">
        <w:trPr>
          <w:jc w:val="center"/>
        </w:trPr>
        <w:tc>
          <w:tcPr>
            <w:tcW w:w="0" w:type="auto"/>
          </w:tcPr>
          <w:p w14:paraId="0A8BA29B" w14:textId="77777777" w:rsidR="00007F6C" w:rsidRDefault="00007F6C" w:rsidP="003A288A">
            <w:r>
              <w:t>AD NC</w:t>
            </w:r>
          </w:p>
        </w:tc>
        <w:tc>
          <w:tcPr>
            <w:tcW w:w="0" w:type="auto"/>
          </w:tcPr>
          <w:p w14:paraId="29E9D5DF" w14:textId="77777777" w:rsidR="00007F6C" w:rsidRDefault="00007F6C" w:rsidP="003A288A">
            <w:pPr>
              <w:jc w:val="right"/>
            </w:pPr>
            <w:r>
              <w:t>5.80</w:t>
            </w:r>
          </w:p>
        </w:tc>
        <w:tc>
          <w:tcPr>
            <w:tcW w:w="0" w:type="auto"/>
          </w:tcPr>
          <w:p w14:paraId="0ABEA362" w14:textId="77777777" w:rsidR="00007F6C" w:rsidRDefault="00007F6C" w:rsidP="003A288A">
            <w:pPr>
              <w:jc w:val="right"/>
            </w:pPr>
            <w:r>
              <w:t>21.68</w:t>
            </w:r>
          </w:p>
        </w:tc>
        <w:tc>
          <w:tcPr>
            <w:tcW w:w="0" w:type="auto"/>
          </w:tcPr>
          <w:p w14:paraId="4E8E9222" w14:textId="77777777" w:rsidR="00007F6C" w:rsidRDefault="00007F6C" w:rsidP="003A288A">
            <w:pPr>
              <w:jc w:val="right"/>
            </w:pPr>
            <w:r>
              <w:t>7.64</w:t>
            </w:r>
          </w:p>
        </w:tc>
        <w:tc>
          <w:tcPr>
            <w:tcW w:w="0" w:type="auto"/>
          </w:tcPr>
          <w:p w14:paraId="4E8910A5" w14:textId="77777777" w:rsidR="00007F6C" w:rsidRDefault="00007F6C" w:rsidP="003A288A">
            <w:pPr>
              <w:jc w:val="right"/>
            </w:pPr>
            <w:r>
              <w:t>38.01</w:t>
            </w:r>
          </w:p>
        </w:tc>
      </w:tr>
      <w:bookmarkEnd w:id="382"/>
    </w:tbl>
    <w:p w14:paraId="5838A87F" w14:textId="77777777" w:rsidR="00007F6C" w:rsidRPr="008C5AB5" w:rsidRDefault="00007F6C" w:rsidP="003A288A"/>
    <w:p w14:paraId="10A4F811" w14:textId="1F98747E" w:rsidR="00007F6C" w:rsidRDefault="00007F6C" w:rsidP="003A288A">
      <w:pPr>
        <w:jc w:val="both"/>
      </w:pPr>
      <w:r>
        <w:t xml:space="preserve">3D Nyquist plots of the five samples shown in </w:t>
      </w:r>
      <w:r>
        <w:fldChar w:fldCharType="begin"/>
      </w:r>
      <w:r>
        <w:instrText xml:space="preserve"> REF _Ref40357576 \h  \* MERGEFORMAT </w:instrText>
      </w:r>
      <w:r>
        <w:fldChar w:fldCharType="separate"/>
      </w:r>
      <w:r w:rsidR="004555F2">
        <w:t xml:space="preserve">Figure </w:t>
      </w:r>
      <w:r w:rsidR="004555F2">
        <w:rPr>
          <w:noProof/>
        </w:rPr>
        <w:t>4.24</w:t>
      </w:r>
      <w:r>
        <w:fldChar w:fldCharType="end"/>
      </w:r>
      <w:r>
        <w:t xml:space="preserve"> were plotted with respect to the normalised Z’, Z’’ and ageing time. The legends in </w:t>
      </w:r>
      <w:r w:rsidR="004555F2">
        <w:fldChar w:fldCharType="begin"/>
      </w:r>
      <w:r w:rsidR="004555F2">
        <w:instrText xml:space="preserve"> REF _Ref41315974 \h </w:instrText>
      </w:r>
      <w:r w:rsidR="004555F2">
        <w:fldChar w:fldCharType="separate"/>
      </w:r>
      <w:r w:rsidR="004555F2">
        <w:t>Figures 4.</w:t>
      </w:r>
      <w:r w:rsidR="004555F2">
        <w:rPr>
          <w:noProof/>
        </w:rPr>
        <w:t>25</w:t>
      </w:r>
      <w:r w:rsidR="004555F2">
        <w:fldChar w:fldCharType="end"/>
      </w:r>
      <w:r w:rsidR="004555F2">
        <w:t xml:space="preserve">, </w:t>
      </w:r>
      <w:r w:rsidR="004555F2">
        <w:fldChar w:fldCharType="begin"/>
      </w:r>
      <w:r w:rsidR="004555F2">
        <w:instrText xml:space="preserve"> REF _Ref41315996 \h </w:instrText>
      </w:r>
      <w:r w:rsidR="004555F2">
        <w:fldChar w:fldCharType="separate"/>
      </w:r>
      <w:r w:rsidR="004555F2">
        <w:t>4.</w:t>
      </w:r>
      <w:r w:rsidR="004555F2">
        <w:rPr>
          <w:noProof/>
        </w:rPr>
        <w:t>26</w:t>
      </w:r>
      <w:r w:rsidR="004555F2">
        <w:fldChar w:fldCharType="end"/>
      </w:r>
      <w:r w:rsidR="004555F2">
        <w:fldChar w:fldCharType="begin"/>
      </w:r>
      <w:r w:rsidR="004555F2">
        <w:instrText xml:space="preserve"> REF _Ref41316001 \h </w:instrText>
      </w:r>
      <w:r w:rsidR="004555F2">
        <w:fldChar w:fldCharType="separate"/>
      </w:r>
      <w:r w:rsidR="004555F2">
        <w:t>, 4.</w:t>
      </w:r>
      <w:r w:rsidR="004555F2">
        <w:rPr>
          <w:noProof/>
        </w:rPr>
        <w:t>27</w:t>
      </w:r>
      <w:r w:rsidR="004555F2">
        <w:fldChar w:fldCharType="end"/>
      </w:r>
      <w:r w:rsidR="00FF5110">
        <w:t xml:space="preserve"> </w:t>
      </w:r>
      <w:r w:rsidR="004555F2">
        <w:fldChar w:fldCharType="begin"/>
      </w:r>
      <w:r w:rsidR="004555F2">
        <w:instrText xml:space="preserve"> REF _Ref41316003 \h </w:instrText>
      </w:r>
      <w:r w:rsidR="004555F2">
        <w:fldChar w:fldCharType="separate"/>
      </w:r>
      <w:r w:rsidR="004555F2">
        <w:t>and 4.</w:t>
      </w:r>
      <w:r w:rsidR="004555F2">
        <w:rPr>
          <w:noProof/>
        </w:rPr>
        <w:t>28</w:t>
      </w:r>
      <w:r w:rsidR="004555F2">
        <w:fldChar w:fldCharType="end"/>
      </w:r>
      <w:r w:rsidR="004555F2">
        <w:t xml:space="preserve"> </w:t>
      </w:r>
      <w:r>
        <w:t>show the impedance arcs from red to pink corresponding to 0-50 h ageing time in 10 h increments.</w:t>
      </w:r>
    </w:p>
    <w:p w14:paraId="23CD552E" w14:textId="77777777" w:rsidR="00007F6C" w:rsidRDefault="00007F6C" w:rsidP="003A288A">
      <w:pPr>
        <w:keepNext/>
        <w:jc w:val="center"/>
      </w:pPr>
      <w:r w:rsidRPr="008B283C">
        <w:rPr>
          <w:noProof/>
        </w:rPr>
        <w:lastRenderedPageBreak/>
        <w:drawing>
          <wp:inline distT="0" distB="0" distL="0" distR="0" wp14:anchorId="344D36FB" wp14:editId="5BBBE54A">
            <wp:extent cx="4320000" cy="3367934"/>
            <wp:effectExtent l="0" t="0" r="4445" b="444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rotWithShape="1">
                    <a:blip r:embed="rId111">
                      <a:extLst>
                        <a:ext uri="{28A0092B-C50C-407E-A947-70E740481C1C}">
                          <a14:useLocalDpi xmlns:a14="http://schemas.microsoft.com/office/drawing/2010/main" val="0"/>
                        </a:ext>
                      </a:extLst>
                    </a:blip>
                    <a:srcRect l="8486" t="9910" r="8257" b="5105"/>
                    <a:stretch/>
                  </pic:blipFill>
                  <pic:spPr bwMode="auto">
                    <a:xfrm>
                      <a:off x="0" y="0"/>
                      <a:ext cx="4320000" cy="3367934"/>
                    </a:xfrm>
                    <a:prstGeom prst="rect">
                      <a:avLst/>
                    </a:prstGeom>
                    <a:noFill/>
                    <a:ln>
                      <a:noFill/>
                    </a:ln>
                    <a:extLst>
                      <a:ext uri="{53640926-AAD7-44D8-BBD7-CCE9431645EC}">
                        <a14:shadowObscured xmlns:a14="http://schemas.microsoft.com/office/drawing/2010/main"/>
                      </a:ext>
                    </a:extLst>
                  </pic:spPr>
                </pic:pic>
              </a:graphicData>
            </a:graphic>
          </wp:inline>
        </w:drawing>
      </w:r>
    </w:p>
    <w:p w14:paraId="1749979C" w14:textId="6E53CE42" w:rsidR="00007F6C" w:rsidRPr="008B283C" w:rsidRDefault="00007F6C" w:rsidP="003A288A">
      <w:pPr>
        <w:pStyle w:val="Caption"/>
      </w:pPr>
      <w:bookmarkStart w:id="383" w:name="_Ref41315974"/>
      <w:bookmarkStart w:id="384" w:name="_Toc69114999"/>
      <w:r>
        <w:t>Figure 4.</w:t>
      </w:r>
      <w:r w:rsidR="00B51F53">
        <w:fldChar w:fldCharType="begin"/>
      </w:r>
      <w:r w:rsidR="00B51F53">
        <w:instrText xml:space="preserve"> SEQ Figure \* ARABIC </w:instrText>
      </w:r>
      <w:r w:rsidR="00B51F53">
        <w:fldChar w:fldCharType="separate"/>
      </w:r>
      <w:r w:rsidR="004555F2">
        <w:rPr>
          <w:noProof/>
        </w:rPr>
        <w:t>25</w:t>
      </w:r>
      <w:r w:rsidR="00B51F53">
        <w:rPr>
          <w:noProof/>
        </w:rPr>
        <w:fldChar w:fldCharType="end"/>
      </w:r>
      <w:bookmarkEnd w:id="383"/>
      <w:r>
        <w:t xml:space="preserve">: Nyquist plot detailing the evolution of the Z’ and Z’’ of the </w:t>
      </w:r>
      <w:r w:rsidRPr="00221DCF">
        <w:rPr>
          <w:b/>
          <w:bCs/>
        </w:rPr>
        <w:t>ND AC</w:t>
      </w:r>
      <w:r>
        <w:t xml:space="preserve"> sample over 50h of ageing time. The blocked points indicate frequency increments between 10</w:t>
      </w:r>
      <w:r w:rsidR="00F1096C">
        <w:t xml:space="preserve"> </w:t>
      </w:r>
      <w:r>
        <w:rPr>
          <w:vertAlign w:val="superscript"/>
        </w:rPr>
        <w:t>-1</w:t>
      </w:r>
      <w:r>
        <w:t xml:space="preserve"> – 10</w:t>
      </w:r>
      <w:r w:rsidR="00F1096C">
        <w:t xml:space="preserve"> </w:t>
      </w:r>
      <w:r>
        <w:rPr>
          <w:vertAlign w:val="superscript"/>
        </w:rPr>
        <w:t>4</w:t>
      </w:r>
      <w:r>
        <w:t xml:space="preserve"> </w:t>
      </w:r>
      <w:proofErr w:type="gramStart"/>
      <w:r>
        <w:t>Hz</w:t>
      </w:r>
      <w:bookmarkEnd w:id="384"/>
      <w:proofErr w:type="gramEnd"/>
    </w:p>
    <w:p w14:paraId="1B79132C" w14:textId="64467FB3" w:rsidR="00007F6C" w:rsidRDefault="00007F6C" w:rsidP="00222CE3">
      <w:r>
        <w:t xml:space="preserve">For all four samples the polarisation resistance after 50h of ageing exceeded the initial polarisation resistance. </w:t>
      </w:r>
      <w:r w:rsidRPr="00222CE3">
        <w:t>The nitrogen dried and calcined sample (ND NC) produced the highest polarisation resistance of any of the other samples discussed in this work. A second meso frequency arc was visible after 30 h of ageing, which was unique to this sample. The lowest final polarisation resistance was generated by the other nitrogen dried sample (</w:t>
      </w:r>
      <w:r w:rsidRPr="00222CE3">
        <w:fldChar w:fldCharType="begin"/>
      </w:r>
      <w:r w:rsidRPr="00222CE3">
        <w:instrText xml:space="preserve"> REF _Ref41316173 \h  \* MERGEFORMAT </w:instrText>
      </w:r>
      <w:r w:rsidRPr="00222CE3">
        <w:fldChar w:fldCharType="separate"/>
      </w:r>
      <w:r w:rsidR="004555F2">
        <w:t>Table 4.8</w:t>
      </w:r>
      <w:r w:rsidRPr="00222CE3">
        <w:fldChar w:fldCharType="end"/>
      </w:r>
      <w:r w:rsidRPr="00222CE3">
        <w:t>).</w:t>
      </w:r>
      <w:r>
        <w:rPr>
          <w:i/>
          <w:iCs/>
        </w:rPr>
        <w:t xml:space="preserve"> </w:t>
      </w:r>
    </w:p>
    <w:p w14:paraId="742AFE91" w14:textId="60984699" w:rsidR="00007F6C" w:rsidRDefault="00F1096C" w:rsidP="003A288A">
      <w:pPr>
        <w:pStyle w:val="Caption"/>
        <w:keepNext/>
      </w:pPr>
      <w:r w:rsidRPr="00F1096C">
        <w:rPr>
          <w:noProof/>
        </w:rPr>
        <w:drawing>
          <wp:inline distT="0" distB="0" distL="0" distR="0" wp14:anchorId="46F4CF7D" wp14:editId="62B5A223">
            <wp:extent cx="4320000" cy="3534545"/>
            <wp:effectExtent l="0" t="0" r="0" b="889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12">
                      <a:extLst>
                        <a:ext uri="{28A0092B-C50C-407E-A947-70E740481C1C}">
                          <a14:useLocalDpi xmlns:a14="http://schemas.microsoft.com/office/drawing/2010/main" val="0"/>
                        </a:ext>
                      </a:extLst>
                    </a:blip>
                    <a:srcRect l="8223" t="9483" r="12172" b="5173"/>
                    <a:stretch/>
                  </pic:blipFill>
                  <pic:spPr bwMode="auto">
                    <a:xfrm>
                      <a:off x="0" y="0"/>
                      <a:ext cx="4320000" cy="3534545"/>
                    </a:xfrm>
                    <a:prstGeom prst="rect">
                      <a:avLst/>
                    </a:prstGeom>
                    <a:noFill/>
                    <a:ln>
                      <a:noFill/>
                    </a:ln>
                    <a:extLst>
                      <a:ext uri="{53640926-AAD7-44D8-BBD7-CCE9431645EC}">
                        <a14:shadowObscured xmlns:a14="http://schemas.microsoft.com/office/drawing/2010/main"/>
                      </a:ext>
                    </a:extLst>
                  </pic:spPr>
                </pic:pic>
              </a:graphicData>
            </a:graphic>
          </wp:inline>
        </w:drawing>
      </w:r>
    </w:p>
    <w:p w14:paraId="3074EC59" w14:textId="7DCEC3C9" w:rsidR="00007F6C" w:rsidRDefault="00007F6C" w:rsidP="003A288A">
      <w:pPr>
        <w:pStyle w:val="Caption"/>
      </w:pPr>
      <w:bookmarkStart w:id="385" w:name="_Ref41315996"/>
      <w:bookmarkStart w:id="386" w:name="_Toc69115000"/>
      <w:r>
        <w:t>Figure 4.</w:t>
      </w:r>
      <w:r w:rsidR="00B51F53">
        <w:fldChar w:fldCharType="begin"/>
      </w:r>
      <w:r w:rsidR="00B51F53">
        <w:instrText xml:space="preserve"> SEQ Figure \* ARABIC </w:instrText>
      </w:r>
      <w:r w:rsidR="00B51F53">
        <w:fldChar w:fldCharType="separate"/>
      </w:r>
      <w:r w:rsidR="004555F2">
        <w:rPr>
          <w:noProof/>
        </w:rPr>
        <w:t>26</w:t>
      </w:r>
      <w:r w:rsidR="00B51F53">
        <w:rPr>
          <w:noProof/>
        </w:rPr>
        <w:fldChar w:fldCharType="end"/>
      </w:r>
      <w:bookmarkEnd w:id="385"/>
      <w:r>
        <w:t xml:space="preserve">: Nyquist plot detailing the evolution of the Z’ and Z’’ of the </w:t>
      </w:r>
      <w:r w:rsidRPr="00692D41">
        <w:t>ND NC</w:t>
      </w:r>
      <w:r>
        <w:t xml:space="preserve"> sample over 50h of ageing time. The blocked points indicate frequency increments between 10</w:t>
      </w:r>
      <w:r>
        <w:rPr>
          <w:vertAlign w:val="superscript"/>
        </w:rPr>
        <w:t>-1</w:t>
      </w:r>
      <w:r>
        <w:t xml:space="preserve"> – 10</w:t>
      </w:r>
      <w:r>
        <w:rPr>
          <w:vertAlign w:val="superscript"/>
        </w:rPr>
        <w:t>4</w:t>
      </w:r>
      <w:r>
        <w:t xml:space="preserve"> </w:t>
      </w:r>
      <w:proofErr w:type="gramStart"/>
      <w:r>
        <w:t>Hz</w:t>
      </w:r>
      <w:bookmarkEnd w:id="386"/>
      <w:proofErr w:type="gramEnd"/>
    </w:p>
    <w:p w14:paraId="109BECEC" w14:textId="620A1D42" w:rsidR="00007F6C" w:rsidRDefault="00F1096C" w:rsidP="003A288A">
      <w:pPr>
        <w:keepNext/>
        <w:jc w:val="center"/>
      </w:pPr>
      <w:r w:rsidRPr="00F1096C">
        <w:rPr>
          <w:noProof/>
        </w:rPr>
        <w:lastRenderedPageBreak/>
        <w:drawing>
          <wp:inline distT="0" distB="0" distL="0" distR="0" wp14:anchorId="52970D31" wp14:editId="5CD6AD7D">
            <wp:extent cx="4320000" cy="3511111"/>
            <wp:effectExtent l="0" t="0" r="444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3">
                      <a:extLst>
                        <a:ext uri="{28A0092B-C50C-407E-A947-70E740481C1C}">
                          <a14:useLocalDpi xmlns:a14="http://schemas.microsoft.com/office/drawing/2010/main" val="0"/>
                        </a:ext>
                      </a:extLst>
                    </a:blip>
                    <a:srcRect l="8059" t="9914" r="12006" b="4957"/>
                    <a:stretch/>
                  </pic:blipFill>
                  <pic:spPr bwMode="auto">
                    <a:xfrm>
                      <a:off x="0" y="0"/>
                      <a:ext cx="4320000" cy="3511111"/>
                    </a:xfrm>
                    <a:prstGeom prst="rect">
                      <a:avLst/>
                    </a:prstGeom>
                    <a:noFill/>
                    <a:ln>
                      <a:noFill/>
                    </a:ln>
                    <a:extLst>
                      <a:ext uri="{53640926-AAD7-44D8-BBD7-CCE9431645EC}">
                        <a14:shadowObscured xmlns:a14="http://schemas.microsoft.com/office/drawing/2010/main"/>
                      </a:ext>
                    </a:extLst>
                  </pic:spPr>
                </pic:pic>
              </a:graphicData>
            </a:graphic>
          </wp:inline>
        </w:drawing>
      </w:r>
    </w:p>
    <w:p w14:paraId="48DCE45D" w14:textId="484E1991" w:rsidR="00007F6C" w:rsidRDefault="00007F6C" w:rsidP="00FF5110">
      <w:pPr>
        <w:pStyle w:val="Caption"/>
        <w:spacing w:after="240"/>
      </w:pPr>
      <w:bookmarkStart w:id="387" w:name="_Ref41316001"/>
      <w:bookmarkStart w:id="388" w:name="_Toc69115001"/>
      <w:r>
        <w:t>Figure 4.</w:t>
      </w:r>
      <w:r w:rsidR="00B51F53">
        <w:fldChar w:fldCharType="begin"/>
      </w:r>
      <w:r w:rsidR="00B51F53">
        <w:instrText xml:space="preserve"> SEQ Figure \* ARABIC </w:instrText>
      </w:r>
      <w:r w:rsidR="00B51F53">
        <w:fldChar w:fldCharType="separate"/>
      </w:r>
      <w:r w:rsidR="004555F2">
        <w:rPr>
          <w:noProof/>
        </w:rPr>
        <w:t>27</w:t>
      </w:r>
      <w:r w:rsidR="00B51F53">
        <w:rPr>
          <w:noProof/>
        </w:rPr>
        <w:fldChar w:fldCharType="end"/>
      </w:r>
      <w:bookmarkEnd w:id="387"/>
      <w:r>
        <w:t xml:space="preserve">: Nyquist plot detailing the evolution of the Z’ and Z’’ of the </w:t>
      </w:r>
      <w:r w:rsidRPr="00692D41">
        <w:t>AD AC</w:t>
      </w:r>
      <w:r>
        <w:t xml:space="preserve"> sample over 50h of ageing time. The blocked points indicate frequency increments between 10</w:t>
      </w:r>
      <w:r w:rsidR="00F1096C">
        <w:t xml:space="preserve"> </w:t>
      </w:r>
      <w:r>
        <w:rPr>
          <w:vertAlign w:val="superscript"/>
        </w:rPr>
        <w:t>-1</w:t>
      </w:r>
      <w:r>
        <w:t xml:space="preserve"> – 10</w:t>
      </w:r>
      <w:r w:rsidR="00F1096C">
        <w:t xml:space="preserve"> </w:t>
      </w:r>
      <w:r>
        <w:rPr>
          <w:vertAlign w:val="superscript"/>
        </w:rPr>
        <w:t>4</w:t>
      </w:r>
      <w:r>
        <w:t xml:space="preserve"> </w:t>
      </w:r>
      <w:proofErr w:type="gramStart"/>
      <w:r>
        <w:t>Hz</w:t>
      </w:r>
      <w:bookmarkEnd w:id="388"/>
      <w:proofErr w:type="gramEnd"/>
    </w:p>
    <w:p w14:paraId="5D319A53" w14:textId="2F36D617" w:rsidR="00007F6C" w:rsidRDefault="00F1096C" w:rsidP="003A288A">
      <w:pPr>
        <w:keepNext/>
        <w:jc w:val="center"/>
      </w:pPr>
      <w:r w:rsidRPr="00F1096C">
        <w:rPr>
          <w:noProof/>
        </w:rPr>
        <w:drawing>
          <wp:inline distT="0" distB="0" distL="0" distR="0" wp14:anchorId="65BFF031" wp14:editId="0F6E7EB7">
            <wp:extent cx="4320000" cy="3589478"/>
            <wp:effectExtent l="0" t="0" r="444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4">
                      <a:extLst>
                        <a:ext uri="{28A0092B-C50C-407E-A947-70E740481C1C}">
                          <a14:useLocalDpi xmlns:a14="http://schemas.microsoft.com/office/drawing/2010/main" val="0"/>
                        </a:ext>
                      </a:extLst>
                    </a:blip>
                    <a:srcRect l="8388" t="9483" r="12829" b="4741"/>
                    <a:stretch/>
                  </pic:blipFill>
                  <pic:spPr bwMode="auto">
                    <a:xfrm>
                      <a:off x="0" y="0"/>
                      <a:ext cx="4320000" cy="3589478"/>
                    </a:xfrm>
                    <a:prstGeom prst="rect">
                      <a:avLst/>
                    </a:prstGeom>
                    <a:noFill/>
                    <a:ln>
                      <a:noFill/>
                    </a:ln>
                    <a:extLst>
                      <a:ext uri="{53640926-AAD7-44D8-BBD7-CCE9431645EC}">
                        <a14:shadowObscured xmlns:a14="http://schemas.microsoft.com/office/drawing/2010/main"/>
                      </a:ext>
                    </a:extLst>
                  </pic:spPr>
                </pic:pic>
              </a:graphicData>
            </a:graphic>
          </wp:inline>
        </w:drawing>
      </w:r>
    </w:p>
    <w:p w14:paraId="52FA5A7D" w14:textId="2B1ED945" w:rsidR="00007F6C" w:rsidRDefault="00007F6C" w:rsidP="003A288A">
      <w:pPr>
        <w:pStyle w:val="Caption"/>
      </w:pPr>
      <w:bookmarkStart w:id="389" w:name="_Ref41316003"/>
      <w:bookmarkStart w:id="390" w:name="_Toc69115002"/>
      <w:r>
        <w:t>Figure 4.</w:t>
      </w:r>
      <w:r w:rsidR="00B51F53">
        <w:fldChar w:fldCharType="begin"/>
      </w:r>
      <w:r w:rsidR="00B51F53">
        <w:instrText xml:space="preserve"> SEQ Figure \* ARABIC </w:instrText>
      </w:r>
      <w:r w:rsidR="00B51F53">
        <w:fldChar w:fldCharType="separate"/>
      </w:r>
      <w:r w:rsidR="004555F2">
        <w:rPr>
          <w:noProof/>
        </w:rPr>
        <w:t>28</w:t>
      </w:r>
      <w:r w:rsidR="00B51F53">
        <w:rPr>
          <w:noProof/>
        </w:rPr>
        <w:fldChar w:fldCharType="end"/>
      </w:r>
      <w:bookmarkEnd w:id="389"/>
      <w:r>
        <w:t xml:space="preserve">: Nyquist plot detailing the evolution of the Z’ and Z’’ of the </w:t>
      </w:r>
      <w:r w:rsidRPr="00221DCF">
        <w:rPr>
          <w:b/>
          <w:bCs/>
        </w:rPr>
        <w:t xml:space="preserve">AD </w:t>
      </w:r>
      <w:r>
        <w:rPr>
          <w:b/>
          <w:bCs/>
        </w:rPr>
        <w:t>N</w:t>
      </w:r>
      <w:r w:rsidRPr="00221DCF">
        <w:rPr>
          <w:b/>
          <w:bCs/>
        </w:rPr>
        <w:t>C</w:t>
      </w:r>
      <w:r>
        <w:t xml:space="preserve"> sample over 50h of ageing time. The blocked points indicate frequency increments between 10</w:t>
      </w:r>
      <w:r w:rsidR="00F1096C">
        <w:t xml:space="preserve"> </w:t>
      </w:r>
      <w:r>
        <w:rPr>
          <w:vertAlign w:val="superscript"/>
        </w:rPr>
        <w:t>-1</w:t>
      </w:r>
      <w:r>
        <w:t xml:space="preserve"> – 10</w:t>
      </w:r>
      <w:r w:rsidR="00F1096C">
        <w:t xml:space="preserve"> </w:t>
      </w:r>
      <w:r>
        <w:rPr>
          <w:vertAlign w:val="superscript"/>
        </w:rPr>
        <w:t>4</w:t>
      </w:r>
      <w:r>
        <w:t xml:space="preserve"> </w:t>
      </w:r>
      <w:proofErr w:type="gramStart"/>
      <w:r>
        <w:t>Hz</w:t>
      </w:r>
      <w:bookmarkEnd w:id="390"/>
      <w:proofErr w:type="gramEnd"/>
    </w:p>
    <w:p w14:paraId="696E3C4F" w14:textId="77777777" w:rsidR="00007F6C" w:rsidRPr="005B0DB9" w:rsidRDefault="00007F6C" w:rsidP="003A288A">
      <w:pPr>
        <w:jc w:val="both"/>
      </w:pPr>
      <w:r w:rsidRPr="005B0DB9">
        <w:t xml:space="preserve">As a nanoscale system the infiltrated nickel catalyst phase is susceptible to coarsening in a bid to reduce its surface area under elevated temperatures such as those used in SOFCs. In this study the drying and calcination atmospheres are being investigated to determine whether the change in these processing steps impact the </w:t>
      </w:r>
      <w:r w:rsidRPr="00A9684D">
        <w:t>electrochemical properties of the samples.</w:t>
      </w:r>
    </w:p>
    <w:p w14:paraId="450C86CE" w14:textId="62272C17" w:rsidR="00007F6C" w:rsidRPr="00704ECC" w:rsidRDefault="00007F6C" w:rsidP="003A288A">
      <w:pPr>
        <w:jc w:val="both"/>
      </w:pPr>
      <w:r w:rsidRPr="005B0DB9">
        <w:lastRenderedPageBreak/>
        <w:t xml:space="preserve">The major resistive element being monitored is the polarisation resistance, Rp. This is derived from </w:t>
      </w:r>
      <w:r>
        <w:t xml:space="preserve">charge transfer </w:t>
      </w:r>
      <w:r w:rsidRPr="005B0DB9">
        <w:t>reactions in the wet impregnated Ni-YSZ electrode sample</w:t>
      </w:r>
      <w:r>
        <w:t xml:space="preserve"> </w:t>
      </w:r>
      <w:r>
        <w:fldChar w:fldCharType="begin" w:fldLock="1"/>
      </w:r>
      <w:r w:rsidR="008B6E91">
        <w:instrText>ADDIN CSL_CITATION {"citationItems":[{"id":"ITEM-1","itemData":{"DOI":"10.1039/9781788012959","ISBN":"9781788010900","author":[{"dropping-particle":"","family":"Skinner","given":"Stephen","non-dropping-particle":"","parse-names":false,"suffix":""}],"edition":"Illustrate","id":"ITEM-1","issued":{"date-parts":[["2019"]]},"number-of-pages":"79-82","publisher":"Royal Society of Chemistry","title":"Energy Storage and Conversion Materials","type":"book"},"uris":["http://www.mendeley.com/documents/?uuid=60096666-227e-4eb7-a739-83437805cfda"]},{"id":"ITEM-2","itemData":{"DOI":"10.1002/9781118191323","ISBN":"9781118087565","author":[{"dropping-particle":"","family":"Bagotsky","given":"Vladimir S.","non-dropping-particle":"","parse-names":false,"suffix":""}],"container-title":"Fuel Cells: Problems and Solutions: Second Edition","id":"ITEM-2","issued":{"date-parts":[["2012"]]},"title":"Fuel Cells: Problems and Solutions: Second Edition","type":"book"},"uris":["http://www.mendeley.com/documents/?uuid=c869f6b3-cb59-45bb-9704-8afee35620f5"]}],"mendeley":{"formattedCitation":"[22], [401]","plainTextFormattedCitation":"[22], [401]","previouslyFormattedCitation":"[22], [401]"},"properties":{"noteIndex":0},"schema":"https://github.com/citation-style-language/schema/raw/master/csl-citation.json"}</w:instrText>
      </w:r>
      <w:r>
        <w:fldChar w:fldCharType="separate"/>
      </w:r>
      <w:r w:rsidR="00237E21" w:rsidRPr="00237E21">
        <w:rPr>
          <w:noProof/>
        </w:rPr>
        <w:t>[22], [401]</w:t>
      </w:r>
      <w:r>
        <w:fldChar w:fldCharType="end"/>
      </w:r>
      <w:r w:rsidRPr="005B0DB9">
        <w:t>. The samples were aged for a period of 50</w:t>
      </w:r>
      <w:r>
        <w:t xml:space="preserve"> </w:t>
      </w:r>
      <w:r w:rsidRPr="005B0DB9">
        <w:t>h</w:t>
      </w:r>
      <w:r>
        <w:t xml:space="preserve"> </w:t>
      </w:r>
      <w:r w:rsidRPr="005B0DB9">
        <w:t>as discussed in Section 4.2.2.</w:t>
      </w:r>
    </w:p>
    <w:p w14:paraId="0C9C5A17" w14:textId="51D9F5C0" w:rsidR="00007F6C" w:rsidRDefault="00007F6C" w:rsidP="003A288A">
      <w:pPr>
        <w:jc w:val="both"/>
      </w:pPr>
      <w:r w:rsidRPr="005B0DB9">
        <w:t>The coarsening of nanoscale systems has been documented to follow three steps a</w:t>
      </w:r>
      <w:r>
        <w:t>n</w:t>
      </w:r>
      <w:r w:rsidRPr="005B0DB9">
        <w:t xml:space="preserve"> initiation, propagation and </w:t>
      </w:r>
      <w:r>
        <w:t>stabilisation</w:t>
      </w:r>
      <w:r w:rsidRPr="005B0DB9">
        <w:t xml:space="preserve"> steps</w:t>
      </w:r>
      <w:r>
        <w:t xml:space="preserve"> </w:t>
      </w:r>
      <w:r>
        <w:fldChar w:fldCharType="begin" w:fldLock="1"/>
      </w:r>
      <w:r w:rsidR="008B6E91">
        <w:instrText>ADDIN CSL_CITATION {"citationItems":[{"id":"ITEM-1","itemData":{"DOI":"10.1021/ar3002427","ISSN":"00014842","abstract":"Metal nanoparticles contain the active sites in heterogeneous catalysts, which are important for many industrial applications including the production of clean fuels, chemicals and pharmaceuticals, and the cleanup of exhaust from automobiles and stationary power plants. Sintering, or thermal deactivation, is an important mechanism for the loss of catalyst activity. This is especially true for high temperature catalytic processes, such as steam reforming, automotive exhaust treatment, or catalytic combustion. With dwindling supplies of precious metals and increasing demand, fundamental understanding of catalyst sintering is very important for achieving clean energy and a clean environment, and for efficient chemical conversion processes with atom selectivity. Scientists have proposed two mechanisms for sintering of nanoparticles: particle migration and coalescence (PMC) and Ostwald ripening (OR). PMC involves the mobility of particles in a Brownian-like motion on the support surface, with subsequent coalescence leading to nanoparticle growth. In contrast, OR involves the migration of adatoms or mobile molecular species, driven by differences in free energy and local adatom concentrations on the support surface.In this Account, we divide the process of sintering into three phases. Phase I involves rapid loss in catalyst activity (or surface area), phase II is where sintering slows down, and phase III is where the catalyst may reach a stable performance. Much of the previous work is based on inferences from catalysts that were observed before and after long term treatments. While the general phenomena can be captured correctly, the mechanisms cannot be determined. Advancements in the techniques of in situ TEM allow us to observe catalysts at elevated temperatures under working conditions. We review recent evidence obtained via in situ methods to determine the relative importance of PMC and OR in each of these phases of catalyst sintering. The evidence suggests that, in phase I, OR is responsible for the rapid loss of activity that occurs when particles are very small. Surprisingly, very little PMC is observed in this phase. Instead, the rapid loss of activity is caused by the disappearance of the smallest particles. These findings are in good agreement with representative atomistic simulations of sintering. In phase II, sintering slows down since the smallest particles have disappeared. We now see a combination of PMC and OR, but do not fully understand th…","author":[{"dropping-particle":"","family":"Hansen","given":"Thomas W.","non-dropping-particle":"","parse-names":false,"suffix":""},{"dropping-particle":"","family":"Delariva","given":"Andrew T.","non-dropping-particle":"","parse-names":false,"suffix":""},{"dropping-particle":"","family":"Challa","given":"Sivakumar R.","non-dropping-particle":"","parse-names":false,"suffix":""},{"dropping-particle":"","family":"Datye","given":"Abhaya K.","non-dropping-particle":"","parse-names":false,"suffix":""}],"container-title":"Accounts of Chemical Research","id":"ITEM-1","issue":"8","issued":{"date-parts":[["2013"]]},"page":"1720-1730","title":"Sintering of catalytic nanoparticles: Particle migration or ostwald ripening?","type":"article-journal","volume":"46"},"uris":["http://www.mendeley.com/documents/?uuid=56e9c286-1d38-472d-a0b2-2585db2bd181"]}],"mendeley":{"formattedCitation":"[402]","plainTextFormattedCitation":"[402]","previouslyFormattedCitation":"[402]"},"properties":{"noteIndex":0},"schema":"https://github.com/citation-style-language/schema/raw/master/csl-citation.json"}</w:instrText>
      </w:r>
      <w:r>
        <w:fldChar w:fldCharType="separate"/>
      </w:r>
      <w:r w:rsidR="00237E21" w:rsidRPr="00237E21">
        <w:rPr>
          <w:noProof/>
        </w:rPr>
        <w:t>[402]</w:t>
      </w:r>
      <w:r>
        <w:fldChar w:fldCharType="end"/>
      </w:r>
      <w:r w:rsidRPr="005B0DB9">
        <w:t>. The use of EIS in this work is to track these phenomena by monitoring the evolution of R</w:t>
      </w:r>
      <w:r w:rsidRPr="005B0DB9">
        <w:rPr>
          <w:vertAlign w:val="subscript"/>
        </w:rPr>
        <w:t>P</w:t>
      </w:r>
      <w:r w:rsidRPr="005B0DB9">
        <w:t xml:space="preserve"> in the first 50</w:t>
      </w:r>
      <w:r>
        <w:t xml:space="preserve"> </w:t>
      </w:r>
      <w:r w:rsidRPr="005B0DB9">
        <w:t xml:space="preserve">h of ageing. </w:t>
      </w:r>
      <w:r w:rsidRPr="005B0DB9">
        <w:fldChar w:fldCharType="begin"/>
      </w:r>
      <w:r w:rsidRPr="005B0DB9">
        <w:instrText xml:space="preserve"> REF _Ref40862606 \h </w:instrText>
      </w:r>
      <w:r>
        <w:instrText xml:space="preserve"> \* MERGEFORMAT </w:instrText>
      </w:r>
      <w:r w:rsidRPr="005B0DB9">
        <w:fldChar w:fldCharType="separate"/>
      </w:r>
      <w:r w:rsidR="00650F8E">
        <w:t xml:space="preserve">Figure </w:t>
      </w:r>
      <w:r w:rsidR="00650F8E">
        <w:rPr>
          <w:noProof/>
        </w:rPr>
        <w:t>4.29</w:t>
      </w:r>
      <w:r w:rsidRPr="005B0DB9">
        <w:fldChar w:fldCharType="end"/>
      </w:r>
      <w:r w:rsidRPr="005B0DB9">
        <w:t xml:space="preserve"> (</w:t>
      </w:r>
      <w:r w:rsidR="00650F8E">
        <w:t>below</w:t>
      </w:r>
      <w:r w:rsidRPr="005B0DB9">
        <w:t>) shows the change in the polarisation resistance between 0-10</w:t>
      </w:r>
      <w:r>
        <w:t xml:space="preserve"> </w:t>
      </w:r>
      <w:r w:rsidRPr="005B0DB9">
        <w:t>h and 0-50</w:t>
      </w:r>
      <w:r>
        <w:t xml:space="preserve"> </w:t>
      </w:r>
      <w:r w:rsidRPr="005B0DB9">
        <w:t>h</w:t>
      </w:r>
      <w:r>
        <w:t xml:space="preserve"> for each of wet impregnated fuel electrode samples.</w:t>
      </w:r>
    </w:p>
    <w:p w14:paraId="6538E23F" w14:textId="77777777" w:rsidR="00007F6C" w:rsidRDefault="00007F6C" w:rsidP="003A288A">
      <w:pPr>
        <w:keepNext/>
        <w:jc w:val="center"/>
      </w:pPr>
      <w:r w:rsidRPr="00704ECC">
        <w:rPr>
          <w:noProof/>
        </w:rPr>
        <w:drawing>
          <wp:inline distT="0" distB="0" distL="0" distR="0" wp14:anchorId="3F40EDD1" wp14:editId="1E41AC9A">
            <wp:extent cx="4680000" cy="3820409"/>
            <wp:effectExtent l="0" t="0" r="0" b="889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5">
                      <a:extLst>
                        <a:ext uri="{28A0092B-C50C-407E-A947-70E740481C1C}">
                          <a14:useLocalDpi xmlns:a14="http://schemas.microsoft.com/office/drawing/2010/main" val="0"/>
                        </a:ext>
                      </a:extLst>
                    </a:blip>
                    <a:srcRect l="9174" t="9910" r="12156" b="6007"/>
                    <a:stretch/>
                  </pic:blipFill>
                  <pic:spPr bwMode="auto">
                    <a:xfrm>
                      <a:off x="0" y="0"/>
                      <a:ext cx="4680000" cy="3820409"/>
                    </a:xfrm>
                    <a:prstGeom prst="rect">
                      <a:avLst/>
                    </a:prstGeom>
                    <a:noFill/>
                    <a:ln>
                      <a:noFill/>
                    </a:ln>
                    <a:extLst>
                      <a:ext uri="{53640926-AAD7-44D8-BBD7-CCE9431645EC}">
                        <a14:shadowObscured xmlns:a14="http://schemas.microsoft.com/office/drawing/2010/main"/>
                      </a:ext>
                    </a:extLst>
                  </pic:spPr>
                </pic:pic>
              </a:graphicData>
            </a:graphic>
          </wp:inline>
        </w:drawing>
      </w:r>
    </w:p>
    <w:p w14:paraId="524C6613" w14:textId="7057C820" w:rsidR="00007F6C" w:rsidRDefault="00007F6C" w:rsidP="003A288A">
      <w:pPr>
        <w:pStyle w:val="Caption"/>
      </w:pPr>
      <w:bookmarkStart w:id="391" w:name="_Ref40862606"/>
      <w:bookmarkStart w:id="392" w:name="_Toc69115003"/>
      <w:r>
        <w:t>Figure 4.</w:t>
      </w:r>
      <w:r w:rsidR="00B51F53">
        <w:fldChar w:fldCharType="begin"/>
      </w:r>
      <w:r w:rsidR="00B51F53">
        <w:instrText xml:space="preserve"> SEQ Figure \* AR</w:instrText>
      </w:r>
      <w:r w:rsidR="00B51F53">
        <w:instrText xml:space="preserve">ABIC </w:instrText>
      </w:r>
      <w:r w:rsidR="00B51F53">
        <w:fldChar w:fldCharType="separate"/>
      </w:r>
      <w:r w:rsidR="00FF5110">
        <w:rPr>
          <w:noProof/>
        </w:rPr>
        <w:t>29</w:t>
      </w:r>
      <w:r w:rsidR="00B51F53">
        <w:rPr>
          <w:noProof/>
        </w:rPr>
        <w:fldChar w:fldCharType="end"/>
      </w:r>
      <w:bookmarkEnd w:id="391"/>
      <w:r>
        <w:t xml:space="preserve">: Bar chart showing the change in the polarisation resistance, Rp of the infiltrated NI-YSZ samples after 10h and 50h ageing </w:t>
      </w:r>
      <w:proofErr w:type="gramStart"/>
      <w:r>
        <w:t>time</w:t>
      </w:r>
      <w:bookmarkEnd w:id="392"/>
      <w:proofErr w:type="gramEnd"/>
    </w:p>
    <w:p w14:paraId="63E666F1" w14:textId="0518902A" w:rsidR="00007F6C" w:rsidRDefault="00007F6C" w:rsidP="003A288A">
      <w:pPr>
        <w:jc w:val="both"/>
      </w:pPr>
      <w:r>
        <w:t xml:space="preserve">The AD samples both produced an increase in Rp after 10 and 50 h </w:t>
      </w:r>
      <w:r w:rsidRPr="00B82276">
        <w:t>of ageing. However, the AD AC</w:t>
      </w:r>
      <w:r>
        <w:t xml:space="preserve"> sample had a 9.775 </w:t>
      </w:r>
      <w:r>
        <w:rPr>
          <w:rFonts w:cstheme="minorHAnsi"/>
        </w:rPr>
        <w:t>Ω</w:t>
      </w:r>
      <w:r>
        <w:t>cm</w:t>
      </w:r>
      <w:r>
        <w:rPr>
          <w:vertAlign w:val="superscript"/>
        </w:rPr>
        <w:t>2</w:t>
      </w:r>
      <w:r>
        <w:t xml:space="preserve"> increase in R</w:t>
      </w:r>
      <w:r>
        <w:rPr>
          <w:vertAlign w:val="subscript"/>
        </w:rPr>
        <w:t>P</w:t>
      </w:r>
      <w:r>
        <w:t xml:space="preserve"> during the 10-50 h aged time-period. This combined with the visual evidence in </w:t>
      </w:r>
      <w:r>
        <w:fldChar w:fldCharType="begin"/>
      </w:r>
      <w:r>
        <w:instrText xml:space="preserve"> REF _Ref40357576 \h  \* MERGEFORMAT </w:instrText>
      </w:r>
      <w:r>
        <w:fldChar w:fldCharType="separate"/>
      </w:r>
      <w:r w:rsidR="00650F8E">
        <w:t xml:space="preserve">Figure </w:t>
      </w:r>
      <w:r w:rsidR="00650F8E">
        <w:rPr>
          <w:noProof/>
        </w:rPr>
        <w:t>4.24</w:t>
      </w:r>
      <w:r>
        <w:fldChar w:fldCharType="end"/>
      </w:r>
      <w:r>
        <w:t xml:space="preserve"> indicate that the electrode degradation mechanisms present in this sample set differ to those samples with nitrogen based drying and calcination steps. </w:t>
      </w:r>
    </w:p>
    <w:p w14:paraId="190826E3" w14:textId="3C607C1A" w:rsidR="00007F6C" w:rsidRDefault="00007F6C" w:rsidP="003A288A">
      <w:pPr>
        <w:jc w:val="both"/>
      </w:pPr>
      <w:r>
        <w:t>The previously mentioned change in R</w:t>
      </w:r>
      <w:r>
        <w:rPr>
          <w:vertAlign w:val="subscript"/>
        </w:rPr>
        <w:t>P</w:t>
      </w:r>
      <w:r>
        <w:t xml:space="preserve"> is the largest change exhibited by any of the infiltrated samples discussed in this work. </w:t>
      </w:r>
      <w:r w:rsidRPr="00EF1707">
        <w:t>Indicating that the air calcination</w:t>
      </w:r>
      <w:r>
        <w:t xml:space="preserve"> stage</w:t>
      </w:r>
      <w:r w:rsidRPr="00EF1707">
        <w:t xml:space="preserve"> has exacerbated the degradation mechanisms. This </w:t>
      </w:r>
      <w:r>
        <w:t xml:space="preserve">is due to </w:t>
      </w:r>
      <w:r w:rsidRPr="00EF1707">
        <w:t>the coarsening initiation step ha</w:t>
      </w:r>
      <w:r>
        <w:t>ving</w:t>
      </w:r>
      <w:r w:rsidRPr="00EF1707">
        <w:t xml:space="preserve"> been elongated by the calcination in air</w:t>
      </w:r>
      <w:r>
        <w:t xml:space="preserve"> </w:t>
      </w:r>
      <w:r>
        <w:fldChar w:fldCharType="begin" w:fldLock="1"/>
      </w:r>
      <w:r w:rsidR="00D80A5D">
        <w:instrText>ADDIN CSL_CITATION {"citationItems":[{"id":"ITEM-1","itemData":{"DOI":"10.1021/ar3002427","ISBN":"1520-4898 (Electronic)\r0001-4842 (Linking)","PMID":"23634641","abstract":"Metal nanoparticles contain the active sites in heterogeneous catalysts, which are important for many industrial applications including the production of clean fuels, chemicals and pharmaceuticals, and the cleanup of exhaust from automobiles and stationary power plants. Sintering, or thermal deactivation, is an important mechanism for the loss of catalyst activity. This is especially true for high temperature catalytic processes, such as steam reforming, automotive exhaust treatment, or catalytic combustion. With dwindling supplies of precious metals and increasing demand, fundamental understanding of catalyst sintering is very important for achieving clean energy and a clean environment, and for efficient chemical conversion processes with atom selectivity. Scientists have proposed two mechanisms for sintering of nanoparticles: particle migration and coalescence (PMC) and Ostwald ripening (OR). PMC involves the mobility of particles in a Brownian-like motion on the support surface, with subsequent coalescence leading to nanoparticle growth. In contrast, OR involves the migration of adatoms or mobile molecular species, driven by differences in free energy and local adatom concentrations on the support surface. In this Account, we divide the process of sintering into three phases. Phase I involves rapid loss in catalyst activity (or surface area), phase II is where sintering slows down, and phase III is where the catalyst may reach a stable performance. Much of the previous work is based on inferences from catalysts that were observed before and after long term treatments. While the general phenomena can be captured correctly, the mechanisms cannot be determined. Advancements in the techniques of in situ TEM allow us to observe catalysts at elevated temperatures under working conditions. We review recent evidence obtained via in situ methods to determine the relative importance of PMC and OR in each of these phases of catalyst sintering. The evidence suggests that, in phase I, OR is responsible for the rapid loss of activity that occurs when particles are very small. Surprisingly, very little PMC is observed in this phase. Instead, the rapid loss of activity is caused by the disappearance of the smallest particles. These findings are in good agreement with representative atomistic simulations of sintering. In phase II, sintering slows down since the smallest particles have disappeared. We now see a combination of PMC and OR, but do not fully understand t…","author":[{"dropping-particle":"","family":"Hansen","given":"T W","non-dropping-particle":"","parse-names":false,"suffix":""},{"dropping-particle":"","family":"Delariva","given":"A T","non-dropping-particle":"","parse-names":false,"suffix":""},{"dropping-particle":"","family":"Challa","given":"S R","non-dropping-particle":"","parse-names":false,"suffix":""},{"dropping-particle":"","family":"Datye","given":"A K","non-dropping-particle":"","parse-names":false,"suffix":""}],"chapter-number":"1720","container-title":"Acc Chem Res","id":"ITEM-1","issue":"8","issued":{"date-parts":[["2013"]]},"note":"Hansen, Thomas W\nDelariva, Andrew T\nChalla, Sivakumar R\nDatye, Abhaya K\neng\nResearch Support, Non-U.S. Gov't\nResearch Support, U.S. Gov't, Non-P.H.S.\nReview\n2013/05/03 06:00\nAcc Chem Res. 2013 Aug 20;46(8):1720-30. doi: 10.1021/ar3002427. Epub 2013 May 1.","page":"1720-1730","title":"Sintering of catalytic nanoparticles: particle migration or Ostwald ripening?","type":"article-journal","volume":"46"},"uris":["http://www.mendeley.com/documents/?uuid=39c90cb7-90f0-4c22-a635-4a4de038ffe1"]}],"mendeley":{"formattedCitation":"[118]","plainTextFormattedCitation":"[118]","previouslyFormattedCitation":"[118]"},"properties":{"noteIndex":0},"schema":"https://github.com/citation-style-language/schema/raw/master/csl-citation.json"}</w:instrText>
      </w:r>
      <w:r>
        <w:fldChar w:fldCharType="separate"/>
      </w:r>
      <w:r w:rsidR="006C586A" w:rsidRPr="006C586A">
        <w:rPr>
          <w:noProof/>
        </w:rPr>
        <w:t>[118]</w:t>
      </w:r>
      <w:r>
        <w:fldChar w:fldCharType="end"/>
      </w:r>
      <w:r w:rsidRPr="00EF1707">
        <w:t xml:space="preserve">. </w:t>
      </w:r>
    </w:p>
    <w:p w14:paraId="68C88530" w14:textId="769F3D53" w:rsidR="00007F6C" w:rsidRDefault="00007F6C" w:rsidP="003A288A">
      <w:pPr>
        <w:jc w:val="both"/>
      </w:pPr>
      <w:r w:rsidRPr="005B0DB9">
        <w:t>Generally, a plateau appears in the samples from an ageing time of 10</w:t>
      </w:r>
      <w:r w:rsidR="00A17BA8">
        <w:t xml:space="preserve"> </w:t>
      </w:r>
      <w:r w:rsidRPr="005B0DB9">
        <w:t xml:space="preserve">h onwards which shows that the catalytic media have transitioned to the second stage of coarsening. This indicates that the first </w:t>
      </w:r>
      <w:r w:rsidRPr="00B82276">
        <w:t>sintering stage dominates in the first 10 h of ageing. The exception to this rule appears to be the ND AC</w:t>
      </w:r>
      <w:r>
        <w:t xml:space="preserve"> sample.</w:t>
      </w:r>
      <w:r w:rsidRPr="005B0DB9">
        <w:t xml:space="preserve"> Several works in the fuel electrode literature pre-age their systems for 100</w:t>
      </w:r>
      <w:r>
        <w:t xml:space="preserve"> </w:t>
      </w:r>
      <w:r w:rsidRPr="005B0DB9">
        <w:t>h prior to electrochemical assessment</w:t>
      </w:r>
      <w:r>
        <w:t xml:space="preserve"> </w:t>
      </w:r>
      <w:r>
        <w:fldChar w:fldCharType="begin" w:fldLock="1"/>
      </w:r>
      <w:r w:rsidR="008B6E91">
        <w:instrText>ADDIN CSL_CITATION {"citationItems":[{"id":"ITEM-1","itemData":{"DOI":"10.1149/2.084311jes","ISSN":"00134651","abstract":"The microstructural evolution of Ni - Yttria-Stabilized Zirconia (YSZ) anode functional layers in anode-supported solid oxide fuel cells was studied after aging in humidified hydrogen at temperatures from 900-1100?C and times up to 500 h. The relatively large (~6000μm3) three-dimensional transmission X-ray microscopy images provided good statistics in measured microstructural data. Feature sizes in the YSZ and Ni phases changed little until the highest temperature and time, whereas the pore phase feature size increased for all temperatures and times. Ni-YSZ interfacial area increased at the expense of pore-YSZ interfaces after moderate annealing, with a general decrease in interfacial areas observed at longer times and higher temperatures. Three-phase boundary (TPB) density decreased rapidly initially, but then more slowly, with increasing annealing temperature and time. Electrochemical impedance spectroscopy measurements showed a corresponding increase in the anode response associated with electrochemical hydrogen oxidation at TPBs. A higher fraction of isolated pores and larger pore tortuosity was observed at intermediate annealing temperatures and times, with a corresponding increase in the gas diffusion impedance response. © 2013 The Electrochemical Society.","author":[{"dropping-particle":"","family":"Kennouche","given":"David","non-dropping-particle":"","parse-names":false,"suffix":""},{"dropping-particle":"","family":"Chen-Wiegart","given":"Yu Chen Karen","non-dropping-particle":"","parse-names":false,"suffix":""},{"dropping-particle":"","family":"Cronin","given":"J. Scott","non-dropping-particle":"","parse-names":false,"suffix":""},{"dropping-particle":"","family":"Wang","given":"Jun","non-dropping-particle":"","parse-names":false,"suffix":""},{"dropping-particle":"","family":"Barnett","given":"Scott A.","non-dropping-particle":"","parse-names":false,"suffix":""}],"container-title":"Journal of the Electrochemical Society","id":"ITEM-1","issue":"11","issued":{"date-parts":[["2013"]]},"page":"1293-1304","title":"Three-dimensional microstructural evolution of ni-yttria-stabilized zirconia solid oxide fuel cell anodes at elevated temperatures","type":"article-journal","volume":"160"},"uris":["http://www.mendeley.com/documents/?uuid=d9120fe3-cb0b-4700-9cbc-b51bd112c883"]},{"id":"ITEM-2","itemData":{"author":[{"dropping-particle":"","family":"D. Kennouche  J.S. Cronin, J. Wang, S.A. Barnett","given":"Y K Chen-Wiegart","non-dropping-particle":"","parse-names":false,"suffix":""}],"container-title":"Journal of the Electrochemical Society","id":"ITEM-2","issue":"11","issued":{"date-parts":[["2013"]]},"page":"F1294-F1304","title":"Three-Dimensional Microstructural Evolution of NiYttria-Stabilized Zirconia Solid Oxide Fuel Cell Anodes","type":"article-journal","volume":"160"},"uris":["http://www.mendeley.com/documents/?uuid=07e89cf2-b2b1-4ee7-9880-054321a29ed6"]}],"mendeley":{"formattedCitation":"[224], [403]","plainTextFormattedCitation":"[224], [403]","previouslyFormattedCitation":"[224], [403]"},"properties":{"noteIndex":0},"schema":"https://github.com/citation-style-language/schema/raw/master/csl-citation.json"}</w:instrText>
      </w:r>
      <w:r>
        <w:fldChar w:fldCharType="separate"/>
      </w:r>
      <w:r w:rsidR="00237E21" w:rsidRPr="00237E21">
        <w:rPr>
          <w:noProof/>
        </w:rPr>
        <w:t>[224], [403]</w:t>
      </w:r>
      <w:r>
        <w:fldChar w:fldCharType="end"/>
      </w:r>
      <w:r w:rsidRPr="005B0DB9">
        <w:t>. This fact that this behaviour is shared amongst four of the samples demonstrates that pre-coarsening step</w:t>
      </w:r>
      <w:r>
        <w:t xml:space="preserve"> utilised in the literature appears to be</w:t>
      </w:r>
      <w:r w:rsidRPr="005B0DB9">
        <w:t xml:space="preserve"> excessive.  </w:t>
      </w:r>
    </w:p>
    <w:p w14:paraId="6FAA8183" w14:textId="4A7E7A00" w:rsidR="00007F6C" w:rsidRPr="00B82276" w:rsidRDefault="00007F6C" w:rsidP="003A288A">
      <w:pPr>
        <w:jc w:val="both"/>
      </w:pPr>
      <w:r>
        <w:lastRenderedPageBreak/>
        <w:t>This is especially highlighted by the R</w:t>
      </w:r>
      <w:r>
        <w:rPr>
          <w:vertAlign w:val="subscript"/>
        </w:rPr>
        <w:t>P</w:t>
      </w:r>
      <w:r>
        <w:t xml:space="preserve"> change bet</w:t>
      </w:r>
      <w:r w:rsidRPr="00B82276">
        <w:t>ween 10-50 h of the ND NC</w:t>
      </w:r>
      <w:r>
        <w:t xml:space="preserve"> sample which drops compared to the first 10 h of this ageing perio</w:t>
      </w:r>
      <w:r w:rsidRPr="00DB3E3C">
        <w:t xml:space="preserve">d. The </w:t>
      </w:r>
      <w:r>
        <w:t>systematic</w:t>
      </w:r>
      <w:r w:rsidRPr="00DB3E3C">
        <w:t xml:space="preserve"> error between the samples was calculated to range between 0.02-0.05</w:t>
      </w:r>
      <w:r>
        <w:t xml:space="preserve"> </w:t>
      </w:r>
      <w:r w:rsidRPr="00DB3E3C">
        <w:t>%</w:t>
      </w:r>
      <w:r>
        <w:t xml:space="preserve"> </w:t>
      </w:r>
      <w:r>
        <w:fldChar w:fldCharType="begin" w:fldLock="1"/>
      </w:r>
      <w:r w:rsidR="008B6E91">
        <w:instrText>ADDIN CSL_CITATION {"citationItems":[{"id":"ITEM-1","itemData":{"URL":"http://www.chem.hope.edu/~polik/Chem345-2000/errorpropagation.htm","author":[{"dropping-particle":"","family":"Hope College","given":"U S A","non-dropping-particle":"","parse-names":false,"suffix":""}],"id":"ITEM-1","issued":{"date-parts":[["2000"]]},"page":"Error calculations using differentials for cylinde","publisher":"Hope College","publisher-place":"Hope College Chemistry Department","title":"Error Propagation","title-short":"Error Propagation","type":"webpage","volume":"2017"},"uris":["http://www.mendeley.com/documents/?uuid=91d2eabd-568b-420d-b09c-114c94a596ef"]}],"mendeley":{"formattedCitation":"[404]","plainTextFormattedCitation":"[404]","previouslyFormattedCitation":"[404]"},"properties":{"noteIndex":0},"schema":"https://github.com/citation-style-language/schema/raw/master/csl-citation.json"}</w:instrText>
      </w:r>
      <w:r>
        <w:fldChar w:fldCharType="separate"/>
      </w:r>
      <w:r w:rsidR="00237E21" w:rsidRPr="00237E21">
        <w:rPr>
          <w:noProof/>
        </w:rPr>
        <w:t>[404]</w:t>
      </w:r>
      <w:r>
        <w:fldChar w:fldCharType="end"/>
      </w:r>
      <w:r w:rsidRPr="00DB3E3C">
        <w:t xml:space="preserve">. </w:t>
      </w:r>
      <w:r w:rsidRPr="00120B16">
        <w:t>In fact, the R</w:t>
      </w:r>
      <w:r w:rsidRPr="00120B16">
        <w:rPr>
          <w:vertAlign w:val="subscript"/>
        </w:rPr>
        <w:t>P</w:t>
      </w:r>
      <w:r w:rsidRPr="00120B16">
        <w:t xml:space="preserve"> dropped by 2.54</w:t>
      </w:r>
      <w:r>
        <w:t xml:space="preserve"> </w:t>
      </w:r>
      <w:r w:rsidRPr="00120B16">
        <w:t>% portraying a slight recovery of the infiltrated system.</w:t>
      </w:r>
      <w:r>
        <w:t xml:space="preserve"> This drop was unexpected as the polarisation resistance is usually documented to rise during ageing. This behaviour was evident in both air-dried samples (AD NC with 9.77 % increase between 10-50 h).</w:t>
      </w:r>
    </w:p>
    <w:p w14:paraId="7B378130" w14:textId="77777777" w:rsidR="00007F6C" w:rsidRDefault="00007F6C" w:rsidP="003A288A">
      <w:pPr>
        <w:jc w:val="both"/>
      </w:pPr>
      <w:r w:rsidRPr="00B82276">
        <w:t>A similar but more pronounced drop was also exhibited by the ND AC</w:t>
      </w:r>
      <w:r>
        <w:t xml:space="preserve"> sample which suggests that this behaviour is not limited by the calcination step which are different for both samples. Nitrogen drying appears to be the most impactful combination in reducing R</w:t>
      </w:r>
      <w:r>
        <w:rPr>
          <w:vertAlign w:val="subscript"/>
        </w:rPr>
        <w:t>P</w:t>
      </w:r>
      <w:r>
        <w:t xml:space="preserve">. However, in this sample 32.36 % drop denotes that the recovery mechanism present is far more prevalent </w:t>
      </w:r>
      <w:r w:rsidRPr="00B82276">
        <w:t>than its ND NC</w:t>
      </w:r>
      <w:r>
        <w:t xml:space="preserve"> counterpart. </w:t>
      </w:r>
    </w:p>
    <w:p w14:paraId="1B63FF5B" w14:textId="5342CC27" w:rsidR="00007F6C" w:rsidRPr="00A4034C" w:rsidRDefault="00007F6C" w:rsidP="003A288A">
      <w:pPr>
        <w:jc w:val="both"/>
      </w:pPr>
      <w:r w:rsidRPr="00A4034C">
        <w:t>This illustrates the impact of utilising an inert nitrogen-based atmosphere processing where the initial R</w:t>
      </w:r>
      <w:r w:rsidRPr="00A4034C">
        <w:rPr>
          <w:vertAlign w:val="subscript"/>
        </w:rPr>
        <w:t>P</w:t>
      </w:r>
      <w:r w:rsidRPr="00A4034C">
        <w:t xml:space="preserve"> degradation appears to have been largely constrained to the first 10 h of ageing. Over 90 % of the increase in R</w:t>
      </w:r>
      <w:r w:rsidRPr="00A4034C">
        <w:rPr>
          <w:vertAlign w:val="subscript"/>
        </w:rPr>
        <w:t>P</w:t>
      </w:r>
      <w:r w:rsidRPr="00A4034C">
        <w:t xml:space="preserve"> occurred for the AD NC calcined sample within the first 10 h. This underlines the importance of determining the </w:t>
      </w:r>
      <w:r w:rsidR="00650F8E" w:rsidRPr="00A4034C">
        <w:t>early-stage</w:t>
      </w:r>
      <w:r w:rsidRPr="00A4034C">
        <w:t xml:space="preserve"> rate limiting steps in infiltrated SOFC electrodes. </w:t>
      </w:r>
    </w:p>
    <w:p w14:paraId="664815B5" w14:textId="77777777" w:rsidR="00007F6C" w:rsidRPr="00A4034C" w:rsidRDefault="00007F6C" w:rsidP="003A288A">
      <w:pPr>
        <w:jc w:val="both"/>
      </w:pPr>
      <w:r w:rsidRPr="00A4034C">
        <w:t>Additionally, it also highlights how implementing an inert N</w:t>
      </w:r>
      <w:r w:rsidRPr="00A4034C">
        <w:rPr>
          <w:vertAlign w:val="subscript"/>
        </w:rPr>
        <w:t>2</w:t>
      </w:r>
      <w:r w:rsidRPr="00A4034C">
        <w:t xml:space="preserve"> atmosphere… in either the drying or calcination step reduces the rate of fuel electrode degradation. This was evident in the ND AC and AD NC samples which had the lowest Rp increases compared to the samples with same atmosphere drying and calcination steps.</w:t>
      </w:r>
    </w:p>
    <w:p w14:paraId="76759DD0" w14:textId="58875687" w:rsidR="00007F6C" w:rsidRPr="007E2882" w:rsidRDefault="00007F6C" w:rsidP="003A288A">
      <w:pPr>
        <w:jc w:val="both"/>
      </w:pPr>
      <w:r w:rsidRPr="00A4034C">
        <w:t>The nitrogen drying step produced the smallest change in the polarisation resistance, with a Rp almost 50% of the other samples in this study. This highlights that nitrogen drying is a key processing step for wet impregnated solid oxide fuel electrodes.</w:t>
      </w:r>
    </w:p>
    <w:p w14:paraId="19342555" w14:textId="22BCB4DB" w:rsidR="00007F6C" w:rsidRDefault="00007F6C" w:rsidP="00650F8E">
      <w:pPr>
        <w:pStyle w:val="Heading3"/>
        <w:numPr>
          <w:ilvl w:val="3"/>
          <w:numId w:val="41"/>
        </w:numPr>
      </w:pPr>
      <w:bookmarkStart w:id="393" w:name="_Toc69129421"/>
      <w:r>
        <w:t>Equivalent Circuit Fitting</w:t>
      </w:r>
      <w:bookmarkEnd w:id="393"/>
    </w:p>
    <w:p w14:paraId="0F8C2EE5" w14:textId="77777777" w:rsidR="00650F8E" w:rsidRPr="00B5178A" w:rsidRDefault="00650F8E" w:rsidP="00650F8E">
      <w:pPr>
        <w:jc w:val="both"/>
      </w:pPr>
      <w:r>
        <w:t xml:space="preserve">The initial fitting of the Nyquist plots of the data using the circuit detailed in </w:t>
      </w:r>
      <w:r>
        <w:fldChar w:fldCharType="begin"/>
      </w:r>
      <w:r>
        <w:instrText xml:space="preserve"> REF _Ref41318393 \h  \* MERGEFORMAT </w:instrText>
      </w:r>
      <w:r>
        <w:fldChar w:fldCharType="separate"/>
      </w:r>
      <w:r>
        <w:t>Figure 4.30</w:t>
      </w:r>
      <w:r>
        <w:fldChar w:fldCharType="end"/>
      </w:r>
      <w:r>
        <w:t xml:space="preserve"> did not correctly fit the impedance arcs present in the data. A second low frequency arc (0.1-10 Hz) was also present in the data (</w:t>
      </w:r>
      <w:r>
        <w:fldChar w:fldCharType="begin"/>
      </w:r>
      <w:r>
        <w:instrText xml:space="preserve"> REF _Ref41490108 \h  \* MERGEFORMAT </w:instrText>
      </w:r>
      <w:r>
        <w:fldChar w:fldCharType="separate"/>
      </w:r>
      <w:r>
        <w:t>Figure 4.31</w:t>
      </w:r>
      <w:r>
        <w:fldChar w:fldCharType="end"/>
      </w:r>
      <w:r>
        <w:t xml:space="preserve">). This arc derived from the gas diffusion interaction with the electrode has been fit using two additional parallel resistor components to </w:t>
      </w:r>
      <w:r>
        <w:fldChar w:fldCharType="begin"/>
      </w:r>
      <w:r>
        <w:instrText xml:space="preserve"> REF _Ref41318393 \h  \* MERGEFORMAT </w:instrText>
      </w:r>
      <w:r>
        <w:fldChar w:fldCharType="separate"/>
      </w:r>
      <w:r>
        <w:t xml:space="preserve">Figure </w:t>
      </w:r>
      <w:r>
        <w:rPr>
          <w:noProof/>
        </w:rPr>
        <w:t>4.32</w:t>
      </w:r>
      <w:r>
        <w:fldChar w:fldCharType="end"/>
      </w:r>
      <w:r>
        <w:t xml:space="preserve"> </w:t>
      </w:r>
      <w:r>
        <w:fldChar w:fldCharType="begin" w:fldLock="1"/>
      </w:r>
      <w:r>
        <w:instrText>ADDIN CSL_CITATION {"citationItems":[{"id":"ITEM-1","itemData":{"DOI":"10.1016/j.jpowsour.2015.04.072","ISBN":"0378-7753","ISSN":"03787753","abstract":"Ni infiltration into porous YSZ scaffolds is a promising route for the construction of high performing and redox-stable Ni-YSZ anodes for application in solid oxide fuel cells (SOFCs). However, the long-term instability of this type of anode is a critical problem. Here, it is shown that an interconnected Ni film, rather than discrete Ni particles, can be formed inside a porous, pre-sintered YSZ scaffold by using a polymeric Ni-based precursor as the infiltration medium. To understand the effect of the YSZ microstructure on the long-term stability and the electrochemical performance of the resulting composites, two types of Ni-YSZ anodes were investigated. Anodes prepared by polymeric Ni infiltration into a YSZ scaffold with large grains (0.5 μm) and pores (0.5 μm and 5 μm) showed extensive agglomeration in the Ni phase, resulting in poor stability and poor activity. In contrast, Ni infiltration into YSZ scaffolds with finer particle and pore sizes (</w:instrText>
      </w:r>
      <w:r w:rsidRPr="00650F8E">
        <w:rPr>
          <w:rFonts w:ascii="Cambria Math" w:hAnsi="Cambria Math" w:cs="Cambria Math"/>
        </w:rPr>
        <w:instrText>∼</w:instrText>
      </w:r>
      <w:r>
        <w:instrText xml:space="preserve">200 nm each) produced anodes with a very small polarization resistance of ca. 0.1 </w:instrText>
      </w:r>
      <w:r w:rsidRPr="00650F8E">
        <w:rPr>
          <w:rFonts w:ascii="Calibri" w:hAnsi="Calibri" w:cs="Calibri"/>
        </w:rPr>
        <w:instrText>Ω</w:instrText>
      </w:r>
      <w:r>
        <w:instrText xml:space="preserve"> cm&lt;sup&gt;2&lt;/sup&gt; per electrode at 800 </w:instrText>
      </w:r>
      <w:r w:rsidRPr="00650F8E">
        <w:rPr>
          <w:rFonts w:ascii="Calibri" w:hAnsi="Calibri" w:cs="Calibri"/>
        </w:rPr>
        <w:instrText>°</w:instrText>
      </w:r>
      <w:r>
        <w:instrText xml:space="preserve">C. An increase of only </w:instrText>
      </w:r>
      <w:r w:rsidRPr="00650F8E">
        <w:rPr>
          <w:rFonts w:ascii="Cambria Math" w:hAnsi="Cambria Math" w:cs="Cambria Math"/>
        </w:rPr>
        <w:instrText>∼</w:instrText>
      </w:r>
      <w:r>
        <w:instrText>5% was seen in the resistance after ca. 110 h at this temperature, achieved by preventing Ni agglomeration.","author":[{"dropping-particle":"","family":"Buyukaksoy","given":"Aligul","non-dropping-particle":"","parse-names":false,"suffix":""},{"dropping-particle":"","family":"Kammampata","given":"Sanoop P.","non-dropping-particle":"","parse-names":false,"suffix":""},{"dropping-particle":"","family":"Birss","given":"Viola I.","non-dropping-particle":"","parse-names":false,"suffix":""}],"container-title":"Journal of Power Sources","id":"ITEM-1","issued":{"date-parts":[["2015"]]},"page":"349-358","title":"Effect of porous YSZ scaffold microstructure on the long-term performance of infiltrated Ni-YSZ anodes","type":"article-journal","volume":"287"},"uris":["http://www.mendeley.com/documents/?uuid=812e52dc-2e3b-4f61-823f-2cc187b99b0e"]},{"id":"ITEM-2","itemData":{"ISBN":"87-550-2605-2","author":[{"dropping-particle":"","family":"Primdahl","given":"Søren","non-dropping-particle":"","parse-names":false,"suffix":""}],"container-title":"Faculty of Chemical Technology","id":"ITEM-2","issued":{"date-parts":[["1999"]]},"number-of-pages":"203","publisher":"University of Twente","title":"Nickel/yttria-stabilised zirconia cermet anodes for solid oxide fuel cells","type":"thesis","volume":"PhD"},"uris":["http://www.mendeley.com/documents/?uuid=dc0910a8-ad0c-4b34-9332-b0a333e260f7"]},{"id":"ITEM-3","itemData":{"DOI":"10.1023/A:1003991529552","ISSN":"0021891X","abstract":"The long-term properties of Ni/yttria stabilized zirconia (YSZ) cermet anodes for solid oxide fuel cells were evaluated experimentally. A total of 13 anodes of three types based on two commercial NiO powders were examined. The durability was evaluated at temperatures of 850 °C, 1000 °C and 1050 °C over 1300 to 2000 h at an anodic d.c. load of 300 mA cm-2 in hydrogen with 1 to 3% water. The anode-related polarization resistance, RP, was measured by impedance spectroscopy and found to be in the range of 0.05 to 0.7 Ω cm2. After an initial stabilization period of up to 300 h, RP varied linearly with time within the experimental uncertainty. At 1050 °C no degradation was observed. At 1000 °C a degradation rate of 10 mΩ cm2 per 1000 h was found. The degradation rate was possibly higher at 850 °C. A single anode was exposed to nine thermal cycles from 1000 to below 100 °C at 100 °C h-1. An increase in RP of about 30 mΩ cm2 was observed over the first two cycles. For the following thermal cycles RP was stable within the experimental uncertainty.","author":[{"dropping-particle":"","family":"Primdahl","given":"S.","non-dropping-particle":"","parse-names":false,"suffix":""},{"dropping-particle":"","family":"Mogensen","given":"M.","non-dropping-particle":"","parse-names":false,"suffix":""}],"container-title":"Journal of Applied Electrochemistry","id":"ITEM-3","issue":"2","issued":{"date-parts":[["2000"]]},"page":"247-257","title":"Durability and thermal cycling of Ni/YSZ cermet anodes for solid oxide fuel cells","type":"article-journal","volume":"30"},"uris":["http://www.mendeley.com/documents/?uuid=4e5547a1-24f7-49a5-bc2a-bf1bda5cd364"]}],"mendeley":{"formattedCitation":"[314], [394], [405]","plainTextFormattedCitation":"[314], [394], [405]","previouslyFormattedCitation":"[314], [394], [405]"},"properties":{"noteIndex":0},"schema":"https://github.com/citation-style-language/schema/raw/master/csl-citation.json"}</w:instrText>
      </w:r>
      <w:r>
        <w:fldChar w:fldCharType="separate"/>
      </w:r>
      <w:r w:rsidRPr="00237E21">
        <w:rPr>
          <w:noProof/>
        </w:rPr>
        <w:t>[314], [394], [405]</w:t>
      </w:r>
      <w:r>
        <w:fldChar w:fldCharType="end"/>
      </w:r>
      <w:r>
        <w:t>. This arc has been present in all the electrochemical impedance data taken during this study. This arc is not fit well using the IF function.</w:t>
      </w:r>
    </w:p>
    <w:p w14:paraId="0088EF98" w14:textId="77777777" w:rsidR="00007F6C" w:rsidRDefault="00007F6C" w:rsidP="008C7ED1">
      <w:pPr>
        <w:keepNext/>
        <w:jc w:val="center"/>
      </w:pPr>
      <w:r>
        <w:rPr>
          <w:noProof/>
        </w:rPr>
        <w:drawing>
          <wp:inline distT="0" distB="0" distL="0" distR="0" wp14:anchorId="7362D231" wp14:editId="786CCBFE">
            <wp:extent cx="2160000" cy="549677"/>
            <wp:effectExtent l="0" t="0" r="0" b="3175"/>
            <wp:docPr id="100" name="Picture 100" descr="A close up of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C1.png"/>
                    <pic:cNvPicPr/>
                  </pic:nvPicPr>
                  <pic:blipFill rotWithShape="1">
                    <a:blip r:embed="rId116">
                      <a:extLst>
                        <a:ext uri="{28A0092B-C50C-407E-A947-70E740481C1C}">
                          <a14:useLocalDpi xmlns:a14="http://schemas.microsoft.com/office/drawing/2010/main" val="0"/>
                        </a:ext>
                      </a:extLst>
                    </a:blip>
                    <a:srcRect t="15217" b="7609"/>
                    <a:stretch/>
                  </pic:blipFill>
                  <pic:spPr bwMode="auto">
                    <a:xfrm>
                      <a:off x="0" y="0"/>
                      <a:ext cx="2160000" cy="549677"/>
                    </a:xfrm>
                    <a:prstGeom prst="rect">
                      <a:avLst/>
                    </a:prstGeom>
                    <a:ln>
                      <a:noFill/>
                    </a:ln>
                    <a:extLst>
                      <a:ext uri="{53640926-AAD7-44D8-BBD7-CCE9431645EC}">
                        <a14:shadowObscured xmlns:a14="http://schemas.microsoft.com/office/drawing/2010/main"/>
                      </a:ext>
                    </a:extLst>
                  </pic:spPr>
                </pic:pic>
              </a:graphicData>
            </a:graphic>
          </wp:inline>
        </w:drawing>
      </w:r>
    </w:p>
    <w:p w14:paraId="205C5929" w14:textId="3099550A" w:rsidR="00007F6C" w:rsidRDefault="00007F6C" w:rsidP="008C7ED1">
      <w:pPr>
        <w:pStyle w:val="Caption"/>
      </w:pPr>
      <w:bookmarkStart w:id="394" w:name="_Ref41318393"/>
      <w:bookmarkStart w:id="395" w:name="_Toc69115004"/>
      <w:r>
        <w:t>Figure 4.</w:t>
      </w:r>
      <w:r w:rsidR="00B51F53">
        <w:fldChar w:fldCharType="begin"/>
      </w:r>
      <w:r w:rsidR="00B51F53">
        <w:instrText xml:space="preserve"> SEQ Figure \* ARABIC </w:instrText>
      </w:r>
      <w:r w:rsidR="00B51F53">
        <w:fldChar w:fldCharType="separate"/>
      </w:r>
      <w:r w:rsidR="00650F8E">
        <w:rPr>
          <w:noProof/>
        </w:rPr>
        <w:t>30</w:t>
      </w:r>
      <w:r w:rsidR="00B51F53">
        <w:rPr>
          <w:noProof/>
        </w:rPr>
        <w:fldChar w:fldCharType="end"/>
      </w:r>
      <w:bookmarkEnd w:id="394"/>
      <w:r>
        <w:t xml:space="preserve">: Equivalent circuit used for the first fitting of the EIS data for the infiltrated Ni-YSZ symmetric cells utilising a resistor Rs and an RQ component </w:t>
      </w:r>
      <w:r>
        <w:fldChar w:fldCharType="begin" w:fldLock="1"/>
      </w:r>
      <w:r w:rsidR="00D80A5D">
        <w:instrText>ADDIN CSL_CITATION {"citationItems":[{"id":"ITEM-1","itemData":{"ISBN":"9036513375","abstract":"This thesis deals with the porous Ni/yttria-stabilized zirconia (YSZ) cermet anode on a YSZ electrolyte for solid oxide fuel cells (SOFC). Such anodes are predominantly operated in moist hydrogen at 700C to 1000C, and the most important technological parameters are the polarization resistance and the long-term stability. The polarization resistance can be measured by a number of techniques, in the present work impedance spectroscopy has been used extensively. By impedance spectroscopy limiting processes in the anode polarization resistance may often be separated and characterized individually, provided they have a reasonable separation in time constants. Three limiting processes are recognized in impedance spectra obtained on technological Ni/YSZ cermet anodes characterized against a stable reference electrode atmosphere. By parameter studies and illustrative experiments, the two contributions at low and medium frequency have been identified as gas conversion and diffusion limitations, respectively. Both of these effects are concentration limitations relating to the inefficient exchange of fuel gas in the test setup outside the porous cermet. A test setup geometry where these concentration effects are avoided for high-performance electrodes is recommended. The high frequency limitation is demonstrated to relate to the cermet structure. The dependence on gas composition, temperature, adsorbed species (sulfur), isotopes (H/D), sintering temperature and cermet thickness is investigated. Despite these studies and several similar studies by others, the exact chemical or physical nature of the limiting step has not been incontestably identified. However, there is a general consensus in literature about the hydrogen oxidation process taking place on or near to the triple phase boundary (TPB) line, where open gas-filled pores, the continuous electrolyte phase (oxide ion conductor) and the continuous Ni phase (electronic conductor) meet. The physical thickness of a cermet anode that contains active TPB sites contributing to the current density of an SOFC is demonstrated to be about 10 µm. This result has technological importance, as any overlying structure serves primarily as a current collector and needs not be optimized for transport of oxide ions. The anode durability is investigated over 1300 to 1900 hrs at 300 mA/cm2 and shown to be stable at 1050C. At 1000C a degradation rate of about 10 mΩcm2 /1000 hrs is observed, and at 850C a degradation rate of about …","author":[{"dropping-particle":"","family":"Primdahl Søren","given":"","non-dropping-particle":"","parse-names":false,"suffix":""}],"container-title":"Technical University of Denmark","id":"ITEM-1","issued":{"date-parts":[["1999"]]},"number-of-pages":"203","publisher":"University of Twente","title":"Nickel/yttria-stabilised zirconia cermet anodes for solid oxide fuel cells","type":"thesis","volume":"PhD"},"uris":["http://www.mendeley.com/documents/?uuid=0fe024e0-9cb0-4090-a4ab-f51c03e5a594"]},{"id":"ITEM-2","itemData":{"DOI":"10.1023/A:1003991529552","ISBN":"0021891X (ISSN)","abstract":"The long-term properties of Ni/yttria stabilized zirconia (YSZ) cermet anodes for solid oxide fuel cells were evaluated experimentally. A total of 13 anodes of three types based on two commercial NiO powders were examined. The durability was evaluated at temperatures of 850 °C, 1000 °C and 1050 °C over 1300 to 2000 h at an anodic d.c. load of 300 mA cm-2 in hydrogen with 1 to 3% water. The anode-related polarization resistance, RP, was measured by impedance spectroscopy and found to be in the range of 0.05 to 0.7 Ω cm2. After an initial stabilization period of up to 300 h, RP varied linearly with time within the experimental uncertainty. At 1050 °C no degradation was observed. At 1000 °C a degradation rate of 10 mΩ cm2 per 1000 h was found. The degradation rate was possibly higher at 850 °C. A single anode was exposed to nine thermal cycles from 1000 to below 100 °C at 100 °C h-1. An increase in RP of about 30 mΩ cm2 was observed over the first two cycles. For the following thermal cycles RP was stable within the experimental uncertainty.","author":[{"dropping-particle":"","family":"Primdahl","given":"S","non-dropping-particle":"","parse-names":false,"suffix":""},{"dropping-particle":"","family":"Mogensen","given":"M","non-dropping-particle":"","parse-names":false,"suffix":""}],"container-title":"Journal of Applied Electrochemistry","id":"ITEM-2","issue":"2","issued":{"date-parts":[["2000"]]},"language":"English","note":"Cited By :40\nExport Date: 11 October 2016\nCODEN: JAELB\nCorrespondence Address: Primdahl, S.; Riso Natl Lab, Roskilde, Denmark\nReferences: Ippommatsu, M., Sasaki, H., Otoshi, S., (1996) Int. J. Hydrogen Energy, 21, p. 129; Bagger, C., Christiansen, N., Hendriksen, P.V., Jensen, E.J., Larsen, S.S., Mogensen, M., High Temperature Electrochemistry: Ceramics and Metals (1996) 17th Risø International Symposium on Materials Science, p. 167. , F.W. Poulsen, N. Bonanos, S. Linderoth, M. Mogensen and B. Zachau-Chistiansen (Eds); Badwal, S.P.S., Foger, K., (1997) Materials Forum, 21, p. 187; Winkler, J., Hendriksen, P.V., Bonanos, N., Mogensen, M., (1998) J. Electrochem. Soc., 145, p. 1184; Mizusaki, J., Tagawa, H., Saito, T., Kamitani, K., Yamamura, T., Hirano, K., Ehara, S., Hashimoto, K., (1994) J. Electrochem. Soc., 141, p. 2129; Norby, T., Osborg, P.A., Ræder, H., (1994) Proceedings of the 'First European Solid Oxide Fuel Cell Forum', p. 671. , U. Bossel (Ed.), European SOFC Forum, Oberrohrdorf, CH; Mogensen, M., Skaarup, S., (1996) Solid State Ionics, 86-88, p. 1151; Murphy, M.M., Van Herle, J., McEvoy, A.J., Thampi, K.R., (1994) J. Electrochem. Soc., 141, pp. L94; Brown, M., Primdahl, S., Mogensen, M., J. Electrochem. Soc., , submitted; Sakamoto, S., Taria, H., Takagi, H., (1996) Denki Kagaku, 64, p. 609; Badwal, S.P.S., (1992) Solid State Ionics, 52, p. 23; Singhal, S.C., The Electrochemical Society Proceedings Series (1997) Solid Oxide Fuel Cells, 97 PV (40), p. 37. , U. Stimming, S.C. Singhal, H. Tagawa W. Lehnert (Eds), Pennington, NJ; Beie, H.J., Blum, L., Drenckhahn, W., Greiner, H., Schisschl, H., (1998) Proceedings of the 'Third European Solid Fuel Cell Forum', p. 3. , P. Stevens (Ed.), European SOFC Forum, Oberrohrdorf, CH; Schäfer, W., Geier, H., Lindemann, G., Stolten, D., High Temperature Electrochemical Behaviour of Fast Ion and Mixed Conductors (1993) 14th Risø International Symposium on Materials Science, p. 409. , F.W. Poulsen, J.J. Bentzen, T. Jacobsen, E. Skou and M.J.L. Østergård, (Eds.), Roskilde DK; Middleton, P.H., Seiersten, M.E., Steele, B.C.H., The Electrochemical Society Proceedings Series (1989) Solid Oxide Fuel Cells, 89 PV (11), p. 90. , S.C. Singhal, (Ed.), Pennington, NJ; Kinderman, L., Poulsen, F.W., Bagger, C., (1998) Proceedings of the 'Third European Solid Oxide Fuel Cell Forum', p. 133. , P. Stevens, (Ed.), Poster section, European SOFC Forum, Oberrohrdorf, CH; Fukui, T., Ohara, S., Mukai, K., (1998) Electrochem. Solid-State Lett., 1, p. 120; Iwata, T., (1996) J. Electrochem. Soc., 143, p. 1521; Khandkar, A.C., Elangovan, S., Liu, M., Timper, M., (1991) High Temperature Electrode Materials and Characterization, 91 PV (6), p. 175. , D.D. Macdonald and A.C. Khandkar, (Eds.), The Electrochemical Society, Pennington, NJ; Bagger, C., (1992) 1992 Fuel Cell Seminar, p. 241. , Courtesy Associates, Inc. Washington, DC; Hartung, R., Möbius, H.-H., (1968) Chemie-Ing. Techn., 40, p. 592; Boukamp, B.A., (1986) Solid State Ionics, 20, p. 31; Primdahl, S., Mogensen, M., (1997) J. Electrochem. Soc., 144, p. 3409; Primdahl, S., Mogensen, M., (1998) J. Electrochem. Soc., 145, p. 2431; Primdahl, S., Mogensen, M., (1999) J. Electrochem. Soc., 146, p. 2827; Primdahl, S., Mogensen, M., , p. 530. , 12Mohamedi-Boulenouar, F.Z., Guindet, J., Hammou, A., , p. 441. , 12Primdahl, S., Sørensen, B.F., Mogensen, M., J. Am. Ceram. Soc., , accepted; Jørgensen, M.J., Primdahl, S., Mogensen, M., (1999) Electrochim. Acta, 44, p. 4195; Gubner, A., Landes, H., Metzger, J., Seeg, H., Stübner, R., , p. 844. , 12Appel, C.C., Bonanos, N., Horsewell, A., Linderoth, S., in preparationUR - https://www.scopus.com/inward/record.uri?eid=2-s2.0-0033896708&amp;amp;partnerID=40&amp;amp;md5=0dc5f67c06ceb5ce61e9d381d0542e72","page":"247-257","publisher":"Kluwer Academic Publishers","publisher-place":"Dordrecht, Netherlands","title":"Durability and thermal cycling of Ni/YSZ cermet anodes for solid oxide fuel cells","type":"article-journal","volume":"30"},"uris":["http://www.mendeley.com/documents/?uuid=11c8adef-ec2d-42e2-9f44-159250db8470"]},{"id":"ITEM-3","itemData":{"DOI":"10.1149/05701.1627ecst","ISBN":"19385862 (ISSN)","abstract":"A range of Ni-containing solutions have been infiltrated into a symmetrical tubular half-cell composed of a slip-casted, porous yttria-stabilized zirconia (YSZ) anode support, Ni-YSZ functional layers, a YSZ electrolyte, and a second, outer porous YSZ anode support layer, aiming at the development of high performance anodes that are tolerant to redox-cycling. A combination of surface wettability experiments and optical and electron microscopy imaging has been used to determine how well these solutions penetrate the porous YSZ matrix, then correlating these results with the electrochemical performance in humidified H2 environments at 800 oC. It is shown that the addition of the Triton-X-100 surfactant to the infiltration solution results in excellent penetration of the YSZ matrix, while the use of urea as a Ni complexing agent does not give good wettability, thus leaving a Ni-rich layer on the outer anode surface. Overall, the use of a two-step process, involving several infiltrations with Ni nitrate soluzions containing Triton-X-100, followed by several infiltrations with urea-containing solutions, leads to the best cell performance as well as the best Ni distribution inside the anode layers. © The Electrochemical Society.","author":[{"dropping-particle":"","family":"Keyvanfar","given":"P","non-dropping-particle":"","parse-names":false,"suffix":""},{"dropping-particle":"","family":"Birss","given":"V","non-dropping-particle":"","parse-names":false,"suffix":""}],"container-title":"ECS Transactions","edition":"1","id":"ITEM-3","issued":{"date-parts":[["2013"]]},"language":"English","note":"Cited By :3\nExport Date: 20 January 2017\nReferences: Sarantaridis, D., Atkins, A., (2007) FUEL CELLS, 7, p. 246; Sholklapper, T.Z., Lu, C., Jacobsona, C.P., Viscoa, S.J., Jonghe De, L.C., (2006) Electrochem Solid-State Lett., 9, pp. A376; Buyukaksoy, A., Petrovsky, V., Dogan, F., (2012) J. Electrochem. Soc., 159, pp. B666; Sholklapper, T.Z., Radmilovic, V., Jacobson, C.P., Visco, S.J., De Jonghe, L.C., (2007) Electrochem Solid-State Lett., 10, pp. B74; Bidrawn, F., Kima, G., Aramrueang, N., Vohs, J.M., Gorte, R.J., (2010) J. Power Sources, 195, p. 720; Yamahara, K., Jacobson, C.P., Visco, S.J., Feng Zhang, X., De Jonghe, L.C., (2005) Solid State Ionics, 176, p. 275; Jung, S.N., Lu, C., He, H., Ahn, K., Gorte, R.J., Vohs, J.M., (2006) J. Power Sources, 154, p. 42; Lee, S., Kima, G., Vohs, J.M., Gorte, R.J., (2008) J. Electrochem. Soc., 155, pp. B1179; Huang, Y., Vohs, J.M., Gorte, R.J., (2006) Electrochem Solid-State Lett., 9, pp. A237; Tucker, M.C., Lau, G.Y., Jacobson, C.P., Dejonghe, L.C., Visco, S.J., (2007) J. Power Sources, 171, p. 477; Klemensø, T., Thydén, K., Chen, M., Wang, H.J., (2010) J. Power Sources, 195, p. 7295; Li, W., Lü, Z., Zhu, X., Guan, B., Wei, B., Guan, C., Su, W., (2011) Electrochimica Acta, 56, p. 2230; Nicholas, J.D., Barnett, S.A., (2010) J. Electrochem. Soc., 157, pp. B536; Hanifi, A.R., Shinbine, A., Etsell, T.H., Sarkar, P., (2012) Int. J. Appl. Ceram. Technol., 9, p. 1011; Kilbride, I.P., (1996) Journal of Power Sources, 61, p. 167; Conga, L., Hea, T., Jia, Y., Guana, P., Huanga, Y., Su, W., (2003) J. Alloys Compd., 348, p. 325; Primdahl, S., Mogensen, M., (1998) J. Electrochem. Soc., 145, p. 2431; Primdahl, S., Mogensen, M., (1999) J. Electrochem. Soc., 146, p. 2827; Jiang, S.P., Badwal, S.P.S., (1999) Solid State Ionics, 123, p. 209; Sonn, V., Leonide, A., Ivers-Tiffée, E., (2008) J. Electrochem. Soc., 155, pp. B675","page":"1627-1638","publisher":"Electrochemical Society Inc.","title":"Optimization of infiltration techniques used to construct Ni/YSZ anodes","type":"paper-conference","volume":"57"},"uris":["http://www.mendeley.com/documents/?uuid=5f2f8be1-dd3d-4a6a-8666-4285a4f9f54a"]},{"id":"ITEM-4","itemData":{"DOI":"10.1016/j.jpowsour.2015.04.072","ISSN":"03787753","abstract":"Ni infiltration into porous YSZ scaffolds is a promising route for the construction of high performing and redox-stable Ni-YSZ anodes for application in solid oxide fuel cells (SOFCs). However, the long-term instability of this type of anode is a critical problem. Here, it is shown that an interconnected Ni film, rather than discrete Ni particles, can be formed inside a porous, pre-sintered YSZ scaffold by using a polymeric Ni-based precursor as the infiltration medium. To understand the effect of the YSZ microstructure on the long-term stability and the electrochemical performance of the resulting composites, two types of Ni-YSZ anodes were investigated. Anodes prepared by polymeric Ni infiltration into a YSZ scaffold with large grains (0.5 μm) and pores (0.5 μm and 5 μm) showed extensive agglomeration in the Ni phase, resulting in poor stability and poor activity. In contrast, Ni infiltration into YSZ scaffolds with finer particle and pore sizes (</w:instrText>
      </w:r>
      <w:r w:rsidR="00D80A5D">
        <w:rPr>
          <w:rFonts w:ascii="Cambria Math" w:hAnsi="Cambria Math" w:cs="Cambria Math"/>
        </w:rPr>
        <w:instrText>∼</w:instrText>
      </w:r>
      <w:r w:rsidR="00D80A5D">
        <w:instrText xml:space="preserve">200 nm each) produced anodes with a very small polarization resistance of ca. 0.1 </w:instrText>
      </w:r>
      <w:r w:rsidR="00D80A5D">
        <w:rPr>
          <w:rFonts w:ascii="Calibri" w:hAnsi="Calibri" w:cs="Calibri"/>
        </w:rPr>
        <w:instrText>Ω</w:instrText>
      </w:r>
      <w:r w:rsidR="00D80A5D">
        <w:instrText xml:space="preserve"> cm&lt;sup&gt;2&lt;/sup&gt; per electrode at 800 </w:instrText>
      </w:r>
      <w:r w:rsidR="00D80A5D">
        <w:rPr>
          <w:rFonts w:ascii="Calibri" w:hAnsi="Calibri" w:cs="Calibri"/>
        </w:rPr>
        <w:instrText>°</w:instrText>
      </w:r>
      <w:r w:rsidR="00D80A5D">
        <w:instrText xml:space="preserve">C. An increase of only </w:instrText>
      </w:r>
      <w:r w:rsidR="00D80A5D">
        <w:rPr>
          <w:rFonts w:ascii="Cambria Math" w:hAnsi="Cambria Math" w:cs="Cambria Math"/>
        </w:rPr>
        <w:instrText>∼</w:instrText>
      </w:r>
      <w:r w:rsidR="00D80A5D">
        <w:instrText>5% was seen in the resistance after ca. 110 h at this temperature, achieved by preventing Ni agglomeration.","author":[{"dropping-particle":"","family":"Buyukaksoy","given":"Aligul","non-dropping-particle":"","parse-names":false,"suffix":""},{"dropping-particle":"","family":"Kammampata","given":"Sanoop P.","non-dropping-particle":"","parse-names":false,"suffix":""},{"dropping-particle":"","family":"Birss","given":"Viola I.","non-dropping-particle":"","parse-names":false,"suffix":""}],"container-title":"Journal of Power Sources","id":"ITEM-4","issued":{"date-parts":[["2015"]]},"page":"349-358","publisher":"Elsevier B.V","title":"Effect of porous YSZ scaffold microstructure on the long-term performance of infiltrated Ni-YSZ anodes","type":"article-journal","volume":"287"},"uris":["http://www.mendeley.com/documents/?uuid=bf3a7d3f-cd78-42db-a93a-ee5fbe68d623"]}],"mendeley":{"formattedCitation":"[130], [131], [233], [354]","plainTextFormattedCitation":"[130], [131], [233], [354]","previouslyFormattedCitation":"[130], [131], [233], [354]"},"properties":{"noteIndex":0},"schema":"https://github.com/citation-style-language/schema/raw/master/csl-citation.json"}</w:instrText>
      </w:r>
      <w:r>
        <w:fldChar w:fldCharType="separate"/>
      </w:r>
      <w:r w:rsidR="006C586A" w:rsidRPr="006C586A">
        <w:rPr>
          <w:i w:val="0"/>
          <w:noProof/>
        </w:rPr>
        <w:t>[130], [131], [233], [354]</w:t>
      </w:r>
      <w:bookmarkEnd w:id="395"/>
      <w:r>
        <w:fldChar w:fldCharType="end"/>
      </w:r>
    </w:p>
    <w:p w14:paraId="3D8D4C68" w14:textId="77777777" w:rsidR="00007F6C" w:rsidRDefault="00007F6C" w:rsidP="008C7ED1">
      <w:pPr>
        <w:keepNext/>
        <w:jc w:val="center"/>
      </w:pPr>
      <w:r>
        <w:rPr>
          <w:noProof/>
        </w:rPr>
        <w:drawing>
          <wp:inline distT="0" distB="0" distL="0" distR="0" wp14:anchorId="326F6EB2" wp14:editId="13BC4380">
            <wp:extent cx="2160000" cy="1667814"/>
            <wp:effectExtent l="0" t="0" r="0" b="8890"/>
            <wp:docPr id="101" name="Picture 10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1R2 picture.png"/>
                    <pic:cNvPicPr/>
                  </pic:nvPicPr>
                  <pic:blipFill rotWithShape="1">
                    <a:blip r:embed="rId117" cstate="print">
                      <a:extLst>
                        <a:ext uri="{28A0092B-C50C-407E-A947-70E740481C1C}">
                          <a14:useLocalDpi xmlns:a14="http://schemas.microsoft.com/office/drawing/2010/main" val="0"/>
                        </a:ext>
                      </a:extLst>
                    </a:blip>
                    <a:srcRect t="4894"/>
                    <a:stretch/>
                  </pic:blipFill>
                  <pic:spPr bwMode="auto">
                    <a:xfrm>
                      <a:off x="0" y="0"/>
                      <a:ext cx="2160000" cy="1667814"/>
                    </a:xfrm>
                    <a:prstGeom prst="rect">
                      <a:avLst/>
                    </a:prstGeom>
                    <a:ln>
                      <a:noFill/>
                    </a:ln>
                    <a:extLst>
                      <a:ext uri="{53640926-AAD7-44D8-BBD7-CCE9431645EC}">
                        <a14:shadowObscured xmlns:a14="http://schemas.microsoft.com/office/drawing/2010/main"/>
                      </a:ext>
                    </a:extLst>
                  </pic:spPr>
                </pic:pic>
              </a:graphicData>
            </a:graphic>
          </wp:inline>
        </w:drawing>
      </w:r>
    </w:p>
    <w:p w14:paraId="70B8FB3F" w14:textId="66E7656D" w:rsidR="00007F6C" w:rsidRDefault="00007F6C" w:rsidP="008C7ED1">
      <w:pPr>
        <w:pStyle w:val="Caption"/>
      </w:pPr>
      <w:bookmarkStart w:id="396" w:name="_Ref41490108"/>
      <w:bookmarkStart w:id="397" w:name="_Toc69115005"/>
      <w:r>
        <w:t>Figure 4.</w:t>
      </w:r>
      <w:r w:rsidR="00B51F53">
        <w:fldChar w:fldCharType="begin"/>
      </w:r>
      <w:r w:rsidR="00B51F53">
        <w:instrText xml:space="preserve"> SEQ Figure \* ARABIC </w:instrText>
      </w:r>
      <w:r w:rsidR="00B51F53">
        <w:fldChar w:fldCharType="separate"/>
      </w:r>
      <w:r w:rsidR="00650F8E">
        <w:rPr>
          <w:noProof/>
        </w:rPr>
        <w:t>31</w:t>
      </w:r>
      <w:r w:rsidR="00B51F53">
        <w:rPr>
          <w:noProof/>
        </w:rPr>
        <w:fldChar w:fldCharType="end"/>
      </w:r>
      <w:bookmarkEnd w:id="396"/>
      <w:r>
        <w:t xml:space="preserve">: Nyquist plot of the ND AC samples (50h aged). The instant fitting (green) can be seen in the data using </w:t>
      </w:r>
      <w:r>
        <w:fldChar w:fldCharType="begin"/>
      </w:r>
      <w:r>
        <w:instrText xml:space="preserve"> REF _Ref41318393 \h </w:instrText>
      </w:r>
      <w:r>
        <w:fldChar w:fldCharType="separate"/>
      </w:r>
      <w:r>
        <w:t>Figure 4.</w:t>
      </w:r>
      <w:r>
        <w:rPr>
          <w:noProof/>
        </w:rPr>
        <w:t>32</w:t>
      </w:r>
      <w:r>
        <w:fldChar w:fldCharType="end"/>
      </w:r>
      <w:r>
        <w:t>.</w:t>
      </w:r>
      <w:bookmarkEnd w:id="397"/>
    </w:p>
    <w:p w14:paraId="038B90BC" w14:textId="0A8E5765" w:rsidR="00007F6C" w:rsidRDefault="00007F6C" w:rsidP="008C7ED1">
      <w:pPr>
        <w:jc w:val="both"/>
      </w:pPr>
      <w:r>
        <w:lastRenderedPageBreak/>
        <w:t>The polarisation resistance R</w:t>
      </w:r>
      <w:r w:rsidRPr="00475638">
        <w:rPr>
          <w:vertAlign w:val="subscript"/>
        </w:rPr>
        <w:t>P</w:t>
      </w:r>
      <w:r>
        <w:t xml:space="preserve"> in the electrode is a combination of both arcs R</w:t>
      </w:r>
      <w:r w:rsidRPr="00190457">
        <w:rPr>
          <w:vertAlign w:val="subscript"/>
        </w:rPr>
        <w:t>P</w:t>
      </w:r>
      <w:r>
        <w:t xml:space="preserve"> = R</w:t>
      </w:r>
      <w:r w:rsidRPr="00190457">
        <w:rPr>
          <w:vertAlign w:val="subscript"/>
        </w:rPr>
        <w:t>1</w:t>
      </w:r>
      <w:r>
        <w:t>+R</w:t>
      </w:r>
      <w:r w:rsidRPr="00190457">
        <w:rPr>
          <w:vertAlign w:val="subscript"/>
        </w:rPr>
        <w:t>2</w:t>
      </w:r>
      <w:r>
        <w:t xml:space="preserve">. Iterations of the equivalent circuit fit were done utilising an additional RQ then an RC component </w:t>
      </w:r>
      <w:r>
        <w:fldChar w:fldCharType="begin" w:fldLock="1"/>
      </w:r>
      <w:r w:rsidR="008B6E91">
        <w:instrText>ADDIN CSL_CITATION {"citationItems":[{"id":"ITEM-1","itemData":{"DOI":"10.1016/j.jpowsour.2015.04.072","ISBN":"0378-7753","ISSN":"03787753","abstract":"Ni infiltration into porous YSZ scaffolds is a promising route for the construction of high performing and redox-stable Ni-YSZ anodes for application in solid oxide fuel cells (SOFCs). However, the long-term instability of this type of anode is a critical problem. Here, it is shown that an interconnected Ni film, rather than discrete Ni particles, can be formed inside a porous, pre-sintered YSZ scaffold by using a polymeric Ni-based precursor as the infiltration medium. To understand the effect of the YSZ microstructure on the long-term stability and the electrochemical performance of the resulting composites, two types of Ni-YSZ anodes were investigated. Anodes prepared by polymeric Ni infiltration into a YSZ scaffold with large grains (0.5 μm) and pores (0.5 μm and 5 μm) showed extensive agglomeration in the Ni phase, resulting in poor stability and poor activity. In contrast, Ni infiltration into YSZ scaffolds with finer particle and pore sizes (</w:instrText>
      </w:r>
      <w:r w:rsidR="008B6E91">
        <w:rPr>
          <w:rFonts w:ascii="Cambria Math" w:hAnsi="Cambria Math" w:cs="Cambria Math"/>
        </w:rPr>
        <w:instrText>∼</w:instrText>
      </w:r>
      <w:r w:rsidR="008B6E91">
        <w:instrText xml:space="preserve">200 nm each) produced anodes with a very small polarization resistance of ca. 0.1 </w:instrText>
      </w:r>
      <w:r w:rsidR="008B6E91">
        <w:rPr>
          <w:rFonts w:ascii="Calibri" w:hAnsi="Calibri" w:cs="Calibri"/>
        </w:rPr>
        <w:instrText>Ω</w:instrText>
      </w:r>
      <w:r w:rsidR="008B6E91">
        <w:instrText xml:space="preserve"> cm&lt;sup&gt;2&lt;/sup&gt; per electrode at 800 °C. An increase of only </w:instrText>
      </w:r>
      <w:r w:rsidR="008B6E91">
        <w:rPr>
          <w:rFonts w:ascii="Cambria Math" w:hAnsi="Cambria Math" w:cs="Cambria Math"/>
        </w:rPr>
        <w:instrText>∼</w:instrText>
      </w:r>
      <w:r w:rsidR="008B6E91">
        <w:instrText>5% was seen in the resistance after ca. 110 h at this temperature, achieved by preventing Ni agglomeration.","author":[{"dropping-particle":"","family":"Buyukaksoy","given":"Aligul","non-dropping-particle":"","parse-names":false,"suffix":""},{"dropping-particle":"","family":"Kammampata","given":"Sanoop P.","non-dropping-particle":"","parse-names":false,"suffix":""},{"dropping-particle":"","family":"Birss","given":"Viola I.","non-dropping-particle":"","parse-names":false,"suffix":""}],"container-title":"Journal of Power Sources","id":"ITEM-1","issued":{"date-parts":[["2015"]]},"page":"349-358","title":"Effect of porous YSZ scaffold microstructure on the long-term performance of infiltrated Ni-YSZ anodes","type":"article-journal","volume":"287"},"uris":["http://www.mendeley.com/documents/?uuid=812e52dc-2e3b-4f61-823f-2cc187b99b0e"]},{"id":"ITEM-2","itemData":{"ISBN":"87-550-2605-2","author":[{"dropping-particle":"","family":"Primdahl","given":"Søren","non-dropping-particle":"","parse-names":false,"suffix":""}],"container-title":"Faculty of Chemical Technology","id":"ITEM-2","issued":{"date-parts":[["1999"]]},"number-of-pages":"203","publisher":"University of Twente","title":"Nickel/yttria-stabilised zirconia cermet anodes for solid oxide fuel cells","type":"thesis","volume":"PhD"},"uris":["http://www.mendeley.com/documents/?uuid=dc0910a8-ad0c-4b34-9332-b0a333e260f7"]},{"id":"ITEM-3","itemData":{"DOI":"10.1023/A:1003991529552","ISSN":"0021891X","abstract":"The long-term properties of Ni/yttria stabilized zirconia (YSZ) cermet anodes for solid oxide fuel cells were evaluated experimentally. A total of 13 anodes of three types based on two commercial NiO powders were examined. The durability was evaluated at temperatures of 850 °C, 1000 °C and 1050 °C over 1300 to 2000 h at an anodic d.c. load of 300 mA cm-2 in hydrogen with 1 to 3% water. The anode-related polarization resistance, RP, was measured by impedance spectroscopy and found to be in the range of 0.05 to 0.7 Ω cm2. After an initial stabilization period of up to 300 h, RP varied linearly with time within the experimental uncertainty. At 1050 °C no degradation was observed. At 1000 °C a degradation rate of 10 mΩ cm2 per 1000 h was found. The degradation rate was possibly higher at 850 °C. A single anode was exposed to nine thermal cycles from 1000 to below 100 °C at 100 °C h-1. An increase in RP of about 30 mΩ cm2 was observed over the first two cycles. For the following thermal cycles RP was stable within the experimental uncertainty.","author":[{"dropping-particle":"","family":"Primdahl","given":"S.","non-dropping-particle":"","parse-names":false,"suffix":""},{"dropping-particle":"","family":"Mogensen","given":"M.","non-dropping-particle":"","parse-names":false,"suffix":""}],"container-title":"Journal of Applied Electrochemistry","id":"ITEM-3","issue":"2","issued":{"date-parts":[["2000"]]},"page":"247-257","title":"Durability and thermal cycling of Ni/YSZ cermet anodes for solid oxide fuel cells","type":"article-journal","volume":"30"},"uris":["http://www.mendeley.com/documents/?uuid=4e5547a1-24f7-49a5-bc2a-bf1bda5cd364"]}],"mendeley":{"formattedCitation":"[314], [394], [405]","plainTextFormattedCitation":"[314], [394], [405]","previouslyFormattedCitation":"[314], [394], [405]"},"properties":{"noteIndex":0},"schema":"https://github.com/citation-style-language/schema/raw/master/csl-citation.json"}</w:instrText>
      </w:r>
      <w:r>
        <w:fldChar w:fldCharType="separate"/>
      </w:r>
      <w:r w:rsidR="00237E21" w:rsidRPr="00237E21">
        <w:rPr>
          <w:noProof/>
        </w:rPr>
        <w:t>[314], [394], [405]</w:t>
      </w:r>
      <w:r>
        <w:fldChar w:fldCharType="end"/>
      </w:r>
      <w:r>
        <w:t>.</w:t>
      </w:r>
    </w:p>
    <w:p w14:paraId="1C3C1EB1" w14:textId="77777777" w:rsidR="00007F6C" w:rsidRDefault="00007F6C" w:rsidP="008C7ED1">
      <w:pPr>
        <w:keepNext/>
        <w:jc w:val="center"/>
      </w:pPr>
      <w:r>
        <w:rPr>
          <w:noProof/>
        </w:rPr>
        <w:drawing>
          <wp:inline distT="0" distB="0" distL="0" distR="0" wp14:anchorId="42EB76E0" wp14:editId="0F4C34A3">
            <wp:extent cx="2731970" cy="550800"/>
            <wp:effectExtent l="0" t="0" r="0" b="190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32905" t="27180" r="46488" b="65432"/>
                    <a:stretch/>
                  </pic:blipFill>
                  <pic:spPr bwMode="auto">
                    <a:xfrm>
                      <a:off x="0" y="0"/>
                      <a:ext cx="2731970" cy="550800"/>
                    </a:xfrm>
                    <a:prstGeom prst="rect">
                      <a:avLst/>
                    </a:prstGeom>
                    <a:ln>
                      <a:noFill/>
                    </a:ln>
                    <a:extLst>
                      <a:ext uri="{53640926-AAD7-44D8-BBD7-CCE9431645EC}">
                        <a14:shadowObscured xmlns:a14="http://schemas.microsoft.com/office/drawing/2010/main"/>
                      </a:ext>
                    </a:extLst>
                  </pic:spPr>
                </pic:pic>
              </a:graphicData>
            </a:graphic>
          </wp:inline>
        </w:drawing>
      </w:r>
    </w:p>
    <w:p w14:paraId="49722E16" w14:textId="50A3F77D" w:rsidR="00007F6C" w:rsidRDefault="00007F6C" w:rsidP="008C7ED1">
      <w:pPr>
        <w:pStyle w:val="Caption"/>
      </w:pPr>
      <w:bookmarkStart w:id="398" w:name="_Ref41557886"/>
      <w:bookmarkStart w:id="399" w:name="_Toc69115006"/>
      <w:r>
        <w:t>Figure 4.</w:t>
      </w:r>
      <w:r w:rsidR="00B51F53">
        <w:fldChar w:fldCharType="begin"/>
      </w:r>
      <w:r w:rsidR="00B51F53">
        <w:instrText xml:space="preserve"> SEQ Figure \* ARABIC </w:instrText>
      </w:r>
      <w:r w:rsidR="00B51F53">
        <w:fldChar w:fldCharType="separate"/>
      </w:r>
      <w:r w:rsidR="00650F8E">
        <w:rPr>
          <w:noProof/>
        </w:rPr>
        <w:t>32</w:t>
      </w:r>
      <w:r w:rsidR="00B51F53">
        <w:rPr>
          <w:noProof/>
        </w:rPr>
        <w:fldChar w:fldCharType="end"/>
      </w:r>
      <w:bookmarkEnd w:id="398"/>
      <w:r>
        <w:t xml:space="preserve">: : Equivalent circuit used for the first fitting of the EIS data for the infiltrated Ni-YSZ symmetric cells </w:t>
      </w:r>
      <w:r>
        <w:fldChar w:fldCharType="begin" w:fldLock="1"/>
      </w:r>
      <w:r w:rsidR="008B6E91">
        <w:instrText>ADDIN CSL_CITATION {"citationItems":[{"id":"ITEM-1","itemData":{"ISBN":"87-550-2605-2","author":[{"dropping-particle":"","family":"Primdahl","given":"Søren","non-dropping-particle":"","parse-names":false,"suffix":""}],"container-title":"Faculty of Chemical Technology","id":"ITEM-1","issued":{"date-parts":[["1999"]]},"number-of-pages":"203","publisher":"University of Twente","title":"Nickel/yttria-stabilised zirconia cermet anodes for solid oxide fuel cells","type":"thesis","volume":"PhD"},"uris":["http://www.mendeley.com/documents/?uuid=dc0910a8-ad0c-4b34-9332-b0a333e260f7"]}],"mendeley":{"formattedCitation":"[405]","plainTextFormattedCitation":"[405]","previouslyFormattedCitation":"[405]"},"properties":{"noteIndex":0},"schema":"https://github.com/citation-style-language/schema/raw/master/csl-citation.json"}</w:instrText>
      </w:r>
      <w:r>
        <w:fldChar w:fldCharType="separate"/>
      </w:r>
      <w:r w:rsidR="00237E21" w:rsidRPr="00237E21">
        <w:rPr>
          <w:i w:val="0"/>
          <w:noProof/>
        </w:rPr>
        <w:t>[405]</w:t>
      </w:r>
      <w:bookmarkEnd w:id="399"/>
      <w:r>
        <w:fldChar w:fldCharType="end"/>
      </w:r>
    </w:p>
    <w:p w14:paraId="3C5EEE44" w14:textId="77777777" w:rsidR="00007F6C" w:rsidRDefault="00007F6C" w:rsidP="008C7ED1">
      <w:pPr>
        <w:jc w:val="both"/>
      </w:pPr>
      <w:r>
        <w:t>The error for the R</w:t>
      </w:r>
      <w:r>
        <w:rPr>
          <w:vertAlign w:val="subscript"/>
        </w:rPr>
        <w:t>1</w:t>
      </w:r>
      <w:r>
        <w:t xml:space="preserve"> arc was minimised in the EC fitting to less than 1 %. In contrast, the percentage error in R</w:t>
      </w:r>
      <w:r w:rsidRPr="00F8222E">
        <w:rPr>
          <w:vertAlign w:val="subscript"/>
        </w:rPr>
        <w:t>2</w:t>
      </w:r>
      <w:r>
        <w:t xml:space="preserve"> was consistently larger than 10 % for all the samples. However, due to the difference in magnitude between R</w:t>
      </w:r>
      <w:r w:rsidRPr="00F8222E">
        <w:rPr>
          <w:vertAlign w:val="subscript"/>
        </w:rPr>
        <w:t>1</w:t>
      </w:r>
      <w:r>
        <w:t xml:space="preserve"> and R</w:t>
      </w:r>
      <w:r w:rsidRPr="00F8222E">
        <w:rPr>
          <w:vertAlign w:val="subscript"/>
        </w:rPr>
        <w:t>2</w:t>
      </w:r>
      <w:r>
        <w:t xml:space="preserve"> % error in R is far higher than the first arc. The reasons for this high error are twofold: the calc modulus function in </w:t>
      </w:r>
      <w:proofErr w:type="spellStart"/>
      <w:r>
        <w:t>ZView</w:t>
      </w:r>
      <w:proofErr w:type="spellEnd"/>
      <w:r>
        <w:t xml:space="preserve"> weights each of the data points equally including the second arc. This skews the error between the large R1 arc and the smaller R2 despite the error (</w:t>
      </w:r>
      <w:r>
        <w:rPr>
          <w:rFonts w:cstheme="minorHAnsi"/>
        </w:rPr>
        <w:t>Ω</w:t>
      </w:r>
      <w:r>
        <w:t>) for both samples being within the same scale factor.</w:t>
      </w:r>
    </w:p>
    <w:p w14:paraId="69302937" w14:textId="77777777" w:rsidR="00007F6C" w:rsidRDefault="00007F6C" w:rsidP="008C7ED1">
      <w:pPr>
        <w:pStyle w:val="Heading4"/>
      </w:pPr>
      <w:r>
        <w:t>AD AC</w:t>
      </w:r>
    </w:p>
    <w:p w14:paraId="77AA00A3" w14:textId="0E4BA9A7" w:rsidR="00007F6C" w:rsidRDefault="00007F6C" w:rsidP="008C7ED1">
      <w:pPr>
        <w:jc w:val="both"/>
      </w:pPr>
      <w:r>
        <w:t xml:space="preserve">The resistive characteristics of the pristine Ni-YSZ sample were fit using the equivalent circuit in </w:t>
      </w:r>
      <w:r>
        <w:fldChar w:fldCharType="begin"/>
      </w:r>
      <w:r>
        <w:instrText xml:space="preserve"> REF _Ref41557886 \h  \* MERGEFORMAT </w:instrText>
      </w:r>
      <w:r>
        <w:fldChar w:fldCharType="separate"/>
      </w:r>
      <w:r w:rsidR="00650F8E">
        <w:t xml:space="preserve">Figure </w:t>
      </w:r>
      <w:r w:rsidR="00650F8E">
        <w:rPr>
          <w:noProof/>
        </w:rPr>
        <w:t>4.32</w:t>
      </w:r>
      <w:r>
        <w:fldChar w:fldCharType="end"/>
      </w:r>
      <w:r>
        <w:t xml:space="preserve">. The low frequency arc (0.1-10 Hz) gas diffusion impedance arc developed within the first 5 h of ageing in the AD AC sample. This indicates that this the reaction producing this arc is capacitive in nature. This arc persisted throughout the ageing process. </w:t>
      </w:r>
    </w:p>
    <w:p w14:paraId="4FE76F5D" w14:textId="08BC0F31" w:rsidR="00007F6C" w:rsidRDefault="00007F6C" w:rsidP="008C7ED1">
      <w:pPr>
        <w:pStyle w:val="Caption"/>
        <w:keepNext/>
      </w:pPr>
      <w:bookmarkStart w:id="400" w:name="_Ref68869276"/>
      <w:r>
        <w:t>Table 4.</w:t>
      </w:r>
      <w:r w:rsidR="00B51F53">
        <w:fldChar w:fldCharType="begin"/>
      </w:r>
      <w:r w:rsidR="00B51F53">
        <w:instrText xml:space="preserve"> SEQ Table \* ARABIC </w:instrText>
      </w:r>
      <w:r w:rsidR="00B51F53">
        <w:fldChar w:fldCharType="separate"/>
      </w:r>
      <w:r w:rsidR="00650F8E">
        <w:rPr>
          <w:noProof/>
        </w:rPr>
        <w:t>9</w:t>
      </w:r>
      <w:r w:rsidR="00B51F53">
        <w:rPr>
          <w:noProof/>
        </w:rPr>
        <w:fldChar w:fldCharType="end"/>
      </w:r>
      <w:bookmarkEnd w:id="400"/>
      <w:r>
        <w:t>: Table detailing the percent errors in the calculated Rs and Rp for the AD AC sample</w:t>
      </w:r>
    </w:p>
    <w:tbl>
      <w:tblPr>
        <w:tblStyle w:val="TableGrid"/>
        <w:tblW w:w="0" w:type="auto"/>
        <w:jc w:val="center"/>
        <w:tblLook w:val="04A0" w:firstRow="1" w:lastRow="0" w:firstColumn="1" w:lastColumn="0" w:noHBand="0" w:noVBand="1"/>
      </w:tblPr>
      <w:tblGrid>
        <w:gridCol w:w="891"/>
        <w:gridCol w:w="1344"/>
        <w:gridCol w:w="1112"/>
        <w:gridCol w:w="1291"/>
        <w:gridCol w:w="1143"/>
        <w:gridCol w:w="1321"/>
      </w:tblGrid>
      <w:tr w:rsidR="00007F6C" w14:paraId="45DC7C57" w14:textId="77777777" w:rsidTr="005E2F1E">
        <w:trPr>
          <w:trHeight w:val="319"/>
          <w:jc w:val="center"/>
        </w:trPr>
        <w:tc>
          <w:tcPr>
            <w:tcW w:w="0" w:type="auto"/>
          </w:tcPr>
          <w:p w14:paraId="7CA83041" w14:textId="77777777" w:rsidR="00007F6C" w:rsidRPr="00F17599" w:rsidRDefault="00007F6C" w:rsidP="008C7ED1">
            <w:pPr>
              <w:jc w:val="center"/>
              <w:rPr>
                <w:b/>
                <w:bCs/>
              </w:rPr>
            </w:pPr>
            <w:r w:rsidRPr="00F17599">
              <w:rPr>
                <w:b/>
                <w:bCs/>
              </w:rPr>
              <w:t>Sample</w:t>
            </w:r>
          </w:p>
        </w:tc>
        <w:tc>
          <w:tcPr>
            <w:tcW w:w="0" w:type="auto"/>
          </w:tcPr>
          <w:p w14:paraId="5B5015EA" w14:textId="77777777" w:rsidR="00007F6C" w:rsidRPr="00F17599" w:rsidRDefault="00007F6C" w:rsidP="008C7ED1">
            <w:pPr>
              <w:jc w:val="center"/>
              <w:rPr>
                <w:b/>
                <w:bCs/>
              </w:rPr>
            </w:pPr>
            <w:r w:rsidRPr="00F17599">
              <w:rPr>
                <w:b/>
                <w:bCs/>
              </w:rPr>
              <w:t>Ageing Time</w:t>
            </w:r>
          </w:p>
        </w:tc>
        <w:tc>
          <w:tcPr>
            <w:tcW w:w="0" w:type="auto"/>
          </w:tcPr>
          <w:p w14:paraId="2A6585DB" w14:textId="77777777" w:rsidR="00007F6C" w:rsidRPr="00F17599" w:rsidRDefault="00007F6C" w:rsidP="008C7ED1">
            <w:pPr>
              <w:jc w:val="center"/>
              <w:rPr>
                <w:b/>
                <w:bCs/>
              </w:rPr>
            </w:pPr>
            <w:r w:rsidRPr="00F17599">
              <w:rPr>
                <w:b/>
                <w:bCs/>
              </w:rPr>
              <w:t>Rs</w:t>
            </w:r>
            <w:r>
              <w:rPr>
                <w:b/>
                <w:bCs/>
              </w:rPr>
              <w:t xml:space="preserve"> </w:t>
            </w:r>
            <w:r>
              <w:rPr>
                <w:rFonts w:cstheme="minorHAnsi"/>
                <w:b/>
                <w:bCs/>
              </w:rPr>
              <w:t>[Ω</w:t>
            </w:r>
            <w:r>
              <w:rPr>
                <w:b/>
                <w:bCs/>
              </w:rPr>
              <w:t>cm</w:t>
            </w:r>
            <w:r>
              <w:rPr>
                <w:b/>
                <w:bCs/>
                <w:vertAlign w:val="superscript"/>
              </w:rPr>
              <w:t>2</w:t>
            </w:r>
            <w:r>
              <w:rPr>
                <w:b/>
                <w:bCs/>
              </w:rPr>
              <w:t>]</w:t>
            </w:r>
          </w:p>
        </w:tc>
        <w:tc>
          <w:tcPr>
            <w:tcW w:w="0" w:type="auto"/>
          </w:tcPr>
          <w:p w14:paraId="13CCDFDA" w14:textId="77777777" w:rsidR="00007F6C" w:rsidRPr="00F17599" w:rsidRDefault="00007F6C" w:rsidP="008C7ED1">
            <w:pPr>
              <w:jc w:val="center"/>
              <w:rPr>
                <w:b/>
                <w:bCs/>
              </w:rPr>
            </w:pPr>
            <w:r w:rsidRPr="00F17599">
              <w:rPr>
                <w:b/>
                <w:bCs/>
              </w:rPr>
              <w:t>Rs Error</w:t>
            </w:r>
            <w:r>
              <w:rPr>
                <w:b/>
                <w:bCs/>
              </w:rPr>
              <w:t xml:space="preserve"> [%]</w:t>
            </w:r>
          </w:p>
        </w:tc>
        <w:tc>
          <w:tcPr>
            <w:tcW w:w="0" w:type="auto"/>
          </w:tcPr>
          <w:p w14:paraId="35B47800" w14:textId="77777777" w:rsidR="00007F6C" w:rsidRPr="00F17599" w:rsidRDefault="00007F6C" w:rsidP="008C7ED1">
            <w:pPr>
              <w:jc w:val="center"/>
              <w:rPr>
                <w:b/>
                <w:bCs/>
              </w:rPr>
            </w:pPr>
            <w:r w:rsidRPr="00F17599">
              <w:rPr>
                <w:b/>
                <w:bCs/>
              </w:rPr>
              <w:t>Rp</w:t>
            </w:r>
            <w:r>
              <w:rPr>
                <w:b/>
                <w:bCs/>
              </w:rPr>
              <w:t xml:space="preserve"> </w:t>
            </w:r>
            <w:r>
              <w:rPr>
                <w:rFonts w:cstheme="minorHAnsi"/>
                <w:b/>
                <w:bCs/>
              </w:rPr>
              <w:t>[Ω</w:t>
            </w:r>
            <w:r>
              <w:rPr>
                <w:b/>
                <w:bCs/>
              </w:rPr>
              <w:t>cm</w:t>
            </w:r>
            <w:r>
              <w:rPr>
                <w:b/>
                <w:bCs/>
                <w:vertAlign w:val="superscript"/>
              </w:rPr>
              <w:t>2</w:t>
            </w:r>
            <w:r>
              <w:rPr>
                <w:b/>
                <w:bCs/>
              </w:rPr>
              <w:t>]</w:t>
            </w:r>
          </w:p>
        </w:tc>
        <w:tc>
          <w:tcPr>
            <w:tcW w:w="0" w:type="auto"/>
          </w:tcPr>
          <w:p w14:paraId="676C6E9D" w14:textId="77777777" w:rsidR="00007F6C" w:rsidRPr="00F17599" w:rsidRDefault="00007F6C" w:rsidP="008C7ED1">
            <w:pPr>
              <w:jc w:val="center"/>
              <w:rPr>
                <w:b/>
                <w:bCs/>
              </w:rPr>
            </w:pPr>
            <w:r w:rsidRPr="00F17599">
              <w:rPr>
                <w:b/>
                <w:bCs/>
              </w:rPr>
              <w:t>Rp Error</w:t>
            </w:r>
            <w:r>
              <w:rPr>
                <w:b/>
                <w:bCs/>
              </w:rPr>
              <w:t xml:space="preserve"> [%]</w:t>
            </w:r>
          </w:p>
        </w:tc>
      </w:tr>
      <w:tr w:rsidR="00007F6C" w14:paraId="7E702B54" w14:textId="77777777" w:rsidTr="005E2F1E">
        <w:trPr>
          <w:jc w:val="center"/>
        </w:trPr>
        <w:tc>
          <w:tcPr>
            <w:tcW w:w="0" w:type="auto"/>
            <w:vMerge w:val="restart"/>
          </w:tcPr>
          <w:p w14:paraId="369AE063" w14:textId="77777777" w:rsidR="00007F6C" w:rsidRDefault="00007F6C" w:rsidP="008C7ED1">
            <w:pPr>
              <w:jc w:val="center"/>
            </w:pPr>
            <w:r>
              <w:t>AD AC</w:t>
            </w:r>
          </w:p>
        </w:tc>
        <w:tc>
          <w:tcPr>
            <w:tcW w:w="0" w:type="auto"/>
          </w:tcPr>
          <w:p w14:paraId="6E9EF414" w14:textId="77777777" w:rsidR="00007F6C" w:rsidRDefault="00007F6C" w:rsidP="008C7ED1">
            <w:pPr>
              <w:jc w:val="center"/>
            </w:pPr>
            <w:r>
              <w:t>0</w:t>
            </w:r>
          </w:p>
        </w:tc>
        <w:tc>
          <w:tcPr>
            <w:tcW w:w="0" w:type="auto"/>
          </w:tcPr>
          <w:p w14:paraId="6306935B" w14:textId="77777777" w:rsidR="00007F6C" w:rsidRDefault="00007F6C" w:rsidP="008C7ED1">
            <w:pPr>
              <w:jc w:val="right"/>
            </w:pPr>
            <w:r w:rsidRPr="006460F5">
              <w:t>3.1</w:t>
            </w:r>
            <w:r>
              <w:t>4</w:t>
            </w:r>
          </w:p>
        </w:tc>
        <w:tc>
          <w:tcPr>
            <w:tcW w:w="0" w:type="auto"/>
          </w:tcPr>
          <w:p w14:paraId="0E500013" w14:textId="77777777" w:rsidR="00007F6C" w:rsidRDefault="00007F6C" w:rsidP="008C7ED1">
            <w:pPr>
              <w:jc w:val="right"/>
            </w:pPr>
            <w:r w:rsidRPr="007952CC">
              <w:t>2.71</w:t>
            </w:r>
          </w:p>
        </w:tc>
        <w:tc>
          <w:tcPr>
            <w:tcW w:w="0" w:type="auto"/>
          </w:tcPr>
          <w:p w14:paraId="2E1F8F9A" w14:textId="77777777" w:rsidR="00007F6C" w:rsidRDefault="00007F6C" w:rsidP="008C7ED1">
            <w:pPr>
              <w:jc w:val="right"/>
            </w:pPr>
            <w:r w:rsidRPr="006162E2">
              <w:t>12.41</w:t>
            </w:r>
          </w:p>
        </w:tc>
        <w:tc>
          <w:tcPr>
            <w:tcW w:w="0" w:type="auto"/>
          </w:tcPr>
          <w:p w14:paraId="0BD4D15A" w14:textId="77777777" w:rsidR="00007F6C" w:rsidRDefault="00007F6C" w:rsidP="008C7ED1">
            <w:pPr>
              <w:jc w:val="right"/>
            </w:pPr>
            <w:r w:rsidRPr="00822FEC">
              <w:t>9.26</w:t>
            </w:r>
          </w:p>
        </w:tc>
      </w:tr>
      <w:tr w:rsidR="00007F6C" w14:paraId="1BFB1DB0" w14:textId="77777777" w:rsidTr="005E2F1E">
        <w:trPr>
          <w:jc w:val="center"/>
        </w:trPr>
        <w:tc>
          <w:tcPr>
            <w:tcW w:w="0" w:type="auto"/>
            <w:vMerge/>
          </w:tcPr>
          <w:p w14:paraId="303B3A37" w14:textId="77777777" w:rsidR="00007F6C" w:rsidRDefault="00007F6C" w:rsidP="008C7ED1"/>
        </w:tc>
        <w:tc>
          <w:tcPr>
            <w:tcW w:w="0" w:type="auto"/>
          </w:tcPr>
          <w:p w14:paraId="6B351DD4" w14:textId="77777777" w:rsidR="00007F6C" w:rsidRDefault="00007F6C" w:rsidP="008C7ED1">
            <w:pPr>
              <w:jc w:val="center"/>
            </w:pPr>
            <w:r>
              <w:t>5</w:t>
            </w:r>
          </w:p>
        </w:tc>
        <w:tc>
          <w:tcPr>
            <w:tcW w:w="0" w:type="auto"/>
          </w:tcPr>
          <w:p w14:paraId="6FC643A7" w14:textId="77777777" w:rsidR="00007F6C" w:rsidRDefault="00007F6C" w:rsidP="008C7ED1">
            <w:pPr>
              <w:jc w:val="right"/>
            </w:pPr>
            <w:r w:rsidRPr="006460F5">
              <w:t>3.65</w:t>
            </w:r>
          </w:p>
        </w:tc>
        <w:tc>
          <w:tcPr>
            <w:tcW w:w="0" w:type="auto"/>
          </w:tcPr>
          <w:p w14:paraId="241E3E67" w14:textId="77777777" w:rsidR="00007F6C" w:rsidRDefault="00007F6C" w:rsidP="008C7ED1">
            <w:pPr>
              <w:jc w:val="right"/>
            </w:pPr>
            <w:r w:rsidRPr="007952CC">
              <w:t>0.7</w:t>
            </w:r>
            <w:r>
              <w:t>6</w:t>
            </w:r>
          </w:p>
        </w:tc>
        <w:tc>
          <w:tcPr>
            <w:tcW w:w="0" w:type="auto"/>
          </w:tcPr>
          <w:p w14:paraId="374CBC14" w14:textId="77777777" w:rsidR="00007F6C" w:rsidRDefault="00007F6C" w:rsidP="008C7ED1">
            <w:pPr>
              <w:jc w:val="right"/>
            </w:pPr>
            <w:r w:rsidRPr="006162E2">
              <w:t>23.5</w:t>
            </w:r>
            <w:r>
              <w:t>9</w:t>
            </w:r>
          </w:p>
        </w:tc>
        <w:tc>
          <w:tcPr>
            <w:tcW w:w="0" w:type="auto"/>
          </w:tcPr>
          <w:p w14:paraId="15D809C2" w14:textId="77777777" w:rsidR="00007F6C" w:rsidRDefault="00007F6C" w:rsidP="008C7ED1">
            <w:pPr>
              <w:jc w:val="right"/>
            </w:pPr>
            <w:r w:rsidRPr="00822FEC">
              <w:t>3.03</w:t>
            </w:r>
          </w:p>
        </w:tc>
      </w:tr>
      <w:tr w:rsidR="00007F6C" w14:paraId="79383E32" w14:textId="77777777" w:rsidTr="005E2F1E">
        <w:trPr>
          <w:jc w:val="center"/>
        </w:trPr>
        <w:tc>
          <w:tcPr>
            <w:tcW w:w="0" w:type="auto"/>
            <w:vMerge/>
          </w:tcPr>
          <w:p w14:paraId="0BAEA3FC" w14:textId="77777777" w:rsidR="00007F6C" w:rsidRDefault="00007F6C" w:rsidP="008C7ED1"/>
        </w:tc>
        <w:tc>
          <w:tcPr>
            <w:tcW w:w="0" w:type="auto"/>
          </w:tcPr>
          <w:p w14:paraId="45D5B31E" w14:textId="77777777" w:rsidR="00007F6C" w:rsidRDefault="00007F6C" w:rsidP="008C7ED1">
            <w:pPr>
              <w:jc w:val="center"/>
            </w:pPr>
            <w:r>
              <w:t>10</w:t>
            </w:r>
          </w:p>
        </w:tc>
        <w:tc>
          <w:tcPr>
            <w:tcW w:w="0" w:type="auto"/>
          </w:tcPr>
          <w:p w14:paraId="3245650F" w14:textId="77777777" w:rsidR="00007F6C" w:rsidRDefault="00007F6C" w:rsidP="008C7ED1">
            <w:pPr>
              <w:jc w:val="right"/>
            </w:pPr>
            <w:r w:rsidRPr="006460F5">
              <w:t>3.9</w:t>
            </w:r>
            <w:r>
              <w:t>7</w:t>
            </w:r>
          </w:p>
        </w:tc>
        <w:tc>
          <w:tcPr>
            <w:tcW w:w="0" w:type="auto"/>
          </w:tcPr>
          <w:p w14:paraId="2B42BE27" w14:textId="77777777" w:rsidR="00007F6C" w:rsidRDefault="00007F6C" w:rsidP="008C7ED1">
            <w:pPr>
              <w:jc w:val="right"/>
            </w:pPr>
            <w:r w:rsidRPr="007952CC">
              <w:t>0.7</w:t>
            </w:r>
            <w:r>
              <w:t>6</w:t>
            </w:r>
          </w:p>
        </w:tc>
        <w:tc>
          <w:tcPr>
            <w:tcW w:w="0" w:type="auto"/>
          </w:tcPr>
          <w:p w14:paraId="3A859F82" w14:textId="77777777" w:rsidR="00007F6C" w:rsidRDefault="00007F6C" w:rsidP="008C7ED1">
            <w:pPr>
              <w:jc w:val="right"/>
            </w:pPr>
            <w:r w:rsidRPr="006162E2">
              <w:t>29.3</w:t>
            </w:r>
            <w:r>
              <w:t>6</w:t>
            </w:r>
          </w:p>
        </w:tc>
        <w:tc>
          <w:tcPr>
            <w:tcW w:w="0" w:type="auto"/>
          </w:tcPr>
          <w:p w14:paraId="334500B0" w14:textId="77777777" w:rsidR="00007F6C" w:rsidRDefault="00007F6C" w:rsidP="008C7ED1">
            <w:pPr>
              <w:jc w:val="right"/>
            </w:pPr>
            <w:r w:rsidRPr="00822FEC">
              <w:t>2.12</w:t>
            </w:r>
          </w:p>
        </w:tc>
      </w:tr>
      <w:tr w:rsidR="00007F6C" w14:paraId="06D198AD" w14:textId="77777777" w:rsidTr="005E2F1E">
        <w:trPr>
          <w:jc w:val="center"/>
        </w:trPr>
        <w:tc>
          <w:tcPr>
            <w:tcW w:w="0" w:type="auto"/>
            <w:vMerge/>
          </w:tcPr>
          <w:p w14:paraId="7DB6F155" w14:textId="77777777" w:rsidR="00007F6C" w:rsidRDefault="00007F6C" w:rsidP="008C7ED1"/>
        </w:tc>
        <w:tc>
          <w:tcPr>
            <w:tcW w:w="0" w:type="auto"/>
          </w:tcPr>
          <w:p w14:paraId="6E553CBE" w14:textId="77777777" w:rsidR="00007F6C" w:rsidRDefault="00007F6C" w:rsidP="008C7ED1">
            <w:pPr>
              <w:jc w:val="center"/>
            </w:pPr>
            <w:r>
              <w:t>15</w:t>
            </w:r>
          </w:p>
        </w:tc>
        <w:tc>
          <w:tcPr>
            <w:tcW w:w="0" w:type="auto"/>
          </w:tcPr>
          <w:p w14:paraId="57083065" w14:textId="77777777" w:rsidR="00007F6C" w:rsidRDefault="00007F6C" w:rsidP="008C7ED1">
            <w:pPr>
              <w:jc w:val="right"/>
            </w:pPr>
            <w:r w:rsidRPr="006460F5">
              <w:t>4.13</w:t>
            </w:r>
          </w:p>
        </w:tc>
        <w:tc>
          <w:tcPr>
            <w:tcW w:w="0" w:type="auto"/>
          </w:tcPr>
          <w:p w14:paraId="703577C4" w14:textId="77777777" w:rsidR="00007F6C" w:rsidRDefault="00007F6C" w:rsidP="008C7ED1">
            <w:pPr>
              <w:jc w:val="right"/>
            </w:pPr>
            <w:r w:rsidRPr="007952CC">
              <w:t>0.6</w:t>
            </w:r>
            <w:r>
              <w:t>6</w:t>
            </w:r>
          </w:p>
        </w:tc>
        <w:tc>
          <w:tcPr>
            <w:tcW w:w="0" w:type="auto"/>
          </w:tcPr>
          <w:p w14:paraId="4E409BAE" w14:textId="77777777" w:rsidR="00007F6C" w:rsidRDefault="00007F6C" w:rsidP="008C7ED1">
            <w:pPr>
              <w:jc w:val="right"/>
            </w:pPr>
            <w:r w:rsidRPr="006162E2">
              <w:t>34.33</w:t>
            </w:r>
          </w:p>
        </w:tc>
        <w:tc>
          <w:tcPr>
            <w:tcW w:w="0" w:type="auto"/>
          </w:tcPr>
          <w:p w14:paraId="1FA13742" w14:textId="77777777" w:rsidR="00007F6C" w:rsidRDefault="00007F6C" w:rsidP="008C7ED1">
            <w:pPr>
              <w:jc w:val="right"/>
            </w:pPr>
            <w:r w:rsidRPr="00822FEC">
              <w:t>1.6</w:t>
            </w:r>
            <w:r>
              <w:t>9</w:t>
            </w:r>
          </w:p>
        </w:tc>
      </w:tr>
      <w:tr w:rsidR="00007F6C" w14:paraId="39680D8A" w14:textId="77777777" w:rsidTr="005E2F1E">
        <w:trPr>
          <w:jc w:val="center"/>
        </w:trPr>
        <w:tc>
          <w:tcPr>
            <w:tcW w:w="0" w:type="auto"/>
            <w:vMerge/>
          </w:tcPr>
          <w:p w14:paraId="31DAD314" w14:textId="77777777" w:rsidR="00007F6C" w:rsidRDefault="00007F6C" w:rsidP="008C7ED1"/>
        </w:tc>
        <w:tc>
          <w:tcPr>
            <w:tcW w:w="0" w:type="auto"/>
          </w:tcPr>
          <w:p w14:paraId="32E082E1" w14:textId="77777777" w:rsidR="00007F6C" w:rsidRDefault="00007F6C" w:rsidP="008C7ED1">
            <w:pPr>
              <w:jc w:val="center"/>
            </w:pPr>
            <w:r>
              <w:t>20</w:t>
            </w:r>
          </w:p>
        </w:tc>
        <w:tc>
          <w:tcPr>
            <w:tcW w:w="0" w:type="auto"/>
          </w:tcPr>
          <w:p w14:paraId="6A09B8B1" w14:textId="77777777" w:rsidR="00007F6C" w:rsidRDefault="00007F6C" w:rsidP="008C7ED1">
            <w:pPr>
              <w:jc w:val="right"/>
            </w:pPr>
            <w:r w:rsidRPr="006460F5">
              <w:t>4.7</w:t>
            </w:r>
            <w:r>
              <w:t>3</w:t>
            </w:r>
          </w:p>
        </w:tc>
        <w:tc>
          <w:tcPr>
            <w:tcW w:w="0" w:type="auto"/>
          </w:tcPr>
          <w:p w14:paraId="11FF5F08" w14:textId="77777777" w:rsidR="00007F6C" w:rsidRDefault="00007F6C" w:rsidP="008C7ED1">
            <w:pPr>
              <w:jc w:val="right"/>
            </w:pPr>
            <w:r w:rsidRPr="007952CC">
              <w:t>0.45</w:t>
            </w:r>
          </w:p>
        </w:tc>
        <w:tc>
          <w:tcPr>
            <w:tcW w:w="0" w:type="auto"/>
          </w:tcPr>
          <w:p w14:paraId="0CED6BA2" w14:textId="77777777" w:rsidR="00007F6C" w:rsidRDefault="00007F6C" w:rsidP="008C7ED1">
            <w:pPr>
              <w:jc w:val="right"/>
            </w:pPr>
            <w:r w:rsidRPr="006162E2">
              <w:t>29.1</w:t>
            </w:r>
            <w:r>
              <w:t>5</w:t>
            </w:r>
          </w:p>
        </w:tc>
        <w:tc>
          <w:tcPr>
            <w:tcW w:w="0" w:type="auto"/>
          </w:tcPr>
          <w:p w14:paraId="0B46E266" w14:textId="77777777" w:rsidR="00007F6C" w:rsidRDefault="00007F6C" w:rsidP="008C7ED1">
            <w:pPr>
              <w:jc w:val="right"/>
            </w:pPr>
            <w:r w:rsidRPr="00822FEC">
              <w:t>1.97</w:t>
            </w:r>
          </w:p>
        </w:tc>
      </w:tr>
      <w:tr w:rsidR="00007F6C" w14:paraId="0B14EFCB" w14:textId="77777777" w:rsidTr="005E2F1E">
        <w:trPr>
          <w:jc w:val="center"/>
        </w:trPr>
        <w:tc>
          <w:tcPr>
            <w:tcW w:w="0" w:type="auto"/>
            <w:vMerge/>
          </w:tcPr>
          <w:p w14:paraId="67DC4098" w14:textId="77777777" w:rsidR="00007F6C" w:rsidRDefault="00007F6C" w:rsidP="008C7ED1"/>
        </w:tc>
        <w:tc>
          <w:tcPr>
            <w:tcW w:w="0" w:type="auto"/>
          </w:tcPr>
          <w:p w14:paraId="07A702C7" w14:textId="77777777" w:rsidR="00007F6C" w:rsidRDefault="00007F6C" w:rsidP="008C7ED1">
            <w:pPr>
              <w:jc w:val="center"/>
            </w:pPr>
            <w:r>
              <w:t>25</w:t>
            </w:r>
          </w:p>
        </w:tc>
        <w:tc>
          <w:tcPr>
            <w:tcW w:w="0" w:type="auto"/>
          </w:tcPr>
          <w:p w14:paraId="2D2253ED" w14:textId="77777777" w:rsidR="00007F6C" w:rsidRPr="0001380A" w:rsidRDefault="00007F6C" w:rsidP="008C7ED1">
            <w:pPr>
              <w:jc w:val="right"/>
            </w:pPr>
            <w:r w:rsidRPr="006460F5">
              <w:t>4.66</w:t>
            </w:r>
          </w:p>
        </w:tc>
        <w:tc>
          <w:tcPr>
            <w:tcW w:w="0" w:type="auto"/>
          </w:tcPr>
          <w:p w14:paraId="18FA7774" w14:textId="77777777" w:rsidR="00007F6C" w:rsidRDefault="00007F6C" w:rsidP="008C7ED1">
            <w:pPr>
              <w:jc w:val="right"/>
            </w:pPr>
            <w:r w:rsidRPr="007952CC">
              <w:t>0.32</w:t>
            </w:r>
          </w:p>
        </w:tc>
        <w:tc>
          <w:tcPr>
            <w:tcW w:w="0" w:type="auto"/>
          </w:tcPr>
          <w:p w14:paraId="5BC55423" w14:textId="77777777" w:rsidR="00007F6C" w:rsidRDefault="00007F6C" w:rsidP="008C7ED1">
            <w:pPr>
              <w:jc w:val="right"/>
            </w:pPr>
            <w:r w:rsidRPr="006162E2">
              <w:t>27.</w:t>
            </w:r>
            <w:r>
              <w:t>40</w:t>
            </w:r>
          </w:p>
        </w:tc>
        <w:tc>
          <w:tcPr>
            <w:tcW w:w="0" w:type="auto"/>
          </w:tcPr>
          <w:p w14:paraId="3C39A8FE" w14:textId="77777777" w:rsidR="00007F6C" w:rsidRDefault="00007F6C" w:rsidP="008C7ED1">
            <w:pPr>
              <w:jc w:val="right"/>
            </w:pPr>
            <w:r w:rsidRPr="00822FEC">
              <w:t>2.0</w:t>
            </w:r>
            <w:r>
              <w:t>2</w:t>
            </w:r>
          </w:p>
        </w:tc>
      </w:tr>
      <w:tr w:rsidR="00007F6C" w14:paraId="55F90C2B" w14:textId="77777777" w:rsidTr="005E2F1E">
        <w:trPr>
          <w:jc w:val="center"/>
        </w:trPr>
        <w:tc>
          <w:tcPr>
            <w:tcW w:w="0" w:type="auto"/>
            <w:vMerge/>
          </w:tcPr>
          <w:p w14:paraId="3D3FF837" w14:textId="77777777" w:rsidR="00007F6C" w:rsidRDefault="00007F6C" w:rsidP="008C7ED1"/>
        </w:tc>
        <w:tc>
          <w:tcPr>
            <w:tcW w:w="0" w:type="auto"/>
          </w:tcPr>
          <w:p w14:paraId="5A223C08" w14:textId="77777777" w:rsidR="00007F6C" w:rsidRDefault="00007F6C" w:rsidP="008C7ED1">
            <w:pPr>
              <w:jc w:val="center"/>
            </w:pPr>
            <w:r>
              <w:t>30</w:t>
            </w:r>
          </w:p>
        </w:tc>
        <w:tc>
          <w:tcPr>
            <w:tcW w:w="0" w:type="auto"/>
          </w:tcPr>
          <w:p w14:paraId="6E65E7E1" w14:textId="77777777" w:rsidR="00007F6C" w:rsidRPr="0001380A" w:rsidRDefault="00007F6C" w:rsidP="008C7ED1">
            <w:pPr>
              <w:jc w:val="right"/>
            </w:pPr>
            <w:r w:rsidRPr="006460F5">
              <w:t>5.07</w:t>
            </w:r>
          </w:p>
        </w:tc>
        <w:tc>
          <w:tcPr>
            <w:tcW w:w="0" w:type="auto"/>
          </w:tcPr>
          <w:p w14:paraId="567D8EEF" w14:textId="77777777" w:rsidR="00007F6C" w:rsidRDefault="00007F6C" w:rsidP="008C7ED1">
            <w:pPr>
              <w:jc w:val="right"/>
            </w:pPr>
            <w:r w:rsidRPr="007952CC">
              <w:t>0.4</w:t>
            </w:r>
            <w:r>
              <w:t>3</w:t>
            </w:r>
          </w:p>
        </w:tc>
        <w:tc>
          <w:tcPr>
            <w:tcW w:w="0" w:type="auto"/>
          </w:tcPr>
          <w:p w14:paraId="29E14BC1" w14:textId="77777777" w:rsidR="00007F6C" w:rsidRDefault="00007F6C" w:rsidP="008C7ED1">
            <w:pPr>
              <w:jc w:val="right"/>
            </w:pPr>
            <w:r w:rsidRPr="006162E2">
              <w:t>35.4</w:t>
            </w:r>
            <w:r>
              <w:t>4</w:t>
            </w:r>
          </w:p>
        </w:tc>
        <w:tc>
          <w:tcPr>
            <w:tcW w:w="0" w:type="auto"/>
          </w:tcPr>
          <w:p w14:paraId="4323F84A" w14:textId="77777777" w:rsidR="00007F6C" w:rsidRDefault="00007F6C" w:rsidP="008C7ED1">
            <w:pPr>
              <w:jc w:val="right"/>
            </w:pPr>
            <w:r w:rsidRPr="00822FEC">
              <w:t>1.93</w:t>
            </w:r>
          </w:p>
        </w:tc>
      </w:tr>
      <w:tr w:rsidR="00007F6C" w14:paraId="3B600E0C" w14:textId="77777777" w:rsidTr="005E2F1E">
        <w:trPr>
          <w:jc w:val="center"/>
        </w:trPr>
        <w:tc>
          <w:tcPr>
            <w:tcW w:w="0" w:type="auto"/>
            <w:vMerge/>
          </w:tcPr>
          <w:p w14:paraId="4E54ACEE" w14:textId="77777777" w:rsidR="00007F6C" w:rsidRDefault="00007F6C" w:rsidP="008C7ED1"/>
        </w:tc>
        <w:tc>
          <w:tcPr>
            <w:tcW w:w="0" w:type="auto"/>
          </w:tcPr>
          <w:p w14:paraId="217B021A" w14:textId="77777777" w:rsidR="00007F6C" w:rsidRDefault="00007F6C" w:rsidP="008C7ED1">
            <w:pPr>
              <w:jc w:val="center"/>
            </w:pPr>
            <w:r>
              <w:t>35</w:t>
            </w:r>
          </w:p>
        </w:tc>
        <w:tc>
          <w:tcPr>
            <w:tcW w:w="0" w:type="auto"/>
          </w:tcPr>
          <w:p w14:paraId="070C588B" w14:textId="77777777" w:rsidR="00007F6C" w:rsidRPr="0001380A" w:rsidRDefault="00007F6C" w:rsidP="008C7ED1">
            <w:pPr>
              <w:jc w:val="right"/>
            </w:pPr>
            <w:r>
              <w:t>5.00</w:t>
            </w:r>
          </w:p>
        </w:tc>
        <w:tc>
          <w:tcPr>
            <w:tcW w:w="0" w:type="auto"/>
          </w:tcPr>
          <w:p w14:paraId="7FAD8FB4" w14:textId="77777777" w:rsidR="00007F6C" w:rsidRDefault="00007F6C" w:rsidP="008C7ED1">
            <w:pPr>
              <w:jc w:val="right"/>
            </w:pPr>
            <w:r w:rsidRPr="007952CC">
              <w:t>0.3</w:t>
            </w:r>
            <w:r>
              <w:t>4</w:t>
            </w:r>
          </w:p>
        </w:tc>
        <w:tc>
          <w:tcPr>
            <w:tcW w:w="0" w:type="auto"/>
          </w:tcPr>
          <w:p w14:paraId="406EE9F9" w14:textId="77777777" w:rsidR="00007F6C" w:rsidRDefault="00007F6C" w:rsidP="008C7ED1">
            <w:pPr>
              <w:jc w:val="right"/>
            </w:pPr>
            <w:r w:rsidRPr="006162E2">
              <w:t>34.07</w:t>
            </w:r>
          </w:p>
        </w:tc>
        <w:tc>
          <w:tcPr>
            <w:tcW w:w="0" w:type="auto"/>
          </w:tcPr>
          <w:p w14:paraId="7A12B96A" w14:textId="77777777" w:rsidR="00007F6C" w:rsidRDefault="00007F6C" w:rsidP="008C7ED1">
            <w:pPr>
              <w:jc w:val="right"/>
            </w:pPr>
            <w:r w:rsidRPr="00822FEC">
              <w:t>2.90</w:t>
            </w:r>
          </w:p>
        </w:tc>
      </w:tr>
      <w:tr w:rsidR="00007F6C" w14:paraId="11A8554E" w14:textId="77777777" w:rsidTr="005E2F1E">
        <w:trPr>
          <w:jc w:val="center"/>
        </w:trPr>
        <w:tc>
          <w:tcPr>
            <w:tcW w:w="0" w:type="auto"/>
            <w:vMerge/>
          </w:tcPr>
          <w:p w14:paraId="6F07A39F" w14:textId="77777777" w:rsidR="00007F6C" w:rsidRDefault="00007F6C" w:rsidP="008C7ED1"/>
        </w:tc>
        <w:tc>
          <w:tcPr>
            <w:tcW w:w="0" w:type="auto"/>
          </w:tcPr>
          <w:p w14:paraId="131CEC9F" w14:textId="77777777" w:rsidR="00007F6C" w:rsidRDefault="00007F6C" w:rsidP="008C7ED1">
            <w:pPr>
              <w:jc w:val="center"/>
            </w:pPr>
            <w:r>
              <w:t>40</w:t>
            </w:r>
          </w:p>
        </w:tc>
        <w:tc>
          <w:tcPr>
            <w:tcW w:w="0" w:type="auto"/>
          </w:tcPr>
          <w:p w14:paraId="57AE4BEE" w14:textId="77777777" w:rsidR="00007F6C" w:rsidRPr="0001380A" w:rsidRDefault="00007F6C" w:rsidP="008C7ED1">
            <w:pPr>
              <w:jc w:val="right"/>
            </w:pPr>
            <w:r w:rsidRPr="006460F5">
              <w:t>4.93</w:t>
            </w:r>
          </w:p>
        </w:tc>
        <w:tc>
          <w:tcPr>
            <w:tcW w:w="0" w:type="auto"/>
          </w:tcPr>
          <w:p w14:paraId="54A3BDD4" w14:textId="77777777" w:rsidR="00007F6C" w:rsidRDefault="00007F6C" w:rsidP="008C7ED1">
            <w:pPr>
              <w:jc w:val="right"/>
            </w:pPr>
            <w:r w:rsidRPr="007952CC">
              <w:t>0.3</w:t>
            </w:r>
            <w:r>
              <w:t>3</w:t>
            </w:r>
          </w:p>
        </w:tc>
        <w:tc>
          <w:tcPr>
            <w:tcW w:w="0" w:type="auto"/>
          </w:tcPr>
          <w:p w14:paraId="28B65C16" w14:textId="77777777" w:rsidR="00007F6C" w:rsidRDefault="00007F6C" w:rsidP="008C7ED1">
            <w:pPr>
              <w:jc w:val="right"/>
            </w:pPr>
            <w:r w:rsidRPr="006162E2">
              <w:t>34.58</w:t>
            </w:r>
          </w:p>
        </w:tc>
        <w:tc>
          <w:tcPr>
            <w:tcW w:w="0" w:type="auto"/>
          </w:tcPr>
          <w:p w14:paraId="76F78B4F" w14:textId="77777777" w:rsidR="00007F6C" w:rsidRDefault="00007F6C" w:rsidP="008C7ED1">
            <w:pPr>
              <w:jc w:val="right"/>
            </w:pPr>
            <w:r w:rsidRPr="00822FEC">
              <w:t>2.98</w:t>
            </w:r>
          </w:p>
        </w:tc>
      </w:tr>
      <w:tr w:rsidR="00007F6C" w14:paraId="48E2C91D" w14:textId="77777777" w:rsidTr="005E2F1E">
        <w:trPr>
          <w:jc w:val="center"/>
        </w:trPr>
        <w:tc>
          <w:tcPr>
            <w:tcW w:w="0" w:type="auto"/>
            <w:vMerge/>
          </w:tcPr>
          <w:p w14:paraId="01DD51B4" w14:textId="77777777" w:rsidR="00007F6C" w:rsidRDefault="00007F6C" w:rsidP="008C7ED1"/>
        </w:tc>
        <w:tc>
          <w:tcPr>
            <w:tcW w:w="0" w:type="auto"/>
          </w:tcPr>
          <w:p w14:paraId="22941AFE" w14:textId="77777777" w:rsidR="00007F6C" w:rsidRDefault="00007F6C" w:rsidP="008C7ED1">
            <w:pPr>
              <w:jc w:val="center"/>
            </w:pPr>
            <w:r>
              <w:t>45</w:t>
            </w:r>
          </w:p>
        </w:tc>
        <w:tc>
          <w:tcPr>
            <w:tcW w:w="0" w:type="auto"/>
          </w:tcPr>
          <w:p w14:paraId="26DC4962" w14:textId="77777777" w:rsidR="00007F6C" w:rsidRPr="0001380A" w:rsidRDefault="00007F6C" w:rsidP="008C7ED1">
            <w:pPr>
              <w:jc w:val="right"/>
            </w:pPr>
            <w:r w:rsidRPr="006460F5">
              <w:t>5.06</w:t>
            </w:r>
          </w:p>
        </w:tc>
        <w:tc>
          <w:tcPr>
            <w:tcW w:w="0" w:type="auto"/>
          </w:tcPr>
          <w:p w14:paraId="6BF80D8A" w14:textId="77777777" w:rsidR="00007F6C" w:rsidRDefault="00007F6C" w:rsidP="008C7ED1">
            <w:pPr>
              <w:jc w:val="right"/>
            </w:pPr>
            <w:r w:rsidRPr="007952CC">
              <w:t>0.32</w:t>
            </w:r>
          </w:p>
        </w:tc>
        <w:tc>
          <w:tcPr>
            <w:tcW w:w="0" w:type="auto"/>
          </w:tcPr>
          <w:p w14:paraId="262C5847" w14:textId="77777777" w:rsidR="00007F6C" w:rsidRDefault="00007F6C" w:rsidP="008C7ED1">
            <w:pPr>
              <w:jc w:val="right"/>
            </w:pPr>
            <w:r w:rsidRPr="006162E2">
              <w:t>32.72</w:t>
            </w:r>
          </w:p>
        </w:tc>
        <w:tc>
          <w:tcPr>
            <w:tcW w:w="0" w:type="auto"/>
          </w:tcPr>
          <w:p w14:paraId="0E435A10" w14:textId="77777777" w:rsidR="00007F6C" w:rsidRDefault="00007F6C" w:rsidP="008C7ED1">
            <w:pPr>
              <w:jc w:val="right"/>
            </w:pPr>
            <w:r w:rsidRPr="00822FEC">
              <w:t>3.3</w:t>
            </w:r>
            <w:r>
              <w:t>5</w:t>
            </w:r>
          </w:p>
        </w:tc>
      </w:tr>
      <w:tr w:rsidR="00007F6C" w14:paraId="4F8019B5" w14:textId="77777777" w:rsidTr="005E2F1E">
        <w:trPr>
          <w:jc w:val="center"/>
        </w:trPr>
        <w:tc>
          <w:tcPr>
            <w:tcW w:w="0" w:type="auto"/>
            <w:vMerge/>
          </w:tcPr>
          <w:p w14:paraId="3F4A4B4E" w14:textId="77777777" w:rsidR="00007F6C" w:rsidRDefault="00007F6C" w:rsidP="008C7ED1"/>
        </w:tc>
        <w:tc>
          <w:tcPr>
            <w:tcW w:w="0" w:type="auto"/>
          </w:tcPr>
          <w:p w14:paraId="2037CD26" w14:textId="77777777" w:rsidR="00007F6C" w:rsidRDefault="00007F6C" w:rsidP="008C7ED1">
            <w:pPr>
              <w:jc w:val="center"/>
            </w:pPr>
            <w:r>
              <w:t>50</w:t>
            </w:r>
          </w:p>
        </w:tc>
        <w:tc>
          <w:tcPr>
            <w:tcW w:w="0" w:type="auto"/>
          </w:tcPr>
          <w:p w14:paraId="17C5EE2B" w14:textId="77777777" w:rsidR="00007F6C" w:rsidRPr="0001380A" w:rsidRDefault="00007F6C" w:rsidP="008C7ED1">
            <w:pPr>
              <w:jc w:val="right"/>
            </w:pPr>
            <w:r w:rsidRPr="006460F5">
              <w:t>5.16</w:t>
            </w:r>
          </w:p>
        </w:tc>
        <w:tc>
          <w:tcPr>
            <w:tcW w:w="0" w:type="auto"/>
          </w:tcPr>
          <w:p w14:paraId="1F4EA66A" w14:textId="77777777" w:rsidR="00007F6C" w:rsidRDefault="00007F6C" w:rsidP="008C7ED1">
            <w:pPr>
              <w:jc w:val="right"/>
            </w:pPr>
            <w:r w:rsidRPr="007952CC">
              <w:t>0.329</w:t>
            </w:r>
          </w:p>
        </w:tc>
        <w:tc>
          <w:tcPr>
            <w:tcW w:w="0" w:type="auto"/>
          </w:tcPr>
          <w:p w14:paraId="2752EC3A" w14:textId="77777777" w:rsidR="00007F6C" w:rsidRDefault="00007F6C" w:rsidP="008C7ED1">
            <w:pPr>
              <w:jc w:val="right"/>
            </w:pPr>
            <w:r w:rsidRPr="006162E2">
              <w:t>39.63</w:t>
            </w:r>
          </w:p>
        </w:tc>
        <w:tc>
          <w:tcPr>
            <w:tcW w:w="0" w:type="auto"/>
          </w:tcPr>
          <w:p w14:paraId="333D3DFE" w14:textId="77777777" w:rsidR="00007F6C" w:rsidRDefault="00007F6C" w:rsidP="008C7ED1">
            <w:pPr>
              <w:jc w:val="right"/>
            </w:pPr>
            <w:r w:rsidRPr="00822FEC">
              <w:t>2.86</w:t>
            </w:r>
          </w:p>
        </w:tc>
      </w:tr>
    </w:tbl>
    <w:p w14:paraId="7C93FD0D" w14:textId="77777777" w:rsidR="00650F8E" w:rsidRDefault="00650F8E" w:rsidP="008C7ED1">
      <w:pPr>
        <w:jc w:val="both"/>
      </w:pPr>
    </w:p>
    <w:p w14:paraId="0B575E06" w14:textId="7768FC2D" w:rsidR="00007F6C" w:rsidRDefault="00007F6C" w:rsidP="008C7ED1">
      <w:pPr>
        <w:jc w:val="both"/>
      </w:pPr>
      <w:r>
        <w:t>The largest percent error was recorded for the pristine Ni-YSZ sample in both the series and polarisation resistances</w:t>
      </w:r>
      <w:r w:rsidR="00650F8E">
        <w:t xml:space="preserve"> (</w:t>
      </w:r>
      <w:r w:rsidR="00650F8E">
        <w:fldChar w:fldCharType="begin"/>
      </w:r>
      <w:r w:rsidR="00650F8E">
        <w:instrText xml:space="preserve"> REF _Ref68869276 \h </w:instrText>
      </w:r>
      <w:r w:rsidR="00650F8E">
        <w:fldChar w:fldCharType="separate"/>
      </w:r>
      <w:r w:rsidR="00650F8E">
        <w:t>Table 4.</w:t>
      </w:r>
      <w:r w:rsidR="00650F8E">
        <w:rPr>
          <w:noProof/>
        </w:rPr>
        <w:t>9</w:t>
      </w:r>
      <w:r w:rsidR="00650F8E">
        <w:fldChar w:fldCharType="end"/>
      </w:r>
      <w:r w:rsidR="00650F8E">
        <w:t>)</w:t>
      </w:r>
      <w:r>
        <w:t>. Despite this the error for the Rp was largely restricted between 1-10 %. An example of the fit of the model circuit can be found below and in</w:t>
      </w:r>
      <w:r w:rsidR="00650F8E">
        <w:t xml:space="preserve"> </w:t>
      </w:r>
      <w:r w:rsidR="00650F8E">
        <w:fldChar w:fldCharType="begin"/>
      </w:r>
      <w:r w:rsidR="00650F8E">
        <w:instrText xml:space="preserve"> REF _Ref68869347 \h </w:instrText>
      </w:r>
      <w:r w:rsidR="00650F8E">
        <w:fldChar w:fldCharType="separate"/>
      </w:r>
      <w:r w:rsidR="00650F8E">
        <w:t>Figure 4.</w:t>
      </w:r>
      <w:r w:rsidR="00650F8E">
        <w:rPr>
          <w:noProof/>
        </w:rPr>
        <w:t>33</w:t>
      </w:r>
      <w:r w:rsidR="00650F8E">
        <w:fldChar w:fldCharType="end"/>
      </w:r>
      <w:r>
        <w:t>:</w:t>
      </w:r>
    </w:p>
    <w:p w14:paraId="31BED503" w14:textId="77777777" w:rsidR="00007F6C" w:rsidRDefault="00007F6C" w:rsidP="008C7ED1">
      <w:pPr>
        <w:keepNext/>
        <w:jc w:val="center"/>
      </w:pPr>
      <w:r w:rsidRPr="004832C3">
        <w:rPr>
          <w:noProof/>
        </w:rPr>
        <w:lastRenderedPageBreak/>
        <w:drawing>
          <wp:inline distT="0" distB="0" distL="0" distR="0" wp14:anchorId="4AD44903" wp14:editId="6B477FCD">
            <wp:extent cx="3600000" cy="3106097"/>
            <wp:effectExtent l="0" t="0" r="63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9">
                      <a:extLst>
                        <a:ext uri="{28A0092B-C50C-407E-A947-70E740481C1C}">
                          <a14:useLocalDpi xmlns:a14="http://schemas.microsoft.com/office/drawing/2010/main" val="0"/>
                        </a:ext>
                      </a:extLst>
                    </a:blip>
                    <a:srcRect l="11927" t="9009" r="12844" b="6006"/>
                    <a:stretch/>
                  </pic:blipFill>
                  <pic:spPr bwMode="auto">
                    <a:xfrm>
                      <a:off x="0" y="0"/>
                      <a:ext cx="3600000" cy="3106097"/>
                    </a:xfrm>
                    <a:prstGeom prst="rect">
                      <a:avLst/>
                    </a:prstGeom>
                    <a:noFill/>
                    <a:ln>
                      <a:noFill/>
                    </a:ln>
                    <a:extLst>
                      <a:ext uri="{53640926-AAD7-44D8-BBD7-CCE9431645EC}">
                        <a14:shadowObscured xmlns:a14="http://schemas.microsoft.com/office/drawing/2010/main"/>
                      </a:ext>
                    </a:extLst>
                  </pic:spPr>
                </pic:pic>
              </a:graphicData>
            </a:graphic>
          </wp:inline>
        </w:drawing>
      </w:r>
    </w:p>
    <w:p w14:paraId="00FEAB3A" w14:textId="13D121A6" w:rsidR="00007F6C" w:rsidRDefault="00007F6C" w:rsidP="008C7ED1">
      <w:pPr>
        <w:pStyle w:val="Caption"/>
      </w:pPr>
      <w:bookmarkStart w:id="401" w:name="_Ref68869347"/>
      <w:bookmarkStart w:id="402" w:name="_Toc69115007"/>
      <w:r>
        <w:t>Figure 4.</w:t>
      </w:r>
      <w:r w:rsidR="00B51F53">
        <w:fldChar w:fldCharType="begin"/>
      </w:r>
      <w:r w:rsidR="00B51F53">
        <w:instrText xml:space="preserve"> SEQ Figure \* ARABIC </w:instrText>
      </w:r>
      <w:r w:rsidR="00B51F53">
        <w:fldChar w:fldCharType="separate"/>
      </w:r>
      <w:r w:rsidR="00650F8E">
        <w:rPr>
          <w:noProof/>
        </w:rPr>
        <w:t>33</w:t>
      </w:r>
      <w:r w:rsidR="00B51F53">
        <w:rPr>
          <w:noProof/>
        </w:rPr>
        <w:fldChar w:fldCharType="end"/>
      </w:r>
      <w:bookmarkEnd w:id="401"/>
      <w:r>
        <w:t xml:space="preserve">: Nyquist plot of the AD AC sample after 50h of ageing. The line series is the fit achieved using the EC in </w:t>
      </w:r>
      <w:r>
        <w:fldChar w:fldCharType="begin"/>
      </w:r>
      <w:r>
        <w:instrText xml:space="preserve"> REF _Ref41557886 \h </w:instrText>
      </w:r>
      <w:r>
        <w:fldChar w:fldCharType="separate"/>
      </w:r>
      <w:r>
        <w:t>Figure 4.</w:t>
      </w:r>
      <w:r>
        <w:rPr>
          <w:noProof/>
        </w:rPr>
        <w:t>34</w:t>
      </w:r>
      <w:r>
        <w:fldChar w:fldCharType="end"/>
      </w:r>
      <w:r>
        <w:t>.</w:t>
      </w:r>
      <w:bookmarkEnd w:id="402"/>
    </w:p>
    <w:p w14:paraId="44FB7DD0" w14:textId="77777777" w:rsidR="00007F6C" w:rsidRDefault="00007F6C" w:rsidP="008C7ED1">
      <w:pPr>
        <w:jc w:val="both"/>
      </w:pPr>
      <w:r>
        <w:t xml:space="preserve">The magnitude of the second impedance arc suggests that the degradation mechanism present in this sample differs to the other samples. The fact that this sample possessed the largest increase in Rp for both the dataset and the EC fitting indicates air processing does not reduce the impact of sintering. </w:t>
      </w:r>
    </w:p>
    <w:p w14:paraId="1CD698AA" w14:textId="77777777" w:rsidR="00007F6C" w:rsidRDefault="00007F6C" w:rsidP="008C7ED1">
      <w:pPr>
        <w:pStyle w:val="Heading4"/>
      </w:pPr>
      <w:r>
        <w:t>AD NC</w:t>
      </w:r>
    </w:p>
    <w:p w14:paraId="6FAB721E" w14:textId="06FD1271" w:rsidR="00007F6C" w:rsidRPr="006A02A2" w:rsidRDefault="00007F6C" w:rsidP="008C7ED1">
      <w:pPr>
        <w:jc w:val="both"/>
        <w:rPr>
          <w:highlight w:val="yellow"/>
        </w:rPr>
      </w:pPr>
      <w:r>
        <w:t xml:space="preserve">This presence of the second electrochemical arc (0.1-2000 Hz) was visible in the Nyquist plot from the pristine to 50h aged conditions for the AD NC dataset.  An equivalent circuit </w:t>
      </w:r>
      <w:r w:rsidRPr="0024333E">
        <w:t>utilising 1R</w:t>
      </w:r>
      <w:r w:rsidR="00650F8E">
        <w:t xml:space="preserve"> </w:t>
      </w:r>
      <w:r w:rsidRPr="0024333E">
        <w:t xml:space="preserve">2RQ components </w:t>
      </w:r>
      <w:r>
        <w:t xml:space="preserve">was </w:t>
      </w:r>
      <w:r w:rsidRPr="0024333E">
        <w:t>utilised to fit the</w:t>
      </w:r>
      <w:r>
        <w:t xml:space="preserve"> experimental data. </w:t>
      </w:r>
    </w:p>
    <w:p w14:paraId="1F45EA3A" w14:textId="36C6EAB6" w:rsidR="00007F6C" w:rsidRDefault="00007F6C" w:rsidP="008C7ED1">
      <w:pPr>
        <w:pStyle w:val="Caption"/>
        <w:keepNext/>
      </w:pPr>
      <w:bookmarkStart w:id="403" w:name="_Ref42000012"/>
      <w:r>
        <w:t>Table 4.</w:t>
      </w:r>
      <w:r w:rsidR="00B51F53">
        <w:fldChar w:fldCharType="begin"/>
      </w:r>
      <w:r w:rsidR="00B51F53">
        <w:instrText xml:space="preserve"> SEQ Table \* ARABIC </w:instrText>
      </w:r>
      <w:r w:rsidR="00B51F53">
        <w:fldChar w:fldCharType="separate"/>
      </w:r>
      <w:r w:rsidR="0022061C">
        <w:rPr>
          <w:noProof/>
        </w:rPr>
        <w:t>10</w:t>
      </w:r>
      <w:r w:rsidR="00B51F53">
        <w:rPr>
          <w:noProof/>
        </w:rPr>
        <w:fldChar w:fldCharType="end"/>
      </w:r>
      <w:bookmarkEnd w:id="403"/>
      <w:r>
        <w:t xml:space="preserve">: Table detailing the % errors in the calculated Rs and Rp for the AD NC sample. The errors greater than 10% are indicated in </w:t>
      </w:r>
      <w:proofErr w:type="gramStart"/>
      <w:r>
        <w:t>red</w:t>
      </w:r>
      <w:proofErr w:type="gramEnd"/>
    </w:p>
    <w:tbl>
      <w:tblPr>
        <w:tblStyle w:val="TableGrid"/>
        <w:tblW w:w="0" w:type="auto"/>
        <w:jc w:val="center"/>
        <w:tblLook w:val="04A0" w:firstRow="1" w:lastRow="0" w:firstColumn="1" w:lastColumn="0" w:noHBand="0" w:noVBand="1"/>
      </w:tblPr>
      <w:tblGrid>
        <w:gridCol w:w="891"/>
        <w:gridCol w:w="1344"/>
        <w:gridCol w:w="1112"/>
        <w:gridCol w:w="1291"/>
        <w:gridCol w:w="1143"/>
        <w:gridCol w:w="1321"/>
      </w:tblGrid>
      <w:tr w:rsidR="00007F6C" w14:paraId="10AFF4D9" w14:textId="77777777" w:rsidTr="005E2F1E">
        <w:trPr>
          <w:trHeight w:val="207"/>
          <w:jc w:val="center"/>
        </w:trPr>
        <w:tc>
          <w:tcPr>
            <w:tcW w:w="0" w:type="auto"/>
          </w:tcPr>
          <w:p w14:paraId="58377A53" w14:textId="77777777" w:rsidR="00007F6C" w:rsidRPr="00F17599" w:rsidRDefault="00007F6C" w:rsidP="008C7ED1">
            <w:pPr>
              <w:jc w:val="center"/>
              <w:rPr>
                <w:b/>
                <w:bCs/>
              </w:rPr>
            </w:pPr>
            <w:r w:rsidRPr="00F17599">
              <w:rPr>
                <w:b/>
                <w:bCs/>
              </w:rPr>
              <w:t>Sample</w:t>
            </w:r>
          </w:p>
        </w:tc>
        <w:tc>
          <w:tcPr>
            <w:tcW w:w="0" w:type="auto"/>
          </w:tcPr>
          <w:p w14:paraId="635CB863" w14:textId="77777777" w:rsidR="00007F6C" w:rsidRPr="00F17599" w:rsidRDefault="00007F6C" w:rsidP="008C7ED1">
            <w:pPr>
              <w:jc w:val="center"/>
              <w:rPr>
                <w:b/>
                <w:bCs/>
              </w:rPr>
            </w:pPr>
            <w:r w:rsidRPr="00F17599">
              <w:rPr>
                <w:b/>
                <w:bCs/>
              </w:rPr>
              <w:t>Ageing Time</w:t>
            </w:r>
          </w:p>
        </w:tc>
        <w:tc>
          <w:tcPr>
            <w:tcW w:w="0" w:type="auto"/>
          </w:tcPr>
          <w:p w14:paraId="771A9FEE" w14:textId="77777777" w:rsidR="00007F6C" w:rsidRPr="00F17599" w:rsidRDefault="00007F6C" w:rsidP="008C7ED1">
            <w:pPr>
              <w:jc w:val="center"/>
              <w:rPr>
                <w:b/>
                <w:bCs/>
              </w:rPr>
            </w:pPr>
            <w:r w:rsidRPr="00F17599">
              <w:rPr>
                <w:b/>
                <w:bCs/>
              </w:rPr>
              <w:t>Rs</w:t>
            </w:r>
            <w:r>
              <w:rPr>
                <w:b/>
                <w:bCs/>
              </w:rPr>
              <w:t xml:space="preserve"> </w:t>
            </w:r>
            <w:r>
              <w:rPr>
                <w:rFonts w:cstheme="minorHAnsi"/>
                <w:b/>
                <w:bCs/>
              </w:rPr>
              <w:t>[Ω</w:t>
            </w:r>
            <w:r>
              <w:rPr>
                <w:b/>
                <w:bCs/>
              </w:rPr>
              <w:t>cm</w:t>
            </w:r>
            <w:r>
              <w:rPr>
                <w:b/>
                <w:bCs/>
                <w:vertAlign w:val="superscript"/>
              </w:rPr>
              <w:t>2</w:t>
            </w:r>
            <w:r>
              <w:rPr>
                <w:b/>
                <w:bCs/>
              </w:rPr>
              <w:t>]</w:t>
            </w:r>
          </w:p>
        </w:tc>
        <w:tc>
          <w:tcPr>
            <w:tcW w:w="0" w:type="auto"/>
          </w:tcPr>
          <w:p w14:paraId="537651DD" w14:textId="77777777" w:rsidR="00007F6C" w:rsidRPr="00F17599" w:rsidRDefault="00007F6C" w:rsidP="008C7ED1">
            <w:pPr>
              <w:jc w:val="center"/>
              <w:rPr>
                <w:b/>
                <w:bCs/>
              </w:rPr>
            </w:pPr>
            <w:r w:rsidRPr="00F17599">
              <w:rPr>
                <w:b/>
                <w:bCs/>
              </w:rPr>
              <w:t>Rs Error</w:t>
            </w:r>
            <w:r>
              <w:rPr>
                <w:b/>
                <w:bCs/>
              </w:rPr>
              <w:t xml:space="preserve"> [%]</w:t>
            </w:r>
          </w:p>
        </w:tc>
        <w:tc>
          <w:tcPr>
            <w:tcW w:w="0" w:type="auto"/>
          </w:tcPr>
          <w:p w14:paraId="7D2F7468" w14:textId="77777777" w:rsidR="00007F6C" w:rsidRPr="00F17599" w:rsidRDefault="00007F6C" w:rsidP="008C7ED1">
            <w:pPr>
              <w:jc w:val="center"/>
              <w:rPr>
                <w:b/>
                <w:bCs/>
              </w:rPr>
            </w:pPr>
            <w:r w:rsidRPr="00F17599">
              <w:rPr>
                <w:b/>
                <w:bCs/>
              </w:rPr>
              <w:t>Rp</w:t>
            </w:r>
            <w:r>
              <w:rPr>
                <w:b/>
                <w:bCs/>
              </w:rPr>
              <w:t xml:space="preserve"> </w:t>
            </w:r>
            <w:r>
              <w:rPr>
                <w:rFonts w:cstheme="minorHAnsi"/>
                <w:b/>
                <w:bCs/>
              </w:rPr>
              <w:t>[Ω</w:t>
            </w:r>
            <w:r>
              <w:rPr>
                <w:b/>
                <w:bCs/>
              </w:rPr>
              <w:t>cm</w:t>
            </w:r>
            <w:r>
              <w:rPr>
                <w:b/>
                <w:bCs/>
                <w:vertAlign w:val="superscript"/>
              </w:rPr>
              <w:t>2</w:t>
            </w:r>
            <w:r>
              <w:rPr>
                <w:b/>
                <w:bCs/>
              </w:rPr>
              <w:t>]</w:t>
            </w:r>
          </w:p>
        </w:tc>
        <w:tc>
          <w:tcPr>
            <w:tcW w:w="0" w:type="auto"/>
          </w:tcPr>
          <w:p w14:paraId="2091B3EB" w14:textId="77777777" w:rsidR="00007F6C" w:rsidRPr="00F17599" w:rsidRDefault="00007F6C" w:rsidP="008C7ED1">
            <w:pPr>
              <w:jc w:val="center"/>
              <w:rPr>
                <w:b/>
                <w:bCs/>
              </w:rPr>
            </w:pPr>
            <w:r w:rsidRPr="00F17599">
              <w:rPr>
                <w:b/>
                <w:bCs/>
              </w:rPr>
              <w:t>Rp Error</w:t>
            </w:r>
            <w:r>
              <w:rPr>
                <w:b/>
                <w:bCs/>
              </w:rPr>
              <w:t xml:space="preserve"> [%]</w:t>
            </w:r>
          </w:p>
        </w:tc>
      </w:tr>
      <w:tr w:rsidR="00007F6C" w14:paraId="6BF40021" w14:textId="77777777" w:rsidTr="005E2F1E">
        <w:trPr>
          <w:jc w:val="center"/>
        </w:trPr>
        <w:tc>
          <w:tcPr>
            <w:tcW w:w="0" w:type="auto"/>
            <w:vMerge w:val="restart"/>
          </w:tcPr>
          <w:p w14:paraId="4950DE55" w14:textId="77777777" w:rsidR="00007F6C" w:rsidRDefault="00007F6C" w:rsidP="008C7ED1">
            <w:pPr>
              <w:jc w:val="center"/>
            </w:pPr>
            <w:r>
              <w:t>AD NC</w:t>
            </w:r>
          </w:p>
        </w:tc>
        <w:tc>
          <w:tcPr>
            <w:tcW w:w="0" w:type="auto"/>
          </w:tcPr>
          <w:p w14:paraId="3E6E30E1" w14:textId="77777777" w:rsidR="00007F6C" w:rsidRDefault="00007F6C" w:rsidP="008C7ED1">
            <w:pPr>
              <w:jc w:val="center"/>
            </w:pPr>
            <w:r>
              <w:t>0</w:t>
            </w:r>
          </w:p>
        </w:tc>
        <w:tc>
          <w:tcPr>
            <w:tcW w:w="0" w:type="auto"/>
          </w:tcPr>
          <w:p w14:paraId="245604F3" w14:textId="77777777" w:rsidR="00007F6C" w:rsidRDefault="00007F6C" w:rsidP="008C7ED1">
            <w:pPr>
              <w:jc w:val="right"/>
            </w:pPr>
            <w:r w:rsidRPr="008B29CC">
              <w:t>2.</w:t>
            </w:r>
            <w:r>
              <w:t>60</w:t>
            </w:r>
          </w:p>
        </w:tc>
        <w:tc>
          <w:tcPr>
            <w:tcW w:w="0" w:type="auto"/>
          </w:tcPr>
          <w:p w14:paraId="1308B69F" w14:textId="77777777" w:rsidR="00007F6C" w:rsidRDefault="00007F6C" w:rsidP="008C7ED1">
            <w:pPr>
              <w:jc w:val="right"/>
            </w:pPr>
            <w:r w:rsidRPr="00B32DA5">
              <w:t>1.2</w:t>
            </w:r>
            <w:r>
              <w:t>1</w:t>
            </w:r>
          </w:p>
        </w:tc>
        <w:tc>
          <w:tcPr>
            <w:tcW w:w="0" w:type="auto"/>
          </w:tcPr>
          <w:p w14:paraId="5052AB28" w14:textId="77777777" w:rsidR="00007F6C" w:rsidRDefault="00007F6C" w:rsidP="008C7ED1">
            <w:pPr>
              <w:jc w:val="right"/>
            </w:pPr>
            <w:r w:rsidRPr="0033519A">
              <w:t>22.38</w:t>
            </w:r>
          </w:p>
        </w:tc>
        <w:tc>
          <w:tcPr>
            <w:tcW w:w="0" w:type="auto"/>
          </w:tcPr>
          <w:p w14:paraId="0E7CFC9E" w14:textId="77777777" w:rsidR="00007F6C" w:rsidRDefault="00007F6C" w:rsidP="008C7ED1">
            <w:pPr>
              <w:jc w:val="right"/>
            </w:pPr>
            <w:r w:rsidRPr="005F14C2">
              <w:rPr>
                <w:color w:val="FF0000"/>
              </w:rPr>
              <w:t>16.07</w:t>
            </w:r>
          </w:p>
        </w:tc>
      </w:tr>
      <w:tr w:rsidR="00007F6C" w14:paraId="74C73854" w14:textId="77777777" w:rsidTr="005E2F1E">
        <w:trPr>
          <w:jc w:val="center"/>
        </w:trPr>
        <w:tc>
          <w:tcPr>
            <w:tcW w:w="0" w:type="auto"/>
            <w:vMerge/>
          </w:tcPr>
          <w:p w14:paraId="0AB5DDD0" w14:textId="77777777" w:rsidR="00007F6C" w:rsidRDefault="00007F6C" w:rsidP="008C7ED1"/>
        </w:tc>
        <w:tc>
          <w:tcPr>
            <w:tcW w:w="0" w:type="auto"/>
          </w:tcPr>
          <w:p w14:paraId="7E0B36B9" w14:textId="77777777" w:rsidR="00007F6C" w:rsidRDefault="00007F6C" w:rsidP="008C7ED1">
            <w:pPr>
              <w:jc w:val="center"/>
            </w:pPr>
            <w:r>
              <w:t>5</w:t>
            </w:r>
          </w:p>
        </w:tc>
        <w:tc>
          <w:tcPr>
            <w:tcW w:w="0" w:type="auto"/>
          </w:tcPr>
          <w:p w14:paraId="0F3F3FF6" w14:textId="77777777" w:rsidR="00007F6C" w:rsidRDefault="00007F6C" w:rsidP="008C7ED1">
            <w:pPr>
              <w:jc w:val="right"/>
            </w:pPr>
            <w:r w:rsidRPr="008B29CC">
              <w:t>2.9</w:t>
            </w:r>
            <w:r>
              <w:t>8</w:t>
            </w:r>
          </w:p>
        </w:tc>
        <w:tc>
          <w:tcPr>
            <w:tcW w:w="0" w:type="auto"/>
          </w:tcPr>
          <w:p w14:paraId="08857173" w14:textId="77777777" w:rsidR="00007F6C" w:rsidRDefault="00007F6C" w:rsidP="008C7ED1">
            <w:pPr>
              <w:jc w:val="right"/>
            </w:pPr>
            <w:r w:rsidRPr="00B32DA5">
              <w:t>1.06</w:t>
            </w:r>
          </w:p>
        </w:tc>
        <w:tc>
          <w:tcPr>
            <w:tcW w:w="0" w:type="auto"/>
          </w:tcPr>
          <w:p w14:paraId="025DFB48" w14:textId="77777777" w:rsidR="00007F6C" w:rsidRDefault="00007F6C" w:rsidP="008C7ED1">
            <w:pPr>
              <w:jc w:val="right"/>
            </w:pPr>
            <w:r w:rsidRPr="0033519A">
              <w:t>37.0</w:t>
            </w:r>
            <w:r>
              <w:t>8</w:t>
            </w:r>
          </w:p>
        </w:tc>
        <w:tc>
          <w:tcPr>
            <w:tcW w:w="0" w:type="auto"/>
          </w:tcPr>
          <w:p w14:paraId="6A7DBCF7" w14:textId="77777777" w:rsidR="00007F6C" w:rsidRDefault="00007F6C" w:rsidP="008C7ED1">
            <w:pPr>
              <w:jc w:val="right"/>
            </w:pPr>
            <w:r w:rsidRPr="005D33C5">
              <w:t>7.8</w:t>
            </w:r>
            <w:r>
              <w:t>3</w:t>
            </w:r>
          </w:p>
        </w:tc>
      </w:tr>
      <w:tr w:rsidR="00007F6C" w14:paraId="7CD9AB76" w14:textId="77777777" w:rsidTr="005E2F1E">
        <w:trPr>
          <w:jc w:val="center"/>
        </w:trPr>
        <w:tc>
          <w:tcPr>
            <w:tcW w:w="0" w:type="auto"/>
            <w:vMerge/>
          </w:tcPr>
          <w:p w14:paraId="19C8F53D" w14:textId="77777777" w:rsidR="00007F6C" w:rsidRDefault="00007F6C" w:rsidP="008C7ED1"/>
        </w:tc>
        <w:tc>
          <w:tcPr>
            <w:tcW w:w="0" w:type="auto"/>
          </w:tcPr>
          <w:p w14:paraId="4D74EF6A" w14:textId="77777777" w:rsidR="00007F6C" w:rsidRDefault="00007F6C" w:rsidP="008C7ED1">
            <w:pPr>
              <w:jc w:val="center"/>
            </w:pPr>
            <w:r>
              <w:t>10</w:t>
            </w:r>
          </w:p>
        </w:tc>
        <w:tc>
          <w:tcPr>
            <w:tcW w:w="0" w:type="auto"/>
          </w:tcPr>
          <w:p w14:paraId="1A118F93" w14:textId="77777777" w:rsidR="00007F6C" w:rsidRDefault="00007F6C" w:rsidP="008C7ED1">
            <w:pPr>
              <w:jc w:val="right"/>
            </w:pPr>
            <w:r w:rsidRPr="008B29CC">
              <w:t>3.3</w:t>
            </w:r>
            <w:r>
              <w:t>4</w:t>
            </w:r>
          </w:p>
        </w:tc>
        <w:tc>
          <w:tcPr>
            <w:tcW w:w="0" w:type="auto"/>
          </w:tcPr>
          <w:p w14:paraId="2EBDBA9E" w14:textId="77777777" w:rsidR="00007F6C" w:rsidRDefault="00007F6C" w:rsidP="008C7ED1">
            <w:pPr>
              <w:jc w:val="right"/>
            </w:pPr>
            <w:r w:rsidRPr="00B32DA5">
              <w:t>0.7</w:t>
            </w:r>
            <w:r>
              <w:t>1</w:t>
            </w:r>
          </w:p>
        </w:tc>
        <w:tc>
          <w:tcPr>
            <w:tcW w:w="0" w:type="auto"/>
          </w:tcPr>
          <w:p w14:paraId="3FAD0C6D" w14:textId="77777777" w:rsidR="00007F6C" w:rsidRDefault="00007F6C" w:rsidP="008C7ED1">
            <w:pPr>
              <w:jc w:val="right"/>
            </w:pPr>
            <w:r w:rsidRPr="0033519A">
              <w:t>32.9</w:t>
            </w:r>
            <w:r>
              <w:t>4</w:t>
            </w:r>
          </w:p>
        </w:tc>
        <w:tc>
          <w:tcPr>
            <w:tcW w:w="0" w:type="auto"/>
          </w:tcPr>
          <w:p w14:paraId="6CC280F2" w14:textId="77777777" w:rsidR="00007F6C" w:rsidRDefault="00007F6C" w:rsidP="008C7ED1">
            <w:pPr>
              <w:jc w:val="right"/>
            </w:pPr>
            <w:r w:rsidRPr="005D33C5">
              <w:t>1.32</w:t>
            </w:r>
          </w:p>
        </w:tc>
      </w:tr>
      <w:tr w:rsidR="00007F6C" w14:paraId="6FBD0D61" w14:textId="77777777" w:rsidTr="005E2F1E">
        <w:trPr>
          <w:jc w:val="center"/>
        </w:trPr>
        <w:tc>
          <w:tcPr>
            <w:tcW w:w="0" w:type="auto"/>
            <w:vMerge/>
          </w:tcPr>
          <w:p w14:paraId="4593CF45" w14:textId="77777777" w:rsidR="00007F6C" w:rsidRDefault="00007F6C" w:rsidP="008C7ED1"/>
        </w:tc>
        <w:tc>
          <w:tcPr>
            <w:tcW w:w="0" w:type="auto"/>
          </w:tcPr>
          <w:p w14:paraId="52835837" w14:textId="77777777" w:rsidR="00007F6C" w:rsidRDefault="00007F6C" w:rsidP="008C7ED1">
            <w:pPr>
              <w:jc w:val="center"/>
            </w:pPr>
            <w:r>
              <w:t>15</w:t>
            </w:r>
          </w:p>
        </w:tc>
        <w:tc>
          <w:tcPr>
            <w:tcW w:w="0" w:type="auto"/>
          </w:tcPr>
          <w:p w14:paraId="13DC2122" w14:textId="77777777" w:rsidR="00007F6C" w:rsidRDefault="00007F6C" w:rsidP="008C7ED1">
            <w:pPr>
              <w:jc w:val="right"/>
            </w:pPr>
            <w:r w:rsidRPr="008B29CC">
              <w:t>2.66</w:t>
            </w:r>
          </w:p>
        </w:tc>
        <w:tc>
          <w:tcPr>
            <w:tcW w:w="0" w:type="auto"/>
          </w:tcPr>
          <w:p w14:paraId="7EEFBF15" w14:textId="77777777" w:rsidR="00007F6C" w:rsidRDefault="00007F6C" w:rsidP="008C7ED1">
            <w:pPr>
              <w:jc w:val="right"/>
            </w:pPr>
            <w:r w:rsidRPr="00B32DA5">
              <w:t>8.87</w:t>
            </w:r>
          </w:p>
        </w:tc>
        <w:tc>
          <w:tcPr>
            <w:tcW w:w="0" w:type="auto"/>
          </w:tcPr>
          <w:p w14:paraId="4E828F80" w14:textId="77777777" w:rsidR="00007F6C" w:rsidRDefault="00007F6C" w:rsidP="008C7ED1">
            <w:pPr>
              <w:jc w:val="right"/>
            </w:pPr>
            <w:r w:rsidRPr="0033519A">
              <w:t>33.08</w:t>
            </w:r>
          </w:p>
        </w:tc>
        <w:tc>
          <w:tcPr>
            <w:tcW w:w="0" w:type="auto"/>
          </w:tcPr>
          <w:p w14:paraId="01C7F98B" w14:textId="77777777" w:rsidR="00007F6C" w:rsidRDefault="00007F6C" w:rsidP="008C7ED1">
            <w:pPr>
              <w:jc w:val="right"/>
            </w:pPr>
            <w:r w:rsidRPr="005F14C2">
              <w:rPr>
                <w:color w:val="FF0000"/>
              </w:rPr>
              <w:t>15.06</w:t>
            </w:r>
          </w:p>
        </w:tc>
      </w:tr>
      <w:tr w:rsidR="00007F6C" w14:paraId="3D0CEF45" w14:textId="77777777" w:rsidTr="005E2F1E">
        <w:trPr>
          <w:jc w:val="center"/>
        </w:trPr>
        <w:tc>
          <w:tcPr>
            <w:tcW w:w="0" w:type="auto"/>
            <w:vMerge/>
          </w:tcPr>
          <w:p w14:paraId="42B731CF" w14:textId="77777777" w:rsidR="00007F6C" w:rsidRDefault="00007F6C" w:rsidP="008C7ED1"/>
        </w:tc>
        <w:tc>
          <w:tcPr>
            <w:tcW w:w="0" w:type="auto"/>
          </w:tcPr>
          <w:p w14:paraId="08FEAE71" w14:textId="77777777" w:rsidR="00007F6C" w:rsidRDefault="00007F6C" w:rsidP="008C7ED1">
            <w:pPr>
              <w:jc w:val="center"/>
            </w:pPr>
            <w:r>
              <w:t>20</w:t>
            </w:r>
          </w:p>
        </w:tc>
        <w:tc>
          <w:tcPr>
            <w:tcW w:w="0" w:type="auto"/>
          </w:tcPr>
          <w:p w14:paraId="2D76C92B" w14:textId="77777777" w:rsidR="00007F6C" w:rsidRDefault="00007F6C" w:rsidP="008C7ED1">
            <w:pPr>
              <w:jc w:val="right"/>
            </w:pPr>
            <w:r w:rsidRPr="008B29CC">
              <w:t>3.4</w:t>
            </w:r>
            <w:r>
              <w:t>4</w:t>
            </w:r>
          </w:p>
        </w:tc>
        <w:tc>
          <w:tcPr>
            <w:tcW w:w="0" w:type="auto"/>
          </w:tcPr>
          <w:p w14:paraId="41103F3A" w14:textId="77777777" w:rsidR="00007F6C" w:rsidRDefault="00007F6C" w:rsidP="008C7ED1">
            <w:pPr>
              <w:jc w:val="right"/>
            </w:pPr>
            <w:r w:rsidRPr="00B32DA5">
              <w:t>8.6</w:t>
            </w:r>
            <w:r>
              <w:t>8</w:t>
            </w:r>
          </w:p>
        </w:tc>
        <w:tc>
          <w:tcPr>
            <w:tcW w:w="0" w:type="auto"/>
          </w:tcPr>
          <w:p w14:paraId="27566E49" w14:textId="77777777" w:rsidR="00007F6C" w:rsidRDefault="00007F6C" w:rsidP="008C7ED1">
            <w:pPr>
              <w:jc w:val="right"/>
            </w:pPr>
            <w:r w:rsidRPr="0033519A">
              <w:t>32.4</w:t>
            </w:r>
            <w:r>
              <w:t>2</w:t>
            </w:r>
          </w:p>
        </w:tc>
        <w:tc>
          <w:tcPr>
            <w:tcW w:w="0" w:type="auto"/>
          </w:tcPr>
          <w:p w14:paraId="39D1B4AC" w14:textId="77777777" w:rsidR="00007F6C" w:rsidRDefault="00007F6C" w:rsidP="008C7ED1">
            <w:pPr>
              <w:jc w:val="right"/>
            </w:pPr>
            <w:r w:rsidRPr="005D33C5">
              <w:t>7.1</w:t>
            </w:r>
            <w:r>
              <w:t>7</w:t>
            </w:r>
          </w:p>
        </w:tc>
      </w:tr>
      <w:tr w:rsidR="00007F6C" w14:paraId="70A255D2" w14:textId="77777777" w:rsidTr="005E2F1E">
        <w:trPr>
          <w:jc w:val="center"/>
        </w:trPr>
        <w:tc>
          <w:tcPr>
            <w:tcW w:w="0" w:type="auto"/>
            <w:vMerge/>
          </w:tcPr>
          <w:p w14:paraId="3443FA2A" w14:textId="77777777" w:rsidR="00007F6C" w:rsidRDefault="00007F6C" w:rsidP="008C7ED1"/>
        </w:tc>
        <w:tc>
          <w:tcPr>
            <w:tcW w:w="0" w:type="auto"/>
          </w:tcPr>
          <w:p w14:paraId="2EE0FDC4" w14:textId="77777777" w:rsidR="00007F6C" w:rsidRDefault="00007F6C" w:rsidP="008C7ED1">
            <w:pPr>
              <w:jc w:val="center"/>
            </w:pPr>
            <w:r>
              <w:t>25</w:t>
            </w:r>
          </w:p>
        </w:tc>
        <w:tc>
          <w:tcPr>
            <w:tcW w:w="0" w:type="auto"/>
          </w:tcPr>
          <w:p w14:paraId="0874203F" w14:textId="77777777" w:rsidR="00007F6C" w:rsidRPr="0001380A" w:rsidRDefault="00007F6C" w:rsidP="008C7ED1">
            <w:pPr>
              <w:jc w:val="right"/>
            </w:pPr>
            <w:r w:rsidRPr="008B29CC">
              <w:t>2.8</w:t>
            </w:r>
            <w:r>
              <w:t>3</w:t>
            </w:r>
          </w:p>
        </w:tc>
        <w:tc>
          <w:tcPr>
            <w:tcW w:w="0" w:type="auto"/>
          </w:tcPr>
          <w:p w14:paraId="6A05D4C5" w14:textId="77777777" w:rsidR="00007F6C" w:rsidRPr="005F14C2" w:rsidRDefault="00007F6C" w:rsidP="008C7ED1">
            <w:pPr>
              <w:jc w:val="right"/>
              <w:rPr>
                <w:color w:val="FF0000"/>
              </w:rPr>
            </w:pPr>
            <w:r w:rsidRPr="005F14C2">
              <w:rPr>
                <w:color w:val="FF0000"/>
              </w:rPr>
              <w:t>15.71</w:t>
            </w:r>
          </w:p>
        </w:tc>
        <w:tc>
          <w:tcPr>
            <w:tcW w:w="0" w:type="auto"/>
          </w:tcPr>
          <w:p w14:paraId="7CC07922" w14:textId="77777777" w:rsidR="00007F6C" w:rsidRDefault="00007F6C" w:rsidP="008C7ED1">
            <w:pPr>
              <w:jc w:val="right"/>
            </w:pPr>
            <w:r w:rsidRPr="0033519A">
              <w:t>38.0</w:t>
            </w:r>
            <w:r>
              <w:t>6</w:t>
            </w:r>
          </w:p>
        </w:tc>
        <w:tc>
          <w:tcPr>
            <w:tcW w:w="0" w:type="auto"/>
          </w:tcPr>
          <w:p w14:paraId="7EF3F8F2" w14:textId="77777777" w:rsidR="00007F6C" w:rsidRDefault="00007F6C" w:rsidP="008C7ED1">
            <w:pPr>
              <w:jc w:val="right"/>
            </w:pPr>
            <w:r w:rsidRPr="005D33C5">
              <w:t>5.83</w:t>
            </w:r>
          </w:p>
        </w:tc>
      </w:tr>
      <w:tr w:rsidR="00007F6C" w14:paraId="31054363" w14:textId="77777777" w:rsidTr="005E2F1E">
        <w:trPr>
          <w:jc w:val="center"/>
        </w:trPr>
        <w:tc>
          <w:tcPr>
            <w:tcW w:w="0" w:type="auto"/>
            <w:vMerge/>
          </w:tcPr>
          <w:p w14:paraId="1EC34783" w14:textId="77777777" w:rsidR="00007F6C" w:rsidRDefault="00007F6C" w:rsidP="008C7ED1"/>
        </w:tc>
        <w:tc>
          <w:tcPr>
            <w:tcW w:w="0" w:type="auto"/>
          </w:tcPr>
          <w:p w14:paraId="449B278F" w14:textId="77777777" w:rsidR="00007F6C" w:rsidRDefault="00007F6C" w:rsidP="008C7ED1">
            <w:pPr>
              <w:jc w:val="center"/>
            </w:pPr>
            <w:r>
              <w:t>30</w:t>
            </w:r>
          </w:p>
        </w:tc>
        <w:tc>
          <w:tcPr>
            <w:tcW w:w="0" w:type="auto"/>
          </w:tcPr>
          <w:p w14:paraId="0F4970EB" w14:textId="77777777" w:rsidR="00007F6C" w:rsidRPr="0001380A" w:rsidRDefault="00007F6C" w:rsidP="008C7ED1">
            <w:pPr>
              <w:jc w:val="right"/>
            </w:pPr>
            <w:r w:rsidRPr="008B29CC">
              <w:t>2.5</w:t>
            </w:r>
            <w:r>
              <w:t>1</w:t>
            </w:r>
          </w:p>
        </w:tc>
        <w:tc>
          <w:tcPr>
            <w:tcW w:w="0" w:type="auto"/>
          </w:tcPr>
          <w:p w14:paraId="0F7DA44B" w14:textId="77777777" w:rsidR="00007F6C" w:rsidRPr="005F14C2" w:rsidRDefault="00007F6C" w:rsidP="008C7ED1">
            <w:pPr>
              <w:jc w:val="right"/>
              <w:rPr>
                <w:color w:val="FF0000"/>
              </w:rPr>
            </w:pPr>
            <w:r w:rsidRPr="005F14C2">
              <w:rPr>
                <w:color w:val="FF0000"/>
              </w:rPr>
              <w:t>56.36</w:t>
            </w:r>
          </w:p>
        </w:tc>
        <w:tc>
          <w:tcPr>
            <w:tcW w:w="0" w:type="auto"/>
          </w:tcPr>
          <w:p w14:paraId="62147835" w14:textId="77777777" w:rsidR="00007F6C" w:rsidRDefault="00007F6C" w:rsidP="008C7ED1">
            <w:pPr>
              <w:jc w:val="right"/>
            </w:pPr>
            <w:r w:rsidRPr="0033519A">
              <w:t>40.4</w:t>
            </w:r>
            <w:r>
              <w:t>7</w:t>
            </w:r>
          </w:p>
        </w:tc>
        <w:tc>
          <w:tcPr>
            <w:tcW w:w="0" w:type="auto"/>
          </w:tcPr>
          <w:p w14:paraId="4654747A" w14:textId="77777777" w:rsidR="00007F6C" w:rsidRDefault="00007F6C" w:rsidP="008C7ED1">
            <w:pPr>
              <w:jc w:val="right"/>
            </w:pPr>
            <w:r w:rsidRPr="005D33C5">
              <w:t>5.7</w:t>
            </w:r>
            <w:r>
              <w:t>8</w:t>
            </w:r>
          </w:p>
        </w:tc>
      </w:tr>
      <w:tr w:rsidR="00007F6C" w14:paraId="4F8DF348" w14:textId="77777777" w:rsidTr="005E2F1E">
        <w:trPr>
          <w:jc w:val="center"/>
        </w:trPr>
        <w:tc>
          <w:tcPr>
            <w:tcW w:w="0" w:type="auto"/>
            <w:vMerge/>
          </w:tcPr>
          <w:p w14:paraId="31F7095A" w14:textId="77777777" w:rsidR="00007F6C" w:rsidRDefault="00007F6C" w:rsidP="008C7ED1"/>
        </w:tc>
        <w:tc>
          <w:tcPr>
            <w:tcW w:w="0" w:type="auto"/>
          </w:tcPr>
          <w:p w14:paraId="6D2E9A1C" w14:textId="77777777" w:rsidR="00007F6C" w:rsidRDefault="00007F6C" w:rsidP="008C7ED1">
            <w:pPr>
              <w:jc w:val="center"/>
            </w:pPr>
            <w:r>
              <w:t>35</w:t>
            </w:r>
          </w:p>
        </w:tc>
        <w:tc>
          <w:tcPr>
            <w:tcW w:w="0" w:type="auto"/>
          </w:tcPr>
          <w:p w14:paraId="2FDB0AE6" w14:textId="77777777" w:rsidR="00007F6C" w:rsidRPr="0001380A" w:rsidRDefault="00007F6C" w:rsidP="008C7ED1">
            <w:pPr>
              <w:jc w:val="right"/>
            </w:pPr>
            <w:r w:rsidRPr="008B29CC">
              <w:t>4.2</w:t>
            </w:r>
            <w:r>
              <w:t>3</w:t>
            </w:r>
          </w:p>
        </w:tc>
        <w:tc>
          <w:tcPr>
            <w:tcW w:w="0" w:type="auto"/>
          </w:tcPr>
          <w:p w14:paraId="013DF499" w14:textId="77777777" w:rsidR="00007F6C" w:rsidRDefault="00007F6C" w:rsidP="008C7ED1">
            <w:pPr>
              <w:jc w:val="right"/>
            </w:pPr>
            <w:r w:rsidRPr="00B32DA5">
              <w:t>0.4</w:t>
            </w:r>
            <w:r>
              <w:t>3</w:t>
            </w:r>
          </w:p>
        </w:tc>
        <w:tc>
          <w:tcPr>
            <w:tcW w:w="0" w:type="auto"/>
          </w:tcPr>
          <w:p w14:paraId="40DD394B" w14:textId="77777777" w:rsidR="00007F6C" w:rsidRDefault="00007F6C" w:rsidP="008C7ED1">
            <w:pPr>
              <w:jc w:val="right"/>
            </w:pPr>
            <w:r w:rsidRPr="0033519A">
              <w:t>38.90</w:t>
            </w:r>
          </w:p>
        </w:tc>
        <w:tc>
          <w:tcPr>
            <w:tcW w:w="0" w:type="auto"/>
          </w:tcPr>
          <w:p w14:paraId="01EBD66E" w14:textId="77777777" w:rsidR="00007F6C" w:rsidRDefault="00007F6C" w:rsidP="008C7ED1">
            <w:pPr>
              <w:jc w:val="right"/>
            </w:pPr>
            <w:r w:rsidRPr="005D33C5">
              <w:t>1.0</w:t>
            </w:r>
            <w:r>
              <w:t>6</w:t>
            </w:r>
          </w:p>
        </w:tc>
      </w:tr>
      <w:tr w:rsidR="00007F6C" w14:paraId="064323E0" w14:textId="77777777" w:rsidTr="005E2F1E">
        <w:trPr>
          <w:jc w:val="center"/>
        </w:trPr>
        <w:tc>
          <w:tcPr>
            <w:tcW w:w="0" w:type="auto"/>
            <w:vMerge/>
          </w:tcPr>
          <w:p w14:paraId="13BAE947" w14:textId="77777777" w:rsidR="00007F6C" w:rsidRDefault="00007F6C" w:rsidP="008C7ED1"/>
        </w:tc>
        <w:tc>
          <w:tcPr>
            <w:tcW w:w="0" w:type="auto"/>
          </w:tcPr>
          <w:p w14:paraId="0494044A" w14:textId="77777777" w:rsidR="00007F6C" w:rsidRDefault="00007F6C" w:rsidP="008C7ED1">
            <w:pPr>
              <w:jc w:val="center"/>
            </w:pPr>
            <w:r>
              <w:t>40</w:t>
            </w:r>
          </w:p>
        </w:tc>
        <w:tc>
          <w:tcPr>
            <w:tcW w:w="0" w:type="auto"/>
          </w:tcPr>
          <w:p w14:paraId="3D7546E7" w14:textId="77777777" w:rsidR="00007F6C" w:rsidRPr="0001380A" w:rsidRDefault="00007F6C" w:rsidP="008C7ED1">
            <w:pPr>
              <w:jc w:val="right"/>
            </w:pPr>
            <w:r w:rsidRPr="008B29CC">
              <w:t>4.4</w:t>
            </w:r>
            <w:r>
              <w:t>8</w:t>
            </w:r>
          </w:p>
        </w:tc>
        <w:tc>
          <w:tcPr>
            <w:tcW w:w="0" w:type="auto"/>
          </w:tcPr>
          <w:p w14:paraId="572DD259" w14:textId="77777777" w:rsidR="00007F6C" w:rsidRDefault="00007F6C" w:rsidP="008C7ED1">
            <w:pPr>
              <w:jc w:val="right"/>
            </w:pPr>
            <w:r w:rsidRPr="00B32DA5">
              <w:t>0.26</w:t>
            </w:r>
          </w:p>
        </w:tc>
        <w:tc>
          <w:tcPr>
            <w:tcW w:w="0" w:type="auto"/>
          </w:tcPr>
          <w:p w14:paraId="13EB96A6" w14:textId="77777777" w:rsidR="00007F6C" w:rsidRDefault="00007F6C" w:rsidP="008C7ED1">
            <w:pPr>
              <w:jc w:val="right"/>
            </w:pPr>
            <w:r w:rsidRPr="0033519A">
              <w:t>33.7</w:t>
            </w:r>
            <w:r>
              <w:t>6</w:t>
            </w:r>
          </w:p>
        </w:tc>
        <w:tc>
          <w:tcPr>
            <w:tcW w:w="0" w:type="auto"/>
          </w:tcPr>
          <w:p w14:paraId="4FFF0A83" w14:textId="77777777" w:rsidR="00007F6C" w:rsidRDefault="00007F6C" w:rsidP="008C7ED1">
            <w:pPr>
              <w:jc w:val="right"/>
            </w:pPr>
            <w:r w:rsidRPr="005D33C5">
              <w:t>1.93</w:t>
            </w:r>
          </w:p>
        </w:tc>
      </w:tr>
      <w:tr w:rsidR="00007F6C" w14:paraId="26634139" w14:textId="77777777" w:rsidTr="005E2F1E">
        <w:trPr>
          <w:jc w:val="center"/>
        </w:trPr>
        <w:tc>
          <w:tcPr>
            <w:tcW w:w="0" w:type="auto"/>
            <w:vMerge/>
          </w:tcPr>
          <w:p w14:paraId="58C40B82" w14:textId="77777777" w:rsidR="00007F6C" w:rsidRDefault="00007F6C" w:rsidP="008C7ED1"/>
        </w:tc>
        <w:tc>
          <w:tcPr>
            <w:tcW w:w="0" w:type="auto"/>
          </w:tcPr>
          <w:p w14:paraId="73FA70D6" w14:textId="77777777" w:rsidR="00007F6C" w:rsidRDefault="00007F6C" w:rsidP="008C7ED1">
            <w:pPr>
              <w:jc w:val="center"/>
            </w:pPr>
            <w:r>
              <w:t>45</w:t>
            </w:r>
          </w:p>
        </w:tc>
        <w:tc>
          <w:tcPr>
            <w:tcW w:w="0" w:type="auto"/>
          </w:tcPr>
          <w:p w14:paraId="69C7B02F" w14:textId="77777777" w:rsidR="00007F6C" w:rsidRPr="0001380A" w:rsidRDefault="00007F6C" w:rsidP="008C7ED1">
            <w:pPr>
              <w:jc w:val="right"/>
            </w:pPr>
            <w:r w:rsidRPr="008B29CC">
              <w:t>4.49</w:t>
            </w:r>
          </w:p>
        </w:tc>
        <w:tc>
          <w:tcPr>
            <w:tcW w:w="0" w:type="auto"/>
          </w:tcPr>
          <w:p w14:paraId="2CBEF163" w14:textId="77777777" w:rsidR="00007F6C" w:rsidRDefault="00007F6C" w:rsidP="008C7ED1">
            <w:pPr>
              <w:jc w:val="right"/>
            </w:pPr>
            <w:r w:rsidRPr="00B32DA5">
              <w:t>0.2</w:t>
            </w:r>
            <w:r>
              <w:t>4</w:t>
            </w:r>
          </w:p>
        </w:tc>
        <w:tc>
          <w:tcPr>
            <w:tcW w:w="0" w:type="auto"/>
          </w:tcPr>
          <w:p w14:paraId="343F3589" w14:textId="77777777" w:rsidR="00007F6C" w:rsidRDefault="00007F6C" w:rsidP="008C7ED1">
            <w:pPr>
              <w:jc w:val="right"/>
            </w:pPr>
            <w:r w:rsidRPr="0033519A">
              <w:t>35.74</w:t>
            </w:r>
          </w:p>
        </w:tc>
        <w:tc>
          <w:tcPr>
            <w:tcW w:w="0" w:type="auto"/>
          </w:tcPr>
          <w:p w14:paraId="77F5A90D" w14:textId="77777777" w:rsidR="00007F6C" w:rsidRDefault="00007F6C" w:rsidP="008C7ED1">
            <w:pPr>
              <w:jc w:val="right"/>
            </w:pPr>
            <w:r w:rsidRPr="005D33C5">
              <w:t>1.6</w:t>
            </w:r>
            <w:r>
              <w:t>1</w:t>
            </w:r>
          </w:p>
        </w:tc>
      </w:tr>
      <w:tr w:rsidR="00007F6C" w14:paraId="3C2ADB26" w14:textId="77777777" w:rsidTr="005E2F1E">
        <w:trPr>
          <w:jc w:val="center"/>
        </w:trPr>
        <w:tc>
          <w:tcPr>
            <w:tcW w:w="0" w:type="auto"/>
            <w:vMerge/>
          </w:tcPr>
          <w:p w14:paraId="48C9F7F4" w14:textId="77777777" w:rsidR="00007F6C" w:rsidRDefault="00007F6C" w:rsidP="008C7ED1"/>
        </w:tc>
        <w:tc>
          <w:tcPr>
            <w:tcW w:w="0" w:type="auto"/>
          </w:tcPr>
          <w:p w14:paraId="073A3A17" w14:textId="77777777" w:rsidR="00007F6C" w:rsidRDefault="00007F6C" w:rsidP="008C7ED1">
            <w:pPr>
              <w:jc w:val="center"/>
            </w:pPr>
            <w:r>
              <w:t>50</w:t>
            </w:r>
          </w:p>
        </w:tc>
        <w:tc>
          <w:tcPr>
            <w:tcW w:w="0" w:type="auto"/>
          </w:tcPr>
          <w:p w14:paraId="5FD32DCA" w14:textId="77777777" w:rsidR="00007F6C" w:rsidRPr="0001380A" w:rsidRDefault="00007F6C" w:rsidP="008C7ED1">
            <w:pPr>
              <w:jc w:val="right"/>
            </w:pPr>
            <w:r w:rsidRPr="008B29CC">
              <w:t>4.</w:t>
            </w:r>
            <w:r>
              <w:t>50</w:t>
            </w:r>
          </w:p>
        </w:tc>
        <w:tc>
          <w:tcPr>
            <w:tcW w:w="0" w:type="auto"/>
          </w:tcPr>
          <w:p w14:paraId="43908961" w14:textId="77777777" w:rsidR="00007F6C" w:rsidRDefault="00007F6C" w:rsidP="008C7ED1">
            <w:pPr>
              <w:jc w:val="right"/>
            </w:pPr>
            <w:r w:rsidRPr="00B32DA5">
              <w:t>0.2</w:t>
            </w:r>
            <w:r>
              <w:t>5</w:t>
            </w:r>
          </w:p>
        </w:tc>
        <w:tc>
          <w:tcPr>
            <w:tcW w:w="0" w:type="auto"/>
          </w:tcPr>
          <w:p w14:paraId="1AF336C4" w14:textId="77777777" w:rsidR="00007F6C" w:rsidRDefault="00007F6C" w:rsidP="008C7ED1">
            <w:pPr>
              <w:jc w:val="right"/>
            </w:pPr>
            <w:r w:rsidRPr="0033519A">
              <w:t>36.88</w:t>
            </w:r>
          </w:p>
        </w:tc>
        <w:tc>
          <w:tcPr>
            <w:tcW w:w="0" w:type="auto"/>
          </w:tcPr>
          <w:p w14:paraId="7F88BF96" w14:textId="77777777" w:rsidR="00007F6C" w:rsidRDefault="00007F6C" w:rsidP="008C7ED1">
            <w:pPr>
              <w:jc w:val="right"/>
            </w:pPr>
            <w:r w:rsidRPr="005D33C5">
              <w:t>1.5</w:t>
            </w:r>
            <w:r>
              <w:t>7</w:t>
            </w:r>
          </w:p>
        </w:tc>
      </w:tr>
    </w:tbl>
    <w:p w14:paraId="53260BCF" w14:textId="77777777" w:rsidR="00007F6C" w:rsidRDefault="00007F6C" w:rsidP="008C7ED1">
      <w:pPr>
        <w:jc w:val="both"/>
      </w:pPr>
    </w:p>
    <w:p w14:paraId="759FD738" w14:textId="72B0C74B" w:rsidR="00007F6C" w:rsidRPr="005F14C2" w:rsidRDefault="00007F6C" w:rsidP="008C7ED1">
      <w:pPr>
        <w:jc w:val="both"/>
      </w:pPr>
      <w:r>
        <w:t xml:space="preserve">Errors exceeding 10 % are displayed by in </w:t>
      </w:r>
      <w:r>
        <w:fldChar w:fldCharType="begin"/>
      </w:r>
      <w:r>
        <w:instrText xml:space="preserve"> REF _Ref42000012 \h  \* MERGEFORMAT </w:instrText>
      </w:r>
      <w:r>
        <w:fldChar w:fldCharType="separate"/>
      </w:r>
      <w:r w:rsidR="00650F8E">
        <w:t xml:space="preserve">Table </w:t>
      </w:r>
      <w:r w:rsidR="00650F8E">
        <w:rPr>
          <w:noProof/>
        </w:rPr>
        <w:t>4.10</w:t>
      </w:r>
      <w:r>
        <w:fldChar w:fldCharType="end"/>
      </w:r>
      <w:r>
        <w:t xml:space="preserve"> by the presence of red writing.  For the series resistance the modelled R</w:t>
      </w:r>
      <w:r>
        <w:rPr>
          <w:vertAlign w:val="subscript"/>
        </w:rPr>
        <w:t>S</w:t>
      </w:r>
      <w:r>
        <w:t xml:space="preserve"> is appears to have dipped in the 25-30 h region leading to an increased error. The error in the Rp at 0h is due to noise in the data between 0.1-2000 Hz from the second emerging impedance arc. An example of the fit is provided below in </w:t>
      </w:r>
      <w:r>
        <w:fldChar w:fldCharType="begin"/>
      </w:r>
      <w:r>
        <w:instrText xml:space="preserve"> REF _Ref42000590 \h  \* MERGEFORMAT </w:instrText>
      </w:r>
      <w:r>
        <w:fldChar w:fldCharType="separate"/>
      </w:r>
      <w:r w:rsidR="00650F8E">
        <w:t>Figure 4.34</w:t>
      </w:r>
      <w:r>
        <w:fldChar w:fldCharType="end"/>
      </w:r>
      <w:r>
        <w:t xml:space="preserve">. The fitting for 0-50 h in 10 h increments can be found in </w:t>
      </w:r>
      <w:r>
        <w:fldChar w:fldCharType="begin"/>
      </w:r>
      <w:r>
        <w:instrText xml:space="preserve"> REF _Ref41316003 \h </w:instrText>
      </w:r>
      <w:r>
        <w:fldChar w:fldCharType="separate"/>
      </w:r>
      <w:r w:rsidR="00650F8E">
        <w:t>Figure 4.</w:t>
      </w:r>
      <w:r w:rsidR="00650F8E">
        <w:rPr>
          <w:noProof/>
        </w:rPr>
        <w:t>28</w:t>
      </w:r>
      <w:r>
        <w:fldChar w:fldCharType="end"/>
      </w:r>
      <w:r>
        <w:t>.</w:t>
      </w:r>
    </w:p>
    <w:p w14:paraId="10106314" w14:textId="77777777" w:rsidR="00007F6C" w:rsidRDefault="00007F6C" w:rsidP="008C7ED1">
      <w:pPr>
        <w:keepNext/>
        <w:jc w:val="center"/>
      </w:pPr>
      <w:r w:rsidRPr="00940BF4">
        <w:rPr>
          <w:noProof/>
        </w:rPr>
        <w:lastRenderedPageBreak/>
        <w:drawing>
          <wp:inline distT="0" distB="0" distL="0" distR="0" wp14:anchorId="5BB6D3EC" wp14:editId="5F6916A1">
            <wp:extent cx="4320000" cy="3510001"/>
            <wp:effectExtent l="0" t="0" r="444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0">
                      <a:extLst>
                        <a:ext uri="{28A0092B-C50C-407E-A947-70E740481C1C}">
                          <a14:useLocalDpi xmlns:a14="http://schemas.microsoft.com/office/drawing/2010/main" val="0"/>
                        </a:ext>
                      </a:extLst>
                    </a:blip>
                    <a:srcRect l="6422" t="9309" r="12844" b="4805"/>
                    <a:stretch/>
                  </pic:blipFill>
                  <pic:spPr bwMode="auto">
                    <a:xfrm>
                      <a:off x="0" y="0"/>
                      <a:ext cx="4320000" cy="3510001"/>
                    </a:xfrm>
                    <a:prstGeom prst="rect">
                      <a:avLst/>
                    </a:prstGeom>
                    <a:noFill/>
                    <a:ln>
                      <a:noFill/>
                    </a:ln>
                    <a:extLst>
                      <a:ext uri="{53640926-AAD7-44D8-BBD7-CCE9431645EC}">
                        <a14:shadowObscured xmlns:a14="http://schemas.microsoft.com/office/drawing/2010/main"/>
                      </a:ext>
                    </a:extLst>
                  </pic:spPr>
                </pic:pic>
              </a:graphicData>
            </a:graphic>
          </wp:inline>
        </w:drawing>
      </w:r>
    </w:p>
    <w:p w14:paraId="5FB5A0C0" w14:textId="558F667A" w:rsidR="00007F6C" w:rsidRDefault="00007F6C" w:rsidP="008C7ED1">
      <w:pPr>
        <w:pStyle w:val="Caption"/>
      </w:pPr>
      <w:bookmarkStart w:id="404" w:name="_Ref42000590"/>
      <w:bookmarkStart w:id="405" w:name="_Toc69115008"/>
      <w:r>
        <w:t>Figure 4.</w:t>
      </w:r>
      <w:r w:rsidR="00B51F53">
        <w:fldChar w:fldCharType="begin"/>
      </w:r>
      <w:r w:rsidR="00B51F53">
        <w:instrText xml:space="preserve"> SEQ Figure \* ARABIC </w:instrText>
      </w:r>
      <w:r w:rsidR="00B51F53">
        <w:fldChar w:fldCharType="separate"/>
      </w:r>
      <w:r w:rsidR="00650F8E">
        <w:rPr>
          <w:noProof/>
        </w:rPr>
        <w:t>34</w:t>
      </w:r>
      <w:r w:rsidR="00B51F53">
        <w:rPr>
          <w:noProof/>
        </w:rPr>
        <w:fldChar w:fldCharType="end"/>
      </w:r>
      <w:bookmarkEnd w:id="404"/>
      <w:r>
        <w:t xml:space="preserve">: The EC fit of the AD NC sample using an EC utilised 1R and 2RQ in </w:t>
      </w:r>
      <w:proofErr w:type="gramStart"/>
      <w:r>
        <w:t>series</w:t>
      </w:r>
      <w:bookmarkEnd w:id="405"/>
      <w:proofErr w:type="gramEnd"/>
    </w:p>
    <w:p w14:paraId="55E4BF37" w14:textId="77777777" w:rsidR="00007F6C" w:rsidRDefault="00007F6C" w:rsidP="008C7ED1">
      <w:pPr>
        <w:jc w:val="both"/>
      </w:pPr>
      <w:r>
        <w:t xml:space="preserve">The modelled dataset possessed had a reduction of 11.22 % reduction in the change in Rp compared to its experimental counterpart. Despite the magnitude of this change, the fit still retained the same characteristics for the Rp across 50h. The average error across the Rp fit being 5.93 % which is considering that </w:t>
      </w:r>
      <w:proofErr w:type="spellStart"/>
      <w:r>
        <w:t>ZView</w:t>
      </w:r>
      <w:proofErr w:type="spellEnd"/>
      <w:r>
        <w:t xml:space="preserve"> struggles to quantify the overlap between the electrode impedance contributions is acceptable. Both the experimental and EC data underline the fact that the rate of Rp degradation is reduced by using a N</w:t>
      </w:r>
      <w:r>
        <w:rPr>
          <w:vertAlign w:val="subscript"/>
        </w:rPr>
        <w:t>2</w:t>
      </w:r>
      <w:r>
        <w:t xml:space="preserve"> calcination step. </w:t>
      </w:r>
    </w:p>
    <w:p w14:paraId="652A63FA" w14:textId="77777777" w:rsidR="00007F6C" w:rsidRPr="00AA6E11" w:rsidRDefault="00007F6C" w:rsidP="008C7ED1">
      <w:pPr>
        <w:pStyle w:val="Heading4"/>
      </w:pPr>
      <w:r>
        <w:t>ND NC</w:t>
      </w:r>
    </w:p>
    <w:p w14:paraId="264A608A" w14:textId="77777777" w:rsidR="00007F6C" w:rsidRDefault="00007F6C" w:rsidP="008C7ED1">
      <w:pPr>
        <w:jc w:val="both"/>
      </w:pPr>
      <w:r>
        <w:t>This sample was unique in the infiltrated dataset due to its Nyquist plot showing the presence of three distinct impedance arcs. These arcs ranged from:</w:t>
      </w:r>
    </w:p>
    <w:p w14:paraId="0E664522" w14:textId="77777777" w:rsidR="00007F6C" w:rsidRDefault="00007F6C" w:rsidP="008C7ED1">
      <w:pPr>
        <w:pStyle w:val="ListParagraph"/>
        <w:numPr>
          <w:ilvl w:val="0"/>
          <w:numId w:val="29"/>
        </w:numPr>
        <w:jc w:val="both"/>
      </w:pPr>
      <w:r>
        <w:t>1500 – 65000 Hz</w:t>
      </w:r>
      <w:r>
        <w:tab/>
        <w:t>Electrode contribution</w:t>
      </w:r>
    </w:p>
    <w:p w14:paraId="0476E945" w14:textId="77777777" w:rsidR="00007F6C" w:rsidRDefault="00007F6C" w:rsidP="008C7ED1">
      <w:pPr>
        <w:pStyle w:val="ListParagraph"/>
        <w:numPr>
          <w:ilvl w:val="0"/>
          <w:numId w:val="29"/>
        </w:numPr>
        <w:jc w:val="both"/>
      </w:pPr>
      <w:r>
        <w:t>10 - 1500 Hz</w:t>
      </w:r>
      <w:r>
        <w:tab/>
      </w:r>
      <w:r>
        <w:tab/>
        <w:t>Meso frequency gas diffusion impedance from porous transport</w:t>
      </w:r>
    </w:p>
    <w:p w14:paraId="60DFAD38" w14:textId="77777777" w:rsidR="00007F6C" w:rsidRDefault="00007F6C" w:rsidP="008C7ED1">
      <w:pPr>
        <w:pStyle w:val="ListParagraph"/>
        <w:numPr>
          <w:ilvl w:val="0"/>
          <w:numId w:val="29"/>
        </w:numPr>
        <w:jc w:val="both"/>
      </w:pPr>
      <w:r>
        <w:t xml:space="preserve">0.1 - 10 Hz </w:t>
      </w:r>
      <w:r>
        <w:tab/>
      </w:r>
      <w:r>
        <w:tab/>
        <w:t>Gas diffusion impedance</w:t>
      </w:r>
    </w:p>
    <w:p w14:paraId="00051D2E" w14:textId="77777777" w:rsidR="00007F6C" w:rsidRDefault="00007F6C" w:rsidP="008C7ED1">
      <w:pPr>
        <w:pStyle w:val="ListParagraph"/>
        <w:jc w:val="both"/>
      </w:pPr>
    </w:p>
    <w:p w14:paraId="5F3D2D66" w14:textId="77777777" w:rsidR="00007F6C" w:rsidRDefault="00007F6C" w:rsidP="008C7ED1">
      <w:pPr>
        <w:keepNext/>
        <w:jc w:val="center"/>
      </w:pPr>
      <w:r>
        <w:rPr>
          <w:noProof/>
        </w:rPr>
        <w:drawing>
          <wp:inline distT="0" distB="0" distL="0" distR="0" wp14:anchorId="0F45A681" wp14:editId="7E116C84">
            <wp:extent cx="3667720" cy="581025"/>
            <wp:effectExtent l="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22435" t="43430" r="43995" b="47114"/>
                    <a:stretch/>
                  </pic:blipFill>
                  <pic:spPr bwMode="auto">
                    <a:xfrm>
                      <a:off x="0" y="0"/>
                      <a:ext cx="3674625" cy="582119"/>
                    </a:xfrm>
                    <a:prstGeom prst="rect">
                      <a:avLst/>
                    </a:prstGeom>
                    <a:ln>
                      <a:noFill/>
                    </a:ln>
                    <a:extLst>
                      <a:ext uri="{53640926-AAD7-44D8-BBD7-CCE9431645EC}">
                        <a14:shadowObscured xmlns:a14="http://schemas.microsoft.com/office/drawing/2010/main"/>
                      </a:ext>
                    </a:extLst>
                  </pic:spPr>
                </pic:pic>
              </a:graphicData>
            </a:graphic>
          </wp:inline>
        </w:drawing>
      </w:r>
    </w:p>
    <w:p w14:paraId="49038B08" w14:textId="027661B9" w:rsidR="00007F6C" w:rsidRDefault="00007F6C" w:rsidP="008C7ED1">
      <w:pPr>
        <w:pStyle w:val="Caption"/>
      </w:pPr>
      <w:bookmarkStart w:id="406" w:name="_Ref41989056"/>
      <w:bookmarkStart w:id="407" w:name="_Toc69115009"/>
      <w:r>
        <w:t>Figure 4.</w:t>
      </w:r>
      <w:r w:rsidR="00B51F53">
        <w:fldChar w:fldCharType="begin"/>
      </w:r>
      <w:r w:rsidR="00B51F53">
        <w:instrText xml:space="preserve"> SEQ Figure \* ARABIC </w:instrText>
      </w:r>
      <w:r w:rsidR="00B51F53">
        <w:fldChar w:fldCharType="separate"/>
      </w:r>
      <w:r w:rsidR="00C73B12">
        <w:rPr>
          <w:noProof/>
        </w:rPr>
        <w:t>104</w:t>
      </w:r>
      <w:r w:rsidR="00B51F53">
        <w:rPr>
          <w:noProof/>
        </w:rPr>
        <w:fldChar w:fldCharType="end"/>
      </w:r>
      <w:bookmarkEnd w:id="406"/>
      <w:r>
        <w:t xml:space="preserve">: </w:t>
      </w:r>
      <w:bookmarkStart w:id="408" w:name="_Hlk48204882"/>
      <w:r>
        <w:t xml:space="preserve">EC circuit used to fit the ND AC wet impregnated </w:t>
      </w:r>
      <w:proofErr w:type="gramStart"/>
      <w:r>
        <w:t>sample</w:t>
      </w:r>
      <w:bookmarkEnd w:id="408"/>
      <w:bookmarkEnd w:id="407"/>
      <w:proofErr w:type="gramEnd"/>
    </w:p>
    <w:p w14:paraId="27F9859A" w14:textId="65FFB4D5" w:rsidR="00007F6C" w:rsidRDefault="00007F6C" w:rsidP="008C7ED1">
      <w:pPr>
        <w:jc w:val="both"/>
      </w:pPr>
      <w:r>
        <w:t xml:space="preserve">From inspection of the theta vs frequency plot these three arcs are confirmed in the experimental data. The unique arc (10-1500 Hz) in this sample is visualised more clearly as a shoulder in </w:t>
      </w:r>
      <w:r>
        <w:fldChar w:fldCharType="begin"/>
      </w:r>
      <w:r>
        <w:instrText xml:space="preserve"> REF _Ref41989421 \h  \* MERGEFORMAT </w:instrText>
      </w:r>
      <w:r>
        <w:fldChar w:fldCharType="separate"/>
      </w:r>
      <w:r w:rsidR="00650F8E">
        <w:t>Figure 4.36</w:t>
      </w:r>
      <w:r>
        <w:fldChar w:fldCharType="end"/>
      </w:r>
      <w:r>
        <w:t>. The magnitude of the fit polarisation resistance was modelled sing a resistor and three RQ circuits in series (</w:t>
      </w:r>
      <w:r>
        <w:fldChar w:fldCharType="begin"/>
      </w:r>
      <w:r>
        <w:instrText xml:space="preserve"> REF _Ref41989056 \h  \* MERGEFORMAT </w:instrText>
      </w:r>
      <w:r>
        <w:fldChar w:fldCharType="separate"/>
      </w:r>
      <w:r w:rsidR="00650F8E">
        <w:t>Figure 4.104</w:t>
      </w:r>
      <w:r>
        <w:fldChar w:fldCharType="end"/>
      </w:r>
      <w:r>
        <w:t xml:space="preserve">). The third RQ component was added to help simulate the 10-1500 Hz impedance arc which was only present in this sample. EC fitting of the data between 0 – 50 h of ageing can be found in </w:t>
      </w:r>
      <w:r>
        <w:fldChar w:fldCharType="begin"/>
      </w:r>
      <w:r>
        <w:instrText xml:space="preserve"> REF _Ref41315996 \h </w:instrText>
      </w:r>
      <w:r>
        <w:fldChar w:fldCharType="separate"/>
      </w:r>
      <w:r>
        <w:t>Figure 4.</w:t>
      </w:r>
      <w:r>
        <w:rPr>
          <w:noProof/>
        </w:rPr>
        <w:t>28</w:t>
      </w:r>
      <w:r>
        <w:fldChar w:fldCharType="end"/>
      </w:r>
      <w:r>
        <w:t>.</w:t>
      </w:r>
    </w:p>
    <w:p w14:paraId="2A873AAA" w14:textId="77777777" w:rsidR="00007F6C" w:rsidRDefault="00007F6C" w:rsidP="008C7ED1">
      <w:pPr>
        <w:keepNext/>
        <w:jc w:val="center"/>
      </w:pPr>
      <w:r>
        <w:rPr>
          <w:noProof/>
        </w:rPr>
        <w:lastRenderedPageBreak/>
        <w:drawing>
          <wp:inline distT="0" distB="0" distL="0" distR="0" wp14:anchorId="7D7CF2FE" wp14:editId="3D8301F8">
            <wp:extent cx="4491334" cy="3615267"/>
            <wp:effectExtent l="0" t="0" r="508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510796" cy="3630933"/>
                    </a:xfrm>
                    <a:prstGeom prst="rect">
                      <a:avLst/>
                    </a:prstGeom>
                    <a:noFill/>
                  </pic:spPr>
                </pic:pic>
              </a:graphicData>
            </a:graphic>
          </wp:inline>
        </w:drawing>
      </w:r>
    </w:p>
    <w:p w14:paraId="20E25DCE" w14:textId="1549B626" w:rsidR="00007F6C" w:rsidRDefault="00007F6C" w:rsidP="008C7ED1">
      <w:pPr>
        <w:pStyle w:val="Caption"/>
      </w:pPr>
      <w:bookmarkStart w:id="409" w:name="_Ref41989421"/>
      <w:bookmarkStart w:id="410" w:name="_Toc69115010"/>
      <w:r>
        <w:t>Figure 4.</w:t>
      </w:r>
      <w:r w:rsidR="00B51F53">
        <w:fldChar w:fldCharType="begin"/>
      </w:r>
      <w:r w:rsidR="00B51F53">
        <w:instrText xml:space="preserve"> SEQ</w:instrText>
      </w:r>
      <w:r w:rsidR="00B51F53">
        <w:instrText xml:space="preserve"> Figure \* ARABIC </w:instrText>
      </w:r>
      <w:r w:rsidR="00B51F53">
        <w:fldChar w:fldCharType="separate"/>
      </w:r>
      <w:r w:rsidR="00650F8E">
        <w:rPr>
          <w:noProof/>
        </w:rPr>
        <w:t>36</w:t>
      </w:r>
      <w:r w:rsidR="00B51F53">
        <w:rPr>
          <w:noProof/>
        </w:rPr>
        <w:fldChar w:fldCharType="end"/>
      </w:r>
      <w:bookmarkEnd w:id="409"/>
      <w:r>
        <w:t>:</w:t>
      </w:r>
      <w:bookmarkStart w:id="411" w:name="_Hlk48204819"/>
      <w:r>
        <w:t xml:space="preserve">Theta vs Frequency plot for the ND NC sample fit using the equivalent circuit model shown in </w:t>
      </w:r>
      <w:r>
        <w:fldChar w:fldCharType="begin"/>
      </w:r>
      <w:r>
        <w:instrText xml:space="preserve"> REF _Ref41989056 \h </w:instrText>
      </w:r>
      <w:r>
        <w:fldChar w:fldCharType="separate"/>
      </w:r>
      <w:r>
        <w:t>Figure 4.</w:t>
      </w:r>
      <w:r>
        <w:rPr>
          <w:noProof/>
        </w:rPr>
        <w:t>37</w:t>
      </w:r>
      <w:r>
        <w:fldChar w:fldCharType="end"/>
      </w:r>
      <w:r>
        <w:t xml:space="preserve">. The new impedance arc is denoted by the red </w:t>
      </w:r>
      <w:proofErr w:type="gramStart"/>
      <w:r>
        <w:t>square</w:t>
      </w:r>
      <w:bookmarkEnd w:id="411"/>
      <w:bookmarkEnd w:id="410"/>
      <w:proofErr w:type="gramEnd"/>
    </w:p>
    <w:p w14:paraId="27357DB5" w14:textId="0D6D581B" w:rsidR="00007F6C" w:rsidRDefault="00007F6C" w:rsidP="008C7ED1">
      <w:pPr>
        <w:jc w:val="both"/>
      </w:pPr>
      <w:r>
        <w:t xml:space="preserve">The fit shown in </w:t>
      </w:r>
      <w:r>
        <w:fldChar w:fldCharType="begin"/>
      </w:r>
      <w:r>
        <w:instrText xml:space="preserve"> REF _Ref42003210 \h  \* MERGEFORMAT </w:instrText>
      </w:r>
      <w:r>
        <w:fldChar w:fldCharType="separate"/>
      </w:r>
      <w:r w:rsidR="00650F8E">
        <w:t xml:space="preserve">Figure </w:t>
      </w:r>
      <w:r w:rsidR="00650F8E">
        <w:rPr>
          <w:noProof/>
        </w:rPr>
        <w:t>4.37</w:t>
      </w:r>
      <w:r>
        <w:fldChar w:fldCharType="end"/>
      </w:r>
      <w:r>
        <w:t xml:space="preserve"> shows some inconsistencies in the EC fit between 100-1000 Hz. The fit at frequencies outside this range appeared to fit well for both the theta vs frequency plot and the Nyquist plot.</w:t>
      </w:r>
    </w:p>
    <w:p w14:paraId="4A244260" w14:textId="77777777" w:rsidR="00007F6C" w:rsidRDefault="00007F6C" w:rsidP="008C7ED1">
      <w:pPr>
        <w:keepNext/>
        <w:jc w:val="center"/>
      </w:pPr>
      <w:r w:rsidRPr="00751272">
        <w:rPr>
          <w:noProof/>
        </w:rPr>
        <w:drawing>
          <wp:inline distT="0" distB="0" distL="0" distR="0" wp14:anchorId="65EF5F22" wp14:editId="2B21859A">
            <wp:extent cx="3632200" cy="2537199"/>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3">
                      <a:extLst>
                        <a:ext uri="{28A0092B-C50C-407E-A947-70E740481C1C}">
                          <a14:useLocalDpi xmlns:a14="http://schemas.microsoft.com/office/drawing/2010/main" val="0"/>
                        </a:ext>
                      </a:extLst>
                    </a:blip>
                    <a:srcRect l="6422" t="9610" b="4805"/>
                    <a:stretch/>
                  </pic:blipFill>
                  <pic:spPr bwMode="auto">
                    <a:xfrm>
                      <a:off x="0" y="0"/>
                      <a:ext cx="3638719" cy="2541753"/>
                    </a:xfrm>
                    <a:prstGeom prst="rect">
                      <a:avLst/>
                    </a:prstGeom>
                    <a:noFill/>
                    <a:ln>
                      <a:noFill/>
                    </a:ln>
                    <a:extLst>
                      <a:ext uri="{53640926-AAD7-44D8-BBD7-CCE9431645EC}">
                        <a14:shadowObscured xmlns:a14="http://schemas.microsoft.com/office/drawing/2010/main"/>
                      </a:ext>
                    </a:extLst>
                  </pic:spPr>
                </pic:pic>
              </a:graphicData>
            </a:graphic>
          </wp:inline>
        </w:drawing>
      </w:r>
    </w:p>
    <w:p w14:paraId="6C132A80" w14:textId="0F92410F" w:rsidR="00007F6C" w:rsidRDefault="00007F6C" w:rsidP="008C7ED1">
      <w:pPr>
        <w:pStyle w:val="Caption"/>
      </w:pPr>
      <w:bookmarkStart w:id="412" w:name="_Ref42003210"/>
      <w:bookmarkStart w:id="413" w:name="_Toc69115011"/>
      <w:r>
        <w:t>Figure 4.</w:t>
      </w:r>
      <w:r w:rsidR="00B51F53">
        <w:fldChar w:fldCharType="begin"/>
      </w:r>
      <w:r w:rsidR="00B51F53">
        <w:instrText xml:space="preserve"> SEQ Figure \* ARABIC </w:instrText>
      </w:r>
      <w:r w:rsidR="00B51F53">
        <w:fldChar w:fldCharType="separate"/>
      </w:r>
      <w:r w:rsidR="00650F8E">
        <w:rPr>
          <w:noProof/>
        </w:rPr>
        <w:t>37</w:t>
      </w:r>
      <w:r w:rsidR="00B51F53">
        <w:rPr>
          <w:noProof/>
        </w:rPr>
        <w:fldChar w:fldCharType="end"/>
      </w:r>
      <w:bookmarkEnd w:id="412"/>
      <w:r>
        <w:t xml:space="preserve">: Nyquist plot of the ND NC sample with the EC fitted </w:t>
      </w:r>
      <w:proofErr w:type="gramStart"/>
      <w:r>
        <w:t>data</w:t>
      </w:r>
      <w:bookmarkEnd w:id="413"/>
      <w:proofErr w:type="gramEnd"/>
      <w:r>
        <w:t xml:space="preserve"> </w:t>
      </w:r>
    </w:p>
    <w:p w14:paraId="3652513C" w14:textId="74BF915E" w:rsidR="00007F6C" w:rsidRDefault="00007F6C" w:rsidP="008C7ED1">
      <w:pPr>
        <w:jc w:val="both"/>
      </w:pPr>
      <w:r>
        <w:t xml:space="preserve">Despite the issue with the fit between the point of inflection at 1kHz the change in the Rp across the 50h ageing time between the EC and the data set was only 1.90 % (EC: 20.11 </w:t>
      </w:r>
      <w:r>
        <w:rPr>
          <w:rFonts w:cstheme="minorHAnsi"/>
        </w:rPr>
        <w:t>Ω</w:t>
      </w:r>
      <w:r>
        <w:t>cm</w:t>
      </w:r>
      <w:r>
        <w:rPr>
          <w:vertAlign w:val="superscript"/>
        </w:rPr>
        <w:t>2</w:t>
      </w:r>
      <w:r>
        <w:t>, D: 20.499</w:t>
      </w:r>
      <w:r w:rsidRPr="007D5C41">
        <w:rPr>
          <w:rFonts w:cstheme="minorHAnsi"/>
        </w:rPr>
        <w:t xml:space="preserve"> </w:t>
      </w:r>
      <w:r>
        <w:rPr>
          <w:rFonts w:cstheme="minorHAnsi"/>
        </w:rPr>
        <w:t>Ω</w:t>
      </w:r>
      <w:r>
        <w:t>cm</w:t>
      </w:r>
      <w:r>
        <w:rPr>
          <w:vertAlign w:val="superscript"/>
        </w:rPr>
        <w:t>2</w:t>
      </w:r>
      <w:r>
        <w:t xml:space="preserve">). </w:t>
      </w:r>
      <w:r w:rsidRPr="00374060">
        <w:t>The use of the 3RQ elements to fit the three impedance arcs has helped to consistently minimise the average % error in the calculated Rp value to 2.80</w:t>
      </w:r>
      <w:r>
        <w:t xml:space="preserve"> </w:t>
      </w:r>
      <w:r w:rsidRPr="00374060">
        <w:t>%</w:t>
      </w:r>
      <w:r w:rsidR="00650F8E">
        <w:t xml:space="preserve"> (</w:t>
      </w:r>
      <w:r w:rsidR="00650F8E">
        <w:fldChar w:fldCharType="begin"/>
      </w:r>
      <w:r w:rsidR="00650F8E">
        <w:instrText xml:space="preserve"> REF _Ref68869560 \h </w:instrText>
      </w:r>
      <w:r w:rsidR="00650F8E">
        <w:fldChar w:fldCharType="separate"/>
      </w:r>
      <w:r w:rsidR="00650F8E">
        <w:t>Table 4.</w:t>
      </w:r>
      <w:r w:rsidR="00650F8E">
        <w:rPr>
          <w:noProof/>
        </w:rPr>
        <w:t>11</w:t>
      </w:r>
      <w:r w:rsidR="00650F8E">
        <w:fldChar w:fldCharType="end"/>
      </w:r>
      <w:r w:rsidR="00650F8E">
        <w:t>)</w:t>
      </w:r>
      <w:r w:rsidRPr="00374060">
        <w:t>. This was due to the emergence of a third impedance contribution.</w:t>
      </w:r>
    </w:p>
    <w:p w14:paraId="4AAF0A76" w14:textId="77777777" w:rsidR="00650F8E" w:rsidRPr="00D33F20" w:rsidRDefault="00650F8E" w:rsidP="008C7ED1">
      <w:pPr>
        <w:jc w:val="both"/>
      </w:pPr>
    </w:p>
    <w:p w14:paraId="0F033175" w14:textId="43B910A6" w:rsidR="00007F6C" w:rsidRDefault="00007F6C" w:rsidP="008C7ED1">
      <w:pPr>
        <w:pStyle w:val="Caption"/>
        <w:keepNext/>
      </w:pPr>
      <w:bookmarkStart w:id="414" w:name="_Ref68869560"/>
      <w:r>
        <w:lastRenderedPageBreak/>
        <w:t>Table 4.</w:t>
      </w:r>
      <w:r w:rsidR="00B51F53">
        <w:fldChar w:fldCharType="begin"/>
      </w:r>
      <w:r w:rsidR="00B51F53">
        <w:instrText xml:space="preserve"> SEQ Table \* ARABIC </w:instrText>
      </w:r>
      <w:r w:rsidR="00B51F53">
        <w:fldChar w:fldCharType="separate"/>
      </w:r>
      <w:r w:rsidR="0022061C">
        <w:rPr>
          <w:noProof/>
        </w:rPr>
        <w:t>11</w:t>
      </w:r>
      <w:r w:rsidR="00B51F53">
        <w:rPr>
          <w:noProof/>
        </w:rPr>
        <w:fldChar w:fldCharType="end"/>
      </w:r>
      <w:bookmarkEnd w:id="414"/>
      <w:r>
        <w:t>: Table detailing the % errors in the calculated Rs and Rp for the ND NC sample</w:t>
      </w:r>
    </w:p>
    <w:tbl>
      <w:tblPr>
        <w:tblStyle w:val="TableGrid"/>
        <w:tblW w:w="0" w:type="auto"/>
        <w:jc w:val="center"/>
        <w:tblLook w:val="04A0" w:firstRow="1" w:lastRow="0" w:firstColumn="1" w:lastColumn="0" w:noHBand="0" w:noVBand="1"/>
      </w:tblPr>
      <w:tblGrid>
        <w:gridCol w:w="891"/>
        <w:gridCol w:w="1344"/>
        <w:gridCol w:w="1112"/>
        <w:gridCol w:w="1291"/>
        <w:gridCol w:w="1143"/>
        <w:gridCol w:w="1321"/>
      </w:tblGrid>
      <w:tr w:rsidR="00007F6C" w14:paraId="74362F76" w14:textId="77777777" w:rsidTr="005E2F1E">
        <w:trPr>
          <w:trHeight w:val="241"/>
          <w:jc w:val="center"/>
        </w:trPr>
        <w:tc>
          <w:tcPr>
            <w:tcW w:w="0" w:type="auto"/>
          </w:tcPr>
          <w:p w14:paraId="088D13FF" w14:textId="77777777" w:rsidR="00007F6C" w:rsidRPr="00F17599" w:rsidRDefault="00007F6C" w:rsidP="008C7ED1">
            <w:pPr>
              <w:jc w:val="center"/>
              <w:rPr>
                <w:b/>
                <w:bCs/>
              </w:rPr>
            </w:pPr>
            <w:r w:rsidRPr="00F17599">
              <w:rPr>
                <w:b/>
                <w:bCs/>
              </w:rPr>
              <w:t>Sample</w:t>
            </w:r>
          </w:p>
        </w:tc>
        <w:tc>
          <w:tcPr>
            <w:tcW w:w="0" w:type="auto"/>
          </w:tcPr>
          <w:p w14:paraId="2744E3D9" w14:textId="77777777" w:rsidR="00007F6C" w:rsidRPr="00F17599" w:rsidRDefault="00007F6C" w:rsidP="008C7ED1">
            <w:pPr>
              <w:rPr>
                <w:b/>
                <w:bCs/>
              </w:rPr>
            </w:pPr>
            <w:r w:rsidRPr="00F17599">
              <w:rPr>
                <w:b/>
                <w:bCs/>
              </w:rPr>
              <w:t>Ageing Time</w:t>
            </w:r>
          </w:p>
        </w:tc>
        <w:tc>
          <w:tcPr>
            <w:tcW w:w="0" w:type="auto"/>
          </w:tcPr>
          <w:p w14:paraId="18E5B6E1" w14:textId="77777777" w:rsidR="00007F6C" w:rsidRPr="00F17599" w:rsidRDefault="00007F6C" w:rsidP="008C7ED1">
            <w:pPr>
              <w:rPr>
                <w:b/>
                <w:bCs/>
              </w:rPr>
            </w:pPr>
            <w:r w:rsidRPr="00F17599">
              <w:rPr>
                <w:b/>
                <w:bCs/>
              </w:rPr>
              <w:t>Rs</w:t>
            </w:r>
            <w:r>
              <w:rPr>
                <w:b/>
                <w:bCs/>
              </w:rPr>
              <w:t xml:space="preserve"> </w:t>
            </w:r>
            <w:r>
              <w:rPr>
                <w:rFonts w:cstheme="minorHAnsi"/>
                <w:b/>
                <w:bCs/>
              </w:rPr>
              <w:t>[Ω</w:t>
            </w:r>
            <w:r>
              <w:rPr>
                <w:b/>
                <w:bCs/>
              </w:rPr>
              <w:t>cm</w:t>
            </w:r>
            <w:r>
              <w:rPr>
                <w:b/>
                <w:bCs/>
                <w:vertAlign w:val="superscript"/>
              </w:rPr>
              <w:t>2</w:t>
            </w:r>
            <w:r>
              <w:rPr>
                <w:b/>
                <w:bCs/>
              </w:rPr>
              <w:t>]</w:t>
            </w:r>
          </w:p>
        </w:tc>
        <w:tc>
          <w:tcPr>
            <w:tcW w:w="0" w:type="auto"/>
          </w:tcPr>
          <w:p w14:paraId="3FA58E4F" w14:textId="77777777" w:rsidR="00007F6C" w:rsidRPr="00F17599" w:rsidRDefault="00007F6C" w:rsidP="008C7ED1">
            <w:pPr>
              <w:rPr>
                <w:b/>
                <w:bCs/>
              </w:rPr>
            </w:pPr>
            <w:r w:rsidRPr="00F17599">
              <w:rPr>
                <w:b/>
                <w:bCs/>
              </w:rPr>
              <w:t>Rs Error</w:t>
            </w:r>
            <w:r>
              <w:rPr>
                <w:b/>
                <w:bCs/>
              </w:rPr>
              <w:t xml:space="preserve"> [%]</w:t>
            </w:r>
          </w:p>
        </w:tc>
        <w:tc>
          <w:tcPr>
            <w:tcW w:w="0" w:type="auto"/>
          </w:tcPr>
          <w:p w14:paraId="4D514BDC" w14:textId="77777777" w:rsidR="00007F6C" w:rsidRPr="00F17599" w:rsidRDefault="00007F6C" w:rsidP="008C7ED1">
            <w:pPr>
              <w:rPr>
                <w:b/>
                <w:bCs/>
              </w:rPr>
            </w:pPr>
            <w:r w:rsidRPr="00F17599">
              <w:rPr>
                <w:b/>
                <w:bCs/>
              </w:rPr>
              <w:t>Rp</w:t>
            </w:r>
            <w:r>
              <w:rPr>
                <w:b/>
                <w:bCs/>
              </w:rPr>
              <w:t xml:space="preserve"> </w:t>
            </w:r>
            <w:r>
              <w:rPr>
                <w:rFonts w:cstheme="minorHAnsi"/>
                <w:b/>
                <w:bCs/>
              </w:rPr>
              <w:t>[Ω</w:t>
            </w:r>
            <w:r>
              <w:rPr>
                <w:b/>
                <w:bCs/>
              </w:rPr>
              <w:t>cm</w:t>
            </w:r>
            <w:r>
              <w:rPr>
                <w:b/>
                <w:bCs/>
                <w:vertAlign w:val="superscript"/>
              </w:rPr>
              <w:t>2</w:t>
            </w:r>
            <w:r>
              <w:rPr>
                <w:b/>
                <w:bCs/>
              </w:rPr>
              <w:t>]</w:t>
            </w:r>
          </w:p>
        </w:tc>
        <w:tc>
          <w:tcPr>
            <w:tcW w:w="0" w:type="auto"/>
          </w:tcPr>
          <w:p w14:paraId="42D8049F" w14:textId="77777777" w:rsidR="00007F6C" w:rsidRPr="00F17599" w:rsidRDefault="00007F6C" w:rsidP="008C7ED1">
            <w:pPr>
              <w:rPr>
                <w:b/>
                <w:bCs/>
              </w:rPr>
            </w:pPr>
            <w:r w:rsidRPr="00F17599">
              <w:rPr>
                <w:b/>
                <w:bCs/>
              </w:rPr>
              <w:t>Rp Error</w:t>
            </w:r>
            <w:r>
              <w:rPr>
                <w:b/>
                <w:bCs/>
              </w:rPr>
              <w:t xml:space="preserve"> [%]</w:t>
            </w:r>
          </w:p>
        </w:tc>
      </w:tr>
      <w:tr w:rsidR="00007F6C" w14:paraId="1479AECC" w14:textId="77777777" w:rsidTr="005E2F1E">
        <w:trPr>
          <w:jc w:val="center"/>
        </w:trPr>
        <w:tc>
          <w:tcPr>
            <w:tcW w:w="0" w:type="auto"/>
            <w:vMerge w:val="restart"/>
          </w:tcPr>
          <w:p w14:paraId="5DC7AAB1" w14:textId="77777777" w:rsidR="00007F6C" w:rsidRDefault="00007F6C" w:rsidP="008C7ED1">
            <w:pPr>
              <w:jc w:val="center"/>
            </w:pPr>
            <w:r>
              <w:t>ND NC</w:t>
            </w:r>
          </w:p>
        </w:tc>
        <w:tc>
          <w:tcPr>
            <w:tcW w:w="0" w:type="auto"/>
          </w:tcPr>
          <w:p w14:paraId="4FEC26A3" w14:textId="77777777" w:rsidR="00007F6C" w:rsidRDefault="00007F6C" w:rsidP="008C7ED1">
            <w:pPr>
              <w:jc w:val="center"/>
            </w:pPr>
            <w:r>
              <w:t>0</w:t>
            </w:r>
          </w:p>
        </w:tc>
        <w:tc>
          <w:tcPr>
            <w:tcW w:w="0" w:type="auto"/>
          </w:tcPr>
          <w:p w14:paraId="319308FE" w14:textId="77777777" w:rsidR="00007F6C" w:rsidRDefault="00007F6C" w:rsidP="008C7ED1">
            <w:pPr>
              <w:jc w:val="right"/>
            </w:pPr>
            <w:r w:rsidRPr="00373CFA">
              <w:t>1.5</w:t>
            </w:r>
            <w:r>
              <w:t>2</w:t>
            </w:r>
          </w:p>
        </w:tc>
        <w:tc>
          <w:tcPr>
            <w:tcW w:w="0" w:type="auto"/>
          </w:tcPr>
          <w:p w14:paraId="70CCC094" w14:textId="77777777" w:rsidR="00007F6C" w:rsidRDefault="00007F6C" w:rsidP="008C7ED1">
            <w:pPr>
              <w:jc w:val="right"/>
            </w:pPr>
            <w:r w:rsidRPr="002851B7">
              <w:t>0.7</w:t>
            </w:r>
            <w:r>
              <w:t>9</w:t>
            </w:r>
          </w:p>
        </w:tc>
        <w:tc>
          <w:tcPr>
            <w:tcW w:w="0" w:type="auto"/>
          </w:tcPr>
          <w:p w14:paraId="7A04D277" w14:textId="77777777" w:rsidR="00007F6C" w:rsidRDefault="00007F6C" w:rsidP="008C7ED1">
            <w:pPr>
              <w:jc w:val="right"/>
            </w:pPr>
            <w:r w:rsidRPr="00D528AE">
              <w:t>21.52</w:t>
            </w:r>
          </w:p>
        </w:tc>
        <w:tc>
          <w:tcPr>
            <w:tcW w:w="0" w:type="auto"/>
          </w:tcPr>
          <w:p w14:paraId="260B243B" w14:textId="77777777" w:rsidR="00007F6C" w:rsidRDefault="00007F6C" w:rsidP="008C7ED1">
            <w:pPr>
              <w:jc w:val="right"/>
            </w:pPr>
            <w:r w:rsidRPr="00334E2D">
              <w:t>6.27</w:t>
            </w:r>
          </w:p>
        </w:tc>
      </w:tr>
      <w:tr w:rsidR="00007F6C" w14:paraId="7E7510F4" w14:textId="77777777" w:rsidTr="005E2F1E">
        <w:trPr>
          <w:jc w:val="center"/>
        </w:trPr>
        <w:tc>
          <w:tcPr>
            <w:tcW w:w="0" w:type="auto"/>
            <w:vMerge/>
          </w:tcPr>
          <w:p w14:paraId="1B3386E7" w14:textId="77777777" w:rsidR="00007F6C" w:rsidRDefault="00007F6C" w:rsidP="008C7ED1"/>
        </w:tc>
        <w:tc>
          <w:tcPr>
            <w:tcW w:w="0" w:type="auto"/>
          </w:tcPr>
          <w:p w14:paraId="22CB07A3" w14:textId="77777777" w:rsidR="00007F6C" w:rsidRDefault="00007F6C" w:rsidP="008C7ED1">
            <w:pPr>
              <w:jc w:val="center"/>
            </w:pPr>
            <w:r>
              <w:t>5</w:t>
            </w:r>
          </w:p>
        </w:tc>
        <w:tc>
          <w:tcPr>
            <w:tcW w:w="0" w:type="auto"/>
          </w:tcPr>
          <w:p w14:paraId="61F0C923" w14:textId="77777777" w:rsidR="00007F6C" w:rsidRDefault="00007F6C" w:rsidP="008C7ED1">
            <w:pPr>
              <w:jc w:val="right"/>
            </w:pPr>
            <w:r w:rsidRPr="00373CFA">
              <w:t>2.3</w:t>
            </w:r>
            <w:r>
              <w:t>4</w:t>
            </w:r>
          </w:p>
        </w:tc>
        <w:tc>
          <w:tcPr>
            <w:tcW w:w="0" w:type="auto"/>
          </w:tcPr>
          <w:p w14:paraId="6D612425" w14:textId="77777777" w:rsidR="00007F6C" w:rsidRDefault="00007F6C" w:rsidP="008C7ED1">
            <w:pPr>
              <w:jc w:val="right"/>
            </w:pPr>
            <w:r w:rsidRPr="002851B7">
              <w:t>0.9</w:t>
            </w:r>
            <w:r>
              <w:t>2</w:t>
            </w:r>
          </w:p>
        </w:tc>
        <w:tc>
          <w:tcPr>
            <w:tcW w:w="0" w:type="auto"/>
          </w:tcPr>
          <w:p w14:paraId="42B496E1" w14:textId="77777777" w:rsidR="00007F6C" w:rsidRDefault="00007F6C" w:rsidP="008C7ED1">
            <w:pPr>
              <w:jc w:val="right"/>
            </w:pPr>
            <w:r w:rsidRPr="00D528AE">
              <w:t>39.9</w:t>
            </w:r>
            <w:r>
              <w:t>5</w:t>
            </w:r>
          </w:p>
        </w:tc>
        <w:tc>
          <w:tcPr>
            <w:tcW w:w="0" w:type="auto"/>
          </w:tcPr>
          <w:p w14:paraId="250CFDE5" w14:textId="77777777" w:rsidR="00007F6C" w:rsidRDefault="00007F6C" w:rsidP="008C7ED1">
            <w:pPr>
              <w:jc w:val="right"/>
            </w:pPr>
            <w:r w:rsidRPr="00334E2D">
              <w:t>1.2</w:t>
            </w:r>
            <w:r>
              <w:t>4</w:t>
            </w:r>
          </w:p>
        </w:tc>
      </w:tr>
      <w:tr w:rsidR="00007F6C" w14:paraId="250D1D80" w14:textId="77777777" w:rsidTr="005E2F1E">
        <w:trPr>
          <w:jc w:val="center"/>
        </w:trPr>
        <w:tc>
          <w:tcPr>
            <w:tcW w:w="0" w:type="auto"/>
            <w:vMerge/>
          </w:tcPr>
          <w:p w14:paraId="6C186DE1" w14:textId="77777777" w:rsidR="00007F6C" w:rsidRDefault="00007F6C" w:rsidP="008C7ED1"/>
        </w:tc>
        <w:tc>
          <w:tcPr>
            <w:tcW w:w="0" w:type="auto"/>
          </w:tcPr>
          <w:p w14:paraId="003C39B8" w14:textId="77777777" w:rsidR="00007F6C" w:rsidRDefault="00007F6C" w:rsidP="008C7ED1">
            <w:pPr>
              <w:jc w:val="center"/>
            </w:pPr>
            <w:r>
              <w:t>10</w:t>
            </w:r>
          </w:p>
        </w:tc>
        <w:tc>
          <w:tcPr>
            <w:tcW w:w="0" w:type="auto"/>
          </w:tcPr>
          <w:p w14:paraId="217EE764" w14:textId="77777777" w:rsidR="00007F6C" w:rsidRDefault="00007F6C" w:rsidP="008C7ED1">
            <w:pPr>
              <w:jc w:val="right"/>
            </w:pPr>
            <w:r w:rsidRPr="00373CFA">
              <w:t>2.94</w:t>
            </w:r>
          </w:p>
        </w:tc>
        <w:tc>
          <w:tcPr>
            <w:tcW w:w="0" w:type="auto"/>
          </w:tcPr>
          <w:p w14:paraId="1C7FACDE" w14:textId="77777777" w:rsidR="00007F6C" w:rsidRDefault="00007F6C" w:rsidP="008C7ED1">
            <w:pPr>
              <w:jc w:val="right"/>
            </w:pPr>
            <w:r w:rsidRPr="002851B7">
              <w:t>0.82</w:t>
            </w:r>
          </w:p>
        </w:tc>
        <w:tc>
          <w:tcPr>
            <w:tcW w:w="0" w:type="auto"/>
          </w:tcPr>
          <w:p w14:paraId="691771B9" w14:textId="77777777" w:rsidR="00007F6C" w:rsidRDefault="00007F6C" w:rsidP="008C7ED1">
            <w:pPr>
              <w:jc w:val="right"/>
            </w:pPr>
            <w:r w:rsidRPr="00D528AE">
              <w:t>42.0</w:t>
            </w:r>
            <w:r>
              <w:t>7</w:t>
            </w:r>
          </w:p>
        </w:tc>
        <w:tc>
          <w:tcPr>
            <w:tcW w:w="0" w:type="auto"/>
          </w:tcPr>
          <w:p w14:paraId="4372C56F" w14:textId="77777777" w:rsidR="00007F6C" w:rsidRDefault="00007F6C" w:rsidP="008C7ED1">
            <w:pPr>
              <w:jc w:val="right"/>
            </w:pPr>
            <w:r w:rsidRPr="00334E2D">
              <w:t>2.4</w:t>
            </w:r>
            <w:r>
              <w:t>5</w:t>
            </w:r>
          </w:p>
        </w:tc>
      </w:tr>
      <w:tr w:rsidR="00007F6C" w14:paraId="19F28736" w14:textId="77777777" w:rsidTr="005E2F1E">
        <w:trPr>
          <w:jc w:val="center"/>
        </w:trPr>
        <w:tc>
          <w:tcPr>
            <w:tcW w:w="0" w:type="auto"/>
            <w:vMerge/>
          </w:tcPr>
          <w:p w14:paraId="033179BE" w14:textId="77777777" w:rsidR="00007F6C" w:rsidRDefault="00007F6C" w:rsidP="008C7ED1"/>
        </w:tc>
        <w:tc>
          <w:tcPr>
            <w:tcW w:w="0" w:type="auto"/>
          </w:tcPr>
          <w:p w14:paraId="1C181104" w14:textId="77777777" w:rsidR="00007F6C" w:rsidRDefault="00007F6C" w:rsidP="008C7ED1">
            <w:pPr>
              <w:jc w:val="center"/>
            </w:pPr>
            <w:r>
              <w:t>15</w:t>
            </w:r>
          </w:p>
        </w:tc>
        <w:tc>
          <w:tcPr>
            <w:tcW w:w="0" w:type="auto"/>
          </w:tcPr>
          <w:p w14:paraId="625199A0" w14:textId="77777777" w:rsidR="00007F6C" w:rsidRDefault="00007F6C" w:rsidP="008C7ED1">
            <w:pPr>
              <w:jc w:val="right"/>
            </w:pPr>
            <w:r w:rsidRPr="00373CFA">
              <w:t>3.1</w:t>
            </w:r>
            <w:r>
              <w:t>2</w:t>
            </w:r>
          </w:p>
        </w:tc>
        <w:tc>
          <w:tcPr>
            <w:tcW w:w="0" w:type="auto"/>
          </w:tcPr>
          <w:p w14:paraId="6F7F716E" w14:textId="77777777" w:rsidR="00007F6C" w:rsidRDefault="00007F6C" w:rsidP="008C7ED1">
            <w:pPr>
              <w:jc w:val="right"/>
            </w:pPr>
            <w:r w:rsidRPr="002851B7">
              <w:t>0.89</w:t>
            </w:r>
          </w:p>
        </w:tc>
        <w:tc>
          <w:tcPr>
            <w:tcW w:w="0" w:type="auto"/>
          </w:tcPr>
          <w:p w14:paraId="072F6ECB" w14:textId="77777777" w:rsidR="00007F6C" w:rsidRDefault="00007F6C" w:rsidP="008C7ED1">
            <w:pPr>
              <w:jc w:val="right"/>
            </w:pPr>
            <w:r w:rsidRPr="00D528AE">
              <w:t>47.9</w:t>
            </w:r>
            <w:r>
              <w:t>2</w:t>
            </w:r>
          </w:p>
        </w:tc>
        <w:tc>
          <w:tcPr>
            <w:tcW w:w="0" w:type="auto"/>
          </w:tcPr>
          <w:p w14:paraId="41BA0F87" w14:textId="77777777" w:rsidR="00007F6C" w:rsidRDefault="00007F6C" w:rsidP="008C7ED1">
            <w:pPr>
              <w:jc w:val="right"/>
            </w:pPr>
            <w:r w:rsidRPr="00334E2D">
              <w:t>2.42</w:t>
            </w:r>
          </w:p>
        </w:tc>
      </w:tr>
      <w:tr w:rsidR="00007F6C" w14:paraId="5236FCA3" w14:textId="77777777" w:rsidTr="005E2F1E">
        <w:trPr>
          <w:jc w:val="center"/>
        </w:trPr>
        <w:tc>
          <w:tcPr>
            <w:tcW w:w="0" w:type="auto"/>
            <w:vMerge/>
          </w:tcPr>
          <w:p w14:paraId="0839DBF1" w14:textId="77777777" w:rsidR="00007F6C" w:rsidRDefault="00007F6C" w:rsidP="008C7ED1"/>
        </w:tc>
        <w:tc>
          <w:tcPr>
            <w:tcW w:w="0" w:type="auto"/>
          </w:tcPr>
          <w:p w14:paraId="2EB75E4E" w14:textId="77777777" w:rsidR="00007F6C" w:rsidRDefault="00007F6C" w:rsidP="008C7ED1">
            <w:pPr>
              <w:jc w:val="center"/>
            </w:pPr>
            <w:r>
              <w:t>20</w:t>
            </w:r>
          </w:p>
        </w:tc>
        <w:tc>
          <w:tcPr>
            <w:tcW w:w="0" w:type="auto"/>
          </w:tcPr>
          <w:p w14:paraId="4BA9A130" w14:textId="77777777" w:rsidR="00007F6C" w:rsidRDefault="00007F6C" w:rsidP="008C7ED1">
            <w:pPr>
              <w:jc w:val="right"/>
            </w:pPr>
            <w:r w:rsidRPr="00373CFA">
              <w:t>3.42</w:t>
            </w:r>
          </w:p>
        </w:tc>
        <w:tc>
          <w:tcPr>
            <w:tcW w:w="0" w:type="auto"/>
          </w:tcPr>
          <w:p w14:paraId="459999E2" w14:textId="77777777" w:rsidR="00007F6C" w:rsidRDefault="00007F6C" w:rsidP="008C7ED1">
            <w:pPr>
              <w:jc w:val="right"/>
            </w:pPr>
            <w:r w:rsidRPr="002851B7">
              <w:t>0.72</w:t>
            </w:r>
          </w:p>
        </w:tc>
        <w:tc>
          <w:tcPr>
            <w:tcW w:w="0" w:type="auto"/>
          </w:tcPr>
          <w:p w14:paraId="30B15F13" w14:textId="77777777" w:rsidR="00007F6C" w:rsidRDefault="00007F6C" w:rsidP="008C7ED1">
            <w:pPr>
              <w:jc w:val="right"/>
            </w:pPr>
            <w:r w:rsidRPr="00D528AE">
              <w:t>42.74</w:t>
            </w:r>
          </w:p>
        </w:tc>
        <w:tc>
          <w:tcPr>
            <w:tcW w:w="0" w:type="auto"/>
          </w:tcPr>
          <w:p w14:paraId="1F992BEE" w14:textId="77777777" w:rsidR="00007F6C" w:rsidRDefault="00007F6C" w:rsidP="008C7ED1">
            <w:pPr>
              <w:jc w:val="right"/>
            </w:pPr>
            <w:r w:rsidRPr="00334E2D">
              <w:t>2.26</w:t>
            </w:r>
          </w:p>
        </w:tc>
      </w:tr>
      <w:tr w:rsidR="00007F6C" w14:paraId="4C424967" w14:textId="77777777" w:rsidTr="005E2F1E">
        <w:trPr>
          <w:jc w:val="center"/>
        </w:trPr>
        <w:tc>
          <w:tcPr>
            <w:tcW w:w="0" w:type="auto"/>
            <w:vMerge/>
          </w:tcPr>
          <w:p w14:paraId="2286D561" w14:textId="77777777" w:rsidR="00007F6C" w:rsidRDefault="00007F6C" w:rsidP="008C7ED1"/>
        </w:tc>
        <w:tc>
          <w:tcPr>
            <w:tcW w:w="0" w:type="auto"/>
          </w:tcPr>
          <w:p w14:paraId="29B4ADC0" w14:textId="77777777" w:rsidR="00007F6C" w:rsidRDefault="00007F6C" w:rsidP="008C7ED1">
            <w:pPr>
              <w:jc w:val="center"/>
            </w:pPr>
            <w:r>
              <w:t>25</w:t>
            </w:r>
          </w:p>
        </w:tc>
        <w:tc>
          <w:tcPr>
            <w:tcW w:w="0" w:type="auto"/>
          </w:tcPr>
          <w:p w14:paraId="137A6B7B" w14:textId="77777777" w:rsidR="00007F6C" w:rsidRPr="0001380A" w:rsidRDefault="00007F6C" w:rsidP="008C7ED1">
            <w:pPr>
              <w:jc w:val="right"/>
            </w:pPr>
            <w:r w:rsidRPr="00373CFA">
              <w:t>3.</w:t>
            </w:r>
            <w:r>
              <w:t>60</w:t>
            </w:r>
          </w:p>
        </w:tc>
        <w:tc>
          <w:tcPr>
            <w:tcW w:w="0" w:type="auto"/>
          </w:tcPr>
          <w:p w14:paraId="5A7A0128" w14:textId="77777777" w:rsidR="00007F6C" w:rsidRDefault="00007F6C" w:rsidP="008C7ED1">
            <w:pPr>
              <w:jc w:val="right"/>
            </w:pPr>
            <w:r w:rsidRPr="002851B7">
              <w:t>0.6</w:t>
            </w:r>
            <w:r>
              <w:t>9</w:t>
            </w:r>
          </w:p>
        </w:tc>
        <w:tc>
          <w:tcPr>
            <w:tcW w:w="0" w:type="auto"/>
          </w:tcPr>
          <w:p w14:paraId="158B5392" w14:textId="77777777" w:rsidR="00007F6C" w:rsidRDefault="00007F6C" w:rsidP="008C7ED1">
            <w:pPr>
              <w:jc w:val="right"/>
            </w:pPr>
            <w:r w:rsidRPr="00D528AE">
              <w:t>42.7</w:t>
            </w:r>
            <w:r>
              <w:t>9</w:t>
            </w:r>
          </w:p>
        </w:tc>
        <w:tc>
          <w:tcPr>
            <w:tcW w:w="0" w:type="auto"/>
          </w:tcPr>
          <w:p w14:paraId="1D11BB11" w14:textId="77777777" w:rsidR="00007F6C" w:rsidRDefault="00007F6C" w:rsidP="008C7ED1">
            <w:pPr>
              <w:jc w:val="right"/>
            </w:pPr>
            <w:r w:rsidRPr="00334E2D">
              <w:t>2.2</w:t>
            </w:r>
            <w:r>
              <w:t>7</w:t>
            </w:r>
          </w:p>
        </w:tc>
      </w:tr>
      <w:tr w:rsidR="00007F6C" w14:paraId="4A6BFFDB" w14:textId="77777777" w:rsidTr="005E2F1E">
        <w:trPr>
          <w:jc w:val="center"/>
        </w:trPr>
        <w:tc>
          <w:tcPr>
            <w:tcW w:w="0" w:type="auto"/>
            <w:vMerge/>
          </w:tcPr>
          <w:p w14:paraId="2606C02C" w14:textId="77777777" w:rsidR="00007F6C" w:rsidRDefault="00007F6C" w:rsidP="008C7ED1"/>
        </w:tc>
        <w:tc>
          <w:tcPr>
            <w:tcW w:w="0" w:type="auto"/>
          </w:tcPr>
          <w:p w14:paraId="6C0723F6" w14:textId="77777777" w:rsidR="00007F6C" w:rsidRDefault="00007F6C" w:rsidP="008C7ED1">
            <w:pPr>
              <w:jc w:val="center"/>
            </w:pPr>
            <w:r>
              <w:t>30</w:t>
            </w:r>
          </w:p>
        </w:tc>
        <w:tc>
          <w:tcPr>
            <w:tcW w:w="0" w:type="auto"/>
          </w:tcPr>
          <w:p w14:paraId="68FB753F" w14:textId="77777777" w:rsidR="00007F6C" w:rsidRPr="0001380A" w:rsidRDefault="00007F6C" w:rsidP="008C7ED1">
            <w:pPr>
              <w:jc w:val="right"/>
            </w:pPr>
            <w:r w:rsidRPr="00373CFA">
              <w:t>3.91</w:t>
            </w:r>
          </w:p>
        </w:tc>
        <w:tc>
          <w:tcPr>
            <w:tcW w:w="0" w:type="auto"/>
          </w:tcPr>
          <w:p w14:paraId="11CDECD9" w14:textId="77777777" w:rsidR="00007F6C" w:rsidRDefault="00007F6C" w:rsidP="008C7ED1">
            <w:pPr>
              <w:jc w:val="right"/>
            </w:pPr>
            <w:r w:rsidRPr="002851B7">
              <w:t>0.61</w:t>
            </w:r>
          </w:p>
        </w:tc>
        <w:tc>
          <w:tcPr>
            <w:tcW w:w="0" w:type="auto"/>
          </w:tcPr>
          <w:p w14:paraId="2403F715" w14:textId="77777777" w:rsidR="00007F6C" w:rsidRDefault="00007F6C" w:rsidP="008C7ED1">
            <w:pPr>
              <w:jc w:val="right"/>
            </w:pPr>
            <w:r w:rsidRPr="00D528AE">
              <w:t>42.39</w:t>
            </w:r>
          </w:p>
        </w:tc>
        <w:tc>
          <w:tcPr>
            <w:tcW w:w="0" w:type="auto"/>
          </w:tcPr>
          <w:p w14:paraId="472AA796" w14:textId="77777777" w:rsidR="00007F6C" w:rsidRDefault="00007F6C" w:rsidP="008C7ED1">
            <w:pPr>
              <w:jc w:val="right"/>
            </w:pPr>
            <w:r w:rsidRPr="00334E2D">
              <w:t>2.4</w:t>
            </w:r>
            <w:r>
              <w:t>1</w:t>
            </w:r>
          </w:p>
        </w:tc>
      </w:tr>
      <w:tr w:rsidR="00007F6C" w14:paraId="1D8514D8" w14:textId="77777777" w:rsidTr="005E2F1E">
        <w:trPr>
          <w:jc w:val="center"/>
        </w:trPr>
        <w:tc>
          <w:tcPr>
            <w:tcW w:w="0" w:type="auto"/>
            <w:vMerge/>
          </w:tcPr>
          <w:p w14:paraId="2C4350A6" w14:textId="77777777" w:rsidR="00007F6C" w:rsidRDefault="00007F6C" w:rsidP="008C7ED1"/>
        </w:tc>
        <w:tc>
          <w:tcPr>
            <w:tcW w:w="0" w:type="auto"/>
          </w:tcPr>
          <w:p w14:paraId="2D79ACD9" w14:textId="77777777" w:rsidR="00007F6C" w:rsidRDefault="00007F6C" w:rsidP="008C7ED1">
            <w:pPr>
              <w:jc w:val="center"/>
            </w:pPr>
            <w:r>
              <w:t>35</w:t>
            </w:r>
          </w:p>
        </w:tc>
        <w:tc>
          <w:tcPr>
            <w:tcW w:w="0" w:type="auto"/>
          </w:tcPr>
          <w:p w14:paraId="2FE8D1AE" w14:textId="77777777" w:rsidR="00007F6C" w:rsidRPr="0001380A" w:rsidRDefault="00007F6C" w:rsidP="008C7ED1">
            <w:pPr>
              <w:jc w:val="right"/>
            </w:pPr>
            <w:r w:rsidRPr="00373CFA">
              <w:t>4.1</w:t>
            </w:r>
            <w:r>
              <w:t>6</w:t>
            </w:r>
          </w:p>
        </w:tc>
        <w:tc>
          <w:tcPr>
            <w:tcW w:w="0" w:type="auto"/>
          </w:tcPr>
          <w:p w14:paraId="11C0D9AE" w14:textId="77777777" w:rsidR="00007F6C" w:rsidRDefault="00007F6C" w:rsidP="008C7ED1">
            <w:pPr>
              <w:jc w:val="right"/>
            </w:pPr>
            <w:r w:rsidRPr="002851B7">
              <w:t>0.6</w:t>
            </w:r>
            <w:r>
              <w:t>4</w:t>
            </w:r>
          </w:p>
        </w:tc>
        <w:tc>
          <w:tcPr>
            <w:tcW w:w="0" w:type="auto"/>
          </w:tcPr>
          <w:p w14:paraId="2E6B970B" w14:textId="77777777" w:rsidR="00007F6C" w:rsidRDefault="00007F6C" w:rsidP="008C7ED1">
            <w:pPr>
              <w:jc w:val="right"/>
            </w:pPr>
            <w:r w:rsidRPr="00D528AE">
              <w:t>42.1</w:t>
            </w:r>
            <w:r>
              <w:t>4</w:t>
            </w:r>
          </w:p>
        </w:tc>
        <w:tc>
          <w:tcPr>
            <w:tcW w:w="0" w:type="auto"/>
          </w:tcPr>
          <w:p w14:paraId="708E48A0" w14:textId="77777777" w:rsidR="00007F6C" w:rsidRDefault="00007F6C" w:rsidP="008C7ED1">
            <w:pPr>
              <w:jc w:val="right"/>
            </w:pPr>
            <w:r w:rsidRPr="00334E2D">
              <w:t>3.00</w:t>
            </w:r>
          </w:p>
        </w:tc>
      </w:tr>
      <w:tr w:rsidR="00007F6C" w14:paraId="2D85F42A" w14:textId="77777777" w:rsidTr="005E2F1E">
        <w:trPr>
          <w:jc w:val="center"/>
        </w:trPr>
        <w:tc>
          <w:tcPr>
            <w:tcW w:w="0" w:type="auto"/>
            <w:vMerge/>
          </w:tcPr>
          <w:p w14:paraId="157D598B" w14:textId="77777777" w:rsidR="00007F6C" w:rsidRDefault="00007F6C" w:rsidP="008C7ED1"/>
        </w:tc>
        <w:tc>
          <w:tcPr>
            <w:tcW w:w="0" w:type="auto"/>
          </w:tcPr>
          <w:p w14:paraId="04E0F062" w14:textId="77777777" w:rsidR="00007F6C" w:rsidRDefault="00007F6C" w:rsidP="008C7ED1">
            <w:pPr>
              <w:jc w:val="center"/>
            </w:pPr>
            <w:r>
              <w:t>40</w:t>
            </w:r>
          </w:p>
        </w:tc>
        <w:tc>
          <w:tcPr>
            <w:tcW w:w="0" w:type="auto"/>
          </w:tcPr>
          <w:p w14:paraId="44728CA2" w14:textId="77777777" w:rsidR="00007F6C" w:rsidRPr="0001380A" w:rsidRDefault="00007F6C" w:rsidP="008C7ED1">
            <w:pPr>
              <w:jc w:val="right"/>
            </w:pPr>
            <w:r w:rsidRPr="00373CFA">
              <w:t>4.34</w:t>
            </w:r>
          </w:p>
        </w:tc>
        <w:tc>
          <w:tcPr>
            <w:tcW w:w="0" w:type="auto"/>
          </w:tcPr>
          <w:p w14:paraId="798A030E" w14:textId="77777777" w:rsidR="00007F6C" w:rsidRDefault="00007F6C" w:rsidP="008C7ED1">
            <w:pPr>
              <w:jc w:val="right"/>
            </w:pPr>
            <w:r w:rsidRPr="002851B7">
              <w:t>0.62</w:t>
            </w:r>
          </w:p>
        </w:tc>
        <w:tc>
          <w:tcPr>
            <w:tcW w:w="0" w:type="auto"/>
          </w:tcPr>
          <w:p w14:paraId="3EA438FB" w14:textId="77777777" w:rsidR="00007F6C" w:rsidRDefault="00007F6C" w:rsidP="008C7ED1">
            <w:pPr>
              <w:jc w:val="right"/>
            </w:pPr>
            <w:r w:rsidRPr="00D528AE">
              <w:t>41.95</w:t>
            </w:r>
          </w:p>
        </w:tc>
        <w:tc>
          <w:tcPr>
            <w:tcW w:w="0" w:type="auto"/>
          </w:tcPr>
          <w:p w14:paraId="3D2AC9A1" w14:textId="77777777" w:rsidR="00007F6C" w:rsidRDefault="00007F6C" w:rsidP="008C7ED1">
            <w:pPr>
              <w:jc w:val="right"/>
            </w:pPr>
            <w:r w:rsidRPr="00334E2D">
              <w:t>2.8</w:t>
            </w:r>
            <w:r>
              <w:t>3</w:t>
            </w:r>
          </w:p>
        </w:tc>
      </w:tr>
      <w:tr w:rsidR="00007F6C" w14:paraId="60E5B5F5" w14:textId="77777777" w:rsidTr="005E2F1E">
        <w:trPr>
          <w:jc w:val="center"/>
        </w:trPr>
        <w:tc>
          <w:tcPr>
            <w:tcW w:w="0" w:type="auto"/>
            <w:vMerge/>
          </w:tcPr>
          <w:p w14:paraId="06F4BE76" w14:textId="77777777" w:rsidR="00007F6C" w:rsidRDefault="00007F6C" w:rsidP="008C7ED1"/>
        </w:tc>
        <w:tc>
          <w:tcPr>
            <w:tcW w:w="0" w:type="auto"/>
          </w:tcPr>
          <w:p w14:paraId="763B681D" w14:textId="77777777" w:rsidR="00007F6C" w:rsidRDefault="00007F6C" w:rsidP="008C7ED1">
            <w:pPr>
              <w:jc w:val="center"/>
            </w:pPr>
            <w:r>
              <w:t>45</w:t>
            </w:r>
          </w:p>
        </w:tc>
        <w:tc>
          <w:tcPr>
            <w:tcW w:w="0" w:type="auto"/>
          </w:tcPr>
          <w:p w14:paraId="60162A07" w14:textId="77777777" w:rsidR="00007F6C" w:rsidRPr="0001380A" w:rsidRDefault="00007F6C" w:rsidP="008C7ED1">
            <w:pPr>
              <w:jc w:val="right"/>
            </w:pPr>
            <w:r w:rsidRPr="00373CFA">
              <w:t>4.52</w:t>
            </w:r>
          </w:p>
        </w:tc>
        <w:tc>
          <w:tcPr>
            <w:tcW w:w="0" w:type="auto"/>
          </w:tcPr>
          <w:p w14:paraId="4D57345F" w14:textId="77777777" w:rsidR="00007F6C" w:rsidRDefault="00007F6C" w:rsidP="008C7ED1">
            <w:pPr>
              <w:jc w:val="right"/>
            </w:pPr>
            <w:r w:rsidRPr="002851B7">
              <w:t>0.5</w:t>
            </w:r>
            <w:r>
              <w:t>9</w:t>
            </w:r>
          </w:p>
        </w:tc>
        <w:tc>
          <w:tcPr>
            <w:tcW w:w="0" w:type="auto"/>
          </w:tcPr>
          <w:p w14:paraId="2580F495" w14:textId="77777777" w:rsidR="00007F6C" w:rsidRDefault="00007F6C" w:rsidP="008C7ED1">
            <w:pPr>
              <w:jc w:val="right"/>
            </w:pPr>
            <w:r w:rsidRPr="00D528AE">
              <w:t>47.32</w:t>
            </w:r>
          </w:p>
        </w:tc>
        <w:tc>
          <w:tcPr>
            <w:tcW w:w="0" w:type="auto"/>
          </w:tcPr>
          <w:p w14:paraId="5F33CA53" w14:textId="77777777" w:rsidR="00007F6C" w:rsidRDefault="00007F6C" w:rsidP="008C7ED1">
            <w:pPr>
              <w:jc w:val="right"/>
            </w:pPr>
            <w:r w:rsidRPr="00334E2D">
              <w:t>2.51</w:t>
            </w:r>
          </w:p>
        </w:tc>
      </w:tr>
      <w:tr w:rsidR="00007F6C" w14:paraId="58FF8203" w14:textId="77777777" w:rsidTr="005E2F1E">
        <w:trPr>
          <w:jc w:val="center"/>
        </w:trPr>
        <w:tc>
          <w:tcPr>
            <w:tcW w:w="0" w:type="auto"/>
            <w:vMerge/>
          </w:tcPr>
          <w:p w14:paraId="67824FBE" w14:textId="77777777" w:rsidR="00007F6C" w:rsidRDefault="00007F6C" w:rsidP="008C7ED1"/>
        </w:tc>
        <w:tc>
          <w:tcPr>
            <w:tcW w:w="0" w:type="auto"/>
          </w:tcPr>
          <w:p w14:paraId="0D3A20C4" w14:textId="77777777" w:rsidR="00007F6C" w:rsidRDefault="00007F6C" w:rsidP="008C7ED1">
            <w:pPr>
              <w:jc w:val="center"/>
            </w:pPr>
            <w:r>
              <w:t>50</w:t>
            </w:r>
          </w:p>
        </w:tc>
        <w:tc>
          <w:tcPr>
            <w:tcW w:w="0" w:type="auto"/>
          </w:tcPr>
          <w:p w14:paraId="0A07B288" w14:textId="77777777" w:rsidR="00007F6C" w:rsidRPr="0001380A" w:rsidRDefault="00007F6C" w:rsidP="008C7ED1">
            <w:pPr>
              <w:jc w:val="right"/>
            </w:pPr>
            <w:r w:rsidRPr="00373CFA">
              <w:t>4.76</w:t>
            </w:r>
          </w:p>
        </w:tc>
        <w:tc>
          <w:tcPr>
            <w:tcW w:w="0" w:type="auto"/>
          </w:tcPr>
          <w:p w14:paraId="6458CF24" w14:textId="77777777" w:rsidR="00007F6C" w:rsidRDefault="00007F6C" w:rsidP="008C7ED1">
            <w:pPr>
              <w:jc w:val="right"/>
            </w:pPr>
            <w:r w:rsidRPr="002851B7">
              <w:t>0.</w:t>
            </w:r>
            <w:r>
              <w:t>60</w:t>
            </w:r>
          </w:p>
        </w:tc>
        <w:tc>
          <w:tcPr>
            <w:tcW w:w="0" w:type="auto"/>
          </w:tcPr>
          <w:p w14:paraId="3E0F79B6" w14:textId="77777777" w:rsidR="00007F6C" w:rsidRDefault="00007F6C" w:rsidP="008C7ED1">
            <w:pPr>
              <w:jc w:val="right"/>
            </w:pPr>
            <w:r w:rsidRPr="00D528AE">
              <w:t>41.6</w:t>
            </w:r>
            <w:r>
              <w:t>3</w:t>
            </w:r>
          </w:p>
        </w:tc>
        <w:tc>
          <w:tcPr>
            <w:tcW w:w="0" w:type="auto"/>
          </w:tcPr>
          <w:p w14:paraId="72BD0897" w14:textId="77777777" w:rsidR="00007F6C" w:rsidRDefault="00007F6C" w:rsidP="008C7ED1">
            <w:pPr>
              <w:jc w:val="right"/>
            </w:pPr>
            <w:r w:rsidRPr="00334E2D">
              <w:t>3.00</w:t>
            </w:r>
          </w:p>
        </w:tc>
      </w:tr>
    </w:tbl>
    <w:p w14:paraId="5D2BA25A" w14:textId="77777777" w:rsidR="00007F6C" w:rsidRDefault="00007F6C" w:rsidP="008C7ED1"/>
    <w:p w14:paraId="6E003ACC" w14:textId="698AE188" w:rsidR="00007F6C" w:rsidRDefault="00007F6C" w:rsidP="008C7ED1">
      <w:pPr>
        <w:jc w:val="both"/>
      </w:pPr>
      <w:r>
        <w:t xml:space="preserve">Considering that the wet impregnated samples were all confirmed to be the same chemical composition by </w:t>
      </w:r>
      <w:r w:rsidRPr="002C6ED4">
        <w:t xml:space="preserve">XRD and FTIR, </w:t>
      </w:r>
      <w:r>
        <w:t>the emergence of the impedance arc between 100-1500 Hz shows that processing the system entirely in N</w:t>
      </w:r>
      <w:r>
        <w:rPr>
          <w:vertAlign w:val="subscript"/>
        </w:rPr>
        <w:t>2</w:t>
      </w:r>
      <w:r>
        <w:t xml:space="preserve"> has promoted an extra impedance contribution. This contribution is solely due to an extra gas phase diffusion impedance at 1500 Hz discussed by </w:t>
      </w:r>
      <w:proofErr w:type="spellStart"/>
      <w:r>
        <w:rPr>
          <w:i/>
          <w:iCs/>
        </w:rPr>
        <w:t>Gewies</w:t>
      </w:r>
      <w:proofErr w:type="spellEnd"/>
      <w:r>
        <w:rPr>
          <w:i/>
          <w:iCs/>
        </w:rPr>
        <w:t xml:space="preserve"> </w:t>
      </w:r>
      <w:r>
        <w:t xml:space="preserve">in 2008 </w:t>
      </w:r>
      <w:r>
        <w:fldChar w:fldCharType="begin" w:fldLock="1"/>
      </w:r>
      <w:r w:rsidR="008B6E91">
        <w:instrText>ADDIN CSL_CITATION {"citationItems":[{"id":"ITEM-1","itemData":{"DOI":"10.1149/1.2943411","ISSN":"00134651","abstract":"The electrochemical impedance of Ni/yttria-stabilized zirconia ͑YSZ͒ cermet anodes is generally observed to consist of multiple features that can span the entire frequency range from hertz to megahertz. In order to assign the origin of these features, we apply a two-dimensional multiscale modeling approach that includes elementary kinetic electrochemistry, electrical double-layer forma-tion, diffusive transport in the porous cermet and the current collector mesh, gas-phase transport in the supply channel, and cermet microstructure description based on percolation theory. The model parameters are chosen to represent the electrolyte-supported symmetrical cell setup of Sonn et al. ͓J. Electrochem. Soc., 155, B675 ͑2008͔͒. The experimental data show three distinct impedance features. Using sensitivity analysis and model reductions, the physical model allows the assignment of the origin of these impedance features: ͑i͒ distributed charge transfer and electrical double layer cause an asymmetrical and depressed semi-circle at high frequencies ͑ϳ5 kHz͒; ͑ii͒ gas diffusion in the cermet and current collector mesh causes a small feature at intermediate frequencies ͑ϳ1 kHz͒; and ͑iii͒ gas diffusion in the supply channels causes a large, sometimes dominant feature at low frequencies ͑ϳ6 Hz͒. Two-dimensional spatial and temporal evolution of electrical current, potential, and gas composition during the impedance measurement are discussed.","author":[{"dropping-particle":"","family":"Gewies","given":"Stefan","non-dropping-particle":"","parse-names":false,"suffix":""},{"dropping-particle":"","family":"Bessler","given":"Wolfgang G.","non-dropping-particle":"","parse-names":false,"suffix":""}],"container-title":"Journal of The Electrochemical Society","id":"ITEM-1","issue":"9","issued":{"date-parts":[["2008"]]},"page":"B937","title":"Physically Based Impedance Modeling of Ni/YSZ Cermet Anodes","type":"article-journal","volume":"155"},"uris":["http://www.mendeley.com/documents/?uuid=20e2d650-b572-4776-bcad-150e167e004c"]},{"id":"ITEM-2","itemData":{"abstract":"نتم","author":[{"dropping-particle":"","family":"Gewies","given":"Stefan","non-dropping-particle":"","parse-names":false,"suffix":""}],"id":"ITEM-2","issued":{"date-parts":[["2009"]]},"number-of-pages":"78","publisher":"Heidelberg University","title":"Modellgestutzte Interpretation der ¨ elektrochemischen Charakteristik von Festoxid-Brennstoffzellen mit Ni/YSZ-Cermetanoden","type":"thesis"},"uris":["http://www.mendeley.com/documents/?uuid=e9a48db1-da7b-4e3e-abf0-4dbe0199eec9"]}],"mendeley":{"formattedCitation":"[406], [407]","plainTextFormattedCitation":"[406], [407]","previouslyFormattedCitation":"[406], [407]"},"properties":{"noteIndex":0},"schema":"https://github.com/citation-style-language/schema/raw/master/csl-citation.json"}</w:instrText>
      </w:r>
      <w:r>
        <w:fldChar w:fldCharType="separate"/>
      </w:r>
      <w:r w:rsidR="00237E21" w:rsidRPr="00237E21">
        <w:rPr>
          <w:noProof/>
        </w:rPr>
        <w:t>[406], [407]</w:t>
      </w:r>
      <w:r>
        <w:fldChar w:fldCharType="end"/>
      </w:r>
      <w:r>
        <w:t xml:space="preserve">. </w:t>
      </w:r>
    </w:p>
    <w:p w14:paraId="3EB57889" w14:textId="77777777" w:rsidR="00007F6C" w:rsidRDefault="00007F6C" w:rsidP="008C7ED1">
      <w:pPr>
        <w:pStyle w:val="Heading4"/>
      </w:pPr>
      <w:r>
        <w:t>ND AC</w:t>
      </w:r>
    </w:p>
    <w:p w14:paraId="52DE01ED" w14:textId="1BDED5B4" w:rsidR="00007F6C" w:rsidRDefault="00007F6C" w:rsidP="00007F6C">
      <w:pPr>
        <w:spacing w:after="0"/>
        <w:jc w:val="both"/>
      </w:pPr>
      <w:r>
        <w:t xml:space="preserve">The equivalent circuit utilising two RQ components did not fit the data well due to the emergence of the second arc at 50Hz especially at 0h. This magnitude of this error far surpasses the rest of the aged data visible in </w:t>
      </w:r>
      <w:r>
        <w:fldChar w:fldCharType="begin"/>
      </w:r>
      <w:r>
        <w:instrText xml:space="preserve"> REF _Ref41655455 \h  \* MERGEFORMAT </w:instrText>
      </w:r>
      <w:r>
        <w:fldChar w:fldCharType="separate"/>
      </w:r>
      <w:r w:rsidR="00650F8E">
        <w:t>Table 4.12</w:t>
      </w:r>
      <w:r>
        <w:fldChar w:fldCharType="end"/>
      </w:r>
      <w:r>
        <w:t xml:space="preserve"> below.</w:t>
      </w:r>
    </w:p>
    <w:p w14:paraId="29FCB8FD" w14:textId="2AF1BD33" w:rsidR="00007F6C" w:rsidRDefault="00007F6C" w:rsidP="00007F6C">
      <w:pPr>
        <w:pStyle w:val="Caption"/>
        <w:keepNext/>
      </w:pPr>
      <w:bookmarkStart w:id="415" w:name="_Ref41655455"/>
      <w:r>
        <w:t>Table 4.</w:t>
      </w:r>
      <w:r w:rsidR="00B51F53">
        <w:fldChar w:fldCharType="begin"/>
      </w:r>
      <w:r w:rsidR="00B51F53">
        <w:instrText xml:space="preserve"> SEQ Table \* ARABIC </w:instrText>
      </w:r>
      <w:r w:rsidR="00B51F53">
        <w:fldChar w:fldCharType="separate"/>
      </w:r>
      <w:r w:rsidR="0022061C">
        <w:rPr>
          <w:noProof/>
        </w:rPr>
        <w:t>12</w:t>
      </w:r>
      <w:r w:rsidR="00B51F53">
        <w:rPr>
          <w:noProof/>
        </w:rPr>
        <w:fldChar w:fldCharType="end"/>
      </w:r>
      <w:bookmarkEnd w:id="415"/>
      <w:r>
        <w:t>: Table of the calculated Rs and Rp and associated % errors from the EC fitting of the ND AC sample</w:t>
      </w:r>
    </w:p>
    <w:tbl>
      <w:tblPr>
        <w:tblStyle w:val="TableGrid"/>
        <w:tblW w:w="0" w:type="auto"/>
        <w:jc w:val="center"/>
        <w:tblLook w:val="04A0" w:firstRow="1" w:lastRow="0" w:firstColumn="1" w:lastColumn="0" w:noHBand="0" w:noVBand="1"/>
      </w:tblPr>
      <w:tblGrid>
        <w:gridCol w:w="891"/>
        <w:gridCol w:w="1344"/>
        <w:gridCol w:w="1112"/>
        <w:gridCol w:w="1291"/>
        <w:gridCol w:w="1143"/>
        <w:gridCol w:w="1321"/>
      </w:tblGrid>
      <w:tr w:rsidR="00007F6C" w14:paraId="11C4032C" w14:textId="77777777" w:rsidTr="005E2F1E">
        <w:trPr>
          <w:trHeight w:val="241"/>
          <w:jc w:val="center"/>
        </w:trPr>
        <w:tc>
          <w:tcPr>
            <w:tcW w:w="0" w:type="auto"/>
          </w:tcPr>
          <w:p w14:paraId="5F519E38" w14:textId="77777777" w:rsidR="00007F6C" w:rsidRPr="00F17599" w:rsidRDefault="00007F6C" w:rsidP="005E2F1E">
            <w:pPr>
              <w:jc w:val="center"/>
              <w:rPr>
                <w:b/>
                <w:bCs/>
              </w:rPr>
            </w:pPr>
            <w:r w:rsidRPr="00F17599">
              <w:rPr>
                <w:b/>
                <w:bCs/>
              </w:rPr>
              <w:t>Sample</w:t>
            </w:r>
          </w:p>
        </w:tc>
        <w:tc>
          <w:tcPr>
            <w:tcW w:w="0" w:type="auto"/>
          </w:tcPr>
          <w:p w14:paraId="592FC227" w14:textId="77777777" w:rsidR="00007F6C" w:rsidRPr="00F17599" w:rsidRDefault="00007F6C" w:rsidP="005E2F1E">
            <w:pPr>
              <w:jc w:val="center"/>
              <w:rPr>
                <w:b/>
                <w:bCs/>
              </w:rPr>
            </w:pPr>
            <w:r w:rsidRPr="00F17599">
              <w:rPr>
                <w:b/>
                <w:bCs/>
              </w:rPr>
              <w:t>Ageing Time</w:t>
            </w:r>
          </w:p>
        </w:tc>
        <w:tc>
          <w:tcPr>
            <w:tcW w:w="0" w:type="auto"/>
          </w:tcPr>
          <w:p w14:paraId="18383D05" w14:textId="77777777" w:rsidR="00007F6C" w:rsidRPr="00F17599" w:rsidRDefault="00007F6C" w:rsidP="005E2F1E">
            <w:pPr>
              <w:jc w:val="center"/>
              <w:rPr>
                <w:b/>
                <w:bCs/>
              </w:rPr>
            </w:pPr>
            <w:r w:rsidRPr="00F17599">
              <w:rPr>
                <w:b/>
                <w:bCs/>
              </w:rPr>
              <w:t>Rs</w:t>
            </w:r>
            <w:r>
              <w:rPr>
                <w:b/>
                <w:bCs/>
              </w:rPr>
              <w:t xml:space="preserve"> </w:t>
            </w:r>
            <w:r>
              <w:rPr>
                <w:rFonts w:cstheme="minorHAnsi"/>
                <w:b/>
                <w:bCs/>
              </w:rPr>
              <w:t>[Ω</w:t>
            </w:r>
            <w:r>
              <w:rPr>
                <w:b/>
                <w:bCs/>
              </w:rPr>
              <w:t>cm</w:t>
            </w:r>
            <w:r>
              <w:rPr>
                <w:b/>
                <w:bCs/>
                <w:vertAlign w:val="superscript"/>
              </w:rPr>
              <w:t>2</w:t>
            </w:r>
            <w:r>
              <w:rPr>
                <w:b/>
                <w:bCs/>
              </w:rPr>
              <w:t>]</w:t>
            </w:r>
          </w:p>
        </w:tc>
        <w:tc>
          <w:tcPr>
            <w:tcW w:w="0" w:type="auto"/>
          </w:tcPr>
          <w:p w14:paraId="40899D0B" w14:textId="77777777" w:rsidR="00007F6C" w:rsidRPr="00F17599" w:rsidRDefault="00007F6C" w:rsidP="005E2F1E">
            <w:pPr>
              <w:jc w:val="center"/>
              <w:rPr>
                <w:b/>
                <w:bCs/>
              </w:rPr>
            </w:pPr>
            <w:r w:rsidRPr="00F17599">
              <w:rPr>
                <w:b/>
                <w:bCs/>
              </w:rPr>
              <w:t>Rs Error</w:t>
            </w:r>
            <w:r>
              <w:rPr>
                <w:b/>
                <w:bCs/>
              </w:rPr>
              <w:t xml:space="preserve"> [%]</w:t>
            </w:r>
          </w:p>
        </w:tc>
        <w:tc>
          <w:tcPr>
            <w:tcW w:w="0" w:type="auto"/>
          </w:tcPr>
          <w:p w14:paraId="7A5A799F" w14:textId="77777777" w:rsidR="00007F6C" w:rsidRPr="00F17599" w:rsidRDefault="00007F6C" w:rsidP="005E2F1E">
            <w:pPr>
              <w:jc w:val="center"/>
              <w:rPr>
                <w:b/>
                <w:bCs/>
              </w:rPr>
            </w:pPr>
            <w:r w:rsidRPr="00F17599">
              <w:rPr>
                <w:b/>
                <w:bCs/>
              </w:rPr>
              <w:t>Rp</w:t>
            </w:r>
            <w:r>
              <w:rPr>
                <w:b/>
                <w:bCs/>
              </w:rPr>
              <w:t xml:space="preserve"> </w:t>
            </w:r>
            <w:r>
              <w:rPr>
                <w:rFonts w:cstheme="minorHAnsi"/>
                <w:b/>
                <w:bCs/>
              </w:rPr>
              <w:t>[Ω</w:t>
            </w:r>
            <w:r>
              <w:rPr>
                <w:b/>
                <w:bCs/>
              </w:rPr>
              <w:t>cm</w:t>
            </w:r>
            <w:r>
              <w:rPr>
                <w:b/>
                <w:bCs/>
                <w:vertAlign w:val="superscript"/>
              </w:rPr>
              <w:t>2</w:t>
            </w:r>
            <w:r>
              <w:rPr>
                <w:b/>
                <w:bCs/>
              </w:rPr>
              <w:t>]</w:t>
            </w:r>
          </w:p>
        </w:tc>
        <w:tc>
          <w:tcPr>
            <w:tcW w:w="0" w:type="auto"/>
          </w:tcPr>
          <w:p w14:paraId="7BF8C5AA" w14:textId="77777777" w:rsidR="00007F6C" w:rsidRPr="00F17599" w:rsidRDefault="00007F6C" w:rsidP="005E2F1E">
            <w:pPr>
              <w:jc w:val="center"/>
              <w:rPr>
                <w:b/>
                <w:bCs/>
              </w:rPr>
            </w:pPr>
            <w:r w:rsidRPr="00F17599">
              <w:rPr>
                <w:b/>
                <w:bCs/>
              </w:rPr>
              <w:t>Rp Error</w:t>
            </w:r>
            <w:r>
              <w:rPr>
                <w:b/>
                <w:bCs/>
              </w:rPr>
              <w:t xml:space="preserve"> [%]</w:t>
            </w:r>
          </w:p>
        </w:tc>
      </w:tr>
      <w:tr w:rsidR="00007F6C" w14:paraId="2C1D7DBD" w14:textId="77777777" w:rsidTr="005E2F1E">
        <w:trPr>
          <w:jc w:val="center"/>
        </w:trPr>
        <w:tc>
          <w:tcPr>
            <w:tcW w:w="0" w:type="auto"/>
            <w:vMerge w:val="restart"/>
          </w:tcPr>
          <w:p w14:paraId="27BA5E91" w14:textId="77777777" w:rsidR="00007F6C" w:rsidRDefault="00007F6C" w:rsidP="005E2F1E">
            <w:pPr>
              <w:jc w:val="center"/>
            </w:pPr>
            <w:r>
              <w:t>ND AC</w:t>
            </w:r>
          </w:p>
        </w:tc>
        <w:tc>
          <w:tcPr>
            <w:tcW w:w="0" w:type="auto"/>
          </w:tcPr>
          <w:p w14:paraId="33CAA144" w14:textId="77777777" w:rsidR="00007F6C" w:rsidRDefault="00007F6C" w:rsidP="005E2F1E">
            <w:pPr>
              <w:jc w:val="center"/>
            </w:pPr>
            <w:r>
              <w:t>0</w:t>
            </w:r>
          </w:p>
        </w:tc>
        <w:tc>
          <w:tcPr>
            <w:tcW w:w="0" w:type="auto"/>
          </w:tcPr>
          <w:p w14:paraId="7F997734" w14:textId="77777777" w:rsidR="00007F6C" w:rsidRDefault="00007F6C" w:rsidP="005E2F1E">
            <w:pPr>
              <w:jc w:val="right"/>
            </w:pPr>
            <w:r w:rsidRPr="005F1094">
              <w:t>3.8</w:t>
            </w:r>
            <w:r>
              <w:t>2</w:t>
            </w:r>
          </w:p>
        </w:tc>
        <w:tc>
          <w:tcPr>
            <w:tcW w:w="0" w:type="auto"/>
          </w:tcPr>
          <w:p w14:paraId="3D7F0D5D" w14:textId="77777777" w:rsidR="00007F6C" w:rsidRDefault="00007F6C" w:rsidP="005E2F1E">
            <w:pPr>
              <w:jc w:val="right"/>
            </w:pPr>
            <w:r w:rsidRPr="006A3DB4">
              <w:t>0.9</w:t>
            </w:r>
            <w:r>
              <w:t>2</w:t>
            </w:r>
          </w:p>
        </w:tc>
        <w:tc>
          <w:tcPr>
            <w:tcW w:w="0" w:type="auto"/>
          </w:tcPr>
          <w:p w14:paraId="4E306BD8" w14:textId="77777777" w:rsidR="00007F6C" w:rsidRDefault="00007F6C" w:rsidP="005E2F1E">
            <w:pPr>
              <w:jc w:val="right"/>
            </w:pPr>
            <w:r w:rsidRPr="007D2A2F">
              <w:t>15.2</w:t>
            </w:r>
            <w:r>
              <w:t>7</w:t>
            </w:r>
          </w:p>
        </w:tc>
        <w:tc>
          <w:tcPr>
            <w:tcW w:w="0" w:type="auto"/>
          </w:tcPr>
          <w:p w14:paraId="32A62D1D" w14:textId="77777777" w:rsidR="00007F6C" w:rsidRDefault="00007F6C" w:rsidP="005E2F1E">
            <w:pPr>
              <w:jc w:val="right"/>
            </w:pPr>
            <w:r w:rsidRPr="003956B8">
              <w:rPr>
                <w:color w:val="FF0000"/>
              </w:rPr>
              <w:t>21.10</w:t>
            </w:r>
          </w:p>
        </w:tc>
      </w:tr>
      <w:tr w:rsidR="00007F6C" w14:paraId="3DC15A65" w14:textId="77777777" w:rsidTr="005E2F1E">
        <w:trPr>
          <w:jc w:val="center"/>
        </w:trPr>
        <w:tc>
          <w:tcPr>
            <w:tcW w:w="0" w:type="auto"/>
            <w:vMerge/>
          </w:tcPr>
          <w:p w14:paraId="026D8B17" w14:textId="77777777" w:rsidR="00007F6C" w:rsidRDefault="00007F6C" w:rsidP="005E2F1E"/>
        </w:tc>
        <w:tc>
          <w:tcPr>
            <w:tcW w:w="0" w:type="auto"/>
          </w:tcPr>
          <w:p w14:paraId="3F7D9326" w14:textId="77777777" w:rsidR="00007F6C" w:rsidRDefault="00007F6C" w:rsidP="005E2F1E">
            <w:pPr>
              <w:jc w:val="center"/>
            </w:pPr>
            <w:r>
              <w:t>5</w:t>
            </w:r>
          </w:p>
        </w:tc>
        <w:tc>
          <w:tcPr>
            <w:tcW w:w="0" w:type="auto"/>
          </w:tcPr>
          <w:p w14:paraId="4F82EF93" w14:textId="77777777" w:rsidR="00007F6C" w:rsidRDefault="00007F6C" w:rsidP="005E2F1E">
            <w:pPr>
              <w:jc w:val="right"/>
            </w:pPr>
            <w:r w:rsidRPr="005F1094">
              <w:t>4.1</w:t>
            </w:r>
            <w:r>
              <w:t>4</w:t>
            </w:r>
          </w:p>
        </w:tc>
        <w:tc>
          <w:tcPr>
            <w:tcW w:w="0" w:type="auto"/>
          </w:tcPr>
          <w:p w14:paraId="6D2DB1EB" w14:textId="77777777" w:rsidR="00007F6C" w:rsidRDefault="00007F6C" w:rsidP="005E2F1E">
            <w:pPr>
              <w:jc w:val="right"/>
            </w:pPr>
            <w:r w:rsidRPr="006A3DB4">
              <w:t>0.4</w:t>
            </w:r>
            <w:r>
              <w:t>6</w:t>
            </w:r>
          </w:p>
        </w:tc>
        <w:tc>
          <w:tcPr>
            <w:tcW w:w="0" w:type="auto"/>
          </w:tcPr>
          <w:p w14:paraId="0D0F6435" w14:textId="77777777" w:rsidR="00007F6C" w:rsidRDefault="00007F6C" w:rsidP="005E2F1E">
            <w:pPr>
              <w:jc w:val="right"/>
            </w:pPr>
            <w:r w:rsidRPr="007D2A2F">
              <w:t>21.6</w:t>
            </w:r>
            <w:r>
              <w:t>8</w:t>
            </w:r>
          </w:p>
        </w:tc>
        <w:tc>
          <w:tcPr>
            <w:tcW w:w="0" w:type="auto"/>
          </w:tcPr>
          <w:p w14:paraId="22840505" w14:textId="77777777" w:rsidR="00007F6C" w:rsidRDefault="00007F6C" w:rsidP="005E2F1E">
            <w:pPr>
              <w:jc w:val="right"/>
            </w:pPr>
            <w:r w:rsidRPr="00350E51">
              <w:t>4.08</w:t>
            </w:r>
          </w:p>
        </w:tc>
      </w:tr>
      <w:tr w:rsidR="00007F6C" w14:paraId="1C7D78FA" w14:textId="77777777" w:rsidTr="005E2F1E">
        <w:trPr>
          <w:jc w:val="center"/>
        </w:trPr>
        <w:tc>
          <w:tcPr>
            <w:tcW w:w="0" w:type="auto"/>
            <w:vMerge/>
          </w:tcPr>
          <w:p w14:paraId="3DB5BCC4" w14:textId="77777777" w:rsidR="00007F6C" w:rsidRDefault="00007F6C" w:rsidP="005E2F1E"/>
        </w:tc>
        <w:tc>
          <w:tcPr>
            <w:tcW w:w="0" w:type="auto"/>
          </w:tcPr>
          <w:p w14:paraId="00179083" w14:textId="77777777" w:rsidR="00007F6C" w:rsidRDefault="00007F6C" w:rsidP="005E2F1E">
            <w:pPr>
              <w:jc w:val="center"/>
            </w:pPr>
            <w:r>
              <w:t>10</w:t>
            </w:r>
          </w:p>
        </w:tc>
        <w:tc>
          <w:tcPr>
            <w:tcW w:w="0" w:type="auto"/>
          </w:tcPr>
          <w:p w14:paraId="230F94E2" w14:textId="77777777" w:rsidR="00007F6C" w:rsidRDefault="00007F6C" w:rsidP="005E2F1E">
            <w:pPr>
              <w:jc w:val="right"/>
            </w:pPr>
            <w:r w:rsidRPr="005F1094">
              <w:t>4.99</w:t>
            </w:r>
          </w:p>
        </w:tc>
        <w:tc>
          <w:tcPr>
            <w:tcW w:w="0" w:type="auto"/>
          </w:tcPr>
          <w:p w14:paraId="27CF6AC9" w14:textId="77777777" w:rsidR="00007F6C" w:rsidRDefault="00007F6C" w:rsidP="005E2F1E">
            <w:pPr>
              <w:jc w:val="right"/>
            </w:pPr>
            <w:r w:rsidRPr="006A3DB4">
              <w:t>0.29</w:t>
            </w:r>
          </w:p>
        </w:tc>
        <w:tc>
          <w:tcPr>
            <w:tcW w:w="0" w:type="auto"/>
          </w:tcPr>
          <w:p w14:paraId="5B406979" w14:textId="77777777" w:rsidR="00007F6C" w:rsidRDefault="00007F6C" w:rsidP="005E2F1E">
            <w:pPr>
              <w:jc w:val="right"/>
            </w:pPr>
            <w:r w:rsidRPr="007D2A2F">
              <w:t>21.8</w:t>
            </w:r>
            <w:r>
              <w:t>2</w:t>
            </w:r>
          </w:p>
        </w:tc>
        <w:tc>
          <w:tcPr>
            <w:tcW w:w="0" w:type="auto"/>
          </w:tcPr>
          <w:p w14:paraId="511B3999" w14:textId="77777777" w:rsidR="00007F6C" w:rsidRDefault="00007F6C" w:rsidP="005E2F1E">
            <w:pPr>
              <w:jc w:val="right"/>
            </w:pPr>
            <w:r w:rsidRPr="00350E51">
              <w:t>2.59</w:t>
            </w:r>
          </w:p>
        </w:tc>
      </w:tr>
      <w:tr w:rsidR="00007F6C" w14:paraId="63AEAE19" w14:textId="77777777" w:rsidTr="005E2F1E">
        <w:trPr>
          <w:jc w:val="center"/>
        </w:trPr>
        <w:tc>
          <w:tcPr>
            <w:tcW w:w="0" w:type="auto"/>
            <w:vMerge/>
          </w:tcPr>
          <w:p w14:paraId="1496D2DC" w14:textId="77777777" w:rsidR="00007F6C" w:rsidRDefault="00007F6C" w:rsidP="005E2F1E"/>
        </w:tc>
        <w:tc>
          <w:tcPr>
            <w:tcW w:w="0" w:type="auto"/>
          </w:tcPr>
          <w:p w14:paraId="7923F2B2" w14:textId="77777777" w:rsidR="00007F6C" w:rsidRDefault="00007F6C" w:rsidP="005E2F1E">
            <w:pPr>
              <w:jc w:val="center"/>
            </w:pPr>
            <w:r>
              <w:t>15</w:t>
            </w:r>
          </w:p>
        </w:tc>
        <w:tc>
          <w:tcPr>
            <w:tcW w:w="0" w:type="auto"/>
          </w:tcPr>
          <w:p w14:paraId="7322A061" w14:textId="77777777" w:rsidR="00007F6C" w:rsidRDefault="00007F6C" w:rsidP="005E2F1E">
            <w:pPr>
              <w:jc w:val="right"/>
            </w:pPr>
            <w:r w:rsidRPr="005F1094">
              <w:t>5.</w:t>
            </w:r>
            <w:r>
              <w:t>20</w:t>
            </w:r>
          </w:p>
        </w:tc>
        <w:tc>
          <w:tcPr>
            <w:tcW w:w="0" w:type="auto"/>
          </w:tcPr>
          <w:p w14:paraId="126FA40D" w14:textId="77777777" w:rsidR="00007F6C" w:rsidRDefault="00007F6C" w:rsidP="005E2F1E">
            <w:pPr>
              <w:jc w:val="right"/>
            </w:pPr>
            <w:r w:rsidRPr="006A3DB4">
              <w:t>0.35</w:t>
            </w:r>
          </w:p>
        </w:tc>
        <w:tc>
          <w:tcPr>
            <w:tcW w:w="0" w:type="auto"/>
          </w:tcPr>
          <w:p w14:paraId="5FF52F1B" w14:textId="77777777" w:rsidR="00007F6C" w:rsidRDefault="00007F6C" w:rsidP="005E2F1E">
            <w:pPr>
              <w:jc w:val="right"/>
            </w:pPr>
            <w:r w:rsidRPr="007D2A2F">
              <w:t>23.3</w:t>
            </w:r>
            <w:r>
              <w:t>6</w:t>
            </w:r>
          </w:p>
        </w:tc>
        <w:tc>
          <w:tcPr>
            <w:tcW w:w="0" w:type="auto"/>
          </w:tcPr>
          <w:p w14:paraId="5C1D1B57" w14:textId="77777777" w:rsidR="00007F6C" w:rsidRDefault="00007F6C" w:rsidP="005E2F1E">
            <w:pPr>
              <w:jc w:val="right"/>
            </w:pPr>
            <w:r w:rsidRPr="00350E51">
              <w:t>3.20</w:t>
            </w:r>
          </w:p>
        </w:tc>
      </w:tr>
      <w:tr w:rsidR="00007F6C" w14:paraId="5EA7F284" w14:textId="77777777" w:rsidTr="005E2F1E">
        <w:trPr>
          <w:jc w:val="center"/>
        </w:trPr>
        <w:tc>
          <w:tcPr>
            <w:tcW w:w="0" w:type="auto"/>
            <w:vMerge/>
          </w:tcPr>
          <w:p w14:paraId="3F59D896" w14:textId="77777777" w:rsidR="00007F6C" w:rsidRDefault="00007F6C" w:rsidP="005E2F1E"/>
        </w:tc>
        <w:tc>
          <w:tcPr>
            <w:tcW w:w="0" w:type="auto"/>
          </w:tcPr>
          <w:p w14:paraId="74D6D4B8" w14:textId="77777777" w:rsidR="00007F6C" w:rsidRDefault="00007F6C" w:rsidP="005E2F1E">
            <w:pPr>
              <w:jc w:val="center"/>
            </w:pPr>
            <w:r>
              <w:t>20</w:t>
            </w:r>
          </w:p>
        </w:tc>
        <w:tc>
          <w:tcPr>
            <w:tcW w:w="0" w:type="auto"/>
          </w:tcPr>
          <w:p w14:paraId="70AB9C10" w14:textId="77777777" w:rsidR="00007F6C" w:rsidRDefault="00007F6C" w:rsidP="005E2F1E">
            <w:pPr>
              <w:jc w:val="right"/>
            </w:pPr>
            <w:r w:rsidRPr="005F1094">
              <w:t>5.4</w:t>
            </w:r>
            <w:r>
              <w:t>8</w:t>
            </w:r>
          </w:p>
        </w:tc>
        <w:tc>
          <w:tcPr>
            <w:tcW w:w="0" w:type="auto"/>
          </w:tcPr>
          <w:p w14:paraId="028F1085" w14:textId="77777777" w:rsidR="00007F6C" w:rsidRDefault="00007F6C" w:rsidP="005E2F1E">
            <w:pPr>
              <w:jc w:val="right"/>
            </w:pPr>
            <w:r w:rsidRPr="006A3DB4">
              <w:t>0.44</w:t>
            </w:r>
          </w:p>
        </w:tc>
        <w:tc>
          <w:tcPr>
            <w:tcW w:w="0" w:type="auto"/>
          </w:tcPr>
          <w:p w14:paraId="457977C9" w14:textId="77777777" w:rsidR="00007F6C" w:rsidRDefault="00007F6C" w:rsidP="005E2F1E">
            <w:pPr>
              <w:jc w:val="right"/>
            </w:pPr>
            <w:r w:rsidRPr="007D2A2F">
              <w:t>20.29</w:t>
            </w:r>
          </w:p>
        </w:tc>
        <w:tc>
          <w:tcPr>
            <w:tcW w:w="0" w:type="auto"/>
          </w:tcPr>
          <w:p w14:paraId="5FF54013" w14:textId="77777777" w:rsidR="00007F6C" w:rsidRDefault="00007F6C" w:rsidP="005E2F1E">
            <w:pPr>
              <w:jc w:val="right"/>
            </w:pPr>
            <w:r w:rsidRPr="00350E51">
              <w:t>4.71</w:t>
            </w:r>
          </w:p>
        </w:tc>
      </w:tr>
      <w:tr w:rsidR="00007F6C" w14:paraId="6AB540D4" w14:textId="77777777" w:rsidTr="005E2F1E">
        <w:trPr>
          <w:jc w:val="center"/>
        </w:trPr>
        <w:tc>
          <w:tcPr>
            <w:tcW w:w="0" w:type="auto"/>
            <w:vMerge/>
          </w:tcPr>
          <w:p w14:paraId="6C0F9515" w14:textId="77777777" w:rsidR="00007F6C" w:rsidRDefault="00007F6C" w:rsidP="005E2F1E"/>
        </w:tc>
        <w:tc>
          <w:tcPr>
            <w:tcW w:w="0" w:type="auto"/>
          </w:tcPr>
          <w:p w14:paraId="2CD72C62" w14:textId="77777777" w:rsidR="00007F6C" w:rsidRDefault="00007F6C" w:rsidP="005E2F1E">
            <w:pPr>
              <w:jc w:val="center"/>
            </w:pPr>
            <w:r>
              <w:t>25</w:t>
            </w:r>
          </w:p>
        </w:tc>
        <w:tc>
          <w:tcPr>
            <w:tcW w:w="0" w:type="auto"/>
          </w:tcPr>
          <w:p w14:paraId="55CE78DA" w14:textId="77777777" w:rsidR="00007F6C" w:rsidRPr="0001380A" w:rsidRDefault="00007F6C" w:rsidP="005E2F1E">
            <w:pPr>
              <w:jc w:val="right"/>
            </w:pPr>
            <w:r w:rsidRPr="005F1094">
              <w:t>5.5</w:t>
            </w:r>
            <w:r>
              <w:t>6</w:t>
            </w:r>
          </w:p>
        </w:tc>
        <w:tc>
          <w:tcPr>
            <w:tcW w:w="0" w:type="auto"/>
          </w:tcPr>
          <w:p w14:paraId="6CFF2772" w14:textId="77777777" w:rsidR="00007F6C" w:rsidRDefault="00007F6C" w:rsidP="005E2F1E">
            <w:pPr>
              <w:jc w:val="right"/>
            </w:pPr>
            <w:r w:rsidRPr="006A3DB4">
              <w:t>0.3</w:t>
            </w:r>
            <w:r>
              <w:t>4</w:t>
            </w:r>
          </w:p>
        </w:tc>
        <w:tc>
          <w:tcPr>
            <w:tcW w:w="0" w:type="auto"/>
          </w:tcPr>
          <w:p w14:paraId="139941F8" w14:textId="77777777" w:rsidR="00007F6C" w:rsidRDefault="00007F6C" w:rsidP="005E2F1E">
            <w:pPr>
              <w:jc w:val="right"/>
            </w:pPr>
            <w:r w:rsidRPr="007D2A2F">
              <w:t>19.22</w:t>
            </w:r>
          </w:p>
        </w:tc>
        <w:tc>
          <w:tcPr>
            <w:tcW w:w="0" w:type="auto"/>
          </w:tcPr>
          <w:p w14:paraId="79847CD0" w14:textId="77777777" w:rsidR="00007F6C" w:rsidRDefault="00007F6C" w:rsidP="005E2F1E">
            <w:pPr>
              <w:jc w:val="right"/>
            </w:pPr>
            <w:r w:rsidRPr="00350E51">
              <w:t>4.46</w:t>
            </w:r>
          </w:p>
        </w:tc>
      </w:tr>
      <w:tr w:rsidR="00007F6C" w14:paraId="4AB84862" w14:textId="77777777" w:rsidTr="005E2F1E">
        <w:trPr>
          <w:jc w:val="center"/>
        </w:trPr>
        <w:tc>
          <w:tcPr>
            <w:tcW w:w="0" w:type="auto"/>
            <w:vMerge/>
          </w:tcPr>
          <w:p w14:paraId="4684FC3A" w14:textId="77777777" w:rsidR="00007F6C" w:rsidRDefault="00007F6C" w:rsidP="005E2F1E"/>
        </w:tc>
        <w:tc>
          <w:tcPr>
            <w:tcW w:w="0" w:type="auto"/>
          </w:tcPr>
          <w:p w14:paraId="76CD1688" w14:textId="77777777" w:rsidR="00007F6C" w:rsidRDefault="00007F6C" w:rsidP="005E2F1E">
            <w:pPr>
              <w:jc w:val="center"/>
            </w:pPr>
            <w:r>
              <w:t>30</w:t>
            </w:r>
          </w:p>
        </w:tc>
        <w:tc>
          <w:tcPr>
            <w:tcW w:w="0" w:type="auto"/>
          </w:tcPr>
          <w:p w14:paraId="34E65AF7" w14:textId="77777777" w:rsidR="00007F6C" w:rsidRPr="0001380A" w:rsidRDefault="00007F6C" w:rsidP="005E2F1E">
            <w:pPr>
              <w:jc w:val="right"/>
            </w:pPr>
            <w:r w:rsidRPr="005F1094">
              <w:t>5.80</w:t>
            </w:r>
          </w:p>
        </w:tc>
        <w:tc>
          <w:tcPr>
            <w:tcW w:w="0" w:type="auto"/>
          </w:tcPr>
          <w:p w14:paraId="043C7D71" w14:textId="77777777" w:rsidR="00007F6C" w:rsidRDefault="00007F6C" w:rsidP="005E2F1E">
            <w:pPr>
              <w:jc w:val="right"/>
            </w:pPr>
            <w:r w:rsidRPr="006A3DB4">
              <w:t>0.5</w:t>
            </w:r>
            <w:r>
              <w:t>9</w:t>
            </w:r>
          </w:p>
        </w:tc>
        <w:tc>
          <w:tcPr>
            <w:tcW w:w="0" w:type="auto"/>
          </w:tcPr>
          <w:p w14:paraId="1FA50503" w14:textId="77777777" w:rsidR="00007F6C" w:rsidRDefault="00007F6C" w:rsidP="005E2F1E">
            <w:pPr>
              <w:jc w:val="right"/>
            </w:pPr>
            <w:r w:rsidRPr="007D2A2F">
              <w:t>21.94</w:t>
            </w:r>
          </w:p>
        </w:tc>
        <w:tc>
          <w:tcPr>
            <w:tcW w:w="0" w:type="auto"/>
          </w:tcPr>
          <w:p w14:paraId="18BDF6F8" w14:textId="77777777" w:rsidR="00007F6C" w:rsidRDefault="00007F6C" w:rsidP="005E2F1E">
            <w:pPr>
              <w:jc w:val="right"/>
            </w:pPr>
            <w:r w:rsidRPr="00350E51">
              <w:t>6.</w:t>
            </w:r>
            <w:r>
              <w:t>10</w:t>
            </w:r>
          </w:p>
        </w:tc>
      </w:tr>
      <w:tr w:rsidR="00007F6C" w14:paraId="2733F070" w14:textId="77777777" w:rsidTr="005E2F1E">
        <w:trPr>
          <w:jc w:val="center"/>
        </w:trPr>
        <w:tc>
          <w:tcPr>
            <w:tcW w:w="0" w:type="auto"/>
            <w:vMerge/>
          </w:tcPr>
          <w:p w14:paraId="1ABDAB99" w14:textId="77777777" w:rsidR="00007F6C" w:rsidRDefault="00007F6C" w:rsidP="005E2F1E"/>
        </w:tc>
        <w:tc>
          <w:tcPr>
            <w:tcW w:w="0" w:type="auto"/>
          </w:tcPr>
          <w:p w14:paraId="796CD7CF" w14:textId="77777777" w:rsidR="00007F6C" w:rsidRDefault="00007F6C" w:rsidP="005E2F1E">
            <w:pPr>
              <w:jc w:val="center"/>
            </w:pPr>
            <w:r>
              <w:t>35</w:t>
            </w:r>
          </w:p>
        </w:tc>
        <w:tc>
          <w:tcPr>
            <w:tcW w:w="0" w:type="auto"/>
          </w:tcPr>
          <w:p w14:paraId="5FA00820" w14:textId="77777777" w:rsidR="00007F6C" w:rsidRPr="0001380A" w:rsidRDefault="00007F6C" w:rsidP="005E2F1E">
            <w:pPr>
              <w:jc w:val="right"/>
            </w:pPr>
            <w:r w:rsidRPr="005F1094">
              <w:t>5.8</w:t>
            </w:r>
            <w:r>
              <w:t>5</w:t>
            </w:r>
          </w:p>
        </w:tc>
        <w:tc>
          <w:tcPr>
            <w:tcW w:w="0" w:type="auto"/>
          </w:tcPr>
          <w:p w14:paraId="19648B12" w14:textId="77777777" w:rsidR="00007F6C" w:rsidRDefault="00007F6C" w:rsidP="005E2F1E">
            <w:pPr>
              <w:jc w:val="right"/>
            </w:pPr>
            <w:r w:rsidRPr="006A3DB4">
              <w:t>0.47</w:t>
            </w:r>
          </w:p>
        </w:tc>
        <w:tc>
          <w:tcPr>
            <w:tcW w:w="0" w:type="auto"/>
          </w:tcPr>
          <w:p w14:paraId="4137E40A" w14:textId="77777777" w:rsidR="00007F6C" w:rsidRDefault="00007F6C" w:rsidP="005E2F1E">
            <w:pPr>
              <w:jc w:val="right"/>
            </w:pPr>
            <w:r w:rsidRPr="007D2A2F">
              <w:t>23.92</w:t>
            </w:r>
          </w:p>
        </w:tc>
        <w:tc>
          <w:tcPr>
            <w:tcW w:w="0" w:type="auto"/>
          </w:tcPr>
          <w:p w14:paraId="18343DCF" w14:textId="77777777" w:rsidR="00007F6C" w:rsidRDefault="00007F6C" w:rsidP="005E2F1E">
            <w:pPr>
              <w:jc w:val="right"/>
            </w:pPr>
            <w:r w:rsidRPr="00350E51">
              <w:t>5.3</w:t>
            </w:r>
            <w:r>
              <w:t>9</w:t>
            </w:r>
          </w:p>
        </w:tc>
      </w:tr>
      <w:tr w:rsidR="00007F6C" w14:paraId="62662572" w14:textId="77777777" w:rsidTr="005E2F1E">
        <w:trPr>
          <w:jc w:val="center"/>
        </w:trPr>
        <w:tc>
          <w:tcPr>
            <w:tcW w:w="0" w:type="auto"/>
            <w:vMerge/>
          </w:tcPr>
          <w:p w14:paraId="0E9BC20C" w14:textId="77777777" w:rsidR="00007F6C" w:rsidRDefault="00007F6C" w:rsidP="005E2F1E"/>
        </w:tc>
        <w:tc>
          <w:tcPr>
            <w:tcW w:w="0" w:type="auto"/>
          </w:tcPr>
          <w:p w14:paraId="086FF32C" w14:textId="77777777" w:rsidR="00007F6C" w:rsidRDefault="00007F6C" w:rsidP="005E2F1E">
            <w:pPr>
              <w:jc w:val="center"/>
            </w:pPr>
            <w:r>
              <w:t>40</w:t>
            </w:r>
          </w:p>
        </w:tc>
        <w:tc>
          <w:tcPr>
            <w:tcW w:w="0" w:type="auto"/>
          </w:tcPr>
          <w:p w14:paraId="49D083EC" w14:textId="77777777" w:rsidR="00007F6C" w:rsidRPr="0001380A" w:rsidRDefault="00007F6C" w:rsidP="005E2F1E">
            <w:pPr>
              <w:jc w:val="right"/>
            </w:pPr>
            <w:r w:rsidRPr="005F1094">
              <w:t>5.8</w:t>
            </w:r>
            <w:r>
              <w:t>9</w:t>
            </w:r>
          </w:p>
        </w:tc>
        <w:tc>
          <w:tcPr>
            <w:tcW w:w="0" w:type="auto"/>
          </w:tcPr>
          <w:p w14:paraId="5F61E3A0" w14:textId="77777777" w:rsidR="00007F6C" w:rsidRDefault="00007F6C" w:rsidP="005E2F1E">
            <w:pPr>
              <w:jc w:val="right"/>
            </w:pPr>
            <w:r w:rsidRPr="006A3DB4">
              <w:t>0.2</w:t>
            </w:r>
            <w:r>
              <w:t>8</w:t>
            </w:r>
          </w:p>
        </w:tc>
        <w:tc>
          <w:tcPr>
            <w:tcW w:w="0" w:type="auto"/>
          </w:tcPr>
          <w:p w14:paraId="49666ABC" w14:textId="77777777" w:rsidR="00007F6C" w:rsidRDefault="00007F6C" w:rsidP="005E2F1E">
            <w:pPr>
              <w:jc w:val="right"/>
            </w:pPr>
            <w:r w:rsidRPr="007D2A2F">
              <w:t>22.12</w:t>
            </w:r>
          </w:p>
        </w:tc>
        <w:tc>
          <w:tcPr>
            <w:tcW w:w="0" w:type="auto"/>
          </w:tcPr>
          <w:p w14:paraId="79198091" w14:textId="77777777" w:rsidR="00007F6C" w:rsidRDefault="00007F6C" w:rsidP="005E2F1E">
            <w:pPr>
              <w:jc w:val="right"/>
            </w:pPr>
            <w:r w:rsidRPr="00350E51">
              <w:t>4.75</w:t>
            </w:r>
          </w:p>
        </w:tc>
      </w:tr>
      <w:tr w:rsidR="00007F6C" w14:paraId="6E1CD4CA" w14:textId="77777777" w:rsidTr="005E2F1E">
        <w:trPr>
          <w:jc w:val="center"/>
        </w:trPr>
        <w:tc>
          <w:tcPr>
            <w:tcW w:w="0" w:type="auto"/>
            <w:vMerge/>
          </w:tcPr>
          <w:p w14:paraId="03B7807A" w14:textId="77777777" w:rsidR="00007F6C" w:rsidRDefault="00007F6C" w:rsidP="005E2F1E"/>
        </w:tc>
        <w:tc>
          <w:tcPr>
            <w:tcW w:w="0" w:type="auto"/>
          </w:tcPr>
          <w:p w14:paraId="31C877AD" w14:textId="77777777" w:rsidR="00007F6C" w:rsidRDefault="00007F6C" w:rsidP="005E2F1E">
            <w:pPr>
              <w:jc w:val="center"/>
            </w:pPr>
            <w:r>
              <w:t>45</w:t>
            </w:r>
          </w:p>
        </w:tc>
        <w:tc>
          <w:tcPr>
            <w:tcW w:w="0" w:type="auto"/>
          </w:tcPr>
          <w:p w14:paraId="72A3F9E4" w14:textId="77777777" w:rsidR="00007F6C" w:rsidRPr="0001380A" w:rsidRDefault="00007F6C" w:rsidP="005E2F1E">
            <w:pPr>
              <w:jc w:val="right"/>
            </w:pPr>
            <w:r w:rsidRPr="005F1094">
              <w:t>5.9</w:t>
            </w:r>
            <w:r>
              <w:t>3</w:t>
            </w:r>
          </w:p>
        </w:tc>
        <w:tc>
          <w:tcPr>
            <w:tcW w:w="0" w:type="auto"/>
          </w:tcPr>
          <w:p w14:paraId="17B69C10" w14:textId="77777777" w:rsidR="00007F6C" w:rsidRDefault="00007F6C" w:rsidP="005E2F1E">
            <w:pPr>
              <w:jc w:val="right"/>
            </w:pPr>
            <w:r w:rsidRPr="006A3DB4">
              <w:t>0.3</w:t>
            </w:r>
            <w:r>
              <w:t>2</w:t>
            </w:r>
          </w:p>
        </w:tc>
        <w:tc>
          <w:tcPr>
            <w:tcW w:w="0" w:type="auto"/>
          </w:tcPr>
          <w:p w14:paraId="538DCB95" w14:textId="77777777" w:rsidR="00007F6C" w:rsidRDefault="00007F6C" w:rsidP="005E2F1E">
            <w:pPr>
              <w:jc w:val="right"/>
            </w:pPr>
            <w:r w:rsidRPr="007D2A2F">
              <w:t>20.9</w:t>
            </w:r>
            <w:r>
              <w:t>9</w:t>
            </w:r>
          </w:p>
        </w:tc>
        <w:tc>
          <w:tcPr>
            <w:tcW w:w="0" w:type="auto"/>
          </w:tcPr>
          <w:p w14:paraId="01C7EEB2" w14:textId="77777777" w:rsidR="00007F6C" w:rsidRDefault="00007F6C" w:rsidP="005E2F1E">
            <w:pPr>
              <w:jc w:val="right"/>
            </w:pPr>
            <w:r w:rsidRPr="00350E51">
              <w:t>5.43</w:t>
            </w:r>
          </w:p>
        </w:tc>
      </w:tr>
      <w:tr w:rsidR="00007F6C" w14:paraId="60979AD1" w14:textId="77777777" w:rsidTr="005E2F1E">
        <w:trPr>
          <w:jc w:val="center"/>
        </w:trPr>
        <w:tc>
          <w:tcPr>
            <w:tcW w:w="0" w:type="auto"/>
            <w:vMerge/>
          </w:tcPr>
          <w:p w14:paraId="631C3714" w14:textId="77777777" w:rsidR="00007F6C" w:rsidRDefault="00007F6C" w:rsidP="005E2F1E"/>
        </w:tc>
        <w:tc>
          <w:tcPr>
            <w:tcW w:w="0" w:type="auto"/>
          </w:tcPr>
          <w:p w14:paraId="4C79E82F" w14:textId="77777777" w:rsidR="00007F6C" w:rsidRDefault="00007F6C" w:rsidP="005E2F1E">
            <w:pPr>
              <w:jc w:val="center"/>
            </w:pPr>
            <w:r>
              <w:t>50</w:t>
            </w:r>
          </w:p>
        </w:tc>
        <w:tc>
          <w:tcPr>
            <w:tcW w:w="0" w:type="auto"/>
          </w:tcPr>
          <w:p w14:paraId="7BCD3ED1" w14:textId="77777777" w:rsidR="00007F6C" w:rsidRPr="0001380A" w:rsidRDefault="00007F6C" w:rsidP="005E2F1E">
            <w:pPr>
              <w:jc w:val="right"/>
            </w:pPr>
            <w:r w:rsidRPr="005F1094">
              <w:t>5.87</w:t>
            </w:r>
          </w:p>
        </w:tc>
        <w:tc>
          <w:tcPr>
            <w:tcW w:w="0" w:type="auto"/>
          </w:tcPr>
          <w:p w14:paraId="0BEFDFC6" w14:textId="77777777" w:rsidR="00007F6C" w:rsidRDefault="00007F6C" w:rsidP="005E2F1E">
            <w:pPr>
              <w:jc w:val="right"/>
            </w:pPr>
            <w:r w:rsidRPr="006A3DB4">
              <w:t>0.3</w:t>
            </w:r>
            <w:r>
              <w:t>2</w:t>
            </w:r>
          </w:p>
        </w:tc>
        <w:tc>
          <w:tcPr>
            <w:tcW w:w="0" w:type="auto"/>
          </w:tcPr>
          <w:p w14:paraId="0C686E8C" w14:textId="77777777" w:rsidR="00007F6C" w:rsidRDefault="00007F6C" w:rsidP="005E2F1E">
            <w:pPr>
              <w:jc w:val="right"/>
            </w:pPr>
            <w:r w:rsidRPr="007D2A2F">
              <w:t>19.30</w:t>
            </w:r>
          </w:p>
        </w:tc>
        <w:tc>
          <w:tcPr>
            <w:tcW w:w="0" w:type="auto"/>
          </w:tcPr>
          <w:p w14:paraId="1D65AC81" w14:textId="77777777" w:rsidR="00007F6C" w:rsidRDefault="00007F6C" w:rsidP="005E2F1E">
            <w:pPr>
              <w:jc w:val="right"/>
            </w:pPr>
            <w:r w:rsidRPr="00350E51">
              <w:t>5.9</w:t>
            </w:r>
            <w:r>
              <w:t>9</w:t>
            </w:r>
          </w:p>
        </w:tc>
      </w:tr>
    </w:tbl>
    <w:p w14:paraId="331B287B" w14:textId="2DEB8576" w:rsidR="00007F6C" w:rsidRDefault="00007F6C" w:rsidP="00007F6C">
      <w:pPr>
        <w:spacing w:before="240"/>
        <w:jc w:val="both"/>
      </w:pPr>
      <w:r>
        <w:t>The electrode and gas diffusion contributions were simulated with 3 RQ components (</w:t>
      </w:r>
      <w:r>
        <w:fldChar w:fldCharType="begin"/>
      </w:r>
      <w:r>
        <w:instrText xml:space="preserve"> REF _Ref41655856 \h  \* MERGEFORMAT </w:instrText>
      </w:r>
      <w:r>
        <w:fldChar w:fldCharType="separate"/>
      </w:r>
      <w:r w:rsidR="00650F8E">
        <w:t>Figure 4.38</w:t>
      </w:r>
      <w:r>
        <w:fldChar w:fldCharType="end"/>
      </w:r>
      <w:r>
        <w:t>). These were used to reduce the impact of the overlap between the two impedance arcs. Initially 2 RQ components were utilised however this did not adequately fit the gas diffusion impedance arc (0.1-10 Hz). The R</w:t>
      </w:r>
      <w:r>
        <w:rPr>
          <w:vertAlign w:val="subscript"/>
        </w:rPr>
        <w:t>P</w:t>
      </w:r>
      <w:r>
        <w:t xml:space="preserve"> was calculated using the sum of the R1 - R3 resistors.</w:t>
      </w:r>
    </w:p>
    <w:p w14:paraId="33ECC762" w14:textId="77777777" w:rsidR="00007F6C" w:rsidRDefault="00007F6C" w:rsidP="00007F6C">
      <w:pPr>
        <w:keepNext/>
        <w:jc w:val="center"/>
      </w:pPr>
      <w:r>
        <w:rPr>
          <w:noProof/>
        </w:rPr>
        <w:drawing>
          <wp:inline distT="0" distB="0" distL="0" distR="0" wp14:anchorId="400F2E27" wp14:editId="216A5367">
            <wp:extent cx="3408750" cy="540000"/>
            <wp:effectExtent l="0" t="0" r="127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22435" t="43430" r="43995" b="47114"/>
                    <a:stretch/>
                  </pic:blipFill>
                  <pic:spPr bwMode="auto">
                    <a:xfrm>
                      <a:off x="0" y="0"/>
                      <a:ext cx="3408750" cy="540000"/>
                    </a:xfrm>
                    <a:prstGeom prst="rect">
                      <a:avLst/>
                    </a:prstGeom>
                    <a:ln>
                      <a:noFill/>
                    </a:ln>
                    <a:extLst>
                      <a:ext uri="{53640926-AAD7-44D8-BBD7-CCE9431645EC}">
                        <a14:shadowObscured xmlns:a14="http://schemas.microsoft.com/office/drawing/2010/main"/>
                      </a:ext>
                    </a:extLst>
                  </pic:spPr>
                </pic:pic>
              </a:graphicData>
            </a:graphic>
          </wp:inline>
        </w:drawing>
      </w:r>
    </w:p>
    <w:p w14:paraId="1DA9C622" w14:textId="29D67ACF" w:rsidR="00007F6C" w:rsidRDefault="00007F6C" w:rsidP="00007F6C">
      <w:pPr>
        <w:pStyle w:val="Caption"/>
      </w:pPr>
      <w:bookmarkStart w:id="416" w:name="_Ref41655856"/>
      <w:bookmarkStart w:id="417" w:name="_Toc69115012"/>
      <w:r>
        <w:t>Figure 4.</w:t>
      </w:r>
      <w:r w:rsidR="00B51F53">
        <w:fldChar w:fldCharType="begin"/>
      </w:r>
      <w:r w:rsidR="00B51F53">
        <w:instrText xml:space="preserve"> SEQ Figure \* ARABIC </w:instrText>
      </w:r>
      <w:r w:rsidR="00B51F53">
        <w:fldChar w:fldCharType="separate"/>
      </w:r>
      <w:r w:rsidR="00650F8E">
        <w:rPr>
          <w:noProof/>
        </w:rPr>
        <w:t>38</w:t>
      </w:r>
      <w:r w:rsidR="00B51F53">
        <w:rPr>
          <w:noProof/>
        </w:rPr>
        <w:fldChar w:fldCharType="end"/>
      </w:r>
      <w:bookmarkEnd w:id="416"/>
      <w:r>
        <w:t xml:space="preserve">: EC circuit used to fit the ND AC wet impregnated </w:t>
      </w:r>
      <w:proofErr w:type="gramStart"/>
      <w:r>
        <w:t>sample</w:t>
      </w:r>
      <w:bookmarkEnd w:id="417"/>
      <w:proofErr w:type="gramEnd"/>
    </w:p>
    <w:p w14:paraId="1522BD6D" w14:textId="0D4A15D9" w:rsidR="00007F6C" w:rsidRDefault="00007F6C" w:rsidP="00007F6C">
      <w:pPr>
        <w:jc w:val="both"/>
      </w:pPr>
      <w:r>
        <w:lastRenderedPageBreak/>
        <w:fldChar w:fldCharType="begin"/>
      </w:r>
      <w:r>
        <w:instrText xml:space="preserve"> REF _Ref41655636 \h  \* MERGEFORMAT </w:instrText>
      </w:r>
      <w:r>
        <w:fldChar w:fldCharType="separate"/>
      </w:r>
      <w:r w:rsidR="00650F8E">
        <w:t>Figure 4.39</w:t>
      </w:r>
      <w:r>
        <w:fldChar w:fldCharType="end"/>
      </w:r>
      <w:r>
        <w:t xml:space="preserve"> shows the EC fit plotted against the 50h aged data. The % error produced by the fitting was ideally minimised to between 2.5-6.5 % for the polarisation resistance between 5-50 h ageing. EC fitting of the data between 0 – 50 h of ageing can be found in </w:t>
      </w:r>
      <w:r>
        <w:fldChar w:fldCharType="begin"/>
      </w:r>
      <w:r>
        <w:instrText xml:space="preserve"> REF _Ref41315974 \h </w:instrText>
      </w:r>
      <w:r>
        <w:fldChar w:fldCharType="separate"/>
      </w:r>
      <w:r w:rsidR="00E36916">
        <w:t>Figure 4.</w:t>
      </w:r>
      <w:r w:rsidR="00E36916">
        <w:rPr>
          <w:noProof/>
        </w:rPr>
        <w:t>25</w:t>
      </w:r>
      <w:r>
        <w:fldChar w:fldCharType="end"/>
      </w:r>
      <w:r>
        <w:t xml:space="preserve">. </w:t>
      </w:r>
    </w:p>
    <w:p w14:paraId="70C9C57A" w14:textId="77777777" w:rsidR="00007F6C" w:rsidRDefault="00007F6C" w:rsidP="00007F6C">
      <w:pPr>
        <w:keepNext/>
        <w:jc w:val="center"/>
      </w:pPr>
      <w:r w:rsidRPr="00F17599">
        <w:rPr>
          <w:noProof/>
        </w:rPr>
        <w:drawing>
          <wp:inline distT="0" distB="0" distL="0" distR="0" wp14:anchorId="070E69F8" wp14:editId="4F03F083">
            <wp:extent cx="3384280" cy="2738277"/>
            <wp:effectExtent l="0" t="0" r="6985" b="508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4">
                      <a:extLst>
                        <a:ext uri="{28A0092B-C50C-407E-A947-70E740481C1C}">
                          <a14:useLocalDpi xmlns:a14="http://schemas.microsoft.com/office/drawing/2010/main" val="0"/>
                        </a:ext>
                      </a:extLst>
                    </a:blip>
                    <a:srcRect l="6652" t="9610" r="12844" b="5105"/>
                    <a:stretch/>
                  </pic:blipFill>
                  <pic:spPr bwMode="auto">
                    <a:xfrm>
                      <a:off x="0" y="0"/>
                      <a:ext cx="3405057" cy="2755088"/>
                    </a:xfrm>
                    <a:prstGeom prst="rect">
                      <a:avLst/>
                    </a:prstGeom>
                    <a:noFill/>
                    <a:ln>
                      <a:noFill/>
                    </a:ln>
                    <a:extLst>
                      <a:ext uri="{53640926-AAD7-44D8-BBD7-CCE9431645EC}">
                        <a14:shadowObscured xmlns:a14="http://schemas.microsoft.com/office/drawing/2010/main"/>
                      </a:ext>
                    </a:extLst>
                  </pic:spPr>
                </pic:pic>
              </a:graphicData>
            </a:graphic>
          </wp:inline>
        </w:drawing>
      </w:r>
    </w:p>
    <w:p w14:paraId="07A9D315" w14:textId="26D01267" w:rsidR="00007F6C" w:rsidRDefault="00007F6C" w:rsidP="00E36916">
      <w:pPr>
        <w:pStyle w:val="Caption"/>
        <w:spacing w:after="240"/>
      </w:pPr>
      <w:bookmarkStart w:id="418" w:name="_Ref41655636"/>
      <w:bookmarkStart w:id="419" w:name="_Toc69115013"/>
      <w:r>
        <w:t>Figure 4.</w:t>
      </w:r>
      <w:r w:rsidR="00B51F53">
        <w:fldChar w:fldCharType="begin"/>
      </w:r>
      <w:r w:rsidR="00B51F53">
        <w:instrText xml:space="preserve"> SEQ Figure \* ARABIC </w:instrText>
      </w:r>
      <w:r w:rsidR="00B51F53">
        <w:fldChar w:fldCharType="separate"/>
      </w:r>
      <w:r w:rsidR="00E36916">
        <w:rPr>
          <w:noProof/>
        </w:rPr>
        <w:t>39</w:t>
      </w:r>
      <w:r w:rsidR="00B51F53">
        <w:rPr>
          <w:noProof/>
        </w:rPr>
        <w:fldChar w:fldCharType="end"/>
      </w:r>
      <w:bookmarkEnd w:id="418"/>
      <w:r>
        <w:t xml:space="preserve">: Nyquist plot of the normalised EIS data from the ND AC sample after 50 h of ageing and the EC </w:t>
      </w:r>
      <w:proofErr w:type="gramStart"/>
      <w:r>
        <w:t>fit</w:t>
      </w:r>
      <w:bookmarkEnd w:id="419"/>
      <w:proofErr w:type="gramEnd"/>
    </w:p>
    <w:p w14:paraId="1913868D" w14:textId="0A92813A" w:rsidR="00007F6C" w:rsidRDefault="00007F6C" w:rsidP="00007F6C">
      <w:pPr>
        <w:jc w:val="both"/>
      </w:pPr>
      <w:r>
        <w:t xml:space="preserve">The modelled sample produced the smallest increase in Rp across 50 h for any of the infiltrated Ni-YSZ samples. With an increase of 4.03 </w:t>
      </w:r>
      <w:r>
        <w:rPr>
          <w:rFonts w:cstheme="minorHAnsi"/>
        </w:rPr>
        <w:t>Ω</w:t>
      </w:r>
      <w:r>
        <w:t>cm</w:t>
      </w:r>
      <w:r>
        <w:rPr>
          <w:vertAlign w:val="superscript"/>
        </w:rPr>
        <w:t>2</w:t>
      </w:r>
      <w:r>
        <w:t xml:space="preserve"> across the ageing period a 13.7 % reduction compared to the data. This error to due to a combination of the fact that due to </w:t>
      </w:r>
      <w:r w:rsidRPr="00551FE5">
        <w:t>magnitude of error</w:t>
      </w:r>
      <w:r>
        <w:t xml:space="preserve"> in context with the resistance and that </w:t>
      </w:r>
      <w:proofErr w:type="gramStart"/>
      <w:r>
        <w:t xml:space="preserve">the  </w:t>
      </w:r>
      <w:proofErr w:type="spellStart"/>
      <w:r>
        <w:t>ZView</w:t>
      </w:r>
      <w:proofErr w:type="spellEnd"/>
      <w:proofErr w:type="gramEnd"/>
      <w:r>
        <w:t xml:space="preserve"> software struggled to quantify the overlap region between the resistive components in the RQ components in </w:t>
      </w:r>
      <w:r>
        <w:fldChar w:fldCharType="begin"/>
      </w:r>
      <w:r>
        <w:instrText xml:space="preserve"> REF _Ref41655856 \h  \* MERGEFORMAT </w:instrText>
      </w:r>
      <w:r>
        <w:fldChar w:fldCharType="separate"/>
      </w:r>
      <w:r w:rsidR="00E36916">
        <w:t>Figure 4.38</w:t>
      </w:r>
      <w:r>
        <w:fldChar w:fldCharType="end"/>
      </w:r>
      <w:r>
        <w:t>.</w:t>
      </w:r>
    </w:p>
    <w:p w14:paraId="1D1D925C" w14:textId="77777777" w:rsidR="00007F6C" w:rsidRDefault="00007F6C" w:rsidP="00007F6C">
      <w:pPr>
        <w:jc w:val="both"/>
      </w:pPr>
      <w:r>
        <w:t>Recommendation is to use a N</w:t>
      </w:r>
      <w:r>
        <w:rPr>
          <w:vertAlign w:val="subscript"/>
        </w:rPr>
        <w:t>2</w:t>
      </w:r>
      <w:r>
        <w:t xml:space="preserve"> inert processing step ideally in the drying routine, but reduced degradation rates can be seen in the nitrogen calcined systems even with air drying previously.</w:t>
      </w:r>
    </w:p>
    <w:p w14:paraId="1284A3AC" w14:textId="77777777" w:rsidR="00007F6C" w:rsidRDefault="00007F6C" w:rsidP="00007F6C">
      <w:pPr>
        <w:pStyle w:val="Heading1"/>
      </w:pPr>
      <w:bookmarkStart w:id="420" w:name="_Toc69129422"/>
      <w:r>
        <w:t>4.4</w:t>
      </w:r>
      <w:r>
        <w:tab/>
      </w:r>
      <w:r w:rsidRPr="00644D81">
        <w:t>Discussion</w:t>
      </w:r>
      <w:bookmarkEnd w:id="420"/>
    </w:p>
    <w:p w14:paraId="5D542193" w14:textId="4CC4C0E9" w:rsidR="009C4EF3" w:rsidRDefault="00237E21" w:rsidP="00384235">
      <w:pPr>
        <w:jc w:val="both"/>
      </w:pPr>
      <w:r>
        <w:t xml:space="preserve">Drying the infiltrated catalysts with a flowing nitrogen atmosphere has been shown via Debye-Scherrer analysis and scanning electron microscopy to reduce the crystallite length of the nickel particles. A 22 % reduction in the nickel crystallite size was recorded between air and nitrogen dried samples in Table 4.3. Nickel particle size decreases of 45.3 % and 33.9 % were recorded for through SEM from Figures 4.84-4.87. The drop in nickel particle size post reduction was the same magnitude as the surface catalysis work performed by </w:t>
      </w:r>
      <w:proofErr w:type="spellStart"/>
      <w:r>
        <w:t>Sietsma</w:t>
      </w:r>
      <w:proofErr w:type="spellEnd"/>
      <w:r>
        <w:t xml:space="preserve"> and </w:t>
      </w:r>
      <w:proofErr w:type="spellStart"/>
      <w:r>
        <w:t>Munnik</w:t>
      </w:r>
      <w:proofErr w:type="spellEnd"/>
      <w:r>
        <w:t xml:space="preserve"> despite an entirely different backbone material </w:t>
      </w:r>
      <w:r>
        <w:fldChar w:fldCharType="begin" w:fldLock="1"/>
      </w:r>
      <w:r w:rsidR="008B6E91">
        <w:instrText>ADDIN CSL_CITATION {"citationItems":[{"id":"ITEM-1","itemData":{"DOI":"10.1021/cm702610h","ISSN":"0897-4756","abstract":"In this contribution, we investigated the preparation of Ni/SiO2 catalysts with aqueous [Ni(OH2)6](NO3)2 solutions via the impregnation and drying method using ordered mesoporous silica SBA-15 (mesopore diameter of 9 nm) as model support to study each step in the preparation: impregnation, drying, calcination, and reduction. After impregnation, not all the mesopores of SBA-15 appeared filled with precursor solution. Consecutive drying led to formation of 9 nm Ni3(NO3)2(OH)4 crystallites exclusively within the mesopores. During air calcination, severe sintering and redistribution took place, resulting in a low NiO dispersion, including large NiO crystals outside of the mesopores and rodlike NiO particles inside the mesopores. The degree of sintering depended on the concentration of Ni3(NO3)2(OH)4 decomposition products (NO2, N2O, O2 and H2O), and in particular NO2 and O2 were found to promote sintering and redistribution. Therefore, maintaining low concentrations of the latter components during the thermal nitrate decomposition is advocated, which was achieved by carrying out the treatment in the presence of H2. The latter treatment prevented formation of NO2/O2 as decomposition products, moderated the decomposition rate of Ni3(NO3)2(OH)4 into NiO as observed from in situ XRD experiments, and led to NiO particles of 3 nm on average at a loading of 20 wt % Ni/SiO2.","author":[{"dropping-particle":"","family":"Sietsma","given":"Jelle R A","non-dropping-particle":"","parse-names":false,"suffix":""},{"dropping-particle":"","family":"Meeldijk","given":"Johannes D","non-dropping-particle":"","parse-names":false,"suffix":""},{"dropping-particle":"","family":"Versluijs-Helder","given":"Marjan","non-dropping-particle":"","parse-names":false,"suffix":""},{"dropping-particle":"","family":"Broersma","given":"Alfred","non-dropping-particle":"","parse-names":false,"suffix":""},{"dropping-particle":"van","family":"Dillen","given":"A Jos","non-dropping-particle":"","parse-names":false,"suffix":""},{"dropping-particle":"","family":"Jongh","given":"Petra E","non-dropping-particle":"de","parse-names":false,"suffix":""},{"dropping-particle":"","family":"Jong","given":"Krijn P","non-dropping-particle":"de","parse-names":false,"suffix":""}],"container-title":"Chemistry of Materials","id":"ITEM-1","issue":"9","issued":{"date-parts":[["2008","5","1"]]},"note":"doi: 10.1021/cm702610h","page":"2921-2931","publisher":"American Chemical Society","title":"Ordered Mesoporous Silica to Study the Preparation of Ni/SiO2 ex Nitrate Catalysts: Impregnation, Drying, and Thermal Treatments","type":"article-journal","volume":"20"},"uris":["http://www.mendeley.com/documents/?uuid=8f35ba25-6cd8-4e07-ac7c-cb626021cd9a"]},{"id":"ITEM-2","itemData":{"DOI":"10.1021/jp1081406","ISBN":"1932-7447","ISSN":"19327447","abstract":"Impregnation of porous silica supports with cobalt and nickel nitrate precursor solutions is a convenient method to prepare supported nickel and cobalt (oxide) catalysts. However, the metal (oxide) dispersion obtained is highly dependent on the gas atmosphere during thermal treatment to convert the metal nitrate to the metal oxide, where a 1% NO/He gas flow yields the highest and stagnant air the lowest dispersion. The origin of this large difference was previously investigated by studying the decomposition of a silica-supported nickel nitrate precursor dried at 120 °C, focusing on the ability of NO to act as an oxygen scavenger at high temperatures (200−350 °C). In this contribution we show, using in situ DRIFTS and XRD, that NO plays an equally if not more important role in the prevention of agglomeration of nickel and cobalt nitrate at low temperatures (25−150 °C). It was found that in a N2 and O2/N2 flow a mixture of metal hydroxynitrates and metal nitrate hydrates was formed between 100 and 150 °C, whereas in an NO/He flow nearly complete hydrolysis to hydroxynitrates occurred. The hydroxynitrates exhibited a reduced mobility upon decomposition, and therefore, it is proposed that their increased formation is the key to the high dispersions of NiO and Co3O4 obtained in NO.","author":[{"dropping-particle":"","family":"Wolters","given":"M.","non-dropping-particle":"","parse-names":false,"suffix":""},{"dropping-particle":"","family":"Munnik","given":"P.","non-dropping-particle":"","parse-names":false,"suffix":""},{"dropping-particle":"","family":"Bitter","given":"J. H.","non-dropping-particle":"","parse-names":false,"suffix":""},{"dropping-particle":"","family":"Jongh","given":"P. E.","non-dropping-particle":"De","parse-names":false,"suffix":""},{"dropping-particle":"","family":"Jong","given":"K. P.","non-dropping-particle":"De","parse-names":false,"suffix":""}],"container-title":"Journal of Physical Chemistry C","id":"ITEM-2","issue":"8","issued":{"date-parts":[["2011"]]},"page":"3332-3339","title":"How NO affects nickel and cobalt nitrates at low temperatures to arrive at highly dispersed silica-supported nickel and cobalt catalysts","type":"article-journal","volume":"115"},"uris":["http://www.mendeley.com/documents/?uuid=84a8c4c0-c629-44cc-a088-b62ced2633b4"]}],"mendeley":{"formattedCitation":"[168], [202]","plainTextFormattedCitation":"[168], [202]","previouslyFormattedCitation":"[168], [202]"},"properties":{"noteIndex":0},"schema":"https://github.com/citation-style-language/schema/raw/master/csl-citation.json"}</w:instrText>
      </w:r>
      <w:r>
        <w:fldChar w:fldCharType="separate"/>
      </w:r>
      <w:r w:rsidRPr="00237E21">
        <w:rPr>
          <w:noProof/>
        </w:rPr>
        <w:t>[168], [202]</w:t>
      </w:r>
      <w:r>
        <w:fldChar w:fldCharType="end"/>
      </w:r>
      <w:r>
        <w:t>. Further supporting the hypothesis that the size of wet impregnated catalysts can be reduced using an inert N</w:t>
      </w:r>
      <w:r>
        <w:rPr>
          <w:vertAlign w:val="subscript"/>
        </w:rPr>
        <w:t>2</w:t>
      </w:r>
      <w:r>
        <w:t xml:space="preserve"> drying atmosphere. These results also imply that the catalyst-scaffold interactions </w:t>
      </w:r>
      <w:r w:rsidR="00384235">
        <w:t>do</w:t>
      </w:r>
      <w:r>
        <w:t xml:space="preserve"> not impact the dispersion of the particles.</w:t>
      </w:r>
    </w:p>
    <w:p w14:paraId="069F22CA" w14:textId="6B6ECBEA" w:rsidR="008B6E91" w:rsidRDefault="009C4EF3" w:rsidP="008B6E91">
      <w:pPr>
        <w:jc w:val="both"/>
      </w:pPr>
      <w:r>
        <w:t xml:space="preserve">Additionally, the </w:t>
      </w:r>
      <w:r w:rsidR="0045623A">
        <w:t>scanning electron micrographs (</w:t>
      </w:r>
      <w:r w:rsidR="0045623A">
        <w:fldChar w:fldCharType="begin"/>
      </w:r>
      <w:r w:rsidR="0045623A">
        <w:instrText xml:space="preserve"> REF _Ref50369517 \h </w:instrText>
      </w:r>
      <w:r w:rsidR="008B6E91">
        <w:instrText xml:space="preserve"> \* MERGEFORMAT </w:instrText>
      </w:r>
      <w:r w:rsidR="0045623A">
        <w:fldChar w:fldCharType="separate"/>
      </w:r>
      <w:r w:rsidR="0045623A">
        <w:t>Figure 4.</w:t>
      </w:r>
      <w:r w:rsidR="0045623A">
        <w:rPr>
          <w:noProof/>
        </w:rPr>
        <w:t>79</w:t>
      </w:r>
      <w:r w:rsidR="0045623A">
        <w:fldChar w:fldCharType="end"/>
      </w:r>
      <w:r w:rsidR="0045623A">
        <w:t xml:space="preserve">) demonstrate the </w:t>
      </w:r>
      <w:r>
        <w:t>microstructural and chemical changes</w:t>
      </w:r>
      <w:r w:rsidR="0045623A">
        <w:t xml:space="preserve"> instigated in the</w:t>
      </w:r>
      <w:r>
        <w:t xml:space="preserve"> dried nickel nitrate film</w:t>
      </w:r>
      <w:r w:rsidR="0045623A">
        <w:t xml:space="preserve"> from changing the drying atmosphere (</w:t>
      </w:r>
      <w:r w:rsidR="0045623A">
        <w:fldChar w:fldCharType="begin"/>
      </w:r>
      <w:r w:rsidR="0045623A">
        <w:instrText xml:space="preserve"> REF _Ref50369517 \h </w:instrText>
      </w:r>
      <w:r w:rsidR="008B6E91">
        <w:instrText xml:space="preserve"> \* MERGEFORMAT </w:instrText>
      </w:r>
      <w:r w:rsidR="0045623A">
        <w:fldChar w:fldCharType="separate"/>
      </w:r>
      <w:r w:rsidR="0045623A">
        <w:t>Figure 4.</w:t>
      </w:r>
      <w:r w:rsidR="0045623A">
        <w:rPr>
          <w:noProof/>
        </w:rPr>
        <w:t>79</w:t>
      </w:r>
      <w:r w:rsidR="0045623A">
        <w:fldChar w:fldCharType="end"/>
      </w:r>
      <w:r w:rsidR="0045623A">
        <w:t>a-d).</w:t>
      </w:r>
      <w:r w:rsidR="00007F6C" w:rsidRPr="00BD7355">
        <w:t xml:space="preserve"> The AD nitrate material</w:t>
      </w:r>
      <w:r w:rsidR="008B6E91">
        <w:t xml:space="preserve"> dried from top to bottom into</w:t>
      </w:r>
      <w:r w:rsidR="00007F6C" w:rsidRPr="00BD7355">
        <w:t xml:space="preserve"> plate</w:t>
      </w:r>
      <w:r w:rsidR="008B6E91">
        <w:t xml:space="preserve"> </w:t>
      </w:r>
      <w:r w:rsidR="00007F6C" w:rsidRPr="00BD7355">
        <w:t xml:space="preserve">morphology like the material mounted on </w:t>
      </w:r>
      <w:r w:rsidR="0045623A">
        <w:t>the YSZ</w:t>
      </w:r>
      <w:r w:rsidR="008B6E91">
        <w:t xml:space="preserve"> </w:t>
      </w:r>
      <w:r w:rsidR="008B6E91">
        <w:fldChar w:fldCharType="begin" w:fldLock="1"/>
      </w:r>
      <w:r w:rsidR="00151775">
        <w:instrText>ADDIN CSL_CITATION {"citationItems":[{"id":"ITEM-1","itemData":{"DOI":"10.1016/j.ces.2012.05.046","ISSN":"00092509","abstract":"Supported metal catalysts are used in many industrial processes. Experiments have shown that the metal distribution within the support may be greatly affected by the drying conditions. In this work, we have developed a theoretical model to predict the drying process for high metal load conditions; this was accomplished by building upon a model that was established for low metal loadings. A number of additional phenomena must be accounted for under high metal loadings including the effect of metal precursor concentration on the solution density, solution viscosity, water vapor pressure and solution surface tension. The model predictions of the metal distribution are compared with experimental measurements for a Nickel/Alumina catalyst. It is found that the drying mechanisms for low metal loading conditions and high metal loading conditions are quite different. The constant drying rate stage observed for low metal concentrations does not exist for high metal concentrations. For low metal loadings, the adsorption strength and distribution of liquid in the support must be considered in the model in order to get good experimental agreement. For the conditions we considered, an egg-shell profile was observed for low metal loadings, and the egg-shell profile was enhanced with an increase in the initial metal precursor concentration. For a metal precursor with a high concentration and a low melting point, the metal precursor is dissolved or molten in the liquid phase during drying. In this case, adsorption strength and distribution of liquid in the support are not important, and the metal distribution after drying reaches a nearly uniform profile if the initial metal concentration is above a critical value. Both microwave drying and regular oven drying have been examined in this work. During microwave drying, the catalyst samples can be heated volumetrically so microwave drying resulted in a significantly more uniform metal distribution than regular oven drying. © 2012 Elsevier Ltd.","author":[{"dropping-particle":"","family":"Liu","given":"Xue","non-dropping-particle":"","parse-names":false,"suffix":""},{"dropping-particle":"","family":"Khinast","given":"Johannes G.","non-dropping-particle":"","parse-names":false,"suffix":""},{"dropping-particle":"","family":"Glasser","given":"Benjamin J.","non-dropping-particle":"","parse-names":false,"suffix":""}],"container-title":"Chemical Engineering Science","id":"ITEM-1","issued":{"date-parts":[["2012"]]},"page":"187-199","publisher":"Elsevier","title":"Drying of supported catalysts for low melting point precursors: Impact of metal loading and drying methods on the metal distribution","type":"article-journal","volume":"79"},"uris":["http://www.mendeley.com/documents/?uuid=2e0bb8dd-c98e-47bc-adde-19ec5b374a9e"]}],"mendeley":{"formattedCitation":"[408]","plainTextFormattedCitation":"[408]","previouslyFormattedCitation":"[408]"},"properties":{"noteIndex":0},"schema":"https://github.com/citation-style-language/schema/raw/master/csl-citation.json"}</w:instrText>
      </w:r>
      <w:r w:rsidR="008B6E91">
        <w:fldChar w:fldCharType="separate"/>
      </w:r>
      <w:r w:rsidR="008B6E91" w:rsidRPr="008B6E91">
        <w:rPr>
          <w:noProof/>
        </w:rPr>
        <w:t>[408]</w:t>
      </w:r>
      <w:r w:rsidR="008B6E91">
        <w:fldChar w:fldCharType="end"/>
      </w:r>
      <w:r w:rsidR="00007F6C" w:rsidRPr="00BD7355">
        <w:t xml:space="preserve">. In contrast the presence of 500 </w:t>
      </w:r>
      <w:r w:rsidR="00007F6C" w:rsidRPr="00BD7355">
        <w:rPr>
          <w:rFonts w:cstheme="minorHAnsi"/>
        </w:rPr>
        <w:t>±</w:t>
      </w:r>
      <w:r w:rsidR="00007F6C" w:rsidRPr="00BD7355">
        <w:t xml:space="preserve"> 2 nm diameter particles in </w:t>
      </w:r>
      <w:r w:rsidR="008B6E91">
        <w:t xml:space="preserve">plates of </w:t>
      </w:r>
      <w:r w:rsidR="00007F6C" w:rsidRPr="00BD7355">
        <w:t>the</w:t>
      </w:r>
      <w:r w:rsidR="0045623A">
        <w:t xml:space="preserve"> </w:t>
      </w:r>
      <w:r w:rsidR="00007F6C" w:rsidRPr="00BD7355">
        <w:t>ND sample</w:t>
      </w:r>
      <w:r w:rsidR="0045623A">
        <w:t xml:space="preserve"> (</w:t>
      </w:r>
      <w:r w:rsidR="0045623A">
        <w:fldChar w:fldCharType="begin"/>
      </w:r>
      <w:r w:rsidR="0045623A">
        <w:instrText xml:space="preserve"> REF _Ref50369517 \h </w:instrText>
      </w:r>
      <w:r w:rsidR="008B6E91">
        <w:instrText xml:space="preserve"> \* MERGEFORMAT </w:instrText>
      </w:r>
      <w:r w:rsidR="0045623A">
        <w:fldChar w:fldCharType="separate"/>
      </w:r>
      <w:r w:rsidR="0045623A">
        <w:t>Figure 4.</w:t>
      </w:r>
      <w:r w:rsidR="0045623A">
        <w:rPr>
          <w:noProof/>
        </w:rPr>
        <w:t>79</w:t>
      </w:r>
      <w:r w:rsidR="0045623A">
        <w:fldChar w:fldCharType="end"/>
      </w:r>
      <w:r w:rsidR="0045623A">
        <w:t>f.)</w:t>
      </w:r>
      <w:r w:rsidR="00007F6C" w:rsidRPr="00BD7355">
        <w:t xml:space="preserve"> </w:t>
      </w:r>
      <w:r w:rsidR="008B6E91">
        <w:t xml:space="preserve">film </w:t>
      </w:r>
      <w:r w:rsidR="00007F6C" w:rsidRPr="00BD7355">
        <w:t>indicate</w:t>
      </w:r>
      <w:r w:rsidR="0045623A">
        <w:t xml:space="preserve"> the presence of a second mechanism</w:t>
      </w:r>
      <w:r w:rsidR="00007F6C" w:rsidRPr="00BD7355">
        <w:t xml:space="preserve"> derived from the inert drying atmosphere</w:t>
      </w:r>
      <w:r w:rsidR="008B6E91">
        <w:t xml:space="preserve">. </w:t>
      </w:r>
    </w:p>
    <w:p w14:paraId="0587C592" w14:textId="4E7A0591" w:rsidR="00007F6C" w:rsidRPr="00BD7355" w:rsidRDefault="008B6E91" w:rsidP="008B6E91">
      <w:pPr>
        <w:jc w:val="both"/>
      </w:pPr>
      <w:r>
        <w:lastRenderedPageBreak/>
        <w:t xml:space="preserve">According to </w:t>
      </w:r>
      <w:proofErr w:type="spellStart"/>
      <w:r>
        <w:t>Munnik</w:t>
      </w:r>
      <w:proofErr w:type="spellEnd"/>
      <w:r>
        <w:t xml:space="preserve"> et al t</w:t>
      </w:r>
      <w:r w:rsidR="00007F6C" w:rsidRPr="00BD7355">
        <w:t>h</w:t>
      </w:r>
      <w:r>
        <w:t>is physical process is driv</w:t>
      </w:r>
      <w:r w:rsidR="00007F6C" w:rsidRPr="00BD7355">
        <w:t>e</w:t>
      </w:r>
      <w:r>
        <w:t>n</w:t>
      </w:r>
      <w:r w:rsidR="00007F6C" w:rsidRPr="00BD7355">
        <w:t xml:space="preserve"> </w:t>
      </w:r>
      <w:r w:rsidRPr="00BD7355">
        <w:t>by the rate of drying of the colloidal film</w:t>
      </w:r>
      <w:r>
        <w:t>, subsequent drying gradients</w:t>
      </w:r>
      <w:r w:rsidRPr="00BD7355">
        <w:t xml:space="preserve"> and the nucleation rate of the nickel particles </w:t>
      </w:r>
      <w:r w:rsidRPr="00BD7355">
        <w:fldChar w:fldCharType="begin" w:fldLock="1"/>
      </w:r>
      <w:r w:rsidR="00151775">
        <w:instrText>ADDIN CSL_CITATION {"citationItems":[{"id":"ITEM-1","itemData":{"DOI":"10.1021/cr500486u","ISSN":"15206890","author":[{"dropping-particle":"","family":"Munnik","given":"Peter","non-dropping-particle":"","parse-names":false,"suffix":""},{"dropping-particle":"","family":"Jongh","given":"Petra E.","non-dropping-particle":"De","parse-names":false,"suffix":""},{"dropping-particle":"","family":"Jong","given":"Krijn P.","non-dropping-particle":"De","parse-names":false,"suffix":""}],"container-title":"Chemical Reviews","id":"ITEM-1","issue":"14","issued":{"date-parts":[["2015"]]},"page":"6687-6718","title":"Recent Developments in the Synthesis of Supported Catalysts","type":"article-journal","volume":"115"},"uris":["http://www.mendeley.com/documents/?uuid=060ed17a-2ac3-4d77-818d-9ec3cc4920c2"]},{"id":"ITEM-2","itemData":{"DOI":"10.1021/cs5006772","ISSN":"21555435","abstract":"The nanoscale distribution of the supported metal phase is an important property for highly active, selective, and stable catalysts. Here, the nanoscale redistribution and aggregate formation of cobalt nitrate during the synthesis of supported cobalt catalysts were studied. Drying over a range of temperatures in stagnant air resulted in cobalt particles (8 nm) present in large aggregates (30-150 nm). However, drying in a N2 flow resulted in cobalt nanoparticles distributed either in aggregates or uniformly on various SiO2 and-Al2O3 supports, critically dependent on the drying temperature. The mechanism of aggregation was studied through chemical immobilization of the precursor on a silica support after drying in a N2 flow. The aggregation behavior upon drying in a gas flow at temperatures below 100 °C showed a remarkable similarity to distributions obtained upon the dewetting of colloidal films, suggesting a physical process. Alternatively, by inducing decomposition of the cobalt nitrate above 100 °C before drying was complete, aggregation was brought about through a chemical process that occurred both in stagnant and flowing gas. A-alumina support exhibited increased precursor-support interactions and displayed little cobalt aggregation upon drying in a gas flow but extensive aggregation upon drying in stagnant air. The aggregation behavior was further tested on silica supports with pore sizes between 3 and 15 nm and tested under industrially relevant Fischer-Tropsch conditions, which revealed that uniform cobalt nanoparticle distributions were up to 50% more active compared to aggregated systems. Thus, hydrodynamics and the temperature of the gas phase are critical parameters to control nanoscale distributions during drying of functional nanomaterials such as supported catalysts.","author":[{"dropping-particle":"","family":"Munnik","given":"Peter","non-dropping-particle":"","parse-names":false,"suffix":""},{"dropping-particle":"","family":"Krans","given":"Nynke A.","non-dropping-particle":"","parse-names":false,"suffix":""},{"dropping-particle":"","family":"Jongh","given":"Petra E.","non-dropping-particle":"De","parse-names":false,"suffix":""},{"dropping-particle":"","family":"Jong","given":"Krijn P.","non-dropping-particle":"De","parse-names":false,"suffix":""}],"container-title":"ACS Catalysis","id":"ITEM-2","issue":"9","issued":{"date-parts":[["2014"]]},"page":"3219-3226","title":"Effects of drying conditions on the synthesis of Co/SiO2 and Co/Al2O3 fischer-tropsch catalysts","type":"article-journal","volume":"4"},"uris":["http://www.mendeley.com/documents/?uuid=ff2d8c3b-b606-4a55-9be4-2f66736d890c"]},{"id":"ITEM-3","itemData":{"DOI":"10.1039/c1jm12182k","ISSN":"09599428","abstract":"Atomic force microscopy measurements as a function of annealing temperature, time of exposure to a high relative humidity environment, and scan duration/parameters have been used to ascertain the stability of assemblies of thiol-passivated Au nanoparticles on silicon substrates. Striking changes in the morphology of self-organised nanoparticle patterns are observed following the exposure of samples to atmospheres with a relative humidity of 80%. The nanoparticle film dewets the underlying silicon substrate on exposure to water, forming locally thicker regions. Time-lapse imaging shows that the dewetting proceeds via layer-by-layer growth, and there is no evidence for classical coarsening mechanisms involving self-similar film morphologies. Annealing at temperatures between 100 °C and 160 °C produces a rather different dewetting effect for the highest temperatures and/or annealing times, where significant nanoparticle sintering promotes the break-up of the two-dimensional assembly. The morphology of the initial 2D film plays a key role in determining the time scale on which annealing promotes nanoparticle dewetting. Dewetting can also be induced by a scanning probe such that localised (micron-scale) areas of the nanoparticle assembly can be converted from 2D to 3D character. © 2011 The Royal Society of Chemistry.","author":[{"dropping-particle":"","family":"Alhummiany","given":"Haya","non-dropping-particle":"","parse-names":false,"suffix":""},{"dropping-particle":"","family":"Jarvis","given":"Samuel","non-dropping-particle":"","parse-names":false,"suffix":""},{"dropping-particle":"","family":"Woolley","given":"Richard A.J.","non-dropping-particle":"","parse-names":false,"suffix":""},{"dropping-particle":"","family":"Stannard","given":"Andrew","non-dropping-particle":"","parse-names":false,"suffix":""},{"dropping-particle":"","family":"Blunt","given":"Matthew","non-dropping-particle":"","parse-names":false,"suffix":""},{"dropping-particle":"","family":"Moriarty","given":"Philip","non-dropping-particle":"","parse-names":false,"suffix":""}],"container-title":"Journal of Materials Chemistry","id":"ITEM-3","issue":"42","issued":{"date-parts":[["2011"]]},"page":"16983-16989","title":"Dewetting of Au nanoparticle assemblies","type":"article-journal","volume":"21"},"uris":["http://www.mendeley.com/documents/?uuid=3ed0ae42-e8ae-4e0e-bd10-837b451a09ee"]},{"id":"ITEM-4","itemData":{"DOI":"10.1021/jp709583u","ISSN":"19327447","abstract":"A coarse-grained lattice gas model is developed to study the drying-mediated self-assembly of nanoparticles on diblock copolymer substrates. The model describes the nanoparticles, the solvent and the diblock copolymer on length scales that are typical to the solvent bulk correlation length. Monte Carlo simulation techniques are used to delineate the various mechanisms of this out-of-equilibrium hierarchical self-assembly. Several different assembly scenarios corresponding to different selectivity of the nanoparticles/liquid/ substrate are discussed. The role of surface tension, evaporation rate, diffusion rate, nanoparticle coverage, and diblock copolymer periodicity is explored. Optimal conditions to form a stripe phase of nanoparticles along with predictions of novel 3D structures resulting from high nanoparticle and solvent selectivity are described. © 2008 American Chemical Society.","author":[{"dropping-particle":"","family":"Kletenik-Edelman","given":"Orly","non-dropping-particle":"","parse-names":false,"suffix":""},{"dropping-particle":"","family":"Ploshnik","given":"Elina","non-dropping-particle":"","parse-names":false,"suffix":""},{"dropping-particle":"","family":"Salant","given":"Asaf","non-dropping-particle":"","parse-names":false,"suffix":""},{"dropping-particle":"","family":"Shenhar","given":"Roy","non-dropping-particle":"","parse-names":false,"suffix":""},{"dropping-particle":"","family":"Banin","given":"Uri","non-dropping-particle":"","parse-names":false,"suffix":""},{"dropping-particle":"","family":"Rabani","given":"Eran","non-dropping-particle":"","parse-names":false,"suffix":""}],"container-title":"Journal of Physical Chemistry C","id":"ITEM-4","issue":"12","issued":{"date-parts":[["2008"]]},"page":"4498-4506","title":"Drying-mediated hierarchical self-assembly of nanoparticles: A dynamical coarse-grained approach","type":"article-journal","volume":"112"},"uris":["http://www.mendeley.com/documents/?uuid=a6a39422-af0f-4884-bbfc-61ff068125d3"]},{"id":"ITEM-5","itemData":{"DOI":"10.1039/b817439c","ISSN":"09599428","abstract":"We present a coarse-grained lattice gas approach applicable for modelling the drying-mediated self-assembly of nanoparticles. The approach is exemplified for self-assembly of binary superlattices and for the hierarchical self-assembly of nanoparticles over patterned templates. The theory predicts many observed superstructures along with novel morphologies yet to be explored. The role of solvent evaporation, nanoparticle diffusion mechanisms, surface patterning, and the relevant time and length scales are discussed. © 2009 The Royal Society of Chemistry.","author":[{"dropping-particle":"","family":"Kletenik-Edelman","given":"Orly","non-dropping-particle":"","parse-names":false,"suffix":""},{"dropping-particle":"","family":"Sztrum-Vartash","given":"Claudia G.","non-dropping-particle":"","parse-names":false,"suffix":""},{"dropping-particle":"","family":"Rabani","given":"Eran","non-dropping-particle":"","parse-names":false,"suffix":""}],"container-title":"Journal of Materials Chemistry","id":"ITEM-5","issue":"19","issued":{"date-parts":[["2009"]]},"page":"2872-2876","title":"Coarse-grained lattice models for drying-mediated self-assembly of nanoparticles","type":"article-journal","volume":"19"},"uris":["http://www.mendeley.com/documents/?uuid=f529cfe7-88ff-4e92-85d8-2eeabf4d0fd8"]}],"mendeley":{"formattedCitation":"[171], [178], [196], [409], [410]","plainTextFormattedCitation":"[171], [178], [196], [409], [410]","previouslyFormattedCitation":"[171], [178], [196], [409], [410]"},"properties":{"noteIndex":0},"schema":"https://github.com/citation-style-language/schema/raw/master/csl-citation.json"}</w:instrText>
      </w:r>
      <w:r w:rsidRPr="00BD7355">
        <w:fldChar w:fldCharType="separate"/>
      </w:r>
      <w:r w:rsidRPr="008B6E91">
        <w:rPr>
          <w:noProof/>
        </w:rPr>
        <w:t>[171], [178], [196], [409], [410]</w:t>
      </w:r>
      <w:r w:rsidRPr="00BD7355">
        <w:fldChar w:fldCharType="end"/>
      </w:r>
      <w:r w:rsidRPr="00BD7355">
        <w:t xml:space="preserve">. </w:t>
      </w:r>
      <w:r>
        <w:t xml:space="preserve">The formation of the particles in </w:t>
      </w:r>
      <w:r>
        <w:fldChar w:fldCharType="begin"/>
      </w:r>
      <w:r>
        <w:instrText xml:space="preserve"> REF _Ref50369517 \h  \* MERGEFORMAT </w:instrText>
      </w:r>
      <w:r>
        <w:fldChar w:fldCharType="separate"/>
      </w:r>
      <w:r>
        <w:t>Figure 4.</w:t>
      </w:r>
      <w:r>
        <w:rPr>
          <w:noProof/>
        </w:rPr>
        <w:t>79</w:t>
      </w:r>
      <w:r>
        <w:fldChar w:fldCharType="end"/>
      </w:r>
      <w:r>
        <w:t xml:space="preserve">f indicate that the nitrate film is breaking down. </w:t>
      </w:r>
      <w:r w:rsidR="00007F6C" w:rsidRPr="00BD7355">
        <w:t xml:space="preserve">changes in dispersion have been detailed in surface catalysis literature </w:t>
      </w:r>
      <w:r>
        <w:t>this physical process</w:t>
      </w:r>
      <w:r w:rsidR="00E36916">
        <w:t>.</w:t>
      </w:r>
      <w:r w:rsidR="00007F6C" w:rsidRPr="00BD7355">
        <w:t xml:space="preserve"> This mechanism is dictated </w:t>
      </w:r>
      <w:r w:rsidR="00007F6C" w:rsidRPr="00BD7355">
        <w:fldChar w:fldCharType="begin" w:fldLock="1"/>
      </w:r>
      <w:r w:rsidR="00151775">
        <w:instrText>ADDIN CSL_CITATION {"citationItems":[{"id":"ITEM-1","itemData":{"DOI":"10.1039/b817439c","ISSN":"09599428","abstract":"We present a coarse-grained lattice gas approach applicable for modelling the drying-mediated self-assembly of nanoparticles. The approach is exemplified for self-assembly of binary superlattices and for the hierarchical self-assembly of nanoparticles over patterned templates. The theory predicts many observed superstructures along with novel morphologies yet to be explored. The role of solvent evaporation, nanoparticle diffusion mechanisms, surface patterning, and the relevant time and length scales are discussed. © 2009 The Royal Society of Chemistry.","author":[{"dropping-particle":"","family":"Kletenik-Edelman","given":"Orly","non-dropping-particle":"","parse-names":false,"suffix":""},{"dropping-particle":"","family":"Sztrum-Vartash","given":"Claudia G.","non-dropping-particle":"","parse-names":false,"suffix":""},{"dropping-particle":"","family":"Rabani","given":"Eran","non-dropping-particle":"","parse-names":false,"suffix":""}],"container-title":"Journal of Materials Chemistry","id":"ITEM-1","issue":"19","issued":{"date-parts":[["2009"]]},"page":"2872-2876","title":"Coarse-grained lattice models for drying-mediated self-assembly of nanoparticles","type":"article-journal","volume":"19"},"uris":["http://www.mendeley.com/documents/?uuid=f529cfe7-88ff-4e92-85d8-2eeabf4d0fd8"]},{"id":"ITEM-2","itemData":{"DOI":"10.1021/jp709583u","ISSN":"19327447","abstract":"A coarse-grained lattice gas model is developed to study the drying-mediated self-assembly of nanoparticles on diblock copolymer substrates. The model describes the nanoparticles, the solvent and the diblock copolymer on length scales that are typical to the solvent bulk correlation length. Monte Carlo simulation techniques are used to delineate the various mechanisms of this out-of-equilibrium hierarchical self-assembly. Several different assembly scenarios corresponding to different selectivity of the nanoparticles/liquid/ substrate are discussed. The role of surface tension, evaporation rate, diffusion rate, nanoparticle coverage, and diblock copolymer periodicity is explored. Optimal conditions to form a stripe phase of nanoparticles along with predictions of novel 3D structures resulting from high nanoparticle and solvent selectivity are described. © 2008 American Chemical Society.","author":[{"dropping-particle":"","family":"Kletenik-Edelman","given":"Orly","non-dropping-particle":"","parse-names":false,"suffix":""},{"dropping-particle":"","family":"Ploshnik","given":"Elina","non-dropping-particle":"","parse-names":false,"suffix":""},{"dropping-particle":"","family":"Salant","given":"Asaf","non-dropping-particle":"","parse-names":false,"suffix":""},{"dropping-particle":"","family":"Shenhar","given":"Roy","non-dropping-particle":"","parse-names":false,"suffix":""},{"dropping-particle":"","family":"Banin","given":"Uri","non-dropping-particle":"","parse-names":false,"suffix":""},{"dropping-particle":"","family":"Rabani","given":"Eran","non-dropping-particle":"","parse-names":false,"suffix":""}],"container-title":"Journal of Physical Chemistry C","id":"ITEM-2","issue":"12","issued":{"date-parts":[["2008"]]},"page":"4498-4506","title":"Drying-mediated hierarchical self-assembly of nanoparticles: A dynamical coarse-grained approach","type":"article-journal","volume":"112"},"uris":["http://www.mendeley.com/documents/?uuid=a6a39422-af0f-4884-bbfc-61ff068125d3"]}],"mendeley":{"formattedCitation":"[196], [410]","plainTextFormattedCitation":"[196], [410]","previouslyFormattedCitation":"[196], [410]"},"properties":{"noteIndex":0},"schema":"https://github.com/citation-style-language/schema/raw/master/csl-citation.json"}</w:instrText>
      </w:r>
      <w:r w:rsidR="00007F6C" w:rsidRPr="00BD7355">
        <w:fldChar w:fldCharType="separate"/>
      </w:r>
      <w:r w:rsidRPr="008B6E91">
        <w:rPr>
          <w:noProof/>
        </w:rPr>
        <w:t>[196], [410]</w:t>
      </w:r>
      <w:r w:rsidR="00007F6C" w:rsidRPr="00BD7355">
        <w:fldChar w:fldCharType="end"/>
      </w:r>
      <w:r w:rsidR="00007F6C" w:rsidRPr="00BD7355">
        <w:t xml:space="preserve">. Drying gradients are highly evident in </w:t>
      </w:r>
      <w:r w:rsidR="00007F6C" w:rsidRPr="00BD7355">
        <w:fldChar w:fldCharType="begin"/>
      </w:r>
      <w:r w:rsidR="00007F6C" w:rsidRPr="00BD7355">
        <w:instrText xml:space="preserve"> REF _Ref50377782 \h  \* MERGEFORMAT </w:instrText>
      </w:r>
      <w:r w:rsidR="00007F6C" w:rsidRPr="00BD7355">
        <w:fldChar w:fldCharType="separate"/>
      </w:r>
      <w:r w:rsidR="00007F6C">
        <w:t>Figure 4.11</w:t>
      </w:r>
      <w:r w:rsidR="00007F6C" w:rsidRPr="00BD7355">
        <w:fldChar w:fldCharType="end"/>
      </w:r>
      <w:r w:rsidR="00007F6C" w:rsidRPr="00BD7355">
        <w:t xml:space="preserve"> and </w:t>
      </w:r>
      <w:r w:rsidR="00007F6C" w:rsidRPr="00BD7355">
        <w:fldChar w:fldCharType="begin"/>
      </w:r>
      <w:r w:rsidR="00007F6C" w:rsidRPr="00BD7355">
        <w:instrText xml:space="preserve"> REF _Ref38897818 \h  \* MERGEFORMAT </w:instrText>
      </w:r>
      <w:r w:rsidR="00007F6C" w:rsidRPr="00BD7355">
        <w:fldChar w:fldCharType="separate"/>
      </w:r>
      <w:r w:rsidR="00007F6C">
        <w:t>Figure 4.12</w:t>
      </w:r>
      <w:r w:rsidR="00007F6C" w:rsidRPr="00BD7355">
        <w:fldChar w:fldCharType="end"/>
      </w:r>
      <w:r w:rsidR="00007F6C" w:rsidRPr="00BD7355">
        <w:t xml:space="preserve"> of the AD samples where heterogeneous drying rates have formed a stacked plate structure </w:t>
      </w:r>
      <w:r w:rsidR="00007F6C" w:rsidRPr="00BD7355">
        <w:fldChar w:fldCharType="begin" w:fldLock="1"/>
      </w:r>
      <w:r w:rsidR="00151775">
        <w:instrText>ADDIN CSL_CITATION {"citationItems":[{"id":"ITEM-1","itemData":{"DOI":"10.1021/jp709583u","ISSN":"19327447","abstract":"A coarse-grained lattice gas model is developed to study the drying-mediated self-assembly of nanoparticles on diblock copolymer substrates. The model describes the nanoparticles, the solvent and the diblock copolymer on length scales that are typical to the solvent bulk correlation length. Monte Carlo simulation techniques are used to delineate the various mechanisms of this out-of-equilibrium hierarchical self-assembly. Several different assembly scenarios corresponding to different selectivity of the nanoparticles/liquid/ substrate are discussed. The role of surface tension, evaporation rate, diffusion rate, nanoparticle coverage, and diblock copolymer periodicity is explored. Optimal conditions to form a stripe phase of nanoparticles along with predictions of novel 3D structures resulting from high nanoparticle and solvent selectivity are described. © 2008 American Chemical Society.","author":[{"dropping-particle":"","family":"Kletenik-Edelman","given":"Orly","non-dropping-particle":"","parse-names":false,"suffix":""},{"dropping-particle":"","family":"Ploshnik","given":"Elina","non-dropping-particle":"","parse-names":false,"suffix":""},{"dropping-particle":"","family":"Salant","given":"Asaf","non-dropping-particle":"","parse-names":false,"suffix":""},{"dropping-particle":"","family":"Shenhar","given":"Roy","non-dropping-particle":"","parse-names":false,"suffix":""},{"dropping-particle":"","family":"Banin","given":"Uri","non-dropping-particle":"","parse-names":false,"suffix":""},{"dropping-particle":"","family":"Rabani","given":"Eran","non-dropping-particle":"","parse-names":false,"suffix":""}],"container-title":"Journal of Physical Chemistry C","id":"ITEM-1","issue":"12","issued":{"date-parts":[["2008"]]},"page":"4498-4506","title":"Drying-mediated hierarchical self-assembly of nanoparticles: A dynamical coarse-grained approach","type":"article-journal","volume":"112"},"uris":["http://www.mendeley.com/documents/?uuid=a6a39422-af0f-4884-bbfc-61ff068125d3"]},{"id":"ITEM-2","itemData":{"DOI":"10.1021/jp044994h","ISSN":"1520-6106","author":[{"dropping-particle":"","family":"Sztrum","given":"Claudia G","non-dropping-particle":"","parse-names":false,"suffix":""},{"dropping-particle":"","family":"Hod","given":"Oded","non-dropping-particle":"","parse-names":false,"suffix":""},{"dropping-particle":"","family":"Rabani","given":"Eran","non-dropping-particle":"","parse-names":false,"suffix":""}],"container-title":"The Journal of Physical Chemistry B","id":"ITEM-2","issue":"14","issued":{"date-parts":[["2005","4","1"]]},"note":"doi: 10.1021/jp044994h","page":"6741-6747","publisher":"American Chemical Society","title":"Self-Assembly of Nanoparticles in Three-Dimensions:  Formation of Stalagmites","type":"article-journal","volume":"109"},"uris":["http://www.mendeley.com/documents/?uuid=52e513b1-2573-4591-8c2b-57a020d8cb3c"]}],"mendeley":{"formattedCitation":"[196], [411]","plainTextFormattedCitation":"[196], [411]","previouslyFormattedCitation":"[196], [411]"},"properties":{"noteIndex":0},"schema":"https://github.com/citation-style-language/schema/raw/master/csl-citation.json"}</w:instrText>
      </w:r>
      <w:r w:rsidR="00007F6C" w:rsidRPr="00BD7355">
        <w:fldChar w:fldCharType="separate"/>
      </w:r>
      <w:r w:rsidRPr="008B6E91">
        <w:rPr>
          <w:noProof/>
        </w:rPr>
        <w:t>[196], [411]</w:t>
      </w:r>
      <w:r w:rsidR="00007F6C" w:rsidRPr="00BD7355">
        <w:fldChar w:fldCharType="end"/>
      </w:r>
      <w:r w:rsidR="00007F6C" w:rsidRPr="00BD7355">
        <w:t xml:space="preserve">. </w:t>
      </w:r>
    </w:p>
    <w:p w14:paraId="44B31B79" w14:textId="0BD4CEEF" w:rsidR="00007F6C" w:rsidRDefault="00007F6C" w:rsidP="00007F6C">
      <w:pPr>
        <w:jc w:val="both"/>
      </w:pPr>
      <w:r>
        <w:t>When these dried samples were probed using FTIR, a key finding was the presence of characteristic nickel oxide bands in both samples. In the ND sample a singular band was seen at 420 cm</w:t>
      </w:r>
      <w:r>
        <w:rPr>
          <w:vertAlign w:val="superscript"/>
        </w:rPr>
        <w:t>-1</w:t>
      </w:r>
      <w:r>
        <w:t xml:space="preserve"> indicating the formation of only one </w:t>
      </w:r>
      <w:proofErr w:type="spellStart"/>
      <w:r>
        <w:t>bunsenite</w:t>
      </w:r>
      <w:proofErr w:type="spellEnd"/>
      <w:r>
        <w:t xml:space="preserve"> species (</w:t>
      </w:r>
      <w:r>
        <w:fldChar w:fldCharType="begin"/>
      </w:r>
      <w:r>
        <w:instrText xml:space="preserve"> REF _Ref50389199 \h  \* MERGEFORMAT </w:instrText>
      </w:r>
      <w:r>
        <w:fldChar w:fldCharType="separate"/>
      </w:r>
      <w:r>
        <w:t>Figure 4.6</w:t>
      </w:r>
      <w:r>
        <w:fldChar w:fldCharType="end"/>
      </w:r>
      <w:r>
        <w:t xml:space="preserve">) </w:t>
      </w:r>
      <w:r>
        <w:fldChar w:fldCharType="begin" w:fldLock="1"/>
      </w:r>
      <w:r w:rsidR="008B6E91">
        <w:instrText>ADDIN CSL_CITATION {"citationItems":[{"id":"ITEM-1","itemData":{"DOI":"10.7508/jns.2015.02.009","ISSN":"2322-4142","abstract":"In the current paper,Nanostructured Nickel oxide (NiO) were synthesized by co-precipitation method using Nickel(II) Chloride Hexahydrate (NiCl2.6H2O) and sodium hydroxide (NaOH) as starting material. Structural, optical and magnetic properties of nanostructures were characterized by X-ray diffraction (XRD), scanning electron microscopy (SEM), Atomic force microscope (AFM), UV–Vis absorption; Fourier transformed infrared (FTIR) and vibrating sample magnetometer (VSM) technique. The X-ray diffraction pattern studies revealed the NiO have a face-centered cubic (FCC) structure and confirmed the presence of high degree of crystallinity nature NiO nanoparticles that their average size is found to be 26 nm. The composition of nanostructures confirmed by analysis of FTIR spectra. The average size of the NiO nanoparticle observed from scanning electron microscopy images is found to be dimensions about 24 nm. Magnetic measurement confirmed the Nickel Oxide nanostructures superparamagnetic behavior at room temperature (RT) after calcinations.","author":[{"dropping-particle":"","family":"Dehno Khalaji","given":"A.","non-dropping-particle":"","parse-names":false,"suffix":""},{"dropping-particle":"","family":"Das","given":"D.","non-dropping-particle":"","parse-names":false,"suffix":""},{"dropping-particle":"","family":"Matalobos","given":"J.","non-dropping-particle":"","parse-names":false,"suffix":""},{"dropping-particle":"","family":"Gharib","given":"F.","non-dropping-particle":"","parse-names":false,"suffix":""}],"container-title":"International Journal of Bio-Inorganic Hybrid Nanomaterials","id":"ITEM-1","issue":"2","issued":{"date-parts":[["2015"]]},"page":"59-64","title":"Cubic NiO Nanoparticles: Synthesis and Characterization","type":"article-journal","volume":"4"},"uris":["http://www.mendeley.com/documents/?uuid=ec4ea8bb-3afb-4c5f-9792-283af3c8e54c"]},{"id":"ITEM-2","itemData":{"DOI":"10.1021/am400012h","ISSN":"19448244","abstract":"NiO nanomaterial was synthesized at different calcination temperatures using cetyltrimethyl ammonium bromide (CTAB) as surfactant via microwave method. Thermogravimetric studies revealed the decomposition details of Ni(OH) 2 precursor. The structure and morphology of the NiO was characterized by X-ray diffraction (XRD), Fourier transform infrared spectroscopy (FTIR), scanning electron microscopy (SEM), and transmission electron microscopy (TEM). NiO calcined at 300 C shows a nanoflake-like structure. A possible formation mechanism has been discussed with time evolution study. Electrochemical studies indicate that the sample calcined at 300 C exhibits better charge storage. The NiO nanoflakes exhibit maximum specific capacitance of 401 F g-1 at a current density of 0.5 mA cm -2. The energy generated and hence the charges collected from wind and solar panels are slow but in many applications the power delivery has to be at a faster rate. Considering this aspect, slow-charge and fast-discharge tests have been performed and reported. The NiO nanoflakes appear to be a promising electrode material for supercapacitor application. © 2013 American Chemical Society.","author":[{"dropping-particle":"","family":"Vijayakumar","given":"Subbukalai","non-dropping-particle":"","parse-names":false,"suffix":""},{"dropping-particle":"","family":"Nagamuthu","given":"Sadayappan","non-dropping-particle":"","parse-names":false,"suffix":""},{"dropping-particle":"","family":"Muralidharan","given":"Gopalan","non-dropping-particle":"","parse-names":false,"suffix":""}],"container-title":"ACS Applied Materials and Interfaces","id":"ITEM-2","issue":"6","issued":{"date-parts":[["2013"]]},"page":"2188-2196","title":"Supercapacitor studies on NiO nanoflakes synthesized through a microwave route","type":"article-journal","volume":"5"},"uris":["http://www.mendeley.com/documents/?uuid=954135c6-2381-4011-bbfa-9328bce76449"]},{"id":"ITEM-3","itemData":{"DOI":"10.7508/jns.2015.02.009","ISSN":"2322-4142","abstract":"The aim of the present study was to prepare nano-sized calcium fluoride (CaF2). Calcium fluoride nanoparticles were synthesized by CaCl2.6H2O and ammonium fluoride. Nanoparticles were synthesized by co-precipitation method. The synthesized nanocrystals were characterized by X-ray diffraction (XRD), Fourier transform infrared spectroscopy (FTIR), scanning electron microscopy (SEM). The crystallite size estimated using Scherer’s formula was found to be in the range of 20–30nm for nanocrystals synthesized by this method. The morphological features as studied using SEM revealed that the nanoparticles were agglomerated, crispy with porous. Keywords:","author":[{"dropping-particle":"","family":"Das","given":"D.","non-dropping-particle":"","parse-names":false,"suffix":""},{"dropping-particle":"","family":"Gharib","given":"F.","non-dropping-particle":"","parse-names":false,"suffix":""}],"container-title":"International Journal of Bio-Inorganic Hybrid Nanomaterials","id":"ITEM-3","issue":"2","issued":{"date-parts":[["2015"]]},"page":"59-64","title":"Cubic NiO Nanoparticles: Synthesis and Characterization","type":"article-journal","volume":"4"},"uris":["http://www.mendeley.com/documents/?uuid=c798eb58-f3d5-4e34-8abe-653250e879f5"]}],"mendeley":{"formattedCitation":"[340], [343], [389]","plainTextFormattedCitation":"[340], [343], [389]","previouslyFormattedCitation":"[340], [343], [389]"},"properties":{"noteIndex":0},"schema":"https://github.com/citation-style-language/schema/raw/master/csl-citation.json"}</w:instrText>
      </w:r>
      <w:r>
        <w:fldChar w:fldCharType="separate"/>
      </w:r>
      <w:r w:rsidR="00237E21" w:rsidRPr="00237E21">
        <w:rPr>
          <w:noProof/>
        </w:rPr>
        <w:t>[340], [343], [389]</w:t>
      </w:r>
      <w:r>
        <w:fldChar w:fldCharType="end"/>
      </w:r>
      <w:r>
        <w:t xml:space="preserve">. This confirms that the drying step does induce the breakdown of the nitrate phase as reported in recent literature </w:t>
      </w:r>
      <w:r>
        <w:fldChar w:fldCharType="begin" w:fldLock="1"/>
      </w:r>
      <w:r w:rsidR="00151775">
        <w:instrText>ADDIN CSL_CITATION {"citationItems":[{"id":"ITEM-1","itemData":{"DOI":"10.1021/nn406119j","ISBN":"19360851 (ISSN)","abstract":"Metal nanoparticle growth represents a major deactivation mechanism of supported catalysts and other functional nanomaterials, particularly those based on low melting-point metals. Here we investigate the impact of the support porous structure on the stability of CuZnO/SiO2 model methanol synthesis catalysts. A series of silica materials with ordered cagelike (SBA-16 mesostructure) and disordered (SiO2-gel) porosities and varying pore sizes were employed as catalyst supports. Nitric oxide moderated nitrate decomposition enabled the synthesis of catalytically active Cu nanoparticles (3-5 nm) exclusively inside the silica pores with short interparticle spacings. Under relevant reactive conditions, confinement of the Cu particles in cagelike silica pores notably enhances catalyst stability by limiting Cu particle growth as compared to catalysts deposited in SiO2-gel host materials with also 3D and highly interconnected though unconstrained porosity. For both pore morphologies, we find a direct relationship between catalyst stability and support porosity, provided the narrowest characteristic pore dimension is employed as a porosity descriptor. For cagelike porosities this corresponds to the size of the entrances to the nanocages. Our results point to nanoparticle diffusion and coalescence as a relevant growth mechanism under reactive conditions and underscore the significance of the narrowest pore constrictions to mitigate growth and improve catalyst stability. This finding contributes to the establishment of general and quantitative structure-stability relationships which are essential for the design of catalysts and related functional nanostructures with long lifetimes under operation conditions. © 2014 American Chemical Society.","author":[{"dropping-particle":"","family":"Prieto","given":"G","non-dropping-particle":"","parse-names":false,"suffix":""},{"dropping-particle":"","family":"Shakeri","given":"M","non-dropping-particle":"","parse-names":false,"suffix":""},{"dropping-particle":"","family":"Jong","given":"K P","non-dropping-particle":"De","parse-names":false,"suffix":""},{"dropping-particle":"","family":"Jongh","given":"P E","non-dropping-particle":"De","parse-names":false,"suffix":""}],"container-title":"ACS Nano","id":"ITEM-1","issue":"3","issued":{"date-parts":[["2014"]]},"language":"English","note":"Cited By :20\nExport Date: 20 January 2017\nCorrespondence Address: De Jongh, P.E.; Inorganic Chemistry and Catalysis, Debye Institute for Nanomaterials Science, Utrecht University, 3584 CG, Utrecht, Netherlands; email: P.E.deJongh@uu.nl\nFunding details: Utrecht University\nReferences: Ertl, G., Knözinger, H., Schüth, F., Weitkamp, J., (2008) Handbook of Heterogeneous Catalysis, , Eds. Wiley-VCH: Weinheim; Wynblatt, P., Gjostein, N.A., Supported Metal Crystallites (1975) Prog. Solid State Chem., 9, pp. 21-58; Bartholomew, C.H., Mechanisms of Catalyst Deactivation (2001) Appl. Catal. A Gen., 212, pp. 17-60; Moulijn, J.A., Van Diepen, A.E., Kapteijn, F., Catalyst Deactivation: Is it Predictable?-What to Do? (2001) Appl. Catal., A, 212, pp. 3-16; Valden, M., Lai, X., Goodman, D.W., Onset of Catalytic Activity of Gold Clusters on Titania with the Appearance of Nonmetallic Properties (1998) Science, 281, pp. 1647-1650; Van Santen, R.A., Complementary Structure Sensitive and Insensitive Catalytic Relationships (2009) Acc. Chem. Res., 42, pp. 57-66; Bezemer, L., Bitter, J.H., Kuipers, H.P.C.E., Oosterbeek, H., Holewijn, J.E., Xu, X., Kapteijn, F., De Jong, K.P., Cobalt Particle Size Effects in the Fischer-Tropsch Reaction Studied with Carbon Nanofiber Supported Catalysts (2006) J. Am. Chem. Soc., 128, pp. 3956-3964; Hughes, M.D., Xu, Y.J., Jenkins, P., McMorn, P., Landon, P., Enache, D.I., Carley, A.F., Kiely, C.J., Tunable Gold Catalysts for Selective Hydrocarbon Oxidation under Mild Conditions (2005) Nature, 437, pp. 1132-1135; Torres Galvis, H.M., Bitter, J.H., Davidian, T., Ruitenbeek, M., Dugulan, A.I., De Jong, K.P., Iron Particle Size Effects for Direct Production of Lower Olefins from Synthesis Gas (2012) J. Am. Chem. Soc., 134, pp. 16207-16215; Boronat, M., Concepción, P., Corma, A., González, S., Illas, F., Serna, P., A Molecular Mechanism for the Chemoselective Hydrogenation of Substituted Nitroaromatics with Nanoparticles of Gold on TiO2 Catalysts: A Cooperative Effect between Gold and the Support (2007) J. Am. Chem. Soc., 129, pp. 16230-16237; Prieto, G., Concepción, P., Martínez, A., Mendoza, E., New Insights into the Role of the Electronic Properties of Oxide Promoters in Rh-Catalyzed Selective Synthesis of Oxygenates from Synthesis Gas (2011) J. Catal., 280, pp. 274-288; López-Haro, M., Cíes, J.M., Trasobares, S., Pérez-Omil, J.A., Delgado, J.J., Bernal, S., Bayle-Guillemaud, P., Calvino, J.J., Imaging Nanostructural Modifications Induced by Electronic Metal-Support Interaction Effects at Au/Cerium-Based Oxide Nanointerfaces (2012) ACS Nano, 6, pp. 6812-6820; Cao, A., Veser, G., Exceptional High-Temperature Stability Through Distillation-like Self-Stabilization in Bimetallic Nanoparticles (2010) Nat. Mater., 9, pp. 75-81; Farmer, J.A., Campbell, C.T., Ceria Maintains Smaller Metal Catalyst Particles by Strong Metal-Support Bonding (2010) Science, 239, pp. 933-936; Wang, Y., Van De Vyver, S., Sharma, K., Román-Leshkov, Y., Insights into the Stability of Gold Nanoparticles Supported on Metal Oxides for the Base-Free Oxidation of Glucose to Gluconic Acid (2014) Green Chem., 16, pp. 719-726; Arnal, P.M., Comotti, M., Schüth, F., High-Temperature-Stable Catalysts by Hollow Sphere Encapsulation (2006) Angew. Chem., Int. Ed., 45, pp. 8224-8227; Joo, S.H., Park, J.Y., Tsung, C.K., Yamada, Y., Yang, P., Somorjai, G.A., Thermally Stable Pt/Mesoporous Silica Core-Shell Nanocatalysts for High-Temperature Reactions (2009) Nat. Mater., 8, pp. 126-131; Lu, J., Fu, B., Kung, M.C., Xiao, G., Elam, J.W., Kung, H.H., Stair, P.C., Coking- and Sintering-Resistant Palladium Catalysts Achieved Through Atomic Layer Deposition (2012) Science, 335, pp. 1205-1208; Prieto, G., Zecevic, J., Friedrich, H., De Jong, K.P., De Jongh, P.E., Towards Stable Catalysts by Controlling Collective Properties of Supported Metal Nanoparticles (2013) Nat. Mater., 12, pp. 34-39; Prieto, G., Meeldijk, J.D., De Jong, K.P., De Jongh, P.E., Interplay between Pore Size and Nanoparticle Spatial Distribution: Consequences for the Stability of CuZn/SiO2 Methanol Synthesis Catalysts (2013) J. Catal., 303, pp. 31-40; Cao, A., Lu, R., Veser, G., Stabilizing Metal Nanoparticles for Heterogeneous Catalysis (2010) Phys. Chem. Chem. Phys., 12, pp. 13499-13510; Wang, J., Lu, A.-H., Li, M., Zhang, W., Chen, Y.-S., Tian, D.-X., Li, W.-C., Thin Porous Alumina Sheets as Supports for Stabilizing Gold Nanoparticles (2013) ACS Nano, 7, pp. 4902-4910; Ruckenstein, E., Pulvermacher, B., Effect of the Pore Size on the Aging of Supported Metals (1975) J. Catal., 37, pp. 416-423; Richardson, J.T., Propp, J.L., Pore Size Effects on Sintering of Ni/Al2O3 Catalysts (1986) J. Catal., 98, pp. 457-467; Sun, J., Ma, D., Zhang, H., Liu, X., Han, X., Bao, X., Weinberg, G., Su, D., Toward Monodispersed Silver Nanoparticles with Unusual Thermal Stability (2006) J. Am. Chem. Soc., 128, pp. 15756-15764; Bore, M.T., Pham, H.N., Switzer, E.E., Ward, T.L., Fukuoka, A., Datye, A.K., The Role of Pore Size and Structure on the Thermal Stability of Gold Nanoparticles within Mesoporous Silica (2005) J. Phys. Chem. B, 109, pp. 2873-2880; Zhao, D.Y., Huo, Q.S., Feng, J.L., Chmelka, B.F., Stucky, G.D., Nonionic Triblock and Star Diblock Copolymer and Oligomeric Surfactant Syntheses of Highly Ordered, Hydrothermally Stable, Mesoporous Silica Structures (1998) J. Am. Chem. Soc., 120, pp. 6024-6036; Yu, C.Z., Yu, Y.H., Zhao, D.Y., Highly Ordered Large Caged Cubic Mesoporous Silica Structures Templated by Triblock PEO-PBO-PEO Copolymer (2000) Chem. Commun., pp. 575-576; Fan, J., Yu, C.Z., Gao, T., Lei, J., Tian, B.Z., Wang, L.M., Luo, Q., Zhao, D.Y., Cubic Mesoporous Silica with Large Controllable Entrance Sizes and Advanced Adsorption Properties (2003) Angew. Chem., Int. Ed., 42, pp. 3146-3150; Matos, J.R., Kruk, M., Mercuri, L.P., Jaroniec, M., Zhao, L., Kamiyama, T., Terasaki, O., Liu, Y., Ordered Mesoporous Silica with Large Cage-Like Pores: Structural Identification and Pore Connectivity Design by Controlling the Synthesis Temperature and Time (2003) J. Am. Chem. Soc., 125, pp. 821-829; Li, L.Y., King, D.L., Liu, J., Huo, Q.S., Zhu, K.K., Wang, C.M., Gerber, M., Wang, Y., Stabilization of Metal Nanoparticles in Cubic Mesostructured Silica and Its Application in Regenerable Deep Desulfurization of Warm Syngas (2009) Chem. Mater., 21, pp. 5358-5364; Hao, Y., Chong, Y., Li, S., Yang, H., Controlled Synthesis of Au Nanoparticles in the Nanocages of SBA-16: Improved Activity and Enhanced Recyclability for the Oxidative Esterification of Alcohols (2012) J. Phys. Chem. C, 116, pp. 6512-6519; Li, X., Liu, X., Yang, Y., Zhao, J., Li, C., Yang, Q., Entrapment of Metal Nanoparticles within Nanocages of Mesoporous Silicas Aided by Co-Surfactants (2012) J. Mater. Chem., 22, pp. 21045-21050; Chorkendorff, I., Niemantsverdriet, H., (2003) Concepts of Modern Catalysis and Kinetics, , Eds. Wiley-VCH: Weinheim; Olah, G.A., Goeppert, A., Surya Prakash, G.K., (2009) Beyond Oil and Gas: The Methanol Economy, , Eds. Wiley-VCH: Weinheim; Twigg, M.V., Spencer, M.S., Deactivation of Copper Metal Catalysts for Methanol Steam Reforming and Methanol Synthesis (2003) Top. Catal., 22, pp. 191-203; Rasmussen, D.B., Janssens, T.V.W., Temel, B., Bligaard, T., Hinnemann, B., Helveg, S., Sehested, J., The Energies of Formation and Mobilities of Cu Surface Species on Cu and ZnO in Methanol and Water Gas Shift Atmospheres Studied by DFT (2012) J. Catal., 293, pp. 205-214; Baltes, C., Vukojević, S., Schüth, F., Correlations between Synthesis, Precursor, and Catalyst Structure and Activity of a Large Set of CuO/ZnO/Al2O3 Catalysts for Methanol Synthesis (2008) J. Catal., 258, pp. 334-344; Behrens, M., Studt, F., Kasatjin, I., Kühl, S., Hävecker, M., Abild-Pedersen, K., Zander, S., Schlögl, R., The Active Site of Methanol Synthesis over Cu/ZnO/Al2O 3 Industrial Catalysts (2012) Science, 336, pp. 893-897; Prieto, G., De Jong, K.P., De Jongh, P.E., Towards &amp;quot;greener&amp;quot; Catalyst Manufacture: Reduction of Wastewater from the Preparation of Cu/ZnO/Al2O3 Methanol Synthesis Catalysts (2013) Catal. Today, 215, pp. 142-151; Jansen, W.P.A., Beckers, J., Van Der Heuvel, J.C., Van Der Gon, A.W.D., Bliek, A., Brongersma, H.H., Dynamic Behavior of the Surface Structure of Cu/ZnO/SiO2 Catalysts (2002) J. Catal., 210, pp. 229-236; Becker, R., Parala, H., Hipler, F., Tkachenko, O.P., Klementiev, K.V., Grünert, W., Wilmer, H., Fischer, R.A., MOCVD-Loading of Mesoporous Siliceous Matrices with Cu/ZnO: Supported Catalysts for Methanol Synthesis (2004) Angew. Chem., Int. Ed., 43, pp. 2839-2842; Van Den Berg, M.W.E., Polarz, S., Tkachenko, O.P., Klementiev, K.V., Bandyopadhyay, M., Khodeir, L., Gies, H., Grünert, W., Cu/ZnO Aggregates in Siliceous Mesoporous Matrices: Development of a New Model Methanol Synthesis Catalyst (2006) J. Catal., 241, pp. 446-455; Munnik, P., Wolters, M., Gabrielsson, A., Pollington, S.D., Headdock, G., Bitter, J.H., De Jongh, P.E., De Jong, K.P., Copper Nitrate Redispersion to Arrive at Highly Active Silica Supported Copper Catalysts (2011) J. Phys. Chem. C, 115, pp. 14698-14706; Sing, K.S.W., Williams, R.T., Physisorption Hysteresis Loops and the Characterization of Nanoporous Materials (2004) Adsorpt. Sci. Technol., 22, pp. 773-782; Ravikovitch, P.I., Neimark, A.V., Density Functional Theory of Adsorption in Spherical Cavities and Pore Size Characterization of Templated Nanoporous Silicas with Cubic and Three-Dimensional Hexagonal Structures (2002) Langmuir, 18, pp. 1550-1560; Eggenhuisen, T.M., Prieto, G., Talsma, H., De Jong, K.P., De Jongh, P.E., Entrance Size Analysis of Silica Materials with Cagelike Pore Structure by Thermoporometry (2012) J. Phys. Chem. C, 116, pp. 23383-23393; Kruk, M., Jaroniec, M., Argon Adsorption at 77 K as a Useful Tool for the Elucidation of Pore Connectivity in Ordered Materials with Large Cagelike Mesopores (2003) Chem. Mater., 15, pp. 2942-2949; Kim, T.-W., Ryoo, R., Kruk, M., Gierszal, K.P., Jaroniec, M., Kamiya, S., Terasaki, O., Tailoring the Pore Structure of SBA-16 Silica Molecular Sieve Through the Use of Copolymer Blends and Control of Synthesis Temperature and Time (2004) J. Phys. Chem. B, 108, pp. 11480-11489; Antonchshuk, V., Kruk, M., Jaroniec, M., Surface Modifications of Cage-like and Channel-like Mesopores and Their Implications for Evaluation of Sizes of Entrances to Cage-like Mesopores (2003) J. Phys. Chem. B, 107, pp. 11900-11906; Kruk, M., Antonchshuk, V., Matos, J.R., Mercuri, L.P., Jaroniec, M., Determination and Tailoring the Pore Entrance Size in Ordered Silicas with Cage-like Mesoporous Structures (2002) J. Am. Chem. Soc., 124, pp. 768-769; Shakeri, M., Klein Gebbink, R.J.M., De Jongh, P.E., De Jong, K.P., Control and Assessment of Plugging of Mesopores in SBA-15 Materials (2013) Microporous Mesoporous Mater., 170, pp. 340-345; De Jong, K.P., (2009) Synthesis of Solid Catalysts, , Ed. Wiley-VCH: Weinheim; Chouillet, C., Villain, F., Kermarec, M., Lauron-Pernot, H., Louis, C., Relevance of the Drying Step in the Preparation by Impregnation of Zn/SiO2 Supported Catalysts (2003) J. Phys. Chem. B, 107, pp. 3565-3575; Catillon-Mucherie, S., Ammari, F., Krafft, J.-M., Lauron-Pernot, H., Touroude, R., Louis, C., Preparation of Coimpregnated Cu-Zn/SiO2 Catalysts: Influence of the Drying Step on Metallic Particle Size and on Cu0-Zn II Interactions (2007) J. Phys. Chem. C, 111, pp. 11619-11626; Sietsma, J.R.A., Meeldijk, J.D., Den Breejen, J.P., Versluijs-Helder, M., Van Dillen, A.J., De Jongh, P.E., De Jong, K.P., The Preparation of Supported NiO and Co3O4 Nanoparticles by the Nitric Oxide Controlled Thermal Decomposition of Nitrates (2007) Angew. Chem., Int. Ed., 46, pp. 4547-4549; Wolters, M., Munnik, P., Bitter, J.H., De Jongh, P.E., De Jong, K.P., How NO Affects Nickel and Cobalt Nitrates at Low Temperatures to Arrive at Highly Dispersed Silica-Supported Nickel and Cobalt Catalysts (2011) J. Phys. Chem. C, 115, pp. 3332-3339; Okabe, K., Sayama, K., Matsubayashi, N., Shimomura, K., Arakawa, H., Selective Hydrogenation of Carbon Dioxide to Methanol on Cu-ZnO/SiO 2 Catalysts Prepared by Alkoxide Method (1992) Bull. Chem. Soc. Jpn., 65, pp. 2520-2525; García-Trenco, A., Martínez, A., A Simple and Efficient Approach to Confine Cu/ZnO Methanol Synthesis Catalysts in the Ordered Mesoporous SBA-15 Silica (2013) Catal. Today, 215, pp. 152-161; Yan, X., Wang, X., Tang, Y., Ma, G., Zou, S., Li, R., Peng, X., Fan, J., Unusual Loading-Dependent Sintering-Resistant Properties of Gold Nanoparticles Supported within Extra-Large Mesopores (2013) Chem. Mater., 25, pp. 1556-1563; Ahn, T.-M., Tien, J.K., Coarsening Kinetics of Platinum Particles on Curved Oxide Substrates (1980) J. Catal., 66, pp. 335-346; Kruk, M., Jaroniec, M., Determination of Mesopore Size Distributions from Argon Adsorption Data at 77 K (2002) J. Phys. Chem. B, 106, pp. 4732-4739; Kleitz, F., Solovyov, L.A., Anilkumar, G.M., Choi, S.H., Ryoo, R., Transformation of Highly Ordered Large Pore Silica Mesophases (Fm3m, Im3m and p6mm) in a Ternary Triblock Copolymer-Butanol-Water System (2004) Chem. Commun., pp. 1536-1537","page":"2522-2531","publisher":"American Chemical Society","title":"Quantitative relationship between support porosity and the stability of pore-confined metal nanoparticles studied on CuZnO/SiO2 methanol synthesis catalysts","type":"article-journal","volume":"8"},"uris":["http://www.mendeley.com/documents/?uuid=dbf52664-4bdb-47ad-a41b-9586fddaf827"]},{"id":"ITEM-2","itemData":{"DOI":"10.1021/cr500486u","ISSN":"15206890","author":[{"dropping-particle":"","family":"Munnik","given":"Peter","non-dropping-particle":"","parse-names":false,"suffix":""},{"dropping-particle":"","family":"Jongh","given":"Petra E.","non-dropping-particle":"De","parse-names":false,"suffix":""},{"dropping-particle":"","family":"Jong","given":"Krijn P.","non-dropping-particle":"De","parse-names":false,"suffix":""}],"container-title":"Chemical Reviews","id":"ITEM-2","issue":"14","issued":{"date-parts":[["2015"]]},"page":"6687-6718","title":"Recent Developments in the Synthesis of Supported Catalysts","type":"article-journal","volume":"115"},"uris":["http://www.mendeley.com/documents/?uuid=060ed17a-2ac3-4d77-818d-9ec3cc4920c2"]},{"id":"ITEM-3","itemData":{"DOI":"10.1016/S0167-2738(02)00612-4","ISSN":"01672738","abstract":"Several NiO samples were prepared from different nickel precursors: nickel nitrate hexahydrate, nickel acetate tetrahydrate and nickel hydroxide. All samples were characterized using BET, X-ray diffraction (XRD), temperature-programmed reduction (TPR) and scanning electron microscopy (SEM) techniques. The results showed that a careful decomposition of nickel nitrate hexahydrate until formation of Ni3(NO3)2(OH)4 and subsequently calcination of this intermediate to form NiO led to very homogeneous octahedral NiO particles. Particle size can be controlled by means of the calcination temperature (around 200 nm for 400 °C during 4 h and 100 nm for 350 °C during 20 min). NiO obtained from nickel hydroxide is more amorphous with high specific surface area (161 m2/g) and sponge-like aspect. When nickel acetate tetrahydrate is calcined, metallic nickel is obtained together with the expected NiO phase. These samples showed different morphologies than the other prepared NiO. © 2003 Elsevier Science B.V. All rights reserved.","author":[{"dropping-particle":"","family":"Estellé","given":"J.","non-dropping-particle":"","parse-names":false,"suffix":""},{"dropping-particle":"","family":"Salagre","given":"P.","non-dropping-particle":"","parse-names":false,"suffix":""},{"dropping-particle":"","family":"Cesteros","given":"Y.","non-dropping-particle":"","parse-names":false,"suffix":""},{"dropping-particle":"","family":"Serra","given":"M.","non-dropping-particle":"","parse-names":false,"suffix":""},{"dropping-particle":"","family":"Medina","given":"F.","non-dropping-particle":"","parse-names":false,"suffix":""},{"dropping-particle":"","family":"Sueiras","given":"J. E.","non-dropping-particle":"","parse-names":false,"suffix":""}],"container-title":"Solid State Ionics","id":"ITEM-3","issue":"1-2","issued":{"date-parts":[["2003"]]},"page":"233-243","title":"Comparative study of the morphology and surface properties of nickel oxide prepared from different precursors","type":"article-journal","volume":"156"},"uris":["http://www.mendeley.com/documents/?uuid=bdd3b9f0-9994-4f76-ace9-98a2d2301da1"]}],"mendeley":{"formattedCitation":"[116], [178], [412]","plainTextFormattedCitation":"[116], [178], [412]","previouslyFormattedCitation":"[116], [178], [412]"},"properties":{"noteIndex":0},"schema":"https://github.com/citation-style-language/schema/raw/master/csl-citation.json"}</w:instrText>
      </w:r>
      <w:r>
        <w:fldChar w:fldCharType="separate"/>
      </w:r>
      <w:r w:rsidR="008B6E91" w:rsidRPr="008B6E91">
        <w:rPr>
          <w:noProof/>
        </w:rPr>
        <w:t>[116], [178], [412]</w:t>
      </w:r>
      <w:r>
        <w:fldChar w:fldCharType="end"/>
      </w:r>
      <w:r>
        <w:t xml:space="preserve">. </w:t>
      </w:r>
    </w:p>
    <w:p w14:paraId="2631DBF5" w14:textId="28222EBE" w:rsidR="00007F6C" w:rsidRDefault="00007F6C" w:rsidP="00007F6C">
      <w:pPr>
        <w:jc w:val="both"/>
      </w:pPr>
      <w:r>
        <w:t xml:space="preserve">In addition, </w:t>
      </w:r>
      <w:r>
        <w:fldChar w:fldCharType="begin"/>
      </w:r>
      <w:r>
        <w:instrText xml:space="preserve"> REF _Ref40960562 \h  \* MERGEFORMAT </w:instrText>
      </w:r>
      <w:r>
        <w:fldChar w:fldCharType="separate"/>
      </w:r>
      <w:r w:rsidR="00E36916">
        <w:t>Figure 4.17</w:t>
      </w:r>
      <w:r>
        <w:fldChar w:fldCharType="end"/>
      </w:r>
      <w:r>
        <w:t xml:space="preserve"> also illustrates the homogeneity of the nickel oxide production produced using the inert gas drying step. The ND samples both showed a</w:t>
      </w:r>
      <w:r w:rsidR="00590281">
        <w:t xml:space="preserve"> maximum of</w:t>
      </w:r>
      <w:r>
        <w:t xml:space="preserve"> distinct reduction peak</w:t>
      </w:r>
      <w:r w:rsidR="00590281">
        <w:t>s</w:t>
      </w:r>
      <w:r>
        <w:t xml:space="preserve"> at indicating the presence of uniform </w:t>
      </w:r>
      <w:proofErr w:type="spellStart"/>
      <w:r>
        <w:t>bunsenite</w:t>
      </w:r>
      <w:proofErr w:type="spellEnd"/>
      <w:r>
        <w:t xml:space="preserve"> nuclei particles. This single peak at this temperature underlines the lack of mobility of the infiltrated nickel particles during this process </w:t>
      </w:r>
      <w:r>
        <w:fldChar w:fldCharType="begin" w:fldLock="1"/>
      </w:r>
      <w:r w:rsidR="008B6E91">
        <w:instrText>ADDIN CSL_CITATION {"citationItems":[{"id":"ITEM-1","itemData":{"DOI":"10.1021/ja00112a014","ISSN":"15205126","abstract":"A new method of preparation of silica-supported nickel materials makes possible the control of the particle size of metallic nickel in the range 20—60 Å and in particular the obtention of decreasing particle size for increasing metal content. The preparation involves a two-step procedure: nickel in strong interaction with the support is deposited first, then nickel in weak interaction. After temperature-programmed reduction up to 700 °C, metal nickel particles are obtained whose size depends on the respective amounts of nickel deposited at each step of preparation. The average particle size is always smaller and the size distribution narrower than those of samples prepared by classical impregnation. This preparation method involves an easy to carry out procedure: (i) nickel in strong interaction is obtained by impregnation of nickel nitrate followed by water-washing or by ion-exchange followed by calcination; (ii) nickel in weak interaction is obtained by impregnation. It is shown that a mechanism of particle growth on the nickel nuclei is responsible for the changes in particle size. It takes place after impregnation during the drying step at 90 °C via condensation reactions between the two types of nickel. Nickel in strong interaction, identified as phyllosilicates or as grafted nickel depending on the preparation conditions, acts as nucleation sites for the particle growth arising from nickel in weak interaction. During drying in air at 90 °C, impregnated nickel nitrate transforms into a basic nitrate whose OH groups can react either with those in phyllosilicates or with H2O in the coordination sphere of grafted nickel. © 1995, American Chemical Society. All rights reserved.","author":[{"dropping-particle":"","family":"Che","given":"Michel","non-dropping-particle":"","parse-names":false,"suffix":""},{"dropping-particle":"","family":"Cheng","given":"Zheng Xing","non-dropping-particle":"","parse-names":false,"suffix":""},{"dropping-particle":"","family":"Louis","given":"Catherine","non-dropping-particle":"","parse-names":false,"suffix":""}],"container-title":"Journal of the American Chemical Society","id":"ITEM-1","issue":"7","issued":{"date-parts":[["1995"]]},"page":"2008-2018","title":"Nucleation and Particle Growth Processes Involved in the Preparation of Silica-Supported Nickel Materials by a Two-Step Procedure","type":"article-journal","volume":"117"},"uris":["http://www.mendeley.com/documents/?uuid=75082ae8-a72c-4dc1-a3d3-698d69928624"]}],"mendeley":{"formattedCitation":"[397]","plainTextFormattedCitation":"[397]","previouslyFormattedCitation":"[397]"},"properties":{"noteIndex":0},"schema":"https://github.com/citation-style-language/schema/raw/master/csl-citation.json"}</w:instrText>
      </w:r>
      <w:r>
        <w:fldChar w:fldCharType="separate"/>
      </w:r>
      <w:r w:rsidR="00237E21" w:rsidRPr="00237E21">
        <w:rPr>
          <w:noProof/>
        </w:rPr>
        <w:t>[397]</w:t>
      </w:r>
      <w:r>
        <w:fldChar w:fldCharType="end"/>
      </w:r>
      <w:r>
        <w:t>. These well dispersed nickel nuclei particles are a result of the increased moisture removal rate in the nitrogen atmosphere.</w:t>
      </w:r>
    </w:p>
    <w:p w14:paraId="61D0082A" w14:textId="045CC1E4" w:rsidR="00007F6C" w:rsidRDefault="00007F6C" w:rsidP="00007F6C">
      <w:pPr>
        <w:jc w:val="both"/>
      </w:pPr>
      <w:r>
        <w:t xml:space="preserve">The aggregation behaviour displayed by the AD specimens is evident in the initial </w:t>
      </w:r>
      <w:proofErr w:type="spellStart"/>
      <w:r>
        <w:t>bunsenite</w:t>
      </w:r>
      <w:proofErr w:type="spellEnd"/>
      <w:r>
        <w:t xml:space="preserve"> crystallite sizes produced via Scherrer analysis, where the crystallite size of the calcined </w:t>
      </w:r>
      <w:proofErr w:type="spellStart"/>
      <w:r>
        <w:t>NiO</w:t>
      </w:r>
      <w:proofErr w:type="spellEnd"/>
      <w:r>
        <w:t xml:space="preserve"> is </w:t>
      </w:r>
      <w:r w:rsidR="00590281">
        <w:t>22</w:t>
      </w:r>
      <w:r>
        <w:t xml:space="preserve"> % larger than its N</w:t>
      </w:r>
      <w:r>
        <w:rPr>
          <w:vertAlign w:val="subscript"/>
        </w:rPr>
        <w:t>2</w:t>
      </w:r>
      <w:r>
        <w:t xml:space="preserve"> counterparts (</w:t>
      </w:r>
      <w:r>
        <w:fldChar w:fldCharType="begin"/>
      </w:r>
      <w:r>
        <w:instrText xml:space="preserve"> REF _Ref42505913 \h  \* MERGEFORMAT </w:instrText>
      </w:r>
      <w:r>
        <w:fldChar w:fldCharType="separate"/>
      </w:r>
      <w:r w:rsidR="00E36916">
        <w:t>Table 4.3</w:t>
      </w:r>
      <w:r>
        <w:fldChar w:fldCharType="end"/>
      </w:r>
      <w:r>
        <w:t xml:space="preserve">). This clear particle heterogeneity is visible for the AD sample is also illustrated by the multitude of TPR peaks in </w:t>
      </w:r>
      <w:r>
        <w:fldChar w:fldCharType="begin"/>
      </w:r>
      <w:r>
        <w:instrText xml:space="preserve"> REF _Ref40960562 \h  \* MERGEFORMAT </w:instrText>
      </w:r>
      <w:r>
        <w:fldChar w:fldCharType="separate"/>
      </w:r>
      <w:r w:rsidR="00E36916">
        <w:t>Figure 4.17</w:t>
      </w:r>
      <w:r>
        <w:fldChar w:fldCharType="end"/>
      </w:r>
      <w:r>
        <w:t xml:space="preserve"> and </w:t>
      </w:r>
      <w:r>
        <w:fldChar w:fldCharType="begin"/>
      </w:r>
      <w:r>
        <w:instrText xml:space="preserve"> REF _Ref50553497 \h  \* MERGEFORMAT </w:instrText>
      </w:r>
      <w:r>
        <w:fldChar w:fldCharType="separate"/>
      </w:r>
      <w:r w:rsidR="00E36916">
        <w:t>Figure 4.18</w:t>
      </w:r>
      <w:r>
        <w:fldChar w:fldCharType="end"/>
      </w:r>
      <w:r>
        <w:t>. The position of the plate structure with respect to the scaffold is also a concern, as the dried infiltrate does not appear to have penetrated the pores effectively (</w:t>
      </w:r>
      <w:r>
        <w:fldChar w:fldCharType="begin"/>
      </w:r>
      <w:r>
        <w:instrText xml:space="preserve"> REF _Ref38897818 \h  \* MERGEFORMAT </w:instrText>
      </w:r>
      <w:r>
        <w:fldChar w:fldCharType="separate"/>
      </w:r>
      <w:r w:rsidR="00E36916">
        <w:t>Figure 4.10</w:t>
      </w:r>
      <w:r>
        <w:fldChar w:fldCharType="end"/>
      </w:r>
      <w:r>
        <w:t xml:space="preserve">). This could lead to electrode deactivation during operation due to pore blocking via nickel particle sintering of the wet impregnated microstructure. </w:t>
      </w:r>
    </w:p>
    <w:p w14:paraId="04D61C03" w14:textId="4D354D0D" w:rsidR="00007F6C" w:rsidRPr="00106804" w:rsidRDefault="00007F6C" w:rsidP="00007F6C">
      <w:pPr>
        <w:jc w:val="both"/>
      </w:pPr>
      <w:r>
        <w:t>These was no evidence during this study for the formation of nickel oxynitrates during the drying steps of either dataset. The lack of hydroxide ion (OH</w:t>
      </w:r>
      <w:r>
        <w:rPr>
          <w:vertAlign w:val="superscript"/>
        </w:rPr>
        <w:t>-</w:t>
      </w:r>
      <w:r>
        <w:t>) groups in the FTIR data and reduced drying temperature mean that these findings</w:t>
      </w:r>
      <w:r w:rsidR="002C10F7">
        <w:t xml:space="preserve"> do not support the </w:t>
      </w:r>
      <w:r>
        <w:t>nickel nitrate</w:t>
      </w:r>
      <w:r w:rsidR="002C10F7">
        <w:t xml:space="preserve"> decomposition</w:t>
      </w:r>
      <w:r>
        <w:t xml:space="preserve"> model proposed by </w:t>
      </w:r>
      <w:proofErr w:type="spellStart"/>
      <w:r>
        <w:t>Brockner</w:t>
      </w:r>
      <w:proofErr w:type="spellEnd"/>
      <w:r>
        <w:t xml:space="preserve"> </w:t>
      </w:r>
      <w:r>
        <w:fldChar w:fldCharType="begin" w:fldLock="1"/>
      </w:r>
      <w:r w:rsidR="00D80A5D">
        <w:instrText>ADDIN CSL_CITATION {"citationItems":[{"id":"ITEM-1","itemData":{"DOI":"http://dx.doi.org/10.1016/j.tca.2007.01.031","ISSN":"0040-6031","abstract":"The thermal decomposition of Ni(NO3)2·6H2O (1), Ca(NO3)2·4H2O (2) and nitryl/nitrosyl nitrato nickelate(II), NO2/NO[Ni(NO3)3] (3), was investigated by thermogravimetric measurements with quasi-isothermal conditions and compared to Co(NO3)2·6H2O. The respective decomposition processes of 1 and 2 differ from each other showing that at one hand anhydrous Ca(NO3)2 was obtained whereas anhydrous nickel dinitrate has not be formed due to redox and condensation reactions. Instead basic nickel compounds have been formed. In reducing atmosphere nickel metal can be obtained. Anhydrous Ni(NO3)2 results by the thermal degradation of nitryl/nitrosyl nitrato nickelate. FT-Raman spectra have been of help in the judgement of the decomposition processes.","author":[{"dropping-particle":"","family":"Brockner","given":"Wolfgang","non-dropping-particle":"","parse-names":false,"suffix":""},{"dropping-particle":"","family":"Ehrhardt","given":"Claus","non-dropping-particle":"","parse-names":false,"suffix":""},{"dropping-particle":"","family":"Gjikaj","given":"Mimoza","non-dropping-particle":"","parse-names":false,"suffix":""}],"container-title":"Thermochimica Acta","id":"ITEM-1","issue":"1","issued":{"date-parts":[["2007","5","1"]]},"page":"64-68","title":"Thermal decomposition of nickel nitrate hexahydrate, Ni(NO3)2·6H2O, in comparison to Co(NO3)2·6H2O and Ca(NO3)2·4H2O","type":"article-journal","volume":"456"},"uris":["http://www.mendeley.com/documents/?uuid=acee0b76-733b-42d3-9e06-c60fab963b67"]}],"mendeley":{"formattedCitation":"[195]","plainTextFormattedCitation":"[195]","previouslyFormattedCitation":"[195]"},"properties":{"noteIndex":0},"schema":"https://github.com/citation-style-language/schema/raw/master/csl-citation.json"}</w:instrText>
      </w:r>
      <w:r>
        <w:fldChar w:fldCharType="separate"/>
      </w:r>
      <w:r w:rsidR="006C586A" w:rsidRPr="006C586A">
        <w:rPr>
          <w:noProof/>
        </w:rPr>
        <w:t>[195]</w:t>
      </w:r>
      <w:r>
        <w:fldChar w:fldCharType="end"/>
      </w:r>
      <w:r>
        <w:t xml:space="preserve">. The resolution of the measurements was 1 </w:t>
      </w:r>
      <w:proofErr w:type="gramStart"/>
      <w:r>
        <w:t>cm</w:t>
      </w:r>
      <w:r>
        <w:rPr>
          <w:vertAlign w:val="superscript"/>
        </w:rPr>
        <w:t>-1</w:t>
      </w:r>
      <w:proofErr w:type="gramEnd"/>
      <w:r>
        <w:t>. This means that the absorption peaks present in should match those of the literature.</w:t>
      </w:r>
    </w:p>
    <w:p w14:paraId="24FD5005" w14:textId="6882F2E4" w:rsidR="00007F6C" w:rsidRDefault="00007F6C" w:rsidP="00007F6C">
      <w:pPr>
        <w:jc w:val="both"/>
      </w:pPr>
      <w:r w:rsidRPr="00DC2B02">
        <w:t>The variation in the plate lengths dictate the dispersion and size of the nickel species present in the electrode scaffold during air drying. As discussed by Che the decomposition of the nickel nitrate</w:t>
      </w:r>
      <w:r>
        <w:t xml:space="preserve"> infiltrate and </w:t>
      </w:r>
      <w:proofErr w:type="spellStart"/>
      <w:r>
        <w:t>bunsenite</w:t>
      </w:r>
      <w:proofErr w:type="spellEnd"/>
      <w:r>
        <w:t xml:space="preserve"> precursor is key to the overall size of the reduced supported metal particles </w:t>
      </w:r>
      <w:r>
        <w:fldChar w:fldCharType="begin" w:fldLock="1"/>
      </w:r>
      <w:r w:rsidR="008B6E91">
        <w:instrText>ADDIN CSL_CITATION {"citationItems":[{"id":"ITEM-1","itemData":{"DOI":"10.1021/ja00112a014","ISSN":"15205126","abstract":"A new method of preparation of silica-supported nickel materials makes possible the control of the particle size of metallic nickel in the range 20—60 Å and in particular the obtention of decreasing particle size for increasing metal content. The preparation involves a two-step procedure: nickel in strong interaction with the support is deposited first, then nickel in weak interaction. After temperature-programmed reduction up to 700 °C, metal nickel particles are obtained whose size depends on the respective amounts of nickel deposited at each step of preparation. The average particle size is always smaller and the size distribution narrower than those of samples prepared by classical impregnation. This preparation method involves an easy to carry out procedure: (i) nickel in strong interaction is obtained by impregnation of nickel nitrate followed by water-washing or by ion-exchange followed by calcination; (ii) nickel in weak interaction is obtained by impregnation. It is shown that a mechanism of particle growth on the nickel nuclei is responsible for the changes in particle size. It takes place after impregnation during the drying step at 90 °C via condensation reactions between the two types of nickel. Nickel in strong interaction, identified as phyllosilicates or as grafted nickel depending on the preparation conditions, acts as nucleation sites for the particle growth arising from nickel in weak interaction. During drying in air at 90 °C, impregnated nickel nitrate transforms into a basic nitrate whose OH groups can react either with those in phyllosilicates or with H2O in the coordination sphere of grafted nickel. © 1995, American Chemical Society. All rights reserved.","author":[{"dropping-particle":"","family":"Che","given":"Michel","non-dropping-particle":"","parse-names":false,"suffix":""},{"dropping-particle":"","family":"Cheng","given":"Zheng Xing","non-dropping-particle":"","parse-names":false,"suffix":""},{"dropping-particle":"","family":"Louis","given":"Catherine","non-dropping-particle":"","parse-names":false,"suffix":""}],"container-title":"Journal of the American Chemical Society","id":"ITEM-1","issue":"7","issued":{"date-parts":[["1995"]]},"page":"2008-2018","title":"Nucleation and Particle Growth Processes Involved in the Preparation of Silica-Supported Nickel Materials by a Two-Step Procedure","type":"article-journal","volume":"117"},"uris":["http://www.mendeley.com/documents/?uuid=75082ae8-a72c-4dc1-a3d3-698d69928624"]}],"mendeley":{"formattedCitation":"[397]","plainTextFormattedCitation":"[397]","previouslyFormattedCitation":"[397]"},"properties":{"noteIndex":0},"schema":"https://github.com/citation-style-language/schema/raw/master/csl-citation.json"}</w:instrText>
      </w:r>
      <w:r>
        <w:fldChar w:fldCharType="separate"/>
      </w:r>
      <w:r w:rsidR="00237E21" w:rsidRPr="00237E21">
        <w:rPr>
          <w:noProof/>
        </w:rPr>
        <w:t>[397]</w:t>
      </w:r>
      <w:r>
        <w:fldChar w:fldCharType="end"/>
      </w:r>
      <w:r>
        <w:t xml:space="preserve">. </w:t>
      </w:r>
    </w:p>
    <w:p w14:paraId="24F39ABF" w14:textId="60AE7665" w:rsidR="00007F6C" w:rsidRDefault="00007F6C" w:rsidP="00007F6C">
      <w:pPr>
        <w:jc w:val="both"/>
      </w:pPr>
      <w:r w:rsidRPr="009279B9">
        <w:t>Monte-Carlo modelling work by Stannard</w:t>
      </w:r>
      <w:r w:rsidRPr="00BD7355">
        <w:t xml:space="preserve"> also produced the plate-like structure seen in </w:t>
      </w:r>
      <w:r w:rsidRPr="00BD7355">
        <w:fldChar w:fldCharType="begin"/>
      </w:r>
      <w:r w:rsidRPr="00BD7355">
        <w:instrText xml:space="preserve"> REF _Ref50369517 \h  \* MERGEFORMAT </w:instrText>
      </w:r>
      <w:r w:rsidRPr="00BD7355">
        <w:fldChar w:fldCharType="separate"/>
      </w:r>
      <w:r>
        <w:t>Figure 4.9</w:t>
      </w:r>
      <w:r w:rsidRPr="00BD7355">
        <w:fldChar w:fldCharType="end"/>
      </w:r>
      <w:r w:rsidRPr="00BD7355">
        <w:t xml:space="preserve"> </w:t>
      </w:r>
      <w:r>
        <w:fldChar w:fldCharType="begin" w:fldLock="1"/>
      </w:r>
      <w:r w:rsidR="00151775">
        <w:instrText>ADDIN CSL_CITATION {"citationItems":[{"id":"ITEM-1","itemData":{"DOI":"10.1021/jp803399d","ISSN":"19327447","abstract":"A pseudo-3D lattice gas-based Monte Carlo simulation is used to reproduce dual-scale nonequilibrium structures formed from drying colloidal nanoparticle solutions. Morphologies possessing multiple length scale features are recreated by coupling the chemical potential to the solvent density, modeling a film thickness-dependent disjoining pressure. By assigning a sigmoidal form to the chemical potential, a switch in the dewetting mechanism at a threshold solvent density is capable of producing nanoparticle patterning at two length scales. Dual-scale cellular networks, and nanoparticle ring and fingering structures coexisting with small scale patterning, can all be generated in this way with suitable simulation parameters. Extensive exploration of the model's parameter space maps the temperature-dependent spinodal line and demonstrates the influence of nanoparticle concentration on morphology. © 2008 American Chemical Society.","author":[{"dropping-particle":"","family":"Stannard","given":"Andrew","non-dropping-particle":"","parse-names":false,"suffix":""},{"dropping-particle":"","family":"Martin","given":"Christopher P.","non-dropping-particle":"","parse-names":false,"suffix":""},{"dropping-particle":"","family":"Pauliac-Vaujour","given":"Emmanuelle","non-dropping-particle":"","parse-names":false,"suffix":""},{"dropping-particle":"","family":"Moriarty","given":"Philip","non-dropping-particle":"","parse-names":false,"suffix":""},{"dropping-particle":"","family":"Thiele","given":"Uwe","non-dropping-particle":"","parse-names":false,"suffix":""}],"container-title":"Journal of Physical Chemistry C","id":"ITEM-1","issue":"39","issued":{"date-parts":[["2008"]]},"page":"15195-15203","title":"Dual-scale pattern formation in nanoparticle assemblies","type":"article-journal","volume":"112"},"uris":["http://www.mendeley.com/documents/?uuid=04cb6fc3-6039-4af3-b60a-16503ce8d058"]}],"mendeley":{"formattedCitation":"[413]","plainTextFormattedCitation":"[413]","previouslyFormattedCitation":"[413]"},"properties":{"noteIndex":0},"schema":"https://github.com/citation-style-language/schema/raw/master/csl-citation.json"}</w:instrText>
      </w:r>
      <w:r>
        <w:fldChar w:fldCharType="separate"/>
      </w:r>
      <w:r w:rsidR="008B6E91" w:rsidRPr="008B6E91">
        <w:rPr>
          <w:noProof/>
        </w:rPr>
        <w:t>[413]</w:t>
      </w:r>
      <w:r>
        <w:fldChar w:fldCharType="end"/>
      </w:r>
      <w:r>
        <w:t xml:space="preserve">. Discs formed when a high catalyst concentration existed with very little coverage under 5 %. However, that study focussed on a suspension and not a solution like this work, so the particles present are subject to different forces. </w:t>
      </w:r>
    </w:p>
    <w:p w14:paraId="30845D71" w14:textId="437AFFA7" w:rsidR="00007F6C" w:rsidRDefault="00007F6C" w:rsidP="00007F6C">
      <w:pPr>
        <w:jc w:val="both"/>
      </w:pPr>
      <w:r>
        <w:t xml:space="preserve">The morphology of the dried nickel nitrate display similar characteristics to nickel particles modelled by </w:t>
      </w:r>
      <w:r>
        <w:rPr>
          <w:i/>
          <w:iCs/>
        </w:rPr>
        <w:t>Liu</w:t>
      </w:r>
      <w:r>
        <w:t xml:space="preserve"> </w:t>
      </w:r>
      <w:r>
        <w:fldChar w:fldCharType="begin" w:fldLock="1"/>
      </w:r>
      <w:r w:rsidR="00151775">
        <w:instrText>ADDIN CSL_CITATION {"citationItems":[{"id":"ITEM-1","itemData":{"DOI":"10.1016/j.ces.2008.06.013","ISSN":"00092509","abstract":"Supported metal catalysts are used in many industrial processes. The performance of a catalytic process is intimately related to the metal profile in the support, which is determined by the conditions that are applied during impregnation and drying. In this work, theoretical models are established to predict impregnation and drying during preparation of supported catalysts. The sensitivity of the metal distribution during impregnation and drying with respect to the physical and processing parameters are examined. The connection between impregnation and drying is also taken into account. Regime maps are computed to investigate the variation of the final metal profiles as a function of the parameters, and it is found that uniform profiles can be obtained by increasing the impregnation time and the metal diffusion while egg-shell profiles can be obtained by increasing the drying temperature or decreasing the humidity of the drying air. For high-metal-concentration systems, metal crystallization has a significant effect on the generation of egg-shell profiles during drying. © 2008 Elsevier Ltd. All rights reserved.","author":[{"dropping-particle":"","family":"Liu","given":"Xue","non-dropping-particle":"","parse-names":false,"suffix":""},{"dropping-particle":"","family":"Khinast","given":"Johannes G.","non-dropping-particle":"","parse-names":false,"suffix":""},{"dropping-particle":"","family":"Glasser","given":"Benjamin J.","non-dropping-particle":"","parse-names":false,"suffix":""}],"container-title":"Chemical Engineering Science","id":"ITEM-1","issue":"18","issued":{"date-parts":[["2008"]]},"page":"4517-4530","title":"A parametric investigation of impregnation and drying of supported catalysts","type":"article-journal","volume":"63"},"uris":["http://www.mendeley.com/documents/?uuid=1dcf5890-39aa-40b3-90a4-c53b16618a15"]}],"mendeley":{"formattedCitation":"[414]","plainTextFormattedCitation":"[414]","previouslyFormattedCitation":"[414]"},"properties":{"noteIndex":0},"schema":"https://github.com/citation-style-language/schema/raw/master/csl-citation.json"}</w:instrText>
      </w:r>
      <w:r>
        <w:fldChar w:fldCharType="separate"/>
      </w:r>
      <w:r w:rsidR="008B6E91" w:rsidRPr="008B6E91">
        <w:rPr>
          <w:noProof/>
        </w:rPr>
        <w:t>[414]</w:t>
      </w:r>
      <w:r>
        <w:fldChar w:fldCharType="end"/>
      </w:r>
      <w:r>
        <w:t xml:space="preserve">.  The dried discs present in the air-dried samples are identical to the pronounced eggshell (PES) structures discussed in this study. The nitrate material is subject to convective forces, moving towards the edge of the support, stacking, and agglomerating into plates. This stacking behaviour is evident in </w:t>
      </w:r>
      <w:r>
        <w:fldChar w:fldCharType="begin"/>
      </w:r>
      <w:r>
        <w:instrText xml:space="preserve"> REF _Ref50369517 \h  \* MERGEFORMAT </w:instrText>
      </w:r>
      <w:r>
        <w:fldChar w:fldCharType="separate"/>
      </w:r>
      <w:r w:rsidR="00E36916">
        <w:t>Figure 4.9</w:t>
      </w:r>
      <w:r>
        <w:fldChar w:fldCharType="end"/>
      </w:r>
      <w:r>
        <w:t xml:space="preserve">. These convection conditions and clumping are fulfilled in the 5 M infiltration solution for the wet impregnated samples with the percentage dispersion of the air-dried samples </w:t>
      </w:r>
      <w:r>
        <w:lastRenderedPageBreak/>
        <w:t xml:space="preserve">falling under the 5 % threshold. When decomposed this plate structure forms nickel oxide particles which agglomerate via nucleation and growth forming a heterogeneously dispersed system with a large particle size range. </w:t>
      </w:r>
    </w:p>
    <w:p w14:paraId="61017989" w14:textId="2BBACF94" w:rsidR="00007F6C" w:rsidRPr="00C61C83" w:rsidRDefault="00007F6C" w:rsidP="00007F6C">
      <w:pPr>
        <w:jc w:val="both"/>
      </w:pPr>
      <w:r>
        <w:t xml:space="preserve">The particles present in the nitrogen dried nickel nitrate samples are synonymous with the egg-shell (ES) morphology discussed by </w:t>
      </w:r>
      <w:r>
        <w:rPr>
          <w:i/>
          <w:iCs/>
        </w:rPr>
        <w:t xml:space="preserve">Liu </w:t>
      </w:r>
      <w:r>
        <w:fldChar w:fldCharType="begin" w:fldLock="1"/>
      </w:r>
      <w:r w:rsidR="00151775">
        <w:instrText>ADDIN CSL_CITATION {"citationItems":[{"id":"ITEM-1","itemData":{"DOI":"10.1016/j.ces.2008.06.013","ISSN":"00092509","abstract":"Supported metal catalysts are used in many industrial processes. The performance of a catalytic process is intimately related to the metal profile in the support, which is determined by the conditions that are applied during impregnation and drying. In this work, theoretical models are established to predict impregnation and drying during preparation of supported catalysts. The sensitivity of the metal distribution during impregnation and drying with respect to the physical and processing parameters are examined. The connection between impregnation and drying is also taken into account. Regime maps are computed to investigate the variation of the final metal profiles as a function of the parameters, and it is found that uniform profiles can be obtained by increasing the impregnation time and the metal diffusion while egg-shell profiles can be obtained by increasing the drying temperature or decreasing the humidity of the drying air. For high-metal-concentration systems, metal crystallization has a significant effect on the generation of egg-shell profiles during drying. © 2008 Elsevier Ltd. All rights reserved.","author":[{"dropping-particle":"","family":"Liu","given":"Xue","non-dropping-particle":"","parse-names":false,"suffix":""},{"dropping-particle":"","family":"Khinast","given":"Johannes G.","non-dropping-particle":"","parse-names":false,"suffix":""},{"dropping-particle":"","family":"Glasser","given":"Benjamin J.","non-dropping-particle":"","parse-names":false,"suffix":""}],"container-title":"Chemical Engineering Science","id":"ITEM-1","issue":"18","issued":{"date-parts":[["2008"]]},"page":"4517-4530","title":"A parametric investigation of impregnation and drying of supported catalysts","type":"article-journal","volume":"63"},"uris":["http://www.mendeley.com/documents/?uuid=1dcf5890-39aa-40b3-90a4-c53b16618a15"]}],"mendeley":{"formattedCitation":"[414]","plainTextFormattedCitation":"[414]","previouslyFormattedCitation":"[414]"},"properties":{"noteIndex":0},"schema":"https://github.com/citation-style-language/schema/raw/master/csl-citation.json"}</w:instrText>
      </w:r>
      <w:r>
        <w:fldChar w:fldCharType="separate"/>
      </w:r>
      <w:r w:rsidR="008B6E91" w:rsidRPr="008B6E91">
        <w:rPr>
          <w:noProof/>
        </w:rPr>
        <w:t>[414]</w:t>
      </w:r>
      <w:r>
        <w:fldChar w:fldCharType="end"/>
      </w:r>
      <w:r>
        <w:t xml:space="preserve">.  The particles in </w:t>
      </w:r>
      <w:r>
        <w:fldChar w:fldCharType="begin"/>
      </w:r>
      <w:r>
        <w:instrText xml:space="preserve"> REF _Ref50377782 \h  \* MERGEFORMAT </w:instrText>
      </w:r>
      <w:r>
        <w:fldChar w:fldCharType="separate"/>
      </w:r>
      <w:r>
        <w:t>Figure 4.11</w:t>
      </w:r>
      <w:r>
        <w:fldChar w:fldCharType="end"/>
      </w:r>
      <w:r>
        <w:t xml:space="preserve"> are subject to back-diffusion and thus areas of high concentration are created in the centre of the dried nitrate disc (</w:t>
      </w:r>
      <w:r>
        <w:fldChar w:fldCharType="begin"/>
      </w:r>
      <w:r>
        <w:instrText xml:space="preserve"> REF _Ref51424115 \h  \* MERGEFORMAT </w:instrText>
      </w:r>
      <w:r>
        <w:fldChar w:fldCharType="separate"/>
      </w:r>
      <w:r w:rsidR="00E36916">
        <w:t>Figure 4.40</w:t>
      </w:r>
      <w:r>
        <w:fldChar w:fldCharType="end"/>
      </w:r>
      <w:r>
        <w:t xml:space="preserve">). This leads to a homogeneously dispersed network of </w:t>
      </w:r>
      <w:proofErr w:type="spellStart"/>
      <w:r>
        <w:t>bunsenite</w:t>
      </w:r>
      <w:proofErr w:type="spellEnd"/>
      <w:r>
        <w:t xml:space="preserve"> particles under the dried nitrate film.</w:t>
      </w:r>
    </w:p>
    <w:p w14:paraId="10A07389" w14:textId="77777777" w:rsidR="00007F6C" w:rsidRDefault="00007F6C" w:rsidP="00007F6C">
      <w:pPr>
        <w:keepNext/>
        <w:jc w:val="center"/>
      </w:pPr>
      <w:r>
        <w:rPr>
          <w:noProof/>
        </w:rPr>
        <w:drawing>
          <wp:inline distT="0" distB="0" distL="0" distR="0" wp14:anchorId="652EABE0" wp14:editId="4A84ABDB">
            <wp:extent cx="3592088" cy="1408156"/>
            <wp:effectExtent l="0" t="0" r="8890" b="1905"/>
            <wp:docPr id="22" name="Picture 22"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food&#10;&#10;Description automatically generated"/>
                    <pic:cNvPicPr/>
                  </pic:nvPicPr>
                  <pic:blipFill rotWithShape="1">
                    <a:blip r:embed="rId125">
                      <a:extLst>
                        <a:ext uri="{28A0092B-C50C-407E-A947-70E740481C1C}">
                          <a14:useLocalDpi xmlns:a14="http://schemas.microsoft.com/office/drawing/2010/main" val="0"/>
                        </a:ext>
                      </a:extLst>
                    </a:blip>
                    <a:srcRect l="3440" t="6591" r="3473" b="10778"/>
                    <a:stretch/>
                  </pic:blipFill>
                  <pic:spPr bwMode="auto">
                    <a:xfrm>
                      <a:off x="0" y="0"/>
                      <a:ext cx="3622679" cy="1420148"/>
                    </a:xfrm>
                    <a:prstGeom prst="rect">
                      <a:avLst/>
                    </a:prstGeom>
                    <a:ln>
                      <a:noFill/>
                    </a:ln>
                    <a:extLst>
                      <a:ext uri="{53640926-AAD7-44D8-BBD7-CCE9431645EC}">
                        <a14:shadowObscured xmlns:a14="http://schemas.microsoft.com/office/drawing/2010/main"/>
                      </a:ext>
                    </a:extLst>
                  </pic:spPr>
                </pic:pic>
              </a:graphicData>
            </a:graphic>
          </wp:inline>
        </w:drawing>
      </w:r>
    </w:p>
    <w:p w14:paraId="767CFE6C" w14:textId="57134849" w:rsidR="00007F6C" w:rsidRDefault="00007F6C" w:rsidP="00007F6C">
      <w:pPr>
        <w:pStyle w:val="Caption"/>
      </w:pPr>
      <w:bookmarkStart w:id="421" w:name="_Ref51424115"/>
      <w:bookmarkStart w:id="422" w:name="_Toc69115014"/>
      <w:r>
        <w:t>Figure 4.</w:t>
      </w:r>
      <w:r w:rsidR="00B51F53">
        <w:fldChar w:fldCharType="begin"/>
      </w:r>
      <w:r w:rsidR="00B51F53">
        <w:instrText xml:space="preserve"> SEQ Figure \* ARABIC </w:instrText>
      </w:r>
      <w:r w:rsidR="00B51F53">
        <w:fldChar w:fldCharType="separate"/>
      </w:r>
      <w:r w:rsidR="00E36916">
        <w:rPr>
          <w:noProof/>
        </w:rPr>
        <w:t>40</w:t>
      </w:r>
      <w:r w:rsidR="00B51F53">
        <w:rPr>
          <w:noProof/>
        </w:rPr>
        <w:fldChar w:fldCharType="end"/>
      </w:r>
      <w:bookmarkEnd w:id="421"/>
      <w:r>
        <w:t xml:space="preserve">: Diagram of the pronounced eggshell and eggshell morphologies displayed by the nickel nitrate plates dried under flowing air or nitrogen in this </w:t>
      </w:r>
      <w:proofErr w:type="gramStart"/>
      <w:r>
        <w:t>work</w:t>
      </w:r>
      <w:bookmarkEnd w:id="422"/>
      <w:proofErr w:type="gramEnd"/>
    </w:p>
    <w:p w14:paraId="34396328" w14:textId="77777777" w:rsidR="00007F6C" w:rsidRDefault="00007F6C" w:rsidP="00007F6C">
      <w:pPr>
        <w:jc w:val="both"/>
      </w:pPr>
      <w:r w:rsidRPr="00054747">
        <w:t>The chemical analyses focussed around the drying and calcination step did not find any evidence of the formation of nickel oxynitrates during these events. A high degree of control was taken during the sample processing to eliminate the influence of differing calcination times and temperatures. To minimise these issues the sample batches that shared calcination atmospheres were calcined together. The temperature of the calcination step was monitored using a K type thermocouple and all the reactions were timed. These results indicate that the drying atmosphere does not impact the calcination mechanism and that this decomposition can be achieved in 1.5</w:t>
      </w:r>
      <w:r>
        <w:t xml:space="preserve"> </w:t>
      </w:r>
      <w:r w:rsidRPr="00054747">
        <w:t>h at 400</w:t>
      </w:r>
      <w:r w:rsidRPr="00054747">
        <w:rPr>
          <w:rFonts w:cstheme="minorHAnsi"/>
        </w:rPr>
        <w:t>⁰</w:t>
      </w:r>
      <w:r w:rsidRPr="00054747">
        <w:t xml:space="preserve">C.  </w:t>
      </w:r>
    </w:p>
    <w:p w14:paraId="189DBAFE" w14:textId="28E96D0E" w:rsidR="00007F6C" w:rsidRDefault="00007F6C" w:rsidP="00007F6C">
      <w:pPr>
        <w:spacing w:before="240"/>
        <w:jc w:val="both"/>
      </w:pPr>
      <w:r>
        <w:t>Additionally, pulsed gas chemisorption using both H</w:t>
      </w:r>
      <w:r>
        <w:rPr>
          <w:vertAlign w:val="subscript"/>
        </w:rPr>
        <w:t>2</w:t>
      </w:r>
      <w:r>
        <w:t xml:space="preserve"> and CO probe molecules was also performed on the air and nitrogen dried samples batches. However, there was no quantifiable response was detected from the nickel present on the samples using either the Micromeritics 2720 Chemisorb or the Hidden </w:t>
      </w:r>
      <w:proofErr w:type="spellStart"/>
      <w:r>
        <w:t>Catlab</w:t>
      </w:r>
      <w:proofErr w:type="spellEnd"/>
      <w:r>
        <w:t xml:space="preserve"> Microreactor units </w:t>
      </w:r>
      <w:r>
        <w:rPr>
          <w:bCs/>
        </w:rPr>
        <w:fldChar w:fldCharType="begin" w:fldLock="1"/>
      </w:r>
      <w:r w:rsidR="00151775">
        <w:rPr>
          <w:bCs/>
        </w:rPr>
        <w:instrText>ADDIN CSL_CITATION {"citationItems":[{"id":"ITEM-1","itemData":{"DOI":"10.1039/c3cy00349c","ISSN":"20444753","abstract":"Enhancing the low temperature activity of diesel oxidation catalysts is important for cold-start conditions and the possible importance of nitrate species in oxidation reactions has been proposed although definitive evidence has not been reported. To investigate the possible role of surface nitrates, their adsorption and reactivity on a Pt-based diesel oxidation catalyst have been investigated using the Short Time on Stream (STOS) transient kinetic technique. The results provide for the first time definitive evidence for the oxidation of propene by some of these nitrate-type species. © The Royal Society of Chemistry 2013.","author":[{"dropping-particle":"","family":"Chansai","given":"Sarayute","non-dropping-particle":"","parse-names":false,"suffix":""},{"dropping-particle":"","family":"Burch","given":"Robbie","non-dropping-particle":"","parse-names":false,"suffix":""},{"dropping-particle":"","family":"Hardacre","given":"Christopher","non-dropping-particle":"","parse-names":false,"suffix":""},{"dropping-particle":"","family":"Oh","given":"Harry","non-dropping-particle":"","parse-names":false,"suffix":""},{"dropping-particle":"","family":"Epling","given":"William S.","non-dropping-particle":"","parse-names":false,"suffix":""}],"container-title":"Catalysis Science and Technology","id":"ITEM-1","issue":"9","issued":{"date-parts":[["2013"]]},"page":"2349-2356","title":"An investigation of the role of surface nitrate species in the oxidation of propene on a Pt-based diesel oxidation catalyst","type":"article-journal","volume":"3"},"uris":["http://www.mendeley.com/documents/?uuid=504b484c-f472-4f08-a20e-a657aad910d9"]}],"mendeley":{"formattedCitation":"[415]","plainTextFormattedCitation":"[415]","previouslyFormattedCitation":"[415]"},"properties":{"noteIndex":0},"schema":"https://github.com/citation-style-language/schema/raw/master/csl-citation.json"}</w:instrText>
      </w:r>
      <w:r>
        <w:rPr>
          <w:bCs/>
        </w:rPr>
        <w:fldChar w:fldCharType="separate"/>
      </w:r>
      <w:r w:rsidR="008B6E91" w:rsidRPr="008B6E91">
        <w:rPr>
          <w:bCs/>
          <w:noProof/>
        </w:rPr>
        <w:t>[415]</w:t>
      </w:r>
      <w:r>
        <w:rPr>
          <w:bCs/>
        </w:rPr>
        <w:fldChar w:fldCharType="end"/>
      </w:r>
      <w:r>
        <w:rPr>
          <w:bCs/>
        </w:rPr>
        <w:t>.</w:t>
      </w:r>
      <w:r>
        <w:t xml:space="preserve"> This was due to the contamination of the catalyst with atmospheric air and the chemisorption routine being performed at too low a temperature for detectable desorption response (T&lt; 180 </w:t>
      </w:r>
      <w:r>
        <w:rPr>
          <w:rFonts w:cstheme="minorHAnsi"/>
        </w:rPr>
        <w:t>⁰</w:t>
      </w:r>
      <w:r>
        <w:t xml:space="preserve">C) from the TCD detectors in both instruments </w:t>
      </w:r>
      <w:r>
        <w:fldChar w:fldCharType="begin" w:fldLock="1"/>
      </w:r>
      <w:r w:rsidR="00151775">
        <w:instrText>ADDIN CSL_CITATION {"citationItems":[{"id":"ITEM-1","itemData":{"abstract":"The chemical adsorption isotherm reveals information about the active surface of a material and has been employed for many years as a standard analytical tool for the evaluation of catalysts. Temperature-programmed reaction techniques have emerged from the 1950’s as an indispensable companion to chemisorption isotherm analyses in many areas of industry and research. This paper provides an introduction to these analytical techniques.","author":[{"dropping-particle":"","family":"Webb","given":"P A","non-dropping-particle":"","parse-names":false,"suffix":""}],"editor":[{"dropping-particle":"","family":"Corp","given":"Micromeritics Instrument","non-dropping-particle":"","parse-names":false,"suffix":""}],"id":"ITEM-1","issued":{"date-parts":[["2003"]]},"publisher-place":"MIC Technical Publications","title":"Introduction to Chemical Adsorption Analytical Techniques and their Applications to Catalysis","type":"report"},"uris":["http://www.mendeley.com/documents/?uuid=4aafdfa1-c478-41cc-9c37-95cdfeef695c"]},{"id":"ITEM-2","itemData":{"DOI":"10.1021/la962103u","ISSN":"07437463","abstract":"Universal mathematical relations between the mean relative size of metallic crystallites (drel(VS)) and their dispersion (FE) in supported metal catalysts have been developed. The relations are: drel(VS) = 5.01/FE for FE &lt; 0.2, and drel(VS) = 3.32/FE1.23 for 0.2 ≤ FE ≤ 0.92, where drel(VS) = dVS/dat, (dVS) is the volume-surface mean diameter of an assembly of particles of different sizes, and dat is the atomic diameter of a given metal. It is shown that for FE &gt; 0.2 the commonly used definition of dVS should be modified. The developed relations apply well to various thermodynamically probable crystallite shapes including fee cubooctahedra of varying geometry, icosahedra, surface-reconstructed cubooctahedra, bcc rhombic dodecahedra, and hep truncated bipyramids. The new relations are more precise than the commonly used equation dVS = α/FE, where α is a constant specific to a given metal.","author":[{"dropping-particle":"","family":"Borodziński","given":"Andrzej","non-dropping-particle":"","parse-names":false,"suffix":""},{"dropping-particle":"","family":"Bonarowska","given":"Magdalena","non-dropping-particle":"","parse-names":false,"suffix":""}],"container-title":"Langmuir","id":"ITEM-2","issue":"21","issued":{"date-parts":[["1997"]]},"page":"5613-5620","title":"Relation between crystallite size and dispersion on supported metal catalysts","type":"article-journal","volume":"13"},"uris":["http://www.mendeley.com/documents/?uuid=7557bdae-45b0-4d74-8cc9-c409ff3e96af"]},{"id":"ITEM-3","itemData":{"DOI":"10.1016/j.jhazmat.2011.08.025","ISSN":"03043894","PMID":"21872988","abstract":"Catalytic hydrodechlorination (HDC) is an effective means of detoxifying chlorinated waste. Involvement of spillover hydrogen is examined in gas phase dechlorination of chlorobenzene (CB) and 1,3-dichlorobenzene (1,3-DCB) over Pd and Ni. The catalytic action of single component Pd and Ni, Pd/Al 2O 3, Ni/Al 2O 3 and physical mixtures with Al 2O 3 has been considered. Catalyst activation is characterized in terms of temperature programmed reduction, the supported nano-scale metal phase by transmission electron microscopy and hydrogen/surface interactions by chemisorption/temperature programmed desorption. Pd/Al 2O 3 generated significantly greater amounts of spillover hydrogen (by a factor of over 40) compared with Ni/Al 2O 3. Hydrogen spillover on Pd/Al 2O 3 far exceeded the chemisorbed component, whereas chemisorbed and spillover content was equivalent for Ni/Al 2O 3. Inclusion of Al 2O 3 with Ni and Ni/Al 2O 3 increased spillover with an associated increase in specific HDC rate (up to a factor of 10) and enhanced selectivity to benzene from 1,3-DCB. HDC rate delivered by Pd and Pd/Al 2O 3 was largely unaffected by the addition of Al 2O 3. This can be attributed to the higher intrinsic HDC performance of Pd that results in appreciable HDC activity under conditions where Ni/Al 2O 3 was inactive. Spillover was partially recovered (post TPD) for the Ni samples but the loss was irreversible in the case of Pd. © 2011 Elsevier B.V..","author":[{"dropping-particle":"","family":"Amorim","given":"Claudia","non-dropping-particle":"","parse-names":false,"suffix":""},{"dropping-particle":"","family":"Keane","given":"Mark A.","non-dropping-particle":"","parse-names":false,"suffix":""}],"container-title":"Journal of Hazardous Materials","id":"ITEM-3","issued":{"date-parts":[["2012"]]},"page":"208-217","title":"Catalytic hydrodechlorination of chloroaromatic gas streams promoted by Pd and Ni: The role of hydrogen spillover","type":"article-journal","volume":"211-212"},"uris":["http://www.mendeley.com/documents/?uuid=331255fa-fddc-4d70-b8fa-e3e5bc277eec"]}],"mendeley":{"formattedCitation":"[221], [416], [417]","plainTextFormattedCitation":"[221], [416], [417]","previouslyFormattedCitation":"[221], [416], [417]"},"properties":{"noteIndex":0},"schema":"https://github.com/citation-style-language/schema/raw/master/csl-citation.json"}</w:instrText>
      </w:r>
      <w:r>
        <w:fldChar w:fldCharType="separate"/>
      </w:r>
      <w:r w:rsidR="008B6E91" w:rsidRPr="008B6E91">
        <w:rPr>
          <w:noProof/>
        </w:rPr>
        <w:t>[221], [416], [417]</w:t>
      </w:r>
      <w:r>
        <w:fldChar w:fldCharType="end"/>
      </w:r>
      <w:r>
        <w:t xml:space="preserve">. </w:t>
      </w:r>
      <w:r w:rsidR="00590281">
        <w:t xml:space="preserve">Further chemisorption work and </w:t>
      </w:r>
      <w:proofErr w:type="spellStart"/>
      <w:r w:rsidR="00590281">
        <w:t>Brunauer</w:t>
      </w:r>
      <w:proofErr w:type="spellEnd"/>
      <w:r w:rsidR="00590281">
        <w:t xml:space="preserve"> Emmett Teller (BET) analysis are required to characterise the surface area changes between drying atmospheres.</w:t>
      </w:r>
    </w:p>
    <w:p w14:paraId="761B645B" w14:textId="5E866312" w:rsidR="00007F6C" w:rsidRDefault="00007F6C" w:rsidP="00007F6C">
      <w:pPr>
        <w:jc w:val="both"/>
      </w:pPr>
      <w:r w:rsidRPr="000E3901">
        <w:t>The Debye-Scherrer calculation cannot be solely relied upon to generate accurate particle and crystallite lengths</w:t>
      </w:r>
      <w:r>
        <w:t xml:space="preserve"> </w:t>
      </w:r>
      <w:r w:rsidRPr="000E3901">
        <w:fldChar w:fldCharType="begin" w:fldLock="1"/>
      </w:r>
      <w:r w:rsidR="00151775">
        <w:instrText>ADDIN CSL_CITATION {"citationItems":[{"id":"ITEM-1","itemData":{"DOI":"10.1038/nnano.2011.145","ISSN":"1748-3387","author":[{"dropping-particle":"","family":"Holzwarth","given":"Uwe","non-dropping-particle":"","parse-names":false,"suffix":""},{"dropping-particle":"","family":"Gibson","given":"Neil","non-dropping-particle":"","parse-names":false,"suffix":""}],"container-title":"Nature Nanotechnology","id":"ITEM-1","issue":"9","issued":{"date-parts":[["2011","9","28"]]},"page":"534-534","title":"The Scherrer equation versus the 'Debye-Scherrer equation'","type":"article-journal","volume":"6"},"uris":["http://www.mendeley.com/documents/?uuid=0d665b2b-4b5c-3bb9-8e44-b6462dc88b00"]},{"id":"ITEM-2","itemData":{"DOI":"10.17586/2220-8054-2018-9-3-364-369","abstract":"The lower limit of the applicability of the Scherrer formula has been established by calculating the diffraction patterns from model nanoparticles by the Debye formula. Particle size was calculated using the Scherrer formula for different hkl-peaks. The obtained data of particle sizes were compared with \"real\" sizes of model particles in the same hkl-directions. The form-factor K hkl was analyzed as main correction of Scherrer formula. It was shown that the Scherrer formula error increases nonlinearly at particle sizes less than 4 nm. For any hkl direction, the absolute error of average particle size determination using formula does not exceed 0.3 nm. Analysis shows that average particle size can be determined by Scherrer formula from single diffraction peak of experimental pattern for center-symmetrical particles.","author":[{"dropping-particle":"","family":"Vorokh","given":"A S","non-dropping-particle":"","parse-names":false,"suffix":""}],"container-title":"NANOSYSTEMS: PHYSICS, CHEMISTRY, MATHEMATICS","id":"ITEM-2","issue":"3","issued":{"date-parts":[["2018"]]},"page":"364-369","title":"Scherrer formula: estimation of error in determining small nanoparticle size","type":"article-journal","volume":"9"},"uris":["http://www.mendeley.com/documents/?uuid=d3e0dab3-9b8b-3790-9284-63a6c39c9251"]},{"id":"ITEM-3","itemData":{"author":[{"dropping-particle":"","family":"Speakman, Scott","given":"A","non-dropping-particle":"","parse-names":false,"suffix":""}],"id":"ITEM-3","issued":{"date-parts":[["2007"]]},"number-of-pages":"105","publisher-place":"Massachusetts","title":"Estimating Crystallite Size Using XRD","type":"report"},"uris":["http://www.mendeley.com/documents/?uuid=c1d4ea7f-d976-417b-b8c7-0752c88810ec"]},{"id":"ITEM-4","itemData":{"DOI":"10.1080/08893110500078324","ISSN":"0889-311X","author":[{"dropping-particle":"","family":"Hargreaves *","given":"J. S. J.","non-dropping-particle":"","parse-names":false,"suffix":""}],"container-title":"Crystallography Reviews","id":"ITEM-4","issue":"1","issued":{"date-parts":[["2005","1"]]},"page":"21-34","title":"Powder X-ray diffraction and heterogeneous catalysis","type":"article-journal","volume":"11"},"uris":["http://www.mendeley.com/documents/?uuid=41963348-789d-38a2-a192-3f3fc1e9f2c8"]}],"mendeley":{"formattedCitation":"[295], [327], [329], [418]","plainTextFormattedCitation":"[295], [327], [329], [418]","previouslyFormattedCitation":"[295], [327], [329], [418]"},"properties":{"noteIndex":0},"schema":"https://github.com/citation-style-language/schema/raw/master/csl-citation.json"}</w:instrText>
      </w:r>
      <w:r w:rsidRPr="000E3901">
        <w:fldChar w:fldCharType="separate"/>
      </w:r>
      <w:r w:rsidR="008B6E91" w:rsidRPr="008B6E91">
        <w:rPr>
          <w:noProof/>
        </w:rPr>
        <w:t>[295], [327], [329], [418]</w:t>
      </w:r>
      <w:r w:rsidRPr="000E3901">
        <w:fldChar w:fldCharType="end"/>
      </w:r>
      <w:r w:rsidRPr="000E3901">
        <w:t xml:space="preserve">. </w:t>
      </w:r>
      <w:r>
        <w:t xml:space="preserve">The infiltrate phase will possess micro-strains which will impact the full width half maximum associated with the nickel phases present in the sample </w:t>
      </w:r>
      <w:r>
        <w:fldChar w:fldCharType="begin" w:fldLock="1"/>
      </w:r>
      <w:r w:rsidR="00151775">
        <w:instrText>ADDIN CSL_CITATION {"citationItems":[{"id":"ITEM-1","itemData":{"DOI":"10.1080/2055074X.2016.1252548","ISSN":"2055-074X","abstract":"AbstractThis short overview summarises some of the basic considerations which should be undertaken when the Scherrer equation is applied to reflection widths in X-ray diffraction patterns of heterogeneous catalysts in order to extract meaningful information. Frequently, little account has been taken of the apparent complications arising from the presence of microstructural strain and disorder such as that which can be introduced upon doping or of anisotropic effects and such considerations are highlighted.","author":[{"dropping-particle":"","family":"Hargreaves","given":"J. S. J.","non-dropping-particle":"","parse-names":false,"suffix":""}],"container-title":"Catalysis, Structure &amp; Reactivity","id":"ITEM-1","issue":"1-4","issued":{"date-parts":[["2016","10","25"]]},"page":"33-37","publisher":"Taylor &amp; Francis","title":"Some considerations related to the use of the Scherrer equation in powder X-ray diffraction as applied to heterogeneous catalysts","type":"article-journal","volume":"2"},"uris":["http://www.mendeley.com/documents/?uuid=386e73fb-94c0-330b-b839-564efff3f733"]}],"mendeley":{"formattedCitation":"[419]","plainTextFormattedCitation":"[419]","previouslyFormattedCitation":"[419]"},"properties":{"noteIndex":0},"schema":"https://github.com/citation-style-language/schema/raw/master/csl-citation.json"}</w:instrText>
      </w:r>
      <w:r>
        <w:fldChar w:fldCharType="separate"/>
      </w:r>
      <w:r w:rsidR="008B6E91" w:rsidRPr="008B6E91">
        <w:rPr>
          <w:noProof/>
        </w:rPr>
        <w:t>[419]</w:t>
      </w:r>
      <w:r>
        <w:fldChar w:fldCharType="end"/>
      </w:r>
      <w:r>
        <w:t xml:space="preserve">. These strains result from dislocation, vacancies and interstitial particles present in the infiltrated nickel particles and must be accounted for during any crystallite-size analysis </w:t>
      </w:r>
      <w:r>
        <w:fldChar w:fldCharType="begin" w:fldLock="1"/>
      </w:r>
      <w:r w:rsidR="00151775">
        <w:instrText>ADDIN CSL_CITATION {"citationItems":[{"id":"ITEM-1","itemData":{"author":[{"dropping-particle":"","family":"Speakman, Scott","given":"A","non-dropping-particle":"","parse-names":false,"suffix":""}],"id":"ITEM-1","issued":{"date-parts":[["2007"]]},"number-of-pages":"105","publisher-place":"Massachusetts","title":"Estimating Crystallite Size Using XRD","type":"report"},"uris":["http://www.mendeley.com/documents/?uuid=c1d4ea7f-d976-417b-b8c7-0752c88810ec"]},{"id":"ITEM-2","itemData":{"DOI":"10.1017/S0305004100021988","ISSN":"0305-0041","author":[{"dropping-particle":"","family":"Stokes","given":"A. R.","non-dropping-particle":"","parse-names":false,"suffix":""},{"dropping-particle":"","family":"Wilson","given":"A. J. C.","non-dropping-particle":"","parse-names":false,"suffix":""},{"dropping-particle":"","family":"Bragg","given":"W. L.","non-dropping-particle":"","parse-names":false,"suffix":""}],"container-title":"Mathematical Proceedings of the Cambridge Philosophical Society","id":"ITEM-2","issue":"03","issued":{"date-parts":[["1942","7","24"]]},"page":"313","title":"A method of calculating the integral breadths of Debye-Scherrer lines","type":"article-journal","volume":"38"},"uris":["http://www.mendeley.com/documents/?uuid=1063872a-4031-38db-9402-b8a52daa2289"]},{"id":"ITEM-3","itemData":{"DOI":"10.1038/nnano.2011.145","ISSN":"1748-3387","author":[{"dropping-particle":"","family":"Holzwarth","given":"Uwe","non-dropping-particle":"","parse-names":false,"suffix":""},{"dropping-particle":"","family":"Gibson","given":"Neil","non-dropping-particle":"","parse-names":false,"suffix":""}],"container-title":"Nature Nanotechnology","id":"ITEM-3","issue":"9","issued":{"date-parts":[["2011","9","28"]]},"page":"534-534","title":"The Scherrer equation versus the 'Debye-Scherrer equation'","type":"article-journal","volume":"6"},"uris":["http://www.mendeley.com/documents/?uuid=0d665b2b-4b5c-3bb9-8e44-b6462dc88b00"]},{"id":"ITEM-4","itemData":{"author":[{"dropping-particle":"","family":"Girgsdies","given":"Frank","non-dropping-particle":"","parse-names":false,"suffix":""}],"id":"ITEM-4","issued":{"date-parts":[["0"]]},"number-of-pages":"53","publisher-place":"Berlin","title":"Peak Profile Fitting in XRD","type":"report"},"uris":["http://www.mendeley.com/documents/?uuid=ee55dce5-7ea4-4498-ba27-051c30c1e83b"]}],"mendeley":{"formattedCitation":"[295], [327], [328], [420]","plainTextFormattedCitation":"[295], [327], [328], [420]","previouslyFormattedCitation":"[295], [327], [328], [420]"},"properties":{"noteIndex":0},"schema":"https://github.com/citation-style-language/schema/raw/master/csl-citation.json"}</w:instrText>
      </w:r>
      <w:r>
        <w:fldChar w:fldCharType="separate"/>
      </w:r>
      <w:r w:rsidR="008B6E91" w:rsidRPr="008B6E91">
        <w:rPr>
          <w:noProof/>
        </w:rPr>
        <w:t>[295], [327], [328], [420]</w:t>
      </w:r>
      <w:r>
        <w:fldChar w:fldCharType="end"/>
      </w:r>
      <w:r>
        <w:t xml:space="preserve">. </w:t>
      </w:r>
      <w:r w:rsidR="00413540">
        <w:t>Otherwise,</w:t>
      </w:r>
      <w:r>
        <w:t xml:space="preserve"> the crystallite length calculated via Debye-Scherrer could be compromised by the contribution to the FWHM of by the strain.</w:t>
      </w:r>
    </w:p>
    <w:p w14:paraId="13E5FF35" w14:textId="061AAD07" w:rsidR="00007F6C" w:rsidRDefault="00007F6C" w:rsidP="00007F6C">
      <w:pPr>
        <w:jc w:val="both"/>
        <w:rPr>
          <w:rFonts w:cstheme="minorHAnsi"/>
        </w:rPr>
      </w:pPr>
      <w:r>
        <w:t xml:space="preserve">As a result, the calculations were checked using two methods: the Williamson Hall method and additionally some </w:t>
      </w:r>
      <w:proofErr w:type="spellStart"/>
      <w:r>
        <w:t>NiO</w:t>
      </w:r>
      <w:proofErr w:type="spellEnd"/>
      <w:r>
        <w:t>-YSZ samples were scanning using ultra small angle X-ray scattering (</w:t>
      </w:r>
      <w:r>
        <w:fldChar w:fldCharType="begin"/>
      </w:r>
      <w:r>
        <w:instrText xml:space="preserve"> REF _Ref42505904 \h  \* MERGEFORMAT </w:instrText>
      </w:r>
      <w:r>
        <w:fldChar w:fldCharType="separate"/>
      </w:r>
      <w:r>
        <w:t xml:space="preserve">Figure </w:t>
      </w:r>
      <w:r>
        <w:rPr>
          <w:noProof/>
        </w:rPr>
        <w:t>4.7</w:t>
      </w:r>
      <w:r>
        <w:fldChar w:fldCharType="end"/>
      </w:r>
      <w:r>
        <w:t xml:space="preserve">). The high flux of the X-ray beam used in </w:t>
      </w:r>
      <w:r w:rsidRPr="00F85F1D">
        <w:t>this process reduced the impact of the strain</w:t>
      </w:r>
      <w:r>
        <w:t xml:space="preserve"> on the FWHM of the samples. The use of strain and instrument corrected Scherrer analysis for the XRD, WH and WAXS data showed conclusively that the a minimum </w:t>
      </w:r>
      <w:r w:rsidR="00A17BA8">
        <w:t xml:space="preserve">22 </w:t>
      </w:r>
      <w:r>
        <w:t>% reduction in the crystallite length was achieved from just changing the drying atmosphere to a N</w:t>
      </w:r>
      <w:r>
        <w:rPr>
          <w:vertAlign w:val="subscript"/>
        </w:rPr>
        <w:t>2</w:t>
      </w:r>
      <w:r>
        <w:t xml:space="preserve"> based drying atmosphere(See </w:t>
      </w:r>
      <w:r>
        <w:fldChar w:fldCharType="begin"/>
      </w:r>
      <w:r>
        <w:instrText xml:space="preserve"> REF _Ref42505904 \h  \* MERGEFORMAT </w:instrText>
      </w:r>
      <w:r>
        <w:fldChar w:fldCharType="separate"/>
      </w:r>
      <w:r w:rsidR="00413540">
        <w:t>Figure 4.7</w:t>
      </w:r>
      <w:r>
        <w:fldChar w:fldCharType="end"/>
      </w:r>
      <w:r>
        <w:t xml:space="preserve">, </w:t>
      </w:r>
      <w:r w:rsidR="00413540">
        <w:fldChar w:fldCharType="begin"/>
      </w:r>
      <w:r w:rsidR="00413540">
        <w:instrText xml:space="preserve"> REF _Ref42505887 \h  \* MERGEFORMAT </w:instrText>
      </w:r>
      <w:r w:rsidR="00413540">
        <w:fldChar w:fldCharType="separate"/>
      </w:r>
      <w:r w:rsidR="00413540" w:rsidRPr="00952912">
        <w:rPr>
          <w:rFonts w:cstheme="minorHAnsi"/>
        </w:rPr>
        <w:t xml:space="preserve">Figure </w:t>
      </w:r>
      <w:r w:rsidR="00413540">
        <w:rPr>
          <w:rFonts w:cstheme="minorHAnsi"/>
        </w:rPr>
        <w:t>4.8</w:t>
      </w:r>
      <w:r w:rsidR="00413540">
        <w:fldChar w:fldCharType="end"/>
      </w:r>
      <w:r w:rsidR="00413540">
        <w:t xml:space="preserve"> </w:t>
      </w:r>
      <w:r>
        <w:lastRenderedPageBreak/>
        <w:t xml:space="preserve">and </w:t>
      </w:r>
      <w:r>
        <w:fldChar w:fldCharType="begin"/>
      </w:r>
      <w:r>
        <w:instrText xml:space="preserve"> REF _Ref42505913 \h  \* MERGEFORMAT </w:instrText>
      </w:r>
      <w:r>
        <w:fldChar w:fldCharType="separate"/>
      </w:r>
      <w:r w:rsidR="00413540">
        <w:t>Table 4.3</w:t>
      </w:r>
      <w:r>
        <w:fldChar w:fldCharType="end"/>
      </w:r>
      <w:r>
        <w:t xml:space="preserve">).  The </w:t>
      </w:r>
      <w:proofErr w:type="spellStart"/>
      <w:r>
        <w:t>NiO</w:t>
      </w:r>
      <w:proofErr w:type="spellEnd"/>
      <w:r>
        <w:t xml:space="preserve"> peaks used for this analysis were the </w:t>
      </w:r>
      <w:r w:rsidRPr="00920E95">
        <w:rPr>
          <w:rFonts w:cstheme="minorHAnsi"/>
        </w:rPr>
        <w:t xml:space="preserve">(111) and (200) </w:t>
      </w:r>
      <w:proofErr w:type="spellStart"/>
      <w:r w:rsidRPr="00920E95">
        <w:rPr>
          <w:rFonts w:cstheme="minorHAnsi"/>
        </w:rPr>
        <w:t>NiO</w:t>
      </w:r>
      <w:proofErr w:type="spellEnd"/>
      <w:r w:rsidRPr="00920E95">
        <w:rPr>
          <w:rFonts w:cstheme="minorHAnsi"/>
        </w:rPr>
        <w:t xml:space="preserve"> </w:t>
      </w:r>
      <w:r w:rsidRPr="00AC049D">
        <w:rPr>
          <w:rFonts w:cstheme="minorHAnsi"/>
        </w:rPr>
        <w:t>diffraction peaks, due to the Debye-Scherrer analysis being limited to the first two reflections of a crystal structure</w:t>
      </w:r>
      <w:r>
        <w:rPr>
          <w:rFonts w:cstheme="minorHAnsi"/>
        </w:rPr>
        <w:t xml:space="preserve"> </w:t>
      </w:r>
      <w:r>
        <w:rPr>
          <w:rFonts w:cstheme="minorHAnsi"/>
        </w:rPr>
        <w:fldChar w:fldCharType="begin" w:fldLock="1"/>
      </w:r>
      <w:r w:rsidR="00D80A5D">
        <w:rPr>
          <w:rFonts w:cstheme="minorHAnsi"/>
        </w:rPr>
        <w:instrText>ADDIN CSL_CITATION {"citationItems":[{"id":"ITEM-1","itemData":{"DOI":"10.1038/nnano.2011.145","ISSN":"1748-3387","author":[{"dropping-particle":"","family":"Holzwarth","given":"Uwe","non-dropping-particle":"","parse-names":false,"suffix":""},{"dropping-particle":"","family":"Gibson","given":"Neil","non-dropping-particle":"","parse-names":false,"suffix":""}],"container-title":"Nature Nanotechnology","id":"ITEM-1","issue":"9","issued":{"date-parts":[["2011","9","28"]]},"page":"534-534","title":"The Scherrer equation versus the 'Debye-Scherrer equation'","type":"article-journal","volume":"6"},"uris":["http://www.mendeley.com/documents/?uuid=0d665b2b-4b5c-3bb9-8e44-b6462dc88b00"]}],"mendeley":{"formattedCitation":"[327]","plainTextFormattedCitation":"[327]","previouslyFormattedCitation":"[327]"},"properties":{"noteIndex":0},"schema":"https://github.com/citation-style-language/schema/raw/master/csl-citation.json"}</w:instrText>
      </w:r>
      <w:r>
        <w:rPr>
          <w:rFonts w:cstheme="minorHAnsi"/>
        </w:rPr>
        <w:fldChar w:fldCharType="separate"/>
      </w:r>
      <w:r w:rsidR="006C586A" w:rsidRPr="006C586A">
        <w:rPr>
          <w:rFonts w:cstheme="minorHAnsi"/>
          <w:noProof/>
        </w:rPr>
        <w:t>[327]</w:t>
      </w:r>
      <w:r>
        <w:rPr>
          <w:rFonts w:cstheme="minorHAnsi"/>
        </w:rPr>
        <w:fldChar w:fldCharType="end"/>
      </w:r>
      <w:r w:rsidRPr="00AC049D">
        <w:rPr>
          <w:rFonts w:cstheme="minorHAnsi"/>
        </w:rPr>
        <w:t>.</w:t>
      </w:r>
    </w:p>
    <w:p w14:paraId="797C4960" w14:textId="6C0C3BD4" w:rsidR="00007F6C" w:rsidRDefault="00007F6C" w:rsidP="00007F6C">
      <w:pPr>
        <w:jc w:val="both"/>
        <w:rPr>
          <w:color w:val="000000" w:themeColor="text1"/>
        </w:rPr>
      </w:pPr>
      <w:r w:rsidRPr="00A23E95">
        <w:t>This smaller particle size did not translate to</w:t>
      </w:r>
      <w:r>
        <w:t xml:space="preserve"> earlier reduction events</w:t>
      </w:r>
      <w:r w:rsidRPr="00A23E95">
        <w:t xml:space="preserve"> as shown by in 4.3.4. However, the use of the N</w:t>
      </w:r>
      <w:r w:rsidRPr="00A23E95">
        <w:rPr>
          <w:vertAlign w:val="subscript"/>
        </w:rPr>
        <w:t>2</w:t>
      </w:r>
      <w:r w:rsidRPr="00A23E95">
        <w:t xml:space="preserve"> drying step did produce a more uniform particle size dispersion shown by the singular peak in the reduction profiles of the ND samples. The ND AC sample in particular reduced faster in comparison to the bulk</w:t>
      </w:r>
      <w:r w:rsidRPr="00A23E95">
        <w:rPr>
          <w:color w:val="000000" w:themeColor="text1"/>
        </w:rPr>
        <w:t xml:space="preserve"> nickel oxide calibration sample and those in the literature</w:t>
      </w:r>
      <w:r>
        <w:rPr>
          <w:color w:val="000000" w:themeColor="text1"/>
        </w:rPr>
        <w:t xml:space="preserve"> </w:t>
      </w:r>
      <w:r w:rsidRPr="00A23E95">
        <w:rPr>
          <w:color w:val="000000" w:themeColor="text1"/>
        </w:rPr>
        <w:fldChar w:fldCharType="begin" w:fldLock="1"/>
      </w:r>
      <w:r w:rsidR="00D80A5D">
        <w:rPr>
          <w:color w:val="000000" w:themeColor="text1"/>
        </w:rPr>
        <w:instrText>ADDIN CSL_CITATION {"citationItems":[{"id":"ITEM-1","itemData":{"DOI":"https://doi.org/10.1016/j.ces.2007.09.043","ISSN":"0009-2509","abstract":"The powder samples of nickel oxide were synthesized by sol–gel procedure. The non-isothermal reduction of nickel oxide using hydrogen was investigated by temperature-programmed reduction (TPR) at four different heating rates (2.5, 5, 10 and 20</w:instrText>
      </w:r>
      <w:r w:rsidR="00D80A5D">
        <w:rPr>
          <w:rFonts w:ascii="Cambria Math" w:hAnsi="Cambria Math" w:cs="Cambria Math"/>
          <w:color w:val="000000" w:themeColor="text1"/>
        </w:rPr>
        <w:instrText>∘</w:instrText>
      </w:r>
      <w:r w:rsidR="00D80A5D">
        <w:rPr>
          <w:color w:val="000000" w:themeColor="text1"/>
        </w:rPr>
        <w:instrText>Cmin-1). Reaction kinetics parameters (Ea, lnA) were determined using a few methods: Stationary point (SP), Kissinger, Friedman, Flynn</w:instrText>
      </w:r>
      <w:r w:rsidR="00D80A5D">
        <w:rPr>
          <w:rFonts w:ascii="Calibri" w:hAnsi="Calibri" w:cs="Calibri"/>
          <w:color w:val="000000" w:themeColor="text1"/>
        </w:rPr>
        <w:instrText>–</w:instrText>
      </w:r>
      <w:r w:rsidR="00D80A5D">
        <w:rPr>
          <w:color w:val="000000" w:themeColor="text1"/>
        </w:rPr>
        <w:instrText>Wall</w:instrText>
      </w:r>
      <w:r w:rsidR="00D80A5D">
        <w:rPr>
          <w:rFonts w:ascii="Calibri" w:hAnsi="Calibri" w:cs="Calibri"/>
          <w:color w:val="000000" w:themeColor="text1"/>
        </w:rPr>
        <w:instrText>–</w:instrText>
      </w:r>
      <w:r w:rsidR="00D80A5D">
        <w:rPr>
          <w:color w:val="000000" w:themeColor="text1"/>
        </w:rPr>
        <w:instrText>Ozawa and Kissinger</w:instrText>
      </w:r>
      <w:r w:rsidR="00D80A5D">
        <w:rPr>
          <w:rFonts w:ascii="Calibri" w:hAnsi="Calibri" w:cs="Calibri"/>
          <w:color w:val="000000" w:themeColor="text1"/>
        </w:rPr>
        <w:instrText>–</w:instrText>
      </w:r>
      <w:r w:rsidR="00D80A5D">
        <w:rPr>
          <w:color w:val="000000" w:themeColor="text1"/>
        </w:rPr>
        <w:instrText>Akahira</w:instrText>
      </w:r>
      <w:r w:rsidR="00D80A5D">
        <w:rPr>
          <w:rFonts w:ascii="Calibri" w:hAnsi="Calibri" w:cs="Calibri"/>
          <w:color w:val="000000" w:themeColor="text1"/>
        </w:rPr>
        <w:instrText>–</w:instrText>
      </w:r>
      <w:r w:rsidR="00D80A5D">
        <w:rPr>
          <w:color w:val="000000" w:themeColor="text1"/>
        </w:rPr>
        <w:instrText>Sunose methods. The M</w:instrText>
      </w:r>
      <w:r w:rsidR="00D80A5D">
        <w:rPr>
          <w:rFonts w:ascii="Calibri" w:hAnsi="Calibri" w:cs="Calibri"/>
          <w:color w:val="000000" w:themeColor="text1"/>
        </w:rPr>
        <w:instrText>á</w:instrText>
      </w:r>
      <w:r w:rsidR="00D80A5D">
        <w:rPr>
          <w:color w:val="000000" w:themeColor="text1"/>
        </w:rPr>
        <w:instrText>lek's kinetic procedure was used for the determination of the most suitable kinetic model and calculation of a complete set of kinetic parameters. The kinetic model of the investigated reduction process was determined, and this model corresponds to the empirical two-parameter Šesták–Berggren equation which gives a more quantitative description. The kinetic triplet obtained for the investigated process is Ea=90.8kJmol-1; lnA=19.50 (A expressed in min-1) and f(α)=α0.63(1-α)1.39. The reliability of kinetics parameters calculated from TPR data is tested by comparing calculated and experimental non-isothermal data. Comparing both experimental and calculated rate curves at constant heating rate assessed the adequate consistency of the kinetic triplet. In agreement with the obtained results, the mechanism of nickel oxide reduction by hydrogen was considered.","author":[{"dropping-particle":"","family":"Janković","given":"B","non-dropping-particle":"","parse-names":false,"suffix":""},{"dropping-particle":"","family":"Adnađević","given":"B","non-dropping-particle":"","parse-names":false,"suffix":""},{"dropping-particle":"","family":"Mentus","given":"S","non-dropping-particle":"","parse-names":false,"suffix":""}],"container-title":"Chemical Engineering Science","id":"ITEM-1","issue":"3","issued":{"date-parts":[["2008"]]},"page":"567-575","title":"The kinetic study of temperature-programmed reduction of nickel oxide in hydrogen atmosphere","type":"article-journal","volume":"63"},"uris":["http://www.mendeley.com/documents/?uuid=55d44a01-b6ab-40f0-85dd-e47a92a119d3"]}],"mendeley":{"formattedCitation":"[337]","plainTextFormattedCitation":"[337]","previouslyFormattedCitation":"[337]"},"properties":{"noteIndex":0},"schema":"https://github.com/citation-style-language/schema/raw/master/csl-citation.json"}</w:instrText>
      </w:r>
      <w:r w:rsidRPr="00A23E95">
        <w:rPr>
          <w:color w:val="000000" w:themeColor="text1"/>
        </w:rPr>
        <w:fldChar w:fldCharType="separate"/>
      </w:r>
      <w:r w:rsidR="006C586A" w:rsidRPr="006C586A">
        <w:rPr>
          <w:noProof/>
          <w:color w:val="000000" w:themeColor="text1"/>
        </w:rPr>
        <w:t>[337]</w:t>
      </w:r>
      <w:r w:rsidRPr="00A23E95">
        <w:rPr>
          <w:color w:val="000000" w:themeColor="text1"/>
        </w:rPr>
        <w:fldChar w:fldCharType="end"/>
      </w:r>
      <w:r w:rsidRPr="00A23E95">
        <w:rPr>
          <w:color w:val="000000" w:themeColor="text1"/>
        </w:rPr>
        <w:t>.</w:t>
      </w:r>
      <w:r>
        <w:rPr>
          <w:color w:val="000000" w:themeColor="text1"/>
        </w:rPr>
        <w:t xml:space="preserve"> </w:t>
      </w:r>
    </w:p>
    <w:p w14:paraId="3017DFC3" w14:textId="2B2BD56E" w:rsidR="00007F6C" w:rsidRPr="00A23E95" w:rsidRDefault="00007F6C" w:rsidP="00007F6C">
      <w:pPr>
        <w:jc w:val="both"/>
        <w:rPr>
          <w:color w:val="000000" w:themeColor="text1"/>
        </w:rPr>
      </w:pPr>
      <w:r>
        <w:rPr>
          <w:color w:val="000000" w:themeColor="text1"/>
        </w:rPr>
        <w:t xml:space="preserve">There was no data from the TPR or XRD or WAXS results which suggested that the calcination process had not completely decomposed the nickel nitrate to nickel oxide. However, in the case of the XRD phaser the detection limit of the unit is limited to 1 % by unit volume </w:t>
      </w:r>
      <w:r>
        <w:rPr>
          <w:color w:val="000000" w:themeColor="text1"/>
        </w:rPr>
        <w:fldChar w:fldCharType="begin" w:fldLock="1"/>
      </w:r>
      <w:r w:rsidR="00151775">
        <w:rPr>
          <w:color w:val="000000" w:themeColor="text1"/>
        </w:rPr>
        <w:instrText>ADDIN CSL_CITATION {"citationItems":[{"id":"ITEM-1","itemData":{"DOI":"10.1021/acs.analchem.5b02758","ISSN":"15206882","PMID":"26465382","abstract":"Here we demonstrate the use of second harmonic generation (SHG) microscopy-guided synchrotron powder X-ray diffraction (PXRD) for the detection of trace crystalline active pharmaceutical ingredients in a common polymer blend. The combined instrument is capable of detecting 100 ppm crystalline ritonavir in an amorphous hydroxypropyl methylcellulose matrix with a high signal-to-noise ratio (&gt;5000). The high spatial resolution afforded by SHG microscopy allows for the use of a minibeam collimator to reduce the total volume of material probed by synchrotron PXRD. The reduction in probed volume results in reduced background from amorphous material. The ability to detect low crystalline loading has the potential to improve measurements in the formulation pipeline for pharmaceutical solid dispersions, for which even trace quantities of crystalline active ingredients can negatively impact the stability and bioavailability of the final drug product.","author":[{"dropping-particle":"","family":"Newman","given":"Justin A.","non-dropping-particle":"","parse-names":false,"suffix":""},{"dropping-particle":"","family":"Schmitt","given":"Paul D.","non-dropping-particle":"","parse-names":false,"suffix":""},{"dropping-particle":"","family":"Toth","given":"Scott J.","non-dropping-particle":"","parse-names":false,"suffix":""},{"dropping-particle":"","family":"Deng","given":"Fengyuan","non-dropping-particle":"","parse-names":false,"suffix":""},{"dropping-particle":"","family":"Zhang","given":"Shijie","non-dropping-particle":"","parse-names":false,"suffix":""},{"dropping-particle":"","family":"Simpson","given":"Garth J.","non-dropping-particle":"","parse-names":false,"suffix":""}],"container-title":"Analytical Chemistry","id":"ITEM-1","issue":"21","issued":{"date-parts":[["2015"]]},"page":"10950-10955","title":"Parts per Million Powder X-ray Diffraction","type":"article-journal","volume":"87"},"uris":["http://www.mendeley.com/documents/?uuid=97871eff-ee95-494b-a225-fe74ad47b60b"]},{"id":"ITEM-2","itemData":{"DOI":"10.1002/(sici)1099-0739(200004)14:4&lt;227::aid-aoc949&gt;3.0.co;2-f","ISSN":"0268-2605","author":[{"dropping-particle":"","family":"West","given":"Anthony R.","non-dropping-particle":"","parse-names":false,"suffix":""}],"container-title":"Applied Organometallic Chemistry","edition":"2nd","id":"ITEM-2","issue":"4","issued":{"date-parts":[["2000"]]},"number-of-pages":"227-228","publisher":"Wiley-Blackwell","title":"Basic Solid State Chemistry","type":"book","volume":"14"},"uris":["http://www.mendeley.com/documents/?uuid=cfc7d172-f48b-4960-bd9a-272da03540f8"]},{"id":"ITEM-3","itemData":{"URL":"http://www.nf-itwg.org/pdfs/ITWG-INFL-PXRD.pdf","accessed":{"date-parts":[["2020","5","27"]]},"author":[{"dropping-particle":"","family":"Schwartz","given":"D.","non-dropping-particle":"","parse-names":false,"suffix":""}],"id":"ITEM-3","issued":{"date-parts":[["2015"]]},"page":"3-6","title":"ITWG Guideline on Powder X-Ray Diffraction (XRD)","type":"webpage"},"uris":["http://www.mendeley.com/documents/?uuid=950811e5-bb07-4e2f-941d-de111c72c14b"]}],"mendeley":{"formattedCitation":"[294], [375], [421]","plainTextFormattedCitation":"[294], [375], [421]","previouslyFormattedCitation":"[294], [375], [421]"},"properties":{"noteIndex":0},"schema":"https://github.com/citation-style-language/schema/raw/master/csl-citation.json"}</w:instrText>
      </w:r>
      <w:r>
        <w:rPr>
          <w:color w:val="000000" w:themeColor="text1"/>
        </w:rPr>
        <w:fldChar w:fldCharType="separate"/>
      </w:r>
      <w:r w:rsidR="008B6E91" w:rsidRPr="008B6E91">
        <w:rPr>
          <w:noProof/>
          <w:color w:val="000000" w:themeColor="text1"/>
        </w:rPr>
        <w:t>[294], [375], [421]</w:t>
      </w:r>
      <w:r>
        <w:rPr>
          <w:color w:val="000000" w:themeColor="text1"/>
        </w:rPr>
        <w:fldChar w:fldCharType="end"/>
      </w:r>
      <w:r>
        <w:rPr>
          <w:color w:val="000000" w:themeColor="text1"/>
        </w:rPr>
        <w:t>. Meaning that some nitrate material could be present in the calcined sample.</w:t>
      </w:r>
    </w:p>
    <w:p w14:paraId="1EF0074C" w14:textId="345F98E1" w:rsidR="00007F6C" w:rsidRDefault="00007F6C" w:rsidP="00007F6C">
      <w:pPr>
        <w:jc w:val="both"/>
      </w:pPr>
      <w:r w:rsidRPr="00A23E95">
        <w:t>It is clear fr</w:t>
      </w:r>
      <w:r>
        <w:t>o</w:t>
      </w:r>
      <w:r w:rsidRPr="00A23E95">
        <w:t xml:space="preserve">m these results that the </w:t>
      </w:r>
      <w:r>
        <w:t xml:space="preserve">nitrogen drying step has a profound impact on the decomposition and initial particle size of the infiltrated nickel phase. This step has been shown via microstructural imaging, structural analyses, and chemical probes to produce smaller nickel crystallites in the wet impregnated fuel electrode. </w:t>
      </w:r>
    </w:p>
    <w:p w14:paraId="7E83C850" w14:textId="77777777" w:rsidR="004F66C8" w:rsidRPr="00A17BA8" w:rsidRDefault="004F66C8" w:rsidP="004F66C8">
      <w:pPr>
        <w:jc w:val="both"/>
      </w:pPr>
      <w:r>
        <w:t xml:space="preserve">The EIS data gathered through this study has not conclusively shown that drying nickel catalysts in an inert atmosphere reduces the initial polarisation resistance. The data from this study has highlighted that the AD AC sample lowest initial polarisation resistance. This likely to be due to the variety of nickel particle sizes (seen using TPR) reducing the initial electrode resistance. Further datasets including TEM are required to validate this hypothesis. </w:t>
      </w:r>
    </w:p>
    <w:p w14:paraId="79549EB6" w14:textId="4832DEE3" w:rsidR="00007F6C" w:rsidRPr="00840E3E" w:rsidRDefault="00007F6C" w:rsidP="00007F6C">
      <w:pPr>
        <w:jc w:val="both"/>
      </w:pPr>
      <w:r w:rsidRPr="00840E3E">
        <w:t>The EIS data has underlined the importance of using N</w:t>
      </w:r>
      <w:r w:rsidRPr="00840E3E">
        <w:rPr>
          <w:vertAlign w:val="subscript"/>
        </w:rPr>
        <w:t>2</w:t>
      </w:r>
      <w:r w:rsidRPr="00840E3E">
        <w:t xml:space="preserve"> as a drying atmosphere. The particle size reduction achieved by this step has been translated to a reduced R</w:t>
      </w:r>
      <w:r w:rsidRPr="00840E3E">
        <w:rPr>
          <w:vertAlign w:val="subscript"/>
        </w:rPr>
        <w:t>P</w:t>
      </w:r>
      <w:r w:rsidRPr="00840E3E">
        <w:t xml:space="preserve"> in both the initial and 50</w:t>
      </w:r>
      <w:r>
        <w:t xml:space="preserve"> </w:t>
      </w:r>
      <w:r w:rsidRPr="00840E3E">
        <w:t xml:space="preserve">h aged datasets in this work. It should be noted that the Nyquist plots generated by these samples are at least one </w:t>
      </w:r>
      <w:r>
        <w:t>order of magnitude</w:t>
      </w:r>
      <w:r w:rsidRPr="00840E3E">
        <w:t xml:space="preserve"> larger than infiltrated Ni-YSZ samples in the literature</w:t>
      </w:r>
      <w:r>
        <w:t xml:space="preserve"> </w:t>
      </w:r>
      <w:r w:rsidRPr="00840E3E">
        <w:fldChar w:fldCharType="begin" w:fldLock="1"/>
      </w:r>
      <w:r w:rsidR="00151775">
        <w:instrText>ADDIN CSL_CITATION {"citationItems":[{"id":"ITEM-1","itemData":{"DOI":"http://dx.doi.org/10.1016/j.jpowsour.2010.05.047","ISBN":"0378-7753","abstract":"Sintering of Ni is a key stability issue for Ni–YSZ anodes, and especially infiltration based electrodes. The potential of MgO, Al2O3, TiO2, CeO2 and Ce0.90Gd0.10O1.95 (CGO10) as sintering inhibitors was investigated for infiltrated Ni based anode structures. The structures were prepared from tape cast porous YSZ layers that were impregnated with Ni to form an electronic percolating phase. The Ni–YSZ structure was subsequently impregnated with the inhibitor candidate, and the stability of the structure was evaluated from conductivity measurements. Lower conductivity degradation rates were observed for samples infiltrated with the inhibitor candidates, and the best inhibitor effect was seen with higher loadings of CGO10, and CeO2 showed similar potential. The degradation in conductivity was not visibly reflected in the microstructure as Ni coarsening in any of the cases. An adverse effect of MgO, TiO2 and Al2O3 was reduced conductivity, possibly due to reaction with Ni and the formation of higher resistive phases. The Ni-infiltrated anodes were shown to have better initial electrochemical performance at 650 °C than conventionally produced Ni–YSZ anodes, but still very poor stability, and further improvement of the inhibitor approach is necessary before applying the Ni-infiltrated anodes in SOFCs.","author":[{"dropping-particle":"","family":"Klemensø","given":"Trine","non-dropping-particle":"","parse-names":false,"suffix":""},{"dropping-particle":"","family":"Thydén","given":"Karl","non-dropping-particle":"","parse-names":false,"suffix":""},{"dropping-particle":"","family":"Chen","given":"Ming","non-dropping-particle":"","parse-names":false,"suffix":""},{"dropping-particle":"","family":"Wang","given":"Hsiang-Jen","non-dropping-particle":"","parse-names":false,"suffix":""}],"container-title":"Journal of Power Sources","id":"ITEM-1","issue":"21","issued":{"date-parts":[["2010"]]},"page":"7295-7301","title":"Stability of Ni–yttria stabilized zirconia anodes based on Ni-impregnation","type":"article-journal","volume":"195"},"uris":["http://www.mendeley.com/documents/?uuid=e544a566-88fb-43a4-8c97-6ae27e0d793d"]},{"id":"ITEM-2","itemData":{"DOI":"10.1002/fuce.201500107","ISBN":"16156846 (ISSN)","ISSN":"16156854","abstract":"© 2016 WILEY-VCH Verlag GmbH &amp; Co. KGaA, Weinheim.Experimental SOFC stacks with 10 SOFCs (LSM-YSZ/YSZ/Ni-YSZ) were infiltrated with CGO and Ni-CGO on the air and fuel side, respectively in an attempt to counter degradation and improve the output. The electrochemical performance of each cell was characterized (i) before infiltration, (ii) after infiltration on the cathode side, and (iii) after the infiltration of the anode side. A significant performance enhancement was observed after the infiltration with CGO on the cathode, while the infiltration of the anode side with Ni-CGO had no significant effect on the electrochemical performance. After testing the cells were characterized by SEM and TEM/EELS. A thin layer of CGO nanoparticles around the LSM-YSZ back bone structure was found after infiltration. On the anode side nano sized Ni particles were found embedded in a CGO layer formed around the Ni-YSZ structure. EELS analysis showed that the oxidation state of the Ce ions is identical on the air and the fuel side.","author":[{"dropping-particle":"","family":"Kiebach","given":"R.","non-dropping-particle":"","parse-names":false,"suffix":""},{"dropping-particle":"","family":"Zielke","given":"P.","non-dropping-particle":"","parse-names":false,"suffix":""},{"dropping-particle":"","family":"Høgh","given":"J. V.T.","non-dropping-particle":"","parse-names":false,"suffix":""},{"dropping-particle":"","family":"Thydén","given":"K.","non-dropping-particle":"","parse-names":false,"suffix":""},{"dropping-particle":"","family":"Wang","given":"H. J.","non-dropping-particle":"","parse-names":false,"suffix":""},{"dropping-particle":"","family":"Barford","given":"R.","non-dropping-particle":"","parse-names":false,"suffix":""},{"dropping-particle":"V.","family":"Hendriksen","given":"P.","non-dropping-particle":"","parse-names":false,"suffix":""}],"container-title":"Fuel Cells","id":"ITEM-2","issue":"1","issued":{"date-parts":[["2016"]]},"language":"English","note":"Cited By :1\nExport Date: 20 January 2017\nCorrespondence Address: Kiebach, R.; Department of Energy Conversion and Storage, Technical University of Denmark, P.O. Box 49, Denmark; email: woki@dtu.dk\nReferences: Kalra, P., Garg, R., Kumar, A., (2013) Mater. Sci. Forum, 757, pp. 217-241; Zhao, Y., Xia, C., Jia, L., Wang, Z., Li, H., Yu, J., Li, Y., (2013) Int. J. Hydrogen Energy, 38, pp. 16498-16517; Chen, K., Jiang, S.P., (2013) Mater. High-Temp. Fuel Cells, pp. 245-307. , Wiley-VCH Verlag GmbH &amp;amp; Co. KGaA, Weinheim, Germany; Badwal, S.P.S., Giddey, S., Munnings, C., Kulkarni, A., (2014) J. Aust. Ceram. Soc., 50, pp. 23-37; Sholklapper, T.Z., Kurokawa, H., Jacobson, C.P., Visco, S.J., (2007)Shaigan, N., Qu, W., Ivey, D., Chen, W., (2010) J. Power Sources, 195, pp. 1529-1542; Montero, X., Tietz, F., Stöver, D., Cassir, M., Villarreal, I., (2009) Corros. Sci., 51, pp. 110-118; Kiebach, R., Knofel, C., Bozza, F., Klemensoe, T., Chatzichristodoulou, C., (2013) J. Power Sources, 228, pp. 170-177; Klemensø, T., Chatzichristodoulou, C., Nielsen, J., Bozza, F., Thydén, K., Kiebach, R., Ramousse, S., (2012) Solid State Ionics, 224, pp. 21-31; Jiang, Z., Xia, C., Chen, F., (2010) Electrochim. Acta, 55, pp. 3595-3605; Jiang, S.P., (2006) Mater. Sci. Eng. A, 418, pp. 199-210; Vohs, J.M., Gorte, R.J., (2009) Adv. Mater., 21, pp. 943-956; Yoon, B.Y., Bae, J., (2013) ECS Trans., 57, pp. 1933-1943; Hussain, A.M., Hogh, J.V.T., Zhang, W., Bonanos, N., (2012) J. Power Sources, 216, pp. 308-313; Tamm, K., Kungas, R., Gorte, R.J., Lust, E., (2013) Electrochim. Acta, 106, pp. 398-405; Nicholas, J.D., Barnett, S.A., (2010) J. Electrochem. Soc., 157, pp. B536-B541; Shah, M., Voorhees, P.W., Barnett, S.A., (2011) Solid State Ionics, 187, pp. 64-67; Li, X., Xu, N., Zhao, X., Huang, K., (2012) J. Power Sources, 199, pp. 132-137; Yoon, B.Y., Kim, J.H., Bae, J., (2013) Solid State Ionics, 249-250, pp. 26-33; Chen, J., Liu, Y., Chi, B., Pu, J., Li, J., (2014) J. Power Sources, 256, pp. 312-318; Sengodan, S., Yoon, J.S., Yoon, M.Y., Hwang, H.J., Shin, J., Kim, G., (2013) ECS Electrochem. Lett., 2, pp. F45-F49; Zhang, W., Kuhn, L.T., Joergensen, P.S., Sudireddy, B.R., Bentzen, J.J., Bernuy-Lopez, C., Veltze, S., Ramos, T., (2014) J. Power Sources, 258, pp. 297-304; Liu, X., Han, D., Wu, H., Meng, X., Zeng, F., Zhan, Z., (2013) Int. J. Hydrogen Energy, 38, pp. 16563-16568; Liu, Z., Liu, B., Ding, D., Liu, M., Chen, F., Xia, C., (2013) J. Power Sources, 237, pp. 243-259; Ding, D., Liu, M., Liu, M., (2013) ECS Trans., 57, pp. 1801-1810; Ding, D., Liu, M., Liu, Z., Li, X., Blinn, K., Zhu, X., Liu, M., (2013) Adv. Energy Mater., 3, pp. 1149-1154; Fu, Y.-P., Li, C.-H., Hu, S.-H., (2012) J. Electrochem. Soc., 159, pp. B629-B634; Kungas, R., Bidrawn, F., Vohs, J.M., Gorte, R.J., (2010) Electrochem. Solid-State Lett., 13, pp. B87-B90; Choi, S., Yoo, S., Shin, J.-Y., Kim, G., (2011) J. Electrochem. Soc., 158, pp. B995-B999; Keyvanfar, P., Birss, V., (2014) J. Electrochem. Soc., 161, pp. F660-F667; Li, Y., Zhu, X., Lu, Z., Wang, Z., Jiang, W., Huang, X., Su, W., (2014) Int. J. Hydrogen Energy, 39, pp. 7980-7987; He, H.Q., Zhang, L., Babaei, A., Wang, X., Jiang, S.P., (2011) J. Alloys Compd., 509, pp. 9708-9717; Ding, D., Li, X., Lai, S.Y., Gerdes, K., Liu, M., (2014) Energy Environ. Sci., 7, pp. 552-575; Jiang, S.P., (2012) Int. J. Hydrogen Energy, 37, pp. 449-470; Lu, C., Sholklapper, T.Z., Jacobson, C.P., Visco, S.J., De Jonghe, L.C., (2006) J. Electrochem. Soc., 153, p. A1115; Sholklapper, T.Z., Lu, C., Jacobson, C.P., Visco, S.J., De Jonghe, L.C., (2006) Electrochem. Solid-State Lett., 9, p. A376; Jiang, Z., Xia, C., Chen, F., (2010) Electrochim. Acta, 55, pp. 3595-3605; Chen, K., Ai, N., Zhao, L., Jiang, S.P., (2013) J. Electrochem. Soc., 160, pp. F301-F308; Kungas, R., Yu, A., Levine, J., Vohs, J.M., Gorte, R.J., (2012) ECS Trans., 45, pp. 275-284; Synodis, M.J., Porter, C.L., Vo, N.M., Reszka, A.J.L., Gross, M.D., Snyder, R.C., (2013) J. Electrochem. Soc., 160, pp. F1216-F1224; Bidrawn, F., Kungas, R., Vohs, J.M., Gorte, R.J., (2011) J. Electrochem. Soc., 158, pp. B514-B525; Chen, M., Liu, T., Lin, Z., (2013) ECS Electrochem. Lett., 2, pp. F82-F84; Vohs, J.M., Gorte, R.J., (2009) Adv. Mater., 21, pp. 943-956; Lee, S., Miller, N., Gerdes, K., (2012) J. Electrochem. Soc., 159, pp. F301-F308; Sengodan, S., Liu, M., Lim, T.-H., Shin, J., Liu, M., Kim, G., (2014) J. Electrochem. Soc., 161, pp. F668-F673; Visco, S., Kurokawa, H., Tucker, M., Sholklapper, T., Chen, X., Lux, K., Jacobson, C., De Jonghe, L., (2006)Lee, S., Miller, N., Abernathy, H., Gerdes, K., Manivannan, A., (2011) J. Electrochem. Soc., 158, p. B735; Mikkelsen, L., Hendriksen, P.V., Høgh, J.V.T., Søgaard, M., Kiebach, W.R., Patent No. WO2012062341, 2012Nicholas, J.D., Wang, L., Call, A.V., Barnett, S.A., (2012) Phys. Chem. Chem. Phys., 14, pp. 15379-15392; Faes, A., Hessler-Wyser, A., Zryd, A., Van Herle, J., (2012) Membranes (Basel), 2, pp. 585-664; Nielsen, J., Hagen, A., Liu, Y.L., (2010) Solid State Ionics, 181, pp. 517-524; Ebbesen, S.D., Graves, C., Hauch, A., Jensen, S.H., Mogensen, M., (2010) J. Electrochem. Soc., 157, p. B1419; Ebbesen, S.D., Høgh, J., Nielsen, K.A., Nielsen, J.U., Mogensen, M., (2011) Int. J. Hydrogen Energy, 36, pp. 7363-7373; Garvie, L.A.J., Buseck, P.R., (2000) J. Chem. Phys. Solids, 60, pp. 1943-1947; Mogensen, M., (2008) Lucerne Fuel Cell Forum, p. A0402. , Switzerland; Barfod, R., Hagen, A., Ramousse, S., Hendriksen, P.V., Mogensen, M., (2006) Fuel Cells, 6, pp. 141-145; Kurokawa, H., Sholklapper, T.Z., Jacobson, C.P., De Jonghe, L.C., Visco, S.J., (2007) Electrochem. Solid-State Lett., 10, p. B135","page":"80-88","publisher":"John Wiley and Sons Ltd","title":"Infiltration of SOFC Stacks: Evaluation of the Electrochemical Performance Enhancement and the Underlying Changes in the Microstructure","type":"article-journal","volume":"16"},"uris":["http://www.mendeley.com/documents/?uuid=5f2928b8-a778-4ce2-bd31-b82eeeed0a34"]},{"id":"ITEM-3","itemData":{"DOI":"10.1149/2.056405jes","ISBN":"19385862 (ISSN)","ISSN":"0013-4651","abstract":"A range of Ni-contg. solns., including an aq. soln. contg. the Triton-X surfactant, and aq. or ethanolic solns. contg. urea, have been infiltrated into a sym. tubular half-cell composed of a slip-casted, porous yttria-stabilized zirconia (YSZ) anode support, Ni-YSZ functional layers, a YSZ electrolyte, and a 2nd, outer porous YSZ anode support layer, aiming at the development of high performance anodes.  A combination of surface wettability expts. and optical and electron microscopy imaging was used to det. how well these solns. penetrate the porous YSZ matrix, then correlating these results with the electrochem. performance in humidified H2 environments at 800°.  The addn. of Triton-X-100 surfactant to the infiltration soln. results in excellent penetration of the Ni phase deep into the YSZ matrix, while the use of urea as a Ni complexing agent leaves a Ni-rich layer on the outer anode surface.  Importantly, the use of a 2-step process, involving several vacuum-infiltrations with Ni nitrate solns. contg. Triton-X-100, followed by several infiltrations with urea-contg. solns., leads to the best cell performance as well as the best Ni distribution inside the anode layers. [on SciFinder(R)]","author":[{"dropping-particle":"","family":"Keyvanfar","given":"Parastoo","non-dropping-particle":"","parse-names":false,"suffix":""},{"dropping-particle":"","family":"Birss","given":"Viola","non-dropping-particle":"","parse-names":false,"suffix":""}],"container-title":"Journal of The Electrochemical Society","edition":"1","id":"ITEM-3","issue":"5","issued":{"date-parts":[["2014"]]},"language":"English","note":"Cited By :3\nExport Date: 20 January 2017\nReferences: Sarantaridis, D., Atkins, A., (2007) FUEL CELLS, 7, p. 246; Sholklapper, T.Z., Lu, C., Jacobsona, C.P., Viscoa, S.J., Jonghe De, L.C., (2006) Electrochem Solid-State Lett., 9, pp. A376; Buyukaksoy, A., Petrovsky, V., Dogan, F., (2012) J. Electrochem. Soc., 159, pp. B666; Sholklapper, T.Z., Radmilovic, V., Jacobson, C.P., Visco, S.J., De Jonghe, L.C., (2007) Electrochem Solid-State Lett., 10, pp. B74; Bidrawn, F., Kima, G., Aramrueang, N., Vohs, J.M., Gorte, R.J., (2010) J. Power Sources, 195, p. 720; Yamahara, K., Jacobson, C.P., Visco, S.J., Feng Zhang, X., De Jonghe, L.C., (2005) Solid State Ionics, 176, p. 275; Jung, S.N., Lu, C., He, H., Ahn, K., Gorte, R.J., Vohs, J.M., (2006) J. Power Sources, 154, p. 42; Lee, S., Kima, G., Vohs, J.M., Gorte, R.J., (2008) J. Electrochem. Soc., 155, pp. B1179; Huang, Y., Vohs, J.M., Gorte, R.J., (2006) Electrochem Solid-State Lett., 9, pp. A237; Tucker, M.C., Lau, G.Y., Jacobson, C.P., Dejonghe, L.C., Visco, S.J., (2007) J. Power Sources, 171, p. 477; Klemensø, T., Thydén, K., Chen, M., Wang, H.J., (2010) J. Power Sources, 195, p. 7295; Li, W., Lü, Z., Zhu, X., Guan, B., Wei, B., Guan, C., Su, W., (2011) Electrochimica Acta, 56, p. 2230; Nicholas, J.D., Barnett, S.A., (2010) J. Electrochem. Soc., 157, pp. B536; Hanifi, A.R., Shinbine, A., Etsell, T.H., Sarkar, P., (2012) Int. J. Appl. Ceram. Technol., 9, p. 1011; Kilbride, I.P., (1996) Journal of Power Sources, 61, p. 167; Conga, L., Hea, T., Jia, Y., Guana, P., Huanga, Y., Su, W., (2003) J. Alloys Compd., 348, p. 325; Primdahl, S., Mogensen, M., (1998) J. Electrochem. Soc., 145, p. 2431; Primdahl, S., Mogensen, M., (1999) J. Electrochem. Soc., 146, p. 2827; Jiang, S.P., Badwal, S.P.S., (1999) Solid State Ionics, 123, p. 209; Sonn, V., Leonide, A., Ivers-Tiffée, E., (2008) J. Electrochem. Soc., 155, pp. B675","page":"F660-F667","publisher":"Electrochemical Society Inc.","title":"Optimization of Infiltration Techniques Used to Construct Ni/YSZ Anodes","type":"paper-conference","volume":"161"},"uris":["http://www.mendeley.com/documents/?uuid=ce167f45-7dc6-4612-b9e4-271bc94a97b6"]},{"id":"ITEM-4","itemData":{"DOI":"10.1016/j.jpowsour.2015.04.072","ISSN":"03787753","abstract":"Ni infiltration into porous YSZ scaffolds is a promising route for the construction of high performing and redox-stable Ni-YSZ anodes for application in solid oxide fuel cells (SOFCs). However, the long-term instability of this type of anode is a critical problem. Here, it is shown that an interconnected Ni film, rather than discrete Ni particles, can be formed inside a porous, pre-sintered YSZ scaffold by using a polymeric Ni-based precursor as the infiltration medium. To understand the effect of the YSZ microstructure on the long-term stability and the electrochemical performance of the resulting composites, two types of Ni-YSZ anodes were investigated. Anodes prepared by polymeric Ni infiltration into a YSZ scaffold with large grains (0.5 μm) and pores (0.5 μm and 5 μm) showed extensive agglomeration in the Ni phase, resulting in poor stability and poor activity. In contrast, Ni infiltration into YSZ scaffolds with finer particle and pore sizes (</w:instrText>
      </w:r>
      <w:r w:rsidR="00151775">
        <w:rPr>
          <w:rFonts w:ascii="Cambria Math" w:hAnsi="Cambria Math" w:cs="Cambria Math"/>
        </w:rPr>
        <w:instrText>∼</w:instrText>
      </w:r>
      <w:r w:rsidR="00151775">
        <w:instrText xml:space="preserve">200 nm each) produced anodes with a very small polarization resistance of ca. 0.1 Ω cm&lt;sup&gt;2&lt;/sup&gt; per electrode at 800 °C. An increase of only </w:instrText>
      </w:r>
      <w:r w:rsidR="00151775">
        <w:rPr>
          <w:rFonts w:ascii="Cambria Math" w:hAnsi="Cambria Math" w:cs="Cambria Math"/>
        </w:rPr>
        <w:instrText>∼</w:instrText>
      </w:r>
      <w:r w:rsidR="00151775">
        <w:instrText>5% was seen in the resistance after ca. 110 h at this temperature, achieved by preventing Ni agglomeration.","author":[{"dropping-particle":"","family":"Buyukaksoy","given":"Aligul","non-dropping-particle":"","parse-names":false,"suffix":""},{"dropping-particle":"","family":"Kammampata","given":"Sanoop P.","non-dropping-particle":"","parse-names":false,"suffix":""},{"dropping-particle":"","family":"Birss","given":"Viola I.","non-dropping-particle":"","parse-names":false,"suffix":""}],"container-title":"Journal of Power Sources","id":"ITEM-4","issued":{"date-parts":[["2015"]]},"page":"349-358","publisher":"Elsevier B.V","title":"Effect of porous YSZ scaffold microstructure on the long-term performance of infiltrated Ni-YSZ anodes","type":"article-journal","volume":"287"},"uris":["http://www.mendeley.com/documents/?uuid=95f6b41b-9065-4cf8-9ddb-f27577bdf473"]},{"id":"ITEM-5","itemData":{"DOI":"10.1016/j.jpowsour.2015.12.022","ISSN":"03787753","abstract":"The optimum operating temperature of micro solid oxide fuel cells (μ-SOFCs) is &lt; 600°C, which normally results in an undesirably high internal resistance. While the resistance of the electrolyte (most commonly yttria stabilized zirconia, YSZ) can be lowered significantly simply by decreasing its thickness, minimization of the electrode resistance (thus maintaining rapid reaction kinetics) is not as straightforward. In this work, an ethylene glycol based polymeric precursor solution, which promotes the intimate mixing of the Ni, Y and Zr components prior to their crystallization as oxides, was spin-coated onto a YSZ disc, generating a nanocomposite NiO-YSZ thin film. The in-situ reduction of NiO phase within the dense NiO-YSZ film to Ni, in combination with the nanoscale size of the Ni and YSZ particles (ca. 25 nm), resulted in a nanoporous, Ni-YSZ anode morphology (thickness &lt; 1 μm) with a homogeneous distribution of Ni and YSZ and a very high triple phase boundary length. Very small electrode polarization resistances of 0.65 Ω cm2 per electrode were obtained at 550°C in humidified H2, the lowest values yet reported for SOFCs at this temperature. These highly active anodes are therefore very promising for use in next generation μ-SOFCs.","author":[{"dropping-particle":"","family":"Buyukaksoy","given":"Aligul","non-dropping-particle":"","parse-names":false,"suffix":""},{"dropping-particle":"","family":"Birss","given":"Viola I.","non-dropping-particle":"","parse-names":false,"suffix":""}],"container-title":"Journal of Power Sources","id":"ITEM-5","issued":{"date-parts":[["2016"]]},"page":"449-453","publisher":"Elsevier B.V","title":"Highly active nanoscale Ni - Yttria stabilized zirconia anodes for micro-solid oxide fuel cell applications","type":"article-journal","volume":"307"},"uris":["http://www.mendeley.com/documents/?uuid=daa58149-0c66-4cc3-8bbe-70d523e1128a"]}],"mendeley":{"formattedCitation":"[6], [233], [422]–[424]","plainTextFormattedCitation":"[6], [233], [422]–[424]","previouslyFormattedCitation":"[6], [233], [422]–[424]"},"properties":{"noteIndex":0},"schema":"https://github.com/citation-style-language/schema/raw/master/csl-citation.json"}</w:instrText>
      </w:r>
      <w:r w:rsidRPr="00840E3E">
        <w:fldChar w:fldCharType="separate"/>
      </w:r>
      <w:r w:rsidR="008B6E91" w:rsidRPr="008B6E91">
        <w:rPr>
          <w:noProof/>
        </w:rPr>
        <w:t>[6], [233], [422]–[424]</w:t>
      </w:r>
      <w:r w:rsidRPr="00840E3E">
        <w:fldChar w:fldCharType="end"/>
      </w:r>
      <w:r w:rsidRPr="00840E3E">
        <w:t>.</w:t>
      </w:r>
      <w:r>
        <w:t xml:space="preserve"> However, these results can be discussed and compared in relation to this study.</w:t>
      </w:r>
    </w:p>
    <w:p w14:paraId="3E599D7C" w14:textId="66893788" w:rsidR="00007F6C" w:rsidRDefault="00007F6C" w:rsidP="00007F6C">
      <w:pPr>
        <w:jc w:val="both"/>
        <w:rPr>
          <w:rFonts w:cstheme="minorHAnsi"/>
          <w:szCs w:val="24"/>
        </w:rPr>
      </w:pPr>
      <w:r w:rsidRPr="00F51947">
        <w:rPr>
          <w:rFonts w:cstheme="minorHAnsi"/>
          <w:szCs w:val="24"/>
        </w:rPr>
        <w:t xml:space="preserve">In infiltrated fuel electrode systems, a calcination step is used to decompose the metallic nitrate particles to oxide particles such as </w:t>
      </w:r>
      <w:proofErr w:type="spellStart"/>
      <w:r w:rsidRPr="00F51947">
        <w:rPr>
          <w:rFonts w:cstheme="minorHAnsi"/>
          <w:szCs w:val="24"/>
        </w:rPr>
        <w:t>NiO</w:t>
      </w:r>
      <w:proofErr w:type="spellEnd"/>
      <w:r w:rsidRPr="00F51947">
        <w:rPr>
          <w:rFonts w:cstheme="minorHAnsi"/>
          <w:szCs w:val="24"/>
        </w:rPr>
        <w:t>, which is consequently converted to metallic Ni in the reductive fuel atmosphere. The implementation of the N</w:t>
      </w:r>
      <w:r w:rsidRPr="00F51947">
        <w:rPr>
          <w:rFonts w:cstheme="minorHAnsi"/>
          <w:szCs w:val="24"/>
          <w:vertAlign w:val="subscript"/>
        </w:rPr>
        <w:t>2</w:t>
      </w:r>
      <w:r w:rsidRPr="00F51947">
        <w:rPr>
          <w:rFonts w:cstheme="minorHAnsi"/>
          <w:szCs w:val="24"/>
        </w:rPr>
        <w:t xml:space="preserve"> drying step in this has increased the percentage dispersion of the nickel catalysts, producing a </w:t>
      </w:r>
      <w:r>
        <w:rPr>
          <w:rFonts w:cstheme="minorHAnsi"/>
          <w:szCs w:val="24"/>
        </w:rPr>
        <w:t xml:space="preserve">well dispersed </w:t>
      </w:r>
      <w:r w:rsidRPr="00F51947">
        <w:rPr>
          <w:rFonts w:cstheme="minorHAnsi"/>
          <w:szCs w:val="24"/>
        </w:rPr>
        <w:t>electro-catalyst network key to reducing the charge transfer resistance.</w:t>
      </w:r>
      <w:r>
        <w:rPr>
          <w:rFonts w:cstheme="minorHAnsi"/>
          <w:szCs w:val="24"/>
        </w:rPr>
        <w:t xml:space="preserve"> This increased dispersion means that the interparticle distance between the nickel is more homogeneous than in the air-dried system.</w:t>
      </w:r>
      <w:r w:rsidRPr="00F51947">
        <w:rPr>
          <w:rFonts w:cstheme="minorHAnsi"/>
          <w:szCs w:val="24"/>
        </w:rPr>
        <w:t xml:space="preserve"> This has been discussed as a method to reducing the rate of sintering in the catalytic media</w:t>
      </w:r>
      <w:r>
        <w:rPr>
          <w:rFonts w:cstheme="minorHAnsi"/>
          <w:szCs w:val="24"/>
        </w:rPr>
        <w:t xml:space="preserve"> </w:t>
      </w:r>
      <w:r w:rsidRPr="00F51947">
        <w:rPr>
          <w:rFonts w:cstheme="minorHAnsi"/>
          <w:szCs w:val="24"/>
        </w:rPr>
        <w:fldChar w:fldCharType="begin" w:fldLock="1"/>
      </w:r>
      <w:r w:rsidR="00D80A5D">
        <w:rPr>
          <w:rFonts w:cstheme="minorHAnsi"/>
          <w:szCs w:val="24"/>
        </w:rPr>
        <w:instrText>ADDIN CSL_CITATION {"citationItems":[{"id":"ITEM-1","itemData":{"DOI":"10.1021/acscatal.7b01975","ISSN":"2155-5435","author":[{"dropping-particle":"","family":"Goodman","given":"Emmett D.","non-dropping-particle":"","parse-names":false,"suffix":""},{"dropping-particle":"","family":"Schwalbe","given":"Jay A.","non-dropping-particle":"","parse-names":false,"suffix":""},{"dropping-particle":"","family":"Cargnello","given":"Matteo","non-dropping-particle":"","parse-names":false,"suffix":""}],"container-title":"ACS Catalysis","id":"ITEM-1","issue":"10","issued":{"date-parts":[["2017","10","6"]]},"page":"7156-7173","title":"Mechanistic Understanding and the Rational Design of Sinter-Resistant Heterogeneous Catalysts","type":"article-journal","volume":"7"},"uris":["http://www.mendeley.com/documents/?uuid=b28e850f-3457-3249-b2ac-8734fa0e1fea"]},{"id":"ITEM-2","itemData":{"DOI":"10.1039/c7cs00650k","abstract":"Catalyst sintering, a main cause of the loss of catalytic activity and/or selectivity at high reaction temperatures, is a major concern and grand challenge in the general area of heterogeneous catalysis. Although all heterogeneous catalysts are inevitably subjected to sintering during their operation, the immediate and drastic consequences can be mitigated by carefully engineering the catalytic particles and their interactions with the supports. In this tutorial review, we highlight recent progress in understanding the physical chemistry and materials science involved in sintering, including the discussion of advanced techniques, such as in situ microscopy and spectroscopy, for investigating the sintering process and its rate. We also discuss strategies for the design and rational fabrication of sinter-resistant catalysts. Finally, we showcase recent success in improving the thermal stability and thus sinter resistance of supported catalytic systems. Key learning points (1) Key obstacles to the development of sinter-resistant catalytic systems (2) Thermodynamic and kinetic aspects in the sintering of supported metal nanoparticles (3) New insights into the sintering mechanisms as elucidated through advanced analytic tools (4) Major strategies for enhancing the thermal stability of a catalytic system involving supported metal nanoparticles (5) Recent success and future directions towards the development of sinter-resistant catalysts","author":[{"dropping-particle":"","family":"Dai","given":"Yunqian","non-dropping-particle":"","parse-names":false,"suffix":""},{"dropping-particle":"","family":"Lu","given":"Ping","non-dropping-particle":"","parse-names":false,"suffix":""},{"dropping-particle":"","family":"Cao","given":"Zhenming","non-dropping-particle":"","parse-names":false,"suffix":""},{"dropping-particle":"","family":"Campbell","given":"Charles T","non-dropping-particle":"","parse-names":false,"suffix":""},{"dropping-particle":"","family":"Xia","given":"Younan","non-dropping-particle":"","parse-names":false,"suffix":""}],"container-title":"4314 | Chem. Soc. Rev","id":"ITEM-2","issued":{"date-parts":[["2018"]]},"page":"4314","title":"The physical chemistry and materials science behind sinter-resistant catalysts","type":"article-journal","volume":"47"},"uris":["http://www.mendeley.com/documents/?uuid=4b3e7ee9-ac08-3c1c-b616-0a6feef47699"]}],"mendeley":{"formattedCitation":"[300], [301]","plainTextFormattedCitation":"[300], [301]","previouslyFormattedCitation":"[300], [301]"},"properties":{"noteIndex":0},"schema":"https://github.com/citation-style-language/schema/raw/master/csl-citation.json"}</w:instrText>
      </w:r>
      <w:r w:rsidRPr="00F51947">
        <w:rPr>
          <w:rFonts w:cstheme="minorHAnsi"/>
          <w:szCs w:val="24"/>
        </w:rPr>
        <w:fldChar w:fldCharType="separate"/>
      </w:r>
      <w:r w:rsidR="006C586A" w:rsidRPr="006C586A">
        <w:rPr>
          <w:rFonts w:cstheme="minorHAnsi"/>
          <w:noProof/>
          <w:szCs w:val="24"/>
        </w:rPr>
        <w:t>[300], [301]</w:t>
      </w:r>
      <w:r w:rsidRPr="00F51947">
        <w:rPr>
          <w:rFonts w:cstheme="minorHAnsi"/>
          <w:szCs w:val="24"/>
        </w:rPr>
        <w:fldChar w:fldCharType="end"/>
      </w:r>
      <w:r w:rsidRPr="00F51947">
        <w:rPr>
          <w:rFonts w:cstheme="minorHAnsi"/>
          <w:szCs w:val="24"/>
        </w:rPr>
        <w:t>.</w:t>
      </w:r>
      <w:r>
        <w:rPr>
          <w:rFonts w:cstheme="minorHAnsi"/>
          <w:szCs w:val="24"/>
        </w:rPr>
        <w:t xml:space="preserve"> In a homogeneously distanced system, coarsening is supressed as the movement and agglomeration of the nickel particles must overcome an energy barrier to trigger </w:t>
      </w:r>
      <w:r>
        <w:rPr>
          <w:rFonts w:cstheme="minorHAnsi"/>
          <w:szCs w:val="24"/>
        </w:rPr>
        <w:fldChar w:fldCharType="begin" w:fldLock="1"/>
      </w:r>
      <w:r w:rsidR="00D80A5D">
        <w:rPr>
          <w:rFonts w:cstheme="minorHAnsi"/>
          <w:szCs w:val="24"/>
        </w:rPr>
        <w:instrText>ADDIN CSL_CITATION {"citationItems":[{"id":"ITEM-1","itemData":{"DOI":"10.1039/c7cs00650k","abstract":"Catalyst sintering, a main cause of the loss of catalytic activity and/or selectivity at high reaction temperatures, is a major concern and grand challenge in the general area of heterogeneous catalysis. Although all heterogeneous catalysts are inevitably subjected to sintering during their operation, the immediate and drastic consequences can be mitigated by carefully engineering the catalytic particles and their interactions with the supports. In this tutorial review, we highlight recent progress in understanding the physical chemistry and materials science involved in sintering, including the discussion of advanced techniques, such as in situ microscopy and spectroscopy, for investigating the sintering process and its rate. We also discuss strategies for the design and rational fabrication of sinter-resistant catalysts. Finally, we showcase recent success in improving the thermal stability and thus sinter resistance of supported catalytic systems. Key learning points (1) Key obstacles to the development of sinter-resistant catalytic systems (2) Thermodynamic and kinetic aspects in the sintering of supported metal nanoparticles (3) New insights into the sintering mechanisms as elucidated through advanced analytic tools (4) Major strategies for enhancing the thermal stability of a catalytic system involving supported metal nanoparticles (5) Recent success and future directions towards the development of sinter-resistant catalysts","author":[{"dropping-particle":"","family":"Dai","given":"Yunqian","non-dropping-particle":"","parse-names":false,"suffix":""},{"dropping-particle":"","family":"Lu","given":"Ping","non-dropping-particle":"","parse-names":false,"suffix":""},{"dropping-particle":"","family":"Cao","given":"Zhenming","non-dropping-particle":"","parse-names":false,"suffix":""},{"dropping-particle":"","family":"Campbell","given":"Charles T","non-dropping-particle":"","parse-names":false,"suffix":""},{"dropping-particle":"","family":"Xia","given":"Younan","non-dropping-particle":"","parse-names":false,"suffix":""}],"container-title":"4314 | Chem. Soc. Rev","id":"ITEM-1","issued":{"date-parts":[["2018"]]},"page":"4314","title":"The physical chemistry and materials science behind sinter-resistant catalysts","type":"article-journal","volume":"47"},"uris":["http://www.mendeley.com/documents/?uuid=4b3e7ee9-ac08-3c1c-b616-0a6feef47699"]},{"id":"ITEM-2","itemData":{"DOI":"10.1021/acscatal.7b01975","ISSN":"2155-5435","author":[{"dropping-particle":"","family":"Goodman","given":"Emmett D.","non-dropping-particle":"","parse-names":false,"suffix":""},{"dropping-particle":"","family":"Schwalbe","given":"Jay A.","non-dropping-particle":"","parse-names":false,"suffix":""},{"dropping-particle":"","family":"Cargnello","given":"Matteo","non-dropping-particle":"","parse-names":false,"suffix":""}],"container-title":"ACS Catalysis","id":"ITEM-2","issue":"10","issued":{"date-parts":[["2017","10","6"]]},"page":"7156-7173","title":"Mechanistic Understanding and the Rational Design of Sinter-Resistant Heterogeneous Catalysts","type":"article-journal","volume":"7"},"uris":["http://www.mendeley.com/documents/?uuid=b28e850f-3457-3249-b2ac-8734fa0e1fea"]}],"mendeley":{"formattedCitation":"[300], [301]","plainTextFormattedCitation":"[300], [301]","previouslyFormattedCitation":"[300], [301]"},"properties":{"noteIndex":0},"schema":"https://github.com/citation-style-language/schema/raw/master/csl-citation.json"}</w:instrText>
      </w:r>
      <w:r>
        <w:rPr>
          <w:rFonts w:cstheme="minorHAnsi"/>
          <w:szCs w:val="24"/>
        </w:rPr>
        <w:fldChar w:fldCharType="separate"/>
      </w:r>
      <w:r w:rsidR="006C586A" w:rsidRPr="006C586A">
        <w:rPr>
          <w:rFonts w:cstheme="minorHAnsi"/>
          <w:noProof/>
          <w:szCs w:val="24"/>
        </w:rPr>
        <w:t>[300], [301]</w:t>
      </w:r>
      <w:r>
        <w:rPr>
          <w:rFonts w:cstheme="minorHAnsi"/>
          <w:szCs w:val="24"/>
        </w:rPr>
        <w:fldChar w:fldCharType="end"/>
      </w:r>
      <w:r>
        <w:rPr>
          <w:rFonts w:cstheme="minorHAnsi"/>
          <w:szCs w:val="24"/>
        </w:rPr>
        <w:t>.</w:t>
      </w:r>
    </w:p>
    <w:p w14:paraId="0EFB7125" w14:textId="77777777" w:rsidR="00007F6C" w:rsidRDefault="00007F6C" w:rsidP="00007F6C">
      <w:pPr>
        <w:jc w:val="both"/>
        <w:rPr>
          <w:rFonts w:cstheme="minorHAnsi"/>
          <w:szCs w:val="24"/>
        </w:rPr>
      </w:pPr>
      <w:r>
        <w:rPr>
          <w:rFonts w:cstheme="minorHAnsi"/>
          <w:szCs w:val="24"/>
        </w:rPr>
        <w:t xml:space="preserve">After 50 h of ageing the nitrogen dried air calcined samples produced the smallest increase in the polarisation resistance. This is due to the increased particle dispersion having been via the formation of </w:t>
      </w:r>
      <w:proofErr w:type="spellStart"/>
      <w:r>
        <w:rPr>
          <w:rFonts w:cstheme="minorHAnsi"/>
          <w:szCs w:val="24"/>
        </w:rPr>
        <w:t>bunsenite</w:t>
      </w:r>
      <w:proofErr w:type="spellEnd"/>
      <w:r>
        <w:rPr>
          <w:rFonts w:cstheme="minorHAnsi"/>
          <w:szCs w:val="24"/>
        </w:rPr>
        <w:t xml:space="preserve"> particle during the drying </w:t>
      </w:r>
      <w:proofErr w:type="gramStart"/>
      <w:r>
        <w:rPr>
          <w:rFonts w:cstheme="minorHAnsi"/>
          <w:szCs w:val="24"/>
        </w:rPr>
        <w:t>step(</w:t>
      </w:r>
      <w:proofErr w:type="gramEnd"/>
      <w:r>
        <w:rPr>
          <w:rFonts w:cstheme="minorHAnsi"/>
          <w:szCs w:val="24"/>
        </w:rPr>
        <w:fldChar w:fldCharType="begin"/>
      </w:r>
      <w:r>
        <w:rPr>
          <w:rFonts w:cstheme="minorHAnsi"/>
          <w:szCs w:val="24"/>
        </w:rPr>
        <w:instrText xml:space="preserve"> REF _Ref50389199 \h </w:instrText>
      </w:r>
      <w:r>
        <w:rPr>
          <w:rFonts w:cstheme="minorHAnsi"/>
          <w:szCs w:val="24"/>
        </w:rPr>
      </w:r>
      <w:r>
        <w:rPr>
          <w:rFonts w:cstheme="minorHAnsi"/>
          <w:szCs w:val="24"/>
        </w:rPr>
        <w:fldChar w:fldCharType="separate"/>
      </w:r>
      <w:r>
        <w:t>Figure 4.</w:t>
      </w:r>
      <w:r>
        <w:rPr>
          <w:noProof/>
        </w:rPr>
        <w:t>6</w:t>
      </w:r>
      <w:r>
        <w:rPr>
          <w:rFonts w:cstheme="minorHAnsi"/>
          <w:szCs w:val="24"/>
        </w:rPr>
        <w:fldChar w:fldCharType="end"/>
      </w:r>
      <w:r>
        <w:rPr>
          <w:rFonts w:cstheme="minorHAnsi"/>
          <w:szCs w:val="24"/>
        </w:rPr>
        <w:t xml:space="preserve"> and </w:t>
      </w:r>
      <w:r>
        <w:rPr>
          <w:rFonts w:cstheme="minorHAnsi"/>
          <w:szCs w:val="24"/>
        </w:rPr>
        <w:fldChar w:fldCharType="begin"/>
      </w:r>
      <w:r>
        <w:rPr>
          <w:rFonts w:cstheme="minorHAnsi"/>
          <w:szCs w:val="24"/>
        </w:rPr>
        <w:instrText xml:space="preserve"> REF _Ref50377782 \h </w:instrText>
      </w:r>
      <w:r>
        <w:rPr>
          <w:rFonts w:cstheme="minorHAnsi"/>
          <w:szCs w:val="24"/>
        </w:rPr>
      </w:r>
      <w:r>
        <w:rPr>
          <w:rFonts w:cstheme="minorHAnsi"/>
          <w:szCs w:val="24"/>
        </w:rPr>
        <w:fldChar w:fldCharType="separate"/>
      </w:r>
      <w:r>
        <w:t>Figure 4.</w:t>
      </w:r>
      <w:r>
        <w:rPr>
          <w:noProof/>
        </w:rPr>
        <w:t>11</w:t>
      </w:r>
      <w:r>
        <w:rPr>
          <w:rFonts w:cstheme="minorHAnsi"/>
          <w:szCs w:val="24"/>
        </w:rPr>
        <w:fldChar w:fldCharType="end"/>
      </w:r>
      <w:r>
        <w:rPr>
          <w:rFonts w:cstheme="minorHAnsi"/>
          <w:szCs w:val="24"/>
        </w:rPr>
        <w:t xml:space="preserve">). </w:t>
      </w:r>
    </w:p>
    <w:p w14:paraId="5F305CC6" w14:textId="525D353A" w:rsidR="00007F6C" w:rsidRDefault="00007F6C" w:rsidP="00007F6C">
      <w:pPr>
        <w:jc w:val="both"/>
        <w:rPr>
          <w:rFonts w:cstheme="minorHAnsi"/>
          <w:szCs w:val="24"/>
        </w:rPr>
      </w:pPr>
      <w:r w:rsidRPr="00C76132">
        <w:rPr>
          <w:rFonts w:cstheme="minorHAnsi"/>
          <w:szCs w:val="24"/>
        </w:rPr>
        <w:t xml:space="preserve">This work has also emphasised the importance of only using a single inert gas processing step should be utilised for the lowest change in the polarisation resistance during ageing. The air calcination atmosphere is better at decomposing the nitrate to </w:t>
      </w:r>
      <w:proofErr w:type="spellStart"/>
      <w:r w:rsidRPr="00C76132">
        <w:rPr>
          <w:rFonts w:cstheme="minorHAnsi"/>
          <w:szCs w:val="24"/>
        </w:rPr>
        <w:t>NiO</w:t>
      </w:r>
      <w:proofErr w:type="spellEnd"/>
      <w:r w:rsidRPr="00C76132">
        <w:rPr>
          <w:rFonts w:cstheme="minorHAnsi"/>
          <w:szCs w:val="24"/>
        </w:rPr>
        <w:t xml:space="preserve"> ready for in-situ reduction, which was also found in work by Wolters et al </w:t>
      </w:r>
      <w:r w:rsidRPr="00C76132">
        <w:rPr>
          <w:rFonts w:cstheme="minorHAnsi"/>
          <w:szCs w:val="24"/>
        </w:rPr>
        <w:fldChar w:fldCharType="begin" w:fldLock="1"/>
      </w:r>
      <w:r w:rsidR="008B6E91">
        <w:rPr>
          <w:rFonts w:cstheme="minorHAnsi"/>
          <w:szCs w:val="24"/>
        </w:rPr>
        <w:instrText>ADDIN CSL_CITATION {"citationItems":[{"id":"ITEM-1","itemData":{"DOI":"10.1016/j.cattod.2010.02.052","ISBN":"0920-5861","ISSN":"09205861","abstract":"Control over the size and size distribution of supported nanoparticles is key to their efficient use in catalysis. In the preparation of nanoparticles by impregnation using nitrate precursors, the support pore diameter can be used to influence the average crystallite size. However, the particle size distributions obtained via this method are generally broad and the dispersions relatively low. Higher dispersions and narrow particle size distributions are obtained via thermal decomposition of the metal nitrate precursor in 1% (v/v) NO in Ar instead of air. Here we will show that by combining the confinement effect of ordered mesoporous silica with a decomposition step of metal nitrates in NO, silica supported nickel and cobalt oxides with a tunable particle size (2-4 nm) can be obtained at high loadings (10-20 wt%). © 2010 Elsevier B.V.","author":[{"dropping-particle":"","family":"Wolters","given":"Mariska","non-dropping-particle":"","parse-names":false,"suffix":""},{"dropping-particle":"","family":"Grotel","given":"Lotte J.W.","non-dropping-particle":"Van","parse-names":false,"suffix":""},{"dropping-particle":"","family":"Eggenhuisen","given":"Tamara M.","non-dropping-particle":"","parse-names":false,"suffix":""},{"dropping-particle":"","family":"Sietsma","given":"Jelle R.A.","non-dropping-particle":"","parse-names":false,"suffix":""},{"dropping-particle":"","family":"Jong","given":"Krijn P.","non-dropping-particle":"De","parse-names":false,"suffix":""},{"dropping-particle":"","family":"Jongh","given":"Petra E.","non-dropping-particle":"De","parse-names":false,"suffix":""}],"container-title":"Catalysis Today","id":"ITEM-1","issue":"1","issued":{"date-parts":[["2011"]]},"page":"27-32","publisher":"Elsevier B.V.","title":"Combining confinement and NO calcination to arrive at highly dispersed supported nickel and cobalt oxide catalysts with a tunable particle size","type":"article-journal","volume":"163"},"uris":["http://www.mendeley.com/documents/?uuid=dbe71c3a-342d-4308-a33f-f7c793681e9f"]},{"id":"ITEM-2","itemData":{"DOI":"10.1021/jp1081406","ISBN":"1932-7447","ISSN":"19327447","abstract":"Impregnation of porous silica supports with cobalt and nickel nitrate precursor solutions is a convenient method to prepare supported nickel and cobalt (oxide) catalysts. However, the metal (oxide) dispersion obtained is highly dependent on the gas atmosphere during thermal treatment to convert the metal nitrate to the metal oxide, where a 1% NO/He gas flow yields the highest and stagnant air the lowest dispersion. The origin of this large difference was previously investigated by studying the decomposition of a silica-supported nickel nitrate precursor dried at 120 °C, focusing on the ability of NO to act as an oxygen scavenger at high temperatures (200−350 °C). In this contribution we show, using in situ DRIFTS and XRD, that NO plays an equally if not more important role in the prevention of agglomeration of nickel and cobalt nitrate at low temperatures (25−150 °C). It was found that in a N2 and O2/N2 flow a mixture of metal hydroxynitrates and metal nitrate hydrates was formed between 100 and 150 °C, whereas in an NO/He flow nearly complete hydrolysis to hydroxynitrates occurred. The hydroxynitrates exhibited a reduced mobility upon decomposition, and therefore, it is proposed that their increased formation is the key to the high dispersions of NiO and Co3O4 obtained in NO.","author":[{"dropping-particle":"","family":"Wolters","given":"M.","non-dropping-particle":"","parse-names":false,"suffix":""},{"dropping-particle":"","family":"Munnik","given":"P.","non-dropping-particle":"","parse-names":false,"suffix":""},{"dropping-particle":"","family":"Bitter","given":"J. H.","non-dropping-particle":"","parse-names":false,"suffix":""},{"dropping-particle":"","family":"Jongh","given":"P. E.","non-dropping-particle":"De","parse-names":false,"suffix":""},{"dropping-particle":"","family":"Jong","given":"K. P.","non-dropping-particle":"De","parse-names":false,"suffix":""}],"container-title":"Journal of Physical Chemistry C","id":"ITEM-2","issue":"8","issued":{"date-parts":[["2011"]]},"page":"3332-3339","title":"How NO affects nickel and cobalt nitrates at low temperatures to arrive at highly dispersed silica-supported nickel and cobalt catalysts","type":"article-journal","volume":"115"},"uris":["http://www.mendeley.com/documents/?uuid=84a8c4c0-c629-44cc-a088-b62ced2633b4"]}],"mendeley":{"formattedCitation":"[202], [373]","plainTextFormattedCitation":"[202], [373]","previouslyFormattedCitation":"[202], [373]"},"properties":{"noteIndex":0},"schema":"https://github.com/citation-style-language/schema/raw/master/csl-citation.json"}</w:instrText>
      </w:r>
      <w:r w:rsidRPr="00C76132">
        <w:rPr>
          <w:rFonts w:cstheme="minorHAnsi"/>
          <w:szCs w:val="24"/>
        </w:rPr>
        <w:fldChar w:fldCharType="separate"/>
      </w:r>
      <w:r w:rsidR="00237E21" w:rsidRPr="00237E21">
        <w:rPr>
          <w:rFonts w:cstheme="minorHAnsi"/>
          <w:noProof/>
          <w:szCs w:val="24"/>
        </w:rPr>
        <w:t>[202], [373]</w:t>
      </w:r>
      <w:r w:rsidRPr="00C76132">
        <w:rPr>
          <w:rFonts w:cstheme="minorHAnsi"/>
          <w:szCs w:val="24"/>
        </w:rPr>
        <w:fldChar w:fldCharType="end"/>
      </w:r>
      <w:r w:rsidRPr="00C76132">
        <w:rPr>
          <w:rFonts w:cstheme="minorHAnsi"/>
          <w:szCs w:val="24"/>
        </w:rPr>
        <w:t xml:space="preserve">. This finding was also supported by the large reduction in initial Rp evident between the AD NC and ND AC samples. </w:t>
      </w:r>
    </w:p>
    <w:p w14:paraId="5CCFD74C" w14:textId="77777777" w:rsidR="00ED7066" w:rsidRPr="00C76132" w:rsidRDefault="00ED7066" w:rsidP="00007F6C">
      <w:pPr>
        <w:jc w:val="both"/>
        <w:rPr>
          <w:rFonts w:cstheme="minorHAnsi"/>
          <w:szCs w:val="24"/>
        </w:rPr>
      </w:pPr>
    </w:p>
    <w:p w14:paraId="5D640AF1" w14:textId="21909191" w:rsidR="00007F6C" w:rsidRDefault="00007F6C" w:rsidP="00007F6C">
      <w:pPr>
        <w:jc w:val="both"/>
        <w:rPr>
          <w:rFonts w:cstheme="minorHAnsi"/>
          <w:szCs w:val="24"/>
        </w:rPr>
      </w:pPr>
      <w:r w:rsidRPr="0069360D">
        <w:rPr>
          <w:rFonts w:cstheme="minorHAnsi"/>
          <w:szCs w:val="24"/>
        </w:rPr>
        <w:lastRenderedPageBreak/>
        <w:t>In contrast, the ND NC samples showed the promotion of a second gas phase diffusion at 1500 Hz</w:t>
      </w:r>
      <w:r>
        <w:rPr>
          <w:rFonts w:cstheme="minorHAnsi"/>
          <w:szCs w:val="24"/>
        </w:rPr>
        <w:t xml:space="preserve"> </w:t>
      </w:r>
      <w:r w:rsidRPr="0069360D">
        <w:rPr>
          <w:rFonts w:cstheme="minorHAnsi"/>
          <w:szCs w:val="24"/>
        </w:rPr>
        <w:t>(</w:t>
      </w:r>
      <w:r w:rsidRPr="0069360D">
        <w:rPr>
          <w:rFonts w:cstheme="minorHAnsi"/>
          <w:szCs w:val="24"/>
        </w:rPr>
        <w:fldChar w:fldCharType="begin"/>
      </w:r>
      <w:r w:rsidRPr="0069360D">
        <w:rPr>
          <w:rFonts w:cstheme="minorHAnsi"/>
          <w:szCs w:val="24"/>
        </w:rPr>
        <w:instrText xml:space="preserve"> REF _Ref41315996 \h </w:instrText>
      </w:r>
      <w:r>
        <w:rPr>
          <w:rFonts w:cstheme="minorHAnsi"/>
          <w:szCs w:val="24"/>
        </w:rPr>
        <w:instrText xml:space="preserve"> \* MERGEFORMAT </w:instrText>
      </w:r>
      <w:r w:rsidRPr="0069360D">
        <w:rPr>
          <w:rFonts w:cstheme="minorHAnsi"/>
          <w:szCs w:val="24"/>
        </w:rPr>
      </w:r>
      <w:r w:rsidRPr="0069360D">
        <w:rPr>
          <w:rFonts w:cstheme="minorHAnsi"/>
          <w:szCs w:val="24"/>
        </w:rPr>
        <w:fldChar w:fldCharType="separate"/>
      </w:r>
      <w:r w:rsidR="00ED7066">
        <w:t>Figure 4.26</w:t>
      </w:r>
      <w:r w:rsidRPr="0069360D">
        <w:rPr>
          <w:rFonts w:cstheme="minorHAnsi"/>
          <w:szCs w:val="24"/>
        </w:rPr>
        <w:fldChar w:fldCharType="end"/>
      </w:r>
      <w:r w:rsidRPr="0069360D">
        <w:rPr>
          <w:rFonts w:cstheme="minorHAnsi"/>
          <w:szCs w:val="24"/>
        </w:rPr>
        <w:t>). This was attributed to the gas-water phase diffusion of the fuel electrode indicative of the formation of water</w:t>
      </w:r>
      <w:r>
        <w:rPr>
          <w:rFonts w:cstheme="minorHAnsi"/>
          <w:szCs w:val="24"/>
        </w:rPr>
        <w:t xml:space="preserve"> </w:t>
      </w:r>
      <w:r w:rsidRPr="0069360D">
        <w:rPr>
          <w:rFonts w:cstheme="minorHAnsi"/>
          <w:szCs w:val="24"/>
        </w:rPr>
        <w:fldChar w:fldCharType="begin" w:fldLock="1"/>
      </w:r>
      <w:r w:rsidR="00151775">
        <w:rPr>
          <w:rFonts w:cstheme="minorHAnsi"/>
          <w:szCs w:val="24"/>
        </w:rPr>
        <w:instrText>ADDIN CSL_CITATION {"citationItems":[{"id":"ITEM-1","itemData":{"DOI":"10.1149/1.2943411","ISSN":"00134651","abstract":"The electrochemical impedance of Ni/yttria-stabilized zirconia ͑YSZ͒ cermet anodes is generally observed to consist of multiple features that can span the entire frequency range from hertz to megahertz. In order to assign the origin of these features, we apply a two-dimensional multiscale modeling approach that includes elementary kinetic electrochemistry, electrical double-layer forma-tion, diffusive transport in the porous cermet and the current collector mesh, gas-phase transport in the supply channel, and cermet microstructure description based on percolation theory. The model parameters are chosen to represent the electrolyte-supported symmetrical cell setup of Sonn et al. ͓J. Electrochem. Soc., 155, B675 ͑2008͔͒. The experimental data show three distinct impedance features. Using sensitivity analysis and model reductions, the physical model allows the assignment of the origin of these impedance features: ͑i͒ distributed charge transfer and electrical double layer cause an asymmetrical and depressed semi-circle at high frequencies ͑ϳ5 kHz͒; ͑ii͒ gas diffusion in the cermet and current collector mesh causes a small feature at intermediate frequencies ͑ϳ1 kHz͒; and ͑iii͒ gas diffusion in the supply channels causes a large, sometimes dominant feature at low frequencies ͑ϳ6 Hz͒. Two-dimensional spatial and temporal evolution of electrical current, potential, and gas composition during the impedance measurement are discussed.","author":[{"dropping-particle":"","family":"Gewies","given":"Stefan","non-dropping-particle":"","parse-names":false,"suffix":""},{"dropping-particle":"","family":"Bessler","given":"Wolfgang G.","non-dropping-particle":"","parse-names":false,"suffix":""}],"container-title":"Journal of The Electrochemical Society","id":"ITEM-1","issue":"9","issued":{"date-parts":[["2008"]]},"page":"B937","title":"Physically Based Impedance Modeling of Ni/YSZ Cermet Anodes","type":"article-journal","volume":"155"},"uris":["http://www.mendeley.com/documents/?uuid=20e2d650-b572-4776-bcad-150e167e004c"]},{"id":"ITEM-2","itemData":{"abstract":"نتم","author":[{"dropping-particle":"","family":"Gewies","given":"Stefan","non-dropping-particle":"","parse-names":false,"suffix":""}],"id":"ITEM-2","issued":{"date-parts":[["2009"]]},"number-of-pages":"78","publisher":"Heidelberg University","title":"Modellgestutzte Interpretation der ¨ elektrochemischen Charakteristik von Festoxid-Brennstoffzellen mit Ni/YSZ-Cermetanoden","type":"thesis"},"uris":["http://www.mendeley.com/documents/?uuid=d02fd637-f54e-48c8-9661-bab686724d12"]},{"id":"ITEM-3","itemData":{"DOI":"10.1149/1.2790791","ISSN":"00134651","abstract":"Many processes contribute to the overall impedance of an electrochemical cell, and these may be difficult to separate in the impedance spectrum. Here, we present an investigation of a solid oxide fuel cell based on differences in impedance spectra due to a change of operating parameters and present the result as the derivative of the impedance with respect to ln (f). The method is used to separate the anode and cathode contributions and to identify various types of processes. © 2007 The Electrochemical Society.","author":[{"dropping-particle":"","family":"Jensen","given":"So̸ren Ho̸jgaard","non-dropping-particle":"","parse-names":false,"suffix":""},{"dropping-particle":"","family":"Hauch","given":"Anne","non-dropping-particle":"","parse-names":false,"suffix":""},{"dropping-particle":"","family":"Hendriksen","given":"Peter Vang","non-dropping-particle":"","parse-names":false,"suffix":""},{"dropping-particle":"","family":"Mogensen","given":"Mogens","non-dropping-particle":"","parse-names":false,"suffix":""},{"dropping-particle":"","family":"Bonanos","given":"Nikolaos","non-dropping-particle":"","parse-names":false,"suffix":""},{"dropping-particle":"","family":"Jacobsen","given":"Torben","non-dropping-particle":"","parse-names":false,"suffix":""}],"container-title":"Journal of The Electrochemical Society","id":"ITEM-3","issue":"12","issued":{"date-parts":[["2007"]]},"page":"B1325","title":"A Method to Separate Process Contributions in Impedance Spectra by Variation of Test Conditions","type":"article-journal","volume":"154"},"uris":["http://www.mendeley.com/documents/?uuid=b66aecb4-20d5-4a69-943b-3e688ab72fd2"]}],"mendeley":{"formattedCitation":"[406], [425], [426]","plainTextFormattedCitation":"[406], [425], [426]","previouslyFormattedCitation":"[406], [425], [426]"},"properties":{"noteIndex":0},"schema":"https://github.com/citation-style-language/schema/raw/master/csl-citation.json"}</w:instrText>
      </w:r>
      <w:r w:rsidRPr="0069360D">
        <w:rPr>
          <w:rFonts w:cstheme="minorHAnsi"/>
          <w:szCs w:val="24"/>
        </w:rPr>
        <w:fldChar w:fldCharType="separate"/>
      </w:r>
      <w:r w:rsidR="008B6E91" w:rsidRPr="008B6E91">
        <w:rPr>
          <w:rFonts w:cstheme="minorHAnsi"/>
          <w:noProof/>
          <w:szCs w:val="24"/>
        </w:rPr>
        <w:t>[406], [425], [426]</w:t>
      </w:r>
      <w:r w:rsidRPr="0069360D">
        <w:rPr>
          <w:rFonts w:cstheme="minorHAnsi"/>
          <w:szCs w:val="24"/>
        </w:rPr>
        <w:fldChar w:fldCharType="end"/>
      </w:r>
      <w:r w:rsidRPr="0069360D">
        <w:rPr>
          <w:rFonts w:cstheme="minorHAnsi"/>
          <w:szCs w:val="24"/>
        </w:rPr>
        <w:t>.</w:t>
      </w:r>
      <w:r>
        <w:rPr>
          <w:rFonts w:cstheme="minorHAnsi"/>
          <w:szCs w:val="24"/>
        </w:rPr>
        <w:t xml:space="preserve"> This impedance contributions stem from the oxygen transfers from the YSZ phase towards the triple phase boundary. In the singular 10 % H</w:t>
      </w:r>
      <w:r>
        <w:rPr>
          <w:rFonts w:cstheme="minorHAnsi"/>
          <w:szCs w:val="24"/>
          <w:vertAlign w:val="subscript"/>
        </w:rPr>
        <w:t>2</w:t>
      </w:r>
      <w:r>
        <w:rPr>
          <w:rFonts w:cstheme="minorHAnsi"/>
          <w:szCs w:val="24"/>
        </w:rPr>
        <w:t>/N</w:t>
      </w:r>
      <w:r>
        <w:rPr>
          <w:rFonts w:cstheme="minorHAnsi"/>
          <w:szCs w:val="24"/>
          <w:vertAlign w:val="subscript"/>
        </w:rPr>
        <w:t>2</w:t>
      </w:r>
      <w:r>
        <w:rPr>
          <w:rFonts w:cstheme="minorHAnsi"/>
          <w:szCs w:val="24"/>
        </w:rPr>
        <w:t xml:space="preserve"> gas atmosphere utilised in this study, the oxide ions are being supplied by the YSZ phase inducing oxygen vacancies in the ceramic phase. At the TPBs these need to combine with two protons from the fuel to form water which is a two-step process shown below  in </w:t>
      </w:r>
      <w:r w:rsidRPr="00B34424">
        <w:rPr>
          <w:rFonts w:cstheme="minorHAnsi"/>
          <w:szCs w:val="24"/>
        </w:rPr>
        <w:fldChar w:fldCharType="begin"/>
      </w:r>
      <w:r w:rsidRPr="00B34424">
        <w:rPr>
          <w:rFonts w:cstheme="minorHAnsi"/>
          <w:szCs w:val="24"/>
        </w:rPr>
        <w:instrText xml:space="preserve"> REF _Ref51434055 \h  \* MERGEFORMAT </w:instrText>
      </w:r>
      <w:r w:rsidRPr="00B34424">
        <w:rPr>
          <w:rFonts w:cstheme="minorHAnsi"/>
          <w:szCs w:val="24"/>
        </w:rPr>
      </w:r>
      <w:r w:rsidRPr="00B34424">
        <w:rPr>
          <w:rFonts w:cstheme="minorHAnsi"/>
          <w:szCs w:val="24"/>
        </w:rPr>
        <w:fldChar w:fldCharType="separate"/>
      </w:r>
      <w:r w:rsidRPr="00C103C3">
        <w:t>Equation 4.2</w:t>
      </w:r>
      <w:r w:rsidRPr="00B34424">
        <w:rPr>
          <w:rFonts w:cstheme="minorHAnsi"/>
          <w:szCs w:val="24"/>
        </w:rPr>
        <w:fldChar w:fldCharType="end"/>
      </w:r>
      <w:r>
        <w:rPr>
          <w:rFonts w:cstheme="minorHAnsi"/>
          <w:szCs w:val="24"/>
        </w:rPr>
        <w:t xml:space="preserve"> </w:t>
      </w:r>
      <w:r>
        <w:rPr>
          <w:rFonts w:cstheme="minorHAnsi"/>
          <w:szCs w:val="24"/>
        </w:rPr>
        <w:fldChar w:fldCharType="begin" w:fldLock="1"/>
      </w:r>
      <w:r w:rsidR="00151775">
        <w:rPr>
          <w:rFonts w:cstheme="minorHAnsi"/>
          <w:szCs w:val="24"/>
        </w:rPr>
        <w:instrText>ADDIN CSL_CITATION {"citationItems":[{"id":"ITEM-1","itemData":{"DOI":"10.1021/acs.jpcc.5b10878","ISSN":"19327455","abstract":"A model of Ni-yttria stabilized zirconia (YSZ)-gas triple phase boundary (TPB) is built to simulate the oxygen transfer and hydrogen oxidation processes in solid oxide fuel cell anodes by using density functional theory. The highest barrier in the anodic processes is found in the step of oxygen transfer from the YSZ surface to the TPB site, where the oxygen is connected with nickel and yttrium/zirconium atoms. Three TPB sites and associated reaction paths, near Y or Zr atoms, and one nickel site on the Ni terrace are compared for the hydrogen oxidation reaction. Depending on the local structures of TPB sites, the reaction barrier of the (O + H)</w:instrText>
      </w:r>
      <w:r w:rsidR="00151775">
        <w:rPr>
          <w:rFonts w:ascii="Cambria Math" w:hAnsi="Cambria Math" w:cs="Cambria Math"/>
          <w:szCs w:val="24"/>
        </w:rPr>
        <w:instrText>∗</w:instrText>
      </w:r>
      <w:r w:rsidR="00151775">
        <w:rPr>
          <w:rFonts w:cstheme="minorHAnsi"/>
          <w:szCs w:val="24"/>
        </w:rPr>
        <w:instrText xml:space="preserve"> </w:instrText>
      </w:r>
      <w:r w:rsidR="00151775">
        <w:rPr>
          <w:rFonts w:ascii="Calibri" w:hAnsi="Calibri" w:cs="Calibri"/>
          <w:szCs w:val="24"/>
        </w:rPr>
        <w:instrText>→</w:instrText>
      </w:r>
      <w:r w:rsidR="00151775">
        <w:rPr>
          <w:rFonts w:cstheme="minorHAnsi"/>
          <w:szCs w:val="24"/>
        </w:rPr>
        <w:instrText xml:space="preserve"> OH</w:instrText>
      </w:r>
      <w:r w:rsidR="00151775">
        <w:rPr>
          <w:rFonts w:ascii="Cambria Math" w:hAnsi="Cambria Math" w:cs="Cambria Math"/>
          <w:szCs w:val="24"/>
        </w:rPr>
        <w:instrText>∗</w:instrText>
      </w:r>
      <w:r w:rsidR="00151775">
        <w:rPr>
          <w:rFonts w:cstheme="minorHAnsi"/>
          <w:szCs w:val="24"/>
        </w:rPr>
        <w:instrText xml:space="preserve"> reaction varies from 0.46 to 0.57 eV, and the reaction barrier of (OH + H)</w:instrText>
      </w:r>
      <w:r w:rsidR="00151775">
        <w:rPr>
          <w:rFonts w:ascii="Cambria Math" w:hAnsi="Cambria Math" w:cs="Cambria Math"/>
          <w:szCs w:val="24"/>
        </w:rPr>
        <w:instrText>∗</w:instrText>
      </w:r>
      <w:r w:rsidR="00151775">
        <w:rPr>
          <w:rFonts w:cstheme="minorHAnsi"/>
          <w:szCs w:val="24"/>
        </w:rPr>
        <w:instrText xml:space="preserve"> </w:instrText>
      </w:r>
      <w:r w:rsidR="00151775">
        <w:rPr>
          <w:rFonts w:ascii="Calibri" w:hAnsi="Calibri" w:cs="Calibri"/>
          <w:szCs w:val="24"/>
        </w:rPr>
        <w:instrText>→</w:instrText>
      </w:r>
      <w:r w:rsidR="00151775">
        <w:rPr>
          <w:rFonts w:cstheme="minorHAnsi"/>
          <w:szCs w:val="24"/>
        </w:rPr>
        <w:instrText xml:space="preserve"> H2O</w:instrText>
      </w:r>
      <w:r w:rsidR="00151775">
        <w:rPr>
          <w:rFonts w:ascii="Cambria Math" w:hAnsi="Cambria Math" w:cs="Cambria Math"/>
          <w:szCs w:val="24"/>
        </w:rPr>
        <w:instrText>∗</w:instrText>
      </w:r>
      <w:r w:rsidR="00151775">
        <w:rPr>
          <w:rFonts w:cstheme="minorHAnsi"/>
          <w:szCs w:val="24"/>
        </w:rPr>
        <w:instrText xml:space="preserve"> varies from 0.83 to 1.05 eV. When O or OH is on the Ni site, which is only 3 </w:instrText>
      </w:r>
      <w:r w:rsidR="00151775">
        <w:rPr>
          <w:rFonts w:ascii="Calibri" w:hAnsi="Calibri" w:cs="Calibri"/>
          <w:szCs w:val="24"/>
        </w:rPr>
        <w:instrText>Å</w:instrText>
      </w:r>
      <w:r w:rsidR="00151775">
        <w:rPr>
          <w:rFonts w:cstheme="minorHAnsi"/>
          <w:szCs w:val="24"/>
        </w:rPr>
        <w:instrText xml:space="preserve"> from the Y at TPB site, the reaction barriers of the above reactions are 1.15 and 1.02 eV, respectively.","author":[{"dropping-particle":"","family":"Liu","given":"Shixue","non-dropping-particle":"","parse-names":false,"suffix":""},{"dropping-particle":"","family":"Ishimoto","given":"Takayoshi","non-dropping-particle":"","parse-names":false,"suffix":""},{"dropping-particle":"","family":"Monder","given":"Dayadeep S.","non-dropping-particle":"","parse-names":false,"suffix":""},{"dropping-particle":"","family":"Koyama","given":"Michihisa","non-dropping-particle":"","parse-names":false,"suffix":""}],"container-title":"Journal of Physical Chemistry C","id":"ITEM-1","issue":"49","issued":{"date-parts":[["2015"]]},"page":"27603-27608","title":"First-Principles Study of Oxygen Transfer and Hydrogen Oxidation Processes at the Ni-YSZ-Gas Triple Phase Boundaries in a Solid Oxide Fuel Cell Anode","type":"article-journal","volume":"119"},"uris":["http://www.mendeley.com/documents/?uuid=9c77b0ed-ede9-4678-94f8-239d4fe58b37"]},{"id":"ITEM-2","itemData":{"DOI":"10.1149/2.084311jes","ISBN":"0272-8842","ISSN":"0013-4651","abstract":"The microstructural evolution of Ni -Yttria-Stabilized Zirconia (YSZ) anode functional layers in anode-supported solid oxide fuel cells was studied after aging in humidified hydrogen at temperatures from 900–1100 • C and times up to 500 h. The relatively large (</w:instrText>
      </w:r>
      <w:r w:rsidR="00151775">
        <w:rPr>
          <w:rFonts w:ascii="Cambria Math" w:hAnsi="Cambria Math" w:cs="Cambria Math"/>
          <w:szCs w:val="24"/>
        </w:rPr>
        <w:instrText>∼</w:instrText>
      </w:r>
      <w:r w:rsidR="00151775">
        <w:rPr>
          <w:rFonts w:cstheme="minorHAnsi"/>
          <w:szCs w:val="24"/>
        </w:rPr>
        <w:instrText xml:space="preserve">6000 </w:instrText>
      </w:r>
      <w:r w:rsidR="00151775">
        <w:rPr>
          <w:rFonts w:ascii="Calibri" w:hAnsi="Calibri" w:cs="Calibri"/>
          <w:szCs w:val="24"/>
        </w:rPr>
        <w:instrText>μ</w:instrText>
      </w:r>
      <w:r w:rsidR="00151775">
        <w:rPr>
          <w:rFonts w:cstheme="minorHAnsi"/>
          <w:szCs w:val="24"/>
        </w:rPr>
        <w:instrText>m 3) three-dimensional transmission X-ray microscopy images provided good statistics in measured microstructural data. Feature sizes in the YSZ and Ni phases changed little until the highest temperature and time, whereas the pore phase feature size increased for all temperatures and times. Ni-YSZ interfacial area increased at the expense of pore-YSZ interfaces after moderate annealing, with a general decrease in interfacial areas observed at longer times and higher temperatures. Three-phase boundary (TPB) density decreased rapidly initially, but then more slowly, with increasing annealing temperature and time. Electrochemical impedance spectroscopy measurements showed a corresponding increase in the anode response associated with electrochemical hydrogen oxidation at TPBs. A higher fraction of isolated pores and larger pore tortuosity was observed at intermediate annealing temperatures and times, with a corresponding increase in the gas diffusion impedance response. Solid oxide fuel cell (SOFC) systems are being developed mainly for stationary power generation, where they should operate with minimal performance loss at elevated temperature for at least 40,000 hours. 1 Achieving minimal long-term degradation is thus crit-ical to the commercialization these systems. Coarsening of Ni parti-cles in nickel – yttria stabilized zirconia (Ni-YSZ) anodes has been reported as a reason for SOFC performance degradation. 2–4 While these studies have mostly quantified Ni coarsening, it is also desir-able to have a more complete description of Ni-YSZ anode structural evolution including the YSZ and pore phases, since the electrode po-larization resistance depends on many structural factors. Furthermore, Ni-YSZ anodes with different characteristic microstructures – includ-ing the volume fractions of the solid and pore phases, particle sizes, etc. – will presumably evolve differently for a given set of operating conditions. For example, Cronin et al. 5 suggested that anodes with low Ni content and low pore volume are less susceptible to Ni coars-ening. Thus, it is important to provide a full description of the anode microstructure in studies of microstructural evolution. Focused ion beam – scanning electro…","author":[{"dropping-particle":"","family":"Chen-Wiegart","given":"Yu-chen Karen","non-dropping-particle":"","parse-names":false,"suffix":""},{"dropping-particle":"","family":"Barnett","given":"Scott A.","non-dropping-particle":"","parse-names":false,"suffix":""},{"dropping-particle":"","family":"Cronin","given":"J. Scott","non-dropping-particle":"","parse-names":false,"suffix":""},{"dropping-particle":"","family":"Wang","given":"Jun","non-dropping-particle":"","parse-names":false,"suffix":""},{"dropping-particle":"","family":"Kennouche","given":"David","non-dropping-particle":"","parse-names":false,"suffix":""}],"container-title":"Journal of The Electrochemical Society","id":"ITEM-2","issue":"11","issued":{"date-parts":[["2013"]]},"page":"F1293-F1304","title":"Three-Dimensional Microstructural Evolution of Ni- Yttria-Stabilized Zirconia Solid Oxide Fuel Cell Anodes At Elevated Temperatures","type":"article-journal","volume":"160"},"uris":["http://www.mendeley.com/documents/?uuid=98a97c86-79e2-40d1-a240-7177272192b1"]}],"mendeley":{"formattedCitation":"[427], [428]","plainTextFormattedCitation":"[427], [428]","previouslyFormattedCitation":"[427], [428]"},"properties":{"noteIndex":0},"schema":"https://github.com/citation-style-language/schema/raw/master/csl-citation.json"}</w:instrText>
      </w:r>
      <w:r>
        <w:rPr>
          <w:rFonts w:cstheme="minorHAnsi"/>
          <w:szCs w:val="24"/>
        </w:rPr>
        <w:fldChar w:fldCharType="separate"/>
      </w:r>
      <w:r w:rsidR="008B6E91" w:rsidRPr="008B6E91">
        <w:rPr>
          <w:rFonts w:cstheme="minorHAnsi"/>
          <w:noProof/>
          <w:szCs w:val="24"/>
        </w:rPr>
        <w:t>[427], [428]</w:t>
      </w:r>
      <w:r>
        <w:rPr>
          <w:rFonts w:cstheme="minorHAnsi"/>
          <w:szCs w:val="24"/>
        </w:rPr>
        <w:fldChar w:fldCharType="end"/>
      </w:r>
      <w:r w:rsidRPr="00B34424">
        <w:rPr>
          <w:rFonts w:cstheme="minorHAnsi"/>
          <w:szCs w:val="24"/>
        </w:rPr>
        <w:t>.</w:t>
      </w:r>
      <w:r>
        <w:rPr>
          <w:rFonts w:cstheme="minorHAnsi"/>
          <w:szCs w:val="24"/>
        </w:rPr>
        <w:t xml:space="preserve">  This interaction is denoted in EIS by an arc at 1500 Hz.</w:t>
      </w:r>
    </w:p>
    <w:p w14:paraId="6204B8C8" w14:textId="77777777" w:rsidR="00007F6C" w:rsidRPr="00FC18F5" w:rsidRDefault="00B51F53" w:rsidP="004F66C8">
      <w:pPr>
        <w:jc w:val="both"/>
        <w:rPr>
          <w:rFonts w:eastAsiaTheme="minorEastAsia" w:cstheme="minorHAnsi"/>
          <w:szCs w:val="24"/>
        </w:rPr>
      </w:pPr>
      <m:oMathPara>
        <m:oMath>
          <m:sSup>
            <m:sSupPr>
              <m:ctrlPr>
                <w:rPr>
                  <w:rFonts w:ascii="Cambria Math" w:hAnsi="Cambria Math" w:cstheme="minorHAnsi"/>
                  <w:i/>
                  <w:szCs w:val="24"/>
                </w:rPr>
              </m:ctrlPr>
            </m:sSupPr>
            <m:e>
              <m:d>
                <m:dPr>
                  <m:ctrlPr>
                    <w:rPr>
                      <w:rFonts w:ascii="Cambria Math" w:hAnsi="Cambria Math" w:cstheme="minorHAnsi"/>
                      <w:i/>
                      <w:szCs w:val="24"/>
                    </w:rPr>
                  </m:ctrlPr>
                </m:dPr>
                <m:e>
                  <m:r>
                    <m:rPr>
                      <m:sty m:val="p"/>
                    </m:rPr>
                    <w:rPr>
                      <w:rFonts w:ascii="Cambria Math" w:hAnsi="Cambria Math" w:cstheme="minorHAnsi"/>
                      <w:szCs w:val="24"/>
                    </w:rPr>
                    <m:t>O+H</m:t>
                  </m:r>
                </m:e>
              </m:d>
            </m:e>
            <m:sup>
              <m:r>
                <m:rPr>
                  <m:sty m:val="p"/>
                </m:rPr>
                <w:rPr>
                  <w:rFonts w:ascii="Cambria Math" w:hAnsi="Cambria Math" w:cstheme="minorHAnsi"/>
                  <w:szCs w:val="24"/>
                </w:rPr>
                <m:t>*</m:t>
              </m:r>
            </m:sup>
          </m:sSup>
          <m:r>
            <m:rPr>
              <m:sty m:val="p"/>
            </m:rPr>
            <w:rPr>
              <w:rFonts w:ascii="Cambria Math" w:hAnsi="Cambria Math" w:cstheme="minorHAnsi"/>
              <w:szCs w:val="24"/>
            </w:rPr>
            <m:t>→</m:t>
          </m:r>
          <m:sSup>
            <m:sSupPr>
              <m:ctrlPr>
                <w:rPr>
                  <w:rFonts w:ascii="Cambria Math" w:hAnsi="Cambria Math" w:cstheme="minorHAnsi"/>
                  <w:i/>
                  <w:szCs w:val="24"/>
                </w:rPr>
              </m:ctrlPr>
            </m:sSupPr>
            <m:e>
              <m:r>
                <m:rPr>
                  <m:sty m:val="p"/>
                </m:rPr>
                <w:rPr>
                  <w:rFonts w:ascii="Cambria Math" w:hAnsi="Cambria Math" w:cstheme="minorHAnsi"/>
                  <w:szCs w:val="24"/>
                </w:rPr>
                <m:t>OH</m:t>
              </m:r>
            </m:e>
            <m:sup>
              <m:r>
                <m:rPr>
                  <m:sty m:val="p"/>
                </m:rPr>
                <w:rPr>
                  <w:rFonts w:ascii="Cambria Math" w:hAnsi="Cambria Math" w:cstheme="minorHAnsi"/>
                  <w:szCs w:val="24"/>
                </w:rPr>
                <m:t>*</m:t>
              </m:r>
            </m:sup>
          </m:sSup>
        </m:oMath>
      </m:oMathPara>
    </w:p>
    <w:p w14:paraId="6A31CCCF" w14:textId="77777777" w:rsidR="00007F6C" w:rsidRPr="0069360D" w:rsidRDefault="00B51F53" w:rsidP="004F66C8">
      <w:pPr>
        <w:keepNext/>
        <w:jc w:val="both"/>
        <w:rPr>
          <w:rFonts w:cstheme="minorHAnsi"/>
          <w:szCs w:val="24"/>
        </w:rPr>
      </w:pPr>
      <m:oMathPara>
        <m:oMath>
          <m:sSup>
            <m:sSupPr>
              <m:ctrlPr>
                <w:rPr>
                  <w:rFonts w:ascii="Cambria Math" w:hAnsi="Cambria Math" w:cstheme="minorHAnsi"/>
                  <w:i/>
                  <w:szCs w:val="24"/>
                </w:rPr>
              </m:ctrlPr>
            </m:sSupPr>
            <m:e>
              <m:d>
                <m:dPr>
                  <m:ctrlPr>
                    <w:rPr>
                      <w:rFonts w:ascii="Cambria Math" w:hAnsi="Cambria Math" w:cstheme="minorHAnsi"/>
                      <w:i/>
                      <w:szCs w:val="24"/>
                    </w:rPr>
                  </m:ctrlPr>
                </m:dPr>
                <m:e>
                  <m:r>
                    <m:rPr>
                      <m:sty m:val="p"/>
                    </m:rPr>
                    <w:rPr>
                      <w:rFonts w:ascii="Cambria Math" w:hAnsi="Cambria Math" w:cstheme="minorHAnsi"/>
                      <w:szCs w:val="24"/>
                    </w:rPr>
                    <m:t>OH+H</m:t>
                  </m:r>
                </m:e>
              </m:d>
            </m:e>
            <m:sup>
              <m:r>
                <m:rPr>
                  <m:sty m:val="p"/>
                </m:rPr>
                <w:rPr>
                  <w:rFonts w:ascii="Cambria Math" w:hAnsi="Cambria Math" w:cstheme="minorHAnsi"/>
                  <w:szCs w:val="24"/>
                </w:rPr>
                <m:t>*</m:t>
              </m:r>
            </m:sup>
          </m:sSup>
          <m:r>
            <m:rPr>
              <m:sty m:val="p"/>
            </m:rPr>
            <w:rPr>
              <w:rFonts w:ascii="Cambria Math" w:hAnsi="Cambria Math" w:cstheme="minorHAnsi"/>
              <w:szCs w:val="24"/>
            </w:rPr>
            <m:t>→</m:t>
          </m:r>
          <m:sSub>
            <m:sSubPr>
              <m:ctrlPr>
                <w:rPr>
                  <w:rFonts w:ascii="Cambria Math" w:hAnsi="Cambria Math" w:cstheme="minorHAnsi"/>
                  <w:i/>
                  <w:szCs w:val="24"/>
                </w:rPr>
              </m:ctrlPr>
            </m:sSubPr>
            <m:e>
              <m:r>
                <m:rPr>
                  <m:sty m:val="p"/>
                </m:rPr>
                <w:rPr>
                  <w:rFonts w:ascii="Cambria Math" w:hAnsi="Cambria Math" w:cstheme="minorHAnsi"/>
                  <w:szCs w:val="24"/>
                </w:rPr>
                <m:t>H</m:t>
              </m:r>
            </m:e>
            <m:sub>
              <m:r>
                <m:rPr>
                  <m:sty m:val="p"/>
                </m:rPr>
                <w:rPr>
                  <w:rFonts w:ascii="Cambria Math" w:hAnsi="Cambria Math" w:cstheme="minorHAnsi"/>
                  <w:szCs w:val="24"/>
                </w:rPr>
                <m:t>2</m:t>
              </m:r>
            </m:sub>
          </m:sSub>
          <m:sSup>
            <m:sSupPr>
              <m:ctrlPr>
                <w:rPr>
                  <w:rFonts w:ascii="Cambria Math" w:hAnsi="Cambria Math" w:cstheme="minorHAnsi"/>
                  <w:i/>
                  <w:szCs w:val="24"/>
                </w:rPr>
              </m:ctrlPr>
            </m:sSupPr>
            <m:e>
              <m:r>
                <m:rPr>
                  <m:sty m:val="p"/>
                </m:rPr>
                <w:rPr>
                  <w:rFonts w:ascii="Cambria Math" w:hAnsi="Cambria Math" w:cstheme="minorHAnsi"/>
                  <w:szCs w:val="24"/>
                </w:rPr>
                <m:t>O</m:t>
              </m:r>
            </m:e>
            <m:sup>
              <m:r>
                <m:rPr>
                  <m:sty m:val="p"/>
                </m:rPr>
                <w:rPr>
                  <w:rFonts w:ascii="Cambria Math" w:hAnsi="Cambria Math" w:cstheme="minorHAnsi"/>
                  <w:szCs w:val="24"/>
                </w:rPr>
                <m:t>*</m:t>
              </m:r>
            </m:sup>
          </m:sSup>
        </m:oMath>
      </m:oMathPara>
    </w:p>
    <w:p w14:paraId="138B2095" w14:textId="560087F8" w:rsidR="00007F6C" w:rsidRDefault="00007F6C" w:rsidP="00007F6C">
      <w:pPr>
        <w:pStyle w:val="Caption"/>
        <w:jc w:val="right"/>
        <w:rPr>
          <w:i w:val="0"/>
          <w:iCs w:val="0"/>
          <w:color w:val="auto"/>
          <w:sz w:val="22"/>
          <w:szCs w:val="22"/>
        </w:rPr>
      </w:pPr>
      <w:bookmarkStart w:id="423" w:name="_Ref51434055"/>
      <w:r w:rsidRPr="00B34424">
        <w:rPr>
          <w:i w:val="0"/>
          <w:iCs w:val="0"/>
          <w:color w:val="auto"/>
          <w:sz w:val="22"/>
          <w:szCs w:val="22"/>
        </w:rPr>
        <w:t>Equation 4.</w:t>
      </w:r>
      <w:r w:rsidRPr="00B34424">
        <w:rPr>
          <w:i w:val="0"/>
          <w:iCs w:val="0"/>
          <w:color w:val="auto"/>
          <w:sz w:val="22"/>
          <w:szCs w:val="22"/>
        </w:rPr>
        <w:fldChar w:fldCharType="begin"/>
      </w:r>
      <w:r w:rsidRPr="00B34424">
        <w:rPr>
          <w:i w:val="0"/>
          <w:iCs w:val="0"/>
          <w:color w:val="auto"/>
          <w:sz w:val="22"/>
          <w:szCs w:val="22"/>
        </w:rPr>
        <w:instrText xml:space="preserve"> SEQ Equation \* ARABIC </w:instrText>
      </w:r>
      <w:r w:rsidRPr="00B34424">
        <w:rPr>
          <w:i w:val="0"/>
          <w:iCs w:val="0"/>
          <w:color w:val="auto"/>
          <w:sz w:val="22"/>
          <w:szCs w:val="22"/>
        </w:rPr>
        <w:fldChar w:fldCharType="separate"/>
      </w:r>
      <w:r w:rsidR="00315BF8">
        <w:rPr>
          <w:i w:val="0"/>
          <w:iCs w:val="0"/>
          <w:noProof/>
          <w:color w:val="auto"/>
          <w:sz w:val="22"/>
          <w:szCs w:val="22"/>
        </w:rPr>
        <w:t>2</w:t>
      </w:r>
      <w:r w:rsidRPr="00B34424">
        <w:rPr>
          <w:i w:val="0"/>
          <w:iCs w:val="0"/>
          <w:color w:val="auto"/>
          <w:sz w:val="22"/>
          <w:szCs w:val="22"/>
        </w:rPr>
        <w:fldChar w:fldCharType="end"/>
      </w:r>
      <w:bookmarkEnd w:id="423"/>
    </w:p>
    <w:p w14:paraId="3A141BB3" w14:textId="3E2537D2" w:rsidR="00EC45C7" w:rsidRDefault="00A17BA8" w:rsidP="004F66C8">
      <w:pPr>
        <w:jc w:val="both"/>
      </w:pPr>
      <w:r>
        <w:t>The</w:t>
      </w:r>
      <w:r w:rsidR="004F66C8">
        <w:t xml:space="preserve"> key learning from this work has hinged upon the</w:t>
      </w:r>
      <w:r>
        <w:t xml:space="preserve"> utilisation of a nitrogen drying</w:t>
      </w:r>
      <w:r w:rsidR="004F66C8">
        <w:t xml:space="preserve"> or calcination</w:t>
      </w:r>
      <w:r>
        <w:t xml:space="preserve"> step </w:t>
      </w:r>
      <w:r w:rsidR="004F66C8">
        <w:t xml:space="preserve">to reduce the degradation rate of the fuel electrode during service. </w:t>
      </w:r>
      <w:r w:rsidR="00EC45C7">
        <w:t>Further</w:t>
      </w:r>
      <w:r w:rsidR="004F66C8">
        <w:t xml:space="preserve"> work is need</w:t>
      </w:r>
      <w:r w:rsidR="00EC45C7">
        <w:t xml:space="preserve">ed </w:t>
      </w:r>
      <w:r w:rsidR="004F66C8">
        <w:t>for this finding to be suitable for SOFCs. Variables such as gas flow rates, compositions and step durations are required to produce a method suitable for industrial SOFC stacks.</w:t>
      </w:r>
    </w:p>
    <w:p w14:paraId="24493121" w14:textId="67B5B104" w:rsidR="004F66C8" w:rsidRDefault="004F66C8" w:rsidP="004F66C8">
      <w:pPr>
        <w:jc w:val="both"/>
      </w:pPr>
      <w:r>
        <w:t xml:space="preserve">During the drying step, the inert nitrogen atmosphere </w:t>
      </w:r>
      <w:r w:rsidRPr="001302B6">
        <w:t xml:space="preserve">has induced </w:t>
      </w:r>
      <w:r>
        <w:t xml:space="preserve">reduced the convection of the  nickel nitrate crystals reducing their particle size and promoting the degradation of the film into </w:t>
      </w:r>
      <w:proofErr w:type="spellStart"/>
      <w:r>
        <w:t>NiO</w:t>
      </w:r>
      <w:proofErr w:type="spellEnd"/>
      <w:r>
        <w:t xml:space="preserve"> particles </w:t>
      </w:r>
      <w:r>
        <w:fldChar w:fldCharType="begin" w:fldLock="1"/>
      </w:r>
      <w:r>
        <w:instrText xml:space="preserve">ADDIN CSL_CITATION {"citationItems":[{"id":"ITEM-1","itemData":{"DOI":"10.1016/j.cattod.2010.02.052","ISBN":"0920-5861","ISSN":"09205861","abstract":"Control over the size and size distribution of supported nanoparticles is key to their efficient use in catalysis. In the preparation of nanoparticles by impregnation using nitrate precursors, the support pore diameter can be used to influence the average crystallite size. However, the particle size distributions obtained via this method are generally broad and the dispersions relatively low. Higher dispersions and narrow particle size distributions are obtained via thermal decomposition of the metal nitrate precursor in 1% (v/v) NO in Ar instead of air. Here we will show that by combining the confinement effect of ordered mesoporous silica with a decomposition step of metal nitrates in NO, silica supported nickel and cobalt oxides with a tunable particle size (2-4 nm) can be obtained at high loadings (10-20 wt%). © 2010 Elsevier B.V.","author":[{"dropping-particle":"","family":"Wolters","given":"Mariska","non-dropping-particle":"","parse-names":false,"suffix":""},{"dropping-particle":"","family":"Grotel","given":"Lotte J.W.","non-dropping-particle":"Van","parse-names":false,"suffix":""},{"dropping-particle":"","family":"Eggenhuisen","given":"Tamara M.","non-dropping-particle":"","parse-names":false,"suffix":""},{"dropping-particle":"","family":"Sietsma","given":"Jelle R.A.","non-dropping-particle":"","parse-names":false,"suffix":""},{"dropping-particle":"","family":"Jong","given":"Krijn P.","non-dropping-particle":"De","parse-names":false,"suffix":""},{"dropping-particle":"","family":"Jongh","given":"Petra E.","non-dropping-particle":"De","parse-names":false,"suffix":""}],"container-title":"Catalysis Today","id":"ITEM-1","issue":"1","issued":{"date-parts":[["2011"]]},"page":"27-32","publisher":"Elsevier B.V.","title":"Combining confinement and NO calcination to arrive at highly dispersed supported nickel and cobalt oxide catalysts with a tunable particle size","type":"article-journal","volume":"163"},"uris":["http://www.mendeley.com/documents/?uuid=dbe71c3a-342d-4308-a33f-f7c793681e9f"]},{"id":"ITEM-2","itemData":{"DOI":"10.1016/j.jechem.2016.01.006","ISBN":"20954956 (ISSN)","abstract":"The deactivation behavior by crystallite growth of nickel nanoparticles on various supports (carbon nanofibers, zirconia, SiC, α-Al2O3 and γ-Al2O3) was investigated in the aqueous phase reforming of ethylene glycol. Supported Ni catalysts of </w:instrText>
      </w:r>
      <w:r>
        <w:rPr>
          <w:rFonts w:ascii="Cambria Math" w:hAnsi="Cambria Math" w:cs="Cambria Math"/>
        </w:rPr>
        <w:instrText>∼</w:instrText>
      </w:r>
      <w:r>
        <w:instrText xml:space="preserve">10 wt% were prepared by impregnation of carbon nanofibers (CNF), ZrO2, SiC, </w:instrText>
      </w:r>
      <w:r>
        <w:rPr>
          <w:rFonts w:ascii="Calibri" w:hAnsi="Calibri" w:cs="Calibri"/>
        </w:rPr>
        <w:instrText>γ</w:instrText>
      </w:r>
      <w:r>
        <w:instrText xml:space="preserve">-Al2O3 and </w:instrText>
      </w:r>
      <w:r>
        <w:rPr>
          <w:rFonts w:ascii="Calibri" w:hAnsi="Calibri" w:cs="Calibri"/>
        </w:rPr>
        <w:instrText>α</w:instrText>
      </w:r>
      <w:r>
        <w:instrText xml:space="preserve">-Al2O3. The extent of the Ni nanoparticle growth on various support materials follows the order CNF </w:instrText>
      </w:r>
      <w:r>
        <w:rPr>
          <w:rFonts w:ascii="Cambria Math" w:hAnsi="Cambria Math" w:cs="Cambria Math"/>
        </w:rPr>
        <w:instrText>∼</w:instrText>
      </w:r>
      <w:r>
        <w:instrText xml:space="preserve"> ZrO2 &gt; SiC &gt; </w:instrText>
      </w:r>
      <w:r>
        <w:rPr>
          <w:rFonts w:ascii="Calibri" w:hAnsi="Calibri" w:cs="Calibri"/>
        </w:rPr>
        <w:instrText>γ</w:instrText>
      </w:r>
      <w:r>
        <w:instrText xml:space="preserve">-Al2O3 &gt;&gt; </w:instrText>
      </w:r>
      <w:r>
        <w:rPr>
          <w:rFonts w:ascii="Calibri" w:hAnsi="Calibri" w:cs="Calibri"/>
        </w:rPr>
        <w:instrText>α</w:instrText>
      </w:r>
      <w:r>
        <w:instrText>-Al2O3 which sequence, however, was determined by the initial Ni particle size. Based on the observed nickel leaching and the specific growth characteristics; the particle size distribution and the effect of loading on the growth rate, Ostwald ripening is suggested to be the main mechanism contributing to nickel particle growth. Remarkably, initially smaller Ni particles (</w:instrText>
      </w:r>
      <w:r>
        <w:rPr>
          <w:rFonts w:ascii="Cambria Math" w:hAnsi="Cambria Math" w:cs="Cambria Math"/>
        </w:rPr>
        <w:instrText>∼</w:instrText>
      </w:r>
      <w:r>
        <w:instrText xml:space="preserve">12 nm) supported on </w:instrText>
      </w:r>
      <w:r>
        <w:rPr>
          <w:rFonts w:ascii="Calibri" w:hAnsi="Calibri" w:cs="Calibri"/>
        </w:rPr>
        <w:instrText>α</w:instrText>
      </w:r>
      <w:r>
        <w:instrText>-Al2O3 were found to outgrow Ni particles with initially larger size (</w:instrText>
      </w:r>
      <w:r>
        <w:rPr>
          <w:rFonts w:ascii="Cambria Math" w:hAnsi="Cambria Math" w:cs="Cambria Math"/>
        </w:rPr>
        <w:instrText>∼</w:instrText>
      </w:r>
      <w:r>
        <w:instrText>20 nm). It is put forward that the higher susceptibility with respect to oxidation of the smaller Ni nanoparticles and differences in initial particle size distribution are responsible for this behavior. © 2016 Science Press and Dalian Institute of Chemical Physics. All rights reserved.","author":[{"dropping-particle":"","family":"Haasterecht","given":"T","non-dropping-particle":"Van","parse-names":false,"suffix":""},{"dropping-particle":"","family":"Swart","given":"M","non-dropping-particle":"","parse-names":false,"suffix":""},{"dropping-particle":"","family":"Jong","given":"K P","non-dropping-particle":"De","parse-names":false,"suffix":""},{"dropping-particle":"","family":"Bitter","given":"J H","non-dropping-particle":"","parse-names":false,"suffix":""}],"container-title":"Journal of Energy Chemistry","id":"ITEM-2","issue":"2","issued":{"date-parts":[["2016"]]},"language":"English","note":"Cited By :1\nExport Date: 20 January 2017\nCorrespondence Address: Bitter, J.H.; Inorganic Chemistry and Catalysis, Utrecht UniversityNetherlands; email: harry.bitter@wur.nl\nReferences: Van Haasterecht, T., Ludding, C.C.I., De Jong, K.P., Bitter, J.H., (2013) J. Energy Chem., 22, p. 12; Van Haasterecht, T., Ludding, C.C.I., De Jong, K.P., Bitter, J.H., (2014) J. Catal., 319, pp. 27-35; Van Haasterecht, T., Van Deelen, T.W., De Jong, K.P., Bitter, J.H., (2014) Catal. Sci. Technol., 4, pp. 2353-2366; Huber, G.W., Shabaker, J.W., Dumesic, J.A., (2003) Science, 300, pp. 2075-2077; Sehested, J., Gelten, J.A.P., Remediakis, I.N., Bengaard, H., Nørskov, J.K., (2004) J. Catal., 223, pp. 432-443; Prieto, G., Meeldijk, J.D., De Jong, K.P., De Jongh, P.E., (2013) J. Catal., 303, pp. 31-40; Prieto, G., Zecevic, J., Friedrich, H., De Jong, K.P., De Jongh, P.E., (2013) Nat. Mater., 12, pp. 34-39; Behafarid, F., Roldan Cuenya, B., (2013) Top. Catal., 56, pp. 1542-1559; Bartholomew, C.H., (1994) Studies in Surface Science and Catalysis, pp. 1-18. , B. Delmon G.F. Froment Elsevier; Montassier, C., Dumas, J.M., Granger, P., Barbier, J., (1995) Appl. Catal. A: Gen., 121, pp. 231-244; Shabaker, J.W., Simonetti, D.A., Cortright, R.D., Dumesic, J.A., (2005) J. Catal., 231, pp. 67-76; Connolly, J.F., Flannery, R.J., Meyers, B.L., (1967) J. Electrochem. Soc., 114, pp. 241-243; Bett, J.A.S., Kinoshita, K., Stonehart, P., (1976) J. Catal., 41, pp. 124-133; Vleeming, J.H., Kuster, B.F.M., Marin, G.B., Oudet, F., Courtine, P., (1997) J. Catal., 166, pp. 148-159; Douidah, A., Marécot, P., Labruquère, S., Barbier, J., (2001) Appl. Catal. A: Gen., 210, pp. 111-120; Douidah, A., Marecot, P., Barbier, J., (2002) Appl. Catal. A: Gen., 225, pp. 11-19; Douidah, A., Marecot, P., Szabo, S., Barbier, J., (2002) Appl. Catal. A: Gen., 225, pp. 21-31; Shao-Horn, Y., Sheng, W.C., Chen, S., Ferreira, P.J., Holby, E.F., Morgan, D., (2007) Top. Catal., 46, pp. 285-305; Wynblatt, P., Gjostein, N.A., (1975) Prog. Solid State Chem., 9, pp. 21-58; Flynn, P.C., Wanke, S.E., (1974) J. Catal., 34, pp. 390-399; Matson, T.D., Barta, K., Iretskii, A.V., Ford, P.C., (2011) J. Am. Chem. Soc., 133, pp. 14090-14097; Barta, K., Matson, T.D., Fettig, M.L., Scott, S.L., Iretskii, A.V., Ford, P.C., (2010) Green Chem., 12, pp. 1640-1647; Wiedemann, S.C.C., Stewart, J.A., Soulimani, F., Van Bergen-Brenkman, T., Langelaar, S., Wels, B., De Peinder, P., Weckhuysen, B.M., (2014) J. Catal., 316, pp. 24-35; Dunning, W.J., (1973) Particle Growth in Suspensions, , Academic Press; Munnik, P., Velthoen, M.E.Z., De Jongh, P.E., De Jong, K.P., Gommes, C.J., (2014) Angew. Chem. Int. Ed., 53, pp. 9493-9497; Yu, K., Groom, D.J., Wang, X., Yang, Z., Gummalla, M., Ball, S.C., Myers, D.J., Ferreira, P.J., (2014) Chem. Mater., 26, pp. 5540-5548; Flynn, P.C., Wanke, S.E., (1974) J. Catal., 34, pp. 400-410; Van Den Berg, R., Parmentier, T.E., Elkjær, C.F., Gommes, C.J., Sehested, J., Helveg, S., De Jongh, P.E., De Jong, K.P., (2015) ACS Catal., 5, pp. 4439-4448","page":"289-296","publisher":"Elsevier B.V.","title":"Effect of initial nickel particle size on stability of nickel catalysts for aqueous phase reforming","type":"article-journal","volume":"25"},"uris":["http://www.mendeley.com/documents/?uuid=3b56f638-4954-4265-890a-e148cdf742d1"]},{"id":"ITEM-3","itemData":{"DOI":"10.1021/nn406119j","ISBN":"19360851 (ISSN)","abstract":"Metal nanoparticle growth represents a major deactivation mechanism of supported catalysts and other functional nanomaterials, particularly those based on low melting-point metals. Here we investigate the impact of the support porous structure on the stability of CuZnO/SiO2 model methanol synthesis catalysts. A series of silica materials with ordered cagelike (SBA-16 mesostructure) and disordered (SiO2-gel) porosities and varying pore sizes were employed as catalyst supports. Nitric oxide moderated nitrate decomposition enabled the synthesis of catalytically active Cu nanoparticles (3-5 nm) exclusively inside the silica pores with short interparticle spacings. Under relevant reactive conditions, confinement of the Cu particles in cagelike silica pores notably enhances catalyst stability by limiting Cu particle growth as compared to catalysts deposited in SiO2-gel host materials with also 3D and highly interconnected though unconstrained porosity. For both pore morphologies, we find a direct relationship between catalyst stability and support porosity, provided the narrowest characteristic pore dimension is employed as a porosity descriptor. For cagelike porosities this corresponds to the size of the entrances to the nanocages. Our results point to nanoparticle diffusion and coalescence as a relevant growth mechanism under reactive conditions and underscore the significance of the narrowest pore constrictions to mitigate growth and improve catalyst stability. This finding contributes to the establishment of general and quantitative structure-stability relationships which are essential for the design of catalysts and related functional nanostructures with long lifetimes under operation conditions. © 2014 American Chemical Society.","author":[{"dropping-particle":"","family":"Prieto","given":"G","non-dropping-particle":"","parse-names":false,"suffix":""},{"dropping-particle":"","family":"Shakeri","given":"M","non-dropping-particle":"","parse-names":false,"suffix":""},{"dropping-particle":"","family":"Jong","given":"K P","non-dropping-particle":"De","parse-names":false,"suffix":""},{"dropping-particle":"","family":"Jongh","given":"P E","non-dropping-particle":"De","parse-names":false,"suffix":""}],"container-title":"ACS Nano","id":"ITEM-3","issue":"3","issued":{"date-parts":[["2014"]]},"language":"English","note":"Cited By :20\nExport Date: 20 January 2017\nCorrespondence Address: De Jongh, P.E.; Inorganic Chemistry and Catalysis, Debye Institute for Nanomaterials Science, Utrecht University, 3584 CG, Utrecht, Netherlands; email: P.E.deJongh@uu.nl\nFunding details: Utrecht University\nReferences: Ertl, G., Knözinger, H., Schüth, F., Weitkamp, J., (2008) Handbook of Heterogeneous Catalysis, , Eds. Wiley-VCH: Weinheim; Wynblatt, P., Gjostein, N.A., Supported Metal Crystallites (1975) Prog. Solid State Chem., 9, pp. 21-58; Bartholomew, C.H., Mechanisms of Catalyst Deactivation (2001) Appl. Catal. A Gen., 212, pp. 17-60; Moulijn, J.A., Van Diepen, A.E., Kapteijn, F., Catalyst Deactivation: Is it Predictable?-What to Do? (2001) Appl. Catal., A, 212, pp. 3-16; Valden, M., Lai, X., Goodman, D.W., Onset of Catalytic Activity of Gold Clusters on Titania with the Appearance of Nonmetallic Properties (1998) Science, 281, pp. 1647-1650; Van Santen, R.A., Complementary Structure Sensitive and Insensitive Catalytic Relationships (2009) Acc. Chem. Res., 42, pp. 57-66; Bezemer, L., Bitter, J.H., Kuipers, H.P.C.E., Oosterbeek, H., Holewijn, J.E., Xu, X., Kapteijn, F., De Jong, K.P., Cobalt Particle Size Effects in the Fischer-Tropsch Reaction Studied with Carbon Nanofiber Supported Catalysts (2006) J. Am. Chem. Soc., 128, pp. 3956-3964; Hughes, M.D., Xu, Y.J., Jenkins, P., McMorn, P., Landon, P., Enache, D.I., Carley, A.F., Kiely, C.J., Tunable Gold Catalysts for Selective Hydrocarbon Oxidation under Mild Conditions (2005) Nature, 437, pp. 1132-1135; Torres Galvis, H.M., Bitter, J.H., Davidian, T., Ruitenbeek, M., Dugulan, A.I., De Jong, K.P., Iron Particle Size Effects for Direct Production of Lower Olefins from Synthesis Gas (2012) J. Am. Chem. Soc., 134, pp. 16207-16215; Boronat, M., Concepción, P., Corma, A., González, S., Illas, F., Serna, P., A Molecular Mechanism for the Chemoselective Hydrogenation of Substituted Nitroaromatics with Nanoparticles of Gold on TiO2 Catalysts: A Cooperative Effect between Gold and the Support (2007) J. Am. Chem. Soc., 129, pp. 16230-16237; Prieto, G., Concepción, P., Martínez, A., Mendoza, E., New Insights into the Role of the Electronic Properties of Oxide Promoters in Rh-Catalyzed Selective Synthesis of Oxygenates from Synthesis Gas (2011) J. Catal., 280, pp. 274-288; López-Haro, M., Cíes, J.M., Trasobares, S., Pérez-Omil, J.A., Delgado, J.J., Bernal, S., Bayle-Guillemaud, P., Calvino, J.J., Imaging Nanostructural Modifications Induced by Electronic Metal-Support Interaction Effects at Au/Cerium-Based Oxide Nanointerfaces (2012) ACS Nano, 6, pp. 6812-6820; Cao, A., Veser, G., Exceptional High-Temperature Stability Through Distillation-like Self-Stabilization in Bimetallic Nanoparticles (2010) Nat. Mater., 9, pp. 75-81; Farmer, J.A., Campbell, C.T., Ceria Maintains Smaller Metal Catalyst Particles by Strong Metal-Support Bonding (2010) Science, 239, pp. 933-936; Wang, Y., Van De Vyver, S., Sharma, K., Román-Leshkov, Y., Insights into the Stability of Gold Nanoparticles Supported on Metal Oxides for the Base-Free Oxidation of Glucose to Gluconic Acid (2014) Green Chem., 16, pp. 719-726; Arnal, P.M., Comotti, M., Schüth, F., High-Temperature-Stable Catalysts by Hollow Sphere Encapsulation (2006) Angew. Chem., Int. Ed., 45, pp. 8224-8227; Joo, S.H., Park, J.Y., Tsung, C.K., Yamada, Y., Yang, P., Somorjai, G.A., Thermally Stable Pt/Mesoporous Silica Core-Shell Nanocatalysts for High-Temperature Reactions (2009) Nat. Mater., 8, pp. 126-131; Lu, J., Fu, B., Kung, M.C., Xiao, G., Elam, J.W., Kung, H.H., Stair, P.C., Coking- and Sintering-Resistant Palladium Catalysts Achieved Through Atomic Layer Deposition (2012) Science, 335, pp. 1205-1208; Prieto, G., Zecevic, J., Friedrich, H., De Jong, K.P., De Jongh, P.E., Towards Stable Catalysts by Controlling Collective Properties of Supported Metal Nanoparticles (2013) Nat. Mater., 12, pp. 34-39; Prieto, G., Meeldijk, J.D., De Jong, K.P., De Jongh, P.E., Interplay between Pore Size and Nanoparticle Spatial Distribution: Consequences for the Stability of CuZn/SiO2 Methanol Synthesis Catalysts (2013) J. Catal., 303, pp. 31-40; Cao, A., Lu, R., Veser, G., Stabilizing Metal Nanoparticles for Heterogeneous Catalysis (2010) Phys. Chem. Chem. Phys., 12, pp. 13499-13510; Wang, J., Lu, A.-H., Li, M., Zhang, W., Chen, Y.-S., Tian, D.-X., Li, W.-C., Thin Porous Alumina Sheets as Supports for Stabilizing Gold Nanoparticles (2013) ACS Nano, 7, pp. 4902-4910; Ruckenstein, E., Pulvermacher, B., Effect of the Pore Size on the Aging of Supported Metals (1975) J. Catal., 37, pp. 416-423; Richardson, J.T., Propp, J.L., Pore Size Effects on Sintering of Ni/Al2O3 Catalysts (1986) J. Catal., 98, pp. 457-467; Sun, J., Ma, D., Zhang, H., Liu, X., Han, X., Bao, X., Weinberg, G., Su, D., Toward Monodispersed Silver Nanoparticles with Unusual Thermal Stability (2006) J. Am. Chem. Soc., 128, pp. 15756-15764; Bore, M.T., Pham, H.N., Switzer, E.E., Ward, T.L., Fukuoka, A., Datye, A.K., The Role of Pore Size and Structure on the Thermal Stability of Gold Nanoparticles within Mesoporous Silica (2005) J. Phys. Chem. B, 109, pp. 2873-2880; Zhao, D.Y., Huo, Q.S., Feng, J.L., Chmelka, B.F., Stucky, G.D., Nonionic Triblock and Star Diblock Copolymer and Oligomeric Surfactant Syntheses of Highly Ordered, Hydrothermally Stable, Mesoporous Silica Structures (1998) J. Am. Chem. Soc., 120, pp. 6024-6036; Yu, C.Z., Yu, Y.H., Zhao, D.Y., Highly Ordered Large Caged Cubic Mesoporous Silica Structures Templated by Triblock PEO-PBO-PEO Copolymer (2000) Chem. Commun., pp. 575-576; Fan, J., Yu, C.Z., Gao, T., Lei, J., Tian, B.Z., Wang, L.M., Luo, Q., Zhao, D.Y., Cubic Mesoporous Silica with Large Controllable Entrance Sizes and Advanced Adsorption Properties (2003) Angew. Chem., Int. Ed., 42, pp. 3146-3150; Matos, J.R., Kruk, M., Mercuri, L.P., Jaroniec, M., Zhao, L., Kamiyama, T., Terasaki, O., Liu, Y., Ordered Mesoporous Silica with Large Cage-Like Pores: Structural Identification and Pore Connectivity Design by Controlling the Synthesis Temperature and Time (2003) J. Am. Chem. Soc., 125, pp. 821-829; Li, L.Y., King, D.L., Liu, J., Huo, Q.S., Zhu, K.K., Wang, C.M., Gerber, M., Wang, Y., Stabilization of Metal Nanoparticles in Cubic Mesostructured Silica and Its Application in Regenerable Deep Desulfurization of Warm Syngas (2009) Chem. Mater., 21, pp. 5358-5364; Hao, Y., Chong, Y., Li, S., Yang, H., Controlled Synthesis of Au Nanoparticles in the Nanocages of SBA-16: Improved Activity and Enhanced Recyclability for the Oxidative Esterification of Alcohols (2012) J. Phys. Chem. C, 116, pp. 6512-6519; Li, X., Liu, X., Yang, Y., Zhao, J., Li, C., Yang, Q., Entrapment of Metal Nanoparticles within Nanocages of Mesoporous Silicas Aided by Co-Surfactants (2012) J. Mater. Chem., 22, pp. 21045-21050; Chorkendorff, I., Niemantsverdriet, H., (2003) Concepts of Modern Catalysis and Kinetics, , Eds. Wiley-VCH: Weinheim; Olah, G.A., Goeppert, A., Surya Prakash, G.K., (2009) Beyond Oil and Gas: The Methanol Economy, , Eds. Wiley-VCH: Weinheim; Twigg, M.V., Spencer, M.S., Deactivation of Copper Metal Catalysts for Methanol Steam Reforming and Methanol Synthesis (2003) Top. Catal., 22, pp. 191-203; Rasmussen, D.B., Janssens, T.V.W., Temel, B., Bligaard, T., Hinnemann, B., Helveg, S., Sehested, J., The Energies of Formation and Mobilities of Cu Surface Species on Cu and ZnO in Methanol and Water Gas Shift Atmospheres Studied by DFT (2012) J. Catal., 293, pp. 205-214; Baltes, C., Vukojević, S., Schüth, F., Correlations between Synthesis, Precursor, and Catalyst Structure and Activity of a Large Set of CuO/ZnO/Al2O3 Catalysts for Methanol Synthesis (2008) J. Catal., 258, pp. 334-344; Behrens, M., Studt, F., Kasatjin, I., Kühl, S., Hävecker, M., Abild-Pedersen, K., Zander, S., Schlögl, R., The Active Site of Methanol Synthesis over Cu/ZnO/Al2O 3 Industrial Catalysts (2012) Science, 336, pp. 893-897; Prieto, G., De Jong, K.P., De Jongh, P.E., Towards &amp;quot;greener&amp;quot; Catalyst Manufacture: Reduction of Wastewater from the Preparation of Cu/ZnO/Al2O3 Methanol Synthesis Catalysts (2013) Catal. Today, 215, pp. 142-151; Jansen, W.P.A., Beckers, J., Van Der Heuvel, J.C., Van Der Gon, A.W.D., Bliek, A., Brongersma, H.H., Dynamic Behavior of the Surface Structure of Cu/ZnO/SiO2 Catalysts (2002) J. Catal., 210, pp. 229-236; Becker, R., Parala, H., Hipler, F., Tkachenko, O.P., Klementiev, K.V., Grünert, W., Wilmer, H., Fischer, R.A., MOCVD-Loading of Mesoporous Siliceous Matrices with Cu/ZnO: Supported Catalysts for Methanol Synthesis (2004) Angew. Chem., Int. Ed., 43, pp. 2839-2842; Van Den Berg, M.W.E., Polarz, S., Tkachenko, O.P., Klementiev, K.V., Bandyopadhyay, M., Khodeir, L., Gies, H., Grünert, W., Cu/ZnO Aggregates in Siliceous Mesoporous Matrices: Development of a New Model Methanol Synthesis Catalyst (2006) J. Catal., 241, pp. 446-455; Munnik, P., Wolters, M., Gabrielsson, A., Pollington, S.D., Headdock, G., Bitter, J.H., De Jongh, P.E., De Jong, K.P., Copper Nitrate Redispersion to Arrive at Highly Active Silica Supported Copper Catalysts (2011) J. Phys. Chem. C, 115, pp. 14698-14706; Sing, K.S.W., Williams, R.T., Physisorption Hysteresis Loops and the Characterization of Nanoporous Materials (2004) Adsorpt. Sci. Technol., 22, pp. 773-782; Ravikovitch, P.I., Neimark, A.V., Density Functional Theory of Adsorption in Spherical Cavities and Pore Size Characterization of Templated Nanoporous Silicas with Cubic and Three-Dimensional Hexagonal Structures (2002) Langmuir, 18, pp. 1550-1560; Eggenhuisen, T.M., Prieto, G., Talsma, H., De Jong, K.P., De Jongh, P.E., Entrance Size Analysis of Silica Materials with Cagelike Pore Structure by Thermoporometry (2012) J. Phys. Chem. C, 116, pp. 23383-23393; Kruk, M., Jaroniec, M., Argon Adsorption at 77 K as a Useful Tool for the Elucidation of Pore Connectivity in Ordered Materials with Large Cagelike Mesopores (2003) Chem. Mater., 15, pp. 2942-2949; Kim, T.-W., Ryoo, R., Kruk, M., Gierszal, K.P., Jaroniec, M., Kamiya, S., Terasaki, O., Tailoring the Pore Structure of SBA-16 Silica Molecular Sieve Through the Use of Copolymer Blends and Control of Synthesis Temperature and Time (2004) J. Phys. Chem. B, 108, pp. 11480-11489; Antonchshuk, V., Kruk, M., Jaroniec, M., Surface Modifications of Cage-like and Channel-like Mesopores and Their Implications for Evaluation of Sizes of Entrances to Cage-like Mesopores (2003) J. Phys. Chem. B, 107, pp. 11900-11906; Kruk, M., Antonchshuk, V., Matos, J.R., Mercuri, L.P., Jaroniec, M., Determination and Tailoring the Pore Entrance Size in Ordered Silicas with Cage-like Mesoporous Structures (2002) J. Am. Chem. Soc., 124, pp. 768-769; Shakeri, M., Klein Gebbink, R.J.M., De Jongh, P.E., De Jong, K.P., Control and Assessment of Plugging of Mesopores in SBA-15 Materials (2013) Microporous Mesoporous Mater., 170, pp. 340-345; De Jong, K.P., (2009) Synthesis of Solid Catalysts, , Ed. Wiley-VCH: Weinheim; Chouillet, C., Villain, F., Kermarec, M., Lauron-Pernot, H., Louis, C., Relevance of the Drying Step in the Preparation by Impregnation of Zn/SiO2 Supported Catalysts (2003) J. Phys. Chem. B, 107, pp. 3565-3575; Catillon-Mucherie, S., Ammari, F., Krafft, J.-M., Lauron-Pernot, H., Touroude, R., Louis, C., Preparation of Coimpregnated Cu-Zn/SiO2 Catalysts: Influence of the Drying Step on Metallic Particle Size and on Cu0-Zn II Interactions (2007) J. Phys. Chem. C, 111, pp. 11619-11626; Sietsma, J.R.A., Meeldijk, J.D., Den Breejen, J.P., Versluijs-Helder, M., Van Dillen, A.J., De Jongh, P.E., De Jong, K.P., The Preparation of Supported NiO and Co3O4 Nanoparticles by the Nitric Oxide Controlled Thermal Decomposition of Nitrates (2007) Angew. Chem., Int. Ed., 46, pp. 4547-4549; Wolters, M., Munnik, P., Bitter, J.H., De Jongh, P.E., De Jong, K.P., How NO Affects Nickel and Cobalt Nitrates at Low Temperatures to Arrive at Highly Dispersed Silica-Supported Nickel and Cobalt Catalysts (2011) J. Phys. Chem. C, 115, pp. 3332-3339; Okabe, K., Sayama, K., Matsubayashi, N., Shimomura, K., Arakawa, H., Selective Hydrogenation of Carbon Dioxide to Methanol on Cu-ZnO/SiO 2 Catalysts Prepared by Alkoxide Method (1992) Bull. Chem. Soc. Jpn., 65, pp. 2520-2525; García-Trenco, A., Martínez, A., A Simple and Efficient Approach to Confine Cu/ZnO Methanol Synthesis Catalysts in the Ordered Mesoporous SBA-15 Silica (2013) Catal. Today, 215, pp. 152-161; Yan, X., Wang, X., Tang, Y., Ma, G., Zou, S., Li, R., Peng, X., Fan, J., Unusual Loading-Dependent Sintering-Resistant Properties of Gold Nanoparticles Supported within Extra-Large Mesopores (2013) Chem. Mater., 25, pp. 1556-1563; Ahn, T.-M., Tien, J.K., Coarsening Kinetics of Platinum Particles on Curved Oxide Substrates (1980) J. Catal., 66, pp. 335-346; Kruk, M., Jaroniec, M., Determination of Mesopore Size Distributions from Argon Adsorption Data at 77 K (2002) J. Phys. Chem. B, 106, pp. 4732-4739; Kleitz, F., Solovyov, L.A., Anilkumar, G.M., Choi, S.H., Ryoo, R., Transformation of Highly Ordered Large Pore Silica Mesophases (Fm3m, Im3m and p6mm) in a Ternary Triblock Copolymer-Butanol-Water System (2004) Chem. Commun., pp. 1536-1537","page":"2522-2531","publisher":"American Chemical Society","title":"Quantitative relationship between support porosity and the stability of pore-confined metal nanoparticles studied on CuZnO/SiO2 methanol synthesis catalysts","type":"article-journal","volume":"8"},"uris":["http://www.mendeley.com/documents/?uuid=dbf52664-4bdb-47ad-a41b-9586fddaf827"]}],"mendeley":{"formattedCitation":"[116], [179], [373]","plainTextFormattedCitation":"[116], [179], [373]","previouslyFormattedCitation":"[116], [179], [373]"},"properties":{"noteIndex":0},"schema":"https://github.com/citation-style-language/schema/raw/master/csl-citation.json"}</w:instrText>
      </w:r>
      <w:r>
        <w:fldChar w:fldCharType="separate"/>
      </w:r>
      <w:r w:rsidRPr="00237E21">
        <w:rPr>
          <w:noProof/>
        </w:rPr>
        <w:t>[116], [179], [373]</w:t>
      </w:r>
      <w:r>
        <w:fldChar w:fldCharType="end"/>
      </w:r>
      <w:r>
        <w:t>. The dispersed particles are subject to nucleation and growth via back-diffusion due to the temperature exceeding 100</w:t>
      </w:r>
      <w:r>
        <w:rPr>
          <w:rFonts w:cstheme="minorHAnsi"/>
        </w:rPr>
        <w:t>⁰</w:t>
      </w:r>
      <w:r>
        <w:t xml:space="preserve">C and being physically constrained by the nitrate film (TPR, </w:t>
      </w:r>
      <w:r>
        <w:fldChar w:fldCharType="begin"/>
      </w:r>
      <w:r>
        <w:instrText xml:space="preserve"> REF _Ref50553497 \h  \* MERGEFORMAT </w:instrText>
      </w:r>
      <w:r>
        <w:fldChar w:fldCharType="separate"/>
      </w:r>
      <w:r>
        <w:t>Figure 4.20</w:t>
      </w:r>
      <w:r>
        <w:fldChar w:fldCharType="end"/>
      </w:r>
      <w:r>
        <w:t xml:space="preserve">) </w:t>
      </w:r>
      <w:r>
        <w:fldChar w:fldCharType="begin" w:fldLock="1"/>
      </w:r>
      <w:r w:rsidR="00151775">
        <w:instrText>ADDIN CSL_CITATION {"citationItems":[{"id":"ITEM-1","itemData":{"DOI":"10.1021/ja00112a014","ISSN":"15205126","abstract":"A new method of preparation of silica-supported nickel materials makes possible the control of the particle size of metallic nickel in the range 20—60 Å and in particular the obtention of decreasing particle size for increasing metal content. The preparation involves a two-step procedure: nickel in strong interaction with the support is deposited first, then nickel in weak interaction. After temperature-programmed reduction up to 700 °C, metal nickel particles are obtained whose size depends on the respective amounts of nickel deposited at each step of preparation. The average particle size is always smaller and the size distribution narrower than those of samples prepared by classical impregnation. This preparation method involves an easy to carry out procedure: (i) nickel in strong interaction is obtained by impregnation of nickel nitrate followed by water-washing or by ion-exchange followed by calcination; (ii) nickel in weak interaction is obtained by impregnation. It is shown that a mechanism of particle growth on the nickel nuclei is responsible for the changes in particle size. It takes place after impregnation during the drying step at 90 °C via condensation reactions between the two types of nickel. Nickel in strong interaction, identified as phyllosilicates or as grafted nickel depending on the preparation conditions, acts as nucleation sites for the particle growth arising from nickel in weak interaction. During drying in air at 90 °C, impregnated nickel nitrate transforms into a basic nitrate whose OH groups can react either with those in phyllosilicates or with H2O in the coordination sphere of grafted nickel. © 1995, American Chemical Society. All rights reserved.","author":[{"dropping-particle":"","family":"Che","given":"Michel","non-dropping-particle":"","parse-names":false,"suffix":""},{"dropping-particle":"","family":"Cheng","given":"Zheng Xing","non-dropping-particle":"","parse-names":false,"suffix":""},{"dropping-particle":"","family":"Louis","given":"Catherine","non-dropping-particle":"","parse-names":false,"suffix":""}],"container-title":"Journal of the American Chemical Society","id":"ITEM-1","issue":"7","issued":{"date-parts":[["1995"]]},"page":"2008-2018","title":"Nucleation and Particle Growth Processes Involved in the Preparation of Silica-Supported Nickel Materials by a Two-Step Procedure","type":"article-journal","volume":"117"},"uris":["http://www.mendeley.com/documents/?uuid=75082ae8-a72c-4dc1-a3d3-698d69928624"]},{"id":"ITEM-2","itemData":{"DOI":"10.1021/cr400544s","ISSN":"15206890","author":[{"dropping-particle":"","family":"Thanh","given":"Nguyen T.K.","non-dropping-particle":"","parse-names":false,"suffix":""},{"dropping-particle":"","family":"Maclean","given":"N.","non-dropping-particle":"","parse-names":false,"suffix":""},{"dropping-particle":"","family":"Mahiddine","given":"S.","non-dropping-particle":"","parse-names":false,"suffix":""}],"container-title":"Chemical Reviews","id":"ITEM-2","issue":"15","issued":{"date-parts":[["2014"]]},"page":"7610-7630","title":"Mechanisms of nucleation and growth of nanoparticles in solution","type":"article-journal","volume":"114"},"uris":["http://www.mendeley.com/documents/?uuid=5b98d009-c1ae-4203-bddb-3130520e53bd"]},{"id":"ITEM-3","itemData":{"DOI":"10.1016/j.physb.2009.04.024","ISSN":"09214526","abstract":"The non-isothermal decomposition process of anhydrous nickel nitrate under air atmosphere was investigated. The kinetic analysis of decomposition process was performed using Friedman (FR), Kissinger-Akahira-Sunose (KAS) and Flynn-Wall-Ozawa (FWO) isoconversional methods. The kinetic model was determined by the Málek's method. The composite differential method I was used for checking the established reaction model. It was found that the value of Ea calculated by composite differential method (Ea=147.1 kJ mol-1) represents the medium value between the values of the apparent activation energy calculated by FR (Ea,FR=152.8 kJ mol-1) and FWO (Ea,FWO=143.1 kJ mol-1) methods. Using two special functions (y(α) and z(α)), it was found that the two-parameter autocatalytic model (Šesták-Berggren (SB) kinetic model) with kinetic exponents M=0.23 and N=1.14 is the most adequate one to describe the decomposition kinetics of the studied system at various heating rates. The obtained non-isothermal differential conversion curves from the experimental data show the results being accordant with those theoretically calculated. It was concluded that the SB kinetic model can be used for a quantitative description of non-isothermal decomposition process of anhydrous nickel nitrate which involves the partially overlapping nucleation and growth phases. © 2009 Elsevier B.V. All rights reserved.","author":[{"dropping-particle":"","family":"Janković","given":"B.","non-dropping-particle":"","parse-names":false,"suffix":""},{"dropping-particle":"","family":"Mentus","given":"S.","non-dropping-particle":"","parse-names":false,"suffix":""},{"dropping-particle":"","family":"Jelić","given":"D.","non-dropping-particle":"","parse-names":false,"suffix":""}],"container-title":"Physica B: Condensed Matter","id":"ITEM-3","issue":"16","issued":{"date-parts":[["2009"]]},"page":"2263-2269","title":"A kinetic study of non-isothermal decomposition process of anhydrous nickel nitrate under air atmosphere","type":"article-journal","volume":"404"},"uris":["http://www.mendeley.com/documents/?uuid=797b9c92-1ada-4723-8db0-0f64229d3827"]}],"mendeley":{"formattedCitation":"[397], [429], [430]","plainTextFormattedCitation":"[397], [429], [430]","previouslyFormattedCitation":"[397], [429], [430]"},"properties":{"noteIndex":0},"schema":"https://github.com/citation-style-language/schema/raw/master/csl-citation.json"}</w:instrText>
      </w:r>
      <w:r>
        <w:fldChar w:fldCharType="separate"/>
      </w:r>
      <w:r w:rsidRPr="008B6E91">
        <w:rPr>
          <w:noProof/>
        </w:rPr>
        <w:t>[397], [429], [430]</w:t>
      </w:r>
      <w:r>
        <w:fldChar w:fldCharType="end"/>
      </w:r>
      <w:r>
        <w:t>.  In contrast the particles in the air-dried system form disk-like agglomerates due to convective forces and clumped during drying (</w:t>
      </w:r>
      <w:r w:rsidR="00ED7066">
        <w:fldChar w:fldCharType="begin"/>
      </w:r>
      <w:r w:rsidR="00ED7066">
        <w:instrText xml:space="preserve"> REF _Ref50369517 \h </w:instrText>
      </w:r>
      <w:r w:rsidR="00ED7066">
        <w:fldChar w:fldCharType="separate"/>
      </w:r>
      <w:r w:rsidR="00ED7066">
        <w:t>Figure 4.</w:t>
      </w:r>
      <w:r w:rsidR="00ED7066">
        <w:rPr>
          <w:noProof/>
        </w:rPr>
        <w:t>9</w:t>
      </w:r>
      <w:r w:rsidR="00ED7066">
        <w:fldChar w:fldCharType="end"/>
      </w:r>
      <w:r>
        <w:t xml:space="preserve">) </w:t>
      </w:r>
      <w:r>
        <w:fldChar w:fldCharType="begin" w:fldLock="1"/>
      </w:r>
      <w:r w:rsidR="00151775">
        <w:instrText>ADDIN CSL_CITATION {"citationItems":[{"id":"ITEM-1","itemData":{"DOI":"10.1016/S0167-2738(02)00612-4","ISSN":"01672738","abstract":"Several NiO samples were prepared from different nickel precursors: nickel nitrate hexahydrate, nickel acetate tetrahydrate and nickel hydroxide. All samples were characterized using BET, X-ray diffraction (XRD), temperature-programmed reduction (TPR) and scanning electron microscopy (SEM) techniques. The results showed that a careful decomposition of nickel nitrate hexahydrate until formation of Ni3(NO3)2(OH)4 and subsequently calcination of this intermediate to form NiO led to very homogeneous octahedral NiO particles. Particle size can be controlled by means of the calcination temperature (around 200 nm for 400 °C during 4 h and 100 nm for 350 °C during 20 min). NiO obtained from nickel hydroxide is more amorphous with high specific surface area (161 m2/g) and sponge-like aspect. When nickel acetate tetrahydrate is calcined, metallic nickel is obtained together with the expected NiO phase. These samples showed different morphologies than the other prepared NiO. © 2003 Elsevier Science B.V. All rights reserved.","author":[{"dropping-particle":"","family":"Estellé","given":"J.","non-dropping-particle":"","parse-names":false,"suffix":""},{"dropping-particle":"","family":"Salagre","given":"P.","non-dropping-particle":"","parse-names":false,"suffix":""},{"dropping-particle":"","family":"Cesteros","given":"Y.","non-dropping-particle":"","parse-names":false,"suffix":""},{"dropping-particle":"","family":"Serra","given":"M.","non-dropping-particle":"","parse-names":false,"suffix":""},{"dropping-particle":"","family":"Medina","given":"F.","non-dropping-particle":"","parse-names":false,"suffix":""},{"dropping-particle":"","family":"Sueiras","given":"J. E.","non-dropping-particle":"","parse-names":false,"suffix":""}],"container-title":"Solid State Ionics","id":"ITEM-1","issue":"1-2","issued":{"date-parts":[["2003"]]},"page":"233-243","title":"Comparative study of the morphology and surface properties of nickel oxide prepared from different precursors","type":"article-journal","volume":"156"},"uris":["http://www.mendeley.com/documents/?uuid=bdd3b9f0-9994-4f76-ace9-98a2d2301da1"]}],"mendeley":{"formattedCitation":"[412]","plainTextFormattedCitation":"[412]","previouslyFormattedCitation":"[412]"},"properties":{"noteIndex":0},"schema":"https://github.com/citation-style-language/schema/raw/master/csl-citation.json"}</w:instrText>
      </w:r>
      <w:r>
        <w:fldChar w:fldCharType="separate"/>
      </w:r>
      <w:r w:rsidRPr="008B6E91">
        <w:rPr>
          <w:noProof/>
        </w:rPr>
        <w:t>[412]</w:t>
      </w:r>
      <w:r>
        <w:fldChar w:fldCharType="end"/>
      </w:r>
      <w:r>
        <w:t>.</w:t>
      </w:r>
    </w:p>
    <w:p w14:paraId="5B6D9F83" w14:textId="676F1961" w:rsidR="00007F6C" w:rsidRDefault="00007F6C" w:rsidP="00007F6C">
      <w:pPr>
        <w:jc w:val="both"/>
      </w:pPr>
      <w:r>
        <w:t xml:space="preserve">The decomposition mechanisms present in production of the infiltrated nickel catalyst and during SOFC operation are detailed in the </w:t>
      </w:r>
      <w:r>
        <w:fldChar w:fldCharType="begin"/>
      </w:r>
      <w:r>
        <w:instrText xml:space="preserve"> REF _Ref50730092 \h  \* MERGEFORMAT </w:instrText>
      </w:r>
      <w:r>
        <w:fldChar w:fldCharType="separate"/>
      </w:r>
      <w:r w:rsidR="00ED7066">
        <w:t>Figure 4.41</w:t>
      </w:r>
      <w:r>
        <w:fldChar w:fldCharType="end"/>
      </w:r>
      <w:r>
        <w:t xml:space="preserve"> below</w:t>
      </w:r>
      <w:r w:rsidR="00A17BA8">
        <w:t>:</w:t>
      </w:r>
    </w:p>
    <w:p w14:paraId="178D44F3" w14:textId="77777777" w:rsidR="00007F6C" w:rsidRDefault="00007F6C" w:rsidP="00007F6C">
      <w:pPr>
        <w:keepNext/>
        <w:jc w:val="center"/>
      </w:pPr>
      <w:r>
        <w:rPr>
          <w:noProof/>
        </w:rPr>
        <w:drawing>
          <wp:inline distT="0" distB="0" distL="0" distR="0" wp14:anchorId="5EC1D795" wp14:editId="15B25CCF">
            <wp:extent cx="5400000" cy="3418525"/>
            <wp:effectExtent l="0" t="0" r="0" b="0"/>
            <wp:docPr id="110" name="Picture 1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cell phone&#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400000" cy="3418525"/>
                    </a:xfrm>
                    <a:prstGeom prst="rect">
                      <a:avLst/>
                    </a:prstGeom>
                  </pic:spPr>
                </pic:pic>
              </a:graphicData>
            </a:graphic>
          </wp:inline>
        </w:drawing>
      </w:r>
    </w:p>
    <w:p w14:paraId="219AE862" w14:textId="6B2ADFD0" w:rsidR="00007F6C" w:rsidRDefault="00007F6C" w:rsidP="00007F6C">
      <w:pPr>
        <w:pStyle w:val="Caption"/>
      </w:pPr>
      <w:bookmarkStart w:id="424" w:name="_Ref50730092"/>
      <w:bookmarkStart w:id="425" w:name="_Toc69115015"/>
      <w:r>
        <w:t>Figure 4.</w:t>
      </w:r>
      <w:r w:rsidR="00B51F53">
        <w:fldChar w:fldCharType="begin"/>
      </w:r>
      <w:r w:rsidR="00B51F53">
        <w:instrText xml:space="preserve"> SEQ Figure \* ARABIC </w:instrText>
      </w:r>
      <w:r w:rsidR="00B51F53">
        <w:fldChar w:fldCharType="separate"/>
      </w:r>
      <w:r w:rsidR="00ED7066">
        <w:rPr>
          <w:noProof/>
        </w:rPr>
        <w:t>41</w:t>
      </w:r>
      <w:r w:rsidR="00B51F53">
        <w:rPr>
          <w:noProof/>
        </w:rPr>
        <w:fldChar w:fldCharType="end"/>
      </w:r>
      <w:bookmarkEnd w:id="424"/>
      <w:r>
        <w:t xml:space="preserve">: Decomposition pathways for the infiltrated nickel particles prior to SOFC testing. The stages of decomposition from left to right: drying, calcination and reduction to metallic nickel. The green denotes the dried nitrate, the black the calcined </w:t>
      </w:r>
      <w:proofErr w:type="spellStart"/>
      <w:r>
        <w:t>bunsenite</w:t>
      </w:r>
      <w:proofErr w:type="spellEnd"/>
      <w:r>
        <w:t xml:space="preserve"> and the white the reduced nickel metal.</w:t>
      </w:r>
      <w:bookmarkEnd w:id="425"/>
    </w:p>
    <w:p w14:paraId="604EA563" w14:textId="7EEA6B88" w:rsidR="00007F6C" w:rsidRDefault="00007F6C" w:rsidP="00007F6C">
      <w:pPr>
        <w:jc w:val="both"/>
      </w:pPr>
      <w:r>
        <w:lastRenderedPageBreak/>
        <w:t xml:space="preserve">The reduction of the air-dried </w:t>
      </w:r>
      <w:proofErr w:type="spellStart"/>
      <w:r>
        <w:t>NiO</w:t>
      </w:r>
      <w:proofErr w:type="spellEnd"/>
      <w:r>
        <w:t xml:space="preserve"> aggregate particles during SOFC ramp up results in multiple processes; including the breakdown of nitrate material core trapped in the </w:t>
      </w:r>
      <w:proofErr w:type="spellStart"/>
      <w:r>
        <w:t>bunsenite</w:t>
      </w:r>
      <w:proofErr w:type="spellEnd"/>
      <w:r>
        <w:t xml:space="preserve"> evident from the five reduction peaks present in </w:t>
      </w:r>
      <w:r>
        <w:fldChar w:fldCharType="begin"/>
      </w:r>
      <w:r>
        <w:instrText xml:space="preserve"> REF _Ref40960562 \h  \* MERGEFORMAT </w:instrText>
      </w:r>
      <w:r>
        <w:fldChar w:fldCharType="separate"/>
      </w:r>
      <w:r w:rsidR="00ED7066">
        <w:t>Figure 4.17</w:t>
      </w:r>
      <w:r>
        <w:fldChar w:fldCharType="end"/>
      </w:r>
      <w:r>
        <w:t xml:space="preserve"> and </w:t>
      </w:r>
      <w:r>
        <w:fldChar w:fldCharType="begin"/>
      </w:r>
      <w:r>
        <w:instrText xml:space="preserve"> REF _Ref50553497 \h  \* MERGEFORMAT </w:instrText>
      </w:r>
      <w:r>
        <w:fldChar w:fldCharType="separate"/>
      </w:r>
      <w:r w:rsidR="00ED7066">
        <w:t>Figure 4.18</w:t>
      </w:r>
      <w:r>
        <w:fldChar w:fldCharType="end"/>
      </w:r>
      <w:r>
        <w:t xml:space="preserve">. These reduction events have been discussed in other chemical literature, and are cited in these studies as evidence of particle heterogeneity in size and distribution </w:t>
      </w:r>
      <w:r>
        <w:fldChar w:fldCharType="begin" w:fldLock="1"/>
      </w:r>
      <w:r w:rsidR="00151775">
        <w:instrText>ADDIN CSL_CITATION {"citationItems":[{"id":"ITEM-1","itemData":{"DOI":"10.1016/j.ssi.2005.06.016","ISSN":"01672738","abstract":"Effect of redox cycling on a Ni-YSZ anode prepared from 50 wt.% NiO and 50 wt.% YSZ was investigated by using temperature-programmed reduction (TPR), XRD and SEM techniques. XRD results showed that NiO was formed during re-oxidation. Both the XRD and TPR results depicted that the conversion of nickel to NiO depended on the re-oxidation temperature. The oxidation of Ni to NiO occurred quickly in the initial several minutes and then reached a quasi equilibrium. The TPR profiles tracing the redox cycling showed that it brought continuous changes in the NiO micro-structure at 800°C, whereas at 600°C it had only little effects on the reduction of NiO. Re-oxidation resulted in the formation of spongy aggregates of NiO crystallites. Redox cycling at 800°C led to a continuous decrease in the primary crystallite size of NiO and a high dispersion of the Ni particles. A continuous expansion of the slice sample was observed in both of the oxidized and reduced states during the redox cycling at 800°C, whereas this process did not occur during the redox cycling at 600°C. © 2005 Elsevier B.V. All rights reserved.","author":[{"dropping-particle":"","family":"Zhang","given":"Yun","non-dropping-particle":"","parse-names":false,"suffix":""},{"dropping-particle":"","family":"Liu","given":"Bin","non-dropping-particle":"","parse-names":false,"suffix":""},{"dropping-particle":"","family":"Tu","given":"Baofeng","non-dropping-particle":"","parse-names":false,"suffix":""},{"dropping-particle":"","family":"Dong","given":"Yonglai","non-dropping-particle":"","parse-names":false,"suffix":""},{"dropping-particle":"","family":"Cheng","given":"Mojie","non-dropping-particle":"","parse-names":false,"suffix":""}],"container-title":"Solid State Ionics","id":"ITEM-1","issue":"29-30","issued":{"date-parts":[["2005"]]},"page":"2193-2199","title":"Redox cycling of Ni-YSZ anode investigated by TPR technique","type":"article-journal","volume":"176"},"uris":["http://www.mendeley.com/documents/?uuid=c95dfa6f-fc36-4928-a8cd-93f7c3b2c1fc"]},{"id":"ITEM-2","itemData":{"DOI":"10.1016/0926-860X(94)80198-3","ISSN":"0926860X","abstract":"The effect of NiO loading (5-21 wt.-%) on the reduction of NiO/α-Al2O3 catalysts, prepared by multiple impregnation of nickel nitrate solution followed by calcination at 650°C, has been characterized using temperature-programmed reduction, isothermal hydrogen consumption, magnetization, X-ray diffraction, and electron microscopy. X-ray diffraction analysis of fresh catalysts indicated normal NiO crystallites about 30 nm in size. Studies from 270°C to 350°C show hydrogen consumption at lower temperatures is faster than the subsequent growth of nucleated clusters of nickel atoms into crystallites, with the rates of the two processes approaching each other at higher temperatures. As NiO loading increases, chemical reduction becomes more difficult but nickel crystallite growth is not affected. This decreased reducibility is believed due to Al3+ ion incorporation into NiO surface layers during impregnation. Isothermal hydrogen consumption from 270°C to 450°C follows a shrinking core model with NiO crystallites decreasing progressively in size. Magnetic measurements show crystallite growth is dependent on diffusion-controlled nucleation. Decreasing hydrogen flow has a profound effect on chemical reduction and nucleation but not on growth. Similar results are found with added water vapor. X-ray diffraction and transmission electron microscope measurements reveal 23 nm nickel crystallites with some evidence for Al-Ni alloy formation. A mechanism is proposed in which adsorbed water inhibits chemical reduction and nucleation, and foreign ions such as Al3+ increase this effect. © 1994.","author":[{"dropping-particle":"","family":"Richardson","given":"J. T.","non-dropping-particle":"","parse-names":false,"suffix":""},{"dropping-particle":"","family":"Lei","given":"M.","non-dropping-particle":"","parse-names":false,"suffix":""},{"dropping-particle":"","family":"Turk","given":"B.","non-dropping-particle":"","parse-names":false,"suffix":""},{"dropping-particle":"","family":"Forster","given":"K.","non-dropping-particle":"","parse-names":false,"suffix":""},{"dropping-particle":"V.","family":"Twigg","given":"Martyn","non-dropping-particle":"","parse-names":false,"suffix":""}],"container-title":"Applied Catalysis A, General","id":"ITEM-2","issue":"2","issued":{"date-parts":[["1994"]]},"page":"217-237","title":"Reduction of model steam reforming catalysts: NiO/α-Al2O3","type":"article-journal","volume":"110"},"uris":["http://www.mendeley.com/documents/?uuid=4173f8a8-45b8-44ed-937f-8647d275bf9d"]},{"id":"ITEM-3","itemData":{"DOI":"10.1039/c3cp54622e","ISSN":"14639076","abstract":"The electronic structure of nano-NiO was determined using resonant inelastic X-ray scattering (RIXS) spectroscopy. The nanosized NiO particles were reduced in situ, leading to the formation of metallic Ni in a single step. Time-resolved RIXS elucidated in real time the changes on the occupied and unoccupied electronic structure of the material, which are dramatically affected by the reduction process. © 2014 the Partner Organisations.","author":[{"dropping-particle":"","family":"Sá","given":"Jacinto","non-dropping-particle":"","parse-names":false,"suffix":""},{"dropping-particle":"","family":"Kayser","given":"Yves","non-dropping-particle":"","parse-names":false,"suffix":""},{"dropping-particle":"","family":"Milne","given":"Christopher J.","non-dropping-particle":"","parse-names":false,"suffix":""},{"dropping-particle":"","family":"Abreu Fernandes","given":"Daniel Luis","non-dropping-particle":"","parse-names":false,"suffix":""},{"dropping-particle":"","family":"Szlachetko","given":"Jakub","non-dropping-particle":"","parse-names":false,"suffix":""}],"container-title":"Physical Chemistry Chemical Physics","id":"ITEM-3","issue":"17","issued":{"date-parts":[["2014"]]},"page":"7692-7696","title":"Temperature-programmed reduction of NiO nanoparticles followed by time-resolved RIXS","type":"article-journal","volume":"16"},"uris":["http://www.mendeley.com/documents/?uuid=91a1ddbc-97bb-4eb8-af85-a7fabe453150"]},{"id":"ITEM-4","itemData":{"DOI":"10.1155/2015/659402","ISSN":"16874129","abstract":"The performance of Ni/SiO&lt;inf&gt;2&lt;/inf&gt; catalyst in the process of combination of CO&lt;inf&gt;2&lt;/inf&gt; reforming and partial oxidation of methane to produce syngas was studied. The Ni/SiO&lt;inf&gt;2&lt;/inf&gt; catalysts were prepared by using incipient wetness impregnation method with nickel nitrate as a precursor and characterized by FT-IR, TG-DTA, UV-Raman, XRD, TEM, and H&lt;inf&gt;2&lt;/inf&gt;-TPR. The metal nickel particles with the average size of 37.5 nm were highly dispersed over the catalyst, while the interaction between nickel particles and SiO&lt;inf&gt;2&lt;/inf&gt; support is relatively weak. The weak NiO-SiO&lt;inf&gt;2&lt;/inf&gt; interaction disappeared after repeating oxidation-reduction-oxidation in the fluidized bed reactor at 700°C, which resulted in the sintering of metal nickel particles. As a result, a rapid deactivation of the Ni/SiO&lt;inf&gt;2&lt;/inf&gt; catalysts was observed in 2.5 h reaction on stream.","author":[{"dropping-particle":"","family":"He","given":"Sufang","non-dropping-particle":"","parse-names":false,"suffix":""},{"dropping-particle":"","family":"Zhang","given":"Lei","non-dropping-particle":"","parse-names":false,"suffix":""},{"dropping-particle":"","family":"He","given":"Suyun","non-dropping-particle":"","parse-names":false,"suffix":""},{"dropping-particle":"","family":"Mo","given":"Liuye","non-dropping-particle":"","parse-names":false,"suffix":""},{"dropping-particle":"","family":"Zheng","given":"Xiaoming","non-dropping-particle":"","parse-names":false,"suffix":""},{"dropping-particle":"","family":"Wang","given":"Hua","non-dropping-particle":"","parse-names":false,"suffix":""},{"dropping-particle":"","family":"Luo","given":"Yongming","non-dropping-particle":"","parse-names":false,"suffix":""}],"container-title":"Journal of Nanomaterials","id":"ITEM-4","issued":{"date-parts":[["2015"]]},"title":"Ni/SiO&lt;inf&gt;2&lt;/inf&gt; Catalyst Prepared with Nickel Nitrate Precursor for Combination of CO&lt;inf&gt;2&lt;/inf&gt; Reforming and Partial Oxidation of Methane: Characterization and Deactivation Mechanism Investigation","type":"article-journal","volume":"2015"},"uris":["http://www.mendeley.com/documents/?uuid=7c162817-5941-4b33-ac06-9574ce1fa222"]}],"mendeley":{"formattedCitation":"[377], [396], [431], [432]","plainTextFormattedCitation":"[377], [396], [431], [432]","previouslyFormattedCitation":"[377], [396], [431], [432]"},"properties":{"noteIndex":0},"schema":"https://github.com/citation-style-language/schema/raw/master/csl-citation.json"}</w:instrText>
      </w:r>
      <w:r>
        <w:fldChar w:fldCharType="separate"/>
      </w:r>
      <w:r w:rsidR="008B6E91" w:rsidRPr="008B6E91">
        <w:rPr>
          <w:noProof/>
        </w:rPr>
        <w:t>[377], [396], [431], [432]</w:t>
      </w:r>
      <w:r>
        <w:fldChar w:fldCharType="end"/>
      </w:r>
      <w:r>
        <w:t>.</w:t>
      </w:r>
    </w:p>
    <w:p w14:paraId="442BB99B" w14:textId="596BCCA0" w:rsidR="00007F6C" w:rsidRDefault="00007F6C" w:rsidP="00007F6C">
      <w:pPr>
        <w:jc w:val="both"/>
      </w:pPr>
      <w:r>
        <w:t xml:space="preserve">Furthermore, the single reduction peak indicates that the </w:t>
      </w:r>
      <w:proofErr w:type="spellStart"/>
      <w:r>
        <w:t>bunsenite</w:t>
      </w:r>
      <w:proofErr w:type="spellEnd"/>
      <w:r>
        <w:t xml:space="preserve"> present in the nitrogen-dried samples is homogeneous in terms of dispersion and size (</w:t>
      </w:r>
      <w:r>
        <w:fldChar w:fldCharType="begin"/>
      </w:r>
      <w:r>
        <w:instrText xml:space="preserve"> REF _Ref50730092 \h  \* MERGEFORMAT </w:instrText>
      </w:r>
      <w:r>
        <w:fldChar w:fldCharType="separate"/>
      </w:r>
      <w:r>
        <w:t>Figure 4.43</w:t>
      </w:r>
      <w:r>
        <w:fldChar w:fldCharType="end"/>
      </w:r>
      <w:r>
        <w:t>)</w:t>
      </w:r>
      <w:r w:rsidRPr="008E2299">
        <w:t xml:space="preserve"> </w:t>
      </w:r>
      <w:r>
        <w:fldChar w:fldCharType="begin" w:fldLock="1"/>
      </w:r>
      <w:r w:rsidR="00151775">
        <w:instrText>ADDIN CSL_CITATION {"citationItems":[{"id":"ITEM-1","itemData":{"DOI":"10.1016/j.ssi.2005.06.016","ISSN":"01672738","abstract":"Effect of redox cycling on a Ni-YSZ anode prepared from 50 wt.% NiO and 50 wt.% YSZ was investigated by using temperature-programmed reduction (TPR), XRD and SEM techniques. XRD results showed that NiO was formed during re-oxidation. Both the XRD and TPR results depicted that the conversion of nickel to NiO depended on the re-oxidation temperature. The oxidation of Ni to NiO occurred quickly in the initial several minutes and then reached a quasi equilibrium. The TPR profiles tracing the redox cycling showed that it brought continuous changes in the NiO micro-structure at 800°C, whereas at 600°C it had only little effects on the reduction of NiO. Re-oxidation resulted in the formation of spongy aggregates of NiO crystallites. Redox cycling at 800°C led to a continuous decrease in the primary crystallite size of NiO and a high dispersion of the Ni particles. A continuous expansion of the slice sample was observed in both of the oxidized and reduced states during the redox cycling at 800°C, whereas this process did not occur during the redox cycling at 600°C. © 2005 Elsevier B.V. All rights reserved.","author":[{"dropping-particle":"","family":"Zhang","given":"Yun","non-dropping-particle":"","parse-names":false,"suffix":""},{"dropping-particle":"","family":"Liu","given":"Bin","non-dropping-particle":"","parse-names":false,"suffix":""},{"dropping-particle":"","family":"Tu","given":"Baofeng","non-dropping-particle":"","parse-names":false,"suffix":""},{"dropping-particle":"","family":"Dong","given":"Yonglai","non-dropping-particle":"","parse-names":false,"suffix":""},{"dropping-particle":"","family":"Cheng","given":"Mojie","non-dropping-particle":"","parse-names":false,"suffix":""}],"container-title":"Solid State Ionics","id":"ITEM-1","issue":"29-30","issued":{"date-parts":[["2005"]]},"page":"2193-2199","title":"Redox cycling of Ni-YSZ anode investigated by TPR technique","type":"article-journal","volume":"176"},"uris":["http://www.mendeley.com/documents/?uuid=c95dfa6f-fc36-4928-a8cd-93f7c3b2c1fc"]},{"id":"ITEM-2","itemData":{"DOI":"10.1016/0926-860X(94)80198-3","ISSN":"0926860X","abstract":"The effect of NiO loading (5-21 wt.-%) on the reduction of NiO/α-Al2O3 catalysts, prepared by multiple impregnation of nickel nitrate solution followed by calcination at 650°C, has been characterized using temperature-programmed reduction, isothermal hydrogen consumption, magnetization, X-ray diffraction, and electron microscopy. X-ray diffraction analysis of fresh catalysts indicated normal NiO crystallites about 30 nm in size. Studies from 270°C to 350°C show hydrogen consumption at lower temperatures is faster than the subsequent growth of nucleated clusters of nickel atoms into crystallites, with the rates of the two processes approaching each other at higher temperatures. As NiO loading increases, chemical reduction becomes more difficult but nickel crystallite growth is not affected. This decreased reducibility is believed due to Al3+ ion incorporation into NiO surface layers during impregnation. Isothermal hydrogen consumption from 270°C to 450°C follows a shrinking core model with NiO crystallites decreasing progressively in size. Magnetic measurements show crystallite growth is dependent on diffusion-controlled nucleation. Decreasing hydrogen flow has a profound effect on chemical reduction and nucleation but not on growth. Similar results are found with added water vapor. X-ray diffraction and transmission electron microscope measurements reveal 23 nm nickel crystallites with some evidence for Al-Ni alloy formation. A mechanism is proposed in which adsorbed water inhibits chemical reduction and nucleation, and foreign ions such as Al3+ increase this effect. © 1994.","author":[{"dropping-particle":"","family":"Richardson","given":"J. T.","non-dropping-particle":"","parse-names":false,"suffix":""},{"dropping-particle":"","family":"Lei","given":"M.","non-dropping-particle":"","parse-names":false,"suffix":""},{"dropping-particle":"","family":"Turk","given":"B.","non-dropping-particle":"","parse-names":false,"suffix":""},{"dropping-particle":"","family":"Forster","given":"K.","non-dropping-particle":"","parse-names":false,"suffix":""},{"dropping-particle":"V.","family":"Twigg","given":"Martyn","non-dropping-particle":"","parse-names":false,"suffix":""}],"container-title":"Applied Catalysis A, General","id":"ITEM-2","issue":"2","issued":{"date-parts":[["1994"]]},"page":"217-237","title":"Reduction of model steam reforming catalysts: NiO/α-Al2O3","type":"article-journal","volume":"110"},"uris":["http://www.mendeley.com/documents/?uuid=4173f8a8-45b8-44ed-937f-8647d275bf9d"]},{"id":"ITEM-3","itemData":{"DOI":"10.1039/c3cp54622e","ISSN":"14639076","abstract":"The electronic structure of nano-NiO was determined using resonant inelastic X-ray scattering (RIXS) spectroscopy. The nanosized NiO particles were reduced in situ, leading to the formation of metallic Ni in a single step. Time-resolved RIXS elucidated in real time the changes on the occupied and unoccupied electronic structure of the material, which are dramatically affected by the reduction process. © 2014 the Partner Organisations.","author":[{"dropping-particle":"","family":"Sá","given":"Jacinto","non-dropping-particle":"","parse-names":false,"suffix":""},{"dropping-particle":"","family":"Kayser","given":"Yves","non-dropping-particle":"","parse-names":false,"suffix":""},{"dropping-particle":"","family":"Milne","given":"Christopher J.","non-dropping-particle":"","parse-names":false,"suffix":""},{"dropping-particle":"","family":"Abreu Fernandes","given":"Daniel Luis","non-dropping-particle":"","parse-names":false,"suffix":""},{"dropping-particle":"","family":"Szlachetko","given":"Jakub","non-dropping-particle":"","parse-names":false,"suffix":""}],"container-title":"Physical Chemistry Chemical Physics","id":"ITEM-3","issue":"17","issued":{"date-parts":[["2014"]]},"page":"7692-7696","title":"Temperature-programmed reduction of NiO nanoparticles followed by time-resolved RIXS","type":"article-journal","volume":"16"},"uris":["http://www.mendeley.com/documents/?uuid=91a1ddbc-97bb-4eb8-af85-a7fabe453150"]},{"id":"ITEM-4","itemData":{"DOI":"10.1155/2015/659402","ISSN":"16874129","abstract":"The performance of Ni/SiO&lt;inf&gt;2&lt;/inf&gt; catalyst in the process of combination of CO&lt;inf&gt;2&lt;/inf&gt; reforming and partial oxidation of methane to produce syngas was studied. The Ni/SiO&lt;inf&gt;2&lt;/inf&gt; catalysts were prepared by using incipient wetness impregnation method with nickel nitrate as a precursor and characterized by FT-IR, TG-DTA, UV-Raman, XRD, TEM, and H&lt;inf&gt;2&lt;/inf&gt;-TPR. The metal nickel particles with the average size of 37.5 nm were highly dispersed over the catalyst, while the interaction between nickel particles and SiO&lt;inf&gt;2&lt;/inf&gt; support is relatively weak. The weak NiO-SiO&lt;inf&gt;2&lt;/inf&gt; interaction disappeared after repeating oxidation-reduction-oxidation in the fluidized bed reactor at 700°C, which resulted in the sintering of metal nickel particles. As a result, a rapid deactivation of the Ni/SiO&lt;inf&gt;2&lt;/inf&gt; catalysts was observed in 2.5 h reaction on stream.","author":[{"dropping-particle":"","family":"He","given":"Sufang","non-dropping-particle":"","parse-names":false,"suffix":""},{"dropping-particle":"","family":"Zhang","given":"Lei","non-dropping-particle":"","parse-names":false,"suffix":""},{"dropping-particle":"","family":"He","given":"Suyun","non-dropping-particle":"","parse-names":false,"suffix":""},{"dropping-particle":"","family":"Mo","given":"Liuye","non-dropping-particle":"","parse-names":false,"suffix":""},{"dropping-particle":"","family":"Zheng","given":"Xiaoming","non-dropping-particle":"","parse-names":false,"suffix":""},{"dropping-particle":"","family":"Wang","given":"Hua","non-dropping-particle":"","parse-names":false,"suffix":""},{"dropping-particle":"","family":"Luo","given":"Yongming","non-dropping-particle":"","parse-names":false,"suffix":""}],"container-title":"Journal of Nanomaterials","id":"ITEM-4","issued":{"date-parts":[["2015"]]},"title":"Ni/SiO&lt;inf&gt;2&lt;/inf&gt; Catalyst Prepared with Nickel Nitrate Precursor for Combination of CO&lt;inf&gt;2&lt;/inf&gt; Reforming and Partial Oxidation of Methane: Characterization and Deactivation Mechanism Investigation","type":"article-journal","volume":"2015"},"uris":["http://www.mendeley.com/documents/?uuid=7c162817-5941-4b33-ac06-9574ce1fa222"]}],"mendeley":{"formattedCitation":"[377], [396], [431], [432]","plainTextFormattedCitation":"[377], [396], [431], [432]","previouslyFormattedCitation":"[377], [396], [431], [432]"},"properties":{"noteIndex":0},"schema":"https://github.com/citation-style-language/schema/raw/master/csl-citation.json"}</w:instrText>
      </w:r>
      <w:r>
        <w:fldChar w:fldCharType="separate"/>
      </w:r>
      <w:r w:rsidR="008B6E91" w:rsidRPr="008B6E91">
        <w:rPr>
          <w:noProof/>
        </w:rPr>
        <w:t>[377], [396], [431], [432]</w:t>
      </w:r>
      <w:r>
        <w:fldChar w:fldCharType="end"/>
      </w:r>
      <w:r>
        <w:t>. This appears to have a profound impact on the degradation rate of the electrode as the R</w:t>
      </w:r>
      <w:r>
        <w:rPr>
          <w:vertAlign w:val="subscript"/>
        </w:rPr>
        <w:t>P</w:t>
      </w:r>
      <w:r>
        <w:t xml:space="preserve"> increase for the ND AC samples was at least 40 % lower than its counterparts (</w:t>
      </w:r>
      <w:r>
        <w:fldChar w:fldCharType="begin"/>
      </w:r>
      <w:r>
        <w:instrText xml:space="preserve"> REF _Ref42505887 \h  \* MERGEFORMAT </w:instrText>
      </w:r>
      <w:r>
        <w:fldChar w:fldCharType="separate"/>
      </w:r>
      <w:r w:rsidR="00ED7066" w:rsidRPr="00952912">
        <w:rPr>
          <w:rFonts w:cstheme="minorHAnsi"/>
        </w:rPr>
        <w:t xml:space="preserve">Figure </w:t>
      </w:r>
      <w:r w:rsidR="00ED7066">
        <w:rPr>
          <w:rFonts w:cstheme="minorHAnsi"/>
        </w:rPr>
        <w:t>4.8</w:t>
      </w:r>
      <w:r>
        <w:fldChar w:fldCharType="end"/>
      </w:r>
      <w:r>
        <w:t>).</w:t>
      </w:r>
    </w:p>
    <w:p w14:paraId="5C7C45B3" w14:textId="77777777" w:rsidR="00007F6C" w:rsidRDefault="00007F6C" w:rsidP="00007F6C">
      <w:pPr>
        <w:pStyle w:val="Heading1"/>
      </w:pPr>
      <w:bookmarkStart w:id="426" w:name="_Toc69129423"/>
      <w:bookmarkStart w:id="427" w:name="_Hlk45269157"/>
      <w:bookmarkEnd w:id="304"/>
      <w:r>
        <w:t>4.5</w:t>
      </w:r>
      <w:r>
        <w:tab/>
      </w:r>
      <w:r w:rsidRPr="00644D81">
        <w:t>Conclusions</w:t>
      </w:r>
      <w:bookmarkEnd w:id="426"/>
    </w:p>
    <w:p w14:paraId="268ACE6D" w14:textId="77777777" w:rsidR="00007F6C" w:rsidRPr="00AE0F01" w:rsidRDefault="00007F6C" w:rsidP="00007F6C">
      <w:pPr>
        <w:jc w:val="both"/>
        <w:rPr>
          <w:rFonts w:cstheme="minorHAnsi"/>
        </w:rPr>
      </w:pPr>
      <w:r>
        <w:rPr>
          <w:rFonts w:cstheme="minorHAnsi"/>
        </w:rPr>
        <w:t>The first investigation into drying atmospheres in wet impregnated solid oxide fuel electrodes has been performed. It has been found that d</w:t>
      </w:r>
      <w:r w:rsidRPr="00AE0F01">
        <w:rPr>
          <w:rFonts w:cstheme="minorHAnsi"/>
        </w:rPr>
        <w:t>rying under a N</w:t>
      </w:r>
      <w:r w:rsidRPr="00AE0F01">
        <w:rPr>
          <w:rFonts w:cstheme="minorHAnsi"/>
          <w:vertAlign w:val="subscript"/>
        </w:rPr>
        <w:t>2</w:t>
      </w:r>
      <w:r w:rsidRPr="00AE0F01">
        <w:rPr>
          <w:rFonts w:cstheme="minorHAnsi"/>
        </w:rPr>
        <w:t xml:space="preserve"> atmosphere has been proven to reduce the size of the infiltrated nickel electro-catalyst in SOFC anodes. The microstructural evolution of nickel nanoparticles has been </w:t>
      </w:r>
      <w:r>
        <w:rPr>
          <w:rFonts w:cstheme="minorHAnsi"/>
        </w:rPr>
        <w:t>tracked</w:t>
      </w:r>
      <w:r w:rsidRPr="00AE0F01">
        <w:rPr>
          <w:rFonts w:cstheme="minorHAnsi"/>
        </w:rPr>
        <w:t xml:space="preserve"> using X-ray diffraction and the Scherrer equation. The uniform catalyst dispersion was demonstrated by the singular temperature-programmed reduction peak exhibited by the nitrogen dried samples. This indicated that the</w:t>
      </w:r>
      <w:r>
        <w:rPr>
          <w:rFonts w:cstheme="minorHAnsi"/>
        </w:rPr>
        <w:t xml:space="preserve"> decomposition of the nickel nitrate in the</w:t>
      </w:r>
      <w:r w:rsidRPr="00AE0F01">
        <w:rPr>
          <w:rFonts w:cstheme="minorHAnsi"/>
        </w:rPr>
        <w:t xml:space="preserve"> N</w:t>
      </w:r>
      <w:r w:rsidRPr="00AE0F01">
        <w:rPr>
          <w:rFonts w:cstheme="minorHAnsi"/>
          <w:vertAlign w:val="subscript"/>
        </w:rPr>
        <w:t>2</w:t>
      </w:r>
      <w:r w:rsidRPr="00AE0F01">
        <w:rPr>
          <w:rFonts w:cstheme="minorHAnsi"/>
        </w:rPr>
        <w:t xml:space="preserve"> dried samples </w:t>
      </w:r>
      <w:r>
        <w:rPr>
          <w:rFonts w:cstheme="minorHAnsi"/>
        </w:rPr>
        <w:t>produced only</w:t>
      </w:r>
      <w:r w:rsidRPr="00AE0F01">
        <w:rPr>
          <w:rFonts w:cstheme="minorHAnsi"/>
        </w:rPr>
        <w:t xml:space="preserve"> nickel oxide on the surface</w:t>
      </w:r>
      <w:r>
        <w:rPr>
          <w:rFonts w:cstheme="minorHAnsi"/>
        </w:rPr>
        <w:t xml:space="preserve"> of the electrodes</w:t>
      </w:r>
      <w:r w:rsidRPr="00AE0F01">
        <w:rPr>
          <w:rFonts w:cstheme="minorHAnsi"/>
        </w:rPr>
        <w:t xml:space="preserve">. </w:t>
      </w:r>
    </w:p>
    <w:p w14:paraId="361E02BD" w14:textId="6E6B852B" w:rsidR="00007F6C" w:rsidRPr="00AE0F01" w:rsidRDefault="00007F6C" w:rsidP="00007F6C">
      <w:pPr>
        <w:jc w:val="both"/>
        <w:rPr>
          <w:rFonts w:cstheme="minorHAnsi"/>
        </w:rPr>
      </w:pPr>
      <w:r w:rsidRPr="00AE0F01">
        <w:rPr>
          <w:rFonts w:cstheme="minorHAnsi"/>
        </w:rPr>
        <w:t>Scanning electron micrographs taken during this study support the hypothesis that particle coarsening is exacerbated when drying in an air-based atmosphere. This supports the hypothesis that catalyst agglomeration is reduced in well dispersed systems</w:t>
      </w:r>
      <w:r>
        <w:rPr>
          <w:rFonts w:cstheme="minorHAnsi"/>
        </w:rPr>
        <w:t>. This was also supported by the increased change in</w:t>
      </w:r>
      <w:r w:rsidRPr="00AE0F01">
        <w:rPr>
          <w:rFonts w:cstheme="minorHAnsi"/>
        </w:rPr>
        <w:t xml:space="preserve"> the polarisation resistance </w:t>
      </w:r>
      <w:r>
        <w:rPr>
          <w:rFonts w:cstheme="minorHAnsi"/>
        </w:rPr>
        <w:t>for the air-dried samples</w:t>
      </w:r>
      <w:r w:rsidRPr="00AE0F01">
        <w:rPr>
          <w:rFonts w:cstheme="minorHAnsi"/>
        </w:rPr>
        <w:t xml:space="preserve"> in </w:t>
      </w:r>
      <w:r w:rsidR="00ED7066" w:rsidRPr="00AE0F01">
        <w:rPr>
          <w:rFonts w:cstheme="minorHAnsi"/>
        </w:rPr>
        <w:t>early-stage</w:t>
      </w:r>
      <w:r w:rsidRPr="00AE0F01">
        <w:rPr>
          <w:rFonts w:cstheme="minorHAnsi"/>
        </w:rPr>
        <w:t xml:space="preserve"> electrochemical impedance spectroscopy results (&lt; 50h).</w:t>
      </w:r>
    </w:p>
    <w:p w14:paraId="385BF004" w14:textId="77777777" w:rsidR="00007F6C" w:rsidRDefault="00007F6C" w:rsidP="00007F6C">
      <w:pPr>
        <w:jc w:val="both"/>
        <w:rPr>
          <w:rFonts w:cstheme="minorHAnsi"/>
        </w:rPr>
      </w:pPr>
      <w:r w:rsidRPr="00AE0F01">
        <w:rPr>
          <w:rFonts w:cstheme="minorHAnsi"/>
        </w:rPr>
        <w:t xml:space="preserve">The implementation of a nitrogen drying step has decreased the size and increased the dispersion of </w:t>
      </w:r>
      <w:r>
        <w:rPr>
          <w:rFonts w:cstheme="minorHAnsi"/>
        </w:rPr>
        <w:t xml:space="preserve">the </w:t>
      </w:r>
      <w:proofErr w:type="spellStart"/>
      <w:r w:rsidRPr="00AE0F01">
        <w:rPr>
          <w:rFonts w:cstheme="minorHAnsi"/>
        </w:rPr>
        <w:t>NiO</w:t>
      </w:r>
      <w:proofErr w:type="spellEnd"/>
      <w:r w:rsidRPr="00AE0F01">
        <w:rPr>
          <w:rFonts w:cstheme="minorHAnsi"/>
        </w:rPr>
        <w:t xml:space="preserve"> </w:t>
      </w:r>
      <w:r>
        <w:rPr>
          <w:rFonts w:cstheme="minorHAnsi"/>
        </w:rPr>
        <w:t xml:space="preserve">nanoparticles </w:t>
      </w:r>
      <w:r w:rsidRPr="00AE0F01">
        <w:rPr>
          <w:rFonts w:cstheme="minorHAnsi"/>
        </w:rPr>
        <w:t>in Ni-YSZ infiltrated anodes.</w:t>
      </w:r>
      <w:r>
        <w:rPr>
          <w:rFonts w:cstheme="minorHAnsi"/>
        </w:rPr>
        <w:t xml:space="preserve"> It has also been shown by SEM and FTIR to instigate the formation of </w:t>
      </w:r>
      <w:proofErr w:type="spellStart"/>
      <w:r>
        <w:rPr>
          <w:rFonts w:cstheme="minorHAnsi"/>
        </w:rPr>
        <w:t>NiO</w:t>
      </w:r>
      <w:proofErr w:type="spellEnd"/>
      <w:r>
        <w:rPr>
          <w:rFonts w:cstheme="minorHAnsi"/>
        </w:rPr>
        <w:t xml:space="preserve"> particles under the surface of the dried nickel nitrate film. The reduced polarisation resistance degradation rate achieved by these samples after 50h of ageing was a consequence of the increased dispersion and reduced particle size.</w:t>
      </w:r>
    </w:p>
    <w:p w14:paraId="3A139DC0" w14:textId="25873095" w:rsidR="00007F6C" w:rsidRDefault="00007F6C" w:rsidP="00007F6C">
      <w:pPr>
        <w:jc w:val="both"/>
        <w:rPr>
          <w:rFonts w:cstheme="minorHAnsi"/>
        </w:rPr>
      </w:pPr>
      <w:r>
        <w:rPr>
          <w:rFonts w:cstheme="minorHAnsi"/>
        </w:rPr>
        <w:t xml:space="preserve">Drying under a nitrogen atmosphere has been shown as the most impactful processing step in terms of reducing the initial and aged polarisation resistance. This study has also shown that processing under the same atmosphere increases the initial Rp compared to using different atmospheres for drying and calcination steps.  </w:t>
      </w:r>
      <w:r w:rsidR="00FB7008">
        <w:rPr>
          <w:rFonts w:cstheme="minorHAnsi"/>
        </w:rPr>
        <w:t xml:space="preserve">Further studies with non-infiltrated Ni-YSZ cermet samples are needed to provide more context to how this new processing step compares to tradition cermet anodes. </w:t>
      </w:r>
    </w:p>
    <w:p w14:paraId="1D978F7E" w14:textId="77777777" w:rsidR="00007F6C" w:rsidRDefault="00007F6C" w:rsidP="00007F6C">
      <w:pPr>
        <w:rPr>
          <w:rFonts w:cstheme="minorHAnsi"/>
        </w:rPr>
      </w:pPr>
      <w:r>
        <w:rPr>
          <w:rFonts w:cstheme="minorHAnsi"/>
        </w:rPr>
        <w:br w:type="page"/>
      </w:r>
    </w:p>
    <w:p w14:paraId="5A6885DA" w14:textId="735C3468" w:rsidR="00007F6C" w:rsidRPr="00063006" w:rsidRDefault="00007F6C" w:rsidP="00063006">
      <w:pPr>
        <w:pStyle w:val="Heading1"/>
        <w:rPr>
          <w:color w:val="auto"/>
          <w:sz w:val="36"/>
          <w:szCs w:val="36"/>
        </w:rPr>
      </w:pPr>
      <w:bookmarkStart w:id="428" w:name="_Toc69129424"/>
      <w:r w:rsidRPr="00063006">
        <w:rPr>
          <w:color w:val="auto"/>
          <w:sz w:val="36"/>
          <w:szCs w:val="36"/>
        </w:rPr>
        <w:lastRenderedPageBreak/>
        <w:t xml:space="preserve">Chapter 5: </w:t>
      </w:r>
      <w:r w:rsidR="008A5412">
        <w:rPr>
          <w:color w:val="auto"/>
          <w:sz w:val="36"/>
          <w:szCs w:val="36"/>
        </w:rPr>
        <w:t>Assessing t</w:t>
      </w:r>
      <w:r w:rsidRPr="00063006">
        <w:rPr>
          <w:color w:val="auto"/>
          <w:sz w:val="36"/>
          <w:szCs w:val="36"/>
        </w:rPr>
        <w:t xml:space="preserve">he </w:t>
      </w:r>
      <w:r w:rsidR="008A5412">
        <w:rPr>
          <w:color w:val="auto"/>
          <w:sz w:val="36"/>
          <w:szCs w:val="36"/>
        </w:rPr>
        <w:t>I</w:t>
      </w:r>
      <w:r w:rsidRPr="00063006">
        <w:rPr>
          <w:color w:val="auto"/>
          <w:sz w:val="36"/>
          <w:szCs w:val="36"/>
        </w:rPr>
        <w:t xml:space="preserve">mpact of </w:t>
      </w:r>
      <w:r w:rsidR="008A5412">
        <w:rPr>
          <w:color w:val="auto"/>
          <w:sz w:val="36"/>
          <w:szCs w:val="36"/>
        </w:rPr>
        <w:t>C</w:t>
      </w:r>
      <w:r w:rsidRPr="00063006">
        <w:rPr>
          <w:color w:val="auto"/>
          <w:sz w:val="36"/>
          <w:szCs w:val="36"/>
        </w:rPr>
        <w:t xml:space="preserve">urrent </w:t>
      </w:r>
      <w:r w:rsidR="008A5412">
        <w:rPr>
          <w:color w:val="auto"/>
          <w:sz w:val="36"/>
          <w:szCs w:val="36"/>
        </w:rPr>
        <w:t>Co</w:t>
      </w:r>
      <w:r w:rsidRPr="00063006">
        <w:rPr>
          <w:color w:val="auto"/>
          <w:sz w:val="36"/>
          <w:szCs w:val="36"/>
        </w:rPr>
        <w:t xml:space="preserve">llector </w:t>
      </w:r>
      <w:r w:rsidR="008A5412">
        <w:rPr>
          <w:color w:val="auto"/>
          <w:sz w:val="36"/>
          <w:szCs w:val="36"/>
        </w:rPr>
        <w:t>D</w:t>
      </w:r>
      <w:r w:rsidRPr="00063006">
        <w:rPr>
          <w:color w:val="auto"/>
          <w:sz w:val="36"/>
          <w:szCs w:val="36"/>
        </w:rPr>
        <w:t xml:space="preserve">egradation on the initial </w:t>
      </w:r>
      <w:r w:rsidR="008A5412">
        <w:rPr>
          <w:color w:val="auto"/>
          <w:sz w:val="36"/>
          <w:szCs w:val="36"/>
        </w:rPr>
        <w:t>E</w:t>
      </w:r>
      <w:r w:rsidRPr="00063006">
        <w:rPr>
          <w:color w:val="auto"/>
          <w:sz w:val="36"/>
          <w:szCs w:val="36"/>
        </w:rPr>
        <w:t xml:space="preserve">lectrochemical </w:t>
      </w:r>
      <w:r w:rsidR="008A5412">
        <w:rPr>
          <w:color w:val="auto"/>
          <w:sz w:val="36"/>
          <w:szCs w:val="36"/>
        </w:rPr>
        <w:t>P</w:t>
      </w:r>
      <w:r w:rsidRPr="00063006">
        <w:rPr>
          <w:color w:val="auto"/>
          <w:sz w:val="36"/>
          <w:szCs w:val="36"/>
        </w:rPr>
        <w:t>erformance of infiltrated Solid Oxide Cells</w:t>
      </w:r>
      <w:bookmarkEnd w:id="428"/>
    </w:p>
    <w:p w14:paraId="76E3D50F" w14:textId="77777777" w:rsidR="00007F6C" w:rsidRPr="00B64543" w:rsidRDefault="00007F6C" w:rsidP="00007F6C">
      <w:pPr>
        <w:pStyle w:val="Heading1"/>
      </w:pPr>
      <w:bookmarkStart w:id="429" w:name="_Toc69129425"/>
      <w:r>
        <w:t>5.1</w:t>
      </w:r>
      <w:r>
        <w:tab/>
        <w:t>Introduction</w:t>
      </w:r>
      <w:bookmarkEnd w:id="429"/>
    </w:p>
    <w:p w14:paraId="1A8D763D" w14:textId="6FCCAB6F" w:rsidR="003E117E" w:rsidRDefault="003E117E" w:rsidP="00007F6C">
      <w:pPr>
        <w:jc w:val="both"/>
      </w:pPr>
      <w:r>
        <w:t xml:space="preserve">Degradation during operation is not limited to the agglomeration of the nickel electrocatalyst in SOFC fuel electrodes. Current collector materials (which imitate interconnect materials in large-scale SOFC stacks) have also been documented to breakdown during service </w:t>
      </w:r>
      <w:r w:rsidRPr="007012BE">
        <w:fldChar w:fldCharType="begin" w:fldLock="1"/>
      </w:r>
      <w:r w:rsidR="00151775">
        <w:instrText>ADDIN CSL_CITATION {"citationItems":[{"id":"ITEM-1","itemData":{"DOI":"10.1016/j.ijhydene.2010.10.034","ISSN":"03603199","abstract":"Planar electrolyte supported solid oxide fuel cells were operated at 900 °C with humidified H2 for 200 h using silver mesh and paste for cathode current collection. Continuous potentiostatic tests at 0.7 V appeared to induce migration of Ag towards electrode-electrolyte interphase, while continuous OCV tests caused no mass transport. Similar SOFCs fueled by coal syngas at 850 °C using Ag for both anode and cathode current collection indicated little, if any, Ag migration; providing the possibility of employing Ag for 100 h laboratory scale tests using coal-derived syngas. Use of high temperature steam, carbon dioxide and carbon monoxide did not result in the formation of silver carbonates. © 2010 Professor T. Nejat Veziroglu. Published by Elsevier Ltd. All rights reserved.","author":[{"dropping-particle":"","family":"Silva","given":"K. Channa R.","non-dropping-particle":"De","parse-names":false,"suffix":""},{"dropping-particle":"","family":"Kaseman","given":"Brian J.","non-dropping-particle":"","parse-names":false,"suffix":""},{"dropping-particle":"","family":"Bayless","given":"David J.","non-dropping-particle":"","parse-names":false,"suffix":""}],"container-title":"International Journal of Hydrogen Energy","id":"ITEM-1","issue":"1","issued":{"date-parts":[["2011"]]},"page":"779-786","publisher":"Elsevier Ltd","title":"Silver (Ag) as anode and cathode current collectors in high temperature planar solid oxide fuel cells","type":"article-journal","volume":"36"},"uris":["http://www.mendeley.com/documents/?uuid=79bafc40-9db7-402e-af3c-c17f1425f12f"]}],"mendeley":{"formattedCitation":"[433]","plainTextFormattedCitation":"[433]","previouslyFormattedCitation":"[433]"},"properties":{"noteIndex":0},"schema":"https://github.com/citation-style-language/schema/raw/master/csl-citation.json"}</w:instrText>
      </w:r>
      <w:r w:rsidRPr="007012BE">
        <w:fldChar w:fldCharType="separate"/>
      </w:r>
      <w:r w:rsidR="008B6E91" w:rsidRPr="008B6E91">
        <w:rPr>
          <w:noProof/>
        </w:rPr>
        <w:t>[433]</w:t>
      </w:r>
      <w:r w:rsidRPr="007012BE">
        <w:fldChar w:fldCharType="end"/>
      </w:r>
      <w:r w:rsidRPr="007012BE">
        <w:t>.</w:t>
      </w:r>
      <w:r>
        <w:t xml:space="preserve"> </w:t>
      </w:r>
      <w:r w:rsidR="001B4149">
        <w:t>Despite their high electrical conductivity, t</w:t>
      </w:r>
      <w:r>
        <w:t xml:space="preserve">he degradation of expensive precious metal interconnects such as Pt, Au or Ag further add to the cost per kW for </w:t>
      </w:r>
      <w:r w:rsidR="001B4149">
        <w:t xml:space="preserve">a </w:t>
      </w:r>
      <w:r>
        <w:t>fuel cell stack</w:t>
      </w:r>
      <w:r w:rsidR="001B4149">
        <w:t xml:space="preserve"> has driven the research fields to find cheaper alternatives.</w:t>
      </w:r>
    </w:p>
    <w:p w14:paraId="2FF80617" w14:textId="7A96875A" w:rsidR="003E117E" w:rsidRPr="007012BE" w:rsidRDefault="00007F6C" w:rsidP="003E117E">
      <w:pPr>
        <w:jc w:val="both"/>
      </w:pPr>
      <w:r w:rsidRPr="007012BE">
        <w:t>The current state of the art method for measuring the degradation of SOFCs is to use electrochemical impedance spectroscopy (EIS). This method relies on a current collector being applied to the sample electrodes prior to the impedance being taken.</w:t>
      </w:r>
      <w:r w:rsidR="003E117E">
        <w:t xml:space="preserve"> </w:t>
      </w:r>
      <w:r w:rsidR="003E117E" w:rsidRPr="007012BE">
        <w:t>A</w:t>
      </w:r>
      <w:r w:rsidR="003E117E">
        <w:t xml:space="preserve"> variety of candidates for current collection have been documented in SOFC oxygen electrode literature</w:t>
      </w:r>
      <w:r w:rsidR="003E117E" w:rsidRPr="007012BE">
        <w:t xml:space="preserve"> </w:t>
      </w:r>
      <w:r w:rsidR="003E117E" w:rsidRPr="007012BE">
        <w:fldChar w:fldCharType="begin" w:fldLock="1"/>
      </w:r>
      <w:r w:rsidR="00151775">
        <w:instrText>ADDIN CSL_CITATION {"citationItems":[{"id":"ITEM-1","itemData":{"DOI":"10.1016/j.ijhydene.2010.10.034","ISSN":"03603199","abstract":"Planar electrolyte supported solid oxide fuel cells were operated at 900 °C with humidified H2 for 200 h using silver mesh and paste for cathode current collection. Continuous potentiostatic tests at 0.7 V appeared to induce migration of Ag towards electrode-electrolyte interphase, while continuous OCV tests caused no mass transport. Similar SOFCs fueled by coal syngas at 850 °C using Ag for both anode and cathode current collection indicated little, if any, Ag migration; providing the possibility of employing Ag for 100 h laboratory scale tests using coal-derived syngas. Use of high temperature steam, carbon dioxide and carbon monoxide did not result in the formation of silver carbonates. © 2010 Professor T. Nejat Veziroglu. Published by Elsevier Ltd. All rights reserved.","author":[{"dropping-particle":"","family":"Silva","given":"K. Channa R.","non-dropping-particle":"De","parse-names":false,"suffix":""},{"dropping-particle":"","family":"Kaseman","given":"Brian J.","non-dropping-particle":"","parse-names":false,"suffix":""},{"dropping-particle":"","family":"Bayless","given":"David J.","non-dropping-particle":"","parse-names":false,"suffix":""}],"container-title":"International Journal of Hydrogen Energy","id":"ITEM-1","issue":"1","issued":{"date-parts":[["2011"]]},"page":"779-786","publisher":"Elsevier Ltd","title":"Silver (Ag) as anode and cathode current collectors in high temperature planar solid oxide fuel cells","type":"article-journal","volume":"36"},"uris":["http://www.mendeley.com/documents/?uuid=79bafc40-9db7-402e-af3c-c17f1425f12f"]},{"id":"ITEM-2","itemData":{"DOI":"10.1149/1.1995687","ISSN":"00134651","abstract":"This investigation details relatively short-term (500 h) performance\\ncharacteristics (in particular cathode conditioning and degradation)\\nof anode-supported SOFCs utilizing La(Sr)FeO3 cathodes with platinum,\\nsilver, or gold current collectors. Conditioning or degradation characteristics\\nwere found to be highly dependant on the current collector used.\\nAn additional area of study considered transient cell behavior following\\nrest periods at open-circuit voltage (OCV, zero current). Three types\\nof behavior were observed; (i) decreased performance after OCV hold,\\n(ii) increased performance after OCV hold, and (iii) no discernible\\nchange. The type of transient behavior was found to be dependent\\non the noble metal current collector utilized and the time at which\\nthe transient behavior was assessed. Longer testing times indicated\\nmore pronounced transient characteristics. (c) 2005 The Electrochemical\\nSociety.","author":[{"dropping-particle":"","family":"Simner","given":"S. P.","non-dropping-particle":"","parse-names":false,"suffix":""},{"dropping-particle":"","family":"Anderson","given":"M. D.","non-dropping-particle":"","parse-names":false,"suffix":""},{"dropping-particle":"","family":"Pederson","given":"L. R.","non-dropping-particle":"","parse-names":false,"suffix":""},{"dropping-particle":"","family":"Stevenson","given":"J. W.","non-dropping-particle":"","parse-names":false,"suffix":""}],"container-title":"Journal of The Electrochemical Society","id":"ITEM-2","issue":"9","issued":{"date-parts":[["2005"]]},"page":"A1851","title":"Performance Variability of La(Sr)FeO[sub 3] SOFC Cathode with Pt, Ag, and Au Current Collectors","type":"article-journal","volume":"152"},"uris":["http://www.mendeley.com/documents/?uuid=9e2e6708-299f-41c8-a608-26f87ebe3831"]},{"id":"ITEM-3","itemData":{"DOI":"10.1007/s10008-011-1341-8","ISSN":"14328488","abstract":"Continuing previous reviews on mixed-conducting electrodes for intermediate-temperature solid oxide fuel cells (IT SOFCs), this work presents a short overview of novel cathode and anode materials, their electrochemical performance in contact with oxygen anion- and proton-conducting solid electrolytes, and specific features determining possible applications. Priority was given mainly to recent research reports published during the last 2-5 years. Particular emphasis is focused on the relevant methodological aspects, potential limitations and drawbacks, and factors affecting electrode polarization and durability. Typical ranges of the polarization resistances, overpotentials, power densities in the cells with various current collectors, and the electrode materials total conductivity and thermal expansion are compared. The electrode compositions appraised in single-chamber and micro-SOFCs, hydrocarbon- and carbon-fueled cells, high-temperature electrolyzers, and other solid-electrolyte appliances are briefly covered in light of their similarity to the common SOFC materials discussed in the previous parts. © 2011 Springer-Verlag.","author":[{"dropping-particle":"V.","family":"Tsipis","given":"Ekaterina","non-dropping-particle":"","parse-names":false,"suffix":""},{"dropping-particle":"V.","family":"Kharton","given":"Vladislav","non-dropping-particle":"","parse-names":false,"suffix":""}],"container-title":"Journal of Solid State Electrochemistry","id":"ITEM-3","issue":"5","issued":{"date-parts":[["2011"]]},"page":"1007-1040","title":"Electrode materials and reaction mechanisms in solid oxide fuel cells: A brief review. III. Recent trends and selected methodological aspects","type":"article-journal","volume":"15"},"uris":["http://www.mendeley.com/documents/?uuid=e8ab5cbd-a585-43a1-9b56-56ec3e757bb2"]},{"id":"ITEM-4","itemData":{"DOI":"10.1016/j.jpowsour.2007.11.113","ISSN":"03787753","abstract":"Anode-supported solid oxide fuel cells (SOFC) based on gadolinia-doped ceria (GDC) are developed in this study. A carbonate co-precipitation method is used to synthesize the nano-sized GDC powders. A dense GDC electrolyte thin film supported by a Ni-GDC porous anode is fabricated by dry-pressing and spin-coating processes, respectively. In comparison with dry pressing, it is easy to prepare a thinner electrolyte film by the novel spin-coating method. Cell performance is examined using humidified (3% H2O) hydrogen as fuel and air as oxidant in the temperature range of 500-700 °C. Cell performance is strongly dependent on the electrolyte thickness. With a porous Ni-GDC anode, a dense 19-μm GDC electrolyte film and a porous La0.6Sr0.4Co0.2Fe0.8O3-GDC cathode, the cell exhibits maximum power densities of 130, 253, 386 and 492 mW cm-2 at 500, 550, 600 and 650 °C, respectively. It is also found that at the low operating temperature about 500 °C, the cell resistance is significantly dominated by the electrode polarization resistance. © 2008 Elsevier B.V. All rights reserved.","author":[{"dropping-particle":"","family":"Zhen","given":"Y. D.","non-dropping-particle":"","parse-names":false,"suffix":""},{"dropping-particle":"","family":"Tok","given":"A. I.Y.","non-dropping-particle":"","parse-names":false,"suffix":""},{"dropping-particle":"","family":"Jiang","given":"S. P.","non-dropping-particle":"","parse-names":false,"suffix":""},{"dropping-particle":"","family":"Boey","given":"F. Y.C.","non-dropping-particle":"","parse-names":false,"suffix":""}],"container-title":"Journal of Power Sources","id":"ITEM-4","issue":"1","issued":{"date-parts":[["2008"]]},"page":"69-74","title":"Fabrication and performance of gadolinia-doped ceria-based intermediate-temperature solid oxide fuel cells","type":"article-journal","volume":"178"},"uris":["http://www.mendeley.com/documents/?uuid=5eac5405-8c4f-476c-85ce-5c48dda0055f"]},{"id":"ITEM-5","itemData":{"DOI":"10.1149/1.3205559","ISBN":"9781566777391","ISSN":"19385862","abstract":"Impedance spectra of a symmetrical cell with SOFC cathodes (LSM-YSZ/YSZ/LSM-YSZ) and an anode supported planar SOFC (Ni-YSZ/YSZ/LSM-YSZ) were collected at OCV at 650°C in air (cathode) and humidified (4%) hydrogen (anode), over 155 hours. The impedance was affected by degradation over time in the same frequency range for both cells (</w:instrText>
      </w:r>
      <w:r w:rsidR="00151775">
        <w:rPr>
          <w:rFonts w:ascii="Cambria Math" w:hAnsi="Cambria Math" w:cs="Cambria Math"/>
        </w:rPr>
        <w:instrText>∼</w:instrText>
      </w:r>
      <w:r w:rsidR="00151775">
        <w:instrText>10 Hz), possibly indicating that the same physical process was affected in both types of cell. However, deconvolution of the impedance data was not straightforward. When n-values of the constant phase elements in the otherwise identical equivalent circuit for the full cell were changed slightly, very different results were obtained, showing the high sensitivity of the fitting procedure. Therefore, the equivalent circuit applied should be refined further, requiring comparison of impedance data of the cells at higher temperature (750, 850°C). ©The Electrochemical Society.","author":[{"dropping-particle":"","family":"Torres da Silva","given":"Iris M.","non-dropping-particle":"","parse-names":false,"suffix":""},{"dropping-particle":"","family":"Nielsen","given":"Jimmi","non-dropping-particle":"","parse-names":false,"suffix":""},{"dropping-particle":"","family":"Hjelm","given":"Johan","non-dropping-particle":"","parse-names":false,"suffix":""},{"dropping-particle":"","family":"Mogensen","given":"Mogens","non-dropping-particle":"","parse-names":false,"suffix":""}],"id":"ITEM-5","issued":{"date-parts":[["2009"]]},"page":"489-498","title":"Comparison of the Degradation of the Polarisation Resistance of Symmetrical LSM-YSZ cells, with Anode Supported Ni-YSZ/YSZ/LSM-YSZ SOFCs","type":"article-journal"},"uris":["http://www.mendeley.com/documents/?uuid=ec06af39-2573-447f-978f-90abfad4707f"]}],"mendeley":{"formattedCitation":"[433]–[437]","plainTextFormattedCitation":"[433]–[437]","previouslyFormattedCitation":"[433]–[437]"},"properties":{"noteIndex":0},"schema":"https://github.com/citation-style-language/schema/raw/master/csl-citation.json"}</w:instrText>
      </w:r>
      <w:r w:rsidR="003E117E" w:rsidRPr="007012BE">
        <w:fldChar w:fldCharType="separate"/>
      </w:r>
      <w:r w:rsidR="008B6E91" w:rsidRPr="008B6E91">
        <w:rPr>
          <w:noProof/>
        </w:rPr>
        <w:t>[433]–[437]</w:t>
      </w:r>
      <w:r w:rsidR="003E117E" w:rsidRPr="007012BE">
        <w:fldChar w:fldCharType="end"/>
      </w:r>
      <w:r w:rsidR="003E117E" w:rsidRPr="007012BE">
        <w:t xml:space="preserve">. </w:t>
      </w:r>
      <w:r w:rsidR="003E117E">
        <w:t xml:space="preserve">Most notably </w:t>
      </w:r>
      <w:r w:rsidR="003E117E" w:rsidRPr="007012BE">
        <w:t xml:space="preserve">Simner et al found that the thermochemical cation diffusion can occur in the current collector material </w:t>
      </w:r>
      <w:r w:rsidR="003E117E" w:rsidRPr="007012BE">
        <w:fldChar w:fldCharType="begin" w:fldLock="1"/>
      </w:r>
      <w:r w:rsidR="00151775">
        <w:instrText>ADDIN CSL_CITATION {"citationItems":[{"id":"ITEM-1","itemData":{"DOI":"10.1149/1.1995687","ISSN":"00134651","abstract":"This investigation details relatively short-term (500 h) performance\\ncharacteristics (in particular cathode conditioning and degradation)\\nof anode-supported SOFCs utilizing La(Sr)FeO3 cathodes with platinum,\\nsilver, or gold current collectors. Conditioning or degradation characteristics\\nwere found to be highly dependant on the current collector used.\\nAn additional area of study considered transient cell behavior following\\nrest periods at open-circuit voltage (OCV, zero current). Three types\\nof behavior were observed; (i) decreased performance after OCV hold,\\n(ii) increased performance after OCV hold, and (iii) no discernible\\nchange. The type of transient behavior was found to be dependent\\non the noble metal current collector utilized and the time at which\\nthe transient behavior was assessed. Longer testing times indicated\\nmore pronounced transient characteristics. (c) 2005 The Electrochemical\\nSociety.","author":[{"dropping-particle":"","family":"Simner","given":"S. P.","non-dropping-particle":"","parse-names":false,"suffix":""},{"dropping-particle":"","family":"Anderson","given":"M. D.","non-dropping-particle":"","parse-names":false,"suffix":""},{"dropping-particle":"","family":"Pederson","given":"L. R.","non-dropping-particle":"","parse-names":false,"suffix":""},{"dropping-particle":"","family":"Stevenson","given":"J. W.","non-dropping-particle":"","parse-names":false,"suffix":""}],"container-title":"Journal of The Electrochemical Society","id":"ITEM-1","issue":"9","issued":{"date-parts":[["2005"]]},"page":"A1851","title":"Performance Variability of La(Sr)FeO[sub 3] SOFC Cathode with Pt, Ag, and Au Current Collectors","type":"article-journal","volume":"152"},"uris":["http://www.mendeley.com/documents/?uuid=9e2e6708-299f-41c8-a608-26f87ebe3831"]}],"mendeley":{"formattedCitation":"[434]","plainTextFormattedCitation":"[434]","previouslyFormattedCitation":"[434]"},"properties":{"noteIndex":0},"schema":"https://github.com/citation-style-language/schema/raw/master/csl-citation.json"}</w:instrText>
      </w:r>
      <w:r w:rsidR="003E117E" w:rsidRPr="007012BE">
        <w:fldChar w:fldCharType="separate"/>
      </w:r>
      <w:r w:rsidR="008B6E91" w:rsidRPr="008B6E91">
        <w:rPr>
          <w:noProof/>
        </w:rPr>
        <w:t>[434]</w:t>
      </w:r>
      <w:r w:rsidR="003E117E" w:rsidRPr="007012BE">
        <w:fldChar w:fldCharType="end"/>
      </w:r>
      <w:r w:rsidR="003E117E" w:rsidRPr="007012BE">
        <w:t xml:space="preserve">. Pt and Ag were shown </w:t>
      </w:r>
      <w:r w:rsidR="003E117E">
        <w:t>via</w:t>
      </w:r>
      <w:r w:rsidR="003E117E" w:rsidRPr="007012BE">
        <w:t xml:space="preserve"> SEM to possess a high mobility at 750</w:t>
      </w:r>
      <w:r w:rsidR="00CF5761">
        <w:t xml:space="preserve"> </w:t>
      </w:r>
      <w:r w:rsidR="003E117E" w:rsidRPr="007012BE">
        <w:rPr>
          <w:rFonts w:cstheme="minorHAnsi"/>
        </w:rPr>
        <w:t>°</w:t>
      </w:r>
      <w:r w:rsidR="003E117E" w:rsidRPr="007012BE">
        <w:t xml:space="preserve">C under oxygen reduction reaction conditions </w:t>
      </w:r>
      <w:r w:rsidR="003E117E" w:rsidRPr="007012BE">
        <w:fldChar w:fldCharType="begin" w:fldLock="1"/>
      </w:r>
      <w:r w:rsidR="00151775">
        <w:instrText>ADDIN CSL_CITATION {"citationItems":[{"id":"ITEM-1","itemData":{"DOI":"10.1149/1.1995687","ISSN":"00134651","abstract":"This investigation details relatively short-term (500 h) performance\\ncharacteristics (in particular cathode conditioning and degradation)\\nof anode-supported SOFCs utilizing La(Sr)FeO3 cathodes with platinum,\\nsilver, or gold current collectors. Conditioning or degradation characteristics\\nwere found to be highly dependant on the current collector used.\\nAn additional area of study considered transient cell behavior following\\nrest periods at open-circuit voltage (OCV, zero current). Three types\\nof behavior were observed; (i) decreased performance after OCV hold,\\n(ii) increased performance after OCV hold, and (iii) no discernible\\nchange. The type of transient behavior was found to be dependent\\non the noble metal current collector utilized and the time at which\\nthe transient behavior was assessed. Longer testing times indicated\\nmore pronounced transient characteristics. (c) 2005 The Electrochemical\\nSociety.","author":[{"dropping-particle":"","family":"Simner","given":"S. P.","non-dropping-particle":"","parse-names":false,"suffix":""},{"dropping-particle":"","family":"Anderson","given":"M. D.","non-dropping-particle":"","parse-names":false,"suffix":""},{"dropping-particle":"","family":"Pederson","given":"L. R.","non-dropping-particle":"","parse-names":false,"suffix":""},{"dropping-particle":"","family":"Stevenson","given":"J. W.","non-dropping-particle":"","parse-names":false,"suffix":""}],"container-title":"Journal of The Electrochemical Society","id":"ITEM-1","issue":"9","issued":{"date-parts":[["2005"]]},"page":"A1851","title":"Performance Variability of La(Sr)FeO[sub 3] SOFC Cathode with Pt, Ag, and Au Current Collectors","type":"article-journal","volume":"152"},"uris":["http://www.mendeley.com/documents/?uuid=9e2e6708-299f-41c8-a608-26f87ebe3831"]}],"mendeley":{"formattedCitation":"[434]","plainTextFormattedCitation":"[434]","previouslyFormattedCitation":"[434]"},"properties":{"noteIndex":0},"schema":"https://github.com/citation-style-language/schema/raw/master/csl-citation.json"}</w:instrText>
      </w:r>
      <w:r w:rsidR="003E117E" w:rsidRPr="007012BE">
        <w:fldChar w:fldCharType="separate"/>
      </w:r>
      <w:r w:rsidR="008B6E91" w:rsidRPr="008B6E91">
        <w:rPr>
          <w:noProof/>
        </w:rPr>
        <w:t>[434]</w:t>
      </w:r>
      <w:r w:rsidR="003E117E" w:rsidRPr="007012BE">
        <w:fldChar w:fldCharType="end"/>
      </w:r>
      <w:r w:rsidR="003E117E" w:rsidRPr="007012BE">
        <w:t xml:space="preserve">. </w:t>
      </w:r>
    </w:p>
    <w:p w14:paraId="7499FDC9" w14:textId="5ACCAAB7" w:rsidR="001B4149" w:rsidRDefault="003E117E" w:rsidP="001B4149">
      <w:pPr>
        <w:jc w:val="both"/>
      </w:pPr>
      <w:r w:rsidRPr="007012BE">
        <w:t>Despite this large research focus in oxygen electrodes. There is very little literature on the impact of current collector material on the electrochemical characteristics of infiltrated anodes</w:t>
      </w:r>
      <w:r>
        <w:t xml:space="preserve"> </w:t>
      </w:r>
      <w:r w:rsidRPr="007012BE">
        <w:fldChar w:fldCharType="begin" w:fldLock="1"/>
      </w:r>
      <w:r w:rsidR="00151775">
        <w:instrText>ADDIN CSL_CITATION {"citationItems":[{"id":"ITEM-1","itemData":{"DOI":"10.1016/S0167-2738(99)00254-4","ISSN":"01672738","abstract":"The effects of various current collectors on the electrochemical property measurements of a Ni-YSZ cermet have been investigated. Electrochemical characteristics were determined by impedance spectroscopy (IS) at open-circuit voltage in H2-H2O atmosphere at 800 °C using a symmetrical cell. We selected various current collectors made of gold, platinum and nickel and with two different structures, paste and mesh. When using paste, the electrochemical response, recorded with the same Ni-YSZ cermet sample, depends greatly on the nature of the current collector. Polarization resistance values follow the order: Ni&lt;Pt&lt;Au. This is the same order as reported in the literature for the hydrogen electrochemical oxidation activities of these metals. This demonstrates that paste current collectors interfere with the electrochemical properties of the anode material. Therefore, in order to compare the electrochemical activities of various anode materials, the same current collector has to be used. We have also observed that the polarization resistance increases with time, due to metal particle diffusion through the Ni-YSZ cermet. When using a nickel mesh, the electrochemical properties do not vary with time. Moreover, the structure of this current collector is most similar to the interconnect materials, which are the current collectors in planar SOFCs. It is, therefore, the best current collector for the study of the electrochemical properties of Ni-YSZ cermet.","author":[{"dropping-particle":"","family":"Guillodo","given":"M.","non-dropping-particle":"","parse-names":false,"suffix":""},{"dropping-particle":"","family":"Vernoux","given":"P.","non-dropping-particle":"","parse-names":false,"suffix":""},{"dropping-particle":"","family":"Fouletier","given":"J.","non-dropping-particle":"","parse-names":false,"suffix":""}],"container-title":"Solid State Ionics","id":"ITEM-1","issue":"1-2","issued":{"date-parts":[["2000"]]},"page":"99-107","title":"Electrochemical properties of Ni-YSZ cermet in solid oxide fuel cells. Effect of current collecting","type":"article-journal","volume":"127"},"uris":["http://www.mendeley.com/documents/?uuid=1b59ad5f-6e71-4c86-8342-2445f4bf2a8c"]}],"mendeley":{"formattedCitation":"[438]","plainTextFormattedCitation":"[438]","previouslyFormattedCitation":"[438]"},"properties":{"noteIndex":0},"schema":"https://github.com/citation-style-language/schema/raw/master/csl-citation.json"}</w:instrText>
      </w:r>
      <w:r w:rsidRPr="007012BE">
        <w:fldChar w:fldCharType="separate"/>
      </w:r>
      <w:r w:rsidR="008B6E91" w:rsidRPr="008B6E91">
        <w:rPr>
          <w:noProof/>
        </w:rPr>
        <w:t>[438]</w:t>
      </w:r>
      <w:r w:rsidRPr="007012BE">
        <w:fldChar w:fldCharType="end"/>
      </w:r>
      <w:r w:rsidRPr="007012BE">
        <w:t xml:space="preserve">. The hydrogen oxidation reaction present in the fuel electrode poses different issues to that of the cathode </w:t>
      </w:r>
      <w:r w:rsidRPr="007012BE">
        <w:fldChar w:fldCharType="begin" w:fldLock="1"/>
      </w:r>
      <w:r w:rsidR="00151775">
        <w:instrText>ADDIN CSL_CITATION {"citationItems":[{"id":"ITEM-1","itemData":{"DOI":"10.1038/35104620","ISBN":"0028-0836 (Print)\r0028-0836 (Linking)","PMID":"11713541","abstract":"Fuel cells convert chemical energy directly into electrical energy with high efficiency and low emission of pollutants. However, before fuel-cell technology can gain a significant share of the electrical power market, important issues have to be addressed. These issues include optimal choice of fuel, and the development of alternative materials in the fuel-cell stack. Present fuel-cell prototypes often use materials selected more than 25 years ago. Commercialization aspects, including cost and durability, have revealed inadequacies in some of these materials. Here we summarize recent progress in the search and development of innovative alternative materials.","author":[{"dropping-particle":"","family":"Steele","given":"B C","non-dropping-particle":"","parse-names":false,"suffix":""},{"dropping-particle":"","family":"Heinzel","given":"A","non-dropping-particle":"","parse-names":false,"suffix":""}],"container-title":"Nature","id":"ITEM-1","issue":"6861","issued":{"date-parts":[["2001"]]},"note":"Steele, B C\nHeinzel, A\nENG\nEngland\n2001/11/20 10:00\nNature. 2001 Nov 15;414(6861):345-52.","page":"345-352","title":"Materials for fuel-cell technologies","type":"article-journal","volume":"414"},"uris":["http://www.mendeley.com/documents/?uuid=e4e6330b-2c51-4ba3-9733-963ce3c842fc"]},{"id":"ITEM-2","itemData":{"DOI":"10.1038/nmat1040","ISBN":"1476-1122","ISSN":"14761122","PMID":"14704781","abstract":"Fuel cells will undoubtedly find widespread use in this new millennium in the conversion of chemical to electrical energy, as they offer very high efficiencies and have unique scalability in electricity-generation applications. The solid-oxide fuel cell (SOFC) is one of the most exciting of these energy technologies; it is an all-ceramic device that operates at temperatures in the range 500-1,000 degrees C. The SOFC offers certain advantages over lower temperature fuel cells, notably its ability to use carbon monoxide as a fuel rather than being poisoned by it, and the availability of high-grade exhaust heat for combined heat and power, or combined cycle gas-turbine applications. Although cost is clearly the most important barrier to widespread SOFC implementation, perhaps the most important technical barriers currently being addressed relate to the electrodes, particularly the fuel electrode or anode. In terms of mitigating global warming, the ability of the SOFC to use commonly available fuels at high efficiency, promises an effective and early reduction in carbon dioxide emissions, and hence is one of the lead new technologies for improving the environment. Here, we discuss recent developments of SOFC fuel electrodes that will enable the better use of readily available fuels.","author":[{"dropping-particle":"","family":"Atkinson","given":"A.","non-dropping-particle":"","parse-names":false,"suffix":""},{"dropping-particle":"","family":"Barnett","given":"S.","non-dropping-particle":"","parse-names":false,"suffix":""},{"dropping-particle":"","family":"Gorte","given":"R. J.","non-dropping-particle":"","parse-names":false,"suffix":""},{"dropping-particle":"","family":"Irvine","given":"J. T.S.","non-dropping-particle":"","parse-names":false,"suffix":""},{"dropping-particle":"","family":"McEvoy","given":"A. J.","non-dropping-particle":"","parse-names":false,"suffix":""},{"dropping-particle":"","family":"Mogensen","given":"M.","non-dropping-particle":"","parse-names":false,"suffix":""},{"dropping-particle":"","family":"Singhal","given":"S. C.","non-dropping-particle":"","parse-names":false,"suffix":""},{"dropping-particle":"","family":"Vohs","given":"J.","non-dropping-particle":"","parse-names":false,"suffix":""}],"container-title":"Nature Materials","id":"ITEM-2","issue":"1","issued":{"date-parts":[["2004"]]},"language":"English","note":"Cited By :951\nExport Date: 7 October 2016\nCorrespondence Address: Irvine, J.T.S.; School of Chemistry, University of St Andrews, St Andrews, Fife KY16 9ST, United Kingdom\nChemicals/CAS: hydrogen, 12385-13-6, 1333-74-0; Ceramics; Hydrogen, 1333-74-0; Metals\nReferences: Baur, E., Preis, H., Uber die Eisenoxyd-Kathode in der Kohle-Luft-Kette (1937) Z. Elektrochem., 43, p. 727; Möbius, H.-H., On the history of solid electrolyte fuel cells (1997) Solid State Electrochem., 1, p. 2; Spacil, H.S., (1970) Electrical Device Including Nickel-containing Stabilized Zirconia Electrode, , US Patent 3,558,360; Lee, J.H., Quantitative analysis of microstructure and its related electrical property of SOFC anode, Ni-YSZ cermet (2002) Solid State Ionics, 148, pp. 1-2; Toebes, M.L., Bitter, I.H., Van Dillen, A.J., De Jong, K.P., Impact of the structure and reactivity of nickel particles on the catalytic growth of carbon nanofibers (2002) Catal Today, 76, pp. 33-42; Sasaki, K., Teraoka, Y., Equilibria in fuel cell gases -I. Equilibrium compositions and reforming conditions (2003) J. Electrochem. Soc., 150, pp. A878-A884; Murray, E.P., Tsai, T., Barnett, S.A., A direct-methane fuel cell with a ceriabased anode (1999) Nature, 400, pp. 649-651; Mogensen, M., Jensen, K.V., Jorgensen, M.J., Primdahl, S., Progress in understanding SOFC electrodes (2002) Solid State Ionics, 150, pp. 123-129; Lu, X.Y., Faguy, P.W., Liu, M.I., In situ potential-dependent FTIR emission spectroscopy - A novel probe for high temperature fuel cell interfaces (2002) J. Electrochm. Sac., 149, pp. A1293-A1298; Bernardo, C.A., Alstrup, I., Rostrupnielsen, J.R., Carbon deposition and methane steam reforming on silica-supported Ni-Cu catalysts (1985) J. Catal., 96, pp. 517-534; Dong, W.S., Roh, H.S., Jun, K.W., Park, S.E., Oh, Y.S., Methane reforming over Ni/Ce-ZrO2 catalysts: Effect of nickel content (2002) Appl. Catal. A, 226, pp. 63-72; Bunluesin, T., Gorte, R.J., Graham, G.W., Studies of the water-gas-shift reaction on ceria-supported Pt, Pd, and Rh: Implications for oxygen-storage properties (1998) Appl. Catal. B, 15, pp. 107-114; Sharma, S., Hilaire, S., Vohs, J.M., Gorte, R.J., Jen, H.W., Evidence for oxidation of ceria by CO2 (2000) J. Catal., 199, pp. 199-204; Ramirez-Cabrera, E., Atkinson, A., Chadwick, D., The influence of point defects on the resistance of ceria to carbon deposition in hydrocarbon catalysis (2000) Solid State Ionics, 136, pp. 825-831; Marina, O.A., Mogensen, M., High-temperature conversion of methane on a composite gadolinia-doped ceria-gold electrode (1999) Appl. Catal. A, 189, pp. 117-126; Park, S.D., Vohs, J.M., Gorte, R.J., Direct oxidation of hydrocarbons in a solid-oxide fuel cell (2000) Nature, 404, pp. 265-267; Kiratzis, N., Holtappels, P., Hatchwell, C.E., Mogensen, M., Irvine, J.T.S., Preparation and characterisation of copper/yttria titania zirconia cermets for use as possible solid oxide fuel cell anodes (2001) Fuel Cells, 1, pp. 211-218; Kim, H., Park, S., Vohs, J.M., Gorte, R.J., Direct oxidation of liquid fuels in a solid oxide fuel cell (2001) J. Electrochem. Soc., 148, pp. A693-A695; Minh, N.Q., Ceramic fuel-cells (1993) J. Am. Ceram. Soc., 76, pp. 563-588; Yokokawa, H., Sakai, N., Kawada, T., Dokiya, M., Thermodynamic stabilities of perovskite oxides for electrodes and other electrochemical materials (1992) Solid State Ionics, 52, pp. 43-56; Pudmich, G., Chromite/titanate based perovskites for application as anodes in solid oxide fuel cells (2000) Solid State Ionics, 135, pp. 433-438; Tao, S., Irvine, J.T.S., A redox-stable, efficient anode for solid-oxide fuel cells (2003) Nature Mater., 2, pp. 320-323; Vernoux, P., Guillodo, M., Fouletier, J., Hammou, A., Alternative anode materials for gradual methane reforming in solid oxide fuel cells (2000) Solid State Ionics, 133, pp. 425-431; Sfeir, J., Lanthanum chromite based catalysts for oxidation of methane directly on SOFC anode (2001) J. Catal., 202, pp. 229-244; Sfeir, J., Van Herle, J., Vasquez, R., (2002) Proc. 5th European Solid Oxide Fuel Cell Forum, pp. 570-577. , ed. Huijsmans J. (European SOFC Forum, Switzerland); Sauvet, A.L., Irvine, J.T.S., (2002) Proc. 5th European Solid Oxide Fuel Cell Forum, pp. 490-498. , ed. Huijsmans J. (European SOFC Forum, Switzerland); Slater, P.R., Fagg, D.P., Irvine, J.T.S., Synthesis and electrical characterisation of the doped perovskite titanates as potential anode materials for solid oxide fuel cells (1997) J. Mater. Chem., 7, pp. 2495-2498; Hui, S.Q., Petric, A., Electrical properties of yttrium-doped strontium titanate under reducing conditions (2002) J. Electrochem. Soc., 149, pp. J1-J10; Marina, O.A., Pederson, L.R., (2002) Proc. 5th European Solid Oxide Fuel Cell Forum, pp. 481-489. , ed. Huijimans, J. (European SOFC Forum, Switzerland); Canales-Vázquez, J., Tao, S.W., Irvine, J.T.S., (2003) Electrical Properties in La2Sr4Ti6O 19-d: A Potential Anode for High Temperature Fuel Cells Solid State Ionics, 159, pp. 159-165; Reich, C., Kaiser, A., Irvine, J.T.S., (2001) Niobia Based Rutile Materials as Sofc Anodes, Fuel Cells - from Fundamentals to Systems, 1, pp. 249-255; Ramos, T., Atkinson, A., (2001) Ionic and Mixed Conducting Ceramics IV, PV2001-28, pp. 352-367. , eds Ramanarayanan, T. A., Worrell, W. L. &amp;amp; Mogensen, M. (Electrochemical Scociety Proceedings); Steele, B.C.H., Appraisal of Ce1-yGdyO2-y/2electrolytes for IT-SOFC operation at 500° C (2000) Solid State Ionics, 129, pp. 95-110; Wang, S.R., Kobayashi, T., Dokiya, M., Hashimoto, T., Electrical and ionic conductivity of Gd-doped ceria (2000) J. Electrochem. Soc., 147, pp. 3606-3609; Floyd, J.M., Interpretation of transport phenomena in non-stoichiometric ceria (1972) J. Ind. Technol., pp. 275-280; Tao, S., Irvine, J.T.S., Optimization of mixed conducting properties of Y2O 3ZrO2-TiO2 and Sc2O 3-Y2O3-ZrO2-TiO2 solid solutions as potential SOFC anode materials (2002) J. Solid State Chem., 165, pp. 12-18; Sauvet, A.-L., Fouletier, J., Catalytic properties of new anode materials for solid oxide fuel cells operated under methane at intermediary temperature (2001) J. Power Sources, 101, pp. 259-266; Sprague, J.J., Tuller, H.L., Mixed ionic and electronic conduction in Mn/Mo doped gadolinium titanate (1999) J. Europ. Ceram. Soc., 19, pp. 803-806; Holtappels, P., Poulsen, F.W., Mogensen, M., Electrical conductivities and chemical stabilities of mixed conducting pyrochlores for SOFC applications (2000) Solid State Ionics, 135, pp. 675-679; McIntosh, S., Vohs, J.M., Gorte, R.J., Role of hydrocarbon deposits in the enhanced performance of direct-oxidation SOFCs (2003) J. Electrochem. Soc., 150, pp. A470-A476; Lu, C., Worrell, W.L., Vohs, J.M., Gorte, R.J., (2003) Solid Oxide Fuel Cells VIII, 7, pp. 773-780. , eds Singhal. S. C. &amp;amp; Dokiya, M., (Electrochemical Society Proceedings); Lu, C., Worrell, W.L., Gorte, R.J., Vohs, J.M., SOFCs for direct oxidation of hydrocarbon fuels with samaria-doped ceria Electrolyte (2003) J. Electrochem, Soc., 150, pp. A354-A358; Sfeir, J., (2001) Alternative Anode Materials for Methane Oxidation in Solid Oxide Fuel Cells, , Thesis, Ecole Polytechnique Fédérale de Lausanne, Switzerland; Liu, J., Madsen, B.D., Ji, Z.Q., Barnett, S.A., A fuel-flexible ceramic-based anode for solid oxide fuel cells (2002) Electrochem. Solid State Lett., 5, pp. A122-A124; Sauvet, A.L., Fouletier, J., Electrochemical properties of a new type of anode material La 1-xSrxCr1-yRuyO3-δ for SOFC under hydrogen and methane at intermediate temperatures (2001) Electrochim. Acta, 47, pp. 987-995; Vernoux, P., Guindet, J., Kleitz, M., Gradual internal methane reforming in intermediate-temperature solid-oxide fuel cells (1998) J. Electrochem. Soc., 145, pp. 3487-3492; Skarmoutsos, D., Teitz, F., Nikolopoulos, P., Structure - Property relationships of Ni/YSZ and Ni/(YSZ+TiO2) cermets (2001) Fuel Cells, 1, pp. 243-248; Holtappels, P., (1997) Electrocatalysis on Nickel-cermet E,lectrodes Jülich, , Research Centre Report number 3414, and Thesis, Univ. Bonn; Kiratzis, N., Holtappels, P., Hatchwell, C.E., Mogensen, M., Irvine, J.T.S., Preparation and characterisation of copper/yttria titania zirconia cermets for use as possible solid oxide fuel cell anodes (2001) Fuel Cells, 1, pp. 211-218","page":"17-27","title":"Advanced anodes for high-temperature fuel cells","type":"article-journal","volume":"3"},"uris":["http://www.mendeley.com/documents/?uuid=5b7491b8-7a88-4fb4-aaf6-a24df77a007d"]},{"id":"ITEM-3","itemData":{"DOI":"10.1016/j.jpowsour.2011.05.076","ISBN":"0378-7753","ISSN":"03787753","abstract":"Impregnated nanoparticles are very effective in improving the electrochemical performance of solid oxide fuel cell (SOFC) anodes possibly due to the extension of reaction sites and/or the enhancement of catalytic activity. In this work, samaria-doped ceria (SDC), pure ceria, samaria, and alumina oxides impregnated Ni-based anodes are fabricated to compare the site extending and the catalytic effects. Except for alumina, the impregnation of the other three nano-sized oxides could substantially enhance the performance of the anodes for the hydrogen oxidation reactions. Moreover, single cells with CeO2 and Sm2O3 impregnated anodes could exhibit as great performance as those with SDC impregnated anodes. When the impregnation loading reached the optimal value, 1.7 mmol cm-3, these cells exhibit very high performance, with peak power densities around 750 mW cm-2. The high performance of CeO2 and Sm 2O3 impregnated anodes demonstrates that the improved performance are mainly attributed to the significantly improved electrochemical activities of the anodes, but not to the extension of triple-phase-boundary, and wet impregnation is indeed an alternative and effective technique to introduce these nano-sized catalytic active oxides into the anode configuration of SOFCs to enhance cell performance, stability and reliability. © 2011 Elsevier B.V. All rights reserved.","author":[{"dropping-particle":"","family":"Liu","given":"Zhangbo","non-dropping-particle":"","parse-names":false,"suffix":""},{"dropping-particle":"","family":"Ding","given":"Dong","non-dropping-particle":"","parse-names":false,"suffix":""},{"dropping-particle":"","family":"Liu","given":"Beibei","non-dropping-particle":"","parse-names":false,"suffix":""},{"dropping-particle":"","family":"Guo","given":"Weiwei","non-dropping-particle":"","parse-names":false,"suffix":""},{"dropping-particle":"","family":"Wang","given":"Wendong","non-dropping-particle":"","parse-names":false,"suffix":""},{"dropping-particle":"","family":"Xia","given":"Changrong","non-dropping-particle":"","parse-names":false,"suffix":""}],"container-title":"Journal of Power Sources","id":"ITEM-3","issue":"20","issued":{"date-parts":[["2011"]]},"language":"English","note":"818gf\nTimes Cited:29\nCited References Count:37","page":"8561-8567","title":"Effect of impregnation phases on the performance of Ni-based anodes for low temperature solid oxide fuel cells","type":"article-journal","volume":"196"},"uris":["http://www.mendeley.com/documents/?uuid=1405d141-4176-492d-ba74-67977b3ca746"]}],"mendeley":{"formattedCitation":"[57], [91], [439]","plainTextFormattedCitation":"[57], [91], [439]","previouslyFormattedCitation":"[57], [91], [439]"},"properties":{"noteIndex":0},"schema":"https://github.com/citation-style-language/schema/raw/master/csl-citation.json"}</w:instrText>
      </w:r>
      <w:r w:rsidRPr="007012BE">
        <w:fldChar w:fldCharType="separate"/>
      </w:r>
      <w:r w:rsidR="008B6E91" w:rsidRPr="008B6E91">
        <w:rPr>
          <w:noProof/>
        </w:rPr>
        <w:t>[57], [91], [439]</w:t>
      </w:r>
      <w:r w:rsidRPr="007012BE">
        <w:fldChar w:fldCharType="end"/>
      </w:r>
      <w:r w:rsidRPr="007012BE">
        <w:t>.</w:t>
      </w:r>
      <w:r w:rsidR="001B4149">
        <w:t xml:space="preserve"> </w:t>
      </w:r>
      <w:r>
        <w:t xml:space="preserve">Current </w:t>
      </w:r>
      <w:r w:rsidR="001B4149">
        <w:t>lab based</w:t>
      </w:r>
      <w:r>
        <w:t xml:space="preserve"> EIS of cermet fuel electrodes has focussed on </w:t>
      </w:r>
      <w:r w:rsidR="00007F6C" w:rsidRPr="007012BE">
        <w:t xml:space="preserve">either Pt or </w:t>
      </w:r>
      <w:r w:rsidR="001B4149">
        <w:t xml:space="preserve">the lower cost </w:t>
      </w:r>
      <w:proofErr w:type="spellStart"/>
      <w:r w:rsidR="00007F6C" w:rsidRPr="007012BE">
        <w:t>NiO</w:t>
      </w:r>
      <w:proofErr w:type="spellEnd"/>
      <w:r w:rsidR="00007F6C" w:rsidRPr="007012BE">
        <w:t xml:space="preserve"> paste </w:t>
      </w:r>
      <w:r w:rsidR="00007F6C" w:rsidRPr="007012BE">
        <w:fldChar w:fldCharType="begin" w:fldLock="1"/>
      </w:r>
      <w:r w:rsidR="00151775">
        <w:instrText>ADDIN CSL_CITATION {"citationItems":[{"id":"ITEM-1","itemData":{"DOI":"10.1016/j.jpowsour.2020.228072","ISSN":"03787753","abstract":"In this study, electrolyte-supported (Cell A) and anode-supported (Cell B) micro-tubular solid oxide fuel cells (SOFCs) based on the La9.8Si5.7Mg0.3O26±δ (LSMO) electrolyte is built through an extrusion and dip-coating processes. The formulations and process conditions for these cells are established and optimized. Both cell configurations show no visible delamination or cracking, and reaction zones and inter-diffusion of any species are absent at the interfaces of the multilayer structures. The micro-tubes LSMO and LSMO-NiO have a high flexural strength of ~70 MPa. Cell B with a 3.33 mm outer diameter, a 12 μm LSMO electrolyte layer, a ~300 μm LSMO-NiO functional anode layer, a 9 μm NiO current-collector layer, and a 44 μm La0.6Sr0.4Co0.2Fe0.8O3-δ cathode layer has superior electrochemical performances than does Cell A. The polarization resistance (Rp) value for Cell B accounts for 67.6% and 50.5% of the total resistance (Rt) value at 700 °C and 895 °C, respectively, suggesting that Rp dominates at low temperatures and ohmic resistance (Ro) and Rp values are equally important at high temperatures. Cell B's open-circuit voltages (OCVs) are slightly below the theoretical value due to poor sealing of cells. The maximum power densities (MPDs) of Cell B, increase with increasing operating temperature and are 0.12, 0.24, and 0.27 W cm−2 at 750 °C, 850 °C, and 895 °C, respectively. Compared to Cell A, Cell B displays lower OCV values but higher MPD (0.27 W cm−2 vs. 0.06 W cm−2 at 895 °C) due to its significantly lower Ro value, mainly due to the thin layer of LSMO electrolytes.","author":[{"dropping-particle":"","family":"Wang","given":"Sea Fue","non-dropping-particle":"","parse-names":false,"suffix":""},{"dropping-particle":"","family":"Hsu","given":"Yung Fu","non-dropping-particle":"","parse-names":false,"suffix":""},{"dropping-particle":"","family":"Hsia","given":"Pu","non-dropping-particle":"","parse-names":false,"suffix":""},{"dropping-particle":"","family":"Hung","given":"Wei Kai","non-dropping-particle":"","parse-names":false,"suffix":""},{"dropping-particle":"","family":"Jasinski","given":"Piotr","non-dropping-particle":"","parse-names":false,"suffix":""}],"container-title":"Journal of Power Sources","id":"ITEM-1","issue":"March","issued":{"date-parts":[["2020"]]},"page":"228072","publisher":"Elsevier B.V.","title":"Design and characterization of apatite La9.8Si5.7Mg0.3O26±δ-based micro-tubular solid oxide fuel cells","type":"article-journal","volume":"460"},"uris":["http://www.mendeley.com/documents/?uuid=4097bfcc-215d-45d3-8127-cb6744236f4f"]},{"id":"ITEM-2","itemData":{"ISBN":"9036513375","abstract":"This thesis deals with the porous Ni/yttria-stabilized zirconia (YSZ) cermet anode on a YSZ electrolyte for solid oxide fuel cells (SOFC). Such anodes are predominantly operated in moist hydrogen at 700C to 1000C, and the most important technological parameters are the polarization resistance and the long-term stability. The polarization resistance can be measured by a number of techniques, in the present work impedance spectroscopy has been used extensively. By impedance spectroscopy limiting processes in the anode polarization resistance may often be separated and characterized individually, provided they have a reasonable separation in time constants. Three limiting processes are recognized in impedance spectra obtained on technological Ni/YSZ cermet anodes characterized against a stable reference electrode atmosphere. By parameter studies and illustrative experiments, the two contributions at low and medium frequency have been identified as gas conversion and diffusion limitations, respectively. Both of these effects are concentration limitations relating to the inefficient exchange of fuel gas in the test setup outside the porous cermet. A test setup geometry where these concentration effects are avoided for high-performance electrodes is recommended. The high frequency limitation is demonstrated to relate to the cermet structure. The dependence on gas composition, temperature, adsorbed species (sulfur), isotopes (H/D), sintering temperature and cermet thickness is investigated. Despite these studies and several similar studies by others, the exact chemical or physical nature of the limiting step has not been incontestably identified. However, there is a general consensus in literature about the hydrogen oxidation process taking place on or near to the triple phase boundary (TPB) line, where open gas-filled pores, the continuous electrolyte phase (oxide ion conductor) and the continuous Ni phase (electronic conductor) meet. The physical thickness of a cermet anode that contains active TPB sites contributing to the current density of an SOFC is demonstrated to be about 10 µm. This result has technological importance, as any overlying structure serves primarily as a current collector and needs not be optimized for transport of oxide ions. The anode durability is investigated over 1300 to 1900 hrs at 300 mA/cm2 and shown to be stable at 1050C. At 1000C a degradation rate of about 10 mΩcm2 /1000 hrs is observed, and at 850C a degradation rate of about …","author":[{"dropping-particle":"","family":"Primdahl Søren","given":"","non-dropping-particle":"","parse-names":false,"suffix":""}],"container-title":"Faculty of Chemical Technology","id":"ITEM-2","issued":{"date-parts":[["1999"]]},"number-of-pages":"203","publisher":"University of Twente","title":"Nickel/yttria-stabilised zirconia cermet anodes for solid oxide fuel cells","type":"thesis","volume":"PhD"},"uris":["http://www.mendeley.com/documents/?uuid=d068fc62-a138-420e-ad1f-fbc9376c752d"]},{"id":"ITEM-3","itemData":{"DOI":"10.1021/es503603w","ISBN":"0013936X (ISSN)","ISSN":"15205851","abstract":"In this work, a Ni+BaZr(0.4)Ce(0.4)Y(0.2)O(3-δ) (Ni+BZCY) anode with high water storage capability is used to increase the sulfur tolerance of nickel electrocatalysts for solid oxide fuel cells (SOFCs) with an oxygen-ion conducting Sm(0.2)Ce(0.8)O(1.9) (SDC) electrolyte. Attractive power outputs are still obtained for the cell with a Ni+BZCY anode that operates on hydrogen fuels containing 100-1000 ppm of H2S, while for a similar cell with a Ni+SDC anode, it displays a much reduced performance by introducing only 100 ppm of H2S into hydrogen. Operating on a hydrogen fuel containing 100 ppm of H2S at 600 °C and a fixed current density of 200 mA cm(-2), a stable power output of 148 mW cm(-2) is well maintained for a cell with a Ni+BZCY anode within a test period of 700 min, while it was decreased from an initial value of 137 mW cm(-2) to only 81 mW cm(-2) for a similar cell with a Ni+SDC anode after a test period of only 150 min. After the stability test, a loss of the Ni percolating network and reaction between nickel and sulfur appeared over the Ni+SDC anode, but it is not observed for the Ni+BZCY anode. This result highly promises the use of water-storing BZCY as an anode component to improve sulfur tolerance for SOFCs with an oxygen-ion conducting SDC electrolyte.","author":[{"dropping-particle":"","family":"Wang","given":"Feng","non-dropping-particle":"","parse-names":false,"suffix":""},{"dropping-particle":"","family":"Wang","given":"Wei","non-dropping-particle":"","parse-names":false,"suffix":""},{"dropping-particle":"","family":"Qu","given":"Jifa","non-dropping-particle":"","parse-names":false,"suffix":""},{"dropping-particle":"","family":"Zhong","given":"Yijun","non-dropping-particle":"","parse-names":false,"suffix":""},{"dropping-particle":"","family":"Tade","given":"Mose O.","non-dropping-particle":"","parse-names":false,"suffix":""},{"dropping-particle":"","family":"Shao","given":"Zongping","non-dropping-particle":"","parse-names":false,"suffix":""}],"container-title":"Environmental Science and Technology","id":"ITEM-3","issue":"20","issued":{"date-parts":[["2014"]]},"language":"English","note":"Cited By :5\nExport Date: 11 October 2016\nCODEN: ESTHA\nCorrespondence Address: Wang, W.; Department of Chemical Engineering, Curtin UniversityAustralia\nChemicals/CAS: nickel, 7440-02-0; oxide, 16833-27-5; oxygen, 7782-44-7; sulfur, 13981-57-2, 7704-34-9; hydrogen, 12385-13-6, 1333-74-0; hydrogen sulfide, 15035-72-0, 7783-06-4; water, 7732-18-5; Hydrogen; Hydrogen Sulfide; Metals; Oxides; Oxygen; Sulfur; Water\nReferences: Wang, W., Su, C., Wu, Y.Z., Ran, R., Shao, Z.P., Progress in solid oxide fuel cells with nickel-based anodes operating on methane and related fuels (2013) Chem. Rev., 113 (10), pp. 8104-8151; Wei, T., Singh, P., Gong, Y., Goodenough, J.B., Huang, Y.H., Huang, K., Sr3-3 xNa3 xSi3O9-1.5 x (x = 0.45) as a superior solid oxide-ion electrolyte for intermediate temperature-solid oxide fuel cells (2014) Energy Environ. Sci., 7 (5), pp. 1680-1684; Shao, Z.P., Zhang, C.M., Wang, W., Su, C., Zhou, W., Zhu, Z.H., Park, H.J., Kwak, C., Electric power and synthesis gas co-generation from methane with zero waste gas emission (2011) Angew. Chem., Int. Ed., 50 (8), pp. 1792-1797; Shin, T.H., Ida, S., Ishihara, T., Doped CeO2-LaFeO3 composite oxide as an active anode for direct hydrocarbon-type solid oxide fuel cells (2011) J. Am. Chem. Soc., 133 (48), pp. 19399-19407; Wu, Y.Z., Su, C., Zhang, C.M., Ran, R., Shao, Z.P., A new carbon fuel cell with high power output by integrating with in situ catalytic reverse boudouard reaction (2009) Electrochem. Commun., 11 (6), pp. 1265-1268; Wang, W., Wang, F., Ran, R., Park, H.J., Jung, D.W., Kwak, C., Shao, Z.P., Coking suppression in solid oxide fuel cells operating on ethanol by applying pyridine as fuel additive (2014) J. Power Sources, 265, pp. 20-29; Takagi, Y., Kerman, K., Ko, C., Ramanathan, S., Operational characteristics of thin film solid oxide fuel cells with ruthenium anode in natural gas (2013) J. Power Sources, 243, pp. 1-9; Shiratori, Y., Ijichi, T., Oshima, T., Sasaki, K., Internal reforming SOFC running on biogas (2010) Int. J. Hydrogen Energy, 35 (15), pp. 7905-7912; Sasaki, K., Susuki, K., Iyoshi, A., Uchimura, M., Imamura, N., Kusaba, H., Teraoka, Y., Jingo, N., H2S poisoning of solid oxide fuel cells (2006) J. Electrochem. Soc., 153 (11), pp. A2023-A2029; Zha, S., Cheng, Z., Liu, M.L., Sulfur poisoning and regeneration of Ni-based anodes in solid oxide fuel cells (2007) J. Electrochem. Soc., 154 (2), pp. B201-B206; Hagen, A., Rasmussen, J.F.B., Thydén, K., Durability of solid oxide fuel cells using sulfur containing fuels (2011) J. Power Sources, 196 (17), pp. 7271-7276; Appari, S., Janardhanan, V.M., Bauri, R., Jayanti, S., Deutschmann, O., A detailed kinetic model for biogas steam reforming on Ni, and catalyst deactivation due to sulfur poisoning (2014) Appl. Catal., A, 471, pp. 118-125; Appari, S., Janardhanan, V.M., Bauri, R., Jayanti, S., Deactivation and regeneration of Ni catalyst during steam reforming of model biogas: An experimental investigation (2014) Int. J. Hydrogen Energy, 39 (1), pp. 297-304; Ashrafi, M., Pfeifer, C., Pröll, T., Hofbauer, H., Experimental study of model biogas catalytic steam reforming: 2. Impact of sulfur on the deactivation and regeneration of Ni-based catalysts (2008) Energy Fuels, 22 (6), pp. 4190-4195; Li, J.-H., Fu, X.-Z., Luo, J.-L., Chuang, K.T., Sanger, A.R., Application of BaTiO3 as anode materials for H2S-containing CH4 fueled solid oxide fuel cells (2012) J. Power Sources, 213, pp. 69-77; Rasmussen, J.F.B., Hagen, A., The effect of H2S on the performance of SOFCs using methane containing fuel (2010) Fuel Cells, 10 (6), pp. 1135-1142; Shiratori, Y., Oshima, T., Sasaki, K., Feasibility of direct-biogas SOFC (2008) Int. J. Hydrogen Energy, 33 (21), pp. 6316-6321; Matsuzaki, Y., Yasuda, I., The poisoning effect of sulfur-containing impurity gas on a SOFC anode: Part I. Dependence on temperature, time, and impurity concentration (2000) Solid State Ionics, 132 (3-4), pp. 261-269; Song, C., Ma, X., New design approaches to ultra-clean diesel fuels by deep desulfurization and deep dearomatization (2003) Appl. Catal., B, 41 (1-2), pp. 207-238; Farag, H., Mochida, I., A comparative kinetic study on ultra-deep hydrodesulfurization of pretreated gas oil over nanosized MoS2, CoMo-sulfide, and commercial CoMo/Al2O3 catalysts (2012) J. Colloid Interface Sci., 372 (1), pp. 121-129; Sano, Y., Choi, K.-H., Korai, Y., Mochida, I., Adsorptive removal of sulfur and nitrogen species from a straight run gas oil over activated carbons for its deep hydrodesulfurization (2004) Appl. Catal., B, 49 (4), pp. 219-225; Cui, H., Turn, S.Q., Reese, M.A., Removal of sulfur compounds from utility pipelined synthetic natural gas using modified activated carbons (2009) Catal. Today, 139 (4), pp. 274-279; Breysse, M., Djega-Mariadassou, G., Pessayre, S., Geantet, C., Vrinat, M., Pérot, G., Lemaire, M., Deep desulfurization: Reactions, catalysts, and technological challenges (2003) Catal. Today, 84 (3-4), pp. 129-138; Bhandari, V.M., Ko, C.H., Park, J.G., Han, S.-S., Cho, S.-H., Kim, J.-N., Desulfurization of diesel using ion-exchanged zeolites (2006) Chem. Eng. Sci., 61 (8), pp. 2599-2608; Kurokawa, H., Sholklapper, T.Z., Jacobson, C.P., De Jonghe, L.C., Visco, S.J., Ceria nanocoating for sulfur tolerant Ni-based anodes of solid oxide fuel cells (2007) Electrochem. Solid-State Lett., 10 (9), pp. B135-B138; Yun, J.W., Yoon, S.P., Han, J., Park, S., Kim, H.S., Nam, S.W., Ceria coatings effect on H2S poisoning of Ni/YSZ anodes for solid oxide fuel cells (2010) J. Electrochem. Soc., 157 (12), pp. B1825-B1830; Chen, Y., Bunch, J., Jin, C., Yang, C., Chen, F.L., Performance enhancement of Ni-YSZ electrode by impregnation of Mo0.1Ce0.9O2+δ (2012) J. Power Sources, 204, pp. 40-45; Gong, M., Liu, X., Trembly, J., Johnson, C., Sulfur-tolerant anode materials for solid oxide fuel cell application (2007) J. Power Sources, 168 (2), pp. 289-298; Li, T.S., Miao, H., Chen, T., Wang, W.G., Xu, C., Effect of simulated coal-derived gas composition on H2S poisoning behavior evaluated using a disaggregation scheme (2009) J. Electrochem. Soc., 156 (12), pp. B1383-B1388; Wang, J., Liu, M.L., Surface regeneration of sulfur-poisoned Ni surfaces under SOFC operation conditions predicted by first-principles-based thermodynamic calculations (2008) J. Power Sources, 176 (1), pp. 23-30; Yang, L., Wang, S., Blinn, K., Liu, M., Liu, Z., Cheng, Z., Liu, M.L., Enhanced sulfur and coking tolerance of a mixed ion conductor for SOFCs: BaZr0.1Ce0.7Y0.2-xYbxO3-δ (2009) Science, 326 (5949), pp. 126-129; Sengodan, S., Liu, M., Lim, T., Shin, J., Liu, M.L., Kim, G., Enhancing sulfur tolerance of a Ni-YSZ anode through BaZr0.1Ce0.7Y0.1Yb0.1O3-δ infiltration (2014) J. Electrochem. Soc., 161 (5), pp. F668-F673; Liu, M., Choi, Y., Yang, L., Blinn, K., Qin, W., Liu, P., Liu, M.L., Direct octane fuel cells: A promising power for transportation (2012) Nano Energy, 1 (3), pp. 448-455; Mamontov, E., Egami, T., Brezny, R., Koranne, M., Tyagi, S., Lattice defects and oxygen storage capacity of nanocrystalline ceria and ceria-zirconia (2000) J. Phys. Chem. B, 104 (47), pp. 11110-11116; Yang, L., Choi, Y., Qin, W., Chen, H., Blinn, K., Liu, M., Liu, P., Liu, M.L., Promotion of water-mediated carbon removal by nanostructured barium oxide/nickel interfaces in solid oxide fuel cells (2011) Nat. Commun., 2, p. 357; Fabbri, E., Pergolesi, D., Traversa, E., Materials challenges toward proton-conducting oxide fuel cells: A critical review (2010) Chem. Soc. Rev., 39 (11), pp. 4355-4369; Malavasi, L., Fisher, C.A.J., Islam, M.S., Oxide-ion and proton-conducting electrolyte materials for clean energy applications: Structural and mechanistic features (2010) Chem. Soc. Rev., 39 (11), pp. 4370-4387; Kreuer, K.D., Proton-conducting oxides (2003) Annu. Rev. Mater. Res., 33, pp. 333-359; Wang, W., Su, C., Ran, R., Zhao, B.T., Shao, Z.P., Tade, M.O., Liu, S.M., Nickel-based anode with water storage capability to mitigate carbon deposition for direct ethanol solid oxide fuel cells (2014) ChemSusChem, 7 (6), pp. 1719-1728; Zhou, W., Ran, R., Shao, Z.P., Gu, H.X., Jin, W.Q., Xu, N.P., Significant impact of nitric acid treatment on the cathode performance of Ba0.5Sr0.5Co0.8Fe0.2O3-δ perovskite oxide via combined EDTA-citric complexing process (2007) J. Power Sources, 174 (1), pp. 237-245; Chen, D.J., Huang, C., Ran, R., Park, H.J., Kwak, C., Shao, Z.P., New Ba0.5Sr0.5Co0.8Fe0.2O3-δ+Co3O4 composite electrode for IT-SOFCs with improved electrical conductivity and catalytic activity (2011) Electrochem. Commun., 13 (2), pp. 197-199; Liu, Q.L., Khor, K.A., Chan, S.H., High-performance low-temperature solid oxide fuel cell with novel BSCF cathode (2006) J. Power Sources, 161 (1), pp. 123-128; Su, C., Shao, Z.P., Lin, Y., Wu, Y.Z., Wang, H.T., Solid oxide fuel cells with both high voltage and power output by utilizing beneficial interfacial reaction (2012) Phys. Chem. Chem. Phys., 14 (35), pp. 12173-12181; Hauch, A., Hagen, A., Hjelm, J., Ramos, T., Sulfur poisoning of SOFC anodes: Effect of overpotential on long-term degradation (2014) J. Electrochem. Soc., 161 (6), pp. F734-F743; Chen, Y.B., Wang, F.C., Chen, D.J., Dong, F.F., Park, H.J., Kwak, C., Shao, Z.P., Role of silver current collector on the operational stability of selected cobalt-containing oxide electrodes for oxygen reduction reaction (2012) J. Power Sources, 210, pp. 146-153; Nurk, G., Huthwelker, T., Braun, A., Ludwig, C., Lust, E., Struis, R.P.W.J., Redox dynamics of sulphur with Ni/GDC anode during SOFC operation at mid- and low-range temperatures: An operando S K-edge XANES study (2013) J. Power Sources, 240, pp. 448-457","page":"12427-12434","publisher":"American Chemical Society","title":"Enhanced sulfur tolerance of nickel-based anodes for oxygen-ion conducting solid oxide fuel cells by incorporating a secondary water storing phase","type":"article-journal","volume":"48"},"uris":["http://www.mendeley.com/documents/?uuid=f98fb61c-e4f9-453b-9ef0-e208733d2276"]},{"id":"ITEM-4","itemData":{"DOI":"10.1149/2.010301eel","ISSN":"21628726","abstract":"The true functionality of a current collector employed in electrochemical cells is to ensure a low-resistance steady electrons flow between the cell and instrumentation without involving in any local electrochemical reactions of the electrode. In this study, we investigated the effect of curing temperature of a common current collector, silver, on the polarization area specific resistance (ASR) of a cathode. The results explicitly showed that at least one order of magnitude lower ASR for a cathode with Ag cured at 800C than that cured at 650C of the same cathode configuration. Microscopic analysis of the 800C-cured cells revealed a deep penetration and abundant distribution of Ag into the cathode/electrolyte interfacial region. These finely dispersed and highly conductive Ag particles/agglomerates areORR(oxygen reduction reaction)-active, thus engaging in the local electrochemical reaction and overshadowing the true properties of the cathode under investigation. Based on these results, we call for caution when using Ag as a current collector for electrochemical measurements, particularly at a temperature 650C. © 2012 The Electrochemical Society.","author":[{"dropping-particle":"","family":"Gong","given":"Yunhui","non-dropping-particle":"","parse-names":false,"suffix":""},{"dropping-particle":"","family":"Qin","given":"Changyong","non-dropping-particle":"","parse-names":false,"suffix":""},{"dropping-particle":"","family":"Huang","given":"Kevin","non-dropping-particle":"","parse-names":false,"suffix":""}],"container-title":"ECS Electrochemistry Letters","id":"ITEM-4","issue":"1","issued":{"date-parts":[["2013"]]},"page":"4-7","title":"Can silver be a reliable current collector for electrochemical tests","type":"article-journal","volume":"2"},"uris":["http://www.mendeley.com/documents/?uuid=4f1a812e-2e83-4aa9-a258-2b5439f77fe0"]}],"mendeley":{"formattedCitation":"[85], [132], [440], [441]","plainTextFormattedCitation":"[85], [132], [440], [441]","previouslyFormattedCitation":"[85], [132], [440], [441]"},"properties":{"noteIndex":0},"schema":"https://github.com/citation-style-language/schema/raw/master/csl-citation.json"}</w:instrText>
      </w:r>
      <w:r w:rsidR="00007F6C" w:rsidRPr="007012BE">
        <w:fldChar w:fldCharType="separate"/>
      </w:r>
      <w:r w:rsidR="008B6E91" w:rsidRPr="008B6E91">
        <w:rPr>
          <w:noProof/>
        </w:rPr>
        <w:t>[85], [132], [440], [441]</w:t>
      </w:r>
      <w:r w:rsidR="00007F6C" w:rsidRPr="007012BE">
        <w:fldChar w:fldCharType="end"/>
      </w:r>
      <w:r w:rsidR="00007F6C" w:rsidRPr="007012BE">
        <w:t xml:space="preserve">. </w:t>
      </w:r>
    </w:p>
    <w:p w14:paraId="63862E10" w14:textId="4DC49D71" w:rsidR="001B4149" w:rsidRDefault="00007F6C" w:rsidP="001B4149">
      <w:pPr>
        <w:jc w:val="both"/>
      </w:pPr>
      <w:r w:rsidRPr="007012BE">
        <w:t xml:space="preserve">In this study </w:t>
      </w:r>
      <w:r w:rsidR="001B4149">
        <w:t>the impact of changing the current collector material on</w:t>
      </w:r>
      <w:r w:rsidR="00885795">
        <w:t xml:space="preserve"> </w:t>
      </w:r>
      <w:r w:rsidR="00885795" w:rsidRPr="007012BE">
        <w:t>the polarisation resistance of infiltrated Ni-YSZ fuel electrode samples.</w:t>
      </w:r>
      <w:r w:rsidR="00955C61">
        <w:t xml:space="preserve"> The degradation of the wet impregnated samples coated in f</w:t>
      </w:r>
      <w:r w:rsidRPr="007012BE">
        <w:t xml:space="preserve">our </w:t>
      </w:r>
      <w:r w:rsidR="001B4149">
        <w:t xml:space="preserve">different </w:t>
      </w:r>
      <w:r w:rsidRPr="007012BE">
        <w:t xml:space="preserve">materials </w:t>
      </w:r>
      <w:r w:rsidR="001B4149">
        <w:t xml:space="preserve">(Ag, Au, Pt, </w:t>
      </w:r>
      <w:proofErr w:type="spellStart"/>
      <w:r w:rsidR="001B4149">
        <w:t>NiO</w:t>
      </w:r>
      <w:proofErr w:type="spellEnd"/>
      <w:r w:rsidR="001B4149">
        <w:t xml:space="preserve">) </w:t>
      </w:r>
      <w:r w:rsidR="00955C61">
        <w:t>was monitored with a view to informing SOFC interconnect materials selection and characterising current collector breakdown.</w:t>
      </w:r>
    </w:p>
    <w:p w14:paraId="57C7FE0D" w14:textId="77777777" w:rsidR="00007F6C" w:rsidRDefault="00007F6C" w:rsidP="00CF5761">
      <w:pPr>
        <w:pStyle w:val="Heading2"/>
        <w:spacing w:line="240" w:lineRule="auto"/>
      </w:pPr>
      <w:bookmarkStart w:id="430" w:name="_Toc69129426"/>
      <w:r>
        <w:t>5.1.1</w:t>
      </w:r>
      <w:r>
        <w:tab/>
        <w:t xml:space="preserve">Chapter </w:t>
      </w:r>
      <w:proofErr w:type="gramStart"/>
      <w:r>
        <w:t>Aims</w:t>
      </w:r>
      <w:bookmarkEnd w:id="430"/>
      <w:proofErr w:type="gramEnd"/>
    </w:p>
    <w:p w14:paraId="2E6A0CDE" w14:textId="77777777" w:rsidR="00007F6C" w:rsidRDefault="00007F6C" w:rsidP="00CF5761">
      <w:pPr>
        <w:spacing w:line="240" w:lineRule="auto"/>
        <w:jc w:val="both"/>
      </w:pPr>
      <w:r>
        <w:t>This study aims to identify which of the conductive paste materials produces the least impact on the polarisation resistance of infiltrated Ni-YSZ fuel electrodes.</w:t>
      </w:r>
    </w:p>
    <w:p w14:paraId="357C79D0" w14:textId="77777777" w:rsidR="00007F6C" w:rsidRDefault="00007F6C" w:rsidP="00CF5761">
      <w:pPr>
        <w:pStyle w:val="Heading2"/>
        <w:spacing w:line="240" w:lineRule="auto"/>
      </w:pPr>
      <w:bookmarkStart w:id="431" w:name="_Toc69129427"/>
      <w:r>
        <w:t>5.1.2</w:t>
      </w:r>
      <w:r>
        <w:tab/>
      </w:r>
      <w:r w:rsidRPr="002876FE">
        <w:t>Hypotheses</w:t>
      </w:r>
      <w:bookmarkEnd w:id="431"/>
    </w:p>
    <w:p w14:paraId="035A0040" w14:textId="77777777" w:rsidR="00007F6C" w:rsidRDefault="00007F6C" w:rsidP="00CF5761">
      <w:pPr>
        <w:pStyle w:val="ListParagraph"/>
        <w:numPr>
          <w:ilvl w:val="0"/>
          <w:numId w:val="30"/>
        </w:numPr>
        <w:spacing w:line="240" w:lineRule="auto"/>
        <w:jc w:val="both"/>
      </w:pPr>
      <w:r>
        <w:t>The change in current collector material will affect the size of the polarisation arc in wet impregnated Ni-YSZ electrodes</w:t>
      </w:r>
    </w:p>
    <w:p w14:paraId="2EC84901" w14:textId="0AD8CDEC" w:rsidR="00007F6C" w:rsidRDefault="00007F6C" w:rsidP="00CF5761">
      <w:pPr>
        <w:pStyle w:val="ListParagraph"/>
        <w:numPr>
          <w:ilvl w:val="0"/>
          <w:numId w:val="30"/>
        </w:numPr>
        <w:spacing w:line="240" w:lineRule="auto"/>
        <w:jc w:val="both"/>
      </w:pPr>
      <w:r w:rsidRPr="00BA51C4">
        <w:t>Deposition of a thin film</w:t>
      </w:r>
      <w:r>
        <w:t xml:space="preserve"> current collector</w:t>
      </w:r>
      <w:r w:rsidRPr="00BA51C4">
        <w:t xml:space="preserve"> will help reduce the </w:t>
      </w:r>
      <w:r>
        <w:t xml:space="preserve">degradation rate of the polarisation </w:t>
      </w:r>
      <w:proofErr w:type="gramStart"/>
      <w:r>
        <w:t>resistance</w:t>
      </w:r>
      <w:proofErr w:type="gramEnd"/>
    </w:p>
    <w:p w14:paraId="54A57637" w14:textId="1BF0725C" w:rsidR="00007F6C" w:rsidRDefault="00007F6C" w:rsidP="00007F6C">
      <w:pPr>
        <w:pStyle w:val="Heading1"/>
      </w:pPr>
      <w:bookmarkStart w:id="432" w:name="_Toc69129428"/>
      <w:r>
        <w:t>5.2</w:t>
      </w:r>
      <w:r>
        <w:tab/>
      </w:r>
      <w:r w:rsidRPr="00644D81">
        <w:t xml:space="preserve">Experimental </w:t>
      </w:r>
      <w:r w:rsidR="006267CE">
        <w:t>P</w:t>
      </w:r>
      <w:r w:rsidRPr="00644D81">
        <w:t>rocedure</w:t>
      </w:r>
      <w:r>
        <w:t xml:space="preserve"> </w:t>
      </w:r>
      <w:r w:rsidR="006267CE">
        <w:t>O</w:t>
      </w:r>
      <w:r>
        <w:t>verview</w:t>
      </w:r>
      <w:bookmarkEnd w:id="432"/>
    </w:p>
    <w:p w14:paraId="6AB5076D" w14:textId="65438A8D" w:rsidR="00007F6C" w:rsidRDefault="00007F6C" w:rsidP="00007F6C">
      <w:pPr>
        <w:pStyle w:val="Heading2"/>
      </w:pPr>
      <w:bookmarkStart w:id="433" w:name="_Toc69129429"/>
      <w:r>
        <w:t xml:space="preserve">5.2.1 </w:t>
      </w:r>
      <w:r w:rsidRPr="00644D81">
        <w:t xml:space="preserve">Sample </w:t>
      </w:r>
      <w:r w:rsidR="006267CE">
        <w:t>P</w:t>
      </w:r>
      <w:r w:rsidRPr="00644D81">
        <w:t>reparation</w:t>
      </w:r>
      <w:bookmarkEnd w:id="433"/>
    </w:p>
    <w:p w14:paraId="3DEACC92" w14:textId="77777777" w:rsidR="00007F6C" w:rsidRPr="00F528A7" w:rsidRDefault="00007F6C" w:rsidP="00007F6C">
      <w:pPr>
        <w:jc w:val="both"/>
      </w:pPr>
      <w:r>
        <w:t>The infiltrated symmetrical Ni-YSZ samples were produced using the procedure discussed in Section 3.1.3. The infiltrate was dried under an air atmosphere. Each of the samples were checked to see that 20 vol % loading of nickel was achieved post calcination. After the calcination step the samples were screen printed with the relevant current collector.</w:t>
      </w:r>
    </w:p>
    <w:p w14:paraId="73B6CD0F" w14:textId="7716E0A7" w:rsidR="00007F6C" w:rsidRDefault="008C7ED1" w:rsidP="00007F6C">
      <w:pPr>
        <w:pStyle w:val="Heading3"/>
      </w:pPr>
      <w:bookmarkStart w:id="434" w:name="_Toc69129430"/>
      <w:r>
        <w:lastRenderedPageBreak/>
        <w:t xml:space="preserve">5.2.1.1 </w:t>
      </w:r>
      <w:r w:rsidR="00007F6C">
        <w:t xml:space="preserve">Current </w:t>
      </w:r>
      <w:r w:rsidR="006267CE">
        <w:t>C</w:t>
      </w:r>
      <w:r w:rsidR="00007F6C">
        <w:t xml:space="preserve">ollector </w:t>
      </w:r>
      <w:r w:rsidR="006267CE">
        <w:t>A</w:t>
      </w:r>
      <w:r w:rsidR="00007F6C">
        <w:t>pplication</w:t>
      </w:r>
      <w:bookmarkEnd w:id="434"/>
    </w:p>
    <w:p w14:paraId="46E5B85A" w14:textId="77777777" w:rsidR="00007F6C" w:rsidRDefault="00007F6C" w:rsidP="00007F6C">
      <w:pPr>
        <w:jc w:val="both"/>
      </w:pPr>
      <w:r>
        <w:t xml:space="preserve">All the conductive pastes used in this experiment were mixed with isopropanol (Sigma Aldrich, UK) to form a screen-printing ink. 50 wt % of isopropanol was added to the pastes. To control the electrode area and thickness, the resulting ink was screen printed through an </w:t>
      </w:r>
      <w:r w:rsidRPr="009A7A49">
        <w:rPr>
          <w:color w:val="000000" w:themeColor="text1"/>
        </w:rPr>
        <w:t>80</w:t>
      </w:r>
      <w:r>
        <w:rPr>
          <w:color w:val="FFC000"/>
        </w:rPr>
        <w:t xml:space="preserve"> </w:t>
      </w:r>
      <w:r>
        <w:rPr>
          <w:rFonts w:cstheme="minorHAnsi"/>
        </w:rPr>
        <w:t>µ</w:t>
      </w:r>
      <w:r>
        <w:t>m thick mesh (MTI Corporation, USA). To control the current collector thickness during screen printing a piece of scotch tape was applied around the electrode material. This ensured that the thickness of the screen-printed material would be kept constant and that only the electrode would be coated during current collector application.</w:t>
      </w:r>
    </w:p>
    <w:p w14:paraId="75DE30EE" w14:textId="77777777" w:rsidR="00007F6C" w:rsidRDefault="00007F6C" w:rsidP="00007F6C">
      <w:pPr>
        <w:jc w:val="both"/>
      </w:pPr>
      <w:r w:rsidRPr="000350F8">
        <w:t>After screen printing the inks were dried in at 120</w:t>
      </w:r>
      <w:r w:rsidRPr="000350F8">
        <w:rPr>
          <w:rFonts w:cstheme="minorHAnsi"/>
        </w:rPr>
        <w:t>°</w:t>
      </w:r>
      <w:r w:rsidRPr="000350F8">
        <w:t>C in a drying oven before being turned over and the reverse side screen printed. This temperature was selected to remove as much moisture as possible without interfering with the catalyst phase.</w:t>
      </w:r>
    </w:p>
    <w:p w14:paraId="68080B4D" w14:textId="77777777" w:rsidR="00007F6C" w:rsidRDefault="00007F6C" w:rsidP="00007F6C">
      <w:pPr>
        <w:jc w:val="both"/>
      </w:pPr>
      <w:r>
        <w:t xml:space="preserve"> The electrode area for the current collector pastes was calculated to be 0.2827 cm</w:t>
      </w:r>
      <w:r>
        <w:rPr>
          <w:vertAlign w:val="superscript"/>
        </w:rPr>
        <w:t>2</w:t>
      </w:r>
      <w:r>
        <w:t>. The current collectors were then dried at 120</w:t>
      </w:r>
      <w:r>
        <w:rPr>
          <w:rFonts w:cstheme="minorHAnsi"/>
        </w:rPr>
        <w:t>°</w:t>
      </w:r>
      <w:r>
        <w:t>C for a 1 h before being applied on the other side of the symmetrical cells. A total of four conductive pastes were investigated these can be found below (</w:t>
      </w:r>
      <w:r>
        <w:fldChar w:fldCharType="begin"/>
      </w:r>
      <w:r>
        <w:instrText xml:space="preserve"> REF _Ref51229513 \h </w:instrText>
      </w:r>
      <w:r>
        <w:fldChar w:fldCharType="separate"/>
      </w:r>
      <w:r>
        <w:t>Table 5.</w:t>
      </w:r>
      <w:r>
        <w:rPr>
          <w:noProof/>
        </w:rPr>
        <w:t>1</w:t>
      </w:r>
      <w:r>
        <w:fldChar w:fldCharType="end"/>
      </w:r>
      <w:r>
        <w:t>):</w:t>
      </w:r>
    </w:p>
    <w:p w14:paraId="17A67818" w14:textId="531B87E7" w:rsidR="00007F6C" w:rsidRDefault="00007F6C" w:rsidP="00007F6C">
      <w:pPr>
        <w:pStyle w:val="Caption"/>
        <w:keepNext/>
      </w:pPr>
      <w:bookmarkStart w:id="435" w:name="_Ref50796573"/>
      <w:bookmarkStart w:id="436" w:name="_Ref51229513"/>
      <w:r>
        <w:t>Table 5.</w:t>
      </w:r>
      <w:bookmarkEnd w:id="435"/>
      <w:r>
        <w:fldChar w:fldCharType="begin"/>
      </w:r>
      <w:r>
        <w:instrText xml:space="preserve"> SEQ Table \* ARABIC \r 1 </w:instrText>
      </w:r>
      <w:r>
        <w:fldChar w:fldCharType="separate"/>
      </w:r>
      <w:r w:rsidR="0022061C">
        <w:rPr>
          <w:noProof/>
        </w:rPr>
        <w:t>1</w:t>
      </w:r>
      <w:r>
        <w:fldChar w:fldCharType="end"/>
      </w:r>
      <w:bookmarkEnd w:id="436"/>
      <w:r>
        <w:t xml:space="preserve">: A breakdown of the different current collector materials tested in this study </w:t>
      </w:r>
      <w:r>
        <w:fldChar w:fldCharType="begin" w:fldLock="1"/>
      </w:r>
      <w:r w:rsidR="00D80A5D">
        <w:instrText>ADDIN CSL_CITATION {"citationItems":[{"id":"ITEM-1","itemData":{"URL":"http://www.gwent.org/gem_data_sheets/single_and_multilayer_products/ltcc_tape_products/ag_ink_c2010515d4.pdf","accessed":{"date-parts":[["2020","4","22"]]},"author":[{"dropping-particle":"","family":"Ltd","given":"Gwent Electronic Materials","non-dropping-particle":"","parse-names":false,"suffix":""}],"container-title":"Gwent Group Advanced Materials Catalog","id":"ITEM-1","issued":{"date-parts":[["2020"]]},"page":"1-2","title":"Gwent C2010515D4 Silver Ink Data Sheet","type":"webpage"},"uris":["http://www.mendeley.com/documents/?uuid=c31ef178-ac8d-40e7-9e8e-1563696ce764"]},{"id":"ITEM-2","itemData":{"URL":"https://www.shoeichem.co.jp/global/products/eng_panf.pdf","accessed":{"date-parts":[["2020","4","24"]]},"author":[{"dropping-particle":"","family":"Inc.","given":"Shoei Chemical","non-dropping-particle":"","parse-names":false,"suffix":""}],"container-title":"Shoei Chemical Inc Metal Paste","id":"ITEM-2","issued":{"date-parts":[["2020"]]},"page":"3-10","title":"Shoei Chemical Inc Products: Fine Powders and Thick Film Materials","type":"webpage"},"uris":["http://www.mendeley.com/documents/?uuid=48acdfdf-a39f-419c-aa3f-714f22a24e2b"]},{"id":"ITEM-3","itemData":{"author":[{"dropping-particle":"","family":"Sheet","given":"Technical Data","non-dropping-particle":"","parse-names":false,"suffix":""}],"container-title":"Heraeus Thick Film Materials Fuel Cell Materials Technical Data Sheet","id":"ITEM-3","issued":{"date-parts":[["2020"]]},"page":"1-2","title":"THICK FILM Product Type : Conductors","type":"webpage"},"uris":["http://www.mendeley.com/documents/?uuid=e61dbdac-ff71-43d5-88da-5b48abbd96a1"]},{"id":"ITEM-4","itemData":{"DOI":"HET31101-0616-1","URL":"https://www.heraeus.com/media/media/het/doc_het/products_and_solutions_het_documents/thick_film/data_sheets_th/Fuel_Cell_Materials_Product_Feature.pdf","accessed":{"date-parts":[["2020","4","24"]]},"author":[{"dropping-particle":"","family":"Heraeus","given":"","non-dropping-particle":"","parse-names":false,"suffix":""}],"container-title":"Heraeus Thick Film Materials Fuel Cell Materials Technical Data Sheet","id":"ITEM-4","issued":{"date-parts":[["2020"]]},"page":"1-2","title":"Fuel Cell Materials Technical Data Sheet","type":"webpage"},"uris":["http://www.mendeley.com/documents/?uuid=28700d51-d7ae-47d0-8f4d-5257bdc16502"]}],"mendeley":{"formattedCitation":"[315]–[318]","plainTextFormattedCitation":"[315]–[318]","previouslyFormattedCitation":"[315]–[318]"},"properties":{"noteIndex":0},"schema":"https://github.com/citation-style-language/schema/raw/master/csl-citation.json"}</w:instrText>
      </w:r>
      <w:r>
        <w:fldChar w:fldCharType="separate"/>
      </w:r>
      <w:r w:rsidR="006C586A" w:rsidRPr="006C586A">
        <w:rPr>
          <w:i w:val="0"/>
          <w:noProof/>
        </w:rPr>
        <w:t>[315]–[318]</w:t>
      </w:r>
      <w:r>
        <w:fldChar w:fldCharType="end"/>
      </w:r>
    </w:p>
    <w:tbl>
      <w:tblPr>
        <w:tblStyle w:val="TableGrid"/>
        <w:tblW w:w="0" w:type="auto"/>
        <w:jc w:val="center"/>
        <w:tblLook w:val="04A0" w:firstRow="1" w:lastRow="0" w:firstColumn="1" w:lastColumn="0" w:noHBand="0" w:noVBand="1"/>
      </w:tblPr>
      <w:tblGrid>
        <w:gridCol w:w="1666"/>
        <w:gridCol w:w="1764"/>
        <w:gridCol w:w="1301"/>
        <w:gridCol w:w="2454"/>
        <w:gridCol w:w="1831"/>
      </w:tblGrid>
      <w:tr w:rsidR="00B50102" w14:paraId="7D5B974D" w14:textId="77777777" w:rsidTr="00B50102">
        <w:trPr>
          <w:jc w:val="center"/>
        </w:trPr>
        <w:tc>
          <w:tcPr>
            <w:tcW w:w="0" w:type="auto"/>
          </w:tcPr>
          <w:p w14:paraId="6859F281" w14:textId="77777777" w:rsidR="00B50102" w:rsidRPr="00910B06" w:rsidRDefault="00B50102" w:rsidP="00B50102">
            <w:pPr>
              <w:jc w:val="both"/>
              <w:rPr>
                <w:b/>
                <w:bCs/>
              </w:rPr>
            </w:pPr>
            <w:r w:rsidRPr="00910B06">
              <w:rPr>
                <w:b/>
                <w:bCs/>
              </w:rPr>
              <w:t>Current Collector Material</w:t>
            </w:r>
          </w:p>
        </w:tc>
        <w:tc>
          <w:tcPr>
            <w:tcW w:w="0" w:type="auto"/>
          </w:tcPr>
          <w:p w14:paraId="5DB92B22" w14:textId="77777777" w:rsidR="00B50102" w:rsidRPr="00910B06" w:rsidRDefault="00B50102" w:rsidP="00B50102">
            <w:pPr>
              <w:jc w:val="both"/>
              <w:rPr>
                <w:b/>
                <w:bCs/>
              </w:rPr>
            </w:pPr>
            <w:r w:rsidRPr="00910B06">
              <w:rPr>
                <w:b/>
                <w:bCs/>
              </w:rPr>
              <w:t>Manufacturer</w:t>
            </w:r>
          </w:p>
        </w:tc>
        <w:tc>
          <w:tcPr>
            <w:tcW w:w="0" w:type="auto"/>
          </w:tcPr>
          <w:p w14:paraId="694CB4B1" w14:textId="24F3F381" w:rsidR="00B50102" w:rsidRPr="00910B06" w:rsidRDefault="00B50102" w:rsidP="00B50102">
            <w:pPr>
              <w:jc w:val="both"/>
              <w:rPr>
                <w:b/>
                <w:bCs/>
              </w:rPr>
            </w:pPr>
            <w:proofErr w:type="gramStart"/>
            <w:r w:rsidRPr="00BC4556">
              <w:rPr>
                <w:b/>
                <w:bCs/>
              </w:rPr>
              <w:t>Solids</w:t>
            </w:r>
            <w:proofErr w:type="gramEnd"/>
            <w:r w:rsidRPr="00BC4556">
              <w:rPr>
                <w:b/>
                <w:bCs/>
              </w:rPr>
              <w:t xml:space="preserve"> content [%]</w:t>
            </w:r>
          </w:p>
        </w:tc>
        <w:tc>
          <w:tcPr>
            <w:tcW w:w="0" w:type="auto"/>
          </w:tcPr>
          <w:p w14:paraId="23A1A5C9" w14:textId="2DDF70E2" w:rsidR="00B50102" w:rsidRPr="00910B06" w:rsidRDefault="00B50102" w:rsidP="00B50102">
            <w:pPr>
              <w:jc w:val="both"/>
              <w:rPr>
                <w:b/>
                <w:bCs/>
              </w:rPr>
            </w:pPr>
            <w:r>
              <w:rPr>
                <w:b/>
                <w:bCs/>
              </w:rPr>
              <w:t>Specification</w:t>
            </w:r>
          </w:p>
        </w:tc>
        <w:tc>
          <w:tcPr>
            <w:tcW w:w="0" w:type="auto"/>
          </w:tcPr>
          <w:p w14:paraId="23B8A340" w14:textId="1E7257DE" w:rsidR="00B50102" w:rsidRPr="00910B06" w:rsidRDefault="00B50102" w:rsidP="00B50102">
            <w:pPr>
              <w:jc w:val="both"/>
              <w:rPr>
                <w:b/>
                <w:bCs/>
              </w:rPr>
            </w:pPr>
            <w:r w:rsidRPr="00910B06">
              <w:rPr>
                <w:b/>
                <w:bCs/>
              </w:rPr>
              <w:t>Product Code</w:t>
            </w:r>
          </w:p>
        </w:tc>
      </w:tr>
      <w:tr w:rsidR="00B50102" w14:paraId="1EFA2B9B" w14:textId="77777777" w:rsidTr="00B50102">
        <w:trPr>
          <w:jc w:val="center"/>
        </w:trPr>
        <w:tc>
          <w:tcPr>
            <w:tcW w:w="0" w:type="auto"/>
          </w:tcPr>
          <w:p w14:paraId="3DC868FF" w14:textId="77777777" w:rsidR="00B50102" w:rsidRDefault="00B50102" w:rsidP="00B50102">
            <w:pPr>
              <w:jc w:val="both"/>
            </w:pPr>
            <w:r>
              <w:t>Silver Paste (</w:t>
            </w:r>
            <w:r w:rsidRPr="00910B06">
              <w:rPr>
                <w:b/>
                <w:bCs/>
              </w:rPr>
              <w:t>Ag</w:t>
            </w:r>
            <w:r>
              <w:t>)</w:t>
            </w:r>
          </w:p>
        </w:tc>
        <w:tc>
          <w:tcPr>
            <w:tcW w:w="0" w:type="auto"/>
          </w:tcPr>
          <w:p w14:paraId="4C70DA93" w14:textId="77777777" w:rsidR="00B50102" w:rsidRDefault="00B50102" w:rsidP="00B50102">
            <w:pPr>
              <w:jc w:val="both"/>
            </w:pPr>
            <w:r>
              <w:t xml:space="preserve">Gwent Materials </w:t>
            </w:r>
          </w:p>
        </w:tc>
        <w:tc>
          <w:tcPr>
            <w:tcW w:w="0" w:type="auto"/>
          </w:tcPr>
          <w:p w14:paraId="6F57F5B9" w14:textId="3DD17015" w:rsidR="00B50102" w:rsidRDefault="00B50102" w:rsidP="00B50102">
            <w:pPr>
              <w:jc w:val="both"/>
            </w:pPr>
            <w:r>
              <w:t xml:space="preserve">83.0 </w:t>
            </w:r>
            <w:r>
              <w:rPr>
                <w:rFonts w:cstheme="minorHAnsi"/>
              </w:rPr>
              <w:t>±</w:t>
            </w:r>
            <w:r>
              <w:t xml:space="preserve"> 2</w:t>
            </w:r>
          </w:p>
        </w:tc>
        <w:tc>
          <w:tcPr>
            <w:tcW w:w="0" w:type="auto"/>
          </w:tcPr>
          <w:p w14:paraId="40ACAFC6" w14:textId="4E348E78" w:rsidR="00B50102" w:rsidRDefault="00B50102" w:rsidP="00B50102">
            <w:r>
              <w:t>Low Temp Co-</w:t>
            </w:r>
            <w:r w:rsidR="009157B9">
              <w:t>Fired</w:t>
            </w:r>
            <w:r>
              <w:t xml:space="preserve"> Ceramics Paste</w:t>
            </w:r>
          </w:p>
        </w:tc>
        <w:tc>
          <w:tcPr>
            <w:tcW w:w="0" w:type="auto"/>
          </w:tcPr>
          <w:p w14:paraId="207E0E60" w14:textId="0B61C419" w:rsidR="00B50102" w:rsidRDefault="00B50102" w:rsidP="00B50102">
            <w:pPr>
              <w:jc w:val="both"/>
            </w:pPr>
            <w:r>
              <w:t>C2010515D4</w:t>
            </w:r>
            <w:r>
              <w:fldChar w:fldCharType="begin" w:fldLock="1"/>
            </w:r>
            <w:r>
              <w:instrText>ADDIN CSL_CITATION {"citationItems":[{"id":"ITEM-1","itemData":{"URL":"http://www.gwent.org/gem_data_sheets/single_and_multilayer_products/ltcc_tape_products/ag_ink_c2010515d4.pdf","accessed":{"date-parts":[["2020","4","22"]]},"author":[{"dropping-particle":"","family":"Ltd","given":"Gwent Electronic Materials","non-dropping-particle":"","parse-names":false,"suffix":""}],"container-title":"Gwent Group Advanced Materials Catalog","id":"ITEM-1","issued":{"date-parts":[["2020"]]},"page":"1-2","title":"Gwent C2010515D4 Silver Ink Data Sheet","type":"webpage"},"uris":["http://www.mendeley.com/documents/?uuid=c31ef178-ac8d-40e7-9e8e-1563696ce764"]}],"mendeley":{"formattedCitation":"[315]","plainTextFormattedCitation":"[315]","previouslyFormattedCitation":"[315]"},"properties":{"noteIndex":0},"schema":"https://github.com/citation-style-language/schema/raw/master/csl-citation.json"}</w:instrText>
            </w:r>
            <w:r>
              <w:fldChar w:fldCharType="separate"/>
            </w:r>
            <w:r w:rsidRPr="006C586A">
              <w:rPr>
                <w:noProof/>
              </w:rPr>
              <w:t>[315]</w:t>
            </w:r>
            <w:r>
              <w:fldChar w:fldCharType="end"/>
            </w:r>
          </w:p>
        </w:tc>
      </w:tr>
      <w:tr w:rsidR="00B50102" w14:paraId="7865305A" w14:textId="77777777" w:rsidTr="00B50102">
        <w:trPr>
          <w:jc w:val="center"/>
        </w:trPr>
        <w:tc>
          <w:tcPr>
            <w:tcW w:w="0" w:type="auto"/>
          </w:tcPr>
          <w:p w14:paraId="7E678BA8" w14:textId="77777777" w:rsidR="00B50102" w:rsidRDefault="00B50102" w:rsidP="00B50102">
            <w:pPr>
              <w:jc w:val="both"/>
            </w:pPr>
            <w:r>
              <w:t>Gold Paste (</w:t>
            </w:r>
            <w:r w:rsidRPr="00910B06">
              <w:rPr>
                <w:b/>
                <w:bCs/>
              </w:rPr>
              <w:t>Au</w:t>
            </w:r>
            <w:r>
              <w:t>)</w:t>
            </w:r>
          </w:p>
        </w:tc>
        <w:tc>
          <w:tcPr>
            <w:tcW w:w="0" w:type="auto"/>
          </w:tcPr>
          <w:p w14:paraId="6565AEA1" w14:textId="77777777" w:rsidR="00B50102" w:rsidRDefault="00B50102" w:rsidP="00B50102">
            <w:pPr>
              <w:jc w:val="both"/>
            </w:pPr>
            <w:r>
              <w:t>Heraeus Materials Ltd</w:t>
            </w:r>
          </w:p>
        </w:tc>
        <w:tc>
          <w:tcPr>
            <w:tcW w:w="0" w:type="auto"/>
          </w:tcPr>
          <w:p w14:paraId="2AFDA384" w14:textId="26C5B5C4" w:rsidR="00B50102" w:rsidRDefault="00B50102" w:rsidP="00B50102">
            <w:pPr>
              <w:jc w:val="both"/>
            </w:pPr>
            <w:r>
              <w:t xml:space="preserve">86.5 </w:t>
            </w:r>
            <w:r>
              <w:rPr>
                <w:rFonts w:cstheme="minorHAnsi"/>
              </w:rPr>
              <w:t>±</w:t>
            </w:r>
            <w:r>
              <w:t xml:space="preserve"> 1</w:t>
            </w:r>
          </w:p>
        </w:tc>
        <w:tc>
          <w:tcPr>
            <w:tcW w:w="0" w:type="auto"/>
          </w:tcPr>
          <w:p w14:paraId="1FE0C6B4" w14:textId="43357FE5" w:rsidR="00B50102" w:rsidRDefault="00B50102" w:rsidP="00B50102">
            <w:pPr>
              <w:jc w:val="both"/>
            </w:pPr>
            <w:r>
              <w:t>Gold Conductive Paste for Au wire bonding</w:t>
            </w:r>
          </w:p>
        </w:tc>
        <w:tc>
          <w:tcPr>
            <w:tcW w:w="0" w:type="auto"/>
          </w:tcPr>
          <w:p w14:paraId="08E94769" w14:textId="3BE01DB7" w:rsidR="00B50102" w:rsidRDefault="00B50102" w:rsidP="00B50102">
            <w:pPr>
              <w:jc w:val="both"/>
            </w:pPr>
            <w:r>
              <w:t xml:space="preserve">C5729 </w:t>
            </w:r>
            <w:r>
              <w:fldChar w:fldCharType="begin" w:fldLock="1"/>
            </w:r>
            <w:r>
              <w:instrText>ADDIN CSL_CITATION {"citationItems":[{"id":"ITEM-1","itemData":{"author":[{"dropping-particle":"","family":"Sheet","given":"Technical Data","non-dropping-particle":"","parse-names":false,"suffix":""}],"container-title":"Heraeus Thick Film Materials Fuel Cell Materials Technical Data Sheet","id":"ITEM-1","issued":{"date-parts":[["2020"]]},"page":"1-2","title":"THICK FILM Product Type : Conductors","type":"webpage"},"uris":["http://www.mendeley.com/documents/?uuid=e61dbdac-ff71-43d5-88da-5b48abbd96a1"]}],"mendeley":{"formattedCitation":"[316]","plainTextFormattedCitation":"[316]","previouslyFormattedCitation":"[316]"},"properties":{"noteIndex":0},"schema":"https://github.com/citation-style-language/schema/raw/master/csl-citation.json"}</w:instrText>
            </w:r>
            <w:r>
              <w:fldChar w:fldCharType="separate"/>
            </w:r>
            <w:r w:rsidRPr="006C586A">
              <w:rPr>
                <w:noProof/>
              </w:rPr>
              <w:t>[316]</w:t>
            </w:r>
            <w:r>
              <w:fldChar w:fldCharType="end"/>
            </w:r>
          </w:p>
        </w:tc>
      </w:tr>
      <w:tr w:rsidR="00B50102" w14:paraId="13224BD9" w14:textId="77777777" w:rsidTr="00B50102">
        <w:trPr>
          <w:jc w:val="center"/>
        </w:trPr>
        <w:tc>
          <w:tcPr>
            <w:tcW w:w="0" w:type="auto"/>
          </w:tcPr>
          <w:p w14:paraId="5CFCE926" w14:textId="77777777" w:rsidR="00B50102" w:rsidRDefault="00B50102" w:rsidP="00B50102">
            <w:pPr>
              <w:jc w:val="both"/>
            </w:pPr>
            <w:r>
              <w:t>Platinum Paste (</w:t>
            </w:r>
            <w:r w:rsidRPr="00910B06">
              <w:rPr>
                <w:b/>
                <w:bCs/>
              </w:rPr>
              <w:t>Pt</w:t>
            </w:r>
            <w:r>
              <w:t>)</w:t>
            </w:r>
          </w:p>
        </w:tc>
        <w:tc>
          <w:tcPr>
            <w:tcW w:w="0" w:type="auto"/>
          </w:tcPr>
          <w:p w14:paraId="6D894BC4" w14:textId="77777777" w:rsidR="00B50102" w:rsidRDefault="00B50102" w:rsidP="00B50102">
            <w:pPr>
              <w:jc w:val="both"/>
            </w:pPr>
            <w:r>
              <w:t>Heraeus Materials Ltd</w:t>
            </w:r>
          </w:p>
        </w:tc>
        <w:tc>
          <w:tcPr>
            <w:tcW w:w="0" w:type="auto"/>
          </w:tcPr>
          <w:p w14:paraId="68AD8BDD" w14:textId="09DAD568" w:rsidR="00B50102" w:rsidRDefault="00B50102" w:rsidP="00B50102">
            <w:pPr>
              <w:jc w:val="both"/>
            </w:pPr>
            <w:r>
              <w:t xml:space="preserve">63.0 </w:t>
            </w:r>
            <w:r>
              <w:rPr>
                <w:rFonts w:cstheme="minorHAnsi"/>
              </w:rPr>
              <w:t xml:space="preserve">± </w:t>
            </w:r>
            <w:r>
              <w:t>1</w:t>
            </w:r>
          </w:p>
        </w:tc>
        <w:tc>
          <w:tcPr>
            <w:tcW w:w="0" w:type="auto"/>
          </w:tcPr>
          <w:p w14:paraId="14F34CD5" w14:textId="0D558A35" w:rsidR="00B50102" w:rsidRDefault="00B50102" w:rsidP="00B50102">
            <w:pPr>
              <w:jc w:val="both"/>
            </w:pPr>
            <w:r>
              <w:t>Platinum Electrode Paste</w:t>
            </w:r>
          </w:p>
        </w:tc>
        <w:tc>
          <w:tcPr>
            <w:tcW w:w="0" w:type="auto"/>
          </w:tcPr>
          <w:p w14:paraId="472C8CCC" w14:textId="0D33BD56" w:rsidR="00B50102" w:rsidRDefault="00B50102" w:rsidP="00B50102">
            <w:pPr>
              <w:jc w:val="both"/>
            </w:pPr>
            <w:r>
              <w:t xml:space="preserve">M637C </w:t>
            </w:r>
            <w:r>
              <w:fldChar w:fldCharType="begin" w:fldLock="1"/>
            </w:r>
            <w:r>
              <w:instrText>ADDIN CSL_CITATION {"citationItems":[{"id":"ITEM-1","itemData":{"DOI":"HET31101-0616-1","URL":"https://www.heraeus.com/media/media/het/doc_het/products_and_solutions_het_documents/thick_film/data_sheets_th/Fuel_Cell_Materials_Product_Feature.pdf","accessed":{"date-parts":[["2020","4","24"]]},"author":[{"dropping-particle":"","family":"Heraeus","given":"","non-dropping-particle":"","parse-names":false,"suffix":""}],"container-title":"Heraeus Thick Film Materials Fuel Cell Materials Technical Data Sheet","id":"ITEM-1","issued":{"date-parts":[["2020"]]},"page":"1-2","title":"Fuel Cell Materials Technical Data Sheet","type":"webpage"},"uris":["http://www.mendeley.com/documents/?uuid=28700d51-d7ae-47d0-8f4d-5257bdc16502"]}],"mendeley":{"formattedCitation":"[317]","plainTextFormattedCitation":"[317]","previouslyFormattedCitation":"[317]"},"properties":{"noteIndex":0},"schema":"https://github.com/citation-style-language/schema/raw/master/csl-citation.json"}</w:instrText>
            </w:r>
            <w:r>
              <w:fldChar w:fldCharType="separate"/>
            </w:r>
            <w:r w:rsidRPr="006C586A">
              <w:rPr>
                <w:noProof/>
              </w:rPr>
              <w:t>[317]</w:t>
            </w:r>
            <w:r>
              <w:fldChar w:fldCharType="end"/>
            </w:r>
          </w:p>
        </w:tc>
      </w:tr>
      <w:tr w:rsidR="00B50102" w14:paraId="22CF9046" w14:textId="77777777" w:rsidTr="00B50102">
        <w:trPr>
          <w:jc w:val="center"/>
        </w:trPr>
        <w:tc>
          <w:tcPr>
            <w:tcW w:w="0" w:type="auto"/>
          </w:tcPr>
          <w:p w14:paraId="25C4803A" w14:textId="77777777" w:rsidR="00B50102" w:rsidRDefault="00B50102" w:rsidP="00B50102">
            <w:pPr>
              <w:jc w:val="both"/>
            </w:pPr>
            <w:r>
              <w:t>Nickel Oxide Paste (</w:t>
            </w:r>
            <w:proofErr w:type="spellStart"/>
            <w:r w:rsidRPr="00910B06">
              <w:rPr>
                <w:b/>
                <w:bCs/>
              </w:rPr>
              <w:t>NiO</w:t>
            </w:r>
            <w:proofErr w:type="spellEnd"/>
            <w:r>
              <w:t>)</w:t>
            </w:r>
          </w:p>
        </w:tc>
        <w:tc>
          <w:tcPr>
            <w:tcW w:w="0" w:type="auto"/>
          </w:tcPr>
          <w:p w14:paraId="7E77F3FA" w14:textId="77777777" w:rsidR="00B50102" w:rsidRDefault="00B50102" w:rsidP="00B50102">
            <w:pPr>
              <w:jc w:val="both"/>
            </w:pPr>
            <w:proofErr w:type="spellStart"/>
            <w:r>
              <w:t>Shoei</w:t>
            </w:r>
            <w:proofErr w:type="spellEnd"/>
            <w:r>
              <w:t xml:space="preserve"> Chemical Inc.</w:t>
            </w:r>
          </w:p>
        </w:tc>
        <w:tc>
          <w:tcPr>
            <w:tcW w:w="0" w:type="auto"/>
          </w:tcPr>
          <w:p w14:paraId="53AF2A33" w14:textId="2B39A8E9" w:rsidR="00B50102" w:rsidRDefault="00B50102" w:rsidP="00B50102">
            <w:pPr>
              <w:jc w:val="both"/>
            </w:pPr>
            <w:r>
              <w:t>N/A</w:t>
            </w:r>
          </w:p>
        </w:tc>
        <w:tc>
          <w:tcPr>
            <w:tcW w:w="0" w:type="auto"/>
          </w:tcPr>
          <w:p w14:paraId="6346CF35" w14:textId="7C05C177" w:rsidR="00B50102" w:rsidRDefault="00213BF0" w:rsidP="00B50102">
            <w:pPr>
              <w:jc w:val="both"/>
            </w:pPr>
            <w:r>
              <w:t>Nickel Oxide Conductive Electrode Paste</w:t>
            </w:r>
          </w:p>
        </w:tc>
        <w:tc>
          <w:tcPr>
            <w:tcW w:w="0" w:type="auto"/>
          </w:tcPr>
          <w:p w14:paraId="5AD7C5E4" w14:textId="54D750E2" w:rsidR="00B50102" w:rsidRDefault="00B50102" w:rsidP="00B50102">
            <w:pPr>
              <w:jc w:val="both"/>
            </w:pPr>
            <w:r>
              <w:t xml:space="preserve">X-NH053 </w:t>
            </w:r>
            <w:r>
              <w:fldChar w:fldCharType="begin" w:fldLock="1"/>
            </w:r>
            <w:r>
              <w:instrText>ADDIN CSL_CITATION {"citationItems":[{"id":"ITEM-1","itemData":{"URL":"https://www.shoeichem.co.jp/global/products/eng_panf.pdf","accessed":{"date-parts":[["2020","4","24"]]},"author":[{"dropping-particle":"","family":"Inc.","given":"Shoei Chemical","non-dropping-particle":"","parse-names":false,"suffix":""}],"container-title":"Shoei Chemical Inc Metal Paste","id":"ITEM-1","issued":{"date-parts":[["2020"]]},"page":"3-10","title":"Shoei Chemical Inc Products: Fine Powders and Thick Film Materials","type":"webpage"},"uris":["http://www.mendeley.com/documents/?uuid=48acdfdf-a39f-419c-aa3f-714f22a24e2b"]}],"mendeley":{"formattedCitation":"[318]","plainTextFormattedCitation":"[318]","previouslyFormattedCitation":"[318]"},"properties":{"noteIndex":0},"schema":"https://github.com/citation-style-language/schema/raw/master/csl-citation.json"}</w:instrText>
            </w:r>
            <w:r>
              <w:fldChar w:fldCharType="separate"/>
            </w:r>
            <w:r w:rsidRPr="006C586A">
              <w:rPr>
                <w:noProof/>
              </w:rPr>
              <w:t>[318]</w:t>
            </w:r>
            <w:r>
              <w:fldChar w:fldCharType="end"/>
            </w:r>
          </w:p>
        </w:tc>
      </w:tr>
    </w:tbl>
    <w:p w14:paraId="0FDE9C1C" w14:textId="77777777" w:rsidR="00007F6C" w:rsidRDefault="00007F6C" w:rsidP="00007F6C">
      <w:pPr>
        <w:jc w:val="both"/>
      </w:pPr>
    </w:p>
    <w:p w14:paraId="6A178701" w14:textId="77777777" w:rsidR="00007F6C" w:rsidRPr="00F528A7" w:rsidRDefault="00007F6C" w:rsidP="00007F6C">
      <w:pPr>
        <w:jc w:val="both"/>
      </w:pPr>
      <w:r>
        <w:t xml:space="preserve">Each of the inks were tested for electrical conductivity prior to electrochemical impedance spectroscopy assessment using a multi-meter. The only ink that was not tested for electrical conductivity was the nickel oxide paste which prior to reduction was not conductive. </w:t>
      </w:r>
    </w:p>
    <w:p w14:paraId="23A33158" w14:textId="77777777" w:rsidR="00007F6C" w:rsidRDefault="00007F6C" w:rsidP="00007F6C">
      <w:pPr>
        <w:pStyle w:val="Heading2"/>
      </w:pPr>
      <w:bookmarkStart w:id="437" w:name="_Toc69129431"/>
      <w:r>
        <w:t>5.2.2 Characterisation</w:t>
      </w:r>
      <w:bookmarkEnd w:id="437"/>
    </w:p>
    <w:p w14:paraId="46A8B9BC" w14:textId="77777777" w:rsidR="00007F6C" w:rsidRDefault="00007F6C" w:rsidP="00007F6C">
      <w:pPr>
        <w:pStyle w:val="Heading4"/>
        <w:jc w:val="both"/>
      </w:pPr>
      <w:r>
        <w:t>5.2.2.1</w:t>
      </w:r>
      <w:r>
        <w:tab/>
        <w:t>Electrochemical Impedance Spectroscopy</w:t>
      </w:r>
    </w:p>
    <w:p w14:paraId="51EA470C" w14:textId="77777777" w:rsidR="00007F6C" w:rsidRPr="009A7A49" w:rsidRDefault="00007F6C" w:rsidP="00007F6C">
      <w:pPr>
        <w:jc w:val="both"/>
      </w:pPr>
      <w:r>
        <w:t xml:space="preserve">EIS was used to track the changes in the electrochemical properties of the infiltrated Ni-YSZ symmetrical samples when they were coated in a different current collector. The coated </w:t>
      </w:r>
      <w:proofErr w:type="spellStart"/>
      <w:r>
        <w:t>NiO</w:t>
      </w:r>
      <w:proofErr w:type="spellEnd"/>
      <w:r>
        <w:t xml:space="preserve">-YSZ symmetrical samples were then loaded into a ceramic compression jig between two gold meshes (Goodfellow, UK). The complex impedance response of the cells was monitored using a </w:t>
      </w:r>
      <w:proofErr w:type="spellStart"/>
      <w:r>
        <w:t>Solartron</w:t>
      </w:r>
      <w:proofErr w:type="spellEnd"/>
      <w:r>
        <w:t xml:space="preserve"> 1250/1287 FRA.  The frequency was between 65000-0.1 Hz. This response was measured in 50</w:t>
      </w:r>
      <w:r>
        <w:rPr>
          <w:rFonts w:cstheme="minorHAnsi"/>
        </w:rPr>
        <w:t>°</w:t>
      </w:r>
      <w:r>
        <w:t>C increments from 400-800</w:t>
      </w:r>
      <w:r>
        <w:rPr>
          <w:rFonts w:cstheme="minorHAnsi"/>
        </w:rPr>
        <w:t>°</w:t>
      </w:r>
      <w:r>
        <w:t>C in a 10% wet H</w:t>
      </w:r>
      <w:r>
        <w:rPr>
          <w:vertAlign w:val="subscript"/>
        </w:rPr>
        <w:t>2</w:t>
      </w:r>
      <w:r>
        <w:t>/N</w:t>
      </w:r>
      <w:r>
        <w:rPr>
          <w:vertAlign w:val="subscript"/>
        </w:rPr>
        <w:t xml:space="preserve">2 </w:t>
      </w:r>
      <w:r>
        <w:t xml:space="preserve">gas (BOC, UK) gas atmosphere and then over a </w:t>
      </w:r>
      <w:proofErr w:type="gramStart"/>
      <w:r>
        <w:t>50 h</w:t>
      </w:r>
      <w:proofErr w:type="gramEnd"/>
      <w:r>
        <w:t xml:space="preserve"> ageing period. The nickel-oxide catalytic media was reduced in situ during this ramp up step.</w:t>
      </w:r>
    </w:p>
    <w:p w14:paraId="23B48AD3" w14:textId="4D24FDA5" w:rsidR="00007F6C" w:rsidRDefault="00007F6C" w:rsidP="00007F6C">
      <w:pPr>
        <w:pStyle w:val="Heading4"/>
        <w:jc w:val="both"/>
      </w:pPr>
      <w:r>
        <w:rPr>
          <w:i w:val="0"/>
          <w:iCs w:val="0"/>
        </w:rPr>
        <w:t xml:space="preserve">5.2.2.2 </w:t>
      </w:r>
      <w:r>
        <w:t xml:space="preserve">Microstructural </w:t>
      </w:r>
      <w:r w:rsidR="00216755">
        <w:t>E</w:t>
      </w:r>
      <w:r>
        <w:t xml:space="preserve">valuation using </w:t>
      </w:r>
      <w:r w:rsidR="00216755">
        <w:t>S</w:t>
      </w:r>
      <w:r>
        <w:t xml:space="preserve">canning </w:t>
      </w:r>
      <w:r w:rsidR="00216755">
        <w:t>E</w:t>
      </w:r>
      <w:r>
        <w:t xml:space="preserve">lectron </w:t>
      </w:r>
      <w:r w:rsidR="00216755">
        <w:t>M</w:t>
      </w:r>
      <w:r>
        <w:t>icroscopy</w:t>
      </w:r>
    </w:p>
    <w:p w14:paraId="603E96F8" w14:textId="77777777" w:rsidR="00007F6C" w:rsidRDefault="00007F6C" w:rsidP="00007F6C">
      <w:pPr>
        <w:jc w:val="both"/>
      </w:pPr>
      <w:r>
        <w:t xml:space="preserve">The fuel electrode samples were mounted onto a stainless-steel SEM stub and sputtered coated in a 10nm layer of gold using an Agar sputter coater. The mounted samples were imaged using a JEOL </w:t>
      </w:r>
      <w:r>
        <w:rPr>
          <w:rFonts w:cs="Arial"/>
        </w:rPr>
        <w:t>JSM-6010LA</w:t>
      </w:r>
      <w:r>
        <w:t xml:space="preserve"> scanning electron microscope. This was used to check for any microscopic delamination and other breakdown routes in the current collector. The samples were analysed using the FIJI ImageJ analysis software.</w:t>
      </w:r>
    </w:p>
    <w:p w14:paraId="5C328B86" w14:textId="7DA24476" w:rsidR="00007F6C" w:rsidRDefault="00007F6C" w:rsidP="00007F6C">
      <w:pPr>
        <w:pStyle w:val="Heading4"/>
      </w:pPr>
      <w:r>
        <w:lastRenderedPageBreak/>
        <w:t>5.2.2.3</w:t>
      </w:r>
      <w:r>
        <w:tab/>
        <w:t xml:space="preserve">Temperature </w:t>
      </w:r>
      <w:r w:rsidR="00216755">
        <w:t>P</w:t>
      </w:r>
      <w:r>
        <w:t xml:space="preserve">rogrammed </w:t>
      </w:r>
      <w:r w:rsidR="00216755">
        <w:t>R</w:t>
      </w:r>
      <w:r>
        <w:t xml:space="preserve">eduction – </w:t>
      </w:r>
      <w:r w:rsidR="00216755">
        <w:t>A</w:t>
      </w:r>
      <w:r>
        <w:t xml:space="preserve">ctive </w:t>
      </w:r>
      <w:r w:rsidR="00216755">
        <w:t>A</w:t>
      </w:r>
      <w:r>
        <w:t xml:space="preserve">rea </w:t>
      </w:r>
      <w:r w:rsidR="00216755">
        <w:t>M</w:t>
      </w:r>
      <w:r>
        <w:t>easurements</w:t>
      </w:r>
    </w:p>
    <w:p w14:paraId="1A1F6EF2" w14:textId="78E4999A" w:rsidR="00007F6C" w:rsidRDefault="00007F6C" w:rsidP="00007F6C">
      <w:pPr>
        <w:jc w:val="both"/>
      </w:pPr>
      <w:r w:rsidRPr="00B01290">
        <w:t>TPR was performed on the nickel oxide paste using a Micromeritics 2720 Chemisorb. The reduction was performed between</w:t>
      </w:r>
      <w:r w:rsidRPr="00420CA8">
        <w:rPr>
          <w:color w:val="FFC000"/>
        </w:rPr>
        <w:t xml:space="preserve"> </w:t>
      </w:r>
      <w:r w:rsidRPr="00B01290">
        <w:t>temperature</w:t>
      </w:r>
      <w:r>
        <w:t xml:space="preserve"> ranging between </w:t>
      </w:r>
      <w:r w:rsidRPr="001A2F18">
        <w:t>100-600</w:t>
      </w:r>
      <w:r w:rsidR="009157B9">
        <w:t xml:space="preserve"> </w:t>
      </w:r>
      <w:r w:rsidR="00C75748">
        <w:rPr>
          <w:rFonts w:cstheme="minorHAnsi"/>
        </w:rPr>
        <w:t>°</w:t>
      </w:r>
      <w:r w:rsidRPr="001A2F18">
        <w:t>C</w:t>
      </w:r>
      <w:r w:rsidRPr="00B01290">
        <w:t xml:space="preserve"> under a 10</w:t>
      </w:r>
      <w:r>
        <w:t xml:space="preserve"> </w:t>
      </w:r>
      <w:r w:rsidRPr="00B01290">
        <w:t>% H</w:t>
      </w:r>
      <w:r w:rsidRPr="00DB3BAA">
        <w:rPr>
          <w:vertAlign w:val="subscript"/>
        </w:rPr>
        <w:t>2</w:t>
      </w:r>
      <w:r w:rsidRPr="00B01290">
        <w:t>/</w:t>
      </w:r>
      <w:proofErr w:type="spellStart"/>
      <w:r w:rsidRPr="00B01290">
        <w:t>Ar</w:t>
      </w:r>
      <w:proofErr w:type="spellEnd"/>
      <w:r w:rsidRPr="00B01290">
        <w:t xml:space="preserve"> atmosphere with a flow rate of 20</w:t>
      </w:r>
      <w:r>
        <w:t xml:space="preserve"> </w:t>
      </w:r>
      <w:r w:rsidRPr="00B01290">
        <w:t>mL</w:t>
      </w:r>
      <w:r w:rsidR="00C75748">
        <w:t>min</w:t>
      </w:r>
      <w:r w:rsidR="00C75748">
        <w:rPr>
          <w:vertAlign w:val="superscript"/>
        </w:rPr>
        <w:t>-1</w:t>
      </w:r>
      <w:r w:rsidRPr="00B01290">
        <w:t>. The inlet pressure was 1bar. This was to confirm that the paste had no glass frit impurities and would reduce in-situ during the temperature ramp of the symmetrical fuel electrode samples.</w:t>
      </w:r>
    </w:p>
    <w:p w14:paraId="42EFF688" w14:textId="14919F14" w:rsidR="00007F6C" w:rsidRDefault="00007F6C" w:rsidP="00007F6C">
      <w:pPr>
        <w:jc w:val="both"/>
      </w:pPr>
      <w:r>
        <w:t xml:space="preserve">To retain comparability with the infiltrated nickel oxide samples the </w:t>
      </w:r>
      <w:proofErr w:type="spellStart"/>
      <w:r>
        <w:t>Shoei</w:t>
      </w:r>
      <w:proofErr w:type="spellEnd"/>
      <w:r>
        <w:t xml:space="preserve"> conductive paste was doctor bladed on the surface of a YSZ pellet and dried at 120 </w:t>
      </w:r>
      <w:r>
        <w:rPr>
          <w:rFonts w:cstheme="minorHAnsi"/>
        </w:rPr>
        <w:t>°</w:t>
      </w:r>
      <w:r>
        <w:t xml:space="preserve">C for an hour (dried thickness 40 </w:t>
      </w:r>
      <w:r>
        <w:rPr>
          <w:rFonts w:cstheme="minorHAnsi"/>
        </w:rPr>
        <w:t>µ</w:t>
      </w:r>
      <w:r>
        <w:t xml:space="preserve">m) </w:t>
      </w:r>
      <w:r>
        <w:fldChar w:fldCharType="begin" w:fldLock="1"/>
      </w:r>
      <w:r w:rsidR="00D80A5D">
        <w:instrText>ADDIN CSL_CITATION {"citationItems":[{"id":"ITEM-1","itemData":{"URL":"https://www.shoeichem.co.jp/global/products/eng_panf.pdf","accessed":{"date-parts":[["2020","4","24"]]},"author":[{"dropping-particle":"","family":"Inc.","given":"Shoei Chemical","non-dropping-particle":"","parse-names":false,"suffix":""}],"container-title":"Shoei Chemical Inc Metal Paste","id":"ITEM-1","issued":{"date-parts":[["2020"]]},"page":"3-10","title":"Shoei Chemical Inc Products: Fine Powders and Thick Film Materials","type":"webpage"},"uris":["http://www.mendeley.com/documents/?uuid=48acdfdf-a39f-419c-aa3f-714f22a24e2b"]}],"mendeley":{"formattedCitation":"[318]","plainTextFormattedCitation":"[318]","previouslyFormattedCitation":"[318]"},"properties":{"noteIndex":0},"schema":"https://github.com/citation-style-language/schema/raw/master/csl-citation.json"}</w:instrText>
      </w:r>
      <w:r>
        <w:fldChar w:fldCharType="separate"/>
      </w:r>
      <w:r w:rsidR="006C586A" w:rsidRPr="006C586A">
        <w:rPr>
          <w:noProof/>
        </w:rPr>
        <w:t>[318]</w:t>
      </w:r>
      <w:r>
        <w:fldChar w:fldCharType="end"/>
      </w:r>
      <w:r>
        <w:t>. This ensured that the paste was supported on an identical material to that of the wet impregnated nickel oxide.</w:t>
      </w:r>
    </w:p>
    <w:p w14:paraId="0AD1973A" w14:textId="2268B512" w:rsidR="00007F6C" w:rsidRDefault="00007F6C" w:rsidP="00007F6C">
      <w:pPr>
        <w:jc w:val="both"/>
      </w:pPr>
      <w:r w:rsidRPr="00B01290">
        <w:t>The temperature ramp was set to 5</w:t>
      </w:r>
      <w:r>
        <w:t xml:space="preserve"> </w:t>
      </w:r>
      <w:r w:rsidRPr="00B01290">
        <w:rPr>
          <w:rFonts w:cstheme="minorHAnsi"/>
        </w:rPr>
        <w:t>°</w:t>
      </w:r>
      <w:r w:rsidRPr="00B01290">
        <w:t>C</w:t>
      </w:r>
      <w:r w:rsidR="002E59BA">
        <w:t>min</w:t>
      </w:r>
      <w:r w:rsidR="002E59BA">
        <w:rPr>
          <w:vertAlign w:val="superscript"/>
        </w:rPr>
        <w:t>-1</w:t>
      </w:r>
      <w:r w:rsidRPr="00B01290">
        <w:t xml:space="preserve"> to mimic that used in the EIS analysis work</w:t>
      </w:r>
      <w:r>
        <w:t xml:space="preserve"> and to avoid the fracture of the ceramic electrolyte.</w:t>
      </w:r>
    </w:p>
    <w:p w14:paraId="25A33B0D" w14:textId="77777777" w:rsidR="00007F6C" w:rsidRDefault="00007F6C" w:rsidP="00007F6C">
      <w:pPr>
        <w:jc w:val="both"/>
      </w:pPr>
      <w:r>
        <w:t>Infiltrated Ni-YSZ samples were produced from the same batch to reduce the amount of sample variance via parallax error and identical production routines. The infiltrate loading of the samples was calculated to be 20 vol %.</w:t>
      </w:r>
    </w:p>
    <w:p w14:paraId="021D374B" w14:textId="77777777" w:rsidR="00007F6C" w:rsidRDefault="00007F6C" w:rsidP="00007F6C">
      <w:pPr>
        <w:pStyle w:val="Heading1"/>
      </w:pPr>
      <w:bookmarkStart w:id="438" w:name="_Toc69129432"/>
      <w:r>
        <w:t>5.3</w:t>
      </w:r>
      <w:r>
        <w:tab/>
      </w:r>
      <w:r w:rsidRPr="00644D81">
        <w:t>Results</w:t>
      </w:r>
      <w:bookmarkEnd w:id="438"/>
    </w:p>
    <w:p w14:paraId="35DEFC5B" w14:textId="1813FC32" w:rsidR="00007F6C" w:rsidRPr="009F07E3" w:rsidRDefault="00007F6C" w:rsidP="00007F6C">
      <w:pPr>
        <w:pStyle w:val="Heading3"/>
        <w:jc w:val="both"/>
      </w:pPr>
      <w:bookmarkStart w:id="439" w:name="_Toc69129433"/>
      <w:r>
        <w:t xml:space="preserve">5.3.1 Macroscopic </w:t>
      </w:r>
      <w:r w:rsidR="000572EE">
        <w:t>D</w:t>
      </w:r>
      <w:r>
        <w:t xml:space="preserve">egradation and </w:t>
      </w:r>
      <w:r w:rsidR="000572EE">
        <w:t>Current Collector Delamination</w:t>
      </w:r>
      <w:bookmarkEnd w:id="439"/>
    </w:p>
    <w:p w14:paraId="16785366" w14:textId="066D7C4D" w:rsidR="00CF5761" w:rsidRDefault="00007F6C" w:rsidP="00CF5761">
      <w:pPr>
        <w:jc w:val="both"/>
      </w:pPr>
      <w:r>
        <w:t>One of the most conspicuous indicators that the current collector was degrading during the ageing of the infiltrated electrode samples was the visible delamination via after sample unloading</w:t>
      </w:r>
      <w:r w:rsidR="00CF5761">
        <w:t xml:space="preserve">. Images like those shown in </w:t>
      </w:r>
      <w:r w:rsidR="00CF5761">
        <w:fldChar w:fldCharType="begin"/>
      </w:r>
      <w:r w:rsidR="00CF5761">
        <w:instrText xml:space="preserve"> REF _Ref51678778 \h </w:instrText>
      </w:r>
      <w:r w:rsidR="00CF5761">
        <w:fldChar w:fldCharType="separate"/>
      </w:r>
      <w:r w:rsidR="00CF5761">
        <w:t>Figure 5.</w:t>
      </w:r>
      <w:r w:rsidR="00CF5761">
        <w:rPr>
          <w:noProof/>
        </w:rPr>
        <w:t>1</w:t>
      </w:r>
      <w:r w:rsidR="00CF5761">
        <w:fldChar w:fldCharType="end"/>
      </w:r>
      <w:r w:rsidR="00CF5761">
        <w:t xml:space="preserve"> and </w:t>
      </w:r>
      <w:r w:rsidR="00CF5761">
        <w:fldChar w:fldCharType="begin"/>
      </w:r>
      <w:r w:rsidR="00CF5761">
        <w:instrText xml:space="preserve"> REF _Ref51229513 \h </w:instrText>
      </w:r>
      <w:r w:rsidR="00CF5761">
        <w:fldChar w:fldCharType="separate"/>
      </w:r>
      <w:r w:rsidR="00CF5761">
        <w:t>Table 5.</w:t>
      </w:r>
      <w:r w:rsidR="00CF5761">
        <w:rPr>
          <w:noProof/>
        </w:rPr>
        <w:t>1</w:t>
      </w:r>
      <w:r w:rsidR="00CF5761">
        <w:fldChar w:fldCharType="end"/>
      </w:r>
      <w:r w:rsidR="00CF5761">
        <w:t xml:space="preserve"> show that this issue was certainly prevalent in the silver and platinum current collector systems. This indicates that the exposure to the reductive fuel electrode atmosphere (10% H</w:t>
      </w:r>
      <w:r w:rsidR="00CF5761">
        <w:rPr>
          <w:vertAlign w:val="subscript"/>
        </w:rPr>
        <w:t>2</w:t>
      </w:r>
      <w:r w:rsidR="00CF5761">
        <w:t>/N</w:t>
      </w:r>
      <w:r w:rsidR="00CF5761">
        <w:rPr>
          <w:vertAlign w:val="subscript"/>
        </w:rPr>
        <w:t>2</w:t>
      </w:r>
      <w:r w:rsidR="00CF5761">
        <w:t>, 800</w:t>
      </w:r>
      <w:r w:rsidR="00CF5761">
        <w:rPr>
          <w:rFonts w:cstheme="minorHAnsi"/>
        </w:rPr>
        <w:t>⁰</w:t>
      </w:r>
      <w:r w:rsidR="00CF5761">
        <w:t xml:space="preserve">C) has generated some mechanical fragility in the samples. </w:t>
      </w:r>
    </w:p>
    <w:p w14:paraId="52FA20DB" w14:textId="77777777" w:rsidR="00007F6C" w:rsidRDefault="00007F6C" w:rsidP="00007F6C">
      <w:pPr>
        <w:keepNext/>
        <w:jc w:val="center"/>
      </w:pPr>
      <w:r>
        <w:rPr>
          <w:noProof/>
        </w:rPr>
        <w:drawing>
          <wp:inline distT="0" distB="0" distL="0" distR="0" wp14:anchorId="1EEC91B8" wp14:editId="4F7A3899">
            <wp:extent cx="2880000" cy="2880000"/>
            <wp:effectExtent l="0" t="0" r="0" b="0"/>
            <wp:docPr id="111" name="Picture 111" descr="C:\Users\user\Downloads\IMG_20190628_114731.jpg"/>
            <wp:cNvGraphicFramePr/>
            <a:graphic xmlns:a="http://schemas.openxmlformats.org/drawingml/2006/main">
              <a:graphicData uri="http://schemas.openxmlformats.org/drawingml/2006/picture">
                <pic:pic xmlns:pic="http://schemas.openxmlformats.org/drawingml/2006/picture">
                  <pic:nvPicPr>
                    <pic:cNvPr id="5" name="Picture 5" descr="C:\Users\user\Downloads\IMG_20190628_114731.jpg"/>
                    <pic:cNvPicPr/>
                  </pic:nvPicPr>
                  <pic:blipFill rotWithShape="1">
                    <a:blip r:embed="rId127" cstate="print">
                      <a:extLst>
                        <a:ext uri="{28A0092B-C50C-407E-A947-70E740481C1C}">
                          <a14:useLocalDpi xmlns:a14="http://schemas.microsoft.com/office/drawing/2010/main" val="0"/>
                        </a:ext>
                      </a:extLst>
                    </a:blip>
                    <a:srcRect l="34072" t="39781" r="32444" b="33486"/>
                    <a:stretch/>
                  </pic:blipFill>
                  <pic:spPr bwMode="auto">
                    <a:xfrm>
                      <a:off x="0" y="0"/>
                      <a:ext cx="288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60CB6386" w14:textId="2744EC87" w:rsidR="00007F6C" w:rsidRPr="005641CC" w:rsidRDefault="00007F6C" w:rsidP="00007F6C">
      <w:pPr>
        <w:pStyle w:val="Caption"/>
        <w:rPr>
          <w:noProof/>
        </w:rPr>
      </w:pPr>
      <w:bookmarkStart w:id="440" w:name="_Ref43802486"/>
      <w:bookmarkStart w:id="441" w:name="_Ref51229610"/>
      <w:bookmarkStart w:id="442" w:name="_Ref51678778"/>
      <w:bookmarkStart w:id="443" w:name="_Toc69115016"/>
      <w:r>
        <w:t>Figure 5.</w:t>
      </w:r>
      <w:bookmarkEnd w:id="440"/>
      <w:bookmarkEnd w:id="441"/>
      <w:r w:rsidR="00285C23">
        <w:fldChar w:fldCharType="begin"/>
      </w:r>
      <w:r w:rsidR="00285C23">
        <w:instrText xml:space="preserve"> SEQ Figure \* ARABIC </w:instrText>
      </w:r>
      <w:r w:rsidR="00CF5761">
        <w:instrText>\r 1</w:instrText>
      </w:r>
      <w:r w:rsidR="00285C23">
        <w:fldChar w:fldCharType="separate"/>
      </w:r>
      <w:r w:rsidR="00CF5761">
        <w:rPr>
          <w:noProof/>
        </w:rPr>
        <w:t>1</w:t>
      </w:r>
      <w:r w:rsidR="00285C23">
        <w:fldChar w:fldCharType="end"/>
      </w:r>
      <w:bookmarkEnd w:id="442"/>
      <w:r>
        <w:t>: Photograph of the delaminated Pt current collector</w:t>
      </w:r>
      <w:r>
        <w:rPr>
          <w:noProof/>
        </w:rPr>
        <w:t xml:space="preserve"> after 50h of ageing</w:t>
      </w:r>
      <w:bookmarkEnd w:id="443"/>
    </w:p>
    <w:p w14:paraId="5FC83EC0" w14:textId="7D12FD15" w:rsidR="00007F6C" w:rsidRDefault="00007F6C" w:rsidP="00007F6C">
      <w:pPr>
        <w:jc w:val="both"/>
      </w:pPr>
      <w:r>
        <w:t>The samples were all subject to the same compressive force because of being housed in the same ceramic compression jig during EIS assessment. The force applied to the samples was not measured in this study.</w:t>
      </w:r>
    </w:p>
    <w:p w14:paraId="5C83FC66" w14:textId="314647F3" w:rsidR="00CF5761" w:rsidRDefault="00CF5761" w:rsidP="00007F6C">
      <w:pPr>
        <w:jc w:val="both"/>
      </w:pPr>
    </w:p>
    <w:p w14:paraId="201C45F6" w14:textId="56B4AE6C" w:rsidR="00007F6C" w:rsidRDefault="00007F6C" w:rsidP="004B7E7C">
      <w:pPr>
        <w:pStyle w:val="Caption"/>
        <w:keepNext/>
        <w:spacing w:after="240"/>
      </w:pPr>
      <w:bookmarkStart w:id="444" w:name="_Ref43974194"/>
      <w:r>
        <w:lastRenderedPageBreak/>
        <w:t>Table 5.</w:t>
      </w:r>
      <w:bookmarkEnd w:id="444"/>
      <w:r>
        <w:fldChar w:fldCharType="begin"/>
      </w:r>
      <w:r>
        <w:instrText xml:space="preserve"> SEQ Table \* ARABIC \r 1 </w:instrText>
      </w:r>
      <w:r>
        <w:fldChar w:fldCharType="separate"/>
      </w:r>
      <w:r w:rsidR="0022061C">
        <w:rPr>
          <w:noProof/>
        </w:rPr>
        <w:t>1</w:t>
      </w:r>
      <w:r>
        <w:fldChar w:fldCharType="end"/>
      </w:r>
      <w:r>
        <w:t xml:space="preserve">: Photographs of the macroscopic delamination present in the infiltrated Ni-YSZ symmetrical cells coated in </w:t>
      </w:r>
      <w:r w:rsidR="00F07E87">
        <w:t xml:space="preserve">two of the </w:t>
      </w:r>
      <w:r>
        <w:t xml:space="preserve">current collector materials. There was no macroscopic delamination present in the Au and </w:t>
      </w:r>
      <w:proofErr w:type="spellStart"/>
      <w:r>
        <w:t>NiO</w:t>
      </w:r>
      <w:proofErr w:type="spellEnd"/>
      <w:r>
        <w:t xml:space="preserve"> coated </w:t>
      </w:r>
      <w:proofErr w:type="gramStart"/>
      <w:r>
        <w:t>samples</w:t>
      </w:r>
      <w:proofErr w:type="gramEnd"/>
    </w:p>
    <w:tbl>
      <w:tblPr>
        <w:tblStyle w:val="TableGrid"/>
        <w:tblW w:w="0" w:type="auto"/>
        <w:jc w:val="center"/>
        <w:tblLook w:val="04A0" w:firstRow="1" w:lastRow="0" w:firstColumn="1" w:lastColumn="0" w:noHBand="0" w:noVBand="1"/>
      </w:tblPr>
      <w:tblGrid>
        <w:gridCol w:w="1923"/>
        <w:gridCol w:w="1896"/>
        <w:gridCol w:w="1896"/>
      </w:tblGrid>
      <w:tr w:rsidR="00007F6C" w14:paraId="003D0F42" w14:textId="77777777" w:rsidTr="004B7E7C">
        <w:trPr>
          <w:jc w:val="center"/>
        </w:trPr>
        <w:tc>
          <w:tcPr>
            <w:tcW w:w="1923" w:type="dxa"/>
          </w:tcPr>
          <w:p w14:paraId="77B4ABA8" w14:textId="77777777" w:rsidR="00007F6C" w:rsidRPr="008E7238" w:rsidRDefault="00007F6C" w:rsidP="005E2F1E">
            <w:pPr>
              <w:jc w:val="both"/>
              <w:rPr>
                <w:b/>
                <w:bCs/>
              </w:rPr>
            </w:pPr>
            <w:r w:rsidRPr="008E7238">
              <w:rPr>
                <w:b/>
                <w:bCs/>
              </w:rPr>
              <w:t>Current collector</w:t>
            </w:r>
          </w:p>
        </w:tc>
        <w:tc>
          <w:tcPr>
            <w:tcW w:w="1896" w:type="dxa"/>
          </w:tcPr>
          <w:p w14:paraId="692A3C32" w14:textId="77777777" w:rsidR="00007F6C" w:rsidRPr="008E7238" w:rsidRDefault="00007F6C" w:rsidP="005E2F1E">
            <w:pPr>
              <w:jc w:val="both"/>
              <w:rPr>
                <w:b/>
                <w:bCs/>
              </w:rPr>
            </w:pPr>
            <w:r w:rsidRPr="008E7238">
              <w:rPr>
                <w:b/>
                <w:bCs/>
              </w:rPr>
              <w:t>Ag</w:t>
            </w:r>
          </w:p>
        </w:tc>
        <w:tc>
          <w:tcPr>
            <w:tcW w:w="1896" w:type="dxa"/>
          </w:tcPr>
          <w:p w14:paraId="14544739" w14:textId="77777777" w:rsidR="00007F6C" w:rsidRPr="008E7238" w:rsidRDefault="00007F6C" w:rsidP="005E2F1E">
            <w:pPr>
              <w:jc w:val="both"/>
              <w:rPr>
                <w:b/>
                <w:bCs/>
              </w:rPr>
            </w:pPr>
            <w:r w:rsidRPr="008E7238">
              <w:rPr>
                <w:b/>
                <w:bCs/>
              </w:rPr>
              <w:t>Pt</w:t>
            </w:r>
          </w:p>
        </w:tc>
      </w:tr>
      <w:tr w:rsidR="00007F6C" w14:paraId="2146C321" w14:textId="77777777" w:rsidTr="004B7E7C">
        <w:trPr>
          <w:trHeight w:val="2679"/>
          <w:jc w:val="center"/>
        </w:trPr>
        <w:tc>
          <w:tcPr>
            <w:tcW w:w="1923" w:type="dxa"/>
          </w:tcPr>
          <w:p w14:paraId="417EF745" w14:textId="77777777" w:rsidR="00007F6C" w:rsidRDefault="00007F6C" w:rsidP="005E2F1E">
            <w:pPr>
              <w:jc w:val="both"/>
            </w:pPr>
            <w:r>
              <w:t>Photograph of the electrode after 50h of ageing</w:t>
            </w:r>
          </w:p>
        </w:tc>
        <w:tc>
          <w:tcPr>
            <w:tcW w:w="1896" w:type="dxa"/>
          </w:tcPr>
          <w:p w14:paraId="3EE0F6EC" w14:textId="77777777" w:rsidR="00007F6C" w:rsidRDefault="00007F6C" w:rsidP="005E2F1E">
            <w:pPr>
              <w:jc w:val="both"/>
            </w:pPr>
            <w:r>
              <w:rPr>
                <w:noProof/>
              </w:rPr>
              <w:drawing>
                <wp:inline distT="0" distB="0" distL="0" distR="0" wp14:anchorId="134DA6EB" wp14:editId="25093D0B">
                  <wp:extent cx="1057910" cy="1636998"/>
                  <wp:effectExtent l="0" t="0" r="8890" b="1905"/>
                  <wp:docPr id="112" name="Picture 112" descr="A picture containing white, sitting, standing,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190524_140241.jpg"/>
                          <pic:cNvPicPr/>
                        </pic:nvPicPr>
                        <pic:blipFill rotWithShape="1">
                          <a:blip r:embed="rId128" cstate="print">
                            <a:extLst>
                              <a:ext uri="{28A0092B-C50C-407E-A947-70E740481C1C}">
                                <a14:useLocalDpi xmlns:a14="http://schemas.microsoft.com/office/drawing/2010/main" val="0"/>
                              </a:ext>
                            </a:extLst>
                          </a:blip>
                          <a:srcRect l="41174" t="34649" r="37347" b="40424"/>
                          <a:stretch/>
                        </pic:blipFill>
                        <pic:spPr bwMode="auto">
                          <a:xfrm>
                            <a:off x="0" y="0"/>
                            <a:ext cx="1064300" cy="1646886"/>
                          </a:xfrm>
                          <a:prstGeom prst="rect">
                            <a:avLst/>
                          </a:prstGeom>
                          <a:ln>
                            <a:noFill/>
                          </a:ln>
                          <a:extLst>
                            <a:ext uri="{53640926-AAD7-44D8-BBD7-CCE9431645EC}">
                              <a14:shadowObscured xmlns:a14="http://schemas.microsoft.com/office/drawing/2010/main"/>
                            </a:ext>
                          </a:extLst>
                        </pic:spPr>
                      </pic:pic>
                    </a:graphicData>
                  </a:graphic>
                </wp:inline>
              </w:drawing>
            </w:r>
          </w:p>
        </w:tc>
        <w:tc>
          <w:tcPr>
            <w:tcW w:w="1896" w:type="dxa"/>
          </w:tcPr>
          <w:p w14:paraId="576D9054" w14:textId="77777777" w:rsidR="00007F6C" w:rsidRDefault="00007F6C" w:rsidP="005E2F1E">
            <w:pPr>
              <w:jc w:val="both"/>
            </w:pPr>
            <w:r>
              <w:rPr>
                <w:noProof/>
              </w:rPr>
              <w:drawing>
                <wp:inline distT="0" distB="0" distL="0" distR="0" wp14:anchorId="6E77A742" wp14:editId="7F588E20">
                  <wp:extent cx="1060731" cy="1638000"/>
                  <wp:effectExtent l="0" t="0" r="6350" b="635"/>
                  <wp:docPr id="113" name="Picture 113" descr="A picture containing water,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190628_143901.jpg"/>
                          <pic:cNvPicPr/>
                        </pic:nvPicPr>
                        <pic:blipFill rotWithShape="1">
                          <a:blip r:embed="rId129" cstate="print">
                            <a:extLst>
                              <a:ext uri="{28A0092B-C50C-407E-A947-70E740481C1C}">
                                <a14:useLocalDpi xmlns:a14="http://schemas.microsoft.com/office/drawing/2010/main" val="0"/>
                              </a:ext>
                            </a:extLst>
                          </a:blip>
                          <a:srcRect l="30411" t="36019" r="20730" b="7396"/>
                          <a:stretch/>
                        </pic:blipFill>
                        <pic:spPr bwMode="auto">
                          <a:xfrm>
                            <a:off x="0" y="0"/>
                            <a:ext cx="1060731" cy="1638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2B88FF2" w14:textId="77777777" w:rsidR="00007F6C" w:rsidRDefault="00007F6C" w:rsidP="00007F6C">
      <w:pPr>
        <w:jc w:val="both"/>
      </w:pPr>
    </w:p>
    <w:p w14:paraId="6D771146" w14:textId="77777777" w:rsidR="00007F6C" w:rsidRDefault="00007F6C" w:rsidP="00007F6C">
      <w:pPr>
        <w:jc w:val="both"/>
      </w:pPr>
      <w:r>
        <w:t>From literature analysis reasons for current collector delamination on the fuel electrode are twofold:</w:t>
      </w:r>
    </w:p>
    <w:p w14:paraId="0BDEACE2" w14:textId="5F89DE1C" w:rsidR="00007F6C" w:rsidRDefault="00007F6C" w:rsidP="00007F6C">
      <w:pPr>
        <w:pStyle w:val="ListParagraph"/>
        <w:numPr>
          <w:ilvl w:val="0"/>
          <w:numId w:val="31"/>
        </w:numPr>
        <w:jc w:val="both"/>
      </w:pPr>
      <w:r>
        <w:t xml:space="preserve">Pores and void formation under hydrogen rich reductive atmospheres </w:t>
      </w:r>
      <w:r>
        <w:fldChar w:fldCharType="begin" w:fldLock="1"/>
      </w:r>
      <w:r w:rsidR="00151775">
        <w:instrText>ADDIN CSL_CITATION {"citationItems":[{"id":"ITEM-1","itemData":{"DOI":"10.1007/s40243-018-0123-y","ISBN":"0123456789","ISSN":"21941467","abstract":"In this paper, the behaviour of silver as cathode conductive material, interconnect wire, and sealing for anode lead connection for microtubular solid oxide fuel cells (µSOFC) is reported. The changes in silver morphology are examined by scanning electron microscopy on cells that had been operated under reformed methane. It is found that using silver in an solid oxide fuel cell (SOFC) stack can improve the cell performance. However, it is also concluded that silver may be responsible for cell degradation. This report brings together and explains all the known problems with application of silver for SOFCs. The results show that silver is unstable in interconnect and in cathode environments. It is found that the process of cell passivation/activation promotes silver migration. The difference in thermal expansion of silver and sealant results in damage to the glass. It is concluded that when silver is exposed to a dual atmosphere condition, high levels of porosity formation is seen in the dense silver interconnect. The relevance of application of silver in SOFC stacks is discussed.","author":[{"dropping-particle":"","family":"Majewski","given":"Artur J.","non-dropping-particle":"","parse-names":false,"suffix":""},{"dropping-particle":"","family":"Dhir","given":"Aman","non-dropping-particle":"","parse-names":false,"suffix":""}],"container-title":"Materials for Renewable and Sustainable Energy","id":"ITEM-1","issue":"3","issued":{"date-parts":[["2018"]]},"page":"1-13","publisher":"Springer Berlin Heidelberg","title":"Application of silver in microtubular solid oxide fuel cells","type":"article-journal","volume":"7"},"uris":["http://www.mendeley.com/documents/?uuid=79eb06da-638d-45c6-af3a-6f20e4c857b7"]},{"id":"ITEM-2","itemData":{"DOI":"10.1016/j.jpowsour.2008.08.056","ISSN":"03787753","abstract":"Nickel, silver, and a nickel-silver composite have been tested in a simulated solid oxide fuel cell interconnect environment. The susceptibility of the interconnect to mechanical degradation as a result of environmental attack has been analyzed. The experimental results of this study demonstrate that silver is unstable in the interconnect environment, while nickel remains stable. A finite difference model has been developed to analyze how the simultaneous diffusion of hydrogen and oxygen into the interconnect can result in the nucleation of water vapor bubbles. In addition, a model developed by Raj and Ashby to describe the growth of cavities under creep conditions has been employed to predict the rate at which cavity growth will occur. Finally, a Ni-Ag composite was fabricated and studied as an interconnect in an attempt to avoid the mechanical degradation that occurs in silver, while maintaining a path for electrical conduction that is not degraded by oxidation. © 2008 Elsevier B.V. All rights reserved.","author":[{"dropping-particle":"","family":"Jackson","given":"R. W.","non-dropping-particle":"","parse-names":false,"suffix":""},{"dropping-particle":"","family":"Pettit","given":"F. S.","non-dropping-particle":"","parse-names":false,"suffix":""},{"dropping-particle":"","family":"Meier","given":"G. H.","non-dropping-particle":"","parse-names":false,"suffix":""}],"container-title":"Journal of Power Sources","id":"ITEM-2","issue":"2","issued":{"date-parts":[["2008"]]},"page":"1030-1039","title":"The behavior of nickel and silver in a simulated solid oxide fuel cell environment","type":"article-journal","volume":"185"},"uris":["http://www.mendeley.com/documents/?uuid=42bdc689-ae12-4106-a601-47975d6b7d08"]},{"id":"ITEM-3","itemData":{"DOI":"10.1361/10599490419261","ISSN":"10599495","abstract":"The structural stability of silver (Ag) in dual atmosphere exposure conditions, which are representative of solid oxide fuel cell (SOFC) current collector and gas seals, has been examined in the 600-800°C temperature range. Experiments conducted on Ag tubular sections exposed to flowing H 2-3% H 2O (inside the tube) and air (outside the tube) showed extensive porosity formation along the grain boundaries in the bulk metal. Similar tubular sections, when exposed to air only (both inside and outside the tube), showed no bulk porosity or structural changes. It is postulated that the porosity formation in the bulk metal is related to the formation of gaseous H 2O bubbles due to simultaneous diffusion of hydrogen and oxygen followed by subsequent interaction resulting in the formation of steam. Thermochemical processes that are responsible for structural degradation are presented and discussed. Based on experimental observations, it is concluded that Ag metal may not provide adequate long-term structural stability under a dual-environment condition that is typical of interconnects or gas seals in intermediate temperature SOFCs.","author":[{"dropping-particle":"","family":"Singh","given":"Prabhakar","non-dropping-particle":"","parse-names":false,"suffix":""},{"dropping-particle":"","family":"Yang","given":"Zhenguo","non-dropping-particle":"","parse-names":false,"suffix":""},{"dropping-particle":"","family":"Viswanathan","given":"Vish","non-dropping-particle":"","parse-names":false,"suffix":""},{"dropping-particle":"","family":"Stevenson","given":"Jeff W.","non-dropping-particle":"","parse-names":false,"suffix":""}],"container-title":"Journal of Materials Engineering and Performance","id":"ITEM-3","issue":"3","issued":{"date-parts":[["2004"]]},"page":"287-294","title":"Observations on the structural degradation of silver during simultaneous exposure to oxidizing and reducing environments","type":"article-journal","volume":"13"},"uris":["http://www.mendeley.com/documents/?uuid=418632f9-bc2b-4a25-a998-2e37db7d33c3"]},{"id":"ITEM-4","itemData":{"DOI":"10.1109/JMEMS.2008.2010850","ISSN":"10577157","abstract":"This paper reports on a comparison of gold and gold-nickel alloys as contact materials for microelectromechanical systems (MEMS) switches. Pure gold is commonly used as the contact material in low-force metal-contact MEMS switches. The top two failure mechanisms of these switches are wear and stiction, which may be related to the material softness and the relatively high surface adhesion, respectively. Alloying gold with another metal introduces new processing options to strengthen the material against wear and reduce surface adhesion. In this paper, the properties of Au-Ni alloys were investigated as the lower contact electrode was controlled by adjusting the nickel content and thermal processing conditions. A unique and efficient switching degradation test was conducted on the alloy samples, using pure gold upper microcontacts. Solid-solution Au-Ni samples showed reduced wear rate but increased contact resistance, while two-phase Au-Ni (20 at.% Ni) showed a substantial improvement of switching reliability with only a small increase of contact resistance. Discussion of the effects of phase separation, surface topography, hardness, and electrical resistivity on contact resistance and switch degradation is also included. © 2009 IEEE.","author":[{"dropping-particle":"","family":"Yang","given":"Zhenyin","non-dropping-particle":"","parse-names":false,"suffix":""},{"dropping-particle":"","family":"Lichtenwalner","given":"Daniel J.","non-dropping-particle":"","parse-names":false,"suffix":""},{"dropping-particle":"","family":"Morris","given":"Arthur S.","non-dropping-particle":"","parse-names":false,"suffix":""},{"dropping-particle":"","family":"Krim","given":"Jacqueline","non-dropping-particle":"","parse-names":false,"suffix":""},{"dropping-particle":"","family":"Kingon","given":"Angus I.","non-dropping-particle":"","parse-names":false,"suffix":""}],"container-title":"Journal of Microelectromechanical Systems","id":"ITEM-4","issue":"2","issued":{"date-parts":[["2009"]]},"page":"287-295","title":"Comparison of Au and Au-Ni alloys as contact materials for MEMS switches","type":"article-journal","volume":"18"},"uris":["http://www.mendeley.com/documents/?uuid=5e987446-51c6-4c5d-867e-424b624674c0"]}],"mendeley":{"formattedCitation":"[442]–[445]","plainTextFormattedCitation":"[442]–[445]","previouslyFormattedCitation":"[442]–[445]"},"properties":{"noteIndex":0},"schema":"https://github.com/citation-style-language/schema/raw/master/csl-citation.json"}</w:instrText>
      </w:r>
      <w:r>
        <w:fldChar w:fldCharType="separate"/>
      </w:r>
      <w:r w:rsidR="008B6E91" w:rsidRPr="008B6E91">
        <w:rPr>
          <w:noProof/>
        </w:rPr>
        <w:t>[442]–[445]</w:t>
      </w:r>
      <w:r>
        <w:fldChar w:fldCharType="end"/>
      </w:r>
    </w:p>
    <w:p w14:paraId="789B16B7" w14:textId="2A80E81E" w:rsidR="00007F6C" w:rsidRDefault="00007F6C" w:rsidP="00007F6C">
      <w:pPr>
        <w:pStyle w:val="ListParagraph"/>
        <w:numPr>
          <w:ilvl w:val="0"/>
          <w:numId w:val="31"/>
        </w:numPr>
        <w:jc w:val="both"/>
      </w:pPr>
      <w:r>
        <w:t xml:space="preserve">Mechanical stresses from the oxidation of the current collector and catalyst </w:t>
      </w:r>
      <w:r>
        <w:fldChar w:fldCharType="begin" w:fldLock="1"/>
      </w:r>
      <w:r w:rsidR="00151775">
        <w:instrText>ADDIN CSL_CITATION {"citationItems":[{"id":"ITEM-1","itemData":{"DOI":"10.1007/s40243-018-0123-y","ISBN":"0123456789","ISSN":"21941467","abstract":"In this paper, the behaviour of silver as cathode conductive material, interconnect wire, and sealing for anode lead connection for microtubular solid oxide fuel cells (µSOFC) is reported. The changes in silver morphology are examined by scanning electron microscopy on cells that had been operated under reformed methane. It is found that using silver in an solid oxide fuel cell (SOFC) stack can improve the cell performance. However, it is also concluded that silver may be responsible for cell degradation. This report brings together and explains all the known problems with application of silver for SOFCs. The results show that silver is unstable in interconnect and in cathode environments. It is found that the process of cell passivation/activation promotes silver migration. The difference in thermal expansion of silver and sealant results in damage to the glass. It is concluded that when silver is exposed to a dual atmosphere condition, high levels of porosity formation is seen in the dense silver interconnect. The relevance of application of silver in SOFC stacks is discussed.","author":[{"dropping-particle":"","family":"Majewski","given":"Artur J.","non-dropping-particle":"","parse-names":false,"suffix":""},{"dropping-particle":"","family":"Dhir","given":"Aman","non-dropping-particle":"","parse-names":false,"suffix":""}],"container-title":"Materials for Renewable and Sustainable Energy","id":"ITEM-1","issue":"3","issued":{"date-parts":[["2018"]]},"page":"1-13","publisher":"Springer Berlin Heidelberg","title":"Application of silver in microtubular solid oxide fuel cells","type":"article-journal","volume":"7"},"uris":["http://www.mendeley.com/documents/?uuid=79eb06da-638d-45c6-af3a-6f20e4c857b7"]},{"id":"ITEM-2","itemData":{"DOI":"10.1016/j.jpowsour.2008.08.056","ISSN":"03787753","abstract":"Nickel, silver, and a nickel-silver composite have been tested in a simulated solid oxide fuel cell interconnect environment. The susceptibility of the interconnect to mechanical degradation as a result of environmental attack has been analyzed. The experimental results of this study demonstrate that silver is unstable in the interconnect environment, while nickel remains stable. A finite difference model has been developed to analyze how the simultaneous diffusion of hydrogen and oxygen into the interconnect can result in the nucleation of water vapor bubbles. In addition, a model developed by Raj and Ashby to describe the growth of cavities under creep conditions has been employed to predict the rate at which cavity growth will occur. Finally, a Ni-Ag composite was fabricated and studied as an interconnect in an attempt to avoid the mechanical degradation that occurs in silver, while maintaining a path for electrical conduction that is not degraded by oxidation. © 2008 Elsevier B.V. All rights reserved.","author":[{"dropping-particle":"","family":"Jackson","given":"R. W.","non-dropping-particle":"","parse-names":false,"suffix":""},{"dropping-particle":"","family":"Pettit","given":"F. S.","non-dropping-particle":"","parse-names":false,"suffix":""},{"dropping-particle":"","family":"Meier","given":"G. H.","non-dropping-particle":"","parse-names":false,"suffix":""}],"container-title":"Journal of Power Sources","id":"ITEM-2","issue":"2","issued":{"date-parts":[["2008"]]},"page":"1030-1039","title":"The behavior of nickel and silver in a simulated solid oxide fuel cell environment","type":"article-journal","volume":"185"},"uris":["http://www.mendeley.com/documents/?uuid=42bdc689-ae12-4106-a601-47975d6b7d08"]}],"mendeley":{"formattedCitation":"[442], [443]","plainTextFormattedCitation":"[442], [443]","previouslyFormattedCitation":"[442], [443]"},"properties":{"noteIndex":0},"schema":"https://github.com/citation-style-language/schema/raw/master/csl-citation.json"}</w:instrText>
      </w:r>
      <w:r>
        <w:fldChar w:fldCharType="separate"/>
      </w:r>
      <w:r w:rsidR="008B6E91" w:rsidRPr="008B6E91">
        <w:rPr>
          <w:noProof/>
        </w:rPr>
        <w:t>[442], [443]</w:t>
      </w:r>
      <w:r>
        <w:fldChar w:fldCharType="end"/>
      </w:r>
    </w:p>
    <w:p w14:paraId="70C368A8" w14:textId="48BC7194" w:rsidR="00007F6C" w:rsidRDefault="00007F6C" w:rsidP="00007F6C">
      <w:pPr>
        <w:pStyle w:val="ListParagraph"/>
        <w:numPr>
          <w:ilvl w:val="0"/>
          <w:numId w:val="31"/>
        </w:numPr>
        <w:jc w:val="both"/>
      </w:pPr>
      <w:r>
        <w:t xml:space="preserve">Increased mobility, diffusion, and evaporation of the current collector under elevated temperatures and reductive atmospheres </w:t>
      </w:r>
      <w:r>
        <w:fldChar w:fldCharType="begin" w:fldLock="1"/>
      </w:r>
      <w:r w:rsidR="00151775">
        <w:instrText>ADDIN CSL_CITATION {"citationItems":[{"id":"ITEM-1","itemData":{"DOI":"10.1016/S0167-2738(99)00254-4","ISSN":"01672738","abstract":"The effects of various current collectors on the electrochemical property measurements of a Ni-YSZ cermet have been investigated. Electrochemical characteristics were determined by impedance spectroscopy (IS) at open-circuit voltage in H2-H2O atmosphere at 800 °C using a symmetrical cell. We selected various current collectors made of gold, platinum and nickel and with two different structures, paste and mesh. When using paste, the electrochemical response, recorded with the same Ni-YSZ cermet sample, depends greatly on the nature of the current collector. Polarization resistance values follow the order: Ni&lt;Pt&lt;Au. This is the same order as reported in the literature for the hydrogen electrochemical oxidation activities of these metals. This demonstrates that paste current collectors interfere with the electrochemical properties of the anode material. Therefore, in order to compare the electrochemical activities of various anode materials, the same current collector has to be used. We have also observed that the polarization resistance increases with time, due to metal particle diffusion through the Ni-YSZ cermet. When using a nickel mesh, the electrochemical properties do not vary with time. Moreover, the structure of this current collector is most similar to the interconnect materials, which are the current collectors in planar SOFCs. It is, therefore, the best current collector for the study of the electrochemical properties of Ni-YSZ cermet.","author":[{"dropping-particle":"","family":"Guillodo","given":"M.","non-dropping-particle":"","parse-names":false,"suffix":""},{"dropping-particle":"","family":"Vernoux","given":"P.","non-dropping-particle":"","parse-names":false,"suffix":""},{"dropping-particle":"","family":"Fouletier","given":"J.","non-dropping-particle":"","parse-names":false,"suffix":""}],"container-title":"Solid State Ionics","id":"ITEM-1","issue":"1-2","issued":{"date-parts":[["2000"]]},"page":"99-107","title":"Electrochemical properties of Ni-YSZ cermet in solid oxide fuel cells. Effect of current collecting","type":"article-journal","volume":"127"},"uris":["http://www.mendeley.com/documents/?uuid=1b59ad5f-6e71-4c86-8342-2445f4bf2a8c"]}],"mendeley":{"formattedCitation":"[438]","plainTextFormattedCitation":"[438]","previouslyFormattedCitation":"[438]"},"properties":{"noteIndex":0},"schema":"https://github.com/citation-style-language/schema/raw/master/csl-citation.json"}</w:instrText>
      </w:r>
      <w:r>
        <w:fldChar w:fldCharType="separate"/>
      </w:r>
      <w:r w:rsidR="008B6E91" w:rsidRPr="008B6E91">
        <w:rPr>
          <w:noProof/>
        </w:rPr>
        <w:t>[438]</w:t>
      </w:r>
      <w:r>
        <w:fldChar w:fldCharType="end"/>
      </w:r>
    </w:p>
    <w:p w14:paraId="1392F0BE" w14:textId="77777777" w:rsidR="00007F6C" w:rsidRDefault="00007F6C" w:rsidP="00007F6C">
      <w:pPr>
        <w:jc w:val="both"/>
      </w:pPr>
      <w:r>
        <w:t>The R</w:t>
      </w:r>
      <w:r>
        <w:rPr>
          <w:vertAlign w:val="subscript"/>
        </w:rPr>
        <w:t>P</w:t>
      </w:r>
      <w:r>
        <w:t xml:space="preserve"> data in this study has been normalised with respect to an area of 0.2827 cm</w:t>
      </w:r>
      <w:r>
        <w:rPr>
          <w:vertAlign w:val="superscript"/>
        </w:rPr>
        <w:t>2</w:t>
      </w:r>
      <w:r>
        <w:t>, however in the case of Pt especially this area is highly unlikely to have equated to the actual contact area between the current collector and the mesh.</w:t>
      </w:r>
    </w:p>
    <w:p w14:paraId="072A584F" w14:textId="3D5B6E99" w:rsidR="00007F6C" w:rsidRDefault="00007F6C" w:rsidP="00007F6C">
      <w:pPr>
        <w:jc w:val="both"/>
      </w:pPr>
      <w:r>
        <w:t xml:space="preserve">A reduction in the contact area (and subsequent increase in the interfacial resistance) between the current collector and the electrode has been discussed with respect to the oxygen electrode in numerous studies </w:t>
      </w:r>
      <w:r>
        <w:fldChar w:fldCharType="begin" w:fldLock="1"/>
      </w:r>
      <w:r w:rsidR="00151775">
        <w:instrText xml:space="preserve">ADDIN CSL_CITATION {"citationItems":[{"id":"ITEM-1","itemData":{"DOI":"10.1016/j.actamat.2012.02.041","ISSN":"13596454","abstract":"Microstructural evolution in solid oxide fuel cell (SOFC) cermet anodes has been investigated using X-ray nanotomography along with differential absorption imaging. SOFC anode supports composed of Ni and yttria-stabilized zirconia (YSZ) were subjected to extended operation and selected regions were imaged using a transmission X-ray microscope. X-ray nanotomography provides unique insight into microstructure changes of all three phases (Ni, YSZ, pore) in three spatial dimensions, and its relation to performance degradation. Statistically significant 3D microstructural changes were observed in the anode Ni phase over a range of operational times, including phase size growth and changes in connectivity, interfacial contact area and contiguous triple-phase boundary length. These observations support microstructural evolution correlated to SOFC performance. We find that Ni coarsening is driven by particle curvature as indicated by the dihedral angles between the Ni, YSZ and pore phases, and hypothesize that growth occurs primarily by means of diffusion and particle agglomeration constrained by a pinning mechanism related to the YSZ phase. The decrease in Ni phase size after extended periods of time may be the result of a second process connected to a mobility-induced decrease in the YSZ phase size or non-uniform curvature resulting in a net decrease in Ni phase size. © 2012 Acta Materialia Inc. Published by Elsevier Ltd. All rights reserved.","author":[{"dropping-particle":"","family":"Nelson","given":"George J.","non-dropping-particle":"","parse-names":false,"suffix":""},{"dropping-particle":"","family":"Grew","given":"Kyle N.","non-dropping-particle":"","parse-names":false,"suffix":""},{"dropping-particle":"","family":"Izzo","given":"John R.","non-dropping-particle":"","parse-names":false,"suffix":""},{"dropping-particle":"","family":"Lombardo","given":"Jeffrey J.","non-dropping-particle":"","parse-names":false,"suffix":""},{"dropping-particle":"","family":"Harris","given":"William M.","non-dropping-particle":"","parse-names":false,"suffix":""},{"dropping-particle":"","family":"Faes","given":"Antonin","non-dropping-particle":"","parse-names":false,"suffix":""},{"dropping-particle":"","family":"Hessler-Wyser","given":"Aïcha","non-dropping-particle":"","parse-names":false,"suffix":""},{"dropping-particle":"","family":"Herle","given":"Jan","non-dropping-particle":"Van","parse-names":false,"suffix":""},{"dropping-particle":"","family":"Wang","given":"Steve","non-dropping-particle":"","parse-names":false,"suffix":""},{"dropping-particle":"","family":"Chu","given":"Yong S.","non-dropping-particle":"","parse-names":false,"suffix":""},{"dropping-particle":"V.","family":"Virkar","given":"Anil","non-dropping-particle":"","parse-names":false,"suffix":""},{"dropping-particle":"","family":"Chiu","given":"Wilson K.S.","non-dropping-particle":"","parse-names":false,"suffix":""}],"container-title":"Acta Materialia","id":"ITEM-1","issue":"8","issued":{"date-parts":[["2012"]]},"page":"3491-3500","title":"Three-dimensional microstructural changes in the Ni-YSZ solid oxide fuel cell anode during operation","type":"article-journal","volume":"60"},"uris":["http://www.mendeley.com/documents/?uuid=ebfa979d-5597-4471-8988-d75fadfcfa31"]},{"id":"ITEM-2","itemData":{"DOI":"10.1007/s40243-018-0123-y","ISBN":"0123456789","ISSN":"21941467","abstract":"In this paper, the behaviour of silver as cathode conductive material, interconnect wire, and sealing for anode lead connection for microtubular solid oxide fuel cells (µSOFC) is reported. The changes in silver morphology are examined by scanning electron microscopy on cells that had been operated under reformed methane. It is found that using silver in an solid oxide fuel cell (SOFC) stack can improve the cell performance. However, it is also concluded that silver may be responsible for cell degradation. This report brings together and explains all the known problems with application of silver for SOFCs. The results show that silver is unstable in interconnect and in cathode environments. It is found that the process of cell passivation/activation promotes silver migration. The difference in thermal expansion of silver and sealant results in damage to the glass. It is concluded that when silver is exposed to a dual atmosphere condition, high levels of porosity formation is seen in the dense silver interconnect. The relevance of application of silver in SOFC stacks is discussed.","author":[{"dropping-particle":"","family":"Majewski","given":"Artur J.","non-dropping-particle":"","parse-names":false,"suffix":""},{"dropping-particle":"","family":"Dhir","given":"Aman","non-dropping-particle":"","parse-names":false,"suffix":""}],"container-title":"Materials for Renewable and Sustainable Energy","id":"ITEM-2","issue":"3","issued":{"date-parts":[["2018"]]},"page":"1-13","publisher":"Springer Berlin Heidelberg","title":"Application of silver in microtubular solid oxide fuel cells","type":"article-journal","volume":"7"},"uris":["http://www.mendeley.com/documents/?uuid=79eb06da-638d-45c6-af3a-6f20e4c857b7"]},{"id":"ITEM-3","itemData":{"DOI":"10.1016/j.jpowsour.2004.08.057","ISSN":"03787753","abstract":"The performance of solid oxide fuel cells (SOFCs) is affected by various polarization losses, namely, ohmic polarization, activation polarization and concentration polarization. Under given operating conditions, these polarization losses are largely dependent on cell materials, electrode microstructures, and cell geometric parameters. Solid oxide fuel cells (SOFC) with yttria-stabilized zirconia (YSZ) electrolyte, Ni-YSZ anode support, Ni-YSZ anode interlayer, strontium doped lanthanum manganate (LSM)-YSZ cathode interlayer, and LSM current collector, were fabricated. The effect of various parameters on cell performance was evaluated. The parameters investigated were: (1) YSZ electrolyte thickness, (2) cathode interlayer thickness, (3) anode support thickness, and (4) anode support porosity. Cells were tested over a range of temperatures between 600 and 800 °C with hydrogen as fuel, and air as oxidant. Ohmic contribution was determined using the current interruption technique. The effect of these cell parameters on ohmic polarization and on cell performance was experimentally measured. Dependence of cell performance on various parameters was rationalized on the basis of a simple analytical model. Based on the results of the cell parameter study, a cell with optimized parameters was fabricated and tested. The corresponding maximum power density at 800 °C was </w:instrText>
      </w:r>
      <w:r w:rsidR="00151775">
        <w:rPr>
          <w:rFonts w:ascii="Cambria Math" w:hAnsi="Cambria Math" w:cs="Cambria Math"/>
        </w:rPr>
        <w:instrText>∼</w:instrText>
      </w:r>
      <w:r w:rsidR="00151775">
        <w:instrText xml:space="preserve">1.8 W cm-2. </w:instrText>
      </w:r>
      <w:r w:rsidR="00151775">
        <w:rPr>
          <w:rFonts w:ascii="Calibri" w:hAnsi="Calibri" w:cs="Calibri"/>
        </w:rPr>
        <w:instrText>©</w:instrText>
      </w:r>
      <w:r w:rsidR="00151775">
        <w:instrText xml:space="preserve"> 2004 Elsevier B.V. All rights reserved.","author":[{"dropping-particle":"","family":"Zhao","given":"Feng","non-dropping-particle":"","parse-names":false,"suffix":""},{"dropping-particle":"V.","family":"Virkar","given":"Anil","non-dropping-particle":"","parse-names":false,"suffix":""}],"container-title":"Journal of Power Sources","id":"ITEM-3","issue":"1","issued":{"date-parts":[["2005"]]},"page":"79-95","title":"Dependence of polarization in anode-supported solid oxide fuel cells on various cell parameters","type":"article-journal","volume":"141"},"uris":["http://www.mendeley.com/documents/?uuid=da793f30-2603-466f-822b-6d2d4c37647f"]},{"id":"ITEM-4","itemData":{"DOI":"10.1149/2.010301eel","ISSN":"21628726","abstract":"The true functionality of a current collector employed in electrochemical cells is to ensure a low-resistance steady electrons flow between the cell and instrumentation without involving in any local electrochemical reactions of the electrode. In this study, we investigated the effect of curing temperature of a common current collector, silver, on the polarization area specific resistance (ASR) of a cathode. The results explicitly showed that at least one order of magnitude lower ASR for a cathode with Ag cured at 800C than that cured at 650C of the same cathode configuration. Microscopic analysis of the 800C-cured cells revealed a deep penetration and abundant distribution of Ag into the cathode/electrolyte interfacial region. These finely dispersed and highly conductive Ag particles/agglomerates areORR(oxygen reduction reaction)-active, thus engaging in the local electrochemical reaction and overshadowing the true properties of the cathode under investigation. Based on these results, we call for caution when using Ag as a current collector for electrochemical measurements, particularly at a temperature 650C. © 2012 The Electrochemical Society.","author":[{"dropping-particle":"","family":"Gong","given":"Yunhui","non-dropping-particle":"","parse-names":false,"suffix":""},{"dropping-particle":"","family":"Qin","given":"Changyong","non-dropping-particle":"","parse-names":false,"suffix":""},{"dropping-particle":"","family":"Huang","given":"Kevin","non-dropping-particle":"","parse-names":false,"suffix":""}],"container-title":"ECS Electrochemistry Letters","id":"ITEM-4","issue":"1","issued":{"date-parts":[["2013"]]},"page":"4-7","title":"Can silver be a reliable current collector for electrochemical tests","type":"article-journal","volume":"2"},"uris":["http://www.mendeley.com/documents/?uuid=4f1a812e-2e83-4aa9-a258-2b5439f77fe0"]},{"id":"ITEM-5","itemData":{"DOI":"10.1149/1.1995687","ISSN":"00134651","abstract":"This investigation details relatively short-term (500 h) performance\\ncharacteristics (in particular cathode conditioning and degradation)\\nof anode-supported SOFCs utilizing La(Sr)FeO3 cathodes with platinum,\\nsilver, or gold current collectors. Conditioning or degradation characteristics\\nwere found to be highly dependant on the current collector used.\\nAn additional area of study considered transient cell behavior following\\nrest periods at open-circuit voltage (OCV, zero current). Three types\\nof behavior were observed; (i) decreased performance after OCV hold,\\n(ii) increased performance after OCV hold, and (iii) no discernible\\nchange. The type of transient behavior was found to be dependent\\non the noble metal current collector utilized and the time at which\\nthe transient behavior was assessed. Longer testing times indicated\\nmore pronounced transient characteristics. (c) 2005 The Electrochemical\\nSociety.","author":[{"dropping-particle":"","family":"Simner","given":"S. P.","non-dropping-particle":"","parse-names":false,"suffix":""},{"dropping-particle":"","family":"Anderson","given":"M. D.","non-dropping-particle":"","parse-names":false,"suffix":""},{"dropping-particle":"","family":"Pederson","given":"L. R.","non-dropping-particle":"","parse-names":false,"suffix":""},{"dropping-particle":"","family":"Stevenson","given":"J. W.","non-dropping-particle":"","parse-names":false,"suffix":""}],"container-title":"Journal of The Electrochemical Society","id":"ITEM-5","issue":"9","issued":{"date-parts":[["2005"]]},"page":"A1851","title":"Performance Variability of La(Sr)FeO[sub 3] SOFC Cathode with Pt, Ag, and Au Current Collectors","type":"article-journal","volume":"152"},"uris":["http://www.mendeley.com/documents/?uuid=9e2e6708-299f-41c8-a608-26f87ebe3831"]}],"mendeley":{"formattedCitation":"[95], [434], [441], [442], [446]","plainTextFormattedCitation":"[95], [434], [441], [442], [446]","previouslyFormattedCitation":"[95], [434], [441], [442], [446]"},"properties":{"noteIndex":0},"schema":"https://github.com/citation-style-language/schema/raw/master/csl-citation.json"}</w:instrText>
      </w:r>
      <w:r>
        <w:fldChar w:fldCharType="separate"/>
      </w:r>
      <w:r w:rsidR="008B6E91" w:rsidRPr="008B6E91">
        <w:rPr>
          <w:noProof/>
        </w:rPr>
        <w:t>[95], [434], [441], [442], [446]</w:t>
      </w:r>
      <w:r>
        <w:fldChar w:fldCharType="end"/>
      </w:r>
      <w:r>
        <w:t xml:space="preserve">. In spite of the fact the current collector materials have delaminated from the electrode in </w:t>
      </w:r>
      <w:r>
        <w:fldChar w:fldCharType="begin"/>
      </w:r>
      <w:r>
        <w:instrText xml:space="preserve"> REF _Ref51229610 \h  \* MERGEFORMAT </w:instrText>
      </w:r>
      <w:r>
        <w:fldChar w:fldCharType="separate"/>
      </w:r>
      <w:r w:rsidR="00CF5761">
        <w:t>Figure 5.</w:t>
      </w:r>
      <w:r>
        <w:fldChar w:fldCharType="end"/>
      </w:r>
      <w:r w:rsidR="00CF5761">
        <w:t>1</w:t>
      </w:r>
      <w:r>
        <w:t xml:space="preserve"> and </w:t>
      </w:r>
      <w:r>
        <w:fldChar w:fldCharType="begin"/>
      </w:r>
      <w:r>
        <w:instrText xml:space="preserve"> REF _Ref51229513 \h  \* MERGEFORMAT </w:instrText>
      </w:r>
      <w:r>
        <w:fldChar w:fldCharType="separate"/>
      </w:r>
      <w:r>
        <w:t>Table 5.1</w:t>
      </w:r>
      <w:r>
        <w:fldChar w:fldCharType="end"/>
      </w:r>
      <w:r>
        <w:t xml:space="preserve">, hydrogen embrittlement is not thought to be a mechanism of degradation in the precious metal current collectors </w:t>
      </w:r>
      <w:r>
        <w:fldChar w:fldCharType="begin" w:fldLock="1"/>
      </w:r>
      <w:r w:rsidR="00151775">
        <w:instrText>ADDIN CSL_CITATION {"citationItems":[{"id":"ITEM-1","itemData":{"abstract":"One typically thinks of corrosion as electrochemical reactions that destroy metal surfaces through oxidation. Hydrogen corrosion works through mechanisms in which metals are weakened internally. Due to its relatively small size, hydrogen is able to penetrate into metals and affect properties such as strength and ductility. This occurs through embrittlement, blistering, precipitation, hydride formation, and reaction with embedded carbon. This paper describes the sources of hydrogen corrosion, the details the mechanisms of corrosion and methods used prevention.","author":[{"dropping-particle":"","family":"Avery","given":"Matthew","non-dropping-particle":"","parse-names":false,"suffix":""},{"dropping-particle":"","family":"Chui","given":"Benjamin","non-dropping-particle":"","parse-names":false,"suffix":""},{"dropping-particle":"","family":"Kariya","given":"Y Gordon","non-dropping-particle":"","parse-names":false,"suffix":""},{"dropping-particle":"","family":"Larson","given":"Kenneth","non-dropping-particle":"","parse-names":false,"suffix":""}],"container-title":"Materials Science","id":"ITEM-1","issued":{"date-parts":[["2001"]]},"page":"1-8","title":"Hydrogen Induced Corrosion","type":"article-journal","volume":"112"},"uris":["http://www.mendeley.com/documents/?uuid=7adb481b-aad7-4dfd-b8b9-f0c5a3437840"]}],"mendeley":{"formattedCitation":"[447]","plainTextFormattedCitation":"[447]","previouslyFormattedCitation":"[447]"},"properties":{"noteIndex":0},"schema":"https://github.com/citation-style-language/schema/raw/master/csl-citation.json"}</w:instrText>
      </w:r>
      <w:r>
        <w:fldChar w:fldCharType="separate"/>
      </w:r>
      <w:r w:rsidR="008B6E91" w:rsidRPr="008B6E91">
        <w:rPr>
          <w:noProof/>
        </w:rPr>
        <w:t>[447]</w:t>
      </w:r>
      <w:r>
        <w:fldChar w:fldCharType="end"/>
      </w:r>
      <w:r>
        <w:t xml:space="preserve">. </w:t>
      </w:r>
    </w:p>
    <w:p w14:paraId="207A8380" w14:textId="77777777" w:rsidR="00007F6C" w:rsidRDefault="00007F6C" w:rsidP="00007F6C">
      <w:pPr>
        <w:pStyle w:val="Heading3"/>
        <w:jc w:val="both"/>
      </w:pPr>
      <w:bookmarkStart w:id="445" w:name="_Toc69129434"/>
      <w:r>
        <w:t>5.3.2</w:t>
      </w:r>
      <w:r>
        <w:tab/>
        <w:t xml:space="preserve">Electrochemical performance using electrical impedance </w:t>
      </w:r>
      <w:proofErr w:type="gramStart"/>
      <w:r>
        <w:t>spectroscopy</w:t>
      </w:r>
      <w:bookmarkEnd w:id="445"/>
      <w:proofErr w:type="gramEnd"/>
    </w:p>
    <w:p w14:paraId="4F3BEC92" w14:textId="4335C1D6" w:rsidR="00903E7F" w:rsidRDefault="00007F6C" w:rsidP="00007F6C">
      <w:pPr>
        <w:jc w:val="both"/>
      </w:pPr>
      <w:r w:rsidRPr="00D01879">
        <w:t xml:space="preserve">EIS </w:t>
      </w:r>
      <w:r>
        <w:t>was</w:t>
      </w:r>
      <w:r w:rsidRPr="00D01879">
        <w:t xml:space="preserve"> the primary characterisation technique utilised in this study. The changes in the charge transfers resistance to polarisation (R</w:t>
      </w:r>
      <w:r w:rsidRPr="00D01879">
        <w:rPr>
          <w:vertAlign w:val="subscript"/>
        </w:rPr>
        <w:t>P</w:t>
      </w:r>
      <w:r w:rsidRPr="00D01879">
        <w:t>) have been tracked with a view to illustrating the impact of the different current collector materials on this parameter.</w:t>
      </w:r>
      <w:r>
        <w:t xml:space="preserve"> The series and polarisation resistance over 50h of ageing time can be seen in </w:t>
      </w:r>
      <w:r>
        <w:fldChar w:fldCharType="begin"/>
      </w:r>
      <w:r>
        <w:instrText xml:space="preserve"> REF _Ref42765905 \h  \* MERGEFORMAT </w:instrText>
      </w:r>
      <w:r>
        <w:fldChar w:fldCharType="separate"/>
      </w:r>
      <w:r>
        <w:t xml:space="preserve">Figure </w:t>
      </w:r>
      <w:r>
        <w:rPr>
          <w:noProof/>
        </w:rPr>
        <w:t>5.2</w:t>
      </w:r>
      <w:r>
        <w:fldChar w:fldCharType="end"/>
      </w:r>
      <w:r>
        <w:t xml:space="preserve"> and </w:t>
      </w:r>
      <w:r>
        <w:fldChar w:fldCharType="begin"/>
      </w:r>
      <w:r>
        <w:instrText xml:space="preserve"> REF _Ref42765908 \h  \* MERGEFORMAT </w:instrText>
      </w:r>
      <w:r>
        <w:fldChar w:fldCharType="separate"/>
      </w:r>
      <w:r>
        <w:t xml:space="preserve">Figure </w:t>
      </w:r>
      <w:r>
        <w:rPr>
          <w:noProof/>
        </w:rPr>
        <w:t>5.3</w:t>
      </w:r>
      <w:r>
        <w:fldChar w:fldCharType="end"/>
      </w:r>
      <w:r w:rsidR="00903E7F">
        <w:t>.</w:t>
      </w:r>
    </w:p>
    <w:p w14:paraId="48EF8065" w14:textId="77777777" w:rsidR="00903E7F" w:rsidRDefault="00903E7F" w:rsidP="00903E7F">
      <w:pPr>
        <w:jc w:val="both"/>
      </w:pPr>
      <w:r>
        <w:t>The two characteristics of the two resistances show very different morphologies. For the series resistance, the degradation rate appears to be reaching a plateau at 40h (</w:t>
      </w:r>
      <w:r>
        <w:fldChar w:fldCharType="begin"/>
      </w:r>
      <w:r>
        <w:instrText xml:space="preserve"> REF _Ref42765905 \h  \* MERGEFORMAT </w:instrText>
      </w:r>
      <w:r>
        <w:fldChar w:fldCharType="separate"/>
      </w:r>
      <w:r>
        <w:t xml:space="preserve">Figure </w:t>
      </w:r>
      <w:r>
        <w:rPr>
          <w:noProof/>
        </w:rPr>
        <w:t>5.2</w:t>
      </w:r>
      <w:r>
        <w:fldChar w:fldCharType="end"/>
      </w:r>
      <w:r>
        <w:t>).  This stability is a result of this resistance stemming from the electrolyte material, yttria-stabilised zirconia (YSZ). The major conduction route for this material is oxide (</w:t>
      </w:r>
      <w:r w:rsidRPr="00F129A8">
        <w:t>O</w:t>
      </w:r>
      <w:r>
        <w:rPr>
          <w:vertAlign w:val="superscript"/>
        </w:rPr>
        <w:t>2-</w:t>
      </w:r>
      <w:r>
        <w:t>) oxide ion conduction. As the samples all utilised YSZ as their electrolyte material the series resistance, R</w:t>
      </w:r>
      <w:r>
        <w:rPr>
          <w:vertAlign w:val="subscript"/>
        </w:rPr>
        <w:t>S</w:t>
      </w:r>
      <w:r>
        <w:t xml:space="preserve"> for all the samples should be similar. In this case the R</w:t>
      </w:r>
      <w:r w:rsidRPr="00F129A8">
        <w:rPr>
          <w:vertAlign w:val="subscript"/>
        </w:rPr>
        <w:t>S</w:t>
      </w:r>
      <w:r>
        <w:t xml:space="preserve"> results are all in the same order of magnitude. </w:t>
      </w:r>
    </w:p>
    <w:p w14:paraId="306A88A6" w14:textId="77777777" w:rsidR="00903E7F" w:rsidRDefault="00903E7F" w:rsidP="00903E7F">
      <w:pPr>
        <w:jc w:val="both"/>
      </w:pPr>
      <w:r>
        <w:t>The polarisation resistance, R</w:t>
      </w:r>
      <w:r>
        <w:rPr>
          <w:vertAlign w:val="subscript"/>
        </w:rPr>
        <w:t>P</w:t>
      </w:r>
      <w:r>
        <w:t xml:space="preserve"> results for the Ni-YSZ fuel electrode samples contrast the R</w:t>
      </w:r>
      <w:r>
        <w:rPr>
          <w:vertAlign w:val="subscript"/>
        </w:rPr>
        <w:t>S</w:t>
      </w:r>
      <w:r>
        <w:t>, with multiple mechanisms evident from the shape of the ageing profiles. It was expected that the Rp would increase over ageing time, however in the case of Au and Ni the R</w:t>
      </w:r>
      <w:r>
        <w:rPr>
          <w:vertAlign w:val="subscript"/>
        </w:rPr>
        <w:t>P</w:t>
      </w:r>
      <w:r>
        <w:t xml:space="preserve"> dropped significantly after 10h of ageing. </w:t>
      </w:r>
    </w:p>
    <w:p w14:paraId="17137ED3" w14:textId="1827D7E4" w:rsidR="00007F6C" w:rsidRDefault="00007F6C" w:rsidP="00007F6C">
      <w:pPr>
        <w:jc w:val="both"/>
      </w:pPr>
    </w:p>
    <w:p w14:paraId="61F51667" w14:textId="37DE026E" w:rsidR="00007F6C" w:rsidRDefault="00FC08BE" w:rsidP="00007F6C">
      <w:pPr>
        <w:keepNext/>
        <w:jc w:val="center"/>
      </w:pPr>
      <w:r w:rsidRPr="00FC08BE">
        <w:rPr>
          <w:noProof/>
        </w:rPr>
        <w:lastRenderedPageBreak/>
        <w:drawing>
          <wp:inline distT="0" distB="0" distL="0" distR="0" wp14:anchorId="401A8930" wp14:editId="5E156DA7">
            <wp:extent cx="3960000" cy="331966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0">
                      <a:extLst>
                        <a:ext uri="{28A0092B-C50C-407E-A947-70E740481C1C}">
                          <a14:useLocalDpi xmlns:a14="http://schemas.microsoft.com/office/drawing/2010/main" val="0"/>
                        </a:ext>
                      </a:extLst>
                    </a:blip>
                    <a:srcRect l="9211" t="9914" r="13487" b="5172"/>
                    <a:stretch/>
                  </pic:blipFill>
                  <pic:spPr bwMode="auto">
                    <a:xfrm>
                      <a:off x="0" y="0"/>
                      <a:ext cx="3960000" cy="3319660"/>
                    </a:xfrm>
                    <a:prstGeom prst="rect">
                      <a:avLst/>
                    </a:prstGeom>
                    <a:noFill/>
                    <a:ln>
                      <a:noFill/>
                    </a:ln>
                    <a:extLst>
                      <a:ext uri="{53640926-AAD7-44D8-BBD7-CCE9431645EC}">
                        <a14:shadowObscured xmlns:a14="http://schemas.microsoft.com/office/drawing/2010/main"/>
                      </a:ext>
                    </a:extLst>
                  </pic:spPr>
                </pic:pic>
              </a:graphicData>
            </a:graphic>
          </wp:inline>
        </w:drawing>
      </w:r>
    </w:p>
    <w:p w14:paraId="12695EA3" w14:textId="31C18F7F" w:rsidR="00007F6C" w:rsidRDefault="00007F6C" w:rsidP="00007F6C">
      <w:pPr>
        <w:pStyle w:val="Caption"/>
      </w:pPr>
      <w:bookmarkStart w:id="446" w:name="_Ref42765905"/>
      <w:bookmarkStart w:id="447" w:name="_Toc69115017"/>
      <w:r>
        <w:t>Figure 5.</w:t>
      </w:r>
      <w:r w:rsidR="00B51F53">
        <w:fldChar w:fldCharType="begin"/>
      </w:r>
      <w:r w:rsidR="00B51F53">
        <w:instrText xml:space="preserve"> SEQ Figure \* ARABIC </w:instrText>
      </w:r>
      <w:r w:rsidR="00B51F53">
        <w:fldChar w:fldCharType="separate"/>
      </w:r>
      <w:r w:rsidR="00CF5761">
        <w:rPr>
          <w:noProof/>
        </w:rPr>
        <w:t>2</w:t>
      </w:r>
      <w:r w:rsidR="00B51F53">
        <w:rPr>
          <w:noProof/>
        </w:rPr>
        <w:fldChar w:fldCharType="end"/>
      </w:r>
      <w:bookmarkEnd w:id="446"/>
      <w:r>
        <w:t>: Series resistance vs. ageing time for 50h of ageing at 800</w:t>
      </w:r>
      <w:r>
        <w:rPr>
          <w:rFonts w:cstheme="minorHAnsi"/>
        </w:rPr>
        <w:t>⁰</w:t>
      </w:r>
      <w:r>
        <w:t>C in a 10%H</w:t>
      </w:r>
      <w:r>
        <w:rPr>
          <w:vertAlign w:val="subscript"/>
        </w:rPr>
        <w:t>2</w:t>
      </w:r>
      <w:r>
        <w:t>/N</w:t>
      </w:r>
      <w:r>
        <w:rPr>
          <w:vertAlign w:val="subscript"/>
        </w:rPr>
        <w:t>2</w:t>
      </w:r>
      <w:r>
        <w:t xml:space="preserve"> atmosphere</w:t>
      </w:r>
      <w:bookmarkEnd w:id="447"/>
      <w:r w:rsidR="00FC08BE">
        <w:t xml:space="preserve">. The blue, red, purple and green markers indicate platinum, silver, gold and nickel </w:t>
      </w:r>
      <w:proofErr w:type="gramStart"/>
      <w:r w:rsidR="00FC08BE">
        <w:t>respectively</w:t>
      </w:r>
      <w:proofErr w:type="gramEnd"/>
    </w:p>
    <w:p w14:paraId="6F60584C" w14:textId="77777777" w:rsidR="00007F6C" w:rsidRPr="00F129A8" w:rsidRDefault="00007F6C" w:rsidP="00007F6C">
      <w:pPr>
        <w:jc w:val="center"/>
      </w:pPr>
    </w:p>
    <w:p w14:paraId="5E284794" w14:textId="4D105D09" w:rsidR="00007F6C" w:rsidRDefault="00FC08BE" w:rsidP="00007F6C">
      <w:pPr>
        <w:keepNext/>
        <w:jc w:val="center"/>
      </w:pPr>
      <w:r w:rsidRPr="00FC08BE">
        <w:rPr>
          <w:noProof/>
        </w:rPr>
        <w:drawing>
          <wp:inline distT="0" distB="0" distL="0" distR="0" wp14:anchorId="39690147" wp14:editId="31CDA38B">
            <wp:extent cx="3960000" cy="328613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31">
                      <a:extLst>
                        <a:ext uri="{28A0092B-C50C-407E-A947-70E740481C1C}">
                          <a14:useLocalDpi xmlns:a14="http://schemas.microsoft.com/office/drawing/2010/main" val="0"/>
                        </a:ext>
                      </a:extLst>
                    </a:blip>
                    <a:srcRect l="7895" t="9698" r="13816" b="5173"/>
                    <a:stretch/>
                  </pic:blipFill>
                  <pic:spPr bwMode="auto">
                    <a:xfrm>
                      <a:off x="0" y="0"/>
                      <a:ext cx="3960000" cy="3286135"/>
                    </a:xfrm>
                    <a:prstGeom prst="rect">
                      <a:avLst/>
                    </a:prstGeom>
                    <a:noFill/>
                    <a:ln>
                      <a:noFill/>
                    </a:ln>
                    <a:extLst>
                      <a:ext uri="{53640926-AAD7-44D8-BBD7-CCE9431645EC}">
                        <a14:shadowObscured xmlns:a14="http://schemas.microsoft.com/office/drawing/2010/main"/>
                      </a:ext>
                    </a:extLst>
                  </pic:spPr>
                </pic:pic>
              </a:graphicData>
            </a:graphic>
          </wp:inline>
        </w:drawing>
      </w:r>
    </w:p>
    <w:p w14:paraId="654EC74E" w14:textId="77777777" w:rsidR="00FC08BE" w:rsidRDefault="00007F6C" w:rsidP="00FC08BE">
      <w:pPr>
        <w:pStyle w:val="Caption"/>
      </w:pPr>
      <w:bookmarkStart w:id="448" w:name="_Ref42765908"/>
      <w:bookmarkStart w:id="449" w:name="_Toc69115018"/>
      <w:r>
        <w:t>Figure 5.</w:t>
      </w:r>
      <w:r w:rsidR="00B51F53">
        <w:fldChar w:fldCharType="begin"/>
      </w:r>
      <w:r w:rsidR="00B51F53">
        <w:instrText xml:space="preserve"> SEQ Figure \* ARABIC </w:instrText>
      </w:r>
      <w:r w:rsidR="00B51F53">
        <w:fldChar w:fldCharType="separate"/>
      </w:r>
      <w:r w:rsidR="00CF5761">
        <w:rPr>
          <w:noProof/>
        </w:rPr>
        <w:t>3</w:t>
      </w:r>
      <w:r w:rsidR="00B51F53">
        <w:rPr>
          <w:noProof/>
        </w:rPr>
        <w:fldChar w:fldCharType="end"/>
      </w:r>
      <w:bookmarkEnd w:id="448"/>
      <w:r>
        <w:t>: Polarisation resistance vs. ageing time for 50h of ageing at 800</w:t>
      </w:r>
      <w:r>
        <w:rPr>
          <w:rFonts w:cstheme="minorHAnsi"/>
        </w:rPr>
        <w:t>⁰</w:t>
      </w:r>
      <w:r>
        <w:t>C in a 10%H</w:t>
      </w:r>
      <w:r>
        <w:rPr>
          <w:vertAlign w:val="subscript"/>
        </w:rPr>
        <w:t>2</w:t>
      </w:r>
      <w:r>
        <w:t>/N</w:t>
      </w:r>
      <w:r>
        <w:rPr>
          <w:vertAlign w:val="subscript"/>
        </w:rPr>
        <w:t>2</w:t>
      </w:r>
      <w:r>
        <w:t xml:space="preserve"> atmosphere</w:t>
      </w:r>
      <w:bookmarkEnd w:id="449"/>
      <w:r w:rsidR="00FC08BE">
        <w:t xml:space="preserve">. The blue, red, purple and green markers indicate platinum, silver, gold and nickel </w:t>
      </w:r>
      <w:proofErr w:type="gramStart"/>
      <w:r w:rsidR="00FC08BE">
        <w:t>respectively</w:t>
      </w:r>
      <w:proofErr w:type="gramEnd"/>
    </w:p>
    <w:p w14:paraId="4A4EEF3A" w14:textId="1A40F699" w:rsidR="00007F6C" w:rsidRDefault="00007F6C" w:rsidP="00007F6C">
      <w:pPr>
        <w:pStyle w:val="Caption"/>
      </w:pPr>
    </w:p>
    <w:p w14:paraId="4B920764" w14:textId="7675F2AB" w:rsidR="00903E7F" w:rsidRDefault="00903E7F" w:rsidP="00903E7F">
      <w:pPr>
        <w:jc w:val="both"/>
      </w:pPr>
      <w:r>
        <w:t xml:space="preserve">The Nyquist plots of the symmetrical infiltrated Ni-YSZ cell samples were plotted in </w:t>
      </w:r>
      <w:proofErr w:type="spellStart"/>
      <w:r>
        <w:t>OriginPro</w:t>
      </w:r>
      <w:proofErr w:type="spellEnd"/>
      <w:r>
        <w:t xml:space="preserve"> 2020. The series resistance was not subtracted from the data. The Nyquist plots for each sample were plotted in 5 h increments. The initial impedance arc for all the samples is denoted by a black square and the </w:t>
      </w:r>
      <w:proofErr w:type="gramStart"/>
      <w:r>
        <w:t>50 h</w:t>
      </w:r>
      <w:proofErr w:type="gramEnd"/>
      <w:r>
        <w:t xml:space="preserve"> ageing by the red pentagon series</w:t>
      </w:r>
      <w:r w:rsidR="00FC08BE">
        <w:t xml:space="preserve"> (</w:t>
      </w:r>
      <w:r w:rsidR="00FC08BE">
        <w:fldChar w:fldCharType="begin"/>
      </w:r>
      <w:r w:rsidR="00FC08BE">
        <w:instrText xml:space="preserve"> REF _Ref45020457 \h </w:instrText>
      </w:r>
      <w:r w:rsidR="00FC08BE">
        <w:fldChar w:fldCharType="separate"/>
      </w:r>
      <w:r w:rsidR="00FC08BE">
        <w:t>Figure 5.</w:t>
      </w:r>
      <w:r w:rsidR="00FC08BE">
        <w:rPr>
          <w:noProof/>
        </w:rPr>
        <w:t>5</w:t>
      </w:r>
      <w:r w:rsidR="00FC08BE">
        <w:fldChar w:fldCharType="end"/>
      </w:r>
      <w:r w:rsidR="00FC08BE">
        <w:t>-</w:t>
      </w:r>
      <w:r w:rsidR="00FC08BE">
        <w:fldChar w:fldCharType="begin"/>
      </w:r>
      <w:r w:rsidR="00FC08BE">
        <w:instrText xml:space="preserve"> REF _Ref45020476 \h </w:instrText>
      </w:r>
      <w:r w:rsidR="00FC08BE">
        <w:fldChar w:fldCharType="separate"/>
      </w:r>
      <w:r w:rsidR="00FC08BE">
        <w:t>Figure 5.</w:t>
      </w:r>
      <w:r w:rsidR="00FC08BE">
        <w:rPr>
          <w:noProof/>
        </w:rPr>
        <w:t>7</w:t>
      </w:r>
      <w:r w:rsidR="00FC08BE">
        <w:fldChar w:fldCharType="end"/>
      </w:r>
      <w:r w:rsidR="00FC08BE">
        <w:t>)</w:t>
      </w:r>
      <w:r>
        <w:t xml:space="preserve">. </w:t>
      </w:r>
    </w:p>
    <w:p w14:paraId="513C6494" w14:textId="77777777" w:rsidR="00007F6C" w:rsidRDefault="00007F6C" w:rsidP="00007F6C">
      <w:pPr>
        <w:pStyle w:val="Caption"/>
        <w:jc w:val="both"/>
        <w:rPr>
          <w:color w:val="FFC000"/>
        </w:rPr>
      </w:pPr>
    </w:p>
    <w:p w14:paraId="10214463" w14:textId="77777777" w:rsidR="00007F6C" w:rsidRDefault="00007F6C" w:rsidP="00007F6C">
      <w:pPr>
        <w:pStyle w:val="Heading4"/>
        <w:jc w:val="both"/>
      </w:pPr>
      <w:r>
        <w:lastRenderedPageBreak/>
        <w:t>5.3.2.1</w:t>
      </w:r>
      <w:r>
        <w:tab/>
        <w:t>Silver/Ag</w:t>
      </w:r>
    </w:p>
    <w:p w14:paraId="674951BE" w14:textId="77777777" w:rsidR="00007F6C" w:rsidRDefault="00007F6C" w:rsidP="00007F6C">
      <w:pPr>
        <w:jc w:val="both"/>
      </w:pPr>
      <w:r>
        <w:t>For two-thirds of the Ag//Ni-YSZ samples the series resistance displays a brief (10 h) rise followed by a plateau in the posterior hours (</w:t>
      </w:r>
      <w:r>
        <w:fldChar w:fldCharType="begin"/>
      </w:r>
      <w:r>
        <w:instrText xml:space="preserve"> REF _Ref45013280 \h  \* MERGEFORMAT </w:instrText>
      </w:r>
      <w:r>
        <w:fldChar w:fldCharType="separate"/>
      </w:r>
      <w:r>
        <w:t xml:space="preserve">Figure </w:t>
      </w:r>
      <w:r>
        <w:rPr>
          <w:noProof/>
        </w:rPr>
        <w:t>5.4</w:t>
      </w:r>
      <w:r>
        <w:fldChar w:fldCharType="end"/>
      </w:r>
      <w:r>
        <w:t>). Despite the formation of this stage the polarisation resistance continues to rise indicating that the electrode degradation mechanisms dominate the anode specific resistance for these samples. The R</w:t>
      </w:r>
      <w:r>
        <w:rPr>
          <w:vertAlign w:val="subscript"/>
        </w:rPr>
        <w:t>P</w:t>
      </w:r>
      <w:r>
        <w:t xml:space="preserve"> vs ageing time plots show a large degree of variation between the three sample regardless of the fact they are from the same batch.</w:t>
      </w:r>
    </w:p>
    <w:p w14:paraId="02D1E6AE" w14:textId="68E56B8D" w:rsidR="00007F6C" w:rsidRPr="0024437A" w:rsidRDefault="00007F6C" w:rsidP="00007F6C">
      <w:pPr>
        <w:jc w:val="both"/>
      </w:pPr>
      <w:r>
        <w:t xml:space="preserve">The Ni-YSZ symmetrical cells samples coated in the silver current collector are listed in </w:t>
      </w:r>
      <w:r>
        <w:fldChar w:fldCharType="begin"/>
      </w:r>
      <w:r>
        <w:instrText xml:space="preserve"> REF _Ref42765905 \h  \* MERGEFORMAT </w:instrText>
      </w:r>
      <w:r>
        <w:fldChar w:fldCharType="separate"/>
      </w:r>
      <w:r w:rsidR="00903E7F">
        <w:t xml:space="preserve">Figure </w:t>
      </w:r>
      <w:r w:rsidR="00903E7F">
        <w:rPr>
          <w:noProof/>
        </w:rPr>
        <w:t>5.2</w:t>
      </w:r>
      <w:r>
        <w:fldChar w:fldCharType="end"/>
      </w:r>
      <w:r>
        <w:t xml:space="preserve"> and </w:t>
      </w:r>
      <w:r>
        <w:fldChar w:fldCharType="begin"/>
      </w:r>
      <w:r>
        <w:instrText xml:space="preserve"> REF _Ref42765908 \h  \* MERGEFORMAT </w:instrText>
      </w:r>
      <w:r>
        <w:fldChar w:fldCharType="separate"/>
      </w:r>
      <w:r w:rsidR="00903E7F">
        <w:t xml:space="preserve">Figure </w:t>
      </w:r>
      <w:r w:rsidR="00903E7F">
        <w:rPr>
          <w:noProof/>
        </w:rPr>
        <w:t>5.3</w:t>
      </w:r>
      <w:r>
        <w:fldChar w:fldCharType="end"/>
      </w:r>
      <w:r>
        <w:t xml:space="preserve"> as Ag1-Ag3. The magnitude of the polarisation resistance for the initial impedance arc for all three samples ranged from 6.16 - 9.03 </w:t>
      </w:r>
      <w:r>
        <w:rPr>
          <w:rFonts w:cstheme="minorHAnsi"/>
        </w:rPr>
        <w:t>Ω</w:t>
      </w:r>
      <w:r>
        <w:t>cm</w:t>
      </w:r>
      <w:r>
        <w:rPr>
          <w:vertAlign w:val="superscript"/>
        </w:rPr>
        <w:t>2</w:t>
      </w:r>
      <w:r>
        <w:t>.</w:t>
      </w:r>
    </w:p>
    <w:p w14:paraId="498B4FF7" w14:textId="77777777" w:rsidR="00007F6C" w:rsidRDefault="00007F6C" w:rsidP="00007F6C">
      <w:pPr>
        <w:keepNext/>
        <w:jc w:val="both"/>
      </w:pPr>
      <w:r w:rsidRPr="00CE750F">
        <w:rPr>
          <w:noProof/>
        </w:rPr>
        <w:drawing>
          <wp:inline distT="0" distB="0" distL="0" distR="0" wp14:anchorId="628A41EB" wp14:editId="6D0FB806">
            <wp:extent cx="2700000" cy="2270118"/>
            <wp:effectExtent l="0" t="0" r="571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2">
                      <a:extLst>
                        <a:ext uri="{28A0092B-C50C-407E-A947-70E740481C1C}">
                          <a14:useLocalDpi xmlns:a14="http://schemas.microsoft.com/office/drawing/2010/main" val="0"/>
                        </a:ext>
                      </a:extLst>
                    </a:blip>
                    <a:srcRect l="9390" t="9524" r="13593" b="5761"/>
                    <a:stretch/>
                  </pic:blipFill>
                  <pic:spPr bwMode="auto">
                    <a:xfrm>
                      <a:off x="0" y="0"/>
                      <a:ext cx="2700000" cy="2270118"/>
                    </a:xfrm>
                    <a:prstGeom prst="rect">
                      <a:avLst/>
                    </a:prstGeom>
                    <a:noFill/>
                    <a:ln>
                      <a:noFill/>
                    </a:ln>
                    <a:extLst>
                      <a:ext uri="{53640926-AAD7-44D8-BBD7-CCE9431645EC}">
                        <a14:shadowObscured xmlns:a14="http://schemas.microsoft.com/office/drawing/2010/main"/>
                      </a:ext>
                    </a:extLst>
                  </pic:spPr>
                </pic:pic>
              </a:graphicData>
            </a:graphic>
          </wp:inline>
        </w:drawing>
      </w:r>
      <w:r w:rsidRPr="00CE750F">
        <w:rPr>
          <w:noProof/>
        </w:rPr>
        <w:drawing>
          <wp:inline distT="0" distB="0" distL="0" distR="0" wp14:anchorId="0F13AE5A" wp14:editId="01146307">
            <wp:extent cx="2700000" cy="2267939"/>
            <wp:effectExtent l="0" t="0" r="571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3">
                      <a:extLst>
                        <a:ext uri="{28A0092B-C50C-407E-A947-70E740481C1C}">
                          <a14:useLocalDpi xmlns:a14="http://schemas.microsoft.com/office/drawing/2010/main" val="0"/>
                        </a:ext>
                      </a:extLst>
                    </a:blip>
                    <a:srcRect l="9582" t="10027" r="13786" b="5761"/>
                    <a:stretch/>
                  </pic:blipFill>
                  <pic:spPr bwMode="auto">
                    <a:xfrm>
                      <a:off x="0" y="0"/>
                      <a:ext cx="2700000" cy="2267939"/>
                    </a:xfrm>
                    <a:prstGeom prst="rect">
                      <a:avLst/>
                    </a:prstGeom>
                    <a:noFill/>
                    <a:ln>
                      <a:noFill/>
                    </a:ln>
                    <a:extLst>
                      <a:ext uri="{53640926-AAD7-44D8-BBD7-CCE9431645EC}">
                        <a14:shadowObscured xmlns:a14="http://schemas.microsoft.com/office/drawing/2010/main"/>
                      </a:ext>
                    </a:extLst>
                  </pic:spPr>
                </pic:pic>
              </a:graphicData>
            </a:graphic>
          </wp:inline>
        </w:drawing>
      </w:r>
    </w:p>
    <w:p w14:paraId="00879DC3" w14:textId="62EE1AF1" w:rsidR="00007F6C" w:rsidRDefault="00007F6C" w:rsidP="00007F6C">
      <w:pPr>
        <w:pStyle w:val="Caption"/>
      </w:pPr>
      <w:bookmarkStart w:id="450" w:name="_Ref45013280"/>
      <w:bookmarkStart w:id="451" w:name="_Toc69115019"/>
      <w:r>
        <w:t>Figure 5.</w:t>
      </w:r>
      <w:r w:rsidR="00B51F53">
        <w:fldChar w:fldCharType="begin"/>
      </w:r>
      <w:r w:rsidR="00B51F53">
        <w:instrText xml:space="preserve"> SEQ Figure \* ARABIC </w:instrText>
      </w:r>
      <w:r w:rsidR="00B51F53">
        <w:fldChar w:fldCharType="separate"/>
      </w:r>
      <w:r w:rsidR="00903E7F">
        <w:rPr>
          <w:noProof/>
        </w:rPr>
        <w:t>4</w:t>
      </w:r>
      <w:r w:rsidR="00B51F53">
        <w:rPr>
          <w:noProof/>
        </w:rPr>
        <w:fldChar w:fldCharType="end"/>
      </w:r>
      <w:bookmarkEnd w:id="450"/>
      <w:r>
        <w:t xml:space="preserve">: Series and Polarisation resistance vs ageing time for the Ni-YSZ samples coated in </w:t>
      </w:r>
      <w:proofErr w:type="gramStart"/>
      <w:r>
        <w:t>a</w:t>
      </w:r>
      <w:proofErr w:type="gramEnd"/>
      <w:r>
        <w:t xml:space="preserve"> Ag current collector</w:t>
      </w:r>
      <w:bookmarkEnd w:id="451"/>
    </w:p>
    <w:p w14:paraId="6DBC02F3" w14:textId="77777777" w:rsidR="00007F6C" w:rsidRDefault="00007F6C" w:rsidP="00007F6C">
      <w:pPr>
        <w:jc w:val="both"/>
      </w:pPr>
      <w:r>
        <w:t>Initially the Nyquist plots shown a singular arc between the 0.1-65 kHz frequency range. After a 5 h period in the humidified 10 % H</w:t>
      </w:r>
      <w:r>
        <w:rPr>
          <w:vertAlign w:val="subscript"/>
        </w:rPr>
        <w:t>2</w:t>
      </w:r>
      <w:r>
        <w:t>/N</w:t>
      </w:r>
      <w:r>
        <w:rPr>
          <w:vertAlign w:val="subscript"/>
        </w:rPr>
        <w:t>2</w:t>
      </w:r>
      <w:r>
        <w:t xml:space="preserve"> atmosphere a clear second arc is apparent especially in Ag2. The frequency at the point of inflection between the two impedance arcs is 16 kHz.  This arc is present in all the repeats. The presence of an arc at these frequencies highlights the presence of a second interaction driving the electrode resistance mechanism. This second arc appeared after a 15 h ageing period under the humidified 10 % H</w:t>
      </w:r>
      <w:r>
        <w:rPr>
          <w:vertAlign w:val="subscript"/>
        </w:rPr>
        <w:t>2</w:t>
      </w:r>
      <w:r>
        <w:t>/N</w:t>
      </w:r>
      <w:r>
        <w:rPr>
          <w:vertAlign w:val="subscript"/>
        </w:rPr>
        <w:t>2</w:t>
      </w:r>
      <w:r>
        <w:t xml:space="preserve"> atmosphere. </w:t>
      </w:r>
    </w:p>
    <w:p w14:paraId="60CA1E8F" w14:textId="6E889337" w:rsidR="00007F6C" w:rsidRDefault="00903E7F" w:rsidP="00007F6C">
      <w:pPr>
        <w:jc w:val="both"/>
      </w:pPr>
      <w:r>
        <w:t>Many</w:t>
      </w:r>
      <w:r w:rsidR="00007F6C">
        <w:t xml:space="preserve"> instabilities </w:t>
      </w:r>
      <w:r>
        <w:t>are</w:t>
      </w:r>
      <w:r w:rsidR="00007F6C">
        <w:t xml:space="preserve"> present in the datasets at frequencies approaching 0.1-100 Hz (</w:t>
      </w:r>
      <w:r w:rsidR="00007F6C">
        <w:fldChar w:fldCharType="begin"/>
      </w:r>
      <w:r w:rsidR="00007F6C">
        <w:instrText xml:space="preserve"> REF _Ref45020457 \h  \* MERGEFORMAT </w:instrText>
      </w:r>
      <w:r w:rsidR="00007F6C">
        <w:fldChar w:fldCharType="separate"/>
      </w:r>
      <w:r w:rsidR="00007F6C">
        <w:t>Figure 5.5</w:t>
      </w:r>
      <w:r w:rsidR="00007F6C">
        <w:fldChar w:fldCharType="end"/>
      </w:r>
      <w:r w:rsidR="00007F6C">
        <w:t>), which made determining the intercept tough. The Ag2 sample produced the most well-defined region in this frequency range</w:t>
      </w:r>
      <w:r>
        <w:t xml:space="preserve"> (</w:t>
      </w:r>
      <w:r>
        <w:fldChar w:fldCharType="begin"/>
      </w:r>
      <w:r>
        <w:instrText xml:space="preserve"> REF _Ref45020457 \h </w:instrText>
      </w:r>
      <w:r>
        <w:fldChar w:fldCharType="separate"/>
      </w:r>
      <w:r>
        <w:t>Figure 5.</w:t>
      </w:r>
      <w:r>
        <w:rPr>
          <w:noProof/>
        </w:rPr>
        <w:t>5</w:t>
      </w:r>
      <w:r>
        <w:fldChar w:fldCharType="end"/>
      </w:r>
      <w:r>
        <w:t>)</w:t>
      </w:r>
      <w:r w:rsidR="00007F6C">
        <w:t xml:space="preserve">. Over the </w:t>
      </w:r>
      <w:proofErr w:type="gramStart"/>
      <w:r w:rsidR="00007F6C">
        <w:t>50 h</w:t>
      </w:r>
      <w:proofErr w:type="gramEnd"/>
      <w:r w:rsidR="00007F6C">
        <w:t xml:space="preserve"> ageing period the average Rp for the Ag coated samples increased by over sevenfold (Rp </w:t>
      </w:r>
      <w:r w:rsidR="00007F6C" w:rsidRPr="005203DC">
        <w:rPr>
          <w:vertAlign w:val="subscript"/>
        </w:rPr>
        <w:t>(0 h)</w:t>
      </w:r>
      <w:r w:rsidR="00007F6C">
        <w:t xml:space="preserve"> 8.25 </w:t>
      </w:r>
      <w:r w:rsidR="00007F6C">
        <w:rPr>
          <w:rFonts w:cstheme="minorHAnsi"/>
        </w:rPr>
        <w:t>Ω</w:t>
      </w:r>
      <w:r w:rsidR="00007F6C">
        <w:t>cm</w:t>
      </w:r>
      <w:r w:rsidR="00007F6C">
        <w:rPr>
          <w:vertAlign w:val="superscript"/>
        </w:rPr>
        <w:t>2</w:t>
      </w:r>
      <w:r w:rsidR="00007F6C">
        <w:t xml:space="preserve">, Rp </w:t>
      </w:r>
      <w:r w:rsidR="00007F6C" w:rsidRPr="005203DC">
        <w:rPr>
          <w:vertAlign w:val="subscript"/>
        </w:rPr>
        <w:t>(50 h)</w:t>
      </w:r>
      <w:r w:rsidR="00007F6C">
        <w:rPr>
          <w:vertAlign w:val="subscript"/>
        </w:rPr>
        <w:t xml:space="preserve"> </w:t>
      </w:r>
      <w:r w:rsidR="00007F6C">
        <w:t xml:space="preserve">59.39 </w:t>
      </w:r>
      <w:r w:rsidR="00007F6C">
        <w:rPr>
          <w:rFonts w:cstheme="minorHAnsi"/>
        </w:rPr>
        <w:t>Ω</w:t>
      </w:r>
      <w:r w:rsidR="00007F6C">
        <w:t>cm</w:t>
      </w:r>
      <w:r w:rsidR="00007F6C">
        <w:rPr>
          <w:vertAlign w:val="superscript"/>
        </w:rPr>
        <w:t>2</w:t>
      </w:r>
      <w:r w:rsidR="00007F6C">
        <w:t>).</w:t>
      </w:r>
    </w:p>
    <w:p w14:paraId="45034A1C" w14:textId="77777777" w:rsidR="00007F6C" w:rsidRDefault="00007F6C" w:rsidP="00007F6C">
      <w:pPr>
        <w:keepNext/>
        <w:jc w:val="center"/>
      </w:pPr>
      <w:r w:rsidRPr="002F543A">
        <w:rPr>
          <w:noProof/>
        </w:rPr>
        <w:lastRenderedPageBreak/>
        <w:drawing>
          <wp:inline distT="0" distB="0" distL="0" distR="0" wp14:anchorId="0627BD17" wp14:editId="3D8DE204">
            <wp:extent cx="4320000" cy="3120436"/>
            <wp:effectExtent l="0" t="0" r="444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4">
                      <a:extLst>
                        <a:ext uri="{28A0092B-C50C-407E-A947-70E740481C1C}">
                          <a14:useLocalDpi xmlns:a14="http://schemas.microsoft.com/office/drawing/2010/main" val="0"/>
                        </a:ext>
                      </a:extLst>
                    </a:blip>
                    <a:srcRect l="8059" t="9483" r="1315" b="4741"/>
                    <a:stretch/>
                  </pic:blipFill>
                  <pic:spPr bwMode="auto">
                    <a:xfrm>
                      <a:off x="0" y="0"/>
                      <a:ext cx="4320000" cy="3120436"/>
                    </a:xfrm>
                    <a:prstGeom prst="rect">
                      <a:avLst/>
                    </a:prstGeom>
                    <a:noFill/>
                    <a:ln>
                      <a:noFill/>
                    </a:ln>
                    <a:extLst>
                      <a:ext uri="{53640926-AAD7-44D8-BBD7-CCE9431645EC}">
                        <a14:shadowObscured xmlns:a14="http://schemas.microsoft.com/office/drawing/2010/main"/>
                      </a:ext>
                    </a:extLst>
                  </pic:spPr>
                </pic:pic>
              </a:graphicData>
            </a:graphic>
          </wp:inline>
        </w:drawing>
      </w:r>
    </w:p>
    <w:p w14:paraId="2A3EFF2C" w14:textId="2918F042" w:rsidR="00007F6C" w:rsidRDefault="00007F6C" w:rsidP="00007F6C">
      <w:pPr>
        <w:pStyle w:val="Caption"/>
      </w:pPr>
      <w:bookmarkStart w:id="452" w:name="_Ref45020457"/>
      <w:bookmarkStart w:id="453" w:name="_Toc69115020"/>
      <w:r>
        <w:t>Figure 5.</w:t>
      </w:r>
      <w:r w:rsidR="00B51F53">
        <w:fldChar w:fldCharType="begin"/>
      </w:r>
      <w:r w:rsidR="00B51F53">
        <w:instrText xml:space="preserve"> SEQ Figure \* ARABIC </w:instrText>
      </w:r>
      <w:r w:rsidR="00B51F53">
        <w:fldChar w:fldCharType="separate"/>
      </w:r>
      <w:r w:rsidR="00903E7F">
        <w:rPr>
          <w:noProof/>
        </w:rPr>
        <w:t>5</w:t>
      </w:r>
      <w:r w:rsidR="00B51F53">
        <w:rPr>
          <w:noProof/>
        </w:rPr>
        <w:fldChar w:fldCharType="end"/>
      </w:r>
      <w:bookmarkEnd w:id="452"/>
      <w:r>
        <w:t xml:space="preserve">: Stacked Nyquist plots for the Ag1 Ni-YSZ sample coated in an Ag current collector over a </w:t>
      </w:r>
      <w:proofErr w:type="gramStart"/>
      <w:r>
        <w:t>50 h</w:t>
      </w:r>
      <w:proofErr w:type="gramEnd"/>
      <w:r>
        <w:t xml:space="preserve"> ageing period. The markers track the evolution of the samples in 5 h increments. The hollowed markers indicate the data taken at intervals between</w:t>
      </w:r>
      <w:bookmarkEnd w:id="453"/>
    </w:p>
    <w:p w14:paraId="4DCFFD25" w14:textId="77777777" w:rsidR="00007F6C" w:rsidRDefault="00007F6C" w:rsidP="00007F6C">
      <w:pPr>
        <w:keepNext/>
        <w:jc w:val="center"/>
      </w:pPr>
      <w:r w:rsidRPr="00717681">
        <w:rPr>
          <w:noProof/>
        </w:rPr>
        <w:drawing>
          <wp:inline distT="0" distB="0" distL="0" distR="0" wp14:anchorId="07247D72" wp14:editId="1DED254E">
            <wp:extent cx="4320000" cy="3184818"/>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5">
                      <a:extLst>
                        <a:ext uri="{28A0092B-C50C-407E-A947-70E740481C1C}">
                          <a14:useLocalDpi xmlns:a14="http://schemas.microsoft.com/office/drawing/2010/main" val="0"/>
                        </a:ext>
                      </a:extLst>
                    </a:blip>
                    <a:srcRect l="7566" t="7975" r="2302" b="4957"/>
                    <a:stretch/>
                  </pic:blipFill>
                  <pic:spPr bwMode="auto">
                    <a:xfrm>
                      <a:off x="0" y="0"/>
                      <a:ext cx="4320000" cy="3184818"/>
                    </a:xfrm>
                    <a:prstGeom prst="rect">
                      <a:avLst/>
                    </a:prstGeom>
                    <a:noFill/>
                    <a:ln>
                      <a:noFill/>
                    </a:ln>
                    <a:extLst>
                      <a:ext uri="{53640926-AAD7-44D8-BBD7-CCE9431645EC}">
                        <a14:shadowObscured xmlns:a14="http://schemas.microsoft.com/office/drawing/2010/main"/>
                      </a:ext>
                    </a:extLst>
                  </pic:spPr>
                </pic:pic>
              </a:graphicData>
            </a:graphic>
          </wp:inline>
        </w:drawing>
      </w:r>
    </w:p>
    <w:p w14:paraId="3F2F5D31" w14:textId="6333D68A" w:rsidR="00007F6C" w:rsidRDefault="00007F6C" w:rsidP="00007F6C">
      <w:pPr>
        <w:pStyle w:val="Caption"/>
      </w:pPr>
      <w:bookmarkStart w:id="454" w:name="_Ref45020472"/>
      <w:bookmarkStart w:id="455" w:name="_Toc69115021"/>
      <w:r>
        <w:t>Figure 5.</w:t>
      </w:r>
      <w:r w:rsidR="00B51F53">
        <w:fldChar w:fldCharType="begin"/>
      </w:r>
      <w:r w:rsidR="00B51F53">
        <w:instrText xml:space="preserve"> SEQ Figure \* ARABIC </w:instrText>
      </w:r>
      <w:r w:rsidR="00B51F53">
        <w:fldChar w:fldCharType="separate"/>
      </w:r>
      <w:r w:rsidR="00903E7F">
        <w:rPr>
          <w:noProof/>
        </w:rPr>
        <w:t>6</w:t>
      </w:r>
      <w:r w:rsidR="00B51F53">
        <w:rPr>
          <w:noProof/>
        </w:rPr>
        <w:fldChar w:fldCharType="end"/>
      </w:r>
      <w:bookmarkEnd w:id="454"/>
      <w:r>
        <w:t xml:space="preserve">: Stacked Nyquist plots for the Ag2 Ni-YSZ sample coated in an Ag current collector over a </w:t>
      </w:r>
      <w:proofErr w:type="gramStart"/>
      <w:r>
        <w:t>50 h</w:t>
      </w:r>
      <w:proofErr w:type="gramEnd"/>
      <w:r>
        <w:t xml:space="preserve"> ageing period. The markers track the evolution of the samples in 5 h increments. The hollowed markers indicate the data taken at intervals between 10 h</w:t>
      </w:r>
      <w:bookmarkEnd w:id="455"/>
    </w:p>
    <w:p w14:paraId="1716F818" w14:textId="17F8FC69" w:rsidR="00007F6C" w:rsidRDefault="00810513" w:rsidP="00007F6C">
      <w:pPr>
        <w:keepNext/>
        <w:jc w:val="center"/>
      </w:pPr>
      <w:r w:rsidRPr="00810513">
        <w:rPr>
          <w:noProof/>
        </w:rPr>
        <w:lastRenderedPageBreak/>
        <w:drawing>
          <wp:inline distT="0" distB="0" distL="0" distR="0" wp14:anchorId="1A50CCA6" wp14:editId="60A1E5D5">
            <wp:extent cx="4320000" cy="3564000"/>
            <wp:effectExtent l="0" t="0" r="4445"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6">
                      <a:extLst>
                        <a:ext uri="{28A0092B-C50C-407E-A947-70E740481C1C}">
                          <a14:useLocalDpi xmlns:a14="http://schemas.microsoft.com/office/drawing/2010/main" val="0"/>
                        </a:ext>
                      </a:extLst>
                    </a:blip>
                    <a:srcRect l="8388" t="9483" r="12664" b="5171"/>
                    <a:stretch/>
                  </pic:blipFill>
                  <pic:spPr bwMode="auto">
                    <a:xfrm>
                      <a:off x="0" y="0"/>
                      <a:ext cx="4320000" cy="3564000"/>
                    </a:xfrm>
                    <a:prstGeom prst="rect">
                      <a:avLst/>
                    </a:prstGeom>
                    <a:noFill/>
                    <a:ln>
                      <a:noFill/>
                    </a:ln>
                    <a:extLst>
                      <a:ext uri="{53640926-AAD7-44D8-BBD7-CCE9431645EC}">
                        <a14:shadowObscured xmlns:a14="http://schemas.microsoft.com/office/drawing/2010/main"/>
                      </a:ext>
                    </a:extLst>
                  </pic:spPr>
                </pic:pic>
              </a:graphicData>
            </a:graphic>
          </wp:inline>
        </w:drawing>
      </w:r>
    </w:p>
    <w:p w14:paraId="67387BA5" w14:textId="1A769C6D" w:rsidR="00007F6C" w:rsidRDefault="00007F6C" w:rsidP="00007F6C">
      <w:pPr>
        <w:pStyle w:val="Caption"/>
      </w:pPr>
      <w:bookmarkStart w:id="456" w:name="_Ref45020476"/>
      <w:bookmarkStart w:id="457" w:name="_Toc69115022"/>
      <w:r>
        <w:t>Figure 5.</w:t>
      </w:r>
      <w:r w:rsidR="00B51F53">
        <w:fldChar w:fldCharType="begin"/>
      </w:r>
      <w:r w:rsidR="00B51F53">
        <w:instrText xml:space="preserve"> SEQ Figure \* ARABIC </w:instrText>
      </w:r>
      <w:r w:rsidR="00B51F53">
        <w:fldChar w:fldCharType="separate"/>
      </w:r>
      <w:r w:rsidR="00903E7F">
        <w:rPr>
          <w:noProof/>
        </w:rPr>
        <w:t>7</w:t>
      </w:r>
      <w:r w:rsidR="00B51F53">
        <w:rPr>
          <w:noProof/>
        </w:rPr>
        <w:fldChar w:fldCharType="end"/>
      </w:r>
      <w:bookmarkEnd w:id="456"/>
      <w:r>
        <w:t xml:space="preserve">: Stacked Nyquist plots for the Ag3 Ni-YSZ sample coated in an Ag current collector over a </w:t>
      </w:r>
      <w:proofErr w:type="gramStart"/>
      <w:r>
        <w:t>50 h</w:t>
      </w:r>
      <w:proofErr w:type="gramEnd"/>
      <w:r>
        <w:t xml:space="preserve"> ageing period. The markers track the evolution of the samples in 5 h increments. The hollowed markers indicate the data taken at intervals between 10 h </w:t>
      </w:r>
      <w:proofErr w:type="gramStart"/>
      <w:r>
        <w:t>increments</w:t>
      </w:r>
      <w:bookmarkEnd w:id="457"/>
      <w:proofErr w:type="gramEnd"/>
    </w:p>
    <w:p w14:paraId="7CEC5B5A" w14:textId="77777777" w:rsidR="00007F6C" w:rsidRDefault="00007F6C" w:rsidP="00007F6C">
      <w:pPr>
        <w:pStyle w:val="Heading5"/>
        <w:jc w:val="both"/>
      </w:pPr>
      <w:r>
        <w:t>Equivalent circuit fitting</w:t>
      </w:r>
    </w:p>
    <w:p w14:paraId="127999EA" w14:textId="77777777" w:rsidR="00007F6C" w:rsidRDefault="00007F6C" w:rsidP="00007F6C">
      <w:pPr>
        <w:jc w:val="both"/>
      </w:pPr>
      <w:r>
        <w:t>The symmetrical Ni-YSZ cells coated in the silver current collector were fit using XM Studio ECS circle fit function. The systematic and percentage error for both R</w:t>
      </w:r>
      <w:r>
        <w:rPr>
          <w:vertAlign w:val="subscript"/>
        </w:rPr>
        <w:t>S</w:t>
      </w:r>
      <w:r>
        <w:t xml:space="preserve"> and R</w:t>
      </w:r>
      <w:r>
        <w:rPr>
          <w:vertAlign w:val="subscript"/>
        </w:rPr>
        <w:t>P</w:t>
      </w:r>
      <w:r>
        <w:t xml:space="preserve"> were calculated from the error in the XM Studio ECS fitting function. In the case of Ag2 and Ag3 this was not done due to issues with the fitting program and finding the upper intercept for calculating the R</w:t>
      </w:r>
      <w:r w:rsidRPr="00364184">
        <w:rPr>
          <w:vertAlign w:val="subscript"/>
        </w:rPr>
        <w:t>P</w:t>
      </w:r>
      <w:r>
        <w:t>.</w:t>
      </w:r>
    </w:p>
    <w:p w14:paraId="5E125031" w14:textId="77777777" w:rsidR="00007F6C" w:rsidRDefault="00007F6C" w:rsidP="00007F6C">
      <w:pPr>
        <w:jc w:val="both"/>
      </w:pPr>
      <w:r>
        <w:t xml:space="preserve">The circuit utilised consisted of a resistor followed by two constant phase elements connected in series. The first resistor was used to model the ohmic resistance associated with the YSZ electrolyte.  </w:t>
      </w:r>
    </w:p>
    <w:p w14:paraId="7F9B4BC0" w14:textId="77777777" w:rsidR="00007F6C" w:rsidRDefault="00007F6C" w:rsidP="00007F6C">
      <w:pPr>
        <w:keepNext/>
        <w:jc w:val="center"/>
      </w:pPr>
      <w:r>
        <w:rPr>
          <w:noProof/>
        </w:rPr>
        <w:drawing>
          <wp:inline distT="0" distB="0" distL="0" distR="0" wp14:anchorId="5FA0B2FD" wp14:editId="32FF6FD9">
            <wp:extent cx="4205326" cy="1390650"/>
            <wp:effectExtent l="0" t="0" r="5080" b="0"/>
            <wp:docPr id="121" name="Picture 121"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C Fitting XM studio.png"/>
                    <pic:cNvPicPr/>
                  </pic:nvPicPr>
                  <pic:blipFill rotWithShape="1">
                    <a:blip r:embed="rId137">
                      <a:extLst>
                        <a:ext uri="{28A0092B-C50C-407E-A947-70E740481C1C}">
                          <a14:useLocalDpi xmlns:a14="http://schemas.microsoft.com/office/drawing/2010/main" val="0"/>
                        </a:ext>
                      </a:extLst>
                    </a:blip>
                    <a:srcRect t="24699"/>
                    <a:stretch/>
                  </pic:blipFill>
                  <pic:spPr bwMode="auto">
                    <a:xfrm>
                      <a:off x="0" y="0"/>
                      <a:ext cx="4230116" cy="1398848"/>
                    </a:xfrm>
                    <a:prstGeom prst="rect">
                      <a:avLst/>
                    </a:prstGeom>
                    <a:ln>
                      <a:noFill/>
                    </a:ln>
                    <a:extLst>
                      <a:ext uri="{53640926-AAD7-44D8-BBD7-CCE9431645EC}">
                        <a14:shadowObscured xmlns:a14="http://schemas.microsoft.com/office/drawing/2010/main"/>
                      </a:ext>
                    </a:extLst>
                  </pic:spPr>
                </pic:pic>
              </a:graphicData>
            </a:graphic>
          </wp:inline>
        </w:drawing>
      </w:r>
    </w:p>
    <w:p w14:paraId="03B610CC" w14:textId="30096A2F" w:rsidR="00007F6C" w:rsidRDefault="00007F6C" w:rsidP="00007F6C">
      <w:pPr>
        <w:pStyle w:val="Caption"/>
      </w:pPr>
      <w:bookmarkStart w:id="458" w:name="_Ref67994876"/>
      <w:bookmarkStart w:id="459" w:name="_Toc69115023"/>
      <w:r>
        <w:t>Figure 5.</w:t>
      </w:r>
      <w:r w:rsidR="00B51F53">
        <w:fldChar w:fldCharType="begin"/>
      </w:r>
      <w:r w:rsidR="00B51F53">
        <w:instrText xml:space="preserve"> SEQ Figure \* ARABIC </w:instrText>
      </w:r>
      <w:r w:rsidR="00B51F53">
        <w:fldChar w:fldCharType="separate"/>
      </w:r>
      <w:r w:rsidR="00903E7F">
        <w:rPr>
          <w:noProof/>
        </w:rPr>
        <w:t>8</w:t>
      </w:r>
      <w:r w:rsidR="00B51F53">
        <w:rPr>
          <w:noProof/>
        </w:rPr>
        <w:fldChar w:fldCharType="end"/>
      </w:r>
      <w:bookmarkEnd w:id="458"/>
      <w:r>
        <w:t>: Equivalent circuit used to model the electrochemical process present in the Ni-YSZ electrode coated in silver current collector (Diagram made in XM Studio).</w:t>
      </w:r>
      <w:bookmarkEnd w:id="459"/>
    </w:p>
    <w:p w14:paraId="7AAF01F3" w14:textId="77777777" w:rsidR="00007F6C" w:rsidRPr="006647B8" w:rsidRDefault="00007F6C" w:rsidP="00007F6C">
      <w:pPr>
        <w:jc w:val="both"/>
      </w:pPr>
      <w:r w:rsidRPr="006647B8">
        <w:t>Due to the infiltrated Ni-YSZ electrode consisting of a 3D catalyst and pore network the interactions are not solely ohmic in response. The R</w:t>
      </w:r>
      <w:r w:rsidRPr="006647B8">
        <w:rPr>
          <w:vertAlign w:val="subscript"/>
        </w:rPr>
        <w:t>2</w:t>
      </w:r>
      <w:r w:rsidRPr="006647B8">
        <w:t xml:space="preserve"> and R</w:t>
      </w:r>
      <w:r w:rsidRPr="006647B8">
        <w:rPr>
          <w:vertAlign w:val="subscript"/>
        </w:rPr>
        <w:t>3</w:t>
      </w:r>
      <w:r w:rsidRPr="006647B8">
        <w:t xml:space="preserve"> resistors connected in series do not accurately represent the activation polarisation losses (R</w:t>
      </w:r>
      <w:r w:rsidRPr="006647B8">
        <w:rPr>
          <w:vertAlign w:val="subscript"/>
        </w:rPr>
        <w:t>P</w:t>
      </w:r>
      <w:r w:rsidRPr="006647B8">
        <w:t>) present between in the Ni-YSZ electrode and the H</w:t>
      </w:r>
      <w:r w:rsidRPr="006647B8">
        <w:rPr>
          <w:vertAlign w:val="subscript"/>
        </w:rPr>
        <w:t>2</w:t>
      </w:r>
      <w:r w:rsidRPr="006647B8">
        <w:t xml:space="preserve"> fuel. Initially the presence of the single impedance arc in the Nyquist plots for the silver coated Ni-YSZ symmetrical cells would indicate that an RC (Resistor-Capacitor) would be suitable for modelling the impedance of the system.</w:t>
      </w:r>
    </w:p>
    <w:p w14:paraId="26EACF0D" w14:textId="19650C94" w:rsidR="00007F6C" w:rsidRDefault="00007F6C" w:rsidP="00903E7F">
      <w:pPr>
        <w:spacing w:after="0"/>
        <w:jc w:val="both"/>
      </w:pPr>
      <w:r w:rsidRPr="006647B8">
        <w:lastRenderedPageBreak/>
        <w:t xml:space="preserve">However, a constant phase element (CPE) was selected for two reasons. Firstly, due to the porous 3D nature of the fuel electrode an RC (Resistor-Capacitor) would not be suitable as the impedance arc splits into multiple contributions during ageing. A high frequency arc derived from the catalyst particle size and cermet structure and a low frequency arc </w:t>
      </w:r>
      <w:r w:rsidRPr="006647B8">
        <w:fldChar w:fldCharType="begin" w:fldLock="1"/>
      </w:r>
      <w:r w:rsidR="008B6E91">
        <w:instrText>ADDIN CSL_CITATION {"citationItems":[{"id":"ITEM-1","itemData":{"DOI":"10.1023/A:1003991529552","ISSN":"0021891X","abstract":"The long-term properties of Ni/yttria stabilized zirconia (YSZ) cermet anodes for solid oxide fuel cells were evaluated experimentally. A total of 13 anodes of three types based on two commercial NiO powders were examined. The durability was evaluated at temperatures of 850 °C, 1000 °C and 1050 °C over 1300 to 2000 h at an anodic d.c. load of 300 mA cm-2 in hydrogen with 1 to 3% water. The anode-related polarization resistance, RP, was measured by impedance spectroscopy and found to be in the range of 0.05 to 0.7 Ω cm2. After an initial stabilization period of up to 300 h, RP varied linearly with time within the experimental uncertainty. At 1050 °C no degradation was observed. At 1000 °C a degradation rate of 10 mΩ cm2 per 1000 h was found. The degradation rate was possibly higher at 850 °C. A single anode was exposed to nine thermal cycles from 1000 to below 100 °C at 100 °C h-1. An increase in RP of about 30 mΩ cm2 was observed over the first two cycles. For the following thermal cycles RP was stable within the experimental uncertainty.","author":[{"dropping-particle":"","family":"Primdahl","given":"S.","non-dropping-particle":"","parse-names":false,"suffix":""},{"dropping-particle":"","family":"Mogensen","given":"M.","non-dropping-particle":"","parse-names":false,"suffix":""}],"container-title":"Journal of Applied Electrochemistry","id":"ITEM-1","issue":"2","issued":{"date-parts":[["2000"]]},"page":"247-257","title":"Durability and thermal cycling of Ni/YSZ cermet anodes for solid oxide fuel cells","type":"article-journal","volume":"30"},"uris":["http://www.mendeley.com/documents/?uuid=4e5547a1-24f7-49a5-bc2a-bf1bda5cd364"]}],"mendeley":{"formattedCitation":"[394]","plainTextFormattedCitation":"[394]","previouslyFormattedCitation":"[394]"},"properties":{"noteIndex":0},"schema":"https://github.com/citation-style-language/schema/raw/master/csl-citation.json"}</w:instrText>
      </w:r>
      <w:r w:rsidRPr="006647B8">
        <w:fldChar w:fldCharType="separate"/>
      </w:r>
      <w:r w:rsidR="00237E21" w:rsidRPr="00237E21">
        <w:rPr>
          <w:noProof/>
        </w:rPr>
        <w:t>[394]</w:t>
      </w:r>
      <w:r w:rsidRPr="006647B8">
        <w:fldChar w:fldCharType="end"/>
      </w:r>
      <w:r w:rsidRPr="006647B8">
        <w:t>. These contributions stem from three</w:t>
      </w:r>
      <w:r>
        <w:t xml:space="preserve"> interactions in the electrode: the oxidation of the of H</w:t>
      </w:r>
      <w:r>
        <w:rPr>
          <w:vertAlign w:val="subscript"/>
        </w:rPr>
        <w:t>2</w:t>
      </w:r>
      <w:r>
        <w:t xml:space="preserve"> fuel, transfer of the resultant protons to the Ni-YSZ triple phase boundaries and finally the formation of oxygen vacancies via the production of water from the reaction between the oxide ions and the protons (</w:t>
      </w:r>
      <w:r w:rsidRPr="006647B8">
        <w:fldChar w:fldCharType="begin"/>
      </w:r>
      <w:r w:rsidRPr="006647B8">
        <w:instrText xml:space="preserve"> REF _Ref51229923 \h  \* MERGEFORMAT </w:instrText>
      </w:r>
      <w:r w:rsidRPr="006647B8">
        <w:fldChar w:fldCharType="separate"/>
      </w:r>
      <w:r w:rsidRPr="00C103C3">
        <w:t>Equation 5.1</w:t>
      </w:r>
      <w:r w:rsidRPr="006647B8">
        <w:fldChar w:fldCharType="end"/>
      </w:r>
      <w:r w:rsidRPr="006647B8">
        <w:t>)</w:t>
      </w:r>
      <w:r>
        <w:t xml:space="preserve"> </w:t>
      </w:r>
      <w:r>
        <w:fldChar w:fldCharType="begin" w:fldLock="1"/>
      </w:r>
      <w:r w:rsidR="00151775">
        <w:instrText>ADDIN CSL_CITATION {"citationItems":[{"id":"ITEM-1","itemData":{"DOI":"10.1023/A:1003991529552","ISBN":"0021891X (ISSN)","ISSN":"0021891X","abstract":"The long-term properties of Ni/yttria stabilized zirconia (YSZ) cermet anodes for solid oxide fuel cells were evaluated experimentally. A total of 13 anodes of three types based on two commercial NiO powders were examined. The durability was evaluated at temperatures of 850 degrees C, 1000 degrees C and 1050 degrees C over 1300 to 2000 h at an anodic DC load of 300 mA cm/sup -2/ in hydrogen with 1 to 3% water. The anode-related polarization resistance: R/sub p/, was measured by impedance spectroscopy and found to be in the range of 0.05 to 0.7 Omega cm/sup 2/. After an initial stabilization period of up to 300 h, R/sub p/ varied linearly with time within the experimental uncertainty. At 1050 degrees C no degradation was observed. At 1000 degrees C a degradation rate of 10 m Omega cm/sup 2/ per 1000 h was found. The degradation rate was possibly higher at 850 degrees C. A single anode was exposed to nine thermal cycles from 1000 to below 100 degrees C at 100 degrees C h/sup -1/. An increase in R/sub p/ of about 30 m Omega cm/sup 2/ was observed over the first two cycles. For the following thermal cycles R/sub p/ was stable within the experimental uncertainty. (31 References)","author":[{"dropping-particle":"","family":"Primdahl","given":"S.","non-dropping-particle":"","parse-names":false,"suffix":""},{"dropping-particle":"","family":"Mogensen","given":"M.","non-dropping-particle":"","parse-names":false,"suffix":""}],"container-title":"Journal of Applied Electrochemistry","id":"ITEM-1","issue":"2","issued":{"date-parts":[["2000"]]},"language":"English","note":"Cited By :40\nExport Date: 11 October 2016\nCODEN: JAELB\nCorrespondence Address: Primdahl, S.; Riso Natl Lab, Roskilde, Denmark\nReferences: Ippommatsu, M., Sasaki, H., Otoshi, S., (1996) Int. J. Hydrogen Energy, 21, p. 129; Bagger, C., Christiansen, N., Hendriksen, P.V., Jensen, E.J., Larsen, S.S., Mogensen, M., High Temperature Electrochemistry: Ceramics and Metals (1996) 17th Risø International Symposium on Materials Science, p. 167. , F.W. Poulsen, N. Bonanos, S. Linderoth, M. Mogensen and B. Zachau-Chistiansen (Eds); Badwal, S.P.S., Foger, K., (1997) Materials Forum, 21, p. 187; Winkler, J., Hendriksen, P.V., Bonanos, N., Mogensen, M., (1998) J. Electrochem. Soc., 145, p. 1184; Mizusaki, J., Tagawa, H., Saito, T., Kamitani, K., Yamamura, T., Hirano, K., Ehara, S., Hashimoto, K., (1994) J. Electrochem. Soc., 141, p. 2129; Norby, T., Osborg, P.A., Ræder, H., (1994) Proceedings of the 'First European Solid Oxide Fuel Cell Forum', p. 671. , U. Bossel (Ed.), European SOFC Forum, Oberrohrdorf, CH; Mogensen, M., Skaarup, S., (1996) Solid State Ionics, 86-88, p. 1151; Murphy, M.M., Van Herle, J., McEvoy, A.J., Thampi, K.R., (1994) J. Electrochem. Soc., 141, pp. L94; Brown, M., Primdahl, S., Mogensen, M., J. Electrochem. Soc., , submitted; Sakamoto, S., Taria, H., Takagi, H., (1996) Denki Kagaku, 64, p. 609; Badwal, S.P.S., (1992) Solid State Ionics, 52, p. 23; Singhal, S.C., The Electrochemical Society Proceedings Series (1997) Solid Oxide Fuel Cells, 97 PV (40), p. 37. , U. Stimming, S.C. Singhal, H. Tagawa W. Lehnert (Eds), Pennington, NJ; Beie, H.J., Blum, L., Drenckhahn, W., Greiner, H., Schisschl, H., (1998) Proceedings of the 'Third European Solid Fuel Cell Forum', p. 3. , P. Stevens (Ed.), European SOFC Forum, Oberrohrdorf, CH; Schäfer, W., Geier, H., Lindemann, G., Stolten, D., High Temperature Electrochemical Behaviour of Fast Ion and Mixed Conductors (1993) 14th Risø International Symposium on Materials Science, p. 409. , F.W. Poulsen, J.J. Bentzen, T. Jacobsen, E. Skou and M.J.L. Østergård, (Eds.), Roskilde DK; Middleton, P.H., Seiersten, M.E., Steele, B.C.H., The Electrochemical Society Proceedings Series (1989) Solid Oxide Fuel Cells, 89 PV (11), p. 90. , S.C. Singhal, (Ed.), Pennington, NJ; Kinderman, L., Poulsen, F.W., Bagger, C., (1998) Proceedings of the 'Third European Solid Oxide Fuel Cell Forum', p. 133. , P. Stevens, (Ed.), Poster section, European SOFC Forum, Oberrohrdorf, CH; Fukui, T., Ohara, S., Mukai, K., (1998) Electrochem. Solid-State Lett., 1, p. 120; Iwata, T., (1996) J. Electrochem. Soc., 143, p. 1521; Khandkar, A.C., Elangovan, S., Liu, M., Timper, M., (1991) High Temperature Electrode Materials and Characterization, 91 PV (6), p. 175. , D.D. Macdonald and A.C. Khandkar, (Eds.), The Electrochemical Society, Pennington, NJ; Bagger, C., (1992) 1992 Fuel Cell Seminar, p. 241. , Courtesy Associates, Inc. Washington, DC; Hartung, R., Möbius, H.-H., (1968) Chemie-Ing. Techn., 40, p. 592; Boukamp, B.A., (1986) Solid State Ionics, 20, p. 31; Primdahl, S., Mogensen, M., (1997) J. Electrochem. Soc., 144, p. 3409; Primdahl, S., Mogensen, M., (1998) J. Electrochem. Soc., 145, p. 2431; Primdahl, S., Mogensen, M., (1999) J. Electrochem. Soc., 146, p. 2827; Primdahl, S., Mogensen, M., , p. 530. , 12Mohamedi-Boulenouar, F.Z., Guindet, J., Hammou, A., , p. 441. , 12Primdahl, S., Sørensen, B.F., Mogensen, M., J. Am. Ceram. Soc., , accepted; Jørgensen, M.J., Primdahl, S., Mogensen, M., (1999) Electrochim. Acta, 44, p. 4195; Gubner, A., Landes, H., Metzger, J., Seeg, H., Stübner, R., , p. 844. , 12Appel, C.C., Bonanos, N., Horsewell, A., Linderoth, S., in preparationUR - https://www.scopus.com/inward/record.uri?eid=2-s2.0-0033896708&amp;amp;partnerID=40&amp;amp;md5=0dc5f67c06ceb5ce61e9d381d0542e72","page":"247-257","publisher":"Kluwer Academic Publishers","publisher-place":"Dordrecht, Netherlands","title":"Durability and thermal cycling of Ni/YSZ cermet anodes for solid oxide fuel cells","type":"article-journal","volume":"30"},"uris":["http://www.mendeley.com/documents/?uuid=bf6319ac-1949-45dc-9370-3201ebc90564"]},{"id":"ITEM-2","itemData":{"DOI":"10.1016/S0167-2738(01)00969-9","ISSN":"01672738","abstract":"A bent nickel wire was pressed against a yttria-stabilised zirconia (YSZ) surface, creating a small contact area. The Ni/YSZ interface was investigated and characteristic microstructures were found to develop during 200-300 h heat treatment at 1000°C in 97% H2/3% H2O with and without polarisation. A ridge of impurities up to 1.6 μm high was seen to develop along the Ni/YSZ/H2 boundary. The impurity phase can be characterised as an alkali silicate phase containing Mn, Na, Ti, Mg, K, Al and Si. Most of these elements seem to be coming from impurities in the nickel. The initially flat contact area on the YSZ developed a hill and valley structure with an amplitude of 100 nm. The nickel wires showed negative imprints of the YSZ structures. © 2001 Elsevier Science B.V. All rights reserved.","author":[{"dropping-particle":"","family":"Vels Jensen","given":"K.","non-dropping-particle":"","parse-names":false,"suffix":""},{"dropping-particle":"","family":"Primdahl","given":"S.","non-dropping-particle":"","parse-names":false,"suffix":""},{"dropping-particle":"","family":"Chorkendorff","given":"I.","non-dropping-particle":"","parse-names":false,"suffix":""},{"dropping-particle":"","family":"Mogensen","given":"M.","non-dropping-particle":"","parse-names":false,"suffix":""}],"container-title":"Solid State Ionics","id":"ITEM-2","issue":"3-4","issued":{"date-parts":[["2001"]]},"page":"197-209","title":"Microstructural and chemical changes at the Ni/YSZ interface","type":"article-journal","volume":"144"},"uris":["http://www.mendeley.com/documents/?uuid=2105ad6a-f947-490d-9879-07ac6ec1a8d9"]},{"id":"ITEM-3","itemData":{"DOI":"10.1016/S0167-2738(99)00299-4","ISSN":"01672738","abstract":"The electrochemical performance of a porous nickel electrode with its surface modified by deposition with fine yttria-stabilized zirconia (YSZ) powder is compared with that of the `bare' electrode. Image analysis of the electrode microstructure yields values for the triple phase boundary (TPB) length in the range of 45-61 m cm-2. The nickel coverage is in the range of 55-72%. The hydrogen oxidation reaction studied on the two types of electrodes indicates that the electrode reaction is dominated by one process, suggesting a common rate-determining step. The total electrode conductivity increases with increasing TPB length. However, at similar TPB length the electrode conductivity of the modified porous nickel electrode is considerably higher than that of the bare nickel electrode. This result indicates that the presence of fine YSZ particles on the nickel electrode surface creates additional active sites onto which the electrode reaction can proceed. The data of this study are interpreted to reflect an active role for YSZ in the Ni/YSZ SOFC cermet anode.","author":[{"dropping-particle":"","family":"Boer","given":"B.","non-dropping-particle":"de","parse-names":false,"suffix":""},{"dropping-particle":"","family":"Gonzalez","given":"M.","non-dropping-particle":"","parse-names":false,"suffix":""},{"dropping-particle":"","family":"Bouwmeester","given":"H. J.M.","non-dropping-particle":"","parse-names":false,"suffix":""},{"dropping-particle":"","family":"Verweij","given":"H.","non-dropping-particle":"","parse-names":false,"suffix":""}],"container-title":"Solid State Ionics","id":"ITEM-3","issue":"3","issued":{"date-parts":[["2000"]]},"page":"269-276","title":"Effect of the presence of fine YSZ particles on the performance of porous nickel electrodes","type":"article-journal","volume":"127"},"uris":["http://www.mendeley.com/documents/?uuid=d073b7c9-2508-4271-9987-523d55a1ad80"]},{"id":"ITEM-4","itemData":{"DOI":"10.1149/199740.0557pv","ISSN":"0161-6374","author":[{"dropping-particle":"","family":"Aaberg","given":"R. J.","non-dropping-particle":"","parse-names":false,"suffix":""}],"container-title":"ECS Proceedings Volumes","id":"ITEM-4","issue":"1","issued":{"date-parts":[["1997"]]},"page":"557-564","title":"A Possible Reaction Mechanism for the Oxidation of H2                                                on Ni/YSZ Cermet Electrodes","type":"article-journal","volume":"1997-40"},"uris":["http://www.mendeley.com/documents/?uuid=b011eb5f-8acd-4707-a87b-ae6aadd9f4f8","http://www.mendeley.com/documents/?uuid=45174d26-c76e-4f72-90f6-4c9bf7aa20ad"]}],"mendeley":{"formattedCitation":"[97], [133], [399], [448]","plainTextFormattedCitation":"[97], [133], [399], [448]","previouslyFormattedCitation":"[97], [133], [399], [448]"},"properties":{"noteIndex":0},"schema":"https://github.com/citation-style-language/schema/raw/master/csl-citation.json"}</w:instrText>
      </w:r>
      <w:r>
        <w:fldChar w:fldCharType="separate"/>
      </w:r>
      <w:r w:rsidR="008B6E91" w:rsidRPr="008B6E91">
        <w:rPr>
          <w:noProof/>
        </w:rPr>
        <w:t>[97], [133], [399], [448]</w:t>
      </w:r>
      <w:r>
        <w:fldChar w:fldCharType="end"/>
      </w:r>
      <w:r>
        <w:t>.</w:t>
      </w:r>
    </w:p>
    <w:p w14:paraId="1915DE4C" w14:textId="77777777" w:rsidR="00007F6C" w:rsidRPr="00FB77EE" w:rsidRDefault="00B51F53" w:rsidP="00903E7F">
      <w:pPr>
        <w:spacing w:line="240" w:lineRule="auto"/>
        <w:jc w:val="both"/>
        <w:rPr>
          <w:rFonts w:eastAsiaTheme="minorEastAsia"/>
        </w:rPr>
      </w:pPr>
      <m:oMathPara>
        <m:oMath>
          <m:sSub>
            <m:sSubPr>
              <m:ctrlPr>
                <w:rPr>
                  <w:rFonts w:ascii="Cambria Math" w:hAnsi="Cambria Math"/>
                  <w:i/>
                </w:rPr>
              </m:ctrlPr>
            </m:sSubPr>
            <m:e>
              <m:r>
                <m:rPr>
                  <m:sty m:val="p"/>
                </m:rPr>
                <w:rPr>
                  <w:rFonts w:ascii="Cambria Math" w:hAnsi="Cambria Math"/>
                </w:rPr>
                <m:t>H</m:t>
              </m:r>
            </m:e>
            <m:sub>
              <m:r>
                <m:rPr>
                  <m:sty m:val="p"/>
                </m:rPr>
                <w:rPr>
                  <w:rFonts w:ascii="Cambria Math" w:hAnsi="Cambria Math"/>
                </w:rPr>
                <m:t>2(g)</m:t>
              </m:r>
            </m:sub>
          </m:sSub>
          <m:r>
            <m:rPr>
              <m:sty m:val="p"/>
            </m:rPr>
            <w:rPr>
              <w:rFonts w:ascii="Cambria Math" w:hAnsi="Cambria Math"/>
            </w:rPr>
            <m:t xml:space="preserve"> ↔2</m:t>
          </m:r>
          <m:sSup>
            <m:sSupPr>
              <m:ctrlPr>
                <w:rPr>
                  <w:rFonts w:ascii="Cambria Math" w:hAnsi="Cambria Math"/>
                  <w:i/>
                </w:rPr>
              </m:ctrlPr>
            </m:sSupPr>
            <m:e>
              <m:r>
                <m:rPr>
                  <m:sty m:val="p"/>
                </m:rPr>
                <w:rPr>
                  <w:rFonts w:ascii="Cambria Math" w:hAnsi="Cambria Math"/>
                </w:rPr>
                <m:t>H</m:t>
              </m:r>
            </m:e>
            <m:sup>
              <m:r>
                <m:rPr>
                  <m:sty m:val="p"/>
                </m:rPr>
                <w:rPr>
                  <w:rFonts w:ascii="Cambria Math" w:hAnsi="Cambria Math"/>
                </w:rPr>
                <m:t>+</m:t>
              </m:r>
            </m:sup>
          </m:sSup>
          <m:r>
            <m:rPr>
              <m:sty m:val="p"/>
            </m:rPr>
            <w:rPr>
              <w:rFonts w:ascii="Cambria Math" w:hAnsi="Cambria Math"/>
            </w:rPr>
            <m:t>+2</m:t>
          </m:r>
          <m:sSup>
            <m:sSupPr>
              <m:ctrlPr>
                <w:rPr>
                  <w:rFonts w:ascii="Cambria Math" w:hAnsi="Cambria Math"/>
                  <w:i/>
                </w:rPr>
              </m:ctrlPr>
            </m:sSupPr>
            <m:e>
              <m:r>
                <m:rPr>
                  <m:sty m:val="p"/>
                </m:rPr>
                <w:rPr>
                  <w:rFonts w:ascii="Cambria Math" w:hAnsi="Cambria Math"/>
                </w:rPr>
                <m:t>e</m:t>
              </m:r>
            </m:e>
            <m:sup>
              <m:r>
                <m:rPr>
                  <m:sty m:val="p"/>
                </m:rPr>
                <w:rPr>
                  <w:rFonts w:ascii="Cambria Math" w:hAnsi="Cambria Math"/>
                </w:rPr>
                <m:t>-</m:t>
              </m:r>
            </m:sup>
          </m:sSup>
        </m:oMath>
      </m:oMathPara>
    </w:p>
    <w:p w14:paraId="76FDC267" w14:textId="77777777" w:rsidR="00007F6C" w:rsidRPr="006905B8" w:rsidRDefault="00B51F53" w:rsidP="00903E7F">
      <w:pPr>
        <w:spacing w:line="240" w:lineRule="auto"/>
        <w:jc w:val="both"/>
        <w:rPr>
          <w:rFonts w:eastAsiaTheme="minorEastAsia"/>
          <w:vertAlign w:val="superscript"/>
        </w:rPr>
      </w:pPr>
      <m:oMathPara>
        <m:oMath>
          <m:sSub>
            <m:sSubPr>
              <m:ctrlPr>
                <w:rPr>
                  <w:rFonts w:ascii="Cambria Math" w:hAnsi="Cambria Math"/>
                  <w:i/>
                </w:rPr>
              </m:ctrlPr>
            </m:sSubPr>
            <m:e>
              <m:sSup>
                <m:sSupPr>
                  <m:ctrlPr>
                    <w:rPr>
                      <w:rFonts w:ascii="Cambria Math" w:hAnsi="Cambria Math"/>
                      <w:i/>
                    </w:rPr>
                  </m:ctrlPr>
                </m:sSupPr>
                <m:e>
                  <m:r>
                    <m:rPr>
                      <m:sty m:val="p"/>
                    </m:rPr>
                    <w:rPr>
                      <w:rFonts w:ascii="Cambria Math" w:hAnsi="Cambria Math"/>
                    </w:rPr>
                    <m:t>H</m:t>
                  </m:r>
                </m:e>
                <m:sup>
                  <m:r>
                    <m:rPr>
                      <m:sty m:val="p"/>
                    </m:rPr>
                    <w:rPr>
                      <w:rFonts w:ascii="Cambria Math" w:hAnsi="Cambria Math"/>
                    </w:rPr>
                    <m:t>+</m:t>
                  </m:r>
                </m:sup>
              </m:sSup>
            </m:e>
            <m:sub>
              <m:r>
                <m:rPr>
                  <m:sty m:val="p"/>
                </m:rPr>
                <w:rPr>
                  <w:rFonts w:ascii="Cambria Math" w:hAnsi="Cambria Math"/>
                </w:rPr>
                <m:t>Ni</m:t>
              </m:r>
            </m:sub>
          </m:sSub>
          <m:r>
            <m:rPr>
              <m:sty m:val="p"/>
            </m:rPr>
            <w:rPr>
              <w:rFonts w:ascii="Cambria Math" w:hAnsi="Cambria Math"/>
            </w:rPr>
            <m:t xml:space="preserve">↔ </m:t>
          </m:r>
          <m:sSub>
            <m:sSubPr>
              <m:ctrlPr>
                <w:rPr>
                  <w:rFonts w:ascii="Cambria Math" w:hAnsi="Cambria Math"/>
                  <w:i/>
                </w:rPr>
              </m:ctrlPr>
            </m:sSubPr>
            <m:e>
              <m:sSup>
                <m:sSupPr>
                  <m:ctrlPr>
                    <w:rPr>
                      <w:rFonts w:ascii="Cambria Math" w:hAnsi="Cambria Math"/>
                      <w:i/>
                    </w:rPr>
                  </m:ctrlPr>
                </m:sSupPr>
                <m:e>
                  <m:r>
                    <m:rPr>
                      <m:sty m:val="p"/>
                    </m:rPr>
                    <w:rPr>
                      <w:rFonts w:ascii="Cambria Math" w:hAnsi="Cambria Math"/>
                    </w:rPr>
                    <m:t>H</m:t>
                  </m:r>
                </m:e>
                <m:sup>
                  <m:r>
                    <m:rPr>
                      <m:sty m:val="p"/>
                    </m:rPr>
                    <w:rPr>
                      <w:rFonts w:ascii="Cambria Math" w:hAnsi="Cambria Math"/>
                    </w:rPr>
                    <m:t>+</m:t>
                  </m:r>
                </m:sup>
              </m:sSup>
            </m:e>
            <m:sub>
              <m:r>
                <m:rPr>
                  <m:sty m:val="p"/>
                </m:rPr>
                <w:rPr>
                  <w:rFonts w:ascii="Cambria Math" w:hAnsi="Cambria Math"/>
                </w:rPr>
                <m:t>YSZ</m:t>
              </m:r>
            </m:sub>
          </m:sSub>
          <m:r>
            <m:rPr>
              <m:sty m:val="p"/>
            </m:rPr>
            <w:rPr>
              <w:rFonts w:ascii="Cambria Math" w:hAnsi="Cambria Math"/>
            </w:rPr>
            <m:t xml:space="preserve"> </m:t>
          </m:r>
        </m:oMath>
      </m:oMathPara>
    </w:p>
    <w:p w14:paraId="0017DD7C" w14:textId="77777777" w:rsidR="00007F6C" w:rsidRPr="005722D6" w:rsidRDefault="00007F6C" w:rsidP="00903E7F">
      <w:pPr>
        <w:spacing w:line="240" w:lineRule="auto"/>
        <w:jc w:val="both"/>
        <w:rPr>
          <w:rFonts w:eastAsiaTheme="minorEastAsia"/>
        </w:rPr>
      </w:pPr>
      <m:oMathPara>
        <m:oMath>
          <m:r>
            <m:rPr>
              <m:sty m:val="p"/>
            </m:rPr>
            <w:rPr>
              <w:rFonts w:ascii="Cambria Math" w:hAnsi="Cambria Math"/>
            </w:rPr>
            <m:t>2</m:t>
          </m:r>
          <m:sSup>
            <m:sSupPr>
              <m:ctrlPr>
                <w:rPr>
                  <w:rFonts w:ascii="Cambria Math" w:hAnsi="Cambria Math"/>
                  <w:i/>
                </w:rPr>
              </m:ctrlPr>
            </m:sSupPr>
            <m:e>
              <m:r>
                <m:rPr>
                  <m:sty m:val="p"/>
                </m:rPr>
                <w:rPr>
                  <w:rFonts w:ascii="Cambria Math" w:hAnsi="Cambria Math"/>
                </w:rPr>
                <m:t>H</m:t>
              </m:r>
            </m:e>
            <m:sup>
              <m:r>
                <m:rPr>
                  <m:sty m:val="p"/>
                </m:rPr>
                <w:rPr>
                  <w:rFonts w:ascii="Cambria Math" w:hAnsi="Cambria Math"/>
                </w:rPr>
                <m:t>+</m:t>
              </m:r>
            </m:sup>
          </m:sSup>
          <m:r>
            <m:rPr>
              <m:sty m:val="p"/>
            </m:rPr>
            <w:rPr>
              <w:rFonts w:ascii="Cambria Math" w:hAnsi="Cambria Math"/>
            </w:rPr>
            <m:t>+</m:t>
          </m:r>
          <m:sSub>
            <m:sSubPr>
              <m:ctrlPr>
                <w:rPr>
                  <w:rFonts w:ascii="Cambria Math" w:hAnsi="Cambria Math"/>
                  <w:i/>
                </w:rPr>
              </m:ctrlPr>
            </m:sSubPr>
            <m:e>
              <m:sSup>
                <m:sSupPr>
                  <m:ctrlPr>
                    <w:rPr>
                      <w:rFonts w:ascii="Cambria Math" w:hAnsi="Cambria Math"/>
                      <w:i/>
                    </w:rPr>
                  </m:ctrlPr>
                </m:sSupPr>
                <m:e>
                  <m:r>
                    <m:rPr>
                      <m:sty m:val="p"/>
                    </m:rPr>
                    <w:rPr>
                      <w:rFonts w:ascii="Cambria Math" w:hAnsi="Cambria Math"/>
                    </w:rPr>
                    <m:t>O</m:t>
                  </m:r>
                </m:e>
                <m:sup>
                  <m:r>
                    <m:rPr>
                      <m:sty m:val="p"/>
                    </m:rPr>
                    <w:rPr>
                      <w:rFonts w:ascii="Cambria Math" w:hAnsi="Cambria Math"/>
                    </w:rPr>
                    <m:t>x</m:t>
                  </m:r>
                </m:sup>
              </m:sSup>
            </m:e>
            <m:sub>
              <m:r>
                <m:rPr>
                  <m:sty m:val="p"/>
                </m:rPr>
                <w:rPr>
                  <w:rFonts w:ascii="Cambria Math" w:hAnsi="Cambria Math"/>
                </w:rPr>
                <m:t>Electrolyte</m:t>
              </m:r>
            </m:sub>
          </m:sSub>
          <m:r>
            <m:rPr>
              <m:sty m:val="p"/>
            </m:rPr>
            <w:rPr>
              <w:rFonts w:ascii="Cambria Math" w:hAnsi="Cambria Math"/>
            </w:rPr>
            <m:t xml:space="preserve">↔ </m:t>
          </m:r>
          <m:sSub>
            <m:sSubPr>
              <m:ctrlPr>
                <w:rPr>
                  <w:rFonts w:ascii="Cambria Math" w:hAnsi="Cambria Math"/>
                  <w:i/>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i/>
                </w:rPr>
              </m:ctrlPr>
            </m:sSubPr>
            <m:e>
              <m:r>
                <m:rPr>
                  <m:sty m:val="p"/>
                </m:rPr>
                <w:rPr>
                  <w:rFonts w:ascii="Cambria Math" w:hAnsi="Cambria Math"/>
                </w:rPr>
                <m:t>O</m:t>
              </m:r>
            </m:e>
            <m:sub>
              <m:r>
                <m:rPr>
                  <m:sty m:val="p"/>
                </m:rPr>
                <w:rPr>
                  <w:rFonts w:ascii="Cambria Math" w:hAnsi="Cambria Math"/>
                </w:rPr>
                <m:t>(g)</m:t>
              </m:r>
            </m:sub>
          </m:sSub>
          <m:r>
            <m:rPr>
              <m:sty m:val="p"/>
            </m:rPr>
            <w:rPr>
              <w:rFonts w:ascii="Cambria Math" w:hAnsi="Cambria Math"/>
            </w:rPr>
            <m:t>+</m:t>
          </m:r>
          <m:sSup>
            <m:sSupPr>
              <m:ctrlPr>
                <w:rPr>
                  <w:rFonts w:ascii="Cambria Math" w:hAnsi="Cambria Math"/>
                  <w:i/>
                </w:rPr>
              </m:ctrlPr>
            </m:sSupPr>
            <m:e>
              <m:sSub>
                <m:sSubPr>
                  <m:ctrlPr>
                    <w:rPr>
                      <w:rFonts w:ascii="Cambria Math" w:hAnsi="Cambria Math"/>
                      <w:i/>
                    </w:rPr>
                  </m:ctrlPr>
                </m:sSubPr>
                <m:e>
                  <m:r>
                    <m:rPr>
                      <m:sty m:val="p"/>
                    </m:rPr>
                    <w:rPr>
                      <w:rFonts w:ascii="Cambria Math" w:hAnsi="Cambria Math"/>
                    </w:rPr>
                    <m:t>V</m:t>
                  </m:r>
                </m:e>
                <m:sub>
                  <m:r>
                    <m:rPr>
                      <m:sty m:val="p"/>
                    </m:rPr>
                    <w:rPr>
                      <w:rFonts w:ascii="Cambria Math" w:hAnsi="Cambria Math"/>
                    </w:rPr>
                    <m:t>O</m:t>
                  </m:r>
                </m:sub>
              </m:sSub>
            </m:e>
            <m:sup>
              <m:r>
                <m:rPr>
                  <m:sty m:val="p"/>
                </m:rPr>
                <w:rPr>
                  <w:rFonts w:ascii="Cambria Math" w:hAnsi="Cambria Math"/>
                </w:rPr>
                <m:t>2+</m:t>
              </m:r>
            </m:sup>
          </m:sSup>
        </m:oMath>
      </m:oMathPara>
    </w:p>
    <w:p w14:paraId="2E989F76" w14:textId="0FE99CBD" w:rsidR="00007F6C" w:rsidRPr="00A22A1B" w:rsidRDefault="00007F6C" w:rsidP="00007F6C">
      <w:pPr>
        <w:pStyle w:val="Caption"/>
        <w:keepNext/>
        <w:jc w:val="right"/>
        <w:rPr>
          <w:i w:val="0"/>
          <w:iCs w:val="0"/>
          <w:color w:val="auto"/>
          <w:sz w:val="22"/>
          <w:szCs w:val="22"/>
        </w:rPr>
      </w:pPr>
      <w:bookmarkStart w:id="460" w:name="_Ref46412813"/>
      <w:bookmarkStart w:id="461" w:name="_Ref51229923"/>
      <w:r w:rsidRPr="00A22A1B">
        <w:rPr>
          <w:i w:val="0"/>
          <w:iCs w:val="0"/>
          <w:color w:val="auto"/>
          <w:sz w:val="22"/>
          <w:szCs w:val="22"/>
        </w:rPr>
        <w:t>Equation 5.</w:t>
      </w:r>
      <w:bookmarkEnd w:id="460"/>
      <w:r w:rsidRPr="00A22A1B">
        <w:rPr>
          <w:i w:val="0"/>
          <w:iCs w:val="0"/>
          <w:color w:val="auto"/>
          <w:sz w:val="22"/>
          <w:szCs w:val="22"/>
        </w:rPr>
        <w:fldChar w:fldCharType="begin"/>
      </w:r>
      <w:r w:rsidRPr="00A22A1B">
        <w:rPr>
          <w:i w:val="0"/>
          <w:iCs w:val="0"/>
          <w:color w:val="auto"/>
          <w:sz w:val="22"/>
          <w:szCs w:val="22"/>
        </w:rPr>
        <w:instrText xml:space="preserve"> SEQ Equation \* ARABIC \r 1 </w:instrText>
      </w:r>
      <w:r w:rsidRPr="00A22A1B">
        <w:rPr>
          <w:i w:val="0"/>
          <w:iCs w:val="0"/>
          <w:color w:val="auto"/>
          <w:sz w:val="22"/>
          <w:szCs w:val="22"/>
        </w:rPr>
        <w:fldChar w:fldCharType="separate"/>
      </w:r>
      <w:r w:rsidR="00315BF8">
        <w:rPr>
          <w:i w:val="0"/>
          <w:iCs w:val="0"/>
          <w:noProof/>
          <w:color w:val="auto"/>
          <w:sz w:val="22"/>
          <w:szCs w:val="22"/>
        </w:rPr>
        <w:t>1</w:t>
      </w:r>
      <w:r w:rsidRPr="00A22A1B">
        <w:rPr>
          <w:i w:val="0"/>
          <w:iCs w:val="0"/>
          <w:color w:val="auto"/>
          <w:sz w:val="22"/>
          <w:szCs w:val="22"/>
        </w:rPr>
        <w:fldChar w:fldCharType="end"/>
      </w:r>
      <w:bookmarkEnd w:id="461"/>
    </w:p>
    <w:p w14:paraId="302A3B4D" w14:textId="1ECB0FAE" w:rsidR="00007F6C" w:rsidRDefault="00007F6C" w:rsidP="00007F6C">
      <w:pPr>
        <w:jc w:val="both"/>
        <w:rPr>
          <w:rFonts w:eastAsiaTheme="minorEastAsia"/>
        </w:rPr>
      </w:pPr>
      <w:r>
        <w:rPr>
          <w:rFonts w:eastAsiaTheme="minorEastAsia"/>
        </w:rPr>
        <w:t xml:space="preserve">In the fuel electrode literature, the production of the adsorbed protons at the Ni-YSZ boundary has been shown to exhibit double-layer capacitance behaviour which simple RC components cannot accurately model. Since 2000 the state-of-the-art modelling for the fuel electrode has utilised a constant phase element to model these more complex interactions </w:t>
      </w:r>
      <w:r>
        <w:rPr>
          <w:rFonts w:eastAsiaTheme="minorEastAsia"/>
        </w:rPr>
        <w:fldChar w:fldCharType="begin" w:fldLock="1"/>
      </w:r>
      <w:r w:rsidR="00151775">
        <w:rPr>
          <w:rFonts w:eastAsiaTheme="minorEastAsia"/>
        </w:rPr>
        <w:instrText>ADDIN CSL_CITATION {"citationItems":[{"id":"ITEM-1","itemData":{"DOI":"10.1016/S0167-2738(99)00299-4","ISSN":"01672738","abstract":"The electrochemical performance of a porous nickel electrode with its surface modified by deposition with fine yttria-stabilized zirconia (YSZ) powder is compared with that of the `bare' electrode. Image analysis of the electrode microstructure yields values for the triple phase boundary (TPB) length in the range of 45-61 m cm-2. The nickel coverage is in the range of 55-72%. The hydrogen oxidation reaction studied on the two types of electrodes indicates that the electrode reaction is dominated by one process, suggesting a common rate-determining step. The total electrode conductivity increases with increasing TPB length. However, at similar TPB length the electrode conductivity of the modified porous nickel electrode is considerably higher than that of the bare nickel electrode. This result indicates that the presence of fine YSZ particles on the nickel electrode surface creates additional active sites onto which the electrode reaction can proceed. The data of this study are interpreted to reflect an active role for YSZ in the Ni/YSZ SOFC cermet anode.","author":[{"dropping-particle":"","family":"Boer","given":"B.","non-dropping-particle":"de","parse-names":false,"suffix":""},{"dropping-particle":"","family":"Gonzalez","given":"M.","non-dropping-particle":"","parse-names":false,"suffix":""},{"dropping-particle":"","family":"Bouwmeester","given":"H. J.M.","non-dropping-particle":"","parse-names":false,"suffix":""},{"dropping-particle":"","family":"Verweij","given":"H.","non-dropping-particle":"","parse-names":false,"suffix":""}],"container-title":"Solid State Ionics","id":"ITEM-1","issue":"3","issued":{"date-parts":[["2000"]]},"page":"269-276","title":"Effect of the presence of fine YSZ particles on the performance of porous nickel electrodes","type":"article-journal","volume":"127"},"uris":["http://www.mendeley.com/documents/?uuid=d073b7c9-2508-4271-9987-523d55a1ad80"]},{"id":"ITEM-2","itemData":{"abstract":"The long-term properties of Ni/yttria stabilized zirconia (YSZ) cermet anodes for solid oxide fuel cells were evaluated experimentally. A total of 13 anodes of three types based on two commercial NiO powders were examined. The durability was evaluated at temperatures of 850 C, 1000 C and 1050 C over 1300 to 2000 h at an anodic d.c. load of 300 mA cm À2 in hydrogen with 1 to 3% water. The anode-related polarization resistance, R P , was measured by impedance spectroscopy and found to be in the range of 0.05 to 0X7 X cm 2 . After an initial stabilization period of up to 300 h, R P varied linearly with time within the experimental uncertainty. At 1050 C no degradation was observed. At 1000 C a degradation rate of 10 mX cm 2 per 1000 h was found. The degradation rate was possibly higher at 850 C. A single anode was exposed to nine thermal cycles from 1000 to below 100 C at 100 C h À1 . An increase in R P of about 30 mX cm 2 was observed over the ®rst two cycles. For the following thermal cycles R P was stable within the experimental uncertainty.","author":[{"dropping-particle":"","family":"Primdahl","given":"Søren","non-dropping-particle":"","parse-names":false,"suffix":""},{"dropping-particle":"","family":"Mogensen","given":"Mogens","non-dropping-particle":"","parse-names":false,"suffix":""}],"container-title":"Journal of Applied Electrochemistry","id":"ITEM-2","issued":{"date-parts":[["2000"]]},"page":"247-257","title":"Durability and Thermal Cycling of Ni/YSZ Cermet Anodes for SOFC","type":"article-journal","volume":"30"},"uris":["http://www.mendeley.com/documents/?uuid=00979c42-2e3f-4c3b-aa8e-030c09d5cfb3"]},{"id":"ITEM-3","itemData":{"ISBN":"9036513375","abstract":"This thesis deals with the porous Ni/yttria-stabilized zirconia (YSZ) cermet anode on a YSZ electrolyte for solid oxide fuel cells (SOFC). Such anodes are predominantly operated in moist hydrogen at 700C to 1000C, and the most important technological parameters are the polarization resistance and the long-term stability. The polarization resistance can be measured by a number of techniques, in the present work impedance spectroscopy has been used extensively. By impedance spectroscopy limiting processes in the anode polarization resistance may often be separated and characterized individually, provided they have a reasonable separation in time constants. Three limiting processes are recognized in impedance spectra obtained on technological Ni/YSZ cermet anodes characterized against a stable reference electrode atmosphere. By parameter studies and illustrative experiments, the two contributions at low and medium frequency have been identified as gas conversion and diffusion limitations, respectively. Both of these effects are concentration limitations relating to the inefficient exchange of fuel gas in the test setup outside the porous cermet. A test setup geometry where these concentration effects are avoided for high-performance electrodes is recommended. The high frequency limitation is demonstrated to relate to the cermet structure. The dependence on gas composition, temperature, adsorbed species (sulfur), isotopes (H/D), sintering temperature and cermet thickness is investigated. Despite these studies and several similar studies by others, the exact chemical or physical nature of the limiting step has not been incontestably identified. However, there is a general consensus in literature about the hydrogen oxidation process taking place on or near to the triple phase boundary (TPB) line, where open gas-filled pores, the continuous electrolyte phase (oxide ion conductor) and the continuous Ni phase (electronic conductor) meet. The physical thickness of a cermet anode that contains active TPB sites contributing to the current density of an SOFC is demonstrated to be about 10 µm. This result has technological importance, as any overlying structure serves primarily as a current collector and needs not be optimized for transport of oxide ions. The anode durability is investigated over 1300 to 1900 hrs at 300 mA/cm2 and shown to be stable at 1050C. At 1000C a degradation rate of about 10 mΩcm2 /1000 hrs is observed, and at 850C a degradation rate of about …","author":[{"dropping-particle":"","family":"Primdahl Søren","given":"","non-dropping-particle":"","parse-names":false,"suffix":""}],"container-title":"Technical University of Denmark","id":"ITEM-3","issued":{"date-parts":[["1999"]]},"number-of-pages":"203","publisher":"University of Twente","title":"Nickel/yttria-stabilised zirconia cermet anodes for solid oxide fuel cells","type":"thesis","volume":"PhD"},"uris":["http://www.mendeley.com/documents/?uuid=0fe024e0-9cb0-4090-a4ab-f51c03e5a594"]}],"mendeley":{"formattedCitation":"[130], [133], [449]","plainTextFormattedCitation":"[130], [133], [449]","previouslyFormattedCitation":"[130], [133], [449]"},"properties":{"noteIndex":0},"schema":"https://github.com/citation-style-language/schema/raw/master/csl-citation.json"}</w:instrText>
      </w:r>
      <w:r>
        <w:rPr>
          <w:rFonts w:eastAsiaTheme="minorEastAsia"/>
        </w:rPr>
        <w:fldChar w:fldCharType="separate"/>
      </w:r>
      <w:r w:rsidR="008B6E91" w:rsidRPr="008B6E91">
        <w:rPr>
          <w:rFonts w:eastAsiaTheme="minorEastAsia"/>
          <w:noProof/>
        </w:rPr>
        <w:t>[130], [133], [449]</w:t>
      </w:r>
      <w:r>
        <w:rPr>
          <w:rFonts w:eastAsiaTheme="minorEastAsia"/>
        </w:rPr>
        <w:fldChar w:fldCharType="end"/>
      </w:r>
      <w:r>
        <w:rPr>
          <w:rFonts w:eastAsiaTheme="minorEastAsia"/>
        </w:rPr>
        <w:t>.</w:t>
      </w:r>
    </w:p>
    <w:p w14:paraId="5F31BA62" w14:textId="6CA4DF45" w:rsidR="00007F6C" w:rsidRDefault="00007F6C" w:rsidP="00007F6C">
      <w:pPr>
        <w:jc w:val="both"/>
        <w:rPr>
          <w:rFonts w:eastAsiaTheme="minorEastAsia"/>
        </w:rPr>
      </w:pPr>
      <w:r>
        <w:rPr>
          <w:rFonts w:eastAsiaTheme="minorEastAsia"/>
        </w:rPr>
        <w:t xml:space="preserve">The origin of the low frequency impedance arc (0.1- 100 Hz) is a product of the gas phase diffusion impedance present at the triple phase boundaries active in the second and third stages of </w:t>
      </w:r>
      <w:r>
        <w:rPr>
          <w:rFonts w:eastAsiaTheme="minorEastAsia"/>
        </w:rPr>
        <w:fldChar w:fldCharType="begin"/>
      </w:r>
      <w:r>
        <w:rPr>
          <w:rFonts w:eastAsiaTheme="minorEastAsia"/>
        </w:rPr>
        <w:instrText xml:space="preserve"> REF _Ref46412813 \h  \* MERGEFORMAT </w:instrText>
      </w:r>
      <w:r>
        <w:rPr>
          <w:rFonts w:eastAsiaTheme="minorEastAsia"/>
        </w:rPr>
      </w:r>
      <w:r>
        <w:rPr>
          <w:rFonts w:eastAsiaTheme="minorEastAsia"/>
        </w:rPr>
        <w:fldChar w:fldCharType="separate"/>
      </w:r>
      <w:r w:rsidRPr="00C103C3">
        <w:t xml:space="preserve">Equation </w:t>
      </w:r>
      <w:r w:rsidRPr="00C103C3">
        <w:rPr>
          <w:noProof/>
        </w:rPr>
        <w:t>5.</w:t>
      </w:r>
      <w:r>
        <w:rPr>
          <w:rFonts w:eastAsiaTheme="minorEastAsia"/>
        </w:rPr>
        <w:fldChar w:fldCharType="end"/>
      </w:r>
      <w:r>
        <w:rPr>
          <w:rFonts w:eastAsiaTheme="minorEastAsia"/>
        </w:rPr>
        <w:t xml:space="preserve">1 </w:t>
      </w:r>
      <w:r>
        <w:rPr>
          <w:rFonts w:eastAsiaTheme="minorEastAsia"/>
        </w:rPr>
        <w:fldChar w:fldCharType="begin" w:fldLock="1"/>
      </w:r>
      <w:r w:rsidR="00D80A5D">
        <w:rPr>
          <w:rFonts w:eastAsiaTheme="minorEastAsia"/>
        </w:rPr>
        <w:instrText>ADDIN CSL_CITATION {"citationItems":[{"id":"ITEM-1","itemData":{"ISBN":"9036513375","abstract":"This thesis deals with the porous Ni/yttria-stabilized zirconia (YSZ) cermet anode on a YSZ electrolyte for solid oxide fuel cells (SOFC). Such anodes are predominantly operated in moist hydrogen at 700C to 1000C, and the most important technological parameters are the polarization resistance and the long-term stability. The polarization resistance can be measured by a number of techniques, in the present work impedance spectroscopy has been used extensively. By impedance spectroscopy limiting processes in the anode polarization resistance may often be separated and characterized individually, provided they have a reasonable separation in time constants. Three limiting processes are recognized in impedance spectra obtained on technological Ni/YSZ cermet anodes characterized against a stable reference electrode atmosphere. By parameter studies and illustrative experiments, the two contributions at low and medium frequency have been identified as gas conversion and diffusion limitations, respectively. Both of these effects are concentration limitations relating to the inefficient exchange of fuel gas in the test setup outside the porous cermet. A test setup geometry where these concentration effects are avoided for high-performance electrodes is recommended. The high frequency limitation is demonstrated to relate to the cermet structure. The dependence on gas composition, temperature, adsorbed species (sulfur), isotopes (H/D), sintering temperature and cermet thickness is investigated. Despite these studies and several similar studies by others, the exact chemical or physical nature of the limiting step has not been incontestably identified. However, there is a general consensus in literature about the hydrogen oxidation process taking place on or near to the triple phase boundary (TPB) line, where open gas-filled pores, the continuous electrolyte phase (oxide ion conductor) and the continuous Ni phase (electronic conductor) meet. The physical thickness of a cermet anode that contains active TPB sites contributing to the current density of an SOFC is demonstrated to be about 10 µm. This result has technological importance, as any overlying structure serves primarily as a current collector and needs not be optimized for transport of oxide ions. The anode durability is investigated over 1300 to 1900 hrs at 300 mA/cm2 and shown to be stable at 1050C. At 1000C a degradation rate of about 10 mΩcm2 /1000 hrs is observed, and at 850C a degradation rate of about …","author":[{"dropping-particle":"","family":"Primdahl Søren","given":"","non-dropping-particle":"","parse-names":false,"suffix":""}],"container-title":"Technical University of Denmark","id":"ITEM-1","issued":{"date-parts":[["1999"]]},"number-of-pages":"203","publisher":"University of Twente","title":"Nickel/yttria-stabilised zirconia cermet anodes for solid oxide fuel cells","type":"thesis","volume":"PhD"},"uris":["http://www.mendeley.com/documents/?uuid=0fe024e0-9cb0-4090-a4ab-f51c03e5a594"]}],"mendeley":{"formattedCitation":"[130]","plainTextFormattedCitation":"[130]","previouslyFormattedCitation":"[130]"},"properties":{"noteIndex":0},"schema":"https://github.com/citation-style-language/schema/raw/master/csl-citation.json"}</w:instrText>
      </w:r>
      <w:r>
        <w:rPr>
          <w:rFonts w:eastAsiaTheme="minorEastAsia"/>
        </w:rPr>
        <w:fldChar w:fldCharType="separate"/>
      </w:r>
      <w:r w:rsidR="006C586A" w:rsidRPr="006C586A">
        <w:rPr>
          <w:rFonts w:eastAsiaTheme="minorEastAsia"/>
          <w:noProof/>
        </w:rPr>
        <w:t>[130]</w:t>
      </w:r>
      <w:r>
        <w:rPr>
          <w:rFonts w:eastAsiaTheme="minorEastAsia"/>
        </w:rPr>
        <w:fldChar w:fldCharType="end"/>
      </w:r>
      <w:r>
        <w:rPr>
          <w:rFonts w:eastAsiaTheme="minorEastAsia"/>
        </w:rPr>
        <w:t>. The porous nature of the infiltrated fuel electrode reinforces the significance of this arc and its contribution to the total R</w:t>
      </w:r>
      <w:r>
        <w:rPr>
          <w:rFonts w:eastAsiaTheme="minorEastAsia"/>
          <w:vertAlign w:val="subscript"/>
        </w:rPr>
        <w:t>P</w:t>
      </w:r>
      <w:r>
        <w:rPr>
          <w:rFonts w:eastAsiaTheme="minorEastAsia"/>
        </w:rPr>
        <w:t xml:space="preserve"> of the silver coated Ni-YSZ system.</w:t>
      </w:r>
    </w:p>
    <w:p w14:paraId="11C83166" w14:textId="57B12974" w:rsidR="00007F6C" w:rsidRPr="00253A8E" w:rsidRDefault="00007F6C" w:rsidP="00007F6C">
      <w:pPr>
        <w:jc w:val="both"/>
        <w:rPr>
          <w:rFonts w:eastAsiaTheme="minorEastAsia"/>
        </w:rPr>
      </w:pPr>
      <w:r>
        <w:rPr>
          <w:rFonts w:eastAsiaTheme="minorEastAsia"/>
        </w:rPr>
        <w:t>Hence, these interactions are the main reason for the use of utilising two connected CPE components in series to both mechanisms effectively. However, the emergence of an impedance arc at 16 kHz after 15 h of ageing in the samples utilising the silver current collector was unexpected (</w:t>
      </w:r>
      <w:r>
        <w:rPr>
          <w:rFonts w:eastAsiaTheme="minorEastAsia"/>
        </w:rPr>
        <w:fldChar w:fldCharType="begin"/>
      </w:r>
      <w:r>
        <w:rPr>
          <w:rFonts w:eastAsiaTheme="minorEastAsia"/>
        </w:rPr>
        <w:instrText xml:space="preserve"> REF _Ref45020457 \h  \* MERGEFORMAT </w:instrText>
      </w:r>
      <w:r>
        <w:rPr>
          <w:rFonts w:eastAsiaTheme="minorEastAsia"/>
        </w:rPr>
      </w:r>
      <w:r>
        <w:rPr>
          <w:rFonts w:eastAsiaTheme="minorEastAsia"/>
        </w:rPr>
        <w:fldChar w:fldCharType="separate"/>
      </w:r>
      <w:r w:rsidR="00903E7F">
        <w:t xml:space="preserve">Figure </w:t>
      </w:r>
      <w:r w:rsidR="00903E7F">
        <w:rPr>
          <w:noProof/>
        </w:rPr>
        <w:t>5.5</w:t>
      </w:r>
      <w:r>
        <w:rPr>
          <w:rFonts w:eastAsiaTheme="minorEastAsia"/>
        </w:rPr>
        <w:fldChar w:fldCharType="end"/>
      </w:r>
      <w:r>
        <w:rPr>
          <w:rFonts w:eastAsiaTheme="minorEastAsia"/>
        </w:rPr>
        <w:t xml:space="preserve">, </w:t>
      </w:r>
      <w:r>
        <w:rPr>
          <w:rFonts w:eastAsiaTheme="minorEastAsia"/>
        </w:rPr>
        <w:fldChar w:fldCharType="begin"/>
      </w:r>
      <w:r>
        <w:rPr>
          <w:rFonts w:eastAsiaTheme="minorEastAsia"/>
        </w:rPr>
        <w:instrText xml:space="preserve"> REF _Ref45020472 \h  \* MERGEFORMAT </w:instrText>
      </w:r>
      <w:r>
        <w:rPr>
          <w:rFonts w:eastAsiaTheme="minorEastAsia"/>
        </w:rPr>
      </w:r>
      <w:r>
        <w:rPr>
          <w:rFonts w:eastAsiaTheme="minorEastAsia"/>
        </w:rPr>
        <w:fldChar w:fldCharType="separate"/>
      </w:r>
      <w:r w:rsidR="00903E7F">
        <w:rPr>
          <w:noProof/>
        </w:rPr>
        <w:t>Figure</w:t>
      </w:r>
      <w:r w:rsidR="00903E7F">
        <w:t xml:space="preserve"> 5.6</w:t>
      </w:r>
      <w:r>
        <w:rPr>
          <w:rFonts w:eastAsiaTheme="minorEastAsia"/>
        </w:rPr>
        <w:fldChar w:fldCharType="end"/>
      </w:r>
      <w:r>
        <w:rPr>
          <w:rFonts w:eastAsiaTheme="minorEastAsia"/>
        </w:rPr>
        <w:t xml:space="preserve"> and </w:t>
      </w:r>
      <w:r>
        <w:rPr>
          <w:rFonts w:eastAsiaTheme="minorEastAsia"/>
        </w:rPr>
        <w:fldChar w:fldCharType="begin"/>
      </w:r>
      <w:r>
        <w:rPr>
          <w:rFonts w:eastAsiaTheme="minorEastAsia"/>
        </w:rPr>
        <w:instrText xml:space="preserve"> REF _Ref45020476 \h  \* MERGEFORMAT </w:instrText>
      </w:r>
      <w:r>
        <w:rPr>
          <w:rFonts w:eastAsiaTheme="minorEastAsia"/>
        </w:rPr>
      </w:r>
      <w:r>
        <w:rPr>
          <w:rFonts w:eastAsiaTheme="minorEastAsia"/>
        </w:rPr>
        <w:fldChar w:fldCharType="separate"/>
      </w:r>
      <w:r w:rsidR="00903E7F">
        <w:t>Figure 5.7</w:t>
      </w:r>
      <w:r>
        <w:rPr>
          <w:rFonts w:eastAsiaTheme="minorEastAsia"/>
        </w:rPr>
        <w:fldChar w:fldCharType="end"/>
      </w:r>
      <w:r>
        <w:rPr>
          <w:rFonts w:eastAsiaTheme="minorEastAsia"/>
        </w:rPr>
        <w:t xml:space="preserve">). This arc has been attributed to an additional gas transport step hindering charge transfer as discussed by both </w:t>
      </w:r>
      <w:proofErr w:type="spellStart"/>
      <w:r>
        <w:rPr>
          <w:rFonts w:eastAsiaTheme="minorEastAsia"/>
          <w:i/>
          <w:iCs/>
        </w:rPr>
        <w:t>Primdahl</w:t>
      </w:r>
      <w:proofErr w:type="spellEnd"/>
      <w:r>
        <w:rPr>
          <w:rFonts w:eastAsiaTheme="minorEastAsia"/>
          <w:i/>
          <w:iCs/>
        </w:rPr>
        <w:t xml:space="preserve">, Boer </w:t>
      </w:r>
      <w:r>
        <w:rPr>
          <w:rFonts w:eastAsiaTheme="minorEastAsia"/>
        </w:rPr>
        <w:t xml:space="preserve">and </w:t>
      </w:r>
      <w:proofErr w:type="spellStart"/>
      <w:r w:rsidRPr="00253A8E">
        <w:rPr>
          <w:rFonts w:eastAsiaTheme="minorEastAsia"/>
          <w:i/>
          <w:iCs/>
        </w:rPr>
        <w:t>Gewies</w:t>
      </w:r>
      <w:proofErr w:type="spellEnd"/>
      <w:r>
        <w:rPr>
          <w:rFonts w:eastAsiaTheme="minorEastAsia"/>
        </w:rPr>
        <w:t xml:space="preserve"> due to its frequency and relative magnitude to the arc from 16 – 65 kHz </w:t>
      </w:r>
      <w:r>
        <w:rPr>
          <w:rFonts w:eastAsiaTheme="minorEastAsia"/>
        </w:rPr>
        <w:fldChar w:fldCharType="begin" w:fldLock="1"/>
      </w:r>
      <w:r w:rsidR="00151775">
        <w:rPr>
          <w:rFonts w:eastAsiaTheme="minorEastAsia"/>
        </w:rPr>
        <w:instrText>ADDIN CSL_CITATION {"citationItems":[{"id":"ITEM-1","itemData":{"ISBN":"9036513375","abstract":"This thesis deals with the porous Ni/yttria-stabilized zirconia (YSZ) cermet anode on a YSZ electrolyte for solid oxide fuel cells (SOFC). Such anodes are predominantly operated in moist hydrogen at 700C to 1000C, and the most important technological parameters are the polarization resistance and the long-term stability. The polarization resistance can be measured by a number of techniques, in the present work impedance spectroscopy has been used extensively. By impedance spectroscopy limiting processes in the anode polarization resistance may often be separated and characterized individually, provided they have a reasonable separation in time constants. Three limiting processes are recognized in impedance spectra obtained on technological Ni/YSZ cermet anodes characterized against a stable reference electrode atmosphere. By parameter studies and illustrative experiments, the two contributions at low and medium frequency have been identified as gas conversion and diffusion limitations, respectively. Both of these effects are concentration limitations relating to the inefficient exchange of fuel gas in the test setup outside the porous cermet. A test setup geometry where these concentration effects are avoided for high-performance electrodes is recommended. The high frequency limitation is demonstrated to relate to the cermet structure. The dependence on gas composition, temperature, adsorbed species (sulfur), isotopes (H/D), sintering temperature and cermet thickness is investigated. Despite these studies and several similar studies by others, the exact chemical or physical nature of the limiting step has not been incontestably identified. However, there is a general consensus in literature about the hydrogen oxidation process taking place on or near to the triple phase boundary (TPB) line, where open gas-filled pores, the continuous electrolyte phase (oxide ion conductor) and the continuous Ni phase (electronic conductor) meet. The physical thickness of a cermet anode that contains active TPB sites contributing to the current density of an SOFC is demonstrated to be about 10 µm. This result has technological importance, as any overlying structure serves primarily as a current collector and needs not be optimized for transport of oxide ions. The anode durability is investigated over 1300 to 1900 hrs at 300 mA/cm2 and shown to be stable at 1050C. At 1000C a degradation rate of about 10 mΩcm2 /1000 hrs is observed, and at 850C a degradation rate of about …","author":[{"dropping-particle":"","family":"Primdahl Søren","given":"","non-dropping-particle":"","parse-names":false,"suffix":""}],"container-title":"Technical University of Denmark","id":"ITEM-1","issued":{"date-parts":[["1999"]]},"number-of-pages":"203","publisher":"University of Twente","title":"Nickel/yttria-stabilised zirconia cermet anodes for solid oxide fuel cells","type":"thesis","volume":"PhD"},"uris":["http://www.mendeley.com/documents/?uuid=0fe024e0-9cb0-4090-a4ab-f51c03e5a594"]},{"id":"ITEM-2","itemData":{"DOI":"10.1016/S0167-2738(99)00299-4","ISSN":"01672738","abstract":"The electrochemical performance of a porous nickel electrode with its surface modified by deposition with fine yttria-stabilized zirconia (YSZ) powder is compared with that of the `bare' electrode. Image analysis of the electrode microstructure yields values for the triple phase boundary (TPB) length in the range of 45-61 m cm-2. The nickel coverage is in the range of 55-72%. The hydrogen oxidation reaction studied on the two types of electrodes indicates that the electrode reaction is dominated by one process, suggesting a common rate-determining step. The total electrode conductivity increases with increasing TPB length. However, at similar TPB length the electrode conductivity of the modified porous nickel electrode is considerably higher than that of the bare nickel electrode. This result indicates that the presence of fine YSZ particles on the nickel electrode surface creates additional active sites onto which the electrode reaction can proceed. The data of this study are interpreted to reflect an active role for YSZ in the Ni/YSZ SOFC cermet anode.","author":[{"dropping-particle":"","family":"Boer","given":"B.","non-dropping-particle":"de","parse-names":false,"suffix":""},{"dropping-particle":"","family":"Gonzalez","given":"M.","non-dropping-particle":"","parse-names":false,"suffix":""},{"dropping-particle":"","family":"Bouwmeester","given":"H. J.M.","non-dropping-particle":"","parse-names":false,"suffix":""},{"dropping-particle":"","family":"Verweij","given":"H.","non-dropping-particle":"","parse-names":false,"suffix":""}],"container-title":"Solid State Ionics","id":"ITEM-2","issue":"3","issued":{"date-parts":[["2000"]]},"page":"269-276","title":"Effect of the presence of fine YSZ particles on the performance of porous nickel electrodes","type":"article-journal","volume":"127"},"uris":["http://www.mendeley.com/documents/?uuid=d073b7c9-2508-4271-9987-523d55a1ad80"]},{"id":"ITEM-3","itemData":{"abstract":"نتم","author":[{"dropping-particle":"","family":"Gewies","given":"Stefan","non-dropping-particle":"","parse-names":false,"suffix":""}],"id":"ITEM-3","issued":{"date-parts":[["2009"]]},"number-of-pages":"78","publisher":"Heidelberg University","title":"Modellgestutzte Interpretation der ¨ elektrochemischen Charakteristik von Festoxid-Brennstoffzellen mit Ni/YSZ-Cermetanoden","type":"thesis"},"uris":["http://www.mendeley.com/documents/?uuid=d02fd637-f54e-48c8-9661-bab686724d12","http://www.mendeley.com/documents/?uuid=e9a48db1-da7b-4e3e-abf0-4dbe0199eec9"]}],"mendeley":{"formattedCitation":"[130], [133], [425]","plainTextFormattedCitation":"[130], [133], [425]","previouslyFormattedCitation":"[130], [133], [425]"},"properties":{"noteIndex":0},"schema":"https://github.com/citation-style-language/schema/raw/master/csl-citation.json"}</w:instrText>
      </w:r>
      <w:r>
        <w:rPr>
          <w:rFonts w:eastAsiaTheme="minorEastAsia"/>
        </w:rPr>
        <w:fldChar w:fldCharType="separate"/>
      </w:r>
      <w:r w:rsidR="008B6E91" w:rsidRPr="008B6E91">
        <w:rPr>
          <w:rFonts w:eastAsiaTheme="minorEastAsia"/>
          <w:noProof/>
        </w:rPr>
        <w:t>[130], [133], [425]</w:t>
      </w:r>
      <w:r>
        <w:rPr>
          <w:rFonts w:eastAsiaTheme="minorEastAsia"/>
        </w:rPr>
        <w:fldChar w:fldCharType="end"/>
      </w:r>
      <w:r>
        <w:rPr>
          <w:rFonts w:eastAsiaTheme="minorEastAsia"/>
        </w:rPr>
        <w:t>.</w:t>
      </w:r>
    </w:p>
    <w:p w14:paraId="7C73AC24" w14:textId="1F2EFE7E" w:rsidR="00007F6C" w:rsidRDefault="00007F6C" w:rsidP="00007F6C">
      <w:pPr>
        <w:pStyle w:val="Caption"/>
        <w:keepNext/>
      </w:pPr>
      <w:r>
        <w:t>Table 5.</w:t>
      </w:r>
      <w:r w:rsidR="00B51F53">
        <w:fldChar w:fldCharType="begin"/>
      </w:r>
      <w:r w:rsidR="00B51F53">
        <w:instrText xml:space="preserve"> SEQ Table \* ARABIC </w:instrText>
      </w:r>
      <w:r w:rsidR="00B51F53">
        <w:fldChar w:fldCharType="separate"/>
      </w:r>
      <w:r w:rsidR="0022061C">
        <w:rPr>
          <w:noProof/>
        </w:rPr>
        <w:t>2</w:t>
      </w:r>
      <w:r w:rsidR="00B51F53">
        <w:rPr>
          <w:noProof/>
        </w:rPr>
        <w:fldChar w:fldCharType="end"/>
      </w:r>
      <w:r>
        <w:t>: Table detailing the Rs and Rp of Ag1 N-YSZ sample using equivalent circuit and circle fitting using XM Studio ECS</w:t>
      </w:r>
    </w:p>
    <w:tbl>
      <w:tblPr>
        <w:tblStyle w:val="TableGrid"/>
        <w:tblW w:w="0" w:type="auto"/>
        <w:jc w:val="center"/>
        <w:tblLook w:val="04A0" w:firstRow="1" w:lastRow="0" w:firstColumn="1" w:lastColumn="0" w:noHBand="0" w:noVBand="1"/>
      </w:tblPr>
      <w:tblGrid>
        <w:gridCol w:w="1313"/>
        <w:gridCol w:w="1292"/>
        <w:gridCol w:w="770"/>
        <w:gridCol w:w="1280"/>
        <w:gridCol w:w="837"/>
        <w:gridCol w:w="830"/>
        <w:gridCol w:w="1311"/>
        <w:gridCol w:w="837"/>
      </w:tblGrid>
      <w:tr w:rsidR="00007F6C" w14:paraId="4B16EA13" w14:textId="77777777" w:rsidTr="005E2F1E">
        <w:trPr>
          <w:jc w:val="center"/>
        </w:trPr>
        <w:tc>
          <w:tcPr>
            <w:tcW w:w="0" w:type="auto"/>
          </w:tcPr>
          <w:p w14:paraId="7C9FCC13" w14:textId="77777777" w:rsidR="00007F6C" w:rsidRDefault="00007F6C" w:rsidP="005E2F1E">
            <w:pPr>
              <w:jc w:val="both"/>
            </w:pPr>
            <w:r w:rsidRPr="00D761C3">
              <w:rPr>
                <w:b/>
                <w:bCs/>
              </w:rPr>
              <w:t>Sample</w:t>
            </w:r>
          </w:p>
        </w:tc>
        <w:tc>
          <w:tcPr>
            <w:tcW w:w="0" w:type="auto"/>
          </w:tcPr>
          <w:p w14:paraId="1964DD6E" w14:textId="77777777" w:rsidR="00007F6C" w:rsidRDefault="00007F6C" w:rsidP="005E2F1E">
            <w:pPr>
              <w:jc w:val="both"/>
            </w:pPr>
            <w:r w:rsidRPr="00D761C3">
              <w:rPr>
                <w:b/>
                <w:bCs/>
              </w:rPr>
              <w:t xml:space="preserve">Fitting Type </w:t>
            </w:r>
          </w:p>
        </w:tc>
        <w:tc>
          <w:tcPr>
            <w:tcW w:w="0" w:type="auto"/>
          </w:tcPr>
          <w:p w14:paraId="4D8F876C" w14:textId="77777777" w:rsidR="00007F6C" w:rsidRDefault="00007F6C" w:rsidP="005E2F1E">
            <w:pPr>
              <w:jc w:val="both"/>
            </w:pPr>
            <w:r w:rsidRPr="00D761C3">
              <w:rPr>
                <w:b/>
                <w:bCs/>
              </w:rPr>
              <w:t>Rs [</w:t>
            </w:r>
            <w:r>
              <w:rPr>
                <w:rFonts w:cstheme="minorHAnsi"/>
                <w:b/>
                <w:bCs/>
              </w:rPr>
              <w:t>Ω</w:t>
            </w:r>
            <w:r w:rsidRPr="00D761C3">
              <w:rPr>
                <w:b/>
                <w:bCs/>
              </w:rPr>
              <w:t>]</w:t>
            </w:r>
          </w:p>
        </w:tc>
        <w:tc>
          <w:tcPr>
            <w:tcW w:w="0" w:type="auto"/>
          </w:tcPr>
          <w:p w14:paraId="164B187F" w14:textId="77777777" w:rsidR="00007F6C" w:rsidRDefault="00007F6C" w:rsidP="005E2F1E">
            <w:pPr>
              <w:jc w:val="both"/>
            </w:pPr>
            <w:r w:rsidRPr="00D761C3">
              <w:rPr>
                <w:b/>
                <w:bCs/>
              </w:rPr>
              <w:t>Rs Error</w:t>
            </w:r>
            <w:r>
              <w:rPr>
                <w:b/>
                <w:bCs/>
              </w:rPr>
              <w:t xml:space="preserve"> </w:t>
            </w:r>
            <w:r w:rsidRPr="00D761C3">
              <w:rPr>
                <w:b/>
                <w:bCs/>
              </w:rPr>
              <w:t>[</w:t>
            </w:r>
            <w:r>
              <w:rPr>
                <w:rFonts w:cstheme="minorHAnsi"/>
                <w:b/>
                <w:bCs/>
              </w:rPr>
              <w:t>Ω</w:t>
            </w:r>
            <w:r w:rsidRPr="00D761C3">
              <w:rPr>
                <w:b/>
                <w:bCs/>
              </w:rPr>
              <w:t>]</w:t>
            </w:r>
          </w:p>
        </w:tc>
        <w:tc>
          <w:tcPr>
            <w:tcW w:w="0" w:type="auto"/>
          </w:tcPr>
          <w:p w14:paraId="59F786F1" w14:textId="77777777" w:rsidR="00007F6C" w:rsidRDefault="00007F6C" w:rsidP="005E2F1E">
            <w:pPr>
              <w:jc w:val="both"/>
            </w:pPr>
            <w:r w:rsidRPr="00D761C3">
              <w:rPr>
                <w:b/>
                <w:bCs/>
              </w:rPr>
              <w:t>Error%</w:t>
            </w:r>
          </w:p>
        </w:tc>
        <w:tc>
          <w:tcPr>
            <w:tcW w:w="0" w:type="auto"/>
          </w:tcPr>
          <w:p w14:paraId="0800BE58" w14:textId="77777777" w:rsidR="00007F6C" w:rsidRDefault="00007F6C" w:rsidP="005E2F1E">
            <w:pPr>
              <w:jc w:val="both"/>
            </w:pPr>
            <w:r w:rsidRPr="00D761C3">
              <w:rPr>
                <w:b/>
                <w:bCs/>
              </w:rPr>
              <w:t>Rp [</w:t>
            </w:r>
            <w:r>
              <w:rPr>
                <w:rFonts w:cstheme="minorHAnsi"/>
                <w:b/>
                <w:bCs/>
              </w:rPr>
              <w:t>Ω</w:t>
            </w:r>
            <w:r w:rsidRPr="00D761C3">
              <w:rPr>
                <w:b/>
                <w:bCs/>
              </w:rPr>
              <w:t>]</w:t>
            </w:r>
          </w:p>
        </w:tc>
        <w:tc>
          <w:tcPr>
            <w:tcW w:w="0" w:type="auto"/>
          </w:tcPr>
          <w:p w14:paraId="1F92F3F0" w14:textId="77777777" w:rsidR="00007F6C" w:rsidRDefault="00007F6C" w:rsidP="005E2F1E">
            <w:pPr>
              <w:jc w:val="both"/>
            </w:pPr>
            <w:r w:rsidRPr="00D761C3">
              <w:rPr>
                <w:b/>
                <w:bCs/>
              </w:rPr>
              <w:t>Rp Error</w:t>
            </w:r>
            <w:r>
              <w:rPr>
                <w:b/>
                <w:bCs/>
              </w:rPr>
              <w:t xml:space="preserve"> </w:t>
            </w:r>
            <w:r w:rsidRPr="00D761C3">
              <w:rPr>
                <w:b/>
                <w:bCs/>
              </w:rPr>
              <w:t>[</w:t>
            </w:r>
            <w:r>
              <w:rPr>
                <w:rFonts w:cstheme="minorHAnsi"/>
                <w:b/>
                <w:bCs/>
              </w:rPr>
              <w:t>Ω</w:t>
            </w:r>
            <w:r w:rsidRPr="00D761C3">
              <w:rPr>
                <w:b/>
                <w:bCs/>
              </w:rPr>
              <w:t>]</w:t>
            </w:r>
          </w:p>
        </w:tc>
        <w:tc>
          <w:tcPr>
            <w:tcW w:w="0" w:type="auto"/>
          </w:tcPr>
          <w:p w14:paraId="63A4F9FA" w14:textId="77777777" w:rsidR="00007F6C" w:rsidRDefault="00007F6C" w:rsidP="005E2F1E">
            <w:pPr>
              <w:jc w:val="both"/>
            </w:pPr>
            <w:r w:rsidRPr="00D761C3">
              <w:rPr>
                <w:b/>
                <w:bCs/>
              </w:rPr>
              <w:t>Error%</w:t>
            </w:r>
          </w:p>
        </w:tc>
      </w:tr>
      <w:tr w:rsidR="00007F6C" w14:paraId="4EE25F52" w14:textId="77777777" w:rsidTr="005E2F1E">
        <w:trPr>
          <w:jc w:val="center"/>
        </w:trPr>
        <w:tc>
          <w:tcPr>
            <w:tcW w:w="0" w:type="auto"/>
          </w:tcPr>
          <w:p w14:paraId="491EB737" w14:textId="77777777" w:rsidR="00007F6C" w:rsidRDefault="00007F6C" w:rsidP="005E2F1E">
            <w:pPr>
              <w:jc w:val="both"/>
            </w:pPr>
            <w:r>
              <w:t>Ni-YSZ (Ag1)</w:t>
            </w:r>
          </w:p>
        </w:tc>
        <w:tc>
          <w:tcPr>
            <w:tcW w:w="0" w:type="auto"/>
          </w:tcPr>
          <w:p w14:paraId="3A678A6E" w14:textId="77777777" w:rsidR="00007F6C" w:rsidRDefault="00007F6C" w:rsidP="005E2F1E">
            <w:pPr>
              <w:jc w:val="both"/>
            </w:pPr>
            <w:r>
              <w:t>Circle</w:t>
            </w:r>
          </w:p>
        </w:tc>
        <w:tc>
          <w:tcPr>
            <w:tcW w:w="0" w:type="auto"/>
          </w:tcPr>
          <w:p w14:paraId="31366272" w14:textId="77777777" w:rsidR="00007F6C" w:rsidRDefault="00007F6C" w:rsidP="005E2F1E">
            <w:pPr>
              <w:jc w:val="right"/>
            </w:pPr>
            <w:r>
              <w:t>25.26</w:t>
            </w:r>
          </w:p>
        </w:tc>
        <w:tc>
          <w:tcPr>
            <w:tcW w:w="0" w:type="auto"/>
          </w:tcPr>
          <w:p w14:paraId="0E6B8A01" w14:textId="77777777" w:rsidR="00007F6C" w:rsidRDefault="00007F6C" w:rsidP="005E2F1E">
            <w:pPr>
              <w:jc w:val="right"/>
            </w:pPr>
            <w:r>
              <w:t>N/A</w:t>
            </w:r>
          </w:p>
        </w:tc>
        <w:tc>
          <w:tcPr>
            <w:tcW w:w="0" w:type="auto"/>
          </w:tcPr>
          <w:p w14:paraId="4E9A12FE" w14:textId="77777777" w:rsidR="00007F6C" w:rsidRDefault="00007F6C" w:rsidP="005E2F1E">
            <w:pPr>
              <w:jc w:val="right"/>
            </w:pPr>
            <w:r>
              <w:t>N/A</w:t>
            </w:r>
          </w:p>
        </w:tc>
        <w:tc>
          <w:tcPr>
            <w:tcW w:w="0" w:type="auto"/>
          </w:tcPr>
          <w:p w14:paraId="07D770D2" w14:textId="77777777" w:rsidR="00007F6C" w:rsidRDefault="00007F6C" w:rsidP="005E2F1E">
            <w:pPr>
              <w:jc w:val="right"/>
            </w:pPr>
            <w:r>
              <w:t>57.36</w:t>
            </w:r>
          </w:p>
        </w:tc>
        <w:tc>
          <w:tcPr>
            <w:tcW w:w="0" w:type="auto"/>
          </w:tcPr>
          <w:p w14:paraId="6F0FD3E5" w14:textId="77777777" w:rsidR="00007F6C" w:rsidRDefault="00007F6C" w:rsidP="005E2F1E">
            <w:pPr>
              <w:jc w:val="right"/>
            </w:pPr>
            <w:r>
              <w:t>N/A</w:t>
            </w:r>
          </w:p>
        </w:tc>
        <w:tc>
          <w:tcPr>
            <w:tcW w:w="0" w:type="auto"/>
          </w:tcPr>
          <w:p w14:paraId="4D40ED74" w14:textId="77777777" w:rsidR="00007F6C" w:rsidRDefault="00007F6C" w:rsidP="005E2F1E">
            <w:pPr>
              <w:jc w:val="right"/>
            </w:pPr>
            <w:r>
              <w:t>N/A</w:t>
            </w:r>
          </w:p>
        </w:tc>
      </w:tr>
      <w:tr w:rsidR="00007F6C" w14:paraId="11D861A3" w14:textId="77777777" w:rsidTr="005E2F1E">
        <w:trPr>
          <w:jc w:val="center"/>
        </w:trPr>
        <w:tc>
          <w:tcPr>
            <w:tcW w:w="0" w:type="auto"/>
          </w:tcPr>
          <w:p w14:paraId="5D6FA102" w14:textId="77777777" w:rsidR="00007F6C" w:rsidRDefault="00007F6C" w:rsidP="00903E7F">
            <w:pPr>
              <w:jc w:val="right"/>
            </w:pPr>
            <w:r>
              <w:t>0</w:t>
            </w:r>
          </w:p>
        </w:tc>
        <w:tc>
          <w:tcPr>
            <w:tcW w:w="0" w:type="auto"/>
            <w:vMerge w:val="restart"/>
          </w:tcPr>
          <w:p w14:paraId="1E80A9DD" w14:textId="77777777" w:rsidR="00007F6C" w:rsidRDefault="00007F6C" w:rsidP="005E2F1E">
            <w:pPr>
              <w:jc w:val="both"/>
            </w:pPr>
            <w:r>
              <w:t xml:space="preserve">EC Fit </w:t>
            </w:r>
          </w:p>
          <w:p w14:paraId="4901387C" w14:textId="77777777" w:rsidR="00007F6C" w:rsidRDefault="00007F6C" w:rsidP="005E2F1E">
            <w:pPr>
              <w:jc w:val="both"/>
            </w:pPr>
            <w:r>
              <w:t>1R – 2RQ</w:t>
            </w:r>
          </w:p>
        </w:tc>
        <w:tc>
          <w:tcPr>
            <w:tcW w:w="0" w:type="auto"/>
          </w:tcPr>
          <w:p w14:paraId="4EE0C589" w14:textId="77777777" w:rsidR="00007F6C" w:rsidRDefault="00007F6C" w:rsidP="005E2F1E">
            <w:pPr>
              <w:jc w:val="right"/>
            </w:pPr>
            <w:r>
              <w:t>21.61</w:t>
            </w:r>
          </w:p>
        </w:tc>
        <w:tc>
          <w:tcPr>
            <w:tcW w:w="0" w:type="auto"/>
          </w:tcPr>
          <w:p w14:paraId="20070678" w14:textId="77777777" w:rsidR="00007F6C" w:rsidRDefault="00007F6C" w:rsidP="005E2F1E">
            <w:pPr>
              <w:jc w:val="right"/>
            </w:pPr>
            <w:r w:rsidRPr="00E07D25">
              <w:t>0.0</w:t>
            </w:r>
            <w:r>
              <w:t>3</w:t>
            </w:r>
          </w:p>
        </w:tc>
        <w:tc>
          <w:tcPr>
            <w:tcW w:w="0" w:type="auto"/>
          </w:tcPr>
          <w:p w14:paraId="488FDA12" w14:textId="77777777" w:rsidR="00007F6C" w:rsidRDefault="00007F6C" w:rsidP="005E2F1E">
            <w:pPr>
              <w:jc w:val="right"/>
            </w:pPr>
            <w:r w:rsidRPr="00E07D25">
              <w:t>0.1</w:t>
            </w:r>
            <w:r>
              <w:t>4</w:t>
            </w:r>
          </w:p>
        </w:tc>
        <w:tc>
          <w:tcPr>
            <w:tcW w:w="0" w:type="auto"/>
          </w:tcPr>
          <w:p w14:paraId="51ADD262" w14:textId="77777777" w:rsidR="00007F6C" w:rsidRDefault="00007F6C" w:rsidP="005E2F1E">
            <w:pPr>
              <w:jc w:val="right"/>
            </w:pPr>
            <w:r>
              <w:t>61.61</w:t>
            </w:r>
          </w:p>
        </w:tc>
        <w:tc>
          <w:tcPr>
            <w:tcW w:w="0" w:type="auto"/>
          </w:tcPr>
          <w:p w14:paraId="146CDE62" w14:textId="77777777" w:rsidR="00007F6C" w:rsidRDefault="00007F6C" w:rsidP="005E2F1E">
            <w:pPr>
              <w:jc w:val="right"/>
            </w:pPr>
            <w:r w:rsidRPr="00E07D25">
              <w:t>0.01</w:t>
            </w:r>
          </w:p>
        </w:tc>
        <w:tc>
          <w:tcPr>
            <w:tcW w:w="0" w:type="auto"/>
          </w:tcPr>
          <w:p w14:paraId="2F9C14D8" w14:textId="77777777" w:rsidR="00007F6C" w:rsidRDefault="00007F6C" w:rsidP="005E2F1E">
            <w:pPr>
              <w:jc w:val="right"/>
            </w:pPr>
            <w:r w:rsidRPr="00E07D25">
              <w:t>0.02</w:t>
            </w:r>
          </w:p>
        </w:tc>
      </w:tr>
      <w:tr w:rsidR="00007F6C" w14:paraId="3A9E9601" w14:textId="77777777" w:rsidTr="005E2F1E">
        <w:trPr>
          <w:jc w:val="center"/>
        </w:trPr>
        <w:tc>
          <w:tcPr>
            <w:tcW w:w="0" w:type="auto"/>
          </w:tcPr>
          <w:p w14:paraId="35266269" w14:textId="77777777" w:rsidR="00007F6C" w:rsidRDefault="00007F6C" w:rsidP="00903E7F">
            <w:pPr>
              <w:jc w:val="right"/>
            </w:pPr>
            <w:r>
              <w:t>5</w:t>
            </w:r>
          </w:p>
        </w:tc>
        <w:tc>
          <w:tcPr>
            <w:tcW w:w="0" w:type="auto"/>
            <w:vMerge/>
          </w:tcPr>
          <w:p w14:paraId="1C9A38D4" w14:textId="77777777" w:rsidR="00007F6C" w:rsidRDefault="00007F6C" w:rsidP="005E2F1E">
            <w:pPr>
              <w:jc w:val="both"/>
            </w:pPr>
          </w:p>
        </w:tc>
        <w:tc>
          <w:tcPr>
            <w:tcW w:w="0" w:type="auto"/>
          </w:tcPr>
          <w:p w14:paraId="6382D8F5" w14:textId="77777777" w:rsidR="00007F6C" w:rsidRDefault="00007F6C" w:rsidP="005E2F1E">
            <w:pPr>
              <w:jc w:val="right"/>
            </w:pPr>
            <w:r>
              <w:t>28.98</w:t>
            </w:r>
          </w:p>
        </w:tc>
        <w:tc>
          <w:tcPr>
            <w:tcW w:w="0" w:type="auto"/>
          </w:tcPr>
          <w:p w14:paraId="2DCA14D5" w14:textId="77777777" w:rsidR="00007F6C" w:rsidRDefault="00007F6C" w:rsidP="005E2F1E">
            <w:pPr>
              <w:jc w:val="right"/>
            </w:pPr>
            <w:r w:rsidRPr="0032086B">
              <w:t>0.0</w:t>
            </w:r>
            <w:r>
              <w:t>5</w:t>
            </w:r>
          </w:p>
        </w:tc>
        <w:tc>
          <w:tcPr>
            <w:tcW w:w="0" w:type="auto"/>
          </w:tcPr>
          <w:p w14:paraId="3C8E0373" w14:textId="77777777" w:rsidR="00007F6C" w:rsidRDefault="00007F6C" w:rsidP="005E2F1E">
            <w:pPr>
              <w:jc w:val="right"/>
            </w:pPr>
            <w:r>
              <w:t>0.00</w:t>
            </w:r>
          </w:p>
        </w:tc>
        <w:tc>
          <w:tcPr>
            <w:tcW w:w="0" w:type="auto"/>
          </w:tcPr>
          <w:p w14:paraId="2F2724FA" w14:textId="77777777" w:rsidR="00007F6C" w:rsidRDefault="00007F6C" w:rsidP="005E2F1E">
            <w:pPr>
              <w:jc w:val="right"/>
            </w:pPr>
            <w:r>
              <w:t>154.07</w:t>
            </w:r>
          </w:p>
        </w:tc>
        <w:tc>
          <w:tcPr>
            <w:tcW w:w="0" w:type="auto"/>
          </w:tcPr>
          <w:p w14:paraId="0BC24844" w14:textId="77777777" w:rsidR="00007F6C" w:rsidRDefault="00007F6C" w:rsidP="005E2F1E">
            <w:pPr>
              <w:jc w:val="right"/>
            </w:pPr>
            <w:r w:rsidRPr="0032086B">
              <w:t>0.01</w:t>
            </w:r>
          </w:p>
        </w:tc>
        <w:tc>
          <w:tcPr>
            <w:tcW w:w="0" w:type="auto"/>
          </w:tcPr>
          <w:p w14:paraId="375B0A15" w14:textId="77777777" w:rsidR="00007F6C" w:rsidRDefault="00007F6C" w:rsidP="005E2F1E">
            <w:pPr>
              <w:jc w:val="right"/>
            </w:pPr>
            <w:r>
              <w:t>0.01</w:t>
            </w:r>
          </w:p>
        </w:tc>
      </w:tr>
      <w:tr w:rsidR="00007F6C" w14:paraId="34883B1E" w14:textId="77777777" w:rsidTr="005E2F1E">
        <w:trPr>
          <w:jc w:val="center"/>
        </w:trPr>
        <w:tc>
          <w:tcPr>
            <w:tcW w:w="0" w:type="auto"/>
          </w:tcPr>
          <w:p w14:paraId="70ED7E0D" w14:textId="77777777" w:rsidR="00007F6C" w:rsidRDefault="00007F6C" w:rsidP="00903E7F">
            <w:pPr>
              <w:jc w:val="right"/>
            </w:pPr>
            <w:r>
              <w:t>10</w:t>
            </w:r>
          </w:p>
        </w:tc>
        <w:tc>
          <w:tcPr>
            <w:tcW w:w="0" w:type="auto"/>
          </w:tcPr>
          <w:p w14:paraId="6209A2D2" w14:textId="77777777" w:rsidR="00007F6C" w:rsidRDefault="00007F6C" w:rsidP="005E2F1E">
            <w:pPr>
              <w:jc w:val="both"/>
            </w:pPr>
            <w:r>
              <w:t xml:space="preserve">EC Fit </w:t>
            </w:r>
          </w:p>
          <w:p w14:paraId="26B833EC" w14:textId="77777777" w:rsidR="00007F6C" w:rsidRDefault="00007F6C" w:rsidP="005E2F1E">
            <w:pPr>
              <w:jc w:val="both"/>
            </w:pPr>
            <w:r>
              <w:t>1R – 1RQ</w:t>
            </w:r>
          </w:p>
        </w:tc>
        <w:tc>
          <w:tcPr>
            <w:tcW w:w="0" w:type="auto"/>
          </w:tcPr>
          <w:p w14:paraId="03ACB237" w14:textId="77777777" w:rsidR="00007F6C" w:rsidRDefault="00007F6C" w:rsidP="005E2F1E">
            <w:pPr>
              <w:jc w:val="right"/>
            </w:pPr>
            <w:r>
              <w:t>29.12</w:t>
            </w:r>
          </w:p>
        </w:tc>
        <w:tc>
          <w:tcPr>
            <w:tcW w:w="0" w:type="auto"/>
          </w:tcPr>
          <w:p w14:paraId="133D946A" w14:textId="77777777" w:rsidR="00007F6C" w:rsidRDefault="00007F6C" w:rsidP="005E2F1E">
            <w:pPr>
              <w:jc w:val="right"/>
            </w:pPr>
            <w:r w:rsidRPr="0032086B">
              <w:t>0.1</w:t>
            </w:r>
            <w:r>
              <w:t>3</w:t>
            </w:r>
          </w:p>
        </w:tc>
        <w:tc>
          <w:tcPr>
            <w:tcW w:w="0" w:type="auto"/>
          </w:tcPr>
          <w:p w14:paraId="3C737555" w14:textId="77777777" w:rsidR="00007F6C" w:rsidRDefault="00007F6C" w:rsidP="005E2F1E">
            <w:pPr>
              <w:jc w:val="right"/>
            </w:pPr>
            <w:r>
              <w:t>0.45</w:t>
            </w:r>
          </w:p>
        </w:tc>
        <w:tc>
          <w:tcPr>
            <w:tcW w:w="0" w:type="auto"/>
          </w:tcPr>
          <w:p w14:paraId="34691B04" w14:textId="77777777" w:rsidR="00007F6C" w:rsidRDefault="00007F6C" w:rsidP="005E2F1E">
            <w:pPr>
              <w:jc w:val="right"/>
            </w:pPr>
            <w:r w:rsidRPr="0032086B">
              <w:t>212.55</w:t>
            </w:r>
          </w:p>
        </w:tc>
        <w:tc>
          <w:tcPr>
            <w:tcW w:w="0" w:type="auto"/>
          </w:tcPr>
          <w:p w14:paraId="3F3E39D3" w14:textId="77777777" w:rsidR="00007F6C" w:rsidRDefault="00007F6C" w:rsidP="005E2F1E">
            <w:pPr>
              <w:jc w:val="right"/>
            </w:pPr>
            <w:r w:rsidRPr="0032086B">
              <w:t>0.0</w:t>
            </w:r>
            <w:r>
              <w:t>2</w:t>
            </w:r>
          </w:p>
        </w:tc>
        <w:tc>
          <w:tcPr>
            <w:tcW w:w="0" w:type="auto"/>
          </w:tcPr>
          <w:p w14:paraId="513D3788" w14:textId="77777777" w:rsidR="00007F6C" w:rsidRDefault="00007F6C" w:rsidP="005E2F1E">
            <w:pPr>
              <w:jc w:val="right"/>
            </w:pPr>
            <w:r>
              <w:t>0.01</w:t>
            </w:r>
          </w:p>
        </w:tc>
      </w:tr>
      <w:tr w:rsidR="00007F6C" w14:paraId="6670F113" w14:textId="77777777" w:rsidTr="005E2F1E">
        <w:trPr>
          <w:jc w:val="center"/>
        </w:trPr>
        <w:tc>
          <w:tcPr>
            <w:tcW w:w="0" w:type="auto"/>
          </w:tcPr>
          <w:p w14:paraId="6950B826" w14:textId="77777777" w:rsidR="00007F6C" w:rsidRDefault="00007F6C" w:rsidP="00903E7F">
            <w:pPr>
              <w:jc w:val="right"/>
            </w:pPr>
            <w:r>
              <w:t>15</w:t>
            </w:r>
          </w:p>
        </w:tc>
        <w:tc>
          <w:tcPr>
            <w:tcW w:w="0" w:type="auto"/>
          </w:tcPr>
          <w:p w14:paraId="58B58A3B" w14:textId="77777777" w:rsidR="00007F6C" w:rsidRDefault="00007F6C" w:rsidP="005E2F1E">
            <w:pPr>
              <w:jc w:val="both"/>
            </w:pPr>
            <w:r>
              <w:t xml:space="preserve">EC Fit </w:t>
            </w:r>
          </w:p>
          <w:p w14:paraId="4784E003" w14:textId="77777777" w:rsidR="00007F6C" w:rsidRDefault="00007F6C" w:rsidP="005E2F1E">
            <w:pPr>
              <w:jc w:val="both"/>
            </w:pPr>
            <w:r>
              <w:t>1R – 2RQ</w:t>
            </w:r>
          </w:p>
        </w:tc>
        <w:tc>
          <w:tcPr>
            <w:tcW w:w="0" w:type="auto"/>
          </w:tcPr>
          <w:p w14:paraId="4F92A01E" w14:textId="77777777" w:rsidR="00007F6C" w:rsidRDefault="00007F6C" w:rsidP="005E2F1E">
            <w:pPr>
              <w:jc w:val="right"/>
            </w:pPr>
            <w:r>
              <w:t>42.62</w:t>
            </w:r>
          </w:p>
        </w:tc>
        <w:tc>
          <w:tcPr>
            <w:tcW w:w="0" w:type="auto"/>
          </w:tcPr>
          <w:p w14:paraId="47156E3F" w14:textId="77777777" w:rsidR="00007F6C" w:rsidRDefault="00007F6C" w:rsidP="005E2F1E">
            <w:pPr>
              <w:jc w:val="right"/>
            </w:pPr>
            <w:r w:rsidRPr="0032086B">
              <w:t>0.0</w:t>
            </w:r>
            <w:r>
              <w:t>2</w:t>
            </w:r>
          </w:p>
        </w:tc>
        <w:tc>
          <w:tcPr>
            <w:tcW w:w="0" w:type="auto"/>
          </w:tcPr>
          <w:p w14:paraId="1C334E71" w14:textId="77777777" w:rsidR="00007F6C" w:rsidRDefault="00007F6C" w:rsidP="005E2F1E">
            <w:pPr>
              <w:jc w:val="right"/>
            </w:pPr>
            <w:r>
              <w:t>0.05</w:t>
            </w:r>
          </w:p>
        </w:tc>
        <w:tc>
          <w:tcPr>
            <w:tcW w:w="0" w:type="auto"/>
          </w:tcPr>
          <w:p w14:paraId="7754F993" w14:textId="77777777" w:rsidR="00007F6C" w:rsidRDefault="00007F6C" w:rsidP="005E2F1E">
            <w:pPr>
              <w:jc w:val="right"/>
            </w:pPr>
            <w:r>
              <w:t>239.4</w:t>
            </w:r>
          </w:p>
        </w:tc>
        <w:tc>
          <w:tcPr>
            <w:tcW w:w="0" w:type="auto"/>
          </w:tcPr>
          <w:p w14:paraId="11F762E8" w14:textId="77777777" w:rsidR="00007F6C" w:rsidRDefault="00007F6C" w:rsidP="005E2F1E">
            <w:pPr>
              <w:jc w:val="right"/>
            </w:pPr>
            <w:r w:rsidRPr="0032086B">
              <w:t>0.0</w:t>
            </w:r>
            <w:r>
              <w:t>3</w:t>
            </w:r>
          </w:p>
        </w:tc>
        <w:tc>
          <w:tcPr>
            <w:tcW w:w="0" w:type="auto"/>
          </w:tcPr>
          <w:p w14:paraId="5A9A2457" w14:textId="77777777" w:rsidR="00007F6C" w:rsidRDefault="00007F6C" w:rsidP="005E2F1E">
            <w:pPr>
              <w:jc w:val="right"/>
            </w:pPr>
            <w:r>
              <w:t>0.01</w:t>
            </w:r>
          </w:p>
        </w:tc>
      </w:tr>
      <w:tr w:rsidR="00007F6C" w14:paraId="6FC3DAF6" w14:textId="77777777" w:rsidTr="005E2F1E">
        <w:trPr>
          <w:jc w:val="center"/>
        </w:trPr>
        <w:tc>
          <w:tcPr>
            <w:tcW w:w="0" w:type="auto"/>
          </w:tcPr>
          <w:p w14:paraId="15DD4D15" w14:textId="77777777" w:rsidR="00007F6C" w:rsidRDefault="00007F6C" w:rsidP="00903E7F">
            <w:pPr>
              <w:jc w:val="right"/>
            </w:pPr>
            <w:r>
              <w:t>20</w:t>
            </w:r>
          </w:p>
        </w:tc>
        <w:tc>
          <w:tcPr>
            <w:tcW w:w="0" w:type="auto"/>
          </w:tcPr>
          <w:p w14:paraId="65E2D6AC" w14:textId="77777777" w:rsidR="00007F6C" w:rsidRDefault="00007F6C" w:rsidP="005E2F1E">
            <w:pPr>
              <w:jc w:val="both"/>
            </w:pPr>
            <w:r>
              <w:t xml:space="preserve">EC Fit </w:t>
            </w:r>
          </w:p>
          <w:p w14:paraId="4A527F97" w14:textId="77777777" w:rsidR="00007F6C" w:rsidRDefault="00007F6C" w:rsidP="005E2F1E">
            <w:pPr>
              <w:jc w:val="both"/>
            </w:pPr>
            <w:r>
              <w:t>1R – 1RQ</w:t>
            </w:r>
          </w:p>
        </w:tc>
        <w:tc>
          <w:tcPr>
            <w:tcW w:w="0" w:type="auto"/>
          </w:tcPr>
          <w:p w14:paraId="59F5AE67" w14:textId="77777777" w:rsidR="00007F6C" w:rsidRDefault="00007F6C" w:rsidP="005E2F1E">
            <w:pPr>
              <w:jc w:val="right"/>
            </w:pPr>
            <w:r>
              <w:t>41.05</w:t>
            </w:r>
          </w:p>
        </w:tc>
        <w:tc>
          <w:tcPr>
            <w:tcW w:w="0" w:type="auto"/>
          </w:tcPr>
          <w:p w14:paraId="41308A7F" w14:textId="77777777" w:rsidR="00007F6C" w:rsidRDefault="00007F6C" w:rsidP="005E2F1E">
            <w:pPr>
              <w:jc w:val="right"/>
            </w:pPr>
            <w:r w:rsidRPr="00F177D2">
              <w:t>0.0</w:t>
            </w:r>
            <w:r>
              <w:t>2</w:t>
            </w:r>
          </w:p>
        </w:tc>
        <w:tc>
          <w:tcPr>
            <w:tcW w:w="0" w:type="auto"/>
          </w:tcPr>
          <w:p w14:paraId="7E3E053F" w14:textId="77777777" w:rsidR="00007F6C" w:rsidRDefault="00007F6C" w:rsidP="005E2F1E">
            <w:pPr>
              <w:jc w:val="right"/>
            </w:pPr>
            <w:r>
              <w:t>0.05</w:t>
            </w:r>
          </w:p>
        </w:tc>
        <w:tc>
          <w:tcPr>
            <w:tcW w:w="0" w:type="auto"/>
          </w:tcPr>
          <w:p w14:paraId="2C5C3D4C" w14:textId="77777777" w:rsidR="00007F6C" w:rsidRDefault="00007F6C" w:rsidP="005E2F1E">
            <w:pPr>
              <w:jc w:val="right"/>
            </w:pPr>
            <w:r>
              <w:t>270.8</w:t>
            </w:r>
          </w:p>
        </w:tc>
        <w:tc>
          <w:tcPr>
            <w:tcW w:w="0" w:type="auto"/>
          </w:tcPr>
          <w:p w14:paraId="69A84660" w14:textId="77777777" w:rsidR="00007F6C" w:rsidRDefault="00007F6C" w:rsidP="005E2F1E">
            <w:pPr>
              <w:jc w:val="right"/>
            </w:pPr>
            <w:r w:rsidRPr="00F177D2">
              <w:t>0.03</w:t>
            </w:r>
          </w:p>
        </w:tc>
        <w:tc>
          <w:tcPr>
            <w:tcW w:w="0" w:type="auto"/>
          </w:tcPr>
          <w:p w14:paraId="77A0D2CC" w14:textId="77777777" w:rsidR="00007F6C" w:rsidRDefault="00007F6C" w:rsidP="005E2F1E">
            <w:pPr>
              <w:jc w:val="right"/>
            </w:pPr>
            <w:r>
              <w:t>0.01</w:t>
            </w:r>
          </w:p>
        </w:tc>
      </w:tr>
      <w:tr w:rsidR="00007F6C" w14:paraId="457988C2" w14:textId="77777777" w:rsidTr="005E2F1E">
        <w:trPr>
          <w:jc w:val="center"/>
        </w:trPr>
        <w:tc>
          <w:tcPr>
            <w:tcW w:w="0" w:type="auto"/>
          </w:tcPr>
          <w:p w14:paraId="47B3FD23" w14:textId="77777777" w:rsidR="00007F6C" w:rsidRDefault="00007F6C" w:rsidP="00903E7F">
            <w:pPr>
              <w:jc w:val="right"/>
            </w:pPr>
            <w:r>
              <w:t>25</w:t>
            </w:r>
          </w:p>
        </w:tc>
        <w:tc>
          <w:tcPr>
            <w:tcW w:w="0" w:type="auto"/>
          </w:tcPr>
          <w:p w14:paraId="5F030599" w14:textId="77777777" w:rsidR="00007F6C" w:rsidRDefault="00007F6C" w:rsidP="005E2F1E">
            <w:pPr>
              <w:jc w:val="both"/>
            </w:pPr>
            <w:r>
              <w:t xml:space="preserve">EC Fit </w:t>
            </w:r>
          </w:p>
          <w:p w14:paraId="11FAAF47" w14:textId="77777777" w:rsidR="00007F6C" w:rsidRDefault="00007F6C" w:rsidP="005E2F1E">
            <w:pPr>
              <w:jc w:val="both"/>
            </w:pPr>
            <w:r>
              <w:t>1R – 2RQ</w:t>
            </w:r>
          </w:p>
          <w:p w14:paraId="5922F176" w14:textId="77777777" w:rsidR="00007F6C" w:rsidRDefault="00007F6C" w:rsidP="005E2F1E">
            <w:pPr>
              <w:jc w:val="both"/>
            </w:pPr>
          </w:p>
        </w:tc>
        <w:tc>
          <w:tcPr>
            <w:tcW w:w="0" w:type="auto"/>
          </w:tcPr>
          <w:p w14:paraId="2C961E53" w14:textId="77777777" w:rsidR="00007F6C" w:rsidRDefault="00007F6C" w:rsidP="005E2F1E">
            <w:pPr>
              <w:jc w:val="right"/>
            </w:pPr>
            <w:r>
              <w:t>28.79</w:t>
            </w:r>
          </w:p>
        </w:tc>
        <w:tc>
          <w:tcPr>
            <w:tcW w:w="0" w:type="auto"/>
          </w:tcPr>
          <w:p w14:paraId="1616238E" w14:textId="77777777" w:rsidR="00007F6C" w:rsidRDefault="00007F6C" w:rsidP="005E2F1E">
            <w:pPr>
              <w:jc w:val="right"/>
            </w:pPr>
            <w:r w:rsidRPr="00BD5FE2">
              <w:t>0.07</w:t>
            </w:r>
          </w:p>
        </w:tc>
        <w:tc>
          <w:tcPr>
            <w:tcW w:w="0" w:type="auto"/>
          </w:tcPr>
          <w:p w14:paraId="6A5ECA69" w14:textId="77777777" w:rsidR="00007F6C" w:rsidRDefault="00007F6C" w:rsidP="005E2F1E">
            <w:pPr>
              <w:jc w:val="right"/>
            </w:pPr>
            <w:r>
              <w:t>0.24</w:t>
            </w:r>
          </w:p>
        </w:tc>
        <w:tc>
          <w:tcPr>
            <w:tcW w:w="0" w:type="auto"/>
          </w:tcPr>
          <w:p w14:paraId="51881774" w14:textId="77777777" w:rsidR="00007F6C" w:rsidRDefault="00007F6C" w:rsidP="005E2F1E">
            <w:pPr>
              <w:jc w:val="right"/>
            </w:pPr>
            <w:r>
              <w:t>318.84</w:t>
            </w:r>
          </w:p>
        </w:tc>
        <w:tc>
          <w:tcPr>
            <w:tcW w:w="0" w:type="auto"/>
          </w:tcPr>
          <w:p w14:paraId="6CF899E6" w14:textId="77777777" w:rsidR="00007F6C" w:rsidRDefault="00007F6C" w:rsidP="005E2F1E">
            <w:pPr>
              <w:jc w:val="right"/>
            </w:pPr>
            <w:r w:rsidRPr="00BD5FE2">
              <w:t>0.03</w:t>
            </w:r>
          </w:p>
        </w:tc>
        <w:tc>
          <w:tcPr>
            <w:tcW w:w="0" w:type="auto"/>
          </w:tcPr>
          <w:p w14:paraId="183507D1" w14:textId="77777777" w:rsidR="00007F6C" w:rsidRDefault="00007F6C" w:rsidP="005E2F1E">
            <w:pPr>
              <w:jc w:val="right"/>
            </w:pPr>
            <w:r>
              <w:t>0.01</w:t>
            </w:r>
          </w:p>
        </w:tc>
      </w:tr>
      <w:tr w:rsidR="00007F6C" w14:paraId="001D0C4B" w14:textId="77777777" w:rsidTr="005E2F1E">
        <w:trPr>
          <w:jc w:val="center"/>
        </w:trPr>
        <w:tc>
          <w:tcPr>
            <w:tcW w:w="0" w:type="auto"/>
          </w:tcPr>
          <w:p w14:paraId="62805E47" w14:textId="77777777" w:rsidR="00007F6C" w:rsidRPr="00D13F82" w:rsidRDefault="00007F6C" w:rsidP="00903E7F">
            <w:pPr>
              <w:jc w:val="right"/>
            </w:pPr>
            <w:r>
              <w:t>30</w:t>
            </w:r>
          </w:p>
        </w:tc>
        <w:tc>
          <w:tcPr>
            <w:tcW w:w="0" w:type="auto"/>
            <w:vMerge w:val="restart"/>
          </w:tcPr>
          <w:p w14:paraId="71ADC7E5" w14:textId="77777777" w:rsidR="00007F6C" w:rsidRDefault="00007F6C" w:rsidP="005E2F1E">
            <w:pPr>
              <w:jc w:val="both"/>
            </w:pPr>
            <w:r>
              <w:t>Circle</w:t>
            </w:r>
          </w:p>
        </w:tc>
        <w:tc>
          <w:tcPr>
            <w:tcW w:w="0" w:type="auto"/>
          </w:tcPr>
          <w:p w14:paraId="32DA90EE" w14:textId="77777777" w:rsidR="00007F6C" w:rsidRDefault="00007F6C" w:rsidP="005E2F1E">
            <w:pPr>
              <w:jc w:val="right"/>
            </w:pPr>
            <w:r>
              <w:t>53.35</w:t>
            </w:r>
          </w:p>
        </w:tc>
        <w:tc>
          <w:tcPr>
            <w:tcW w:w="0" w:type="auto"/>
            <w:vMerge w:val="restart"/>
          </w:tcPr>
          <w:p w14:paraId="05F6D44E" w14:textId="77777777" w:rsidR="00007F6C" w:rsidRDefault="00007F6C" w:rsidP="005E2F1E">
            <w:pPr>
              <w:jc w:val="right"/>
            </w:pPr>
            <w:r>
              <w:t>N/A</w:t>
            </w:r>
          </w:p>
        </w:tc>
        <w:tc>
          <w:tcPr>
            <w:tcW w:w="0" w:type="auto"/>
            <w:vMerge w:val="restart"/>
          </w:tcPr>
          <w:p w14:paraId="693B5FA4" w14:textId="77777777" w:rsidR="00007F6C" w:rsidRDefault="00007F6C" w:rsidP="005E2F1E">
            <w:pPr>
              <w:jc w:val="right"/>
            </w:pPr>
            <w:r>
              <w:t>N/A</w:t>
            </w:r>
          </w:p>
        </w:tc>
        <w:tc>
          <w:tcPr>
            <w:tcW w:w="0" w:type="auto"/>
          </w:tcPr>
          <w:p w14:paraId="25D11655" w14:textId="77777777" w:rsidR="00007F6C" w:rsidRDefault="00007F6C" w:rsidP="005E2F1E">
            <w:pPr>
              <w:jc w:val="right"/>
            </w:pPr>
            <w:r>
              <w:t>305.55</w:t>
            </w:r>
          </w:p>
        </w:tc>
        <w:tc>
          <w:tcPr>
            <w:tcW w:w="0" w:type="auto"/>
            <w:vMerge w:val="restart"/>
          </w:tcPr>
          <w:p w14:paraId="6152891A" w14:textId="77777777" w:rsidR="00007F6C" w:rsidRDefault="00007F6C" w:rsidP="005E2F1E">
            <w:pPr>
              <w:jc w:val="right"/>
            </w:pPr>
            <w:r>
              <w:t>N/A</w:t>
            </w:r>
          </w:p>
        </w:tc>
        <w:tc>
          <w:tcPr>
            <w:tcW w:w="0" w:type="auto"/>
            <w:vMerge w:val="restart"/>
          </w:tcPr>
          <w:p w14:paraId="36629C90" w14:textId="77777777" w:rsidR="00007F6C" w:rsidRDefault="00007F6C" w:rsidP="005E2F1E">
            <w:pPr>
              <w:jc w:val="right"/>
            </w:pPr>
            <w:r>
              <w:t>N/A</w:t>
            </w:r>
          </w:p>
        </w:tc>
      </w:tr>
      <w:tr w:rsidR="00007F6C" w14:paraId="1DE7DE55" w14:textId="77777777" w:rsidTr="005E2F1E">
        <w:trPr>
          <w:jc w:val="center"/>
        </w:trPr>
        <w:tc>
          <w:tcPr>
            <w:tcW w:w="0" w:type="auto"/>
          </w:tcPr>
          <w:p w14:paraId="756D53C3" w14:textId="77777777" w:rsidR="00007F6C" w:rsidRPr="00D13F82" w:rsidRDefault="00007F6C" w:rsidP="00903E7F">
            <w:pPr>
              <w:jc w:val="right"/>
            </w:pPr>
            <w:r>
              <w:t>35</w:t>
            </w:r>
          </w:p>
        </w:tc>
        <w:tc>
          <w:tcPr>
            <w:tcW w:w="0" w:type="auto"/>
            <w:vMerge/>
          </w:tcPr>
          <w:p w14:paraId="7E335AB8" w14:textId="77777777" w:rsidR="00007F6C" w:rsidRDefault="00007F6C" w:rsidP="005E2F1E">
            <w:pPr>
              <w:jc w:val="both"/>
            </w:pPr>
          </w:p>
        </w:tc>
        <w:tc>
          <w:tcPr>
            <w:tcW w:w="0" w:type="auto"/>
          </w:tcPr>
          <w:p w14:paraId="132C4F3D" w14:textId="77777777" w:rsidR="00007F6C" w:rsidRDefault="00007F6C" w:rsidP="005E2F1E">
            <w:pPr>
              <w:jc w:val="right"/>
            </w:pPr>
            <w:r>
              <w:t>58.45</w:t>
            </w:r>
          </w:p>
        </w:tc>
        <w:tc>
          <w:tcPr>
            <w:tcW w:w="0" w:type="auto"/>
            <w:vMerge/>
          </w:tcPr>
          <w:p w14:paraId="25E89D85" w14:textId="77777777" w:rsidR="00007F6C" w:rsidRDefault="00007F6C" w:rsidP="005E2F1E">
            <w:pPr>
              <w:jc w:val="both"/>
            </w:pPr>
          </w:p>
        </w:tc>
        <w:tc>
          <w:tcPr>
            <w:tcW w:w="0" w:type="auto"/>
            <w:vMerge/>
          </w:tcPr>
          <w:p w14:paraId="67EFC04B" w14:textId="77777777" w:rsidR="00007F6C" w:rsidRDefault="00007F6C" w:rsidP="005E2F1E">
            <w:pPr>
              <w:jc w:val="both"/>
            </w:pPr>
          </w:p>
        </w:tc>
        <w:tc>
          <w:tcPr>
            <w:tcW w:w="0" w:type="auto"/>
          </w:tcPr>
          <w:p w14:paraId="73B0FA4C" w14:textId="77777777" w:rsidR="00007F6C" w:rsidRDefault="00007F6C" w:rsidP="005E2F1E">
            <w:pPr>
              <w:jc w:val="right"/>
            </w:pPr>
            <w:r>
              <w:t>333.00</w:t>
            </w:r>
          </w:p>
        </w:tc>
        <w:tc>
          <w:tcPr>
            <w:tcW w:w="0" w:type="auto"/>
            <w:vMerge/>
          </w:tcPr>
          <w:p w14:paraId="677F3BE1" w14:textId="77777777" w:rsidR="00007F6C" w:rsidRDefault="00007F6C" w:rsidP="005E2F1E">
            <w:pPr>
              <w:jc w:val="both"/>
            </w:pPr>
          </w:p>
        </w:tc>
        <w:tc>
          <w:tcPr>
            <w:tcW w:w="0" w:type="auto"/>
            <w:vMerge/>
          </w:tcPr>
          <w:p w14:paraId="172913C3" w14:textId="77777777" w:rsidR="00007F6C" w:rsidRDefault="00007F6C" w:rsidP="005E2F1E">
            <w:pPr>
              <w:jc w:val="both"/>
            </w:pPr>
          </w:p>
        </w:tc>
      </w:tr>
      <w:tr w:rsidR="00007F6C" w14:paraId="1F3CE4FC" w14:textId="77777777" w:rsidTr="005E2F1E">
        <w:trPr>
          <w:jc w:val="center"/>
        </w:trPr>
        <w:tc>
          <w:tcPr>
            <w:tcW w:w="0" w:type="auto"/>
          </w:tcPr>
          <w:p w14:paraId="63492916" w14:textId="77777777" w:rsidR="00007F6C" w:rsidRPr="00D13F82" w:rsidRDefault="00007F6C" w:rsidP="00903E7F">
            <w:pPr>
              <w:jc w:val="right"/>
            </w:pPr>
            <w:r>
              <w:t>40</w:t>
            </w:r>
          </w:p>
        </w:tc>
        <w:tc>
          <w:tcPr>
            <w:tcW w:w="0" w:type="auto"/>
            <w:vMerge/>
          </w:tcPr>
          <w:p w14:paraId="08BA1267" w14:textId="77777777" w:rsidR="00007F6C" w:rsidRDefault="00007F6C" w:rsidP="005E2F1E">
            <w:pPr>
              <w:jc w:val="both"/>
            </w:pPr>
          </w:p>
        </w:tc>
        <w:tc>
          <w:tcPr>
            <w:tcW w:w="0" w:type="auto"/>
          </w:tcPr>
          <w:p w14:paraId="6560B1FD" w14:textId="77777777" w:rsidR="00007F6C" w:rsidRDefault="00007F6C" w:rsidP="005E2F1E">
            <w:pPr>
              <w:jc w:val="right"/>
            </w:pPr>
            <w:r>
              <w:t>54.11</w:t>
            </w:r>
          </w:p>
        </w:tc>
        <w:tc>
          <w:tcPr>
            <w:tcW w:w="0" w:type="auto"/>
            <w:vMerge/>
          </w:tcPr>
          <w:p w14:paraId="49991612" w14:textId="77777777" w:rsidR="00007F6C" w:rsidRDefault="00007F6C" w:rsidP="005E2F1E">
            <w:pPr>
              <w:jc w:val="both"/>
            </w:pPr>
          </w:p>
        </w:tc>
        <w:tc>
          <w:tcPr>
            <w:tcW w:w="0" w:type="auto"/>
            <w:vMerge/>
          </w:tcPr>
          <w:p w14:paraId="10F07E3E" w14:textId="77777777" w:rsidR="00007F6C" w:rsidRDefault="00007F6C" w:rsidP="005E2F1E">
            <w:pPr>
              <w:jc w:val="both"/>
            </w:pPr>
          </w:p>
        </w:tc>
        <w:tc>
          <w:tcPr>
            <w:tcW w:w="0" w:type="auto"/>
          </w:tcPr>
          <w:p w14:paraId="7527D1DC" w14:textId="77777777" w:rsidR="00007F6C" w:rsidRDefault="00007F6C" w:rsidP="005E2F1E">
            <w:pPr>
              <w:jc w:val="right"/>
            </w:pPr>
            <w:r>
              <w:t>296.9</w:t>
            </w:r>
          </w:p>
        </w:tc>
        <w:tc>
          <w:tcPr>
            <w:tcW w:w="0" w:type="auto"/>
            <w:vMerge/>
          </w:tcPr>
          <w:p w14:paraId="13AACDC0" w14:textId="77777777" w:rsidR="00007F6C" w:rsidRDefault="00007F6C" w:rsidP="005E2F1E">
            <w:pPr>
              <w:jc w:val="both"/>
            </w:pPr>
          </w:p>
        </w:tc>
        <w:tc>
          <w:tcPr>
            <w:tcW w:w="0" w:type="auto"/>
            <w:vMerge/>
          </w:tcPr>
          <w:p w14:paraId="1AA3F6B9" w14:textId="77777777" w:rsidR="00007F6C" w:rsidRDefault="00007F6C" w:rsidP="005E2F1E">
            <w:pPr>
              <w:jc w:val="both"/>
            </w:pPr>
          </w:p>
        </w:tc>
      </w:tr>
      <w:tr w:rsidR="00007F6C" w14:paraId="61478F24" w14:textId="77777777" w:rsidTr="005E2F1E">
        <w:trPr>
          <w:jc w:val="center"/>
        </w:trPr>
        <w:tc>
          <w:tcPr>
            <w:tcW w:w="0" w:type="auto"/>
          </w:tcPr>
          <w:p w14:paraId="7E295FD9" w14:textId="77777777" w:rsidR="00007F6C" w:rsidRPr="00D13F82" w:rsidRDefault="00007F6C" w:rsidP="00903E7F">
            <w:pPr>
              <w:jc w:val="right"/>
            </w:pPr>
            <w:r>
              <w:t>45</w:t>
            </w:r>
          </w:p>
        </w:tc>
        <w:tc>
          <w:tcPr>
            <w:tcW w:w="0" w:type="auto"/>
            <w:vMerge/>
          </w:tcPr>
          <w:p w14:paraId="144F12E7" w14:textId="77777777" w:rsidR="00007F6C" w:rsidRDefault="00007F6C" w:rsidP="005E2F1E">
            <w:pPr>
              <w:jc w:val="both"/>
            </w:pPr>
          </w:p>
        </w:tc>
        <w:tc>
          <w:tcPr>
            <w:tcW w:w="0" w:type="auto"/>
          </w:tcPr>
          <w:p w14:paraId="3894E031" w14:textId="77777777" w:rsidR="00007F6C" w:rsidRDefault="00007F6C" w:rsidP="005E2F1E">
            <w:pPr>
              <w:jc w:val="right"/>
            </w:pPr>
            <w:r>
              <w:t>50.92</w:t>
            </w:r>
          </w:p>
        </w:tc>
        <w:tc>
          <w:tcPr>
            <w:tcW w:w="0" w:type="auto"/>
            <w:vMerge/>
          </w:tcPr>
          <w:p w14:paraId="42697B16" w14:textId="77777777" w:rsidR="00007F6C" w:rsidRDefault="00007F6C" w:rsidP="005E2F1E">
            <w:pPr>
              <w:jc w:val="both"/>
            </w:pPr>
          </w:p>
        </w:tc>
        <w:tc>
          <w:tcPr>
            <w:tcW w:w="0" w:type="auto"/>
            <w:vMerge/>
          </w:tcPr>
          <w:p w14:paraId="63A3D92D" w14:textId="77777777" w:rsidR="00007F6C" w:rsidRDefault="00007F6C" w:rsidP="005E2F1E">
            <w:pPr>
              <w:jc w:val="both"/>
            </w:pPr>
          </w:p>
        </w:tc>
        <w:tc>
          <w:tcPr>
            <w:tcW w:w="0" w:type="auto"/>
          </w:tcPr>
          <w:p w14:paraId="1FCF798D" w14:textId="77777777" w:rsidR="00007F6C" w:rsidRDefault="00007F6C" w:rsidP="005E2F1E">
            <w:pPr>
              <w:jc w:val="right"/>
            </w:pPr>
            <w:r>
              <w:t>332.68</w:t>
            </w:r>
          </w:p>
        </w:tc>
        <w:tc>
          <w:tcPr>
            <w:tcW w:w="0" w:type="auto"/>
            <w:vMerge/>
          </w:tcPr>
          <w:p w14:paraId="7576E6C5" w14:textId="77777777" w:rsidR="00007F6C" w:rsidRDefault="00007F6C" w:rsidP="005E2F1E">
            <w:pPr>
              <w:jc w:val="both"/>
            </w:pPr>
          </w:p>
        </w:tc>
        <w:tc>
          <w:tcPr>
            <w:tcW w:w="0" w:type="auto"/>
            <w:vMerge/>
          </w:tcPr>
          <w:p w14:paraId="6D7FF785" w14:textId="77777777" w:rsidR="00007F6C" w:rsidRDefault="00007F6C" w:rsidP="005E2F1E">
            <w:pPr>
              <w:jc w:val="both"/>
            </w:pPr>
          </w:p>
        </w:tc>
      </w:tr>
      <w:tr w:rsidR="00007F6C" w14:paraId="0E60B0F2" w14:textId="77777777" w:rsidTr="005E2F1E">
        <w:trPr>
          <w:jc w:val="center"/>
        </w:trPr>
        <w:tc>
          <w:tcPr>
            <w:tcW w:w="0" w:type="auto"/>
          </w:tcPr>
          <w:p w14:paraId="114B5297" w14:textId="77777777" w:rsidR="00007F6C" w:rsidRPr="00D13F82" w:rsidRDefault="00007F6C" w:rsidP="00903E7F">
            <w:pPr>
              <w:jc w:val="right"/>
            </w:pPr>
            <w:r>
              <w:t>50</w:t>
            </w:r>
          </w:p>
        </w:tc>
        <w:tc>
          <w:tcPr>
            <w:tcW w:w="0" w:type="auto"/>
            <w:vMerge/>
          </w:tcPr>
          <w:p w14:paraId="11AC1DA9" w14:textId="77777777" w:rsidR="00007F6C" w:rsidRDefault="00007F6C" w:rsidP="005E2F1E">
            <w:pPr>
              <w:jc w:val="both"/>
            </w:pPr>
          </w:p>
        </w:tc>
        <w:tc>
          <w:tcPr>
            <w:tcW w:w="0" w:type="auto"/>
          </w:tcPr>
          <w:p w14:paraId="12FA95B8" w14:textId="77777777" w:rsidR="00007F6C" w:rsidRDefault="00007F6C" w:rsidP="005E2F1E">
            <w:pPr>
              <w:jc w:val="right"/>
            </w:pPr>
            <w:r>
              <w:t>56.26</w:t>
            </w:r>
          </w:p>
        </w:tc>
        <w:tc>
          <w:tcPr>
            <w:tcW w:w="0" w:type="auto"/>
            <w:vMerge/>
          </w:tcPr>
          <w:p w14:paraId="324E6599" w14:textId="77777777" w:rsidR="00007F6C" w:rsidRDefault="00007F6C" w:rsidP="005E2F1E">
            <w:pPr>
              <w:jc w:val="both"/>
            </w:pPr>
          </w:p>
        </w:tc>
        <w:tc>
          <w:tcPr>
            <w:tcW w:w="0" w:type="auto"/>
            <w:vMerge/>
          </w:tcPr>
          <w:p w14:paraId="049C6970" w14:textId="77777777" w:rsidR="00007F6C" w:rsidRDefault="00007F6C" w:rsidP="005E2F1E">
            <w:pPr>
              <w:jc w:val="both"/>
            </w:pPr>
          </w:p>
        </w:tc>
        <w:tc>
          <w:tcPr>
            <w:tcW w:w="0" w:type="auto"/>
          </w:tcPr>
          <w:p w14:paraId="7F85B2C5" w14:textId="77777777" w:rsidR="00007F6C" w:rsidRDefault="00007F6C" w:rsidP="005E2F1E">
            <w:pPr>
              <w:jc w:val="right"/>
            </w:pPr>
            <w:r>
              <w:t>323.94</w:t>
            </w:r>
          </w:p>
        </w:tc>
        <w:tc>
          <w:tcPr>
            <w:tcW w:w="0" w:type="auto"/>
            <w:vMerge/>
          </w:tcPr>
          <w:p w14:paraId="47281B8A" w14:textId="77777777" w:rsidR="00007F6C" w:rsidRDefault="00007F6C" w:rsidP="005E2F1E">
            <w:pPr>
              <w:jc w:val="both"/>
            </w:pPr>
          </w:p>
        </w:tc>
        <w:tc>
          <w:tcPr>
            <w:tcW w:w="0" w:type="auto"/>
            <w:vMerge/>
          </w:tcPr>
          <w:p w14:paraId="68B54D3B" w14:textId="77777777" w:rsidR="00007F6C" w:rsidRDefault="00007F6C" w:rsidP="005E2F1E">
            <w:pPr>
              <w:jc w:val="both"/>
            </w:pPr>
          </w:p>
        </w:tc>
      </w:tr>
    </w:tbl>
    <w:p w14:paraId="2E70E598" w14:textId="77777777" w:rsidR="00007F6C" w:rsidRDefault="00007F6C" w:rsidP="00007F6C">
      <w:pPr>
        <w:jc w:val="both"/>
      </w:pPr>
    </w:p>
    <w:p w14:paraId="3C24BC1B" w14:textId="512DC136" w:rsidR="00007F6C" w:rsidRPr="006647B8" w:rsidRDefault="00007F6C" w:rsidP="00007F6C">
      <w:pPr>
        <w:pStyle w:val="Caption"/>
      </w:pPr>
      <w:r>
        <w:lastRenderedPageBreak/>
        <w:t>Table 5.</w:t>
      </w:r>
      <w:r w:rsidR="00B51F53">
        <w:fldChar w:fldCharType="begin"/>
      </w:r>
      <w:r w:rsidR="00B51F53">
        <w:instrText xml:space="preserve"> SEQ Table \* ARABIC </w:instrText>
      </w:r>
      <w:r w:rsidR="00B51F53">
        <w:fldChar w:fldCharType="separate"/>
      </w:r>
      <w:r w:rsidR="0022061C">
        <w:rPr>
          <w:noProof/>
        </w:rPr>
        <w:t>3</w:t>
      </w:r>
      <w:r w:rsidR="00B51F53">
        <w:rPr>
          <w:noProof/>
        </w:rPr>
        <w:fldChar w:fldCharType="end"/>
      </w:r>
      <w:r>
        <w:t>: Tables detailing the Rs and Rp of the Ag2 N-YSZ sample using circle fitting using XM Studio ECS</w:t>
      </w:r>
    </w:p>
    <w:tbl>
      <w:tblPr>
        <w:tblStyle w:val="TableGrid"/>
        <w:tblW w:w="0" w:type="auto"/>
        <w:jc w:val="center"/>
        <w:tblLook w:val="04A0" w:firstRow="1" w:lastRow="0" w:firstColumn="1" w:lastColumn="0" w:noHBand="0" w:noVBand="1"/>
      </w:tblPr>
      <w:tblGrid>
        <w:gridCol w:w="1313"/>
        <w:gridCol w:w="1292"/>
        <w:gridCol w:w="770"/>
        <w:gridCol w:w="830"/>
      </w:tblGrid>
      <w:tr w:rsidR="00007F6C" w:rsidRPr="00C80411" w14:paraId="4DDCDD4E" w14:textId="77777777" w:rsidTr="005E2F1E">
        <w:trPr>
          <w:jc w:val="center"/>
        </w:trPr>
        <w:tc>
          <w:tcPr>
            <w:tcW w:w="0" w:type="auto"/>
          </w:tcPr>
          <w:p w14:paraId="68512103" w14:textId="77777777" w:rsidR="00007F6C" w:rsidRPr="00C80411" w:rsidRDefault="00007F6C" w:rsidP="005E2F1E">
            <w:pPr>
              <w:jc w:val="both"/>
              <w:rPr>
                <w:b/>
                <w:bCs/>
              </w:rPr>
            </w:pPr>
            <w:bookmarkStart w:id="462" w:name="_Hlk46148029"/>
            <w:r w:rsidRPr="00C80411">
              <w:rPr>
                <w:b/>
                <w:bCs/>
              </w:rPr>
              <w:t>Sample</w:t>
            </w:r>
          </w:p>
        </w:tc>
        <w:tc>
          <w:tcPr>
            <w:tcW w:w="0" w:type="auto"/>
            <w:vMerge w:val="restart"/>
          </w:tcPr>
          <w:p w14:paraId="0B6C5BB1" w14:textId="77777777" w:rsidR="00007F6C" w:rsidRPr="00C80411" w:rsidRDefault="00007F6C" w:rsidP="005E2F1E">
            <w:pPr>
              <w:jc w:val="both"/>
              <w:rPr>
                <w:b/>
                <w:bCs/>
              </w:rPr>
            </w:pPr>
            <w:r w:rsidRPr="00C80411">
              <w:rPr>
                <w:b/>
                <w:bCs/>
              </w:rPr>
              <w:t xml:space="preserve">Fitting Type </w:t>
            </w:r>
          </w:p>
        </w:tc>
        <w:tc>
          <w:tcPr>
            <w:tcW w:w="0" w:type="auto"/>
            <w:vMerge w:val="restart"/>
          </w:tcPr>
          <w:p w14:paraId="5706427B" w14:textId="77777777" w:rsidR="00007F6C" w:rsidRPr="00C80411" w:rsidRDefault="00007F6C" w:rsidP="005E2F1E">
            <w:pPr>
              <w:jc w:val="both"/>
              <w:rPr>
                <w:b/>
                <w:bCs/>
              </w:rPr>
            </w:pPr>
            <w:r w:rsidRPr="00C80411">
              <w:rPr>
                <w:b/>
                <w:bCs/>
              </w:rPr>
              <w:t>Rs [Ω]</w:t>
            </w:r>
          </w:p>
        </w:tc>
        <w:tc>
          <w:tcPr>
            <w:tcW w:w="0" w:type="auto"/>
            <w:vMerge w:val="restart"/>
          </w:tcPr>
          <w:p w14:paraId="263156D5" w14:textId="77777777" w:rsidR="00007F6C" w:rsidRPr="00C80411" w:rsidRDefault="00007F6C" w:rsidP="005E2F1E">
            <w:pPr>
              <w:jc w:val="both"/>
              <w:rPr>
                <w:b/>
                <w:bCs/>
              </w:rPr>
            </w:pPr>
            <w:r w:rsidRPr="00C80411">
              <w:rPr>
                <w:b/>
                <w:bCs/>
              </w:rPr>
              <w:t>Rp [Ω]</w:t>
            </w:r>
          </w:p>
        </w:tc>
      </w:tr>
      <w:tr w:rsidR="00007F6C" w:rsidRPr="00C80411" w14:paraId="0F44D131" w14:textId="77777777" w:rsidTr="005E2F1E">
        <w:trPr>
          <w:jc w:val="center"/>
        </w:trPr>
        <w:tc>
          <w:tcPr>
            <w:tcW w:w="0" w:type="auto"/>
          </w:tcPr>
          <w:p w14:paraId="2D22CE75" w14:textId="77777777" w:rsidR="00007F6C" w:rsidRPr="00C80411" w:rsidRDefault="00007F6C" w:rsidP="005E2F1E">
            <w:pPr>
              <w:jc w:val="both"/>
            </w:pPr>
            <w:r w:rsidRPr="00C80411">
              <w:t>Ni-YSZ (Ag2)</w:t>
            </w:r>
          </w:p>
        </w:tc>
        <w:tc>
          <w:tcPr>
            <w:tcW w:w="0" w:type="auto"/>
            <w:vMerge/>
          </w:tcPr>
          <w:p w14:paraId="2B571F2B" w14:textId="77777777" w:rsidR="00007F6C" w:rsidRPr="00C80411" w:rsidRDefault="00007F6C" w:rsidP="005E2F1E">
            <w:pPr>
              <w:jc w:val="both"/>
            </w:pPr>
          </w:p>
        </w:tc>
        <w:tc>
          <w:tcPr>
            <w:tcW w:w="0" w:type="auto"/>
            <w:vMerge/>
          </w:tcPr>
          <w:p w14:paraId="48538518" w14:textId="77777777" w:rsidR="00007F6C" w:rsidRPr="00C80411" w:rsidRDefault="00007F6C" w:rsidP="005E2F1E">
            <w:pPr>
              <w:jc w:val="both"/>
            </w:pPr>
          </w:p>
        </w:tc>
        <w:tc>
          <w:tcPr>
            <w:tcW w:w="0" w:type="auto"/>
            <w:vMerge/>
          </w:tcPr>
          <w:p w14:paraId="4725C6B4" w14:textId="77777777" w:rsidR="00007F6C" w:rsidRPr="00C80411" w:rsidRDefault="00007F6C" w:rsidP="005E2F1E">
            <w:pPr>
              <w:jc w:val="both"/>
            </w:pPr>
          </w:p>
        </w:tc>
      </w:tr>
      <w:tr w:rsidR="00007F6C" w:rsidRPr="00C80411" w14:paraId="5674B7E8" w14:textId="77777777" w:rsidTr="005E2F1E">
        <w:trPr>
          <w:jc w:val="center"/>
        </w:trPr>
        <w:tc>
          <w:tcPr>
            <w:tcW w:w="0" w:type="auto"/>
          </w:tcPr>
          <w:p w14:paraId="5E1A0A8F" w14:textId="77777777" w:rsidR="00007F6C" w:rsidRPr="00C80411" w:rsidRDefault="00007F6C" w:rsidP="00903E7F">
            <w:pPr>
              <w:jc w:val="right"/>
            </w:pPr>
            <w:r w:rsidRPr="00C80411">
              <w:t>0</w:t>
            </w:r>
          </w:p>
        </w:tc>
        <w:tc>
          <w:tcPr>
            <w:tcW w:w="0" w:type="auto"/>
            <w:vMerge w:val="restart"/>
          </w:tcPr>
          <w:p w14:paraId="2813EDE9" w14:textId="77777777" w:rsidR="00007F6C" w:rsidRPr="00C80411" w:rsidRDefault="00007F6C" w:rsidP="005E2F1E">
            <w:pPr>
              <w:jc w:val="both"/>
            </w:pPr>
            <w:r w:rsidRPr="00C80411">
              <w:t>Circle</w:t>
            </w:r>
          </w:p>
          <w:p w14:paraId="1F9AD4F2" w14:textId="77777777" w:rsidR="00007F6C" w:rsidRPr="00C80411" w:rsidRDefault="00007F6C" w:rsidP="005E2F1E">
            <w:pPr>
              <w:jc w:val="both"/>
            </w:pPr>
          </w:p>
        </w:tc>
        <w:tc>
          <w:tcPr>
            <w:tcW w:w="0" w:type="auto"/>
          </w:tcPr>
          <w:p w14:paraId="11E7FE77" w14:textId="77777777" w:rsidR="00007F6C" w:rsidRPr="00C80411" w:rsidRDefault="00007F6C" w:rsidP="005E2F1E">
            <w:pPr>
              <w:jc w:val="right"/>
            </w:pPr>
            <w:r w:rsidRPr="00C80411">
              <w:t>30.08</w:t>
            </w:r>
          </w:p>
        </w:tc>
        <w:tc>
          <w:tcPr>
            <w:tcW w:w="0" w:type="auto"/>
          </w:tcPr>
          <w:p w14:paraId="0C19D7B3" w14:textId="77777777" w:rsidR="00007F6C" w:rsidRPr="00C80411" w:rsidRDefault="00007F6C" w:rsidP="005E2F1E">
            <w:pPr>
              <w:jc w:val="right"/>
            </w:pPr>
            <w:r w:rsidRPr="00C80411">
              <w:t>69.36</w:t>
            </w:r>
          </w:p>
        </w:tc>
      </w:tr>
      <w:tr w:rsidR="00007F6C" w:rsidRPr="00C80411" w14:paraId="240E5A75" w14:textId="77777777" w:rsidTr="005E2F1E">
        <w:trPr>
          <w:jc w:val="center"/>
        </w:trPr>
        <w:tc>
          <w:tcPr>
            <w:tcW w:w="0" w:type="auto"/>
          </w:tcPr>
          <w:p w14:paraId="56C01CDE" w14:textId="77777777" w:rsidR="00007F6C" w:rsidRPr="00C80411" w:rsidRDefault="00007F6C" w:rsidP="00903E7F">
            <w:pPr>
              <w:jc w:val="right"/>
            </w:pPr>
            <w:r w:rsidRPr="00C80411">
              <w:t>5</w:t>
            </w:r>
          </w:p>
        </w:tc>
        <w:tc>
          <w:tcPr>
            <w:tcW w:w="0" w:type="auto"/>
            <w:vMerge/>
          </w:tcPr>
          <w:p w14:paraId="23204578" w14:textId="77777777" w:rsidR="00007F6C" w:rsidRPr="00C80411" w:rsidRDefault="00007F6C" w:rsidP="005E2F1E">
            <w:pPr>
              <w:jc w:val="both"/>
            </w:pPr>
          </w:p>
        </w:tc>
        <w:tc>
          <w:tcPr>
            <w:tcW w:w="0" w:type="auto"/>
          </w:tcPr>
          <w:p w14:paraId="2815D7C0" w14:textId="77777777" w:rsidR="00007F6C" w:rsidRPr="00C80411" w:rsidRDefault="00007F6C" w:rsidP="005E2F1E">
            <w:pPr>
              <w:jc w:val="right"/>
            </w:pPr>
            <w:r w:rsidRPr="00C80411">
              <w:t>42</w:t>
            </w:r>
          </w:p>
        </w:tc>
        <w:tc>
          <w:tcPr>
            <w:tcW w:w="0" w:type="auto"/>
          </w:tcPr>
          <w:p w14:paraId="69029B57" w14:textId="77777777" w:rsidR="00007F6C" w:rsidRPr="00C80411" w:rsidRDefault="00007F6C" w:rsidP="005E2F1E">
            <w:pPr>
              <w:jc w:val="right"/>
            </w:pPr>
            <w:r w:rsidRPr="00C80411">
              <w:t>139</w:t>
            </w:r>
          </w:p>
        </w:tc>
      </w:tr>
      <w:tr w:rsidR="00007F6C" w:rsidRPr="00C80411" w14:paraId="6C57F0A8" w14:textId="77777777" w:rsidTr="005E2F1E">
        <w:trPr>
          <w:jc w:val="center"/>
        </w:trPr>
        <w:tc>
          <w:tcPr>
            <w:tcW w:w="0" w:type="auto"/>
          </w:tcPr>
          <w:p w14:paraId="55B10C06" w14:textId="77777777" w:rsidR="00007F6C" w:rsidRPr="00C80411" w:rsidRDefault="00007F6C" w:rsidP="00903E7F">
            <w:pPr>
              <w:jc w:val="right"/>
            </w:pPr>
            <w:r w:rsidRPr="00C80411">
              <w:t>10</w:t>
            </w:r>
          </w:p>
        </w:tc>
        <w:tc>
          <w:tcPr>
            <w:tcW w:w="0" w:type="auto"/>
            <w:vMerge/>
          </w:tcPr>
          <w:p w14:paraId="04273400" w14:textId="77777777" w:rsidR="00007F6C" w:rsidRPr="00C80411" w:rsidRDefault="00007F6C" w:rsidP="005E2F1E">
            <w:pPr>
              <w:jc w:val="both"/>
            </w:pPr>
          </w:p>
        </w:tc>
        <w:tc>
          <w:tcPr>
            <w:tcW w:w="0" w:type="auto"/>
          </w:tcPr>
          <w:p w14:paraId="6F02941A" w14:textId="77777777" w:rsidR="00007F6C" w:rsidRPr="00C80411" w:rsidRDefault="00007F6C" w:rsidP="005E2F1E">
            <w:pPr>
              <w:jc w:val="right"/>
            </w:pPr>
            <w:r w:rsidRPr="00C80411">
              <w:t>42.14</w:t>
            </w:r>
          </w:p>
        </w:tc>
        <w:tc>
          <w:tcPr>
            <w:tcW w:w="0" w:type="auto"/>
          </w:tcPr>
          <w:p w14:paraId="50F89AD0" w14:textId="77777777" w:rsidR="00007F6C" w:rsidRPr="00C80411" w:rsidRDefault="00007F6C" w:rsidP="005E2F1E">
            <w:pPr>
              <w:jc w:val="right"/>
            </w:pPr>
            <w:r w:rsidRPr="00C80411">
              <w:t>195.26</w:t>
            </w:r>
          </w:p>
        </w:tc>
      </w:tr>
      <w:tr w:rsidR="00007F6C" w:rsidRPr="00C80411" w14:paraId="1F8A1DC8" w14:textId="77777777" w:rsidTr="005E2F1E">
        <w:trPr>
          <w:jc w:val="center"/>
        </w:trPr>
        <w:tc>
          <w:tcPr>
            <w:tcW w:w="0" w:type="auto"/>
          </w:tcPr>
          <w:p w14:paraId="04B847BC" w14:textId="77777777" w:rsidR="00007F6C" w:rsidRPr="00C80411" w:rsidRDefault="00007F6C" w:rsidP="00903E7F">
            <w:pPr>
              <w:jc w:val="right"/>
            </w:pPr>
            <w:r w:rsidRPr="00C80411">
              <w:t>15</w:t>
            </w:r>
          </w:p>
        </w:tc>
        <w:tc>
          <w:tcPr>
            <w:tcW w:w="0" w:type="auto"/>
            <w:vMerge/>
          </w:tcPr>
          <w:p w14:paraId="2CA49D96" w14:textId="77777777" w:rsidR="00007F6C" w:rsidRPr="00C80411" w:rsidRDefault="00007F6C" w:rsidP="005E2F1E">
            <w:pPr>
              <w:jc w:val="both"/>
            </w:pPr>
          </w:p>
        </w:tc>
        <w:tc>
          <w:tcPr>
            <w:tcW w:w="0" w:type="auto"/>
          </w:tcPr>
          <w:p w14:paraId="423E565D" w14:textId="77777777" w:rsidR="00007F6C" w:rsidRPr="00C80411" w:rsidRDefault="00007F6C" w:rsidP="005E2F1E">
            <w:pPr>
              <w:jc w:val="right"/>
            </w:pPr>
            <w:r w:rsidRPr="00C80411">
              <w:t>43.13</w:t>
            </w:r>
          </w:p>
        </w:tc>
        <w:tc>
          <w:tcPr>
            <w:tcW w:w="0" w:type="auto"/>
          </w:tcPr>
          <w:p w14:paraId="6C840393" w14:textId="77777777" w:rsidR="00007F6C" w:rsidRPr="00C80411" w:rsidRDefault="00007F6C" w:rsidP="005E2F1E">
            <w:pPr>
              <w:jc w:val="right"/>
            </w:pPr>
            <w:r w:rsidRPr="00C80411">
              <w:t>250.07</w:t>
            </w:r>
          </w:p>
        </w:tc>
      </w:tr>
      <w:tr w:rsidR="00007F6C" w:rsidRPr="00C80411" w14:paraId="0AA93E89" w14:textId="77777777" w:rsidTr="005E2F1E">
        <w:trPr>
          <w:jc w:val="center"/>
        </w:trPr>
        <w:tc>
          <w:tcPr>
            <w:tcW w:w="0" w:type="auto"/>
          </w:tcPr>
          <w:p w14:paraId="10A55368" w14:textId="77777777" w:rsidR="00007F6C" w:rsidRPr="00C80411" w:rsidRDefault="00007F6C" w:rsidP="00903E7F">
            <w:pPr>
              <w:jc w:val="right"/>
            </w:pPr>
            <w:r w:rsidRPr="00C80411">
              <w:t>20</w:t>
            </w:r>
          </w:p>
        </w:tc>
        <w:tc>
          <w:tcPr>
            <w:tcW w:w="0" w:type="auto"/>
            <w:vMerge/>
          </w:tcPr>
          <w:p w14:paraId="317D76C7" w14:textId="77777777" w:rsidR="00007F6C" w:rsidRPr="00C80411" w:rsidRDefault="00007F6C" w:rsidP="005E2F1E">
            <w:pPr>
              <w:jc w:val="both"/>
            </w:pPr>
          </w:p>
        </w:tc>
        <w:tc>
          <w:tcPr>
            <w:tcW w:w="0" w:type="auto"/>
          </w:tcPr>
          <w:p w14:paraId="35427A66" w14:textId="77777777" w:rsidR="00007F6C" w:rsidRPr="00C80411" w:rsidRDefault="00007F6C" w:rsidP="005E2F1E">
            <w:pPr>
              <w:jc w:val="right"/>
            </w:pPr>
            <w:r w:rsidRPr="00C80411">
              <w:t>44.2</w:t>
            </w:r>
          </w:p>
        </w:tc>
        <w:tc>
          <w:tcPr>
            <w:tcW w:w="0" w:type="auto"/>
          </w:tcPr>
          <w:p w14:paraId="525E672E" w14:textId="77777777" w:rsidR="00007F6C" w:rsidRPr="00C80411" w:rsidRDefault="00007F6C" w:rsidP="005E2F1E">
            <w:pPr>
              <w:jc w:val="right"/>
            </w:pPr>
            <w:r w:rsidRPr="00C80411">
              <w:t>280.7</w:t>
            </w:r>
            <w:r>
              <w:t>0</w:t>
            </w:r>
          </w:p>
        </w:tc>
      </w:tr>
      <w:tr w:rsidR="00007F6C" w:rsidRPr="00C80411" w14:paraId="312A2658" w14:textId="77777777" w:rsidTr="005E2F1E">
        <w:trPr>
          <w:jc w:val="center"/>
        </w:trPr>
        <w:tc>
          <w:tcPr>
            <w:tcW w:w="0" w:type="auto"/>
          </w:tcPr>
          <w:p w14:paraId="19D0B3B0" w14:textId="77777777" w:rsidR="00007F6C" w:rsidRPr="00C80411" w:rsidRDefault="00007F6C" w:rsidP="00903E7F">
            <w:pPr>
              <w:jc w:val="right"/>
            </w:pPr>
            <w:r w:rsidRPr="00C80411">
              <w:t>25</w:t>
            </w:r>
          </w:p>
        </w:tc>
        <w:tc>
          <w:tcPr>
            <w:tcW w:w="0" w:type="auto"/>
            <w:vMerge/>
          </w:tcPr>
          <w:p w14:paraId="768A16F7" w14:textId="77777777" w:rsidR="00007F6C" w:rsidRPr="00C80411" w:rsidRDefault="00007F6C" w:rsidP="005E2F1E">
            <w:pPr>
              <w:jc w:val="both"/>
            </w:pPr>
          </w:p>
        </w:tc>
        <w:tc>
          <w:tcPr>
            <w:tcW w:w="0" w:type="auto"/>
          </w:tcPr>
          <w:p w14:paraId="2A9FEC21" w14:textId="77777777" w:rsidR="00007F6C" w:rsidRPr="00C80411" w:rsidRDefault="00007F6C" w:rsidP="005E2F1E">
            <w:pPr>
              <w:jc w:val="right"/>
            </w:pPr>
            <w:r w:rsidRPr="00C80411">
              <w:t>39.33</w:t>
            </w:r>
          </w:p>
        </w:tc>
        <w:tc>
          <w:tcPr>
            <w:tcW w:w="0" w:type="auto"/>
          </w:tcPr>
          <w:p w14:paraId="54328521" w14:textId="77777777" w:rsidR="00007F6C" w:rsidRPr="00C80411" w:rsidRDefault="00007F6C" w:rsidP="005E2F1E">
            <w:pPr>
              <w:jc w:val="right"/>
            </w:pPr>
            <w:r w:rsidRPr="00C80411">
              <w:t>317.17</w:t>
            </w:r>
          </w:p>
        </w:tc>
      </w:tr>
      <w:tr w:rsidR="00007F6C" w:rsidRPr="00C80411" w14:paraId="25578664" w14:textId="77777777" w:rsidTr="005E2F1E">
        <w:trPr>
          <w:jc w:val="center"/>
        </w:trPr>
        <w:tc>
          <w:tcPr>
            <w:tcW w:w="0" w:type="auto"/>
          </w:tcPr>
          <w:p w14:paraId="390DD244" w14:textId="77777777" w:rsidR="00007F6C" w:rsidRPr="00C80411" w:rsidRDefault="00007F6C" w:rsidP="00903E7F">
            <w:pPr>
              <w:jc w:val="right"/>
            </w:pPr>
            <w:r w:rsidRPr="00C80411">
              <w:t>30</w:t>
            </w:r>
          </w:p>
        </w:tc>
        <w:tc>
          <w:tcPr>
            <w:tcW w:w="0" w:type="auto"/>
            <w:vMerge/>
          </w:tcPr>
          <w:p w14:paraId="62483B70" w14:textId="77777777" w:rsidR="00007F6C" w:rsidRPr="00C80411" w:rsidRDefault="00007F6C" w:rsidP="005E2F1E">
            <w:pPr>
              <w:jc w:val="both"/>
            </w:pPr>
          </w:p>
        </w:tc>
        <w:tc>
          <w:tcPr>
            <w:tcW w:w="0" w:type="auto"/>
          </w:tcPr>
          <w:p w14:paraId="081D357F" w14:textId="77777777" w:rsidR="00007F6C" w:rsidRPr="00C80411" w:rsidRDefault="00007F6C" w:rsidP="005E2F1E">
            <w:pPr>
              <w:jc w:val="right"/>
            </w:pPr>
            <w:r w:rsidRPr="00C80411">
              <w:t>34.09</w:t>
            </w:r>
          </w:p>
        </w:tc>
        <w:tc>
          <w:tcPr>
            <w:tcW w:w="0" w:type="auto"/>
          </w:tcPr>
          <w:p w14:paraId="6399FBA3" w14:textId="77777777" w:rsidR="00007F6C" w:rsidRPr="00C80411" w:rsidRDefault="00007F6C" w:rsidP="005E2F1E">
            <w:pPr>
              <w:jc w:val="right"/>
            </w:pPr>
            <w:r w:rsidRPr="00C80411">
              <w:t>376.31</w:t>
            </w:r>
          </w:p>
        </w:tc>
      </w:tr>
      <w:tr w:rsidR="00007F6C" w:rsidRPr="00C80411" w14:paraId="1CA54150" w14:textId="77777777" w:rsidTr="005E2F1E">
        <w:trPr>
          <w:jc w:val="center"/>
        </w:trPr>
        <w:tc>
          <w:tcPr>
            <w:tcW w:w="0" w:type="auto"/>
          </w:tcPr>
          <w:p w14:paraId="29CB6C91" w14:textId="77777777" w:rsidR="00007F6C" w:rsidRPr="00C80411" w:rsidRDefault="00007F6C" w:rsidP="00903E7F">
            <w:pPr>
              <w:jc w:val="right"/>
            </w:pPr>
            <w:r w:rsidRPr="00C80411">
              <w:t>35</w:t>
            </w:r>
          </w:p>
        </w:tc>
        <w:tc>
          <w:tcPr>
            <w:tcW w:w="0" w:type="auto"/>
            <w:vMerge/>
          </w:tcPr>
          <w:p w14:paraId="7C10C007" w14:textId="77777777" w:rsidR="00007F6C" w:rsidRPr="00C80411" w:rsidRDefault="00007F6C" w:rsidP="005E2F1E">
            <w:pPr>
              <w:jc w:val="both"/>
            </w:pPr>
          </w:p>
        </w:tc>
        <w:tc>
          <w:tcPr>
            <w:tcW w:w="0" w:type="auto"/>
          </w:tcPr>
          <w:p w14:paraId="29A3C614" w14:textId="77777777" w:rsidR="00007F6C" w:rsidRPr="00C80411" w:rsidRDefault="00007F6C" w:rsidP="005E2F1E">
            <w:pPr>
              <w:jc w:val="right"/>
            </w:pPr>
            <w:r w:rsidRPr="00C80411">
              <w:t>37.9</w:t>
            </w:r>
          </w:p>
        </w:tc>
        <w:tc>
          <w:tcPr>
            <w:tcW w:w="0" w:type="auto"/>
          </w:tcPr>
          <w:p w14:paraId="0AF2B8B9" w14:textId="77777777" w:rsidR="00007F6C" w:rsidRPr="00C80411" w:rsidRDefault="00007F6C" w:rsidP="005E2F1E">
            <w:pPr>
              <w:jc w:val="right"/>
            </w:pPr>
            <w:r w:rsidRPr="00C80411">
              <w:t>441.3</w:t>
            </w:r>
            <w:r>
              <w:t>0</w:t>
            </w:r>
          </w:p>
        </w:tc>
      </w:tr>
      <w:tr w:rsidR="00007F6C" w:rsidRPr="00C80411" w14:paraId="24C54C3A" w14:textId="77777777" w:rsidTr="005E2F1E">
        <w:trPr>
          <w:jc w:val="center"/>
        </w:trPr>
        <w:tc>
          <w:tcPr>
            <w:tcW w:w="0" w:type="auto"/>
          </w:tcPr>
          <w:p w14:paraId="0AC76512" w14:textId="77777777" w:rsidR="00007F6C" w:rsidRPr="00C80411" w:rsidRDefault="00007F6C" w:rsidP="00903E7F">
            <w:pPr>
              <w:jc w:val="right"/>
            </w:pPr>
            <w:r w:rsidRPr="00C80411">
              <w:t>40</w:t>
            </w:r>
          </w:p>
        </w:tc>
        <w:tc>
          <w:tcPr>
            <w:tcW w:w="0" w:type="auto"/>
            <w:vMerge/>
          </w:tcPr>
          <w:p w14:paraId="1E7D1033" w14:textId="77777777" w:rsidR="00007F6C" w:rsidRPr="00C80411" w:rsidRDefault="00007F6C" w:rsidP="005E2F1E">
            <w:pPr>
              <w:jc w:val="both"/>
            </w:pPr>
          </w:p>
        </w:tc>
        <w:tc>
          <w:tcPr>
            <w:tcW w:w="0" w:type="auto"/>
          </w:tcPr>
          <w:p w14:paraId="3EE331E5" w14:textId="77777777" w:rsidR="00007F6C" w:rsidRPr="00C80411" w:rsidRDefault="00007F6C" w:rsidP="005E2F1E">
            <w:pPr>
              <w:jc w:val="right"/>
            </w:pPr>
            <w:r w:rsidRPr="00C80411">
              <w:t>85.87</w:t>
            </w:r>
          </w:p>
        </w:tc>
        <w:tc>
          <w:tcPr>
            <w:tcW w:w="0" w:type="auto"/>
          </w:tcPr>
          <w:p w14:paraId="2CFDEEF7" w14:textId="77777777" w:rsidR="00007F6C" w:rsidRPr="00C80411" w:rsidRDefault="00007F6C" w:rsidP="005E2F1E">
            <w:pPr>
              <w:jc w:val="right"/>
            </w:pPr>
            <w:r w:rsidRPr="00C80411">
              <w:t>405.03</w:t>
            </w:r>
          </w:p>
        </w:tc>
      </w:tr>
      <w:tr w:rsidR="00007F6C" w:rsidRPr="00C80411" w14:paraId="797FEE56" w14:textId="77777777" w:rsidTr="005E2F1E">
        <w:trPr>
          <w:jc w:val="center"/>
        </w:trPr>
        <w:tc>
          <w:tcPr>
            <w:tcW w:w="0" w:type="auto"/>
          </w:tcPr>
          <w:p w14:paraId="400A2663" w14:textId="77777777" w:rsidR="00007F6C" w:rsidRPr="00C80411" w:rsidRDefault="00007F6C" w:rsidP="00903E7F">
            <w:pPr>
              <w:jc w:val="right"/>
            </w:pPr>
            <w:r w:rsidRPr="00C80411">
              <w:t>45</w:t>
            </w:r>
          </w:p>
        </w:tc>
        <w:tc>
          <w:tcPr>
            <w:tcW w:w="0" w:type="auto"/>
            <w:vMerge/>
          </w:tcPr>
          <w:p w14:paraId="606F6B38" w14:textId="77777777" w:rsidR="00007F6C" w:rsidRPr="00C80411" w:rsidRDefault="00007F6C" w:rsidP="005E2F1E">
            <w:pPr>
              <w:jc w:val="both"/>
            </w:pPr>
          </w:p>
        </w:tc>
        <w:tc>
          <w:tcPr>
            <w:tcW w:w="0" w:type="auto"/>
          </w:tcPr>
          <w:p w14:paraId="2D713995" w14:textId="77777777" w:rsidR="00007F6C" w:rsidRPr="00C80411" w:rsidRDefault="00007F6C" w:rsidP="005E2F1E">
            <w:pPr>
              <w:jc w:val="right"/>
            </w:pPr>
            <w:r w:rsidRPr="00C80411">
              <w:t>71.54</w:t>
            </w:r>
          </w:p>
        </w:tc>
        <w:tc>
          <w:tcPr>
            <w:tcW w:w="0" w:type="auto"/>
          </w:tcPr>
          <w:p w14:paraId="6BBAD4BB" w14:textId="77777777" w:rsidR="00007F6C" w:rsidRPr="00C80411" w:rsidRDefault="00007F6C" w:rsidP="005E2F1E">
            <w:pPr>
              <w:jc w:val="right"/>
            </w:pPr>
            <w:r w:rsidRPr="00C80411">
              <w:t>464.76</w:t>
            </w:r>
          </w:p>
        </w:tc>
      </w:tr>
      <w:tr w:rsidR="00007F6C" w:rsidRPr="00C80411" w14:paraId="3E3A6565" w14:textId="77777777" w:rsidTr="005E2F1E">
        <w:trPr>
          <w:trHeight w:val="70"/>
          <w:jc w:val="center"/>
        </w:trPr>
        <w:tc>
          <w:tcPr>
            <w:tcW w:w="0" w:type="auto"/>
          </w:tcPr>
          <w:p w14:paraId="3BE7425E" w14:textId="77777777" w:rsidR="00007F6C" w:rsidRPr="00C80411" w:rsidRDefault="00007F6C" w:rsidP="00903E7F">
            <w:pPr>
              <w:jc w:val="right"/>
            </w:pPr>
            <w:r w:rsidRPr="00C80411">
              <w:t>50</w:t>
            </w:r>
          </w:p>
        </w:tc>
        <w:tc>
          <w:tcPr>
            <w:tcW w:w="0" w:type="auto"/>
            <w:vMerge/>
          </w:tcPr>
          <w:p w14:paraId="31E9E3FF" w14:textId="77777777" w:rsidR="00007F6C" w:rsidRPr="00C80411" w:rsidRDefault="00007F6C" w:rsidP="005E2F1E">
            <w:pPr>
              <w:jc w:val="both"/>
            </w:pPr>
          </w:p>
        </w:tc>
        <w:tc>
          <w:tcPr>
            <w:tcW w:w="0" w:type="auto"/>
          </w:tcPr>
          <w:p w14:paraId="74DC6AED" w14:textId="77777777" w:rsidR="00007F6C" w:rsidRPr="00C80411" w:rsidRDefault="00007F6C" w:rsidP="005E2F1E">
            <w:pPr>
              <w:jc w:val="right"/>
            </w:pPr>
            <w:r w:rsidRPr="00C80411">
              <w:t>82.01</w:t>
            </w:r>
          </w:p>
        </w:tc>
        <w:tc>
          <w:tcPr>
            <w:tcW w:w="0" w:type="auto"/>
          </w:tcPr>
          <w:p w14:paraId="46FEF644" w14:textId="77777777" w:rsidR="00007F6C" w:rsidRPr="00C80411" w:rsidRDefault="00007F6C" w:rsidP="005E2F1E">
            <w:pPr>
              <w:jc w:val="right"/>
            </w:pPr>
            <w:r w:rsidRPr="00C80411">
              <w:t>476.99</w:t>
            </w:r>
          </w:p>
        </w:tc>
      </w:tr>
    </w:tbl>
    <w:p w14:paraId="6150B399" w14:textId="77777777" w:rsidR="00007F6C" w:rsidRDefault="00007F6C" w:rsidP="00007F6C">
      <w:pPr>
        <w:pStyle w:val="Caption"/>
        <w:keepNext/>
        <w:jc w:val="both"/>
      </w:pPr>
    </w:p>
    <w:p w14:paraId="5309B5CC" w14:textId="46136FEC" w:rsidR="00007F6C" w:rsidRDefault="00007F6C" w:rsidP="00007F6C">
      <w:pPr>
        <w:pStyle w:val="Caption"/>
        <w:keepNext/>
      </w:pPr>
      <w:r>
        <w:t>Table 5.</w:t>
      </w:r>
      <w:r w:rsidR="00B51F53">
        <w:fldChar w:fldCharType="begin"/>
      </w:r>
      <w:r w:rsidR="00B51F53">
        <w:instrText xml:space="preserve"> SEQ Table \* ARABIC </w:instrText>
      </w:r>
      <w:r w:rsidR="00B51F53">
        <w:fldChar w:fldCharType="separate"/>
      </w:r>
      <w:r w:rsidR="0022061C">
        <w:rPr>
          <w:noProof/>
        </w:rPr>
        <w:t>4</w:t>
      </w:r>
      <w:r w:rsidR="00B51F53">
        <w:rPr>
          <w:noProof/>
        </w:rPr>
        <w:fldChar w:fldCharType="end"/>
      </w:r>
      <w:r>
        <w:t>: Table detailing the Rs and Rp of Ag3 N-YSZ sample using circle fitting using XM Studio ECS</w:t>
      </w:r>
    </w:p>
    <w:tbl>
      <w:tblPr>
        <w:tblStyle w:val="TableGrid"/>
        <w:tblW w:w="0" w:type="auto"/>
        <w:jc w:val="center"/>
        <w:tblLook w:val="04A0" w:firstRow="1" w:lastRow="0" w:firstColumn="1" w:lastColumn="0" w:noHBand="0" w:noVBand="1"/>
      </w:tblPr>
      <w:tblGrid>
        <w:gridCol w:w="1313"/>
        <w:gridCol w:w="1292"/>
        <w:gridCol w:w="718"/>
        <w:gridCol w:w="830"/>
      </w:tblGrid>
      <w:tr w:rsidR="00007F6C" w:rsidRPr="00C80411" w14:paraId="199112F7" w14:textId="77777777" w:rsidTr="005E2F1E">
        <w:trPr>
          <w:jc w:val="center"/>
        </w:trPr>
        <w:tc>
          <w:tcPr>
            <w:tcW w:w="0" w:type="auto"/>
          </w:tcPr>
          <w:bookmarkEnd w:id="462"/>
          <w:p w14:paraId="36903FD5" w14:textId="77777777" w:rsidR="00007F6C" w:rsidRPr="00C80411" w:rsidRDefault="00007F6C" w:rsidP="005E2F1E">
            <w:pPr>
              <w:jc w:val="both"/>
              <w:rPr>
                <w:b/>
                <w:bCs/>
              </w:rPr>
            </w:pPr>
            <w:r w:rsidRPr="00C80411">
              <w:rPr>
                <w:b/>
                <w:bCs/>
              </w:rPr>
              <w:t>Sample</w:t>
            </w:r>
          </w:p>
        </w:tc>
        <w:tc>
          <w:tcPr>
            <w:tcW w:w="0" w:type="auto"/>
            <w:vMerge w:val="restart"/>
          </w:tcPr>
          <w:p w14:paraId="56ED975C" w14:textId="77777777" w:rsidR="00007F6C" w:rsidRPr="00C80411" w:rsidRDefault="00007F6C" w:rsidP="005E2F1E">
            <w:pPr>
              <w:jc w:val="both"/>
              <w:rPr>
                <w:b/>
                <w:bCs/>
              </w:rPr>
            </w:pPr>
            <w:r w:rsidRPr="00C80411">
              <w:rPr>
                <w:b/>
                <w:bCs/>
              </w:rPr>
              <w:t xml:space="preserve">Fitting Type </w:t>
            </w:r>
          </w:p>
          <w:p w14:paraId="73D47B1C" w14:textId="77777777" w:rsidR="00007F6C" w:rsidRPr="00C80411" w:rsidRDefault="00007F6C" w:rsidP="005E2F1E">
            <w:pPr>
              <w:jc w:val="both"/>
              <w:rPr>
                <w:b/>
                <w:bCs/>
              </w:rPr>
            </w:pPr>
          </w:p>
        </w:tc>
        <w:tc>
          <w:tcPr>
            <w:tcW w:w="0" w:type="auto"/>
            <w:vMerge w:val="restart"/>
          </w:tcPr>
          <w:p w14:paraId="3983E772" w14:textId="77777777" w:rsidR="00007F6C" w:rsidRPr="00C80411" w:rsidRDefault="00007F6C" w:rsidP="005E2F1E">
            <w:pPr>
              <w:jc w:val="both"/>
              <w:rPr>
                <w:b/>
                <w:bCs/>
              </w:rPr>
            </w:pPr>
            <w:r w:rsidRPr="00C80411">
              <w:rPr>
                <w:b/>
                <w:bCs/>
              </w:rPr>
              <w:t xml:space="preserve">Rs </w:t>
            </w:r>
          </w:p>
          <w:p w14:paraId="1452C713" w14:textId="77777777" w:rsidR="00007F6C" w:rsidRPr="00C80411" w:rsidRDefault="00007F6C" w:rsidP="005E2F1E">
            <w:pPr>
              <w:jc w:val="both"/>
              <w:rPr>
                <w:b/>
                <w:bCs/>
              </w:rPr>
            </w:pPr>
            <w:r w:rsidRPr="00C80411">
              <w:rPr>
                <w:b/>
                <w:bCs/>
              </w:rPr>
              <w:t>[Ω]</w:t>
            </w:r>
          </w:p>
        </w:tc>
        <w:tc>
          <w:tcPr>
            <w:tcW w:w="0" w:type="auto"/>
            <w:vMerge w:val="restart"/>
          </w:tcPr>
          <w:p w14:paraId="46ABE264" w14:textId="77777777" w:rsidR="00007F6C" w:rsidRPr="00C80411" w:rsidRDefault="00007F6C" w:rsidP="005E2F1E">
            <w:pPr>
              <w:jc w:val="both"/>
              <w:rPr>
                <w:b/>
                <w:bCs/>
              </w:rPr>
            </w:pPr>
            <w:r w:rsidRPr="00C80411">
              <w:rPr>
                <w:b/>
                <w:bCs/>
              </w:rPr>
              <w:t xml:space="preserve">Rp  </w:t>
            </w:r>
          </w:p>
          <w:p w14:paraId="4B1902E6" w14:textId="77777777" w:rsidR="00007F6C" w:rsidRPr="00C80411" w:rsidRDefault="00007F6C" w:rsidP="005E2F1E">
            <w:pPr>
              <w:jc w:val="both"/>
              <w:rPr>
                <w:b/>
                <w:bCs/>
              </w:rPr>
            </w:pPr>
            <w:r w:rsidRPr="00C80411">
              <w:rPr>
                <w:b/>
                <w:bCs/>
              </w:rPr>
              <w:t xml:space="preserve">[Ω] </w:t>
            </w:r>
          </w:p>
        </w:tc>
      </w:tr>
      <w:tr w:rsidR="00007F6C" w:rsidRPr="00C80411" w14:paraId="5D8FC6B6" w14:textId="77777777" w:rsidTr="005E2F1E">
        <w:trPr>
          <w:jc w:val="center"/>
        </w:trPr>
        <w:tc>
          <w:tcPr>
            <w:tcW w:w="0" w:type="auto"/>
          </w:tcPr>
          <w:p w14:paraId="6D91464D" w14:textId="77777777" w:rsidR="00007F6C" w:rsidRPr="00C80411" w:rsidRDefault="00007F6C" w:rsidP="005E2F1E">
            <w:pPr>
              <w:jc w:val="both"/>
            </w:pPr>
            <w:r w:rsidRPr="00C80411">
              <w:t>Ni-YSZ (Ag3)</w:t>
            </w:r>
          </w:p>
        </w:tc>
        <w:tc>
          <w:tcPr>
            <w:tcW w:w="0" w:type="auto"/>
            <w:vMerge/>
          </w:tcPr>
          <w:p w14:paraId="7942D721" w14:textId="77777777" w:rsidR="00007F6C" w:rsidRPr="00C80411" w:rsidRDefault="00007F6C" w:rsidP="005E2F1E">
            <w:pPr>
              <w:jc w:val="both"/>
            </w:pPr>
          </w:p>
        </w:tc>
        <w:tc>
          <w:tcPr>
            <w:tcW w:w="0" w:type="auto"/>
            <w:vMerge/>
          </w:tcPr>
          <w:p w14:paraId="14440134" w14:textId="77777777" w:rsidR="00007F6C" w:rsidRPr="00C80411" w:rsidRDefault="00007F6C" w:rsidP="005E2F1E">
            <w:pPr>
              <w:jc w:val="both"/>
            </w:pPr>
          </w:p>
        </w:tc>
        <w:tc>
          <w:tcPr>
            <w:tcW w:w="0" w:type="auto"/>
            <w:vMerge/>
          </w:tcPr>
          <w:p w14:paraId="0FEEF73E" w14:textId="77777777" w:rsidR="00007F6C" w:rsidRPr="00C80411" w:rsidRDefault="00007F6C" w:rsidP="005E2F1E">
            <w:pPr>
              <w:jc w:val="both"/>
            </w:pPr>
          </w:p>
        </w:tc>
      </w:tr>
      <w:tr w:rsidR="00007F6C" w:rsidRPr="00C80411" w14:paraId="2E017583" w14:textId="77777777" w:rsidTr="005E2F1E">
        <w:trPr>
          <w:jc w:val="center"/>
        </w:trPr>
        <w:tc>
          <w:tcPr>
            <w:tcW w:w="0" w:type="auto"/>
          </w:tcPr>
          <w:p w14:paraId="6FC70F01" w14:textId="77777777" w:rsidR="00007F6C" w:rsidRPr="00C80411" w:rsidRDefault="00007F6C" w:rsidP="00903E7F">
            <w:pPr>
              <w:jc w:val="right"/>
            </w:pPr>
            <w:r w:rsidRPr="00C80411">
              <w:t>0</w:t>
            </w:r>
          </w:p>
        </w:tc>
        <w:tc>
          <w:tcPr>
            <w:tcW w:w="0" w:type="auto"/>
            <w:vMerge w:val="restart"/>
          </w:tcPr>
          <w:p w14:paraId="42977FDE" w14:textId="77777777" w:rsidR="00007F6C" w:rsidRPr="00C80411" w:rsidRDefault="00007F6C" w:rsidP="005E2F1E">
            <w:pPr>
              <w:jc w:val="both"/>
            </w:pPr>
            <w:r w:rsidRPr="00C80411">
              <w:t>Circle</w:t>
            </w:r>
          </w:p>
          <w:p w14:paraId="49112DB5" w14:textId="77777777" w:rsidR="00007F6C" w:rsidRPr="00C80411" w:rsidRDefault="00007F6C" w:rsidP="005E2F1E">
            <w:pPr>
              <w:jc w:val="both"/>
            </w:pPr>
          </w:p>
        </w:tc>
        <w:tc>
          <w:tcPr>
            <w:tcW w:w="0" w:type="auto"/>
          </w:tcPr>
          <w:p w14:paraId="33134C3A" w14:textId="77777777" w:rsidR="00007F6C" w:rsidRPr="00C80411" w:rsidRDefault="00007F6C" w:rsidP="005E2F1E">
            <w:pPr>
              <w:jc w:val="right"/>
            </w:pPr>
            <w:r w:rsidRPr="00C80411">
              <w:t>23.39</w:t>
            </w:r>
          </w:p>
        </w:tc>
        <w:tc>
          <w:tcPr>
            <w:tcW w:w="0" w:type="auto"/>
          </w:tcPr>
          <w:p w14:paraId="06600DE3" w14:textId="77777777" w:rsidR="00007F6C" w:rsidRPr="00C80411" w:rsidRDefault="00007F6C" w:rsidP="005E2F1E">
            <w:pPr>
              <w:jc w:val="right"/>
            </w:pPr>
            <w:r w:rsidRPr="00C80411">
              <w:t>50.26</w:t>
            </w:r>
          </w:p>
        </w:tc>
      </w:tr>
      <w:tr w:rsidR="00007F6C" w:rsidRPr="00C80411" w14:paraId="38CE7169" w14:textId="77777777" w:rsidTr="005E2F1E">
        <w:trPr>
          <w:jc w:val="center"/>
        </w:trPr>
        <w:tc>
          <w:tcPr>
            <w:tcW w:w="0" w:type="auto"/>
          </w:tcPr>
          <w:p w14:paraId="0905F756" w14:textId="77777777" w:rsidR="00007F6C" w:rsidRPr="00C80411" w:rsidRDefault="00007F6C" w:rsidP="00903E7F">
            <w:pPr>
              <w:jc w:val="right"/>
            </w:pPr>
            <w:r w:rsidRPr="00C80411">
              <w:t>5</w:t>
            </w:r>
          </w:p>
        </w:tc>
        <w:tc>
          <w:tcPr>
            <w:tcW w:w="0" w:type="auto"/>
            <w:vMerge/>
          </w:tcPr>
          <w:p w14:paraId="44EE626D" w14:textId="77777777" w:rsidR="00007F6C" w:rsidRPr="00C80411" w:rsidRDefault="00007F6C" w:rsidP="005E2F1E">
            <w:pPr>
              <w:jc w:val="both"/>
            </w:pPr>
          </w:p>
        </w:tc>
        <w:tc>
          <w:tcPr>
            <w:tcW w:w="0" w:type="auto"/>
          </w:tcPr>
          <w:p w14:paraId="0842D4AE" w14:textId="77777777" w:rsidR="00007F6C" w:rsidRPr="00C80411" w:rsidRDefault="00007F6C" w:rsidP="005E2F1E">
            <w:pPr>
              <w:jc w:val="right"/>
            </w:pPr>
            <w:r w:rsidRPr="00C80411">
              <w:t>39.33</w:t>
            </w:r>
          </w:p>
        </w:tc>
        <w:tc>
          <w:tcPr>
            <w:tcW w:w="0" w:type="auto"/>
          </w:tcPr>
          <w:p w14:paraId="06E5CBF7" w14:textId="77777777" w:rsidR="00007F6C" w:rsidRPr="00C80411" w:rsidRDefault="00007F6C" w:rsidP="005E2F1E">
            <w:pPr>
              <w:jc w:val="right"/>
            </w:pPr>
            <w:r w:rsidRPr="00C80411">
              <w:t>106.77</w:t>
            </w:r>
          </w:p>
        </w:tc>
      </w:tr>
      <w:tr w:rsidR="00007F6C" w:rsidRPr="00C80411" w14:paraId="46C3960F" w14:textId="77777777" w:rsidTr="005E2F1E">
        <w:trPr>
          <w:jc w:val="center"/>
        </w:trPr>
        <w:tc>
          <w:tcPr>
            <w:tcW w:w="0" w:type="auto"/>
          </w:tcPr>
          <w:p w14:paraId="62E1A933" w14:textId="77777777" w:rsidR="00007F6C" w:rsidRPr="00C80411" w:rsidRDefault="00007F6C" w:rsidP="00903E7F">
            <w:pPr>
              <w:jc w:val="right"/>
            </w:pPr>
            <w:r w:rsidRPr="00C80411">
              <w:t>10</w:t>
            </w:r>
          </w:p>
        </w:tc>
        <w:tc>
          <w:tcPr>
            <w:tcW w:w="0" w:type="auto"/>
            <w:vMerge/>
          </w:tcPr>
          <w:p w14:paraId="0625047D" w14:textId="77777777" w:rsidR="00007F6C" w:rsidRPr="00C80411" w:rsidRDefault="00007F6C" w:rsidP="005E2F1E">
            <w:pPr>
              <w:jc w:val="both"/>
            </w:pPr>
          </w:p>
        </w:tc>
        <w:tc>
          <w:tcPr>
            <w:tcW w:w="0" w:type="auto"/>
          </w:tcPr>
          <w:p w14:paraId="5529E5A8" w14:textId="77777777" w:rsidR="00007F6C" w:rsidRPr="00C80411" w:rsidRDefault="00007F6C" w:rsidP="005E2F1E">
            <w:pPr>
              <w:jc w:val="right"/>
            </w:pPr>
            <w:r w:rsidRPr="00C80411">
              <w:t>41.46</w:t>
            </w:r>
          </w:p>
        </w:tc>
        <w:tc>
          <w:tcPr>
            <w:tcW w:w="0" w:type="auto"/>
          </w:tcPr>
          <w:p w14:paraId="435C4B5A" w14:textId="77777777" w:rsidR="00007F6C" w:rsidRPr="00C80411" w:rsidRDefault="00007F6C" w:rsidP="005E2F1E">
            <w:pPr>
              <w:jc w:val="right"/>
            </w:pPr>
            <w:r w:rsidRPr="00C80411">
              <w:t>156.94</w:t>
            </w:r>
          </w:p>
        </w:tc>
      </w:tr>
      <w:tr w:rsidR="00007F6C" w:rsidRPr="00C80411" w14:paraId="6927D52E" w14:textId="77777777" w:rsidTr="005E2F1E">
        <w:trPr>
          <w:jc w:val="center"/>
        </w:trPr>
        <w:tc>
          <w:tcPr>
            <w:tcW w:w="0" w:type="auto"/>
          </w:tcPr>
          <w:p w14:paraId="58609989" w14:textId="77777777" w:rsidR="00007F6C" w:rsidRPr="00C80411" w:rsidRDefault="00007F6C" w:rsidP="00903E7F">
            <w:pPr>
              <w:jc w:val="right"/>
            </w:pPr>
            <w:r w:rsidRPr="00C80411">
              <w:t>15</w:t>
            </w:r>
          </w:p>
        </w:tc>
        <w:tc>
          <w:tcPr>
            <w:tcW w:w="0" w:type="auto"/>
            <w:vMerge/>
          </w:tcPr>
          <w:p w14:paraId="0CEEFFAE" w14:textId="77777777" w:rsidR="00007F6C" w:rsidRPr="00C80411" w:rsidRDefault="00007F6C" w:rsidP="005E2F1E">
            <w:pPr>
              <w:jc w:val="both"/>
            </w:pPr>
          </w:p>
        </w:tc>
        <w:tc>
          <w:tcPr>
            <w:tcW w:w="0" w:type="auto"/>
          </w:tcPr>
          <w:p w14:paraId="47D360B2" w14:textId="77777777" w:rsidR="00007F6C" w:rsidRPr="00C80411" w:rsidRDefault="00007F6C" w:rsidP="005E2F1E">
            <w:pPr>
              <w:jc w:val="right"/>
            </w:pPr>
            <w:r w:rsidRPr="00C80411">
              <w:t>41.38</w:t>
            </w:r>
          </w:p>
        </w:tc>
        <w:tc>
          <w:tcPr>
            <w:tcW w:w="0" w:type="auto"/>
          </w:tcPr>
          <w:p w14:paraId="13316622" w14:textId="77777777" w:rsidR="00007F6C" w:rsidRPr="00C80411" w:rsidRDefault="00007F6C" w:rsidP="005E2F1E">
            <w:pPr>
              <w:jc w:val="right"/>
            </w:pPr>
            <w:r w:rsidRPr="00C80411">
              <w:t>196.82</w:t>
            </w:r>
          </w:p>
        </w:tc>
      </w:tr>
      <w:tr w:rsidR="00007F6C" w:rsidRPr="00C80411" w14:paraId="548C1A12" w14:textId="77777777" w:rsidTr="005E2F1E">
        <w:trPr>
          <w:jc w:val="center"/>
        </w:trPr>
        <w:tc>
          <w:tcPr>
            <w:tcW w:w="0" w:type="auto"/>
          </w:tcPr>
          <w:p w14:paraId="382A33B5" w14:textId="77777777" w:rsidR="00007F6C" w:rsidRPr="00C80411" w:rsidRDefault="00007F6C" w:rsidP="00903E7F">
            <w:pPr>
              <w:jc w:val="right"/>
            </w:pPr>
            <w:r w:rsidRPr="00C80411">
              <w:t>20</w:t>
            </w:r>
          </w:p>
        </w:tc>
        <w:tc>
          <w:tcPr>
            <w:tcW w:w="0" w:type="auto"/>
            <w:vMerge/>
          </w:tcPr>
          <w:p w14:paraId="460E731B" w14:textId="77777777" w:rsidR="00007F6C" w:rsidRPr="00C80411" w:rsidRDefault="00007F6C" w:rsidP="005E2F1E">
            <w:pPr>
              <w:jc w:val="both"/>
            </w:pPr>
          </w:p>
        </w:tc>
        <w:tc>
          <w:tcPr>
            <w:tcW w:w="0" w:type="auto"/>
          </w:tcPr>
          <w:p w14:paraId="3362B02C" w14:textId="77777777" w:rsidR="00007F6C" w:rsidRPr="00C80411" w:rsidRDefault="00007F6C" w:rsidP="005E2F1E">
            <w:pPr>
              <w:jc w:val="right"/>
            </w:pPr>
            <w:r w:rsidRPr="00C80411">
              <w:t>43.22</w:t>
            </w:r>
          </w:p>
        </w:tc>
        <w:tc>
          <w:tcPr>
            <w:tcW w:w="0" w:type="auto"/>
          </w:tcPr>
          <w:p w14:paraId="6C0D47E5" w14:textId="77777777" w:rsidR="00007F6C" w:rsidRPr="00C80411" w:rsidRDefault="00007F6C" w:rsidP="005E2F1E">
            <w:pPr>
              <w:jc w:val="right"/>
            </w:pPr>
            <w:r w:rsidRPr="00C80411">
              <w:t>254.18</w:t>
            </w:r>
          </w:p>
        </w:tc>
      </w:tr>
      <w:tr w:rsidR="00007F6C" w:rsidRPr="00C80411" w14:paraId="35333048" w14:textId="77777777" w:rsidTr="005E2F1E">
        <w:trPr>
          <w:jc w:val="center"/>
        </w:trPr>
        <w:tc>
          <w:tcPr>
            <w:tcW w:w="0" w:type="auto"/>
          </w:tcPr>
          <w:p w14:paraId="1DD10460" w14:textId="77777777" w:rsidR="00007F6C" w:rsidRPr="00C80411" w:rsidRDefault="00007F6C" w:rsidP="00903E7F">
            <w:pPr>
              <w:jc w:val="right"/>
            </w:pPr>
            <w:r w:rsidRPr="00C80411">
              <w:t>25</w:t>
            </w:r>
          </w:p>
        </w:tc>
        <w:tc>
          <w:tcPr>
            <w:tcW w:w="0" w:type="auto"/>
            <w:vMerge/>
          </w:tcPr>
          <w:p w14:paraId="76A19690" w14:textId="77777777" w:rsidR="00007F6C" w:rsidRPr="00C80411" w:rsidRDefault="00007F6C" w:rsidP="005E2F1E">
            <w:pPr>
              <w:jc w:val="both"/>
            </w:pPr>
          </w:p>
        </w:tc>
        <w:tc>
          <w:tcPr>
            <w:tcW w:w="0" w:type="auto"/>
          </w:tcPr>
          <w:p w14:paraId="3019FB4A" w14:textId="77777777" w:rsidR="00007F6C" w:rsidRPr="00C80411" w:rsidRDefault="00007F6C" w:rsidP="005E2F1E">
            <w:pPr>
              <w:jc w:val="right"/>
            </w:pPr>
            <w:r w:rsidRPr="00C80411">
              <w:t>43.57</w:t>
            </w:r>
          </w:p>
        </w:tc>
        <w:tc>
          <w:tcPr>
            <w:tcW w:w="0" w:type="auto"/>
          </w:tcPr>
          <w:p w14:paraId="6FCA0BCA" w14:textId="77777777" w:rsidR="00007F6C" w:rsidRPr="00C80411" w:rsidRDefault="00007F6C" w:rsidP="005E2F1E">
            <w:pPr>
              <w:jc w:val="right"/>
            </w:pPr>
            <w:r w:rsidRPr="00C80411">
              <w:t>274.13</w:t>
            </w:r>
          </w:p>
        </w:tc>
      </w:tr>
      <w:tr w:rsidR="00007F6C" w:rsidRPr="00C80411" w14:paraId="53E3C83A" w14:textId="77777777" w:rsidTr="005E2F1E">
        <w:trPr>
          <w:jc w:val="center"/>
        </w:trPr>
        <w:tc>
          <w:tcPr>
            <w:tcW w:w="0" w:type="auto"/>
          </w:tcPr>
          <w:p w14:paraId="07D00337" w14:textId="77777777" w:rsidR="00007F6C" w:rsidRPr="00C80411" w:rsidRDefault="00007F6C" w:rsidP="00903E7F">
            <w:pPr>
              <w:jc w:val="right"/>
            </w:pPr>
            <w:r w:rsidRPr="00C80411">
              <w:t>30</w:t>
            </w:r>
          </w:p>
        </w:tc>
        <w:tc>
          <w:tcPr>
            <w:tcW w:w="0" w:type="auto"/>
            <w:vMerge/>
          </w:tcPr>
          <w:p w14:paraId="52180C47" w14:textId="77777777" w:rsidR="00007F6C" w:rsidRPr="00C80411" w:rsidRDefault="00007F6C" w:rsidP="005E2F1E">
            <w:pPr>
              <w:jc w:val="both"/>
            </w:pPr>
          </w:p>
        </w:tc>
        <w:tc>
          <w:tcPr>
            <w:tcW w:w="0" w:type="auto"/>
          </w:tcPr>
          <w:p w14:paraId="7F9BDB94" w14:textId="77777777" w:rsidR="00007F6C" w:rsidRPr="00C80411" w:rsidRDefault="00007F6C" w:rsidP="005E2F1E">
            <w:pPr>
              <w:jc w:val="right"/>
            </w:pPr>
            <w:r w:rsidRPr="00C80411">
              <w:t>42.86</w:t>
            </w:r>
          </w:p>
        </w:tc>
        <w:tc>
          <w:tcPr>
            <w:tcW w:w="0" w:type="auto"/>
          </w:tcPr>
          <w:p w14:paraId="1943AA2A" w14:textId="77777777" w:rsidR="00007F6C" w:rsidRPr="00C80411" w:rsidRDefault="00007F6C" w:rsidP="005E2F1E">
            <w:pPr>
              <w:jc w:val="right"/>
            </w:pPr>
            <w:r w:rsidRPr="00C80411">
              <w:t>310.44</w:t>
            </w:r>
          </w:p>
        </w:tc>
      </w:tr>
      <w:tr w:rsidR="00007F6C" w:rsidRPr="00C80411" w14:paraId="4C7995B2" w14:textId="77777777" w:rsidTr="005E2F1E">
        <w:trPr>
          <w:jc w:val="center"/>
        </w:trPr>
        <w:tc>
          <w:tcPr>
            <w:tcW w:w="0" w:type="auto"/>
          </w:tcPr>
          <w:p w14:paraId="64853109" w14:textId="77777777" w:rsidR="00007F6C" w:rsidRPr="00C80411" w:rsidRDefault="00007F6C" w:rsidP="00903E7F">
            <w:pPr>
              <w:jc w:val="right"/>
            </w:pPr>
            <w:r w:rsidRPr="00C80411">
              <w:t>35</w:t>
            </w:r>
          </w:p>
        </w:tc>
        <w:tc>
          <w:tcPr>
            <w:tcW w:w="0" w:type="auto"/>
            <w:vMerge/>
          </w:tcPr>
          <w:p w14:paraId="64B7098C" w14:textId="77777777" w:rsidR="00007F6C" w:rsidRPr="00C80411" w:rsidRDefault="00007F6C" w:rsidP="005E2F1E">
            <w:pPr>
              <w:jc w:val="both"/>
            </w:pPr>
          </w:p>
        </w:tc>
        <w:tc>
          <w:tcPr>
            <w:tcW w:w="0" w:type="auto"/>
          </w:tcPr>
          <w:p w14:paraId="5CF6338C" w14:textId="77777777" w:rsidR="00007F6C" w:rsidRPr="00C80411" w:rsidRDefault="00007F6C" w:rsidP="005E2F1E">
            <w:pPr>
              <w:jc w:val="right"/>
            </w:pPr>
            <w:r w:rsidRPr="00C80411">
              <w:t>45.33</w:t>
            </w:r>
          </w:p>
        </w:tc>
        <w:tc>
          <w:tcPr>
            <w:tcW w:w="0" w:type="auto"/>
          </w:tcPr>
          <w:p w14:paraId="6C246D14" w14:textId="77777777" w:rsidR="00007F6C" w:rsidRPr="00C80411" w:rsidRDefault="00007F6C" w:rsidP="005E2F1E">
            <w:pPr>
              <w:jc w:val="right"/>
            </w:pPr>
            <w:r w:rsidRPr="00C80411">
              <w:t>334.22</w:t>
            </w:r>
          </w:p>
        </w:tc>
      </w:tr>
      <w:tr w:rsidR="00007F6C" w:rsidRPr="00C80411" w14:paraId="027D1316" w14:textId="77777777" w:rsidTr="005E2F1E">
        <w:trPr>
          <w:jc w:val="center"/>
        </w:trPr>
        <w:tc>
          <w:tcPr>
            <w:tcW w:w="0" w:type="auto"/>
          </w:tcPr>
          <w:p w14:paraId="6F70AA33" w14:textId="77777777" w:rsidR="00007F6C" w:rsidRPr="00C80411" w:rsidRDefault="00007F6C" w:rsidP="00903E7F">
            <w:pPr>
              <w:jc w:val="right"/>
            </w:pPr>
            <w:r w:rsidRPr="00C80411">
              <w:t>40</w:t>
            </w:r>
          </w:p>
        </w:tc>
        <w:tc>
          <w:tcPr>
            <w:tcW w:w="0" w:type="auto"/>
            <w:vMerge/>
          </w:tcPr>
          <w:p w14:paraId="503E4CE1" w14:textId="77777777" w:rsidR="00007F6C" w:rsidRPr="00C80411" w:rsidRDefault="00007F6C" w:rsidP="005E2F1E">
            <w:pPr>
              <w:jc w:val="both"/>
            </w:pPr>
          </w:p>
        </w:tc>
        <w:tc>
          <w:tcPr>
            <w:tcW w:w="0" w:type="auto"/>
          </w:tcPr>
          <w:p w14:paraId="01183260" w14:textId="77777777" w:rsidR="00007F6C" w:rsidRPr="00C80411" w:rsidRDefault="00007F6C" w:rsidP="005E2F1E">
            <w:pPr>
              <w:jc w:val="right"/>
            </w:pPr>
            <w:r w:rsidRPr="00C80411">
              <w:t>50.09</w:t>
            </w:r>
          </w:p>
        </w:tc>
        <w:tc>
          <w:tcPr>
            <w:tcW w:w="0" w:type="auto"/>
          </w:tcPr>
          <w:p w14:paraId="1851502A" w14:textId="77777777" w:rsidR="00007F6C" w:rsidRPr="00C80411" w:rsidRDefault="00007F6C" w:rsidP="005E2F1E">
            <w:pPr>
              <w:jc w:val="right"/>
            </w:pPr>
            <w:r w:rsidRPr="00C80411">
              <w:t>353.91</w:t>
            </w:r>
          </w:p>
        </w:tc>
      </w:tr>
      <w:tr w:rsidR="00007F6C" w:rsidRPr="00C80411" w14:paraId="60CB6122" w14:textId="77777777" w:rsidTr="005E2F1E">
        <w:trPr>
          <w:jc w:val="center"/>
        </w:trPr>
        <w:tc>
          <w:tcPr>
            <w:tcW w:w="0" w:type="auto"/>
          </w:tcPr>
          <w:p w14:paraId="1351D7F9" w14:textId="77777777" w:rsidR="00007F6C" w:rsidRPr="00C80411" w:rsidRDefault="00007F6C" w:rsidP="00903E7F">
            <w:pPr>
              <w:jc w:val="right"/>
            </w:pPr>
            <w:r w:rsidRPr="00C80411">
              <w:t>45</w:t>
            </w:r>
          </w:p>
        </w:tc>
        <w:tc>
          <w:tcPr>
            <w:tcW w:w="0" w:type="auto"/>
            <w:vMerge/>
          </w:tcPr>
          <w:p w14:paraId="45D7244B" w14:textId="77777777" w:rsidR="00007F6C" w:rsidRPr="00C80411" w:rsidRDefault="00007F6C" w:rsidP="005E2F1E">
            <w:pPr>
              <w:jc w:val="both"/>
            </w:pPr>
          </w:p>
        </w:tc>
        <w:tc>
          <w:tcPr>
            <w:tcW w:w="0" w:type="auto"/>
          </w:tcPr>
          <w:p w14:paraId="69982640" w14:textId="77777777" w:rsidR="00007F6C" w:rsidRPr="00C80411" w:rsidRDefault="00007F6C" w:rsidP="005E2F1E">
            <w:pPr>
              <w:jc w:val="right"/>
            </w:pPr>
            <w:r w:rsidRPr="00C80411">
              <w:t>48.39</w:t>
            </w:r>
          </w:p>
        </w:tc>
        <w:tc>
          <w:tcPr>
            <w:tcW w:w="0" w:type="auto"/>
          </w:tcPr>
          <w:p w14:paraId="0D00550C" w14:textId="77777777" w:rsidR="00007F6C" w:rsidRPr="00C80411" w:rsidRDefault="00007F6C" w:rsidP="005E2F1E">
            <w:pPr>
              <w:jc w:val="right"/>
            </w:pPr>
            <w:r w:rsidRPr="00C80411">
              <w:t>367.91</w:t>
            </w:r>
          </w:p>
        </w:tc>
      </w:tr>
      <w:tr w:rsidR="00007F6C" w:rsidRPr="00C80411" w14:paraId="0C1538A4" w14:textId="77777777" w:rsidTr="005E2F1E">
        <w:trPr>
          <w:jc w:val="center"/>
        </w:trPr>
        <w:tc>
          <w:tcPr>
            <w:tcW w:w="0" w:type="auto"/>
          </w:tcPr>
          <w:p w14:paraId="755A42E5" w14:textId="77777777" w:rsidR="00007F6C" w:rsidRPr="00C80411" w:rsidRDefault="00007F6C" w:rsidP="00903E7F">
            <w:pPr>
              <w:jc w:val="right"/>
            </w:pPr>
            <w:r w:rsidRPr="00C80411">
              <w:t>50</w:t>
            </w:r>
          </w:p>
        </w:tc>
        <w:tc>
          <w:tcPr>
            <w:tcW w:w="0" w:type="auto"/>
            <w:vMerge/>
          </w:tcPr>
          <w:p w14:paraId="22C53A76" w14:textId="77777777" w:rsidR="00007F6C" w:rsidRPr="00C80411" w:rsidRDefault="00007F6C" w:rsidP="005E2F1E">
            <w:pPr>
              <w:jc w:val="both"/>
            </w:pPr>
          </w:p>
        </w:tc>
        <w:tc>
          <w:tcPr>
            <w:tcW w:w="0" w:type="auto"/>
          </w:tcPr>
          <w:p w14:paraId="036090AB" w14:textId="77777777" w:rsidR="00007F6C" w:rsidRPr="00C80411" w:rsidRDefault="00007F6C" w:rsidP="005E2F1E">
            <w:pPr>
              <w:jc w:val="right"/>
            </w:pPr>
            <w:r w:rsidRPr="00C80411">
              <w:t>43.34</w:t>
            </w:r>
          </w:p>
        </w:tc>
        <w:tc>
          <w:tcPr>
            <w:tcW w:w="0" w:type="auto"/>
          </w:tcPr>
          <w:p w14:paraId="2A9AB4C2" w14:textId="77777777" w:rsidR="00007F6C" w:rsidRPr="00C80411" w:rsidRDefault="00007F6C" w:rsidP="005E2F1E">
            <w:pPr>
              <w:jc w:val="right"/>
            </w:pPr>
            <w:r w:rsidRPr="00C80411">
              <w:t>399.46</w:t>
            </w:r>
          </w:p>
        </w:tc>
      </w:tr>
    </w:tbl>
    <w:p w14:paraId="252AADF7" w14:textId="77777777" w:rsidR="00007F6C" w:rsidRDefault="00007F6C" w:rsidP="00007F6C">
      <w:pPr>
        <w:pStyle w:val="Heading5"/>
      </w:pPr>
      <w:r>
        <w:t>Activation Energy</w:t>
      </w:r>
    </w:p>
    <w:p w14:paraId="7160B405" w14:textId="4FD99536" w:rsidR="00007F6C" w:rsidRPr="00365B3E" w:rsidRDefault="00007F6C" w:rsidP="00007F6C">
      <w:pPr>
        <w:jc w:val="both"/>
      </w:pPr>
      <w:r>
        <w:t>The activation energy in electron volts was derived from multiplying the gradient of the linear fit by the negative Boltzmann constant (8.</w:t>
      </w:r>
      <w:r w:rsidRPr="008967E8">
        <w:t>314 JK</w:t>
      </w:r>
      <w:r w:rsidRPr="008967E8">
        <w:rPr>
          <w:vertAlign w:val="superscript"/>
        </w:rPr>
        <w:t>-1</w:t>
      </w:r>
      <w:r w:rsidRPr="008967E8">
        <w:t>mol</w:t>
      </w:r>
      <w:r w:rsidRPr="008967E8">
        <w:rPr>
          <w:vertAlign w:val="superscript"/>
        </w:rPr>
        <w:t>-1</w:t>
      </w:r>
      <w:r w:rsidRPr="008967E8">
        <w:t>)</w:t>
      </w:r>
      <w:r w:rsidR="00903E7F">
        <w:t xml:space="preserve"> (</w:t>
      </w:r>
      <w:r w:rsidR="00903E7F">
        <w:fldChar w:fldCharType="begin"/>
      </w:r>
      <w:r w:rsidR="00903E7F">
        <w:instrText xml:space="preserve"> REF _Ref46149025 \h </w:instrText>
      </w:r>
      <w:r w:rsidR="00903E7F">
        <w:fldChar w:fldCharType="separate"/>
      </w:r>
      <w:r w:rsidR="00903E7F">
        <w:t>Figure 5.</w:t>
      </w:r>
      <w:r w:rsidR="00903E7F">
        <w:rPr>
          <w:noProof/>
        </w:rPr>
        <w:t>9</w:t>
      </w:r>
      <w:r w:rsidR="00903E7F">
        <w:fldChar w:fldCharType="end"/>
      </w:r>
      <w:r w:rsidR="00903E7F">
        <w:t>)</w:t>
      </w:r>
      <w:r w:rsidRPr="008967E8">
        <w:t>.</w:t>
      </w:r>
      <w:r>
        <w:t xml:space="preserve"> The linear fitting was performed in OriginPro2020.</w:t>
      </w:r>
    </w:p>
    <w:p w14:paraId="25E7151C" w14:textId="77777777" w:rsidR="00007F6C" w:rsidRDefault="00007F6C" w:rsidP="00007F6C">
      <w:pPr>
        <w:keepNext/>
        <w:jc w:val="center"/>
      </w:pPr>
      <w:r w:rsidRPr="00DE3190">
        <w:rPr>
          <w:noProof/>
        </w:rPr>
        <w:drawing>
          <wp:inline distT="0" distB="0" distL="0" distR="0" wp14:anchorId="0C72ACCE" wp14:editId="434DA5FE">
            <wp:extent cx="2880000" cy="240997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8">
                      <a:extLst>
                        <a:ext uri="{28A0092B-C50C-407E-A947-70E740481C1C}">
                          <a14:useLocalDpi xmlns:a14="http://schemas.microsoft.com/office/drawing/2010/main" val="0"/>
                        </a:ext>
                      </a:extLst>
                    </a:blip>
                    <a:srcRect l="10092" t="10510" r="12615" b="4806"/>
                    <a:stretch/>
                  </pic:blipFill>
                  <pic:spPr bwMode="auto">
                    <a:xfrm>
                      <a:off x="0" y="0"/>
                      <a:ext cx="2880000" cy="2409970"/>
                    </a:xfrm>
                    <a:prstGeom prst="rect">
                      <a:avLst/>
                    </a:prstGeom>
                    <a:noFill/>
                    <a:ln>
                      <a:noFill/>
                    </a:ln>
                    <a:extLst>
                      <a:ext uri="{53640926-AAD7-44D8-BBD7-CCE9431645EC}">
                        <a14:shadowObscured xmlns:a14="http://schemas.microsoft.com/office/drawing/2010/main"/>
                      </a:ext>
                    </a:extLst>
                  </pic:spPr>
                </pic:pic>
              </a:graphicData>
            </a:graphic>
          </wp:inline>
        </w:drawing>
      </w:r>
    </w:p>
    <w:p w14:paraId="2D219F3A" w14:textId="14A74038" w:rsidR="00007F6C" w:rsidRDefault="00007F6C" w:rsidP="00007F6C">
      <w:pPr>
        <w:pStyle w:val="Caption"/>
      </w:pPr>
      <w:bookmarkStart w:id="463" w:name="_Ref46149025"/>
      <w:bookmarkStart w:id="464" w:name="_Toc69115024"/>
      <w:r>
        <w:t>Figure 5.</w:t>
      </w:r>
      <w:r w:rsidR="00B51F53">
        <w:fldChar w:fldCharType="begin"/>
      </w:r>
      <w:r w:rsidR="00B51F53">
        <w:instrText xml:space="preserve"> SEQ Figure \* ARABIC </w:instrText>
      </w:r>
      <w:r w:rsidR="00B51F53">
        <w:fldChar w:fldCharType="separate"/>
      </w:r>
      <w:r w:rsidR="00903E7F">
        <w:rPr>
          <w:noProof/>
        </w:rPr>
        <w:t>9</w:t>
      </w:r>
      <w:r w:rsidR="00B51F53">
        <w:rPr>
          <w:noProof/>
        </w:rPr>
        <w:fldChar w:fldCharType="end"/>
      </w:r>
      <w:bookmarkEnd w:id="463"/>
      <w:r>
        <w:t>: Arrhenius plot of the polarisation resistance vs 1000/T for the Ag1 at 400-800</w:t>
      </w:r>
      <w:r>
        <w:rPr>
          <w:rFonts w:cstheme="minorHAnsi"/>
        </w:rPr>
        <w:t>⁰</w:t>
      </w:r>
      <w:r>
        <w:t>C in 100</w:t>
      </w:r>
      <w:r>
        <w:rPr>
          <w:rFonts w:cstheme="minorHAnsi"/>
        </w:rPr>
        <w:t>⁰</w:t>
      </w:r>
      <w:r>
        <w:t>C increments</w:t>
      </w:r>
      <w:r w:rsidR="00900D7E">
        <w:t xml:space="preserve">. The error </w:t>
      </w:r>
      <w:r w:rsidR="008C16A4">
        <w:t xml:space="preserve">bars are calculated from the standard deviation of the </w:t>
      </w:r>
      <w:proofErr w:type="gramStart"/>
      <w:r w:rsidR="008C16A4">
        <w:t>dataset</w:t>
      </w:r>
      <w:bookmarkEnd w:id="464"/>
      <w:proofErr w:type="gramEnd"/>
      <w:r w:rsidR="00900D7E">
        <w:t xml:space="preserve"> </w:t>
      </w:r>
    </w:p>
    <w:p w14:paraId="7DE6358E" w14:textId="693E2676" w:rsidR="00007F6C" w:rsidRDefault="00007F6C" w:rsidP="00007F6C">
      <w:pPr>
        <w:jc w:val="both"/>
      </w:pPr>
      <w:r>
        <w:lastRenderedPageBreak/>
        <w:t>The activation energy plot for the silver coated sample also illustrates a point of inflection at 600</w:t>
      </w:r>
      <w:r>
        <w:rPr>
          <w:rFonts w:cstheme="minorHAnsi"/>
        </w:rPr>
        <w:t>⁰</w:t>
      </w:r>
      <w:r>
        <w:t xml:space="preserve">C. The activation energy decreased by 0.72 eV (a reduction of 79.36%).  Additionally this shows that the silver is highly temperature sensitive and indicates the presence of a migration mechanism in the current collector </w:t>
      </w:r>
      <w:r>
        <w:fldChar w:fldCharType="begin" w:fldLock="1"/>
      </w:r>
      <w:r w:rsidR="00151775">
        <w:instrText>ADDIN CSL_CITATION {"citationItems":[{"id":"ITEM-1","itemData":{"DOI":"10.1149/2.093309jes","ISSN":"00134651","abstract":"Reference electrodes are frequently applied to isolate the performance of one electrode in a solid oxide fuel cell. However, reference electrode simulations raise doubt to the veracity of data collected using reference electrodes. The simulations predict that the reported performance for the one electrode will frequently contain performance of both electrodes. Nonetheless, recent reports persistently treat data so collected as ideally isolated. This work confirms the predictions of the reference electrode simulations on two SOFC designs, and provides a method of validating the data measured in the 3-electrode configuration. Validation is based on the assumption that a change in gas composition to one electrode does not affect the impedance of the other electrode at open circuit voltage. This assumption is supported by a full physics simulation of the SOFC. Three configurations of reference electrode and cell design are experimentally examined using various gas flows and two temperatures. Impedance data are subjected to deconvolution analysis and equivalent circuit fitting and approximate polarization resistances of the cathode and anode are determined. The results demonstrate that the utility of reference electrodes is limited and often wholly inappropriate. Reported impedances and single electrode polarization values must be scrutinized on this basis. © 2013 The Electrochemical Society. All rights reserved.","author":[{"dropping-particle":"","family":"Finklea","given":"Harry","non-dropping-particle":"","parse-names":false,"suffix":""},{"dropping-particle":"","family":"Chen","given":"Xiaoke","non-dropping-particle":"","parse-names":false,"suffix":""},{"dropping-particle":"","family":"Gerdes","given":"Kirk","non-dropping-particle":"","parse-names":false,"suffix":""},{"dropping-particle":"","family":"Pakalapati","given":"Suryanarayana","non-dropping-particle":"","parse-names":false,"suffix":""},{"dropping-particle":"","family":"Celik","given":"Ismail","non-dropping-particle":"","parse-names":false,"suffix":""}],"container-title":"Journal of the Electrochemical Society","id":"ITEM-1","issue":"9","issued":{"date-parts":[["2013"]]},"title":"Analysis of SOFCs using reference electrodes","type":"article-journal","volume":"160"},"uris":["http://www.mendeley.com/documents/?uuid=677af163-8323-4757-aebb-3b1f3c329fc7"]}],"mendeley":{"formattedCitation":"[450]","plainTextFormattedCitation":"[450]","previouslyFormattedCitation":"[450]"},"properties":{"noteIndex":0},"schema":"https://github.com/citation-style-language/schema/raw/master/csl-citation.json"}</w:instrText>
      </w:r>
      <w:r>
        <w:fldChar w:fldCharType="separate"/>
      </w:r>
      <w:r w:rsidR="008B6E91" w:rsidRPr="008B6E91">
        <w:rPr>
          <w:noProof/>
        </w:rPr>
        <w:t>[450]</w:t>
      </w:r>
      <w:r>
        <w:fldChar w:fldCharType="end"/>
      </w:r>
      <w:r>
        <w:t>. Silver has been documented to migrate across from the current collector into the electrode/electrolyte interface and cause short circuits at temperatures lower than its 968</w:t>
      </w:r>
      <w:r>
        <w:rPr>
          <w:rFonts w:ascii="Calibri" w:hAnsi="Calibri" w:cs="Calibri"/>
        </w:rPr>
        <w:t>°</w:t>
      </w:r>
      <w:r>
        <w:t xml:space="preserve">C melting point </w:t>
      </w:r>
      <w:r>
        <w:fldChar w:fldCharType="begin" w:fldLock="1"/>
      </w:r>
      <w:r w:rsidR="00151775">
        <w:instrText>ADDIN CSL_CITATION {"citationItems":[{"id":"ITEM-1","itemData":{"DOI":"10.1149/2.093309jes","ISSN":"00134651","abstract":"Reference electrodes are frequently applied to isolate the performance of one electrode in a solid oxide fuel cell. However, reference electrode simulations raise doubt to the veracity of data collected using reference electrodes. The simulations predict that the reported performance for the one electrode will frequently contain performance of both electrodes. Nonetheless, recent reports persistently treat data so collected as ideally isolated. This work confirms the predictions of the reference electrode simulations on two SOFC designs, and provides a method of validating the data measured in the 3-electrode configuration. Validation is based on the assumption that a change in gas composition to one electrode does not affect the impedance of the other electrode at open circuit voltage. This assumption is supported by a full physics simulation of the SOFC. Three configurations of reference electrode and cell design are experimentally examined using various gas flows and two temperatures. Impedance data are subjected to deconvolution analysis and equivalent circuit fitting and approximate polarization resistances of the cathode and anode are determined. The results demonstrate that the utility of reference electrodes is limited and often wholly inappropriate. Reported impedances and single electrode polarization values must be scrutinized on this basis. © 2013 The Electrochemical Society. All rights reserved.","author":[{"dropping-particle":"","family":"Finklea","given":"Harry","non-dropping-particle":"","parse-names":false,"suffix":""},{"dropping-particle":"","family":"Chen","given":"Xiaoke","non-dropping-particle":"","parse-names":false,"suffix":""},{"dropping-particle":"","family":"Gerdes","given":"Kirk","non-dropping-particle":"","parse-names":false,"suffix":""},{"dropping-particle":"","family":"Pakalapati","given":"Suryanarayana","non-dropping-particle":"","parse-names":false,"suffix":""},{"dropping-particle":"","family":"Celik","given":"Ismail","non-dropping-particle":"","parse-names":false,"suffix":""}],"container-title":"Journal of the Electrochemical Society","id":"ITEM-1","issue":"9","issued":{"date-parts":[["2013"]]},"title":"Analysis of SOFCs using reference electrodes","type":"article-journal","volume":"160"},"uris":["http://www.mendeley.com/documents/?uuid=677af163-8323-4757-aebb-3b1f3c329fc7"]},{"id":"ITEM-2","itemData":{"DOI":"10.1007/s40243-018-0123-y","ISBN":"0123456789","ISSN":"21941467","abstract":"In this paper, the behaviour of silver as cathode conductive material, interconnect wire, and sealing for anode lead connection for microtubular solid oxide fuel cells (µSOFC) is reported. The changes in silver morphology are examined by scanning electron microscopy on cells that had been operated under reformed methane. It is found that using silver in an solid oxide fuel cell (SOFC) stack can improve the cell performance. However, it is also concluded that silver may be responsible for cell degradation. This report brings together and explains all the known problems with application of silver for SOFCs. The results show that silver is unstable in interconnect and in cathode environments. It is found that the process of cell passivation/activation promotes silver migration. The difference in thermal expansion of silver and sealant results in damage to the glass. It is concluded that when silver is exposed to a dual atmosphere condition, high levels of porosity formation is seen in the dense silver interconnect. The relevance of application of silver in SOFC stacks is discussed.","author":[{"dropping-particle":"","family":"Majewski","given":"Artur J.","non-dropping-particle":"","parse-names":false,"suffix":""},{"dropping-particle":"","family":"Dhir","given":"Aman","non-dropping-particle":"","parse-names":false,"suffix":""}],"container-title":"Materials for Renewable and Sustainable Energy","id":"ITEM-2","issue":"3","issued":{"date-parts":[["2018"]]},"page":"1-13","publisher":"Springer Berlin Heidelberg","title":"Application of silver in microtubular solid oxide fuel cells","type":"article-journal","volume":"7"},"uris":["http://www.mendeley.com/documents/?uuid=79eb06da-638d-45c6-af3a-6f20e4c857b7"]}],"mendeley":{"formattedCitation":"[442], [450]","plainTextFormattedCitation":"[442], [450]","previouslyFormattedCitation":"[442], [450]"},"properties":{"noteIndex":0},"schema":"https://github.com/citation-style-language/schema/raw/master/csl-citation.json"}</w:instrText>
      </w:r>
      <w:r>
        <w:fldChar w:fldCharType="separate"/>
      </w:r>
      <w:r w:rsidR="008B6E91" w:rsidRPr="008B6E91">
        <w:rPr>
          <w:noProof/>
        </w:rPr>
        <w:t>[442], [450]</w:t>
      </w:r>
      <w:r>
        <w:fldChar w:fldCharType="end"/>
      </w:r>
      <w:r>
        <w:t xml:space="preserve">. Curing in-situ has also led to polarisation resistance increase of up to 1 order of magnitude higher than using other current collectors such as platinum </w:t>
      </w:r>
      <w:r>
        <w:fldChar w:fldCharType="begin" w:fldLock="1"/>
      </w:r>
      <w:r w:rsidR="00151775">
        <w:instrText>ADDIN CSL_CITATION {"citationItems":[{"id":"ITEM-1","itemData":{"DOI":"10.1149/2.010301eel","ISSN":"21628726","abstract":"The true functionality of a current collector employed in electrochemical cells is to ensure a low-resistance steady electrons flow between the cell and instrumentation without involving in any local electrochemical reactions of the electrode. In this study, we investigated the effect of curing temperature of a common current collector, silver, on the polarization area specific resistance (ASR) of a cathode. The results explicitly showed that at least one order of magnitude lower ASR for a cathode with Ag cured at 800C than that cured at 650C of the same cathode configuration. Microscopic analysis of the 800C-cured cells revealed a deep penetration and abundant distribution of Ag into the cathode/electrolyte interfacial region. These finely dispersed and highly conductive Ag particles/agglomerates areORR(oxygen reduction reaction)-active, thus engaging in the local electrochemical reaction and overshadowing the true properties of the cathode under investigation. Based on these results, we call for caution when using Ag as a current collector for electrochemical measurements, particularly at a temperature 650C. © 2012 The Electrochemical Society.","author":[{"dropping-particle":"","family":"Gong","given":"Yunhui","non-dropping-particle":"","parse-names":false,"suffix":""},{"dropping-particle":"","family":"Qin","given":"Changyong","non-dropping-particle":"","parse-names":false,"suffix":""},{"dropping-particle":"","family":"Huang","given":"Kevin","non-dropping-particle":"","parse-names":false,"suffix":""}],"container-title":"ECS Electrochemistry Letters","id":"ITEM-1","issue":"1","issued":{"date-parts":[["2013"]]},"page":"4-7","title":"Can silver be a reliable current collector for electrochemical tests","type":"article-journal","volume":"2"},"uris":["http://www.mendeley.com/documents/?uuid=4f1a812e-2e83-4aa9-a258-2b5439f77fe0"]}],"mendeley":{"formattedCitation":"[441]","plainTextFormattedCitation":"[441]","previouslyFormattedCitation":"[441]"},"properties":{"noteIndex":0},"schema":"https://github.com/citation-style-language/schema/raw/master/csl-citation.json"}</w:instrText>
      </w:r>
      <w:r>
        <w:fldChar w:fldCharType="separate"/>
      </w:r>
      <w:r w:rsidR="008B6E91" w:rsidRPr="008B6E91">
        <w:rPr>
          <w:noProof/>
        </w:rPr>
        <w:t>[441]</w:t>
      </w:r>
      <w:r>
        <w:fldChar w:fldCharType="end"/>
      </w:r>
      <w:r>
        <w:t>.</w:t>
      </w:r>
    </w:p>
    <w:p w14:paraId="03A17F5A" w14:textId="77777777" w:rsidR="00007F6C" w:rsidRDefault="00007F6C" w:rsidP="00007F6C">
      <w:pPr>
        <w:pStyle w:val="Heading4"/>
        <w:jc w:val="both"/>
      </w:pPr>
      <w:r>
        <w:t xml:space="preserve"> 5.3.2.2</w:t>
      </w:r>
      <w:r>
        <w:tab/>
        <w:t>Gold/Au</w:t>
      </w:r>
    </w:p>
    <w:p w14:paraId="659F4F6C" w14:textId="6FA7077F" w:rsidR="00007F6C" w:rsidRDefault="00007F6C" w:rsidP="00007F6C">
      <w:pPr>
        <w:jc w:val="both"/>
      </w:pPr>
      <w:r>
        <w:t>The evolution of the polarisation resistance of the gold coated symmetrical Ni-YSZ samples over time produced extremely variable results. The stark difference between Ag1 and Ag2 at during the first stemmed from the nickel catalyst having different ageing times during operation</w:t>
      </w:r>
      <w:r w:rsidR="00903E7F">
        <w:t xml:space="preserve"> (</w:t>
      </w:r>
      <w:r w:rsidR="00903E7F">
        <w:fldChar w:fldCharType="begin"/>
      </w:r>
      <w:r w:rsidR="00903E7F">
        <w:instrText xml:space="preserve"> REF _Ref68870668 \h </w:instrText>
      </w:r>
      <w:r w:rsidR="00903E7F">
        <w:fldChar w:fldCharType="separate"/>
      </w:r>
      <w:r w:rsidR="00903E7F">
        <w:t>Figure 5.</w:t>
      </w:r>
      <w:r w:rsidR="00903E7F">
        <w:rPr>
          <w:noProof/>
        </w:rPr>
        <w:t>10</w:t>
      </w:r>
      <w:r w:rsidR="00903E7F">
        <w:fldChar w:fldCharType="end"/>
      </w:r>
      <w:r w:rsidR="00903E7F">
        <w:t>)</w:t>
      </w:r>
      <w:r>
        <w:t>. Au2 shorted at 400</w:t>
      </w:r>
      <w:r>
        <w:rPr>
          <w:rFonts w:cstheme="minorHAnsi"/>
        </w:rPr>
        <w:t>°</w:t>
      </w:r>
      <w:r>
        <w:t xml:space="preserve">C during an its first temperature ramp. This could mean that the higher polarisation resistance exhibited by this sample was due to the nickel catalyst already having been aged for 1 h above its Tammann temperature before the retest </w:t>
      </w:r>
      <w:r>
        <w:fldChar w:fldCharType="begin" w:fldLock="1"/>
      </w:r>
      <w:r w:rsidR="00D80A5D">
        <w:instrText>ADDIN CSL_CITATION {"citationItems":[{"id":"ITEM-1","itemData":{"DOI":"10.1002/zaac.19191070102","abstract":"Abstract Übersicht S.1.– 1. Die regellose Verteilung zweier Molekülarten S.9.–2. Die regelmäßigen Verteilungen zweier Atomarten in Raumgittern S. 15.–3. Die bei der Extraktion mit Salpetersäure verbleibenden Rückstände der Gold - Silber- und Gold -Kupferlegierungen S. 49. – 4. Vorläufige Bestimmung der Einwirkungsgrenzen von schwefelhaltigen Agentien und schwachen Oxydationsmitteln auf die Cu-Au-Mischkristalle und der Einfluß der Temperatur auf diese Einwirkungsgrenzen S. 57 – 5. Genauere Bestimmung der Einwirkungsgrenzen auf die Cu-Au- und Ag-Au-Mischkristalle in Abhängigkeit von der Natur der chemischen Agentien S. 62. – 6. Über die Löslichkeit von Wasserstoff in Palladiummischkristallen S. 89. – 7. Deutung der Einwirkungsgrenzen S. 96. – 8. Das Verhalten der ternären Mischkristalle von Cu, Ag und Au gegen chemische Agentien und ihre Farben S. 107. – 9. Die Einwirkungsgrenzen der Mischkristalle des Vanadins und Siliciums mit Eisen S. 118.–10. Die galvanischen Spannungen der Legierungen S. 136.– 11. Angenäherte Bestimmung der Einwirkungsgrenzen auf die Mischkristallreihen des Mn mit Ag und die des Mg mit Ag S. 169. – 12. Über den Einfluß der Kaltbearbeitung auf die chemischen Einwirkungsgrenzen S. 171. – 13. Zusammenfassung der Resultate, betreffend die Einwirkungsgrenzen und Übersicht ihrer Deutung S. 186. – 14. Über den atomistischen Aufbau nichtmetallischer Mischkristalle S. 186.– 15. Die normale Molekülverteilung in Mischkristallen als Ursache ihrer anomalen Doppelbrechung S. 208. – 16. Isomere metallische Mischkristalle S. 217.–17. Bemerkungen über „Säure”︁ beständige Legierungen S.235.– Schlußwort S.237.","author":[{"dropping-particle":"","family":"Tammann","given":"G","non-dropping-particle":"","parse-names":false,"suffix":""}],"container-title":"Zeitschrift für anorganische und allgemeine Chemie","id":"ITEM-1","issue":"1","issued":{"date-parts":[["1919"]]},"page":"1-239","title":"Zum Gedächtnis der Entdeckung des Isomorphismus vor 100 Jahren. Die chemischen und galvanischen Eigenschaften von Mischkristallreihen und ihre Atomverteilung","type":"article-journal","volume":"107"},"uris":["http://www.mendeley.com/documents/?uuid=6284032c-9c7e-43bd-bed0-65f21129f2be"]}],"mendeley":{"formattedCitation":"[238]","plainTextFormattedCitation":"[238]","previouslyFormattedCitation":"[238]"},"properties":{"noteIndex":0},"schema":"https://github.com/citation-style-language/schema/raw/master/csl-citation.json"}</w:instrText>
      </w:r>
      <w:r>
        <w:fldChar w:fldCharType="separate"/>
      </w:r>
      <w:r w:rsidR="006C586A" w:rsidRPr="006C586A">
        <w:rPr>
          <w:noProof/>
        </w:rPr>
        <w:t>[238]</w:t>
      </w:r>
      <w:r>
        <w:fldChar w:fldCharType="end"/>
      </w:r>
      <w:r>
        <w:t>.</w:t>
      </w:r>
    </w:p>
    <w:p w14:paraId="2BB6D720" w14:textId="77777777" w:rsidR="00007F6C" w:rsidRDefault="00007F6C" w:rsidP="00007F6C">
      <w:pPr>
        <w:jc w:val="both"/>
      </w:pPr>
      <w:r>
        <w:t>After between 3-10 h of ageing under the 10 % H</w:t>
      </w:r>
      <w:r>
        <w:rPr>
          <w:vertAlign w:val="subscript"/>
        </w:rPr>
        <w:t>2</w:t>
      </w:r>
      <w:r>
        <w:t>/N</w:t>
      </w:r>
      <w:r>
        <w:rPr>
          <w:vertAlign w:val="subscript"/>
        </w:rPr>
        <w:t>2</w:t>
      </w:r>
      <w:r>
        <w:t xml:space="preserve"> the polarisation resistance of the visibly dropped in comparison with the other Ni-YSZ samples. After 10 h the R</w:t>
      </w:r>
      <w:r>
        <w:rPr>
          <w:vertAlign w:val="subscript"/>
        </w:rPr>
        <w:t>P</w:t>
      </w:r>
      <w:r>
        <w:t xml:space="preserve"> dropped by 10.99% and 28.5% for the Au1 and Au2 samples, respectively. The reduction in these measurements is indicative of another interaction stemming from the change in current collector. </w:t>
      </w:r>
    </w:p>
    <w:p w14:paraId="2067A7E4" w14:textId="77777777" w:rsidR="00007F6C" w:rsidRDefault="00007F6C" w:rsidP="00007F6C">
      <w:pPr>
        <w:keepNext/>
        <w:jc w:val="both"/>
      </w:pPr>
      <w:r w:rsidRPr="002245AA">
        <w:rPr>
          <w:noProof/>
        </w:rPr>
        <w:drawing>
          <wp:inline distT="0" distB="0" distL="0" distR="0" wp14:anchorId="34812607" wp14:editId="599CB6C7">
            <wp:extent cx="2700000" cy="2288955"/>
            <wp:effectExtent l="0" t="0" r="571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9">
                      <a:extLst>
                        <a:ext uri="{28A0092B-C50C-407E-A947-70E740481C1C}">
                          <a14:useLocalDpi xmlns:a14="http://schemas.microsoft.com/office/drawing/2010/main" val="0"/>
                        </a:ext>
                      </a:extLst>
                    </a:blip>
                    <a:srcRect l="9404" t="9309" r="13762" b="5405"/>
                    <a:stretch/>
                  </pic:blipFill>
                  <pic:spPr bwMode="auto">
                    <a:xfrm>
                      <a:off x="0" y="0"/>
                      <a:ext cx="2700000" cy="228895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2346F6">
        <w:rPr>
          <w:noProof/>
        </w:rPr>
        <w:drawing>
          <wp:inline distT="0" distB="0" distL="0" distR="0" wp14:anchorId="6C1CE122" wp14:editId="2AF5C452">
            <wp:extent cx="2700000" cy="2242105"/>
            <wp:effectExtent l="0" t="0" r="5715" b="635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0">
                      <a:extLst>
                        <a:ext uri="{28A0092B-C50C-407E-A947-70E740481C1C}">
                          <a14:useLocalDpi xmlns:a14="http://schemas.microsoft.com/office/drawing/2010/main" val="0"/>
                        </a:ext>
                      </a:extLst>
                    </a:blip>
                    <a:srcRect l="7799" t="9610" r="13761" b="5105"/>
                    <a:stretch/>
                  </pic:blipFill>
                  <pic:spPr bwMode="auto">
                    <a:xfrm>
                      <a:off x="0" y="0"/>
                      <a:ext cx="2700000" cy="2242105"/>
                    </a:xfrm>
                    <a:prstGeom prst="rect">
                      <a:avLst/>
                    </a:prstGeom>
                    <a:noFill/>
                    <a:ln>
                      <a:noFill/>
                    </a:ln>
                    <a:extLst>
                      <a:ext uri="{53640926-AAD7-44D8-BBD7-CCE9431645EC}">
                        <a14:shadowObscured xmlns:a14="http://schemas.microsoft.com/office/drawing/2010/main"/>
                      </a:ext>
                    </a:extLst>
                  </pic:spPr>
                </pic:pic>
              </a:graphicData>
            </a:graphic>
          </wp:inline>
        </w:drawing>
      </w:r>
    </w:p>
    <w:p w14:paraId="43A09152" w14:textId="704F12BD" w:rsidR="00007F6C" w:rsidRDefault="00007F6C" w:rsidP="00007F6C">
      <w:pPr>
        <w:pStyle w:val="Caption"/>
      </w:pPr>
      <w:bookmarkStart w:id="465" w:name="_Ref68870668"/>
      <w:bookmarkStart w:id="466" w:name="_Toc69115025"/>
      <w:r>
        <w:t>Figure 5.</w:t>
      </w:r>
      <w:r w:rsidR="00B51F53">
        <w:fldChar w:fldCharType="begin"/>
      </w:r>
      <w:r w:rsidR="00B51F53">
        <w:instrText xml:space="preserve"> SEQ Figure \* ARABIC </w:instrText>
      </w:r>
      <w:r w:rsidR="00B51F53">
        <w:fldChar w:fldCharType="separate"/>
      </w:r>
      <w:r w:rsidR="00903E7F">
        <w:rPr>
          <w:noProof/>
        </w:rPr>
        <w:t>10</w:t>
      </w:r>
      <w:r w:rsidR="00B51F53">
        <w:rPr>
          <w:noProof/>
        </w:rPr>
        <w:fldChar w:fldCharType="end"/>
      </w:r>
      <w:bookmarkEnd w:id="465"/>
      <w:r>
        <w:t xml:space="preserve">: </w:t>
      </w:r>
      <w:r w:rsidRPr="000A38E3">
        <w:t>Scatter graphs showing the Series and Polarisation resistance vs ageing time for the Ni-YSZ samples coated in a</w:t>
      </w:r>
      <w:r>
        <w:t>n</w:t>
      </w:r>
      <w:r w:rsidRPr="000A38E3">
        <w:t xml:space="preserve"> A</w:t>
      </w:r>
      <w:r>
        <w:t>u</w:t>
      </w:r>
      <w:r w:rsidRPr="000A38E3">
        <w:t xml:space="preserve"> current </w:t>
      </w:r>
      <w:proofErr w:type="gramStart"/>
      <w:r w:rsidRPr="000A38E3">
        <w:t>collector</w:t>
      </w:r>
      <w:bookmarkEnd w:id="466"/>
      <w:proofErr w:type="gramEnd"/>
    </w:p>
    <w:p w14:paraId="01F3D92D" w14:textId="77777777" w:rsidR="00007F6C" w:rsidRPr="00EC72DA" w:rsidRDefault="00007F6C" w:rsidP="00007F6C">
      <w:pPr>
        <w:jc w:val="both"/>
      </w:pPr>
      <w:r w:rsidRPr="00EC72DA">
        <w:t>At 10 hours aged the R</w:t>
      </w:r>
      <w:r w:rsidRPr="00EC72DA">
        <w:rPr>
          <w:vertAlign w:val="subscript"/>
        </w:rPr>
        <w:t>S</w:t>
      </w:r>
      <w:r w:rsidRPr="00EC72DA">
        <w:t xml:space="preserve"> of the Au coated samples increased steadily and showed no indication that the electrolyte impedance contribution had impacted the R</w:t>
      </w:r>
      <w:r w:rsidRPr="00EC72DA">
        <w:rPr>
          <w:vertAlign w:val="subscript"/>
        </w:rPr>
        <w:t>P</w:t>
      </w:r>
      <w:r w:rsidRPr="00EC72DA">
        <w:t xml:space="preserve"> measurements. This underlines that the electrode and current collector systems present are the only major contributors to the evolution of the R</w:t>
      </w:r>
      <w:r w:rsidRPr="00EC72DA">
        <w:rPr>
          <w:vertAlign w:val="subscript"/>
        </w:rPr>
        <w:t>P</w:t>
      </w:r>
      <w:r w:rsidRPr="00EC72DA">
        <w:t xml:space="preserve"> over the ageing period.</w:t>
      </w:r>
    </w:p>
    <w:p w14:paraId="02DF336C" w14:textId="4462C21B" w:rsidR="00007F6C" w:rsidRPr="00EC72DA" w:rsidRDefault="00007F6C" w:rsidP="00007F6C">
      <w:pPr>
        <w:jc w:val="both"/>
      </w:pPr>
      <w:r w:rsidRPr="00EC72DA">
        <w:t xml:space="preserve">In contrast to the previous Ag//Ni-YSZ system the gold-based samples produced only two distinct impedance arcs. The first from 10-65,000 Hz and the second from 0.1 – 10 Hz as shown in the Nyquist plots in </w:t>
      </w:r>
      <w:r w:rsidRPr="00EC72DA">
        <w:fldChar w:fldCharType="begin"/>
      </w:r>
      <w:r w:rsidRPr="00EC72DA">
        <w:instrText xml:space="preserve"> REF _Ref43737108 \h  \* MERGEFORMAT </w:instrText>
      </w:r>
      <w:r w:rsidRPr="00EC72DA">
        <w:fldChar w:fldCharType="separate"/>
      </w:r>
      <w:r>
        <w:t xml:space="preserve">Figure </w:t>
      </w:r>
      <w:r>
        <w:rPr>
          <w:noProof/>
        </w:rPr>
        <w:t>5.11</w:t>
      </w:r>
      <w:r w:rsidRPr="00EC72DA">
        <w:fldChar w:fldCharType="end"/>
      </w:r>
      <w:r w:rsidRPr="00EC72DA">
        <w:t xml:space="preserve"> and </w:t>
      </w:r>
      <w:r w:rsidRPr="00EC72DA">
        <w:fldChar w:fldCharType="begin"/>
      </w:r>
      <w:r w:rsidRPr="00EC72DA">
        <w:instrText xml:space="preserve"> REF _Ref43737109 \h  \* MERGEFORMAT </w:instrText>
      </w:r>
      <w:r w:rsidRPr="00EC72DA">
        <w:fldChar w:fldCharType="separate"/>
      </w:r>
      <w:r>
        <w:t xml:space="preserve">Figure </w:t>
      </w:r>
      <w:r>
        <w:rPr>
          <w:noProof/>
        </w:rPr>
        <w:t>5.12</w:t>
      </w:r>
      <w:r w:rsidRPr="00EC72DA">
        <w:fldChar w:fldCharType="end"/>
      </w:r>
      <w:r w:rsidRPr="00EC72DA">
        <w:t xml:space="preserve">.  Lower frequency arcs such as those in </w:t>
      </w:r>
      <w:r w:rsidRPr="00EC72DA">
        <w:fldChar w:fldCharType="begin"/>
      </w:r>
      <w:r w:rsidRPr="00EC72DA">
        <w:instrText xml:space="preserve"> REF _Ref43737108 \h  \* MERGEFORMAT </w:instrText>
      </w:r>
      <w:r w:rsidRPr="00EC72DA">
        <w:fldChar w:fldCharType="separate"/>
      </w:r>
      <w:r>
        <w:t xml:space="preserve">Figure </w:t>
      </w:r>
      <w:r>
        <w:rPr>
          <w:noProof/>
        </w:rPr>
        <w:t>5.11</w:t>
      </w:r>
      <w:r w:rsidRPr="00EC72DA">
        <w:fldChar w:fldCharType="end"/>
      </w:r>
      <w:r w:rsidRPr="00EC72DA">
        <w:t xml:space="preserve"> and </w:t>
      </w:r>
      <w:r w:rsidRPr="00EC72DA">
        <w:fldChar w:fldCharType="begin"/>
      </w:r>
      <w:r w:rsidRPr="00EC72DA">
        <w:instrText xml:space="preserve"> REF _Ref43737109 \h  \* MERGEFORMAT </w:instrText>
      </w:r>
      <w:r w:rsidRPr="00EC72DA">
        <w:fldChar w:fldCharType="separate"/>
      </w:r>
      <w:r>
        <w:t xml:space="preserve">Figure </w:t>
      </w:r>
      <w:r>
        <w:rPr>
          <w:noProof/>
        </w:rPr>
        <w:t>5.12</w:t>
      </w:r>
      <w:r w:rsidRPr="00EC72DA">
        <w:fldChar w:fldCharType="end"/>
      </w:r>
      <w:r w:rsidRPr="00EC72DA">
        <w:t xml:space="preserve"> demonstrate that the fuel gas phase impedance has produced a significant contribution to the charge transfer resistance in the anode. Due to the high porosity in the infiltrated electrode (35 %), this portion of the impedance is more prevalent that non-infiltrated electrodes </w:t>
      </w:r>
      <w:r w:rsidRPr="00EC72DA">
        <w:fldChar w:fldCharType="begin" w:fldLock="1"/>
      </w:r>
      <w:r w:rsidR="00151775">
        <w:instrText xml:space="preserve">ADDIN CSL_CITATION {"citationItems":[{"id":"ITEM-1","itemData":{"DOI":"10.3390/en13040987","ISSN":"19961073","abstract":"Detailed insight into electrochemical reaction mechanisms and rate limiting steps is crucial for targeted optimization of solid oxide fuel cell (SOFC) electrodes, especially for new materials and processing techniques, such as Ni/Gd-doped ceria (GDC) cermet anodes in metal-supported cells. Here, we present a comprehensive model that describes the impedance of porous cermet electrodes according to a transmission line circuit. We exemplify the validity of the model on electrolyte-supported symmetrical model cells with two equal Ni/Ce0.9Gd0.1O1.95-δ anodes. These anodes exhibit a remarkably low polarization resistance of less than 0.1 Wcm2 at 750 °C and OCV, and metal-supported cells with equally prepared anodes achieve excellent power density of &gt;2 W/cm2 at 700 °C. With the transmission line impedance model, it is possible to separate and quantify the individual contributions to the polarization resistance, such as oxygen ion transport across the YSZ-GDC interface, ionic conductivity within the porous anode, oxygen exchange at the GDC surface and gas phase diffiusion. Furthermore, we show that the fitted parameters consistently scale with variation of electrode geometry, temperature and atmosphere. Since the fitted parameters are representative for materials properties, we can also relate our results to model studies on the ion conductivity, oxygen stoichiometry and surface catalytic properties of Gd-doped ceria and obtain very good quantitative agreement. With this detailed insight into reaction mechanisms, we can explain the excellent performance of the anode as a combination of materials properties of GDC and the unusual microstructure that is a consequence of the reductive sintering procedure, which is required for anodes in metal-supported cells.","author":[{"dropping-particle":"","family":"Nenning","given":"Andreas","non-dropping-particle":"","parse-names":false,"suffix":""},{"dropping-particle":"","family":"Bischof","given":"Cornelia","non-dropping-particle":"","parse-names":false,"suffix":""},{"dropping-particle":"","family":"Fleig","given":"Jürgen","non-dropping-particle":"","parse-names":false,"suffix":""},{"dropping-particle":"","family":"Bram","given":"Martin","non-dropping-particle":"","parse-names":false,"suffix":""},{"dropping-particle":"","family":"Opitz","given":"Alexander K.","non-dropping-particle":"","parse-names":false,"suffix":""}],"container-title":"Energies","id":"ITEM-1","issue":"4","issued":{"date-parts":[["2020"]]},"page":"5-9","title":"The relation of microstructure, materials properties and impedance of SOFC electrodes: A case study of Ni/GDC anodes","type":"article-journal","volume":"13"},"uris":["http://www.mendeley.com/documents/?uuid=cef23b09-f38e-4186-a431-4b1ec2080872","http://www.mendeley.com/documents/?uuid=ba89fd78-9fd9-4a10-b693-b7fd986ce882"]},{"id":"ITEM-2","itemData":{"ISBN":"9036513375","abstract":"This thesis deals with the porous Ni/yttria-stabilized zirconia (YSZ) cermet anode on a YSZ electrolyte for solid oxide fuel cells (SOFC). Such anodes are predominantly operated in moist hydrogen at 700C to 1000C, and the most important technological parameters are the polarization resistance and the long-term stability. The polarization resistance can be measured by a number of techniques, in the present work impedance spectroscopy has been used extensively. By impedance spectroscopy limiting processes in the anode polarization resistance may often be separated and characterized individually, provided they have a reasonable separation in time constants. Three limiting processes are recognized in impedance spectra obtained on technological Ni/YSZ cermet anodes characterized against a stable reference electrode atmosphere. By parameter studies and illustrative experiments, the two contributions at low and medium frequency have been identified as gas conversion and diffusion limitations, respectively. Both of these effects are concentration limitations relating to the inefficient exchange of fuel gas in the test setup outside the porous cermet. A test setup geometry where these concentration effects are avoided for high-performance electrodes is recommended. The high frequency limitation is demonstrated to relate to the cermet structure. The dependence on gas composition, temperature, adsorbed species (sulfur), isotopes (H/D), sintering temperature and cermet thickness is investigated. Despite these studies and several similar studies by others, the exact chemical or physical nature of the limiting step has not been incontestably identified. However, there is a general consensus in literature about the hydrogen oxidation process taking place on or near to the triple phase boundary (TPB) line, where open gas-filled pores, the continuous electrolyte phase (oxide ion conductor) and the continuous Ni phase (electronic conductor) meet. The physical thickness of a cermet anode that contains active TPB sites contributing to the current density of an SOFC is demonstrated to be about 10 µm. This result has technological importance, as any overlying structure serves primarily as a current collector and needs not be optimized for transport of oxide ions. The anode durability is investigated over 1300 to 1900 hrs at 300 mA/cm2 and shown to be stable at 1050C. At 1000C a degradation rate of about 10 mΩcm2 /1000 hrs is observed, and at 850C a degradation rate of about …","author":[{"dropping-particle":"","family":"Primdahl Søren","given":"","non-dropping-particle":"","parse-names":false,"suffix":""}],"container-title":"Faculty of Chemical Technology","id":"ITEM-2","issued":{"date-parts":[["1999"]]},"number-of-pages":"203","publisher":"University of Twente","title":"Nickel/yttria-stabilised zirconia cermet anodes for solid oxide fuel cells","type":"thesis","volume":"PhD"},"uris":["http://www.mendeley.com/documents/?uuid=d068fc62-a138-420e-ad1f-fbc9376c752d"]},{"id":"ITEM-3","itemData":{"DOI":"10.1016/j.ijhydene.2016.03.092","ISBN":"03603199 (ISSN)","ISSN":"03603199","abstract":"In this work, electrochemical improvement of the SOFC anode material was achieved through the modification of a NiO-YSZ anode composition with a further infiltration of a mixed conductor such as Ce0.8Gd0.2O2−δ (CGO20). This approach rendered improved power densities, 3 times better, compared to non-optimized systems, i.e. 160 mW cm−2 under pure hydrogen, measured at 700 °C, with an OCV of </w:instrText>
      </w:r>
      <w:r w:rsidR="00151775">
        <w:rPr>
          <w:rFonts w:ascii="Cambria Math" w:hAnsi="Cambria Math" w:cs="Cambria Math"/>
        </w:rPr>
        <w:instrText>∼</w:instrText>
      </w:r>
      <w:r w:rsidR="00151775">
        <w:instrText>1.1</w:instrText>
      </w:r>
      <w:r w:rsidR="00151775">
        <w:rPr>
          <w:rFonts w:ascii="Calibri" w:hAnsi="Calibri" w:cs="Calibri"/>
        </w:rPr>
        <w:instrText> </w:instrText>
      </w:r>
      <w:r w:rsidR="00151775">
        <w:instrText xml:space="preserve">V. A simple valuation cost survey of the proposed methodology indicated that the improved polarisations can obtained using about 176 mg of Ce(NO3)3·6H2O and 46 mg of Gd(NO3)3·6H2O per cm2. This is equivalent to a cost of 0.8 </w:instrText>
      </w:r>
      <w:r w:rsidR="00151775">
        <w:rPr>
          <w:rFonts w:ascii="Cambria Math" w:hAnsi="Cambria Math" w:cs="Cambria Math"/>
        </w:rPr>
        <w:instrText>∈</w:instrText>
      </w:r>
      <w:r w:rsidR="00151775">
        <w:instrText xml:space="preserve"> of the starting material per cm2 of active anode area.","author":[{"dropping-particle":"","family":"Fernández-González","given":"Ricardo","non-dropping-particle":"","parse-names":false,"suffix":""},{"dropping-particle":"","family":"Ruiz-Morales","given":"Juan Carlos","non-dropping-particle":"","parse-names":false,"suffix":""},{"dropping-particle":"","family":"Canales-Vázquez","given":"Jesús","non-dropping-particle":"","parse-names":false,"suffix":""},{"dropping-particle":"","family":"Jurado","given":"José Ramón","non-dropping-particle":"","parse-names":false,"suffix":""},{"dropping-particle":"","family":"Makradi","given":"Ahmed","non-dropping-particle":"","parse-names":false,"suffix":""},{"dropping-particle":"","family":"Núñez","given":"Pedro","non-dropping-particle":"","parse-names":false,"suffix":""}],"container-title":"International Journal of Hydrogen Energy","id":"ITEM-3","issue":"43","issued":{"date-parts":[["2016"]]},"language":"English","note":"Cited By :1\nExport Date: 20 January 2017\nCODEN: IJHED\nCorrespondence Address: Ruiz-Morales, J.C.; Universidad de La Laguna, Avda. Astrofísico Francisco Sánchez s/n, Spain; email: jcruiz@ull.es\nFunding details: CAPES, Coordenação de Aperfeiçoamento de Pessoal de Nível Superior\nFunding details: CNPq, Conselho Nacional de Desenvolvimento Científico e Tecnológico\nFunding details: FAPERGS, Fundação de Amparo à Pesquisa do Estado do Rio Grande do Sul\nFunding details: FEDER, Federación Española de Enfermedades Raras\nReferences: Singhal, S.C., Solid oxide fuel cells for power generation (2014) Wiley Interdiscip Rev Energy Environ, 3, pp. 179-194; Tucker, M.C., Progress in metal-supported solid oxide fuel cells: a review (2010) J Power Sources, 195, pp. 4570-4582; Blennow, P., Hjelm, J., Klemensø, T., Persson, Å.H., Ramousse, S., Mogensen, M., Planar metal-supported SOFC with novel cermet anode (2011) Fuel Cells, 11, pp. 661-668; Tucker, M.C., Lau, G.Y., Jacobson, C.P., De Jonghe, L.C., Visco, S.J., Performance of metal-supported SOFCs with infiltrated electrodes (2007) J Power Sources, 171, pp. 477-482; Villarreal, I., Jacobson, C., Leming, A., Matus, Y., Visco, S., De Jonghe, L.C., Metal-supported solid oxide fuel cells (2003) Electrochem Solid State Lett, 6, pp. A178-A179; Lamp, P., Tachter, J., Finkenwirth, O., Mukerjee, S., Shaffer, S., Development of an auxiliary power unit with solid oxide fuel cells for automotive applications (2003) Fuel Cells, 3, pp. 146-152; Lang, M., Szabo, P., Ilhan, Z., Cinque, S., Franco, T., Schiller, G., Development of solid oxide fuel cells and short stacks for mobile applications (2007) J Fuel Cell Sci Technol, 4, pp. 384-391; Blennow, P., Hjelm, J., Klemensø, T., Ramousse, S., Kromp, A., Leonide, A.A., Manufacturing and characterization of metal-supported solid oxide fuel cells (2011) J Power Sources, 17, pp. 7117-7125; Ansar, A., Szabo, P., Arnold, J., Ilhan, Z., Soysal, D., Costa, R., Metal supported solid oxide fuel cells and stacks for auxiliary power units - progress, challenges and lessons learned (2011) ECS Trans, 35, pp. 147-155; Franco, T., Haydn, M., Weber, A., Schafbauer, W., Blum, L., Packbier, U., The status of metal-supported SOFC development and industrialization at Plansee (2013) ECS Trans, 57, pp. 471-480; Paul, L., Hattendorf, H., Niewolak, L., Kuhn, B., Ibas, O., Quadakkers, W.J., Crofer® 22 H a new high strength ferritic steel for interconnectors in SOFCs (2010) Fuel Cell Symposium, San Antonio, TX; Zhou, Y., Meng, X., Yuan, C., Luo, T., Ye, X., Li, J., Metal-supported solid oxide fuel cells with impregnated SrFe0.75Mo0.25O3 cathodes (2014) J Power Sources, 247, pp. 556-561; Zhou, Y., Meng, X., Ye, X., Li, J., Wang, S., Zhan, Z., SrFe0.75Mo0.25O3-δ impregnated 430L alloys for efficient fuel oxidation in metal supported solid oxide fuel cells (2014) J Power Sources, 269, pp. 244-249; Zhou, Y., Ye, X., Li, J., Zhan, Z., Wang, S., Metal-supported solid oxide fuel cells with a simple structure (2014) J Electrochem Soc, 161, pp. F332-F336; Zhou, Y., Liu, X., Li, J., Nie, H., Ye, X., Wang, S., Novel metal-supported solid oxide fuel cells with impregnated symmetric La0.6Sr0.4Fe0.9Sc0.1O3-δ electrodes (2014) J Power Sources, 252, pp. 164-168; Zhou, Y., Xin, X., Li, J., Ye, X., Xia, C., Wang, S., Performance and degradation of metal-supported solid oxide fuel cells with impregnated electrodes (2014) Int J Hydrogen Energy, 39, pp. 2279-2285; Zhou, Y., Zhang, Z., Yuan, C., Li, J., Xia, C., Zhan, Z., Metal-supported solid oxide fuel cells with in-situ sintered (Bi2O3)0.7(Er2O3)0.3-Ag composite cathode (2013) Int J Hydrogen Energy, 38, pp. 16579-16583; Baek, S.B., Jeong, J., Kim, Y.M., Shin, J.H., Bae, J., Metal-supported solid oxide fuel cells with barium-containing in-situ cathodes (2011) Solid State Ion, 192, pp. 387-393; Matus, Y.B., DeJonghe, L.C., Jacobson, C.P., Visco, S.J., Metal-supported solid oxide fuel cell membranes for rapid thermal cycling (2005) Solid State Ion, 176, pp. 443-449; Cho, H.J., Park, Y.M., Choi, G.M., Enhanced power density of metal-supported solid oxide fuel cell with a two-step firing process (2011) Solid State Ion, 192, pp. 519-522; Brandner, M., Bram, M., Froitzheim, J., Buchkremer, H.P., Stover, D., Electrically conductive diffusion barrier layers for metal-supported SOFC (2008) Solid State Ion, 179, pp. 1501-1504; Fernández-González, R., Hernández, E., Savvin, S., Núñez, P., Makradi, A., Sabaté, N., A novel microstructured metal-supported solid oxide fuel cell (2014) J Power Sources, 272, pp. 233-238; Blennow, P., Hansen, K.H., Wallenberg, L.R., Mogensen, M., Strontium titanate-based composite anodes for solid oxide fuel cells (2008) ECS Trans, 13, pp. 181-194; Blennow, P., Hjelm, J., Klemensø, T., Persson, A., Brodersen, K., Srivastaka, A.K., Development of planar metal supported SOFC with novel cermet anode (2009) ECS Trans, 25, pp. 701-710; Hussain, A.M., Hogh, J.V.T., Zhang, W., Bonanos, N., Efficient ceramic anodes infiltrated with binary and ternary electrocatalysts for SOFCs operating at low temperatures (2012) J Power Sources, 216, pp. 308-313; Senn, T., Esquivel, J.P., Sabaté, N., Löchel, B., Fabrication of high aspect ratio nanostructures on 3D surfaces (2011) Microelectron Eng, 88, pp. 3043-3048; Senn, T., Esquivel, J.P., Lörgen, M., Sabaté, N., Löchel, B., Replica molding for multilevel micro-nanostructure replication (2010) J Micromech Microeng, 20, pp. 115012-115020; Johnson, D., ZView: a software program for IES analysis, version 2.8 (2002), Scribner Associates Inc Southern Pines, NCRuiz-Morales, J.C., Marrero-López, D., Canales-Vázquez, J., Núñez, P., Domínguez-González, J.M., (2011) A novel approach to engineer the microstructure of solid oxide fuel cell materials, Fuel Cells, 11, pp. 144-149; Pratihar, S.K., Sharma, A.D., Basu, R.H., Maiti, H.S., Preparation of nickel coated YSZ powder for application as an anode for solid oxide fuel cells (2004) J Power Sources, 129, pp. 138-142; Goodenough, J.B., Huang, Y.H., Alternative anode materials for solid oxide fuel cells (2007) J Power Sources, 173, pp. 1-10; Zhu, W.Z., Deev, S.C., A review on the status of anode materials for solid oxide fuel cells (2003) Mater Sci Eng, A362, pp. 228-239; de Boer, B., Gonzalez, M., Bouwmeester, H.J.M., Verweij, H., The effect of the presence of fine YSZ particles on the performance of porous nickel electrodes (2000) Solid State Ion, 127, pp. 269-276; Chueh, W.C., Hao, Y., Jung, W., Haile, S.M., High electrochemical activity of the oxide phase in model ceria-Pt and ceria-Ni composite anodes (2011) Nat Mater, 11, pp. 155-161; Ruiz-Morales, J.C., Canales-Vázquez, J., Marrero-López, D., Peña-Martínez, J., Pérez-Coll, D., Núñez, P., Pilas de combustible de óxidos sólidos (SOFC) (2008), 2nd ed. CCPC Tenerife-SpainUR - https://www.scopus.com/inward/record.uri?eid=2-s2.0-84994067317&amp;amp;doi=10.1016%2fj.ijhydene.2016.03.092&amp;amp;partnerID=40&amp;amp;md5=5a3569782cd5458d340928bfccbb2427","page":"19731-19736","publisher":"Elsevier Ltd","title":"Decreasing the polarisation resistance of a Ni-YSZ solid oxide fuel cell anode by infiltration of a ceria-based solution","type":"article-journal","volume":"41"},"uris":["http://www.mendeley.com/documents/?uuid=0d72dcb6-f557-4e71-8b81-73ed4fea98c7"]}],"mendeley":{"formattedCitation":"[132], [451], [452]","plainTextFormattedCitation":"[132], [451], [452]","previouslyFormattedCitation":"[132], [451], [452]"},"properties":{"noteIndex":0},"schema":"https://github.com/citation-style-language/schema/raw/master/csl-citation.json"}</w:instrText>
      </w:r>
      <w:r w:rsidRPr="00EC72DA">
        <w:fldChar w:fldCharType="separate"/>
      </w:r>
      <w:r w:rsidR="008B6E91" w:rsidRPr="008B6E91">
        <w:rPr>
          <w:noProof/>
        </w:rPr>
        <w:t>[132], [451], [452]</w:t>
      </w:r>
      <w:r w:rsidRPr="00EC72DA">
        <w:fldChar w:fldCharType="end"/>
      </w:r>
      <w:r w:rsidRPr="00EC72DA">
        <w:t xml:space="preserve">. </w:t>
      </w:r>
    </w:p>
    <w:p w14:paraId="47C45FD2" w14:textId="38B5DD3F" w:rsidR="00007F6C" w:rsidRPr="00EC72DA" w:rsidRDefault="00007F6C" w:rsidP="00007F6C">
      <w:pPr>
        <w:jc w:val="both"/>
      </w:pPr>
      <w:r w:rsidRPr="00EC72DA">
        <w:t xml:space="preserve">Sensitivity to atmosphere is one of the factors discussed as possible root cause for the drop in polarisation resistance of the samples. For current collectors under anodic conditions such as those </w:t>
      </w:r>
      <w:r w:rsidRPr="00EC72DA">
        <w:lastRenderedPageBreak/>
        <w:t xml:space="preserve">investigated during this study, the resistance of the gold is smaller than that of silver </w:t>
      </w:r>
      <w:r w:rsidRPr="00EC72DA">
        <w:fldChar w:fldCharType="begin" w:fldLock="1"/>
      </w:r>
      <w:r w:rsidR="00151775">
        <w:instrText>ADDIN CSL_CITATION {"citationItems":[{"id":"ITEM-1","itemData":{"DOI":"10.1201/b15374-3","author":[{"dropping-particle":"","family":"Guindet","given":"J","non-dropping-particle":"","parse-names":false,"suffix":""},{"dropping-particle":"","family":"Hères","given":"Martin","non-dropping-particle":"","parse-names":false,"suffix":""}],"container-title":"Advances in River Sediment Research","id":"ITEM-1","issued":{"date-parts":[["2013"]]},"page":"35-35","title":"Technical papers","type":"article-journal"},"uris":["http://www.mendeley.com/documents/?uuid=ffff4b93-74de-4ce7-a357-f3f02b524885"]}],"mendeley":{"formattedCitation":"[453]","plainTextFormattedCitation":"[453]","previouslyFormattedCitation":"[453]"},"properties":{"noteIndex":0},"schema":"https://github.com/citation-style-language/schema/raw/master/csl-citation.json"}</w:instrText>
      </w:r>
      <w:r w:rsidRPr="00EC72DA">
        <w:fldChar w:fldCharType="separate"/>
      </w:r>
      <w:r w:rsidR="008B6E91" w:rsidRPr="008B6E91">
        <w:rPr>
          <w:noProof/>
        </w:rPr>
        <w:t>[453]</w:t>
      </w:r>
      <w:r w:rsidRPr="00EC72DA">
        <w:fldChar w:fldCharType="end"/>
      </w:r>
      <w:r w:rsidRPr="00EC72DA">
        <w:t xml:space="preserve">. This is despite the fact that gold has reduced mobility in anodic conditions </w:t>
      </w:r>
      <w:r w:rsidRPr="00EC72DA">
        <w:fldChar w:fldCharType="begin" w:fldLock="1"/>
      </w:r>
      <w:r w:rsidR="00151775">
        <w:instrText>ADDIN CSL_CITATION {"citationItems":[{"id":"ITEM-1","itemData":{"DOI":"10.1016/j.jcat.2008.07.011","ISSN":"00219517","abstract":"Carbon tolerant Ni/YSZ anode modified with 1% (atomic ratio) Au with respect to Ni was tested under methane rich steam reforming conditions. The electrode was proved to be highly tolerant to C deposits, even at methane to water ratios as high as 3, at temperatures ranging between 973-1173 K. The NiAu anode was prepared by in situ combustion synthesis at 873 K and sintered in air at 1123 K. The SEM images have shown that the Au modified Ni/YSZ electrode was nanostructured with particle size ranging between 50-100 nm. © 2008 Elsevier Inc. All rights reserved.","author":[{"dropping-particle":"","family":"Gavrielatos","given":"Ilias","non-dropping-particle":"","parse-names":false,"suffix":""},{"dropping-particle":"","family":"Drakopoulos","given":"Vasilis","non-dropping-particle":"","parse-names":false,"suffix":""},{"dropping-particle":"","family":"Neophytides","given":"Stylianos G.","non-dropping-particle":"","parse-names":false,"suffix":""}],"container-title":"Journal of Catalysis","id":"ITEM-1","issue":"1","issued":{"date-parts":[["2008"]]},"page":"75-84","title":"Carbon tolerant Ni-Au SOFC electrodes operating under internal steam reforming conditions","type":"article-journal","volume":"259"},"uris":["http://www.mendeley.com/documents/?uuid=b0a1f854-957f-4d59-bc16-ab92020a4178"]},{"id":"ITEM-2","itemData":{"DOI":"10.1002/fuce.200800181","ISBN":"16156846 (ISSN)","ISSN":"16156846","abstract":"The effect of Ag addition on Ni/YSZ Carbon tolerance was studied by means of thermogravimetric, catalytic and electrocatalytic experiments. Ni/YSZ activity towards C deposition can be significantly decreased by adding 1 to 5 at.-percent (atomic ratio) Ag with respect to Ni. It was found that the activation energy of CH4 dissociation was increased from 61 kJ mol-1 on Ni/YSZ to 137 kJ mol-1 on Ni(5Ag)/YSZ. The electrode was significantly improved with regard to its C tolerance, even at a methane to water ratio as high as 4.35, at temperatures ranging between 923-1,023 K. At higher temperature most probably due to Ag evaporation from Agdoped Ni/YSZ surface, a severe anode catalytic and electrocatalytic activity degradation was observed.","author":[{"dropping-particle":"","family":"Gavrielatos","given":"I.","non-dropping-particle":"","parse-names":false,"suffix":""},{"dropping-particle":"","family":"Montinaro","given":"D.","non-dropping-particle":"","parse-names":false,"suffix":""},{"dropping-particle":"","family":"Orfanidi","given":"A.","non-dropping-particle":"","parse-names":false,"suffix":""},{"dropping-particle":"","family":"Neophytides","given":"S. G.","non-dropping-particle":"","parse-names":false,"suffix":""}],"container-title":"Fuel Cells","id":"ITEM-2","issue":"6","issued":{"date-parts":[["2009"]]},"language":"English","note":"Cited By :19\nExport Date: 10 February 2017\nCorrespondence Address: Neophytides, S. G.; Foundation for Research and Technology, Institute of Chemical Engineering and High Temperature Chemical Processes (FORTH/ICE-HT), Stadiou str. Platani, GR-26504 Rion, Patras, Greece; email: neoph@iceht.forth.gr\nReferences: Hou, K., Hughes, R., (2001) Chem. Eng. J, 82, p. 311; Choudhary, V.R., Banerjee, S., Rajput, A.M., (2002) Appl. Catal., A, 234, p. 259; Matsumura, Y., Nakamori, T., (2004) Appl. Catal., A, 258, p. 107; Song, C., (2002) Catal. Today, 77, p. 17; Abudula, A., Ihara, M., Komiyama, H., Yamada, K., (1996) Solid State Ionics, 1203, p. 86; Liu, J., Barnett, S.A., (2003) Solid State Ionics, 158, p. 11; Sehested, J., (2006) Catal. Today, 111, p. 103; Rostrup-Nielsen, J.R., (1984) Catalysis, Science, and Technology, 5, p. 82. , Eds, J. R. Anderson, M. Boudart, Springer-Verlag, Berlin; Wei, J., Iglesia, E., (2004) J. Catal, 224, p. 370; Jarrah, N.A., van Ommen, J.G., Lefferts, L., (2006) J. Catal, 239, p. 460; Vang, R.T., Honkala, K., Dahal, S., Vestergaard, E.K., Schnadt, J., Lágsgaard, E., Clausen, B.S., Besenbacher, F., (2005) Nat. Mater, 4, p. 160; Bernardo, C.A., Trimm, D.L., (1979) Catal. Carbon, 17, p. 115; McCarty, J.G., Wise, H.J., (1982) J. Catal, 57, p. 67; Bartholomew, C.H., (1982) Catal. Rev.-Sci. Eng, 24, p. 67; Trimm, D.L., (1977) Catal. Rev.-Sci. Eng, 16, p. 155; Twigg, M.V., (1989) Catalyst Handbook, , 2nd Ed, Wolfe Publishing, London, Chapter 5; Murray, E.P., Tsai, T., Barnett, S.A., (1999) Nature, 400, p. 649; Finnerty, C.M., Coe, N.J., Cunningham, R.H., Ormerod, R.M., (1998) Catal. Today, 46, p. 137; Besenbacher, F., Chorkendorff, I., Clausen, B.S., Hammer, B., Molenbroek, A.M., Norskov, J.K., Stensgaard, I., (1998) Science, 279, p. 1913; Rostrup-Nielsen, J.R., Alstrup, I., (1999) Catal. Today, 53, p. 311; Bebelis, S., Zeritis, A., Tiropani, C., Neophytides, S.G., (2000) Ind. Eng. Chem. Res, 12, p. 4920; Zhang, Z.L., Verykios, X.E., (1994) Catal. Today, 21, p. 589; Goula, M.L., Lemonidou, A.A., Efstathiou, A.M., (1996) J. Catal, 161, p. 626; Tsang, J.S., Park, S.E., Chon, H., (1996) Appl. Catal, 111, pp. A145; Borowiecki, T., Golebiowski, A., (1994) Catal. Lett, 25, p. 309; Borowiecki, T., Giecko, G., Panczyk, M., (2002) Appl. Catal., A, 230, p. 85; Triantafyllopoulos, N.C., Neophytides, S.G., (2003) J. Catal, 217, p. 324; J. R. Rostrup-Nielsen, in: Catalyst deactivation 1991, (Eds.: C. H. Bartholomew, J. B. Butt), Stud. Surf. Sci. Catal. 1991, 68, 85Bengaard, H.S., Nørskov, J.K., Sehested, J., Clausen, B.S., Nielsen, L.P., Molenbroek, A.M., Rostrup-Nielsen, J.R., (2002) J. Catal, 209, p. 365; Ya, Huei Chin, D.L., King, Seog Roh, H., Yong Wang, S.M., Heald, (2006) J. Catal, 244, p. 153; Triantafyllopoulos, N.C., Neophytides, S.G., (2006) J. Catal, 239, p. 187; Gavrielatos, I., Neophytides, S.G., (2008) J. Catal, 259, p. 75; Trimm, D.L., (1999) Catal. Today, 49, p. 3; Parizotto, N.V., Rocha, K.O., Damyanova, S., Passos, F.B., Zanchet, D., Marques, C.M.P., Bueno, J.M.C., (2007) Appl. Catal., A, 330, p. 12; Sholklapper, T.Z., Radmilovic, V., Jacobson, C.P., Visco, S.J., De Jonghe, L.C., (2008) J. Power Sources, 175, p. 206; Shabaker, J.W., Simonetti, D.A., Cortright, R.D., Dumesic, J.A., (2005) J. Catal, 231, p. 67; Nikolla, E., Schwank, J., Linic, S., (2007) J. Catal, 250, p. 85; Tedmon Jr., C.S., Spacil, H.S., Mitoff, S.P., (1969) J. Electrochem. Soc.: Electrochem. Sci, 116, p. 1170; Barnett, S.A., (1990) Energy (Oxford), 15, p. 1; Wang, L.S., Thiele, E.S., Barnett, S.A., (1992) Solid State Ionics, 52, p. 261; Wang, L.S., Barnett, S.A., (1993) Solid State Ionics, 61, p. 273; Wang, L.S., Barnett, S.A., (1995) Solid State Ionics, 76, p. 103; Sasaki, K., Hosoda, K., Lan, T.N., Yasumoto, K., Wang, S., Dokiya, M., (2004) Solid State Ionics, 174, p. 97; Sasaki, K., Tamura, J., Dokiya, M., (2001) Solid State Ionics, 144, p. 233; Gavrielatos, I., Neophytides, S.G., (2007) ECS Trans, 7, p. 1483","page":"883-890","title":"Thermogravimetric and electrocatalytic study of carbon deposition of Ag-doped Ni/YSZ electrodes under internal CH4Steam reforming conditions","type":"article-journal","volume":"9"},"uris":["http://www.mendeley.com/documents/?uuid=4e01a700-7da5-4e04-81be-ae4326738766"]}],"mendeley":{"formattedCitation":"[454], [455]","plainTextFormattedCitation":"[454], [455]","previouslyFormattedCitation":"[454], [455]"},"properties":{"noteIndex":0},"schema":"https://github.com/citation-style-language/schema/raw/master/csl-citation.json"}</w:instrText>
      </w:r>
      <w:r w:rsidRPr="00EC72DA">
        <w:fldChar w:fldCharType="separate"/>
      </w:r>
      <w:r w:rsidR="008B6E91" w:rsidRPr="008B6E91">
        <w:rPr>
          <w:noProof/>
        </w:rPr>
        <w:t>[454], [455]</w:t>
      </w:r>
      <w:r w:rsidRPr="00EC72DA">
        <w:fldChar w:fldCharType="end"/>
      </w:r>
      <w:r w:rsidRPr="00EC72DA">
        <w:t>.</w:t>
      </w:r>
    </w:p>
    <w:p w14:paraId="539CE4DC" w14:textId="27295E2A" w:rsidR="00007F6C" w:rsidRPr="00EC72DA" w:rsidRDefault="00007F6C" w:rsidP="00007F6C">
      <w:pPr>
        <w:jc w:val="both"/>
      </w:pPr>
      <w:r w:rsidRPr="00EC72DA">
        <w:t>Gold has also been documented to alloy with nickel at temperature exceeding 600</w:t>
      </w:r>
      <w:r w:rsidRPr="00EC72DA">
        <w:rPr>
          <w:rFonts w:cstheme="minorHAnsi"/>
        </w:rPr>
        <w:t>⁰</w:t>
      </w:r>
      <w:r w:rsidRPr="00EC72DA">
        <w:t xml:space="preserve">C </w:t>
      </w:r>
      <w:r w:rsidRPr="00EC72DA">
        <w:fldChar w:fldCharType="begin" w:fldLock="1"/>
      </w:r>
      <w:r w:rsidR="00151775">
        <w:instrText>ADDIN CSL_CITATION {"citationItems":[{"id":"ITEM-1","itemData":{"DOI":"10.1007/BF03215037","ISSN":"00171557","abstract":"The usefulness of gold-nickel alloys as brazing media in the aeroengine, electronic, nuclear power and spacecraft industries is illustrated by data on the corrosion and oxidation resistance of joints made with these alloys in various heat-resistant materials and on their resistance to fracture under the influence of static, dynamic and impact loads in tests at subzero, normal and elevated temperatures. © 1974 World Gold Council.","author":[{"dropping-particle":"","family":"Colbus","given":"Jakob","non-dropping-particle":"","parse-names":false,"suffix":""},{"dropping-particle":"","family":"Zimmermann","given":"Karl Friedrich","non-dropping-particle":"","parse-names":false,"suffix":""}],"container-title":"Gold Bulletin","id":"ITEM-1","issue":"2","issued":{"date-parts":[["1974"]]},"page":"42-49","title":"Properties of gold-nickel alloy brazed joints in high temperature materials","type":"article-journal","volume":"7"},"uris":["http://www.mendeley.com/documents/?uuid=b10e5051-064a-4b1b-a254-41ed3e09020a"]},{"id":"ITEM-2","itemData":{"DOI":"10.1109/JMEMS.2008.2010850","ISSN":"10577157","abstract":"This paper reports on a comparison of gold and gold-nickel alloys as contact materials for microelectromechanical systems (MEMS) switches. Pure gold is commonly used as the contact material in low-force metal-contact MEMS switches. The top two failure mechanisms of these switches are wear and stiction, which may be related to the material softness and the relatively high surface adhesion, respectively. Alloying gold with another metal introduces new processing options to strengthen the material against wear and reduce surface adhesion. In this paper, the properties of Au-Ni alloys were investigated as the lower contact electrode was controlled by adjusting the nickel content and thermal processing conditions. A unique and efficient switching degradation test was conducted on the alloy samples, using pure gold upper microcontacts. Solid-solution Au-Ni samples showed reduced wear rate but increased contact resistance, while two-phase Au-Ni (20 at.% Ni) showed a substantial improvement of switching reliability with only a small increase of contact resistance. Discussion of the effects of phase separation, surface topography, hardness, and electrical resistivity on contact resistance and switch degradation is also included. © 2009 IEEE.","author":[{"dropping-particle":"","family":"Yang","given":"Zhenyin","non-dropping-particle":"","parse-names":false,"suffix":""},{"dropping-particle":"","family":"Lichtenwalner","given":"Daniel J.","non-dropping-particle":"","parse-names":false,"suffix":""},{"dropping-particle":"","family":"Morris","given":"Arthur S.","non-dropping-particle":"","parse-names":false,"suffix":""},{"dropping-particle":"","family":"Krim","given":"Jacqueline","non-dropping-particle":"","parse-names":false,"suffix":""},{"dropping-particle":"","family":"Kingon","given":"Angus I.","non-dropping-particle":"","parse-names":false,"suffix":""}],"container-title":"Journal of Microelectromechanical Systems","id":"ITEM-2","issue":"2","issued":{"date-parts":[["2009"]]},"page":"287-295","title":"Comparison of Au and Au-Ni alloys as contact materials for MEMS switches","type":"article-journal","volume":"18"},"uris":["http://www.mendeley.com/documents/?uuid=5e987446-51c6-4c5d-867e-424b624674c0"]}],"mendeley":{"formattedCitation":"[445], [456]","plainTextFormattedCitation":"[445], [456]","previouslyFormattedCitation":"[445], [456]"},"properties":{"noteIndex":0},"schema":"https://github.com/citation-style-language/schema/raw/master/csl-citation.json"}</w:instrText>
      </w:r>
      <w:r w:rsidRPr="00EC72DA">
        <w:fldChar w:fldCharType="separate"/>
      </w:r>
      <w:r w:rsidR="008B6E91" w:rsidRPr="008B6E91">
        <w:rPr>
          <w:noProof/>
        </w:rPr>
        <w:t>[445], [456]</w:t>
      </w:r>
      <w:r w:rsidRPr="00EC72DA">
        <w:fldChar w:fldCharType="end"/>
      </w:r>
      <w:r w:rsidRPr="00EC72DA">
        <w:t>. This impact of this alloying would have the effect of reducing the overall resistivity of the electrode under the H</w:t>
      </w:r>
      <w:r w:rsidRPr="00EC72DA">
        <w:rPr>
          <w:vertAlign w:val="subscript"/>
        </w:rPr>
        <w:t>2</w:t>
      </w:r>
      <w:r w:rsidRPr="00EC72DA">
        <w:t xml:space="preserve"> rich environment </w:t>
      </w:r>
      <w:r w:rsidRPr="00EC72DA">
        <w:fldChar w:fldCharType="begin" w:fldLock="1"/>
      </w:r>
      <w:r w:rsidR="00151775">
        <w:instrText>ADDIN CSL_CITATION {"citationItems":[{"id":"ITEM-1","itemData":{"author":[{"dropping-particle":"","family":"Matula","given":"R. A.","non-dropping-particle":"","parse-names":false,"suffix":""}],"container-title":"J. Phys. Chem","id":"ITEM-1","issue":"4","issued":{"date-parts":[["1979"]]},"page":"1147","title":"Electrical Resistivity of Cu, Au, Pd, and Ag","type":"article","volume":"6"},"uris":["http://www.mendeley.com/documents/?uuid=1d47d866-89e0-43e8-88ef-6f23424dd094"]},{"id":"ITEM-2","itemData":{"author":[{"dropping-particle":"","family":"Chu","given":"T.K.","non-dropping-particle":"","parse-names":false,"suffix":""},{"dropping-particle":"","family":"Ho","given":"C. Y.","non-dropping-particle":"","parse-names":false,"suffix":""}],"container-title":"Office of Standard Reference Data","id":"ITEM-2","issue":"AD A1 29078","issued":{"date-parts":[["1982"]]},"number-of-pages":"117-42","title":"Electrical Resistivity of Chromium, Cobalt, Iron and Nickel","type":"report","volume":"AD A1 2907"},"uris":["http://www.mendeley.com/documents/?uuid=75b4a84e-67e6-466b-b225-1dd7282d9228"]}],"mendeley":{"formattedCitation":"[457], [458]","plainTextFormattedCitation":"[457], [458]","previouslyFormattedCitation":"[457], [458]"},"properties":{"noteIndex":0},"schema":"https://github.com/citation-style-language/schema/raw/master/csl-citation.json"}</w:instrText>
      </w:r>
      <w:r w:rsidRPr="00EC72DA">
        <w:fldChar w:fldCharType="separate"/>
      </w:r>
      <w:r w:rsidR="008B6E91" w:rsidRPr="008B6E91">
        <w:rPr>
          <w:noProof/>
        </w:rPr>
        <w:t>[457], [458]</w:t>
      </w:r>
      <w:r w:rsidRPr="00EC72DA">
        <w:fldChar w:fldCharType="end"/>
      </w:r>
      <w:r w:rsidRPr="00EC72DA">
        <w:t>. This is evident from the large drop from the peak R</w:t>
      </w:r>
      <w:r w:rsidRPr="00EC72DA">
        <w:rPr>
          <w:vertAlign w:val="subscript"/>
        </w:rPr>
        <w:t>P</w:t>
      </w:r>
      <w:r w:rsidRPr="00EC72DA">
        <w:t xml:space="preserve"> (144.86, 2h) which manifested itself around 10 h, indicating that the alloying reaction had finished during this period.</w:t>
      </w:r>
    </w:p>
    <w:p w14:paraId="45049B7F" w14:textId="77777777" w:rsidR="00007F6C" w:rsidRPr="00EC72DA" w:rsidRDefault="00007F6C" w:rsidP="00007F6C">
      <w:pPr>
        <w:jc w:val="both"/>
      </w:pPr>
      <w:r w:rsidRPr="00EC72DA">
        <w:t>Despite a 1 h difference in the ageing time for the nickel catalyst both samples exhibited a drop in R</w:t>
      </w:r>
      <w:r w:rsidRPr="00EC72DA">
        <w:rPr>
          <w:vertAlign w:val="subscript"/>
        </w:rPr>
        <w:t>P</w:t>
      </w:r>
      <w:r w:rsidRPr="00EC72DA">
        <w:t xml:space="preserve"> during the ageing process, which also shows reduction in R</w:t>
      </w:r>
      <w:r w:rsidRPr="00EC72DA">
        <w:rPr>
          <w:vertAlign w:val="subscript"/>
        </w:rPr>
        <w:t>P</w:t>
      </w:r>
      <w:r w:rsidRPr="00EC72DA">
        <w:t xml:space="preserve"> is directly affected by this interaction alloying process. The large variation in the samples occurred despite the sample having been produced and processed identically according to the method discussed in Chapter 3.</w:t>
      </w:r>
    </w:p>
    <w:p w14:paraId="5CCE2D3A" w14:textId="77777777" w:rsidR="00007F6C" w:rsidRDefault="00007F6C" w:rsidP="00007F6C">
      <w:pPr>
        <w:keepNext/>
        <w:jc w:val="center"/>
      </w:pPr>
      <w:r w:rsidRPr="00DD156D">
        <w:rPr>
          <w:noProof/>
        </w:rPr>
        <w:drawing>
          <wp:inline distT="0" distB="0" distL="0" distR="0" wp14:anchorId="31795814" wp14:editId="772574AF">
            <wp:extent cx="3420000" cy="2840000"/>
            <wp:effectExtent l="0" t="0" r="952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1">
                      <a:extLst>
                        <a:ext uri="{28A0092B-C50C-407E-A947-70E740481C1C}">
                          <a14:useLocalDpi xmlns:a14="http://schemas.microsoft.com/office/drawing/2010/main" val="0"/>
                        </a:ext>
                      </a:extLst>
                    </a:blip>
                    <a:srcRect l="8486" t="9610" r="13074" b="5105"/>
                    <a:stretch/>
                  </pic:blipFill>
                  <pic:spPr bwMode="auto">
                    <a:xfrm>
                      <a:off x="0" y="0"/>
                      <a:ext cx="3420000" cy="2840000"/>
                    </a:xfrm>
                    <a:prstGeom prst="rect">
                      <a:avLst/>
                    </a:prstGeom>
                    <a:noFill/>
                    <a:ln>
                      <a:noFill/>
                    </a:ln>
                    <a:extLst>
                      <a:ext uri="{53640926-AAD7-44D8-BBD7-CCE9431645EC}">
                        <a14:shadowObscured xmlns:a14="http://schemas.microsoft.com/office/drawing/2010/main"/>
                      </a:ext>
                    </a:extLst>
                  </pic:spPr>
                </pic:pic>
              </a:graphicData>
            </a:graphic>
          </wp:inline>
        </w:drawing>
      </w:r>
    </w:p>
    <w:p w14:paraId="6CA9FEF5" w14:textId="30F02DC2" w:rsidR="00007F6C" w:rsidRDefault="00007F6C" w:rsidP="00007F6C">
      <w:pPr>
        <w:pStyle w:val="Caption"/>
      </w:pPr>
      <w:bookmarkStart w:id="467" w:name="_Ref43737108"/>
      <w:bookmarkStart w:id="468" w:name="_Toc69115026"/>
      <w:r>
        <w:t>Figure 5.</w:t>
      </w:r>
      <w:r w:rsidR="00B51F53">
        <w:fldChar w:fldCharType="begin"/>
      </w:r>
      <w:r w:rsidR="00B51F53">
        <w:instrText xml:space="preserve"> SEQ Figure \* ARABIC </w:instrText>
      </w:r>
      <w:r w:rsidR="00B51F53">
        <w:fldChar w:fldCharType="separate"/>
      </w:r>
      <w:r w:rsidR="00903E7F">
        <w:rPr>
          <w:noProof/>
        </w:rPr>
        <w:t>11</w:t>
      </w:r>
      <w:r w:rsidR="00B51F53">
        <w:rPr>
          <w:noProof/>
        </w:rPr>
        <w:fldChar w:fldCharType="end"/>
      </w:r>
      <w:bookmarkEnd w:id="467"/>
      <w:r>
        <w:t>: Stacked Nyquist plots for the Au1 Ni-YSZ sample coated in an Au current collector over a 20 h ageing period. The markers track the evolution of the samples in 5 h increments. The hollowed markers indicate the data taken at intervals between</w:t>
      </w:r>
      <w:bookmarkEnd w:id="468"/>
    </w:p>
    <w:p w14:paraId="50A6E4A1" w14:textId="77777777" w:rsidR="00007F6C" w:rsidRDefault="00007F6C" w:rsidP="00007F6C">
      <w:pPr>
        <w:keepNext/>
        <w:jc w:val="center"/>
      </w:pPr>
      <w:r w:rsidRPr="00D11702">
        <w:rPr>
          <w:noProof/>
        </w:rPr>
        <w:drawing>
          <wp:inline distT="0" distB="0" distL="0" distR="0" wp14:anchorId="5F91B2A0" wp14:editId="73B8438F">
            <wp:extent cx="3420000" cy="2512114"/>
            <wp:effectExtent l="0" t="0" r="9525" b="254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2">
                      <a:extLst>
                        <a:ext uri="{28A0092B-C50C-407E-A947-70E740481C1C}">
                          <a14:useLocalDpi xmlns:a14="http://schemas.microsoft.com/office/drawing/2010/main" val="0"/>
                        </a:ext>
                      </a:extLst>
                    </a:blip>
                    <a:srcRect l="8487" t="9309" r="2523" b="5105"/>
                    <a:stretch/>
                  </pic:blipFill>
                  <pic:spPr bwMode="auto">
                    <a:xfrm>
                      <a:off x="0" y="0"/>
                      <a:ext cx="3420000" cy="2512114"/>
                    </a:xfrm>
                    <a:prstGeom prst="rect">
                      <a:avLst/>
                    </a:prstGeom>
                    <a:noFill/>
                    <a:ln>
                      <a:noFill/>
                    </a:ln>
                    <a:extLst>
                      <a:ext uri="{53640926-AAD7-44D8-BBD7-CCE9431645EC}">
                        <a14:shadowObscured xmlns:a14="http://schemas.microsoft.com/office/drawing/2010/main"/>
                      </a:ext>
                    </a:extLst>
                  </pic:spPr>
                </pic:pic>
              </a:graphicData>
            </a:graphic>
          </wp:inline>
        </w:drawing>
      </w:r>
    </w:p>
    <w:p w14:paraId="2D9DD66C" w14:textId="301FC2A5" w:rsidR="00007F6C" w:rsidRDefault="00007F6C" w:rsidP="00007F6C">
      <w:pPr>
        <w:pStyle w:val="Caption"/>
      </w:pPr>
      <w:bookmarkStart w:id="469" w:name="_Ref43737109"/>
      <w:bookmarkStart w:id="470" w:name="_Toc69115027"/>
      <w:r>
        <w:t>Figure 5.</w:t>
      </w:r>
      <w:r w:rsidR="00B51F53">
        <w:fldChar w:fldCharType="begin"/>
      </w:r>
      <w:r w:rsidR="00B51F53">
        <w:instrText xml:space="preserve"> SEQ Figure \* ARABIC </w:instrText>
      </w:r>
      <w:r w:rsidR="00B51F53">
        <w:fldChar w:fldCharType="separate"/>
      </w:r>
      <w:r w:rsidR="00903E7F">
        <w:rPr>
          <w:noProof/>
        </w:rPr>
        <w:t>12</w:t>
      </w:r>
      <w:r w:rsidR="00B51F53">
        <w:rPr>
          <w:noProof/>
        </w:rPr>
        <w:fldChar w:fldCharType="end"/>
      </w:r>
      <w:bookmarkEnd w:id="469"/>
      <w:r>
        <w:t xml:space="preserve">: Nyquist plots for the Au2 Ni-YSZ sample coated in an Au current collector over a </w:t>
      </w:r>
      <w:proofErr w:type="gramStart"/>
      <w:r>
        <w:t>50 h</w:t>
      </w:r>
      <w:proofErr w:type="gramEnd"/>
      <w:r>
        <w:t xml:space="preserve"> ageing period. The markers track the evolution of the samples in 5 h increments.</w:t>
      </w:r>
      <w:bookmarkEnd w:id="470"/>
    </w:p>
    <w:p w14:paraId="1B37B039" w14:textId="77777777" w:rsidR="00007F6C" w:rsidRDefault="00007F6C" w:rsidP="00007F6C">
      <w:pPr>
        <w:pStyle w:val="Heading5"/>
        <w:jc w:val="both"/>
      </w:pPr>
      <w:r>
        <w:lastRenderedPageBreak/>
        <w:t>Equivalent circuit fitting</w:t>
      </w:r>
    </w:p>
    <w:p w14:paraId="42703D05" w14:textId="6ED4BD41" w:rsidR="00007F6C" w:rsidRDefault="00007F6C" w:rsidP="00007F6C">
      <w:pPr>
        <w:jc w:val="both"/>
      </w:pPr>
      <w:r>
        <w:t>The symmetrical Ni-YSZ cells coated in the gold current collector were fit using the equivalent circuit function on the ZView2 software</w:t>
      </w:r>
      <w:r w:rsidR="00903E7F">
        <w:t xml:space="preserve"> (</w:t>
      </w:r>
      <w:r w:rsidR="00903E7F">
        <w:fldChar w:fldCharType="begin"/>
      </w:r>
      <w:r w:rsidR="00903E7F">
        <w:instrText xml:space="preserve"> REF _Ref48049531 \h </w:instrText>
      </w:r>
      <w:r w:rsidR="00903E7F">
        <w:fldChar w:fldCharType="separate"/>
      </w:r>
      <w:r w:rsidR="00903E7F">
        <w:t>Figure 5.</w:t>
      </w:r>
      <w:r w:rsidR="00903E7F">
        <w:rPr>
          <w:noProof/>
        </w:rPr>
        <w:t>13</w:t>
      </w:r>
      <w:r w:rsidR="00903E7F">
        <w:fldChar w:fldCharType="end"/>
      </w:r>
      <w:r w:rsidR="00903E7F">
        <w:t>)</w:t>
      </w:r>
      <w:r>
        <w:t xml:space="preserve"> The systematic and percentage error for both R</w:t>
      </w:r>
      <w:r>
        <w:rPr>
          <w:vertAlign w:val="subscript"/>
        </w:rPr>
        <w:t>S</w:t>
      </w:r>
      <w:r>
        <w:t xml:space="preserve"> and R</w:t>
      </w:r>
      <w:r>
        <w:rPr>
          <w:vertAlign w:val="subscript"/>
        </w:rPr>
        <w:t>P</w:t>
      </w:r>
      <w:r>
        <w:t xml:space="preserve"> for the Au coated samples were calculated from the error in the ZView2 equivalent circuit fitting software.</w:t>
      </w:r>
    </w:p>
    <w:p w14:paraId="66E1B923" w14:textId="77777777" w:rsidR="00007F6C" w:rsidRDefault="00007F6C" w:rsidP="00007F6C">
      <w:pPr>
        <w:keepNext/>
        <w:jc w:val="center"/>
      </w:pPr>
      <w:r>
        <w:rPr>
          <w:noProof/>
        </w:rPr>
        <w:drawing>
          <wp:inline distT="0" distB="0" distL="0" distR="0" wp14:anchorId="5B0BAC5A" wp14:editId="69DFE291">
            <wp:extent cx="3600450" cy="1190625"/>
            <wp:effectExtent l="0" t="0" r="0" b="9525"/>
            <wp:docPr id="127" name="Picture 127"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C Fitting XM studio.png"/>
                    <pic:cNvPicPr/>
                  </pic:nvPicPr>
                  <pic:blipFill rotWithShape="1">
                    <a:blip r:embed="rId137">
                      <a:extLst>
                        <a:ext uri="{28A0092B-C50C-407E-A947-70E740481C1C}">
                          <a14:useLocalDpi xmlns:a14="http://schemas.microsoft.com/office/drawing/2010/main" val="0"/>
                        </a:ext>
                      </a:extLst>
                    </a:blip>
                    <a:srcRect t="24699"/>
                    <a:stretch/>
                  </pic:blipFill>
                  <pic:spPr bwMode="auto">
                    <a:xfrm>
                      <a:off x="0" y="0"/>
                      <a:ext cx="3600953" cy="1190791"/>
                    </a:xfrm>
                    <a:prstGeom prst="rect">
                      <a:avLst/>
                    </a:prstGeom>
                    <a:ln>
                      <a:noFill/>
                    </a:ln>
                    <a:extLst>
                      <a:ext uri="{53640926-AAD7-44D8-BBD7-CCE9431645EC}">
                        <a14:shadowObscured xmlns:a14="http://schemas.microsoft.com/office/drawing/2010/main"/>
                      </a:ext>
                    </a:extLst>
                  </pic:spPr>
                </pic:pic>
              </a:graphicData>
            </a:graphic>
          </wp:inline>
        </w:drawing>
      </w:r>
    </w:p>
    <w:p w14:paraId="7C886920" w14:textId="22A99FDB" w:rsidR="00007F6C" w:rsidRDefault="00007F6C" w:rsidP="00007F6C">
      <w:pPr>
        <w:pStyle w:val="Caption"/>
      </w:pPr>
      <w:bookmarkStart w:id="471" w:name="_Ref48049531"/>
      <w:bookmarkStart w:id="472" w:name="_Toc69115028"/>
      <w:r>
        <w:t>Figure 5.</w:t>
      </w:r>
      <w:r w:rsidR="00B51F53">
        <w:fldChar w:fldCharType="begin"/>
      </w:r>
      <w:r w:rsidR="00B51F53">
        <w:instrText xml:space="preserve"> SEQ Figure \* ARABIC </w:instrText>
      </w:r>
      <w:r w:rsidR="00B51F53">
        <w:fldChar w:fldCharType="separate"/>
      </w:r>
      <w:r w:rsidR="00903E7F">
        <w:rPr>
          <w:noProof/>
        </w:rPr>
        <w:t>13</w:t>
      </w:r>
      <w:r w:rsidR="00B51F53">
        <w:rPr>
          <w:noProof/>
        </w:rPr>
        <w:fldChar w:fldCharType="end"/>
      </w:r>
      <w:bookmarkEnd w:id="471"/>
      <w:r>
        <w:t>: Equivalent circuit used to model the electrochemical process present in the Ni-YSZ electrode coated in gold current collector (Diagram made in XM Studio).</w:t>
      </w:r>
      <w:bookmarkEnd w:id="472"/>
    </w:p>
    <w:p w14:paraId="1835E2AB" w14:textId="2D2804FA" w:rsidR="00007F6C" w:rsidRPr="00EC72DA" w:rsidRDefault="00007F6C" w:rsidP="00007F6C">
      <w:pPr>
        <w:jc w:val="both"/>
      </w:pPr>
      <w:r w:rsidRPr="00EC72DA">
        <w:t xml:space="preserve">As discussed earlier both gold coated samples produced Nyquist plots with two distinct impedance arcs. The second of which occurred at a low frequency range 0.1-10 Hz, a product of gas diffusion impedance.  The selection and use of the two CPE components in </w:t>
      </w:r>
      <w:r w:rsidRPr="00EC72DA">
        <w:fldChar w:fldCharType="begin"/>
      </w:r>
      <w:r w:rsidRPr="00EC72DA">
        <w:instrText xml:space="preserve"> REF _Ref48049531 \h  \* MERGEFORMAT </w:instrText>
      </w:r>
      <w:r w:rsidRPr="00EC72DA">
        <w:fldChar w:fldCharType="separate"/>
      </w:r>
      <w:r w:rsidR="00903E7F">
        <w:t xml:space="preserve">Figure </w:t>
      </w:r>
      <w:r w:rsidR="00903E7F">
        <w:rPr>
          <w:noProof/>
        </w:rPr>
        <w:t>5.13</w:t>
      </w:r>
      <w:r w:rsidRPr="00EC72DA">
        <w:fldChar w:fldCharType="end"/>
      </w:r>
      <w:r w:rsidRPr="00EC72DA">
        <w:t xml:space="preserve"> were used to mimic two electrode contributions to the resistance:</w:t>
      </w:r>
    </w:p>
    <w:p w14:paraId="66457F47" w14:textId="77777777" w:rsidR="00007F6C" w:rsidRPr="00EC72DA" w:rsidRDefault="00007F6C" w:rsidP="00007F6C">
      <w:pPr>
        <w:pStyle w:val="ListParagraph"/>
        <w:numPr>
          <w:ilvl w:val="0"/>
          <w:numId w:val="32"/>
        </w:numPr>
        <w:jc w:val="both"/>
      </w:pPr>
      <w:r w:rsidRPr="00EC72DA">
        <w:t>Charge transfer resistance at the anode functional layer between the Ni-YSZ and gas phase TPB</w:t>
      </w:r>
    </w:p>
    <w:p w14:paraId="1330B9BC" w14:textId="24FC7908" w:rsidR="00007F6C" w:rsidRPr="00EC72DA" w:rsidRDefault="00007F6C" w:rsidP="00007F6C">
      <w:pPr>
        <w:pStyle w:val="ListParagraph"/>
        <w:numPr>
          <w:ilvl w:val="0"/>
          <w:numId w:val="32"/>
        </w:numPr>
        <w:jc w:val="both"/>
      </w:pPr>
      <w:r w:rsidRPr="00EC72DA">
        <w:t xml:space="preserve">The gas diffusion loss in the anode functional layer via the formation of water </w:t>
      </w:r>
      <w:r w:rsidRPr="00EC72DA">
        <w:fldChar w:fldCharType="begin" w:fldLock="1"/>
      </w:r>
      <w:r w:rsidR="00151775">
        <w:instrText>ADDIN CSL_CITATION {"citationItems":[{"id":"ITEM-1","itemData":{"DOI":"10.1021/acs.jpcc.5b10878","ISSN":"19327455","abstract":"A model of Ni-yttria stabilized zirconia (YSZ)-gas triple phase boundary (TPB) is built to simulate the oxygen transfer and hydrogen oxidation processes in solid oxide fuel cell anodes by using density functional theory. The highest barrier in the anodic processes is found in the step of oxygen transfer from the YSZ surface to the TPB site, where the oxygen is connected with nickel and yttrium/zirconium atoms. Three TPB sites and associated reaction paths, near Y or Zr atoms, and one nickel site on the Ni terrace are compared for the hydrogen oxidation reaction. Depending on the local structures of TPB sites, the reaction barrier of the (O + H)</w:instrText>
      </w:r>
      <w:r w:rsidR="00151775">
        <w:rPr>
          <w:rFonts w:ascii="Cambria Math" w:hAnsi="Cambria Math" w:cs="Cambria Math"/>
        </w:rPr>
        <w:instrText>∗</w:instrText>
      </w:r>
      <w:r w:rsidR="00151775">
        <w:instrText xml:space="preserve"> </w:instrText>
      </w:r>
      <w:r w:rsidR="00151775">
        <w:rPr>
          <w:rFonts w:ascii="Calibri" w:hAnsi="Calibri" w:cs="Calibri"/>
        </w:rPr>
        <w:instrText>→</w:instrText>
      </w:r>
      <w:r w:rsidR="00151775">
        <w:instrText xml:space="preserve"> OH</w:instrText>
      </w:r>
      <w:r w:rsidR="00151775">
        <w:rPr>
          <w:rFonts w:ascii="Cambria Math" w:hAnsi="Cambria Math" w:cs="Cambria Math"/>
        </w:rPr>
        <w:instrText>∗</w:instrText>
      </w:r>
      <w:r w:rsidR="00151775">
        <w:instrText xml:space="preserve"> reaction varies from 0.46 to 0.57 eV, and the reaction barrier of (OH + H)</w:instrText>
      </w:r>
      <w:r w:rsidR="00151775">
        <w:rPr>
          <w:rFonts w:ascii="Cambria Math" w:hAnsi="Cambria Math" w:cs="Cambria Math"/>
        </w:rPr>
        <w:instrText>∗</w:instrText>
      </w:r>
      <w:r w:rsidR="00151775">
        <w:instrText xml:space="preserve"> </w:instrText>
      </w:r>
      <w:r w:rsidR="00151775">
        <w:rPr>
          <w:rFonts w:ascii="Calibri" w:hAnsi="Calibri" w:cs="Calibri"/>
        </w:rPr>
        <w:instrText>→</w:instrText>
      </w:r>
      <w:r w:rsidR="00151775">
        <w:instrText xml:space="preserve"> H2O</w:instrText>
      </w:r>
      <w:r w:rsidR="00151775">
        <w:rPr>
          <w:rFonts w:ascii="Cambria Math" w:hAnsi="Cambria Math" w:cs="Cambria Math"/>
        </w:rPr>
        <w:instrText>∗</w:instrText>
      </w:r>
      <w:r w:rsidR="00151775">
        <w:instrText xml:space="preserve"> varies from 0.83 to 1.05 eV. When O or OH is on the Ni site, which is only 3 </w:instrText>
      </w:r>
      <w:r w:rsidR="00151775">
        <w:rPr>
          <w:rFonts w:ascii="Calibri" w:hAnsi="Calibri" w:cs="Calibri"/>
        </w:rPr>
        <w:instrText>Å</w:instrText>
      </w:r>
      <w:r w:rsidR="00151775">
        <w:instrText xml:space="preserve"> from the Y at TPB site, the reaction barriers of the above reactions are 1.15 and 1.02 eV, respectively.","author":[{"dropping-particle":"","family":"Liu","given":"Shixue","non-dropping-particle":"","parse-names":false,"suffix":""},{"dropping-particle":"","family":"Ishimoto","given":"Takayoshi","non-dropping-particle":"","parse-names":false,"suffix":""},{"dropping-particle":"","family":"Monder","given":"Dayadeep S.","non-dropping-particle":"","parse-names":false,"suffix":""},{"dropping-particle":"","family":"Koyama","given":"Michihisa","non-dropping-particle":"","parse-names":false,"suffix":""}],"container-title":"Journal of Physical Chemistry C","id":"ITEM-1","issue":"49","issued":{"date-parts":[["2015"]]},"page":"27603-27608","title":"First-Principles Study of Oxygen Transfer and Hydrogen Oxidation Processes at the Ni-YSZ-Gas Triple Phase Boundaries in a Solid Oxide Fuel Cell Anode","type":"article-journal","volume":"119"},"uris":["http://www.mendeley.com/documents/?uuid=9c77b0ed-ede9-4678-94f8-239d4fe58b37"]},{"id":"ITEM-2","itemData":{"DOI":"10.3390/ma9110906","ISSN":"19961944","abstract":"The solid oxide cell is a basis for highly efficient and reversible electrochemical energy conversion. A single cell based on a planar electrolyte substrate as support (ESC) is often utilized for SOFC/SOEC stack manufacturing and fulfills necessary requirements for application in small, medium and large scale fuel cell and electrolysis systems. Thickness of the electrolyte substrate, and its ionic conductivity limits the power density of the ESC. To improve the performance of this cell type in SOFC/SOEC mode, alternative fuel electrodes, on the basis of Ni/CGO as well as electrolytes with reduced thickness, have been applied. Furthermore, different interlayers on the air side have been tested to avoid the electrode delamination and to reduce the cell degradation in electrolysis mode. Finally, the influence of the contacting layer on cell performance, especially for cells with an ultrathin electrolyte and thin electrode layers, has been investigated. It has been found that Ni/CGO outperform traditional Ni/8YSZ electrodes and the introduction of a ScSZ interlayer substantially reduces the degradation rate of ESC in electrolysis mode. Furthermore, it was demonstrated that, for thin electrodes, the application of contacting layers with good conductivity and adhesion to current collectors improves performance significantly.","author":[{"dropping-particle":"","family":"Kusnezoff","given":"Mihails","non-dropping-particle":"","parse-names":false,"suffix":""},{"dropping-particle":"","family":"Trofimenko","given":"Nikolai","non-dropping-particle":"","parse-names":false,"suffix":""},{"dropping-particle":"","family":"Müller","given":"Martin","non-dropping-particle":"","parse-names":false,"suffix":""},{"dropping-particle":"","family":"Michaelis","given":"Alexander","non-dropping-particle":"","parse-names":false,"suffix":""}],"container-title":"Materials","id":"ITEM-2","issue":"11","issued":{"date-parts":[["2016"]]},"title":"Influence of electrode design and contacting layers on performance of electrolyte supported SOFC/SOEC single cells","type":"article-journal","volume":"9"},"uris":["http://www.mendeley.com/documents/?uuid=ad42abe0-2649-43e6-8dc9-ed93bce03677"]}],"mendeley":{"formattedCitation":"[427], [459]","plainTextFormattedCitation":"[427], [459]","previouslyFormattedCitation":"[427], [459]"},"properties":{"noteIndex":0},"schema":"https://github.com/citation-style-language/schema/raw/master/csl-citation.json"}</w:instrText>
      </w:r>
      <w:r w:rsidRPr="00EC72DA">
        <w:fldChar w:fldCharType="separate"/>
      </w:r>
      <w:r w:rsidR="008B6E91" w:rsidRPr="008B6E91">
        <w:rPr>
          <w:noProof/>
        </w:rPr>
        <w:t>[427], [459]</w:t>
      </w:r>
      <w:r w:rsidRPr="00EC72DA">
        <w:fldChar w:fldCharType="end"/>
      </w:r>
    </w:p>
    <w:p w14:paraId="4F522D33" w14:textId="4F507360" w:rsidR="00007F6C" w:rsidRPr="00EC72DA" w:rsidRDefault="00007F6C" w:rsidP="00007F6C">
      <w:pPr>
        <w:jc w:val="both"/>
      </w:pPr>
      <w:r w:rsidRPr="00EC72DA">
        <w:t>The error in the EC fitting for the R</w:t>
      </w:r>
      <w:r w:rsidRPr="00EC72DA">
        <w:rPr>
          <w:vertAlign w:val="subscript"/>
        </w:rPr>
        <w:t>P</w:t>
      </w:r>
      <w:r w:rsidRPr="00EC72DA">
        <w:t xml:space="preserve"> initially exceeded 8 %, this was due to the gas diffusion mechanism not being immediately present in the EIS spectra during the first measurement. As a result of the increased tortuosity of the porous electrode (via its 35 </w:t>
      </w:r>
      <w:r w:rsidRPr="00EC72DA">
        <w:rPr>
          <w:rFonts w:cstheme="minorHAnsi"/>
        </w:rPr>
        <w:t>µ</w:t>
      </w:r>
      <w:r w:rsidRPr="00EC72DA">
        <w:t xml:space="preserve">m thickness) and non-ideal diffusion behaviour meant that a CPE element had to be used to model the system </w:t>
      </w:r>
      <w:r w:rsidRPr="00EC72DA">
        <w:fldChar w:fldCharType="begin" w:fldLock="1"/>
      </w:r>
      <w:r w:rsidR="00151775">
        <w:instrText>ADDIN CSL_CITATION {"citationItems":[{"id":"ITEM-1","itemData":{"abstract":"نتم","author":[{"dropping-particle":"","family":"Gewies","given":"Stefan","non-dropping-particle":"","parse-names":false,"suffix":""}],"id":"ITEM-1","issued":{"date-parts":[["2009"]]},"number-of-pages":"78","publisher":"Heidelberg University","title":"Modellgestutzte Interpretation der ¨ elektrochemischen Charakteristik von Festoxid-Brennstoffzellen mit Ni/YSZ-Cermetanoden","type":"thesis"},"uris":["http://www.mendeley.com/documents/?uuid=d02fd637-f54e-48c8-9661-bab686724d12"]},{"id":"ITEM-2","itemData":{"ISBN":"87-550-2605-2","author":[{"dropping-particle":"","family":"Primdahl","given":"Søren","non-dropping-particle":"","parse-names":false,"suffix":""}],"container-title":"Faculty of Chemical Technology","id":"ITEM-2","issued":{"date-parts":[["1999"]]},"number-of-pages":"203","publisher":"University of Twente","title":"Nickel/yttria-stabilised zirconia cermet anodes for solid oxide fuel cells","type":"thesis","volume":"PhD"},"uris":["http://www.mendeley.com/documents/?uuid=dc0910a8-ad0c-4b34-9332-b0a333e260f7"]},{"id":"ITEM-3","itemData":{"DOI":"http://dx.doi.org/10.1016/S0167-2738(99)00299-4","ISSN":"0167-2738","abstract":"The electrochemical performance of a porous nickel electrode with its surface modified by deposition with fine yttria-stabilised zirconia (YSZ) powder is compared with that of the ‘bare’ electrode. Image analysis of the electrode microstructure yields values for the triple phase boundary (TPB) length in the range of 45–61 m cm−2. The nickel coverage is in the range of 55–72%. The hydrogen oxidation reaction studied on the two types of electrodes indicates that the electrode reaction is dominated by one process, suggesting a common rate-determining step. The total electrode conductivity increases with increasing TPB length. However, at similar TPB length the electrode conductivity of the modified porous nickel electrode is considerably higher than that of the bare nickel electrode. This result indicates that the presence of fine YSZ particles on the nickel electrode surface creates additional active sites onto which the electrode reaction can proceed. The data of this study are interpreted to reflect an active role for YSZ in the Ni/YSZ SOFC cermet anode.","author":[{"dropping-particle":"","family":"Boer","given":"B","non-dropping-particle":"de","parse-names":false,"suffix":""},{"dropping-particle":"","family":"Gonzalez","given":"M","non-dropping-particle":"","parse-names":false,"suffix":""},{"dropping-particle":"","family":"Bouwmeester","given":"H J M","non-dropping-particle":"","parse-names":false,"suffix":""},{"dropping-particle":"","family":"Verweij","given":"H","non-dropping-particle":"","parse-names":false,"suffix":""}],"container-title":"Solid State Ionics","id":"ITEM-3","issue":"3–4","issued":{"date-parts":[["2000","1","2"]]},"page":"269-276","title":"The effect of the presence of fine YSZ particles on the performance of porous nickel electrodes","type":"article-journal","volume":"127"},"uris":["http://www.mendeley.com/documents/?uuid=16f3745f-b92b-405c-ba9b-eaad729491bf"]}],"mendeley":{"formattedCitation":"[405], [425], [460]","plainTextFormattedCitation":"[405], [425], [460]","previouslyFormattedCitation":"[405], [425], [460]"},"properties":{"noteIndex":0},"schema":"https://github.com/citation-style-language/schema/raw/master/csl-citation.json"}</w:instrText>
      </w:r>
      <w:r w:rsidRPr="00EC72DA">
        <w:fldChar w:fldCharType="separate"/>
      </w:r>
      <w:r w:rsidR="008B6E91" w:rsidRPr="008B6E91">
        <w:rPr>
          <w:noProof/>
        </w:rPr>
        <w:t>[405], [425], [460]</w:t>
      </w:r>
      <w:r w:rsidRPr="00EC72DA">
        <w:fldChar w:fldCharType="end"/>
      </w:r>
      <w:r w:rsidRPr="00EC72DA">
        <w:fldChar w:fldCharType="begin" w:fldLock="1"/>
      </w:r>
      <w:r w:rsidR="00151775">
        <w:instrText>ADDIN CSL_CITATION {"citationItems":[{"id":"ITEM-1","itemData":{"DOI":"10.1016/j.electacta.2017.07.152","ISSN":"00134686","abstract":"This paper describes the use of a frequency domain, finite-difference scheme to simulate the impedance spectra of diffusion in porous microstructures. Both open and closed systems are investigated for a range of ideal geometries, as well as some randomly generated synthetic volumes and tomographically derived microstructural data. In many cases, the spectra deviate significantly from the conventional Warburg-type elements typically used to represent diffusion in equivalent circuit analysis. A key finding is that certain microstructures show multiple peaks in the complex plane, which may be misinterpreted as separate electrochemical processes in real impedance data. This is relevant to battery electrode design as the techniques for nano-scale fabrication become more widespread. This simulation tool is provided as an open-source MatLab application and is freely available online as part of the TauFactor platform.","author":[{"dropping-particle":"","family":"Cooper","given":"Samuel J.","non-dropping-particle":"","parse-names":false,"suffix":""},{"dropping-particle":"","family":"Bertei","given":"Antonio","non-dropping-particle":"","parse-names":false,"suffix":""},{"dropping-particle":"","family":"Finegan","given":"Donal P.","non-dropping-particle":"","parse-names":false,"suffix":""},{"dropping-particle":"","family":"Brandon","given":"Nigel P.","non-dropping-particle":"","parse-names":false,"suffix":""}],"container-title":"Electrochimica Acta","id":"ITEM-1","issued":{"date-parts":[["2017"]]},"title":"Simulated impedance of diffusion in porous media","type":"article-journal","volume":"251"},"uris":["http://www.mendeley.com/documents/?uuid=70110226-9375-3d72-b8db-4e40e6f2f7dd"]}],"mendeley":{"formattedCitation":"[461]","plainTextFormattedCitation":"[461]","previouslyFormattedCitation":"[461]"},"properties":{"noteIndex":0},"schema":"https://github.com/citation-style-language/schema/raw/master/csl-citation.json"}</w:instrText>
      </w:r>
      <w:r w:rsidRPr="00EC72DA">
        <w:fldChar w:fldCharType="separate"/>
      </w:r>
      <w:r w:rsidR="008B6E91" w:rsidRPr="008B6E91">
        <w:rPr>
          <w:noProof/>
        </w:rPr>
        <w:t>[461]</w:t>
      </w:r>
      <w:r w:rsidRPr="00EC72DA">
        <w:fldChar w:fldCharType="end"/>
      </w:r>
      <w:r w:rsidRPr="00EC72DA">
        <w:t>.</w:t>
      </w:r>
    </w:p>
    <w:p w14:paraId="1E9CD772" w14:textId="4EDE13FD" w:rsidR="00007F6C" w:rsidRPr="00EC72DA" w:rsidRDefault="00007F6C" w:rsidP="00007F6C">
      <w:pPr>
        <w:jc w:val="both"/>
      </w:pPr>
      <w:r w:rsidRPr="00EC72DA">
        <w:t>After 5</w:t>
      </w:r>
      <w:proofErr w:type="gramStart"/>
      <w:r w:rsidRPr="00EC72DA">
        <w:t>h  of</w:t>
      </w:r>
      <w:proofErr w:type="gramEnd"/>
      <w:r w:rsidRPr="00EC72DA">
        <w:t xml:space="preserve"> ageing the current collector began to break down and the second mechanism produced low frequency impedance arc (</w:t>
      </w:r>
      <w:r w:rsidRPr="00EC72DA">
        <w:fldChar w:fldCharType="begin"/>
      </w:r>
      <w:r w:rsidRPr="00EC72DA">
        <w:instrText xml:space="preserve"> REF _Ref48119872 \h  \* MERGEFORMAT </w:instrText>
      </w:r>
      <w:r w:rsidRPr="00EC72DA">
        <w:fldChar w:fldCharType="separate"/>
      </w:r>
      <w:r w:rsidR="00903E7F">
        <w:t xml:space="preserve">Figure </w:t>
      </w:r>
      <w:r w:rsidR="00903E7F">
        <w:rPr>
          <w:noProof/>
        </w:rPr>
        <w:t>5.14</w:t>
      </w:r>
      <w:r w:rsidRPr="00EC72DA">
        <w:fldChar w:fldCharType="end"/>
      </w:r>
      <w:r w:rsidRPr="00EC72DA">
        <w:t xml:space="preserve"> and </w:t>
      </w:r>
      <w:r w:rsidRPr="00EC72DA">
        <w:fldChar w:fldCharType="begin"/>
      </w:r>
      <w:r w:rsidRPr="00EC72DA">
        <w:instrText xml:space="preserve"> REF _Ref48119877 \h  \* MERGEFORMAT </w:instrText>
      </w:r>
      <w:r w:rsidRPr="00EC72DA">
        <w:fldChar w:fldCharType="separate"/>
      </w:r>
      <w:r w:rsidR="00903E7F">
        <w:t>Figure 5.15</w:t>
      </w:r>
      <w:r w:rsidRPr="00EC72DA">
        <w:fldChar w:fldCharType="end"/>
      </w:r>
      <w:r w:rsidRPr="00EC72DA">
        <w:t xml:space="preserve">). The percentage error of the EC circuit for the Au2 sample was consistently lower than 1 %. </w:t>
      </w:r>
    </w:p>
    <w:p w14:paraId="0201E2B2" w14:textId="72120685" w:rsidR="00007F6C" w:rsidRDefault="00007F6C" w:rsidP="00007F6C">
      <w:pPr>
        <w:pStyle w:val="Caption"/>
        <w:keepNext/>
      </w:pPr>
      <w:r>
        <w:t>Table 5.</w:t>
      </w:r>
      <w:r w:rsidR="00B51F53">
        <w:fldChar w:fldCharType="begin"/>
      </w:r>
      <w:r w:rsidR="00B51F53">
        <w:instrText xml:space="preserve"> SEQ Table \* ARABIC </w:instrText>
      </w:r>
      <w:r w:rsidR="00B51F53">
        <w:fldChar w:fldCharType="separate"/>
      </w:r>
      <w:r w:rsidR="00903E7F">
        <w:rPr>
          <w:noProof/>
        </w:rPr>
        <w:t>5</w:t>
      </w:r>
      <w:r w:rsidR="00B51F53">
        <w:rPr>
          <w:noProof/>
        </w:rPr>
        <w:fldChar w:fldCharType="end"/>
      </w:r>
      <w:r>
        <w:t>: Table detailing the Rs and Rp of Au1 N-YSZ sample using equivalent circuit and circle fitting using XM Studio ECS</w:t>
      </w:r>
    </w:p>
    <w:tbl>
      <w:tblPr>
        <w:tblStyle w:val="TableGrid"/>
        <w:tblW w:w="0" w:type="auto"/>
        <w:jc w:val="center"/>
        <w:tblLook w:val="04A0" w:firstRow="1" w:lastRow="0" w:firstColumn="1" w:lastColumn="0" w:noHBand="0" w:noVBand="1"/>
      </w:tblPr>
      <w:tblGrid>
        <w:gridCol w:w="1325"/>
        <w:gridCol w:w="1593"/>
        <w:gridCol w:w="1067"/>
        <w:gridCol w:w="938"/>
        <w:gridCol w:w="837"/>
        <w:gridCol w:w="1097"/>
        <w:gridCol w:w="968"/>
        <w:gridCol w:w="837"/>
      </w:tblGrid>
      <w:tr w:rsidR="00007F6C" w:rsidRPr="00DE4BA4" w14:paraId="2197F305" w14:textId="77777777" w:rsidTr="005E2F1E">
        <w:trPr>
          <w:jc w:val="center"/>
        </w:trPr>
        <w:tc>
          <w:tcPr>
            <w:tcW w:w="0" w:type="auto"/>
          </w:tcPr>
          <w:p w14:paraId="1D627592" w14:textId="77777777" w:rsidR="00007F6C" w:rsidRPr="00DE4BA4" w:rsidRDefault="00007F6C" w:rsidP="005E2F1E">
            <w:pPr>
              <w:jc w:val="both"/>
              <w:rPr>
                <w:b/>
                <w:bCs/>
              </w:rPr>
            </w:pPr>
            <w:r w:rsidRPr="00DE4BA4">
              <w:rPr>
                <w:b/>
                <w:bCs/>
              </w:rPr>
              <w:t>Sample</w:t>
            </w:r>
          </w:p>
        </w:tc>
        <w:tc>
          <w:tcPr>
            <w:tcW w:w="0" w:type="auto"/>
          </w:tcPr>
          <w:p w14:paraId="654530A4" w14:textId="77777777" w:rsidR="00007F6C" w:rsidRPr="00DE4BA4" w:rsidRDefault="00007F6C" w:rsidP="005E2F1E">
            <w:pPr>
              <w:jc w:val="both"/>
              <w:rPr>
                <w:b/>
                <w:bCs/>
              </w:rPr>
            </w:pPr>
            <w:r w:rsidRPr="00DE4BA4">
              <w:rPr>
                <w:b/>
                <w:bCs/>
              </w:rPr>
              <w:t xml:space="preserve">Fitting Type </w:t>
            </w:r>
          </w:p>
        </w:tc>
        <w:tc>
          <w:tcPr>
            <w:tcW w:w="0" w:type="auto"/>
          </w:tcPr>
          <w:p w14:paraId="2A67E2D0" w14:textId="77777777" w:rsidR="00007F6C" w:rsidRPr="00DE4BA4" w:rsidRDefault="00007F6C" w:rsidP="005E2F1E">
            <w:pPr>
              <w:jc w:val="both"/>
              <w:rPr>
                <w:b/>
                <w:bCs/>
              </w:rPr>
            </w:pPr>
            <w:r w:rsidRPr="00DE4BA4">
              <w:rPr>
                <w:b/>
                <w:bCs/>
              </w:rPr>
              <w:t>Rs [Ohm]</w:t>
            </w:r>
          </w:p>
        </w:tc>
        <w:tc>
          <w:tcPr>
            <w:tcW w:w="0" w:type="auto"/>
          </w:tcPr>
          <w:p w14:paraId="6E751A3B" w14:textId="77777777" w:rsidR="00007F6C" w:rsidRPr="00DE4BA4" w:rsidRDefault="00007F6C" w:rsidP="005E2F1E">
            <w:pPr>
              <w:jc w:val="both"/>
              <w:rPr>
                <w:b/>
                <w:bCs/>
              </w:rPr>
            </w:pPr>
            <w:r w:rsidRPr="00DE4BA4">
              <w:rPr>
                <w:b/>
                <w:bCs/>
              </w:rPr>
              <w:t>Rs Error</w:t>
            </w:r>
          </w:p>
        </w:tc>
        <w:tc>
          <w:tcPr>
            <w:tcW w:w="0" w:type="auto"/>
          </w:tcPr>
          <w:p w14:paraId="1D7C2D04" w14:textId="77777777" w:rsidR="00007F6C" w:rsidRPr="00DE4BA4" w:rsidRDefault="00007F6C" w:rsidP="005E2F1E">
            <w:pPr>
              <w:jc w:val="both"/>
              <w:rPr>
                <w:b/>
                <w:bCs/>
              </w:rPr>
            </w:pPr>
            <w:r w:rsidRPr="00DE4BA4">
              <w:rPr>
                <w:b/>
                <w:bCs/>
              </w:rPr>
              <w:t>Error%</w:t>
            </w:r>
          </w:p>
        </w:tc>
        <w:tc>
          <w:tcPr>
            <w:tcW w:w="0" w:type="auto"/>
          </w:tcPr>
          <w:p w14:paraId="3FD7B55D" w14:textId="77777777" w:rsidR="00007F6C" w:rsidRPr="00DE4BA4" w:rsidRDefault="00007F6C" w:rsidP="005E2F1E">
            <w:pPr>
              <w:jc w:val="both"/>
              <w:rPr>
                <w:b/>
                <w:bCs/>
              </w:rPr>
            </w:pPr>
            <w:r w:rsidRPr="00DE4BA4">
              <w:rPr>
                <w:b/>
                <w:bCs/>
              </w:rPr>
              <w:t>Rp [Ohm]</w:t>
            </w:r>
          </w:p>
        </w:tc>
        <w:tc>
          <w:tcPr>
            <w:tcW w:w="0" w:type="auto"/>
          </w:tcPr>
          <w:p w14:paraId="5155927E" w14:textId="77777777" w:rsidR="00007F6C" w:rsidRPr="00DE4BA4" w:rsidRDefault="00007F6C" w:rsidP="005E2F1E">
            <w:pPr>
              <w:jc w:val="both"/>
              <w:rPr>
                <w:b/>
                <w:bCs/>
              </w:rPr>
            </w:pPr>
            <w:r w:rsidRPr="00DE4BA4">
              <w:rPr>
                <w:b/>
                <w:bCs/>
              </w:rPr>
              <w:t>Rp Error</w:t>
            </w:r>
          </w:p>
        </w:tc>
        <w:tc>
          <w:tcPr>
            <w:tcW w:w="0" w:type="auto"/>
          </w:tcPr>
          <w:p w14:paraId="5AE1C037" w14:textId="77777777" w:rsidR="00007F6C" w:rsidRPr="00DE4BA4" w:rsidRDefault="00007F6C" w:rsidP="005E2F1E">
            <w:pPr>
              <w:jc w:val="both"/>
              <w:rPr>
                <w:b/>
                <w:bCs/>
              </w:rPr>
            </w:pPr>
            <w:r w:rsidRPr="00DE4BA4">
              <w:rPr>
                <w:b/>
                <w:bCs/>
              </w:rPr>
              <w:t>Error%</w:t>
            </w:r>
          </w:p>
        </w:tc>
      </w:tr>
      <w:tr w:rsidR="00007F6C" w:rsidRPr="00DE4BA4" w14:paraId="1E726217" w14:textId="77777777" w:rsidTr="005E2F1E">
        <w:trPr>
          <w:trHeight w:val="465"/>
          <w:jc w:val="center"/>
        </w:trPr>
        <w:tc>
          <w:tcPr>
            <w:tcW w:w="0" w:type="auto"/>
          </w:tcPr>
          <w:p w14:paraId="5D52D604" w14:textId="77777777" w:rsidR="00007F6C" w:rsidRPr="00DE4BA4" w:rsidRDefault="00007F6C" w:rsidP="005E2F1E">
            <w:pPr>
              <w:jc w:val="both"/>
            </w:pPr>
            <w:r w:rsidRPr="00DE4BA4">
              <w:t>Ni-YSZ (Au1)</w:t>
            </w:r>
          </w:p>
        </w:tc>
        <w:tc>
          <w:tcPr>
            <w:tcW w:w="0" w:type="auto"/>
          </w:tcPr>
          <w:p w14:paraId="4DE93111" w14:textId="77777777" w:rsidR="00007F6C" w:rsidRPr="00DE4BA4" w:rsidRDefault="00007F6C" w:rsidP="005E2F1E">
            <w:pPr>
              <w:jc w:val="both"/>
            </w:pPr>
            <w:r w:rsidRPr="00DE4BA4">
              <w:t>Circle</w:t>
            </w:r>
          </w:p>
        </w:tc>
        <w:tc>
          <w:tcPr>
            <w:tcW w:w="0" w:type="auto"/>
            <w:gridSpan w:val="6"/>
          </w:tcPr>
          <w:p w14:paraId="060C3C4F" w14:textId="77777777" w:rsidR="00007F6C" w:rsidRPr="00DE4BA4" w:rsidRDefault="00007F6C" w:rsidP="005E2F1E">
            <w:pPr>
              <w:jc w:val="both"/>
            </w:pPr>
            <w:r>
              <w:t>N/A</w:t>
            </w:r>
          </w:p>
        </w:tc>
      </w:tr>
      <w:tr w:rsidR="00007F6C" w:rsidRPr="00DE4BA4" w14:paraId="2756C87E" w14:textId="77777777" w:rsidTr="005E2F1E">
        <w:trPr>
          <w:jc w:val="center"/>
        </w:trPr>
        <w:tc>
          <w:tcPr>
            <w:tcW w:w="0" w:type="auto"/>
          </w:tcPr>
          <w:p w14:paraId="2529D975" w14:textId="77777777" w:rsidR="00007F6C" w:rsidRPr="00DE4BA4" w:rsidRDefault="00007F6C" w:rsidP="005E2F1E">
            <w:pPr>
              <w:ind w:left="720" w:hanging="720"/>
              <w:jc w:val="both"/>
            </w:pPr>
            <w:r w:rsidRPr="00DE4BA4">
              <w:t>0</w:t>
            </w:r>
          </w:p>
        </w:tc>
        <w:tc>
          <w:tcPr>
            <w:tcW w:w="0" w:type="auto"/>
          </w:tcPr>
          <w:p w14:paraId="518833D2" w14:textId="77777777" w:rsidR="00007F6C" w:rsidRPr="00DE4BA4" w:rsidRDefault="00007F6C" w:rsidP="005E2F1E">
            <w:pPr>
              <w:jc w:val="both"/>
            </w:pPr>
            <w:r w:rsidRPr="00DE4BA4">
              <w:t xml:space="preserve">EC Fit </w:t>
            </w:r>
          </w:p>
          <w:p w14:paraId="7138E2B7" w14:textId="77777777" w:rsidR="00007F6C" w:rsidRPr="00DE4BA4" w:rsidRDefault="00007F6C" w:rsidP="005E2F1E">
            <w:pPr>
              <w:jc w:val="both"/>
            </w:pPr>
            <w:r w:rsidRPr="00DE4BA4">
              <w:t>1R – 1RQ + 1RC</w:t>
            </w:r>
          </w:p>
        </w:tc>
        <w:tc>
          <w:tcPr>
            <w:tcW w:w="0" w:type="auto"/>
          </w:tcPr>
          <w:p w14:paraId="2E5E881C" w14:textId="77777777" w:rsidR="00007F6C" w:rsidRPr="00DE4BA4" w:rsidRDefault="00007F6C" w:rsidP="005E2F1E">
            <w:pPr>
              <w:jc w:val="both"/>
            </w:pPr>
            <w:r w:rsidRPr="00DE4BA4">
              <w:t>13.08</w:t>
            </w:r>
          </w:p>
        </w:tc>
        <w:tc>
          <w:tcPr>
            <w:tcW w:w="0" w:type="auto"/>
          </w:tcPr>
          <w:p w14:paraId="7B9856EF" w14:textId="77777777" w:rsidR="00007F6C" w:rsidRPr="00DE4BA4" w:rsidRDefault="00007F6C" w:rsidP="005E2F1E">
            <w:pPr>
              <w:jc w:val="both"/>
            </w:pPr>
            <w:r w:rsidRPr="00DE4BA4">
              <w:t>0.33</w:t>
            </w:r>
          </w:p>
        </w:tc>
        <w:tc>
          <w:tcPr>
            <w:tcW w:w="0" w:type="auto"/>
          </w:tcPr>
          <w:p w14:paraId="1E4C1AF1" w14:textId="77777777" w:rsidR="00007F6C" w:rsidRPr="00DE4BA4" w:rsidRDefault="00007F6C" w:rsidP="005E2F1E">
            <w:pPr>
              <w:jc w:val="both"/>
            </w:pPr>
            <w:r w:rsidRPr="00DE4BA4">
              <w:t>11.60</w:t>
            </w:r>
          </w:p>
        </w:tc>
        <w:tc>
          <w:tcPr>
            <w:tcW w:w="0" w:type="auto"/>
          </w:tcPr>
          <w:p w14:paraId="68B25CCD" w14:textId="77777777" w:rsidR="00007F6C" w:rsidRPr="00DE4BA4" w:rsidRDefault="00007F6C" w:rsidP="005E2F1E">
            <w:pPr>
              <w:jc w:val="both"/>
            </w:pPr>
            <w:r w:rsidRPr="00DE4BA4">
              <w:t>132.3</w:t>
            </w:r>
            <w:r>
              <w:t>7</w:t>
            </w:r>
          </w:p>
        </w:tc>
        <w:tc>
          <w:tcPr>
            <w:tcW w:w="0" w:type="auto"/>
          </w:tcPr>
          <w:p w14:paraId="1D9F08BB" w14:textId="77777777" w:rsidR="00007F6C" w:rsidRPr="00DE4BA4" w:rsidRDefault="00007F6C" w:rsidP="005E2F1E">
            <w:pPr>
              <w:jc w:val="both"/>
            </w:pPr>
            <w:r w:rsidRPr="00DE4BA4">
              <w:t>10.</w:t>
            </w:r>
            <w:r>
              <w:t>90</w:t>
            </w:r>
          </w:p>
        </w:tc>
        <w:tc>
          <w:tcPr>
            <w:tcW w:w="0" w:type="auto"/>
          </w:tcPr>
          <w:p w14:paraId="791EA2C1" w14:textId="77777777" w:rsidR="00007F6C" w:rsidRPr="00DE4BA4" w:rsidRDefault="00007F6C" w:rsidP="005E2F1E">
            <w:pPr>
              <w:jc w:val="both"/>
            </w:pPr>
            <w:r w:rsidRPr="00DE4BA4">
              <w:t>8.23</w:t>
            </w:r>
          </w:p>
        </w:tc>
      </w:tr>
      <w:tr w:rsidR="00007F6C" w:rsidRPr="00DE4BA4" w14:paraId="7C065179" w14:textId="77777777" w:rsidTr="005E2F1E">
        <w:trPr>
          <w:jc w:val="center"/>
        </w:trPr>
        <w:tc>
          <w:tcPr>
            <w:tcW w:w="0" w:type="auto"/>
          </w:tcPr>
          <w:p w14:paraId="47563F59" w14:textId="77777777" w:rsidR="00007F6C" w:rsidRPr="00DE4BA4" w:rsidRDefault="00007F6C" w:rsidP="005E2F1E">
            <w:pPr>
              <w:ind w:left="720" w:hanging="720"/>
              <w:jc w:val="both"/>
            </w:pPr>
            <w:r w:rsidRPr="00DE4BA4">
              <w:t>5</w:t>
            </w:r>
          </w:p>
        </w:tc>
        <w:tc>
          <w:tcPr>
            <w:tcW w:w="0" w:type="auto"/>
          </w:tcPr>
          <w:p w14:paraId="52C90E4D" w14:textId="77777777" w:rsidR="00007F6C" w:rsidRPr="00DE4BA4" w:rsidRDefault="00007F6C" w:rsidP="005E2F1E">
            <w:pPr>
              <w:jc w:val="both"/>
            </w:pPr>
            <w:r w:rsidRPr="00DE4BA4">
              <w:t xml:space="preserve">EC Fit </w:t>
            </w:r>
          </w:p>
          <w:p w14:paraId="06367911" w14:textId="77777777" w:rsidR="00007F6C" w:rsidRPr="00DE4BA4" w:rsidRDefault="00007F6C" w:rsidP="005E2F1E">
            <w:pPr>
              <w:jc w:val="both"/>
            </w:pPr>
            <w:r w:rsidRPr="00DE4BA4">
              <w:t>1R – 2RQ</w:t>
            </w:r>
          </w:p>
        </w:tc>
        <w:tc>
          <w:tcPr>
            <w:tcW w:w="0" w:type="auto"/>
          </w:tcPr>
          <w:p w14:paraId="72CF3386" w14:textId="77777777" w:rsidR="00007F6C" w:rsidRPr="00DE4BA4" w:rsidRDefault="00007F6C" w:rsidP="005E2F1E">
            <w:pPr>
              <w:jc w:val="both"/>
            </w:pPr>
            <w:r w:rsidRPr="00DE4BA4">
              <w:t>20.2</w:t>
            </w:r>
          </w:p>
        </w:tc>
        <w:tc>
          <w:tcPr>
            <w:tcW w:w="0" w:type="auto"/>
          </w:tcPr>
          <w:p w14:paraId="11F89E48" w14:textId="77777777" w:rsidR="00007F6C" w:rsidRPr="00DE4BA4" w:rsidRDefault="00007F6C" w:rsidP="005E2F1E">
            <w:pPr>
              <w:jc w:val="both"/>
            </w:pPr>
            <w:r w:rsidRPr="00DE4BA4">
              <w:t>0.1</w:t>
            </w:r>
            <w:r>
              <w:t>8</w:t>
            </w:r>
          </w:p>
        </w:tc>
        <w:tc>
          <w:tcPr>
            <w:tcW w:w="0" w:type="auto"/>
          </w:tcPr>
          <w:p w14:paraId="09DCFAB7" w14:textId="77777777" w:rsidR="00007F6C" w:rsidRPr="00DE4BA4" w:rsidRDefault="00007F6C" w:rsidP="005E2F1E">
            <w:pPr>
              <w:jc w:val="both"/>
            </w:pPr>
            <w:r w:rsidRPr="00DE4BA4">
              <w:t>0.87</w:t>
            </w:r>
          </w:p>
        </w:tc>
        <w:tc>
          <w:tcPr>
            <w:tcW w:w="0" w:type="auto"/>
          </w:tcPr>
          <w:p w14:paraId="7D8AE7B0" w14:textId="77777777" w:rsidR="00007F6C" w:rsidRPr="00DE4BA4" w:rsidRDefault="00007F6C" w:rsidP="005E2F1E">
            <w:pPr>
              <w:jc w:val="both"/>
            </w:pPr>
            <w:r w:rsidRPr="00DE4BA4">
              <w:t>184.9</w:t>
            </w:r>
            <w:r>
              <w:t>7</w:t>
            </w:r>
          </w:p>
        </w:tc>
        <w:tc>
          <w:tcPr>
            <w:tcW w:w="0" w:type="auto"/>
          </w:tcPr>
          <w:p w14:paraId="54E74764" w14:textId="77777777" w:rsidR="00007F6C" w:rsidRPr="00DE4BA4" w:rsidRDefault="00007F6C" w:rsidP="005E2F1E">
            <w:pPr>
              <w:jc w:val="both"/>
            </w:pPr>
            <w:r w:rsidRPr="00DE4BA4">
              <w:t>1.2</w:t>
            </w:r>
            <w:r>
              <w:t>9</w:t>
            </w:r>
          </w:p>
        </w:tc>
        <w:tc>
          <w:tcPr>
            <w:tcW w:w="0" w:type="auto"/>
          </w:tcPr>
          <w:p w14:paraId="47AABC4B" w14:textId="77777777" w:rsidR="00007F6C" w:rsidRPr="00DE4BA4" w:rsidRDefault="00007F6C" w:rsidP="005E2F1E">
            <w:pPr>
              <w:jc w:val="both"/>
            </w:pPr>
            <w:r w:rsidRPr="00DE4BA4">
              <w:t>0.69</w:t>
            </w:r>
          </w:p>
        </w:tc>
      </w:tr>
      <w:tr w:rsidR="00007F6C" w:rsidRPr="00DE4BA4" w14:paraId="3F00451F" w14:textId="77777777" w:rsidTr="005E2F1E">
        <w:trPr>
          <w:jc w:val="center"/>
        </w:trPr>
        <w:tc>
          <w:tcPr>
            <w:tcW w:w="0" w:type="auto"/>
          </w:tcPr>
          <w:p w14:paraId="1970930F" w14:textId="77777777" w:rsidR="00007F6C" w:rsidRPr="00DE4BA4" w:rsidRDefault="00007F6C" w:rsidP="005E2F1E">
            <w:pPr>
              <w:ind w:left="720" w:hanging="720"/>
              <w:jc w:val="both"/>
            </w:pPr>
            <w:r w:rsidRPr="00DE4BA4">
              <w:t>10</w:t>
            </w:r>
          </w:p>
        </w:tc>
        <w:tc>
          <w:tcPr>
            <w:tcW w:w="0" w:type="auto"/>
          </w:tcPr>
          <w:p w14:paraId="0EC662EB" w14:textId="77777777" w:rsidR="00007F6C" w:rsidRPr="00DE4BA4" w:rsidRDefault="00007F6C" w:rsidP="005E2F1E">
            <w:pPr>
              <w:jc w:val="both"/>
            </w:pPr>
            <w:r w:rsidRPr="00DE4BA4">
              <w:t xml:space="preserve">EC Fit </w:t>
            </w:r>
          </w:p>
          <w:p w14:paraId="6BCD9B3F" w14:textId="77777777" w:rsidR="00007F6C" w:rsidRPr="00DE4BA4" w:rsidRDefault="00007F6C" w:rsidP="005E2F1E">
            <w:pPr>
              <w:jc w:val="both"/>
            </w:pPr>
            <w:r w:rsidRPr="00DE4BA4">
              <w:t>1R – 1RQ</w:t>
            </w:r>
          </w:p>
        </w:tc>
        <w:tc>
          <w:tcPr>
            <w:tcW w:w="0" w:type="auto"/>
          </w:tcPr>
          <w:p w14:paraId="49C9C3D6" w14:textId="77777777" w:rsidR="00007F6C" w:rsidRPr="00DE4BA4" w:rsidRDefault="00007F6C" w:rsidP="005E2F1E">
            <w:pPr>
              <w:jc w:val="both"/>
            </w:pPr>
            <w:r w:rsidRPr="00DE4BA4">
              <w:t>28.77</w:t>
            </w:r>
          </w:p>
        </w:tc>
        <w:tc>
          <w:tcPr>
            <w:tcW w:w="0" w:type="auto"/>
          </w:tcPr>
          <w:p w14:paraId="5C6ABDA2" w14:textId="77777777" w:rsidR="00007F6C" w:rsidRPr="00DE4BA4" w:rsidRDefault="00007F6C" w:rsidP="005E2F1E">
            <w:pPr>
              <w:jc w:val="both"/>
            </w:pPr>
            <w:r w:rsidRPr="00DE4BA4">
              <w:t>0.2</w:t>
            </w:r>
            <w:r>
              <w:t>1</w:t>
            </w:r>
          </w:p>
        </w:tc>
        <w:tc>
          <w:tcPr>
            <w:tcW w:w="0" w:type="auto"/>
          </w:tcPr>
          <w:p w14:paraId="05F9E857" w14:textId="77777777" w:rsidR="00007F6C" w:rsidRPr="00DE4BA4" w:rsidRDefault="00007F6C" w:rsidP="005E2F1E">
            <w:pPr>
              <w:jc w:val="both"/>
            </w:pPr>
            <w:r w:rsidRPr="00DE4BA4">
              <w:t>0.71</w:t>
            </w:r>
          </w:p>
        </w:tc>
        <w:tc>
          <w:tcPr>
            <w:tcW w:w="0" w:type="auto"/>
          </w:tcPr>
          <w:p w14:paraId="5F530814" w14:textId="77777777" w:rsidR="00007F6C" w:rsidRPr="00DE4BA4" w:rsidRDefault="00007F6C" w:rsidP="005E2F1E">
            <w:pPr>
              <w:jc w:val="both"/>
            </w:pPr>
            <w:r w:rsidRPr="00DE4BA4">
              <w:t>110.63</w:t>
            </w:r>
          </w:p>
        </w:tc>
        <w:tc>
          <w:tcPr>
            <w:tcW w:w="0" w:type="auto"/>
          </w:tcPr>
          <w:p w14:paraId="0F69C322" w14:textId="77777777" w:rsidR="00007F6C" w:rsidRPr="00DE4BA4" w:rsidRDefault="00007F6C" w:rsidP="005E2F1E">
            <w:pPr>
              <w:jc w:val="both"/>
            </w:pPr>
            <w:r w:rsidRPr="00DE4BA4">
              <w:t>0.41</w:t>
            </w:r>
          </w:p>
        </w:tc>
        <w:tc>
          <w:tcPr>
            <w:tcW w:w="0" w:type="auto"/>
          </w:tcPr>
          <w:p w14:paraId="676F96FD" w14:textId="77777777" w:rsidR="00007F6C" w:rsidRPr="00DE4BA4" w:rsidRDefault="00007F6C" w:rsidP="005E2F1E">
            <w:pPr>
              <w:jc w:val="both"/>
            </w:pPr>
            <w:r w:rsidRPr="00DE4BA4">
              <w:t>0.37</w:t>
            </w:r>
          </w:p>
        </w:tc>
      </w:tr>
      <w:tr w:rsidR="00007F6C" w:rsidRPr="00DE4BA4" w14:paraId="26D1DF1B" w14:textId="77777777" w:rsidTr="005E2F1E">
        <w:trPr>
          <w:jc w:val="center"/>
        </w:trPr>
        <w:tc>
          <w:tcPr>
            <w:tcW w:w="0" w:type="auto"/>
          </w:tcPr>
          <w:p w14:paraId="08688E9B" w14:textId="77777777" w:rsidR="00007F6C" w:rsidRPr="00DE4BA4" w:rsidRDefault="00007F6C" w:rsidP="005E2F1E">
            <w:pPr>
              <w:ind w:left="720" w:hanging="720"/>
              <w:jc w:val="both"/>
            </w:pPr>
            <w:r w:rsidRPr="00DE4BA4">
              <w:t>15</w:t>
            </w:r>
          </w:p>
        </w:tc>
        <w:tc>
          <w:tcPr>
            <w:tcW w:w="0" w:type="auto"/>
          </w:tcPr>
          <w:p w14:paraId="2E3389B5" w14:textId="77777777" w:rsidR="00007F6C" w:rsidRPr="00DE4BA4" w:rsidRDefault="00007F6C" w:rsidP="005E2F1E">
            <w:pPr>
              <w:jc w:val="both"/>
            </w:pPr>
            <w:r w:rsidRPr="00DE4BA4">
              <w:t xml:space="preserve">EC Fit </w:t>
            </w:r>
          </w:p>
          <w:p w14:paraId="0A369D7A" w14:textId="77777777" w:rsidR="00007F6C" w:rsidRPr="00DE4BA4" w:rsidRDefault="00007F6C" w:rsidP="005E2F1E">
            <w:pPr>
              <w:jc w:val="both"/>
            </w:pPr>
            <w:r w:rsidRPr="00DE4BA4">
              <w:t>1R – 2RQ</w:t>
            </w:r>
          </w:p>
        </w:tc>
        <w:tc>
          <w:tcPr>
            <w:tcW w:w="0" w:type="auto"/>
          </w:tcPr>
          <w:p w14:paraId="6C44180D" w14:textId="77777777" w:rsidR="00007F6C" w:rsidRPr="00DE4BA4" w:rsidRDefault="00007F6C" w:rsidP="005E2F1E">
            <w:pPr>
              <w:jc w:val="both"/>
            </w:pPr>
            <w:r w:rsidRPr="00DE4BA4">
              <w:t>32.38</w:t>
            </w:r>
          </w:p>
        </w:tc>
        <w:tc>
          <w:tcPr>
            <w:tcW w:w="0" w:type="auto"/>
          </w:tcPr>
          <w:p w14:paraId="0B5B968C" w14:textId="77777777" w:rsidR="00007F6C" w:rsidRPr="00DE4BA4" w:rsidRDefault="00007F6C" w:rsidP="005E2F1E">
            <w:pPr>
              <w:jc w:val="both"/>
            </w:pPr>
            <w:r w:rsidRPr="00DE4BA4">
              <w:t>0.21</w:t>
            </w:r>
          </w:p>
        </w:tc>
        <w:tc>
          <w:tcPr>
            <w:tcW w:w="0" w:type="auto"/>
          </w:tcPr>
          <w:p w14:paraId="53AB3B05" w14:textId="77777777" w:rsidR="00007F6C" w:rsidRPr="00DE4BA4" w:rsidRDefault="00007F6C" w:rsidP="005E2F1E">
            <w:pPr>
              <w:jc w:val="both"/>
            </w:pPr>
            <w:r w:rsidRPr="00DE4BA4">
              <w:t>0.64</w:t>
            </w:r>
          </w:p>
        </w:tc>
        <w:tc>
          <w:tcPr>
            <w:tcW w:w="0" w:type="auto"/>
          </w:tcPr>
          <w:p w14:paraId="6B041790" w14:textId="77777777" w:rsidR="00007F6C" w:rsidRPr="00DE4BA4" w:rsidRDefault="00007F6C" w:rsidP="005E2F1E">
            <w:pPr>
              <w:jc w:val="both"/>
            </w:pPr>
            <w:r w:rsidRPr="00DE4BA4">
              <w:t>95.8</w:t>
            </w:r>
            <w:r>
              <w:t>7</w:t>
            </w:r>
          </w:p>
        </w:tc>
        <w:tc>
          <w:tcPr>
            <w:tcW w:w="0" w:type="auto"/>
          </w:tcPr>
          <w:p w14:paraId="1708ECF8" w14:textId="77777777" w:rsidR="00007F6C" w:rsidRPr="00DE4BA4" w:rsidRDefault="00007F6C" w:rsidP="005E2F1E">
            <w:pPr>
              <w:jc w:val="both"/>
            </w:pPr>
            <w:r w:rsidRPr="00DE4BA4">
              <w:t>0.3</w:t>
            </w:r>
            <w:r>
              <w:t>5</w:t>
            </w:r>
          </w:p>
        </w:tc>
        <w:tc>
          <w:tcPr>
            <w:tcW w:w="0" w:type="auto"/>
          </w:tcPr>
          <w:p w14:paraId="4C77B119" w14:textId="77777777" w:rsidR="00007F6C" w:rsidRPr="00DE4BA4" w:rsidRDefault="00007F6C" w:rsidP="005E2F1E">
            <w:pPr>
              <w:jc w:val="both"/>
            </w:pPr>
            <w:r w:rsidRPr="00DE4BA4">
              <w:t>0.3</w:t>
            </w:r>
            <w:r>
              <w:t>6</w:t>
            </w:r>
          </w:p>
        </w:tc>
      </w:tr>
      <w:tr w:rsidR="00007F6C" w:rsidRPr="00DE4BA4" w14:paraId="4ED8F913" w14:textId="77777777" w:rsidTr="005E2F1E">
        <w:trPr>
          <w:jc w:val="center"/>
        </w:trPr>
        <w:tc>
          <w:tcPr>
            <w:tcW w:w="0" w:type="auto"/>
          </w:tcPr>
          <w:p w14:paraId="5C68CC2C" w14:textId="77777777" w:rsidR="00007F6C" w:rsidRPr="00DE4BA4" w:rsidRDefault="00007F6C" w:rsidP="005E2F1E">
            <w:pPr>
              <w:ind w:left="720" w:hanging="720"/>
              <w:jc w:val="both"/>
            </w:pPr>
            <w:r w:rsidRPr="00DE4BA4">
              <w:t>20</w:t>
            </w:r>
          </w:p>
        </w:tc>
        <w:tc>
          <w:tcPr>
            <w:tcW w:w="0" w:type="auto"/>
          </w:tcPr>
          <w:p w14:paraId="3B6DAB1F" w14:textId="77777777" w:rsidR="00007F6C" w:rsidRPr="00DE4BA4" w:rsidRDefault="00007F6C" w:rsidP="005E2F1E">
            <w:pPr>
              <w:jc w:val="both"/>
            </w:pPr>
            <w:r w:rsidRPr="00DE4BA4">
              <w:t xml:space="preserve">EC Fit </w:t>
            </w:r>
          </w:p>
          <w:p w14:paraId="794A96C1" w14:textId="77777777" w:rsidR="00007F6C" w:rsidRPr="00DE4BA4" w:rsidRDefault="00007F6C" w:rsidP="005E2F1E">
            <w:pPr>
              <w:jc w:val="both"/>
            </w:pPr>
            <w:r w:rsidRPr="00DE4BA4">
              <w:t>1R – 1RQ</w:t>
            </w:r>
          </w:p>
        </w:tc>
        <w:tc>
          <w:tcPr>
            <w:tcW w:w="0" w:type="auto"/>
          </w:tcPr>
          <w:p w14:paraId="3D8669CB" w14:textId="77777777" w:rsidR="00007F6C" w:rsidRPr="00DE4BA4" w:rsidRDefault="00007F6C" w:rsidP="005E2F1E">
            <w:pPr>
              <w:jc w:val="both"/>
            </w:pPr>
            <w:r w:rsidRPr="00DE4BA4">
              <w:t>38.97</w:t>
            </w:r>
          </w:p>
        </w:tc>
        <w:tc>
          <w:tcPr>
            <w:tcW w:w="0" w:type="auto"/>
          </w:tcPr>
          <w:p w14:paraId="68955800" w14:textId="77777777" w:rsidR="00007F6C" w:rsidRPr="00DE4BA4" w:rsidRDefault="00007F6C" w:rsidP="005E2F1E">
            <w:pPr>
              <w:jc w:val="both"/>
            </w:pPr>
            <w:r w:rsidRPr="00DE4BA4">
              <w:t>0.1</w:t>
            </w:r>
            <w:r>
              <w:t>9</w:t>
            </w:r>
          </w:p>
        </w:tc>
        <w:tc>
          <w:tcPr>
            <w:tcW w:w="0" w:type="auto"/>
          </w:tcPr>
          <w:p w14:paraId="445DEE3D" w14:textId="77777777" w:rsidR="00007F6C" w:rsidRPr="00DE4BA4" w:rsidRDefault="00007F6C" w:rsidP="005E2F1E">
            <w:pPr>
              <w:jc w:val="both"/>
            </w:pPr>
            <w:r w:rsidRPr="00DE4BA4">
              <w:t>0.4</w:t>
            </w:r>
            <w:r>
              <w:t>8</w:t>
            </w:r>
          </w:p>
        </w:tc>
        <w:tc>
          <w:tcPr>
            <w:tcW w:w="0" w:type="auto"/>
          </w:tcPr>
          <w:p w14:paraId="628965C3" w14:textId="77777777" w:rsidR="00007F6C" w:rsidRPr="00DE4BA4" w:rsidRDefault="00007F6C" w:rsidP="005E2F1E">
            <w:pPr>
              <w:jc w:val="both"/>
            </w:pPr>
            <w:r w:rsidRPr="00DE4BA4">
              <w:t>87.56</w:t>
            </w:r>
          </w:p>
        </w:tc>
        <w:tc>
          <w:tcPr>
            <w:tcW w:w="0" w:type="auto"/>
          </w:tcPr>
          <w:p w14:paraId="4C11CE3E" w14:textId="77777777" w:rsidR="00007F6C" w:rsidRPr="00DE4BA4" w:rsidRDefault="00007F6C" w:rsidP="005E2F1E">
            <w:pPr>
              <w:jc w:val="both"/>
            </w:pPr>
            <w:r w:rsidRPr="00DE4BA4">
              <w:t>0.24</w:t>
            </w:r>
          </w:p>
        </w:tc>
        <w:tc>
          <w:tcPr>
            <w:tcW w:w="0" w:type="auto"/>
          </w:tcPr>
          <w:p w14:paraId="622209A5" w14:textId="77777777" w:rsidR="00007F6C" w:rsidRPr="00DE4BA4" w:rsidRDefault="00007F6C" w:rsidP="005E2F1E">
            <w:pPr>
              <w:jc w:val="both"/>
            </w:pPr>
            <w:r w:rsidRPr="00DE4BA4">
              <w:t>0.27</w:t>
            </w:r>
          </w:p>
        </w:tc>
      </w:tr>
    </w:tbl>
    <w:p w14:paraId="74D82A96" w14:textId="77777777" w:rsidR="00007F6C" w:rsidRDefault="00007F6C" w:rsidP="00007F6C">
      <w:pPr>
        <w:keepNext/>
        <w:jc w:val="center"/>
      </w:pPr>
      <w:r w:rsidRPr="00242B28">
        <w:rPr>
          <w:noProof/>
        </w:rPr>
        <w:lastRenderedPageBreak/>
        <w:drawing>
          <wp:inline distT="0" distB="0" distL="0" distR="0" wp14:anchorId="4D03C7C4" wp14:editId="2513840B">
            <wp:extent cx="4320000" cy="3543652"/>
            <wp:effectExtent l="0" t="0" r="4445"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3">
                      <a:extLst>
                        <a:ext uri="{28A0092B-C50C-407E-A947-70E740481C1C}">
                          <a14:useLocalDpi xmlns:a14="http://schemas.microsoft.com/office/drawing/2010/main" val="0"/>
                        </a:ext>
                      </a:extLst>
                    </a:blip>
                    <a:srcRect l="8028" t="9310" r="12844" b="5705"/>
                    <a:stretch/>
                  </pic:blipFill>
                  <pic:spPr bwMode="auto">
                    <a:xfrm>
                      <a:off x="0" y="0"/>
                      <a:ext cx="4320000" cy="3543652"/>
                    </a:xfrm>
                    <a:prstGeom prst="rect">
                      <a:avLst/>
                    </a:prstGeom>
                    <a:noFill/>
                    <a:ln>
                      <a:noFill/>
                    </a:ln>
                    <a:extLst>
                      <a:ext uri="{53640926-AAD7-44D8-BBD7-CCE9431645EC}">
                        <a14:shadowObscured xmlns:a14="http://schemas.microsoft.com/office/drawing/2010/main"/>
                      </a:ext>
                    </a:extLst>
                  </pic:spPr>
                </pic:pic>
              </a:graphicData>
            </a:graphic>
          </wp:inline>
        </w:drawing>
      </w:r>
    </w:p>
    <w:p w14:paraId="23E6B0C8" w14:textId="2C33CFE3" w:rsidR="00007F6C" w:rsidRDefault="00007F6C" w:rsidP="00007F6C">
      <w:pPr>
        <w:pStyle w:val="Caption"/>
      </w:pPr>
      <w:bookmarkStart w:id="473" w:name="_Ref48119872"/>
      <w:bookmarkStart w:id="474" w:name="_Toc69115029"/>
      <w:r>
        <w:t>Figure 5.</w:t>
      </w:r>
      <w:r w:rsidR="00B51F53">
        <w:fldChar w:fldCharType="begin"/>
      </w:r>
      <w:r w:rsidR="00B51F53">
        <w:instrText xml:space="preserve"> SEQ Figure \* ARABIC </w:instrText>
      </w:r>
      <w:r w:rsidR="00B51F53">
        <w:fldChar w:fldCharType="separate"/>
      </w:r>
      <w:r w:rsidR="00903E7F">
        <w:rPr>
          <w:noProof/>
        </w:rPr>
        <w:t>14</w:t>
      </w:r>
      <w:r w:rsidR="00B51F53">
        <w:rPr>
          <w:noProof/>
        </w:rPr>
        <w:fldChar w:fldCharType="end"/>
      </w:r>
      <w:bookmarkEnd w:id="473"/>
      <w:r>
        <w:t xml:space="preserve">: Nyquist plots for the Au1 Ni-YSZ sample coated in an Au current collector over a 20 h ageing period. The markers track the evolution of the samples in 5 h increments. The equivalent circuit fit is denoted by the black line </w:t>
      </w:r>
      <w:proofErr w:type="gramStart"/>
      <w:r>
        <w:t>series</w:t>
      </w:r>
      <w:bookmarkEnd w:id="474"/>
      <w:proofErr w:type="gramEnd"/>
    </w:p>
    <w:p w14:paraId="6418BEE6" w14:textId="77777777" w:rsidR="00007F6C" w:rsidRDefault="00007F6C" w:rsidP="00007F6C">
      <w:pPr>
        <w:jc w:val="both"/>
      </w:pPr>
    </w:p>
    <w:p w14:paraId="24605A05" w14:textId="77777777" w:rsidR="00007F6C" w:rsidRDefault="00007F6C" w:rsidP="00007F6C">
      <w:pPr>
        <w:keepNext/>
        <w:jc w:val="center"/>
      </w:pPr>
      <w:r w:rsidRPr="005C7CF0">
        <w:rPr>
          <w:noProof/>
        </w:rPr>
        <w:drawing>
          <wp:inline distT="0" distB="0" distL="0" distR="0" wp14:anchorId="78BD6BAA" wp14:editId="15D85883">
            <wp:extent cx="4320000" cy="3118776"/>
            <wp:effectExtent l="0" t="0" r="4445" b="571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4">
                      <a:extLst>
                        <a:ext uri="{28A0092B-C50C-407E-A947-70E740481C1C}">
                          <a14:useLocalDpi xmlns:a14="http://schemas.microsoft.com/office/drawing/2010/main" val="0"/>
                        </a:ext>
                      </a:extLst>
                    </a:blip>
                    <a:srcRect l="8256" t="9610" r="1835" b="5405"/>
                    <a:stretch/>
                  </pic:blipFill>
                  <pic:spPr bwMode="auto">
                    <a:xfrm>
                      <a:off x="0" y="0"/>
                      <a:ext cx="4320000" cy="3118776"/>
                    </a:xfrm>
                    <a:prstGeom prst="rect">
                      <a:avLst/>
                    </a:prstGeom>
                    <a:noFill/>
                    <a:ln>
                      <a:noFill/>
                    </a:ln>
                    <a:extLst>
                      <a:ext uri="{53640926-AAD7-44D8-BBD7-CCE9431645EC}">
                        <a14:shadowObscured xmlns:a14="http://schemas.microsoft.com/office/drawing/2010/main"/>
                      </a:ext>
                    </a:extLst>
                  </pic:spPr>
                </pic:pic>
              </a:graphicData>
            </a:graphic>
          </wp:inline>
        </w:drawing>
      </w:r>
    </w:p>
    <w:p w14:paraId="1F6A2AD7" w14:textId="64E00E3B" w:rsidR="00007F6C" w:rsidRDefault="00007F6C" w:rsidP="00007F6C">
      <w:pPr>
        <w:pStyle w:val="Caption"/>
      </w:pPr>
      <w:bookmarkStart w:id="475" w:name="_Ref48119877"/>
      <w:bookmarkStart w:id="476" w:name="_Toc69115030"/>
      <w:r>
        <w:t>Figure 5.</w:t>
      </w:r>
      <w:r w:rsidR="00B51F53">
        <w:fldChar w:fldCharType="begin"/>
      </w:r>
      <w:r w:rsidR="00B51F53">
        <w:instrText xml:space="preserve"> SEQ Figure \* ARABIC </w:instrText>
      </w:r>
      <w:r w:rsidR="00B51F53">
        <w:fldChar w:fldCharType="separate"/>
      </w:r>
      <w:r w:rsidR="00903E7F">
        <w:rPr>
          <w:noProof/>
        </w:rPr>
        <w:t>15</w:t>
      </w:r>
      <w:r w:rsidR="00B51F53">
        <w:rPr>
          <w:noProof/>
        </w:rPr>
        <w:fldChar w:fldCharType="end"/>
      </w:r>
      <w:bookmarkEnd w:id="475"/>
      <w:r>
        <w:t xml:space="preserve">: Nyquist plots for the Au2 Ni-YSZ sample coated in an Au current collector over a </w:t>
      </w:r>
      <w:proofErr w:type="gramStart"/>
      <w:r>
        <w:t>50 h</w:t>
      </w:r>
      <w:proofErr w:type="gramEnd"/>
      <w:r>
        <w:t xml:space="preserve"> ageing period. The markers track the evolution of the samples in 5 h increments. The equivalent circuit fit is denoted by the black line </w:t>
      </w:r>
      <w:proofErr w:type="gramStart"/>
      <w:r>
        <w:t>series</w:t>
      </w:r>
      <w:bookmarkEnd w:id="476"/>
      <w:proofErr w:type="gramEnd"/>
    </w:p>
    <w:p w14:paraId="46FA3659" w14:textId="77777777" w:rsidR="00007F6C" w:rsidRDefault="00007F6C" w:rsidP="00007F6C">
      <w:pPr>
        <w:jc w:val="both"/>
      </w:pPr>
      <w:r>
        <w:br w:type="page"/>
      </w:r>
    </w:p>
    <w:p w14:paraId="0803CFAC" w14:textId="6749EDDB" w:rsidR="00007F6C" w:rsidRDefault="00007F6C" w:rsidP="00007F6C">
      <w:pPr>
        <w:pStyle w:val="Caption"/>
        <w:keepNext/>
      </w:pPr>
      <w:r>
        <w:lastRenderedPageBreak/>
        <w:t>Table 5.</w:t>
      </w:r>
      <w:r w:rsidR="00B51F53">
        <w:fldChar w:fldCharType="begin"/>
      </w:r>
      <w:r w:rsidR="00B51F53">
        <w:instrText xml:space="preserve"> SEQ Table \* ARABIC </w:instrText>
      </w:r>
      <w:r w:rsidR="00B51F53">
        <w:fldChar w:fldCharType="separate"/>
      </w:r>
      <w:r w:rsidR="0022061C">
        <w:rPr>
          <w:noProof/>
        </w:rPr>
        <w:t>6</w:t>
      </w:r>
      <w:r w:rsidR="00B51F53">
        <w:rPr>
          <w:noProof/>
        </w:rPr>
        <w:fldChar w:fldCharType="end"/>
      </w:r>
      <w:r>
        <w:t xml:space="preserve">: Table detailing the Rs and Rp % errors for the equivalent circuit model for the Au2 Ni-YSZ sample </w:t>
      </w:r>
      <w:proofErr w:type="gramStart"/>
      <w:r>
        <w:t>coated</w:t>
      </w:r>
      <w:proofErr w:type="gramEnd"/>
    </w:p>
    <w:tbl>
      <w:tblPr>
        <w:tblStyle w:val="TableGrid"/>
        <w:tblW w:w="0" w:type="auto"/>
        <w:jc w:val="center"/>
        <w:tblLook w:val="04A0" w:firstRow="1" w:lastRow="0" w:firstColumn="1" w:lastColumn="0" w:noHBand="0" w:noVBand="1"/>
      </w:tblPr>
      <w:tblGrid>
        <w:gridCol w:w="1224"/>
        <w:gridCol w:w="1292"/>
        <w:gridCol w:w="1067"/>
        <w:gridCol w:w="938"/>
        <w:gridCol w:w="837"/>
        <w:gridCol w:w="1097"/>
        <w:gridCol w:w="968"/>
        <w:gridCol w:w="837"/>
      </w:tblGrid>
      <w:tr w:rsidR="00007F6C" w:rsidRPr="00A31757" w14:paraId="707419AA" w14:textId="77777777" w:rsidTr="005E2F1E">
        <w:trPr>
          <w:jc w:val="center"/>
        </w:trPr>
        <w:tc>
          <w:tcPr>
            <w:tcW w:w="0" w:type="auto"/>
          </w:tcPr>
          <w:p w14:paraId="1542BD13" w14:textId="77777777" w:rsidR="00007F6C" w:rsidRPr="00A31757" w:rsidRDefault="00007F6C" w:rsidP="005E2F1E">
            <w:pPr>
              <w:jc w:val="both"/>
              <w:rPr>
                <w:b/>
                <w:bCs/>
              </w:rPr>
            </w:pPr>
            <w:r w:rsidRPr="00A31757">
              <w:rPr>
                <w:b/>
                <w:bCs/>
              </w:rPr>
              <w:t>Sample</w:t>
            </w:r>
          </w:p>
        </w:tc>
        <w:tc>
          <w:tcPr>
            <w:tcW w:w="0" w:type="auto"/>
          </w:tcPr>
          <w:p w14:paraId="3C5C2F3C" w14:textId="77777777" w:rsidR="00007F6C" w:rsidRPr="00A31757" w:rsidRDefault="00007F6C" w:rsidP="005E2F1E">
            <w:pPr>
              <w:jc w:val="both"/>
              <w:rPr>
                <w:b/>
                <w:bCs/>
              </w:rPr>
            </w:pPr>
            <w:r w:rsidRPr="00A31757">
              <w:rPr>
                <w:b/>
                <w:bCs/>
              </w:rPr>
              <w:t xml:space="preserve">Fitting Type </w:t>
            </w:r>
          </w:p>
        </w:tc>
        <w:tc>
          <w:tcPr>
            <w:tcW w:w="0" w:type="auto"/>
          </w:tcPr>
          <w:p w14:paraId="378CE684" w14:textId="77777777" w:rsidR="00007F6C" w:rsidRPr="00A31757" w:rsidRDefault="00007F6C" w:rsidP="005E2F1E">
            <w:pPr>
              <w:jc w:val="both"/>
              <w:rPr>
                <w:b/>
                <w:bCs/>
              </w:rPr>
            </w:pPr>
            <w:r w:rsidRPr="00A31757">
              <w:rPr>
                <w:b/>
                <w:bCs/>
              </w:rPr>
              <w:t>Rs [Ohm]</w:t>
            </w:r>
          </w:p>
        </w:tc>
        <w:tc>
          <w:tcPr>
            <w:tcW w:w="0" w:type="auto"/>
          </w:tcPr>
          <w:p w14:paraId="33742800" w14:textId="77777777" w:rsidR="00007F6C" w:rsidRPr="00A31757" w:rsidRDefault="00007F6C" w:rsidP="005E2F1E">
            <w:pPr>
              <w:jc w:val="both"/>
              <w:rPr>
                <w:b/>
                <w:bCs/>
              </w:rPr>
            </w:pPr>
            <w:r w:rsidRPr="00A31757">
              <w:rPr>
                <w:b/>
                <w:bCs/>
              </w:rPr>
              <w:t>Rs Error</w:t>
            </w:r>
          </w:p>
        </w:tc>
        <w:tc>
          <w:tcPr>
            <w:tcW w:w="0" w:type="auto"/>
          </w:tcPr>
          <w:p w14:paraId="0A2F5DDF" w14:textId="77777777" w:rsidR="00007F6C" w:rsidRPr="00A31757" w:rsidRDefault="00007F6C" w:rsidP="005E2F1E">
            <w:pPr>
              <w:jc w:val="both"/>
              <w:rPr>
                <w:b/>
                <w:bCs/>
              </w:rPr>
            </w:pPr>
            <w:r w:rsidRPr="00A31757">
              <w:rPr>
                <w:b/>
                <w:bCs/>
              </w:rPr>
              <w:t>Error%</w:t>
            </w:r>
          </w:p>
        </w:tc>
        <w:tc>
          <w:tcPr>
            <w:tcW w:w="0" w:type="auto"/>
          </w:tcPr>
          <w:p w14:paraId="5630EDA1" w14:textId="77777777" w:rsidR="00007F6C" w:rsidRPr="00A31757" w:rsidRDefault="00007F6C" w:rsidP="005E2F1E">
            <w:pPr>
              <w:jc w:val="both"/>
              <w:rPr>
                <w:b/>
                <w:bCs/>
              </w:rPr>
            </w:pPr>
            <w:r w:rsidRPr="00A31757">
              <w:rPr>
                <w:b/>
                <w:bCs/>
              </w:rPr>
              <w:t>Rp [Ohm]</w:t>
            </w:r>
          </w:p>
        </w:tc>
        <w:tc>
          <w:tcPr>
            <w:tcW w:w="0" w:type="auto"/>
          </w:tcPr>
          <w:p w14:paraId="2E192D7B" w14:textId="77777777" w:rsidR="00007F6C" w:rsidRPr="00A31757" w:rsidRDefault="00007F6C" w:rsidP="005E2F1E">
            <w:pPr>
              <w:jc w:val="both"/>
              <w:rPr>
                <w:b/>
                <w:bCs/>
              </w:rPr>
            </w:pPr>
            <w:r w:rsidRPr="00A31757">
              <w:rPr>
                <w:b/>
                <w:bCs/>
              </w:rPr>
              <w:t>Rp Error</w:t>
            </w:r>
          </w:p>
        </w:tc>
        <w:tc>
          <w:tcPr>
            <w:tcW w:w="0" w:type="auto"/>
          </w:tcPr>
          <w:p w14:paraId="16F2820E" w14:textId="77777777" w:rsidR="00007F6C" w:rsidRPr="00A31757" w:rsidRDefault="00007F6C" w:rsidP="005E2F1E">
            <w:pPr>
              <w:jc w:val="both"/>
              <w:rPr>
                <w:b/>
                <w:bCs/>
              </w:rPr>
            </w:pPr>
            <w:r w:rsidRPr="00A31757">
              <w:rPr>
                <w:b/>
                <w:bCs/>
              </w:rPr>
              <w:t>Error%</w:t>
            </w:r>
          </w:p>
        </w:tc>
      </w:tr>
      <w:tr w:rsidR="00007F6C" w:rsidRPr="00A31757" w14:paraId="41DB6324" w14:textId="77777777" w:rsidTr="005E2F1E">
        <w:trPr>
          <w:jc w:val="center"/>
        </w:trPr>
        <w:tc>
          <w:tcPr>
            <w:tcW w:w="0" w:type="auto"/>
          </w:tcPr>
          <w:p w14:paraId="31099302" w14:textId="77777777" w:rsidR="00007F6C" w:rsidRPr="006C5D1F" w:rsidRDefault="00007F6C" w:rsidP="005E2F1E">
            <w:pPr>
              <w:jc w:val="both"/>
              <w:rPr>
                <w:sz w:val="20"/>
                <w:szCs w:val="20"/>
              </w:rPr>
            </w:pPr>
            <w:r w:rsidRPr="006C5D1F">
              <w:rPr>
                <w:sz w:val="20"/>
                <w:szCs w:val="20"/>
              </w:rPr>
              <w:t>Ni-YSZ (Au2)</w:t>
            </w:r>
          </w:p>
        </w:tc>
        <w:tc>
          <w:tcPr>
            <w:tcW w:w="0" w:type="auto"/>
          </w:tcPr>
          <w:p w14:paraId="57597E21" w14:textId="77777777" w:rsidR="00007F6C" w:rsidRPr="006C5D1F" w:rsidRDefault="00007F6C" w:rsidP="005E2F1E">
            <w:pPr>
              <w:jc w:val="both"/>
              <w:rPr>
                <w:sz w:val="20"/>
                <w:szCs w:val="20"/>
              </w:rPr>
            </w:pPr>
            <w:r w:rsidRPr="006C5D1F">
              <w:rPr>
                <w:sz w:val="20"/>
                <w:szCs w:val="20"/>
              </w:rPr>
              <w:t>Circle</w:t>
            </w:r>
          </w:p>
        </w:tc>
        <w:tc>
          <w:tcPr>
            <w:tcW w:w="0" w:type="auto"/>
          </w:tcPr>
          <w:p w14:paraId="1F489FFE" w14:textId="77777777" w:rsidR="00007F6C" w:rsidRPr="006C5D1F" w:rsidRDefault="00007F6C" w:rsidP="005E2F1E">
            <w:pPr>
              <w:jc w:val="right"/>
              <w:rPr>
                <w:sz w:val="20"/>
                <w:szCs w:val="20"/>
              </w:rPr>
            </w:pPr>
            <w:r w:rsidRPr="006C5D1F">
              <w:rPr>
                <w:sz w:val="20"/>
                <w:szCs w:val="20"/>
              </w:rPr>
              <w:t>28.53</w:t>
            </w:r>
          </w:p>
        </w:tc>
        <w:tc>
          <w:tcPr>
            <w:tcW w:w="0" w:type="auto"/>
          </w:tcPr>
          <w:p w14:paraId="402E8B3F" w14:textId="77777777" w:rsidR="00007F6C" w:rsidRPr="006C5D1F" w:rsidRDefault="00007F6C" w:rsidP="005E2F1E">
            <w:pPr>
              <w:jc w:val="right"/>
              <w:rPr>
                <w:sz w:val="20"/>
                <w:szCs w:val="20"/>
              </w:rPr>
            </w:pPr>
            <w:r w:rsidRPr="006C5D1F">
              <w:rPr>
                <w:sz w:val="20"/>
                <w:szCs w:val="20"/>
              </w:rPr>
              <w:t>0.26</w:t>
            </w:r>
          </w:p>
        </w:tc>
        <w:tc>
          <w:tcPr>
            <w:tcW w:w="0" w:type="auto"/>
          </w:tcPr>
          <w:p w14:paraId="54A0BDA9" w14:textId="77777777" w:rsidR="00007F6C" w:rsidRPr="006C5D1F" w:rsidRDefault="00007F6C" w:rsidP="005E2F1E">
            <w:pPr>
              <w:jc w:val="right"/>
              <w:rPr>
                <w:sz w:val="20"/>
                <w:szCs w:val="20"/>
              </w:rPr>
            </w:pPr>
            <w:r w:rsidRPr="006C5D1F">
              <w:rPr>
                <w:sz w:val="20"/>
                <w:szCs w:val="20"/>
              </w:rPr>
              <w:t>0.91</w:t>
            </w:r>
          </w:p>
        </w:tc>
        <w:tc>
          <w:tcPr>
            <w:tcW w:w="0" w:type="auto"/>
          </w:tcPr>
          <w:p w14:paraId="3598EB11" w14:textId="77777777" w:rsidR="00007F6C" w:rsidRPr="006C5D1F" w:rsidRDefault="00007F6C" w:rsidP="005E2F1E">
            <w:pPr>
              <w:jc w:val="right"/>
              <w:rPr>
                <w:sz w:val="20"/>
                <w:szCs w:val="20"/>
              </w:rPr>
            </w:pPr>
            <w:r w:rsidRPr="006C5D1F">
              <w:rPr>
                <w:sz w:val="20"/>
                <w:szCs w:val="20"/>
              </w:rPr>
              <w:t>1021.00</w:t>
            </w:r>
          </w:p>
        </w:tc>
        <w:tc>
          <w:tcPr>
            <w:tcW w:w="0" w:type="auto"/>
          </w:tcPr>
          <w:p w14:paraId="467EA984" w14:textId="77777777" w:rsidR="00007F6C" w:rsidRPr="006C5D1F" w:rsidRDefault="00007F6C" w:rsidP="005E2F1E">
            <w:pPr>
              <w:jc w:val="right"/>
              <w:rPr>
                <w:sz w:val="20"/>
                <w:szCs w:val="20"/>
              </w:rPr>
            </w:pPr>
            <w:r w:rsidRPr="006C5D1F">
              <w:rPr>
                <w:sz w:val="20"/>
                <w:szCs w:val="20"/>
              </w:rPr>
              <w:t>1.16</w:t>
            </w:r>
          </w:p>
        </w:tc>
        <w:tc>
          <w:tcPr>
            <w:tcW w:w="0" w:type="auto"/>
          </w:tcPr>
          <w:p w14:paraId="043A0B97" w14:textId="77777777" w:rsidR="00007F6C" w:rsidRPr="006C5D1F" w:rsidRDefault="00007F6C" w:rsidP="005E2F1E">
            <w:pPr>
              <w:jc w:val="right"/>
              <w:rPr>
                <w:sz w:val="20"/>
                <w:szCs w:val="20"/>
              </w:rPr>
            </w:pPr>
            <w:r w:rsidRPr="006C5D1F">
              <w:rPr>
                <w:sz w:val="20"/>
                <w:szCs w:val="20"/>
              </w:rPr>
              <w:t>0.11</w:t>
            </w:r>
          </w:p>
        </w:tc>
      </w:tr>
      <w:tr w:rsidR="00007F6C" w:rsidRPr="00A31757" w14:paraId="1C7C8400" w14:textId="77777777" w:rsidTr="005E2F1E">
        <w:trPr>
          <w:jc w:val="center"/>
        </w:trPr>
        <w:tc>
          <w:tcPr>
            <w:tcW w:w="0" w:type="auto"/>
          </w:tcPr>
          <w:p w14:paraId="18773A44" w14:textId="77777777" w:rsidR="00007F6C" w:rsidRPr="006C5D1F" w:rsidRDefault="00007F6C" w:rsidP="005E2F1E">
            <w:pPr>
              <w:jc w:val="both"/>
              <w:rPr>
                <w:sz w:val="20"/>
                <w:szCs w:val="20"/>
              </w:rPr>
            </w:pPr>
            <w:r w:rsidRPr="006C5D1F">
              <w:rPr>
                <w:sz w:val="20"/>
                <w:szCs w:val="20"/>
              </w:rPr>
              <w:t>(0h)</w:t>
            </w:r>
          </w:p>
        </w:tc>
        <w:tc>
          <w:tcPr>
            <w:tcW w:w="0" w:type="auto"/>
          </w:tcPr>
          <w:p w14:paraId="3103028B" w14:textId="77777777" w:rsidR="00007F6C" w:rsidRPr="006C5D1F" w:rsidRDefault="00007F6C" w:rsidP="005E2F1E">
            <w:pPr>
              <w:jc w:val="both"/>
              <w:rPr>
                <w:sz w:val="20"/>
                <w:szCs w:val="20"/>
              </w:rPr>
            </w:pPr>
            <w:r w:rsidRPr="006C5D1F">
              <w:rPr>
                <w:sz w:val="20"/>
                <w:szCs w:val="20"/>
              </w:rPr>
              <w:t xml:space="preserve">EC Fit </w:t>
            </w:r>
          </w:p>
          <w:p w14:paraId="5B855F0B" w14:textId="77777777" w:rsidR="00007F6C" w:rsidRPr="006C5D1F" w:rsidRDefault="00007F6C" w:rsidP="005E2F1E">
            <w:pPr>
              <w:jc w:val="both"/>
              <w:rPr>
                <w:sz w:val="20"/>
                <w:szCs w:val="20"/>
              </w:rPr>
            </w:pPr>
            <w:r w:rsidRPr="006C5D1F">
              <w:rPr>
                <w:sz w:val="20"/>
                <w:szCs w:val="20"/>
              </w:rPr>
              <w:t>1R – 2RQ</w:t>
            </w:r>
          </w:p>
        </w:tc>
        <w:tc>
          <w:tcPr>
            <w:tcW w:w="0" w:type="auto"/>
          </w:tcPr>
          <w:p w14:paraId="269C0CF4" w14:textId="77777777" w:rsidR="00007F6C" w:rsidRPr="006C5D1F" w:rsidRDefault="00007F6C" w:rsidP="005E2F1E">
            <w:pPr>
              <w:jc w:val="right"/>
              <w:rPr>
                <w:sz w:val="20"/>
                <w:szCs w:val="20"/>
              </w:rPr>
            </w:pPr>
            <w:r w:rsidRPr="006C5D1F">
              <w:rPr>
                <w:sz w:val="20"/>
                <w:szCs w:val="20"/>
              </w:rPr>
              <w:t>25.91</w:t>
            </w:r>
          </w:p>
        </w:tc>
        <w:tc>
          <w:tcPr>
            <w:tcW w:w="0" w:type="auto"/>
          </w:tcPr>
          <w:p w14:paraId="4BA9ABF4" w14:textId="77777777" w:rsidR="00007F6C" w:rsidRPr="006C5D1F" w:rsidRDefault="00007F6C" w:rsidP="005E2F1E">
            <w:pPr>
              <w:jc w:val="right"/>
              <w:rPr>
                <w:sz w:val="20"/>
                <w:szCs w:val="20"/>
              </w:rPr>
            </w:pPr>
            <w:r w:rsidRPr="006C5D1F">
              <w:rPr>
                <w:sz w:val="20"/>
                <w:szCs w:val="20"/>
              </w:rPr>
              <w:t>0.29</w:t>
            </w:r>
          </w:p>
        </w:tc>
        <w:tc>
          <w:tcPr>
            <w:tcW w:w="0" w:type="auto"/>
          </w:tcPr>
          <w:p w14:paraId="47369C23" w14:textId="77777777" w:rsidR="00007F6C" w:rsidRPr="006C5D1F" w:rsidRDefault="00007F6C" w:rsidP="005E2F1E">
            <w:pPr>
              <w:jc w:val="right"/>
              <w:rPr>
                <w:sz w:val="20"/>
                <w:szCs w:val="20"/>
              </w:rPr>
            </w:pPr>
            <w:r w:rsidRPr="006C5D1F">
              <w:rPr>
                <w:sz w:val="20"/>
                <w:szCs w:val="20"/>
              </w:rPr>
              <w:t>1.13</w:t>
            </w:r>
          </w:p>
        </w:tc>
        <w:tc>
          <w:tcPr>
            <w:tcW w:w="0" w:type="auto"/>
          </w:tcPr>
          <w:p w14:paraId="1510C528" w14:textId="77777777" w:rsidR="00007F6C" w:rsidRPr="006C5D1F" w:rsidRDefault="00007F6C" w:rsidP="005E2F1E">
            <w:pPr>
              <w:jc w:val="right"/>
              <w:rPr>
                <w:sz w:val="20"/>
                <w:szCs w:val="20"/>
              </w:rPr>
            </w:pPr>
            <w:r w:rsidRPr="006C5D1F">
              <w:rPr>
                <w:sz w:val="20"/>
                <w:szCs w:val="20"/>
              </w:rPr>
              <w:t>1035.07</w:t>
            </w:r>
          </w:p>
        </w:tc>
        <w:tc>
          <w:tcPr>
            <w:tcW w:w="0" w:type="auto"/>
          </w:tcPr>
          <w:p w14:paraId="3F684C39" w14:textId="77777777" w:rsidR="00007F6C" w:rsidRPr="006C5D1F" w:rsidRDefault="00007F6C" w:rsidP="005E2F1E">
            <w:pPr>
              <w:jc w:val="right"/>
              <w:rPr>
                <w:sz w:val="20"/>
                <w:szCs w:val="20"/>
              </w:rPr>
            </w:pPr>
            <w:r w:rsidRPr="006C5D1F">
              <w:rPr>
                <w:sz w:val="20"/>
                <w:szCs w:val="20"/>
              </w:rPr>
              <w:t>7.97</w:t>
            </w:r>
          </w:p>
        </w:tc>
        <w:tc>
          <w:tcPr>
            <w:tcW w:w="0" w:type="auto"/>
          </w:tcPr>
          <w:p w14:paraId="1F41057E" w14:textId="77777777" w:rsidR="00007F6C" w:rsidRPr="006C5D1F" w:rsidRDefault="00007F6C" w:rsidP="005E2F1E">
            <w:pPr>
              <w:jc w:val="right"/>
              <w:rPr>
                <w:sz w:val="20"/>
                <w:szCs w:val="20"/>
              </w:rPr>
            </w:pPr>
            <w:r w:rsidRPr="006C5D1F">
              <w:rPr>
                <w:sz w:val="20"/>
                <w:szCs w:val="20"/>
              </w:rPr>
              <w:t>0.77</w:t>
            </w:r>
          </w:p>
        </w:tc>
      </w:tr>
      <w:tr w:rsidR="00007F6C" w:rsidRPr="00A31757" w14:paraId="0EDD82AB" w14:textId="77777777" w:rsidTr="005E2F1E">
        <w:trPr>
          <w:jc w:val="center"/>
        </w:trPr>
        <w:tc>
          <w:tcPr>
            <w:tcW w:w="0" w:type="auto"/>
          </w:tcPr>
          <w:p w14:paraId="6FE0A394" w14:textId="77777777" w:rsidR="00007F6C" w:rsidRPr="006C5D1F" w:rsidRDefault="00007F6C" w:rsidP="005E2F1E">
            <w:pPr>
              <w:jc w:val="both"/>
              <w:rPr>
                <w:sz w:val="20"/>
                <w:szCs w:val="20"/>
              </w:rPr>
            </w:pPr>
            <w:r w:rsidRPr="006C5D1F">
              <w:rPr>
                <w:sz w:val="20"/>
                <w:szCs w:val="20"/>
              </w:rPr>
              <w:t>5h</w:t>
            </w:r>
          </w:p>
        </w:tc>
        <w:tc>
          <w:tcPr>
            <w:tcW w:w="0" w:type="auto"/>
          </w:tcPr>
          <w:p w14:paraId="17F04BB8" w14:textId="77777777" w:rsidR="00007F6C" w:rsidRPr="006C5D1F" w:rsidRDefault="00007F6C" w:rsidP="005E2F1E">
            <w:pPr>
              <w:jc w:val="both"/>
              <w:rPr>
                <w:sz w:val="20"/>
                <w:szCs w:val="20"/>
              </w:rPr>
            </w:pPr>
            <w:r w:rsidRPr="006C5D1F">
              <w:rPr>
                <w:sz w:val="20"/>
                <w:szCs w:val="20"/>
              </w:rPr>
              <w:t xml:space="preserve">EC Fit </w:t>
            </w:r>
          </w:p>
          <w:p w14:paraId="78959B7F" w14:textId="77777777" w:rsidR="00007F6C" w:rsidRPr="006C5D1F" w:rsidRDefault="00007F6C" w:rsidP="005E2F1E">
            <w:pPr>
              <w:jc w:val="both"/>
              <w:rPr>
                <w:sz w:val="20"/>
                <w:szCs w:val="20"/>
              </w:rPr>
            </w:pPr>
            <w:r w:rsidRPr="006C5D1F">
              <w:rPr>
                <w:sz w:val="20"/>
                <w:szCs w:val="20"/>
              </w:rPr>
              <w:t>1R – 2RQ</w:t>
            </w:r>
          </w:p>
        </w:tc>
        <w:tc>
          <w:tcPr>
            <w:tcW w:w="0" w:type="auto"/>
          </w:tcPr>
          <w:p w14:paraId="1E7B462F" w14:textId="77777777" w:rsidR="00007F6C" w:rsidRPr="006C5D1F" w:rsidRDefault="00007F6C" w:rsidP="005E2F1E">
            <w:pPr>
              <w:jc w:val="right"/>
              <w:rPr>
                <w:sz w:val="20"/>
                <w:szCs w:val="20"/>
              </w:rPr>
            </w:pPr>
            <w:r w:rsidRPr="006C5D1F">
              <w:rPr>
                <w:sz w:val="20"/>
                <w:szCs w:val="20"/>
              </w:rPr>
              <w:t>23.36</w:t>
            </w:r>
          </w:p>
        </w:tc>
        <w:tc>
          <w:tcPr>
            <w:tcW w:w="0" w:type="auto"/>
          </w:tcPr>
          <w:p w14:paraId="7A40340A" w14:textId="77777777" w:rsidR="00007F6C" w:rsidRPr="006C5D1F" w:rsidRDefault="00007F6C" w:rsidP="005E2F1E">
            <w:pPr>
              <w:jc w:val="right"/>
              <w:rPr>
                <w:sz w:val="20"/>
                <w:szCs w:val="20"/>
              </w:rPr>
            </w:pPr>
            <w:r w:rsidRPr="006C5D1F">
              <w:rPr>
                <w:sz w:val="20"/>
                <w:szCs w:val="20"/>
              </w:rPr>
              <w:t>0.83</w:t>
            </w:r>
          </w:p>
        </w:tc>
        <w:tc>
          <w:tcPr>
            <w:tcW w:w="0" w:type="auto"/>
          </w:tcPr>
          <w:p w14:paraId="0C1961F7" w14:textId="77777777" w:rsidR="00007F6C" w:rsidRPr="006C5D1F" w:rsidRDefault="00007F6C" w:rsidP="005E2F1E">
            <w:pPr>
              <w:jc w:val="right"/>
              <w:rPr>
                <w:sz w:val="20"/>
                <w:szCs w:val="20"/>
              </w:rPr>
            </w:pPr>
            <w:r w:rsidRPr="006C5D1F">
              <w:rPr>
                <w:sz w:val="20"/>
                <w:szCs w:val="20"/>
              </w:rPr>
              <w:t>3.55</w:t>
            </w:r>
          </w:p>
        </w:tc>
        <w:tc>
          <w:tcPr>
            <w:tcW w:w="0" w:type="auto"/>
          </w:tcPr>
          <w:p w14:paraId="44CFFDCC" w14:textId="77777777" w:rsidR="00007F6C" w:rsidRPr="006C5D1F" w:rsidRDefault="00007F6C" w:rsidP="005E2F1E">
            <w:pPr>
              <w:jc w:val="right"/>
              <w:rPr>
                <w:sz w:val="20"/>
                <w:szCs w:val="20"/>
              </w:rPr>
            </w:pPr>
            <w:r w:rsidRPr="006C5D1F">
              <w:rPr>
                <w:sz w:val="20"/>
                <w:szCs w:val="20"/>
              </w:rPr>
              <w:t>781.10</w:t>
            </w:r>
          </w:p>
        </w:tc>
        <w:tc>
          <w:tcPr>
            <w:tcW w:w="0" w:type="auto"/>
          </w:tcPr>
          <w:p w14:paraId="7A48565E" w14:textId="77777777" w:rsidR="00007F6C" w:rsidRPr="006C5D1F" w:rsidRDefault="00007F6C" w:rsidP="005E2F1E">
            <w:pPr>
              <w:jc w:val="right"/>
              <w:rPr>
                <w:sz w:val="20"/>
                <w:szCs w:val="20"/>
              </w:rPr>
            </w:pPr>
            <w:r w:rsidRPr="006C5D1F">
              <w:rPr>
                <w:sz w:val="20"/>
                <w:szCs w:val="20"/>
              </w:rPr>
              <w:t>6.68</w:t>
            </w:r>
          </w:p>
        </w:tc>
        <w:tc>
          <w:tcPr>
            <w:tcW w:w="0" w:type="auto"/>
          </w:tcPr>
          <w:p w14:paraId="44265D7E" w14:textId="77777777" w:rsidR="00007F6C" w:rsidRPr="006C5D1F" w:rsidRDefault="00007F6C" w:rsidP="005E2F1E">
            <w:pPr>
              <w:jc w:val="right"/>
              <w:rPr>
                <w:sz w:val="20"/>
                <w:szCs w:val="20"/>
              </w:rPr>
            </w:pPr>
            <w:r w:rsidRPr="006C5D1F">
              <w:rPr>
                <w:sz w:val="20"/>
                <w:szCs w:val="20"/>
              </w:rPr>
              <w:t>0.86</w:t>
            </w:r>
          </w:p>
        </w:tc>
      </w:tr>
      <w:tr w:rsidR="00007F6C" w:rsidRPr="00A31757" w14:paraId="3AACFC46" w14:textId="77777777" w:rsidTr="005E2F1E">
        <w:trPr>
          <w:jc w:val="center"/>
        </w:trPr>
        <w:tc>
          <w:tcPr>
            <w:tcW w:w="0" w:type="auto"/>
          </w:tcPr>
          <w:p w14:paraId="62EA9011" w14:textId="77777777" w:rsidR="00007F6C" w:rsidRPr="006C5D1F" w:rsidRDefault="00007F6C" w:rsidP="005E2F1E">
            <w:pPr>
              <w:jc w:val="both"/>
              <w:rPr>
                <w:sz w:val="20"/>
                <w:szCs w:val="20"/>
              </w:rPr>
            </w:pPr>
            <w:r w:rsidRPr="006C5D1F">
              <w:rPr>
                <w:sz w:val="20"/>
                <w:szCs w:val="20"/>
              </w:rPr>
              <w:t>10</w:t>
            </w:r>
          </w:p>
        </w:tc>
        <w:tc>
          <w:tcPr>
            <w:tcW w:w="0" w:type="auto"/>
          </w:tcPr>
          <w:p w14:paraId="5BA5D3FC" w14:textId="77777777" w:rsidR="00007F6C" w:rsidRPr="006C5D1F" w:rsidRDefault="00007F6C" w:rsidP="005E2F1E">
            <w:pPr>
              <w:jc w:val="both"/>
              <w:rPr>
                <w:sz w:val="20"/>
                <w:szCs w:val="20"/>
              </w:rPr>
            </w:pPr>
            <w:r w:rsidRPr="006C5D1F">
              <w:rPr>
                <w:sz w:val="20"/>
                <w:szCs w:val="20"/>
              </w:rPr>
              <w:t xml:space="preserve">EC Fit </w:t>
            </w:r>
          </w:p>
          <w:p w14:paraId="03C25566" w14:textId="77777777" w:rsidR="00007F6C" w:rsidRPr="006C5D1F" w:rsidRDefault="00007F6C" w:rsidP="005E2F1E">
            <w:pPr>
              <w:jc w:val="both"/>
              <w:rPr>
                <w:sz w:val="20"/>
                <w:szCs w:val="20"/>
              </w:rPr>
            </w:pPr>
            <w:r w:rsidRPr="006C5D1F">
              <w:rPr>
                <w:sz w:val="20"/>
                <w:szCs w:val="20"/>
              </w:rPr>
              <w:t>1R – 1RQ</w:t>
            </w:r>
          </w:p>
        </w:tc>
        <w:tc>
          <w:tcPr>
            <w:tcW w:w="0" w:type="auto"/>
          </w:tcPr>
          <w:p w14:paraId="5152DE47" w14:textId="77777777" w:rsidR="00007F6C" w:rsidRPr="006C5D1F" w:rsidRDefault="00007F6C" w:rsidP="005E2F1E">
            <w:pPr>
              <w:jc w:val="right"/>
              <w:rPr>
                <w:sz w:val="20"/>
                <w:szCs w:val="20"/>
              </w:rPr>
            </w:pPr>
            <w:r w:rsidRPr="006C5D1F">
              <w:rPr>
                <w:sz w:val="20"/>
                <w:szCs w:val="20"/>
              </w:rPr>
              <w:t>23.96</w:t>
            </w:r>
          </w:p>
        </w:tc>
        <w:tc>
          <w:tcPr>
            <w:tcW w:w="0" w:type="auto"/>
          </w:tcPr>
          <w:p w14:paraId="73263AC8" w14:textId="77777777" w:rsidR="00007F6C" w:rsidRPr="006C5D1F" w:rsidRDefault="00007F6C" w:rsidP="005E2F1E">
            <w:pPr>
              <w:jc w:val="right"/>
              <w:rPr>
                <w:sz w:val="20"/>
                <w:szCs w:val="20"/>
              </w:rPr>
            </w:pPr>
            <w:r w:rsidRPr="006C5D1F">
              <w:rPr>
                <w:sz w:val="20"/>
                <w:szCs w:val="20"/>
              </w:rPr>
              <w:t>0.75</w:t>
            </w:r>
          </w:p>
        </w:tc>
        <w:tc>
          <w:tcPr>
            <w:tcW w:w="0" w:type="auto"/>
          </w:tcPr>
          <w:p w14:paraId="1CAA0790" w14:textId="77777777" w:rsidR="00007F6C" w:rsidRPr="006C5D1F" w:rsidRDefault="00007F6C" w:rsidP="005E2F1E">
            <w:pPr>
              <w:jc w:val="right"/>
              <w:rPr>
                <w:sz w:val="20"/>
                <w:szCs w:val="20"/>
              </w:rPr>
            </w:pPr>
            <w:r w:rsidRPr="006C5D1F">
              <w:rPr>
                <w:sz w:val="20"/>
                <w:szCs w:val="20"/>
              </w:rPr>
              <w:t>3.15</w:t>
            </w:r>
          </w:p>
        </w:tc>
        <w:tc>
          <w:tcPr>
            <w:tcW w:w="0" w:type="auto"/>
          </w:tcPr>
          <w:p w14:paraId="41F0F15C" w14:textId="77777777" w:rsidR="00007F6C" w:rsidRPr="006C5D1F" w:rsidRDefault="00007F6C" w:rsidP="005E2F1E">
            <w:pPr>
              <w:jc w:val="right"/>
              <w:rPr>
                <w:sz w:val="20"/>
                <w:szCs w:val="20"/>
              </w:rPr>
            </w:pPr>
            <w:r w:rsidRPr="006C5D1F">
              <w:rPr>
                <w:sz w:val="20"/>
                <w:szCs w:val="20"/>
              </w:rPr>
              <w:t>641.40</w:t>
            </w:r>
          </w:p>
        </w:tc>
        <w:tc>
          <w:tcPr>
            <w:tcW w:w="0" w:type="auto"/>
          </w:tcPr>
          <w:p w14:paraId="53682C4A" w14:textId="77777777" w:rsidR="00007F6C" w:rsidRPr="006C5D1F" w:rsidRDefault="00007F6C" w:rsidP="005E2F1E">
            <w:pPr>
              <w:jc w:val="right"/>
              <w:rPr>
                <w:sz w:val="20"/>
                <w:szCs w:val="20"/>
              </w:rPr>
            </w:pPr>
            <w:r w:rsidRPr="006C5D1F">
              <w:rPr>
                <w:sz w:val="20"/>
                <w:szCs w:val="20"/>
              </w:rPr>
              <w:t>4.42</w:t>
            </w:r>
          </w:p>
        </w:tc>
        <w:tc>
          <w:tcPr>
            <w:tcW w:w="0" w:type="auto"/>
          </w:tcPr>
          <w:p w14:paraId="5E77F2DD" w14:textId="77777777" w:rsidR="00007F6C" w:rsidRPr="006C5D1F" w:rsidRDefault="00007F6C" w:rsidP="005E2F1E">
            <w:pPr>
              <w:jc w:val="right"/>
              <w:rPr>
                <w:sz w:val="20"/>
                <w:szCs w:val="20"/>
              </w:rPr>
            </w:pPr>
            <w:r w:rsidRPr="006C5D1F">
              <w:rPr>
                <w:sz w:val="20"/>
                <w:szCs w:val="20"/>
              </w:rPr>
              <w:t>0.69</w:t>
            </w:r>
          </w:p>
        </w:tc>
      </w:tr>
      <w:tr w:rsidR="00007F6C" w:rsidRPr="00A31757" w14:paraId="22D1987A" w14:textId="77777777" w:rsidTr="005E2F1E">
        <w:trPr>
          <w:jc w:val="center"/>
        </w:trPr>
        <w:tc>
          <w:tcPr>
            <w:tcW w:w="0" w:type="auto"/>
          </w:tcPr>
          <w:p w14:paraId="1956EA2A" w14:textId="77777777" w:rsidR="00007F6C" w:rsidRPr="006C5D1F" w:rsidRDefault="00007F6C" w:rsidP="005E2F1E">
            <w:pPr>
              <w:jc w:val="both"/>
              <w:rPr>
                <w:sz w:val="20"/>
                <w:szCs w:val="20"/>
              </w:rPr>
            </w:pPr>
            <w:r w:rsidRPr="006C5D1F">
              <w:rPr>
                <w:sz w:val="20"/>
                <w:szCs w:val="20"/>
              </w:rPr>
              <w:t>15</w:t>
            </w:r>
          </w:p>
        </w:tc>
        <w:tc>
          <w:tcPr>
            <w:tcW w:w="0" w:type="auto"/>
          </w:tcPr>
          <w:p w14:paraId="366213D7" w14:textId="77777777" w:rsidR="00007F6C" w:rsidRPr="006C5D1F" w:rsidRDefault="00007F6C" w:rsidP="005E2F1E">
            <w:pPr>
              <w:jc w:val="both"/>
              <w:rPr>
                <w:sz w:val="20"/>
                <w:szCs w:val="20"/>
              </w:rPr>
            </w:pPr>
            <w:r w:rsidRPr="006C5D1F">
              <w:rPr>
                <w:sz w:val="20"/>
                <w:szCs w:val="20"/>
              </w:rPr>
              <w:t xml:space="preserve">EC Fit </w:t>
            </w:r>
          </w:p>
          <w:p w14:paraId="6B9FFCFD" w14:textId="77777777" w:rsidR="00007F6C" w:rsidRPr="006C5D1F" w:rsidRDefault="00007F6C" w:rsidP="005E2F1E">
            <w:pPr>
              <w:jc w:val="both"/>
              <w:rPr>
                <w:sz w:val="20"/>
                <w:szCs w:val="20"/>
              </w:rPr>
            </w:pPr>
            <w:r w:rsidRPr="006C5D1F">
              <w:rPr>
                <w:sz w:val="20"/>
                <w:szCs w:val="20"/>
              </w:rPr>
              <w:t>1R – 2RQ</w:t>
            </w:r>
          </w:p>
        </w:tc>
        <w:tc>
          <w:tcPr>
            <w:tcW w:w="0" w:type="auto"/>
          </w:tcPr>
          <w:p w14:paraId="73B96699" w14:textId="77777777" w:rsidR="00007F6C" w:rsidRPr="006C5D1F" w:rsidRDefault="00007F6C" w:rsidP="005E2F1E">
            <w:pPr>
              <w:jc w:val="right"/>
              <w:rPr>
                <w:sz w:val="20"/>
                <w:szCs w:val="20"/>
              </w:rPr>
            </w:pPr>
            <w:r w:rsidRPr="006C5D1F">
              <w:rPr>
                <w:sz w:val="20"/>
                <w:szCs w:val="20"/>
              </w:rPr>
              <w:t>24.87</w:t>
            </w:r>
          </w:p>
        </w:tc>
        <w:tc>
          <w:tcPr>
            <w:tcW w:w="0" w:type="auto"/>
          </w:tcPr>
          <w:p w14:paraId="2AA202FB" w14:textId="77777777" w:rsidR="00007F6C" w:rsidRPr="006C5D1F" w:rsidRDefault="00007F6C" w:rsidP="005E2F1E">
            <w:pPr>
              <w:jc w:val="right"/>
              <w:rPr>
                <w:sz w:val="20"/>
                <w:szCs w:val="20"/>
              </w:rPr>
            </w:pPr>
            <w:r w:rsidRPr="006C5D1F">
              <w:rPr>
                <w:sz w:val="20"/>
                <w:szCs w:val="20"/>
              </w:rPr>
              <w:t>0.71</w:t>
            </w:r>
          </w:p>
        </w:tc>
        <w:tc>
          <w:tcPr>
            <w:tcW w:w="0" w:type="auto"/>
          </w:tcPr>
          <w:p w14:paraId="2459135A" w14:textId="77777777" w:rsidR="00007F6C" w:rsidRPr="006C5D1F" w:rsidRDefault="00007F6C" w:rsidP="005E2F1E">
            <w:pPr>
              <w:jc w:val="right"/>
              <w:rPr>
                <w:sz w:val="20"/>
                <w:szCs w:val="20"/>
              </w:rPr>
            </w:pPr>
            <w:r w:rsidRPr="006C5D1F">
              <w:rPr>
                <w:sz w:val="20"/>
                <w:szCs w:val="20"/>
              </w:rPr>
              <w:t>2.85</w:t>
            </w:r>
          </w:p>
        </w:tc>
        <w:tc>
          <w:tcPr>
            <w:tcW w:w="0" w:type="auto"/>
          </w:tcPr>
          <w:p w14:paraId="08483811" w14:textId="77777777" w:rsidR="00007F6C" w:rsidRPr="006C5D1F" w:rsidRDefault="00007F6C" w:rsidP="005E2F1E">
            <w:pPr>
              <w:jc w:val="right"/>
              <w:rPr>
                <w:sz w:val="20"/>
                <w:szCs w:val="20"/>
              </w:rPr>
            </w:pPr>
            <w:r w:rsidRPr="006C5D1F">
              <w:rPr>
                <w:sz w:val="20"/>
                <w:szCs w:val="20"/>
              </w:rPr>
              <w:t>624.50</w:t>
            </w:r>
          </w:p>
        </w:tc>
        <w:tc>
          <w:tcPr>
            <w:tcW w:w="0" w:type="auto"/>
          </w:tcPr>
          <w:p w14:paraId="559BABE2" w14:textId="77777777" w:rsidR="00007F6C" w:rsidRPr="006C5D1F" w:rsidRDefault="00007F6C" w:rsidP="005E2F1E">
            <w:pPr>
              <w:jc w:val="right"/>
              <w:rPr>
                <w:sz w:val="20"/>
                <w:szCs w:val="20"/>
              </w:rPr>
            </w:pPr>
            <w:r w:rsidRPr="006C5D1F">
              <w:rPr>
                <w:sz w:val="20"/>
                <w:szCs w:val="20"/>
              </w:rPr>
              <w:t>4.00</w:t>
            </w:r>
          </w:p>
        </w:tc>
        <w:tc>
          <w:tcPr>
            <w:tcW w:w="0" w:type="auto"/>
          </w:tcPr>
          <w:p w14:paraId="501DD06C" w14:textId="77777777" w:rsidR="00007F6C" w:rsidRPr="006C5D1F" w:rsidRDefault="00007F6C" w:rsidP="005E2F1E">
            <w:pPr>
              <w:jc w:val="right"/>
              <w:rPr>
                <w:sz w:val="20"/>
                <w:szCs w:val="20"/>
              </w:rPr>
            </w:pPr>
            <w:r w:rsidRPr="006C5D1F">
              <w:rPr>
                <w:sz w:val="20"/>
                <w:szCs w:val="20"/>
              </w:rPr>
              <w:t>0.64</w:t>
            </w:r>
          </w:p>
        </w:tc>
      </w:tr>
      <w:tr w:rsidR="00007F6C" w:rsidRPr="00A31757" w14:paraId="579554BB" w14:textId="77777777" w:rsidTr="005E2F1E">
        <w:trPr>
          <w:jc w:val="center"/>
        </w:trPr>
        <w:tc>
          <w:tcPr>
            <w:tcW w:w="0" w:type="auto"/>
          </w:tcPr>
          <w:p w14:paraId="5DD3409B" w14:textId="77777777" w:rsidR="00007F6C" w:rsidRPr="006C5D1F" w:rsidRDefault="00007F6C" w:rsidP="005E2F1E">
            <w:pPr>
              <w:jc w:val="both"/>
              <w:rPr>
                <w:sz w:val="20"/>
                <w:szCs w:val="20"/>
              </w:rPr>
            </w:pPr>
            <w:r w:rsidRPr="006C5D1F">
              <w:rPr>
                <w:sz w:val="20"/>
                <w:szCs w:val="20"/>
              </w:rPr>
              <w:t>20</w:t>
            </w:r>
          </w:p>
        </w:tc>
        <w:tc>
          <w:tcPr>
            <w:tcW w:w="0" w:type="auto"/>
          </w:tcPr>
          <w:p w14:paraId="0C6274AC" w14:textId="77777777" w:rsidR="00007F6C" w:rsidRPr="006C5D1F" w:rsidRDefault="00007F6C" w:rsidP="005E2F1E">
            <w:pPr>
              <w:jc w:val="both"/>
              <w:rPr>
                <w:sz w:val="20"/>
                <w:szCs w:val="20"/>
              </w:rPr>
            </w:pPr>
            <w:r w:rsidRPr="006C5D1F">
              <w:rPr>
                <w:sz w:val="20"/>
                <w:szCs w:val="20"/>
              </w:rPr>
              <w:t xml:space="preserve">EC Fit </w:t>
            </w:r>
          </w:p>
          <w:p w14:paraId="38228F5A" w14:textId="77777777" w:rsidR="00007F6C" w:rsidRPr="006C5D1F" w:rsidRDefault="00007F6C" w:rsidP="005E2F1E">
            <w:pPr>
              <w:jc w:val="both"/>
              <w:rPr>
                <w:sz w:val="20"/>
                <w:szCs w:val="20"/>
              </w:rPr>
            </w:pPr>
            <w:r w:rsidRPr="006C5D1F">
              <w:rPr>
                <w:sz w:val="20"/>
                <w:szCs w:val="20"/>
              </w:rPr>
              <w:t>1R – 1RQ</w:t>
            </w:r>
          </w:p>
        </w:tc>
        <w:tc>
          <w:tcPr>
            <w:tcW w:w="0" w:type="auto"/>
          </w:tcPr>
          <w:p w14:paraId="20E23143" w14:textId="77777777" w:rsidR="00007F6C" w:rsidRPr="006C5D1F" w:rsidRDefault="00007F6C" w:rsidP="005E2F1E">
            <w:pPr>
              <w:jc w:val="right"/>
              <w:rPr>
                <w:sz w:val="20"/>
                <w:szCs w:val="20"/>
              </w:rPr>
            </w:pPr>
            <w:r w:rsidRPr="006C5D1F">
              <w:rPr>
                <w:sz w:val="20"/>
                <w:szCs w:val="20"/>
              </w:rPr>
              <w:t>26.84</w:t>
            </w:r>
          </w:p>
        </w:tc>
        <w:tc>
          <w:tcPr>
            <w:tcW w:w="0" w:type="auto"/>
          </w:tcPr>
          <w:p w14:paraId="20888858" w14:textId="77777777" w:rsidR="00007F6C" w:rsidRPr="006C5D1F" w:rsidRDefault="00007F6C" w:rsidP="005E2F1E">
            <w:pPr>
              <w:jc w:val="right"/>
              <w:rPr>
                <w:sz w:val="20"/>
                <w:szCs w:val="20"/>
              </w:rPr>
            </w:pPr>
            <w:r w:rsidRPr="006C5D1F">
              <w:rPr>
                <w:sz w:val="20"/>
                <w:szCs w:val="20"/>
              </w:rPr>
              <w:t>0.55</w:t>
            </w:r>
          </w:p>
        </w:tc>
        <w:tc>
          <w:tcPr>
            <w:tcW w:w="0" w:type="auto"/>
          </w:tcPr>
          <w:p w14:paraId="30E369DE" w14:textId="77777777" w:rsidR="00007F6C" w:rsidRPr="006C5D1F" w:rsidRDefault="00007F6C" w:rsidP="005E2F1E">
            <w:pPr>
              <w:jc w:val="right"/>
              <w:rPr>
                <w:sz w:val="20"/>
                <w:szCs w:val="20"/>
              </w:rPr>
            </w:pPr>
            <w:r w:rsidRPr="006C5D1F">
              <w:rPr>
                <w:sz w:val="20"/>
                <w:szCs w:val="20"/>
              </w:rPr>
              <w:t>2.03</w:t>
            </w:r>
          </w:p>
        </w:tc>
        <w:tc>
          <w:tcPr>
            <w:tcW w:w="0" w:type="auto"/>
          </w:tcPr>
          <w:p w14:paraId="1F613195" w14:textId="77777777" w:rsidR="00007F6C" w:rsidRPr="006C5D1F" w:rsidRDefault="00007F6C" w:rsidP="005E2F1E">
            <w:pPr>
              <w:jc w:val="right"/>
              <w:rPr>
                <w:sz w:val="20"/>
                <w:szCs w:val="20"/>
              </w:rPr>
            </w:pPr>
            <w:r w:rsidRPr="006C5D1F">
              <w:rPr>
                <w:sz w:val="20"/>
                <w:szCs w:val="20"/>
              </w:rPr>
              <w:t>532.00</w:t>
            </w:r>
          </w:p>
        </w:tc>
        <w:tc>
          <w:tcPr>
            <w:tcW w:w="0" w:type="auto"/>
          </w:tcPr>
          <w:p w14:paraId="6EB7E2FD" w14:textId="77777777" w:rsidR="00007F6C" w:rsidRPr="006C5D1F" w:rsidRDefault="00007F6C" w:rsidP="005E2F1E">
            <w:pPr>
              <w:jc w:val="right"/>
              <w:rPr>
                <w:sz w:val="20"/>
                <w:szCs w:val="20"/>
              </w:rPr>
            </w:pPr>
            <w:r w:rsidRPr="006C5D1F">
              <w:rPr>
                <w:sz w:val="20"/>
                <w:szCs w:val="20"/>
              </w:rPr>
              <w:t>3.30</w:t>
            </w:r>
          </w:p>
        </w:tc>
        <w:tc>
          <w:tcPr>
            <w:tcW w:w="0" w:type="auto"/>
          </w:tcPr>
          <w:p w14:paraId="1F8BF727" w14:textId="77777777" w:rsidR="00007F6C" w:rsidRPr="006C5D1F" w:rsidRDefault="00007F6C" w:rsidP="005E2F1E">
            <w:pPr>
              <w:jc w:val="right"/>
              <w:rPr>
                <w:sz w:val="20"/>
                <w:szCs w:val="20"/>
              </w:rPr>
            </w:pPr>
            <w:r w:rsidRPr="006C5D1F">
              <w:rPr>
                <w:sz w:val="20"/>
                <w:szCs w:val="20"/>
              </w:rPr>
              <w:t>0.62</w:t>
            </w:r>
          </w:p>
        </w:tc>
      </w:tr>
      <w:tr w:rsidR="00007F6C" w:rsidRPr="00A31757" w14:paraId="299C208A" w14:textId="77777777" w:rsidTr="005E2F1E">
        <w:trPr>
          <w:jc w:val="center"/>
        </w:trPr>
        <w:tc>
          <w:tcPr>
            <w:tcW w:w="0" w:type="auto"/>
          </w:tcPr>
          <w:p w14:paraId="16E0614E" w14:textId="77777777" w:rsidR="00007F6C" w:rsidRPr="006C5D1F" w:rsidRDefault="00007F6C" w:rsidP="005E2F1E">
            <w:pPr>
              <w:jc w:val="both"/>
              <w:rPr>
                <w:sz w:val="20"/>
                <w:szCs w:val="20"/>
              </w:rPr>
            </w:pPr>
            <w:r w:rsidRPr="006C5D1F">
              <w:rPr>
                <w:sz w:val="20"/>
                <w:szCs w:val="20"/>
              </w:rPr>
              <w:t>25</w:t>
            </w:r>
          </w:p>
        </w:tc>
        <w:tc>
          <w:tcPr>
            <w:tcW w:w="0" w:type="auto"/>
          </w:tcPr>
          <w:p w14:paraId="390198DF" w14:textId="77777777" w:rsidR="00007F6C" w:rsidRPr="006C5D1F" w:rsidRDefault="00007F6C" w:rsidP="005E2F1E">
            <w:pPr>
              <w:jc w:val="both"/>
              <w:rPr>
                <w:sz w:val="20"/>
                <w:szCs w:val="20"/>
              </w:rPr>
            </w:pPr>
            <w:r w:rsidRPr="006C5D1F">
              <w:rPr>
                <w:sz w:val="20"/>
                <w:szCs w:val="20"/>
              </w:rPr>
              <w:t xml:space="preserve">EC Fit </w:t>
            </w:r>
          </w:p>
          <w:p w14:paraId="0D526AF2" w14:textId="77777777" w:rsidR="00007F6C" w:rsidRPr="006C5D1F" w:rsidRDefault="00007F6C" w:rsidP="005E2F1E">
            <w:pPr>
              <w:jc w:val="both"/>
              <w:rPr>
                <w:sz w:val="20"/>
                <w:szCs w:val="20"/>
              </w:rPr>
            </w:pPr>
            <w:r w:rsidRPr="006C5D1F">
              <w:rPr>
                <w:sz w:val="20"/>
                <w:szCs w:val="20"/>
              </w:rPr>
              <w:t>1R – 2RQ</w:t>
            </w:r>
          </w:p>
        </w:tc>
        <w:tc>
          <w:tcPr>
            <w:tcW w:w="0" w:type="auto"/>
          </w:tcPr>
          <w:p w14:paraId="2DDD87C7" w14:textId="77777777" w:rsidR="00007F6C" w:rsidRPr="006C5D1F" w:rsidRDefault="00007F6C" w:rsidP="005E2F1E">
            <w:pPr>
              <w:jc w:val="right"/>
              <w:rPr>
                <w:sz w:val="20"/>
                <w:szCs w:val="20"/>
              </w:rPr>
            </w:pPr>
            <w:r w:rsidRPr="006C5D1F">
              <w:rPr>
                <w:sz w:val="20"/>
                <w:szCs w:val="20"/>
              </w:rPr>
              <w:t>28.49</w:t>
            </w:r>
          </w:p>
        </w:tc>
        <w:tc>
          <w:tcPr>
            <w:tcW w:w="0" w:type="auto"/>
          </w:tcPr>
          <w:p w14:paraId="26AEAA2C" w14:textId="77777777" w:rsidR="00007F6C" w:rsidRPr="006C5D1F" w:rsidRDefault="00007F6C" w:rsidP="005E2F1E">
            <w:pPr>
              <w:jc w:val="right"/>
              <w:rPr>
                <w:sz w:val="20"/>
                <w:szCs w:val="20"/>
              </w:rPr>
            </w:pPr>
            <w:r w:rsidRPr="006C5D1F">
              <w:rPr>
                <w:sz w:val="20"/>
                <w:szCs w:val="20"/>
              </w:rPr>
              <w:t>0.48</w:t>
            </w:r>
          </w:p>
        </w:tc>
        <w:tc>
          <w:tcPr>
            <w:tcW w:w="0" w:type="auto"/>
          </w:tcPr>
          <w:p w14:paraId="15C31B66" w14:textId="77777777" w:rsidR="00007F6C" w:rsidRPr="006C5D1F" w:rsidRDefault="00007F6C" w:rsidP="005E2F1E">
            <w:pPr>
              <w:jc w:val="right"/>
              <w:rPr>
                <w:sz w:val="20"/>
                <w:szCs w:val="20"/>
              </w:rPr>
            </w:pPr>
            <w:r w:rsidRPr="006C5D1F">
              <w:rPr>
                <w:sz w:val="20"/>
                <w:szCs w:val="20"/>
              </w:rPr>
              <w:t>1.68</w:t>
            </w:r>
          </w:p>
        </w:tc>
        <w:tc>
          <w:tcPr>
            <w:tcW w:w="0" w:type="auto"/>
          </w:tcPr>
          <w:p w14:paraId="78FEE17B" w14:textId="77777777" w:rsidR="00007F6C" w:rsidRPr="006C5D1F" w:rsidRDefault="00007F6C" w:rsidP="005E2F1E">
            <w:pPr>
              <w:jc w:val="right"/>
              <w:rPr>
                <w:sz w:val="20"/>
                <w:szCs w:val="20"/>
              </w:rPr>
            </w:pPr>
            <w:r w:rsidRPr="006C5D1F">
              <w:rPr>
                <w:sz w:val="20"/>
                <w:szCs w:val="20"/>
              </w:rPr>
              <w:t>517.40</w:t>
            </w:r>
          </w:p>
        </w:tc>
        <w:tc>
          <w:tcPr>
            <w:tcW w:w="0" w:type="auto"/>
          </w:tcPr>
          <w:p w14:paraId="651D2C2F" w14:textId="77777777" w:rsidR="00007F6C" w:rsidRPr="006C5D1F" w:rsidRDefault="00007F6C" w:rsidP="005E2F1E">
            <w:pPr>
              <w:jc w:val="right"/>
              <w:rPr>
                <w:sz w:val="20"/>
                <w:szCs w:val="20"/>
              </w:rPr>
            </w:pPr>
            <w:r w:rsidRPr="006C5D1F">
              <w:rPr>
                <w:sz w:val="20"/>
                <w:szCs w:val="20"/>
              </w:rPr>
              <w:t>3.09</w:t>
            </w:r>
          </w:p>
        </w:tc>
        <w:tc>
          <w:tcPr>
            <w:tcW w:w="0" w:type="auto"/>
          </w:tcPr>
          <w:p w14:paraId="2B34F4B2" w14:textId="77777777" w:rsidR="00007F6C" w:rsidRPr="006C5D1F" w:rsidRDefault="00007F6C" w:rsidP="005E2F1E">
            <w:pPr>
              <w:jc w:val="right"/>
              <w:rPr>
                <w:sz w:val="20"/>
                <w:szCs w:val="20"/>
              </w:rPr>
            </w:pPr>
            <w:r w:rsidRPr="006C5D1F">
              <w:rPr>
                <w:sz w:val="20"/>
                <w:szCs w:val="20"/>
              </w:rPr>
              <w:t>0.60</w:t>
            </w:r>
          </w:p>
        </w:tc>
      </w:tr>
      <w:tr w:rsidR="00007F6C" w:rsidRPr="00A31757" w14:paraId="3FF3EEEE" w14:textId="77777777" w:rsidTr="005E2F1E">
        <w:trPr>
          <w:jc w:val="center"/>
        </w:trPr>
        <w:tc>
          <w:tcPr>
            <w:tcW w:w="0" w:type="auto"/>
          </w:tcPr>
          <w:p w14:paraId="659919BC" w14:textId="77777777" w:rsidR="00007F6C" w:rsidRPr="006C5D1F" w:rsidRDefault="00007F6C" w:rsidP="005E2F1E">
            <w:pPr>
              <w:jc w:val="both"/>
              <w:rPr>
                <w:sz w:val="20"/>
                <w:szCs w:val="20"/>
              </w:rPr>
            </w:pPr>
            <w:r w:rsidRPr="006C5D1F">
              <w:rPr>
                <w:sz w:val="20"/>
                <w:szCs w:val="20"/>
              </w:rPr>
              <w:t>30</w:t>
            </w:r>
          </w:p>
        </w:tc>
        <w:tc>
          <w:tcPr>
            <w:tcW w:w="0" w:type="auto"/>
          </w:tcPr>
          <w:p w14:paraId="3D7D25B4" w14:textId="77777777" w:rsidR="00007F6C" w:rsidRPr="006C5D1F" w:rsidRDefault="00007F6C" w:rsidP="005E2F1E">
            <w:pPr>
              <w:jc w:val="both"/>
              <w:rPr>
                <w:sz w:val="20"/>
                <w:szCs w:val="20"/>
              </w:rPr>
            </w:pPr>
            <w:r w:rsidRPr="006C5D1F">
              <w:rPr>
                <w:sz w:val="20"/>
                <w:szCs w:val="20"/>
              </w:rPr>
              <w:t xml:space="preserve">EC Fit </w:t>
            </w:r>
          </w:p>
          <w:p w14:paraId="051C2D28" w14:textId="77777777" w:rsidR="00007F6C" w:rsidRPr="006C5D1F" w:rsidRDefault="00007F6C" w:rsidP="005E2F1E">
            <w:pPr>
              <w:jc w:val="both"/>
              <w:rPr>
                <w:sz w:val="20"/>
                <w:szCs w:val="20"/>
              </w:rPr>
            </w:pPr>
            <w:r w:rsidRPr="006C5D1F">
              <w:rPr>
                <w:sz w:val="20"/>
                <w:szCs w:val="20"/>
              </w:rPr>
              <w:t>1R – 2RQ</w:t>
            </w:r>
          </w:p>
        </w:tc>
        <w:tc>
          <w:tcPr>
            <w:tcW w:w="0" w:type="auto"/>
          </w:tcPr>
          <w:p w14:paraId="24FD04F1" w14:textId="77777777" w:rsidR="00007F6C" w:rsidRPr="006C5D1F" w:rsidRDefault="00007F6C" w:rsidP="005E2F1E">
            <w:pPr>
              <w:jc w:val="right"/>
              <w:rPr>
                <w:sz w:val="20"/>
                <w:szCs w:val="20"/>
              </w:rPr>
            </w:pPr>
            <w:r w:rsidRPr="006C5D1F">
              <w:rPr>
                <w:sz w:val="20"/>
                <w:szCs w:val="20"/>
              </w:rPr>
              <w:t>28.87</w:t>
            </w:r>
          </w:p>
        </w:tc>
        <w:tc>
          <w:tcPr>
            <w:tcW w:w="0" w:type="auto"/>
          </w:tcPr>
          <w:p w14:paraId="19B347E0" w14:textId="77777777" w:rsidR="00007F6C" w:rsidRPr="006C5D1F" w:rsidRDefault="00007F6C" w:rsidP="005E2F1E">
            <w:pPr>
              <w:jc w:val="right"/>
              <w:rPr>
                <w:sz w:val="20"/>
                <w:szCs w:val="20"/>
              </w:rPr>
            </w:pPr>
            <w:r w:rsidRPr="006C5D1F">
              <w:rPr>
                <w:sz w:val="20"/>
                <w:szCs w:val="20"/>
              </w:rPr>
              <w:t>0.49</w:t>
            </w:r>
          </w:p>
        </w:tc>
        <w:tc>
          <w:tcPr>
            <w:tcW w:w="0" w:type="auto"/>
          </w:tcPr>
          <w:p w14:paraId="0DD92A4E" w14:textId="77777777" w:rsidR="00007F6C" w:rsidRPr="006C5D1F" w:rsidRDefault="00007F6C" w:rsidP="005E2F1E">
            <w:pPr>
              <w:jc w:val="right"/>
              <w:rPr>
                <w:sz w:val="20"/>
                <w:szCs w:val="20"/>
              </w:rPr>
            </w:pPr>
            <w:r w:rsidRPr="006C5D1F">
              <w:rPr>
                <w:sz w:val="20"/>
                <w:szCs w:val="20"/>
              </w:rPr>
              <w:t>1.71</w:t>
            </w:r>
          </w:p>
        </w:tc>
        <w:tc>
          <w:tcPr>
            <w:tcW w:w="0" w:type="auto"/>
          </w:tcPr>
          <w:p w14:paraId="5F38A237" w14:textId="77777777" w:rsidR="00007F6C" w:rsidRPr="006C5D1F" w:rsidRDefault="00007F6C" w:rsidP="005E2F1E">
            <w:pPr>
              <w:jc w:val="right"/>
              <w:rPr>
                <w:sz w:val="20"/>
                <w:szCs w:val="20"/>
              </w:rPr>
            </w:pPr>
            <w:r w:rsidRPr="006C5D1F">
              <w:rPr>
                <w:sz w:val="20"/>
                <w:szCs w:val="20"/>
              </w:rPr>
              <w:t>519.86</w:t>
            </w:r>
          </w:p>
        </w:tc>
        <w:tc>
          <w:tcPr>
            <w:tcW w:w="0" w:type="auto"/>
          </w:tcPr>
          <w:p w14:paraId="1AB3F472" w14:textId="77777777" w:rsidR="00007F6C" w:rsidRPr="006C5D1F" w:rsidRDefault="00007F6C" w:rsidP="005E2F1E">
            <w:pPr>
              <w:jc w:val="right"/>
              <w:rPr>
                <w:sz w:val="20"/>
                <w:szCs w:val="20"/>
              </w:rPr>
            </w:pPr>
            <w:r w:rsidRPr="006C5D1F">
              <w:rPr>
                <w:sz w:val="20"/>
                <w:szCs w:val="20"/>
              </w:rPr>
              <w:t>2.82</w:t>
            </w:r>
          </w:p>
        </w:tc>
        <w:tc>
          <w:tcPr>
            <w:tcW w:w="0" w:type="auto"/>
          </w:tcPr>
          <w:p w14:paraId="04B57270" w14:textId="77777777" w:rsidR="00007F6C" w:rsidRPr="006C5D1F" w:rsidRDefault="00007F6C" w:rsidP="005E2F1E">
            <w:pPr>
              <w:jc w:val="right"/>
              <w:rPr>
                <w:sz w:val="20"/>
                <w:szCs w:val="20"/>
              </w:rPr>
            </w:pPr>
            <w:r w:rsidRPr="006C5D1F">
              <w:rPr>
                <w:sz w:val="20"/>
                <w:szCs w:val="20"/>
              </w:rPr>
              <w:t>0.54</w:t>
            </w:r>
          </w:p>
        </w:tc>
      </w:tr>
      <w:tr w:rsidR="00007F6C" w:rsidRPr="00A31757" w14:paraId="348E3DC8" w14:textId="77777777" w:rsidTr="005E2F1E">
        <w:trPr>
          <w:jc w:val="center"/>
        </w:trPr>
        <w:tc>
          <w:tcPr>
            <w:tcW w:w="0" w:type="auto"/>
          </w:tcPr>
          <w:p w14:paraId="0C21FBCD" w14:textId="77777777" w:rsidR="00007F6C" w:rsidRPr="006C5D1F" w:rsidRDefault="00007F6C" w:rsidP="005E2F1E">
            <w:pPr>
              <w:jc w:val="both"/>
              <w:rPr>
                <w:sz w:val="20"/>
                <w:szCs w:val="20"/>
              </w:rPr>
            </w:pPr>
            <w:r w:rsidRPr="006C5D1F">
              <w:rPr>
                <w:sz w:val="20"/>
                <w:szCs w:val="20"/>
              </w:rPr>
              <w:t>35</w:t>
            </w:r>
          </w:p>
        </w:tc>
        <w:tc>
          <w:tcPr>
            <w:tcW w:w="0" w:type="auto"/>
          </w:tcPr>
          <w:p w14:paraId="0EC5AB10" w14:textId="77777777" w:rsidR="00007F6C" w:rsidRPr="006C5D1F" w:rsidRDefault="00007F6C" w:rsidP="005E2F1E">
            <w:pPr>
              <w:jc w:val="both"/>
              <w:rPr>
                <w:sz w:val="20"/>
                <w:szCs w:val="20"/>
              </w:rPr>
            </w:pPr>
            <w:r w:rsidRPr="006C5D1F">
              <w:rPr>
                <w:sz w:val="20"/>
                <w:szCs w:val="20"/>
              </w:rPr>
              <w:t xml:space="preserve">EC Fit </w:t>
            </w:r>
          </w:p>
          <w:p w14:paraId="50403225" w14:textId="77777777" w:rsidR="00007F6C" w:rsidRPr="006C5D1F" w:rsidRDefault="00007F6C" w:rsidP="005E2F1E">
            <w:pPr>
              <w:jc w:val="both"/>
              <w:rPr>
                <w:sz w:val="20"/>
                <w:szCs w:val="20"/>
              </w:rPr>
            </w:pPr>
            <w:r w:rsidRPr="006C5D1F">
              <w:rPr>
                <w:sz w:val="20"/>
                <w:szCs w:val="20"/>
              </w:rPr>
              <w:t>1R – 2RQ</w:t>
            </w:r>
          </w:p>
        </w:tc>
        <w:tc>
          <w:tcPr>
            <w:tcW w:w="0" w:type="auto"/>
          </w:tcPr>
          <w:p w14:paraId="49D08B29" w14:textId="77777777" w:rsidR="00007F6C" w:rsidRPr="006C5D1F" w:rsidRDefault="00007F6C" w:rsidP="005E2F1E">
            <w:pPr>
              <w:jc w:val="right"/>
              <w:rPr>
                <w:sz w:val="20"/>
                <w:szCs w:val="20"/>
              </w:rPr>
            </w:pPr>
            <w:r w:rsidRPr="006C5D1F">
              <w:rPr>
                <w:sz w:val="20"/>
                <w:szCs w:val="20"/>
              </w:rPr>
              <w:t>28.90</w:t>
            </w:r>
          </w:p>
        </w:tc>
        <w:tc>
          <w:tcPr>
            <w:tcW w:w="0" w:type="auto"/>
          </w:tcPr>
          <w:p w14:paraId="607775F0" w14:textId="77777777" w:rsidR="00007F6C" w:rsidRPr="006C5D1F" w:rsidRDefault="00007F6C" w:rsidP="005E2F1E">
            <w:pPr>
              <w:jc w:val="right"/>
              <w:rPr>
                <w:sz w:val="20"/>
                <w:szCs w:val="20"/>
              </w:rPr>
            </w:pPr>
            <w:r w:rsidRPr="006C5D1F">
              <w:rPr>
                <w:sz w:val="20"/>
                <w:szCs w:val="20"/>
              </w:rPr>
              <w:t>0.51</w:t>
            </w:r>
          </w:p>
        </w:tc>
        <w:tc>
          <w:tcPr>
            <w:tcW w:w="0" w:type="auto"/>
          </w:tcPr>
          <w:p w14:paraId="61F4746B" w14:textId="77777777" w:rsidR="00007F6C" w:rsidRPr="006C5D1F" w:rsidRDefault="00007F6C" w:rsidP="005E2F1E">
            <w:pPr>
              <w:jc w:val="right"/>
              <w:rPr>
                <w:sz w:val="20"/>
                <w:szCs w:val="20"/>
              </w:rPr>
            </w:pPr>
            <w:r w:rsidRPr="006C5D1F">
              <w:rPr>
                <w:sz w:val="20"/>
                <w:szCs w:val="20"/>
              </w:rPr>
              <w:t>1.77</w:t>
            </w:r>
          </w:p>
        </w:tc>
        <w:tc>
          <w:tcPr>
            <w:tcW w:w="0" w:type="auto"/>
          </w:tcPr>
          <w:p w14:paraId="7A230CDA" w14:textId="77777777" w:rsidR="00007F6C" w:rsidRPr="006C5D1F" w:rsidRDefault="00007F6C" w:rsidP="005E2F1E">
            <w:pPr>
              <w:jc w:val="right"/>
              <w:rPr>
                <w:sz w:val="20"/>
                <w:szCs w:val="20"/>
              </w:rPr>
            </w:pPr>
            <w:r w:rsidRPr="006C5D1F">
              <w:rPr>
                <w:sz w:val="20"/>
                <w:szCs w:val="20"/>
              </w:rPr>
              <w:t>524.54</w:t>
            </w:r>
          </w:p>
        </w:tc>
        <w:tc>
          <w:tcPr>
            <w:tcW w:w="0" w:type="auto"/>
          </w:tcPr>
          <w:p w14:paraId="2DB0FB30" w14:textId="77777777" w:rsidR="00007F6C" w:rsidRPr="006C5D1F" w:rsidRDefault="00007F6C" w:rsidP="005E2F1E">
            <w:pPr>
              <w:jc w:val="right"/>
              <w:rPr>
                <w:sz w:val="20"/>
                <w:szCs w:val="20"/>
              </w:rPr>
            </w:pPr>
            <w:r w:rsidRPr="006C5D1F">
              <w:rPr>
                <w:sz w:val="20"/>
                <w:szCs w:val="20"/>
              </w:rPr>
              <w:t>2.71</w:t>
            </w:r>
          </w:p>
        </w:tc>
        <w:tc>
          <w:tcPr>
            <w:tcW w:w="0" w:type="auto"/>
          </w:tcPr>
          <w:p w14:paraId="79A11ACE" w14:textId="77777777" w:rsidR="00007F6C" w:rsidRPr="006C5D1F" w:rsidRDefault="00007F6C" w:rsidP="005E2F1E">
            <w:pPr>
              <w:jc w:val="right"/>
              <w:rPr>
                <w:sz w:val="20"/>
                <w:szCs w:val="20"/>
              </w:rPr>
            </w:pPr>
            <w:r w:rsidRPr="006C5D1F">
              <w:rPr>
                <w:sz w:val="20"/>
                <w:szCs w:val="20"/>
              </w:rPr>
              <w:t>0.51</w:t>
            </w:r>
          </w:p>
        </w:tc>
      </w:tr>
      <w:tr w:rsidR="00007F6C" w:rsidRPr="00A31757" w14:paraId="367CBC9C" w14:textId="77777777" w:rsidTr="005E2F1E">
        <w:trPr>
          <w:jc w:val="center"/>
        </w:trPr>
        <w:tc>
          <w:tcPr>
            <w:tcW w:w="0" w:type="auto"/>
          </w:tcPr>
          <w:p w14:paraId="4FE4FFB1" w14:textId="77777777" w:rsidR="00007F6C" w:rsidRPr="006C5D1F" w:rsidRDefault="00007F6C" w:rsidP="005E2F1E">
            <w:pPr>
              <w:jc w:val="both"/>
              <w:rPr>
                <w:sz w:val="20"/>
                <w:szCs w:val="20"/>
              </w:rPr>
            </w:pPr>
            <w:r w:rsidRPr="006C5D1F">
              <w:rPr>
                <w:sz w:val="20"/>
                <w:szCs w:val="20"/>
              </w:rPr>
              <w:t>40</w:t>
            </w:r>
          </w:p>
        </w:tc>
        <w:tc>
          <w:tcPr>
            <w:tcW w:w="0" w:type="auto"/>
          </w:tcPr>
          <w:p w14:paraId="1F320192" w14:textId="77777777" w:rsidR="00007F6C" w:rsidRPr="006C5D1F" w:rsidRDefault="00007F6C" w:rsidP="005E2F1E">
            <w:pPr>
              <w:jc w:val="both"/>
              <w:rPr>
                <w:sz w:val="20"/>
                <w:szCs w:val="20"/>
              </w:rPr>
            </w:pPr>
            <w:r w:rsidRPr="006C5D1F">
              <w:rPr>
                <w:sz w:val="20"/>
                <w:szCs w:val="20"/>
              </w:rPr>
              <w:t xml:space="preserve">EC Fit </w:t>
            </w:r>
          </w:p>
          <w:p w14:paraId="5C72F077" w14:textId="77777777" w:rsidR="00007F6C" w:rsidRPr="006C5D1F" w:rsidRDefault="00007F6C" w:rsidP="005E2F1E">
            <w:pPr>
              <w:jc w:val="both"/>
              <w:rPr>
                <w:sz w:val="20"/>
                <w:szCs w:val="20"/>
              </w:rPr>
            </w:pPr>
            <w:r w:rsidRPr="006C5D1F">
              <w:rPr>
                <w:sz w:val="20"/>
                <w:szCs w:val="20"/>
              </w:rPr>
              <w:t>1R – 2RQ</w:t>
            </w:r>
          </w:p>
        </w:tc>
        <w:tc>
          <w:tcPr>
            <w:tcW w:w="0" w:type="auto"/>
          </w:tcPr>
          <w:p w14:paraId="407FE870" w14:textId="77777777" w:rsidR="00007F6C" w:rsidRPr="006C5D1F" w:rsidRDefault="00007F6C" w:rsidP="005E2F1E">
            <w:pPr>
              <w:jc w:val="right"/>
              <w:rPr>
                <w:sz w:val="20"/>
                <w:szCs w:val="20"/>
              </w:rPr>
            </w:pPr>
            <w:r w:rsidRPr="006C5D1F">
              <w:rPr>
                <w:sz w:val="20"/>
                <w:szCs w:val="20"/>
              </w:rPr>
              <w:t>30.65</w:t>
            </w:r>
          </w:p>
        </w:tc>
        <w:tc>
          <w:tcPr>
            <w:tcW w:w="0" w:type="auto"/>
          </w:tcPr>
          <w:p w14:paraId="0604D70D" w14:textId="77777777" w:rsidR="00007F6C" w:rsidRPr="006C5D1F" w:rsidRDefault="00007F6C" w:rsidP="005E2F1E">
            <w:pPr>
              <w:jc w:val="right"/>
              <w:rPr>
                <w:sz w:val="20"/>
                <w:szCs w:val="20"/>
              </w:rPr>
            </w:pPr>
            <w:r w:rsidRPr="006C5D1F">
              <w:rPr>
                <w:sz w:val="20"/>
                <w:szCs w:val="20"/>
              </w:rPr>
              <w:t>0.40</w:t>
            </w:r>
          </w:p>
        </w:tc>
        <w:tc>
          <w:tcPr>
            <w:tcW w:w="0" w:type="auto"/>
          </w:tcPr>
          <w:p w14:paraId="02BAB058" w14:textId="77777777" w:rsidR="00007F6C" w:rsidRPr="006C5D1F" w:rsidRDefault="00007F6C" w:rsidP="005E2F1E">
            <w:pPr>
              <w:jc w:val="right"/>
              <w:rPr>
                <w:sz w:val="20"/>
                <w:szCs w:val="20"/>
              </w:rPr>
            </w:pPr>
            <w:r w:rsidRPr="006C5D1F">
              <w:rPr>
                <w:sz w:val="20"/>
                <w:szCs w:val="20"/>
              </w:rPr>
              <w:t>1.31</w:t>
            </w:r>
          </w:p>
        </w:tc>
        <w:tc>
          <w:tcPr>
            <w:tcW w:w="0" w:type="auto"/>
          </w:tcPr>
          <w:p w14:paraId="4F0BD04C" w14:textId="77777777" w:rsidR="00007F6C" w:rsidRPr="006C5D1F" w:rsidRDefault="00007F6C" w:rsidP="005E2F1E">
            <w:pPr>
              <w:jc w:val="right"/>
              <w:rPr>
                <w:sz w:val="20"/>
                <w:szCs w:val="20"/>
              </w:rPr>
            </w:pPr>
            <w:r w:rsidRPr="006C5D1F">
              <w:rPr>
                <w:sz w:val="20"/>
                <w:szCs w:val="20"/>
              </w:rPr>
              <w:t>462.10</w:t>
            </w:r>
          </w:p>
        </w:tc>
        <w:tc>
          <w:tcPr>
            <w:tcW w:w="0" w:type="auto"/>
          </w:tcPr>
          <w:p w14:paraId="1342D386" w14:textId="77777777" w:rsidR="00007F6C" w:rsidRPr="006C5D1F" w:rsidRDefault="00007F6C" w:rsidP="005E2F1E">
            <w:pPr>
              <w:jc w:val="right"/>
              <w:rPr>
                <w:sz w:val="20"/>
                <w:szCs w:val="20"/>
              </w:rPr>
            </w:pPr>
            <w:r w:rsidRPr="006C5D1F">
              <w:rPr>
                <w:sz w:val="20"/>
                <w:szCs w:val="20"/>
              </w:rPr>
              <w:t>2.50</w:t>
            </w:r>
          </w:p>
        </w:tc>
        <w:tc>
          <w:tcPr>
            <w:tcW w:w="0" w:type="auto"/>
          </w:tcPr>
          <w:p w14:paraId="05B972FB" w14:textId="77777777" w:rsidR="00007F6C" w:rsidRPr="006C5D1F" w:rsidRDefault="00007F6C" w:rsidP="005E2F1E">
            <w:pPr>
              <w:jc w:val="right"/>
              <w:rPr>
                <w:sz w:val="20"/>
                <w:szCs w:val="20"/>
              </w:rPr>
            </w:pPr>
            <w:r w:rsidRPr="006C5D1F">
              <w:rPr>
                <w:sz w:val="20"/>
                <w:szCs w:val="20"/>
              </w:rPr>
              <w:t>0.54</w:t>
            </w:r>
          </w:p>
        </w:tc>
      </w:tr>
      <w:tr w:rsidR="00007F6C" w:rsidRPr="00A31757" w14:paraId="7EB9E9E5" w14:textId="77777777" w:rsidTr="005E2F1E">
        <w:trPr>
          <w:jc w:val="center"/>
        </w:trPr>
        <w:tc>
          <w:tcPr>
            <w:tcW w:w="0" w:type="auto"/>
          </w:tcPr>
          <w:p w14:paraId="6A5C73B4" w14:textId="77777777" w:rsidR="00007F6C" w:rsidRPr="006C5D1F" w:rsidRDefault="00007F6C" w:rsidP="005E2F1E">
            <w:pPr>
              <w:jc w:val="both"/>
              <w:rPr>
                <w:sz w:val="20"/>
                <w:szCs w:val="20"/>
              </w:rPr>
            </w:pPr>
            <w:r w:rsidRPr="006C5D1F">
              <w:rPr>
                <w:sz w:val="20"/>
                <w:szCs w:val="20"/>
              </w:rPr>
              <w:t>45</w:t>
            </w:r>
          </w:p>
        </w:tc>
        <w:tc>
          <w:tcPr>
            <w:tcW w:w="0" w:type="auto"/>
          </w:tcPr>
          <w:p w14:paraId="77CFA1B8" w14:textId="77777777" w:rsidR="00007F6C" w:rsidRPr="006C5D1F" w:rsidRDefault="00007F6C" w:rsidP="005E2F1E">
            <w:pPr>
              <w:jc w:val="both"/>
              <w:rPr>
                <w:sz w:val="20"/>
                <w:szCs w:val="20"/>
              </w:rPr>
            </w:pPr>
            <w:r w:rsidRPr="006C5D1F">
              <w:rPr>
                <w:sz w:val="20"/>
                <w:szCs w:val="20"/>
              </w:rPr>
              <w:t xml:space="preserve">EC Fit </w:t>
            </w:r>
          </w:p>
          <w:p w14:paraId="737C0E2C" w14:textId="77777777" w:rsidR="00007F6C" w:rsidRPr="006C5D1F" w:rsidRDefault="00007F6C" w:rsidP="005E2F1E">
            <w:pPr>
              <w:jc w:val="both"/>
              <w:rPr>
                <w:sz w:val="20"/>
                <w:szCs w:val="20"/>
              </w:rPr>
            </w:pPr>
            <w:r w:rsidRPr="006C5D1F">
              <w:rPr>
                <w:sz w:val="20"/>
                <w:szCs w:val="20"/>
              </w:rPr>
              <w:t>1R – 2RQ</w:t>
            </w:r>
          </w:p>
        </w:tc>
        <w:tc>
          <w:tcPr>
            <w:tcW w:w="0" w:type="auto"/>
          </w:tcPr>
          <w:p w14:paraId="79389169" w14:textId="77777777" w:rsidR="00007F6C" w:rsidRPr="006C5D1F" w:rsidRDefault="00007F6C" w:rsidP="005E2F1E">
            <w:pPr>
              <w:jc w:val="right"/>
              <w:rPr>
                <w:sz w:val="20"/>
                <w:szCs w:val="20"/>
              </w:rPr>
            </w:pPr>
            <w:r w:rsidRPr="006C5D1F">
              <w:rPr>
                <w:sz w:val="20"/>
                <w:szCs w:val="20"/>
              </w:rPr>
              <w:t>30.56</w:t>
            </w:r>
          </w:p>
        </w:tc>
        <w:tc>
          <w:tcPr>
            <w:tcW w:w="0" w:type="auto"/>
          </w:tcPr>
          <w:p w14:paraId="0A2F6AD9" w14:textId="77777777" w:rsidR="00007F6C" w:rsidRPr="006C5D1F" w:rsidRDefault="00007F6C" w:rsidP="005E2F1E">
            <w:pPr>
              <w:jc w:val="right"/>
              <w:rPr>
                <w:sz w:val="20"/>
                <w:szCs w:val="20"/>
              </w:rPr>
            </w:pPr>
            <w:r w:rsidRPr="006C5D1F">
              <w:rPr>
                <w:sz w:val="20"/>
                <w:szCs w:val="20"/>
              </w:rPr>
              <w:t>0.35</w:t>
            </w:r>
          </w:p>
        </w:tc>
        <w:tc>
          <w:tcPr>
            <w:tcW w:w="0" w:type="auto"/>
          </w:tcPr>
          <w:p w14:paraId="5822CA7E" w14:textId="77777777" w:rsidR="00007F6C" w:rsidRPr="006C5D1F" w:rsidRDefault="00007F6C" w:rsidP="005E2F1E">
            <w:pPr>
              <w:jc w:val="right"/>
              <w:rPr>
                <w:sz w:val="20"/>
                <w:szCs w:val="20"/>
              </w:rPr>
            </w:pPr>
            <w:r w:rsidRPr="006C5D1F">
              <w:rPr>
                <w:sz w:val="20"/>
                <w:szCs w:val="20"/>
              </w:rPr>
              <w:t>1.16</w:t>
            </w:r>
          </w:p>
        </w:tc>
        <w:tc>
          <w:tcPr>
            <w:tcW w:w="0" w:type="auto"/>
          </w:tcPr>
          <w:p w14:paraId="49BF1E70" w14:textId="77777777" w:rsidR="00007F6C" w:rsidRPr="006C5D1F" w:rsidRDefault="00007F6C" w:rsidP="005E2F1E">
            <w:pPr>
              <w:jc w:val="right"/>
              <w:rPr>
                <w:sz w:val="20"/>
                <w:szCs w:val="20"/>
              </w:rPr>
            </w:pPr>
            <w:r w:rsidRPr="006C5D1F">
              <w:rPr>
                <w:sz w:val="20"/>
                <w:szCs w:val="20"/>
              </w:rPr>
              <w:t>437.99</w:t>
            </w:r>
          </w:p>
        </w:tc>
        <w:tc>
          <w:tcPr>
            <w:tcW w:w="0" w:type="auto"/>
          </w:tcPr>
          <w:p w14:paraId="43FF8049" w14:textId="77777777" w:rsidR="00007F6C" w:rsidRPr="006C5D1F" w:rsidRDefault="00007F6C" w:rsidP="005E2F1E">
            <w:pPr>
              <w:jc w:val="right"/>
              <w:rPr>
                <w:sz w:val="20"/>
                <w:szCs w:val="20"/>
              </w:rPr>
            </w:pPr>
            <w:r w:rsidRPr="006C5D1F">
              <w:rPr>
                <w:sz w:val="20"/>
                <w:szCs w:val="20"/>
              </w:rPr>
              <w:t>2.06</w:t>
            </w:r>
          </w:p>
        </w:tc>
        <w:tc>
          <w:tcPr>
            <w:tcW w:w="0" w:type="auto"/>
          </w:tcPr>
          <w:p w14:paraId="3BE942F1" w14:textId="77777777" w:rsidR="00007F6C" w:rsidRPr="006C5D1F" w:rsidRDefault="00007F6C" w:rsidP="005E2F1E">
            <w:pPr>
              <w:jc w:val="right"/>
              <w:rPr>
                <w:sz w:val="20"/>
                <w:szCs w:val="20"/>
              </w:rPr>
            </w:pPr>
            <w:r w:rsidRPr="006C5D1F">
              <w:rPr>
                <w:sz w:val="20"/>
                <w:szCs w:val="20"/>
              </w:rPr>
              <w:t>0.47</w:t>
            </w:r>
          </w:p>
        </w:tc>
      </w:tr>
      <w:tr w:rsidR="00007F6C" w:rsidRPr="00A31757" w14:paraId="4F7A82BE" w14:textId="77777777" w:rsidTr="005E2F1E">
        <w:trPr>
          <w:jc w:val="center"/>
        </w:trPr>
        <w:tc>
          <w:tcPr>
            <w:tcW w:w="0" w:type="auto"/>
          </w:tcPr>
          <w:p w14:paraId="3D4EE7EF" w14:textId="77777777" w:rsidR="00007F6C" w:rsidRPr="006C5D1F" w:rsidRDefault="00007F6C" w:rsidP="005E2F1E">
            <w:pPr>
              <w:jc w:val="both"/>
              <w:rPr>
                <w:sz w:val="20"/>
                <w:szCs w:val="20"/>
              </w:rPr>
            </w:pPr>
            <w:r w:rsidRPr="006C5D1F">
              <w:rPr>
                <w:sz w:val="20"/>
                <w:szCs w:val="20"/>
              </w:rPr>
              <w:t>50</w:t>
            </w:r>
          </w:p>
        </w:tc>
        <w:tc>
          <w:tcPr>
            <w:tcW w:w="0" w:type="auto"/>
          </w:tcPr>
          <w:p w14:paraId="17248B7A" w14:textId="77777777" w:rsidR="00007F6C" w:rsidRPr="006C5D1F" w:rsidRDefault="00007F6C" w:rsidP="005E2F1E">
            <w:pPr>
              <w:jc w:val="both"/>
              <w:rPr>
                <w:sz w:val="20"/>
                <w:szCs w:val="20"/>
              </w:rPr>
            </w:pPr>
            <w:r w:rsidRPr="006C5D1F">
              <w:rPr>
                <w:sz w:val="20"/>
                <w:szCs w:val="20"/>
              </w:rPr>
              <w:t xml:space="preserve">EC Fit </w:t>
            </w:r>
          </w:p>
          <w:p w14:paraId="70077E04" w14:textId="77777777" w:rsidR="00007F6C" w:rsidRPr="006C5D1F" w:rsidRDefault="00007F6C" w:rsidP="005E2F1E">
            <w:pPr>
              <w:jc w:val="both"/>
              <w:rPr>
                <w:sz w:val="20"/>
                <w:szCs w:val="20"/>
              </w:rPr>
            </w:pPr>
            <w:r w:rsidRPr="006C5D1F">
              <w:rPr>
                <w:sz w:val="20"/>
                <w:szCs w:val="20"/>
              </w:rPr>
              <w:t>1R – 2RQ</w:t>
            </w:r>
          </w:p>
        </w:tc>
        <w:tc>
          <w:tcPr>
            <w:tcW w:w="0" w:type="auto"/>
          </w:tcPr>
          <w:p w14:paraId="6A7A5038" w14:textId="77777777" w:rsidR="00007F6C" w:rsidRPr="006C5D1F" w:rsidRDefault="00007F6C" w:rsidP="005E2F1E">
            <w:pPr>
              <w:jc w:val="right"/>
              <w:rPr>
                <w:sz w:val="20"/>
                <w:szCs w:val="20"/>
              </w:rPr>
            </w:pPr>
            <w:r w:rsidRPr="006C5D1F">
              <w:rPr>
                <w:sz w:val="20"/>
                <w:szCs w:val="20"/>
              </w:rPr>
              <w:t>31.11</w:t>
            </w:r>
          </w:p>
        </w:tc>
        <w:tc>
          <w:tcPr>
            <w:tcW w:w="0" w:type="auto"/>
          </w:tcPr>
          <w:p w14:paraId="71645C6B" w14:textId="77777777" w:rsidR="00007F6C" w:rsidRPr="006C5D1F" w:rsidRDefault="00007F6C" w:rsidP="005E2F1E">
            <w:pPr>
              <w:jc w:val="right"/>
              <w:rPr>
                <w:sz w:val="20"/>
                <w:szCs w:val="20"/>
              </w:rPr>
            </w:pPr>
            <w:r w:rsidRPr="006C5D1F">
              <w:rPr>
                <w:sz w:val="20"/>
                <w:szCs w:val="20"/>
              </w:rPr>
              <w:t>0.40</w:t>
            </w:r>
          </w:p>
        </w:tc>
        <w:tc>
          <w:tcPr>
            <w:tcW w:w="0" w:type="auto"/>
          </w:tcPr>
          <w:p w14:paraId="323A5A2D" w14:textId="77777777" w:rsidR="00007F6C" w:rsidRPr="006C5D1F" w:rsidRDefault="00007F6C" w:rsidP="005E2F1E">
            <w:pPr>
              <w:jc w:val="right"/>
              <w:rPr>
                <w:sz w:val="20"/>
                <w:szCs w:val="20"/>
              </w:rPr>
            </w:pPr>
            <w:r w:rsidRPr="006C5D1F">
              <w:rPr>
                <w:sz w:val="20"/>
                <w:szCs w:val="20"/>
              </w:rPr>
              <w:t>1.30</w:t>
            </w:r>
          </w:p>
        </w:tc>
        <w:tc>
          <w:tcPr>
            <w:tcW w:w="0" w:type="auto"/>
          </w:tcPr>
          <w:p w14:paraId="03A23A02" w14:textId="77777777" w:rsidR="00007F6C" w:rsidRPr="006C5D1F" w:rsidRDefault="00007F6C" w:rsidP="005E2F1E">
            <w:pPr>
              <w:jc w:val="right"/>
              <w:rPr>
                <w:sz w:val="20"/>
                <w:szCs w:val="20"/>
              </w:rPr>
            </w:pPr>
            <w:r w:rsidRPr="006C5D1F">
              <w:rPr>
                <w:sz w:val="20"/>
                <w:szCs w:val="20"/>
              </w:rPr>
              <w:t>457.67</w:t>
            </w:r>
          </w:p>
        </w:tc>
        <w:tc>
          <w:tcPr>
            <w:tcW w:w="0" w:type="auto"/>
          </w:tcPr>
          <w:p w14:paraId="0198010C" w14:textId="77777777" w:rsidR="00007F6C" w:rsidRPr="006C5D1F" w:rsidRDefault="00007F6C" w:rsidP="005E2F1E">
            <w:pPr>
              <w:jc w:val="right"/>
              <w:rPr>
                <w:sz w:val="20"/>
                <w:szCs w:val="20"/>
              </w:rPr>
            </w:pPr>
            <w:r w:rsidRPr="006C5D1F">
              <w:rPr>
                <w:sz w:val="20"/>
                <w:szCs w:val="20"/>
              </w:rPr>
              <w:t>2.43</w:t>
            </w:r>
          </w:p>
        </w:tc>
        <w:tc>
          <w:tcPr>
            <w:tcW w:w="0" w:type="auto"/>
          </w:tcPr>
          <w:p w14:paraId="3F6CE42E" w14:textId="77777777" w:rsidR="00007F6C" w:rsidRPr="006C5D1F" w:rsidRDefault="00007F6C" w:rsidP="005E2F1E">
            <w:pPr>
              <w:jc w:val="right"/>
              <w:rPr>
                <w:sz w:val="20"/>
                <w:szCs w:val="20"/>
              </w:rPr>
            </w:pPr>
            <w:r w:rsidRPr="006C5D1F">
              <w:rPr>
                <w:sz w:val="20"/>
                <w:szCs w:val="20"/>
              </w:rPr>
              <w:t>0.53</w:t>
            </w:r>
          </w:p>
        </w:tc>
      </w:tr>
    </w:tbl>
    <w:p w14:paraId="3C766ED8" w14:textId="15FD5CC9" w:rsidR="00007F6C" w:rsidRDefault="00903E7F" w:rsidP="00007F6C">
      <w:pPr>
        <w:pStyle w:val="Heading5"/>
        <w:jc w:val="both"/>
      </w:pPr>
      <w:r>
        <w:t>A</w:t>
      </w:r>
      <w:r w:rsidR="00007F6C">
        <w:t>ctivation Energy</w:t>
      </w:r>
    </w:p>
    <w:p w14:paraId="6A177AE4" w14:textId="7F656F6E" w:rsidR="00AC46C4" w:rsidRPr="00AC46C4" w:rsidRDefault="00AC46C4" w:rsidP="00AC46C4">
      <w:pPr>
        <w:jc w:val="both"/>
      </w:pPr>
      <w:r>
        <w:t>The Arrhenius activation energy plot (</w:t>
      </w:r>
      <w:r>
        <w:fldChar w:fldCharType="begin"/>
      </w:r>
      <w:r>
        <w:instrText xml:space="preserve"> REF _Ref46149044 \h </w:instrText>
      </w:r>
      <w:r>
        <w:fldChar w:fldCharType="separate"/>
      </w:r>
      <w:r>
        <w:t>Figure 5.</w:t>
      </w:r>
      <w:r>
        <w:rPr>
          <w:noProof/>
        </w:rPr>
        <w:t>126</w:t>
      </w:r>
      <w:r>
        <w:fldChar w:fldCharType="end"/>
      </w:r>
      <w:r>
        <w:t>) for the gold coated Ni-YSZ samples showed three distinct linear gradients and two points of inflection. The intersected point between the 1</w:t>
      </w:r>
      <w:r w:rsidRPr="00AC46C4">
        <w:rPr>
          <w:vertAlign w:val="superscript"/>
        </w:rPr>
        <w:t>st</w:t>
      </w:r>
      <w:r>
        <w:t xml:space="preserve"> and 2</w:t>
      </w:r>
      <w:r w:rsidRPr="00AC46C4">
        <w:rPr>
          <w:vertAlign w:val="superscript"/>
        </w:rPr>
        <w:t>nd</w:t>
      </w:r>
      <w:r>
        <w:t xml:space="preserve"> linear gradients occurred 50 </w:t>
      </w:r>
      <w:r>
        <w:rPr>
          <w:rFonts w:cstheme="minorHAnsi"/>
        </w:rPr>
        <w:t>°</w:t>
      </w:r>
      <w:r>
        <w:t xml:space="preserve">C earlier than its silver counterpart (Au 550 </w:t>
      </w:r>
      <w:r>
        <w:rPr>
          <w:rFonts w:cstheme="minorHAnsi"/>
        </w:rPr>
        <w:t>°</w:t>
      </w:r>
      <w:r>
        <w:t xml:space="preserve">C, Ag 600 </w:t>
      </w:r>
      <w:r>
        <w:rPr>
          <w:rFonts w:cstheme="minorHAnsi"/>
        </w:rPr>
        <w:t>°</w:t>
      </w:r>
      <w:r>
        <w:t>C)</w:t>
      </w:r>
      <w:r w:rsidRPr="00AC46C4">
        <w:t xml:space="preserve"> </w:t>
      </w:r>
      <w:r w:rsidRPr="00EC72DA">
        <w:t>(</w:t>
      </w:r>
      <w:r w:rsidRPr="00EC72DA">
        <w:fldChar w:fldCharType="begin"/>
      </w:r>
      <w:r w:rsidRPr="00EC72DA">
        <w:instrText xml:space="preserve"> REF _Ref46149025 \h  \* MERGEFORMAT </w:instrText>
      </w:r>
      <w:r w:rsidRPr="00EC72DA">
        <w:fldChar w:fldCharType="separate"/>
      </w:r>
      <w:r w:rsidR="006C5D1F">
        <w:t xml:space="preserve">Figure </w:t>
      </w:r>
      <w:r w:rsidR="006C5D1F">
        <w:rPr>
          <w:noProof/>
        </w:rPr>
        <w:t>5.9</w:t>
      </w:r>
      <w:r w:rsidRPr="00EC72DA">
        <w:fldChar w:fldCharType="end"/>
      </w:r>
      <w:r w:rsidRPr="00EC72DA">
        <w:t xml:space="preserve"> and </w:t>
      </w:r>
      <w:r w:rsidRPr="00EC72DA">
        <w:fldChar w:fldCharType="begin"/>
      </w:r>
      <w:r w:rsidRPr="00EC72DA">
        <w:instrText xml:space="preserve"> REF _Ref46149044 \h  \* MERGEFORMAT </w:instrText>
      </w:r>
      <w:r w:rsidRPr="00EC72DA">
        <w:fldChar w:fldCharType="separate"/>
      </w:r>
      <w:r w:rsidR="006C5D1F">
        <w:t xml:space="preserve">Figure </w:t>
      </w:r>
      <w:r w:rsidR="006C5D1F">
        <w:rPr>
          <w:noProof/>
        </w:rPr>
        <w:t>5.16</w:t>
      </w:r>
      <w:r w:rsidRPr="00EC72DA">
        <w:fldChar w:fldCharType="end"/>
      </w:r>
      <w:r w:rsidRPr="00EC72DA">
        <w:t xml:space="preserve">). </w:t>
      </w:r>
      <w:r>
        <w:t xml:space="preserve"> The activation energy at the 2</w:t>
      </w:r>
      <w:r w:rsidRPr="00AC46C4">
        <w:rPr>
          <w:vertAlign w:val="superscript"/>
        </w:rPr>
        <w:t>nd</w:t>
      </w:r>
      <w:r>
        <w:t xml:space="preserve"> segment dropped by 0.53 eV in comparison with the 1</w:t>
      </w:r>
      <w:r w:rsidRPr="00AC46C4">
        <w:rPr>
          <w:vertAlign w:val="superscript"/>
        </w:rPr>
        <w:t>st</w:t>
      </w:r>
      <w:r>
        <w:t xml:space="preserve"> segment (</w:t>
      </w:r>
      <w:r>
        <w:fldChar w:fldCharType="begin"/>
      </w:r>
      <w:r>
        <w:instrText xml:space="preserve"> REF _Ref67990858 \h </w:instrText>
      </w:r>
      <w:r>
        <w:fldChar w:fldCharType="separate"/>
      </w:r>
      <w:r>
        <w:t>Table 5.</w:t>
      </w:r>
      <w:r>
        <w:rPr>
          <w:noProof/>
        </w:rPr>
        <w:t>7</w:t>
      </w:r>
      <w:r>
        <w:fldChar w:fldCharType="end"/>
      </w:r>
      <w:r>
        <w:t xml:space="preserve">). </w:t>
      </w:r>
      <w:r w:rsidR="000474C2" w:rsidRPr="00EC72DA">
        <w:t>The activation energy of the gold was consistently lower than the silver which mirrors the reduced R</w:t>
      </w:r>
      <w:r w:rsidR="000474C2" w:rsidRPr="00EC72DA">
        <w:rPr>
          <w:vertAlign w:val="subscript"/>
        </w:rPr>
        <w:t xml:space="preserve">P </w:t>
      </w:r>
      <w:r w:rsidR="000474C2" w:rsidRPr="00EC72DA">
        <w:t xml:space="preserve">also gathered during ageing.  </w:t>
      </w:r>
    </w:p>
    <w:p w14:paraId="26871B21" w14:textId="29CD415B" w:rsidR="00007F6C" w:rsidRDefault="000355C2" w:rsidP="00007F6C">
      <w:pPr>
        <w:keepNext/>
        <w:jc w:val="center"/>
      </w:pPr>
      <w:r w:rsidRPr="000355C2">
        <w:rPr>
          <w:noProof/>
        </w:rPr>
        <w:drawing>
          <wp:inline distT="0" distB="0" distL="0" distR="0" wp14:anchorId="3CF3325C" wp14:editId="70DF163C">
            <wp:extent cx="3600000" cy="2798437"/>
            <wp:effectExtent l="0" t="0" r="635"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5">
                      <a:extLst>
                        <a:ext uri="{28A0092B-C50C-407E-A947-70E740481C1C}">
                          <a14:useLocalDpi xmlns:a14="http://schemas.microsoft.com/office/drawing/2010/main" val="0"/>
                        </a:ext>
                      </a:extLst>
                    </a:blip>
                    <a:srcRect l="10198" t="9483" r="5592" b="4741"/>
                    <a:stretch/>
                  </pic:blipFill>
                  <pic:spPr bwMode="auto">
                    <a:xfrm>
                      <a:off x="0" y="0"/>
                      <a:ext cx="3600000" cy="2798437"/>
                    </a:xfrm>
                    <a:prstGeom prst="rect">
                      <a:avLst/>
                    </a:prstGeom>
                    <a:noFill/>
                    <a:ln>
                      <a:noFill/>
                    </a:ln>
                    <a:extLst>
                      <a:ext uri="{53640926-AAD7-44D8-BBD7-CCE9431645EC}">
                        <a14:shadowObscured xmlns:a14="http://schemas.microsoft.com/office/drawing/2010/main"/>
                      </a:ext>
                    </a:extLst>
                  </pic:spPr>
                </pic:pic>
              </a:graphicData>
            </a:graphic>
          </wp:inline>
        </w:drawing>
      </w:r>
    </w:p>
    <w:p w14:paraId="28287F7B" w14:textId="274E8D54" w:rsidR="00007F6C" w:rsidRDefault="00007F6C" w:rsidP="00007F6C">
      <w:pPr>
        <w:pStyle w:val="Caption"/>
      </w:pPr>
      <w:bookmarkStart w:id="477" w:name="_Ref46149044"/>
      <w:bookmarkStart w:id="478" w:name="_Toc69115031"/>
      <w:r>
        <w:t>Figure 5.</w:t>
      </w:r>
      <w:r w:rsidR="00B51F53">
        <w:fldChar w:fldCharType="begin"/>
      </w:r>
      <w:r w:rsidR="00B51F53">
        <w:instrText xml:space="preserve"> SEQ Figure \* ARABIC </w:instrText>
      </w:r>
      <w:r w:rsidR="00B51F53">
        <w:fldChar w:fldCharType="separate"/>
      </w:r>
      <w:r w:rsidR="006C5D1F">
        <w:rPr>
          <w:noProof/>
        </w:rPr>
        <w:t>16</w:t>
      </w:r>
      <w:r w:rsidR="00B51F53">
        <w:rPr>
          <w:noProof/>
        </w:rPr>
        <w:fldChar w:fldCharType="end"/>
      </w:r>
      <w:bookmarkEnd w:id="477"/>
      <w:r>
        <w:t xml:space="preserve">: </w:t>
      </w:r>
      <w:r w:rsidRPr="006647B8">
        <w:t>Arrhenius</w:t>
      </w:r>
      <w:r>
        <w:t xml:space="preserve"> plot of the polarisation resistance vs 1000/T for the Au1 at 400-800</w:t>
      </w:r>
      <w:r w:rsidR="00FF383D">
        <w:t xml:space="preserve"> </w:t>
      </w:r>
      <w:r>
        <w:rPr>
          <w:rFonts w:cstheme="minorHAnsi"/>
        </w:rPr>
        <w:t>⁰</w:t>
      </w:r>
      <w:r>
        <w:t>C</w:t>
      </w:r>
      <w:r w:rsidR="00FF383D">
        <w:t xml:space="preserve"> (673 – 1073 K)</w:t>
      </w:r>
      <w:r w:rsidR="000355C2">
        <w:t>. Three gradients were identified with linear fitting.</w:t>
      </w:r>
      <w:r w:rsidR="00FF383D">
        <w:t xml:space="preserve"> 1. 400-550 </w:t>
      </w:r>
      <w:r w:rsidR="00FF383D">
        <w:rPr>
          <w:rFonts w:cstheme="minorHAnsi"/>
        </w:rPr>
        <w:t>°</w:t>
      </w:r>
      <w:r w:rsidR="00FF383D">
        <w:t xml:space="preserve">C 2. 550 – 700 </w:t>
      </w:r>
      <w:r w:rsidR="00FF383D">
        <w:rPr>
          <w:rFonts w:cstheme="minorHAnsi"/>
        </w:rPr>
        <w:t>°</w:t>
      </w:r>
      <w:r w:rsidR="00FF383D">
        <w:t xml:space="preserve">C 3. 700 – 800 </w:t>
      </w:r>
      <w:r w:rsidR="00FF383D">
        <w:rPr>
          <w:rFonts w:cstheme="minorHAnsi"/>
        </w:rPr>
        <w:t>°</w:t>
      </w:r>
      <w:r w:rsidR="00FF383D">
        <w:t>C</w:t>
      </w:r>
      <w:r w:rsidR="00061636">
        <w:t xml:space="preserve">. The error bars are calculated from the standard deviation of the </w:t>
      </w:r>
      <w:proofErr w:type="gramStart"/>
      <w:r w:rsidR="00061636">
        <w:t>dataset</w:t>
      </w:r>
      <w:bookmarkEnd w:id="478"/>
      <w:proofErr w:type="gramEnd"/>
    </w:p>
    <w:p w14:paraId="25D60B82" w14:textId="246797E2" w:rsidR="00AC46C4" w:rsidRPr="000474C2" w:rsidRDefault="000474C2" w:rsidP="00007F6C">
      <w:pPr>
        <w:jc w:val="both"/>
      </w:pPr>
      <w:r>
        <w:lastRenderedPageBreak/>
        <w:t xml:space="preserve">The position of this change indicates initiation of a mechanism between either the infiltrated fuel electrode and/or the gold current collector. As the nickel </w:t>
      </w:r>
      <w:proofErr w:type="spellStart"/>
      <w:r>
        <w:t>T</w:t>
      </w:r>
      <w:r>
        <w:rPr>
          <w:vertAlign w:val="subscript"/>
        </w:rPr>
        <w:t>Tammann</w:t>
      </w:r>
      <w:proofErr w:type="spellEnd"/>
      <w:r>
        <w:t xml:space="preserve"> temperature exceeds the temperature range of 2</w:t>
      </w:r>
      <w:r w:rsidRPr="000474C2">
        <w:rPr>
          <w:vertAlign w:val="superscript"/>
        </w:rPr>
        <w:t>nd</w:t>
      </w:r>
      <w:r>
        <w:t xml:space="preserve"> linear gradient – the process is predominantly a gold interaction – suggesting that diffusion, alloying and sintering are </w:t>
      </w:r>
      <w:r w:rsidRPr="00EC72DA">
        <w:t xml:space="preserve">also prevalent in the current collector layer </w:t>
      </w:r>
      <w:r w:rsidRPr="00EC72DA">
        <w:fldChar w:fldCharType="begin" w:fldLock="1"/>
      </w:r>
      <w:r>
        <w:instrText>ADDIN CSL_CITATION {"citationItems":[{"id":"ITEM-1","itemData":{"DOI":"10.1002/zaac.19191070102","abstract":"Abstract Übersicht S.1.– 1. Die regellose Verteilung zweier Molekülarten S.9.–2. Die regelmäßigen Verteilungen zweier Atomarten in Raumgittern S. 15.–3. Die bei der Extraktion mit Salpetersäure verbleibenden Rückstände der Gold - Silber- und Gold -Kupferlegierungen S. 49. – 4. Vorläufige Bestimmung der Einwirkungsgrenzen von schwefelhaltigen Agentien und schwachen Oxydationsmitteln auf die Cu-Au-Mischkristalle und der Einfluß der Temperatur auf diese Einwirkungsgrenzen S. 57 – 5. Genauere Bestimmung der Einwirkungsgrenzen auf die Cu-Au- und Ag-Au-Mischkristalle in Abhängigkeit von der Natur der chemischen Agentien S. 62. – 6. Über die Löslichkeit von Wasserstoff in Palladiummischkristallen S. 89. – 7. Deutung der Einwirkungsgrenzen S. 96. – 8. Das Verhalten der ternären Mischkristalle von Cu, Ag und Au gegen chemische Agentien und ihre Farben S. 107. – 9. Die Einwirkungsgrenzen der Mischkristalle des Vanadins und Siliciums mit Eisen S. 118.–10. Die galvanischen Spannungen der Legierungen S. 136.– 11. Angenäherte Bestimmung der Einwirkungsgrenzen auf die Mischkristallreihen des Mn mit Ag und die des Mg mit Ag S. 169. – 12. Über den Einfluß der Kaltbearbeitung auf die chemischen Einwirkungsgrenzen S. 171. – 13. Zusammenfassung der Resultate, betreffend die Einwirkungsgrenzen und Übersicht ihrer Deutung S. 186. – 14. Über den atomistischen Aufbau nichtmetallischer Mischkristalle S. 186.– 15. Die normale Molekülverteilung in Mischkristallen als Ursache ihrer anomalen Doppelbrechung S. 208. – 16. Isomere metallische Mischkristalle S. 217.–17. Bemerkungen über „Säure”︁ beständige Legierungen S.235.– Schlußwort S.237.","author":[{"dropping-particle":"","family":"Tammann","given":"G","non-dropping-particle":"","parse-names":false,"suffix":""}],"container-title":"Zeitschrift für anorganische und allgemeine Chemie","id":"ITEM-1","issue":"1","issued":{"date-parts":[["1919"]]},"page":"1-239","title":"Zum Gedächtnis der Entdeckung des Isomorphismus vor 100 Jahren. Die chemischen und galvanischen Eigenschaften von Mischkristallreihen und ihre Atomverteilung","type":"article-journal","volume":"107"},"uris":["http://www.mendeley.com/documents/?uuid=6284032c-9c7e-43bd-bed0-65f21129f2be"]}],"mendeley":{"formattedCitation":"[238]","plainTextFormattedCitation":"[238]","previouslyFormattedCitation":"[238]"},"properties":{"noteIndex":0},"schema":"https://github.com/citation-style-language/schema/raw/master/csl-citation.json"}</w:instrText>
      </w:r>
      <w:r w:rsidRPr="00EC72DA">
        <w:fldChar w:fldCharType="separate"/>
      </w:r>
      <w:r w:rsidRPr="006C586A">
        <w:rPr>
          <w:noProof/>
        </w:rPr>
        <w:t>[238]</w:t>
      </w:r>
      <w:r w:rsidRPr="00EC72DA">
        <w:fldChar w:fldCharType="end"/>
      </w:r>
      <w:r w:rsidRPr="00EC72DA">
        <w:t>.</w:t>
      </w:r>
    </w:p>
    <w:p w14:paraId="6FE1D6B9" w14:textId="51CE613E" w:rsidR="00AC46C4" w:rsidRDefault="00AC46C4" w:rsidP="00AC46C4">
      <w:pPr>
        <w:pStyle w:val="Caption"/>
        <w:keepNext/>
      </w:pPr>
      <w:bookmarkStart w:id="479" w:name="_Ref67990858"/>
      <w:r>
        <w:t>Table 5.</w:t>
      </w:r>
      <w:r w:rsidR="00B51F53">
        <w:fldChar w:fldCharType="begin"/>
      </w:r>
      <w:r w:rsidR="00B51F53">
        <w:instrText xml:space="preserve"> SEQ Table \* ARABIC </w:instrText>
      </w:r>
      <w:r w:rsidR="00B51F53">
        <w:fldChar w:fldCharType="separate"/>
      </w:r>
      <w:r w:rsidR="0022061C">
        <w:rPr>
          <w:noProof/>
        </w:rPr>
        <w:t>7</w:t>
      </w:r>
      <w:r w:rsidR="00B51F53">
        <w:rPr>
          <w:noProof/>
        </w:rPr>
        <w:fldChar w:fldCharType="end"/>
      </w:r>
      <w:bookmarkEnd w:id="479"/>
      <w:r>
        <w:t>: Calculated Activation Energies of the three linear gradients from the Au1 Arrhenius plot</w:t>
      </w:r>
    </w:p>
    <w:tbl>
      <w:tblPr>
        <w:tblStyle w:val="TableGrid"/>
        <w:tblW w:w="0" w:type="auto"/>
        <w:jc w:val="center"/>
        <w:tblLook w:val="04A0" w:firstRow="1" w:lastRow="0" w:firstColumn="1" w:lastColumn="0" w:noHBand="0" w:noVBand="1"/>
      </w:tblPr>
      <w:tblGrid>
        <w:gridCol w:w="2176"/>
        <w:gridCol w:w="2545"/>
        <w:gridCol w:w="2301"/>
        <w:gridCol w:w="1994"/>
      </w:tblGrid>
      <w:tr w:rsidR="00AC46C4" w14:paraId="0ABD5618" w14:textId="77777777" w:rsidTr="000474C2">
        <w:trPr>
          <w:jc w:val="center"/>
        </w:trPr>
        <w:tc>
          <w:tcPr>
            <w:tcW w:w="0" w:type="auto"/>
            <w:shd w:val="clear" w:color="auto" w:fill="D9D9D9" w:themeFill="background1" w:themeFillShade="D9"/>
          </w:tcPr>
          <w:p w14:paraId="15FB2938" w14:textId="77777777" w:rsidR="00AC46C4" w:rsidRPr="00FF383D" w:rsidRDefault="00AC46C4" w:rsidP="00AC46C4">
            <w:pPr>
              <w:rPr>
                <w:b/>
                <w:bCs/>
              </w:rPr>
            </w:pPr>
            <w:r w:rsidRPr="00FF383D">
              <w:rPr>
                <w:b/>
                <w:bCs/>
              </w:rPr>
              <w:t>Temperature Range [</w:t>
            </w:r>
            <w:r w:rsidRPr="00FF383D">
              <w:rPr>
                <w:rFonts w:cstheme="minorHAnsi"/>
                <w:b/>
                <w:bCs/>
              </w:rPr>
              <w:t>°</w:t>
            </w:r>
            <w:r w:rsidRPr="00FF383D">
              <w:rPr>
                <w:b/>
                <w:bCs/>
              </w:rPr>
              <w:t>C]</w:t>
            </w:r>
          </w:p>
        </w:tc>
        <w:tc>
          <w:tcPr>
            <w:tcW w:w="0" w:type="auto"/>
            <w:shd w:val="clear" w:color="auto" w:fill="D9D9D9" w:themeFill="background1" w:themeFillShade="D9"/>
          </w:tcPr>
          <w:p w14:paraId="5F68F627" w14:textId="77777777" w:rsidR="00AC46C4" w:rsidRPr="00FF383D" w:rsidRDefault="00AC46C4" w:rsidP="00AC46C4">
            <w:pPr>
              <w:rPr>
                <w:b/>
                <w:bCs/>
              </w:rPr>
            </w:pPr>
            <w:r w:rsidRPr="00FF383D">
              <w:rPr>
                <w:b/>
                <w:bCs/>
              </w:rPr>
              <w:t>Linear Fit Gradient, m [</w:t>
            </w:r>
            <w:r>
              <w:rPr>
                <w:rFonts w:cstheme="minorHAnsi"/>
                <w:b/>
                <w:bCs/>
              </w:rPr>
              <w:t>Ω</w:t>
            </w:r>
            <w:r>
              <w:rPr>
                <w:b/>
                <w:bCs/>
              </w:rPr>
              <w:t>cm</w:t>
            </w:r>
            <w:r>
              <w:rPr>
                <w:b/>
                <w:bCs/>
                <w:vertAlign w:val="superscript"/>
              </w:rPr>
              <w:t>2</w:t>
            </w:r>
            <w:r>
              <w:rPr>
                <w:b/>
                <w:bCs/>
              </w:rPr>
              <w:t>K</w:t>
            </w:r>
            <w:r w:rsidRPr="00FF383D">
              <w:rPr>
                <w:b/>
                <w:bCs/>
              </w:rPr>
              <w:t>]</w:t>
            </w:r>
          </w:p>
        </w:tc>
        <w:tc>
          <w:tcPr>
            <w:tcW w:w="0" w:type="auto"/>
            <w:shd w:val="clear" w:color="auto" w:fill="D9D9D9" w:themeFill="background1" w:themeFillShade="D9"/>
          </w:tcPr>
          <w:p w14:paraId="58B81879" w14:textId="77777777" w:rsidR="00AC46C4" w:rsidRPr="00FF383D" w:rsidRDefault="00AC46C4" w:rsidP="00AC46C4">
            <w:pPr>
              <w:rPr>
                <w:b/>
                <w:bCs/>
              </w:rPr>
            </w:pPr>
            <w:r w:rsidRPr="00FF383D">
              <w:rPr>
                <w:b/>
                <w:bCs/>
              </w:rPr>
              <w:t>Activation Energy [kJmol</w:t>
            </w:r>
            <w:r w:rsidRPr="00FF383D">
              <w:rPr>
                <w:b/>
                <w:bCs/>
                <w:vertAlign w:val="superscript"/>
              </w:rPr>
              <w:t>-1</w:t>
            </w:r>
            <w:r w:rsidRPr="00FF383D">
              <w:rPr>
                <w:b/>
                <w:bCs/>
              </w:rPr>
              <w:t>]</w:t>
            </w:r>
          </w:p>
        </w:tc>
        <w:tc>
          <w:tcPr>
            <w:tcW w:w="0" w:type="auto"/>
            <w:shd w:val="clear" w:color="auto" w:fill="D9D9D9" w:themeFill="background1" w:themeFillShade="D9"/>
          </w:tcPr>
          <w:p w14:paraId="298FBFC9" w14:textId="77777777" w:rsidR="00AC46C4" w:rsidRPr="00FF383D" w:rsidRDefault="00AC46C4" w:rsidP="00AC46C4">
            <w:pPr>
              <w:rPr>
                <w:b/>
                <w:bCs/>
              </w:rPr>
            </w:pPr>
            <w:r w:rsidRPr="00FF383D">
              <w:rPr>
                <w:b/>
                <w:bCs/>
              </w:rPr>
              <w:t>Activation Energy [eV]</w:t>
            </w:r>
          </w:p>
        </w:tc>
      </w:tr>
      <w:tr w:rsidR="00AC46C4" w14:paraId="62E56FE1" w14:textId="77777777" w:rsidTr="000474C2">
        <w:trPr>
          <w:jc w:val="center"/>
        </w:trPr>
        <w:tc>
          <w:tcPr>
            <w:tcW w:w="0" w:type="auto"/>
          </w:tcPr>
          <w:p w14:paraId="1C9C828E" w14:textId="77777777" w:rsidR="00AC46C4" w:rsidRDefault="00AC46C4" w:rsidP="00AC46C4">
            <w:pPr>
              <w:jc w:val="center"/>
            </w:pPr>
            <w:r>
              <w:t>400 - 550</w:t>
            </w:r>
          </w:p>
        </w:tc>
        <w:tc>
          <w:tcPr>
            <w:tcW w:w="0" w:type="auto"/>
          </w:tcPr>
          <w:p w14:paraId="3B493F07" w14:textId="77777777" w:rsidR="00AC46C4" w:rsidRDefault="00AC46C4" w:rsidP="00AC46C4">
            <w:pPr>
              <w:jc w:val="center"/>
            </w:pPr>
            <w:r>
              <w:t>2.65</w:t>
            </w:r>
          </w:p>
        </w:tc>
        <w:tc>
          <w:tcPr>
            <w:tcW w:w="0" w:type="auto"/>
          </w:tcPr>
          <w:p w14:paraId="0403C74A" w14:textId="77777777" w:rsidR="00AC46C4" w:rsidRDefault="00AC46C4" w:rsidP="00AC46C4">
            <w:pPr>
              <w:jc w:val="center"/>
            </w:pPr>
            <w:r>
              <w:t>-22.04</w:t>
            </w:r>
          </w:p>
        </w:tc>
        <w:tc>
          <w:tcPr>
            <w:tcW w:w="0" w:type="auto"/>
          </w:tcPr>
          <w:p w14:paraId="200109E6" w14:textId="77777777" w:rsidR="00AC46C4" w:rsidRDefault="00AC46C4" w:rsidP="00AC46C4">
            <w:pPr>
              <w:jc w:val="center"/>
            </w:pPr>
            <w:r>
              <w:t>-0.23</w:t>
            </w:r>
          </w:p>
        </w:tc>
      </w:tr>
      <w:tr w:rsidR="00AC46C4" w14:paraId="06AE069A" w14:textId="77777777" w:rsidTr="000474C2">
        <w:trPr>
          <w:jc w:val="center"/>
        </w:trPr>
        <w:tc>
          <w:tcPr>
            <w:tcW w:w="0" w:type="auto"/>
          </w:tcPr>
          <w:p w14:paraId="1701F4D7" w14:textId="77777777" w:rsidR="00AC46C4" w:rsidRDefault="00AC46C4" w:rsidP="00AC46C4">
            <w:pPr>
              <w:jc w:val="center"/>
            </w:pPr>
            <w:r>
              <w:t>550 – 700</w:t>
            </w:r>
          </w:p>
        </w:tc>
        <w:tc>
          <w:tcPr>
            <w:tcW w:w="0" w:type="auto"/>
          </w:tcPr>
          <w:p w14:paraId="411A9760" w14:textId="77777777" w:rsidR="00AC46C4" w:rsidRDefault="00AC46C4" w:rsidP="00AC46C4">
            <w:pPr>
              <w:jc w:val="center"/>
            </w:pPr>
            <w:r>
              <w:t>8.83</w:t>
            </w:r>
          </w:p>
        </w:tc>
        <w:tc>
          <w:tcPr>
            <w:tcW w:w="0" w:type="auto"/>
          </w:tcPr>
          <w:p w14:paraId="342E0B5A" w14:textId="77777777" w:rsidR="00AC46C4" w:rsidRDefault="00AC46C4" w:rsidP="00AC46C4">
            <w:pPr>
              <w:jc w:val="center"/>
            </w:pPr>
            <w:r>
              <w:t>-73.41</w:t>
            </w:r>
          </w:p>
        </w:tc>
        <w:tc>
          <w:tcPr>
            <w:tcW w:w="0" w:type="auto"/>
          </w:tcPr>
          <w:p w14:paraId="65764E7D" w14:textId="77777777" w:rsidR="00AC46C4" w:rsidRDefault="00AC46C4" w:rsidP="00AC46C4">
            <w:pPr>
              <w:jc w:val="center"/>
            </w:pPr>
            <w:r>
              <w:t>-0.76</w:t>
            </w:r>
          </w:p>
        </w:tc>
      </w:tr>
      <w:tr w:rsidR="00AC46C4" w14:paraId="2472040E" w14:textId="77777777" w:rsidTr="000474C2">
        <w:trPr>
          <w:jc w:val="center"/>
        </w:trPr>
        <w:tc>
          <w:tcPr>
            <w:tcW w:w="0" w:type="auto"/>
          </w:tcPr>
          <w:p w14:paraId="5D3FF8B7" w14:textId="77777777" w:rsidR="00AC46C4" w:rsidRDefault="00AC46C4" w:rsidP="00AC46C4">
            <w:pPr>
              <w:jc w:val="center"/>
            </w:pPr>
            <w:r>
              <w:t>700 - 800</w:t>
            </w:r>
          </w:p>
        </w:tc>
        <w:tc>
          <w:tcPr>
            <w:tcW w:w="0" w:type="auto"/>
          </w:tcPr>
          <w:p w14:paraId="7A357C36" w14:textId="77777777" w:rsidR="00AC46C4" w:rsidRDefault="00AC46C4" w:rsidP="00AC46C4">
            <w:pPr>
              <w:jc w:val="center"/>
            </w:pPr>
            <w:r>
              <w:t>2.84</w:t>
            </w:r>
          </w:p>
        </w:tc>
        <w:tc>
          <w:tcPr>
            <w:tcW w:w="0" w:type="auto"/>
          </w:tcPr>
          <w:p w14:paraId="70EB2DDB" w14:textId="77777777" w:rsidR="00AC46C4" w:rsidRDefault="00AC46C4" w:rsidP="00AC46C4">
            <w:pPr>
              <w:jc w:val="center"/>
            </w:pPr>
            <w:r>
              <w:t>-23.61</w:t>
            </w:r>
          </w:p>
        </w:tc>
        <w:tc>
          <w:tcPr>
            <w:tcW w:w="0" w:type="auto"/>
          </w:tcPr>
          <w:p w14:paraId="094B2FB6" w14:textId="77777777" w:rsidR="00AC46C4" w:rsidRDefault="00AC46C4" w:rsidP="00AC46C4">
            <w:pPr>
              <w:jc w:val="center"/>
            </w:pPr>
            <w:r>
              <w:t>-0.24</w:t>
            </w:r>
          </w:p>
        </w:tc>
      </w:tr>
    </w:tbl>
    <w:p w14:paraId="30DB87BB" w14:textId="0BF930B9" w:rsidR="00007F6C" w:rsidRPr="00EC72DA" w:rsidRDefault="00007F6C" w:rsidP="000474C2">
      <w:pPr>
        <w:spacing w:before="240"/>
        <w:jc w:val="both"/>
      </w:pPr>
      <w:r w:rsidRPr="00EC72DA">
        <w:t>A solid solution is between the two metals is possible under the ageing conditions (800</w:t>
      </w:r>
      <w:r w:rsidRPr="00EC72DA">
        <w:rPr>
          <w:rFonts w:cstheme="minorHAnsi"/>
        </w:rPr>
        <w:t>⁰</w:t>
      </w:r>
      <w:r w:rsidRPr="00EC72DA">
        <w:t>C, 10% H</w:t>
      </w:r>
      <w:r w:rsidRPr="00EC72DA">
        <w:rPr>
          <w:vertAlign w:val="subscript"/>
        </w:rPr>
        <w:t>2</w:t>
      </w:r>
      <w:r w:rsidRPr="00EC72DA">
        <w:t>/N</w:t>
      </w:r>
      <w:r w:rsidRPr="00EC72DA">
        <w:rPr>
          <w:vertAlign w:val="subscript"/>
        </w:rPr>
        <w:t>2</w:t>
      </w:r>
      <w:r w:rsidRPr="00EC72DA">
        <w:t xml:space="preserve">). Due to the bulk of the system consisting of gold an </w:t>
      </w:r>
      <w:r w:rsidRPr="00EC72DA">
        <w:rPr>
          <w:rFonts w:cstheme="minorHAnsi"/>
        </w:rPr>
        <w:t>α</w:t>
      </w:r>
      <w:r w:rsidRPr="00EC72DA">
        <w:t xml:space="preserve"> Au-Ni intermetallic would form during ageing</w:t>
      </w:r>
      <w:r w:rsidR="000474C2">
        <w:t xml:space="preserve"> above the </w:t>
      </w:r>
      <w:proofErr w:type="spellStart"/>
      <w:r w:rsidR="000474C2">
        <w:t>T</w:t>
      </w:r>
      <w:r w:rsidR="000474C2">
        <w:rPr>
          <w:vertAlign w:val="subscript"/>
        </w:rPr>
        <w:t>Tammann</w:t>
      </w:r>
      <w:proofErr w:type="spellEnd"/>
      <w:r w:rsidR="000474C2">
        <w:t xml:space="preserve"> </w:t>
      </w:r>
      <w:r w:rsidRPr="00EC72DA">
        <w:t>(</w:t>
      </w:r>
      <w:r w:rsidRPr="00EC72DA">
        <w:fldChar w:fldCharType="begin"/>
      </w:r>
      <w:r w:rsidRPr="00EC72DA">
        <w:instrText xml:space="preserve"> REF _Ref46154336 \h  \* MERGEFORMAT </w:instrText>
      </w:r>
      <w:r w:rsidRPr="00EC72DA">
        <w:fldChar w:fldCharType="separate"/>
      </w:r>
      <w:r w:rsidR="006C5D1F">
        <w:t xml:space="preserve">Figure </w:t>
      </w:r>
      <w:r w:rsidR="006C5D1F">
        <w:rPr>
          <w:noProof/>
        </w:rPr>
        <w:t>5.17</w:t>
      </w:r>
      <w:r w:rsidRPr="00EC72DA">
        <w:fldChar w:fldCharType="end"/>
      </w:r>
      <w:r w:rsidRPr="00EC72DA">
        <w:t xml:space="preserve">) </w:t>
      </w:r>
      <w:r w:rsidRPr="00EC72DA">
        <w:fldChar w:fldCharType="begin" w:fldLock="1"/>
      </w:r>
      <w:r w:rsidR="00151775">
        <w:instrText>ADDIN CSL_CITATION {"citationItems":[{"id":"ITEM-1","itemData":{"DOI":"10.1109/JMEMS.2008.2010850","ISSN":"10577157","abstract":"This paper reports on a comparison of gold and gold-nickel alloys as contact materials for microelectromechanical systems (MEMS) switches. Pure gold is commonly used as the contact material in low-force metal-contact MEMS switches. The top two failure mechanisms of these switches are wear and stiction, which may be related to the material softness and the relatively high surface adhesion, respectively. Alloying gold with another metal introduces new processing options to strengthen the material against wear and reduce surface adhesion. In this paper, the properties of Au-Ni alloys were investigated as the lower contact electrode was controlled by adjusting the nickel content and thermal processing conditions. A unique and efficient switching degradation test was conducted on the alloy samples, using pure gold upper microcontacts. Solid-solution Au-Ni samples showed reduced wear rate but increased contact resistance, while two-phase Au-Ni (20 at.% Ni) showed a substantial improvement of switching reliability with only a small increase of contact resistance. Discussion of the effects of phase separation, surface topography, hardness, and electrical resistivity on contact resistance and switch degradation is also included. © 2009 IEEE.","author":[{"dropping-particle":"","family":"Yang","given":"Zhenyin","non-dropping-particle":"","parse-names":false,"suffix":""},{"dropping-particle":"","family":"Lichtenwalner","given":"Daniel J.","non-dropping-particle":"","parse-names":false,"suffix":""},{"dropping-particle":"","family":"Morris","given":"Arthur S.","non-dropping-particle":"","parse-names":false,"suffix":""},{"dropping-particle":"","family":"Krim","given":"Jacqueline","non-dropping-particle":"","parse-names":false,"suffix":""},{"dropping-particle":"","family":"Kingon","given":"Angus I.","non-dropping-particle":"","parse-names":false,"suffix":""}],"container-title":"Journal of Microelectromechanical Systems","id":"ITEM-1","issue":"2","issued":{"date-parts":[["2009"]]},"page":"287-295","title":"Comparison of Au and Au-Ni alloys as contact materials for MEMS switches","type":"article-journal","volume":"18"},"uris":["http://www.mendeley.com/documents/?uuid=5e987446-51c6-4c5d-867e-424b624674c0"]},{"id":"ITEM-2","itemData":{"DOI":"10.1007/BF03215037","ISSN":"00171557","abstract":"The usefulness of gold-nickel alloys as brazing media in the aeroengine, electronic, nuclear power and spacecraft industries is illustrated by data on the corrosion and oxidation resistance of joints made with these alloys in various heat-resistant materials and on their resistance to fracture under the influence of static, dynamic and impact loads in tests at subzero, normal and elevated temperatures. © 1974 World Gold Council.","author":[{"dropping-particle":"","family":"Colbus","given":"Jakob","non-dropping-particle":"","parse-names":false,"suffix":""},{"dropping-particle":"","family":"Zimmermann","given":"Karl Friedrich","non-dropping-particle":"","parse-names":false,"suffix":""}],"container-title":"Gold Bulletin","id":"ITEM-2","issue":"2","issued":{"date-parts":[["1974"]]},"page":"42-49","title":"Properties of gold-nickel alloy brazed joints in high temperature materials","type":"article-journal","volume":"7"},"uris":["http://www.mendeley.com/documents/?uuid=b10e5051-064a-4b1b-a254-41ed3e09020a"]}],"mendeley":{"formattedCitation":"[445], [456]","plainTextFormattedCitation":"[445], [456]","previouslyFormattedCitation":"[445], [456]"},"properties":{"noteIndex":0},"schema":"https://github.com/citation-style-language/schema/raw/master/csl-citation.json"}</w:instrText>
      </w:r>
      <w:r w:rsidRPr="00EC72DA">
        <w:fldChar w:fldCharType="separate"/>
      </w:r>
      <w:r w:rsidR="008B6E91" w:rsidRPr="008B6E91">
        <w:rPr>
          <w:noProof/>
        </w:rPr>
        <w:t>[445], [456]</w:t>
      </w:r>
      <w:r w:rsidRPr="00EC72DA">
        <w:fldChar w:fldCharType="end"/>
      </w:r>
      <w:r w:rsidRPr="00EC72DA">
        <w:t>. This has been captured during the EIS of the gold current collector Ni-YSZ samples as the R</w:t>
      </w:r>
      <w:r w:rsidRPr="00EC72DA">
        <w:rPr>
          <w:vertAlign w:val="subscript"/>
        </w:rPr>
        <w:t>P</w:t>
      </w:r>
      <w:r w:rsidRPr="00EC72DA">
        <w:t xml:space="preserve"> dropped after a 10 h ageing period, indicating that a less electrically resistive alloy had formed. The atomic radii and crystal structure of both metals are also identical (135 pm and FCC), which means that the alloying process was not hindered by lattice distortion </w:t>
      </w:r>
      <w:r w:rsidRPr="00EC72DA">
        <w:fldChar w:fldCharType="begin" w:fldLock="1"/>
      </w:r>
      <w:r w:rsidR="00D80A5D">
        <w:instrText>ADDIN CSL_CITATION {"citationItems":[{"id":"ITEM-1","itemData":{"DOI":"10.1002/(sici)1099-0739(200004)14:4&lt;227::aid-aoc949&gt;3.0.co;2-f","ISSN":"0268-2605","author":[{"dropping-particle":"","family":"West","given":"Anthony R.","non-dropping-particle":"","parse-names":false,"suffix":""}],"container-title":"Applied Organometallic Chemistry","edition":"2nd","id":"ITEM-1","issue":"4","issued":{"date-parts":[["2000"]]},"number-of-pages":"227-228","publisher":"Wiley-Blackwell","title":"Basic Solid State Chemistry","type":"book","volume":"14"},"uris":["http://www.mendeley.com/documents/?uuid=cfc7d172-f48b-4960-bd9a-272da03540f8"]}],"mendeley":{"formattedCitation":"[294]","plainTextFormattedCitation":"[294]","previouslyFormattedCitation":"[294]"},"properties":{"noteIndex":0},"schema":"https://github.com/citation-style-language/schema/raw/master/csl-citation.json"}</w:instrText>
      </w:r>
      <w:r w:rsidRPr="00EC72DA">
        <w:fldChar w:fldCharType="separate"/>
      </w:r>
      <w:r w:rsidR="006C586A" w:rsidRPr="006C586A">
        <w:rPr>
          <w:noProof/>
        </w:rPr>
        <w:t>[294]</w:t>
      </w:r>
      <w:r w:rsidRPr="00EC72DA">
        <w:fldChar w:fldCharType="end"/>
      </w:r>
      <w:r w:rsidRPr="00EC72DA">
        <w:t>.</w:t>
      </w:r>
    </w:p>
    <w:p w14:paraId="70F2F017" w14:textId="4E6472CD" w:rsidR="00007F6C" w:rsidRPr="00EC72DA" w:rsidRDefault="00007F6C" w:rsidP="00007F6C">
      <w:pPr>
        <w:jc w:val="both"/>
      </w:pPr>
      <w:r w:rsidRPr="00EC72DA">
        <w:t xml:space="preserve">The fact that the activation energy gradient </w:t>
      </w:r>
      <w:r w:rsidR="000474C2">
        <w:t xml:space="preserve">decreases </w:t>
      </w:r>
      <w:r w:rsidRPr="00EC72DA">
        <w:t>after the T</w:t>
      </w:r>
      <w:r w:rsidRPr="00EC72DA">
        <w:rPr>
          <w:vertAlign w:val="subscript"/>
        </w:rPr>
        <w:t xml:space="preserve"> Tammann</w:t>
      </w:r>
      <w:r w:rsidRPr="00EC72DA">
        <w:t xml:space="preserve"> also shows the propensity for gold to inter-diffuse with the nickel catalyst phase. Work done on gold electroplating by </w:t>
      </w:r>
      <w:proofErr w:type="spellStart"/>
      <w:r w:rsidRPr="00EC72DA">
        <w:t>Pinnel</w:t>
      </w:r>
      <w:proofErr w:type="spellEnd"/>
      <w:r w:rsidRPr="00EC72DA">
        <w:t xml:space="preserve"> linked gold diffusion to defects present in transition metals including at temperatures exceeding T</w:t>
      </w:r>
      <w:r w:rsidRPr="00EC72DA">
        <w:rPr>
          <w:vertAlign w:val="subscript"/>
        </w:rPr>
        <w:t xml:space="preserve"> Tammann </w:t>
      </w:r>
      <w:r w:rsidRPr="00EC72DA">
        <w:rPr>
          <w:vertAlign w:val="subscript"/>
        </w:rPr>
        <w:fldChar w:fldCharType="begin" w:fldLock="1"/>
      </w:r>
      <w:r w:rsidR="00151775">
        <w:rPr>
          <w:vertAlign w:val="subscript"/>
        </w:rPr>
        <w:instrText>ADDIN CSL_CITATION {"citationItems":[{"id":"ITEM-1","itemData":{"DOI":"10.1007/BF03216542","ISSN":"00171557","abstract":"The process of diffusion in the solid state is one aspect of behaviour in gold thin film systems which has received increased attention as gold layers have had to be made significantly thinner without sacrificing their reliability. This article reviews the characteristics of this process for gold over the various one- and two-layer base metal systems which are in common use by the electronics industry. A number of interesting phenomena are described and related to the service problems which they may cause in various devices. © 1979 World Gold Council.","author":[{"dropping-particle":"","family":"Pinnel","given":"M. Robert","non-dropping-particle":"","parse-names":false,"suffix":""}],"container-title":"Gold Bulletin","id":"ITEM-1","issue":"2","issued":{"date-parts":[["1979"]]},"page":"62-71","title":"Diffusion-related behaviour of gold in thin film systems","type":"article-journal","volume":"12"},"uris":["http://www.mendeley.com/documents/?uuid=6fd578f8-736e-4a67-8302-0627c71f7510"]},{"id":"ITEM-2","itemData":{"DOI":"10.1002/zaac.19191070102","abstract":"Abstract Übersicht S.1.– 1. Die regellose Verteilung zweier Molekülarten S.9.–2. Die regelmäßigen Verteilungen zweier Atomarten in Raumgittern S. 15.–3. Die bei der Extraktion mit Salpetersäure verbleibenden Rückstände der Gold - Silber- und Gold -Kupferlegierungen S. 49. – 4. Vorläufige Bestimmung der Einwirkungsgrenzen von schwefelhaltigen Agentien und schwachen Oxydationsmitteln auf die Cu-Au-Mischkristalle und der Einfluß der Temperatur auf diese Einwirkungsgrenzen S. 57 – 5. Genauere Bestimmung der Einwirkungsgrenzen auf die Cu-Au- und Ag-Au-Mischkristalle in Abhängigkeit von der Natur der chemischen Agentien S. 62. – 6. Über die Löslichkeit von Wasserstoff in Palladiummischkristallen S. 89. – 7. Deutung der Einwirkungsgrenzen S. 96. – 8. Das Verhalten der ternären Mischkristalle von Cu, Ag und Au gegen chemische Agentien und ihre Farben S. 107. – 9. Die Einwirkungsgrenzen der Mischkristalle des Vanadins und Siliciums mit Eisen S. 118.–10. Die galvanischen Spannungen der Legierungen S. 136.– 11. Angenäherte Bestimmung der Einwirkungsgrenzen auf die Mischkristallreihen des Mn mit Ag und die des Mg mit Ag S. 169. – 12. Über den Einfluß der Kaltbearbeitung auf die chemischen Einwirkungsgrenzen S. 171. – 13. Zusammenfassung der Resultate, betreffend die Einwirkungsgrenzen und Übersicht ihrer Deutung S. 186. – 14. Über den atomistischen Aufbau nichtmetallischer Mischkristalle S. 186.– 15. Die normale Molekülverteilung in Mischkristallen als Ursache ihrer anomalen Doppelbrechung S. 208. – 16. Isomere metallische Mischkristalle S. 217.–17. Bemerkungen über „Säure”︁ beständige Legierungen S.235.– Schlußwort S.237.","author":[{"dropping-particle":"","family":"Tammann","given":"G","non-dropping-particle":"","parse-names":false,"suffix":""}],"container-title":"Zeitschrift für anorganische und allgemeine Chemie","id":"ITEM-2","issue":"1","issued":{"date-parts":[["1919"]]},"page":"1-239","title":"Zum Gedächtnis der Entdeckung des Isomorphismus vor 100 Jahren. Die chemischen und galvanischen Eigenschaften von Mischkristallreihen und ihre Atomverteilung","type":"article-journal","volume":"107"},"uris":["http://www.mendeley.com/documents/?uuid=6284032c-9c7e-43bd-bed0-65f21129f2be"]}],"mendeley":{"formattedCitation":"[238], [462]","plainTextFormattedCitation":"[238], [462]","previouslyFormattedCitation":"[238], [462]"},"properties":{"noteIndex":0},"schema":"https://github.com/citation-style-language/schema/raw/master/csl-citation.json"}</w:instrText>
      </w:r>
      <w:r w:rsidRPr="00EC72DA">
        <w:rPr>
          <w:vertAlign w:val="subscript"/>
        </w:rPr>
        <w:fldChar w:fldCharType="separate"/>
      </w:r>
      <w:r w:rsidR="008B6E91" w:rsidRPr="008B6E91">
        <w:rPr>
          <w:noProof/>
        </w:rPr>
        <w:t>[238], [462]</w:t>
      </w:r>
      <w:r w:rsidRPr="00EC72DA">
        <w:rPr>
          <w:vertAlign w:val="subscript"/>
        </w:rPr>
        <w:fldChar w:fldCharType="end"/>
      </w:r>
      <w:r w:rsidRPr="00EC72DA">
        <w:t xml:space="preserve">. </w:t>
      </w:r>
      <w:proofErr w:type="spellStart"/>
      <w:r w:rsidRPr="00EC72DA">
        <w:t>Pinnel</w:t>
      </w:r>
      <w:proofErr w:type="spellEnd"/>
      <w:r w:rsidRPr="00EC72DA">
        <w:t xml:space="preserve"> also concluded that gold-rich systems are more likely to diffuse than nickel rich systems like the one utilised in this study. </w:t>
      </w:r>
    </w:p>
    <w:p w14:paraId="32F1966C" w14:textId="34473EBF" w:rsidR="00007F6C" w:rsidRDefault="00FB6F0A" w:rsidP="00007F6C">
      <w:pPr>
        <w:keepNext/>
        <w:jc w:val="center"/>
      </w:pPr>
      <w:r>
        <w:rPr>
          <w:noProof/>
        </w:rPr>
        <w:drawing>
          <wp:inline distT="0" distB="0" distL="0" distR="0" wp14:anchorId="2C3EE527" wp14:editId="2000B2A1">
            <wp:extent cx="2520000" cy="3077307"/>
            <wp:effectExtent l="0" t="0" r="0" b="8890"/>
            <wp:docPr id="468" name="Picture 46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Diagram&#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2520000" cy="3077307"/>
                    </a:xfrm>
                    <a:prstGeom prst="rect">
                      <a:avLst/>
                    </a:prstGeom>
                  </pic:spPr>
                </pic:pic>
              </a:graphicData>
            </a:graphic>
          </wp:inline>
        </w:drawing>
      </w:r>
    </w:p>
    <w:p w14:paraId="79246EA5" w14:textId="4479972E" w:rsidR="00007F6C" w:rsidRDefault="00007F6C" w:rsidP="00007F6C">
      <w:pPr>
        <w:pStyle w:val="Caption"/>
      </w:pPr>
      <w:bookmarkStart w:id="480" w:name="_Ref46154336"/>
      <w:bookmarkStart w:id="481" w:name="_Toc69115032"/>
      <w:r>
        <w:t>Figure 5.</w:t>
      </w:r>
      <w:r w:rsidR="00B51F53">
        <w:fldChar w:fldCharType="begin"/>
      </w:r>
      <w:r w:rsidR="00B51F53">
        <w:instrText xml:space="preserve"> SEQ Figure \* ARABIC </w:instrText>
      </w:r>
      <w:r w:rsidR="00B51F53">
        <w:fldChar w:fldCharType="separate"/>
      </w:r>
      <w:r w:rsidR="006C5D1F">
        <w:rPr>
          <w:noProof/>
        </w:rPr>
        <w:t>17</w:t>
      </w:r>
      <w:r w:rsidR="00B51F53">
        <w:rPr>
          <w:noProof/>
        </w:rPr>
        <w:fldChar w:fldCharType="end"/>
      </w:r>
      <w:bookmarkEnd w:id="480"/>
      <w:r>
        <w:t xml:space="preserve">: Phase diagram of gold and nickel metals. Adapted from </w:t>
      </w:r>
      <w:proofErr w:type="spellStart"/>
      <w:r>
        <w:t>Colbus</w:t>
      </w:r>
      <w:proofErr w:type="spellEnd"/>
      <w:r>
        <w:t xml:space="preserve"> et al </w:t>
      </w:r>
      <w:r>
        <w:fldChar w:fldCharType="begin" w:fldLock="1"/>
      </w:r>
      <w:r w:rsidR="00151775">
        <w:instrText>ADDIN CSL_CITATION {"citationItems":[{"id":"ITEM-1","itemData":{"DOI":"10.1007/BF03215037","ISSN":"00171557","abstract":"The usefulness of gold-nickel alloys as brazing media in the aeroengine, electronic, nuclear power and spacecraft industries is illustrated by data on the corrosion and oxidation resistance of joints made with these alloys in various heat-resistant materials and on their resistance to fracture under the influence of static, dynamic and impact loads in tests at subzero, normal and elevated temperatures. © 1974 World Gold Council.","author":[{"dropping-particle":"","family":"Colbus","given":"Jakob","non-dropping-particle":"","parse-names":false,"suffix":""},{"dropping-particle":"","family":"Zimmermann","given":"Karl Friedrich","non-dropping-particle":"","parse-names":false,"suffix":""}],"container-title":"Gold Bulletin","id":"ITEM-1","issue":"2","issued":{"date-parts":[["1974"]]},"page":"42-49","title":"Properties of gold-nickel alloy brazed joints in high temperature materials","type":"article-journal","volume":"7"},"uris":["http://www.mendeley.com/documents/?uuid=b10e5051-064a-4b1b-a254-41ed3e09020a"]}],"mendeley":{"formattedCitation":"[456]","plainTextFormattedCitation":"[456]","previouslyFormattedCitation":"[456]"},"properties":{"noteIndex":0},"schema":"https://github.com/citation-style-language/schema/raw/master/csl-citation.json"}</w:instrText>
      </w:r>
      <w:r>
        <w:fldChar w:fldCharType="separate"/>
      </w:r>
      <w:r w:rsidR="008B6E91" w:rsidRPr="008B6E91">
        <w:rPr>
          <w:i w:val="0"/>
          <w:noProof/>
        </w:rPr>
        <w:t>[456]</w:t>
      </w:r>
      <w:bookmarkEnd w:id="481"/>
      <w:r>
        <w:fldChar w:fldCharType="end"/>
      </w:r>
    </w:p>
    <w:p w14:paraId="5D0EB53F" w14:textId="02FD9C4A" w:rsidR="00FE09B8" w:rsidRPr="00FE09B8" w:rsidRDefault="00FB6F0A" w:rsidP="0035661E">
      <w:pPr>
        <w:jc w:val="both"/>
      </w:pPr>
      <w:r>
        <w:t>The result of this interdiffusion is alloying between the phase with t</w:t>
      </w:r>
      <w:r w:rsidR="00FE09B8">
        <w:t xml:space="preserve">he second </w:t>
      </w:r>
      <w:r w:rsidR="0090626E">
        <w:t xml:space="preserve">point of inflection at 700 </w:t>
      </w:r>
      <w:r w:rsidR="0090626E">
        <w:rPr>
          <w:rFonts w:cstheme="minorHAnsi"/>
        </w:rPr>
        <w:t>°</w:t>
      </w:r>
      <w:r w:rsidR="0090626E">
        <w:t xml:space="preserve">C can be attributed </w:t>
      </w:r>
      <w:r w:rsidR="0035661E">
        <w:t xml:space="preserve">in part </w:t>
      </w:r>
      <w:r w:rsidR="0090626E">
        <w:t xml:space="preserve">to the formation of the </w:t>
      </w:r>
      <w:r w:rsidR="0090626E">
        <w:rPr>
          <w:rFonts w:cstheme="minorHAnsi"/>
        </w:rPr>
        <w:t>α</w:t>
      </w:r>
      <w:r w:rsidR="0090626E">
        <w:t xml:space="preserve"> Au-Ni intermetallic phase </w:t>
      </w:r>
      <w:r>
        <w:t xml:space="preserve">(See </w:t>
      </w:r>
      <w:r>
        <w:fldChar w:fldCharType="begin"/>
      </w:r>
      <w:r>
        <w:instrText xml:space="preserve"> REF _Ref46154336 \h </w:instrText>
      </w:r>
      <w:r w:rsidR="0035661E">
        <w:instrText xml:space="preserve"> \* MERGEFORMAT </w:instrText>
      </w:r>
      <w:r>
        <w:fldChar w:fldCharType="separate"/>
      </w:r>
      <w:r w:rsidR="006C5D1F">
        <w:t>Figure 5.17</w:t>
      </w:r>
      <w:r>
        <w:fldChar w:fldCharType="end"/>
      </w:r>
      <w:r>
        <w:t>)</w:t>
      </w:r>
      <w:r w:rsidR="0035661E">
        <w:t xml:space="preserve"> and the </w:t>
      </w:r>
      <w:proofErr w:type="spellStart"/>
      <w:r w:rsidR="0035661E">
        <w:t>T</w:t>
      </w:r>
      <w:r w:rsidR="0035661E">
        <w:rPr>
          <w:vertAlign w:val="subscript"/>
        </w:rPr>
        <w:t>Tammann</w:t>
      </w:r>
      <w:proofErr w:type="spellEnd"/>
      <w:r w:rsidR="0035661E">
        <w:rPr>
          <w:vertAlign w:val="subscript"/>
        </w:rPr>
        <w:t xml:space="preserve"> </w:t>
      </w:r>
      <w:r w:rsidR="0035661E">
        <w:t xml:space="preserve">of the Ni (721 </w:t>
      </w:r>
      <w:r w:rsidR="0035661E">
        <w:rPr>
          <w:rFonts w:cstheme="minorHAnsi"/>
        </w:rPr>
        <w:t>°</w:t>
      </w:r>
      <w:r w:rsidR="0035661E">
        <w:t xml:space="preserve">C). </w:t>
      </w:r>
      <w:r w:rsidR="0035661E">
        <w:fldChar w:fldCharType="begin"/>
      </w:r>
      <w:r w:rsidR="0035661E">
        <w:instrText xml:space="preserve"> REF _Ref46154336 \h  \* MERGEFORMAT </w:instrText>
      </w:r>
      <w:r w:rsidR="0035661E">
        <w:fldChar w:fldCharType="separate"/>
      </w:r>
      <w:r w:rsidR="0035661E">
        <w:t>Figure 5.</w:t>
      </w:r>
      <w:r w:rsidR="0035661E">
        <w:rPr>
          <w:noProof/>
        </w:rPr>
        <w:t>127</w:t>
      </w:r>
      <w:r w:rsidR="0035661E">
        <w:fldChar w:fldCharType="end"/>
      </w:r>
      <w:r w:rsidR="0035661E">
        <w:t xml:space="preserve"> has been marked with a 10.34 wt % Ni (20 vol %) to illustrate the transition from FCC </w:t>
      </w:r>
      <w:r w:rsidR="0035661E">
        <w:rPr>
          <w:rFonts w:cstheme="minorHAnsi"/>
        </w:rPr>
        <w:t>α</w:t>
      </w:r>
      <w:r w:rsidR="0035661E">
        <w:rPr>
          <w:rFonts w:cstheme="minorHAnsi"/>
          <w:vertAlign w:val="subscript"/>
        </w:rPr>
        <w:t>1</w:t>
      </w:r>
      <w:r w:rsidR="0035661E">
        <w:rPr>
          <w:rFonts w:cstheme="minorHAnsi"/>
        </w:rPr>
        <w:t xml:space="preserve"> + α</w:t>
      </w:r>
      <w:r w:rsidR="0035661E">
        <w:rPr>
          <w:rFonts w:cstheme="minorHAnsi"/>
          <w:vertAlign w:val="subscript"/>
        </w:rPr>
        <w:t>2</w:t>
      </w:r>
      <w:r w:rsidR="0035661E">
        <w:t xml:space="preserve"> binary phases to a single </w:t>
      </w:r>
      <w:r w:rsidR="0035661E">
        <w:rPr>
          <w:rFonts w:cstheme="minorHAnsi"/>
        </w:rPr>
        <w:t>α</w:t>
      </w:r>
      <w:r w:rsidR="0035661E">
        <w:t xml:space="preserve"> FCC Au-Ni alloy. The 7 % reduction in the activation energy between the 1</w:t>
      </w:r>
      <w:r w:rsidR="0035661E" w:rsidRPr="0035661E">
        <w:rPr>
          <w:vertAlign w:val="superscript"/>
        </w:rPr>
        <w:t>st</w:t>
      </w:r>
      <w:r w:rsidR="0035661E">
        <w:t xml:space="preserve"> and 3</w:t>
      </w:r>
      <w:r w:rsidR="0035661E" w:rsidRPr="0035661E">
        <w:rPr>
          <w:vertAlign w:val="superscript"/>
        </w:rPr>
        <w:t>rd</w:t>
      </w:r>
      <w:r w:rsidR="0035661E">
        <w:t xml:space="preserve"> linear gradients illustrates the reduction of interfacial resistance between the two layers with the formation of the </w:t>
      </w:r>
      <w:r w:rsidR="0035661E">
        <w:rPr>
          <w:rFonts w:cstheme="minorHAnsi"/>
        </w:rPr>
        <w:t>α Au-Ni</w:t>
      </w:r>
      <w:r w:rsidR="0035661E">
        <w:t xml:space="preserve"> phase.</w:t>
      </w:r>
    </w:p>
    <w:p w14:paraId="7C8CF7EA" w14:textId="77777777" w:rsidR="00007F6C" w:rsidRDefault="00007F6C" w:rsidP="00007F6C">
      <w:pPr>
        <w:pStyle w:val="Heading4"/>
        <w:jc w:val="both"/>
      </w:pPr>
      <w:r>
        <w:lastRenderedPageBreak/>
        <w:t>5.3.2.3</w:t>
      </w:r>
      <w:r>
        <w:tab/>
        <w:t>Platinum/Pt</w:t>
      </w:r>
    </w:p>
    <w:p w14:paraId="470FC218" w14:textId="3E9B89E6" w:rsidR="00007F6C" w:rsidRDefault="00007F6C" w:rsidP="00007F6C">
      <w:pPr>
        <w:jc w:val="both"/>
      </w:pPr>
      <w:r>
        <w:t xml:space="preserve">In comparison with a study by </w:t>
      </w:r>
      <w:proofErr w:type="spellStart"/>
      <w:r w:rsidRPr="00255AEC">
        <w:rPr>
          <w:i/>
          <w:iCs/>
        </w:rPr>
        <w:t>Guillodo</w:t>
      </w:r>
      <w:proofErr w:type="spellEnd"/>
      <w:r>
        <w:t xml:space="preserve">, the initial impedance spectra for the Pt1 sample is comparable with the platinum coated sample (32 </w:t>
      </w:r>
      <w:r>
        <w:rPr>
          <w:rFonts w:cstheme="minorHAnsi"/>
        </w:rPr>
        <w:t>Ω</w:t>
      </w:r>
      <w:r>
        <w:t xml:space="preserve"> to 34.5</w:t>
      </w:r>
      <w:r>
        <w:rPr>
          <w:rFonts w:cstheme="minorHAnsi"/>
        </w:rPr>
        <w:t>Ω</w:t>
      </w:r>
      <w:r>
        <w:t xml:space="preserve"> (Pt1))</w:t>
      </w:r>
      <w:r>
        <w:fldChar w:fldCharType="begin" w:fldLock="1"/>
      </w:r>
      <w:r w:rsidR="00151775">
        <w:instrText>ADDIN CSL_CITATION {"citationItems":[{"id":"ITEM-1","itemData":{"DOI":"10.1016/S0167-2738(99)00254-4","ISSN":"01672738","abstract":"The effects of various current collectors on the electrochemical property measurements of a Ni-YSZ cermet have been investigated. Electrochemical characteristics were determined by impedance spectroscopy (IS) at open-circuit voltage in H2-H2O atmosphere at 800 °C using a symmetrical cell. We selected various current collectors made of gold, platinum and nickel and with two different structures, paste and mesh. When using paste, the electrochemical response, recorded with the same Ni-YSZ cermet sample, depends greatly on the nature of the current collector. Polarization resistance values follow the order: Ni&lt;Pt&lt;Au. This is the same order as reported in the literature for the hydrogen electrochemical oxidation activities of these metals. This demonstrates that paste current collectors interfere with the electrochemical properties of the anode material. Therefore, in order to compare the electrochemical activities of various anode materials, the same current collector has to be used. We have also observed that the polarization resistance increases with time, due to metal particle diffusion through the Ni-YSZ cermet. When using a nickel mesh, the electrochemical properties do not vary with time. Moreover, the structure of this current collector is most similar to the interconnect materials, which are the current collectors in planar SOFCs. It is, therefore, the best current collector for the study of the electrochemical properties of Ni-YSZ cermet.","author":[{"dropping-particle":"","family":"Guillodo","given":"M.","non-dropping-particle":"","parse-names":false,"suffix":""},{"dropping-particle":"","family":"Vernoux","given":"P.","non-dropping-particle":"","parse-names":false,"suffix":""},{"dropping-particle":"","family":"Fouletier","given":"J.","non-dropping-particle":"","parse-names":false,"suffix":""}],"container-title":"Solid State Ionics","id":"ITEM-1","issue":"1-2","issued":{"date-parts":[["2000"]]},"page":"99-107","title":"Electrochemical properties of Ni-YSZ cermet in solid oxide fuel cells. Effect of current collecting","type":"article-journal","volume":"127"},"uris":["http://www.mendeley.com/documents/?uuid=1b59ad5f-6e71-4c86-8342-2445f4bf2a8c"]}],"mendeley":{"formattedCitation":"[438]","plainTextFormattedCitation":"[438]","previouslyFormattedCitation":"[438]"},"properties":{"noteIndex":0},"schema":"https://github.com/citation-style-language/schema/raw/master/csl-citation.json"}</w:instrText>
      </w:r>
      <w:r>
        <w:fldChar w:fldCharType="separate"/>
      </w:r>
      <w:r w:rsidR="008B6E91" w:rsidRPr="008B6E91">
        <w:rPr>
          <w:noProof/>
        </w:rPr>
        <w:t>[438]</w:t>
      </w:r>
      <w:r>
        <w:fldChar w:fldCharType="end"/>
      </w:r>
      <w:r>
        <w:t>. However, the degradation present in this sample far exceeds that of the other study especially after 5h of ageing.</w:t>
      </w:r>
    </w:p>
    <w:p w14:paraId="32522DF8" w14:textId="7A275C6C" w:rsidR="00007F6C" w:rsidRDefault="00007F6C" w:rsidP="00563517">
      <w:pPr>
        <w:jc w:val="both"/>
      </w:pPr>
      <w:r>
        <w:t>A 330% increase in the R</w:t>
      </w:r>
      <w:r>
        <w:rPr>
          <w:vertAlign w:val="subscript"/>
        </w:rPr>
        <w:t xml:space="preserve">p </w:t>
      </w:r>
      <w:r>
        <w:t>was observed for the sample between 0-5 hours of ageing</w:t>
      </w:r>
      <w:r w:rsidR="006C5D1F">
        <w:t xml:space="preserve"> (</w:t>
      </w:r>
      <w:r w:rsidR="006C5D1F">
        <w:fldChar w:fldCharType="begin"/>
      </w:r>
      <w:r w:rsidR="006C5D1F">
        <w:instrText xml:space="preserve"> REF _Ref68871095 \h </w:instrText>
      </w:r>
      <w:r w:rsidR="006C5D1F">
        <w:fldChar w:fldCharType="separate"/>
      </w:r>
      <w:r w:rsidR="006C5D1F">
        <w:t>Figure 5.</w:t>
      </w:r>
      <w:r w:rsidR="006C5D1F">
        <w:rPr>
          <w:noProof/>
        </w:rPr>
        <w:t>18</w:t>
      </w:r>
      <w:r w:rsidR="006C5D1F">
        <w:fldChar w:fldCharType="end"/>
      </w:r>
      <w:r w:rsidR="006C5D1F">
        <w:t>)</w:t>
      </w:r>
      <w:r>
        <w:t>. This rise is unprecedented in the context of the other fuel electrode samples tested during this study and in the literature</w:t>
      </w:r>
      <w:r>
        <w:fldChar w:fldCharType="begin" w:fldLock="1"/>
      </w:r>
      <w:r w:rsidR="00151775">
        <w:instrText>ADDIN CSL_CITATION {"citationItems":[{"id":"ITEM-1","itemData":{"DOI":"https://doi.org/10.1016/j.actamat.2003.08.004","ISSN":"1359-6454","abstract":"Fuel cells offer the possibility of zero-emissions electricity generation and increased energy security. We review here the current status of solid oxide (SOFC) and polymer electrolyte membrane (PEMFC) fuel cells. Such solid electrolyte systems obviate the need to contain corrosive liquids and are thus preferred by many developers over alkali, phosphoric acid or molten carbonate fuel cells. Dramatic improvements in power densities have been achieved in both SOFC and PEMFC systems through reduction of the electrolyte thickness and architectural control of the composite electrodes. Current efforts are aimed at reducing SOFC costs by lowering operating temperatures to 500–800 °C, and reducing PEMFC system complexity be developing ‘water-free’ membranes which can also be operated at temperatures slightly above 100 °C.","author":[{"dropping-particle":"","family":"Haile","given":"Sossina M","non-dropping-particle":"","parse-names":false,"suffix":""}],"container-title":"Acta Materialia","id":"ITEM-1","issue":"19","issued":{"date-parts":[["2003","11","25"]]},"page":"5981-6000","title":"Fuel cell materials and components</w:instrText>
      </w:r>
      <w:r w:rsidR="00151775">
        <w:rPr>
          <w:rFonts w:ascii="Segoe UI Symbol" w:hAnsi="Segoe UI Symbol" w:cs="Segoe UI Symbol"/>
        </w:rPr>
        <w:instrText>☆☆</w:instrText>
      </w:r>
      <w:r w:rsidR="00151775">
        <w:instrText>","type":"article-journal","volume":"51"},"uris":["http://www.mendeley.com/documents/?uuid=ad9c6c11-6f81-4115-8634-2afe7e550a73"]},{"id":"ITEM-2","itemData":{"DOI":"10.1595/205651315X688091","ISSN":"20565135","abstract":"Electrical resistivity values for both the solid and liquid phases of the platinum group metals (pgms) palladium and platinum are evaluated. In particular improved values are obtained for the liquid phases of these metals. Previous reviews on electrical resistivity which included evaluations for the pgms included those of Meaden (1), Bass (2), Savitskii et al. (3) and Binkele and Brunen (4) as well as individual reviews by Matula (5) on palladium and White (6) on platinum.","author":[{"dropping-particle":"","family":"Arblaster","given":"John W.","non-dropping-particle":"","parse-names":false,"suffix":""}],"container-title":"Johnson Matthey Technology Review","id":"ITEM-2","issue":"3","issued":{"date-parts":[["2015"]]},"page":"174-181","title":"Selected electrical resistivity values for the platinum group of metals part i: Palladium and platinum","type":"article-journal","volume":"59"},"uris":["http://www.mendeley.com/documents/?uuid=6816bb0c-6c6e-42e2-9bd1-f52876160d6c"]},{"id":"ITEM-3","itemData":{"DOI":"10.1002/9783527650248.ch10","ISBN":"9783527330126","abstract":"This chapter contains sections titled: * Introduction * SOFC and Electrochemical Fundamentals * Current Status of Electrodes; Fabrication Methods of Electrodes * Electrode Materials * Infiltration * Conclusion * References","author":[{"dropping-particle":"","family":"Gunen","given":"Evren","non-dropping-particle":"","parse-names":false,"suffix":""}],"container-title":"Fuel Cell Science and Engineering: Materials, Processes, Systems and Technology","id":"ITEM-3","issued":{"date-parts":[["2012"]]},"language":"English","note":"Export Date: 20 January 2017\nCorrespondence Address: Gunen, E.; TUBITAK Marmara Research Center, Energy Institute, Dr. Zeki Acar Cad., Baris mah. No: 1, Gebze, Kocaeli 41470, Turkey\nReferences: Steele, B.C.H., Heinzel, A., (2002) Nature, 414, pp. 345-352; Serra, J.M., Buchkremer, H.P., (2007) J. Power Sources, 172, pp. 768-774; Liu, B., Zhang, Y., (2008) J. Univ. Sci. Technol. (Beijing), 15 (1), pp. 84-90; He, T., Lu, Z., Huang, Y., Guan, P., Liu, J., Su, W., (2002) J. Alloys Compd., 337, pp. 231-236; Kim, S.D., Hyun, S.H., Moon, J., Kim, H.H., Song, R.H., (2005) J. Power Sources, 139, pp. 67-72; Leng, Y.J., Chan, S.H., (2004) J. Mater. Sci., 39, pp. 4405-4439; Menzler, N.H., Tietz, F., Uhlenbruck, S., Buchkremer, H.P., Stöver, D., (2010) J. Mater. Sci., 45, pp. 3109-3135; Beckel, D., Bieberle-Hütter, A., Harvey, A., Infortuna, A., Muecke, U.P., Prestat, M., Rupp, J.L.M., Gauckler, L.J., (2007) J. Power Sources, 173, pp. 325-345; Singh, P., Minh, N.Q., (2004) Int. J. Appl. Ceram. Technol., 1, pp. 5-15; Simnovis, D., Thulen, H., Dias, F.J., Naoumidis, A., Stöver, D., (1999) J. Mater. Process. Technol, pp. 92-93. , 107-111; Tietz, F., Buchkremer, H.P., Stöver, D., (2002) Solid State Ionics, 152-153, pp. 373-381; Antoni, L., (2004) Mater. Sci. Forum, pp. 461-464. , 1073-1090; Goodenough, J.B., Huang, Y.-H., (2007) J. Power Sources, 173, pp. 1-10; Singhal, S.C., Kendall, K., High Temperature Solid Oxide Fuel Cells (2003) Fundamentals Design and Applications Elsevier Amsterdam; Dees, D.W., Claar, T.D., Easler, T.E., Fee, D.C., Mrazek, F.C., (1987) J. Electrochem. Soc., 134, pp. 2141-2146; Matsuzaki, Y., Yasuda, I., (2000) Solid State Ionics, 132, pp. 261-269; Murray, E.P., Tsai, T., Barnett, S.A., (1999) Nature, 400, pp. 649-651; McIntosh, S., Vohs, J.M., Gorte, R.J., (2002) Electrochem. Acta, 47, pp. 3815-3821; Zhan, Z.I., Barnett, S.A., (2005) Science, 308, pp. 844-848; Marina, O.A., Mogensen, M., (1999) Appl. Catal. A, 189, pp. 117-126; Ramirez-Cabrera, E., Atkinson, A., Chadwick, D., (2000) Solid State Ionics, 136, pp. 825-831; Sfeir, J., (2003) J. Power Sources, 118, pp. 276-285; Tao, S.W., Irvine, J.T.S., (2003) Nat. Mater., 2, pp. 320-323; Sin, A., Kopnin, E., Dubitsky, Y., Zaopo, A., Arico, A.S., Gullo, L.R., Russo, D.L., Antonucci, V., (2005) J. Power Sources, 145, pp. 68-73; Vernoux, P., Guillodo, M., Fouletier, J., Hammou, A., (2000) Solid State Ionics, 135, pp. 425-431; Minh, N.Q., (1993) J. Am. Ceram. Soc., 76, pp. 563-588; Adler, S.B., (2004) Chem. Rev., 104, pp. 4791-4843; Shah, M., Barnett, S.A., (2008) Solid State Ionics, 179, pp. 2059-2064; Jorgensen, M.J., Primdahl, S., Bagger, C., Mogensen, M., (2000) Solid State Ionics, 139, pp. 1-11; Sholklapper, T.Z., Lu, C., Jacobson, C.P., Visco, S.J., De Jonghe, L.C., (2006) Electrochem. Solid-State Lett, 9, pp. A376.; Jiang, Z., Xia, C., Chen, F., (2010) Electrochim. Acta, 55, pp. 3595-3605; Jiang, S., (2006) Mater. Sci. Eng., 418 A (1-2), pp. 199-210; Sholklapper, T.Z., Radmilovic, V., Jacobson, C.P., Visco, S.J., De Jonghe, L.C., (2007) Electrochem. Solid-State Lett., 10, p. 135; Sholklapper, T.Z., Jacobson, C.P., Visco, S.J., De Jonghe, L.C., (2007) Electrochem. Solid-State Lett., (2008) Fuel Cells, 5, pp. 303-312; Craciun, R., Park, S., Gorte, R.J., Vohs, J.M., Wang, C., Worrel, W.L., (1999) J. Electrochem. Soc., 146, pp. 4019-4022; Vohs, J.M., Gorte, R.J., (2009) Adv. Mater., 21, pp. 943-956; Gorte, R.J., Vohs, J.M., (2009) Curr. Opin. Colloid Interface Sci., 14, pp. 236-244; Gross, M.D., Vohs, J.M., Gorte, R.J., (2007) J. Mater. Chem., 17, pp. 3071-3077; Atkinson, A., Barnett, S., Gorte, R.J., Irvine, J.S., McEvoy, A.J., (2004) Nat. Mater., 3, pp. 17-27; Busawon, A.N., Sarantaridis, D., Atkinson, A., (2008) Electrochem. Solid-State Lett., 11 (10), pp. B186-B189; Gorte, R.J., Vohs, J.M., McIntosh, S., (2004) Solid State Ionics, 175, pp. 1-6; Park, S., Gorte, R.J., Vohs, J.M., (2001) J. Electrochem. Soc., 148, pp. A443-A447; Gorte, R.J., Park, S., Vohs, J.M., Wang, C., (2000) Adv. Mater., 12, pp. 1465-1469; Kim, H., Lu, C., Worrell, W.L., Vohs, J.M., Gorte, R.J., (2002) J. Electrochem. Soc., 149, pp. A247-A250; Mortensen, A., Suresh, S., (1995) Int. Mater. Rev., 40, pp. 239-265; Corbin, S.F., Apte, P.S., (1999) J. Am. Ceram. Soc., 82 (7), pp. 1693-1701; Boaro, M., Vohs, J., Gorte, R.J., (2003) J. Am. Ceram. Soc., 86 (3), pp. 295-300; Kim, H., Da Rosa, C., Boaro, M., Lu, C., Vohs, J.M., Gorte, R.J., (2002) J. Am. Ceram. Soc., 85 (6), pp. 1473-1476; Ye, X.F., Huang, B., Wang, S.R., Wang, Z.R., Xiong, L., Wen, T.L., (2007) J. Power Sources, 164, pp. 203-209; Wang, X., Nakagawa, N., Kato, K., (2001) J. Electrochem. Soc., 148 (6), pp. A565-A569; Tanner, C.W., Fung, K.Z., Virkar, A.V., (1997) J. Electrochem. Soc., 144 (1), pp. 21-30; Gorte, R.J., Vohs, J.M., (2003) J. Catal., 216, pp. 477-486; Fleig, J., (2003) J. Power Sources, 118, pp. 276-285; Ahn, K., Jung, S., Vohs, J.M., Gorte, R.J., (2007) Ceram. Int., 33, pp. 1065-1070; Jiang, S.P., Duan, Y., Love, J., (2002) J. Electrochem. Soc., 149 (9), pp. A1175-A1183; Qiao, J., Sun, K., Zhang, N., Sun, B., Kong, J., Zhou, D., (2007) J. Power Sources, 169, pp. 253-258; Minh, N.Q., (1993) J. Am. Ceram. Soc., 76, pp. 563-588; Singh, C.A., Krishnan, V., (2008) ECS Trans., 6 (21), pp. 25-32; Jiang, S.P., Zhang, S., Zhen, D.Y., Wang, W., (2005) J. Am. Ceram. Soc., 88 (7), pp. 1779-1785; Wang, W., Jiang, S.P., Tok, A.I.Y., Luo, L., (2006) J. Power Sources, 159, pp. 68-72; Kim, G., Vohs, J.M., Gorte, R.J., (2008) J. Electrochem. Soc., 55 (4), pp. B360-B366; Gross, M.D., Vohs, J.M., Gorte, R.J., (2007) J. Electrochem. Soc, 154 (7), pp. B694-B699; Lee, S., Kim, G., Vohs, J.M., Gorte, R.J., (2008) J. Electrochem. Soc., 155 (11), pp. B1179-B1183; Savaniu, C.D., Irvine, J.T.S., (2011) Solid State Ionics, 192 (1), pp. 6-8; Lu, X.C., Zhu, J.H., (2007) Solid State Ionics, 178, pp. 1467-1475; Zhu, X., Lu, Z., Wei, B., Chen, K., Liu, M., Huang, X., Su, W., (2010) J. Power Sources, 195, pp. 1793-1798; Zhang, L., Gao, J., Liu, M., Xia, C.J., (2008) Alloys Compd., 482, pp. 168-172; Jiang, S.P., (2003) J. Power Sources, 124, pp. 390-402; Huang, Y., Vohs, J.M., Gorte, R.J., (2004) J. Electrochem. Soc., 151 (4), pp. A646-A651; Huang, Y., Vohs, J.M., Gorte, R.J., (2005) J. Electrochem. Soc., 152 (7), pp. A1347-A1353; Jiang, S.P., Wang, W., (2005) Solid State Ionics, 176, pp. 1351-1357; Jiang, S.P., Wang, W., (2005) J. Electrochem. Soc., 152 (7), pp. A1398-A1408; Xu, X.Y., Jiang, Z.Y., Fan, X., Cia, C.R., (2006) Solid State Ionics, 177, pp. 2113-2117; Xu, X.Y., Cao, C., Xia, C., Peng, D., (2009) Ceram. Int., 35, pp. 2213-2218; Lu, C., Sholklapper, T.Z., Jacobson, C.P., Visco, S.J., De Jonghe, C., (2005) J. Electrochem. Soc., 153 (6), pp. A1115-A1119; Hansen, K.K., Wandel, M., Liu, Y.L., Mogensen, M., (2010) Electrochim. Acta, 55, pp. 4606-4609; Ai, N., Jiang, S.P., Lü, Z., Chen, K., Su, W., (2010) J. Electrochem. Soc., 157 (7), pp. B1033-B1039; Liang, F.L., Chen, J., Jiang, S.P., Wang, F.Z., Chi, B., Pu, J., Jian, L., (2009) Fuel Cells, 5, pp. 636-642; Xiong, L., Wang, S., Wang, Z., Wen, T., (2010) J. Rare Earths, 28 (1), pp. 96-99; Nicholas, J.D., Barnett, S.A., (2010) J. Electrochem. Soc., 157 (4), pp. B536-B541; Mai, A., Haanappel, V.A.C., Uhlenbruck, S., Tietz, F., Stöver, D., (2005) Solid State Ionics, 176, pp. 1341-1350; Tietz, F., Mai, A., Stöver, D., (2008) Solid State Ionics, 179, pp. 1509-1515; Chen, J., Liang, F., Liu, L., Jiang, S., Chi, B., Pu, J., Jian, L., (2008) J. Power Sources, 183, pp. 586-589; Chen, J., Liang, F., Yan, D., Pu, J., Chi, B., Jiang, S., Jian, L., (2010) J. Power Sources, 195, pp. 5201-5205; Nie, L., Liu, M., Zhang, Y., Liu, M., (2010) J. Power Sources, 195, pp. 4704-4708; Adijanto, L., Küngas, R., Bidrawn, F., Gorte, R.J., Vohs, J.M., (2011) J. Power Sources, 196, pp. 5797-5802","page":"275-299","publisher":"Wiley-VCH","title":"Solid Oxide Fuel Cell Electrode Fabrication by Infiltration","type":"chapter","volume":"1"},"uris":["http://www.mendeley.com/documents/?uuid=e9968602-6056-4d1f-812b-db8200a9050b"]},{"id":"ITEM-4","itemData":{"DOI":"10.1016/S0167-2738(99)00254-4","ISSN":"01672738","abstract":"The effects of various current collectors on the electrochemical property measurements of a Ni-YSZ cermet have been investigated. Electrochemical characteristics were determined by impedance spectroscopy (IS) at open-circuit voltage in H2-H2O atmosphere at 800 °C using a symmetrical cell. We selected various current collectors made of gold, platinum and nickel and with two different structures, paste and mesh. When using paste, the electrochemical response, recorded with the same Ni-YSZ cermet sample, depends greatly on the nature of the current collector. Polarization resistance values follow the order: Ni&lt;Pt&lt;Au. This is the same order as reported in the literature for the hydrogen electrochemical oxidation activities of these metals. This demonstrates that paste current collectors interfere with the electrochemical properties of the anode material. Therefore, in order to compare the electrochemical activities of various anode materials, the same current collector has to be used. We have also observed that the polarization resistance increases with time, due to metal particle diffusion through the Ni-YSZ cermet. When using a nickel mesh, the electrochemical properties do not vary with time. Moreover, the structure of this current collector is most similar to the interconnect materials, which are the current collectors in planar SOFCs. It is, therefore, the best current collector for the study of the electrochemical properties of Ni-YSZ cermet.","author":[{"dropping-particle":"","family":"Guillodo","given":"M.","non-dropping-particle":"","parse-names":false,"suffix":""},{"dropping-particle":"","family":"Vernoux","given":"P.","non-dropping-particle":"","parse-names":false,"suffix":""},{"dropping-particle":"","family":"Fouletier","given":"J.","non-dropping-particle":"","parse-names":false,"suffix":""}],"container-title":"Solid State Ionics","id":"ITEM-4","issue":"1-2","issued":{"date-parts":[["2000"]]},"page":"99-107","title":"Electrochemical properties of Ni-YSZ cermet in solid oxide fuel cells. Effect of current collecting","type":"article-journal","volume":"127"},"uris":["http://www.mendeley.com/documents/?uuid=1b59ad5f-6e71-4c86-8342-2445f4bf2a8c"]}],"mendeley":{"formattedCitation":"[438], [463]–[465]","plainTextFormattedCitation":"[438], [463]–[465]","previouslyFormattedCitation":"[438], [463]–[465]"},"properties":{"noteIndex":0},"schema":"https://github.com/citation-style-language/schema/raw/master/csl-citation.json"}</w:instrText>
      </w:r>
      <w:r>
        <w:fldChar w:fldCharType="separate"/>
      </w:r>
      <w:r w:rsidR="008B6E91" w:rsidRPr="008B6E91">
        <w:rPr>
          <w:noProof/>
        </w:rPr>
        <w:t>[438], [463]–[465]</w:t>
      </w:r>
      <w:r>
        <w:fldChar w:fldCharType="end"/>
      </w:r>
      <w:r>
        <w:t xml:space="preserve">. The </w:t>
      </w:r>
      <w:proofErr w:type="gramStart"/>
      <w:r>
        <w:t>50 h</w:t>
      </w:r>
      <w:proofErr w:type="gramEnd"/>
      <w:r>
        <w:t xml:space="preserve"> </w:t>
      </w:r>
      <w:r w:rsidR="006C5D1F">
        <w:t>aged, normalised</w:t>
      </w:r>
      <w:r>
        <w:t xml:space="preserve"> R</w:t>
      </w:r>
      <w:r>
        <w:rPr>
          <w:vertAlign w:val="subscript"/>
        </w:rPr>
        <w:t>P</w:t>
      </w:r>
      <w:r>
        <w:t xml:space="preserve"> values for the platinum are the largest for any of the Ni-YSZ symmetrical cells assessed during this study. This was unexpected as Pt is one of two prevalent current collector materials utilised in the literature </w:t>
      </w:r>
      <w:r>
        <w:fldChar w:fldCharType="begin" w:fldLock="1"/>
      </w:r>
      <w:r w:rsidR="00151775">
        <w:instrText>ADDIN CSL_CITATION {"citationItems":[{"id":"ITEM-1","itemData":{"DOI":"https://doi.org/10.1016/j.actamat.2003.08.004","ISSN":"1359-6454","abstract":"Fuel cells offer the possibility of zero-emissions electricity generation and increased energy security. We review here the current status of solid oxide (SOFC) and polymer electrolyte membrane (PEMFC) fuel cells. Such solid electrolyte systems obviate the need to contain corrosive liquids and are thus preferred by many developers over alkali, phosphoric acid or molten carbonate fuel cells. Dramatic improvements in power densities have been achieved in both SOFC and PEMFC systems through reduction of the electrolyte thickness and architectural control of the composite electrodes. Current efforts are aimed at reducing SOFC costs by lowering operating temperatures to 500–800 °C, and reducing PEMFC system complexity be developing ‘water-free’ membranes which can also be operated at temperatures slightly above 100 °C.","author":[{"dropping-particle":"","family":"Haile","given":"Sossina M","non-dropping-particle":"","parse-names":false,"suffix":""}],"container-title":"Acta Materialia","id":"ITEM-1","issue":"19","issued":{"date-parts":[["2003","11","25"]]},"page":"5981-6000","title":"Fuel cell materials and components</w:instrText>
      </w:r>
      <w:r w:rsidR="00151775">
        <w:rPr>
          <w:rFonts w:ascii="Segoe UI Symbol" w:hAnsi="Segoe UI Symbol" w:cs="Segoe UI Symbol"/>
        </w:rPr>
        <w:instrText>☆☆</w:instrText>
      </w:r>
      <w:r w:rsidR="00151775">
        <w:instrText>","type":"article-journal","volume":"51"},"uris":["http://www.mendeley.com/documents/?uuid=ad9c6c11-6f81-4115-8634-2afe7e550a73"]},{"id":"ITEM-2","itemData":{"DOI":"10.1595/205651315X688091","ISSN":"20565135","abstract":"Electrical resistivity values for both the solid and liquid phases of the platinum group metals (pgms) palladium and platinum are evaluated. In particular improved values are obtained for the liquid phases of these metals. Previous reviews on electrical resistivity which included evaluations for the pgms included those of Meaden (1), Bass (2), Savitskii et al. (3) and Binkele and Brunen (4) as well as individual reviews by Matula (5) on palladium and White (6) on platinum.","author":[{"dropping-particle":"","family":"Arblaster","given":"John W.","non-dropping-particle":"","parse-names":false,"suffix":""}],"container-title":"Johnson Matthey Technology Review","id":"ITEM-2","issue":"3","issued":{"date-parts":[["2015"]]},"page":"174-181","title":"Selected electrical resistivity values for the platinum group of metals part i: Palladium and platinum","type":"article-journal","volume":"59"},"uris":["http://www.mendeley.com/documents/?uuid=6816bb0c-6c6e-42e2-9bd1-f52876160d6c"]},{"id":"ITEM-3","itemData":{"DOI":"10.1002/9783527650248.ch10","ISBN":"9783527330126","abstract":"This chapter contains sections titled: * Introduction * SOFC and Electrochemical Fundamentals * Current Status of Electrodes; Fabrication Methods of Electrodes * Electrode Materials * Infiltration * Conclusion * References","author":[{"dropping-particle":"","family":"Gunen","given":"Evren","non-dropping-particle":"","parse-names":false,"suffix":""}],"container-title":"Fuel Cell Science and Engineering: Materials, Processes, Systems and Technology","id":"ITEM-3","issued":{"date-parts":[["2012"]]},"language":"English","note":"Export Date: 20 January 2017\nCorrespondence Address: Gunen, E.; TUBITAK Marmara Research Center, Energy Institute, Dr. Zeki Acar Cad., Baris mah. No: 1, Gebze, Kocaeli 41470, Turkey\nReferences: Steele, B.C.H., Heinzel, A., (2002) Nature, 414, pp. 345-352; Serra, J.M., Buchkremer, H.P., (2007) J. Power Sources, 172, pp. 768-774; Liu, B., Zhang, Y., (2008) J. Univ. Sci. Technol. (Beijing), 15 (1), pp. 84-90; He, T., Lu, Z., Huang, Y., Guan, P., Liu, J., Su, W., (2002) J. Alloys Compd., 337, pp. 231-236; Kim, S.D., Hyun, S.H., Moon, J., Kim, H.H., Song, R.H., (2005) J. Power Sources, 139, pp. 67-72; Leng, Y.J., Chan, S.H., (2004) J. Mater. Sci., 39, pp. 4405-4439; Menzler, N.H., Tietz, F., Uhlenbruck, S., Buchkremer, H.P., Stöver, D., (2010) J. Mater. Sci., 45, pp. 3109-3135; Beckel, D., Bieberle-Hütter, A., Harvey, A., Infortuna, A., Muecke, U.P., Prestat, M., Rupp, J.L.M., Gauckler, L.J., (2007) J. Power Sources, 173, pp. 325-345; Singh, P., Minh, N.Q., (2004) Int. J. Appl. Ceram. Technol., 1, pp. 5-15; Simnovis, D., Thulen, H., Dias, F.J., Naoumidis, A., Stöver, D., (1999) J. Mater. Process. Technol, pp. 92-93. , 107-111; Tietz, F., Buchkremer, H.P., Stöver, D., (2002) Solid State Ionics, 152-153, pp. 373-381; Antoni, L., (2004) Mater. Sci. Forum, pp. 461-464. , 1073-1090; Goodenough, J.B., Huang, Y.-H., (2007) J. Power Sources, 173, pp. 1-10; Singhal, S.C., Kendall, K., High Temperature Solid Oxide Fuel Cells (2003) Fundamentals Design and Applications Elsevier Amsterdam; Dees, D.W., Claar, T.D., Easler, T.E., Fee, D.C., Mrazek, F.C., (1987) J. Electrochem. Soc., 134, pp. 2141-2146; Matsuzaki, Y., Yasuda, I., (2000) Solid State Ionics, 132, pp. 261-269; Murray, E.P., Tsai, T., Barnett, S.A., (1999) Nature, 400, pp. 649-651; McIntosh, S., Vohs, J.M., Gorte, R.J., (2002) Electrochem. Acta, 47, pp. 3815-3821; Zhan, Z.I., Barnett, S.A., (2005) Science, 308, pp. 844-848; Marina, O.A., Mogensen, M., (1999) Appl. Catal. A, 189, pp. 117-126; Ramirez-Cabrera, E., Atkinson, A., Chadwick, D., (2000) Solid State Ionics, 136, pp. 825-831; Sfeir, J., (2003) J. Power Sources, 118, pp. 276-285; Tao, S.W., Irvine, J.T.S., (2003) Nat. Mater., 2, pp. 320-323; Sin, A., Kopnin, E., Dubitsky, Y., Zaopo, A., Arico, A.S., Gullo, L.R., Russo, D.L., Antonucci, V., (2005) J. Power Sources, 145, pp. 68-73; Vernoux, P., Guillodo, M., Fouletier, J., Hammou, A., (2000) Solid State Ionics, 135, pp. 425-431; Minh, N.Q., (1993) J. Am. Ceram. Soc., 76, pp. 563-588; Adler, S.B., (2004) Chem. Rev., 104, pp. 4791-4843; Shah, M., Barnett, S.A., (2008) Solid State Ionics, 179, pp. 2059-2064; Jorgensen, M.J., Primdahl, S., Bagger, C., Mogensen, M., (2000) Solid State Ionics, 139, pp. 1-11; Sholklapper, T.Z., Lu, C., Jacobson, C.P., Visco, S.J., De Jonghe, L.C., (2006) Electrochem. Solid-State Lett, 9, pp. A376.; Jiang, Z., Xia, C., Chen, F., (2010) Electrochim. Acta, 55, pp. 3595-3605; Jiang, S., (2006) Mater. Sci. Eng., 418 A (1-2), pp. 199-210; Sholklapper, T.Z., Radmilovic, V., Jacobson, C.P., Visco, S.J., De Jonghe, L.C., (2007) Electrochem. Solid-State Lett., 10, p. 135; Sholklapper, T.Z., Jacobson, C.P., Visco, S.J., De Jonghe, L.C., (2007) Electrochem. Solid-State Lett., (2008) Fuel Cells, 5, pp. 303-312; Craciun, R., Park, S., Gorte, R.J., Vohs, J.M., Wang, C., Worrel, W.L., (1999) J. Electrochem. Soc., 146, pp. 4019-4022; Vohs, J.M., Gorte, R.J., (2009) Adv. Mater., 21, pp. 943-956; Gorte, R.J., Vohs, J.M., (2009) Curr. Opin. Colloid Interface Sci., 14, pp. 236-244; Gross, M.D., Vohs, J.M., Gorte, R.J., (2007) J. Mater. Chem., 17, pp. 3071-3077; Atkinson, A., Barnett, S., Gorte, R.J., Irvine, J.S., McEvoy, A.J., (2004) Nat. Mater., 3, pp. 17-27; Busawon, A.N., Sarantaridis, D., Atkinson, A., (2008) Electrochem. Solid-State Lett., 11 (10), pp. B186-B189; Gorte, R.J., Vohs, J.M., McIntosh, S., (2004) Solid State Ionics, 175, pp. 1-6; Park, S., Gorte, R.J., Vohs, J.M., (2001) J. Electrochem. Soc., 148, pp. A443-A447; Gorte, R.J., Park, S., Vohs, J.M., Wang, C., (2000) Adv. Mater., 12, pp. 1465-1469; Kim, H., Lu, C., Worrell, W.L., Vohs, J.M., Gorte, R.J., (2002) J. Electrochem. Soc., 149, pp. A247-A250; Mortensen, A., Suresh, S., (1995) Int. Mater. Rev., 40, pp. 239-265; Corbin, S.F., Apte, P.S., (1999) J. Am. Ceram. Soc., 82 (7), pp. 1693-1701; Boaro, M., Vohs, J., Gorte, R.J., (2003) J. Am. Ceram. Soc., 86 (3), pp. 295-300; Kim, H., Da Rosa, C., Boaro, M., Lu, C., Vohs, J.M., Gorte, R.J., (2002) J. Am. Ceram. Soc., 85 (6), pp. 1473-1476; Ye, X.F., Huang, B., Wang, S.R., Wang, Z.R., Xiong, L., Wen, T.L., (2007) J. Power Sources, 164, pp. 203-209; Wang, X., Nakagawa, N., Kato, K., (2001) J. Electrochem. Soc., 148 (6), pp. A565-A569; Tanner, C.W., Fung, K.Z., Virkar, A.V., (1997) J. Electrochem. Soc., 144 (1), pp. 21-30; Gorte, R.J., Vohs, J.M., (2003) J. Catal., 216, pp. 477-486; Fleig, J., (2003) J. Power Sources, 118, pp. 276-285; Ahn, K., Jung, S., Vohs, J.M., Gorte, R.J., (2007) Ceram. Int., 33, pp. 1065-1070; Jiang, S.P., Duan, Y., Love, J., (2002) J. Electrochem. Soc., 149 (9), pp. A1175-A1183; Qiao, J., Sun, K., Zhang, N., Sun, B., Kong, J., Zhou, D., (2007) J. Power Sources, 169, pp. 253-258; Minh, N.Q., (1993) J. Am. Ceram. Soc., 76, pp. 563-588; Singh, C.A., Krishnan, V., (2008) ECS Trans., 6 (21), pp. 25-32; Jiang, S.P., Zhang, S., Zhen, D.Y., Wang, W., (2005) J. Am. Ceram. Soc., 88 (7), pp. 1779-1785; Wang, W., Jiang, S.P., Tok, A.I.Y., Luo, L., (2006) J. Power Sources, 159, pp. 68-72; Kim, G., Vohs, J.M., Gorte, R.J., (2008) J. Electrochem. Soc., 55 (4), pp. B360-B366; Gross, M.D., Vohs, J.M., Gorte, R.J., (2007) J. Electrochem. Soc, 154 (7), pp. B694-B699; Lee, S., Kim, G., Vohs, J.M., Gorte, R.J., (2008) J. Electrochem. Soc., 155 (11), pp. B1179-B1183; Savaniu, C.D., Irvine, J.T.S., (2011) Solid State Ionics, 192 (1), pp. 6-8; Lu, X.C., Zhu, J.H., (2007) Solid State Ionics, 178, pp. 1467-1475; Zhu, X., Lu, Z., Wei, B., Chen, K., Liu, M., Huang, X., Su, W., (2010) J. Power Sources, 195, pp. 1793-1798; Zhang, L., Gao, J., Liu, M., Xia, C.J., (2008) Alloys Compd., 482, pp. 168-172; Jiang, S.P., (2003) J. Power Sources, 124, pp. 390-402; Huang, Y., Vohs, J.M., Gorte, R.J., (2004) J. Electrochem. Soc., 151 (4), pp. A646-A651; Huang, Y., Vohs, J.M., Gorte, R.J., (2005) J. Electrochem. Soc., 152 (7), pp. A1347-A1353; Jiang, S.P., Wang, W., (2005) Solid State Ionics, 176, pp. 1351-1357; Jiang, S.P., Wang, W., (2005) J. Electrochem. Soc., 152 (7), pp. A1398-A1408; Xu, X.Y., Jiang, Z.Y., Fan, X., Cia, C.R., (2006) Solid State Ionics, 177, pp. 2113-2117; Xu, X.Y., Cao, C., Xia, C., Peng, D., (2009) Ceram. Int., 35, pp. 2213-2218; Lu, C., Sholklapper, T.Z., Jacobson, C.P., Visco, S.J., De Jonghe, C., (2005) J. Electrochem. Soc., 153 (6), pp. A1115-A1119; Hansen, K.K., Wandel, M., Liu, Y.L., Mogensen, M., (2010) Electrochim. Acta, 55, pp. 4606-4609; Ai, N., Jiang, S.P., Lü, Z., Chen, K., Su, W., (2010) J. Electrochem. Soc., 157 (7), pp. B1033-B1039; Liang, F.L., Chen, J., Jiang, S.P., Wang, F.Z., Chi, B., Pu, J., Jian, L., (2009) Fuel Cells, 5, pp. 636-642; Xiong, L., Wang, S., Wang, Z., Wen, T., (2010) J. Rare Earths, 28 (1), pp. 96-99; Nicholas, J.D., Barnett, S.A., (2010) J. Electrochem. Soc., 157 (4), pp. B536-B541; Mai, A., Haanappel, V.A.C., Uhlenbruck, S., Tietz, F., Stöver, D., (2005) Solid State Ionics, 176, pp. 1341-1350; Tietz, F., Mai, A., Stöver, D., (2008) Solid State Ionics, 179, pp. 1509-1515; Chen, J., Liang, F., Liu, L., Jiang, S., Chi, B., Pu, J., Jian, L., (2008) J. Power Sources, 183, pp. 586-589; Chen, J., Liang, F., Yan, D., Pu, J., Chi, B., Jiang, S., Jian, L., (2010) J. Power Sources, 195, pp. 5201-5205; Nie, L., Liu, M., Zhang, Y., Liu, M., (2010) J. Power Sources, 195, pp. 4704-4708; Adijanto, L., Küngas, R., Bidrawn, F., Gorte, R.J., Vohs, J.M., (2011) J. Power Sources, 196, pp. 5797-5802","page":"275-299","publisher":"Wiley-VCH","title":"Solid Oxide Fuel Cell Electrode Fabrication by Infiltration","type":"chapter","volume":"1"},"uris":["http://www.mendeley.com/documents/?uuid=e9968602-6056-4d1f-812b-db8200a9050b"]},{"id":"ITEM-4","itemData":{"DOI":"10.1016/S0167-2738(99)00254-4","ISSN":"01672738","abstract":"The effects of various current collectors on the electrochemical property measurements of a Ni-YSZ cermet have been investigated. Electrochemical characteristics were determined by impedance spectroscopy (IS) at open-circuit voltage in H2-H2O atmosphere at 800 °C using a symmetrical cell. We selected various current collectors made of gold, platinum and nickel and with two different structures, paste and mesh. When using paste, the electrochemical response, recorded with the same Ni-YSZ cermet sample, depends greatly on the nature of the current collector. Polarization resistance values follow the order: Ni&lt;Pt&lt;Au. This is the same order as reported in the literature for the hydrogen electrochemical oxidation activities of these metals. This demonstrates that paste current collectors interfere with the electrochemical properties of the anode material. Therefore, in order to compare the electrochemical activities of various anode materials, the same current collector has to be used. We have also observed that the polarization resistance increases with time, due to metal particle diffusion through the Ni-YSZ cermet. When using a nickel mesh, the electrochemical properties do not vary with time. Moreover, the structure of this current collector is most similar to the interconnect materials, which are the current collectors in planar SOFCs. It is, therefore, the best current collector for the study of the electrochemical properties of Ni-YSZ cermet.","author":[{"dropping-particle":"","family":"Guillodo","given":"M.","non-dropping-particle":"","parse-names":false,"suffix":""},{"dropping-particle":"","family":"Vernoux","given":"P.","non-dropping-particle":"","parse-names":false,"suffix":""},{"dropping-particle":"","family":"Fouletier","given":"J.","non-dropping-particle":"","parse-names":false,"suffix":""}],"container-title":"Solid State Ionics","id":"ITEM-4","issue":"1-2","issued":{"date-parts":[["2000"]]},"page":"99-107","title":"Electrochemical properties of Ni-YSZ cermet in solid oxide fuel cells. Effect of current collecting","type":"article-journal","volume":"127"},"uris":["http://www.mendeley.com/documents/?uuid=1b59ad5f-6e71-4c86-8342-2445f4bf2a8c"]}],"mendeley":{"formattedCitation":"[438], [463]–[465]","plainTextFormattedCitation":"[438], [463]–[465]","previouslyFormattedCitation":"[438], [463]–[465]"},"properties":{"noteIndex":0},"schema":"https://github.com/citation-style-language/schema/raw/master/csl-citation.json"}</w:instrText>
      </w:r>
      <w:r>
        <w:fldChar w:fldCharType="separate"/>
      </w:r>
      <w:r w:rsidR="008B6E91" w:rsidRPr="008B6E91">
        <w:rPr>
          <w:noProof/>
        </w:rPr>
        <w:t>[438], [463]–[465]</w:t>
      </w:r>
      <w:r>
        <w:fldChar w:fldCharType="end"/>
      </w:r>
      <w:r>
        <w:t>.</w:t>
      </w:r>
      <w:r w:rsidR="00563517">
        <w:t xml:space="preserve"> This combined with the fact that the Pt2 sample had an over 100% larger than its Pt 1counterpart would suggest that the Heraeus Pt paste used is defective and the samples considered anomalous.  The large variation between repeats and the physical delamination seen in </w:t>
      </w:r>
      <w:r w:rsidR="00563517">
        <w:fldChar w:fldCharType="begin"/>
      </w:r>
      <w:r w:rsidR="00563517">
        <w:instrText xml:space="preserve"> REF _Ref51678778 \h </w:instrText>
      </w:r>
      <w:r w:rsidR="00563517">
        <w:fldChar w:fldCharType="separate"/>
      </w:r>
      <w:r w:rsidR="006C5D1F">
        <w:t>Figure 5.</w:t>
      </w:r>
      <w:r w:rsidR="006C5D1F">
        <w:rPr>
          <w:noProof/>
        </w:rPr>
        <w:t>1</w:t>
      </w:r>
      <w:r w:rsidR="00563517">
        <w:fldChar w:fldCharType="end"/>
      </w:r>
      <w:r w:rsidR="00563517">
        <w:t xml:space="preserve"> meant that the Heraeus Pt paste was not investigated further.</w:t>
      </w:r>
    </w:p>
    <w:p w14:paraId="6FD8B2AC" w14:textId="674B6A17" w:rsidR="00563517" w:rsidRDefault="00563517" w:rsidP="00007F6C">
      <w:pPr>
        <w:keepNext/>
        <w:jc w:val="center"/>
      </w:pPr>
      <w:r w:rsidRPr="004D56F8">
        <w:rPr>
          <w:noProof/>
        </w:rPr>
        <w:drawing>
          <wp:inline distT="0" distB="0" distL="0" distR="0" wp14:anchorId="5331ED10" wp14:editId="3D60708E">
            <wp:extent cx="4320000" cy="3234286"/>
            <wp:effectExtent l="0" t="0" r="4445" b="444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7">
                      <a:extLst>
                        <a:ext uri="{28A0092B-C50C-407E-A947-70E740481C1C}">
                          <a14:useLocalDpi xmlns:a14="http://schemas.microsoft.com/office/drawing/2010/main" val="0"/>
                        </a:ext>
                      </a:extLst>
                    </a:blip>
                    <a:srcRect l="7110" t="9610" r="6193" b="5405"/>
                    <a:stretch/>
                  </pic:blipFill>
                  <pic:spPr bwMode="auto">
                    <a:xfrm>
                      <a:off x="0" y="0"/>
                      <a:ext cx="4320000" cy="3234286"/>
                    </a:xfrm>
                    <a:prstGeom prst="rect">
                      <a:avLst/>
                    </a:prstGeom>
                    <a:noFill/>
                    <a:ln>
                      <a:noFill/>
                    </a:ln>
                    <a:extLst>
                      <a:ext uri="{53640926-AAD7-44D8-BBD7-CCE9431645EC}">
                        <a14:shadowObscured xmlns:a14="http://schemas.microsoft.com/office/drawing/2010/main"/>
                      </a:ext>
                    </a:extLst>
                  </pic:spPr>
                </pic:pic>
              </a:graphicData>
            </a:graphic>
          </wp:inline>
        </w:drawing>
      </w:r>
    </w:p>
    <w:p w14:paraId="2A6684AB" w14:textId="2FBA6233" w:rsidR="00007F6C" w:rsidRPr="00563517" w:rsidRDefault="00007F6C" w:rsidP="00563517">
      <w:pPr>
        <w:pStyle w:val="Caption"/>
      </w:pPr>
      <w:bookmarkStart w:id="482" w:name="_Ref68871095"/>
      <w:bookmarkStart w:id="483" w:name="_Toc69115033"/>
      <w:r>
        <w:t>Figure 5.</w:t>
      </w:r>
      <w:r w:rsidR="00B51F53">
        <w:fldChar w:fldCharType="begin"/>
      </w:r>
      <w:r w:rsidR="00B51F53">
        <w:instrText xml:space="preserve"> SEQ Figure \* ARABIC </w:instrText>
      </w:r>
      <w:r w:rsidR="00B51F53">
        <w:fldChar w:fldCharType="separate"/>
      </w:r>
      <w:r w:rsidR="006C5D1F">
        <w:rPr>
          <w:noProof/>
        </w:rPr>
        <w:t>18</w:t>
      </w:r>
      <w:r w:rsidR="00B51F53">
        <w:rPr>
          <w:noProof/>
        </w:rPr>
        <w:fldChar w:fldCharType="end"/>
      </w:r>
      <w:bookmarkEnd w:id="482"/>
      <w:r>
        <w:t xml:space="preserve">: </w:t>
      </w:r>
      <w:r w:rsidR="00563517">
        <w:t xml:space="preserve">Nyquist plots for the Ni-YSZ sample coated in a Pt current collector over a 50h ageing period (P2) including the equivalent circuit fit using the circuit in </w:t>
      </w:r>
      <w:r w:rsidR="00563517">
        <w:fldChar w:fldCharType="begin"/>
      </w:r>
      <w:r w:rsidR="00563517">
        <w:instrText xml:space="preserve"> REF _Ref67994876 \h </w:instrText>
      </w:r>
      <w:r w:rsidR="00563517">
        <w:fldChar w:fldCharType="separate"/>
      </w:r>
      <w:r w:rsidR="00563517">
        <w:t>Figure 5.</w:t>
      </w:r>
      <w:r w:rsidR="00563517">
        <w:rPr>
          <w:noProof/>
        </w:rPr>
        <w:t>118</w:t>
      </w:r>
      <w:bookmarkEnd w:id="483"/>
      <w:r w:rsidR="00563517">
        <w:fldChar w:fldCharType="end"/>
      </w:r>
    </w:p>
    <w:p w14:paraId="1C68E0F4" w14:textId="77777777" w:rsidR="00007F6C" w:rsidRDefault="00007F6C" w:rsidP="00007F6C">
      <w:pPr>
        <w:pStyle w:val="Heading4"/>
        <w:jc w:val="both"/>
      </w:pPr>
      <w:r>
        <w:t>5.3.2.4</w:t>
      </w:r>
      <w:r>
        <w:tab/>
        <w:t>Nickel Oxide/</w:t>
      </w:r>
      <w:proofErr w:type="spellStart"/>
      <w:r>
        <w:t>NiO</w:t>
      </w:r>
      <w:proofErr w:type="spellEnd"/>
    </w:p>
    <w:p w14:paraId="7E8AAB3B" w14:textId="42EC0BBC" w:rsidR="00007F6C" w:rsidRPr="00F86CB0" w:rsidRDefault="00007F6C" w:rsidP="00007F6C">
      <w:pPr>
        <w:jc w:val="both"/>
      </w:pPr>
      <w:r>
        <w:t xml:space="preserve">Nickel current collectors have the theoretically greatest anode electrochemical activity for all of the current collector materials assessed during this study </w:t>
      </w:r>
      <w:r>
        <w:fldChar w:fldCharType="begin" w:fldLock="1"/>
      </w:r>
      <w:r w:rsidR="008446C6">
        <w:instrText>ADDIN CSL_CITATION {"citationItems":[{"id":"ITEM-1","itemData":{"DOI":"10.1007/s10008-011-1341-8","ISSN":"14328488","abstract":"Continuing previous reviews on mixed-conducting electrodes for intermediate-temperature solid oxide fuel cells (IT SOFCs), this work presents a short overview of novel cathode and anode materials, their electrochemical performance in contact with oxygen anion- and proton-conducting solid electrolytes, and specific features determining possible applications. Priority was given mainly to recent research reports published during the last 2-5 years. Particular emphasis is focused on the relevant methodological aspects, potential limitations and drawbacks, and factors affecting electrode polarization and durability. Typical ranges of the polarization resistances, overpotentials, power densities in the cells with various current collectors, and the electrode materials total conductivity and thermal expansion are compared. The electrode compositions appraised in single-chamber and micro-SOFCs, hydrocarbon- and carbon-fueled cells, high-temperature electrolyzers, and other solid-electrolyte appliances are briefly covered in light of their similarity to the common SOFC materials discussed in the previous parts. © 2011 Springer-Verlag.","author":[{"dropping-particle":"V.","family":"Tsipis","given":"Ekaterina","non-dropping-particle":"","parse-names":false,"suffix":""},{"dropping-particle":"V.","family":"Kharton","given":"Vladislav","non-dropping-particle":"","parse-names":false,"suffix":""}],"container-title":"Journal of Solid State Electrochemistry","id":"ITEM-1","issue":"5","issued":{"date-parts":[["2011"]]},"page":"1007-1040","title":"Electrode materials and reaction mechanisms in solid oxide fuel cells: A brief review. III. Recent trends and selected methodological aspects","type":"article-journal","volume":"15"},"uris":["http://www.mendeley.com/documents/?uuid=e8ab5cbd-a585-43a1-9b56-56ec3e757bb2"]},{"id":"ITEM-2","itemData":{"DOI":"10.1016/j.ssi.2007.10.016","ISSN":"01672738","abstract":"Quantum mechanical calculations on the level of density-functional theory are used to calculate the stability of surface-adsorbed hydrogen atoms, oxygen atoms, and hydroxyl radicals for a variety of metals (Mn, Fe, Co, Ni, Cu, Ru, Rh, Pd, Ag, Pt, Au) that may be used as electrode materials for solid oxide fuel cell (SOFC) anodes. The reaction energies along the hydrogen oxidation pathway were quantified for both, oxygen spillover and hydrogen spillover mechanisms at the three-phase boundary. The ab initio results are compared to previously-obtained experimental anode activities measured for nine different metal/stabilized zirconia anodes. The experimentally-observed variation of electrode activity with anode material is well-correlated with the calculated stability of surface-adsorbed atomic oxygen, but uncorrelated with the stability of surface-adsorbed hydrogen. This finding indicates that oxygen spillover, where adsorbed oxygen is a key intermediate, is the dominant reaction pathway under the conditions used in the experiments. In this way the activity is linked directly to the microscopic binding affinities of reaction intermediates, providing a new understanding of the anode reaction. © 2007 Elsevier B.V. All rights reserved.","author":[{"dropping-particle":"","family":"Rossmeisl","given":"Jan","non-dropping-particle":"","parse-names":false,"suffix":""},{"dropping-particle":"","family":"Bessler","given":"Wolfgang G.","non-dropping-particle":"","parse-names":false,"suffix":""}],"container-title":"Solid State Ionics","id":"ITEM-2","issue":"31-32","issued":{"date-parts":[["2008"]]},"page":"1694-1700","title":"Trends in catalytic activity for SOFC anode materials","type":"article-journal","volume":"178"},"uris":["http://www.mendeley.com/documents/?uuid=1acba3e5-cc67-4d40-81af-6ca627e34b4c"]}],"mendeley":{"formattedCitation":"[435], [466]","plainTextFormattedCitation":"[435], [466]","previouslyFormattedCitation":"[435], [466]"},"properties":{"noteIndex":0},"schema":"https://github.com/citation-style-language/schema/raw/master/csl-citation.json"}</w:instrText>
      </w:r>
      <w:r>
        <w:fldChar w:fldCharType="separate"/>
      </w:r>
      <w:r w:rsidR="00A77A83" w:rsidRPr="00A77A83">
        <w:rPr>
          <w:noProof/>
        </w:rPr>
        <w:t>[435], [466]</w:t>
      </w:r>
      <w:r>
        <w:fldChar w:fldCharType="end"/>
      </w:r>
      <w:r>
        <w:t>. This was evident in the R</w:t>
      </w:r>
      <w:r>
        <w:rPr>
          <w:vertAlign w:val="subscript"/>
        </w:rPr>
        <w:t>P</w:t>
      </w:r>
      <w:r>
        <w:t xml:space="preserve"> for the nickel coated samples which produced the lowest R</w:t>
      </w:r>
      <w:r>
        <w:rPr>
          <w:vertAlign w:val="subscript"/>
        </w:rPr>
        <w:t>p</w:t>
      </w:r>
      <w:r>
        <w:t xml:space="preserve"> after 50 h for any samples in this study (13.58 </w:t>
      </w:r>
      <w:r>
        <w:rPr>
          <w:rFonts w:cstheme="minorHAnsi"/>
        </w:rPr>
        <w:t>Ω</w:t>
      </w:r>
      <w:r>
        <w:t>cm</w:t>
      </w:r>
      <w:r>
        <w:rPr>
          <w:vertAlign w:val="superscript"/>
        </w:rPr>
        <w:t>2</w:t>
      </w:r>
      <w:r>
        <w:t>). Unlike the cells utilising a silver current collector the R</w:t>
      </w:r>
      <w:r>
        <w:rPr>
          <w:vertAlign w:val="subscript"/>
        </w:rPr>
        <w:t>S</w:t>
      </w:r>
      <w:r>
        <w:t xml:space="preserve"> for these samples levelled out after 30 h of ageing. The R</w:t>
      </w:r>
      <w:r>
        <w:rPr>
          <w:vertAlign w:val="subscript"/>
        </w:rPr>
        <w:t>P</w:t>
      </w:r>
      <w:r>
        <w:t xml:space="preserve"> of the cells showed some large variation over the ageing period. One of the key factors for this was the lack of an explicit R</w:t>
      </w:r>
      <w:r>
        <w:rPr>
          <w:vertAlign w:val="subscript"/>
        </w:rPr>
        <w:t>S</w:t>
      </w:r>
      <w:r>
        <w:t xml:space="preserve"> intercept in the data (</w:t>
      </w:r>
      <w:r>
        <w:fldChar w:fldCharType="begin"/>
      </w:r>
      <w:r>
        <w:instrText xml:space="preserve"> REF _Ref45112329 \h  \* MERGEFORMAT </w:instrText>
      </w:r>
      <w:r>
        <w:fldChar w:fldCharType="separate"/>
      </w:r>
      <w:r w:rsidR="006C5D1F">
        <w:t xml:space="preserve">Figure </w:t>
      </w:r>
      <w:r w:rsidR="006C5D1F">
        <w:rPr>
          <w:noProof/>
        </w:rPr>
        <w:t>5.131</w:t>
      </w:r>
      <w:r>
        <w:fldChar w:fldCharType="end"/>
      </w:r>
      <w:r>
        <w:t xml:space="preserve">). </w:t>
      </w:r>
    </w:p>
    <w:p w14:paraId="28D7F849" w14:textId="457FEBF6" w:rsidR="00007F6C" w:rsidRPr="009317D3" w:rsidRDefault="00007F6C" w:rsidP="00007F6C">
      <w:pPr>
        <w:jc w:val="both"/>
      </w:pPr>
      <w:r>
        <w:t>The morphology of the R</w:t>
      </w:r>
      <w:r>
        <w:rPr>
          <w:vertAlign w:val="subscript"/>
        </w:rPr>
        <w:t>S</w:t>
      </w:r>
      <w:r>
        <w:t xml:space="preserve"> vs ageing time plot (</w:t>
      </w:r>
      <w:r>
        <w:fldChar w:fldCharType="begin"/>
      </w:r>
      <w:r>
        <w:instrText xml:space="preserve"> REF _Ref45108973 \h  \* MERGEFORMAT </w:instrText>
      </w:r>
      <w:r>
        <w:fldChar w:fldCharType="separate"/>
      </w:r>
      <w:r w:rsidR="006C5D1F">
        <w:t xml:space="preserve">Figure </w:t>
      </w:r>
      <w:r w:rsidR="006C5D1F">
        <w:rPr>
          <w:noProof/>
        </w:rPr>
        <w:t>5.19</w:t>
      </w:r>
      <w:r>
        <w:fldChar w:fldCharType="end"/>
      </w:r>
      <w:r>
        <w:t>) shows a gradual increase in this part of the impedance contribution. This steady rise suggests that the position of the R</w:t>
      </w:r>
      <w:r>
        <w:rPr>
          <w:vertAlign w:val="subscript"/>
        </w:rPr>
        <w:t>s</w:t>
      </w:r>
      <w:r>
        <w:t xml:space="preserve"> intercept is a key factor in the calculation of the R</w:t>
      </w:r>
      <w:r>
        <w:rPr>
          <w:vertAlign w:val="subscript"/>
        </w:rPr>
        <w:t>P</w:t>
      </w:r>
      <w:r>
        <w:t>. Two of the nickel coated samples demonstrated a similar drop in R</w:t>
      </w:r>
      <w:r>
        <w:rPr>
          <w:vertAlign w:val="subscript"/>
        </w:rPr>
        <w:t>P</w:t>
      </w:r>
      <w:r>
        <w:t xml:space="preserve"> as was shown by the gold samples.  A large reduction in the R</w:t>
      </w:r>
      <w:r>
        <w:rPr>
          <w:vertAlign w:val="subscript"/>
        </w:rPr>
        <w:t>P</w:t>
      </w:r>
      <w:r>
        <w:t xml:space="preserve"> was evident after 20 h of ageing for which samples.</w:t>
      </w:r>
    </w:p>
    <w:p w14:paraId="005CDA1F" w14:textId="77777777" w:rsidR="00007F6C" w:rsidRDefault="00007F6C" w:rsidP="00007F6C">
      <w:pPr>
        <w:keepNext/>
        <w:jc w:val="center"/>
      </w:pPr>
      <w:r w:rsidRPr="008C63F1">
        <w:rPr>
          <w:noProof/>
        </w:rPr>
        <w:lastRenderedPageBreak/>
        <w:drawing>
          <wp:inline distT="0" distB="0" distL="0" distR="0" wp14:anchorId="00EBAA4F" wp14:editId="6BF13FBC">
            <wp:extent cx="4320000" cy="3662716"/>
            <wp:effectExtent l="0" t="0" r="4445"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8">
                      <a:extLst>
                        <a:ext uri="{28A0092B-C50C-407E-A947-70E740481C1C}">
                          <a14:useLocalDpi xmlns:a14="http://schemas.microsoft.com/office/drawing/2010/main" val="0"/>
                        </a:ext>
                      </a:extLst>
                    </a:blip>
                    <a:srcRect l="9390" t="9526" r="13784" b="5260"/>
                    <a:stretch/>
                  </pic:blipFill>
                  <pic:spPr bwMode="auto">
                    <a:xfrm>
                      <a:off x="0" y="0"/>
                      <a:ext cx="4320000" cy="3662716"/>
                    </a:xfrm>
                    <a:prstGeom prst="rect">
                      <a:avLst/>
                    </a:prstGeom>
                    <a:noFill/>
                    <a:ln>
                      <a:noFill/>
                    </a:ln>
                    <a:extLst>
                      <a:ext uri="{53640926-AAD7-44D8-BBD7-CCE9431645EC}">
                        <a14:shadowObscured xmlns:a14="http://schemas.microsoft.com/office/drawing/2010/main"/>
                      </a:ext>
                    </a:extLst>
                  </pic:spPr>
                </pic:pic>
              </a:graphicData>
            </a:graphic>
          </wp:inline>
        </w:drawing>
      </w:r>
    </w:p>
    <w:p w14:paraId="05288353" w14:textId="716D65C1" w:rsidR="00007F6C" w:rsidRDefault="00007F6C" w:rsidP="00007F6C">
      <w:pPr>
        <w:pStyle w:val="Caption"/>
      </w:pPr>
      <w:bookmarkStart w:id="484" w:name="_Ref45108973"/>
      <w:bookmarkStart w:id="485" w:name="_Toc69115034"/>
      <w:r>
        <w:t>Figure 5.</w:t>
      </w:r>
      <w:r w:rsidR="00B51F53">
        <w:fldChar w:fldCharType="begin"/>
      </w:r>
      <w:r w:rsidR="00B51F53">
        <w:instrText xml:space="preserve"> SEQ Figure \* ARABIC </w:instrText>
      </w:r>
      <w:r w:rsidR="00B51F53">
        <w:fldChar w:fldCharType="separate"/>
      </w:r>
      <w:r w:rsidR="006C5D1F">
        <w:rPr>
          <w:noProof/>
        </w:rPr>
        <w:t>19</w:t>
      </w:r>
      <w:r w:rsidR="00B51F53">
        <w:rPr>
          <w:noProof/>
        </w:rPr>
        <w:fldChar w:fldCharType="end"/>
      </w:r>
      <w:bookmarkEnd w:id="484"/>
      <w:r>
        <w:t>: Scatter graphs showing the evolution of the Series resistance vs ageing time for the Ni-YSZ samples coated in a Ni current collector (</w:t>
      </w:r>
      <w:proofErr w:type="spellStart"/>
      <w:r>
        <w:t>Shoei</w:t>
      </w:r>
      <w:proofErr w:type="spellEnd"/>
      <w:r>
        <w:t>, Japan)</w:t>
      </w:r>
      <w:bookmarkEnd w:id="485"/>
    </w:p>
    <w:p w14:paraId="4CD746CE" w14:textId="79C42E64" w:rsidR="0059133E" w:rsidRPr="00FE1CDB" w:rsidRDefault="00007F6C" w:rsidP="00007F6C">
      <w:pPr>
        <w:jc w:val="both"/>
      </w:pPr>
      <w:r>
        <w:t xml:space="preserve">The nickel oxide coated samples produced the second lowest initial and lowest 50 h aged polarisation resistance for any of the Ni-YSZ fuel electrodes in this study. The Nyquist plots did not show the presence of a low frequency gas diffusion arc. </w:t>
      </w:r>
    </w:p>
    <w:p w14:paraId="5FDF1F77" w14:textId="77777777" w:rsidR="00007F6C" w:rsidRDefault="00007F6C" w:rsidP="00007F6C">
      <w:pPr>
        <w:keepNext/>
        <w:jc w:val="center"/>
      </w:pPr>
      <w:r w:rsidRPr="008C63F1">
        <w:rPr>
          <w:noProof/>
        </w:rPr>
        <w:drawing>
          <wp:inline distT="0" distB="0" distL="0" distR="0" wp14:anchorId="2127017E" wp14:editId="7070F6E4">
            <wp:extent cx="4320000" cy="3622674"/>
            <wp:effectExtent l="0" t="0" r="444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9">
                      <a:extLst>
                        <a:ext uri="{28A0092B-C50C-407E-A947-70E740481C1C}">
                          <a14:useLocalDpi xmlns:a14="http://schemas.microsoft.com/office/drawing/2010/main" val="0"/>
                        </a:ext>
                      </a:extLst>
                    </a:blip>
                    <a:srcRect l="9199" t="9777" r="13585" b="5511"/>
                    <a:stretch/>
                  </pic:blipFill>
                  <pic:spPr bwMode="auto">
                    <a:xfrm>
                      <a:off x="0" y="0"/>
                      <a:ext cx="4320000" cy="3622674"/>
                    </a:xfrm>
                    <a:prstGeom prst="rect">
                      <a:avLst/>
                    </a:prstGeom>
                    <a:noFill/>
                    <a:ln>
                      <a:noFill/>
                    </a:ln>
                    <a:extLst>
                      <a:ext uri="{53640926-AAD7-44D8-BBD7-CCE9431645EC}">
                        <a14:shadowObscured xmlns:a14="http://schemas.microsoft.com/office/drawing/2010/main"/>
                      </a:ext>
                    </a:extLst>
                  </pic:spPr>
                </pic:pic>
              </a:graphicData>
            </a:graphic>
          </wp:inline>
        </w:drawing>
      </w:r>
    </w:p>
    <w:p w14:paraId="64A229FE" w14:textId="55BC8521" w:rsidR="0059133E" w:rsidRDefault="00007F6C" w:rsidP="0059133E">
      <w:pPr>
        <w:pStyle w:val="Caption"/>
        <w:jc w:val="both"/>
      </w:pPr>
      <w:bookmarkStart w:id="486" w:name="_Ref46222491"/>
      <w:bookmarkStart w:id="487" w:name="_Toc69115035"/>
      <w:r>
        <w:t>Figure 5.</w:t>
      </w:r>
      <w:r w:rsidR="00B51F53">
        <w:fldChar w:fldCharType="begin"/>
      </w:r>
      <w:r w:rsidR="00B51F53">
        <w:instrText xml:space="preserve"> SEQ Figure \* ARABIC </w:instrText>
      </w:r>
      <w:r w:rsidR="00B51F53">
        <w:fldChar w:fldCharType="separate"/>
      </w:r>
      <w:r w:rsidR="006C5D1F">
        <w:rPr>
          <w:noProof/>
        </w:rPr>
        <w:t>20</w:t>
      </w:r>
      <w:r w:rsidR="00B51F53">
        <w:rPr>
          <w:noProof/>
        </w:rPr>
        <w:fldChar w:fldCharType="end"/>
      </w:r>
      <w:bookmarkEnd w:id="486"/>
      <w:r>
        <w:t xml:space="preserve">: </w:t>
      </w:r>
      <w:r w:rsidRPr="00D01AB7">
        <w:t>Scatter graphs showing the evolution of the Polarisation resistance vs ageing time for the Ni-YSZ samples coated in a Ni current collector (</w:t>
      </w:r>
      <w:proofErr w:type="spellStart"/>
      <w:r w:rsidRPr="00D01AB7">
        <w:t>Shoei</w:t>
      </w:r>
      <w:proofErr w:type="spellEnd"/>
      <w:r w:rsidRPr="00D01AB7">
        <w:t>, Japan)</w:t>
      </w:r>
      <w:bookmarkEnd w:id="487"/>
    </w:p>
    <w:p w14:paraId="5BCC3E85" w14:textId="046F482A" w:rsidR="0059133E" w:rsidRPr="0059133E" w:rsidRDefault="0059133E" w:rsidP="0059133E">
      <w:r>
        <w:lastRenderedPageBreak/>
        <w:t>There appeared to be a distortion in the frequency response that was prevalent in the nickel oxide paste dataset that appeared every 5 h. This is evident by the stepped R</w:t>
      </w:r>
      <w:r>
        <w:rPr>
          <w:vertAlign w:val="subscript"/>
        </w:rPr>
        <w:t>S</w:t>
      </w:r>
      <w:r>
        <w:t xml:space="preserve"> in the first 50 h of ageing of the Ni1-Ni3 samples (</w:t>
      </w:r>
      <w:r>
        <w:fldChar w:fldCharType="begin"/>
      </w:r>
      <w:r>
        <w:instrText xml:space="preserve"> REF _Ref45108973 \h </w:instrText>
      </w:r>
      <w:r>
        <w:fldChar w:fldCharType="separate"/>
      </w:r>
      <w:r w:rsidR="006C5D1F">
        <w:t>Figure 5.</w:t>
      </w:r>
      <w:r w:rsidR="006C5D1F">
        <w:rPr>
          <w:noProof/>
        </w:rPr>
        <w:t>19</w:t>
      </w:r>
      <w:r>
        <w:fldChar w:fldCharType="end"/>
      </w:r>
      <w:r w:rsidR="009A3E3A">
        <w:t>-</w:t>
      </w:r>
      <w:r w:rsidR="009A3E3A">
        <w:fldChar w:fldCharType="begin"/>
      </w:r>
      <w:r w:rsidR="009A3E3A">
        <w:instrText xml:space="preserve"> REF _Ref45112329 \h </w:instrText>
      </w:r>
      <w:r w:rsidR="009A3E3A">
        <w:fldChar w:fldCharType="separate"/>
      </w:r>
      <w:r w:rsidR="009A3E3A">
        <w:t>Figure 5.</w:t>
      </w:r>
      <w:r w:rsidR="009A3E3A">
        <w:rPr>
          <w:noProof/>
        </w:rPr>
        <w:t>21</w:t>
      </w:r>
      <w:r w:rsidR="009A3E3A">
        <w:fldChar w:fldCharType="end"/>
      </w:r>
      <w:r>
        <w:t xml:space="preserve">). </w:t>
      </w:r>
      <w:r w:rsidR="00674EEC">
        <w:t>The mostly likely source of these step</w:t>
      </w:r>
      <w:r w:rsidR="00A77A83">
        <w:t>s</w:t>
      </w:r>
      <w:r w:rsidR="00674EEC">
        <w:t xml:space="preserve"> </w:t>
      </w:r>
      <w:r w:rsidR="00A77A83">
        <w:t xml:space="preserve">is a form of distortion from the 1287 frequency response analyser namely due to AC amplitude generation issues in the low frequency range &lt; 350 Hz </w:t>
      </w:r>
      <w:r w:rsidR="00A77A83">
        <w:fldChar w:fldCharType="begin" w:fldLock="1"/>
      </w:r>
      <w:r w:rsidR="008446C6">
        <w:instrText>ADDIN CSL_CITATION {"citationItems":[{"id":"ITEM-1","itemData":{"DOI":"10.1002/fuce.201800005","ISSN":"16156854","abstract":"In this study, the origin of noise in electrochemical impedance spectroscopy (EIS) spectra measured on a variety of polymer electrolyte membrane electrolysis cells (PEMECs) has been investigated. EIS was measured during operation at various current densities of seven different PEMECs divided in five different cell types including both acidic PEMECs and alkaline PEMECs. The noise pattern differed between various types of cells and between cells of the same cell type. Integration time had no influence on the EIS noise level, whereas the AC amplitude seems to influence the EIS noise level. Other electrical noise sources influencing the EIS measurements have been studied with oscilloscope. No noise was observed at DC. A hypothesis explaining the relation between bubble formation during electrolysis and EIS noise is proposed based on the experimental findings.","author":[{"dropping-particle":"","family":"Elsøe","given":"K.","non-dropping-particle":"","parse-names":false,"suffix":""},{"dropping-particle":"","family":"Kraglund","given":"M. R.","non-dropping-particle":"","parse-names":false,"suffix":""},{"dropping-particle":"","family":"Grahl-Madsen","given":"L.","non-dropping-particle":"","parse-names":false,"suffix":""},{"dropping-particle":"","family":"Scherer","given":"G. G.","non-dropping-particle":"","parse-names":false,"suffix":""},{"dropping-particle":"","family":"Hjelm","given":"J.","non-dropping-particle":"","parse-names":false,"suffix":""},{"dropping-particle":"","family":"Jensen","given":"S. H.","non-dropping-particle":"","parse-names":false,"suffix":""},{"dropping-particle":"","family":"Jacobsen","given":"T.","non-dropping-particle":"","parse-names":false,"suffix":""},{"dropping-particle":"","family":"Mogensen","given":"M. B.","non-dropping-particle":"","parse-names":false,"suffix":""}],"container-title":"Fuel Cells","id":"ITEM-1","issue":"5","issued":{"date-parts":[["2018"]]},"page":"640-648","title":"Noise Phenomena in Electrochemical Impedance Spectroscopy of Polymer Electrolyte Membrane Electrolysis Cells","type":"article-journal","volume":"18"},"uris":["http://www.mendeley.com/documents/?uuid=d6a71ebd-9f60-4f1b-b8dd-f49965e424d7"]}],"mendeley":{"formattedCitation":"[467]","plainTextFormattedCitation":"[467]","previouslyFormattedCitation":"[467]"},"properties":{"noteIndex":0},"schema":"https://github.com/citation-style-language/schema/raw/master/csl-citation.json"}</w:instrText>
      </w:r>
      <w:r w:rsidR="00A77A83">
        <w:fldChar w:fldCharType="separate"/>
      </w:r>
      <w:r w:rsidR="00A77A83" w:rsidRPr="00A77A83">
        <w:rPr>
          <w:noProof/>
        </w:rPr>
        <w:t>[467]</w:t>
      </w:r>
      <w:r w:rsidR="00A77A83">
        <w:fldChar w:fldCharType="end"/>
      </w:r>
      <w:r w:rsidR="00A77A83">
        <w:t xml:space="preserve">. Further datasets with half hour measurements and for 100 h would have helped to firstly, confirm that </w:t>
      </w:r>
      <w:proofErr w:type="gramStart"/>
      <w:r w:rsidR="00A77A83">
        <w:t>it’s</w:t>
      </w:r>
      <w:proofErr w:type="gramEnd"/>
      <w:r w:rsidR="00A77A83">
        <w:t xml:space="preserve"> not a sample interaction and that this issue is only limited to the first 50 h of ageing. Additionally</w:t>
      </w:r>
      <w:r w:rsidR="00C96557">
        <w:t>,</w:t>
      </w:r>
      <w:r w:rsidR="00A77A83">
        <w:t xml:space="preserve"> comparison work with a separate FRA would triangulate that this issue is solely due to instrumental distortion.</w:t>
      </w:r>
    </w:p>
    <w:p w14:paraId="2452AD70" w14:textId="77777777" w:rsidR="00007F6C" w:rsidRDefault="00007F6C" w:rsidP="00007F6C">
      <w:pPr>
        <w:keepNext/>
        <w:jc w:val="center"/>
      </w:pPr>
      <w:r w:rsidRPr="001D642F">
        <w:rPr>
          <w:noProof/>
        </w:rPr>
        <w:drawing>
          <wp:inline distT="0" distB="0" distL="0" distR="0" wp14:anchorId="38BC8AE8" wp14:editId="3429A659">
            <wp:extent cx="4320000" cy="3408000"/>
            <wp:effectExtent l="0" t="0" r="4445" b="254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0">
                      <a:extLst>
                        <a:ext uri="{28A0092B-C50C-407E-A947-70E740481C1C}">
                          <a14:useLocalDpi xmlns:a14="http://schemas.microsoft.com/office/drawing/2010/main" val="0"/>
                        </a:ext>
                      </a:extLst>
                    </a:blip>
                    <a:srcRect l="8486" t="9610" r="8945" b="5105"/>
                    <a:stretch/>
                  </pic:blipFill>
                  <pic:spPr bwMode="auto">
                    <a:xfrm>
                      <a:off x="0" y="0"/>
                      <a:ext cx="4320000" cy="3408000"/>
                    </a:xfrm>
                    <a:prstGeom prst="rect">
                      <a:avLst/>
                    </a:prstGeom>
                    <a:noFill/>
                    <a:ln>
                      <a:noFill/>
                    </a:ln>
                    <a:extLst>
                      <a:ext uri="{53640926-AAD7-44D8-BBD7-CCE9431645EC}">
                        <a14:shadowObscured xmlns:a14="http://schemas.microsoft.com/office/drawing/2010/main"/>
                      </a:ext>
                    </a:extLst>
                  </pic:spPr>
                </pic:pic>
              </a:graphicData>
            </a:graphic>
          </wp:inline>
        </w:drawing>
      </w:r>
    </w:p>
    <w:p w14:paraId="12D4625B" w14:textId="4059723B" w:rsidR="00007F6C" w:rsidRDefault="00007F6C" w:rsidP="00007F6C">
      <w:pPr>
        <w:pStyle w:val="Caption"/>
        <w:jc w:val="both"/>
      </w:pPr>
      <w:bookmarkStart w:id="488" w:name="_Ref45112329"/>
      <w:bookmarkStart w:id="489" w:name="_Toc69115036"/>
      <w:r>
        <w:t>Figure 5.</w:t>
      </w:r>
      <w:r w:rsidR="00B51F53">
        <w:fldChar w:fldCharType="begin"/>
      </w:r>
      <w:r w:rsidR="00B51F53">
        <w:instrText xml:space="preserve"> SEQ Figure \* ARABIC </w:instrText>
      </w:r>
      <w:r w:rsidR="00B51F53">
        <w:fldChar w:fldCharType="separate"/>
      </w:r>
      <w:r w:rsidR="006C5D1F">
        <w:rPr>
          <w:noProof/>
        </w:rPr>
        <w:t>21</w:t>
      </w:r>
      <w:r w:rsidR="00B51F53">
        <w:rPr>
          <w:noProof/>
        </w:rPr>
        <w:fldChar w:fldCharType="end"/>
      </w:r>
      <w:bookmarkEnd w:id="488"/>
      <w:r>
        <w:t xml:space="preserve">: Stacked Nyquist plot Nyquist </w:t>
      </w:r>
      <w:r w:rsidRPr="00FE1CDB">
        <w:t>plots for the Ni-YSZ sample coated in a Ni current collector over a 50h ageing period (Ni2)</w:t>
      </w:r>
      <w:bookmarkEnd w:id="489"/>
    </w:p>
    <w:p w14:paraId="78CDE72A" w14:textId="77777777" w:rsidR="00007F6C" w:rsidRDefault="00007F6C" w:rsidP="00007F6C">
      <w:pPr>
        <w:pStyle w:val="Caption"/>
        <w:jc w:val="both"/>
      </w:pPr>
    </w:p>
    <w:p w14:paraId="0E2A399C" w14:textId="77777777" w:rsidR="00007F6C" w:rsidRDefault="00007F6C" w:rsidP="00007F6C">
      <w:pPr>
        <w:pStyle w:val="Heading5"/>
        <w:jc w:val="both"/>
      </w:pPr>
      <w:r>
        <w:t>Equivalent Circuit fitting</w:t>
      </w:r>
    </w:p>
    <w:p w14:paraId="04F0D930" w14:textId="5C33C83C" w:rsidR="00007F6C" w:rsidRDefault="00007F6C" w:rsidP="00007F6C">
      <w:pPr>
        <w:jc w:val="both"/>
      </w:pPr>
      <w:r>
        <w:t xml:space="preserve">The symmetrical Ni-YSZ cells coated in the nickel oxide current collector were fit using the equivalent circuit function on the ZView2 software. In contrast with the samples coated in a gold current collector the Nyquist plots show only one impedance arc. The equivalent circuit used to model the samples is shown in </w:t>
      </w:r>
      <w:r>
        <w:fldChar w:fldCharType="begin"/>
      </w:r>
      <w:r>
        <w:instrText xml:space="preserve"> REF _Ref48204867 \h  \* MERGEFORMAT </w:instrText>
      </w:r>
      <w:r>
        <w:fldChar w:fldCharType="separate"/>
      </w:r>
      <w:r w:rsidR="00835CCA">
        <w:t xml:space="preserve">Figure </w:t>
      </w:r>
      <w:r w:rsidR="00835CCA">
        <w:rPr>
          <w:noProof/>
        </w:rPr>
        <w:t>5.22</w:t>
      </w:r>
      <w:r>
        <w:fldChar w:fldCharType="end"/>
      </w:r>
      <w:r>
        <w:t xml:space="preserve"> below:</w:t>
      </w:r>
    </w:p>
    <w:p w14:paraId="26C8ACCD" w14:textId="77777777" w:rsidR="00007F6C" w:rsidRDefault="00007F6C" w:rsidP="00007F6C">
      <w:pPr>
        <w:keepNext/>
        <w:jc w:val="center"/>
      </w:pPr>
      <w:r>
        <w:rPr>
          <w:noProof/>
        </w:rPr>
        <w:drawing>
          <wp:inline distT="0" distB="0" distL="0" distR="0" wp14:anchorId="3CDF636C" wp14:editId="60F5FDD3">
            <wp:extent cx="3480000" cy="1080000"/>
            <wp:effectExtent l="0" t="0" r="6350" b="635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17616" t="51408" r="67926" b="40615"/>
                    <a:stretch/>
                  </pic:blipFill>
                  <pic:spPr bwMode="auto">
                    <a:xfrm>
                      <a:off x="0" y="0"/>
                      <a:ext cx="3480000" cy="1080000"/>
                    </a:xfrm>
                    <a:prstGeom prst="rect">
                      <a:avLst/>
                    </a:prstGeom>
                    <a:ln>
                      <a:noFill/>
                    </a:ln>
                    <a:extLst>
                      <a:ext uri="{53640926-AAD7-44D8-BBD7-CCE9431645EC}">
                        <a14:shadowObscured xmlns:a14="http://schemas.microsoft.com/office/drawing/2010/main"/>
                      </a:ext>
                    </a:extLst>
                  </pic:spPr>
                </pic:pic>
              </a:graphicData>
            </a:graphic>
          </wp:inline>
        </w:drawing>
      </w:r>
    </w:p>
    <w:p w14:paraId="7B9A0E4F" w14:textId="4364502A" w:rsidR="00007F6C" w:rsidRDefault="00007F6C" w:rsidP="00007F6C">
      <w:pPr>
        <w:pStyle w:val="Caption"/>
      </w:pPr>
      <w:bookmarkStart w:id="490" w:name="_Ref48204867"/>
      <w:bookmarkStart w:id="491" w:name="_Toc69115037"/>
      <w:r>
        <w:t>Figure 5.</w:t>
      </w:r>
      <w:r w:rsidR="00B51F53">
        <w:fldChar w:fldCharType="begin"/>
      </w:r>
      <w:r w:rsidR="00B51F53">
        <w:instrText xml:space="preserve"> SEQ Figure \* ARABIC </w:instrText>
      </w:r>
      <w:r w:rsidR="00B51F53">
        <w:fldChar w:fldCharType="separate"/>
      </w:r>
      <w:r w:rsidR="00835CCA">
        <w:rPr>
          <w:noProof/>
        </w:rPr>
        <w:t>22</w:t>
      </w:r>
      <w:r w:rsidR="00B51F53">
        <w:rPr>
          <w:noProof/>
        </w:rPr>
        <w:fldChar w:fldCharType="end"/>
      </w:r>
      <w:bookmarkEnd w:id="490"/>
      <w:r>
        <w:t xml:space="preserve">: Equivalent circuit used to model the electrochemical process present in the Ni-YSZ electrode coated in gold </w:t>
      </w:r>
      <w:proofErr w:type="spellStart"/>
      <w:r>
        <w:t>NiO</w:t>
      </w:r>
      <w:proofErr w:type="spellEnd"/>
      <w:r>
        <w:t xml:space="preserve"> collector (Diagram made in XM Studio).</w:t>
      </w:r>
      <w:bookmarkEnd w:id="491"/>
    </w:p>
    <w:p w14:paraId="6023E4BC" w14:textId="20254745" w:rsidR="00007F6C" w:rsidRDefault="00007F6C" w:rsidP="00007F6C">
      <w:pPr>
        <w:jc w:val="both"/>
      </w:pPr>
      <w:r>
        <w:t xml:space="preserve">An RC component was connected in series to model the double-layer capacitance present between the nickel metal and the ceramic oxide material. Due to the nanoscale 2D morphology of the triple phase boundaries present in the electrode, a simple capacitor was used to model the impedance </w:t>
      </w:r>
      <w:r>
        <w:fldChar w:fldCharType="begin" w:fldLock="1"/>
      </w:r>
      <w:r w:rsidR="008446C6">
        <w:instrText>ADDIN CSL_CITATION {"citationItems":[{"id":"ITEM-1","itemData":{"DOI":"10.3390/en13040987","ISSN":"19961073","abstract":"Detailed insight into electrochemical reaction mechanisms and rate limiting steps is crucial for targeted optimization of solid oxide fuel cell (SOFC) electrodes, especially for new materials and processing techniques, such as Ni/Gd-doped ceria (GDC) cermet anodes in metal-supported cells. Here, we present a comprehensive model that describes the impedance of porous cermet electrodes according to a transmission line circuit. We exemplify the validity of the model on electrolyte-supported symmetrical model cells with two equal Ni/Ce0.9Gd0.1O1.95-δ anodes. These anodes exhibit a remarkably low polarization resistance of less than 0.1 Wcm2 at 750 °C and OCV, and metal-supported cells with equally prepared anodes achieve excellent power density of &gt;2 W/cm2 at 700 °C. With the transmission line impedance model, it is possible to separate and quantify the individual contributions to the polarization resistance, such as oxygen ion transport across the YSZ-GDC interface, ionic conductivity within the porous anode, oxygen exchange at the GDC surface and gas phase diffiusion. Furthermore, we show that the fitted parameters consistently scale with variation of electrode geometry, temperature and atmosphere. Since the fitted parameters are representative for materials properties, we can also relate our results to model studies on the ion conductivity, oxygen stoichiometry and surface catalytic properties of Gd-doped ceria and obtain very good quantitative agreement. With this detailed insight into reaction mechanisms, we can explain the excellent performance of the anode as a combination of materials properties of GDC and the unusual microstructure that is a consequence of the reductive sintering procedure, which is required for anodes in metal-supported cells.","author":[{"dropping-particle":"","family":"Nenning","given":"Andreas","non-dropping-particle":"","parse-names":false,"suffix":""},{"dropping-particle":"","family":"Bischof","given":"Cornelia","non-dropping-particle":"","parse-names":false,"suffix":""},{"dropping-particle":"","family":"Fleig","given":"Jürgen","non-dropping-particle":"","parse-names":false,"suffix":""},{"dropping-particle":"","family":"Bram","given":"Martin","non-dropping-particle":"","parse-names":false,"suffix":""},{"dropping-particle":"","family":"Opitz","given":"Alexander K.","non-dropping-particle":"","parse-names":false,"suffix":""}],"container-title":"Energies","id":"ITEM-1","issue":"4","issued":{"date-parts":[["2020"]]},"page":"5-9","title":"The relation of microstructure, materials properties and impedance of SOFC electrodes: A case study of Ni/GDC anodes","type":"article-journal","volume":"13"},"uris":["http://www.mendeley.com/documents/?uuid=cef23b09-f38e-4186-a431-4b1ec2080872"]},{"id":"ITEM-2","itemData":{"DOI":"10.1149/1.3148331","ISSN":"00134651","abstract":"A computational model is developed to represent the coupled behavior of elementary chemistry, electrochemistry, and transport in the vicinity of solid-oxide fuel cell three-phase boundaries. The model is applied to assist the development and evaluation of H                        2 charge-transfer reaction mechanisms for Ni-yttria-stabilized zirconia (YSZ) anodes. Elementary chemistry and surface transport for the Ni and YSZ surfaces are derived from prior literature. Previously published patterned-anode experiments [J. Mizusaki, Solid State Ionics, 70/71, 52 (1994)] are used to evaluate alternative electrochemical charge-transfer mechanisms. The results show that a hydrogen-spillover mechanism can explain the Mizusaki polarization measurements over wide ranges of gas-phase composition with both anodic and cathodic biases. © 2009 The Electrochemical Society.","author":[{"dropping-particle":"","family":"Goodwin","given":"David G.","non-dropping-particle":"","parse-names":false,"suffix":""},{"dropping-particle":"","family":"Zhu","given":"Huayang","non-dropping-particle":"","parse-names":false,"suffix":""},{"dropping-particle":"","family":"Colclasure","given":"Andrew M.","non-dropping-particle":"","parse-names":false,"suffix":""},{"dropping-particle":"","family":"Kee","given":"Robert J.","non-dropping-particle":"","parse-names":false,"suffix":""}],"container-title":"Journal of The Electrochemical Society","id":"ITEM-2","issue":"9","issued":{"date-parts":[["2009"]]},"page":"B1004","title":"Modeling Electrochemical Oxidation of Hydrogen on Ni–YSZ Pattern Anodes","type":"article-journal","volume":"156"},"uris":["http://www.mendeley.com/documents/?uuid=21f1decb-07e9-4747-aab3-2af8e284edcf"]}],"mendeley":{"formattedCitation":"[451], [468]","plainTextFormattedCitation":"[451], [468]","previouslyFormattedCitation":"[451], [468]"},"properties":{"noteIndex":0},"schema":"https://github.com/citation-style-language/schema/raw/master/csl-citation.json"}</w:instrText>
      </w:r>
      <w:r>
        <w:fldChar w:fldCharType="separate"/>
      </w:r>
      <w:r w:rsidR="00A77A83" w:rsidRPr="00A77A83">
        <w:rPr>
          <w:noProof/>
        </w:rPr>
        <w:t>[451], [468]</w:t>
      </w:r>
      <w:r>
        <w:fldChar w:fldCharType="end"/>
      </w:r>
      <w:r>
        <w:fldChar w:fldCharType="begin" w:fldLock="1"/>
      </w:r>
      <w:r w:rsidR="008446C6">
        <w:instrText>ADDIN CSL_CITATION {"citationItems":[{"id":"ITEM-1","itemData":{"DOI":"10.1017/CBO9781107415324.004","ISBN":"9783866445383","ISSN":"18681603","author":[{"dropping-particle":"","family":"Leonide","given":"A.","non-dropping-particle":"","parse-names":false,"suffix":""}],"id":"ITEM-1","issue":"1","issued":{"date-parts":[["2010"]]},"number-of-pages":"1-168","title":"SOFC Modelling and Parameter Identification by means of Impedance Spectroscopy","type":"thesis","volume":"369"},"uris":["http://www.mendeley.com/documents/?uuid=242a667d-cec4-48e9-8ec0-ec3042c0e265"]}],"mendeley":{"formattedCitation":"[469]","plainTextFormattedCitation":"[469]","previouslyFormattedCitation":"[469]"},"properties":{"noteIndex":0},"schema":"https://github.com/citation-style-language/schema/raw/master/csl-citation.json"}</w:instrText>
      </w:r>
      <w:r>
        <w:fldChar w:fldCharType="separate"/>
      </w:r>
      <w:r w:rsidR="00A77A83" w:rsidRPr="00A77A83">
        <w:rPr>
          <w:noProof/>
        </w:rPr>
        <w:t>[469]</w:t>
      </w:r>
      <w:r>
        <w:fldChar w:fldCharType="end"/>
      </w:r>
      <w:r>
        <w:t xml:space="preserve">. </w:t>
      </w:r>
    </w:p>
    <w:p w14:paraId="5C0AD9D6" w14:textId="425AFE64" w:rsidR="00007F6C" w:rsidRDefault="00007F6C" w:rsidP="00007F6C">
      <w:pPr>
        <w:jc w:val="both"/>
      </w:pPr>
      <w:r>
        <w:lastRenderedPageBreak/>
        <w:t>In contrast to the gold and silver coated samples there was no presence of a second impedance arc in the data. This was also supported by the theta vs frequency plot as no low frequency (0.1-10 Hz) inflections were seen in</w:t>
      </w:r>
      <w:r w:rsidR="00835CCA">
        <w:t xml:space="preserve"> </w:t>
      </w:r>
      <w:r w:rsidR="00835CCA">
        <w:fldChar w:fldCharType="begin"/>
      </w:r>
      <w:r w:rsidR="00835CCA">
        <w:instrText xml:space="preserve"> REF _Ref48209788 \h </w:instrText>
      </w:r>
      <w:r w:rsidR="00835CCA">
        <w:fldChar w:fldCharType="separate"/>
      </w:r>
      <w:r w:rsidR="00835CCA">
        <w:t>Figure 5.</w:t>
      </w:r>
      <w:r w:rsidR="00835CCA">
        <w:rPr>
          <w:noProof/>
        </w:rPr>
        <w:t>23</w:t>
      </w:r>
      <w:r w:rsidR="00835CCA">
        <w:fldChar w:fldCharType="end"/>
      </w:r>
      <w:r w:rsidR="00835CCA">
        <w:t xml:space="preserve"> and</w:t>
      </w:r>
      <w:r>
        <w:t xml:space="preserve"> </w:t>
      </w:r>
      <w:r>
        <w:fldChar w:fldCharType="begin"/>
      </w:r>
      <w:r>
        <w:instrText xml:space="preserve"> REF _Ref48209717 \h  \* MERGEFORMAT </w:instrText>
      </w:r>
      <w:r>
        <w:fldChar w:fldCharType="separate"/>
      </w:r>
      <w:r w:rsidR="00835CCA">
        <w:t xml:space="preserve">Figure </w:t>
      </w:r>
      <w:r w:rsidR="00835CCA">
        <w:rPr>
          <w:noProof/>
        </w:rPr>
        <w:t>5.24</w:t>
      </w:r>
      <w:r>
        <w:fldChar w:fldCharType="end"/>
      </w:r>
      <w:r>
        <w:t>. This indicates that the gas diffusion impedance did not provide a large contribution to the impedance in comparison to gold and silver current collectors.</w:t>
      </w:r>
    </w:p>
    <w:p w14:paraId="2753C2E8" w14:textId="77777777" w:rsidR="00007F6C" w:rsidRDefault="00007F6C" w:rsidP="00007F6C">
      <w:pPr>
        <w:keepNext/>
        <w:jc w:val="center"/>
      </w:pPr>
      <w:r w:rsidRPr="006F05FB">
        <w:rPr>
          <w:b/>
          <w:bCs/>
          <w:noProof/>
        </w:rPr>
        <w:drawing>
          <wp:inline distT="0" distB="0" distL="0" distR="0" wp14:anchorId="58176E74" wp14:editId="15F53A13">
            <wp:extent cx="4320000" cy="3242864"/>
            <wp:effectExtent l="0" t="0" r="4445"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2">
                      <a:extLst>
                        <a:ext uri="{28A0092B-C50C-407E-A947-70E740481C1C}">
                          <a14:useLocalDpi xmlns:a14="http://schemas.microsoft.com/office/drawing/2010/main" val="0"/>
                        </a:ext>
                      </a:extLst>
                    </a:blip>
                    <a:srcRect l="8027" t="9610" r="5506" b="5405"/>
                    <a:stretch/>
                  </pic:blipFill>
                  <pic:spPr bwMode="auto">
                    <a:xfrm>
                      <a:off x="0" y="0"/>
                      <a:ext cx="4320000" cy="3242864"/>
                    </a:xfrm>
                    <a:prstGeom prst="rect">
                      <a:avLst/>
                    </a:prstGeom>
                    <a:noFill/>
                    <a:ln>
                      <a:noFill/>
                    </a:ln>
                    <a:extLst>
                      <a:ext uri="{53640926-AAD7-44D8-BBD7-CCE9431645EC}">
                        <a14:shadowObscured xmlns:a14="http://schemas.microsoft.com/office/drawing/2010/main"/>
                      </a:ext>
                    </a:extLst>
                  </pic:spPr>
                </pic:pic>
              </a:graphicData>
            </a:graphic>
          </wp:inline>
        </w:drawing>
      </w:r>
    </w:p>
    <w:p w14:paraId="536901CA" w14:textId="3973EEBD" w:rsidR="00007F6C" w:rsidRDefault="00007F6C" w:rsidP="00007F6C">
      <w:pPr>
        <w:pStyle w:val="Caption"/>
      </w:pPr>
      <w:bookmarkStart w:id="492" w:name="_Ref48209788"/>
      <w:bookmarkStart w:id="493" w:name="_Toc69115038"/>
      <w:r>
        <w:t>Figure 5.</w:t>
      </w:r>
      <w:r w:rsidR="00B51F53">
        <w:fldChar w:fldCharType="begin"/>
      </w:r>
      <w:r w:rsidR="00B51F53">
        <w:instrText xml:space="preserve"> SEQ Figure \* ARABIC </w:instrText>
      </w:r>
      <w:r w:rsidR="00B51F53">
        <w:fldChar w:fldCharType="separate"/>
      </w:r>
      <w:r w:rsidR="00835CCA">
        <w:rPr>
          <w:noProof/>
        </w:rPr>
        <w:t>23</w:t>
      </w:r>
      <w:r w:rsidR="00B51F53">
        <w:rPr>
          <w:noProof/>
        </w:rPr>
        <w:fldChar w:fldCharType="end"/>
      </w:r>
      <w:bookmarkEnd w:id="492"/>
      <w:r>
        <w:t xml:space="preserve">: Nyquist plots for the Ni-YSZ sample coated in a Pt current collector over a 50h ageing period (Ni2) including the equivalent circuit </w:t>
      </w:r>
      <w:proofErr w:type="gramStart"/>
      <w:r>
        <w:t>fit</w:t>
      </w:r>
      <w:bookmarkEnd w:id="493"/>
      <w:proofErr w:type="gramEnd"/>
    </w:p>
    <w:p w14:paraId="2F81A668" w14:textId="1BD9BB73" w:rsidR="00091E6C" w:rsidRPr="00810140" w:rsidRDefault="00007F6C" w:rsidP="00007F6C">
      <w:pPr>
        <w:jc w:val="both"/>
      </w:pPr>
      <w:r>
        <w:t xml:space="preserve">Despite the fit in </w:t>
      </w:r>
      <w:r>
        <w:fldChar w:fldCharType="begin"/>
      </w:r>
      <w:r>
        <w:instrText xml:space="preserve"> REF _Ref48209788 \h  \* MERGEFORMAT </w:instrText>
      </w:r>
      <w:r>
        <w:fldChar w:fldCharType="separate"/>
      </w:r>
      <w:r>
        <w:t xml:space="preserve">Figure </w:t>
      </w:r>
      <w:r>
        <w:rPr>
          <w:noProof/>
        </w:rPr>
        <w:t>5.26</w:t>
      </w:r>
      <w:r>
        <w:fldChar w:fldCharType="end"/>
      </w:r>
      <w:r>
        <w:t xml:space="preserve"> being very angular, the percentage error for the modelled polarisation resistance did not exceed 5% for any of the </w:t>
      </w:r>
      <w:proofErr w:type="spellStart"/>
      <w:r>
        <w:t>NiO</w:t>
      </w:r>
      <w:proofErr w:type="spellEnd"/>
      <w:r>
        <w:t xml:space="preserve"> current collector datasets present in this study.</w:t>
      </w:r>
    </w:p>
    <w:p w14:paraId="26511CCC" w14:textId="141A225D" w:rsidR="00007F6C" w:rsidRDefault="00091E6C" w:rsidP="00091E6C">
      <w:pPr>
        <w:keepNext/>
        <w:jc w:val="center"/>
      </w:pPr>
      <w:r w:rsidRPr="008743DF">
        <w:rPr>
          <w:noProof/>
        </w:rPr>
        <w:drawing>
          <wp:inline distT="0" distB="0" distL="0" distR="0" wp14:anchorId="6A7AF612" wp14:editId="0A8FFD23">
            <wp:extent cx="3600000" cy="2946398"/>
            <wp:effectExtent l="0" t="0" r="635"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3">
                      <a:extLst>
                        <a:ext uri="{28A0092B-C50C-407E-A947-70E740481C1C}">
                          <a14:useLocalDpi xmlns:a14="http://schemas.microsoft.com/office/drawing/2010/main" val="0"/>
                        </a:ext>
                      </a:extLst>
                    </a:blip>
                    <a:srcRect l="6422" t="9610" r="13991" b="5105"/>
                    <a:stretch/>
                  </pic:blipFill>
                  <pic:spPr bwMode="auto">
                    <a:xfrm>
                      <a:off x="0" y="0"/>
                      <a:ext cx="3600000" cy="2946398"/>
                    </a:xfrm>
                    <a:prstGeom prst="rect">
                      <a:avLst/>
                    </a:prstGeom>
                    <a:noFill/>
                    <a:ln>
                      <a:noFill/>
                    </a:ln>
                    <a:extLst>
                      <a:ext uri="{53640926-AAD7-44D8-BBD7-CCE9431645EC}">
                        <a14:shadowObscured xmlns:a14="http://schemas.microsoft.com/office/drawing/2010/main"/>
                      </a:ext>
                    </a:extLst>
                  </pic:spPr>
                </pic:pic>
              </a:graphicData>
            </a:graphic>
          </wp:inline>
        </w:drawing>
      </w:r>
    </w:p>
    <w:p w14:paraId="598C2566" w14:textId="1C4C439F" w:rsidR="00091E6C" w:rsidRDefault="00007F6C" w:rsidP="00D47490">
      <w:pPr>
        <w:pStyle w:val="Caption"/>
      </w:pPr>
      <w:bookmarkStart w:id="494" w:name="_Ref48209717"/>
      <w:bookmarkStart w:id="495" w:name="_Toc69115039"/>
      <w:r>
        <w:t>Figure 5.</w:t>
      </w:r>
      <w:r w:rsidR="00B51F53">
        <w:fldChar w:fldCharType="begin"/>
      </w:r>
      <w:r w:rsidR="00B51F53">
        <w:instrText xml:space="preserve"> SEQ Figure \* ARABIC </w:instrText>
      </w:r>
      <w:r w:rsidR="00B51F53">
        <w:fldChar w:fldCharType="separate"/>
      </w:r>
      <w:r w:rsidR="00835CCA">
        <w:rPr>
          <w:noProof/>
        </w:rPr>
        <w:t>24</w:t>
      </w:r>
      <w:r w:rsidR="00B51F53">
        <w:rPr>
          <w:noProof/>
        </w:rPr>
        <w:fldChar w:fldCharType="end"/>
      </w:r>
      <w:bookmarkEnd w:id="494"/>
      <w:r>
        <w:t>:</w:t>
      </w:r>
      <w:r w:rsidRPr="008743DF">
        <w:t xml:space="preserve"> </w:t>
      </w:r>
      <w:r>
        <w:t xml:space="preserve">Theta vs Frequency plot for the Ni2 Ni-YSZ sample fit using the equivalent circuit model shown in </w:t>
      </w:r>
      <w:r>
        <w:fldChar w:fldCharType="begin"/>
      </w:r>
      <w:r>
        <w:instrText xml:space="preserve"> REF _Ref48204867 \h  \* MERGEFORMAT </w:instrText>
      </w:r>
      <w:r>
        <w:fldChar w:fldCharType="separate"/>
      </w:r>
      <w:r w:rsidR="00835CCA">
        <w:t xml:space="preserve">Figure </w:t>
      </w:r>
      <w:r w:rsidR="00835CCA">
        <w:rPr>
          <w:noProof/>
        </w:rPr>
        <w:t>5.22</w:t>
      </w:r>
      <w:bookmarkEnd w:id="495"/>
      <w:r>
        <w:fldChar w:fldCharType="end"/>
      </w:r>
      <w:r>
        <w:t xml:space="preserve"> </w:t>
      </w:r>
    </w:p>
    <w:p w14:paraId="20DEA280" w14:textId="3CD43291" w:rsidR="00D47490" w:rsidRDefault="00D47490" w:rsidP="00D47490"/>
    <w:p w14:paraId="45FDA4EB" w14:textId="57706092" w:rsidR="00007F6C" w:rsidRDefault="00007F6C" w:rsidP="00007F6C">
      <w:pPr>
        <w:pStyle w:val="Caption"/>
        <w:keepNext/>
      </w:pPr>
      <w:r>
        <w:lastRenderedPageBreak/>
        <w:t>Table 5.</w:t>
      </w:r>
      <w:r w:rsidR="00B51F53">
        <w:fldChar w:fldCharType="begin"/>
      </w:r>
      <w:r w:rsidR="00B51F53">
        <w:instrText xml:space="preserve"> SEQ Table \* ARABIC </w:instrText>
      </w:r>
      <w:r w:rsidR="00B51F53">
        <w:fldChar w:fldCharType="separate"/>
      </w:r>
      <w:r w:rsidR="0022061C">
        <w:rPr>
          <w:noProof/>
        </w:rPr>
        <w:t>8</w:t>
      </w:r>
      <w:r w:rsidR="00B51F53">
        <w:rPr>
          <w:noProof/>
        </w:rPr>
        <w:fldChar w:fldCharType="end"/>
      </w:r>
      <w:r>
        <w:t>: Table detailing the Rs and Rp of Ni2 N-YSZ sample using equivalent circuit and circle fitting using XM Studio ECS</w:t>
      </w:r>
    </w:p>
    <w:tbl>
      <w:tblPr>
        <w:tblStyle w:val="TableGrid"/>
        <w:tblW w:w="0" w:type="auto"/>
        <w:jc w:val="center"/>
        <w:tblLook w:val="04A0" w:firstRow="1" w:lastRow="0" w:firstColumn="1" w:lastColumn="0" w:noHBand="0" w:noVBand="1"/>
      </w:tblPr>
      <w:tblGrid>
        <w:gridCol w:w="986"/>
        <w:gridCol w:w="1129"/>
        <w:gridCol w:w="989"/>
        <w:gridCol w:w="1053"/>
        <w:gridCol w:w="941"/>
        <w:gridCol w:w="941"/>
        <w:gridCol w:w="941"/>
        <w:gridCol w:w="941"/>
      </w:tblGrid>
      <w:tr w:rsidR="00007F6C" w14:paraId="719899B6" w14:textId="77777777" w:rsidTr="005E2F1E">
        <w:trPr>
          <w:jc w:val="center"/>
        </w:trPr>
        <w:tc>
          <w:tcPr>
            <w:tcW w:w="986" w:type="dxa"/>
          </w:tcPr>
          <w:p w14:paraId="2EAC957A" w14:textId="77777777" w:rsidR="00007F6C" w:rsidRPr="00D761C3" w:rsidRDefault="00007F6C" w:rsidP="005E2F1E">
            <w:pPr>
              <w:jc w:val="both"/>
              <w:rPr>
                <w:b/>
                <w:bCs/>
              </w:rPr>
            </w:pPr>
            <w:r w:rsidRPr="00D761C3">
              <w:rPr>
                <w:b/>
                <w:bCs/>
              </w:rPr>
              <w:t>Sample</w:t>
            </w:r>
          </w:p>
        </w:tc>
        <w:tc>
          <w:tcPr>
            <w:tcW w:w="1129" w:type="dxa"/>
          </w:tcPr>
          <w:p w14:paraId="2DEF3573" w14:textId="77777777" w:rsidR="00007F6C" w:rsidRPr="00D761C3" w:rsidRDefault="00007F6C" w:rsidP="005E2F1E">
            <w:pPr>
              <w:jc w:val="both"/>
              <w:rPr>
                <w:b/>
                <w:bCs/>
              </w:rPr>
            </w:pPr>
            <w:r w:rsidRPr="00D761C3">
              <w:rPr>
                <w:b/>
                <w:bCs/>
              </w:rPr>
              <w:t xml:space="preserve">Fitting Type </w:t>
            </w:r>
          </w:p>
        </w:tc>
        <w:tc>
          <w:tcPr>
            <w:tcW w:w="989" w:type="dxa"/>
          </w:tcPr>
          <w:p w14:paraId="4CE2453C" w14:textId="77777777" w:rsidR="00007F6C" w:rsidRPr="00D761C3" w:rsidRDefault="00007F6C" w:rsidP="005E2F1E">
            <w:pPr>
              <w:jc w:val="both"/>
              <w:rPr>
                <w:b/>
                <w:bCs/>
              </w:rPr>
            </w:pPr>
            <w:r w:rsidRPr="00D761C3">
              <w:rPr>
                <w:b/>
                <w:bCs/>
              </w:rPr>
              <w:t>Rs [Ohm]</w:t>
            </w:r>
          </w:p>
        </w:tc>
        <w:tc>
          <w:tcPr>
            <w:tcW w:w="1053" w:type="dxa"/>
          </w:tcPr>
          <w:p w14:paraId="1F86DB14" w14:textId="77777777" w:rsidR="00007F6C" w:rsidRPr="00D761C3" w:rsidRDefault="00007F6C" w:rsidP="005E2F1E">
            <w:pPr>
              <w:jc w:val="both"/>
              <w:rPr>
                <w:b/>
                <w:bCs/>
              </w:rPr>
            </w:pPr>
            <w:r w:rsidRPr="00D761C3">
              <w:rPr>
                <w:b/>
                <w:bCs/>
              </w:rPr>
              <w:t>Rs Error</w:t>
            </w:r>
          </w:p>
        </w:tc>
        <w:tc>
          <w:tcPr>
            <w:tcW w:w="941" w:type="dxa"/>
          </w:tcPr>
          <w:p w14:paraId="138F3E4C" w14:textId="77777777" w:rsidR="00007F6C" w:rsidRPr="00D761C3" w:rsidRDefault="00007F6C" w:rsidP="005E2F1E">
            <w:pPr>
              <w:jc w:val="both"/>
              <w:rPr>
                <w:b/>
                <w:bCs/>
              </w:rPr>
            </w:pPr>
            <w:r w:rsidRPr="00D761C3">
              <w:rPr>
                <w:b/>
                <w:bCs/>
              </w:rPr>
              <w:t>Error%</w:t>
            </w:r>
          </w:p>
        </w:tc>
        <w:tc>
          <w:tcPr>
            <w:tcW w:w="941" w:type="dxa"/>
          </w:tcPr>
          <w:p w14:paraId="7955ADA4" w14:textId="77777777" w:rsidR="00007F6C" w:rsidRPr="00D761C3" w:rsidRDefault="00007F6C" w:rsidP="005E2F1E">
            <w:pPr>
              <w:jc w:val="both"/>
              <w:rPr>
                <w:b/>
                <w:bCs/>
              </w:rPr>
            </w:pPr>
            <w:r w:rsidRPr="00D761C3">
              <w:rPr>
                <w:b/>
                <w:bCs/>
              </w:rPr>
              <w:t>Rp [Ohm]</w:t>
            </w:r>
          </w:p>
        </w:tc>
        <w:tc>
          <w:tcPr>
            <w:tcW w:w="941" w:type="dxa"/>
          </w:tcPr>
          <w:p w14:paraId="66F36A15" w14:textId="77777777" w:rsidR="00007F6C" w:rsidRPr="00D761C3" w:rsidRDefault="00007F6C" w:rsidP="005E2F1E">
            <w:pPr>
              <w:jc w:val="both"/>
              <w:rPr>
                <w:b/>
                <w:bCs/>
              </w:rPr>
            </w:pPr>
            <w:r w:rsidRPr="00D761C3">
              <w:rPr>
                <w:b/>
                <w:bCs/>
              </w:rPr>
              <w:t>Rp Error</w:t>
            </w:r>
          </w:p>
        </w:tc>
        <w:tc>
          <w:tcPr>
            <w:tcW w:w="941" w:type="dxa"/>
          </w:tcPr>
          <w:p w14:paraId="23398B10" w14:textId="77777777" w:rsidR="00007F6C" w:rsidRPr="00D761C3" w:rsidRDefault="00007F6C" w:rsidP="005E2F1E">
            <w:pPr>
              <w:jc w:val="both"/>
              <w:rPr>
                <w:b/>
                <w:bCs/>
              </w:rPr>
            </w:pPr>
            <w:r w:rsidRPr="00D761C3">
              <w:rPr>
                <w:b/>
                <w:bCs/>
              </w:rPr>
              <w:t>Error%</w:t>
            </w:r>
          </w:p>
        </w:tc>
      </w:tr>
      <w:tr w:rsidR="00007F6C" w14:paraId="69B949A8" w14:textId="77777777" w:rsidTr="005E2F1E">
        <w:trPr>
          <w:jc w:val="center"/>
        </w:trPr>
        <w:tc>
          <w:tcPr>
            <w:tcW w:w="986" w:type="dxa"/>
          </w:tcPr>
          <w:p w14:paraId="064DBE1A" w14:textId="77777777" w:rsidR="00007F6C" w:rsidRDefault="00007F6C" w:rsidP="005E2F1E">
            <w:pPr>
              <w:jc w:val="both"/>
            </w:pPr>
            <w:r>
              <w:t>Ni-YSZ (Ni2)</w:t>
            </w:r>
          </w:p>
        </w:tc>
        <w:tc>
          <w:tcPr>
            <w:tcW w:w="1129" w:type="dxa"/>
          </w:tcPr>
          <w:p w14:paraId="6F829CF8" w14:textId="77777777" w:rsidR="00007F6C" w:rsidRDefault="00007F6C" w:rsidP="005E2F1E">
            <w:pPr>
              <w:jc w:val="both"/>
            </w:pPr>
            <w:r>
              <w:t>Circle</w:t>
            </w:r>
          </w:p>
        </w:tc>
        <w:tc>
          <w:tcPr>
            <w:tcW w:w="989" w:type="dxa"/>
          </w:tcPr>
          <w:p w14:paraId="00CCD8C6" w14:textId="77777777" w:rsidR="00007F6C" w:rsidRDefault="00007F6C" w:rsidP="005E2F1E">
            <w:pPr>
              <w:jc w:val="right"/>
            </w:pPr>
            <w:r>
              <w:t>24.61</w:t>
            </w:r>
          </w:p>
        </w:tc>
        <w:tc>
          <w:tcPr>
            <w:tcW w:w="1053" w:type="dxa"/>
          </w:tcPr>
          <w:p w14:paraId="4DA4CF03" w14:textId="77777777" w:rsidR="00007F6C" w:rsidRDefault="00007F6C" w:rsidP="005E2F1E">
            <w:pPr>
              <w:jc w:val="right"/>
            </w:pPr>
            <w:r>
              <w:t>0.52</w:t>
            </w:r>
          </w:p>
        </w:tc>
        <w:tc>
          <w:tcPr>
            <w:tcW w:w="941" w:type="dxa"/>
          </w:tcPr>
          <w:p w14:paraId="46A690F0" w14:textId="77777777" w:rsidR="00007F6C" w:rsidRDefault="00007F6C" w:rsidP="005E2F1E">
            <w:pPr>
              <w:jc w:val="right"/>
            </w:pPr>
            <w:r>
              <w:t>2.13</w:t>
            </w:r>
          </w:p>
        </w:tc>
        <w:tc>
          <w:tcPr>
            <w:tcW w:w="941" w:type="dxa"/>
          </w:tcPr>
          <w:p w14:paraId="7F132D3C" w14:textId="77777777" w:rsidR="00007F6C" w:rsidRDefault="00007F6C" w:rsidP="005E2F1E">
            <w:pPr>
              <w:jc w:val="right"/>
            </w:pPr>
            <w:r>
              <w:t>87.19</w:t>
            </w:r>
          </w:p>
        </w:tc>
        <w:tc>
          <w:tcPr>
            <w:tcW w:w="941" w:type="dxa"/>
          </w:tcPr>
          <w:p w14:paraId="1DBB6623" w14:textId="77777777" w:rsidR="00007F6C" w:rsidRDefault="00007F6C" w:rsidP="005E2F1E">
            <w:pPr>
              <w:jc w:val="right"/>
            </w:pPr>
            <w:r>
              <w:t>0.58</w:t>
            </w:r>
          </w:p>
        </w:tc>
        <w:tc>
          <w:tcPr>
            <w:tcW w:w="941" w:type="dxa"/>
          </w:tcPr>
          <w:p w14:paraId="394A12A0" w14:textId="77777777" w:rsidR="00007F6C" w:rsidRDefault="00007F6C" w:rsidP="005E2F1E">
            <w:pPr>
              <w:jc w:val="right"/>
            </w:pPr>
            <w:r>
              <w:t>0.67</w:t>
            </w:r>
          </w:p>
        </w:tc>
      </w:tr>
      <w:tr w:rsidR="00007F6C" w14:paraId="786F7B5E" w14:textId="77777777" w:rsidTr="005E2F1E">
        <w:trPr>
          <w:jc w:val="center"/>
        </w:trPr>
        <w:tc>
          <w:tcPr>
            <w:tcW w:w="986" w:type="dxa"/>
          </w:tcPr>
          <w:p w14:paraId="044BA174" w14:textId="77777777" w:rsidR="00007F6C" w:rsidRDefault="00007F6C" w:rsidP="005E2F1E">
            <w:pPr>
              <w:jc w:val="both"/>
            </w:pPr>
            <w:r>
              <w:t>0</w:t>
            </w:r>
          </w:p>
        </w:tc>
        <w:tc>
          <w:tcPr>
            <w:tcW w:w="1129" w:type="dxa"/>
          </w:tcPr>
          <w:p w14:paraId="647D9670" w14:textId="77777777" w:rsidR="00007F6C" w:rsidRDefault="00007F6C" w:rsidP="005E2F1E">
            <w:pPr>
              <w:jc w:val="both"/>
            </w:pPr>
            <w:r>
              <w:t xml:space="preserve">EC Fit </w:t>
            </w:r>
          </w:p>
          <w:p w14:paraId="4101227A" w14:textId="77777777" w:rsidR="00007F6C" w:rsidRDefault="00007F6C" w:rsidP="005E2F1E">
            <w:pPr>
              <w:jc w:val="both"/>
            </w:pPr>
            <w:r>
              <w:t>1R – 2RQ</w:t>
            </w:r>
          </w:p>
        </w:tc>
        <w:tc>
          <w:tcPr>
            <w:tcW w:w="989" w:type="dxa"/>
          </w:tcPr>
          <w:p w14:paraId="6394695A" w14:textId="77777777" w:rsidR="00007F6C" w:rsidRDefault="00007F6C" w:rsidP="005E2F1E">
            <w:pPr>
              <w:jc w:val="right"/>
            </w:pPr>
            <w:r>
              <w:t>21.76</w:t>
            </w:r>
          </w:p>
        </w:tc>
        <w:tc>
          <w:tcPr>
            <w:tcW w:w="1053" w:type="dxa"/>
          </w:tcPr>
          <w:p w14:paraId="4F9A8307" w14:textId="77777777" w:rsidR="00007F6C" w:rsidRDefault="00007F6C" w:rsidP="005E2F1E">
            <w:pPr>
              <w:jc w:val="right"/>
            </w:pPr>
            <w:r>
              <w:t>1.41</w:t>
            </w:r>
          </w:p>
        </w:tc>
        <w:tc>
          <w:tcPr>
            <w:tcW w:w="941" w:type="dxa"/>
          </w:tcPr>
          <w:p w14:paraId="75A17B81" w14:textId="77777777" w:rsidR="00007F6C" w:rsidRDefault="00007F6C" w:rsidP="005E2F1E">
            <w:pPr>
              <w:jc w:val="right"/>
            </w:pPr>
            <w:r>
              <w:t>6.48</w:t>
            </w:r>
          </w:p>
        </w:tc>
        <w:tc>
          <w:tcPr>
            <w:tcW w:w="941" w:type="dxa"/>
          </w:tcPr>
          <w:p w14:paraId="4F0C0D82" w14:textId="77777777" w:rsidR="00007F6C" w:rsidRDefault="00007F6C" w:rsidP="005E2F1E">
            <w:pPr>
              <w:jc w:val="right"/>
            </w:pPr>
            <w:r>
              <w:t>90.38</w:t>
            </w:r>
          </w:p>
        </w:tc>
        <w:tc>
          <w:tcPr>
            <w:tcW w:w="941" w:type="dxa"/>
          </w:tcPr>
          <w:p w14:paraId="1C6F01A1" w14:textId="77777777" w:rsidR="00007F6C" w:rsidRDefault="00007F6C" w:rsidP="005E2F1E">
            <w:pPr>
              <w:jc w:val="right"/>
            </w:pPr>
            <w:r>
              <w:t>3.90</w:t>
            </w:r>
          </w:p>
        </w:tc>
        <w:tc>
          <w:tcPr>
            <w:tcW w:w="941" w:type="dxa"/>
          </w:tcPr>
          <w:p w14:paraId="699E4950" w14:textId="77777777" w:rsidR="00007F6C" w:rsidRDefault="00007F6C" w:rsidP="005E2F1E">
            <w:pPr>
              <w:jc w:val="right"/>
            </w:pPr>
            <w:r>
              <w:t>4.32</w:t>
            </w:r>
          </w:p>
        </w:tc>
      </w:tr>
      <w:tr w:rsidR="00007F6C" w14:paraId="29AC13C2" w14:textId="77777777" w:rsidTr="005E2F1E">
        <w:trPr>
          <w:jc w:val="center"/>
        </w:trPr>
        <w:tc>
          <w:tcPr>
            <w:tcW w:w="986" w:type="dxa"/>
          </w:tcPr>
          <w:p w14:paraId="67DCC845" w14:textId="77777777" w:rsidR="00007F6C" w:rsidRDefault="00007F6C" w:rsidP="005E2F1E">
            <w:pPr>
              <w:jc w:val="both"/>
            </w:pPr>
            <w:r>
              <w:t>5</w:t>
            </w:r>
          </w:p>
        </w:tc>
        <w:tc>
          <w:tcPr>
            <w:tcW w:w="1129" w:type="dxa"/>
          </w:tcPr>
          <w:p w14:paraId="1BFBFA7A" w14:textId="77777777" w:rsidR="00007F6C" w:rsidRDefault="00007F6C" w:rsidP="005E2F1E">
            <w:pPr>
              <w:jc w:val="both"/>
            </w:pPr>
            <w:r>
              <w:t xml:space="preserve">EC Fit </w:t>
            </w:r>
          </w:p>
          <w:p w14:paraId="2CC4D404" w14:textId="77777777" w:rsidR="00007F6C" w:rsidRDefault="00007F6C" w:rsidP="005E2F1E">
            <w:pPr>
              <w:jc w:val="both"/>
            </w:pPr>
            <w:r>
              <w:t>1R – 2RQ</w:t>
            </w:r>
          </w:p>
        </w:tc>
        <w:tc>
          <w:tcPr>
            <w:tcW w:w="989" w:type="dxa"/>
          </w:tcPr>
          <w:p w14:paraId="1606720D" w14:textId="77777777" w:rsidR="00007F6C" w:rsidRDefault="00007F6C" w:rsidP="005E2F1E">
            <w:pPr>
              <w:jc w:val="right"/>
            </w:pPr>
            <w:r>
              <w:t>27.25</w:t>
            </w:r>
          </w:p>
        </w:tc>
        <w:tc>
          <w:tcPr>
            <w:tcW w:w="1053" w:type="dxa"/>
          </w:tcPr>
          <w:p w14:paraId="105212F9" w14:textId="77777777" w:rsidR="00007F6C" w:rsidRDefault="00007F6C" w:rsidP="005E2F1E">
            <w:pPr>
              <w:jc w:val="right"/>
            </w:pPr>
            <w:r>
              <w:t>0.37</w:t>
            </w:r>
          </w:p>
        </w:tc>
        <w:tc>
          <w:tcPr>
            <w:tcW w:w="941" w:type="dxa"/>
          </w:tcPr>
          <w:p w14:paraId="37AEA16A" w14:textId="77777777" w:rsidR="00007F6C" w:rsidRDefault="00007F6C" w:rsidP="005E2F1E">
            <w:pPr>
              <w:jc w:val="right"/>
            </w:pPr>
            <w:r>
              <w:t>1.37</w:t>
            </w:r>
          </w:p>
        </w:tc>
        <w:tc>
          <w:tcPr>
            <w:tcW w:w="941" w:type="dxa"/>
          </w:tcPr>
          <w:p w14:paraId="417339DF" w14:textId="77777777" w:rsidR="00007F6C" w:rsidRDefault="00007F6C" w:rsidP="005E2F1E">
            <w:pPr>
              <w:jc w:val="right"/>
            </w:pPr>
            <w:r>
              <w:t>166.82</w:t>
            </w:r>
          </w:p>
        </w:tc>
        <w:tc>
          <w:tcPr>
            <w:tcW w:w="941" w:type="dxa"/>
          </w:tcPr>
          <w:p w14:paraId="7C7FFC18" w14:textId="77777777" w:rsidR="00007F6C" w:rsidRDefault="00007F6C" w:rsidP="005E2F1E">
            <w:pPr>
              <w:jc w:val="right"/>
            </w:pPr>
            <w:r>
              <w:t>4.40</w:t>
            </w:r>
          </w:p>
        </w:tc>
        <w:tc>
          <w:tcPr>
            <w:tcW w:w="941" w:type="dxa"/>
          </w:tcPr>
          <w:p w14:paraId="54F72DFD" w14:textId="77777777" w:rsidR="00007F6C" w:rsidRDefault="00007F6C" w:rsidP="005E2F1E">
            <w:pPr>
              <w:jc w:val="right"/>
            </w:pPr>
            <w:r>
              <w:t>2.64</w:t>
            </w:r>
          </w:p>
        </w:tc>
      </w:tr>
      <w:tr w:rsidR="00007F6C" w14:paraId="7F551D1A" w14:textId="77777777" w:rsidTr="005E2F1E">
        <w:trPr>
          <w:jc w:val="center"/>
        </w:trPr>
        <w:tc>
          <w:tcPr>
            <w:tcW w:w="986" w:type="dxa"/>
          </w:tcPr>
          <w:p w14:paraId="497ED2F1" w14:textId="77777777" w:rsidR="00007F6C" w:rsidRDefault="00007F6C" w:rsidP="005E2F1E">
            <w:pPr>
              <w:jc w:val="both"/>
            </w:pPr>
            <w:r>
              <w:t>10</w:t>
            </w:r>
          </w:p>
        </w:tc>
        <w:tc>
          <w:tcPr>
            <w:tcW w:w="1129" w:type="dxa"/>
          </w:tcPr>
          <w:p w14:paraId="216F3CBF" w14:textId="77777777" w:rsidR="00007F6C" w:rsidRDefault="00007F6C" w:rsidP="005E2F1E">
            <w:pPr>
              <w:jc w:val="both"/>
            </w:pPr>
            <w:r>
              <w:t xml:space="preserve">EC Fit </w:t>
            </w:r>
          </w:p>
          <w:p w14:paraId="437A3305" w14:textId="77777777" w:rsidR="00007F6C" w:rsidRDefault="00007F6C" w:rsidP="005E2F1E">
            <w:pPr>
              <w:jc w:val="both"/>
            </w:pPr>
            <w:r>
              <w:t>1R – 2RQ</w:t>
            </w:r>
          </w:p>
        </w:tc>
        <w:tc>
          <w:tcPr>
            <w:tcW w:w="989" w:type="dxa"/>
          </w:tcPr>
          <w:p w14:paraId="4204132B" w14:textId="77777777" w:rsidR="00007F6C" w:rsidRDefault="00007F6C" w:rsidP="005E2F1E">
            <w:pPr>
              <w:jc w:val="right"/>
            </w:pPr>
            <w:r>
              <w:t>29.55</w:t>
            </w:r>
          </w:p>
        </w:tc>
        <w:tc>
          <w:tcPr>
            <w:tcW w:w="1053" w:type="dxa"/>
          </w:tcPr>
          <w:p w14:paraId="316035FC" w14:textId="77777777" w:rsidR="00007F6C" w:rsidRDefault="00007F6C" w:rsidP="005E2F1E">
            <w:pPr>
              <w:jc w:val="right"/>
            </w:pPr>
            <w:r>
              <w:t>0.39</w:t>
            </w:r>
          </w:p>
          <w:p w14:paraId="5303C476" w14:textId="77777777" w:rsidR="00007F6C" w:rsidRDefault="00007F6C" w:rsidP="005E2F1E">
            <w:pPr>
              <w:jc w:val="right"/>
            </w:pPr>
          </w:p>
        </w:tc>
        <w:tc>
          <w:tcPr>
            <w:tcW w:w="941" w:type="dxa"/>
          </w:tcPr>
          <w:p w14:paraId="5294BA62" w14:textId="77777777" w:rsidR="00007F6C" w:rsidRDefault="00007F6C" w:rsidP="005E2F1E">
            <w:pPr>
              <w:jc w:val="right"/>
            </w:pPr>
            <w:r>
              <w:t>1.32</w:t>
            </w:r>
          </w:p>
        </w:tc>
        <w:tc>
          <w:tcPr>
            <w:tcW w:w="941" w:type="dxa"/>
          </w:tcPr>
          <w:p w14:paraId="2EBF2170" w14:textId="77777777" w:rsidR="00007F6C" w:rsidRDefault="00007F6C" w:rsidP="005E2F1E">
            <w:pPr>
              <w:jc w:val="right"/>
            </w:pPr>
            <w:r>
              <w:t>207.40</w:t>
            </w:r>
          </w:p>
        </w:tc>
        <w:tc>
          <w:tcPr>
            <w:tcW w:w="941" w:type="dxa"/>
          </w:tcPr>
          <w:p w14:paraId="75728560" w14:textId="77777777" w:rsidR="00007F6C" w:rsidRDefault="00007F6C" w:rsidP="005E2F1E">
            <w:pPr>
              <w:jc w:val="right"/>
            </w:pPr>
            <w:r>
              <w:t>3.75</w:t>
            </w:r>
          </w:p>
        </w:tc>
        <w:tc>
          <w:tcPr>
            <w:tcW w:w="941" w:type="dxa"/>
          </w:tcPr>
          <w:p w14:paraId="45739CD9" w14:textId="77777777" w:rsidR="00007F6C" w:rsidRDefault="00007F6C" w:rsidP="005E2F1E">
            <w:pPr>
              <w:jc w:val="right"/>
            </w:pPr>
            <w:r w:rsidRPr="00E21E1F">
              <w:t>1.81</w:t>
            </w:r>
          </w:p>
        </w:tc>
      </w:tr>
      <w:tr w:rsidR="00007F6C" w14:paraId="16CDFB57" w14:textId="77777777" w:rsidTr="005E2F1E">
        <w:trPr>
          <w:jc w:val="center"/>
        </w:trPr>
        <w:tc>
          <w:tcPr>
            <w:tcW w:w="986" w:type="dxa"/>
          </w:tcPr>
          <w:p w14:paraId="7F4A5A57" w14:textId="77777777" w:rsidR="00007F6C" w:rsidRDefault="00007F6C" w:rsidP="005E2F1E">
            <w:pPr>
              <w:jc w:val="both"/>
            </w:pPr>
            <w:r>
              <w:t>15</w:t>
            </w:r>
          </w:p>
        </w:tc>
        <w:tc>
          <w:tcPr>
            <w:tcW w:w="1129" w:type="dxa"/>
          </w:tcPr>
          <w:p w14:paraId="6278AB06" w14:textId="77777777" w:rsidR="00007F6C" w:rsidRDefault="00007F6C" w:rsidP="005E2F1E">
            <w:pPr>
              <w:jc w:val="both"/>
            </w:pPr>
            <w:r>
              <w:t xml:space="preserve">EC Fit </w:t>
            </w:r>
          </w:p>
          <w:p w14:paraId="4A45E2EA" w14:textId="77777777" w:rsidR="00007F6C" w:rsidRDefault="00007F6C" w:rsidP="005E2F1E">
            <w:pPr>
              <w:jc w:val="both"/>
            </w:pPr>
            <w:r>
              <w:t>1R – 2RQ</w:t>
            </w:r>
          </w:p>
        </w:tc>
        <w:tc>
          <w:tcPr>
            <w:tcW w:w="989" w:type="dxa"/>
          </w:tcPr>
          <w:p w14:paraId="761F0DC3" w14:textId="77777777" w:rsidR="00007F6C" w:rsidRDefault="00007F6C" w:rsidP="005E2F1E">
            <w:pPr>
              <w:jc w:val="right"/>
            </w:pPr>
            <w:r>
              <w:t>30.66</w:t>
            </w:r>
          </w:p>
        </w:tc>
        <w:tc>
          <w:tcPr>
            <w:tcW w:w="1053" w:type="dxa"/>
          </w:tcPr>
          <w:p w14:paraId="205FDB1E" w14:textId="77777777" w:rsidR="00007F6C" w:rsidRDefault="00007F6C" w:rsidP="005E2F1E">
            <w:pPr>
              <w:jc w:val="right"/>
            </w:pPr>
            <w:r>
              <w:t>0.37</w:t>
            </w:r>
          </w:p>
        </w:tc>
        <w:tc>
          <w:tcPr>
            <w:tcW w:w="941" w:type="dxa"/>
          </w:tcPr>
          <w:p w14:paraId="1865C952" w14:textId="77777777" w:rsidR="00007F6C" w:rsidRDefault="00007F6C" w:rsidP="005E2F1E">
            <w:pPr>
              <w:jc w:val="right"/>
            </w:pPr>
            <w:r>
              <w:t>1.21</w:t>
            </w:r>
          </w:p>
        </w:tc>
        <w:tc>
          <w:tcPr>
            <w:tcW w:w="941" w:type="dxa"/>
          </w:tcPr>
          <w:p w14:paraId="13E903D7" w14:textId="77777777" w:rsidR="00007F6C" w:rsidRDefault="00007F6C" w:rsidP="005E2F1E">
            <w:pPr>
              <w:jc w:val="right"/>
            </w:pPr>
            <w:r>
              <w:t>242.70</w:t>
            </w:r>
          </w:p>
        </w:tc>
        <w:tc>
          <w:tcPr>
            <w:tcW w:w="941" w:type="dxa"/>
          </w:tcPr>
          <w:p w14:paraId="6D4519A8" w14:textId="77777777" w:rsidR="00007F6C" w:rsidRDefault="00007F6C" w:rsidP="005E2F1E">
            <w:pPr>
              <w:jc w:val="right"/>
            </w:pPr>
            <w:r>
              <w:t>3.59</w:t>
            </w:r>
          </w:p>
        </w:tc>
        <w:tc>
          <w:tcPr>
            <w:tcW w:w="941" w:type="dxa"/>
          </w:tcPr>
          <w:p w14:paraId="0EF637F9" w14:textId="77777777" w:rsidR="00007F6C" w:rsidRDefault="00007F6C" w:rsidP="005E2F1E">
            <w:pPr>
              <w:jc w:val="right"/>
            </w:pPr>
            <w:r>
              <w:t>1.48</w:t>
            </w:r>
          </w:p>
        </w:tc>
      </w:tr>
      <w:tr w:rsidR="00007F6C" w14:paraId="6874B47D" w14:textId="77777777" w:rsidTr="005E2F1E">
        <w:trPr>
          <w:jc w:val="center"/>
        </w:trPr>
        <w:tc>
          <w:tcPr>
            <w:tcW w:w="986" w:type="dxa"/>
          </w:tcPr>
          <w:p w14:paraId="772FEEB3" w14:textId="77777777" w:rsidR="00007F6C" w:rsidRDefault="00007F6C" w:rsidP="005E2F1E">
            <w:pPr>
              <w:jc w:val="both"/>
            </w:pPr>
            <w:r>
              <w:t>20</w:t>
            </w:r>
          </w:p>
        </w:tc>
        <w:tc>
          <w:tcPr>
            <w:tcW w:w="1129" w:type="dxa"/>
          </w:tcPr>
          <w:p w14:paraId="04E54EC7" w14:textId="77777777" w:rsidR="00007F6C" w:rsidRDefault="00007F6C" w:rsidP="005E2F1E">
            <w:pPr>
              <w:jc w:val="both"/>
            </w:pPr>
            <w:r>
              <w:t xml:space="preserve">EC Fit </w:t>
            </w:r>
          </w:p>
          <w:p w14:paraId="6C0BE49C" w14:textId="77777777" w:rsidR="00007F6C" w:rsidRDefault="00007F6C" w:rsidP="005E2F1E">
            <w:pPr>
              <w:jc w:val="both"/>
            </w:pPr>
            <w:r>
              <w:t>1R – 1RQ</w:t>
            </w:r>
          </w:p>
        </w:tc>
        <w:tc>
          <w:tcPr>
            <w:tcW w:w="989" w:type="dxa"/>
          </w:tcPr>
          <w:p w14:paraId="1F4E16FB" w14:textId="77777777" w:rsidR="00007F6C" w:rsidRDefault="00007F6C" w:rsidP="005E2F1E">
            <w:pPr>
              <w:jc w:val="right"/>
            </w:pPr>
            <w:r>
              <w:t>34.91</w:t>
            </w:r>
          </w:p>
        </w:tc>
        <w:tc>
          <w:tcPr>
            <w:tcW w:w="1053" w:type="dxa"/>
          </w:tcPr>
          <w:p w14:paraId="11D45AA7" w14:textId="77777777" w:rsidR="00007F6C" w:rsidRDefault="00007F6C" w:rsidP="005E2F1E">
            <w:pPr>
              <w:jc w:val="right"/>
            </w:pPr>
            <w:r>
              <w:t>0.31</w:t>
            </w:r>
          </w:p>
        </w:tc>
        <w:tc>
          <w:tcPr>
            <w:tcW w:w="941" w:type="dxa"/>
          </w:tcPr>
          <w:p w14:paraId="1AA66660" w14:textId="77777777" w:rsidR="00007F6C" w:rsidRDefault="00007F6C" w:rsidP="005E2F1E">
            <w:pPr>
              <w:jc w:val="right"/>
            </w:pPr>
            <w:r w:rsidRPr="00E21E1F">
              <w:t>0.89</w:t>
            </w:r>
          </w:p>
        </w:tc>
        <w:tc>
          <w:tcPr>
            <w:tcW w:w="941" w:type="dxa"/>
          </w:tcPr>
          <w:p w14:paraId="7CB24311" w14:textId="77777777" w:rsidR="00007F6C" w:rsidRDefault="00007F6C" w:rsidP="005E2F1E">
            <w:pPr>
              <w:jc w:val="right"/>
            </w:pPr>
            <w:r>
              <w:t>206.10</w:t>
            </w:r>
          </w:p>
        </w:tc>
        <w:tc>
          <w:tcPr>
            <w:tcW w:w="941" w:type="dxa"/>
          </w:tcPr>
          <w:p w14:paraId="5DC3ED58" w14:textId="77777777" w:rsidR="00007F6C" w:rsidRDefault="00007F6C" w:rsidP="005E2F1E">
            <w:pPr>
              <w:jc w:val="right"/>
            </w:pPr>
            <w:r>
              <w:t>3.89</w:t>
            </w:r>
          </w:p>
        </w:tc>
        <w:tc>
          <w:tcPr>
            <w:tcW w:w="941" w:type="dxa"/>
          </w:tcPr>
          <w:p w14:paraId="407520B6" w14:textId="77777777" w:rsidR="00007F6C" w:rsidRDefault="00007F6C" w:rsidP="005E2F1E">
            <w:pPr>
              <w:jc w:val="right"/>
            </w:pPr>
            <w:r>
              <w:t>1.89</w:t>
            </w:r>
          </w:p>
        </w:tc>
      </w:tr>
      <w:tr w:rsidR="00007F6C" w14:paraId="35836376" w14:textId="77777777" w:rsidTr="005E2F1E">
        <w:trPr>
          <w:jc w:val="center"/>
        </w:trPr>
        <w:tc>
          <w:tcPr>
            <w:tcW w:w="986" w:type="dxa"/>
          </w:tcPr>
          <w:p w14:paraId="603D1F76" w14:textId="77777777" w:rsidR="00007F6C" w:rsidRDefault="00007F6C" w:rsidP="005E2F1E">
            <w:pPr>
              <w:jc w:val="both"/>
            </w:pPr>
            <w:r>
              <w:t>25</w:t>
            </w:r>
          </w:p>
        </w:tc>
        <w:tc>
          <w:tcPr>
            <w:tcW w:w="1129" w:type="dxa"/>
          </w:tcPr>
          <w:p w14:paraId="23ECDBF8" w14:textId="77777777" w:rsidR="00007F6C" w:rsidRDefault="00007F6C" w:rsidP="005E2F1E">
            <w:pPr>
              <w:jc w:val="both"/>
            </w:pPr>
            <w:r>
              <w:t xml:space="preserve">EC Fit </w:t>
            </w:r>
          </w:p>
          <w:p w14:paraId="50BF745D" w14:textId="77777777" w:rsidR="00007F6C" w:rsidRDefault="00007F6C" w:rsidP="005E2F1E">
            <w:pPr>
              <w:jc w:val="both"/>
            </w:pPr>
            <w:r>
              <w:t>1R – 2RQ</w:t>
            </w:r>
          </w:p>
        </w:tc>
        <w:tc>
          <w:tcPr>
            <w:tcW w:w="989" w:type="dxa"/>
          </w:tcPr>
          <w:p w14:paraId="5BDFE142" w14:textId="77777777" w:rsidR="00007F6C" w:rsidRDefault="00007F6C" w:rsidP="005E2F1E">
            <w:pPr>
              <w:jc w:val="right"/>
            </w:pPr>
            <w:r>
              <w:t>34.27</w:t>
            </w:r>
          </w:p>
        </w:tc>
        <w:tc>
          <w:tcPr>
            <w:tcW w:w="1053" w:type="dxa"/>
          </w:tcPr>
          <w:p w14:paraId="36D19A23" w14:textId="77777777" w:rsidR="00007F6C" w:rsidRDefault="00007F6C" w:rsidP="005E2F1E">
            <w:pPr>
              <w:jc w:val="right"/>
            </w:pPr>
            <w:r>
              <w:t>0.24</w:t>
            </w:r>
          </w:p>
        </w:tc>
        <w:tc>
          <w:tcPr>
            <w:tcW w:w="941" w:type="dxa"/>
          </w:tcPr>
          <w:p w14:paraId="2212FF8B" w14:textId="77777777" w:rsidR="00007F6C" w:rsidRDefault="00007F6C" w:rsidP="005E2F1E">
            <w:pPr>
              <w:jc w:val="right"/>
            </w:pPr>
            <w:r>
              <w:t>0.71</w:t>
            </w:r>
          </w:p>
        </w:tc>
        <w:tc>
          <w:tcPr>
            <w:tcW w:w="941" w:type="dxa"/>
          </w:tcPr>
          <w:p w14:paraId="4DE22E45" w14:textId="77777777" w:rsidR="00007F6C" w:rsidRDefault="00007F6C" w:rsidP="005E2F1E">
            <w:pPr>
              <w:jc w:val="right"/>
            </w:pPr>
            <w:r>
              <w:t>194.16</w:t>
            </w:r>
          </w:p>
        </w:tc>
        <w:tc>
          <w:tcPr>
            <w:tcW w:w="941" w:type="dxa"/>
          </w:tcPr>
          <w:p w14:paraId="7915DE6F" w14:textId="77777777" w:rsidR="00007F6C" w:rsidRDefault="00007F6C" w:rsidP="005E2F1E">
            <w:pPr>
              <w:jc w:val="right"/>
            </w:pPr>
            <w:r>
              <w:t>4.01</w:t>
            </w:r>
          </w:p>
        </w:tc>
        <w:tc>
          <w:tcPr>
            <w:tcW w:w="941" w:type="dxa"/>
          </w:tcPr>
          <w:p w14:paraId="57035291" w14:textId="77777777" w:rsidR="00007F6C" w:rsidRDefault="00007F6C" w:rsidP="005E2F1E">
            <w:pPr>
              <w:jc w:val="right"/>
            </w:pPr>
            <w:r>
              <w:t>2.07</w:t>
            </w:r>
          </w:p>
        </w:tc>
      </w:tr>
      <w:tr w:rsidR="00007F6C" w14:paraId="60455007" w14:textId="77777777" w:rsidTr="005E2F1E">
        <w:trPr>
          <w:jc w:val="center"/>
        </w:trPr>
        <w:tc>
          <w:tcPr>
            <w:tcW w:w="986" w:type="dxa"/>
          </w:tcPr>
          <w:p w14:paraId="0C8B7718" w14:textId="77777777" w:rsidR="00007F6C" w:rsidRDefault="00007F6C" w:rsidP="005E2F1E">
            <w:pPr>
              <w:jc w:val="both"/>
            </w:pPr>
            <w:r>
              <w:t>30</w:t>
            </w:r>
          </w:p>
        </w:tc>
        <w:tc>
          <w:tcPr>
            <w:tcW w:w="1129" w:type="dxa"/>
          </w:tcPr>
          <w:p w14:paraId="5D64834C" w14:textId="77777777" w:rsidR="00007F6C" w:rsidRDefault="00007F6C" w:rsidP="005E2F1E">
            <w:pPr>
              <w:jc w:val="both"/>
            </w:pPr>
            <w:r>
              <w:t xml:space="preserve">EC Fit </w:t>
            </w:r>
          </w:p>
          <w:p w14:paraId="740DE18F" w14:textId="77777777" w:rsidR="00007F6C" w:rsidRDefault="00007F6C" w:rsidP="005E2F1E">
            <w:pPr>
              <w:jc w:val="both"/>
            </w:pPr>
            <w:r>
              <w:t>1R – 2RQ</w:t>
            </w:r>
          </w:p>
        </w:tc>
        <w:tc>
          <w:tcPr>
            <w:tcW w:w="989" w:type="dxa"/>
          </w:tcPr>
          <w:p w14:paraId="53931AD1" w14:textId="77777777" w:rsidR="00007F6C" w:rsidRDefault="00007F6C" w:rsidP="005E2F1E">
            <w:pPr>
              <w:jc w:val="right"/>
            </w:pPr>
            <w:r>
              <w:t>37.22</w:t>
            </w:r>
          </w:p>
        </w:tc>
        <w:tc>
          <w:tcPr>
            <w:tcW w:w="1053" w:type="dxa"/>
          </w:tcPr>
          <w:p w14:paraId="4D78A51B" w14:textId="77777777" w:rsidR="00007F6C" w:rsidRDefault="00007F6C" w:rsidP="005E2F1E">
            <w:pPr>
              <w:jc w:val="right"/>
            </w:pPr>
            <w:r>
              <w:t>0.35</w:t>
            </w:r>
          </w:p>
        </w:tc>
        <w:tc>
          <w:tcPr>
            <w:tcW w:w="941" w:type="dxa"/>
          </w:tcPr>
          <w:p w14:paraId="2862ED34" w14:textId="77777777" w:rsidR="00007F6C" w:rsidRDefault="00007F6C" w:rsidP="005E2F1E">
            <w:pPr>
              <w:jc w:val="right"/>
            </w:pPr>
            <w:r>
              <w:t>1.29</w:t>
            </w:r>
          </w:p>
        </w:tc>
        <w:tc>
          <w:tcPr>
            <w:tcW w:w="941" w:type="dxa"/>
          </w:tcPr>
          <w:p w14:paraId="7632A90C" w14:textId="77777777" w:rsidR="00007F6C" w:rsidRDefault="00007F6C" w:rsidP="005E2F1E">
            <w:pPr>
              <w:jc w:val="right"/>
            </w:pPr>
            <w:r>
              <w:t>250.70</w:t>
            </w:r>
          </w:p>
        </w:tc>
        <w:tc>
          <w:tcPr>
            <w:tcW w:w="941" w:type="dxa"/>
          </w:tcPr>
          <w:p w14:paraId="108C244D" w14:textId="77777777" w:rsidR="00007F6C" w:rsidRDefault="00007F6C" w:rsidP="005E2F1E">
            <w:pPr>
              <w:jc w:val="right"/>
            </w:pPr>
            <w:r>
              <w:t>5.03</w:t>
            </w:r>
          </w:p>
        </w:tc>
        <w:tc>
          <w:tcPr>
            <w:tcW w:w="941" w:type="dxa"/>
          </w:tcPr>
          <w:p w14:paraId="6B596A06" w14:textId="77777777" w:rsidR="00007F6C" w:rsidRDefault="00007F6C" w:rsidP="005E2F1E">
            <w:pPr>
              <w:jc w:val="right"/>
            </w:pPr>
            <w:r>
              <w:t>2.01</w:t>
            </w:r>
          </w:p>
        </w:tc>
      </w:tr>
      <w:tr w:rsidR="00007F6C" w14:paraId="4548CB58" w14:textId="77777777" w:rsidTr="005E2F1E">
        <w:trPr>
          <w:jc w:val="center"/>
        </w:trPr>
        <w:tc>
          <w:tcPr>
            <w:tcW w:w="986" w:type="dxa"/>
          </w:tcPr>
          <w:p w14:paraId="5E1C1374" w14:textId="77777777" w:rsidR="00007F6C" w:rsidRDefault="00007F6C" w:rsidP="005E2F1E">
            <w:pPr>
              <w:jc w:val="both"/>
            </w:pPr>
            <w:r>
              <w:t>35</w:t>
            </w:r>
          </w:p>
        </w:tc>
        <w:tc>
          <w:tcPr>
            <w:tcW w:w="1129" w:type="dxa"/>
          </w:tcPr>
          <w:p w14:paraId="76232D18" w14:textId="77777777" w:rsidR="00007F6C" w:rsidRDefault="00007F6C" w:rsidP="005E2F1E">
            <w:pPr>
              <w:jc w:val="both"/>
            </w:pPr>
            <w:r>
              <w:t xml:space="preserve">EC Fit </w:t>
            </w:r>
          </w:p>
          <w:p w14:paraId="3E85D766" w14:textId="77777777" w:rsidR="00007F6C" w:rsidRDefault="00007F6C" w:rsidP="005E2F1E">
            <w:pPr>
              <w:jc w:val="both"/>
            </w:pPr>
            <w:r>
              <w:t>1R – 2RQ</w:t>
            </w:r>
          </w:p>
        </w:tc>
        <w:tc>
          <w:tcPr>
            <w:tcW w:w="989" w:type="dxa"/>
          </w:tcPr>
          <w:p w14:paraId="2FA52A44" w14:textId="77777777" w:rsidR="00007F6C" w:rsidRDefault="00007F6C" w:rsidP="005E2F1E">
            <w:pPr>
              <w:jc w:val="right"/>
            </w:pPr>
            <w:r>
              <w:t>36.75</w:t>
            </w:r>
          </w:p>
        </w:tc>
        <w:tc>
          <w:tcPr>
            <w:tcW w:w="1053" w:type="dxa"/>
          </w:tcPr>
          <w:p w14:paraId="6E532DBE" w14:textId="77777777" w:rsidR="00007F6C" w:rsidRDefault="00007F6C" w:rsidP="005E2F1E">
            <w:pPr>
              <w:jc w:val="right"/>
            </w:pPr>
            <w:r>
              <w:t>0.27</w:t>
            </w:r>
          </w:p>
        </w:tc>
        <w:tc>
          <w:tcPr>
            <w:tcW w:w="941" w:type="dxa"/>
          </w:tcPr>
          <w:p w14:paraId="080ED753" w14:textId="77777777" w:rsidR="00007F6C" w:rsidRDefault="00007F6C" w:rsidP="005E2F1E">
            <w:pPr>
              <w:jc w:val="right"/>
            </w:pPr>
            <w:r>
              <w:t>0.73</w:t>
            </w:r>
          </w:p>
        </w:tc>
        <w:tc>
          <w:tcPr>
            <w:tcW w:w="941" w:type="dxa"/>
          </w:tcPr>
          <w:p w14:paraId="3C674406" w14:textId="77777777" w:rsidR="00007F6C" w:rsidRDefault="00007F6C" w:rsidP="005E2F1E">
            <w:pPr>
              <w:jc w:val="right"/>
            </w:pPr>
            <w:r>
              <w:t>241.15</w:t>
            </w:r>
          </w:p>
        </w:tc>
        <w:tc>
          <w:tcPr>
            <w:tcW w:w="941" w:type="dxa"/>
          </w:tcPr>
          <w:p w14:paraId="60A96ED9" w14:textId="77777777" w:rsidR="00007F6C" w:rsidRDefault="00007F6C" w:rsidP="005E2F1E">
            <w:pPr>
              <w:jc w:val="right"/>
            </w:pPr>
            <w:r>
              <w:t>6.98</w:t>
            </w:r>
          </w:p>
        </w:tc>
        <w:tc>
          <w:tcPr>
            <w:tcW w:w="941" w:type="dxa"/>
          </w:tcPr>
          <w:p w14:paraId="5F0E5E69" w14:textId="77777777" w:rsidR="00007F6C" w:rsidRDefault="00007F6C" w:rsidP="005E2F1E">
            <w:pPr>
              <w:jc w:val="right"/>
            </w:pPr>
            <w:r>
              <w:t>2.89</w:t>
            </w:r>
          </w:p>
        </w:tc>
      </w:tr>
      <w:tr w:rsidR="00007F6C" w14:paraId="77A6DF74" w14:textId="77777777" w:rsidTr="005E2F1E">
        <w:trPr>
          <w:jc w:val="center"/>
        </w:trPr>
        <w:tc>
          <w:tcPr>
            <w:tcW w:w="986" w:type="dxa"/>
          </w:tcPr>
          <w:p w14:paraId="14ADC9B6" w14:textId="77777777" w:rsidR="00007F6C" w:rsidRDefault="00007F6C" w:rsidP="005E2F1E">
            <w:pPr>
              <w:jc w:val="both"/>
            </w:pPr>
            <w:r>
              <w:t>40</w:t>
            </w:r>
          </w:p>
        </w:tc>
        <w:tc>
          <w:tcPr>
            <w:tcW w:w="1129" w:type="dxa"/>
          </w:tcPr>
          <w:p w14:paraId="6A1FFD51" w14:textId="77777777" w:rsidR="00007F6C" w:rsidRDefault="00007F6C" w:rsidP="005E2F1E">
            <w:pPr>
              <w:jc w:val="both"/>
            </w:pPr>
            <w:r>
              <w:t xml:space="preserve">EC Fit </w:t>
            </w:r>
          </w:p>
          <w:p w14:paraId="68460116" w14:textId="77777777" w:rsidR="00007F6C" w:rsidRDefault="00007F6C" w:rsidP="005E2F1E">
            <w:pPr>
              <w:jc w:val="both"/>
            </w:pPr>
            <w:r>
              <w:t>1R – 2RQ</w:t>
            </w:r>
          </w:p>
        </w:tc>
        <w:tc>
          <w:tcPr>
            <w:tcW w:w="989" w:type="dxa"/>
          </w:tcPr>
          <w:p w14:paraId="60A4A213" w14:textId="77777777" w:rsidR="00007F6C" w:rsidRDefault="00007F6C" w:rsidP="005E2F1E">
            <w:pPr>
              <w:jc w:val="right"/>
            </w:pPr>
            <w:r>
              <w:t>36.35</w:t>
            </w:r>
          </w:p>
        </w:tc>
        <w:tc>
          <w:tcPr>
            <w:tcW w:w="1053" w:type="dxa"/>
          </w:tcPr>
          <w:p w14:paraId="26EAA120" w14:textId="77777777" w:rsidR="00007F6C" w:rsidRDefault="00007F6C" w:rsidP="005E2F1E">
            <w:pPr>
              <w:jc w:val="right"/>
            </w:pPr>
            <w:r>
              <w:t>0.25</w:t>
            </w:r>
          </w:p>
        </w:tc>
        <w:tc>
          <w:tcPr>
            <w:tcW w:w="941" w:type="dxa"/>
          </w:tcPr>
          <w:p w14:paraId="12340386" w14:textId="77777777" w:rsidR="00007F6C" w:rsidRDefault="00007F6C" w:rsidP="005E2F1E">
            <w:pPr>
              <w:jc w:val="right"/>
            </w:pPr>
            <w:r>
              <w:t>0.69</w:t>
            </w:r>
          </w:p>
        </w:tc>
        <w:tc>
          <w:tcPr>
            <w:tcW w:w="941" w:type="dxa"/>
          </w:tcPr>
          <w:p w14:paraId="7077D650" w14:textId="77777777" w:rsidR="00007F6C" w:rsidRDefault="00007F6C" w:rsidP="005E2F1E">
            <w:pPr>
              <w:jc w:val="right"/>
            </w:pPr>
            <w:r>
              <w:t>244.71</w:t>
            </w:r>
          </w:p>
        </w:tc>
        <w:tc>
          <w:tcPr>
            <w:tcW w:w="941" w:type="dxa"/>
          </w:tcPr>
          <w:p w14:paraId="4065A277" w14:textId="77777777" w:rsidR="00007F6C" w:rsidRDefault="00007F6C" w:rsidP="005E2F1E">
            <w:pPr>
              <w:jc w:val="right"/>
            </w:pPr>
            <w:r>
              <w:t>7.13</w:t>
            </w:r>
          </w:p>
        </w:tc>
        <w:tc>
          <w:tcPr>
            <w:tcW w:w="941" w:type="dxa"/>
          </w:tcPr>
          <w:p w14:paraId="16167C2F" w14:textId="77777777" w:rsidR="00007F6C" w:rsidRDefault="00007F6C" w:rsidP="005E2F1E">
            <w:pPr>
              <w:jc w:val="right"/>
            </w:pPr>
            <w:r>
              <w:t>2.91</w:t>
            </w:r>
          </w:p>
        </w:tc>
      </w:tr>
      <w:tr w:rsidR="00007F6C" w14:paraId="60CC18B0" w14:textId="77777777" w:rsidTr="005E2F1E">
        <w:trPr>
          <w:jc w:val="center"/>
        </w:trPr>
        <w:tc>
          <w:tcPr>
            <w:tcW w:w="986" w:type="dxa"/>
          </w:tcPr>
          <w:p w14:paraId="57D750D0" w14:textId="77777777" w:rsidR="00007F6C" w:rsidRDefault="00007F6C" w:rsidP="005E2F1E">
            <w:pPr>
              <w:jc w:val="both"/>
            </w:pPr>
            <w:r>
              <w:t>45</w:t>
            </w:r>
          </w:p>
        </w:tc>
        <w:tc>
          <w:tcPr>
            <w:tcW w:w="1129" w:type="dxa"/>
          </w:tcPr>
          <w:p w14:paraId="7A441626" w14:textId="77777777" w:rsidR="00007F6C" w:rsidRDefault="00007F6C" w:rsidP="005E2F1E">
            <w:pPr>
              <w:jc w:val="both"/>
            </w:pPr>
            <w:r>
              <w:t xml:space="preserve">EC Fit </w:t>
            </w:r>
          </w:p>
          <w:p w14:paraId="2112A0CC" w14:textId="77777777" w:rsidR="00007F6C" w:rsidRDefault="00007F6C" w:rsidP="005E2F1E">
            <w:pPr>
              <w:jc w:val="both"/>
            </w:pPr>
            <w:r>
              <w:t>1R – 2RQ</w:t>
            </w:r>
          </w:p>
        </w:tc>
        <w:tc>
          <w:tcPr>
            <w:tcW w:w="989" w:type="dxa"/>
          </w:tcPr>
          <w:p w14:paraId="62AF88A6" w14:textId="77777777" w:rsidR="00007F6C" w:rsidRDefault="00007F6C" w:rsidP="005E2F1E">
            <w:pPr>
              <w:jc w:val="right"/>
            </w:pPr>
            <w:r>
              <w:t>37.32</w:t>
            </w:r>
          </w:p>
        </w:tc>
        <w:tc>
          <w:tcPr>
            <w:tcW w:w="1053" w:type="dxa"/>
          </w:tcPr>
          <w:p w14:paraId="031A40A5" w14:textId="77777777" w:rsidR="00007F6C" w:rsidRDefault="00007F6C" w:rsidP="005E2F1E">
            <w:pPr>
              <w:jc w:val="right"/>
            </w:pPr>
            <w:r>
              <w:t>0.25</w:t>
            </w:r>
          </w:p>
        </w:tc>
        <w:tc>
          <w:tcPr>
            <w:tcW w:w="941" w:type="dxa"/>
          </w:tcPr>
          <w:p w14:paraId="212EA27B" w14:textId="77777777" w:rsidR="00007F6C" w:rsidRDefault="00007F6C" w:rsidP="005E2F1E">
            <w:pPr>
              <w:jc w:val="right"/>
            </w:pPr>
            <w:r>
              <w:t>0.67</w:t>
            </w:r>
          </w:p>
        </w:tc>
        <w:tc>
          <w:tcPr>
            <w:tcW w:w="941" w:type="dxa"/>
          </w:tcPr>
          <w:p w14:paraId="151C066E" w14:textId="77777777" w:rsidR="00007F6C" w:rsidRDefault="00007F6C" w:rsidP="005E2F1E">
            <w:pPr>
              <w:jc w:val="right"/>
            </w:pPr>
            <w:r>
              <w:t>253.20</w:t>
            </w:r>
          </w:p>
        </w:tc>
        <w:tc>
          <w:tcPr>
            <w:tcW w:w="941" w:type="dxa"/>
          </w:tcPr>
          <w:p w14:paraId="6F2F67D9" w14:textId="77777777" w:rsidR="00007F6C" w:rsidRDefault="00007F6C" w:rsidP="005E2F1E">
            <w:pPr>
              <w:jc w:val="right"/>
            </w:pPr>
            <w:r>
              <w:t>7.52</w:t>
            </w:r>
          </w:p>
        </w:tc>
        <w:tc>
          <w:tcPr>
            <w:tcW w:w="941" w:type="dxa"/>
          </w:tcPr>
          <w:p w14:paraId="08AFF163" w14:textId="77777777" w:rsidR="00007F6C" w:rsidRDefault="00007F6C" w:rsidP="005E2F1E">
            <w:pPr>
              <w:jc w:val="right"/>
            </w:pPr>
            <w:r>
              <w:t>2.97</w:t>
            </w:r>
          </w:p>
        </w:tc>
      </w:tr>
      <w:tr w:rsidR="00007F6C" w14:paraId="7BC2305D" w14:textId="77777777" w:rsidTr="005E2F1E">
        <w:trPr>
          <w:jc w:val="center"/>
        </w:trPr>
        <w:tc>
          <w:tcPr>
            <w:tcW w:w="986" w:type="dxa"/>
          </w:tcPr>
          <w:p w14:paraId="10DBFAD9" w14:textId="77777777" w:rsidR="00007F6C" w:rsidRDefault="00007F6C" w:rsidP="005E2F1E">
            <w:pPr>
              <w:jc w:val="both"/>
            </w:pPr>
            <w:r>
              <w:t>50</w:t>
            </w:r>
          </w:p>
        </w:tc>
        <w:tc>
          <w:tcPr>
            <w:tcW w:w="1129" w:type="dxa"/>
          </w:tcPr>
          <w:p w14:paraId="62330151" w14:textId="77777777" w:rsidR="00007F6C" w:rsidRDefault="00007F6C" w:rsidP="005E2F1E">
            <w:pPr>
              <w:jc w:val="both"/>
            </w:pPr>
            <w:r>
              <w:t xml:space="preserve">EC Fit </w:t>
            </w:r>
          </w:p>
          <w:p w14:paraId="59C659E4" w14:textId="77777777" w:rsidR="00007F6C" w:rsidRDefault="00007F6C" w:rsidP="005E2F1E">
            <w:pPr>
              <w:jc w:val="both"/>
            </w:pPr>
            <w:r>
              <w:t>1R – 2RQ</w:t>
            </w:r>
          </w:p>
        </w:tc>
        <w:tc>
          <w:tcPr>
            <w:tcW w:w="989" w:type="dxa"/>
          </w:tcPr>
          <w:p w14:paraId="29735506" w14:textId="77777777" w:rsidR="00007F6C" w:rsidRDefault="00007F6C" w:rsidP="005E2F1E">
            <w:pPr>
              <w:jc w:val="right"/>
            </w:pPr>
            <w:r>
              <w:t>37.96</w:t>
            </w:r>
          </w:p>
        </w:tc>
        <w:tc>
          <w:tcPr>
            <w:tcW w:w="1053" w:type="dxa"/>
          </w:tcPr>
          <w:p w14:paraId="48918ED0" w14:textId="77777777" w:rsidR="00007F6C" w:rsidRDefault="00007F6C" w:rsidP="005E2F1E">
            <w:pPr>
              <w:jc w:val="right"/>
            </w:pPr>
            <w:r>
              <w:t>0.28</w:t>
            </w:r>
          </w:p>
        </w:tc>
        <w:tc>
          <w:tcPr>
            <w:tcW w:w="941" w:type="dxa"/>
          </w:tcPr>
          <w:p w14:paraId="13208DEB" w14:textId="77777777" w:rsidR="00007F6C" w:rsidRDefault="00007F6C" w:rsidP="005E2F1E">
            <w:pPr>
              <w:jc w:val="right"/>
            </w:pPr>
            <w:r>
              <w:t>0.74</w:t>
            </w:r>
          </w:p>
        </w:tc>
        <w:tc>
          <w:tcPr>
            <w:tcW w:w="941" w:type="dxa"/>
          </w:tcPr>
          <w:p w14:paraId="62F1275E" w14:textId="77777777" w:rsidR="00007F6C" w:rsidRDefault="00007F6C" w:rsidP="005E2F1E">
            <w:pPr>
              <w:jc w:val="right"/>
            </w:pPr>
            <w:r>
              <w:t>280.57</w:t>
            </w:r>
          </w:p>
        </w:tc>
        <w:tc>
          <w:tcPr>
            <w:tcW w:w="941" w:type="dxa"/>
          </w:tcPr>
          <w:p w14:paraId="5880276D" w14:textId="77777777" w:rsidR="00007F6C" w:rsidRDefault="00007F6C" w:rsidP="005E2F1E">
            <w:pPr>
              <w:jc w:val="right"/>
            </w:pPr>
            <w:r>
              <w:t>8.43</w:t>
            </w:r>
          </w:p>
        </w:tc>
        <w:tc>
          <w:tcPr>
            <w:tcW w:w="941" w:type="dxa"/>
          </w:tcPr>
          <w:p w14:paraId="4775581D" w14:textId="77777777" w:rsidR="00007F6C" w:rsidRDefault="00007F6C" w:rsidP="005E2F1E">
            <w:pPr>
              <w:jc w:val="right"/>
            </w:pPr>
            <w:r>
              <w:t>3.00</w:t>
            </w:r>
          </w:p>
        </w:tc>
      </w:tr>
    </w:tbl>
    <w:p w14:paraId="4E31C9A7" w14:textId="180CBB75" w:rsidR="00007F6C" w:rsidRDefault="00007F6C" w:rsidP="00007F6C">
      <w:pPr>
        <w:jc w:val="both"/>
        <w:rPr>
          <w:b/>
          <w:bCs/>
        </w:rPr>
      </w:pPr>
    </w:p>
    <w:p w14:paraId="6711DF70" w14:textId="77777777" w:rsidR="00007F6C" w:rsidRDefault="00007F6C" w:rsidP="00007F6C">
      <w:pPr>
        <w:pStyle w:val="Heading5"/>
        <w:jc w:val="both"/>
      </w:pPr>
      <w:r>
        <w:t>Activation Energy</w:t>
      </w:r>
    </w:p>
    <w:p w14:paraId="33B5A860" w14:textId="7255283A" w:rsidR="00007F6C" w:rsidRDefault="00007F6C" w:rsidP="00007F6C">
      <w:pPr>
        <w:jc w:val="both"/>
      </w:pPr>
      <w:r>
        <w:t>An Arrhenius plot was drawn for the R</w:t>
      </w:r>
      <w:r>
        <w:rPr>
          <w:vertAlign w:val="subscript"/>
        </w:rPr>
        <w:t>P</w:t>
      </w:r>
      <w:r>
        <w:t xml:space="preserve"> of the Ni3 sample during the temperature ramp using the electrochemical data gathered by a frequency response analyser (</w:t>
      </w:r>
      <w:r>
        <w:fldChar w:fldCharType="begin"/>
      </w:r>
      <w:r>
        <w:instrText xml:space="preserve"> REF _Ref46231727 \h  \* MERGEFORMAT </w:instrText>
      </w:r>
      <w:r>
        <w:fldChar w:fldCharType="separate"/>
      </w:r>
      <w:r>
        <w:t xml:space="preserve">Figure </w:t>
      </w:r>
      <w:r>
        <w:rPr>
          <w:noProof/>
        </w:rPr>
        <w:t>A9</w:t>
      </w:r>
      <w:r>
        <w:fldChar w:fldCharType="end"/>
      </w:r>
      <w:r>
        <w:t xml:space="preserve">). The complex impedance response of the cells was measured using a </w:t>
      </w:r>
      <w:proofErr w:type="spellStart"/>
      <w:r>
        <w:t>Solartron</w:t>
      </w:r>
      <w:proofErr w:type="spellEnd"/>
      <w:r>
        <w:t xml:space="preserve"> 1250/1287 FRA between frequencies of 0.1-65,000 Hz. The response was measured in 50</w:t>
      </w:r>
      <w:r w:rsidR="00304E59">
        <w:t xml:space="preserve"> </w:t>
      </w:r>
      <w:r>
        <w:rPr>
          <w:rFonts w:cstheme="minorHAnsi"/>
        </w:rPr>
        <w:t>⁰</w:t>
      </w:r>
      <w:r>
        <w:t>C increments.</w:t>
      </w:r>
    </w:p>
    <w:p w14:paraId="2CC9CF87" w14:textId="657E84C9" w:rsidR="00902A0D" w:rsidRDefault="00C77BAC" w:rsidP="00835CCA">
      <w:pPr>
        <w:spacing w:after="0"/>
        <w:jc w:val="both"/>
      </w:pPr>
      <w:r>
        <w:t>To determine the activation energies at 600</w:t>
      </w:r>
      <w:r w:rsidR="00304E59">
        <w:t xml:space="preserve"> </w:t>
      </w:r>
      <w:r>
        <w:rPr>
          <w:rFonts w:cstheme="minorHAnsi"/>
        </w:rPr>
        <w:t>°</w:t>
      </w:r>
      <w:r>
        <w:t>C and 800</w:t>
      </w:r>
      <w:r w:rsidR="00304E59">
        <w:t xml:space="preserve"> </w:t>
      </w:r>
      <w:r>
        <w:rPr>
          <w:rFonts w:cstheme="minorHAnsi"/>
        </w:rPr>
        <w:t>°</w:t>
      </w:r>
      <w:r>
        <w:t>C two</w:t>
      </w:r>
      <w:r w:rsidR="00902A0D">
        <w:t xml:space="preserve"> tangent</w:t>
      </w:r>
      <w:r>
        <w:t>s</w:t>
      </w:r>
      <w:r w:rsidR="00902A0D">
        <w:t xml:space="preserve"> </w:t>
      </w:r>
      <w:r>
        <w:t>were drawn against the polynomial fit line of best fit</w:t>
      </w:r>
      <w:r w:rsidR="00835CCA">
        <w:t xml:space="preserve"> (</w:t>
      </w:r>
      <w:r w:rsidR="00835CCA">
        <w:fldChar w:fldCharType="begin"/>
      </w:r>
      <w:r w:rsidR="00835CCA">
        <w:instrText xml:space="preserve"> REF _Ref68871842 \h </w:instrText>
      </w:r>
      <w:r w:rsidR="00835CCA">
        <w:fldChar w:fldCharType="separate"/>
      </w:r>
      <w:r w:rsidR="00835CCA">
        <w:t>Figure 5.</w:t>
      </w:r>
      <w:r w:rsidR="00835CCA">
        <w:rPr>
          <w:noProof/>
        </w:rPr>
        <w:t>25</w:t>
      </w:r>
      <w:r w:rsidR="00835CCA">
        <w:fldChar w:fldCharType="end"/>
      </w:r>
      <w:r w:rsidR="00835CCA">
        <w:t>)</w:t>
      </w:r>
      <w:r>
        <w:t>. This was to observe the change in activation energy in this temperature range.</w:t>
      </w:r>
      <w:r w:rsidR="00132990">
        <w:t xml:space="preserve"> The activation energy decreased by 0.16 eV during this temperature range. The activation energy at 800 </w:t>
      </w:r>
      <w:r w:rsidR="00132990">
        <w:rPr>
          <w:rFonts w:cstheme="minorHAnsi"/>
        </w:rPr>
        <w:t>°</w:t>
      </w:r>
      <w:r w:rsidR="00132990">
        <w:t>C was also</w:t>
      </w:r>
      <w:r w:rsidR="00304E59">
        <w:t xml:space="preserve"> equal to that of the gold coated samples under the same operating conditions.</w:t>
      </w:r>
    </w:p>
    <w:p w14:paraId="323D7A47" w14:textId="51BD84AB" w:rsidR="0022061C" w:rsidRDefault="0022061C" w:rsidP="00CC7574">
      <w:pPr>
        <w:pStyle w:val="Caption"/>
        <w:keepNext/>
      </w:pPr>
      <w:r>
        <w:t>Table 5.</w:t>
      </w:r>
      <w:r w:rsidR="00B51F53">
        <w:fldChar w:fldCharType="begin"/>
      </w:r>
      <w:r w:rsidR="00B51F53">
        <w:instrText xml:space="preserve"> SEQ Table \* ARABIC </w:instrText>
      </w:r>
      <w:r w:rsidR="00B51F53">
        <w:fldChar w:fldCharType="separate"/>
      </w:r>
      <w:r>
        <w:rPr>
          <w:noProof/>
        </w:rPr>
        <w:t>9</w:t>
      </w:r>
      <w:r w:rsidR="00B51F53">
        <w:rPr>
          <w:noProof/>
        </w:rPr>
        <w:fldChar w:fldCharType="end"/>
      </w:r>
      <w:r>
        <w:t xml:space="preserve">: Calculated Activation Energy of the Ni3 sample from the two tangents drawn at 600 </w:t>
      </w:r>
      <w:r>
        <w:rPr>
          <w:rFonts w:cstheme="minorHAnsi"/>
        </w:rPr>
        <w:t>°</w:t>
      </w:r>
      <w:r>
        <w:t xml:space="preserve">C and 800 </w:t>
      </w:r>
      <w:r>
        <w:rPr>
          <w:rFonts w:cstheme="minorHAnsi"/>
        </w:rPr>
        <w:t>°</w:t>
      </w:r>
      <w:r>
        <w:t>C of the Arrhenius plot</w:t>
      </w:r>
    </w:p>
    <w:tbl>
      <w:tblPr>
        <w:tblStyle w:val="TableGrid"/>
        <w:tblW w:w="0" w:type="auto"/>
        <w:tblLook w:val="04A0" w:firstRow="1" w:lastRow="0" w:firstColumn="1" w:lastColumn="0" w:noHBand="0" w:noVBand="1"/>
      </w:tblPr>
      <w:tblGrid>
        <w:gridCol w:w="2176"/>
        <w:gridCol w:w="2545"/>
        <w:gridCol w:w="2301"/>
        <w:gridCol w:w="1994"/>
      </w:tblGrid>
      <w:tr w:rsidR="00C77BAC" w14:paraId="3B7D2B7A" w14:textId="77777777" w:rsidTr="00C77BAC">
        <w:tc>
          <w:tcPr>
            <w:tcW w:w="0" w:type="auto"/>
            <w:shd w:val="clear" w:color="auto" w:fill="D9D9D9" w:themeFill="background1" w:themeFillShade="D9"/>
          </w:tcPr>
          <w:p w14:paraId="1D6D7517" w14:textId="77777777" w:rsidR="00C77BAC" w:rsidRPr="00FF383D" w:rsidRDefault="00C77BAC" w:rsidP="00C77BAC">
            <w:pPr>
              <w:rPr>
                <w:b/>
                <w:bCs/>
              </w:rPr>
            </w:pPr>
            <w:r w:rsidRPr="00FF383D">
              <w:rPr>
                <w:b/>
                <w:bCs/>
              </w:rPr>
              <w:t>Temperature Range [</w:t>
            </w:r>
            <w:r w:rsidRPr="00FF383D">
              <w:rPr>
                <w:rFonts w:cstheme="minorHAnsi"/>
                <w:b/>
                <w:bCs/>
              </w:rPr>
              <w:t>°</w:t>
            </w:r>
            <w:r w:rsidRPr="00FF383D">
              <w:rPr>
                <w:b/>
                <w:bCs/>
              </w:rPr>
              <w:t>C]</w:t>
            </w:r>
          </w:p>
        </w:tc>
        <w:tc>
          <w:tcPr>
            <w:tcW w:w="0" w:type="auto"/>
            <w:shd w:val="clear" w:color="auto" w:fill="D9D9D9" w:themeFill="background1" w:themeFillShade="D9"/>
          </w:tcPr>
          <w:p w14:paraId="0B31B4C5" w14:textId="77777777" w:rsidR="00C77BAC" w:rsidRPr="00FF383D" w:rsidRDefault="00C77BAC" w:rsidP="00C77BAC">
            <w:pPr>
              <w:rPr>
                <w:b/>
                <w:bCs/>
              </w:rPr>
            </w:pPr>
            <w:r w:rsidRPr="00FF383D">
              <w:rPr>
                <w:b/>
                <w:bCs/>
              </w:rPr>
              <w:t>Linear Fit Gradient, m [</w:t>
            </w:r>
            <w:r>
              <w:rPr>
                <w:rFonts w:cstheme="minorHAnsi"/>
                <w:b/>
                <w:bCs/>
              </w:rPr>
              <w:t>Ω</w:t>
            </w:r>
            <w:r>
              <w:rPr>
                <w:b/>
                <w:bCs/>
              </w:rPr>
              <w:t>cm</w:t>
            </w:r>
            <w:r>
              <w:rPr>
                <w:b/>
                <w:bCs/>
                <w:vertAlign w:val="superscript"/>
              </w:rPr>
              <w:t>2</w:t>
            </w:r>
            <w:r>
              <w:rPr>
                <w:b/>
                <w:bCs/>
              </w:rPr>
              <w:t>K</w:t>
            </w:r>
            <w:r w:rsidRPr="00FF383D">
              <w:rPr>
                <w:b/>
                <w:bCs/>
              </w:rPr>
              <w:t>]</w:t>
            </w:r>
          </w:p>
        </w:tc>
        <w:tc>
          <w:tcPr>
            <w:tcW w:w="0" w:type="auto"/>
            <w:shd w:val="clear" w:color="auto" w:fill="D9D9D9" w:themeFill="background1" w:themeFillShade="D9"/>
          </w:tcPr>
          <w:p w14:paraId="0CF0B300" w14:textId="77777777" w:rsidR="00C77BAC" w:rsidRPr="00FF383D" w:rsidRDefault="00C77BAC" w:rsidP="00C77BAC">
            <w:pPr>
              <w:rPr>
                <w:b/>
                <w:bCs/>
              </w:rPr>
            </w:pPr>
            <w:r w:rsidRPr="00FF383D">
              <w:rPr>
                <w:b/>
                <w:bCs/>
              </w:rPr>
              <w:t>Activation Energy [kJmol</w:t>
            </w:r>
            <w:r w:rsidRPr="00FF383D">
              <w:rPr>
                <w:b/>
                <w:bCs/>
                <w:vertAlign w:val="superscript"/>
              </w:rPr>
              <w:t>-1</w:t>
            </w:r>
            <w:r w:rsidRPr="00FF383D">
              <w:rPr>
                <w:b/>
                <w:bCs/>
              </w:rPr>
              <w:t>]</w:t>
            </w:r>
          </w:p>
        </w:tc>
        <w:tc>
          <w:tcPr>
            <w:tcW w:w="0" w:type="auto"/>
            <w:shd w:val="clear" w:color="auto" w:fill="D9D9D9" w:themeFill="background1" w:themeFillShade="D9"/>
          </w:tcPr>
          <w:p w14:paraId="090FBAC7" w14:textId="77777777" w:rsidR="00C77BAC" w:rsidRPr="00FF383D" w:rsidRDefault="00C77BAC" w:rsidP="00C77BAC">
            <w:pPr>
              <w:rPr>
                <w:b/>
                <w:bCs/>
              </w:rPr>
            </w:pPr>
            <w:r w:rsidRPr="00FF383D">
              <w:rPr>
                <w:b/>
                <w:bCs/>
              </w:rPr>
              <w:t>Activation Energy [eV]</w:t>
            </w:r>
          </w:p>
        </w:tc>
      </w:tr>
      <w:tr w:rsidR="00C77BAC" w14:paraId="5B945EED" w14:textId="77777777" w:rsidTr="00C77BAC">
        <w:tc>
          <w:tcPr>
            <w:tcW w:w="0" w:type="auto"/>
          </w:tcPr>
          <w:p w14:paraId="4BF9B03A" w14:textId="3CE33290" w:rsidR="00C77BAC" w:rsidRDefault="00C77BAC" w:rsidP="00C77BAC">
            <w:pPr>
              <w:jc w:val="center"/>
            </w:pPr>
            <w:r>
              <w:t>600</w:t>
            </w:r>
          </w:p>
        </w:tc>
        <w:tc>
          <w:tcPr>
            <w:tcW w:w="0" w:type="auto"/>
          </w:tcPr>
          <w:p w14:paraId="44EA70CB" w14:textId="623F6AAA" w:rsidR="00C77BAC" w:rsidRDefault="00C77BAC" w:rsidP="00C77BAC">
            <w:pPr>
              <w:jc w:val="center"/>
            </w:pPr>
            <w:r>
              <w:t>4.69</w:t>
            </w:r>
          </w:p>
        </w:tc>
        <w:tc>
          <w:tcPr>
            <w:tcW w:w="0" w:type="auto"/>
          </w:tcPr>
          <w:p w14:paraId="70F5FFC6" w14:textId="3D9094BA" w:rsidR="00C77BAC" w:rsidRDefault="00C77BAC" w:rsidP="00C77BAC">
            <w:pPr>
              <w:jc w:val="center"/>
            </w:pPr>
            <w:r>
              <w:t>-38.99</w:t>
            </w:r>
          </w:p>
        </w:tc>
        <w:tc>
          <w:tcPr>
            <w:tcW w:w="0" w:type="auto"/>
          </w:tcPr>
          <w:p w14:paraId="28623B94" w14:textId="171AFBAB" w:rsidR="00C77BAC" w:rsidRDefault="00C77BAC" w:rsidP="00C77BAC">
            <w:pPr>
              <w:jc w:val="center"/>
            </w:pPr>
            <w:r>
              <w:t>-0.</w:t>
            </w:r>
            <w:r w:rsidR="0022061C">
              <w:t>40</w:t>
            </w:r>
          </w:p>
        </w:tc>
      </w:tr>
      <w:tr w:rsidR="00C77BAC" w14:paraId="47070011" w14:textId="77777777" w:rsidTr="00C77BAC">
        <w:tc>
          <w:tcPr>
            <w:tcW w:w="0" w:type="auto"/>
          </w:tcPr>
          <w:p w14:paraId="660A92D8" w14:textId="2EC052D1" w:rsidR="00C77BAC" w:rsidRDefault="00C77BAC" w:rsidP="00C77BAC">
            <w:pPr>
              <w:jc w:val="center"/>
            </w:pPr>
            <w:r>
              <w:t>800</w:t>
            </w:r>
          </w:p>
        </w:tc>
        <w:tc>
          <w:tcPr>
            <w:tcW w:w="0" w:type="auto"/>
          </w:tcPr>
          <w:p w14:paraId="3EB06620" w14:textId="30692370" w:rsidR="00C77BAC" w:rsidRDefault="00C77BAC" w:rsidP="00C77BAC">
            <w:pPr>
              <w:jc w:val="center"/>
            </w:pPr>
            <w:r>
              <w:t>2.78</w:t>
            </w:r>
          </w:p>
        </w:tc>
        <w:tc>
          <w:tcPr>
            <w:tcW w:w="0" w:type="auto"/>
          </w:tcPr>
          <w:p w14:paraId="104AA48E" w14:textId="40007805" w:rsidR="00C77BAC" w:rsidRDefault="00C77BAC" w:rsidP="00C77BAC">
            <w:pPr>
              <w:jc w:val="center"/>
            </w:pPr>
            <w:r>
              <w:t>-23.07</w:t>
            </w:r>
          </w:p>
        </w:tc>
        <w:tc>
          <w:tcPr>
            <w:tcW w:w="0" w:type="auto"/>
          </w:tcPr>
          <w:p w14:paraId="1A97A7A4" w14:textId="19C39115" w:rsidR="00C77BAC" w:rsidRDefault="00C77BAC" w:rsidP="00C77BAC">
            <w:pPr>
              <w:jc w:val="center"/>
            </w:pPr>
            <w:r>
              <w:t>-0.</w:t>
            </w:r>
            <w:r w:rsidR="00DA1F64">
              <w:t>24</w:t>
            </w:r>
          </w:p>
        </w:tc>
      </w:tr>
    </w:tbl>
    <w:p w14:paraId="5B0938CD" w14:textId="00435ED8" w:rsidR="00007F6C" w:rsidRPr="004875C8" w:rsidRDefault="00007F6C" w:rsidP="00007F6C">
      <w:pPr>
        <w:jc w:val="both"/>
      </w:pPr>
      <w:r>
        <w:t>The activation energy of the sample was calculated to be -0.</w:t>
      </w:r>
      <w:r w:rsidR="00D47490">
        <w:t>24</w:t>
      </w:r>
      <w:r>
        <w:t xml:space="preserve"> eV which was </w:t>
      </w:r>
      <w:r w:rsidR="0059133E">
        <w:t>0.67 eV smaller than the</w:t>
      </w:r>
      <w:r>
        <w:t xml:space="preserve"> silver</w:t>
      </w:r>
      <w:r w:rsidR="0059133E">
        <w:t xml:space="preserve"> coated sample</w:t>
      </w:r>
      <w:r>
        <w:t xml:space="preserve">. </w:t>
      </w:r>
      <w:r w:rsidR="00CC7574">
        <w:t xml:space="preserve">This was equal to the activation energy of the gold current collector. </w:t>
      </w:r>
      <w:r>
        <w:t xml:space="preserve">This </w:t>
      </w:r>
      <w:r w:rsidR="00CC7574">
        <w:t xml:space="preserve">demonstrates that the current collector </w:t>
      </w:r>
      <w:r>
        <w:t>is highly sensitive to changes in temperature and would suggest that it is highly mobile at the 800</w:t>
      </w:r>
      <w:r>
        <w:rPr>
          <w:rFonts w:cstheme="minorHAnsi"/>
        </w:rPr>
        <w:t>⁰</w:t>
      </w:r>
      <w:r>
        <w:t xml:space="preserve">C ageing temperature. </w:t>
      </w:r>
      <w:r w:rsidR="00CC7574">
        <w:t xml:space="preserve">Further work is needed to understand </w:t>
      </w:r>
      <w:r w:rsidR="00CC7574">
        <w:lastRenderedPageBreak/>
        <w:t xml:space="preserve">how the ramp rate impacts this interaction </w:t>
      </w:r>
      <w:r w:rsidR="00D27B6F">
        <w:t>and</w:t>
      </w:r>
      <w:r w:rsidR="00CC7574">
        <w:t xml:space="preserve"> for </w:t>
      </w:r>
      <w:r w:rsidR="00D27B6F">
        <w:t>more datapoints</w:t>
      </w:r>
      <w:r w:rsidR="00CC7574">
        <w:t xml:space="preserve"> at 25 </w:t>
      </w:r>
      <w:r w:rsidR="00CC7574">
        <w:rPr>
          <w:rFonts w:cstheme="minorHAnsi"/>
        </w:rPr>
        <w:t>°</w:t>
      </w:r>
      <w:r w:rsidR="00CC7574">
        <w:t>C increments for better fitting capabilities</w:t>
      </w:r>
      <w:r w:rsidR="00D27B6F">
        <w:t xml:space="preserve"> and improved R</w:t>
      </w:r>
      <w:r w:rsidR="00D27B6F">
        <w:rPr>
          <w:vertAlign w:val="superscript"/>
        </w:rPr>
        <w:t>2</w:t>
      </w:r>
      <w:r w:rsidR="00D27B6F">
        <w:t xml:space="preserve"> values</w:t>
      </w:r>
      <w:r w:rsidR="00CC7574">
        <w:t>.</w:t>
      </w:r>
    </w:p>
    <w:p w14:paraId="0BD4E6B8" w14:textId="56BD6BF4" w:rsidR="00007F6C" w:rsidRDefault="00C77BAC" w:rsidP="00007F6C">
      <w:pPr>
        <w:keepNext/>
        <w:jc w:val="center"/>
      </w:pPr>
      <w:r w:rsidRPr="00C77BAC">
        <w:rPr>
          <w:noProof/>
        </w:rPr>
        <w:drawing>
          <wp:inline distT="0" distB="0" distL="0" distR="0" wp14:anchorId="4026C658" wp14:editId="6ECABCB9">
            <wp:extent cx="3600000" cy="3127118"/>
            <wp:effectExtent l="0" t="0" r="635"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4">
                      <a:extLst>
                        <a:ext uri="{28A0092B-C50C-407E-A947-70E740481C1C}">
                          <a14:useLocalDpi xmlns:a14="http://schemas.microsoft.com/office/drawing/2010/main" val="0"/>
                        </a:ext>
                      </a:extLst>
                    </a:blip>
                    <a:srcRect l="9046" t="6896" r="13322" b="4742"/>
                    <a:stretch/>
                  </pic:blipFill>
                  <pic:spPr bwMode="auto">
                    <a:xfrm>
                      <a:off x="0" y="0"/>
                      <a:ext cx="3600000" cy="3127118"/>
                    </a:xfrm>
                    <a:prstGeom prst="rect">
                      <a:avLst/>
                    </a:prstGeom>
                    <a:noFill/>
                    <a:ln>
                      <a:noFill/>
                    </a:ln>
                    <a:extLst>
                      <a:ext uri="{53640926-AAD7-44D8-BBD7-CCE9431645EC}">
                        <a14:shadowObscured xmlns:a14="http://schemas.microsoft.com/office/drawing/2010/main"/>
                      </a:ext>
                    </a:extLst>
                  </pic:spPr>
                </pic:pic>
              </a:graphicData>
            </a:graphic>
          </wp:inline>
        </w:drawing>
      </w:r>
    </w:p>
    <w:p w14:paraId="01A3D6F2" w14:textId="1002E194" w:rsidR="00007F6C" w:rsidRPr="00E00EA2" w:rsidRDefault="00007F6C" w:rsidP="00007F6C">
      <w:pPr>
        <w:pStyle w:val="Caption"/>
      </w:pPr>
      <w:bookmarkStart w:id="496" w:name="_Ref68871842"/>
      <w:bookmarkStart w:id="497" w:name="_Toc69115040"/>
      <w:r>
        <w:t>Figure 5.</w:t>
      </w:r>
      <w:r w:rsidR="00B51F53">
        <w:fldChar w:fldCharType="begin"/>
      </w:r>
      <w:r w:rsidR="00B51F53">
        <w:instrText xml:space="preserve"> SEQ Figure \* ARABIC </w:instrText>
      </w:r>
      <w:r w:rsidR="00B51F53">
        <w:fldChar w:fldCharType="separate"/>
      </w:r>
      <w:r w:rsidR="00835CCA">
        <w:rPr>
          <w:noProof/>
        </w:rPr>
        <w:t>25</w:t>
      </w:r>
      <w:r w:rsidR="00B51F53">
        <w:rPr>
          <w:noProof/>
        </w:rPr>
        <w:fldChar w:fldCharType="end"/>
      </w:r>
      <w:bookmarkEnd w:id="496"/>
      <w:r>
        <w:t>: Arrhenius plot of the polarisation resistance vs 1000/T for the Ni3 at 400-800</w:t>
      </w:r>
      <w:r>
        <w:rPr>
          <w:rFonts w:cstheme="minorHAnsi"/>
        </w:rPr>
        <w:t>⁰</w:t>
      </w:r>
      <w:r>
        <w:t>C at 50</w:t>
      </w:r>
      <w:r>
        <w:rPr>
          <w:rFonts w:cstheme="minorHAnsi"/>
        </w:rPr>
        <w:t>⁰</w:t>
      </w:r>
      <w:r>
        <w:t>C increments</w:t>
      </w:r>
      <w:r w:rsidR="00061636">
        <w:t xml:space="preserve">. The error bars </w:t>
      </w:r>
      <w:r w:rsidR="008C4D3D">
        <w:t>we</w:t>
      </w:r>
      <w:r w:rsidR="00061636">
        <w:t>re calculated from the standard deviation of the dataset</w:t>
      </w:r>
      <w:r w:rsidR="00C77BAC">
        <w:t xml:space="preserve">. The tangent at 600 </w:t>
      </w:r>
      <w:r w:rsidR="00C77BAC">
        <w:rPr>
          <w:rFonts w:cstheme="minorHAnsi"/>
        </w:rPr>
        <w:t>°</w:t>
      </w:r>
      <w:r w:rsidR="00C77BAC">
        <w:t xml:space="preserve">C is </w:t>
      </w:r>
      <w:r w:rsidR="005E6B1A">
        <w:t xml:space="preserve">purple and the tangent at 800 </w:t>
      </w:r>
      <w:r w:rsidR="005E6B1A">
        <w:rPr>
          <w:rFonts w:cstheme="minorHAnsi"/>
        </w:rPr>
        <w:t>°</w:t>
      </w:r>
      <w:r w:rsidR="005E6B1A">
        <w:t xml:space="preserve">C blue </w:t>
      </w:r>
      <w:proofErr w:type="gramStart"/>
      <w:r w:rsidR="005E6B1A">
        <w:t>respectively</w:t>
      </w:r>
      <w:bookmarkEnd w:id="497"/>
      <w:proofErr w:type="gramEnd"/>
    </w:p>
    <w:p w14:paraId="0579BAF0" w14:textId="77777777" w:rsidR="00007F6C" w:rsidRDefault="00007F6C" w:rsidP="00007F6C">
      <w:pPr>
        <w:pStyle w:val="Heading4"/>
        <w:jc w:val="both"/>
      </w:pPr>
      <w:r>
        <w:t>5.3.2.5</w:t>
      </w:r>
      <w:r>
        <w:tab/>
        <w:t>Comparison between the different current collector materials</w:t>
      </w:r>
    </w:p>
    <w:p w14:paraId="2A05456F" w14:textId="149843D6" w:rsidR="00007F6C" w:rsidRDefault="00007F6C" w:rsidP="00007F6C">
      <w:pPr>
        <w:jc w:val="both"/>
      </w:pPr>
      <w:r>
        <w:t>From inspection of initial Nyquist plot for a selected range of the samples showed immediately that the initial R</w:t>
      </w:r>
      <w:r>
        <w:rPr>
          <w:vertAlign w:val="subscript"/>
        </w:rPr>
        <w:t>P</w:t>
      </w:r>
      <w:r>
        <w:t xml:space="preserve"> of the Heraeus (Pt paste) coated sample was over twice that of the other three materials </w:t>
      </w:r>
      <w:r>
        <w:fldChar w:fldCharType="begin" w:fldLock="1"/>
      </w:r>
      <w:r w:rsidR="00D80A5D">
        <w:instrText>ADDIN CSL_CITATION {"citationItems":[{"id":"ITEM-1","itemData":{"DOI":"HET31101-0616-1","URL":"https://www.heraeus.com/media/media/het/doc_het/products_and_solutions_het_documents/thick_film/data_sheets_th/Fuel_Cell_Materials_Product_Feature.pdf","accessed":{"date-parts":[["2020","4","24"]]},"author":[{"dropping-particle":"","family":"Heraeus","given":"","non-dropping-particle":"","parse-names":false,"suffix":""}],"container-title":"Heraeus Thick Film Materials Fuel Cell Materials Technical Data Sheet","id":"ITEM-1","issued":{"date-parts":[["2020"]]},"page":"1-2","title":"Fuel Cell Materials Technical Data Sheet","type":"webpage"},"uris":["http://www.mendeley.com/documents/?uuid=28700d51-d7ae-47d0-8f4d-5257bdc16502"]}],"mendeley":{"formattedCitation":"[317]","plainTextFormattedCitation":"[317]","previouslyFormattedCitation":"[317]"},"properties":{"noteIndex":0},"schema":"https://github.com/citation-style-language/schema/raw/master/csl-citation.json"}</w:instrText>
      </w:r>
      <w:r>
        <w:fldChar w:fldCharType="separate"/>
      </w:r>
      <w:r w:rsidR="006C586A" w:rsidRPr="006C586A">
        <w:rPr>
          <w:noProof/>
        </w:rPr>
        <w:t>[317]</w:t>
      </w:r>
      <w:r>
        <w:fldChar w:fldCharType="end"/>
      </w:r>
      <w:r>
        <w:t xml:space="preserve">. This trend continued across the </w:t>
      </w:r>
      <w:proofErr w:type="gramStart"/>
      <w:r>
        <w:t>50 h</w:t>
      </w:r>
      <w:proofErr w:type="gramEnd"/>
      <w:r>
        <w:t xml:space="preserve"> ageing period, illustrating that the Pt paste is unsuitable for the electrochemical assessment of the infiltrated Ni-YSZ fuel electrodes.</w:t>
      </w:r>
    </w:p>
    <w:p w14:paraId="2925C7EB" w14:textId="05C68899" w:rsidR="00007F6C" w:rsidRDefault="00007F6C" w:rsidP="00007F6C">
      <w:pPr>
        <w:jc w:val="both"/>
      </w:pPr>
      <w:r>
        <w:t>These initial measurements except for the nickel current collector sample match the resistivities for each of the metals in terms of magnitude. The trend from the literature illustrates that the electrical resistivity drops by over 70% under a reductive H</w:t>
      </w:r>
      <w:r>
        <w:rPr>
          <w:vertAlign w:val="subscript"/>
        </w:rPr>
        <w:t>2</w:t>
      </w:r>
      <w:r>
        <w:t xml:space="preserve"> atmosphere. In the case of the nickel samples a key reason for this is that the reductive atmosphere hinders the formation of nickel oxide, an issue less prevalent for the precious metals </w:t>
      </w:r>
      <w:r>
        <w:fldChar w:fldCharType="begin" w:fldLock="1"/>
      </w:r>
      <w:r w:rsidR="008446C6">
        <w:instrText>ADDIN CSL_CITATION {"citationItems":[{"id":"ITEM-1","itemData":{"DOI":"10.1007/978-1-4419-9792-0_61","ISBN":"21915644 (ISSN); 9781441994974 (ISBN)","abstract":"Planar Solid Oxide Fuel Cells (SOFCs) are composed of multiple layers of dissimilar materials. Interfaces between the different components that make up an SOFC play an important role in the performance and robustness of the cells and stacks. The present study involves the characterization of electrode-electrolyte interfaces in solid SOFCs. Stud-pull test fixture was constructed and mounted on a servo-electric load frame to examine the anode-electrolyte interface. The stud-pull specimens were made of NiO-GDC/Ni-YSZ anodes and ScSZ electrodes and were reduced in either forming gas (5% H 2) or H2 fuel. The test was not successful in separating anode from the electrolyte consistently and was inconclusive due to infiltration of glue into the porous anode which changed the interfacial strength significantly. In the Next step the notched four-point bend experiment was utilized to determine the fracture energy at the interface between the anode and the electrolyte. Crack propagation was monitored with acoustic emission and videography. Specimens for the bend experiments consist of unreduced NiO-GDC/Ni-YSZ anode and ScSZ electrolyte bi-layers sandwiched between steel stiffeners. The microstructure was studied using scanning electron microscopy (SEM). ©2010 Society for Experimental Mechanics Inc.","author":[{"dropping-particle":"","family":"Akanda","given":"S.","non-dropping-particle":"","parse-names":false,"suffix":""},{"dropping-particle":"","family":"Walter","given":"M. E.","non-dropping-particle":"","parse-names":false,"suffix":""}],"container-title":"2010 Annual Conference on Experimental and Applied Mechanics","id":"ITEM-1","issued":{"date-parts":[["2011"]]},"language":"English","note":"Conference code: 87452\nExport Date: 20 January 2017\nCorrespondence Address: Akanda, S.; Ohio State University, Columbus, OH 43210, United States\nReferences: Blum, L., Buchkremer, H.-P., Gross, S., Gubner, A., De Haart, L.G.J., Nabielek, H., Quadakkers, W.J., Vinke, I.C., Solid oxide fuel cell development at Forschungszentrum Juelich (2007) Fuel Cells, 7 (3), pp. 204-210. , DOI 10.1002/fuce.200600039; Haile, S.M., Fuel cell materials and components (2003) Acta Materialia, 51, pp. 5981-6000; Wincewicz, K.C., Cooper, J.S., Taxonomies of SOFC material and manufacturing alternatives (2005) Journal of Power Sources, 14, pp. 280-296; Li, W., Hasinska, K., Seabaugh, M., Swartz, S., Lannutti, J.J., Curvature in Solid Oxide Fuel Cells (2005) J Power Sources, 138, pp. 145-155; Recknagle, K.P., Williford, R.E., Chick, L.A., Rector, D.R., Khaleel, M.A., Three-dimensional thermo-fluid electrochemical modeling of planar SOFC stacks (2003) Journal of Power Sources, 113 (1), pp. 109-114. , DOI 10.1016/S0378-7753(02)00487-1; Malzbender, J., Wessel, E., Steinbrech, R.W., Reduction and re-oxidation of anodes for solid oxide fuel cells (2005) Solid State Ionics, 176 (29-30), pp. 2201-2203. , DOI 10.1016/j.ssi.2005.06.014; Zhang, Y., Liu, B., Tu, B., Dong, Y., Cheng, M., Redox cycling of Ni-YSZ anode investigated by TPR technique (2005) Solid State Ionics, 176 (29-30), pp. 2193-2199. , DOI 10.1016/j.ssi.2005.06.016; Waldbilling, D., Wood, A., Ivey, D.G., Electrochemical and microstructural characterization of the redox tolerance of solid oxide fuel cell anodes (2005) Journal of Power Source, 145, pp. 206-215; Fouquet, D., Muller, A.C., Weber, A., Ives-Tiffee, E., Kinetics of Oxidation and Reduction of Ni/YSZ Cermets (2003) IONICS -KIEL, 9 (1-2), pp. 103-108; Cassidy, M., Lindsay, G., Kendall, K., The reduction of nickel-zirconia cermet anodes and the effects on supported thin electrolytes (1996) Journal of Power Sources, 61 (1-2), pp. 189-192. , PII S0378775396023592; Seabaugh, M.M., (2007) Discussion of Anode-Supported and Electrolyte-Supported SOFC Designs, , September 20, Personal Communication; Sarantaridis, D., Atkinson, A., Redox cycling of Ni-based solid oxide fuel cell anodes: A review (2007) Fuel Cells, 7 (3), pp. 246-258. , DOI 10.1002/fuce.200600028; Steinberger-Wilckens, R., Haart, L.G.J.D., Vinke, I.C., Blum, L., Cramer, A., Remmel, J., Blass, G., Quadakkers, W.J., Recent Results of SOFC Stack Development at Forschungszentrum Jülich (2003) Proc. SOFC VIII, Proceedings of the 8th International Symposium on SOFCs, pp. 98-104; Charalambides, P.G., Lunds, J., Evans, A.G., McMeeking, R.A., A Test Specimen for determining the Fracture Resistance of Bimaterial Interfaces (1989) Journal of Applied Mechanics, 56, pp. 77-82; Hofinger, I., Oechsner, M., Bahr, H.A., Swain, V.M., Modified four point bending specimen for determining the interface fracture energy for thin brittle layers (1998) International Journal of Fracture, 92, pp. 213-220; Howard, S.G., Tsui, Y.C., Clyne, W.T., The Effect of Residual Stress on the Debonding of Coating-I, Model for Delamination at A Bimaterial Interface (1994) Acta Metall. Mater., 42, p. 2823; Yamazaki, Y., Schmidt, A., Scholz, A., The determination of the delamination resistance in thermal barrier coating system by four-point bending tests (2006) Surface and Coatings Technology, 201 (3-4), pp. 744-754. , DOI 10.1016/j.surfcoat.2005.12.023, PII S0257897205013903; Tsui, Y.C., Clyne, T.W., An analytical model for predicting residual stresses in progressively deposited coatings: Part 1: Planar geometry (1997) Thin Solid Films, 306 (1), pp. 23-33. , PII S0040609097001995","page":"373-382","publisher-place":"Indianapolis, IN","title":"Characterization of Electrode-Electrolyte Interface Strengths in SOFCs","type":"paper-conference","volume":"6"},"uris":["http://www.mendeley.com/documents/?uuid=e8715b88-e66b-417a-98a8-adb46e8455ab"]}],"mendeley":{"formattedCitation":"[470]","plainTextFormattedCitation":"[470]","previouslyFormattedCitation":"[470]"},"properties":{"noteIndex":0},"schema":"https://github.com/citation-style-language/schema/raw/master/csl-citation.json"}</w:instrText>
      </w:r>
      <w:r>
        <w:fldChar w:fldCharType="separate"/>
      </w:r>
      <w:r w:rsidR="00A77A83" w:rsidRPr="00A77A83">
        <w:rPr>
          <w:noProof/>
        </w:rPr>
        <w:t>[470]</w:t>
      </w:r>
      <w:r>
        <w:fldChar w:fldCharType="end"/>
      </w:r>
      <w:r>
        <w:t xml:space="preserve">.  Despite its reported electrical resistivity under hydrogen exceeding the ag and au, the nickel oxide paste produced the second lowest initial Polarisation resistance of all of the current collector materials </w:t>
      </w:r>
      <w:r>
        <w:fldChar w:fldCharType="begin" w:fldLock="1"/>
      </w:r>
      <w:r w:rsidR="00151775">
        <w:instrText>ADDIN CSL_CITATION {"citationItems":[{"id":"ITEM-1","itemData":{"DOI":"10.1016/j.ijhydene.2010.10.034","ISSN":"03603199","abstract":"Planar electrolyte supported solid oxide fuel cells were operated at 900 °C with humidified H2 for 200 h using silver mesh and paste for cathode current collection. Continuous potentiostatic tests at 0.7 V appeared to induce migration of Ag towards electrode-electrolyte interphase, while continuous OCV tests caused no mass transport. Similar SOFCs fueled by coal syngas at 850 °C using Ag for both anode and cathode current collection indicated little, if any, Ag migration; providing the possibility of employing Ag for 100 h laboratory scale tests using coal-derived syngas. Use of high temperature steam, carbon dioxide and carbon monoxide did not result in the formation of silver carbonates. © 2010 Professor T. Nejat Veziroglu. Published by Elsevier Ltd. All rights reserved.","author":[{"dropping-particle":"","family":"Silva","given":"K. Channa R.","non-dropping-particle":"De","parse-names":false,"suffix":""},{"dropping-particle":"","family":"Kaseman","given":"Brian J.","non-dropping-particle":"","parse-names":false,"suffix":""},{"dropping-particle":"","family":"Bayless","given":"David J.","non-dropping-particle":"","parse-names":false,"suffix":""}],"container-title":"International Journal of Hydrogen Energy","id":"ITEM-1","issue":"1","issued":{"date-parts":[["2011"]]},"page":"779-786","publisher":"Elsevier Ltd","title":"Silver (Ag) as anode and cathode current collectors in high temperature planar solid oxide fuel cells","type":"article-journal","volume":"36"},"uris":["http://www.mendeley.com/documents/?uuid=bd402a07-bd27-4f1d-8c84-bff96b54702e"]}],"mendeley":{"formattedCitation":"[433]","plainTextFormattedCitation":"[433]","previouslyFormattedCitation":"[433]"},"properties":{"noteIndex":0},"schema":"https://github.com/citation-style-language/schema/raw/master/csl-citation.json"}</w:instrText>
      </w:r>
      <w:r>
        <w:fldChar w:fldCharType="separate"/>
      </w:r>
      <w:r w:rsidR="008B6E91" w:rsidRPr="008B6E91">
        <w:rPr>
          <w:noProof/>
        </w:rPr>
        <w:t>[433]</w:t>
      </w:r>
      <w:r>
        <w:fldChar w:fldCharType="end"/>
      </w:r>
      <w:r>
        <w:t>.</w:t>
      </w:r>
    </w:p>
    <w:p w14:paraId="2973510C" w14:textId="0E0AB5CA" w:rsidR="00007F6C" w:rsidRPr="001D65EF" w:rsidRDefault="00007F6C" w:rsidP="00007F6C">
      <w:pPr>
        <w:pStyle w:val="Caption"/>
        <w:keepNext/>
        <w:rPr>
          <w:i w:val="0"/>
          <w:iCs w:val="0"/>
        </w:rPr>
      </w:pPr>
      <w:r>
        <w:t>Table 5.</w:t>
      </w:r>
      <w:r w:rsidR="00B51F53">
        <w:fldChar w:fldCharType="begin"/>
      </w:r>
      <w:r w:rsidR="00B51F53">
        <w:instrText xml:space="preserve"> SEQ Table \* ARABIC </w:instrText>
      </w:r>
      <w:r w:rsidR="00B51F53">
        <w:fldChar w:fldCharType="separate"/>
      </w:r>
      <w:r w:rsidR="0022061C">
        <w:rPr>
          <w:noProof/>
        </w:rPr>
        <w:t>10</w:t>
      </w:r>
      <w:r w:rsidR="00B51F53">
        <w:rPr>
          <w:noProof/>
        </w:rPr>
        <w:fldChar w:fldCharType="end"/>
      </w:r>
      <w:r>
        <w:t xml:space="preserve">: Table of the electrical resistivity values and initial polarisation resistance for the metal current collector materials under air and hydrogen atmospheres at 800 </w:t>
      </w:r>
      <w:r>
        <w:rPr>
          <w:rFonts w:cstheme="minorHAnsi"/>
        </w:rPr>
        <w:t>°</w:t>
      </w:r>
      <w:r>
        <w:t xml:space="preserve">C/1073 K  </w:t>
      </w:r>
      <w:r>
        <w:fldChar w:fldCharType="begin" w:fldLock="1"/>
      </w:r>
      <w:r w:rsidR="008446C6">
        <w:instrText>ADDIN CSL_CITATION {"citationItems":[{"id":"ITEM-1","itemData":{"DOI":"10.1016/j.ijhydene.2010.10.034","ISSN":"03603199","abstract":"Planar electrolyte supported solid oxide fuel cells were operated at 900 °C with humidified H2 for 200 h using silver mesh and paste for cathode current collection. Continuous potentiostatic tests at 0.7 V appeared to induce migration of Ag towards electrode-electrolyte interphase, while continuous OCV tests caused no mass transport. Similar SOFCs fueled by coal syngas at 850 °C using Ag for both anode and cathode current collection indicated little, if any, Ag migration; providing the possibility of employing Ag for 100 h laboratory scale tests using coal-derived syngas. Use of high temperature steam, carbon dioxide and carbon monoxide did not result in the formation of silver carbonates. © 2010 Professor T. Nejat Veziroglu. Published by Elsevier Ltd. All rights reserved.","author":[{"dropping-particle":"","family":"Silva","given":"K. Channa R.","non-dropping-particle":"De","parse-names":false,"suffix":""},{"dropping-particle":"","family":"Kaseman","given":"Brian J.","non-dropping-particle":"","parse-names":false,"suffix":""},{"dropping-particle":"","family":"Bayless","given":"David J.","non-dropping-particle":"","parse-names":false,"suffix":""}],"container-title":"International Journal of Hydrogen Energy","id":"ITEM-1","issue":"1","issued":{"date-parts":[["2011"]]},"page":"779-786","publisher":"Elsevier Ltd","title":"Silver (Ag) as anode and cathode current collectors in high temperature planar solid oxide fuel cells","type":"article-journal","volume":"36"},"uris":["http://www.mendeley.com/documents/?uuid=bd402a07-bd27-4f1d-8c84-bff96b54702e"]},{"id":"ITEM-2","itemData":{"DOI":"10.5772/65465","ISBN":"9535131435","author":[{"dropping-particle":"","family":"Laszlo Nanai","given":"","non-dropping-particle":"","parse-names":false,"suffix":""}],"container-title":"Nanoscaled Films and Layers","id":"ITEM-2","issued":{"date-parts":[["2017"]]},"page":"38-39","title":"Nanoscaled Films and Layers","type":"chapter"},"uris":["http://www.mendeley.com/documents/?uuid=603f0969-5896-473a-ad97-618407bf11c7","http://www.mendeley.com/documents/?uuid=0d00e655-868b-4333-8f85-121bdd482612"]},{"id":"ITEM-3","itemData":{"author":[{"dropping-particle":"","family":"Matula","given":"R. A.","non-dropping-particle":"","parse-names":false,"suffix":""}],"container-title":"J. Phys. Chem","id":"ITEM-3","issue":"4","issued":{"date-parts":[["1979"]]},"page":"1147","title":"Electrical Resistivity of Cu, Au, Pd, and Ag","type":"article","volume":"6"},"uris":["http://www.mendeley.com/documents/?uuid=bc0f4304-da3c-4096-8078-82205da1c3f9","http://www.mendeley.com/documents/?uuid=1d47d866-89e0-43e8-88ef-6f23424dd094"]},{"id":"ITEM-4","itemData":{"DOI":"10.1595/205651315X688091","ISSN":"20565135","abstract":"Electrical resistivity values for both the solid and liquid phases of the platinum group metals (pgms) palladium and platinum are evaluated. In particular improved values are obtained for the liquid phases of these metals. Previous reviews on electrical resistivity which included evaluations for the pgms included those of Meaden (1), Bass (2), Savitskii et al. (3) and Binkele and Brunen (4) as well as individual reviews by Matula (5) on palladium and White (6) on platinum.","author":[{"dropping-particle":"","family":"Arblaster","given":"John W.","non-dropping-particle":"","parse-names":false,"suffix":""}],"container-title":"Johnson Matthey Technology Review","id":"ITEM-4","issue":"3","issued":{"date-parts":[["2015"]]},"page":"174-181","title":"Selected electrical resistivity values for the platinum group of metals part i: Palladium and platinum","type":"article-journal","volume":"59"},"uris":["http://www.mendeley.com/documents/?uuid=cd02a0bd-3c9a-4b0b-808f-180cc50061dc","http://www.mendeley.com/documents/?uuid=6816bb0c-6c6e-42e2-9bd1-f52876160d6c"]},{"id":"ITEM-5","itemData":{"author":[{"dropping-particle":"","family":"Chu","given":"T.K.","non-dropping-particle":"","parse-names":false,"suffix":""},{"dropping-particle":"","family":"Ho","given":"C. Y.","non-dropping-particle":"","parse-names":false,"suffix":""}],"container-title":"Office of Standard Reference Data","id":"ITEM-5","issue":"AD A1 29078","issued":{"date-parts":[["1982"]]},"number-of-pages":"117-42","title":"Electrical Resistivity of Chromium, Cobalt, Iron and Nickel","type":"report","volume":"AD A1 2907"},"uris":["http://www.mendeley.com/documents/?uuid=e68d6146-01c7-4dc0-b15f-a6de5363235c","http://www.mendeley.com/documents/?uuid=75b4a84e-67e6-466b-b225-1dd7282d9228"]}],"mendeley":{"formattedCitation":"[433], [457], [458], [464], [471]","plainTextFormattedCitation":"[433], [457], [458], [464], [471]","previouslyFormattedCitation":"[433], [457], [458], [464], [471]"},"properties":{"noteIndex":0},"schema":"https://github.com/citation-style-language/schema/raw/master/csl-citation.json"}</w:instrText>
      </w:r>
      <w:r>
        <w:fldChar w:fldCharType="separate"/>
      </w:r>
      <w:r w:rsidR="00A77A83" w:rsidRPr="00A77A83">
        <w:rPr>
          <w:i w:val="0"/>
          <w:noProof/>
        </w:rPr>
        <w:t>[433], [457], [458], [464], [471]</w:t>
      </w:r>
      <w:r>
        <w:fldChar w:fldCharType="end"/>
      </w:r>
    </w:p>
    <w:tbl>
      <w:tblPr>
        <w:tblStyle w:val="TableGrid"/>
        <w:tblW w:w="0" w:type="auto"/>
        <w:jc w:val="center"/>
        <w:tblLook w:val="04A0" w:firstRow="1" w:lastRow="0" w:firstColumn="1" w:lastColumn="0" w:noHBand="0" w:noVBand="1"/>
      </w:tblPr>
      <w:tblGrid>
        <w:gridCol w:w="1035"/>
        <w:gridCol w:w="2275"/>
        <w:gridCol w:w="2275"/>
        <w:gridCol w:w="1817"/>
        <w:gridCol w:w="1614"/>
      </w:tblGrid>
      <w:tr w:rsidR="00007F6C" w14:paraId="66A89111" w14:textId="77777777" w:rsidTr="005E2F1E">
        <w:trPr>
          <w:jc w:val="center"/>
        </w:trPr>
        <w:tc>
          <w:tcPr>
            <w:tcW w:w="1035" w:type="dxa"/>
          </w:tcPr>
          <w:p w14:paraId="47F9088F" w14:textId="77777777" w:rsidR="00007F6C" w:rsidRPr="004A54C5" w:rsidRDefault="00007F6C" w:rsidP="005E2F1E">
            <w:pPr>
              <w:jc w:val="both"/>
              <w:rPr>
                <w:b/>
                <w:bCs/>
              </w:rPr>
            </w:pPr>
            <w:r w:rsidRPr="004A54C5">
              <w:rPr>
                <w:b/>
                <w:bCs/>
              </w:rPr>
              <w:t>Current Collector Material</w:t>
            </w:r>
          </w:p>
        </w:tc>
        <w:tc>
          <w:tcPr>
            <w:tcW w:w="2275" w:type="dxa"/>
          </w:tcPr>
          <w:p w14:paraId="37CA2F90" w14:textId="77777777" w:rsidR="00007F6C" w:rsidRPr="004A54C5" w:rsidRDefault="00007F6C" w:rsidP="005E2F1E">
            <w:pPr>
              <w:jc w:val="both"/>
              <w:rPr>
                <w:b/>
                <w:bCs/>
              </w:rPr>
            </w:pPr>
            <w:r w:rsidRPr="004A54C5">
              <w:rPr>
                <w:b/>
                <w:bCs/>
              </w:rPr>
              <w:t>Electrical Resistivity under Air</w:t>
            </w:r>
          </w:p>
          <w:p w14:paraId="628F8A71" w14:textId="77777777" w:rsidR="00007F6C" w:rsidRPr="004A54C5" w:rsidRDefault="00007F6C" w:rsidP="005E2F1E">
            <w:pPr>
              <w:jc w:val="both"/>
              <w:rPr>
                <w:b/>
                <w:bCs/>
              </w:rPr>
            </w:pPr>
            <w:r w:rsidRPr="004A54C5">
              <w:rPr>
                <w:b/>
                <w:bCs/>
              </w:rPr>
              <w:t>[x10</w:t>
            </w:r>
            <w:r w:rsidRPr="004A54C5">
              <w:rPr>
                <w:b/>
                <w:bCs/>
                <w:vertAlign w:val="superscript"/>
              </w:rPr>
              <w:t>-8</w:t>
            </w:r>
            <w:r w:rsidRPr="004A54C5">
              <w:rPr>
                <w:b/>
                <w:bCs/>
              </w:rPr>
              <w:t xml:space="preserve"> </w:t>
            </w:r>
            <w:proofErr w:type="spellStart"/>
            <w:r w:rsidRPr="004A54C5">
              <w:rPr>
                <w:rFonts w:cstheme="minorHAnsi"/>
                <w:b/>
                <w:bCs/>
              </w:rPr>
              <w:t>Ω</w:t>
            </w:r>
            <w:r w:rsidRPr="004A54C5">
              <w:rPr>
                <w:b/>
                <w:bCs/>
              </w:rPr>
              <w:t>m</w:t>
            </w:r>
            <w:proofErr w:type="spellEnd"/>
            <w:r w:rsidRPr="004A54C5">
              <w:rPr>
                <w:b/>
                <w:bCs/>
              </w:rPr>
              <w:t>]</w:t>
            </w:r>
          </w:p>
        </w:tc>
        <w:tc>
          <w:tcPr>
            <w:tcW w:w="2275" w:type="dxa"/>
          </w:tcPr>
          <w:p w14:paraId="37BEF6CE" w14:textId="77777777" w:rsidR="00007F6C" w:rsidRPr="004A54C5" w:rsidRDefault="00007F6C" w:rsidP="005E2F1E">
            <w:pPr>
              <w:jc w:val="both"/>
              <w:rPr>
                <w:b/>
                <w:bCs/>
                <w:vertAlign w:val="subscript"/>
              </w:rPr>
            </w:pPr>
            <w:r w:rsidRPr="004A54C5">
              <w:rPr>
                <w:b/>
                <w:bCs/>
              </w:rPr>
              <w:t>Electrical Resistivity under H</w:t>
            </w:r>
            <w:r w:rsidRPr="004A54C5">
              <w:rPr>
                <w:b/>
                <w:bCs/>
                <w:vertAlign w:val="subscript"/>
              </w:rPr>
              <w:t>2</w:t>
            </w:r>
          </w:p>
          <w:p w14:paraId="340F09F0" w14:textId="77777777" w:rsidR="00007F6C" w:rsidRPr="004A54C5" w:rsidRDefault="00007F6C" w:rsidP="005E2F1E">
            <w:pPr>
              <w:jc w:val="both"/>
              <w:rPr>
                <w:b/>
                <w:bCs/>
              </w:rPr>
            </w:pPr>
            <w:r w:rsidRPr="004A54C5">
              <w:rPr>
                <w:b/>
                <w:bCs/>
              </w:rPr>
              <w:t>[x10</w:t>
            </w:r>
            <w:r w:rsidRPr="004A54C5">
              <w:rPr>
                <w:b/>
                <w:bCs/>
                <w:vertAlign w:val="superscript"/>
              </w:rPr>
              <w:t>-8</w:t>
            </w:r>
            <w:r w:rsidRPr="004A54C5">
              <w:rPr>
                <w:b/>
                <w:bCs/>
              </w:rPr>
              <w:t xml:space="preserve"> </w:t>
            </w:r>
            <w:proofErr w:type="spellStart"/>
            <w:r w:rsidRPr="004A54C5">
              <w:rPr>
                <w:rFonts w:cstheme="minorHAnsi"/>
                <w:b/>
                <w:bCs/>
              </w:rPr>
              <w:t>Ω</w:t>
            </w:r>
            <w:r w:rsidRPr="004A54C5">
              <w:rPr>
                <w:b/>
                <w:bCs/>
              </w:rPr>
              <w:t>m</w:t>
            </w:r>
            <w:proofErr w:type="spellEnd"/>
            <w:r w:rsidRPr="004A54C5">
              <w:rPr>
                <w:b/>
                <w:bCs/>
              </w:rPr>
              <w:t>]</w:t>
            </w:r>
          </w:p>
        </w:tc>
        <w:tc>
          <w:tcPr>
            <w:tcW w:w="1817" w:type="dxa"/>
          </w:tcPr>
          <w:p w14:paraId="3FFD1281" w14:textId="77777777" w:rsidR="00007F6C" w:rsidRDefault="00007F6C" w:rsidP="005E2F1E">
            <w:pPr>
              <w:jc w:val="both"/>
              <w:rPr>
                <w:b/>
                <w:bCs/>
              </w:rPr>
            </w:pPr>
            <w:r>
              <w:rPr>
                <w:b/>
                <w:bCs/>
              </w:rPr>
              <w:t>Initial Polarisation Resistance, R</w:t>
            </w:r>
            <w:r>
              <w:rPr>
                <w:b/>
                <w:bCs/>
                <w:vertAlign w:val="subscript"/>
              </w:rPr>
              <w:t>P</w:t>
            </w:r>
          </w:p>
          <w:p w14:paraId="6ABBC24A" w14:textId="77777777" w:rsidR="00007F6C" w:rsidRPr="001D7EA6" w:rsidRDefault="00007F6C" w:rsidP="005E2F1E">
            <w:pPr>
              <w:jc w:val="both"/>
              <w:rPr>
                <w:b/>
                <w:bCs/>
              </w:rPr>
            </w:pPr>
            <w:r>
              <w:rPr>
                <w:b/>
                <w:bCs/>
              </w:rPr>
              <w:t>[</w:t>
            </w:r>
            <w:r w:rsidRPr="004A54C5">
              <w:rPr>
                <w:rFonts w:cstheme="minorHAnsi"/>
                <w:b/>
                <w:bCs/>
              </w:rPr>
              <w:t>Ω</w:t>
            </w:r>
            <w:r>
              <w:rPr>
                <w:rFonts w:cstheme="minorHAnsi"/>
                <w:b/>
                <w:bCs/>
              </w:rPr>
              <w:t>cm</w:t>
            </w:r>
            <w:r>
              <w:rPr>
                <w:rFonts w:cstheme="minorHAnsi"/>
                <w:b/>
                <w:bCs/>
                <w:vertAlign w:val="superscript"/>
              </w:rPr>
              <w:t>-2</w:t>
            </w:r>
            <w:r>
              <w:rPr>
                <w:b/>
                <w:bCs/>
              </w:rPr>
              <w:t>]</w:t>
            </w:r>
          </w:p>
        </w:tc>
        <w:tc>
          <w:tcPr>
            <w:tcW w:w="1614" w:type="dxa"/>
          </w:tcPr>
          <w:p w14:paraId="40199282" w14:textId="77777777" w:rsidR="00007F6C" w:rsidRDefault="00007F6C" w:rsidP="005E2F1E">
            <w:pPr>
              <w:jc w:val="both"/>
              <w:rPr>
                <w:b/>
                <w:bCs/>
              </w:rPr>
            </w:pPr>
            <w:r>
              <w:rPr>
                <w:b/>
                <w:bCs/>
              </w:rPr>
              <w:t>50 h aged Polarisation Resistance, R</w:t>
            </w:r>
            <w:r>
              <w:rPr>
                <w:b/>
                <w:bCs/>
                <w:vertAlign w:val="subscript"/>
              </w:rPr>
              <w:t>P</w:t>
            </w:r>
          </w:p>
          <w:p w14:paraId="30166835" w14:textId="77777777" w:rsidR="00007F6C" w:rsidRDefault="00007F6C" w:rsidP="005E2F1E">
            <w:pPr>
              <w:jc w:val="both"/>
              <w:rPr>
                <w:b/>
                <w:bCs/>
              </w:rPr>
            </w:pPr>
            <w:r>
              <w:rPr>
                <w:b/>
                <w:bCs/>
              </w:rPr>
              <w:t>[</w:t>
            </w:r>
            <w:r w:rsidRPr="004A54C5">
              <w:rPr>
                <w:rFonts w:cstheme="minorHAnsi"/>
                <w:b/>
                <w:bCs/>
              </w:rPr>
              <w:t>Ω</w:t>
            </w:r>
            <w:r>
              <w:rPr>
                <w:rFonts w:cstheme="minorHAnsi"/>
                <w:b/>
                <w:bCs/>
              </w:rPr>
              <w:t>cm</w:t>
            </w:r>
            <w:r>
              <w:rPr>
                <w:rFonts w:cstheme="minorHAnsi"/>
                <w:b/>
                <w:bCs/>
                <w:vertAlign w:val="superscript"/>
              </w:rPr>
              <w:t>-2</w:t>
            </w:r>
            <w:r>
              <w:rPr>
                <w:b/>
                <w:bCs/>
              </w:rPr>
              <w:t>]</w:t>
            </w:r>
          </w:p>
        </w:tc>
      </w:tr>
      <w:tr w:rsidR="00007F6C" w14:paraId="2EF3ABB7" w14:textId="77777777" w:rsidTr="005E2F1E">
        <w:trPr>
          <w:jc w:val="center"/>
        </w:trPr>
        <w:tc>
          <w:tcPr>
            <w:tcW w:w="1035" w:type="dxa"/>
          </w:tcPr>
          <w:p w14:paraId="6BD234E1" w14:textId="77777777" w:rsidR="00007F6C" w:rsidRDefault="00007F6C" w:rsidP="005E2F1E">
            <w:pPr>
              <w:jc w:val="both"/>
            </w:pPr>
            <w:r>
              <w:t>Ag</w:t>
            </w:r>
          </w:p>
        </w:tc>
        <w:tc>
          <w:tcPr>
            <w:tcW w:w="2275" w:type="dxa"/>
          </w:tcPr>
          <w:p w14:paraId="7A4397AB" w14:textId="7D1DF156" w:rsidR="00007F6C" w:rsidRDefault="00007F6C" w:rsidP="005E2F1E">
            <w:pPr>
              <w:jc w:val="right"/>
            </w:pPr>
            <w:r>
              <w:t xml:space="preserve">6.99 </w:t>
            </w:r>
            <w:r>
              <w:fldChar w:fldCharType="begin" w:fldLock="1"/>
            </w:r>
            <w:r w:rsidR="00151775">
              <w:instrText>ADDIN CSL_CITATION {"citationItems":[{"id":"ITEM-1","itemData":{"author":[{"dropping-particle":"","family":"Matula","given":"R. A.","non-dropping-particle":"","parse-names":false,"suffix":""}],"container-title":"J. Phys. Chem","id":"ITEM-1","issue":"4","issued":{"date-parts":[["1979"]]},"page":"1147","title":"Electrical Resistivity of Cu, Au, Pd, and Ag","type":"article","volume":"6"},"uris":["http://www.mendeley.com/documents/?uuid=1d47d866-89e0-43e8-88ef-6f23424dd094","http://www.mendeley.com/documents/?uuid=bc0f4304-da3c-4096-8078-82205da1c3f9"]}],"mendeley":{"formattedCitation":"[457]","plainTextFormattedCitation":"[457]","previouslyFormattedCitation":"[457]"},"properties":{"noteIndex":0},"schema":"https://github.com/citation-style-language/schema/raw/master/csl-citation.json"}</w:instrText>
            </w:r>
            <w:r>
              <w:fldChar w:fldCharType="separate"/>
            </w:r>
            <w:r w:rsidR="008B6E91" w:rsidRPr="008B6E91">
              <w:rPr>
                <w:noProof/>
              </w:rPr>
              <w:t>[457]</w:t>
            </w:r>
            <w:r>
              <w:fldChar w:fldCharType="end"/>
            </w:r>
          </w:p>
        </w:tc>
        <w:tc>
          <w:tcPr>
            <w:tcW w:w="2275" w:type="dxa"/>
          </w:tcPr>
          <w:p w14:paraId="0E1E65BF" w14:textId="327A517D" w:rsidR="00007F6C" w:rsidRDefault="00007F6C" w:rsidP="005E2F1E">
            <w:pPr>
              <w:jc w:val="right"/>
            </w:pPr>
            <w:r>
              <w:t xml:space="preserve">1.63   </w:t>
            </w:r>
            <w:r>
              <w:fldChar w:fldCharType="begin" w:fldLock="1"/>
            </w:r>
            <w:r w:rsidR="00151775">
              <w:instrText>ADDIN CSL_CITATION {"citationItems":[{"id":"ITEM-1","itemData":{"DOI":"10.1016/j.ijhydene.2010.10.034","ISSN":"03603199","abstract":"Planar electrolyte supported solid oxide fuel cells were operated at 900 °C with humidified H2 for 200 h using silver mesh and paste for cathode current collection. Continuous potentiostatic tests at 0.7 V appeared to induce migration of Ag towards electrode-electrolyte interphase, while continuous OCV tests caused no mass transport. Similar SOFCs fueled by coal syngas at 850 °C using Ag for both anode and cathode current collection indicated little, if any, Ag migration; providing the possibility of employing Ag for 100 h laboratory scale tests using coal-derived syngas. Use of high temperature steam, carbon dioxide and carbon monoxide did not result in the formation of silver carbonates. © 2010 Professor T. Nejat Veziroglu. Published by Elsevier Ltd. All rights reserved.","author":[{"dropping-particle":"","family":"Silva","given":"K. Channa R.","non-dropping-particle":"De","parse-names":false,"suffix":""},{"dropping-particle":"","family":"Kaseman","given":"Brian J.","non-dropping-particle":"","parse-names":false,"suffix":""},{"dropping-particle":"","family":"Bayless","given":"David J.","non-dropping-particle":"","parse-names":false,"suffix":""}],"container-title":"International Journal of Hydrogen Energy","id":"ITEM-1","issue":"1","issued":{"date-parts":[["2011"]]},"page":"779-786","publisher":"Elsevier Ltd","title":"Silver (Ag) as anode and cathode current collectors in high temperature planar solid oxide fuel cells","type":"article-journal","volume":"36"},"uris":["http://www.mendeley.com/documents/?uuid=bd402a07-bd27-4f1d-8c84-bff96b54702e"]}],"mendeley":{"formattedCitation":"[433]","plainTextFormattedCitation":"[433]","previouslyFormattedCitation":"[433]"},"properties":{"noteIndex":0},"schema":"https://github.com/citation-style-language/schema/raw/master/csl-citation.json"}</w:instrText>
            </w:r>
            <w:r>
              <w:fldChar w:fldCharType="separate"/>
            </w:r>
            <w:r w:rsidR="008B6E91" w:rsidRPr="008B6E91">
              <w:rPr>
                <w:noProof/>
              </w:rPr>
              <w:t>[433]</w:t>
            </w:r>
            <w:r>
              <w:fldChar w:fldCharType="end"/>
            </w:r>
          </w:p>
        </w:tc>
        <w:tc>
          <w:tcPr>
            <w:tcW w:w="1817" w:type="dxa"/>
          </w:tcPr>
          <w:p w14:paraId="3F321625" w14:textId="77777777" w:rsidR="00007F6C" w:rsidRDefault="00007F6C" w:rsidP="005E2F1E">
            <w:pPr>
              <w:jc w:val="right"/>
            </w:pPr>
            <w:r>
              <w:t>8.11</w:t>
            </w:r>
          </w:p>
        </w:tc>
        <w:tc>
          <w:tcPr>
            <w:tcW w:w="1614" w:type="dxa"/>
          </w:tcPr>
          <w:p w14:paraId="7F886766" w14:textId="77777777" w:rsidR="00007F6C" w:rsidRDefault="00007F6C" w:rsidP="005E2F1E">
            <w:pPr>
              <w:jc w:val="right"/>
            </w:pPr>
            <w:r>
              <w:t>48.19</w:t>
            </w:r>
          </w:p>
        </w:tc>
      </w:tr>
      <w:tr w:rsidR="00007F6C" w14:paraId="7B87F410" w14:textId="77777777" w:rsidTr="005E2F1E">
        <w:trPr>
          <w:jc w:val="center"/>
        </w:trPr>
        <w:tc>
          <w:tcPr>
            <w:tcW w:w="1035" w:type="dxa"/>
          </w:tcPr>
          <w:p w14:paraId="550F6877" w14:textId="77777777" w:rsidR="00007F6C" w:rsidRDefault="00007F6C" w:rsidP="005E2F1E">
            <w:pPr>
              <w:jc w:val="both"/>
            </w:pPr>
            <w:r>
              <w:t>Au</w:t>
            </w:r>
          </w:p>
        </w:tc>
        <w:tc>
          <w:tcPr>
            <w:tcW w:w="2275" w:type="dxa"/>
          </w:tcPr>
          <w:p w14:paraId="4B278707" w14:textId="0904D70A" w:rsidR="00007F6C" w:rsidRDefault="00007F6C" w:rsidP="005E2F1E">
            <w:pPr>
              <w:jc w:val="right"/>
            </w:pPr>
            <w:r>
              <w:t xml:space="preserve">9.84 </w:t>
            </w:r>
            <w:r>
              <w:fldChar w:fldCharType="begin" w:fldLock="1"/>
            </w:r>
            <w:r w:rsidR="00151775">
              <w:instrText>ADDIN CSL_CITATION {"citationItems":[{"id":"ITEM-1","itemData":{"author":[{"dropping-particle":"","family":"Matula","given":"R. A.","non-dropping-particle":"","parse-names":false,"suffix":""}],"container-title":"J. Phys. Chem","id":"ITEM-1","issue":"4","issued":{"date-parts":[["1979"]]},"page":"1147","title":"Electrical Resistivity of Cu, Au, Pd, and Ag","type":"article","volume":"6"},"uris":["http://www.mendeley.com/documents/?uuid=1d47d866-89e0-43e8-88ef-6f23424dd094","http://www.mendeley.com/documents/?uuid=bc0f4304-da3c-4096-8078-82205da1c3f9"]}],"mendeley":{"formattedCitation":"[457]","plainTextFormattedCitation":"[457]","previouslyFormattedCitation":"[457]"},"properties":{"noteIndex":0},"schema":"https://github.com/citation-style-language/schema/raw/master/csl-citation.json"}</w:instrText>
            </w:r>
            <w:r>
              <w:fldChar w:fldCharType="separate"/>
            </w:r>
            <w:r w:rsidR="008B6E91" w:rsidRPr="008B6E91">
              <w:rPr>
                <w:noProof/>
              </w:rPr>
              <w:t>[457]</w:t>
            </w:r>
            <w:r>
              <w:fldChar w:fldCharType="end"/>
            </w:r>
          </w:p>
        </w:tc>
        <w:tc>
          <w:tcPr>
            <w:tcW w:w="2275" w:type="dxa"/>
          </w:tcPr>
          <w:p w14:paraId="467403AA" w14:textId="687A5B33" w:rsidR="00007F6C" w:rsidRDefault="00007F6C" w:rsidP="005E2F1E">
            <w:pPr>
              <w:jc w:val="right"/>
            </w:pPr>
            <w:r>
              <w:t xml:space="preserve">2.20   </w:t>
            </w:r>
            <w:r>
              <w:fldChar w:fldCharType="begin" w:fldLock="1"/>
            </w:r>
            <w:r w:rsidR="008446C6">
              <w:instrText>ADDIN CSL_CITATION {"citationItems":[{"id":"ITEM-1","itemData":{"DOI":"10.5772/65465","ISBN":"9535131435","author":[{"dropping-particle":"","family":"Laszlo Nanai","given":"","non-dropping-particle":"","parse-names":false,"suffix":""}],"container-title":"Nanoscaled Films and Layers","id":"ITEM-1","issued":{"date-parts":[["2017"]]},"page":"38-39","title":"Nanoscaled Films and Layers","type":"chapter"},"uris":["http://www.mendeley.com/documents/?uuid=0d00e655-868b-4333-8f85-121bdd482612","http://www.mendeley.com/documents/?uuid=603f0969-5896-473a-ad97-618407bf11c7"]}],"mendeley":{"formattedCitation":"[471]","plainTextFormattedCitation":"[471]","previouslyFormattedCitation":"[471]"},"properties":{"noteIndex":0},"schema":"https://github.com/citation-style-language/schema/raw/master/csl-citation.json"}</w:instrText>
            </w:r>
            <w:r>
              <w:fldChar w:fldCharType="separate"/>
            </w:r>
            <w:r w:rsidR="00A77A83" w:rsidRPr="00A77A83">
              <w:rPr>
                <w:noProof/>
              </w:rPr>
              <w:t>[471]</w:t>
            </w:r>
            <w:r>
              <w:fldChar w:fldCharType="end"/>
            </w:r>
          </w:p>
        </w:tc>
        <w:tc>
          <w:tcPr>
            <w:tcW w:w="1817" w:type="dxa"/>
          </w:tcPr>
          <w:p w14:paraId="6BBD6EB7" w14:textId="77777777" w:rsidR="00007F6C" w:rsidRDefault="00007F6C" w:rsidP="005E2F1E">
            <w:pPr>
              <w:jc w:val="right"/>
            </w:pPr>
            <w:r>
              <w:t>18.09</w:t>
            </w:r>
          </w:p>
        </w:tc>
        <w:tc>
          <w:tcPr>
            <w:tcW w:w="1614" w:type="dxa"/>
          </w:tcPr>
          <w:p w14:paraId="5D4D5A24" w14:textId="77777777" w:rsidR="00007F6C" w:rsidRDefault="00007F6C" w:rsidP="005E2F1E">
            <w:pPr>
              <w:jc w:val="right"/>
            </w:pPr>
            <w:r>
              <w:t>N/A</w:t>
            </w:r>
          </w:p>
        </w:tc>
      </w:tr>
      <w:tr w:rsidR="00007F6C" w14:paraId="4F5705AE" w14:textId="77777777" w:rsidTr="005E2F1E">
        <w:trPr>
          <w:jc w:val="center"/>
        </w:trPr>
        <w:tc>
          <w:tcPr>
            <w:tcW w:w="1035" w:type="dxa"/>
          </w:tcPr>
          <w:p w14:paraId="29AAF39D" w14:textId="77777777" w:rsidR="00007F6C" w:rsidRDefault="00007F6C" w:rsidP="005E2F1E">
            <w:pPr>
              <w:jc w:val="both"/>
            </w:pPr>
            <w:r>
              <w:t>Pt</w:t>
            </w:r>
          </w:p>
        </w:tc>
        <w:tc>
          <w:tcPr>
            <w:tcW w:w="2275" w:type="dxa"/>
          </w:tcPr>
          <w:p w14:paraId="1E5093CC" w14:textId="2F93325E" w:rsidR="00007F6C" w:rsidRDefault="00007F6C" w:rsidP="005E2F1E">
            <w:pPr>
              <w:jc w:val="right"/>
            </w:pPr>
            <w:r>
              <w:t xml:space="preserve">37.71 </w:t>
            </w:r>
            <w:r>
              <w:fldChar w:fldCharType="begin" w:fldLock="1"/>
            </w:r>
            <w:r w:rsidR="00151775">
              <w:instrText>ADDIN CSL_CITATION {"citationItems":[{"id":"ITEM-1","itemData":{"DOI":"10.1595/205651315X688091","ISSN":"20565135","abstract":"Electrical resistivity values for both the solid and liquid phases of the platinum group metals (pgms) palladium and platinum are evaluated. In particular improved values are obtained for the liquid phases of these metals. Previous reviews on electrical resistivity which included evaluations for the pgms included those of Meaden (1), Bass (2), Savitskii et al. (3) and Binkele and Brunen (4) as well as individual reviews by Matula (5) on palladium and White (6) on platinum.","author":[{"dropping-particle":"","family":"Arblaster","given":"John W.","non-dropping-particle":"","parse-names":false,"suffix":""}],"container-title":"Johnson Matthey Technology Review","id":"ITEM-1","issue":"3","issued":{"date-parts":[["2015"]]},"page":"174-181","title":"Selected electrical resistivity values for the platinum group of metals part i: Palladium and platinum","type":"article-journal","volume":"59"},"uris":["http://www.mendeley.com/documents/?uuid=6816bb0c-6c6e-42e2-9bd1-f52876160d6c","http://www.mendeley.com/documents/?uuid=cd02a0bd-3c9a-4b0b-808f-180cc50061dc"]}],"mendeley":{"formattedCitation":"[464]","plainTextFormattedCitation":"[464]","previouslyFormattedCitation":"[464]"},"properties":{"noteIndex":0},"schema":"https://github.com/citation-style-language/schema/raw/master/csl-citation.json"}</w:instrText>
            </w:r>
            <w:r>
              <w:fldChar w:fldCharType="separate"/>
            </w:r>
            <w:r w:rsidR="008B6E91" w:rsidRPr="008B6E91">
              <w:rPr>
                <w:noProof/>
              </w:rPr>
              <w:t>[464]</w:t>
            </w:r>
            <w:r>
              <w:fldChar w:fldCharType="end"/>
            </w:r>
          </w:p>
        </w:tc>
        <w:tc>
          <w:tcPr>
            <w:tcW w:w="2275" w:type="dxa"/>
          </w:tcPr>
          <w:p w14:paraId="1442B0B6" w14:textId="00816F84" w:rsidR="00007F6C" w:rsidRDefault="00007F6C" w:rsidP="005E2F1E">
            <w:pPr>
              <w:jc w:val="right"/>
            </w:pPr>
            <w:r>
              <w:t xml:space="preserve">10.60   </w:t>
            </w:r>
            <w:r>
              <w:fldChar w:fldCharType="begin" w:fldLock="1"/>
            </w:r>
            <w:r w:rsidR="00151775">
              <w:instrText>ADDIN CSL_CITATION {"citationItems":[{"id":"ITEM-1","itemData":{"DOI":"10.1016/j.ijhydene.2010.10.034","ISSN":"03603199","abstract":"Planar electrolyte supported solid oxide fuel cells were operated at 900 °C with humidified H2 for 200 h using silver mesh and paste for cathode current collection. Continuous potentiostatic tests at 0.7 V appeared to induce migration of Ag towards electrode-electrolyte interphase, while continuous OCV tests caused no mass transport. Similar SOFCs fueled by coal syngas at 850 °C using Ag for both anode and cathode current collection indicated little, if any, Ag migration; providing the possibility of employing Ag for 100 h laboratory scale tests using coal-derived syngas. Use of high temperature steam, carbon dioxide and carbon monoxide did not result in the formation of silver carbonates. © 2010 Professor T. Nejat Veziroglu. Published by Elsevier Ltd. All rights reserved.","author":[{"dropping-particle":"","family":"Silva","given":"K. Channa R.","non-dropping-particle":"De","parse-names":false,"suffix":""},{"dropping-particle":"","family":"Kaseman","given":"Brian J.","non-dropping-particle":"","parse-names":false,"suffix":""},{"dropping-particle":"","family":"Bayless","given":"David J.","non-dropping-particle":"","parse-names":false,"suffix":""}],"container-title":"International Journal of Hydrogen Energy","id":"ITEM-1","issue":"1","issued":{"date-parts":[["2011"]]},"page":"779-786","publisher":"Elsevier Ltd","title":"Silver (Ag) as anode and cathode current collectors in high temperature planar solid oxide fuel cells","type":"article-journal","volume":"36"},"uris":["http://www.mendeley.com/documents/?uuid=bd402a07-bd27-4f1d-8c84-bff96b54702e"]}],"mendeley":{"formattedCitation":"[433]","plainTextFormattedCitation":"[433]","previouslyFormattedCitation":"[433]"},"properties":{"noteIndex":0},"schema":"https://github.com/citation-style-language/schema/raw/master/csl-citation.json"}</w:instrText>
            </w:r>
            <w:r>
              <w:fldChar w:fldCharType="separate"/>
            </w:r>
            <w:r w:rsidR="008B6E91" w:rsidRPr="008B6E91">
              <w:rPr>
                <w:noProof/>
              </w:rPr>
              <w:t>[433]</w:t>
            </w:r>
            <w:r>
              <w:fldChar w:fldCharType="end"/>
            </w:r>
          </w:p>
        </w:tc>
        <w:tc>
          <w:tcPr>
            <w:tcW w:w="1817" w:type="dxa"/>
          </w:tcPr>
          <w:p w14:paraId="5D81E10D" w14:textId="77777777" w:rsidR="00007F6C" w:rsidRDefault="00007F6C" w:rsidP="005E2F1E">
            <w:pPr>
              <w:jc w:val="right"/>
            </w:pPr>
            <w:r>
              <w:t>34.85</w:t>
            </w:r>
          </w:p>
        </w:tc>
        <w:tc>
          <w:tcPr>
            <w:tcW w:w="1614" w:type="dxa"/>
          </w:tcPr>
          <w:p w14:paraId="5AA38CA2" w14:textId="77777777" w:rsidR="00007F6C" w:rsidRDefault="00007F6C" w:rsidP="005E2F1E">
            <w:pPr>
              <w:jc w:val="right"/>
            </w:pPr>
            <w:r>
              <w:t>199.90</w:t>
            </w:r>
          </w:p>
        </w:tc>
      </w:tr>
      <w:tr w:rsidR="00007F6C" w14:paraId="1E5377F0" w14:textId="77777777" w:rsidTr="005E2F1E">
        <w:trPr>
          <w:jc w:val="center"/>
        </w:trPr>
        <w:tc>
          <w:tcPr>
            <w:tcW w:w="1035" w:type="dxa"/>
          </w:tcPr>
          <w:p w14:paraId="5881D474" w14:textId="77777777" w:rsidR="00007F6C" w:rsidRDefault="00007F6C" w:rsidP="005E2F1E">
            <w:pPr>
              <w:jc w:val="both"/>
            </w:pPr>
            <w:r>
              <w:t>Ni</w:t>
            </w:r>
          </w:p>
        </w:tc>
        <w:tc>
          <w:tcPr>
            <w:tcW w:w="2275" w:type="dxa"/>
          </w:tcPr>
          <w:p w14:paraId="07C043BB" w14:textId="4949FB48" w:rsidR="00007F6C" w:rsidRDefault="00007F6C" w:rsidP="005E2F1E">
            <w:pPr>
              <w:jc w:val="right"/>
            </w:pPr>
            <w:r>
              <w:t xml:space="preserve">43.45 </w:t>
            </w:r>
            <w:r>
              <w:fldChar w:fldCharType="begin" w:fldLock="1"/>
            </w:r>
            <w:r w:rsidR="00151775">
              <w:instrText>ADDIN CSL_CITATION {"citationItems":[{"id":"ITEM-1","itemData":{"author":[{"dropping-particle":"","family":"Chu","given":"T.K.","non-dropping-particle":"","parse-names":false,"suffix":""},{"dropping-particle":"","family":"Ho","given":"C. Y.","non-dropping-particle":"","parse-names":false,"suffix":""}],"container-title":"Office of Standard Reference Data","id":"ITEM-1","issue":"AD A1 29078","issued":{"date-parts":[["1982"]]},"number-of-pages":"117-42","title":"Electrical Resistivity of Chromium, Cobalt, Iron and Nickel","type":"report","volume":"AD A1 2907"},"uris":["http://www.mendeley.com/documents/?uuid=75b4a84e-67e6-466b-b225-1dd7282d9228","http://www.mendeley.com/documents/?uuid=e68d6146-01c7-4dc0-b15f-a6de5363235c"]}],"mendeley":{"formattedCitation":"[458]","plainTextFormattedCitation":"[458]","previouslyFormattedCitation":"[458]"},"properties":{"noteIndex":0},"schema":"https://github.com/citation-style-language/schema/raw/master/csl-citation.json"}</w:instrText>
            </w:r>
            <w:r>
              <w:fldChar w:fldCharType="separate"/>
            </w:r>
            <w:r w:rsidR="008B6E91" w:rsidRPr="008B6E91">
              <w:rPr>
                <w:noProof/>
              </w:rPr>
              <w:t>[458]</w:t>
            </w:r>
            <w:r>
              <w:fldChar w:fldCharType="end"/>
            </w:r>
          </w:p>
        </w:tc>
        <w:tc>
          <w:tcPr>
            <w:tcW w:w="2275" w:type="dxa"/>
          </w:tcPr>
          <w:p w14:paraId="75F30B63" w14:textId="456113A6" w:rsidR="00007F6C" w:rsidRDefault="00007F6C" w:rsidP="005E2F1E">
            <w:pPr>
              <w:jc w:val="right"/>
            </w:pPr>
            <w:r>
              <w:t xml:space="preserve">7.20   </w:t>
            </w:r>
            <w:r>
              <w:fldChar w:fldCharType="begin" w:fldLock="1"/>
            </w:r>
            <w:r w:rsidR="00151775">
              <w:instrText>ADDIN CSL_CITATION {"citationItems":[{"id":"ITEM-1","itemData":{"DOI":"10.1016/j.ijhydene.2010.10.034","ISSN":"03603199","abstract":"Planar electrolyte supported solid oxide fuel cells were operated at 900 °C with humidified H2 for 200 h using silver mesh and paste for cathode current collection. Continuous potentiostatic tests at 0.7 V appeared to induce migration of Ag towards electrode-electrolyte interphase, while continuous OCV tests caused no mass transport. Similar SOFCs fueled by coal syngas at 850 °C using Ag for both anode and cathode current collection indicated little, if any, Ag migration; providing the possibility of employing Ag for 100 h laboratory scale tests using coal-derived syngas. Use of high temperature steam, carbon dioxide and carbon monoxide did not result in the formation of silver carbonates. © 2010 Professor T. Nejat Veziroglu. Published by Elsevier Ltd. All rights reserved.","author":[{"dropping-particle":"","family":"Silva","given":"K. Channa R.","non-dropping-particle":"De","parse-names":false,"suffix":""},{"dropping-particle":"","family":"Kaseman","given":"Brian J.","non-dropping-particle":"","parse-names":false,"suffix":""},{"dropping-particle":"","family":"Bayless","given":"David J.","non-dropping-particle":"","parse-names":false,"suffix":""}],"container-title":"International Journal of Hydrogen Energy","id":"ITEM-1","issue":"1","issued":{"date-parts":[["2011"]]},"page":"779-786","publisher":"Elsevier Ltd","title":"Silver (Ag) as anode and cathode current collectors in high temperature planar solid oxide fuel cells","type":"article-journal","volume":"36"},"uris":["http://www.mendeley.com/documents/?uuid=bd402a07-bd27-4f1d-8c84-bff96b54702e"]}],"mendeley":{"formattedCitation":"[433]","plainTextFormattedCitation":"[433]","previouslyFormattedCitation":"[433]"},"properties":{"noteIndex":0},"schema":"https://github.com/citation-style-language/schema/raw/master/csl-citation.json"}</w:instrText>
            </w:r>
            <w:r>
              <w:fldChar w:fldCharType="separate"/>
            </w:r>
            <w:r w:rsidR="008B6E91" w:rsidRPr="008B6E91">
              <w:rPr>
                <w:noProof/>
              </w:rPr>
              <w:t>[433]</w:t>
            </w:r>
            <w:r>
              <w:fldChar w:fldCharType="end"/>
            </w:r>
          </w:p>
        </w:tc>
        <w:tc>
          <w:tcPr>
            <w:tcW w:w="1817" w:type="dxa"/>
          </w:tcPr>
          <w:p w14:paraId="0808C67C" w14:textId="77777777" w:rsidR="00007F6C" w:rsidRDefault="00007F6C" w:rsidP="005E2F1E">
            <w:pPr>
              <w:jc w:val="right"/>
            </w:pPr>
            <w:r>
              <w:t>12.38</w:t>
            </w:r>
          </w:p>
        </w:tc>
        <w:tc>
          <w:tcPr>
            <w:tcW w:w="1614" w:type="dxa"/>
          </w:tcPr>
          <w:p w14:paraId="53B33DB7" w14:textId="77777777" w:rsidR="00007F6C" w:rsidRDefault="00007F6C" w:rsidP="005E2F1E">
            <w:pPr>
              <w:jc w:val="right"/>
            </w:pPr>
            <w:r>
              <w:t>13.58</w:t>
            </w:r>
          </w:p>
        </w:tc>
      </w:tr>
    </w:tbl>
    <w:p w14:paraId="6199E9B1" w14:textId="77777777" w:rsidR="00D47490" w:rsidRDefault="00D47490" w:rsidP="00007F6C">
      <w:pPr>
        <w:jc w:val="both"/>
      </w:pPr>
    </w:p>
    <w:p w14:paraId="70560FAE" w14:textId="40C85CB9" w:rsidR="00007F6C" w:rsidRDefault="00007F6C" w:rsidP="00007F6C">
      <w:pPr>
        <w:jc w:val="both"/>
      </w:pPr>
      <w:r>
        <w:lastRenderedPageBreak/>
        <w:t xml:space="preserve">The only dataset with a physical Rs intercept is the sample utilising a silver current collector. The series resistance for the other datasets was a calculated using equivalent circuit fitting. This creates some uncertainty in the series resistance of the other Ni-YSZ samples. </w:t>
      </w:r>
    </w:p>
    <w:p w14:paraId="30A47F86" w14:textId="77777777" w:rsidR="00007F6C" w:rsidRDefault="00007F6C" w:rsidP="00007F6C">
      <w:pPr>
        <w:keepNext/>
        <w:jc w:val="center"/>
      </w:pPr>
      <w:r w:rsidRPr="009F08E9">
        <w:rPr>
          <w:noProof/>
        </w:rPr>
        <w:drawing>
          <wp:inline distT="0" distB="0" distL="0" distR="0" wp14:anchorId="6F143229" wp14:editId="74D53AA3">
            <wp:extent cx="4320000" cy="3574553"/>
            <wp:effectExtent l="0" t="0" r="4445" b="698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5">
                      <a:extLst>
                        <a:ext uri="{28A0092B-C50C-407E-A947-70E740481C1C}">
                          <a14:useLocalDpi xmlns:a14="http://schemas.microsoft.com/office/drawing/2010/main" val="0"/>
                        </a:ext>
                      </a:extLst>
                    </a:blip>
                    <a:srcRect l="8059" t="9482" r="12829" b="4743"/>
                    <a:stretch/>
                  </pic:blipFill>
                  <pic:spPr bwMode="auto">
                    <a:xfrm>
                      <a:off x="0" y="0"/>
                      <a:ext cx="4320000" cy="3574553"/>
                    </a:xfrm>
                    <a:prstGeom prst="rect">
                      <a:avLst/>
                    </a:prstGeom>
                    <a:noFill/>
                    <a:ln>
                      <a:noFill/>
                    </a:ln>
                    <a:extLst>
                      <a:ext uri="{53640926-AAD7-44D8-BBD7-CCE9431645EC}">
                        <a14:shadowObscured xmlns:a14="http://schemas.microsoft.com/office/drawing/2010/main"/>
                      </a:ext>
                    </a:extLst>
                  </pic:spPr>
                </pic:pic>
              </a:graphicData>
            </a:graphic>
          </wp:inline>
        </w:drawing>
      </w:r>
    </w:p>
    <w:p w14:paraId="31BD0515" w14:textId="4AC8C22D" w:rsidR="00007F6C" w:rsidRDefault="00007F6C" w:rsidP="00007F6C">
      <w:pPr>
        <w:pStyle w:val="Caption"/>
      </w:pPr>
      <w:bookmarkStart w:id="498" w:name="_Ref44075410"/>
      <w:bookmarkStart w:id="499" w:name="_Toc69115041"/>
      <w:r>
        <w:t>Figure 5.</w:t>
      </w:r>
      <w:r w:rsidR="00B51F53">
        <w:fldChar w:fldCharType="begin"/>
      </w:r>
      <w:r w:rsidR="00B51F53">
        <w:instrText xml:space="preserve"> SEQ Figure \* ARABIC </w:instrText>
      </w:r>
      <w:r w:rsidR="00B51F53">
        <w:fldChar w:fldCharType="separate"/>
      </w:r>
      <w:r w:rsidR="00835CCA">
        <w:rPr>
          <w:noProof/>
        </w:rPr>
        <w:t>26</w:t>
      </w:r>
      <w:r w:rsidR="00B51F53">
        <w:rPr>
          <w:noProof/>
        </w:rPr>
        <w:fldChar w:fldCharType="end"/>
      </w:r>
      <w:r>
        <w:t>: Initial Nyquist plots of the</w:t>
      </w:r>
      <w:bookmarkEnd w:id="498"/>
      <w:r>
        <w:t xml:space="preserve"> 4 representative samples for the symmetrical Ni-YSZ samples. The red, green, </w:t>
      </w:r>
      <w:proofErr w:type="gramStart"/>
      <w:r>
        <w:t>orange</w:t>
      </w:r>
      <w:proofErr w:type="gramEnd"/>
      <w:r>
        <w:t xml:space="preserve"> and blue series are Ag, </w:t>
      </w:r>
      <w:proofErr w:type="spellStart"/>
      <w:r>
        <w:t>NiO</w:t>
      </w:r>
      <w:proofErr w:type="spellEnd"/>
      <w:r>
        <w:t>, Au and Pt respectively.</w:t>
      </w:r>
      <w:bookmarkEnd w:id="499"/>
    </w:p>
    <w:p w14:paraId="3B78C275" w14:textId="688AFB3B" w:rsidR="00007F6C" w:rsidRPr="00834967" w:rsidRDefault="00007F6C" w:rsidP="00007F6C">
      <w:pPr>
        <w:jc w:val="both"/>
      </w:pPr>
      <w:r>
        <w:t xml:space="preserve">The use of silver in this project could be one of the key factors as to why the polarisation resistance of these samples is up to 2 orders of magnitude higher than the Ag// Ni-YSZ literature </w:t>
      </w:r>
      <w:r>
        <w:fldChar w:fldCharType="begin" w:fldLock="1"/>
      </w:r>
      <w:r w:rsidR="00151775">
        <w:instrText>ADDIN CSL_CITATION {"citationItems":[{"id":"ITEM-1","itemData":{"DOI":"10.1016/S0167-2738(99)00254-4","ISSN":"01672738","abstract":"The effects of various current collectors on the electrochemical property measurements of a Ni-YSZ cermet have been investigated. Electrochemical characteristics were determined by impedance spectroscopy (IS) at open-circuit voltage in H2-H2O atmosphere at 800 °C using a symmetrical cell. We selected various current collectors made of gold, platinum and nickel and with two different structures, paste and mesh. When using paste, the electrochemical response, recorded with the same Ni-YSZ cermet sample, depends greatly on the nature of the current collector. Polarization resistance values follow the order: Ni&lt;Pt&lt;Au. This is the same order as reported in the literature for the hydrogen electrochemical oxidation activities of these metals. This demonstrates that paste current collectors interfere with the electrochemical properties of the anode material. Therefore, in order to compare the electrochemical activities of various anode materials, the same current collector has to be used. We have also observed that the polarization resistance increases with time, due to metal particle diffusion through the Ni-YSZ cermet. When using a nickel mesh, the electrochemical properties do not vary with time. Moreover, the structure of this current collector is most similar to the interconnect materials, which are the current collectors in planar SOFCs. It is, therefore, the best current collector for the study of the electrochemical properties of Ni-YSZ cermet.","author":[{"dropping-particle":"","family":"Guillodo","given":"M.","non-dropping-particle":"","parse-names":false,"suffix":""},{"dropping-particle":"","family":"Vernoux","given":"P.","non-dropping-particle":"","parse-names":false,"suffix":""},{"dropping-particle":"","family":"Fouletier","given":"J.","non-dropping-particle":"","parse-names":false,"suffix":""}],"container-title":"Solid State Ionics","id":"ITEM-1","issue":"1-2","issued":{"date-parts":[["2000"]]},"page":"99-107","title":"Electrochemical properties of Ni-YSZ cermet in solid oxide fuel cells. Effect of current collecting","type":"article-journal","volume":"127"},"uris":["http://www.mendeley.com/documents/?uuid=1b59ad5f-6e71-4c86-8342-2445f4bf2a8c"]},{"id":"ITEM-2","itemData":{"DOI":"10.1149/2.010301eel","ISSN":"21628726","abstract":"The true functionality of a current collector employed in electrochemical cells is to ensure a low-resistance steady electrons flow between the cell and instrumentation without involving in any local electrochemical reactions of the electrode. In this study, we investigated the effect of curing temperature of a common current collector, silver, on the polarization area specific resistance (ASR) of a cathode. The results explicitly showed that at least one order of magnitude lower ASR for a cathode with Ag cured at 800C than that cured at 650C of the same cathode configuration. Microscopic analysis of the 800C-cured cells revealed a deep penetration and abundant distribution of Ag into the cathode/electrolyte interfacial region. These finely dispersed and highly conductive Ag particles/agglomerates areORR(oxygen reduction reaction)-active, thus engaging in the local electrochemical reaction and overshadowing the true properties of the cathode under investigation. Based on these results, we call for caution when using Ag as a current collector for electrochemical measurements, particularly at a temperature 650C. © 2012 The Electrochemical Society.","author":[{"dropping-particle":"","family":"Gong","given":"Yunhui","non-dropping-particle":"","parse-names":false,"suffix":""},{"dropping-particle":"","family":"Qin","given":"Changyong","non-dropping-particle":"","parse-names":false,"suffix":""},{"dropping-particle":"","family":"Huang","given":"Kevin","non-dropping-particle":"","parse-names":false,"suffix":""}],"container-title":"ECS Electrochemistry Letters","id":"ITEM-2","issue":"1","issued":{"date-parts":[["2013"]]},"page":"4-7","title":"Can silver be a reliable current collector for electrochemical tests","type":"article-journal","volume":"2"},"uris":["http://www.mendeley.com/documents/?uuid=4f1a812e-2e83-4aa9-a258-2b5439f77fe0"]}],"mendeley":{"formattedCitation":"[438], [441]","plainTextFormattedCitation":"[438], [441]","previouslyFormattedCitation":"[438], [441]"},"properties":{"noteIndex":0},"schema":"https://github.com/citation-style-language/schema/raw/master/csl-citation.json"}</w:instrText>
      </w:r>
      <w:r>
        <w:fldChar w:fldCharType="separate"/>
      </w:r>
      <w:r w:rsidR="008B6E91" w:rsidRPr="008B6E91">
        <w:rPr>
          <w:noProof/>
        </w:rPr>
        <w:t>[438], [441]</w:t>
      </w:r>
      <w:r>
        <w:fldChar w:fldCharType="end"/>
      </w:r>
      <w:r>
        <w:t>. During EIS of the Ni-YSZ fuel electrode the incident humidified 10 % H</w:t>
      </w:r>
      <w:r>
        <w:rPr>
          <w:vertAlign w:val="subscript"/>
        </w:rPr>
        <w:t>2</w:t>
      </w:r>
      <w:r>
        <w:t>/N</w:t>
      </w:r>
      <w:r>
        <w:rPr>
          <w:vertAlign w:val="subscript"/>
        </w:rPr>
        <w:t>2</w:t>
      </w:r>
      <w:r>
        <w:t xml:space="preserve"> gas could cause pinhole formation in the silver paste </w:t>
      </w:r>
      <w:r>
        <w:fldChar w:fldCharType="begin" w:fldLock="1"/>
      </w:r>
      <w:r w:rsidR="00151775">
        <w:instrText>ADDIN CSL_CITATION {"citationItems":[{"id":"ITEM-1","itemData":{"DOI":"10.1007/s40243-018-0123-y","ISBN":"0123456789","ISSN":"21941467","abstract":"In this paper, the behaviour of silver as cathode conductive material, interconnect wire, and sealing for anode lead connection for microtubular solid oxide fuel cells (µSOFC) is reported. The changes in silver morphology are examined by scanning electron microscopy on cells that had been operated under reformed methane. It is found that using silver in an solid oxide fuel cell (SOFC) stack can improve the cell performance. However, it is also concluded that silver may be responsible for cell degradation. This report brings together and explains all the known problems with application of silver for SOFCs. The results show that silver is unstable in interconnect and in cathode environments. It is found that the process of cell passivation/activation promotes silver migration. The difference in thermal expansion of silver and sealant results in damage to the glass. It is concluded that when silver is exposed to a dual atmosphere condition, high levels of porosity formation is seen in the dense silver interconnect. The relevance of application of silver in SOFC stacks is discussed.","author":[{"dropping-particle":"","family":"Majewski","given":"Artur J.","non-dropping-particle":"","parse-names":false,"suffix":""},{"dropping-particle":"","family":"Dhir","given":"Aman","non-dropping-particle":"","parse-names":false,"suffix":""}],"container-title":"Materials for Renewable and Sustainable Energy","id":"ITEM-1","issue":"3","issued":{"date-parts":[["2018"]]},"page":"1-13","publisher":"Springer Berlin Heidelberg","title":"Application of silver in microtubular solid oxide fuel cells","type":"article-journal","volume":"7"},"uris":["http://www.mendeley.com/documents/?uuid=79eb06da-638d-45c6-af3a-6f20e4c857b7"]}],"mendeley":{"formattedCitation":"[442]","plainTextFormattedCitation":"[442]","previouslyFormattedCitation":"[442]"},"properties":{"noteIndex":0},"schema":"https://github.com/citation-style-language/schema/raw/master/csl-citation.json"}</w:instrText>
      </w:r>
      <w:r>
        <w:fldChar w:fldCharType="separate"/>
      </w:r>
      <w:r w:rsidR="008B6E91" w:rsidRPr="008B6E91">
        <w:rPr>
          <w:noProof/>
        </w:rPr>
        <w:t>[442]</w:t>
      </w:r>
      <w:r>
        <w:fldChar w:fldCharType="end"/>
      </w:r>
      <w:r>
        <w:t>. This in combination with the curing the paste in-situ at 800</w:t>
      </w:r>
      <w:r>
        <w:rPr>
          <w:rFonts w:ascii="Calibri" w:hAnsi="Calibri" w:cs="Calibri"/>
        </w:rPr>
        <w:t>°</w:t>
      </w:r>
      <w:r>
        <w:t>C and the high mobility of silver at temperatures exceeding 650</w:t>
      </w:r>
      <w:r>
        <w:rPr>
          <w:rFonts w:ascii="Calibri" w:hAnsi="Calibri" w:cs="Calibri"/>
        </w:rPr>
        <w:t>°</w:t>
      </w:r>
      <w:r>
        <w:t>C would almost without a doubt increase the polarisation resistance of the symmetrical cells by at least one order of magnitude.</w:t>
      </w:r>
    </w:p>
    <w:p w14:paraId="22C8D574" w14:textId="390EB8A9" w:rsidR="00007F6C" w:rsidRPr="00AD208B" w:rsidRDefault="00007F6C" w:rsidP="00007F6C">
      <w:pPr>
        <w:jc w:val="both"/>
      </w:pPr>
      <w:r>
        <w:t>Despite having the highest activation energy (</w:t>
      </w:r>
      <w:r>
        <w:fldChar w:fldCharType="begin"/>
      </w:r>
      <w:r>
        <w:instrText xml:space="preserve"> REF _Ref48210595 \h  \* MERGEFORMAT </w:instrText>
      </w:r>
      <w:r>
        <w:fldChar w:fldCharType="separate"/>
      </w:r>
      <w:r w:rsidR="00835CCA">
        <w:t xml:space="preserve">Table </w:t>
      </w:r>
      <w:r w:rsidR="00835CCA">
        <w:rPr>
          <w:noProof/>
        </w:rPr>
        <w:t>5.11</w:t>
      </w:r>
      <w:r>
        <w:fldChar w:fldCharType="end"/>
      </w:r>
      <w:r>
        <w:t>), the nickel oxide current collector produced the second lowest initial R</w:t>
      </w:r>
      <w:r>
        <w:rPr>
          <w:vertAlign w:val="subscript"/>
        </w:rPr>
        <w:t>P</w:t>
      </w:r>
      <w:r>
        <w:t xml:space="preserve"> and </w:t>
      </w:r>
      <w:proofErr w:type="gramStart"/>
      <w:r>
        <w:t>had  a</w:t>
      </w:r>
      <w:proofErr w:type="gramEnd"/>
      <w:r>
        <w:t xml:space="preserve"> 9.7 % increase in after 50 h of ageing. This was due to the reduction in interfacial resistance between the catalyst and current collector phase due to their identical compositions </w:t>
      </w:r>
      <w:r>
        <w:fldChar w:fldCharType="begin" w:fldLock="1"/>
      </w:r>
      <w:r w:rsidR="008446C6">
        <w:instrText>ADDIN CSL_CITATION {"citationItems":[{"id":"ITEM-1","itemData":{"DOI":"http://dx.doi.org/10.1016/S0167-2738(00)00652-4","ISBN":"0167-2738","ISSN":"01672738","abstract":"As the anode of a solid oxide fuel cell, Ni/YSZ cermet material was investigated. We measured the power output, IR resistance and polarization resistance as a function of the Ni/YSZ volume ratio. IR resistance decreased as the Ni/YSZ ratio was increased. The linear relationship between IR resistance and the reciprocal values of the nickel surface area indicates that the contact resistance between the electrolyte and the anode dominated IR resistance. On the other hand, polarization resistance increased as the Ni/YSZ ratio was increased. Analysis of AC impedance plots indicated that polarization resistance contributed to the number of reaction sites which were ascribed to the triple boundary layer. Moreover, the boundary between nickel particles and zirconia particles in the anode worked as the triple boundary layer. Furthermore, we proposed the double layer anode, which consisted of the interfacial layer and the bulk layer. A cell with a double layer anode exhibited high performance. The interfacial layer and the bulk layer had a strong effect on IR resistance and polarization resistance, respectively.","author":[{"dropping-particle":"","family":"Koide","given":"Hideto","non-dropping-particle":"","parse-names":false,"suffix":""},{"dropping-particle":"","family":"Someya","given":"Yoshiyuki","non-dropping-particle":"","parse-names":false,"suffix":""},{"dropping-particle":"","family":"Yoshida","given":"Toshihiko","non-dropping-particle":"","parse-names":false,"suffix":""},{"dropping-particle":"","family":"Maruyama","given":"Toshio","non-dropping-particle":"","parse-names":false,"suffix":""}],"container-title":"Solid State Ionics","id":"ITEM-1","issue":"3–4","issued":{"date-parts":[["2000"]]},"page":"253-260","title":"Properties of Ni/YSZ cermet as anode for SOFC","type":"article-journal","volume":"132"},"uris":["http://www.mendeley.com/documents/?uuid=1d7fd03d-1d84-4204-97cc-c8fb2e0cd374"]},{"id":"ITEM-2","itemData":{"DOI":"10.1109/IFOST.2006.312228","abstract":"This paper used composite multi-layer tape casting technique successfully in fabricating Ni-YSZ/YSZ anode/ electrolyte composite ceramic of planar intermediate-temperature solid oxide fuel cell (IT-SOFC). The anode was designed as a double-layer structure, which consisted of an anode substrate and an anode functional layer. This design optimized anode microstructure and improved its performances. This design made anode match electrolyte well during the co-sintering process. The anode conductivity was higher than 1000 S-cm&lt;sup&gt;-1&lt;/sup&gt; at 800degC. The TEC of the composite ceramic was 12.1times10-6 K&lt;sup&gt;-1&lt;/sup&gt;, which matched those of inter connector and sealant. When NiO content of functional layer was 50 mass%, the current density was about 80 mA-cm&lt;sup&gt;-2&lt;/sup&gt; at an overpotential of 0.1 V. EIS measurement showed that anodic catalytic activity and interfacial resistances were main factors affecting electrode performance. Unit cells were assembled and tested after above performances were measured.","author":[{"dropping-particle":"","family":"Koong","given":"J","non-dropping-particle":"","parse-names":false,"suffix":""},{"dropping-particle":"","family":"Sun","given":"K","non-dropping-particle":"","parse-names":false,"suffix":""},{"dropping-particle":"","family":"Zhou","given":"D","non-dropping-particle":"","parse-names":false,"suffix":""},{"dropping-particle":"","family":"Qiao","given":"J","non-dropping-particle":"","parse-names":false,"suffix":""},{"dropping-particle":"","family":"Li","given":"J","non-dropping-particle":"","parse-names":false,"suffix":""}],"container-title":"2006 International Forum on Strategic Technology","id":"ITEM-2","issued":{"date-parts":[["2006"]]},"page":"186-189","title":"Anode-Supported IT-SOFC anode Prepared by Tape Casting Technique","type":"paper-conference"},"uris":["http://www.mendeley.com/documents/?uuid=4b15b9f6-8730-40ba-b550-3f6e164fba9d"]},{"id":"ITEM-3","itemData":{"DOI":"10.1016/j.jpowsour.2010.08.010","ISSN":"03787753","abstract":"Coarsening of the nickel phase is known to occur in solid oxide fuel cell (SOFC) anodes consisting of Ni and yttria-stabilized zirconia (YSZ). However, the exact nature of the coarsening process is not known, nor how it affects three-phase boundaries (TPBs) and the resulting electrochemical performance. We apply a phase-field approach to simulate the microstructural evolution of Ni-YSZ anode functional layers. An experimentally obtained three-dimensional reconstruction of a functional layer from an anode-supported SOFC is used as the initial microstructure. The evolution of the microstructure is characterized quantitatively by examining the TPB density, interfacial area per unit volume, and tortuosity versus time. The assumed TPB contact angles are found to have a strong effect on the microstructural evolution; in particular, reducing the contact angle of nickel on YSZ yields less TPB reduction. © 2010 Elsevier B.V. All rights reserved.","author":[{"dropping-particle":"","family":"Chen","given":"Hsun Yi","non-dropping-particle":"","parse-names":false,"suffix":""},{"dropping-particle":"","family":"Yu","given":"Hui Chia","non-dropping-particle":"","parse-names":false,"suffix":""},{"dropping-particle":"","family":"Scott Cronin","given":"J.","non-dropping-particle":"","parse-names":false,"suffix":""},{"dropping-particle":"","family":"Wilson","given":"James R.","non-dropping-particle":"","parse-names":false,"suffix":""},{"dropping-particle":"","family":"Barnett","given":"Scott A.","non-dropping-particle":"","parse-names":false,"suffix":""},{"dropping-particle":"","family":"Thornton","given":"Katsuyo","non-dropping-particle":"","parse-names":false,"suffix":""}],"container-title":"Journal of Power Sources","id":"ITEM-3","issue":"3","issued":{"date-parts":[["2011"]]},"page":"1333-1337","publisher":"Elsevier B.V.","title":"Simulation of coarsening in three-phase solid oxide fuel cell anodes","type":"article-journal","volume":"196"},"uris":["http://www.mendeley.com/documents/?uuid=f145e9c2-6314-481f-87c7-dc5591f4886f"]}],"mendeley":{"formattedCitation":"[472]–[474]","plainTextFormattedCitation":"[472]–[474]","previouslyFormattedCitation":"[472]–[474]"},"properties":{"noteIndex":0},"schema":"https://github.com/citation-style-language/schema/raw/master/csl-citation.json"}</w:instrText>
      </w:r>
      <w:r>
        <w:fldChar w:fldCharType="separate"/>
      </w:r>
      <w:r w:rsidR="00A77A83" w:rsidRPr="00A77A83">
        <w:rPr>
          <w:noProof/>
        </w:rPr>
        <w:t>[472]–[474]</w:t>
      </w:r>
      <w:r>
        <w:fldChar w:fldCharType="end"/>
      </w:r>
      <w:r>
        <w:t>.</w:t>
      </w:r>
    </w:p>
    <w:p w14:paraId="0DB1798B" w14:textId="0AF4CD2D" w:rsidR="00007F6C" w:rsidRDefault="00007F6C" w:rsidP="00007F6C">
      <w:pPr>
        <w:pStyle w:val="Caption"/>
        <w:keepNext/>
      </w:pPr>
      <w:bookmarkStart w:id="500" w:name="_Ref48210595"/>
      <w:r>
        <w:t>Table 5.</w:t>
      </w:r>
      <w:r w:rsidR="00B51F53">
        <w:fldChar w:fldCharType="begin"/>
      </w:r>
      <w:r w:rsidR="00B51F53">
        <w:instrText xml:space="preserve"> SEQ Table \* ARABIC </w:instrText>
      </w:r>
      <w:r w:rsidR="00B51F53">
        <w:fldChar w:fldCharType="separate"/>
      </w:r>
      <w:r w:rsidR="0022061C">
        <w:rPr>
          <w:noProof/>
        </w:rPr>
        <w:t>11</w:t>
      </w:r>
      <w:r w:rsidR="00B51F53">
        <w:rPr>
          <w:noProof/>
        </w:rPr>
        <w:fldChar w:fldCharType="end"/>
      </w:r>
      <w:bookmarkEnd w:id="500"/>
      <w:r>
        <w:t xml:space="preserve">: Table of the activation energies for each of the symmetrical Ni-YSZ samples coated in the four current collector </w:t>
      </w:r>
      <w:proofErr w:type="gramStart"/>
      <w:r>
        <w:t>materials</w:t>
      </w:r>
      <w:proofErr w:type="gramEnd"/>
    </w:p>
    <w:tbl>
      <w:tblPr>
        <w:tblStyle w:val="TableGrid"/>
        <w:tblW w:w="0" w:type="auto"/>
        <w:jc w:val="center"/>
        <w:tblLook w:val="04A0" w:firstRow="1" w:lastRow="0" w:firstColumn="1" w:lastColumn="0" w:noHBand="0" w:noVBand="1"/>
      </w:tblPr>
      <w:tblGrid>
        <w:gridCol w:w="2613"/>
        <w:gridCol w:w="3084"/>
        <w:gridCol w:w="3084"/>
      </w:tblGrid>
      <w:tr w:rsidR="00007F6C" w14:paraId="69108D75" w14:textId="77777777" w:rsidTr="005E2F1E">
        <w:trPr>
          <w:trHeight w:val="553"/>
          <w:jc w:val="center"/>
        </w:trPr>
        <w:tc>
          <w:tcPr>
            <w:tcW w:w="0" w:type="auto"/>
          </w:tcPr>
          <w:p w14:paraId="6C907806" w14:textId="77777777" w:rsidR="00007F6C" w:rsidRDefault="00007F6C" w:rsidP="005E2F1E">
            <w:pPr>
              <w:jc w:val="both"/>
            </w:pPr>
            <w:r w:rsidRPr="004A54C5">
              <w:rPr>
                <w:b/>
                <w:bCs/>
              </w:rPr>
              <w:t>Current Collector Material</w:t>
            </w:r>
          </w:p>
        </w:tc>
        <w:tc>
          <w:tcPr>
            <w:tcW w:w="0" w:type="auto"/>
          </w:tcPr>
          <w:p w14:paraId="7D5976A9" w14:textId="77777777" w:rsidR="00007F6C" w:rsidRPr="00C6226B" w:rsidRDefault="00007F6C" w:rsidP="005E2F1E">
            <w:pPr>
              <w:jc w:val="both"/>
              <w:rPr>
                <w:b/>
                <w:bCs/>
              </w:rPr>
            </w:pPr>
            <w:r w:rsidRPr="00C6226B">
              <w:rPr>
                <w:b/>
                <w:bCs/>
              </w:rPr>
              <w:t>Activation Energy, E</w:t>
            </w:r>
            <w:r w:rsidRPr="00C6226B">
              <w:rPr>
                <w:b/>
                <w:bCs/>
                <w:vertAlign w:val="subscript"/>
              </w:rPr>
              <w:t xml:space="preserve"> Act</w:t>
            </w:r>
            <w:r w:rsidRPr="00C6226B">
              <w:rPr>
                <w:b/>
                <w:bCs/>
              </w:rPr>
              <w:t xml:space="preserve"> at 800</w:t>
            </w:r>
            <w:r w:rsidRPr="00C6226B">
              <w:rPr>
                <w:rFonts w:cstheme="minorHAnsi"/>
                <w:b/>
                <w:bCs/>
              </w:rPr>
              <w:t>⁰</w:t>
            </w:r>
            <w:r w:rsidRPr="00C6226B">
              <w:rPr>
                <w:b/>
                <w:bCs/>
              </w:rPr>
              <w:t xml:space="preserve">C </w:t>
            </w:r>
          </w:p>
          <w:p w14:paraId="6C2A3497" w14:textId="77777777" w:rsidR="00007F6C" w:rsidRPr="00C6226B" w:rsidRDefault="00007F6C" w:rsidP="005E2F1E">
            <w:pPr>
              <w:jc w:val="both"/>
              <w:rPr>
                <w:b/>
                <w:bCs/>
              </w:rPr>
            </w:pPr>
            <w:r w:rsidRPr="00C6226B">
              <w:rPr>
                <w:b/>
                <w:bCs/>
              </w:rPr>
              <w:t>[</w:t>
            </w:r>
            <w:r>
              <w:rPr>
                <w:b/>
                <w:bCs/>
              </w:rPr>
              <w:t>kJmol</w:t>
            </w:r>
            <w:r>
              <w:rPr>
                <w:b/>
                <w:bCs/>
                <w:vertAlign w:val="superscript"/>
              </w:rPr>
              <w:t>-1</w:t>
            </w:r>
            <w:r w:rsidRPr="00C6226B">
              <w:rPr>
                <w:b/>
                <w:bCs/>
              </w:rPr>
              <w:t>]</w:t>
            </w:r>
          </w:p>
        </w:tc>
        <w:tc>
          <w:tcPr>
            <w:tcW w:w="0" w:type="auto"/>
          </w:tcPr>
          <w:p w14:paraId="2A308728" w14:textId="77777777" w:rsidR="00007F6C" w:rsidRPr="00C6226B" w:rsidRDefault="00007F6C" w:rsidP="005E2F1E">
            <w:pPr>
              <w:jc w:val="both"/>
              <w:rPr>
                <w:b/>
                <w:bCs/>
              </w:rPr>
            </w:pPr>
            <w:r w:rsidRPr="00C6226B">
              <w:rPr>
                <w:b/>
                <w:bCs/>
              </w:rPr>
              <w:t>Activation Energy, E</w:t>
            </w:r>
            <w:r w:rsidRPr="00C6226B">
              <w:rPr>
                <w:b/>
                <w:bCs/>
                <w:vertAlign w:val="subscript"/>
              </w:rPr>
              <w:t xml:space="preserve"> Act</w:t>
            </w:r>
            <w:r w:rsidRPr="00C6226B">
              <w:rPr>
                <w:b/>
                <w:bCs/>
              </w:rPr>
              <w:t xml:space="preserve"> at 800</w:t>
            </w:r>
            <w:r w:rsidRPr="00C6226B">
              <w:rPr>
                <w:rFonts w:cstheme="minorHAnsi"/>
                <w:b/>
                <w:bCs/>
              </w:rPr>
              <w:t>⁰</w:t>
            </w:r>
            <w:r w:rsidRPr="00C6226B">
              <w:rPr>
                <w:b/>
                <w:bCs/>
              </w:rPr>
              <w:t xml:space="preserve">C </w:t>
            </w:r>
          </w:p>
          <w:p w14:paraId="22BDDE94" w14:textId="77777777" w:rsidR="00007F6C" w:rsidRPr="00C6226B" w:rsidRDefault="00007F6C" w:rsidP="005E2F1E">
            <w:pPr>
              <w:jc w:val="both"/>
              <w:rPr>
                <w:b/>
                <w:bCs/>
              </w:rPr>
            </w:pPr>
            <w:r w:rsidRPr="00C6226B">
              <w:rPr>
                <w:b/>
                <w:bCs/>
              </w:rPr>
              <w:t>[eV]</w:t>
            </w:r>
          </w:p>
        </w:tc>
      </w:tr>
      <w:tr w:rsidR="00007F6C" w14:paraId="0A227DF2" w14:textId="77777777" w:rsidTr="005E2F1E">
        <w:trPr>
          <w:jc w:val="center"/>
        </w:trPr>
        <w:tc>
          <w:tcPr>
            <w:tcW w:w="0" w:type="auto"/>
          </w:tcPr>
          <w:p w14:paraId="3B0FBC76" w14:textId="77777777" w:rsidR="00007F6C" w:rsidRDefault="00007F6C" w:rsidP="005E2F1E">
            <w:pPr>
              <w:jc w:val="both"/>
            </w:pPr>
            <w:r>
              <w:t>Ag</w:t>
            </w:r>
          </w:p>
        </w:tc>
        <w:tc>
          <w:tcPr>
            <w:tcW w:w="0" w:type="auto"/>
          </w:tcPr>
          <w:p w14:paraId="65BDD77A" w14:textId="77777777" w:rsidR="00007F6C" w:rsidRDefault="00007F6C" w:rsidP="005E2F1E">
            <w:pPr>
              <w:jc w:val="right"/>
            </w:pPr>
            <w:r>
              <w:t>-69.47</w:t>
            </w:r>
          </w:p>
        </w:tc>
        <w:tc>
          <w:tcPr>
            <w:tcW w:w="0" w:type="auto"/>
          </w:tcPr>
          <w:p w14:paraId="3F0050A4" w14:textId="77777777" w:rsidR="00007F6C" w:rsidRDefault="00007F6C" w:rsidP="005E2F1E">
            <w:pPr>
              <w:jc w:val="right"/>
            </w:pPr>
            <w:r>
              <w:t>-0.91</w:t>
            </w:r>
          </w:p>
        </w:tc>
      </w:tr>
      <w:tr w:rsidR="00D47490" w14:paraId="6038A3B6" w14:textId="77777777" w:rsidTr="005E2F1E">
        <w:trPr>
          <w:jc w:val="center"/>
        </w:trPr>
        <w:tc>
          <w:tcPr>
            <w:tcW w:w="0" w:type="auto"/>
          </w:tcPr>
          <w:p w14:paraId="684662A3" w14:textId="77777777" w:rsidR="00D47490" w:rsidRDefault="00D47490" w:rsidP="00D47490">
            <w:pPr>
              <w:jc w:val="both"/>
            </w:pPr>
            <w:r>
              <w:t>Au</w:t>
            </w:r>
          </w:p>
        </w:tc>
        <w:tc>
          <w:tcPr>
            <w:tcW w:w="0" w:type="auto"/>
          </w:tcPr>
          <w:p w14:paraId="6F42EA1E" w14:textId="0AC29C46" w:rsidR="00D47490" w:rsidRDefault="00D47490" w:rsidP="00D47490">
            <w:pPr>
              <w:jc w:val="right"/>
            </w:pPr>
            <w:r>
              <w:t>-23.61</w:t>
            </w:r>
          </w:p>
        </w:tc>
        <w:tc>
          <w:tcPr>
            <w:tcW w:w="0" w:type="auto"/>
          </w:tcPr>
          <w:p w14:paraId="751C781B" w14:textId="687AD907" w:rsidR="00D47490" w:rsidRDefault="00D47490" w:rsidP="00D47490">
            <w:pPr>
              <w:jc w:val="right"/>
            </w:pPr>
            <w:r>
              <w:t>-0.24</w:t>
            </w:r>
          </w:p>
        </w:tc>
      </w:tr>
      <w:tr w:rsidR="00007F6C" w14:paraId="2B3E1C9E" w14:textId="77777777" w:rsidTr="005E2F1E">
        <w:trPr>
          <w:jc w:val="center"/>
        </w:trPr>
        <w:tc>
          <w:tcPr>
            <w:tcW w:w="0" w:type="auto"/>
          </w:tcPr>
          <w:p w14:paraId="77ED595A" w14:textId="77777777" w:rsidR="00007F6C" w:rsidRDefault="00007F6C" w:rsidP="005E2F1E">
            <w:pPr>
              <w:jc w:val="both"/>
            </w:pPr>
            <w:r>
              <w:t>Pt</w:t>
            </w:r>
          </w:p>
        </w:tc>
        <w:tc>
          <w:tcPr>
            <w:tcW w:w="0" w:type="auto"/>
          </w:tcPr>
          <w:p w14:paraId="6789C289" w14:textId="77777777" w:rsidR="00007F6C" w:rsidRDefault="00007F6C" w:rsidP="005E2F1E">
            <w:pPr>
              <w:jc w:val="right"/>
            </w:pPr>
            <w:r>
              <w:t>-58.86</w:t>
            </w:r>
          </w:p>
        </w:tc>
        <w:tc>
          <w:tcPr>
            <w:tcW w:w="0" w:type="auto"/>
          </w:tcPr>
          <w:p w14:paraId="2AF8F0E4" w14:textId="77777777" w:rsidR="00007F6C" w:rsidRDefault="00007F6C" w:rsidP="005E2F1E">
            <w:pPr>
              <w:jc w:val="right"/>
            </w:pPr>
            <w:r>
              <w:t>-0.61</w:t>
            </w:r>
          </w:p>
        </w:tc>
      </w:tr>
      <w:tr w:rsidR="00D47490" w14:paraId="18800DDC" w14:textId="77777777" w:rsidTr="005E2F1E">
        <w:trPr>
          <w:trHeight w:val="70"/>
          <w:jc w:val="center"/>
        </w:trPr>
        <w:tc>
          <w:tcPr>
            <w:tcW w:w="0" w:type="auto"/>
          </w:tcPr>
          <w:p w14:paraId="08DC9F4F" w14:textId="7A55CBA7" w:rsidR="00D47490" w:rsidRDefault="00D47490" w:rsidP="00D47490">
            <w:pPr>
              <w:jc w:val="both"/>
            </w:pPr>
            <w:r>
              <w:t>Ni</w:t>
            </w:r>
          </w:p>
        </w:tc>
        <w:tc>
          <w:tcPr>
            <w:tcW w:w="0" w:type="auto"/>
          </w:tcPr>
          <w:p w14:paraId="12D85F3C" w14:textId="6C2163A4" w:rsidR="00D47490" w:rsidRDefault="00D47490" w:rsidP="00D47490">
            <w:pPr>
              <w:jc w:val="right"/>
            </w:pPr>
            <w:r>
              <w:t>-23.07</w:t>
            </w:r>
          </w:p>
        </w:tc>
        <w:tc>
          <w:tcPr>
            <w:tcW w:w="0" w:type="auto"/>
          </w:tcPr>
          <w:p w14:paraId="11CA49DB" w14:textId="72F1436C" w:rsidR="00D47490" w:rsidRDefault="00D47490" w:rsidP="00D47490">
            <w:pPr>
              <w:jc w:val="right"/>
            </w:pPr>
            <w:r>
              <w:t>-0.24</w:t>
            </w:r>
          </w:p>
        </w:tc>
      </w:tr>
    </w:tbl>
    <w:p w14:paraId="149106DE" w14:textId="77777777" w:rsidR="00007F6C" w:rsidRDefault="00007F6C" w:rsidP="00007F6C">
      <w:pPr>
        <w:jc w:val="both"/>
      </w:pPr>
      <w:r>
        <w:br w:type="page"/>
      </w:r>
    </w:p>
    <w:p w14:paraId="1AC12F91" w14:textId="30580DEE" w:rsidR="00007F6C" w:rsidRDefault="00007F6C" w:rsidP="00007F6C">
      <w:pPr>
        <w:pStyle w:val="Heading3"/>
        <w:jc w:val="both"/>
      </w:pPr>
      <w:bookmarkStart w:id="501" w:name="_Toc69129435"/>
      <w:r>
        <w:lastRenderedPageBreak/>
        <w:t>5.3.3</w:t>
      </w:r>
      <w:r>
        <w:tab/>
        <w:t xml:space="preserve">Microstructural evaluation using </w:t>
      </w:r>
      <w:r w:rsidR="00835CCA">
        <w:t>S</w:t>
      </w:r>
      <w:r>
        <w:t xml:space="preserve">canning </w:t>
      </w:r>
      <w:r w:rsidR="00835CCA">
        <w:t>E</w:t>
      </w:r>
      <w:r>
        <w:t xml:space="preserve">lectron </w:t>
      </w:r>
      <w:r w:rsidR="00835CCA">
        <w:t>M</w:t>
      </w:r>
      <w:r>
        <w:t>icroscopy</w:t>
      </w:r>
      <w:bookmarkEnd w:id="501"/>
    </w:p>
    <w:p w14:paraId="004A9B02" w14:textId="77777777" w:rsidR="00007F6C" w:rsidRDefault="00007F6C" w:rsidP="00007F6C">
      <w:pPr>
        <w:pStyle w:val="Heading4"/>
        <w:jc w:val="both"/>
      </w:pPr>
      <w:r w:rsidRPr="00D8600C">
        <w:t>Ag</w:t>
      </w:r>
    </w:p>
    <w:p w14:paraId="49293A39" w14:textId="7EDDBD85" w:rsidR="00007F6C" w:rsidRPr="00CF4B30" w:rsidRDefault="00007F6C" w:rsidP="00007F6C">
      <w:pPr>
        <w:jc w:val="both"/>
      </w:pPr>
      <w:r w:rsidRPr="00CF4B30">
        <w:t>The surface of the electrode was imaged in 3 places using an Inspect F50 Scanning Electron Microscope. After the 50 h of ageing under the 10% H</w:t>
      </w:r>
      <w:r w:rsidRPr="00CF4B30">
        <w:rPr>
          <w:vertAlign w:val="subscript"/>
        </w:rPr>
        <w:t>2</w:t>
      </w:r>
      <w:r w:rsidRPr="00CF4B30">
        <w:t>/N</w:t>
      </w:r>
      <w:r w:rsidRPr="00CF4B30">
        <w:rPr>
          <w:vertAlign w:val="subscript"/>
        </w:rPr>
        <w:t>2</w:t>
      </w:r>
      <w:r w:rsidRPr="00CF4B30">
        <w:t xml:space="preserve"> 800</w:t>
      </w:r>
      <w:r w:rsidRPr="00CF4B30">
        <w:rPr>
          <w:rFonts w:cstheme="minorHAnsi"/>
        </w:rPr>
        <w:t>⁰</w:t>
      </w:r>
      <w:r w:rsidRPr="00CF4B30">
        <w:t>C atmosphere</w:t>
      </w:r>
      <w:r w:rsidRPr="00CF4B30">
        <w:rPr>
          <w:vertAlign w:val="subscript"/>
        </w:rPr>
        <w:t xml:space="preserve"> </w:t>
      </w:r>
      <w:r w:rsidRPr="00CF4B30">
        <w:t xml:space="preserve"> the current collector has visibly coarsened into 1 </w:t>
      </w:r>
      <w:r w:rsidRPr="00CF4B30">
        <w:rPr>
          <w:rFonts w:cstheme="minorHAnsi"/>
        </w:rPr>
        <w:t>µ</w:t>
      </w:r>
      <w:r w:rsidRPr="00CF4B30">
        <w:t>m agglomerates on the surface of the electrode (</w:t>
      </w:r>
      <w:r w:rsidRPr="00CF4B30">
        <w:fldChar w:fldCharType="begin"/>
      </w:r>
      <w:r w:rsidRPr="00CF4B30">
        <w:instrText xml:space="preserve"> REF _Ref46302793 \h  \* MERGEFORMAT </w:instrText>
      </w:r>
      <w:r w:rsidRPr="00CF4B30">
        <w:fldChar w:fldCharType="separate"/>
      </w:r>
      <w:r w:rsidR="007E2B85">
        <w:t xml:space="preserve">Figure </w:t>
      </w:r>
      <w:r w:rsidR="007E2B85">
        <w:rPr>
          <w:noProof/>
        </w:rPr>
        <w:t>5.27</w:t>
      </w:r>
      <w:r w:rsidRPr="00CF4B30">
        <w:fldChar w:fldCharType="end"/>
      </w:r>
      <w:r w:rsidRPr="00CF4B30">
        <w:t>) Upon further inspection these rod-like particles do not appear to be in contact with one another which is a key reason as to why the conductivity of the current collector and consequently the R</w:t>
      </w:r>
      <w:r w:rsidRPr="00CF4B30">
        <w:rPr>
          <w:vertAlign w:val="subscript"/>
        </w:rPr>
        <w:t>P</w:t>
      </w:r>
      <w:r w:rsidRPr="00CF4B30">
        <w:t xml:space="preserve"> of increased</w:t>
      </w:r>
      <w:r w:rsidR="007E2B85">
        <w:t xml:space="preserve"> </w:t>
      </w:r>
      <w:r w:rsidR="007E2B85" w:rsidRPr="00CF4B30">
        <w:t>(</w:t>
      </w:r>
      <w:r w:rsidR="007E2B85" w:rsidRPr="00CF4B30">
        <w:fldChar w:fldCharType="begin"/>
      </w:r>
      <w:r w:rsidR="007E2B85" w:rsidRPr="00CF4B30">
        <w:instrText xml:space="preserve"> REF _Ref46302793 \h  \* MERGEFORMAT </w:instrText>
      </w:r>
      <w:r w:rsidR="007E2B85" w:rsidRPr="00CF4B30">
        <w:fldChar w:fldCharType="separate"/>
      </w:r>
      <w:r w:rsidR="007E2B85">
        <w:t xml:space="preserve">Figure </w:t>
      </w:r>
      <w:r w:rsidR="007E2B85">
        <w:rPr>
          <w:noProof/>
        </w:rPr>
        <w:t>5.27</w:t>
      </w:r>
      <w:r w:rsidR="007E2B85" w:rsidRPr="00CF4B30">
        <w:fldChar w:fldCharType="end"/>
      </w:r>
      <w:r w:rsidR="007E2B85" w:rsidRPr="00CF4B30">
        <w:t>)</w:t>
      </w:r>
      <w:r w:rsidR="007E2B85">
        <w:t>.</w:t>
      </w:r>
    </w:p>
    <w:p w14:paraId="4DAB73C6" w14:textId="5C0D4EA2" w:rsidR="00007F6C" w:rsidRPr="00CF4B30" w:rsidRDefault="00007F6C" w:rsidP="00007F6C">
      <w:pPr>
        <w:jc w:val="both"/>
      </w:pPr>
      <w:r w:rsidRPr="00CF4B30">
        <w:t>Additionally, the pinhole structure discussed by Majewski is not present in the silver current collector layer present for this sample</w:t>
      </w:r>
      <w:r>
        <w:t xml:space="preserve"> </w:t>
      </w:r>
      <w:r w:rsidRPr="00CF4B30">
        <w:fldChar w:fldCharType="begin" w:fldLock="1"/>
      </w:r>
      <w:r w:rsidR="00151775">
        <w:instrText>ADDIN CSL_CITATION {"citationItems":[{"id":"ITEM-1","itemData":{"DOI":"10.1007/s40243-018-0123-y","ISBN":"0123456789","ISSN":"21941467","abstract":"In this paper, the behaviour of silver as cathode conductive material, interconnect wire, and sealing for anode lead connection for microtubular solid oxide fuel cells (µSOFC) is reported. The changes in silver morphology are examined by scanning electron microscopy on cells that had been operated under reformed methane. It is found that using silver in an solid oxide fuel cell (SOFC) stack can improve the cell performance. However, it is also concluded that silver may be responsible for cell degradation. This report brings together and explains all the known problems with application of silver for SOFCs. The results show that silver is unstable in interconnect and in cathode environments. It is found that the process of cell passivation/activation promotes silver migration. The difference in thermal expansion of silver and sealant results in damage to the glass. It is concluded that when silver is exposed to a dual atmosphere condition, high levels of porosity formation is seen in the dense silver interconnect. The relevance of application of silver in SOFC stacks is discussed.","author":[{"dropping-particle":"","family":"Majewski","given":"Artur J.","non-dropping-particle":"","parse-names":false,"suffix":""},{"dropping-particle":"","family":"Dhir","given":"Aman","non-dropping-particle":"","parse-names":false,"suffix":""}],"container-title":"Materials for Renewable and Sustainable Energy","id":"ITEM-1","issue":"3","issued":{"date-parts":[["2018"]]},"page":"1-13","publisher":"Springer Berlin Heidelberg","title":"Application of silver in microtubular solid oxide fuel cells","type":"article-journal","volume":"7"},"uris":["http://www.mendeley.com/documents/?uuid=79eb06da-638d-45c6-af3a-6f20e4c857b7"]}],"mendeley":{"formattedCitation":"[442]","plainTextFormattedCitation":"[442]","previouslyFormattedCitation":"[442]"},"properties":{"noteIndex":0},"schema":"https://github.com/citation-style-language/schema/raw/master/csl-citation.json"}</w:instrText>
      </w:r>
      <w:r w:rsidRPr="00CF4B30">
        <w:fldChar w:fldCharType="separate"/>
      </w:r>
      <w:r w:rsidR="008B6E91" w:rsidRPr="008B6E91">
        <w:rPr>
          <w:noProof/>
        </w:rPr>
        <w:t>[442]</w:t>
      </w:r>
      <w:r w:rsidRPr="00CF4B30">
        <w:fldChar w:fldCharType="end"/>
      </w:r>
      <w:r w:rsidRPr="00CF4B30">
        <w:t xml:space="preserve">. The breakdown of the current collector layer has transitioned within 50 h to the formation of aggregates. This indicates that the layer has either succumbed to the formation of voids and split in separate particles or the layer has delaminated during ageing. The silver particles present in </w:t>
      </w:r>
      <w:r w:rsidR="007E2B85" w:rsidRPr="00CF4B30">
        <w:fldChar w:fldCharType="begin"/>
      </w:r>
      <w:r w:rsidR="007E2B85" w:rsidRPr="00CF4B30">
        <w:instrText xml:space="preserve"> REF _Ref46302793 \h  \* MERGEFORMAT </w:instrText>
      </w:r>
      <w:r w:rsidR="007E2B85" w:rsidRPr="00CF4B30">
        <w:fldChar w:fldCharType="separate"/>
      </w:r>
      <w:r w:rsidR="007E2B85">
        <w:t xml:space="preserve">Figure </w:t>
      </w:r>
      <w:r w:rsidR="007E2B85">
        <w:rPr>
          <w:noProof/>
        </w:rPr>
        <w:t>5.27</w:t>
      </w:r>
      <w:r w:rsidR="007E2B85" w:rsidRPr="00CF4B30">
        <w:fldChar w:fldCharType="end"/>
      </w:r>
      <w:r w:rsidRPr="00CF4B30">
        <w:t xml:space="preserve"> do not show the presence of any pores or pin holes which indicates delamination or diffusion the primary breakdown mechanism.  </w:t>
      </w:r>
    </w:p>
    <w:p w14:paraId="4F4FBFD7" w14:textId="2A25D323" w:rsidR="00007F6C" w:rsidRDefault="00007F6C" w:rsidP="00007F6C">
      <w:pPr>
        <w:jc w:val="both"/>
      </w:pPr>
      <w:r>
        <w:t xml:space="preserve">Another cause for concern is the fact that in these agglomerates dwarfs the pore network present (bar the cracking) in the image. The agglomerates larger than 200 nm exceed that of the 25 nm pores present in </w:t>
      </w:r>
      <w:r w:rsidR="007E2B85" w:rsidRPr="00CF4B30">
        <w:fldChar w:fldCharType="begin"/>
      </w:r>
      <w:r w:rsidR="007E2B85" w:rsidRPr="00CF4B30">
        <w:instrText xml:space="preserve"> REF _Ref46302793 \h  \* MERGEFORMAT </w:instrText>
      </w:r>
      <w:r w:rsidR="007E2B85" w:rsidRPr="00CF4B30">
        <w:fldChar w:fldCharType="separate"/>
      </w:r>
      <w:r w:rsidR="007E2B85">
        <w:t xml:space="preserve">Figure </w:t>
      </w:r>
      <w:r w:rsidR="007E2B85">
        <w:rPr>
          <w:noProof/>
        </w:rPr>
        <w:t>5.27</w:t>
      </w:r>
      <w:r w:rsidR="007E2B85" w:rsidRPr="00CF4B30">
        <w:fldChar w:fldCharType="end"/>
      </w:r>
      <w:r w:rsidR="007E2B85" w:rsidRPr="00CF4B30">
        <w:t xml:space="preserve"> </w:t>
      </w:r>
      <w:r>
        <w:t>This illustrates that pore blocking by the agglomerates is a key issue with the current collector system and one that would increase the R</w:t>
      </w:r>
      <w:r>
        <w:rPr>
          <w:vertAlign w:val="subscript"/>
        </w:rPr>
        <w:t>P</w:t>
      </w:r>
      <w:r>
        <w:t xml:space="preserve"> of the sample. This would hinder gas flow and transfer to the anode function layer and triple phase boundaries present in the infiltrated Ni-YSZ electrode.</w:t>
      </w:r>
    </w:p>
    <w:p w14:paraId="417F7146" w14:textId="5EF8A4D0" w:rsidR="00007F6C" w:rsidRDefault="007E2B85" w:rsidP="00007F6C">
      <w:pPr>
        <w:keepNext/>
        <w:jc w:val="center"/>
      </w:pPr>
      <w:r>
        <w:t xml:space="preserve"> </w:t>
      </w:r>
      <w:r>
        <w:rPr>
          <w:noProof/>
        </w:rPr>
        <w:drawing>
          <wp:inline distT="0" distB="0" distL="0" distR="0" wp14:anchorId="03D7AC4A" wp14:editId="0A864632">
            <wp:extent cx="5456393" cy="2517866"/>
            <wp:effectExtent l="0" t="0" r="0" b="0"/>
            <wp:docPr id="88" name="Picture 88" descr="A picture containing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rock&#10;&#10;Description automatically generated"/>
                    <pic:cNvPicPr/>
                  </pic:nvPicPr>
                  <pic:blipFill>
                    <a:blip r:embed="rId156">
                      <a:extLst>
                        <a:ext uri="{28A0092B-C50C-407E-A947-70E740481C1C}">
                          <a14:useLocalDpi xmlns:a14="http://schemas.microsoft.com/office/drawing/2010/main" val="0"/>
                        </a:ext>
                      </a:extLst>
                    </a:blip>
                    <a:stretch>
                      <a:fillRect/>
                    </a:stretch>
                  </pic:blipFill>
                  <pic:spPr>
                    <a:xfrm>
                      <a:off x="0" y="0"/>
                      <a:ext cx="5456393" cy="2517866"/>
                    </a:xfrm>
                    <a:prstGeom prst="rect">
                      <a:avLst/>
                    </a:prstGeom>
                  </pic:spPr>
                </pic:pic>
              </a:graphicData>
            </a:graphic>
          </wp:inline>
        </w:drawing>
      </w:r>
    </w:p>
    <w:p w14:paraId="51295FEC" w14:textId="5B23C74D" w:rsidR="00007F6C" w:rsidRDefault="00007F6C" w:rsidP="00007F6C">
      <w:pPr>
        <w:pStyle w:val="Caption"/>
      </w:pPr>
      <w:bookmarkStart w:id="502" w:name="_Ref46302793"/>
      <w:bookmarkStart w:id="503" w:name="_Toc69115042"/>
      <w:r>
        <w:t>Figure 5.</w:t>
      </w:r>
      <w:r w:rsidR="00B51F53">
        <w:fldChar w:fldCharType="begin"/>
      </w:r>
      <w:r w:rsidR="00B51F53">
        <w:instrText xml:space="preserve"> SEQ Figure \* ARABIC </w:instrText>
      </w:r>
      <w:r w:rsidR="00B51F53">
        <w:fldChar w:fldCharType="separate"/>
      </w:r>
      <w:r w:rsidR="006F6593">
        <w:rPr>
          <w:noProof/>
        </w:rPr>
        <w:t>27</w:t>
      </w:r>
      <w:r w:rsidR="00B51F53">
        <w:rPr>
          <w:noProof/>
        </w:rPr>
        <w:fldChar w:fldCharType="end"/>
      </w:r>
      <w:bookmarkEnd w:id="502"/>
      <w:r>
        <w:t xml:space="preserve">: Scanning electron micrograph of the surface of the </w:t>
      </w:r>
      <w:proofErr w:type="gramStart"/>
      <w:r>
        <w:t>50 h</w:t>
      </w:r>
      <w:proofErr w:type="gramEnd"/>
      <w:r>
        <w:t xml:space="preserve"> aged Ag//Ni-YSZ electrode (</w:t>
      </w:r>
      <w:r w:rsidR="007E2B85">
        <w:t xml:space="preserve">a. </w:t>
      </w:r>
      <w:r>
        <w:t>40,000x magnification</w:t>
      </w:r>
      <w:r w:rsidR="007E2B85">
        <w:t xml:space="preserve"> and b. 100,000x</w:t>
      </w:r>
      <w:r>
        <w:t>)</w:t>
      </w:r>
      <w:bookmarkEnd w:id="503"/>
    </w:p>
    <w:p w14:paraId="06A1ADD7" w14:textId="77777777" w:rsidR="007E2B85" w:rsidRPr="007E2B85" w:rsidRDefault="007E2B85" w:rsidP="007E2B85"/>
    <w:p w14:paraId="76398486" w14:textId="77777777" w:rsidR="00007F6C" w:rsidRDefault="00007F6C" w:rsidP="00007F6C">
      <w:pPr>
        <w:pStyle w:val="Heading4"/>
        <w:jc w:val="both"/>
      </w:pPr>
      <w:r w:rsidRPr="00D8600C">
        <w:t>Au</w:t>
      </w:r>
    </w:p>
    <w:p w14:paraId="179DFBB3" w14:textId="77777777" w:rsidR="00007F6C" w:rsidRPr="003A5D6E" w:rsidRDefault="00007F6C" w:rsidP="00007F6C">
      <w:pPr>
        <w:jc w:val="both"/>
      </w:pPr>
      <w:r>
        <w:t>The gold current also appeared to have broken down during the ageing process under the 800</w:t>
      </w:r>
      <w:r>
        <w:rPr>
          <w:rFonts w:cstheme="minorHAnsi"/>
        </w:rPr>
        <w:t>⁰</w:t>
      </w:r>
      <w:r>
        <w:t>C (10% H</w:t>
      </w:r>
      <w:r>
        <w:rPr>
          <w:vertAlign w:val="subscript"/>
        </w:rPr>
        <w:t>2</w:t>
      </w:r>
      <w:r>
        <w:t>/N</w:t>
      </w:r>
      <w:r>
        <w:rPr>
          <w:vertAlign w:val="subscript"/>
        </w:rPr>
        <w:t>2</w:t>
      </w:r>
      <w:r>
        <w:t xml:space="preserve">) atmosphere.  In the case for the gold current collector the elevated temperatures. Blocky 1 </w:t>
      </w:r>
      <w:r>
        <w:rPr>
          <w:rFonts w:cstheme="minorHAnsi"/>
        </w:rPr>
        <w:t>µ</w:t>
      </w:r>
      <w:r>
        <w:t xml:space="preserve">m agglomerates can be seen in </w:t>
      </w:r>
      <w:r>
        <w:fldChar w:fldCharType="begin"/>
      </w:r>
      <w:r>
        <w:instrText xml:space="preserve"> REF _Ref48030636 \h  \* MERGEFORMAT </w:instrText>
      </w:r>
      <w:r>
        <w:fldChar w:fldCharType="separate"/>
      </w:r>
      <w:r>
        <w:t xml:space="preserve">Figure </w:t>
      </w:r>
      <w:r>
        <w:rPr>
          <w:noProof/>
        </w:rPr>
        <w:t>5.34</w:t>
      </w:r>
      <w:r>
        <w:fldChar w:fldCharType="end"/>
      </w:r>
      <w:r>
        <w:t xml:space="preserve"> and </w:t>
      </w:r>
      <w:r>
        <w:fldChar w:fldCharType="begin"/>
      </w:r>
      <w:r>
        <w:instrText xml:space="preserve"> REF _Ref48030638 \h  \* MERGEFORMAT </w:instrText>
      </w:r>
      <w:r>
        <w:fldChar w:fldCharType="separate"/>
      </w:r>
      <w:r>
        <w:t>Figure 5.35</w:t>
      </w:r>
      <w:r>
        <w:fldChar w:fldCharType="end"/>
      </w:r>
      <w:r>
        <w:t xml:space="preserve"> to have formed on the surface of the electrode.  In contrast with its silver counterpart these particles have a spherical morphology.</w:t>
      </w:r>
    </w:p>
    <w:p w14:paraId="22CDAE9D" w14:textId="77777777" w:rsidR="00007F6C" w:rsidRDefault="00007F6C" w:rsidP="00007F6C">
      <w:pPr>
        <w:keepNext/>
        <w:jc w:val="center"/>
      </w:pPr>
      <w:r>
        <w:rPr>
          <w:noProof/>
        </w:rPr>
        <w:lastRenderedPageBreak/>
        <w:drawing>
          <wp:inline distT="0" distB="0" distL="0" distR="0" wp14:anchorId="35B0FECE" wp14:editId="622BF54F">
            <wp:extent cx="3600000" cy="3315223"/>
            <wp:effectExtent l="0" t="0" r="635" b="0"/>
            <wp:docPr id="340" name="Picture 340" descr="A picture containing photo, table, cake,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photo, table, cake, old&#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600000" cy="3315223"/>
                    </a:xfrm>
                    <a:prstGeom prst="rect">
                      <a:avLst/>
                    </a:prstGeom>
                  </pic:spPr>
                </pic:pic>
              </a:graphicData>
            </a:graphic>
          </wp:inline>
        </w:drawing>
      </w:r>
    </w:p>
    <w:p w14:paraId="47B0736F" w14:textId="10268C32" w:rsidR="00007F6C" w:rsidRDefault="00007F6C" w:rsidP="00007F6C">
      <w:pPr>
        <w:pStyle w:val="Caption"/>
      </w:pPr>
      <w:bookmarkStart w:id="504" w:name="_Ref48030636"/>
      <w:bookmarkStart w:id="505" w:name="_Toc69115043"/>
      <w:r>
        <w:t>Figure 5.</w:t>
      </w:r>
      <w:r w:rsidR="00B51F53">
        <w:fldChar w:fldCharType="begin"/>
      </w:r>
      <w:r w:rsidR="00B51F53">
        <w:instrText xml:space="preserve"> SEQ </w:instrText>
      </w:r>
      <w:r w:rsidR="00B51F53">
        <w:instrText xml:space="preserve">Figure \* ARABIC </w:instrText>
      </w:r>
      <w:r w:rsidR="00B51F53">
        <w:fldChar w:fldCharType="separate"/>
      </w:r>
      <w:r w:rsidR="007E2B85">
        <w:rPr>
          <w:noProof/>
        </w:rPr>
        <w:t>28</w:t>
      </w:r>
      <w:r w:rsidR="00B51F53">
        <w:rPr>
          <w:noProof/>
        </w:rPr>
        <w:fldChar w:fldCharType="end"/>
      </w:r>
      <w:bookmarkEnd w:id="504"/>
      <w:r>
        <w:t xml:space="preserve">: Scanning </w:t>
      </w:r>
      <w:r w:rsidRPr="006647B8">
        <w:t>electron</w:t>
      </w:r>
      <w:r>
        <w:t xml:space="preserve"> micrograph of the surface of the Ni-YSZ electrode after 20h of ageing. The gold current collector has broken down as shown by the large chunks on the surface 25000x)</w:t>
      </w:r>
      <w:bookmarkEnd w:id="505"/>
    </w:p>
    <w:p w14:paraId="57493E38" w14:textId="4760798C" w:rsidR="00007F6C" w:rsidRPr="006F4F97" w:rsidRDefault="00007F6C" w:rsidP="00007F6C">
      <w:pPr>
        <w:jc w:val="both"/>
      </w:pPr>
      <w:r w:rsidRPr="006F4F97">
        <w:t xml:space="preserve">Similar microstructural features to the silver coated sample can be seen in </w:t>
      </w:r>
      <w:r w:rsidRPr="006F4F97">
        <w:fldChar w:fldCharType="begin"/>
      </w:r>
      <w:r w:rsidRPr="006F4F97">
        <w:instrText xml:space="preserve"> REF _Ref48030638 \h </w:instrText>
      </w:r>
      <w:r>
        <w:instrText xml:space="preserve"> \* MERGEFORMAT </w:instrText>
      </w:r>
      <w:r w:rsidRPr="006F4F97">
        <w:fldChar w:fldCharType="separate"/>
      </w:r>
      <w:r w:rsidR="007E2B85">
        <w:t xml:space="preserve">Figure </w:t>
      </w:r>
      <w:r w:rsidR="007E2B85">
        <w:rPr>
          <w:noProof/>
        </w:rPr>
        <w:t>5.29</w:t>
      </w:r>
      <w:r w:rsidRPr="006F4F97">
        <w:fldChar w:fldCharType="end"/>
      </w:r>
      <w:r w:rsidRPr="006F4F97">
        <w:t xml:space="preserve">. The delaminated region </w:t>
      </w:r>
      <w:r>
        <w:t xml:space="preserve">shows the remnants of the gold layer very similarly to the top right-hand corner of </w:t>
      </w:r>
      <w:r>
        <w:fldChar w:fldCharType="begin"/>
      </w:r>
      <w:r>
        <w:instrText xml:space="preserve"> REF _Ref48030636 \h </w:instrText>
      </w:r>
      <w:r>
        <w:fldChar w:fldCharType="separate"/>
      </w:r>
      <w:r w:rsidR="007E2B85">
        <w:t>Figure 5.</w:t>
      </w:r>
      <w:r w:rsidR="007E2B85">
        <w:rPr>
          <w:noProof/>
        </w:rPr>
        <w:t>28</w:t>
      </w:r>
      <w:r>
        <w:fldChar w:fldCharType="end"/>
      </w:r>
      <w:r>
        <w:t>. The gold particles do not appear to exceed that of the silver sample.</w:t>
      </w:r>
    </w:p>
    <w:p w14:paraId="2FE4BC77" w14:textId="77777777" w:rsidR="00007F6C" w:rsidRDefault="00007F6C" w:rsidP="00007F6C">
      <w:pPr>
        <w:jc w:val="center"/>
      </w:pPr>
      <w:r w:rsidRPr="00D62B9C">
        <w:rPr>
          <w:noProof/>
          <w:lang w:eastAsia="en-GB"/>
        </w:rPr>
        <w:drawing>
          <wp:inline distT="0" distB="0" distL="0" distR="0" wp14:anchorId="4B6EB4AF" wp14:editId="7116875F">
            <wp:extent cx="3600000" cy="2700000"/>
            <wp:effectExtent l="0" t="0" r="635" b="5715"/>
            <wp:docPr id="341" name="Picture 341" descr="J:\Current collector monitoring 16.01.2020\P3_BO_50h aged_Au peeled region 10000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Current collector monitoring 16.01.2020\P3_BO_50h aged_Au peeled region 10000x.tif"/>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600000" cy="2700000"/>
                    </a:xfrm>
                    <a:prstGeom prst="rect">
                      <a:avLst/>
                    </a:prstGeom>
                    <a:noFill/>
                    <a:ln>
                      <a:noFill/>
                    </a:ln>
                  </pic:spPr>
                </pic:pic>
              </a:graphicData>
            </a:graphic>
          </wp:inline>
        </w:drawing>
      </w:r>
    </w:p>
    <w:p w14:paraId="751EFE10" w14:textId="1CC993B5" w:rsidR="00007F6C" w:rsidRDefault="00007F6C" w:rsidP="00007F6C">
      <w:pPr>
        <w:pStyle w:val="Caption"/>
      </w:pPr>
      <w:bookmarkStart w:id="506" w:name="_Ref48030638"/>
      <w:bookmarkStart w:id="507" w:name="_Toc69115044"/>
      <w:r>
        <w:t>Figure 5.</w:t>
      </w:r>
      <w:r w:rsidR="00B51F53">
        <w:fldChar w:fldCharType="begin"/>
      </w:r>
      <w:r w:rsidR="00B51F53">
        <w:instrText xml:space="preserve"> SEQ Figure \* ARABIC </w:instrText>
      </w:r>
      <w:r w:rsidR="00B51F53">
        <w:fldChar w:fldCharType="separate"/>
      </w:r>
      <w:r w:rsidR="007E2B85">
        <w:rPr>
          <w:noProof/>
        </w:rPr>
        <w:t>29</w:t>
      </w:r>
      <w:r w:rsidR="00B51F53">
        <w:rPr>
          <w:noProof/>
        </w:rPr>
        <w:fldChar w:fldCharType="end"/>
      </w:r>
      <w:bookmarkEnd w:id="506"/>
      <w:r>
        <w:t xml:space="preserve">: Scanning electron micrograph of the </w:t>
      </w:r>
      <w:r w:rsidRPr="005D5675">
        <w:t xml:space="preserve">surface of the </w:t>
      </w:r>
      <w:r w:rsidRPr="006647B8">
        <w:t>50h</w:t>
      </w:r>
      <w:r w:rsidRPr="005D5675">
        <w:t xml:space="preserve"> aged Ni-YSZ. The region shown is a position where the gold current collector delaminated from the </w:t>
      </w:r>
      <w:proofErr w:type="gramStart"/>
      <w:r w:rsidRPr="005D5675">
        <w:t>sample</w:t>
      </w:r>
      <w:bookmarkEnd w:id="507"/>
      <w:proofErr w:type="gramEnd"/>
    </w:p>
    <w:p w14:paraId="4105AE0A" w14:textId="77777777" w:rsidR="00007F6C" w:rsidRDefault="00007F6C" w:rsidP="00007F6C">
      <w:pPr>
        <w:jc w:val="both"/>
      </w:pPr>
      <w:r>
        <w:t xml:space="preserve">The large difference in atomic number between the gold current collector and the nickel particles was not evident when using the back-scattered electron detector. The gold on the back scattered electron micrograph should be the brightest phase in the image. This indicates that the gold current has alloyed with the catalyst. </w:t>
      </w:r>
    </w:p>
    <w:p w14:paraId="11F283C9" w14:textId="033D64D7" w:rsidR="00007F6C" w:rsidRDefault="00C73B12" w:rsidP="00C73B12">
      <w:pPr>
        <w:keepNext/>
        <w:jc w:val="center"/>
      </w:pPr>
      <w:r>
        <w:rPr>
          <w:noProof/>
        </w:rPr>
        <w:lastRenderedPageBreak/>
        <w:drawing>
          <wp:anchor distT="0" distB="0" distL="114300" distR="114300" simplePos="0" relativeHeight="251667456" behindDoc="0" locked="0" layoutInCell="1" allowOverlap="1" wp14:anchorId="085433A3" wp14:editId="0A881E4B">
            <wp:simplePos x="0" y="0"/>
            <wp:positionH relativeFrom="column">
              <wp:posOffset>167640</wp:posOffset>
            </wp:positionH>
            <wp:positionV relativeFrom="paragraph">
              <wp:posOffset>0</wp:posOffset>
            </wp:positionV>
            <wp:extent cx="2700000" cy="2486417"/>
            <wp:effectExtent l="0" t="0" r="5715" b="0"/>
            <wp:wrapSquare wrapText="bothSides"/>
            <wp:docPr id="342" name="Picture 342" descr="A close up of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close up of a rock&#10;&#10;Description automatically generated"/>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700000" cy="2486417"/>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5EB10DD" wp14:editId="779B4464">
            <wp:extent cx="2700000" cy="2486417"/>
            <wp:effectExtent l="0" t="0" r="5715" b="0"/>
            <wp:docPr id="343" name="Picture 343" descr="A picture containing honeycomb, 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honeycomb, rain&#10;&#10;Description automatically generated"/>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700000" cy="2486417"/>
                    </a:xfrm>
                    <a:prstGeom prst="rect">
                      <a:avLst/>
                    </a:prstGeom>
                  </pic:spPr>
                </pic:pic>
              </a:graphicData>
            </a:graphic>
          </wp:inline>
        </w:drawing>
      </w:r>
      <w:r>
        <w:br w:type="textWrapping" w:clear="all"/>
      </w:r>
    </w:p>
    <w:p w14:paraId="369200EF" w14:textId="5821A207" w:rsidR="00007F6C" w:rsidRDefault="00007F6C" w:rsidP="00C73B12">
      <w:pPr>
        <w:pStyle w:val="Caption"/>
      </w:pPr>
      <w:bookmarkStart w:id="508" w:name="_Ref68093389"/>
      <w:bookmarkStart w:id="509" w:name="_Toc69115045"/>
      <w:r>
        <w:t>Figure 5.</w:t>
      </w:r>
      <w:r w:rsidR="00B51F53">
        <w:fldChar w:fldCharType="begin"/>
      </w:r>
      <w:r w:rsidR="00B51F53">
        <w:instrText xml:space="preserve"> SEQ Fig</w:instrText>
      </w:r>
      <w:r w:rsidR="00B51F53">
        <w:instrText xml:space="preserve">ure \* ARABIC </w:instrText>
      </w:r>
      <w:r w:rsidR="00B51F53">
        <w:fldChar w:fldCharType="separate"/>
      </w:r>
      <w:r w:rsidR="007E2B85">
        <w:rPr>
          <w:noProof/>
        </w:rPr>
        <w:t>30</w:t>
      </w:r>
      <w:r w:rsidR="00B51F53">
        <w:rPr>
          <w:noProof/>
        </w:rPr>
        <w:fldChar w:fldCharType="end"/>
      </w:r>
      <w:bookmarkEnd w:id="508"/>
      <w:r>
        <w:t>:  Micrograph</w:t>
      </w:r>
      <w:r w:rsidR="00C73B12">
        <w:t>s</w:t>
      </w:r>
      <w:r>
        <w:t xml:space="preserve"> of the surface of the Ni-YSZ gold electrode after 20 h of ageing using back-scattered electrons. The gold current collector has broken down as shown by the large chunks on the surface 25000x).</w:t>
      </w:r>
      <w:r w:rsidR="00C73B12">
        <w:t xml:space="preserve"> The right-hand micrograph is an inverted. The white, light grey, dark grey and black denote the pores, YSZ, nickel/gold alloy and gold </w:t>
      </w:r>
      <w:proofErr w:type="gramStart"/>
      <w:r w:rsidR="00C73B12">
        <w:t>respectively</w:t>
      </w:r>
      <w:bookmarkEnd w:id="509"/>
      <w:proofErr w:type="gramEnd"/>
    </w:p>
    <w:p w14:paraId="58B1E1EB" w14:textId="4EFBAFB9" w:rsidR="00007F6C" w:rsidRPr="004B3000" w:rsidRDefault="00007F6C" w:rsidP="00007F6C">
      <w:pPr>
        <w:jc w:val="both"/>
      </w:pPr>
      <w:r>
        <w:t>Inverting the micrograph in FIJ</w:t>
      </w:r>
      <w:r w:rsidR="007E2B85">
        <w:t>I</w:t>
      </w:r>
      <w:r>
        <w:t xml:space="preserve">, showed the presence of some dark gold-rich regions (black) in the large agglomerates present on the surface of the sample </w:t>
      </w:r>
      <w:r w:rsidR="00C73B12">
        <w:t>(</w:t>
      </w:r>
      <w:r w:rsidR="00C73B12">
        <w:fldChar w:fldCharType="begin"/>
      </w:r>
      <w:r w:rsidR="00C73B12">
        <w:instrText xml:space="preserve"> REF _Ref68093389 \h </w:instrText>
      </w:r>
      <w:r w:rsidR="00C73B12">
        <w:fldChar w:fldCharType="separate"/>
      </w:r>
      <w:r w:rsidR="007E2B85">
        <w:t>Figure 5.</w:t>
      </w:r>
      <w:r w:rsidR="007E2B85">
        <w:rPr>
          <w:noProof/>
        </w:rPr>
        <w:t>30</w:t>
      </w:r>
      <w:r w:rsidR="00C73B12">
        <w:fldChar w:fldCharType="end"/>
      </w:r>
      <w:r w:rsidR="00C73B12">
        <w:t>)</w:t>
      </w:r>
      <w:r>
        <w:t>. However, the microstructure is dominated by a series of dark grey particles, these particles consist of the nickel gold alloy.</w:t>
      </w:r>
    </w:p>
    <w:p w14:paraId="458483AB" w14:textId="24A1FD96" w:rsidR="008C6D9B" w:rsidRDefault="000D707F" w:rsidP="00007F6C">
      <w:pPr>
        <w:jc w:val="both"/>
      </w:pPr>
      <w:r>
        <w:t xml:space="preserve">To eliminate the possibility of the particles in </w:t>
      </w:r>
      <w:r>
        <w:fldChar w:fldCharType="begin"/>
      </w:r>
      <w:r>
        <w:instrText xml:space="preserve"> REF _Ref48030636 \h </w:instrText>
      </w:r>
      <w:r>
        <w:fldChar w:fldCharType="separate"/>
      </w:r>
      <w:r w:rsidR="007E2B85">
        <w:t>Figures 5.</w:t>
      </w:r>
      <w:r w:rsidR="007E2B85">
        <w:rPr>
          <w:noProof/>
        </w:rPr>
        <w:t>28</w:t>
      </w:r>
      <w:r>
        <w:fldChar w:fldCharType="end"/>
      </w:r>
      <w:r w:rsidR="007E2B85">
        <w:t xml:space="preserve"> – 5.30 </w:t>
      </w:r>
      <w:r>
        <w:t>being a product of the impedance jig gold pad degrad</w:t>
      </w:r>
      <w:r w:rsidR="00C73B12">
        <w:t>ation</w:t>
      </w:r>
      <w:r>
        <w:t xml:space="preserve"> repeat micrographs were taken of other 50 h aged samples in the batch. These were taken </w:t>
      </w:r>
      <w:r w:rsidR="008C6D9B">
        <w:t xml:space="preserve">on the </w:t>
      </w:r>
      <w:r w:rsidR="008C6D9B">
        <w:rPr>
          <w:rFonts w:cs="Arial"/>
        </w:rPr>
        <w:t>JEOL JSM-6010LA SEM</w:t>
      </w:r>
      <w:r w:rsidR="008C6D9B">
        <w:t xml:space="preserve">. The regions scanned </w:t>
      </w:r>
      <w:r w:rsidR="00C73B12">
        <w:t>were in positions where the current collector had visibly peeled away from the surface of the electrode</w:t>
      </w:r>
      <w:r w:rsidR="007E2B85">
        <w:t xml:space="preserve"> (</w:t>
      </w:r>
      <w:r w:rsidR="007E2B85">
        <w:fldChar w:fldCharType="begin"/>
      </w:r>
      <w:r w:rsidR="007E2B85">
        <w:instrText xml:space="preserve"> REF _Ref68872476 \h </w:instrText>
      </w:r>
      <w:r w:rsidR="007E2B85">
        <w:fldChar w:fldCharType="separate"/>
      </w:r>
      <w:r w:rsidR="007E2B85">
        <w:t>Figure 5.</w:t>
      </w:r>
      <w:r w:rsidR="007E2B85">
        <w:rPr>
          <w:noProof/>
        </w:rPr>
        <w:t>31</w:t>
      </w:r>
      <w:r w:rsidR="007E2B85">
        <w:fldChar w:fldCharType="end"/>
      </w:r>
      <w:r w:rsidR="007E2B85">
        <w:t>)</w:t>
      </w:r>
      <w:r w:rsidR="00C73B12">
        <w:t>.</w:t>
      </w:r>
    </w:p>
    <w:p w14:paraId="7E54E834" w14:textId="77777777" w:rsidR="00C73B12" w:rsidRDefault="00C73B12" w:rsidP="00C73B12">
      <w:pPr>
        <w:keepNext/>
        <w:jc w:val="center"/>
      </w:pPr>
      <w:r>
        <w:rPr>
          <w:noProof/>
        </w:rPr>
        <w:drawing>
          <wp:inline distT="0" distB="0" distL="0" distR="0" wp14:anchorId="41D35387" wp14:editId="7398E3BC">
            <wp:extent cx="3600000" cy="2714286"/>
            <wp:effectExtent l="0" t="0" r="635" b="0"/>
            <wp:docPr id="467" name="Picture 46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Graphical user interface&#10;&#10;Description automatically generated"/>
                    <pic:cNvPicPr/>
                  </pic:nvPicPr>
                  <pic:blipFill>
                    <a:blip r:embed="rId161">
                      <a:extLst>
                        <a:ext uri="{28A0092B-C50C-407E-A947-70E740481C1C}">
                          <a14:useLocalDpi xmlns:a14="http://schemas.microsoft.com/office/drawing/2010/main" val="0"/>
                        </a:ext>
                      </a:extLst>
                    </a:blip>
                    <a:stretch>
                      <a:fillRect/>
                    </a:stretch>
                  </pic:blipFill>
                  <pic:spPr>
                    <a:xfrm>
                      <a:off x="0" y="0"/>
                      <a:ext cx="3600000" cy="2714286"/>
                    </a:xfrm>
                    <a:prstGeom prst="rect">
                      <a:avLst/>
                    </a:prstGeom>
                  </pic:spPr>
                </pic:pic>
              </a:graphicData>
            </a:graphic>
          </wp:inline>
        </w:drawing>
      </w:r>
    </w:p>
    <w:p w14:paraId="1A5D1545" w14:textId="570C6345" w:rsidR="00C73B12" w:rsidRDefault="00C73B12" w:rsidP="00C73B12">
      <w:pPr>
        <w:pStyle w:val="Caption"/>
      </w:pPr>
      <w:bookmarkStart w:id="510" w:name="_Ref68872476"/>
      <w:bookmarkStart w:id="511" w:name="_Toc69115046"/>
      <w:r>
        <w:t xml:space="preserve">Figure </w:t>
      </w:r>
      <w:r w:rsidR="007E2B85">
        <w:t>5.</w:t>
      </w:r>
      <w:r w:rsidR="00B51F53">
        <w:fldChar w:fldCharType="begin"/>
      </w:r>
      <w:r w:rsidR="00B51F53">
        <w:instrText xml:space="preserve"> SEQ Figure \* ARABIC </w:instrText>
      </w:r>
      <w:r w:rsidR="00B51F53">
        <w:fldChar w:fldCharType="separate"/>
      </w:r>
      <w:r w:rsidR="007E2B85">
        <w:rPr>
          <w:noProof/>
        </w:rPr>
        <w:t>31</w:t>
      </w:r>
      <w:r w:rsidR="00B51F53">
        <w:rPr>
          <w:noProof/>
        </w:rPr>
        <w:fldChar w:fldCharType="end"/>
      </w:r>
      <w:bookmarkEnd w:id="510"/>
      <w:r>
        <w:t xml:space="preserve">: </w:t>
      </w:r>
      <w:r w:rsidRPr="00C52CAD">
        <w:t xml:space="preserve">Micrograph of the surface of the </w:t>
      </w:r>
      <w:r>
        <w:t xml:space="preserve">interface between the </w:t>
      </w:r>
      <w:r w:rsidRPr="00C52CAD">
        <w:t xml:space="preserve">Ni-YSZ </w:t>
      </w:r>
      <w:r>
        <w:t>electrode and the gold current collector layer after 50 h of ageing.</w:t>
      </w:r>
      <w:r w:rsidRPr="00C52CAD">
        <w:t xml:space="preserve"> The gold current collector has broken down as shown by the large chunks on the surface </w:t>
      </w:r>
      <w:r>
        <w:t>10,</w:t>
      </w:r>
      <w:r w:rsidRPr="00C52CAD">
        <w:t>000x).</w:t>
      </w:r>
      <w:bookmarkEnd w:id="511"/>
    </w:p>
    <w:p w14:paraId="3B34DE9F" w14:textId="3FFBEB24" w:rsidR="00007F6C" w:rsidRDefault="00C73B12" w:rsidP="00C73B12">
      <w:r>
        <w:t xml:space="preserve">The white square region shows the visible breakdown of the layer at the interface between the gold layer and the electrode where a minimum of three gold rich particles have sheared from the current collector. This supports the degradation of the gold current collector is the primary degradation mechanism in these samples. </w:t>
      </w:r>
      <w:r w:rsidR="00007F6C">
        <w:br w:type="page"/>
      </w:r>
    </w:p>
    <w:p w14:paraId="764D42F7" w14:textId="77777777" w:rsidR="00007F6C" w:rsidRDefault="00007F6C" w:rsidP="00007F6C">
      <w:pPr>
        <w:pStyle w:val="Heading4"/>
        <w:jc w:val="both"/>
      </w:pPr>
      <w:proofErr w:type="spellStart"/>
      <w:r w:rsidRPr="00D8600C">
        <w:lastRenderedPageBreak/>
        <w:t>NiO</w:t>
      </w:r>
      <w:proofErr w:type="spellEnd"/>
    </w:p>
    <w:p w14:paraId="0D0EE955" w14:textId="152FA586" w:rsidR="00007F6C" w:rsidRPr="00C01827" w:rsidRDefault="00007F6C" w:rsidP="00007F6C">
      <w:pPr>
        <w:jc w:val="both"/>
      </w:pPr>
      <w:r>
        <w:t>After 50 h of ageing in the 800</w:t>
      </w:r>
      <w:r w:rsidR="00921E92">
        <w:t xml:space="preserve"> </w:t>
      </w:r>
      <w:r w:rsidR="00921E92">
        <w:rPr>
          <w:rFonts w:cstheme="minorHAnsi"/>
        </w:rPr>
        <w:t>°</w:t>
      </w:r>
      <w:r>
        <w:t>C (10</w:t>
      </w:r>
      <w:r w:rsidR="00921E92">
        <w:t xml:space="preserve"> </w:t>
      </w:r>
      <w:r>
        <w:t>% H</w:t>
      </w:r>
      <w:r>
        <w:rPr>
          <w:vertAlign w:val="subscript"/>
        </w:rPr>
        <w:t>2</w:t>
      </w:r>
      <w:r>
        <w:t>/N</w:t>
      </w:r>
      <w:r>
        <w:rPr>
          <w:vertAlign w:val="subscript"/>
        </w:rPr>
        <w:t>2</w:t>
      </w:r>
      <w:r>
        <w:t>) atmosphere, the nickel oxide current collector layer has also broken down. Large agglomerates formed on the surface of the electrode after ageing (</w:t>
      </w:r>
      <w:r>
        <w:fldChar w:fldCharType="begin"/>
      </w:r>
      <w:r>
        <w:instrText xml:space="preserve"> REF _Ref48219345 \h  \* MERGEFORMAT </w:instrText>
      </w:r>
      <w:r>
        <w:fldChar w:fldCharType="separate"/>
      </w:r>
      <w:r w:rsidR="00921E92">
        <w:t xml:space="preserve">Figure </w:t>
      </w:r>
      <w:r w:rsidR="00921E92">
        <w:rPr>
          <w:noProof/>
        </w:rPr>
        <w:t>5.32</w:t>
      </w:r>
      <w:r>
        <w:fldChar w:fldCharType="end"/>
      </w:r>
      <w:r>
        <w:t>). Back-scattered electron imaging and Weka 2D Segmentation was used to identify the positions of the Ni, YSZ and pore phases</w:t>
      </w:r>
      <w:r w:rsidR="00921E92">
        <w:t xml:space="preserve"> (</w:t>
      </w:r>
      <w:r w:rsidR="00921E92">
        <w:fldChar w:fldCharType="begin"/>
      </w:r>
      <w:r w:rsidR="00921E92">
        <w:instrText xml:space="preserve"> REF _Ref68872604 \h </w:instrText>
      </w:r>
      <w:r w:rsidR="00921E92">
        <w:fldChar w:fldCharType="separate"/>
      </w:r>
      <w:r w:rsidR="00921E92">
        <w:t>Figure 5.</w:t>
      </w:r>
      <w:r w:rsidR="00921E92">
        <w:rPr>
          <w:noProof/>
        </w:rPr>
        <w:t>33</w:t>
      </w:r>
      <w:r w:rsidR="00921E92">
        <w:fldChar w:fldCharType="end"/>
      </w:r>
      <w:r w:rsidR="00921E92">
        <w:t xml:space="preserve">, </w:t>
      </w:r>
      <w:r w:rsidR="00921E92">
        <w:fldChar w:fldCharType="begin"/>
      </w:r>
      <w:r w:rsidR="00921E92">
        <w:instrText xml:space="preserve"> REF _Ref68872651 \h </w:instrText>
      </w:r>
      <w:r w:rsidR="00921E92">
        <w:fldChar w:fldCharType="separate"/>
      </w:r>
      <w:r w:rsidR="00921E92">
        <w:t>Table 5.</w:t>
      </w:r>
      <w:r w:rsidR="00921E92">
        <w:rPr>
          <w:noProof/>
        </w:rPr>
        <w:t>12</w:t>
      </w:r>
      <w:r w:rsidR="00921E92">
        <w:fldChar w:fldCharType="end"/>
      </w:r>
      <w:r w:rsidR="00921E92">
        <w:t>)</w:t>
      </w:r>
      <w:r>
        <w:t xml:space="preserve">. Two regions were analysed the edge and the centre of the current collector layer. The average agglomerate diameter for the edge was measured as 438 </w:t>
      </w:r>
      <w:r>
        <w:rPr>
          <w:rFonts w:cstheme="minorHAnsi"/>
        </w:rPr>
        <w:t>±</w:t>
      </w:r>
      <w:r>
        <w:t xml:space="preserve">1 nm. </w:t>
      </w:r>
    </w:p>
    <w:p w14:paraId="101A0F10" w14:textId="77777777" w:rsidR="00007F6C" w:rsidRDefault="00007F6C" w:rsidP="00007F6C">
      <w:pPr>
        <w:keepNext/>
        <w:jc w:val="center"/>
      </w:pPr>
      <w:r>
        <w:rPr>
          <w:noProof/>
        </w:rPr>
        <w:drawing>
          <wp:inline distT="0" distB="0" distL="0" distR="0" wp14:anchorId="63485569" wp14:editId="690189DE">
            <wp:extent cx="3600000" cy="3314425"/>
            <wp:effectExtent l="0" t="0" r="635" b="63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600000" cy="3314425"/>
                    </a:xfrm>
                    <a:prstGeom prst="rect">
                      <a:avLst/>
                    </a:prstGeom>
                    <a:noFill/>
                    <a:ln>
                      <a:noFill/>
                    </a:ln>
                  </pic:spPr>
                </pic:pic>
              </a:graphicData>
            </a:graphic>
          </wp:inline>
        </w:drawing>
      </w:r>
    </w:p>
    <w:p w14:paraId="52C0A098" w14:textId="6779A296" w:rsidR="00007F6C" w:rsidRDefault="00007F6C" w:rsidP="00007F6C">
      <w:pPr>
        <w:pStyle w:val="Caption"/>
      </w:pPr>
      <w:bookmarkStart w:id="512" w:name="_Ref48219345"/>
      <w:bookmarkStart w:id="513" w:name="_Toc69115047"/>
      <w:r>
        <w:t>Figure 5.</w:t>
      </w:r>
      <w:r w:rsidR="00B51F53">
        <w:fldChar w:fldCharType="begin"/>
      </w:r>
      <w:r w:rsidR="00B51F53">
        <w:instrText xml:space="preserve"> SEQ Figure \* ARABIC</w:instrText>
      </w:r>
      <w:r w:rsidR="00B51F53">
        <w:instrText xml:space="preserve"> </w:instrText>
      </w:r>
      <w:r w:rsidR="00B51F53">
        <w:fldChar w:fldCharType="separate"/>
      </w:r>
      <w:r w:rsidR="00921E92">
        <w:rPr>
          <w:noProof/>
        </w:rPr>
        <w:t>32</w:t>
      </w:r>
      <w:r w:rsidR="00B51F53">
        <w:rPr>
          <w:noProof/>
        </w:rPr>
        <w:fldChar w:fldCharType="end"/>
      </w:r>
      <w:bookmarkEnd w:id="512"/>
      <w:r>
        <w:t>: Scanning electron micrograph of the surface (Edge Site) of the Ni-YSZ electrode after 50h of ageing. The nickel oxide current collector has broken down as shown by the large chunks on the surface 50000x)</w:t>
      </w:r>
      <w:bookmarkEnd w:id="513"/>
    </w:p>
    <w:p w14:paraId="42DDC182" w14:textId="77777777" w:rsidR="00007F6C" w:rsidRDefault="00007F6C" w:rsidP="00007F6C">
      <w:pPr>
        <w:keepNext/>
        <w:jc w:val="center"/>
      </w:pPr>
      <w:r>
        <w:rPr>
          <w:noProof/>
        </w:rPr>
        <w:drawing>
          <wp:inline distT="0" distB="0" distL="0" distR="0" wp14:anchorId="7B12E9A1" wp14:editId="1F99B97B">
            <wp:extent cx="3600000" cy="3314425"/>
            <wp:effectExtent l="0" t="0" r="635" b="63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600000" cy="3314425"/>
                    </a:xfrm>
                    <a:prstGeom prst="rect">
                      <a:avLst/>
                    </a:prstGeom>
                    <a:noFill/>
                    <a:ln>
                      <a:noFill/>
                    </a:ln>
                  </pic:spPr>
                </pic:pic>
              </a:graphicData>
            </a:graphic>
          </wp:inline>
        </w:drawing>
      </w:r>
    </w:p>
    <w:p w14:paraId="50556D58" w14:textId="3A81D438" w:rsidR="00007F6C" w:rsidRDefault="00007F6C" w:rsidP="00007F6C">
      <w:pPr>
        <w:pStyle w:val="Caption"/>
      </w:pPr>
      <w:bookmarkStart w:id="514" w:name="_Ref68872604"/>
      <w:bookmarkStart w:id="515" w:name="_Toc69115048"/>
      <w:r>
        <w:t>Figure 5.</w:t>
      </w:r>
      <w:r w:rsidR="00B51F53">
        <w:fldChar w:fldCharType="begin"/>
      </w:r>
      <w:r w:rsidR="00B51F53">
        <w:instrText xml:space="preserve"> SEQ Figure \* ARABIC </w:instrText>
      </w:r>
      <w:r w:rsidR="00B51F53">
        <w:fldChar w:fldCharType="separate"/>
      </w:r>
      <w:r w:rsidR="00921E92">
        <w:rPr>
          <w:noProof/>
        </w:rPr>
        <w:t>33</w:t>
      </w:r>
      <w:r w:rsidR="00B51F53">
        <w:rPr>
          <w:noProof/>
        </w:rPr>
        <w:fldChar w:fldCharType="end"/>
      </w:r>
      <w:bookmarkEnd w:id="514"/>
      <w:r>
        <w:t>: Back scattered electron micrograph of the surface (Edge Site) of the Ni-YSZ electrode after 50h of ageing. The nickel oxide current collector has broken down as shown by the large chunks on the surface 50000x)</w:t>
      </w:r>
      <w:bookmarkEnd w:id="515"/>
    </w:p>
    <w:p w14:paraId="7850AFFE" w14:textId="37437AFB" w:rsidR="00007F6C" w:rsidRDefault="00007F6C" w:rsidP="00A76B92">
      <w:pPr>
        <w:pStyle w:val="Caption"/>
        <w:spacing w:after="240"/>
      </w:pPr>
      <w:bookmarkStart w:id="516" w:name="_Ref68872651"/>
      <w:r>
        <w:lastRenderedPageBreak/>
        <w:t>Table 5.</w:t>
      </w:r>
      <w:r w:rsidR="00B51F53">
        <w:fldChar w:fldCharType="begin"/>
      </w:r>
      <w:r w:rsidR="00B51F53">
        <w:instrText xml:space="preserve"> SEQ Table \* ARABIC </w:instrText>
      </w:r>
      <w:r w:rsidR="00B51F53">
        <w:fldChar w:fldCharType="separate"/>
      </w:r>
      <w:r w:rsidR="00921E92">
        <w:rPr>
          <w:noProof/>
        </w:rPr>
        <w:t>12</w:t>
      </w:r>
      <w:r w:rsidR="00B51F53">
        <w:rPr>
          <w:noProof/>
        </w:rPr>
        <w:fldChar w:fldCharType="end"/>
      </w:r>
      <w:bookmarkEnd w:id="516"/>
      <w:r>
        <w:t xml:space="preserve">: Table of the Ni, YSZ and pores segmented in the edge site of the Nickel current collector Ni-YSZ sample using Weka Segmentation in FIJI. The white denotes the segmented phase probability distribution </w:t>
      </w:r>
      <w:proofErr w:type="gramStart"/>
      <w:r>
        <w:t>calculated</w:t>
      </w:r>
      <w:proofErr w:type="gramEnd"/>
    </w:p>
    <w:tbl>
      <w:tblPr>
        <w:tblStyle w:val="TableGrid"/>
        <w:tblW w:w="5000" w:type="pct"/>
        <w:jc w:val="center"/>
        <w:tblLook w:val="04A0" w:firstRow="1" w:lastRow="0" w:firstColumn="1" w:lastColumn="0" w:noHBand="0" w:noVBand="1"/>
      </w:tblPr>
      <w:tblGrid>
        <w:gridCol w:w="3006"/>
        <w:gridCol w:w="3005"/>
        <w:gridCol w:w="3005"/>
      </w:tblGrid>
      <w:tr w:rsidR="00007F6C" w14:paraId="602B676B" w14:textId="77777777" w:rsidTr="005E2F1E">
        <w:trPr>
          <w:jc w:val="center"/>
        </w:trPr>
        <w:tc>
          <w:tcPr>
            <w:tcW w:w="1667" w:type="pct"/>
          </w:tcPr>
          <w:p w14:paraId="4A7C9A1C" w14:textId="77777777" w:rsidR="00007F6C" w:rsidRPr="00E23954" w:rsidRDefault="00007F6C" w:rsidP="005E2F1E">
            <w:pPr>
              <w:jc w:val="both"/>
              <w:rPr>
                <w:b/>
                <w:bCs/>
              </w:rPr>
            </w:pPr>
            <w:r w:rsidRPr="00E23954">
              <w:rPr>
                <w:b/>
                <w:bCs/>
              </w:rPr>
              <w:t>Nickel</w:t>
            </w:r>
          </w:p>
        </w:tc>
        <w:tc>
          <w:tcPr>
            <w:tcW w:w="1666" w:type="pct"/>
          </w:tcPr>
          <w:p w14:paraId="2931014F" w14:textId="77777777" w:rsidR="00007F6C" w:rsidRPr="00E23954" w:rsidRDefault="00007F6C" w:rsidP="005E2F1E">
            <w:pPr>
              <w:jc w:val="both"/>
              <w:rPr>
                <w:b/>
                <w:bCs/>
              </w:rPr>
            </w:pPr>
            <w:r w:rsidRPr="00E23954">
              <w:rPr>
                <w:b/>
                <w:bCs/>
              </w:rPr>
              <w:t>YSZ</w:t>
            </w:r>
          </w:p>
        </w:tc>
        <w:tc>
          <w:tcPr>
            <w:tcW w:w="1666" w:type="pct"/>
          </w:tcPr>
          <w:p w14:paraId="580C0512" w14:textId="77777777" w:rsidR="00007F6C" w:rsidRPr="00E23954" w:rsidRDefault="00007F6C" w:rsidP="005E2F1E">
            <w:pPr>
              <w:jc w:val="both"/>
              <w:rPr>
                <w:b/>
                <w:bCs/>
              </w:rPr>
            </w:pPr>
            <w:r w:rsidRPr="00E23954">
              <w:rPr>
                <w:b/>
                <w:bCs/>
              </w:rPr>
              <w:t>Pores</w:t>
            </w:r>
          </w:p>
        </w:tc>
      </w:tr>
      <w:tr w:rsidR="00007F6C" w14:paraId="03212D36" w14:textId="77777777" w:rsidTr="005E2F1E">
        <w:trPr>
          <w:trHeight w:val="2456"/>
          <w:jc w:val="center"/>
        </w:trPr>
        <w:tc>
          <w:tcPr>
            <w:tcW w:w="1667" w:type="pct"/>
          </w:tcPr>
          <w:p w14:paraId="7C2B5294" w14:textId="77777777" w:rsidR="00007F6C" w:rsidRDefault="00007F6C" w:rsidP="005E2F1E">
            <w:pPr>
              <w:jc w:val="both"/>
            </w:pPr>
            <w:r w:rsidRPr="00C01827">
              <w:rPr>
                <w:noProof/>
              </w:rPr>
              <w:drawing>
                <wp:anchor distT="0" distB="0" distL="114300" distR="114300" simplePos="0" relativeHeight="251662336" behindDoc="0" locked="0" layoutInCell="1" allowOverlap="1" wp14:anchorId="676D5E0D" wp14:editId="69BE05AB">
                  <wp:simplePos x="0" y="0"/>
                  <wp:positionH relativeFrom="column">
                    <wp:posOffset>635</wp:posOffset>
                  </wp:positionH>
                  <wp:positionV relativeFrom="paragraph">
                    <wp:posOffset>0</wp:posOffset>
                  </wp:positionV>
                  <wp:extent cx="1800000" cy="1543833"/>
                  <wp:effectExtent l="0" t="0" r="0" b="0"/>
                  <wp:wrapSquare wrapText="bothSides"/>
                  <wp:docPr id="346" name="Picture 4">
                    <a:extLst xmlns:a="http://schemas.openxmlformats.org/drawingml/2006/main">
                      <a:ext uri="{FF2B5EF4-FFF2-40B4-BE49-F238E27FC236}">
                        <a16:creationId xmlns:a16="http://schemas.microsoft.com/office/drawing/2014/main" id="{457A700F-6D4E-4972-B6D6-D21B73DBC7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57A700F-6D4E-4972-B6D6-D21B73DBC7D4}"/>
                              </a:ext>
                            </a:extLst>
                          </pic:cNvPr>
                          <pic:cNvPicPr>
                            <a:picLocks noChangeAspect="1"/>
                          </pic:cNvPicPr>
                        </pic:nvPicPr>
                        <pic:blipFill rotWithShape="1">
                          <a:blip r:embed="rId164" cstate="print">
                            <a:extLst>
                              <a:ext uri="{28A0092B-C50C-407E-A947-70E740481C1C}">
                                <a14:useLocalDpi xmlns:a14="http://schemas.microsoft.com/office/drawing/2010/main" val="0"/>
                              </a:ext>
                            </a:extLst>
                          </a:blip>
                          <a:srcRect l="14694" t="25714" r="44975" b="12789"/>
                          <a:stretch/>
                        </pic:blipFill>
                        <pic:spPr>
                          <a:xfrm>
                            <a:off x="0" y="0"/>
                            <a:ext cx="1800000" cy="1543833"/>
                          </a:xfrm>
                          <a:prstGeom prst="rect">
                            <a:avLst/>
                          </a:prstGeom>
                        </pic:spPr>
                      </pic:pic>
                    </a:graphicData>
                  </a:graphic>
                </wp:anchor>
              </w:drawing>
            </w:r>
          </w:p>
        </w:tc>
        <w:tc>
          <w:tcPr>
            <w:tcW w:w="1666" w:type="pct"/>
          </w:tcPr>
          <w:p w14:paraId="250BE863" w14:textId="77777777" w:rsidR="00007F6C" w:rsidRDefault="00007F6C" w:rsidP="005E2F1E">
            <w:pPr>
              <w:jc w:val="both"/>
            </w:pPr>
            <w:r w:rsidRPr="00E23954">
              <w:rPr>
                <w:noProof/>
              </w:rPr>
              <w:drawing>
                <wp:inline distT="0" distB="0" distL="0" distR="0" wp14:anchorId="39EC4F02" wp14:editId="399FCA0E">
                  <wp:extent cx="1800000" cy="1553143"/>
                  <wp:effectExtent l="0" t="0" r="0" b="9525"/>
                  <wp:docPr id="347" name="Picture 7">
                    <a:extLst xmlns:a="http://schemas.openxmlformats.org/drawingml/2006/main">
                      <a:ext uri="{FF2B5EF4-FFF2-40B4-BE49-F238E27FC236}">
                        <a16:creationId xmlns:a16="http://schemas.microsoft.com/office/drawing/2014/main" id="{73DD6D39-C984-42B4-9860-66406CF6E2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3DD6D39-C984-42B4-9860-66406CF6E207}"/>
                              </a:ext>
                            </a:extLst>
                          </pic:cNvPr>
                          <pic:cNvPicPr>
                            <a:picLocks noChangeAspect="1"/>
                          </pic:cNvPicPr>
                        </pic:nvPicPr>
                        <pic:blipFill rotWithShape="1">
                          <a:blip r:embed="rId165"/>
                          <a:srcRect l="31301" t="20952" r="28521" b="17415"/>
                          <a:stretch/>
                        </pic:blipFill>
                        <pic:spPr>
                          <a:xfrm>
                            <a:off x="0" y="0"/>
                            <a:ext cx="1800000" cy="1553143"/>
                          </a:xfrm>
                          <a:prstGeom prst="rect">
                            <a:avLst/>
                          </a:prstGeom>
                        </pic:spPr>
                      </pic:pic>
                    </a:graphicData>
                  </a:graphic>
                </wp:inline>
              </w:drawing>
            </w:r>
          </w:p>
        </w:tc>
        <w:tc>
          <w:tcPr>
            <w:tcW w:w="1666" w:type="pct"/>
          </w:tcPr>
          <w:p w14:paraId="54DED1BD" w14:textId="77777777" w:rsidR="00007F6C" w:rsidRDefault="00007F6C" w:rsidP="005E2F1E">
            <w:pPr>
              <w:jc w:val="both"/>
            </w:pPr>
            <w:r w:rsidRPr="00E23954">
              <w:rPr>
                <w:noProof/>
              </w:rPr>
              <w:drawing>
                <wp:inline distT="0" distB="0" distL="0" distR="0" wp14:anchorId="42175C1E" wp14:editId="1535CD5B">
                  <wp:extent cx="1800000" cy="1553143"/>
                  <wp:effectExtent l="0" t="0" r="0" b="9525"/>
                  <wp:docPr id="348" name="Picture 8">
                    <a:extLst xmlns:a="http://schemas.openxmlformats.org/drawingml/2006/main">
                      <a:ext uri="{FF2B5EF4-FFF2-40B4-BE49-F238E27FC236}">
                        <a16:creationId xmlns:a16="http://schemas.microsoft.com/office/drawing/2014/main" id="{BDE0546C-7851-460B-94CF-E3A3F9C075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BDE0546C-7851-460B-94CF-E3A3F9C07551}"/>
                              </a:ext>
                            </a:extLst>
                          </pic:cNvPr>
                          <pic:cNvPicPr>
                            <a:picLocks noChangeAspect="1"/>
                          </pic:cNvPicPr>
                        </pic:nvPicPr>
                        <pic:blipFill rotWithShape="1">
                          <a:blip r:embed="rId166"/>
                          <a:srcRect l="31301" t="20952" r="28520" b="17415"/>
                          <a:stretch/>
                        </pic:blipFill>
                        <pic:spPr>
                          <a:xfrm>
                            <a:off x="0" y="0"/>
                            <a:ext cx="1800000" cy="1553143"/>
                          </a:xfrm>
                          <a:prstGeom prst="rect">
                            <a:avLst/>
                          </a:prstGeom>
                        </pic:spPr>
                      </pic:pic>
                    </a:graphicData>
                  </a:graphic>
                </wp:inline>
              </w:drawing>
            </w:r>
          </w:p>
        </w:tc>
      </w:tr>
    </w:tbl>
    <w:p w14:paraId="0B7BDBA0" w14:textId="77777777" w:rsidR="00007F6C" w:rsidRDefault="00007F6C" w:rsidP="00A76B92">
      <w:pPr>
        <w:spacing w:before="240"/>
        <w:jc w:val="both"/>
      </w:pPr>
      <w:r>
        <w:t xml:space="preserve">The agglomerates found in the centre of the current collector layer were smaller than their edge counterparts. The average particle size for this region was calculated to be 278 </w:t>
      </w:r>
      <w:r>
        <w:rPr>
          <w:rFonts w:cstheme="minorHAnsi"/>
        </w:rPr>
        <w:t>±</w:t>
      </w:r>
      <w:r>
        <w:t>1 nm. Both regions showed a large breakdown of the current collector player into particles like the Gold and Silver coated samples.</w:t>
      </w:r>
    </w:p>
    <w:p w14:paraId="29A5376F" w14:textId="5CA11F2A" w:rsidR="00007F6C" w:rsidRDefault="00A76B92" w:rsidP="00007F6C">
      <w:pPr>
        <w:keepNext/>
        <w:jc w:val="center"/>
      </w:pPr>
      <w:r>
        <w:rPr>
          <w:noProof/>
        </w:rPr>
        <w:drawing>
          <wp:inline distT="0" distB="0" distL="0" distR="0" wp14:anchorId="2C356E3E" wp14:editId="2BD0C302">
            <wp:extent cx="5731510" cy="2641600"/>
            <wp:effectExtent l="0" t="0" r="2540" b="6350"/>
            <wp:docPr id="93" name="Picture 93" descr="A picture containing rock,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rock, vegetable&#10;&#10;Description automatically generated"/>
                    <pic:cNvPicPr/>
                  </pic:nvPicPr>
                  <pic:blipFill>
                    <a:blip r:embed="rId167">
                      <a:extLst>
                        <a:ext uri="{28A0092B-C50C-407E-A947-70E740481C1C}">
                          <a14:useLocalDpi xmlns:a14="http://schemas.microsoft.com/office/drawing/2010/main" val="0"/>
                        </a:ext>
                      </a:extLst>
                    </a:blip>
                    <a:stretch>
                      <a:fillRect/>
                    </a:stretch>
                  </pic:blipFill>
                  <pic:spPr>
                    <a:xfrm>
                      <a:off x="0" y="0"/>
                      <a:ext cx="5731510" cy="2641600"/>
                    </a:xfrm>
                    <a:prstGeom prst="rect">
                      <a:avLst/>
                    </a:prstGeom>
                  </pic:spPr>
                </pic:pic>
              </a:graphicData>
            </a:graphic>
          </wp:inline>
        </w:drawing>
      </w:r>
    </w:p>
    <w:p w14:paraId="424C5A8A" w14:textId="7E912733" w:rsidR="00007F6C" w:rsidRDefault="00007F6C" w:rsidP="00A76B92">
      <w:pPr>
        <w:pStyle w:val="Caption"/>
        <w:spacing w:after="240"/>
        <w:jc w:val="both"/>
      </w:pPr>
      <w:bookmarkStart w:id="517" w:name="_Ref68872957"/>
      <w:bookmarkStart w:id="518" w:name="_Toc69115049"/>
      <w:r>
        <w:t>Figure 5.</w:t>
      </w:r>
      <w:r w:rsidR="00B51F53">
        <w:fldChar w:fldCharType="begin"/>
      </w:r>
      <w:r w:rsidR="00B51F53">
        <w:instrText xml:space="preserve"> SEQ Figure \* ARABIC </w:instrText>
      </w:r>
      <w:r w:rsidR="00B51F53">
        <w:fldChar w:fldCharType="separate"/>
      </w:r>
      <w:r w:rsidR="00921E92">
        <w:rPr>
          <w:noProof/>
        </w:rPr>
        <w:t>34</w:t>
      </w:r>
      <w:r w:rsidR="00B51F53">
        <w:rPr>
          <w:noProof/>
        </w:rPr>
        <w:fldChar w:fldCharType="end"/>
      </w:r>
      <w:bookmarkEnd w:id="517"/>
      <w:r w:rsidR="00A76B92">
        <w:t xml:space="preserve">a. </w:t>
      </w:r>
      <w:r>
        <w:t xml:space="preserve">Scanning electron micrograph of the surface (central Site) of the Ni-YSZ electrode after 50h of ageing. The </w:t>
      </w:r>
      <w:proofErr w:type="spellStart"/>
      <w:r w:rsidR="00A76B92">
        <w:t>NiO</w:t>
      </w:r>
      <w:proofErr w:type="spellEnd"/>
      <w:r w:rsidR="00A76B92">
        <w:t xml:space="preserve"> </w:t>
      </w:r>
      <w:r>
        <w:t xml:space="preserve">current collector has broken down </w:t>
      </w:r>
      <w:r w:rsidR="00A76B92">
        <w:t>into</w:t>
      </w:r>
      <w:r>
        <w:t xml:space="preserve"> large chunks on the surface</w:t>
      </w:r>
      <w:r w:rsidR="00A76B92">
        <w:t>. b. Back-scattered electron micrograph at 50,000x magnification</w:t>
      </w:r>
      <w:bookmarkEnd w:id="518"/>
    </w:p>
    <w:p w14:paraId="063A4956" w14:textId="77777777" w:rsidR="00007F6C" w:rsidRDefault="00007F6C" w:rsidP="00A76B92">
      <w:pPr>
        <w:spacing w:line="240" w:lineRule="auto"/>
        <w:jc w:val="both"/>
      </w:pPr>
      <w:r>
        <w:t>In the case of the nickel coated samples the delamination and agglomeration of the current collector have also been shown to be non-homogeneous across the layer. With the agglomerate size decreasing by 58 % between the edge and the centre of the layer.</w:t>
      </w:r>
    </w:p>
    <w:p w14:paraId="2282B1F7" w14:textId="491B4C1B" w:rsidR="00007F6C" w:rsidRDefault="00007F6C" w:rsidP="00A76B92">
      <w:pPr>
        <w:spacing w:line="240" w:lineRule="auto"/>
        <w:jc w:val="both"/>
      </w:pPr>
      <w:r>
        <w:t xml:space="preserve">As the composition of the current collector material and the catalyst are the same metal, the agglomeration behaviour of the system was assumed to be homogeneous. However, due to the fact </w:t>
      </w:r>
      <w:proofErr w:type="spellStart"/>
      <w:r>
        <w:t>NiO</w:t>
      </w:r>
      <w:proofErr w:type="spellEnd"/>
      <w:r>
        <w:t xml:space="preserve"> was applied was a paste this was not the case </w:t>
      </w:r>
      <w:r>
        <w:fldChar w:fldCharType="begin" w:fldLock="1"/>
      </w:r>
      <w:r w:rsidR="008446C6">
        <w:instrText>ADDIN CSL_CITATION {"citationItems":[{"id":"ITEM-1","itemData":{"DOI":"10.1016/j.elecom.2013.02.005","ISSN":"13882481","abstract":"Performance of an electrode is influenced by electrode fabrication method and electrode substrate. In this study, different anodes were prepared by either electron beam physical vapor deposition or ink paste method, using Ni foam or carbon paper as electrode substrate. These electrodes were tested in an alkaline fuel cell using borohydride as the fuel. A nanoscale palladium thin film anode prepared by physical vapor deposition delivered power performance close to that of an ink pasted electrode with a much higher catalyst loading. Ni foam as electrode substrate demonstrated a higher power performance and yet a lower efficiency than carbon paper. Ni foam alone was used as anode and achieved a peak power density of 174 m Wcm-2 at 60 C. Thus, nickel foam had both positive effect (e.g. electrooxidation of NaBH4) and negative effect (e.g. hydrolysis) on the fuel cell performance. © 2013 Elsevier B.V. All rights reserved.","author":[{"dropping-particle":"","family":"Ma","given":"Jia","non-dropping-particle":"","parse-names":false,"suffix":""},{"dropping-particle":"","family":"Sahai","given":"Yogeshwar","non-dropping-particle":"","parse-names":false,"suffix":""}],"container-title":"Electrochemistry Communications","id":"ITEM-1","issued":{"date-parts":[["2013"]]},"page":"63-66","publisher":"Elsevier B.V.","title":"Effect of electrode fabrication method and substrate material on performance of alkaline fuel cells","type":"article-journal","volume":"30"},"uris":["http://www.mendeley.com/documents/?uuid=b0eea9dc-0d2e-49d5-b8a4-92dfdcfc63a6"]},{"id":"ITEM-2","itemData":{"DOI":"10.3390/en13040987","ISSN":"19961073","abstract":"Detailed insight into electrochemical reaction mechanisms and rate limiting steps is crucial for targeted optimization of solid oxide fuel cell (SOFC) electrodes, especially for new materials and processing techniques, such as Ni/Gd-doped ceria (GDC) cermet anodes in metal-supported cells. Here, we present a comprehensive model that describes the impedance of porous cermet electrodes according to a transmission line circuit. We exemplify the validity of the model on electrolyte-supported symmetrical model cells with two equal Ni/Ce0.9Gd0.1O1.95-δ anodes. These anodes exhibit a remarkably low polarization resistance of less than 0.1 Wcm2 at 750 °C and OCV, and metal-supported cells with equally prepared anodes achieve excellent power density of &gt;2 W/cm2 at 700 °C. With the transmission line impedance model, it is possible to separate and quantify the individual contributions to the polarization resistance, such as oxygen ion transport across the YSZ-GDC interface, ionic conductivity within the porous anode, oxygen exchange at the GDC surface and gas phase diffiusion. Furthermore, we show that the fitted parameters consistently scale with variation of electrode geometry, temperature and atmosphere. Since the fitted parameters are representative for materials properties, we can also relate our results to model studies on the ion conductivity, oxygen stoichiometry and surface catalytic properties of Gd-doped ceria and obtain very good quantitative agreement. With this detailed insight into reaction mechanisms, we can explain the excellent performance of the anode as a combination of materials properties of GDC and the unusual microstructure that is a consequence of the reductive sintering procedure, which is required for anodes in metal-supported cells.","author":[{"dropping-particle":"","family":"Nenning","given":"Andreas","non-dropping-particle":"","parse-names":false,"suffix":""},{"dropping-particle":"","family":"Bischof","given":"Cornelia","non-dropping-particle":"","parse-names":false,"suffix":""},{"dropping-particle":"","family":"Fleig","given":"Jürgen","non-dropping-particle":"","parse-names":false,"suffix":""},{"dropping-particle":"","family":"Bram","given":"Martin","non-dropping-particle":"","parse-names":false,"suffix":""},{"dropping-particle":"","family":"Opitz","given":"Alexander K.","non-dropping-particle":"","parse-names":false,"suffix":""}],"container-title":"Energies","id":"ITEM-2","issue":"4","issued":{"date-parts":[["2020"]]},"page":"5-9","title":"The relation of microstructure, materials properties and impedance of SOFC electrodes: A case study of Ni/GDC anodes","type":"article-journal","volume":"13"},"uris":["http://www.mendeley.com/documents/?uuid=cef23b09-f38e-4186-a431-4b1ec2080872"]}],"mendeley":{"formattedCitation":"[451], [475]","plainTextFormattedCitation":"[451], [475]","previouslyFormattedCitation":"[451], [475]"},"properties":{"noteIndex":0},"schema":"https://github.com/citation-style-language/schema/raw/master/csl-citation.json"}</w:instrText>
      </w:r>
      <w:r>
        <w:fldChar w:fldCharType="separate"/>
      </w:r>
      <w:r w:rsidR="00A77A83" w:rsidRPr="00A77A83">
        <w:rPr>
          <w:noProof/>
        </w:rPr>
        <w:t>[451], [475]</w:t>
      </w:r>
      <w:r>
        <w:fldChar w:fldCharType="end"/>
      </w:r>
      <w:r>
        <w:t xml:space="preserve">. In areas of high pore concentrations, the nickel current collector were likely to agglomerate leading to particles seen in </w:t>
      </w:r>
      <w:r>
        <w:fldChar w:fldCharType="begin"/>
      </w:r>
      <w:r>
        <w:instrText xml:space="preserve"> REF _Ref48219345 \h  \* MERGEFORMAT </w:instrText>
      </w:r>
      <w:r>
        <w:fldChar w:fldCharType="separate"/>
      </w:r>
      <w:r w:rsidR="00921E92">
        <w:t xml:space="preserve">Figure </w:t>
      </w:r>
      <w:r w:rsidR="00921E92">
        <w:rPr>
          <w:noProof/>
        </w:rPr>
        <w:t>5.32</w:t>
      </w:r>
      <w:r>
        <w:fldChar w:fldCharType="end"/>
      </w:r>
      <w:r>
        <w:t xml:space="preserve"> and </w:t>
      </w:r>
      <w:r w:rsidR="00A76B92">
        <w:fldChar w:fldCharType="begin"/>
      </w:r>
      <w:r w:rsidR="00A76B92">
        <w:instrText xml:space="preserve"> REF _Ref68872957 \h  \* MERGEFORMAT </w:instrText>
      </w:r>
      <w:r w:rsidR="00A76B92">
        <w:fldChar w:fldCharType="separate"/>
      </w:r>
      <w:r w:rsidR="00A76B92">
        <w:t>Figure 5.</w:t>
      </w:r>
      <w:r w:rsidR="00A76B92">
        <w:rPr>
          <w:noProof/>
        </w:rPr>
        <w:t>34</w:t>
      </w:r>
      <w:r w:rsidR="00A76B92">
        <w:fldChar w:fldCharType="end"/>
      </w:r>
      <w:r>
        <w:fldChar w:fldCharType="begin"/>
      </w:r>
      <w:r>
        <w:instrText xml:space="preserve"> REF _Ref48223131 \h  \* MERGEFORMAT </w:instrText>
      </w:r>
      <w:r>
        <w:fldChar w:fldCharType="end"/>
      </w:r>
      <w:r>
        <w:t>.</w:t>
      </w:r>
      <w:r w:rsidR="00A76B92">
        <w:t xml:space="preserve"> Weka phase analysis was also performed for this sample and can be found in </w:t>
      </w:r>
      <w:r w:rsidR="00A76B92">
        <w:fldChar w:fldCharType="begin"/>
      </w:r>
      <w:r w:rsidR="00A76B92">
        <w:instrText xml:space="preserve"> REF _Ref68873160 \h  \* MERGEFORMAT </w:instrText>
      </w:r>
      <w:r w:rsidR="00A76B92">
        <w:fldChar w:fldCharType="separate"/>
      </w:r>
      <w:r w:rsidR="00A76B92">
        <w:t>Table 5.</w:t>
      </w:r>
      <w:r w:rsidR="00A76B92">
        <w:rPr>
          <w:noProof/>
        </w:rPr>
        <w:t>13</w:t>
      </w:r>
      <w:r w:rsidR="00A76B92">
        <w:fldChar w:fldCharType="end"/>
      </w:r>
      <w:r w:rsidR="00A76B92">
        <w:t>.</w:t>
      </w:r>
    </w:p>
    <w:p w14:paraId="511FB716" w14:textId="48BF94C4" w:rsidR="00A76B92" w:rsidRDefault="00A76B92" w:rsidP="00A76B92">
      <w:pPr>
        <w:spacing w:line="240" w:lineRule="auto"/>
        <w:jc w:val="both"/>
      </w:pPr>
    </w:p>
    <w:p w14:paraId="78BB11DE" w14:textId="3BA97CB7" w:rsidR="00A76B92" w:rsidRDefault="00A76B92" w:rsidP="00A76B92">
      <w:pPr>
        <w:spacing w:line="240" w:lineRule="auto"/>
        <w:jc w:val="both"/>
      </w:pPr>
    </w:p>
    <w:p w14:paraId="7DF81057" w14:textId="679049EB" w:rsidR="00007F6C" w:rsidRDefault="00007F6C" w:rsidP="00A76B92">
      <w:pPr>
        <w:pStyle w:val="Caption"/>
        <w:keepNext/>
        <w:spacing w:after="240"/>
      </w:pPr>
      <w:bookmarkStart w:id="519" w:name="_Ref68873160"/>
      <w:r>
        <w:lastRenderedPageBreak/>
        <w:t>Table 5.</w:t>
      </w:r>
      <w:r w:rsidR="00B51F53">
        <w:fldChar w:fldCharType="begin"/>
      </w:r>
      <w:r w:rsidR="00B51F53">
        <w:instrText xml:space="preserve"> SEQ Table \* ARABIC </w:instrText>
      </w:r>
      <w:r w:rsidR="00B51F53">
        <w:fldChar w:fldCharType="separate"/>
      </w:r>
      <w:r w:rsidR="0022061C">
        <w:rPr>
          <w:noProof/>
        </w:rPr>
        <w:t>13</w:t>
      </w:r>
      <w:r w:rsidR="00B51F53">
        <w:rPr>
          <w:noProof/>
        </w:rPr>
        <w:fldChar w:fldCharType="end"/>
      </w:r>
      <w:bookmarkEnd w:id="519"/>
      <w:r>
        <w:t>: Table of the Ni, YSZ and pores segmented in the central site of the Nickel current collector Ni-YSZ sample using Weka Segmentation in FIJI. The white denotes the segmented phase probability distribution calculated.</w:t>
      </w:r>
    </w:p>
    <w:tbl>
      <w:tblPr>
        <w:tblStyle w:val="TableGrid"/>
        <w:tblW w:w="5000" w:type="pct"/>
        <w:jc w:val="center"/>
        <w:tblLook w:val="04A0" w:firstRow="1" w:lastRow="0" w:firstColumn="1" w:lastColumn="0" w:noHBand="0" w:noVBand="1"/>
      </w:tblPr>
      <w:tblGrid>
        <w:gridCol w:w="3006"/>
        <w:gridCol w:w="3005"/>
        <w:gridCol w:w="3005"/>
      </w:tblGrid>
      <w:tr w:rsidR="00007F6C" w14:paraId="47FB0C80" w14:textId="77777777" w:rsidTr="005E2F1E">
        <w:trPr>
          <w:jc w:val="center"/>
        </w:trPr>
        <w:tc>
          <w:tcPr>
            <w:tcW w:w="1667" w:type="pct"/>
          </w:tcPr>
          <w:p w14:paraId="3097E13A" w14:textId="77777777" w:rsidR="00007F6C" w:rsidRPr="00E23954" w:rsidRDefault="00007F6C" w:rsidP="005E2F1E">
            <w:pPr>
              <w:jc w:val="both"/>
              <w:rPr>
                <w:b/>
                <w:bCs/>
              </w:rPr>
            </w:pPr>
            <w:r w:rsidRPr="00E23954">
              <w:rPr>
                <w:b/>
                <w:bCs/>
              </w:rPr>
              <w:t>Nickel</w:t>
            </w:r>
          </w:p>
        </w:tc>
        <w:tc>
          <w:tcPr>
            <w:tcW w:w="1666" w:type="pct"/>
          </w:tcPr>
          <w:p w14:paraId="4DA83F38" w14:textId="77777777" w:rsidR="00007F6C" w:rsidRPr="00E23954" w:rsidRDefault="00007F6C" w:rsidP="005E2F1E">
            <w:pPr>
              <w:jc w:val="both"/>
              <w:rPr>
                <w:b/>
                <w:bCs/>
              </w:rPr>
            </w:pPr>
            <w:r w:rsidRPr="00E23954">
              <w:rPr>
                <w:b/>
                <w:bCs/>
              </w:rPr>
              <w:t>YSZ</w:t>
            </w:r>
          </w:p>
        </w:tc>
        <w:tc>
          <w:tcPr>
            <w:tcW w:w="1666" w:type="pct"/>
          </w:tcPr>
          <w:p w14:paraId="4A8E1651" w14:textId="77777777" w:rsidR="00007F6C" w:rsidRPr="00E23954" w:rsidRDefault="00007F6C" w:rsidP="005E2F1E">
            <w:pPr>
              <w:jc w:val="both"/>
              <w:rPr>
                <w:b/>
                <w:bCs/>
              </w:rPr>
            </w:pPr>
            <w:r w:rsidRPr="00E23954">
              <w:rPr>
                <w:b/>
                <w:bCs/>
              </w:rPr>
              <w:t>Pores</w:t>
            </w:r>
          </w:p>
        </w:tc>
      </w:tr>
      <w:tr w:rsidR="00007F6C" w14:paraId="3E554C15" w14:textId="77777777" w:rsidTr="00A76B92">
        <w:trPr>
          <w:trHeight w:val="2538"/>
          <w:jc w:val="center"/>
        </w:trPr>
        <w:tc>
          <w:tcPr>
            <w:tcW w:w="1667" w:type="pct"/>
          </w:tcPr>
          <w:p w14:paraId="051B53A2" w14:textId="77777777" w:rsidR="00007F6C" w:rsidRDefault="00007F6C" w:rsidP="005E2F1E">
            <w:pPr>
              <w:jc w:val="both"/>
            </w:pPr>
            <w:r w:rsidRPr="000F3C13">
              <w:rPr>
                <w:noProof/>
              </w:rPr>
              <w:drawing>
                <wp:inline distT="0" distB="0" distL="0" distR="0" wp14:anchorId="3803F238" wp14:editId="0A702078">
                  <wp:extent cx="1800000" cy="1559082"/>
                  <wp:effectExtent l="0" t="0" r="0" b="3175"/>
                  <wp:docPr id="351" name="Picture 3">
                    <a:extLst xmlns:a="http://schemas.openxmlformats.org/drawingml/2006/main">
                      <a:ext uri="{FF2B5EF4-FFF2-40B4-BE49-F238E27FC236}">
                        <a16:creationId xmlns:a16="http://schemas.microsoft.com/office/drawing/2014/main" id="{E29ACDA6-8989-4C73-BE50-C4BC79DF20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E29ACDA6-8989-4C73-BE50-C4BC79DF2011}"/>
                              </a:ext>
                            </a:extLst>
                          </pic:cNvPr>
                          <pic:cNvPicPr>
                            <a:picLocks noChangeAspect="1"/>
                          </pic:cNvPicPr>
                        </pic:nvPicPr>
                        <pic:blipFill rotWithShape="1">
                          <a:blip r:embed="rId168"/>
                          <a:srcRect l="26786" t="24218" r="33189" b="14150"/>
                          <a:stretch/>
                        </pic:blipFill>
                        <pic:spPr>
                          <a:xfrm>
                            <a:off x="0" y="0"/>
                            <a:ext cx="1800000" cy="1559082"/>
                          </a:xfrm>
                          <a:prstGeom prst="rect">
                            <a:avLst/>
                          </a:prstGeom>
                        </pic:spPr>
                      </pic:pic>
                    </a:graphicData>
                  </a:graphic>
                </wp:inline>
              </w:drawing>
            </w:r>
          </w:p>
        </w:tc>
        <w:tc>
          <w:tcPr>
            <w:tcW w:w="1666" w:type="pct"/>
          </w:tcPr>
          <w:p w14:paraId="04642C1F" w14:textId="77777777" w:rsidR="00007F6C" w:rsidRPr="00A76B92" w:rsidRDefault="00007F6C" w:rsidP="005E2F1E">
            <w:pPr>
              <w:jc w:val="both"/>
              <w:rPr>
                <w:i/>
                <w:iCs/>
              </w:rPr>
            </w:pPr>
            <w:r w:rsidRPr="00A76B92">
              <w:rPr>
                <w:i/>
                <w:iCs/>
                <w:noProof/>
              </w:rPr>
              <w:drawing>
                <wp:inline distT="0" distB="0" distL="0" distR="0" wp14:anchorId="0A9A5212" wp14:editId="5D4B3209">
                  <wp:extent cx="1800000" cy="1559083"/>
                  <wp:effectExtent l="0" t="0" r="0" b="3175"/>
                  <wp:docPr id="353" name="Picture 4">
                    <a:extLst xmlns:a="http://schemas.openxmlformats.org/drawingml/2006/main">
                      <a:ext uri="{FF2B5EF4-FFF2-40B4-BE49-F238E27FC236}">
                        <a16:creationId xmlns:a16="http://schemas.microsoft.com/office/drawing/2014/main" id="{CE763B2B-D15F-4A57-A721-0A19E30CE9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E763B2B-D15F-4A57-A721-0A19E30CE991}"/>
                              </a:ext>
                            </a:extLst>
                          </pic:cNvPr>
                          <pic:cNvPicPr>
                            <a:picLocks noChangeAspect="1"/>
                          </pic:cNvPicPr>
                        </pic:nvPicPr>
                        <pic:blipFill rotWithShape="1">
                          <a:blip r:embed="rId169"/>
                          <a:srcRect l="26786" t="24217" r="33189" b="14150"/>
                          <a:stretch/>
                        </pic:blipFill>
                        <pic:spPr>
                          <a:xfrm>
                            <a:off x="0" y="0"/>
                            <a:ext cx="1800000" cy="1559083"/>
                          </a:xfrm>
                          <a:prstGeom prst="rect">
                            <a:avLst/>
                          </a:prstGeom>
                        </pic:spPr>
                      </pic:pic>
                    </a:graphicData>
                  </a:graphic>
                </wp:inline>
              </w:drawing>
            </w:r>
          </w:p>
        </w:tc>
        <w:tc>
          <w:tcPr>
            <w:tcW w:w="1666" w:type="pct"/>
          </w:tcPr>
          <w:p w14:paraId="11FD5291" w14:textId="77777777" w:rsidR="00007F6C" w:rsidRDefault="00007F6C" w:rsidP="00A76B92">
            <w:pPr>
              <w:jc w:val="center"/>
            </w:pPr>
            <w:r w:rsidRPr="00AE16EA">
              <w:rPr>
                <w:noProof/>
              </w:rPr>
              <w:drawing>
                <wp:inline distT="0" distB="0" distL="0" distR="0" wp14:anchorId="28CB77A3" wp14:editId="20B95F11">
                  <wp:extent cx="1800000" cy="1559082"/>
                  <wp:effectExtent l="0" t="0" r="0" b="3175"/>
                  <wp:docPr id="354" name="Picture 5">
                    <a:extLst xmlns:a="http://schemas.openxmlformats.org/drawingml/2006/main">
                      <a:ext uri="{FF2B5EF4-FFF2-40B4-BE49-F238E27FC236}">
                        <a16:creationId xmlns:a16="http://schemas.microsoft.com/office/drawing/2014/main" id="{7CE676B4-8383-4436-9698-52F6CD5BC2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CE676B4-8383-4436-9698-52F6CD5BC20A}"/>
                              </a:ext>
                            </a:extLst>
                          </pic:cNvPr>
                          <pic:cNvPicPr>
                            <a:picLocks noChangeAspect="1"/>
                          </pic:cNvPicPr>
                        </pic:nvPicPr>
                        <pic:blipFill rotWithShape="1">
                          <a:blip r:embed="rId170"/>
                          <a:srcRect l="26786" t="24217" r="33189" b="14150"/>
                          <a:stretch/>
                        </pic:blipFill>
                        <pic:spPr>
                          <a:xfrm>
                            <a:off x="0" y="0"/>
                            <a:ext cx="1800000" cy="1559082"/>
                          </a:xfrm>
                          <a:prstGeom prst="rect">
                            <a:avLst/>
                          </a:prstGeom>
                        </pic:spPr>
                      </pic:pic>
                    </a:graphicData>
                  </a:graphic>
                </wp:inline>
              </w:drawing>
            </w:r>
          </w:p>
        </w:tc>
      </w:tr>
    </w:tbl>
    <w:p w14:paraId="2B26224D" w14:textId="77777777" w:rsidR="00007F6C" w:rsidRDefault="00007F6C" w:rsidP="00007F6C">
      <w:pPr>
        <w:pStyle w:val="Heading3"/>
        <w:jc w:val="both"/>
      </w:pPr>
      <w:bookmarkStart w:id="520" w:name="_Toc69129436"/>
      <w:r>
        <w:t>5.3.4</w:t>
      </w:r>
      <w:r>
        <w:tab/>
        <w:t>Temperature programmed reduction – active area measurements</w:t>
      </w:r>
      <w:bookmarkEnd w:id="520"/>
    </w:p>
    <w:p w14:paraId="70FE9FD6" w14:textId="77777777" w:rsidR="00007F6C" w:rsidRDefault="00007F6C" w:rsidP="00007F6C">
      <w:pPr>
        <w:jc w:val="both"/>
      </w:pPr>
      <w:r w:rsidRPr="00420CA8">
        <w:t>TPR was performed on the nickel oxide paste using a Micromeritics 2720 Chemisorb. This was to confirm that the paste had no glass frit impurities and would reduce in-situ during the temperature ramp of the symmetrical fuel electrode samples.</w:t>
      </w:r>
      <w:r>
        <w:t xml:space="preserve"> </w:t>
      </w:r>
    </w:p>
    <w:p w14:paraId="7346D9F6" w14:textId="5425A1B8" w:rsidR="00007F6C" w:rsidRDefault="00007F6C" w:rsidP="00007F6C">
      <w:pPr>
        <w:jc w:val="both"/>
      </w:pPr>
      <w:r>
        <w:t>The Ni paste supported on YSZ was reduced at 450</w:t>
      </w:r>
      <w:r w:rsidR="002E59BA">
        <w:t xml:space="preserve"> </w:t>
      </w:r>
      <w:r w:rsidR="002E59BA">
        <w:rPr>
          <w:rFonts w:cstheme="minorHAnsi"/>
        </w:rPr>
        <w:t>°</w:t>
      </w:r>
      <w:r>
        <w:t>C for 0.5 h in 2</w:t>
      </w:r>
      <w:r w:rsidR="004D4DD8">
        <w:t>0</w:t>
      </w:r>
      <w:r>
        <w:t xml:space="preserve"> mL</w:t>
      </w:r>
      <w:r w:rsidR="002E59BA">
        <w:t>min</w:t>
      </w:r>
      <w:r w:rsidR="002E59BA">
        <w:rPr>
          <w:vertAlign w:val="superscript"/>
        </w:rPr>
        <w:t>-1</w:t>
      </w:r>
      <w:r>
        <w:t xml:space="preserve"> of flowing 5</w:t>
      </w:r>
      <w:r w:rsidR="002E59BA">
        <w:t xml:space="preserve"> </w:t>
      </w:r>
      <w:r>
        <w:t>% H</w:t>
      </w:r>
      <w:r>
        <w:rPr>
          <w:vertAlign w:val="subscript"/>
        </w:rPr>
        <w:t>2</w:t>
      </w:r>
      <w:r>
        <w:t>/</w:t>
      </w:r>
      <w:proofErr w:type="spellStart"/>
      <w:r>
        <w:t>Ar</w:t>
      </w:r>
      <w:proofErr w:type="spellEnd"/>
      <w:r>
        <w:t xml:space="preserve"> using the Micromeritics 2720 Chemisorption equipment. The paste initially started out as a black slurry then after reduction turned grey in colour indicating that the </w:t>
      </w:r>
      <w:proofErr w:type="spellStart"/>
      <w:r>
        <w:t>NiO</w:t>
      </w:r>
      <w:proofErr w:type="spellEnd"/>
      <w:r>
        <w:t xml:space="preserve"> film had reduced to metallic nickel. The film when tested with the multi-meter showed that the nickel paste was conductive after reduction. The resulting reduction reaction started at 200</w:t>
      </w:r>
      <w:r w:rsidR="002E59BA">
        <w:t xml:space="preserve"> </w:t>
      </w:r>
      <w:r>
        <w:rPr>
          <w:rFonts w:cstheme="minorHAnsi"/>
        </w:rPr>
        <w:t>°</w:t>
      </w:r>
      <w:r>
        <w:t>C with reduction peak at 284.4</w:t>
      </w:r>
      <w:r w:rsidR="002E59BA">
        <w:t xml:space="preserve"> </w:t>
      </w:r>
      <w:r>
        <w:rPr>
          <w:rFonts w:cstheme="minorHAnsi"/>
        </w:rPr>
        <w:t>°</w:t>
      </w:r>
      <w:r>
        <w:t>C indicating that the nickel oxide species in the paste is nanoscale in size</w:t>
      </w:r>
      <w:r w:rsidR="00A76B92">
        <w:t xml:space="preserve"> (</w:t>
      </w:r>
      <w:r w:rsidR="00A76B92">
        <w:fldChar w:fldCharType="begin"/>
      </w:r>
      <w:r w:rsidR="00A76B92">
        <w:instrText xml:space="preserve"> REF _Ref68872753 \h </w:instrText>
      </w:r>
      <w:r w:rsidR="00A76B92">
        <w:fldChar w:fldCharType="separate"/>
      </w:r>
      <w:r w:rsidR="00A76B92">
        <w:t>Figure 5.</w:t>
      </w:r>
      <w:r w:rsidR="00A76B92">
        <w:rPr>
          <w:noProof/>
        </w:rPr>
        <w:t>36</w:t>
      </w:r>
      <w:r w:rsidR="00A76B92">
        <w:fldChar w:fldCharType="end"/>
      </w:r>
      <w:r w:rsidR="00A76B92">
        <w:t>)</w:t>
      </w:r>
      <w:r>
        <w:t xml:space="preserve"> </w:t>
      </w:r>
      <w:r>
        <w:fldChar w:fldCharType="begin" w:fldLock="1"/>
      </w:r>
      <w:r w:rsidR="00D80A5D">
        <w:instrText>ADDIN CSL_CITATION {"citationItems":[{"id":"ITEM-1","itemData":{"DOI":"10.1039/FT9938902075","ISSN":"09565000","abstract":"A series of Ni/WO3-Al2O3 catalysts have been prepared by systematically varying the weight loading of WO3-Al2O3 and the pH during adsorption/impregnation. The catalysts developed an increased interaction between the impregnated nickel and the supported metal oxide; the charge on the mixed oxide resulted in the impregnated nickel cation to be preferentially adsorbed onto tungsten sites of the composite supports. The amount of nickel associated with tungsten oxide was found to be a function of both the tungsten oxide weight loading and the impregnation pH. An increase in the negative charge due to hydrolysis of the tungsten oxide phase in the aqueous impregnant is proposed to result in a tungsten oxide associated nickel that is twice as large for the catalysts prepared at pH 6 than that at pH 4. The Ni/support interaction formed during adsorption/impregnation and drying were studied by temperature-programmed reduction (TPR) and temperature-programmed oxidation (TPO). The tungsten oxide and associated nickel were found to form a nickel tungstate compound which reacted with H2 at ca. 1050 K but could be regenerated by TPO. An Ni/Al2O4 type surface compound was also formed that was reduced at ca. 1150 K.","author":[{"dropping-particle":"","family":"Southmayd","given":"D. W.","non-dropping-particle":"","parse-names":false,"suffix":""},{"dropping-particle":"","family":"Contescu","given":"Cr","non-dropping-particle":"","parse-names":false,"suffix":""},{"dropping-particle":"","family":"Schwarz","given":"J. A.","non-dropping-particle":"","parse-names":false,"suffix":""}],"container-title":"Journal of the Chemical Society, Faraday Transactions","id":"ITEM-1","issue":"12","issued":{"date-parts":[["1993"]]},"page":"2075-2083","title":"Temperature-programmed reduction and oxidation of nickel supported on WO3-Al2O3 composite oxides","type":"article-journal","volume":"89"},"uris":["http://www.mendeley.com/documents/?uuid=18ee36c0-d70c-46d7-b7e9-396bfad7c0af"]}],"mendeley":{"formattedCitation":"[203]","plainTextFormattedCitation":"[203]","previouslyFormattedCitation":"[203]"},"properties":{"noteIndex":0},"schema":"https://github.com/citation-style-language/schema/raw/master/csl-citation.json"}</w:instrText>
      </w:r>
      <w:r>
        <w:fldChar w:fldCharType="separate"/>
      </w:r>
      <w:r w:rsidR="006C586A" w:rsidRPr="006C586A">
        <w:rPr>
          <w:noProof/>
        </w:rPr>
        <w:t>[203]</w:t>
      </w:r>
      <w:r>
        <w:fldChar w:fldCharType="end"/>
      </w:r>
      <w:r>
        <w:t xml:space="preserve"> . </w:t>
      </w:r>
    </w:p>
    <w:p w14:paraId="0024B113" w14:textId="77777777" w:rsidR="00007F6C" w:rsidRDefault="00007F6C" w:rsidP="00007F6C">
      <w:pPr>
        <w:keepNext/>
        <w:jc w:val="center"/>
      </w:pPr>
      <w:r>
        <w:rPr>
          <w:noProof/>
          <w:lang w:eastAsia="en-GB"/>
        </w:rPr>
        <w:drawing>
          <wp:inline distT="0" distB="0" distL="0" distR="0" wp14:anchorId="0280C128" wp14:editId="4582E1C0">
            <wp:extent cx="4320000" cy="3357162"/>
            <wp:effectExtent l="0" t="0" r="4445"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PR Profiel SHOEI Ni paste.tif"/>
                    <pic:cNvPicPr/>
                  </pic:nvPicPr>
                  <pic:blipFill rotWithShape="1">
                    <a:blip r:embed="rId171" cstate="print">
                      <a:extLst>
                        <a:ext uri="{28A0092B-C50C-407E-A947-70E740481C1C}">
                          <a14:useLocalDpi xmlns:a14="http://schemas.microsoft.com/office/drawing/2010/main" val="0"/>
                        </a:ext>
                      </a:extLst>
                    </a:blip>
                    <a:srcRect l="4321" t="9338" r="11423" b="5096"/>
                    <a:stretch/>
                  </pic:blipFill>
                  <pic:spPr bwMode="auto">
                    <a:xfrm>
                      <a:off x="0" y="0"/>
                      <a:ext cx="4320000" cy="3357162"/>
                    </a:xfrm>
                    <a:prstGeom prst="rect">
                      <a:avLst/>
                    </a:prstGeom>
                    <a:ln>
                      <a:noFill/>
                    </a:ln>
                    <a:extLst>
                      <a:ext uri="{53640926-AAD7-44D8-BBD7-CCE9431645EC}">
                        <a14:shadowObscured xmlns:a14="http://schemas.microsoft.com/office/drawing/2010/main"/>
                      </a:ext>
                    </a:extLst>
                  </pic:spPr>
                </pic:pic>
              </a:graphicData>
            </a:graphic>
          </wp:inline>
        </w:drawing>
      </w:r>
    </w:p>
    <w:p w14:paraId="1AA9DF60" w14:textId="0F9101D3" w:rsidR="00007F6C" w:rsidRDefault="00007F6C" w:rsidP="00007F6C">
      <w:pPr>
        <w:pStyle w:val="Caption"/>
      </w:pPr>
      <w:bookmarkStart w:id="521" w:name="_Ref68872753"/>
      <w:bookmarkStart w:id="522" w:name="_Toc69115050"/>
      <w:r>
        <w:t>Figure 5.</w:t>
      </w:r>
      <w:r w:rsidR="00B51F53">
        <w:fldChar w:fldCharType="begin"/>
      </w:r>
      <w:r w:rsidR="00B51F53">
        <w:instrText xml:space="preserve"> SEQ Figure \* ARABIC </w:instrText>
      </w:r>
      <w:r w:rsidR="00B51F53">
        <w:fldChar w:fldCharType="separate"/>
      </w:r>
      <w:r w:rsidR="00A76B92">
        <w:rPr>
          <w:noProof/>
        </w:rPr>
        <w:t>36</w:t>
      </w:r>
      <w:r w:rsidR="00B51F53">
        <w:rPr>
          <w:noProof/>
        </w:rPr>
        <w:fldChar w:fldCharType="end"/>
      </w:r>
      <w:bookmarkEnd w:id="521"/>
      <w:r>
        <w:t xml:space="preserve">: Temperature programmed reduction profile of </w:t>
      </w:r>
      <w:proofErr w:type="spellStart"/>
      <w:r>
        <w:t>Shoei</w:t>
      </w:r>
      <w:proofErr w:type="spellEnd"/>
      <w:r>
        <w:t xml:space="preserve"> nickel paste on a YSZ electrolyte </w:t>
      </w:r>
      <w:proofErr w:type="gramStart"/>
      <w:r>
        <w:t>pellet</w:t>
      </w:r>
      <w:bookmarkEnd w:id="522"/>
      <w:proofErr w:type="gramEnd"/>
    </w:p>
    <w:p w14:paraId="01EB2592" w14:textId="6ED0FBAE" w:rsidR="00007F6C" w:rsidRDefault="00007F6C" w:rsidP="00007F6C">
      <w:pPr>
        <w:jc w:val="both"/>
      </w:pPr>
      <w:r>
        <w:t xml:space="preserve">No response from the TCD was recorded for the other current collector systems during separate TPR runs on the Micromeritics 2720 Chemisorb. This indicates that the formation of oxides in the current collector layer is only an issue for the nickel oxide </w:t>
      </w:r>
      <w:proofErr w:type="spellStart"/>
      <w:r>
        <w:t>Shoei</w:t>
      </w:r>
      <w:proofErr w:type="spellEnd"/>
      <w:r>
        <w:t xml:space="preserve"> paste current collector</w:t>
      </w:r>
      <w:r>
        <w:fldChar w:fldCharType="begin" w:fldLock="1"/>
      </w:r>
      <w:r w:rsidR="00D80A5D">
        <w:instrText>ADDIN CSL_CITATION {"citationItems":[{"id":"ITEM-1","itemData":{"URL":"https://www.shoeichem.co.jp/global/products/eng_panf.pdf","accessed":{"date-parts":[["2020","4","24"]]},"author":[{"dropping-particle":"","family":"Inc.","given":"Shoei Chemical","non-dropping-particle":"","parse-names":false,"suffix":""}],"container-title":"Shoei Chemical Inc Metal Paste","id":"ITEM-1","issued":{"date-parts":[["2020"]]},"page":"3-10","title":"Shoei Chemical Inc Products: Fine Powders and Thick Film Materials","type":"webpage"},"uris":["http://www.mendeley.com/documents/?uuid=48acdfdf-a39f-419c-aa3f-714f22a24e2b"]}],"mendeley":{"formattedCitation":"[318]","plainTextFormattedCitation":"[318]","previouslyFormattedCitation":"[318]"},"properties":{"noteIndex":0},"schema":"https://github.com/citation-style-language/schema/raw/master/csl-citation.json"}</w:instrText>
      </w:r>
      <w:r>
        <w:fldChar w:fldCharType="separate"/>
      </w:r>
      <w:r w:rsidR="006C586A" w:rsidRPr="006C586A">
        <w:rPr>
          <w:noProof/>
        </w:rPr>
        <w:t>[318]</w:t>
      </w:r>
      <w:r>
        <w:fldChar w:fldCharType="end"/>
      </w:r>
      <w:r>
        <w:t>.</w:t>
      </w:r>
    </w:p>
    <w:p w14:paraId="350CFCA8" w14:textId="77777777" w:rsidR="00007F6C" w:rsidRDefault="00007F6C" w:rsidP="00007F6C">
      <w:pPr>
        <w:jc w:val="both"/>
      </w:pPr>
      <w:r>
        <w:br w:type="page"/>
      </w:r>
    </w:p>
    <w:p w14:paraId="4E4581EB" w14:textId="77777777" w:rsidR="00007F6C" w:rsidRDefault="00007F6C" w:rsidP="00007F6C">
      <w:pPr>
        <w:pStyle w:val="Heading1"/>
      </w:pPr>
      <w:bookmarkStart w:id="523" w:name="_Toc69129437"/>
      <w:r>
        <w:lastRenderedPageBreak/>
        <w:t>5.4</w:t>
      </w:r>
      <w:r>
        <w:tab/>
      </w:r>
      <w:r w:rsidRPr="00644D81">
        <w:t>Discussion</w:t>
      </w:r>
      <w:bookmarkEnd w:id="523"/>
    </w:p>
    <w:p w14:paraId="5B9602ED" w14:textId="77777777" w:rsidR="00007F6C" w:rsidRDefault="00007F6C" w:rsidP="00F27533">
      <w:pPr>
        <w:spacing w:after="0"/>
        <w:jc w:val="both"/>
      </w:pPr>
      <w:r w:rsidRPr="00746C50">
        <w:t>The application of different current collector materials does have a large impact on the electrochemical performance and properties of Ni-YSZ infiltrated fuel electrodes. The charge transfer resistance to polarisation (R</w:t>
      </w:r>
      <w:r w:rsidRPr="00746C50">
        <w:rPr>
          <w:vertAlign w:val="subscript"/>
        </w:rPr>
        <w:t>P</w:t>
      </w:r>
      <w:r w:rsidRPr="00746C50">
        <w:t>) varied widely between the four current collector materials utilised in this study.</w:t>
      </w:r>
    </w:p>
    <w:p w14:paraId="24FB2B7F" w14:textId="7D3D8F36" w:rsidR="00007F6C" w:rsidRDefault="00007F6C" w:rsidP="00532B6A">
      <w:pPr>
        <w:spacing w:after="0"/>
        <w:jc w:val="both"/>
      </w:pPr>
      <w:r>
        <w:t>This variation in R</w:t>
      </w:r>
      <w:r>
        <w:rPr>
          <w:vertAlign w:val="subscript"/>
        </w:rPr>
        <w:t>P</w:t>
      </w:r>
      <w:r>
        <w:t xml:space="preserve"> demonstrates the ability of the current collector material to mask electrode degradation mechanism and in some cases add addition mechanisms to the system. The silver current collector produced a unique meso-frequency impedance arc (f &gt; 16 kHz) which was a product of a gas transport impedance</w:t>
      </w:r>
      <w:r w:rsidR="00151775">
        <w:t xml:space="preserve"> (</w:t>
      </w:r>
      <w:r w:rsidR="00151775">
        <w:fldChar w:fldCharType="begin"/>
      </w:r>
      <w:r w:rsidR="00151775">
        <w:instrText xml:space="preserve"> REF _Ref45020457 \h </w:instrText>
      </w:r>
      <w:r w:rsidR="00151775">
        <w:fldChar w:fldCharType="separate"/>
      </w:r>
      <w:r w:rsidR="00235E79">
        <w:t>Figure 5.</w:t>
      </w:r>
      <w:r w:rsidR="00235E79">
        <w:rPr>
          <w:noProof/>
        </w:rPr>
        <w:t>5</w:t>
      </w:r>
      <w:r w:rsidR="00151775">
        <w:fldChar w:fldCharType="end"/>
      </w:r>
      <w:r w:rsidR="00151775">
        <w:t>-</w:t>
      </w:r>
      <w:r w:rsidR="00151775">
        <w:fldChar w:fldCharType="begin"/>
      </w:r>
      <w:r w:rsidR="00151775">
        <w:instrText xml:space="preserve"> REF _Ref45020476 \h </w:instrText>
      </w:r>
      <w:r w:rsidR="00151775">
        <w:fldChar w:fldCharType="separate"/>
      </w:r>
      <w:r w:rsidR="00235E79">
        <w:t>Figure 5.</w:t>
      </w:r>
      <w:r w:rsidR="00235E79">
        <w:rPr>
          <w:noProof/>
        </w:rPr>
        <w:t>7</w:t>
      </w:r>
      <w:r w:rsidR="00151775">
        <w:fldChar w:fldCharType="end"/>
      </w:r>
      <w:r w:rsidR="00151775">
        <w:t>)</w:t>
      </w:r>
      <w:r>
        <w:t>. In this case for the silver current collector this stems from the solubility of the H</w:t>
      </w:r>
      <w:r>
        <w:rPr>
          <w:vertAlign w:val="subscript"/>
        </w:rPr>
        <w:t>2</w:t>
      </w:r>
      <w:r>
        <w:t xml:space="preserve"> fuel </w:t>
      </w:r>
      <w:r>
        <w:rPr>
          <w:rFonts w:cstheme="minorHAnsi"/>
        </w:rPr>
        <w:t>θ</w:t>
      </w:r>
      <w:r>
        <w:t>, which is almost twice that of gold</w:t>
      </w:r>
      <w:r w:rsidR="005708BA">
        <w:t xml:space="preserve"> (</w:t>
      </w:r>
      <w:r w:rsidR="005708BA">
        <w:fldChar w:fldCharType="begin"/>
      </w:r>
      <w:r w:rsidR="005708BA">
        <w:instrText xml:space="preserve"> REF _Ref68873551 \h </w:instrText>
      </w:r>
      <w:r w:rsidR="005708BA">
        <w:fldChar w:fldCharType="separate"/>
      </w:r>
      <w:r w:rsidR="005708BA">
        <w:t>Table 5.</w:t>
      </w:r>
      <w:r w:rsidR="005708BA">
        <w:rPr>
          <w:noProof/>
        </w:rPr>
        <w:t>14</w:t>
      </w:r>
      <w:r w:rsidR="005708BA">
        <w:fldChar w:fldCharType="end"/>
      </w:r>
      <w:r w:rsidR="005708BA">
        <w:t>)</w:t>
      </w:r>
      <w:r>
        <w:fldChar w:fldCharType="begin" w:fldLock="1"/>
      </w:r>
      <w:r w:rsidR="008446C6">
        <w:instrText>ADDIN CSL_CITATION {"citationItems":[{"id":"ITEM-1","itemData":{"DOI":"10.1016/S0022-3697(73)80022-8","ISSN":"00223697","abstract":"The temperature variation of the hydrogen solubility of copper, silver, and gold in equilibrium with H2-gas at atmospheric pressure has been measured. Values for the relative partial enthalpy and partial excess entropy of the interstitially dissolved hydrogen atoms have been estimated from the solubility data. The experimental data are compared with those of previous investigations. The partial entropy values obtained for, copper and silver show a 'regular' behavior when compared with partial entropies for other cubic metals having a small occludive capacity for hydrogen. The gold-hydrogen system is, however, anomalous and has a partial excess entropy which is essentially zero. © 1973.","author":[{"dropping-particle":"","family":"McLellan","given":"R. B.","non-dropping-particle":"","parse-names":false,"suffix":""}],"container-title":"Journal of Physics and Chemistry of Solids","id":"ITEM-1","issue":"6","issued":{"date-parts":[["1973"]]},"page":"1137-1141","title":"Solid solutions of hydrogen in gold, silver and copper","type":"article-journal","volume":"34"},"uris":["http://www.mendeley.com/documents/?uuid=48f2266f-3801-4012-ae9a-f28f90ec91ca"]}],"mendeley":{"formattedCitation":"[476]","plainTextFormattedCitation":"[476]","previouslyFormattedCitation":"[476]"},"properties":{"noteIndex":0},"schema":"https://github.com/citation-style-language/schema/raw/master/csl-citation.json"}</w:instrText>
      </w:r>
      <w:r>
        <w:fldChar w:fldCharType="separate"/>
      </w:r>
      <w:r w:rsidR="00A77A83" w:rsidRPr="00A77A83">
        <w:rPr>
          <w:noProof/>
        </w:rPr>
        <w:t>[476]</w:t>
      </w:r>
      <w:r>
        <w:fldChar w:fldCharType="end"/>
      </w:r>
      <w:r>
        <w:t>.</w:t>
      </w:r>
      <w:r w:rsidR="00151775">
        <w:t xml:space="preserve"> </w:t>
      </w:r>
    </w:p>
    <w:p w14:paraId="52C0621B" w14:textId="3F88644A" w:rsidR="00007F6C" w:rsidRPr="007745E1" w:rsidRDefault="00007F6C" w:rsidP="00532B6A">
      <w:pPr>
        <w:pStyle w:val="Caption"/>
        <w:keepNext/>
        <w:spacing w:after="240"/>
      </w:pPr>
      <w:bookmarkStart w:id="524" w:name="_Ref68873551"/>
      <w:r>
        <w:t>Table 5.</w:t>
      </w:r>
      <w:r w:rsidR="00B51F53">
        <w:fldChar w:fldCharType="begin"/>
      </w:r>
      <w:r w:rsidR="00B51F53">
        <w:instrText xml:space="preserve"> S</w:instrText>
      </w:r>
      <w:r w:rsidR="00B51F53">
        <w:instrText xml:space="preserve">EQ Table \* ARABIC </w:instrText>
      </w:r>
      <w:r w:rsidR="00B51F53">
        <w:fldChar w:fldCharType="separate"/>
      </w:r>
      <w:r w:rsidR="0022061C">
        <w:rPr>
          <w:noProof/>
        </w:rPr>
        <w:t>14</w:t>
      </w:r>
      <w:r w:rsidR="00B51F53">
        <w:rPr>
          <w:noProof/>
        </w:rPr>
        <w:fldChar w:fldCharType="end"/>
      </w:r>
      <w:bookmarkEnd w:id="524"/>
      <w:r>
        <w:t xml:space="preserve">: Hydrogen solubility for silver and metal current collector materials. Adapted from McLellan </w:t>
      </w:r>
      <w:r>
        <w:fldChar w:fldCharType="begin" w:fldLock="1"/>
      </w:r>
      <w:r w:rsidR="008446C6">
        <w:instrText>ADDIN CSL_CITATION {"citationItems":[{"id":"ITEM-1","itemData":{"DOI":"10.1016/S0022-3697(73)80022-8","ISSN":"00223697","abstract":"The temperature variation of the hydrogen solubility of copper, silver, and gold in equilibrium with H2-gas at atmospheric pressure has been measured. Values for the relative partial enthalpy and partial excess entropy of the interstitially dissolved hydrogen atoms have been estimated from the solubility data. The experimental data are compared with those of previous investigations. The partial entropy values obtained for, copper and silver show a 'regular' behavior when compared with partial entropies for other cubic metals having a small occludive capacity for hydrogen. The gold-hydrogen system is, however, anomalous and has a partial excess entropy which is essentially zero. © 1973.","author":[{"dropping-particle":"","family":"McLellan","given":"R. B.","non-dropping-particle":"","parse-names":false,"suffix":""}],"container-title":"Journal of Physics and Chemistry of Solids","id":"ITEM-1","issue":"6","issued":{"date-parts":[["1973"]]},"page":"1137-1141","title":"Solid solutions of hydrogen in gold, silver and copper","type":"article-journal","volume":"34"},"uris":["http://www.mendeley.com/documents/?uuid=48f2266f-3801-4012-ae9a-f28f90ec91ca"]}],"mendeley":{"formattedCitation":"[476]","plainTextFormattedCitation":"[476]","previouslyFormattedCitation":"[476]"},"properties":{"noteIndex":0},"schema":"https://github.com/citation-style-language/schema/raw/master/csl-citation.json"}</w:instrText>
      </w:r>
      <w:r>
        <w:fldChar w:fldCharType="separate"/>
      </w:r>
      <w:r w:rsidR="00A77A83" w:rsidRPr="00A77A83">
        <w:rPr>
          <w:i w:val="0"/>
          <w:noProof/>
        </w:rPr>
        <w:t>[476]</w:t>
      </w:r>
      <w:r>
        <w:fldChar w:fldCharType="end"/>
      </w:r>
    </w:p>
    <w:tbl>
      <w:tblPr>
        <w:tblStyle w:val="TableGrid"/>
        <w:tblW w:w="0" w:type="auto"/>
        <w:jc w:val="center"/>
        <w:tblLook w:val="04A0" w:firstRow="1" w:lastRow="0" w:firstColumn="1" w:lastColumn="0" w:noHBand="0" w:noVBand="1"/>
      </w:tblPr>
      <w:tblGrid>
        <w:gridCol w:w="2670"/>
        <w:gridCol w:w="2858"/>
      </w:tblGrid>
      <w:tr w:rsidR="00007F6C" w14:paraId="0FEFFCF2" w14:textId="77777777" w:rsidTr="005E2F1E">
        <w:trPr>
          <w:jc w:val="center"/>
        </w:trPr>
        <w:tc>
          <w:tcPr>
            <w:tcW w:w="2670" w:type="dxa"/>
          </w:tcPr>
          <w:p w14:paraId="39807DC6" w14:textId="77777777" w:rsidR="00007F6C" w:rsidRPr="007745E1" w:rsidRDefault="00007F6C" w:rsidP="005E2F1E">
            <w:pPr>
              <w:jc w:val="both"/>
              <w:rPr>
                <w:b/>
                <w:bCs/>
              </w:rPr>
            </w:pPr>
            <w:r w:rsidRPr="007745E1">
              <w:rPr>
                <w:b/>
                <w:bCs/>
              </w:rPr>
              <w:t>Current collector material</w:t>
            </w:r>
          </w:p>
        </w:tc>
        <w:tc>
          <w:tcPr>
            <w:tcW w:w="2858" w:type="dxa"/>
          </w:tcPr>
          <w:p w14:paraId="1165F836" w14:textId="77777777" w:rsidR="00007F6C" w:rsidRPr="007745E1" w:rsidRDefault="00007F6C" w:rsidP="005E2F1E">
            <w:pPr>
              <w:jc w:val="both"/>
              <w:rPr>
                <w:b/>
                <w:bCs/>
              </w:rPr>
            </w:pPr>
            <w:r w:rsidRPr="007745E1">
              <w:rPr>
                <w:rFonts w:cstheme="minorHAnsi"/>
                <w:b/>
                <w:bCs/>
              </w:rPr>
              <w:t>Hydrogen solubility, θ [x10</w:t>
            </w:r>
            <w:r w:rsidRPr="007745E1">
              <w:rPr>
                <w:rFonts w:cstheme="minorHAnsi"/>
                <w:b/>
                <w:bCs/>
                <w:vertAlign w:val="superscript"/>
              </w:rPr>
              <w:t>6</w:t>
            </w:r>
            <w:r w:rsidRPr="007745E1">
              <w:rPr>
                <w:rFonts w:cstheme="minorHAnsi"/>
                <w:b/>
                <w:bCs/>
              </w:rPr>
              <w:t>]</w:t>
            </w:r>
          </w:p>
        </w:tc>
      </w:tr>
      <w:tr w:rsidR="00007F6C" w14:paraId="4DE78106" w14:textId="77777777" w:rsidTr="005E2F1E">
        <w:trPr>
          <w:jc w:val="center"/>
        </w:trPr>
        <w:tc>
          <w:tcPr>
            <w:tcW w:w="2670" w:type="dxa"/>
          </w:tcPr>
          <w:p w14:paraId="04C794C7" w14:textId="77777777" w:rsidR="00007F6C" w:rsidRDefault="00007F6C" w:rsidP="005E2F1E">
            <w:pPr>
              <w:jc w:val="both"/>
            </w:pPr>
            <w:r>
              <w:t>Silver, Ag</w:t>
            </w:r>
          </w:p>
        </w:tc>
        <w:tc>
          <w:tcPr>
            <w:tcW w:w="2858" w:type="dxa"/>
          </w:tcPr>
          <w:p w14:paraId="77A346FE" w14:textId="77777777" w:rsidR="00007F6C" w:rsidRDefault="00007F6C" w:rsidP="005E2F1E">
            <w:pPr>
              <w:jc w:val="right"/>
            </w:pPr>
            <w:r>
              <w:t>3.05</w:t>
            </w:r>
          </w:p>
        </w:tc>
      </w:tr>
      <w:tr w:rsidR="00007F6C" w14:paraId="0B7914C5" w14:textId="77777777" w:rsidTr="005E2F1E">
        <w:trPr>
          <w:jc w:val="center"/>
        </w:trPr>
        <w:tc>
          <w:tcPr>
            <w:tcW w:w="2670" w:type="dxa"/>
          </w:tcPr>
          <w:p w14:paraId="454D9BAC" w14:textId="77777777" w:rsidR="00007F6C" w:rsidRDefault="00007F6C" w:rsidP="005E2F1E">
            <w:pPr>
              <w:jc w:val="both"/>
            </w:pPr>
            <w:r>
              <w:t>Gold, Au</w:t>
            </w:r>
          </w:p>
        </w:tc>
        <w:tc>
          <w:tcPr>
            <w:tcW w:w="2858" w:type="dxa"/>
          </w:tcPr>
          <w:p w14:paraId="4D59DCD1" w14:textId="77777777" w:rsidR="00007F6C" w:rsidRDefault="00007F6C" w:rsidP="005E2F1E">
            <w:pPr>
              <w:jc w:val="right"/>
            </w:pPr>
            <w:r>
              <w:t>1.66</w:t>
            </w:r>
          </w:p>
        </w:tc>
      </w:tr>
    </w:tbl>
    <w:p w14:paraId="70BB6C38" w14:textId="0516D494" w:rsidR="00151775" w:rsidRPr="00151775" w:rsidRDefault="00151775" w:rsidP="00F27533">
      <w:pPr>
        <w:spacing w:before="240"/>
        <w:jc w:val="both"/>
      </w:pPr>
      <w:r>
        <w:t xml:space="preserve">Another source of impedance could be due to the formation of a stagnant gas layer between the fuel electrode and the incident fuel. This layer has been documented to form in impedance jig configurations utilising a direct gas inlet </w:t>
      </w:r>
      <w:r>
        <w:fldChar w:fldCharType="begin" w:fldLock="1"/>
      </w:r>
      <w:r w:rsidR="008446C6">
        <w:instrText>ADDIN CSL_CITATION {"citationItems":[{"id":"ITEM-1","itemData":{"DOI":"10.1149/1.1392015","ISSN":"0013-4651","abstract":"Impedance spectra obtained on high-performance ( &lt; 0.1 Ω cm 2 ) Ni/yttria stabilized zirconia (YSZ) cermet anodes at 1000°C in H 2 /H 2 O/inert gas mixtures are considered. An impedance arc with a characteristics frequency of about 10 to 100 Hz is related to finite diffusion limitation by considering the dependence on water partial pressure, apparent thermal activation, and effect of the inert gas component. By experiments in different test geometries the diffusion zone is demonstrated to be a stagnant gas layer outside the anode structure. An estimated stagnant gas layer thickness of about 1 mm is arrived at. The diffusion impedance is demonstrated to be avoidable by using a setup geometry with two coupled electrodes in direct electrical contact through opposing sides of a contacting mesh.","author":[{"dropping-particle":"","family":"Primdahl","given":"S.","non-dropping-particle":"","parse-names":false,"suffix":""},{"dropping-particle":"","family":"Mogensen","given":"M.","non-dropping-particle":"","parse-names":false,"suffix":""}],"container-title":"Journal of The Electrochemical Society","id":"ITEM-1","issue":"8","issued":{"date-parts":[["1999"]]},"page":"2827-2833","title":"Gas Diffusion Impedance in Characterization of Solid Oxide Fuel Cell Anodes","type":"article-journal","volume":"146"},"uris":["http://www.mendeley.com/documents/?uuid=140e5e20-1f3d-4c85-b931-da2cd8445e14"]}],"mendeley":{"formattedCitation":"[477]","plainTextFormattedCitation":"[477]","previouslyFormattedCitation":"[477]"},"properties":{"noteIndex":0},"schema":"https://github.com/citation-style-language/schema/raw/master/csl-citation.json"}</w:instrText>
      </w:r>
      <w:r>
        <w:fldChar w:fldCharType="separate"/>
      </w:r>
      <w:r w:rsidR="00A77A83" w:rsidRPr="00A77A83">
        <w:rPr>
          <w:noProof/>
        </w:rPr>
        <w:t>[477]</w:t>
      </w:r>
      <w:r>
        <w:fldChar w:fldCharType="end"/>
      </w:r>
      <w:r>
        <w:t xml:space="preserve">. Diffusion of the electrochemical species (denoted by </w:t>
      </w:r>
      <w:r>
        <w:rPr>
          <w:i/>
          <w:iCs/>
        </w:rPr>
        <w:t>j</w:t>
      </w:r>
      <w:r>
        <w:t>) is directly related to the change in electrode area A, and the bulk gas B. The change in H</w:t>
      </w:r>
      <w:r>
        <w:rPr>
          <w:vertAlign w:val="subscript"/>
        </w:rPr>
        <w:t>2</w:t>
      </w:r>
      <w:r>
        <w:t xml:space="preserve"> gas concentration between the two interfaces is the gradient across the stagnant layer between the bulk: stagnant gas and the stagnant layer fuel electrode interface</w:t>
      </w:r>
      <w:r w:rsidR="001C34C1">
        <w:t>s</w:t>
      </w:r>
      <w:r>
        <w:t xml:space="preserve"> (</w:t>
      </w:r>
      <w:r w:rsidR="001C34C1">
        <w:fldChar w:fldCharType="begin"/>
      </w:r>
      <w:r w:rsidR="001C34C1">
        <w:instrText xml:space="preserve"> REF _Ref67661863 \h </w:instrText>
      </w:r>
      <w:r w:rsidR="00573788">
        <w:instrText xml:space="preserve"> \* MERGEFORMAT </w:instrText>
      </w:r>
      <w:r w:rsidR="001C34C1">
        <w:fldChar w:fldCharType="separate"/>
      </w:r>
      <w:r w:rsidR="00235E79">
        <w:t>Figure 5.36</w:t>
      </w:r>
      <w:r w:rsidR="001C34C1">
        <w:fldChar w:fldCharType="end"/>
      </w:r>
      <w:r>
        <w:t>)</w:t>
      </w:r>
      <w:r w:rsidR="001C34C1">
        <w:t>(</w:t>
      </w:r>
      <w:r w:rsidR="001C34C1">
        <w:fldChar w:fldCharType="begin" w:fldLock="1"/>
      </w:r>
      <w:r w:rsidR="008446C6">
        <w:instrText>ADDIN CSL_CITATION {"citationItems":[{"id":"ITEM-1","itemData":{"DOI":"10.1149/1.1392015","ISSN":"0013-4651","abstract":"Impedance spectra obtained on high-performance ( &lt; 0.1 Ω cm 2 ) Ni/yttria stabilized zirconia (YSZ) cermet anodes at 1000°C in H 2 /H 2 O/inert gas mixtures are considered. An impedance arc with a characteristics frequency of about 10 to 100 Hz is related to finite diffusion limitation by considering the dependence on water partial pressure, apparent thermal activation, and effect of the inert gas component. By experiments in different test geometries the diffusion zone is demonstrated to be a stagnant gas layer outside the anode structure. An estimated stagnant gas layer thickness of about 1 mm is arrived at. The diffusion impedance is demonstrated to be avoidable by using a setup geometry with two coupled electrodes in direct electrical contact through opposing sides of a contacting mesh.","author":[{"dropping-particle":"","family":"Primdahl","given":"S.","non-dropping-particle":"","parse-names":false,"suffix":""},{"dropping-particle":"","family":"Mogensen","given":"M.","non-dropping-particle":"","parse-names":false,"suffix":""}],"container-title":"Journal of The Electrochemical Society","id":"ITEM-1","issue":"8","issued":{"date-parts":[["1999"]]},"page":"2827-2833","title":"Gas Diffusion Impedance in Characterization of Solid Oxide Fuel Cell Anodes","type":"article-journal","volume":"146"},"uris":["http://www.mendeley.com/documents/?uuid=140e5e20-1f3d-4c85-b931-da2cd8445e14"]},{"id":"ITEM-2","itemData":{"ISBN":"9036513375","abstract":"This thesis deals with the porous Ni/yttria-stabilized zirconia (YSZ) cermet anode on a YSZ electrolyte for solid oxide fuel cells (SOFC). Such anodes are predominantly operated in moist hydrogen at 700C to 1000C, and the most important technological parameters are the polarization resistance and the long-term stability. The polarization resistance can be measured by a number of techniques, in the present work impedance spectroscopy has been used extensively. By impedance spectroscopy limiting processes in the anode polarization resistance may often be separated and characterized individually, provided they have a reasonable separation in time constants. Three limiting processes are recognized in impedance spectra obtained on technological Ni/YSZ cermet anodes characterized against a stable reference electrode atmosphere. By parameter studies and illustrative experiments, the two contributions at low and medium frequency have been identified as gas conversion and diffusion limitations, respectively. Both of these effects are concentration limitations relating to the inefficient exchange of fuel gas in the test setup outside the porous cermet. A test setup geometry where these concentration effects are avoided for high-performance electrodes is recommended. The high frequency limitation is demonstrated to relate to the cermet structure. The dependence on gas composition, temperature, adsorbed species (sulfur), isotopes (H/D), sintering temperature and cermet thickness is investigated. Despite these studies and several similar studies by others, the exact chemical or physical nature of the limiting step has not been incontestably identified. However, there is a general consensus in literature about the hydrogen oxidation process taking place on or near to the triple phase boundary (TPB) line, where open gas-filled pores, the continuous electrolyte phase (oxide ion conductor) and the continuous Ni phase (electronic conductor) meet. The physical thickness of a cermet anode that contains active TPB sites contributing to the current density of an SOFC is demonstrated to be about 10 µm. This result has technological importance, as any overlying structure serves primarily as a current collector and needs not be optimized for transport of oxide ions. The anode durability is investigated over 1300 to 1900 hrs at 300 mA/cm2 and shown to be stable at 1050C. At 1000C a degradation rate of about 10 mΩcm2 /1000 hrs is observed, and at 850C a degradation rate of about …","author":[{"dropping-particle":"","family":"Primdahl Søren","given":"","non-dropping-particle":"","parse-names":false,"suffix":""}],"container-title":"Faculty of Chemical Technology","id":"ITEM-2","issued":{"date-parts":[["1999"]]},"number-of-pages":"203","publisher":"University of Twente","title":"Nickel/yttria-stabilised zirconia cermet anodes for solid oxide fuel cells","type":"thesis","volume":"PhD"},"uris":["http://www.mendeley.com/documents/?uuid=d068fc62-a138-420e-ad1f-fbc9376c752d"]}],"mendeley":{"formattedCitation":"[132], [477]","plainTextFormattedCitation":"[132], [477]","previouslyFormattedCitation":"[132], [477]"},"properties":{"noteIndex":0},"schema":"https://github.com/citation-style-language/schema/raw/master/csl-citation.json"}</w:instrText>
      </w:r>
      <w:r w:rsidR="001C34C1">
        <w:fldChar w:fldCharType="separate"/>
      </w:r>
      <w:r w:rsidR="00A77A83" w:rsidRPr="00A77A83">
        <w:rPr>
          <w:noProof/>
        </w:rPr>
        <w:t>[132], [477]</w:t>
      </w:r>
      <w:r w:rsidR="001C34C1">
        <w:fldChar w:fldCharType="end"/>
      </w:r>
      <w:r w:rsidR="001C34C1">
        <w:t>).</w:t>
      </w:r>
    </w:p>
    <w:p w14:paraId="11146A2C" w14:textId="77777777" w:rsidR="00151775" w:rsidRDefault="00151775" w:rsidP="00573788">
      <w:pPr>
        <w:keepNext/>
        <w:jc w:val="center"/>
      </w:pPr>
      <w:r>
        <w:rPr>
          <w:noProof/>
        </w:rPr>
        <w:drawing>
          <wp:inline distT="0" distB="0" distL="0" distR="0" wp14:anchorId="37979B86" wp14:editId="327E8651">
            <wp:extent cx="4320000" cy="2327995"/>
            <wp:effectExtent l="0" t="0" r="0" b="0"/>
            <wp:docPr id="464" name="Picture 4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Diagram&#10;&#10;Description automatically generated"/>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4320000" cy="2327995"/>
                    </a:xfrm>
                    <a:prstGeom prst="rect">
                      <a:avLst/>
                    </a:prstGeom>
                  </pic:spPr>
                </pic:pic>
              </a:graphicData>
            </a:graphic>
          </wp:inline>
        </w:drawing>
      </w:r>
    </w:p>
    <w:p w14:paraId="7272003F" w14:textId="51BD5448" w:rsidR="00151775" w:rsidRPr="00151775" w:rsidRDefault="00151775" w:rsidP="00573788">
      <w:pPr>
        <w:pStyle w:val="Caption"/>
        <w:jc w:val="both"/>
      </w:pPr>
      <w:bookmarkStart w:id="525" w:name="_Ref67661863"/>
      <w:bookmarkStart w:id="526" w:name="_Toc69115051"/>
      <w:r>
        <w:t>Figure 5.</w:t>
      </w:r>
      <w:r w:rsidR="00B51F53">
        <w:fldChar w:fldCharType="begin"/>
      </w:r>
      <w:r w:rsidR="00B51F53">
        <w:instrText xml:space="preserve"> SEQ Figure \* </w:instrText>
      </w:r>
      <w:r w:rsidR="00B51F53">
        <w:instrText xml:space="preserve">ARABIC </w:instrText>
      </w:r>
      <w:r w:rsidR="00B51F53">
        <w:fldChar w:fldCharType="separate"/>
      </w:r>
      <w:r w:rsidR="00235E79">
        <w:rPr>
          <w:noProof/>
        </w:rPr>
        <w:t>36</w:t>
      </w:r>
      <w:r w:rsidR="00B51F53">
        <w:rPr>
          <w:noProof/>
        </w:rPr>
        <w:fldChar w:fldCharType="end"/>
      </w:r>
      <w:bookmarkEnd w:id="525"/>
      <w:r>
        <w:t>: Diagram of the formation of a stagnant gas layer on the infiltrated fuel electrode sample.</w:t>
      </w:r>
      <w:r w:rsidR="001C34C1">
        <w:t xml:space="preserve"> The </w:t>
      </w:r>
      <w:proofErr w:type="gramStart"/>
      <w:r w:rsidR="001C34C1">
        <w:t>right hand</w:t>
      </w:r>
      <w:proofErr w:type="gramEnd"/>
      <w:r w:rsidR="001C34C1">
        <w:t xml:space="preserve"> side shows the position of this layer in the ceramic impedance jig in this study.</w:t>
      </w:r>
      <w:r>
        <w:t xml:space="preserve"> The change in the concentration of H</w:t>
      </w:r>
      <w:r>
        <w:rPr>
          <w:vertAlign w:val="subscript"/>
        </w:rPr>
        <w:t>2</w:t>
      </w:r>
      <w:r>
        <w:t xml:space="preserve"> fuel C is inversely (</w:t>
      </w:r>
      <w:proofErr w:type="spellStart"/>
      <w:proofErr w:type="gramStart"/>
      <w:r>
        <w:t>C</w:t>
      </w:r>
      <w:r>
        <w:rPr>
          <w:vertAlign w:val="subscript"/>
        </w:rPr>
        <w:t>j.A</w:t>
      </w:r>
      <w:proofErr w:type="spellEnd"/>
      <w:r>
        <w:rPr>
          <w:vertAlign w:val="subscript"/>
        </w:rPr>
        <w:softHyphen/>
      </w:r>
      <w:proofErr w:type="gramEnd"/>
      <w:r>
        <w:t>) related to thickness of the stagnant gas layer l. The fuel electrode area is denoted by A and the electrochemical species is H</w:t>
      </w:r>
      <w:r>
        <w:rPr>
          <w:vertAlign w:val="subscript"/>
        </w:rPr>
        <w:t>2</w:t>
      </w:r>
      <w:r>
        <w:t xml:space="preserve"> </w:t>
      </w:r>
      <w:proofErr w:type="gramStart"/>
      <w:r>
        <w:t>respectively</w:t>
      </w:r>
      <w:bookmarkEnd w:id="526"/>
      <w:proofErr w:type="gramEnd"/>
    </w:p>
    <w:p w14:paraId="12AF5E24" w14:textId="40B9EB5D" w:rsidR="00007F6C" w:rsidRPr="00EF752C" w:rsidRDefault="00007F6C" w:rsidP="00007F6C">
      <w:pPr>
        <w:jc w:val="both"/>
      </w:pPr>
      <w:r>
        <w:t>Despite the silver producing the second lowest R</w:t>
      </w:r>
      <w:r>
        <w:rPr>
          <w:vertAlign w:val="subscript"/>
        </w:rPr>
        <w:t>P</w:t>
      </w:r>
      <w:r>
        <w:t xml:space="preserve"> for any of the infiltrated Ni-YSZ samples, the samples produced the largest increase in R</w:t>
      </w:r>
      <w:r>
        <w:rPr>
          <w:vertAlign w:val="subscript"/>
        </w:rPr>
        <w:t>P</w:t>
      </w:r>
      <w:r>
        <w:t xml:space="preserve"> between the ag, au and nickel current collectors during the ageing period. This is in part due to silver’s initially low resistivity under H</w:t>
      </w:r>
      <w:r>
        <w:rPr>
          <w:vertAlign w:val="subscript"/>
        </w:rPr>
        <w:t>2</w:t>
      </w:r>
      <w:r>
        <w:t xml:space="preserve"> atmospheres as discussed in the literature since 1979 </w:t>
      </w:r>
      <w:r>
        <w:fldChar w:fldCharType="begin" w:fldLock="1"/>
      </w:r>
      <w:r w:rsidR="00151775">
        <w:instrText>ADDIN CSL_CITATION {"citationItems":[{"id":"ITEM-1","itemData":{"DOI":"10.1149/2.010301eel","ISSN":"21628726","abstract":"The true functionality of a current collector employed in electrochemical cells is to ensure a low-resistance steady electrons flow between the cell and instrumentation without involving in any local electrochemical reactions of the electrode. In this study, we investigated the effect of curing temperature of a common current collector, silver, on the polarization area specific resistance (ASR) of a cathode. The results explicitly showed that at least one order of magnitude lower ASR for a cathode with Ag cured at 800C than that cured at 650C of the same cathode configuration. Microscopic analysis of the 800C-cured cells revealed a deep penetration and abundant distribution of Ag into the cathode/electrolyte interfacial region. These finely dispersed and highly conductive Ag particles/agglomerates areORR(oxygen reduction reaction)-active, thus engaging in the local electrochemical reaction and overshadowing the true properties of the cathode under investigation. Based on these results, we call for caution when using Ag as a current collector for electrochemical measurements, particularly at a temperature 650C. © 2012 The Electrochemical Society.","author":[{"dropping-particle":"","family":"Gong","given":"Yunhui","non-dropping-particle":"","parse-names":false,"suffix":""},{"dropping-particle":"","family":"Qin","given":"Changyong","non-dropping-particle":"","parse-names":false,"suffix":""},{"dropping-particle":"","family":"Huang","given":"Kevin","non-dropping-particle":"","parse-names":false,"suffix":""}],"container-title":"ECS Electrochemistry Letters","id":"ITEM-1","issue":"1","issued":{"date-parts":[["2013"]]},"page":"4-7","title":"Can silver be a reliable current collector for electrochemical tests","type":"article-journal","volume":"2"},"uris":["http://www.mendeley.com/documents/?uuid=4f1a812e-2e83-4aa9-a258-2b5439f77fe0"]},{"id":"ITEM-2","itemData":{"DOI":"10.1016/j.ijhydene.2010.10.034","ISSN":"03603199","abstract":"Planar electrolyte supported solid oxide fuel cells were operated at 900 °C with humidified H2 for 200 h using silver mesh and paste for cathode current collection. Continuous potentiostatic tests at 0.7 V appeared to induce migration of Ag towards electrode-electrolyte interphase, while continuous OCV tests caused no mass transport. Similar SOFCs fueled by coal syngas at 850 °C using Ag for both anode and cathode current collection indicated little, if any, Ag migration; providing the possibility of employing Ag for 100 h laboratory scale tests using coal-derived syngas. Use of high temperature steam, carbon dioxide and carbon monoxide did not result in the formation of silver carbonates. © 2010 Professor T. Nejat Veziroglu. Published by Elsevier Ltd. All rights reserved.","author":[{"dropping-particle":"","family":"Silva","given":"K. Channa R.","non-dropping-particle":"De","parse-names":false,"suffix":""},{"dropping-particle":"","family":"Kaseman","given":"Brian J.","non-dropping-particle":"","parse-names":false,"suffix":""},{"dropping-particle":"","family":"Bayless","given":"David J.","non-dropping-particle":"","parse-names":false,"suffix":""}],"container-title":"International Journal of Hydrogen Energy","id":"ITEM-2","issue":"1","issued":{"date-parts":[["2011"]]},"page":"779-786","publisher":"Elsevier Ltd","title":"Silver (Ag) as anode and cathode current collectors in high temperature planar solid oxide fuel cells","type":"article-journal","volume":"36"},"uris":["http://www.mendeley.com/documents/?uuid=bd402a07-bd27-4f1d-8c84-bff96b54702e"]},{"id":"ITEM-3","itemData":{"author":[{"dropping-particle":"","family":"Matula","given":"R. A.","non-dropping-particle":"","parse-names":false,"suffix":""}],"container-title":"J. Phys. Chem","id":"ITEM-3","issue":"4","issued":{"date-parts":[["1979"]]},"page":"1147","title":"Electrical Resistivity of Cu, Au, Pd, and Ag","type":"article","volume":"6"},"uris":["http://www.mendeley.com/documents/?uuid=bc0f4304-da3c-4096-8078-82205da1c3f9"]}],"mendeley":{"formattedCitation":"[433], [441], [457]","plainTextFormattedCitation":"[433], [441], [457]","previouslyFormattedCitation":"[433], [441], [457]"},"properties":{"noteIndex":0},"schema":"https://github.com/citation-style-language/schema/raw/master/csl-citation.json"}</w:instrText>
      </w:r>
      <w:r>
        <w:fldChar w:fldCharType="separate"/>
      </w:r>
      <w:r w:rsidR="008B6E91" w:rsidRPr="008B6E91">
        <w:rPr>
          <w:noProof/>
        </w:rPr>
        <w:t>[433], [441], [457]</w:t>
      </w:r>
      <w:r>
        <w:fldChar w:fldCharType="end"/>
      </w:r>
      <w:r>
        <w:t>.</w:t>
      </w:r>
    </w:p>
    <w:p w14:paraId="6CBB4A51" w14:textId="072AF588" w:rsidR="00007F6C" w:rsidRDefault="00007F6C" w:rsidP="00007F6C">
      <w:pPr>
        <w:jc w:val="both"/>
      </w:pPr>
      <w:r>
        <w:t>After ageing for 50 h in the 10 % H</w:t>
      </w:r>
      <w:r>
        <w:rPr>
          <w:vertAlign w:val="subscript"/>
        </w:rPr>
        <w:t>2</w:t>
      </w:r>
      <w:r>
        <w:t>/N</w:t>
      </w:r>
      <w:r>
        <w:rPr>
          <w:vertAlign w:val="subscript"/>
        </w:rPr>
        <w:t>2</w:t>
      </w:r>
      <w:r>
        <w:t xml:space="preserve"> atmosphere, microstructural imaging of the silver current collector layer and the formation of rods on the surface of the electrode. This would indicate that pinhole and void formation produced by the oxidation of the fuel has severed the layer </w:t>
      </w:r>
      <w:r>
        <w:fldChar w:fldCharType="begin" w:fldLock="1"/>
      </w:r>
      <w:r w:rsidR="008446C6">
        <w:instrText>ADDIN CSL_CITATION {"citationItems":[{"id":"ITEM-1","itemData":{"DOI":"10.1007/s40243-018-0123-y","ISBN":"0123456789","ISSN":"21941467","abstract":"In this paper, the behaviour of silver as cathode conductive material, interconnect wire, and sealing for anode lead connection for microtubular solid oxide fuel cells (µSOFC) is reported. The changes in silver morphology are examined by scanning electron microscopy on cells that had been operated under reformed methane. It is found that using silver in an solid oxide fuel cell (SOFC) stack can improve the cell performance. However, it is also concluded that silver may be responsible for cell degradation. This report brings together and explains all the known problems with application of silver for SOFCs. The results show that silver is unstable in interconnect and in cathode environments. It is found that the process of cell passivation/activation promotes silver migration. The difference in thermal expansion of silver and sealant results in damage to the glass. It is concluded that when silver is exposed to a dual atmosphere condition, high levels of porosity formation is seen in the dense silver interconnect. The relevance of application of silver in SOFC stacks is discussed.","author":[{"dropping-particle":"","family":"Majewski","given":"Artur J.","non-dropping-particle":"","parse-names":false,"suffix":""},{"dropping-particle":"","family":"Dhir","given":"Aman","non-dropping-particle":"","parse-names":false,"suffix":""}],"container-title":"Materials for Renewable and Sustainable Energy","id":"ITEM-1","issue":"3","issued":{"date-parts":[["2018"]]},"page":"1-13","publisher":"Springer Berlin Heidelberg","title":"Application of silver in microtubular solid oxide fuel cells","type":"article-journal","volume":"7"},"uris":["http://www.mendeley.com/documents/?uuid=79eb06da-638d-45c6-af3a-6f20e4c857b7"]},{"id":"ITEM-2","itemData":{"DOI":"10.1016/j.ijhydene.2016.04.061","ISSN":"03603199","abstract":"A novel fabrication method using electroless and electrodeposited Ni/Ag/GDC for SOFC anodes is presented. First a porous Ce0.9Gd0.1O2-x (GDC) scaffold was deposited on a YSZ electrolyte by screen printing and sintering. The scaffold was then metallized with silver using Tollens' reaction, followed by electrodeposition of nickel from a Watt's bath. The electrodes (Ni/Ag/GDC) were tested in both symmetrical and fuel cell configurations. The microstructures of the Ni/Ag/GDC anodes were analyzed using scanning electron microscopy (SEM) and energy dispersive x-ray spectroscopy (EDX). Nano-particles of Ni formed in the porous GDC scaffold provided triple phase boundaries (TPB). The electronic conductivity of the Ni/Ag/GDC (3.5/24.7/71.8 vol%) electrode was good even at relatively low Ni volume fractions. The electrochemical performance was examined in different concentrations of humidified hydrogen (3% H2O) and over a range of temperatures (600-750 °C). The total area specific resistance (ASR) of the anode at 750 °C in humidified 97 vol% H2 was 1.12 Ω cm2, with low-frequency polarization (R-l) as the largest contributor. The electrodes were successfully integrated into a fuel cell and operated in both H2 and syngas.","author":[{"dropping-particle":"","family":"Jamil","given":"Zadariana","non-dropping-particle":"","parse-names":false,"suffix":""},{"dropping-particle":"","family":"Ruiz-Trejo","given":"Enrique","non-dropping-particle":"","parse-names":false,"suffix":""},{"dropping-particle":"","family":"Boldrin","given":"Paul","non-dropping-particle":"","parse-names":false,"suffix":""},{"dropping-particle":"","family":"Brandon","given":"Nigel P.","non-dropping-particle":"","parse-names":false,"suffix":""}],"container-title":"International Journal of Hydrogen Energy","id":"ITEM-2","issue":"22","issued":{"date-parts":[["2016"]]},"page":"9627-9637","publisher":"Elsevier Ltd","title":"Anode fabrication for solid oxide fuel cells: Electroless and electrodeposition of nickel and silver into doped ceria scaffolds","type":"article-journal","volume":"41"},"uris":["http://www.mendeley.com/documents/?uuid=4a9af148-72d6-436d-872a-33669ad1d24b"]}],"mendeley":{"formattedCitation":"[442], [478]","plainTextFormattedCitation":"[442], [478]","previouslyFormattedCitation":"[442], [478]"},"properties":{"noteIndex":0},"schema":"https://github.com/citation-style-language/schema/raw/master/csl-citation.json"}</w:instrText>
      </w:r>
      <w:r>
        <w:fldChar w:fldCharType="separate"/>
      </w:r>
      <w:r w:rsidR="00A77A83" w:rsidRPr="00A77A83">
        <w:rPr>
          <w:noProof/>
        </w:rPr>
        <w:t>[442], [478]</w:t>
      </w:r>
      <w:r>
        <w:fldChar w:fldCharType="end"/>
      </w:r>
      <w:r>
        <w:t xml:space="preserve">. The timescale of this interaction was identified via EIS to occur within 15 h of ageing approximately 0.04 % of the desired lifetime for an SOFC system. </w:t>
      </w:r>
    </w:p>
    <w:p w14:paraId="681EEAF4" w14:textId="16FAB47A" w:rsidR="00007F6C" w:rsidRDefault="00007F6C" w:rsidP="00007F6C">
      <w:pPr>
        <w:jc w:val="both"/>
      </w:pPr>
      <w:r>
        <w:lastRenderedPageBreak/>
        <w:t>In addition, the diffusion of the silver current collector layer would also be a cause for concern in an SOFC.  Silver has been reported to become extremely mobile above its Tammann temperature (480.9</w:t>
      </w:r>
      <w:r w:rsidR="0048473C">
        <w:t xml:space="preserve"> </w:t>
      </w:r>
      <w:r w:rsidR="0048473C">
        <w:rPr>
          <w:rFonts w:cstheme="minorHAnsi"/>
        </w:rPr>
        <w:t>°</w:t>
      </w:r>
      <w:r>
        <w:t xml:space="preserve">C) and has been documented to migrate towards the electrolyte on the air side of an SOFC </w:t>
      </w:r>
      <w:r>
        <w:fldChar w:fldCharType="begin" w:fldLock="1"/>
      </w:r>
      <w:r w:rsidR="00151775">
        <w:instrText>ADDIN CSL_CITATION {"citationItems":[{"id":"ITEM-1","itemData":{"DOI":"10.1002/zaac.19191070102","abstract":"Abstract Übersicht S.1.– 1. Die regellose Verteilung zweier Molekülarten S.9.–2. Die regelmäßigen Verteilungen zweier Atomarten in Raumgittern S. 15.–3. Die bei der Extraktion mit Salpetersäure verbleibenden Rückstände der Gold - Silber- und Gold -Kupferlegierungen S. 49. – 4. Vorläufige Bestimmung der Einwirkungsgrenzen von schwefelhaltigen Agentien und schwachen Oxydationsmitteln auf die Cu-Au-Mischkristalle und der Einfluß der Temperatur auf diese Einwirkungsgrenzen S. 57 – 5. Genauere Bestimmung der Einwirkungsgrenzen auf die Cu-Au- und Ag-Au-Mischkristalle in Abhängigkeit von der Natur der chemischen Agentien S. 62. – 6. Über die Löslichkeit von Wasserstoff in Palladiummischkristallen S. 89. – 7. Deutung der Einwirkungsgrenzen S. 96. – 8. Das Verhalten der ternären Mischkristalle von Cu, Ag und Au gegen chemische Agentien und ihre Farben S. 107. – 9. Die Einwirkungsgrenzen der Mischkristalle des Vanadins und Siliciums mit Eisen S. 118.–10. Die galvanischen Spannungen der Legierungen S. 136.– 11. Angenäherte Bestimmung der Einwirkungsgrenzen auf die Mischkristallreihen des Mn mit Ag und die des Mg mit Ag S. 169. – 12. Über den Einfluß der Kaltbearbeitung auf die chemischen Einwirkungsgrenzen S. 171. – 13. Zusammenfassung der Resultate, betreffend die Einwirkungsgrenzen und Übersicht ihrer Deutung S. 186. – 14. Über den atomistischen Aufbau nichtmetallischer Mischkristalle S. 186.– 15. Die normale Molekülverteilung in Mischkristallen als Ursache ihrer anomalen Doppelbrechung S. 208. – 16. Isomere metallische Mischkristalle S. 217.–17. Bemerkungen über „Säure”︁ beständige Legierungen S.235.– Schlußwort S.237.","author":[{"dropping-particle":"","family":"Tammann","given":"G","non-dropping-particle":"","parse-names":false,"suffix":""}],"container-title":"Zeitschrift für anorganische und allgemeine Chemie","id":"ITEM-1","issue":"1","issued":{"date-parts":[["1919"]]},"page":"1-239","title":"Zum Gedächtnis der Entdeckung des Isomorphismus vor 100 Jahren. Die chemischen und galvanischen Eigenschaften von Mischkristallreihen und ihre Atomverteilung","type":"article-journal","volume":"107"},"uris":["http://www.mendeley.com/documents/?uuid=6284032c-9c7e-43bd-bed0-65f21129f2be"]},{"id":"ITEM-2","itemData":{"DOI":"10.1021/ja064884j","ISSN":"00027863","abstract":"A novel in situ autoreduction route has been developed, by which monodispersed silver nanoparticles with tunable sizes could be easily fabricated on silica-based materials, especially inside the channels of mesoporous silica (MPS). 13C CP/MAS NMR spectroscopy was employed to monitor the whole assembly process. It was demonstrated that the amino groups of APTS (aminopropyltriethoxyl silane)-modified MPS can be used to anchor formaldehyde to form novel reducing species (NHCH2OH), on which Ag(NH 3)2NO3 could be in situ reduced. Monodispersed silver nanoparticles were thus obtained. In situ XRD and in situ TEM experiments were used to investigate and compare the thermal stabilities of silver nanoparticles on the external surface of silica gels (unconfined) and those located inside the channels of SBA-15 (confined). It was observed that unconfined silver nanoparticles tended to agglomerate at low temperatures (i.e., lower than 773 K). The aggregation of silver nanoparticles became more serious at 773 K. However, for those confined silver nanoparticles, no coarsening process was observed at 773 K, much higher than its Tammann temperature (i.e., 617 K). Only when the treating temperature was higher than 873 K could the agglomeration of those confined silver nanoparticles happen with time-varying via the Ostwald ripening process. The confinement of mesopores played a key role in improving the thermal stabilities of silver nanoparticles (stable up to 773 K without any observable coarsening), which is essential to the further investigations on their chemical (e.g., catalytic) properties. © 2006 American Chemical Society.","author":[{"dropping-particle":"","family":"Sun","given":"Junming","non-dropping-particle":"","parse-names":false,"suffix":""},{"dropping-particle":"","family":"Ma","given":"Ding","non-dropping-particle":"","parse-names":false,"suffix":""},{"dropping-particle":"","family":"Zhang","given":"He","non-dropping-particle":"","parse-names":false,"suffix":""},{"dropping-particle":"","family":"Liu","given":"Xiumei","non-dropping-particle":"","parse-names":false,"suffix":""},{"dropping-particle":"","family":"Han","given":"Xiuwen","non-dropping-particle":"","parse-names":false,"suffix":""},{"dropping-particle":"","family":"Bao","given":"Xinhe","non-dropping-particle":"","parse-names":false,"suffix":""},{"dropping-particle":"","family":"Weinberg","given":"Gisela","non-dropping-particle":"","parse-names":false,"suffix":""},{"dropping-particle":"","family":"Pfänder","given":"Norbert","non-dropping-particle":"","parse-names":false,"suffix":""},{"dropping-particle":"","family":"Su","given":"Dangsheng","non-dropping-particle":"","parse-names":false,"suffix":""}],"container-title":"Journal of the American Chemical Society","id":"ITEM-2","issue":"49","issued":{"date-parts":[["2006"]]},"page":"15756-15764","title":"Toward monodispersed silver nanoparticles with unusual thermal stability","type":"article-journal","volume":"128"},"uris":["http://www.mendeley.com/documents/?uuid=dc0962e1-e02a-4d5c-8187-79d214c01270"]},{"id":"ITEM-3","itemData":{"DOI":"10.1007/s40243-018-0123-y","ISBN":"0123456789","ISSN":"21941467","abstract":"In this paper, the behaviour of silver as cathode conductive material, interconnect wire, and sealing for anode lead connection for microtubular solid oxide fuel cells (µSOFC) is reported. The changes in silver morphology are examined by scanning electron microscopy on cells that had been operated under reformed methane. It is found that using silver in an solid oxide fuel cell (SOFC) stack can improve the cell performance. However, it is also concluded that silver may be responsible for cell degradation. This report brings together and explains all the known problems with application of silver for SOFCs. The results show that silver is unstable in interconnect and in cathode environments. It is found that the process of cell passivation/activation promotes silver migration. The difference in thermal expansion of silver and sealant results in damage to the glass. It is concluded that when silver is exposed to a dual atmosphere condition, high levels of porosity formation is seen in the dense silver interconnect. The relevance of application of silver in SOFC stacks is discussed.","author":[{"dropping-particle":"","family":"Majewski","given":"Artur J.","non-dropping-particle":"","parse-names":false,"suffix":""},{"dropping-particle":"","family":"Dhir","given":"Aman","non-dropping-particle":"","parse-names":false,"suffix":""}],"container-title":"Materials for Renewable and Sustainable Energy","id":"ITEM-3","issue":"3","issued":{"date-parts":[["2018"]]},"page":"1-13","publisher":"Springer Berlin Heidelberg","title":"Application of silver in microtubular solid oxide fuel cells","type":"article-journal","volume":"7"},"uris":["http://www.mendeley.com/documents/?uuid=79eb06da-638d-45c6-af3a-6f20e4c857b7"]},{"id":"ITEM-4","itemData":{"DOI":"10.1149/2.010301eel","ISSN":"21628726","abstract":"The true functionality of a current collector employed in electrochemical cells is to ensure a low-resistance steady electrons flow between the cell and instrumentation without involving in any local electrochemical reactions of the electrode. In this study, we investigated the effect of curing temperature of a common current collector, silver, on the polarization area specific resistance (ASR) of a cathode. The results explicitly showed that at least one order of magnitude lower ASR for a cathode with Ag cured at 800C than that cured at 650C of the same cathode configuration. Microscopic analysis of the 800C-cured cells revealed a deep penetration and abundant distribution of Ag into the cathode/electrolyte interfacial region. These finely dispersed and highly conductive Ag particles/agglomerates areORR(oxygen reduction reaction)-active, thus engaging in the local electrochemical reaction and overshadowing the true properties of the cathode under investigation. Based on these results, we call for caution when using Ag as a current collector for electrochemical measurements, particularly at a temperature 650C. © 2012 The Electrochemical Society.","author":[{"dropping-particle":"","family":"Gong","given":"Yunhui","non-dropping-particle":"","parse-names":false,"suffix":""},{"dropping-particle":"","family":"Qin","given":"Changyong","non-dropping-particle":"","parse-names":false,"suffix":""},{"dropping-particle":"","family":"Huang","given":"Kevin","non-dropping-particle":"","parse-names":false,"suffix":""}],"container-title":"ECS Electrochemistry Letters","id":"ITEM-4","issue":"1","issued":{"date-parts":[["2013"]]},"page":"4-7","title":"Can silver be a reliable current collector for electrochemical tests","type":"article-journal","volume":"2"},"uris":["http://www.mendeley.com/documents/?uuid=4f1a812e-2e83-4aa9-a258-2b5439f77fe0"]}],"mendeley":{"formattedCitation":"[238], [240], [441], [442]","plainTextFormattedCitation":"[238], [240], [441], [442]","previouslyFormattedCitation":"[238], [240], [441], [442]"},"properties":{"noteIndex":0},"schema":"https://github.com/citation-style-language/schema/raw/master/csl-citation.json"}</w:instrText>
      </w:r>
      <w:r>
        <w:fldChar w:fldCharType="separate"/>
      </w:r>
      <w:r w:rsidR="008B6E91" w:rsidRPr="008B6E91">
        <w:rPr>
          <w:noProof/>
        </w:rPr>
        <w:t>[238], [240], [441], [442]</w:t>
      </w:r>
      <w:r>
        <w:fldChar w:fldCharType="end"/>
      </w:r>
      <w:r>
        <w:t>. In anodic conditions used during this study the current collector layer has been susceptible to void formation and eventual delamination. As a current collector material for infiltrated SOFC fuel electrodes, silver has been found to be too mobile, too susceptible to void formation in H</w:t>
      </w:r>
      <w:r>
        <w:rPr>
          <w:vertAlign w:val="subscript"/>
        </w:rPr>
        <w:t>2</w:t>
      </w:r>
      <w:r>
        <w:t xml:space="preserve"> and produce extra impedance contributions that stifle the electrode </w:t>
      </w:r>
      <w:r>
        <w:fldChar w:fldCharType="begin" w:fldLock="1"/>
      </w:r>
      <w:r w:rsidR="008446C6">
        <w:instrText>ADDIN CSL_CITATION {"citationItems":[{"id":"ITEM-1","itemData":{"DOI":"10.1016/B978-0-444-53770-6.00025-3","ISBN":"9780444537713","abstract":"Hydrogen in metals attracts interest from scientists since many decades. Most of the interesting properties are related to the small size of hydrogen: its interstitial diffusion accompanied by quantum mechanical tunnel transport results in an extraordinary high mobility of hydrogen atoms in materials. For metals, H diffusivity may reach values as known for ions in aqueous solutions. Thus, thermodynamic equilibrium is reached within comparably short times even at room temperature. Therefore, metal-hydrogen systems are often used as model systems to study physical or chemical properties and their change with concentration (see, for example Oates and Flanagan, 1981, 1981a or Pundt and Kirchheim (2006)). In 1937, Lacher (1937) already used Pd-H (Flanagan and Oates, 1981, 1991) to study solute-solute interactions and interpreted it in the framework of a quasi-chemical approach (Lacher, 1937). The quantum mechanical tunneling as a diffusion mechanism also for atoms in solids was first discovered and discussed for hydrogen tunneling in metals (Flynn and Stoneham, 1970; Völk and Alefeld, 1975; Birnbaum and Flynn, 1976). Völk and Alefeld (1978), Zabel and Peisl (1979, 1980), and Steyrer and Peisl (1986) studied hydrogen density modulations that are related to the sample geometry; and Zabel and his colleagues, as published by Miceli et al. (1985), Uher et al. (1987), Song et al. (1996, 2000), and Uher et al. (1987), firstly used metal-hydrogen systems to study the behavior of systems with reduced dimensions and modulated hydrogen affinity. Kirchheim (1988) and colleagues extensively studied metal-hydrogen systems as representative for solute/solvent systems. The high mobility of hydrogen further allows studying the impact of defects that usually annihilate at elevated temperatures, see Gottstein (2001). It was, therefore, suggested to use hydrogen as a probe for defects (Cahn, 1990; Flanagan et al., 2001a, 2001b; Kirchheim, 2004) and perform site energy spectroscopy by gradually increasing the hydrogen chemical potential.","author":[{"dropping-particle":"","family":"Kirchheim","given":"R.","non-dropping-particle":"","parse-names":false,"suffix":""},{"dropping-particle":"","family":"Pundt","given":"A.","non-dropping-particle":"","parse-names":false,"suffix":""}],"container-title":"Physical Metallurgy: Fifth Edition","id":"ITEM-1","issued":{"date-parts":[["2014"]]},"page":"2597-2705","title":"Hydrogen in Metals","type":"article-journal","volume":"1"},"uris":["http://www.mendeley.com/documents/?uuid=f8e74d33-b351-4a97-a98a-738239171b03"]},{"id":"ITEM-2","itemData":{"DOI":"10.1016/j.ijhydene.2010.10.034","ISSN":"03603199","abstract":"Planar electrolyte supported solid oxide fuel cells were operated at 900 °C with humidified H2 for 200 h using silver mesh and paste for cathode current collection. Continuous potentiostatic tests at 0.7 V appeared to induce migration of Ag towards electrode-electrolyte interphase, while continuous OCV tests caused no mass transport. Similar SOFCs fueled by coal syngas at 850 °C using Ag for both anode and cathode current collection indicated little, if any, Ag migration; providing the possibility of employing Ag for 100 h laboratory scale tests using coal-derived syngas. Use of high temperature steam, carbon dioxide and carbon monoxide did not result in the formation of silver carbonates. © 2010 Professor T. Nejat Veziroglu. Published by Elsevier Ltd. All rights reserved.","author":[{"dropping-particle":"","family":"Silva","given":"K. Channa R.","non-dropping-particle":"De","parse-names":false,"suffix":""},{"dropping-particle":"","family":"Kaseman","given":"Brian J.","non-dropping-particle":"","parse-names":false,"suffix":""},{"dropping-particle":"","family":"Bayless","given":"David J.","non-dropping-particle":"","parse-names":false,"suffix":""}],"container-title":"International Journal of Hydrogen Energy","id":"ITEM-2","issue":"1","issued":{"date-parts":[["2011"]]},"page":"779-786","publisher":"Elsevier Ltd","title":"Silver (Ag) as anode and cathode current collectors in high temperature planar solid oxide fuel cells","type":"article-journal","volume":"36"},"uris":["http://www.mendeley.com/documents/?uuid=79bafc40-9db7-402e-af3c-c17f1425f12f"]},{"id":"ITEM-3","itemData":{"DOI":"10.1007/s40243-018-0123-y","ISBN":"0123456789","ISSN":"21941467","abstract":"In this paper, the behaviour of silver as cathode conductive material, interconnect wire, and sealing for anode lead connection for microtubular solid oxide fuel cells (µSOFC) is reported. The changes in silver morphology are examined by scanning electron microscopy on cells that had been operated under reformed methane. It is found that using silver in an solid oxide fuel cell (SOFC) stack can improve the cell performance. However, it is also concluded that silver may be responsible for cell degradation. This report brings together and explains all the known problems with application of silver for SOFCs. The results show that silver is unstable in interconnect and in cathode environments. It is found that the process of cell passivation/activation promotes silver migration. The difference in thermal expansion of silver and sealant results in damage to the glass. It is concluded that when silver is exposed to a dual atmosphere condition, high levels of porosity formation is seen in the dense silver interconnect. The relevance of application of silver in SOFC stacks is discussed.","author":[{"dropping-particle":"","family":"Majewski","given":"Artur J.","non-dropping-particle":"","parse-names":false,"suffix":""},{"dropping-particle":"","family":"Dhir","given":"Aman","non-dropping-particle":"","parse-names":false,"suffix":""}],"container-title":"Materials for Renewable and Sustainable Energy","id":"ITEM-3","issue":"3","issued":{"date-parts":[["2018"]]},"page":"1-13","publisher":"Springer Berlin Heidelberg","title":"Application of silver in microtubular solid oxide fuel cells","type":"article-journal","volume":"7"},"uris":["http://www.mendeley.com/documents/?uuid=79eb06da-638d-45c6-af3a-6f20e4c857b7"]},{"id":"ITEM-4","itemData":{"DOI":"10.1016/j.jpowsour.2008.08.056","ISSN":"03787753","abstract":"Nickel, silver, and a nickel-silver composite have been tested in a simulated solid oxide fuel cell interconnect environment. The susceptibility of the interconnect to mechanical degradation as a result of environmental attack has been analyzed. The experimental results of this study demonstrate that silver is unstable in the interconnect environment, while nickel remains stable. A finite difference model has been developed to analyze how the simultaneous diffusion of hydrogen and oxygen into the interconnect can result in the nucleation of water vapor bubbles. In addition, a model developed by Raj and Ashby to describe the growth of cavities under creep conditions has been employed to predict the rate at which cavity growth will occur. Finally, a Ni-Ag composite was fabricated and studied as an interconnect in an attempt to avoid the mechanical degradation that occurs in silver, while maintaining a path for electrical conduction that is not degraded by oxidation. © 2008 Elsevier B.V. All rights reserved.","author":[{"dropping-particle":"","family":"Jackson","given":"R. W.","non-dropping-particle":"","parse-names":false,"suffix":""},{"dropping-particle":"","family":"Pettit","given":"F. S.","non-dropping-particle":"","parse-names":false,"suffix":""},{"dropping-particle":"","family":"Meier","given":"G. H.","non-dropping-particle":"","parse-names":false,"suffix":""}],"container-title":"Journal of Power Sources","id":"ITEM-4","issue":"2","issued":{"date-parts":[["2008"]]},"page":"1030-1039","title":"The behavior of nickel and silver in a simulated solid oxide fuel cell environment","type":"article-journal","volume":"185"},"uris":["http://www.mendeley.com/documents/?uuid=42bdc689-ae12-4106-a601-47975d6b7d08"]}],"mendeley":{"formattedCitation":"[433], [442], [443], [479]","plainTextFormattedCitation":"[433], [442], [443], [479]","previouslyFormattedCitation":"[433], [442], [443], [479]"},"properties":{"noteIndex":0},"schema":"https://github.com/citation-style-language/schema/raw/master/csl-citation.json"}</w:instrText>
      </w:r>
      <w:r>
        <w:fldChar w:fldCharType="separate"/>
      </w:r>
      <w:r w:rsidR="00A77A83" w:rsidRPr="00A77A83">
        <w:rPr>
          <w:noProof/>
        </w:rPr>
        <w:t>[433], [442], [443], [479]</w:t>
      </w:r>
      <w:r>
        <w:fldChar w:fldCharType="end"/>
      </w:r>
      <w:r>
        <w:t xml:space="preserve">. </w:t>
      </w:r>
    </w:p>
    <w:p w14:paraId="05287147" w14:textId="5ECB0585" w:rsidR="00007F6C" w:rsidRDefault="00007F6C" w:rsidP="00007F6C">
      <w:pPr>
        <w:jc w:val="both"/>
        <w:rPr>
          <w:i/>
          <w:iCs/>
        </w:rPr>
      </w:pPr>
      <w:r>
        <w:t>In contrast with the silver and nickel samples, the gold coated Ni-YSZ sample showed some recovery via a drop in its initial R</w:t>
      </w:r>
      <w:r>
        <w:rPr>
          <w:vertAlign w:val="subscript"/>
        </w:rPr>
        <w:t>P</w:t>
      </w:r>
      <w:r>
        <w:t xml:space="preserve"> after 20 h of ageing. However, this material also showed a propensity to alloy with the nickel catalyst present in the fuel electrode under typical fuel electrode conditions used in this study </w:t>
      </w:r>
      <w:r>
        <w:fldChar w:fldCharType="begin" w:fldLock="1"/>
      </w:r>
      <w:r w:rsidR="00151775">
        <w:instrText>ADDIN CSL_CITATION {"citationItems":[{"id":"ITEM-1","itemData":{"DOI":"10.1007/BF03216542","ISSN":"00171557","abstract":"The process of diffusion in the solid state is one aspect of behaviour in gold thin film systems which has received increased attention as gold layers have had to be made significantly thinner without sacrificing their reliability. This article reviews the characteristics of this process for gold over the various one- and two-layer base metal systems which are in common use by the electronics industry. A number of interesting phenomena are described and related to the service problems which they may cause in various devices. © 1979 World Gold Council.","author":[{"dropping-particle":"","family":"Pinnel","given":"M. Robert","non-dropping-particle":"","parse-names":false,"suffix":""}],"container-title":"Gold Bulletin","id":"ITEM-1","issue":"2","issued":{"date-parts":[["1979"]]},"page":"62-71","title":"Diffusion-related behaviour of gold in thin film systems","type":"article-journal","volume":"12"},"uris":["http://www.mendeley.com/documents/?uuid=6fd578f8-736e-4a67-8302-0627c71f7510"]},{"id":"ITEM-2","itemData":{"DOI":"10.1007/BF03215037","ISSN":"00171557","abstract":"The usefulness of gold-nickel alloys as brazing media in the aeroengine, electronic, nuclear power and spacecraft industries is illustrated by data on the corrosion and oxidation resistance of joints made with these alloys in various heat-resistant materials and on their resistance to fracture under the influence of static, dynamic and impact loads in tests at subzero, normal and elevated temperatures. © 1974 World Gold Council.","author":[{"dropping-particle":"","family":"Colbus","given":"Jakob","non-dropping-particle":"","parse-names":false,"suffix":""},{"dropping-particle":"","family":"Zimmermann","given":"Karl Friedrich","non-dropping-particle":"","parse-names":false,"suffix":""}],"container-title":"Gold Bulletin","id":"ITEM-2","issue":"2","issued":{"date-parts":[["1974"]]},"page":"42-49","title":"Properties of gold-nickel alloy brazed joints in high temperature materials","type":"article-journal","volume":"7"},"uris":["http://www.mendeley.com/documents/?uuid=b10e5051-064a-4b1b-a254-41ed3e09020a"]}],"mendeley":{"formattedCitation":"[456], [462]","plainTextFormattedCitation":"[456], [462]","previouslyFormattedCitation":"[456], [462]"},"properties":{"noteIndex":0},"schema":"https://github.com/citation-style-language/schema/raw/master/csl-citation.json"}</w:instrText>
      </w:r>
      <w:r>
        <w:fldChar w:fldCharType="separate"/>
      </w:r>
      <w:r w:rsidR="008B6E91" w:rsidRPr="008B6E91">
        <w:rPr>
          <w:noProof/>
        </w:rPr>
        <w:t>[456], [462]</w:t>
      </w:r>
      <w:r>
        <w:fldChar w:fldCharType="end"/>
      </w:r>
      <w:r>
        <w:t>. Analysis of back-scattered electron micrographs showed very little difference between the nickel and gold phases, indicating that an alloying event</w:t>
      </w:r>
      <w:r>
        <w:fldChar w:fldCharType="begin" w:fldLock="1"/>
      </w:r>
      <w:r w:rsidR="00151775">
        <w:instrText>ADDIN CSL_CITATION {"citationItems":[{"id":"ITEM-1","itemData":{"DOI":"10.1109/JMEMS.2008.2010850","ISSN":"10577157","abstract":"This paper reports on a comparison of gold and gold-nickel alloys as contact materials for microelectromechanical systems (MEMS) switches. Pure gold is commonly used as the contact material in low-force metal-contact MEMS switches. The top two failure mechanisms of these switches are wear and stiction, which may be related to the material softness and the relatively high surface adhesion, respectively. Alloying gold with another metal introduces new processing options to strengthen the material against wear and reduce surface adhesion. In this paper, the properties of Au-Ni alloys were investigated as the lower contact electrode was controlled by adjusting the nickel content and thermal processing conditions. A unique and efficient switching degradation test was conducted on the alloy samples, using pure gold upper microcontacts. Solid-solution Au-Ni samples showed reduced wear rate but increased contact resistance, while two-phase Au-Ni (20 at.% Ni) showed a substantial improvement of switching reliability with only a small increase of contact resistance. Discussion of the effects of phase separation, surface topography, hardness, and electrical resistivity on contact resistance and switch degradation is also included. © 2009 IEEE.","author":[{"dropping-particle":"","family":"Yang","given":"Zhenyin","non-dropping-particle":"","parse-names":false,"suffix":""},{"dropping-particle":"","family":"Lichtenwalner","given":"Daniel J.","non-dropping-particle":"","parse-names":false,"suffix":""},{"dropping-particle":"","family":"Morris","given":"Arthur S.","non-dropping-particle":"","parse-names":false,"suffix":""},{"dropping-particle":"","family":"Krim","given":"Jacqueline","non-dropping-particle":"","parse-names":false,"suffix":""},{"dropping-particle":"","family":"Kingon","given":"Angus I.","non-dropping-particle":"","parse-names":false,"suffix":""}],"container-title":"Journal of Microelectromechanical Systems","id":"ITEM-1","issue":"2","issued":{"date-parts":[["2009"]]},"page":"287-295","title":"Comparison of Au and Au-Ni alloys as contact materials for MEMS switches","type":"article-journal","volume":"18"},"uris":["http://www.mendeley.com/documents/?uuid=5e987446-51c6-4c5d-867e-424b624674c0"]},{"id":"ITEM-2","itemData":{"DOI":"10.1007/BF03215037","ISSN":"00171557","abstract":"The usefulness of gold-nickel alloys as brazing media in the aeroengine, electronic, nuclear power and spacecraft industries is illustrated by data on the corrosion and oxidation resistance of joints made with these alloys in various heat-resistant materials and on their resistance to fracture under the influence of static, dynamic and impact loads in tests at subzero, normal and elevated temperatures. © 1974 World Gold Council.","author":[{"dropping-particle":"","family":"Colbus","given":"Jakob","non-dropping-particle":"","parse-names":false,"suffix":""},{"dropping-particle":"","family":"Zimmermann","given":"Karl Friedrich","non-dropping-particle":"","parse-names":false,"suffix":""}],"container-title":"Gold Bulletin","id":"ITEM-2","issue":"2","issued":{"date-parts":[["1974"]]},"page":"42-49","title":"Properties of gold-nickel alloy brazed joints in high temperature materials","type":"article-journal","volume":"7"},"uris":["http://www.mendeley.com/documents/?uuid=b10e5051-064a-4b1b-a254-41ed3e09020a"]}],"mendeley":{"formattedCitation":"[445], [456]","plainTextFormattedCitation":"[445], [456]","previouslyFormattedCitation":"[445], [456]"},"properties":{"noteIndex":0},"schema":"https://github.com/citation-style-language/schema/raw/master/csl-citation.json"}</w:instrText>
      </w:r>
      <w:r>
        <w:fldChar w:fldCharType="separate"/>
      </w:r>
      <w:r w:rsidR="008B6E91" w:rsidRPr="008B6E91">
        <w:rPr>
          <w:noProof/>
        </w:rPr>
        <w:t>[445], [456]</w:t>
      </w:r>
      <w:r>
        <w:fldChar w:fldCharType="end"/>
      </w:r>
      <w:r>
        <w:t>. The alloyed particles would also possess a lower electrical resistivity than pure nickel, reducing the R</w:t>
      </w:r>
      <w:r>
        <w:rPr>
          <w:vertAlign w:val="subscript"/>
        </w:rPr>
        <w:t>P</w:t>
      </w:r>
      <w:r>
        <w:t xml:space="preserve"> after the alloying event has finished </w:t>
      </w:r>
      <w:r w:rsidRPr="007745E1">
        <w:fldChar w:fldCharType="begin" w:fldLock="1"/>
      </w:r>
      <w:r w:rsidR="008446C6">
        <w:instrText>ADDIN CSL_CITATION {"citationItems":[{"id":"ITEM-1","itemData":{"DOI":"10.1016/j.ijhydene.2010.10.034","ISSN":"03603199","abstract":"Planar electrolyte supported solid oxide fuel cells were operated at 900 °C with humidified H2 for 200 h using silver mesh and paste for cathode current collection. Continuous potentiostatic tests at 0.7 V appeared to induce migration of Ag towards electrode-electrolyte interphase, while continuous OCV tests caused no mass transport. Similar SOFCs fueled by coal syngas at 850 °C using Ag for both anode and cathode current collection indicated little, if any, Ag migration; providing the possibility of employing Ag for 100 h laboratory scale tests using coal-derived syngas. Use of high temperature steam, carbon dioxide and carbon monoxide did not result in the formation of silver carbonates. © 2010 Professor T. Nejat Veziroglu. Published by Elsevier Ltd. All rights reserved.","author":[{"dropping-particle":"","family":"Silva","given":"K. Channa R.","non-dropping-particle":"De","parse-names":false,"suffix":""},{"dropping-particle":"","family":"Kaseman","given":"Brian J.","non-dropping-particle":"","parse-names":false,"suffix":""},{"dropping-particle":"","family":"Bayless","given":"David J.","non-dropping-particle":"","parse-names":false,"suffix":""}],"container-title":"International Journal of Hydrogen Energy","id":"ITEM-1","issue":"1","issued":{"date-parts":[["2011"]]},"page":"779-786","publisher":"Elsevier Ltd","title":"Silver (Ag) as anode and cathode current collectors in high temperature planar solid oxide fuel cells","type":"article-journal","volume":"36"},"uris":["http://www.mendeley.com/documents/?uuid=bd402a07-bd27-4f1d-8c84-bff96b54702e"]},{"id":"ITEM-2","itemData":{"DOI":"10.5772/65465","ISBN":"9535131435","author":[{"dropping-particle":"","family":"Laszlo Nanai","given":"","non-dropping-particle":"","parse-names":false,"suffix":""}],"container-title":"Nanoscaled Films and Layers","id":"ITEM-2","issued":{"date-parts":[["2017"]]},"page":"38-39","title":"Nanoscaled Films and Layers","type":"chapter"},"uris":["http://www.mendeley.com/documents/?uuid=603f0969-5896-473a-ad97-618407bf11c7","http://www.mendeley.com/documents/?uuid=0d00e655-868b-4333-8f85-121bdd482612"]},{"id":"ITEM-3","itemData":{"author":[{"dropping-particle":"","family":"Matula","given":"R. A.","non-dropping-particle":"","parse-names":false,"suffix":""}],"container-title":"J. Phys. Chem","id":"ITEM-3","issue":"4","issued":{"date-parts":[["1979"]]},"page":"1147","title":"Electrical Resistivity of Cu, Au, Pd, and Ag","type":"article","volume":"6"},"uris":["http://www.mendeley.com/documents/?uuid=bc0f4304-da3c-4096-8078-82205da1c3f9","http://www.mendeley.com/documents/?uuid=1d47d866-89e0-43e8-88ef-6f23424dd094"]},{"id":"ITEM-4","itemData":{"DOI":"10.1595/205651315X688091","ISSN":"20565135","abstract":"Electrical resistivity values for both the solid and liquid phases of the platinum group metals (pgms) palladium and platinum are evaluated. In particular improved values are obtained for the liquid phases of these metals. Previous reviews on electrical resistivity which included evaluations for the pgms included those of Meaden (1), Bass (2), Savitskii et al. (3) and Binkele and Brunen (4) as well as individual reviews by Matula (5) on palladium and White (6) on platinum.","author":[{"dropping-particle":"","family":"Arblaster","given":"John W.","non-dropping-particle":"","parse-names":false,"suffix":""}],"container-title":"Johnson Matthey Technology Review","id":"ITEM-4","issue":"3","issued":{"date-parts":[["2015"]]},"page":"174-181","title":"Selected electrical resistivity values for the platinum group of metals part i: Palladium and platinum","type":"article-journal","volume":"59"},"uris":["http://www.mendeley.com/documents/?uuid=cd02a0bd-3c9a-4b0b-808f-180cc50061dc","http://www.mendeley.com/documents/?uuid=6816bb0c-6c6e-42e2-9bd1-f52876160d6c"]},{"id":"ITEM-5","itemData":{"author":[{"dropping-particle":"","family":"Chu","given":"T.K.","non-dropping-particle":"","parse-names":false,"suffix":""},{"dropping-particle":"","family":"Ho","given":"C. Y.","non-dropping-particle":"","parse-names":false,"suffix":""}],"container-title":"Office of Standard Reference Data","id":"ITEM-5","issue":"AD A1 29078","issued":{"date-parts":[["1982"]]},"number-of-pages":"117-42","title":"Electrical Resistivity of Chromium, Cobalt, Iron and Nickel","type":"report","volume":"AD A1 2907"},"uris":["http://www.mendeley.com/documents/?uuid=e68d6146-01c7-4dc0-b15f-a6de5363235c","http://www.mendeley.com/documents/?uuid=75b4a84e-67e6-466b-b225-1dd7282d9228"]}],"mendeley":{"formattedCitation":"[433], [457], [458], [464], [471]","plainTextFormattedCitation":"[433], [457], [458], [464], [471]","previouslyFormattedCitation":"[433], [457], [458], [464], [471]"},"properties":{"noteIndex":0},"schema":"https://github.com/citation-style-language/schema/raw/master/csl-citation.json"}</w:instrText>
      </w:r>
      <w:r w:rsidRPr="007745E1">
        <w:fldChar w:fldCharType="separate"/>
      </w:r>
      <w:r w:rsidR="00A77A83" w:rsidRPr="00A77A83">
        <w:rPr>
          <w:noProof/>
        </w:rPr>
        <w:t>[433], [457], [458], [464], [471]</w:t>
      </w:r>
      <w:r w:rsidRPr="007745E1">
        <w:fldChar w:fldCharType="end"/>
      </w:r>
      <w:r w:rsidRPr="007745E1">
        <w:rPr>
          <w:i/>
          <w:iCs/>
        </w:rPr>
        <w:t>.</w:t>
      </w:r>
    </w:p>
    <w:p w14:paraId="7B8E7413" w14:textId="050D8C95" w:rsidR="00007F6C" w:rsidRDefault="00007F6C" w:rsidP="00007F6C">
      <w:pPr>
        <w:jc w:val="both"/>
      </w:pPr>
      <w:r>
        <w:t xml:space="preserve">A second low frequency (0.1-10 Hz) impedance arc indicative of the gas diffusion impedance was also recorded for the gold current collector </w:t>
      </w:r>
      <w:r>
        <w:fldChar w:fldCharType="begin" w:fldLock="1"/>
      </w:r>
      <w:r w:rsidR="00151775">
        <w:instrText>ADDIN CSL_CITATION {"citationItems":[{"id":"ITEM-1","itemData":{"DOI":"10.1002/fuce.201800166","ISSN":"16156854","abstract":"In the renewable energy scenario, energy storage is of essence. In this context, power-to-liquid (PtL) and power-to-gas (PtG) concepts have attracted large attention, where the use of solid oxide electrolysis cells (SOECs) has a huge potential, due to their high conversion efficiencies. However, performance and durability of these cells still need to be improved for a large-scale commercialization of the SOEC technology. It is often difficult to identify the various loss and degradation mechanisms limiting the cell performance and durability. This paper contributes to this scientific discussion, by providing a careful analysis of the degradation mechanisms occurring in three different cells during long-term H2O and CO2 co-electrolysis, at 1,200 mV. Electrochemical impedance spectroscopy (EIS) is measured before, during and after the electrolysis operation, and is utilized to address the individual electrode degradation mechanisms and the development of leaks through the electrolyte. Moreover, the leak rates under open circuit voltage (OCV) measurements were compared. In addition, microstructural analysis of the electrodes and electrolytes is related to the electrochemical findings to contribute to the discussion on the interdependency of the degradation mechanisms.","author":[{"dropping-particle":"","family":"Rao","given":"M.","non-dropping-particle":"","parse-names":false,"suffix":""},{"dropping-particle":"","family":"Jensen","given":"S. H.","non-dropping-particle":"","parse-names":false,"suffix":""},{"dropping-particle":"","family":"Sun","given":"X.","non-dropping-particle":"","parse-names":false,"suffix":""},{"dropping-particle":"","family":"Hagen","given":"A.","non-dropping-particle":"","parse-names":false,"suffix":""}],"container-title":"Fuel Cells","id":"ITEM-1","issue":"4","issued":{"date-parts":[["2019"]]},"page":"445-457","title":"Unwinding Entangled Degradation Mechanisms in Solid Oxide Electrolysis Cells Through Electrode Modifications and Impedance Analysis","type":"article-journal","volume":"19"},"uris":["http://www.mendeley.com/documents/?uuid=a64a168d-2653-45b3-8e45-0cc148ac2e0e"]},{"id":"ITEM-2","itemData":{"DOI":"10.1149/2.084311jes","ISBN":"0272-8842","ISSN":"0013-4651","abstract":"The microstructural evolution of Ni -Yttria-Stabilized Zirconia (YSZ) anode functional layers in anode-supported solid oxide fuel cells was studied after aging in humidified hydrogen at temperatures from 900–1100 • C and times up to 500 h. The relatively large (</w:instrText>
      </w:r>
      <w:r w:rsidR="00151775">
        <w:rPr>
          <w:rFonts w:ascii="Cambria Math" w:hAnsi="Cambria Math" w:cs="Cambria Math"/>
        </w:rPr>
        <w:instrText>∼</w:instrText>
      </w:r>
      <w:r w:rsidR="00151775">
        <w:instrText xml:space="preserve">6000 </w:instrText>
      </w:r>
      <w:r w:rsidR="00151775">
        <w:rPr>
          <w:rFonts w:ascii="Calibri" w:hAnsi="Calibri" w:cs="Calibri"/>
        </w:rPr>
        <w:instrText>μ</w:instrText>
      </w:r>
      <w:r w:rsidR="00151775">
        <w:instrText>m 3) three-dimensional transmission X-ray microscopy images provided good statistics in measured microstructural data. Feature sizes in the YSZ and Ni phases changed little until the highest temperature and time, whereas the pore phase feature size increased for all temperatures and times. Ni-YSZ interfacial area increased at the expense of pore-YSZ interfaces after moderate annealing, with a general decrease in interfacial areas observed at longer times and higher temperatures. Three-phase boundary (TPB) density decreased rapidly initially, but then more slowly, with increasing annealing temperature and time. Electrochemical impedance spectroscopy measurements showed a corresponding increase in the anode response associated with electrochemical hydrogen oxidation at TPBs. A higher fraction of isolated pores and larger pore tortuosity was observed at intermediate annealing temperatures and times, with a corresponding increase in the gas diffusion impedance response. Solid oxide fuel cell (SOFC) systems are being developed mainly for stationary power generation, where they should operate with minimal performance loss at elevated temperature for at least 40,000 hours. 1 Achieving minimal long-term degradation is thus crit-ical to the commercialization these systems. Coarsening of Ni parti-cles in nickel – yttria stabilized zirconia (Ni-YSZ) anodes has been reported as a reason for SOFC performance degradation. 2–4 While these studies have mostly quantified Ni coarsening, it is also desir-able to have a more complete description of Ni-YSZ anode structural evolution including the YSZ and pore phases, since the electrode po-larization resistance depends on many structural factors. Furthermore, Ni-YSZ anodes with different characteristic microstructures – includ-ing the volume fractions of the solid and pore phases, particle sizes, etc. – will presumably evolve differently for a given set of operating conditions. For example, Cronin et al. 5 suggested that anodes with low Ni content and low pore volume are less susceptible to Ni coars-ening. Thus, it is important to provide a full description of the anode microstructure in studies of microstructural evolution. Focused ion beam – scanning electro…","author":[{"dropping-particle":"","family":"Chen-Wiegart","given":"Yu-chen Karen","non-dropping-particle":"","parse-names":false,"suffix":""},{"dropping-particle":"","family":"Barnett","given":"Scott A.","non-dropping-particle":"","parse-names":false,"suffix":""},{"dropping-particle":"","family":"Cronin","given":"J. Scott","non-dropping-particle":"","parse-names":false,"suffix":""},{"dropping-particle":"","family":"Wang","given":"Jun","non-dropping-particle":"","parse-names":false,"suffix":""},{"dropping-particle":"","family":"Kennouche","given":"David","non-dropping-particle":"","parse-names":false,"suffix":""}],"container-title":"Journal of The Electrochemical Society","id":"ITEM-2","issue":"11","issued":{"date-parts":[["2013"]]},"page":"F1293-F1304","title":"Three-Dimensional Microstructural Evolution of Ni- Yttria-Stabilized Zirconia Solid Oxide Fuel Cell Anodes At Elevated Temperatures","type":"article-journal","volume":"160"},"uris":["http://www.mendeley.com/documents/?uuid=98a97c86-79e2-40d1-a240-7177272192b1"]},{"id":"ITEM-3","itemData":{"DOI":"10.1149/2.084311jes","ISSN":"00134651","abstract":"The microstructural evolution of Ni - Yttria-Stabilized Zirconia (YSZ) anode functional layers in anode-supported solid oxide fuel cells was studied after aging in humidified hydrogen at temperatures from 900-1100?C and times up to 500 h. The relatively large (~6000μm3) three-dimensional transmission X-ray microscopy images provided good statistics in measured microstructural data. Feature sizes in the YSZ and Ni phases changed little until the highest temperature and time, whereas the pore phase feature size increased for all temperatures and times. Ni-YSZ interfacial area increased at the expense of pore-YSZ interfaces after moderate annealing, with a general decrease in interfacial areas observed at longer times and higher temperatures. Three-phase boundary (TPB) density decreased rapidly initially, but then more slowly, with increasing annealing temperature and time. Electrochemical impedance spectroscopy measurements showed a corresponding increase in the anode response associated with electrochemical hydrogen oxidation at TPBs. A higher fraction of isolated pores and larger pore tortuosity was observed at intermediate annealing temperatures and times, with a corresponding increase in the gas diffusion impedance response. © 2013 The Electrochemical Society.","author":[{"dropping-particle":"","family":"Kennouche","given":"David","non-dropping-particle":"","parse-names":false,"suffix":""},{"dropping-particle":"","family":"Chen-Wiegart","given":"Yu Chen Karen","non-dropping-particle":"","parse-names":false,"suffix":""},{"dropping-particle":"","family":"Cronin","given":"J. Scott","non-dropping-particle":"","parse-names":false,"suffix":""},{"dropping-particle":"","family":"Wang","given":"Jun","non-dropping-particle":"","parse-names":false,"suffix":""},{"dropping-particle":"","family":"Barnett","given":"Scott A.","non-dropping-particle":"","parse-names":false,"suffix":""}],"container-title":"Journal of the Electrochemical Society","id":"ITEM-3","issue":"11","issued":{"date-parts":[["2013"]]},"page":"1293-1304","title":"Three-dimensional microstructural evolution of ni-yttria-stabilized zirconia solid oxide fuel cell anodes at elevated temperatures","type":"article-journal","volume":"160"},"uris":["http://www.mendeley.com/documents/?uuid=d9120fe3-cb0b-4700-9cbc-b51bd112c883"]}],"mendeley":{"formattedCitation":"[224], [289], [428]","plainTextFormattedCitation":"[224], [289], [428]","previouslyFormattedCitation":"[224], [289], [428]"},"properties":{"noteIndex":0},"schema":"https://github.com/citation-style-language/schema/raw/master/csl-citation.json"}</w:instrText>
      </w:r>
      <w:r>
        <w:fldChar w:fldCharType="separate"/>
      </w:r>
      <w:r w:rsidR="008B6E91" w:rsidRPr="008B6E91">
        <w:rPr>
          <w:noProof/>
        </w:rPr>
        <w:t>[224], [289], [428]</w:t>
      </w:r>
      <w:r>
        <w:fldChar w:fldCharType="end"/>
      </w:r>
      <w:r>
        <w:t xml:space="preserve">. This meant that the equivalent circuit fitting of the gold utilised a second RQ component to mimic the influence of this non-ideal interaction. This indicates that the second interaction favouring the formation water via the combination of the gaseous hydroxide with the proton at the nickel particle are energetically unfavourable as discussed by </w:t>
      </w:r>
      <w:r w:rsidRPr="00C67D80">
        <w:t xml:space="preserve">Liu and </w:t>
      </w:r>
      <w:proofErr w:type="spellStart"/>
      <w:r w:rsidRPr="00C67D80">
        <w:t>Kusnezoff</w:t>
      </w:r>
      <w:proofErr w:type="spellEnd"/>
      <w:r w:rsidRPr="00C67D80">
        <w:t xml:space="preserve"> </w:t>
      </w:r>
      <w:r>
        <w:fldChar w:fldCharType="begin" w:fldLock="1"/>
      </w:r>
      <w:r w:rsidR="008446C6">
        <w:instrText xml:space="preserve">ADDIN CSL_CITATION {"citationItems":[{"id":"ITEM-1","itemData":{"DOI":"10.1016/j.ceramint.2014.04.075","ISBN":"02728842 (ISSN)","abstract":"Microstructural refinement of Ni/Gd0.2Ce0.8O 2-δ (Ni/GDC20) anode by wet-infiltration of PdCl2 precursor was studied to further improve the anodic performance of low temperature solid oxide fuel cell (LT-SOFC). The effect of &lt;1 wt% of Pd loadings on polarization resistance of Ni/GDC cermet anodes for H2 oxidation reaction was examined using symmetric Ni-GDC20|GDC20|Pt electrolyte-supported cells at 400-600 °C. Nanostructure evolution before and after H2 reduction at 600 °C and also after anodic performance test revealed effectiveness of PdO loading content on the nanoparticles architecture, with PdO as the sole Pd-phase after calcination at 600 °C with no residual chloride. In the process of H2 reduction in high loading of PdO (0.26 mg/cm2), a nano-grained network of metallic palladium (Pd0) containing nanopores structure, which resulted from 40% volume deoxidizing shrinkage of PdO, was developed on the anode surface. But, in the case of small loading, PdHx phase indicating of H affinity of palladium and minute amounts of PdO on NiO were detected. The significant decrease of anodic polarization resistance, e.g. </w:instrText>
      </w:r>
      <w:r w:rsidR="008446C6">
        <w:rPr>
          <w:rFonts w:ascii="Cambria Math" w:hAnsi="Cambria Math" w:cs="Cambria Math"/>
        </w:rPr>
        <w:instrText>∼</w:instrText>
      </w:r>
      <w:r w:rsidR="008446C6">
        <w:instrText xml:space="preserve">100 times at 500 </w:instrText>
      </w:r>
      <w:r w:rsidR="008446C6">
        <w:rPr>
          <w:rFonts w:ascii="Calibri" w:hAnsi="Calibri" w:cs="Calibri"/>
        </w:rPr>
        <w:instrText>°</w:instrText>
      </w:r>
      <w:r w:rsidR="008446C6">
        <w:instrText>C, on highly Pd-infiltrated anode was accompanied with</w:instrText>
      </w:r>
      <w:r w:rsidR="008446C6">
        <w:rPr>
          <w:rFonts w:ascii="Calibri" w:hAnsi="Calibri" w:cs="Calibri"/>
        </w:rPr>
        <w:instrText>≤</w:instrText>
      </w:r>
      <w:r w:rsidR="008446C6">
        <w:instrText>40 nm agglomerates in Pd-nanonetwork and 45% oxidizing of Pd2 to PdO in H2 environment. Detailed anodic impedance analysis and activation energy (Ea) evaluation can be denoted to a balance between the Ea of reaction-limiting step of charge transfer and the E a of the facilitating step of diffusion/adsorption/dissociation of the arrived O2- species to triple phase boundaries (TPBs). Our findings verified that oxygen spillovering on the Pd2/PdO-pair nanocoating caused by the shift of the TPBs to the nanocoating-pair for H 2 oxidation reaction in LT-SOFC. © 2014 Elsevier Ltd and Techna Group S.r.l.","author":[{"dropping-particle":"","family":"Torknik","given":"F S","non-dropping-particle":"","parse-names":false,"suffix":""},{"dropping-particle":"","family":"Maghsoudipour","given":"A","non-dropping-particle":"","parse-names":false,"suffix":""},{"dropping-particle":"","family":"Keyanpour-Rad","given":"M","non-dropping-particle":"","parse-names":false,"suffix":""},{"dropping-particle":"","family":"Choi","given":"G M","non-dropping-particle":"","parse-names":false,"suffix":""},{"dropping-particle":"","family":"Oh","given":"S H","non-dropping-particle":"","parse-names":false,"suffix":""},{"dropping-particle":"","family":"Shin","given":"G Y","non-dropping-particle":"","parse-names":false,"suffix":""}],"container-title":"Ceramics International","id":"ITEM-1","issue":"8 PART A","issued":{"date-parts":[["2014"]]},"language":"English","note":"Cited By :3\nExport Date: 20 January 2017\nCODEN: CINND\nCorrespondence Address: Torknik, F.S.; Materials and Energy Research Center (MERC), P.O. Box 14155-4777, Tehran, Iran; email: fstorknik@gmail.com\nReferences: Faes, A., Hessler-Wyser, A., Zryd, A., Van Herle, J., A review of RedOx cycling of solid oxide fuel cells anode (2012) Membranes, 2 (3), pp. 585-664; Niakolas, D.K., Athanasiou, M., Neophytides, S.G., Bebelis, S., Characterization and carbon tolerance of new Au-Mo-Ni/GDC cermet powders for use as anode materials in methane fuelled SOFCs (2011) ECS Trans., 35, pp. 1329-1336; Jiang, Z., Xia, C., Chen, F., Nano-structured composite cathodes for intermediate temperature solid oxide fuel cells via an infiltration/impregnation technique (2010) Electrochim. Acta, 55 (11), pp. 3595-3605; Uchida, H., Suzuki, H., Watanabe, M., High-performance electrode for medium temperature solid oxide fuel cells: Effects of composition and microstructures on performance of ceria-based anodes (1998) J. Electrochem. Soc., 145 (2), pp. 615-620; Zha, S., Rauch, W., Liu, M.L., Ni-Ce0.9Gd0.1O1.95 anode for GDC electrolyte-based low-temperature SOFCs (2004) Solid State Ionics, 166 (34), pp. 241-250; Torknik, F.S., Keyanpour-Rad, M., Maghsoudipour, A., Choi, G.M., Effect of microstructure refinement on performance of Ni/Ce 0.8Gd0.2O1.9 anodes for low temperature solid oxide fuel cell (2014) Ceram. Int., 40 (1), pp. 1341-1350. , (B); Lee, W., Jung, H.J., Lee, M.H., Kim, Y.-B., Park, J.S., Sinclair, R., Prinz, F.B., Oxygen surface exchange at grain boundaries of oxide ion conductors (2011) Adv. Funct. Mater., 22 (5), pp. 965-971; Ji, Y., Liu, J., He, T., Wang, J., Su, W., The effect of Pr co-dopant on the performance of solid oxide fuel cells with Sm-doped ceria electrolyte (2005) J. Alloys Compd., 389 (12), pp. 317-322; De Boer, B., Gonzalez, M., Bouwmeester, H.J.M., Verweij, H., The effect of the presence of fine YSZ particles on the performance of porous nickel electrodes (2000) Solid State Ionics, 127 (34), pp. 269-276; Jiang, S.P., Nanoscale and nano-structured electrodes of solid oxide fuel cells by infiltration: Advances and challenges (2012) Int. J. Hydrogen Energy, 37 (1), pp. 449-470; McIntosh, S., Vohs, J.M., Gorte, R.J., Effect of precious-metal dopants on SOFC anodes for direct utilization of hydrocarbons (2003) Electrochem. Solid State Lett., 6 (11), pp. 240-A243; Babaei, A., Zhang, L., Tan, S.L., Jiang, S.P., Pd-promoted (La,Ca)(Cr,Mn)O3/GDC anode for hydrogen and methane oxidation reactions of solid oxide fuel cells (2010) Solid State Ionics, 181 (2526), pp. 1221-1228; Putna, E.S., Stubenrauch, J., Vohs, J.M., Gorte, R.J., Ceria-based anodes for the direct oxidation of methane in solid oxide fuel cells (1995) Langmuir, 11 (12), pp. 4832-4837; Hibino, T., Hashimoto, A., Asano, K., Yano, M., Suzuki, M., Sano, M., An intermediate-temperature solid oxide fuel cell providing higher performance with hydrocarbons than with hydrogen (2002) Electrochem. Solid-State Lett., 5 (11), pp. 242-A244; Babaei, A., Jiang, S.P., Li, J., Electrocatalytic promotion of palladium nanoparticles on hydrogen oxidation on Ni/GDC anodes of SOFCs via spillover (2009) J. Electrochem. Soc., 156 (9), pp. 1022-B1029; Yasutake, H., Jin, Y., Yamahara, K., Ihara, M., Improved performance of nickel/gadolinium-doped ceria anode by infiltration of proton conductor (SrCe0.95Yb0.05O 3-α) in hydrogen and dry methane fuels (2009) ECS Trans., 16 (51), pp. 273-285; Liu, Z., Ding, D., Liu, B., Guo, W., Wang, W., Xia, C., Effect of impregnation phases on the performance of Ni-based anodes for low temperature solid oxide fuel cells (2011) J. Power Sources, 196 (20), pp. 8561-8567; Gade, S.K., Keeling, M.K., Davidson, A.P., Hatlevik, O., Way, J.D., Palladium-ruthenium membranes for hydrogen separation fabricated by electroless co-deposition (2009) Int. J. Hydrogen Energy, 34 (15), pp. 6484-6491; Adams, B.D., Chen, A., The role of palladium in a hydrogen economy (2011) Mater. Today, 14 (6), pp. 282-289; Wilke, S., Hennig, D., Löber, R., Ab initio calculations of hydrogen adsorption on (100) surfaces of palladium and rhodium (1994) Phys. Rev. B, 50 (4), pp. 2548-2560; Niemann, M.U., Srinivasan, S.S., Phani, A.R., Kumar, A., Yogi Goswami, D., Stefanakos, E.K., Nanomaterials for hydrogen storage applications: A review (2008) J. Nanomater., p. 9. , 10.1155/2008/950967 (Article ID 950967); Kurokawa, H., Yang, L., Jacobson, C.P., De Jonghe, L.C., Visco, S.J., Y-doped SrTiO3 based sulfur tolerant anode for solid oxide fuel cells (2007) J. Power Sources, 164, pp. 510-518; (2014) Mineral Commodity Summaries, p. 120. , U.S. Geological Survey February; Moulijn, J.A., Van Diepen, A.E., Kapteijn, F., Catalyst deactivation: Is it predictable? What to do? (2001) Appl. Catal. A: Gen., 212 (12), pp. 3-16; Chin, Y.-H., Resasco, D.E., Catalytic oxidation of methane on supported palladium under lean conditions: Kinetics, structure and properties (1999) Catalysis, Vol. 14 of Specialist Periodical Report Series, pp. 9-10. , http://dx.doi.org/10.1039/9781847553263-00001, J.J. Spivey (Ed.) Royal Society of Chemistry, Cambridge; Kurokawa, H., Yang, L., Jacobson, C.P., De Jonghe, L.C., Visco, S.J., Y-doped SrTiO3 based sulfur tolerant anode for solid oxide fuel cells (2007) J. Power Sources, 164 (2), pp. 510-518; Barin, I., Platzki, G., (1995) Thermochemical Data of Pure Substances, , 3rd ed. VCH Verlagsgesellschaft mbH Weinheim 10.1002/9783527619825; Muller, C.A., Maciejewski, M., Koeppel, R.A., Baiker, A., Combustion of methane over palladium/zirconia derived from a glassy Pd-Zr alloy: Effect of Pd particle size on catalytic behavior (1997) J. Catal., 166 (1), pp. 36-43; (2012) NIST Standard Reference Database 20, , http://srdata.nist.gov/xps/selEnergyType.aspx, National Institute of Standards and Technology, U.S. NIST X-ray Photoelectron Spectroscopy Database XPS Version 4.1; Liang, F., Chen, J., Chi, B., Pu, J., Jiang, S.P., Jian, L., Redox behavior of supported Pd particles and its effect on oxygen reduction reaction in intermediate temperature solid oxide fuel cells (2011) J. Power Sources, 196 (1), pp. 153-158; Slavinskaya, E.M., Stonkus, O.A., Gulyaev, R.V., Ivanova, A.S., Zaikovskii, V.I., Kuznetsov, P.A., Boronin, A.I., Structural and chemical states of palladium in Pd/Al2O 3 catalysts under self-sustained oscillations in reaction of CO oxidation (2011) Appl. Catal. A: Gen., 401 (12), pp. 83-97; Simonov, P.A., Troitskii, S.Y., Likholobov, V.A., Preparation of the Pd/C catalysts: A molecular-level study of active site formation (2000) Kinet. Catal., 41 (2), pp. 255-259; Wang, H.-F., Kaden, W.E., Dowler, R., Sterrer, M., Freund, H.-J., Model oxide-supported metal catalysts - Comparison of ultrahigh vacuum and solution based preparation of Pd nanoparticles on a single-crystalline oxide substrate (2012) Phys. Chem. Chem. Phys., 14 (32), pp. 11525-11533; Kim, J.-S., Wieder, N.L., Abraham, A.J., Cargnello, M., Fornasiero, P., Gorte, R.J., Vohs, J.M., Highly active and thermally stable core-shell catalysts for solid oxide fuel cells (2011) J. Electrochem. Soc., 158 (6), pp. 596-B600; Shearing, P.R., Bradley, R.S., Gelb, J., Tariq, F., Withers, P.J., Brandon, N.P., Exploring microstructural changes associated with oxidation in Ni-YSZ SOFC electrodes using high resolution X-ray computed tomography (2012) Solid State Ionics, 216, pp. 69-72; Feeley, J.S., Sachtler, W.M.H., Enhanced reductibility of Ni and Ni+Pd in zeolite Y: Blocking of small cages with Ca2+ or Mg2+ ions (1991) Catal. Lett., 9 (56), pp. 377-386; Profeti, L.P.R., Assaf, E.M., Ticianelli, E.A., (2007) Situ Time-resolved XANES Study of the Reduction Behavior of Ni/La 2O3-Al2O3 Catalysts Promoted with Noble Metals, p. 1. , http://lnls.cnpem.br/PDF/1183.pdf, Brazilian Synchrotron Light Laboratory, LNLS 2007 Activity Report; Utigard, T.A., Wu, M., Plascencia, G., Marin, T., Reduction kinetics of Goro nickel oxide using hydrogen (2005) Chem. Eng. Sci., 60 (7), pp. 2061-2068; Wunderlich, W., Tanemura, M., Interaction of palladium nano-crystals with hydrogen during PECVD growth of carbon nanotubes (2003) Adv. Solid State Phys., 43, pp. 171-180; http://www.periodni.com/pd.htmlVan Hassel, B.A., Boukamp, B.A., Burggraaf, A.J., Oxygen transfer properties of ion-implanted yttria-stabilized zirconia (1992) Solid State Lonics, 53-56, pp. 890-903; Ma, H., Li, G., Chen, S., Zhao, S., Cheng, X., Impedance investigation of the anodic iron dissolution in perchloric acid solution (2002) Corros. Sci., 44 (6), pp. 1177-1191; Luo, T.J., Yang, Y.S., Li, Y.J., Dong, X.G., Influence of rare earth y on the corrosion behavior of as-cast AZ91 alloy (2009) Electrochim. Acta, 54 (26), pp. 6433-6437; Dokiya, M., Pr0.8Sr0.2Mn1-xCoxO 3 cathode material for SOFC operating at a reduced temperature (1995) Proceedings of the Solid Oxide Fuel Cells - 4th International Symposium - The Electrochemical Society Proceeding Series, pp. 482-491; Jiang, S.P., Badwal, S.P.S., Hydrogen oxidation at the nickel and platinum electrodes on yttria-tetragonal zirconia electrolyte (1997) J. Electrochem. Soc., 144 (11), pp. 3777-3784; Komadina, J., Motoyama, M., Kim, Y.B., Prinz, F.B., Effect of high surface area Pd electrodes on SOFC performance at 350 °c (2012) ECS Trans., 41 (46), pp. 35-41","page":"12299-12312","publisher":"Elsevier Ltd","title":"Microstructural refinement of Ni/Ce0.8Gd0.2O 2-δ anodes for low-temperature solid oxide fuel cell by wet infiltration loading of PdCl2","type":"article-journal","volume":"40"},"uris":["http://www.mendeley.com/documents/?uuid=38bd9196-adf5-4ea0-aadd-eba5563f7047"]},{"id":"ITEM-2","itemData":{"DOI":"10.1021/acs.jpcc.5b10878","ISSN":"19327455","abstract":"A model of Ni-yttria stabilized zirconia (YSZ)-gas triple phase boundary (TPB) is built to simulate the oxygen transfer and hydrogen oxidation processes in solid oxide fuel cell anodes by using density functional theory. The highest barrier in the anodic processes is found in the step of oxygen transfer from the YSZ surface to the TPB site, where the oxygen is connected with nickel and yttrium/zirconium atoms. Three TPB sites and associated reaction paths, near Y or Zr atoms, and one nickel site on the Ni terrace are compared for the hydrogen oxidation reaction. Depending on the local structures of TPB sites, the reaction barrier of the (O + H)</w:instrText>
      </w:r>
      <w:r w:rsidR="008446C6">
        <w:rPr>
          <w:rFonts w:ascii="Cambria Math" w:hAnsi="Cambria Math" w:cs="Cambria Math"/>
        </w:rPr>
        <w:instrText>∗</w:instrText>
      </w:r>
      <w:r w:rsidR="008446C6">
        <w:instrText xml:space="preserve"> </w:instrText>
      </w:r>
      <w:r w:rsidR="008446C6">
        <w:rPr>
          <w:rFonts w:ascii="Calibri" w:hAnsi="Calibri" w:cs="Calibri"/>
        </w:rPr>
        <w:instrText>→</w:instrText>
      </w:r>
      <w:r w:rsidR="008446C6">
        <w:instrText xml:space="preserve"> OH</w:instrText>
      </w:r>
      <w:r w:rsidR="008446C6">
        <w:rPr>
          <w:rFonts w:ascii="Cambria Math" w:hAnsi="Cambria Math" w:cs="Cambria Math"/>
        </w:rPr>
        <w:instrText>∗</w:instrText>
      </w:r>
      <w:r w:rsidR="008446C6">
        <w:instrText xml:space="preserve"> reaction varies from 0.46 to 0.57 eV, and the reaction barrier of (OH + H)</w:instrText>
      </w:r>
      <w:r w:rsidR="008446C6">
        <w:rPr>
          <w:rFonts w:ascii="Cambria Math" w:hAnsi="Cambria Math" w:cs="Cambria Math"/>
        </w:rPr>
        <w:instrText>∗</w:instrText>
      </w:r>
      <w:r w:rsidR="008446C6">
        <w:instrText xml:space="preserve"> → H2O</w:instrText>
      </w:r>
      <w:r w:rsidR="008446C6">
        <w:rPr>
          <w:rFonts w:ascii="Cambria Math" w:hAnsi="Cambria Math" w:cs="Cambria Math"/>
        </w:rPr>
        <w:instrText>∗</w:instrText>
      </w:r>
      <w:r w:rsidR="008446C6">
        <w:instrText xml:space="preserve"> varies from 0.83 to 1.05 eV. When O or OH is on the Ni site, which is only 3 </w:instrText>
      </w:r>
      <w:r w:rsidR="008446C6">
        <w:rPr>
          <w:rFonts w:ascii="Calibri" w:hAnsi="Calibri" w:cs="Calibri"/>
        </w:rPr>
        <w:instrText>Å</w:instrText>
      </w:r>
      <w:r w:rsidR="008446C6">
        <w:instrText xml:space="preserve"> from the Y at TPB site, the reaction barriers of the above reactions are 1.15 and 1.02 eV, respectively.","author":[{"dropping-particle":"","family":"Liu","given":"Shixue","non-dropping-particle":"","parse-names":false,"suffix":""},{"dropping-particle":"","family":"Ishimoto","given":"Takayoshi","non-dropping-particle":"","parse-names":false,"suffix":""},{"dropping-particle":"","family":"Monder","given":"Dayadeep S.","non-dropping-particle":"","parse-names":false,"suffix":""},{"dropping-particle":"","family":"Koyama","given":"Michihisa","non-dropping-particle":"","parse-names":false,"suffix":""}],"container-title":"Journal of Physical Chemistry C","id":"ITEM-2","issue":"49","issued":{"date-parts":[["2015"]]},"page":"27603-27608","title":"First-Principles Study of Oxygen Transfer and Hydrogen Oxidation Processes at the Ni-YSZ-Gas Triple Phase Boundaries in a Solid Oxide Fuel Cell Anode","type":"article-journal","volume":"119"},"uris":["http://www.mendeley.com/documents/?uuid=9c77b0ed-ede9-4678-94f8-239d4fe58b37"]}],"mendeley":{"formattedCitation":"[427], [480]","plainTextFormattedCitation":"[427], [480]","previouslyFormattedCitation":"[427], [480]"},"properties":{"noteIndex":0},"schema":"https://github.com/citation-style-language/schema/raw/master/csl-citation.json"}</w:instrText>
      </w:r>
      <w:r>
        <w:fldChar w:fldCharType="separate"/>
      </w:r>
      <w:r w:rsidR="00A77A83" w:rsidRPr="00A77A83">
        <w:rPr>
          <w:noProof/>
        </w:rPr>
        <w:t>[427], [480]</w:t>
      </w:r>
      <w:r>
        <w:fldChar w:fldCharType="end"/>
      </w:r>
      <w:r>
        <w:t xml:space="preserve"> .</w:t>
      </w:r>
    </w:p>
    <w:p w14:paraId="23080174" w14:textId="77777777" w:rsidR="00007F6C" w:rsidRPr="00C82503" w:rsidRDefault="00007F6C" w:rsidP="00007F6C">
      <w:pPr>
        <w:jc w:val="both"/>
        <w:rPr>
          <w:rFonts w:eastAsiaTheme="minorEastAsia"/>
        </w:rPr>
      </w:pPr>
      <m:oMathPara>
        <m:oMath>
          <m:r>
            <m:rPr>
              <m:sty m:val="p"/>
            </m:rPr>
            <w:rPr>
              <w:rFonts w:ascii="Cambria Math" w:hAnsi="Cambria Math"/>
            </w:rPr>
            <m:t>O+</m:t>
          </m:r>
          <m:sSup>
            <m:sSupPr>
              <m:ctrlPr>
                <w:rPr>
                  <w:rFonts w:ascii="Cambria Math" w:hAnsi="Cambria Math"/>
                  <w:i/>
                </w:rPr>
              </m:ctrlPr>
            </m:sSupPr>
            <m:e>
              <m:r>
                <m:rPr>
                  <m:sty m:val="p"/>
                </m:rPr>
                <w:rPr>
                  <w:rFonts w:ascii="Cambria Math" w:hAnsi="Cambria Math"/>
                </w:rPr>
                <m:t>H</m:t>
              </m:r>
            </m:e>
            <m:sup>
              <m:r>
                <m:rPr>
                  <m:sty m:val="p"/>
                </m:rPr>
                <w:rPr>
                  <w:rFonts w:ascii="Cambria Math" w:hAnsi="Cambria Math"/>
                </w:rPr>
                <m:t>+</m:t>
              </m:r>
            </m:sup>
          </m:sSup>
          <m:r>
            <m:rPr>
              <m:sty m:val="p"/>
            </m:rPr>
            <w:rPr>
              <w:rFonts w:ascii="Cambria Math" w:hAnsi="Cambria Math"/>
            </w:rPr>
            <m:t>→O</m:t>
          </m:r>
          <m:sSup>
            <m:sSupPr>
              <m:ctrlPr>
                <w:rPr>
                  <w:rFonts w:ascii="Cambria Math" w:hAnsi="Cambria Math"/>
                  <w:i/>
                </w:rPr>
              </m:ctrlPr>
            </m:sSupPr>
            <m:e>
              <m:r>
                <m:rPr>
                  <m:sty m:val="p"/>
                </m:rPr>
                <w:rPr>
                  <w:rFonts w:ascii="Cambria Math" w:hAnsi="Cambria Math"/>
                </w:rPr>
                <m:t>H</m:t>
              </m:r>
            </m:e>
            <m:sup>
              <m:r>
                <m:rPr>
                  <m:sty m:val="p"/>
                </m:rPr>
                <w:rPr>
                  <w:rFonts w:ascii="Cambria Math" w:hAnsi="Cambria Math"/>
                </w:rPr>
                <m:t>+</m:t>
              </m:r>
            </m:sup>
          </m:sSup>
          <m:r>
            <m:rPr>
              <m:sty m:val="p"/>
            </m:rPr>
            <w:rPr>
              <w:rFonts w:ascii="Cambria Math" w:hAnsi="Cambria Math"/>
            </w:rPr>
            <m:t>(0.46-0.57 eV)</m:t>
          </m:r>
        </m:oMath>
      </m:oMathPara>
    </w:p>
    <w:p w14:paraId="052C7F0F" w14:textId="77777777" w:rsidR="00007F6C" w:rsidRPr="00C82503" w:rsidRDefault="00007F6C" w:rsidP="00007F6C">
      <w:pPr>
        <w:jc w:val="both"/>
        <w:rPr>
          <w:rFonts w:eastAsiaTheme="minorEastAsia"/>
        </w:rPr>
      </w:pPr>
      <m:oMathPara>
        <m:oMath>
          <m:r>
            <m:rPr>
              <m:sty m:val="p"/>
            </m:rPr>
            <w:rPr>
              <w:rFonts w:ascii="Cambria Math" w:hAnsi="Cambria Math"/>
            </w:rPr>
            <m:t>O</m:t>
          </m:r>
          <m:sSup>
            <m:sSupPr>
              <m:ctrlPr>
                <w:rPr>
                  <w:rFonts w:ascii="Cambria Math" w:hAnsi="Cambria Math"/>
                  <w:i/>
                </w:rPr>
              </m:ctrlPr>
            </m:sSupPr>
            <m:e>
              <m:r>
                <m:rPr>
                  <m:sty m:val="p"/>
                </m:rPr>
                <w:rPr>
                  <w:rFonts w:ascii="Cambria Math" w:hAnsi="Cambria Math"/>
                </w:rPr>
                <m:t>H</m:t>
              </m:r>
            </m:e>
            <m:sup>
              <m:r>
                <m:rPr>
                  <m:sty m:val="p"/>
                </m:rPr>
                <w:rPr>
                  <w:rFonts w:ascii="Cambria Math" w:hAnsi="Cambria Math"/>
                </w:rPr>
                <m:t>+</m:t>
              </m:r>
            </m:sup>
          </m:sSup>
          <m:r>
            <m:rPr>
              <m:sty m:val="p"/>
            </m:rPr>
            <w:rPr>
              <w:rFonts w:ascii="Cambria Math" w:hAnsi="Cambria Math"/>
            </w:rPr>
            <m:t>+</m:t>
          </m:r>
          <m:sSup>
            <m:sSupPr>
              <m:ctrlPr>
                <w:rPr>
                  <w:rFonts w:ascii="Cambria Math" w:hAnsi="Cambria Math"/>
                  <w:i/>
                </w:rPr>
              </m:ctrlPr>
            </m:sSupPr>
            <m:e>
              <m:r>
                <m:rPr>
                  <m:sty m:val="p"/>
                </m:rPr>
                <w:rPr>
                  <w:rFonts w:ascii="Cambria Math" w:hAnsi="Cambria Math"/>
                </w:rPr>
                <m:t>H</m:t>
              </m:r>
            </m:e>
            <m:sup>
              <m:r>
                <m:rPr>
                  <m:sty m:val="p"/>
                </m:rPr>
                <w:rPr>
                  <w:rFonts w:ascii="Cambria Math" w:hAnsi="Cambria Math"/>
                </w:rPr>
                <m:t>+</m:t>
              </m:r>
            </m:sup>
          </m:sSup>
          <m:r>
            <m:rPr>
              <m:sty m:val="p"/>
            </m:rPr>
            <w:rPr>
              <w:rFonts w:ascii="Cambria Math" w:hAnsi="Cambria Math"/>
            </w:rPr>
            <m:t xml:space="preserve">→ </m:t>
          </m:r>
          <m:sSub>
            <m:sSubPr>
              <m:ctrlPr>
                <w:rPr>
                  <w:rFonts w:ascii="Cambria Math" w:hAnsi="Cambria Math"/>
                  <w:i/>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O (0.83-1.05 eV)</m:t>
          </m:r>
        </m:oMath>
      </m:oMathPara>
    </w:p>
    <w:p w14:paraId="1713139B" w14:textId="38358897" w:rsidR="00007F6C" w:rsidRPr="00C67D80" w:rsidRDefault="00007F6C" w:rsidP="00007F6C">
      <w:pPr>
        <w:pStyle w:val="Caption"/>
        <w:keepNext/>
        <w:jc w:val="right"/>
        <w:rPr>
          <w:i w:val="0"/>
          <w:iCs w:val="0"/>
          <w:color w:val="auto"/>
          <w:sz w:val="22"/>
          <w:szCs w:val="22"/>
        </w:rPr>
      </w:pPr>
      <w:bookmarkStart w:id="527" w:name="_Ref48314422"/>
      <w:r w:rsidRPr="00C67D80">
        <w:rPr>
          <w:i w:val="0"/>
          <w:iCs w:val="0"/>
          <w:color w:val="auto"/>
          <w:sz w:val="22"/>
          <w:szCs w:val="22"/>
        </w:rPr>
        <w:t>Equation 5.</w:t>
      </w:r>
      <w:r w:rsidRPr="00C67D80">
        <w:rPr>
          <w:i w:val="0"/>
          <w:iCs w:val="0"/>
          <w:color w:val="auto"/>
          <w:sz w:val="22"/>
          <w:szCs w:val="22"/>
        </w:rPr>
        <w:fldChar w:fldCharType="begin"/>
      </w:r>
      <w:r w:rsidRPr="00C67D80">
        <w:rPr>
          <w:i w:val="0"/>
          <w:iCs w:val="0"/>
          <w:color w:val="auto"/>
          <w:sz w:val="22"/>
          <w:szCs w:val="22"/>
        </w:rPr>
        <w:instrText xml:space="preserve"> SEQ Equation \* ARABIC </w:instrText>
      </w:r>
      <w:r w:rsidRPr="00C67D80">
        <w:rPr>
          <w:i w:val="0"/>
          <w:iCs w:val="0"/>
          <w:color w:val="auto"/>
          <w:sz w:val="22"/>
          <w:szCs w:val="22"/>
        </w:rPr>
        <w:fldChar w:fldCharType="separate"/>
      </w:r>
      <w:r w:rsidR="00315BF8">
        <w:rPr>
          <w:i w:val="0"/>
          <w:iCs w:val="0"/>
          <w:noProof/>
          <w:color w:val="auto"/>
          <w:sz w:val="22"/>
          <w:szCs w:val="22"/>
        </w:rPr>
        <w:t>2</w:t>
      </w:r>
      <w:r w:rsidRPr="00C67D80">
        <w:rPr>
          <w:i w:val="0"/>
          <w:iCs w:val="0"/>
          <w:noProof/>
          <w:color w:val="auto"/>
          <w:sz w:val="22"/>
          <w:szCs w:val="22"/>
        </w:rPr>
        <w:fldChar w:fldCharType="end"/>
      </w:r>
      <w:bookmarkEnd w:id="527"/>
    </w:p>
    <w:p w14:paraId="51E3DAC7" w14:textId="73F3A527" w:rsidR="00007F6C" w:rsidRDefault="00007F6C" w:rsidP="00007F6C">
      <w:pPr>
        <w:jc w:val="both"/>
        <w:rPr>
          <w:rFonts w:eastAsiaTheme="minorEastAsia"/>
        </w:rPr>
      </w:pPr>
      <w:r>
        <w:rPr>
          <w:rFonts w:eastAsiaTheme="minorEastAsia"/>
        </w:rPr>
        <w:t xml:space="preserve">The activation energy for the gold coated Ni-YSZ sample being smaller than those in </w:t>
      </w:r>
      <w:r>
        <w:rPr>
          <w:rFonts w:eastAsiaTheme="minorEastAsia"/>
        </w:rPr>
        <w:fldChar w:fldCharType="begin"/>
      </w:r>
      <w:r>
        <w:rPr>
          <w:rFonts w:eastAsiaTheme="minorEastAsia"/>
        </w:rPr>
        <w:instrText xml:space="preserve"> REF _Ref48314422 \h  \* MERGEFORMAT </w:instrText>
      </w:r>
      <w:r>
        <w:rPr>
          <w:rFonts w:eastAsiaTheme="minorEastAsia"/>
        </w:rPr>
      </w:r>
      <w:r>
        <w:rPr>
          <w:rFonts w:eastAsiaTheme="minorEastAsia"/>
        </w:rPr>
        <w:fldChar w:fldCharType="separate"/>
      </w:r>
      <w:r w:rsidRPr="00C103C3">
        <w:t xml:space="preserve">Equation </w:t>
      </w:r>
      <w:r w:rsidRPr="00C103C3">
        <w:rPr>
          <w:noProof/>
        </w:rPr>
        <w:t>5.2</w:t>
      </w:r>
      <w:r>
        <w:rPr>
          <w:rFonts w:eastAsiaTheme="minorEastAsia"/>
        </w:rPr>
        <w:fldChar w:fldCharType="end"/>
      </w:r>
      <w:r>
        <w:rPr>
          <w:rFonts w:eastAsiaTheme="minorEastAsia"/>
        </w:rPr>
        <w:t xml:space="preserve"> illustrate that that the gas diffusion impedance is being caused during the formation of water. The presence of the Ni/Au alloyed particles would also hinder the percolation of both the fuel and the produce to and from the TPB, producing a gas diffusion impedance contribution </w:t>
      </w:r>
      <w:r>
        <w:rPr>
          <w:rFonts w:eastAsiaTheme="minorEastAsia"/>
        </w:rPr>
        <w:fldChar w:fldCharType="begin" w:fldLock="1"/>
      </w:r>
      <w:r w:rsidR="008B6E91">
        <w:rPr>
          <w:rFonts w:eastAsiaTheme="minorEastAsia"/>
        </w:rPr>
        <w:instrText>ADDIN CSL_CITATION {"citationItems":[{"id":"ITEM-1","itemData":{"ISBN":"87-550-2605-2","author":[{"dropping-particle":"","family":"Primdahl","given":"Søren","non-dropping-particle":"","parse-names":false,"suffix":""}],"container-title":"Faculty of Chemical Technology","id":"ITEM-1","issued":{"date-parts":[["1999"]]},"number-of-pages":"203","publisher":"University of Twente","title":"Nickel/yttria-stabilised zirconia cermet anodes for solid oxide fuel cells","type":"thesis","volume":"PhD"},"uris":["http://www.mendeley.com/documents/?uuid=5c76b4c3-f9a5-4d54-8caa-de540dda41bd"]}],"mendeley":{"formattedCitation":"[405]","plainTextFormattedCitation":"[405]","previouslyFormattedCitation":"[405]"},"properties":{"noteIndex":0},"schema":"https://github.com/citation-style-language/schema/raw/master/csl-citation.json"}</w:instrText>
      </w:r>
      <w:r>
        <w:rPr>
          <w:rFonts w:eastAsiaTheme="minorEastAsia"/>
        </w:rPr>
        <w:fldChar w:fldCharType="separate"/>
      </w:r>
      <w:r w:rsidR="00237E21" w:rsidRPr="00237E21">
        <w:rPr>
          <w:rFonts w:eastAsiaTheme="minorEastAsia"/>
          <w:noProof/>
        </w:rPr>
        <w:t>[405]</w:t>
      </w:r>
      <w:r>
        <w:rPr>
          <w:rFonts w:eastAsiaTheme="minorEastAsia"/>
        </w:rPr>
        <w:fldChar w:fldCharType="end"/>
      </w:r>
      <w:r>
        <w:rPr>
          <w:rFonts w:eastAsiaTheme="minorEastAsia"/>
        </w:rPr>
        <w:t xml:space="preserve">. </w:t>
      </w:r>
    </w:p>
    <w:p w14:paraId="2D4CEA59" w14:textId="77777777" w:rsidR="00007F6C" w:rsidRDefault="00007F6C" w:rsidP="00007F6C">
      <w:pPr>
        <w:jc w:val="both"/>
      </w:pPr>
      <w:r>
        <w:rPr>
          <w:rFonts w:eastAsiaTheme="minorEastAsia"/>
        </w:rPr>
        <w:t xml:space="preserve">The high mobility of this material under the ageing conditions via temperatures exceeding the </w:t>
      </w:r>
      <w:proofErr w:type="spellStart"/>
      <w:r>
        <w:t>T</w:t>
      </w:r>
      <w:r w:rsidRPr="0084358F">
        <w:rPr>
          <w:vertAlign w:val="subscript"/>
        </w:rPr>
        <w:t>Tammann</w:t>
      </w:r>
      <w:proofErr w:type="spellEnd"/>
      <w:r w:rsidRPr="0084358F">
        <w:rPr>
          <w:vertAlign w:val="subscript"/>
        </w:rPr>
        <w:t xml:space="preserve"> </w:t>
      </w:r>
      <w:r>
        <w:t>(532</w:t>
      </w:r>
      <w:r>
        <w:rPr>
          <w:rFonts w:cstheme="minorHAnsi"/>
        </w:rPr>
        <w:t>⁰</w:t>
      </w:r>
      <w:r>
        <w:t xml:space="preserve">C) had led to prime conditions for alloying and further impedance contributions from the gas phase and highly variable data. </w:t>
      </w:r>
      <w:r>
        <w:rPr>
          <w:rFonts w:eastAsiaTheme="minorEastAsia"/>
        </w:rPr>
        <w:t xml:space="preserve">This in combination with the gold system being primed to alloy with catalyst has led to non-ideal gas diffusion behaviour during short ageing times for this fuel electrode/current collector system. </w:t>
      </w:r>
      <w:r>
        <w:t xml:space="preserve"> </w:t>
      </w:r>
    </w:p>
    <w:p w14:paraId="7AC71AF1" w14:textId="512611A8" w:rsidR="00007F6C" w:rsidRDefault="00007F6C" w:rsidP="00007F6C">
      <w:pPr>
        <w:jc w:val="both"/>
        <w:rPr>
          <w:rFonts w:eastAsiaTheme="minorEastAsia"/>
        </w:rPr>
      </w:pPr>
      <w:r>
        <w:rPr>
          <w:rFonts w:eastAsiaTheme="minorEastAsia"/>
        </w:rPr>
        <w:t xml:space="preserve">The platinum current collector produced normalised impedance arcs up to three orders of magnitude higher than counterparts in the literature </w:t>
      </w:r>
      <w:r>
        <w:rPr>
          <w:rFonts w:eastAsiaTheme="minorEastAsia"/>
        </w:rPr>
        <w:fldChar w:fldCharType="begin" w:fldLock="1"/>
      </w:r>
      <w:r w:rsidR="00151775">
        <w:rPr>
          <w:rFonts w:eastAsiaTheme="minorEastAsia"/>
        </w:rPr>
        <w:instrText>ADDIN CSL_CITATION {"citationItems":[{"id":"ITEM-1","itemData":{"DOI":"10.1016/S0167-2738(99)00254-4","ISSN":"01672738","abstract":"The effects of various current collectors on the electrochemical property measurements of a Ni-YSZ cermet have been investigated. Electrochemical characteristics were determined by impedance spectroscopy (IS) at open-circuit voltage in H2-H2O atmosphere at 800 °C using a symmetrical cell. We selected various current collectors made of gold, platinum and nickel and with two different structures, paste and mesh. When using paste, the electrochemical response, recorded with the same Ni-YSZ cermet sample, depends greatly on the nature of the current collector. Polarization resistance values follow the order: Ni&lt;Pt&lt;Au. This is the same order as reported in the literature for the hydrogen electrochemical oxidation activities of these metals. This demonstrates that paste current collectors interfere with the electrochemical properties of the anode material. Therefore, in order to compare the electrochemical activities of various anode materials, the same current collector has to be used. We have also observed that the polarization resistance increases with time, due to metal particle diffusion through the Ni-YSZ cermet. When using a nickel mesh, the electrochemical properties do not vary with time. Moreover, the structure of this current collector is most similar to the interconnect materials, which are the current collectors in planar SOFCs. It is, therefore, the best current collector for the study of the electrochemical properties of Ni-YSZ cermet.","author":[{"dropping-particle":"","family":"Guillodo","given":"M.","non-dropping-particle":"","parse-names":false,"suffix":""},{"dropping-particle":"","family":"Vernoux","given":"P.","non-dropping-particle":"","parse-names":false,"suffix":""},{"dropping-particle":"","family":"Fouletier","given":"J.","non-dropping-particle":"","parse-names":false,"suffix":""}],"container-title":"Solid State Ionics","id":"ITEM-1","issue":"1-2","issued":{"date-parts":[["2000"]]},"page":"99-107","title":"Electrochemical properties of Ni-YSZ cermet in solid oxide fuel cells. Effect of current collecting","type":"article-journal","volume":"127"},"uris":["http://www.mendeley.com/documents/?uuid=1b59ad5f-6e71-4c86-8342-2445f4bf2a8c"]},{"id":"ITEM-2","itemData":{"DOI":"10.1149/1.1995687","ISSN":"00134651","abstract":"This investigation details relatively short-term (500 h) performance\\ncharacteristics (in particular cathode conditioning and degradation)\\nof anode-supported SOFCs utilizing La(Sr)FeO3 cathodes with platinum,\\nsilver, or gold current collectors. Conditioning or degradation characteristics\\nwere found to be highly dependant on the current collector used.\\nAn additional area of study considered transient cell behavior following\\nrest periods at open-circuit voltage (OCV, zero current). Three types\\nof behavior were observed; (i) decreased performance after OCV hold,\\n(ii) increased performance after OCV hold, and (iii) no discernible\\nchange. The type of transient behavior was found to be dependent\\non the noble metal current collector utilized and the time at which\\nthe transient behavior was assessed. Longer testing times indicated\\nmore pronounced transient characteristics. (c) 2005 The Electrochemical\\nSociety.","author":[{"dropping-particle":"","family":"Simner","given":"S. P.","non-dropping-particle":"","parse-names":false,"suffix":""},{"dropping-particle":"","family":"Anderson","given":"M. D.","non-dropping-particle":"","parse-names":false,"suffix":""},{"dropping-particle":"","family":"Pederson","given":"L. R.","non-dropping-particle":"","parse-names":false,"suffix":""},{"dropping-particle":"","family":"Stevenson","given":"J. W.","non-dropping-particle":"","parse-names":false,"suffix":""}],"container-title":"Journal of The Electrochemical Society","id":"ITEM-2","issue":"9","issued":{"date-parts":[["2005"]]},"page":"A1851","title":"Performance Variability of La(Sr)FeO[sub 3] SOFC Cathode with Pt, Ag, and Au Current Collectors","type":"article-journal","volume":"152"},"uris":["http://www.mendeley.com/documents/?uuid=9e2e6708-299f-41c8-a608-26f87ebe3831"]}],"mendeley":{"formattedCitation":"[434], [438]","plainTextFormattedCitation":"[434], [438]","previouslyFormattedCitation":"[434], [438]"},"properties":{"noteIndex":0},"schema":"https://github.com/citation-style-language/schema/raw/master/csl-citation.json"}</w:instrText>
      </w:r>
      <w:r>
        <w:rPr>
          <w:rFonts w:eastAsiaTheme="minorEastAsia"/>
        </w:rPr>
        <w:fldChar w:fldCharType="separate"/>
      </w:r>
      <w:r w:rsidR="008B6E91" w:rsidRPr="008B6E91">
        <w:rPr>
          <w:rFonts w:eastAsiaTheme="minorEastAsia"/>
          <w:noProof/>
        </w:rPr>
        <w:t>[434], [438]</w:t>
      </w:r>
      <w:r>
        <w:rPr>
          <w:rFonts w:eastAsiaTheme="minorEastAsia"/>
        </w:rPr>
        <w:fldChar w:fldCharType="end"/>
      </w:r>
      <w:r>
        <w:rPr>
          <w:rFonts w:eastAsiaTheme="minorEastAsia"/>
        </w:rPr>
        <w:t>. These large R</w:t>
      </w:r>
      <w:r>
        <w:rPr>
          <w:rFonts w:eastAsiaTheme="minorEastAsia"/>
          <w:vertAlign w:val="subscript"/>
        </w:rPr>
        <w:t>P</w:t>
      </w:r>
      <w:r>
        <w:rPr>
          <w:rFonts w:eastAsiaTheme="minorEastAsia"/>
        </w:rPr>
        <w:t xml:space="preserve"> values illustrate how the current collector impedance contribution can be overlaid on top of that of the electrode </w:t>
      </w:r>
      <w:r>
        <w:rPr>
          <w:rFonts w:eastAsiaTheme="minorEastAsia"/>
        </w:rPr>
        <w:fldChar w:fldCharType="begin" w:fldLock="1"/>
      </w:r>
      <w:r w:rsidR="00151775">
        <w:rPr>
          <w:rFonts w:eastAsiaTheme="minorEastAsia"/>
        </w:rPr>
        <w:instrText>ADDIN CSL_CITATION {"citationItems":[{"id":"ITEM-1","itemData":{"DOI":"10.1016/S0167-2738(99)00254-4","ISSN":"01672738","abstract":"The effects of various current collectors on the electrochemical property measurements of a Ni-YSZ cermet have been investigated. Electrochemical characteristics were determined by impedance spectroscopy (IS) at open-circuit voltage in H2-H2O atmosphere at 800 °C using a symmetrical cell. We selected various current collectors made of gold, platinum and nickel and with two different structures, paste and mesh. When using paste, the electrochemical response, recorded with the same Ni-YSZ cermet sample, depends greatly on the nature of the current collector. Polarization resistance values follow the order: Ni&lt;Pt&lt;Au. This is the same order as reported in the literature for the hydrogen electrochemical oxidation activities of these metals. This demonstrates that paste current collectors interfere with the electrochemical properties of the anode material. Therefore, in order to compare the electrochemical activities of various anode materials, the same current collector has to be used. We have also observed that the polarization resistance increases with time, due to metal particle diffusion through the Ni-YSZ cermet. When using a nickel mesh, the electrochemical properties do not vary with time. Moreover, the structure of this current collector is most similar to the interconnect materials, which are the current collectors in planar SOFCs. It is, therefore, the best current collector for the study of the electrochemical properties of Ni-YSZ cermet.","author":[{"dropping-particle":"","family":"Guillodo","given":"M.","non-dropping-particle":"","parse-names":false,"suffix":""},{"dropping-particle":"","family":"Vernoux","given":"P.","non-dropping-particle":"","parse-names":false,"suffix":""},{"dropping-particle":"","family":"Fouletier","given":"J.","non-dropping-particle":"","parse-names":false,"suffix":""}],"container-title":"Solid State Ionics","id":"ITEM-1","issue":"1-2","issued":{"date-parts":[["2000"]]},"page":"99-107","title":"Electrochemical properties of Ni-YSZ cermet in solid oxide fuel cells. Effect of current collecting","type":"article-journal","volume":"127"},"uris":["http://www.mendeley.com/documents/?uuid=1b59ad5f-6e71-4c86-8342-2445f4bf2a8c"]},{"id":"ITEM-2","itemData":{"ISBN":"9036513375","abstract":"This thesis deals with the porous Ni/yttria-stabilized zirconia (YSZ) cermet anode on a YSZ electrolyte for solid oxide fuel cells (SOFC). Such anodes are predominantly operated in moist hydrogen at 700C to 1000C, and the most important technological parameters are the polarization resistance and the long-term stability. The polarization resistance can be measured by a number of techniques, in the present work impedance spectroscopy has been used extensively. By impedance spectroscopy limiting processes in the anode polarization resistance may often be separated and characterized individually, provided they have a reasonable separation in time constants. Three limiting processes are recognized in impedance spectra obtained on technological Ni/YSZ cermet anodes characterized against a stable reference electrode atmosphere. By parameter studies and illustrative experiments, the two contributions at low and medium frequency have been identified as gas conversion and diffusion limitations, respectively. Both of these effects are concentration limitations relating to the inefficient exchange of fuel gas in the test setup outside the porous cermet. A test setup geometry where these concentration effects are avoided for high-performance electrodes is recommended. The high frequency limitation is demonstrated to relate to the cermet structure. The dependence on gas composition, temperature, adsorbed species (sulfur), isotopes (H/D), sintering temperature and cermet thickness is investigated. Despite these studies and several similar studies by others, the exact chemical or physical nature of the limiting step has not been incontestably identified. However, there is a general consensus in literature about the hydrogen oxidation process taking place on or near to the triple phase boundary (TPB) line, where open gas-filled pores, the continuous electrolyte phase (oxide ion conductor) and the continuous Ni phase (electronic conductor) meet. The physical thickness of a cermet anode that contains active TPB sites contributing to the current density of an SOFC is demonstrated to be about 10 µm. This result has technological importance, as any overlying structure serves primarily as a current collector and needs not be optimized for transport of oxide ions. The anode durability is investigated over 1300 to 1900 hrs at 300 mA/cm2 and shown to be stable at 1050C. At 1000C a degradation rate of about 10 mΩcm2 /1000 hrs is observed, and at 850C a degradation rate of about …","author":[{"dropping-particle":"","family":"Primdahl Søren","given":"","non-dropping-particle":"","parse-names":false,"suffix":""}],"container-title":"Technical University of Denmark","id":"ITEM-2","issued":{"date-parts":[["1999"]]},"number-of-pages":"203","title":"Nickel/yttria-stabilised zirconia cermet anodes for solid oxide fuel cells","type":"book","volume":"PhD"},"uris":["http://www.mendeley.com/documents/?uuid=69a51db7-8194-45b3-9303-50e966b75c01"]}],"mendeley":{"formattedCitation":"[350], [438]","plainTextFormattedCitation":"[350], [438]","previouslyFormattedCitation":"[350], [438]"},"properties":{"noteIndex":0},"schema":"https://github.com/citation-style-language/schema/raw/master/csl-citation.json"}</w:instrText>
      </w:r>
      <w:r>
        <w:rPr>
          <w:rFonts w:eastAsiaTheme="minorEastAsia"/>
        </w:rPr>
        <w:fldChar w:fldCharType="separate"/>
      </w:r>
      <w:r w:rsidR="008B6E91" w:rsidRPr="008B6E91">
        <w:rPr>
          <w:rFonts w:eastAsiaTheme="minorEastAsia"/>
          <w:noProof/>
        </w:rPr>
        <w:t>[350], [438]</w:t>
      </w:r>
      <w:r>
        <w:rPr>
          <w:rFonts w:eastAsiaTheme="minorEastAsia"/>
        </w:rPr>
        <w:fldChar w:fldCharType="end"/>
      </w:r>
      <w:r>
        <w:rPr>
          <w:rFonts w:eastAsiaTheme="minorEastAsia"/>
        </w:rPr>
        <w:t>. Despite utilising infiltrated Ni-YSZ symmetrical cells from the same batch these samples produced huge variance in R</w:t>
      </w:r>
      <w:r>
        <w:rPr>
          <w:rFonts w:eastAsiaTheme="minorEastAsia"/>
          <w:vertAlign w:val="subscript"/>
        </w:rPr>
        <w:t>P</w:t>
      </w:r>
      <w:r>
        <w:rPr>
          <w:rFonts w:eastAsiaTheme="minorEastAsia"/>
        </w:rPr>
        <w:t xml:space="preserve"> compared to the other samples in this study. </w:t>
      </w:r>
    </w:p>
    <w:p w14:paraId="43617BBF" w14:textId="77A9FFCD" w:rsidR="00007F6C" w:rsidRDefault="00007F6C" w:rsidP="00007F6C">
      <w:pPr>
        <w:jc w:val="both"/>
        <w:rPr>
          <w:rFonts w:eastAsiaTheme="minorEastAsia"/>
        </w:rPr>
      </w:pPr>
      <w:r>
        <w:rPr>
          <w:rFonts w:eastAsiaTheme="minorEastAsia"/>
        </w:rPr>
        <w:t xml:space="preserve">Although the Heraeus paste and resulting current collector layer being deemed defective the ageing behaviour of the Pt sample appears to be consist to that of the literature </w:t>
      </w:r>
      <w:r>
        <w:rPr>
          <w:rFonts w:eastAsiaTheme="minorEastAsia"/>
        </w:rPr>
        <w:fldChar w:fldCharType="begin" w:fldLock="1"/>
      </w:r>
      <w:r w:rsidR="00151775">
        <w:rPr>
          <w:rFonts w:eastAsiaTheme="minorEastAsia"/>
        </w:rPr>
        <w:instrText>ADDIN CSL_CITATION {"citationItems":[{"id":"ITEM-1","itemData":{"DOI":"10.1016/S0167-2738(99)00254-4","ISSN":"01672738","abstract":"The effects of various current collectors on the electrochemical property measurements of a Ni-YSZ cermet have been investigated. Electrochemical characteristics were determined by impedance spectroscopy (IS) at open-circuit voltage in H2-H2O atmosphere at 800 °C using a symmetrical cell. We selected various current collectors made of gold, platinum and nickel and with two different structures, paste and mesh. When using paste, the electrochemical response, recorded with the same Ni-YSZ cermet sample, depends greatly on the nature of the current collector. Polarization resistance values follow the order: Ni&lt;Pt&lt;Au. This is the same order as reported in the literature for the hydrogen electrochemical oxidation activities of these metals. This demonstrates that paste current collectors interfere with the electrochemical properties of the anode material. Therefore, in order to compare the electrochemical activities of various anode materials, the same current collector has to be used. We have also observed that the polarization resistance increases with time, due to metal particle diffusion through the Ni-YSZ cermet. When using a nickel mesh, the electrochemical properties do not vary with time. Moreover, the structure of this current collector is most similar to the interconnect materials, which are the current collectors in planar SOFCs. It is, therefore, the best current collector for the study of the electrochemical properties of Ni-YSZ cermet.","author":[{"dropping-particle":"","family":"Guillodo","given":"M.","non-dropping-particle":"","parse-names":false,"suffix":""},{"dropping-particle":"","family":"Vernoux","given":"P.","non-dropping-particle":"","parse-names":false,"suffix":""},{"dropping-particle":"","family":"Fouletier","given":"J.","non-dropping-particle":"","parse-names":false,"suffix":""}],"container-title":"Solid State Ionics","id":"ITEM-1","issue":"1-2","issued":{"date-parts":[["2000"]]},"page":"99-107","title":"Electrochemical properties of Ni-YSZ cermet in solid oxide fuel cells. Effect of current collecting","type":"article-journal","volume":"127"},"uris":["http://www.mendeley.com/documents/?uuid=1b59ad5f-6e71-4c86-8342-2445f4bf2a8c"]}],"mendeley":{"formattedCitation":"[438]","plainTextFormattedCitation":"[438]","previouslyFormattedCitation":"[438]"},"properties":{"noteIndex":0},"schema":"https://github.com/citation-style-language/schema/raw/master/csl-citation.json"}</w:instrText>
      </w:r>
      <w:r>
        <w:rPr>
          <w:rFonts w:eastAsiaTheme="minorEastAsia"/>
        </w:rPr>
        <w:fldChar w:fldCharType="separate"/>
      </w:r>
      <w:r w:rsidR="008B6E91" w:rsidRPr="008B6E91">
        <w:rPr>
          <w:rFonts w:eastAsiaTheme="minorEastAsia"/>
          <w:noProof/>
        </w:rPr>
        <w:t>[438]</w:t>
      </w:r>
      <w:r>
        <w:rPr>
          <w:rFonts w:eastAsiaTheme="minorEastAsia"/>
        </w:rPr>
        <w:fldChar w:fldCharType="end"/>
      </w:r>
      <w:r>
        <w:rPr>
          <w:rFonts w:eastAsiaTheme="minorEastAsia"/>
        </w:rPr>
        <w:t xml:space="preserve">. The polarisation resistance continues to rise with across the </w:t>
      </w:r>
      <w:proofErr w:type="gramStart"/>
      <w:r>
        <w:rPr>
          <w:rFonts w:eastAsiaTheme="minorEastAsia"/>
        </w:rPr>
        <w:t>50 h</w:t>
      </w:r>
      <w:proofErr w:type="gramEnd"/>
      <w:r>
        <w:rPr>
          <w:rFonts w:eastAsiaTheme="minorEastAsia"/>
        </w:rPr>
        <w:t xml:space="preserve"> ageing period. The fact that the sample frequency response analyser, gas, temperature, and electrochemistry set up were used in this work demonstrates the importance of the current collector in EIS measurements.</w:t>
      </w:r>
    </w:p>
    <w:p w14:paraId="0DD53352" w14:textId="77777777" w:rsidR="00007F6C" w:rsidRDefault="00007F6C" w:rsidP="00007F6C">
      <w:pPr>
        <w:jc w:val="both"/>
        <w:rPr>
          <w:rFonts w:eastAsiaTheme="minorEastAsia"/>
        </w:rPr>
      </w:pPr>
      <w:r>
        <w:rPr>
          <w:rFonts w:eastAsiaTheme="minorEastAsia"/>
        </w:rPr>
        <w:lastRenderedPageBreak/>
        <w:t>The nickel oxide paste produced the smallest increase (9.7 %) in the R</w:t>
      </w:r>
      <w:r>
        <w:rPr>
          <w:rFonts w:eastAsiaTheme="minorEastAsia"/>
          <w:vertAlign w:val="subscript"/>
        </w:rPr>
        <w:t>P</w:t>
      </w:r>
      <w:r>
        <w:rPr>
          <w:rFonts w:eastAsiaTheme="minorEastAsia"/>
        </w:rPr>
        <w:t xml:space="preserve"> during the 50 h of EIS measurements of any of the current collector materials. Despite this the layer broke down during ageing. Inhomogeneous degradation was induced in the layer during ageing from the edge to the centre of the current collector was evident during microstructural assessment. The nickel agglomerates ranged from 278 – 438 nm in size across the surface of the electrode.</w:t>
      </w:r>
    </w:p>
    <w:p w14:paraId="471E779A" w14:textId="6FD3D5AE" w:rsidR="00007F6C" w:rsidRDefault="00007F6C" w:rsidP="00007F6C">
      <w:pPr>
        <w:jc w:val="both"/>
        <w:rPr>
          <w:rFonts w:eastAsiaTheme="minorEastAsia"/>
        </w:rPr>
      </w:pPr>
      <w:r>
        <w:rPr>
          <w:rFonts w:eastAsiaTheme="minorEastAsia"/>
        </w:rPr>
        <w:t xml:space="preserve">In contrast with other three current collector materials, the </w:t>
      </w:r>
      <w:proofErr w:type="spellStart"/>
      <w:r>
        <w:rPr>
          <w:rFonts w:eastAsiaTheme="minorEastAsia"/>
        </w:rPr>
        <w:t>NiO</w:t>
      </w:r>
      <w:proofErr w:type="spellEnd"/>
      <w:r>
        <w:rPr>
          <w:rFonts w:eastAsiaTheme="minorEastAsia"/>
        </w:rPr>
        <w:t xml:space="preserve"> paste had to be reduced in-situ to provide electronic conductivity suitable for electrochemical assessment. The TPR measurement underlined that the peak of this reduction occurs at 284.4</w:t>
      </w:r>
      <w:r w:rsidR="00973265">
        <w:rPr>
          <w:rFonts w:eastAsiaTheme="minorEastAsia"/>
        </w:rPr>
        <w:t xml:space="preserve"> </w:t>
      </w:r>
      <w:r w:rsidR="00973265">
        <w:rPr>
          <w:rFonts w:eastAsiaTheme="minorEastAsia" w:cstheme="minorHAnsi"/>
        </w:rPr>
        <w:t>°</w:t>
      </w:r>
      <w:r>
        <w:rPr>
          <w:rFonts w:eastAsiaTheme="minorEastAsia"/>
        </w:rPr>
        <w:t xml:space="preserve">C an indicator of nanoscale nickel oxide </w:t>
      </w:r>
      <w:r>
        <w:rPr>
          <w:rFonts w:eastAsiaTheme="minorEastAsia"/>
        </w:rPr>
        <w:fldChar w:fldCharType="begin" w:fldLock="1"/>
      </w:r>
      <w:r w:rsidR="008B6E91">
        <w:rPr>
          <w:rFonts w:eastAsiaTheme="minorEastAsia"/>
        </w:rPr>
        <w:instrText>ADDIN CSL_CITATION {"citationItems":[{"id":"ITEM-1","itemData":{"DOI":"10.1016/J.SSI.2009.10.011","ISSN":"0167-2738","abstract":"The oxidation of Ni–YSZ cermet as well the reduction of re-oxidized Ni–YSZ cermet was investigated by using temperature-programmed oxidation (TPO), temperature-programmed reduction (TPR) and scanning electron microscope (SEM). The scanning electron microscope (SEM) photographs and temperature-programmed reduction (TPR) profiles indicated that the sintering of smaller nickel oxide crystallites to larger aggregates occurred concurrently with the formation of smaller nickel oxide crystallites from the oxidation of nickel at 800°C, and the sintering of smaller nickel oxide crystallites at 600°C was slower than that at 800°C. The SEM results showed that each Ni particle was separated into a lot of smaller NiO particles during oxidation. The TPO profiles showed that two kinds of nickel particles exist in the anode reduced at 800 and 600°C, one with high activity towards oxidation for the nickel crystallites directly from reduction, and another one with low activity towards oxidation for the sintered nickel particles. The Ni–YSZ anodes reduced at higher temperature showed higher re-oxidation temperature than the one reduced at lower temperature because of the accelerated passivating and sintering of the smaller nickel particles at higher temperature. The re-oxidation profiles were almost unchanged during redox cycling at 600°C, whereas the re-oxidation peak temperature decreased during redox cycling at 800°C, indicating that the primary nickel grains split to smaller ones upon cyclic reduction at higher temperature.","author":[{"dropping-particle":"","family":"Zhang","given":"Yun","non-dropping-particle":"","parse-names":false,"suffix":""},{"dropping-particle":"","family":"Liu","given":"Bin","non-dropping-particle":"","parse-names":false,"suffix":""},{"dropping-particle":"","family":"Tu","given":"Baofeng","non-dropping-particle":"","parse-names":false,"suffix":""},{"dropping-particle":"","family":"Dong","given":"Yonglai","non-dropping-particle":"","parse-names":false,"suffix":""},{"dropping-particle":"","family":"Cheng","given":"Mojie","non-dropping-particle":"","parse-names":false,"suffix":""}],"container-title":"Solid State Ionics","id":"ITEM-1","issue":"36-39","issued":{"date-parts":[["2009","12","8"]]},"page":"1580-1586","publisher":"Elsevier","title":"Understanding of redox behavior of Ni–YSZ cermets","type":"article-journal","volume":"180"},"uris":["http://www.mendeley.com/documents/?uuid=7b7a0a4c-8f57-3c59-8044-c27be116b07b"]},{"id":"ITEM-2","itemData":{"DOI":"10.1016/j.apcata.2008.11.004","ISSN":"0926860X","abstract":"Porous Ni/YSZ cermets (YSZ: yttria stabilized zirconia) have been extensively studied as anodes for solid oxide fuel cells (SOFCs) due to its low cost, high electrical conductivity, chemical stability, and thermal expansion coefficient close to that of YSZ-electrolyte. The properties of these anodes are highly dependent on the particle size and microstructure of the cermet. In the present work, Ni/YSZ cermet was prepared with 30 wt% of NiO by two different routes, co-precipitation (CP) and combustion (CB), and calcination at 600, 800 and 1000 °C. The prepared cermets were characterized by X-ray diffraction (XRD), scanning electron microscopy (SEM) and temperature programmed reduction (TPR). The mean crystallite size of NiO is smaller for CB samples (20-33 nm), showing a higher Ni dispersion of these systems. Also, CB samples presented a more homogeneous particle size distribution, mainly at high calcination temperatures. The cermets also presented good catalytic activity and stability at 900 °C in steam reforming of methane, showing high resistance to coke deposition and to sintering of metallic particles. © 2008 Elsevier B.V. All rights reserved.","author":[{"dropping-particle":"","family":"Ribeiro","given":"Nielson F.P.","non-dropping-particle":"","parse-names":false,"suffix":""},{"dropping-particle":"","family":"Souza","given":"Mariana M.V.M.","non-dropping-particle":"","parse-names":false,"suffix":""},{"dropping-particle":"","family":"Neto","given":"Octávio R.Macedo","non-dropping-particle":"","parse-names":false,"suffix":""},{"dropping-particle":"","family":"Vasconcelos","given":"Sônia M.R.","non-dropping-particle":"","parse-names":false,"suffix":""},{"dropping-particle":"","family":"Schmal","given":"Martin","non-dropping-particle":"","parse-names":false,"suffix":""}],"container-title":"Applied Catalysis A: General","id":"ITEM-2","issue":"2","issued":{"date-parts":[["2009"]]},"page":"305-309","title":"Investigating the microstructure and catalytic properties of Ni/YSZ cermets as anodes for SOFC applications","type":"article-journal","volume":"353"},"uris":["http://www.mendeley.com/documents/?uuid=30e3927c-38f7-44de-8216-11cfd6c0966e"]},{"id":"ITEM-3","itemData":{"DOI":"10.1021/ie00046a009","ISSN":"15205045","abstract":"The role of NO3− anion in the preparation of nickel catalysts detected by temperature-programmed reduction (TPR) and Fourier transform infrared spectroscopy was studied. Thermogravimetric analysis-mass spectrometry, X-ray photoelectron spectroscopy, and BET surface area were also used to evaluate the effect of calcination temperature. The role of NO3‒ anion is one of the key factors which determine the activities and properties of the prepared catalysts. Two reduction peaks, NO3− anion and NiO, of TPR were obtained for nickel catalyst drying at 110 °C. The results indicated that the reduction of NO3− anion occurs at 278 °C, and then nickel nitrate converts to Ni2O3 under hydrogen atmosphere. Nickel nitrate decomposed into NiO only and exhausted both NO and NO2‒ when it was calcined in air. On the basis of the results of BET, both surface area and pore volume of catalysts slightly increased and then decreased with calcination temperature. The average pore size was almost constant when calcination temperature was less than 1100 °C, after which it significantly increased. © 1995, American Chemical Society. All rights reserved.","author":[{"dropping-particle":"","family":"Ho","given":"Sheng Chung","non-dropping-particle":"","parse-names":false,"suffix":""},{"dropping-particle":"","family":"Chou","given":"Tse Chuan","non-dropping-particle":"","parse-names":false,"suffix":""}],"container-title":"Industrial and Engineering Chemistry Research","id":"ITEM-3","issue":"7","issued":{"date-parts":[["1995"]]},"page":"2279-2284","title":"The Role of Anion in the Preparation of Nickel Catalyst Detected by TPR and FTIR Spectra","type":"article-journal","volume":"34"},"uris":["http://www.mendeley.com/documents/?uuid=20d462c6-6517-41ec-a3ae-b19645b5c1d1"]},{"id":"ITEM-4","itemData":{"DOI":"10.1039/FT9928802075","ISSN":"09565000","abstract":"Three different kinds of nickel-containing species have been found in silica-supported nickel oxide samples according to their different reducibilities during temperature-programmed reduction (TPR). Species A is similar to bulk phase nickel oxide, species B is attributed to SiO4 containing nickel oxide particles and species C is a stoichiometric or non-stoichiometric nickel silicate. Examination of the effects of silica-supported NiO particle size on the reducibility shows that the difference in the ease of reduction of NiO crystallites may be caused by the penetration of silica into the lattice of NiO; moreover, the presence of SiO4 groups can retard the sintering of NiO.","author":[{"dropping-particle":"","family":"Zhang","given":"Lifeng","non-dropping-particle":"","parse-names":false,"suffix":""},{"dropping-particle":"","family":"Lin","given":"Junfan","non-dropping-particle":"","parse-names":false,"suffix":""},{"dropping-particle":"","family":"Chen","given":"Yi","non-dropping-particle":"","parse-names":false,"suffix":""}],"container-title":"Journal of the Chemical Society, Faraday Transactions","id":"ITEM-4","issue":"14","issued":{"date-parts":[["1992"]]},"page":"2075-2078","title":"Studies of surface NiO species in NiO/SiO2 catalysts using temperature-programmed reduction and X-ray diffraction","type":"article-journal","volume":"88"},"uris":["http://www.mendeley.com/documents/?uuid=558e1a67-978c-469a-b78a-1fd3f72bbab7"]}],"mendeley":{"formattedCitation":"[65], [114], [378], [379]","plainTextFormattedCitation":"[65], [114], [378], [379]","previouslyFormattedCitation":"[65], [114], [378], [379]"},"properties":{"noteIndex":0},"schema":"https://github.com/citation-style-language/schema/raw/master/csl-citation.json"}</w:instrText>
      </w:r>
      <w:r>
        <w:rPr>
          <w:rFonts w:eastAsiaTheme="minorEastAsia"/>
        </w:rPr>
        <w:fldChar w:fldCharType="separate"/>
      </w:r>
      <w:r w:rsidR="00237E21" w:rsidRPr="00237E21">
        <w:rPr>
          <w:rFonts w:eastAsiaTheme="minorEastAsia"/>
          <w:noProof/>
        </w:rPr>
        <w:t>[65], [114], [378], [379]</w:t>
      </w:r>
      <w:r>
        <w:rPr>
          <w:rFonts w:eastAsiaTheme="minorEastAsia"/>
        </w:rPr>
        <w:fldChar w:fldCharType="end"/>
      </w:r>
      <w:r>
        <w:rPr>
          <w:rFonts w:eastAsiaTheme="minorEastAsia"/>
        </w:rPr>
        <w:t>. This behaviour is identical to that of the catalyst present in the infiltrated fuel electrode. As the catalyst and current collector share the same composition, the fact that they share a length scale will reduce the initial R</w:t>
      </w:r>
      <w:r>
        <w:rPr>
          <w:rFonts w:eastAsiaTheme="minorEastAsia"/>
          <w:vertAlign w:val="subscript"/>
        </w:rPr>
        <w:t>P</w:t>
      </w:r>
      <w:r>
        <w:rPr>
          <w:rFonts w:eastAsiaTheme="minorEastAsia"/>
        </w:rPr>
        <w:t xml:space="preserve"> for the fuel electrode </w:t>
      </w:r>
      <w:r>
        <w:rPr>
          <w:rFonts w:eastAsiaTheme="minorEastAsia"/>
        </w:rPr>
        <w:fldChar w:fldCharType="begin" w:fldLock="1"/>
      </w:r>
      <w:r w:rsidR="00151775">
        <w:rPr>
          <w:rFonts w:eastAsiaTheme="minorEastAsia"/>
        </w:rPr>
        <w:instrText>ADDIN CSL_CITATION {"citationItems":[{"id":"ITEM-1","itemData":{"DOI":"10.1016/S0167-2738(99)00254-4","ISSN":"01672738","abstract":"The effects of various current collectors on the electrochemical property measurements of a Ni-YSZ cermet have been investigated. Electrochemical characteristics were determined by impedance spectroscopy (IS) at open-circuit voltage in H2-H2O atmosphere at 800 °C using a symmetrical cell. We selected various current collectors made of gold, platinum and nickel and with two different structures, paste and mesh. When using paste, the electrochemical response, recorded with the same Ni-YSZ cermet sample, depends greatly on the nature of the current collector. Polarization resistance values follow the order: Ni&lt;Pt&lt;Au. This is the same order as reported in the literature for the hydrogen electrochemical oxidation activities of these metals. This demonstrates that paste current collectors interfere with the electrochemical properties of the anode material. Therefore, in order to compare the electrochemical activities of various anode materials, the same current collector has to be used. We have also observed that the polarization resistance increases with time, due to metal particle diffusion through the Ni-YSZ cermet. When using a nickel mesh, the electrochemical properties do not vary with time. Moreover, the structure of this current collector is most similar to the interconnect materials, which are the current collectors in planar SOFCs. It is, therefore, the best current collector for the study of the electrochemical properties of Ni-YSZ cermet.","author":[{"dropping-particle":"","family":"Guillodo","given":"M.","non-dropping-particle":"","parse-names":false,"suffix":""},{"dropping-particle":"","family":"Vernoux","given":"P.","non-dropping-particle":"","parse-names":false,"suffix":""},{"dropping-particle":"","family":"Fouletier","given":"J.","non-dropping-particle":"","parse-names":false,"suffix":""}],"container-title":"Solid State Ionics","id":"ITEM-1","issue":"1-2","issued":{"date-parts":[["2000"]]},"page":"99-107","title":"Electrochemical properties of Ni-YSZ cermet in solid oxide fuel cells. Effect of current collecting","type":"article-journal","volume":"127"},"uris":["http://www.mendeley.com/documents/?uuid=1b59ad5f-6e71-4c86-8342-2445f4bf2a8c"]},{"id":"ITEM-2","itemData":{"DOI":"10.1149/2.010301eel","ISSN":"21628726","abstract":"The true functionality of a current collector employed in electrochemical cells is to ensure a low-resistance steady electrons flow between the cell and instrumentation without involving in any local electrochemical reactions of the electrode. In this study, we investigated the effect of curing temperature of a common current collector, silver, on the polarization area specific resistance (ASR) of a cathode. The results explicitly showed that at least one order of magnitude lower ASR for a cathode with Ag cured at 800C than that cured at 650C of the same cathode configuration. Microscopic analysis of the 800C-cured cells revealed a deep penetration and abundant distribution of Ag into the cathode/electrolyte interfacial region. These finely dispersed and highly conductive Ag particles/agglomerates areORR(oxygen reduction reaction)-active, thus engaging in the local electrochemical reaction and overshadowing the true properties of the cathode under investigation. Based on these results, we call for caution when using Ag as a current collector for electrochemical measurements, particularly at a temperature 650C. © 2012 The Electrochemical Society.","author":[{"dropping-particle":"","family":"Gong","given":"Yunhui","non-dropping-particle":"","parse-names":false,"suffix":""},{"dropping-particle":"","family":"Qin","given":"Changyong","non-dropping-particle":"","parse-names":false,"suffix":""},{"dropping-particle":"","family":"Huang","given":"Kevin","non-dropping-particle":"","parse-names":false,"suffix":""}],"container-title":"ECS Electrochemistry Letters","id":"ITEM-2","issue":"1","issued":{"date-parts":[["2013"]]},"page":"4-7","title":"Can silver be a reliable current collector for electrochemical tests","type":"article-journal","volume":"2"},"uris":["http://www.mendeley.com/documents/?uuid=4f1a812e-2e83-4aa9-a258-2b5439f77fe0"]}],"mendeley":{"formattedCitation":"[438], [441]","plainTextFormattedCitation":"[438], [441]","previouslyFormattedCitation":"[438], [441]"},"properties":{"noteIndex":0},"schema":"https://github.com/citation-style-language/schema/raw/master/csl-citation.json"}</w:instrText>
      </w:r>
      <w:r>
        <w:rPr>
          <w:rFonts w:eastAsiaTheme="minorEastAsia"/>
        </w:rPr>
        <w:fldChar w:fldCharType="separate"/>
      </w:r>
      <w:r w:rsidR="008B6E91" w:rsidRPr="008B6E91">
        <w:rPr>
          <w:rFonts w:eastAsiaTheme="minorEastAsia"/>
          <w:noProof/>
        </w:rPr>
        <w:t>[438], [441]</w:t>
      </w:r>
      <w:r>
        <w:rPr>
          <w:rFonts w:eastAsiaTheme="minorEastAsia"/>
        </w:rPr>
        <w:fldChar w:fldCharType="end"/>
      </w:r>
      <w:r>
        <w:rPr>
          <w:rFonts w:eastAsiaTheme="minorEastAsia"/>
        </w:rPr>
        <w:t>.</w:t>
      </w:r>
    </w:p>
    <w:p w14:paraId="76DF2C3A" w14:textId="297B67BA" w:rsidR="00007F6C" w:rsidRDefault="00007F6C" w:rsidP="00007F6C">
      <w:pPr>
        <w:jc w:val="both"/>
        <w:rPr>
          <w:rFonts w:eastAsiaTheme="minorEastAsia"/>
        </w:rPr>
      </w:pPr>
      <w:r>
        <w:rPr>
          <w:rFonts w:eastAsiaTheme="minorEastAsia"/>
        </w:rPr>
        <w:t xml:space="preserve">This was evident during the equivalent circuit modelling, where the third component connected in series was an RC component. This was to model the breakdown of the nickel current collector and subsequent opening of the pores </w:t>
      </w:r>
      <w:r>
        <w:rPr>
          <w:rFonts w:eastAsiaTheme="minorEastAsia"/>
        </w:rPr>
        <w:fldChar w:fldCharType="begin" w:fldLock="1"/>
      </w:r>
      <w:r w:rsidR="008446C6">
        <w:rPr>
          <w:rFonts w:eastAsiaTheme="minorEastAsia"/>
        </w:rPr>
        <w:instrText>ADDIN CSL_CITATION {"citationItems":[{"id":"ITEM-1","itemData":{"DOI":"http://dx.doi.org/10.1016/S0167-2738(00)00652-4","ISBN":"0167-2738","ISSN":"01672738","abstract":"As the anode of a solid oxide fuel cell, Ni/YSZ cermet material was investigated. We measured the power output, IR resistance and polarization resistance as a function of the Ni/YSZ volume ratio. IR resistance decreased as the Ni/YSZ ratio was increased. The linear relationship between IR resistance and the reciprocal values of the nickel surface area indicates that the contact resistance between the electrolyte and the anode dominated IR resistance. On the other hand, polarization resistance increased as the Ni/YSZ ratio was increased. Analysis of AC impedance plots indicated that polarization resistance contributed to the number of reaction sites which were ascribed to the triple boundary layer. Moreover, the boundary between nickel particles and zirconia particles in the anode worked as the triple boundary layer. Furthermore, we proposed the double layer anode, which consisted of the interfacial layer and the bulk layer. A cell with a double layer anode exhibited high performance. The interfacial layer and the bulk layer had a strong effect on IR resistance and polarization resistance, respectively.","author":[{"dropping-particle":"","family":"Koide","given":"Hideto","non-dropping-particle":"","parse-names":false,"suffix":""},{"dropping-particle":"","family":"Someya","given":"Yoshiyuki","non-dropping-particle":"","parse-names":false,"suffix":""},{"dropping-particle":"","family":"Yoshida","given":"Toshihiko","non-dropping-particle":"","parse-names":false,"suffix":""},{"dropping-particle":"","family":"Maruyama","given":"Toshio","non-dropping-particle":"","parse-names":false,"suffix":""}],"container-title":"Solid State Ionics","id":"ITEM-1","issue":"3–4","issued":{"date-parts":[["2000"]]},"page":"253-260","title":"Properties of Ni/YSZ cermet as anode for SOFC","type":"article-journal","volume":"132"},"uris":["http://www.mendeley.com/documents/?uuid=1d7fd03d-1d84-4204-97cc-c8fb2e0cd374"]},{"id":"ITEM-2","itemData":{"DOI":"10.1109/IFOST.2006.312228","abstract":"This paper used composite multi-layer tape casting technique successfully in fabricating Ni-YSZ/YSZ anode/ electrolyte composite ceramic of planar intermediate-temperature solid oxide fuel cell (IT-SOFC). The anode was designed as a double-layer structure, which consisted of an anode substrate and an anode functional layer. This design optimized anode microstructure and improved its performances. This design made anode match electrolyte well during the co-sintering process. The anode conductivity was higher than 1000 S-cm&lt;sup&gt;-1&lt;/sup&gt; at 800degC. The TEC of the composite ceramic was 12.1times10-6 K&lt;sup&gt;-1&lt;/sup&gt;, which matched those of inter connector and sealant. When NiO content of functional layer was 50 mass%, the current density was about 80 mA-cm&lt;sup&gt;-2&lt;/sup&gt; at an overpotential of 0.1 V. EIS measurement showed that anodic catalytic activity and interfacial resistances were main factors affecting electrode performance. Unit cells were assembled and tested after above performances were measured.","author":[{"dropping-particle":"","family":"Koong","given":"J","non-dropping-particle":"","parse-names":false,"suffix":""},{"dropping-particle":"","family":"Sun","given":"K","non-dropping-particle":"","parse-names":false,"suffix":""},{"dropping-particle":"","family":"Zhou","given":"D","non-dropping-particle":"","parse-names":false,"suffix":""},{"dropping-particle":"","family":"Qiao","given":"J","non-dropping-particle":"","parse-names":false,"suffix":""},{"dropping-particle":"","family":"Li","given":"J","non-dropping-particle":"","parse-names":false,"suffix":""}],"container-title":"2006 International Forum on Strategic Technology","id":"ITEM-2","issued":{"date-parts":[["2006"]]},"page":"186-189","title":"Anode-Supported IT-SOFC anode Prepared by Tape Casting Technique","type":"paper-conference"},"uris":["http://www.mendeley.com/documents/?uuid=4b15b9f6-8730-40ba-b550-3f6e164fba9d"]},{"id":"ITEM-3","itemData":{"DOI":"10.1016/j.jpowsour.2020.228072","ISSN":"03787753","abstract":"In this study, electrolyte-supported (Cell A) and anode-supported (Cell B) micro-tubular solid oxide fuel cells (SOFCs) based on the La9.8Si5.7Mg0.3O26±δ (LSMO) electrolyte is built through an extrusion and dip-coating processes. The formulations and process conditions for these cells are established and optimized. Both cell configurations show no visible delamination or cracking, and reaction zones and inter-diffusion of any species are absent at the interfaces of the multilayer structures. The micro-tubes LSMO and LSMO-NiO have a high flexural strength of ~70 MPa. Cell B with a 3.33 mm outer diameter, a 12 μm LSMO electrolyte layer, a ~300 μm LSMO-NiO functional anode layer, a 9 μm NiO current-collector layer, and a 44 μm La0.6Sr0.4Co0.2Fe0.8O3-δ cathode layer has superior electrochemical performances than does Cell A. The polarization resistance (Rp) value for Cell B accounts for 67.6% and 50.5% of the total resistance (Rt) value at 700 °C and 895 °C, respectively, suggesting that Rp dominates at low temperatures and ohmic resistance (Ro) and Rp values are equally important at high temperatures. Cell B's open-circuit voltages (OCVs) are slightly below the theoretical value due to poor sealing of cells. The maximum power densities (MPDs) of Cell B, increase with increasing operating temperature and are 0.12, 0.24, and 0.27 W cm−2 at 750 °C, 850 °C, and 895 °C, respectively. Compared to Cell A, Cell B displays lower OCV values but higher MPD (0.27 W cm−2 vs. 0.06 W cm−2 at 895 °C) due to its significantly lower Ro value, mainly due to the thin layer of LSMO electrolytes.","author":[{"dropping-particle":"","family":"Wang","given":"Sea Fue","non-dropping-particle":"","parse-names":false,"suffix":""},{"dropping-particle":"","family":"Hsu","given":"Yung Fu","non-dropping-particle":"","parse-names":false,"suffix":""},{"dropping-particle":"","family":"Hsia","given":"Pu","non-dropping-particle":"","parse-names":false,"suffix":""},{"dropping-particle":"","family":"Hung","given":"Wei Kai","non-dropping-particle":"","parse-names":false,"suffix":""},{"dropping-particle":"","family":"Jasinski","given":"Piotr","non-dropping-particle":"","parse-names":false,"suffix":""}],"container-title":"Journal of Power Sources","id":"ITEM-3","issue":"March","issued":{"date-parts":[["2020"]]},"page":"228072","publisher":"Elsevier B.V.","title":"Design and characterization of apatite La9.8Si5.7Mg0.3O26±δ-based micro-tubular solid oxide fuel cells","type":"article-journal","volume":"460"},"uris":["http://www.mendeley.com/documents/?uuid=4097bfcc-215d-45d3-8127-cb6744236f4f"]}],"mendeley":{"formattedCitation":"[440], [472], [473]","plainTextFormattedCitation":"[440], [472], [473]","previouslyFormattedCitation":"[440], [472], [473]"},"properties":{"noteIndex":0},"schema":"https://github.com/citation-style-language/schema/raw/master/csl-citation.json"}</w:instrText>
      </w:r>
      <w:r>
        <w:rPr>
          <w:rFonts w:eastAsiaTheme="minorEastAsia"/>
        </w:rPr>
        <w:fldChar w:fldCharType="separate"/>
      </w:r>
      <w:r w:rsidR="00A77A83" w:rsidRPr="00A77A83">
        <w:rPr>
          <w:rFonts w:eastAsiaTheme="minorEastAsia"/>
          <w:noProof/>
        </w:rPr>
        <w:t>[440], [472], [473]</w:t>
      </w:r>
      <w:r>
        <w:rPr>
          <w:rFonts w:eastAsiaTheme="minorEastAsia"/>
        </w:rPr>
        <w:fldChar w:fldCharType="end"/>
      </w:r>
      <w:r>
        <w:rPr>
          <w:rFonts w:eastAsiaTheme="minorEastAsia"/>
        </w:rPr>
        <w:t xml:space="preserve">. There was no presence of the low frequency impedance arc associated with the gas diffusion impedance in the Nyquist plots for the </w:t>
      </w:r>
      <w:proofErr w:type="spellStart"/>
      <w:r>
        <w:rPr>
          <w:rFonts w:eastAsiaTheme="minorEastAsia"/>
        </w:rPr>
        <w:t>NiO</w:t>
      </w:r>
      <w:proofErr w:type="spellEnd"/>
      <w:r>
        <w:rPr>
          <w:rFonts w:eastAsiaTheme="minorEastAsia"/>
        </w:rPr>
        <w:t xml:space="preserve"> coated samples </w:t>
      </w:r>
      <w:r>
        <w:rPr>
          <w:rFonts w:eastAsiaTheme="minorEastAsia"/>
        </w:rPr>
        <w:fldChar w:fldCharType="begin" w:fldLock="1"/>
      </w:r>
      <w:r w:rsidR="008446C6">
        <w:rPr>
          <w:rFonts w:eastAsiaTheme="minorEastAsia"/>
        </w:rPr>
        <w:instrText>ADDIN CSL_CITATION {"citationItems":[{"id":"ITEM-1","itemData":{"ISBN":"9036513375","abstract":"This thesis deals with the porous Ni/yttria-stabilized zirconia (YSZ) cermet anode on a YSZ electrolyte for solid oxide fuel cells (SOFC). Such anodes are predominantly operated in moist hydrogen at 700C to 1000C, and the most important technological parameters are the polarization resistance and the long-term stability. The polarization resistance can be measured by a number of techniques, in the present work impedance spectroscopy has been used extensively. By impedance spectroscopy limiting processes in the anode polarization resistance may often be separated and characterized individually, provided they have a reasonable separation in time constants. Three limiting processes are recognized in impedance spectra obtained on technological Ni/YSZ cermet anodes characterized against a stable reference electrode atmosphere. By parameter studies and illustrative experiments, the two contributions at low and medium frequency have been identified as gas conversion and diffusion limitations, respectively. Both of these effects are concentration limitations relating to the inefficient exchange of fuel gas in the test setup outside the porous cermet. A test setup geometry where these concentration effects are avoided for high-performance electrodes is recommended. The high frequency limitation is demonstrated to relate to the cermet structure. The dependence on gas composition, temperature, adsorbed species (sulfur), isotopes (H/D), sintering temperature and cermet thickness is investigated. Despite these studies and several similar studies by others, the exact chemical or physical nature of the limiting step has not been incontestably identified. However, there is a general consensus in literature about the hydrogen oxidation process taking place on or near to the triple phase boundary (TPB) line, where open gas-filled pores, the continuous electrolyte phase (oxide ion conductor) and the continuous Ni phase (electronic conductor) meet. The physical thickness of a cermet anode that contains active TPB sites contributing to the current density of an SOFC is demonstrated to be about 10 µm. This result has technological importance, as any overlying structure serves primarily as a current collector and needs not be optimized for transport of oxide ions. The anode durability is investigated over 1300 to 1900 hrs at 300 mA/cm2 and shown to be stable at 1050C. At 1000C a degradation rate of about 10 mΩcm2 /1000 hrs is observed, and at 850C a degradation rate of about …","author":[{"dropping-particle":"","family":"Primdahl Søren","given":"","non-dropping-particle":"","parse-names":false,"suffix":""}],"id":"ITEM-1","issued":{"date-parts":[["1999"]]},"number-of-pages":"203","publisher":"Universiteit Twente","title":"Nickel/yttria-stabilised zirconia cermet anodes for solid oxide fuel cells","type":"thesis","volume":"PhD"},"uris":["http://www.mendeley.com/documents/?uuid=b5eb20fd-771f-43c0-a371-cfe04779cade"]},{"id":"ITEM-2","itemData":{"DOI":"http://dx.doi.org/10.1016/S0167-2738(99)00299-4","ISSN":"0167-2738","abstract":"The electrochemical performance of a porous nickel electrode with its surface modified by deposition with fine yttria-stabilised zirconia (YSZ) powder is compared with that of the ‘bare’ electrode. Image analysis of the electrode microstructure yields values for the triple phase boundary (TPB) length in the range of 45–61 m cm−2. The nickel coverage is in the range of 55–72%. The hydrogen oxidation reaction studied on the two types of electrodes indicates that the electrode reaction is dominated by one process, suggesting a common rate-determining step. The total electrode conductivity increases with increasing TPB length. However, at similar TPB length the electrode conductivity of the modified porous nickel electrode is considerably higher than that of the bare nickel electrode. This result indicates that the presence of fine YSZ particles on the nickel electrode surface creates additional active sites onto which the electrode reaction can proceed. The data of this study are interpreted to reflect an active role for YSZ in the Ni/YSZ SOFC cermet anode.","author":[{"dropping-particle":"","family":"Boer","given":"B","non-dropping-particle":"de","parse-names":false,"suffix":""},{"dropping-particle":"","family":"Gonzalez","given":"M","non-dropping-particle":"","parse-names":false,"suffix":""},{"dropping-particle":"","family":"Bouwmeester","given":"H J M","non-dropping-particle":"","parse-names":false,"suffix":""},{"dropping-particle":"","family":"Verweij","given":"H","non-dropping-particle":"","parse-names":false,"suffix":""}],"container-title":"Solid State Ionics","id":"ITEM-2","issue":"3–4","issued":{"date-parts":[["2000","1","2"]]},"page":"269-276","title":"The effect of the presence of fine YSZ particles on the performance of porous nickel electrodes","type":"article-journal","volume":"127"},"uris":["http://www.mendeley.com/documents/?uuid=16f3745f-b92b-405c-ba9b-eaad729491bf"]},{"id":"ITEM-3","itemData":{"DOI":"10.1149/2.084311jes","ISBN":"0272-8842","ISSN":"0013-4651","abstract":"The microstructural evolution of Ni -Yttria-Stabilized Zirconia (YSZ) anode functional layers in anode-supported solid oxide fuel cells was studied after aging in humidified hydrogen at temperatures from 900–1100 • C and times up to 500 h. The relatively large (</w:instrText>
      </w:r>
      <w:r w:rsidR="008446C6">
        <w:rPr>
          <w:rFonts w:ascii="Cambria Math" w:eastAsiaTheme="minorEastAsia" w:hAnsi="Cambria Math" w:cs="Cambria Math"/>
        </w:rPr>
        <w:instrText>∼</w:instrText>
      </w:r>
      <w:r w:rsidR="008446C6">
        <w:rPr>
          <w:rFonts w:eastAsiaTheme="minorEastAsia"/>
        </w:rPr>
        <w:instrText xml:space="preserve">6000 </w:instrText>
      </w:r>
      <w:r w:rsidR="008446C6">
        <w:rPr>
          <w:rFonts w:ascii="Calibri" w:eastAsiaTheme="minorEastAsia" w:hAnsi="Calibri" w:cs="Calibri"/>
        </w:rPr>
        <w:instrText>μ</w:instrText>
      </w:r>
      <w:r w:rsidR="008446C6">
        <w:rPr>
          <w:rFonts w:eastAsiaTheme="minorEastAsia"/>
        </w:rPr>
        <w:instrText>m 3) three-dimensional transmission X-ray microscopy images provided good statistics in measured microstructural data. Feature sizes in the YSZ and Ni phases changed little until the highest temperature and time, whereas the pore phase feature size increased for all temperatures and times. Ni-YSZ interfacial area increased at the expense of pore-YSZ interfaces after moderate annealing, with a general decrease in interfacial areas observed at longer times and higher temperatures. Three-phase boundary (TPB) density decreased rapidly initially, but then more slowly, with increasing annealing temperature and time. Electrochemical impedance spectroscopy measurements showed a corresponding increase in the anode response associated with electrochemical hydrogen oxidation at TPBs. A higher fraction of isolated pores and larger pore tortuosity was observed at intermediate annealing temperatures and times, with a corresponding increase in the gas diffusion impedance response. Solid oxide fuel cell (SOFC) systems are being developed mainly for stationary power generation, where they should operate with minimal performance loss at elevated temperature for at least 40,000 hours. 1 Achieving minimal long-term degradation is thus crit-ical to the commercialization these systems. Coarsening of Ni parti-cles in nickel – yttria stabilized zirconia (Ni-YSZ) anodes has been reported as a reason for SOFC performance degradation. 2–4 While these studies have mostly quantified Ni coarsening, it is also desir-able to have a more complete description of Ni-YSZ anode structural evolution including the YSZ and pore phases, since the electrode po-larization resistance depends on many structural factors. Furthermore, Ni-YSZ anodes with different characteristic microstructures – includ-ing the volume fractions of the solid and pore phases, particle sizes, etc. – will presumably evolve differently for a given set of operating conditions. For example, Cronin et al. 5 suggested that anodes with low Ni content and low pore volume are less susceptible to Ni coars-ening. Thus, it is important to provide a full description of the anode microstructure in studies of microstructural evolution. Focused ion beam – scanning electro…","author":[{"dropping-particle":"","family":"Chen-Wiegart","given":"Yu-chen Karen","non-dropping-particle":"","parse-names":false,"suffix":""},{"dropping-particle":"","family":"Barnett","given":"Scott A.","non-dropping-particle":"","parse-names":false,"suffix":""},{"dropping-particle":"","family":"Cronin","given":"J. Scott","non-dropping-particle":"","parse-names":false,"suffix":""},{"dropping-particle":"","family":"Wang","given":"Jun","non-dropping-particle":"","parse-names":false,"suffix":""},{"dropping-particle":"","family":"Kennouche","given":"David","non-dropping-particle":"","parse-names":false,"suffix":""}],"container-title":"Journal of The Electrochemical Society","id":"ITEM-3","issue":"11","issued":{"date-parts":[["2013"]]},"page":"F1293-F1304","title":"Three-Dimensional Microstructural Evolution of Ni- Yttria-Stabilized Zirconia Solid Oxide Fuel Cell Anodes At Elevated Temperatures","type":"article-journal","volume":"160"},"uris":["http://www.mendeley.com/documents/?uuid=98a97c86-79e2-40d1-a240-7177272192b1"]}],"mendeley":{"formattedCitation":"[428], [460], [481]","plainTextFormattedCitation":"[428], [460], [481]","previouslyFormattedCitation":"[428], [460], [481]"},"properties":{"noteIndex":0},"schema":"https://github.com/citation-style-language/schema/raw/master/csl-citation.json"}</w:instrText>
      </w:r>
      <w:r>
        <w:rPr>
          <w:rFonts w:eastAsiaTheme="minorEastAsia"/>
        </w:rPr>
        <w:fldChar w:fldCharType="separate"/>
      </w:r>
      <w:r w:rsidR="00A77A83" w:rsidRPr="00A77A83">
        <w:rPr>
          <w:rFonts w:eastAsiaTheme="minorEastAsia"/>
          <w:noProof/>
        </w:rPr>
        <w:t>[428], [460], [481]</w:t>
      </w:r>
      <w:r>
        <w:rPr>
          <w:rFonts w:eastAsiaTheme="minorEastAsia"/>
        </w:rPr>
        <w:fldChar w:fldCharType="end"/>
      </w:r>
      <w:r>
        <w:rPr>
          <w:rFonts w:eastAsiaTheme="minorEastAsia"/>
        </w:rPr>
        <w:t xml:space="preserve">. </w:t>
      </w:r>
    </w:p>
    <w:p w14:paraId="6AB0B2BD" w14:textId="674A740F" w:rsidR="00007F6C" w:rsidRPr="00A16F5A" w:rsidRDefault="00007F6C" w:rsidP="00007F6C">
      <w:pPr>
        <w:jc w:val="both"/>
        <w:rPr>
          <w:rFonts w:eastAsiaTheme="minorEastAsia"/>
        </w:rPr>
      </w:pPr>
      <w:r>
        <w:rPr>
          <w:rFonts w:eastAsiaTheme="minorEastAsia"/>
        </w:rPr>
        <w:t xml:space="preserve">After 50 h of ageing, the smallest increase in the polarisation resistance was observed by the nickel paste unlike the precious metal current collectors. The micrographs of the surface of each of the current collectors showed a de-wetting mechanism present in each of the materials. Only the Ni-YSZ sample coated in nickel current collectors remained conductive post-ageing. This indicates that the breakdown of the gold and silver current collectors has reduced the electrical conductivity of the layer, the antithesis of the role. This de-wetting behaviour in gold was also recorded in scanning electron micrographs by </w:t>
      </w:r>
      <w:proofErr w:type="spellStart"/>
      <w:r w:rsidRPr="00A16F5A">
        <w:rPr>
          <w:rFonts w:eastAsiaTheme="minorEastAsia"/>
        </w:rPr>
        <w:t>Guillodo</w:t>
      </w:r>
      <w:proofErr w:type="spellEnd"/>
      <w:r w:rsidRPr="00A16F5A">
        <w:rPr>
          <w:rFonts w:eastAsiaTheme="minorEastAsia"/>
        </w:rPr>
        <w:t xml:space="preserve"> et al</w:t>
      </w:r>
      <w:r>
        <w:rPr>
          <w:rFonts w:eastAsiaTheme="minorEastAsia"/>
        </w:rPr>
        <w:t xml:space="preserve"> </w:t>
      </w:r>
      <w:r>
        <w:rPr>
          <w:rFonts w:eastAsiaTheme="minorEastAsia"/>
        </w:rPr>
        <w:fldChar w:fldCharType="begin" w:fldLock="1"/>
      </w:r>
      <w:r w:rsidR="00151775">
        <w:rPr>
          <w:rFonts w:eastAsiaTheme="minorEastAsia"/>
        </w:rPr>
        <w:instrText>ADDIN CSL_CITATION {"citationItems":[{"id":"ITEM-1","itemData":{"DOI":"10.1016/S0167-2738(99)00254-4","ISSN":"01672738","abstract":"The effects of various current collectors on the electrochemical property measurements of a Ni-YSZ cermet have been investigated. Electrochemical characteristics were determined by impedance spectroscopy (IS) at open-circuit voltage in H2-H2O atmosphere at 800 °C using a symmetrical cell. We selected various current collectors made of gold, platinum and nickel and with two different structures, paste and mesh. When using paste, the electrochemical response, recorded with the same Ni-YSZ cermet sample, depends greatly on the nature of the current collector. Polarization resistance values follow the order: Ni&lt;Pt&lt;Au. This is the same order as reported in the literature for the hydrogen electrochemical oxidation activities of these metals. This demonstrates that paste current collectors interfere with the electrochemical properties of the anode material. Therefore, in order to compare the electrochemical activities of various anode materials, the same current collector has to be used. We have also observed that the polarization resistance increases with time, due to metal particle diffusion through the Ni-YSZ cermet. When using a nickel mesh, the electrochemical properties do not vary with time. Moreover, the structure of this current collector is most similar to the interconnect materials, which are the current collectors in planar SOFCs. It is, therefore, the best current collector for the study of the electrochemical properties of Ni-YSZ cermet.","author":[{"dropping-particle":"","family":"Guillodo","given":"M.","non-dropping-particle":"","parse-names":false,"suffix":""},{"dropping-particle":"","family":"Vernoux","given":"P.","non-dropping-particle":"","parse-names":false,"suffix":""},{"dropping-particle":"","family":"Fouletier","given":"J.","non-dropping-particle":"","parse-names":false,"suffix":""}],"container-title":"Solid State Ionics","id":"ITEM-1","issue":"1-2","issued":{"date-parts":[["2000"]]},"page":"99-107","title":"Electrochemical properties of Ni-YSZ cermet in solid oxide fuel cells. Effect of current collecting","type":"article-journal","volume":"127"},"uris":["http://www.mendeley.com/documents/?uuid=1b59ad5f-6e71-4c86-8342-2445f4bf2a8c"]}],"mendeley":{"formattedCitation":"[438]","plainTextFormattedCitation":"[438]","previouslyFormattedCitation":"[438]"},"properties":{"noteIndex":0},"schema":"https://github.com/citation-style-language/schema/raw/master/csl-citation.json"}</w:instrText>
      </w:r>
      <w:r>
        <w:rPr>
          <w:rFonts w:eastAsiaTheme="minorEastAsia"/>
        </w:rPr>
        <w:fldChar w:fldCharType="separate"/>
      </w:r>
      <w:r w:rsidR="008B6E91" w:rsidRPr="008B6E91">
        <w:rPr>
          <w:rFonts w:eastAsiaTheme="minorEastAsia"/>
          <w:noProof/>
        </w:rPr>
        <w:t>[438]</w:t>
      </w:r>
      <w:r>
        <w:rPr>
          <w:rFonts w:eastAsiaTheme="minorEastAsia"/>
        </w:rPr>
        <w:fldChar w:fldCharType="end"/>
      </w:r>
      <w:r>
        <w:rPr>
          <w:rFonts w:eastAsiaTheme="minorEastAsia"/>
        </w:rPr>
        <w:t xml:space="preserve">. </w:t>
      </w:r>
    </w:p>
    <w:p w14:paraId="17C5FEAA" w14:textId="02E5D8A5" w:rsidR="00007F6C" w:rsidRPr="006647B8" w:rsidRDefault="00007F6C" w:rsidP="00FE4B6B">
      <w:pPr>
        <w:spacing w:line="240" w:lineRule="auto"/>
        <w:jc w:val="both"/>
        <w:rPr>
          <w:rFonts w:eastAsiaTheme="minorEastAsia"/>
        </w:rPr>
      </w:pPr>
      <w:r>
        <w:rPr>
          <w:rFonts w:eastAsiaTheme="minorEastAsia"/>
        </w:rPr>
        <w:t xml:space="preserve">The alloying effect displayed by the gold, does not appear to have occurred for the platinum, silver, or nickel current collector materials. Neither of these metals have been documented to exhibit the formation of any eutectics or alloys with the infiltrated nickel catalyst </w:t>
      </w:r>
      <w:r>
        <w:rPr>
          <w:rFonts w:eastAsiaTheme="minorEastAsia"/>
        </w:rPr>
        <w:fldChar w:fldCharType="begin" w:fldLock="1"/>
      </w:r>
      <w:r w:rsidR="008446C6">
        <w:rPr>
          <w:rFonts w:eastAsiaTheme="minorEastAsia"/>
        </w:rPr>
        <w:instrText>ADDIN CSL_CITATION {"citationItems":[{"id":"ITEM-1","itemData":{"DOI":"10.1016/S0167-2738(99)00254-4","ISSN":"01672738","abstract":"The effects of various current collectors on the electrochemical property measurements of a Ni-YSZ cermet have been investigated. Electrochemical characteristics were determined by impedance spectroscopy (IS) at open-circuit voltage in H2-H2O atmosphere at 800 °C using a symmetrical cell. We selected various current collectors made of gold, platinum and nickel and with two different structures, paste and mesh. When using paste, the electrochemical response, recorded with the same Ni-YSZ cermet sample, depends greatly on the nature of the current collector. Polarization resistance values follow the order: Ni&lt;Pt&lt;Au. This is the same order as reported in the literature for the hydrogen electrochemical oxidation activities of these metals. This demonstrates that paste current collectors interfere with the electrochemical properties of the anode material. Therefore, in order to compare the electrochemical activities of various anode materials, the same current collector has to be used. We have also observed that the polarization resistance increases with time, due to metal particle diffusion through the Ni-YSZ cermet. When using a nickel mesh, the electrochemical properties do not vary with time. Moreover, the structure of this current collector is most similar to the interconnect materials, which are the current collectors in planar SOFCs. It is, therefore, the best current collector for the study of the electrochemical properties of Ni-YSZ cermet.","author":[{"dropping-particle":"","family":"Guillodo","given":"M.","non-dropping-particle":"","parse-names":false,"suffix":""},{"dropping-particle":"","family":"Vernoux","given":"P.","non-dropping-particle":"","parse-names":false,"suffix":""},{"dropping-particle":"","family":"Fouletier","given":"J.","non-dropping-particle":"","parse-names":false,"suffix":""}],"container-title":"Solid State Ionics","id":"ITEM-1","issue":"1-2","issued":{"date-parts":[["2000"]]},"page":"99-107","title":"Electrochemical properties of Ni-YSZ cermet in solid oxide fuel cells. Effect of current collecting","type":"article-journal","volume":"127"},"uris":["http://www.mendeley.com/documents/?uuid=1b59ad5f-6e71-4c86-8342-2445f4bf2a8c"]},{"id":"ITEM-2","itemData":{"DOI":"10.1016/j.jpowsour.2011.01.027","ISBN":"0378-7753","ISSN":"03787753","abstract":"A study is presented on the degradation of platinum alloy cathode catalysts operated in phosphoric acid fuel cells. The impact of time and temperature on the fundamental decay mechanism was studied with a surface area loss model and experimental electrochemical surface area measurements. It is suggested that platinum particle migration on the carbon support surface is the dominant mechanism for surface area change in these catalysts. © 2011 Elsevier B.V. All rights reserved.","author":[{"dropping-particle":"","family":"Aindow","given":"T. T.","non-dropping-particle":"","parse-names":false,"suffix":""},{"dropping-particle":"","family":"Haug","given":"A. T.","non-dropping-particle":"","parse-names":false,"suffix":""},{"dropping-particle":"","family":"Jayne","given":"D.","non-dropping-particle":"","parse-names":false,"suffix":""}],"container-title":"Journal of Power Sources","id":"ITEM-2","issue":"10","issued":{"date-parts":[["2011"]]},"page":"4506-4514","title":"Platinum catalyst degradation in phosphoric acid fuel cells for stationary applications","type":"article-journal","volume":"196"},"uris":["http://www.mendeley.com/documents/?uuid=81c88665-8221-472a-88ec-42116f41d9ed"]},{"id":"ITEM-3","itemData":{"author":[{"dropping-particle":"","family":"Mcdonald","given":"By Donald","non-dropping-particle":"","parse-names":false,"suffix":""}],"id":"ITEM-3","issued":{"date-parts":[["1958"]]},"page":"55-60","title":"The History of the Melting of Platinum","type":"article-journal"},"uris":["http://www.mendeley.com/documents/?uuid=18325f59-410f-45bc-a7d2-41d6d8cff69d"]},{"id":"ITEM-4","itemData":{"DOI":"10.1007/s40243-018-0123-y","ISBN":"0123456789","ISSN":"21941467","abstract":"In this paper, the behaviour of silver as cathode conductive material, interconnect wire, and sealing for anode lead connection for microtubular solid oxide fuel cells (µSOFC) is reported. The changes in silver morphology are examined by scanning electron microscopy on cells that had been operated under reformed methane. It is found that using silver in an solid oxide fuel cell (SOFC) stack can improve the cell performance. However, it is also concluded that silver may be responsible for cell degradation. This report brings together and explains all the known problems with application of silver for SOFCs. The results show that silver is unstable in interconnect and in cathode environments. It is found that the process of cell passivation/activation promotes silver migration. The difference in thermal expansion of silver and sealant results in damage to the glass. It is concluded that when silver is exposed to a dual atmosphere condition, high levels of porosity formation is seen in the dense silver interconnect. The relevance of application of silver in SOFC stacks is discussed.","author":[{"dropping-particle":"","family":"Majewski","given":"Artur J.","non-dropping-particle":"","parse-names":false,"suffix":""},{"dropping-particle":"","family":"Dhir","given":"Aman","non-dropping-particle":"","parse-names":false,"suffix":""}],"container-title":"Materials for Renewable and Sustainable Energy","id":"ITEM-4","issue":"3","issued":{"date-parts":[["2018"]]},"page":"1-13","publisher":"Springer Berlin Heidelberg","title":"Application of silver in microtubular solid oxide fuel cells","type":"article-journal","volume":"7"},"uris":["http://www.mendeley.com/documents/?uuid=79eb06da-638d-45c6-af3a-6f20e4c857b7"]}],"mendeley":{"formattedCitation":"[438], [442], [482], [483]","plainTextFormattedCitation":"[438], [442], [482], [483]","previouslyFormattedCitation":"[438], [442], [482], [483]"},"properties":{"noteIndex":0},"schema":"https://github.com/citation-style-language/schema/raw/master/csl-citation.json"}</w:instrText>
      </w:r>
      <w:r>
        <w:rPr>
          <w:rFonts w:eastAsiaTheme="minorEastAsia"/>
        </w:rPr>
        <w:fldChar w:fldCharType="separate"/>
      </w:r>
      <w:r w:rsidR="00A77A83" w:rsidRPr="00A77A83">
        <w:rPr>
          <w:rFonts w:eastAsiaTheme="minorEastAsia"/>
          <w:noProof/>
        </w:rPr>
        <w:t>[438], [442], [482], [483]</w:t>
      </w:r>
      <w:r>
        <w:rPr>
          <w:rFonts w:eastAsiaTheme="minorEastAsia"/>
        </w:rPr>
        <w:fldChar w:fldCharType="end"/>
      </w:r>
      <w:r>
        <w:rPr>
          <w:rFonts w:eastAsiaTheme="minorEastAsia"/>
        </w:rPr>
        <w:t xml:space="preserve">. This was evident in the lack of reduction of the polarisation resistance during ageing for these materials. </w:t>
      </w:r>
    </w:p>
    <w:p w14:paraId="21C778DB" w14:textId="77777777" w:rsidR="00007F6C" w:rsidRDefault="00007F6C" w:rsidP="00FE4B6B">
      <w:pPr>
        <w:pStyle w:val="Heading1"/>
        <w:spacing w:before="0"/>
      </w:pPr>
      <w:bookmarkStart w:id="528" w:name="_Toc69129438"/>
      <w:r>
        <w:t>5.5</w:t>
      </w:r>
      <w:r>
        <w:tab/>
      </w:r>
      <w:r w:rsidRPr="00644D81">
        <w:t>Conclusions</w:t>
      </w:r>
      <w:bookmarkEnd w:id="528"/>
    </w:p>
    <w:p w14:paraId="7C742CC4" w14:textId="77777777" w:rsidR="00007F6C" w:rsidRDefault="00007F6C" w:rsidP="00007F6C">
      <w:pPr>
        <w:jc w:val="both"/>
      </w:pPr>
      <w:r>
        <w:t>The use of the different current collector materials does have a profound impact on the polarisation resistance of infiltrated symmetrical cells. Changing the current collector material four times in this study produced highly varying electrochemical results for the infiltrated SOFC anodes.</w:t>
      </w:r>
    </w:p>
    <w:p w14:paraId="0FE658C9" w14:textId="6A61FDB0" w:rsidR="00007F6C" w:rsidRDefault="00007F6C" w:rsidP="00007F6C">
      <w:pPr>
        <w:jc w:val="both"/>
      </w:pPr>
      <w:r>
        <w:t xml:space="preserve">Despite close control in the current collector thickness the impedance associated with these materials can supersede key contributions from the fuel electrode </w:t>
      </w:r>
      <w:r>
        <w:fldChar w:fldCharType="begin" w:fldLock="1"/>
      </w:r>
      <w:r w:rsidR="00151775">
        <w:instrText>ADDIN CSL_CITATION {"citationItems":[{"id":"ITEM-1","itemData":{"DOI":"10.1016/S0167-2738(99)00254-4","ISSN":"01672738","abstract":"The effects of various current collectors on the electrochemical property measurements of a Ni-YSZ cermet have been investigated. Electrochemical characteristics were determined by impedance spectroscopy (IS) at open-circuit voltage in H2-H2O atmosphere at 800 °C using a symmetrical cell. We selected various current collectors made of gold, platinum and nickel and with two different structures, paste and mesh. When using paste, the electrochemical response, recorded with the same Ni-YSZ cermet sample, depends greatly on the nature of the current collector. Polarization resistance values follow the order: Ni&lt;Pt&lt;Au. This is the same order as reported in the literature for the hydrogen electrochemical oxidation activities of these metals. This demonstrates that paste current collectors interfere with the electrochemical properties of the anode material. Therefore, in order to compare the electrochemical activities of various anode materials, the same current collector has to be used. We have also observed that the polarization resistance increases with time, due to metal particle diffusion through the Ni-YSZ cermet. When using a nickel mesh, the electrochemical properties do not vary with time. Moreover, the structure of this current collector is most similar to the interconnect materials, which are the current collectors in planar SOFCs. It is, therefore, the best current collector for the study of the electrochemical properties of Ni-YSZ cermet.","author":[{"dropping-particle":"","family":"Guillodo","given":"M.","non-dropping-particle":"","parse-names":false,"suffix":""},{"dropping-particle":"","family":"Vernoux","given":"P.","non-dropping-particle":"","parse-names":false,"suffix":""},{"dropping-particle":"","family":"Fouletier","given":"J.","non-dropping-particle":"","parse-names":false,"suffix":""}],"container-title":"Solid State Ionics","id":"ITEM-1","issue":"1-2","issued":{"date-parts":[["2000"]]},"page":"99-107","title":"Electrochemical properties of Ni-YSZ cermet in solid oxide fuel cells. Effect of current collecting","type":"article-journal","volume":"127"},"uris":["http://www.mendeley.com/documents/?uuid=1b59ad5f-6e71-4c86-8342-2445f4bf2a8c"]}],"mendeley":{"formattedCitation":"[438]","plainTextFormattedCitation":"[438]","previouslyFormattedCitation":"[438]"},"properties":{"noteIndex":0},"schema":"https://github.com/citation-style-language/schema/raw/master/csl-citation.json"}</w:instrText>
      </w:r>
      <w:r>
        <w:fldChar w:fldCharType="separate"/>
      </w:r>
      <w:r w:rsidR="008B6E91" w:rsidRPr="008B6E91">
        <w:rPr>
          <w:noProof/>
        </w:rPr>
        <w:t>[438]</w:t>
      </w:r>
      <w:r>
        <w:fldChar w:fldCharType="end"/>
      </w:r>
      <w:r>
        <w:t xml:space="preserve">. These current collector-based impedances are products of alloying, migration and eventual delamination </w:t>
      </w:r>
      <w:r>
        <w:fldChar w:fldCharType="begin" w:fldLock="1"/>
      </w:r>
      <w:r w:rsidR="00151775">
        <w:instrText>ADDIN CSL_CITATION {"citationItems":[{"id":"ITEM-1","itemData":{"DOI":"10.1016/j.ijhydene.2010.10.034","ISSN":"03603199","abstract":"Planar electrolyte supported solid oxide fuel cells were operated at 900 °C with humidified H2 for 200 h using silver mesh and paste for cathode current collection. Continuous potentiostatic tests at 0.7 V appeared to induce migration of Ag towards electrode-electrolyte interphase, while continuous OCV tests caused no mass transport. Similar SOFCs fueled by coal syngas at 850 °C using Ag for both anode and cathode current collection indicated little, if any, Ag migration; providing the possibility of employing Ag for 100 h laboratory scale tests using coal-derived syngas. Use of high temperature steam, carbon dioxide and carbon monoxide did not result in the formation of silver carbonates. © 2010 Professor T. Nejat Veziroglu. Published by Elsevier Ltd. All rights reserved.","author":[{"dropping-particle":"","family":"Silva","given":"K. Channa R.","non-dropping-particle":"De","parse-names":false,"suffix":""},{"dropping-particle":"","family":"Kaseman","given":"Brian J.","non-dropping-particle":"","parse-names":false,"suffix":""},{"dropping-particle":"","family":"Bayless","given":"David J.","non-dropping-particle":"","parse-names":false,"suffix":""}],"container-title":"International Journal of Hydrogen Energy","id":"ITEM-1","issue":"1","issued":{"date-parts":[["2011"]]},"page":"779-786","publisher":"Elsevier Ltd","title":"Silver (Ag) as anode and cathode current collectors in high temperature planar solid oxide fuel cells","type":"article-journal","volume":"36"},"uris":["http://www.mendeley.com/documents/?uuid=6bdd88e2-bda7-4db5-9204-5b042d4cf76f"]},{"id":"ITEM-2","itemData":{"DOI":"10.1361/10599490419261","ISSN":"10599495","abstract":"The structural stability of silver (Ag) in dual atmosphere exposure conditions, which are representative of solid oxide fuel cell (SOFC) current collector and gas seals, has been examined in the 600-800°C temperature range. Experiments conducted on Ag tubular sections exposed to flowing H 2-3% H 2O (inside the tube) and air (outside the tube) showed extensive porosity formation along the grain boundaries in the bulk metal. Similar tubular sections, when exposed to air only (both inside and outside the tube), showed no bulk porosity or structural changes. It is postulated that the porosity formation in the bulk metal is related to the formation of gaseous H 2O bubbles due to simultaneous diffusion of hydrogen and oxygen followed by subsequent interaction resulting in the formation of steam. Thermochemical processes that are responsible for structural degradation are presented and discussed. Based on experimental observations, it is concluded that Ag metal may not provide adequate long-term structural stability under a dual-environment condition that is typical of interconnects or gas seals in intermediate temperature SOFCs.","author":[{"dropping-particle":"","family":"Singh","given":"Prabhakar","non-dropping-particle":"","parse-names":false,"suffix":""},{"dropping-particle":"","family":"Yang","given":"Zhenguo","non-dropping-particle":"","parse-names":false,"suffix":""},{"dropping-particle":"","family":"Viswanathan","given":"Vish","non-dropping-particle":"","parse-names":false,"suffix":""},{"dropping-particle":"","family":"Stevenson","given":"Jeff W.","non-dropping-particle":"","parse-names":false,"suffix":""}],"container-title":"Journal of Materials Engineering and Performance","id":"ITEM-2","issue":"3","issued":{"date-parts":[["2004"]]},"page":"287-294","title":"Observations on the structural degradation of silver during simultaneous exposure to oxidizing and reducing environments","type":"article-journal","volume":"13"},"uris":["http://www.mendeley.com/documents/?uuid=418632f9-bc2b-4a25-a998-2e37db7d33c3"]},{"id":"ITEM-3","itemData":{"DOI":"10.1016/S0167-2738(99)00254-4","ISSN":"01672738","abstract":"The effects of various current collectors on the electrochemical property measurements of a Ni-YSZ cermet have been investigated. Electrochemical characteristics were determined by impedance spectroscopy (IS) at open-circuit voltage in H2-H2O atmosphere at 800 °C using a symmetrical cell. We selected various current collectors made of gold, platinum and nickel and with two different structures, paste and mesh. When using paste, the electrochemical response, recorded with the same Ni-YSZ cermet sample, depends greatly on the nature of the current collector. Polarization resistance values follow the order: Ni&lt;Pt&lt;Au. This is the same order as reported in the literature for the hydrogen electrochemical oxidation activities of these metals. This demonstrates that paste current collectors interfere with the electrochemical properties of the anode material. Therefore, in order to compare the electrochemical activities of various anode materials, the same current collector has to be used. We have also observed that the polarization resistance increases with time, due to metal particle diffusion through the Ni-YSZ cermet. When using a nickel mesh, the electrochemical properties do not vary with time. Moreover, the structure of this current collector is most similar to the interconnect materials, which are the current collectors in planar SOFCs. It is, therefore, the best current collector for the study of the electrochemical properties of Ni-YSZ cermet.","author":[{"dropping-particle":"","family":"Guillodo","given":"M.","non-dropping-particle":"","parse-names":false,"suffix":""},{"dropping-particle":"","family":"Vernoux","given":"P.","non-dropping-particle":"","parse-names":false,"suffix":""},{"dropping-particle":"","family":"Fouletier","given":"J.","non-dropping-particle":"","parse-names":false,"suffix":""}],"container-title":"Solid State Ionics","id":"ITEM-3","issue":"1-2","issued":{"date-parts":[["2000"]]},"page":"99-107","title":"Electrochemical properties of Ni-YSZ cermet in solid oxide fuel cells. Effect of current collecting","type":"article-journal","volume":"127"},"uris":["http://www.mendeley.com/documents/?uuid=1b59ad5f-6e71-4c86-8342-2445f4bf2a8c"]},{"id":"ITEM-4","itemData":{"DOI":"10.1002/zaac.19191070102","abstract":"Abstract Übersicht S.1.– 1. Die regellose Verteilung zweier Molekülarten S.9.–2. Die regelmäßigen Verteilungen zweier Atomarten in Raumgittern S. 15.–3. Die bei der Extraktion mit Salpetersäure verbleibenden Rückstände der Gold - Silber- und Gold -Kupferlegierungen S. 49. – 4. Vorläufige Bestimmung der Einwirkungsgrenzen von schwefelhaltigen Agentien und schwachen Oxydationsmitteln auf die Cu-Au-Mischkristalle und der Einfluß der Temperatur auf diese Einwirkungsgrenzen S. 57 – 5. Genauere Bestimmung der Einwirkungsgrenzen auf die Cu-Au- und Ag-Au-Mischkristalle in Abhängigkeit von der Natur der chemischen Agentien S. 62. – 6. Über die Löslichkeit von Wasserstoff in Palladiummischkristallen S. 89. – 7. Deutung der Einwirkungsgrenzen S. 96. – 8. Das Verhalten der ternären Mischkristalle von Cu, Ag und Au gegen chemische Agentien und ihre Farben S. 107. – 9. Die Einwirkungsgrenzen der Mischkristalle des Vanadins und Siliciums mit Eisen S. 118.–10. Die galvanischen Spannungen der Legierungen S. 136.– 11. Angenäherte Bestimmung der Einwirkungsgrenzen auf die Mischkristallreihen des Mn mit Ag und die des Mg mit Ag S. 169. – 12. Über den Einfluß der Kaltbearbeitung auf die chemischen Einwirkungsgrenzen S. 171. – 13. Zusammenfassung der Resultate, betreffend die Einwirkungsgrenzen und Übersicht ihrer Deutung S. 186. – 14. Über den atomistischen Aufbau nichtmetallischer Mischkristalle S. 186.– 15. Die normale Molekülverteilung in Mischkristallen als Ursache ihrer anomalen Doppelbrechung S. 208. – 16. Isomere metallische Mischkristalle S. 217.–17. Bemerkungen über „Säure”︁ beständige Legierungen S.235.– Schlußwort S.237.","author":[{"dropping-particle":"","family":"Tammann","given":"G","non-dropping-particle":"","parse-names":false,"suffix":""}],"container-title":"Zeitschrift für anorganische und allgemeine Chemie","id":"ITEM-4","issue":"1","issued":{"date-parts":[["1919"]]},"page":"1-239","title":"Zum Gedächtnis der Entdeckung des Isomorphismus vor 100 Jahren. Die chemischen und galvanischen Eigenschaften von Mischkristallreihen und ihre Atomverteilung","type":"article-journal","volume":"107"},"uris":["http://www.mendeley.com/documents/?uuid=6284032c-9c7e-43bd-bed0-65f21129f2be"]},{"id":"ITEM-5","itemData":{"DOI":"10.1007/BF03216542","ISSN":"00171557","abstract":"The process of diffusion in the solid state is one aspect of behaviour in gold thin film systems which has received increased attention as gold layers have had to be made significantly thinner without sacrificing their reliability. This article reviews the characteristics of this process for gold over the various one- and two-layer base metal systems which are in common use by the electronics industry. A number of interesting phenomena are described and related to the service problems which they may cause in various devices. © 1979 World Gold Council.","author":[{"dropping-particle":"","family":"Pinnel","given":"M. Robert","non-dropping-particle":"","parse-names":false,"suffix":""}],"container-title":"Gold Bulletin","id":"ITEM-5","issue":"2","issued":{"date-parts":[["1979"]]},"page":"62-71","title":"Diffusion-related behaviour of gold in thin film systems","type":"article-journal","volume":"12"},"uris":["http://www.mendeley.com/documents/?uuid=6fd578f8-736e-4a67-8302-0627c71f7510"]}],"mendeley":{"formattedCitation":"[238], [433], [438], [444], [462]","plainTextFormattedCitation":"[238], [433], [438], [444], [462]","previouslyFormattedCitation":"[238], [433], [438], [444], [462]"},"properties":{"noteIndex":0},"schema":"https://github.com/citation-style-language/schema/raw/master/csl-citation.json"}</w:instrText>
      </w:r>
      <w:r>
        <w:fldChar w:fldCharType="separate"/>
      </w:r>
      <w:r w:rsidR="008B6E91" w:rsidRPr="008B6E91">
        <w:rPr>
          <w:noProof/>
        </w:rPr>
        <w:t>[238], [433], [438], [444], [462]</w:t>
      </w:r>
      <w:r>
        <w:fldChar w:fldCharType="end"/>
      </w:r>
      <w:r>
        <w:t xml:space="preserve">.  Ideally the current collector material should remain stable during operation and not influence the impedance of the electrode under investigation </w:t>
      </w:r>
      <w:r>
        <w:fldChar w:fldCharType="begin" w:fldLock="1"/>
      </w:r>
      <w:r>
        <w:instrText>ADDIN CSL_CITATION {"citationItems":[{"id":"ITEM-1","itemData":{"DOI":"10.1038/35104620","ISBN":"0028-0836","ISSN":"00280836","PMID":"11713541","abstract":"Fuel cells convert chemical energy directly into electrical energy with high efficiency and low emission of pollutants. However, before fuel-cell technology can gain a significant share of the electrical power market, important issues have to be addressed. These issues include optimal choice of fuel, and the development of alternative materials in the fuel-cell stack. Present fuel-cell prototypes often use materials selected more than 25 years ago. Commercialization aspects, including cost and durability, have revealed inadequacies in some of these materials. Here we summarize recent progress in the search and development of innovative alternative materials.","author":[{"dropping-particle":"","family":"Steele","given":"Brian C H","non-dropping-particle":"","parse-names":false,"suffix":""},{"dropping-particle":"","family":"Heinzel","given":"Angelika","non-dropping-particle":"","parse-names":false,"suffix":""}],"container-title":"Nature","id":"ITEM-1","issue":"6861","issued":{"date-parts":[["2001"]]},"page":"345-352","title":"Materials for fuel-cell technologies","type":"article-journal","volume":"414"},"uris":["http://www.mendeley.com/documents/?uuid=fcc65626-b5d9-44aa-9813-70660d24a4aa"]}],"mendeley":{"formattedCitation":"[61]","plainTextFormattedCitation":"[61]","previouslyFormattedCitation":"[61]"},"properties":{"noteIndex":0},"schema":"https://github.com/citation-style-language/schema/raw/master/csl-citation.json"}</w:instrText>
      </w:r>
      <w:r>
        <w:fldChar w:fldCharType="separate"/>
      </w:r>
      <w:r w:rsidRPr="00375DF8">
        <w:rPr>
          <w:noProof/>
        </w:rPr>
        <w:t>[61]</w:t>
      </w:r>
      <w:r>
        <w:fldChar w:fldCharType="end"/>
      </w:r>
      <w:r>
        <w:t>.</w:t>
      </w:r>
    </w:p>
    <w:p w14:paraId="0A259F5C" w14:textId="672CAB8D" w:rsidR="00007F6C" w:rsidRDefault="00007F6C" w:rsidP="00007F6C">
      <w:pPr>
        <w:jc w:val="both"/>
      </w:pPr>
      <w:r>
        <w:t xml:space="preserve">Due to the elevated temperatures and reductive atmospheres utilised for SOFC fuel electrodes, the current collector materials in this study all visibly delaminated during 50 h of ageing (0.125 % of the desired SOFC lifetime) </w:t>
      </w:r>
      <w:r>
        <w:fldChar w:fldCharType="begin" w:fldLock="1"/>
      </w:r>
      <w:r w:rsidR="008446C6">
        <w:instrText>ADDIN CSL_CITATION {"citationItems":[{"id":"ITEM-1","itemData":{"DOI":"10.1016/j.jpowsour.2003.09.025","ISSN":"03787753","abstract":"Solid-oxide fuel cells (SOFCs) are an energy conversion device that theoretically has the capability of producing electrical energy for as long as the fuel and oxidant are supplied to the electrodes but performance is expected for, at least, 40,000h. In reality, performance degradation is observed in planar SOFC with metallic bipolar plate under steady and repeated thermal cycling conditions, which limits the practical operating life of these SOFCs. In this paper, the advances in SOFC are briefly summarized and the aging mechanisms of some components (anode, cathode and interconnect) in SOFC are discussed. The emphasis is given to aging mechanisms due to instability of materials and microstructures under real operation conditions. Identification of aging kinetics contributes to improvement in the stability of SOFC. It is indicated that development of new materials, optimization of microstructures and lower operating temperatures are desirable for the long-term stability of SOFC. Beneficial operation condition of SOFC is also proposed. © 2003 Elsevier B.V. All rights reserved.","author":[{"dropping-particle":"","family":"Tu","given":"Hengyong","non-dropping-particle":"","parse-names":false,"suffix":""},{"dropping-particle":"","family":"Stimming","given":"Ulrich","non-dropping-particle":"","parse-names":false,"suffix":""}],"container-title":"Journal of Power Sources","id":"ITEM-1","issue":"1-2","issued":{"date-parts":[["2004"]]},"page":"284-293","title":"Advances, aging mechanisms and lifetime in solid-oxide fuel cells","type":"article-journal","volume":"127"},"uris":["http://www.mendeley.com/documents/?uuid=6daac146-907b-4fa3-95ab-f86c6b35028d"]},{"id":"ITEM-2","itemData":{"author":[{"dropping-particle":"","family":"Thijssen","given":"J","non-dropping-particle":"","parse-names":false,"suffix":""}],"editor":[{"dropping-particle":"","family":"Energy","given":"U S Department of","non-dropping-particle":"","parse-names":false,"suffix":""}],"id":"ITEM-2","issued":{"date-parts":[["2007"]]},"page":"3-70","publisher":"US Department of Energy","publisher-place":"DoE ","title":"The impact of scale-up and production volume on SOFC manufacturing cost","type":"article"},"uris":["http://www.mendeley.com/documents/?uuid=880572c5-525c-4f6f-a991-f466396cf0eb"]}],"mendeley":{"formattedCitation":"[73], [484]","plainTextFormattedCitation":"[73], [484]","previouslyFormattedCitation":"[73], [484]"},"properties":{"noteIndex":0},"schema":"https://github.com/citation-style-language/schema/raw/master/csl-citation.json"}</w:instrText>
      </w:r>
      <w:r>
        <w:fldChar w:fldCharType="separate"/>
      </w:r>
      <w:r w:rsidR="00A77A83" w:rsidRPr="00A77A83">
        <w:rPr>
          <w:noProof/>
        </w:rPr>
        <w:t>[73], [484]</w:t>
      </w:r>
      <w:r>
        <w:fldChar w:fldCharType="end"/>
      </w:r>
      <w:r>
        <w:t>. The 800</w:t>
      </w:r>
      <w:r>
        <w:rPr>
          <w:rFonts w:cstheme="minorHAnsi"/>
        </w:rPr>
        <w:t>⁰</w:t>
      </w:r>
      <w:r>
        <w:t xml:space="preserve">C ageing temperature used in this study exceeded each of the current collector materials’ Tammann temperature (barring Pt) </w:t>
      </w:r>
      <w:r>
        <w:fldChar w:fldCharType="begin" w:fldLock="1"/>
      </w:r>
      <w:r w:rsidR="00D80A5D">
        <w:instrText>ADDIN CSL_CITATION {"citationItems":[{"id":"ITEM-1","itemData":{"DOI":"10.1021/ja064884j","ISSN":"00027863","abstract":"A novel in situ autoreduction route has been developed, by which monodispersed silver nanoparticles with tunable sizes could be easily fabricated on silica-based materials, especially inside the channels of mesoporous silica (MPS). 13C CP/MAS NMR spectroscopy was employed to monitor the whole assembly process. It was demonstrated that the amino groups of APTS (aminopropyltriethoxyl silane)-modified MPS can be used to anchor formaldehyde to form novel reducing species (NHCH2OH), on which Ag(NH 3)2NO3 could be in situ reduced. Monodispersed silver nanoparticles were thus obtained. In situ XRD and in situ TEM experiments were used to investigate and compare the thermal stabilities of silver nanoparticles on the external surface of silica gels (unconfined) and those located inside the channels of SBA-15 (confined). It was observed that unconfined silver nanoparticles tended to agglomerate at low temperatures (i.e., lower than 773 K). The aggregation of silver nanoparticles became more serious at 773 K. However, for those confined silver nanoparticles, no coarsening process was observed at 773 K, much higher than its Tammann temperature (i.e., 617 K). Only when the treating temperature was higher than 873 K could the agglomeration of those confined silver nanoparticles happen with time-varying via the Ostwald ripening process. The confinement of mesopores played a key role in improving the thermal stabilities of silver nanoparticles (stable up to 773 K without any observable coarsening), which is essential to the further investigations on their chemical (e.g., catalytic) properties. © 2006 American Chemical Society.","author":[{"dropping-particle":"","family":"Sun","given":"Junming","non-dropping-particle":"","parse-names":false,"suffix":""},{"dropping-particle":"","family":"Ma","given":"Ding","non-dropping-particle":"","parse-names":false,"suffix":""},{"dropping-particle":"","family":"Zhang","given":"He","non-dropping-particle":"","parse-names":false,"suffix":""},{"dropping-particle":"","family":"Liu","given":"Xiumei","non-dropping-particle":"","parse-names":false,"suffix":""},{"dropping-particle":"","family":"Han","given":"Xiuwen","non-dropping-particle":"","parse-names":false,"suffix":""},{"dropping-particle":"","family":"Bao","given":"Xinhe","non-dropping-particle":"","parse-names":false,"suffix":""},{"dropping-particle":"","family":"Weinberg","given":"Gisela","non-dropping-particle":"","parse-names":false,"suffix":""},{"dropping-particle":"","family":"Pfänder","given":"Norbert","non-dropping-particle":"","parse-names":false,"suffix":""},{"dropping-particle":"","family":"Su","given":"Dangsheng","non-dropping-particle":"","parse-names":false,"suffix":""}],"container-title":"Journal of the American Chemical Society","id":"ITEM-1","issue":"49","issued":{"date-parts":[["2006"]]},"page":"15756-15764","title":"Toward monodispersed silver nanoparticles with unusual thermal stability","type":"article-journal","volume":"128"},"uris":["http://www.mendeley.com/documents/?uuid=dc0962e1-e02a-4d5c-8187-79d214c01270"]},{"id":"ITEM-2","itemData":{"DOI":"10.1002/zaac.19191070102","abstract":"Abstract Übersicht S.1.– 1. Die regellose Verteilung zweier Molekülarten S.9.–2. Die regelmäßigen Verteilungen zweier Atomarten in Raumgittern S. 15.–3. Die bei der Extraktion mit Salpetersäure verbleibenden Rückstände der Gold - Silber- und Gold -Kupferlegierungen S. 49. – 4. Vorläufige Bestimmung der Einwirkungsgrenzen von schwefelhaltigen Agentien und schwachen Oxydationsmitteln auf die Cu-Au-Mischkristalle und der Einfluß der Temperatur auf diese Einwirkungsgrenzen S. 57 – 5. Genauere Bestimmung der Einwirkungsgrenzen auf die Cu-Au- und Ag-Au-Mischkristalle in Abhängigkeit von der Natur der chemischen Agentien S. 62. – 6. Über die Löslichkeit von Wasserstoff in Palladiummischkristallen S. 89. – 7. Deutung der Einwirkungsgrenzen S. 96. – 8. Das Verhalten der ternären Mischkristalle von Cu, Ag und Au gegen chemische Agentien und ihre Farben S. 107. – 9. Die Einwirkungsgrenzen der Mischkristalle des Vanadins und Siliciums mit Eisen S. 118.–10. Die galvanischen Spannungen der Legierungen S. 136.– 11. Angenäherte Bestimmung der Einwirkungsgrenzen auf die Mischkristallreihen des Mn mit Ag und die des Mg mit Ag S. 169. – 12. Über den Einfluß der Kaltbearbeitung auf die chemischen Einwirkungsgrenzen S. 171. – 13. Zusammenfassung der Resultate, betreffend die Einwirkungsgrenzen und Übersicht ihrer Deutung S. 186. – 14. Über den atomistischen Aufbau nichtmetallischer Mischkristalle S. 186.– 15. Die normale Molekülverteilung in Mischkristallen als Ursache ihrer anomalen Doppelbrechung S. 208. – 16. Isomere metallische Mischkristalle S. 217.–17. Bemerkungen über „Säure”︁ beständige Legierungen S.235.– Schlußwort S.237.","author":[{"dropping-particle":"","family":"Tammann","given":"G","non-dropping-particle":"","parse-names":false,"suffix":""}],"container-title":"Zeitschrift für anorganische und allgemeine Chemie","id":"ITEM-2","issue":"1","issued":{"date-parts":[["1919"]]},"page":"1-239","title":"Zum Gedächtnis der Entdeckung des Isomorphismus vor 100 Jahren. Die chemischen und galvanischen Eigenschaften von Mischkristallreihen und ihre Atomverteilung","type":"article-journal","volume":"107"},"uris":["http://www.mendeley.com/documents/?uuid=6284032c-9c7e-43bd-bed0-65f21129f2be"]}],"mendeley":{"formattedCitation":"[238], [240]","plainTextFormattedCitation":"[238], [240]","previouslyFormattedCitation":"[238], [240]"},"properties":{"noteIndex":0},"schema":"https://github.com/citation-style-language/schema/raw/master/csl-citation.json"}</w:instrText>
      </w:r>
      <w:r>
        <w:fldChar w:fldCharType="separate"/>
      </w:r>
      <w:r w:rsidR="006C586A" w:rsidRPr="006C586A">
        <w:rPr>
          <w:noProof/>
        </w:rPr>
        <w:t>[238], [240]</w:t>
      </w:r>
      <w:r>
        <w:fldChar w:fldCharType="end"/>
      </w:r>
      <w:r>
        <w:t>. This combined with the H</w:t>
      </w:r>
      <w:r>
        <w:rPr>
          <w:vertAlign w:val="subscript"/>
        </w:rPr>
        <w:t>2</w:t>
      </w:r>
      <w:r>
        <w:t xml:space="preserve"> atmosphere primed the Ag, Au and Ni to migrate and sinter causing delamination and increased R</w:t>
      </w:r>
      <w:r>
        <w:rPr>
          <w:vertAlign w:val="subscript"/>
        </w:rPr>
        <w:t>P</w:t>
      </w:r>
      <w:r>
        <w:t>.</w:t>
      </w:r>
      <w:r w:rsidR="00FE4B6B">
        <w:t xml:space="preserve"> </w:t>
      </w:r>
      <w:r>
        <w:t>For electrochemical impedance spectroscopy in 10 % H</w:t>
      </w:r>
      <w:r>
        <w:rPr>
          <w:vertAlign w:val="subscript"/>
        </w:rPr>
        <w:t>2</w:t>
      </w:r>
      <w:r>
        <w:t>/N</w:t>
      </w:r>
      <w:r>
        <w:rPr>
          <w:vertAlign w:val="subscript"/>
        </w:rPr>
        <w:t>2</w:t>
      </w:r>
      <w:r>
        <w:t xml:space="preserve"> nickel oxide paste was the most suitable current collector material due its lack of influence on the impedance of infiltrated Ni/YSZ fuel electrode. </w:t>
      </w:r>
    </w:p>
    <w:p w14:paraId="6CC82FFE" w14:textId="02CA1851" w:rsidR="00007F6C" w:rsidRPr="00063006" w:rsidRDefault="00007F6C" w:rsidP="00063006">
      <w:pPr>
        <w:pStyle w:val="Heading1"/>
        <w:rPr>
          <w:color w:val="auto"/>
          <w:sz w:val="36"/>
          <w:szCs w:val="36"/>
        </w:rPr>
      </w:pPr>
      <w:bookmarkStart w:id="529" w:name="_Toc69129439"/>
      <w:r w:rsidRPr="00063006">
        <w:rPr>
          <w:color w:val="auto"/>
          <w:sz w:val="36"/>
          <w:szCs w:val="36"/>
        </w:rPr>
        <w:lastRenderedPageBreak/>
        <w:t xml:space="preserve">Chapter 6: Identifying Initial coarsening mechanisms in infiltrated SOFC </w:t>
      </w:r>
      <w:r w:rsidR="009409F1">
        <w:rPr>
          <w:color w:val="auto"/>
          <w:sz w:val="36"/>
          <w:szCs w:val="36"/>
        </w:rPr>
        <w:t>F</w:t>
      </w:r>
      <w:r w:rsidRPr="00063006">
        <w:rPr>
          <w:color w:val="auto"/>
          <w:sz w:val="36"/>
          <w:szCs w:val="36"/>
        </w:rPr>
        <w:t xml:space="preserve">uel </w:t>
      </w:r>
      <w:r w:rsidR="009409F1">
        <w:rPr>
          <w:color w:val="auto"/>
          <w:sz w:val="36"/>
          <w:szCs w:val="36"/>
        </w:rPr>
        <w:t>E</w:t>
      </w:r>
      <w:r w:rsidRPr="00063006">
        <w:rPr>
          <w:color w:val="auto"/>
          <w:sz w:val="36"/>
          <w:szCs w:val="36"/>
        </w:rPr>
        <w:t>lectrodes</w:t>
      </w:r>
      <w:bookmarkEnd w:id="529"/>
    </w:p>
    <w:p w14:paraId="56E620A1" w14:textId="77777777" w:rsidR="00007F6C" w:rsidRDefault="00007F6C" w:rsidP="00007F6C">
      <w:pPr>
        <w:pStyle w:val="Heading1"/>
      </w:pPr>
      <w:bookmarkStart w:id="530" w:name="_Toc69129440"/>
      <w:r>
        <w:t>6.1</w:t>
      </w:r>
      <w:r>
        <w:tab/>
      </w:r>
      <w:r w:rsidRPr="00644D81">
        <w:t>Introduction</w:t>
      </w:r>
      <w:bookmarkEnd w:id="530"/>
    </w:p>
    <w:p w14:paraId="557E95FB" w14:textId="77777777" w:rsidR="00007F6C" w:rsidRPr="0089669B" w:rsidRDefault="00007F6C" w:rsidP="00007F6C">
      <w:pPr>
        <w:spacing w:after="0" w:line="240" w:lineRule="auto"/>
        <w:jc w:val="both"/>
        <w:rPr>
          <w:rFonts w:cstheme="minorHAnsi"/>
          <w:szCs w:val="24"/>
        </w:rPr>
      </w:pPr>
      <w:r w:rsidRPr="0089669B">
        <w:rPr>
          <w:rFonts w:cstheme="minorHAnsi"/>
          <w:szCs w:val="24"/>
        </w:rPr>
        <w:t xml:space="preserve">The major coarsening mechanisms described in </w:t>
      </w:r>
      <w:r>
        <w:rPr>
          <w:rFonts w:cstheme="minorHAnsi"/>
          <w:szCs w:val="24"/>
        </w:rPr>
        <w:t>SOFC</w:t>
      </w:r>
      <w:r w:rsidRPr="0089669B">
        <w:rPr>
          <w:rFonts w:cstheme="minorHAnsi"/>
          <w:szCs w:val="24"/>
        </w:rPr>
        <w:t xml:space="preserve"> literature revolve around two methods:</w:t>
      </w:r>
    </w:p>
    <w:p w14:paraId="744CA1AF" w14:textId="2924CEA8" w:rsidR="00007F6C" w:rsidRDefault="00007F6C" w:rsidP="00007F6C">
      <w:pPr>
        <w:spacing w:after="0" w:line="240" w:lineRule="auto"/>
        <w:jc w:val="both"/>
        <w:rPr>
          <w:rFonts w:cstheme="minorHAnsi"/>
          <w:szCs w:val="24"/>
        </w:rPr>
      </w:pPr>
      <w:r w:rsidRPr="0089669B">
        <w:rPr>
          <w:rFonts w:cstheme="minorHAnsi"/>
          <w:szCs w:val="24"/>
        </w:rPr>
        <w:t xml:space="preserve">particle migration coalescence (PMC) and atomic ripening (AR). </w:t>
      </w:r>
      <w:r>
        <w:rPr>
          <w:rFonts w:cstheme="minorHAnsi"/>
          <w:szCs w:val="24"/>
        </w:rPr>
        <w:t>In PMC, s</w:t>
      </w:r>
      <w:r w:rsidRPr="0089669B">
        <w:rPr>
          <w:rFonts w:cstheme="minorHAnsi"/>
          <w:szCs w:val="24"/>
        </w:rPr>
        <w:t xml:space="preserve">urface </w:t>
      </w:r>
      <w:r>
        <w:rPr>
          <w:rFonts w:cstheme="minorHAnsi"/>
          <w:szCs w:val="24"/>
        </w:rPr>
        <w:t>particles</w:t>
      </w:r>
      <w:r w:rsidRPr="0089669B">
        <w:rPr>
          <w:rFonts w:cstheme="minorHAnsi"/>
          <w:szCs w:val="24"/>
        </w:rPr>
        <w:t xml:space="preserve"> move across the support surface using Brownian motion and agglomerate. The mechanism of Atomic/Ostwald ripening (AR) is driven by the by the movement </w:t>
      </w:r>
      <w:r>
        <w:rPr>
          <w:rFonts w:cstheme="minorHAnsi"/>
          <w:szCs w:val="24"/>
        </w:rPr>
        <w:t>and subsequent coarsening of</w:t>
      </w:r>
      <w:r w:rsidRPr="0089669B">
        <w:rPr>
          <w:rFonts w:cstheme="minorHAnsi"/>
          <w:szCs w:val="24"/>
        </w:rPr>
        <w:t xml:space="preserve"> nanoparticles</w:t>
      </w:r>
      <w:r>
        <w:rPr>
          <w:rFonts w:cstheme="minorHAnsi"/>
          <w:szCs w:val="24"/>
        </w:rPr>
        <w:t xml:space="preserve"> compelled </w:t>
      </w:r>
      <w:r w:rsidRPr="0089669B">
        <w:rPr>
          <w:rFonts w:cstheme="minorHAnsi"/>
          <w:szCs w:val="24"/>
        </w:rPr>
        <w:t xml:space="preserve"> to reduce their free surface energy</w:t>
      </w:r>
      <w:r>
        <w:rPr>
          <w:rFonts w:cstheme="minorHAnsi"/>
          <w:szCs w:val="24"/>
        </w:rPr>
        <w:t xml:space="preserve"> (</w:t>
      </w:r>
      <w:r>
        <w:rPr>
          <w:rFonts w:cstheme="minorHAnsi"/>
          <w:szCs w:val="24"/>
        </w:rPr>
        <w:fldChar w:fldCharType="begin"/>
      </w:r>
      <w:r>
        <w:rPr>
          <w:rFonts w:cstheme="minorHAnsi"/>
          <w:szCs w:val="24"/>
        </w:rPr>
        <w:instrText xml:space="preserve"> REF _Ref51579902 \h </w:instrText>
      </w:r>
      <w:r>
        <w:rPr>
          <w:rFonts w:cstheme="minorHAnsi"/>
          <w:szCs w:val="24"/>
        </w:rPr>
      </w:r>
      <w:r>
        <w:rPr>
          <w:rFonts w:cstheme="minorHAnsi"/>
          <w:szCs w:val="24"/>
        </w:rPr>
        <w:fldChar w:fldCharType="separate"/>
      </w:r>
      <w:r>
        <w:t>Figure 6.</w:t>
      </w:r>
      <w:r>
        <w:rPr>
          <w:noProof/>
        </w:rPr>
        <w:t>1</w:t>
      </w:r>
      <w:r>
        <w:rPr>
          <w:rFonts w:cstheme="minorHAnsi"/>
          <w:szCs w:val="24"/>
        </w:rPr>
        <w:fldChar w:fldCharType="end"/>
      </w:r>
      <w:r>
        <w:rPr>
          <w:rFonts w:cstheme="minorHAnsi"/>
          <w:szCs w:val="24"/>
        </w:rPr>
        <w:t>)</w:t>
      </w:r>
      <w:r w:rsidRPr="0089669B">
        <w:rPr>
          <w:rFonts w:cstheme="minorHAnsi"/>
          <w:szCs w:val="24"/>
        </w:rPr>
        <w:t xml:space="preserve"> </w:t>
      </w:r>
      <w:r w:rsidRPr="0089669B">
        <w:rPr>
          <w:rFonts w:cstheme="minorHAnsi"/>
          <w:szCs w:val="24"/>
        </w:rPr>
        <w:fldChar w:fldCharType="begin" w:fldLock="1"/>
      </w:r>
      <w:r w:rsidR="008B6E91">
        <w:rPr>
          <w:rFonts w:cstheme="minorHAnsi"/>
          <w:szCs w:val="24"/>
        </w:rPr>
        <w:instrText>ADDIN CSL_CITATION {"citationItems":[{"id":"ITEM-1","itemData":{"DOI":"10.1021/ar3002427","ISSN":"00014842","abstract":"Metal nanoparticles contain the active sites in heterogeneous catalysts, which are important for many industrial applications including the production of clean fuels, chemicals and pharmaceuticals, and the cleanup of exhaust from automobiles and stationary power plants. Sintering, or thermal deactivation, is an important mechanism for the loss of catalyst activity. This is especially true for high temperature catalytic processes, such as steam reforming, automotive exhaust treatment, or catalytic combustion. With dwindling supplies of precious metals and increasing demand, fundamental understanding of catalyst sintering is very important for achieving clean energy and a clean environment, and for efficient chemical conversion processes with atom selectivity. Scientists have proposed two mechanisms for sintering of nanoparticles: particle migration and coalescence (PMC) and Ostwald ripening (OR). PMC involves the mobility of particles in a Brownian-like motion on the support surface, with subsequent coalescence leading to nanoparticle growth. In contrast, OR involves the migration of adatoms or mobile molecular species, driven by differences in free energy and local adatom concentrations on the support surface.In this Account, we divide the process of sintering into three phases. Phase I involves rapid loss in catalyst activity (or surface area), phase II is where sintering slows down, and phase III is where the catalyst may reach a stable performance. Much of the previous work is based on inferences from catalysts that were observed before and after long term treatments. While the general phenomena can be captured correctly, the mechanisms cannot be determined. Advancements in the techniques of in situ TEM allow us to observe catalysts at elevated temperatures under working conditions. We review recent evidence obtained via in situ methods to determine the relative importance of PMC and OR in each of these phases of catalyst sintering. The evidence suggests that, in phase I, OR is responsible for the rapid loss of activity that occurs when particles are very small. Surprisingly, very little PMC is observed in this phase. Instead, the rapid loss of activity is caused by the disappearance of the smallest particles. These findings are in good agreement with representative atomistic simulations of sintering. In phase II, sintering slows down since the smallest particles have disappeared. We now see a combination of PMC and OR, but do not fully understand th…","author":[{"dropping-particle":"","family":"Hansen","given":"Thomas W.","non-dropping-particle":"","parse-names":false,"suffix":""},{"dropping-particle":"","family":"Delariva","given":"Andrew T.","non-dropping-particle":"","parse-names":false,"suffix":""},{"dropping-particle":"","family":"Challa","given":"Sivakumar R.","non-dropping-particle":"","parse-names":false,"suffix":""},{"dropping-particle":"","family":"Datye","given":"Abhaya K.","non-dropping-particle":"","parse-names":false,"suffix":""}],"container-title":"Accounts of Chemical Research","id":"ITEM-1","issue":"8","issued":{"date-parts":[["2013"]]},"page":"1720-1730","title":"Sintering of catalytic nanoparticles: Particle migration or ostwald ripening?","type":"article-journal","volume":"46"},"uris":["http://www.mendeley.com/documents/?uuid=56e9c286-1d38-472d-a0b2-2585db2bd181"]},{"id":"ITEM-2","itemData":{"DOI":"10.1021/acscatal.7b01975","ISSN":"2155-5435","author":[{"dropping-particle":"","family":"Goodman","given":"Emmett D.","non-dropping-particle":"","parse-names":false,"suffix":""},{"dropping-particle":"","family":"Schwalbe","given":"Jay A.","non-dropping-particle":"","parse-names":false,"suffix":""},{"dropping-particle":"","family":"Cargnello","given":"Matteo","non-dropping-particle":"","parse-names":false,"suffix":""}],"container-title":"ACS Catalysis","id":"ITEM-2","issue":"10","issued":{"date-parts":[["2017","10","6"]]},"page":"7156-7173","title":"Mechanistic Understanding and the Rational Design of Sinter-Resistant Heterogeneous Catalysts","type":"article-journal","volume":"7"},"uris":["http://www.mendeley.com/documents/?uuid=b28e850f-3457-3249-b2ac-8734fa0e1fea"]},{"id":"ITEM-3","itemData":{"DOI":"10.1039/c7cs00650k","abstract":"Catalyst sintering, a main cause of the loss of catalytic activity and/or selectivity at high reaction temperatures, is a major concern and grand challenge in the general area of heterogeneous catalysis. Although all heterogeneous catalysts are inevitably subjected to sintering during their operation, the immediate and drastic consequences can be mitigated by carefully engineering the catalytic particles and their interactions with the supports. In this tutorial review, we highlight recent progress in understanding the physical chemistry and materials science involved in sintering, including the discussion of advanced techniques, such as in situ microscopy and spectroscopy, for investigating the sintering process and its rate. We also discuss strategies for the design and rational fabrication of sinter-resistant catalysts. Finally, we showcase recent success in improving the thermal stability and thus sinter resistance of supported catalytic systems. Key learning points (1) Key obstacles to the development of sinter-resistant catalytic systems (2) Thermodynamic and kinetic aspects in the sintering of supported metal nanoparticles (3) New insights into the sintering mechanisms as elucidated through advanced analytic tools (4) Major strategies for enhancing the thermal stability of a catalytic system involving supported metal nanoparticles (5) Recent success and future directions towards the development of sinter-resistant catalysts","author":[{"dropping-particle":"","family":"Dai","given":"Yunqian","non-dropping-particle":"","parse-names":false,"suffix":""},{"dropping-particle":"","family":"Lu","given":"Ping","non-dropping-particle":"","parse-names":false,"suffix":""},{"dropping-particle":"","family":"Cao","given":"Zhenming","non-dropping-particle":"","parse-names":false,"suffix":""},{"dropping-particle":"","family":"Campbell","given":"Charles T","non-dropping-particle":"","parse-names":false,"suffix":""},{"dropping-particle":"","family":"Xia","given":"Younan","non-dropping-particle":"","parse-names":false,"suffix":""}],"container-title":"4314 | Chem. Soc. Rev","id":"ITEM-3","issued":{"date-parts":[["2018"]]},"page":"4314","title":"The physical chemistry and materials science behind sinter-resistant catalysts","type":"article-journal","volume":"47"},"uris":["http://www.mendeley.com/documents/?uuid=4b3e7ee9-ac08-3c1c-b616-0a6feef47699"]}],"mendeley":{"formattedCitation":"[300], [301], [402]","plainTextFormattedCitation":"[300], [301], [402]","previouslyFormattedCitation":"[300], [301], [402]"},"properties":{"noteIndex":0},"schema":"https://github.com/citation-style-language/schema/raw/master/csl-citation.json"}</w:instrText>
      </w:r>
      <w:r w:rsidRPr="0089669B">
        <w:rPr>
          <w:rFonts w:cstheme="minorHAnsi"/>
          <w:szCs w:val="24"/>
        </w:rPr>
        <w:fldChar w:fldCharType="separate"/>
      </w:r>
      <w:r w:rsidR="00237E21" w:rsidRPr="00237E21">
        <w:rPr>
          <w:rFonts w:cstheme="minorHAnsi"/>
          <w:noProof/>
          <w:szCs w:val="24"/>
        </w:rPr>
        <w:t>[300], [301], [402]</w:t>
      </w:r>
      <w:r w:rsidRPr="0089669B">
        <w:rPr>
          <w:rFonts w:cstheme="minorHAnsi"/>
          <w:szCs w:val="24"/>
        </w:rPr>
        <w:fldChar w:fldCharType="end"/>
      </w:r>
      <w:r w:rsidRPr="0089669B">
        <w:rPr>
          <w:rFonts w:cstheme="minorHAnsi"/>
          <w:szCs w:val="24"/>
        </w:rPr>
        <w:t>.</w:t>
      </w:r>
    </w:p>
    <w:p w14:paraId="3AE3BF2B" w14:textId="77777777" w:rsidR="00007F6C" w:rsidRDefault="00007F6C" w:rsidP="00007F6C">
      <w:pPr>
        <w:spacing w:after="0" w:line="240" w:lineRule="auto"/>
        <w:jc w:val="both"/>
        <w:rPr>
          <w:rFonts w:cstheme="minorHAnsi"/>
          <w:szCs w:val="24"/>
        </w:rPr>
      </w:pPr>
    </w:p>
    <w:p w14:paraId="4E29B38E" w14:textId="77777777" w:rsidR="00007F6C" w:rsidRDefault="00007F6C" w:rsidP="00007F6C">
      <w:pPr>
        <w:keepNext/>
        <w:spacing w:after="0" w:line="240" w:lineRule="auto"/>
        <w:jc w:val="center"/>
      </w:pPr>
      <w:r>
        <w:rPr>
          <w:rFonts w:cstheme="minorHAnsi"/>
          <w:noProof/>
          <w:color w:val="FF0000"/>
          <w:szCs w:val="24"/>
        </w:rPr>
        <w:drawing>
          <wp:inline distT="0" distB="0" distL="0" distR="0" wp14:anchorId="3CBB672F" wp14:editId="4437D880">
            <wp:extent cx="4824561" cy="250421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4824561" cy="2504217"/>
                    </a:xfrm>
                    <a:prstGeom prst="rect">
                      <a:avLst/>
                    </a:prstGeom>
                  </pic:spPr>
                </pic:pic>
              </a:graphicData>
            </a:graphic>
          </wp:inline>
        </w:drawing>
      </w:r>
    </w:p>
    <w:p w14:paraId="30DA2DBF" w14:textId="7C62F41E" w:rsidR="00007F6C" w:rsidRPr="0089669B" w:rsidRDefault="00007F6C" w:rsidP="00FE4B6B">
      <w:pPr>
        <w:pStyle w:val="Caption"/>
        <w:spacing w:after="240"/>
        <w:rPr>
          <w:rFonts w:cstheme="minorHAnsi"/>
          <w:color w:val="FF0000"/>
          <w:szCs w:val="24"/>
        </w:rPr>
      </w:pPr>
      <w:bookmarkStart w:id="531" w:name="_Ref51579902"/>
      <w:bookmarkStart w:id="532" w:name="_Toc69115052"/>
      <w:r>
        <w:t>Figure 6.</w:t>
      </w:r>
      <w:r w:rsidR="00C64D74">
        <w:fldChar w:fldCharType="begin"/>
      </w:r>
      <w:r w:rsidR="00C64D74">
        <w:instrText xml:space="preserve"> SEQ Figure \* ARABIC </w:instrText>
      </w:r>
      <w:r w:rsidR="009409F1">
        <w:instrText>\r 1</w:instrText>
      </w:r>
      <w:r w:rsidR="00C64D74">
        <w:fldChar w:fldCharType="separate"/>
      </w:r>
      <w:r w:rsidR="009409F1">
        <w:rPr>
          <w:noProof/>
        </w:rPr>
        <w:t>1</w:t>
      </w:r>
      <w:r w:rsidR="00C64D74">
        <w:rPr>
          <w:noProof/>
        </w:rPr>
        <w:fldChar w:fldCharType="end"/>
      </w:r>
      <w:bookmarkEnd w:id="531"/>
      <w:r>
        <w:t xml:space="preserve">: Diagram of atomic ripening and particle migration coalescence using hemispherical particles </w:t>
      </w:r>
      <w:r>
        <w:fldChar w:fldCharType="begin" w:fldLock="1"/>
      </w:r>
      <w:r w:rsidR="00D80A5D">
        <w:instrText>ADDIN CSL_CITATION {"citationItems":[{"id":"ITEM-1","itemData":{"DOI":"10.1021/acscatal.7b01975","ISSN":"2155-5435","author":[{"dropping-particle":"","family":"Goodman","given":"Emmett D.","non-dropping-particle":"","parse-names":false,"suffix":""},{"dropping-particle":"","family":"Schwalbe","given":"Jay A.","non-dropping-particle":"","parse-names":false,"suffix":""},{"dropping-particle":"","family":"Cargnello","given":"Matteo","non-dropping-particle":"","parse-names":false,"suffix":""}],"container-title":"ACS Catalysis","id":"ITEM-1","issue":"10","issued":{"date-parts":[["2017","10","6"]]},"page":"7156-7173","title":"Mechanistic Understanding and the Rational Design of Sinter-Resistant Heterogeneous Catalysts","type":"article-journal","volume":"7"},"uris":["http://www.mendeley.com/documents/?uuid=b28e850f-3457-3249-b2ac-8734fa0e1fea"]},{"id":"ITEM-2","itemData":{"DOI":"10.1021/ar3002427","ISBN":"1520-4898 (Electronic)\r0001-4842 (Linking)","PMID":"23634641","abstract":"Metal nanoparticles contain the active sites in heterogeneous catalysts, which are important for many industrial applications including the production of clean fuels, chemicals and pharmaceuticals, and the cleanup of exhaust from automobiles and stationary power plants. Sintering, or thermal deactivation, is an important mechanism for the loss of catalyst activity. This is especially true for high temperature catalytic processes, such as steam reforming, automotive exhaust treatment, or catalytic combustion. With dwindling supplies of precious metals and increasing demand, fundamental understanding of catalyst sintering is very important for achieving clean energy and a clean environment, and for efficient chemical conversion processes with atom selectivity. Scientists have proposed two mechanisms for sintering of nanoparticles: particle migration and coalescence (PMC) and Ostwald ripening (OR). PMC involves the mobility of particles in a Brownian-like motion on the support surface, with subsequent coalescence leading to nanoparticle growth. In contrast, OR involves the migration of adatoms or mobile molecular species, driven by differences in free energy and local adatom concentrations on the support surface. In this Account, we divide the process of sintering into three phases. Phase I involves rapid loss in catalyst activity (or surface area), phase II is where sintering slows down, and phase III is where the catalyst may reach a stable performance. Much of the previous work is based on inferences from catalysts that were observed before and after long term treatments. While the general phenomena can be captured correctly, the mechanisms cannot be determined. Advancements in the techniques of in situ TEM allow us to observe catalysts at elevated temperatures under working conditions. We review recent evidence obtained via in situ methods to determine the relative importance of PMC and OR in each of these phases of catalyst sintering. The evidence suggests that, in phase I, OR is responsible for the rapid loss of activity that occurs when particles are very small. Surprisingly, very little PMC is observed in this phase. Instead, the rapid loss of activity is caused by the disappearance of the smallest particles. These findings are in good agreement with representative atomistic simulations of sintering. In phase II, sintering slows down since the smallest particles have disappeared. We now see a combination of PMC and OR, but do not fully understand t…","author":[{"dropping-particle":"","family":"Hansen","given":"T W","non-dropping-particle":"","parse-names":false,"suffix":""},{"dropping-particle":"","family":"Delariva","given":"A T","non-dropping-particle":"","parse-names":false,"suffix":""},{"dropping-particle":"","family":"Challa","given":"S R","non-dropping-particle":"","parse-names":false,"suffix":""},{"dropping-particle":"","family":"Datye","given":"A K","non-dropping-particle":"","parse-names":false,"suffix":""}],"chapter-number":"1720","container-title":"Acc Chem Res","id":"ITEM-2","issue":"8","issued":{"date-parts":[["2013"]]},"note":"Hansen, Thomas W\nDelariva, Andrew T\nChalla, Sivakumar R\nDatye, Abhaya K\neng\nResearch Support, Non-U.S. Gov't\nResearch Support, U.S. Gov't, Non-P.H.S.\nReview\n2013/05/03 06:00\nAcc Chem Res. 2013 Aug 20;46(8):1720-30. doi: 10.1021/ar3002427. Epub 2013 May 1.","page":"1720-1730","title":"Sintering of catalytic nanoparticles: particle migration or Ostwald ripening?","type":"article-journal","volume":"46"},"uris":["http://www.mendeley.com/documents/?uuid=39c90cb7-90f0-4c22-a635-4a4de038ffe1"]}],"mendeley":{"formattedCitation":"[118], [300]","plainTextFormattedCitation":"[118], [300]","previouslyFormattedCitation":"[118], [300]"},"properties":{"noteIndex":0},"schema":"https://github.com/citation-style-language/schema/raw/master/csl-citation.json"}</w:instrText>
      </w:r>
      <w:r>
        <w:fldChar w:fldCharType="separate"/>
      </w:r>
      <w:r w:rsidR="006C586A" w:rsidRPr="006C586A">
        <w:rPr>
          <w:i w:val="0"/>
          <w:noProof/>
        </w:rPr>
        <w:t>[118], [300]</w:t>
      </w:r>
      <w:bookmarkEnd w:id="532"/>
      <w:r>
        <w:fldChar w:fldCharType="end"/>
      </w:r>
    </w:p>
    <w:p w14:paraId="3D19C616" w14:textId="23382D6A" w:rsidR="00007F6C" w:rsidRPr="0089669B" w:rsidRDefault="00007F6C" w:rsidP="00007F6C">
      <w:pPr>
        <w:spacing w:after="0" w:line="240" w:lineRule="auto"/>
        <w:jc w:val="both"/>
        <w:rPr>
          <w:rFonts w:cstheme="minorHAnsi"/>
          <w:szCs w:val="24"/>
        </w:rPr>
      </w:pPr>
      <w:r w:rsidRPr="0089669B">
        <w:rPr>
          <w:rFonts w:cstheme="minorHAnsi"/>
          <w:szCs w:val="24"/>
        </w:rPr>
        <w:t xml:space="preserve">Numerous methods have been used to reduce the impact of these catalyst sintering processes in a bid to retain the improved properties bestowed by catalyst infiltration. </w:t>
      </w:r>
      <w:proofErr w:type="spellStart"/>
      <w:r w:rsidRPr="0089669B">
        <w:rPr>
          <w:rFonts w:cstheme="minorHAnsi"/>
          <w:szCs w:val="24"/>
        </w:rPr>
        <w:t>Buyukaksoy</w:t>
      </w:r>
      <w:proofErr w:type="spellEnd"/>
      <w:r w:rsidRPr="0089669B">
        <w:rPr>
          <w:rFonts w:cstheme="minorHAnsi"/>
          <w:szCs w:val="24"/>
        </w:rPr>
        <w:t xml:space="preserve"> et al attempted to change the porosity of the scaffold in a bid to hinder Ni agglomeration in Ni/YSZ anodes</w:t>
      </w:r>
      <w:r>
        <w:rPr>
          <w:rFonts w:cstheme="minorHAnsi"/>
          <w:szCs w:val="24"/>
        </w:rPr>
        <w:t xml:space="preserve"> </w:t>
      </w:r>
      <w:r w:rsidRPr="0089669B">
        <w:rPr>
          <w:rFonts w:cstheme="minorHAnsi"/>
          <w:szCs w:val="24"/>
        </w:rPr>
        <w:fldChar w:fldCharType="begin" w:fldLock="1"/>
      </w:r>
      <w:r w:rsidR="00D80A5D">
        <w:rPr>
          <w:rFonts w:cstheme="minorHAnsi"/>
          <w:szCs w:val="24"/>
        </w:rPr>
        <w:instrText>ADDIN CSL_CITATION {"citationItems":[{"id":"ITEM-1","itemData":{"DOI":"10.1016/j.jpowsour.2015.04.072","ISSN":"03787753","abstract":"Ni infiltration into porous YSZ scaffolds is a promising route for the construction of high performing and redox-stable Ni-YSZ anodes for application in solid oxide fuel cells (SOFCs). However, the long-term instability of this type of anode is a critical problem. Here, it is shown that an interconnected Ni film, rather than discrete Ni particles, can be formed inside a porous, pre-sintered YSZ scaffold by using a polymeric Ni-based precursor as the infiltration medium. To understand the effect of the YSZ microstructure on the long-term stability and the electrochemical performance of the resulting composites, two types of Ni-YSZ anodes were investigated. Anodes prepared by polymeric Ni infiltration into a YSZ scaffold with large grains (0.5 μm) and pores (0.5 μm and 5 μm) showed extensive agglomeration in the Ni phase, resulting in poor stability and poor activity. In contrast, Ni infiltration into YSZ scaffolds with finer particle and pore sizes (</w:instrText>
      </w:r>
      <w:r w:rsidR="00D80A5D">
        <w:rPr>
          <w:rFonts w:ascii="Cambria Math" w:hAnsi="Cambria Math" w:cs="Cambria Math"/>
          <w:szCs w:val="24"/>
        </w:rPr>
        <w:instrText>∼</w:instrText>
      </w:r>
      <w:r w:rsidR="00D80A5D">
        <w:rPr>
          <w:rFonts w:cstheme="minorHAnsi"/>
          <w:szCs w:val="24"/>
        </w:rPr>
        <w:instrText xml:space="preserve">200 nm each) produced anodes with a very small polarization resistance of ca. 0.1 </w:instrText>
      </w:r>
      <w:r w:rsidR="00D80A5D">
        <w:rPr>
          <w:rFonts w:ascii="Calibri" w:hAnsi="Calibri" w:cs="Calibri"/>
          <w:szCs w:val="24"/>
        </w:rPr>
        <w:instrText>Ω</w:instrText>
      </w:r>
      <w:r w:rsidR="00D80A5D">
        <w:rPr>
          <w:rFonts w:cstheme="minorHAnsi"/>
          <w:szCs w:val="24"/>
        </w:rPr>
        <w:instrText xml:space="preserve"> cm&lt;sup&gt;2&lt;/sup&gt; per electrode at 800 </w:instrText>
      </w:r>
      <w:r w:rsidR="00D80A5D">
        <w:rPr>
          <w:rFonts w:ascii="Calibri" w:hAnsi="Calibri" w:cs="Calibri"/>
          <w:szCs w:val="24"/>
        </w:rPr>
        <w:instrText>°</w:instrText>
      </w:r>
      <w:r w:rsidR="00D80A5D">
        <w:rPr>
          <w:rFonts w:cstheme="minorHAnsi"/>
          <w:szCs w:val="24"/>
        </w:rPr>
        <w:instrText xml:space="preserve">C. An increase of only </w:instrText>
      </w:r>
      <w:r w:rsidR="00D80A5D">
        <w:rPr>
          <w:rFonts w:ascii="Cambria Math" w:hAnsi="Cambria Math" w:cs="Cambria Math"/>
          <w:szCs w:val="24"/>
        </w:rPr>
        <w:instrText>∼</w:instrText>
      </w:r>
      <w:r w:rsidR="00D80A5D">
        <w:rPr>
          <w:rFonts w:cstheme="minorHAnsi"/>
          <w:szCs w:val="24"/>
        </w:rPr>
        <w:instrText>5% was seen in the resistance after ca. 110 h at this temperature, achieved by preventing Ni agglomeration.","author":[{"dropping-particle":"","family":"Buyukaksoy","given":"Aligul","non-dropping-particle":"","parse-names":false,"suffix":""},{"dropping-particle":"","family":"Kammampata","given":"Sanoop P.","non-dropping-particle":"","parse-names":false,"suffix":""},{"dropping-particle":"","family":"Birss","given":"Viola I.","non-dropping-particle":"","parse-names":false,"suffix":""}],"container-title":"Journal of Power Sources","id":"ITEM-1","issued":{"date-parts":[["2015"]]},"page":"349-358","publisher":"Elsevier B.V","title":"Effect of porous YSZ scaffold microstructure on the long-term performance of infiltrated Ni-YSZ anodes","type":"article-journal","volume":"287"},"uris":["http://www.mendeley.com/documents/?uuid=bf3a7d3f-cd78-42db-a93a-ee5fbe68d623"]}],"mendeley":{"formattedCitation":"[233]","plainTextFormattedCitation":"[233]","previouslyFormattedCitation":"[233]"},"properties":{"noteIndex":0},"schema":"https://github.com/citation-style-language/schema/raw/master/csl-citation.json"}</w:instrText>
      </w:r>
      <w:r w:rsidRPr="0089669B">
        <w:rPr>
          <w:rFonts w:cstheme="minorHAnsi"/>
          <w:szCs w:val="24"/>
        </w:rPr>
        <w:fldChar w:fldCharType="separate"/>
      </w:r>
      <w:r w:rsidR="006C586A" w:rsidRPr="006C586A">
        <w:rPr>
          <w:rFonts w:cstheme="minorHAnsi"/>
          <w:noProof/>
          <w:szCs w:val="24"/>
        </w:rPr>
        <w:t>[233]</w:t>
      </w:r>
      <w:r w:rsidRPr="0089669B">
        <w:rPr>
          <w:rFonts w:cstheme="minorHAnsi"/>
          <w:szCs w:val="24"/>
        </w:rPr>
        <w:fldChar w:fldCharType="end"/>
      </w:r>
      <w:r w:rsidRPr="0089669B">
        <w:rPr>
          <w:rFonts w:cstheme="minorHAnsi"/>
          <w:szCs w:val="24"/>
        </w:rPr>
        <w:t>. However, a lack of understanding of these early stage-coarsening mechanisms has been driven by most research pre-coarsening their electro-catalysts by ageing their samples for 100 h</w:t>
      </w:r>
      <w:sdt>
        <w:sdtPr>
          <w:rPr>
            <w:rFonts w:cstheme="minorHAnsi"/>
            <w:szCs w:val="24"/>
          </w:rPr>
          <w:id w:val="686790587"/>
          <w:citation/>
        </w:sdtPr>
        <w:sdtEndPr/>
        <w:sdtContent>
          <w:r w:rsidRPr="0089669B">
            <w:rPr>
              <w:rFonts w:cstheme="minorHAnsi"/>
              <w:szCs w:val="24"/>
            </w:rPr>
            <w:fldChar w:fldCharType="begin"/>
          </w:r>
          <w:r w:rsidRPr="0089669B">
            <w:rPr>
              <w:rFonts w:cstheme="minorHAnsi"/>
              <w:szCs w:val="24"/>
            </w:rPr>
            <w:instrText xml:space="preserve"> CITATION Ken16 \l 2057 </w:instrText>
          </w:r>
          <w:r w:rsidRPr="0089669B">
            <w:rPr>
              <w:rFonts w:cstheme="minorHAnsi"/>
              <w:szCs w:val="24"/>
            </w:rPr>
            <w:fldChar w:fldCharType="separate"/>
          </w:r>
          <w:r w:rsidRPr="0089669B">
            <w:rPr>
              <w:rFonts w:cstheme="minorHAnsi"/>
              <w:noProof/>
              <w:szCs w:val="24"/>
            </w:rPr>
            <w:t xml:space="preserve"> [9]</w:t>
          </w:r>
          <w:r w:rsidRPr="0089669B">
            <w:rPr>
              <w:rFonts w:cstheme="minorHAnsi"/>
              <w:szCs w:val="24"/>
            </w:rPr>
            <w:fldChar w:fldCharType="end"/>
          </w:r>
        </w:sdtContent>
      </w:sdt>
      <w:r w:rsidRPr="0089669B">
        <w:rPr>
          <w:rFonts w:cstheme="minorHAnsi"/>
          <w:szCs w:val="24"/>
        </w:rPr>
        <w:t>.</w:t>
      </w:r>
    </w:p>
    <w:p w14:paraId="20D121B2" w14:textId="77777777" w:rsidR="00007F6C" w:rsidRPr="0089669B" w:rsidRDefault="00007F6C" w:rsidP="00007F6C">
      <w:pPr>
        <w:spacing w:after="0" w:line="240" w:lineRule="auto"/>
        <w:jc w:val="both"/>
        <w:rPr>
          <w:rFonts w:cstheme="minorHAnsi"/>
          <w:szCs w:val="24"/>
        </w:rPr>
      </w:pPr>
    </w:p>
    <w:p w14:paraId="12066C21" w14:textId="79E6F07C" w:rsidR="00007F6C" w:rsidRPr="0089669B" w:rsidRDefault="00007F6C" w:rsidP="00007F6C">
      <w:pPr>
        <w:spacing w:after="0" w:line="240" w:lineRule="auto"/>
        <w:jc w:val="both"/>
        <w:rPr>
          <w:rFonts w:cstheme="minorHAnsi"/>
          <w:szCs w:val="24"/>
        </w:rPr>
      </w:pPr>
      <w:r w:rsidRPr="0089669B">
        <w:rPr>
          <w:rFonts w:cstheme="minorHAnsi"/>
          <w:szCs w:val="24"/>
        </w:rPr>
        <w:t xml:space="preserve">Understanding the </w:t>
      </w:r>
      <w:r w:rsidR="00FE4B6B" w:rsidRPr="0089669B">
        <w:rPr>
          <w:rFonts w:cstheme="minorHAnsi"/>
          <w:szCs w:val="24"/>
        </w:rPr>
        <w:t>early-stage</w:t>
      </w:r>
      <w:r w:rsidRPr="0089669B">
        <w:rPr>
          <w:rFonts w:cstheme="minorHAnsi"/>
          <w:szCs w:val="24"/>
        </w:rPr>
        <w:t xml:space="preserve"> mechanisms of sintering and degradation in infiltrated SOFC electrodes should help inform the design of future sinter resistant impregnated systems. However, an additional challenge for the field has been the quantification of the </w:t>
      </w:r>
      <w:r>
        <w:rPr>
          <w:rFonts w:cstheme="minorHAnsi"/>
          <w:szCs w:val="24"/>
        </w:rPr>
        <w:t>nanoscale</w:t>
      </w:r>
      <w:r w:rsidRPr="0089669B">
        <w:rPr>
          <w:rFonts w:cstheme="minorHAnsi"/>
          <w:szCs w:val="24"/>
        </w:rPr>
        <w:t xml:space="preserve"> changes occurring during SOFC operation. </w:t>
      </w:r>
    </w:p>
    <w:p w14:paraId="1B6EE5E3" w14:textId="77777777" w:rsidR="00007F6C" w:rsidRPr="0089669B" w:rsidRDefault="00007F6C" w:rsidP="00007F6C">
      <w:pPr>
        <w:spacing w:after="0" w:line="240" w:lineRule="auto"/>
        <w:jc w:val="both"/>
        <w:rPr>
          <w:rFonts w:cstheme="minorHAnsi"/>
          <w:szCs w:val="24"/>
        </w:rPr>
      </w:pPr>
    </w:p>
    <w:p w14:paraId="0875FC47" w14:textId="77777777" w:rsidR="00007F6C" w:rsidRDefault="00007F6C" w:rsidP="00007F6C">
      <w:pPr>
        <w:spacing w:after="0" w:line="240" w:lineRule="auto"/>
        <w:jc w:val="both"/>
        <w:rPr>
          <w:color w:val="000000" w:themeColor="text1"/>
        </w:rPr>
      </w:pPr>
      <w:r>
        <w:rPr>
          <w:rFonts w:cstheme="minorHAnsi"/>
          <w:szCs w:val="24"/>
        </w:rPr>
        <w:t xml:space="preserve">The challenges that present themselves are twofold: in operando studies are extremely difficult to perform </w:t>
      </w:r>
      <w:r>
        <w:rPr>
          <w:color w:val="000000" w:themeColor="text1"/>
        </w:rPr>
        <w:t>due to the highly aggressive nature of the fuel atmosphere along with the elevated operating temperatures of SOFCs. Secondly, traditional microstructural quantification techniques such as FIB-SEM lift out have highly destructive sample preparation which can impact the volumes being segmented.</w:t>
      </w:r>
    </w:p>
    <w:p w14:paraId="315BD5DC" w14:textId="77777777" w:rsidR="00007F6C" w:rsidRDefault="00007F6C" w:rsidP="00007F6C">
      <w:pPr>
        <w:spacing w:after="0" w:line="240" w:lineRule="auto"/>
        <w:jc w:val="both"/>
        <w:rPr>
          <w:rFonts w:cstheme="minorHAnsi"/>
          <w:szCs w:val="24"/>
        </w:rPr>
      </w:pPr>
    </w:p>
    <w:p w14:paraId="2B2816E4" w14:textId="76E766E9" w:rsidR="00007F6C" w:rsidRDefault="00007F6C" w:rsidP="00007F6C">
      <w:pPr>
        <w:jc w:val="both"/>
        <w:rPr>
          <w:color w:val="000000" w:themeColor="text1"/>
        </w:rPr>
      </w:pPr>
      <w:r>
        <w:rPr>
          <w:color w:val="000000" w:themeColor="text1"/>
        </w:rPr>
        <w:t xml:space="preserve">In the past ten years X-ray tomography techniques has become a popular method of tracking the microstructural evolution of the catalyst phase in fuel electrodes via 3D phase segmentation </w:t>
      </w:r>
      <w:r>
        <w:rPr>
          <w:color w:val="000000" w:themeColor="text1"/>
        </w:rPr>
        <w:fldChar w:fldCharType="begin" w:fldLock="1"/>
      </w:r>
      <w:r w:rsidR="008446C6">
        <w:rPr>
          <w:color w:val="000000" w:themeColor="text1"/>
        </w:rPr>
        <w:instrText>ADDIN CSL_CITATION {"citationItems":[{"id":"ITEM-1","itemData":{"DOI":"http://dx.doi.org/10.1016/j.elecom.2010.05.014","ISBN":"1388-2481","abstract":"Here, we demonstrate the use of X-ray absorption edge spectroscopy in conjunction with high resolution X-ray nano-computed tomography to provide a comprehensive microstructural map of a Ni–YSZ electrode from a Solid Oxide Fuel Cell. The experimentally derived microstructure has been used to develop a geometrical test for microstructural homogeneity.","author":[{"dropping-particle":"","family":"Shearing","given":"P R","non-dropping-particle":"","parse-names":false,"suffix":""},{"dropping-particle":"","family":"Gelb","given":"J","non-dropping-particle":"","parse-names":false,"suffix":""},{"dropping-particle":"","family":"Yi","given":"J","non-dropping-particle":"","parse-names":false,"suffix":""},{"dropping-particle":"","family":"Lee","given":"W K","non-dropping-particle":"","parse-names":false,"suffix":""},{"dropping-particle":"","family":"Drakopolous","given":"M","non-dropping-particle":"","parse-names":false,"suffix":""},{"dropping-particle":"","family":"Brandon","given":"N P","non-dropping-particle":"","parse-names":false,"suffix":""}],"container-title":"Electrochemistry Communications","id":"ITEM-1","issue":"8","issued":{"date-parts":[["2010"]]},"page":"1021-1024","title":"Analysis of triple phase contact in Ni–YSZ microstructures using non-destructive X-ray tomography with synchrotron radiation","type":"article-journal","volume":"12"},"uris":["http://www.mendeley.com/documents/?uuid=90853cc6-b362-4b22-ba75-b622a2085fdc"]},{"id":"ITEM-2","itemData":{"DOI":"10.1016/j.mattod.2019.05.019","ISSN":"18734103","abstract":"Over the last century, X-ray imaging instruments and their accompanying tomographic reconstruction algorithms have developed considerably. With improved tomogram quality and resolution, voxel sizes down to tens of nanometers can now be achieved. Moreover, recent advancements in readily accessible lab-based X-ray computed tomography (X-ray CT) instruments have produced spatial resolutions comparable to specialist synchrotron facilities. Electrochemical energy conversion devices, such as fuel cells and batteries, have inherently complex electrode microstructures to achieve competitive power delivery for consideration as replacements for conventional sources. With resolution capabilities spanning tens of microns to tens of nanometers, X-ray CT has become widely employed in the three-dimensional (3D) characterization of electrochemical materials. The ability to perform multiscale imaging has enabled characterization from system-down to particle-level, with the ability to resolve critical features within device microstructures. X-ray characterization presents a favorable alternative to other 3D methods, such as focused ion beam scanning electron microscopy, due to its non-destructive nature, which allows four-dimensional (4D) studies, three spatial dimensions plus time, linking structural dynamics to device performance and lifetime. X-ray CT has accelerated research from fundamental understanding of the links between cell structure and performance, to the improvement in manufacturing and scale-up of full electrochemical cells. Furthermore, this has aided in the mitigation of degradation and cell-level failures, such as thermal runaway. This review presents recent developments in the use of X-ray CT as a characterization method and its role in the advancement of electrochemical materials engineering.","author":[{"dropping-particle":"","family":"Heenan","given":"Thomas M.M.","non-dropping-particle":"","parse-names":false,"suffix":""},{"dropping-particle":"","family":"Tan","given":"Chun","non-dropping-particle":"","parse-names":false,"suffix":""},{"dropping-particle":"","family":"Hack","given":"Jennifer","non-dropping-particle":"","parse-names":false,"suffix":""},{"dropping-particle":"","family":"Brett","given":"Dan J.L.","non-dropping-particle":"","parse-names":false,"suffix":""},{"dropping-particle":"","family":"Shearing","given":"Paul R.","non-dropping-particle":"","parse-names":false,"suffix":""}],"container-title":"Materials Today","id":"ITEM-2","issue":"December","issued":{"date-parts":[["2019"]]},"page":"69-85","publisher":"Elsevier B.V.","title":"Developments in X-ray tomography characterization for electrochemical devices","type":"article-journal","volume":"31"},"uris":["http://www.mendeley.com/documents/?uuid=5a69f3ee-6f01-46b1-a3b2-22259527df4c"]},{"id":"ITEM-3","itemData":{"DOI":"10.1002/fuce.201600176","ISSN":"16156854","abstract":"Triple-phase boundaries are an important microstructural metric to assess the performance and durability of solid oxide fuel cell electrodes and are known to significantly influence the performance at cell level. In recent years many advancements have been made in the quantification of TPBs including the use of focused ion beam scanning electron microscopes and synchrotron X-ray tomography, although neither technique comes without limitation; the former being destructive and the latter having limited availability. This work demonstrates the first example of the application of lab-based X-ray nano-CT for non-destructive, microstructural characterization of a SOFC electrode, where three-phase segmentation has been achieved. A SOFC anode cermet consisting of nickel and yttria-stabilized zirconia was imaged under X-ray using two fields of view: 64 µm × 64 µm and 16 µm × 16 µm, with compositional data displayed for several samples at the two resolutions. This work highlights the possibility of three-phase segmentation using lab-based equipment allowing non-destructive quantification and mapping of triple-phase boundaries without the need for synchrotron radiation.","author":[{"dropping-particle":"","family":"Heenan","given":"T. M.M.","non-dropping-particle":"","parse-names":false,"suffix":""},{"dropping-particle":"","family":"Bailey","given":"J. J.","non-dropping-particle":"","parse-names":false,"suffix":""},{"dropping-particle":"","family":"Lu","given":"X.","non-dropping-particle":"","parse-names":false,"suffix":""},{"dropping-particle":"","family":"Robinson","given":"J. B.","non-dropping-particle":"","parse-names":false,"suffix":""},{"dropping-particle":"","family":"Iacoviello","given":"F.","non-dropping-particle":"","parse-names":false,"suffix":""},{"dropping-particle":"","family":"Finegan","given":"D. P.","non-dropping-particle":"","parse-names":false,"suffix":""},{"dropping-particle":"","family":"Brett","given":"D. J.L.","non-dropping-particle":"","parse-names":false,"suffix":""},{"dropping-particle":"","family":"Shearing","given":"P. R.","non-dropping-particle":"","parse-names":false,"suffix":""}],"container-title":"Fuel Cells","id":"ITEM-3","issue":"1","issued":{"date-parts":[["2017"]]},"page":"75-82","title":"Three-Phase Segmentation of Solid Oxide Fuel Cell Anode Materials Using Lab Based X-ray Nano-Computed Tomography","type":"article-journal","volume":"17"},"uris":["http://www.mendeley.com/documents/?uuid=fe586665-7984-4c8b-8b5e-2a5ffce1bf74"]},{"id":"ITEM-4","itemData":{"DOI":"10.1016/j.jpowsour.2017.08.095","ISSN":"03787753","abstract":"This study aims to correlate the active triple phase boundaries (TPBs) to the variation of as-prepared anode microstructures and Ni densifications based on the reconstructed 3D volume of an SOFC anode, providing a point of comparison with theoretical studies that reveal the relationship of TPBs and the material microstructure using randomly packed spheres models. The TPB degradation mechanisms are explained using a particle network model. The results indicate that in low porosity regime, the TPBs sharply increase with the porosity until the percolation threshold (10%); at intermediate porosity (10%–25%), a balance of surface area between three phases is more critical than that of volume fraction to reach the optimal TPB density; in the high porosity regime (&gt;25%), the TPBs start to drop due to the shrinkage and detachment of Ni/YSZ interfaces. The TPB density is inversely proportional to the degree of Ni densification as long as the Ni content is above the percolation threshold (35%) and can be improved by 70% within 7% change of porosity provided that the over-densification is mitigated. This has implications for the design of SOFC microstructures as well for electrode durability, where Ni agglomeration is known to deleteriously impact long-term operation.","author":[{"dropping-particle":"","family":"Lu","given":"Xuekun","non-dropping-particle":"","parse-names":false,"suffix":""},{"dropping-particle":"","family":"Heenan","given":"Thomas M.M.","non-dropping-particle":"","parse-names":false,"suffix":""},{"dropping-particle":"","family":"Bailey","given":"Josh J.","non-dropping-particle":"","parse-names":false,"suffix":""},{"dropping-particle":"","family":"Li","given":"Tao","non-dropping-particle":"","parse-names":false,"suffix":""},{"dropping-particle":"","family":"Li","given":"Kang","non-dropping-particle":"","parse-names":false,"suffix":""},{"dropping-particle":"","family":"Brett","given":"Daniel J.L.","non-dropping-particle":"","parse-names":false,"suffix":""},{"dropping-particle":"","family":"Shearing","given":"Paul R.","non-dropping-particle":"","parse-names":false,"suffix":""}],"container-title":"Journal of Power Sources","id":"ITEM-4","issued":{"date-parts":[["2017"]]},"page":"210-219","publisher":"Elsevier B.V","title":"Correlation between triple phase boundary and the microstructure of Solid Oxide Fuel Cell anodes: The role of composition, porosity and Ni densification","type":"article-journal","volume":"365"},"uris":["http://www.mendeley.com/documents/?uuid=a73ab901-2b59-488b-a6fe-8fbb06bef8f9"]}],"mendeley":{"formattedCitation":"[255], [273], [485], [486]","plainTextFormattedCitation":"[255], [273], [485], [486]","previouslyFormattedCitation":"[255], [273], [485], [486]"},"properties":{"noteIndex":0},"schema":"https://github.com/citation-style-language/schema/raw/master/csl-citation.json"}</w:instrText>
      </w:r>
      <w:r>
        <w:rPr>
          <w:color w:val="000000" w:themeColor="text1"/>
        </w:rPr>
        <w:fldChar w:fldCharType="separate"/>
      </w:r>
      <w:r w:rsidR="00A77A83" w:rsidRPr="00A77A83">
        <w:rPr>
          <w:noProof/>
          <w:color w:val="000000" w:themeColor="text1"/>
        </w:rPr>
        <w:t>[255], [273], [485], [486]</w:t>
      </w:r>
      <w:r>
        <w:rPr>
          <w:color w:val="000000" w:themeColor="text1"/>
        </w:rPr>
        <w:fldChar w:fldCharType="end"/>
      </w:r>
      <w:r>
        <w:rPr>
          <w:color w:val="000000" w:themeColor="text1"/>
        </w:rPr>
        <w:t>. This is done via offline ageing of the sample and reimaging the same over a desired time.</w:t>
      </w:r>
    </w:p>
    <w:p w14:paraId="3C02E49F" w14:textId="151B64CB" w:rsidR="00007F6C" w:rsidRDefault="00007F6C" w:rsidP="00007F6C">
      <w:pPr>
        <w:jc w:val="both"/>
        <w:rPr>
          <w:color w:val="000000" w:themeColor="text1"/>
        </w:rPr>
      </w:pPr>
      <w:r>
        <w:rPr>
          <w:color w:val="000000" w:themeColor="text1"/>
        </w:rPr>
        <w:lastRenderedPageBreak/>
        <w:t>Unlike other X-ray tomography methods, ptychography being a technique not hindered by using lenses can provide higher resolutions than its TXM counterparts. Sub 30 nm resolutions are achievable using ptychographic imaging making it ideal in imaging the microstructural changes present in wet impregnated Ni-YSZ fuel electrodes</w:t>
      </w:r>
      <w:r w:rsidR="008446C6">
        <w:rPr>
          <w:color w:val="000000" w:themeColor="text1"/>
        </w:rPr>
        <w:t xml:space="preserve"> </w:t>
      </w:r>
      <w:r w:rsidR="008446C6">
        <w:rPr>
          <w:color w:val="000000" w:themeColor="text1"/>
        </w:rPr>
        <w:fldChar w:fldCharType="begin" w:fldLock="1"/>
      </w:r>
      <w:r w:rsidR="00EC62EF">
        <w:rPr>
          <w:color w:val="000000" w:themeColor="text1"/>
        </w:rPr>
        <w:instrText>ADDIN CSL_CITATION {"citationItems":[{"id":"ITEM-1","itemData":{"DOI":"10.1364/OE.23.012720","ISBN":"1094-4087 (Electronic)\r1094-4087 (Linking)","PMID":"26074526","abstract":"Propagation-based imaging or inline holography in combination with computed tomography (holotomography) is a versatile tool to access a sample's three-dimensional (3D) micro or nano structure. However, the phase retrieval step needed prior to tomographic reconstruction can be challenging especially for strongly absorbing and refracting samples. Near-field ptychography is a recently developed phase imaging method that has been proven to overcome this hurdle in projection data. In this work we extend near-field ptychography to three dimensions and we show that, in combination with tomography, it can access the nano structure of a solid oxide fuel cell (SOFC). The quality of the resulting tomographic data and the structural properties of the anode extracted from this volume were compared to previous results obtained with holotomography. This work highlights the potential of 3D near-field ptychography for reliable and detailed investigations of samples at the nanometer scale, with important applications in materials and life sciences among others.","author":[{"dropping-particle":"","family":"Stockmar","given":"M","non-dropping-particle":"","parse-names":false,"suffix":""},{"dropping-particle":"","family":"Hubert","given":"M","non-dropping-particle":"","parse-names":false,"suffix":""},{"dropping-particle":"","family":"Dierolf","given":"M","non-dropping-particle":"","parse-names":false,"suffix":""},{"dropping-particle":"","family":"Enders","given":"B","non-dropping-particle":"","parse-names":false,"suffix":""},{"dropping-particle":"","family":"Clare","given":"R","non-dropping-particle":"","parse-names":false,"suffix":""},{"dropping-particle":"","family":"Allner","given":"S","non-dropping-particle":"","parse-names":false,"suffix":""},{"dropping-particle":"","family":"Fehringer","given":"A","non-dropping-particle":"","parse-names":false,"suffix":""},{"dropping-particle":"","family":"Zanette","given":"I","non-dropping-particle":"","parse-names":false,"suffix":""},{"dropping-particle":"","family":"Villanova","given":"J","non-dropping-particle":"","parse-names":false,"suffix":""},{"dropping-particle":"","family":"Laurencin","given":"J","non-dropping-particle":"","parse-names":false,"suffix":""},{"dropping-particle":"","family":"Cloetens","given":"P","non-dropping-particle":"","parse-names":false,"suffix":""},{"dropping-particle":"","family":"Pfeiffer","given":"F","non-dropping-particle":"","parse-names":false,"suffix":""},{"dropping-particle":"","family":"Thibault","given":"P","non-dropping-particle":"","parse-names":false,"suffix":""}],"container-title":"Opt Express","edition":"2015/06/16","id":"ITEM-1","issue":"10","issued":{"date-parts":[["2015"]]},"note":"Stockmar, Marco\nHubert, Maxime\nDierolf, Martin\nEnders, Bjoern\nClare, Richard\nAllner, Sebastian\nFehringer, Andreas\nZanette, Irene\nVillanova, Julie\nLaurencin, Jerome\nCloetens, Peter\nPfeiffer, Franz\nThibault, Pierre\neng\nOpt Express. 2015 May 18;23(10):12720-31. doi: 10.1364/OE.23.012720.","page":"12720-12731","title":"X-ray nanotomography using near-field ptychography","type":"article-journal","volume":"23"},"uris":["http://www.mendeley.com/documents/?uuid=47d8b451-10c5-4f92-8912-2de26588a428"]},{"id":"ITEM-2","itemData":{"DOI":"10.1016/j.jpowsour.2018.02.031","ISSN":"03787753","abstract":"Nickel coarsening is considered a significant cause of solid oxide cell (SOC) performance degradation. Therefore, understanding the morphological changes in the nickel-yttria stabilized zirconia (Ni-YSZ) fuel electrode is crucial for the wide spread usage of SOC technology. This paper reports a study of the initial 3D microstructure evolution of a SOC analyzed in the pristine state and after 3 and 8 h of annealing at 850 °C, in dry hydrogen. The analysis of the evolution of the same location of the electrode shows a substantial change of the nickel and pore network during the first 3 h of treatment, while only negligible changes are observed after 8 h. The nickel coarsening results in loss of connectivity in the nickel network, reduced nickel specific surface area and decreased total triple phase boundary density. For the condition of this experiment, nickel coarsening is shown to be predominantly curvature driven, and changes in the electrode microstructure parameters are discussed in terms of local microstructural evolution.","author":[{"dropping-particle":"","family":"Angelis","given":"Salvatore","non-dropping-particle":"De","parse-names":false,"suffix":""},{"dropping-particle":"","family":"Jørgensen","given":"Peter Stanley","non-dropping-particle":"","parse-names":false,"suffix":""},{"dropping-particle":"","family":"Tsai","given":"Esther Hsiao Rho","non-dropping-particle":"","parse-names":false,"suffix":""},{"dropping-particle":"","family":"Holler","given":"Mirko","non-dropping-particle":"","parse-names":false,"suffix":""},{"dropping-particle":"","family":"Kreka","given":"Kosova","non-dropping-particle":"","parse-names":false,"suffix":""},{"dropping-particle":"","family":"Bowen","given":"Jacob R.","non-dropping-particle":"","parse-names":false,"suffix":""}],"container-title":"Journal of Power Sources","id":"ITEM-2","issue":"January","issued":{"date-parts":[["2018"]]},"page":"72-79","publisher":"Elsevier","title":"Three dimensional characterization of nickel coarsening in solid oxide cells via ex-situ ptychographic nano-tomography","type":"article-journal","volume":"383"},"uris":["http://www.mendeley.com/documents/?uuid=d80e420a-2c33-4685-ac82-35d0ee0c95dd"]}],"mendeley":{"formattedCitation":"[366], [487]","plainTextFormattedCitation":"[366], [487]","previouslyFormattedCitation":"[366], [487]"},"properties":{"noteIndex":0},"schema":"https://github.com/citation-style-language/schema/raw/master/csl-citation.json"}</w:instrText>
      </w:r>
      <w:r w:rsidR="008446C6">
        <w:rPr>
          <w:color w:val="000000" w:themeColor="text1"/>
        </w:rPr>
        <w:fldChar w:fldCharType="separate"/>
      </w:r>
      <w:r w:rsidR="008446C6" w:rsidRPr="008446C6">
        <w:rPr>
          <w:noProof/>
          <w:color w:val="000000" w:themeColor="text1"/>
        </w:rPr>
        <w:t>[366], [487]</w:t>
      </w:r>
      <w:r w:rsidR="008446C6">
        <w:rPr>
          <w:color w:val="000000" w:themeColor="text1"/>
        </w:rPr>
        <w:fldChar w:fldCharType="end"/>
      </w:r>
      <w:r>
        <w:rPr>
          <w:color w:val="000000" w:themeColor="text1"/>
        </w:rPr>
        <w:t>.</w:t>
      </w:r>
    </w:p>
    <w:p w14:paraId="56097FA7" w14:textId="77777777" w:rsidR="00007F6C" w:rsidRDefault="00007F6C" w:rsidP="00007F6C">
      <w:pPr>
        <w:jc w:val="both"/>
      </w:pPr>
      <w:r w:rsidRPr="00644D81">
        <w:t xml:space="preserve">This experimental chapter focusses on the </w:t>
      </w:r>
      <w:r>
        <w:t xml:space="preserve">monitoring the microstructural changes evident in infiltrated solid oxide fuel cell anodes using ptychography as the main phase quantification method. This work is the first example of its kind using ptychography to image </w:t>
      </w:r>
      <w:r w:rsidRPr="00644D81">
        <w:t xml:space="preserve">infiltrated SOFC fuel electrodes </w:t>
      </w:r>
      <w:r>
        <w:t>across an 8 h period. Characterising the sintering mechanisms of infiltrated samples is paramount to determining the deactivation steps present in the SOFC systems.</w:t>
      </w:r>
    </w:p>
    <w:p w14:paraId="457305FB" w14:textId="77777777" w:rsidR="00007F6C" w:rsidRDefault="00007F6C" w:rsidP="00007F6C">
      <w:pPr>
        <w:pStyle w:val="Heading3"/>
        <w:jc w:val="both"/>
      </w:pPr>
      <w:bookmarkStart w:id="533" w:name="_Toc69129441"/>
      <w:r>
        <w:t xml:space="preserve">6.1.1 Chapter </w:t>
      </w:r>
      <w:proofErr w:type="gramStart"/>
      <w:r>
        <w:t>Aims</w:t>
      </w:r>
      <w:bookmarkEnd w:id="533"/>
      <w:proofErr w:type="gramEnd"/>
    </w:p>
    <w:p w14:paraId="68B93FA1" w14:textId="77777777" w:rsidR="00007F6C" w:rsidRPr="000A7604" w:rsidRDefault="00007F6C" w:rsidP="00007F6C">
      <w:pPr>
        <w:jc w:val="both"/>
      </w:pPr>
      <w:r>
        <w:t xml:space="preserve">This study aims to use ptychography to identify the major coarsening mechanism present in infiltrated Ni-YSZ electrodes via the phase segmentation of the identical sample volumes over time. </w:t>
      </w:r>
    </w:p>
    <w:p w14:paraId="25CAEE57" w14:textId="0B696D9D" w:rsidR="00007F6C" w:rsidRDefault="008C7ED1" w:rsidP="00007F6C">
      <w:pPr>
        <w:pStyle w:val="Heading3"/>
        <w:jc w:val="both"/>
      </w:pPr>
      <w:bookmarkStart w:id="534" w:name="_Toc69129442"/>
      <w:r>
        <w:t xml:space="preserve">6.1.2 </w:t>
      </w:r>
      <w:r w:rsidR="00007F6C">
        <w:t>Hypotheses</w:t>
      </w:r>
      <w:bookmarkEnd w:id="534"/>
    </w:p>
    <w:p w14:paraId="752633D4" w14:textId="77777777" w:rsidR="00007F6C" w:rsidRDefault="00007F6C" w:rsidP="00007F6C">
      <w:pPr>
        <w:pStyle w:val="ListParagraph"/>
        <w:numPr>
          <w:ilvl w:val="0"/>
          <w:numId w:val="34"/>
        </w:numPr>
        <w:jc w:val="both"/>
      </w:pPr>
      <w:r>
        <w:t xml:space="preserve">The nickel, YSZ and pore phases can be </w:t>
      </w:r>
      <w:r w:rsidRPr="001236A2">
        <w:t xml:space="preserve">successfully </w:t>
      </w:r>
      <w:r>
        <w:t xml:space="preserve">segmented for identical volumes in infiltrated Ni-YSZ fuel electrode </w:t>
      </w:r>
      <w:proofErr w:type="gramStart"/>
      <w:r>
        <w:t>samples</w:t>
      </w:r>
      <w:proofErr w:type="gramEnd"/>
    </w:p>
    <w:p w14:paraId="559F3D02" w14:textId="77777777" w:rsidR="00007F6C" w:rsidRPr="001236A2" w:rsidRDefault="00007F6C" w:rsidP="00007F6C">
      <w:pPr>
        <w:pStyle w:val="ListParagraph"/>
        <w:numPr>
          <w:ilvl w:val="0"/>
          <w:numId w:val="34"/>
        </w:numPr>
        <w:jc w:val="both"/>
      </w:pPr>
      <w:r>
        <w:t xml:space="preserve">Coarsening mechanism of the nickel electro-catalyst can be deduced using </w:t>
      </w:r>
      <w:proofErr w:type="gramStart"/>
      <w:r>
        <w:t>ptychography</w:t>
      </w:r>
      <w:proofErr w:type="gramEnd"/>
    </w:p>
    <w:p w14:paraId="58F44C44" w14:textId="77777777" w:rsidR="00007F6C" w:rsidRDefault="00007F6C" w:rsidP="00007F6C">
      <w:pPr>
        <w:pStyle w:val="Heading1"/>
      </w:pPr>
      <w:bookmarkStart w:id="535" w:name="_Toc69129443"/>
      <w:r>
        <w:t>6.2</w:t>
      </w:r>
      <w:r>
        <w:tab/>
      </w:r>
      <w:r w:rsidRPr="00644D81">
        <w:t>Experimental procedure</w:t>
      </w:r>
      <w:r>
        <w:t xml:space="preserve"> overview</w:t>
      </w:r>
      <w:bookmarkEnd w:id="535"/>
    </w:p>
    <w:p w14:paraId="2F1EC50A" w14:textId="77777777" w:rsidR="00007F6C" w:rsidRDefault="00007F6C" w:rsidP="00007F6C">
      <w:pPr>
        <w:jc w:val="both"/>
      </w:pPr>
      <w:r>
        <w:t xml:space="preserve">The Ni-YSZ samples used in this chapter, were split into two groups: the ptychographic sample group and the witness sample group. Identical production batches and samples were used to provide comparability between both groups. </w:t>
      </w:r>
    </w:p>
    <w:p w14:paraId="4A79DF88" w14:textId="77777777" w:rsidR="00007F6C" w:rsidRDefault="00007F6C" w:rsidP="00007F6C">
      <w:pPr>
        <w:pStyle w:val="Heading2"/>
      </w:pPr>
      <w:bookmarkStart w:id="536" w:name="_Toc69129444"/>
      <w:r>
        <w:t>6.2.1 Characterisation Techniques</w:t>
      </w:r>
      <w:bookmarkEnd w:id="536"/>
    </w:p>
    <w:p w14:paraId="40814883" w14:textId="78F03CC0" w:rsidR="00007F6C" w:rsidRDefault="00007F6C" w:rsidP="00007F6C">
      <w:pPr>
        <w:jc w:val="both"/>
      </w:pPr>
      <w:r>
        <w:t xml:space="preserve">Wet impregnation/ infiltration has been shown to amplify the active area of the electro-catalyst in SOFC fuel electrodes, leading to enhanced reaction rates </w:t>
      </w:r>
      <w:r>
        <w:fldChar w:fldCharType="begin" w:fldLock="1"/>
      </w:r>
      <w:r w:rsidR="00D80A5D">
        <w:instrText>ADDIN CSL_CITATION {"citationItems":[{"id":"ITEM-1","itemData":{"DOI":"10.1149/05701.1801ecst","ISBN":"19385862 (ISSN)","ISSN":"1938-6737","abstract":"To develop next generation solid oxide fuel cells operated at reduced temps. with a wide variety of hydrocarbon fuels, surface modification of electrodes is an effective approach to enhancing the performance of both the state-of-the-art Ni-YSZ anode and La0.6Sr0.4Co0.2Fe0.8O3-δ (LSCF) cathodes.  For example, BaO nano-islands on the surfaces of Ni grains greatly improved the coking-tolerance of Ni-YSZ anode through a water mediated carbon removal process.  Similarly, an efficient catalyst layer was created in Ni-YSZ anodes when proper amt. of BaCO3 was added to the NiO-YSZ anode support in the early stage of processing.  For SOFC cathodes, a soln. infiltration process has been used to coat various active catalysts on the surface of LSCF cathodes to enhance the catalytic activity and stability.  The surface coatings include discrete particles of doped ceria and samarium doped strontium cobaltite (SSC), and dense, continuous thin films of La1-xSrxMnO3-δ (LSM), Pr0.75Sr0.2MnO3-δ (PSM), and PrSrCoMnO6-δ (PSCM). [on SciFinder(R)]","author":[{"dropping-particle":"","family":"Ding","given":"D.","non-dropping-particle":"","parse-names":false,"suffix":""},{"dropping-particle":"","family":"Liu","given":"M.","non-dropping-particle":"","parse-names":false,"suffix":""}],"container-title":"ECS Transactions","edition":"1","id":"ITEM-1","issue":"1","issued":{"date-parts":[["2013"]]},"language":"English","note":"Cited By :6\nExport Date: 20 January 2017\nReferences: Minh, N.Q., (1993) J. Am. Ceram. Soc, 76, p. 563; Steele, B.C.H., Heinzel, A., (2001) Nature, 414, p. 345; Singhal, S.C., (2002) Solid State Ionics, 152, p. 405; McIntosh, S., Gorte, R.J., (2004) Chem. Rev, 104, p. 4845; Cheng, Z., Wang, J.-H., Choi, Y., Yang, L., Lin, M.C., Liu, M., (2011) Energy Environ. Sci, 4, p. 4380; Atkinson, A., Barnett, S., Gorte, R.J., Irvine, J.T.S., McEvoy, A.J., Mogensen, M., Singhal, S.C., Vohs, J., (2004) Nature Materials, 3, p. 17; Yang, L., Wang, S.Z., Blinn, K., Liu, M.F., Liu, Z., Cheng, Z., Liu, M.L., (2009) Science, 326, p. 126; Fleig, J., (2003) Ann. Rev. Mater. Res, 33, p. 361; Tao, S.W., Irvine, J.T.S., (2003) Nature Materials, 2, p. 320; Huang, Y.H., Dass, R.I., Xing, Z.L., Goodenough, J.B., (2006) Science, 312, p. 254; Shao, Z.P., Haile, S.M., (2004) Nature, 431, p. 170; Xia, C.R., Rauch, W., Chen, F.L., Liu, M.L., (2002) Solid State Ionics, 149, p. 11; Kim, G., Wang, S., Jacobson, A.J., Reimus, L., Brodersen, P., Mims, C.A., (2007) J. Mater. Chem, 17, p. 2500; Watanabe, M., Uchida, H., Shibata, M., Mochizuki, N., Amikura, K., (1994) J. Electrochem. Soc, 141, p. 342; Liu, M., Choi, Y., Yang, L., Blinn, K., Qin, W., Liu, P., Liu, M., (2012) Nano Energy, 1, p. 448; Yang, L., Choi, Y., Qin, W., Chen, H., Blinn, K., Liu, M., Liu, P., Liu, M., (2011) Nature Commun, 2; Nie, L.F., Liu, M.F., Zhang, Y.J., Liu, M.L., (2010) J Power Sources, 195, p. 4704; Liu, M.F., Ding, D., Blinn, K., Li, X.X., Nie, L.F., Liu, M., (2012) Int. J. Hydrogen Energ, 37, p. 8613; Lou, X.Y., Wang, S.Z., Liu, Z., Yang, L., Liu, M.L., (2009) Solid State Ionics, 180, p. 1285; Choi, J.-J., Qin, W., Liu, M., Liu, M., (2011) J. Am. Ceram. Soc, 94, p. 3340; Lynch, M.E., Yang, L., Qin, W., Choi, J.-J., Liu, M., Blinn, K., Liu, M., (2011) Energy Environ. Sci, 4, p. 2249; Ding, D., Liu, M., Liu, Z., Li, X., Blinn, K., Zhu, X., Liu, M., Adv. Energy Mater, , DOI: 10.1002/aenm.201200984; Kim, Y.B., Holme, T.P., Gür, T.M., Prinz, F.B., (2011) Adv. Funct. Mater, 21, p. 4684; Ding, D., Zhu, W., Gao, J.F., Xia, C.R., (2008) J. Power Sources, 179, p. 177; Sholklapper, T.Z., Kurokawa, H., Jacobson, C.P., Visco, S.J., De Jonghe, L.C., (2007) Nano Letters, 7, p. 2136; Lee, S., Miller, N., Abernathy, H., Gerdes, K., Manivannan, A., (2011) J. Electrochem. Soc, 158, pp. B735; Saeki, M.J., Uchida, H., Watanabe, M., (1994) Catal Lett, 26, p. 149; Zhan, Z.L., Barnett, S., (2005) Solid Oxide Fuel Cells (SOFC IX), p. 1060. , Pennington, NJ; Jiang, S.P., (2002) Solid State Ionics, 146, p. 1; Esquirol, A., Brandon, N.P., Kilner, J.A., Mogensen, M., (2004) J. Electrochem. Soc, 151, pp. A1847; Baumann, F.S., Fleig, J., Habermeier, H.U., Maier, J., (2006) Solid State Ionics, 177, p. 1071; Simrick, N.J., Bieberle-Hutter, A., Ryll, T.M., Kilner, J.A., Atkinson, A., Rupp, J.L.M., (2012) Solid State Ionics, 206, p. 7; Prestat, M., Infortuna, A., Korrodi, S., Rey-Mermet, S., Muralt, P., Gauckler, L.J., (2007) J. Electroceram, 18, p. 111; Simner, S.P., Anderson, M.D., Engelhard, M.H., Stevenson, J.W., (2006) Electrochem. Solid State Lett, 9, pp. A478; Kim, J.Y., Sprenkle, V.L., Canfield, N.L., Meinhardt, K.D., Chick, L.A., (2006) J. Electrochem Soc, 153, pp. A880; Becker, M., Mai, A., Ivers-Tiffee, E., Tietz, F., (2005) Solid Oxide Fuel Cells (SOFC IX), p. 514. , Pennington, NJ; Jiang, S.P., (2006) Mat. Sci. Eng. A-struct, 418, p. 199; Bai, Y., Liu, M., Ding, D., Blinn, K., Qin, W., Liu, J., Liu, M., (2012) J. Power Sources, 205, p. 80","page":"1801-1810","publisher":"Electrochemical Society Inc.","title":"Enhancing SOFC Electrode Performance Through Surface Modification","type":"paper-conference","volume":"57"},"uris":["http://www.mendeley.com/documents/?uuid=3a92cb4a-86aa-45e7-8062-4ca91358a0ce"]},{"id":"ITEM-2","itemData":{"DOI":"10.1149/1.2895009","ISBN":"10990062 (ISSN)","ISSN":"10990062","abstract":"A theoretical model is proposed to estimate the length of three-phase boundary (TPB) of ion-impregnation-derived solid oxide fuel cell (SOFC) electrodes, which have experimentally shown considerable advantages in performance when compared with standard composite electrodes such as Ni-yttria-stabilized zirconia (YSZ) and (La,Sr)MnO3-YSZ. The electrode is modeled as a sphere-packed framework whose surface is coated with second-phase nanoscale particles. Compared with the composite electrodes, the impregnated electrodes show great enhancement in TPB length, theoretically indicating the feasibility of achieving highly electrochemically active electrodes by means of ion impregnation.","author":[{"dropping-particle":"","family":"Zhu","given":"Wei","non-dropping-particle":"","parse-names":false,"suffix":""},{"dropping-particle":"","family":"Ding","given":"Dong","non-dropping-particle":"","parse-names":false,"suffix":""},{"dropping-particle":"","family":"Xia","given":"Changrong","non-dropping-particle":"","parse-names":false,"suffix":""}],"container-title":"Electrochemical and Solid-State Letters","id":"ITEM-2","issue":"6","issued":{"date-parts":[["2008"]]},"language":"English","note":"From Duplicate 2 (Enhancement in Three-Phase Boundary of SOFC Electrodes by an Ion Impregnation Method: A Modeling Comparison - Zhu, Wei; Ding, Dong; Xia, Changrong)\n\nCited By :61\nExport Date: 13 December 2016\nCODEN: ESLEF\nCorrespondence Address: Zhu, W.; Department of Electrical and Computer Engineering, FAMU-FSU College of Engineering, Tallahassee, FL 32310, United States\nReferences: Minh, N.Q., (1993) J. Am. Ceram. Soc., 76, p. 563. , JACTAW 0002-7820 10.1111/j.1151-2916.1993.tb03645.x; De Boer, B., Gonzalez, M., Bouwmeester, H.J.M., Verweij, H., (2000) Solid State Ionics, 127, p. 269. , SSIOD3 0167-2738 10.1016/S0167-2738(99)00299-4; Bieberle, A., Meier, L.P., Gauckler, L.J., (2001) J. Electrochem. Soc., 148, p. 646. , JESOAN 0013-4651 10.1149/1.1372219; Vanheuveln, F.H., Bouwmeester, H.J.M., Vanberkel, F.P.F., (1997) J. Electrochem. Soc., 144, p. 126. , JESOAN 0013-4651 10.1149/1.1837374; Horita, T., Yamaji, K., Sakai, N., Xiong, X.P., Kato, T., Yokokawa, H., Kawada, T., (2002) J. Power Sources, 106, p. 224. , JPSODZ 0378-7753 10.1016/S0378-7753(01)01017-5; Deseure, J., Bultel, Y., Dessemond, L., Siebert, E., (2005) Electrochim. Acta, 50, p. 2037. , ELCAAV 0013-4686 10.1016/j.electacta.2004.09.012; Tanner, C.W., Fung, K.Z., Virkar, A.V., (1997) J. Electrochem. Soc., 144, p. 21. , JESOAN 0013-4651 10.1149/1.1837360; Chan, S.H., Xia, Z.T., (2001) J. Electrochem. Soc., 148, p. 388. , JESOAN 0013-4651 10.1149/1.1357174; Fukui, T., Ohara, S., Naito, M., Nogi, K., (2001) J. Nanopart. Res., 3, p. 171. , JNARFA 1388-0764; Mamak, M., Metraux, G.S., Petrov, S., Coombs, N., Ozin, G.A., Green, M.A., (2003) J. Am. Chem. Soc., 125, p. 5161. , JACSAT 0002-7863 10.1021/ja027881; Lee, D.S., Lee, J.H., Kim, J., Lee, H.W., Song, H.S., (2004) Solid State Ionics, 166, p. 13. , SSIOD3 0167-2738 10.1016/j.ssi.2003.10.003; Esposito, V., De Florio, D.Z., Fonseca, F.C., Muccillo, E.N.S., Muccillo, R., Traversa, E., (2005) J. Eur. Ceram. Soc., 25, p. 2637. , JECSER 0955-2219 10.1016/j.jeurceramsoc.2005.03.116; Lu, C., Sholklapper, T.Z., Jacobson, C.P., Visco, S.J., De Jonghe, L.C., (2006) J. Electrochem. Soc., 153, p. 1115. , JESOAN 0013-4651 10.1149/1.2192733; Jiang, S.P., Zhang, S., Zhen, Y.D., Koh, A.P., (2004) Electrochem. Solid-State Lett., 7, p. 282. , ESLEF6 1099-0062 10.1149/1.1783112; Jiang, S.P., Zhang, S., Da Zhen, Y., Wang, W., (2005) J. Am. Ceram. Soc., 88, p. 1779. , JACTAW 0002-7820 10.1111/j.1551-2916.2005.00362.x; Jiang, S.P., Wang, W., Zhen, Y.D., (2005) J. Power Sources, 147, p. 1. , JPSODZ 0378-7753; Jasinski, P., Suzuki, T., Petrovsky, V., Anderson, H.U., (2005) Electrochem. Solid-State Lett., 8, p. 219. , ESLEF6 1099-0062 10.1149/1.1869153; Zhu, W., Xia, C.R., Fan, J., Peng, R.R., Meng, G.Y., (2006) J. Power Sources, 160, p. 897. , JPSODZ 0378-7753; Xu, X.Y., Jiang, Z.Y., Fan, X., Xia, C.R., (2006) Solid State Ionics, 177, p. 2113. , SSIOD3 0167-2738; Jiang, S.P., Wang, W., (2005) J. Electrochem. Soc., 152, p. 1398. , JESOAN 0013-4651 10.1149/1.1928167; Huang, Y.Y., Vohs, J.M., Gorte, R.J., (2005) J. Electrochem. Soc., 152, p. 1347. , JESOAN 0013-4651 10.1149/1.1926669; Xu, X.Y., Xia, C.R., Mao, G.L., Peng, D., (2005) Solid State Ionics, 176, p. 1513. , SSIOD3 0167-2738; Zhao, F., Peng, R.R., Xia, C.R., (2008) Mater. Res. Bull., 43, p. 370. , MRBUAC 0025-5408; Costamagna, P., Costa, P., Antonucci, V., (1998) Electrochim. Acta, 43, p. 375. , ELCAAV 0013-4686 10.1016/S0013-4686(97)00063-7; Bouvard, D., Lange, F.F., (1991) Acta Metall. Mater., 39, p. 3083. , AMATEB 0956-7151 10.1016/0956-7151(91)90041-X; Suzuki, M., Oshima, T., (1983) Powder Technol., 35, p. 159. , POTEBX 0032-5910 10.1016/0032-5910(83)87004-1; Sholklapper, T.Z., Kurokawa, H., Jacobson, C.P., Visco, S.J., De Jonghe, L.C., (2007) Nano Lett., 7, p. 2136. , NALEFD 1530-6984","page":"B83","title":"Enhancement in Three-Phase Boundary of SOFC Electrodes by an Ion Impregnation Method: A Modeling Comparison","type":"article-journal","volume":"11"},"uris":["http://www.mendeley.com/documents/?uuid=fb6f5c2b-4672-4c9d-9ce5-3881ba0a4fcf"]},{"id":"ITEM-3","itemData":{"DOI":"10.1016/j.ijhydene.2011.09.067","ISBN":"0360-3199","ISSN":"03603199","abstract":"Solid oxide fuel cells (SOFCs) are the most efficient devices for the direct conversion of the chemical energy stored in fuels such as hydrogen and hydrocarbons into electricity. The development of highly efficient and robust SOFCs requires cathodes and anodes with high electrocatalytic activity for O2 reduction and direct oxidation of hydrocarbon fuels, respectively. Nanoscale engineering of electrode structures via metal salt solution impregnation or infiltration attracts increasing attention as the most effective way to develop highly active and advanced electrode structures for SOFCs. The infiltration method opens a new horizon in the advanced electrode development as the method expands the set of variable electrode materials combinations with the elimination of thermal expansion mismatch and the suppression of potential detrimental reactions between electrode and electrolyte materials. In this article, the advances and challenges in the development of nanoscale and nano-structured electrodes and the fundamental understanding of the remarkable enhancement in the electrode performance are reviewed and discussed with primary focus on the progress and status of the field in the last 5 years. © 2011, Hydrogen Energy Publications, LLC. Published by Elsevier Ltd. All rights reserved.","author":[{"dropping-particle":"","family":"Jiang","given":"San Ping","non-dropping-particle":"","parse-names":false,"suffix":""}],"container-title":"International Journal of Hydrogen Energy","id":"ITEM-3","issue":"1","issued":{"date-parts":[["2012"]]},"page":"449-470","publisher":"Elsevier Ltd","title":"Nanoscale and nano-structured electrodes of solid oxide fuel cells by infiltration: Advances and challenges","type":"article-journal","volume":"37"},"uris":["http://www.mendeley.com/documents/?uuid=1e763b61-ae5c-4cbc-9bfe-a6266d8deaed"]}],"mendeley":{"formattedCitation":"[70], [159], [231]","plainTextFormattedCitation":"[70], [159], [231]","previouslyFormattedCitation":"[70], [159], [231]"},"properties":{"noteIndex":0},"schema":"https://github.com/citation-style-language/schema/raw/master/csl-citation.json"}</w:instrText>
      </w:r>
      <w:r>
        <w:fldChar w:fldCharType="separate"/>
      </w:r>
      <w:r w:rsidR="006C586A" w:rsidRPr="006C586A">
        <w:rPr>
          <w:noProof/>
        </w:rPr>
        <w:t>[70], [159], [231]</w:t>
      </w:r>
      <w:r>
        <w:fldChar w:fldCharType="end"/>
      </w:r>
      <w:r>
        <w:t xml:space="preserve">. However, these nanoscale catalysts are primed to sinter under the elevated temperatures utilised for SOFC fuel electrodes </w:t>
      </w:r>
      <w:r>
        <w:fldChar w:fldCharType="begin" w:fldLock="1"/>
      </w:r>
      <w:r w:rsidR="00EC62EF">
        <w:instrText>ADDIN CSL_CITATION {"citationItems":[{"id":"ITEM-1","itemData":{"DOI":"10.4028/www.scientific.net/kem.336-338.387","ISBN":"10139826 (ISSN)","abstract":"Gelcasting and dry pressing are used to produce anode composites for SOFC. In this paper a composite material Ni/Ce-YSZ containing Ni and Ce-doped Y2O3-stabilized ZrO2 (Ce-YSZ) based on Ce-YSZ electrolyte was fabricated via sintering infiltration of NiO at the temperature of 1400°C, followed Ni/Ce-YSZ materials are successfully produced by reduction- sintering process. Hydrogen reduction of NiO in the NiO/Ce-YSZ anode material was accomplished successfully through pore channels of debinded carbon volume. XRD results suggest that a solid solution of Ce-YSZ was produced. The microstructure of NiO/Ce-YSZ, and Ni/Ce-YSZ material was observed by SEM. This study confirms that sintering infiltration of NiO is a viable process for fabricating anode materials based on zirconia electrolyte and there are a good interface between electrolyte and anode.","author":[{"dropping-particle":"","family":"Ma","given":"Jing Tao","non-dropping-particle":"","parse-names":false,"suffix":""},{"dropping-particle":"","family":"Lin","given":"Xu Ping","non-dropping-particle":"","parse-names":false,"suffix":""},{"dropping-particle":"","family":"Zhang","given":"Bao Qing","non-dropping-particle":"","parse-names":false,"suffix":""}],"container-title":"Key Engineering Materials","id":"ITEM-1","issued":{"date-parts":[["2009"]]},"language":"English","note":"Export Date: 20 January 2017\nCODEN: KEMAE\nReferences: Minh, N.Q., (1993) J. Am. Ceram. Soc, 76, p. 563; Marinsek, M., Zupan, K., Maeek, J., (2002) J. Power Sources, 106, p. 178; Xia, C., Liu, M., (2001) Solid State Ionics, 144, p. 249; Ohara, S., Maric, R., Zhang, X., Mukai, K., Fukui, T., Yoshida, H., Inagaki, T., Miura, K., (2000) J. Power Sources, 86, p. 455; Kim, S.-G., Yoon, S.P., Nam, S.W., Hyun, S.-H., (2002) J. Power Sources, 110, p. 222; Tsoga, A., Naoumidis, A., Stover, D., (2000) Solid State Ionics, 135, p. 403; Esposito, V., de Florio, D.Z., Fonseca, F.C., Muccillo, E.N.S., Muccillo, R., Traversa, E., (2005) J. Eur. Ceram. Soc, 25, p. 2637; Kuzjukevics, A., Linderoth, S., (1997) Solid State Ionics, 93, p. 255; Xia, Z.C., Tang, Z.Q., Pan, X.L., Qian, X.L., (1997) J. Funct. Mater, 28, p. 455; Simwonis, D., Tietz, F., Stover, D., (2000) Solid State Ionics, 132, p. 241","page":"387-390","title":"Preparation and SEM of Ni/Ce-YSZ Anode Materials","type":"article","volume":"336-338"},"uris":["http://www.mendeley.com/documents/?uuid=161f12c4-0539-45b1-a243-b5992487858f"]},{"id":"ITEM-2","itemData":{"ISBN":"01672738 (ISSN)","abstract":"In order to study the nickel coarsening in porous Ni/8YSZ anode cermets of solid oxide fuel cells (SOFC), a series of exposure tests was carried out with anode substrates used in SOFC development at the Research Centre Juelich. The changes in electrical conductivity as well as in the microstructure of the material were investigated. The microstructure of the cermets was characterized by digital on-line image analysis and microstructural parameters were determined for the metallic and the ceramic phase as well as for porosity. A decrease of 33% of the initial electrical conductivity was measured after exposing the cermet in Ar/4% H2/3% H2O at 1000 °C for 4000 h, which is linked to the agglomeration of the metallic particles of this material. The durability of anode cermets for operations of up to 40 000 h was estimated on the basis of the measured grain coarsening and the decrease of conductivity. The microstructural parameters - like volume fraction, particle and pore size - were used to model the electrical conductivity by theoretical microstructure-property relationships.","author":[{"dropping-particle":"","family":"Simwonis","given":"D","non-dropping-particle":"","parse-names":false,"suffix":""},{"dropping-particle":"","family":"Tietz","given":"F","non-dropping-particle":"","parse-names":false,"suffix":""},{"dropping-particle":"","family":"Stöver","given":"D","non-dropping-particle":"","parse-names":false,"suffix":""}],"container-title":"Solid State Ionics","id":"ITEM-2","issue":"3","issued":{"date-parts":[["2000"]]},"language":"English","note":"Cited By :297\nExport Date: 30 November 2016\nCODEN: SSIOD\nCorrespondence Address: Simwonis, D.; Forschungszentrum Juelich, Juelich, Germany\nReferences: Van Heuveln, F.H., Huijsmans, J.P.P., Final report of activity B1: Long-term stability under operating conditions (1996) Advanced Fuel Cells Programme, , Annex II, International Energy Agency, Available from H. Nabielek, Forschungszentrum Jülich, Germany; Stochniol, G., Naoumidis, A., Nickel, H., (1996) Jül-Report 3226, , Forschungszentrum, Jülich; Stolten, D., (1996) Verbundwerkstoffe und Werkstoffverbunde, p. 283. , G. Ziegler (Ed.), DGM Informationsgesellschaft, Oberursel; Ciacchi, F.T., Crane, K.M., Badwal, S.P.S., (1994) Solid State Ionics, 73, p. 49; Norby, T., Osborg, R.A., Ræder, H., (1994) Proc. 1st Eur. SOFC Forum, p. 671. , U. Bossel (Ed.); Minh, N.Q., (1993) J. Am. Ceram. Soc., 76, p. 563; Quadakkers, W.J., Greiner, H., Köck, W., Buchkremer, H.P., Hilpert, K., Stöver, D., (1996) Proc. 2nd Eur. SOFC Forum, 1, p. 297. , B. Thorstensen (Ed.); Quadakkers, W.J., Greiner, H., Hänsel, M., Pattanaik, A., Khanna, A.S., Malléner, W., (1996) Solid State Ionics, 91, p. 55; Tietz, F., Simwonis, D., Batfalsky, W., Diekmann, U., Stöver, D., (1999) Proc. 12th IEA Workshop on SOFC, Materials and Mechanisms in the Frame of the IEA Programme on Advanced Fuel Cells, p. 1. , K. Nisancioglu (Ed.), Annex VII: SOFC under Real Operating Conditions, Available from H. Nabielek, Forschungszentrum Jülich, Germany; Urbanek, J., Miller, M., Schmidt, H., Hilpert, K., (1996) Proc. 2nd Eur. SOFC Forum, 2, p. 503. , B. Thorstensen (Ed.); Gindorf, C., Singheiser, L., Hilpert, K., Schroeder, M., Martin, M., Greiner, H., Richter, F., (1999) Proc. 6th Int. Symp. Solid Oxide Fuel Cells (SOFC-VI), p. 774. , S.C. Singhal, M. Dokiya (Eds.), The Electrochemical Society, Pennington, NJ; Kawada, T., Sakai, N., Yokokawa, H., Dokiya, M., Mori, M., Iwata, T., (1990) J. Electrochem. Soc., 137, p. 3042; Norby, T., Velle, O.J., Leth-Olsen, H., Tunold, R., (1993) Proc. 3rd Int. Symp. Solid Oxide Fuel Cells (SOFC-III), p. 473. , S.C. Singhal, H. Iwahara (Eds.), The Electrochemical Society, Pennington, NJ; Iwata, T., (1996) J. Electrochem. Soc., 143, p. 1521; Itoh, H., Yamamoto, T., Mori, M., Watanabe, T., Abe, T., (1996) Denki Kagaku, 64, p. 549; Naoumidis, A., Tsoga, A., Nikolopoulos, P., Grübmeier, H., (1995) Proc. 4th Int. Symp. Solid Oxide Fuel Cells (SOFC-IV), p. 667. , M. Dokiya, O. Yamamoto, H. Tagawa, S.C. Singhal (Eds.), The Electrochemical Society, Pennington, NJ; Itoh, H., Yamamoto, T., Mori, M., (1997) J. Electrochem. Soc., 144, p. 641; Ioselevich, A., Kornyshev, A.A., Lehnert, W., (1997) J. Electrochem. Soc., 144, p. 3010; Buchkremer, H.P., Diekmann, U., De Haart, L.G.J., Kabs, H., Stöver, D., Vinke, I.C., (1998) Proc. 3rd Eur. SOFC Forum, 1, p. 143. , P. Stevens (Ed.); Simwonis, D., Naoumidis, A., Dias, F.J., Linke, J., Moropoulou, A., (1997) J. Mater. Res., 12, p. 1508; Mogensen, M., Primdahl, S., Rheinländer, J.T., Gormsen, S., Linderoth, S., Brown, M., (1995) Proc. 4th Int. Symp. Solid Oxide Fuel Cells (SOFC-IV), p. 657. , M. Dokiya, O. Yamamoto, H. Tagawa, S.C. Singhal (Eds.), The Electrochemical Society, Pennington, NJ; Mendelson, M.I., (1969) J. Am. Ceram. Soc., 52, p. 443; (1967) Designation E 112-63, Book of ASTM Standards, (31 PART), p. 446. , American Society for Testing Materials, Philadelphia, PA; Powell, R.W., Tye, R.P., Hickman, M.J., (1965) Int. J. Heat Mass Transfer, 8, p. 679; Laubitz, M.J., Matsumura, T., Kelly, P.J., (1976) Can. J. Phys., 54, p. 92; Rahaman, M.N., (1995) Ceramic Processing and Sintering, p. 465. , Marcel Dekker, New York; Ondracek, G., (1987) Rev. Powder Metall. Phys. Ceram., 3, p. 205; McLachlan, D.S., Blaszkiewicz, M., Newnham, R.E., (1990) J. Am. Ceram. Soc., 73, p. 2187; Mizusaki, J., Tsuchiya, S., Waragai, K., Tagawa, H., Arai, Y., Kuwayama, Y., (1996) J. Am. Ceram. Soc., 79, p. 109; Sunde, S., (1996) J. Electrochem. Soc., 143, p. 1123; Wu, Z., Liu, M., (1997) Solid State Ionics, 93, p. 65; Fan, Z., Miodownik, A.P., Tsakiropoulos, P., (1993) Mater. Sci. Technol., 9, p. 1094; Tagawa, H., Mizusaki, J., Arai, Y., Kuwayama, Y., Tsuchiya, S., Takeda, T., Sekido, S., (1990) Denki Kagaku, 58, p. 512; Deprez, N., McLachlan, D.S., Sigalas, I., (1988) Solid State Commun., 66, p. 869; Fan, Z., (1996) Philos. Mag. A, 73, p. 1663; Gurland, J., (1958) Trans. Met. Soc. AIME, 212, p. 452; Dees, D.W., Claar, T.D., Easler, T.E., Fee, D.C., Mrazek, F.C., (1987) J. Electrochem. Soc., 134, p. 2141","page":"241-251","publisher":"Elsevier Science B.V.","title":"Nickel coarsening in annealed Ni/8YSZ anode substrates for solid oxide fuel cells","type":"article-journal","volume":"132"},"uris":["http://www.mendeley.com/documents/?uuid=1425b4a4-7ef3-4a5b-9e34-154a97d16a3c"]},{"id":"ITEM-3","itemData":{"DOI":"10.1039/c0cp00729c","ISSN":"1463-9076","abstract":"Metal nanoparticles hold great promise for heterogeneous catalysis due to their high dispersion, large concentration of highly undercoordinated surface sites, and the presence of quantum confinement effects, which can drastically alter their reactivity. However, the poor thermal stability of nano-sized particles limits their use to low temperature conditions and constitutes one of the key hurdles towards industrial application. The present perspective paper briefly reviews the mechanisms underlying nanoparticle sintering, and then gives an overview of emerging approaches towards stabilizing metal nanoparticles for heterogeneous catalysis. We conclude by highlighting the current needs for further developments in the field.","author":[{"dropping-particle":"","family":"Cao","given":"Anmin","non-dropping-particle":"","parse-names":false,"suffix":""},{"dropping-particle":"","family":"Lu","given":"Rongwen","non-dropping-particle":"","parse-names":false,"suffix":""},{"dropping-particle":"","family":"Veser","given":"Götz","non-dropping-particle":"","parse-names":false,"suffix":""}],"container-title":"Physical Chemistry Chemical Physics","id":"ITEM-3","issue":"41","issued":{"date-parts":[["2010","10","14"]]},"page":"13499","publisher":"The Royal Society of Chemistry","title":"Stabilizing metal nanoparticles for heterogeneous catalysis","type":"article-journal","volume":"12"},"uris":["http://www.mendeley.com/documents/?uuid=3bf0e919-02dc-31c5-8414-775bb385f63f"]}],"mendeley":{"formattedCitation":"[68], [488], [489]","plainTextFormattedCitation":"[68], [488], [489]","previouslyFormattedCitation":"[68], [488], [489]"},"properties":{"noteIndex":0},"schema":"https://github.com/citation-style-language/schema/raw/master/csl-citation.json"}</w:instrText>
      </w:r>
      <w:r>
        <w:fldChar w:fldCharType="separate"/>
      </w:r>
      <w:r w:rsidR="008446C6" w:rsidRPr="008446C6">
        <w:rPr>
          <w:noProof/>
        </w:rPr>
        <w:t>[68], [488], [489]</w:t>
      </w:r>
      <w:r>
        <w:fldChar w:fldCharType="end"/>
      </w:r>
      <w:r>
        <w:t xml:space="preserve">. </w:t>
      </w:r>
      <w:r w:rsidRPr="003560BF">
        <w:rPr>
          <w:rFonts w:cstheme="minorHAnsi"/>
        </w:rPr>
        <w:t xml:space="preserve">Early-stage electrochemical impedance spectroscopy </w:t>
      </w:r>
      <w:r>
        <w:rPr>
          <w:rFonts w:cstheme="minorHAnsi"/>
        </w:rPr>
        <w:t xml:space="preserve">results under typical fuel electrode conditions </w:t>
      </w:r>
      <w:r w:rsidRPr="0035147E">
        <w:rPr>
          <w:rFonts w:cstheme="minorHAnsi"/>
        </w:rPr>
        <w:t>(Temp: 800</w:t>
      </w:r>
      <w:r w:rsidR="002E59BA">
        <w:rPr>
          <w:rFonts w:cstheme="minorHAnsi"/>
        </w:rPr>
        <w:t xml:space="preserve"> </w:t>
      </w:r>
      <w:r w:rsidRPr="0035147E">
        <w:rPr>
          <w:rFonts w:cstheme="minorHAnsi"/>
        </w:rPr>
        <w:t>°C Atmosphere: wet 10</w:t>
      </w:r>
      <w:r>
        <w:rPr>
          <w:rFonts w:cstheme="minorHAnsi"/>
        </w:rPr>
        <w:t xml:space="preserve"> </w:t>
      </w:r>
      <w:r w:rsidRPr="0035147E">
        <w:rPr>
          <w:rFonts w:cstheme="minorHAnsi"/>
        </w:rPr>
        <w:t>%</w:t>
      </w:r>
      <w:r>
        <w:rPr>
          <w:rFonts w:cstheme="minorHAnsi"/>
        </w:rPr>
        <w:t xml:space="preserve"> </w:t>
      </w:r>
      <w:r w:rsidRPr="0035147E">
        <w:rPr>
          <w:rFonts w:cstheme="minorHAnsi"/>
        </w:rPr>
        <w:t>H</w:t>
      </w:r>
      <w:r w:rsidRPr="0035147E">
        <w:rPr>
          <w:rFonts w:cstheme="minorHAnsi"/>
          <w:vertAlign w:val="subscript"/>
        </w:rPr>
        <w:t>2</w:t>
      </w:r>
      <w:r w:rsidRPr="0035147E">
        <w:rPr>
          <w:rFonts w:cstheme="minorHAnsi"/>
        </w:rPr>
        <w:t>/N</w:t>
      </w:r>
      <w:r w:rsidRPr="0035147E">
        <w:rPr>
          <w:rFonts w:cstheme="minorHAnsi"/>
          <w:vertAlign w:val="subscript"/>
        </w:rPr>
        <w:t>2</w:t>
      </w:r>
      <w:r w:rsidRPr="0035147E">
        <w:rPr>
          <w:rFonts w:cstheme="minorHAnsi"/>
        </w:rPr>
        <w:t xml:space="preserve">), showed a large rise in the polarisation resistance during the first 10 h of ageing. </w:t>
      </w:r>
      <w:r>
        <w:t xml:space="preserve">The initial rate-limiting mechanism for infiltrated SOFC fuel electrodes is poorly understood. </w:t>
      </w:r>
    </w:p>
    <w:p w14:paraId="3AC796D7" w14:textId="77777777" w:rsidR="00007F6C" w:rsidRDefault="00007F6C" w:rsidP="00007F6C">
      <w:pPr>
        <w:jc w:val="both"/>
      </w:pPr>
      <w:r>
        <w:t>Further discussion of the gathering of the EIS and FIB-SEM can be found in Chapter 3, Section 3.3.</w:t>
      </w:r>
    </w:p>
    <w:p w14:paraId="15F29A5D" w14:textId="77777777" w:rsidR="00007F6C" w:rsidRPr="00957EA3" w:rsidRDefault="00007F6C" w:rsidP="00007F6C">
      <w:pPr>
        <w:jc w:val="both"/>
        <w:rPr>
          <w:rFonts w:cstheme="minorHAnsi"/>
        </w:rPr>
      </w:pPr>
      <w:r>
        <w:t>The characterisation techniques discussed will provide structural and microstructural evidence to track this coarsening mechanism for the nickel electro-catalyst in SOFC fuel electrodes.</w:t>
      </w:r>
    </w:p>
    <w:p w14:paraId="1718969D" w14:textId="77777777" w:rsidR="00007F6C" w:rsidRDefault="00007F6C" w:rsidP="00007F6C">
      <w:pPr>
        <w:pStyle w:val="Heading3"/>
      </w:pPr>
      <w:bookmarkStart w:id="537" w:name="_Toc69129445"/>
      <w:r>
        <w:t>6.2.1.1 X-ray diffraction</w:t>
      </w:r>
      <w:bookmarkEnd w:id="537"/>
    </w:p>
    <w:p w14:paraId="2556BAB0" w14:textId="309B060F" w:rsidR="00007F6C" w:rsidRDefault="00007F6C" w:rsidP="00007F6C">
      <w:pPr>
        <w:jc w:val="both"/>
        <w:rPr>
          <w:rFonts w:cs="Arial"/>
        </w:rPr>
      </w:pPr>
      <w:r w:rsidRPr="00BA3CEC">
        <w:rPr>
          <w:rFonts w:cs="Arial"/>
        </w:rPr>
        <w:t xml:space="preserve">X-ray diffraction was used to </w:t>
      </w:r>
      <w:r>
        <w:rPr>
          <w:rFonts w:cs="Arial"/>
        </w:rPr>
        <w:t xml:space="preserve">track the crystallite size of the nickel electro-catalyst in the witness samples using the Debye-Scherrer formula for </w:t>
      </w:r>
      <w:r w:rsidRPr="00BA3CEC">
        <w:rPr>
          <w:rFonts w:cs="Arial"/>
        </w:rPr>
        <w:t>line broadening analysis</w:t>
      </w:r>
      <w:r>
        <w:rPr>
          <w:rFonts w:cs="Arial"/>
        </w:rPr>
        <w:t xml:space="preserve"> </w:t>
      </w:r>
      <w:r>
        <w:rPr>
          <w:rFonts w:cs="Arial"/>
        </w:rPr>
        <w:fldChar w:fldCharType="begin" w:fldLock="1"/>
      </w:r>
      <w:r w:rsidR="00D80A5D">
        <w:rPr>
          <w:rFonts w:cs="Arial"/>
        </w:rPr>
        <w:instrText>ADDIN CSL_CITATION {"citationItems":[{"id":"ITEM-1","itemData":{"DOI":"10.1017/S0305004100021988","ISSN":"0305-0041","author":[{"dropping-particle":"","family":"Stokes","given":"A. R.","non-dropping-particle":"","parse-names":false,"suffix":""},{"dropping-particle":"","family":"Wilson","given":"A. J. C.","non-dropping-particle":"","parse-names":false,"suffix":""},{"dropping-particle":"","family":"Bragg","given":"W. L.","non-dropping-particle":"","parse-names":false,"suffix":""}],"container-title":"Mathematical Proceedings of the Cambridge Philosophical Society","id":"ITEM-1","issue":"03","issued":{"date-parts":[["1942","7","24"]]},"page":"313","title":"A method of calculating the integral breadths of Debye-Scherrer lines","type":"article-journal","volume":"38"},"uris":["http://www.mendeley.com/documents/?uuid=1063872a-4031-38db-9402-b8a52daa2289"]},{"id":"ITEM-2","itemData":{"DOI":"10.17586/2220-8054-2018-9-3-364-369","abstract":"The lower limit of the applicability of the Scherrer formula has been established by calculating the diffraction patterns from model nanoparticles by the Debye formula. Particle size was calculated using the Scherrer formula for different hkl-peaks. The obtained data of particle sizes were compared with \"real\" sizes of model particles in the same hkl-directions. The form-factor K hkl was analyzed as main correction of Scherrer formula. It was shown that the Scherrer formula error increases nonlinearly at particle sizes less than 4 nm. For any hkl direction, the absolute error of average particle size determination using formula does not exceed 0.3 nm. Analysis shows that average particle size can be determined by Scherrer formula from single diffraction peak of experimental pattern for center-symmetrical particles.","author":[{"dropping-particle":"","family":"Vorokh","given":"A S","non-dropping-particle":"","parse-names":false,"suffix":""}],"container-title":"NANOSYSTEMS: PHYSICS, CHEMISTRY, MATHEMATICS","id":"ITEM-2","issue":"3","issued":{"date-parts":[["2018"]]},"page":"364-369","title":"Scherrer formula: estimation of error in determining small nanoparticle size","type":"article-journal","volume":"9"},"uris":["http://www.mendeley.com/documents/?uuid=d3e0dab3-9b8b-3790-9284-63a6c39c9251"]},{"id":"ITEM-3","itemData":{"DOI":"10.1038/nnano.2011.145","ISSN":"1748-3387","author":[{"dropping-particle":"","family":"Holzwarth","given":"Uwe","non-dropping-particle":"","parse-names":false,"suffix":""},{"dropping-particle":"","family":"Gibson","given":"Neil","non-dropping-particle":"","parse-names":false,"suffix":""}],"container-title":"Nature Nanotechnology","id":"ITEM-3","issue":"9","issued":{"date-parts":[["2011","9","28"]]},"page":"534-534","title":"The Scherrer equation versus the 'Debye-Scherrer equation'","type":"article-journal","volume":"6"},"uris":["http://www.mendeley.com/documents/?uuid=0d665b2b-4b5c-3bb9-8e44-b6462dc88b00"]},{"id":"ITEM-4","itemData":{"DOI":"10.1016/S0167-2991(10)75009-6","ISBN":"01672991 (ISSN); 9780444536013 (ISBN)","abstract":"In previous communications we have shown that the decomposition of nickel and cobalt nitrate in a flow of NO/He prevented agglomeration, yielding high nickel and cobalt oxide dispersions. We now report on the impact of NO on the decomposition of first row transition metal nitrates, i.e. Sc, Mn, Fe, Co, Ni, Cu, Zn, using thermal gravimetric analysis and mass spectrometry. It was found that NO decreased the temperature of decomposition significantly for all investigated metal nitrates. For cobalt, nickel and copper nitrate it was verified that decomposition in the presence of NO yielded high dispersions and narrow particle size distributions, whereas in Ar agglomeration resulted in broad particle size distributions. The beneficial effect of NO on the dispersion of Co, Ni and Cu coincided with a large difference in the decomposition profiles of these metal nitrates compared to that in Ar. It was found that NO induced fast and complete hydrolysis to highly dispersed cobalt, nickel and copper hydroxynitrates which decomposed to yield highly dispersed metal oxides. This is in contrast to literature reports that ascribe loss in dispersion to the formation of metal hydroxynitrate intermediates. © 2010 Elsevier B.V.","author":[{"dropping-particle":"","family":"Wolters","given":"M","non-dropping-particle":"","parse-names":false,"suffix":""},{"dropping-particle":"","family":"Contreras Andrade","given":"I C A","non-dropping-particle":"","parse-names":false,"suffix":""},{"dropping-particle":"","family":"Munnik","given":"P","non-dropping-particle":"","parse-names":false,"suffix":""},{"dropping-particle":"","family":"Bitter","given":"J H","non-dropping-particle":"","parse-names":false,"suffix":""},{"dropping-particle":"","family":"Jongh","given":"P E","non-dropping-particle":"De","parse-names":false,"suffix":""},{"dropping-particle":"","family":"Jong","given":"K P","non-dropping-particle":"De","parse-names":false,"suffix":""}],"container-title":"10th International Symposium on Scientific Bases for the Preparation of Heterogeneous Catalysts","id":"ITEM-4","issued":{"date-parts":[["2010"]]},"language":"English","note":"Conference code: 83704\nCited By :6\nExport Date: 20 January 2017\nCODEN: SSCTD\nCorrespondence Address: Wolters, M.; Inorganic Chemistry and Catalysis, Debye Institute for Nanomaterials Science, Utrecht University, Sorbonnelaan 16, 3584 CA Utrecht, Netherlands\nReferences: Paulik, F., Paulik, J., Arnold, M., (1987) Thermochimica Acta, 121, p. 137; Elmasry, M.A.A., Gaber, A., Khater, E.M.H., (1998) J. Therm. Anal. Calorim., 52, p. 489; Estelle, J., Salagre, P., Cesteros, Y., Serra, M., Medina, F., Sueiras, J.E., (2003) Solid State Ionics, 156, p. 233; Llewellyn, P.L., Chevrota, V., Ragaib, J., Cerclier, O., Estienne, J., Rouquerol, F., (1997) Solid State Ionics, 101-103, p. 1293; Toupance, T., Kermarec, M., Louis, C., (2000) J. Phys. Chem. B, 104, p. 965; Chouillet, C., Villain, F., Kermarec, M., Lauron-Pernot, H., Louis, C., (2003) J. Phys. Chem. B, 107, p. 3565; Catillon-Mucherie, S., Ammari, F., Krafft, J.M., Lauron-Pernot, H., Touroude, R., Louis, C., (2007) J. Phys. Chem. C, 111, p. 11619; Van De Loosdrecht, J., Barradas, S., Caricato, E.A., Ngwenya, N.G., Nkwanyana, P.S., Rawat, M.A.S., Sigwebela, B.H., Visagie, J.L., (2003) Top. Catal., 26, p. 121; Sietsma, J.R.A., Meeldijk, J.D., Versluijs-Helder, M., Broersma, A., Van Dillen, A.J., De Jongh, P.E., De Jong, K.P., (2008) Chem. Mater., 20, p. 2921; Sietsma, J.R.A., Meeldijk, J.D., Den Breejen, J.P., Versluijs-Helder, M., Van Dillen, A.J., De Jongh, P.E., De Jong, K.P., (2007) Angew. Chem. Int. Ed., 46, p. 4547; Sietsma, J.R.A., Friedrich, H., Broersma, A., Versluijs-Helder, M., Jos Van Dillen, A., De Jongh, P.E., De Jong, K.P., (2008) J. Catal., 260, p. 227; Nissinena, T., Leskel, M., Gasika, M., Lamminen, J., (2005) Thermochimica Acta, 427, p. 155; Wieczorek-Ciurowa, K., Kozak, A.J., (1999) J. Therm. Anal. Calorim., 58, p. 647; Yuvaraj, S., Fan-Yuan, L., Tsong-Huei, C., Chuin-Tih, Y., (2003) J. Phys. Chem. B, 107, p. 1044; Malecka, B., Gajerski, R., Malecki, A., Wierzbicka, M., Olszewski, P., (2003) Thermochimica Acta, 404, p. 125; Cseri, T., Békássy, Kenessey, G., Liptay, G., Figueras, F., (1996) Thermochimica Acta, 288, p. 137; Ettarh, C., Galwey, A.K., (1996) Thermochim. Acta, 288, p. 203; Dickens, P.G., Sutcliffe, M.B., (1964) Trans. Faraday. Soc., 60, p. 1272; Brockner, W., Ehrhardt, C., Gjikaj, M., (2007) Thermochim. Acta, 456, p. 64; Malecki, A., Gajerski, R., Labus, S., Prochowska-Klisch, B., Wojciechowski, K.T., (2000) J. Therm. Anal., 60, p. 17","page":"69-76","publisher-place":"Louvain-la-Neuve","title":"Impact of NO on the decomposition of supported metal nitrate catalyst precursors and the final metal oxide dispersion","type":"article","volume":"175"},"uris":["http://www.mendeley.com/documents/?uuid=60616314-3fad-4af3-ad66-c5b4121f79e1"]}],"mendeley":{"formattedCitation":"[165], [327]–[329]","plainTextFormattedCitation":"[165], [327]–[329]","previouslyFormattedCitation":"[165], [327]–[329]"},"properties":{"noteIndex":0},"schema":"https://github.com/citation-style-language/schema/raw/master/csl-citation.json"}</w:instrText>
      </w:r>
      <w:r>
        <w:rPr>
          <w:rFonts w:cs="Arial"/>
        </w:rPr>
        <w:fldChar w:fldCharType="separate"/>
      </w:r>
      <w:r w:rsidR="006C586A" w:rsidRPr="006C586A">
        <w:rPr>
          <w:rFonts w:cs="Arial"/>
          <w:noProof/>
        </w:rPr>
        <w:t>[165], [327]–[329]</w:t>
      </w:r>
      <w:r>
        <w:rPr>
          <w:rFonts w:cs="Arial"/>
        </w:rPr>
        <w:fldChar w:fldCharType="end"/>
      </w:r>
      <w:r w:rsidRPr="00BA3CEC">
        <w:rPr>
          <w:rFonts w:cs="Arial"/>
        </w:rPr>
        <w:t>. The diffraction patterns of the Ni-YSZ samples were obtained using a Bruker D2 XRD Phaser. The samples were scanned for 1 h using Cu K</w:t>
      </w:r>
      <w:r w:rsidRPr="00BA3CEC">
        <w:rPr>
          <w:rFonts w:cs="Arial"/>
          <w:vertAlign w:val="subscript"/>
        </w:rPr>
        <w:t>α</w:t>
      </w:r>
      <w:r w:rsidRPr="00BA3CEC">
        <w:rPr>
          <w:rFonts w:cs="Arial"/>
        </w:rPr>
        <w:t xml:space="preserve"> radiation (1.54184 Å). </w:t>
      </w:r>
      <w:r>
        <w:rPr>
          <w:rFonts w:cs="Arial"/>
        </w:rPr>
        <w:t xml:space="preserve">The Debye-Scherrer equation can be found in Chapter 3, </w:t>
      </w:r>
      <w:r w:rsidRPr="001C7322">
        <w:rPr>
          <w:rFonts w:cs="Arial"/>
        </w:rPr>
        <w:fldChar w:fldCharType="begin"/>
      </w:r>
      <w:r w:rsidRPr="001C7322">
        <w:rPr>
          <w:rFonts w:cs="Arial"/>
        </w:rPr>
        <w:instrText xml:space="preserve"> REF _Ref51232720 \h  \* MERGEFORMAT </w:instrText>
      </w:r>
      <w:r w:rsidRPr="001C7322">
        <w:rPr>
          <w:rFonts w:cs="Arial"/>
        </w:rPr>
      </w:r>
      <w:r w:rsidRPr="001C7322">
        <w:rPr>
          <w:rFonts w:cs="Arial"/>
        </w:rPr>
        <w:fldChar w:fldCharType="separate"/>
      </w:r>
      <w:r w:rsidRPr="00C103C3">
        <w:t>Equation 3.5</w:t>
      </w:r>
      <w:r w:rsidRPr="001C7322">
        <w:rPr>
          <w:rFonts w:cs="Arial"/>
        </w:rPr>
        <w:fldChar w:fldCharType="end"/>
      </w:r>
      <w:r w:rsidRPr="001C7322">
        <w:rPr>
          <w:rFonts w:cs="Arial"/>
        </w:rPr>
        <w:t>.</w:t>
      </w:r>
    </w:p>
    <w:p w14:paraId="0B44A784" w14:textId="3D01FAAB" w:rsidR="00007F6C" w:rsidRPr="00E109F4" w:rsidRDefault="00007F6C" w:rsidP="00007F6C">
      <w:pPr>
        <w:jc w:val="both"/>
        <w:rPr>
          <w:rFonts w:cs="Arial"/>
        </w:rPr>
      </w:pPr>
      <w:r>
        <w:rPr>
          <w:rFonts w:cs="Arial"/>
        </w:rPr>
        <w:t xml:space="preserve">The percentage dispersion for the nickel were calculated using </w:t>
      </w:r>
      <w:r w:rsidRPr="001C7322">
        <w:rPr>
          <w:rFonts w:cs="Arial"/>
        </w:rPr>
        <w:fldChar w:fldCharType="begin"/>
      </w:r>
      <w:r w:rsidRPr="001C7322">
        <w:rPr>
          <w:rFonts w:cs="Arial"/>
        </w:rPr>
        <w:instrText xml:space="preserve"> REF _Ref51232720 \h  \* MERGEFORMAT </w:instrText>
      </w:r>
      <w:r w:rsidRPr="001C7322">
        <w:rPr>
          <w:rFonts w:cs="Arial"/>
        </w:rPr>
      </w:r>
      <w:r w:rsidRPr="001C7322">
        <w:rPr>
          <w:rFonts w:cs="Arial"/>
        </w:rPr>
        <w:fldChar w:fldCharType="separate"/>
      </w:r>
      <w:r w:rsidRPr="00C103C3">
        <w:t>Equation 3.5</w:t>
      </w:r>
      <w:r w:rsidRPr="001C7322">
        <w:rPr>
          <w:rFonts w:cs="Arial"/>
        </w:rPr>
        <w:fldChar w:fldCharType="end"/>
      </w:r>
      <w:r w:rsidRPr="001C7322">
        <w:rPr>
          <w:rFonts w:cs="Arial"/>
        </w:rPr>
        <w:t xml:space="preserve"> in Chapter 3</w:t>
      </w:r>
      <w:r>
        <w:rPr>
          <w:rFonts w:cs="Arial"/>
        </w:rPr>
        <w:t xml:space="preserve"> to determine the impact of ageing on the catalyst distribution. The witness samples were heated at 5</w:t>
      </w:r>
      <w:r w:rsidR="002E59BA">
        <w:rPr>
          <w:rFonts w:cs="Arial"/>
        </w:rPr>
        <w:t xml:space="preserve"> </w:t>
      </w:r>
      <w:r>
        <w:rPr>
          <w:rFonts w:cs="Arial"/>
        </w:rPr>
        <w:t>°C</w:t>
      </w:r>
      <w:r w:rsidR="002E59BA">
        <w:rPr>
          <w:rFonts w:cs="Arial"/>
        </w:rPr>
        <w:t>min</w:t>
      </w:r>
      <w:r w:rsidR="002E59BA">
        <w:rPr>
          <w:rFonts w:cs="Arial"/>
          <w:vertAlign w:val="superscript"/>
        </w:rPr>
        <w:t>-1</w:t>
      </w:r>
      <w:r>
        <w:rPr>
          <w:rFonts w:cs="Arial"/>
        </w:rPr>
        <w:t xml:space="preserve"> using an Elite tube furnace up to 800</w:t>
      </w:r>
      <w:r w:rsidR="002E59BA">
        <w:rPr>
          <w:rFonts w:cs="Arial"/>
        </w:rPr>
        <w:t xml:space="preserve"> </w:t>
      </w:r>
      <w:r>
        <w:rPr>
          <w:rFonts w:cs="Arial"/>
        </w:rPr>
        <w:t xml:space="preserve">°C under a </w:t>
      </w:r>
      <w:r w:rsidR="004D4DD8">
        <w:rPr>
          <w:rFonts w:cs="Arial"/>
        </w:rPr>
        <w:t>5</w:t>
      </w:r>
      <w:r>
        <w:rPr>
          <w:rFonts w:cs="Arial"/>
        </w:rPr>
        <w:t xml:space="preserve"> mL</w:t>
      </w:r>
      <w:r w:rsidR="002E59BA">
        <w:rPr>
          <w:rFonts w:cs="Arial"/>
        </w:rPr>
        <w:t>min</w:t>
      </w:r>
      <w:r w:rsidR="002E59BA">
        <w:rPr>
          <w:rFonts w:cs="Arial"/>
          <w:vertAlign w:val="superscript"/>
        </w:rPr>
        <w:t>-1</w:t>
      </w:r>
      <w:r w:rsidR="002E59BA">
        <w:rPr>
          <w:rFonts w:cs="Arial"/>
        </w:rPr>
        <w:t xml:space="preserve"> </w:t>
      </w:r>
      <w:r>
        <w:rPr>
          <w:rFonts w:cs="Arial"/>
        </w:rPr>
        <w:t>flow of wet 10 % H</w:t>
      </w:r>
      <w:r>
        <w:rPr>
          <w:rFonts w:cs="Arial"/>
          <w:vertAlign w:val="subscript"/>
        </w:rPr>
        <w:t>2</w:t>
      </w:r>
      <w:r>
        <w:rPr>
          <w:rFonts w:cs="Arial"/>
        </w:rPr>
        <w:t>/N</w:t>
      </w:r>
      <w:r>
        <w:rPr>
          <w:rFonts w:cs="Arial"/>
          <w:vertAlign w:val="subscript"/>
        </w:rPr>
        <w:t>2</w:t>
      </w:r>
      <w:r>
        <w:rPr>
          <w:rFonts w:cs="Arial"/>
        </w:rPr>
        <w:t xml:space="preserve">. The Ni-YSZ samples were aged for 5 h under these conditions. </w:t>
      </w:r>
    </w:p>
    <w:p w14:paraId="63DB218F" w14:textId="77777777" w:rsidR="00007F6C" w:rsidRDefault="00007F6C" w:rsidP="00007F6C">
      <w:pPr>
        <w:pStyle w:val="Heading3"/>
        <w:jc w:val="both"/>
      </w:pPr>
      <w:bookmarkStart w:id="538" w:name="_Toc69129446"/>
      <w:r>
        <w:lastRenderedPageBreak/>
        <w:t>6.2.2.2</w:t>
      </w:r>
      <w:r>
        <w:tab/>
        <w:t>Ptychographic X-ray Computed Tomography Experiment Diamond Light Source I13-1</w:t>
      </w:r>
      <w:bookmarkEnd w:id="538"/>
    </w:p>
    <w:p w14:paraId="68A34409" w14:textId="00B7D058" w:rsidR="00007F6C" w:rsidRDefault="00007F6C" w:rsidP="00007F6C">
      <w:pPr>
        <w:jc w:val="both"/>
      </w:pPr>
      <w:r>
        <w:t>Ptychographic X-ray Computer Tomography (PXCT) was performed at the I13-1 beamline at the DLS</w:t>
      </w:r>
      <w:r>
        <w:fldChar w:fldCharType="begin" w:fldLock="1"/>
      </w:r>
      <w:r w:rsidR="00D80A5D">
        <w:instrText>ADDIN CSL_CITATION {"citationItems":[{"id":"ITEM-1","itemData":{"DOI":"10.1063/1.5084575","ISBN":"9780735417823","ISSN":"15517616","abstract":"The I13 imaging and coherence beamline aims for multiscale imaging in the energy range of 6-30keV. The achievable resolution ranges from several microns to tens of nanometers. Several experimental methods are available on two independently operating branchlines. The Diamond-Manchester imaging branchline applies methods in direct space, such as In-line phase contrast, grating interferometry and full-field microscopy. The coherence branch covers far-field techniques such as ptychography and Bragg-CDI. The ptychography is now available as user-friendly experiment and the spatial and temporal resolution has been significantly enhanced. The scientific program at I13 will increasingly explore the suite of experimental techniques available at the beamline for multi-scale imaging.","author":[{"dropping-particle":"","family":"Rau","given":"Christoph","non-dropping-particle":"","parse-names":false,"suffix":""},{"dropping-particle":"","family":"Storm","given":"Malte","non-dropping-particle":"","parse-names":false,"suffix":""},{"dropping-particle":"","family":"Marathe","given":"Shashidhara","non-dropping-particle":"","parse-names":false,"suffix":""},{"dropping-particle":"","family":"Bodey","given":"Andrew J.","non-dropping-particle":"","parse-names":false,"suffix":""},{"dropping-particle":"","family":"Cipiccia","given":"Silvia","non-dropping-particle":"","parse-names":false,"suffix":""},{"dropping-particle":"","family":"Batey","given":"Darren","non-dropping-particle":"","parse-names":false,"suffix":""},{"dropping-particle":"","family":"Shi","given":"Xiaowen","non-dropping-particle":"","parse-names":false,"suffix":""},{"dropping-particle":"","family":"Zdora","given":"Marie Christine","non-dropping-particle":"","parse-names":false,"suffix":""},{"dropping-particle":"","family":"Zanette","given":"Irene","non-dropping-particle":"","parse-names":false,"suffix":""}],"container-title":"AIP Conference Proceedings","id":"ITEM-1","issue":"January","issued":{"date-parts":[["2019"]]},"title":"Multi-scale imaging at the diamond beamline I13","type":"article-journal","volume":"2054"},"uris":["http://www.mendeley.com/documents/?uuid=7debb4f7-9d6c-488a-ac25-2195d9a671c0"]}],"mendeley":{"formattedCitation":"[358]","plainTextFormattedCitation":"[358]","previouslyFormattedCitation":"[358]"},"properties":{"noteIndex":0},"schema":"https://github.com/citation-style-language/schema/raw/master/csl-citation.json"}</w:instrText>
      </w:r>
      <w:r>
        <w:fldChar w:fldCharType="separate"/>
      </w:r>
      <w:r w:rsidR="006C586A" w:rsidRPr="006C586A">
        <w:rPr>
          <w:noProof/>
        </w:rPr>
        <w:t>[358]</w:t>
      </w:r>
      <w:r>
        <w:fldChar w:fldCharType="end"/>
      </w:r>
      <w:r>
        <w:t xml:space="preserve">. </w:t>
      </w:r>
      <w:r w:rsidRPr="00A159F0">
        <w:rPr>
          <w:rFonts w:cstheme="minorHAnsi"/>
        </w:rPr>
        <w:t>The milled fuel electrode samples were imaged using an interrupted ageing snapshot process was applied during beamtime</w:t>
      </w:r>
      <w:r>
        <w:rPr>
          <w:rFonts w:ascii="Times New Roman" w:hAnsi="Times New Roman" w:cs="Times New Roman"/>
        </w:rPr>
        <w:t>.</w:t>
      </w:r>
      <w:r>
        <w:t xml:space="preserve"> </w:t>
      </w:r>
      <w:r w:rsidRPr="00B7667F">
        <w:t>As the Ni-YSZ pillar system is a mixture of three phases: the metal catalyst, the YSZ scaffold and pores (filled with air), the selection of the beam energy was highly critical for producing g</w:t>
      </w:r>
      <w:r>
        <w:t>ood</w:t>
      </w:r>
      <w:r w:rsidRPr="00B7667F">
        <w:t xml:space="preserve"> phase contrast. In this experiment a beam energy of 17 keV was utilised</w:t>
      </w:r>
      <w:r>
        <w:t xml:space="preserve"> in order to produce a high phase contrast with the nickel phase and YSZ ceramic scaffold </w:t>
      </w:r>
      <w:r>
        <w:fldChar w:fldCharType="begin" w:fldLock="1"/>
      </w:r>
      <w:r w:rsidR="00EC62EF">
        <w:instrText>ADDIN CSL_CITATION {"citationItems":[{"id":"ITEM-1","itemData":{"DOI":"10.1016/j.jpowsour.2013.06.069","ISSN":"03787753","abstract":"SOFC electrochemical performances are strongly dependent on the micro and nanostructure of the electrodes. 3D image analysis is an essential tool to characterise these microstructures. However, the studied volumes have to be sufficiently large to be representative of the heterogenous medium. In this study, quantitative phase contrast X-ray nano-holotomography is performed on large volumes of SOFC anode consisting by a Ni/YSZ cermet. Both the electrode functional layer and the current collector of anode supported cell are characterised in 3D. The setup and data processing adaptation needed for such an absorbing materials are described. The X-ray nano-holotomography was performed with an isotropic voxel size of 25 × 25 × 25 nm3 and a field of view of about 50 μm. This technique is non-destructive and was used in local tomography mode. After filtering and thresholding, the segmentation of the 3D reconstructions allows precisely separating the network of each phase of the electrode (metallic, ceramic and porosity), giving representative features of the microstructure. © 2013 Elsevier B.V. All rights reserved.","author":[{"dropping-particle":"","family":"Julie","given":"Villanova","non-dropping-particle":"","parse-names":false,"suffix":""},{"dropping-particle":"","family":"Jérôme","given":"Laurencin","non-dropping-particle":"","parse-names":false,"suffix":""},{"dropping-particle":"","family":"Peter","given":"Cloetens","non-dropping-particle":"","parse-names":false,"suffix":""},{"dropping-particle":"","family":"Pierre","given":"Bleuet","non-dropping-particle":"","parse-names":false,"suffix":""},{"dropping-particle":"","family":"Gérard","given":"Delette","non-dropping-particle":"","parse-names":false,"suffix":""},{"dropping-particle":"","family":"Heikki","given":"Suhonen","non-dropping-particle":"","parse-names":false,"suffix":""},{"dropping-particle":"","family":"François","given":"Usseglio Viretta","non-dropping-particle":"","parse-names":false,"suffix":""}],"container-title":"Journal of Power Sources","id":"ITEM-1","issued":{"date-parts":[["2013"]]},"page":"841-849","publisher":"Elsevier B.V","title":"3D phase mapping of solid oxide fuel cell YSZ/Ni cermet at the nanoscale by holographic X-ray nanotomography","type":"article-journal","volume":"243"},"uris":["http://www.mendeley.com/documents/?uuid=ef81f0f0-f7c6-4496-9196-8a577cb4d86e"]},{"id":"ITEM-2","itemData":{"DOI":"10.1088/1742-6596/849/1/012017","abstract":"Abstract. X-ray nano CT has been vastly applied to study the microstructure of solid oxide\r\nfuel cell (SOFC) electrodes. One widely accepted indicator of electrochemical performance is\r\nthe triple phase boundary (TPB): a location where the three materials responsible for ionic,\r\nelectronic and gas-phase reactant transport are in contact. X-ray absorption tomography has\r\nbeen used extensively in the characterisation of these TPBs, utilising the different attenuation\r\nproperties of the constituent materials. Here we present a quantitative comparison of the\r\nattenuation properties for elements commonly employed in solid oxide fuel cell materials. ","author":[{"dropping-particle":"","family":"Heenan","given":"T.M.M.","non-dropping-particle":"","parse-names":false,"suffix":""},{"dropping-particle":"","family":"Brett","given":"D.J.L","non-dropping-particle":"","parse-names":false,"suffix":""},{"dropping-particle":"","family":"Shearing","given":"P.R.","non-dropping-particle":"","parse-names":false,"suffix":""}],"container-title":"Journal of Physics: Conference Series","id":"ITEM-2","issued":{"date-parts":[["2017"]]},"title":"X-ray attenuation properties of commonly employed solid oxide fuel cell materials","type":"article-journal","volume":"849"},"uris":["http://www.mendeley.com/documents/?uuid=c28b36d9-4fcf-3cad-8d17-9699cc5bb785"]}],"mendeley":{"formattedCitation":"[262], [490]","plainTextFormattedCitation":"[262], [490]","previouslyFormattedCitation":"[262], [490]"},"properties":{"noteIndex":0},"schema":"https://github.com/citation-style-language/schema/raw/master/csl-citation.json"}</w:instrText>
      </w:r>
      <w:r>
        <w:fldChar w:fldCharType="separate"/>
      </w:r>
      <w:r w:rsidR="008446C6" w:rsidRPr="008446C6">
        <w:rPr>
          <w:noProof/>
        </w:rPr>
        <w:t>[262], [490]</w:t>
      </w:r>
      <w:r>
        <w:fldChar w:fldCharType="end"/>
      </w:r>
      <w:r>
        <w:t>.</w:t>
      </w:r>
    </w:p>
    <w:p w14:paraId="5A760C59" w14:textId="77777777" w:rsidR="00007F6C" w:rsidRPr="00B7667F" w:rsidRDefault="00007F6C" w:rsidP="00007F6C">
      <w:pPr>
        <w:jc w:val="both"/>
      </w:pPr>
      <w:r>
        <w:t xml:space="preserve">To facilitate the use of this beam energy the detector to sample distance at the I13-1 CDI beamline was set to 10 m and the X-ray beam used had a beam size of 6 </w:t>
      </w:r>
      <w:r>
        <w:rPr>
          <w:rFonts w:cstheme="minorHAnsi"/>
        </w:rPr>
        <w:t>µ</w:t>
      </w:r>
      <w:r>
        <w:t>m.</w:t>
      </w:r>
      <w:r w:rsidRPr="00B7667F">
        <w:t xml:space="preserve"> </w:t>
      </w:r>
    </w:p>
    <w:p w14:paraId="7DC48E91" w14:textId="77777777" w:rsidR="00007F6C" w:rsidRDefault="00007F6C" w:rsidP="00007F6C">
      <w:pPr>
        <w:pStyle w:val="Heading4"/>
        <w:jc w:val="both"/>
      </w:pPr>
      <w:bookmarkStart w:id="539" w:name="_Ref48549624"/>
      <w:r>
        <w:t>6.2.2.1 Ptychographic sample setup</w:t>
      </w:r>
      <w:bookmarkEnd w:id="539"/>
      <w:r>
        <w:t xml:space="preserve"> </w:t>
      </w:r>
    </w:p>
    <w:p w14:paraId="789E4184" w14:textId="77777777" w:rsidR="00007F6C" w:rsidRDefault="00007F6C" w:rsidP="00007F6C">
      <w:pPr>
        <w:jc w:val="both"/>
      </w:pPr>
      <w:r>
        <w:t xml:space="preserve">A stainless-steel mount was machined using a pillar drill to produce a 650 </w:t>
      </w:r>
      <w:r>
        <w:rPr>
          <w:rFonts w:cstheme="minorHAnsi"/>
        </w:rPr>
        <w:t>µ</w:t>
      </w:r>
      <w:r>
        <w:t>m diameter cylindrical hole to house the fine pillar Ni-YSZ samples. The base of this component was glued onto a 12.5 mm diameter SEM stub using superglue. After this had set for 10 minutes the milled fine Ni-YSZ pillar sample with pin was then glued into the machined slot. After each 1 h heating snapshot this process was repeated for each of the samples.</w:t>
      </w:r>
    </w:p>
    <w:p w14:paraId="5A5A1EC3" w14:textId="77777777" w:rsidR="00007F6C" w:rsidRDefault="00007F6C" w:rsidP="00007F6C">
      <w:pPr>
        <w:pStyle w:val="Heading1"/>
      </w:pPr>
      <w:bookmarkStart w:id="540" w:name="_Toc69129447"/>
      <w:r>
        <w:t>6.3</w:t>
      </w:r>
      <w:r>
        <w:tab/>
      </w:r>
      <w:r w:rsidRPr="00644D81">
        <w:t>Results</w:t>
      </w:r>
      <w:r>
        <w:t xml:space="preserve"> and Discussion</w:t>
      </w:r>
      <w:bookmarkEnd w:id="540"/>
    </w:p>
    <w:p w14:paraId="4E5B1214" w14:textId="77777777" w:rsidR="00007F6C" w:rsidRDefault="00007F6C" w:rsidP="00007F6C">
      <w:pPr>
        <w:pStyle w:val="Heading2"/>
      </w:pPr>
      <w:bookmarkStart w:id="541" w:name="_Toc69129448"/>
      <w:r>
        <w:t>6.3.1</w:t>
      </w:r>
      <w:r>
        <w:tab/>
        <w:t>Electrochemical Impedance Spectroscopy</w:t>
      </w:r>
      <w:bookmarkEnd w:id="541"/>
    </w:p>
    <w:p w14:paraId="16D1710B" w14:textId="5AE8A1E5" w:rsidR="00007F6C" w:rsidRDefault="00007F6C" w:rsidP="00007F6C">
      <w:pPr>
        <w:jc w:val="both"/>
      </w:pPr>
      <w:r w:rsidRPr="00164954">
        <w:t>During the electrochemical impedance spectroscopy and subsequent ageing of the infiltrated Ni-YSZ samples</w:t>
      </w:r>
      <w:r>
        <w:t xml:space="preserve"> the samples the series resistance rise stopped after a period of 10 h. </w:t>
      </w:r>
      <w:r w:rsidRPr="00164954">
        <w:t xml:space="preserve">Each of the samples in </w:t>
      </w:r>
      <w:r w:rsidR="00F27EDB">
        <w:fldChar w:fldCharType="begin"/>
      </w:r>
      <w:r w:rsidR="00F27EDB">
        <w:instrText xml:space="preserve"> REF _Ref68876711 \h </w:instrText>
      </w:r>
      <w:r w:rsidR="00F27EDB">
        <w:fldChar w:fldCharType="separate"/>
      </w:r>
      <w:r w:rsidR="00F27EDB">
        <w:t>Figure 6.</w:t>
      </w:r>
      <w:r w:rsidR="00F27EDB">
        <w:rPr>
          <w:noProof/>
        </w:rPr>
        <w:t>2</w:t>
      </w:r>
      <w:r w:rsidR="00F27EDB">
        <w:fldChar w:fldCharType="end"/>
      </w:r>
      <w:r w:rsidR="00F27EDB">
        <w:t xml:space="preserve"> and </w:t>
      </w:r>
      <w:r w:rsidRPr="00164954">
        <w:fldChar w:fldCharType="begin"/>
      </w:r>
      <w:r w:rsidRPr="00164954">
        <w:instrText xml:space="preserve"> REF _Ref48815444 \h </w:instrText>
      </w:r>
      <w:r>
        <w:instrText xml:space="preserve"> \* MERGEFORMAT </w:instrText>
      </w:r>
      <w:r w:rsidRPr="00164954">
        <w:fldChar w:fldCharType="separate"/>
      </w:r>
      <w:r>
        <w:t xml:space="preserve">Figure </w:t>
      </w:r>
      <w:r>
        <w:rPr>
          <w:noProof/>
        </w:rPr>
        <w:t>6.3</w:t>
      </w:r>
      <w:r w:rsidRPr="00164954">
        <w:fldChar w:fldCharType="end"/>
      </w:r>
      <w:r w:rsidRPr="00164954">
        <w:t xml:space="preserve"> show</w:t>
      </w:r>
      <w:r>
        <w:t>ed</w:t>
      </w:r>
      <w:r w:rsidRPr="00164954">
        <w:t xml:space="preserve"> an increase in the charge transfer resistance to polarisation (R</w:t>
      </w:r>
      <w:r w:rsidRPr="00164954">
        <w:rPr>
          <w:vertAlign w:val="subscript"/>
        </w:rPr>
        <w:t>P</w:t>
      </w:r>
      <w:r w:rsidRPr="00164954">
        <w:t>) during the ageing period.</w:t>
      </w:r>
    </w:p>
    <w:p w14:paraId="7BEA7C6C" w14:textId="77777777" w:rsidR="00007F6C" w:rsidRDefault="00007F6C" w:rsidP="00007F6C">
      <w:pPr>
        <w:keepNext/>
        <w:jc w:val="center"/>
      </w:pPr>
      <w:r w:rsidRPr="00162798">
        <w:rPr>
          <w:noProof/>
        </w:rPr>
        <w:drawing>
          <wp:inline distT="0" distB="0" distL="0" distR="0" wp14:anchorId="49060EF4" wp14:editId="08789012">
            <wp:extent cx="5400000" cy="3902290"/>
            <wp:effectExtent l="0" t="0" r="0" b="317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4">
                      <a:extLst>
                        <a:ext uri="{28A0092B-C50C-407E-A947-70E740481C1C}">
                          <a14:useLocalDpi xmlns:a14="http://schemas.microsoft.com/office/drawing/2010/main" val="0"/>
                        </a:ext>
                      </a:extLst>
                    </a:blip>
                    <a:srcRect l="9862" t="9309" b="5405"/>
                    <a:stretch/>
                  </pic:blipFill>
                  <pic:spPr bwMode="auto">
                    <a:xfrm>
                      <a:off x="0" y="0"/>
                      <a:ext cx="5400000" cy="3902290"/>
                    </a:xfrm>
                    <a:prstGeom prst="rect">
                      <a:avLst/>
                    </a:prstGeom>
                    <a:noFill/>
                    <a:ln>
                      <a:noFill/>
                    </a:ln>
                    <a:extLst>
                      <a:ext uri="{53640926-AAD7-44D8-BBD7-CCE9431645EC}">
                        <a14:shadowObscured xmlns:a14="http://schemas.microsoft.com/office/drawing/2010/main"/>
                      </a:ext>
                    </a:extLst>
                  </pic:spPr>
                </pic:pic>
              </a:graphicData>
            </a:graphic>
          </wp:inline>
        </w:drawing>
      </w:r>
    </w:p>
    <w:p w14:paraId="6DB43BBC" w14:textId="1FF55F8E" w:rsidR="00007F6C" w:rsidRDefault="00007F6C" w:rsidP="00007F6C">
      <w:pPr>
        <w:pStyle w:val="Caption"/>
      </w:pPr>
      <w:bookmarkStart w:id="542" w:name="_Ref68876711"/>
      <w:bookmarkStart w:id="543" w:name="_Toc69115053"/>
      <w:r>
        <w:t>Figure 6.</w:t>
      </w:r>
      <w:r w:rsidR="00B51F53">
        <w:fldChar w:fldCharType="begin"/>
      </w:r>
      <w:r w:rsidR="00B51F53">
        <w:instrText xml:space="preserve"> SEQ Figure \* ARABIC </w:instrText>
      </w:r>
      <w:r w:rsidR="00B51F53">
        <w:fldChar w:fldCharType="separate"/>
      </w:r>
      <w:r w:rsidR="00F27EDB">
        <w:rPr>
          <w:noProof/>
        </w:rPr>
        <w:t>2</w:t>
      </w:r>
      <w:r w:rsidR="00B51F53">
        <w:rPr>
          <w:noProof/>
        </w:rPr>
        <w:fldChar w:fldCharType="end"/>
      </w:r>
      <w:bookmarkEnd w:id="542"/>
      <w:r>
        <w:t xml:space="preserve">: Series </w:t>
      </w:r>
      <w:r w:rsidRPr="007B1A6D">
        <w:t>resistance for infiltrated Ni-YSZ samples</w:t>
      </w:r>
      <w:r>
        <w:t xml:space="preserve"> dried under different atmospheres across 50h of ageing</w:t>
      </w:r>
      <w:r w:rsidRPr="007B1A6D">
        <w:t>. The filled markers denote that the sample was dried in air (AD), non-filled markers (ND).</w:t>
      </w:r>
      <w:bookmarkEnd w:id="543"/>
    </w:p>
    <w:p w14:paraId="366488EB" w14:textId="3309EE6B" w:rsidR="00007F6C" w:rsidRDefault="00007F6C" w:rsidP="00007F6C">
      <w:pPr>
        <w:jc w:val="both"/>
      </w:pPr>
      <w:r>
        <w:lastRenderedPageBreak/>
        <w:t>Despite this change, 50</w:t>
      </w:r>
      <w:r w:rsidR="00E01466">
        <w:t xml:space="preserve"> </w:t>
      </w:r>
      <w:r>
        <w:t>% of the nitrogen dried Ni-YSZ samples levelled off after 2 h of ageing indicating that the initial coarsening mechanism in this system changes during this timescale. This is despite the series resistance of these samples showing little change in this intervening time. The EIS results show that this levelling off occurs at 30 h for the air-dried samples.</w:t>
      </w:r>
    </w:p>
    <w:p w14:paraId="49E56F52" w14:textId="0B169ACB" w:rsidR="00007F6C" w:rsidRDefault="00007F6C" w:rsidP="00007F6C">
      <w:pPr>
        <w:jc w:val="both"/>
      </w:pPr>
      <w:r>
        <w:t xml:space="preserve">EIS has provided an indication of the key time scales present for the coarsening events in infiltrated nickel phase in SOFC fuel electrodes. However, this technique does not provide </w:t>
      </w:r>
      <w:r w:rsidR="000723AB">
        <w:t>any indicators</w:t>
      </w:r>
      <w:r>
        <w:t xml:space="preserve"> as to how the microstructure has changed in the anode during ageing. </w:t>
      </w:r>
    </w:p>
    <w:p w14:paraId="01EC6F5D" w14:textId="77777777" w:rsidR="00007F6C" w:rsidRDefault="00007F6C" w:rsidP="00007F6C">
      <w:pPr>
        <w:jc w:val="both"/>
      </w:pPr>
      <w:r>
        <w:t>The remainder of this study will involve tracking the evolution of the catalyst microstructure in the electrode in the 10 h aged timescale to identify the coarsening mechanism present in these systems.</w:t>
      </w:r>
    </w:p>
    <w:p w14:paraId="6678FCB4" w14:textId="77777777" w:rsidR="00007F6C" w:rsidRDefault="00007F6C" w:rsidP="00007F6C">
      <w:pPr>
        <w:keepNext/>
        <w:jc w:val="center"/>
      </w:pPr>
      <w:r w:rsidRPr="00162798">
        <w:rPr>
          <w:noProof/>
        </w:rPr>
        <w:drawing>
          <wp:inline distT="0" distB="0" distL="0" distR="0" wp14:anchorId="143BA575" wp14:editId="4F4745B5">
            <wp:extent cx="5400000" cy="4559281"/>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5">
                      <a:extLst>
                        <a:ext uri="{28A0092B-C50C-407E-A947-70E740481C1C}">
                          <a14:useLocalDpi xmlns:a14="http://schemas.microsoft.com/office/drawing/2010/main" val="0"/>
                        </a:ext>
                      </a:extLst>
                    </a:blip>
                    <a:srcRect l="9633" t="9610" r="13762" b="5704"/>
                    <a:stretch/>
                  </pic:blipFill>
                  <pic:spPr bwMode="auto">
                    <a:xfrm>
                      <a:off x="0" y="0"/>
                      <a:ext cx="5400000" cy="4559281"/>
                    </a:xfrm>
                    <a:prstGeom prst="rect">
                      <a:avLst/>
                    </a:prstGeom>
                    <a:noFill/>
                    <a:ln>
                      <a:noFill/>
                    </a:ln>
                    <a:extLst>
                      <a:ext uri="{53640926-AAD7-44D8-BBD7-CCE9431645EC}">
                        <a14:shadowObscured xmlns:a14="http://schemas.microsoft.com/office/drawing/2010/main"/>
                      </a:ext>
                    </a:extLst>
                  </pic:spPr>
                </pic:pic>
              </a:graphicData>
            </a:graphic>
          </wp:inline>
        </w:drawing>
      </w:r>
    </w:p>
    <w:p w14:paraId="4A836EE4" w14:textId="7F5CDCE1" w:rsidR="00007F6C" w:rsidRDefault="00007F6C" w:rsidP="00007F6C">
      <w:pPr>
        <w:pStyle w:val="Caption"/>
      </w:pPr>
      <w:bookmarkStart w:id="544" w:name="_Ref48815444"/>
      <w:bookmarkStart w:id="545" w:name="_Toc69115054"/>
      <w:r>
        <w:t>Figure 6.</w:t>
      </w:r>
      <w:r w:rsidR="00B51F53">
        <w:fldChar w:fldCharType="begin"/>
      </w:r>
      <w:r w:rsidR="00B51F53">
        <w:instrText xml:space="preserve"> SEQ Figure \* ARABIC </w:instrText>
      </w:r>
      <w:r w:rsidR="00B51F53">
        <w:fldChar w:fldCharType="separate"/>
      </w:r>
      <w:r w:rsidR="00F27EDB">
        <w:rPr>
          <w:noProof/>
        </w:rPr>
        <w:t>3</w:t>
      </w:r>
      <w:r w:rsidR="00B51F53">
        <w:rPr>
          <w:noProof/>
        </w:rPr>
        <w:fldChar w:fldCharType="end"/>
      </w:r>
      <w:bookmarkEnd w:id="544"/>
      <w:r>
        <w:t xml:space="preserve">: Polarisation </w:t>
      </w:r>
      <w:r w:rsidRPr="007B1A6D">
        <w:t>resistance for infiltrated Ni-YSZ samples</w:t>
      </w:r>
      <w:r>
        <w:t xml:space="preserve"> dried under different atmospheres across 50h of ageing</w:t>
      </w:r>
      <w:r w:rsidRPr="007B1A6D">
        <w:t>. The filled markers denote that the sample was dried in air (AD), non-filled markers (ND).</w:t>
      </w:r>
      <w:bookmarkEnd w:id="545"/>
    </w:p>
    <w:p w14:paraId="2F420815" w14:textId="77777777" w:rsidR="00007F6C" w:rsidRDefault="00007F6C" w:rsidP="00007F6C">
      <w:pPr>
        <w:jc w:val="both"/>
        <w:rPr>
          <w:color w:val="FFC000"/>
        </w:rPr>
      </w:pPr>
      <w:r>
        <w:rPr>
          <w:color w:val="FFC000"/>
        </w:rPr>
        <w:br w:type="page"/>
      </w:r>
    </w:p>
    <w:p w14:paraId="133CCCA6" w14:textId="77777777" w:rsidR="00007F6C" w:rsidRDefault="00007F6C" w:rsidP="005F6180">
      <w:pPr>
        <w:pStyle w:val="Heading2"/>
      </w:pPr>
      <w:bookmarkStart w:id="546" w:name="_Toc69129449"/>
      <w:r>
        <w:lastRenderedPageBreak/>
        <w:t>6.3.2</w:t>
      </w:r>
      <w:r>
        <w:tab/>
      </w:r>
      <w:bookmarkStart w:id="547" w:name="_Hlk48549060"/>
      <w:r>
        <w:t>Focussed Ion Beam Scanning Electron Microscopy</w:t>
      </w:r>
      <w:bookmarkEnd w:id="546"/>
    </w:p>
    <w:p w14:paraId="1E83A691" w14:textId="77777777" w:rsidR="00007F6C" w:rsidRDefault="00007F6C" w:rsidP="00007F6C">
      <w:pPr>
        <w:jc w:val="both"/>
      </w:pPr>
      <w:r>
        <w:t xml:space="preserve">Epoxy resin was also used to enhance the contrast between the nickel and ceramic scaffold phases. </w:t>
      </w:r>
    </w:p>
    <w:p w14:paraId="3B99CD3C" w14:textId="77777777" w:rsidR="00007F6C" w:rsidRDefault="00007F6C" w:rsidP="00007F6C">
      <w:pPr>
        <w:jc w:val="both"/>
        <w:rPr>
          <w:lang w:val="en-US"/>
        </w:rPr>
      </w:pPr>
      <w:r>
        <w:rPr>
          <w:lang w:val="en-US"/>
        </w:rPr>
        <w:t>Pristine and 50 h aged Ni-YSZ samples were sectioned and mounted in Buehler sample clips. The samples were vacuum impregnated using Buehler Epothin2 Epoxy. After the epoxy resin was cast, the sample was held in a Buehler “Cast N Vac” vacuum chamber for 60 minutes. The samples were removed from the container and left to set for a further 18 h.</w:t>
      </w:r>
    </w:p>
    <w:p w14:paraId="1663585B" w14:textId="77777777" w:rsidR="00007F6C" w:rsidRDefault="00007F6C" w:rsidP="00007F6C">
      <w:pPr>
        <w:jc w:val="both"/>
        <w:rPr>
          <w:lang w:val="en-US"/>
        </w:rPr>
      </w:pPr>
      <w:r>
        <w:rPr>
          <w:lang w:val="en-US"/>
        </w:rPr>
        <w:t>The epoxy of the mounted sample stubs was clear with no evident of bubbles. The base of the sample mold was tough to remove indicative that a vacuum had formed during the setting process.</w:t>
      </w:r>
    </w:p>
    <w:p w14:paraId="7C416190" w14:textId="77777777" w:rsidR="00007F6C" w:rsidRDefault="00007F6C" w:rsidP="00007F6C">
      <w:pPr>
        <w:jc w:val="both"/>
        <w:rPr>
          <w:lang w:val="en-US"/>
        </w:rPr>
      </w:pPr>
      <w:proofErr w:type="spellStart"/>
      <w:r w:rsidRPr="0030148E">
        <w:rPr>
          <w:iCs/>
          <w:lang w:val="en-US"/>
        </w:rPr>
        <w:t>Thyden</w:t>
      </w:r>
      <w:proofErr w:type="spellEnd"/>
      <w:r w:rsidRPr="0030148E">
        <w:rPr>
          <w:iCs/>
          <w:lang w:val="en-US"/>
        </w:rPr>
        <w:t xml:space="preserve"> (2008) avoided</w:t>
      </w:r>
      <w:r w:rsidRPr="00603A7E">
        <w:rPr>
          <w:lang w:val="en-US"/>
        </w:rPr>
        <w:t xml:space="preserve"> the use of colloidal silica</w:t>
      </w:r>
      <w:r>
        <w:rPr>
          <w:i/>
          <w:lang w:val="en-US"/>
        </w:rPr>
        <w:t xml:space="preserve"> </w:t>
      </w:r>
      <w:r>
        <w:rPr>
          <w:lang w:val="en-US"/>
        </w:rPr>
        <w:t xml:space="preserve">during a grinding and polishing routine for epoxy mounted samples </w:t>
      </w:r>
      <w:r>
        <w:rPr>
          <w:lang w:val="en-US"/>
        </w:rPr>
        <w:fldChar w:fldCharType="begin" w:fldLock="1"/>
      </w:r>
      <w:r>
        <w:rPr>
          <w:lang w:val="en-US"/>
        </w:rPr>
        <w:instrText>ADDIN CSL_CITATION {"citationItems":[{"id":"ITEM-1","itemData":{"ISBN":"978-87-550-3625-3","abstract":"Ni-YSZ cermets have been used as anode materials in SOFCs for more than 20 \nyears. Despite this fact, the major cause of degradation within the Ni-YSZ anode, \nnamely Ni sintering / coarsening, is still not fully understood. Even if microstructural \nstudies of anodes in tested cells are of technological relevance, it is difficult to \nidentify the effect from isolated parameters such as temperature, fuel gas composition \nand polarization. Model studies of high temperature aged Ni-YSZ cermets are \ngenerally performed in atmospheres containing relatively low concentrations of H2O. \nIn this work, the microstructural degradation in both electrochemically longterm \ntested cells and high-temperature aged model materials are studied. Since Ni \nparticle sintering / coarsening is attributed to be the major cause of anode degradation, \nthis subject attains the primary focus. A large part of the work is focused on \nimproving microstructural techniques and shows that the application of low \nacceleration voltages (≤ 1 kV) in a FE-SEM makes it possible to obtain two useful \ntypes of contrast between the phases in Ni-YSZ composites. By changing between the \nordinary lateral SE detector and the inlens detector, using similar microscope settings, \ntwo very different sample characteristics are probed: 1) The difference in secondary \nemission coefficient, δ, between the percolating and non-percolating Ni is maximized \nin the low-voltage range due to a high δ for the former and the suppression of δ by a \npositive charge for the latter. This difference yields a contrast between the two phases \nwhich is picked up by an inlens secondary electron detector. 2) The difference in \nbackscatter coefficient, η, between Ni and YSZ is shown to increase with decreasing \nvoltage. The contrast is illustrated in images collected by the normal secondary \ndetector since parts of the secondary signals are generated by backscattered electrons. \nHigh temperature aging experiments of model Ni-YSZ anode cermets show \nthat Ni sintering / coarsening is significantly increased, not only at higher \ntemperatures, but also when the concentration of H2O in the reducing atmosphere is \nincreased. It is proposed that the mobility of Ni is facilitated by the formation of Ni- \nOH complexes which are capable of segregating on the Ni particles surface, on the \nYSZ surface and via gas phase. This is a mechanism which has previously been \nreported in the context of Ni steam-reforming catalysis. \nIn the context of…","author":[{"dropping-particle":"","family":"Thydén","given":"Karl Tor Sune","non-dropping-particle":"","parse-names":false,"suffix":""}],"id":"ITEM-1","issued":{"date-parts":[["2008"]]},"title":"Microstructural degradation of Ni-YSZ anodes for solid oxide fuel cells","type":"book"},"uris":["http://www.mendeley.com/documents/?uuid=7f9118f0-e7e0-48f5-bdee-ad5f69e9fe11"]}],"mendeley":{"formattedCitation":"[90]","plainTextFormattedCitation":"[90]","previouslyFormattedCitation":"[90]"},"properties":{"noteIndex":0},"schema":"https://github.com/citation-style-language/schema/raw/master/csl-citation.json"}</w:instrText>
      </w:r>
      <w:r>
        <w:rPr>
          <w:lang w:val="en-US"/>
        </w:rPr>
        <w:fldChar w:fldCharType="separate"/>
      </w:r>
      <w:r w:rsidRPr="00375DF8">
        <w:rPr>
          <w:noProof/>
          <w:lang w:val="en-US"/>
        </w:rPr>
        <w:t>[90]</w:t>
      </w:r>
      <w:r>
        <w:rPr>
          <w:lang w:val="en-US"/>
        </w:rPr>
        <w:fldChar w:fldCharType="end"/>
      </w:r>
      <w:r>
        <w:rPr>
          <w:lang w:val="en-US"/>
        </w:rPr>
        <w:t xml:space="preserve">. The routine involved 3 grinding stages between 320-1000 </w:t>
      </w:r>
      <w:r>
        <w:rPr>
          <w:rFonts w:cstheme="minorHAnsi"/>
          <w:lang w:val="en-US"/>
        </w:rPr>
        <w:t>µ</w:t>
      </w:r>
      <w:r>
        <w:rPr>
          <w:lang w:val="en-US"/>
        </w:rPr>
        <w:t xml:space="preserve">m. This was followed by polishing steps using 6,3 and 1 </w:t>
      </w:r>
      <w:r>
        <w:rPr>
          <w:rFonts w:cstheme="minorHAnsi"/>
          <w:lang w:val="en-US"/>
        </w:rPr>
        <w:t>µ</w:t>
      </w:r>
      <w:r>
        <w:rPr>
          <w:lang w:val="en-US"/>
        </w:rPr>
        <w:t xml:space="preserve">m abrasive diamond paste.  </w:t>
      </w:r>
    </w:p>
    <w:p w14:paraId="7348CE97" w14:textId="77777777" w:rsidR="00007F6C" w:rsidRDefault="00007F6C" w:rsidP="00007F6C">
      <w:pPr>
        <w:jc w:val="both"/>
      </w:pPr>
      <w:r>
        <w:rPr>
          <w:lang w:val="en-US"/>
        </w:rPr>
        <w:t xml:space="preserve">This routine was implemented on the Ni-YSZ samples in this study </w:t>
      </w:r>
      <w:r>
        <w:t>however, due to the mechanical fragility of the scaffold this phase ended up covering the electrode increasing wear during polishing and grinding (</w:t>
      </w:r>
      <w:r>
        <w:fldChar w:fldCharType="begin"/>
      </w:r>
      <w:r>
        <w:instrText xml:space="preserve"> REF _Ref48725679 \h </w:instrText>
      </w:r>
      <w:r>
        <w:fldChar w:fldCharType="separate"/>
      </w:r>
      <w:r>
        <w:t>Figure 6.</w:t>
      </w:r>
      <w:r>
        <w:rPr>
          <w:noProof/>
        </w:rPr>
        <w:t>4</w:t>
      </w:r>
      <w:r>
        <w:fldChar w:fldCharType="end"/>
      </w:r>
      <w:r>
        <w:t xml:space="preserve">). This method was not used for further microscopy of the witness samples. </w:t>
      </w:r>
    </w:p>
    <w:p w14:paraId="4B2A6BAB" w14:textId="77777777" w:rsidR="00007F6C" w:rsidRDefault="00007F6C" w:rsidP="00007F6C">
      <w:pPr>
        <w:keepNext/>
        <w:jc w:val="center"/>
      </w:pPr>
      <w:r>
        <w:rPr>
          <w:noProof/>
        </w:rPr>
        <w:drawing>
          <wp:inline distT="0" distB="0" distL="0" distR="0" wp14:anchorId="7C4A002D" wp14:editId="3DF5ACDE">
            <wp:extent cx="4320000" cy="3976176"/>
            <wp:effectExtent l="0" t="0" r="4445" b="5715"/>
            <wp:docPr id="363" name="Picture 363" descr="A picture containing photo, outdoor, building,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photo, outdoor, building, people&#10;&#10;Description automatically generated"/>
                    <pic:cNvPicPr/>
                  </pic:nvPicPr>
                  <pic:blipFill rotWithShape="1">
                    <a:blip r:embed="rId176">
                      <a:extLst>
                        <a:ext uri="{28A0092B-C50C-407E-A947-70E740481C1C}">
                          <a14:useLocalDpi xmlns:a14="http://schemas.microsoft.com/office/drawing/2010/main" val="0"/>
                        </a:ext>
                      </a:extLst>
                    </a:blip>
                    <a:srcRect r="1463"/>
                    <a:stretch/>
                  </pic:blipFill>
                  <pic:spPr bwMode="auto">
                    <a:xfrm>
                      <a:off x="0" y="0"/>
                      <a:ext cx="4320000" cy="3976176"/>
                    </a:xfrm>
                    <a:prstGeom prst="rect">
                      <a:avLst/>
                    </a:prstGeom>
                    <a:ln>
                      <a:noFill/>
                    </a:ln>
                    <a:extLst>
                      <a:ext uri="{53640926-AAD7-44D8-BBD7-CCE9431645EC}">
                        <a14:shadowObscured xmlns:a14="http://schemas.microsoft.com/office/drawing/2010/main"/>
                      </a:ext>
                    </a:extLst>
                  </pic:spPr>
                </pic:pic>
              </a:graphicData>
            </a:graphic>
          </wp:inline>
        </w:drawing>
      </w:r>
    </w:p>
    <w:p w14:paraId="35715FDB" w14:textId="2E48EF6B" w:rsidR="00007F6C" w:rsidRDefault="00007F6C" w:rsidP="000E5987">
      <w:pPr>
        <w:pStyle w:val="Caption"/>
        <w:spacing w:after="240"/>
      </w:pPr>
      <w:bookmarkStart w:id="548" w:name="_Ref48725679"/>
      <w:bookmarkStart w:id="549" w:name="_Toc69115055"/>
      <w:r>
        <w:t>Figure 6.</w:t>
      </w:r>
      <w:r w:rsidR="00B51F53">
        <w:fldChar w:fldCharType="begin"/>
      </w:r>
      <w:r w:rsidR="00B51F53">
        <w:instrText xml:space="preserve"> SEQ Figure \* ARABIC </w:instrText>
      </w:r>
      <w:r w:rsidR="00B51F53">
        <w:fldChar w:fldCharType="separate"/>
      </w:r>
      <w:r w:rsidR="004D5B42">
        <w:rPr>
          <w:noProof/>
        </w:rPr>
        <w:t>4</w:t>
      </w:r>
      <w:r w:rsidR="00B51F53">
        <w:rPr>
          <w:noProof/>
        </w:rPr>
        <w:fldChar w:fldCharType="end"/>
      </w:r>
      <w:bookmarkEnd w:id="548"/>
      <w:r>
        <w:t xml:space="preserve">: Scanning electron micrographs of the air and nitrogen dried Ni-YSZ samples after grinding and polishing after setting with an epoxy resin. The magnification from left to right is 5,000x and 10,000x </w:t>
      </w:r>
      <w:proofErr w:type="gramStart"/>
      <w:r>
        <w:t>respectively</w:t>
      </w:r>
      <w:bookmarkEnd w:id="549"/>
      <w:proofErr w:type="gramEnd"/>
    </w:p>
    <w:bookmarkEnd w:id="547"/>
    <w:p w14:paraId="59771B24" w14:textId="49DC9E6B" w:rsidR="00007F6C" w:rsidRDefault="00007F6C" w:rsidP="00007F6C">
      <w:pPr>
        <w:jc w:val="both"/>
      </w:pPr>
      <w:r>
        <w:t xml:space="preserve">Focussed Ion beam SEM micrographs of the air dried and nitrogen witness samples without epoxy resin were performed for 0 h aged and 5 h aged samples.  Initially, 20 </w:t>
      </w:r>
      <w:r>
        <w:rPr>
          <w:rFonts w:cstheme="minorHAnsi"/>
        </w:rPr>
        <w:t>µ</w:t>
      </w:r>
      <w:r>
        <w:t xml:space="preserve">m x 10 </w:t>
      </w:r>
      <w:r>
        <w:rPr>
          <w:rFonts w:cstheme="minorHAnsi"/>
        </w:rPr>
        <w:t>µ</w:t>
      </w:r>
      <w:r>
        <w:t>m micrographs of the samples were taken of the milled cross-section</w:t>
      </w:r>
      <w:r w:rsidR="000E5987">
        <w:t xml:space="preserve"> (</w:t>
      </w:r>
      <w:r w:rsidR="000E5987">
        <w:fldChar w:fldCharType="begin"/>
      </w:r>
      <w:r w:rsidR="000E5987">
        <w:instrText xml:space="preserve"> REF _Ref48571106 \h </w:instrText>
      </w:r>
      <w:r w:rsidR="000E5987">
        <w:fldChar w:fldCharType="separate"/>
      </w:r>
      <w:r w:rsidR="000E5987">
        <w:t>Figure 6.</w:t>
      </w:r>
      <w:r w:rsidR="000E5987">
        <w:rPr>
          <w:noProof/>
        </w:rPr>
        <w:t>5</w:t>
      </w:r>
      <w:r w:rsidR="000E5987">
        <w:fldChar w:fldCharType="end"/>
      </w:r>
      <w:r w:rsidR="000E5987">
        <w:t xml:space="preserve"> and </w:t>
      </w:r>
      <w:r w:rsidR="000E5987">
        <w:fldChar w:fldCharType="begin"/>
      </w:r>
      <w:r w:rsidR="000E5987">
        <w:instrText xml:space="preserve"> REF _Ref48571107 \h </w:instrText>
      </w:r>
      <w:r w:rsidR="000E5987">
        <w:fldChar w:fldCharType="separate"/>
      </w:r>
      <w:r w:rsidR="000E5987">
        <w:t>Figure 6.</w:t>
      </w:r>
      <w:r w:rsidR="000E5987">
        <w:rPr>
          <w:noProof/>
        </w:rPr>
        <w:t>6</w:t>
      </w:r>
      <w:r w:rsidR="000E5987">
        <w:fldChar w:fldCharType="end"/>
      </w:r>
      <w:r w:rsidR="000E5987">
        <w:t>)</w:t>
      </w:r>
      <w:r>
        <w:t>.</w:t>
      </w:r>
    </w:p>
    <w:p w14:paraId="495911F7" w14:textId="77777777" w:rsidR="00007F6C" w:rsidRDefault="00007F6C" w:rsidP="00007F6C">
      <w:pPr>
        <w:keepNext/>
        <w:jc w:val="center"/>
      </w:pPr>
      <w:r>
        <w:rPr>
          <w:noProof/>
        </w:rPr>
        <w:lastRenderedPageBreak/>
        <w:drawing>
          <wp:inline distT="0" distB="0" distL="0" distR="0" wp14:anchorId="14F5977E" wp14:editId="2CC18442">
            <wp:extent cx="5400000" cy="2571372"/>
            <wp:effectExtent l="0" t="0" r="0" b="635"/>
            <wp:docPr id="366" name="Picture 366" descr="A large crowd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large crowd of people&#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5400000" cy="2571372"/>
                    </a:xfrm>
                    <a:prstGeom prst="rect">
                      <a:avLst/>
                    </a:prstGeom>
                  </pic:spPr>
                </pic:pic>
              </a:graphicData>
            </a:graphic>
          </wp:inline>
        </w:drawing>
      </w:r>
    </w:p>
    <w:p w14:paraId="7912FB0E" w14:textId="450B1060" w:rsidR="00007F6C" w:rsidRDefault="00007F6C" w:rsidP="00007F6C">
      <w:pPr>
        <w:pStyle w:val="Caption"/>
      </w:pPr>
      <w:bookmarkStart w:id="550" w:name="_Ref48571106"/>
      <w:bookmarkStart w:id="551" w:name="_Toc69115056"/>
      <w:r>
        <w:t>Figure 6.</w:t>
      </w:r>
      <w:r w:rsidR="00B51F53">
        <w:fldChar w:fldCharType="begin"/>
      </w:r>
      <w:r w:rsidR="00B51F53">
        <w:instrText xml:space="preserve"> SEQ Figure \* ARABIC </w:instrText>
      </w:r>
      <w:r w:rsidR="00B51F53">
        <w:fldChar w:fldCharType="separate"/>
      </w:r>
      <w:r w:rsidR="004D5B42">
        <w:rPr>
          <w:noProof/>
        </w:rPr>
        <w:t>5</w:t>
      </w:r>
      <w:r w:rsidR="00B51F53">
        <w:rPr>
          <w:noProof/>
        </w:rPr>
        <w:fldChar w:fldCharType="end"/>
      </w:r>
      <w:bookmarkEnd w:id="550"/>
      <w:r>
        <w:t xml:space="preserve">: Scanning electron micrograph of the milled cross section of the 0 h aged air-dried infiltrated Ni-YSZ fuel electrode sample at a magnification of 25,000x. The region measures 20 </w:t>
      </w:r>
      <w:r>
        <w:rPr>
          <w:rFonts w:cstheme="minorHAnsi"/>
        </w:rPr>
        <w:t>µ</w:t>
      </w:r>
      <w:r>
        <w:t xml:space="preserve">m x 10 </w:t>
      </w:r>
      <w:r>
        <w:rPr>
          <w:rFonts w:cstheme="minorHAnsi"/>
        </w:rPr>
        <w:t>µ</w:t>
      </w:r>
      <w:r>
        <w:t xml:space="preserve">m, respectively. The top 1 </w:t>
      </w:r>
      <w:r>
        <w:rPr>
          <w:rFonts w:cstheme="minorHAnsi"/>
        </w:rPr>
        <w:t>µ</w:t>
      </w:r>
      <w:r>
        <w:t xml:space="preserve">m layer is the platinum protective layer. The next 10 </w:t>
      </w:r>
      <w:r>
        <w:rPr>
          <w:rFonts w:cstheme="minorHAnsi"/>
        </w:rPr>
        <w:t>µ</w:t>
      </w:r>
      <w:r>
        <w:t>m are the infiltrated Ni-YSZ fuel electrode witness sample with a porous YSZ ceramic backbone.</w:t>
      </w:r>
      <w:bookmarkEnd w:id="551"/>
    </w:p>
    <w:p w14:paraId="68364F7B" w14:textId="77777777" w:rsidR="00007F6C" w:rsidRDefault="00007F6C" w:rsidP="00007F6C">
      <w:pPr>
        <w:keepNext/>
        <w:jc w:val="center"/>
      </w:pPr>
      <w:r>
        <w:rPr>
          <w:noProof/>
        </w:rPr>
        <w:drawing>
          <wp:inline distT="0" distB="0" distL="0" distR="0" wp14:anchorId="16FB9665" wp14:editId="4CC55FEE">
            <wp:extent cx="5400000" cy="2740084"/>
            <wp:effectExtent l="0" t="0" r="0" b="3175"/>
            <wp:docPr id="367" name="Picture 367" descr="A picture containing outdoor, photo, sheep,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outdoor, photo, sheep, rock&#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5400000" cy="2740084"/>
                    </a:xfrm>
                    <a:prstGeom prst="rect">
                      <a:avLst/>
                    </a:prstGeom>
                  </pic:spPr>
                </pic:pic>
              </a:graphicData>
            </a:graphic>
          </wp:inline>
        </w:drawing>
      </w:r>
    </w:p>
    <w:p w14:paraId="06940438" w14:textId="6F1E208E" w:rsidR="00007F6C" w:rsidRPr="00D26D68" w:rsidRDefault="00007F6C" w:rsidP="00007F6C">
      <w:pPr>
        <w:pStyle w:val="Caption"/>
      </w:pPr>
      <w:bookmarkStart w:id="552" w:name="_Ref48571107"/>
      <w:bookmarkStart w:id="553" w:name="_Toc69115057"/>
      <w:r>
        <w:t>Figure 6.</w:t>
      </w:r>
      <w:r w:rsidR="00B51F53">
        <w:fldChar w:fldCharType="begin"/>
      </w:r>
      <w:r w:rsidR="00B51F53">
        <w:instrText xml:space="preserve"> SEQ Figure \* ARABIC </w:instrText>
      </w:r>
      <w:r w:rsidR="00B51F53">
        <w:fldChar w:fldCharType="separate"/>
      </w:r>
      <w:r w:rsidR="004D5B42">
        <w:rPr>
          <w:noProof/>
        </w:rPr>
        <w:t>6</w:t>
      </w:r>
      <w:r w:rsidR="00B51F53">
        <w:rPr>
          <w:noProof/>
        </w:rPr>
        <w:fldChar w:fldCharType="end"/>
      </w:r>
      <w:bookmarkEnd w:id="552"/>
      <w:r>
        <w:t xml:space="preserve">: Scanning electron micrograph of the milled cross section of the 0 h aged nitrogen-dried infiltrated Ni-YSZ fuel electrode sample at a magnification of 25,000x. The region measures 20 </w:t>
      </w:r>
      <w:r>
        <w:rPr>
          <w:rFonts w:cstheme="minorHAnsi"/>
        </w:rPr>
        <w:t>µ</w:t>
      </w:r>
      <w:r>
        <w:t xml:space="preserve">m x 10 </w:t>
      </w:r>
      <w:r>
        <w:rPr>
          <w:rFonts w:cstheme="minorHAnsi"/>
        </w:rPr>
        <w:t>µ</w:t>
      </w:r>
      <w:r>
        <w:t xml:space="preserve">m, respectively. The top 1 </w:t>
      </w:r>
      <w:r>
        <w:rPr>
          <w:rFonts w:cstheme="minorHAnsi"/>
        </w:rPr>
        <w:t>µ</w:t>
      </w:r>
      <w:r>
        <w:t xml:space="preserve">m layer is the platinum protective layer. The next 10 </w:t>
      </w:r>
      <w:r>
        <w:rPr>
          <w:rFonts w:cstheme="minorHAnsi"/>
        </w:rPr>
        <w:t>µ</w:t>
      </w:r>
      <w:r>
        <w:t>m are the infiltrated Ni-YSZ fuel electrode witness sample with a porous YSZ ceramic backbone.</w:t>
      </w:r>
      <w:bookmarkEnd w:id="553"/>
    </w:p>
    <w:p w14:paraId="77728659" w14:textId="3AF555DE" w:rsidR="00007F6C" w:rsidRDefault="00007F6C" w:rsidP="00007F6C">
      <w:pPr>
        <w:jc w:val="both"/>
      </w:pPr>
      <w:r>
        <w:t>There was little sign of the infiltrated nickel phase for present in the two cross-sectional micrographs (</w:t>
      </w:r>
      <w:r>
        <w:fldChar w:fldCharType="begin"/>
      </w:r>
      <w:r>
        <w:instrText xml:space="preserve"> REF _Ref48571106 \h  \* MERGEFORMAT </w:instrText>
      </w:r>
      <w:r>
        <w:fldChar w:fldCharType="separate"/>
      </w:r>
      <w:r w:rsidR="004D5B42">
        <w:t xml:space="preserve">Figure </w:t>
      </w:r>
      <w:r w:rsidR="004D5B42">
        <w:rPr>
          <w:noProof/>
        </w:rPr>
        <w:t>6.5</w:t>
      </w:r>
      <w:r>
        <w:fldChar w:fldCharType="end"/>
      </w:r>
      <w:r>
        <w:t xml:space="preserve"> and </w:t>
      </w:r>
      <w:r>
        <w:fldChar w:fldCharType="begin"/>
      </w:r>
      <w:r>
        <w:instrText xml:space="preserve"> REF _Ref48571107 \h  \* MERGEFORMAT </w:instrText>
      </w:r>
      <w:r>
        <w:fldChar w:fldCharType="separate"/>
      </w:r>
      <w:r w:rsidR="004D5B42">
        <w:t xml:space="preserve">Figure </w:t>
      </w:r>
      <w:r w:rsidR="004D5B42">
        <w:rPr>
          <w:noProof/>
        </w:rPr>
        <w:t>6.6</w:t>
      </w:r>
      <w:r>
        <w:fldChar w:fldCharType="end"/>
      </w:r>
      <w:r>
        <w:t xml:space="preserve">). Back scattered electron micrographs were also taken and can be found in the Appendix (6.3.2). The air-dried sample had two large voids 3 </w:t>
      </w:r>
      <w:r>
        <w:rPr>
          <w:rFonts w:cstheme="minorHAnsi"/>
        </w:rPr>
        <w:t>µ</w:t>
      </w:r>
      <w:r>
        <w:t xml:space="preserve">m for the top of the electrode, which indicate the presence of mechanical instabilities in the ceramic scaffold. </w:t>
      </w:r>
      <w:r>
        <w:fldChar w:fldCharType="begin"/>
      </w:r>
      <w:r>
        <w:instrText xml:space="preserve"> REF _Ref48571106 \h  \* MERGEFORMAT </w:instrText>
      </w:r>
      <w:r>
        <w:fldChar w:fldCharType="separate"/>
      </w:r>
      <w:r w:rsidR="004D5B42">
        <w:t xml:space="preserve">Figure </w:t>
      </w:r>
      <w:r w:rsidR="004D5B42">
        <w:rPr>
          <w:noProof/>
        </w:rPr>
        <w:t>6.5</w:t>
      </w:r>
      <w:r>
        <w:fldChar w:fldCharType="end"/>
      </w:r>
      <w:r>
        <w:t xml:space="preserve"> bears a close resemblance to the uniaxially pressed YSZ scaffold microstructure present </w:t>
      </w:r>
      <w:r w:rsidRPr="0030148E">
        <w:t>in Kim et al</w:t>
      </w:r>
      <w:r>
        <w:rPr>
          <w:i/>
          <w:iCs/>
        </w:rPr>
        <w:t xml:space="preserve"> </w:t>
      </w:r>
      <w:r>
        <w:rPr>
          <w:i/>
          <w:iCs/>
        </w:rPr>
        <w:fldChar w:fldCharType="begin" w:fldLock="1"/>
      </w:r>
      <w:r w:rsidR="00D80A5D">
        <w:rPr>
          <w:i/>
          <w:iCs/>
        </w:rPr>
        <w:instrText>ADDIN CSL_CITATION {"citationItems":[{"id":"ITEM-1","itemData":{"DOI":"10.1039/c9ta01818b","ISSN":"20507496","abstract":"While solid oxide fuel cells (SOFCs) are considered potent candidates for future power generation systems owing to their high efficiency and fuel flexibility, they are far from being used practically, mainly owing to the high cost of their manufacturing process. Since the costs for the quality control and sintering steps rank as top of the total cost of SOFCs, the fabrication of large-area multilayers without processing defects at the interfaces and a decrease in sintering temperature should be achieved simultaneously for cost-effectiveness. Here we firstly show that a simple and cost-effective roll calendering process for the oxygen-ion conducting electrolyte, yttria-stabilized zirconia (YSZ), can effectively address the issues relevant to the processing defects and sintering temperature. Since normal and shear stresses applied in the roll calendering process are uniform regardless of cell size, facile particle rearrangements can be achieved not only within the electrolyte layer but also at the interface between the anode and electrolyte layers. This results in a uniform packing structure with a high grain density in the electrolyte layer and a good interfacial structure between the anode and the electrolyte. Consequently, a thin (5.6 μm) and dense (relative density of 98.9%) electrolyte on the porous anode without processing defects is achieved after sintering at the relatively low temperature of 1270 °C, and a single cell based on a bilayer prepared by the roll calendering process exhibits a high power density of 880 mW cm−2 at 800 °C, which is 1.5 times higher than that of a conventional cell prepared by uniaxial pressing and sintered at 1350 °C.","author":[{"dropping-particle":"","family":"Kim","given":"Junseok","non-dropping-particle":"","parse-names":false,"suffix":""},{"dropping-particle":"","family":"Ahn","given":"Junsung","non-dropping-particle":"","parse-names":false,"suffix":""},{"dropping-particle":"","family":"Shin","given":"Jisu","non-dropping-particle":"","parse-names":false,"suffix":""},{"dropping-particle":"","family":"Yoon","given":"Kyung Joong","non-dropping-particle":"","parse-names":false,"suffix":""},{"dropping-particle":"","family":"Son","given":"Ji Won","non-dropping-particle":"","parse-names":false,"suffix":""},{"dropping-particle":"","family":"Lee","given":"Jong Ho","non-dropping-particle":"","parse-names":false,"suffix":""},{"dropping-particle":"","family":"Shin","given":"Dongwook","non-dropping-particle":"","parse-names":false,"suffix":""},{"dropping-particle":"","family":"Lee","given":"Hae Weon","non-dropping-particle":"","parse-names":false,"suffix":""},{"dropping-particle":"Il","family":"Ji","given":"Ho","non-dropping-particle":"","parse-names":false,"suffix":""}],"container-title":"Journal of Materials Chemistry A","id":"ITEM-1","issue":"16","issued":{"date-parts":[["2019"]]},"page":"9958-9967","title":"Enhanced sinterability and electrochemical performance of solid oxide fuel cells via a roll calendering process","type":"article-journal","volume":"7"},"uris":["http://www.mendeley.com/documents/?uuid=22d63290-0844-41ad-99c2-5e1b29b2a62d"]}],"mendeley":{"formattedCitation":"[129]","plainTextFormattedCitation":"[129]","previouslyFormattedCitation":"[129]"},"properties":{"noteIndex":0},"schema":"https://github.com/citation-style-language/schema/raw/master/csl-citation.json"}</w:instrText>
      </w:r>
      <w:r>
        <w:rPr>
          <w:i/>
          <w:iCs/>
        </w:rPr>
        <w:fldChar w:fldCharType="separate"/>
      </w:r>
      <w:r w:rsidR="006C586A" w:rsidRPr="006C586A">
        <w:rPr>
          <w:iCs/>
          <w:noProof/>
        </w:rPr>
        <w:t>[129]</w:t>
      </w:r>
      <w:r>
        <w:rPr>
          <w:i/>
          <w:iCs/>
        </w:rPr>
        <w:fldChar w:fldCharType="end"/>
      </w:r>
      <w:r>
        <w:t>.  The bright platinum protective layer made grayscale segmentation in Weka difficult for the Ni and YSZ phases.</w:t>
      </w:r>
    </w:p>
    <w:p w14:paraId="7F98F266" w14:textId="77777777" w:rsidR="00007F6C" w:rsidRDefault="00007F6C" w:rsidP="00007F6C">
      <w:pPr>
        <w:jc w:val="both"/>
      </w:pPr>
      <w:r>
        <w:t>Two further infiltrated Ni-YSZ fuel electrode samples were imaged after 5 h of ageing at the conditions discussed in Section 3.3.6.</w:t>
      </w:r>
    </w:p>
    <w:p w14:paraId="29982CD1" w14:textId="77777777" w:rsidR="00007F6C" w:rsidRDefault="00007F6C" w:rsidP="00007F6C">
      <w:pPr>
        <w:jc w:val="both"/>
      </w:pPr>
      <w:r>
        <w:lastRenderedPageBreak/>
        <w:t xml:space="preserve">After this ageing </w:t>
      </w:r>
      <w:proofErr w:type="gramStart"/>
      <w:r>
        <w:t>period</w:t>
      </w:r>
      <w:proofErr w:type="gramEnd"/>
      <w:r>
        <w:t xml:space="preserve"> the microstructure of the air-dried system developed a network of elongated nickel chains which congregated in the first 5 </w:t>
      </w:r>
      <w:r>
        <w:rPr>
          <w:rFonts w:cstheme="minorHAnsi"/>
        </w:rPr>
        <w:t>µ</w:t>
      </w:r>
      <w:r>
        <w:t>m of the electrode.</w:t>
      </w:r>
    </w:p>
    <w:p w14:paraId="4DFC07D8" w14:textId="77777777" w:rsidR="00007F6C" w:rsidRDefault="00007F6C" w:rsidP="00007F6C">
      <w:pPr>
        <w:keepNext/>
        <w:jc w:val="center"/>
      </w:pPr>
      <w:r>
        <w:rPr>
          <w:noProof/>
        </w:rPr>
        <w:drawing>
          <wp:inline distT="0" distB="0" distL="0" distR="0" wp14:anchorId="4AFE12FD" wp14:editId="102B5279">
            <wp:extent cx="5391785" cy="2280260"/>
            <wp:effectExtent l="0" t="0" r="0" b="6350"/>
            <wp:docPr id="368" name="Picture 368" descr="A picture containing nature, photo, front,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nature, photo, front, old&#10;&#10;Description automatically generated"/>
                    <pic:cNvPicPr/>
                  </pic:nvPicPr>
                  <pic:blipFill rotWithShape="1">
                    <a:blip r:embed="rId179">
                      <a:extLst>
                        <a:ext uri="{28A0092B-C50C-407E-A947-70E740481C1C}">
                          <a14:useLocalDpi xmlns:a14="http://schemas.microsoft.com/office/drawing/2010/main" val="0"/>
                        </a:ext>
                      </a:extLst>
                    </a:blip>
                    <a:srcRect t="22098" b="-1"/>
                    <a:stretch/>
                  </pic:blipFill>
                  <pic:spPr bwMode="auto">
                    <a:xfrm>
                      <a:off x="0" y="0"/>
                      <a:ext cx="5400000" cy="2283734"/>
                    </a:xfrm>
                    <a:prstGeom prst="rect">
                      <a:avLst/>
                    </a:prstGeom>
                    <a:ln>
                      <a:noFill/>
                    </a:ln>
                    <a:extLst>
                      <a:ext uri="{53640926-AAD7-44D8-BBD7-CCE9431645EC}">
                        <a14:shadowObscured xmlns:a14="http://schemas.microsoft.com/office/drawing/2010/main"/>
                      </a:ext>
                    </a:extLst>
                  </pic:spPr>
                </pic:pic>
              </a:graphicData>
            </a:graphic>
          </wp:inline>
        </w:drawing>
      </w:r>
    </w:p>
    <w:p w14:paraId="58C5D2F7" w14:textId="4427AD96" w:rsidR="00007F6C" w:rsidRDefault="00007F6C" w:rsidP="00520C8A">
      <w:pPr>
        <w:pStyle w:val="Caption"/>
        <w:spacing w:after="240"/>
      </w:pPr>
      <w:bookmarkStart w:id="554" w:name="_Ref51602672"/>
      <w:bookmarkStart w:id="555" w:name="_Toc69115058"/>
      <w:r>
        <w:t>Figure 6.</w:t>
      </w:r>
      <w:r w:rsidR="00B51F53">
        <w:fldChar w:fldCharType="begin"/>
      </w:r>
      <w:r w:rsidR="00B51F53">
        <w:instrText xml:space="preserve"> SEQ Figure \* ARABIC </w:instrText>
      </w:r>
      <w:r w:rsidR="00B51F53">
        <w:fldChar w:fldCharType="separate"/>
      </w:r>
      <w:r w:rsidR="004D5B42">
        <w:rPr>
          <w:noProof/>
        </w:rPr>
        <w:t>7</w:t>
      </w:r>
      <w:r w:rsidR="00B51F53">
        <w:rPr>
          <w:noProof/>
        </w:rPr>
        <w:fldChar w:fldCharType="end"/>
      </w:r>
      <w:bookmarkEnd w:id="554"/>
      <w:r>
        <w:t xml:space="preserve">: Scanning electron micrograph of the milled cross section of the 5 h aged air-dried infiltrated Ni-YSZ fuel electrode sample at a magnification of 25,000x. The electrode region measures 20 </w:t>
      </w:r>
      <w:r>
        <w:rPr>
          <w:rFonts w:cstheme="minorHAnsi"/>
        </w:rPr>
        <w:t>µ</w:t>
      </w:r>
      <w:r>
        <w:t xml:space="preserve">m x 10 </w:t>
      </w:r>
      <w:r>
        <w:rPr>
          <w:rFonts w:cstheme="minorHAnsi"/>
        </w:rPr>
        <w:t>µ</w:t>
      </w:r>
      <w:r>
        <w:t xml:space="preserve">m, respectively. The top 1 </w:t>
      </w:r>
      <w:r>
        <w:rPr>
          <w:rFonts w:cstheme="minorHAnsi"/>
        </w:rPr>
        <w:t>µ</w:t>
      </w:r>
      <w:r>
        <w:t xml:space="preserve">m layer is the platinum protective layer. The next 5 </w:t>
      </w:r>
      <w:r>
        <w:rPr>
          <w:rFonts w:cstheme="minorHAnsi"/>
        </w:rPr>
        <w:t>µ</w:t>
      </w:r>
      <w:r>
        <w:t xml:space="preserve">m is the coarsened nickel network on top of the YSZ scaffold. The next 5 </w:t>
      </w:r>
      <w:r>
        <w:rPr>
          <w:rFonts w:cstheme="minorHAnsi"/>
        </w:rPr>
        <w:t>µ</w:t>
      </w:r>
      <w:r>
        <w:t>m is the porous YSZ scaffold with infiltrated nickel of the witness sample. The white layer at the bottom of the micrograph is the top of the milled trench.</w:t>
      </w:r>
      <w:bookmarkEnd w:id="555"/>
    </w:p>
    <w:p w14:paraId="383B4458" w14:textId="77777777" w:rsidR="00007F6C" w:rsidRDefault="00007F6C" w:rsidP="00007F6C">
      <w:pPr>
        <w:keepNext/>
        <w:jc w:val="center"/>
      </w:pPr>
      <w:r>
        <w:rPr>
          <w:noProof/>
        </w:rPr>
        <w:drawing>
          <wp:inline distT="0" distB="0" distL="0" distR="0" wp14:anchorId="6907A846" wp14:editId="65CF67BC">
            <wp:extent cx="5400000" cy="2272236"/>
            <wp:effectExtent l="0" t="0" r="0" b="0"/>
            <wp:docPr id="369" name="Picture 369" descr="A picture containing photo, large, group,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photo, large, group, standing&#10;&#10;Description automatically generated"/>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400000" cy="2272236"/>
                    </a:xfrm>
                    <a:prstGeom prst="rect">
                      <a:avLst/>
                    </a:prstGeom>
                  </pic:spPr>
                </pic:pic>
              </a:graphicData>
            </a:graphic>
          </wp:inline>
        </w:drawing>
      </w:r>
    </w:p>
    <w:p w14:paraId="54B9AC0D" w14:textId="485A1861" w:rsidR="00007F6C" w:rsidRDefault="00007F6C" w:rsidP="00520C8A">
      <w:pPr>
        <w:pStyle w:val="Caption"/>
        <w:spacing w:after="240"/>
      </w:pPr>
      <w:bookmarkStart w:id="556" w:name="_Ref48643630"/>
      <w:bookmarkStart w:id="557" w:name="_Toc69115059"/>
      <w:r>
        <w:t>Figure 6.</w:t>
      </w:r>
      <w:r w:rsidR="00B51F53">
        <w:fldChar w:fldCharType="begin"/>
      </w:r>
      <w:r w:rsidR="00B51F53">
        <w:instrText xml:space="preserve"> SEQ Figure \* ARABIC </w:instrText>
      </w:r>
      <w:r w:rsidR="00B51F53">
        <w:fldChar w:fldCharType="separate"/>
      </w:r>
      <w:r w:rsidR="004D5B42">
        <w:rPr>
          <w:noProof/>
        </w:rPr>
        <w:t>8</w:t>
      </w:r>
      <w:r w:rsidR="00B51F53">
        <w:rPr>
          <w:noProof/>
        </w:rPr>
        <w:fldChar w:fldCharType="end"/>
      </w:r>
      <w:bookmarkEnd w:id="556"/>
      <w:r>
        <w:t xml:space="preserve">: Scanning electron micrograph of the milled cross section of the 5 h nitrogen-dried infiltrated Ni-YSZ fuel electrode sample at a magnification of 25,000x. The region measures 20 </w:t>
      </w:r>
      <w:r>
        <w:rPr>
          <w:rFonts w:cstheme="minorHAnsi"/>
        </w:rPr>
        <w:t>µ</w:t>
      </w:r>
      <w:r>
        <w:t xml:space="preserve">m x 10 </w:t>
      </w:r>
      <w:r>
        <w:rPr>
          <w:rFonts w:cstheme="minorHAnsi"/>
        </w:rPr>
        <w:t>µ</w:t>
      </w:r>
      <w:r>
        <w:t xml:space="preserve">m, respectively. The top 1 </w:t>
      </w:r>
      <w:r>
        <w:rPr>
          <w:rFonts w:cstheme="minorHAnsi"/>
        </w:rPr>
        <w:t>µ</w:t>
      </w:r>
      <w:r>
        <w:t xml:space="preserve">m layer is the platinum protective layer. The next 10 </w:t>
      </w:r>
      <w:r>
        <w:rPr>
          <w:rFonts w:cstheme="minorHAnsi"/>
        </w:rPr>
        <w:t>µ</w:t>
      </w:r>
      <w:r>
        <w:t>m are the infiltrated Ni-YSZ fuel electrode witness sample with a porous YSZ ceramic backbone. The white layer at the bottom of the micrograph is the top of the milled trench.</w:t>
      </w:r>
      <w:bookmarkEnd w:id="557"/>
    </w:p>
    <w:p w14:paraId="720A3E85" w14:textId="6BD9ACEC" w:rsidR="00007F6C" w:rsidRDefault="00007F6C" w:rsidP="00007F6C">
      <w:pPr>
        <w:jc w:val="both"/>
      </w:pPr>
      <w:r w:rsidRPr="00BB72AD">
        <w:t xml:space="preserve">In the nitrogen dried sample, the first 3 </w:t>
      </w:r>
      <w:r w:rsidRPr="00BB72AD">
        <w:rPr>
          <w:rFonts w:cstheme="minorHAnsi"/>
        </w:rPr>
        <w:t>µ</w:t>
      </w:r>
      <w:r w:rsidRPr="00BB72AD">
        <w:t>m of the layer do not appear to have any nickel catalyst present</w:t>
      </w:r>
      <w:r>
        <w:t xml:space="preserve"> </w:t>
      </w:r>
      <w:r w:rsidRPr="00BB72AD">
        <w:t>(</w:t>
      </w:r>
      <w:r w:rsidRPr="00BB72AD">
        <w:fldChar w:fldCharType="begin"/>
      </w:r>
      <w:r w:rsidRPr="00BB72AD">
        <w:instrText xml:space="preserve"> REF _Ref48643630 \h </w:instrText>
      </w:r>
      <w:r>
        <w:instrText xml:space="preserve"> \* MERGEFORMAT </w:instrText>
      </w:r>
      <w:r w:rsidRPr="00BB72AD">
        <w:fldChar w:fldCharType="separate"/>
      </w:r>
      <w:r w:rsidR="004D5B42">
        <w:t xml:space="preserve">Figure </w:t>
      </w:r>
      <w:r w:rsidR="004D5B42">
        <w:rPr>
          <w:noProof/>
        </w:rPr>
        <w:t>6.8</w:t>
      </w:r>
      <w:r w:rsidRPr="00BB72AD">
        <w:fldChar w:fldCharType="end"/>
      </w:r>
      <w:r w:rsidRPr="00BB72AD">
        <w:t>). The nickel appears to have migrated to the pores further into the structure. This indicates that even after 5</w:t>
      </w:r>
      <w:r>
        <w:t xml:space="preserve"> </w:t>
      </w:r>
      <w:r w:rsidRPr="00BB72AD">
        <w:t>h of ageing the nickel catalyst is highly mobile and that the sintering is not complete. This is evident from the images of the surface with the nickel oxide present in. The nickel appears to have either moved from the surface into the structure leading to the evident agglomeration</w:t>
      </w:r>
      <w:r>
        <w:t xml:space="preserve"> (</w:t>
      </w:r>
      <w:r>
        <w:fldChar w:fldCharType="begin"/>
      </w:r>
      <w:r>
        <w:instrText xml:space="preserve"> REF _Ref48643630 \h  \* MERGEFORMAT </w:instrText>
      </w:r>
      <w:r>
        <w:fldChar w:fldCharType="separate"/>
      </w:r>
      <w:r w:rsidR="004D5B42">
        <w:t xml:space="preserve">Figure </w:t>
      </w:r>
      <w:r w:rsidR="004D5B42">
        <w:rPr>
          <w:noProof/>
        </w:rPr>
        <w:t>6.8</w:t>
      </w:r>
      <w:r>
        <w:fldChar w:fldCharType="end"/>
      </w:r>
      <w:r>
        <w:t>)</w:t>
      </w:r>
      <w:r w:rsidRPr="00BB72AD">
        <w:t>.</w:t>
      </w:r>
    </w:p>
    <w:p w14:paraId="0E0D5F51" w14:textId="1F23D753" w:rsidR="00007F6C" w:rsidRDefault="00007F6C" w:rsidP="00007F6C">
      <w:pPr>
        <w:jc w:val="both"/>
      </w:pPr>
      <w:r>
        <w:t>Further micrographs were taken of the samples at 80,000x magnification. The infiltrated nickel oxide phase is harder to discern in the 0 h aged images, with the YSZ scaffold appearing bare</w:t>
      </w:r>
      <w:r w:rsidR="004D5B42">
        <w:t xml:space="preserve"> </w:t>
      </w:r>
      <w:r>
        <w:t>(</w:t>
      </w:r>
      <w:r>
        <w:fldChar w:fldCharType="begin"/>
      </w:r>
      <w:r>
        <w:instrText xml:space="preserve"> REF _Ref48725679 \h  \* MERGEFORMAT </w:instrText>
      </w:r>
      <w:r>
        <w:fldChar w:fldCharType="separate"/>
      </w:r>
      <w:r w:rsidR="004D5B42">
        <w:t xml:space="preserve">Figure </w:t>
      </w:r>
      <w:r w:rsidR="004D5B42">
        <w:rPr>
          <w:noProof/>
        </w:rPr>
        <w:t>6.4</w:t>
      </w:r>
      <w:r>
        <w:fldChar w:fldCharType="end"/>
      </w:r>
      <w:r>
        <w:t xml:space="preserve"> and </w:t>
      </w:r>
      <w:r>
        <w:fldChar w:fldCharType="begin"/>
      </w:r>
      <w:r>
        <w:instrText xml:space="preserve"> REF _Ref48571106 \h  \* MERGEFORMAT </w:instrText>
      </w:r>
      <w:r>
        <w:fldChar w:fldCharType="separate"/>
      </w:r>
      <w:r>
        <w:t xml:space="preserve">Figure </w:t>
      </w:r>
      <w:r>
        <w:rPr>
          <w:noProof/>
        </w:rPr>
        <w:t>6.5</w:t>
      </w:r>
      <w:r>
        <w:fldChar w:fldCharType="end"/>
      </w:r>
      <w:r>
        <w:t>). Even in micrographs taken using the back-scattered electron detector, it did not look like the wet impregnated phase was present</w:t>
      </w:r>
      <w:r w:rsidR="00154312">
        <w:t xml:space="preserve"> </w:t>
      </w:r>
      <w:r>
        <w:t>(</w:t>
      </w:r>
      <w:r>
        <w:fldChar w:fldCharType="begin"/>
      </w:r>
      <w:r>
        <w:instrText xml:space="preserve"> REF _Ref48725711 \h  \* MERGEFORMAT </w:instrText>
      </w:r>
      <w:r>
        <w:fldChar w:fldCharType="separate"/>
      </w:r>
      <w:r>
        <w:t xml:space="preserve">Figure </w:t>
      </w:r>
      <w:r>
        <w:rPr>
          <w:noProof/>
        </w:rPr>
        <w:t>6.11</w:t>
      </w:r>
      <w:r>
        <w:fldChar w:fldCharType="end"/>
      </w:r>
      <w:r>
        <w:t xml:space="preserve">). </w:t>
      </w:r>
    </w:p>
    <w:p w14:paraId="320E6897" w14:textId="671A0206" w:rsidR="00007F6C" w:rsidRPr="0029473C" w:rsidRDefault="00007F6C" w:rsidP="00007F6C">
      <w:pPr>
        <w:jc w:val="both"/>
      </w:pPr>
      <w:r>
        <w:lastRenderedPageBreak/>
        <w:t>After 5 h of ageing there was clear sintering behaviour in both sets of wet impregnated Ni-YSZ samples. The network of particles in the air-dried sample look to have been blocked the pores in the top 14 % of the electrode</w:t>
      </w:r>
      <w:r w:rsidR="004D5B42">
        <w:t xml:space="preserve"> (</w:t>
      </w:r>
      <w:r w:rsidR="004D5B42">
        <w:fldChar w:fldCharType="begin"/>
      </w:r>
      <w:r w:rsidR="004D5B42">
        <w:instrText xml:space="preserve"> REF _Ref49244694 \h </w:instrText>
      </w:r>
      <w:r w:rsidR="004D5B42">
        <w:fldChar w:fldCharType="separate"/>
      </w:r>
      <w:r w:rsidR="004D5B42">
        <w:t>Figure 6.</w:t>
      </w:r>
      <w:r w:rsidR="004D5B42">
        <w:rPr>
          <w:noProof/>
        </w:rPr>
        <w:t>9</w:t>
      </w:r>
      <w:r w:rsidR="004D5B42">
        <w:fldChar w:fldCharType="end"/>
      </w:r>
      <w:r w:rsidR="004D5B42">
        <w:t>b)</w:t>
      </w:r>
      <w:r>
        <w:t xml:space="preserve">. In contrast in the nitrogen-dried sample the nickel appears to have migrated past this region and can be seen decorating pores further into the fuel electrode. </w:t>
      </w:r>
    </w:p>
    <w:p w14:paraId="6DCF2B3D" w14:textId="77777777" w:rsidR="00007F6C" w:rsidRDefault="00007F6C" w:rsidP="00007F6C">
      <w:pPr>
        <w:jc w:val="both"/>
      </w:pPr>
      <w:r>
        <w:t xml:space="preserve">These micrographs illustrate the difference in using different drying routines and their effect on the catalyst distribution within the porous scaffold.  Both indicate the presence of different short-term coarsening </w:t>
      </w:r>
      <w:r w:rsidRPr="00135138">
        <w:t>mechanism</w:t>
      </w:r>
      <w:r>
        <w:t>s</w:t>
      </w:r>
      <w:r w:rsidRPr="00135138">
        <w:t xml:space="preserve"> </w:t>
      </w:r>
      <w:r>
        <w:t>exhibited by</w:t>
      </w:r>
      <w:r w:rsidRPr="00135138">
        <w:t xml:space="preserve"> the nickel catalyst phase</w:t>
      </w:r>
      <w:r>
        <w:t>, which would stem from the drying step during sample production.</w:t>
      </w:r>
    </w:p>
    <w:p w14:paraId="3FBAC0D1" w14:textId="1B97A988" w:rsidR="00007F6C" w:rsidRDefault="004D5B42" w:rsidP="00007F6C">
      <w:pPr>
        <w:keepNext/>
        <w:jc w:val="center"/>
      </w:pPr>
      <w:r>
        <w:rPr>
          <w:noProof/>
        </w:rPr>
        <w:drawing>
          <wp:inline distT="0" distB="0" distL="0" distR="0" wp14:anchorId="244F935C" wp14:editId="39DE9F6C">
            <wp:extent cx="5492972" cy="4968671"/>
            <wp:effectExtent l="0" t="0" r="0" b="3810"/>
            <wp:docPr id="14" name="Picture 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pic:nvPicPr>
                  <pic:blipFill>
                    <a:blip r:embed="rId181">
                      <a:extLst>
                        <a:ext uri="{28A0092B-C50C-407E-A947-70E740481C1C}">
                          <a14:useLocalDpi xmlns:a14="http://schemas.microsoft.com/office/drawing/2010/main" val="0"/>
                        </a:ext>
                      </a:extLst>
                    </a:blip>
                    <a:stretch>
                      <a:fillRect/>
                    </a:stretch>
                  </pic:blipFill>
                  <pic:spPr>
                    <a:xfrm>
                      <a:off x="0" y="0"/>
                      <a:ext cx="5492972" cy="4968671"/>
                    </a:xfrm>
                    <a:prstGeom prst="rect">
                      <a:avLst/>
                    </a:prstGeom>
                  </pic:spPr>
                </pic:pic>
              </a:graphicData>
            </a:graphic>
          </wp:inline>
        </w:drawing>
      </w:r>
    </w:p>
    <w:p w14:paraId="7A83DCED" w14:textId="46C63C22" w:rsidR="00007F6C" w:rsidRDefault="00007F6C" w:rsidP="00007F6C">
      <w:pPr>
        <w:pStyle w:val="Caption"/>
      </w:pPr>
      <w:bookmarkStart w:id="558" w:name="_Ref49244694"/>
      <w:bookmarkStart w:id="559" w:name="_Toc69115060"/>
      <w:r>
        <w:t>Figure 6.</w:t>
      </w:r>
      <w:r w:rsidR="00B51F53">
        <w:fldChar w:fldCharType="begin"/>
      </w:r>
      <w:r w:rsidR="00B51F53">
        <w:instrText xml:space="preserve"> SEQ Figure \* ARABIC </w:instrText>
      </w:r>
      <w:r w:rsidR="00B51F53">
        <w:fldChar w:fldCharType="separate"/>
      </w:r>
      <w:r w:rsidR="004D5B42">
        <w:rPr>
          <w:noProof/>
        </w:rPr>
        <w:t>9</w:t>
      </w:r>
      <w:r w:rsidR="00B51F53">
        <w:rPr>
          <w:noProof/>
        </w:rPr>
        <w:fldChar w:fldCharType="end"/>
      </w:r>
      <w:bookmarkEnd w:id="558"/>
      <w:r>
        <w:t>: Scanning electron micrographs of the cross sections of the infiltrated Ni-YSZ fuel electrode witness samples (80,000x magnification). No epoxy was used in these micrographs.</w:t>
      </w:r>
      <w:bookmarkEnd w:id="559"/>
    </w:p>
    <w:p w14:paraId="2FBF697C" w14:textId="77777777" w:rsidR="00007F6C" w:rsidRDefault="00007F6C" w:rsidP="00007F6C">
      <w:pPr>
        <w:jc w:val="both"/>
      </w:pPr>
    </w:p>
    <w:p w14:paraId="5D3E7769" w14:textId="1BC9A994" w:rsidR="00007F6C" w:rsidRDefault="008C7ED1" w:rsidP="00007F6C">
      <w:pPr>
        <w:pStyle w:val="Heading3"/>
      </w:pPr>
      <w:bookmarkStart w:id="560" w:name="_Toc69129450"/>
      <w:r>
        <w:t xml:space="preserve">6.3.2.1 </w:t>
      </w:r>
      <w:r w:rsidR="00007F6C">
        <w:t>Back-scattered electron</w:t>
      </w:r>
      <w:r w:rsidR="00F41BE6">
        <w:t xml:space="preserve"> microscopy</w:t>
      </w:r>
      <w:bookmarkEnd w:id="560"/>
    </w:p>
    <w:p w14:paraId="4077EE48" w14:textId="665AD1E8" w:rsidR="00007F6C" w:rsidRDefault="00007F6C" w:rsidP="00007F6C">
      <w:pPr>
        <w:jc w:val="both"/>
      </w:pPr>
      <w:r>
        <w:t>Due to presence of the protective platinum layer; phase discernment and contrast was difficult to achieve without sectioning a portion of the image to not include said component. The Pt dominates the 256</w:t>
      </w:r>
      <w:r w:rsidRPr="00EF4647">
        <w:rPr>
          <w:vertAlign w:val="superscript"/>
        </w:rPr>
        <w:t>th</w:t>
      </w:r>
      <w:r>
        <w:t xml:space="preserve"> bin and due to its atomic number (78) being almost double and triple that of the ceramic and the catalyst </w:t>
      </w:r>
      <w:r>
        <w:fldChar w:fldCharType="begin" w:fldLock="1"/>
      </w:r>
      <w:r w:rsidR="00EC62EF">
        <w:instrText>ADDIN CSL_CITATION {"citationItems":[{"id":"ITEM-1","itemData":{"DOI":"10.1351/pac200678112051","ISSN":"00334545","abstract":"The latest evaluation of atomic weight determinations and other cognate data has warranted 16 changes for the standard atomic weights of the elements, Ar(E), from those published previously in the 2001 Table of Atomic Weights. The revised standard atomic weights are as follows: Ar(Al) = 26.981 5386(8), Ar(Bi) = 208.98040(1), Ar(Cs) = 132.9054519(2), Ar(Co) = 58.933 195(5), Ar(Au) = 196.966 569(4), Ar(La) = 138.905 47(7), Ar(Mn) = 54.938 045(5), Ar(Nd) = 144.242(3), Ar(P) = 30.973 762(2), A r(Pt) = 195.084(9), Ar(Sm) = 150.36(2), Ar(Sc) = 44.955 912(6), Ar(Na) = 22.989 769 28(2), Ar(Ta) = 180.947 88(2), Ar(Tb) = 158.925 35(2), Ar(Th) = 232.038 06(2). A recommendation is made that δ13C values of all carbon-bearing materials be measured and expressed relative to Vienna Pee Dee Belemnite (VPDB) on a scale normalized by assigning consensus values of -46.6 ‰ to L-SVEC lithium carbonate and +1.95 ‰ to NBS 19 calcium carbonate. © 2006 IUPAC.","author":[{"dropping-particle":"","family":"Wieser","given":"M. E.","non-dropping-particle":"","parse-names":false,"suffix":""}],"container-title":"Pure and Applied Chemistry","id":"ITEM-1","issue":"11","issued":{"date-parts":[["2006"]]},"page":"2051-2066","title":"Atomic weights of the elements 2005 (IUPAC Technical Report)","type":"article-journal","volume":"78"},"uris":["http://www.mendeley.com/documents/?uuid=2d316cec-ae01-4141-b749-8334727754a7"]}],"mendeley":{"formattedCitation":"[491]","plainTextFormattedCitation":"[491]","previouslyFormattedCitation":"[491]"},"properties":{"noteIndex":0},"schema":"https://github.com/citation-style-language/schema/raw/master/csl-citation.json"}</w:instrText>
      </w:r>
      <w:r>
        <w:fldChar w:fldCharType="separate"/>
      </w:r>
      <w:r w:rsidR="008446C6" w:rsidRPr="008446C6">
        <w:rPr>
          <w:noProof/>
        </w:rPr>
        <w:t>[491]</w:t>
      </w:r>
      <w:r>
        <w:fldChar w:fldCharType="end"/>
      </w:r>
      <w:r>
        <w:t xml:space="preserve">. This results in a bright phase which dominates the grayscale histogram of BSE images (see </w:t>
      </w:r>
      <w:r>
        <w:fldChar w:fldCharType="begin"/>
      </w:r>
      <w:r>
        <w:instrText xml:space="preserve"> REF _Ref48728550 \h  \* MERGEFORMAT </w:instrText>
      </w:r>
      <w:r>
        <w:fldChar w:fldCharType="separate"/>
      </w:r>
      <w:r>
        <w:t xml:space="preserve">Figure </w:t>
      </w:r>
      <w:r>
        <w:rPr>
          <w:noProof/>
        </w:rPr>
        <w:t>6.10</w:t>
      </w:r>
      <w:r>
        <w:fldChar w:fldCharType="end"/>
      </w:r>
      <w:r>
        <w:t xml:space="preserve"> and </w:t>
      </w:r>
      <w:r>
        <w:fldChar w:fldCharType="begin"/>
      </w:r>
      <w:r>
        <w:instrText xml:space="preserve"> REF _Ref48725711 \h  \* MERGEFORMAT </w:instrText>
      </w:r>
      <w:r>
        <w:fldChar w:fldCharType="separate"/>
      </w:r>
      <w:r>
        <w:t xml:space="preserve">Figure </w:t>
      </w:r>
      <w:r>
        <w:rPr>
          <w:noProof/>
        </w:rPr>
        <w:t>6.11</w:t>
      </w:r>
      <w:r>
        <w:fldChar w:fldCharType="end"/>
      </w:r>
      <w:r>
        <w:t xml:space="preserve">). As shown in </w:t>
      </w:r>
      <w:r>
        <w:fldChar w:fldCharType="begin"/>
      </w:r>
      <w:r>
        <w:instrText xml:space="preserve"> REF _Ref48728550 \h  \* MERGEFORMAT </w:instrText>
      </w:r>
      <w:r>
        <w:fldChar w:fldCharType="separate"/>
      </w:r>
      <w:r>
        <w:t xml:space="preserve">Figure </w:t>
      </w:r>
      <w:r>
        <w:rPr>
          <w:noProof/>
        </w:rPr>
        <w:t>6.10</w:t>
      </w:r>
      <w:r>
        <w:fldChar w:fldCharType="end"/>
      </w:r>
      <w:r>
        <w:t xml:space="preserve"> the foremost phases in the grayscale histogram are the pore (GSV, 0) and the Pt (GSV, 256).</w:t>
      </w:r>
    </w:p>
    <w:p w14:paraId="53FD12A7" w14:textId="77777777" w:rsidR="00007F6C" w:rsidRDefault="00007F6C" w:rsidP="00007F6C">
      <w:pPr>
        <w:keepNext/>
        <w:jc w:val="center"/>
      </w:pPr>
      <w:r w:rsidRPr="00FE49A6">
        <w:rPr>
          <w:noProof/>
        </w:rPr>
        <w:lastRenderedPageBreak/>
        <w:drawing>
          <wp:inline distT="0" distB="0" distL="0" distR="0" wp14:anchorId="0C3666DD" wp14:editId="38E43035">
            <wp:extent cx="3600000" cy="2764641"/>
            <wp:effectExtent l="0" t="0" r="635"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2">
                      <a:extLst>
                        <a:ext uri="{28A0092B-C50C-407E-A947-70E740481C1C}">
                          <a14:useLocalDpi xmlns:a14="http://schemas.microsoft.com/office/drawing/2010/main" val="0"/>
                        </a:ext>
                      </a:extLst>
                    </a:blip>
                    <a:srcRect l="2753" t="10811" r="14220" b="5705"/>
                    <a:stretch/>
                  </pic:blipFill>
                  <pic:spPr bwMode="auto">
                    <a:xfrm>
                      <a:off x="0" y="0"/>
                      <a:ext cx="3600000" cy="2764641"/>
                    </a:xfrm>
                    <a:prstGeom prst="rect">
                      <a:avLst/>
                    </a:prstGeom>
                    <a:noFill/>
                    <a:ln>
                      <a:noFill/>
                    </a:ln>
                    <a:extLst>
                      <a:ext uri="{53640926-AAD7-44D8-BBD7-CCE9431645EC}">
                        <a14:shadowObscured xmlns:a14="http://schemas.microsoft.com/office/drawing/2010/main"/>
                      </a:ext>
                    </a:extLst>
                  </pic:spPr>
                </pic:pic>
              </a:graphicData>
            </a:graphic>
          </wp:inline>
        </w:drawing>
      </w:r>
    </w:p>
    <w:p w14:paraId="2EC169FC" w14:textId="3356EB79" w:rsidR="00007F6C" w:rsidRDefault="00007F6C" w:rsidP="00007F6C">
      <w:pPr>
        <w:pStyle w:val="Caption"/>
      </w:pPr>
      <w:bookmarkStart w:id="561" w:name="_Ref48728550"/>
      <w:bookmarkStart w:id="562" w:name="_Toc69115061"/>
      <w:r>
        <w:t>Figure 6.</w:t>
      </w:r>
      <w:r w:rsidR="00B51F53">
        <w:fldChar w:fldCharType="begin"/>
      </w:r>
      <w:r w:rsidR="00B51F53">
        <w:instrText xml:space="preserve"> SEQ Figure \* ARABIC </w:instrText>
      </w:r>
      <w:r w:rsidR="00B51F53">
        <w:fldChar w:fldCharType="separate"/>
      </w:r>
      <w:r w:rsidR="004D5B42">
        <w:rPr>
          <w:noProof/>
        </w:rPr>
        <w:t>10</w:t>
      </w:r>
      <w:r w:rsidR="00B51F53">
        <w:rPr>
          <w:noProof/>
        </w:rPr>
        <w:fldChar w:fldCharType="end"/>
      </w:r>
      <w:bookmarkEnd w:id="561"/>
      <w:r>
        <w:t xml:space="preserve">: Overlaid histograms of the 0 h aged air and nitrogen dried infiltrated Ni-YSZ sample. The air and nitrogen histograms are orange and blue </w:t>
      </w:r>
      <w:proofErr w:type="gramStart"/>
      <w:r>
        <w:t>respectively</w:t>
      </w:r>
      <w:bookmarkEnd w:id="562"/>
      <w:proofErr w:type="gramEnd"/>
    </w:p>
    <w:p w14:paraId="4D0BAFCE" w14:textId="77777777" w:rsidR="00007F6C" w:rsidRDefault="00007F6C" w:rsidP="00007F6C">
      <w:pPr>
        <w:keepNext/>
        <w:jc w:val="center"/>
      </w:pPr>
      <w:r>
        <w:rPr>
          <w:noProof/>
        </w:rPr>
        <w:drawing>
          <wp:inline distT="0" distB="0" distL="0" distR="0" wp14:anchorId="235A3C2F" wp14:editId="57C3A154">
            <wp:extent cx="2700000" cy="2486417"/>
            <wp:effectExtent l="0" t="0" r="5715" b="0"/>
            <wp:docPr id="394" name="Picture 394" descr="A person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erson standing in front of a crowd&#10;&#10;Description automatically generated"/>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700000" cy="2486417"/>
                    </a:xfrm>
                    <a:prstGeom prst="rect">
                      <a:avLst/>
                    </a:prstGeom>
                  </pic:spPr>
                </pic:pic>
              </a:graphicData>
            </a:graphic>
          </wp:inline>
        </w:drawing>
      </w:r>
      <w:r>
        <w:rPr>
          <w:noProof/>
        </w:rPr>
        <w:drawing>
          <wp:inline distT="0" distB="0" distL="0" distR="0" wp14:anchorId="0710ED95" wp14:editId="2F772D58">
            <wp:extent cx="2700000" cy="2486417"/>
            <wp:effectExtent l="0" t="0" r="5715" b="0"/>
            <wp:docPr id="395" name="Picture 395" descr="A picture containing rock, photo, large, roc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rock, photo, large, rocky&#10;&#10;Description automatically generated"/>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700000" cy="2486417"/>
                    </a:xfrm>
                    <a:prstGeom prst="rect">
                      <a:avLst/>
                    </a:prstGeom>
                  </pic:spPr>
                </pic:pic>
              </a:graphicData>
            </a:graphic>
          </wp:inline>
        </w:drawing>
      </w:r>
    </w:p>
    <w:p w14:paraId="546441B5" w14:textId="6A651223" w:rsidR="00007F6C" w:rsidRDefault="00007F6C" w:rsidP="00520C8A">
      <w:pPr>
        <w:pStyle w:val="Caption"/>
        <w:spacing w:after="240"/>
      </w:pPr>
      <w:bookmarkStart w:id="563" w:name="_Ref48725711"/>
      <w:bookmarkStart w:id="564" w:name="_Toc69115062"/>
      <w:r>
        <w:t>Figure 6.</w:t>
      </w:r>
      <w:r w:rsidR="00B51F53">
        <w:fldChar w:fldCharType="begin"/>
      </w:r>
      <w:r w:rsidR="00B51F53">
        <w:instrText xml:space="preserve"> SEQ Figure \* ARABIC </w:instrText>
      </w:r>
      <w:r w:rsidR="00B51F53">
        <w:fldChar w:fldCharType="separate"/>
      </w:r>
      <w:r w:rsidR="004D5B42">
        <w:rPr>
          <w:noProof/>
        </w:rPr>
        <w:t>11</w:t>
      </w:r>
      <w:r w:rsidR="00B51F53">
        <w:rPr>
          <w:noProof/>
        </w:rPr>
        <w:fldChar w:fldCharType="end"/>
      </w:r>
      <w:bookmarkEnd w:id="563"/>
      <w:r>
        <w:t>: Back scattered electron micrographs of the 0 h aged air and nitrogen-dried Ni-YSZ samples at 25,000x</w:t>
      </w:r>
      <w:bookmarkEnd w:id="564"/>
    </w:p>
    <w:p w14:paraId="2539AEB9" w14:textId="77777777" w:rsidR="00007F6C" w:rsidRPr="008B53DA" w:rsidRDefault="00007F6C" w:rsidP="00007F6C">
      <w:pPr>
        <w:jc w:val="both"/>
      </w:pPr>
      <w:r>
        <w:t xml:space="preserve">After 5 h of ageing the nickel volume percent in the air-dried electrode was 3.2 % higher than its nitrogen-dried counterpart. The difference between the upper and lower outliers of the segmented was 0.2 % of the ceramic scaffold, indicating no changes in this phase during ageing. The clear difference between the two systems is evident by the nickel probability distribution. The nickel in the nitrogen dried system has migrated from the top 3 </w:t>
      </w:r>
      <w:r>
        <w:rPr>
          <w:rFonts w:cstheme="minorHAnsi"/>
        </w:rPr>
        <w:t>µ</w:t>
      </w:r>
      <w:r>
        <w:t>m of the layer towards the anode function layer.</w:t>
      </w:r>
    </w:p>
    <w:p w14:paraId="30F0AD40" w14:textId="77777777" w:rsidR="00007F6C" w:rsidRDefault="00007F6C" w:rsidP="00007F6C">
      <w:pPr>
        <w:jc w:val="both"/>
      </w:pPr>
      <w:r>
        <w:t>The FIB-SEM images gathered during this study have illustrated the qualitative value of the technique on monitoring the microstructural changes evident in the nickel catalyst in SOFC fuel electrodes. In this case a large amount of sintering was observed for two sets of Ni-YSZ samples dried under different atmospheres.</w:t>
      </w:r>
    </w:p>
    <w:p w14:paraId="1C333303" w14:textId="2BBD2779" w:rsidR="00007F6C" w:rsidRPr="00C50762" w:rsidRDefault="00007F6C" w:rsidP="00007F6C">
      <w:pPr>
        <w:jc w:val="both"/>
      </w:pPr>
      <w:r>
        <w:t xml:space="preserve">However, due to the method being innately destructive and the scaffold being brittle, the evolution of the nickel phase in the same sample volume cannot be adequately monitored. The presence of the protective platinum layer </w:t>
      </w:r>
      <w:proofErr w:type="gramStart"/>
      <w:r>
        <w:t>lead</w:t>
      </w:r>
      <w:proofErr w:type="gramEnd"/>
      <w:r>
        <w:t xml:space="preserve"> to issues with segmentation even in BSE micrographs. Despite the highly aggressive milling process during the technique no streaking or deposition of the platinum layer was observed </w:t>
      </w:r>
      <w:r>
        <w:fldChar w:fldCharType="begin" w:fldLock="1"/>
      </w:r>
      <w:r w:rsidR="00EC62EF">
        <w:instrText xml:space="preserve">ADDIN CSL_CITATION {"citationItems":[{"id":"ITEM-1","itemData":{"DOI":"http://dx.doi.org/10.1016/j.scriptamat.2010.09.025","ISSN":"1359-6462","abstract":"In this work we demonstrate the utility of three-dimensional focused ion beam–scanning electron microscopy nanotomography for understanding composite electrode performance and degradation. Phase connectivity, electrochemically active triple-phase boundary density and phase tortuosity are calculated for a series of anodes with varying Ni-YSZ composition. These structural characteristics, achievable only through three-dimensional interrogation, are shown to play a vital role in determining electrode polarization resistance. Additionally, Ni-YSZ samples are experimentally annealed in hydrogen and reconstructed to quantitatively assess degradation as a function of reduced triple-phase boundary density.","author":[{"dropping-particle":"","family":"Wilson","given":"James R","non-dropping-particle":"","parse-names":false,"suffix":""},{"dropping-particle":"","family":"Cronin","given":"J Scott","non-dropping-particle":"","parse-names":false,"suffix":""},{"dropping-particle":"","family":"Barnett","given":"Scott A","non-dropping-particle":"","parse-names":false,"suffix":""}],"container-title":"Scripta Materialia","id":"ITEM-1","issue":"2","issued":{"date-parts":[["2011","7"]]},"page":"67-72","title":"Linking the microstructure, performance and durability of Ni-yttria-stabilized zirconia solid oxide fuel cell anodes using three-dimensional focused ion beam–scanning electron microscopy imaging","type":"article-journal","volume":"65"},"uris":["http://www.mendeley.com/documents/?uuid=fd91be50-5fb4-45a0-9c20-b60229bed635"]},{"id":"ITEM-2","itemData":{"DOI":"10.1016/j.jpowsour.2014.05.038","ISSN":"03787753","abstract":"This paper, for the first time, demonstrates the three-dimensional imaging of nano-particle infiltrated Ni-GDC (gadolinia-doped ceria) electrodes using focused ion beam tomography. Microstructural parameters of the actual electrode microstructure are quantified, such as volume fraction, TPB density and mean particle/pore sizes. These microstructural parameters reveal that the infiltrated electrodes have eight times larger TPB density than conventional electrodes fabricated by powder mixing and sintering methods. Comparison between the infiltrated electrodes and conventional electrodes indicates that the infiltrated electrodes have a greater potential to independently control metal particle size, porosity and TPB density, which is a significant advantage in developing design optimized electrode microstructures. © 2014 Elsevier B.V. All rights reserved.","author":[{"dropping-particle":"","family":"Kishimoto","given":"Masashi","non-dropping-particle":"","parse-names":false,"suffix":""},{"dropping-particle":"","family":"Lomberg","given":"Marina","non-dropping-particle":"","parse-names":false,"suffix":""},{"dropping-particle":"","family":"Ruiz-Trejo","given":"Enrique","non-dropping-particle":"","parse-names":false,"suffix":""},{"dropping-particle":"","family":"Brandon","given":"Nigel P.","non-dropping-particle":"","parse-names":false,"suffix":""}],"container-title":"Journal of Power Sources","id":"ITEM-2","issued":{"date-parts":[["2014"]]},"page":"291-295","publisher":"Elsevier B.V","title":"Enhanced triple-phase boundary density in infiltrated electrodes for solid oxide fuel cells demonstrated by high-resolution tomography","type":"article-journal","volume":"266"},"uris":["http://www.mendeley.com/documents/?uuid=a6efd693-ccd9-413f-8794-2da744180f45"]},{"id":"ITEM-3","itemData":{"DOI":"10.1016/j.jpowsour.2010.10.084","ISSN":"03787753","abstract":"Temperature induced degradation in Solid Oxide Fuel Cell (SOFC) Ni-YSZ anodes was studied using both impedance spectroscopy and three-dimensional tomography via Focused Ion Beam-Scanning Electron Microscopy. A 100 h anneal at 1100 °C caused a 90% increase in cell polarization resistance, which correlated with the observed factor of </w:instrText>
      </w:r>
      <w:r w:rsidR="00EC62EF">
        <w:rPr>
          <w:rFonts w:ascii="Cambria Math" w:hAnsi="Cambria Math" w:cs="Cambria Math"/>
        </w:rPr>
        <w:instrText>∼</w:instrText>
      </w:r>
      <w:r w:rsidR="00EC62EF">
        <w:instrText xml:space="preserve">2 reduction in the electrochemically active three-phase boundary (TPB) density. The TPB decrease was caused by a significant decrease in pore percolation, and a reduction in pore interfacial area due to pores becoming larger and more equiaxed. The anneal caused no measurable change in average Ni particle size; Ni coarsening was apparently highly constrained in these anodes due to the relatively large YSZ volume fraction and low pore volume. © 2010 Elsevier B.V. All rights reserved.","author":[{"dropping-particle":"","family":"Cronin","given":"J. Scott","non-dropping-particle":"","parse-names":false,"suffix":""},{"dropping-particle":"","family":"Wilson","given":"James R.","non-dropping-particle":"","parse-names":false,"suffix":""},{"dropping-particle":"","family":"Barnett","given":"Scott A.","non-dropping-particle":"","parse-names":false,"suffix":""}],"container-title":"Journal of Power Sources","id":"ITEM-3","issue":"5","issued":{"date-parts":[["2011"]]},"page":"2640-2643","publisher":"Elsevier B.V.","title":"Impact of pore microstructure evolution on polarization resistance of Ni-Yttria-stabilized zirconia fuel cell anodes","type":"article-journal","volume":"196"},"uris":["http://www.mendeley.com/documents/?uuid=ccb61cf7-34f3-40b3-bb2f-a2f8f48f0cb8"]},{"id":"ITEM-4","itemData":{"DOI":"10.1016/j.ssi.2004.08.018","ISBN":"01672738 (ISSN)","abstract":"This work is one of the first attempts of using focused ion beam/lift-out (FIB/lift-out) techniques to prepare TEM specimens containing electrode/electrolyte interfaces in solid oxide fuel cells (SOFC). The present specimen was made from an Ni+YSZ (anode)/YSZ (electrolyte) half-cell which has undergone a long-term testing at a temperature of 850 °C over 1800 h in H 2 with 1% to 3% H 2O under an anodic load of 300 mA cm -2. The microstructure and phase chemistry in the interfacial region was analyzed using a JEM-3000F and EDS with a lateral resolution of nanometers. The impurity phase accumulated at the interface seen earlier by SEM have been characterized. It is a silicate glass with an amorphous structure and a composition of </w:instrText>
      </w:r>
      <w:r w:rsidR="00EC62EF">
        <w:rPr>
          <w:rFonts w:ascii="Cambria Math" w:hAnsi="Cambria Math" w:cs="Cambria Math"/>
        </w:rPr>
        <w:instrText>∼</w:instrText>
      </w:r>
      <w:r w:rsidR="00EC62EF">
        <w:instrText>90 mol% SiO 2 as well as a few percent of Na 2O, CaO, ZrO 2, V 2O 3 etc. The silicate glass phase is distributed as films of nanoscale along the anode/electrolyte interface and Ni/YSZ grain boundaries. Its influence on the microstructural degradation of the interfacial region is evaluated. The FIB/lift-out techniques have been shown to be viable for specimen preparation from SOFC interface. © 2004 Elsevier B.V. All rights reserved.","author":[{"dropping-particle":"","family":"Liu","given":"Y L","non-dropping-particle":"","parse-names":false,"suffix":""},{"dropping-particle":"","family":"Jiao","given":"C","non-dropping-particle":"","parse-names":false,"suffix":""}],"container-title":"Solid State Ionics","id":"ITEM-4","issue":"5-6","issued":{"date-parts":[["2005"]]},"language":"English","note":"Cited By :74\nExport Date: 3 November 2016\nCODEN: SSIOD\nCorrespondence Address: Materials Research Department, Risø National Laboratory, P.O. Box 49, 4000 Roskilde, DenmarkDenmark; email: yi.lin.liu@risoe.dk\nReferences: Jørgensen, M.J., Holtappels, P., Appel, C.C., (2000) J. Appl. Electrochem., 30, pp. 411-418; Wiik, K., Schmidt, C.R., Faaland, S., Shamsili, S., Einarsrud, M.-A., Grande, T., (1999) J. Am. Ceram. Soc., 82, pp. 721-728; Hansen, K.V., Wallenberg, R., Chorkendorff, I., Mogensen, M., (2003) Solid State Ionics, 160, pp. 27-37; Liu, Y.L., Primdahl, S., Mogensen, M., (2003) Solid State Ionics, 161, pp. 1-10; Prenitzer, B.I., Urbanik-Shannon, C.A., Giannuzzi, L.A., Brown, S.R., Irwin, R.B., Shofner, T.L., Stevie, F.A., (2003) Microsc. Microanal., 9, pp. 216-236; Engelmann, H.-J., (2003) Prakt. Metallogr., 40, pp. 163-174; Primdahl, S., Mogensen, M., (2000) J. Appl. Electrochem., 30, pp. 247-257; Giannuzzi, L.A., Drown, J.L., Brown, S.R., Irwin, R.B., Stevie, F.A., (1998) Microsc. Res. Tech., 41, pp. 285-290; Dobrzhinetskaya, L.F., Green, H.W., Weschler, M., Darus, M., Wang, Y.-C., Massonne, H.-J., Stöckhert, B., (2003) Earth Planet. Sci. Lett., 210, pp. 399-410; Hutchinson, C.R., Hackenberg, R.E., Shiflet, G.J., (2003) Ultramicroscopy, 94, pp. 37-48; Loos, J., Van Duren, J.K.J., Morrissey, F., Janssen, R.A.J., (2002) Polymer, 43, pp. 7493-7496; Tietz, F., Koepke, J., Urland, W., (1992) J. Cryst. Growth, 118, pp. 314-318; Mazurin, O.V., Streltsina, M.V., Shvaiko-Shvaikovskaya, T.P., (1987) Handbook of Glass Data, Part C, p. 566. , Elsevier; Hughes, A.E., Badwal, S.P.S., (1991) Solid State Ionics, 46, pp. 265-274; Appel, C.C., Bonanos, N., (1999) J. Eur. Ceram. Soc., 19, pp. 847-851; Kuzjukevics, A., Linderoth, S., (1997) Solid State Ionics, 93, pp. 255-261; Kilo, M., Borchardt, G., De Souza, R.A., Ivers-Tiffee, E., Weber, S., Scherrer, S., Proceedings of the 195. Meeting of the electrochemical society (1999) The Electrochemical Society International Symposium Proceedings, 99, pp. 229-237. , E.D. Wachsman J.R. Akridge M. Liu N. Yamazoe, Solid-State Ionic Devices, The Electrochemical society Pennington, NJ, USA; Yokokawa, H., (1998) Key. Eng. Mater., 37, pp. 153-154; De Ridder, M., Van Welzenis, R.G., Denier Van DerGon, A.W., Brongersma, H.H., (2002) J. Appl. Phys., 92, pp. 3056-3064; Nakagawa, N., Sakurai, H., Kondo, K., Morimoto, T., Hatanaka, K., Kato, K., (1995) J. Electrochem. Soc., 142, p. 3474; Holland, L., (1964) The Properties of Glass Surface, , Chapman &amp;amp; Hall London; Tsoga, A., Naoumidis, A., Nikolopoulos, P., (1996) Acta Mater., 44, pp. 3679-3692; Volf, M.B., Chemical approach to glass (1984) Glass Science and Technology, 7, p. 329. , Elsevier; Larsen, P.H., (1999) Sealing Materials for Solid Oxide Fuel Cells, , PhD thesis, Sheffield University, UK; Mogensen, M., Primdahl, S., Vels Jensen, K., Jorgensen, M.J., Bagger, C., Foreign phases and SOFC electrode kinetics (2001) Proc. Solid Oxide Fuel Cells VII-Electrochemical Society 2001-16, pp. 521-528","page":"435-442","title":"Microstructure degradation of an anode/electrolyte interface in SOFC studied by transmission electron microscopy","type":"article-journal","volume":"176"},"uris":["http://www.mendeley.com/documents/?uuid=bd6ad123-8c88-4f6a-948e-24dd5fbe5142"]}],"mendeley":{"formattedCitation":"[10], [252], [259], [492]","plainTextFormattedCitation":"[10], [252], [259], [492]","previouslyFormattedCitation":"[10], [252], [259], [492]"},"properties":{"noteIndex":0},"schema":"https://github.com/citation-style-language/schema/raw/master/csl-citation.json"}</w:instrText>
      </w:r>
      <w:r>
        <w:fldChar w:fldCharType="separate"/>
      </w:r>
      <w:r w:rsidR="008446C6" w:rsidRPr="008446C6">
        <w:rPr>
          <w:noProof/>
        </w:rPr>
        <w:t>[10], [252], [259], [492]</w:t>
      </w:r>
      <w:r>
        <w:fldChar w:fldCharType="end"/>
      </w:r>
      <w:r>
        <w:t>.</w:t>
      </w:r>
    </w:p>
    <w:p w14:paraId="7338CDDB" w14:textId="77777777" w:rsidR="00007F6C" w:rsidRDefault="00007F6C" w:rsidP="00007F6C">
      <w:pPr>
        <w:pStyle w:val="Heading2"/>
      </w:pPr>
      <w:bookmarkStart w:id="565" w:name="_Toc69129451"/>
      <w:r>
        <w:lastRenderedPageBreak/>
        <w:t>6.3.3</w:t>
      </w:r>
      <w:r>
        <w:tab/>
        <w:t>X-ray Diffraction</w:t>
      </w:r>
      <w:bookmarkEnd w:id="565"/>
    </w:p>
    <w:p w14:paraId="653E4D9B" w14:textId="77777777" w:rsidR="00007F6C" w:rsidRDefault="00007F6C" w:rsidP="00007F6C">
      <w:pPr>
        <w:jc w:val="both"/>
      </w:pPr>
      <w:r w:rsidRPr="009F37DF">
        <w:t>X-ray diffraction patterns were taken of the infiltrated Ni-YSZ witness samples</w:t>
      </w:r>
      <w:r>
        <w:t xml:space="preserve"> to track the evolution of the catalyst phase</w:t>
      </w:r>
      <w:r w:rsidRPr="009F37DF">
        <w:t xml:space="preserve"> </w:t>
      </w:r>
      <w:r>
        <w:t>for Ni-YSZ sample segments aged between 0 – 8 h (</w:t>
      </w:r>
      <w:r>
        <w:fldChar w:fldCharType="begin"/>
      </w:r>
      <w:r>
        <w:instrText xml:space="preserve"> REF _Ref48832794 \h  \* MERGEFORMAT </w:instrText>
      </w:r>
      <w:r>
        <w:fldChar w:fldCharType="separate"/>
      </w:r>
      <w:r>
        <w:t xml:space="preserve">Figure </w:t>
      </w:r>
      <w:r>
        <w:rPr>
          <w:noProof/>
        </w:rPr>
        <w:t>6.12</w:t>
      </w:r>
      <w:r>
        <w:fldChar w:fldCharType="end"/>
      </w:r>
      <w:r>
        <w:t xml:space="preserve">). This was to provide comparison with microstructural characterisation techniques. </w:t>
      </w:r>
    </w:p>
    <w:p w14:paraId="223427AD" w14:textId="77777777" w:rsidR="00007F6C" w:rsidRDefault="00007F6C" w:rsidP="00007F6C">
      <w:pPr>
        <w:keepNext/>
        <w:jc w:val="center"/>
      </w:pPr>
      <w:r>
        <w:rPr>
          <w:noProof/>
        </w:rPr>
        <w:drawing>
          <wp:inline distT="0" distB="0" distL="0" distR="0" wp14:anchorId="0A135600" wp14:editId="22D6E6FD">
            <wp:extent cx="5400000" cy="4252515"/>
            <wp:effectExtent l="0" t="0" r="0" b="0"/>
            <wp:docPr id="396" name="Picture 39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screenshot of a cell phone&#10;&#10;Description automatically generated"/>
                    <pic:cNvPicPr/>
                  </pic:nvPicPr>
                  <pic:blipFill>
                    <a:blip r:embed="rId185">
                      <a:extLst>
                        <a:ext uri="{28A0092B-C50C-407E-A947-70E740481C1C}">
                          <a14:useLocalDpi xmlns:a14="http://schemas.microsoft.com/office/drawing/2010/main" val="0"/>
                        </a:ext>
                      </a:extLst>
                    </a:blip>
                    <a:stretch>
                      <a:fillRect/>
                    </a:stretch>
                  </pic:blipFill>
                  <pic:spPr>
                    <a:xfrm>
                      <a:off x="0" y="0"/>
                      <a:ext cx="5400000" cy="4252515"/>
                    </a:xfrm>
                    <a:prstGeom prst="rect">
                      <a:avLst/>
                    </a:prstGeom>
                  </pic:spPr>
                </pic:pic>
              </a:graphicData>
            </a:graphic>
          </wp:inline>
        </w:drawing>
      </w:r>
    </w:p>
    <w:p w14:paraId="45E2CEB2" w14:textId="5D1228B8" w:rsidR="00007F6C" w:rsidRDefault="00007F6C" w:rsidP="00520C8A">
      <w:pPr>
        <w:pStyle w:val="Caption"/>
        <w:spacing w:after="240"/>
      </w:pPr>
      <w:bookmarkStart w:id="566" w:name="_Ref48832794"/>
      <w:bookmarkStart w:id="567" w:name="_Toc69115063"/>
      <w:r>
        <w:t>Figure 6.</w:t>
      </w:r>
      <w:r w:rsidR="00B51F53">
        <w:fldChar w:fldCharType="begin"/>
      </w:r>
      <w:r w:rsidR="00B51F53">
        <w:instrText xml:space="preserve"> SEQ Figure \* ARABIC </w:instrText>
      </w:r>
      <w:r w:rsidR="00B51F53">
        <w:fldChar w:fldCharType="separate"/>
      </w:r>
      <w:r w:rsidR="004D5B42">
        <w:rPr>
          <w:noProof/>
        </w:rPr>
        <w:t>12</w:t>
      </w:r>
      <w:r w:rsidR="00B51F53">
        <w:rPr>
          <w:noProof/>
        </w:rPr>
        <w:fldChar w:fldCharType="end"/>
      </w:r>
      <w:bookmarkEnd w:id="566"/>
      <w:r>
        <w:t xml:space="preserve">: X-ray Diffraction patterns of infiltrated Ni(O)-YSZ aged between 0 -3h. From left to right: </w:t>
      </w:r>
      <w:proofErr w:type="spellStart"/>
      <w:r>
        <w:t>NiO</w:t>
      </w:r>
      <w:proofErr w:type="spellEnd"/>
      <w:r>
        <w:t xml:space="preserve">-YSZ (AD, 0 h), Ni-YSZ (AD, 2 h), </w:t>
      </w:r>
      <w:proofErr w:type="spellStart"/>
      <w:r>
        <w:t>NiO</w:t>
      </w:r>
      <w:proofErr w:type="spellEnd"/>
      <w:r>
        <w:t xml:space="preserve">-YSZ (ND, 0 h), and Ni-YSZ (ND, 3 h)Characteristic peaks for nickel oxide, nickel and yttria-stabilised zirconia are denoted by +, -, and * respectively </w:t>
      </w:r>
      <w:r>
        <w:fldChar w:fldCharType="begin" w:fldLock="1"/>
      </w:r>
      <w:r w:rsidR="00EC62EF">
        <w:instrText>ADDIN CSL_CITATION {"citationItems":[{"id":"ITEM-1","itemData":{"DOI":"10.1590/1980-5373-MR-2016-0196","ISSN":"15161439","abstract":"Yttria stabilized zirconia (YSZ) nanoparticles were synthesized by the co-precipitation method. The crystallinity, morphological and optical properties of the YSZ nanoparticles were studied by using X-ray diffraction (XRD), scanning electron microscopy (SEM), transmission electron microscopy (TEM), FT-Raman, photoluminescence (PL) spectrum analyses. The grain size and crystal structure of the YSZ was confirmed by XRD. SEM and TEM analyses showed that the synthesized samples were composed of the size of nanometers. The optical property of the synthesized nanoparticles was studied from the photoluminescence spectrum. The dielectric properties such as the dielectric constant, the dielectric loss and AC conductivity of the YSZ nanoparticles were studied in the different frequencies and temperature.","author":[{"dropping-particle":"","family":"Maridurai","given":"Thirupathy","non-dropping-particle":"","parse-names":false,"suffix":""},{"dropping-particle":"","family":"Balaji","given":"Dhanapal","non-dropping-particle":"","parse-names":false,"suffix":""},{"dropping-particle":"","family":"Sagadevan","given":"Suresh","non-dropping-particle":"","parse-names":false,"suffix":""}],"container-title":"Materials Research","id":"ITEM-1","issue":"4","issued":{"date-parts":[["2016"]]},"page":"812-816","title":"Synthesis and characterization of yttrium stabilized zirconia nanoparticles","type":"article-journal","volume":"19"},"uris":["http://www.mendeley.com/documents/?uuid=b2d5c103-0e70-449c-adb0-298610c9c035"]},{"id":"ITEM-2","itemData":{"ISBN":"01672738 (ISSN)","abstract":"Sample Controlled Thermal Analysis is used to highlight the role of the experimental pressure on the thermolysis of hexahydrated nickel nitrate to nickel oxide. At 5 × 10-2 mbar, dehydration occurs before denitration begins. Formation of an amorphous material occurs, corresponding to the composition of the monohydrate. At 5 mbar, a basic salt is formed. Both these thermal decompositions occur in the solid state whereas at 100 mbar melting occurs. The nature of the nickel oxide formed depends strongly on the experimental pressure. Increasing this pressure increases the temperature of nickel oxide formation. At 5 × 10-2 mbar an oxide of 80 m2 g-1 is obtained whereas at 5 mbar and 100 mbar no significant surface area accessible to nitrogen is observed.","author":[{"dropping-particle":"","family":"Llewellyn","given":"P L","non-dropping-particle":"","parse-names":false,"suffix":""},{"dropping-particle":"","family":"Chevrot","given":"V","non-dropping-particle":"","parse-names":false,"suffix":""},{"dropping-particle":"","family":"Ragaï","given":"J","non-dropping-particle":"","parse-names":false,"suffix":""},{"dropping-particle":"","family":"Cerclier","given":"O","non-dropping-particle":"","parse-names":false,"suffix":""},{"dropping-particle":"","family":"Estienne","given":"J","non-dropping-particle":"","parse-names":false,"suffix":""},{"dropping-particle":"","family":"Rouquérol","given":"F","non-dropping-particle":"","parse-names":false,"suffix":""}],"container-title":"Solid State Ionics","id":"ITEM-2","issue":"PART 1","issued":{"date-parts":[["1997"]]},"language":"English","note":"Cited By :21\nExport Date: 20 January 2017\nCODEN: SSIOD\nCorrespondence Address: Llewellyn, P.L.; CTM du CNRS, 26 rue du 141o RIA, 13331 Marseilles Cedex 3, France; email: pllew@ctm.cnrs-mrs.fr\nReferences: Weigel, D., (1960), Thesis, University of ParisKalinichenko, I.I., Purtov, A.I., (1966) Russ. J. Inorg. Chem., 11, p. 1186; Mansour, S.A.A., (1993) Thermochim. Acta, 228, p. 173; Dollimore, D., (1981) Thermochim. Acta, 51, p. 269; Gadalla, A.M., Hsuan-Fu, Y., (1990) Thermochim. Acta, 164, p. 21; Maneva, M., Petroff, N., Pankova, M., (1990) J. Therm. Anal., 36, p. 577; Malecki, A., Gajerski, R., Labus, S., Prochowskaklisch, B., (1993) J. Therm. Anal., 39, p. 545; Paulik, F., Arnold, M., Paulik, J., (1987) Thermochim. Acta, 121, p. 137; Jacob, M., Perlmutter, D.D., (1982) Thermochim. Acta, 56, p. 253; Criado, J.M., Ortega, A., Real, C., (1987) React. Sol., 4, p. 93; Rouquerol, J., (1983) Thermochim. Acta, 144, p. 203; Toft Sørensen, O., (1981) Thermochim. Acta, 50, p. 163; Bourdineaud-Bordère, S., (1989), Thesis, University of Aix-Marseille IUR - https://www.scopus.com/inward/record.uri?eid=2-s2.0-0031273092&amp;amp;partnerID=40&amp;amp;md5=3f61f81ad84c6e7e23d26b83813ac21b","page":"1293-1298","title":"Preparation of reactive nickel oxide by the controlled thermolysis of hexahydrated nickel nitrate","type":"article-journal","volume":"101-103"},"uris":["http://www.mendeley.com/documents/?uuid=93b90540-84fd-4e6a-a39a-f6cd524bf607"]},{"id":"ITEM-3","itemData":{"DOI":"10.4028/www.scientific.net/kem.336-338.387","ISBN":"10139826 (ISSN)","abstract":"Gelcasting and dry pressing are used to produce anode composites for SOFC. In this paper a composite material Ni/Ce-YSZ containing Ni and Ce-doped Y2O3-stabilized ZrO2 (Ce-YSZ) based on Ce-YSZ electrolyte was fabricated via sintering infiltration of NiO at the temperature of 1400°C, followed Ni/Ce-YSZ materials are successfully produced by reduction- sintering process. Hydrogen reduction of NiO in the NiO/Ce-YSZ anode material was accomplished successfully through pore channels of debinded carbon volume. XRD results suggest that a solid solution of Ce-YSZ was produced. The microstructure of NiO/Ce-YSZ, and Ni/Ce-YSZ material was observed by SEM. This study confirms that sintering infiltration of NiO is a viable process for fabricating anode materials based on zirconia electrolyte and there are a good interface between electrolyte and anode.","author":[{"dropping-particle":"","family":"Ma","given":"Jing Tao","non-dropping-particle":"","parse-names":false,"suffix":""},{"dropping-particle":"","family":"Lin","given":"Xu Ping","non-dropping-particle":"","parse-names":false,"suffix":""},{"dropping-particle":"","family":"Zhang","given":"Bao Qing","non-dropping-particle":"","parse-names":false,"suffix":""}],"container-title":"Key Engineering Materials","id":"ITEM-3","issued":{"date-parts":[["2009"]]},"language":"English","note":"Export Date: 20 January 2017\nCODEN: KEMAE\nReferences: Minh, N.Q., (1993) J. Am. Ceram. Soc, 76, p. 563; Marinsek, M., Zupan, K., Maeek, J., (2002) J. Power Sources, 106, p. 178; Xia, C., Liu, M., (2001) Solid State Ionics, 144, p. 249; Ohara, S., Maric, R., Zhang, X., Mukai, K., Fukui, T., Yoshida, H., Inagaki, T., Miura, K., (2000) J. Power Sources, 86, p. 455; Kim, S.-G., Yoon, S.P., Nam, S.W., Hyun, S.-H., (2002) J. Power Sources, 110, p. 222; Tsoga, A., Naoumidis, A., Stover, D., (2000) Solid State Ionics, 135, p. 403; Esposito, V., de Florio, D.Z., Fonseca, F.C., Muccillo, E.N.S., Muccillo, R., Traversa, E., (2005) J. Eur. Ceram. Soc, 25, p. 2637; Kuzjukevics, A., Linderoth, S., (1997) Solid State Ionics, 93, p. 255; Xia, Z.C., Tang, Z.Q., Pan, X.L., Qian, X.L., (1997) J. Funct. Mater, 28, p. 455; Simwonis, D., Tietz, F., Stover, D., (2000) Solid State Ionics, 132, p. 241","page":"387-390","title":"Preparation and SEM of Ni/Ce-YSZ Anode Materials","type":"article","volume":"336-338"},"uris":["http://www.mendeley.com/documents/?uuid=161f12c4-0539-45b1-a243-b5992487858f"]}],"mendeley":{"formattedCitation":"[382], [488], [493]","plainTextFormattedCitation":"[382], [488], [493]","previouslyFormattedCitation":"[382], [488], [493]"},"properties":{"noteIndex":0},"schema":"https://github.com/citation-style-language/schema/raw/master/csl-citation.json"}</w:instrText>
      </w:r>
      <w:r>
        <w:fldChar w:fldCharType="separate"/>
      </w:r>
      <w:r w:rsidR="008446C6" w:rsidRPr="008446C6">
        <w:rPr>
          <w:i w:val="0"/>
          <w:noProof/>
        </w:rPr>
        <w:t>[382], [488], [493]</w:t>
      </w:r>
      <w:r>
        <w:fldChar w:fldCharType="end"/>
      </w:r>
      <w:bookmarkEnd w:id="567"/>
    </w:p>
    <w:p w14:paraId="29205B02" w14:textId="06C3467D" w:rsidR="00007F6C" w:rsidRDefault="00007F6C" w:rsidP="00007F6C">
      <w:pPr>
        <w:jc w:val="both"/>
        <w:rPr>
          <w:color w:val="FFC000"/>
        </w:rPr>
      </w:pPr>
      <w:r w:rsidRPr="0009016F">
        <w:t xml:space="preserve">The characteristic X-ray reflections for the Ni, </w:t>
      </w:r>
      <w:proofErr w:type="spellStart"/>
      <w:r w:rsidRPr="0009016F">
        <w:t>NiO</w:t>
      </w:r>
      <w:proofErr w:type="spellEnd"/>
      <w:r w:rsidRPr="0009016F">
        <w:t xml:space="preserve"> and YSZ compounds were matched to the literature samples using the Sieve+ function in the </w:t>
      </w:r>
      <w:r w:rsidRPr="0009016F">
        <w:rPr>
          <w:rFonts w:cstheme="minorHAnsi"/>
        </w:rPr>
        <w:t>in the ICDD PDF4+ database.</w:t>
      </w:r>
      <w:r w:rsidRPr="00AA2EB8">
        <w:rPr>
          <w:color w:val="FFC000"/>
        </w:rPr>
        <w:t xml:space="preserve"> </w:t>
      </w:r>
      <w:r>
        <w:t>After 1 h of ageing the nickel oxide reduces completely to</w:t>
      </w:r>
      <w:r w:rsidRPr="0009016F">
        <w:t xml:space="preserve"> metallic nickel</w:t>
      </w:r>
      <w:r>
        <w:t xml:space="preserve"> </w:t>
      </w:r>
      <w:r>
        <w:fldChar w:fldCharType="begin" w:fldLock="1"/>
      </w:r>
      <w:r w:rsidR="008B6E91">
        <w:instrText>ADDIN CSL_CITATION {"citationItems":[{"id":"ITEM-1","itemData":{"DOI":"10.1039/FT9928802075","ISSN":"09565000","abstract":"Three different kinds of nickel-containing species have been found in silica-supported nickel oxide samples according to their different reducibilities during temperature-programmed reduction (TPR). Species A is similar to bulk phase nickel oxide, species B is attributed to SiO4 containing nickel oxide particles and species C is a stoichiometric or non-stoichiometric nickel silicate. Examination of the effects of silica-supported NiO particle size on the reducibility shows that the difference in the ease of reduction of NiO crystallites may be caused by the penetration of silica into the lattice of NiO; moreover, the presence of SiO4 groups can retard the sintering of NiO.","author":[{"dropping-particle":"","family":"Zhang","given":"Lifeng","non-dropping-particle":"","parse-names":false,"suffix":""},{"dropping-particle":"","family":"Lin","given":"Junfan","non-dropping-particle":"","parse-names":false,"suffix":""},{"dropping-particle":"","family":"Chen","given":"Yi","non-dropping-particle":"","parse-names":false,"suffix":""}],"container-title":"Journal of the Chemical Society, Faraday Transactions","id":"ITEM-1","issue":"14","issued":{"date-parts":[["1992"]]},"page":"2075-2078","title":"Studies of surface NiO species in NiO/SiO2 catalysts using temperature-programmed reduction and X-ray diffraction","type":"article-journal","volume":"88"},"uris":["http://www.mendeley.com/documents/?uuid=558e1a67-978c-469a-b78a-1fd3f72bbab7"]},{"id":"ITEM-2","itemData":{"DOI":"https://doi.org/10.1016/j.ces.2007.09.043","ISSN":"0009-2509","abstract":"The powder samples of nickel oxide were synthesized by sol–gel procedure. The non-isothermal reduction of nickel oxide using hydrogen was investigated by temperature-programmed reduction (TPR) at four different heating rates (2.5, 5, 10 and 20</w:instrText>
      </w:r>
      <w:r w:rsidR="008B6E91">
        <w:rPr>
          <w:rFonts w:ascii="Cambria Math" w:hAnsi="Cambria Math" w:cs="Cambria Math"/>
        </w:rPr>
        <w:instrText>∘</w:instrText>
      </w:r>
      <w:r w:rsidR="008B6E91">
        <w:instrText>Cmin-1). Reaction kinetics parameters (Ea, lnA) were determined using a few methods: Stationary point (SP), Kissinger, Friedman, Flynn</w:instrText>
      </w:r>
      <w:r w:rsidR="008B6E91">
        <w:rPr>
          <w:rFonts w:ascii="Calibri" w:hAnsi="Calibri" w:cs="Calibri"/>
        </w:rPr>
        <w:instrText>–</w:instrText>
      </w:r>
      <w:r w:rsidR="008B6E91">
        <w:instrText>Wall</w:instrText>
      </w:r>
      <w:r w:rsidR="008B6E91">
        <w:rPr>
          <w:rFonts w:ascii="Calibri" w:hAnsi="Calibri" w:cs="Calibri"/>
        </w:rPr>
        <w:instrText>–</w:instrText>
      </w:r>
      <w:r w:rsidR="008B6E91">
        <w:instrText>Ozawa and Kissinger</w:instrText>
      </w:r>
      <w:r w:rsidR="008B6E91">
        <w:rPr>
          <w:rFonts w:ascii="Calibri" w:hAnsi="Calibri" w:cs="Calibri"/>
        </w:rPr>
        <w:instrText>–</w:instrText>
      </w:r>
      <w:r w:rsidR="008B6E91">
        <w:instrText>Akahira</w:instrText>
      </w:r>
      <w:r w:rsidR="008B6E91">
        <w:rPr>
          <w:rFonts w:ascii="Calibri" w:hAnsi="Calibri" w:cs="Calibri"/>
        </w:rPr>
        <w:instrText>–</w:instrText>
      </w:r>
      <w:r w:rsidR="008B6E91">
        <w:instrText>Sunose methods. The M</w:instrText>
      </w:r>
      <w:r w:rsidR="008B6E91">
        <w:rPr>
          <w:rFonts w:ascii="Calibri" w:hAnsi="Calibri" w:cs="Calibri"/>
        </w:rPr>
        <w:instrText>á</w:instrText>
      </w:r>
      <w:r w:rsidR="008B6E91">
        <w:instrText>lek's kinetic procedure was used for the determination of the most suitable kinetic model and calculation of a complete set of kinetic parameters. The kinetic model of the investigated reduction process was determined, and this model corresponds to the empirical two-parameter Šesták–Berggren equation which gives a more quantitative description. The kinetic triplet obtained for the investigated process is Ea=90.8kJmol-1; lnA=19.50 (A expressed in min-1) and f(α)=α0.63(1-α)1.39. The reliability of kinetics parameters calculated from TPR data is tested by comparing calculated and experimental non-isothermal data. Comparing both experimental and calculated rate curves at constant heating rate assessed the adequate consistency of the kinetic triplet. In agreement with the obtained results, the mechanism of nickel oxide reduction by hydrogen was considered.","author":[{"dropping-particle":"","family":"Janković","given":"B","non-dropping-particle":"","parse-names":false,"suffix":""},{"dropping-particle":"","family":"Adnađević","given":"B","non-dropping-particle":"","parse-names":false,"suffix":""},{"dropping-particle":"","family":"Mentus","given":"S","non-dropping-particle":"","parse-names":false,"suffix":""}],"container-title":"Chemical Engineering Science","id":"ITEM-2","issue":"3","issued":{"date-parts":[["2008"]]},"page":"567-575","title":"The kinetic study of temperature-programmed reduction of nickel oxide in hydrogen atmosphere","type":"article-journal","volume":"63"},"uris":["http://www.mendeley.com/documents/?uuid=55d44a01-b6ab-40f0-85dd-e47a92a119d3"]},{"id":"ITEM-3","itemData":{"DOI":"10.1016/J.SSI.2009.10.011","ISSN":"0167-2738","abstract":"The oxidation of Ni–YSZ cermet as well the reduction of re-oxidized Ni–YSZ cermet was investigated by using temperature-programmed oxidation (TPO), temperature-programmed reduction (TPR) and scanning electron microscope (SEM). The scanning electron microscope (SEM) photographs and temperature-programmed reduction (TPR) profiles indicated that the sintering of smaller nickel oxide crystallites to larger aggregates occurred concurrently with the formation of smaller nickel oxide crystallites from the oxidation of nickel at 800°C, and the sintering of smaller nickel oxide crystallites at 600°C was slower than that at 800°C. The SEM results showed that each Ni particle was separated into a lot of smaller NiO particles during oxidation. The TPO profiles showed that two kinds of nickel particles exist in the anode reduced at 800 and 600°C, one with high activity towards oxidation for the nickel crystallites directly from reduction, and another one with low activity towards oxidation for the sintered nickel particles. The Ni–YSZ anodes reduced at higher temperature showed higher re-oxidation temperature than the one reduced at lower temperature because of the accelerated passivating and sintering of the smaller nickel particles at higher temperature. The re-oxidation profiles were almost unchanged during redox cycling at 600°C, whereas the re-oxidation peak temperature decreased during redox cycling at 800°C, indicating that the primary nickel grains split to smaller ones upon cyclic reduction at higher temperature.","author":[{"dropping-particle":"","family":"Zhang","given":"Yun","non-dropping-particle":"","parse-names":false,"suffix":""},{"dropping-particle":"","family":"Liu","given":"Bin","non-dropping-particle":"","parse-names":false,"suffix":""},{"dropping-particle":"","family":"Tu","given":"Baofeng","non-dropping-particle":"","parse-names":false,"suffix":""},{"dropping-particle":"","family":"Dong","given":"Yonglai","non-dropping-particle":"","parse-names":false,"suffix":""},{"dropping-particle":"","family":"Cheng","given":"Mojie","non-dropping-particle":"","parse-names":false,"suffix":""}],"container-title":"Solid State Ionics","id":"ITEM-3","issue":"36-39","issued":{"date-parts":[["2009","12","8"]]},"page":"1580-1586","publisher":"Elsevier","title":"Understanding of redox behavior of Ni–YSZ cermets","type":"article-journal","volume":"180"},"uris":["http://www.mendeley.com/documents/?uuid=7b7a0a4c-8f57-3c59-8044-c27be116b07b"]}],"mendeley":{"formattedCitation":"[114], [337], [378]","plainTextFormattedCitation":"[114], [337], [378]","previouslyFormattedCitation":"[114], [337], [378]"},"properties":{"noteIndex":0},"schema":"https://github.com/citation-style-language/schema/raw/master/csl-citation.json"}</w:instrText>
      </w:r>
      <w:r>
        <w:fldChar w:fldCharType="separate"/>
      </w:r>
      <w:r w:rsidR="00237E21" w:rsidRPr="00237E21">
        <w:rPr>
          <w:noProof/>
        </w:rPr>
        <w:t>[114], [337], [378]</w:t>
      </w:r>
      <w:r>
        <w:fldChar w:fldCharType="end"/>
      </w:r>
      <w:r w:rsidRPr="0009016F">
        <w:t xml:space="preserve">. </w:t>
      </w:r>
    </w:p>
    <w:p w14:paraId="5950151F" w14:textId="450A0DFC" w:rsidR="00007F6C" w:rsidRDefault="00007F6C" w:rsidP="00007F6C">
      <w:pPr>
        <w:pStyle w:val="Heading3"/>
      </w:pPr>
      <w:bookmarkStart w:id="568" w:name="_Toc69129452"/>
      <w:r>
        <w:t xml:space="preserve">6.3.3.1 Tracking nanoparticle growth using X-ray </w:t>
      </w:r>
      <w:proofErr w:type="gramStart"/>
      <w:r w:rsidR="00211A89">
        <w:t>D</w:t>
      </w:r>
      <w:r>
        <w:t>iffraction</w:t>
      </w:r>
      <w:bookmarkEnd w:id="568"/>
      <w:proofErr w:type="gramEnd"/>
    </w:p>
    <w:p w14:paraId="70472558" w14:textId="77777777" w:rsidR="00007F6C" w:rsidRDefault="00007F6C" w:rsidP="00007F6C">
      <w:pPr>
        <w:jc w:val="both"/>
      </w:pPr>
      <w:r>
        <w:t xml:space="preserve">The changes in the sintered nickel crystallite size D, were tracked using the Debye-Scherrer equation discussed in Section 3.3.1. The witness sample segments were aged using representative fuel electrode conditions to identically mimic the ageing done to the scanned Ni-YSZ samples during experiments on the I13-1 beamline. </w:t>
      </w:r>
    </w:p>
    <w:p w14:paraId="74708E10" w14:textId="60862503" w:rsidR="00007F6C" w:rsidRDefault="00007F6C" w:rsidP="00007F6C">
      <w:pPr>
        <w:jc w:val="both"/>
      </w:pPr>
      <w:r>
        <w:fldChar w:fldCharType="begin"/>
      </w:r>
      <w:r>
        <w:instrText xml:space="preserve"> REF _Ref48833407 \h  \* MERGEFORMAT </w:instrText>
      </w:r>
      <w:r>
        <w:fldChar w:fldCharType="separate"/>
      </w:r>
      <w:r w:rsidR="004D5B42">
        <w:t xml:space="preserve">Table </w:t>
      </w:r>
      <w:r w:rsidR="004D5B42">
        <w:rPr>
          <w:noProof/>
        </w:rPr>
        <w:t>6.1</w:t>
      </w:r>
      <w:r>
        <w:fldChar w:fldCharType="end"/>
      </w:r>
      <w:r>
        <w:t xml:space="preserve"> below charts the evolution of the nickel crystallite size during ageing between 0-8 h for the differently dried Ni-YSZ samples. The strain component contribution to D was removed by utilising the Williamson Hall correction (present in Section 4.3.5 of this document) </w:t>
      </w:r>
      <w:r>
        <w:fldChar w:fldCharType="begin" w:fldLock="1"/>
      </w:r>
      <w:r w:rsidR="00EC62EF">
        <w:instrText>ADDIN CSL_CITATION {"citationItems":[{"id":"ITEM-1","itemData":{"DOI":"10.1080/2055074X.2016.1252548","ISSN":"2055-074X","abstract":"AbstractThis short overview summarises some of the basic considerations which should be undertaken when the Scherrer equation is applied to reflection widths in X-ray diffraction patterns of heterogeneous catalysts in order to extract meaningful information. Frequently, little account has been taken of the apparent complications arising from the presence of microstructural strain and disorder such as that which can be introduced upon doping or of anisotropic effects and such considerations are highlighted.","author":[{"dropping-particle":"","family":"Hargreaves","given":"J. S. J.","non-dropping-particle":"","parse-names":false,"suffix":""}],"container-title":"Catalysis, Structure &amp; Reactivity","id":"ITEM-1","issue":"1-4","issued":{"date-parts":[["2016","10","25"]]},"page":"33-37","publisher":"Taylor &amp; Francis","title":"Some considerations related to the use of the Scherrer equation in powder X-ray diffraction as applied to heterogeneous catalysts","type":"article-journal","volume":"2"},"uris":["http://www.mendeley.com/documents/?uuid=386e73fb-94c0-330b-b839-564efff3f733"]},{"id":"ITEM-2","itemData":{"DOI":"https://doi.org/10.1016/j.physe.2016.08.035","ISBN":"1386-9477","abstract":"Nanostructured nickel oxide is synthesized through a chemical route and annealed at different temperatures. Contribution of crystallite size and microstrain to X-ray diffraction line broadening are analyzed by Williamson-Hall analysis using isotropic and anisotropic models. None of the models perform well in the case of samples with smaller average crystallite sizes. For sample with crystallite size ~3 nm all models show negative slope which is physically meaningless. Analysis of shape factor shows that the line profiles are more Gaussian like. Size-strain plot method, which assumes a different convolution of the crystallite size and microstrain contributions, is found to be most suitable. The study highlights the fact that the convolution of crystallite size and microstrain contributions may differ for samples and should be taken into account while analyzing the observed line broadening. Microstrain values show a regular decrease with increase in the annealing temperature.","author":[{"dropping-particle":"","family":"Maniammal","given":"K","non-dropping-particle":"","parse-names":false,"suffix":""},{"dropping-particle":"","family":"Madhu","given":"G","non-dropping-particle":"","parse-names":false,"suffix":""},{"dropping-particle":"","family":"Biju","given":"V","non-dropping-particle":"","parse-names":false,"suffix":""}],"container-title":"Physica E: Low-dimensional Systems and Nanostructures","id":"ITEM-2","issued":{"date-parts":[["2017"]]},"page":"214-222","title":"X-ray diffraction line profile analysis of nanostructured nickel oxide: Shape factor and convolution of crystallite size and microstrain contributions","type":"article-journal","volume":"85"},"uris":["http://www.mendeley.com/documents/?uuid=46d9cd91-1e39-43a8-9c30-9ffc466459bd"]},{"id":"ITEM-3","itemData":{"DOI":"10.1107/S0021889878012844","ISSN":"0021-8898","author":[{"dropping-particle":"","family":"Langford","given":"J. I.","non-dropping-particle":"","parse-names":false,"suffix":""},{"dropping-particle":"","family":"Wilson","given":"A. J. C.","non-dropping-particle":"","parse-names":false,"suffix":""}],"container-title":"Journal of Applied Crystallography","id":"ITEM-3","issue":"2","issued":{"date-parts":[["1978","4","1"]]},"page":"102-113","title":"Scherrer after sixty years: A survey and some new results in the determination of crystallite size","type":"article-journal","volume":"11"},"uris":["http://www.mendeley.com/documents/?uuid=d12f1580-0e97-3e79-bedf-b33903148a29"]},{"id":"ITEM-4","itemData":{"DOI":"10.17586/2220-8054-2018-9-3-364-369","abstract":"The lower limit of the applicability of the Scherrer formula has been established by calculating the diffraction patterns from model nanoparticles by the Debye formula. Particle size was calculated using the Scherrer formula for different hkl-peaks. The obtained data of particle sizes were compared with \"real\" sizes of model particles in the same hkl-directions. The form-factor K hkl was analyzed as main correction of Scherrer formula. It was shown that the Scherrer formula error increases nonlinearly at particle sizes less than 4 nm. For any hkl direction, the absolute error of average particle size determination using formula does not exceed 0.3 nm. Analysis shows that average particle size can be determined by Scherrer formula from single diffraction peak of experimental pattern for center-symmetrical particles.","author":[{"dropping-particle":"","family":"Vorokh","given":"A S","non-dropping-particle":"","parse-names":false,"suffix":""}],"container-title":"NANOSYSTEMS: PHYSICS, CHEMISTRY, MATHEMATICS","id":"ITEM-4","issue":"3","issued":{"date-parts":[["2018"]]},"page":"364-369","title":"Scherrer formula: estimation of error in determining small nanoparticle size","type":"article-journal","volume":"9"},"uris":["http://www.mendeley.com/documents/?uuid=d3e0dab3-9b8b-3790-9284-63a6c39c9251"]},{"id":"ITEM-5","itemData":{"DOI":"10.1038/nnano.2011.145","ISSN":"1748-3387","author":[{"dropping-particle":"","family":"Holzwarth","given":"Uwe","non-dropping-particle":"","parse-names":false,"suffix":""},{"dropping-particle":"","family":"Gibson","given":"Neil","non-dropping-particle":"","parse-names":false,"suffix":""}],"container-title":"Nature Nanotechnology","id":"ITEM-5","issue":"9","issued":{"date-parts":[["2011","9","28"]]},"page":"534-534","title":"The Scherrer equation versus the 'Debye-Scherrer equation'","type":"article-journal","volume":"6"},"uris":["http://www.mendeley.com/documents/?uuid=0d665b2b-4b5c-3bb9-8e44-b6462dc88b00"]}],"mendeley":{"formattedCitation":"[327], [329], [419], [494], [495]","plainTextFormattedCitation":"[327], [329], [419], [494], [495]","previouslyFormattedCitation":"[327], [329], [419], [494], [495]"},"properties":{"noteIndex":0},"schema":"https://github.com/citation-style-language/schema/raw/master/csl-citation.json"}</w:instrText>
      </w:r>
      <w:r>
        <w:fldChar w:fldCharType="separate"/>
      </w:r>
      <w:r w:rsidR="008446C6" w:rsidRPr="008446C6">
        <w:rPr>
          <w:noProof/>
        </w:rPr>
        <w:t>[327], [329], [419], [494], [495]</w:t>
      </w:r>
      <w:r>
        <w:fldChar w:fldCharType="end"/>
      </w:r>
      <w:r>
        <w:t xml:space="preserve">. The percent dispersion of the catalyst was calculated using these results </w:t>
      </w:r>
      <w:r>
        <w:fldChar w:fldCharType="begin" w:fldLock="1"/>
      </w:r>
      <w:r w:rsidR="00D80A5D">
        <w:instrText>ADDIN CSL_CITATION {"citationItems":[{"id":"ITEM-1","itemData":{"ISBN":"9783527292882","author":[{"dropping-particle":"","family":"Thomas","given":"J M","non-dropping-particle":"","parse-names":false,"suffix":""},{"dropping-particle":"","family":"Thomas","given":"W J","non-dropping-particle":"","parse-names":false,"suffix":""}],"id":"ITEM-1","issued":{"date-parts":[["1997"]]},"publisher":"VCH","title":"Principles and practice of heterogeneous catalysis","type":"book"},"uris":["http://www.mendeley.com/documents/?uuid=8987bcb7-a496-460f-bac8-295454041508"]},{"id":"ITEM-2","itemData":{"ISBN":"9783527645336","author":[{"dropping-particle":"","family":"Che","given":"M","non-dropping-particle":"","parse-names":false,"suffix":""},{"dropping-particle":"","family":"Vedrine","given":"J C","non-dropping-particle":"","parse-names":false,"suffix":""}],"id":"ITEM-2","issued":{"date-parts":[["2012"]]},"publisher":"Wiley","title":"Characterization of Solid Materials and Heterogeneous Catalysts: From Structure to Surface Reactivity","type":"book"},"uris":["http://www.mendeley.com/documents/?uuid=32c40c4a-3193-48c4-9c88-dcbd1d8fbec8"]}],"mendeley":{"formattedCitation":"[297], [339]","plainTextFormattedCitation":"[297], [339]","previouslyFormattedCitation":"[297], [339]"},"properties":{"noteIndex":0},"schema":"https://github.com/citation-style-language/schema/raw/master/csl-citation.json"}</w:instrText>
      </w:r>
      <w:r>
        <w:fldChar w:fldCharType="separate"/>
      </w:r>
      <w:r w:rsidR="006C586A" w:rsidRPr="006C586A">
        <w:rPr>
          <w:noProof/>
        </w:rPr>
        <w:t>[297], [339]</w:t>
      </w:r>
      <w:r>
        <w:fldChar w:fldCharType="end"/>
      </w:r>
      <w:r>
        <w:t>.</w:t>
      </w:r>
    </w:p>
    <w:p w14:paraId="1546C4C0" w14:textId="77777777" w:rsidR="00211A89" w:rsidRDefault="00211A89" w:rsidP="00007F6C">
      <w:pPr>
        <w:jc w:val="both"/>
      </w:pPr>
    </w:p>
    <w:p w14:paraId="1D06E7A3" w14:textId="0E7B2243" w:rsidR="00007F6C" w:rsidRDefault="00007F6C" w:rsidP="00007F6C">
      <w:pPr>
        <w:pStyle w:val="Caption"/>
        <w:keepNext/>
      </w:pPr>
      <w:bookmarkStart w:id="569" w:name="_Ref48833407"/>
      <w:r>
        <w:lastRenderedPageBreak/>
        <w:t>Table 6.</w:t>
      </w:r>
      <w:r w:rsidR="004D5B42">
        <w:fldChar w:fldCharType="begin"/>
      </w:r>
      <w:r w:rsidR="004D5B42">
        <w:instrText xml:space="preserve"> SEQ Table \* ARABIC \r 1</w:instrText>
      </w:r>
      <w:r w:rsidR="004D5B42">
        <w:fldChar w:fldCharType="separate"/>
      </w:r>
      <w:r w:rsidR="004D5B42">
        <w:rPr>
          <w:noProof/>
        </w:rPr>
        <w:t>1</w:t>
      </w:r>
      <w:r w:rsidR="004D5B42">
        <w:rPr>
          <w:noProof/>
        </w:rPr>
        <w:fldChar w:fldCharType="end"/>
      </w:r>
      <w:bookmarkEnd w:id="569"/>
      <w:r>
        <w:t>: Crystallite lengths of the infiltrated nickel phase in air and nitrogen dried Ni-YSZ witness samples. The * asterisk denotes a set of anomalous data.</w:t>
      </w:r>
    </w:p>
    <w:tbl>
      <w:tblPr>
        <w:tblW w:w="44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9"/>
        <w:gridCol w:w="1679"/>
        <w:gridCol w:w="2174"/>
        <w:gridCol w:w="1983"/>
      </w:tblGrid>
      <w:tr w:rsidR="00007F6C" w14:paraId="4EB2FD9B" w14:textId="77777777" w:rsidTr="00211A89">
        <w:trPr>
          <w:jc w:val="center"/>
        </w:trPr>
        <w:tc>
          <w:tcPr>
            <w:tcW w:w="1386" w:type="pct"/>
            <w:vMerge w:val="restart"/>
          </w:tcPr>
          <w:p w14:paraId="2CF11A61" w14:textId="77777777" w:rsidR="00007F6C" w:rsidRDefault="00007F6C" w:rsidP="00211A89">
            <w:pPr>
              <w:spacing w:after="0" w:line="240" w:lineRule="auto"/>
              <w:rPr>
                <w:b/>
                <w:bCs/>
              </w:rPr>
            </w:pPr>
            <w:r w:rsidRPr="00C623F0">
              <w:rPr>
                <w:b/>
                <w:bCs/>
              </w:rPr>
              <w:t>Sample composition</w:t>
            </w:r>
          </w:p>
          <w:p w14:paraId="388DBDA0" w14:textId="77777777" w:rsidR="00007F6C" w:rsidRPr="00C623F0" w:rsidRDefault="00007F6C" w:rsidP="00211A89">
            <w:pPr>
              <w:spacing w:after="0" w:line="240" w:lineRule="auto"/>
              <w:rPr>
                <w:b/>
                <w:bCs/>
              </w:rPr>
            </w:pPr>
            <w:r w:rsidRPr="00C623F0">
              <w:rPr>
                <w:b/>
                <w:bCs/>
              </w:rPr>
              <w:t>(Drying condition)</w:t>
            </w:r>
          </w:p>
        </w:tc>
        <w:tc>
          <w:tcPr>
            <w:tcW w:w="2385" w:type="pct"/>
            <w:gridSpan w:val="2"/>
          </w:tcPr>
          <w:p w14:paraId="30B07A6B" w14:textId="77777777" w:rsidR="00007F6C" w:rsidRPr="00C623F0" w:rsidRDefault="00007F6C" w:rsidP="00211A89">
            <w:pPr>
              <w:spacing w:after="0" w:line="240" w:lineRule="auto"/>
              <w:rPr>
                <w:b/>
                <w:bCs/>
                <w:color w:val="FFC000"/>
              </w:rPr>
            </w:pPr>
            <w:r w:rsidRPr="00C623F0">
              <w:rPr>
                <w:b/>
                <w:bCs/>
              </w:rPr>
              <w:t xml:space="preserve">Crystallite Length </w:t>
            </w:r>
            <w:r>
              <w:rPr>
                <w:b/>
                <w:bCs/>
              </w:rPr>
              <w:t>in nm and d</w:t>
            </w:r>
            <w:r w:rsidRPr="00C623F0">
              <w:rPr>
                <w:b/>
                <w:bCs/>
              </w:rPr>
              <w:t>etermination method (Detector)</w:t>
            </w:r>
          </w:p>
        </w:tc>
        <w:tc>
          <w:tcPr>
            <w:tcW w:w="1228" w:type="pct"/>
            <w:vMerge w:val="restart"/>
          </w:tcPr>
          <w:p w14:paraId="7D5525CC" w14:textId="77777777" w:rsidR="00007F6C" w:rsidRDefault="00007F6C" w:rsidP="00211A89">
            <w:pPr>
              <w:spacing w:after="0" w:line="240" w:lineRule="auto"/>
              <w:rPr>
                <w:b/>
                <w:bCs/>
              </w:rPr>
            </w:pPr>
            <w:r>
              <w:rPr>
                <w:b/>
                <w:bCs/>
              </w:rPr>
              <w:t>Percent dispersion of the infiltrated nanoparticles</w:t>
            </w:r>
          </w:p>
          <w:p w14:paraId="4697F586" w14:textId="77777777" w:rsidR="00007F6C" w:rsidRDefault="00007F6C" w:rsidP="00211A89">
            <w:pPr>
              <w:spacing w:after="0" w:line="240" w:lineRule="auto"/>
              <w:rPr>
                <w:b/>
                <w:bCs/>
              </w:rPr>
            </w:pPr>
            <w:r>
              <w:rPr>
                <w:b/>
                <w:bCs/>
              </w:rPr>
              <w:t>[%]</w:t>
            </w:r>
          </w:p>
        </w:tc>
      </w:tr>
      <w:tr w:rsidR="00007F6C" w:rsidRPr="00C623F0" w14:paraId="358ADBDC" w14:textId="77777777" w:rsidTr="00211A89">
        <w:trPr>
          <w:trHeight w:val="516"/>
          <w:jc w:val="center"/>
        </w:trPr>
        <w:tc>
          <w:tcPr>
            <w:tcW w:w="1386" w:type="pct"/>
            <w:vMerge/>
          </w:tcPr>
          <w:p w14:paraId="43B7FAAD" w14:textId="77777777" w:rsidR="00007F6C" w:rsidRPr="00C623F0" w:rsidRDefault="00007F6C" w:rsidP="00211A89">
            <w:pPr>
              <w:spacing w:after="0"/>
              <w:jc w:val="both"/>
              <w:rPr>
                <w:b/>
                <w:bCs/>
              </w:rPr>
            </w:pPr>
          </w:p>
        </w:tc>
        <w:tc>
          <w:tcPr>
            <w:tcW w:w="1039" w:type="pct"/>
          </w:tcPr>
          <w:p w14:paraId="041890C0" w14:textId="77777777" w:rsidR="00007F6C" w:rsidRPr="00C623F0" w:rsidRDefault="00007F6C" w:rsidP="00211A89">
            <w:pPr>
              <w:spacing w:after="0"/>
              <w:jc w:val="both"/>
              <w:rPr>
                <w:b/>
                <w:bCs/>
              </w:rPr>
            </w:pPr>
            <w:r w:rsidRPr="00C623F0">
              <w:rPr>
                <w:b/>
                <w:bCs/>
              </w:rPr>
              <w:t>Debye-Scherrer</w:t>
            </w:r>
          </w:p>
          <w:p w14:paraId="3D75B752" w14:textId="77777777" w:rsidR="00007F6C" w:rsidRPr="00C623F0" w:rsidRDefault="00007F6C" w:rsidP="00211A89">
            <w:pPr>
              <w:spacing w:after="0"/>
              <w:jc w:val="both"/>
              <w:rPr>
                <w:b/>
                <w:bCs/>
              </w:rPr>
            </w:pPr>
            <w:r w:rsidRPr="003E3035">
              <w:t>(D2)</w:t>
            </w:r>
            <w:r>
              <w:rPr>
                <w:b/>
                <w:bCs/>
              </w:rPr>
              <w:t xml:space="preserve"> [nm]</w:t>
            </w:r>
          </w:p>
        </w:tc>
        <w:tc>
          <w:tcPr>
            <w:tcW w:w="1346" w:type="pct"/>
          </w:tcPr>
          <w:p w14:paraId="680686A6" w14:textId="77777777" w:rsidR="00007F6C" w:rsidRDefault="00007F6C" w:rsidP="00211A89">
            <w:pPr>
              <w:spacing w:after="0"/>
              <w:jc w:val="both"/>
              <w:rPr>
                <w:b/>
                <w:bCs/>
              </w:rPr>
            </w:pPr>
            <w:r w:rsidRPr="00C623F0">
              <w:rPr>
                <w:b/>
                <w:bCs/>
              </w:rPr>
              <w:t xml:space="preserve">Williamson Hall </w:t>
            </w:r>
          </w:p>
          <w:p w14:paraId="5D68818B" w14:textId="77777777" w:rsidR="00007F6C" w:rsidRPr="00C623F0" w:rsidRDefault="00007F6C" w:rsidP="00211A89">
            <w:pPr>
              <w:spacing w:after="0"/>
              <w:jc w:val="both"/>
              <w:rPr>
                <w:b/>
                <w:bCs/>
              </w:rPr>
            </w:pPr>
            <w:r w:rsidRPr="003E3035">
              <w:t>(D2)</w:t>
            </w:r>
            <w:r>
              <w:rPr>
                <w:b/>
                <w:bCs/>
              </w:rPr>
              <w:t xml:space="preserve"> [nm]</w:t>
            </w:r>
          </w:p>
        </w:tc>
        <w:tc>
          <w:tcPr>
            <w:tcW w:w="1228" w:type="pct"/>
            <w:vMerge/>
          </w:tcPr>
          <w:p w14:paraId="0D3E9946" w14:textId="77777777" w:rsidR="00007F6C" w:rsidRPr="00C623F0" w:rsidRDefault="00007F6C" w:rsidP="00211A89">
            <w:pPr>
              <w:spacing w:after="0"/>
              <w:jc w:val="both"/>
              <w:rPr>
                <w:b/>
                <w:bCs/>
              </w:rPr>
            </w:pPr>
          </w:p>
        </w:tc>
      </w:tr>
      <w:tr w:rsidR="00007F6C" w14:paraId="20E62060" w14:textId="77777777" w:rsidTr="00211A89">
        <w:trPr>
          <w:trHeight w:val="309"/>
          <w:jc w:val="center"/>
        </w:trPr>
        <w:tc>
          <w:tcPr>
            <w:tcW w:w="1386" w:type="pct"/>
          </w:tcPr>
          <w:p w14:paraId="2B216110" w14:textId="77777777" w:rsidR="00007F6C" w:rsidRPr="004D5B42" w:rsidRDefault="00007F6C" w:rsidP="004D5B42">
            <w:pPr>
              <w:spacing w:after="0"/>
              <w:jc w:val="center"/>
            </w:pPr>
            <w:r w:rsidRPr="004D5B42">
              <w:t>Ni-YSZ (Reduced,</w:t>
            </w:r>
            <w:r w:rsidRPr="004D5B42">
              <w:rPr>
                <w:b/>
                <w:bCs/>
              </w:rPr>
              <w:t xml:space="preserve"> AD</w:t>
            </w:r>
            <w:r w:rsidRPr="004D5B42">
              <w:t>)</w:t>
            </w:r>
          </w:p>
        </w:tc>
        <w:tc>
          <w:tcPr>
            <w:tcW w:w="1039" w:type="pct"/>
          </w:tcPr>
          <w:p w14:paraId="3A9569FF" w14:textId="77777777" w:rsidR="00007F6C" w:rsidRPr="004D5B42" w:rsidRDefault="00007F6C" w:rsidP="004D5B42">
            <w:pPr>
              <w:spacing w:after="0"/>
              <w:jc w:val="right"/>
            </w:pPr>
            <w:r w:rsidRPr="004D5B42">
              <w:t xml:space="preserve">21.04 </w:t>
            </w:r>
            <w:r w:rsidRPr="004D5B42">
              <w:rPr>
                <w:rFonts w:cstheme="minorHAnsi"/>
              </w:rPr>
              <w:t xml:space="preserve">± </w:t>
            </w:r>
            <w:r w:rsidRPr="004D5B42">
              <w:t>1.01</w:t>
            </w:r>
          </w:p>
        </w:tc>
        <w:tc>
          <w:tcPr>
            <w:tcW w:w="1346" w:type="pct"/>
          </w:tcPr>
          <w:p w14:paraId="1110248C" w14:textId="77777777" w:rsidR="00007F6C" w:rsidRPr="004D5B42" w:rsidRDefault="00007F6C" w:rsidP="004D5B42">
            <w:pPr>
              <w:spacing w:after="0"/>
              <w:jc w:val="right"/>
            </w:pPr>
            <w:r w:rsidRPr="004D5B42">
              <w:t xml:space="preserve">  22.16 </w:t>
            </w:r>
            <w:r w:rsidRPr="004D5B42">
              <w:rPr>
                <w:rFonts w:cstheme="minorHAnsi"/>
              </w:rPr>
              <w:t>±</w:t>
            </w:r>
            <w:r w:rsidRPr="004D5B42">
              <w:t xml:space="preserve"> 0.38</w:t>
            </w:r>
          </w:p>
        </w:tc>
        <w:tc>
          <w:tcPr>
            <w:tcW w:w="1228" w:type="pct"/>
          </w:tcPr>
          <w:p w14:paraId="3356B839" w14:textId="77777777" w:rsidR="00007F6C" w:rsidRPr="004D5B42" w:rsidRDefault="00007F6C" w:rsidP="004D5B42">
            <w:pPr>
              <w:spacing w:after="0"/>
              <w:jc w:val="right"/>
            </w:pPr>
            <w:r w:rsidRPr="004D5B42">
              <w:t>5.78</w:t>
            </w:r>
          </w:p>
        </w:tc>
      </w:tr>
      <w:tr w:rsidR="00007F6C" w14:paraId="43EE8DDE" w14:textId="77777777" w:rsidTr="00211A89">
        <w:trPr>
          <w:trHeight w:val="283"/>
          <w:jc w:val="center"/>
        </w:trPr>
        <w:tc>
          <w:tcPr>
            <w:tcW w:w="1386" w:type="pct"/>
          </w:tcPr>
          <w:p w14:paraId="3774C929" w14:textId="77777777" w:rsidR="00007F6C" w:rsidRPr="004D5B42" w:rsidRDefault="00007F6C" w:rsidP="004D5B42">
            <w:pPr>
              <w:spacing w:after="0"/>
              <w:jc w:val="center"/>
            </w:pPr>
            <w:r w:rsidRPr="004D5B42">
              <w:t xml:space="preserve">Ni-YSZ (1h aged, </w:t>
            </w:r>
            <w:r w:rsidRPr="004D5B42">
              <w:rPr>
                <w:b/>
                <w:bCs/>
              </w:rPr>
              <w:t>AD</w:t>
            </w:r>
            <w:r w:rsidRPr="004D5B42">
              <w:t>)</w:t>
            </w:r>
          </w:p>
        </w:tc>
        <w:tc>
          <w:tcPr>
            <w:tcW w:w="1039" w:type="pct"/>
          </w:tcPr>
          <w:p w14:paraId="1655EBE9" w14:textId="77777777" w:rsidR="00007F6C" w:rsidRPr="004D5B42" w:rsidRDefault="00007F6C" w:rsidP="004D5B42">
            <w:pPr>
              <w:spacing w:after="0"/>
              <w:jc w:val="right"/>
            </w:pPr>
            <w:r w:rsidRPr="004D5B42">
              <w:t xml:space="preserve">47.41 </w:t>
            </w:r>
            <w:r w:rsidRPr="004D5B42">
              <w:rPr>
                <w:rFonts w:cstheme="minorHAnsi"/>
              </w:rPr>
              <w:t xml:space="preserve">± </w:t>
            </w:r>
            <w:r w:rsidRPr="004D5B42">
              <w:t>1.01</w:t>
            </w:r>
          </w:p>
        </w:tc>
        <w:tc>
          <w:tcPr>
            <w:tcW w:w="1346" w:type="pct"/>
          </w:tcPr>
          <w:p w14:paraId="7947FE17" w14:textId="77777777" w:rsidR="00007F6C" w:rsidRPr="004D5B42" w:rsidRDefault="00007F6C" w:rsidP="004D5B42">
            <w:pPr>
              <w:spacing w:after="0"/>
              <w:jc w:val="right"/>
            </w:pPr>
            <w:r w:rsidRPr="004D5B42">
              <w:t xml:space="preserve">  62.11 </w:t>
            </w:r>
            <w:r w:rsidRPr="004D5B42">
              <w:rPr>
                <w:rFonts w:cstheme="minorHAnsi"/>
              </w:rPr>
              <w:t>±</w:t>
            </w:r>
            <w:r w:rsidRPr="004D5B42">
              <w:t xml:space="preserve"> 1.07</w:t>
            </w:r>
          </w:p>
        </w:tc>
        <w:tc>
          <w:tcPr>
            <w:tcW w:w="1228" w:type="pct"/>
          </w:tcPr>
          <w:p w14:paraId="59EBBE40" w14:textId="77777777" w:rsidR="00007F6C" w:rsidRPr="004D5B42" w:rsidRDefault="00007F6C" w:rsidP="004D5B42">
            <w:pPr>
              <w:spacing w:after="0"/>
              <w:jc w:val="right"/>
            </w:pPr>
            <w:r w:rsidRPr="004D5B42">
              <w:t>2.57</w:t>
            </w:r>
          </w:p>
        </w:tc>
      </w:tr>
      <w:tr w:rsidR="00007F6C" w14:paraId="22A68CDC" w14:textId="77777777" w:rsidTr="00211A89">
        <w:trPr>
          <w:jc w:val="center"/>
        </w:trPr>
        <w:tc>
          <w:tcPr>
            <w:tcW w:w="1386" w:type="pct"/>
          </w:tcPr>
          <w:p w14:paraId="31C557B7" w14:textId="77777777" w:rsidR="00007F6C" w:rsidRPr="004D5B42" w:rsidRDefault="00007F6C" w:rsidP="004D5B42">
            <w:pPr>
              <w:spacing w:after="0"/>
              <w:jc w:val="center"/>
            </w:pPr>
            <w:r w:rsidRPr="004D5B42">
              <w:t xml:space="preserve">Ni-YSZ (2h aged, </w:t>
            </w:r>
            <w:r w:rsidRPr="004D5B42">
              <w:rPr>
                <w:b/>
                <w:bCs/>
              </w:rPr>
              <w:t>AD</w:t>
            </w:r>
            <w:r w:rsidRPr="004D5B42">
              <w:t>)</w:t>
            </w:r>
          </w:p>
        </w:tc>
        <w:tc>
          <w:tcPr>
            <w:tcW w:w="1039" w:type="pct"/>
          </w:tcPr>
          <w:p w14:paraId="7AC2C7B1" w14:textId="77777777" w:rsidR="00007F6C" w:rsidRPr="004D5B42" w:rsidRDefault="00007F6C" w:rsidP="004D5B42">
            <w:pPr>
              <w:spacing w:after="0"/>
              <w:jc w:val="right"/>
            </w:pPr>
            <w:r w:rsidRPr="004D5B42">
              <w:t xml:space="preserve">68.12 </w:t>
            </w:r>
            <w:r w:rsidRPr="004D5B42">
              <w:rPr>
                <w:rFonts w:cstheme="minorHAnsi"/>
              </w:rPr>
              <w:t xml:space="preserve">± </w:t>
            </w:r>
            <w:r w:rsidRPr="004D5B42">
              <w:t>1.03</w:t>
            </w:r>
          </w:p>
        </w:tc>
        <w:tc>
          <w:tcPr>
            <w:tcW w:w="1346" w:type="pct"/>
          </w:tcPr>
          <w:p w14:paraId="1D73C4B1" w14:textId="77777777" w:rsidR="00007F6C" w:rsidRPr="004D5B42" w:rsidRDefault="00007F6C" w:rsidP="004D5B42">
            <w:pPr>
              <w:spacing w:after="0"/>
              <w:jc w:val="right"/>
            </w:pPr>
            <w:r w:rsidRPr="004D5B42">
              <w:t xml:space="preserve">  83.72 </w:t>
            </w:r>
            <w:r w:rsidRPr="004D5B42">
              <w:rPr>
                <w:rFonts w:cstheme="minorHAnsi"/>
              </w:rPr>
              <w:t>±</w:t>
            </w:r>
            <w:r w:rsidRPr="004D5B42">
              <w:t xml:space="preserve"> 1.44</w:t>
            </w:r>
          </w:p>
        </w:tc>
        <w:tc>
          <w:tcPr>
            <w:tcW w:w="1228" w:type="pct"/>
          </w:tcPr>
          <w:p w14:paraId="7D4D89A5" w14:textId="77777777" w:rsidR="00007F6C" w:rsidRPr="004D5B42" w:rsidRDefault="00007F6C" w:rsidP="004D5B42">
            <w:pPr>
              <w:spacing w:after="0"/>
              <w:jc w:val="right"/>
            </w:pPr>
            <w:r w:rsidRPr="004D5B42">
              <w:t>1.79</w:t>
            </w:r>
          </w:p>
        </w:tc>
      </w:tr>
      <w:tr w:rsidR="00007F6C" w14:paraId="556058E0" w14:textId="77777777" w:rsidTr="00211A89">
        <w:trPr>
          <w:jc w:val="center"/>
        </w:trPr>
        <w:tc>
          <w:tcPr>
            <w:tcW w:w="1386" w:type="pct"/>
          </w:tcPr>
          <w:p w14:paraId="6A768898" w14:textId="77777777" w:rsidR="00007F6C" w:rsidRPr="004D5B42" w:rsidRDefault="00007F6C" w:rsidP="004D5B42">
            <w:pPr>
              <w:spacing w:after="0"/>
              <w:jc w:val="center"/>
            </w:pPr>
            <w:r w:rsidRPr="004D5B42">
              <w:t xml:space="preserve">Ni-YSZ (8h aged, </w:t>
            </w:r>
            <w:r w:rsidRPr="004D5B42">
              <w:rPr>
                <w:b/>
                <w:bCs/>
              </w:rPr>
              <w:t>AD</w:t>
            </w:r>
            <w:r w:rsidRPr="004D5B42">
              <w:t>)</w:t>
            </w:r>
          </w:p>
        </w:tc>
        <w:tc>
          <w:tcPr>
            <w:tcW w:w="1039" w:type="pct"/>
          </w:tcPr>
          <w:p w14:paraId="606323A8" w14:textId="77777777" w:rsidR="00007F6C" w:rsidRPr="004D5B42" w:rsidRDefault="00007F6C" w:rsidP="004D5B42">
            <w:pPr>
              <w:spacing w:after="0"/>
              <w:jc w:val="right"/>
            </w:pPr>
            <w:r w:rsidRPr="004D5B42">
              <w:t xml:space="preserve">33.77 </w:t>
            </w:r>
            <w:r w:rsidRPr="004D5B42">
              <w:rPr>
                <w:rFonts w:cstheme="minorHAnsi"/>
              </w:rPr>
              <w:t>±</w:t>
            </w:r>
            <w:r w:rsidRPr="004D5B42">
              <w:t xml:space="preserve"> 1.01</w:t>
            </w:r>
          </w:p>
        </w:tc>
        <w:tc>
          <w:tcPr>
            <w:tcW w:w="1346" w:type="pct"/>
          </w:tcPr>
          <w:p w14:paraId="565BC836" w14:textId="77777777" w:rsidR="00007F6C" w:rsidRPr="004D5B42" w:rsidRDefault="00007F6C" w:rsidP="004D5B42">
            <w:pPr>
              <w:spacing w:after="0"/>
              <w:jc w:val="right"/>
            </w:pPr>
            <w:r w:rsidRPr="004D5B42">
              <w:t xml:space="preserve">  42.37 </w:t>
            </w:r>
            <w:r w:rsidRPr="004D5B42">
              <w:rPr>
                <w:rFonts w:cstheme="minorHAnsi"/>
              </w:rPr>
              <w:t>±</w:t>
            </w:r>
            <w:r w:rsidRPr="004D5B42">
              <w:t xml:space="preserve"> 0.73</w:t>
            </w:r>
          </w:p>
        </w:tc>
        <w:tc>
          <w:tcPr>
            <w:tcW w:w="1228" w:type="pct"/>
          </w:tcPr>
          <w:p w14:paraId="1A1C93D7" w14:textId="77777777" w:rsidR="00007F6C" w:rsidRPr="004D5B42" w:rsidRDefault="00007F6C" w:rsidP="004D5B42">
            <w:pPr>
              <w:spacing w:after="0"/>
              <w:jc w:val="right"/>
            </w:pPr>
            <w:r w:rsidRPr="004D5B42">
              <w:t xml:space="preserve">3.60 </w:t>
            </w:r>
            <w:r w:rsidRPr="004D5B42">
              <w:rPr>
                <w:b/>
                <w:bCs/>
              </w:rPr>
              <w:t>*</w:t>
            </w:r>
          </w:p>
        </w:tc>
      </w:tr>
      <w:tr w:rsidR="00007F6C" w14:paraId="4A4832FA" w14:textId="77777777" w:rsidTr="00211A89">
        <w:trPr>
          <w:jc w:val="center"/>
        </w:trPr>
        <w:tc>
          <w:tcPr>
            <w:tcW w:w="1386" w:type="pct"/>
          </w:tcPr>
          <w:p w14:paraId="6C3E64EF" w14:textId="77777777" w:rsidR="00007F6C" w:rsidRPr="004D5B42" w:rsidRDefault="00007F6C" w:rsidP="004D5B42">
            <w:pPr>
              <w:spacing w:after="0"/>
              <w:jc w:val="center"/>
            </w:pPr>
            <w:r w:rsidRPr="004D5B42">
              <w:t>Ni-YSZ (Reduced,</w:t>
            </w:r>
            <w:r w:rsidRPr="004D5B42">
              <w:rPr>
                <w:b/>
                <w:bCs/>
              </w:rPr>
              <w:t xml:space="preserve"> ND</w:t>
            </w:r>
            <w:r w:rsidRPr="004D5B42">
              <w:t>)</w:t>
            </w:r>
          </w:p>
        </w:tc>
        <w:tc>
          <w:tcPr>
            <w:tcW w:w="1039" w:type="pct"/>
          </w:tcPr>
          <w:p w14:paraId="30B323AE" w14:textId="77777777" w:rsidR="00007F6C" w:rsidRPr="004D5B42" w:rsidRDefault="00007F6C" w:rsidP="004D5B42">
            <w:pPr>
              <w:spacing w:after="0"/>
              <w:jc w:val="right"/>
            </w:pPr>
            <w:r w:rsidRPr="004D5B42">
              <w:t xml:space="preserve">16.88 </w:t>
            </w:r>
            <w:r w:rsidRPr="004D5B42">
              <w:rPr>
                <w:rFonts w:cstheme="minorHAnsi"/>
              </w:rPr>
              <w:t xml:space="preserve">± </w:t>
            </w:r>
            <w:r w:rsidRPr="004D5B42">
              <w:t>1.01</w:t>
            </w:r>
          </w:p>
        </w:tc>
        <w:tc>
          <w:tcPr>
            <w:tcW w:w="1346" w:type="pct"/>
          </w:tcPr>
          <w:p w14:paraId="636C919E" w14:textId="77777777" w:rsidR="00007F6C" w:rsidRPr="004D5B42" w:rsidRDefault="00007F6C" w:rsidP="004D5B42">
            <w:pPr>
              <w:spacing w:after="0"/>
              <w:jc w:val="right"/>
            </w:pPr>
            <w:r w:rsidRPr="004D5B42">
              <w:t xml:space="preserve">  18.19 </w:t>
            </w:r>
            <w:r w:rsidRPr="004D5B42">
              <w:rPr>
                <w:rFonts w:cstheme="minorHAnsi"/>
              </w:rPr>
              <w:t>±</w:t>
            </w:r>
            <w:r w:rsidRPr="004D5B42">
              <w:t xml:space="preserve"> 0.31</w:t>
            </w:r>
          </w:p>
        </w:tc>
        <w:tc>
          <w:tcPr>
            <w:tcW w:w="1228" w:type="pct"/>
          </w:tcPr>
          <w:p w14:paraId="571B3835" w14:textId="77777777" w:rsidR="00007F6C" w:rsidRPr="004D5B42" w:rsidRDefault="00007F6C" w:rsidP="004D5B42">
            <w:pPr>
              <w:spacing w:after="0"/>
              <w:jc w:val="right"/>
            </w:pPr>
            <w:r w:rsidRPr="004D5B42">
              <w:t>7.21</w:t>
            </w:r>
          </w:p>
        </w:tc>
      </w:tr>
      <w:tr w:rsidR="00007F6C" w14:paraId="02E97A78" w14:textId="77777777" w:rsidTr="00211A89">
        <w:trPr>
          <w:jc w:val="center"/>
        </w:trPr>
        <w:tc>
          <w:tcPr>
            <w:tcW w:w="1386" w:type="pct"/>
          </w:tcPr>
          <w:p w14:paraId="4ED885F9" w14:textId="77777777" w:rsidR="00007F6C" w:rsidRPr="004D5B42" w:rsidRDefault="00007F6C" w:rsidP="004D5B42">
            <w:pPr>
              <w:spacing w:after="0"/>
              <w:jc w:val="center"/>
            </w:pPr>
            <w:r w:rsidRPr="004D5B42">
              <w:t xml:space="preserve">Ni-YSZ (1h aged, </w:t>
            </w:r>
            <w:r w:rsidRPr="004D5B42">
              <w:rPr>
                <w:b/>
                <w:bCs/>
              </w:rPr>
              <w:t>ND</w:t>
            </w:r>
            <w:r w:rsidRPr="004D5B42">
              <w:t>)</w:t>
            </w:r>
          </w:p>
        </w:tc>
        <w:tc>
          <w:tcPr>
            <w:tcW w:w="1039" w:type="pct"/>
          </w:tcPr>
          <w:p w14:paraId="63988389" w14:textId="77777777" w:rsidR="00007F6C" w:rsidRPr="004D5B42" w:rsidRDefault="00007F6C" w:rsidP="004D5B42">
            <w:pPr>
              <w:spacing w:after="0"/>
              <w:jc w:val="right"/>
            </w:pPr>
            <w:r w:rsidRPr="004D5B42">
              <w:t xml:space="preserve">31.98 </w:t>
            </w:r>
            <w:r w:rsidRPr="004D5B42">
              <w:rPr>
                <w:rFonts w:cstheme="minorHAnsi"/>
              </w:rPr>
              <w:t xml:space="preserve">± </w:t>
            </w:r>
            <w:r w:rsidRPr="004D5B42">
              <w:t>1.01</w:t>
            </w:r>
          </w:p>
        </w:tc>
        <w:tc>
          <w:tcPr>
            <w:tcW w:w="1346" w:type="pct"/>
          </w:tcPr>
          <w:p w14:paraId="6CFB160E" w14:textId="77777777" w:rsidR="00007F6C" w:rsidRPr="004D5B42" w:rsidRDefault="00007F6C" w:rsidP="004D5B42">
            <w:pPr>
              <w:spacing w:after="0"/>
              <w:jc w:val="right"/>
            </w:pPr>
            <w:r w:rsidRPr="004D5B42">
              <w:t xml:space="preserve">  39.35 </w:t>
            </w:r>
            <w:r w:rsidRPr="004D5B42">
              <w:rPr>
                <w:rFonts w:cstheme="minorHAnsi"/>
              </w:rPr>
              <w:t>±</w:t>
            </w:r>
            <w:r w:rsidRPr="004D5B42">
              <w:t xml:space="preserve"> 0.68</w:t>
            </w:r>
          </w:p>
        </w:tc>
        <w:tc>
          <w:tcPr>
            <w:tcW w:w="1228" w:type="pct"/>
          </w:tcPr>
          <w:p w14:paraId="7789F784" w14:textId="77777777" w:rsidR="00007F6C" w:rsidRPr="004D5B42" w:rsidRDefault="00007F6C" w:rsidP="004D5B42">
            <w:pPr>
              <w:spacing w:after="0"/>
              <w:jc w:val="right"/>
            </w:pPr>
            <w:r w:rsidRPr="004D5B42">
              <w:t>3.80</w:t>
            </w:r>
          </w:p>
        </w:tc>
      </w:tr>
      <w:tr w:rsidR="00007F6C" w14:paraId="4FC743B1" w14:textId="77777777" w:rsidTr="00211A89">
        <w:trPr>
          <w:jc w:val="center"/>
        </w:trPr>
        <w:tc>
          <w:tcPr>
            <w:tcW w:w="1386" w:type="pct"/>
          </w:tcPr>
          <w:p w14:paraId="520BF647" w14:textId="77777777" w:rsidR="00007F6C" w:rsidRPr="004D5B42" w:rsidRDefault="00007F6C" w:rsidP="004D5B42">
            <w:pPr>
              <w:spacing w:after="0"/>
              <w:jc w:val="center"/>
            </w:pPr>
            <w:r w:rsidRPr="004D5B42">
              <w:t xml:space="preserve">Ni-YSZ (3h aged, </w:t>
            </w:r>
            <w:r w:rsidRPr="004D5B42">
              <w:rPr>
                <w:b/>
                <w:bCs/>
              </w:rPr>
              <w:t>ND</w:t>
            </w:r>
            <w:r w:rsidRPr="004D5B42">
              <w:t>)</w:t>
            </w:r>
          </w:p>
        </w:tc>
        <w:tc>
          <w:tcPr>
            <w:tcW w:w="1039" w:type="pct"/>
          </w:tcPr>
          <w:p w14:paraId="2FF3F3D6" w14:textId="77777777" w:rsidR="00007F6C" w:rsidRPr="004D5B42" w:rsidRDefault="00007F6C" w:rsidP="004D5B42">
            <w:pPr>
              <w:spacing w:after="0"/>
              <w:jc w:val="right"/>
            </w:pPr>
            <w:r w:rsidRPr="004D5B42">
              <w:t xml:space="preserve">96.88 </w:t>
            </w:r>
            <w:r w:rsidRPr="004D5B42">
              <w:rPr>
                <w:rFonts w:cstheme="minorHAnsi"/>
              </w:rPr>
              <w:t xml:space="preserve">± </w:t>
            </w:r>
            <w:r w:rsidRPr="004D5B42">
              <w:t>1.03</w:t>
            </w:r>
          </w:p>
        </w:tc>
        <w:tc>
          <w:tcPr>
            <w:tcW w:w="1346" w:type="pct"/>
          </w:tcPr>
          <w:p w14:paraId="3CDE34C1" w14:textId="77777777" w:rsidR="00007F6C" w:rsidRPr="004D5B42" w:rsidRDefault="00007F6C" w:rsidP="004D5B42">
            <w:pPr>
              <w:spacing w:after="0"/>
              <w:jc w:val="right"/>
            </w:pPr>
            <w:r w:rsidRPr="004D5B42">
              <w:t xml:space="preserve">103.36 </w:t>
            </w:r>
            <w:r w:rsidRPr="004D5B42">
              <w:rPr>
                <w:rFonts w:cstheme="minorHAnsi"/>
              </w:rPr>
              <w:t>±</w:t>
            </w:r>
            <w:r w:rsidRPr="004D5B42">
              <w:t xml:space="preserve"> 1.77</w:t>
            </w:r>
          </w:p>
        </w:tc>
        <w:tc>
          <w:tcPr>
            <w:tcW w:w="1228" w:type="pct"/>
          </w:tcPr>
          <w:p w14:paraId="339AAC0D" w14:textId="77777777" w:rsidR="00007F6C" w:rsidRPr="004D5B42" w:rsidRDefault="00007F6C" w:rsidP="004D5B42">
            <w:pPr>
              <w:spacing w:after="0"/>
              <w:jc w:val="right"/>
            </w:pPr>
            <w:r w:rsidRPr="004D5B42">
              <w:t>1.26</w:t>
            </w:r>
          </w:p>
        </w:tc>
      </w:tr>
    </w:tbl>
    <w:p w14:paraId="0D6DF30C" w14:textId="2407AF5D" w:rsidR="00007F6C" w:rsidRDefault="00007F6C" w:rsidP="004D5B42">
      <w:pPr>
        <w:spacing w:before="240"/>
        <w:jc w:val="both"/>
      </w:pPr>
      <w:r>
        <w:t xml:space="preserve">The air-dried sample appeared to show a reduction in crystallite size after 8 h of ageing, hence increasing the dispersion of the catalyst at this point. However, this result is anomalous. </w:t>
      </w:r>
      <w:r w:rsidRPr="00715ADD">
        <w:t>After 3 h of ageing the Debye-Scherrer relation</w:t>
      </w:r>
      <w:r>
        <w:t xml:space="preserve"> breaks down as result of the </w:t>
      </w:r>
      <w:r w:rsidRPr="00715ADD">
        <w:t xml:space="preserve">crystallite </w:t>
      </w:r>
      <w:r>
        <w:t xml:space="preserve">size </w:t>
      </w:r>
      <w:r w:rsidRPr="00715ADD">
        <w:t>exceed</w:t>
      </w:r>
      <w:r>
        <w:t>ing</w:t>
      </w:r>
      <w:r w:rsidRPr="00715ADD">
        <w:t xml:space="preserve"> 100</w:t>
      </w:r>
      <w:r>
        <w:t xml:space="preserve"> </w:t>
      </w:r>
      <w:r w:rsidRPr="00715ADD">
        <w:t>nm</w:t>
      </w:r>
      <w:r>
        <w:t xml:space="preserve"> </w:t>
      </w:r>
      <w:r>
        <w:fldChar w:fldCharType="begin" w:fldLock="1"/>
      </w:r>
      <w:r w:rsidR="00151775">
        <w:instrText>ADDIN CSL_CITATION {"citationItems":[{"id":"ITEM-1","itemData":{"author":[{"dropping-particle":"","family":"Speakman, Scott","given":"A","non-dropping-particle":"","parse-names":false,"suffix":""}],"id":"ITEM-1","issued":{"date-parts":[["2007"]]},"number-of-pages":"105","publisher-place":"Massachusetts","title":"Estimating Crystallite Size Using XRD","type":"report"},"uris":["http://www.mendeley.com/documents/?uuid=c1d4ea7f-d976-417b-b8c7-0752c88810ec"]},{"id":"ITEM-2","itemData":{"DOI":"10.1080/2055074X.2016.1252548","ISSN":"2055-074X","abstract":"AbstractThis short overview summarises some of the basic considerations which should be undertaken when the Scherrer equation is applied to reflection widths in X-ray diffraction patterns of heterogeneous catalysts in order to extract meaningful information. Frequently, little account has been taken of the apparent complications arising from the presence of microstructural strain and disorder such as that which can be introduced upon doping or of anisotropic effects and such considerations are highlighted.","author":[{"dropping-particle":"","family":"Hargreaves","given":"J. S. J.","non-dropping-particle":"","parse-names":false,"suffix":""}],"container-title":"Catalysis, Structure &amp; Reactivity","id":"ITEM-2","issue":"1-4","issued":{"date-parts":[["2016","10","25"]]},"page":"33-37","publisher":"Taylor &amp; Francis","title":"Some considerations related to the use of the Scherrer equation in powder X-ray diffraction as applied to heterogeneous catalysts","type":"article-journal","volume":"2"},"uris":["http://www.mendeley.com/documents/?uuid=386e73fb-94c0-330b-b839-564efff3f733"]}],"mendeley":{"formattedCitation":"[295], [419]","plainTextFormattedCitation":"[295], [419]","previouslyFormattedCitation":"[295], [419]"},"properties":{"noteIndex":0},"schema":"https://github.com/citation-style-language/schema/raw/master/csl-citation.json"}</w:instrText>
      </w:r>
      <w:r>
        <w:fldChar w:fldCharType="separate"/>
      </w:r>
      <w:r w:rsidR="008B6E91" w:rsidRPr="008B6E91">
        <w:rPr>
          <w:noProof/>
        </w:rPr>
        <w:t>[295], [419]</w:t>
      </w:r>
      <w:r>
        <w:fldChar w:fldCharType="end"/>
      </w:r>
      <w:r>
        <w:t>. This interaction</w:t>
      </w:r>
      <w:r w:rsidRPr="00715ADD">
        <w:t xml:space="preserve"> explains the drop in length at the 8 h ageing stage</w:t>
      </w:r>
      <w:r>
        <w:t xml:space="preserve"> (</w:t>
      </w:r>
      <w:r>
        <w:fldChar w:fldCharType="begin"/>
      </w:r>
      <w:r>
        <w:instrText xml:space="preserve"> REF _Ref48833407 \h  \* MERGEFORMAT </w:instrText>
      </w:r>
      <w:r>
        <w:fldChar w:fldCharType="separate"/>
      </w:r>
      <w:r>
        <w:t xml:space="preserve">Table </w:t>
      </w:r>
      <w:r>
        <w:rPr>
          <w:noProof/>
        </w:rPr>
        <w:t>6.15</w:t>
      </w:r>
      <w:r>
        <w:fldChar w:fldCharType="end"/>
      </w:r>
      <w:r>
        <w:t>)</w:t>
      </w:r>
      <w:r w:rsidRPr="00715ADD">
        <w:t xml:space="preserve">. </w:t>
      </w:r>
    </w:p>
    <w:p w14:paraId="4E11C93B" w14:textId="627F546B" w:rsidR="00007F6C" w:rsidRPr="008B532B" w:rsidRDefault="00007F6C" w:rsidP="00007F6C">
      <w:pPr>
        <w:jc w:val="both"/>
        <w:rPr>
          <w:highlight w:val="yellow"/>
        </w:rPr>
      </w:pPr>
      <w:r>
        <w:t xml:space="preserve">These results illustrate the rapid evolution of the nickel during SOFC operation; as the crystallite size has quintupled in size (&gt; 100 nm) after 3 h for both sets of samples. </w:t>
      </w:r>
      <w:r w:rsidRPr="00844CC1">
        <w:t>This timeframe has been identified due to the crystallite size exceeding this value after the Williamson Hall correction.</w:t>
      </w:r>
    </w:p>
    <w:p w14:paraId="1B61CD47" w14:textId="77777777" w:rsidR="00007F6C" w:rsidRDefault="00007F6C" w:rsidP="00007F6C">
      <w:pPr>
        <w:pStyle w:val="Heading2"/>
      </w:pPr>
      <w:bookmarkStart w:id="570" w:name="_Toc69129453"/>
      <w:r>
        <w:t>6.3.4</w:t>
      </w:r>
      <w:r>
        <w:tab/>
      </w:r>
      <w:r w:rsidRPr="00A8040F">
        <w:t xml:space="preserve">Ptychographic </w:t>
      </w:r>
      <w:r>
        <w:t>X-ray Computed Tomography</w:t>
      </w:r>
      <w:r w:rsidRPr="00A8040F">
        <w:t xml:space="preserve"> of aged Ni-YSZ coarse </w:t>
      </w:r>
      <w:proofErr w:type="gramStart"/>
      <w:r w:rsidRPr="00A8040F">
        <w:t>pillars</w:t>
      </w:r>
      <w:bookmarkEnd w:id="570"/>
      <w:proofErr w:type="gramEnd"/>
    </w:p>
    <w:p w14:paraId="120CE567" w14:textId="77777777" w:rsidR="00007F6C" w:rsidRDefault="00007F6C" w:rsidP="00007F6C">
      <w:pPr>
        <w:jc w:val="both"/>
      </w:pPr>
      <w:r>
        <w:t xml:space="preserve">Initial Ptychographic X-ray Computer Tomography (PXCT) measurements were performed on the DLS I13-1 beamline using air-dried infiltrated Ni-YSZ pillar samples. These samples measured 50 </w:t>
      </w:r>
      <w:r>
        <w:rPr>
          <w:rFonts w:cstheme="minorHAnsi"/>
        </w:rPr>
        <w:t>µ</w:t>
      </w:r>
      <w:r>
        <w:t>m in diameter. The samples were aged used the apparatus and method described in Section 6.2.2.4. The aim of these scans was to quantitively segment and track the evolution of the infiltrated nickel during ageing.</w:t>
      </w:r>
    </w:p>
    <w:p w14:paraId="13C95445" w14:textId="0E000AC5" w:rsidR="00007F6C" w:rsidRDefault="00007F6C" w:rsidP="00007F6C">
      <w:pPr>
        <w:spacing w:after="240" w:line="240" w:lineRule="auto"/>
        <w:jc w:val="both"/>
      </w:pPr>
      <w:r>
        <w:t>PXCT was performed on these Ni-YSZ samples using a beam energy of 20 keV. This beam energy was selected to produce 20 % transmission for the nickel phase</w:t>
      </w:r>
      <w:r w:rsidR="004D5B42">
        <w:t xml:space="preserve"> </w:t>
      </w:r>
      <w:r>
        <w:fldChar w:fldCharType="begin" w:fldLock="1"/>
      </w:r>
      <w:r w:rsidR="00D80A5D">
        <w:instrText>ADDIN CSL_CITATION {"citationItems":[{"id":"ITEM-1","itemData":{"DOI":"10.1006/adnd.1993.1013","ISSN":"0092640X","abstract":"The primary interactions of low-energy x-rays within condensed matter, viz. photoabsorption and coherent scattering, have been described for photon energies outside the absorption threshold regions by using atomic scattering factors. The atomic scattering factors may be accurately determined from the atomic photoabsorption cross sections using modified Kramers-Kronig dispersion relations. From a synthesis of the currently available experimental data and recent theoretical calculations for photoabsorption, the angle-independent, forward-scattering components of the atomic scattering factors have been thus semiempirically determined and tabulated here for 92 elements and for the region 50-30, 000 eV. Atomic scattering factors for all angles of coherent scattering and at the higher photon energies are obtained from these tabulated forward-scattering values by adding a simple angle-dependent form-factor correction. The incoherent scattering contributions that become significant for the light elements at the higher photon energies are similarly determined. The basic x-ray interaction relations that are used in applied x-ray physics are presented here in terms of the atomic scattering factors. The bulk optical constants are also related to the atomic scattering factors. These atomic and optical relations are applied to the detailed calculation of the reflectivity characteristics of a series of practical x-ray mirror, multilayer, and crystal monochromators. Comparisons of the results of this semiempirical, \"atomic-like\" description of x-ray interactions for the low-energy region with those of experiment and ab initio theory are presented. © 1993 Academic Press. All rights reserved.","author":[{"dropping-particle":"","family":"Henke","given":"B. L.","non-dropping-particle":"","parse-names":false,"suffix":""},{"dropping-particle":"","family":"Gullikson","given":"E. M.","non-dropping-particle":"","parse-names":false,"suffix":""},{"dropping-particle":"","family":"Davis","given":"J. C.","non-dropping-particle":"","parse-names":false,"suffix":""}],"container-title":"Atomic Data and Nuclear Data Tables","id":"ITEM-1","issue":"2","issued":{"date-parts":[["1993"]]},"page":"181-342","title":"X-ray interactions: Photoabsorption, scattering, transmission, and reflection at E = 50-30, 000 eV, Z = 1-92","type":"article","volume":"54"},"uris":["http://www.mendeley.com/documents/?uuid=c9e38a82-bcee-4f05-a163-b91831acb567"]}],"mendeley":{"formattedCitation":"[363]","plainTextFormattedCitation":"[363]","previouslyFormattedCitation":"[363]"},"properties":{"noteIndex":0},"schema":"https://github.com/citation-style-language/schema/raw/master/csl-citation.json"}</w:instrText>
      </w:r>
      <w:r>
        <w:fldChar w:fldCharType="separate"/>
      </w:r>
      <w:r w:rsidR="006C586A" w:rsidRPr="006C586A">
        <w:rPr>
          <w:noProof/>
        </w:rPr>
        <w:t>[363]</w:t>
      </w:r>
      <w:r>
        <w:fldChar w:fldCharType="end"/>
      </w:r>
      <w:r>
        <w:t>. Both air and N</w:t>
      </w:r>
      <w:r>
        <w:rPr>
          <w:vertAlign w:val="subscript"/>
        </w:rPr>
        <w:t>2</w:t>
      </w:r>
      <w:r>
        <w:t xml:space="preserve"> dried Ni-YSZ samples were scanned during this beamtime. </w:t>
      </w:r>
    </w:p>
    <w:p w14:paraId="4E212AA2" w14:textId="77777777" w:rsidR="00211A89" w:rsidRDefault="00007F6C" w:rsidP="00211A89">
      <w:pPr>
        <w:spacing w:after="0" w:line="240" w:lineRule="auto"/>
        <w:jc w:val="both"/>
      </w:pPr>
      <w:r w:rsidRPr="005801F9">
        <w:rPr>
          <w:rFonts w:cstheme="minorHAnsi"/>
        </w:rPr>
        <w:t xml:space="preserve">The </w:t>
      </w:r>
      <w:r w:rsidR="004D5B42">
        <w:rPr>
          <w:rFonts w:cstheme="minorHAnsi"/>
        </w:rPr>
        <w:t xml:space="preserve">diffractograms and </w:t>
      </w:r>
      <w:r w:rsidRPr="005801F9">
        <w:rPr>
          <w:rFonts w:cstheme="minorHAnsi"/>
        </w:rPr>
        <w:t>ortho</w:t>
      </w:r>
      <w:r>
        <w:rPr>
          <w:rFonts w:cstheme="minorHAnsi"/>
        </w:rPr>
        <w:t>-</w:t>
      </w:r>
      <w:r w:rsidRPr="005801F9">
        <w:rPr>
          <w:rFonts w:cstheme="minorHAnsi"/>
        </w:rPr>
        <w:t xml:space="preserve">slice images </w:t>
      </w:r>
      <w:r w:rsidRPr="007A7BE0">
        <w:rPr>
          <w:rFonts w:cstheme="minorHAnsi"/>
        </w:rPr>
        <w:t>below show that</w:t>
      </w:r>
      <w:r w:rsidRPr="007A7BE0">
        <w:rPr>
          <w:rStyle w:val="fontstyle01"/>
          <w:rFonts w:asciiTheme="minorHAnsi" w:hAnsiTheme="minorHAnsi" w:cstheme="minorHAnsi"/>
          <w:color w:val="auto"/>
          <w:sz w:val="22"/>
          <w:szCs w:val="22"/>
        </w:rPr>
        <w:t xml:space="preserve"> large nickel agglomerates formed in our infiltrated electrodes after an ageing period of 1 </w:t>
      </w:r>
      <w:r w:rsidRPr="004D5B42">
        <w:rPr>
          <w:rStyle w:val="fontstyle01"/>
          <w:rFonts w:asciiTheme="minorHAnsi" w:hAnsiTheme="minorHAnsi" w:cstheme="minorHAnsi"/>
          <w:color w:val="auto"/>
          <w:sz w:val="22"/>
          <w:szCs w:val="22"/>
        </w:rPr>
        <w:t>h</w:t>
      </w:r>
      <w:r w:rsidR="004D5B42" w:rsidRPr="004D5B42">
        <w:rPr>
          <w:rStyle w:val="fontstyle01"/>
          <w:rFonts w:asciiTheme="minorHAnsi" w:hAnsiTheme="minorHAnsi" w:cstheme="minorHAnsi"/>
          <w:color w:val="auto"/>
          <w:sz w:val="22"/>
          <w:szCs w:val="22"/>
        </w:rPr>
        <w:t xml:space="preserve"> (</w:t>
      </w:r>
      <w:r w:rsidR="004D5B42" w:rsidRPr="004D5B42">
        <w:rPr>
          <w:rStyle w:val="fontstyle01"/>
          <w:rFonts w:asciiTheme="minorHAnsi" w:hAnsiTheme="minorHAnsi" w:cstheme="minorHAnsi"/>
          <w:color w:val="auto"/>
          <w:sz w:val="22"/>
          <w:szCs w:val="22"/>
        </w:rPr>
        <w:fldChar w:fldCharType="begin"/>
      </w:r>
      <w:r w:rsidR="004D5B42" w:rsidRPr="004D5B42">
        <w:rPr>
          <w:rStyle w:val="fontstyle01"/>
          <w:rFonts w:asciiTheme="minorHAnsi" w:hAnsiTheme="minorHAnsi" w:cstheme="minorHAnsi"/>
          <w:color w:val="auto"/>
          <w:sz w:val="22"/>
          <w:szCs w:val="22"/>
        </w:rPr>
        <w:instrText xml:space="preserve"> REF _Ref49180416 \h </w:instrText>
      </w:r>
      <w:r w:rsidR="004D5B42">
        <w:rPr>
          <w:rStyle w:val="fontstyle01"/>
          <w:rFonts w:asciiTheme="minorHAnsi" w:hAnsiTheme="minorHAnsi" w:cstheme="minorHAnsi"/>
          <w:color w:val="auto"/>
          <w:sz w:val="22"/>
          <w:szCs w:val="22"/>
        </w:rPr>
        <w:instrText xml:space="preserve"> \* MERGEFORMAT </w:instrText>
      </w:r>
      <w:r w:rsidR="004D5B42" w:rsidRPr="004D5B42">
        <w:rPr>
          <w:rStyle w:val="fontstyle01"/>
          <w:rFonts w:asciiTheme="minorHAnsi" w:hAnsiTheme="minorHAnsi" w:cstheme="minorHAnsi"/>
          <w:color w:val="auto"/>
          <w:sz w:val="22"/>
          <w:szCs w:val="22"/>
        </w:rPr>
      </w:r>
      <w:r w:rsidR="004D5B42" w:rsidRPr="004D5B42">
        <w:rPr>
          <w:rStyle w:val="fontstyle01"/>
          <w:rFonts w:asciiTheme="minorHAnsi" w:hAnsiTheme="minorHAnsi" w:cstheme="minorHAnsi"/>
          <w:color w:val="auto"/>
          <w:sz w:val="22"/>
          <w:szCs w:val="22"/>
        </w:rPr>
        <w:fldChar w:fldCharType="separate"/>
      </w:r>
      <w:r w:rsidR="004D5B42" w:rsidRPr="004D5B42">
        <w:rPr>
          <w:rFonts w:cstheme="minorHAnsi"/>
        </w:rPr>
        <w:t>Figure 6.</w:t>
      </w:r>
      <w:r w:rsidR="004D5B42" w:rsidRPr="004D5B42">
        <w:rPr>
          <w:rFonts w:cstheme="minorHAnsi"/>
          <w:noProof/>
        </w:rPr>
        <w:t>13</w:t>
      </w:r>
      <w:r w:rsidR="004D5B42" w:rsidRPr="004D5B42">
        <w:rPr>
          <w:rStyle w:val="fontstyle01"/>
          <w:rFonts w:asciiTheme="minorHAnsi" w:hAnsiTheme="minorHAnsi" w:cstheme="minorHAnsi"/>
          <w:color w:val="auto"/>
          <w:sz w:val="22"/>
          <w:szCs w:val="22"/>
        </w:rPr>
        <w:fldChar w:fldCharType="end"/>
      </w:r>
      <w:r w:rsidR="004D5B42" w:rsidRPr="004D5B42">
        <w:rPr>
          <w:rStyle w:val="fontstyle01"/>
          <w:rFonts w:asciiTheme="minorHAnsi" w:hAnsiTheme="minorHAnsi" w:cstheme="minorHAnsi"/>
          <w:color w:val="auto"/>
          <w:sz w:val="22"/>
          <w:szCs w:val="22"/>
        </w:rPr>
        <w:t>)</w:t>
      </w:r>
      <w:r w:rsidRPr="004D5B42">
        <w:rPr>
          <w:rStyle w:val="fontstyle01"/>
          <w:rFonts w:asciiTheme="minorHAnsi" w:hAnsiTheme="minorHAnsi" w:cstheme="minorHAnsi"/>
          <w:color w:val="auto"/>
          <w:sz w:val="22"/>
          <w:szCs w:val="22"/>
        </w:rPr>
        <w:t>.</w:t>
      </w:r>
      <w:r w:rsidRPr="004D5B42">
        <w:rPr>
          <w:rStyle w:val="fontstyle01"/>
          <w:rFonts w:asciiTheme="minorHAnsi" w:hAnsiTheme="minorHAnsi" w:cstheme="minorHAnsi"/>
          <w:color w:val="auto"/>
          <w:sz w:val="16"/>
          <w:szCs w:val="16"/>
        </w:rPr>
        <w:t xml:space="preserve"> </w:t>
      </w:r>
      <w:r w:rsidRPr="004D5B42">
        <w:rPr>
          <w:rFonts w:cstheme="minorHAnsi"/>
        </w:rPr>
        <w:t>An</w:t>
      </w:r>
      <w:r>
        <w:rPr>
          <w:rFonts w:cstheme="minorHAnsi"/>
        </w:rPr>
        <w:t xml:space="preserve"> identical pore structure is denoted by the red markers in </w:t>
      </w:r>
      <w:r>
        <w:rPr>
          <w:rFonts w:cstheme="minorHAnsi"/>
        </w:rPr>
        <w:fldChar w:fldCharType="begin"/>
      </w:r>
      <w:r>
        <w:rPr>
          <w:rFonts w:cstheme="minorHAnsi"/>
        </w:rPr>
        <w:instrText xml:space="preserve"> REF _Ref46755526 \h  \* MERGEFORMAT </w:instrText>
      </w:r>
      <w:r>
        <w:rPr>
          <w:rFonts w:cstheme="minorHAnsi"/>
        </w:rPr>
      </w:r>
      <w:r>
        <w:rPr>
          <w:rFonts w:cstheme="minorHAnsi"/>
        </w:rPr>
        <w:fldChar w:fldCharType="separate"/>
      </w:r>
      <w:r w:rsidR="004D5B42" w:rsidRPr="00117941">
        <w:rPr>
          <w:rFonts w:cstheme="minorHAnsi"/>
        </w:rPr>
        <w:t xml:space="preserve">Figure </w:t>
      </w:r>
      <w:r w:rsidR="004D5B42">
        <w:rPr>
          <w:rFonts w:cstheme="minorHAnsi"/>
          <w:noProof/>
        </w:rPr>
        <w:t>6.14</w:t>
      </w:r>
      <w:r>
        <w:rPr>
          <w:rFonts w:cstheme="minorHAnsi"/>
        </w:rPr>
        <w:fldChar w:fldCharType="end"/>
      </w:r>
      <w:r>
        <w:rPr>
          <w:rFonts w:cstheme="minorHAnsi"/>
        </w:rPr>
        <w:t xml:space="preserve">. </w:t>
      </w:r>
      <w:r>
        <w:t>To reduce the impact of attenuation from sample thickness and reduced contrast, this energy was reduced to 17 keV. Nitrogen-dried samples were imaged using this beam energy.</w:t>
      </w:r>
    </w:p>
    <w:p w14:paraId="516E8A82" w14:textId="77777777" w:rsidR="00211A89" w:rsidRDefault="00007F6C" w:rsidP="00211A89">
      <w:pPr>
        <w:spacing w:line="240" w:lineRule="auto"/>
        <w:jc w:val="center"/>
        <w:rPr>
          <w:rFonts w:asciiTheme="majorHAnsi" w:hAnsiTheme="majorHAnsi" w:cstheme="majorHAnsi"/>
        </w:rPr>
      </w:pPr>
      <w:r w:rsidRPr="0009446D">
        <w:rPr>
          <w:noProof/>
        </w:rPr>
        <w:drawing>
          <wp:inline distT="0" distB="0" distL="0" distR="0" wp14:anchorId="29683919" wp14:editId="66604ACD">
            <wp:extent cx="2880000" cy="1531429"/>
            <wp:effectExtent l="0" t="0" r="0" b="0"/>
            <wp:docPr id="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l="22955" t="34439" r="47401" b="37500"/>
                    <a:stretch>
                      <a:fillRect/>
                    </a:stretch>
                  </pic:blipFill>
                  <pic:spPr bwMode="auto">
                    <a:xfrm>
                      <a:off x="0" y="0"/>
                      <a:ext cx="2880000" cy="1531429"/>
                    </a:xfrm>
                    <a:prstGeom prst="rect">
                      <a:avLst/>
                    </a:prstGeom>
                    <a:noFill/>
                    <a:ln>
                      <a:noFill/>
                    </a:ln>
                  </pic:spPr>
                </pic:pic>
              </a:graphicData>
            </a:graphic>
          </wp:inline>
        </w:drawing>
      </w:r>
      <w:bookmarkStart w:id="571" w:name="_Ref49180416"/>
    </w:p>
    <w:p w14:paraId="74E35815" w14:textId="1EE6D193" w:rsidR="00007F6C" w:rsidRPr="00211A89" w:rsidRDefault="00007F6C" w:rsidP="00211A89">
      <w:pPr>
        <w:spacing w:after="240" w:line="240" w:lineRule="auto"/>
        <w:jc w:val="center"/>
        <w:rPr>
          <w:rStyle w:val="fontstyle01"/>
          <w:rFonts w:asciiTheme="minorHAnsi" w:hAnsiTheme="minorHAnsi" w:cstheme="minorHAnsi"/>
          <w:i/>
          <w:iCs/>
          <w:color w:val="44546A" w:themeColor="text2"/>
          <w:sz w:val="18"/>
          <w:szCs w:val="18"/>
        </w:rPr>
      </w:pPr>
      <w:bookmarkStart w:id="572" w:name="_Ref69113061"/>
      <w:bookmarkStart w:id="573" w:name="_Toc69115064"/>
      <w:r w:rsidRPr="00211A89">
        <w:rPr>
          <w:rFonts w:cstheme="minorHAnsi"/>
          <w:i/>
          <w:iCs/>
          <w:color w:val="44546A" w:themeColor="text2"/>
          <w:sz w:val="18"/>
          <w:szCs w:val="18"/>
        </w:rPr>
        <w:t>Figure 6.</w:t>
      </w:r>
      <w:r w:rsidR="00285C23" w:rsidRPr="00211A89">
        <w:rPr>
          <w:rFonts w:cstheme="minorHAnsi"/>
          <w:i/>
          <w:iCs/>
          <w:color w:val="44546A" w:themeColor="text2"/>
          <w:sz w:val="18"/>
          <w:szCs w:val="18"/>
        </w:rPr>
        <w:fldChar w:fldCharType="begin"/>
      </w:r>
      <w:r w:rsidR="00285C23" w:rsidRPr="00211A89">
        <w:rPr>
          <w:rFonts w:cstheme="minorHAnsi"/>
          <w:i/>
          <w:iCs/>
          <w:color w:val="44546A" w:themeColor="text2"/>
          <w:sz w:val="18"/>
          <w:szCs w:val="18"/>
        </w:rPr>
        <w:instrText xml:space="preserve"> SEQ Figure \* ARABIC </w:instrText>
      </w:r>
      <w:r w:rsidR="00285C23" w:rsidRPr="00211A89">
        <w:rPr>
          <w:rFonts w:cstheme="minorHAnsi"/>
          <w:i/>
          <w:iCs/>
          <w:color w:val="44546A" w:themeColor="text2"/>
          <w:sz w:val="18"/>
          <w:szCs w:val="18"/>
        </w:rPr>
        <w:fldChar w:fldCharType="separate"/>
      </w:r>
      <w:r w:rsidR="004D5B42" w:rsidRPr="00211A89">
        <w:rPr>
          <w:rFonts w:cstheme="minorHAnsi"/>
          <w:i/>
          <w:iCs/>
          <w:noProof/>
          <w:color w:val="44546A" w:themeColor="text2"/>
          <w:sz w:val="18"/>
          <w:szCs w:val="18"/>
        </w:rPr>
        <w:t>13</w:t>
      </w:r>
      <w:r w:rsidR="00285C23" w:rsidRPr="00211A89">
        <w:rPr>
          <w:rFonts w:cstheme="minorHAnsi"/>
          <w:i/>
          <w:iCs/>
          <w:color w:val="44546A" w:themeColor="text2"/>
          <w:sz w:val="18"/>
          <w:szCs w:val="18"/>
        </w:rPr>
        <w:fldChar w:fldCharType="end"/>
      </w:r>
      <w:bookmarkEnd w:id="571"/>
      <w:bookmarkEnd w:id="572"/>
      <w:r w:rsidRPr="00211A89">
        <w:rPr>
          <w:rFonts w:cstheme="minorHAnsi"/>
          <w:i/>
          <w:iCs/>
          <w:color w:val="44546A" w:themeColor="text2"/>
          <w:sz w:val="18"/>
          <w:szCs w:val="18"/>
        </w:rPr>
        <w:t>: Ptychographic diffraction patterns of the base of the Ni-YSZ anode pillar sample aged as reduced and aged for     1 h at 800⁰C.</w:t>
      </w:r>
      <w:r w:rsidRPr="00211A89">
        <w:rPr>
          <w:rStyle w:val="fontstyle01"/>
          <w:rFonts w:asciiTheme="minorHAnsi" w:hAnsiTheme="minorHAnsi" w:cstheme="minorHAnsi"/>
          <w:i/>
          <w:iCs/>
          <w:color w:val="44546A" w:themeColor="text2"/>
          <w:sz w:val="18"/>
          <w:szCs w:val="18"/>
        </w:rPr>
        <w:t>in 10% H</w:t>
      </w:r>
      <w:r w:rsidRPr="00211A89">
        <w:rPr>
          <w:rStyle w:val="fontstyle01"/>
          <w:rFonts w:asciiTheme="minorHAnsi" w:hAnsiTheme="minorHAnsi" w:cstheme="minorHAnsi"/>
          <w:i/>
          <w:iCs/>
          <w:color w:val="44546A" w:themeColor="text2"/>
          <w:sz w:val="18"/>
          <w:szCs w:val="18"/>
          <w:vertAlign w:val="subscript"/>
        </w:rPr>
        <w:t>2</w:t>
      </w:r>
      <w:r w:rsidRPr="00211A89">
        <w:rPr>
          <w:rStyle w:val="fontstyle01"/>
          <w:rFonts w:asciiTheme="minorHAnsi" w:hAnsiTheme="minorHAnsi" w:cstheme="minorHAnsi"/>
          <w:i/>
          <w:iCs/>
          <w:color w:val="44546A" w:themeColor="text2"/>
          <w:sz w:val="18"/>
          <w:szCs w:val="18"/>
        </w:rPr>
        <w:t>/N</w:t>
      </w:r>
      <w:proofErr w:type="gramStart"/>
      <w:r w:rsidRPr="00211A89">
        <w:rPr>
          <w:rStyle w:val="fontstyle01"/>
          <w:rFonts w:asciiTheme="minorHAnsi" w:hAnsiTheme="minorHAnsi" w:cstheme="minorHAnsi"/>
          <w:i/>
          <w:iCs/>
          <w:color w:val="44546A" w:themeColor="text2"/>
          <w:sz w:val="18"/>
          <w:szCs w:val="18"/>
          <w:vertAlign w:val="subscript"/>
        </w:rPr>
        <w:t xml:space="preserve">2 </w:t>
      </w:r>
      <w:r w:rsidRPr="00211A89">
        <w:rPr>
          <w:rStyle w:val="fontstyle01"/>
          <w:rFonts w:asciiTheme="minorHAnsi" w:hAnsiTheme="minorHAnsi" w:cstheme="minorHAnsi"/>
          <w:i/>
          <w:iCs/>
          <w:color w:val="44546A" w:themeColor="text2"/>
          <w:sz w:val="18"/>
          <w:szCs w:val="18"/>
        </w:rPr>
        <w:t>.</w:t>
      </w:r>
      <w:proofErr w:type="gramEnd"/>
      <w:r w:rsidRPr="00211A89">
        <w:rPr>
          <w:rStyle w:val="fontstyle01"/>
          <w:rFonts w:asciiTheme="minorHAnsi" w:hAnsiTheme="minorHAnsi" w:cstheme="minorHAnsi"/>
          <w:i/>
          <w:iCs/>
          <w:color w:val="44546A" w:themeColor="text2"/>
          <w:sz w:val="18"/>
          <w:szCs w:val="18"/>
        </w:rPr>
        <w:t xml:space="preserve"> A sintered nickel particle is denoted by the white circle. The black denotes </w:t>
      </w:r>
      <w:r w:rsidR="00211A89" w:rsidRPr="00211A89">
        <w:rPr>
          <w:rStyle w:val="fontstyle01"/>
          <w:rFonts w:asciiTheme="minorHAnsi" w:hAnsiTheme="minorHAnsi" w:cstheme="minorHAnsi"/>
          <w:i/>
          <w:iCs/>
          <w:color w:val="44546A" w:themeColor="text2"/>
          <w:sz w:val="18"/>
          <w:szCs w:val="18"/>
        </w:rPr>
        <w:t>pores,</w:t>
      </w:r>
      <w:r w:rsidRPr="00211A89">
        <w:rPr>
          <w:rStyle w:val="fontstyle01"/>
          <w:rFonts w:asciiTheme="minorHAnsi" w:hAnsiTheme="minorHAnsi" w:cstheme="minorHAnsi"/>
          <w:i/>
          <w:iCs/>
          <w:color w:val="44546A" w:themeColor="text2"/>
          <w:sz w:val="18"/>
          <w:szCs w:val="18"/>
        </w:rPr>
        <w:t xml:space="preserve"> and the light grey denotes the YSZ ceramic </w:t>
      </w:r>
      <w:proofErr w:type="gramStart"/>
      <w:r w:rsidRPr="00211A89">
        <w:rPr>
          <w:rStyle w:val="fontstyle01"/>
          <w:rFonts w:asciiTheme="minorHAnsi" w:hAnsiTheme="minorHAnsi" w:cstheme="minorHAnsi"/>
          <w:i/>
          <w:iCs/>
          <w:color w:val="44546A" w:themeColor="text2"/>
          <w:sz w:val="18"/>
          <w:szCs w:val="18"/>
        </w:rPr>
        <w:t>backbone</w:t>
      </w:r>
      <w:bookmarkEnd w:id="573"/>
      <w:proofErr w:type="gramEnd"/>
    </w:p>
    <w:p w14:paraId="50B72480" w14:textId="77777777" w:rsidR="00007F6C" w:rsidRPr="004A26AB" w:rsidRDefault="00007F6C" w:rsidP="00007F6C">
      <w:pPr>
        <w:pStyle w:val="Caption"/>
        <w:rPr>
          <w:rFonts w:asciiTheme="majorHAnsi" w:hAnsiTheme="majorHAnsi" w:cstheme="majorHAnsi"/>
        </w:rPr>
      </w:pPr>
      <w:r w:rsidRPr="004A26AB">
        <w:rPr>
          <w:rFonts w:asciiTheme="majorHAnsi" w:hAnsiTheme="majorHAnsi" w:cstheme="majorHAnsi"/>
          <w:noProof/>
        </w:rPr>
        <w:lastRenderedPageBreak/>
        <w:drawing>
          <wp:inline distT="0" distB="0" distL="0" distR="0" wp14:anchorId="62D96698" wp14:editId="5941AF00">
            <wp:extent cx="4320000" cy="3188571"/>
            <wp:effectExtent l="0" t="0" r="4445" b="0"/>
            <wp:docPr id="3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320000" cy="3188571"/>
                    </a:xfrm>
                    <a:prstGeom prst="rect">
                      <a:avLst/>
                    </a:prstGeom>
                    <a:noFill/>
                    <a:ln>
                      <a:noFill/>
                    </a:ln>
                  </pic:spPr>
                </pic:pic>
              </a:graphicData>
            </a:graphic>
          </wp:inline>
        </w:drawing>
      </w:r>
    </w:p>
    <w:p w14:paraId="1D001A8B" w14:textId="6A589EF6" w:rsidR="00007F6C" w:rsidRDefault="00007F6C" w:rsidP="00520C8A">
      <w:pPr>
        <w:pStyle w:val="Caption"/>
        <w:spacing w:after="240"/>
        <w:rPr>
          <w:rFonts w:cstheme="minorHAnsi"/>
        </w:rPr>
      </w:pPr>
      <w:bookmarkStart w:id="574" w:name="_Ref46755526"/>
      <w:bookmarkStart w:id="575" w:name="_Toc69115065"/>
      <w:r w:rsidRPr="00117941">
        <w:rPr>
          <w:rFonts w:cstheme="minorHAnsi"/>
        </w:rPr>
        <w:t xml:space="preserve">Figure </w:t>
      </w:r>
      <w:r>
        <w:rPr>
          <w:rFonts w:cstheme="minorHAnsi"/>
        </w:rPr>
        <w:t>6.</w:t>
      </w:r>
      <w:r w:rsidR="00285C23">
        <w:rPr>
          <w:rFonts w:cstheme="minorHAnsi"/>
        </w:rPr>
        <w:fldChar w:fldCharType="begin"/>
      </w:r>
      <w:r w:rsidR="00285C23">
        <w:rPr>
          <w:rFonts w:cstheme="minorHAnsi"/>
        </w:rPr>
        <w:instrText xml:space="preserve"> SEQ Figure \* ARABIC </w:instrText>
      </w:r>
      <w:r w:rsidR="00285C23">
        <w:rPr>
          <w:rFonts w:cstheme="minorHAnsi"/>
        </w:rPr>
        <w:fldChar w:fldCharType="separate"/>
      </w:r>
      <w:r w:rsidR="004D5B42">
        <w:rPr>
          <w:rFonts w:cstheme="minorHAnsi"/>
          <w:noProof/>
        </w:rPr>
        <w:t>14</w:t>
      </w:r>
      <w:r w:rsidR="00285C23">
        <w:rPr>
          <w:rFonts w:cstheme="minorHAnsi"/>
        </w:rPr>
        <w:fldChar w:fldCharType="end"/>
      </w:r>
      <w:bookmarkEnd w:id="574"/>
      <w:r w:rsidRPr="00117941">
        <w:rPr>
          <w:rFonts w:cstheme="minorHAnsi"/>
        </w:rPr>
        <w:t xml:space="preserve">: </w:t>
      </w:r>
      <w:r w:rsidRPr="005D7758">
        <w:rPr>
          <w:rFonts w:cstheme="minorHAnsi"/>
        </w:rPr>
        <w:t>Ptychographic ortho</w:t>
      </w:r>
      <w:r>
        <w:rPr>
          <w:rFonts w:cstheme="minorHAnsi"/>
        </w:rPr>
        <w:t>-</w:t>
      </w:r>
      <w:r w:rsidRPr="005D7758">
        <w:rPr>
          <w:rFonts w:cstheme="minorHAnsi"/>
        </w:rPr>
        <w:t>slices images from the I13-1 beamline of the same Ni-YSZ sample having been aged for 0h to 2h. White nickel agglomerates have sintered on top of the grey YSZ scaffold (red box)</w:t>
      </w:r>
      <w:bookmarkEnd w:id="575"/>
    </w:p>
    <w:p w14:paraId="28070A62" w14:textId="0FEB7785" w:rsidR="00007F6C" w:rsidRPr="005B6545" w:rsidRDefault="00007F6C" w:rsidP="00007F6C">
      <w:pPr>
        <w:jc w:val="both"/>
      </w:pPr>
      <w:r>
        <w:t xml:space="preserve">The beam size of the PXCT scan data at the sample surface was 6 </w:t>
      </w:r>
      <w:r>
        <w:rPr>
          <w:rFonts w:cstheme="minorHAnsi"/>
        </w:rPr>
        <w:t>µ</w:t>
      </w:r>
      <w:r>
        <w:t>m using a sample detector to distance of 10 m. The calculated voxel size for the ptychographic scans was 36 x 36 x 36 nm</w:t>
      </w:r>
      <w:r>
        <w:rPr>
          <w:vertAlign w:val="superscript"/>
        </w:rPr>
        <w:t xml:space="preserve">3 </w:t>
      </w:r>
      <w:r>
        <w:rPr>
          <w:vertAlign w:val="superscript"/>
        </w:rPr>
        <w:fldChar w:fldCharType="begin" w:fldLock="1"/>
      </w:r>
      <w:r w:rsidR="00D80A5D">
        <w:rPr>
          <w:vertAlign w:val="superscript"/>
        </w:rPr>
        <w:instrText>ADDIN CSL_CITATION {"citationItems":[{"id":"ITEM-1","itemData":{"DOI":"10.1364/oe.27.000533","ISSN":"1094-4087","PMID":"30696138","abstract":"Ptychographic X-ray computed tomography is a phase-contrast imaging technique capable of retrieving three-dimensional maps of the index of refraction of the imaged volumes with nanometric resolution. Despite its unmatched reach, its application remains prerogative of a limited number of laboratories at synchrotron sources. We present a detailed description of an experimental procedure and a data analysis pipeline which can be both exploited for ptychographic X-ray computed tomography experiments at any high-brilliance X-ray source. These have been validated at the I13-1 Coherence Branchline within the first experiment of its kind to be successfully carried out on a biological sample at Diamond Light Source.","author":[{"dropping-particle":"","family":"Sala","given":"Simone","non-dropping-particle":"","parse-names":false,"suffix":""},{"dropping-particle":"","family":"Batey","given":"Darren J.","non-dropping-particle":"","parse-names":false,"suffix":""},{"dropping-particle":"","family":"Prakash","given":"Anupama","non-dropping-particle":"","parse-names":false,"suffix":""},{"dropping-particle":"","family":"Ahmed","given":"Sharif","non-dropping-particle":"","parse-names":false,"suffix":""},{"dropping-particle":"","family":"Rau","given":"Christoph","non-dropping-particle":"","parse-names":false,"suffix":""},{"dropping-particle":"","family":"Thibault","given":"Pierre","non-dropping-particle":"","parse-names":false,"suffix":""}],"container-title":"Optics Express","id":"ITEM-1","issue":"2","issued":{"date-parts":[["2019"]]},"page":"533","title":"Ptychographic X-ray computed tomography at a high-brilliance X-ray source","type":"article-journal","volume":"27"},"uris":["http://www.mendeley.com/documents/?uuid=07a80d40-762e-4ff5-9db3-b72eef527f7e"]},{"id":"ITEM-2","itemData":{"DOI":"10.1080/08940886.2017.1364530","ISSN":"19317344","author":[{"dropping-particle":"","family":"Rau","given":"Christoph","non-dropping-particle":"","parse-names":false,"suffix":""}],"container-title":"Synchrotron Radiation News","id":"ITEM-2","issue":"5","issued":{"date-parts":[["2017"]]},"page":"19-25","title":"Imaging with Coherent Synchrotron Radiation: X-ray Imaging and Coherence Beamline (I13) at Diamond Light Source","type":"article-journal","volume":"30"},"uris":["http://www.mendeley.com/documents/?uuid=1fefddd3-eaa7-4dc5-8c6e-3640f94f15a6"]},{"id":"ITEM-3","itemData":{"DOI":"10.1002/pssa.201184272","ISSN":"18626300","abstract":"The Diamond beamline I13 for imaging and coherence applications is dedicated to hard X-ray imaging on the micro and nano-lengthscale. Two independent stations will be operated in a separate building at a distance of 250m from the source. The imaging branch will perform in-line phase contrast imaging and tomography over a large field of view in the 6-35keV energy range. In addition it will be possible to switch to full-field microscopy with 50nm spatial resolution. Other microscopies will be developed according to the scientific needs. Resolution beyond the limitations given by the detector and X-ray optics will be achieved on the 'coherence' branch. Techniques working in the far field such as Coherent X-Ray Diffraction and other Coherent Diffraction Imaging techniques such as ptychography will be implemented. Typical applications cover different fields such as bio-medicine, materials science, geo- and astrophysics or even cultural heritage. The beamline hosts a number of innovative features such as the so-called 'mini-beta' layout for electron optics in the storage ring or new concepts for beamline instrumentation. The stations will be operational in 2011. Copyright © 2011 WILEY-VCH Verlag GmbH &amp; Co. KGaA, Weinheim.","author":[{"dropping-particle":"","family":"Rau","given":"Christoph","non-dropping-particle":"","parse-names":false,"suffix":""},{"dropping-particle":"","family":"Wagner","given":"Ulrich","non-dropping-particle":"","parse-names":false,"suffix":""},{"dropping-particle":"","family":"Pešić","given":"Zoran","non-dropping-particle":"","parse-names":false,"suffix":""},{"dropping-particle":"","family":"Fanis","given":"Alberto","non-dropping-particle":"De","parse-names":false,"suffix":""}],"container-title":"Physica Status Solidi (A) Applications and Materials Science","id":"ITEM-3","issue":"11","issued":{"date-parts":[["2011"]]},"page":"2522-2525","title":"Coherent imaging at the Diamond beamline I13","type":"article-journal","volume":"208"},"uris":["http://www.mendeley.com/documents/?uuid=17887118-d3c8-43ca-a52b-1c4ed231e58a"]}],"mendeley":{"formattedCitation":"[356], [357], [362]","plainTextFormattedCitation":"[356], [357], [362]","previouslyFormattedCitation":"[356], [357], [362]"},"properties":{"noteIndex":0},"schema":"https://github.com/citation-style-language/schema/raw/master/csl-citation.json"}</w:instrText>
      </w:r>
      <w:r>
        <w:rPr>
          <w:vertAlign w:val="superscript"/>
        </w:rPr>
        <w:fldChar w:fldCharType="separate"/>
      </w:r>
      <w:r w:rsidR="006C586A" w:rsidRPr="006C586A">
        <w:rPr>
          <w:noProof/>
        </w:rPr>
        <w:t>[356], [357], [362]</w:t>
      </w:r>
      <w:r>
        <w:rPr>
          <w:vertAlign w:val="superscript"/>
        </w:rPr>
        <w:fldChar w:fldCharType="end"/>
      </w:r>
      <w:r>
        <w:t xml:space="preserve">. </w:t>
      </w:r>
    </w:p>
    <w:p w14:paraId="31261ACF" w14:textId="77777777" w:rsidR="00007F6C" w:rsidRPr="008B7EC8" w:rsidRDefault="00007F6C" w:rsidP="00195CBF">
      <w:pPr>
        <w:pStyle w:val="Heading3"/>
      </w:pPr>
      <w:bookmarkStart w:id="576" w:name="_Toc69129454"/>
      <w:r>
        <w:t>6.3.4.1 Mass attenuation coefficient calculation</w:t>
      </w:r>
      <w:bookmarkEnd w:id="576"/>
    </w:p>
    <w:p w14:paraId="1DDF3C6F" w14:textId="77777777" w:rsidR="00007F6C" w:rsidRDefault="00007F6C" w:rsidP="00007F6C">
      <w:pPr>
        <w:jc w:val="both"/>
      </w:pPr>
      <w:r>
        <w:t>The mass attenuation coefficients were calculated for the infiltrated Ni-YSZ electrode utilising the known densities, porosities for the phases present. These are key to the phase segmentation of the materials during data analysis.</w:t>
      </w:r>
    </w:p>
    <w:p w14:paraId="181E41DF" w14:textId="4DDE46E3" w:rsidR="00007F6C" w:rsidRDefault="00007F6C" w:rsidP="00007F6C">
      <w:pPr>
        <w:jc w:val="both"/>
      </w:pPr>
      <w:r>
        <w:t xml:space="preserve">The tomograms of the infiltrated anode consisted of three phases: nickel metal, YSZ ceramic scaffold and air (pores). The calculated vol % of the electrodes for the three phases are as follows: 20 %, 65 % and 15 % during manufacture. The values were calculated using mass changes in the electrode and Archimedes density analysis for the porous YSZ scaffold. The mass attenuation coefficients were calculated for each element in these phases and then adjusted for the sample composition </w:t>
      </w:r>
      <w:r>
        <w:fldChar w:fldCharType="begin" w:fldLock="1"/>
      </w:r>
      <w:r w:rsidR="00EC62EF">
        <w:instrText>ADDIN CSL_CITATION {"citationItems":[{"id":"ITEM-1","itemData":{"DOI":"10.1088/1742-6596/849/1/012017","abstract":"Abstract. X-ray nano CT has been vastly applied to study the microstructure of solid oxide\r\nfuel cell (SOFC) electrodes. One widely accepted indicator of electrochemical performance is\r\nthe triple phase boundary (TPB): a location where the three materials responsible for ionic,\r\nelectronic and gas-phase reactant transport are in contact. X-ray absorption tomography has\r\nbeen used extensively in the characterisation of these TPBs, utilising the different attenuation\r\nproperties of the constituent materials. Here we present a quantitative comparison of the\r\nattenuation properties for elements commonly employed in solid oxide fuel cell materials. ","author":[{"dropping-particle":"","family":"Heenan","given":"T.M.M.","non-dropping-particle":"","parse-names":false,"suffix":""},{"dropping-particle":"","family":"Brett","given":"D.J.L","non-dropping-particle":"","parse-names":false,"suffix":""},{"dropping-particle":"","family":"Shearing","given":"P.R.","non-dropping-particle":"","parse-names":false,"suffix":""}],"container-title":"Journal of Physics: Conference Series","id":"ITEM-1","issued":{"date-parts":[["2017"]]},"title":"X-ray attenuation properties of commonly employed solid oxide fuel cell materials","type":"article-journal","volume":"849"},"uris":["http://www.mendeley.com/documents/?uuid=c28b36d9-4fcf-3cad-8d17-9699cc5bb785"]}],"mendeley":{"formattedCitation":"[490]","plainTextFormattedCitation":"[490]","previouslyFormattedCitation":"[490]"},"properties":{"noteIndex":0},"schema":"https://github.com/citation-style-language/schema/raw/master/csl-citation.json"}</w:instrText>
      </w:r>
      <w:r>
        <w:fldChar w:fldCharType="separate"/>
      </w:r>
      <w:r w:rsidR="008446C6" w:rsidRPr="008446C6">
        <w:rPr>
          <w:noProof/>
        </w:rPr>
        <w:t>[490]</w:t>
      </w:r>
      <w:r>
        <w:fldChar w:fldCharType="end"/>
      </w:r>
      <w:r>
        <w:t>.</w:t>
      </w:r>
    </w:p>
    <w:p w14:paraId="5BD1CFCB" w14:textId="205EDA41" w:rsidR="00007F6C" w:rsidRDefault="00007F6C" w:rsidP="00007F6C">
      <w:pPr>
        <w:jc w:val="both"/>
      </w:pPr>
      <w:r>
        <w:t xml:space="preserve">The ratio between the ceramic scaffold and metallic phase revealed that the YSZ was the brightest phase present in the tomograms. The mass attenuation ratio between the Ni and the YSZ was calculated to be 7. These calculations were performed using the mass attenuation coefficients from </w:t>
      </w:r>
      <w:proofErr w:type="spellStart"/>
      <w:r w:rsidRPr="005F5D11">
        <w:t>Heenan</w:t>
      </w:r>
      <w:proofErr w:type="spellEnd"/>
      <w:r w:rsidRPr="005F5D11">
        <w:t xml:space="preserve"> and </w:t>
      </w:r>
      <w:proofErr w:type="spellStart"/>
      <w:r w:rsidRPr="005F5D11">
        <w:t>Stockmar</w:t>
      </w:r>
      <w:proofErr w:type="spellEnd"/>
      <w:r w:rsidRPr="005F5D11">
        <w:t xml:space="preserve"> et al</w:t>
      </w:r>
      <w:r>
        <w:t xml:space="preserve"> </w:t>
      </w:r>
      <w:r w:rsidRPr="00753329">
        <w:fldChar w:fldCharType="begin" w:fldLock="1"/>
      </w:r>
      <w:r w:rsidR="00EC62EF">
        <w:instrText>ADDIN CSL_CITATION {"citationItems":[{"id":"ITEM-1","itemData":{"DOI":"10.1088/1742-6596/849/1/012017","abstract":"Abstract. X-ray nano CT has been vastly applied to study the microstructure of solid oxide\r\nfuel cell (SOFC) electrodes. One widely accepted indicator of electrochemical performance is\r\nthe triple phase boundary (TPB): a location where the three materials responsible for ionic,\r\nelectronic and gas-phase reactant transport are in contact. X-ray absorption tomography has\r\nbeen used extensively in the characterisation of these TPBs, utilising the different attenuation\r\nproperties of the constituent materials. Here we present a quantitative comparison of the\r\nattenuation properties for elements commonly employed in solid oxide fuel cell materials. ","author":[{"dropping-particle":"","family":"Heenan","given":"T.M.M.","non-dropping-particle":"","parse-names":false,"suffix":""},{"dropping-particle":"","family":"Brett","given":"D.J.L","non-dropping-particle":"","parse-names":false,"suffix":""},{"dropping-particle":"","family":"Shearing","given":"P.R.","non-dropping-particle":"","parse-names":false,"suffix":""}],"container-title":"Journal of Physics: Conference Series","id":"ITEM-1","issued":{"date-parts":[["2017"]]},"title":"X-ray attenuation properties of commonly employed solid oxide fuel cell materials","type":"article-journal","volume":"849"},"uris":["http://www.mendeley.com/documents/?uuid=c28b36d9-4fcf-3cad-8d17-9699cc5bb785"]},{"id":"ITEM-2","itemData":{"DOI":"10.1016/j.matdes.2020.108585","ISSN":"18734197","abstract":"X-ray computed tomography (CT) has emerged as a powerful tool for the 3D characterisation of materials. However, in order to obtain a useful tomogram, sufficient image quality should be achieved in the radiographs before reconstruction into a 3D dataset. The ratio of signal- and contrast-to-noise (SNR and CNR, respectively) quantify the image quality and are largely determined by the transmission and detection of photons that have undergone useful interactions with the sample. Theoretical transmission can be predicted if only a few variables are known: the material chemistry and penetrating thickness e.g. the particle diameter. This work discusses the calculations required to obtain transmission values for various Li(NiXMnYCoZ)O2 (NMC) lithium-ion battery cathodes. These calculations produce reference plots for quick assessment of beam parameters when designing an experiment. This is then extended to the theoretical material thicknesses for optimum image contrast. Finally, the theoretically predicted transmission is validated through comparison to experimentally determined values. These calculations are not exclusive to NMC, nor battery materials, but may be applied as a framework to calculate various sample transmissions and therefore may aid in the design and characterisation of numerous materials.","author":[{"dropping-particle":"","family":"Heenan","given":"T. M.M.","non-dropping-particle":"","parse-names":false,"suffix":""},{"dropping-particle":"","family":"Tan","given":"C.","non-dropping-particle":"","parse-names":false,"suffix":""},{"dropping-particle":"","family":"Wade","given":"A. J.","non-dropping-particle":"","parse-names":false,"suffix":""},{"dropping-particle":"","family":"Jervis","given":"R.","non-dropping-particle":"","parse-names":false,"suffix":""},{"dropping-particle":"","family":"Brett","given":"D. J.L.","non-dropping-particle":"","parse-names":false,"suffix":""},{"dropping-particle":"","family":"Shearing","given":"P. R.","non-dropping-particle":"","parse-names":false,"suffix":""}],"container-title":"Materials and Design","id":"ITEM-2","issued":{"date-parts":[["2020"]]},"page":"108585","publisher":"Elsevier Ltd","title":"Theoretical transmissions for X-ray computed tomography studies of lithium-ion battery cathodes","type":"article-journal","volume":"191"},"uris":["http://www.mendeley.com/documents/?uuid=46e59c77-c7ec-401c-a898-41e030c4ad9f"]},{"id":"ITEM-3","itemData":{"DOI":"10.1364/OE.23.012720","ISBN":"1094-4087 (Electronic)\r1094-4087 (Linking)","PMID":"26074526","abstract":"Propagation-based imaging or inline holography in combination with computed tomography (holotomography) is a versatile tool to access a sample's three-dimensional (3D) micro or nano structure. However, the phase retrieval step needed prior to tomographic reconstruction can be challenging especially for strongly absorbing and refracting samples. Near-field ptychography is a recently developed phase imaging method that has been proven to overcome this hurdle in projection data. In this work we extend near-field ptychography to three dimensions and we show that, in combination with tomography, it can access the nano structure of a solid oxide fuel cell (SOFC). The quality of the resulting tomographic data and the structural properties of the anode extracted from this volume were compared to previous results obtained with holotomography. This work highlights the potential of 3D near-field ptychography for reliable and detailed investigations of samples at the nanometer scale, with important applications in materials and life sciences among others.","author":[{"dropping-particle":"","family":"Stockmar","given":"M","non-dropping-particle":"","parse-names":false,"suffix":""},{"dropping-particle":"","family":"Hubert","given":"M","non-dropping-particle":"","parse-names":false,"suffix":""},{"dropping-particle":"","family":"Dierolf","given":"M","non-dropping-particle":"","parse-names":false,"suffix":""},{"dropping-particle":"","family":"Enders","given":"B","non-dropping-particle":"","parse-names":false,"suffix":""},{"dropping-particle":"","family":"Clare","given":"R","non-dropping-particle":"","parse-names":false,"suffix":""},{"dropping-particle":"","family":"Allner","given":"S","non-dropping-particle":"","parse-names":false,"suffix":""},{"dropping-particle":"","family":"Fehringer","given":"A","non-dropping-particle":"","parse-names":false,"suffix":""},{"dropping-particle":"","family":"Zanette","given":"I","non-dropping-particle":"","parse-names":false,"suffix":""},{"dropping-particle":"","family":"Villanova","given":"J","non-dropping-particle":"","parse-names":false,"suffix":""},{"dropping-particle":"","family":"Laurencin","given":"J","non-dropping-particle":"","parse-names":false,"suffix":""},{"dropping-particle":"","family":"Cloetens","given":"P","non-dropping-particle":"","parse-names":false,"suffix":""},{"dropping-particle":"","family":"Pfeiffer","given":"F","non-dropping-particle":"","parse-names":false,"suffix":""},{"dropping-particle":"","family":"Thibault","given":"P","non-dropping-particle":"","parse-names":false,"suffix":""}],"container-title":"Opt Express","edition":"2015/06/16","id":"ITEM-3","issue":"10","issued":{"date-parts":[["2015"]]},"note":"Stockmar, Marco\nHubert, Maxime\nDierolf, Martin\nEnders, Bjoern\nClare, Richard\nAllner, Sebastian\nFehringer, Andreas\nZanette, Irene\nVillanova, Julie\nLaurencin, Jerome\nCloetens, Peter\nPfeiffer, Franz\nThibault, Pierre\neng\nOpt Express. 2015 May 18;23(10):12720-31. doi: 10.1364/OE.23.012720.","page":"12720-12731","title":"X-ray nanotomography using near-field ptychography","type":"article-journal","volume":"23"},"uris":["http://www.mendeley.com/documents/?uuid=47d8b451-10c5-4f92-8912-2de26588a428"]},{"id":"ITEM-4","itemData":{"DOI":"10.1006/adnd.1993.1013","ISSN":"0092640X","abstract":"The primary interactions of low-energy x-rays within condensed matter, viz. photoabsorption and coherent scattering, have been described for photon energies outside the absorption threshold regions by using atomic scattering factors. The atomic scattering factors may be accurately determined from the atomic photoabsorption cross sections using modified Kramers-Kronig dispersion relations. From a synthesis of the currently available experimental data and recent theoretical calculations for photoabsorption, the angle-independent, forward-scattering components of the atomic scattering factors have been thus semiempirically determined and tabulated here for 92 elements and for the region 50-30, 000 eV. Atomic scattering factors for all angles of coherent scattering and at the higher photon energies are obtained from these tabulated forward-scattering values by adding a simple angle-dependent form-factor correction. The incoherent scattering contributions that become significant for the light elements at the higher photon energies are similarly determined. The basic x-ray interaction relations that are used in applied x-ray physics are presented here in terms of the atomic scattering factors. The bulk optical constants are also related to the atomic scattering factors. These atomic and optical relations are applied to the detailed calculation of the reflectivity characteristics of a series of practical x-ray mirror, multilayer, and crystal monochromators. Comparisons of the results of this semiempirical, \"atomic-like\" description of x-ray interactions for the low-energy region with those of experiment and ab initio theory are presented. © 1993 Academic Press. All rights reserved.","author":[{"dropping-particle":"","family":"Henke","given":"B. L.","non-dropping-particle":"","parse-names":false,"suffix":""},{"dropping-particle":"","family":"Gullikson","given":"E. M.","non-dropping-particle":"","parse-names":false,"suffix":""},{"dropping-particle":"","family":"Davis","given":"J. C.","non-dropping-particle":"","parse-names":false,"suffix":""}],"container-title":"Atomic Data and Nuclear Data Tables","id":"ITEM-4","issue":"2","issued":{"date-parts":[["1993"]]},"page":"181-342","title":"X-ray interactions: Photoabsorption, scattering, transmission, and reflection at E = 50-30, 000 eV, Z = 1-92","type":"article","volume":"54"},"uris":["http://www.mendeley.com/documents/?uuid=c9e38a82-bcee-4f05-a163-b91831acb567"]}],"mendeley":{"formattedCitation":"[363], [364], [366], [490]","plainTextFormattedCitation":"[363], [364], [366], [490]","previouslyFormattedCitation":"[363], [364], [366], [490]"},"properties":{"noteIndex":0},"schema":"https://github.com/citation-style-language/schema/raw/master/csl-citation.json"}</w:instrText>
      </w:r>
      <w:r w:rsidRPr="00753329">
        <w:fldChar w:fldCharType="separate"/>
      </w:r>
      <w:r w:rsidR="008446C6" w:rsidRPr="008446C6">
        <w:rPr>
          <w:noProof/>
        </w:rPr>
        <w:t>[363], [364], [366], [490]</w:t>
      </w:r>
      <w:r w:rsidRPr="00753329">
        <w:fldChar w:fldCharType="end"/>
      </w:r>
      <w:r w:rsidRPr="00753329">
        <w:t>.</w:t>
      </w:r>
    </w:p>
    <w:p w14:paraId="1B1D790A" w14:textId="6D52401D" w:rsidR="00007F6C" w:rsidRPr="0049000D" w:rsidRDefault="00007F6C" w:rsidP="00007F6C">
      <w:pPr>
        <w:jc w:val="both"/>
      </w:pPr>
      <w:r w:rsidRPr="0049000D">
        <w:t xml:space="preserve">The percentage transmission was calculated for each of the phases using the transmission values calculated </w:t>
      </w:r>
      <w:r w:rsidRPr="005F5D11">
        <w:t>using the Henke, the thickness of the samples and the density of each of the material in the Ni-YSZ samples</w:t>
      </w:r>
      <w:r>
        <w:t>(</w:t>
      </w:r>
      <w:r>
        <w:fldChar w:fldCharType="begin"/>
      </w:r>
      <w:r>
        <w:instrText xml:space="preserve"> REF _Ref50801134 \h </w:instrText>
      </w:r>
      <w:r>
        <w:fldChar w:fldCharType="separate"/>
      </w:r>
      <w:r w:rsidR="00211A89">
        <w:t>Figure 6.</w:t>
      </w:r>
      <w:r w:rsidR="00211A89">
        <w:rPr>
          <w:noProof/>
        </w:rPr>
        <w:t>15</w:t>
      </w:r>
      <w:r>
        <w:fldChar w:fldCharType="end"/>
      </w:r>
      <w:r>
        <w:t>-</w:t>
      </w:r>
      <w:r>
        <w:fldChar w:fldCharType="begin"/>
      </w:r>
      <w:r>
        <w:instrText xml:space="preserve"> REF _Ref50801137 \h </w:instrText>
      </w:r>
      <w:r>
        <w:fldChar w:fldCharType="separate"/>
      </w:r>
      <w:r w:rsidR="00211A89">
        <w:t>Figure 6.</w:t>
      </w:r>
      <w:r w:rsidR="00211A89">
        <w:rPr>
          <w:noProof/>
        </w:rPr>
        <w:t>17</w:t>
      </w:r>
      <w:r>
        <w:fldChar w:fldCharType="end"/>
      </w:r>
      <w:r>
        <w:t xml:space="preserve"> and </w:t>
      </w:r>
      <w:r>
        <w:fldChar w:fldCharType="begin"/>
      </w:r>
      <w:r>
        <w:instrText xml:space="preserve"> REF _Ref49328800 \h </w:instrText>
      </w:r>
      <w:r>
        <w:fldChar w:fldCharType="separate"/>
      </w:r>
      <w:r w:rsidR="00211A89" w:rsidRPr="00A535EE">
        <w:t xml:space="preserve">Table </w:t>
      </w:r>
      <w:r w:rsidR="00211A89">
        <w:t>6.</w:t>
      </w:r>
      <w:r w:rsidR="00211A89">
        <w:rPr>
          <w:noProof/>
        </w:rPr>
        <w:t>16</w:t>
      </w:r>
      <w:r>
        <w:fldChar w:fldCharType="end"/>
      </w:r>
      <w:r>
        <w:t>).</w:t>
      </w:r>
    </w:p>
    <w:p w14:paraId="54B92363" w14:textId="77777777" w:rsidR="00007F6C" w:rsidRDefault="00007F6C" w:rsidP="00007F6C">
      <w:pPr>
        <w:keepNext/>
        <w:jc w:val="center"/>
      </w:pPr>
      <w:r w:rsidRPr="00F508FE">
        <w:rPr>
          <w:noProof/>
        </w:rPr>
        <w:lastRenderedPageBreak/>
        <w:drawing>
          <wp:inline distT="0" distB="0" distL="0" distR="0" wp14:anchorId="7AAE840C" wp14:editId="583E10A9">
            <wp:extent cx="2520000" cy="2052522"/>
            <wp:effectExtent l="0" t="0" r="0" b="508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8">
                      <a:extLst>
                        <a:ext uri="{28A0092B-C50C-407E-A947-70E740481C1C}">
                          <a14:useLocalDpi xmlns:a14="http://schemas.microsoft.com/office/drawing/2010/main" val="0"/>
                        </a:ext>
                      </a:extLst>
                    </a:blip>
                    <a:srcRect l="7110" t="10209" r="13762" b="5406"/>
                    <a:stretch/>
                  </pic:blipFill>
                  <pic:spPr bwMode="auto">
                    <a:xfrm>
                      <a:off x="0" y="0"/>
                      <a:ext cx="2520000" cy="2052522"/>
                    </a:xfrm>
                    <a:prstGeom prst="rect">
                      <a:avLst/>
                    </a:prstGeom>
                    <a:noFill/>
                    <a:ln>
                      <a:noFill/>
                    </a:ln>
                    <a:extLst>
                      <a:ext uri="{53640926-AAD7-44D8-BBD7-CCE9431645EC}">
                        <a14:shadowObscured xmlns:a14="http://schemas.microsoft.com/office/drawing/2010/main"/>
                      </a:ext>
                    </a:extLst>
                  </pic:spPr>
                </pic:pic>
              </a:graphicData>
            </a:graphic>
          </wp:inline>
        </w:drawing>
      </w:r>
    </w:p>
    <w:p w14:paraId="5D8F73FD" w14:textId="47E389FC" w:rsidR="00007F6C" w:rsidRDefault="00007F6C" w:rsidP="00211A89">
      <w:pPr>
        <w:pStyle w:val="Caption"/>
        <w:spacing w:after="240"/>
      </w:pPr>
      <w:bookmarkStart w:id="577" w:name="_Ref50801134"/>
      <w:bookmarkStart w:id="578" w:name="_Toc69115066"/>
      <w:r>
        <w:t>Figure 6.</w:t>
      </w:r>
      <w:r w:rsidR="00B51F53">
        <w:fldChar w:fldCharType="begin"/>
      </w:r>
      <w:r w:rsidR="00B51F53">
        <w:instrText xml:space="preserve"> SEQ Figure \* ARABIC </w:instrText>
      </w:r>
      <w:r w:rsidR="00B51F53">
        <w:fldChar w:fldCharType="separate"/>
      </w:r>
      <w:r w:rsidR="00211A89">
        <w:rPr>
          <w:noProof/>
        </w:rPr>
        <w:t>15</w:t>
      </w:r>
      <w:r w:rsidR="00B51F53">
        <w:rPr>
          <w:noProof/>
        </w:rPr>
        <w:fldChar w:fldCharType="end"/>
      </w:r>
      <w:bookmarkEnd w:id="577"/>
      <w:r>
        <w:t>: Percentage  transmission for the YSZ ceramic phase (Density of 6.05 g</w:t>
      </w:r>
      <w:r w:rsidR="00520C8A">
        <w:t xml:space="preserve"> </w:t>
      </w:r>
      <w:r>
        <w:t>cm</w:t>
      </w:r>
      <w:r>
        <w:rPr>
          <w:vertAlign w:val="superscript"/>
        </w:rPr>
        <w:t>-3</w:t>
      </w:r>
      <w:r>
        <w:t xml:space="preserve">) using a 15 </w:t>
      </w:r>
      <w:r>
        <w:rPr>
          <w:rFonts w:cstheme="minorHAnsi"/>
        </w:rPr>
        <w:t>µ</w:t>
      </w:r>
      <w:r>
        <w:t>m thick sample for photon energies ranging from 0 – 20 keV</w:t>
      </w:r>
      <w:r>
        <w:fldChar w:fldCharType="begin" w:fldLock="1"/>
      </w:r>
      <w:r w:rsidR="00D80A5D">
        <w:instrText>ADDIN CSL_CITATION {"citationItems":[{"id":"ITEM-1","itemData":{"DOI":"10.1006/adnd.1993.1013","ISSN":"0092640X","abstract":"The primary interactions of low-energy x-rays within condensed matter, viz. photoabsorption and coherent scattering, have been described for photon energies outside the absorption threshold regions by using atomic scattering factors. The atomic scattering factors may be accurately determined from the atomic photoabsorption cross sections using modified Kramers-Kronig dispersion relations. From a synthesis of the currently available experimental data and recent theoretical calculations for photoabsorption, the angle-independent, forward-scattering components of the atomic scattering factors have been thus semiempirically determined and tabulated here for 92 elements and for the region 50-30, 000 eV. Atomic scattering factors for all angles of coherent scattering and at the higher photon energies are obtained from these tabulated forward-scattering values by adding a simple angle-dependent form-factor correction. The incoherent scattering contributions that become significant for the light elements at the higher photon energies are similarly determined. The basic x-ray interaction relations that are used in applied x-ray physics are presented here in terms of the atomic scattering factors. The bulk optical constants are also related to the atomic scattering factors. These atomic and optical relations are applied to the detailed calculation of the reflectivity characteristics of a series of practical x-ray mirror, multilayer, and crystal monochromators. Comparisons of the results of this semiempirical, \"atomic-like\" description of x-ray interactions for the low-energy region with those of experiment and ab initio theory are presented. © 1993 Academic Press. All rights reserved.","author":[{"dropping-particle":"","family":"Henke","given":"B. L.","non-dropping-particle":"","parse-names":false,"suffix":""},{"dropping-particle":"","family":"Gullikson","given":"E. M.","non-dropping-particle":"","parse-names":false,"suffix":""},{"dropping-particle":"","family":"Davis","given":"J. C.","non-dropping-particle":"","parse-names":false,"suffix":""}],"container-title":"Atomic Data and Nuclear Data Tables","id":"ITEM-1","issue":"2","issued":{"date-parts":[["1993"]]},"page":"181-342","title":"X-ray interactions: Photoabsorption, scattering, transmission, and reflection at E = 50-30, 000 eV, Z = 1-92","type":"article","volume":"54"},"uris":["http://www.mendeley.com/documents/?uuid=c9e38a82-bcee-4f05-a163-b91831acb567"]}],"mendeley":{"formattedCitation":"[363]","plainTextFormattedCitation":"[363]","previouslyFormattedCitation":"[363]"},"properties":{"noteIndex":0},"schema":"https://github.com/citation-style-language/schema/raw/master/csl-citation.json"}</w:instrText>
      </w:r>
      <w:r>
        <w:fldChar w:fldCharType="separate"/>
      </w:r>
      <w:r w:rsidR="006C586A" w:rsidRPr="006C586A">
        <w:rPr>
          <w:i w:val="0"/>
          <w:noProof/>
        </w:rPr>
        <w:t>[363]</w:t>
      </w:r>
      <w:bookmarkEnd w:id="578"/>
      <w:r>
        <w:fldChar w:fldCharType="end"/>
      </w:r>
    </w:p>
    <w:p w14:paraId="6361A7BF" w14:textId="77777777" w:rsidR="00007F6C" w:rsidRDefault="00007F6C" w:rsidP="00007F6C">
      <w:pPr>
        <w:keepNext/>
        <w:jc w:val="center"/>
      </w:pPr>
      <w:r w:rsidRPr="00D71D9A">
        <w:rPr>
          <w:noProof/>
        </w:rPr>
        <w:drawing>
          <wp:inline distT="0" distB="0" distL="0" distR="0" wp14:anchorId="44841141" wp14:editId="75D23E5A">
            <wp:extent cx="2520000" cy="2061156"/>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9">
                      <a:extLst>
                        <a:ext uri="{28A0092B-C50C-407E-A947-70E740481C1C}">
                          <a14:useLocalDpi xmlns:a14="http://schemas.microsoft.com/office/drawing/2010/main" val="0"/>
                        </a:ext>
                      </a:extLst>
                    </a:blip>
                    <a:srcRect l="6881" t="9610" r="13761" b="5405"/>
                    <a:stretch/>
                  </pic:blipFill>
                  <pic:spPr bwMode="auto">
                    <a:xfrm>
                      <a:off x="0" y="0"/>
                      <a:ext cx="2520000" cy="2061156"/>
                    </a:xfrm>
                    <a:prstGeom prst="rect">
                      <a:avLst/>
                    </a:prstGeom>
                    <a:noFill/>
                    <a:ln>
                      <a:noFill/>
                    </a:ln>
                    <a:extLst>
                      <a:ext uri="{53640926-AAD7-44D8-BBD7-CCE9431645EC}">
                        <a14:shadowObscured xmlns:a14="http://schemas.microsoft.com/office/drawing/2010/main"/>
                      </a:ext>
                    </a:extLst>
                  </pic:spPr>
                </pic:pic>
              </a:graphicData>
            </a:graphic>
          </wp:inline>
        </w:drawing>
      </w:r>
    </w:p>
    <w:p w14:paraId="346D2760" w14:textId="7F317377" w:rsidR="00007F6C" w:rsidRDefault="00007F6C" w:rsidP="00007F6C">
      <w:pPr>
        <w:pStyle w:val="Caption"/>
      </w:pPr>
      <w:bookmarkStart w:id="579" w:name="_Ref50801135"/>
      <w:bookmarkStart w:id="580" w:name="_Toc69115067"/>
      <w:r>
        <w:t>Figure 6.</w:t>
      </w:r>
      <w:r w:rsidR="00B51F53">
        <w:fldChar w:fldCharType="begin"/>
      </w:r>
      <w:r w:rsidR="00B51F53">
        <w:instrText xml:space="preserve"> SEQ Figure \* ARABIC </w:instrText>
      </w:r>
      <w:r w:rsidR="00B51F53">
        <w:fldChar w:fldCharType="separate"/>
      </w:r>
      <w:r w:rsidR="00211A89">
        <w:rPr>
          <w:noProof/>
        </w:rPr>
        <w:t>16</w:t>
      </w:r>
      <w:r w:rsidR="00B51F53">
        <w:rPr>
          <w:noProof/>
        </w:rPr>
        <w:fldChar w:fldCharType="end"/>
      </w:r>
      <w:bookmarkEnd w:id="579"/>
      <w:r>
        <w:t>: Percentage transmission for the 20 vol % Nickel phase (Density of 8.9 g</w:t>
      </w:r>
      <w:r w:rsidR="00520C8A">
        <w:t xml:space="preserve"> </w:t>
      </w:r>
      <w:r>
        <w:t>cm</w:t>
      </w:r>
      <w:r>
        <w:rPr>
          <w:vertAlign w:val="superscript"/>
        </w:rPr>
        <w:t>-3</w:t>
      </w:r>
      <w:r>
        <w:t xml:space="preserve">)  using a 15 </w:t>
      </w:r>
      <w:r>
        <w:rPr>
          <w:rFonts w:cstheme="minorHAnsi"/>
        </w:rPr>
        <w:t>µ</w:t>
      </w:r>
      <w:r>
        <w:t>m thick sample for photon energies ranging from 0 – 20 keV</w:t>
      </w:r>
      <w:r w:rsidR="00211A89">
        <w:t xml:space="preserve"> </w:t>
      </w:r>
      <w:r>
        <w:fldChar w:fldCharType="begin" w:fldLock="1"/>
      </w:r>
      <w:r w:rsidR="00D80A5D">
        <w:instrText>ADDIN CSL_CITATION {"citationItems":[{"id":"ITEM-1","itemData":{"DOI":"10.1006/adnd.1993.1013","ISSN":"0092640X","abstract":"The primary interactions of low-energy x-rays within condensed matter, viz. photoabsorption and coherent scattering, have been described for photon energies outside the absorption threshold regions by using atomic scattering factors. The atomic scattering factors may be accurately determined from the atomic photoabsorption cross sections using modified Kramers-Kronig dispersion relations. From a synthesis of the currently available experimental data and recent theoretical calculations for photoabsorption, the angle-independent, forward-scattering components of the atomic scattering factors have been thus semiempirically determined and tabulated here for 92 elements and for the region 50-30, 000 eV. Atomic scattering factors for all angles of coherent scattering and at the higher photon energies are obtained from these tabulated forward-scattering values by adding a simple angle-dependent form-factor correction. The incoherent scattering contributions that become significant for the light elements at the higher photon energies are similarly determined. The basic x-ray interaction relations that are used in applied x-ray physics are presented here in terms of the atomic scattering factors. The bulk optical constants are also related to the atomic scattering factors. These atomic and optical relations are applied to the detailed calculation of the reflectivity characteristics of a series of practical x-ray mirror, multilayer, and crystal monochromators. Comparisons of the results of this semiempirical, \"atomic-like\" description of x-ray interactions for the low-energy region with those of experiment and ab initio theory are presented. © 1993 Academic Press. All rights reserved.","author":[{"dropping-particle":"","family":"Henke","given":"B. L.","non-dropping-particle":"","parse-names":false,"suffix":""},{"dropping-particle":"","family":"Gullikson","given":"E. M.","non-dropping-particle":"","parse-names":false,"suffix":""},{"dropping-particle":"","family":"Davis","given":"J. C.","non-dropping-particle":"","parse-names":false,"suffix":""}],"container-title":"Atomic Data and Nuclear Data Tables","id":"ITEM-1","issue":"2","issued":{"date-parts":[["1993"]]},"page":"181-342","title":"X-ray interactions: Photoabsorption, scattering, transmission, and reflection at E = 50-30, 000 eV, Z = 1-92","type":"article","volume":"54"},"uris":["http://www.mendeley.com/documents/?uuid=c9e38a82-bcee-4f05-a163-b91831acb567"]}],"mendeley":{"formattedCitation":"[363]","plainTextFormattedCitation":"[363]","previouslyFormattedCitation":"[363]"},"properties":{"noteIndex":0},"schema":"https://github.com/citation-style-language/schema/raw/master/csl-citation.json"}</w:instrText>
      </w:r>
      <w:r>
        <w:fldChar w:fldCharType="separate"/>
      </w:r>
      <w:r w:rsidR="006C586A" w:rsidRPr="006C586A">
        <w:rPr>
          <w:i w:val="0"/>
          <w:noProof/>
        </w:rPr>
        <w:t>[363]</w:t>
      </w:r>
      <w:bookmarkEnd w:id="580"/>
      <w:r>
        <w:fldChar w:fldCharType="end"/>
      </w:r>
    </w:p>
    <w:p w14:paraId="5A8C514F" w14:textId="77777777" w:rsidR="00007F6C" w:rsidRDefault="00007F6C" w:rsidP="00007F6C">
      <w:pPr>
        <w:pStyle w:val="Caption"/>
        <w:jc w:val="both"/>
        <w:rPr>
          <w:i w:val="0"/>
          <w:iCs w:val="0"/>
          <w:color w:val="auto"/>
          <w:sz w:val="22"/>
          <w:szCs w:val="22"/>
        </w:rPr>
      </w:pPr>
      <w:r>
        <w:rPr>
          <w:i w:val="0"/>
          <w:iCs w:val="0"/>
          <w:color w:val="auto"/>
          <w:sz w:val="22"/>
          <w:szCs w:val="22"/>
        </w:rPr>
        <w:t xml:space="preserve">In the case of the Ni and YSZ phases their percentage transmission are 50 and 60 % respectively with a beam energy of 17 keV. The air has a transmission of almost 100 % meaning that in order of brightness in the tomograms the phases will go: YSZ &gt; Ni &gt; </w:t>
      </w:r>
      <w:proofErr w:type="gramStart"/>
      <w:r>
        <w:rPr>
          <w:i w:val="0"/>
          <w:iCs w:val="0"/>
          <w:color w:val="auto"/>
          <w:sz w:val="22"/>
          <w:szCs w:val="22"/>
        </w:rPr>
        <w:t>Air</w:t>
      </w:r>
      <w:proofErr w:type="gramEnd"/>
    </w:p>
    <w:p w14:paraId="54182FD2" w14:textId="77777777" w:rsidR="00007F6C" w:rsidRDefault="00007F6C" w:rsidP="00007F6C">
      <w:pPr>
        <w:keepNext/>
        <w:jc w:val="center"/>
      </w:pPr>
      <w:r w:rsidRPr="00D71D9A">
        <w:rPr>
          <w:noProof/>
        </w:rPr>
        <w:drawing>
          <wp:inline distT="0" distB="0" distL="0" distR="0" wp14:anchorId="48434494" wp14:editId="1C97E315">
            <wp:extent cx="2520000" cy="2061156"/>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0">
                      <a:extLst>
                        <a:ext uri="{28A0092B-C50C-407E-A947-70E740481C1C}">
                          <a14:useLocalDpi xmlns:a14="http://schemas.microsoft.com/office/drawing/2010/main" val="0"/>
                        </a:ext>
                      </a:extLst>
                    </a:blip>
                    <a:srcRect l="6880" t="9610" r="13762" b="5405"/>
                    <a:stretch/>
                  </pic:blipFill>
                  <pic:spPr bwMode="auto">
                    <a:xfrm>
                      <a:off x="0" y="0"/>
                      <a:ext cx="2520000" cy="2061156"/>
                    </a:xfrm>
                    <a:prstGeom prst="rect">
                      <a:avLst/>
                    </a:prstGeom>
                    <a:noFill/>
                    <a:ln>
                      <a:noFill/>
                    </a:ln>
                    <a:extLst>
                      <a:ext uri="{53640926-AAD7-44D8-BBD7-CCE9431645EC}">
                        <a14:shadowObscured xmlns:a14="http://schemas.microsoft.com/office/drawing/2010/main"/>
                      </a:ext>
                    </a:extLst>
                  </pic:spPr>
                </pic:pic>
              </a:graphicData>
            </a:graphic>
          </wp:inline>
        </w:drawing>
      </w:r>
    </w:p>
    <w:p w14:paraId="3EEF6940" w14:textId="64C4F73B" w:rsidR="00007F6C" w:rsidRDefault="00007F6C" w:rsidP="00007F6C">
      <w:pPr>
        <w:pStyle w:val="Caption"/>
      </w:pPr>
      <w:bookmarkStart w:id="581" w:name="_Ref50801137"/>
      <w:bookmarkStart w:id="582" w:name="_Toc69115068"/>
      <w:r>
        <w:t>Figure 6.</w:t>
      </w:r>
      <w:r w:rsidR="00B51F53">
        <w:fldChar w:fldCharType="begin"/>
      </w:r>
      <w:r w:rsidR="00B51F53">
        <w:instrText xml:space="preserve"> SEQ Figure \* ARABIC </w:instrText>
      </w:r>
      <w:r w:rsidR="00B51F53">
        <w:fldChar w:fldCharType="separate"/>
      </w:r>
      <w:r w:rsidR="00211A89">
        <w:rPr>
          <w:noProof/>
        </w:rPr>
        <w:t>17</w:t>
      </w:r>
      <w:r w:rsidR="00B51F53">
        <w:rPr>
          <w:noProof/>
        </w:rPr>
        <w:fldChar w:fldCharType="end"/>
      </w:r>
      <w:bookmarkEnd w:id="581"/>
      <w:r>
        <w:t xml:space="preserve">: Percentage transmission for the air/pore phase using a 15 </w:t>
      </w:r>
      <w:r>
        <w:rPr>
          <w:rFonts w:cstheme="minorHAnsi"/>
        </w:rPr>
        <w:t>µ</w:t>
      </w:r>
      <w:r>
        <w:t>m thick sample for photon energies ranging from 0 – 20 keV</w:t>
      </w:r>
      <w:r w:rsidR="00211A89">
        <w:t xml:space="preserve"> </w:t>
      </w:r>
      <w:r>
        <w:fldChar w:fldCharType="begin" w:fldLock="1"/>
      </w:r>
      <w:r w:rsidR="00D80A5D">
        <w:instrText>ADDIN CSL_CITATION {"citationItems":[{"id":"ITEM-1","itemData":{"DOI":"10.1006/adnd.1993.1013","ISSN":"0092640X","abstract":"The primary interactions of low-energy x-rays within condensed matter, viz. photoabsorption and coherent scattering, have been described for photon energies outside the absorption threshold regions by using atomic scattering factors. The atomic scattering factors may be accurately determined from the atomic photoabsorption cross sections using modified Kramers-Kronig dispersion relations. From a synthesis of the currently available experimental data and recent theoretical calculations for photoabsorption, the angle-independent, forward-scattering components of the atomic scattering factors have been thus semiempirically determined and tabulated here for 92 elements and for the region 50-30, 000 eV. Atomic scattering factors for all angles of coherent scattering and at the higher photon energies are obtained from these tabulated forward-scattering values by adding a simple angle-dependent form-factor correction. The incoherent scattering contributions that become significant for the light elements at the higher photon energies are similarly determined. The basic x-ray interaction relations that are used in applied x-ray physics are presented here in terms of the atomic scattering factors. The bulk optical constants are also related to the atomic scattering factors. These atomic and optical relations are applied to the detailed calculation of the reflectivity characteristics of a series of practical x-ray mirror, multilayer, and crystal monochromators. Comparisons of the results of this semiempirical, \"atomic-like\" description of x-ray interactions for the low-energy region with those of experiment and ab initio theory are presented. © 1993 Academic Press. All rights reserved.","author":[{"dropping-particle":"","family":"Henke","given":"B. L.","non-dropping-particle":"","parse-names":false,"suffix":""},{"dropping-particle":"","family":"Gullikson","given":"E. M.","non-dropping-particle":"","parse-names":false,"suffix":""},{"dropping-particle":"","family":"Davis","given":"J. C.","non-dropping-particle":"","parse-names":false,"suffix":""}],"container-title":"Atomic Data and Nuclear Data Tables","id":"ITEM-1","issue":"2","issued":{"date-parts":[["1993"]]},"page":"181-342","title":"X-ray interactions: Photoabsorption, scattering, transmission, and reflection at E = 50-30, 000 eV, Z = 1-92","type":"article","volume":"54"},"uris":["http://www.mendeley.com/documents/?uuid=c9e38a82-bcee-4f05-a163-b91831acb567"]}],"mendeley":{"formattedCitation":"[363]","plainTextFormattedCitation":"[363]","previouslyFormattedCitation":"[363]"},"properties":{"noteIndex":0},"schema":"https://github.com/citation-style-language/schema/raw/master/csl-citation.json"}</w:instrText>
      </w:r>
      <w:r>
        <w:fldChar w:fldCharType="separate"/>
      </w:r>
      <w:r w:rsidR="006C586A" w:rsidRPr="006C586A">
        <w:rPr>
          <w:i w:val="0"/>
          <w:noProof/>
        </w:rPr>
        <w:t>[363]</w:t>
      </w:r>
      <w:bookmarkEnd w:id="582"/>
      <w:r>
        <w:fldChar w:fldCharType="end"/>
      </w:r>
    </w:p>
    <w:p w14:paraId="01A58D8D" w14:textId="77777777" w:rsidR="00007F6C" w:rsidRDefault="00007F6C" w:rsidP="00007F6C">
      <w:pPr>
        <w:jc w:val="both"/>
      </w:pPr>
      <w:r>
        <w:t>However, the as the infiltrated Ni-YSZ fuel electrode samples consist of a combination of each of the three phases discussed (See Chapter 3). The volume percentage of the three phases in the electrode are described earlier.</w:t>
      </w:r>
    </w:p>
    <w:p w14:paraId="473410C5" w14:textId="4F48D87F" w:rsidR="00007F6C" w:rsidRDefault="00007F6C" w:rsidP="00007F6C">
      <w:pPr>
        <w:jc w:val="both"/>
      </w:pPr>
      <w:r>
        <w:lastRenderedPageBreak/>
        <w:t>The X-ray transmission in PXCT is based on the ratio between the transmitted beam I</w:t>
      </w:r>
      <w:r>
        <w:rPr>
          <w:vertAlign w:val="subscript"/>
        </w:rPr>
        <w:t>t</w:t>
      </w:r>
      <w:r>
        <w:t xml:space="preserve"> and the incident beam I</w:t>
      </w:r>
      <w:r>
        <w:rPr>
          <w:vertAlign w:val="subscript"/>
        </w:rPr>
        <w:t>0</w:t>
      </w:r>
      <w:r>
        <w:t xml:space="preserve"> intensities in the scan. The transmission of an X-ray photon is denoted by T and can be found in </w:t>
      </w:r>
      <w:r>
        <w:fldChar w:fldCharType="begin"/>
      </w:r>
      <w:r>
        <w:instrText xml:space="preserve"> REF _Ref48899751 \h  \* MERGEFORMAT </w:instrText>
      </w:r>
      <w:r>
        <w:fldChar w:fldCharType="separate"/>
      </w:r>
      <w:r w:rsidRPr="00C103C3">
        <w:t xml:space="preserve">Equation </w:t>
      </w:r>
      <w:r w:rsidRPr="00C103C3">
        <w:rPr>
          <w:noProof/>
        </w:rPr>
        <w:t>6.</w:t>
      </w:r>
      <w:r>
        <w:fldChar w:fldCharType="end"/>
      </w:r>
      <w:r>
        <w:t xml:space="preserve">1 </w:t>
      </w:r>
      <w:r>
        <w:fldChar w:fldCharType="begin" w:fldLock="1"/>
      </w:r>
      <w:r w:rsidR="00EC62EF">
        <w:instrText>ADDIN CSL_CITATION {"citationItems":[{"id":"ITEM-1","itemData":{"DOI":"10.1351/goldbook.t06484","container-title":"IUPAC Compendium of Chemical Terminology","id":"ITEM-1","issued":{"date-parts":[["2008"]]},"title":"transmittance, T, τ","type":"article-journal"},"uris":["http://www.mendeley.com/documents/?uuid=3d174f70-25b2-4121-aad1-3bd1be671108"]},{"id":"ITEM-2","itemData":{"DOI":"10.1002/andp.18521620505","ISSN":"15213889","author":[{"dropping-particle":"","family":"Beer","given":"","non-dropping-particle":"","parse-names":false,"suffix":""}],"container-title":"Annalen der Physik","id":"ITEM-2","issue":"5","issued":{"date-parts":[["1852"]]},"page":"78-88","title":"Bestimmung der Absorption des rothen Lichts in farbigen Flüssigkeiten","type":"article-journal","volume":"162"},"uris":["http://www.mendeley.com/documents/?uuid=7e2bba15-f7c8-4c86-96c5-512fe7f0faf3"]},{"id":"ITEM-3","itemData":{"ISBN":"9781279983102","author":[{"dropping-particle":"","family":"Klett","given":"","non-dropping-particle":"","parse-names":false,"suffix":""},{"dropping-particle":"","family":"Witwe","given":"Eberhard","non-dropping-particle":"","parse-names":false,"suffix":""},{"dropping-particle":"","family":"Detleffsen","given":"","non-dropping-particle":"","parse-names":false,"suffix":""},{"dropping-particle":"","family":"Peter","given":"Christoph","non-dropping-particle":"","parse-names":false,"suffix":""},{"dropping-particle":"","family":"others","given":"","non-dropping-particle":"","parse-names":false,"suffix":""}],"id":"ITEM-3","issued":{"date-parts":[["1760"]]},"number-of-pages":"174","title":"IH Lambert... Photometria sive de mensura et gradibus luminis, colorum et umbrae","type":"book"},"uris":["http://www.mendeley.com/documents/?uuid=71572984-a275-46fd-98fa-6a159c42276f"]},{"id":"ITEM-4","itemData":{"DOI":"10.1038/111320b0","ISSN":"0028-0836","abstract":"Vermutlich interessantes Werk, da Pierre Bouguer (1698-1758) ein französischer Astronom, Geodät und Physiker war. Er wurde international als Teilnehmer der Peru-Expedition bekannt, welche die Pariser Akademie zur genauen Bestimmung der Erdfigur durchführte. Bereits auf der zweiten Seite der Einleitung ist im Zusammenhang mit Newton auch von Farbe die Rede, außerdem auf S. 37. Bezugnahme u.a. auf Descartes.","author":[{"dropping-particle":"","family":"Bouguer","given":"Pierre","non-dropping-particle":"","parse-names":false,"suffix":""}],"container-title":"Nature","id":"ITEM-4","issue":"2784","issued":{"date-parts":[["1923"]]},"page":"320-320","title":"Essai d'optique sur la gradation de la lumière","type":"article-journal","volume":"111"},"uris":["http://www.mendeley.com/documents/?uuid=f8941bd5-ab51-489a-bb0e-99e42aa81238"]}],"mendeley":{"formattedCitation":"[496]–[499]","plainTextFormattedCitation":"[496]–[499]","previouslyFormattedCitation":"[496]–[499]"},"properties":{"noteIndex":0},"schema":"https://github.com/citation-style-language/schema/raw/master/csl-citation.json"}</w:instrText>
      </w:r>
      <w:r>
        <w:fldChar w:fldCharType="separate"/>
      </w:r>
      <w:r w:rsidR="008446C6" w:rsidRPr="008446C6">
        <w:rPr>
          <w:noProof/>
        </w:rPr>
        <w:t>[496]–[499]</w:t>
      </w:r>
      <w:r>
        <w:fldChar w:fldCharType="end"/>
      </w:r>
      <w:r>
        <w:t xml:space="preserve">. </w:t>
      </w:r>
    </w:p>
    <w:p w14:paraId="33743866" w14:textId="77777777" w:rsidR="00007F6C" w:rsidRDefault="00007F6C" w:rsidP="00007F6C">
      <w:pPr>
        <w:keepNext/>
        <w:jc w:val="both"/>
      </w:pPr>
      <m:oMathPara>
        <m:oMath>
          <m:r>
            <m:rPr>
              <m:sty m:val="p"/>
            </m:rPr>
            <w:rPr>
              <w:rFonts w:ascii="Cambria Math" w:hAnsi="Cambria Math"/>
            </w:rPr>
            <m:t>Transmission, T=</m:t>
          </m:r>
          <m:f>
            <m:fPr>
              <m:ctrlPr>
                <w:rPr>
                  <w:rFonts w:ascii="Cambria Math" w:hAnsi="Cambria Math"/>
                  <w:i/>
                </w:rPr>
              </m:ctrlPr>
            </m:fPr>
            <m:num>
              <m:sSub>
                <m:sSubPr>
                  <m:ctrlPr>
                    <w:rPr>
                      <w:rFonts w:ascii="Cambria Math" w:hAnsi="Cambria Math"/>
                      <w:i/>
                    </w:rPr>
                  </m:ctrlPr>
                </m:sSubPr>
                <m:e>
                  <m:r>
                    <m:rPr>
                      <m:sty m:val="p"/>
                    </m:rPr>
                    <w:rPr>
                      <w:rFonts w:ascii="Cambria Math" w:hAnsi="Cambria Math"/>
                    </w:rPr>
                    <m:t>I</m:t>
                  </m:r>
                </m:e>
                <m:sub>
                  <m:r>
                    <m:rPr>
                      <m:sty m:val="p"/>
                    </m:rPr>
                    <w:rPr>
                      <w:rFonts w:ascii="Cambria Math" w:hAnsi="Cambria Math"/>
                    </w:rPr>
                    <m:t>t</m:t>
                  </m:r>
                </m:sub>
              </m:sSub>
            </m:num>
            <m:den>
              <m:sSub>
                <m:sSubPr>
                  <m:ctrlPr>
                    <w:rPr>
                      <w:rFonts w:ascii="Cambria Math" w:hAnsi="Cambria Math"/>
                      <w:i/>
                    </w:rPr>
                  </m:ctrlPr>
                </m:sSubPr>
                <m:e>
                  <m:r>
                    <m:rPr>
                      <m:sty m:val="p"/>
                    </m:rPr>
                    <w:rPr>
                      <w:rFonts w:ascii="Cambria Math" w:hAnsi="Cambria Math"/>
                    </w:rPr>
                    <m:t>I</m:t>
                  </m:r>
                </m:e>
                <m:sub>
                  <m:r>
                    <m:rPr>
                      <m:sty m:val="p"/>
                    </m:rPr>
                    <w:rPr>
                      <w:rFonts w:ascii="Cambria Math" w:hAnsi="Cambria Math"/>
                    </w:rPr>
                    <m:t>0</m:t>
                  </m:r>
                </m:sub>
              </m:sSub>
            </m:den>
          </m:f>
        </m:oMath>
      </m:oMathPara>
    </w:p>
    <w:p w14:paraId="0CA47667" w14:textId="63B33060" w:rsidR="00007F6C" w:rsidRPr="00FA4E74" w:rsidRDefault="00007F6C" w:rsidP="00007F6C">
      <w:pPr>
        <w:pStyle w:val="Caption"/>
        <w:jc w:val="right"/>
        <w:rPr>
          <w:i w:val="0"/>
          <w:iCs w:val="0"/>
          <w:color w:val="auto"/>
          <w:sz w:val="22"/>
          <w:szCs w:val="22"/>
        </w:rPr>
      </w:pPr>
      <w:bookmarkStart w:id="583" w:name="_Ref48899751"/>
      <w:r w:rsidRPr="00FA4E74">
        <w:rPr>
          <w:i w:val="0"/>
          <w:iCs w:val="0"/>
          <w:color w:val="auto"/>
          <w:sz w:val="22"/>
          <w:szCs w:val="22"/>
        </w:rPr>
        <w:t>Equation 6.</w:t>
      </w:r>
      <w:bookmarkEnd w:id="583"/>
      <w:r w:rsidRPr="00FA4E74">
        <w:rPr>
          <w:i w:val="0"/>
          <w:iCs w:val="0"/>
          <w:color w:val="auto"/>
          <w:sz w:val="22"/>
          <w:szCs w:val="22"/>
        </w:rPr>
        <w:fldChar w:fldCharType="begin"/>
      </w:r>
      <w:r w:rsidRPr="00FA4E74">
        <w:rPr>
          <w:i w:val="0"/>
          <w:iCs w:val="0"/>
          <w:color w:val="auto"/>
          <w:sz w:val="22"/>
          <w:szCs w:val="22"/>
        </w:rPr>
        <w:instrText xml:space="preserve"> SEQ Equation \* ARABIC \r 1 </w:instrText>
      </w:r>
      <w:r w:rsidRPr="00FA4E74">
        <w:rPr>
          <w:i w:val="0"/>
          <w:iCs w:val="0"/>
          <w:color w:val="auto"/>
          <w:sz w:val="22"/>
          <w:szCs w:val="22"/>
        </w:rPr>
        <w:fldChar w:fldCharType="separate"/>
      </w:r>
      <w:r w:rsidR="00315BF8">
        <w:rPr>
          <w:i w:val="0"/>
          <w:iCs w:val="0"/>
          <w:noProof/>
          <w:color w:val="auto"/>
          <w:sz w:val="22"/>
          <w:szCs w:val="22"/>
        </w:rPr>
        <w:t>1</w:t>
      </w:r>
      <w:r w:rsidRPr="00FA4E74">
        <w:rPr>
          <w:i w:val="0"/>
          <w:iCs w:val="0"/>
          <w:color w:val="auto"/>
          <w:sz w:val="22"/>
          <w:szCs w:val="22"/>
        </w:rPr>
        <w:fldChar w:fldCharType="end"/>
      </w:r>
    </w:p>
    <w:p w14:paraId="1C5EFCA0" w14:textId="77777777" w:rsidR="00007F6C" w:rsidRDefault="00007F6C" w:rsidP="00007F6C">
      <w:pPr>
        <w:jc w:val="both"/>
      </w:pPr>
      <w:r>
        <w:t xml:space="preserve">The mass attenuation coefficient </w:t>
      </w:r>
      <w:r>
        <w:rPr>
          <w:rFonts w:cstheme="minorHAnsi"/>
        </w:rPr>
        <w:t>µ</w:t>
      </w:r>
      <w:r>
        <w:t xml:space="preserve"> of the electrode rely on three factors:</w:t>
      </w:r>
    </w:p>
    <w:p w14:paraId="030E4A3D" w14:textId="77777777" w:rsidR="00007F6C" w:rsidRDefault="00007F6C" w:rsidP="00007F6C">
      <w:pPr>
        <w:pStyle w:val="ListParagraph"/>
        <w:numPr>
          <w:ilvl w:val="0"/>
          <w:numId w:val="35"/>
        </w:numPr>
        <w:jc w:val="both"/>
      </w:pPr>
      <w:r>
        <w:t>Composition of the electrode material</w:t>
      </w:r>
    </w:p>
    <w:p w14:paraId="5642BDE8" w14:textId="77777777" w:rsidR="00007F6C" w:rsidRDefault="00007F6C" w:rsidP="00007F6C">
      <w:pPr>
        <w:pStyle w:val="ListParagraph"/>
        <w:numPr>
          <w:ilvl w:val="0"/>
          <w:numId w:val="35"/>
        </w:numPr>
        <w:jc w:val="both"/>
      </w:pPr>
      <w:r>
        <w:t>Thickness of the sample</w:t>
      </w:r>
    </w:p>
    <w:p w14:paraId="597C4C84" w14:textId="77777777" w:rsidR="00007F6C" w:rsidRDefault="00007F6C" w:rsidP="00007F6C">
      <w:pPr>
        <w:pStyle w:val="ListParagraph"/>
        <w:numPr>
          <w:ilvl w:val="0"/>
          <w:numId w:val="35"/>
        </w:numPr>
        <w:jc w:val="both"/>
      </w:pPr>
      <w:r>
        <w:t>Energy of the X-ray photons present</w:t>
      </w:r>
    </w:p>
    <w:p w14:paraId="10904FA1" w14:textId="655ECF69" w:rsidR="00007F6C" w:rsidRDefault="00007F6C" w:rsidP="00007F6C">
      <w:pPr>
        <w:jc w:val="both"/>
      </w:pPr>
      <w:r>
        <w:t>The transmitted intensity of the X-ray photon is dependent of chemistry of the sample it is passing through. Each electrode element possesses a characteristic attenuation coefficient (</w:t>
      </w:r>
      <w:r w:rsidRPr="004538A8">
        <w:rPr>
          <w:rFonts w:cstheme="minorHAnsi"/>
        </w:rPr>
        <w:t>µ</w:t>
      </w:r>
      <w:r>
        <w:t xml:space="preserve">) which impedes the incident beam </w:t>
      </w:r>
      <w:r>
        <w:fldChar w:fldCharType="begin" w:fldLock="1"/>
      </w:r>
      <w:r w:rsidR="00EC62EF">
        <w:instrText>ADDIN CSL_CITATION {"citationItems":[{"id":"ITEM-1","itemData":{"DOI":"10.1002/andp.18521620505","ISSN":"15213889","author":[{"dropping-particle":"","family":"Beer","given":"","non-dropping-particle":"","parse-names":false,"suffix":""}],"container-title":"Annalen der Physik","id":"ITEM-1","issue":"5","issued":{"date-parts":[["1852"]]},"page":"78-88","title":"Bestimmung der Absorption des rothen Lichts in farbigen Flüssigkeiten","type":"article-journal","volume":"162"},"uris":["http://www.mendeley.com/documents/?uuid=7e2bba15-f7c8-4c86-96c5-512fe7f0faf3"]},{"id":"ITEM-2","itemData":{"ISBN":"9781279983102","author":[{"dropping-particle":"","family":"Klett","given":"","non-dropping-particle":"","parse-names":false,"suffix":""},{"dropping-particle":"","family":"Witwe","given":"Eberhard","non-dropping-particle":"","parse-names":false,"suffix":""},{"dropping-particle":"","family":"Detleffsen","given":"","non-dropping-particle":"","parse-names":false,"suffix":""},{"dropping-particle":"","family":"Peter","given":"Christoph","non-dropping-particle":"","parse-names":false,"suffix":""},{"dropping-particle":"","family":"others","given":"","non-dropping-particle":"","parse-names":false,"suffix":""}],"id":"ITEM-2","issued":{"date-parts":[["1760"]]},"number-of-pages":"174","title":"IH Lambert... Photometria sive de mensura et gradibus luminis, colorum et umbrae","type":"book"},"uris":["http://www.mendeley.com/documents/?uuid=71572984-a275-46fd-98fa-6a159c42276f"]},{"id":"ITEM-3","itemData":{"DOI":"10.1038/111320b0","ISSN":"0028-0836","abstract":"Vermutlich interessantes Werk, da Pierre Bouguer (1698-1758) ein französischer Astronom, Geodät und Physiker war. Er wurde international als Teilnehmer der Peru-Expedition bekannt, welche die Pariser Akademie zur genauen Bestimmung der Erdfigur durchführte. Bereits auf der zweiten Seite der Einleitung ist im Zusammenhang mit Newton auch von Farbe die Rede, außerdem auf S. 37. Bezugnahme u.a. auf Descartes.","author":[{"dropping-particle":"","family":"Bouguer","given":"Pierre","non-dropping-particle":"","parse-names":false,"suffix":""}],"container-title":"Nature","id":"ITEM-3","issue":"2784","issued":{"date-parts":[["1923"]]},"page":"320-320","title":"Essai d'optique sur la gradation de la lumière","type":"article-journal","volume":"111"},"uris":["http://www.mendeley.com/documents/?uuid=f8941bd5-ab51-489a-bb0e-99e42aa81238"]}],"mendeley":{"formattedCitation":"[497]–[499]","plainTextFormattedCitation":"[497]–[499]","previouslyFormattedCitation":"[497]–[499]"},"properties":{"noteIndex":0},"schema":"https://github.com/citation-style-language/schema/raw/master/csl-citation.json"}</w:instrText>
      </w:r>
      <w:r>
        <w:fldChar w:fldCharType="separate"/>
      </w:r>
      <w:r w:rsidR="008446C6" w:rsidRPr="008446C6">
        <w:rPr>
          <w:noProof/>
        </w:rPr>
        <w:t>[497]–[499]</w:t>
      </w:r>
      <w:r>
        <w:fldChar w:fldCharType="end"/>
      </w:r>
      <w:r>
        <w:t xml:space="preserve">. This means that the overall attenuation and decay of the X-ray photon is a function of each of these components and the thickness of the sample. </w:t>
      </w:r>
    </w:p>
    <w:p w14:paraId="0B4B87A4" w14:textId="280291FD" w:rsidR="00007F6C" w:rsidRPr="00534A95" w:rsidRDefault="00007F6C" w:rsidP="00007F6C">
      <w:pPr>
        <w:jc w:val="both"/>
        <w:rPr>
          <w:vertAlign w:val="subscript"/>
        </w:rPr>
      </w:pPr>
      <w:r>
        <w:t>The transmitted intensity</w:t>
      </w:r>
      <w:r w:rsidRPr="004538A8">
        <w:rPr>
          <w:i/>
          <w:iCs/>
        </w:rPr>
        <w:t xml:space="preserve"> I</w:t>
      </w:r>
      <w:r w:rsidRPr="004538A8">
        <w:rPr>
          <w:i/>
          <w:iCs/>
          <w:vertAlign w:val="subscript"/>
        </w:rPr>
        <w:t>t</w:t>
      </w:r>
      <w:r>
        <w:t>, of the X-ray photon after traversal through a specimen of thickness (</w:t>
      </w:r>
      <w:r w:rsidRPr="004538A8">
        <w:rPr>
          <w:i/>
          <w:iCs/>
        </w:rPr>
        <w:t>t</w:t>
      </w:r>
      <w:r>
        <w:t>) is described by the exponential Beer-Lambert law (</w:t>
      </w:r>
      <w:r>
        <w:fldChar w:fldCharType="begin"/>
      </w:r>
      <w:r>
        <w:instrText xml:space="preserve"> REF _Ref48901372 \h  \* MERGEFORMAT </w:instrText>
      </w:r>
      <w:r>
        <w:fldChar w:fldCharType="separate"/>
      </w:r>
      <w:r w:rsidRPr="00C103C3">
        <w:t xml:space="preserve">Equation </w:t>
      </w:r>
      <w:r w:rsidRPr="00C103C3">
        <w:rPr>
          <w:noProof/>
        </w:rPr>
        <w:t>6.2</w:t>
      </w:r>
      <w:r>
        <w:fldChar w:fldCharType="end"/>
      </w:r>
      <w:r>
        <w:t>)</w:t>
      </w:r>
      <w:r>
        <w:fldChar w:fldCharType="begin" w:fldLock="1"/>
      </w:r>
      <w:r w:rsidR="00EC62EF">
        <w:instrText>ADDIN CSL_CITATION {"citationItems":[{"id":"ITEM-1","itemData":{"DOI":"10.1002/andp.18521620505","ISSN":"15213889","author":[{"dropping-particle":"","family":"Beer","given":"","non-dropping-particle":"","parse-names":false,"suffix":""}],"container-title":"Annalen der Physik","id":"ITEM-1","issue":"5","issued":{"date-parts":[["1852"]]},"page":"78-88","title":"Bestimmung der Absorption des rothen Lichts in farbigen Flüssigkeiten","type":"article-journal","volume":"162"},"uris":["http://www.mendeley.com/documents/?uuid=7e2bba15-f7c8-4c86-96c5-512fe7f0faf3"]},{"id":"ITEM-2","itemData":{"ISBN":"9781279983102","author":[{"dropping-particle":"","family":"Klett","given":"","non-dropping-particle":"","parse-names":false,"suffix":""},{"dropping-particle":"","family":"Witwe","given":"Eberhard","non-dropping-particle":"","parse-names":false,"suffix":""},{"dropping-particle":"","family":"Detleffsen","given":"","non-dropping-particle":"","parse-names":false,"suffix":""},{"dropping-particle":"","family":"Peter","given":"Christoph","non-dropping-particle":"","parse-names":false,"suffix":""},{"dropping-particle":"","family":"others","given":"","non-dropping-particle":"","parse-names":false,"suffix":""}],"id":"ITEM-2","issued":{"date-parts":[["1760"]]},"number-of-pages":"174","title":"IH Lambert... Photometria sive de mensura et gradibus luminis, colorum et umbrae","type":"book"},"uris":["http://www.mendeley.com/documents/?uuid=71572984-a275-46fd-98fa-6a159c42276f"]},{"id":"ITEM-3","itemData":{"DOI":"10.1038/111320b0","ISSN":"0028-0836","abstract":"Vermutlich interessantes Werk, da Pierre Bouguer (1698-1758) ein französischer Astronom, Geodät und Physiker war. Er wurde international als Teilnehmer der Peru-Expedition bekannt, welche die Pariser Akademie zur genauen Bestimmung der Erdfigur durchführte. Bereits auf der zweiten Seite der Einleitung ist im Zusammenhang mit Newton auch von Farbe die Rede, außerdem auf S. 37. Bezugnahme u.a. auf Descartes.","author":[{"dropping-particle":"","family":"Bouguer","given":"Pierre","non-dropping-particle":"","parse-names":false,"suffix":""}],"container-title":"Nature","id":"ITEM-3","issue":"2784","issued":{"date-parts":[["1923"]]},"page":"320-320","title":"Essai d'optique sur la gradation de la lumière","type":"article-journal","volume":"111"},"uris":["http://www.mendeley.com/documents/?uuid=f8941bd5-ab51-489a-bb0e-99e42aa81238"]},{"id":"ITEM-4","itemData":{"DOI":"10.1016/j.matdes.2020.108585","ISSN":"18734197","abstract":"X-ray computed tomography (CT) has emerged as a powerful tool for the 3D characterisation of materials. However, in order to obtain a useful tomogram, sufficient image quality should be achieved in the radiographs before reconstruction into a 3D dataset. The ratio of signal- and contrast-to-noise (SNR and CNR, respectively) quantify the image quality and are largely determined by the transmission and detection of photons that have undergone useful interactions with the sample. Theoretical transmission can be predicted if only a few variables are known: the material chemistry and penetrating thickness e.g. the particle diameter. This work discusses the calculations required to obtain transmission values for various Li(NiXMnYCoZ)O2 (NMC) lithium-ion battery cathodes. These calculations produce reference plots for quick assessment of beam parameters when designing an experiment. This is then extended to the theoretical material thicknesses for optimum image contrast. Finally, the theoretically predicted transmission is validated through comparison to experimentally determined values. These calculations are not exclusive to NMC, nor battery materials, but may be applied as a framework to calculate various sample transmissions and therefore may aid in the design and characterisation of numerous materials.","author":[{"dropping-particle":"","family":"Heenan","given":"T. M.M.","non-dropping-particle":"","parse-names":false,"suffix":""},{"dropping-particle":"","family":"Tan","given":"C.","non-dropping-particle":"","parse-names":false,"suffix":""},{"dropping-particle":"","family":"Wade","given":"A. J.","non-dropping-particle":"","parse-names":false,"suffix":""},{"dropping-particle":"","family":"Jervis","given":"R.","non-dropping-particle":"","parse-names":false,"suffix":""},{"dropping-particle":"","family":"Brett","given":"D. J.L.","non-dropping-particle":"","parse-names":false,"suffix":""},{"dropping-particle":"","family":"Shearing","given":"P. R.","non-dropping-particle":"","parse-names":false,"suffix":""}],"container-title":"Materials and Design","id":"ITEM-4","issued":{"date-parts":[["2020"]]},"page":"108585","publisher":"Elsevier Ltd","title":"Theoretical transmissions for X-ray computed tomography studies of lithium-ion battery cathodes","type":"article-journal","volume":"191"},"uris":["http://www.mendeley.com/documents/?uuid=46e59c77-c7ec-401c-a898-41e030c4ad9f"]}],"mendeley":{"formattedCitation":"[364], [497]–[499]","plainTextFormattedCitation":"[364], [497]–[499]","previouslyFormattedCitation":"[364], [497]–[499]"},"properties":{"noteIndex":0},"schema":"https://github.com/citation-style-language/schema/raw/master/csl-citation.json"}</w:instrText>
      </w:r>
      <w:r>
        <w:fldChar w:fldCharType="separate"/>
      </w:r>
      <w:r w:rsidR="008446C6" w:rsidRPr="008446C6">
        <w:rPr>
          <w:noProof/>
        </w:rPr>
        <w:t>[364], [497]–[499]</w:t>
      </w:r>
      <w:r>
        <w:fldChar w:fldCharType="end"/>
      </w:r>
      <w:r>
        <w:t>. The element incident energy is denoted by E</w:t>
      </w:r>
      <w:r>
        <w:rPr>
          <w:vertAlign w:val="subscript"/>
        </w:rPr>
        <w:t xml:space="preserve">0 </w:t>
      </w:r>
      <w:r>
        <w:fldChar w:fldCharType="begin" w:fldLock="1"/>
      </w:r>
      <w:r w:rsidR="00EC62EF">
        <w:instrText>ADDIN CSL_CITATION {"citationItems":[{"id":"ITEM-1","itemData":{"DOI":"10.1002/andp.18521620505","ISSN":"15213889","author":[{"dropping-particle":"","family":"Beer","given":"","non-dropping-particle":"","parse-names":false,"suffix":""}],"container-title":"Annalen der Physik","id":"ITEM-1","issue":"5","issued":{"date-parts":[["1852"]]},"page":"78-88","title":"Bestimmung der Absorption des rothen Lichts in farbigen Flüssigkeiten","type":"article-journal","volume":"162"},"uris":["http://www.mendeley.com/documents/?uuid=7e2bba15-f7c8-4c86-96c5-512fe7f0faf3"]},{"id":"ITEM-2","itemData":{"ISBN":"9781279983102","author":[{"dropping-particle":"","family":"Klett","given":"","non-dropping-particle":"","parse-names":false,"suffix":""},{"dropping-particle":"","family":"Witwe","given":"Eberhard","non-dropping-particle":"","parse-names":false,"suffix":""},{"dropping-particle":"","family":"Detleffsen","given":"","non-dropping-particle":"","parse-names":false,"suffix":""},{"dropping-particle":"","family":"Peter","given":"Christoph","non-dropping-particle":"","parse-names":false,"suffix":""},{"dropping-particle":"","family":"others","given":"","non-dropping-particle":"","parse-names":false,"suffix":""}],"id":"ITEM-2","issued":{"date-parts":[["1760"]]},"number-of-pages":"174","title":"IH Lambert... Photometria sive de mensura et gradibus luminis, colorum et umbrae","type":"book"},"uris":["http://www.mendeley.com/documents/?uuid=71572984-a275-46fd-98fa-6a159c42276f"]},{"id":"ITEM-3","itemData":{"DOI":"10.1038/111320b0","ISSN":"0028-0836","abstract":"Vermutlich interessantes Werk, da Pierre Bouguer (1698-1758) ein französischer Astronom, Geodät und Physiker war. Er wurde international als Teilnehmer der Peru-Expedition bekannt, welche die Pariser Akademie zur genauen Bestimmung der Erdfigur durchführte. Bereits auf der zweiten Seite der Einleitung ist im Zusammenhang mit Newton auch von Farbe die Rede, außerdem auf S. 37. Bezugnahme u.a. auf Descartes.","author":[{"dropping-particle":"","family":"Bouguer","given":"Pierre","non-dropping-particle":"","parse-names":false,"suffix":""}],"container-title":"Nature","id":"ITEM-3","issue":"2784","issued":{"date-parts":[["1923"]]},"page":"320-320","title":"Essai d'optique sur la gradation de la lumière","type":"article-journal","volume":"111"},"uris":["http://www.mendeley.com/documents/?uuid=f8941bd5-ab51-489a-bb0e-99e42aa81238"]},{"id":"ITEM-4","itemData":{"DOI":"10.1016/j.matdes.2020.108585","ISSN":"18734197","abstract":"X-ray computed tomography (CT) has emerged as a powerful tool for the 3D characterisation of materials. However, in order to obtain a useful tomogram, sufficient image quality should be achieved in the radiographs before reconstruction into a 3D dataset. The ratio of signal- and contrast-to-noise (SNR and CNR, respectively) quantify the image quality and are largely determined by the transmission and detection of photons that have undergone useful interactions with the sample. Theoretical transmission can be predicted if only a few variables are known: the material chemistry and penetrating thickness e.g. the particle diameter. This work discusses the calculations required to obtain transmission values for various Li(NiXMnYCoZ)O2 (NMC) lithium-ion battery cathodes. These calculations produce reference plots for quick assessment of beam parameters when designing an experiment. This is then extended to the theoretical material thicknesses for optimum image contrast. Finally, the theoretically predicted transmission is validated through comparison to experimentally determined values. These calculations are not exclusive to NMC, nor battery materials, but may be applied as a framework to calculate various sample transmissions and therefore may aid in the design and characterisation of numerous materials.","author":[{"dropping-particle":"","family":"Heenan","given":"T. M.M.","non-dropping-particle":"","parse-names":false,"suffix":""},{"dropping-particle":"","family":"Tan","given":"C.","non-dropping-particle":"","parse-names":false,"suffix":""},{"dropping-particle":"","family":"Wade","given":"A. J.","non-dropping-particle":"","parse-names":false,"suffix":""},{"dropping-particle":"","family":"Jervis","given":"R.","non-dropping-particle":"","parse-names":false,"suffix":""},{"dropping-particle":"","family":"Brett","given":"D. J.L.","non-dropping-particle":"","parse-names":false,"suffix":""},{"dropping-particle":"","family":"Shearing","given":"P. R.","non-dropping-particle":"","parse-names":false,"suffix":""}],"container-title":"Materials and Design","id":"ITEM-4","issued":{"date-parts":[["2020"]]},"page":"108585","publisher":"Elsevier Ltd","title":"Theoretical transmissions for X-ray computed tomography studies of lithium-ion battery cathodes","type":"article-journal","volume":"191"},"uris":["http://www.mendeley.com/documents/?uuid=46e59c77-c7ec-401c-a898-41e030c4ad9f"]}],"mendeley":{"formattedCitation":"[364], [497]–[499]","plainTextFormattedCitation":"[364], [497]–[499]","previouslyFormattedCitation":"[364], [497]–[499]"},"properties":{"noteIndex":0},"schema":"https://github.com/citation-style-language/schema/raw/master/csl-citation.json"}</w:instrText>
      </w:r>
      <w:r>
        <w:fldChar w:fldCharType="separate"/>
      </w:r>
      <w:r w:rsidR="008446C6" w:rsidRPr="008446C6">
        <w:rPr>
          <w:noProof/>
        </w:rPr>
        <w:t>[364], [497]–[499]</w:t>
      </w:r>
      <w:r>
        <w:fldChar w:fldCharType="end"/>
      </w:r>
      <w:r>
        <w:rPr>
          <w:vertAlign w:val="subscript"/>
        </w:rPr>
        <w:t>.</w:t>
      </w:r>
    </w:p>
    <w:p w14:paraId="6B9F623C" w14:textId="77777777" w:rsidR="00007F6C" w:rsidRDefault="00B51F53" w:rsidP="00007F6C">
      <w:pPr>
        <w:pStyle w:val="ListParagraph"/>
        <w:keepNext/>
        <w:jc w:val="both"/>
      </w:pPr>
      <m:oMathPara>
        <m:oMath>
          <m:sSub>
            <m:sSubPr>
              <m:ctrlPr>
                <w:rPr>
                  <w:rFonts w:ascii="Cambria Math" w:hAnsi="Cambria Math"/>
                  <w:i/>
                </w:rPr>
              </m:ctrlPr>
            </m:sSubPr>
            <m:e>
              <m:r>
                <m:rPr>
                  <m:sty m:val="p"/>
                </m:rPr>
                <w:rPr>
                  <w:rFonts w:ascii="Cambria Math" w:hAnsi="Cambria Math"/>
                </w:rPr>
                <m:t>I</m:t>
              </m:r>
            </m:e>
            <m:sub>
              <m:r>
                <m:rPr>
                  <m:sty m:val="p"/>
                </m:rPr>
                <w:rPr>
                  <w:rFonts w:ascii="Cambria Math" w:hAnsi="Cambria Math"/>
                </w:rPr>
                <m:t>t</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I</m:t>
              </m:r>
            </m:e>
            <m:sub>
              <m:r>
                <m:rPr>
                  <m:sty m:val="p"/>
                </m:rPr>
                <w:rPr>
                  <w:rFonts w:ascii="Cambria Math" w:hAnsi="Cambria Math"/>
                </w:rPr>
                <m:t>0</m:t>
              </m:r>
            </m:sub>
          </m:sSub>
          <m:sSup>
            <m:sSupPr>
              <m:ctrlPr>
                <w:rPr>
                  <w:rFonts w:ascii="Cambria Math" w:hAnsi="Cambria Math"/>
                  <w:i/>
                </w:rPr>
              </m:ctrlPr>
            </m:sSupPr>
            <m:e>
              <m:r>
                <m:rPr>
                  <m:sty m:val="p"/>
                </m:rPr>
                <w:rPr>
                  <w:rFonts w:ascii="Cambria Math" w:hAnsi="Cambria Math"/>
                </w:rPr>
                <m:t>e</m:t>
              </m:r>
            </m:e>
            <m:sup>
              <m:r>
                <m:rPr>
                  <m:sty m:val="p"/>
                </m:rPr>
                <w:rPr>
                  <w:rFonts w:ascii="Cambria Math" w:hAnsi="Cambria Math"/>
                </w:rPr>
                <m:t>-μ</m:t>
              </m:r>
              <m:sSub>
                <m:sSubPr>
                  <m:ctrlPr>
                    <w:rPr>
                      <w:rFonts w:ascii="Cambria Math" w:hAnsi="Cambria Math"/>
                      <w:i/>
                    </w:rPr>
                  </m:ctrlPr>
                </m:sSubPr>
                <m:e>
                  <m:r>
                    <m:rPr>
                      <m:sty m:val="p"/>
                    </m:rPr>
                    <w:rPr>
                      <w:rFonts w:ascii="Cambria Math" w:hAnsi="Cambria Math"/>
                    </w:rPr>
                    <m:t>(E</m:t>
                  </m:r>
                </m:e>
                <m:sub>
                  <m:r>
                    <m:rPr>
                      <m:sty m:val="p"/>
                    </m:rPr>
                    <w:rPr>
                      <w:rFonts w:ascii="Cambria Math" w:hAnsi="Cambria Math"/>
                    </w:rPr>
                    <m:t>0</m:t>
                  </m:r>
                </m:sub>
              </m:sSub>
              <m:r>
                <m:rPr>
                  <m:sty m:val="p"/>
                </m:rPr>
                <w:rPr>
                  <w:rFonts w:ascii="Cambria Math" w:hAnsi="Cambria Math"/>
                </w:rPr>
                <m:t>)t</m:t>
              </m:r>
            </m:sup>
          </m:sSup>
        </m:oMath>
      </m:oMathPara>
    </w:p>
    <w:p w14:paraId="5C8898D2" w14:textId="2871815F" w:rsidR="00007F6C" w:rsidRPr="00FA4E74" w:rsidRDefault="00007F6C" w:rsidP="00007F6C">
      <w:pPr>
        <w:pStyle w:val="Caption"/>
        <w:jc w:val="right"/>
        <w:rPr>
          <w:i w:val="0"/>
          <w:iCs w:val="0"/>
          <w:color w:val="auto"/>
          <w:sz w:val="22"/>
          <w:szCs w:val="22"/>
        </w:rPr>
      </w:pPr>
      <w:bookmarkStart w:id="584" w:name="_Ref48901372"/>
      <w:r w:rsidRPr="00FA4E74">
        <w:rPr>
          <w:i w:val="0"/>
          <w:iCs w:val="0"/>
          <w:color w:val="auto"/>
          <w:sz w:val="22"/>
          <w:szCs w:val="22"/>
        </w:rPr>
        <w:t>Equation 6.</w:t>
      </w:r>
      <w:r w:rsidRPr="00FA4E74">
        <w:rPr>
          <w:i w:val="0"/>
          <w:iCs w:val="0"/>
          <w:color w:val="auto"/>
          <w:sz w:val="22"/>
          <w:szCs w:val="22"/>
        </w:rPr>
        <w:fldChar w:fldCharType="begin"/>
      </w:r>
      <w:r w:rsidRPr="00FA4E74">
        <w:rPr>
          <w:i w:val="0"/>
          <w:iCs w:val="0"/>
          <w:color w:val="auto"/>
          <w:sz w:val="22"/>
          <w:szCs w:val="22"/>
        </w:rPr>
        <w:instrText xml:space="preserve"> SEQ Equation \* ARABIC </w:instrText>
      </w:r>
      <w:r w:rsidRPr="00FA4E74">
        <w:rPr>
          <w:i w:val="0"/>
          <w:iCs w:val="0"/>
          <w:color w:val="auto"/>
          <w:sz w:val="22"/>
          <w:szCs w:val="22"/>
        </w:rPr>
        <w:fldChar w:fldCharType="separate"/>
      </w:r>
      <w:r w:rsidR="00315BF8">
        <w:rPr>
          <w:i w:val="0"/>
          <w:iCs w:val="0"/>
          <w:noProof/>
          <w:color w:val="auto"/>
          <w:sz w:val="22"/>
          <w:szCs w:val="22"/>
        </w:rPr>
        <w:t>2</w:t>
      </w:r>
      <w:r w:rsidRPr="00FA4E74">
        <w:rPr>
          <w:i w:val="0"/>
          <w:iCs w:val="0"/>
          <w:noProof/>
          <w:color w:val="auto"/>
          <w:sz w:val="22"/>
          <w:szCs w:val="22"/>
        </w:rPr>
        <w:fldChar w:fldCharType="end"/>
      </w:r>
      <w:bookmarkEnd w:id="584"/>
    </w:p>
    <w:p w14:paraId="7F5BA865" w14:textId="1B8E60CC" w:rsidR="00007F6C" w:rsidRPr="00A535EE" w:rsidRDefault="00007F6C" w:rsidP="00007F6C">
      <w:pPr>
        <w:jc w:val="both"/>
      </w:pPr>
      <w:r w:rsidRPr="00A535EE">
        <w:t xml:space="preserve">In this study the composition via weight percent for the of the anode materials were used to calculate the mass attenuation coefficients </w:t>
      </w:r>
      <w:r w:rsidRPr="00A535EE">
        <w:rPr>
          <w:rFonts w:cstheme="minorHAnsi"/>
        </w:rPr>
        <w:t>µ</w:t>
      </w:r>
      <w:r w:rsidRPr="00A535EE">
        <w:rPr>
          <w:rFonts w:cstheme="minorHAnsi"/>
          <w:vertAlign w:val="subscript"/>
        </w:rPr>
        <w:t>m</w:t>
      </w:r>
      <w:r w:rsidRPr="00A535EE">
        <w:t xml:space="preserve"> for each of the elements in the anode(x= Ni, Y, Zr and O)</w:t>
      </w:r>
      <w:r>
        <w:t xml:space="preserve"> </w:t>
      </w:r>
      <w:r w:rsidRPr="00A535EE">
        <w:fldChar w:fldCharType="begin" w:fldLock="1"/>
      </w:r>
      <w:r w:rsidR="00EC62EF">
        <w:instrText>ADDIN CSL_CITATION {"citationItems":[{"id":"ITEM-1","itemData":{"DOI":"10.18434/t4d01f","abstract":"Tables and graphs of the photon mass attenuation coefficient μ/ρ and the mass energy-absorption coefficient μen/ρ are presented for all of the elements Z = 1 to 92, and for 48 compounds and mixtures of radiological interest. The tables cover energies of the photon (x-ray, gamma ray, bremsstrahlung) from 1 keV to 20 MeV. The μ/ρ values are taken from the current photon interaction database at the National Institute of Standards and Technology, and the μen/ρ values are based on the new calculations by Seltzer described in Radiation Research 136, 147 (1993). These tables of μ/ρ and μen/ρ replace and extend the tables given by Hubbell in the International Journal of Applied Radiation and Isotopes 33, 1269 (1982).","author":[{"dropping-particle":"","family":"Seltzer","given":"Stephen","non-dropping-particle":"","parse-names":false,"suffix":""}],"container-title":"NIST Standard Reference Database 126","id":"ITEM-1","issued":{"date-parts":[["1996"]]},"title":"Tables of X-Ray Mass Attenuation Coefficients and Mass Energy-Absorption Coefficients, NIST Standard Reference Database 126","type":"article-journal"},"uris":["http://www.mendeley.com/documents/?uuid=9c035abc-9431-4234-b17f-af36642ee992"]},{"id":"ITEM-2","itemData":{"DOI":"10.1088/1742-6596/849/1/012017","abstract":"Abstract. X-ray nano CT has been vastly applied to study the microstructure of solid oxide\r\nfuel cell (SOFC) electrodes. One widely accepted indicator of electrochemical performance is\r\nthe triple phase boundary (TPB): a location where the three materials responsible for ionic,\r\nelectronic and gas-phase reactant transport are in contact. X-ray absorption tomography has\r\nbeen used extensively in the characterisation of these TPBs, utilising the different attenuation\r\nproperties of the constituent materials. Here we present a quantitative comparison of the\r\nattenuation properties for elements commonly employed in solid oxide fuel cell materials. ","author":[{"dropping-particle":"","family":"Heenan","given":"T.M.M.","non-dropping-particle":"","parse-names":false,"suffix":""},{"dropping-particle":"","family":"Brett","given":"D.J.L","non-dropping-particle":"","parse-names":false,"suffix":""},{"dropping-particle":"","family":"Shearing","given":"P.R.","non-dropping-particle":"","parse-names":false,"suffix":""}],"container-title":"Journal of Physics: Conference Series","id":"ITEM-2","issued":{"date-parts":[["2017"]]},"title":"X-ray attenuation properties of commonly employed solid oxide fuel cell materials","type":"article-journal","volume":"849"},"uris":["http://www.mendeley.com/documents/?uuid=c28b36d9-4fcf-3cad-8d17-9699cc5bb785"]}],"mendeley":{"formattedCitation":"[365], [490]","plainTextFormattedCitation":"[365], [490]","previouslyFormattedCitation":"[365], [490]"},"properties":{"noteIndex":0},"schema":"https://github.com/citation-style-language/schema/raw/master/csl-citation.json"}</w:instrText>
      </w:r>
      <w:r w:rsidRPr="00A535EE">
        <w:fldChar w:fldCharType="separate"/>
      </w:r>
      <w:r w:rsidR="008446C6" w:rsidRPr="008446C6">
        <w:rPr>
          <w:noProof/>
        </w:rPr>
        <w:t>[365], [490]</w:t>
      </w:r>
      <w:r w:rsidRPr="00A535EE">
        <w:fldChar w:fldCharType="end"/>
      </w:r>
      <w:r w:rsidRPr="00A535EE">
        <w:t xml:space="preserve">. The contribution of each element was multiplied by their respective weight percent </w:t>
      </w:r>
      <w:proofErr w:type="spellStart"/>
      <w:r w:rsidRPr="00A535EE">
        <w:t>w</w:t>
      </w:r>
      <w:r w:rsidRPr="00A535EE">
        <w:rPr>
          <w:vertAlign w:val="subscript"/>
        </w:rPr>
        <w:t>i</w:t>
      </w:r>
      <w:proofErr w:type="spellEnd"/>
      <w:r w:rsidRPr="00A535EE">
        <w:t xml:space="preserve"> and added together by </w:t>
      </w:r>
      <w:r w:rsidRPr="00FA4E74">
        <w:t xml:space="preserve">Hubbell </w:t>
      </w:r>
      <w:r w:rsidRPr="00A535EE">
        <w:t>to generate the attenuation coefficient for a compound</w:t>
      </w:r>
      <w:r>
        <w:t xml:space="preserve"> </w:t>
      </w:r>
      <w:r w:rsidRPr="00A535EE">
        <w:fldChar w:fldCharType="begin" w:fldLock="1"/>
      </w:r>
      <w:r w:rsidR="00D80A5D">
        <w:instrText>ADDIN CSL_CITATION {"citationItems":[{"id":"ITEM-1","itemData":{"DOI":"10.18434/t4d01f","abstract":"Tables and graphs of the photon mass attenuation coefficient μ/ρ and the mass energy-absorption coefficient μen/ρ are presented for all of the elements Z = 1 to 92, and for 48 compounds and mixtures of radiological interest. The tables cover energies of the photon (x-ray, gamma ray, bremsstrahlung) from 1 keV to 20 MeV. The μ/ρ values are taken from the current photon interaction database at the National Institute of Standards and Technology, and the μen/ρ values are based on the new calculations by Seltzer described in Radiation Research 136, 147 (1993). These tables of μ/ρ and μen/ρ replace and extend the tables given by Hubbell in the International Journal of Applied Radiation and Isotopes 33, 1269 (1982).","author":[{"dropping-particle":"","family":"Seltzer","given":"Stephen","non-dropping-particle":"","parse-names":false,"suffix":""}],"container-title":"NIST Standard Reference Database 126","id":"ITEM-1","issued":{"date-parts":[["1996"]]},"title":"Tables of X-Ray Mass Attenuation Coefficients and Mass Energy-Absorption Coefficients, NIST Standard Reference Database 126","type":"article-journal"},"uris":["http://www.mendeley.com/documents/?uuid=9c035abc-9431-4234-b17f-af36642ee992"]}],"mendeley":{"formattedCitation":"[365]","plainTextFormattedCitation":"[365]","previouslyFormattedCitation":"[365]"},"properties":{"noteIndex":0},"schema":"https://github.com/citation-style-language/schema/raw/master/csl-citation.json"}</w:instrText>
      </w:r>
      <w:r w:rsidRPr="00A535EE">
        <w:fldChar w:fldCharType="separate"/>
      </w:r>
      <w:r w:rsidR="006C586A" w:rsidRPr="006C586A">
        <w:rPr>
          <w:noProof/>
        </w:rPr>
        <w:t>[365]</w:t>
      </w:r>
      <w:r w:rsidRPr="00A535EE">
        <w:fldChar w:fldCharType="end"/>
      </w:r>
      <w:r w:rsidRPr="00A535EE">
        <w:t xml:space="preserve">. </w:t>
      </w:r>
    </w:p>
    <w:p w14:paraId="7A583169" w14:textId="77777777" w:rsidR="00007F6C" w:rsidRPr="00A535EE" w:rsidRDefault="00B51F53" w:rsidP="00007F6C">
      <w:pPr>
        <w:keepNext/>
        <w:jc w:val="both"/>
      </w:pPr>
      <m:oMathPara>
        <m:oMath>
          <m:sSub>
            <m:sSubPr>
              <m:ctrlPr>
                <w:rPr>
                  <w:rFonts w:ascii="Cambria Math" w:hAnsi="Cambria Math" w:cstheme="minorHAnsi"/>
                </w:rPr>
              </m:ctrlPr>
            </m:sSubPr>
            <m:e>
              <m:r>
                <m:rPr>
                  <m:sty m:val="p"/>
                </m:rPr>
                <w:rPr>
                  <w:rFonts w:ascii="Cambria Math" w:hAnsi="Cambria Math" w:cstheme="minorHAnsi"/>
                </w:rPr>
                <m:t>µ</m:t>
              </m:r>
            </m:e>
            <m:sub>
              <m:r>
                <m:rPr>
                  <m:sty m:val="p"/>
                </m:rPr>
                <w:rPr>
                  <w:rFonts w:ascii="Cambria Math" w:hAnsi="Cambria Math" w:cstheme="minorHAnsi"/>
                </w:rPr>
                <m:t>m</m:t>
              </m:r>
            </m:sub>
          </m:sSub>
          <m:d>
            <m:dPr>
              <m:ctrlPr>
                <w:rPr>
                  <w:rFonts w:ascii="Cambria Math" w:hAnsi="Cambria Math"/>
                  <w:i/>
                </w:rPr>
              </m:ctrlPr>
            </m:dPr>
            <m:e>
              <m:sSub>
                <m:sSubPr>
                  <m:ctrlPr>
                    <w:rPr>
                      <w:rFonts w:ascii="Cambria Math" w:hAnsi="Cambria Math"/>
                      <w:i/>
                    </w:rPr>
                  </m:ctrlPr>
                </m:sSubPr>
                <m:e>
                  <m:r>
                    <m:rPr>
                      <m:sty m:val="p"/>
                    </m:rPr>
                    <w:rPr>
                      <w:rFonts w:ascii="Cambria Math" w:hAnsi="Cambria Math"/>
                    </w:rPr>
                    <m:t>E</m:t>
                  </m:r>
                </m:e>
                <m:sub>
                  <m:r>
                    <m:rPr>
                      <m:sty m:val="p"/>
                    </m:rPr>
                    <w:rPr>
                      <w:rFonts w:ascii="Cambria Math" w:hAnsi="Cambria Math"/>
                    </w:rPr>
                    <m:t>0</m:t>
                  </m:r>
                </m:sub>
              </m:sSub>
            </m:e>
          </m:d>
          <m:r>
            <m:rPr>
              <m:sty m:val="p"/>
            </m:rPr>
            <w:rPr>
              <w:rFonts w:ascii="Cambria Math" w:hAnsi="Cambria Math"/>
            </w:rPr>
            <m:t>=</m:t>
          </m:r>
          <m:nary>
            <m:naryPr>
              <m:chr m:val="∑"/>
              <m:limLoc m:val="undOvr"/>
              <m:supHide m:val="1"/>
              <m:ctrlPr>
                <w:rPr>
                  <w:rFonts w:ascii="Cambria Math" w:hAnsi="Cambria Math"/>
                  <w:i/>
                </w:rPr>
              </m:ctrlPr>
            </m:naryPr>
            <m:sub>
              <m:r>
                <m:rPr>
                  <m:sty m:val="p"/>
                </m:rPr>
                <w:rPr>
                  <w:rFonts w:ascii="Cambria Math" w:hAnsi="Cambria Math"/>
                </w:rPr>
                <m:t>i</m:t>
              </m:r>
            </m:sub>
            <m:sup/>
            <m:e>
              <m:d>
                <m:dPr>
                  <m:begChr m:val="["/>
                  <m:endChr m:val="]"/>
                  <m:ctrlPr>
                    <w:rPr>
                      <w:rFonts w:ascii="Cambria Math" w:hAnsi="Cambria Math"/>
                      <w:i/>
                    </w:rPr>
                  </m:ctrlPr>
                </m:dPr>
                <m:e>
                  <m:sSub>
                    <m:sSubPr>
                      <m:ctrlPr>
                        <w:rPr>
                          <w:rFonts w:ascii="Cambria Math" w:hAnsi="Cambria Math"/>
                          <w:i/>
                        </w:rPr>
                      </m:ctrlPr>
                    </m:sSubPr>
                    <m:e>
                      <m:r>
                        <m:rPr>
                          <m:sty m:val="p"/>
                        </m:rPr>
                        <w:rPr>
                          <w:rFonts w:ascii="Cambria Math" w:hAnsi="Cambria Math"/>
                        </w:rPr>
                        <m:t>w</m:t>
                      </m:r>
                    </m:e>
                    <m:sub>
                      <m:r>
                        <m:rPr>
                          <m:sty m:val="p"/>
                        </m:rPr>
                        <w:rPr>
                          <w:rFonts w:ascii="Cambria Math" w:hAnsi="Cambria Math"/>
                        </w:rPr>
                        <m:t>i</m:t>
                      </m:r>
                    </m:sub>
                  </m:sSub>
                  <m:r>
                    <m:rPr>
                      <m:sty m:val="p"/>
                    </m:rPr>
                    <w:rPr>
                      <w:rFonts w:ascii="Cambria Math" w:hAnsi="Cambria Math"/>
                    </w:rPr>
                    <m:t>∙</m:t>
                  </m:r>
                  <m:sSub>
                    <m:sSubPr>
                      <m:ctrlPr>
                        <w:rPr>
                          <w:rFonts w:ascii="Cambria Math" w:hAnsi="Cambria Math" w:cstheme="minorHAnsi"/>
                        </w:rPr>
                      </m:ctrlPr>
                    </m:sSubPr>
                    <m:e>
                      <m:r>
                        <m:rPr>
                          <m:sty m:val="p"/>
                        </m:rPr>
                        <w:rPr>
                          <w:rFonts w:ascii="Cambria Math" w:hAnsi="Cambria Math" w:cstheme="minorHAnsi"/>
                        </w:rPr>
                        <m:t>µ</m:t>
                      </m:r>
                    </m:e>
                    <m:sub>
                      <m:r>
                        <m:rPr>
                          <m:sty m:val="p"/>
                        </m:rPr>
                        <w:rPr>
                          <w:rFonts w:ascii="Cambria Math" w:hAnsi="Cambria Math" w:cstheme="minorHAnsi"/>
                        </w:rPr>
                        <m:t>m</m:t>
                      </m:r>
                    </m:sub>
                  </m:sSub>
                  <m:d>
                    <m:dPr>
                      <m:ctrlPr>
                        <w:rPr>
                          <w:rFonts w:ascii="Cambria Math" w:hAnsi="Cambria Math"/>
                          <w:i/>
                        </w:rPr>
                      </m:ctrlPr>
                    </m:dPr>
                    <m:e>
                      <m:r>
                        <m:rPr>
                          <m:sty m:val="p"/>
                        </m:rPr>
                        <w:rPr>
                          <w:rFonts w:ascii="Cambria Math" w:hAnsi="Cambria Math"/>
                        </w:rPr>
                        <m:t>i,</m:t>
                      </m:r>
                      <m:sSub>
                        <m:sSubPr>
                          <m:ctrlPr>
                            <w:rPr>
                              <w:rFonts w:ascii="Cambria Math" w:hAnsi="Cambria Math"/>
                              <w:i/>
                            </w:rPr>
                          </m:ctrlPr>
                        </m:sSubPr>
                        <m:e>
                          <m:r>
                            <m:rPr>
                              <m:sty m:val="p"/>
                            </m:rPr>
                            <w:rPr>
                              <w:rFonts w:ascii="Cambria Math" w:hAnsi="Cambria Math"/>
                            </w:rPr>
                            <m:t>E</m:t>
                          </m:r>
                        </m:e>
                        <m:sub>
                          <m:r>
                            <m:rPr>
                              <m:sty m:val="p"/>
                            </m:rPr>
                            <w:rPr>
                              <w:rFonts w:ascii="Cambria Math" w:hAnsi="Cambria Math"/>
                            </w:rPr>
                            <m:t>0</m:t>
                          </m:r>
                        </m:sub>
                      </m:sSub>
                    </m:e>
                  </m:d>
                </m:e>
              </m:d>
            </m:e>
          </m:nary>
        </m:oMath>
      </m:oMathPara>
    </w:p>
    <w:p w14:paraId="246C79C4" w14:textId="3FE31A09" w:rsidR="00007F6C" w:rsidRPr="00A535EE" w:rsidRDefault="00007F6C" w:rsidP="00007F6C">
      <w:pPr>
        <w:jc w:val="right"/>
      </w:pPr>
      <w:r w:rsidRPr="00A535EE">
        <w:t xml:space="preserve">Equation </w:t>
      </w:r>
      <w:r>
        <w:t>6.</w:t>
      </w:r>
      <w:r w:rsidR="00B51F53">
        <w:fldChar w:fldCharType="begin"/>
      </w:r>
      <w:r w:rsidR="00B51F53">
        <w:instrText xml:space="preserve"> SEQ Equation \* ARABIC </w:instrText>
      </w:r>
      <w:r w:rsidR="00B51F53">
        <w:fldChar w:fldCharType="separate"/>
      </w:r>
      <w:r w:rsidR="00315BF8">
        <w:rPr>
          <w:noProof/>
        </w:rPr>
        <w:t>3</w:t>
      </w:r>
      <w:r w:rsidR="00B51F53">
        <w:rPr>
          <w:noProof/>
        </w:rPr>
        <w:fldChar w:fldCharType="end"/>
      </w:r>
    </w:p>
    <w:p w14:paraId="708807FA" w14:textId="50F7F396" w:rsidR="00007F6C" w:rsidRPr="00A535EE" w:rsidRDefault="00007F6C" w:rsidP="00007F6C">
      <w:pPr>
        <w:jc w:val="both"/>
      </w:pPr>
      <w:r w:rsidRPr="00A535EE">
        <w:t xml:space="preserve">In the case of PXCT, a linear attenuation coefficient is required to calculate the transmission of the X-ray photons through the sample thickness. The coefficient is a product of the total mass attenuation coefficient </w:t>
      </w:r>
      <m:oMath>
        <m:sSub>
          <m:sSubPr>
            <m:ctrlPr>
              <w:rPr>
                <w:rFonts w:ascii="Cambria Math" w:hAnsi="Cambria Math" w:cstheme="minorHAnsi"/>
              </w:rPr>
            </m:ctrlPr>
          </m:sSubPr>
          <m:e>
            <m:r>
              <m:rPr>
                <m:sty m:val="p"/>
              </m:rPr>
              <w:rPr>
                <w:rFonts w:ascii="Cambria Math" w:hAnsi="Cambria Math" w:cstheme="minorHAnsi"/>
              </w:rPr>
              <m:t>µ</m:t>
            </m:r>
          </m:e>
          <m:sub>
            <m:r>
              <m:rPr>
                <m:sty m:val="p"/>
              </m:rPr>
              <w:rPr>
                <w:rFonts w:ascii="Cambria Math" w:hAnsi="Cambria Math" w:cstheme="minorHAnsi"/>
              </w:rPr>
              <m:t>m</m:t>
            </m:r>
          </m:sub>
        </m:sSub>
        <m:d>
          <m:dPr>
            <m:ctrlPr>
              <w:rPr>
                <w:rFonts w:ascii="Cambria Math" w:hAnsi="Cambria Math"/>
                <w:i/>
              </w:rPr>
            </m:ctrlPr>
          </m:dPr>
          <m:e>
            <m:sSub>
              <m:sSubPr>
                <m:ctrlPr>
                  <w:rPr>
                    <w:rFonts w:ascii="Cambria Math" w:hAnsi="Cambria Math"/>
                    <w:i/>
                  </w:rPr>
                </m:ctrlPr>
              </m:sSubPr>
              <m:e>
                <m:r>
                  <m:rPr>
                    <m:sty m:val="p"/>
                  </m:rPr>
                  <w:rPr>
                    <w:rFonts w:ascii="Cambria Math" w:hAnsi="Cambria Math"/>
                  </w:rPr>
                  <m:t>E</m:t>
                </m:r>
              </m:e>
              <m:sub>
                <m:r>
                  <m:rPr>
                    <m:sty m:val="p"/>
                  </m:rPr>
                  <w:rPr>
                    <w:rFonts w:ascii="Cambria Math" w:hAnsi="Cambria Math"/>
                  </w:rPr>
                  <m:t>0</m:t>
                </m:r>
              </m:sub>
            </m:sSub>
          </m:e>
        </m:d>
      </m:oMath>
      <w:r w:rsidRPr="00A535EE">
        <w:t xml:space="preserve">, and the crystallographic density of the specimen </w:t>
      </w:r>
      <w:proofErr w:type="spellStart"/>
      <w:r w:rsidRPr="00A535EE">
        <w:rPr>
          <w:rFonts w:cstheme="minorHAnsi"/>
        </w:rPr>
        <w:t>ρ</w:t>
      </w:r>
      <w:r w:rsidRPr="00A535EE">
        <w:rPr>
          <w:vertAlign w:val="subscript"/>
        </w:rPr>
        <w:t>i</w:t>
      </w:r>
      <w:proofErr w:type="spellEnd"/>
      <w:r w:rsidRPr="00A535EE">
        <w:t xml:space="preserve">. The X-ray attenuation length </w:t>
      </w:r>
      <m:oMath>
        <m:r>
          <m:rPr>
            <m:sty m:val="p"/>
          </m:rPr>
          <w:rPr>
            <w:rFonts w:ascii="Cambria Math" w:hAnsi="Cambria Math" w:cstheme="minorHAnsi"/>
          </w:rPr>
          <m:t>µ</m:t>
        </m:r>
        <m:d>
          <m:dPr>
            <m:ctrlPr>
              <w:rPr>
                <w:rFonts w:ascii="Cambria Math" w:hAnsi="Cambria Math"/>
                <w:i/>
              </w:rPr>
            </m:ctrlPr>
          </m:dPr>
          <m:e>
            <m:sSub>
              <m:sSubPr>
                <m:ctrlPr>
                  <w:rPr>
                    <w:rFonts w:ascii="Cambria Math" w:hAnsi="Cambria Math"/>
                    <w:i/>
                  </w:rPr>
                </m:ctrlPr>
              </m:sSubPr>
              <m:e>
                <m:r>
                  <m:rPr>
                    <m:sty m:val="p"/>
                  </m:rPr>
                  <w:rPr>
                    <w:rFonts w:ascii="Cambria Math" w:hAnsi="Cambria Math"/>
                  </w:rPr>
                  <m:t>E</m:t>
                </m:r>
              </m:e>
              <m:sub>
                <m:r>
                  <m:rPr>
                    <m:sty m:val="p"/>
                  </m:rPr>
                  <w:rPr>
                    <w:rFonts w:ascii="Cambria Math" w:hAnsi="Cambria Math"/>
                  </w:rPr>
                  <m:t>0</m:t>
                </m:r>
              </m:sub>
            </m:sSub>
          </m:e>
        </m:d>
        <m:r>
          <m:rPr>
            <m:sty m:val="p"/>
          </m:rPr>
          <w:rPr>
            <w:rFonts w:ascii="Cambria Math" w:hAnsi="Cambria Math"/>
          </w:rPr>
          <m:t>,</m:t>
        </m:r>
      </m:oMath>
      <w:r w:rsidRPr="00A535EE">
        <w:t xml:space="preserve"> is inversely proportional linear attenuation coefficient</w:t>
      </w:r>
      <w:r>
        <w:t xml:space="preserve"> </w:t>
      </w:r>
      <w:r w:rsidRPr="00A535EE">
        <w:fldChar w:fldCharType="begin" w:fldLock="1"/>
      </w:r>
      <w:r w:rsidR="00D80A5D">
        <w:instrText>ADDIN CSL_CITATION {"citationItems":[{"id":"ITEM-1","itemData":{"DOI":"10.1006/adnd.1993.1013","ISSN":"0092640X","abstract":"The primary interactions of low-energy x-rays within condensed matter, viz. photoabsorption and coherent scattering, have been described for photon energies outside the absorption threshold regions by using atomic scattering factors. The atomic scattering factors may be accurately determined from the atomic photoabsorption cross sections using modified Kramers-Kronig dispersion relations. From a synthesis of the currently available experimental data and recent theoretical calculations for photoabsorption, the angle-independent, forward-scattering components of the atomic scattering factors have been thus semiempirically determined and tabulated here for 92 elements and for the region 50-30, 000 eV. Atomic scattering factors for all angles of coherent scattering and at the higher photon energies are obtained from these tabulated forward-scattering values by adding a simple angle-dependent form-factor correction. The incoherent scattering contributions that become significant for the light elements at the higher photon energies are similarly determined. The basic x-ray interaction relations that are used in applied x-ray physics are presented here in terms of the atomic scattering factors. The bulk optical constants are also related to the atomic scattering factors. These atomic and optical relations are applied to the detailed calculation of the reflectivity characteristics of a series of practical x-ray mirror, multilayer, and crystal monochromators. Comparisons of the results of this semiempirical, \"atomic-like\" description of x-ray interactions for the low-energy region with those of experiment and ab initio theory are presented. © 1993 Academic Press. All rights reserved.","author":[{"dropping-particle":"","family":"Henke","given":"B. L.","non-dropping-particle":"","parse-names":false,"suffix":""},{"dropping-particle":"","family":"Gullikson","given":"E. M.","non-dropping-particle":"","parse-names":false,"suffix":""},{"dropping-particle":"","family":"Davis","given":"J. C.","non-dropping-particle":"","parse-names":false,"suffix":""}],"container-title":"Atomic Data and Nuclear Data Tables","id":"ITEM-1","issue":"2","issued":{"date-parts":[["1993"]]},"page":"181-342","title":"X-ray interactions: Photoabsorption, scattering, transmission, and reflection at E = 50-30, 000 eV, Z = 1-92","type":"article","volume":"54"},"uris":["http://www.mendeley.com/documents/?uuid=c9e38a82-bcee-4f05-a163-b91831acb567"]}],"mendeley":{"formattedCitation":"[363]","plainTextFormattedCitation":"[363]","previouslyFormattedCitation":"[363]"},"properties":{"noteIndex":0},"schema":"https://github.com/citation-style-language/schema/raw/master/csl-citation.json"}</w:instrText>
      </w:r>
      <w:r w:rsidRPr="00A535EE">
        <w:fldChar w:fldCharType="separate"/>
      </w:r>
      <w:r w:rsidR="006C586A" w:rsidRPr="006C586A">
        <w:rPr>
          <w:noProof/>
        </w:rPr>
        <w:t>[363]</w:t>
      </w:r>
      <w:r w:rsidRPr="00A535EE">
        <w:fldChar w:fldCharType="end"/>
      </w:r>
      <w:r w:rsidRPr="00A535EE">
        <w:t>.</w:t>
      </w:r>
    </w:p>
    <w:p w14:paraId="2DA6EF5E" w14:textId="77777777" w:rsidR="00007F6C" w:rsidRPr="00A535EE" w:rsidRDefault="00007F6C" w:rsidP="00007F6C">
      <w:pPr>
        <w:keepNext/>
        <w:jc w:val="both"/>
      </w:pPr>
      <m:oMathPara>
        <m:oMath>
          <m:r>
            <m:rPr>
              <m:sty m:val="p"/>
            </m:rPr>
            <w:rPr>
              <w:rFonts w:ascii="Cambria Math" w:hAnsi="Cambria Math" w:cstheme="minorHAnsi"/>
            </w:rPr>
            <m:t>µ</m:t>
          </m:r>
          <m:d>
            <m:dPr>
              <m:ctrlPr>
                <w:rPr>
                  <w:rFonts w:ascii="Cambria Math" w:hAnsi="Cambria Math"/>
                  <w:i/>
                </w:rPr>
              </m:ctrlPr>
            </m:dPr>
            <m:e>
              <m:sSub>
                <m:sSubPr>
                  <m:ctrlPr>
                    <w:rPr>
                      <w:rFonts w:ascii="Cambria Math" w:hAnsi="Cambria Math"/>
                      <w:i/>
                    </w:rPr>
                  </m:ctrlPr>
                </m:sSubPr>
                <m:e>
                  <m:r>
                    <m:rPr>
                      <m:sty m:val="p"/>
                    </m:rPr>
                    <w:rPr>
                      <w:rFonts w:ascii="Cambria Math" w:hAnsi="Cambria Math"/>
                    </w:rPr>
                    <m:t>E</m:t>
                  </m:r>
                </m:e>
                <m:sub>
                  <m:r>
                    <m:rPr>
                      <m:sty m:val="p"/>
                    </m:rPr>
                    <w:rPr>
                      <w:rFonts w:ascii="Cambria Math" w:hAnsi="Cambria Math"/>
                    </w:rPr>
                    <m:t>0</m:t>
                  </m:r>
                </m:sub>
              </m:sSub>
            </m:e>
          </m:d>
          <m:r>
            <m:rPr>
              <m:sty m:val="p"/>
            </m:rPr>
            <w:rPr>
              <w:rFonts w:ascii="Cambria Math" w:hAnsi="Cambria Math"/>
            </w:rPr>
            <m:t>=</m:t>
          </m:r>
          <m:sSub>
            <m:sSubPr>
              <m:ctrlPr>
                <w:rPr>
                  <w:rFonts w:ascii="Cambria Math" w:hAnsi="Cambria Math" w:cstheme="minorHAnsi"/>
                </w:rPr>
              </m:ctrlPr>
            </m:sSubPr>
            <m:e>
              <m:r>
                <m:rPr>
                  <m:sty m:val="p"/>
                </m:rPr>
                <w:rPr>
                  <w:rFonts w:ascii="Cambria Math" w:hAnsi="Cambria Math" w:cstheme="minorHAnsi"/>
                </w:rPr>
                <m:t>µ</m:t>
              </m:r>
            </m:e>
            <m:sub>
              <m:r>
                <m:rPr>
                  <m:sty m:val="p"/>
                </m:rPr>
                <w:rPr>
                  <w:rFonts w:ascii="Cambria Math" w:hAnsi="Cambria Math" w:cstheme="minorHAnsi"/>
                </w:rPr>
                <m:t>m</m:t>
              </m:r>
            </m:sub>
          </m:sSub>
          <m:d>
            <m:dPr>
              <m:ctrlPr>
                <w:rPr>
                  <w:rFonts w:ascii="Cambria Math" w:hAnsi="Cambria Math"/>
                  <w:i/>
                </w:rPr>
              </m:ctrlPr>
            </m:dPr>
            <m:e>
              <m:sSub>
                <m:sSubPr>
                  <m:ctrlPr>
                    <w:rPr>
                      <w:rFonts w:ascii="Cambria Math" w:hAnsi="Cambria Math"/>
                      <w:i/>
                    </w:rPr>
                  </m:ctrlPr>
                </m:sSubPr>
                <m:e>
                  <m:r>
                    <m:rPr>
                      <m:sty m:val="p"/>
                    </m:rPr>
                    <w:rPr>
                      <w:rFonts w:ascii="Cambria Math" w:hAnsi="Cambria Math"/>
                    </w:rPr>
                    <m:t>E</m:t>
                  </m:r>
                </m:e>
                <m:sub>
                  <m:r>
                    <m:rPr>
                      <m:sty m:val="p"/>
                    </m:rPr>
                    <w:rPr>
                      <w:rFonts w:ascii="Cambria Math" w:hAnsi="Cambria Math"/>
                    </w:rPr>
                    <m:t>0</m:t>
                  </m:r>
                </m:sub>
              </m:sSub>
            </m:e>
          </m:d>
          <m:sSub>
            <m:sSubPr>
              <m:ctrlPr>
                <w:rPr>
                  <w:rFonts w:ascii="Cambria Math" w:hAnsi="Cambria Math"/>
                  <w:i/>
                </w:rPr>
              </m:ctrlPr>
            </m:sSubPr>
            <m:e>
              <m:r>
                <m:rPr>
                  <m:sty m:val="p"/>
                </m:rPr>
                <w:rPr>
                  <w:rFonts w:ascii="Cambria Math" w:hAnsi="Cambria Math"/>
                </w:rPr>
                <m:t>ρ</m:t>
              </m:r>
            </m:e>
            <m:sub>
              <m:r>
                <m:rPr>
                  <m:sty m:val="p"/>
                </m:rPr>
                <w:rPr>
                  <w:rFonts w:ascii="Cambria Math" w:hAnsi="Cambria Math"/>
                </w:rPr>
                <m:t>i</m:t>
              </m:r>
            </m:sub>
          </m:sSub>
        </m:oMath>
      </m:oMathPara>
    </w:p>
    <w:p w14:paraId="7839B233" w14:textId="0F054B6B" w:rsidR="00007F6C" w:rsidRPr="00A535EE" w:rsidRDefault="00007F6C" w:rsidP="00007F6C">
      <w:pPr>
        <w:jc w:val="right"/>
      </w:pPr>
      <w:r w:rsidRPr="00A535EE">
        <w:t xml:space="preserve">Equation </w:t>
      </w:r>
      <w:r>
        <w:t>6.</w:t>
      </w:r>
      <w:r w:rsidR="00B51F53">
        <w:fldChar w:fldCharType="begin"/>
      </w:r>
      <w:r w:rsidR="00B51F53">
        <w:instrText xml:space="preserve"> SEQ Equation \* ARABIC </w:instrText>
      </w:r>
      <w:r w:rsidR="00B51F53">
        <w:fldChar w:fldCharType="separate"/>
      </w:r>
      <w:r w:rsidR="00315BF8">
        <w:rPr>
          <w:noProof/>
        </w:rPr>
        <w:t>4</w:t>
      </w:r>
      <w:r w:rsidR="00B51F53">
        <w:rPr>
          <w:noProof/>
        </w:rPr>
        <w:fldChar w:fldCharType="end"/>
      </w:r>
    </w:p>
    <w:p w14:paraId="5876528D" w14:textId="380A2493" w:rsidR="00007F6C" w:rsidRPr="00A535EE" w:rsidRDefault="00007F6C" w:rsidP="00007F6C">
      <w:pPr>
        <w:jc w:val="both"/>
      </w:pPr>
      <w:r w:rsidRPr="00A535EE">
        <w:t xml:space="preserve">The total crystallographic density for the anode (20 % nickel) was calculated using the elemental data </w:t>
      </w:r>
      <w:r w:rsidRPr="005F5D11">
        <w:t xml:space="preserve">from Hubbell and </w:t>
      </w:r>
      <w:proofErr w:type="spellStart"/>
      <w:r w:rsidRPr="005F5D11">
        <w:t>Stockmar</w:t>
      </w:r>
      <w:proofErr w:type="spellEnd"/>
      <w:r w:rsidRPr="005F5D11">
        <w:t xml:space="preserve"> et al</w:t>
      </w:r>
      <w:r w:rsidRPr="00A535EE">
        <w:t xml:space="preserve"> </w:t>
      </w:r>
      <w:r w:rsidRPr="00A535EE">
        <w:fldChar w:fldCharType="begin" w:fldLock="1"/>
      </w:r>
      <w:r w:rsidR="00D80A5D">
        <w:instrText>ADDIN CSL_CITATION {"citationItems":[{"id":"ITEM-1","itemData":{"DOI":"10.1364/OE.23.012720","ISBN":"1094-4087 (Electronic)\r1094-4087 (Linking)","PMID":"26074526","abstract":"Propagation-based imaging or inline holography in combination with computed tomography (holotomography) is a versatile tool to access a sample's three-dimensional (3D) micro or nano structure. However, the phase retrieval step needed prior to tomographic reconstruction can be challenging especially for strongly absorbing and refracting samples. Near-field ptychography is a recently developed phase imaging method that has been proven to overcome this hurdle in projection data. In this work we extend near-field ptychography to three dimensions and we show that, in combination with tomography, it can access the nano structure of a solid oxide fuel cell (SOFC). The quality of the resulting tomographic data and the structural properties of the anode extracted from this volume were compared to previous results obtained with holotomography. This work highlights the potential of 3D near-field ptychography for reliable and detailed investigations of samples at the nanometer scale, with important applications in materials and life sciences among others.","author":[{"dropping-particle":"","family":"Stockmar","given":"M","non-dropping-particle":"","parse-names":false,"suffix":""},{"dropping-particle":"","family":"Hubert","given":"M","non-dropping-particle":"","parse-names":false,"suffix":""},{"dropping-particle":"","family":"Dierolf","given":"M","non-dropping-particle":"","parse-names":false,"suffix":""},{"dropping-particle":"","family":"Enders","given":"B","non-dropping-particle":"","parse-names":false,"suffix":""},{"dropping-particle":"","family":"Clare","given":"R","non-dropping-particle":"","parse-names":false,"suffix":""},{"dropping-particle":"","family":"Allner","given":"S","non-dropping-particle":"","parse-names":false,"suffix":""},{"dropping-particle":"","family":"Fehringer","given":"A","non-dropping-particle":"","parse-names":false,"suffix":""},{"dropping-particle":"","family":"Zanette","given":"I","non-dropping-particle":"","parse-names":false,"suffix":""},{"dropping-particle":"","family":"Villanova","given":"J","non-dropping-particle":"","parse-names":false,"suffix":""},{"dropping-particle":"","family":"Laurencin","given":"J","non-dropping-particle":"","parse-names":false,"suffix":""},{"dropping-particle":"","family":"Cloetens","given":"P","non-dropping-particle":"","parse-names":false,"suffix":""},{"dropping-particle":"","family":"Pfeiffer","given":"F","non-dropping-particle":"","parse-names":false,"suffix":""},{"dropping-particle":"","family":"Thibault","given":"P","non-dropping-particle":"","parse-names":false,"suffix":""}],"container-title":"Opt Express","edition":"2015/06/16","id":"ITEM-1","issue":"10","issued":{"date-parts":[["2015"]]},"note":"Stockmar, Marco\nHubert, Maxime\nDierolf, Martin\nEnders, Bjoern\nClare, Richard\nAllner, Sebastian\nFehringer, Andreas\nZanette, Irene\nVillanova, Julie\nLaurencin, Jerome\nCloetens, Peter\nPfeiffer, Franz\nThibault, Pierre\neng\nOpt Express. 2015 May 18;23(10):12720-31. doi: 10.1364/OE.23.012720.","page":"12720-12731","title":"X-ray nanotomography using near-field ptychography","type":"article-journal","volume":"23"},"uris":["http://www.mendeley.com/documents/?uuid=47d8b451-10c5-4f92-8912-2de26588a428"]},{"id":"ITEM-2","itemData":{"DOI":"10.1016/j.jpowsour.2013.06.069","ISSN":"03787753","abstract":"SOFC electrochemical performances are strongly dependent on the micro and nanostructure of the electrodes. 3D image analysis is an essential tool to characterise these microstructures. However, the studied volumes have to be sufficiently large to be representative of the heterogenous medium. In this study, quantitative phase contrast X-ray nano-holotomography is performed on large volumes of SOFC anode consisting by a Ni/YSZ cermet. Both the electrode functional layer and the current collector of anode supported cell are characterised in 3D. The setup and data processing adaptation needed for such an absorbing materials are described. The X-ray nano-holotomography was performed with an isotropic voxel size of 25 × 25 × 25 nm3 and a field of view of about 50 μm. This technique is non-destructive and was used in local tomography mode. After filtering and thresholding, the segmentation of the 3D reconstructions allows precisely separating the network of each phase of the electrode (metallic, ceramic and porosity), giving representative features of the microstructure. © 2013 Elsevier B.V. All rights reserved.","author":[{"dropping-particle":"","family":"Julie","given":"Villanova","non-dropping-particle":"","parse-names":false,"suffix":""},{"dropping-particle":"","family":"Jérôme","given":"Laurencin","non-dropping-particle":"","parse-names":false,"suffix":""},{"dropping-particle":"","family":"Peter","given":"Cloetens","non-dropping-particle":"","parse-names":false,"suffix":""},{"dropping-particle":"","family":"Pierre","given":"Bleuet","non-dropping-particle":"","parse-names":false,"suffix":""},{"dropping-particle":"","family":"Gérard","given":"Delette","non-dropping-particle":"","parse-names":false,"suffix":""},{"dropping-particle":"","family":"Heikki","given":"Suhonen","non-dropping-particle":"","parse-names":false,"suffix":""},{"dropping-particle":"","family":"François","given":"Usseglio Viretta","non-dropping-particle":"","parse-names":false,"suffix":""}],"container-title":"Journal of Power Sources","id":"ITEM-2","issued":{"date-parts":[["2013"]]},"page":"841-849","publisher":"Elsevier B.V","title":"3D phase mapping of solid oxide fuel cell YSZ/Ni cermet at the nanoscale by holographic X-ray nanotomography","type":"article-journal","volume":"243"},"uris":["http://www.mendeley.com/documents/?uuid=ef81f0f0-f7c6-4496-9196-8a577cb4d86e"]},{"id":"ITEM-3","itemData":{"DOI":"10.18434/t4d01f","abstract":"Tables and graphs of the photon mass attenuation coefficient μ/ρ and the mass energy-absorption coefficient μen/ρ are presented for all of the elements Z = 1 to 92, and for 48 compounds and mixtures of radiological interest. The tables cover energies of the photon (x-ray, gamma ray, bremsstrahlung) from 1 keV to 20 MeV. The μ/ρ values are taken from the current photon interaction database at the National Institute of Standards and Technology, and the μen/ρ values are based on the new calculations by Seltzer described in Radiation Research 136, 147 (1993). These tables of μ/ρ and μen/ρ replace and extend the tables given by Hubbell in the International Journal of Applied Radiation and Isotopes 33, 1269 (1982).","author":[{"dropping-particle":"","family":"Seltzer","given":"Stephen","non-dropping-particle":"","parse-names":false,"suffix":""}],"container-title":"NIST Standard Reference Database 126","id":"ITEM-3","issued":{"date-parts":[["1996"]]},"title":"Tables of X-Ray Mass Attenuation Coefficients and Mass Energy-Absorption Coefficients, NIST Standard Reference Database 126","type":"article-journal"},"uris":["http://www.mendeley.com/documents/?uuid=9c035abc-9431-4234-b17f-af36642ee992"]}],"mendeley":{"formattedCitation":"[262], [365], [366]","plainTextFormattedCitation":"[262], [365], [366]","previouslyFormattedCitation":"[262], [365], [366]"},"properties":{"noteIndex":0},"schema":"https://github.com/citation-style-language/schema/raw/master/csl-citation.json"}</w:instrText>
      </w:r>
      <w:r w:rsidRPr="00A535EE">
        <w:fldChar w:fldCharType="separate"/>
      </w:r>
      <w:r w:rsidR="006C586A" w:rsidRPr="006C586A">
        <w:rPr>
          <w:noProof/>
        </w:rPr>
        <w:t>[262], [365], [366]</w:t>
      </w:r>
      <w:r w:rsidRPr="00A535EE">
        <w:fldChar w:fldCharType="end"/>
      </w:r>
      <w:r w:rsidRPr="00A535EE">
        <w:t xml:space="preserve">. The fuel electrode density can be found below in </w:t>
      </w:r>
      <w:r w:rsidRPr="00A535EE">
        <w:fldChar w:fldCharType="begin"/>
      </w:r>
      <w:r w:rsidRPr="00A535EE">
        <w:instrText xml:space="preserve"> REF _Ref49328800 \h  \* MERGEFORMAT </w:instrText>
      </w:r>
      <w:r w:rsidRPr="00A535EE">
        <w:fldChar w:fldCharType="separate"/>
      </w:r>
      <w:r w:rsidRPr="00A535EE">
        <w:t xml:space="preserve">Table </w:t>
      </w:r>
      <w:r>
        <w:rPr>
          <w:noProof/>
        </w:rPr>
        <w:t>6.16</w:t>
      </w:r>
      <w:r w:rsidRPr="00A535EE">
        <w:fldChar w:fldCharType="end"/>
      </w:r>
      <w:r w:rsidRPr="00A535EE">
        <w:t>.</w:t>
      </w:r>
    </w:p>
    <w:p w14:paraId="4E49C729" w14:textId="6F1C91E5" w:rsidR="00007F6C" w:rsidRPr="00A535EE" w:rsidRDefault="00007F6C" w:rsidP="00007F6C">
      <w:pPr>
        <w:pStyle w:val="Caption"/>
        <w:keepNext/>
      </w:pPr>
      <w:bookmarkStart w:id="585" w:name="_Ref49328800"/>
      <w:r w:rsidRPr="00A535EE">
        <w:t xml:space="preserve">Table </w:t>
      </w:r>
      <w:r>
        <w:t>6.</w:t>
      </w:r>
      <w:r w:rsidR="00B51F53">
        <w:fldChar w:fldCharType="begin"/>
      </w:r>
      <w:r w:rsidR="00B51F53">
        <w:instrText xml:space="preserve"> SEQ Table \* ARABIC </w:instrText>
      </w:r>
      <w:r w:rsidR="00B51F53">
        <w:fldChar w:fldCharType="separate"/>
      </w:r>
      <w:r w:rsidR="00211A89">
        <w:rPr>
          <w:noProof/>
        </w:rPr>
        <w:t>2</w:t>
      </w:r>
      <w:r w:rsidR="00B51F53">
        <w:rPr>
          <w:noProof/>
        </w:rPr>
        <w:fldChar w:fldCharType="end"/>
      </w:r>
      <w:bookmarkEnd w:id="585"/>
      <w:r w:rsidRPr="00A535EE">
        <w:t xml:space="preserve">: Table detailing the crystallographic densities of the Ni/YSZ fuel electrode material using elemental data from Hubbell </w:t>
      </w:r>
      <w:r w:rsidRPr="00A535EE">
        <w:fldChar w:fldCharType="begin" w:fldLock="1"/>
      </w:r>
      <w:r w:rsidR="00D80A5D">
        <w:instrText>ADDIN CSL_CITATION {"citationItems":[{"id":"ITEM-1","itemData":{"DOI":"10.18434/t4d01f","abstract":"Tables and graphs of the photon mass attenuation coefficient μ/ρ and the mass energy-absorption coefficient μen/ρ are presented for all of the elements Z = 1 to 92, and for 48 compounds and mixtures of radiological interest. The tables cover energies of the photon (x-ray, gamma ray, bremsstrahlung) from 1 keV to 20 MeV. The μ/ρ values are taken from the current photon interaction database at the National Institute of Standards and Technology, and the μen/ρ values are based on the new calculations by Seltzer described in Radiation Research 136, 147 (1993). These tables of μ/ρ and μen/ρ replace and extend the tables given by Hubbell in the International Journal of Applied Radiation and Isotopes 33, 1269 (1982).","author":[{"dropping-particle":"","family":"Seltzer","given":"Stephen","non-dropping-particle":"","parse-names":false,"suffix":""}],"container-title":"NIST Standard Reference Database 126","id":"ITEM-1","issued":{"date-parts":[["1996"]]},"title":"Tables of X-Ray Mass Attenuation Coefficients and Mass Energy-Absorption Coefficients, NIST Standard Reference Database 126","type":"article-journal"},"uris":["http://www.mendeley.com/documents/?uuid=9c035abc-9431-4234-b17f-af36642ee992"]}],"mendeley":{"formattedCitation":"[365]","plainTextFormattedCitation":"[365]","previouslyFormattedCitation":"[365]"},"properties":{"noteIndex":0},"schema":"https://github.com/citation-style-language/schema/raw/master/csl-citation.json"}</w:instrText>
      </w:r>
      <w:r w:rsidRPr="00A535EE">
        <w:fldChar w:fldCharType="separate"/>
      </w:r>
      <w:r w:rsidR="006C586A" w:rsidRPr="006C586A">
        <w:rPr>
          <w:i w:val="0"/>
          <w:noProof/>
        </w:rPr>
        <w:t>[365]</w:t>
      </w:r>
      <w:r w:rsidRPr="00A535EE">
        <w:fldChar w:fldCharType="end"/>
      </w:r>
    </w:p>
    <w:tbl>
      <w:tblPr>
        <w:tblStyle w:val="TableGrid"/>
        <w:tblW w:w="0" w:type="auto"/>
        <w:jc w:val="center"/>
        <w:tblLook w:val="04A0" w:firstRow="1" w:lastRow="0" w:firstColumn="1" w:lastColumn="0" w:noHBand="0" w:noVBand="1"/>
      </w:tblPr>
      <w:tblGrid>
        <w:gridCol w:w="1687"/>
        <w:gridCol w:w="607"/>
        <w:gridCol w:w="607"/>
        <w:gridCol w:w="607"/>
        <w:gridCol w:w="607"/>
        <w:gridCol w:w="2178"/>
      </w:tblGrid>
      <w:tr w:rsidR="00007F6C" w:rsidRPr="00A535EE" w14:paraId="5E2508EF" w14:textId="77777777" w:rsidTr="005E2F1E">
        <w:trPr>
          <w:jc w:val="center"/>
        </w:trPr>
        <w:tc>
          <w:tcPr>
            <w:tcW w:w="0" w:type="auto"/>
          </w:tcPr>
          <w:p w14:paraId="7F6A44DC" w14:textId="77777777" w:rsidR="00007F6C" w:rsidRPr="00A535EE" w:rsidRDefault="00007F6C" w:rsidP="005E2F1E">
            <w:pPr>
              <w:jc w:val="both"/>
              <w:rPr>
                <w:b/>
                <w:bCs/>
              </w:rPr>
            </w:pPr>
            <w:r w:rsidRPr="00A535EE">
              <w:rPr>
                <w:b/>
                <w:bCs/>
              </w:rPr>
              <w:t>Material</w:t>
            </w:r>
          </w:p>
        </w:tc>
        <w:tc>
          <w:tcPr>
            <w:tcW w:w="0" w:type="auto"/>
          </w:tcPr>
          <w:p w14:paraId="2AE0AB60" w14:textId="77777777" w:rsidR="00007F6C" w:rsidRPr="00A535EE" w:rsidRDefault="00007F6C" w:rsidP="005E2F1E">
            <w:pPr>
              <w:jc w:val="both"/>
              <w:rPr>
                <w:b/>
                <w:bCs/>
              </w:rPr>
            </w:pPr>
            <w:r w:rsidRPr="00A535EE">
              <w:rPr>
                <w:b/>
                <w:bCs/>
              </w:rPr>
              <w:t>Ni</w:t>
            </w:r>
          </w:p>
        </w:tc>
        <w:tc>
          <w:tcPr>
            <w:tcW w:w="0" w:type="auto"/>
          </w:tcPr>
          <w:p w14:paraId="081B5AAB" w14:textId="77777777" w:rsidR="00007F6C" w:rsidRPr="00A535EE" w:rsidRDefault="00007F6C" w:rsidP="005E2F1E">
            <w:pPr>
              <w:jc w:val="both"/>
              <w:rPr>
                <w:b/>
                <w:bCs/>
              </w:rPr>
            </w:pPr>
            <w:r w:rsidRPr="00A535EE">
              <w:rPr>
                <w:b/>
                <w:bCs/>
              </w:rPr>
              <w:t>Y</w:t>
            </w:r>
          </w:p>
        </w:tc>
        <w:tc>
          <w:tcPr>
            <w:tcW w:w="0" w:type="auto"/>
          </w:tcPr>
          <w:p w14:paraId="1C720EF7" w14:textId="77777777" w:rsidR="00007F6C" w:rsidRPr="00A535EE" w:rsidRDefault="00007F6C" w:rsidP="005E2F1E">
            <w:pPr>
              <w:jc w:val="both"/>
              <w:rPr>
                <w:b/>
                <w:bCs/>
              </w:rPr>
            </w:pPr>
            <w:r w:rsidRPr="00A535EE">
              <w:rPr>
                <w:b/>
                <w:bCs/>
              </w:rPr>
              <w:t>Zr</w:t>
            </w:r>
          </w:p>
        </w:tc>
        <w:tc>
          <w:tcPr>
            <w:tcW w:w="0" w:type="auto"/>
          </w:tcPr>
          <w:p w14:paraId="5EB4E016" w14:textId="77777777" w:rsidR="00007F6C" w:rsidRPr="00A535EE" w:rsidRDefault="00007F6C" w:rsidP="005E2F1E">
            <w:pPr>
              <w:jc w:val="both"/>
              <w:rPr>
                <w:b/>
                <w:bCs/>
              </w:rPr>
            </w:pPr>
            <w:r w:rsidRPr="00A535EE">
              <w:rPr>
                <w:b/>
                <w:bCs/>
              </w:rPr>
              <w:t>O</w:t>
            </w:r>
          </w:p>
        </w:tc>
        <w:tc>
          <w:tcPr>
            <w:tcW w:w="0" w:type="auto"/>
          </w:tcPr>
          <w:p w14:paraId="5C059B56" w14:textId="77777777" w:rsidR="00007F6C" w:rsidRPr="00A535EE" w:rsidRDefault="00007F6C" w:rsidP="005E2F1E">
            <w:pPr>
              <w:jc w:val="both"/>
              <w:rPr>
                <w:b/>
                <w:bCs/>
              </w:rPr>
            </w:pPr>
            <w:r w:rsidRPr="00A535EE">
              <w:rPr>
                <w:b/>
                <w:bCs/>
              </w:rPr>
              <w:t>Ni</w:t>
            </w:r>
            <w:r w:rsidRPr="00A535EE">
              <w:rPr>
                <w:b/>
                <w:bCs/>
                <w:vertAlign w:val="subscript"/>
              </w:rPr>
              <w:t>0.2</w:t>
            </w:r>
            <w:r w:rsidRPr="00A535EE">
              <w:rPr>
                <w:b/>
                <w:bCs/>
              </w:rPr>
              <w:t>(Y</w:t>
            </w:r>
            <w:r w:rsidRPr="00A535EE">
              <w:rPr>
                <w:b/>
                <w:bCs/>
                <w:vertAlign w:val="subscript"/>
              </w:rPr>
              <w:t>2</w:t>
            </w:r>
            <w:r w:rsidRPr="00A535EE">
              <w:rPr>
                <w:b/>
                <w:bCs/>
              </w:rPr>
              <w:t>O</w:t>
            </w:r>
            <w:r w:rsidRPr="00A535EE">
              <w:rPr>
                <w:b/>
                <w:bCs/>
                <w:vertAlign w:val="subscript"/>
              </w:rPr>
              <w:t>3</w:t>
            </w:r>
            <w:r w:rsidRPr="00A535EE">
              <w:rPr>
                <w:b/>
                <w:bCs/>
              </w:rPr>
              <w:t>)</w:t>
            </w:r>
            <w:r w:rsidRPr="00A535EE">
              <w:rPr>
                <w:b/>
                <w:bCs/>
                <w:vertAlign w:val="subscript"/>
              </w:rPr>
              <w:t>0.08</w:t>
            </w:r>
            <w:r w:rsidRPr="00A535EE">
              <w:rPr>
                <w:b/>
                <w:bCs/>
              </w:rPr>
              <w:t>(ZrO</w:t>
            </w:r>
            <w:r w:rsidRPr="00A535EE">
              <w:rPr>
                <w:b/>
                <w:bCs/>
                <w:vertAlign w:val="subscript"/>
              </w:rPr>
              <w:t>2</w:t>
            </w:r>
            <w:r w:rsidRPr="00A535EE">
              <w:rPr>
                <w:b/>
                <w:bCs/>
              </w:rPr>
              <w:t>)</w:t>
            </w:r>
            <w:r w:rsidRPr="00A535EE">
              <w:rPr>
                <w:b/>
                <w:bCs/>
                <w:vertAlign w:val="subscript"/>
              </w:rPr>
              <w:t>0.92</w:t>
            </w:r>
          </w:p>
        </w:tc>
      </w:tr>
      <w:tr w:rsidR="00007F6C" w:rsidRPr="00A535EE" w14:paraId="1F3AE7C4" w14:textId="77777777" w:rsidTr="005E2F1E">
        <w:trPr>
          <w:jc w:val="center"/>
        </w:trPr>
        <w:tc>
          <w:tcPr>
            <w:tcW w:w="0" w:type="auto"/>
          </w:tcPr>
          <w:p w14:paraId="4DD498BB" w14:textId="5FE81A6F" w:rsidR="00007F6C" w:rsidRPr="00A535EE" w:rsidRDefault="00007F6C" w:rsidP="005E2F1E">
            <w:pPr>
              <w:jc w:val="both"/>
              <w:rPr>
                <w:b/>
                <w:bCs/>
              </w:rPr>
            </w:pPr>
            <w:r w:rsidRPr="00A535EE">
              <w:rPr>
                <w:b/>
                <w:bCs/>
              </w:rPr>
              <w:t>Density [g</w:t>
            </w:r>
            <w:r w:rsidR="00520C8A">
              <w:rPr>
                <w:b/>
                <w:bCs/>
              </w:rPr>
              <w:t xml:space="preserve"> </w:t>
            </w:r>
            <w:r w:rsidRPr="00520C8A">
              <w:rPr>
                <w:b/>
                <w:bCs/>
              </w:rPr>
              <w:t>cm</w:t>
            </w:r>
            <w:r w:rsidR="00520C8A" w:rsidRPr="00520C8A">
              <w:rPr>
                <w:b/>
                <w:bCs/>
              </w:rPr>
              <w:t xml:space="preserve"> </w:t>
            </w:r>
            <w:r w:rsidR="00520C8A">
              <w:rPr>
                <w:b/>
                <w:bCs/>
                <w:vertAlign w:val="superscript"/>
              </w:rPr>
              <w:t>-</w:t>
            </w:r>
            <w:r w:rsidRPr="00520C8A">
              <w:rPr>
                <w:b/>
                <w:bCs/>
                <w:vertAlign w:val="superscript"/>
              </w:rPr>
              <w:t>3</w:t>
            </w:r>
            <w:r w:rsidRPr="00A535EE">
              <w:rPr>
                <w:b/>
                <w:bCs/>
              </w:rPr>
              <w:t>]</w:t>
            </w:r>
          </w:p>
        </w:tc>
        <w:tc>
          <w:tcPr>
            <w:tcW w:w="0" w:type="auto"/>
          </w:tcPr>
          <w:p w14:paraId="6FF42AF4" w14:textId="77777777" w:rsidR="00007F6C" w:rsidRPr="00A535EE" w:rsidRDefault="00007F6C" w:rsidP="005E2F1E">
            <w:pPr>
              <w:jc w:val="right"/>
            </w:pPr>
            <w:r w:rsidRPr="00A535EE">
              <w:t>8.90</w:t>
            </w:r>
          </w:p>
        </w:tc>
        <w:tc>
          <w:tcPr>
            <w:tcW w:w="0" w:type="auto"/>
          </w:tcPr>
          <w:p w14:paraId="0520B77F" w14:textId="77777777" w:rsidR="00007F6C" w:rsidRPr="00A535EE" w:rsidRDefault="00007F6C" w:rsidP="005E2F1E">
            <w:pPr>
              <w:jc w:val="right"/>
            </w:pPr>
            <w:r w:rsidRPr="00A535EE">
              <w:t>4.47</w:t>
            </w:r>
          </w:p>
        </w:tc>
        <w:tc>
          <w:tcPr>
            <w:tcW w:w="0" w:type="auto"/>
          </w:tcPr>
          <w:p w14:paraId="532C497E" w14:textId="77777777" w:rsidR="00007F6C" w:rsidRPr="00A535EE" w:rsidRDefault="00007F6C" w:rsidP="005E2F1E">
            <w:pPr>
              <w:jc w:val="right"/>
            </w:pPr>
            <w:r w:rsidRPr="00A535EE">
              <w:t>6.49</w:t>
            </w:r>
          </w:p>
        </w:tc>
        <w:tc>
          <w:tcPr>
            <w:tcW w:w="0" w:type="auto"/>
          </w:tcPr>
          <w:p w14:paraId="650C561D" w14:textId="77777777" w:rsidR="00007F6C" w:rsidRPr="00A535EE" w:rsidRDefault="00007F6C" w:rsidP="005E2F1E">
            <w:pPr>
              <w:jc w:val="right"/>
            </w:pPr>
            <w:r w:rsidRPr="00A535EE">
              <w:t>1.43</w:t>
            </w:r>
          </w:p>
        </w:tc>
        <w:tc>
          <w:tcPr>
            <w:tcW w:w="0" w:type="auto"/>
          </w:tcPr>
          <w:p w14:paraId="25509398" w14:textId="77777777" w:rsidR="00007F6C" w:rsidRPr="00A535EE" w:rsidRDefault="00007F6C" w:rsidP="005E2F1E">
            <w:pPr>
              <w:jc w:val="right"/>
            </w:pPr>
            <w:r w:rsidRPr="00A535EE">
              <w:t>15.38</w:t>
            </w:r>
          </w:p>
        </w:tc>
      </w:tr>
    </w:tbl>
    <w:p w14:paraId="31DA10DD" w14:textId="77777777" w:rsidR="00007F6C" w:rsidRPr="00A535EE" w:rsidRDefault="00007F6C" w:rsidP="00007F6C">
      <w:pPr>
        <w:jc w:val="both"/>
      </w:pPr>
    </w:p>
    <w:p w14:paraId="15C5ACC7" w14:textId="77777777" w:rsidR="00007F6C" w:rsidRPr="00A535EE" w:rsidRDefault="00007F6C" w:rsidP="00007F6C">
      <w:pPr>
        <w:jc w:val="both"/>
      </w:pPr>
      <w:r w:rsidRPr="00A535EE">
        <w:lastRenderedPageBreak/>
        <w:t>The manufactured compositions of the samples were multiplied by their mass attenuation coefficients to generate the attenuation coefficient ratio (ACR) between the nickel and YSZ phases.</w:t>
      </w:r>
    </w:p>
    <w:p w14:paraId="5B821480" w14:textId="77777777" w:rsidR="00007F6C" w:rsidRDefault="00007F6C" w:rsidP="00007F6C">
      <w:pPr>
        <w:jc w:val="both"/>
      </w:pPr>
      <w:r w:rsidRPr="00A535EE">
        <w:t>In this case the YSZ ceramic material possesses a far higher mass attenuation coefficient than the metal catalyst at this beam energy. This means that the bright (most attenuating phase) is the scaffold material.</w:t>
      </w:r>
    </w:p>
    <w:p w14:paraId="285953E9" w14:textId="05A16FF8" w:rsidR="00007F6C" w:rsidRDefault="00007F6C" w:rsidP="00007F6C">
      <w:pPr>
        <w:pStyle w:val="Caption"/>
        <w:keepNext/>
      </w:pPr>
      <w:bookmarkStart w:id="586" w:name="_Ref51235319"/>
      <w:r>
        <w:t>Table 6.</w:t>
      </w:r>
      <w:r w:rsidR="00B51F53">
        <w:fldChar w:fldCharType="begin"/>
      </w:r>
      <w:r w:rsidR="00B51F53">
        <w:instrText xml:space="preserve"> SEQ Table \* ARABIC </w:instrText>
      </w:r>
      <w:r w:rsidR="00B51F53">
        <w:fldChar w:fldCharType="separate"/>
      </w:r>
      <w:r w:rsidR="00211A89">
        <w:rPr>
          <w:noProof/>
        </w:rPr>
        <w:t>3</w:t>
      </w:r>
      <w:r w:rsidR="00B51F53">
        <w:rPr>
          <w:noProof/>
        </w:rPr>
        <w:fldChar w:fldCharType="end"/>
      </w:r>
      <w:bookmarkEnd w:id="586"/>
      <w:r>
        <w:t xml:space="preserve">: Table detailing the mass attenuation coefficient and grayscale ratios of the Ni and YSZ phases at 17 and 20 keV </w:t>
      </w:r>
      <w:r>
        <w:fldChar w:fldCharType="begin" w:fldLock="1"/>
      </w:r>
      <w:r w:rsidR="00EC62EF">
        <w:instrText>ADDIN CSL_CITATION {"citationItems":[{"id":"ITEM-1","itemData":{"DOI":"10.1088/1742-6596/849/1/012017","abstract":"Abstract. X-ray nano CT has been vastly applied to study the microstructure of solid oxide\r\nfuel cell (SOFC) electrodes. One widely accepted indicator of electrochemical performance is\r\nthe triple phase boundary (TPB): a location where the three materials responsible for ionic,\r\nelectronic and gas-phase reactant transport are in contact. X-ray absorption tomography has\r\nbeen used extensively in the characterisation of these TPBs, utilising the different attenuation\r\nproperties of the constituent materials. Here we present a quantitative comparison of the\r\nattenuation properties for elements commonly employed in solid oxide fuel cell materials. ","author":[{"dropping-particle":"","family":"Heenan","given":"T.M.M.","non-dropping-particle":"","parse-names":false,"suffix":""},{"dropping-particle":"","family":"Brett","given":"D.J.L","non-dropping-particle":"","parse-names":false,"suffix":""},{"dropping-particle":"","family":"Shearing","given":"P.R.","non-dropping-particle":"","parse-names":false,"suffix":""}],"container-title":"Journal of Physics: Conference Series","id":"ITEM-1","issued":{"date-parts":[["2017"]]},"title":"X-ray attenuation properties of commonly employed solid oxide fuel cell materials","type":"article-journal","volume":"849"},"uris":["http://www.mendeley.com/documents/?uuid=c28b36d9-4fcf-3cad-8d17-9699cc5bb785"]},{"id":"ITEM-2","itemData":{"DOI":"10.1016/j.matdes.2020.108585","ISSN":"18734197","abstract":"X-ray computed tomography (CT) has emerged as a powerful tool for the 3D characterisation of materials. However, in order to obtain a useful tomogram, sufficient image quality should be achieved in the radiographs before reconstruction into a 3D dataset. The ratio of signal- and contrast-to-noise (SNR and CNR, respectively) quantify the image quality and are largely determined by the transmission and detection of photons that have undergone useful interactions with the sample. Theoretical transmission can be predicted if only a few variables are known: the material chemistry and penetrating thickness e.g. the particle diameter. This work discusses the calculations required to obtain transmission values for various Li(NiXMnYCoZ)O2 (NMC) lithium-ion battery cathodes. These calculations produce reference plots for quick assessment of beam parameters when designing an experiment. This is then extended to the theoretical material thicknesses for optimum image contrast. Finally, the theoretically predicted transmission is validated through comparison to experimentally determined values. These calculations are not exclusive to NMC, nor battery materials, but may be applied as a framework to calculate various sample transmissions and therefore may aid in the design and characterisation of numerous materials.","author":[{"dropping-particle":"","family":"Heenan","given":"T. M.M.","non-dropping-particle":"","parse-names":false,"suffix":""},{"dropping-particle":"","family":"Tan","given":"C.","non-dropping-particle":"","parse-names":false,"suffix":""},{"dropping-particle":"","family":"Wade","given":"A. J.","non-dropping-particle":"","parse-names":false,"suffix":""},{"dropping-particle":"","family":"Jervis","given":"R.","non-dropping-particle":"","parse-names":false,"suffix":""},{"dropping-particle":"","family":"Brett","given":"D. J.L.","non-dropping-particle":"","parse-names":false,"suffix":""},{"dropping-particle":"","family":"Shearing","given":"P. R.","non-dropping-particle":"","parse-names":false,"suffix":""}],"container-title":"Materials and Design","id":"ITEM-2","issued":{"date-parts":[["2020"]]},"page":"108585","publisher":"Elsevier Ltd","title":"Theoretical transmissions for X-ray computed tomography studies of lithium-ion battery cathodes","type":"article-journal","volume":"191"},"uris":["http://www.mendeley.com/documents/?uuid=46e59c77-c7ec-401c-a898-41e030c4ad9f"]},{"id":"ITEM-3","itemData":{"DOI":"10.1364/OE.23.012720","ISBN":"1094-4087 (Electronic)\r1094-4087 (Linking)","PMID":"26074526","abstract":"Propagation-based imaging or inline holography in combination with computed tomography (holotomography) is a versatile tool to access a sample's three-dimensional (3D) micro or nano structure. However, the phase retrieval step needed prior to tomographic reconstruction can be challenging especially for strongly absorbing and refracting samples. Near-field ptychography is a recently developed phase imaging method that has been proven to overcome this hurdle in projection data. In this work we extend near-field ptychography to three dimensions and we show that, in combination with tomography, it can access the nano structure of a solid oxide fuel cell (SOFC). The quality of the resulting tomographic data and the structural properties of the anode extracted from this volume were compared to previous results obtained with holotomography. This work highlights the potential of 3D near-field ptychography for reliable and detailed investigations of samples at the nanometer scale, with important applications in materials and life sciences among others.","author":[{"dropping-particle":"","family":"Stockmar","given":"M","non-dropping-particle":"","parse-names":false,"suffix":""},{"dropping-particle":"","family":"Hubert","given":"M","non-dropping-particle":"","parse-names":false,"suffix":""},{"dropping-particle":"","family":"Dierolf","given":"M","non-dropping-particle":"","parse-names":false,"suffix":""},{"dropping-particle":"","family":"Enders","given":"B","non-dropping-particle":"","parse-names":false,"suffix":""},{"dropping-particle":"","family":"Clare","given":"R","non-dropping-particle":"","parse-names":false,"suffix":""},{"dropping-particle":"","family":"Allner","given":"S","non-dropping-particle":"","parse-names":false,"suffix":""},{"dropping-particle":"","family":"Fehringer","given":"A","non-dropping-particle":"","parse-names":false,"suffix":""},{"dropping-particle":"","family":"Zanette","given":"I","non-dropping-particle":"","parse-names":false,"suffix":""},{"dropping-particle":"","family":"Villanova","given":"J","non-dropping-particle":"","parse-names":false,"suffix":""},{"dropping-particle":"","family":"Laurencin","given":"J","non-dropping-particle":"","parse-names":false,"suffix":""},{"dropping-particle":"","family":"Cloetens","given":"P","non-dropping-particle":"","parse-names":false,"suffix":""},{"dropping-particle":"","family":"Pfeiffer","given":"F","non-dropping-particle":"","parse-names":false,"suffix":""},{"dropping-particle":"","family":"Thibault","given":"P","non-dropping-particle":"","parse-names":false,"suffix":""}],"container-title":"Opt Express","edition":"2015/06/16","id":"ITEM-3","issue":"10","issued":{"date-parts":[["2015"]]},"note":"Stockmar, Marco\nHubert, Maxime\nDierolf, Martin\nEnders, Bjoern\nClare, Richard\nAllner, Sebastian\nFehringer, Andreas\nZanette, Irene\nVillanova, Julie\nLaurencin, Jerome\nCloetens, Peter\nPfeiffer, Franz\nThibault, Pierre\neng\nOpt Express. 2015 May 18;23(10):12720-31. doi: 10.1364/OE.23.012720.","page":"12720-12731","title":"X-ray nanotomography using near-field ptychography","type":"article-journal","volume":"23"},"uris":["http://www.mendeley.com/documents/?uuid=47d8b451-10c5-4f92-8912-2de26588a428"]},{"id":"ITEM-4","itemData":{"DOI":"10.1006/adnd.1993.1013","ISSN":"0092640X","abstract":"The primary interactions of low-energy x-rays within condensed matter, viz. photoabsorption and coherent scattering, have been described for photon energies outside the absorption threshold regions by using atomic scattering factors. The atomic scattering factors may be accurately determined from the atomic photoabsorption cross sections using modified Kramers-Kronig dispersion relations. From a synthesis of the currently available experimental data and recent theoretical calculations for photoabsorption, the angle-independent, forward-scattering components of the atomic scattering factors have been thus semiempirically determined and tabulated here for 92 elements and for the region 50-30, 000 eV. Atomic scattering factors for all angles of coherent scattering and at the higher photon energies are obtained from these tabulated forward-scattering values by adding a simple angle-dependent form-factor correction. The incoherent scattering contributions that become significant for the light elements at the higher photon energies are similarly determined. The basic x-ray interaction relations that are used in applied x-ray physics are presented here in terms of the atomic scattering factors. The bulk optical constants are also related to the atomic scattering factors. These atomic and optical relations are applied to the detailed calculation of the reflectivity characteristics of a series of practical x-ray mirror, multilayer, and crystal monochromators. Comparisons of the results of this semiempirical, \"atomic-like\" description of x-ray interactions for the low-energy region with those of experiment and ab initio theory are presented. © 1993 Academic Press. All rights reserved.","author":[{"dropping-particle":"","family":"Henke","given":"B. L.","non-dropping-particle":"","parse-names":false,"suffix":""},{"dropping-particle":"","family":"Gullikson","given":"E. M.","non-dropping-particle":"","parse-names":false,"suffix":""},{"dropping-particle":"","family":"Davis","given":"J. C.","non-dropping-particle":"","parse-names":false,"suffix":""}],"container-title":"Atomic Data and Nuclear Data Tables","id":"ITEM-4","issue":"2","issued":{"date-parts":[["1993"]]},"page":"181-342","title":"X-ray interactions: Photoabsorption, scattering, transmission, and reflection at E = 50-30, 000 eV, Z = 1-92","type":"article","volume":"54"},"uris":["http://www.mendeley.com/documents/?uuid=c9e38a82-bcee-4f05-a163-b91831acb567"]}],"mendeley":{"formattedCitation":"[363], [364], [366], [490]","plainTextFormattedCitation":"[363], [364], [366], [490]","previouslyFormattedCitation":"[363], [364], [366], [490]"},"properties":{"noteIndex":0},"schema":"https://github.com/citation-style-language/schema/raw/master/csl-citation.json"}</w:instrText>
      </w:r>
      <w:r>
        <w:fldChar w:fldCharType="separate"/>
      </w:r>
      <w:r w:rsidR="008446C6" w:rsidRPr="008446C6">
        <w:rPr>
          <w:i w:val="0"/>
          <w:noProof/>
        </w:rPr>
        <w:t>[363], [364], [366], [490]</w:t>
      </w:r>
      <w: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9"/>
        <w:gridCol w:w="1302"/>
        <w:gridCol w:w="1637"/>
        <w:gridCol w:w="1301"/>
        <w:gridCol w:w="1637"/>
      </w:tblGrid>
      <w:tr w:rsidR="00007F6C" w14:paraId="2F480462" w14:textId="77777777" w:rsidTr="005E2F1E">
        <w:trPr>
          <w:jc w:val="center"/>
        </w:trPr>
        <w:tc>
          <w:tcPr>
            <w:tcW w:w="0" w:type="auto"/>
          </w:tcPr>
          <w:p w14:paraId="05F4CA38" w14:textId="77777777" w:rsidR="00007F6C" w:rsidRPr="00E55565" w:rsidRDefault="00007F6C" w:rsidP="005E2F1E">
            <w:pPr>
              <w:spacing w:after="0"/>
              <w:jc w:val="both"/>
              <w:rPr>
                <w:b/>
                <w:bCs/>
              </w:rPr>
            </w:pPr>
            <w:r w:rsidRPr="00E55565">
              <w:rPr>
                <w:b/>
                <w:bCs/>
              </w:rPr>
              <w:t>Electrode component</w:t>
            </w:r>
          </w:p>
        </w:tc>
        <w:tc>
          <w:tcPr>
            <w:tcW w:w="0" w:type="auto"/>
          </w:tcPr>
          <w:p w14:paraId="1AFE7F24" w14:textId="77777777" w:rsidR="00007F6C" w:rsidRPr="00FD6A34" w:rsidRDefault="00007F6C" w:rsidP="005E2F1E">
            <w:pPr>
              <w:spacing w:after="0"/>
              <w:jc w:val="both"/>
              <w:rPr>
                <w:b/>
                <w:bCs/>
              </w:rPr>
            </w:pPr>
            <w:r w:rsidRPr="00FD6A34">
              <w:rPr>
                <w:b/>
                <w:bCs/>
              </w:rPr>
              <w:t>Nickel catalyst</w:t>
            </w:r>
          </w:p>
          <w:p w14:paraId="306055C8" w14:textId="77777777" w:rsidR="00007F6C" w:rsidRPr="00FD6A34" w:rsidRDefault="00007F6C" w:rsidP="005E2F1E">
            <w:pPr>
              <w:spacing w:after="0"/>
              <w:jc w:val="both"/>
              <w:rPr>
                <w:b/>
                <w:bCs/>
              </w:rPr>
            </w:pPr>
            <w:r w:rsidRPr="00FD6A34">
              <w:rPr>
                <w:b/>
                <w:bCs/>
              </w:rPr>
              <w:t>Ni at 17 keV</w:t>
            </w:r>
          </w:p>
        </w:tc>
        <w:tc>
          <w:tcPr>
            <w:tcW w:w="0" w:type="auto"/>
          </w:tcPr>
          <w:p w14:paraId="7AC79AFE" w14:textId="77777777" w:rsidR="00007F6C" w:rsidRPr="00FD6A34" w:rsidRDefault="00007F6C" w:rsidP="005E2F1E">
            <w:pPr>
              <w:spacing w:after="0"/>
              <w:jc w:val="both"/>
              <w:rPr>
                <w:b/>
                <w:bCs/>
              </w:rPr>
            </w:pPr>
            <w:r w:rsidRPr="00FD6A34">
              <w:rPr>
                <w:b/>
                <w:bCs/>
              </w:rPr>
              <w:t>YSZ ceramic scaffold</w:t>
            </w:r>
          </w:p>
          <w:p w14:paraId="5691EB19" w14:textId="77777777" w:rsidR="00007F6C" w:rsidRPr="00FD6A34" w:rsidRDefault="00007F6C" w:rsidP="005E2F1E">
            <w:pPr>
              <w:spacing w:after="0"/>
              <w:jc w:val="both"/>
              <w:rPr>
                <w:b/>
                <w:bCs/>
              </w:rPr>
            </w:pPr>
            <w:r w:rsidRPr="00FD6A34">
              <w:rPr>
                <w:b/>
                <w:bCs/>
              </w:rPr>
              <w:t>YSZ at 17 keV</w:t>
            </w:r>
          </w:p>
        </w:tc>
        <w:tc>
          <w:tcPr>
            <w:tcW w:w="0" w:type="auto"/>
          </w:tcPr>
          <w:p w14:paraId="36F4FC6B" w14:textId="77777777" w:rsidR="00007F6C" w:rsidRPr="00FD6A34" w:rsidRDefault="00007F6C" w:rsidP="005E2F1E">
            <w:pPr>
              <w:spacing w:after="0"/>
              <w:jc w:val="both"/>
              <w:rPr>
                <w:b/>
                <w:bCs/>
              </w:rPr>
            </w:pPr>
            <w:r w:rsidRPr="00FD6A34">
              <w:rPr>
                <w:b/>
                <w:bCs/>
              </w:rPr>
              <w:t>Nickel catalyst</w:t>
            </w:r>
          </w:p>
          <w:p w14:paraId="6F8462A5" w14:textId="77777777" w:rsidR="00007F6C" w:rsidRPr="00FD6A34" w:rsidRDefault="00007F6C" w:rsidP="005E2F1E">
            <w:pPr>
              <w:spacing w:after="0"/>
              <w:jc w:val="both"/>
              <w:rPr>
                <w:b/>
                <w:bCs/>
              </w:rPr>
            </w:pPr>
            <w:r w:rsidRPr="00FD6A34">
              <w:rPr>
                <w:b/>
                <w:bCs/>
              </w:rPr>
              <w:t>Ni at 20 keV</w:t>
            </w:r>
          </w:p>
        </w:tc>
        <w:tc>
          <w:tcPr>
            <w:tcW w:w="0" w:type="auto"/>
          </w:tcPr>
          <w:p w14:paraId="44C9429C" w14:textId="77777777" w:rsidR="00007F6C" w:rsidRPr="00FD6A34" w:rsidRDefault="00007F6C" w:rsidP="005E2F1E">
            <w:pPr>
              <w:spacing w:after="0"/>
              <w:jc w:val="both"/>
              <w:rPr>
                <w:b/>
                <w:bCs/>
              </w:rPr>
            </w:pPr>
            <w:r w:rsidRPr="00FD6A34">
              <w:rPr>
                <w:b/>
                <w:bCs/>
              </w:rPr>
              <w:t>YSZ ceramic scaffold</w:t>
            </w:r>
          </w:p>
          <w:p w14:paraId="780D3F73" w14:textId="77777777" w:rsidR="00007F6C" w:rsidRPr="00FD6A34" w:rsidRDefault="00007F6C" w:rsidP="005E2F1E">
            <w:pPr>
              <w:spacing w:after="0"/>
              <w:jc w:val="both"/>
              <w:rPr>
                <w:b/>
                <w:bCs/>
              </w:rPr>
            </w:pPr>
            <w:r w:rsidRPr="00FD6A34">
              <w:rPr>
                <w:b/>
                <w:bCs/>
              </w:rPr>
              <w:t>YSZ at 20 keV</w:t>
            </w:r>
          </w:p>
        </w:tc>
      </w:tr>
      <w:tr w:rsidR="00007F6C" w14:paraId="58432868" w14:textId="77777777" w:rsidTr="005E2F1E">
        <w:trPr>
          <w:jc w:val="center"/>
        </w:trPr>
        <w:tc>
          <w:tcPr>
            <w:tcW w:w="0" w:type="auto"/>
          </w:tcPr>
          <w:p w14:paraId="78DCE2C3" w14:textId="664AF5BB" w:rsidR="00007F6C" w:rsidRPr="00FD6A34" w:rsidRDefault="00007F6C" w:rsidP="005E2F1E">
            <w:pPr>
              <w:spacing w:after="0"/>
              <w:jc w:val="both"/>
              <w:rPr>
                <w:b/>
                <w:bCs/>
              </w:rPr>
            </w:pPr>
            <w:r w:rsidRPr="00FD6A34">
              <w:rPr>
                <w:b/>
                <w:bCs/>
              </w:rPr>
              <w:t>Attenuation Coefficient /</w:t>
            </w:r>
            <w:proofErr w:type="gramStart"/>
            <w:r w:rsidRPr="00FD6A34">
              <w:rPr>
                <w:b/>
                <w:bCs/>
              </w:rPr>
              <w:t>cm</w:t>
            </w:r>
            <w:r w:rsidR="00520C8A">
              <w:rPr>
                <w:b/>
                <w:bCs/>
              </w:rPr>
              <w:t xml:space="preserve"> </w:t>
            </w:r>
            <w:r w:rsidRPr="00FD6A34">
              <w:rPr>
                <w:b/>
                <w:bCs/>
                <w:vertAlign w:val="superscript"/>
              </w:rPr>
              <w:t>-1</w:t>
            </w:r>
            <w:proofErr w:type="gramEnd"/>
          </w:p>
        </w:tc>
        <w:tc>
          <w:tcPr>
            <w:tcW w:w="0" w:type="auto"/>
          </w:tcPr>
          <w:p w14:paraId="4CF457C3" w14:textId="77777777" w:rsidR="00007F6C" w:rsidRDefault="00007F6C" w:rsidP="005E2F1E">
            <w:pPr>
              <w:spacing w:after="0"/>
              <w:jc w:val="right"/>
            </w:pPr>
            <w:r>
              <w:t>672</w:t>
            </w:r>
          </w:p>
        </w:tc>
        <w:tc>
          <w:tcPr>
            <w:tcW w:w="0" w:type="auto"/>
          </w:tcPr>
          <w:p w14:paraId="54D7B6AB" w14:textId="77777777" w:rsidR="00007F6C" w:rsidRDefault="00007F6C" w:rsidP="005E2F1E">
            <w:pPr>
              <w:spacing w:after="0"/>
              <w:jc w:val="right"/>
            </w:pPr>
            <w:r>
              <w:t>4700</w:t>
            </w:r>
          </w:p>
        </w:tc>
        <w:tc>
          <w:tcPr>
            <w:tcW w:w="0" w:type="auto"/>
          </w:tcPr>
          <w:p w14:paraId="7287AE5C" w14:textId="77777777" w:rsidR="00007F6C" w:rsidRDefault="00007F6C" w:rsidP="005E2F1E">
            <w:pPr>
              <w:spacing w:after="0"/>
              <w:jc w:val="right"/>
            </w:pPr>
            <w:r>
              <w:t>410</w:t>
            </w:r>
          </w:p>
        </w:tc>
        <w:tc>
          <w:tcPr>
            <w:tcW w:w="0" w:type="auto"/>
          </w:tcPr>
          <w:p w14:paraId="5A39035F" w14:textId="77777777" w:rsidR="00007F6C" w:rsidRDefault="00007F6C" w:rsidP="005E2F1E">
            <w:pPr>
              <w:spacing w:after="0"/>
              <w:jc w:val="right"/>
            </w:pPr>
            <w:r>
              <w:t>2750</w:t>
            </w:r>
          </w:p>
        </w:tc>
      </w:tr>
      <w:tr w:rsidR="00007F6C" w14:paraId="493404D2" w14:textId="77777777" w:rsidTr="005E2F1E">
        <w:trPr>
          <w:jc w:val="center"/>
        </w:trPr>
        <w:tc>
          <w:tcPr>
            <w:tcW w:w="0" w:type="auto"/>
          </w:tcPr>
          <w:p w14:paraId="2371EFE8" w14:textId="64C1E5DE" w:rsidR="00007F6C" w:rsidRPr="00FD6A34" w:rsidRDefault="00007F6C" w:rsidP="005E2F1E">
            <w:pPr>
              <w:spacing w:after="0"/>
              <w:jc w:val="both"/>
              <w:rPr>
                <w:b/>
                <w:bCs/>
              </w:rPr>
            </w:pPr>
            <w:r w:rsidRPr="00FD6A34">
              <w:rPr>
                <w:b/>
                <w:bCs/>
              </w:rPr>
              <w:t>Attenuation Coefficient ratio (ACR)</w:t>
            </w:r>
            <w:r w:rsidR="00520C8A">
              <w:rPr>
                <w:b/>
                <w:bCs/>
              </w:rPr>
              <w:t xml:space="preserve"> </w:t>
            </w:r>
            <w:r w:rsidRPr="00FD6A34">
              <w:rPr>
                <w:b/>
                <w:bCs/>
              </w:rPr>
              <w:t>/unitless</w:t>
            </w:r>
          </w:p>
        </w:tc>
        <w:tc>
          <w:tcPr>
            <w:tcW w:w="0" w:type="auto"/>
            <w:gridSpan w:val="2"/>
          </w:tcPr>
          <w:p w14:paraId="650D4DC1" w14:textId="77777777" w:rsidR="00007F6C" w:rsidRDefault="00007F6C" w:rsidP="005E2F1E">
            <w:pPr>
              <w:spacing w:after="0"/>
              <w:jc w:val="right"/>
            </w:pPr>
            <w:r>
              <w:t>6.99</w:t>
            </w:r>
          </w:p>
        </w:tc>
        <w:tc>
          <w:tcPr>
            <w:tcW w:w="0" w:type="auto"/>
            <w:gridSpan w:val="2"/>
          </w:tcPr>
          <w:p w14:paraId="4A6CC0FA" w14:textId="77777777" w:rsidR="00007F6C" w:rsidRDefault="00007F6C" w:rsidP="005E2F1E">
            <w:pPr>
              <w:spacing w:after="0"/>
              <w:jc w:val="right"/>
            </w:pPr>
            <w:r>
              <w:t>6.71</w:t>
            </w:r>
          </w:p>
        </w:tc>
      </w:tr>
      <w:tr w:rsidR="00007F6C" w14:paraId="6E031A70" w14:textId="77777777" w:rsidTr="005E2F1E">
        <w:trPr>
          <w:jc w:val="center"/>
        </w:trPr>
        <w:tc>
          <w:tcPr>
            <w:tcW w:w="0" w:type="auto"/>
          </w:tcPr>
          <w:p w14:paraId="6BA9C97F" w14:textId="77777777" w:rsidR="00007F6C" w:rsidRPr="00FD6A34" w:rsidRDefault="00007F6C" w:rsidP="005E2F1E">
            <w:pPr>
              <w:spacing w:after="0"/>
              <w:jc w:val="both"/>
              <w:rPr>
                <w:b/>
                <w:bCs/>
              </w:rPr>
            </w:pPr>
            <w:r w:rsidRPr="00FD6A34">
              <w:rPr>
                <w:b/>
                <w:bCs/>
              </w:rPr>
              <w:t>Grayscale value /unitless</w:t>
            </w:r>
          </w:p>
        </w:tc>
        <w:tc>
          <w:tcPr>
            <w:tcW w:w="0" w:type="auto"/>
          </w:tcPr>
          <w:p w14:paraId="6BA40BD7" w14:textId="77777777" w:rsidR="00007F6C" w:rsidRDefault="00007F6C" w:rsidP="005E2F1E">
            <w:pPr>
              <w:spacing w:after="0"/>
              <w:jc w:val="right"/>
            </w:pPr>
            <w:r>
              <w:t>31.80</w:t>
            </w:r>
          </w:p>
        </w:tc>
        <w:tc>
          <w:tcPr>
            <w:tcW w:w="0" w:type="auto"/>
          </w:tcPr>
          <w:p w14:paraId="0F6716F1" w14:textId="77777777" w:rsidR="00007F6C" w:rsidRDefault="00007F6C" w:rsidP="005E2F1E">
            <w:pPr>
              <w:spacing w:after="0"/>
              <w:jc w:val="right"/>
            </w:pPr>
            <w:r>
              <w:t>223.00</w:t>
            </w:r>
          </w:p>
        </w:tc>
        <w:tc>
          <w:tcPr>
            <w:tcW w:w="0" w:type="auto"/>
          </w:tcPr>
          <w:p w14:paraId="00E7DB52" w14:textId="77777777" w:rsidR="00007F6C" w:rsidRDefault="00007F6C" w:rsidP="005E2F1E">
            <w:pPr>
              <w:spacing w:after="0"/>
              <w:jc w:val="right"/>
            </w:pPr>
            <w:r>
              <w:t>32.40</w:t>
            </w:r>
          </w:p>
        </w:tc>
        <w:tc>
          <w:tcPr>
            <w:tcW w:w="0" w:type="auto"/>
          </w:tcPr>
          <w:p w14:paraId="59D57C01" w14:textId="77777777" w:rsidR="00007F6C" w:rsidRDefault="00007F6C" w:rsidP="005E2F1E">
            <w:pPr>
              <w:spacing w:after="0"/>
              <w:jc w:val="right"/>
            </w:pPr>
            <w:r>
              <w:t>217.00</w:t>
            </w:r>
          </w:p>
        </w:tc>
      </w:tr>
      <w:tr w:rsidR="00007F6C" w14:paraId="7D7C622C" w14:textId="77777777" w:rsidTr="005E2F1E">
        <w:trPr>
          <w:trHeight w:val="245"/>
          <w:jc w:val="center"/>
        </w:trPr>
        <w:tc>
          <w:tcPr>
            <w:tcW w:w="0" w:type="auto"/>
          </w:tcPr>
          <w:p w14:paraId="081A2B75" w14:textId="77777777" w:rsidR="00007F6C" w:rsidRPr="00FD6A34" w:rsidRDefault="00007F6C" w:rsidP="005E2F1E">
            <w:pPr>
              <w:spacing w:after="0"/>
              <w:jc w:val="both"/>
              <w:rPr>
                <w:b/>
                <w:bCs/>
              </w:rPr>
            </w:pPr>
            <w:r w:rsidRPr="00FD6A34">
              <w:rPr>
                <w:b/>
                <w:bCs/>
              </w:rPr>
              <w:t>Grayscale value ratio (GSR) /unitless</w:t>
            </w:r>
          </w:p>
        </w:tc>
        <w:tc>
          <w:tcPr>
            <w:tcW w:w="0" w:type="auto"/>
            <w:gridSpan w:val="2"/>
          </w:tcPr>
          <w:p w14:paraId="6F01E937" w14:textId="77777777" w:rsidR="00007F6C" w:rsidRDefault="00007F6C" w:rsidP="005E2F1E">
            <w:pPr>
              <w:spacing w:after="0"/>
              <w:jc w:val="right"/>
            </w:pPr>
            <w:r>
              <w:t>7.01</w:t>
            </w:r>
          </w:p>
        </w:tc>
        <w:tc>
          <w:tcPr>
            <w:tcW w:w="0" w:type="auto"/>
            <w:gridSpan w:val="2"/>
          </w:tcPr>
          <w:p w14:paraId="375CC849" w14:textId="77777777" w:rsidR="00007F6C" w:rsidRDefault="00007F6C" w:rsidP="005E2F1E">
            <w:pPr>
              <w:spacing w:after="0"/>
              <w:jc w:val="right"/>
            </w:pPr>
            <w:r>
              <w:t>6.71</w:t>
            </w:r>
          </w:p>
        </w:tc>
      </w:tr>
    </w:tbl>
    <w:p w14:paraId="5032EAE0" w14:textId="3AD68C3E" w:rsidR="00007F6C" w:rsidRPr="00AE75A1" w:rsidRDefault="00007F6C" w:rsidP="00211A89">
      <w:pPr>
        <w:spacing w:before="240"/>
        <w:jc w:val="both"/>
        <w:rPr>
          <w:rFonts w:eastAsia="Times New Roman" w:cstheme="minorHAnsi"/>
          <w:sz w:val="24"/>
          <w:szCs w:val="24"/>
          <w:highlight w:val="yellow"/>
          <w:lang w:eastAsia="en-GB"/>
        </w:rPr>
      </w:pPr>
      <w:r w:rsidRPr="005F5D11">
        <w:t xml:space="preserve">This contrasts with work by </w:t>
      </w:r>
      <w:proofErr w:type="spellStart"/>
      <w:r w:rsidRPr="005F5D11">
        <w:t>Stockmar</w:t>
      </w:r>
      <w:proofErr w:type="spellEnd"/>
      <w:r w:rsidRPr="005F5D11">
        <w:t xml:space="preserve"> and </w:t>
      </w:r>
      <w:proofErr w:type="spellStart"/>
      <w:r w:rsidRPr="005F5D11">
        <w:t>Vilanova</w:t>
      </w:r>
      <w:proofErr w:type="spellEnd"/>
      <w:r w:rsidRPr="005F5D11">
        <w:t xml:space="preserve"> et al  the nickel was the meso-brightest phase at 17 keV </w:t>
      </w:r>
      <w:r>
        <w:fldChar w:fldCharType="begin" w:fldLock="1"/>
      </w:r>
      <w:r w:rsidR="00D80A5D">
        <w:instrText>ADDIN CSL_CITATION {"citationItems":[{"id":"ITEM-1","itemData":{"DOI":"10.1016/j.jpowsour.2013.06.069","ISSN":"03787753","abstract":"SOFC electrochemical performances are strongly dependent on the micro and nanostructure of the electrodes. 3D image analysis is an essential tool to characterise these microstructures. However, the studied volumes have to be sufficiently large to be representative of the heterogenous medium. In this study, quantitative phase contrast X-ray nano-holotomography is performed on large volumes of SOFC anode consisting by a Ni/YSZ cermet. Both the electrode functional layer and the current collector of anode supported cell are characterised in 3D. The setup and data processing adaptation needed for such an absorbing materials are described. The X-ray nano-holotomography was performed with an isotropic voxel size of 25 × 25 × 25 nm3 and a field of view of about 50 μm. This technique is non-destructive and was used in local tomography mode. After filtering and thresholding, the segmentation of the 3D reconstructions allows precisely separating the network of each phase of the electrode (metallic, ceramic and porosity), giving representative features of the microstructure. © 2013 Elsevier B.V. All rights reserved.","author":[{"dropping-particle":"","family":"Julie","given":"Villanova","non-dropping-particle":"","parse-names":false,"suffix":""},{"dropping-particle":"","family":"Jérôme","given":"Laurencin","non-dropping-particle":"","parse-names":false,"suffix":""},{"dropping-particle":"","family":"Peter","given":"Cloetens","non-dropping-particle":"","parse-names":false,"suffix":""},{"dropping-particle":"","family":"Pierre","given":"Bleuet","non-dropping-particle":"","parse-names":false,"suffix":""},{"dropping-particle":"","family":"Gérard","given":"Delette","non-dropping-particle":"","parse-names":false,"suffix":""},{"dropping-particle":"","family":"Heikki","given":"Suhonen","non-dropping-particle":"","parse-names":false,"suffix":""},{"dropping-particle":"","family":"François","given":"Usseglio Viretta","non-dropping-particle":"","parse-names":false,"suffix":""}],"container-title":"Journal of Power Sources","id":"ITEM-1","issued":{"date-parts":[["2013"]]},"page":"841-849","publisher":"Elsevier B.V","title":"3D phase mapping of solid oxide fuel cell YSZ/Ni cermet at the nanoscale by holographic X-ray nanotomography","type":"article-journal","volume":"243"},"uris":["http://www.mendeley.com/documents/?uuid=ef81f0f0-f7c6-4496-9196-8a577cb4d86e"]},{"id":"ITEM-2","itemData":{"DOI":"10.1364/OE.23.012720","ISBN":"1094-4087 (Electronic)\r1094-4087 (Linking)","PMID":"26074526","abstract":"Propagation-based imaging or inline holography in combination with computed tomography (holotomography) is a versatile tool to access a sample's three-dimensional (3D) micro or nano structure. However, the phase retrieval step needed prior to tomographic reconstruction can be challenging especially for strongly absorbing and refracting samples. Near-field ptychography is a recently developed phase imaging method that has been proven to overcome this hurdle in projection data. In this work we extend near-field ptychography to three dimensions and we show that, in combination with tomography, it can access the nano structure of a solid oxide fuel cell (SOFC). The quality of the resulting tomographic data and the structural properties of the anode extracted from this volume were compared to previous results obtained with holotomography. This work highlights the potential of 3D near-field ptychography for reliable and detailed investigations of samples at the nanometer scale, with important applications in materials and life sciences among others.","author":[{"dropping-particle":"","family":"Stockmar","given":"M","non-dropping-particle":"","parse-names":false,"suffix":""},{"dropping-particle":"","family":"Hubert","given":"M","non-dropping-particle":"","parse-names":false,"suffix":""},{"dropping-particle":"","family":"Dierolf","given":"M","non-dropping-particle":"","parse-names":false,"suffix":""},{"dropping-particle":"","family":"Enders","given":"B","non-dropping-particle":"","parse-names":false,"suffix":""},{"dropping-particle":"","family":"Clare","given":"R","non-dropping-particle":"","parse-names":false,"suffix":""},{"dropping-particle":"","family":"Allner","given":"S","non-dropping-particle":"","parse-names":false,"suffix":""},{"dropping-particle":"","family":"Fehringer","given":"A","non-dropping-particle":"","parse-names":false,"suffix":""},{"dropping-particle":"","family":"Zanette","given":"I","non-dropping-particle":"","parse-names":false,"suffix":""},{"dropping-particle":"","family":"Villanova","given":"J","non-dropping-particle":"","parse-names":false,"suffix":""},{"dropping-particle":"","family":"Laurencin","given":"J","non-dropping-particle":"","parse-names":false,"suffix":""},{"dropping-particle":"","family":"Cloetens","given":"P","non-dropping-particle":"","parse-names":false,"suffix":""},{"dropping-particle":"","family":"Pfeiffer","given":"F","non-dropping-particle":"","parse-names":false,"suffix":""},{"dropping-particle":"","family":"Thibault","given":"P","non-dropping-particle":"","parse-names":false,"suffix":""}],"container-title":"Opt Express","edition":"2015/06/16","id":"ITEM-2","issue":"10","issued":{"date-parts":[["2015"]]},"note":"Stockmar, Marco\nHubert, Maxime\nDierolf, Martin\nEnders, Bjoern\nClare, Richard\nAllner, Sebastian\nFehringer, Andreas\nZanette, Irene\nVillanova, Julie\nLaurencin, Jerome\nCloetens, Peter\nPfeiffer, Franz\nThibault, Pierre\neng\nOpt Express. 2015 May 18;23(10):12720-31. doi: 10.1364/OE.23.012720.","page":"12720-12731","title":"X-ray nanotomography using near-field ptychography","type":"article-journal","volume":"23"},"uris":["http://www.mendeley.com/documents/?uuid=47d8b451-10c5-4f92-8912-2de26588a428"]}],"mendeley":{"formattedCitation":"[262], [366]","plainTextFormattedCitation":"[262], [366]","previouslyFormattedCitation":"[262], [366]"},"properties":{"noteIndex":0},"schema":"https://github.com/citation-style-language/schema/raw/master/csl-citation.json"}</w:instrText>
      </w:r>
      <w:r>
        <w:fldChar w:fldCharType="separate"/>
      </w:r>
      <w:r w:rsidR="006C586A" w:rsidRPr="006C586A">
        <w:rPr>
          <w:noProof/>
        </w:rPr>
        <w:t>[262], [366]</w:t>
      </w:r>
      <w:r>
        <w:fldChar w:fldCharType="end"/>
      </w:r>
      <w:r>
        <w:t xml:space="preserve">. This due to a combination of factors. Namely the lower nickel volume percent the </w:t>
      </w:r>
      <w:r w:rsidRPr="006C64D8">
        <w:t>infiltrated samples</w:t>
      </w:r>
      <w:r>
        <w:t>, lower beam energy due to detector constraints</w:t>
      </w:r>
      <w:r w:rsidRPr="006C64D8">
        <w:t xml:space="preserve"> and </w:t>
      </w:r>
      <w:r w:rsidRPr="006C64D8">
        <w:rPr>
          <w:rFonts w:eastAsia="Times New Roman" w:cstheme="minorHAnsi"/>
          <w:color w:val="000000"/>
          <w:lang w:eastAsia="en-GB"/>
        </w:rPr>
        <w:t>the histogram being is dominated by the attenuation of the ambient air present in the scan</w:t>
      </w:r>
      <w:r>
        <w:rPr>
          <w:rFonts w:eastAsia="Times New Roman" w:cstheme="minorHAnsi"/>
          <w:color w:val="000000"/>
          <w:lang w:eastAsia="en-GB"/>
        </w:rPr>
        <w:t xml:space="preserve"> </w:t>
      </w:r>
      <w:r>
        <w:rPr>
          <w:rFonts w:eastAsia="Times New Roman" w:cstheme="minorHAnsi"/>
          <w:color w:val="000000"/>
          <w:lang w:eastAsia="en-GB"/>
        </w:rPr>
        <w:fldChar w:fldCharType="begin" w:fldLock="1"/>
      </w:r>
      <w:r w:rsidR="00EC62EF">
        <w:rPr>
          <w:rFonts w:eastAsia="Times New Roman" w:cstheme="minorHAnsi"/>
          <w:color w:val="000000"/>
          <w:lang w:eastAsia="en-GB"/>
        </w:rPr>
        <w:instrText>ADDIN CSL_CITATION {"citationItems":[{"id":"ITEM-1","itemData":{"DOI":"10.1006/adnd.1993.1013","author":[{"dropping-particle":"","family":"Henke","given":"B.L.","non-dropping-particle":"","parse-names":false,"suffix":""},{"dropping-particle":"","family":"Gullikson","given":"E.M.","non-dropping-particle":"","parse-names":false,"suffix":""},{"dropping-particle":"","family":"Davis","given":"J.C.","non-dropping-particle":"","parse-names":false,"suffix":""}],"container-title":"Atomic Data and Nuclear Data","id":"ITEM-1","issued":{"date-parts":[["1993"]]},"page":"181-342","title":"X-ray Interactions: Photoabsoprtion, Scattering, Transmission and Reflection at E=50-30,000 eV, Z=1-92","type":"article-journal","volume":"54"},"uris":["http://www.mendeley.com/documents/?uuid=49bca048-2db1-3dbe-81a3-4e16ab5c8a0d"]},{"id":"ITEM-2","itemData":{"DOI":"10.1364/OE.23.012720","ISBN":"1094-4087 (Electronic)\r1094-4087 (Linking)","PMID":"26074526","abstract":"Propagation-based imaging or inline holography in combination with computed tomography (holotomography) is a versatile tool to access a sample's three-dimensional (3D) micro or nano structure. However, the phase retrieval step needed prior to tomographic reconstruction can be challenging especially for strongly absorbing and refracting samples. Near-field ptychography is a recently developed phase imaging method that has been proven to overcome this hurdle in projection data. In this work we extend near-field ptychography to three dimensions and we show that, in combination with tomography, it can access the nano structure of a solid oxide fuel cell (SOFC). The quality of the resulting tomographic data and the structural properties of the anode extracted from this volume were compared to previous results obtained with holotomography. This work highlights the potential of 3D near-field ptychography for reliable and detailed investigations of samples at the nanometer scale, with important applications in materials and life sciences among others.","author":[{"dropping-particle":"","family":"Stockmar","given":"M","non-dropping-particle":"","parse-names":false,"suffix":""},{"dropping-particle":"","family":"Hubert","given":"M","non-dropping-particle":"","parse-names":false,"suffix":""},{"dropping-particle":"","family":"Dierolf","given":"M","non-dropping-particle":"","parse-names":false,"suffix":""},{"dropping-particle":"","family":"Enders","given":"B","non-dropping-particle":"","parse-names":false,"suffix":""},{"dropping-particle":"","family":"Clare","given":"R","non-dropping-particle":"","parse-names":false,"suffix":""},{"dropping-particle":"","family":"Allner","given":"S","non-dropping-particle":"","parse-names":false,"suffix":""},{"dropping-particle":"","family":"Fehringer","given":"A","non-dropping-particle":"","parse-names":false,"suffix":""},{"dropping-particle":"","family":"Zanette","given":"I","non-dropping-particle":"","parse-names":false,"suffix":""},{"dropping-particle":"","family":"Villanova","given":"J","non-dropping-particle":"","parse-names":false,"suffix":""},{"dropping-particle":"","family":"Laurencin","given":"J","non-dropping-particle":"","parse-names":false,"suffix":""},{"dropping-particle":"","family":"Cloetens","given":"P","non-dropping-particle":"","parse-names":false,"suffix":""},{"dropping-particle":"","family":"Pfeiffer","given":"F","non-dropping-particle":"","parse-names":false,"suffix":""},{"dropping-particle":"","family":"Thibault","given":"P","non-dropping-particle":"","parse-names":false,"suffix":""}],"container-title":"Opt Express","edition":"2015/06/16","id":"ITEM-2","issue":"10","issued":{"date-parts":[["2015"]]},"note":"Stockmar, Marco\nHubert, Maxime\nDierolf, Martin\nEnders, Bjoern\nClare, Richard\nAllner, Sebastian\nFehringer, Andreas\nZanette, Irene\nVillanova, Julie\nLaurencin, Jerome\nCloetens, Peter\nPfeiffer, Franz\nThibault, Pierre\neng\nOpt Express. 2015 May 18;23(10):12720-31. doi: 10.1364/OE.23.012720.","page":"12720-12731","title":"X-ray nanotomography using near-field ptychography","type":"article-journal","volume":"23"},"uris":["http://www.mendeley.com/documents/?uuid=47d8b451-10c5-4f92-8912-2de26588a428"]},{"id":"ITEM-3","itemData":{"DOI":"10.1016/j.jpowsour.2013.06.069","ISSN":"03787753","abstract":"SOFC electrochemical performances are strongly dependent on the micro and nanostructure of the electrodes. 3D image analysis is an essential tool to characterise these microstructures. However, the studied volumes have to be sufficiently large to be representative of the heterogenous medium. In this study, quantitative phase contrast X-ray nano-holotomography is performed on large volumes of SOFC anode consisting by a Ni/YSZ cermet. Both the electrode functional layer and the current collector of anode supported cell are characterised in 3D. The setup and data processing adaptation needed for such an absorbing materials are described. The X-ray nano-holotomography was performed with an isotropic voxel size of 25 × 25 × 25 nm3 and a field of view of about 50 μm. This technique is non-destructive and was used in local tomography mode. After filtering and thresholding, the segmentation of the 3D reconstructions allows precisely separating the network of each phase of the electrode (metallic, ceramic and porosity), giving representative features of the microstructure. © 2013 Elsevier B.V. All rights reserved.","author":[{"dropping-particle":"","family":"Julie","given":"Villanova","non-dropping-particle":"","parse-names":false,"suffix":""},{"dropping-particle":"","family":"Jérôme","given":"Laurencin","non-dropping-particle":"","parse-names":false,"suffix":""},{"dropping-particle":"","family":"Peter","given":"Cloetens","non-dropping-particle":"","parse-names":false,"suffix":""},{"dropping-particle":"","family":"Pierre","given":"Bleuet","non-dropping-particle":"","parse-names":false,"suffix":""},{"dropping-particle":"","family":"Gérard","given":"Delette","non-dropping-particle":"","parse-names":false,"suffix":""},{"dropping-particle":"","family":"Heikki","given":"Suhonen","non-dropping-particle":"","parse-names":false,"suffix":""},{"dropping-particle":"","family":"François","given":"Usseglio Viretta","non-dropping-particle":"","parse-names":false,"suffix":""}],"container-title":"Journal of Power Sources","id":"ITEM-3","issued":{"date-parts":[["2013"]]},"page":"841-849","publisher":"Elsevier B.V","title":"3D phase mapping of solid oxide fuel cell YSZ/Ni cermet at the nanoscale by holographic X-ray nanotomography","type":"article-journal","volume":"243"},"uris":["http://www.mendeley.com/documents/?uuid=ef81f0f0-f7c6-4496-9196-8a577cb4d86e"]}],"mendeley":{"formattedCitation":"[262], [366], [500]","plainTextFormattedCitation":"[262], [366], [500]","previouslyFormattedCitation":"[262], [366], [500]"},"properties":{"noteIndex":0},"schema":"https://github.com/citation-style-language/schema/raw/master/csl-citation.json"}</w:instrText>
      </w:r>
      <w:r>
        <w:rPr>
          <w:rFonts w:eastAsia="Times New Roman" w:cstheme="minorHAnsi"/>
          <w:color w:val="000000"/>
          <w:lang w:eastAsia="en-GB"/>
        </w:rPr>
        <w:fldChar w:fldCharType="separate"/>
      </w:r>
      <w:r w:rsidR="008446C6" w:rsidRPr="008446C6">
        <w:rPr>
          <w:rFonts w:eastAsia="Times New Roman" w:cstheme="minorHAnsi"/>
          <w:noProof/>
          <w:color w:val="000000"/>
          <w:lang w:eastAsia="en-GB"/>
        </w:rPr>
        <w:t>[262], [366], [500]</w:t>
      </w:r>
      <w:r>
        <w:rPr>
          <w:rFonts w:eastAsia="Times New Roman" w:cstheme="minorHAnsi"/>
          <w:color w:val="000000"/>
          <w:lang w:eastAsia="en-GB"/>
        </w:rPr>
        <w:fldChar w:fldCharType="end"/>
      </w:r>
      <w:r w:rsidRPr="006C64D8">
        <w:rPr>
          <w:rFonts w:eastAsia="Times New Roman" w:cstheme="minorHAnsi"/>
          <w:color w:val="000000"/>
          <w:lang w:eastAsia="en-GB"/>
        </w:rPr>
        <w:t>.</w:t>
      </w:r>
    </w:p>
    <w:p w14:paraId="0347CBE4" w14:textId="1AF8500D" w:rsidR="00007F6C" w:rsidRPr="00A8040F" w:rsidRDefault="00007F6C" w:rsidP="00195CBF">
      <w:pPr>
        <w:pStyle w:val="Heading3"/>
      </w:pPr>
      <w:bookmarkStart w:id="587" w:name="_Toc69129455"/>
      <w:r>
        <w:t>6.3.4.2</w:t>
      </w:r>
      <w:r>
        <w:tab/>
      </w:r>
      <w:r w:rsidRPr="00A8040F">
        <w:t xml:space="preserve">Phase segmentation using </w:t>
      </w:r>
      <w:proofErr w:type="gramStart"/>
      <w:r w:rsidR="00211A89">
        <w:t>P</w:t>
      </w:r>
      <w:r w:rsidRPr="00A8040F">
        <w:t>tychography</w:t>
      </w:r>
      <w:bookmarkEnd w:id="587"/>
      <w:proofErr w:type="gramEnd"/>
    </w:p>
    <w:p w14:paraId="746590CA" w14:textId="23FD05F5" w:rsidR="00007F6C" w:rsidRDefault="00C0550A" w:rsidP="00195CBF">
      <w:pPr>
        <w:pStyle w:val="Heading4"/>
      </w:pPr>
      <w:bookmarkStart w:id="588" w:name="_Hlk47434276"/>
      <w:r>
        <w:t xml:space="preserve">6.3.4.2.1 </w:t>
      </w:r>
      <w:r w:rsidR="00007F6C">
        <w:t xml:space="preserve">Ni-YSZ </w:t>
      </w:r>
      <w:r w:rsidR="00007F6C" w:rsidRPr="00006447">
        <w:t>Contrast sample</w:t>
      </w:r>
    </w:p>
    <w:p w14:paraId="7770809B" w14:textId="77777777" w:rsidR="00007F6C" w:rsidRDefault="00007F6C" w:rsidP="00007F6C">
      <w:pPr>
        <w:jc w:val="both"/>
      </w:pPr>
      <w:r>
        <w:t xml:space="preserve">A Ni-YSZ cermet sample was scanned using the I13-1 Beamline to determine the grayscale values for the three phases: the nickel, the YSZ and the pores. This will be described furthermore as the contrast sample. The scan size was 25 x 25 x 10 </w:t>
      </w:r>
      <w:r>
        <w:rPr>
          <w:rFonts w:cstheme="minorHAnsi"/>
        </w:rPr>
        <w:t>µ</w:t>
      </w:r>
      <w:r>
        <w:t xml:space="preserve">m in size. The top 25 % of the scan contained imaged just atmospheric air. </w:t>
      </w:r>
    </w:p>
    <w:p w14:paraId="3202A861" w14:textId="77777777" w:rsidR="00007F6C" w:rsidRDefault="00007F6C" w:rsidP="00007F6C">
      <w:pPr>
        <w:jc w:val="both"/>
      </w:pPr>
      <w:r>
        <w:t xml:space="preserve">The resulting tomograms of the contrast sample were used to generate grayscale values </w:t>
      </w:r>
      <w:proofErr w:type="gramStart"/>
      <w:r>
        <w:t>for  A</w:t>
      </w:r>
      <w:proofErr w:type="gramEnd"/>
      <w:r>
        <w:t xml:space="preserve"> line profile was used across the centre of the tomogram in the FIJI analysis software to calculate the average grayscale value (GSV) of the air and the range of the data. Each line profile had 500 measurement points with a total of 6-line profiles being taken from ortho-slices 1-100. The average GSV for the air phase was calculated to be 57.44, with the GSV ranging from 36-70. </w:t>
      </w:r>
    </w:p>
    <w:p w14:paraId="2B0264A3" w14:textId="77777777" w:rsidR="00007F6C" w:rsidRDefault="00007F6C" w:rsidP="00007F6C">
      <w:pPr>
        <w:jc w:val="both"/>
      </w:pPr>
      <w:r>
        <w:t xml:space="preserve">Utilising these GSVs for Air, the three phases were segmented using the threshold function in Avizo Lite across 256 bins. The nickel was the darkest phase because of its reduced vol % compared to the YSZ scaffold and its seven times smaller mass attenuation coefficient. </w:t>
      </w:r>
    </w:p>
    <w:p w14:paraId="15DB7B10" w14:textId="1B44B508" w:rsidR="00007F6C" w:rsidRDefault="00007F6C" w:rsidP="00007F6C">
      <w:pPr>
        <w:jc w:val="both"/>
      </w:pPr>
      <w:r>
        <w:t>In terms of GSV the bins the Nickel was found to occupy were between 1-35 and the YSZ between 70-255. These quantities were used to segment the individual reconstructed tomograms and produce 3D renderings of the contrast sample microstructure</w:t>
      </w:r>
      <w:r w:rsidR="007035E6">
        <w:t xml:space="preserve"> </w:t>
      </w:r>
      <w:r>
        <w:t>(</w:t>
      </w:r>
      <w:r>
        <w:fldChar w:fldCharType="begin"/>
      </w:r>
      <w:r>
        <w:instrText xml:space="preserve"> REF _Ref46930758 \h  \* MERGEFORMAT </w:instrText>
      </w:r>
      <w:r>
        <w:fldChar w:fldCharType="separate"/>
      </w:r>
      <w:r w:rsidR="009826C5">
        <w:t xml:space="preserve">Figure </w:t>
      </w:r>
      <w:r w:rsidR="009826C5">
        <w:rPr>
          <w:noProof/>
        </w:rPr>
        <w:t>6.18</w:t>
      </w:r>
      <w:r>
        <w:fldChar w:fldCharType="end"/>
      </w:r>
      <w:r>
        <w:t xml:space="preserve"> and </w:t>
      </w:r>
      <w:r>
        <w:fldChar w:fldCharType="begin"/>
      </w:r>
      <w:r>
        <w:instrText xml:space="preserve"> REF _Ref46930756 \h </w:instrText>
      </w:r>
      <w:r>
        <w:fldChar w:fldCharType="separate"/>
      </w:r>
      <w:r w:rsidR="009826C5">
        <w:t>Figure 6.</w:t>
      </w:r>
      <w:r w:rsidR="009826C5">
        <w:rPr>
          <w:noProof/>
        </w:rPr>
        <w:t>19</w:t>
      </w:r>
      <w:r>
        <w:fldChar w:fldCharType="end"/>
      </w:r>
      <w:r>
        <w:rPr>
          <w:noProof/>
        </w:rPr>
        <w:t>)</w:t>
      </w:r>
      <w:r>
        <w:t>. These ranges also matched the expected grayscale values calculated from the mass attenuation coefficient ratio discussed earlier.</w:t>
      </w:r>
    </w:p>
    <w:p w14:paraId="200CD0FB" w14:textId="72534514" w:rsidR="00007F6C" w:rsidRDefault="00D10F25" w:rsidP="00007F6C">
      <w:pPr>
        <w:keepNext/>
        <w:jc w:val="center"/>
      </w:pPr>
      <w:r>
        <w:rPr>
          <w:noProof/>
        </w:rPr>
        <w:lastRenderedPageBreak/>
        <w:drawing>
          <wp:inline distT="0" distB="0" distL="0" distR="0" wp14:anchorId="7F8E1243" wp14:editId="64F1F3F0">
            <wp:extent cx="3600000" cy="3532881"/>
            <wp:effectExtent l="0" t="0" r="635" b="0"/>
            <wp:docPr id="473" name="Picture 47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Chart&#10;&#10;Description automatically generated"/>
                    <pic:cNvPicPr/>
                  </pic:nvPicPr>
                  <pic:blipFill>
                    <a:blip r:embed="rId191">
                      <a:extLst>
                        <a:ext uri="{28A0092B-C50C-407E-A947-70E740481C1C}">
                          <a14:useLocalDpi xmlns:a14="http://schemas.microsoft.com/office/drawing/2010/main" val="0"/>
                        </a:ext>
                      </a:extLst>
                    </a:blip>
                    <a:stretch>
                      <a:fillRect/>
                    </a:stretch>
                  </pic:blipFill>
                  <pic:spPr>
                    <a:xfrm>
                      <a:off x="0" y="0"/>
                      <a:ext cx="3600000" cy="3532881"/>
                    </a:xfrm>
                    <a:prstGeom prst="rect">
                      <a:avLst/>
                    </a:prstGeom>
                  </pic:spPr>
                </pic:pic>
              </a:graphicData>
            </a:graphic>
          </wp:inline>
        </w:drawing>
      </w:r>
    </w:p>
    <w:p w14:paraId="26BA018E" w14:textId="706FA05C" w:rsidR="00007F6C" w:rsidRPr="000E1EBD" w:rsidRDefault="00007F6C" w:rsidP="00211A89">
      <w:pPr>
        <w:pStyle w:val="Caption"/>
        <w:spacing w:after="240"/>
      </w:pPr>
      <w:bookmarkStart w:id="589" w:name="_Ref46930758"/>
      <w:bookmarkStart w:id="590" w:name="_Toc69115069"/>
      <w:r>
        <w:t>Figure 6.</w:t>
      </w:r>
      <w:r w:rsidR="00B51F53">
        <w:fldChar w:fldCharType="begin"/>
      </w:r>
      <w:r w:rsidR="00B51F53">
        <w:instrText xml:space="preserve"> SEQ Figure \* ARABIC </w:instrText>
      </w:r>
      <w:r w:rsidR="00B51F53">
        <w:fldChar w:fldCharType="separate"/>
      </w:r>
      <w:r w:rsidR="00211A89">
        <w:rPr>
          <w:noProof/>
        </w:rPr>
        <w:t>18</w:t>
      </w:r>
      <w:r w:rsidR="00B51F53">
        <w:rPr>
          <w:noProof/>
        </w:rPr>
        <w:fldChar w:fldCharType="end"/>
      </w:r>
      <w:bookmarkEnd w:id="589"/>
      <w:r>
        <w:t xml:space="preserve">: </w:t>
      </w:r>
      <w:r w:rsidRPr="000E1EBD">
        <w:t>3D Rendering of the microstructure in the Ni-YSZ cermet</w:t>
      </w:r>
      <w:r>
        <w:t xml:space="preserve"> contrast</w:t>
      </w:r>
      <w:r w:rsidRPr="000E1EBD">
        <w:t xml:space="preserve"> sample. The white phase is the</w:t>
      </w:r>
      <w:r>
        <w:t xml:space="preserve"> YSZ ceramic </w:t>
      </w:r>
      <w:r w:rsidR="004838FA">
        <w:t>scaffold,</w:t>
      </w:r>
      <w:r>
        <w:t xml:space="preserve"> and the red phase is the Ni metal. The orientation is </w:t>
      </w:r>
      <w:proofErr w:type="gramStart"/>
      <w:r>
        <w:t>XY</w:t>
      </w:r>
      <w:bookmarkEnd w:id="590"/>
      <w:proofErr w:type="gramEnd"/>
    </w:p>
    <w:p w14:paraId="48DA6C4B" w14:textId="77777777" w:rsidR="00007F6C" w:rsidRPr="003A1751" w:rsidRDefault="00007F6C" w:rsidP="00007F6C">
      <w:pPr>
        <w:jc w:val="both"/>
      </w:pPr>
      <w:r w:rsidRPr="003A1751">
        <w:t xml:space="preserve">The GSV were also calculated for the nickel and YSZ phases using the line plot method in FIJI.  Each line profile had 100 measurement points with a total of 6-line profiles being taken from ortho-slices 370-395. The average GSV for the </w:t>
      </w:r>
      <w:r>
        <w:t>ceramic scaffold</w:t>
      </w:r>
      <w:r w:rsidRPr="003A1751">
        <w:t xml:space="preserve"> </w:t>
      </w:r>
      <w:r>
        <w:t xml:space="preserve">and nickel metal </w:t>
      </w:r>
      <w:r w:rsidRPr="003A1751">
        <w:t>phase</w:t>
      </w:r>
      <w:r>
        <w:t>s</w:t>
      </w:r>
      <w:r w:rsidRPr="003A1751">
        <w:t xml:space="preserve"> w</w:t>
      </w:r>
      <w:r>
        <w:t>ere</w:t>
      </w:r>
      <w:r w:rsidRPr="003A1751">
        <w:t xml:space="preserve"> calculated to be </w:t>
      </w:r>
      <w:r>
        <w:t>197.76 and 24.32, respectively. These results underline that the nickel phase is the darkest present for the tomography datasets.</w:t>
      </w:r>
    </w:p>
    <w:p w14:paraId="7E794C90" w14:textId="6B6A4A52" w:rsidR="00007F6C" w:rsidRDefault="007035E6" w:rsidP="00007F6C">
      <w:pPr>
        <w:pStyle w:val="Caption"/>
        <w:keepNext/>
      </w:pPr>
      <w:r>
        <w:rPr>
          <w:noProof/>
        </w:rPr>
        <w:drawing>
          <wp:inline distT="0" distB="0" distL="0" distR="0" wp14:anchorId="67B22E03" wp14:editId="00CCC270">
            <wp:extent cx="3603048" cy="2712955"/>
            <wp:effectExtent l="0" t="0" r="0" b="0"/>
            <wp:docPr id="476" name="Picture 47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descr="Map&#10;&#10;Description automatically generated"/>
                    <pic:cNvPicPr/>
                  </pic:nvPicPr>
                  <pic:blipFill>
                    <a:blip r:embed="rId192">
                      <a:extLst>
                        <a:ext uri="{28A0092B-C50C-407E-A947-70E740481C1C}">
                          <a14:useLocalDpi xmlns:a14="http://schemas.microsoft.com/office/drawing/2010/main" val="0"/>
                        </a:ext>
                      </a:extLst>
                    </a:blip>
                    <a:stretch>
                      <a:fillRect/>
                    </a:stretch>
                  </pic:blipFill>
                  <pic:spPr>
                    <a:xfrm>
                      <a:off x="0" y="0"/>
                      <a:ext cx="3603048" cy="2712955"/>
                    </a:xfrm>
                    <a:prstGeom prst="rect">
                      <a:avLst/>
                    </a:prstGeom>
                  </pic:spPr>
                </pic:pic>
              </a:graphicData>
            </a:graphic>
          </wp:inline>
        </w:drawing>
      </w:r>
    </w:p>
    <w:p w14:paraId="0E7B2FEB" w14:textId="5E2B63C9" w:rsidR="00007F6C" w:rsidRDefault="00007F6C" w:rsidP="004838FA">
      <w:pPr>
        <w:pStyle w:val="Caption"/>
        <w:spacing w:after="240"/>
      </w:pPr>
      <w:bookmarkStart w:id="591" w:name="_Ref46930756"/>
      <w:bookmarkStart w:id="592" w:name="_Toc69115070"/>
      <w:r>
        <w:t>Figure 6.</w:t>
      </w:r>
      <w:r w:rsidR="00B51F53">
        <w:fldChar w:fldCharType="begin"/>
      </w:r>
      <w:r w:rsidR="00B51F53">
        <w:instrText xml:space="preserve"> SEQ Figure \* ARABIC </w:instrText>
      </w:r>
      <w:r w:rsidR="00B51F53">
        <w:fldChar w:fldCharType="separate"/>
      </w:r>
      <w:r w:rsidR="00211A89">
        <w:rPr>
          <w:noProof/>
        </w:rPr>
        <w:t>19</w:t>
      </w:r>
      <w:r w:rsidR="00B51F53">
        <w:rPr>
          <w:noProof/>
        </w:rPr>
        <w:fldChar w:fldCharType="end"/>
      </w:r>
      <w:bookmarkEnd w:id="591"/>
      <w:r>
        <w:t xml:space="preserve">: </w:t>
      </w:r>
      <w:r w:rsidRPr="000E1EBD">
        <w:t>3D Rendering</w:t>
      </w:r>
      <w:r>
        <w:t>s</w:t>
      </w:r>
      <w:r w:rsidRPr="000E1EBD">
        <w:t xml:space="preserve"> of the microstructure in the Ni-YSZ cermet</w:t>
      </w:r>
      <w:r>
        <w:t xml:space="preserve"> contrast</w:t>
      </w:r>
      <w:r w:rsidRPr="000E1EBD">
        <w:t xml:space="preserve"> sample. The white phase is the</w:t>
      </w:r>
      <w:r>
        <w:t xml:space="preserve"> YSZ ceramic </w:t>
      </w:r>
      <w:r w:rsidR="004838FA">
        <w:t>scaffold,</w:t>
      </w:r>
      <w:r>
        <w:t xml:space="preserve"> and the red phase is the Ni metal. The orientations from top to bottom are XZ and </w:t>
      </w:r>
      <w:proofErr w:type="gramStart"/>
      <w:r>
        <w:t>YZ</w:t>
      </w:r>
      <w:bookmarkEnd w:id="592"/>
      <w:proofErr w:type="gramEnd"/>
    </w:p>
    <w:p w14:paraId="26EA0ABD" w14:textId="70F7674C" w:rsidR="00007F6C" w:rsidRDefault="00007F6C" w:rsidP="00007F6C">
      <w:pPr>
        <w:jc w:val="both"/>
      </w:pPr>
      <w:r>
        <w:t>Despite the pore phase separating the catalyst and the ceramic support in the grayscale histogram., the 3D renderings show that the catalyst is in contact with the YSZ in multiple positions</w:t>
      </w:r>
      <w:r w:rsidR="004838FA">
        <w:t xml:space="preserve"> (</w:t>
      </w:r>
      <w:r w:rsidR="004838FA">
        <w:fldChar w:fldCharType="begin"/>
      </w:r>
      <w:r w:rsidR="004838FA">
        <w:instrText xml:space="preserve"> REF _Ref69113174 \h </w:instrText>
      </w:r>
      <w:r w:rsidR="004838FA">
        <w:fldChar w:fldCharType="separate"/>
      </w:r>
      <w:r w:rsidR="004838FA">
        <w:t>Figure 6.</w:t>
      </w:r>
      <w:r w:rsidR="004838FA">
        <w:rPr>
          <w:noProof/>
        </w:rPr>
        <w:t>20</w:t>
      </w:r>
      <w:r w:rsidR="004838FA">
        <w:fldChar w:fldCharType="end"/>
      </w:r>
      <w:r w:rsidR="004838FA">
        <w:t xml:space="preserve"> and </w:t>
      </w:r>
      <w:r w:rsidR="004838FA">
        <w:fldChar w:fldCharType="begin"/>
      </w:r>
      <w:r w:rsidR="004838FA">
        <w:instrText xml:space="preserve"> REF _Ref69113176 \h </w:instrText>
      </w:r>
      <w:r w:rsidR="004838FA">
        <w:fldChar w:fldCharType="separate"/>
      </w:r>
      <w:r w:rsidR="004838FA">
        <w:t>Figure 6.</w:t>
      </w:r>
      <w:r w:rsidR="004838FA">
        <w:rPr>
          <w:noProof/>
        </w:rPr>
        <w:t>21</w:t>
      </w:r>
      <w:r w:rsidR="004838FA">
        <w:fldChar w:fldCharType="end"/>
      </w:r>
      <w:r w:rsidR="004838FA">
        <w:t>)</w:t>
      </w:r>
      <w:r>
        <w:t xml:space="preserve">. </w:t>
      </w:r>
    </w:p>
    <w:p w14:paraId="7BAAA942" w14:textId="02ED6E9C" w:rsidR="00007F6C" w:rsidRDefault="007035E6" w:rsidP="00007F6C">
      <w:pPr>
        <w:keepNext/>
        <w:jc w:val="center"/>
      </w:pPr>
      <w:r>
        <w:rPr>
          <w:noProof/>
        </w:rPr>
        <w:lastRenderedPageBreak/>
        <w:drawing>
          <wp:inline distT="0" distB="0" distL="0" distR="0" wp14:anchorId="69B8FD08" wp14:editId="76C559D7">
            <wp:extent cx="3600000" cy="3576032"/>
            <wp:effectExtent l="0" t="0" r="635" b="5715"/>
            <wp:docPr id="475" name="Picture 47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descr="Diagram&#10;&#10;Description automatically generated"/>
                    <pic:cNvPicPr/>
                  </pic:nvPicPr>
                  <pic:blipFill>
                    <a:blip r:embed="rId193">
                      <a:extLst>
                        <a:ext uri="{28A0092B-C50C-407E-A947-70E740481C1C}">
                          <a14:useLocalDpi xmlns:a14="http://schemas.microsoft.com/office/drawing/2010/main" val="0"/>
                        </a:ext>
                      </a:extLst>
                    </a:blip>
                    <a:stretch>
                      <a:fillRect/>
                    </a:stretch>
                  </pic:blipFill>
                  <pic:spPr>
                    <a:xfrm>
                      <a:off x="0" y="0"/>
                      <a:ext cx="3600000" cy="3576032"/>
                    </a:xfrm>
                    <a:prstGeom prst="rect">
                      <a:avLst/>
                    </a:prstGeom>
                  </pic:spPr>
                </pic:pic>
              </a:graphicData>
            </a:graphic>
          </wp:inline>
        </w:drawing>
      </w:r>
    </w:p>
    <w:p w14:paraId="5D2C3672" w14:textId="4BD40503" w:rsidR="00007F6C" w:rsidRDefault="00007F6C" w:rsidP="00007F6C">
      <w:pPr>
        <w:pStyle w:val="Caption"/>
      </w:pPr>
      <w:bookmarkStart w:id="593" w:name="_Ref69113174"/>
      <w:bookmarkStart w:id="594" w:name="_Toc69115071"/>
      <w:r>
        <w:t>Figure 6.</w:t>
      </w:r>
      <w:r w:rsidR="00B51F53">
        <w:fldChar w:fldCharType="begin"/>
      </w:r>
      <w:r w:rsidR="00B51F53">
        <w:instrText xml:space="preserve"> SEQ Figure \* ARABIC </w:instrText>
      </w:r>
      <w:r w:rsidR="00B51F53">
        <w:fldChar w:fldCharType="separate"/>
      </w:r>
      <w:r w:rsidR="00211A89">
        <w:rPr>
          <w:noProof/>
        </w:rPr>
        <w:t>20</w:t>
      </w:r>
      <w:r w:rsidR="00B51F53">
        <w:rPr>
          <w:noProof/>
        </w:rPr>
        <w:fldChar w:fldCharType="end"/>
      </w:r>
      <w:bookmarkEnd w:id="593"/>
      <w:r>
        <w:t xml:space="preserve">: </w:t>
      </w:r>
      <w:r w:rsidRPr="000E1EBD">
        <w:t>3D Rendering of the microstructure in the Ni-YSZ cermet</w:t>
      </w:r>
      <w:r>
        <w:t xml:space="preserve"> contrast</w:t>
      </w:r>
      <w:r w:rsidRPr="000E1EBD">
        <w:t xml:space="preserve"> sample. The white phase is the</w:t>
      </w:r>
      <w:r>
        <w:t xml:space="preserve"> YSZ ceramic scaffold, the red phase is the Ni </w:t>
      </w:r>
      <w:proofErr w:type="gramStart"/>
      <w:r>
        <w:t>metal</w:t>
      </w:r>
      <w:proofErr w:type="gramEnd"/>
      <w:r>
        <w:t xml:space="preserve"> and the grey phase is the air. The orientation is </w:t>
      </w:r>
      <w:proofErr w:type="gramStart"/>
      <w:r>
        <w:t>XY</w:t>
      </w:r>
      <w:bookmarkEnd w:id="594"/>
      <w:proofErr w:type="gramEnd"/>
    </w:p>
    <w:p w14:paraId="04319BCB" w14:textId="654AAA01" w:rsidR="00007F6C" w:rsidRDefault="007035E6" w:rsidP="00211A89">
      <w:pPr>
        <w:keepNext/>
        <w:spacing w:after="0"/>
        <w:jc w:val="center"/>
      </w:pPr>
      <w:r>
        <w:rPr>
          <w:noProof/>
        </w:rPr>
        <w:drawing>
          <wp:inline distT="0" distB="0" distL="0" distR="0" wp14:anchorId="7C68C7BE" wp14:editId="02FC0876">
            <wp:extent cx="3603048" cy="2645893"/>
            <wp:effectExtent l="0" t="0" r="0" b="0"/>
            <wp:docPr id="477" name="Picture 477"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Diagram&#10;&#10;Description automatically generated with low confidence"/>
                    <pic:cNvPicPr/>
                  </pic:nvPicPr>
                  <pic:blipFill>
                    <a:blip r:embed="rId194">
                      <a:extLst>
                        <a:ext uri="{28A0092B-C50C-407E-A947-70E740481C1C}">
                          <a14:useLocalDpi xmlns:a14="http://schemas.microsoft.com/office/drawing/2010/main" val="0"/>
                        </a:ext>
                      </a:extLst>
                    </a:blip>
                    <a:stretch>
                      <a:fillRect/>
                    </a:stretch>
                  </pic:blipFill>
                  <pic:spPr>
                    <a:xfrm>
                      <a:off x="0" y="0"/>
                      <a:ext cx="3603048" cy="2645893"/>
                    </a:xfrm>
                    <a:prstGeom prst="rect">
                      <a:avLst/>
                    </a:prstGeom>
                  </pic:spPr>
                </pic:pic>
              </a:graphicData>
            </a:graphic>
          </wp:inline>
        </w:drawing>
      </w:r>
    </w:p>
    <w:p w14:paraId="7E326F31" w14:textId="52B53A7B" w:rsidR="00007F6C" w:rsidRDefault="00007F6C" w:rsidP="00211A89">
      <w:pPr>
        <w:pStyle w:val="Caption"/>
        <w:spacing w:after="240"/>
      </w:pPr>
      <w:bookmarkStart w:id="595" w:name="_Ref69113176"/>
      <w:bookmarkStart w:id="596" w:name="_Toc69115072"/>
      <w:r>
        <w:t>Figure 6.</w:t>
      </w:r>
      <w:r w:rsidR="00B51F53">
        <w:fldChar w:fldCharType="begin"/>
      </w:r>
      <w:r w:rsidR="00B51F53">
        <w:instrText xml:space="preserve"> SEQ Figure \* ARABIC </w:instrText>
      </w:r>
      <w:r w:rsidR="00B51F53">
        <w:fldChar w:fldCharType="separate"/>
      </w:r>
      <w:r w:rsidR="00211A89">
        <w:rPr>
          <w:noProof/>
        </w:rPr>
        <w:t>21</w:t>
      </w:r>
      <w:r w:rsidR="00B51F53">
        <w:rPr>
          <w:noProof/>
        </w:rPr>
        <w:fldChar w:fldCharType="end"/>
      </w:r>
      <w:bookmarkEnd w:id="595"/>
      <w:r>
        <w:t xml:space="preserve">: </w:t>
      </w:r>
      <w:r w:rsidRPr="000E1EBD">
        <w:t>3D Rendering</w:t>
      </w:r>
      <w:r>
        <w:t>s</w:t>
      </w:r>
      <w:r w:rsidRPr="000E1EBD">
        <w:t xml:space="preserve"> of the microstructure in the Ni-YSZ cermet</w:t>
      </w:r>
      <w:r>
        <w:t xml:space="preserve"> contrast</w:t>
      </w:r>
      <w:r w:rsidRPr="000E1EBD">
        <w:t xml:space="preserve"> sample. The white phase is the</w:t>
      </w:r>
      <w:r>
        <w:t xml:space="preserve"> YSZ ceramic scaffold, the red phase is the Ni </w:t>
      </w:r>
      <w:r w:rsidR="00211A89">
        <w:t>metal,</w:t>
      </w:r>
      <w:r>
        <w:t xml:space="preserve"> and the grey phase is the air. The orientations from top to bottom are XZ and </w:t>
      </w:r>
      <w:proofErr w:type="gramStart"/>
      <w:r>
        <w:t>YZ</w:t>
      </w:r>
      <w:bookmarkEnd w:id="596"/>
      <w:proofErr w:type="gramEnd"/>
    </w:p>
    <w:p w14:paraId="6FE0B0B2" w14:textId="2F7CAB20" w:rsidR="00007F6C" w:rsidRDefault="00C0550A" w:rsidP="00195CBF">
      <w:pPr>
        <w:pStyle w:val="Heading4"/>
      </w:pPr>
      <w:r>
        <w:t xml:space="preserve">6.3.4.2.2 </w:t>
      </w:r>
      <w:r w:rsidR="00007F6C">
        <w:t>Air-dried Ni-YSZ samples</w:t>
      </w:r>
    </w:p>
    <w:p w14:paraId="19E78D49" w14:textId="2847B2F3" w:rsidR="00007F6C" w:rsidRPr="004838FA" w:rsidRDefault="00007F6C" w:rsidP="004838FA">
      <w:pPr>
        <w:spacing w:line="240" w:lineRule="auto"/>
        <w:jc w:val="both"/>
      </w:pPr>
      <w:r w:rsidRPr="004838FA">
        <w:t>Quantitative analysis of the tomograms</w:t>
      </w:r>
      <w:r w:rsidR="004838FA" w:rsidRPr="004838FA">
        <w:t xml:space="preserve"> (</w:t>
      </w:r>
      <w:r w:rsidR="004838FA" w:rsidRPr="004838FA">
        <w:fldChar w:fldCharType="begin"/>
      </w:r>
      <w:r w:rsidR="004838FA" w:rsidRPr="004838FA">
        <w:instrText xml:space="preserve"> REF _Ref69113061 \h  \* MERGEFORMAT </w:instrText>
      </w:r>
      <w:r w:rsidR="004838FA" w:rsidRPr="004838FA">
        <w:fldChar w:fldCharType="separate"/>
      </w:r>
      <w:r w:rsidR="004838FA" w:rsidRPr="004838FA">
        <w:rPr>
          <w:rFonts w:cstheme="minorHAnsi"/>
        </w:rPr>
        <w:t>Figure 6.</w:t>
      </w:r>
      <w:r w:rsidR="004838FA" w:rsidRPr="004838FA">
        <w:rPr>
          <w:rFonts w:cstheme="minorHAnsi"/>
          <w:noProof/>
        </w:rPr>
        <w:t>13</w:t>
      </w:r>
      <w:r w:rsidR="004838FA" w:rsidRPr="004838FA">
        <w:fldChar w:fldCharType="end"/>
      </w:r>
      <w:r w:rsidR="004838FA" w:rsidRPr="004838FA">
        <w:t xml:space="preserve"> and </w:t>
      </w:r>
      <w:r w:rsidR="004838FA" w:rsidRPr="004838FA">
        <w:fldChar w:fldCharType="begin"/>
      </w:r>
      <w:r w:rsidR="004838FA" w:rsidRPr="004838FA">
        <w:instrText xml:space="preserve"> REF _Ref46755526 \h  \* MERGEFORMAT </w:instrText>
      </w:r>
      <w:r w:rsidR="004838FA" w:rsidRPr="004838FA">
        <w:fldChar w:fldCharType="separate"/>
      </w:r>
      <w:r w:rsidR="004838FA" w:rsidRPr="004838FA">
        <w:rPr>
          <w:rFonts w:cstheme="minorHAnsi"/>
        </w:rPr>
        <w:t>Figure 6.</w:t>
      </w:r>
      <w:r w:rsidR="004838FA" w:rsidRPr="004838FA">
        <w:rPr>
          <w:rFonts w:cstheme="minorHAnsi"/>
          <w:noProof/>
        </w:rPr>
        <w:t>14</w:t>
      </w:r>
      <w:r w:rsidR="004838FA" w:rsidRPr="004838FA">
        <w:fldChar w:fldCharType="end"/>
      </w:r>
      <w:r w:rsidR="004838FA" w:rsidRPr="004838FA">
        <w:t xml:space="preserve">) </w:t>
      </w:r>
      <w:r w:rsidRPr="004838FA">
        <w:t xml:space="preserve">for the 0 and 2 h aged Ni-YSZ samples showed poor phase contrast between the nickel and YSZ scaffold. A median filter and local contrast brightness and contrast JavaScript macro was used to de-convolute the images in ImageJ </w:t>
      </w:r>
      <w:r w:rsidRPr="004838FA">
        <w:fldChar w:fldCharType="begin" w:fldLock="1"/>
      </w:r>
      <w:r w:rsidR="00D80A5D" w:rsidRPr="004838FA">
        <w:instrText>ADDIN CSL_CITATION {"citationItems":[{"id":"ITEM-1","itemData":{"DOI":"10.1016/j.mattod.2019.05.019","ISSN":"18734103","abstract":"Over the last century, X-ray imaging instruments and their accompanying tomographic reconstruction algorithms have developed considerably. With improved tomogram quality and resolution, voxel sizes down to tens of nanometers can now be achieved. Moreover, recent advancements in readily accessible lab-based X-ray computed tomography (X-ray CT) instruments have produced spatial resolutions comparable to specialist synchrotron facilities. Electrochemical energy conversion devices, such as fuel cells and batteries, have inherently complex electrode microstructures to achieve competitive power delivery for consideration as replacements for conventional sources. With resolution capabilities spanning tens of microns to tens of nanometers, X-ray CT has become widely employed in the three-dimensional (3D) characterization of electrochemical materials. The ability to perform multiscale imaging has enabled characterization from system-down to particle-level, with the ability to resolve critical features within device microstructures. X-ray characterization presents a favorable alternative to other 3D methods, such as focused ion beam scanning electron microscopy, due to its non-destructive nature, which allows four-dimensional (4D) studies, three spatial dimensions plus time, linking structural dynamics to device performance and lifetime. X-ray CT has accelerated research from fundamental understanding of the links between cell structure and performance, to the improvement in manufacturing and scale-up of full electrochemical cells. Furthermore, this has aided in the mitigation of degradation and cell-level failures, such as thermal runaway. This review presents recent developments in the use of X-ray CT as a characterization method and its role in the advancement of electrochemical materials engineering.","author":[{"dropping-particle":"","family":"Heenan","given":"Thomas M.M.","non-dropping-particle":"","parse-names":false,"suffix":""},{"dropping-particle":"","family":"Tan","given":"Chun","non-dropping-particle":"","parse-names":false,"suffix":""},{"dropping-particle":"","family":"Hack","given":"Jennifer","non-dropping-particle":"","parse-names":false,"suffix":""},{"dropping-particle":"","family":"Brett","given":"Dan J.L.","non-dropping-particle":"","parse-names":false,"suffix":""},{"dropping-particle":"","family":"Shearing","given":"Paul R.","non-dropping-particle":"","parse-names":false,"suffix":""}],"container-title":"Materials Today","id":"ITEM-1","issue":"December","issued":{"date-parts":[["2019"]]},"page":"69-85","publisher":"Elsevier B.V.","title":"Developments in X-ray tomography characterization for electrochemical devices","type":"article-journal","volume":"31"},"uris":["http://www.mendeley.com/documents/?uuid=5a69f3ee-6f01-46b1-a3b2-22259527df4c"]}],"mendeley":{"formattedCitation":"[255]","plainTextFormattedCitation":"[255]","previouslyFormattedCitation":"[255]"},"properties":{"noteIndex":0},"schema":"https://github.com/citation-style-language/schema/raw/master/csl-citation.json"}</w:instrText>
      </w:r>
      <w:r w:rsidRPr="004838FA">
        <w:fldChar w:fldCharType="separate"/>
      </w:r>
      <w:r w:rsidR="006C586A" w:rsidRPr="004838FA">
        <w:rPr>
          <w:noProof/>
        </w:rPr>
        <w:t>[255]</w:t>
      </w:r>
      <w:r w:rsidRPr="004838FA">
        <w:fldChar w:fldCharType="end"/>
      </w:r>
      <w:r w:rsidRPr="004838FA">
        <w:t xml:space="preserve">.  </w:t>
      </w:r>
    </w:p>
    <w:p w14:paraId="6F85202F" w14:textId="77777777" w:rsidR="004838FA" w:rsidRDefault="00007F6C" w:rsidP="00007F6C">
      <w:pPr>
        <w:spacing w:after="0" w:line="240" w:lineRule="auto"/>
        <w:jc w:val="both"/>
        <w:rPr>
          <w:rFonts w:eastAsia="Times New Roman" w:cstheme="minorHAnsi"/>
          <w:color w:val="000000"/>
          <w:lang w:eastAsia="en-GB"/>
        </w:rPr>
      </w:pPr>
      <w:r>
        <w:rPr>
          <w:rFonts w:eastAsia="Times New Roman" w:cstheme="minorHAnsi"/>
          <w:color w:val="000000"/>
          <w:lang w:eastAsia="en-GB"/>
        </w:rPr>
        <w:t xml:space="preserve">Despite the high attenuation from the ceramic phase and attenuation due to sample thickness, the coarsening of the catalyst could be tracked by monitoring the change in the pore volume percent with ageing time. </w:t>
      </w:r>
      <w:r w:rsidRPr="002A5E29">
        <w:rPr>
          <w:rFonts w:eastAsia="Times New Roman" w:cstheme="minorHAnsi"/>
          <w:color w:val="000000"/>
          <w:lang w:eastAsia="en-GB"/>
        </w:rPr>
        <w:t xml:space="preserve">A </w:t>
      </w:r>
      <w:r>
        <w:rPr>
          <w:rFonts w:eastAsia="Times New Roman" w:cstheme="minorHAnsi"/>
          <w:color w:val="000000"/>
          <w:lang w:eastAsia="en-GB"/>
        </w:rPr>
        <w:t xml:space="preserve">7.5 * 7.5 * 8 µm </w:t>
      </w:r>
      <w:r w:rsidRPr="002A5E29">
        <w:rPr>
          <w:rFonts w:eastAsia="Times New Roman" w:cstheme="minorHAnsi"/>
          <w:color w:val="000000"/>
          <w:lang w:eastAsia="en-GB"/>
        </w:rPr>
        <w:t xml:space="preserve">region of interest </w:t>
      </w:r>
      <w:r>
        <w:rPr>
          <w:rFonts w:eastAsia="Times New Roman" w:cstheme="minorHAnsi"/>
          <w:color w:val="000000"/>
          <w:lang w:eastAsia="en-GB"/>
        </w:rPr>
        <w:t>between the fuel electrode and the electrolyte was selected</w:t>
      </w:r>
      <w:r w:rsidR="004838FA">
        <w:rPr>
          <w:rFonts w:eastAsia="Times New Roman" w:cstheme="minorHAnsi"/>
          <w:color w:val="000000"/>
          <w:lang w:eastAsia="en-GB"/>
        </w:rPr>
        <w:t xml:space="preserve"> (see </w:t>
      </w:r>
      <w:r w:rsidR="004838FA">
        <w:rPr>
          <w:rFonts w:eastAsia="Times New Roman" w:cstheme="minorHAnsi"/>
          <w:color w:val="000000"/>
          <w:lang w:eastAsia="en-GB"/>
        </w:rPr>
        <w:fldChar w:fldCharType="begin"/>
      </w:r>
      <w:r w:rsidR="004838FA">
        <w:rPr>
          <w:rFonts w:eastAsia="Times New Roman" w:cstheme="minorHAnsi"/>
          <w:color w:val="000000"/>
          <w:lang w:eastAsia="en-GB"/>
        </w:rPr>
        <w:instrText xml:space="preserve"> REF _Ref69113255 \h </w:instrText>
      </w:r>
      <w:r w:rsidR="004838FA">
        <w:rPr>
          <w:rFonts w:eastAsia="Times New Roman" w:cstheme="minorHAnsi"/>
          <w:color w:val="000000"/>
          <w:lang w:eastAsia="en-GB"/>
        </w:rPr>
      </w:r>
      <w:r w:rsidR="004838FA">
        <w:rPr>
          <w:rFonts w:eastAsia="Times New Roman" w:cstheme="minorHAnsi"/>
          <w:color w:val="000000"/>
          <w:lang w:eastAsia="en-GB"/>
        </w:rPr>
        <w:fldChar w:fldCharType="separate"/>
      </w:r>
      <w:r w:rsidR="004838FA">
        <w:t>Figure 6.</w:t>
      </w:r>
      <w:r w:rsidR="004838FA">
        <w:rPr>
          <w:noProof/>
        </w:rPr>
        <w:t>22</w:t>
      </w:r>
      <w:r w:rsidR="004838FA">
        <w:rPr>
          <w:rFonts w:eastAsia="Times New Roman" w:cstheme="minorHAnsi"/>
          <w:color w:val="000000"/>
          <w:lang w:eastAsia="en-GB"/>
        </w:rPr>
        <w:fldChar w:fldCharType="end"/>
      </w:r>
      <w:r w:rsidR="004838FA">
        <w:rPr>
          <w:rFonts w:eastAsia="Times New Roman" w:cstheme="minorHAnsi"/>
          <w:color w:val="000000"/>
          <w:lang w:eastAsia="en-GB"/>
        </w:rPr>
        <w:t xml:space="preserve"> and </w:t>
      </w:r>
      <w:r w:rsidR="004838FA">
        <w:rPr>
          <w:rFonts w:eastAsia="Times New Roman" w:cstheme="minorHAnsi"/>
          <w:color w:val="000000"/>
          <w:lang w:eastAsia="en-GB"/>
        </w:rPr>
        <w:fldChar w:fldCharType="begin"/>
      </w:r>
      <w:r w:rsidR="004838FA">
        <w:rPr>
          <w:rFonts w:eastAsia="Times New Roman" w:cstheme="minorHAnsi"/>
          <w:color w:val="000000"/>
          <w:lang w:eastAsia="en-GB"/>
        </w:rPr>
        <w:instrText xml:space="preserve"> REF _Ref49345353 \h </w:instrText>
      </w:r>
      <w:r w:rsidR="004838FA">
        <w:rPr>
          <w:rFonts w:eastAsia="Times New Roman" w:cstheme="minorHAnsi"/>
          <w:color w:val="000000"/>
          <w:lang w:eastAsia="en-GB"/>
        </w:rPr>
      </w:r>
      <w:r w:rsidR="004838FA">
        <w:rPr>
          <w:rFonts w:eastAsia="Times New Roman" w:cstheme="minorHAnsi"/>
          <w:color w:val="000000"/>
          <w:lang w:eastAsia="en-GB"/>
        </w:rPr>
        <w:fldChar w:fldCharType="separate"/>
      </w:r>
      <w:r w:rsidR="004838FA">
        <w:t>Figure 6.</w:t>
      </w:r>
      <w:r w:rsidR="004838FA">
        <w:rPr>
          <w:noProof/>
        </w:rPr>
        <w:t>23</w:t>
      </w:r>
      <w:r w:rsidR="004838FA">
        <w:rPr>
          <w:rFonts w:eastAsia="Times New Roman" w:cstheme="minorHAnsi"/>
          <w:color w:val="000000"/>
          <w:lang w:eastAsia="en-GB"/>
        </w:rPr>
        <w:fldChar w:fldCharType="end"/>
      </w:r>
      <w:r w:rsidR="004838FA">
        <w:rPr>
          <w:rFonts w:eastAsia="Times New Roman" w:cstheme="minorHAnsi"/>
          <w:color w:val="000000"/>
          <w:lang w:eastAsia="en-GB"/>
        </w:rPr>
        <w:t>)</w:t>
      </w:r>
      <w:r>
        <w:rPr>
          <w:rFonts w:eastAsia="Times New Roman" w:cstheme="minorHAnsi"/>
          <w:color w:val="000000"/>
          <w:lang w:eastAsia="en-GB"/>
        </w:rPr>
        <w:t xml:space="preserve">. </w:t>
      </w:r>
    </w:p>
    <w:p w14:paraId="6323DD4B" w14:textId="5887DF0F" w:rsidR="00007F6C" w:rsidRDefault="00007F6C" w:rsidP="00007F6C">
      <w:pPr>
        <w:spacing w:after="0" w:line="240" w:lineRule="auto"/>
        <w:jc w:val="both"/>
        <w:rPr>
          <w:rFonts w:eastAsia="Times New Roman" w:cstheme="minorHAnsi"/>
          <w:color w:val="000000"/>
          <w:lang w:eastAsia="en-GB"/>
        </w:rPr>
      </w:pPr>
      <w:r>
        <w:rPr>
          <w:rFonts w:eastAsia="Times New Roman" w:cstheme="minorHAnsi"/>
          <w:color w:val="000000"/>
          <w:lang w:eastAsia="en-GB"/>
        </w:rPr>
        <w:lastRenderedPageBreak/>
        <w:t xml:space="preserve">This was selected for comparison purposes with the nitrogen dried samples. This portion </w:t>
      </w:r>
      <w:r w:rsidRPr="002A5E29">
        <w:rPr>
          <w:rFonts w:eastAsia="Times New Roman" w:cstheme="minorHAnsi"/>
          <w:color w:val="000000"/>
          <w:lang w:eastAsia="en-GB"/>
        </w:rPr>
        <w:t>was segmented</w:t>
      </w:r>
      <w:r>
        <w:rPr>
          <w:rFonts w:eastAsia="Times New Roman" w:cstheme="minorHAnsi"/>
          <w:color w:val="000000"/>
          <w:lang w:eastAsia="en-GB"/>
        </w:rPr>
        <w:t xml:space="preserve"> using the GSVs</w:t>
      </w:r>
      <w:r w:rsidRPr="002A5E29">
        <w:rPr>
          <w:rFonts w:eastAsia="Times New Roman" w:cstheme="minorHAnsi"/>
          <w:color w:val="000000"/>
          <w:lang w:eastAsia="en-GB"/>
        </w:rPr>
        <w:t xml:space="preserve"> </w:t>
      </w:r>
      <w:r>
        <w:rPr>
          <w:rFonts w:eastAsia="Times New Roman" w:cstheme="minorHAnsi"/>
          <w:color w:val="000000"/>
          <w:lang w:eastAsia="en-GB"/>
        </w:rPr>
        <w:t xml:space="preserve">from the contrast sample and the </w:t>
      </w:r>
      <w:r w:rsidRPr="002A5E29">
        <w:rPr>
          <w:rFonts w:eastAsia="Times New Roman" w:cstheme="minorHAnsi"/>
          <w:color w:val="000000"/>
          <w:lang w:eastAsia="en-GB"/>
        </w:rPr>
        <w:t xml:space="preserve">from the samples </w:t>
      </w:r>
      <w:r>
        <w:rPr>
          <w:rFonts w:eastAsia="Times New Roman" w:cstheme="minorHAnsi"/>
          <w:color w:val="000000"/>
          <w:lang w:eastAsia="en-GB"/>
        </w:rPr>
        <w:t xml:space="preserve">using the L shaped pore structure denoted in </w:t>
      </w:r>
      <w:r>
        <w:rPr>
          <w:rFonts w:eastAsia="Times New Roman" w:cstheme="minorHAnsi"/>
          <w:color w:val="000000"/>
          <w:lang w:eastAsia="en-GB"/>
        </w:rPr>
        <w:fldChar w:fldCharType="begin"/>
      </w:r>
      <w:r>
        <w:rPr>
          <w:rFonts w:eastAsia="Times New Roman" w:cstheme="minorHAnsi"/>
          <w:color w:val="000000"/>
          <w:lang w:eastAsia="en-GB"/>
        </w:rPr>
        <w:instrText xml:space="preserve"> REF _Ref46755526 \h  \* MERGEFORMAT </w:instrText>
      </w:r>
      <w:r>
        <w:rPr>
          <w:rFonts w:eastAsia="Times New Roman" w:cstheme="minorHAnsi"/>
          <w:color w:val="000000"/>
          <w:lang w:eastAsia="en-GB"/>
        </w:rPr>
      </w:r>
      <w:r>
        <w:rPr>
          <w:rFonts w:eastAsia="Times New Roman" w:cstheme="minorHAnsi"/>
          <w:color w:val="000000"/>
          <w:lang w:eastAsia="en-GB"/>
        </w:rPr>
        <w:fldChar w:fldCharType="separate"/>
      </w:r>
      <w:r w:rsidRPr="00117941">
        <w:rPr>
          <w:rFonts w:cstheme="minorHAnsi"/>
        </w:rPr>
        <w:t xml:space="preserve">Figure </w:t>
      </w:r>
      <w:r>
        <w:rPr>
          <w:rFonts w:cstheme="minorHAnsi"/>
          <w:noProof/>
        </w:rPr>
        <w:t>6.14</w:t>
      </w:r>
      <w:r>
        <w:rPr>
          <w:rFonts w:eastAsia="Times New Roman" w:cstheme="minorHAnsi"/>
          <w:color w:val="000000"/>
          <w:lang w:eastAsia="en-GB"/>
        </w:rPr>
        <w:fldChar w:fldCharType="end"/>
      </w:r>
      <w:r>
        <w:rPr>
          <w:rFonts w:eastAsia="Times New Roman" w:cstheme="minorHAnsi"/>
          <w:color w:val="000000"/>
          <w:lang w:eastAsia="en-GB"/>
        </w:rPr>
        <w:t>. Two air-dried Ni-YSZ PXCT scans were segmented in Avizo Lite.</w:t>
      </w:r>
    </w:p>
    <w:p w14:paraId="71ED73CA" w14:textId="77777777" w:rsidR="00007F6C" w:rsidRDefault="00007F6C" w:rsidP="00007F6C">
      <w:pPr>
        <w:spacing w:after="0" w:line="240" w:lineRule="auto"/>
        <w:jc w:val="both"/>
        <w:rPr>
          <w:rFonts w:eastAsia="Times New Roman" w:cstheme="minorHAnsi"/>
          <w:color w:val="000000"/>
          <w:lang w:eastAsia="en-GB"/>
        </w:rPr>
      </w:pPr>
    </w:p>
    <w:p w14:paraId="3D7FFBA7" w14:textId="303FC18C" w:rsidR="00007F6C" w:rsidRDefault="006D77BC" w:rsidP="00007F6C">
      <w:pPr>
        <w:keepNext/>
        <w:jc w:val="center"/>
      </w:pPr>
      <w:r>
        <w:rPr>
          <w:noProof/>
        </w:rPr>
        <w:drawing>
          <wp:inline distT="0" distB="0" distL="0" distR="0" wp14:anchorId="18F0DAC6" wp14:editId="4DD8A026">
            <wp:extent cx="4320000" cy="2059464"/>
            <wp:effectExtent l="0" t="0" r="4445" b="0"/>
            <wp:docPr id="478" name="Picture 478" descr="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descr="Arrow&#10;&#10;Description automatically generated"/>
                    <pic:cNvPicPr/>
                  </pic:nvPicPr>
                  <pic:blipFill>
                    <a:blip r:embed="rId195">
                      <a:extLst>
                        <a:ext uri="{28A0092B-C50C-407E-A947-70E740481C1C}">
                          <a14:useLocalDpi xmlns:a14="http://schemas.microsoft.com/office/drawing/2010/main" val="0"/>
                        </a:ext>
                      </a:extLst>
                    </a:blip>
                    <a:stretch>
                      <a:fillRect/>
                    </a:stretch>
                  </pic:blipFill>
                  <pic:spPr>
                    <a:xfrm>
                      <a:off x="0" y="0"/>
                      <a:ext cx="4320000" cy="2059464"/>
                    </a:xfrm>
                    <a:prstGeom prst="rect">
                      <a:avLst/>
                    </a:prstGeom>
                  </pic:spPr>
                </pic:pic>
              </a:graphicData>
            </a:graphic>
          </wp:inline>
        </w:drawing>
      </w:r>
    </w:p>
    <w:p w14:paraId="71E60577" w14:textId="3D77F1C7" w:rsidR="00007F6C" w:rsidRDefault="00007F6C" w:rsidP="00007F6C">
      <w:pPr>
        <w:pStyle w:val="Caption"/>
      </w:pPr>
      <w:bookmarkStart w:id="597" w:name="_Ref69113255"/>
      <w:bookmarkStart w:id="598" w:name="_Toc69115073"/>
      <w:r>
        <w:t>Figure 6.</w:t>
      </w:r>
      <w:r w:rsidR="00B51F53">
        <w:fldChar w:fldCharType="begin"/>
      </w:r>
      <w:r w:rsidR="00B51F53">
        <w:instrText xml:space="preserve"> SEQ Figure \* ARABIC </w:instrText>
      </w:r>
      <w:r w:rsidR="00B51F53">
        <w:fldChar w:fldCharType="separate"/>
      </w:r>
      <w:r w:rsidR="009826C5">
        <w:rPr>
          <w:noProof/>
        </w:rPr>
        <w:t>22</w:t>
      </w:r>
      <w:r w:rsidR="00B51F53">
        <w:rPr>
          <w:noProof/>
        </w:rPr>
        <w:fldChar w:fldCharType="end"/>
      </w:r>
      <w:bookmarkEnd w:id="597"/>
      <w:r>
        <w:t xml:space="preserve">: Segmented 3D renderings of the ROI sub volume of the 0 h </w:t>
      </w:r>
      <w:r w:rsidR="009826C5">
        <w:t>aged, air-dried</w:t>
      </w:r>
      <w:r>
        <w:t xml:space="preserve"> Ni-YSZ fuel electrode using Avizo Lite. The nickel, ceramic and pore phases are red, white, and grey, respectively. The Ni and YSZ phase are rendered in a. and the three phases in b.</w:t>
      </w:r>
      <w:bookmarkEnd w:id="598"/>
    </w:p>
    <w:p w14:paraId="206C913B" w14:textId="0D15F377" w:rsidR="00007F6C" w:rsidRDefault="00007F6C" w:rsidP="00007F6C">
      <w:pPr>
        <w:jc w:val="both"/>
      </w:pPr>
      <w:r>
        <w:t xml:space="preserve">From visual inspection between the two segmented volumes the nickel phase appears to have increased in volume during the two hours of ageing. This expansion can only be a product of coarsening as no additional nickel was added to the structure during ageing </w:t>
      </w:r>
      <w:r>
        <w:fldChar w:fldCharType="begin" w:fldLock="1"/>
      </w:r>
      <w:r w:rsidR="00EC62EF">
        <w:instrText>ADDIN CSL_CITATION {"citationItems":[{"id":"ITEM-1","itemData":{"DOI":"10.1016/j.jpowsour.2018.04.080","ISSN":"03787753","abstract":"The agglomeration of nickel (Ni) particles in a Ni-cermet anode is a significant degradation phenomenon for solid oxide fuel cells (SOFCs). This work aims to predict the performance degradation of SOFCs due to Ni grain growth by using a simplified approach. Accelerated aging of Ni-scandia stabilized zirconia (SSZ) as an SOFC anode is carried out at 900 °C and subsequent microstructural evolution is investigated every 100 h up to 1000 h using scanning electron microscopy (SEM). The resulting morphological changes are quantified using a two-dimensional image analysis technique that yields the particle size, phase proportion, and triple phase boundary (TPB) point distribution. The electrochemical properties of an anode-supported SOFC are characterized using electrochemical impedance spectroscopy (EIS). The changes of particle size and TPB length in the anode as a function of time are in excellent agreement with the power-law coarsening model. This model is further combined with an electrochemical model to predict the changes in the anode polarization resistance. The predicted polarization resistances are in good agreement with the experimentally obtained values. This model for prediction of anode lifetime provides deep insight into the time-dependent Ni agglomeration behavior and its impact on the electrochemical performance degradation of the SOFC anode.","author":[{"dropping-particle":"","family":"Khan","given":"Muhammad Zubair","non-dropping-particle":"","parse-names":false,"suffix":""},{"dropping-particle":"","family":"Mehran","given":"Muhammad Taqi","non-dropping-particle":"","parse-names":false,"suffix":""},{"dropping-particle":"","family":"Song","given":"Rak Hyun","non-dropping-particle":"","parse-names":false,"suffix":""},{"dropping-particle":"","family":"Lee","given":"Jong Won","non-dropping-particle":"","parse-names":false,"suffix":""},{"dropping-particle":"","family":"Lee","given":"Seung Bok","non-dropping-particle":"","parse-names":false,"suffix":""},{"dropping-particle":"","family":"Lim","given":"Tak Hyoung","non-dropping-particle":"","parse-names":false,"suffix":""}],"container-title":"Journal of Power Sources","id":"ITEM-1","issue":"February","issued":{"date-parts":[["2018"]]},"page":"94-105","publisher":"Elsevier","title":"A simplified approach to predict performance degradation of a solid oxide fuel cell anode","type":"article-journal","volume":"391"},"uris":["http://www.mendeley.com/documents/?uuid=e6bb5956-887c-4d71-af57-4160eca7475b"]},{"id":"ITEM-2","itemData":{"DOI":"10.1021/acscatal.7b01975","ISSN":"2155-5435","author":[{"dropping-particle":"","family":"Goodman","given":"Emmett D.","non-dropping-particle":"","parse-names":false,"suffix":""},{"dropping-particle":"","family":"Schwalbe","given":"Jay A.","non-dropping-particle":"","parse-names":false,"suffix":""},{"dropping-particle":"","family":"Cargnello","given":"Matteo","non-dropping-particle":"","parse-names":false,"suffix":""}],"container-title":"ACS Catalysis","id":"ITEM-2","issue":"10","issued":{"date-parts":[["2017","10","6"]]},"page":"7156-7173","title":"Mechanistic Understanding and the Rational Design of Sinter-Resistant Heterogeneous Catalysts","type":"article-journal","volume":"7"},"uris":["http://www.mendeley.com/documents/?uuid=b28e850f-3457-3249-b2ac-8734fa0e1fea"]},{"id":"ITEM-3","itemData":{"DOI":"10.1016/s0167-2738(00)00650-0","ISBN":"2461612455","ISSN":"01672738","abstract":"In order to study the nickel coarsening in porous Ni / 8YSZ anode\\ncermets of solid oxide fuel cells (SOFC), a series of - exposure\\ntests was carried out with anode substrates used in SOFC development\\nat the Research Centre Julich. The changes in electrical conductivity\\nas well as in the microstructure of the material were investigated.\\nThe microstructure of the cermets was characterized by digital on-line\\nimage analysis and microstructural parameters were determined for\\nthe metallic and the ceramic phase as well as for porosity. A decrease\\nof 33% of the initial electrical conductivity was measured after\\nexposing the cermet in Ar / 4% H 2 / 3% H 2 O at 10008C for 4000\\nh, which is linked to the agglomeration of the metallic particles\\nof this material. The durability of anode cermets for operations\\nof up to 40 000 h was estimated on the basis of the measured grain\\ncoarsening and the decrease of conductivity. The microstructural\\nparameters -- like volume fraction, particle and pore size -- were\\nused to model the electrical conductivity by theoretical microstructure-property\\nrelationships. - 2000 Elsevier Science B.V. All rights reserved.","author":[{"dropping-particle":"","family":"Simwonis","given":"D","non-dropping-particle":"","parse-names":false,"suffix":""}],"container-title":"Solid State Ionics","id":"ITEM-3","issue":"3-4","issued":{"date-parts":[["2002"]]},"page":"241-251","title":"Nickel coarsening in annealed Ni/8YSZ anode substrates for solid oxide fuel cells","type":"article-journal","volume":"132"},"uris":["http://www.mendeley.com/documents/?uuid=f489e925-6f39-48f9-a425-259614f01ed3"]}],"mendeley":{"formattedCitation":"[67], [300], [501]","plainTextFormattedCitation":"[67], [300], [501]","previouslyFormattedCitation":"[67], [300], [501]"},"properties":{"noteIndex":0},"schema":"https://github.com/citation-style-language/schema/raw/master/csl-citation.json"}</w:instrText>
      </w:r>
      <w:r>
        <w:fldChar w:fldCharType="separate"/>
      </w:r>
      <w:r w:rsidR="008446C6" w:rsidRPr="008446C6">
        <w:rPr>
          <w:noProof/>
        </w:rPr>
        <w:t>[67], [300], [501]</w:t>
      </w:r>
      <w:r>
        <w:fldChar w:fldCharType="end"/>
      </w:r>
      <w:r>
        <w:t xml:space="preserve">.  </w:t>
      </w:r>
    </w:p>
    <w:p w14:paraId="000C4699" w14:textId="77777777" w:rsidR="00007F6C" w:rsidRDefault="00007F6C" w:rsidP="00007F6C">
      <w:pPr>
        <w:jc w:val="both"/>
      </w:pPr>
      <w:r>
        <w:t>Initially, the segmented Ni-YSZ electrode volume consisted of 11.9 % pores. After 2 h of ageing this decreased to 3.5 %. These were calculated by dividing the phase volumes by the total scan volume.</w:t>
      </w:r>
    </w:p>
    <w:p w14:paraId="71FD1DF7" w14:textId="7664A354" w:rsidR="00007F6C" w:rsidRDefault="00007F6C" w:rsidP="00007F6C">
      <w:pPr>
        <w:jc w:val="both"/>
      </w:pPr>
      <w:r>
        <w:t>However, the volume percent of the ceramic phase rose between scans. This is highly unlikely as YSZ sinters at temperatures exceeding 1200</w:t>
      </w:r>
      <w:r w:rsidR="004838FA">
        <w:t xml:space="preserve"> </w:t>
      </w:r>
      <w:r w:rsidR="004838FA">
        <w:rPr>
          <w:rFonts w:cstheme="minorHAnsi"/>
        </w:rPr>
        <w:t>°</w:t>
      </w:r>
      <w:r>
        <w:t xml:space="preserve">C </w:t>
      </w:r>
      <w:r>
        <w:fldChar w:fldCharType="begin" w:fldLock="1"/>
      </w:r>
      <w:r w:rsidR="00EC62EF">
        <w:instrText>ADDIN CSL_CITATION {"citationItems":[{"id":"ITEM-1","itemData":{"DOI":"10.1016/j.ijhydene.2016.04.061","ISSN":"03603199","abstract":"A novel fabrication method using electroless and electrodeposited Ni/Ag/GDC for SOFC anodes is presented. First a porous Ce0.9Gd0.1O2-x (GDC) scaffold was deposited on a YSZ electrolyte by screen printing and sintering. The scaffold was then metallized with silver using Tollens' reaction, followed by electrodeposition of nickel from a Watt's bath. The electrodes (Ni/Ag/GDC) were tested in both symmetrical and fuel cell configurations. The microstructures of the Ni/Ag/GDC anodes were analyzed using scanning electron microscopy (SEM) and energy dispersive x-ray spectroscopy (EDX). Nano-particles of Ni formed in the porous GDC scaffold provided triple phase boundaries (TPB). The electronic conductivity of the Ni/Ag/GDC (3.5/24.7/71.8 vol%) electrode was good even at relatively low Ni volume fractions. The electrochemical performance was examined in different concentrations of humidified hydrogen (3% H2O) and over a range of temperatures (600-750 °C). The total area specific resistance (ASR) of the anode at 750 °C in humidified 97 vol% H2 was 1.12 Ω cm2, with low-frequency polarization (R-l) as the largest contributor. The electrodes were successfully integrated into a fuel cell and operated in both H2 and syngas.","author":[{"dropping-particle":"","family":"Jamil","given":"Zadariana","non-dropping-particle":"","parse-names":false,"suffix":""},{"dropping-particle":"","family":"Ruiz-Trejo","given":"Enrique","non-dropping-particle":"","parse-names":false,"suffix":""},{"dropping-particle":"","family":"Boldrin","given":"Paul","non-dropping-particle":"","parse-names":false,"suffix":""},{"dropping-particle":"","family":"Brandon","given":"Nigel P.","non-dropping-particle":"","parse-names":false,"suffix":""}],"container-title":"International Journal of Hydrogen Energy","id":"ITEM-1","issue":"22","issued":{"date-parts":[["2016"]]},"page":"9627-9637","publisher":"Elsevier Ltd","title":"Anode fabrication for solid oxide fuel cells: Electroless and electrodeposition of nickel and silver into doped ceria scaffolds","type":"article-journal","volume":"41"},"uris":["http://www.mendeley.com/documents/?uuid=4a9af148-72d6-436d-872a-33669ad1d24b"]},{"id":"ITEM-2","itemData":{"DOI":"10.4028/www.scientific.net/kem.336-338.387","ISBN":"10139826 (ISSN)","abstract":"Gelcasting and dry pressing are used to produce anode composites for SOFC. In this paper a composite material Ni/Ce-YSZ containing Ni and Ce-doped Y2O3-stabilized ZrO2 (Ce-YSZ) based on Ce-YSZ electrolyte was fabricated via sintering infiltration of NiO at the temperature of 1400°C, followed Ni/Ce-YSZ materials are successfully produced by reduction- sintering process. Hydrogen reduction of NiO in the NiO/Ce-YSZ anode material was accomplished successfully through pore channels of debinded carbon volume. XRD results suggest that a solid solution of Ce-YSZ was produced. The microstructure of NiO/Ce-YSZ, and Ni/Ce-YSZ material was observed by SEM. This study confirms that sintering infiltration of NiO is a viable process for fabricating anode materials based on zirconia electrolyte and there are a good interface between electrolyte and anode.","author":[{"dropping-particle":"","family":"Ma","given":"Jing Tao","non-dropping-particle":"","parse-names":false,"suffix":""},{"dropping-particle":"","family":"Lin","given":"Xu Ping","non-dropping-particle":"","parse-names":false,"suffix":""},{"dropping-particle":"","family":"Zhang","given":"Bao Qing","non-dropping-particle":"","parse-names":false,"suffix":""}],"container-title":"Key Engineering Materials","id":"ITEM-2","issued":{"date-parts":[["2009"]]},"language":"English","note":"Export Date: 20 January 2017\nCODEN: KEMAE\nReferences: Minh, N.Q., (1993) J. Am. Ceram. Soc, 76, p. 563; Marinsek, M., Zupan, K., Maeek, J., (2002) J. Power Sources, 106, p. 178; Xia, C., Liu, M., (2001) Solid State Ionics, 144, p. 249; Ohara, S., Maric, R., Zhang, X., Mukai, K., Fukui, T., Yoshida, H., Inagaki, T., Miura, K., (2000) J. Power Sources, 86, p. 455; Kim, S.-G., Yoon, S.P., Nam, S.W., Hyun, S.-H., (2002) J. Power Sources, 110, p. 222; Tsoga, A., Naoumidis, A., Stover, D., (2000) Solid State Ionics, 135, p. 403; Esposito, V., de Florio, D.Z., Fonseca, F.C., Muccillo, E.N.S., Muccillo, R., Traversa, E., (2005) J. Eur. Ceram. Soc, 25, p. 2637; Kuzjukevics, A., Linderoth, S., (1997) Solid State Ionics, 93, p. 255; Xia, Z.C., Tang, Z.Q., Pan, X.L., Qian, X.L., (1997) J. Funct. Mater, 28, p. 455; Simwonis, D., Tietz, F., Stover, D., (2000) Solid State Ionics, 132, p. 241","page":"387-390","title":"Preparation and SEM of Ni/Ce-YSZ Anode Materials","type":"article","volume":"336-338"},"uris":["http://www.mendeley.com/documents/?uuid=d1e57d25-f46d-4cb3-a1b4-7399e515646b"]},{"id":"ITEM-3","itemData":{"DOI":"10.1111/j.1151-2916.1993.tb03645.x","ISBN":"00027820 (ISSN)","abstract":"A ceramic fuel cell in an all solid‐state energy conversion device that produces electricity by electrochemically combining fuel and oxidant gases across an ionic conducting oxide. Current ceramic fuel cells use an oxygen‐ion conductor or a proton conductor as the electrolyte and operate at high temperatures (&gt;600°C). Ceramic fuel cells, commonly referred to as solid‐oxide fuel cells (SOFCs), are presently under development for a variety of power generation applications. This paper reviews the science and technology of ceramic fuel cells and discusses the critical issues posed by the development of this type of fuel cell. The emphasis is given to the discussion of component materials (especially, ZrO2 electrolyte, nickel/ZrO2 cermet anode, LaMnO3 cathode, and LaCrO3 interconnect), gas reactions at the electrodes, stack designs, and processing techniques used in the fabrication of required ceramic structures. Copyright © 1993, Wiley Blackwell. All rights reserved","author":[{"dropping-particle":"","family":"Minh","given":"N Q","non-dropping-particle":"","parse-names":false,"suffix":""}],"container-title":"Journal of the American Ceramic Society","id":"ITEM-3","issue":"3","issued":{"date-parts":[["1993"]]},"language":"English","note":"Cited By :3099\nExport Date: 30 November 2016\nCorrespondence Address: Minh, N.Q.; AiResearch Los Angeles Division, Allied-Signal Aerospace Company, Torrance, California, 90504-6099, United States\nReferences: Grove, W.R., On Voltaic Series and the Combination of Gases by Platinum (1839) Philos. Mag., 14, pp. 127-130; Nernst, W., Uber Die Elektrolytische Leitung Fester Körper Bei Sehr Hohen Temperaturen (1899) Z. Elektrochem., 6, pp. 41-43; Baur, E., Preis, H., Uber Brennstoff‐Ketten Mit Festleitern (1937) Z. Elektrochem., 43, pp. 727-732; Minh, N.Q., High‐Temperature Fuel Cells. Part 2: The Solid Oxide Cell (1991) CHEMTECH, 21, pp. 120-126; (1981) Science and Technology of Zirconia, 3. , Edited by, A. H. Heuer, L. W. Hobbs, American Ceramic Society, Columbus, OH; (1984) Science and Technology of Zirconia II, 12. , Edited by, N. Claussen, M. Rühle, A. H. Heuer, American Ceramic Society, Columbus, OH; (1988) Science and Technology of Zirconia III, 24. , Edited by, S. Somiya, N. Yamamoto, H. Yanagida, American Ceramic Society, Westerville, OH; Stevens, R., (1986) An Introduction to Zirconia, , Magnesium Elektron, London, U.K; Etsell, T.H., Flengas, S.N., The Electrical Properties of Solid Oxide Electrolytes (1970) Chem. Rev., 70, pp. 339-376; Subbarao, E.C., Maiti, H.S., Solid Electrolytes with Oxygen Ion Conduction (1984) Solid State Ionics, 11, pp. 317-338; Patterson, J.W., Borgen, E.C., Rapp, R.A., Mixed Conduction in Zr0.85Ca0.15O1.85 and Th0.85Y0.15O1.85 Solid Electrolytes (1967) Journal of The Electrochemical Society, 114, pp. 752-758; Baumard, J.F., Abelard, P., , pp. 555-571. , “Defect Structure and Transport Properties of ZrO2‐Based Solid Electrolytes”; see Ref. 6, ppChoudhary, C.B., Maiti, H.S., Subbarao, E.C., Detect Structure and Transport Properties (1980) Solid Electrolytes and Their Applications, pp. 1-80. , Edited by, E. C. Subbarao, Plenum Press, New York; Badwal, S.P.S., Hughes, A.E., Modification of Cell Characteristics by Segregated Impurities (1991) Proceedings of the Second International Symposium on Solid Oxide Fuel Cells, pp. 445-454. , Edited by, F. Gross, P. Zegers, S. C. Singhal, O. Yamamoto, Commission of The European Communities, Luxembourg; Bauerle, J.E., Study of Solid Electrolyte Polarization by a Complex Admittance Method (1969) J. Phys. Chem. Solids, 30, pp. 2657-2670; Kleitz, M., Bernard, H., Fernandez, E., Schouler, E., , pp. 310-336. , “Impedance Spectroscopy and Electrical Resistance Measurements on Stabilized Zirconia”; see Ref. 5, ppVerkerk, M.J., Middelhuis, B.J., Burggraaf, A.J., Effect of Grain Boundaries on the Conductivity of High‐Purity ZrO2–Y2O3 Ceramics (1982) Solid State Ionics, 6, pp. 159-170; Butler, E.P., Slotwinski, R.K., Bonanos, N., Drennan, J., Steele, B.C.H., , pp. 572-584. , “Microstructural–Electrical Property Relationships in High‐Conductivity Zirconias”; see Ref. 6, ppBaukal, W., Solid Oxide Electrolyte with Time‐Dependent Conductivity (1972) From Electrocatalysis to Fuel Cells, pp. 247-254. , Edited by, G. Sandstede, University of Washington Press, Seattle, WA; Suzuki, Y., Shimada, A., Senda, S., Time‐Dependent Change in Electrical Resistivity of Polycrystalline YSZ and CSZ (1990) Solid State Ionics, 42, pp. 121-125; Badwal, S.P.S., Drennan, J., Yttria–Zirconia: Effect of Microstructure on Conductivity (1987) J. Mater. Sci., 22, pp. 3231-3239; Ciftcioglu, M., Mayo, M.J., (1990), “Processing of Nanocrystalline Ceramics”; presented at the Spring Meeting of the Materials Research Society, San Francisco, CA, April 16–21, 1990. Rept. No. DE90–015700, SAND‐90–1639C, CONF‐900466–78, National Technical Information Service, Alexandria, VAScott, C.E., Reed, J.S., Analysis of Cl‐ Ions Laundered from Submicron Zirconia Powders (1978) Am. Ceram. Soc. Bull., 57, pp. 741-743; Scott, C.E., Reed, J.S., Effect of Laundering and Milling on the Sintering Behavior of Stabilized ZrO2 Powders (1979) Am. Ceram. Soc. Bull., 58, pp. 587-590; Evans, A.G., The New High‐Toughness Ceramics (1989) Fracture Mechanics: Perspective and Directions, pp. 267-291. , (Twentieth Symposium), ASTM STP 1020. Edited by, R. P. Wei, R. P. Gangloff, American Society for Testing and Materials, Philadelphia, PA; Singh, J.P., Bosak, A.L., Dees, D.W., McPheeters, C.C., Improved Fracture Toughness of ZrO2 Electrolyte for Solid Oxide Fuel Cell (1988) 1988 Fuel Cell Seminar Abstracts, pp. 145-148. , (Long Beach, CA, Oct. 23–26, 1988)., Courtesy Associates, Washington, DC; Ishizaki, F., Yoshida, T., Sakurada, S., Effect of Alumina Addition on the Electrical Properties of Yttria‐Doped Zirconia (1989) Proceedings of the First International Symposium on Solid Oxide Fuel Cells, pp. 3-14. , Edited by, S. C. Singhal, The Electrochemical Society, Pennington, NJ; Hernandez, M.T., Jurado, J.R., Duran, P., , pp. 421-428. , “Effect of Al2O3, Additions on the Electrical Properties of ZrO2–Y2O3 and ZrO2–Y2O3–CeO2 Electrolytes”; see Ref. 14, ppYamamoto, O., Takeda, Y., Imanishi, N., Kawahara, T., Shen, G.Q., Mori, M., Abe, T., , pp. 437-444. , “Electrical and Mechanical Properties of Zirconia–Alumina Composite Electrolyte”; see Ref. 14, ppDuran, P., Jurado, J.R., Moure, C., Hernandez, M.T., Capel, F., , pp. 401-407. , “Improvement of the Mechanical Properties of Yttria‐Stabilized Zirconia Electrolyte”; see Ref. 14, ppWeppner, W., Tetragonal Zirconia for Solid Oxide Fuel Cells (1990) Proceedings of the International Symposium on Solid Oxide Fuel Cells, pp. 83-89. , Edited by, O. Yamamoto, M. Dokiya, H. Tagawa, Science House, Tokyo, Japan; Yoshida, T., Hoshina, T., Mukaizawa, I., Sakurada, S., Properties of Partially Stabilized Zirconia Fuel Cell (1989) J. Electrochem. Soc., 136, pp. 2604-2606; Yamamoto, O., Takeda, Y., Kanno, R., Kohno, K., Electrical Conductivity of Tetragonal Stabilized Zirconia (1990) J. Mater. Sci., 25, pp. 2805-2808; Sato, T., Shimada, M., Crystalline Phase Changes in Yttria‐Partially‐Stabilized Zirconia by Low‐Temperature Annealing (1984) J. Am. Ceram. Soc., 67 (10), pp. 212-213; Subbarao, E.C., Maiti, H.S., , pp. 731-747. , “Oxygen Sensors and Pumps”; see Ref. 7, ppVlasov, A.N., Perfiliev, M.V., Ageing of ZrO2‐Based Solid Electrolytes (1987) Solid State Ionics, 25, pp. 245-253; Takahashi, T., Iwahara, H., Nagai, Y., High Oxide Conduction in Sintered Bi2O3 Containing SrO, CaO, or La2O3 (1972) J. Appl. Electrochem., 2, pp. 97-104; Miyayama, M., Nishi, T., Yanagida, H., Oxygen Ionic Conduction in Y2O3‐Stabilized Bi2O3 and ZrO2 Composites (1987) J. Mater. Sci., 22, pp. 2624-2628; Verkerk, M.J., Keizer, K., Burggraaf, A.J., High Oxygen Ion Conduction in Sintered Oxides of Bi2O3–Er2O3 System (1980) J. Appl. Electrochem., 10, pp. 81-90; Takahashi, T., Esaka, T., Iwahara, H., Conduction of Bi2O3‐Based Oxide Ion Conductor Under Low Oxygen Pressure. II. Determination of the Partial Electronic Conductivity (1977) J. Appl. Electrochem., 7, pp. 303-308; Blumenthal, R.N., Brugner, F.S., Garnier, J.E., The Electrical Conductivity of CaO‐Doped Nonstoichiometric Cerium Oxide from 700° to 1500°C (1973) J. Electrochem. Soc., 120, pp. 1230-1237; Tuller, H.L., Nowick, A.S., Doped Ceria as a Solid Oxide Electrolyte (1975) J. Electrochem. Soc., 122, pp. 255-259; Swarr, T.E., Karavolis, S., Maricle, D.L., Enhanced Ceria—A Low‐Temperature SOFC Electrolyte (1990) Proceedings of the 25th Intersociety Energy Conversion Engineering Conference, 3, pp. 256-261. , American Institute of Chemical Engineers, New York; Yahiro, H., Baba, Y., Eguchi, K., Arai, H., High‐Temperature Fuel Cell with Ceria–Yttria Solid Electrolyte (1988) J. Electrochem. Soc., 135, pp. 2077-2080; Inoue, T., Setoguchi, T., Eguchi, K., Arai, H., Study of a Solid Oxide Fuel Cell with a Ceria‐Based Solid Electrolyte (1989) Solid State Ion'cs, 35, pp. 285-291; Virkar, A.V., Theoretical Analysis of Solid Oxide Fuel Cells with Two‐Layer Composite Electrolyte: Electrolyte Stability (1991) J. Electrochem. Soc., 138, pp. 1481-1487; Takahashi, T., Iwahara, H., Ionic Conduction in Perovskite‐Type Oxide Solid Solution and Its Application to Solid Electrolyte Fuel Cell (1971) Energy Convers., 11, pp. 105-111; Kilner, J.A., Barrow, P., Brook, R.J., Norgett, M.J., Electrolytes for the High‐Temperature Fuel Cell: Experimental and Theoretical Studies of the Perovskite LaAlO3 (1978) J. Power Sources, 3, pp. 67-80; Cook, R.L., MacDu'f, R.C., Sammells, A.F., Perovskite Solid Electrolytes for Intermediate‐Temperature Solid Oxide Fuel Cells (1990) J. Electrochem. Soc., 137, pp. 3309-3310; Sammells, A.F., Cook, R.L., Worrell, W.L., (1990), “Methane Conversion by Solid Electrolyte Membranes,” Rept. No. GR1‐90/0136, Gas Research Institute, Chicago, ILMurakami, S., Miyake, Y., Akiyama, Y., Ishida, N., Saito, T., Furukawa, N., , pp. 187-190. , “A Study on Composite Anode of Solid Oxide Fuel Cells”; see Ref. 31, ppDees, D.W., Claar, T.D., Easler, T.E., Fee, D.C., azek, F.C., Conductivity of Porous Ni/ZrO2‐Y2O3 Cermets (1987) Journal of The Electrochemical Society, 134, pp. 2141-2146; Ivers‐Tiffée, E., Wersing, W., Schießl, M., Greiner, H., Ceramic and Metallic Components for a Planar SOFC (1990) Berichte der Bunsengesellschaft für physikalische Chemie, 94, pp. 978-981; Majumdar, S., Claar, T., Flandermeyer, B., Stress and Fracture Behavior of Monolithic Fuel Cell Tapes (1986) J. Am. Ceram. Soc., 69, pp. 628-633; Easler, T., Flandermeyer, B.K., Claar, T.D., Busch, D.E., Fousek, R.J., Picciolo, J.J., Poeppel, R.B., Electrode Development for Monolithic Fuel Cells (1986) 1986 Fuel Cell Seminar Abstracts, pp. 72-75. , (Tucson, AZ, Oct. 26–29, 1986)., Courtesy Associates, Washington, DC; Markin, T.L., Bones, R.J., Dell, R.M., High‐Temperature Solid‐Electrolyte Fuel Cells (1976) Conference on Superionic Conductors, pp. 15-35. , Edited by, G. D. Mahan, W. L. Roth, Plenum Press, New York; Suzuki, M., Sasaki, H., Otoshi, S., Ippommatsu, M., , pp. 585-591. , “Development of Ru/ZrO2 SOFC Anode”; see Ref. 14, ppTakahashi, T., Iwahara, H., Suzuki, Y., Electrode Materials for High‐Temperature Solid Electrolyte Fuel Cells (1969) Proceedings of the Third International Symposium on Fuel Cells, pp. 113-119. , Presses Académiques Européennes, Brussels, Belgium; Steele, B.C.H., Middleton, P.H., Rudkin, R.A., Material Science Aspects of SOFC Technology with Special Reference to Anode Development (1990) Solid State Ionics, 40-41, pp. 388-393; Mogensen, M., , pp. 577-584. , “Properties of CeO2‐Based SOFC Anode Materials”; see Ref. 14, ppSwider, K.E., Worrell, W.L., , pp. 593-601. , “Synthesis and Characterization of Yuria. Stabilized Zirconia‐Titania Thin‐Film Electrodes”; see Ref. 14, ppLiou, S.S., Worrell, W.L., , pp. 81-89. , “Mixed‐Conducting Oxide Electrodes for Solid Oxide Fuel Cells”; see Ref. 27, ppLiou, S.S., Worrell, W.L., Electrical Properties of Novel Mixed‐Conducting Oxides (1989) Appl. Phys. A, 49, pp. 25-31; Tedmon, C.S., Jr., Spacil, H.S., Mitoff, S.P., Cathode Materials and Performance in High‐Temperature Zirconia Electrolyte Fuel Cells (1969) Journal of The Electrochemical Society, 116, pp. 1170-1175; Tofield, B.C., Scott, W.R., Oxidative Nonstoichiometry in Perovskites, an Experimental Survey: The Defect Structure of an Oxidized Lanthanum Manganite by Powder Neutron Diffraction (1974) J. Solid State Chem., 10, pp. 183-194; Kuo, J.H., Anderson, H.U., Sparlin, D.M., Oxidation‐Reduction Behavior of Undoped and Sr‐Doped LaMnO3: Defect Structure, Electrical Conductivity, and Thermoelectric Power (1990) J. Solid State Chem., 87, pp. 55-63; Rao, Wanklyn, B.M., Rao, C.N.R., Electrical Transport in Rare‐Earth Ortho‐Chromites, ‐Manganites, and ‐Ferrites (1971) J. Phys. Chem. Solids, 32, pp. 345-358; Kamata, K., Nakajima, T., Hayashi, T., Nakamura, T., Nonstoichiometric Behavior and Phase Stability of Rare‐Earth Manganites at 1200°C: (1). LaMnO3 (1978) Mater. Res. Bull., 13, pp. 49-54; Mizusaki, J., Tagawa, H., Naraya, K., Sasamoto, T., Nonstoichiometry and Thermochemical Stability of the Perovskite‐Type La1‐xSrxMnO3‐δ (1991) Solid State Ionics, 49, pp. 111-118; Kuo, J.H., Anderson, H.U., Sparlin, D.M., Oxidation‐Reduction Behavior of Undoped and Sr‐Doped LaMnO3 Nonstoichiometry and Defect Structure (1989) J. Solid State Chem., 83, pp. 52-60; Nakamura, T., Petzow, G., Gauckler, L.J., Stability of the Perovskite Phase LaBO3 (B = V, Cr, Mn, Fe, Co, Ni) in Reducing Atmospheres I. Experimental Results (1979) Mater. Res. Bull., 14, pp. 649-659; Sreedharan, O.M., Pankajavalli, R., Gnanamoorthy, J.B., Standard Gibbs' Energy of Formation of LaMnO3 from EMF Measurements (1983) High Temp. Sci., 16, pp. 251-256; Kamegashira, N., Miyazaki, Y., Hiyoshi, Y., Limiting Oxygen Partial Pressure of LaMnO3 Phase (1984) Mater. Lett., 2, pp. 194-195; Sreedharan, O.M., Chandrasekharaiah, M.S., Standard Gibbs' Energy of Formation of LaFeO3 and Comparison of Stability of LaMO3 (M = Mn, Fe, Co, Ni) Compounds (1986) J. Mater. Sci., 21, pp. 2581-2584; Ruka, R., (1983), pp. 295-302. , “Some Non‐Electrochemical Requirements for Air Electrode Materials of High‐Temperature Solid Electrolyte Fuel Cells”; pp., in Proceedings of the Conference on High–Temperature Solid Oxide Electrolytes, Vol. I–Anion Conductors (Brookhaven National Laboratory, Upton, NY, Aug. 16–17, 1983). Rept. No. BNL 51728–Vol. I, Brookhaven National Laboratory, Upton, NYJonker, G.H., Semiconducting Properties of Mixed Crystals with Perovskite Structure (1954) Physica (Amsterdam), 20, pp. 1118-1122; Tanaka, J., Takahashi, K., Yukino, K., Horiuchi, S., Electrical Conduction of (La0.8Ca0.2)MnO3 with Homogeneous Ionic Distribution (1983) Phys. Status Solidi, 80, pp. 621-630; Fandel, M., Höschele, J., Schäfer, W., Schmidberger, R., Properties of Ca‐Doped LaMnO3 (1989) Properties of Ceramics, 2, p. 2. , 236–2.240 in Euro‐ceramics, Vol,. Edited by, G. de With, R. A. Lerpstra, R. Metselaar, Elsevier Applied Science, London, U.K; Pavlov, V.I., Bogush, A.K., Bychkov, G.L., Influence of Impurity Centers on the Electrical Conductivity of Manganites with a Perovskite Structure (1984) Inorg. Mater. (Engl. Transl.), 20, pp. 752-754; Wold, A., Arnott, R.J., Goodenough, J.B., Some Magnetic and Crystallographic Properties of the System LaMn1‐xNixO3‐λ (1958) J. Appl. Phys., 29, pp. 387-389; Lyubkina, I.Ya., Kononyuk, I.F., Preparation and Electric Properties of LaMn1‐xNixO3 (O","page":"563-588","title":"Ceramic Fuel Cells","type":"article-journal","volume":"76"},"uris":["http://www.mendeley.com/documents/?uuid=7c17b8de-f21a-48a1-8286-c38ae0ab747c"]},{"id":"ITEM-4","itemData":{"DOI":"10.1002/(sici)1099-0739(200004)14:4&lt;227::aid-aoc949&gt;3.0.co;2-f","ISSN":"0268-2605","author":[{"dropping-particle":"","family":"West","given":"Anthony R.","non-dropping-particle":"","parse-names":false,"suffix":""}],"container-title":"Applied Organometallic Chemistry","edition":"2nd","id":"ITEM-4","issue":"4","issued":{"date-parts":[["2000"]]},"number-of-pages":"227-228","publisher":"Wiley-Blackwell","title":"Basic Solid State Chemistry","type":"book","volume":"14"},"uris":["http://www.mendeley.com/documents/?uuid=cfc7d172-f48b-4960-bd9a-272da03540f8"]}],"mendeley":{"formattedCitation":"[1], [294], [478], [488]","plainTextFormattedCitation":"[1], [294], [478], [488]","previouslyFormattedCitation":"[1], [294], [478], [488]"},"properties":{"noteIndex":0},"schema":"https://github.com/citation-style-language/schema/raw/master/csl-citation.json"}</w:instrText>
      </w:r>
      <w:r>
        <w:fldChar w:fldCharType="separate"/>
      </w:r>
      <w:r w:rsidR="008446C6" w:rsidRPr="008446C6">
        <w:rPr>
          <w:noProof/>
        </w:rPr>
        <w:t>[1], [294], [478], [488]</w:t>
      </w:r>
      <w:r>
        <w:fldChar w:fldCharType="end"/>
      </w:r>
      <w:r>
        <w:t>. This would indicate that this increase is due to changes in the catalyst material.</w:t>
      </w:r>
    </w:p>
    <w:p w14:paraId="16738A64" w14:textId="0DD1FE9D" w:rsidR="00007F6C" w:rsidRDefault="006D77BC" w:rsidP="00007F6C">
      <w:pPr>
        <w:keepNext/>
        <w:jc w:val="center"/>
      </w:pPr>
      <w:r>
        <w:rPr>
          <w:noProof/>
        </w:rPr>
        <w:drawing>
          <wp:inline distT="0" distB="0" distL="0" distR="0" wp14:anchorId="4C217C04" wp14:editId="0F11E845">
            <wp:extent cx="4320000" cy="2205698"/>
            <wp:effectExtent l="0" t="0" r="4445" b="4445"/>
            <wp:docPr id="479" name="Picture 47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descr="Chart&#10;&#10;Description automatically generated"/>
                    <pic:cNvPicPr/>
                  </pic:nvPicPr>
                  <pic:blipFill>
                    <a:blip r:embed="rId196">
                      <a:extLst>
                        <a:ext uri="{28A0092B-C50C-407E-A947-70E740481C1C}">
                          <a14:useLocalDpi xmlns:a14="http://schemas.microsoft.com/office/drawing/2010/main" val="0"/>
                        </a:ext>
                      </a:extLst>
                    </a:blip>
                    <a:stretch>
                      <a:fillRect/>
                    </a:stretch>
                  </pic:blipFill>
                  <pic:spPr>
                    <a:xfrm>
                      <a:off x="0" y="0"/>
                      <a:ext cx="4320000" cy="2205698"/>
                    </a:xfrm>
                    <a:prstGeom prst="rect">
                      <a:avLst/>
                    </a:prstGeom>
                  </pic:spPr>
                </pic:pic>
              </a:graphicData>
            </a:graphic>
          </wp:inline>
        </w:drawing>
      </w:r>
    </w:p>
    <w:p w14:paraId="6990D09A" w14:textId="0B68B03D" w:rsidR="00007F6C" w:rsidRDefault="00007F6C" w:rsidP="00007F6C">
      <w:pPr>
        <w:pStyle w:val="Caption"/>
      </w:pPr>
      <w:bookmarkStart w:id="599" w:name="_Ref49345353"/>
      <w:bookmarkStart w:id="600" w:name="_Toc69115074"/>
      <w:r>
        <w:t>Figure 6.</w:t>
      </w:r>
      <w:r w:rsidR="00B51F53">
        <w:fldChar w:fldCharType="begin"/>
      </w:r>
      <w:r w:rsidR="00B51F53">
        <w:instrText xml:space="preserve"> SEQ Figure \* ARABIC </w:instrText>
      </w:r>
      <w:r w:rsidR="00B51F53">
        <w:fldChar w:fldCharType="separate"/>
      </w:r>
      <w:r w:rsidR="004838FA">
        <w:rPr>
          <w:noProof/>
        </w:rPr>
        <w:t>23</w:t>
      </w:r>
      <w:r w:rsidR="00B51F53">
        <w:rPr>
          <w:noProof/>
        </w:rPr>
        <w:fldChar w:fldCharType="end"/>
      </w:r>
      <w:bookmarkEnd w:id="599"/>
      <w:r>
        <w:t xml:space="preserve">: Segmented 3D renderings of the ROI sub volume of the 2 h </w:t>
      </w:r>
      <w:r w:rsidR="006D77BC">
        <w:t>aged, air-dried</w:t>
      </w:r>
      <w:r>
        <w:t xml:space="preserve"> Ni-YSZ fuel electrode using Avizo Lite. The nickel, ceramic and pore phases are red, white, and grey, respectively. The Ni and YSZ phase are rendered in a. and the three phases in b.</w:t>
      </w:r>
      <w:bookmarkEnd w:id="600"/>
    </w:p>
    <w:p w14:paraId="739F9F93" w14:textId="0DDAC016" w:rsidR="00007F6C" w:rsidRDefault="00007F6C" w:rsidP="00007F6C">
      <w:pPr>
        <w:jc w:val="both"/>
      </w:pPr>
      <w:r>
        <w:t xml:space="preserve">The region of interest used in these renderings focussed on an 8 </w:t>
      </w:r>
      <w:r>
        <w:rPr>
          <w:rFonts w:cstheme="minorHAnsi"/>
        </w:rPr>
        <w:t>µ</w:t>
      </w:r>
      <w:r>
        <w:t>m section at the interface between the infiltrated scaffold and the electrolyte. The position of this segment in the scaffold means that the YSZ vol % will increase due to decreased pore vol % and increased tortuosity.</w:t>
      </w:r>
    </w:p>
    <w:p w14:paraId="1C07B521" w14:textId="77777777" w:rsidR="004838FA" w:rsidRDefault="004838FA" w:rsidP="00007F6C">
      <w:pPr>
        <w:jc w:val="both"/>
      </w:pPr>
    </w:p>
    <w:p w14:paraId="4DB9BF5D" w14:textId="779AF5ED" w:rsidR="00007F6C" w:rsidRDefault="00007F6C" w:rsidP="00007F6C">
      <w:pPr>
        <w:pStyle w:val="Caption"/>
        <w:keepNext/>
      </w:pPr>
      <w:bookmarkStart w:id="601" w:name="_Ref69113327"/>
      <w:r>
        <w:lastRenderedPageBreak/>
        <w:t>Table 6.</w:t>
      </w:r>
      <w:r w:rsidR="00B51F53">
        <w:fldChar w:fldCharType="begin"/>
      </w:r>
      <w:r w:rsidR="00B51F53">
        <w:instrText xml:space="preserve"> SEQ Table \* ARABIC </w:instrText>
      </w:r>
      <w:r w:rsidR="00B51F53">
        <w:fldChar w:fldCharType="separate"/>
      </w:r>
      <w:r w:rsidR="004838FA">
        <w:rPr>
          <w:noProof/>
        </w:rPr>
        <w:t>4</w:t>
      </w:r>
      <w:r w:rsidR="00B51F53">
        <w:rPr>
          <w:noProof/>
        </w:rPr>
        <w:fldChar w:fldCharType="end"/>
      </w:r>
      <w:bookmarkEnd w:id="601"/>
      <w:r>
        <w:t xml:space="preserve">: Table detailing the volume percent of the three phases present in the air-dried Ni-YSZ electrode </w:t>
      </w:r>
      <w:proofErr w:type="gramStart"/>
      <w:r>
        <w:t>sample</w:t>
      </w:r>
      <w:proofErr w:type="gramEnd"/>
    </w:p>
    <w:tbl>
      <w:tblPr>
        <w:tblStyle w:val="TableGrid"/>
        <w:tblW w:w="0" w:type="auto"/>
        <w:tblLook w:val="04A0" w:firstRow="1" w:lastRow="0" w:firstColumn="1" w:lastColumn="0" w:noHBand="0" w:noVBand="1"/>
      </w:tblPr>
      <w:tblGrid>
        <w:gridCol w:w="2254"/>
        <w:gridCol w:w="2254"/>
        <w:gridCol w:w="2254"/>
        <w:gridCol w:w="2254"/>
      </w:tblGrid>
      <w:tr w:rsidR="00007F6C" w14:paraId="4267B41A" w14:textId="77777777" w:rsidTr="005E2F1E">
        <w:tc>
          <w:tcPr>
            <w:tcW w:w="2254" w:type="dxa"/>
            <w:vMerge w:val="restart"/>
          </w:tcPr>
          <w:p w14:paraId="69EF4174" w14:textId="77777777" w:rsidR="00007F6C" w:rsidRPr="00DF1214" w:rsidRDefault="00007F6C" w:rsidP="005E2F1E">
            <w:pPr>
              <w:jc w:val="both"/>
              <w:rPr>
                <w:b/>
                <w:bCs/>
              </w:rPr>
            </w:pPr>
            <w:r w:rsidRPr="00DF1214">
              <w:rPr>
                <w:b/>
                <w:bCs/>
              </w:rPr>
              <w:t>Sample</w:t>
            </w:r>
          </w:p>
        </w:tc>
        <w:tc>
          <w:tcPr>
            <w:tcW w:w="6762" w:type="dxa"/>
            <w:gridSpan w:val="3"/>
          </w:tcPr>
          <w:p w14:paraId="1AAEE3D9" w14:textId="77777777" w:rsidR="00007F6C" w:rsidRPr="00032AA6" w:rsidRDefault="00007F6C" w:rsidP="005E2F1E">
            <w:pPr>
              <w:jc w:val="both"/>
              <w:rPr>
                <w:b/>
                <w:bCs/>
              </w:rPr>
            </w:pPr>
            <w:r>
              <w:rPr>
                <w:b/>
                <w:bCs/>
              </w:rPr>
              <w:t>Phase [Vol %]</w:t>
            </w:r>
          </w:p>
        </w:tc>
      </w:tr>
      <w:tr w:rsidR="00007F6C" w14:paraId="4C59FF27" w14:textId="77777777" w:rsidTr="005E2F1E">
        <w:tc>
          <w:tcPr>
            <w:tcW w:w="2254" w:type="dxa"/>
            <w:vMerge/>
          </w:tcPr>
          <w:p w14:paraId="1F753319" w14:textId="77777777" w:rsidR="00007F6C" w:rsidRPr="00DF1214" w:rsidRDefault="00007F6C" w:rsidP="005E2F1E">
            <w:pPr>
              <w:jc w:val="both"/>
              <w:rPr>
                <w:b/>
                <w:bCs/>
              </w:rPr>
            </w:pPr>
          </w:p>
        </w:tc>
        <w:tc>
          <w:tcPr>
            <w:tcW w:w="2254" w:type="dxa"/>
          </w:tcPr>
          <w:p w14:paraId="6E35FDE7" w14:textId="77777777" w:rsidR="00007F6C" w:rsidRPr="00032AA6" w:rsidRDefault="00007F6C" w:rsidP="005E2F1E">
            <w:pPr>
              <w:jc w:val="both"/>
              <w:rPr>
                <w:b/>
                <w:bCs/>
              </w:rPr>
            </w:pPr>
            <w:r w:rsidRPr="00032AA6">
              <w:rPr>
                <w:b/>
                <w:bCs/>
              </w:rPr>
              <w:t>Nickel</w:t>
            </w:r>
          </w:p>
        </w:tc>
        <w:tc>
          <w:tcPr>
            <w:tcW w:w="2254" w:type="dxa"/>
          </w:tcPr>
          <w:p w14:paraId="285A6D1F" w14:textId="77777777" w:rsidR="00007F6C" w:rsidRPr="00032AA6" w:rsidRDefault="00007F6C" w:rsidP="005E2F1E">
            <w:pPr>
              <w:jc w:val="both"/>
              <w:rPr>
                <w:b/>
                <w:bCs/>
              </w:rPr>
            </w:pPr>
            <w:r w:rsidRPr="00032AA6">
              <w:rPr>
                <w:b/>
                <w:bCs/>
              </w:rPr>
              <w:t>YSZ</w:t>
            </w:r>
          </w:p>
        </w:tc>
        <w:tc>
          <w:tcPr>
            <w:tcW w:w="2254" w:type="dxa"/>
          </w:tcPr>
          <w:p w14:paraId="30190ED0" w14:textId="77777777" w:rsidR="00007F6C" w:rsidRPr="00032AA6" w:rsidRDefault="00007F6C" w:rsidP="005E2F1E">
            <w:pPr>
              <w:jc w:val="both"/>
              <w:rPr>
                <w:b/>
                <w:bCs/>
              </w:rPr>
            </w:pPr>
            <w:r w:rsidRPr="00032AA6">
              <w:rPr>
                <w:b/>
                <w:bCs/>
              </w:rPr>
              <w:t>Pore</w:t>
            </w:r>
          </w:p>
        </w:tc>
      </w:tr>
      <w:tr w:rsidR="00007F6C" w14:paraId="61506FA1" w14:textId="77777777" w:rsidTr="005E2F1E">
        <w:tc>
          <w:tcPr>
            <w:tcW w:w="2254" w:type="dxa"/>
          </w:tcPr>
          <w:p w14:paraId="339E60D9" w14:textId="77777777" w:rsidR="00007F6C" w:rsidRDefault="00007F6C" w:rsidP="005E2F1E">
            <w:pPr>
              <w:jc w:val="both"/>
            </w:pPr>
            <w:r>
              <w:t>Ni-YSZ 0 h Air dried</w:t>
            </w:r>
          </w:p>
        </w:tc>
        <w:tc>
          <w:tcPr>
            <w:tcW w:w="2254" w:type="dxa"/>
          </w:tcPr>
          <w:p w14:paraId="5DF62AF7" w14:textId="77777777" w:rsidR="00007F6C" w:rsidRDefault="00007F6C" w:rsidP="005E2F1E">
            <w:pPr>
              <w:jc w:val="right"/>
            </w:pPr>
            <w:r>
              <w:t>19.47%</w:t>
            </w:r>
          </w:p>
        </w:tc>
        <w:tc>
          <w:tcPr>
            <w:tcW w:w="2254" w:type="dxa"/>
          </w:tcPr>
          <w:p w14:paraId="47DB202B" w14:textId="77777777" w:rsidR="00007F6C" w:rsidRDefault="00007F6C" w:rsidP="005E2F1E">
            <w:pPr>
              <w:jc w:val="right"/>
            </w:pPr>
            <w:r>
              <w:t>68.64%</w:t>
            </w:r>
          </w:p>
        </w:tc>
        <w:tc>
          <w:tcPr>
            <w:tcW w:w="2254" w:type="dxa"/>
          </w:tcPr>
          <w:p w14:paraId="3C6DF4AD" w14:textId="77777777" w:rsidR="00007F6C" w:rsidRDefault="00007F6C" w:rsidP="005E2F1E">
            <w:pPr>
              <w:jc w:val="right"/>
            </w:pPr>
            <w:r>
              <w:t>11.88%</w:t>
            </w:r>
          </w:p>
        </w:tc>
      </w:tr>
      <w:tr w:rsidR="00007F6C" w14:paraId="612539C4" w14:textId="77777777" w:rsidTr="005E2F1E">
        <w:tc>
          <w:tcPr>
            <w:tcW w:w="2254" w:type="dxa"/>
          </w:tcPr>
          <w:p w14:paraId="65D76B12" w14:textId="77777777" w:rsidR="00007F6C" w:rsidRDefault="00007F6C" w:rsidP="005E2F1E">
            <w:pPr>
              <w:jc w:val="both"/>
            </w:pPr>
            <w:r>
              <w:t>Ni-YSZ 2 h Air dried</w:t>
            </w:r>
          </w:p>
        </w:tc>
        <w:tc>
          <w:tcPr>
            <w:tcW w:w="2254" w:type="dxa"/>
          </w:tcPr>
          <w:p w14:paraId="14338DD9" w14:textId="77777777" w:rsidR="00007F6C" w:rsidRDefault="00007F6C" w:rsidP="005E2F1E">
            <w:pPr>
              <w:jc w:val="right"/>
            </w:pPr>
            <w:r>
              <w:t>19.27%</w:t>
            </w:r>
          </w:p>
        </w:tc>
        <w:tc>
          <w:tcPr>
            <w:tcW w:w="2254" w:type="dxa"/>
          </w:tcPr>
          <w:p w14:paraId="18D57E6C" w14:textId="77777777" w:rsidR="00007F6C" w:rsidRDefault="00007F6C" w:rsidP="005E2F1E">
            <w:pPr>
              <w:jc w:val="right"/>
            </w:pPr>
            <w:r>
              <w:t>77.25%</w:t>
            </w:r>
          </w:p>
        </w:tc>
        <w:tc>
          <w:tcPr>
            <w:tcW w:w="2254" w:type="dxa"/>
          </w:tcPr>
          <w:p w14:paraId="515FBEBD" w14:textId="77777777" w:rsidR="00007F6C" w:rsidRDefault="00007F6C" w:rsidP="005E2F1E">
            <w:pPr>
              <w:jc w:val="right"/>
            </w:pPr>
            <w:r>
              <w:t>3.48%</w:t>
            </w:r>
          </w:p>
        </w:tc>
      </w:tr>
    </w:tbl>
    <w:p w14:paraId="087FD2C6" w14:textId="03E29979" w:rsidR="00007F6C" w:rsidRDefault="00007F6C" w:rsidP="004838FA">
      <w:pPr>
        <w:spacing w:before="240"/>
        <w:jc w:val="both"/>
      </w:pPr>
      <w:r>
        <w:t>During the first two hours of ageing the nickel phase has increased in volume by over 8% (calculated via YSZ vol % change)</w:t>
      </w:r>
      <w:r w:rsidR="004838FA">
        <w:t xml:space="preserve"> (</w:t>
      </w:r>
      <w:r w:rsidR="004838FA">
        <w:fldChar w:fldCharType="begin"/>
      </w:r>
      <w:r w:rsidR="004838FA">
        <w:instrText xml:space="preserve"> REF _Ref69113327 \h </w:instrText>
      </w:r>
      <w:r w:rsidR="004838FA">
        <w:fldChar w:fldCharType="separate"/>
      </w:r>
      <w:r w:rsidR="004838FA">
        <w:t>Table 6.</w:t>
      </w:r>
      <w:r w:rsidR="004838FA">
        <w:rPr>
          <w:noProof/>
        </w:rPr>
        <w:t>4</w:t>
      </w:r>
      <w:r w:rsidR="004838FA">
        <w:fldChar w:fldCharType="end"/>
      </w:r>
      <w:r w:rsidR="004838FA">
        <w:t>)</w:t>
      </w:r>
      <w:r>
        <w:t xml:space="preserve">. This volume expansion is due to the coarsening of the metal making the nickel particle size exceed the voxel size and is exemplified by </w:t>
      </w:r>
      <w:r>
        <w:fldChar w:fldCharType="begin"/>
      </w:r>
      <w:r>
        <w:instrText xml:space="preserve"> REF _Ref49244072 \h  \* MERGEFORMAT </w:instrText>
      </w:r>
      <w:r>
        <w:fldChar w:fldCharType="separate"/>
      </w:r>
      <w:r>
        <w:t xml:space="preserve">Figure </w:t>
      </w:r>
      <w:r>
        <w:rPr>
          <w:noProof/>
        </w:rPr>
        <w:t>6.24</w:t>
      </w:r>
      <w:r>
        <w:fldChar w:fldCharType="end"/>
      </w:r>
      <w:r>
        <w:t xml:space="preserve"> where the top of the segment to the electrolyte interface is denoted between 0 – 60. After just two hours of ageing the central 20 slices show an 5.2 % average increase in volume.</w:t>
      </w:r>
    </w:p>
    <w:p w14:paraId="0666A62A" w14:textId="77777777" w:rsidR="004838FA" w:rsidRPr="008002A1" w:rsidRDefault="004838FA" w:rsidP="004838FA">
      <w:pPr>
        <w:keepNext/>
        <w:jc w:val="center"/>
        <w:rPr>
          <w:b/>
          <w:bCs/>
        </w:rPr>
      </w:pPr>
      <w:r>
        <w:rPr>
          <w:b/>
          <w:bCs/>
          <w:noProof/>
        </w:rPr>
        <w:t>.</w:t>
      </w:r>
      <w:r w:rsidRPr="008002A1">
        <w:rPr>
          <w:b/>
          <w:bCs/>
          <w:noProof/>
        </w:rPr>
        <w:drawing>
          <wp:inline distT="0" distB="0" distL="0" distR="0" wp14:anchorId="6E4DDE6B" wp14:editId="3C5AB332">
            <wp:extent cx="3960000" cy="3325460"/>
            <wp:effectExtent l="0" t="0" r="254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7">
                      <a:extLst>
                        <a:ext uri="{28A0092B-C50C-407E-A947-70E740481C1C}">
                          <a14:useLocalDpi xmlns:a14="http://schemas.microsoft.com/office/drawing/2010/main" val="0"/>
                        </a:ext>
                      </a:extLst>
                    </a:blip>
                    <a:srcRect l="9174" t="9610" r="13532" b="5405"/>
                    <a:stretch/>
                  </pic:blipFill>
                  <pic:spPr bwMode="auto">
                    <a:xfrm>
                      <a:off x="0" y="0"/>
                      <a:ext cx="3960000" cy="3325460"/>
                    </a:xfrm>
                    <a:prstGeom prst="rect">
                      <a:avLst/>
                    </a:prstGeom>
                    <a:noFill/>
                    <a:ln>
                      <a:noFill/>
                    </a:ln>
                    <a:extLst>
                      <a:ext uri="{53640926-AAD7-44D8-BBD7-CCE9431645EC}">
                        <a14:shadowObscured xmlns:a14="http://schemas.microsoft.com/office/drawing/2010/main"/>
                      </a:ext>
                    </a:extLst>
                  </pic:spPr>
                </pic:pic>
              </a:graphicData>
            </a:graphic>
          </wp:inline>
        </w:drawing>
      </w:r>
    </w:p>
    <w:p w14:paraId="2B015CB2" w14:textId="60A6FFD0" w:rsidR="004838FA" w:rsidRDefault="004838FA" w:rsidP="004838FA">
      <w:pPr>
        <w:pStyle w:val="Caption"/>
        <w:spacing w:after="240"/>
      </w:pPr>
      <w:bookmarkStart w:id="602" w:name="_Ref49244072"/>
      <w:bookmarkStart w:id="603" w:name="_Toc69115075"/>
      <w:r>
        <w:t>Figure 6.</w:t>
      </w:r>
      <w:r w:rsidR="00B51F53">
        <w:fldChar w:fldCharType="begin"/>
      </w:r>
      <w:r w:rsidR="00B51F53">
        <w:instrText xml:space="preserve"> SEQ Figure \* ARABIC </w:instrText>
      </w:r>
      <w:r w:rsidR="00B51F53">
        <w:fldChar w:fldCharType="separate"/>
      </w:r>
      <w:r>
        <w:rPr>
          <w:noProof/>
        </w:rPr>
        <w:t>24</w:t>
      </w:r>
      <w:r w:rsidR="00B51F53">
        <w:rPr>
          <w:noProof/>
        </w:rPr>
        <w:fldChar w:fldCharType="end"/>
      </w:r>
      <w:bookmarkEnd w:id="602"/>
      <w:r>
        <w:t xml:space="preserve">: Volume % per slice of the nickel catalyst phases from the top to the bottom of the Roi. The 0 h aged nickel is denoted by the grey series and the 2 h aged the pink series, respectively. Slices 0-20 denote the top of 2.5 </w:t>
      </w:r>
      <w:r>
        <w:rPr>
          <w:rFonts w:cstheme="minorHAnsi"/>
        </w:rPr>
        <w:t>µ</w:t>
      </w:r>
      <w:r>
        <w:t xml:space="preserve">m of the volume. Slices 20-60 denote the Ni-YSZ electrode approaching the electrode/electrolyte </w:t>
      </w:r>
      <w:proofErr w:type="gramStart"/>
      <w:r>
        <w:t>interface</w:t>
      </w:r>
      <w:bookmarkEnd w:id="603"/>
      <w:proofErr w:type="gramEnd"/>
    </w:p>
    <w:p w14:paraId="2AC59BEC" w14:textId="369DD359" w:rsidR="00007F6C" w:rsidRDefault="00007F6C" w:rsidP="00007F6C">
      <w:pPr>
        <w:jc w:val="both"/>
      </w:pPr>
      <w:r>
        <w:t xml:space="preserve">However, in the bottom third of the ROI the vol % of the phase appears to have dropped, this indicates that the coarsening in the middle of the section is causing issues for catalyst migration and coarsening. This blocking behaviour has also been shown in </w:t>
      </w:r>
      <w:r>
        <w:fldChar w:fldCharType="begin"/>
      </w:r>
      <w:r>
        <w:instrText xml:space="preserve"> REF _Ref49244694 \h  \* MERGEFORMAT </w:instrText>
      </w:r>
      <w:r>
        <w:fldChar w:fldCharType="separate"/>
      </w:r>
      <w:r w:rsidR="004838FA">
        <w:t xml:space="preserve">Figure </w:t>
      </w:r>
      <w:r w:rsidR="004838FA">
        <w:rPr>
          <w:noProof/>
        </w:rPr>
        <w:t>6.9</w:t>
      </w:r>
      <w:r>
        <w:fldChar w:fldCharType="end"/>
      </w:r>
      <w:r>
        <w:t xml:space="preserve"> in the 5 h aged micrograph where the nickel network has sintered to such an extent that it also appeared to have blocked the pores in the bottom third of the micrograph.</w:t>
      </w:r>
    </w:p>
    <w:p w14:paraId="79FB63BB" w14:textId="2A8485AD" w:rsidR="00007F6C" w:rsidRDefault="00007F6C" w:rsidP="00007F6C">
      <w:pPr>
        <w:jc w:val="both"/>
      </w:pPr>
      <w:r>
        <w:t xml:space="preserve">These snapshots have identified that the air-dried infiltrated nickel phase is highly mobile and moves migrates towards the electrolyte interface rapidly during the ageing process. However, due to the initial sintering mechanism present the metal agglomerates leading to pore blocking.  This blocking would reduce the amount of fuel reaching the AFL and subsequently increase the polarisation resistance of the fuel electrode </w:t>
      </w:r>
      <w:r>
        <w:fldChar w:fldCharType="begin" w:fldLock="1"/>
      </w:r>
      <w:r w:rsidR="00151775">
        <w:instrText xml:space="preserve">ADDIN CSL_CITATION {"citationItems":[{"id":"ITEM-1","itemData":{"DOI":"10.3390/en13040987","ISSN":"19961073","abstract":"Detailed insight into electrochemical reaction mechanisms and rate limiting steps is crucial for targeted optimization of solid oxide fuel cell (SOFC) electrodes, especially for new materials and processing techniques, such as Ni/Gd-doped ceria (GDC) cermet anodes in metal-supported cells. Here, we present a comprehensive model that describes the impedance of porous cermet electrodes according to a transmission line circuit. We exemplify the validity of the model on electrolyte-supported symmetrical model cells with two equal Ni/Ce0.9Gd0.1O1.95-δ anodes. These anodes exhibit a remarkably low polarization resistance of less than 0.1 Wcm2 at 750 °C and OCV, and metal-supported cells with equally prepared anodes achieve excellent power density of &gt;2 W/cm2 at 700 °C. With the transmission line impedance model, it is possible to separate and quantify the individual contributions to the polarization resistance, such as oxygen ion transport across the YSZ-GDC interface, ionic conductivity within the porous anode, oxygen exchange at the GDC surface and gas phase diffiusion. Furthermore, we show that the fitted parameters consistently scale with variation of electrode geometry, temperature and atmosphere. Since the fitted parameters are representative for materials properties, we can also relate our results to model studies on the ion conductivity, oxygen stoichiometry and surface catalytic properties of Gd-doped ceria and obtain very good quantitative agreement. With this detailed insight into reaction mechanisms, we can explain the excellent performance of the anode as a combination of materials properties of GDC and the unusual microstructure that is a consequence of the reductive sintering procedure, which is required for anodes in metal-supported cells.","author":[{"dropping-particle":"","family":"Nenning","given":"Andreas","non-dropping-particle":"","parse-names":false,"suffix":""},{"dropping-particle":"","family":"Bischof","given":"Cornelia","non-dropping-particle":"","parse-names":false,"suffix":""},{"dropping-particle":"","family":"Fleig","given":"Jürgen","non-dropping-particle":"","parse-names":false,"suffix":""},{"dropping-particle":"","family":"Bram","given":"Martin","non-dropping-particle":"","parse-names":false,"suffix":""},{"dropping-particle":"","family":"Opitz","given":"Alexander K.","non-dropping-particle":"","parse-names":false,"suffix":""}],"container-title":"Energies","id":"ITEM-1","issue":"4","issued":{"date-parts":[["2020"]]},"page":"5-9","title":"The relation of microstructure, materials properties and impedance of SOFC electrodes: A case study of Ni/GDC anodes","type":"article-journal","volume":"13"},"uris":["http://www.mendeley.com/documents/?uuid=cef23b09-f38e-4186-a431-4b1ec2080872"]},{"id":"ITEM-2","itemData":{"DOI":"10.1149/2.075212jes","ISBN":"00134651 (ISSN)","ISSN":"0013-4651","abstract":"Infiltration of a polymeric Ni oxide precursor into a sintered porous yttria-stabilized zirconia (YSZ) skeleton is a promising approach to achieve redox-stable solid oxide fuel cells. To ensure that the porous YSZ skeleton was mech. strong enough to withstand the stresses caused by the volumetric expansion of the Ni phase upon oxidn. even at relatively high loadings, a polymeric YSZ precursor was infiltrated into to the porous YSZ skeleton, prior to NiO infiltration. Infiltration of YSZ precursor strengthened the porous YSZ skeleton without compromising from the porosity or initial YSZ particle size significantly. The amt. of infiltrated YSZ and the subsequent heat-treatment temp. are important processing parameters in achieving redox stable Ni-YSZ anodes. Electrolyte supported SOFC (electrolyte thickness </w:instrText>
      </w:r>
      <w:r w:rsidR="00151775">
        <w:rPr>
          <w:rFonts w:ascii="Cambria Math" w:hAnsi="Cambria Math" w:cs="Cambria Math"/>
        </w:rPr>
        <w:instrText>∼</w:instrText>
      </w:r>
      <w:r w:rsidR="00151775">
        <w:instrText xml:space="preserve"> 180 μm) with redox stable anode prepd. by YSZ and NiO infiltrations showed a power d. of </w:instrText>
      </w:r>
      <w:r w:rsidR="00151775">
        <w:rPr>
          <w:rFonts w:ascii="Cambria Math" w:hAnsi="Cambria Math" w:cs="Cambria Math"/>
        </w:rPr>
        <w:instrText>∼</w:instrText>
      </w:r>
      <w:r w:rsidR="00151775">
        <w:instrText>0.41 W/cm2 at 800</w:instrText>
      </w:r>
      <w:r w:rsidR="00151775">
        <w:rPr>
          <w:rFonts w:ascii="Calibri" w:hAnsi="Calibri" w:cs="Calibri"/>
        </w:rPr>
        <w:instrText>°</w:instrText>
      </w:r>
      <w:r w:rsidR="00151775">
        <w:instrText xml:space="preserve"> which did not change significantly after 20 redox cycles in 10%H2 - 90% Ar fuel. Impedance spectroscopy measurements at 800</w:instrText>
      </w:r>
      <w:r w:rsidR="00151775">
        <w:rPr>
          <w:rFonts w:ascii="Calibri" w:hAnsi="Calibri" w:cs="Calibri"/>
        </w:rPr>
        <w:instrText>°</w:instrText>
      </w:r>
      <w:r w:rsidR="00151775">
        <w:instrText xml:space="preserve"> showed low electrode polarization resistances (anode + cathode </w:instrText>
      </w:r>
      <w:r w:rsidR="00151775">
        <w:rPr>
          <w:rFonts w:ascii="Cambria Math" w:hAnsi="Cambria Math" w:cs="Cambria Math"/>
        </w:rPr>
        <w:instrText>∼</w:instrText>
      </w:r>
      <w:r w:rsidR="00151775">
        <w:instrText xml:space="preserve">0.07 </w:instrText>
      </w:r>
      <w:r w:rsidR="00151775">
        <w:rPr>
          <w:rFonts w:ascii="Calibri" w:hAnsi="Calibri" w:cs="Calibri"/>
        </w:rPr>
        <w:instrText>Ω</w:instrText>
      </w:r>
      <w:r w:rsidR="00151775">
        <w:instrText xml:space="preserve"> cm2 at 800</w:instrText>
      </w:r>
      <w:r w:rsidR="00151775">
        <w:rPr>
          <w:rFonts w:ascii="Calibri" w:hAnsi="Calibri" w:cs="Calibri"/>
        </w:rPr>
        <w:instrText>°</w:instrText>
      </w:r>
      <w:r w:rsidR="00151775">
        <w:instrText>C) which remained stable upon redox cycling. [on SciFinder(R)]","author":[{"dropping-particle":"","family":"Buyukaksoy","given":"Aligul","non-dropping-particle":"","parse-names":false,"suffix":""},{"dropping-particle":"","family":"Petrovsky","given":"Vladimir","non-dropping-particle":"","parse-names":false,"suffix":""},{"dropping-particle":"","family":"Dogan","given":"Fatih","non-dropping-particle":"","parse-names":false,"suffix":""}],"container-title":"Journal of The Electrochemical Society","id":"ITEM-2","issue":"12","issued":{"date-parts":[["2012"]]},"language":"English","note":"Cited By :6\nExport Date: 20 January 2017\nCODEN: JESOA\nCorrespondence Address: Dogan, F.; Department of Materials Science and Engineering, Missouri University of Science and Technology, Rolla, MO 65409, United States; email: doganf@mst.edu\nReferences: McEvoy, A., (2003) High Temperature Solid Oxide Fuel Cells: Fundamentals, Design and Applications, p. 149. , 1st ed. , S. C. Singhal and K. Kendall, Elsevier Advanced Technology, Oxford; Zhu, W.Z., Deevi, S.C., (2003) Mat Sci Eng. A, 362, p. 288; Jiang, Y., Virkar, A.V., (2001) J. Electrochem. Soc., 148, pp. B706; Zhao, F., Virkar, A.V., (2005) J. Power Sources, 141, p. 79; Sarikaya, A., Petrovsky, V., Dogan, F., (2012) Int. J. Hydrogen Energ., 37, p. 11370; Anderson, H.U., Tietz, F., (2003) High Temperature Solid Oxide Fuel Cells: Fundamentals, Design and Applications, p. 183. , 1st ed. , S. C. Singhal and K. Kendall, Elsevier Advanced Technology, Oxford; Klemenso, T., Mogensen, M., (2007) J. Am. Ceram. Soc., 90, p. 3582; Pihlatie, M., Ramos, T., Kaiser, A., (2009) J. Power Sources, 193, p. 322; Laurencin, J., Delette, G., Sicardy, O., Rosini, S., (2010) J. Power Sources, 195, p. 2747; Sarantaridis, D., Atkinson, A., (2007) Fuel Cells, 7, p. 246; Faes, A., Nakajo, A., Dubois, D., Modena, S., Brisse, A., Van Herle, J., (2009) J. Power Sources, 193, p. 55; Blennow, P., Hansen, K.K., Wallenberg, L.R., Mogensen, M., (2009) Solid State Ionics, 180, p. 63; Smith, B.H., Holler, W.C., Gross, M.D., (2011) Solid State Ionics, 192, p. 383; Tao, S., Irvine, J.T.S., (2003) Nature Mater., 2, p. 320; Klemenso, T., Chung, C., Larsen, P.H., Mogensen, M., (2005) J. Electrochem. Soc., 152, pp. B2186; Fouquet, D., Muller, A.C., Weber, A., (2003) Ionics, 8, p. 103; Vohs, J.M., Gorte, R.J., (2009) Adv. Mater., 21, p. 943; Sholklapper, T.Z., Radmilovic, V., Jacobson, C.P., Visco, S.J., De Jonghe, L.C., (2007) Electrochem. Solid-State Lett., 10, pp. B74; Zhan, Z., Bierschenk, D.M., Cronin, J.S., Barnett, S.A., (2011) Energy Environ. Sci., 4, p. 3951; Petrovsky, V., Suzuki, T., Jasinski, P., Anderson, H.U., (2005) Electrochem. Solid-State Lett., 8, pp. A341; Busawon, A.N., Sarantaridis, D., Atkinson, A., (2008) Electrochem. Solid-State Lett., 11, pp. B186; Buyukaksoy, A., Petrovsky, V., Dogan, F., (2012) J. Electrochem. Soc, 159, pp. B232; Iwanschitz, B., Sfeir, J., Mai, A., Schutze, M., (2010) J. Electrochem. Soc., 157, pp. B269; Cassidy, M., Lindsay, G., Kendall, K., (1996) J. Power Sources, 61, p. 189; Malzbender, J., Steinbrech, R.W., (2007) J. Power Sources, 173, p. 60; Waldbillig, D., Wood, A., Ivey, D.G., (2005) Solid State Ionics, 176, p. 847; Waldbillig, D., Wood, A., Ivey, D.G., (2005) J. Electrochem. Soc., 154, pp. B133; Buyukaksoy, A., Petrovsky, V., Dogan, F., (2012) J. Electrochem. Soc., 159, pp. B666; Buyukaksoy, A., Petrovsky, V., Dogan, F., (2012) J. Electrochem. Soc., 159, pp. B68; Corbin, S.F., Apte, P.S., (1999) J. Am. Ceram. Soc., 87, p. 1693; Sarikaya, A., Dogan, F., Ceram. Int., , http://dx.doi.org/10.1016/j.ceramint.2012.06.041, in press; Jasinski, P., Petrovksy, V., Suzuki, T., Petrovsky, T., Anderson, H.U., (2005) J. Electrochem. Soc., 152, pp. A454; Robert, G., Kaiser, A., Batawi, E., (2004) 6th European Solid Oxide Fuel Cell Forum Proceedings, p. 193. , M. Mogensen, Editor, European Fuel Cell Forum, Oberrohrdorf, Switzerland","page":"F841-F848","title":"Optimization of Redox Stable Ni-YSZ Anodes for SOFCs by Two-Step Infiltration","type":"article-journal","volume":"159"},"uris":["http://www.mendeley.com/documents/?uuid=bcf56860-7965-47d1-90d5-884d3788d688"]}],"mendeley":{"formattedCitation":"[153], [451]","plainTextFormattedCitation":"[153], [451]","previouslyFormattedCitation":"[153], [451]"},"properties":{"noteIndex":0},"schema":"https://github.com/citation-style-language/schema/raw/master/csl-citation.json"}</w:instrText>
      </w:r>
      <w:r>
        <w:fldChar w:fldCharType="separate"/>
      </w:r>
      <w:r w:rsidR="008B6E91" w:rsidRPr="008B6E91">
        <w:rPr>
          <w:noProof/>
        </w:rPr>
        <w:t>[153], [451]</w:t>
      </w:r>
      <w:r>
        <w:fldChar w:fldCharType="end"/>
      </w:r>
      <w:r>
        <w:t>.</w:t>
      </w:r>
    </w:p>
    <w:p w14:paraId="3C2DE336" w14:textId="4B594C2F" w:rsidR="00007F6C" w:rsidRDefault="00007F6C" w:rsidP="00007F6C">
      <w:pPr>
        <w:jc w:val="both"/>
      </w:pPr>
      <w:r>
        <w:t xml:space="preserve">The migration of the infiltrated phase towards the AFL indicates that for the air-dried Ni-YSZ system atomic ripening is the major sintering mechanism present for the infiltrated catalyst system. This is supported by the findings of </w:t>
      </w:r>
      <w:proofErr w:type="spellStart"/>
      <w:r w:rsidRPr="00D2434B">
        <w:t>DeLaRiva</w:t>
      </w:r>
      <w:proofErr w:type="spellEnd"/>
      <w:r w:rsidRPr="00D2434B">
        <w:t xml:space="preserve"> et al</w:t>
      </w:r>
      <w:r>
        <w:t xml:space="preserve"> in 2013 who tracked the sintering mechanisms of nickel in MgAl</w:t>
      </w:r>
      <w:r>
        <w:rPr>
          <w:vertAlign w:val="subscript"/>
        </w:rPr>
        <w:t>2</w:t>
      </w:r>
      <w:r>
        <w:t>O</w:t>
      </w:r>
      <w:r>
        <w:rPr>
          <w:vertAlign w:val="subscript"/>
        </w:rPr>
        <w:t>4</w:t>
      </w:r>
      <w:r>
        <w:t xml:space="preserve"> catalysts using an environmental TEM </w:t>
      </w:r>
      <w:r>
        <w:fldChar w:fldCharType="begin" w:fldLock="1"/>
      </w:r>
      <w:r w:rsidR="00EC62EF">
        <w:instrText>ADDIN CSL_CITATION {"citationItems":[{"id":"ITEM-1","itemData":{"DOI":"https://doi.org/10.1016/j.jcat.2013.08.018","ISSN":"0021-9517","abstract":"Recent advancements in the field of electron microscopy, such as aberration correctors, have now been integrated into Environmental Transmission Electron Microscopes (TEMs), making it possible to study the behavior of supported metal catalysts under operating conditions at atomic resolution. Here, we focus on in situ electron microscopy studies of catalysts that shed light on the mechanistic aspects of catalyst sintering. Catalyst sintering is an important mechanism for activity loss, especially for catalysts that operate at elevated temperatures. Literature from the past decade is reviewed along with our recent in situ TEM studies on the sintering of Ni/MgAl2O4 catalysts. These results suggest that the rapid loss of catalyst activity in the earliest stages of catalyst sintering could result from Ostwald ripening rather than through particle migration and coalescence. The smallest particles are found to disappear in a few seconds as soon as the catalyst reaches the operating temperature. While particle migration and coalescence is evident in some of these in situ studies, it does not follow the classical model where the smallest particles are most mobile. Deterministic models of Ostwald ripening as well as atomistic Monte Carlo simulations are both in good agreement with these experimental observations, predicting a steep loss in catalyst activity at short times on stream. The in situ studies show the importance of direct observations to deduce mechanisms and show the important role played by the support and the gas atmosphere (especially the presence of H2O) on the rates of catalyst sintering.","author":[{"dropping-particle":"","family":"DeLaRiva","given":"Andrew T","non-dropping-particle":"","parse-names":false,"suffix":""},{"dropping-particle":"","family":"Hansen","given":"Thomas W","non-dropping-particle":"","parse-names":false,"suffix":""},{"dropping-particle":"","family":"Challa","given":"Sivakumar R","non-dropping-particle":"","parse-names":false,"suffix":""},{"dropping-particle":"","family":"Datye","given":"Abhaya K","non-dropping-particle":"","parse-names":false,"suffix":""}],"container-title":"Journal of Catalysis","id":"ITEM-1","issued":{"date-parts":[["2013"]]},"page":"291-305","title":"In situ Transmission Electron Microscopy of catalyst sintering","type":"article-journal","volume":"308"},"uris":["http://www.mendeley.com/documents/?uuid=3d8ba0d8-85f0-4ab2-aa92-fffbdd01cab2"]},{"id":"ITEM-2","itemData":{"author":[{"dropping-particle":"","family":"DeLaRiva","given":"Andrew T","non-dropping-particle":"","parse-names":false,"suffix":""}],"id":"ITEM-2","issued":{"date-parts":[["2010"]]},"number-of-pages":"91","publisher":"The University of New Mexico","title":"Sintering of Ni/MgAl2O4 catalyst via in-situ TEM","type":"thesis"},"uris":["http://www.mendeley.com/documents/?uuid=465cd937-ee73-40b3-8a2a-2f9519450b2b"]}],"mendeley":{"formattedCitation":"[502], [503]","plainTextFormattedCitation":"[502], [503]","previouslyFormattedCitation":"[502], [503]"},"properties":{"noteIndex":0},"schema":"https://github.com/citation-style-language/schema/raw/master/csl-citation.json"}</w:instrText>
      </w:r>
      <w:r>
        <w:fldChar w:fldCharType="separate"/>
      </w:r>
      <w:r w:rsidR="008446C6" w:rsidRPr="008446C6">
        <w:rPr>
          <w:noProof/>
        </w:rPr>
        <w:t>[502], [503]</w:t>
      </w:r>
      <w:r>
        <w:fldChar w:fldCharType="end"/>
      </w:r>
      <w:r>
        <w:t xml:space="preserve">. </w:t>
      </w:r>
    </w:p>
    <w:p w14:paraId="31D18905" w14:textId="0E2DDFB3" w:rsidR="00007F6C" w:rsidRPr="00482154" w:rsidRDefault="00007F6C" w:rsidP="00007F6C">
      <w:pPr>
        <w:jc w:val="both"/>
      </w:pPr>
      <w:r>
        <w:lastRenderedPageBreak/>
        <w:t xml:space="preserve">PMC has been discounted due to the work from </w:t>
      </w:r>
      <w:r>
        <w:rPr>
          <w:i/>
          <w:iCs/>
        </w:rPr>
        <w:t xml:space="preserve">Crump, </w:t>
      </w:r>
      <w:r>
        <w:t>who found that the migration distance of nickel crystallite X</w:t>
      </w:r>
      <w:r>
        <w:rPr>
          <w:vertAlign w:val="subscript"/>
        </w:rPr>
        <w:t>C,</w:t>
      </w:r>
      <w:r>
        <w:t xml:space="preserve"> decreased from by over a scale factor with a crystallite radius r, increase of 4 nm at 500</w:t>
      </w:r>
      <w:r>
        <w:rPr>
          <w:rFonts w:cstheme="minorHAnsi"/>
        </w:rPr>
        <w:t>⁰</w:t>
      </w:r>
      <w:r>
        <w:t xml:space="preserve">C </w:t>
      </w:r>
      <w:r>
        <w:rPr>
          <w:i/>
          <w:iCs/>
        </w:rPr>
        <w:fldChar w:fldCharType="begin" w:fldLock="1"/>
      </w:r>
      <w:r w:rsidR="00EC62EF">
        <w:rPr>
          <w:i/>
          <w:iCs/>
        </w:rPr>
        <w:instrText>ADDIN CSL_CITATION {"citationItems":[{"id":"ITEM-1","itemData":{"author":[{"dropping-particle":"","family":"Crump","given":"J G","non-dropping-particle":"","parse-names":false,"suffix":""}],"id":"ITEM-1","issued":{"date-parts":[["1979"]]},"page":"417-425","title":"Crystallite Size Distributions of Sintered Nickel Catalysts","type":"article-journal","volume":"85"},"uris":["http://www.mendeley.com/documents/?uuid=3d6ca209-c0df-4b2b-82e2-cd948fcd6a96"]}],"mendeley":{"formattedCitation":"[504]","plainTextFormattedCitation":"[504]","previouslyFormattedCitation":"[504]"},"properties":{"noteIndex":0},"schema":"https://github.com/citation-style-language/schema/raw/master/csl-citation.json"}</w:instrText>
      </w:r>
      <w:r>
        <w:rPr>
          <w:i/>
          <w:iCs/>
        </w:rPr>
        <w:fldChar w:fldCharType="separate"/>
      </w:r>
      <w:r w:rsidR="008446C6" w:rsidRPr="008446C6">
        <w:rPr>
          <w:iCs/>
          <w:noProof/>
        </w:rPr>
        <w:t>[504]</w:t>
      </w:r>
      <w:r>
        <w:rPr>
          <w:i/>
          <w:iCs/>
        </w:rPr>
        <w:fldChar w:fldCharType="end"/>
      </w:r>
      <w:r>
        <w:rPr>
          <w:i/>
          <w:iCs/>
        </w:rPr>
        <w:t>.</w:t>
      </w:r>
      <w:r>
        <w:t xml:space="preserve"> This is related to the crystallite diffusivity D</w:t>
      </w:r>
      <w:r>
        <w:rPr>
          <w:vertAlign w:val="subscript"/>
        </w:rPr>
        <w:t>C</w:t>
      </w:r>
      <w:r>
        <w:t>, surface diffusivity D</w:t>
      </w:r>
      <w:r>
        <w:rPr>
          <w:vertAlign w:val="subscript"/>
        </w:rPr>
        <w:t>S</w:t>
      </w:r>
      <w:r>
        <w:t xml:space="preserve">, atomic radius </w:t>
      </w:r>
      <w:r>
        <w:rPr>
          <w:rFonts w:cstheme="minorHAnsi"/>
        </w:rPr>
        <w:t>α</w:t>
      </w:r>
      <w:r>
        <w:t xml:space="preserve">, temperature T, and ageing time t, in hours( </w:t>
      </w:r>
      <w:r>
        <w:fldChar w:fldCharType="begin"/>
      </w:r>
      <w:r>
        <w:instrText xml:space="preserve"> REF _Ref49261046 \h  \* MERGEFORMAT </w:instrText>
      </w:r>
      <w:r>
        <w:fldChar w:fldCharType="separate"/>
      </w:r>
      <w:r w:rsidRPr="00C103C3">
        <w:t xml:space="preserve">Equation </w:t>
      </w:r>
      <w:r w:rsidRPr="00C103C3">
        <w:rPr>
          <w:noProof/>
        </w:rPr>
        <w:t>6.6</w:t>
      </w:r>
      <w:r>
        <w:fldChar w:fldCharType="end"/>
      </w:r>
      <w:r>
        <w:t xml:space="preserve"> and </w:t>
      </w:r>
      <w:r>
        <w:fldChar w:fldCharType="begin"/>
      </w:r>
      <w:r>
        <w:instrText xml:space="preserve"> REF _Ref49261050 \h  \* MERGEFORMAT </w:instrText>
      </w:r>
      <w:r>
        <w:fldChar w:fldCharType="separate"/>
      </w:r>
      <w:r w:rsidRPr="00C103C3">
        <w:t xml:space="preserve">Equation </w:t>
      </w:r>
      <w:r w:rsidRPr="00C103C3">
        <w:rPr>
          <w:noProof/>
        </w:rPr>
        <w:t>6.7</w:t>
      </w:r>
      <w:r>
        <w:fldChar w:fldCharType="end"/>
      </w:r>
      <w:r>
        <w:t>)</w:t>
      </w:r>
      <w:r>
        <w:fldChar w:fldCharType="begin" w:fldLock="1"/>
      </w:r>
      <w:r w:rsidR="00EC62EF">
        <w:instrText>ADDIN CSL_CITATION {"citationItems":[{"id":"ITEM-1","itemData":{"author":[{"dropping-particle":"","family":"Crump","given":"J G","non-dropping-particle":"","parse-names":false,"suffix":""}],"id":"ITEM-1","issued":{"date-parts":[["1979"]]},"page":"417-425","title":"Crystallite Size Distributions of Sintered Nickel Catalysts","type":"article-journal","volume":"85"},"uris":["http://www.mendeley.com/documents/?uuid=3d6ca209-c0df-4b2b-82e2-cd948fcd6a96"]}],"mendeley":{"formattedCitation":"[504]","plainTextFormattedCitation":"[504]","previouslyFormattedCitation":"[504]"},"properties":{"noteIndex":0},"schema":"https://github.com/citation-style-language/schema/raw/master/csl-citation.json"}</w:instrText>
      </w:r>
      <w:r>
        <w:fldChar w:fldCharType="separate"/>
      </w:r>
      <w:r w:rsidR="008446C6" w:rsidRPr="008446C6">
        <w:rPr>
          <w:noProof/>
        </w:rPr>
        <w:t>[504]</w:t>
      </w:r>
      <w:r>
        <w:fldChar w:fldCharType="end"/>
      </w:r>
      <w:r>
        <w:t>.</w:t>
      </w:r>
    </w:p>
    <w:p w14:paraId="4E8247CD" w14:textId="77777777" w:rsidR="00007F6C" w:rsidRDefault="00B51F53" w:rsidP="00007F6C">
      <w:pPr>
        <w:keepNext/>
        <w:jc w:val="both"/>
      </w:pPr>
      <m:oMathPara>
        <m:oMath>
          <m:sSub>
            <m:sSubPr>
              <m:ctrlPr>
                <w:rPr>
                  <w:rFonts w:ascii="Cambria Math" w:hAnsi="Cambria Math"/>
                  <w:i/>
                </w:rPr>
              </m:ctrlPr>
            </m:sSubPr>
            <m:e>
              <m:r>
                <m:rPr>
                  <m:sty m:val="p"/>
                </m:rPr>
                <w:rPr>
                  <w:rFonts w:ascii="Cambria Math" w:hAnsi="Cambria Math"/>
                </w:rPr>
                <m:t>X</m:t>
              </m:r>
            </m:e>
            <m:sub>
              <m:r>
                <m:rPr>
                  <m:sty m:val="p"/>
                </m:rPr>
                <w:rPr>
                  <w:rFonts w:ascii="Cambria Math" w:hAnsi="Cambria Math"/>
                </w:rPr>
                <m:t>C</m:t>
              </m:r>
            </m:sub>
          </m:sSub>
          <m:r>
            <m:rPr>
              <m:sty m:val="p"/>
            </m:rPr>
            <w:rPr>
              <w:rFonts w:ascii="Cambria Math" w:hAnsi="Cambria Math"/>
            </w:rPr>
            <m:t>=2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m:rPr>
                          <m:sty m:val="p"/>
                        </m:rPr>
                        <w:rPr>
                          <w:rFonts w:ascii="Cambria Math" w:hAnsi="Cambria Math"/>
                        </w:rPr>
                        <m:t>D</m:t>
                      </m:r>
                    </m:e>
                    <m:sub>
                      <m:r>
                        <m:rPr>
                          <m:sty m:val="p"/>
                        </m:rPr>
                        <w:rPr>
                          <w:rFonts w:ascii="Cambria Math" w:hAnsi="Cambria Math"/>
                        </w:rPr>
                        <m:t>C</m:t>
                      </m:r>
                    </m:sub>
                  </m:sSub>
                  <m:r>
                    <m:rPr>
                      <m:sty m:val="p"/>
                    </m:rPr>
                    <w:rPr>
                      <w:rFonts w:ascii="Cambria Math" w:hAnsi="Cambria Math"/>
                    </w:rPr>
                    <m:t>t</m:t>
                  </m:r>
                </m:e>
              </m:d>
            </m:e>
            <m:sup>
              <m:f>
                <m:fPr>
                  <m:ctrlPr>
                    <w:rPr>
                      <w:rFonts w:ascii="Cambria Math" w:hAnsi="Cambria Math"/>
                      <w:i/>
                    </w:rPr>
                  </m:ctrlPr>
                </m:fPr>
                <m:num>
                  <m:r>
                    <m:rPr>
                      <m:sty m:val="p"/>
                    </m:rPr>
                    <w:rPr>
                      <w:rFonts w:ascii="Cambria Math" w:hAnsi="Cambria Math"/>
                    </w:rPr>
                    <m:t>1</m:t>
                  </m:r>
                </m:num>
                <m:den>
                  <m:r>
                    <m:rPr>
                      <m:sty m:val="p"/>
                    </m:rPr>
                    <w:rPr>
                      <w:rFonts w:ascii="Cambria Math" w:hAnsi="Cambria Math"/>
                    </w:rPr>
                    <m:t>2</m:t>
                  </m:r>
                </m:den>
              </m:f>
            </m:sup>
          </m:sSup>
        </m:oMath>
      </m:oMathPara>
    </w:p>
    <w:p w14:paraId="77096C25" w14:textId="40B2F065" w:rsidR="00007F6C" w:rsidRPr="00D2434B" w:rsidRDefault="00007F6C" w:rsidP="00007F6C">
      <w:pPr>
        <w:pStyle w:val="Caption"/>
        <w:jc w:val="right"/>
        <w:rPr>
          <w:i w:val="0"/>
          <w:iCs w:val="0"/>
          <w:color w:val="auto"/>
          <w:sz w:val="22"/>
          <w:szCs w:val="22"/>
        </w:rPr>
      </w:pPr>
      <w:r w:rsidRPr="00D2434B">
        <w:rPr>
          <w:i w:val="0"/>
          <w:iCs w:val="0"/>
          <w:color w:val="auto"/>
          <w:sz w:val="22"/>
          <w:szCs w:val="22"/>
        </w:rPr>
        <w:t>Equation 6.</w:t>
      </w:r>
      <w:r w:rsidRPr="00D2434B">
        <w:rPr>
          <w:i w:val="0"/>
          <w:iCs w:val="0"/>
          <w:color w:val="auto"/>
          <w:sz w:val="22"/>
          <w:szCs w:val="22"/>
        </w:rPr>
        <w:fldChar w:fldCharType="begin"/>
      </w:r>
      <w:r w:rsidRPr="00D2434B">
        <w:rPr>
          <w:i w:val="0"/>
          <w:iCs w:val="0"/>
          <w:color w:val="auto"/>
          <w:sz w:val="22"/>
          <w:szCs w:val="22"/>
        </w:rPr>
        <w:instrText xml:space="preserve"> SEQ Equation \* ARABIC </w:instrText>
      </w:r>
      <w:r w:rsidRPr="00D2434B">
        <w:rPr>
          <w:i w:val="0"/>
          <w:iCs w:val="0"/>
          <w:color w:val="auto"/>
          <w:sz w:val="22"/>
          <w:szCs w:val="22"/>
        </w:rPr>
        <w:fldChar w:fldCharType="separate"/>
      </w:r>
      <w:r w:rsidR="00315BF8">
        <w:rPr>
          <w:i w:val="0"/>
          <w:iCs w:val="0"/>
          <w:noProof/>
          <w:color w:val="auto"/>
          <w:sz w:val="22"/>
          <w:szCs w:val="22"/>
        </w:rPr>
        <w:t>5</w:t>
      </w:r>
      <w:r w:rsidRPr="00D2434B">
        <w:rPr>
          <w:i w:val="0"/>
          <w:iCs w:val="0"/>
          <w:noProof/>
          <w:color w:val="auto"/>
          <w:sz w:val="22"/>
          <w:szCs w:val="22"/>
        </w:rPr>
        <w:fldChar w:fldCharType="end"/>
      </w:r>
    </w:p>
    <w:p w14:paraId="3F86BE21" w14:textId="108C54E6" w:rsidR="00007F6C" w:rsidRDefault="00007F6C" w:rsidP="00007F6C">
      <w:pPr>
        <w:jc w:val="both"/>
      </w:pPr>
      <w:r>
        <w:t xml:space="preserve">Utilising the migration distance expression stated by </w:t>
      </w:r>
      <w:r w:rsidRPr="00482154">
        <w:rPr>
          <w:i/>
          <w:iCs/>
        </w:rPr>
        <w:t>Crump</w:t>
      </w:r>
      <w:r>
        <w:t xml:space="preserve"> relation and using a crystallite radius of 20 nm (</w:t>
      </w:r>
      <w:r w:rsidR="0085042B">
        <w:fldChar w:fldCharType="begin"/>
      </w:r>
      <w:r w:rsidR="0085042B">
        <w:instrText xml:space="preserve"> REF _Ref69113508 \h </w:instrText>
      </w:r>
      <w:r w:rsidR="0085042B">
        <w:fldChar w:fldCharType="separate"/>
      </w:r>
      <w:r w:rsidR="0085042B">
        <w:t>Table 6.</w:t>
      </w:r>
      <w:r w:rsidR="0085042B">
        <w:rPr>
          <w:noProof/>
        </w:rPr>
        <w:t>5</w:t>
      </w:r>
      <w:r w:rsidR="0085042B">
        <w:fldChar w:fldCharType="end"/>
      </w:r>
      <w:r>
        <w:t>) the particle migration distance at 800</w:t>
      </w:r>
      <w:r>
        <w:rPr>
          <w:rFonts w:cstheme="minorHAnsi"/>
        </w:rPr>
        <w:t>⁰</w:t>
      </w:r>
      <w:r>
        <w:t xml:space="preserve">C was found to be 3.4 </w:t>
      </w:r>
      <w:r>
        <w:rPr>
          <w:rFonts w:cstheme="minorHAnsi"/>
        </w:rPr>
        <w:t>±</w:t>
      </w:r>
      <w:r>
        <w:t xml:space="preserve"> 5.9 nm. Including the systematic error (10 nm) this is approximately, a 100</w:t>
      </w:r>
      <w:r w:rsidRPr="00482154">
        <w:rPr>
          <w:vertAlign w:val="superscript"/>
        </w:rPr>
        <w:t>th</w:t>
      </w:r>
      <w:r>
        <w:t xml:space="preserve"> of the distance needed for the infiltrated nickel to migrate via PMC from the top of the ROI to the centre. As the radius of the nickel crystallite increases with ageing time, this distance will continue to decrease before the sample sinters and creates facetted particles </w:t>
      </w:r>
      <w:r>
        <w:fldChar w:fldCharType="begin" w:fldLock="1"/>
      </w:r>
      <w:r w:rsidR="00EC62EF">
        <w:instrText>ADDIN CSL_CITATION {"citationItems":[{"id":"ITEM-1","itemData":{"author":[{"dropping-particle":"","family":"Crump","given":"J G","non-dropping-particle":"","parse-names":false,"suffix":""}],"id":"ITEM-1","issued":{"date-parts":[["1979"]]},"page":"417-425","title":"Crystallite Size Distributions of Sintered Nickel Catalysts","type":"article-journal","volume":"85"},"uris":["http://www.mendeley.com/documents/?uuid=3d6ca209-c0df-4b2b-82e2-cd948fcd6a96"]}],"mendeley":{"formattedCitation":"[504]","plainTextFormattedCitation":"[504]","previouslyFormattedCitation":"[504]"},"properties":{"noteIndex":0},"schema":"https://github.com/citation-style-language/schema/raw/master/csl-citation.json"}</w:instrText>
      </w:r>
      <w:r>
        <w:fldChar w:fldCharType="separate"/>
      </w:r>
      <w:r w:rsidR="008446C6" w:rsidRPr="008446C6">
        <w:rPr>
          <w:noProof/>
        </w:rPr>
        <w:t>[504]</w:t>
      </w:r>
      <w:r>
        <w:fldChar w:fldCharType="end"/>
      </w:r>
      <w:r>
        <w:t xml:space="preserve">. This eliminates PMC as the initial coarsening mechanism for the air-dried Ni-YSZ electrode in agreement with Hansen et al </w:t>
      </w:r>
      <w:r>
        <w:fldChar w:fldCharType="begin" w:fldLock="1"/>
      </w:r>
      <w:r w:rsidR="00EC62EF">
        <w:instrText>ADDIN CSL_CITATION {"citationItems":[{"id":"ITEM-1","itemData":{"DOI":"https://doi.org/10.1016/j.jcat.2013.08.018","ISSN":"0021-9517","abstract":"Recent advancements in the field of electron microscopy, such as aberration correctors, have now been integrated into Environmental Transmission Electron Microscopes (TEMs), making it possible to study the behavior of supported metal catalysts under operating conditions at atomic resolution. Here, we focus on in situ electron microscopy studies of catalysts that shed light on the mechanistic aspects of catalyst sintering. Catalyst sintering is an important mechanism for activity loss, especially for catalysts that operate at elevated temperatures. Literature from the past decade is reviewed along with our recent in situ TEM studies on the sintering of Ni/MgAl2O4 catalysts. These results suggest that the rapid loss of catalyst activity in the earliest stages of catalyst sintering could result from Ostwald ripening rather than through particle migration and coalescence. The smallest particles are found to disappear in a few seconds as soon as the catalyst reaches the operating temperature. While particle migration and coalescence is evident in some of these in situ studies, it does not follow the classical model where the smallest particles are most mobile. Deterministic models of Ostwald ripening as well as atomistic Monte Carlo simulations are both in good agreement with these experimental observations, predicting a steep loss in catalyst activity at short times on stream. The in situ studies show the importance of direct observations to deduce mechanisms and show the important role played by the support and the gas atmosphere (especially the presence of H2O) on the rates of catalyst sintering.","author":[{"dropping-particle":"","family":"DeLaRiva","given":"Andrew T","non-dropping-particle":"","parse-names":false,"suffix":""},{"dropping-particle":"","family":"Hansen","given":"Thomas W","non-dropping-particle":"","parse-names":false,"suffix":""},{"dropping-particle":"","family":"Challa","given":"Sivakumar R","non-dropping-particle":"","parse-names":false,"suffix":""},{"dropping-particle":"","family":"Datye","given":"Abhaya K","non-dropping-particle":"","parse-names":false,"suffix":""}],"container-title":"Journal of Catalysis","id":"ITEM-1","issued":{"date-parts":[["2013"]]},"page":"291-305","title":"In situ Transmission Electron Microscopy of catalyst sintering","type":"article-journal","volume":"308"},"uris":["http://www.mendeley.com/documents/?uuid=3d8ba0d8-85f0-4ab2-aa92-fffbdd01cab2"]},{"id":"ITEM-2","itemData":{"DOI":"10.1021/ar3002427","ISSN":"00014842","abstract":"Metal nanoparticles contain the active sites in heterogeneous catalysts, which are important for many industrial applications including the production of clean fuels, chemicals and pharmaceuticals, and the cleanup of exhaust from automobiles and stationary power plants. Sintering, or thermal deactivation, is an important mechanism for the loss of catalyst activity. This is especially true for high temperature catalytic processes, such as steam reforming, automotive exhaust treatment, or catalytic combustion. With dwindling supplies of precious metals and increasing demand, fundamental understanding of catalyst sintering is very important for achieving clean energy and a clean environment, and for efficient chemical conversion processes with atom selectivity. Scientists have proposed two mechanisms for sintering of nanoparticles: particle migration and coalescence (PMC) and Ostwald ripening (OR). PMC involves the mobility of particles in a Brownian-like motion on the support surface, with subsequent coalescence leading to nanoparticle growth. In contrast, OR involves the migration of adatoms or mobile molecular species, driven by differences in free energy and local adatom concentrations on the support surface.In this Account, we divide the process of sintering into three phases. Phase I involves rapid loss in catalyst activity (or surface area), phase II is where sintering slows down, and phase III is where the catalyst may reach a stable performance. Much of the previous work is based on inferences from catalysts that were observed before and after long term treatments. While the general phenomena can be captured correctly, the mechanisms cannot be determined. Advancements in the techniques of in situ TEM allow us to observe catalysts at elevated temperatures under working conditions. We review recent evidence obtained via in situ methods to determine the relative importance of PMC and OR in each of these phases of catalyst sintering. The evidence suggests that, in phase I, OR is responsible for the rapid loss of activity that occurs when particles are very small. Surprisingly, very little PMC is observed in this phase. Instead, the rapid loss of activity is caused by the disappearance of the smallest particles. These findings are in good agreement with representative atomistic simulations of sintering. In phase II, sintering slows down since the smallest particles have disappeared. We now see a combination of PMC and OR, but do not fully understand th…","author":[{"dropping-particle":"","family":"Hansen","given":"Thomas W.","non-dropping-particle":"","parse-names":false,"suffix":""},{"dropping-particle":"","family":"Delariva","given":"Andrew T.","non-dropping-particle":"","parse-names":false,"suffix":""},{"dropping-particle":"","family":"Challa","given":"Sivakumar R.","non-dropping-particle":"","parse-names":false,"suffix":""},{"dropping-particle":"","family":"Datye","given":"Abhaya K.","non-dropping-particle":"","parse-names":false,"suffix":""}],"container-title":"Accounts of Chemical Research","id":"ITEM-2","issue":"8","issued":{"date-parts":[["2013"]]},"page":"1720-1730","title":"Sintering of catalytic nanoparticles: Particle migration or ostwald ripening?","type":"article-journal","volume":"46"},"uris":["http://www.mendeley.com/documents/?uuid=56e9c286-1d38-472d-a0b2-2585db2bd181"]}],"mendeley":{"formattedCitation":"[402], [502]","plainTextFormattedCitation":"[402], [502]","previouslyFormattedCitation":"[402], [502]"},"properties":{"noteIndex":0},"schema":"https://github.com/citation-style-language/schema/raw/master/csl-citation.json"}</w:instrText>
      </w:r>
      <w:r>
        <w:fldChar w:fldCharType="separate"/>
      </w:r>
      <w:r w:rsidR="008446C6" w:rsidRPr="008446C6">
        <w:rPr>
          <w:noProof/>
        </w:rPr>
        <w:t>[402], [502]</w:t>
      </w:r>
      <w:r>
        <w:fldChar w:fldCharType="end"/>
      </w:r>
      <w:r>
        <w:t xml:space="preserve">.  </w:t>
      </w:r>
    </w:p>
    <w:p w14:paraId="2F38C70A" w14:textId="77777777" w:rsidR="00007F6C" w:rsidRDefault="00B51F53" w:rsidP="00007F6C">
      <w:pPr>
        <w:keepNext/>
        <w:jc w:val="center"/>
      </w:pPr>
      <m:oMathPara>
        <m:oMath>
          <m:sSub>
            <m:sSubPr>
              <m:ctrlPr>
                <w:rPr>
                  <w:rFonts w:ascii="Cambria Math" w:hAnsi="Cambria Math"/>
                  <w:i/>
                </w:rPr>
              </m:ctrlPr>
            </m:sSubPr>
            <m:e>
              <m:r>
                <m:rPr>
                  <m:sty m:val="p"/>
                </m:rPr>
                <w:rPr>
                  <w:rFonts w:ascii="Cambria Math" w:hAnsi="Cambria Math"/>
                </w:rPr>
                <m:t>D</m:t>
              </m:r>
            </m:e>
            <m:sub>
              <m:r>
                <m:rPr>
                  <m:sty m:val="p"/>
                </m:rPr>
                <w:rPr>
                  <w:rFonts w:ascii="Cambria Math" w:hAnsi="Cambria Math"/>
                </w:rPr>
                <m:t>C</m:t>
              </m:r>
            </m:sub>
          </m:sSub>
          <m:r>
            <m:rPr>
              <m:sty m:val="p"/>
            </m:rPr>
            <w:rPr>
              <w:rFonts w:ascii="Cambria Math" w:hAnsi="Cambria Math"/>
            </w:rPr>
            <m:t xml:space="preserve">=0.301 </m:t>
          </m:r>
          <m:sSub>
            <m:sSubPr>
              <m:ctrlPr>
                <w:rPr>
                  <w:rFonts w:ascii="Cambria Math" w:hAnsi="Cambria Math"/>
                  <w:i/>
                </w:rPr>
              </m:ctrlPr>
            </m:sSubPr>
            <m:e>
              <m:r>
                <m:rPr>
                  <m:sty m:val="p"/>
                </m:rPr>
                <w:rPr>
                  <w:rFonts w:ascii="Cambria Math" w:hAnsi="Cambria Math"/>
                </w:rPr>
                <m:t>D</m:t>
              </m:r>
            </m:e>
            <m:sub>
              <m:r>
                <m:rPr>
                  <m:sty m:val="p"/>
                </m:rPr>
                <w:rPr>
                  <w:rFonts w:ascii="Cambria Math" w:hAnsi="Cambria Math"/>
                </w:rPr>
                <m:t>s</m:t>
              </m:r>
            </m:sub>
          </m:sSub>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m:rPr>
                          <m:sty m:val="p"/>
                        </m:rPr>
                        <w:rPr>
                          <w:rFonts w:ascii="Cambria Math" w:hAnsi="Cambria Math"/>
                        </w:rPr>
                        <m:t>α</m:t>
                      </m:r>
                    </m:num>
                    <m:den>
                      <m:r>
                        <m:rPr>
                          <m:sty m:val="p"/>
                        </m:rPr>
                        <w:rPr>
                          <w:rFonts w:ascii="Cambria Math" w:hAnsi="Cambria Math"/>
                        </w:rPr>
                        <m:t>r</m:t>
                      </m:r>
                    </m:den>
                  </m:f>
                </m:e>
              </m:d>
            </m:e>
            <m:sup>
              <m:f>
                <m:fPr>
                  <m:ctrlPr>
                    <w:rPr>
                      <w:rFonts w:ascii="Cambria Math" w:hAnsi="Cambria Math"/>
                      <w:i/>
                    </w:rPr>
                  </m:ctrlPr>
                </m:fPr>
                <m:num>
                  <m:r>
                    <m:rPr>
                      <m:sty m:val="p"/>
                    </m:rPr>
                    <w:rPr>
                      <w:rFonts w:ascii="Cambria Math" w:hAnsi="Cambria Math"/>
                    </w:rPr>
                    <m:t>1</m:t>
                  </m:r>
                </m:num>
                <m:den>
                  <m:r>
                    <m:rPr>
                      <m:sty m:val="p"/>
                    </m:rPr>
                    <w:rPr>
                      <w:rFonts w:ascii="Cambria Math" w:hAnsi="Cambria Math"/>
                    </w:rPr>
                    <m:t>2</m:t>
                  </m:r>
                </m:den>
              </m:f>
            </m:sup>
          </m:sSup>
        </m:oMath>
      </m:oMathPara>
    </w:p>
    <w:p w14:paraId="30389650" w14:textId="38C0C52B" w:rsidR="00007F6C" w:rsidRPr="00D2434B" w:rsidRDefault="00007F6C" w:rsidP="00007F6C">
      <w:pPr>
        <w:pStyle w:val="Caption"/>
        <w:jc w:val="right"/>
        <w:rPr>
          <w:i w:val="0"/>
          <w:iCs w:val="0"/>
          <w:color w:val="auto"/>
          <w:sz w:val="22"/>
          <w:szCs w:val="22"/>
        </w:rPr>
      </w:pPr>
      <w:bookmarkStart w:id="604" w:name="_Ref49261046"/>
      <w:r w:rsidRPr="00D2434B">
        <w:rPr>
          <w:i w:val="0"/>
          <w:iCs w:val="0"/>
          <w:color w:val="auto"/>
          <w:sz w:val="22"/>
          <w:szCs w:val="22"/>
        </w:rPr>
        <w:t>Equation 6.</w:t>
      </w:r>
      <w:r w:rsidRPr="00D2434B">
        <w:rPr>
          <w:i w:val="0"/>
          <w:iCs w:val="0"/>
          <w:color w:val="auto"/>
          <w:sz w:val="22"/>
          <w:szCs w:val="22"/>
        </w:rPr>
        <w:fldChar w:fldCharType="begin"/>
      </w:r>
      <w:r w:rsidRPr="00D2434B">
        <w:rPr>
          <w:i w:val="0"/>
          <w:iCs w:val="0"/>
          <w:color w:val="auto"/>
          <w:sz w:val="22"/>
          <w:szCs w:val="22"/>
        </w:rPr>
        <w:instrText xml:space="preserve"> SEQ Equation \* ARABIC </w:instrText>
      </w:r>
      <w:r w:rsidRPr="00D2434B">
        <w:rPr>
          <w:i w:val="0"/>
          <w:iCs w:val="0"/>
          <w:color w:val="auto"/>
          <w:sz w:val="22"/>
          <w:szCs w:val="22"/>
        </w:rPr>
        <w:fldChar w:fldCharType="separate"/>
      </w:r>
      <w:r w:rsidR="00315BF8">
        <w:rPr>
          <w:i w:val="0"/>
          <w:iCs w:val="0"/>
          <w:noProof/>
          <w:color w:val="auto"/>
          <w:sz w:val="22"/>
          <w:szCs w:val="22"/>
        </w:rPr>
        <w:t>6</w:t>
      </w:r>
      <w:r w:rsidRPr="00D2434B">
        <w:rPr>
          <w:i w:val="0"/>
          <w:iCs w:val="0"/>
          <w:noProof/>
          <w:color w:val="auto"/>
          <w:sz w:val="22"/>
          <w:szCs w:val="22"/>
        </w:rPr>
        <w:fldChar w:fldCharType="end"/>
      </w:r>
      <w:bookmarkEnd w:id="604"/>
    </w:p>
    <w:p w14:paraId="05EB4013" w14:textId="77777777" w:rsidR="00007F6C" w:rsidRDefault="00B51F53" w:rsidP="00007F6C">
      <w:pPr>
        <w:keepNext/>
        <w:jc w:val="center"/>
      </w:pPr>
      <m:oMathPara>
        <m:oMath>
          <m:sSub>
            <m:sSubPr>
              <m:ctrlPr>
                <w:rPr>
                  <w:rFonts w:ascii="Cambria Math" w:hAnsi="Cambria Math"/>
                  <w:i/>
                </w:rPr>
              </m:ctrlPr>
            </m:sSubPr>
            <m:e>
              <m:r>
                <m:rPr>
                  <m:sty m:val="p"/>
                </m:rPr>
                <w:rPr>
                  <w:rFonts w:ascii="Cambria Math" w:hAnsi="Cambria Math"/>
                </w:rPr>
                <m:t>D</m:t>
              </m:r>
            </m:e>
            <m:sub>
              <m:r>
                <m:rPr>
                  <m:sty m:val="p"/>
                </m:rPr>
                <w:rPr>
                  <w:rFonts w:ascii="Cambria Math" w:hAnsi="Cambria Math"/>
                </w:rPr>
                <m:t>S</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D</m:t>
              </m:r>
            </m:e>
            <m:sub>
              <m:r>
                <m:rPr>
                  <m:sty m:val="p"/>
                </m:rPr>
                <w:rPr>
                  <w:rFonts w:ascii="Cambria Math" w:hAnsi="Cambria Math"/>
                </w:rPr>
                <m:t>o</m:t>
              </m:r>
            </m:sub>
          </m:sSub>
          <m:sSup>
            <m:sSupPr>
              <m:ctrlPr>
                <w:rPr>
                  <w:rFonts w:ascii="Cambria Math" w:hAnsi="Cambria Math"/>
                  <w:i/>
                </w:rPr>
              </m:ctrlPr>
            </m:sSupPr>
            <m:e>
              <m:r>
                <m:rPr>
                  <m:sty m:val="p"/>
                </m:rPr>
                <w:rPr>
                  <w:rFonts w:ascii="Cambria Math" w:hAnsi="Cambria Math"/>
                </w:rPr>
                <m:t>e</m:t>
              </m:r>
            </m:e>
            <m:sup>
              <m:r>
                <m:rPr>
                  <m:sty m:val="p"/>
                </m:rPr>
                <w:rPr>
                  <w:rFonts w:ascii="Cambria Math" w:hAnsi="Cambria Math"/>
                </w:rPr>
                <m:t>-</m:t>
              </m:r>
              <m:f>
                <m:fPr>
                  <m:ctrlPr>
                    <w:rPr>
                      <w:rFonts w:ascii="Cambria Math" w:hAnsi="Cambria Math"/>
                      <w:i/>
                    </w:rPr>
                  </m:ctrlPr>
                </m:fPr>
                <m:num>
                  <m:r>
                    <m:rPr>
                      <m:sty m:val="p"/>
                    </m:rPr>
                    <w:rPr>
                      <w:rFonts w:ascii="Cambria Math" w:hAnsi="Cambria Math"/>
                    </w:rPr>
                    <m:t>Q</m:t>
                  </m:r>
                </m:num>
                <m:den>
                  <m:r>
                    <m:rPr>
                      <m:sty m:val="p"/>
                    </m:rPr>
                    <w:rPr>
                      <w:rFonts w:ascii="Cambria Math" w:hAnsi="Cambria Math"/>
                    </w:rPr>
                    <m:t>RT</m:t>
                  </m:r>
                </m:den>
              </m:f>
            </m:sup>
          </m:sSup>
        </m:oMath>
      </m:oMathPara>
    </w:p>
    <w:p w14:paraId="2D05D78B" w14:textId="5ED48C8F" w:rsidR="00007F6C" w:rsidRPr="00D2434B" w:rsidRDefault="00007F6C" w:rsidP="00007F6C">
      <w:pPr>
        <w:pStyle w:val="Caption"/>
        <w:jc w:val="right"/>
        <w:rPr>
          <w:i w:val="0"/>
          <w:iCs w:val="0"/>
          <w:color w:val="auto"/>
          <w:sz w:val="22"/>
          <w:szCs w:val="22"/>
        </w:rPr>
      </w:pPr>
      <w:bookmarkStart w:id="605" w:name="_Ref49261050"/>
      <w:r w:rsidRPr="00D2434B">
        <w:rPr>
          <w:i w:val="0"/>
          <w:iCs w:val="0"/>
          <w:color w:val="auto"/>
          <w:sz w:val="22"/>
          <w:szCs w:val="22"/>
        </w:rPr>
        <w:t>Equation 6.</w:t>
      </w:r>
      <w:r w:rsidRPr="00D2434B">
        <w:rPr>
          <w:i w:val="0"/>
          <w:iCs w:val="0"/>
          <w:color w:val="auto"/>
          <w:sz w:val="22"/>
          <w:szCs w:val="22"/>
        </w:rPr>
        <w:fldChar w:fldCharType="begin"/>
      </w:r>
      <w:r w:rsidRPr="00D2434B">
        <w:rPr>
          <w:i w:val="0"/>
          <w:iCs w:val="0"/>
          <w:color w:val="auto"/>
          <w:sz w:val="22"/>
          <w:szCs w:val="22"/>
        </w:rPr>
        <w:instrText xml:space="preserve"> SEQ Equation \* ARABIC </w:instrText>
      </w:r>
      <w:r w:rsidRPr="00D2434B">
        <w:rPr>
          <w:i w:val="0"/>
          <w:iCs w:val="0"/>
          <w:color w:val="auto"/>
          <w:sz w:val="22"/>
          <w:szCs w:val="22"/>
        </w:rPr>
        <w:fldChar w:fldCharType="separate"/>
      </w:r>
      <w:r w:rsidR="00315BF8">
        <w:rPr>
          <w:i w:val="0"/>
          <w:iCs w:val="0"/>
          <w:noProof/>
          <w:color w:val="auto"/>
          <w:sz w:val="22"/>
          <w:szCs w:val="22"/>
        </w:rPr>
        <w:t>7</w:t>
      </w:r>
      <w:r w:rsidRPr="00D2434B">
        <w:rPr>
          <w:i w:val="0"/>
          <w:iCs w:val="0"/>
          <w:noProof/>
          <w:color w:val="auto"/>
          <w:sz w:val="22"/>
          <w:szCs w:val="22"/>
        </w:rPr>
        <w:fldChar w:fldCharType="end"/>
      </w:r>
      <w:bookmarkEnd w:id="605"/>
    </w:p>
    <w:p w14:paraId="542AC3A4" w14:textId="77777777" w:rsidR="00007F6C" w:rsidRPr="00EA4DDE" w:rsidRDefault="00007F6C" w:rsidP="00007F6C">
      <w:pPr>
        <w:jc w:val="both"/>
      </w:pPr>
      <w:r>
        <w:t xml:space="preserve">In addition, the </w:t>
      </w:r>
      <w:r w:rsidRPr="00D2434B">
        <w:t>Crump expression</w:t>
      </w:r>
      <w:r>
        <w:t xml:space="preserve"> is based on an ideal system with spherical nickel particles and a flat substrate. The increased tortuosity of the impregnated scaffold would mean the migration distances for the particles would be longer due to the impact of this parameter.</w:t>
      </w:r>
    </w:p>
    <w:p w14:paraId="07A043BF" w14:textId="354E662A" w:rsidR="00007F6C" w:rsidRPr="009D0AB4" w:rsidRDefault="00007F6C" w:rsidP="0085042B">
      <w:pPr>
        <w:pStyle w:val="Caption"/>
        <w:keepNext/>
        <w:spacing w:after="240"/>
      </w:pPr>
      <w:bookmarkStart w:id="606" w:name="_Ref69113508"/>
      <w:r>
        <w:t>Table 6.</w:t>
      </w:r>
      <w:r w:rsidR="00B51F53">
        <w:fldChar w:fldCharType="begin"/>
      </w:r>
      <w:r w:rsidR="00B51F53">
        <w:instrText xml:space="preserve"> SEQ Table \* ARABIC </w:instrText>
      </w:r>
      <w:r w:rsidR="00B51F53">
        <w:fldChar w:fldCharType="separate"/>
      </w:r>
      <w:r w:rsidR="0085042B">
        <w:rPr>
          <w:noProof/>
        </w:rPr>
        <w:t>5</w:t>
      </w:r>
      <w:r w:rsidR="00B51F53">
        <w:rPr>
          <w:noProof/>
        </w:rPr>
        <w:fldChar w:fldCharType="end"/>
      </w:r>
      <w:bookmarkEnd w:id="606"/>
      <w:r>
        <w:t>: Table detailing the calculated Particle migration distance X</w:t>
      </w:r>
      <w:r>
        <w:rPr>
          <w:vertAlign w:val="subscript"/>
        </w:rPr>
        <w:t>C</w:t>
      </w:r>
      <w:r>
        <w:t xml:space="preserve"> for infiltrated nickel particles with crystallite radii from 5 – 50 nm </w:t>
      </w:r>
      <w:r>
        <w:fldChar w:fldCharType="begin" w:fldLock="1"/>
      </w:r>
      <w:r w:rsidR="00EC62EF">
        <w:instrText>ADDIN CSL_CITATION {"citationItems":[{"id":"ITEM-1","itemData":{"author":[{"dropping-particle":"","family":"Crump","given":"J G","non-dropping-particle":"","parse-names":false,"suffix":""}],"id":"ITEM-1","issued":{"date-parts":[["1979"]]},"page":"417-425","title":"Crystallite Size Distributions of Sintered Nickel Catalysts","type":"article-journal","volume":"85"},"uris":["http://www.mendeley.com/documents/?uuid=3d6ca209-c0df-4b2b-82e2-cd948fcd6a96"]}],"mendeley":{"formattedCitation":"[504]","plainTextFormattedCitation":"[504]","previouslyFormattedCitation":"[504]"},"properties":{"noteIndex":0},"schema":"https://github.com/citation-style-language/schema/raw/master/csl-citation.json"}</w:instrText>
      </w:r>
      <w:r>
        <w:fldChar w:fldCharType="separate"/>
      </w:r>
      <w:r w:rsidR="008446C6" w:rsidRPr="008446C6">
        <w:rPr>
          <w:i w:val="0"/>
          <w:noProof/>
        </w:rPr>
        <w:t>[504]</w:t>
      </w:r>
      <w:r>
        <w:fldChar w:fldCharType="end"/>
      </w:r>
    </w:p>
    <w:tbl>
      <w:tblPr>
        <w:tblStyle w:val="TableGrid"/>
        <w:tblW w:w="0" w:type="auto"/>
        <w:jc w:val="center"/>
        <w:tblLook w:val="04A0" w:firstRow="1" w:lastRow="0" w:firstColumn="1" w:lastColumn="0" w:noHBand="0" w:noVBand="1"/>
      </w:tblPr>
      <w:tblGrid>
        <w:gridCol w:w="1312"/>
        <w:gridCol w:w="1400"/>
        <w:gridCol w:w="1227"/>
        <w:gridCol w:w="1276"/>
        <w:gridCol w:w="1163"/>
        <w:gridCol w:w="1209"/>
      </w:tblGrid>
      <w:tr w:rsidR="00007F6C" w14:paraId="5D179FF1" w14:textId="77777777" w:rsidTr="0085042B">
        <w:trPr>
          <w:jc w:val="center"/>
        </w:trPr>
        <w:tc>
          <w:tcPr>
            <w:tcW w:w="1312" w:type="dxa"/>
          </w:tcPr>
          <w:p w14:paraId="2A53AFB5" w14:textId="77777777" w:rsidR="00007F6C" w:rsidRPr="009D0AB4" w:rsidRDefault="00007F6C" w:rsidP="005E2F1E">
            <w:pPr>
              <w:rPr>
                <w:b/>
                <w:bCs/>
              </w:rPr>
            </w:pPr>
            <w:r w:rsidRPr="009D0AB4">
              <w:rPr>
                <w:b/>
                <w:bCs/>
              </w:rPr>
              <w:t>Crystallite radius r, [nm]</w:t>
            </w:r>
          </w:p>
        </w:tc>
        <w:tc>
          <w:tcPr>
            <w:tcW w:w="1400" w:type="dxa"/>
          </w:tcPr>
          <w:p w14:paraId="67888ADE" w14:textId="77777777" w:rsidR="00007F6C" w:rsidRPr="009D0AB4" w:rsidRDefault="00007F6C" w:rsidP="005E2F1E">
            <w:pPr>
              <w:jc w:val="both"/>
              <w:rPr>
                <w:b/>
                <w:bCs/>
              </w:rPr>
            </w:pPr>
            <w:r w:rsidRPr="009D0AB4">
              <w:rPr>
                <w:b/>
                <w:bCs/>
              </w:rPr>
              <w:t>Activation Energy for Surface diffusion Q, [kJmol</w:t>
            </w:r>
            <w:r w:rsidRPr="009D0AB4">
              <w:rPr>
                <w:b/>
                <w:bCs/>
                <w:vertAlign w:val="superscript"/>
              </w:rPr>
              <w:t>-1</w:t>
            </w:r>
            <w:r w:rsidRPr="009D0AB4">
              <w:rPr>
                <w:b/>
                <w:bCs/>
              </w:rPr>
              <w:t>]</w:t>
            </w:r>
          </w:p>
        </w:tc>
        <w:tc>
          <w:tcPr>
            <w:tcW w:w="1227" w:type="dxa"/>
          </w:tcPr>
          <w:p w14:paraId="7C4457DD" w14:textId="77777777" w:rsidR="00007F6C" w:rsidRPr="009D0AB4" w:rsidRDefault="00007F6C" w:rsidP="005E2F1E">
            <w:pPr>
              <w:jc w:val="both"/>
              <w:rPr>
                <w:b/>
                <w:bCs/>
              </w:rPr>
            </w:pPr>
            <w:r w:rsidRPr="009D0AB4">
              <w:rPr>
                <w:b/>
                <w:bCs/>
              </w:rPr>
              <w:t>Surface Diffusivity, D</w:t>
            </w:r>
            <w:r w:rsidRPr="009D0AB4">
              <w:rPr>
                <w:b/>
                <w:bCs/>
                <w:vertAlign w:val="subscript"/>
              </w:rPr>
              <w:t xml:space="preserve">s </w:t>
            </w:r>
            <w:r w:rsidRPr="009D0AB4">
              <w:rPr>
                <w:b/>
                <w:bCs/>
              </w:rPr>
              <w:t>[x10</w:t>
            </w:r>
            <w:r w:rsidRPr="009D0AB4">
              <w:rPr>
                <w:b/>
                <w:bCs/>
                <w:vertAlign w:val="superscript"/>
              </w:rPr>
              <w:t>9</w:t>
            </w:r>
            <w:r w:rsidRPr="009D0AB4">
              <w:rPr>
                <w:b/>
                <w:bCs/>
              </w:rPr>
              <w:t>]</w:t>
            </w:r>
          </w:p>
        </w:tc>
        <w:tc>
          <w:tcPr>
            <w:tcW w:w="1276" w:type="dxa"/>
          </w:tcPr>
          <w:p w14:paraId="64EBA4BB" w14:textId="77777777" w:rsidR="00007F6C" w:rsidRPr="009D0AB4" w:rsidRDefault="00007F6C" w:rsidP="005E2F1E">
            <w:pPr>
              <w:jc w:val="both"/>
              <w:rPr>
                <w:b/>
                <w:bCs/>
              </w:rPr>
            </w:pPr>
            <w:r w:rsidRPr="009D0AB4">
              <w:rPr>
                <w:b/>
                <w:bCs/>
              </w:rPr>
              <w:t>Crystallite Diffusivity, D</w:t>
            </w:r>
            <w:r w:rsidRPr="009D0AB4">
              <w:rPr>
                <w:b/>
                <w:bCs/>
                <w:vertAlign w:val="subscript"/>
              </w:rPr>
              <w:t>c</w:t>
            </w:r>
          </w:p>
        </w:tc>
        <w:tc>
          <w:tcPr>
            <w:tcW w:w="1163" w:type="dxa"/>
          </w:tcPr>
          <w:p w14:paraId="3F1B860E" w14:textId="77777777" w:rsidR="00007F6C" w:rsidRPr="009D0AB4" w:rsidRDefault="00007F6C" w:rsidP="005E2F1E">
            <w:pPr>
              <w:jc w:val="both"/>
              <w:rPr>
                <w:rFonts w:ascii="Calibri" w:hAnsi="Calibri" w:cs="Calibri"/>
                <w:b/>
                <w:bCs/>
                <w:color w:val="000000"/>
              </w:rPr>
            </w:pPr>
            <w:r w:rsidRPr="009D0AB4">
              <w:rPr>
                <w:rFonts w:ascii="Calibri" w:hAnsi="Calibri" w:cs="Calibri"/>
                <w:b/>
                <w:bCs/>
                <w:color w:val="000000"/>
              </w:rPr>
              <w:t xml:space="preserve">Particle Migration Distance </w:t>
            </w:r>
          </w:p>
          <w:p w14:paraId="1DF2A50C" w14:textId="77777777" w:rsidR="00007F6C" w:rsidRPr="009D0AB4" w:rsidRDefault="00007F6C" w:rsidP="005E2F1E">
            <w:pPr>
              <w:jc w:val="both"/>
              <w:rPr>
                <w:b/>
                <w:bCs/>
              </w:rPr>
            </w:pPr>
            <w:proofErr w:type="spellStart"/>
            <w:r w:rsidRPr="009D0AB4">
              <w:rPr>
                <w:rFonts w:ascii="Calibri" w:hAnsi="Calibri" w:cs="Calibri"/>
                <w:b/>
                <w:bCs/>
                <w:color w:val="000000"/>
              </w:rPr>
              <w:t>X</w:t>
            </w:r>
            <w:r w:rsidRPr="009D0AB4">
              <w:rPr>
                <w:rFonts w:ascii="Calibri" w:hAnsi="Calibri" w:cs="Calibri"/>
                <w:b/>
                <w:bCs/>
                <w:color w:val="000000"/>
                <w:vertAlign w:val="subscript"/>
              </w:rPr>
              <w:t>c</w:t>
            </w:r>
            <w:proofErr w:type="spellEnd"/>
            <w:r w:rsidRPr="009D0AB4">
              <w:rPr>
                <w:rFonts w:ascii="Calibri" w:hAnsi="Calibri" w:cs="Calibri"/>
                <w:b/>
                <w:bCs/>
                <w:color w:val="000000"/>
              </w:rPr>
              <w:t>, [nm]</w:t>
            </w:r>
          </w:p>
        </w:tc>
        <w:tc>
          <w:tcPr>
            <w:tcW w:w="1209" w:type="dxa"/>
          </w:tcPr>
          <w:p w14:paraId="00B28EA9" w14:textId="77777777" w:rsidR="00007F6C" w:rsidRPr="009D0AB4" w:rsidRDefault="00007F6C" w:rsidP="005E2F1E">
            <w:pPr>
              <w:jc w:val="both"/>
              <w:rPr>
                <w:b/>
                <w:bCs/>
              </w:rPr>
            </w:pPr>
            <w:r w:rsidRPr="009D0AB4">
              <w:rPr>
                <w:rFonts w:ascii="Calibri" w:hAnsi="Calibri" w:cs="Calibri"/>
                <w:b/>
                <w:bCs/>
                <w:color w:val="000000"/>
              </w:rPr>
              <w:t>Systematic Error [nm]</w:t>
            </w:r>
          </w:p>
        </w:tc>
      </w:tr>
      <w:tr w:rsidR="00007F6C" w14:paraId="4156B2CE" w14:textId="77777777" w:rsidTr="0085042B">
        <w:trPr>
          <w:jc w:val="center"/>
        </w:trPr>
        <w:tc>
          <w:tcPr>
            <w:tcW w:w="1312" w:type="dxa"/>
          </w:tcPr>
          <w:p w14:paraId="6E5FC361" w14:textId="77777777" w:rsidR="00007F6C" w:rsidRDefault="00007F6C" w:rsidP="005E2F1E">
            <w:pPr>
              <w:jc w:val="right"/>
            </w:pPr>
            <w:r>
              <w:t>5</w:t>
            </w:r>
          </w:p>
        </w:tc>
        <w:tc>
          <w:tcPr>
            <w:tcW w:w="1400" w:type="dxa"/>
            <w:vMerge w:val="restart"/>
          </w:tcPr>
          <w:p w14:paraId="6AD75BF1" w14:textId="77777777" w:rsidR="00007F6C" w:rsidRDefault="00007F6C" w:rsidP="005E2F1E">
            <w:pPr>
              <w:jc w:val="right"/>
            </w:pPr>
            <w:r>
              <w:t>159</w:t>
            </w:r>
          </w:p>
        </w:tc>
        <w:tc>
          <w:tcPr>
            <w:tcW w:w="1227" w:type="dxa"/>
            <w:vMerge w:val="restart"/>
          </w:tcPr>
          <w:p w14:paraId="62EF288E" w14:textId="77777777" w:rsidR="00007F6C" w:rsidRDefault="00007F6C" w:rsidP="005E2F1E">
            <w:pPr>
              <w:jc w:val="right"/>
            </w:pPr>
            <w:r>
              <w:t>545.222</w:t>
            </w:r>
          </w:p>
        </w:tc>
        <w:tc>
          <w:tcPr>
            <w:tcW w:w="1276" w:type="dxa"/>
            <w:vAlign w:val="bottom"/>
          </w:tcPr>
          <w:p w14:paraId="0BF3C11B" w14:textId="77777777" w:rsidR="00007F6C" w:rsidRDefault="00007F6C" w:rsidP="005E2F1E">
            <w:pPr>
              <w:jc w:val="right"/>
            </w:pPr>
            <w:r>
              <w:rPr>
                <w:rFonts w:ascii="Calibri" w:hAnsi="Calibri" w:cs="Calibri"/>
                <w:color w:val="000000"/>
              </w:rPr>
              <w:t>5669.782</w:t>
            </w:r>
          </w:p>
        </w:tc>
        <w:tc>
          <w:tcPr>
            <w:tcW w:w="1163" w:type="dxa"/>
            <w:vAlign w:val="bottom"/>
          </w:tcPr>
          <w:p w14:paraId="2143E368" w14:textId="77777777" w:rsidR="00007F6C" w:rsidRDefault="00007F6C" w:rsidP="005E2F1E">
            <w:pPr>
              <w:jc w:val="right"/>
            </w:pPr>
            <w:r>
              <w:rPr>
                <w:rFonts w:ascii="Calibri" w:hAnsi="Calibri" w:cs="Calibri"/>
                <w:color w:val="000000"/>
              </w:rPr>
              <w:t>54.21</w:t>
            </w:r>
          </w:p>
        </w:tc>
        <w:tc>
          <w:tcPr>
            <w:tcW w:w="1209" w:type="dxa"/>
            <w:vAlign w:val="bottom"/>
          </w:tcPr>
          <w:p w14:paraId="4477C1E8" w14:textId="77777777" w:rsidR="00007F6C" w:rsidRDefault="00007F6C" w:rsidP="005E2F1E">
            <w:pPr>
              <w:jc w:val="right"/>
            </w:pPr>
            <w:r>
              <w:rPr>
                <w:rFonts w:ascii="Calibri" w:hAnsi="Calibri" w:cs="Calibri"/>
                <w:color w:val="000000"/>
              </w:rPr>
              <w:t>0.02</w:t>
            </w:r>
          </w:p>
        </w:tc>
      </w:tr>
      <w:tr w:rsidR="00007F6C" w14:paraId="74801D7B" w14:textId="77777777" w:rsidTr="0085042B">
        <w:trPr>
          <w:jc w:val="center"/>
        </w:trPr>
        <w:tc>
          <w:tcPr>
            <w:tcW w:w="1312" w:type="dxa"/>
          </w:tcPr>
          <w:p w14:paraId="3616544A" w14:textId="77777777" w:rsidR="00007F6C" w:rsidRDefault="00007F6C" w:rsidP="005E2F1E">
            <w:pPr>
              <w:jc w:val="right"/>
            </w:pPr>
            <w:r>
              <w:t>10</w:t>
            </w:r>
          </w:p>
        </w:tc>
        <w:tc>
          <w:tcPr>
            <w:tcW w:w="1400" w:type="dxa"/>
            <w:vMerge/>
          </w:tcPr>
          <w:p w14:paraId="11AC715A" w14:textId="77777777" w:rsidR="00007F6C" w:rsidRDefault="00007F6C" w:rsidP="005E2F1E">
            <w:pPr>
              <w:jc w:val="both"/>
            </w:pPr>
          </w:p>
        </w:tc>
        <w:tc>
          <w:tcPr>
            <w:tcW w:w="1227" w:type="dxa"/>
            <w:vMerge/>
          </w:tcPr>
          <w:p w14:paraId="1F8554B3" w14:textId="77777777" w:rsidR="00007F6C" w:rsidRDefault="00007F6C" w:rsidP="005E2F1E">
            <w:pPr>
              <w:jc w:val="both"/>
            </w:pPr>
          </w:p>
        </w:tc>
        <w:tc>
          <w:tcPr>
            <w:tcW w:w="1276" w:type="dxa"/>
            <w:vAlign w:val="bottom"/>
          </w:tcPr>
          <w:p w14:paraId="590F2A0C" w14:textId="77777777" w:rsidR="00007F6C" w:rsidRDefault="00007F6C" w:rsidP="005E2F1E">
            <w:pPr>
              <w:jc w:val="right"/>
            </w:pPr>
            <w:r>
              <w:rPr>
                <w:rFonts w:ascii="Calibri" w:hAnsi="Calibri" w:cs="Calibri"/>
                <w:color w:val="000000"/>
              </w:rPr>
              <w:t>734.804</w:t>
            </w:r>
          </w:p>
        </w:tc>
        <w:tc>
          <w:tcPr>
            <w:tcW w:w="1163" w:type="dxa"/>
            <w:vAlign w:val="bottom"/>
          </w:tcPr>
          <w:p w14:paraId="35CCF217" w14:textId="77777777" w:rsidR="00007F6C" w:rsidRDefault="00007F6C" w:rsidP="005E2F1E">
            <w:pPr>
              <w:jc w:val="right"/>
            </w:pPr>
            <w:r>
              <w:rPr>
                <w:rFonts w:ascii="Calibri" w:hAnsi="Calibri" w:cs="Calibri"/>
                <w:color w:val="000000"/>
              </w:rPr>
              <w:t>13.55</w:t>
            </w:r>
          </w:p>
        </w:tc>
        <w:tc>
          <w:tcPr>
            <w:tcW w:w="1209" w:type="dxa"/>
            <w:vAlign w:val="bottom"/>
          </w:tcPr>
          <w:p w14:paraId="12702D22" w14:textId="77777777" w:rsidR="00007F6C" w:rsidRDefault="00007F6C" w:rsidP="005E2F1E">
            <w:pPr>
              <w:jc w:val="right"/>
            </w:pPr>
            <w:r>
              <w:rPr>
                <w:rFonts w:ascii="Calibri" w:hAnsi="Calibri" w:cs="Calibri"/>
                <w:color w:val="000000"/>
              </w:rPr>
              <w:t>0.07</w:t>
            </w:r>
          </w:p>
        </w:tc>
      </w:tr>
      <w:tr w:rsidR="00007F6C" w14:paraId="1C7143B4" w14:textId="77777777" w:rsidTr="0085042B">
        <w:trPr>
          <w:jc w:val="center"/>
        </w:trPr>
        <w:tc>
          <w:tcPr>
            <w:tcW w:w="1312" w:type="dxa"/>
          </w:tcPr>
          <w:p w14:paraId="71F7F75C" w14:textId="77777777" w:rsidR="00007F6C" w:rsidRDefault="00007F6C" w:rsidP="005E2F1E">
            <w:pPr>
              <w:jc w:val="right"/>
            </w:pPr>
            <w:r>
              <w:t>20</w:t>
            </w:r>
          </w:p>
        </w:tc>
        <w:tc>
          <w:tcPr>
            <w:tcW w:w="1400" w:type="dxa"/>
            <w:vMerge/>
          </w:tcPr>
          <w:p w14:paraId="50D9720B" w14:textId="77777777" w:rsidR="00007F6C" w:rsidRDefault="00007F6C" w:rsidP="005E2F1E">
            <w:pPr>
              <w:jc w:val="both"/>
            </w:pPr>
          </w:p>
        </w:tc>
        <w:tc>
          <w:tcPr>
            <w:tcW w:w="1227" w:type="dxa"/>
            <w:vMerge/>
          </w:tcPr>
          <w:p w14:paraId="40F8DFF2" w14:textId="77777777" w:rsidR="00007F6C" w:rsidRDefault="00007F6C" w:rsidP="005E2F1E">
            <w:pPr>
              <w:jc w:val="both"/>
            </w:pPr>
          </w:p>
        </w:tc>
        <w:tc>
          <w:tcPr>
            <w:tcW w:w="1276" w:type="dxa"/>
            <w:vAlign w:val="bottom"/>
          </w:tcPr>
          <w:p w14:paraId="26B4197D" w14:textId="77777777" w:rsidR="00007F6C" w:rsidRDefault="00007F6C" w:rsidP="005E2F1E">
            <w:pPr>
              <w:jc w:val="right"/>
            </w:pPr>
            <w:r>
              <w:rPr>
                <w:rFonts w:ascii="Calibri" w:hAnsi="Calibri" w:cs="Calibri"/>
                <w:color w:val="000000"/>
              </w:rPr>
              <w:t>45.925</w:t>
            </w:r>
          </w:p>
        </w:tc>
        <w:tc>
          <w:tcPr>
            <w:tcW w:w="1163" w:type="dxa"/>
            <w:vAlign w:val="bottom"/>
          </w:tcPr>
          <w:p w14:paraId="66428A54" w14:textId="77777777" w:rsidR="00007F6C" w:rsidRDefault="00007F6C" w:rsidP="005E2F1E">
            <w:pPr>
              <w:jc w:val="right"/>
            </w:pPr>
            <w:r>
              <w:rPr>
                <w:rFonts w:ascii="Calibri" w:hAnsi="Calibri" w:cs="Calibri"/>
                <w:color w:val="000000"/>
              </w:rPr>
              <w:t>3.39</w:t>
            </w:r>
          </w:p>
        </w:tc>
        <w:tc>
          <w:tcPr>
            <w:tcW w:w="1209" w:type="dxa"/>
            <w:vAlign w:val="bottom"/>
          </w:tcPr>
          <w:p w14:paraId="21C1A204" w14:textId="77777777" w:rsidR="00007F6C" w:rsidRDefault="00007F6C" w:rsidP="005E2F1E">
            <w:pPr>
              <w:jc w:val="right"/>
            </w:pPr>
            <w:r>
              <w:rPr>
                <w:rFonts w:ascii="Calibri" w:hAnsi="Calibri" w:cs="Calibri"/>
                <w:color w:val="000000"/>
              </w:rPr>
              <w:t>0.29</w:t>
            </w:r>
          </w:p>
        </w:tc>
      </w:tr>
      <w:tr w:rsidR="00007F6C" w14:paraId="35087D2A" w14:textId="77777777" w:rsidTr="0085042B">
        <w:trPr>
          <w:jc w:val="center"/>
        </w:trPr>
        <w:tc>
          <w:tcPr>
            <w:tcW w:w="1312" w:type="dxa"/>
          </w:tcPr>
          <w:p w14:paraId="403F1879" w14:textId="77777777" w:rsidR="00007F6C" w:rsidRDefault="00007F6C" w:rsidP="005E2F1E">
            <w:pPr>
              <w:jc w:val="right"/>
            </w:pPr>
            <w:r>
              <w:t>50</w:t>
            </w:r>
          </w:p>
        </w:tc>
        <w:tc>
          <w:tcPr>
            <w:tcW w:w="1400" w:type="dxa"/>
            <w:vMerge/>
          </w:tcPr>
          <w:p w14:paraId="4F9AA9C1" w14:textId="77777777" w:rsidR="00007F6C" w:rsidRDefault="00007F6C" w:rsidP="005E2F1E">
            <w:pPr>
              <w:jc w:val="both"/>
            </w:pPr>
          </w:p>
        </w:tc>
        <w:tc>
          <w:tcPr>
            <w:tcW w:w="1227" w:type="dxa"/>
            <w:vMerge/>
          </w:tcPr>
          <w:p w14:paraId="7B6F3C1C" w14:textId="77777777" w:rsidR="00007F6C" w:rsidRDefault="00007F6C" w:rsidP="005E2F1E">
            <w:pPr>
              <w:jc w:val="both"/>
            </w:pPr>
          </w:p>
        </w:tc>
        <w:tc>
          <w:tcPr>
            <w:tcW w:w="1276" w:type="dxa"/>
            <w:vAlign w:val="bottom"/>
          </w:tcPr>
          <w:p w14:paraId="7561E6B2" w14:textId="77777777" w:rsidR="00007F6C" w:rsidRDefault="00007F6C" w:rsidP="005E2F1E">
            <w:pPr>
              <w:jc w:val="right"/>
            </w:pPr>
            <w:r>
              <w:rPr>
                <w:rFonts w:ascii="Calibri" w:hAnsi="Calibri" w:cs="Calibri"/>
                <w:color w:val="000000"/>
              </w:rPr>
              <w:t>2.870</w:t>
            </w:r>
          </w:p>
        </w:tc>
        <w:tc>
          <w:tcPr>
            <w:tcW w:w="1163" w:type="dxa"/>
            <w:vAlign w:val="bottom"/>
          </w:tcPr>
          <w:p w14:paraId="47DC237D" w14:textId="77777777" w:rsidR="00007F6C" w:rsidRDefault="00007F6C" w:rsidP="005E2F1E">
            <w:pPr>
              <w:jc w:val="right"/>
            </w:pPr>
            <w:r>
              <w:rPr>
                <w:rFonts w:ascii="Calibri" w:hAnsi="Calibri" w:cs="Calibri"/>
                <w:color w:val="000000"/>
              </w:rPr>
              <w:t>0.54</w:t>
            </w:r>
          </w:p>
        </w:tc>
        <w:tc>
          <w:tcPr>
            <w:tcW w:w="1209" w:type="dxa"/>
            <w:vAlign w:val="bottom"/>
          </w:tcPr>
          <w:p w14:paraId="634A50BE" w14:textId="77777777" w:rsidR="00007F6C" w:rsidRDefault="00007F6C" w:rsidP="005E2F1E">
            <w:pPr>
              <w:jc w:val="right"/>
            </w:pPr>
            <w:r>
              <w:rPr>
                <w:rFonts w:ascii="Calibri" w:hAnsi="Calibri" w:cs="Calibri"/>
                <w:color w:val="000000"/>
              </w:rPr>
              <w:t>1.85</w:t>
            </w:r>
          </w:p>
        </w:tc>
      </w:tr>
    </w:tbl>
    <w:p w14:paraId="0902CC0B" w14:textId="77777777" w:rsidR="0085042B" w:rsidRDefault="0085042B" w:rsidP="0047113C"/>
    <w:p w14:paraId="70D58503" w14:textId="5ECB61AD" w:rsidR="00007F6C" w:rsidRPr="00B77207" w:rsidRDefault="00C0550A" w:rsidP="00195CBF">
      <w:pPr>
        <w:pStyle w:val="Heading4"/>
      </w:pPr>
      <w:r>
        <w:t xml:space="preserve">6.3.4.2.3 </w:t>
      </w:r>
      <w:r w:rsidR="00007F6C">
        <w:t xml:space="preserve">Nitrogen-dried </w:t>
      </w:r>
      <w:r w:rsidR="00007F6C" w:rsidRPr="00B77207">
        <w:t>Ni-YSZ 2 h aged</w:t>
      </w:r>
      <w:r w:rsidR="00007F6C">
        <w:t xml:space="preserve"> </w:t>
      </w:r>
    </w:p>
    <w:p w14:paraId="4A5CC916" w14:textId="77777777" w:rsidR="00007F6C" w:rsidRDefault="00007F6C" w:rsidP="00007F6C">
      <w:pPr>
        <w:jc w:val="both"/>
      </w:pPr>
      <w:r>
        <w:t xml:space="preserve">After sample alignment was </w:t>
      </w:r>
      <w:proofErr w:type="gramStart"/>
      <w:r>
        <w:t>completed</w:t>
      </w:r>
      <w:proofErr w:type="gramEnd"/>
      <w:r>
        <w:t xml:space="preserve"> the sample was scanned using the Ptychographic setup at the I13-1. The scan volume measured 25 x 25 x 10 </w:t>
      </w:r>
      <w:r>
        <w:rPr>
          <w:rFonts w:cstheme="minorHAnsi"/>
        </w:rPr>
        <w:t>µ</w:t>
      </w:r>
      <w:r>
        <w:t>m</w:t>
      </w:r>
      <w:r>
        <w:rPr>
          <w:vertAlign w:val="superscript"/>
        </w:rPr>
        <w:t>3</w:t>
      </w:r>
      <w:r>
        <w:t>.  A total of 800 scans were measured across a 180</w:t>
      </w:r>
      <w:r>
        <w:rPr>
          <w:rFonts w:cstheme="minorHAnsi"/>
        </w:rPr>
        <w:t>⁰</w:t>
      </w:r>
      <w:r>
        <w:t xml:space="preserve"> rotation. The voxel size of the scans was calculated to be 36*36*36 nm. The beam energy used for these samples was 17 keV.</w:t>
      </w:r>
    </w:p>
    <w:p w14:paraId="649B3AB7" w14:textId="14A6E866" w:rsidR="00007F6C" w:rsidRDefault="00007F6C" w:rsidP="00007F6C">
      <w:pPr>
        <w:jc w:val="both"/>
      </w:pPr>
      <w:r>
        <w:t xml:space="preserve">The scan file was reconstructed using the method </w:t>
      </w:r>
      <w:r w:rsidRPr="00F1776A">
        <w:t>discussed in Chapter 3 (Section</w:t>
      </w:r>
      <w:r>
        <w:t xml:space="preserve"> 3.3.7.3). The 3D rendering of the sample was reconstructed in the segmentation editor in FEI Avizo Lite 9.0 software (DLS I13-1, University of Sheffield Wolfson Light Microscopy Facility). This reconstructed tomogram consisted of three regions</w:t>
      </w:r>
      <w:r w:rsidR="0085042B">
        <w:t xml:space="preserve"> detailed in </w:t>
      </w:r>
      <w:r w:rsidR="0085042B">
        <w:fldChar w:fldCharType="begin"/>
      </w:r>
      <w:r w:rsidR="0085042B">
        <w:instrText xml:space="preserve"> REF _Ref47105206 \h </w:instrText>
      </w:r>
      <w:r w:rsidR="0085042B">
        <w:fldChar w:fldCharType="separate"/>
      </w:r>
      <w:r w:rsidR="0085042B">
        <w:t>Figure 6.</w:t>
      </w:r>
      <w:r w:rsidR="0085042B">
        <w:rPr>
          <w:noProof/>
        </w:rPr>
        <w:t>25</w:t>
      </w:r>
      <w:r w:rsidR="0085042B">
        <w:fldChar w:fldCharType="end"/>
      </w:r>
      <w:r w:rsidR="0085042B">
        <w:t xml:space="preserve"> overleaf.</w:t>
      </w:r>
    </w:p>
    <w:p w14:paraId="322863A3" w14:textId="77777777" w:rsidR="00007F6C" w:rsidRDefault="00007F6C" w:rsidP="00007F6C">
      <w:pPr>
        <w:keepNext/>
        <w:jc w:val="center"/>
      </w:pPr>
      <w:r>
        <w:rPr>
          <w:noProof/>
        </w:rPr>
        <w:lastRenderedPageBreak/>
        <w:drawing>
          <wp:inline distT="0" distB="0" distL="0" distR="0" wp14:anchorId="4CBE0599" wp14:editId="30E98C22">
            <wp:extent cx="5400000" cy="2001817"/>
            <wp:effectExtent l="0" t="0" r="0" b="0"/>
            <wp:docPr id="409" name="Picture 40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tychography sample diagram 31.07.2020.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400000" cy="2001817"/>
                    </a:xfrm>
                    <a:prstGeom prst="rect">
                      <a:avLst/>
                    </a:prstGeom>
                  </pic:spPr>
                </pic:pic>
              </a:graphicData>
            </a:graphic>
          </wp:inline>
        </w:drawing>
      </w:r>
    </w:p>
    <w:p w14:paraId="52831FEF" w14:textId="078A7936" w:rsidR="00007F6C" w:rsidRDefault="00007F6C" w:rsidP="0085042B">
      <w:pPr>
        <w:pStyle w:val="Caption"/>
        <w:spacing w:after="240"/>
      </w:pPr>
      <w:bookmarkStart w:id="607" w:name="_Ref47105206"/>
      <w:bookmarkStart w:id="608" w:name="_Toc69115076"/>
      <w:r>
        <w:t>Figure 6.</w:t>
      </w:r>
      <w:r w:rsidR="00B51F53">
        <w:fldChar w:fldCharType="begin"/>
      </w:r>
      <w:r w:rsidR="00B51F53">
        <w:instrText xml:space="preserve"> SEQ Figure \* ARABIC </w:instrText>
      </w:r>
      <w:r w:rsidR="00B51F53">
        <w:fldChar w:fldCharType="separate"/>
      </w:r>
      <w:r w:rsidR="0085042B">
        <w:rPr>
          <w:noProof/>
        </w:rPr>
        <w:t>25</w:t>
      </w:r>
      <w:r w:rsidR="00B51F53">
        <w:rPr>
          <w:noProof/>
        </w:rPr>
        <w:fldChar w:fldCharType="end"/>
      </w:r>
      <w:bookmarkEnd w:id="607"/>
      <w:r>
        <w:t>: Diagram of the Ni-YSZ fine pillar sample sections including ambient air (grey)</w:t>
      </w:r>
      <w:bookmarkEnd w:id="608"/>
    </w:p>
    <w:p w14:paraId="0B6CE4C0" w14:textId="77777777" w:rsidR="00007F6C" w:rsidRDefault="00007F6C" w:rsidP="00007F6C">
      <w:pPr>
        <w:jc w:val="both"/>
      </w:pPr>
      <w:r>
        <w:t xml:space="preserve">The presence of the air layer was required for good phase contrast with the nickel and YSZ ceramic phases present in the sample. Using the GSVs calculated from FIJI for the Ni-YSZ cermet contrast sample, the scan was segmented using the threshold function in Avizo Lite. The peak in the grayscale histogram was shown by both Avizo and FIJI to be a product of the ambient air. </w:t>
      </w:r>
    </w:p>
    <w:p w14:paraId="6B9053D1" w14:textId="77777777" w:rsidR="00007F6C" w:rsidRDefault="00007F6C" w:rsidP="00007F6C">
      <w:pPr>
        <w:jc w:val="both"/>
      </w:pPr>
      <w:r>
        <w:t>The largest peak in the histogram in this can will be the air-based phases (ambient and pore). The position of this peak indicates the GSV of the ambient air. Once the contribution of the ambient air has been removed from the data, the location of the peak will also provide the first sign that the catalyst coarsening has occurred. When the catalyst vol % increases because of sintering, the pore vol % will drop, lowering the GSV of the peak.</w:t>
      </w:r>
    </w:p>
    <w:p w14:paraId="1AEC705D" w14:textId="77777777" w:rsidR="00007F6C" w:rsidRDefault="00007F6C" w:rsidP="00007F6C">
      <w:pPr>
        <w:jc w:val="both"/>
      </w:pPr>
      <w:r>
        <w:t>Upon initial inspection the GSV of the peak has dropped between 2 and 4 h of ageing, indicating that a sintering event has occurred in the infiltrated Ni-YSZ system (</w:t>
      </w:r>
      <w:r>
        <w:fldChar w:fldCharType="begin"/>
      </w:r>
      <w:r>
        <w:instrText xml:space="preserve"> REF _Ref47441871 \h  \* MERGEFORMAT </w:instrText>
      </w:r>
      <w:r>
        <w:fldChar w:fldCharType="separate"/>
      </w:r>
      <w:r>
        <w:t xml:space="preserve">Figure </w:t>
      </w:r>
      <w:r>
        <w:rPr>
          <w:noProof/>
        </w:rPr>
        <w:t>6.26</w:t>
      </w:r>
      <w:r>
        <w:fldChar w:fldCharType="end"/>
      </w:r>
      <w:r>
        <w:t xml:space="preserve"> and </w:t>
      </w:r>
      <w:r>
        <w:fldChar w:fldCharType="begin"/>
      </w:r>
      <w:r>
        <w:instrText xml:space="preserve"> REF _Ref47441873 \h  \* MERGEFORMAT </w:instrText>
      </w:r>
      <w:r>
        <w:fldChar w:fldCharType="separate"/>
      </w:r>
      <w:r>
        <w:t xml:space="preserve">Figure </w:t>
      </w:r>
      <w:r>
        <w:rPr>
          <w:noProof/>
        </w:rPr>
        <w:t>6.31</w:t>
      </w:r>
      <w:r>
        <w:fldChar w:fldCharType="end"/>
      </w:r>
      <w:r>
        <w:t>). The drop means that less pore phase is present in the 4 h aged sample which suggests that coarsening has taken place.</w:t>
      </w:r>
    </w:p>
    <w:p w14:paraId="7B9F67F0" w14:textId="77777777" w:rsidR="00007F6C" w:rsidRDefault="00007F6C" w:rsidP="00007F6C">
      <w:pPr>
        <w:keepNext/>
        <w:jc w:val="center"/>
      </w:pPr>
      <w:r w:rsidRPr="00942816">
        <w:rPr>
          <w:noProof/>
        </w:rPr>
        <w:drawing>
          <wp:inline distT="0" distB="0" distL="0" distR="0" wp14:anchorId="0AB1CE1F" wp14:editId="623D1F9A">
            <wp:extent cx="3600000" cy="2846991"/>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9">
                      <a:extLst>
                        <a:ext uri="{28A0092B-C50C-407E-A947-70E740481C1C}">
                          <a14:useLocalDpi xmlns:a14="http://schemas.microsoft.com/office/drawing/2010/main" val="0"/>
                        </a:ext>
                      </a:extLst>
                    </a:blip>
                    <a:srcRect l="5801" t="10844" r="13225" b="6024"/>
                    <a:stretch/>
                  </pic:blipFill>
                  <pic:spPr bwMode="auto">
                    <a:xfrm>
                      <a:off x="0" y="0"/>
                      <a:ext cx="3600000" cy="2846991"/>
                    </a:xfrm>
                    <a:prstGeom prst="rect">
                      <a:avLst/>
                    </a:prstGeom>
                    <a:noFill/>
                    <a:ln>
                      <a:noFill/>
                    </a:ln>
                    <a:extLst>
                      <a:ext uri="{53640926-AAD7-44D8-BBD7-CCE9431645EC}">
                        <a14:shadowObscured xmlns:a14="http://schemas.microsoft.com/office/drawing/2010/main"/>
                      </a:ext>
                    </a:extLst>
                  </pic:spPr>
                </pic:pic>
              </a:graphicData>
            </a:graphic>
          </wp:inline>
        </w:drawing>
      </w:r>
    </w:p>
    <w:p w14:paraId="2D635F52" w14:textId="5BAB9221" w:rsidR="00007F6C" w:rsidRDefault="00007F6C" w:rsidP="00007F6C">
      <w:pPr>
        <w:pStyle w:val="Caption"/>
      </w:pPr>
      <w:bookmarkStart w:id="609" w:name="_Ref47441871"/>
      <w:bookmarkStart w:id="610" w:name="_Toc69115077"/>
      <w:r>
        <w:t>Figure 6.</w:t>
      </w:r>
      <w:r w:rsidR="00B51F53">
        <w:fldChar w:fldCharType="begin"/>
      </w:r>
      <w:r w:rsidR="00B51F53">
        <w:instrText xml:space="preserve"> SEQ Figure \* ARABIC </w:instrText>
      </w:r>
      <w:r w:rsidR="00B51F53">
        <w:fldChar w:fldCharType="separate"/>
      </w:r>
      <w:r w:rsidR="0047113C">
        <w:rPr>
          <w:noProof/>
        </w:rPr>
        <w:t>26</w:t>
      </w:r>
      <w:r w:rsidR="00B51F53">
        <w:rPr>
          <w:noProof/>
        </w:rPr>
        <w:fldChar w:fldCharType="end"/>
      </w:r>
      <w:bookmarkEnd w:id="609"/>
      <w:r>
        <w:t xml:space="preserve">: Histogram of the Grayscale values for the whole 2 h aged NI-YSZ sample ptychographic scan. The peak was found to be ambient air, the right-hand side was the highly attenuating ceramic phase and the left-hand side the nickel </w:t>
      </w:r>
      <w:proofErr w:type="gramStart"/>
      <w:r>
        <w:t>catalyst</w:t>
      </w:r>
      <w:bookmarkEnd w:id="610"/>
      <w:proofErr w:type="gramEnd"/>
    </w:p>
    <w:p w14:paraId="584C8D73" w14:textId="77777777" w:rsidR="00007F6C" w:rsidRDefault="00007F6C" w:rsidP="00007F6C">
      <w:pPr>
        <w:jc w:val="both"/>
      </w:pPr>
      <w:r>
        <w:lastRenderedPageBreak/>
        <w:t xml:space="preserve">The GSVs of the phases produced by the contrast sample were used to threshold the three phases present in the sample: Ni, YSZ and pores to produced accurate 3D renderings of the microstructure present in the </w:t>
      </w:r>
      <w:proofErr w:type="gramStart"/>
      <w:r>
        <w:t>aged infiltrated</w:t>
      </w:r>
      <w:proofErr w:type="gramEnd"/>
      <w:r>
        <w:t xml:space="preserve"> fuel electrode.</w:t>
      </w:r>
    </w:p>
    <w:p w14:paraId="0BDB6B9E" w14:textId="1445D0E1" w:rsidR="00007F6C" w:rsidRDefault="00007F6C" w:rsidP="00007F6C">
      <w:pPr>
        <w:jc w:val="both"/>
      </w:pPr>
      <w:r>
        <w:t>Additionally, the upper bins used to segment the samples also closely matched the GSR present in the mass attenuation coefficients with the nickel and ceramic phases having a ratio of 7.28, a 4.14% increase from calculated GSR (6.99)</w:t>
      </w:r>
      <w:r w:rsidR="0085042B">
        <w:t xml:space="preserve"> (</w:t>
      </w:r>
      <w:r w:rsidR="0085042B">
        <w:fldChar w:fldCharType="begin"/>
      </w:r>
      <w:r w:rsidR="0085042B">
        <w:instrText xml:space="preserve"> REF _Ref47514823 \h </w:instrText>
      </w:r>
      <w:r w:rsidR="0085042B">
        <w:fldChar w:fldCharType="separate"/>
      </w:r>
      <w:r w:rsidR="0085042B">
        <w:t>Table 6.</w:t>
      </w:r>
      <w:r w:rsidR="0085042B">
        <w:rPr>
          <w:noProof/>
        </w:rPr>
        <w:t>6</w:t>
      </w:r>
      <w:r w:rsidR="0085042B">
        <w:fldChar w:fldCharType="end"/>
      </w:r>
      <w:r w:rsidR="0085042B">
        <w:t>)</w:t>
      </w:r>
      <w:r>
        <w:t>.</w:t>
      </w:r>
    </w:p>
    <w:p w14:paraId="7BBC4305" w14:textId="27B418BA" w:rsidR="00007F6C" w:rsidRDefault="00007F6C" w:rsidP="00007F6C">
      <w:pPr>
        <w:pStyle w:val="Caption"/>
        <w:keepNext/>
      </w:pPr>
      <w:bookmarkStart w:id="611" w:name="_Ref47514823"/>
      <w:r>
        <w:t>Table 6.</w:t>
      </w:r>
      <w:r w:rsidR="00B51F53">
        <w:fldChar w:fldCharType="begin"/>
      </w:r>
      <w:r w:rsidR="00B51F53">
        <w:instrText xml:space="preserve"> SEQ Table \* ARABIC </w:instrText>
      </w:r>
      <w:r w:rsidR="00B51F53">
        <w:fldChar w:fldCharType="separate"/>
      </w:r>
      <w:r w:rsidR="0085042B">
        <w:rPr>
          <w:noProof/>
        </w:rPr>
        <w:t>6</w:t>
      </w:r>
      <w:r w:rsidR="00B51F53">
        <w:rPr>
          <w:noProof/>
        </w:rPr>
        <w:fldChar w:fldCharType="end"/>
      </w:r>
      <w:bookmarkEnd w:id="611"/>
      <w:r>
        <w:t xml:space="preserve">: Table of Grayscale bins used to segment the Ni, YSZ and pore phases in the Ni-YSZ fuel electrode pillar </w:t>
      </w:r>
      <w:proofErr w:type="gramStart"/>
      <w:r>
        <w:t>sample</w:t>
      </w:r>
      <w:proofErr w:type="gramEnd"/>
    </w:p>
    <w:tbl>
      <w:tblPr>
        <w:tblW w:w="0" w:type="auto"/>
        <w:jc w:val="center"/>
        <w:tblCellMar>
          <w:top w:w="15" w:type="dxa"/>
          <w:left w:w="15" w:type="dxa"/>
          <w:bottom w:w="15" w:type="dxa"/>
          <w:right w:w="15" w:type="dxa"/>
        </w:tblCellMar>
        <w:tblLook w:val="04A0" w:firstRow="1" w:lastRow="0" w:firstColumn="1" w:lastColumn="0" w:noHBand="0" w:noVBand="1"/>
      </w:tblPr>
      <w:tblGrid>
        <w:gridCol w:w="2034"/>
        <w:gridCol w:w="2784"/>
        <w:gridCol w:w="2844"/>
      </w:tblGrid>
      <w:tr w:rsidR="00007F6C" w:rsidRPr="00902DFA" w14:paraId="651AF870" w14:textId="77777777" w:rsidTr="005E2F1E">
        <w:trPr>
          <w:trHeight w:val="284"/>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64009F" w14:textId="77777777" w:rsidR="00007F6C" w:rsidRPr="00032AA6" w:rsidRDefault="00007F6C" w:rsidP="005E2F1E">
            <w:pPr>
              <w:pStyle w:val="NormalWeb"/>
              <w:spacing w:before="0" w:beforeAutospacing="0" w:after="0" w:afterAutospacing="0"/>
              <w:jc w:val="both"/>
              <w:rPr>
                <w:rFonts w:asciiTheme="minorHAnsi" w:hAnsiTheme="minorHAnsi" w:cstheme="minorHAnsi"/>
                <w:sz w:val="22"/>
                <w:szCs w:val="22"/>
              </w:rPr>
            </w:pPr>
            <w:r w:rsidRPr="00032AA6">
              <w:rPr>
                <w:rFonts w:asciiTheme="minorHAnsi" w:hAnsiTheme="minorHAnsi" w:cstheme="minorHAnsi"/>
                <w:b/>
                <w:bCs/>
                <w:color w:val="000000"/>
                <w:sz w:val="22"/>
                <w:szCs w:val="22"/>
              </w:rPr>
              <w:t>Ni-YSZ 2 h aged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787329" w14:textId="77777777" w:rsidR="00007F6C" w:rsidRPr="00032AA6" w:rsidRDefault="00007F6C" w:rsidP="005E2F1E">
            <w:pPr>
              <w:pStyle w:val="NormalWeb"/>
              <w:spacing w:before="0" w:beforeAutospacing="0" w:after="0" w:afterAutospacing="0"/>
              <w:jc w:val="both"/>
              <w:rPr>
                <w:rFonts w:asciiTheme="minorHAnsi" w:hAnsiTheme="minorHAnsi" w:cstheme="minorHAnsi"/>
                <w:sz w:val="22"/>
                <w:szCs w:val="22"/>
              </w:rPr>
            </w:pPr>
            <w:r w:rsidRPr="00032AA6">
              <w:rPr>
                <w:rFonts w:asciiTheme="minorHAnsi" w:hAnsiTheme="minorHAnsi" w:cstheme="minorHAnsi"/>
                <w:b/>
                <w:bCs/>
                <w:color w:val="000000"/>
                <w:sz w:val="22"/>
                <w:szCs w:val="22"/>
              </w:rPr>
              <w:t>Lower Grayscale value, GSV</w:t>
            </w:r>
            <w:r w:rsidRPr="00032AA6">
              <w:rPr>
                <w:rFonts w:asciiTheme="minorHAnsi" w:hAnsiTheme="minorHAnsi" w:cstheme="minorHAnsi"/>
                <w:b/>
                <w:bCs/>
                <w:color w:val="000000"/>
                <w:sz w:val="22"/>
                <w:szCs w:val="22"/>
                <w:vertAlign w:val="subscript"/>
              </w:rPr>
              <w:t>L</w:t>
            </w:r>
            <w:r w:rsidRPr="00032AA6">
              <w:rPr>
                <w:rFonts w:asciiTheme="minorHAnsi" w:hAnsiTheme="minorHAnsi" w:cstheme="minorHAnsi"/>
                <w:b/>
                <w:bCs/>
                <w:color w:val="000000"/>
                <w:sz w:val="22"/>
                <w:szCs w:val="22"/>
                <w:vertAlign w:val="subscript"/>
              </w:rPr>
              <w:softHyphen/>
            </w:r>
            <w:r w:rsidRPr="00032AA6">
              <w:rPr>
                <w:rFonts w:asciiTheme="minorHAnsi" w:hAnsiTheme="minorHAnsi" w:cstheme="minorHAnsi"/>
                <w:b/>
                <w:bCs/>
                <w:color w:val="000000"/>
                <w:sz w:val="22"/>
                <w:szCs w:val="22"/>
              </w:rPr>
              <w:t xml:space="preserv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E6A37F" w14:textId="77777777" w:rsidR="00007F6C" w:rsidRPr="00032AA6" w:rsidRDefault="00007F6C" w:rsidP="005E2F1E">
            <w:pPr>
              <w:pStyle w:val="NormalWeb"/>
              <w:spacing w:before="0" w:beforeAutospacing="0" w:after="0" w:afterAutospacing="0"/>
              <w:jc w:val="both"/>
              <w:rPr>
                <w:rFonts w:asciiTheme="minorHAnsi" w:hAnsiTheme="minorHAnsi" w:cstheme="minorHAnsi"/>
                <w:sz w:val="22"/>
                <w:szCs w:val="22"/>
              </w:rPr>
            </w:pPr>
            <w:r w:rsidRPr="00032AA6">
              <w:rPr>
                <w:rFonts w:asciiTheme="minorHAnsi" w:hAnsiTheme="minorHAnsi" w:cstheme="minorHAnsi"/>
                <w:b/>
                <w:bCs/>
                <w:color w:val="000000"/>
                <w:sz w:val="22"/>
                <w:szCs w:val="22"/>
              </w:rPr>
              <w:t>Upper Grayscale Value, GSV</w:t>
            </w:r>
            <w:r w:rsidRPr="00032AA6">
              <w:rPr>
                <w:rFonts w:asciiTheme="minorHAnsi" w:hAnsiTheme="minorHAnsi" w:cstheme="minorHAnsi"/>
                <w:b/>
                <w:bCs/>
                <w:color w:val="000000"/>
                <w:sz w:val="22"/>
                <w:szCs w:val="22"/>
                <w:vertAlign w:val="subscript"/>
              </w:rPr>
              <w:t>H</w:t>
            </w:r>
            <w:r w:rsidRPr="00032AA6">
              <w:rPr>
                <w:rFonts w:asciiTheme="minorHAnsi" w:hAnsiTheme="minorHAnsi" w:cstheme="minorHAnsi"/>
                <w:b/>
                <w:bCs/>
                <w:color w:val="000000"/>
                <w:sz w:val="22"/>
                <w:szCs w:val="22"/>
              </w:rPr>
              <w:t xml:space="preserve"> </w:t>
            </w:r>
          </w:p>
        </w:tc>
      </w:tr>
      <w:tr w:rsidR="00007F6C" w:rsidRPr="00902DFA" w14:paraId="7A6D8BB7" w14:textId="77777777" w:rsidTr="005E2F1E">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B9C0A7" w14:textId="77777777" w:rsidR="00007F6C" w:rsidRPr="00032AA6" w:rsidRDefault="00007F6C" w:rsidP="005E2F1E">
            <w:pPr>
              <w:pStyle w:val="NormalWeb"/>
              <w:spacing w:before="0" w:beforeAutospacing="0" w:after="0" w:afterAutospacing="0"/>
              <w:jc w:val="both"/>
              <w:rPr>
                <w:rFonts w:asciiTheme="minorHAnsi" w:hAnsiTheme="minorHAnsi" w:cstheme="minorHAnsi"/>
                <w:sz w:val="22"/>
                <w:szCs w:val="22"/>
              </w:rPr>
            </w:pPr>
            <w:r w:rsidRPr="00032AA6">
              <w:rPr>
                <w:rFonts w:asciiTheme="minorHAnsi" w:hAnsiTheme="minorHAnsi" w:cstheme="minorHAnsi"/>
                <w:b/>
                <w:bCs/>
                <w:color w:val="000000"/>
                <w:sz w:val="22"/>
                <w:szCs w:val="22"/>
              </w:rPr>
              <w:t>Total Grayscale Bins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20B32A" w14:textId="77777777" w:rsidR="00007F6C" w:rsidRPr="00032AA6" w:rsidRDefault="00007F6C" w:rsidP="005E2F1E">
            <w:pPr>
              <w:pStyle w:val="NormalWeb"/>
              <w:spacing w:before="0" w:beforeAutospacing="0" w:after="0" w:afterAutospacing="0"/>
              <w:jc w:val="right"/>
              <w:rPr>
                <w:rFonts w:asciiTheme="minorHAnsi" w:hAnsiTheme="minorHAnsi" w:cstheme="minorHAnsi"/>
                <w:sz w:val="22"/>
                <w:szCs w:val="22"/>
              </w:rPr>
            </w:pPr>
            <w:r w:rsidRPr="00032AA6">
              <w:rPr>
                <w:rFonts w:asciiTheme="minorHAnsi" w:hAnsiTheme="minorHAnsi" w:cstheme="minorHAnsi"/>
                <w:color w:val="000000"/>
                <w:sz w:val="22"/>
                <w:szCs w:val="22"/>
              </w:rPr>
              <w:t>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862CB3" w14:textId="77777777" w:rsidR="00007F6C" w:rsidRPr="00032AA6" w:rsidRDefault="00007F6C" w:rsidP="005E2F1E">
            <w:pPr>
              <w:pStyle w:val="NormalWeb"/>
              <w:spacing w:before="0" w:beforeAutospacing="0" w:after="0" w:afterAutospacing="0"/>
              <w:jc w:val="right"/>
              <w:rPr>
                <w:rFonts w:asciiTheme="minorHAnsi" w:hAnsiTheme="minorHAnsi" w:cstheme="minorHAnsi"/>
                <w:sz w:val="22"/>
                <w:szCs w:val="22"/>
              </w:rPr>
            </w:pPr>
            <w:r w:rsidRPr="00032AA6">
              <w:rPr>
                <w:rFonts w:asciiTheme="minorHAnsi" w:hAnsiTheme="minorHAnsi" w:cstheme="minorHAnsi"/>
                <w:color w:val="000000"/>
                <w:sz w:val="22"/>
                <w:szCs w:val="22"/>
              </w:rPr>
              <w:t>25</w:t>
            </w:r>
            <w:r>
              <w:rPr>
                <w:rFonts w:asciiTheme="minorHAnsi" w:hAnsiTheme="minorHAnsi" w:cstheme="minorHAnsi"/>
                <w:color w:val="000000"/>
                <w:sz w:val="22"/>
                <w:szCs w:val="22"/>
              </w:rPr>
              <w:t>5</w:t>
            </w:r>
          </w:p>
        </w:tc>
      </w:tr>
      <w:tr w:rsidR="00007F6C" w:rsidRPr="00902DFA" w14:paraId="696BA54A" w14:textId="77777777" w:rsidTr="005E2F1E">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95F0A0" w14:textId="77777777" w:rsidR="00007F6C" w:rsidRPr="00032AA6" w:rsidRDefault="00007F6C" w:rsidP="005E2F1E">
            <w:pPr>
              <w:pStyle w:val="NormalWeb"/>
              <w:spacing w:before="0" w:beforeAutospacing="0" w:after="0" w:afterAutospacing="0"/>
              <w:jc w:val="both"/>
              <w:rPr>
                <w:rFonts w:asciiTheme="minorHAnsi" w:hAnsiTheme="minorHAnsi" w:cstheme="minorHAnsi"/>
                <w:sz w:val="22"/>
                <w:szCs w:val="22"/>
              </w:rPr>
            </w:pPr>
            <w:r w:rsidRPr="00032AA6">
              <w:rPr>
                <w:rFonts w:asciiTheme="minorHAnsi" w:hAnsiTheme="minorHAnsi" w:cstheme="minorHAnsi"/>
                <w:b/>
                <w:bCs/>
                <w:color w:val="000000"/>
                <w:sz w:val="22"/>
                <w:szCs w:val="22"/>
              </w:rPr>
              <w:t>Ni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3D21C9" w14:textId="77777777" w:rsidR="00007F6C" w:rsidRPr="00032AA6" w:rsidRDefault="00007F6C" w:rsidP="005E2F1E">
            <w:pPr>
              <w:pStyle w:val="NormalWeb"/>
              <w:spacing w:before="0" w:beforeAutospacing="0" w:after="0" w:afterAutospacing="0"/>
              <w:jc w:val="right"/>
              <w:rPr>
                <w:rFonts w:asciiTheme="minorHAnsi" w:hAnsiTheme="minorHAnsi" w:cstheme="minorHAnsi"/>
                <w:sz w:val="22"/>
                <w:szCs w:val="22"/>
              </w:rPr>
            </w:pPr>
            <w:r w:rsidRPr="00032AA6">
              <w:rPr>
                <w:rFonts w:asciiTheme="minorHAnsi" w:hAnsiTheme="minorHAnsi" w:cstheme="minorHAnsi"/>
                <w:color w:val="000000"/>
                <w:sz w:val="22"/>
                <w:szCs w:val="22"/>
              </w:rPr>
              <w:t>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45F8ED" w14:textId="77777777" w:rsidR="00007F6C" w:rsidRPr="00032AA6" w:rsidRDefault="00007F6C" w:rsidP="005E2F1E">
            <w:pPr>
              <w:pStyle w:val="NormalWeb"/>
              <w:spacing w:before="0" w:beforeAutospacing="0" w:after="0" w:afterAutospacing="0"/>
              <w:jc w:val="right"/>
              <w:rPr>
                <w:rFonts w:asciiTheme="minorHAnsi" w:hAnsiTheme="minorHAnsi" w:cstheme="minorHAnsi"/>
                <w:sz w:val="22"/>
                <w:szCs w:val="22"/>
              </w:rPr>
            </w:pPr>
            <w:r w:rsidRPr="00032AA6">
              <w:rPr>
                <w:rFonts w:asciiTheme="minorHAnsi" w:hAnsiTheme="minorHAnsi" w:cstheme="minorHAnsi"/>
                <w:color w:val="000000"/>
                <w:sz w:val="22"/>
                <w:szCs w:val="22"/>
              </w:rPr>
              <w:t>35</w:t>
            </w:r>
          </w:p>
        </w:tc>
      </w:tr>
      <w:tr w:rsidR="00007F6C" w:rsidRPr="00902DFA" w14:paraId="03E3290C" w14:textId="77777777" w:rsidTr="005E2F1E">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B0F833" w14:textId="77777777" w:rsidR="00007F6C" w:rsidRPr="00032AA6" w:rsidRDefault="00007F6C" w:rsidP="005E2F1E">
            <w:pPr>
              <w:pStyle w:val="NormalWeb"/>
              <w:spacing w:before="0" w:beforeAutospacing="0" w:after="0" w:afterAutospacing="0"/>
              <w:jc w:val="both"/>
              <w:rPr>
                <w:rFonts w:asciiTheme="minorHAnsi" w:hAnsiTheme="minorHAnsi" w:cstheme="minorHAnsi"/>
                <w:sz w:val="22"/>
                <w:szCs w:val="22"/>
              </w:rPr>
            </w:pPr>
            <w:r w:rsidRPr="00032AA6">
              <w:rPr>
                <w:rFonts w:asciiTheme="minorHAnsi" w:hAnsiTheme="minorHAnsi" w:cstheme="minorHAnsi"/>
                <w:b/>
                <w:bCs/>
                <w:color w:val="000000"/>
                <w:sz w:val="22"/>
                <w:szCs w:val="22"/>
              </w:rPr>
              <w:t>Pore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2EA114" w14:textId="77777777" w:rsidR="00007F6C" w:rsidRPr="00032AA6" w:rsidRDefault="00007F6C" w:rsidP="005E2F1E">
            <w:pPr>
              <w:pStyle w:val="NormalWeb"/>
              <w:spacing w:before="0" w:beforeAutospacing="0" w:after="0" w:afterAutospacing="0"/>
              <w:jc w:val="right"/>
              <w:rPr>
                <w:rFonts w:asciiTheme="minorHAnsi" w:hAnsiTheme="minorHAnsi" w:cstheme="minorHAnsi"/>
                <w:sz w:val="22"/>
                <w:szCs w:val="22"/>
              </w:rPr>
            </w:pPr>
            <w:r w:rsidRPr="00032AA6">
              <w:rPr>
                <w:rFonts w:asciiTheme="minorHAnsi" w:hAnsiTheme="minorHAnsi" w:cstheme="minorHAnsi"/>
                <w:color w:val="000000"/>
                <w:sz w:val="22"/>
                <w:szCs w:val="22"/>
              </w:rPr>
              <w:t>35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E67353" w14:textId="77777777" w:rsidR="00007F6C" w:rsidRPr="00032AA6" w:rsidRDefault="00007F6C" w:rsidP="005E2F1E">
            <w:pPr>
              <w:pStyle w:val="NormalWeb"/>
              <w:spacing w:before="0" w:beforeAutospacing="0" w:after="0" w:afterAutospacing="0"/>
              <w:jc w:val="right"/>
              <w:rPr>
                <w:rFonts w:asciiTheme="minorHAnsi" w:hAnsiTheme="minorHAnsi" w:cstheme="minorHAnsi"/>
                <w:sz w:val="22"/>
                <w:szCs w:val="22"/>
              </w:rPr>
            </w:pPr>
            <w:r w:rsidRPr="00032AA6">
              <w:rPr>
                <w:rFonts w:asciiTheme="minorHAnsi" w:hAnsiTheme="minorHAnsi" w:cstheme="minorHAnsi"/>
                <w:sz w:val="22"/>
                <w:szCs w:val="22"/>
              </w:rPr>
              <w:t>70</w:t>
            </w:r>
          </w:p>
        </w:tc>
      </w:tr>
      <w:tr w:rsidR="00007F6C" w:rsidRPr="00902DFA" w14:paraId="66F96D96" w14:textId="77777777" w:rsidTr="005E2F1E">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AA686F" w14:textId="77777777" w:rsidR="00007F6C" w:rsidRPr="00032AA6" w:rsidRDefault="00007F6C" w:rsidP="005E2F1E">
            <w:pPr>
              <w:pStyle w:val="NormalWeb"/>
              <w:spacing w:before="0" w:beforeAutospacing="0" w:after="0" w:afterAutospacing="0"/>
              <w:jc w:val="both"/>
              <w:rPr>
                <w:rFonts w:asciiTheme="minorHAnsi" w:hAnsiTheme="minorHAnsi" w:cstheme="minorHAnsi"/>
                <w:b/>
                <w:bCs/>
                <w:color w:val="000000"/>
                <w:sz w:val="22"/>
                <w:szCs w:val="22"/>
              </w:rPr>
            </w:pPr>
            <w:r w:rsidRPr="00032AA6">
              <w:rPr>
                <w:rFonts w:asciiTheme="minorHAnsi" w:hAnsiTheme="minorHAnsi" w:cstheme="minorHAnsi"/>
                <w:b/>
                <w:bCs/>
                <w:color w:val="000000"/>
                <w:sz w:val="22"/>
                <w:szCs w:val="22"/>
              </w:rPr>
              <w:t>Air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753134" w14:textId="77777777" w:rsidR="00007F6C" w:rsidRPr="00032AA6" w:rsidRDefault="00007F6C" w:rsidP="005E2F1E">
            <w:pPr>
              <w:pStyle w:val="NormalWeb"/>
              <w:spacing w:before="0" w:beforeAutospacing="0" w:after="0" w:afterAutospacing="0"/>
              <w:jc w:val="right"/>
              <w:rPr>
                <w:rFonts w:asciiTheme="minorHAnsi" w:hAnsiTheme="minorHAnsi" w:cstheme="minorHAnsi"/>
                <w:color w:val="000000"/>
                <w:sz w:val="22"/>
                <w:szCs w:val="22"/>
              </w:rPr>
            </w:pPr>
            <w:r w:rsidRPr="00032AA6">
              <w:rPr>
                <w:rFonts w:asciiTheme="minorHAnsi" w:hAnsiTheme="minorHAnsi" w:cstheme="minorHAnsi"/>
                <w:color w:val="000000"/>
                <w:sz w:val="22"/>
                <w:szCs w:val="22"/>
              </w:rPr>
              <w:t>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ED91A6" w14:textId="77777777" w:rsidR="00007F6C" w:rsidRPr="00032AA6" w:rsidRDefault="00007F6C" w:rsidP="005E2F1E">
            <w:pPr>
              <w:pStyle w:val="NormalWeb"/>
              <w:spacing w:before="0" w:beforeAutospacing="0" w:after="0" w:afterAutospacing="0"/>
              <w:jc w:val="right"/>
              <w:rPr>
                <w:rFonts w:asciiTheme="minorHAnsi" w:hAnsiTheme="minorHAnsi" w:cstheme="minorHAnsi"/>
                <w:sz w:val="22"/>
                <w:szCs w:val="22"/>
              </w:rPr>
            </w:pPr>
            <w:r w:rsidRPr="00032AA6">
              <w:rPr>
                <w:rFonts w:asciiTheme="minorHAnsi" w:hAnsiTheme="minorHAnsi" w:cstheme="minorHAnsi"/>
                <w:sz w:val="22"/>
                <w:szCs w:val="22"/>
              </w:rPr>
              <w:t>90</w:t>
            </w:r>
          </w:p>
        </w:tc>
      </w:tr>
      <w:tr w:rsidR="00007F6C" w:rsidRPr="00902DFA" w14:paraId="3399C0A4" w14:textId="77777777" w:rsidTr="005E2F1E">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EDFCFF" w14:textId="77777777" w:rsidR="00007F6C" w:rsidRPr="00032AA6" w:rsidRDefault="00007F6C" w:rsidP="005E2F1E">
            <w:pPr>
              <w:pStyle w:val="NormalWeb"/>
              <w:spacing w:before="0" w:beforeAutospacing="0" w:after="0" w:afterAutospacing="0"/>
              <w:jc w:val="both"/>
              <w:rPr>
                <w:rFonts w:asciiTheme="minorHAnsi" w:hAnsiTheme="minorHAnsi" w:cstheme="minorHAnsi"/>
                <w:b/>
                <w:bCs/>
                <w:sz w:val="22"/>
                <w:szCs w:val="22"/>
              </w:rPr>
            </w:pPr>
            <w:r w:rsidRPr="00032AA6">
              <w:rPr>
                <w:rFonts w:asciiTheme="minorHAnsi" w:hAnsiTheme="minorHAnsi" w:cstheme="minorHAnsi"/>
                <w:b/>
                <w:bCs/>
                <w:sz w:val="22"/>
                <w:szCs w:val="22"/>
              </w:rPr>
              <w:t>YSZ</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0F6C86" w14:textId="77777777" w:rsidR="00007F6C" w:rsidRPr="00032AA6" w:rsidRDefault="00007F6C" w:rsidP="005E2F1E">
            <w:pPr>
              <w:pStyle w:val="NormalWeb"/>
              <w:spacing w:before="0" w:beforeAutospacing="0" w:after="0" w:afterAutospacing="0"/>
              <w:jc w:val="right"/>
              <w:rPr>
                <w:rFonts w:asciiTheme="minorHAnsi" w:hAnsiTheme="minorHAnsi" w:cstheme="minorHAnsi"/>
                <w:sz w:val="22"/>
                <w:szCs w:val="22"/>
              </w:rPr>
            </w:pPr>
            <w:r w:rsidRPr="00032AA6">
              <w:rPr>
                <w:rFonts w:asciiTheme="minorHAnsi" w:hAnsiTheme="minorHAnsi" w:cstheme="minorHAnsi"/>
                <w:sz w:val="22"/>
                <w:szCs w:val="22"/>
              </w:rPr>
              <w:t>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C318C4" w14:textId="77777777" w:rsidR="00007F6C" w:rsidRPr="00032AA6" w:rsidRDefault="00007F6C" w:rsidP="005E2F1E">
            <w:pPr>
              <w:pStyle w:val="NormalWeb"/>
              <w:spacing w:before="0" w:beforeAutospacing="0" w:after="0" w:afterAutospacing="0"/>
              <w:jc w:val="right"/>
              <w:rPr>
                <w:rFonts w:asciiTheme="minorHAnsi" w:hAnsiTheme="minorHAnsi" w:cstheme="minorHAnsi"/>
                <w:sz w:val="22"/>
                <w:szCs w:val="22"/>
              </w:rPr>
            </w:pPr>
            <w:r w:rsidRPr="00032AA6">
              <w:rPr>
                <w:rFonts w:asciiTheme="minorHAnsi" w:hAnsiTheme="minorHAnsi" w:cstheme="minorHAnsi"/>
                <w:sz w:val="22"/>
                <w:szCs w:val="22"/>
              </w:rPr>
              <w:t>255</w:t>
            </w:r>
          </w:p>
        </w:tc>
      </w:tr>
    </w:tbl>
    <w:p w14:paraId="2C801837" w14:textId="77777777" w:rsidR="00007F6C" w:rsidRDefault="00007F6C" w:rsidP="00007F6C">
      <w:pPr>
        <w:jc w:val="both"/>
      </w:pPr>
    </w:p>
    <w:p w14:paraId="492DB824" w14:textId="3CF12C49" w:rsidR="00007F6C" w:rsidRDefault="00007F6C" w:rsidP="00007F6C">
      <w:pPr>
        <w:jc w:val="both"/>
      </w:pPr>
      <w:r>
        <w:t>3 volumes were segmented using Avizo Lite: The entire pillar, the 50</w:t>
      </w:r>
      <w:r w:rsidR="0047113C">
        <w:t xml:space="preserve"> </w:t>
      </w:r>
      <w:r>
        <w:t>% ambient air/ Ni-YSZ electrode and the Ni-YSZ electrode near the YSZ electrolyte</w:t>
      </w:r>
      <w:r w:rsidR="0047113C">
        <w:t xml:space="preserve"> (</w:t>
      </w:r>
      <w:r w:rsidR="0047113C">
        <w:fldChar w:fldCharType="begin"/>
      </w:r>
      <w:r w:rsidR="0047113C">
        <w:instrText xml:space="preserve"> REF _Ref69113642 \h </w:instrText>
      </w:r>
      <w:r w:rsidR="0047113C">
        <w:fldChar w:fldCharType="separate"/>
      </w:r>
      <w:r w:rsidR="0047113C">
        <w:t>Figure 6.</w:t>
      </w:r>
      <w:r w:rsidR="0047113C">
        <w:rPr>
          <w:noProof/>
        </w:rPr>
        <w:t>27</w:t>
      </w:r>
      <w:r w:rsidR="0047113C">
        <w:fldChar w:fldCharType="end"/>
      </w:r>
      <w:r w:rsidR="0047113C">
        <w:t>)</w:t>
      </w:r>
      <w:r>
        <w:t>. This will be referred to as the whole, the middle and the base. These were segmented to track the microstructural evolution of the nickel phase during ageing and deduce the coarsening mechanism present in the catalyst.</w:t>
      </w:r>
    </w:p>
    <w:p w14:paraId="79FE25D3" w14:textId="40CC1DB8" w:rsidR="00007F6C" w:rsidRDefault="007A3283" w:rsidP="00007F6C">
      <w:pPr>
        <w:jc w:val="center"/>
      </w:pPr>
      <w:r>
        <w:rPr>
          <w:noProof/>
        </w:rPr>
        <w:drawing>
          <wp:inline distT="0" distB="0" distL="0" distR="0" wp14:anchorId="719CFA53" wp14:editId="2DE72C97">
            <wp:extent cx="1475360" cy="2639797"/>
            <wp:effectExtent l="0" t="0" r="0" b="8255"/>
            <wp:docPr id="34" name="Picture 34" descr="A picture containing text, indoor, decorated,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indoor, decorated, several&#10;&#10;Description automatically generated"/>
                    <pic:cNvPicPr/>
                  </pic:nvPicPr>
                  <pic:blipFill>
                    <a:blip r:embed="rId200">
                      <a:extLst>
                        <a:ext uri="{28A0092B-C50C-407E-A947-70E740481C1C}">
                          <a14:useLocalDpi xmlns:a14="http://schemas.microsoft.com/office/drawing/2010/main" val="0"/>
                        </a:ext>
                      </a:extLst>
                    </a:blip>
                    <a:stretch>
                      <a:fillRect/>
                    </a:stretch>
                  </pic:blipFill>
                  <pic:spPr>
                    <a:xfrm>
                      <a:off x="0" y="0"/>
                      <a:ext cx="1475360" cy="2639797"/>
                    </a:xfrm>
                    <a:prstGeom prst="rect">
                      <a:avLst/>
                    </a:prstGeom>
                  </pic:spPr>
                </pic:pic>
              </a:graphicData>
            </a:graphic>
          </wp:inline>
        </w:drawing>
      </w:r>
    </w:p>
    <w:p w14:paraId="25FE0D4F" w14:textId="28871B35" w:rsidR="00007F6C" w:rsidRDefault="00007F6C" w:rsidP="00007F6C">
      <w:pPr>
        <w:pStyle w:val="Caption"/>
      </w:pPr>
      <w:bookmarkStart w:id="612" w:name="_Ref69113642"/>
      <w:bookmarkStart w:id="613" w:name="_Toc69115078"/>
      <w:r>
        <w:t>Figure 6.</w:t>
      </w:r>
      <w:r w:rsidR="00B51F53">
        <w:fldChar w:fldCharType="begin"/>
      </w:r>
      <w:r w:rsidR="00B51F53">
        <w:instrText xml:space="preserve"> SEQ Figure \* ARABIC </w:instrText>
      </w:r>
      <w:r w:rsidR="00B51F53">
        <w:fldChar w:fldCharType="separate"/>
      </w:r>
      <w:r w:rsidR="0047113C">
        <w:rPr>
          <w:noProof/>
        </w:rPr>
        <w:t>27</w:t>
      </w:r>
      <w:r w:rsidR="00B51F53">
        <w:rPr>
          <w:noProof/>
        </w:rPr>
        <w:fldChar w:fldCharType="end"/>
      </w:r>
      <w:bookmarkEnd w:id="612"/>
      <w:r>
        <w:t xml:space="preserve">: XZ orientation ortho-slice window used to segment the three phases. The Nickel, YSZ and pores are red, blue and black </w:t>
      </w:r>
      <w:proofErr w:type="gramStart"/>
      <w:r>
        <w:t>respectively</w:t>
      </w:r>
      <w:bookmarkEnd w:id="613"/>
      <w:proofErr w:type="gramEnd"/>
    </w:p>
    <w:p w14:paraId="1E515AB4" w14:textId="77777777" w:rsidR="00007F6C" w:rsidRDefault="00007F6C" w:rsidP="00195CBF">
      <w:pPr>
        <w:pStyle w:val="Heading5"/>
      </w:pPr>
      <w:r>
        <w:t>Whole 2 h aged Ni-YSZ pillar</w:t>
      </w:r>
    </w:p>
    <w:p w14:paraId="32117E6A" w14:textId="77777777" w:rsidR="00007F6C" w:rsidRDefault="00007F6C" w:rsidP="0047113C">
      <w:pPr>
        <w:spacing w:line="240" w:lineRule="auto"/>
        <w:jc w:val="both"/>
      </w:pPr>
      <w:r>
        <w:t>Initially, the phase segmentation was performed on the entire scan of the pillar sample. Clear issues with the segmentation were clear – with disconnected portions of the ceramic phase present in the 3D rendering (</w:t>
      </w:r>
      <w:r>
        <w:fldChar w:fldCharType="begin"/>
      </w:r>
      <w:r>
        <w:instrText xml:space="preserve"> REF _Ref47104864 \h  \* MERGEFORMAT </w:instrText>
      </w:r>
      <w:r>
        <w:fldChar w:fldCharType="separate"/>
      </w:r>
      <w:r>
        <w:t xml:space="preserve">Figure </w:t>
      </w:r>
      <w:r>
        <w:rPr>
          <w:noProof/>
        </w:rPr>
        <w:t>6.28</w:t>
      </w:r>
      <w:r>
        <w:fldChar w:fldCharType="end"/>
      </w:r>
      <w:r>
        <w:t>). These islands were removed using a function in Avizo Lite. These islands were a function of an issue during the reconstruction and are remnants of the ambient air phase. The volume was added to the ambient air phase and the phase was segmented separately to the other three phases.</w:t>
      </w:r>
    </w:p>
    <w:p w14:paraId="642B65DF" w14:textId="32FB3AC2" w:rsidR="00007F6C" w:rsidRDefault="00007F6C" w:rsidP="00007F6C">
      <w:pPr>
        <w:jc w:val="both"/>
      </w:pPr>
      <w:r>
        <w:lastRenderedPageBreak/>
        <w:t>The presence of the atmospheric air was useful for contrast purposes with the sample, however the pillar sample showed beam damage from the laser milling which led to an increased amount of this phase in the central tenet of the sample (</w:t>
      </w:r>
      <w:r>
        <w:fldChar w:fldCharType="begin"/>
      </w:r>
      <w:r>
        <w:instrText xml:space="preserve"> REF _Ref47105206 \h  \* MERGEFORMAT </w:instrText>
      </w:r>
      <w:r>
        <w:fldChar w:fldCharType="separate"/>
      </w:r>
      <w:r w:rsidR="0047113C">
        <w:t xml:space="preserve">Figure </w:t>
      </w:r>
      <w:r w:rsidR="0047113C">
        <w:rPr>
          <w:noProof/>
        </w:rPr>
        <w:t>6.25</w:t>
      </w:r>
      <w:r>
        <w:fldChar w:fldCharType="end"/>
      </w:r>
      <w:r>
        <w:t xml:space="preserve">). </w:t>
      </w:r>
    </w:p>
    <w:p w14:paraId="6FF01325" w14:textId="77777777" w:rsidR="00007F6C" w:rsidRDefault="00007F6C" w:rsidP="00007F6C">
      <w:pPr>
        <w:jc w:val="both"/>
      </w:pPr>
      <w:r>
        <w:t>The presence of the ambient air phase was unavoidable as PXCT requires a contrast medium for the ptychographic reconstructions. The impact of this phase was nullified by removal of GSVs for this segment. These bins were identified in both the contrast sample and ortho-slices from the top of this scan.</w:t>
      </w:r>
    </w:p>
    <w:p w14:paraId="681B6B4C" w14:textId="1FA4524E" w:rsidR="00007F6C" w:rsidRDefault="00FE0F38" w:rsidP="00007F6C">
      <w:pPr>
        <w:keepNext/>
        <w:jc w:val="center"/>
      </w:pPr>
      <w:r>
        <w:rPr>
          <w:noProof/>
        </w:rPr>
        <w:drawing>
          <wp:inline distT="0" distB="0" distL="0" distR="0" wp14:anchorId="7DF64017" wp14:editId="529B5F32">
            <wp:extent cx="5450296" cy="1908213"/>
            <wp:effectExtent l="0" t="0" r="0" b="0"/>
            <wp:docPr id="36" name="Picture 36"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map&#10;&#10;Description automatically generated"/>
                    <pic:cNvPicPr/>
                  </pic:nvPicPr>
                  <pic:blipFill>
                    <a:blip r:embed="rId201">
                      <a:extLst>
                        <a:ext uri="{28A0092B-C50C-407E-A947-70E740481C1C}">
                          <a14:useLocalDpi xmlns:a14="http://schemas.microsoft.com/office/drawing/2010/main" val="0"/>
                        </a:ext>
                      </a:extLst>
                    </a:blip>
                    <a:stretch>
                      <a:fillRect/>
                    </a:stretch>
                  </pic:blipFill>
                  <pic:spPr>
                    <a:xfrm>
                      <a:off x="0" y="0"/>
                      <a:ext cx="5450296" cy="1908213"/>
                    </a:xfrm>
                    <a:prstGeom prst="rect">
                      <a:avLst/>
                    </a:prstGeom>
                  </pic:spPr>
                </pic:pic>
              </a:graphicData>
            </a:graphic>
          </wp:inline>
        </w:drawing>
      </w:r>
    </w:p>
    <w:p w14:paraId="7EF0425C" w14:textId="46C0F454" w:rsidR="00007F6C" w:rsidRDefault="00007F6C" w:rsidP="00007F6C">
      <w:pPr>
        <w:pStyle w:val="Caption"/>
      </w:pPr>
      <w:bookmarkStart w:id="614" w:name="_Ref47104864"/>
      <w:bookmarkStart w:id="615" w:name="_Toc69115079"/>
      <w:r>
        <w:t>Figure 6.</w:t>
      </w:r>
      <w:r w:rsidR="00B51F53">
        <w:fldChar w:fldCharType="begin"/>
      </w:r>
      <w:r w:rsidR="00B51F53">
        <w:instrText xml:space="preserve"> SEQ Figure \* ARABIC </w:instrText>
      </w:r>
      <w:r w:rsidR="00B51F53">
        <w:fldChar w:fldCharType="separate"/>
      </w:r>
      <w:r w:rsidR="0047113C">
        <w:rPr>
          <w:noProof/>
        </w:rPr>
        <w:t>28</w:t>
      </w:r>
      <w:r w:rsidR="00B51F53">
        <w:rPr>
          <w:noProof/>
        </w:rPr>
        <w:fldChar w:fldCharType="end"/>
      </w:r>
      <w:bookmarkEnd w:id="614"/>
      <w:r>
        <w:t xml:space="preserve">: 3D renderings of the whole Ni-YSZ fuel electrode. Left-hand side the nickel and ceramic phases, right-hand side the nickel, ceramic, and pore phases. The nickel, ceramic and air are red, </w:t>
      </w:r>
      <w:proofErr w:type="gramStart"/>
      <w:r>
        <w:t>white</w:t>
      </w:r>
      <w:proofErr w:type="gramEnd"/>
      <w:r>
        <w:t xml:space="preserve"> and grey </w:t>
      </w:r>
      <w:r w:rsidR="00FE0F38">
        <w:t>respectively.</w:t>
      </w:r>
      <w:bookmarkEnd w:id="615"/>
    </w:p>
    <w:p w14:paraId="355616D8" w14:textId="77777777" w:rsidR="00007F6C" w:rsidRDefault="00007F6C" w:rsidP="00195CBF">
      <w:pPr>
        <w:pStyle w:val="Heading5"/>
      </w:pPr>
      <w:r>
        <w:t>Base of the 2 h aged Ni-YSZ pillar</w:t>
      </w:r>
    </w:p>
    <w:p w14:paraId="42B72872" w14:textId="77777777" w:rsidR="00007F6C" w:rsidRDefault="00007F6C" w:rsidP="00007F6C">
      <w:pPr>
        <w:jc w:val="both"/>
      </w:pPr>
      <w:r>
        <w:t xml:space="preserve">To further remove the impact of the atmospheric air phase, the base 3.3 </w:t>
      </w:r>
      <w:r>
        <w:rPr>
          <w:rFonts w:cstheme="minorHAnsi"/>
        </w:rPr>
        <w:t>µ</w:t>
      </w:r>
      <w:r>
        <w:t>m of the ptychographic scan was segmented as a separate sub-volume. This provided a volume with very little nickel present in the sample and larger amounts of YSZ than expected. The almost 8 % reduction in the pore vol % is almost completely equated to the increase in the ceramic vol % in the system (</w:t>
      </w:r>
      <w:r>
        <w:fldChar w:fldCharType="begin"/>
      </w:r>
      <w:r>
        <w:instrText xml:space="preserve"> REF _Ref47449801 \h  \* MERGEFORMAT </w:instrText>
      </w:r>
      <w:r>
        <w:fldChar w:fldCharType="separate"/>
      </w:r>
      <w:r>
        <w:t xml:space="preserve">Table </w:t>
      </w:r>
      <w:r>
        <w:rPr>
          <w:noProof/>
        </w:rPr>
        <w:t>6.21</w:t>
      </w:r>
      <w:r>
        <w:fldChar w:fldCharType="end"/>
      </w:r>
      <w:r>
        <w:t xml:space="preserve">). </w:t>
      </w:r>
    </w:p>
    <w:p w14:paraId="07977E4D" w14:textId="6DA0B847" w:rsidR="00007F6C" w:rsidRDefault="00007F6C" w:rsidP="00007F6C">
      <w:pPr>
        <w:pStyle w:val="Caption"/>
        <w:keepNext/>
      </w:pPr>
      <w:bookmarkStart w:id="616" w:name="_Ref47449801"/>
      <w:r>
        <w:t>Table 6.</w:t>
      </w:r>
      <w:r w:rsidR="00B51F53">
        <w:fldChar w:fldCharType="begin"/>
      </w:r>
      <w:r w:rsidR="00B51F53">
        <w:instrText xml:space="preserve"> SEQ Table \* ARABIC </w:instrText>
      </w:r>
      <w:r w:rsidR="00B51F53">
        <w:fldChar w:fldCharType="separate"/>
      </w:r>
      <w:r w:rsidR="0022061C">
        <w:rPr>
          <w:noProof/>
        </w:rPr>
        <w:t>21</w:t>
      </w:r>
      <w:r w:rsidR="00B51F53">
        <w:rPr>
          <w:noProof/>
        </w:rPr>
        <w:fldChar w:fldCharType="end"/>
      </w:r>
      <w:bookmarkEnd w:id="616"/>
      <w:r>
        <w:t xml:space="preserve">: Table of the vol % of the three phases present in the Ni-YSZ electrode </w:t>
      </w:r>
      <w:proofErr w:type="gramStart"/>
      <w:r>
        <w:t>sample</w:t>
      </w:r>
      <w:proofErr w:type="gramEnd"/>
    </w:p>
    <w:tbl>
      <w:tblPr>
        <w:tblStyle w:val="TableGrid"/>
        <w:tblW w:w="0" w:type="auto"/>
        <w:jc w:val="center"/>
        <w:tblLook w:val="04A0" w:firstRow="1" w:lastRow="0" w:firstColumn="1" w:lastColumn="0" w:noHBand="0" w:noVBand="1"/>
      </w:tblPr>
      <w:tblGrid>
        <w:gridCol w:w="1751"/>
        <w:gridCol w:w="778"/>
        <w:gridCol w:w="875"/>
        <w:gridCol w:w="875"/>
      </w:tblGrid>
      <w:tr w:rsidR="00007F6C" w14:paraId="5DE5CAEE" w14:textId="77777777" w:rsidTr="005E2F1E">
        <w:trPr>
          <w:jc w:val="center"/>
        </w:trPr>
        <w:tc>
          <w:tcPr>
            <w:tcW w:w="0" w:type="auto"/>
            <w:vMerge w:val="restart"/>
          </w:tcPr>
          <w:p w14:paraId="59D4FE21" w14:textId="77777777" w:rsidR="00007F6C" w:rsidRPr="00DF1214" w:rsidRDefault="00007F6C" w:rsidP="005E2F1E">
            <w:pPr>
              <w:jc w:val="both"/>
              <w:rPr>
                <w:b/>
                <w:bCs/>
              </w:rPr>
            </w:pPr>
            <w:r w:rsidRPr="00DF1214">
              <w:rPr>
                <w:b/>
                <w:bCs/>
              </w:rPr>
              <w:t>Sample</w:t>
            </w:r>
          </w:p>
        </w:tc>
        <w:tc>
          <w:tcPr>
            <w:tcW w:w="0" w:type="auto"/>
            <w:gridSpan w:val="3"/>
          </w:tcPr>
          <w:p w14:paraId="5B260DA1" w14:textId="77777777" w:rsidR="00007F6C" w:rsidRPr="00032AA6" w:rsidRDefault="00007F6C" w:rsidP="005E2F1E">
            <w:pPr>
              <w:jc w:val="both"/>
              <w:rPr>
                <w:b/>
                <w:bCs/>
              </w:rPr>
            </w:pPr>
            <w:r>
              <w:rPr>
                <w:b/>
                <w:bCs/>
              </w:rPr>
              <w:t>Phase [Vol %]</w:t>
            </w:r>
          </w:p>
        </w:tc>
      </w:tr>
      <w:tr w:rsidR="00007F6C" w14:paraId="47A0FD73" w14:textId="77777777" w:rsidTr="005E2F1E">
        <w:trPr>
          <w:jc w:val="center"/>
        </w:trPr>
        <w:tc>
          <w:tcPr>
            <w:tcW w:w="0" w:type="auto"/>
            <w:vMerge/>
          </w:tcPr>
          <w:p w14:paraId="53A6E673" w14:textId="77777777" w:rsidR="00007F6C" w:rsidRPr="00DF1214" w:rsidRDefault="00007F6C" w:rsidP="005E2F1E">
            <w:pPr>
              <w:jc w:val="both"/>
              <w:rPr>
                <w:b/>
                <w:bCs/>
              </w:rPr>
            </w:pPr>
          </w:p>
        </w:tc>
        <w:tc>
          <w:tcPr>
            <w:tcW w:w="0" w:type="auto"/>
          </w:tcPr>
          <w:p w14:paraId="44E3A963" w14:textId="77777777" w:rsidR="00007F6C" w:rsidRPr="00032AA6" w:rsidRDefault="00007F6C" w:rsidP="005E2F1E">
            <w:pPr>
              <w:jc w:val="both"/>
              <w:rPr>
                <w:b/>
                <w:bCs/>
              </w:rPr>
            </w:pPr>
            <w:r w:rsidRPr="00032AA6">
              <w:rPr>
                <w:b/>
                <w:bCs/>
              </w:rPr>
              <w:t>Nickel</w:t>
            </w:r>
          </w:p>
        </w:tc>
        <w:tc>
          <w:tcPr>
            <w:tcW w:w="0" w:type="auto"/>
          </w:tcPr>
          <w:p w14:paraId="6CE60C1C" w14:textId="77777777" w:rsidR="00007F6C" w:rsidRPr="00032AA6" w:rsidRDefault="00007F6C" w:rsidP="005E2F1E">
            <w:pPr>
              <w:jc w:val="both"/>
              <w:rPr>
                <w:b/>
                <w:bCs/>
              </w:rPr>
            </w:pPr>
            <w:r w:rsidRPr="00032AA6">
              <w:rPr>
                <w:b/>
                <w:bCs/>
              </w:rPr>
              <w:t>YSZ</w:t>
            </w:r>
          </w:p>
        </w:tc>
        <w:tc>
          <w:tcPr>
            <w:tcW w:w="0" w:type="auto"/>
          </w:tcPr>
          <w:p w14:paraId="506B8382" w14:textId="77777777" w:rsidR="00007F6C" w:rsidRPr="00032AA6" w:rsidRDefault="00007F6C" w:rsidP="005E2F1E">
            <w:pPr>
              <w:jc w:val="both"/>
              <w:rPr>
                <w:b/>
                <w:bCs/>
              </w:rPr>
            </w:pPr>
            <w:r w:rsidRPr="00032AA6">
              <w:rPr>
                <w:b/>
                <w:bCs/>
              </w:rPr>
              <w:t>Pore</w:t>
            </w:r>
          </w:p>
        </w:tc>
      </w:tr>
      <w:tr w:rsidR="00007F6C" w14:paraId="3BED9F0A" w14:textId="77777777" w:rsidTr="005E2F1E">
        <w:trPr>
          <w:jc w:val="center"/>
        </w:trPr>
        <w:tc>
          <w:tcPr>
            <w:tcW w:w="0" w:type="auto"/>
          </w:tcPr>
          <w:p w14:paraId="0627FBD9" w14:textId="77777777" w:rsidR="00007F6C" w:rsidRDefault="00007F6C" w:rsidP="005E2F1E">
            <w:pPr>
              <w:jc w:val="both"/>
            </w:pPr>
            <w:r>
              <w:t>Ni-YSZ 2 h Whole</w:t>
            </w:r>
          </w:p>
        </w:tc>
        <w:tc>
          <w:tcPr>
            <w:tcW w:w="0" w:type="auto"/>
          </w:tcPr>
          <w:p w14:paraId="46F569DB" w14:textId="77777777" w:rsidR="00007F6C" w:rsidRDefault="00007F6C" w:rsidP="005E2F1E">
            <w:pPr>
              <w:jc w:val="both"/>
            </w:pPr>
            <w:r>
              <w:t>0.46%</w:t>
            </w:r>
          </w:p>
        </w:tc>
        <w:tc>
          <w:tcPr>
            <w:tcW w:w="0" w:type="auto"/>
          </w:tcPr>
          <w:p w14:paraId="4FEACEF9" w14:textId="77777777" w:rsidR="00007F6C" w:rsidRDefault="00007F6C" w:rsidP="005E2F1E">
            <w:pPr>
              <w:jc w:val="both"/>
            </w:pPr>
            <w:r>
              <w:t>67.26%</w:t>
            </w:r>
          </w:p>
        </w:tc>
        <w:tc>
          <w:tcPr>
            <w:tcW w:w="0" w:type="auto"/>
          </w:tcPr>
          <w:p w14:paraId="7E130D2E" w14:textId="77777777" w:rsidR="00007F6C" w:rsidRDefault="00007F6C" w:rsidP="005E2F1E">
            <w:pPr>
              <w:jc w:val="both"/>
            </w:pPr>
            <w:r>
              <w:t>32.29%</w:t>
            </w:r>
          </w:p>
        </w:tc>
      </w:tr>
      <w:tr w:rsidR="00007F6C" w14:paraId="629A98F8" w14:textId="77777777" w:rsidTr="005E2F1E">
        <w:trPr>
          <w:jc w:val="center"/>
        </w:trPr>
        <w:tc>
          <w:tcPr>
            <w:tcW w:w="0" w:type="auto"/>
          </w:tcPr>
          <w:p w14:paraId="25FB09E4" w14:textId="77777777" w:rsidR="00007F6C" w:rsidRDefault="00007F6C" w:rsidP="0047113C">
            <w:pPr>
              <w:jc w:val="both"/>
            </w:pPr>
            <w:r>
              <w:t>Ni-YSZ 2 h Base</w:t>
            </w:r>
          </w:p>
        </w:tc>
        <w:tc>
          <w:tcPr>
            <w:tcW w:w="0" w:type="auto"/>
          </w:tcPr>
          <w:p w14:paraId="2AB73FB4" w14:textId="77777777" w:rsidR="00007F6C" w:rsidRDefault="00007F6C" w:rsidP="0047113C">
            <w:pPr>
              <w:jc w:val="both"/>
            </w:pPr>
            <w:r>
              <w:t>1.22%</w:t>
            </w:r>
          </w:p>
        </w:tc>
        <w:tc>
          <w:tcPr>
            <w:tcW w:w="0" w:type="auto"/>
          </w:tcPr>
          <w:p w14:paraId="5313A7FE" w14:textId="77777777" w:rsidR="00007F6C" w:rsidRDefault="00007F6C" w:rsidP="0047113C">
            <w:pPr>
              <w:jc w:val="both"/>
            </w:pPr>
            <w:r>
              <w:t>74.21%</w:t>
            </w:r>
          </w:p>
        </w:tc>
        <w:tc>
          <w:tcPr>
            <w:tcW w:w="0" w:type="auto"/>
          </w:tcPr>
          <w:p w14:paraId="34209FAE" w14:textId="77777777" w:rsidR="00007F6C" w:rsidRDefault="00007F6C" w:rsidP="0047113C">
            <w:pPr>
              <w:jc w:val="both"/>
            </w:pPr>
            <w:r>
              <w:t>24.56%</w:t>
            </w:r>
          </w:p>
        </w:tc>
      </w:tr>
    </w:tbl>
    <w:p w14:paraId="633DF9C1" w14:textId="77777777" w:rsidR="00007F6C" w:rsidRDefault="00007F6C" w:rsidP="0047113C">
      <w:pPr>
        <w:spacing w:before="240"/>
        <w:jc w:val="both"/>
      </w:pPr>
      <w:r>
        <w:t>The nickel volume percent is far lower than the stated volume percent of the sample after calcination. This is due to a combination of factors including increased tortuosity of the pores nearing the electrolyte, damage from sample production and reconstruction issues present in the sample.</w:t>
      </w:r>
    </w:p>
    <w:p w14:paraId="5BA35567" w14:textId="0EA9D5EC" w:rsidR="00007F6C" w:rsidRDefault="00007F6C" w:rsidP="00007F6C">
      <w:pPr>
        <w:jc w:val="both"/>
      </w:pPr>
      <w:r>
        <w:t>As operating temperature of SOFCs (and the ageing temperature in this study, 800</w:t>
      </w:r>
      <w:r>
        <w:rPr>
          <w:rFonts w:cstheme="minorHAnsi"/>
        </w:rPr>
        <w:t>⁰</w:t>
      </w:r>
      <w:r>
        <w:t xml:space="preserve">C) exceeds the </w:t>
      </w:r>
      <w:proofErr w:type="spellStart"/>
      <w:r>
        <w:t>T</w:t>
      </w:r>
      <w:r>
        <w:rPr>
          <w:vertAlign w:val="subscript"/>
        </w:rPr>
        <w:t>Tammann</w:t>
      </w:r>
      <w:proofErr w:type="spellEnd"/>
      <w:r>
        <w:t xml:space="preserve"> temperature for nickel, the catalyst will be highly mobile</w:t>
      </w:r>
      <w:r>
        <w:fldChar w:fldCharType="begin" w:fldLock="1"/>
      </w:r>
      <w:r w:rsidR="00D80A5D">
        <w:instrText>ADDIN CSL_CITATION {"citationItems":[{"id":"ITEM-1","itemData":{"DOI":"10.1021/ja064884j","ISSN":"00027863","abstract":"A novel in situ autoreduction route has been developed, by which monodispersed silver nanoparticles with tunable sizes could be easily fabricated on silica-based materials, especially inside the channels of mesoporous silica (MPS). 13C CP/MAS NMR spectroscopy was employed to monitor the whole assembly process. It was demonstrated that the amino groups of APTS (aminopropyltriethoxyl silane)-modified MPS can be used to anchor formaldehyde to form novel reducing species (NHCH2OH), on which Ag(NH 3)2NO3 could be in situ reduced. Monodispersed silver nanoparticles were thus obtained. In situ XRD and in situ TEM experiments were used to investigate and compare the thermal stabilities of silver nanoparticles on the external surface of silica gels (unconfined) and those located inside the channels of SBA-15 (confined). It was observed that unconfined silver nanoparticles tended to agglomerate at low temperatures (i.e., lower than 773 K). The aggregation of silver nanoparticles became more serious at 773 K. However, for those confined silver nanoparticles, no coarsening process was observed at 773 K, much higher than its Tammann temperature (i.e., 617 K). Only when the treating temperature was higher than 873 K could the agglomeration of those confined silver nanoparticles happen with time-varying via the Ostwald ripening process. The confinement of mesopores played a key role in improving the thermal stabilities of silver nanoparticles (stable up to 773 K without any observable coarsening), which is essential to the further investigations on their chemical (e.g., catalytic) properties. © 2006 American Chemical Society.","author":[{"dropping-particle":"","family":"Sun","given":"Junming","non-dropping-particle":"","parse-names":false,"suffix":""},{"dropping-particle":"","family":"Ma","given":"Ding","non-dropping-particle":"","parse-names":false,"suffix":""},{"dropping-particle":"","family":"Zhang","given":"He","non-dropping-particle":"","parse-names":false,"suffix":""},{"dropping-particle":"","family":"Liu","given":"Xiumei","non-dropping-particle":"","parse-names":false,"suffix":""},{"dropping-particle":"","family":"Han","given":"Xiuwen","non-dropping-particle":"","parse-names":false,"suffix":""},{"dropping-particle":"","family":"Bao","given":"Xinhe","non-dropping-particle":"","parse-names":false,"suffix":""},{"dropping-particle":"","family":"Weinberg","given":"Gisela","non-dropping-particle":"","parse-names":false,"suffix":""},{"dropping-particle":"","family":"Pfänder","given":"Norbert","non-dropping-particle":"","parse-names":false,"suffix":""},{"dropping-particle":"","family":"Su","given":"Dangsheng","non-dropping-particle":"","parse-names":false,"suffix":""}],"container-title":"Journal of the American Chemical Society","id":"ITEM-1","issue":"49","issued":{"date-parts":[["2006"]]},"page":"15756-15764","title":"Toward monodispersed silver nanoparticles with unusual thermal stability","type":"article-journal","volume":"128"},"uris":["http://www.mendeley.com/documents/?uuid=dc0962e1-e02a-4d5c-8187-79d214c01270"]},{"id":"ITEM-2","itemData":{"DOI":"10.1002/zaac.19191070102","abstract":"Abstract Übersicht S.1.– 1. Die regellose Verteilung zweier Molekülarten S.9.–2. Die regelmäßigen Verteilungen zweier Atomarten in Raumgittern S. 15.–3. Die bei der Extraktion mit Salpetersäure verbleibenden Rückstände der Gold - Silber- und Gold -Kupferlegierungen S. 49. – 4. Vorläufige Bestimmung der Einwirkungsgrenzen von schwefelhaltigen Agentien und schwachen Oxydationsmitteln auf die Cu-Au-Mischkristalle und der Einfluß der Temperatur auf diese Einwirkungsgrenzen S. 57 – 5. Genauere Bestimmung der Einwirkungsgrenzen auf die Cu-Au- und Ag-Au-Mischkristalle in Abhängigkeit von der Natur der chemischen Agentien S. 62. – 6. Über die Löslichkeit von Wasserstoff in Palladiummischkristallen S. 89. – 7. Deutung der Einwirkungsgrenzen S. 96. – 8. Das Verhalten der ternären Mischkristalle von Cu, Ag und Au gegen chemische Agentien und ihre Farben S. 107. – 9. Die Einwirkungsgrenzen der Mischkristalle des Vanadins und Siliciums mit Eisen S. 118.–10. Die galvanischen Spannungen der Legierungen S. 136.– 11. Angenäherte Bestimmung der Einwirkungsgrenzen auf die Mischkristallreihen des Mn mit Ag und die des Mg mit Ag S. 169. – 12. Über den Einfluß der Kaltbearbeitung auf die chemischen Einwirkungsgrenzen S. 171. – 13. Zusammenfassung der Resultate, betreffend die Einwirkungsgrenzen und Übersicht ihrer Deutung S. 186. – 14. Über den atomistischen Aufbau nichtmetallischer Mischkristalle S. 186.– 15. Die normale Molekülverteilung in Mischkristallen als Ursache ihrer anomalen Doppelbrechung S. 208. – 16. Isomere metallische Mischkristalle S. 217.–17. Bemerkungen über „Säure”︁ beständige Legierungen S.235.– Schlußwort S.237.","author":[{"dropping-particle":"","family":"Tammann","given":"G","non-dropping-particle":"","parse-names":false,"suffix":""}],"container-title":"Zeitschrift für anorganische und allgemeine Chemie","id":"ITEM-2","issue":"1","issued":{"date-parts":[["1919"]]},"page":"1-239","title":"Zum Gedächtnis der Entdeckung des Isomorphismus vor 100 Jahren. Die chemischen und galvanischen Eigenschaften von Mischkristallreihen und ihre Atomverteilung","type":"article-journal","volume":"107"},"uris":["http://www.mendeley.com/documents/?uuid=6284032c-9c7e-43bd-bed0-65f21129f2be"]}],"mendeley":{"formattedCitation":"[238], [240]","plainTextFormattedCitation":"[238], [240]","previouslyFormattedCitation":"[238], [240]"},"properties":{"noteIndex":0},"schema":"https://github.com/citation-style-language/schema/raw/master/csl-citation.json"}</w:instrText>
      </w:r>
      <w:r>
        <w:fldChar w:fldCharType="separate"/>
      </w:r>
      <w:r w:rsidR="006C586A" w:rsidRPr="006C586A">
        <w:rPr>
          <w:noProof/>
        </w:rPr>
        <w:t>[238], [240]</w:t>
      </w:r>
      <w:r>
        <w:fldChar w:fldCharType="end"/>
      </w:r>
      <w:r>
        <w:t xml:space="preserve">. These elevated temperatures mean that the Nickel can move towards the AFL reducing gas diffusion at the fuel electrode TPBs. </w:t>
      </w:r>
    </w:p>
    <w:p w14:paraId="241026AA" w14:textId="2A7874B7" w:rsidR="00007F6C" w:rsidRDefault="00007F6C" w:rsidP="00007F6C">
      <w:pPr>
        <w:jc w:val="both"/>
      </w:pPr>
      <w:r>
        <w:t xml:space="preserve">The vol % of the ceramic and pore phases was plotted in bar charts for each of the XY ortho-slice files in </w:t>
      </w:r>
      <w:r w:rsidRPr="00F0278C">
        <w:t>the ROI sub volume</w:t>
      </w:r>
      <w:r w:rsidR="0047113C">
        <w:t xml:space="preserve"> </w:t>
      </w:r>
      <w:r w:rsidRPr="00F0278C">
        <w:t>(</w:t>
      </w:r>
      <w:r w:rsidRPr="00F0278C">
        <w:fldChar w:fldCharType="begin"/>
      </w:r>
      <w:r w:rsidRPr="00F0278C">
        <w:instrText xml:space="preserve"> REF _Ref47512537 \h  \* MERGEFORMAT </w:instrText>
      </w:r>
      <w:r w:rsidRPr="00F0278C">
        <w:fldChar w:fldCharType="separate"/>
      </w:r>
      <w:r w:rsidR="0047113C">
        <w:t xml:space="preserve">Figure </w:t>
      </w:r>
      <w:r w:rsidR="0047113C">
        <w:rPr>
          <w:noProof/>
        </w:rPr>
        <w:t>6.29</w:t>
      </w:r>
      <w:r w:rsidRPr="00F0278C">
        <w:fldChar w:fldCharType="end"/>
      </w:r>
      <w:r w:rsidR="0047113C">
        <w:t xml:space="preserve"> and </w:t>
      </w:r>
      <w:r w:rsidR="0047113C">
        <w:fldChar w:fldCharType="begin"/>
      </w:r>
      <w:r w:rsidR="0047113C">
        <w:instrText xml:space="preserve"> REF _Ref69113784 \h </w:instrText>
      </w:r>
      <w:r w:rsidR="0047113C">
        <w:fldChar w:fldCharType="separate"/>
      </w:r>
      <w:r w:rsidR="0047113C">
        <w:t>Figure 6.</w:t>
      </w:r>
      <w:r w:rsidR="0047113C">
        <w:rPr>
          <w:noProof/>
        </w:rPr>
        <w:t>30</w:t>
      </w:r>
      <w:r w:rsidR="0047113C">
        <w:fldChar w:fldCharType="end"/>
      </w:r>
      <w:r w:rsidRPr="00F0278C">
        <w:t>).</w:t>
      </w:r>
      <w:r>
        <w:t xml:space="preserve"> The tortuosity of the pore structure was shown to rise deeper into the base of the sample, this was signified by the 20.54% volume percent increase of the YSZ ceramic phase.</w:t>
      </w:r>
    </w:p>
    <w:p w14:paraId="1AA7FDDC" w14:textId="77777777" w:rsidR="00007F6C" w:rsidRDefault="00007F6C" w:rsidP="00007F6C">
      <w:pPr>
        <w:keepNext/>
        <w:jc w:val="center"/>
      </w:pPr>
      <w:r w:rsidRPr="00442714">
        <w:rPr>
          <w:noProof/>
        </w:rPr>
        <w:lastRenderedPageBreak/>
        <w:drawing>
          <wp:inline distT="0" distB="0" distL="0" distR="0" wp14:anchorId="3382E372" wp14:editId="7783479D">
            <wp:extent cx="3960000" cy="3309678"/>
            <wp:effectExtent l="0" t="0" r="2540" b="508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2">
                      <a:extLst>
                        <a:ext uri="{28A0092B-C50C-407E-A947-70E740481C1C}">
                          <a14:useLocalDpi xmlns:a14="http://schemas.microsoft.com/office/drawing/2010/main" val="0"/>
                        </a:ext>
                      </a:extLst>
                    </a:blip>
                    <a:srcRect l="9174" t="9910" r="12615" b="4504"/>
                    <a:stretch/>
                  </pic:blipFill>
                  <pic:spPr bwMode="auto">
                    <a:xfrm>
                      <a:off x="0" y="0"/>
                      <a:ext cx="3960000" cy="3309678"/>
                    </a:xfrm>
                    <a:prstGeom prst="rect">
                      <a:avLst/>
                    </a:prstGeom>
                    <a:noFill/>
                    <a:ln>
                      <a:noFill/>
                    </a:ln>
                    <a:extLst>
                      <a:ext uri="{53640926-AAD7-44D8-BBD7-CCE9431645EC}">
                        <a14:shadowObscured xmlns:a14="http://schemas.microsoft.com/office/drawing/2010/main"/>
                      </a:ext>
                    </a:extLst>
                  </pic:spPr>
                </pic:pic>
              </a:graphicData>
            </a:graphic>
          </wp:inline>
        </w:drawing>
      </w:r>
    </w:p>
    <w:p w14:paraId="39C299F1" w14:textId="2377E7BC" w:rsidR="00007F6C" w:rsidRDefault="00007F6C" w:rsidP="00007F6C">
      <w:pPr>
        <w:pStyle w:val="Caption"/>
      </w:pPr>
      <w:bookmarkStart w:id="617" w:name="_Ref47512537"/>
      <w:bookmarkStart w:id="618" w:name="_Toc69115080"/>
      <w:r>
        <w:t>Figure 6.</w:t>
      </w:r>
      <w:r w:rsidR="00B51F53">
        <w:fldChar w:fldCharType="begin"/>
      </w:r>
      <w:r w:rsidR="00B51F53">
        <w:instrText xml:space="preserve"> SEQ Figure \* ARABIC </w:instrText>
      </w:r>
      <w:r w:rsidR="00B51F53">
        <w:fldChar w:fldCharType="separate"/>
      </w:r>
      <w:r w:rsidR="0047113C">
        <w:rPr>
          <w:noProof/>
        </w:rPr>
        <w:t>29</w:t>
      </w:r>
      <w:r w:rsidR="00B51F53">
        <w:rPr>
          <w:noProof/>
        </w:rPr>
        <w:fldChar w:fldCharType="end"/>
      </w:r>
      <w:bookmarkEnd w:id="617"/>
      <w:r>
        <w:t xml:space="preserve">: Volume % of the ceramic phase through the base of Ni-YSZ sample. 0-100 denotes the XY ortho-slice files from the top to the base of the </w:t>
      </w:r>
      <w:proofErr w:type="gramStart"/>
      <w:r>
        <w:t>scan</w:t>
      </w:r>
      <w:bookmarkEnd w:id="618"/>
      <w:proofErr w:type="gramEnd"/>
    </w:p>
    <w:p w14:paraId="79989527" w14:textId="77777777" w:rsidR="00007F6C" w:rsidRDefault="00007F6C" w:rsidP="00007F6C">
      <w:pPr>
        <w:jc w:val="both"/>
      </w:pPr>
      <w:r>
        <w:t>Conversely, to the other two phases the volume percent of the pore phase almost continually dropped with increased depth into the Ni-YSZ base. The largest reduction exhibited by this phase was 31.54 % which is entirely due to the proliferation of the Ni and YSZ phases.</w:t>
      </w:r>
    </w:p>
    <w:p w14:paraId="6D9EFADE" w14:textId="77777777" w:rsidR="00007F6C" w:rsidRDefault="00007F6C" w:rsidP="00007F6C">
      <w:pPr>
        <w:keepNext/>
        <w:jc w:val="center"/>
      </w:pPr>
      <w:r w:rsidRPr="00442714">
        <w:rPr>
          <w:noProof/>
        </w:rPr>
        <w:drawing>
          <wp:inline distT="0" distB="0" distL="0" distR="0" wp14:anchorId="532E06ED" wp14:editId="30FFF513">
            <wp:extent cx="3960000" cy="3267289"/>
            <wp:effectExtent l="0" t="0" r="0" b="952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3">
                      <a:extLst>
                        <a:ext uri="{28A0092B-C50C-407E-A947-70E740481C1C}">
                          <a14:useLocalDpi xmlns:a14="http://schemas.microsoft.com/office/drawing/2010/main" val="0"/>
                        </a:ext>
                      </a:extLst>
                    </a:blip>
                    <a:srcRect l="9174" t="9910" r="12156" b="5105"/>
                    <a:stretch/>
                  </pic:blipFill>
                  <pic:spPr bwMode="auto">
                    <a:xfrm>
                      <a:off x="0" y="0"/>
                      <a:ext cx="3960000" cy="3267289"/>
                    </a:xfrm>
                    <a:prstGeom prst="rect">
                      <a:avLst/>
                    </a:prstGeom>
                    <a:noFill/>
                    <a:ln>
                      <a:noFill/>
                    </a:ln>
                    <a:extLst>
                      <a:ext uri="{53640926-AAD7-44D8-BBD7-CCE9431645EC}">
                        <a14:shadowObscured xmlns:a14="http://schemas.microsoft.com/office/drawing/2010/main"/>
                      </a:ext>
                    </a:extLst>
                  </pic:spPr>
                </pic:pic>
              </a:graphicData>
            </a:graphic>
          </wp:inline>
        </w:drawing>
      </w:r>
    </w:p>
    <w:p w14:paraId="070B00AD" w14:textId="1BDACFAE" w:rsidR="00007F6C" w:rsidRDefault="00007F6C" w:rsidP="00007F6C">
      <w:pPr>
        <w:pStyle w:val="Caption"/>
      </w:pPr>
      <w:bookmarkStart w:id="619" w:name="_Ref69113784"/>
      <w:bookmarkStart w:id="620" w:name="_Toc69115081"/>
      <w:r>
        <w:t>Figure 6.</w:t>
      </w:r>
      <w:r w:rsidR="00B51F53">
        <w:fldChar w:fldCharType="begin"/>
      </w:r>
      <w:r w:rsidR="00B51F53">
        <w:instrText xml:space="preserve"> SEQ Figure \* ARABIC </w:instrText>
      </w:r>
      <w:r w:rsidR="00B51F53">
        <w:fldChar w:fldCharType="separate"/>
      </w:r>
      <w:r w:rsidR="0047113C">
        <w:rPr>
          <w:noProof/>
        </w:rPr>
        <w:t>30</w:t>
      </w:r>
      <w:r w:rsidR="00B51F53">
        <w:rPr>
          <w:noProof/>
        </w:rPr>
        <w:fldChar w:fldCharType="end"/>
      </w:r>
      <w:bookmarkEnd w:id="619"/>
      <w:r>
        <w:t xml:space="preserve">: Volume % of the pore phase through the base of Ni-YSZ sample. 0-100 denotes the XY ortho-slice files from the top to the base of the </w:t>
      </w:r>
      <w:proofErr w:type="gramStart"/>
      <w:r>
        <w:t>scan</w:t>
      </w:r>
      <w:bookmarkEnd w:id="620"/>
      <w:proofErr w:type="gramEnd"/>
    </w:p>
    <w:p w14:paraId="345DFC03" w14:textId="1499C29A" w:rsidR="00766D55" w:rsidRDefault="00766D55" w:rsidP="00766D55"/>
    <w:p w14:paraId="69CB5AAB" w14:textId="77777777" w:rsidR="00766D55" w:rsidRPr="00766D55" w:rsidRDefault="00766D55" w:rsidP="00766D55"/>
    <w:p w14:paraId="4C25A139" w14:textId="47A7E87C" w:rsidR="00007F6C" w:rsidRPr="00B77207" w:rsidRDefault="00C0550A" w:rsidP="00195CBF">
      <w:pPr>
        <w:pStyle w:val="Heading4"/>
      </w:pPr>
      <w:r>
        <w:lastRenderedPageBreak/>
        <w:t xml:space="preserve">6.3.4.2.4 </w:t>
      </w:r>
      <w:r w:rsidR="00007F6C">
        <w:t xml:space="preserve">Nitrogen dried </w:t>
      </w:r>
      <w:r w:rsidR="00007F6C" w:rsidRPr="00B77207">
        <w:t xml:space="preserve">Ni-YSZ </w:t>
      </w:r>
      <w:r w:rsidR="00007F6C">
        <w:t>4</w:t>
      </w:r>
      <w:r w:rsidR="00007F6C" w:rsidRPr="00B77207">
        <w:t xml:space="preserve"> h aged</w:t>
      </w:r>
    </w:p>
    <w:p w14:paraId="5AA6E045" w14:textId="77777777" w:rsidR="00007F6C" w:rsidRDefault="00007F6C" w:rsidP="00007F6C">
      <w:pPr>
        <w:jc w:val="both"/>
      </w:pPr>
      <w:r>
        <w:t>The sample was aged for another 2 h in the wet 10% H</w:t>
      </w:r>
      <w:r>
        <w:rPr>
          <w:vertAlign w:val="subscript"/>
        </w:rPr>
        <w:t>2</w:t>
      </w:r>
      <w:r>
        <w:t>/N</w:t>
      </w:r>
      <w:r>
        <w:rPr>
          <w:vertAlign w:val="subscript"/>
        </w:rPr>
        <w:t xml:space="preserve">2 </w:t>
      </w:r>
      <w:r>
        <w:t xml:space="preserve">atmosphere prior to a second ptychographic scan. The three phases were segmented using the threshold function in Avizo Lite (FEI) using the lower and upper GSVs in </w:t>
      </w:r>
      <w:r>
        <w:fldChar w:fldCharType="begin"/>
      </w:r>
      <w:r>
        <w:instrText xml:space="preserve"> REF _Ref51235319 \h </w:instrText>
      </w:r>
      <w:r>
        <w:fldChar w:fldCharType="separate"/>
      </w:r>
      <w:r>
        <w:t>Table 6.</w:t>
      </w:r>
      <w:r>
        <w:rPr>
          <w:noProof/>
        </w:rPr>
        <w:t>17</w:t>
      </w:r>
      <w:r>
        <w:fldChar w:fldCharType="end"/>
      </w:r>
      <w:r>
        <w:t xml:space="preserve">. The peak present in </w:t>
      </w:r>
      <w:r>
        <w:fldChar w:fldCharType="begin"/>
      </w:r>
      <w:r>
        <w:instrText xml:space="preserve"> REF _Ref47441873 \h  \* MERGEFORMAT </w:instrText>
      </w:r>
      <w:r>
        <w:fldChar w:fldCharType="separate"/>
      </w:r>
      <w:r>
        <w:t xml:space="preserve">Figure </w:t>
      </w:r>
      <w:r>
        <w:rPr>
          <w:noProof/>
        </w:rPr>
        <w:t>6.31</w:t>
      </w:r>
      <w:r>
        <w:fldChar w:fldCharType="end"/>
      </w:r>
      <w:r>
        <w:t xml:space="preserve"> has dropped from the 85</w:t>
      </w:r>
      <w:r w:rsidRPr="00DB1B20">
        <w:rPr>
          <w:vertAlign w:val="superscript"/>
        </w:rPr>
        <w:t>th</w:t>
      </w:r>
      <w:r>
        <w:t xml:space="preserve"> to 75</w:t>
      </w:r>
      <w:r w:rsidRPr="00DB1B20">
        <w:rPr>
          <w:vertAlign w:val="superscript"/>
        </w:rPr>
        <w:t>th</w:t>
      </w:r>
      <w:r>
        <w:t xml:space="preserve"> bin, showing that as discussed previously sintering has taken place. </w:t>
      </w:r>
    </w:p>
    <w:p w14:paraId="4EF6ABBB" w14:textId="77777777" w:rsidR="00007F6C" w:rsidRDefault="00007F6C" w:rsidP="00007F6C">
      <w:pPr>
        <w:keepNext/>
        <w:jc w:val="center"/>
      </w:pPr>
      <w:r w:rsidRPr="00942816">
        <w:rPr>
          <w:noProof/>
        </w:rPr>
        <w:drawing>
          <wp:inline distT="0" distB="0" distL="0" distR="0" wp14:anchorId="70742194" wp14:editId="405BC67F">
            <wp:extent cx="3960000" cy="3156845"/>
            <wp:effectExtent l="0" t="0" r="254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4">
                      <a:extLst>
                        <a:ext uri="{28A0092B-C50C-407E-A947-70E740481C1C}">
                          <a14:useLocalDpi xmlns:a14="http://schemas.microsoft.com/office/drawing/2010/main" val="0"/>
                        </a:ext>
                      </a:extLst>
                    </a:blip>
                    <a:srcRect l="4409" t="9037" r="13225" b="5723"/>
                    <a:stretch/>
                  </pic:blipFill>
                  <pic:spPr bwMode="auto">
                    <a:xfrm>
                      <a:off x="0" y="0"/>
                      <a:ext cx="3960000" cy="3156845"/>
                    </a:xfrm>
                    <a:prstGeom prst="rect">
                      <a:avLst/>
                    </a:prstGeom>
                    <a:noFill/>
                    <a:ln>
                      <a:noFill/>
                    </a:ln>
                    <a:extLst>
                      <a:ext uri="{53640926-AAD7-44D8-BBD7-CCE9431645EC}">
                        <a14:shadowObscured xmlns:a14="http://schemas.microsoft.com/office/drawing/2010/main"/>
                      </a:ext>
                    </a:extLst>
                  </pic:spPr>
                </pic:pic>
              </a:graphicData>
            </a:graphic>
          </wp:inline>
        </w:drawing>
      </w:r>
    </w:p>
    <w:p w14:paraId="6826F7A7" w14:textId="6D624BB7" w:rsidR="00007F6C" w:rsidRDefault="00007F6C" w:rsidP="00007F6C">
      <w:pPr>
        <w:pStyle w:val="Caption"/>
      </w:pPr>
      <w:bookmarkStart w:id="621" w:name="_Ref47441873"/>
      <w:bookmarkStart w:id="622" w:name="_Toc69115082"/>
      <w:r>
        <w:t>Figure 6.</w:t>
      </w:r>
      <w:r w:rsidR="00B51F53">
        <w:fldChar w:fldCharType="begin"/>
      </w:r>
      <w:r w:rsidR="00B51F53">
        <w:instrText xml:space="preserve"> SEQ Figure \* ARABIC </w:instrText>
      </w:r>
      <w:r w:rsidR="00B51F53">
        <w:fldChar w:fldCharType="separate"/>
      </w:r>
      <w:r w:rsidR="00766D55">
        <w:rPr>
          <w:noProof/>
        </w:rPr>
        <w:t>31</w:t>
      </w:r>
      <w:r w:rsidR="00B51F53">
        <w:rPr>
          <w:noProof/>
        </w:rPr>
        <w:fldChar w:fldCharType="end"/>
      </w:r>
      <w:bookmarkEnd w:id="621"/>
      <w:r>
        <w:t xml:space="preserve">: Histogram of the Grayscale values for the whole 4 h aged NI-YSZ sample ptychographic scan. The peak was found to be ambient air, the right-hand side was the highly attenuating ceramic phase and the left-hand side the nickel </w:t>
      </w:r>
      <w:proofErr w:type="gramStart"/>
      <w:r>
        <w:t>catalyst</w:t>
      </w:r>
      <w:bookmarkEnd w:id="622"/>
      <w:proofErr w:type="gramEnd"/>
    </w:p>
    <w:p w14:paraId="6E2378B8" w14:textId="77777777" w:rsidR="00007F6C" w:rsidRDefault="00007F6C" w:rsidP="00195CBF">
      <w:pPr>
        <w:pStyle w:val="Heading5"/>
      </w:pPr>
      <w:r>
        <w:t>Whole 4 h aged Ni-YSZ pillar</w:t>
      </w:r>
    </w:p>
    <w:p w14:paraId="61DB2234" w14:textId="77777777" w:rsidR="00007F6C" w:rsidRPr="00DF1214" w:rsidRDefault="00007F6C" w:rsidP="00007F6C">
      <w:pPr>
        <w:jc w:val="both"/>
      </w:pPr>
      <w:r>
        <w:t>Initially the entire scan volume was segmented using the same GSV values from the previous scan (</w:t>
      </w:r>
      <w:r>
        <w:fldChar w:fldCharType="begin"/>
      </w:r>
      <w:r>
        <w:instrText xml:space="preserve"> REF _Ref47514823 \h  \* MERGEFORMAT </w:instrText>
      </w:r>
      <w:r>
        <w:fldChar w:fldCharType="separate"/>
      </w:r>
      <w:r>
        <w:t xml:space="preserve">Table </w:t>
      </w:r>
      <w:r>
        <w:rPr>
          <w:noProof/>
        </w:rPr>
        <w:t>6.20</w:t>
      </w:r>
      <w:r>
        <w:fldChar w:fldCharType="end"/>
      </w:r>
      <w:r>
        <w:t xml:space="preserve"> and </w:t>
      </w:r>
      <w:r>
        <w:fldChar w:fldCharType="begin"/>
      </w:r>
      <w:r>
        <w:instrText xml:space="preserve"> REF _Ref47449801 \h </w:instrText>
      </w:r>
      <w:r>
        <w:fldChar w:fldCharType="separate"/>
      </w:r>
      <w:r>
        <w:t>Table 6.</w:t>
      </w:r>
      <w:r>
        <w:rPr>
          <w:noProof/>
        </w:rPr>
        <w:t>21</w:t>
      </w:r>
      <w:r>
        <w:fldChar w:fldCharType="end"/>
      </w:r>
      <w:r>
        <w:t>). 3D renderings of the whole scan file were generated using Avizo Lite (</w:t>
      </w:r>
      <w:r>
        <w:fldChar w:fldCharType="begin"/>
      </w:r>
      <w:r>
        <w:instrText xml:space="preserve"> REF _Ref47514697 \h  \* MERGEFORMAT </w:instrText>
      </w:r>
      <w:r>
        <w:fldChar w:fldCharType="separate"/>
      </w:r>
      <w:r>
        <w:t xml:space="preserve">Figure </w:t>
      </w:r>
      <w:r>
        <w:rPr>
          <w:noProof/>
        </w:rPr>
        <w:t>6.32</w:t>
      </w:r>
      <w:r>
        <w:fldChar w:fldCharType="end"/>
      </w:r>
      <w:r>
        <w:t xml:space="preserve">). In comparison to </w:t>
      </w:r>
      <w:r>
        <w:fldChar w:fldCharType="begin"/>
      </w:r>
      <w:r>
        <w:instrText xml:space="preserve"> REF _Ref47104864 \h  \* MERGEFORMAT </w:instrText>
      </w:r>
      <w:r>
        <w:fldChar w:fldCharType="separate"/>
      </w:r>
      <w:r>
        <w:t xml:space="preserve">Figure </w:t>
      </w:r>
      <w:r>
        <w:rPr>
          <w:noProof/>
        </w:rPr>
        <w:t>6.28</w:t>
      </w:r>
      <w:r>
        <w:fldChar w:fldCharType="end"/>
      </w:r>
      <w:r>
        <w:t xml:space="preserve">, the nickel phase appears to have migrated towards the AFL with a large amount of phase present in the bottom third of </w:t>
      </w:r>
      <w:r>
        <w:fldChar w:fldCharType="begin"/>
      </w:r>
      <w:r>
        <w:instrText xml:space="preserve"> REF _Ref47514697 \h  \* MERGEFORMAT </w:instrText>
      </w:r>
      <w:r>
        <w:fldChar w:fldCharType="separate"/>
      </w:r>
      <w:r>
        <w:t xml:space="preserve">Figure </w:t>
      </w:r>
      <w:r>
        <w:rPr>
          <w:noProof/>
        </w:rPr>
        <w:t>6.32</w:t>
      </w:r>
      <w:r>
        <w:fldChar w:fldCharType="end"/>
      </w:r>
      <w:r>
        <w:t xml:space="preserve">. </w:t>
      </w:r>
    </w:p>
    <w:p w14:paraId="2EBC0C5E" w14:textId="5EF3E53C" w:rsidR="00007F6C" w:rsidRDefault="00983982" w:rsidP="00007F6C">
      <w:pPr>
        <w:keepNext/>
        <w:jc w:val="center"/>
      </w:pPr>
      <w:r>
        <w:rPr>
          <w:noProof/>
        </w:rPr>
        <w:drawing>
          <wp:inline distT="0" distB="0" distL="0" distR="0" wp14:anchorId="4DAE0DCE" wp14:editId="361D1AD2">
            <wp:extent cx="5400000" cy="1967489"/>
            <wp:effectExtent l="0" t="0" r="0" b="0"/>
            <wp:docPr id="52" name="Picture 52"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map&#10;&#10;Description automatically generated"/>
                    <pic:cNvPicPr/>
                  </pic:nvPicPr>
                  <pic:blipFill>
                    <a:blip r:embed="rId205">
                      <a:extLst>
                        <a:ext uri="{28A0092B-C50C-407E-A947-70E740481C1C}">
                          <a14:useLocalDpi xmlns:a14="http://schemas.microsoft.com/office/drawing/2010/main" val="0"/>
                        </a:ext>
                      </a:extLst>
                    </a:blip>
                    <a:stretch>
                      <a:fillRect/>
                    </a:stretch>
                  </pic:blipFill>
                  <pic:spPr>
                    <a:xfrm>
                      <a:off x="0" y="0"/>
                      <a:ext cx="5400000" cy="1967489"/>
                    </a:xfrm>
                    <a:prstGeom prst="rect">
                      <a:avLst/>
                    </a:prstGeom>
                  </pic:spPr>
                </pic:pic>
              </a:graphicData>
            </a:graphic>
          </wp:inline>
        </w:drawing>
      </w:r>
    </w:p>
    <w:p w14:paraId="05BB770C" w14:textId="77777777" w:rsidR="00766D55" w:rsidRDefault="00007F6C" w:rsidP="00766D55">
      <w:pPr>
        <w:pStyle w:val="Caption"/>
        <w:spacing w:after="240"/>
      </w:pPr>
      <w:bookmarkStart w:id="623" w:name="_Ref47514697"/>
      <w:bookmarkStart w:id="624" w:name="_Toc69115083"/>
      <w:r>
        <w:t>Figure 6.</w:t>
      </w:r>
      <w:r w:rsidR="00B51F53">
        <w:fldChar w:fldCharType="begin"/>
      </w:r>
      <w:r w:rsidR="00B51F53">
        <w:instrText xml:space="preserve"> SEQ Figure \* ARABIC </w:instrText>
      </w:r>
      <w:r w:rsidR="00B51F53">
        <w:fldChar w:fldCharType="separate"/>
      </w:r>
      <w:r w:rsidR="00766D55">
        <w:rPr>
          <w:noProof/>
        </w:rPr>
        <w:t>32</w:t>
      </w:r>
      <w:r w:rsidR="00B51F53">
        <w:rPr>
          <w:noProof/>
        </w:rPr>
        <w:fldChar w:fldCharType="end"/>
      </w:r>
      <w:bookmarkEnd w:id="623"/>
      <w:r>
        <w:t xml:space="preserve">: 3D renderings of the whole 4 h aged Ni-YSZ fuel electrode. </w:t>
      </w:r>
      <w:r w:rsidR="00B721D6">
        <w:t>a.</w:t>
      </w:r>
      <w:r>
        <w:t xml:space="preserve"> </w:t>
      </w:r>
      <w:r w:rsidR="00B721D6">
        <w:t>Pillar was</w:t>
      </w:r>
      <w:r>
        <w:t xml:space="preserve"> the nickel and ceramic phases</w:t>
      </w:r>
      <w:r w:rsidR="00B721D6">
        <w:t>. b.</w:t>
      </w:r>
      <w:r>
        <w:t xml:space="preserve"> </w:t>
      </w:r>
      <w:r w:rsidR="00B721D6">
        <w:t xml:space="preserve">Pillar with </w:t>
      </w:r>
      <w:r>
        <w:t xml:space="preserve">the nickel, ceramic, and pore phases. The nickel, ceramic and air are red, white, and grey </w:t>
      </w:r>
      <w:proofErr w:type="gramStart"/>
      <w:r>
        <w:t>respectively</w:t>
      </w:r>
      <w:bookmarkEnd w:id="624"/>
      <w:proofErr w:type="gramEnd"/>
    </w:p>
    <w:p w14:paraId="6D13E4CC" w14:textId="56D2CF34" w:rsidR="00007F6C" w:rsidRPr="00766D55" w:rsidRDefault="00007F6C" w:rsidP="00766D55">
      <w:pPr>
        <w:pStyle w:val="Caption"/>
        <w:jc w:val="left"/>
        <w:rPr>
          <w:i w:val="0"/>
          <w:iCs w:val="0"/>
          <w:color w:val="auto"/>
          <w:sz w:val="22"/>
          <w:szCs w:val="22"/>
        </w:rPr>
      </w:pPr>
      <w:r w:rsidRPr="00766D55">
        <w:rPr>
          <w:i w:val="0"/>
          <w:iCs w:val="0"/>
          <w:color w:val="auto"/>
          <w:sz w:val="22"/>
          <w:szCs w:val="22"/>
        </w:rPr>
        <w:t xml:space="preserve">The volume percent of the nickel, YSZ and pore phases for the 4 h aged Ni-YSZ sample can be found in </w:t>
      </w:r>
      <w:r w:rsidRPr="00766D55">
        <w:rPr>
          <w:i w:val="0"/>
          <w:iCs w:val="0"/>
          <w:color w:val="auto"/>
          <w:sz w:val="22"/>
          <w:szCs w:val="22"/>
        </w:rPr>
        <w:fldChar w:fldCharType="begin"/>
      </w:r>
      <w:r w:rsidRPr="00766D55">
        <w:rPr>
          <w:i w:val="0"/>
          <w:iCs w:val="0"/>
          <w:color w:val="auto"/>
          <w:sz w:val="22"/>
          <w:szCs w:val="22"/>
        </w:rPr>
        <w:instrText xml:space="preserve"> REF _Ref47515357 \h  \* MERGEFORMAT </w:instrText>
      </w:r>
      <w:r w:rsidRPr="00766D55">
        <w:rPr>
          <w:i w:val="0"/>
          <w:iCs w:val="0"/>
          <w:color w:val="auto"/>
          <w:sz w:val="22"/>
          <w:szCs w:val="22"/>
        </w:rPr>
      </w:r>
      <w:r w:rsidRPr="00766D55">
        <w:rPr>
          <w:i w:val="0"/>
          <w:iCs w:val="0"/>
          <w:color w:val="auto"/>
          <w:sz w:val="22"/>
          <w:szCs w:val="22"/>
        </w:rPr>
        <w:fldChar w:fldCharType="separate"/>
      </w:r>
      <w:r w:rsidR="00766D55" w:rsidRPr="00766D55">
        <w:rPr>
          <w:i w:val="0"/>
          <w:iCs w:val="0"/>
          <w:color w:val="auto"/>
          <w:sz w:val="22"/>
          <w:szCs w:val="22"/>
        </w:rPr>
        <w:t xml:space="preserve">Table </w:t>
      </w:r>
      <w:r w:rsidR="00766D55" w:rsidRPr="00766D55">
        <w:rPr>
          <w:i w:val="0"/>
          <w:iCs w:val="0"/>
          <w:noProof/>
          <w:color w:val="auto"/>
          <w:sz w:val="22"/>
          <w:szCs w:val="22"/>
        </w:rPr>
        <w:t>6.8</w:t>
      </w:r>
      <w:r w:rsidRPr="00766D55">
        <w:rPr>
          <w:i w:val="0"/>
          <w:iCs w:val="0"/>
          <w:color w:val="auto"/>
          <w:sz w:val="22"/>
          <w:szCs w:val="22"/>
        </w:rPr>
        <w:fldChar w:fldCharType="end"/>
      </w:r>
      <w:r w:rsidRPr="00766D55">
        <w:rPr>
          <w:i w:val="0"/>
          <w:iCs w:val="0"/>
          <w:color w:val="auto"/>
          <w:sz w:val="22"/>
          <w:szCs w:val="22"/>
        </w:rPr>
        <w:t>.</w:t>
      </w:r>
    </w:p>
    <w:p w14:paraId="2F3D523B" w14:textId="77777777" w:rsidR="00007F6C" w:rsidRDefault="00007F6C" w:rsidP="00195CBF">
      <w:pPr>
        <w:pStyle w:val="Heading5"/>
      </w:pPr>
      <w:r>
        <w:lastRenderedPageBreak/>
        <w:t>Base of the 4 h aged Ni-YSZ pillar</w:t>
      </w:r>
    </w:p>
    <w:p w14:paraId="5E887F78" w14:textId="77777777" w:rsidR="00007F6C" w:rsidRPr="00731A6D" w:rsidRDefault="00007F6C" w:rsidP="00007F6C">
      <w:pPr>
        <w:jc w:val="both"/>
        <w:rPr>
          <w:color w:val="FF0000"/>
        </w:rPr>
      </w:pPr>
      <w:r>
        <w:t xml:space="preserve">To provide comparability with the 2 h aged scan and concurrently remove the impact of the atmospheric air, the base 3.3 </w:t>
      </w:r>
      <w:r>
        <w:rPr>
          <w:rFonts w:cstheme="minorHAnsi"/>
        </w:rPr>
        <w:t>µ</w:t>
      </w:r>
      <w:r>
        <w:t>m of the ptychographic scan was segmented as a separate sub-volume (</w:t>
      </w:r>
      <w:r>
        <w:fldChar w:fldCharType="begin"/>
      </w:r>
      <w:r>
        <w:instrText xml:space="preserve"> REF _Ref47624379 \h  \* MERGEFORMAT </w:instrText>
      </w:r>
      <w:r>
        <w:fldChar w:fldCharType="separate"/>
      </w:r>
      <w:r>
        <w:t xml:space="preserve">Figure </w:t>
      </w:r>
      <w:r>
        <w:rPr>
          <w:noProof/>
        </w:rPr>
        <w:t>6.33</w:t>
      </w:r>
      <w:r>
        <w:fldChar w:fldCharType="end"/>
      </w:r>
      <w:r>
        <w:t xml:space="preserve">). </w:t>
      </w:r>
    </w:p>
    <w:p w14:paraId="358EF6DC" w14:textId="597F091B" w:rsidR="00007F6C" w:rsidRDefault="00B721D6" w:rsidP="00007F6C">
      <w:pPr>
        <w:keepNext/>
        <w:jc w:val="center"/>
      </w:pPr>
      <w:r>
        <w:rPr>
          <w:noProof/>
        </w:rPr>
        <w:drawing>
          <wp:inline distT="0" distB="0" distL="0" distR="0" wp14:anchorId="798D27F2" wp14:editId="4E6B74B8">
            <wp:extent cx="4858933" cy="1432684"/>
            <wp:effectExtent l="0" t="0" r="0" b="0"/>
            <wp:docPr id="55" name="Picture 55"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screenshot of a video game&#10;&#10;Description automatically generated with medium confidence"/>
                    <pic:cNvPicPr/>
                  </pic:nvPicPr>
                  <pic:blipFill>
                    <a:blip r:embed="rId206">
                      <a:extLst>
                        <a:ext uri="{28A0092B-C50C-407E-A947-70E740481C1C}">
                          <a14:useLocalDpi xmlns:a14="http://schemas.microsoft.com/office/drawing/2010/main" val="0"/>
                        </a:ext>
                      </a:extLst>
                    </a:blip>
                    <a:stretch>
                      <a:fillRect/>
                    </a:stretch>
                  </pic:blipFill>
                  <pic:spPr>
                    <a:xfrm>
                      <a:off x="0" y="0"/>
                      <a:ext cx="4858933" cy="1432684"/>
                    </a:xfrm>
                    <a:prstGeom prst="rect">
                      <a:avLst/>
                    </a:prstGeom>
                  </pic:spPr>
                </pic:pic>
              </a:graphicData>
            </a:graphic>
          </wp:inline>
        </w:drawing>
      </w:r>
    </w:p>
    <w:p w14:paraId="48A12EB6" w14:textId="77C55A1A" w:rsidR="00007F6C" w:rsidRDefault="00007F6C" w:rsidP="00007F6C">
      <w:pPr>
        <w:pStyle w:val="Caption"/>
      </w:pPr>
      <w:bookmarkStart w:id="625" w:name="_Ref47624379"/>
      <w:bookmarkStart w:id="626" w:name="_Toc69115084"/>
      <w:r>
        <w:t>Figure 6.</w:t>
      </w:r>
      <w:r w:rsidR="00B51F53">
        <w:fldChar w:fldCharType="begin"/>
      </w:r>
      <w:r w:rsidR="00B51F53">
        <w:instrText xml:space="preserve"> SEQ Figure \* ARABIC </w:instrText>
      </w:r>
      <w:r w:rsidR="00B51F53">
        <w:fldChar w:fldCharType="separate"/>
      </w:r>
      <w:r w:rsidR="00766D55">
        <w:rPr>
          <w:noProof/>
        </w:rPr>
        <w:t>33</w:t>
      </w:r>
      <w:r w:rsidR="00B51F53">
        <w:rPr>
          <w:noProof/>
        </w:rPr>
        <w:fldChar w:fldCharType="end"/>
      </w:r>
      <w:bookmarkEnd w:id="625"/>
      <w:r>
        <w:t xml:space="preserve">: 3D rendering of the base of the 4 h aged Ni-YSZ fuel electrode. The nickel and ceramic phases are red, white </w:t>
      </w:r>
      <w:proofErr w:type="gramStart"/>
      <w:r>
        <w:t>respectively</w:t>
      </w:r>
      <w:bookmarkEnd w:id="626"/>
      <w:proofErr w:type="gramEnd"/>
    </w:p>
    <w:p w14:paraId="6A89DF52" w14:textId="77777777" w:rsidR="00007F6C" w:rsidRDefault="00007F6C" w:rsidP="00007F6C">
      <w:pPr>
        <w:jc w:val="both"/>
      </w:pPr>
      <w:r>
        <w:t xml:space="preserve">In comparison with its 2 h aged counterpart the 4 h aged sample had a 4.38% increase in the volume percent of the catalyst phase. The YSZ phase vol % was also very similar (+0.30%) for both the whole and base volumes for the 4 h aged samples. The scaffold volume percent results show great agreement with the 65 % calculated value for the electrode during production. This confirms that the showing that the GSVs used phase segmentation were correct. </w:t>
      </w:r>
    </w:p>
    <w:p w14:paraId="46493983" w14:textId="298C56AD" w:rsidR="00007F6C" w:rsidRDefault="00007F6C" w:rsidP="00766D55">
      <w:pPr>
        <w:pStyle w:val="Caption"/>
        <w:keepNext/>
        <w:spacing w:after="240"/>
      </w:pPr>
      <w:bookmarkStart w:id="627" w:name="_Ref47515357"/>
      <w:bookmarkStart w:id="628" w:name="_Ref47515347"/>
      <w:r>
        <w:t>Table 6.</w:t>
      </w:r>
      <w:r w:rsidR="00B51F53">
        <w:fldChar w:fldCharType="begin"/>
      </w:r>
      <w:r w:rsidR="00B51F53">
        <w:instrText xml:space="preserve"> SEQ Table \* ARABIC </w:instrText>
      </w:r>
      <w:r w:rsidR="00B51F53">
        <w:fldChar w:fldCharType="separate"/>
      </w:r>
      <w:r w:rsidR="00766D55">
        <w:rPr>
          <w:noProof/>
        </w:rPr>
        <w:t>8</w:t>
      </w:r>
      <w:r w:rsidR="00B51F53">
        <w:rPr>
          <w:noProof/>
        </w:rPr>
        <w:fldChar w:fldCharType="end"/>
      </w:r>
      <w:bookmarkEnd w:id="627"/>
      <w:r>
        <w:t xml:space="preserve">: Volume percent of the three phases present in the Ni-YSZ electrode </w:t>
      </w:r>
      <w:proofErr w:type="gramStart"/>
      <w:r>
        <w:t>sample</w:t>
      </w:r>
      <w:bookmarkEnd w:id="628"/>
      <w:proofErr w:type="gramEnd"/>
    </w:p>
    <w:tbl>
      <w:tblPr>
        <w:tblStyle w:val="TableGrid"/>
        <w:tblW w:w="0" w:type="auto"/>
        <w:jc w:val="center"/>
        <w:tblLook w:val="04A0" w:firstRow="1" w:lastRow="0" w:firstColumn="1" w:lastColumn="0" w:noHBand="0" w:noVBand="1"/>
      </w:tblPr>
      <w:tblGrid>
        <w:gridCol w:w="1751"/>
        <w:gridCol w:w="778"/>
        <w:gridCol w:w="875"/>
        <w:gridCol w:w="875"/>
      </w:tblGrid>
      <w:tr w:rsidR="00007F6C" w14:paraId="7D9AB7D7" w14:textId="77777777" w:rsidTr="005E2F1E">
        <w:trPr>
          <w:jc w:val="center"/>
        </w:trPr>
        <w:tc>
          <w:tcPr>
            <w:tcW w:w="0" w:type="auto"/>
            <w:vMerge w:val="restart"/>
          </w:tcPr>
          <w:p w14:paraId="02301F93" w14:textId="77777777" w:rsidR="00007F6C" w:rsidRPr="00DF1214" w:rsidRDefault="00007F6C" w:rsidP="005E2F1E">
            <w:pPr>
              <w:jc w:val="both"/>
              <w:rPr>
                <w:b/>
                <w:bCs/>
              </w:rPr>
            </w:pPr>
            <w:r w:rsidRPr="00DF1214">
              <w:rPr>
                <w:b/>
                <w:bCs/>
              </w:rPr>
              <w:t>Sample</w:t>
            </w:r>
          </w:p>
        </w:tc>
        <w:tc>
          <w:tcPr>
            <w:tcW w:w="0" w:type="auto"/>
            <w:gridSpan w:val="3"/>
          </w:tcPr>
          <w:p w14:paraId="0B37FABC" w14:textId="77777777" w:rsidR="00007F6C" w:rsidRPr="00032AA6" w:rsidRDefault="00007F6C" w:rsidP="005E2F1E">
            <w:pPr>
              <w:jc w:val="both"/>
              <w:rPr>
                <w:b/>
                <w:bCs/>
              </w:rPr>
            </w:pPr>
            <w:r>
              <w:rPr>
                <w:b/>
                <w:bCs/>
              </w:rPr>
              <w:t>Phase [Vol %]</w:t>
            </w:r>
          </w:p>
        </w:tc>
      </w:tr>
      <w:tr w:rsidR="00007F6C" w14:paraId="6A794A6B" w14:textId="77777777" w:rsidTr="005E2F1E">
        <w:trPr>
          <w:jc w:val="center"/>
        </w:trPr>
        <w:tc>
          <w:tcPr>
            <w:tcW w:w="0" w:type="auto"/>
            <w:vMerge/>
          </w:tcPr>
          <w:p w14:paraId="338BB71F" w14:textId="77777777" w:rsidR="00007F6C" w:rsidRPr="00DF1214" w:rsidRDefault="00007F6C" w:rsidP="005E2F1E">
            <w:pPr>
              <w:jc w:val="both"/>
              <w:rPr>
                <w:b/>
                <w:bCs/>
              </w:rPr>
            </w:pPr>
          </w:p>
        </w:tc>
        <w:tc>
          <w:tcPr>
            <w:tcW w:w="0" w:type="auto"/>
          </w:tcPr>
          <w:p w14:paraId="11FCECEB" w14:textId="77777777" w:rsidR="00007F6C" w:rsidRPr="00032AA6" w:rsidRDefault="00007F6C" w:rsidP="005E2F1E">
            <w:pPr>
              <w:jc w:val="both"/>
              <w:rPr>
                <w:b/>
                <w:bCs/>
              </w:rPr>
            </w:pPr>
            <w:r w:rsidRPr="00032AA6">
              <w:rPr>
                <w:b/>
                <w:bCs/>
              </w:rPr>
              <w:t>Nickel</w:t>
            </w:r>
          </w:p>
        </w:tc>
        <w:tc>
          <w:tcPr>
            <w:tcW w:w="0" w:type="auto"/>
          </w:tcPr>
          <w:p w14:paraId="2F199FE1" w14:textId="77777777" w:rsidR="00007F6C" w:rsidRPr="00032AA6" w:rsidRDefault="00007F6C" w:rsidP="005E2F1E">
            <w:pPr>
              <w:jc w:val="both"/>
              <w:rPr>
                <w:b/>
                <w:bCs/>
              </w:rPr>
            </w:pPr>
            <w:r w:rsidRPr="00032AA6">
              <w:rPr>
                <w:b/>
                <w:bCs/>
              </w:rPr>
              <w:t>YSZ</w:t>
            </w:r>
          </w:p>
        </w:tc>
        <w:tc>
          <w:tcPr>
            <w:tcW w:w="0" w:type="auto"/>
          </w:tcPr>
          <w:p w14:paraId="05175089" w14:textId="77777777" w:rsidR="00007F6C" w:rsidRPr="00032AA6" w:rsidRDefault="00007F6C" w:rsidP="005E2F1E">
            <w:pPr>
              <w:jc w:val="both"/>
              <w:rPr>
                <w:b/>
                <w:bCs/>
              </w:rPr>
            </w:pPr>
            <w:r w:rsidRPr="00032AA6">
              <w:rPr>
                <w:b/>
                <w:bCs/>
              </w:rPr>
              <w:t>Pore</w:t>
            </w:r>
          </w:p>
        </w:tc>
      </w:tr>
      <w:tr w:rsidR="00007F6C" w14:paraId="0A56025D" w14:textId="77777777" w:rsidTr="005E2F1E">
        <w:trPr>
          <w:jc w:val="center"/>
        </w:trPr>
        <w:tc>
          <w:tcPr>
            <w:tcW w:w="0" w:type="auto"/>
          </w:tcPr>
          <w:p w14:paraId="4A28E2FB" w14:textId="77777777" w:rsidR="00007F6C" w:rsidRDefault="00007F6C" w:rsidP="005E2F1E">
            <w:pPr>
              <w:jc w:val="both"/>
            </w:pPr>
            <w:r>
              <w:t>Ni-YSZ 4 h Whole</w:t>
            </w:r>
          </w:p>
        </w:tc>
        <w:tc>
          <w:tcPr>
            <w:tcW w:w="0" w:type="auto"/>
          </w:tcPr>
          <w:p w14:paraId="1D98978B" w14:textId="77777777" w:rsidR="00007F6C" w:rsidRDefault="00007F6C" w:rsidP="005E2F1E">
            <w:pPr>
              <w:jc w:val="both"/>
            </w:pPr>
            <w:r>
              <w:t>4.50%</w:t>
            </w:r>
          </w:p>
        </w:tc>
        <w:tc>
          <w:tcPr>
            <w:tcW w:w="0" w:type="auto"/>
          </w:tcPr>
          <w:p w14:paraId="01FA799B" w14:textId="77777777" w:rsidR="00007F6C" w:rsidRDefault="00007F6C" w:rsidP="005E2F1E">
            <w:pPr>
              <w:jc w:val="both"/>
            </w:pPr>
            <w:r>
              <w:t>59.20%</w:t>
            </w:r>
          </w:p>
        </w:tc>
        <w:tc>
          <w:tcPr>
            <w:tcW w:w="0" w:type="auto"/>
          </w:tcPr>
          <w:p w14:paraId="0117D514" w14:textId="77777777" w:rsidR="00007F6C" w:rsidRDefault="00007F6C" w:rsidP="005E2F1E">
            <w:pPr>
              <w:jc w:val="both"/>
            </w:pPr>
            <w:r>
              <w:t>36.30%</w:t>
            </w:r>
          </w:p>
        </w:tc>
      </w:tr>
      <w:tr w:rsidR="00007F6C" w14:paraId="3DFFA2CB" w14:textId="77777777" w:rsidTr="005E2F1E">
        <w:trPr>
          <w:trHeight w:val="309"/>
          <w:jc w:val="center"/>
        </w:trPr>
        <w:tc>
          <w:tcPr>
            <w:tcW w:w="0" w:type="auto"/>
          </w:tcPr>
          <w:p w14:paraId="20A566B3" w14:textId="77777777" w:rsidR="00007F6C" w:rsidRDefault="00007F6C" w:rsidP="005E2F1E">
            <w:pPr>
              <w:jc w:val="both"/>
            </w:pPr>
            <w:r>
              <w:t>Ni-YSZ 4 h Base</w:t>
            </w:r>
          </w:p>
        </w:tc>
        <w:tc>
          <w:tcPr>
            <w:tcW w:w="0" w:type="auto"/>
          </w:tcPr>
          <w:p w14:paraId="04619B3B" w14:textId="77777777" w:rsidR="00007F6C" w:rsidRDefault="00007F6C" w:rsidP="005E2F1E">
            <w:pPr>
              <w:jc w:val="both"/>
            </w:pPr>
            <w:r>
              <w:t>5.60%</w:t>
            </w:r>
          </w:p>
        </w:tc>
        <w:tc>
          <w:tcPr>
            <w:tcW w:w="0" w:type="auto"/>
          </w:tcPr>
          <w:p w14:paraId="2F8CE6F3" w14:textId="77777777" w:rsidR="00007F6C" w:rsidRDefault="00007F6C" w:rsidP="005E2F1E">
            <w:pPr>
              <w:jc w:val="both"/>
            </w:pPr>
            <w:r>
              <w:t>59.50%</w:t>
            </w:r>
          </w:p>
        </w:tc>
        <w:tc>
          <w:tcPr>
            <w:tcW w:w="0" w:type="auto"/>
          </w:tcPr>
          <w:p w14:paraId="4B84BAD0" w14:textId="77777777" w:rsidR="00007F6C" w:rsidRDefault="00007F6C" w:rsidP="005E2F1E">
            <w:pPr>
              <w:jc w:val="both"/>
            </w:pPr>
            <w:r>
              <w:t>34.90%</w:t>
            </w:r>
          </w:p>
        </w:tc>
      </w:tr>
    </w:tbl>
    <w:p w14:paraId="058751A0" w14:textId="77777777" w:rsidR="00766D55" w:rsidRDefault="00766D55" w:rsidP="00766D55"/>
    <w:p w14:paraId="1315086F" w14:textId="0891728C" w:rsidR="00007F6C" w:rsidRDefault="00C0550A" w:rsidP="00195CBF">
      <w:pPr>
        <w:pStyle w:val="Heading3"/>
      </w:pPr>
      <w:bookmarkStart w:id="629" w:name="_Toc69129456"/>
      <w:r>
        <w:t xml:space="preserve">6.3.4.3 </w:t>
      </w:r>
      <w:r w:rsidR="00007F6C">
        <w:t>Tracking identical regions of interest</w:t>
      </w:r>
      <w:bookmarkEnd w:id="629"/>
    </w:p>
    <w:p w14:paraId="28F15721" w14:textId="5367A6BB" w:rsidR="00007F6C" w:rsidRDefault="00007F6C" w:rsidP="00C0550A">
      <w:pPr>
        <w:jc w:val="both"/>
      </w:pPr>
      <w:r w:rsidRPr="00F45352">
        <w:t xml:space="preserve">One of the major advantages with tomographic and ptychographic imaging techniques is the fact that the same region of interest can be imaged between scans. In this study </w:t>
      </w:r>
      <w:r>
        <w:t xml:space="preserve">the same sub volume was imaged for at 2 h and 4 h </w:t>
      </w:r>
      <w:r w:rsidR="00CF4B41">
        <w:t>aged, infiltrated</w:t>
      </w:r>
      <w:r>
        <w:t xml:space="preserve"> Ni-YSZ samples. The number of voxels and consequently the volume of the three phases: Nickel, YSZ and pore were tracked between scans. The sub-volume in question measured 450 </w:t>
      </w:r>
      <w:r>
        <w:rPr>
          <w:rFonts w:cstheme="minorHAnsi"/>
        </w:rPr>
        <w:t>µ</w:t>
      </w:r>
      <w:r>
        <w:t>m</w:t>
      </w:r>
      <w:r>
        <w:rPr>
          <w:vertAlign w:val="superscript"/>
        </w:rPr>
        <w:t>3</w:t>
      </w:r>
      <w:r>
        <w:t>.</w:t>
      </w:r>
    </w:p>
    <w:p w14:paraId="4DA8476F" w14:textId="77777777" w:rsidR="00007F6C" w:rsidRDefault="00007F6C" w:rsidP="00C0550A">
      <w:pPr>
        <w:jc w:val="both"/>
      </w:pPr>
      <w:r>
        <w:t>Due to the fine Ni-YSZ pillar samples being remounted separately during the heating regime, the chance for an offset impacting the sample alignment was high. However, during this work the region of interest could be lined up due to the fact the same sample was being imaged during the MG</w:t>
      </w:r>
      <w:r w:rsidRPr="00902DFA">
        <w:rPr>
          <w:rFonts w:cstheme="minorHAnsi"/>
          <w:color w:val="000000"/>
        </w:rPr>
        <w:t xml:space="preserve">24277-1 </w:t>
      </w:r>
      <w:r>
        <w:rPr>
          <w:rFonts w:cstheme="minorHAnsi"/>
          <w:color w:val="000000"/>
        </w:rPr>
        <w:t>experiment.</w:t>
      </w:r>
      <w:r>
        <w:t xml:space="preserve"> To reduce computational cost the pore structures, present in the ortho-slices of the sample were analysed using FIJI, prior to reconstruction in Avizo Lite (FEI).   </w:t>
      </w:r>
    </w:p>
    <w:p w14:paraId="4BC93AE0" w14:textId="09D5A5B4" w:rsidR="00007F6C" w:rsidRPr="00B17816" w:rsidRDefault="00007F6C" w:rsidP="00C0550A">
      <w:pPr>
        <w:jc w:val="both"/>
      </w:pPr>
      <w:r>
        <w:t xml:space="preserve">A 7. 5 x 7.5 x 8 </w:t>
      </w:r>
      <w:r>
        <w:rPr>
          <w:rFonts w:cstheme="minorHAnsi"/>
        </w:rPr>
        <w:t>µ</w:t>
      </w:r>
      <w:r>
        <w:t>m sub-volume was selected and aligned using the pore structure present in both ptychographic scans (</w:t>
      </w:r>
      <w:r>
        <w:fldChar w:fldCharType="begin"/>
      </w:r>
      <w:r>
        <w:instrText xml:space="preserve"> REF _Ref47511915 \h  \* MERGEFORMAT </w:instrText>
      </w:r>
      <w:r>
        <w:fldChar w:fldCharType="separate"/>
      </w:r>
      <w:r>
        <w:t xml:space="preserve">Figure </w:t>
      </w:r>
      <w:r>
        <w:rPr>
          <w:noProof/>
        </w:rPr>
        <w:t>6.34</w:t>
      </w:r>
      <w:r>
        <w:fldChar w:fldCharType="end"/>
      </w:r>
      <w:r w:rsidR="00766D55">
        <w:t xml:space="preserve"> and </w:t>
      </w:r>
      <w:r w:rsidR="00766D55">
        <w:fldChar w:fldCharType="begin"/>
      </w:r>
      <w:r w:rsidR="00766D55">
        <w:instrText xml:space="preserve"> REF _Ref69113957 \h </w:instrText>
      </w:r>
      <w:r w:rsidR="00766D55">
        <w:fldChar w:fldCharType="separate"/>
      </w:r>
      <w:r w:rsidR="00766D55">
        <w:t>Figure 6.</w:t>
      </w:r>
      <w:r w:rsidR="00766D55">
        <w:rPr>
          <w:noProof/>
        </w:rPr>
        <w:t>35</w:t>
      </w:r>
      <w:r w:rsidR="00766D55">
        <w:fldChar w:fldCharType="end"/>
      </w:r>
      <w:r>
        <w:t>).</w:t>
      </w:r>
      <w:r w:rsidRPr="00DB7434">
        <w:rPr>
          <w:rFonts w:cstheme="minorHAnsi"/>
        </w:rPr>
        <w:t xml:space="preserve"> </w:t>
      </w:r>
      <w:r w:rsidR="00766D55">
        <w:rPr>
          <w:rFonts w:cstheme="minorHAnsi"/>
          <w:color w:val="000000"/>
        </w:rPr>
        <w:t>One eighth</w:t>
      </w:r>
      <w:r w:rsidRPr="00DB7434">
        <w:rPr>
          <w:rFonts w:cstheme="minorHAnsi"/>
          <w:color w:val="000000"/>
        </w:rPr>
        <w:t xml:space="preserve"> of the sample was selected as a sub</w:t>
      </w:r>
      <w:r>
        <w:rPr>
          <w:rFonts w:cstheme="minorHAnsi"/>
          <w:color w:val="000000"/>
        </w:rPr>
        <w:t xml:space="preserve"> </w:t>
      </w:r>
      <w:r w:rsidRPr="00DB7434">
        <w:rPr>
          <w:rFonts w:cstheme="minorHAnsi"/>
          <w:color w:val="000000"/>
        </w:rPr>
        <w:t>volume for phase segmentation, thus balancing both computation power and making sure there was as much YSZ as possible in the volume</w:t>
      </w:r>
      <w:r>
        <w:rPr>
          <w:rFonts w:ascii="Arial" w:hAnsi="Arial" w:cs="Arial"/>
          <w:color w:val="000000"/>
        </w:rPr>
        <w:t xml:space="preserve">. </w:t>
      </w:r>
      <w:r>
        <w:t>The position of the region of interest also contained some of the milled edge of the electrode to see and a characteristic line of pores for clearer identification.</w:t>
      </w:r>
    </w:p>
    <w:p w14:paraId="01E47D25" w14:textId="77777777" w:rsidR="00007F6C" w:rsidRDefault="00007F6C" w:rsidP="00C0550A">
      <w:pPr>
        <w:pStyle w:val="NormalWeb"/>
        <w:keepNext/>
        <w:spacing w:before="0" w:beforeAutospacing="0" w:after="0" w:afterAutospacing="0"/>
        <w:jc w:val="center"/>
      </w:pPr>
      <w:r>
        <w:rPr>
          <w:noProof/>
        </w:rPr>
        <w:lastRenderedPageBreak/>
        <w:drawing>
          <wp:inline distT="0" distB="0" distL="0" distR="0" wp14:anchorId="689E55BD" wp14:editId="1D4C1704">
            <wp:extent cx="3600000" cy="1932578"/>
            <wp:effectExtent l="0" t="0" r="635" b="0"/>
            <wp:docPr id="420" name="Picture 420" descr="A picture containing looking, close, sitting,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looking, close, sitting, different&#10;&#10;Description automatically generated"/>
                    <pic:cNvPicPr/>
                  </pic:nvPicPr>
                  <pic:blipFill>
                    <a:blip r:embed="rId207">
                      <a:extLst>
                        <a:ext uri="{28A0092B-C50C-407E-A947-70E740481C1C}">
                          <a14:useLocalDpi xmlns:a14="http://schemas.microsoft.com/office/drawing/2010/main" val="0"/>
                        </a:ext>
                      </a:extLst>
                    </a:blip>
                    <a:stretch>
                      <a:fillRect/>
                    </a:stretch>
                  </pic:blipFill>
                  <pic:spPr>
                    <a:xfrm>
                      <a:off x="0" y="0"/>
                      <a:ext cx="3600000" cy="1932578"/>
                    </a:xfrm>
                    <a:prstGeom prst="rect">
                      <a:avLst/>
                    </a:prstGeom>
                  </pic:spPr>
                </pic:pic>
              </a:graphicData>
            </a:graphic>
          </wp:inline>
        </w:drawing>
      </w:r>
    </w:p>
    <w:p w14:paraId="35A198C8" w14:textId="309804A0" w:rsidR="00007F6C" w:rsidRDefault="00007F6C" w:rsidP="00C0550A">
      <w:pPr>
        <w:pStyle w:val="Caption"/>
        <w:rPr>
          <w:rFonts w:cstheme="minorHAnsi"/>
        </w:rPr>
      </w:pPr>
      <w:bookmarkStart w:id="630" w:name="_Ref47511915"/>
      <w:bookmarkStart w:id="631" w:name="_Toc69115085"/>
      <w:r>
        <w:t>Figure 6.</w:t>
      </w:r>
      <w:r w:rsidR="00B51F53">
        <w:fldChar w:fldCharType="begin"/>
      </w:r>
      <w:r w:rsidR="00B51F53">
        <w:instrText xml:space="preserve"> SEQ Figure \* ARABIC </w:instrText>
      </w:r>
      <w:r w:rsidR="00B51F53">
        <w:fldChar w:fldCharType="separate"/>
      </w:r>
      <w:r w:rsidR="00766D55">
        <w:rPr>
          <w:noProof/>
        </w:rPr>
        <w:t>34</w:t>
      </w:r>
      <w:r w:rsidR="00B51F53">
        <w:rPr>
          <w:noProof/>
        </w:rPr>
        <w:fldChar w:fldCharType="end"/>
      </w:r>
      <w:bookmarkEnd w:id="630"/>
      <w:r>
        <w:t>: Images of the 150</w:t>
      </w:r>
      <w:r w:rsidRPr="00985636">
        <w:rPr>
          <w:vertAlign w:val="superscript"/>
        </w:rPr>
        <w:t>th</w:t>
      </w:r>
      <w:r>
        <w:t xml:space="preserve"> and 250</w:t>
      </w:r>
      <w:r w:rsidRPr="005947A6">
        <w:rPr>
          <w:vertAlign w:val="superscript"/>
        </w:rPr>
        <w:t>th</w:t>
      </w:r>
      <w:r>
        <w:t xml:space="preserve"> ortho-slice </w:t>
      </w:r>
      <w:r w:rsidRPr="00985636">
        <w:t xml:space="preserve">between the 2 h and 4 h aged samples. </w:t>
      </w:r>
      <w:r>
        <w:rPr>
          <w:rFonts w:cstheme="minorHAnsi"/>
        </w:rPr>
        <w:t>An</w:t>
      </w:r>
      <w:r w:rsidRPr="00985636">
        <w:rPr>
          <w:rFonts w:cstheme="minorHAnsi"/>
        </w:rPr>
        <w:t xml:space="preserve"> identical pore structure is shown in the yellow boxes</w:t>
      </w:r>
      <w:r>
        <w:rPr>
          <w:rFonts w:cstheme="minorHAnsi"/>
        </w:rPr>
        <w:t xml:space="preserve"> of the tomograms of the </w:t>
      </w:r>
      <w:proofErr w:type="gramStart"/>
      <w:r>
        <w:rPr>
          <w:rFonts w:cstheme="minorHAnsi"/>
        </w:rPr>
        <w:t>samples</w:t>
      </w:r>
      <w:bookmarkEnd w:id="631"/>
      <w:proofErr w:type="gramEnd"/>
    </w:p>
    <w:p w14:paraId="136F0E2C" w14:textId="44BF204F" w:rsidR="00007F6C" w:rsidRDefault="004E2199" w:rsidP="00C0550A">
      <w:pPr>
        <w:pStyle w:val="NormalWeb"/>
        <w:keepNext/>
        <w:spacing w:before="0" w:beforeAutospacing="0" w:after="0" w:afterAutospacing="0"/>
        <w:jc w:val="center"/>
      </w:pPr>
      <w:r>
        <w:rPr>
          <w:noProof/>
        </w:rPr>
        <w:drawing>
          <wp:inline distT="0" distB="0" distL="0" distR="0" wp14:anchorId="73474B97" wp14:editId="3D73C90C">
            <wp:extent cx="3600000" cy="3259458"/>
            <wp:effectExtent l="0" t="0" r="635" b="0"/>
            <wp:docPr id="56" name="Picture 5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graphical user interface&#10;&#10;Description automatically generated"/>
                    <pic:cNvPicPr/>
                  </pic:nvPicPr>
                  <pic:blipFill>
                    <a:blip r:embed="rId208">
                      <a:extLst>
                        <a:ext uri="{28A0092B-C50C-407E-A947-70E740481C1C}">
                          <a14:useLocalDpi xmlns:a14="http://schemas.microsoft.com/office/drawing/2010/main" val="0"/>
                        </a:ext>
                      </a:extLst>
                    </a:blip>
                    <a:stretch>
                      <a:fillRect/>
                    </a:stretch>
                  </pic:blipFill>
                  <pic:spPr>
                    <a:xfrm>
                      <a:off x="0" y="0"/>
                      <a:ext cx="3600000" cy="3259458"/>
                    </a:xfrm>
                    <a:prstGeom prst="rect">
                      <a:avLst/>
                    </a:prstGeom>
                  </pic:spPr>
                </pic:pic>
              </a:graphicData>
            </a:graphic>
          </wp:inline>
        </w:drawing>
      </w:r>
    </w:p>
    <w:p w14:paraId="267F6C7A" w14:textId="096C2439" w:rsidR="00007F6C" w:rsidRDefault="00007F6C" w:rsidP="00C0550A">
      <w:pPr>
        <w:pStyle w:val="Caption"/>
        <w:spacing w:before="240" w:after="240"/>
      </w:pPr>
      <w:bookmarkStart w:id="632" w:name="_Ref69113957"/>
      <w:bookmarkStart w:id="633" w:name="_Toc69115086"/>
      <w:r>
        <w:t>Figure 6.</w:t>
      </w:r>
      <w:r w:rsidR="00B51F53">
        <w:fldChar w:fldCharType="begin"/>
      </w:r>
      <w:r w:rsidR="00B51F53">
        <w:instrText xml:space="preserve"> SEQ Figure \* ARABIC </w:instrText>
      </w:r>
      <w:r w:rsidR="00B51F53">
        <w:fldChar w:fldCharType="separate"/>
      </w:r>
      <w:r w:rsidR="00766D55">
        <w:rPr>
          <w:noProof/>
        </w:rPr>
        <w:t>35</w:t>
      </w:r>
      <w:r w:rsidR="00B51F53">
        <w:rPr>
          <w:noProof/>
        </w:rPr>
        <w:fldChar w:fldCharType="end"/>
      </w:r>
      <w:bookmarkEnd w:id="632"/>
      <w:r>
        <w:t xml:space="preserve">: Selection of the 3D region of interest in Avizo Lite using the ortho-slice files for the 4 h </w:t>
      </w:r>
      <w:r w:rsidR="004E2199">
        <w:t>aged, infiltrated</w:t>
      </w:r>
      <w:r>
        <w:t xml:space="preserve"> Ni-YSZ sample</w:t>
      </w:r>
      <w:bookmarkEnd w:id="633"/>
    </w:p>
    <w:p w14:paraId="01714A88" w14:textId="77777777" w:rsidR="00007F6C" w:rsidRDefault="00007F6C" w:rsidP="00C0550A">
      <w:pPr>
        <w:jc w:val="both"/>
      </w:pPr>
      <w:r>
        <w:t xml:space="preserve">Despite the repeated reattachment of the samples after heating, an identical pore structure pore structure can be clearly identified in </w:t>
      </w:r>
      <w:r>
        <w:fldChar w:fldCharType="begin"/>
      </w:r>
      <w:r>
        <w:instrText xml:space="preserve"> REF _Ref47511915 \h  \* MERGEFORMAT </w:instrText>
      </w:r>
      <w:r>
        <w:fldChar w:fldCharType="separate"/>
      </w:r>
      <w:r>
        <w:t xml:space="preserve">Figure </w:t>
      </w:r>
      <w:r>
        <w:rPr>
          <w:noProof/>
        </w:rPr>
        <w:t>6.34</w:t>
      </w:r>
      <w:r>
        <w:fldChar w:fldCharType="end"/>
      </w:r>
      <w:r>
        <w:t xml:space="preserve"> (Yellow box). Additionally, the ortho-slices files selected were the middle of the entire scan file. The sub volumes for both scans were generated in Avizo Lite. This sub volume was also selected due to its lack of proximity to the outside of the sample where beam damage or ambient effect could impact the phase segmentation of the fuel electrode materials. 3D projections of both scans of the Ni-YSZ pillar sample can be found in </w:t>
      </w:r>
      <w:r>
        <w:fldChar w:fldCharType="begin"/>
      </w:r>
      <w:r>
        <w:instrText xml:space="preserve"> REF _Ref47626964 \h  \* MERGEFORMAT </w:instrText>
      </w:r>
      <w:r>
        <w:fldChar w:fldCharType="separate"/>
      </w:r>
      <w:r>
        <w:t xml:space="preserve">Figure </w:t>
      </w:r>
      <w:r>
        <w:rPr>
          <w:noProof/>
        </w:rPr>
        <w:t>6.36</w:t>
      </w:r>
      <w:r>
        <w:fldChar w:fldCharType="end"/>
      </w:r>
      <w:r>
        <w:t xml:space="preserve"> and </w:t>
      </w:r>
      <w:r>
        <w:fldChar w:fldCharType="begin"/>
      </w:r>
      <w:r>
        <w:instrText xml:space="preserve"> REF _Ref47626966 \h  \* MERGEFORMAT </w:instrText>
      </w:r>
      <w:r>
        <w:fldChar w:fldCharType="separate"/>
      </w:r>
      <w:r>
        <w:t xml:space="preserve">Figure </w:t>
      </w:r>
      <w:r>
        <w:rPr>
          <w:noProof/>
        </w:rPr>
        <w:t>6.37</w:t>
      </w:r>
      <w:r>
        <w:fldChar w:fldCharType="end"/>
      </w:r>
      <w:r>
        <w:t>.</w:t>
      </w:r>
    </w:p>
    <w:p w14:paraId="7244FE72" w14:textId="30FCD960" w:rsidR="00007F6C" w:rsidRDefault="008B0F96" w:rsidP="00C0550A">
      <w:pPr>
        <w:keepNext/>
        <w:jc w:val="center"/>
      </w:pPr>
      <w:r>
        <w:rPr>
          <w:noProof/>
        </w:rPr>
        <w:lastRenderedPageBreak/>
        <w:drawing>
          <wp:inline distT="0" distB="0" distL="0" distR="0" wp14:anchorId="6F2C01D4" wp14:editId="6395EB2E">
            <wp:extent cx="3960000" cy="2747983"/>
            <wp:effectExtent l="0" t="0" r="2540" b="0"/>
            <wp:docPr id="57" name="Picture 57" descr="A picture containing tex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text, different&#10;&#10;Description automatically generated"/>
                    <pic:cNvPicPr/>
                  </pic:nvPicPr>
                  <pic:blipFill>
                    <a:blip r:embed="rId209">
                      <a:extLst>
                        <a:ext uri="{28A0092B-C50C-407E-A947-70E740481C1C}">
                          <a14:useLocalDpi xmlns:a14="http://schemas.microsoft.com/office/drawing/2010/main" val="0"/>
                        </a:ext>
                      </a:extLst>
                    </a:blip>
                    <a:stretch>
                      <a:fillRect/>
                    </a:stretch>
                  </pic:blipFill>
                  <pic:spPr>
                    <a:xfrm>
                      <a:off x="0" y="0"/>
                      <a:ext cx="3960000" cy="2747983"/>
                    </a:xfrm>
                    <a:prstGeom prst="rect">
                      <a:avLst/>
                    </a:prstGeom>
                  </pic:spPr>
                </pic:pic>
              </a:graphicData>
            </a:graphic>
          </wp:inline>
        </w:drawing>
      </w:r>
    </w:p>
    <w:p w14:paraId="5BE260B6" w14:textId="46526F3D" w:rsidR="00007F6C" w:rsidRDefault="00007F6C" w:rsidP="00C0550A">
      <w:pPr>
        <w:pStyle w:val="Caption"/>
      </w:pPr>
      <w:bookmarkStart w:id="634" w:name="_Ref47626964"/>
      <w:bookmarkStart w:id="635" w:name="_Ref47626939"/>
      <w:bookmarkStart w:id="636" w:name="_Toc69115087"/>
      <w:r>
        <w:t>Figure 6.</w:t>
      </w:r>
      <w:r w:rsidR="00B51F53">
        <w:fldChar w:fldCharType="begin"/>
      </w:r>
      <w:r w:rsidR="00B51F53">
        <w:instrText xml:space="preserve"> SEQ Figure \* ARABIC </w:instrText>
      </w:r>
      <w:r w:rsidR="00B51F53">
        <w:fldChar w:fldCharType="separate"/>
      </w:r>
      <w:r w:rsidR="00766D55">
        <w:rPr>
          <w:noProof/>
        </w:rPr>
        <w:t>36</w:t>
      </w:r>
      <w:r w:rsidR="00B51F53">
        <w:rPr>
          <w:noProof/>
        </w:rPr>
        <w:fldChar w:fldCharType="end"/>
      </w:r>
      <w:bookmarkEnd w:id="634"/>
      <w:r>
        <w:t>: 3D renderings of the ROI sub volume of the 2 h aged Ni-YSZ fuel electrode using Avizo Lite. The nickel, ceramic and pore phases are red, white, and grey, respectively. The Ni and YSZ phase are rendered in a. and the three phases in b.</w:t>
      </w:r>
      <w:bookmarkEnd w:id="635"/>
      <w:bookmarkEnd w:id="636"/>
    </w:p>
    <w:p w14:paraId="16A510E5" w14:textId="718B581F" w:rsidR="00007F6C" w:rsidRDefault="008B0F96" w:rsidP="00C0550A">
      <w:pPr>
        <w:keepNext/>
        <w:jc w:val="center"/>
      </w:pPr>
      <w:r>
        <w:rPr>
          <w:noProof/>
        </w:rPr>
        <w:drawing>
          <wp:inline distT="0" distB="0" distL="0" distR="0" wp14:anchorId="09C0869D" wp14:editId="1517FF10">
            <wp:extent cx="3960000" cy="2684746"/>
            <wp:effectExtent l="0" t="0" r="2540" b="1905"/>
            <wp:docPr id="64" name="Picture 64" descr="A screenshot of a video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screenshot of a video game&#10;&#10;Description automatically generated with low confidence"/>
                    <pic:cNvPicPr/>
                  </pic:nvPicPr>
                  <pic:blipFill>
                    <a:blip r:embed="rId210">
                      <a:extLst>
                        <a:ext uri="{28A0092B-C50C-407E-A947-70E740481C1C}">
                          <a14:useLocalDpi xmlns:a14="http://schemas.microsoft.com/office/drawing/2010/main" val="0"/>
                        </a:ext>
                      </a:extLst>
                    </a:blip>
                    <a:stretch>
                      <a:fillRect/>
                    </a:stretch>
                  </pic:blipFill>
                  <pic:spPr>
                    <a:xfrm>
                      <a:off x="0" y="0"/>
                      <a:ext cx="3960000" cy="2684746"/>
                    </a:xfrm>
                    <a:prstGeom prst="rect">
                      <a:avLst/>
                    </a:prstGeom>
                  </pic:spPr>
                </pic:pic>
              </a:graphicData>
            </a:graphic>
          </wp:inline>
        </w:drawing>
      </w:r>
    </w:p>
    <w:p w14:paraId="5585CE72" w14:textId="6A5328F3" w:rsidR="00007F6C" w:rsidRPr="00367A52" w:rsidRDefault="00007F6C" w:rsidP="00C0550A">
      <w:pPr>
        <w:pStyle w:val="Caption"/>
        <w:spacing w:after="240"/>
      </w:pPr>
      <w:bookmarkStart w:id="637" w:name="_Ref47626966"/>
      <w:bookmarkStart w:id="638" w:name="_Ref47626940"/>
      <w:bookmarkStart w:id="639" w:name="_Toc69115088"/>
      <w:r>
        <w:t>Figure 6.</w:t>
      </w:r>
      <w:r w:rsidR="00B51F53">
        <w:fldChar w:fldCharType="begin"/>
      </w:r>
      <w:r w:rsidR="00B51F53">
        <w:instrText xml:space="preserve"> SEQ Figure \* ARABIC </w:instrText>
      </w:r>
      <w:r w:rsidR="00B51F53">
        <w:fldChar w:fldCharType="separate"/>
      </w:r>
      <w:r w:rsidR="00766D55">
        <w:rPr>
          <w:noProof/>
        </w:rPr>
        <w:t>37</w:t>
      </w:r>
      <w:r w:rsidR="00B51F53">
        <w:rPr>
          <w:noProof/>
        </w:rPr>
        <w:fldChar w:fldCharType="end"/>
      </w:r>
      <w:bookmarkEnd w:id="637"/>
      <w:r>
        <w:t>: 3D renderings of the ROI sub volume of the 4 h aged Ni-YSZ fuel electrode using Avizo Lite. The nickel, ceramic and pore phases are red, white, and grey, respectively. The Ni and YSZ phase are rendered in a. and the three phases in b.</w:t>
      </w:r>
      <w:bookmarkEnd w:id="638"/>
      <w:bookmarkEnd w:id="639"/>
    </w:p>
    <w:p w14:paraId="094DE088" w14:textId="29E8D0FE" w:rsidR="00007F6C" w:rsidRDefault="00007F6C" w:rsidP="00C0550A">
      <w:pPr>
        <w:jc w:val="both"/>
      </w:pPr>
      <w:r>
        <w:t>The volume percent of the catalyst phase rose by 7.77 % during between the 2-4 h of ageing (</w:t>
      </w:r>
      <w:r>
        <w:fldChar w:fldCharType="begin"/>
      </w:r>
      <w:r>
        <w:instrText xml:space="preserve"> REF _Ref47514482 \h  \* MERGEFORMAT </w:instrText>
      </w:r>
      <w:r>
        <w:fldChar w:fldCharType="separate"/>
      </w:r>
      <w:r>
        <w:t xml:space="preserve">Table </w:t>
      </w:r>
      <w:r>
        <w:rPr>
          <w:noProof/>
        </w:rPr>
        <w:t>6.23</w:t>
      </w:r>
      <w:r>
        <w:fldChar w:fldCharType="end"/>
      </w:r>
      <w:r>
        <w:t xml:space="preserve">). As the same sub volume was segmented and the sample had no additional nickel added between scans, thus this rise is solely due to sintering. Both samples had YSZ vol % </w:t>
      </w:r>
      <w:r>
        <w:rPr>
          <w:rFonts w:cstheme="minorHAnsi"/>
        </w:rPr>
        <w:t>±</w:t>
      </w:r>
      <w:r w:rsidR="00CF4B41">
        <w:rPr>
          <w:rFonts w:cstheme="minorHAnsi"/>
        </w:rPr>
        <w:t xml:space="preserve"> </w:t>
      </w:r>
      <w:r>
        <w:t xml:space="preserve">3% of the 65% calculated density of the electrode during manufacture. Individual nickel particles cannot be determined clearly from the </w:t>
      </w:r>
      <w:r w:rsidR="00CF4B41">
        <w:t>renderings.</w:t>
      </w:r>
    </w:p>
    <w:p w14:paraId="0BAB7137" w14:textId="146C4AE7" w:rsidR="00007F6C" w:rsidRDefault="00007F6C" w:rsidP="00C0550A">
      <w:pPr>
        <w:pStyle w:val="Caption"/>
        <w:keepNext/>
        <w:spacing w:after="240"/>
      </w:pPr>
      <w:bookmarkStart w:id="640" w:name="_Ref47514482"/>
      <w:bookmarkStart w:id="641" w:name="_Ref47515336"/>
      <w:r>
        <w:t>Table 6.</w:t>
      </w:r>
      <w:r w:rsidR="00B51F53">
        <w:fldChar w:fldCharType="begin"/>
      </w:r>
      <w:r w:rsidR="00B51F53">
        <w:instrText xml:space="preserve"> SEQ Table \* ARABIC </w:instrText>
      </w:r>
      <w:r w:rsidR="00B51F53">
        <w:fldChar w:fldCharType="separate"/>
      </w:r>
      <w:r w:rsidR="0022061C">
        <w:rPr>
          <w:noProof/>
        </w:rPr>
        <w:t>23</w:t>
      </w:r>
      <w:r w:rsidR="00B51F53">
        <w:rPr>
          <w:noProof/>
        </w:rPr>
        <w:fldChar w:fldCharType="end"/>
      </w:r>
      <w:bookmarkEnd w:id="640"/>
      <w:r>
        <w:t xml:space="preserve">: Volume percent of the three phases present in the region of interest for the Ni-YSZ electrode sample aged at 2 and 4 </w:t>
      </w:r>
      <w:proofErr w:type="gramStart"/>
      <w:r>
        <w:t>hours</w:t>
      </w:r>
      <w:bookmarkEnd w:id="641"/>
      <w:proofErr w:type="gramEnd"/>
    </w:p>
    <w:tbl>
      <w:tblPr>
        <w:tblStyle w:val="TableGrid"/>
        <w:tblW w:w="0" w:type="auto"/>
        <w:jc w:val="center"/>
        <w:tblLook w:val="04A0" w:firstRow="1" w:lastRow="0" w:firstColumn="1" w:lastColumn="0" w:noHBand="0" w:noVBand="1"/>
      </w:tblPr>
      <w:tblGrid>
        <w:gridCol w:w="1360"/>
        <w:gridCol w:w="875"/>
        <w:gridCol w:w="875"/>
        <w:gridCol w:w="875"/>
      </w:tblGrid>
      <w:tr w:rsidR="00007F6C" w14:paraId="5081BA14" w14:textId="77777777" w:rsidTr="005E2F1E">
        <w:trPr>
          <w:jc w:val="center"/>
        </w:trPr>
        <w:tc>
          <w:tcPr>
            <w:tcW w:w="0" w:type="auto"/>
            <w:vMerge w:val="restart"/>
          </w:tcPr>
          <w:p w14:paraId="4B22FA1C" w14:textId="77777777" w:rsidR="00007F6C" w:rsidRPr="00DF1214" w:rsidRDefault="00007F6C" w:rsidP="00C0550A">
            <w:pPr>
              <w:jc w:val="both"/>
              <w:rPr>
                <w:b/>
                <w:bCs/>
              </w:rPr>
            </w:pPr>
            <w:r>
              <w:rPr>
                <w:b/>
                <w:bCs/>
              </w:rPr>
              <w:t xml:space="preserve">ROI </w:t>
            </w:r>
            <w:r w:rsidRPr="00DF1214">
              <w:rPr>
                <w:b/>
                <w:bCs/>
              </w:rPr>
              <w:t>Sample</w:t>
            </w:r>
            <w:r>
              <w:rPr>
                <w:b/>
                <w:bCs/>
              </w:rPr>
              <w:t>s</w:t>
            </w:r>
          </w:p>
        </w:tc>
        <w:tc>
          <w:tcPr>
            <w:tcW w:w="0" w:type="auto"/>
            <w:gridSpan w:val="3"/>
          </w:tcPr>
          <w:p w14:paraId="17E1E7AE" w14:textId="77777777" w:rsidR="00007F6C" w:rsidRPr="00032AA6" w:rsidRDefault="00007F6C" w:rsidP="00C0550A">
            <w:pPr>
              <w:jc w:val="both"/>
              <w:rPr>
                <w:b/>
                <w:bCs/>
              </w:rPr>
            </w:pPr>
            <w:r>
              <w:rPr>
                <w:b/>
                <w:bCs/>
              </w:rPr>
              <w:t>Phase [Vol %]</w:t>
            </w:r>
          </w:p>
        </w:tc>
      </w:tr>
      <w:tr w:rsidR="00007F6C" w14:paraId="4647FA77" w14:textId="77777777" w:rsidTr="005E2F1E">
        <w:trPr>
          <w:jc w:val="center"/>
        </w:trPr>
        <w:tc>
          <w:tcPr>
            <w:tcW w:w="0" w:type="auto"/>
            <w:vMerge/>
          </w:tcPr>
          <w:p w14:paraId="1BCC7021" w14:textId="77777777" w:rsidR="00007F6C" w:rsidRPr="00DF1214" w:rsidRDefault="00007F6C" w:rsidP="00C0550A">
            <w:pPr>
              <w:jc w:val="both"/>
              <w:rPr>
                <w:b/>
                <w:bCs/>
              </w:rPr>
            </w:pPr>
          </w:p>
        </w:tc>
        <w:tc>
          <w:tcPr>
            <w:tcW w:w="0" w:type="auto"/>
          </w:tcPr>
          <w:p w14:paraId="0CF653D2" w14:textId="77777777" w:rsidR="00007F6C" w:rsidRPr="00032AA6" w:rsidRDefault="00007F6C" w:rsidP="00C0550A">
            <w:pPr>
              <w:jc w:val="both"/>
              <w:rPr>
                <w:b/>
                <w:bCs/>
              </w:rPr>
            </w:pPr>
            <w:r w:rsidRPr="00032AA6">
              <w:rPr>
                <w:b/>
                <w:bCs/>
              </w:rPr>
              <w:t>Nickel</w:t>
            </w:r>
          </w:p>
        </w:tc>
        <w:tc>
          <w:tcPr>
            <w:tcW w:w="0" w:type="auto"/>
          </w:tcPr>
          <w:p w14:paraId="60FA4ABF" w14:textId="77777777" w:rsidR="00007F6C" w:rsidRPr="00032AA6" w:rsidRDefault="00007F6C" w:rsidP="00C0550A">
            <w:pPr>
              <w:jc w:val="both"/>
              <w:rPr>
                <w:b/>
                <w:bCs/>
              </w:rPr>
            </w:pPr>
            <w:r w:rsidRPr="00032AA6">
              <w:rPr>
                <w:b/>
                <w:bCs/>
              </w:rPr>
              <w:t>YSZ</w:t>
            </w:r>
          </w:p>
        </w:tc>
        <w:tc>
          <w:tcPr>
            <w:tcW w:w="0" w:type="auto"/>
          </w:tcPr>
          <w:p w14:paraId="7D1268B6" w14:textId="77777777" w:rsidR="00007F6C" w:rsidRPr="00032AA6" w:rsidRDefault="00007F6C" w:rsidP="00C0550A">
            <w:pPr>
              <w:jc w:val="both"/>
              <w:rPr>
                <w:b/>
                <w:bCs/>
              </w:rPr>
            </w:pPr>
            <w:r w:rsidRPr="00032AA6">
              <w:rPr>
                <w:b/>
                <w:bCs/>
              </w:rPr>
              <w:t>Pore</w:t>
            </w:r>
          </w:p>
        </w:tc>
      </w:tr>
      <w:tr w:rsidR="00007F6C" w14:paraId="01B7DB74" w14:textId="77777777" w:rsidTr="005E2F1E">
        <w:trPr>
          <w:jc w:val="center"/>
        </w:trPr>
        <w:tc>
          <w:tcPr>
            <w:tcW w:w="0" w:type="auto"/>
          </w:tcPr>
          <w:p w14:paraId="526073E2" w14:textId="77777777" w:rsidR="00007F6C" w:rsidRDefault="00007F6C" w:rsidP="00C0550A">
            <w:pPr>
              <w:jc w:val="both"/>
            </w:pPr>
            <w:r>
              <w:t xml:space="preserve">Ni-YSZ 2 h </w:t>
            </w:r>
          </w:p>
        </w:tc>
        <w:tc>
          <w:tcPr>
            <w:tcW w:w="0" w:type="auto"/>
          </w:tcPr>
          <w:p w14:paraId="594A77F9" w14:textId="77777777" w:rsidR="00007F6C" w:rsidRDefault="00007F6C" w:rsidP="00C0550A">
            <w:pPr>
              <w:jc w:val="both"/>
            </w:pPr>
            <w:r>
              <w:t>3.45%</w:t>
            </w:r>
          </w:p>
        </w:tc>
        <w:tc>
          <w:tcPr>
            <w:tcW w:w="0" w:type="auto"/>
          </w:tcPr>
          <w:p w14:paraId="18E96141" w14:textId="77777777" w:rsidR="00007F6C" w:rsidRDefault="00007F6C" w:rsidP="00C0550A">
            <w:pPr>
              <w:jc w:val="both"/>
            </w:pPr>
            <w:r>
              <w:t>63.04%</w:t>
            </w:r>
          </w:p>
        </w:tc>
        <w:tc>
          <w:tcPr>
            <w:tcW w:w="0" w:type="auto"/>
          </w:tcPr>
          <w:p w14:paraId="4C44AD44" w14:textId="77777777" w:rsidR="00007F6C" w:rsidRDefault="00007F6C" w:rsidP="00C0550A">
            <w:pPr>
              <w:jc w:val="both"/>
            </w:pPr>
            <w:r>
              <w:t>33.51%</w:t>
            </w:r>
          </w:p>
        </w:tc>
      </w:tr>
      <w:tr w:rsidR="00007F6C" w14:paraId="18B0920B" w14:textId="77777777" w:rsidTr="005E2F1E">
        <w:trPr>
          <w:jc w:val="center"/>
        </w:trPr>
        <w:tc>
          <w:tcPr>
            <w:tcW w:w="0" w:type="auto"/>
          </w:tcPr>
          <w:p w14:paraId="056AAB24" w14:textId="77777777" w:rsidR="00007F6C" w:rsidRDefault="00007F6C" w:rsidP="00C0550A">
            <w:pPr>
              <w:jc w:val="both"/>
            </w:pPr>
            <w:r>
              <w:t xml:space="preserve">Ni-YSZ 4 h </w:t>
            </w:r>
          </w:p>
        </w:tc>
        <w:tc>
          <w:tcPr>
            <w:tcW w:w="0" w:type="auto"/>
          </w:tcPr>
          <w:p w14:paraId="683427D2" w14:textId="77777777" w:rsidR="00007F6C" w:rsidRDefault="00007F6C" w:rsidP="00C0550A">
            <w:pPr>
              <w:jc w:val="both"/>
            </w:pPr>
            <w:r>
              <w:t>11.22%</w:t>
            </w:r>
          </w:p>
        </w:tc>
        <w:tc>
          <w:tcPr>
            <w:tcW w:w="0" w:type="auto"/>
          </w:tcPr>
          <w:p w14:paraId="33E88669" w14:textId="77777777" w:rsidR="00007F6C" w:rsidRDefault="00007F6C" w:rsidP="00C0550A">
            <w:pPr>
              <w:jc w:val="both"/>
            </w:pPr>
            <w:r>
              <w:t>69.21%</w:t>
            </w:r>
          </w:p>
        </w:tc>
        <w:tc>
          <w:tcPr>
            <w:tcW w:w="0" w:type="auto"/>
          </w:tcPr>
          <w:p w14:paraId="7A79409C" w14:textId="77777777" w:rsidR="00007F6C" w:rsidRDefault="00007F6C" w:rsidP="00C0550A">
            <w:pPr>
              <w:jc w:val="both"/>
            </w:pPr>
            <w:r>
              <w:t>19.19%</w:t>
            </w:r>
          </w:p>
        </w:tc>
      </w:tr>
    </w:tbl>
    <w:p w14:paraId="48DF5CBA" w14:textId="77777777" w:rsidR="00007F6C" w:rsidRDefault="00007F6C" w:rsidP="00C0550A">
      <w:pPr>
        <w:jc w:val="both"/>
      </w:pPr>
    </w:p>
    <w:p w14:paraId="3BF53645" w14:textId="011B93C1" w:rsidR="00007F6C" w:rsidRDefault="00C0550A" w:rsidP="00195CBF">
      <w:pPr>
        <w:pStyle w:val="Heading4"/>
      </w:pPr>
      <w:r>
        <w:lastRenderedPageBreak/>
        <w:t xml:space="preserve">6.3.4.3.1 </w:t>
      </w:r>
      <w:r w:rsidR="00007F6C">
        <w:t>Nickel distribution after 4 h of ageing</w:t>
      </w:r>
    </w:p>
    <w:p w14:paraId="492FC1B8" w14:textId="77777777" w:rsidR="00007F6C" w:rsidRDefault="00007F6C" w:rsidP="00007F6C">
      <w:pPr>
        <w:jc w:val="both"/>
      </w:pPr>
      <w:r>
        <w:fldChar w:fldCharType="begin"/>
      </w:r>
      <w:r>
        <w:instrText xml:space="preserve"> REF _Ref47690416 \h </w:instrText>
      </w:r>
      <w:r>
        <w:fldChar w:fldCharType="separate"/>
      </w:r>
      <w:r>
        <w:t>Figure 6.</w:t>
      </w:r>
      <w:r>
        <w:rPr>
          <w:noProof/>
        </w:rPr>
        <w:t>38</w:t>
      </w:r>
      <w:r>
        <w:fldChar w:fldCharType="end"/>
      </w:r>
      <w:r>
        <w:t xml:space="preserve"> provides an insight into the migration behaviour of the nickel during the ageing period. After 2h of ageing charted in the segmentation, the volume distribution of the nickel phase changed dramatically across the region of interest. After 4 h of ageing the 39.86 % of the nickel present in the electrode resided between slices 140-180. This was a 18.65 % increase compared to its 2 h aged counterpart.</w:t>
      </w:r>
    </w:p>
    <w:p w14:paraId="482782B7" w14:textId="77777777" w:rsidR="00007F6C" w:rsidRDefault="00007F6C" w:rsidP="00007F6C">
      <w:pPr>
        <w:keepNext/>
        <w:jc w:val="center"/>
      </w:pPr>
      <w:r w:rsidRPr="00C35021">
        <w:rPr>
          <w:noProof/>
        </w:rPr>
        <w:drawing>
          <wp:inline distT="0" distB="0" distL="0" distR="0" wp14:anchorId="361E9224" wp14:editId="4DD9423F">
            <wp:extent cx="4320000" cy="3640593"/>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1">
                      <a:extLst>
                        <a:ext uri="{28A0092B-C50C-407E-A947-70E740481C1C}">
                          <a14:useLocalDpi xmlns:a14="http://schemas.microsoft.com/office/drawing/2010/main" val="0"/>
                        </a:ext>
                      </a:extLst>
                    </a:blip>
                    <a:srcRect l="9404" t="9309" r="13303" b="5406"/>
                    <a:stretch/>
                  </pic:blipFill>
                  <pic:spPr bwMode="auto">
                    <a:xfrm>
                      <a:off x="0" y="0"/>
                      <a:ext cx="4320000" cy="3640593"/>
                    </a:xfrm>
                    <a:prstGeom prst="rect">
                      <a:avLst/>
                    </a:prstGeom>
                    <a:noFill/>
                    <a:ln>
                      <a:noFill/>
                    </a:ln>
                    <a:extLst>
                      <a:ext uri="{53640926-AAD7-44D8-BBD7-CCE9431645EC}">
                        <a14:shadowObscured xmlns:a14="http://schemas.microsoft.com/office/drawing/2010/main"/>
                      </a:ext>
                    </a:extLst>
                  </pic:spPr>
                </pic:pic>
              </a:graphicData>
            </a:graphic>
          </wp:inline>
        </w:drawing>
      </w:r>
    </w:p>
    <w:p w14:paraId="2ECE7C46" w14:textId="1BD71D15" w:rsidR="00007F6C" w:rsidRDefault="00007F6C" w:rsidP="00007F6C">
      <w:pPr>
        <w:pStyle w:val="Caption"/>
      </w:pPr>
      <w:bookmarkStart w:id="642" w:name="_Ref47690416"/>
      <w:bookmarkStart w:id="643" w:name="_Toc69115089"/>
      <w:r>
        <w:t>Figure 6.</w:t>
      </w:r>
      <w:r w:rsidR="00B51F53">
        <w:fldChar w:fldCharType="begin"/>
      </w:r>
      <w:r w:rsidR="00B51F53">
        <w:instrText xml:space="preserve"> SEQ Figure \* ARABIC </w:instrText>
      </w:r>
      <w:r w:rsidR="00B51F53">
        <w:fldChar w:fldCharType="separate"/>
      </w:r>
      <w:r w:rsidR="00766D55">
        <w:rPr>
          <w:noProof/>
        </w:rPr>
        <w:t>38</w:t>
      </w:r>
      <w:r w:rsidR="00B51F53">
        <w:rPr>
          <w:noProof/>
        </w:rPr>
        <w:fldChar w:fldCharType="end"/>
      </w:r>
      <w:bookmarkEnd w:id="642"/>
      <w:r>
        <w:t xml:space="preserve">: Volume percent per slice of the nickel catalyst phases from the top to the bottom of the Roi. The 2 h aged nickel is denoted by the red series and the 4 h aged the grey series </w:t>
      </w:r>
      <w:proofErr w:type="gramStart"/>
      <w:r>
        <w:t>respectively</w:t>
      </w:r>
      <w:bookmarkEnd w:id="643"/>
      <w:proofErr w:type="gramEnd"/>
    </w:p>
    <w:p w14:paraId="42826272" w14:textId="0D285C13" w:rsidR="00007F6C" w:rsidRDefault="00007F6C" w:rsidP="00007F6C">
      <w:pPr>
        <w:jc w:val="both"/>
      </w:pPr>
      <w:r>
        <w:t>In the top third (60 ortho-slices) of the ROI, the overall volume percent of the phase has changed very little during ageing (11.87</w:t>
      </w:r>
      <w:r w:rsidR="00EE25E3">
        <w:t xml:space="preserve"> </w:t>
      </w:r>
      <w:r>
        <w:t>% 2 h, 12.00</w:t>
      </w:r>
      <w:r w:rsidR="00EE25E3">
        <w:t xml:space="preserve"> </w:t>
      </w:r>
      <w:r>
        <w:t xml:space="preserve">% 4 h). This indicates that the migration process at the top of the sample has been balanced with the amount of catalyst coarsening. </w:t>
      </w:r>
      <w:bookmarkEnd w:id="588"/>
    </w:p>
    <w:p w14:paraId="1F07812A" w14:textId="77777777" w:rsidR="00007F6C" w:rsidRDefault="00007F6C" w:rsidP="00007F6C">
      <w:pPr>
        <w:jc w:val="both"/>
      </w:pPr>
      <w:r>
        <w:t>In contrast with the air-dried samples, the migration behaviour of the nitrogen dried Ni-YSZ sample did not produce any blocking effects (</w:t>
      </w:r>
      <w:r>
        <w:fldChar w:fldCharType="begin"/>
      </w:r>
      <w:r>
        <w:instrText xml:space="preserve"> REF _Ref49244694 \h  \* MERGEFORMAT </w:instrText>
      </w:r>
      <w:r>
        <w:fldChar w:fldCharType="separate"/>
      </w:r>
      <w:r>
        <w:t xml:space="preserve">Figure </w:t>
      </w:r>
      <w:r>
        <w:rPr>
          <w:noProof/>
        </w:rPr>
        <w:t>6.9</w:t>
      </w:r>
      <w:r>
        <w:fldChar w:fldCharType="end"/>
      </w:r>
      <w:r>
        <w:t xml:space="preserve">). The nickel catalyst has migrated towards the anode functional layer and leading to a reduction into electrical conductivity between the AFLs and the top of the fuel electrode. </w:t>
      </w:r>
    </w:p>
    <w:p w14:paraId="7DF2E240" w14:textId="1B5D0461" w:rsidR="00007F6C" w:rsidRDefault="00007F6C" w:rsidP="00007F6C">
      <w:pPr>
        <w:jc w:val="both"/>
      </w:pPr>
      <w:r>
        <w:t xml:space="preserve">The migration mechanism illustrated in both the FIB-SEM micrographs and the 3D phase segmentation renderings would indicate that the catalyst has coarsened in both sets of samples via PMC </w:t>
      </w:r>
      <w:r>
        <w:fldChar w:fldCharType="begin" w:fldLock="1"/>
      </w:r>
      <w:r w:rsidR="00EC62EF">
        <w:instrText>ADDIN CSL_CITATION {"citationItems":[{"id":"ITEM-1","itemData":{"DOI":"10.1021/ar3002427","ISSN":"00014842","abstract":"Metal nanoparticles contain the active sites in heterogeneous catalysts, which are important for many industrial applications including the production of clean fuels, chemicals and pharmaceuticals, and the cleanup of exhaust from automobiles and stationary power plants. Sintering, or thermal deactivation, is an important mechanism for the loss of catalyst activity. This is especially true for high temperature catalytic processes, such as steam reforming, automotive exhaust treatment, or catalytic combustion. With dwindling supplies of precious metals and increasing demand, fundamental understanding of catalyst sintering is very important for achieving clean energy and a clean environment, and for efficient chemical conversion processes with atom selectivity. Scientists have proposed two mechanisms for sintering of nanoparticles: particle migration and coalescence (PMC) and Ostwald ripening (OR). PMC involves the mobility of particles in a Brownian-like motion on the support surface, with subsequent coalescence leading to nanoparticle growth. In contrast, OR involves the migration of adatoms or mobile molecular species, driven by differences in free energy and local adatom concentrations on the support surface.In this Account, we divide the process of sintering into three phases. Phase I involves rapid loss in catalyst activity (or surface area), phase II is where sintering slows down, and phase III is where the catalyst may reach a stable performance. Much of the previous work is based on inferences from catalysts that were observed before and after long term treatments. While the general phenomena can be captured correctly, the mechanisms cannot be determined. Advancements in the techniques of in situ TEM allow us to observe catalysts at elevated temperatures under working conditions. We review recent evidence obtained via in situ methods to determine the relative importance of PMC and OR in each of these phases of catalyst sintering. The evidence suggests that, in phase I, OR is responsible for the rapid loss of activity that occurs when particles are very small. Surprisingly, very little PMC is observed in this phase. Instead, the rapid loss of activity is caused by the disappearance of the smallest particles. These findings are in good agreement with representative atomistic simulations of sintering. In phase II, sintering slows down since the smallest particles have disappeared. We now see a combination of PMC and OR, but do not fully understand th…","author":[{"dropping-particle":"","family":"Hansen","given":"Thomas W.","non-dropping-particle":"","parse-names":false,"suffix":""},{"dropping-particle":"","family":"Delariva","given":"Andrew T.","non-dropping-particle":"","parse-names":false,"suffix":""},{"dropping-particle":"","family":"Challa","given":"Sivakumar R.","non-dropping-particle":"","parse-names":false,"suffix":""},{"dropping-particle":"","family":"Datye","given":"Abhaya K.","non-dropping-particle":"","parse-names":false,"suffix":""}],"container-title":"Accounts of Chemical Research","id":"ITEM-1","issue":"8","issued":{"date-parts":[["2013"]]},"page":"1720-1730","title":"Sintering of catalytic nanoparticles: Particle migration or ostwald ripening?","type":"article-journal","volume":"46"},"uris":["http://www.mendeley.com/documents/?uuid=56e9c286-1d38-472d-a0b2-2585db2bd181"]},{"id":"ITEM-2","itemData":{"DOI":"https://doi.org/10.1016/j.jcat.2013.08.018","ISSN":"0021-9517","abstract":"Recent advancements in the field of electron microscopy, such as aberration correctors, have now been integrated into Environmental Transmission Electron Microscopes (TEMs), making it possible to study the behavior of supported metal catalysts under operating conditions at atomic resolution. Here, we focus on in situ electron microscopy studies of catalysts that shed light on the mechanistic aspects of catalyst sintering. Catalyst sintering is an important mechanism for activity loss, especially for catalysts that operate at elevated temperatures. Literature from the past decade is reviewed along with our recent in situ TEM studies on the sintering of Ni/MgAl2O4 catalysts. These results suggest that the rapid loss of catalyst activity in the earliest stages of catalyst sintering could result from Ostwald ripening rather than through particle migration and coalescence. The smallest particles are found to disappear in a few seconds as soon as the catalyst reaches the operating temperature. While particle migration and coalescence is evident in some of these in situ studies, it does not follow the classical model where the smallest particles are most mobile. Deterministic models of Ostwald ripening as well as atomistic Monte Carlo simulations are both in good agreement with these experimental observations, predicting a steep loss in catalyst activity at short times on stream. The in situ studies show the importance of direct observations to deduce mechanisms and show the important role played by the support and the gas atmosphere (especially the presence of H2O) on the rates of catalyst sintering.","author":[{"dropping-particle":"","family":"DeLaRiva","given":"Andrew T","non-dropping-particle":"","parse-names":false,"suffix":""},{"dropping-particle":"","family":"Hansen","given":"Thomas W","non-dropping-particle":"","parse-names":false,"suffix":""},{"dropping-particle":"","family":"Challa","given":"Sivakumar R","non-dropping-particle":"","parse-names":false,"suffix":""},{"dropping-particle":"","family":"Datye","given":"Abhaya K","non-dropping-particle":"","parse-names":false,"suffix":""}],"container-title":"Journal of Catalysis","id":"ITEM-2","issued":{"date-parts":[["2013"]]},"page":"291-305","title":"In situ Transmission Electron Microscopy of catalyst sintering","type":"article-journal","volume":"308"},"uris":["http://www.mendeley.com/documents/?uuid=3d8ba0d8-85f0-4ab2-aa92-fffbdd01cab2"]}],"mendeley":{"formattedCitation":"[402], [502]","plainTextFormattedCitation":"[402], [502]","previouslyFormattedCitation":"[402], [502]"},"properties":{"noteIndex":0},"schema":"https://github.com/citation-style-language/schema/raw/master/csl-citation.json"}</w:instrText>
      </w:r>
      <w:r>
        <w:fldChar w:fldCharType="separate"/>
      </w:r>
      <w:r w:rsidR="008446C6" w:rsidRPr="008446C6">
        <w:rPr>
          <w:noProof/>
        </w:rPr>
        <w:t>[402], [502]</w:t>
      </w:r>
      <w:r>
        <w:fldChar w:fldCharType="end"/>
      </w:r>
      <w:r>
        <w:t xml:space="preserve">. However, this mechanism is restricted to the 2 h ageing windows evident from the phase segmentation. The voxel size of 36 nm is too large to quantify the first coarsening process present in the pristine infiltrated nickel system. </w:t>
      </w:r>
    </w:p>
    <w:p w14:paraId="69DEA1B7" w14:textId="2C9E7A2E" w:rsidR="00007F6C" w:rsidRDefault="00007F6C" w:rsidP="00007F6C">
      <w:pPr>
        <w:jc w:val="both"/>
      </w:pPr>
      <w:r>
        <w:t xml:space="preserve">As discussed </w:t>
      </w:r>
      <w:r w:rsidRPr="001207FA">
        <w:t>by Goodman and Hansen et al</w:t>
      </w:r>
      <w:r>
        <w:t xml:space="preserve"> the first coarsening mechanism with the untouched catalyst system is likely to focus on atomic ripening where the smallest particles coalesce </w:t>
      </w:r>
      <w:r>
        <w:fldChar w:fldCharType="begin" w:fldLock="1"/>
      </w:r>
      <w:r w:rsidR="00EC62EF">
        <w:instrText>ADDIN CSL_CITATION {"citationItems":[{"id":"ITEM-1","itemData":{"DOI":"10.1021/acscatal.7b01975","ISSN":"2155-5435","author":[{"dropping-particle":"","family":"Goodman","given":"Emmett D.","non-dropping-particle":"","parse-names":false,"suffix":""},{"dropping-particle":"","family":"Schwalbe","given":"Jay A.","non-dropping-particle":"","parse-names":false,"suffix":""},{"dropping-particle":"","family":"Cargnello","given":"Matteo","non-dropping-particle":"","parse-names":false,"suffix":""}],"container-title":"ACS Catalysis","id":"ITEM-1","issue":"10","issued":{"date-parts":[["2017","10","6"]]},"page":"7156-7173","title":"Mechanistic Understanding and the Rational Design of Sinter-Resistant Heterogeneous Catalysts","type":"article-journal","volume":"7"},"uris":["http://www.mendeley.com/documents/?uuid=b28e850f-3457-3249-b2ac-8734fa0e1fea"]},{"id":"ITEM-2","itemData":{"DOI":"10.1021/ar3002427","ISSN":"00014842","abstract":"Metal nanoparticles contain the active sites in heterogeneous catalysts, which are important for many industrial applications including the production of clean fuels, chemicals and pharmaceuticals, and the cleanup of exhaust from automobiles and stationary power plants. Sintering, or thermal deactivation, is an important mechanism for the loss of catalyst activity. This is especially true for high temperature catalytic processes, such as steam reforming, automotive exhaust treatment, or catalytic combustion. With dwindling supplies of precious metals and increasing demand, fundamental understanding of catalyst sintering is very important for achieving clean energy and a clean environment, and for efficient chemical conversion processes with atom selectivity. Scientists have proposed two mechanisms for sintering of nanoparticles: particle migration and coalescence (PMC) and Ostwald ripening (OR). PMC involves the mobility of particles in a Brownian-like motion on the support surface, with subsequent coalescence leading to nanoparticle growth. In contrast, OR involves the migration of adatoms or mobile molecular species, driven by differences in free energy and local adatom concentrations on the support surface.In this Account, we divide the process of sintering into three phases. Phase I involves rapid loss in catalyst activity (or surface area), phase II is where sintering slows down, and phase III is where the catalyst may reach a stable performance. Much of the previous work is based on inferences from catalysts that were observed before and after long term treatments. While the general phenomena can be captured correctly, the mechanisms cannot be determined. Advancements in the techniques of in situ TEM allow us to observe catalysts at elevated temperatures under working conditions. We review recent evidence obtained via in situ methods to determine the relative importance of PMC and OR in each of these phases of catalyst sintering. The evidence suggests that, in phase I, OR is responsible for the rapid loss of activity that occurs when particles are very small. Surprisingly, very little PMC is observed in this phase. Instead, the rapid loss of activity is caused by the disappearance of the smallest particles. These findings are in good agreement with representative atomistic simulations of sintering. In phase II, sintering slows down since the smallest particles have disappeared. We now see a combination of PMC and OR, but do not fully understand th…","author":[{"dropping-particle":"","family":"Hansen","given":"Thomas W.","non-dropping-particle":"","parse-names":false,"suffix":""},{"dropping-particle":"","family":"Delariva","given":"Andrew T.","non-dropping-particle":"","parse-names":false,"suffix":""},{"dropping-particle":"","family":"Challa","given":"Sivakumar R.","non-dropping-particle":"","parse-names":false,"suffix":""},{"dropping-particle":"","family":"Datye","given":"Abhaya K.","non-dropping-particle":"","parse-names":false,"suffix":""}],"container-title":"Accounts of Chemical Research","id":"ITEM-2","issue":"8","issued":{"date-parts":[["2013"]]},"page":"1720-1730","title":"Sintering of catalytic nanoparticles: Particle migration or ostwald ripening?","type":"article-journal","volume":"46"},"uris":["http://www.mendeley.com/documents/?uuid=56e9c286-1d38-472d-a0b2-2585db2bd181"]},{"id":"ITEM-3","itemData":{"DOI":"https://doi.org/10.1016/j.jcat.2013.08.018","ISSN":"0021-9517","abstract":"Recent advancements in the field of electron microscopy, such as aberration correctors, have now been integrated into Environmental Transmission Electron Microscopes (TEMs), making it possible to study the behavior of supported metal catalysts under operating conditions at atomic resolution. Here, we focus on in situ electron microscopy studies of catalysts that shed light on the mechanistic aspects of catalyst sintering. Catalyst sintering is an important mechanism for activity loss, especially for catalysts that operate at elevated temperatures. Literature from the past decade is reviewed along with our recent in situ TEM studies on the sintering of Ni/MgAl2O4 catalysts. These results suggest that the rapid loss of catalyst activity in the earliest stages of catalyst sintering could result from Ostwald ripening rather than through particle migration and coalescence. The smallest particles are found to disappear in a few seconds as soon as the catalyst reaches the operating temperature. While particle migration and coalescence is evident in some of these in situ studies, it does not follow the classical model where the smallest particles are most mobile. Deterministic models of Ostwald ripening as well as atomistic Monte Carlo simulations are both in good agreement with these experimental observations, predicting a steep loss in catalyst activity at short times on stream. The in situ studies show the importance of direct observations to deduce mechanisms and show the important role played by the support and the gas atmosphere (especially the presence of H2O) on the rates of catalyst sintering.","author":[{"dropping-particle":"","family":"DeLaRiva","given":"Andrew T","non-dropping-particle":"","parse-names":false,"suffix":""},{"dropping-particle":"","family":"Hansen","given":"Thomas W","non-dropping-particle":"","parse-names":false,"suffix":""},{"dropping-particle":"","family":"Challa","given":"Sivakumar R","non-dropping-particle":"","parse-names":false,"suffix":""},{"dropping-particle":"","family":"Datye","given":"Abhaya K","non-dropping-particle":"","parse-names":false,"suffix":""}],"container-title":"Journal of Catalysis","id":"ITEM-3","issued":{"date-parts":[["2013"]]},"page":"291-305","title":"In situ Transmission Electron Microscopy of catalyst sintering","type":"article-journal","volume":"308"},"uris":["http://www.mendeley.com/documents/?uuid=3d8ba0d8-85f0-4ab2-aa92-fffbdd01cab2"]}],"mendeley":{"formattedCitation":"[300], [402], [502]","plainTextFormattedCitation":"[300], [402], [502]","previouslyFormattedCitation":"[300], [402], [502]"},"properties":{"noteIndex":0},"schema":"https://github.com/citation-style-language/schema/raw/master/csl-citation.json"}</w:instrText>
      </w:r>
      <w:r>
        <w:fldChar w:fldCharType="separate"/>
      </w:r>
      <w:r w:rsidR="008446C6" w:rsidRPr="008446C6">
        <w:rPr>
          <w:noProof/>
        </w:rPr>
        <w:t>[300], [402], [502]</w:t>
      </w:r>
      <w:r>
        <w:fldChar w:fldCharType="end"/>
      </w:r>
      <w:r>
        <w:t>. This occurs prior to a sintering mechanism based on PMC which has been monitored during this study through PXCT, FIB-SEM and XRD. Further measurements at ageing times under 1 h will be required to capture this phenomenon.</w:t>
      </w:r>
    </w:p>
    <w:p w14:paraId="1CEEDC0C" w14:textId="65824AB7" w:rsidR="00007F6C" w:rsidRDefault="00007F6C" w:rsidP="00007F6C">
      <w:pPr>
        <w:jc w:val="both"/>
      </w:pPr>
      <w:r>
        <w:lastRenderedPageBreak/>
        <w:t xml:space="preserve">In the infiltrated systems characterised in this study the window has characterised the migration of the catalyst through the pores in the structure during the first 0 – 5 h of ageing. Pore blocking because of extensive PMC is a key deactivation mechanism in the microstructure of the air-dried cells. This was underlined by the scanning electron microscopy of the air-dried samples </w:t>
      </w:r>
      <w:r>
        <w:fldChar w:fldCharType="begin"/>
      </w:r>
      <w:r>
        <w:instrText xml:space="preserve"> REF _Ref51602672 \h </w:instrText>
      </w:r>
      <w:r>
        <w:fldChar w:fldCharType="separate"/>
      </w:r>
      <w:r>
        <w:t>Figure 6.</w:t>
      </w:r>
      <w:r>
        <w:rPr>
          <w:noProof/>
        </w:rPr>
        <w:t>7</w:t>
      </w:r>
      <w:r>
        <w:fldChar w:fldCharType="end"/>
      </w:r>
      <w:r>
        <w:t xml:space="preserve"> </w:t>
      </w:r>
      <w:r w:rsidR="00CF4B41">
        <w:t>showed</w:t>
      </w:r>
      <w:r>
        <w:t xml:space="preserve"> the agglomeration of the nickel phase against the pores. In the case of infiltrated cells, the pore volume in the electrode structure has been shown to reduce by up to 20 vol % towards 3.2 </w:t>
      </w:r>
      <w:r>
        <w:rPr>
          <w:rFonts w:cstheme="minorHAnsi"/>
        </w:rPr>
        <w:t>µ</w:t>
      </w:r>
      <w:r>
        <w:t xml:space="preserve">m above anode function layer. This reduction means increases the likelihood of bottlenecks generated by decreases pore volume. Due to the dispersal of the catalyst dispersal throughout the pore structure, coarsening of stacked particles (especially air dried particles) shown in </w:t>
      </w:r>
      <w:r>
        <w:fldChar w:fldCharType="begin"/>
      </w:r>
      <w:r>
        <w:instrText xml:space="preserve"> REF _Ref49244694 \h  \* MERGEFORMAT </w:instrText>
      </w:r>
      <w:r>
        <w:fldChar w:fldCharType="separate"/>
      </w:r>
      <w:r>
        <w:t xml:space="preserve">Figure </w:t>
      </w:r>
      <w:r>
        <w:rPr>
          <w:noProof/>
        </w:rPr>
        <w:t>6.9</w:t>
      </w:r>
      <w:r>
        <w:fldChar w:fldCharType="end"/>
      </w:r>
      <w:r>
        <w:t xml:space="preserve"> could form large agglomerates along pores as seen in </w:t>
      </w:r>
      <w:r>
        <w:fldChar w:fldCharType="begin"/>
      </w:r>
      <w:r>
        <w:instrText xml:space="preserve"> REF _Ref49345353 \h  \* MERGEFORMAT </w:instrText>
      </w:r>
      <w:r>
        <w:fldChar w:fldCharType="separate"/>
      </w:r>
      <w:r>
        <w:t xml:space="preserve">Figure </w:t>
      </w:r>
      <w:r>
        <w:rPr>
          <w:noProof/>
        </w:rPr>
        <w:t>6.23</w:t>
      </w:r>
      <w:r>
        <w:fldChar w:fldCharType="end"/>
      </w:r>
      <w:r>
        <w:t xml:space="preserve">. </w:t>
      </w:r>
    </w:p>
    <w:p w14:paraId="127C87C9" w14:textId="4952AB5B" w:rsidR="00007F6C" w:rsidRDefault="00007F6C" w:rsidP="00007F6C">
      <w:pPr>
        <w:jc w:val="both"/>
      </w:pPr>
      <w:r>
        <w:t xml:space="preserve">This reduces the active triple phase boundary area due to gas percolation restrictions as discussed by </w:t>
      </w:r>
      <w:r w:rsidRPr="001207FA">
        <w:t>Hou et al</w:t>
      </w:r>
      <w:r>
        <w:t xml:space="preserve"> </w:t>
      </w:r>
      <w:r>
        <w:fldChar w:fldCharType="begin" w:fldLock="1"/>
      </w:r>
      <w:r w:rsidR="00EC62EF">
        <w:instrText>ADDIN CSL_CITATION {"citationItems":[{"id":"ITEM-1","itemData":{"DOI":"10.1016/j.ceramint.2020.06.181","ISSN":"02728842","abstract":"In response to the urgent demand for highly active anodes for lower-temperature proton-conducting solid oxide fuel cells (H–SOFCs) and with the aim to explore the function of metal catalysts and porous skeletons, two series anode-supported BaZr0.1Ce0.7Y0.2O3-δ (BZCY)-based single cells with varying Ni catalysts and pore formers were assembled and evaluated comparably. In the exploration of Ni catalyst variable, the NBZCY65-35-20SS (65 wt% NiO in NiO-BZCY prepared with adding 20 wt% starch) anode possesses the highest performance, for the 1:1 vol ratio of Ni-BZCY could offer the maximum effective triple-phase boundary (TPB) area in the prerequisite of having abundant pores achieved with the 20 wt% pore former as a constant. In addition, both the NBZCY65-35-15SS and NBZCY65-35-25SS anode demonstrate inferior electrochemical properties separately due to the inadequate reducing gas transmission channels and reaction sites. The BZCY cell assembled with NBZCY65-35-20SS reveals an excellent performance, in which the peak power densities (PPDs) were 660, 539, 413, 272 mW cm−2 and the polarization resistances (RP) were 0.061, 0.126, 0.28, 0.652 Ω cm2 at 700, 650, 600, 550 °C, respectively. NBZCY65-35-20SS, which has both a superior TPB area and a fine porous anode skeleton, is a preferable option for anode-supported H–SOFCs. On the whole, the scientific regulations governing metal catalysis and pore-forming could be beneficial to the architecture of fine H–SOFC anode structures.","author":[{"dropping-particle":"","family":"Hou","given":"Jie","non-dropping-particle":"","parse-names":false,"suffix":""},{"dropping-particle":"","family":"Dong","given":"Kuan","non-dropping-particle":"","parse-names":false,"suffix":""},{"dropping-particle":"","family":"Miao","given":"Lina","non-dropping-particle":"","parse-names":false,"suffix":""},{"dropping-particle":"","family":"Liu","given":"Wei","non-dropping-particle":"","parse-names":false,"suffix":""}],"container-title":"Ceramics International","id":"ITEM-1","issued":{"date-parts":[["2020"]]},"title":"Rationally structuring proton-conducting solid oxide fuel cell anode with Ni metal catalyst and porous skeleton","type":"article-journal"},"uris":["http://www.mendeley.com/documents/?uuid=a004dfee-122f-40b5-81bc-0714b161e23c"]}],"mendeley":{"formattedCitation":"[505]","plainTextFormattedCitation":"[505]","previouslyFormattedCitation":"[505]"},"properties":{"noteIndex":0},"schema":"https://github.com/citation-style-language/schema/raw/master/csl-citation.json"}</w:instrText>
      </w:r>
      <w:r>
        <w:fldChar w:fldCharType="separate"/>
      </w:r>
      <w:r w:rsidR="008446C6" w:rsidRPr="008446C6">
        <w:rPr>
          <w:noProof/>
        </w:rPr>
        <w:t>[505]</w:t>
      </w:r>
      <w:r>
        <w:fldChar w:fldCharType="end"/>
      </w:r>
      <w:r>
        <w:t xml:space="preserve">. Although this phenomenon has not widely discussed in the literature until this year </w:t>
      </w:r>
      <w:r>
        <w:fldChar w:fldCharType="begin" w:fldLock="1"/>
      </w:r>
      <w:r w:rsidR="00EC62EF">
        <w:instrText>ADDIN CSL_CITATION {"citationItems":[{"id":"ITEM-1","itemData":{"DOI":"10.1016/j.ceramint.2020.06.181","ISSN":"02728842","abstract":"In response to the urgent demand for highly active anodes for lower-temperature proton-conducting solid oxide fuel cells (H–SOFCs) and with the aim to explore the function of metal catalysts and porous skeletons, two series anode-supported BaZr0.1Ce0.7Y0.2O3-δ (BZCY)-based single cells with varying Ni catalysts and pore formers were assembled and evaluated comparably. In the exploration of Ni catalyst variable, the NBZCY65-35-20SS (65 wt% NiO in NiO-BZCY prepared with adding 20 wt% starch) anode possesses the highest performance, for the 1:1 vol ratio of Ni-BZCY could offer the maximum effective triple-phase boundary (TPB) area in the prerequisite of having abundant pores achieved with the 20 wt% pore former as a constant. In addition, both the NBZCY65-35-15SS and NBZCY65-35-25SS anode demonstrate inferior electrochemical properties separately due to the inadequate reducing gas transmission channels and reaction sites. The BZCY cell assembled with NBZCY65-35-20SS reveals an excellent performance, in which the peak power densities (PPDs) were 660, 539, 413, 272 mW cm−2 and the polarization resistances (RP) were 0.061, 0.126, 0.28, 0.652 Ω cm2 at 700, 650, 600, 550 °C, respectively. NBZCY65-35-20SS, which has both a superior TPB area and a fine porous anode skeleton, is a preferable option for anode-supported H–SOFCs. On the whole, the scientific regulations governing metal catalysis and pore-forming could be beneficial to the architecture of fine H–SOFC anode structures.","author":[{"dropping-particle":"","family":"Hou","given":"Jie","non-dropping-particle":"","parse-names":false,"suffix":""},{"dropping-particle":"","family":"Dong","given":"Kuan","non-dropping-particle":"","parse-names":false,"suffix":""},{"dropping-particle":"","family":"Miao","given":"Lina","non-dropping-particle":"","parse-names":false,"suffix":""},{"dropping-particle":"","family":"Liu","given":"Wei","non-dropping-particle":"","parse-names":false,"suffix":""}],"container-title":"Ceramics International","id":"ITEM-1","issued":{"date-parts":[["2020"]]},"title":"Rationally structuring proton-conducting solid oxide fuel cell anode with Ni metal catalyst and porous skeleton","type":"article-journal"},"uris":["http://www.mendeley.com/documents/?uuid=a004dfee-122f-40b5-81bc-0714b161e23c"]},{"id":"ITEM-2","itemData":{"DOI":"10.1039/c9ta12316d","ISBN":"19385862 (ISSN); 9781607685395 (ISBN)","ISSN":"20507496","abstract":"This paper addresses the use of Ce0.8Gd0.2O2-δ (GDC) infiltration into the Ni-(Y2O3)0.08(ZrO2)0.92 (YSZ) fuel electrode of solid oxide cells (SOCs) for improving their electrochemical performance in fuel cell and electrolysis operation. Although doped ceria infiltration into Ni-YSZ has recently been shown to improve the electrode performance and stability, the mechanisms defining how GDC impacts electrochemical characteristics are not fully delineated. Furthermore, the electrochemical characteristics have not yet been determined over the full range of conditions normally encountered in fuel cell and electrolysis operation. Here we present a study of both symmetric and full cells aimed at understanding the electrochemical mechanisms of GDC-modified Ni-YSZ over a wide range of fuel compositions and temperatures. Single-step GDC infiltration at an appropriate loading substantially reduced the polarization resistance of Ni-YSZ electrodes in electrolyte-supported cells, as measured using electrochemical impedance spectroscopy (EIS) at various temperatures (600-800 °C) in a range of H2O-H2 mixtures (3-90 vol% H2O). Fuel-electrode-supported cells had significant concentration polarization due to the thick Ni-YSZ supports. A distribution of relaxation times approach is used to develop a physically-based electrochemical model; the results show that GDC reduces the reaction resistance associated with three-phase boundaries, but also appears to improve oxygen transport in the electrode. Increasing the H2O fraction in the H2-H2O fuel mixture reduced both the three-phase boundary resistance and the gas diffusion resistance for Ni-YSZ; with GDC infiltration, the electrode resistance showed less variation with fuel composition. GDC infiltration improved the performance of fuel-electrode-supported full cells, which yielded a maximum power density of 2.28 W cm-2 in fuel cell mode and an electrolysis current density at 1.3 V of 2.22 A cm-2, both at 800 °C.","author":[{"dropping-particle":"","family":"Keyvanfar","given":"P.","non-dropping-particle":"","parse-names":false,"suffix":""},{"dropping-particle":"","family":"Sarkar","given":"P.","non-dropping-particle":"","parse-names":false,"suffix":""},{"dropping-particle":"","family":"Hanifi","given":"A. R.","non-dropping-particle":"","parse-names":false,"suffix":""},{"dropping-particle":"","family":"Etsell","given":"T. H.","non-dropping-particle":"","parse-names":false,"suffix":""},{"dropping-particle":"","family":"Birss","given":"V.","non-dropping-particle":"","parse-names":false,"suffix":""},{"dropping-particle":"","family":"Park","given":"Beom Kyeong","non-dropping-particle":"","parse-names":false,"suffix":""},{"dropping-particle":"","family":"Scipioni","given":"Roberto","non-dropping-particle":"","parse-names":false,"suffix":""},{"dropping-particle":"","family":"Cox","given":"Dalton","non-dropping-particle":"","parse-names":false,"suffix":""},{"dropping-particle":"","family":"Barnett","given":"Scott A.","non-dropping-particle":"","parse-names":false,"suffix":""}],"container-title":"Journal of Materials Chemistry A","edition":"1","editor":[{"dropping-particle":"","family":"Eguchi","given":"K","non-dropping-particle":"","parse-names":false,"suffix":""},{"dropping-particle":"","family":"Singhal","given":"S C","non-dropping-particle":"","parse-names":false,"suffix":""}],"id":"ITEM-2","issue":"7","issued":{"date-parts":[["2020"]]},"language":"English","note":"From Duplicate 2 (Enhancing the Stability of Infiltrated Ni/YSZ Anodes - Keyvanfar, P.; Sarkar, P.; Hanifi, A. R.; Etsell, T. H.; Birss, V.)\n\nConference code: 113202\nExport Date: 20 January 2017\nFunding details: NSERC, Natural Sciences and Engineering Research Council of Canada\nReferences: Sholklapper, T.Z., Lu, C., Jacobson, C.P., Visco, S.J., De Jonghe, L.C., (2006) Electrochem. Solid-State Lett, 9 (8), pp. A376-A378; Sholklapper, T.Z., Radmilovic, V., Jacobson, C.P., Visco, S.J., De Jonghe, L.C., (2007) Electrochem. Solid-State Lett, 10 (4), pp. B74-B76; Bidrawn, F., Kima, G., Aramrueang, N., Vohs, J.M., Gorte, R.J., (2010) J. Power Sources, 195, pp. 720-728; Jung, S.N., Lu, C., He, H., Ahn, K., Gorte, R.J., Vohs, J.M., (2006) J. Power Sources, 154, pp. 42-50; Lee, S., Kima, G., Vohs, J.M., Gorte, R.J., (2008) J. Electrochem. Soc, 155 (11), pp. B1179-B1183; Klemensø, T., Thydén, K., Chen, M., Wang, H.J., (2010) J. Power Sources, 195, pp. 7295-7301; Qiao, J., Sun, K., Zhang, N., Sun, B., Kong, J., Zhou, D., (2007) J. Power Sources, 169, p. 253; Sholklapper, T.Z., Kurokawa, H., Jacobsen, C.P., Visco, S.J., De Jonghe, L.C., (2007) Nano Lett, 7 (7), p. 2136; Singh, C.A., Krishnan, V.V., (2008) ECS Trans, 6 (21), p. 25; Kuzjukevics, A., Linderoth, S., (1997) Solid State Ionics, 93, pp. 255-261; Hanifi, A.R., Shinbine, A., Etsell, T.H., (2012) Int. J. Appl. Ceram. Technol, 9 (6), pp. 1011-1021; Keyvanfar, P., Birss, V., (2013) ECS Trans, 57 (1), pp. 1627-1638; Keyvanfar, P., Birss, V., (2014) J. Electrochem. Soc., 161 (5); Sonn, V., Leonide, A., Ivers-Tiffée, E., (2008) J. Electrochem. Soc, 155 (7), pp. B675-B679; Mirfakhraei, B., Ramezanipour, F., Paulson, S., Birss, V., Thangadurai, V., (2014) Front. Energy Res, 2 (9), p. 1","page":"4099-4106","publisher":"Electrochemical Society Inc.","title":"Enhancement of Ni-(Y2O3)0.08(ZrO2)0.92 fuel electrode performance by infiltration of Ce0.8Gd0.2O2-: δ nanoparticles","type":"article-journal","volume":"8"},"uris":["http://www.mendeley.com/documents/?uuid=dce84148-6a21-48a0-b47c-2499845cfa9d"]}],"mendeley":{"formattedCitation":"[505], [506]","plainTextFormattedCitation":"[505], [506]","previouslyFormattedCitation":"[505], [506]"},"properties":{"noteIndex":0},"schema":"https://github.com/citation-style-language/schema/raw/master/csl-citation.json"}</w:instrText>
      </w:r>
      <w:r>
        <w:fldChar w:fldCharType="separate"/>
      </w:r>
      <w:r w:rsidR="008446C6" w:rsidRPr="008446C6">
        <w:rPr>
          <w:noProof/>
        </w:rPr>
        <w:t>[505], [506]</w:t>
      </w:r>
      <w:r>
        <w:fldChar w:fldCharType="end"/>
      </w:r>
      <w:r>
        <w:t>.</w:t>
      </w:r>
    </w:p>
    <w:p w14:paraId="4E71F22D" w14:textId="77777777" w:rsidR="00007F6C" w:rsidRDefault="00007F6C" w:rsidP="00007F6C">
      <w:pPr>
        <w:jc w:val="both"/>
      </w:pPr>
      <w:r>
        <w:t>The impact of drying under a nitrogen atmosphere has been shown to produce a pronounced difference to the cells both microstructurally and electrochemically. The reduced polarisation resistance can be linked to the lack of pore blocking present in the nitrogen dried cells. However, the nitrogen dried samples are still subject to PMC and coarsening albeit at a slower rate than their air-dried counterpart. This is exemplified by the % dispersion of the nickel crystallite in the nitrogen cells dropping to under 1.5 % after an extra hour of ageing compared to the air-dried samples.</w:t>
      </w:r>
    </w:p>
    <w:p w14:paraId="04647F1E" w14:textId="68457E3E" w:rsidR="00007F6C" w:rsidRDefault="00007F6C" w:rsidP="00007F6C">
      <w:pPr>
        <w:jc w:val="both"/>
      </w:pPr>
      <w:r w:rsidRPr="0068576F">
        <w:t xml:space="preserve">The migration of the infiltrated nickel towards the AFL </w:t>
      </w:r>
      <w:r>
        <w:t xml:space="preserve">in both sets of samples illustrate that ageing the catalyst well above its </w:t>
      </w:r>
      <w:proofErr w:type="spellStart"/>
      <w:r>
        <w:t>T</w:t>
      </w:r>
      <w:r>
        <w:rPr>
          <w:vertAlign w:val="subscript"/>
        </w:rPr>
        <w:t>Tammann</w:t>
      </w:r>
      <w:proofErr w:type="spellEnd"/>
      <w:r>
        <w:t xml:space="preserve"> has provided the catalyst particles with extreme mobility under typical SOFC operating conditions </w:t>
      </w:r>
      <w:r>
        <w:fldChar w:fldCharType="begin" w:fldLock="1"/>
      </w:r>
      <w:r w:rsidR="00D80A5D">
        <w:instrText>ADDIN CSL_CITATION {"citationItems":[{"id":"ITEM-1","itemData":{"DOI":"10.1002/zaac.19191070102","abstract":"Abstract Übersicht S.1.– 1. Die regellose Verteilung zweier Molekülarten S.9.–2. Die regelmäßigen Verteilungen zweier Atomarten in Raumgittern S. 15.–3. Die bei der Extraktion mit Salpetersäure verbleibenden Rückstände der Gold - Silber- und Gold -Kupferlegierungen S. 49. – 4. Vorläufige Bestimmung der Einwirkungsgrenzen von schwefelhaltigen Agentien und schwachen Oxydationsmitteln auf die Cu-Au-Mischkristalle und der Einfluß der Temperatur auf diese Einwirkungsgrenzen S. 57 – 5. Genauere Bestimmung der Einwirkungsgrenzen auf die Cu-Au- und Ag-Au-Mischkristalle in Abhängigkeit von der Natur der chemischen Agentien S. 62. – 6. Über die Löslichkeit von Wasserstoff in Palladiummischkristallen S. 89. – 7. Deutung der Einwirkungsgrenzen S. 96. – 8. Das Verhalten der ternären Mischkristalle von Cu, Ag und Au gegen chemische Agentien und ihre Farben S. 107. – 9. Die Einwirkungsgrenzen der Mischkristalle des Vanadins und Siliciums mit Eisen S. 118.–10. Die galvanischen Spannungen der Legierungen S. 136.– 11. Angenäherte Bestimmung der Einwirkungsgrenzen auf die Mischkristallreihen des Mn mit Ag und die des Mg mit Ag S. 169. – 12. Über den Einfluß der Kaltbearbeitung auf die chemischen Einwirkungsgrenzen S. 171. – 13. Zusammenfassung der Resultate, betreffend die Einwirkungsgrenzen und Übersicht ihrer Deutung S. 186. – 14. Über den atomistischen Aufbau nichtmetallischer Mischkristalle S. 186.– 15. Die normale Molekülverteilung in Mischkristallen als Ursache ihrer anomalen Doppelbrechung S. 208. – 16. Isomere metallische Mischkristalle S. 217.–17. Bemerkungen über „Säure”︁ beständige Legierungen S.235.– Schlußwort S.237.","author":[{"dropping-particle":"","family":"Tammann","given":"G","non-dropping-particle":"","parse-names":false,"suffix":""}],"container-title":"Zeitschrift für anorganische und allgemeine Chemie","id":"ITEM-1","issue":"1","issued":{"date-parts":[["1919"]]},"page":"1-239","title":"Zum Gedächtnis der Entdeckung des Isomorphismus vor 100 Jahren. Die chemischen und galvanischen Eigenschaften von Mischkristallreihen und ihre Atomverteilung","type":"article-journal","volume":"107"},"uris":["http://www.mendeley.com/documents/?uuid=6284032c-9c7e-43bd-bed0-65f21129f2be"]}],"mendeley":{"formattedCitation":"[238]","plainTextFormattedCitation":"[238]","previouslyFormattedCitation":"[238]"},"properties":{"noteIndex":0},"schema":"https://github.com/citation-style-language/schema/raw/master/csl-citation.json"}</w:instrText>
      </w:r>
      <w:r>
        <w:fldChar w:fldCharType="separate"/>
      </w:r>
      <w:r w:rsidR="006C586A" w:rsidRPr="006C586A">
        <w:rPr>
          <w:noProof/>
        </w:rPr>
        <w:t>[238]</w:t>
      </w:r>
      <w:r>
        <w:fldChar w:fldCharType="end"/>
      </w:r>
      <w:r>
        <w:t>.</w:t>
      </w:r>
      <w:r w:rsidR="00666184">
        <w:t xml:space="preserve"> </w:t>
      </w:r>
    </w:p>
    <w:p w14:paraId="2D99560D" w14:textId="05475D5C" w:rsidR="00EC62EF" w:rsidRDefault="00EC62EF" w:rsidP="00EC62EF">
      <w:pPr>
        <w:jc w:val="both"/>
      </w:pPr>
      <w:r>
        <w:t xml:space="preserve">Additionally, the ex-situ heating process utilised in this study means that the infiltrated nickel catalyst is subject to both thermal and atmospheric cycling. The repeated 1 h heating step and subsequent cooling of the pillar sample at 800 </w:t>
      </w:r>
      <w:r>
        <w:rPr>
          <w:rFonts w:cstheme="minorHAnsi"/>
        </w:rPr>
        <w:t>°</w:t>
      </w:r>
      <w:r>
        <w:t>C in 10 % H</w:t>
      </w:r>
      <w:r>
        <w:rPr>
          <w:vertAlign w:val="subscript"/>
        </w:rPr>
        <w:t>2</w:t>
      </w:r>
      <w:r>
        <w:t>/N</w:t>
      </w:r>
      <w:r>
        <w:rPr>
          <w:vertAlign w:val="subscript"/>
        </w:rPr>
        <w:t>2</w:t>
      </w:r>
      <w:r>
        <w:t xml:space="preserve"> ensured that within a 4 h period the sample had been subject to a temperature range between 25 and 800 </w:t>
      </w:r>
      <w:r>
        <w:rPr>
          <w:rFonts w:cstheme="minorHAnsi"/>
        </w:rPr>
        <w:t>°</w:t>
      </w:r>
      <w:r>
        <w:t xml:space="preserve">C. Over the past 12 years thermal cycling has been documented to increase the volume of the nickel phase in traditional cermet anodes </w:t>
      </w:r>
      <w:r>
        <w:fldChar w:fldCharType="begin" w:fldLock="1"/>
      </w:r>
      <w:r>
        <w:instrText>ADDIN CSL_CITATION {"citationItems":[{"id":"ITEM-1","itemData":{"ISBN":"9036513375","abstract":"This thesis deals with the porous Ni/yttria-stabilized zirconia (YSZ) cermet anode on a YSZ electrolyte for solid oxide fuel cells (SOFC). Such anodes are predominantly operated in moist hydrogen at 700C to 1000C, and the most important technological parameters are the polarization resistance and the long-term stability. The polarization resistance can be measured by a number of techniques, in the present work impedance spectroscopy has been used extensively. By impedance spectroscopy limiting processes in the anode polarization resistance may often be separated and characterized individually, provided they have a reasonable separation in time constants. Three limiting processes are recognized in impedance spectra obtained on technological Ni/YSZ cermet anodes characterized against a stable reference electrode atmosphere. By parameter studies and illustrative experiments, the two contributions at low and medium frequency have been identified as gas conversion and diffusion limitations, respectively. Both of these effects are concentration limitations relating to the inefficient exchange of fuel gas in the test setup outside the porous cermet. A test setup geometry where these concentration effects are avoided for high-performance electrodes is recommended. The high frequency limitation is demonstrated to relate to the cermet structure. The dependence on gas composition, temperature, adsorbed species (sulfur), isotopes (H/D), sintering temperature and cermet thickness is investigated. Despite these studies and several similar studies by others, the exact chemical or physical nature of the limiting step has not been incontestably identified. However, there is a general consensus in literature about the hydrogen oxidation process taking place on or near to the triple phase boundary (TPB) line, where open gas-filled pores, the continuous electrolyte phase (oxide ion conductor) and the continuous Ni phase (electronic conductor) meet. The physical thickness of a cermet anode that contains active TPB sites contributing to the current density of an SOFC is demonstrated to be about 10 µm. This result has technological importance, as any overlying structure serves primarily as a current collector and needs not be optimized for transport of oxide ions. The anode durability is investigated over 1300 to 1900 hrs at 300 mA/cm2 and shown to be stable at 1050C. At 1000C a degradation rate of about 10 mΩcm2 /1000 hrs is observed, and at 850C a degradation rate of about …","author":[{"dropping-particle":"","family":"Primdahl Søren","given":"","non-dropping-particle":"","parse-names":false,"suffix":""}],"container-title":"Faculty of Chemical Technology","id":"ITEM-1","issued":{"date-parts":[["1999"]]},"number-of-pages":"203","publisher":"University of Twente","title":"Nickel/yttria-stabilised zirconia cermet anodes for solid oxide fuel cells","type":"thesis","volume":"PhD"},"uris":["http://www.mendeley.com/documents/?uuid=d068fc62-a138-420e-ad1f-fbc9376c752d"]},{"id":"ITEM-2","itemData":{"DOI":"10.1016/j.elecom.2010.05.014","ISSN":"13882481","abstract":"Here, we demonstrate the use of X-ray absorption edge spectroscopy in conjunction with high resolution X-ray nano-computed tomography to provide a comprehensive microstructural map of a Ni-YSZ electrode from a Solid Oxide Fuel Cell. The experimentally derived microstructure has been used to develop a geometrical test for microstructural homogeneity. © 2010 Elsevier B.V. All rights reserved.","author":[{"dropping-particle":"","family":"Shearing","given":"P. R.","non-dropping-particle":"","parse-names":false,"suffix":""},{"dropping-particle":"","family":"Gelb","given":"J.","non-dropping-particle":"","parse-names":false,"suffix":""},{"dropping-particle":"","family":"Yi","given":"J.","non-dropping-particle":"","parse-names":false,"suffix":""},{"dropping-particle":"","family":"Lee","given":"W. K.","non-dropping-particle":"","parse-names":false,"suffix":""},{"dropping-particle":"","family":"Drakopolous","given":"M.","non-dropping-particle":"","parse-names":false,"suffix":""},{"dropping-particle":"","family":"Brandon","given":"N. P.","non-dropping-particle":"","parse-names":false,"suffix":""}],"container-title":"Electrochemistry Communications","id":"ITEM-2","issue":"8","issued":{"date-parts":[["2010"]]},"page":"1021-1024","title":"Analysis of triple phase contact in Ni-YSZ microstructures using non-destructive X-ray tomography with synchrotron radiation","type":"article-journal","volume":"12"},"uris":["http://www.mendeley.com/documents/?uuid=2bfefb55-7e53-4b15-a4a7-00b8901444d9"]},{"id":"ITEM-3","itemData":{"DOI":"10.1016/j.jpowsour.2017.11.024","ISSN":"03787753","abstract":"Ni-YSZ anodes for Solid Oxide Fuel Cells are vulnerable to microstructural damage during redox cycling leading to a decrease in the electrochemical performance. This study quantifies the microstructural changes as a function of redox cycles at 800 °C and associates it to the deterioration of the mechanical properties and polarisation resistance. A physically-based model is used to estimate the triple-phase boundary (TPB) length from impedance spectra, and satisfactorily matches the TPB length quantified by FIB-SEM tomography: within 20 redox cycles, the TPB density decreases from 4.63 μm−2 to 1.06 μm−2. Although the polarisation resistance increases by an order of magnitude after 20 cycles, after each re-reduction the electrode polarisation improves consistently due to the transient generation of Ni nanoparticles around the TPBs. Nonetheless, the long-term degradation overshadows this transient improvement due to the nickel agglomeration. In addition, FIB-SEM tomography reveals fractures along YSZ grain boundaries, Ni-YSZ detachment and increased porosity in the composite that lead to irreversible mechanical damage: the elastic modulus diminishes from 36.4 GPa to 20.2 GPa and the hardness from 0.40 GPa to 0.15 GPa. These results suggest that microstructural, mechanical and electrochemical properties are strongly interdependent in determining the degradation caused by redox cycling.","author":[{"dropping-particle":"","family":"Song","given":"Bowen","non-dropping-particle":"","parse-names":false,"suffix":""},{"dropping-particle":"","family":"Ruiz-Trejo","given":"Enrique","non-dropping-particle":"","parse-names":false,"suffix":""},{"dropping-particle":"","family":"Bertei","given":"Antonio","non-dropping-particle":"","parse-names":false,"suffix":""},{"dropping-particle":"","family":"Brandon","given":"Nigel P.","non-dropping-particle":"","parse-names":false,"suffix":""}],"container-title":"Journal of Power Sources","id":"ITEM-3","issue":"November 2017","issued":{"date-parts":[["2018"]]},"page":"61-68","publisher":"Elsevier","title":"Quantification of the degradation of Ni-YSZ anodes upon redox cycling","type":"article-journal","volume":"374"},"uris":["http://www.mendeley.com/documents/?uuid=c3b21179-541d-4a76-a15b-a99d173790b5"]},{"id":"ITEM-4","itemData":{"DOI":"http://dx.doi.org/10.1016/j.jpowsour.2010.05.047","ISBN":"0378-7753","abstract":"Sintering of Ni is a key stability issue for Ni–YSZ anodes, and especially infiltration based electrodes. The potential of MgO, Al2O3, TiO2, CeO2 and Ce0.90Gd0.10O1.95 (CGO10) as sintering inhibitors was investigated for infiltrated Ni based anode structures. The structures were prepared from tape cast porous YSZ layers that were impregnated with Ni to form an electronic percolating phase. The Ni–YSZ structure was subsequently impregnated with the inhibitor candidate, and the stability of the structure was evaluated from conductivity measurements. Lower conductivity degradation rates were observed for samples infiltrated with the inhibitor candidates, and the best inhibitor effect was seen with higher loadings of CGO10, and CeO2 showed similar potential. The degradation in conductivity was not visibly reflected in the microstructure as Ni coarsening in any of the cases. An adverse effect of MgO, TiO2 and Al2O3 was reduced conductivity, possibly due to reaction with Ni and the formation of higher resistive phases. The Ni-infiltrated anodes were shown to have better initial electrochemical performance at 650 °C than conventionally produced Ni–YSZ anodes, but still very poor stability, and further improvement of the inhibitor approach is necessary before applying the Ni-infiltrated anodes in SOFCs.","author":[{"dropping-particle":"","family":"Klemensø","given":"Trine","non-dropping-particle":"","parse-names":false,"suffix":""},{"dropping-particle":"","family":"Thydén","given":"Karl","non-dropping-particle":"","parse-names":false,"suffix":""},{"dropping-particle":"","family":"Chen","given":"Ming","non-dropping-particle":"","parse-names":false,"suffix":""},{"dropping-particle":"","family":"Wang","given":"Hsiang-Jen","non-dropping-particle":"","parse-names":false,"suffix":""}],"container-title":"Journal of Power Sources","id":"ITEM-4","issue":"21","issued":{"date-parts":[["2010"]]},"page":"7295-7301","title":"Stability of Ni–yttria stabilized zirconia anodes based on Ni-impregnation","type":"article-journal","volume":"195"},"uris":["http://www.mendeley.com/documents/?uuid=e544a566-88fb-43a4-8c97-6ae27e0d793d"]},{"id":"ITEM-5","itemData":{"DOI":"10.1016/j.jpowsour.2011.08.083","ISSN":"03787753","abstract":"Understanding the mechanism of degradation in solid oxide fuel cells (SOFCs) using nickel/yttria-stabilized zirconia (Ni-YSZ) as the anode material is very important for the optimization of cell performance. In this work, the effects of thermal cycling on the microstructure of the Ni-YSZ anode are explored using the three-dimensional X-ray nano computed tomography (nano-CT) imaging technique. It is found that the average Ni particle size increased with thermal cycling, which is associated with the decreased connectivity of the Ni phase and the three-phase-boundary (TPB) length. Moreover, the conductivities of the anode samples are also reduced with the increase in thermal cycle times. The implication of these observations is discussed in terms of the relationship between the conductivity and connectivity of the Ni phase. © 2011 Elsevier B.V. All rights reserved.","author":[{"dropping-particle":"","family":"Guan","given":"Yong","non-dropping-particle":"","parse-names":false,"suffix":""},{"dropping-particle":"","family":"Gong","given":"Yunhui","non-dropping-particle":"","parse-names":false,"suffix":""},{"dropping-particle":"","family":"Li","given":"Wenjie","non-dropping-particle":"","parse-names":false,"suffix":""},{"dropping-particle":"","family":"Gelb","given":"Jeff","non-dropping-particle":"","parse-names":false,"suffix":""},{"dropping-particle":"","family":"Zhang","given":"Lei","non-dropping-particle":"","parse-names":false,"suffix":""},{"dropping-particle":"","family":"Liu","given":"Gang","non-dropping-particle":"","parse-names":false,"suffix":""},{"dropping-particle":"","family":"Zhang","given":"Xiaobo","non-dropping-particle":"","parse-names":false,"suffix":""},{"dropping-particle":"","family":"Song","given":"Xiangxia","non-dropping-particle":"","parse-names":false,"suffix":""},{"dropping-particle":"","family":"Xia","given":"Changrong","non-dropping-particle":"","parse-names":false,"suffix":""},{"dropping-particle":"","family":"Xiong","given":"Ying","non-dropping-particle":"","parse-names":false,"suffix":""},{"dropping-particle":"","family":"Wang","given":"Haiqian","non-dropping-particle":"","parse-names":false,"suffix":""},{"dropping-particle":"","family":"Wu","given":"Ziyu","non-dropping-particle":"","parse-names":false,"suffix":""},{"dropping-particle":"","family":"Tian","given":"Yangchao","non-dropping-particle":"","parse-names":false,"suffix":""}],"container-title":"Journal of Power Sources","id":"ITEM-5","issue":"24","issued":{"date-parts":[["2011"]]},"page":"10601-10605","publisher":"Elsevier B.V.","title":"Quantitative analysis of micro structural and conductivity evolution of Ni-YSZ anodes during thermal cycling based on nano-computed tomography","type":"article-journal","volume":"196"},"uris":["http://www.mendeley.com/documents/?uuid=ee3a719f-5fec-4fd2-ba93-23d631712892"]}],"mendeley":{"formattedCitation":"[132], [244], [422], [507], [508]","plainTextFormattedCitation":"[132], [244], [422], [507], [508]","previouslyFormattedCitation":"[132], [244], [422], [507], [508]"},"properties":{"noteIndex":0},"schema":"https://github.com/citation-style-language/schema/raw/master/csl-citation.json"}</w:instrText>
      </w:r>
      <w:r>
        <w:fldChar w:fldCharType="separate"/>
      </w:r>
      <w:r w:rsidRPr="00EC62EF">
        <w:rPr>
          <w:noProof/>
        </w:rPr>
        <w:t>[132], [244], [422], [507], [508]</w:t>
      </w:r>
      <w:r>
        <w:fldChar w:fldCharType="end"/>
      </w:r>
      <w:r>
        <w:t xml:space="preserve">.   </w:t>
      </w:r>
    </w:p>
    <w:p w14:paraId="6E86FE92" w14:textId="2FEBFE68" w:rsidR="00EC62EF" w:rsidRDefault="00EC62EF" w:rsidP="00EC62EF">
      <w:pPr>
        <w:jc w:val="both"/>
      </w:pPr>
      <w:r>
        <w:t xml:space="preserve">Thermal cycling studies to date have not been performed using PXCT especially infiltrated anodes. However, a study by Guan et al detailed the volume change in co-sintered Ni-YSZ anode samples with 4 h thermal cycles between 25-750 </w:t>
      </w:r>
      <w:r>
        <w:rPr>
          <w:rFonts w:cstheme="minorHAnsi"/>
        </w:rPr>
        <w:t>°</w:t>
      </w:r>
      <w:r>
        <w:t>C using ex-situ X</w:t>
      </w:r>
      <w:r w:rsidR="00956300">
        <w:t>C</w:t>
      </w:r>
      <w:r>
        <w:t xml:space="preserve">T imaging technique </w:t>
      </w:r>
      <w:r>
        <w:fldChar w:fldCharType="begin" w:fldLock="1"/>
      </w:r>
      <w:r>
        <w:instrText>ADDIN CSL_CITATION {"citationItems":[{"id":"ITEM-1","itemData":{"DOI":"10.1016/j.jpowsour.2011.08.083","ISSN":"03787753","abstract":"Understanding the mechanism of degradation in solid oxide fuel cells (SOFCs) using nickel/yttria-stabilized zirconia (Ni-YSZ) as the anode material is very important for the optimization of cell performance. In this work, the effects of thermal cycling on the microstructure of the Ni-YSZ anode are explored using the three-dimensional X-ray nano computed tomography (nano-CT) imaging technique. It is found that the average Ni particle size increased with thermal cycling, which is associated with the decreased connectivity of the Ni phase and the three-phase-boundary (TPB) length. Moreover, the conductivities of the anode samples are also reduced with the increase in thermal cycle times. The implication of these observations is discussed in terms of the relationship between the conductivity and connectivity of the Ni phase. © 2011 Elsevier B.V. All rights reserved.","author":[{"dropping-particle":"","family":"Guan","given":"Yong","non-dropping-particle":"","parse-names":false,"suffix":""},{"dropping-particle":"","family":"Gong","given":"Yunhui","non-dropping-particle":"","parse-names":false,"suffix":""},{"dropping-particle":"","family":"Li","given":"Wenjie","non-dropping-particle":"","parse-names":false,"suffix":""},{"dropping-particle":"","family":"Gelb","given":"Jeff","non-dropping-particle":"","parse-names":false,"suffix":""},{"dropping-particle":"","family":"Zhang","given":"Lei","non-dropping-particle":"","parse-names":false,"suffix":""},{"dropping-particle":"","family":"Liu","given":"Gang","non-dropping-particle":"","parse-names":false,"suffix":""},{"dropping-particle":"","family":"Zhang","given":"Xiaobo","non-dropping-particle":"","parse-names":false,"suffix":""},{"dropping-particle":"","family":"Song","given":"Xiangxia","non-dropping-particle":"","parse-names":false,"suffix":""},{"dropping-particle":"","family":"Xia","given":"Changrong","non-dropping-particle":"","parse-names":false,"suffix":""},{"dropping-particle":"","family":"Xiong","given":"Ying","non-dropping-particle":"","parse-names":false,"suffix":""},{"dropping-particle":"","family":"Wang","given":"Haiqian","non-dropping-particle":"","parse-names":false,"suffix":""},{"dropping-particle":"","family":"Wu","given":"Ziyu","non-dropping-particle":"","parse-names":false,"suffix":""},{"dropping-particle":"","family":"Tian","given":"Yangchao","non-dropping-particle":"","parse-names":false,"suffix":""}],"container-title":"Journal of Power Sources","id":"ITEM-1","issue":"24","issued":{"date-parts":[["2011"]]},"page":"10601-10605","publisher":"Elsevier B.V.","title":"Quantitative analysis of micro structural and conductivity evolution of Ni-YSZ anodes during thermal cycling based on nano-computed tomography","type":"article-journal","volume":"196"},"uris":["http://www.mendeley.com/documents/?uuid=ee3a719f-5fec-4fd2-ba93-23d631712892"]}],"mendeley":{"formattedCitation":"[508]","plainTextFormattedCitation":"[508]"},"properties":{"noteIndex":0},"schema":"https://github.com/citation-style-language/schema/raw/master/csl-citation.json"}</w:instrText>
      </w:r>
      <w:r>
        <w:fldChar w:fldCharType="separate"/>
      </w:r>
      <w:r w:rsidRPr="00EC62EF">
        <w:rPr>
          <w:noProof/>
        </w:rPr>
        <w:t>[508]</w:t>
      </w:r>
      <w:r>
        <w:fldChar w:fldCharType="end"/>
      </w:r>
      <w:r>
        <w:t>. Although the cycle is not analogous to the one in this work, it did link a 7.7 % drop in Ni-YSZ connectivity with a 36.4 % increase in the nickel volume after 32 h of ageing.</w:t>
      </w:r>
    </w:p>
    <w:p w14:paraId="4BE11CAD" w14:textId="77777777" w:rsidR="00EC62EF" w:rsidRDefault="00EC62EF" w:rsidP="00D001DA">
      <w:pPr>
        <w:spacing w:line="240" w:lineRule="auto"/>
        <w:jc w:val="both"/>
      </w:pPr>
      <w:r>
        <w:t>The Guan work provides insight into the coarsening behaviour of the catalyst material at ageing times past 10 h. Wet impregnated nanoscale catalysts have been well documented to sinter faster than their microscale co-sintered counterparts. In this study an 18.65 % increase in the nickel volume was documented after 4 h of ageing. This indicates that the nickel catalyst is coarsening at almost double the rate of the co-sintered anodes. This is a combination of both the elevated ageing temperature but also the fact that propensity of the nanoscale to sintering.</w:t>
      </w:r>
    </w:p>
    <w:p w14:paraId="65653F0B" w14:textId="2F53DD5B" w:rsidR="00007F6C" w:rsidRPr="000705B9" w:rsidRDefault="00EC62EF" w:rsidP="00D001DA">
      <w:pPr>
        <w:spacing w:line="240" w:lineRule="auto"/>
        <w:jc w:val="both"/>
      </w:pPr>
      <w:r>
        <w:t xml:space="preserve">If the nickel sintering rate continues to be double that of a co-sintered cermet than the steady state coarsening step (step III) detailed by Hansen would be achieved by a wet impregnated system between 15-20 h of ageing.  </w:t>
      </w:r>
      <w:r w:rsidR="00740B15">
        <w:t xml:space="preserve">The nickel volume in </w:t>
      </w:r>
      <w:proofErr w:type="spellStart"/>
      <w:r w:rsidR="00740B15">
        <w:t>Ptychograms</w:t>
      </w:r>
      <w:proofErr w:type="spellEnd"/>
      <w:r w:rsidR="00740B15">
        <w:t xml:space="preserve"> taken after this time should not change more than a 1 %. </w:t>
      </w:r>
      <w:r>
        <w:t>The next step for infiltrated fuel electrode PXCT work would be to identify the time when the steady state sintering by ageing samples is achieved and compare the sintering rates with co-sintered anode samples under identical conditions.</w:t>
      </w:r>
    </w:p>
    <w:p w14:paraId="78306E39" w14:textId="77777777" w:rsidR="00007F6C" w:rsidRDefault="00007F6C" w:rsidP="00007F6C">
      <w:pPr>
        <w:pStyle w:val="Heading1"/>
      </w:pPr>
      <w:bookmarkStart w:id="644" w:name="_Toc69129457"/>
      <w:r>
        <w:lastRenderedPageBreak/>
        <w:t>6.4</w:t>
      </w:r>
      <w:r>
        <w:tab/>
      </w:r>
      <w:r w:rsidRPr="00644D81">
        <w:t>Conclusions</w:t>
      </w:r>
      <w:bookmarkEnd w:id="644"/>
    </w:p>
    <w:p w14:paraId="750169C1" w14:textId="77777777" w:rsidR="00007F6C" w:rsidRDefault="00007F6C" w:rsidP="00007F6C">
      <w:pPr>
        <w:jc w:val="both"/>
      </w:pPr>
      <w:r w:rsidRPr="00585AE0">
        <w:t>Ptychographic X-ray computed tomography (PXCT) has been used to segment and image the microstructural changes present in infiltrated Ni-YSZ fuel electrodes.</w:t>
      </w:r>
      <w:r>
        <w:t xml:space="preserve"> Regions of interest near the anode functional layer were successfully segmented using an ex-situ snapshot method across multiple ageing times for the same infiltrated cells using Avizo Lite. This is the first known example of infiltrated SOFC fuel electrode samples having been imaged using this technique.</w:t>
      </w:r>
    </w:p>
    <w:p w14:paraId="5243046D" w14:textId="7E1967DE" w:rsidR="00007F6C" w:rsidRDefault="00007F6C" w:rsidP="00007F6C">
      <w:pPr>
        <w:jc w:val="both"/>
      </w:pPr>
      <w:r>
        <w:t>The</w:t>
      </w:r>
      <w:r w:rsidR="00666184">
        <w:t xml:space="preserve"> agreement between the</w:t>
      </w:r>
      <w:r>
        <w:t xml:space="preserve"> mass attenuation coefficient and grayscale coefficient ratios allow</w:t>
      </w:r>
      <w:r w:rsidR="00666184">
        <w:t xml:space="preserve">ed </w:t>
      </w:r>
      <w:r>
        <w:t>the assignment of the metal, scaffold and pore phase using grayscale bins. The major advantage of PXCT is that identical volumes can be continually reimaged during the ageing process.</w:t>
      </w:r>
    </w:p>
    <w:p w14:paraId="700DB86A" w14:textId="77777777" w:rsidR="00007F6C" w:rsidRDefault="00007F6C" w:rsidP="00007F6C">
      <w:pPr>
        <w:jc w:val="both"/>
      </w:pPr>
      <w:r>
        <w:t xml:space="preserve">This work has identified the primary coarsening mechanisms in wet impregnated Ni/YSZ fuel electrodes to be based on particle migration coalescence in a 4 h ageing window. It has also shown that the use of an inert drying atmosphere does reduce the rate of the coalescence for an infiltrated electrode due to reduced crystallite size. This is a result of reduced crystallite size allowing for greater movement through pores and less agglomeration via surface energy differences. </w:t>
      </w:r>
    </w:p>
    <w:p w14:paraId="5968AD26" w14:textId="1F48C216" w:rsidR="00007F6C" w:rsidRDefault="00007F6C" w:rsidP="00007F6C">
      <w:pPr>
        <w:jc w:val="both"/>
      </w:pPr>
      <w:r>
        <w:t xml:space="preserve">This work has illustrated that the timescale of fuel electrode coarsening is in the minutes. Further research is needed to track the evolution of nanoscale catalyst particles using thinner samples for better resolution at timescales preceding an hour. </w:t>
      </w:r>
      <w:r w:rsidR="00666184">
        <w:t xml:space="preserve"> Additional work is also required to demonstrate the timescale when steady-state sintering is reached for the wet impregnated nickel phase.</w:t>
      </w:r>
    </w:p>
    <w:p w14:paraId="1FC76159" w14:textId="77777777" w:rsidR="00007F6C" w:rsidRDefault="00007F6C" w:rsidP="00007F6C">
      <w:r>
        <w:br w:type="page"/>
      </w:r>
    </w:p>
    <w:p w14:paraId="3EEE654E" w14:textId="77777777" w:rsidR="00007F6C" w:rsidRPr="008F69B5" w:rsidRDefault="00007F6C" w:rsidP="00007F6C">
      <w:pPr>
        <w:pStyle w:val="Title"/>
        <w:jc w:val="both"/>
        <w:rPr>
          <w:sz w:val="40"/>
          <w:szCs w:val="40"/>
        </w:rPr>
      </w:pPr>
      <w:r>
        <w:rPr>
          <w:sz w:val="40"/>
          <w:szCs w:val="40"/>
        </w:rPr>
        <w:lastRenderedPageBreak/>
        <w:t xml:space="preserve">7. </w:t>
      </w:r>
      <w:r w:rsidRPr="008F69B5">
        <w:rPr>
          <w:sz w:val="40"/>
          <w:szCs w:val="40"/>
        </w:rPr>
        <w:t xml:space="preserve">Conclusions and </w:t>
      </w:r>
      <w:r>
        <w:rPr>
          <w:sz w:val="40"/>
          <w:szCs w:val="40"/>
        </w:rPr>
        <w:t>R</w:t>
      </w:r>
      <w:r w:rsidRPr="008F69B5">
        <w:rPr>
          <w:sz w:val="40"/>
          <w:szCs w:val="40"/>
        </w:rPr>
        <w:t>ecommendations</w:t>
      </w:r>
    </w:p>
    <w:p w14:paraId="5AB1303C" w14:textId="77777777" w:rsidR="00007F6C" w:rsidRPr="00895783" w:rsidRDefault="00007F6C" w:rsidP="00223BD8">
      <w:pPr>
        <w:pStyle w:val="Heading1"/>
        <w:ind w:left="720" w:hanging="720"/>
      </w:pPr>
      <w:bookmarkStart w:id="645" w:name="_Toc69129458"/>
      <w:r>
        <w:t>7.1</w:t>
      </w:r>
      <w:r>
        <w:tab/>
        <w:t xml:space="preserve">Quantifying the impact of gas drying atmospheres on infiltrated SOFC fuel </w:t>
      </w:r>
      <w:proofErr w:type="gramStart"/>
      <w:r>
        <w:t>electrodes</w:t>
      </w:r>
      <w:bookmarkEnd w:id="645"/>
      <w:proofErr w:type="gramEnd"/>
    </w:p>
    <w:p w14:paraId="5A9451E6" w14:textId="19E9E7FD" w:rsidR="00007F6C" w:rsidRPr="00846C3A" w:rsidRDefault="00007F6C" w:rsidP="00007F6C">
      <w:pPr>
        <w:jc w:val="both"/>
      </w:pPr>
      <w:r>
        <w:t>The impact of utilising a flowing nitrogen atmosphere during the drying step of wet infiltrated electrodes was investigated during this work. This was compared to using an air-drying step at 120</w:t>
      </w:r>
      <w:r>
        <w:rPr>
          <w:rFonts w:cstheme="minorHAnsi"/>
        </w:rPr>
        <w:t>⁰</w:t>
      </w:r>
      <w:r>
        <w:t>C. The motivation for this enquiry was to utilise the drying step as a method of dispersing the wet impregnated nickel catalyst and consequently increasing its activity. Little was known about the decomposition of the nitrate material and its impact on the electrochemical properties of the wet impregnated fuel electrode.  This activity increase was measured by monitoring the change in the polarisation resistance, R</w:t>
      </w:r>
      <w:r>
        <w:rPr>
          <w:vertAlign w:val="subscript"/>
        </w:rPr>
        <w:t>P</w:t>
      </w:r>
      <w:r>
        <w:t xml:space="preserve"> over a </w:t>
      </w:r>
      <w:proofErr w:type="gramStart"/>
      <w:r>
        <w:t>50</w:t>
      </w:r>
      <w:r w:rsidR="00D91E91">
        <w:t xml:space="preserve"> </w:t>
      </w:r>
      <w:r>
        <w:t>h</w:t>
      </w:r>
      <w:proofErr w:type="gramEnd"/>
      <w:r>
        <w:t xml:space="preserve"> ageing period.</w:t>
      </w:r>
    </w:p>
    <w:p w14:paraId="0716D82C" w14:textId="3F5FBD35" w:rsidR="00007F6C" w:rsidRDefault="00007F6C" w:rsidP="00007F6C">
      <w:pPr>
        <w:jc w:val="both"/>
      </w:pPr>
      <w:r>
        <w:t>The nitrogen drying step was shown to have consistently produced a size reduction of 30 % for the nickel particles via strain corrected Debye-Scherrer analysis and scanning electron micrographs. This translated to a 1.5 % increase in the dispersion of the catalyst nanoparticles after calcination and reduction. In addition, FTIR spectra of both drying steps also showed that the drying promoted the decomposition of the nitrate phase with absorbance peaks at 1315 cm</w:t>
      </w:r>
      <w:r>
        <w:rPr>
          <w:vertAlign w:val="superscript"/>
        </w:rPr>
        <w:t>-1</w:t>
      </w:r>
      <w:r>
        <w:t xml:space="preserve"> and 1385 cm</w:t>
      </w:r>
      <w:r>
        <w:rPr>
          <w:vertAlign w:val="superscript"/>
        </w:rPr>
        <w:t>-1</w:t>
      </w:r>
      <w:r>
        <w:t xml:space="preserve"> indicative of the free NO</w:t>
      </w:r>
      <w:r>
        <w:rPr>
          <w:vertAlign w:val="subscript"/>
        </w:rPr>
        <w:t>3</w:t>
      </w:r>
      <w:r>
        <w:rPr>
          <w:vertAlign w:val="superscript"/>
        </w:rPr>
        <w:t>2-</w:t>
      </w:r>
      <w:r>
        <w:t xml:space="preserve"> nitrate ion for both samples</w:t>
      </w:r>
      <w:r w:rsidR="00740B15">
        <w:t xml:space="preserve"> </w:t>
      </w:r>
      <w:r>
        <w:t>(</w:t>
      </w:r>
      <w:r>
        <w:fldChar w:fldCharType="begin"/>
      </w:r>
      <w:r>
        <w:instrText xml:space="preserve"> REF _Ref50389199 \h </w:instrText>
      </w:r>
      <w:r>
        <w:fldChar w:fldCharType="separate"/>
      </w:r>
      <w:r>
        <w:t>Figure 4.</w:t>
      </w:r>
      <w:r>
        <w:rPr>
          <w:noProof/>
        </w:rPr>
        <w:t>6</w:t>
      </w:r>
      <w:r>
        <w:fldChar w:fldCharType="end"/>
      </w:r>
      <w:r>
        <w:t>).</w:t>
      </w:r>
    </w:p>
    <w:p w14:paraId="126FCDE1" w14:textId="77777777" w:rsidR="00007F6C" w:rsidRDefault="00007F6C" w:rsidP="00007F6C">
      <w:pPr>
        <w:jc w:val="both"/>
      </w:pPr>
      <w:r>
        <w:t xml:space="preserve">Scanning electron micrographs of the dried nickel nitrate precursor showed the formation of particles under the nitrogen drying regime. This was discussed to be the result of nucleation and growth of </w:t>
      </w:r>
      <w:proofErr w:type="spellStart"/>
      <w:r>
        <w:t>bunsenite</w:t>
      </w:r>
      <w:proofErr w:type="spellEnd"/>
      <w:r>
        <w:t xml:space="preserve"> particles confined by the dried nitrate film. This indicated that the air-dried nickel particles were subject to pre-reduction agglomeration, evident from the disk-like morphology present in the micrographs and the multiple reduction peaks present in TPR.</w:t>
      </w:r>
    </w:p>
    <w:p w14:paraId="6639E590" w14:textId="77777777" w:rsidR="00007F6C" w:rsidRDefault="00007F6C" w:rsidP="00007F6C">
      <w:pPr>
        <w:jc w:val="both"/>
      </w:pPr>
      <w:r>
        <w:t xml:space="preserve">Using the combination of the structural, chemical, and microstructural analyses discussed during this chapter a decomposition pathway for both systems was described. In the air-dried system the dried disks decompose partially during drying leaving a heterogeneous dispersion of nickel nitrate particles which under calcination form </w:t>
      </w:r>
      <w:proofErr w:type="spellStart"/>
      <w:r>
        <w:t>bunsenite</w:t>
      </w:r>
      <w:proofErr w:type="spellEnd"/>
      <w:r>
        <w:t xml:space="preserve"> agglomerates. These clumped particles are reduced during SOFC start-up and sinter during the first 10-20 h of ageing. In the nitrogen dried system, the confinement of the nickel particles by the nitrate film during drying promotes the formation of monodisperse particles with a homogeneous size distribution and reduced sintering rate. This is the first known discussion of this mechanism for infiltrated fuel electrodes.</w:t>
      </w:r>
    </w:p>
    <w:p w14:paraId="5628A153" w14:textId="77777777" w:rsidR="00007F6C" w:rsidRPr="006B01D3" w:rsidRDefault="00007F6C" w:rsidP="00007F6C">
      <w:pPr>
        <w:jc w:val="both"/>
      </w:pPr>
      <w:r>
        <w:t>The electrochemical impedance spectra results (R</w:t>
      </w:r>
      <w:r>
        <w:rPr>
          <w:vertAlign w:val="subscript"/>
        </w:rPr>
        <w:t>P</w:t>
      </w:r>
      <w:r>
        <w:t>) gathered through this study were consistently one scale factor larger than Ni-YSZ electrodes in the literature. This elevation was a combination of several factors. Firstly, the graphite in the YSZ ceramic ink interacted with the binder causing the formation of a shear-thinning ink, which impacted the mechanical stability of the scaffold, with large voids after firing. To mitigate this issue a carbonless ink was also trialled. The infiltration solution concentration was also reduced, as 5 M approaches the solubility limit for the nickel nitrate in water and could have blocked the pores inducing a larger R</w:t>
      </w:r>
      <w:r>
        <w:rPr>
          <w:vertAlign w:val="subscript"/>
        </w:rPr>
        <w:t>P</w:t>
      </w:r>
      <w:r>
        <w:t>. A total of fifteen 40 sample batches were trialled during this project to ensure that despite these issues the datasets from the samples could be produced reliably. The age of the frequency response analyser may have also added to this issue.</w:t>
      </w:r>
    </w:p>
    <w:p w14:paraId="6FC1C916" w14:textId="77777777" w:rsidR="00007F6C" w:rsidRDefault="00007F6C" w:rsidP="00007F6C">
      <w:pPr>
        <w:jc w:val="both"/>
      </w:pPr>
      <w:r>
        <w:t xml:space="preserve">The wet impregnated electrodes in this study can be compared as an enclosed system </w:t>
      </w:r>
      <w:r w:rsidRPr="00CA184E">
        <w:t xml:space="preserve">to display any trends that appear. </w:t>
      </w:r>
      <w:r>
        <w:t>After an ageing period of 50 h the nitrogen dried, air calcined Ni-YSZ samples showed the smallest rise in the polarisation resistance for the drying and calcination. A result of the increased dispersion and reduced size of the nickel particles prior to ageing.</w:t>
      </w:r>
    </w:p>
    <w:p w14:paraId="784C4C52" w14:textId="77777777" w:rsidR="00007F6C" w:rsidRDefault="00007F6C" w:rsidP="00007F6C">
      <w:pPr>
        <w:jc w:val="both"/>
      </w:pPr>
    </w:p>
    <w:p w14:paraId="2218E565" w14:textId="77777777" w:rsidR="00007F6C" w:rsidRPr="001312C5" w:rsidRDefault="00007F6C" w:rsidP="00007F6C">
      <w:pPr>
        <w:jc w:val="both"/>
      </w:pPr>
      <w:r>
        <w:t>After an ageing period of 10 h the R</w:t>
      </w:r>
      <w:r>
        <w:rPr>
          <w:vertAlign w:val="subscript"/>
        </w:rPr>
        <w:t>P</w:t>
      </w:r>
      <w:r>
        <w:t xml:space="preserve"> of these electrodes began to plateau, indicating early-stage stability for the infiltrated nickel system. This behaviour begins at far shorter time than the industrial standard of 100 h of ageing, suggesting that this period can be reduced for wet-impregnated systems.</w:t>
      </w:r>
    </w:p>
    <w:p w14:paraId="3025140E" w14:textId="77777777" w:rsidR="00007F6C" w:rsidRDefault="00007F6C" w:rsidP="00007F6C">
      <w:pPr>
        <w:pStyle w:val="Heading2"/>
        <w:jc w:val="both"/>
      </w:pPr>
      <w:bookmarkStart w:id="646" w:name="_Toc69129459"/>
      <w:r>
        <w:t>7.1.1 Recommendations from Chapter 4</w:t>
      </w:r>
      <w:bookmarkEnd w:id="646"/>
    </w:p>
    <w:p w14:paraId="197F380D" w14:textId="77777777" w:rsidR="00007F6C" w:rsidRDefault="00007F6C" w:rsidP="00007F6C">
      <w:pPr>
        <w:jc w:val="both"/>
      </w:pPr>
      <w:r>
        <w:t>This study has illustrated the importance of the drying step on the microstructural properties of infiltrated Ni-YSZ fuel electrodes for SOFCs. The use of the nitrogen drying atmosphere has reduced the initial particle size of the nickel during processing, reducing the R</w:t>
      </w:r>
      <w:r>
        <w:rPr>
          <w:vertAlign w:val="subscript"/>
        </w:rPr>
        <w:t>P</w:t>
      </w:r>
      <w:r>
        <w:t xml:space="preserve"> degradation rate.</w:t>
      </w:r>
    </w:p>
    <w:p w14:paraId="409611D4" w14:textId="77777777" w:rsidR="00007F6C" w:rsidRPr="00C42C15" w:rsidRDefault="00007F6C" w:rsidP="00007F6C">
      <w:pPr>
        <w:jc w:val="both"/>
      </w:pPr>
      <w:r>
        <w:t>The following recommendations</w:t>
      </w:r>
      <w:r w:rsidRPr="00C42C15">
        <w:t xml:space="preserve"> are suggested for those looking to investigate drying processing steps in wet-impregnated SOFCs</w:t>
      </w:r>
      <w:r>
        <w:t>:</w:t>
      </w:r>
    </w:p>
    <w:p w14:paraId="5836DA51" w14:textId="77777777" w:rsidR="00007F6C" w:rsidRDefault="00007F6C" w:rsidP="00007F6C">
      <w:pPr>
        <w:pStyle w:val="ListParagraph"/>
        <w:numPr>
          <w:ilvl w:val="0"/>
          <w:numId w:val="36"/>
        </w:numPr>
        <w:jc w:val="both"/>
      </w:pPr>
      <w:r>
        <w:t>Avoid the use of drying and calcination of infiltrated electrodes under the same atmosphere. This promotes additional gas phase diffusion impedances and increases the rate of polarisation resistance degradation.</w:t>
      </w:r>
    </w:p>
    <w:p w14:paraId="4B622945" w14:textId="77777777" w:rsidR="00007F6C" w:rsidRDefault="00007F6C" w:rsidP="00007F6C">
      <w:pPr>
        <w:pStyle w:val="ListParagraph"/>
        <w:numPr>
          <w:ilvl w:val="0"/>
          <w:numId w:val="36"/>
        </w:numPr>
        <w:jc w:val="both"/>
      </w:pPr>
      <w:r>
        <w:t>Use an inert nitrogen drying atmosphere to increase the catalyst dispersion and reduce the initial catalyst size.</w:t>
      </w:r>
    </w:p>
    <w:p w14:paraId="0FD61FB9" w14:textId="14135B27" w:rsidR="00007F6C" w:rsidRDefault="00007F6C" w:rsidP="00007F6C">
      <w:pPr>
        <w:pStyle w:val="ListParagraph"/>
        <w:numPr>
          <w:ilvl w:val="0"/>
          <w:numId w:val="36"/>
        </w:numPr>
        <w:jc w:val="both"/>
      </w:pPr>
      <w:r>
        <w:t xml:space="preserve">Ensure that the calcination temperatures for the infiltrated material remain between the </w:t>
      </w:r>
      <w:proofErr w:type="spellStart"/>
      <w:r>
        <w:t>Huttig</w:t>
      </w:r>
      <w:proofErr w:type="spellEnd"/>
      <w:r>
        <w:t xml:space="preserve"> and </w:t>
      </w:r>
      <w:proofErr w:type="spellStart"/>
      <w:r>
        <w:t>Tamman</w:t>
      </w:r>
      <w:proofErr w:type="spellEnd"/>
      <w:r>
        <w:t xml:space="preserve"> temperatures of the metal catalyst (378</w:t>
      </w:r>
      <w:r>
        <w:rPr>
          <w:rFonts w:cstheme="minorHAnsi"/>
        </w:rPr>
        <w:t>⁰</w:t>
      </w:r>
      <w:r>
        <w:t>C and 728</w:t>
      </w:r>
      <w:r>
        <w:rPr>
          <w:rFonts w:cstheme="minorHAnsi"/>
        </w:rPr>
        <w:t>⁰</w:t>
      </w:r>
      <w:r>
        <w:t xml:space="preserve">C) to avoid addition sintering during </w:t>
      </w:r>
      <w:r w:rsidRPr="006019F6">
        <w:t xml:space="preserve">processing </w:t>
      </w:r>
      <w:r w:rsidRPr="006019F6">
        <w:fldChar w:fldCharType="begin" w:fldLock="1"/>
      </w:r>
      <w:r w:rsidR="00D80A5D">
        <w:instrText>ADDIN CSL_CITATION {"citationItems":[{"id":"ITEM-1","itemData":{"DOI":"10.1002/zaac.19191070102","abstract":"Abstract Übersicht S.1.– 1. Die regellose Verteilung zweier Molekülarten S.9.–2. Die regelmäßigen Verteilungen zweier Atomarten in Raumgittern S. 15.–3. Die bei der Extraktion mit Salpetersäure verbleibenden Rückstände der Gold - Silber- und Gold -Kupferlegierungen S. 49. – 4. Vorläufige Bestimmung der Einwirkungsgrenzen von schwefelhaltigen Agentien und schwachen Oxydationsmitteln auf die Cu-Au-Mischkristalle und der Einfluß der Temperatur auf diese Einwirkungsgrenzen S. 57 – 5. Genauere Bestimmung der Einwirkungsgrenzen auf die Cu-Au- und Ag-Au-Mischkristalle in Abhängigkeit von der Natur der chemischen Agentien S. 62. – 6. Über die Löslichkeit von Wasserstoff in Palladiummischkristallen S. 89. – 7. Deutung der Einwirkungsgrenzen S. 96. – 8. Das Verhalten der ternären Mischkristalle von Cu, Ag und Au gegen chemische Agentien und ihre Farben S. 107. – 9. Die Einwirkungsgrenzen der Mischkristalle des Vanadins und Siliciums mit Eisen S. 118.–10. Die galvanischen Spannungen der Legierungen S. 136.– 11. Angenäherte Bestimmung der Einwirkungsgrenzen auf die Mischkristallreihen des Mn mit Ag und die des Mg mit Ag S. 169. – 12. Über den Einfluß der Kaltbearbeitung auf die chemischen Einwirkungsgrenzen S. 171. – 13. Zusammenfassung der Resultate, betreffend die Einwirkungsgrenzen und Übersicht ihrer Deutung S. 186. – 14. Über den atomistischen Aufbau nichtmetallischer Mischkristalle S. 186.– 15. Die normale Molekülverteilung in Mischkristallen als Ursache ihrer anomalen Doppelbrechung S. 208. – 16. Isomere metallische Mischkristalle S. 217.–17. Bemerkungen über „Säure”︁ beständige Legierungen S.235.– Schlußwort S.237.","author":[{"dropping-particle":"","family":"Tammann","given":"G","non-dropping-particle":"","parse-names":false,"suffix":""}],"container-title":"Zeitschrift für anorganische und allgemeine Chemie","id":"ITEM-1","issue":"1","issued":{"date-parts":[["1919"]]},"page":"1-239","title":"Zum Gedächtnis der Entdeckung des Isomorphismus vor 100 Jahren. Die chemischen und galvanischen Eigenschaften von Mischkristallreihen und ihre Atomverteilung","type":"article-journal","volume":"107"},"uris":["http://www.mendeley.com/documents/?uuid=6284032c-9c7e-43bd-bed0-65f21129f2be"]},{"id":"ITEM-2","itemData":{"DOI":"10.1021/ja064884j","ISSN":"00027863","abstract":"A novel in situ autoreduction route has been developed, by which monodispersed silver nanoparticles with tunable sizes could be easily fabricated on silica-based materials, especially inside the channels of mesoporous silica (MPS). 13C CP/MAS NMR spectroscopy was employed to monitor the whole assembly process. It was demonstrated that the amino groups of APTS (aminopropyltriethoxyl silane)-modified MPS can be used to anchor formaldehyde to form novel reducing species (NHCH2OH), on which Ag(NH 3)2NO3 could be in situ reduced. Monodispersed silver nanoparticles were thus obtained. In situ XRD and in situ TEM experiments were used to investigate and compare the thermal stabilities of silver nanoparticles on the external surface of silica gels (unconfined) and those located inside the channels of SBA-15 (confined). It was observed that unconfined silver nanoparticles tended to agglomerate at low temperatures (i.e., lower than 773 K). The aggregation of silver nanoparticles became more serious at 773 K. However, for those confined silver nanoparticles, no coarsening process was observed at 773 K, much higher than its Tammann temperature (i.e., 617 K). Only when the treating temperature was higher than 873 K could the agglomeration of those confined silver nanoparticles happen with time-varying via the Ostwald ripening process. The confinement of mesopores played a key role in improving the thermal stabilities of silver nanoparticles (stable up to 773 K without any observable coarsening), which is essential to the further investigations on their chemical (e.g., catalytic) properties. © 2006 American Chemical Society.","author":[{"dropping-particle":"","family":"Sun","given":"Junming","non-dropping-particle":"","parse-names":false,"suffix":""},{"dropping-particle":"","family":"Ma","given":"Ding","non-dropping-particle":"","parse-names":false,"suffix":""},{"dropping-particle":"","family":"Zhang","given":"He","non-dropping-particle":"","parse-names":false,"suffix":""},{"dropping-particle":"","family":"Liu","given":"Xiumei","non-dropping-particle":"","parse-names":false,"suffix":""},{"dropping-particle":"","family":"Han","given":"Xiuwen","non-dropping-particle":"","parse-names":false,"suffix":""},{"dropping-particle":"","family":"Bao","given":"Xinhe","non-dropping-particle":"","parse-names":false,"suffix":""},{"dropping-particle":"","family":"Weinberg","given":"Gisela","non-dropping-particle":"","parse-names":false,"suffix":""},{"dropping-particle":"","family":"Pfänder","given":"Norbert","non-dropping-particle":"","parse-names":false,"suffix":""},{"dropping-particle":"","family":"Su","given":"Dangsheng","non-dropping-particle":"","parse-names":false,"suffix":""}],"container-title":"Journal of the American Chemical Society","id":"ITEM-2","issue":"49","issued":{"date-parts":[["2006"]]},"page":"15756-15764","title":"Toward monodispersed silver nanoparticles with unusual thermal stability","type":"article-journal","volume":"128"},"uris":["http://www.mendeley.com/documents/?uuid=dc0962e1-e02a-4d5c-8187-79d214c01270"]}],"mendeley":{"formattedCitation":"[238], [240]","plainTextFormattedCitation":"[238], [240]","previouslyFormattedCitation":"[238], [240]"},"properties":{"noteIndex":0},"schema":"https://github.com/citation-style-language/schema/raw/master/csl-citation.json"}</w:instrText>
      </w:r>
      <w:r w:rsidRPr="006019F6">
        <w:fldChar w:fldCharType="separate"/>
      </w:r>
      <w:r w:rsidR="006C586A" w:rsidRPr="006C586A">
        <w:rPr>
          <w:noProof/>
        </w:rPr>
        <w:t>[238], [240]</w:t>
      </w:r>
      <w:r w:rsidRPr="006019F6">
        <w:fldChar w:fldCharType="end"/>
      </w:r>
      <w:r w:rsidRPr="006019F6">
        <w:t>.</w:t>
      </w:r>
    </w:p>
    <w:p w14:paraId="179DD55A" w14:textId="36FD38E7" w:rsidR="00F46875" w:rsidRDefault="00007F6C" w:rsidP="00F46875">
      <w:pPr>
        <w:pStyle w:val="Heading2"/>
        <w:jc w:val="both"/>
      </w:pPr>
      <w:bookmarkStart w:id="647" w:name="_Toc69129460"/>
      <w:r>
        <w:t xml:space="preserve">7.1.2 </w:t>
      </w:r>
      <w:r w:rsidRPr="00636346">
        <w:t xml:space="preserve">Further </w:t>
      </w:r>
      <w:r w:rsidR="0056210C">
        <w:t>work from Chapter 4</w:t>
      </w:r>
      <w:bookmarkEnd w:id="647"/>
    </w:p>
    <w:p w14:paraId="04BDF3B3" w14:textId="19D1D200" w:rsidR="00007F6C" w:rsidRDefault="00007F6C" w:rsidP="00007F6C">
      <w:pPr>
        <w:jc w:val="both"/>
      </w:pPr>
      <w:r>
        <w:t xml:space="preserve">This work has illustrated the essential need for further work on the gas drying step for infiltrated SOFC fuel electrodes. </w:t>
      </w:r>
      <w:r w:rsidR="001214A4">
        <w:t xml:space="preserve">Optimisation via varying </w:t>
      </w:r>
      <w:r>
        <w:t>the gas flow rates and temperatures for the gas drying steps needs to be done for the continued improvement of the catalyst dispersion and activity.</w:t>
      </w:r>
      <w:r w:rsidR="001214A4">
        <w:t xml:space="preserve"> </w:t>
      </w:r>
      <w:r>
        <w:t xml:space="preserve">This enhanced activity could be characterised using chemical probes. Techniques such as hydrogen or carbon monoxide chemisorption or </w:t>
      </w:r>
      <w:proofErr w:type="spellStart"/>
      <w:r>
        <w:t>Branauer</w:t>
      </w:r>
      <w:proofErr w:type="spellEnd"/>
      <w:r>
        <w:t xml:space="preserve"> Emmett Teller studies would be able to track the active surface area of the nickel catalyst during different processing steps providing more information on the dispersion of this phase during electrode manufacture.</w:t>
      </w:r>
      <w:r w:rsidR="001214A4">
        <w:t xml:space="preserve"> The decomposition behaviour of the nickel nitrate precursor could also be monitored using Thermo-gravimetric analysis (TGA).</w:t>
      </w:r>
    </w:p>
    <w:p w14:paraId="063ABE72" w14:textId="77777777" w:rsidR="00007F6C" w:rsidRDefault="00007F6C" w:rsidP="00007F6C">
      <w:pPr>
        <w:jc w:val="both"/>
      </w:pPr>
      <w:r>
        <w:t>Tracking the microstructural evolution of the infiltrated phase during ageing via Debye-Scherrer analysis during the initial 10-h ageing window could provide a key insight to the growth of the nickel phase. An interrupted snapshot procedure like the one used in Chapter 6 could be used to age the catalyst phase in representative fuel electrode conditions using USAXS at the 9-ID beamline at ANL or similar facilities. This data coupled with microstructural quantification data from FIB-SEM or XCT could provide key crystallite size changes present in early-stage nickel sintering.</w:t>
      </w:r>
    </w:p>
    <w:p w14:paraId="16A8D988" w14:textId="2171FE27" w:rsidR="00007F6C" w:rsidRDefault="00007F6C" w:rsidP="00007F6C">
      <w:pPr>
        <w:jc w:val="both"/>
      </w:pPr>
      <w:r>
        <w:t>A repeat of this gas drying study on other infiltrated scaffold materials such as gadolinium doped ceria would help reduce the impact if any of Ni-substrate interactions on the sintering behaviour on the catalyst phase. Preliminary work conducted during this project has supported the hypothesis that these interactions do not affect the size reduction in the nickel. However, further work is needed to support this hypothesis.</w:t>
      </w:r>
    </w:p>
    <w:p w14:paraId="6347E79E" w14:textId="77777777" w:rsidR="001214A4" w:rsidRDefault="001214A4" w:rsidP="001214A4">
      <w:r>
        <w:t>Further EIS assessment of the ageing of the infiltrated Ni-YSZ cells at times exceeding 100 h are required. This would provide another level of robustness to the results from this work. As degradation rates per thousand hours could be calculated to provide comparison with studies in the literature. It would also illustrate the long-term impact that the drying has on the polarisation resistance of infiltrated SOFC anodes.</w:t>
      </w:r>
    </w:p>
    <w:p w14:paraId="66AE0022" w14:textId="4B41920C" w:rsidR="00007F6C" w:rsidRDefault="001214A4" w:rsidP="00007F6C">
      <w:r>
        <w:lastRenderedPageBreak/>
        <w:t>In addition, a larger number of EIS repeats are required for each drying condition to provide extra clarity on which step impacts the electrochemical performance of the cell. A baseline dataset of co-sintered Ni-YSZ cermet cells is also required for comparison with their wet impregnated counterparts. The power density characteristics of both datasets can be gathered from comparison of the samples respective IV curves. This will ensure that the data being produced is representative of current industrial standards.</w:t>
      </w:r>
    </w:p>
    <w:p w14:paraId="3C480E5D" w14:textId="5E5B77E3" w:rsidR="00007F6C" w:rsidRDefault="00007F6C" w:rsidP="00223BD8">
      <w:pPr>
        <w:pStyle w:val="Heading1"/>
        <w:ind w:left="720" w:hanging="720"/>
      </w:pPr>
      <w:bookmarkStart w:id="648" w:name="_Toc69129461"/>
      <w:r>
        <w:t xml:space="preserve">7.2 </w:t>
      </w:r>
      <w:r w:rsidR="00223BD8">
        <w:tab/>
      </w:r>
      <w:r w:rsidRPr="00DB5004">
        <w:t>The impact of current collector degradation on the initial</w:t>
      </w:r>
      <w:r w:rsidR="00223BD8">
        <w:t xml:space="preserve"> </w:t>
      </w:r>
      <w:r w:rsidRPr="00DB5004">
        <w:t>electrochemical performance of infiltrated Solid Oxide Cells</w:t>
      </w:r>
      <w:bookmarkEnd w:id="648"/>
    </w:p>
    <w:p w14:paraId="335BE2D9" w14:textId="77777777" w:rsidR="00007F6C" w:rsidRDefault="00007F6C" w:rsidP="00007F6C">
      <w:pPr>
        <w:jc w:val="both"/>
      </w:pPr>
      <w:r>
        <w:t>The impact of using different current collector materials on infiltrated Ni-YSZ fuel electrodes was investigated during this study. The EIS data gathered during this work illustrated that the choice of current collector material is key to the electrochemical performance of the Ni-YSZ cells tested in this work. Four current collector materials pastes were assessed: silver, gold, platinum, and nickel oxide.</w:t>
      </w:r>
    </w:p>
    <w:p w14:paraId="671A693C" w14:textId="77777777" w:rsidR="00007F6C" w:rsidRPr="00F67BAD" w:rsidRDefault="00007F6C" w:rsidP="00007F6C">
      <w:pPr>
        <w:jc w:val="both"/>
      </w:pPr>
      <w:r>
        <w:t>Despite its low initial R</w:t>
      </w:r>
      <w:r>
        <w:rPr>
          <w:vertAlign w:val="subscript"/>
        </w:rPr>
        <w:t>P</w:t>
      </w:r>
      <w:r>
        <w:t xml:space="preserve"> in comparison to the other materials, the silver current collector demonstrated a tendency to degrade in the wet 10 % H</w:t>
      </w:r>
      <w:r>
        <w:rPr>
          <w:vertAlign w:val="subscript"/>
        </w:rPr>
        <w:t>2</w:t>
      </w:r>
      <w:r>
        <w:t>/N</w:t>
      </w:r>
      <w:r>
        <w:rPr>
          <w:vertAlign w:val="subscript"/>
        </w:rPr>
        <w:t>2</w:t>
      </w:r>
      <w:r>
        <w:t xml:space="preserve"> atmosphere utilised for the fuel electrode samples in this study. This was evident by the breakdown of the silver during ageing in the micrographs (</w:t>
      </w:r>
      <w:r>
        <w:rPr>
          <w:highlight w:val="yellow"/>
        </w:rPr>
        <w:fldChar w:fldCharType="begin"/>
      </w:r>
      <w:r>
        <w:instrText xml:space="preserve"> REF _Ref48030636 \h </w:instrText>
      </w:r>
      <w:r>
        <w:rPr>
          <w:highlight w:val="yellow"/>
        </w:rPr>
      </w:r>
      <w:r>
        <w:rPr>
          <w:highlight w:val="yellow"/>
        </w:rPr>
        <w:fldChar w:fldCharType="separate"/>
      </w:r>
      <w:r>
        <w:t>Figure 5.</w:t>
      </w:r>
      <w:r>
        <w:rPr>
          <w:noProof/>
        </w:rPr>
        <w:t>34</w:t>
      </w:r>
      <w:r>
        <w:rPr>
          <w:highlight w:val="yellow"/>
        </w:rPr>
        <w:fldChar w:fldCharType="end"/>
      </w:r>
      <w:r>
        <w:t xml:space="preserve">) and the delamination of the current collector from the Ni-YSZ electrode after ageing for 50 </w:t>
      </w:r>
      <w:proofErr w:type="gramStart"/>
      <w:r>
        <w:t>h(</w:t>
      </w:r>
      <w:proofErr w:type="gramEnd"/>
      <w:r>
        <w:rPr>
          <w:highlight w:val="yellow"/>
        </w:rPr>
        <w:fldChar w:fldCharType="begin"/>
      </w:r>
      <w:r>
        <w:instrText xml:space="preserve"> REF _Ref48030638 \h </w:instrText>
      </w:r>
      <w:r>
        <w:rPr>
          <w:highlight w:val="yellow"/>
        </w:rPr>
      </w:r>
      <w:r>
        <w:rPr>
          <w:highlight w:val="yellow"/>
        </w:rPr>
        <w:fldChar w:fldCharType="separate"/>
      </w:r>
      <w:r>
        <w:t>Figure 5.</w:t>
      </w:r>
      <w:r>
        <w:rPr>
          <w:noProof/>
        </w:rPr>
        <w:t>35</w:t>
      </w:r>
      <w:r>
        <w:rPr>
          <w:highlight w:val="yellow"/>
        </w:rPr>
        <w:fldChar w:fldCharType="end"/>
      </w:r>
      <w:r>
        <w:t>). Void formation due to increased hydrogen solubility has been documented in silver SOFC current collectors resulting in the second largest increase in R</w:t>
      </w:r>
      <w:r>
        <w:rPr>
          <w:vertAlign w:val="subscript"/>
        </w:rPr>
        <w:t>P</w:t>
      </w:r>
      <w:r>
        <w:t xml:space="preserve"> for any of the samples in this work.</w:t>
      </w:r>
    </w:p>
    <w:p w14:paraId="7B440ACB" w14:textId="77777777" w:rsidR="00007F6C" w:rsidRDefault="00007F6C" w:rsidP="00007F6C">
      <w:pPr>
        <w:jc w:val="both"/>
      </w:pPr>
      <w:r>
        <w:t>The gold current collector showed an affinity to alloying with the nickel catalyst phase in reductive atmospheres as shown by the drop in polarisation resistance after 20 h of ageing. There was no way to discern the particles on the surface of the electrode using BSE indicating the mixture of the two metal phases (</w:t>
      </w:r>
      <w:r>
        <w:rPr>
          <w:highlight w:val="yellow"/>
        </w:rPr>
        <w:fldChar w:fldCharType="begin"/>
      </w:r>
      <w:r>
        <w:instrText xml:space="preserve"> REF _Ref48307670 \h </w:instrText>
      </w:r>
      <w:r>
        <w:rPr>
          <w:highlight w:val="yellow"/>
        </w:rPr>
      </w:r>
      <w:r>
        <w:rPr>
          <w:highlight w:val="yellow"/>
        </w:rPr>
        <w:fldChar w:fldCharType="separate"/>
      </w:r>
      <w:r>
        <w:t>Figure 5.</w:t>
      </w:r>
      <w:r>
        <w:rPr>
          <w:noProof/>
        </w:rPr>
        <w:t>37</w:t>
      </w:r>
      <w:r>
        <w:rPr>
          <w:highlight w:val="yellow"/>
        </w:rPr>
        <w:fldChar w:fldCharType="end"/>
      </w:r>
      <w:r>
        <w:t>).  Nyquist plots for the gold coated Ni-YSZ samples also demonstrated the emergence of a low frequency gas diffusion impedance arc linked to the formation of water.</w:t>
      </w:r>
    </w:p>
    <w:p w14:paraId="7C5F1271" w14:textId="77777777" w:rsidR="00007F6C" w:rsidRDefault="00007F6C" w:rsidP="00007F6C">
      <w:pPr>
        <w:jc w:val="both"/>
      </w:pPr>
      <w:r>
        <w:t>Despite its documented high resistivity under hydrogen, the nickel current collector material produced the smallest increase for the R</w:t>
      </w:r>
      <w:r>
        <w:rPr>
          <w:vertAlign w:val="subscript"/>
        </w:rPr>
        <w:t>P</w:t>
      </w:r>
      <w:r>
        <w:t xml:space="preserve"> after 50 h of ageing. This was attributed to current collector and catalyst interfacial resistance contribution being reduced due to their identical compositions.</w:t>
      </w:r>
    </w:p>
    <w:p w14:paraId="66536D43" w14:textId="77777777" w:rsidR="00007F6C" w:rsidRPr="00D15FE0" w:rsidRDefault="00007F6C" w:rsidP="00007F6C">
      <w:pPr>
        <w:jc w:val="both"/>
      </w:pPr>
      <w:r>
        <w:t xml:space="preserve">Activation energy plots for each of the current collector materials demonstrated that the silver and gold materials had a propensity for diffusion and migration due to their Tammann temperature being exceeding during SOFC ramp up. </w:t>
      </w:r>
      <w:r>
        <w:rPr>
          <w:highlight w:val="yellow"/>
        </w:rPr>
        <w:fldChar w:fldCharType="begin"/>
      </w:r>
      <w:r>
        <w:instrText xml:space="preserve"> REF _Ref48210613 \h </w:instrText>
      </w:r>
      <w:r>
        <w:rPr>
          <w:highlight w:val="yellow"/>
        </w:rPr>
      </w:r>
      <w:r>
        <w:rPr>
          <w:highlight w:val="yellow"/>
        </w:rPr>
        <w:fldChar w:fldCharType="separate"/>
      </w:r>
      <w:r>
        <w:t>Figure 5.</w:t>
      </w:r>
      <w:r>
        <w:rPr>
          <w:noProof/>
        </w:rPr>
        <w:t>30</w:t>
      </w:r>
      <w:r>
        <w:rPr>
          <w:highlight w:val="yellow"/>
        </w:rPr>
        <w:fldChar w:fldCharType="end"/>
      </w:r>
      <w:r>
        <w:t xml:space="preserve"> illustrates this with a clear point of inflection for both materials. In the case of silver especially, it was clear that the presence of the void formation and degradation severely impact the performance of the electrode with the almost 600 % increase in the R</w:t>
      </w:r>
      <w:r>
        <w:rPr>
          <w:vertAlign w:val="subscript"/>
        </w:rPr>
        <w:t>P</w:t>
      </w:r>
      <w:r>
        <w:t xml:space="preserve"> over 50 h of ageing (</w:t>
      </w:r>
      <w:r>
        <w:rPr>
          <w:highlight w:val="yellow"/>
        </w:rPr>
        <w:fldChar w:fldCharType="begin"/>
      </w:r>
      <w:r>
        <w:instrText xml:space="preserve"> REF _Ref50907054 \h </w:instrText>
      </w:r>
      <w:r>
        <w:rPr>
          <w:highlight w:val="yellow"/>
        </w:rPr>
      </w:r>
      <w:r>
        <w:rPr>
          <w:highlight w:val="yellow"/>
        </w:rPr>
        <w:fldChar w:fldCharType="separate"/>
      </w:r>
      <w:r>
        <w:t>Table 5.</w:t>
      </w:r>
      <w:r>
        <w:rPr>
          <w:noProof/>
        </w:rPr>
        <w:t>8</w:t>
      </w:r>
      <w:r>
        <w:rPr>
          <w:highlight w:val="yellow"/>
        </w:rPr>
        <w:fldChar w:fldCharType="end"/>
      </w:r>
      <w:r>
        <w:t>).</w:t>
      </w:r>
    </w:p>
    <w:p w14:paraId="2993990E" w14:textId="77777777" w:rsidR="00007F6C" w:rsidRDefault="00007F6C" w:rsidP="00007F6C">
      <w:pPr>
        <w:jc w:val="both"/>
      </w:pPr>
      <w:r>
        <w:t xml:space="preserve">Of the four materials analysed during this work, the nickel paste was deemed the appropriate for the role as current collector for wet impregnated Ni-YSZ electrodes. This was due to the current collector and catalyst having identical compositions and as a result producing having no gas phase interactions. </w:t>
      </w:r>
    </w:p>
    <w:p w14:paraId="1E636F47" w14:textId="77777777" w:rsidR="00007F6C" w:rsidRDefault="00007F6C" w:rsidP="00007F6C">
      <w:pPr>
        <w:pStyle w:val="Heading2"/>
        <w:jc w:val="both"/>
      </w:pPr>
      <w:bookmarkStart w:id="649" w:name="_Toc69129462"/>
      <w:r>
        <w:t>7.2.1 Recommendations from Chapter 5</w:t>
      </w:r>
      <w:bookmarkEnd w:id="649"/>
    </w:p>
    <w:p w14:paraId="67B0AB51" w14:textId="77777777" w:rsidR="00007F6C" w:rsidRDefault="00007F6C" w:rsidP="00007F6C">
      <w:pPr>
        <w:spacing w:after="0"/>
        <w:jc w:val="both"/>
      </w:pPr>
      <w:r>
        <w:t xml:space="preserve">Continued investigations into the impact of the current collector should focus on avoiding a material which has a </w:t>
      </w:r>
      <w:proofErr w:type="spellStart"/>
      <w:r>
        <w:t>T</w:t>
      </w:r>
      <w:r>
        <w:rPr>
          <w:vertAlign w:val="subscript"/>
        </w:rPr>
        <w:t>Tammann</w:t>
      </w:r>
      <w:proofErr w:type="spellEnd"/>
      <w:r>
        <w:rPr>
          <w:vertAlign w:val="subscript"/>
        </w:rPr>
        <w:t xml:space="preserve"> </w:t>
      </w:r>
      <w:r>
        <w:t xml:space="preserve">temperature lower than the SOFC operating temperature. This should help reduce the impact of diffusion and alloying on the current collector. This could be achieved by either lowering the operating temperature or changing the current collector material. </w:t>
      </w:r>
    </w:p>
    <w:p w14:paraId="7FA928ED" w14:textId="77777777" w:rsidR="00007F6C" w:rsidRPr="00D15FE0" w:rsidRDefault="00007F6C" w:rsidP="00007F6C">
      <w:pPr>
        <w:spacing w:after="0"/>
        <w:jc w:val="both"/>
      </w:pPr>
      <w:r>
        <w:lastRenderedPageBreak/>
        <w:t>Nickel oxide was shown to best the most suitable current collector material with the smallest change in R</w:t>
      </w:r>
      <w:r>
        <w:rPr>
          <w:vertAlign w:val="subscript"/>
        </w:rPr>
        <w:t>P</w:t>
      </w:r>
      <w:r>
        <w:t xml:space="preserve"> and no indication that the current collector interactions with the incident fuel gases present in the fuel electrode.</w:t>
      </w:r>
    </w:p>
    <w:p w14:paraId="63F54B07" w14:textId="6457FA82" w:rsidR="00852DC0" w:rsidRDefault="00007F6C" w:rsidP="00852DC0">
      <w:pPr>
        <w:pStyle w:val="Heading2"/>
      </w:pPr>
      <w:bookmarkStart w:id="650" w:name="_Toc69129463"/>
      <w:r>
        <w:t>7.2.2 Further work</w:t>
      </w:r>
      <w:r w:rsidR="001F6FA2">
        <w:t xml:space="preserve"> from Chapter 5</w:t>
      </w:r>
      <w:bookmarkEnd w:id="650"/>
    </w:p>
    <w:p w14:paraId="06A994D5" w14:textId="15E45DAF" w:rsidR="00852DC0" w:rsidRDefault="00852DC0" w:rsidP="00007F6C">
      <w:pPr>
        <w:jc w:val="both"/>
      </w:pPr>
      <w:r>
        <w:t>The current collector candidates used in this study have different % metal contents. Further datasets with materials with the same metal content are required to produce more representative data. Additionally, the power density of samples utilising different current collectors can be compared using the IV curves of the specimens. These can be used to determine the impact that the current collector material has on the electrochemical properties of the samples.</w:t>
      </w:r>
      <w:r w:rsidR="00D3723C">
        <w:t xml:space="preserve"> These ageing runs could also capture a longer timeframe (t &lt;100 h) which would help with power density degradation calculations per 1000 h of operation.</w:t>
      </w:r>
    </w:p>
    <w:p w14:paraId="6B7EECF2" w14:textId="62C6F1D9" w:rsidR="00D3723C" w:rsidRDefault="00852DC0" w:rsidP="00007F6C">
      <w:pPr>
        <w:jc w:val="both"/>
      </w:pPr>
      <w:r>
        <w:t>Supplementary EIS datasets for each of the current collector materials are also required on separate FRA and impedance set ups. The data gathered from these</w:t>
      </w:r>
      <w:r w:rsidR="00D3723C">
        <w:t xml:space="preserve"> experiments would</w:t>
      </w:r>
      <w:r>
        <w:t xml:space="preserve"> eliminate the possibility that the variation seen in this work </w:t>
      </w:r>
      <w:r w:rsidR="00D3723C">
        <w:t>is solely due to the equipment faults.</w:t>
      </w:r>
    </w:p>
    <w:p w14:paraId="22B1D9DD" w14:textId="5F34C655" w:rsidR="00007F6C" w:rsidRDefault="00007F6C" w:rsidP="00007F6C">
      <w:pPr>
        <w:jc w:val="both"/>
      </w:pPr>
      <w:r>
        <w:t xml:space="preserve">Energy-Dispersive X-ray analysis on the cross section of the sample could be key to track the  diffusion of the current collector material during different </w:t>
      </w:r>
      <w:r w:rsidRPr="00981287">
        <w:t>ageing times</w:t>
      </w:r>
      <w:r w:rsidRPr="00981287">
        <w:fldChar w:fldCharType="begin" w:fldLock="1"/>
      </w:r>
      <w:r w:rsidR="00EC62EF">
        <w:instrText>ADDIN CSL_CITATION {"citationItems":[{"id":"ITEM-1","itemData":{"DOI":"10.1016/J.IJHYDENE.2016.04.061","ISSN":"0360-3199","abstract":"A novel fabrication method using electroless and electrodeposited Ni/Ag/GDC for SOFC anodes is presented. First a porous Ce0.9Gd0.1O2−x (GDC) scaffold was deposited on a YSZ electrolyte by screen printing and sintering. The scaffold was then metallized with silver using Tollens' reaction, followed by electrodeposition of nickel from a Watt's bath. The electrodes (Ni/Ag/GDC) were tested in both symmetrical and fuel cell configurations. The microstructures of the Ni/Ag/GDC anodes were analyzed using scanning electron microscopy (SEM) and energy dispersive x-ray spectroscopy (EDX). Nano-particles of Ni formed in the porous GDC scaffold provided triple phase boundaries (TPB). The electronic conductivity of the Ni/Ag/GDC (3.5/24.7/71.8 vol%) electrode was good even at relatively low Ni volume fractions. The electrochemical performance was examined in different concentrations of humidified hydrogen (3% H2O) and over a range of temperatures (600–750 °C). The total area specific resistance (ASR) of the anode at 750 °C in humidified 97 vol% H2 was 1.12 Ω cm2, with low-frequency polarization (R_l) as the largest contributor. The electrodes were successfully integrated into a fuel cell and operated in both H2 and syngas.","author":[{"dropping-particle":"","family":"Jamil","given":"Zadariana","non-dropping-particle":"","parse-names":false,"suffix":""},{"dropping-particle":"","family":"Ruiz-Trejo","given":"Enrique","non-dropping-particle":"","parse-names":false,"suffix":""},{"dropping-particle":"","family":"Boldrin","given":"Paul","non-dropping-particle":"","parse-names":false,"suffix":""},{"dropping-particle":"","family":"Brandon","given":"Nigel P.","non-dropping-particle":"","parse-names":false,"suffix":""}],"container-title":"International Journal of Hydrogen Energy","id":"ITEM-1","issue":"22","issued":{"date-parts":[["2016","6","15"]]},"page":"9627-9637","publisher":"Pergamon","title":"Anode fabrication for solid oxide fuel cells: Electroless and electrodeposition of nickel and silver into doped ceria scaffolds","type":"article-journal","volume":"41"},"uris":["http://www.mendeley.com/documents/?uuid=756003c3-358b-3ad0-bdc4-c3192621e5d1"]},{"id":"ITEM-2","itemData":{"DOI":"10.1016/j.apcata.2016.08.020","ISBN":"0926860X (ISSN)","ISSN":"0926860X","abstract":"Solution infiltration remains limited in its advantage for processing metallic catalysts given the propensity at high temperatures for nanometer scale materials to coarsen at rates far exceeding classic systems. Using SOFC anodes as a model system, this study examines how aluminum titanate as an additive to a porous Ni/YSZ cermet anode stabilizes a network of sub-micron nickel electrocatalysts formed from solution infiltration. Temperature dependent secondary phase formation is studied with XRD and Raman. Spatial evolution of the secondary phases that form is quantified using SEM/TEM/EDX to establish the species present during the thermal activation process. Finally, these results are used to fabricate SOFC membrane electrode assemblies, demonstrating the ease with which aluminum titanate can be added to nickel catalyst systems and the efficacy of the doping process. Current density and EIS measurements indicate that using aluminum titanate as an anode additive dramatically increases catalyst stability such that the time required for degradation to 90% of initial current output was increased by a factor of 115 for modified catalysts.","author":[{"dropping-particle":"","family":"Driscoll","given":"D. R.","non-dropping-particle":"","parse-names":false,"suffix":""},{"dropping-particle":"","family":"McIntyre","given":"M. D.","non-dropping-particle":"","parse-names":false,"suffix":""},{"dropping-particle":"","family":"Welander","given":"M. M.","non-dropping-particle":"","parse-names":false,"suffix":""},{"dropping-particle":"","family":"Sofie","given":"S. W.","non-dropping-particle":"","parse-names":false,"suffix":""},{"dropping-particle":"","family":"Walker","given":"R. A.","non-dropping-particle":"","parse-names":false,"suffix":""}],"container-title":"Applied Catalysis A: General","id":"ITEM-2","issued":{"date-parts":[["2016"]]},"language":"English","note":"Export Date: 20 January 2017\nCODEN: ACAGE\nCorrespondence Address: Driscoll, D.R.; Department of Mechanical and Industrial Engineering, Montana State UniversityUnited States; email: david.driscoll1@msu.montana.edu\nReferences: Ely, J.C., Neal, C.R., Kulpa, C.F., Schneegurt, M.A., Seidler, J.A., Jain, J.C., (2001) Environ. Sci. Technol., 35, pp. 3816-3822; Mathur, R., Balaram, V., Satyanarayanan, M., Sawant, S.S., Ramesh, S.L., (2011) Environ. Earth Sci., 62, pp. 1085-1098; Ravindra, K., Bencs, L., Van Grieken, R., (2004) Sci. Total Environ., 318, pp. 1-43; Chellam, S., (2015) Platinum Met. Environ.; Shri Prakash, B., Senthil Kumar, S., Aruna, S.T., (2014) Renew. Sustain. Energy Rev., 36, pp. 149-179; Aruna, S., Muthuraman, M., Patil, K., (1998) Solid State Ionics, 111, pp. 45-51; Zhu, W.Z., Deevi, S.C., (2003) Mater. Sci. Eng. A, 362, pp. 228-239; Gorte, R.J., Vohs, J.M., (2009) Curr. Opin. Colloid Interface Sci., 14, pp. 236-244; Sofie, S.W., (2007) J. Am. Ceram. Soc., 90, pp. 2024-2031; Boaro, M., Vohs, J.M., Gorte, R.J., (2003) J. Am. Ceram. Soc., 86, pp. 395-400; Kim, H., da Rosa, C., Boaro, M., Vohs, J.M., Gorte, R.J., (2002) J. Am. Ceram. Soc., 85, pp. 1473-1476; Tucker, M.C., Lau, G.Y., Jacobson, C.P., DeJonghe, L.C., Visco, S.J., (2007) J. Power Sources, 171, pp. 477-482; Araki, K., Halloran, J.W., (2005) J. Am. Ceram. Soc., 88, pp. 1108-1114; Armstrong, T.J., Rich, J.G., (2006) J. Electrochem. Soc., 153, p. A515; Wang, W., Gross, M.D., Vohs, J.M., Gorte, R.J., (2007) J. Electrochem. Soc., 154, p. B439; Cable, T.L., Setlock, J.A., Farmer, S.C., Eckel, A.J., (2011) Int. J. Appl. Ceram. Technol., 8, pp. 1-12; Cable, T.L., Sofie, S.W., (2007) J. Power Sources, 174, pp. 221-227; Corbin, S.F., Qiao, X., (2003) J. Am. Ceram. Soc., 86, pp. 401-406; Buyukaksoy, A., Petrovsky, V., Dogan, F., (2012) J. Electrochem. Soc., 159, p. B232; Tucker, M.C., Lau, G.Y., Jacobson, C.P., DeJonghe, L.C., Visco, S.J., (2008) J. Power Sources, 175, pp. 447-451; Busawon, A.N., Sarantaridis, D., Atkinson, A., (2008) Electrochem. Solid-State Lett., 11, p. B186; Wiik, K., Schmidt, C.R., Faaland, S., Shamsili, S., Einarsrud, M.-A., Grande, T., (2004) J. Am. Ceram. Soc., 82, pp. 721-728; Skinner, S.J., (2001) Int. J. Inorg. Mater., 3, pp. 113-121; Buyukaksoy, A., Petrovsky, V., Dogan, F., (2012) J. Electrochem. Soc., 159, p. B666; Sholklapper, T.Z., Kurokawa, H., Jacobson, C.P., Visco, S.J., De Jonghe, L.C., (2007) Nano Lett., 7, pp. 2136-2141; Tiwari, P., Basu, S., (2013) Int. J. Hydrogen Energy, 38, pp. 9494-9499; Kishimoto, H., Suzuki, A., Shimonosono, T., Brito, M.E., Yamaji, K., Horita, T., Munakata, F., Yokokawa, H., (2012) Solid State Ionics, 225, pp. 65-68; Klemensø, T., Thydén, K., Chen, M., Wang, H.J., (2010) J. Power Sources, 195, pp. 7295-7301; Tanasini, P., Cannarozzo, M., Costamagna, P., Faes, A., Van Herle, J., Hessler-Wyser, A., Comninellis, C., (2009) Fuel Cells, 9, pp. 740-752; Law, C.H., Sofie, S.W., (2011) J. Electrochem. Soc., 158, p. B1137; Driscoll, D., Hunt, C., Muretta, J., Sofie, S.W., (2013) ECS Trans., 53, pp. 63-72; Yamaguchi, T.K.S., Kobayashi, K., Iguchi, Y., Yamada, N., (1994) Jpn. J. Appl. Phys., 33; Kurien, S., Mathew, J., Sebastian, S., Potty, S.N., George, K.C., (2006) Mater. Chem. Phys., 98, pp. 470-476; Clark, R.W., Wynblatt, P., Tien, J.K., (1982) Acta Metall., 30, pp. 139-146; Provendier, H., Petit, C., Estournès, C., Libs, S., Kiennemann, A., (1999) Appl. Catal. A: Gen., 180, pp. 163-173; Ling, H.C., Jackson, A.M., (1989) IEEE Trans. Compon. Hybrids, Manuf. Technol., 12, pp. 130-137; Davis, R., Abdeljawad, F., Lillibridge, J., Haataja, M., (2014) Acta Mater., 78, pp. 271-281; Driscoll, D., Weisenstein, A.J., Sofie, S.W., (2011) Mater. Lett., 65, pp. 3433-3435; Brockner, W., Ehrhardt, C., Gjikaj, M., (2007) Thermochim. Acta, 456, pp. 64-68; Lussier, A., Sofie, S., Dvorak, J., Idzerda, Y.U., (2008) Int. J. Hydrogen Energy, 33, pp. 3945-3951; Mai, A., Haanappel, V.A.C., Uhlenbruck, S., Tietz, F., Stöver, D., (2005) Solid State Ionics, 176, pp. 1341-1350; Simner, S., Bonnett, J., Canfield, N., Meinhardt, K., Shelton, J., Sprenkle, V., Stevenson, J., (2003) J. Power Sources, 113, pp. 1-10; Augusto, B.L., Noronha, F.B., Fonseca, F.C., Tabuti, F.N., Colman, R.C., Mattos, L.V., (2014) Int. J. Hydrogen Energy, 39, pp. 11196-11209; Pomfret, M.B., Owrutsky, J.C., Walker, R.A., (2010) Annu. Rev. Anal. Chem., 3, pp. 151-174; Pomfret, M.B., Owrutsky, J.C., Walker, R.A., (2006) J. Phys. Chem. B Lett., 110, pp. 17305-17308; Sharma, Y.K., Kharkwal, M., Uma, S., Nagarajan, R., (2009) Polyhedron, 28, pp. 579-585; Azough, F., Freer, R., Petzelt, J., (1993) J. Mater. Sci., 28, pp. 2273-2276; Kaiser, A., Feighery, A.J., Fagg, D.P., Irvine, J.T.S., (1998) Ionics (Kiel), 4, pp. 215-219; López-López, E., Sanjuán, M.L., Moreno, R., Baudín, C., (2010) J. Eur. Ceram. Soc., 30, pp. 981-991; Bordet, P., McHale, A., Santoro, A., Roth, R.S., (1986) J. Solid State Chem., 64, pp. 30-46; López-López, E., Sanjuán, M.L., Moreno, R., Baudín, C., (2010) J. Eur. Ceram. Soc., 30, pp. 981-991; Schaedler, T.A., Francillon, W., Gandhi, A.S., Grey, C.P., Sampath, S., Levi, C.G., (2005) Acta Mater., 53, pp. 2957-2968; Santamaria, J.M., Miro, E.E., Wolf, E.E., (1991) Ind. Eng. Chem. Res., 30, pp. 1157-1165; Salvador, P., (1982) J. Appl. Phys., 53, p. 7003; Traqueia, L.S.M., Pagnier, T., Marques, F.M.B., (1997) J. Eur. Ceram. Soc., 17, pp. 1019-1026; Liu, Z., Liu, B., Ding, D., Liu, M., Chen, F., Xia, C., (2013) J. Power Sources, 237, pp. 243-259; Wang, C.L., Lee, H.Y., Azough, F., Freer, R., (1997) J. Mater. Sci., 32, pp. 1693-1701; Çitak, E., Boyraz, T., (2014) Acta Phys. Pol. A, 125, pp. 465-468","page":"36-44","publisher":"Elsevier","title":"Enhancement of high temperature metallic catalysts: Aluminum titanate in the nickel-zirconia system","type":"article-journal","volume":"527"},"uris":["http://www.mendeley.com/documents/?uuid=919cb9a2-c8e6-4874-8c96-ed82a24fa818"]},{"id":"ITEM-3","itemData":{"DOI":"10.1016/j.jpowsour.2009.09.005","ISSN":"03787753","abstract":"The three-dimensional microstructure of an SOFC anode is quantified using a dual beam focused ion beam scanning electron microscopy (FIB-SEM) system equipped with an energy dispersive X-ray spectroscopy (EDX) unit. The microstructure of the Ni-YSZ anode is virtually reconstructed in a computational field using a series of acquired two-dimensional SEM images. The three-phase boundary (TPB) density and tortuosity factors are carefully evaluated by applying two different evaluation methods to each parameter. The TPB density is estimated by a volume expansion method and a centroid method, while the tortuosity factors are evaluated by a random walk calculation and a lattice Boltzmann method (LBM). Estimates of each parameter obtained by the two methods are in good agreement with each other, thereby validating the reliability of the analysis methods proposed in this study. © 2009 Elsevier B.V. All rights reserved.","author":[{"dropping-particle":"","family":"Iwai","given":"Hiroshi","non-dropping-particle":"","parse-names":false,"suffix":""},{"dropping-particle":"","family":"Shikazono","given":"Naoki","non-dropping-particle":"","parse-names":false,"suffix":""},{"dropping-particle":"","family":"Matsui","given":"Toshiaki","non-dropping-particle":"","parse-names":false,"suffix":""},{"dropping-particle":"","family":"Teshima","given":"Hisanori","non-dropping-particle":"","parse-names":false,"suffix":""},{"dropping-particle":"","family":"Kishimoto","given":"Masashi","non-dropping-particle":"","parse-names":false,"suffix":""},{"dropping-particle":"","family":"Kishida","given":"Ryo","non-dropping-particle":"","parse-names":false,"suffix":""},{"dropping-particle":"","family":"Hayashi","given":"Daisuke","non-dropping-particle":"","parse-names":false,"suffix":""},{"dropping-particle":"","family":"Matsuzaki","given":"Katsuhisa","non-dropping-particle":"","parse-names":false,"suffix":""},{"dropping-particle":"","family":"Kanno","given":"Daisuke","non-dropping-particle":"","parse-names":false,"suffix":""},{"dropping-particle":"","family":"Saito","given":"Motohiro","non-dropping-particle":"","parse-names":false,"suffix":""},{"dropping-particle":"","family":"Muroyama","given":"Hiroki","non-dropping-particle":"","parse-names":false,"suffix":""},{"dropping-particle":"","family":"Eguchi","given":"Koichi","non-dropping-particle":"","parse-names":false,"suffix":""},{"dropping-particle":"","family":"Kasagi","given":"Nobuhide","non-dropping-particle":"","parse-names":false,"suffix":""},{"dropping-particle":"","family":"Yoshida","given":"Hideo","non-dropping-particle":"","parse-names":false,"suffix":""}],"container-title":"Journal of Power Sources","id":"ITEM-3","issue":"4","issued":{"date-parts":[["2010"]]},"page":"955-961","title":"Quantification of SOFC anode microstructure based on dual beam FIB-SEM technique","type":"article-journal","volume":"195"},"uris":["http://www.mendeley.com/documents/?uuid=d0270fa6-36b9-4b32-bbd2-58844d68e136"]}],"mendeley":{"formattedCitation":"[260], [509], [510]","plainTextFormattedCitation":"[260], [509], [510]","previouslyFormattedCitation":"[260], [509], [510]"},"properties":{"noteIndex":0},"schema":"https://github.com/citation-style-language/schema/raw/master/csl-citation.json"}</w:instrText>
      </w:r>
      <w:r w:rsidRPr="00981287">
        <w:fldChar w:fldCharType="separate"/>
      </w:r>
      <w:r w:rsidR="00EC62EF" w:rsidRPr="00EC62EF">
        <w:rPr>
          <w:noProof/>
        </w:rPr>
        <w:t>[260], [509], [510]</w:t>
      </w:r>
      <w:r w:rsidRPr="00981287">
        <w:fldChar w:fldCharType="end"/>
      </w:r>
      <w:r w:rsidRPr="00981287">
        <w:t xml:space="preserve">. Spectroscopic measurements such as in-situ Raman spectroscopy could be used to monitor the gas phase changes in an infiltrated SOFC electrode </w:t>
      </w:r>
      <w:r w:rsidRPr="00981287">
        <w:fldChar w:fldCharType="begin" w:fldLock="1"/>
      </w:r>
      <w:r w:rsidR="00EC62EF">
        <w:instrText>ADDIN CSL_CITATION {"citationItems":[{"id":"ITEM-1","itemData":{"DOI":"10.1007/s00340-012-5303-3","ISSN":"09462171","abstract":"A planar solid oxide fuel cell (SOFC) operated with hydrogen at T = 1,123 K was equipped with an optically transparent anode flow field to apply species concentration measurements by 1D laser Raman scattering. The flow channels had a cross section of 3 mm × 4 mm and a length of 40 mm. The beam from a pulsed high-power frequency-doubled Nd:YAG laser (λ = 532 nm) was directed through one channel and the Raman-scattered light from different molecular species was imaged onto an intensified CCD camera. The main goal of the study was an assessment of the potential of this experimental configuration for a quantitative determination of local gas concentrations. The paper describes the configuration of the optically accessible SOFC, the laser system and optical setup for 1D Raman spectroscopy as well as the challenges associated with the measurements. Important aspects like laser pulse shaping, signal background and signal quality are addressed. Examples of measured species concentration profiles are presented. © 2012 Springer-Verlag Berlin Heidelberg.","author":[{"dropping-particle":"","family":"Schiller","given":"G.","non-dropping-particle":"","parse-names":false,"suffix":""},{"dropping-particle":"","family":"Auer","given":"C.","non-dropping-particle":"","parse-names":false,"suffix":""},{"dropping-particle":"","family":"Bessler","given":"W. G.","non-dropping-particle":"","parse-names":false,"suffix":""},{"dropping-particle":"","family":"Christenn","given":"C.","non-dropping-particle":"","parse-names":false,"suffix":""},{"dropping-particle":"","family":"Ilhan","given":"Z.","non-dropping-particle":"","parse-names":false,"suffix":""},{"dropping-particle":"","family":"Szabo","given":"P.","non-dropping-particle":"","parse-names":false,"suffix":""},{"dropping-particle":"","family":"Ax","given":"H.","non-dropping-particle":"","parse-names":false,"suffix":""},{"dropping-particle":"","family":"Kapadia","given":"B.","non-dropping-particle":"","parse-names":false,"suffix":""},{"dropping-particle":"","family":"Meier","given":"W.","non-dropping-particle":"","parse-names":false,"suffix":""}],"container-title":"Applied Physics B: Lasers and Optics","id":"ITEM-1","issue":"1","issued":{"date-parts":[["2013"]]},"page":"29-38","title":"A novel concept for in situ gas-phase laser Raman spectroscopy for solid oxide fuel cell research","type":"article-journal","volume":"111"},"uris":["http://www.mendeley.com/documents/?uuid=c5d65ad5-9535-42af-83d3-386708906e8b"]}],"mendeley":{"formattedCitation":"[511]","plainTextFormattedCitation":"[511]","previouslyFormattedCitation":"[511]"},"properties":{"noteIndex":0},"schema":"https://github.com/citation-style-language/schema/raw/master/csl-citation.json"}</w:instrText>
      </w:r>
      <w:r w:rsidRPr="00981287">
        <w:fldChar w:fldCharType="separate"/>
      </w:r>
      <w:r w:rsidR="00EC62EF" w:rsidRPr="00EC62EF">
        <w:rPr>
          <w:noProof/>
        </w:rPr>
        <w:t>[511]</w:t>
      </w:r>
      <w:r w:rsidRPr="00981287">
        <w:fldChar w:fldCharType="end"/>
      </w:r>
      <w:r w:rsidRPr="00981287">
        <w:t>.</w:t>
      </w:r>
    </w:p>
    <w:p w14:paraId="1BFFBB12" w14:textId="77777777" w:rsidR="00007F6C" w:rsidRDefault="00007F6C" w:rsidP="00223BD8">
      <w:pPr>
        <w:pStyle w:val="Heading1"/>
        <w:ind w:left="720" w:hanging="720"/>
      </w:pPr>
      <w:bookmarkStart w:id="651" w:name="_Toc69129464"/>
      <w:r>
        <w:t>7.3</w:t>
      </w:r>
      <w:r>
        <w:tab/>
      </w:r>
      <w:r w:rsidRPr="00BD5E34">
        <w:t xml:space="preserve">Identifying Initial coarsening mechanisms in infiltrated SOFC fuel </w:t>
      </w:r>
      <w:proofErr w:type="gramStart"/>
      <w:r w:rsidRPr="00BD5E34">
        <w:t>electrodes</w:t>
      </w:r>
      <w:bookmarkEnd w:id="651"/>
      <w:proofErr w:type="gramEnd"/>
    </w:p>
    <w:p w14:paraId="3CB85577" w14:textId="77777777" w:rsidR="00007F6C" w:rsidRDefault="00007F6C" w:rsidP="00007F6C">
      <w:pPr>
        <w:jc w:val="both"/>
      </w:pPr>
      <w:r>
        <w:t>To identify the initial sintering mechanisms, present in the wet impregnated catalyst phase in Ni-YSZ electrodes, the evolution and growth of the infiltrated catalyst phase during the first 4 h of ageing was characterised for the first time using PXCT.  This was achieved using an ex-situ snapshot ageing method to replicate representative SOFC fuel electrode conditions. This is the first example of infiltrated Ni-YSZ electrode having been imaged with this method.</w:t>
      </w:r>
    </w:p>
    <w:p w14:paraId="06B38B5A" w14:textId="107D5C9C" w:rsidR="00007F6C" w:rsidRDefault="00007F6C" w:rsidP="00007F6C">
      <w:pPr>
        <w:jc w:val="both"/>
      </w:pPr>
      <w:r>
        <w:t xml:space="preserve">Regions of interest were identified using ptychographic ortho-slice images and successfully reimaged across two different samples using this method. A Ni-YSZ cermet contrast sample was successfully segmented to provide grayscale coefficients for the nickel, YSZ and pore phases. Particle migration coalescence (PMC) was determined to be the major coarsening mechanism in the wet impregnated nickel phase during this ageing period as shown by the nickel phase volume changes in the bottom 3.2 </w:t>
      </w:r>
      <w:r>
        <w:rPr>
          <w:rFonts w:cstheme="minorHAnsi"/>
        </w:rPr>
        <w:t>µ</w:t>
      </w:r>
      <w:r>
        <w:t>m of the electrode</w:t>
      </w:r>
      <w:r w:rsidR="00F41E63">
        <w:t xml:space="preserve"> </w:t>
      </w:r>
      <w:r>
        <w:t>(</w:t>
      </w:r>
      <w:r>
        <w:fldChar w:fldCharType="begin"/>
      </w:r>
      <w:r>
        <w:instrText xml:space="preserve"> REF _Ref47690416 \h </w:instrText>
      </w:r>
      <w:r>
        <w:fldChar w:fldCharType="separate"/>
      </w:r>
      <w:r>
        <w:t>Figure 6.</w:t>
      </w:r>
      <w:r>
        <w:rPr>
          <w:noProof/>
        </w:rPr>
        <w:t>38</w:t>
      </w:r>
      <w:r>
        <w:fldChar w:fldCharType="end"/>
      </w:r>
      <w:r>
        <w:t>).</w:t>
      </w:r>
    </w:p>
    <w:p w14:paraId="30F5BC5C" w14:textId="77777777" w:rsidR="00007F6C" w:rsidRDefault="00007F6C" w:rsidP="00007F6C">
      <w:pPr>
        <w:jc w:val="both"/>
      </w:pPr>
      <w:r>
        <w:t>To provide direct comparison with these samples, witness samples from the milled Ni-YSZ electrode were aged using identical conditions and imaged using FIB-SEM. A nickel network formed in the air-dried sample at the pore’s indicative of PMC. This agglomeration was reduced in the nitrogen dried sample because of a reduced initial particle size. This also facilitated greater mobility of the nickel phase through the pores.</w:t>
      </w:r>
    </w:p>
    <w:p w14:paraId="5E47E5E5" w14:textId="77777777" w:rsidR="00007F6C" w:rsidRDefault="00007F6C" w:rsidP="00007F6C">
      <w:pPr>
        <w:jc w:val="both"/>
      </w:pPr>
      <w:r>
        <w:t>The coarsening exhibited by the nickel phases in the wet impregnated samples also indicated that the primary coarsening event occurs within the catalyst at timescales closer to the minute scale.</w:t>
      </w:r>
    </w:p>
    <w:p w14:paraId="074B5F2E" w14:textId="77777777" w:rsidR="00007F6C" w:rsidRDefault="00007F6C" w:rsidP="00007F6C">
      <w:pPr>
        <w:pStyle w:val="Heading2"/>
      </w:pPr>
      <w:bookmarkStart w:id="652" w:name="_Toc69129465"/>
      <w:r>
        <w:t>7.3.1 Recommendations from Chapter 6</w:t>
      </w:r>
      <w:bookmarkEnd w:id="652"/>
    </w:p>
    <w:p w14:paraId="718F2B25" w14:textId="77777777" w:rsidR="00007F6C" w:rsidRDefault="00007F6C" w:rsidP="00007F6C">
      <w:pPr>
        <w:jc w:val="both"/>
      </w:pPr>
      <w:r>
        <w:t xml:space="preserve">Due to relative immaturity of PXCT as a SOFC phase quantification technique in comparison with XCT and FIB-SEM continued improvements with the sample preparation, scanning and mounting are </w:t>
      </w:r>
      <w:r>
        <w:lastRenderedPageBreak/>
        <w:t>required. Additionally, further PXCT studies on infiltrated fuel electrodes are required to consolidate the findings of this work.</w:t>
      </w:r>
    </w:p>
    <w:p w14:paraId="1C771691" w14:textId="77777777" w:rsidR="00007F6C" w:rsidRDefault="00007F6C" w:rsidP="00007F6C">
      <w:pPr>
        <w:jc w:val="both"/>
      </w:pPr>
      <w:r>
        <w:t xml:space="preserve">To enable better X-ray photon transmission for nickel throughout the ptychographic scanning, the sample thickness needs to be reduced to 10 </w:t>
      </w:r>
      <w:r>
        <w:rPr>
          <w:rFonts w:cstheme="minorHAnsi"/>
        </w:rPr>
        <w:t>µ</w:t>
      </w:r>
      <w:r>
        <w:t>m, increasing the transmission of the nickel phase by 10%. Due to the highly destructive nature of the laser milling process the YSZ scaffold material must be possess high mechanical stability during fine pillar preparation. Higher nickel loadings would also aid the phase segmentation process.</w:t>
      </w:r>
    </w:p>
    <w:p w14:paraId="4247DE99" w14:textId="6F83DC3D" w:rsidR="00007F6C" w:rsidRDefault="00007F6C" w:rsidP="001F6FA2">
      <w:pPr>
        <w:jc w:val="both"/>
      </w:pPr>
      <w:r>
        <w:t>A key source of alignment error during PXCT was the continued remounting of the Ni-YSZ fine pillar in the sample holder. This generated errors with sample alignment during gluing that impacted identifying the region of interest between scans. A custom sample mount is required that can house the pillar sample during ageing and imaging.</w:t>
      </w:r>
    </w:p>
    <w:p w14:paraId="5A336C5F" w14:textId="77777777" w:rsidR="00007F6C" w:rsidRDefault="00007F6C" w:rsidP="00007F6C">
      <w:pPr>
        <w:pStyle w:val="Heading2"/>
      </w:pPr>
      <w:bookmarkStart w:id="653" w:name="_Toc69129466"/>
      <w:r>
        <w:t>7.3.2 Further work from Chapter 6</w:t>
      </w:r>
      <w:bookmarkEnd w:id="653"/>
    </w:p>
    <w:p w14:paraId="01D15BB9" w14:textId="4974E96B" w:rsidR="00007F6C" w:rsidRDefault="00007F6C" w:rsidP="00007F6C">
      <w:pPr>
        <w:jc w:val="both"/>
      </w:pPr>
      <w:r>
        <w:t>Further PXC</w:t>
      </w:r>
      <w:r w:rsidR="004764C9">
        <w:t>T</w:t>
      </w:r>
      <w:r>
        <w:t xml:space="preserve"> studies on infiltrated nickel systems should reduce the beam energy used to image the samples to 8.2 keV, near a nickel absorption edge. Scanning wet impregnated Ni-YSZ samples at this energy will ensure that the most attenuating phase is the catalyst phase due to the proximity of the nickel absorption edge (</w:t>
      </w:r>
      <w:r>
        <w:fldChar w:fldCharType="begin"/>
      </w:r>
      <w:r>
        <w:instrText xml:space="preserve"> REF _Ref50900367 \h </w:instrText>
      </w:r>
      <w:r>
        <w:fldChar w:fldCharType="separate"/>
      </w:r>
      <w:r>
        <w:t>Figure 7.</w:t>
      </w:r>
      <w:r>
        <w:fldChar w:fldCharType="end"/>
      </w:r>
      <w:r>
        <w:t xml:space="preserve">1) </w:t>
      </w:r>
      <w:r w:rsidRPr="006655B5">
        <w:fldChar w:fldCharType="begin" w:fldLock="1"/>
      </w:r>
      <w:r w:rsidR="00EC62EF">
        <w:instrText>ADDIN CSL_CITATION {"citationItems":[{"id":"ITEM-1","itemData":{"DOI":"10.1006/adnd.1993.1013","author":[{"dropping-particle":"","family":"Henke","given":"B.L.","non-dropping-particle":"","parse-names":false,"suffix":""},{"dropping-particle":"","family":"Gullikson","given":"E.M.","non-dropping-particle":"","parse-names":false,"suffix":""},{"dropping-particle":"","family":"Davis","given":"J.C.","non-dropping-particle":"","parse-names":false,"suffix":""}],"container-title":"Atomic Data and Nuclear Data","id":"ITEM-1","issued":{"date-parts":[["1993"]]},"page":"181-342","title":"X-ray Interactions: Photoabsoprtion, Scattering, Transmission and Reflection at E=50-30,000 eV, Z=1-92","type":"article-journal","volume":"54"},"uris":["http://www.mendeley.com/documents/?uuid=49bca048-2db1-3dbe-81a3-4e16ab5c8a0d"]},{"id":"ITEM-2","itemData":{"DOI":"10.1524/zkri.2007.222.11.650","ISSN":"00442968","abstract":"High-resolution X-ray computed tomography (XCT) enables nondestructive 3D imaging of complex structures, regardless of their state of crystallinity. This work describes a sub-50 nm resolution XCT system operating at 8 keV in absorption and Zernike phase contrast modes based on a commercially available Cu rotating anode laboratory X-ray source. The system utilizes a high efficiency reflective capillary condenser lens and high-resolution Fresnel zone plates with an outermost zone width of 35 nm and 700 nm structure height resulting in a spatial resolution better than 50 nm currently. Imaging a fragment of the solid oxide fuel cells (SOFC) with 50 nm resolution is presented as an application example of the XCT technique in materials science and nanotechnology. © by Oldenbourg Wissenschaftsverlag.","author":[{"dropping-particle":"","family":"Tkachuk","given":"Andrei","non-dropping-particle":"","parse-names":false,"suffix":""},{"dropping-particle":"","family":"Duewer","given":"Fred","non-dropping-particle":"","parse-names":false,"suffix":""},{"dropping-particle":"","family":"Cui","given":"Hongtao","non-dropping-particle":"","parse-names":false,"suffix":""},{"dropping-particle":"","family":"Feser","given":"Michael","non-dropping-particle":"","parse-names":false,"suffix":""},{"dropping-particle":"","family":"Wang","given":"Steve","non-dropping-particle":"","parse-names":false,"suffix":""},{"dropping-particle":"","family":"Yun","given":"Wenbing","non-dropping-particle":"","parse-names":false,"suffix":""}],"container-title":"Zeitschrift fur Kristallographie","id":"ITEM-2","issue":"11","issued":{"date-parts":[["2007"]]},"page":"650-655","title":"X-ray computed tomography in Zernike phase contrast mode at 8 keV with 50-nm resolution using Cu rotating anode X-ray source","type":"article-journal","volume":"222"},"uris":["http://www.mendeley.com/documents/?uuid=5a6cd3fa-8965-444d-9563-384f86a60b12"]}],"mendeley":{"formattedCitation":"[278], [500]","plainTextFormattedCitation":"[278], [500]","previouslyFormattedCitation":"[278], [500]"},"properties":{"noteIndex":0},"schema":"https://github.com/citation-style-language/schema/raw/master/csl-citation.json"}</w:instrText>
      </w:r>
      <w:r w:rsidRPr="006655B5">
        <w:fldChar w:fldCharType="separate"/>
      </w:r>
      <w:r w:rsidR="008446C6" w:rsidRPr="008446C6">
        <w:rPr>
          <w:noProof/>
        </w:rPr>
        <w:t>[278], [500]</w:t>
      </w:r>
      <w:r w:rsidRPr="006655B5">
        <w:fldChar w:fldCharType="end"/>
      </w:r>
      <w:r w:rsidRPr="006655B5">
        <w:t>.</w:t>
      </w:r>
    </w:p>
    <w:p w14:paraId="57B86833" w14:textId="77777777" w:rsidR="00007F6C" w:rsidRDefault="00007F6C" w:rsidP="00007F6C">
      <w:pPr>
        <w:keepNext/>
        <w:jc w:val="center"/>
      </w:pPr>
      <w:r w:rsidRPr="0086448A">
        <w:rPr>
          <w:noProof/>
        </w:rPr>
        <w:drawing>
          <wp:inline distT="0" distB="0" distL="0" distR="0" wp14:anchorId="22CF5C8E" wp14:editId="081E7C1F">
            <wp:extent cx="4320000" cy="3523228"/>
            <wp:effectExtent l="0" t="0" r="4445" b="127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2">
                      <a:extLst>
                        <a:ext uri="{28A0092B-C50C-407E-A947-70E740481C1C}">
                          <a14:useLocalDpi xmlns:a14="http://schemas.microsoft.com/office/drawing/2010/main" val="0"/>
                        </a:ext>
                      </a:extLst>
                    </a:blip>
                    <a:srcRect l="6651" t="9610" r="13762" b="5405"/>
                    <a:stretch/>
                  </pic:blipFill>
                  <pic:spPr bwMode="auto">
                    <a:xfrm>
                      <a:off x="0" y="0"/>
                      <a:ext cx="4320000" cy="3523228"/>
                    </a:xfrm>
                    <a:prstGeom prst="rect">
                      <a:avLst/>
                    </a:prstGeom>
                    <a:noFill/>
                    <a:ln>
                      <a:noFill/>
                    </a:ln>
                    <a:extLst>
                      <a:ext uri="{53640926-AAD7-44D8-BBD7-CCE9431645EC}">
                        <a14:shadowObscured xmlns:a14="http://schemas.microsoft.com/office/drawing/2010/main"/>
                      </a:ext>
                    </a:extLst>
                  </pic:spPr>
                </pic:pic>
              </a:graphicData>
            </a:graphic>
          </wp:inline>
        </w:drawing>
      </w:r>
    </w:p>
    <w:p w14:paraId="58825BDF" w14:textId="30A9825A" w:rsidR="00007F6C" w:rsidRDefault="00007F6C" w:rsidP="00D45B03">
      <w:pPr>
        <w:pStyle w:val="Caption"/>
        <w:spacing w:before="240" w:after="240"/>
      </w:pPr>
      <w:bookmarkStart w:id="654" w:name="_Ref50900367"/>
      <w:bookmarkStart w:id="655" w:name="_Toc69115090"/>
      <w:r>
        <w:t>Figure 7.</w:t>
      </w:r>
      <w:bookmarkEnd w:id="654"/>
      <w:r w:rsidR="00285C23">
        <w:fldChar w:fldCharType="begin"/>
      </w:r>
      <w:r w:rsidR="00285C23">
        <w:instrText xml:space="preserve"> SEQ Figure \* ARABIC </w:instrText>
      </w:r>
      <w:r w:rsidR="00D45B03">
        <w:instrText>\r 1</w:instrText>
      </w:r>
      <w:r w:rsidR="00285C23">
        <w:fldChar w:fldCharType="separate"/>
      </w:r>
      <w:r w:rsidR="00D45B03">
        <w:rPr>
          <w:noProof/>
        </w:rPr>
        <w:t>1</w:t>
      </w:r>
      <w:r w:rsidR="00285C23">
        <w:fldChar w:fldCharType="end"/>
      </w:r>
      <w:r>
        <w:t>: Transmission of the X-ray photon in 10 microns of nickel (20 volume %) and YS</w:t>
      </w:r>
      <w:r w:rsidRPr="006655B5">
        <w:t xml:space="preserve">Z </w:t>
      </w:r>
      <w:r w:rsidRPr="006655B5">
        <w:fldChar w:fldCharType="begin" w:fldLock="1"/>
      </w:r>
      <w:r w:rsidR="00EC62EF">
        <w:instrText>ADDIN CSL_CITATION {"citationItems":[{"id":"ITEM-1","itemData":{"DOI":"10.1006/adnd.1993.1013","author":[{"dropping-particle":"","family":"Henke","given":"B.L.","non-dropping-particle":"","parse-names":false,"suffix":""},{"dropping-particle":"","family":"Gullikson","given":"E.M.","non-dropping-particle":"","parse-names":false,"suffix":""},{"dropping-particle":"","family":"Davis","given":"J.C.","non-dropping-particle":"","parse-names":false,"suffix":""}],"container-title":"Atomic Data and Nuclear Data","id":"ITEM-1","issued":{"date-parts":[["1993"]]},"page":"181-342","title":"X-ray Interactions: Photoabsoprtion, Scattering, Transmission and Reflection at E=50-30,000 eV, Z=1-92","type":"article-journal","volume":"54"},"uris":["http://www.mendeley.com/documents/?uuid=49bca048-2db1-3dbe-81a3-4e16ab5c8a0d"]}],"mendeley":{"formattedCitation":"[500]","plainTextFormattedCitation":"[500]","previouslyFormattedCitation":"[500]"},"properties":{"noteIndex":0},"schema":"https://github.com/citation-style-language/schema/raw/master/csl-citation.json"}</w:instrText>
      </w:r>
      <w:r w:rsidRPr="006655B5">
        <w:fldChar w:fldCharType="separate"/>
      </w:r>
      <w:r w:rsidR="008446C6" w:rsidRPr="008446C6">
        <w:rPr>
          <w:i w:val="0"/>
          <w:noProof/>
        </w:rPr>
        <w:t>[500]</w:t>
      </w:r>
      <w:bookmarkEnd w:id="655"/>
      <w:r w:rsidRPr="006655B5">
        <w:fldChar w:fldCharType="end"/>
      </w:r>
    </w:p>
    <w:p w14:paraId="1C0B67B6" w14:textId="77777777" w:rsidR="00007F6C" w:rsidRDefault="00007F6C" w:rsidP="00007F6C">
      <w:pPr>
        <w:jc w:val="both"/>
      </w:pPr>
      <w:r>
        <w:t>For the identification of the primary sintering mechanism in the wet impregnated catalyst phase for the SOFC ageing process a shorter timescale (10 mins) per scan is required. Scans in this period will elucidate the initial sintering mechanism present in the nickel system.</w:t>
      </w:r>
    </w:p>
    <w:p w14:paraId="7C966198" w14:textId="77777777" w:rsidR="00007F6C" w:rsidRDefault="00007F6C" w:rsidP="00007F6C">
      <w:pPr>
        <w:jc w:val="both"/>
      </w:pPr>
      <w:r>
        <w:t>To supplement the data produced in this study, more PXCT scans are required on wet impregnated Ni-YSZ samples between 0-5 h of ageing to measure the rate of degradation for different drying routines and manufacturing method.</w:t>
      </w:r>
    </w:p>
    <w:p w14:paraId="302AF211" w14:textId="77777777" w:rsidR="00007F6C" w:rsidRPr="007705EF" w:rsidRDefault="00007F6C" w:rsidP="00007F6C">
      <w:pPr>
        <w:jc w:val="both"/>
      </w:pPr>
      <w:r>
        <w:lastRenderedPageBreak/>
        <w:t>Coupling the PXCT data with USAXS scanning could be a key method to track the particle size distribution of the nickel crystallites over time providing structural data to complement the phase quantification data generated by PXCT.</w:t>
      </w:r>
    </w:p>
    <w:p w14:paraId="7A9534BD" w14:textId="77777777" w:rsidR="00007F6C" w:rsidRPr="003413D1" w:rsidRDefault="00007F6C" w:rsidP="00007F6C">
      <w:pPr>
        <w:jc w:val="both"/>
      </w:pPr>
      <w:r w:rsidRPr="003413D1">
        <w:t xml:space="preserve">The scanned pillar volume in this project amounted to 0.03 % of the total electrode volume in the Ni-YSZ samples. Such a low volume cannot be representative of the </w:t>
      </w:r>
      <w:proofErr w:type="gramStart"/>
      <w:r w:rsidRPr="003413D1">
        <w:t>sample as a whole</w:t>
      </w:r>
      <w:proofErr w:type="gramEnd"/>
      <w:r w:rsidRPr="003413D1">
        <w:t xml:space="preserve">. Ideally, at least two further pillars need to be milled from the infiltrated electrode to produce a statistically relevant dataset. However, due to the destructive processing methods involved in creating a single pillar, obtaining multiple pillars from a single sample is near impossible.  Additionally, increasing the scan volume for PXCT would be challenging due to increased attenuation and long scan times.  </w:t>
      </w:r>
    </w:p>
    <w:p w14:paraId="49152A33" w14:textId="38870DCB" w:rsidR="00007F6C" w:rsidRDefault="00F41E63" w:rsidP="00007F6C">
      <w:r>
        <w:t>Moreover</w:t>
      </w:r>
      <w:r w:rsidR="000C4D4F">
        <w:t>, further PXCT datasets need to include an ageing study for co-sintered Ni-YSZ cermets to provide further comparison with the infiltrated specimens. Imaging the time where steady state sintering in the wet impregnated nickel occurs will help pinpoint what early-stage ageing times are significant to the microstructural degradation of the anode. Additionally, it will contextualise these rates compared to the industrial state of the art electrodes.</w:t>
      </w:r>
    </w:p>
    <w:p w14:paraId="4C00C3F6" w14:textId="0C26F5AF" w:rsidR="00007F6C" w:rsidRDefault="00007F6C" w:rsidP="00007F6C">
      <w:pPr>
        <w:pStyle w:val="Heading1"/>
      </w:pPr>
      <w:bookmarkStart w:id="656" w:name="_Toc69129467"/>
      <w:r>
        <w:t xml:space="preserve">7.4 Concluding </w:t>
      </w:r>
      <w:proofErr w:type="gramStart"/>
      <w:r>
        <w:t>Remarks</w:t>
      </w:r>
      <w:bookmarkEnd w:id="656"/>
      <w:proofErr w:type="gramEnd"/>
    </w:p>
    <w:p w14:paraId="546AA19D" w14:textId="77777777" w:rsidR="00007F6C" w:rsidRDefault="00007F6C" w:rsidP="00007F6C">
      <w:pPr>
        <w:jc w:val="both"/>
      </w:pPr>
      <w:r>
        <w:t>This project has investigated different processing techniques to reduce the degradation of infiltrated Ni-YSZ fuel electrodes. The nitrogen drying step trialled in this project displayed some promising results in increasing the dispersion and reducing the size of nickel catalysts. In addition, this drying step also began the decomposition of the nickel nitrate precursor. Particle migration coalescence was found to be the key mechanism of coarsening in infiltrated fuel electrode samples within the first 4 h of ageing.</w:t>
      </w:r>
    </w:p>
    <w:p w14:paraId="19C6D76F" w14:textId="783C25E6" w:rsidR="00007F6C" w:rsidRDefault="00007F6C" w:rsidP="00007F6C">
      <w:pPr>
        <w:jc w:val="both"/>
      </w:pPr>
      <w:r>
        <w:t xml:space="preserve">To retain the high-power densities of wet impregnated electrodes more microstructural information is required on the sintering mechanism present in these systems. This mechanism of PMC requires the movement of the infiltrated nanoparticles to form agglomerates such as those seen in </w:t>
      </w:r>
      <w:r>
        <w:fldChar w:fldCharType="begin"/>
      </w:r>
      <w:r>
        <w:instrText xml:space="preserve"> REF _Ref50905217 \h </w:instrText>
      </w:r>
      <w:r>
        <w:fldChar w:fldCharType="separate"/>
      </w:r>
      <w:r>
        <w:t>Figure 4.</w:t>
      </w:r>
      <w:r>
        <w:rPr>
          <w:noProof/>
        </w:rPr>
        <w:t>14</w:t>
      </w:r>
      <w:r>
        <w:fldChar w:fldCharType="end"/>
      </w:r>
      <w:r>
        <w:t xml:space="preserve"> and </w:t>
      </w:r>
      <w:r>
        <w:fldChar w:fldCharType="begin"/>
      </w:r>
      <w:r>
        <w:instrText xml:space="preserve"> REF _Ref50905218 \h </w:instrText>
      </w:r>
      <w:r>
        <w:fldChar w:fldCharType="separate"/>
      </w:r>
      <w:r>
        <w:t>Figure 4.</w:t>
      </w:r>
      <w:r>
        <w:rPr>
          <w:noProof/>
        </w:rPr>
        <w:t>15</w:t>
      </w:r>
      <w:r>
        <w:fldChar w:fldCharType="end"/>
      </w:r>
      <w:r>
        <w:t xml:space="preserve">. This would aid the design of nanostructured electrodes that are resilient to coarsening under SOFC operating conditions.  For wet impregnated SOFCs to be commercially viable, the sintering rate and degradation rate needs to be reduced by designing electrodes which are sinter resistant in design </w:t>
      </w:r>
      <w:r>
        <w:fldChar w:fldCharType="begin" w:fldLock="1"/>
      </w:r>
      <w:r w:rsidR="00D80A5D">
        <w:instrText>ADDIN CSL_CITATION {"citationItems":[{"id":"ITEM-1","itemData":{"DOI":"10.1021/ar3002427","ISBN":"1520-4898 (Electronic)\r0001-4842 (Linking)","PMID":"23634641","abstract":"Metal nanoparticles contain the active sites in heterogeneous catalysts, which are important for many industrial applications including the production of clean fuels, chemicals and pharmaceuticals, and the cleanup of exhaust from automobiles and stationary power plants. Sintering, or thermal deactivation, is an important mechanism for the loss of catalyst activity. This is especially true for high temperature catalytic processes, such as steam reforming, automotive exhaust treatment, or catalytic combustion. With dwindling supplies of precious metals and increasing demand, fundamental understanding of catalyst sintering is very important for achieving clean energy and a clean environment, and for efficient chemical conversion processes with atom selectivity. Scientists have proposed two mechanisms for sintering of nanoparticles: particle migration and coalescence (PMC) and Ostwald ripening (OR). PMC involves the mobility of particles in a Brownian-like motion on the support surface, with subsequent coalescence leading to nanoparticle growth. In contrast, OR involves the migration of adatoms or mobile molecular species, driven by differences in free energy and local adatom concentrations on the support surface. In this Account, we divide the process of sintering into three phases. Phase I involves rapid loss in catalyst activity (or surface area), phase II is where sintering slows down, and phase III is where the catalyst may reach a stable performance. Much of the previous work is based on inferences from catalysts that were observed before and after long term treatments. While the general phenomena can be captured correctly, the mechanisms cannot be determined. Advancements in the techniques of in situ TEM allow us to observe catalysts at elevated temperatures under working conditions. We review recent evidence obtained via in situ methods to determine the relative importance of PMC and OR in each of these phases of catalyst sintering. The evidence suggests that, in phase I, OR is responsible for the rapid loss of activity that occurs when particles are very small. Surprisingly, very little PMC is observed in this phase. Instead, the rapid loss of activity is caused by the disappearance of the smallest particles. These findings are in good agreement with representative atomistic simulations of sintering. In phase II, sintering slows down since the smallest particles have disappeared. We now see a combination of PMC and OR, but do not fully understand t…","author":[{"dropping-particle":"","family":"Hansen","given":"T W","non-dropping-particle":"","parse-names":false,"suffix":""},{"dropping-particle":"","family":"Delariva","given":"A T","non-dropping-particle":"","parse-names":false,"suffix":""},{"dropping-particle":"","family":"Challa","given":"S R","non-dropping-particle":"","parse-names":false,"suffix":""},{"dropping-particle":"","family":"Datye","given":"A K","non-dropping-particle":"","parse-names":false,"suffix":""}],"chapter-number":"1720","container-title":"Acc Chem Res","id":"ITEM-1","issue":"8","issued":{"date-parts":[["2013"]]},"note":"Hansen, Thomas W\nDelariva, Andrew T\nChalla, Sivakumar R\nDatye, Abhaya K\neng\nResearch Support, Non-U.S. Gov't\nResearch Support, U.S. Gov't, Non-P.H.S.\nReview\n2013/05/03 06:00\nAcc Chem Res. 2013 Aug 20;46(8):1720-30. doi: 10.1021/ar3002427. Epub 2013 May 1.","page":"1720-1730","title":"Sintering of catalytic nanoparticles: particle migration or Ostwald ripening?","type":"article-journal","volume":"46"},"uris":["http://www.mendeley.com/documents/?uuid=39c90cb7-90f0-4c22-a635-4a4de038ffe1"]},{"id":"ITEM-2","itemData":{"DOI":"10.1021/acscatal.7b01975","ISSN":"2155-5435","author":[{"dropping-particle":"","family":"Goodman","given":"Emmett D.","non-dropping-particle":"","parse-names":false,"suffix":""},{"dropping-particle":"","family":"Schwalbe","given":"Jay A.","non-dropping-particle":"","parse-names":false,"suffix":""},{"dropping-particle":"","family":"Cargnello","given":"Matteo","non-dropping-particle":"","parse-names":false,"suffix":""}],"container-title":"ACS Catalysis","id":"ITEM-2","issue":"10","issued":{"date-parts":[["2017","10","6"]]},"page":"7156-7173","title":"Mechanistic Understanding and the Rational Design of Sinter-Resistant Heterogeneous Catalysts","type":"article-journal","volume":"7"},"uris":["http://www.mendeley.com/documents/?uuid=b28e850f-3457-3249-b2ac-8734fa0e1fea"]}],"mendeley":{"formattedCitation":"[118], [300]","plainTextFormattedCitation":"[118], [300]","previouslyFormattedCitation":"[118], [300]"},"properties":{"noteIndex":0},"schema":"https://github.com/citation-style-language/schema/raw/master/csl-citation.json"}</w:instrText>
      </w:r>
      <w:r>
        <w:fldChar w:fldCharType="separate"/>
      </w:r>
      <w:r w:rsidR="006C586A" w:rsidRPr="006C586A">
        <w:rPr>
          <w:noProof/>
        </w:rPr>
        <w:t>[118], [300]</w:t>
      </w:r>
      <w:r>
        <w:fldChar w:fldCharType="end"/>
      </w:r>
      <w:r>
        <w:t xml:space="preserve">. </w:t>
      </w:r>
    </w:p>
    <w:p w14:paraId="7C43772A" w14:textId="491F3237" w:rsidR="00007F6C" w:rsidRDefault="00007F6C" w:rsidP="00007F6C">
      <w:pPr>
        <w:jc w:val="both"/>
      </w:pPr>
      <w:r>
        <w:t xml:space="preserve">In the case of PMC, confinement of the catalyst would help hinder the rate of particle migration and reduce the agglomeration present in the infiltrated cell. </w:t>
      </w:r>
      <w:r w:rsidRPr="00686B2F">
        <w:t xml:space="preserve">The implementation of a </w:t>
      </w:r>
      <w:r>
        <w:t xml:space="preserve">physical barrier to make sintering energetically unfeasible has proved popular with surface catalysis </w:t>
      </w:r>
      <w:r>
        <w:fldChar w:fldCharType="begin" w:fldLock="1"/>
      </w:r>
      <w:r w:rsidR="00EC62EF">
        <w:instrText>ADDIN CSL_CITATION {"citationItems":[{"id":"ITEM-1","itemData":{"DOI":"10.1021/acscatal.7b01975","ISSN":"2155-5435","author":[{"dropping-particle":"","family":"Goodman","given":"Emmett D.","non-dropping-particle":"","parse-names":false,"suffix":""},{"dropping-particle":"","family":"Schwalbe","given":"Jay A.","non-dropping-particle":"","parse-names":false,"suffix":""},{"dropping-particle":"","family":"Cargnello","given":"Matteo","non-dropping-particle":"","parse-names":false,"suffix":""}],"container-title":"ACS Catalysis","id":"ITEM-1","issue":"10","issued":{"date-parts":[["2017","10","6"]]},"page":"7156-7173","title":"Mechanistic Understanding and the Rational Design of Sinter-Resistant Heterogeneous Catalysts","type":"article-journal","volume":"7"},"uris":["http://www.mendeley.com/documents/?uuid=b28e850f-3457-3249-b2ac-8734fa0e1fea"]},{"id":"ITEM-2","itemData":{"DOI":"10.1039/C6CP02590K","ISSN":"1463-9076","abstract":"Oxygen electrodes have been able to meet area specific resistance targets for solid oxide cell operating temperatures as low as B500 1C, but their stability over expected device operation times of up to 50 000 h is unknown. Achieving good performance at such temperatures requires mixed ionically and electronically-conducting electrodes with nano-scale structure that makes the electrode susceptible to particle coarsening and, as a result, electrode resistance degradation. Here we describe accelerated life testing of nanostructured Sm 0.5 Sr 0.5 CoO 3 –Ce 0.9 Gd 0.1 O 2 electrodes combining impedance spectroscopy and microstructural evaluation. Measured electrochemical performance degradation is accurately fitted using a coarsening model that is then used to predict cell operating conditions where required performance and long-term stability are both achieved. A new electrode material figure of merit based on both performance and stability metrics is proposed. An implication is that cation diffusion, which determines the coarsening rate, must be considered along with oxygen transport kinetics in the selection of optimal electrode materials.","author":[{"dropping-particle":"V.","family":"Call","given":"Ann","non-dropping-particle":"","parse-names":false,"suffix":""},{"dropping-particle":"","family":"Railsback","given":"Justin G.","non-dropping-particle":"","parse-names":false,"suffix":""},{"dropping-particle":"","family":"Wang","given":"Hongqian","non-dropping-particle":"","parse-names":false,"suffix":""},{"dropping-particle":"","family":"Barnett","given":"Scott A.","non-dropping-particle":"","parse-names":false,"suffix":""}],"container-title":"Phys. Chem. Chem. Phys.","id":"ITEM-2","issue":"19","issued":{"date-parts":[["2016"]]},"page":"13216-13222","publisher":"Royal Society of Chemistry","title":"Degradation of nano-scale cathodes: a new paradigm for selecting low-temperature solid oxide cell materials","type":"article-journal","volume":"18"},"uris":["http://www.mendeley.com/documents/?uuid=34a9b89f-f989-47cf-8b7f-893ab1d42cb4"]}],"mendeley":{"formattedCitation":"[300], [512]","plainTextFormattedCitation":"[300], [512]","previouslyFormattedCitation":"[300], [512]"},"properties":{"noteIndex":0},"schema":"https://github.com/citation-style-language/schema/raw/master/csl-citation.json"}</w:instrText>
      </w:r>
      <w:r>
        <w:fldChar w:fldCharType="separate"/>
      </w:r>
      <w:r w:rsidR="00EC62EF" w:rsidRPr="00EC62EF">
        <w:rPr>
          <w:noProof/>
        </w:rPr>
        <w:t>[300], [512]</w:t>
      </w:r>
      <w:r>
        <w:fldChar w:fldCharType="end"/>
      </w:r>
      <w:r>
        <w:t xml:space="preserve">. The main strategy for confining the catalyst nanoparticles involve either the encasing the particles in a porous oxide material or the addition of a thin film to constrain the nanoparticles during </w:t>
      </w:r>
      <w:proofErr w:type="gramStart"/>
      <w:r>
        <w:t>operation</w:t>
      </w:r>
      <w:proofErr w:type="gramEnd"/>
    </w:p>
    <w:p w14:paraId="433F8F27" w14:textId="77777777" w:rsidR="00007F6C" w:rsidRDefault="00007F6C" w:rsidP="00007F6C">
      <w:pPr>
        <w:jc w:val="both"/>
      </w:pPr>
      <w:r>
        <w:t>This poses a serious materials challenge as the nickel in infiltrated fuel electrodes would need to be interconnected for suitable electronic conductivity. Encasing the nickel in a porous oxide will provide gas percolation networks which is required for a fuel electrode. However, this encapsulation of must not affect the electronic conductivity of the nickel particles.  Thin film deposition methods such as atomic layer deposition where the thickness of the film can be varied could be key for infiltrated SOFC electrodes.</w:t>
      </w:r>
    </w:p>
    <w:p w14:paraId="78639F9C" w14:textId="77777777" w:rsidR="00007F6C" w:rsidRPr="00D231DC" w:rsidRDefault="00007F6C" w:rsidP="00007F6C">
      <w:pPr>
        <w:jc w:val="both"/>
      </w:pPr>
    </w:p>
    <w:p w14:paraId="20EF18B6" w14:textId="77777777" w:rsidR="00007F6C" w:rsidRDefault="00007F6C" w:rsidP="00007F6C">
      <w:pPr>
        <w:jc w:val="both"/>
        <w:rPr>
          <w:rFonts w:asciiTheme="majorHAnsi" w:eastAsiaTheme="majorEastAsia" w:hAnsiTheme="majorHAnsi" w:cstheme="majorBidi"/>
          <w:color w:val="2F5496" w:themeColor="accent1" w:themeShade="BF"/>
          <w:sz w:val="26"/>
          <w:szCs w:val="26"/>
        </w:rPr>
      </w:pPr>
      <w:r>
        <w:br w:type="page"/>
      </w:r>
    </w:p>
    <w:p w14:paraId="0F93CD78" w14:textId="161FCB77" w:rsidR="00007F6C" w:rsidRDefault="00007F6C" w:rsidP="00007F6C">
      <w:pPr>
        <w:pStyle w:val="Heading1"/>
      </w:pPr>
      <w:bookmarkStart w:id="657" w:name="_Toc69129468"/>
      <w:bookmarkEnd w:id="427"/>
      <w:r>
        <w:lastRenderedPageBreak/>
        <w:t>References</w:t>
      </w:r>
      <w:bookmarkEnd w:id="657"/>
    </w:p>
    <w:bookmarkEnd w:id="288"/>
    <w:p w14:paraId="3787405B" w14:textId="3BAD43EC" w:rsidR="00EC62EF" w:rsidRPr="00EC62EF" w:rsidRDefault="00007F6C" w:rsidP="00EC62EF">
      <w:pPr>
        <w:widowControl w:val="0"/>
        <w:autoSpaceDE w:val="0"/>
        <w:autoSpaceDN w:val="0"/>
        <w:adjustRightInd w:val="0"/>
        <w:spacing w:line="240" w:lineRule="auto"/>
        <w:ind w:left="640" w:hanging="640"/>
        <w:rPr>
          <w:rFonts w:ascii="Calibri" w:hAnsi="Calibri" w:cs="Calibri"/>
          <w:noProof/>
          <w:szCs w:val="24"/>
        </w:rPr>
      </w:pPr>
      <w:r>
        <w:fldChar w:fldCharType="begin" w:fldLock="1"/>
      </w:r>
      <w:r>
        <w:instrText xml:space="preserve">ADDIN Mendeley Bibliography CSL_BIBLIOGRAPHY </w:instrText>
      </w:r>
      <w:r>
        <w:fldChar w:fldCharType="separate"/>
      </w:r>
      <w:r w:rsidR="00EC62EF" w:rsidRPr="00EC62EF">
        <w:rPr>
          <w:rFonts w:ascii="Calibri" w:hAnsi="Calibri" w:cs="Calibri"/>
          <w:noProof/>
          <w:szCs w:val="24"/>
        </w:rPr>
        <w:t>[1]</w:t>
      </w:r>
      <w:r w:rsidR="00EC62EF" w:rsidRPr="00EC62EF">
        <w:rPr>
          <w:rFonts w:ascii="Calibri" w:hAnsi="Calibri" w:cs="Calibri"/>
          <w:noProof/>
          <w:szCs w:val="24"/>
        </w:rPr>
        <w:tab/>
        <w:t xml:space="preserve">N. Q. Minh, “Ceramic Fuel Cells,” </w:t>
      </w:r>
      <w:r w:rsidR="00EC62EF" w:rsidRPr="00EC62EF">
        <w:rPr>
          <w:rFonts w:ascii="Calibri" w:hAnsi="Calibri" w:cs="Calibri"/>
          <w:i/>
          <w:iCs/>
          <w:noProof/>
          <w:szCs w:val="24"/>
        </w:rPr>
        <w:t>J. Am. Ceram. Soc.</w:t>
      </w:r>
      <w:r w:rsidR="00EC62EF" w:rsidRPr="00EC62EF">
        <w:rPr>
          <w:rFonts w:ascii="Calibri" w:hAnsi="Calibri" w:cs="Calibri"/>
          <w:noProof/>
          <w:szCs w:val="24"/>
        </w:rPr>
        <w:t>, vol. 76, no. 3, pp. 563–588, 1993.</w:t>
      </w:r>
    </w:p>
    <w:p w14:paraId="5ABCA21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w:t>
      </w:r>
      <w:r w:rsidRPr="00EC62EF">
        <w:rPr>
          <w:rFonts w:ascii="Calibri" w:hAnsi="Calibri" w:cs="Calibri"/>
          <w:noProof/>
          <w:szCs w:val="24"/>
        </w:rPr>
        <w:tab/>
        <w:t xml:space="preserve">E. Wachsman, T. Ishihara, and J. Kilner, “Low-temperature solid-oxide fuel cells,” </w:t>
      </w:r>
      <w:r w:rsidRPr="00EC62EF">
        <w:rPr>
          <w:rFonts w:ascii="Calibri" w:hAnsi="Calibri" w:cs="Calibri"/>
          <w:i/>
          <w:iCs/>
          <w:noProof/>
          <w:szCs w:val="24"/>
        </w:rPr>
        <w:t>MRS Bull.</w:t>
      </w:r>
      <w:r w:rsidRPr="00EC62EF">
        <w:rPr>
          <w:rFonts w:ascii="Calibri" w:hAnsi="Calibri" w:cs="Calibri"/>
          <w:noProof/>
          <w:szCs w:val="24"/>
        </w:rPr>
        <w:t>, vol. 39, no. 9, pp. 773–779, 2014.</w:t>
      </w:r>
    </w:p>
    <w:p w14:paraId="11A2838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w:t>
      </w:r>
      <w:r w:rsidRPr="00EC62EF">
        <w:rPr>
          <w:rFonts w:ascii="Calibri" w:hAnsi="Calibri" w:cs="Calibri"/>
          <w:noProof/>
          <w:szCs w:val="24"/>
        </w:rPr>
        <w:tab/>
        <w:t xml:space="preserve">E. D. Wachsman, C. A. Marlowe, and K. T. Lee, “Role of solid oxide fuel cells in a balanced energy strategy,” </w:t>
      </w:r>
      <w:r w:rsidRPr="00EC62EF">
        <w:rPr>
          <w:rFonts w:ascii="Calibri" w:hAnsi="Calibri" w:cs="Calibri"/>
          <w:i/>
          <w:iCs/>
          <w:noProof/>
          <w:szCs w:val="24"/>
        </w:rPr>
        <w:t>Energy Environ. Sci.</w:t>
      </w:r>
      <w:r w:rsidRPr="00EC62EF">
        <w:rPr>
          <w:rFonts w:ascii="Calibri" w:hAnsi="Calibri" w:cs="Calibri"/>
          <w:noProof/>
          <w:szCs w:val="24"/>
        </w:rPr>
        <w:t>, vol. 5, no. 2, pp. 5498–5509, 2012.</w:t>
      </w:r>
    </w:p>
    <w:p w14:paraId="229C969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w:t>
      </w:r>
      <w:r w:rsidRPr="00EC62EF">
        <w:rPr>
          <w:rFonts w:ascii="Calibri" w:hAnsi="Calibri" w:cs="Calibri"/>
          <w:noProof/>
          <w:szCs w:val="24"/>
        </w:rPr>
        <w:tab/>
        <w:t xml:space="preserve">K. Huang and S. C. Singhal, “Cathode-supported tubular solid oxide fuel cell technology: A critical review,” </w:t>
      </w:r>
      <w:r w:rsidRPr="00EC62EF">
        <w:rPr>
          <w:rFonts w:ascii="Calibri" w:hAnsi="Calibri" w:cs="Calibri"/>
          <w:i/>
          <w:iCs/>
          <w:noProof/>
          <w:szCs w:val="24"/>
        </w:rPr>
        <w:t>J. Power Sources</w:t>
      </w:r>
      <w:r w:rsidRPr="00EC62EF">
        <w:rPr>
          <w:rFonts w:ascii="Calibri" w:hAnsi="Calibri" w:cs="Calibri"/>
          <w:noProof/>
          <w:szCs w:val="24"/>
        </w:rPr>
        <w:t>, vol. 237, pp. 84–97, 2013.</w:t>
      </w:r>
    </w:p>
    <w:p w14:paraId="6C4A738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[5]</w:t>
      </w:r>
      <w:r w:rsidRPr="00EC62EF">
        <w:rPr>
          <w:rFonts w:ascii="Calibri" w:hAnsi="Calibri" w:cs="Calibri"/>
          <w:noProof/>
          <w:szCs w:val="24"/>
        </w:rPr>
        <w:tab/>
        <w:t xml:space="preserve">J. M. Vohs and R. J. Gorte, “High-Performance SOFC Cathodes Prepared by Infiltration,” </w:t>
      </w:r>
      <w:r w:rsidRPr="00EC62EF">
        <w:rPr>
          <w:rFonts w:ascii="Calibri" w:hAnsi="Calibri" w:cs="Calibri"/>
          <w:i/>
          <w:iCs/>
          <w:noProof/>
          <w:szCs w:val="24"/>
        </w:rPr>
        <w:t>Adv. Mater.</w:t>
      </w:r>
      <w:r w:rsidRPr="00EC62EF">
        <w:rPr>
          <w:rFonts w:ascii="Calibri" w:hAnsi="Calibri" w:cs="Calibri"/>
          <w:noProof/>
          <w:szCs w:val="24"/>
        </w:rPr>
        <w:t>, vol. 21, no. 9, pp. 943–956, 2009.</w:t>
      </w:r>
    </w:p>
    <w:p w14:paraId="7F3DE25E"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[6]</w:t>
      </w:r>
      <w:r w:rsidRPr="00EC62EF">
        <w:rPr>
          <w:rFonts w:ascii="Calibri" w:hAnsi="Calibri" w:cs="Calibri"/>
          <w:noProof/>
          <w:szCs w:val="24"/>
        </w:rPr>
        <w:tab/>
        <w:t xml:space="preserve">P. Keyvanfar and V. Birss, “Optimization of Infiltration Techniques Used to Construct Ni/YSZ Anodes,” in </w:t>
      </w:r>
      <w:r w:rsidRPr="00EC62EF">
        <w:rPr>
          <w:rFonts w:ascii="Calibri" w:hAnsi="Calibri" w:cs="Calibri"/>
          <w:i/>
          <w:iCs/>
          <w:noProof/>
          <w:szCs w:val="24"/>
        </w:rPr>
        <w:t>Journal of The Electrochemical Society</w:t>
      </w:r>
      <w:r w:rsidRPr="00EC62EF">
        <w:rPr>
          <w:rFonts w:ascii="Calibri" w:hAnsi="Calibri" w:cs="Calibri"/>
          <w:noProof/>
          <w:szCs w:val="24"/>
        </w:rPr>
        <w:t>, 2014, 1st ed., vol. 161, no. 5, pp. F660–F667.</w:t>
      </w:r>
    </w:p>
    <w:p w14:paraId="04222D8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[7]</w:t>
      </w:r>
      <w:r w:rsidRPr="00EC62EF">
        <w:rPr>
          <w:rFonts w:ascii="Calibri" w:hAnsi="Calibri" w:cs="Calibri"/>
          <w:noProof/>
          <w:szCs w:val="24"/>
        </w:rPr>
        <w:tab/>
        <w:t xml:space="preserve">D. Ding, X. Li, S. Y. Lai, K. Gerdes, and M. Liu, “Enhancing SOFC cathode performance by surface modification through infiltration,” </w:t>
      </w:r>
      <w:r w:rsidRPr="00EC62EF">
        <w:rPr>
          <w:rFonts w:ascii="Calibri" w:hAnsi="Calibri" w:cs="Calibri"/>
          <w:i/>
          <w:iCs/>
          <w:noProof/>
          <w:szCs w:val="24"/>
        </w:rPr>
        <w:t>Energy Environ. Sci.</w:t>
      </w:r>
      <w:r w:rsidRPr="00EC62EF">
        <w:rPr>
          <w:rFonts w:ascii="Calibri" w:hAnsi="Calibri" w:cs="Calibri"/>
          <w:noProof/>
          <w:szCs w:val="24"/>
        </w:rPr>
        <w:t>, vol. 7, no. 2, pp. 552–575, 2014.</w:t>
      </w:r>
    </w:p>
    <w:p w14:paraId="2E38835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[8]</w:t>
      </w:r>
      <w:r w:rsidRPr="00EC62EF">
        <w:rPr>
          <w:rFonts w:ascii="Calibri" w:hAnsi="Calibri" w:cs="Calibri"/>
          <w:noProof/>
          <w:szCs w:val="24"/>
        </w:rPr>
        <w:tab/>
        <w:t xml:space="preserve">S. P. Jiang, “A review of wet impregnation - An alternative method for the fabrication of high performance and nano-structured electrodes of solid oxide fuel cells,” </w:t>
      </w:r>
      <w:r w:rsidRPr="00EC62EF">
        <w:rPr>
          <w:rFonts w:ascii="Calibri" w:hAnsi="Calibri" w:cs="Calibri"/>
          <w:i/>
          <w:iCs/>
          <w:noProof/>
          <w:szCs w:val="24"/>
        </w:rPr>
        <w:t>Mater. Sci. Eng. A</w:t>
      </w:r>
      <w:r w:rsidRPr="00EC62EF">
        <w:rPr>
          <w:rFonts w:ascii="Calibri" w:hAnsi="Calibri" w:cs="Calibri"/>
          <w:noProof/>
          <w:szCs w:val="24"/>
        </w:rPr>
        <w:t>, vol. 418, no. 1–2, pp. 199–210, 2006.</w:t>
      </w:r>
    </w:p>
    <w:p w14:paraId="49141D9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[9]</w:t>
      </w:r>
      <w:r w:rsidRPr="00EC62EF">
        <w:rPr>
          <w:rFonts w:ascii="Calibri" w:hAnsi="Calibri" w:cs="Calibri"/>
          <w:noProof/>
          <w:szCs w:val="24"/>
        </w:rPr>
        <w:tab/>
        <w:t xml:space="preserve">T. L. Skafte, J. Hjelm, P. Blennow, and C. Graves, “Quantitative review of degradation and lifetime of solid oxide cells and stacks,” in </w:t>
      </w:r>
      <w:r w:rsidRPr="00EC62EF">
        <w:rPr>
          <w:rFonts w:ascii="Calibri" w:hAnsi="Calibri" w:cs="Calibri"/>
          <w:i/>
          <w:iCs/>
          <w:noProof/>
          <w:szCs w:val="24"/>
        </w:rPr>
        <w:t>EFCF 2016 proceedings</w:t>
      </w:r>
      <w:r w:rsidRPr="00EC62EF">
        <w:rPr>
          <w:rFonts w:ascii="Calibri" w:hAnsi="Calibri" w:cs="Calibri"/>
          <w:noProof/>
          <w:szCs w:val="24"/>
        </w:rPr>
        <w:t>, 2016, p. B0501.</w:t>
      </w:r>
    </w:p>
    <w:p w14:paraId="23BEFF8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[10]</w:t>
      </w:r>
      <w:r w:rsidRPr="00EC62EF">
        <w:rPr>
          <w:rFonts w:ascii="Calibri" w:hAnsi="Calibri" w:cs="Calibri"/>
          <w:noProof/>
          <w:szCs w:val="24"/>
        </w:rPr>
        <w:tab/>
        <w:t xml:space="preserve">M. Kishimoto, M. Lomberg, E. Ruiz-Trejo, and N. P. Brandon, “Enhanced triple-phase boundary density in infiltrated electrodes for solid oxide fuel cells demonstrated by high-resolution tomography,” </w:t>
      </w:r>
      <w:r w:rsidRPr="00EC62EF">
        <w:rPr>
          <w:rFonts w:ascii="Calibri" w:hAnsi="Calibri" w:cs="Calibri"/>
          <w:i/>
          <w:iCs/>
          <w:noProof/>
          <w:szCs w:val="24"/>
        </w:rPr>
        <w:t>J. Power Sources</w:t>
      </w:r>
      <w:r w:rsidRPr="00EC62EF">
        <w:rPr>
          <w:rFonts w:ascii="Calibri" w:hAnsi="Calibri" w:cs="Calibri"/>
          <w:noProof/>
          <w:szCs w:val="24"/>
        </w:rPr>
        <w:t>, vol. 266, pp. 291–295, 2014.</w:t>
      </w:r>
    </w:p>
    <w:p w14:paraId="715E565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[11]</w:t>
      </w:r>
      <w:r w:rsidRPr="00EC62EF">
        <w:rPr>
          <w:rFonts w:ascii="Calibri" w:hAnsi="Calibri" w:cs="Calibri"/>
          <w:noProof/>
          <w:szCs w:val="24"/>
        </w:rPr>
        <w:tab/>
        <w:t xml:space="preserve">J. M. Andújar and F. Segura, “Fuel cells: History and updating. A walk along two centuries,” </w:t>
      </w:r>
      <w:r w:rsidRPr="00EC62EF">
        <w:rPr>
          <w:rFonts w:ascii="Calibri" w:hAnsi="Calibri" w:cs="Calibri"/>
          <w:i/>
          <w:iCs/>
          <w:noProof/>
          <w:szCs w:val="24"/>
        </w:rPr>
        <w:t>Renew. Sustain. Energy Rev.</w:t>
      </w:r>
      <w:r w:rsidRPr="00EC62EF">
        <w:rPr>
          <w:rFonts w:ascii="Calibri" w:hAnsi="Calibri" w:cs="Calibri"/>
          <w:noProof/>
          <w:szCs w:val="24"/>
        </w:rPr>
        <w:t>, vol. 13, no. 9, pp. 2309–2322, 2009.</w:t>
      </w:r>
    </w:p>
    <w:p w14:paraId="4B23B94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[12]</w:t>
      </w:r>
      <w:r w:rsidRPr="00EC62EF">
        <w:rPr>
          <w:rFonts w:ascii="Calibri" w:hAnsi="Calibri" w:cs="Calibri"/>
          <w:noProof/>
          <w:szCs w:val="24"/>
        </w:rPr>
        <w:tab/>
        <w:t xml:space="preserve">W. R. Grove, “XXIV. On voltaic series and the combination of gases by platinum,” </w:t>
      </w:r>
      <w:r w:rsidRPr="00EC62EF">
        <w:rPr>
          <w:rFonts w:ascii="Calibri" w:hAnsi="Calibri" w:cs="Calibri"/>
          <w:i/>
          <w:iCs/>
          <w:noProof/>
          <w:szCs w:val="24"/>
        </w:rPr>
        <w:t>London, Edinburgh, Dublin Philos. Mag. J. Sci.</w:t>
      </w:r>
      <w:r w:rsidRPr="00EC62EF">
        <w:rPr>
          <w:rFonts w:ascii="Calibri" w:hAnsi="Calibri" w:cs="Calibri"/>
          <w:noProof/>
          <w:szCs w:val="24"/>
        </w:rPr>
        <w:t>, vol. 14, no. 86–87, pp. 127–130, 1839.</w:t>
      </w:r>
    </w:p>
    <w:p w14:paraId="34869E2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[13]</w:t>
      </w:r>
      <w:r w:rsidRPr="00EC62EF">
        <w:rPr>
          <w:rFonts w:ascii="Calibri" w:hAnsi="Calibri" w:cs="Calibri"/>
          <w:noProof/>
          <w:szCs w:val="24"/>
        </w:rPr>
        <w:tab/>
        <w:t xml:space="preserve">W. R. Grove, “On the Gas Voltaic Battery. Experiments Made with a View of Ascertaining the Rationale of Its Action and Its Application to Eudiometry,” </w:t>
      </w:r>
      <w:r w:rsidRPr="00EC62EF">
        <w:rPr>
          <w:rFonts w:ascii="Calibri" w:hAnsi="Calibri" w:cs="Calibri"/>
          <w:i/>
          <w:iCs/>
          <w:noProof/>
          <w:szCs w:val="24"/>
        </w:rPr>
        <w:t>Philos. Trans. R. Soc. London</w:t>
      </w:r>
      <w:r w:rsidRPr="00EC62EF">
        <w:rPr>
          <w:rFonts w:ascii="Calibri" w:hAnsi="Calibri" w:cs="Calibri"/>
          <w:noProof/>
          <w:szCs w:val="24"/>
        </w:rPr>
        <w:t>, vol. 133, pp. 91–112, 1843.</w:t>
      </w:r>
    </w:p>
    <w:p w14:paraId="2B6DDFB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[14]</w:t>
      </w:r>
      <w:r w:rsidRPr="00EC62EF">
        <w:rPr>
          <w:rFonts w:ascii="Calibri" w:hAnsi="Calibri" w:cs="Calibri"/>
          <w:noProof/>
          <w:szCs w:val="24"/>
        </w:rPr>
        <w:tab/>
        <w:t xml:space="preserve">W. R. Grove, “On a Gaseous Voltaic Battery,” </w:t>
      </w:r>
      <w:r w:rsidRPr="00EC62EF">
        <w:rPr>
          <w:rFonts w:ascii="Calibri" w:hAnsi="Calibri" w:cs="Calibri"/>
          <w:i/>
          <w:iCs/>
          <w:noProof/>
          <w:szCs w:val="24"/>
        </w:rPr>
        <w:t>Philos. Mag.</w:t>
      </w:r>
      <w:r w:rsidRPr="00EC62EF">
        <w:rPr>
          <w:rFonts w:ascii="Calibri" w:hAnsi="Calibri" w:cs="Calibri"/>
          <w:noProof/>
          <w:szCs w:val="24"/>
        </w:rPr>
        <w:t>, vol. 92, no. 31, pp. 3753–3756, 2012.</w:t>
      </w:r>
    </w:p>
    <w:p w14:paraId="312D178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[15]</w:t>
      </w:r>
      <w:r w:rsidRPr="00EC62EF">
        <w:rPr>
          <w:rFonts w:ascii="Calibri" w:hAnsi="Calibri" w:cs="Calibri"/>
          <w:noProof/>
          <w:szCs w:val="24"/>
        </w:rPr>
        <w:tab/>
        <w:t xml:space="preserve">A. B. Stambouli and E. Traversa, “Solid oxide fuel cells (SOFCs): A review of an environmentally clean and efficient source of energy,” </w:t>
      </w:r>
      <w:r w:rsidRPr="00EC62EF">
        <w:rPr>
          <w:rFonts w:ascii="Calibri" w:hAnsi="Calibri" w:cs="Calibri"/>
          <w:i/>
          <w:iCs/>
          <w:noProof/>
          <w:szCs w:val="24"/>
        </w:rPr>
        <w:t>Renew. Sustain. Energy Rev.</w:t>
      </w:r>
      <w:r w:rsidRPr="00EC62EF">
        <w:rPr>
          <w:rFonts w:ascii="Calibri" w:hAnsi="Calibri" w:cs="Calibri"/>
          <w:noProof/>
          <w:szCs w:val="24"/>
        </w:rPr>
        <w:t>, vol. 6, no. 5, pp. 433–455, 2002.</w:t>
      </w:r>
    </w:p>
    <w:p w14:paraId="29EC3C8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[16]</w:t>
      </w:r>
      <w:r w:rsidRPr="00EC62EF">
        <w:rPr>
          <w:rFonts w:ascii="Calibri" w:hAnsi="Calibri" w:cs="Calibri"/>
          <w:noProof/>
          <w:szCs w:val="24"/>
        </w:rPr>
        <w:tab/>
        <w:t xml:space="preserve">A. J. Appleby, “From Sir William Grove to today: fuel cells and the future,” </w:t>
      </w:r>
      <w:r w:rsidRPr="00EC62EF">
        <w:rPr>
          <w:rFonts w:ascii="Calibri" w:hAnsi="Calibri" w:cs="Calibri"/>
          <w:i/>
          <w:iCs/>
          <w:noProof/>
          <w:szCs w:val="24"/>
        </w:rPr>
        <w:t>J. Power Sources</w:t>
      </w:r>
      <w:r w:rsidRPr="00EC62EF">
        <w:rPr>
          <w:rFonts w:ascii="Calibri" w:hAnsi="Calibri" w:cs="Calibri"/>
          <w:noProof/>
          <w:szCs w:val="24"/>
        </w:rPr>
        <w:t>, vol. 29, no. 1–2, pp. 3–11, 1990.</w:t>
      </w:r>
    </w:p>
    <w:p w14:paraId="66DBFB5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[17]</w:t>
      </w:r>
      <w:r w:rsidRPr="00EC62EF">
        <w:rPr>
          <w:rFonts w:ascii="Calibri" w:hAnsi="Calibri" w:cs="Calibri"/>
          <w:noProof/>
          <w:szCs w:val="24"/>
        </w:rPr>
        <w:tab/>
        <w:t xml:space="preserve">A. J. Appleby and F. R. Foulkes, </w:t>
      </w:r>
      <w:r w:rsidRPr="00EC62EF">
        <w:rPr>
          <w:rFonts w:ascii="Calibri" w:hAnsi="Calibri" w:cs="Calibri"/>
          <w:i/>
          <w:iCs/>
          <w:noProof/>
          <w:szCs w:val="24"/>
        </w:rPr>
        <w:t>Fuel Cell Handbook</w:t>
      </w:r>
      <w:r w:rsidRPr="00EC62EF">
        <w:rPr>
          <w:rFonts w:ascii="Calibri" w:hAnsi="Calibri" w:cs="Calibri"/>
          <w:noProof/>
          <w:szCs w:val="24"/>
        </w:rPr>
        <w:t>. Van Nostrand Reinhold, 1988.</w:t>
      </w:r>
    </w:p>
    <w:p w14:paraId="2046E83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[18]</w:t>
      </w:r>
      <w:r w:rsidRPr="00EC62EF">
        <w:rPr>
          <w:rFonts w:ascii="Calibri" w:hAnsi="Calibri" w:cs="Calibri"/>
          <w:noProof/>
          <w:szCs w:val="24"/>
        </w:rPr>
        <w:tab/>
        <w:t xml:space="preserve">L. Carrette, K. A. Friedrich, and U. Stimming, “Fuel Cells: Principles, Types, Fuels, and Applications,” </w:t>
      </w:r>
      <w:r w:rsidRPr="00EC62EF">
        <w:rPr>
          <w:rFonts w:ascii="Calibri" w:hAnsi="Calibri" w:cs="Calibri"/>
          <w:i/>
          <w:iCs/>
          <w:noProof/>
          <w:szCs w:val="24"/>
        </w:rPr>
        <w:t>ChemPhysChem</w:t>
      </w:r>
      <w:r w:rsidRPr="00EC62EF">
        <w:rPr>
          <w:rFonts w:ascii="Calibri" w:hAnsi="Calibri" w:cs="Calibri"/>
          <w:noProof/>
          <w:szCs w:val="24"/>
        </w:rPr>
        <w:t>, vol. 1, no. 4, pp. 162–193, 2000.</w:t>
      </w:r>
    </w:p>
    <w:p w14:paraId="5B47601E"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lastRenderedPageBreak/>
        <w:t>[19]</w:t>
      </w:r>
      <w:r w:rsidRPr="00EC62EF">
        <w:rPr>
          <w:rFonts w:ascii="Calibri" w:hAnsi="Calibri" w:cs="Calibri"/>
          <w:noProof/>
          <w:szCs w:val="24"/>
        </w:rPr>
        <w:tab/>
        <w:t xml:space="preserve">J. Kunze and U. Stimming, “Electrochemical versus heat-engine energy technology: A tribute to wilhelm ostwald’s visionary statements,” </w:t>
      </w:r>
      <w:r w:rsidRPr="00EC62EF">
        <w:rPr>
          <w:rFonts w:ascii="Calibri" w:hAnsi="Calibri" w:cs="Calibri"/>
          <w:i/>
          <w:iCs/>
          <w:noProof/>
          <w:szCs w:val="24"/>
        </w:rPr>
        <w:t>Angew. Chemie - Int. Ed.</w:t>
      </w:r>
      <w:r w:rsidRPr="00EC62EF">
        <w:rPr>
          <w:rFonts w:ascii="Calibri" w:hAnsi="Calibri" w:cs="Calibri"/>
          <w:noProof/>
          <w:szCs w:val="24"/>
        </w:rPr>
        <w:t>, vol. 48, no. 49, pp. 9230–9237, 2009.</w:t>
      </w:r>
    </w:p>
    <w:p w14:paraId="5C3F4C7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[20]</w:t>
      </w:r>
      <w:r w:rsidRPr="00EC62EF">
        <w:rPr>
          <w:rFonts w:ascii="Calibri" w:hAnsi="Calibri" w:cs="Calibri"/>
          <w:noProof/>
          <w:szCs w:val="24"/>
        </w:rPr>
        <w:tab/>
        <w:t xml:space="preserve">H. H. Möbius, “On the history of solid electrolyte fuel cells,” </w:t>
      </w:r>
      <w:r w:rsidRPr="00EC62EF">
        <w:rPr>
          <w:rFonts w:ascii="Calibri" w:hAnsi="Calibri" w:cs="Calibri"/>
          <w:i/>
          <w:iCs/>
          <w:noProof/>
          <w:szCs w:val="24"/>
        </w:rPr>
        <w:t>J. Solid State Electrochem.</w:t>
      </w:r>
      <w:r w:rsidRPr="00EC62EF">
        <w:rPr>
          <w:rFonts w:ascii="Calibri" w:hAnsi="Calibri" w:cs="Calibri"/>
          <w:noProof/>
          <w:szCs w:val="24"/>
        </w:rPr>
        <w:t>, vol. 1, no. 1, pp. 2–16, 1997.</w:t>
      </w:r>
    </w:p>
    <w:p w14:paraId="03647A5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[21]</w:t>
      </w:r>
      <w:r w:rsidRPr="00EC62EF">
        <w:rPr>
          <w:rFonts w:ascii="Calibri" w:hAnsi="Calibri" w:cs="Calibri"/>
          <w:noProof/>
          <w:szCs w:val="24"/>
        </w:rPr>
        <w:tab/>
        <w:t xml:space="preserve">V. Hacker, M. Cifrain, K. Kordesch, T. Hejze, R. R. Aronsson, and K. Reichmann, “The Safe and Economic Revival of Alkaline Hydrogen/Air Fuel Cells with Circulating Electrolytes, Recommended for Vehicles Using Battery Hybrid Systems and H2 from Ammonia Crackers,” </w:t>
      </w:r>
      <w:r w:rsidRPr="00EC62EF">
        <w:rPr>
          <w:rFonts w:ascii="Calibri" w:hAnsi="Calibri" w:cs="Calibri"/>
          <w:i/>
          <w:iCs/>
          <w:noProof/>
          <w:szCs w:val="24"/>
        </w:rPr>
        <w:t>ECS Trans.</w:t>
      </w:r>
      <w:r w:rsidRPr="00EC62EF">
        <w:rPr>
          <w:rFonts w:ascii="Calibri" w:hAnsi="Calibri" w:cs="Calibri"/>
          <w:noProof/>
          <w:szCs w:val="24"/>
        </w:rPr>
        <w:t>, vol. 11, no. 32, pp. 167–185, 2008.</w:t>
      </w:r>
    </w:p>
    <w:p w14:paraId="40B56B8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[22]</w:t>
      </w:r>
      <w:r w:rsidRPr="00EC62EF">
        <w:rPr>
          <w:rFonts w:ascii="Calibri" w:hAnsi="Calibri" w:cs="Calibri"/>
          <w:noProof/>
          <w:szCs w:val="24"/>
        </w:rPr>
        <w:tab/>
        <w:t xml:space="preserve">V. S. Bagotsky, </w:t>
      </w:r>
      <w:r w:rsidRPr="00EC62EF">
        <w:rPr>
          <w:rFonts w:ascii="Calibri" w:hAnsi="Calibri" w:cs="Calibri"/>
          <w:i/>
          <w:iCs/>
          <w:noProof/>
          <w:szCs w:val="24"/>
        </w:rPr>
        <w:t>Fuel Cells: Problems and Solutions: Second Edition</w:t>
      </w:r>
      <w:r w:rsidRPr="00EC62EF">
        <w:rPr>
          <w:rFonts w:ascii="Calibri" w:hAnsi="Calibri" w:cs="Calibri"/>
          <w:noProof/>
          <w:szCs w:val="24"/>
        </w:rPr>
        <w:t>. 2012.</w:t>
      </w:r>
    </w:p>
    <w:p w14:paraId="0AEA649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[23]</w:t>
      </w:r>
      <w:r w:rsidRPr="00EC62EF">
        <w:rPr>
          <w:rFonts w:ascii="Calibri" w:hAnsi="Calibri" w:cs="Calibri"/>
          <w:noProof/>
          <w:szCs w:val="24"/>
        </w:rPr>
        <w:tab/>
        <w:t xml:space="preserve">C. Wagner, “UÈber den Mechanismus der elektrischen Stromleitung im Nernststift.,” </w:t>
      </w:r>
      <w:r w:rsidRPr="00EC62EF">
        <w:rPr>
          <w:rFonts w:ascii="Calibri" w:hAnsi="Calibri" w:cs="Calibri"/>
          <w:i/>
          <w:iCs/>
          <w:noProof/>
          <w:szCs w:val="24"/>
        </w:rPr>
        <w:t>Naturwissenschaften</w:t>
      </w:r>
      <w:r w:rsidRPr="00EC62EF">
        <w:rPr>
          <w:rFonts w:ascii="Calibri" w:hAnsi="Calibri" w:cs="Calibri"/>
          <w:noProof/>
          <w:szCs w:val="24"/>
        </w:rPr>
        <w:t>, vol. 31, pp. 265–268, 1943.</w:t>
      </w:r>
    </w:p>
    <w:p w14:paraId="5D22EE0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[24]</w:t>
      </w:r>
      <w:r w:rsidRPr="00EC62EF">
        <w:rPr>
          <w:rFonts w:ascii="Calibri" w:hAnsi="Calibri" w:cs="Calibri"/>
          <w:noProof/>
          <w:szCs w:val="24"/>
        </w:rPr>
        <w:tab/>
        <w:t>“No Title,” National Renewable Energy Laboratory, U.S. Department of Energy Hydrogen and Fuel Cells Program.</w:t>
      </w:r>
    </w:p>
    <w:p w14:paraId="2013046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[25]</w:t>
      </w:r>
      <w:r w:rsidRPr="00EC62EF">
        <w:rPr>
          <w:rFonts w:ascii="Calibri" w:hAnsi="Calibri" w:cs="Calibri"/>
          <w:noProof/>
          <w:szCs w:val="24"/>
        </w:rPr>
        <w:tab/>
        <w:t xml:space="preserve">N. Mahato, A. Banerjee, A. Gupta, S. Omar, and K. Balani, “Progress in material selection for solid oxide fuel cell technology: A review,” </w:t>
      </w:r>
      <w:r w:rsidRPr="00EC62EF">
        <w:rPr>
          <w:rFonts w:ascii="Calibri" w:hAnsi="Calibri" w:cs="Calibri"/>
          <w:i/>
          <w:iCs/>
          <w:noProof/>
          <w:szCs w:val="24"/>
        </w:rPr>
        <w:t>Prog. Mater. Sci.</w:t>
      </w:r>
      <w:r w:rsidRPr="00EC62EF">
        <w:rPr>
          <w:rFonts w:ascii="Calibri" w:hAnsi="Calibri" w:cs="Calibri"/>
          <w:noProof/>
          <w:szCs w:val="24"/>
        </w:rPr>
        <w:t>, vol. 72, pp. 141–337, 2015.</w:t>
      </w:r>
    </w:p>
    <w:p w14:paraId="149B8B5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[26]</w:t>
      </w:r>
      <w:r w:rsidRPr="00EC62EF">
        <w:rPr>
          <w:rFonts w:ascii="Calibri" w:hAnsi="Calibri" w:cs="Calibri"/>
          <w:noProof/>
          <w:szCs w:val="24"/>
        </w:rPr>
        <w:tab/>
        <w:t xml:space="preserve">H. R. Ellamla, I. Staffell, P. Bujlo, B. G. Pollet, and S. Pasupathi, “Current status of fuel cell based combined heat and power systems for residential sector,” </w:t>
      </w:r>
      <w:r w:rsidRPr="00EC62EF">
        <w:rPr>
          <w:rFonts w:ascii="Calibri" w:hAnsi="Calibri" w:cs="Calibri"/>
          <w:i/>
          <w:iCs/>
          <w:noProof/>
          <w:szCs w:val="24"/>
        </w:rPr>
        <w:t>J. Power Sources</w:t>
      </w:r>
      <w:r w:rsidRPr="00EC62EF">
        <w:rPr>
          <w:rFonts w:ascii="Calibri" w:hAnsi="Calibri" w:cs="Calibri"/>
          <w:noProof/>
          <w:szCs w:val="24"/>
        </w:rPr>
        <w:t>, vol. 293, pp. 312–328, 2015.</w:t>
      </w:r>
    </w:p>
    <w:p w14:paraId="2E3CCEB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[27]</w:t>
      </w:r>
      <w:r w:rsidRPr="00EC62EF">
        <w:rPr>
          <w:rFonts w:ascii="Calibri" w:hAnsi="Calibri" w:cs="Calibri"/>
          <w:noProof/>
          <w:szCs w:val="24"/>
        </w:rPr>
        <w:tab/>
        <w:t>“Scopus Fuel Cell Search,” 2018. [Online]. Available: https://www.scopus.com/search/form.uri?display=basic.</w:t>
      </w:r>
    </w:p>
    <w:p w14:paraId="6DD2001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[28]</w:t>
      </w:r>
      <w:r w:rsidRPr="00EC62EF">
        <w:rPr>
          <w:rFonts w:ascii="Calibri" w:hAnsi="Calibri" w:cs="Calibri"/>
          <w:noProof/>
          <w:szCs w:val="24"/>
        </w:rPr>
        <w:tab/>
        <w:t>J. L. D. Hart  F. Lehner, M. Klippenstein, R. Rose, “The Fuel Cell Industry Review 2017,” E4Tech, E4Tech Website, 2017.</w:t>
      </w:r>
    </w:p>
    <w:p w14:paraId="2C5B51F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[29]</w:t>
      </w:r>
      <w:r w:rsidRPr="00EC62EF">
        <w:rPr>
          <w:rFonts w:ascii="Calibri" w:hAnsi="Calibri" w:cs="Calibri"/>
          <w:noProof/>
          <w:szCs w:val="24"/>
        </w:rPr>
        <w:tab/>
        <w:t xml:space="preserve">D. Hart, J. Lewis, F. Lehner, M. Klippenstein, and R. Rose, “The Fuel Cell Industry Review 2017 2 FUEL CELL INDUSTRY REVIEW 2017 ACKNOWLEDGEMENTS,” </w:t>
      </w:r>
      <w:r w:rsidRPr="00EC62EF">
        <w:rPr>
          <w:rFonts w:ascii="Calibri" w:hAnsi="Calibri" w:cs="Calibri"/>
          <w:i/>
          <w:iCs/>
          <w:noProof/>
          <w:szCs w:val="24"/>
        </w:rPr>
        <w:t>E4tech</w:t>
      </w:r>
      <w:r w:rsidRPr="00EC62EF">
        <w:rPr>
          <w:rFonts w:ascii="Calibri" w:hAnsi="Calibri" w:cs="Calibri"/>
          <w:noProof/>
          <w:szCs w:val="24"/>
        </w:rPr>
        <w:t>, pp. 1–52, 2017.</w:t>
      </w:r>
    </w:p>
    <w:p w14:paraId="4665680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[30]</w:t>
      </w:r>
      <w:r w:rsidRPr="00EC62EF">
        <w:rPr>
          <w:rFonts w:ascii="Calibri" w:hAnsi="Calibri" w:cs="Calibri"/>
          <w:noProof/>
          <w:szCs w:val="24"/>
        </w:rPr>
        <w:tab/>
        <w:t>NREL, “1–10 kW Stationary Combined Heat and Power Systems Status and Technical Potential . Independent Review Published for the U.S. Department of Energy Hydrogen and Fuel Cells Program,” US Department of Energy, 2010.</w:t>
      </w:r>
    </w:p>
    <w:p w14:paraId="3B5567F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[31]</w:t>
      </w:r>
      <w:r w:rsidRPr="00EC62EF">
        <w:rPr>
          <w:rFonts w:ascii="Calibri" w:hAnsi="Calibri" w:cs="Calibri"/>
          <w:noProof/>
          <w:szCs w:val="24"/>
        </w:rPr>
        <w:tab/>
        <w:t xml:space="preserve">H. R. Ellamla, I. Staffell, P. Bujlo, B. G. Pollet, and S. Pasupathi, “Current status of fuel cell based combined heat and power systems for residential sector,” </w:t>
      </w:r>
      <w:r w:rsidRPr="00EC62EF">
        <w:rPr>
          <w:rFonts w:ascii="Calibri" w:hAnsi="Calibri" w:cs="Calibri"/>
          <w:i/>
          <w:iCs/>
          <w:noProof/>
          <w:szCs w:val="24"/>
        </w:rPr>
        <w:t>J. Power Sources</w:t>
      </w:r>
      <w:r w:rsidRPr="00EC62EF">
        <w:rPr>
          <w:rFonts w:ascii="Calibri" w:hAnsi="Calibri" w:cs="Calibri"/>
          <w:noProof/>
          <w:szCs w:val="24"/>
        </w:rPr>
        <w:t>, vol. 293, pp. 312–328, 2015.</w:t>
      </w:r>
    </w:p>
    <w:p w14:paraId="5682D6E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[32]</w:t>
      </w:r>
      <w:r w:rsidRPr="00EC62EF">
        <w:rPr>
          <w:rFonts w:ascii="Calibri" w:hAnsi="Calibri" w:cs="Calibri"/>
          <w:noProof/>
          <w:szCs w:val="24"/>
        </w:rPr>
        <w:tab/>
        <w:t>U. United States Department of Energy, “Combined Heat and Power Technology Fact Sheets Series: Steam Turbines,” p. 4, 2016.</w:t>
      </w:r>
    </w:p>
    <w:p w14:paraId="747C64F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[33]</w:t>
      </w:r>
      <w:r w:rsidRPr="00EC62EF">
        <w:rPr>
          <w:rFonts w:ascii="Calibri" w:hAnsi="Calibri" w:cs="Calibri"/>
          <w:noProof/>
          <w:szCs w:val="24"/>
        </w:rPr>
        <w:tab/>
        <w:t xml:space="preserve">T. Elmer, M. Worall, S. Wu, and S. B. Riffat, “Fuel cell technology for domestic built environment applications: State of-the-art review,” </w:t>
      </w:r>
      <w:r w:rsidRPr="00EC62EF">
        <w:rPr>
          <w:rFonts w:ascii="Calibri" w:hAnsi="Calibri" w:cs="Calibri"/>
          <w:i/>
          <w:iCs/>
          <w:noProof/>
          <w:szCs w:val="24"/>
        </w:rPr>
        <w:t>Renew. Sustain. Energy Rev.</w:t>
      </w:r>
      <w:r w:rsidRPr="00EC62EF">
        <w:rPr>
          <w:rFonts w:ascii="Calibri" w:hAnsi="Calibri" w:cs="Calibri"/>
          <w:noProof/>
          <w:szCs w:val="24"/>
        </w:rPr>
        <w:t>, vol. 42, pp. 913–931, 2015.</w:t>
      </w:r>
    </w:p>
    <w:p w14:paraId="633B39C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[34]</w:t>
      </w:r>
      <w:r w:rsidRPr="00EC62EF">
        <w:rPr>
          <w:rFonts w:ascii="Calibri" w:hAnsi="Calibri" w:cs="Calibri"/>
          <w:noProof/>
          <w:szCs w:val="24"/>
        </w:rPr>
        <w:tab/>
        <w:t xml:space="preserve">Z. Gao, L. V. Mogni, E. C. Miller, J. G. Railsback, and S. A. Barnett, “A perspective on low-temperature solid oxide fuel cells,” </w:t>
      </w:r>
      <w:r w:rsidRPr="00EC62EF">
        <w:rPr>
          <w:rFonts w:ascii="Calibri" w:hAnsi="Calibri" w:cs="Calibri"/>
          <w:i/>
          <w:iCs/>
          <w:noProof/>
          <w:szCs w:val="24"/>
        </w:rPr>
        <w:t>Energy Environ. Sci.</w:t>
      </w:r>
      <w:r w:rsidRPr="00EC62EF">
        <w:rPr>
          <w:rFonts w:ascii="Calibri" w:hAnsi="Calibri" w:cs="Calibri"/>
          <w:noProof/>
          <w:szCs w:val="24"/>
        </w:rPr>
        <w:t>, vol. 9, no. 5, pp. 1602–1644, 2016.</w:t>
      </w:r>
    </w:p>
    <w:p w14:paraId="7223F7C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[35]</w:t>
      </w:r>
      <w:r w:rsidRPr="00EC62EF">
        <w:rPr>
          <w:rFonts w:ascii="Calibri" w:hAnsi="Calibri" w:cs="Calibri"/>
          <w:noProof/>
          <w:szCs w:val="24"/>
        </w:rPr>
        <w:tab/>
        <w:t xml:space="preserve">Z. Gao, L. V. Mogni, E. C. Miller, J. G. Railsback, and S. A. Barnett, “A perspective on low-temperature solid oxide fuel cells,” </w:t>
      </w:r>
      <w:r w:rsidRPr="00EC62EF">
        <w:rPr>
          <w:rFonts w:ascii="Calibri" w:hAnsi="Calibri" w:cs="Calibri"/>
          <w:i/>
          <w:iCs/>
          <w:noProof/>
          <w:szCs w:val="24"/>
        </w:rPr>
        <w:t>Energy Environ. Sci.</w:t>
      </w:r>
      <w:r w:rsidRPr="00EC62EF">
        <w:rPr>
          <w:rFonts w:ascii="Calibri" w:hAnsi="Calibri" w:cs="Calibri"/>
          <w:noProof/>
          <w:szCs w:val="24"/>
        </w:rPr>
        <w:t>, vol. 9, no. 5, pp. 1602–1644, 2016.</w:t>
      </w:r>
    </w:p>
    <w:p w14:paraId="68E59CD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[36]</w:t>
      </w:r>
      <w:r w:rsidRPr="00EC62EF">
        <w:rPr>
          <w:rFonts w:ascii="Calibri" w:hAnsi="Calibri" w:cs="Calibri"/>
          <w:noProof/>
          <w:szCs w:val="24"/>
        </w:rPr>
        <w:tab/>
        <w:t xml:space="preserve">B. C. Ong, S. K. Kamarudin, and S. Basri, “Direct liquid fuel cells: A review,” </w:t>
      </w:r>
      <w:r w:rsidRPr="00EC62EF">
        <w:rPr>
          <w:rFonts w:ascii="Calibri" w:hAnsi="Calibri" w:cs="Calibri"/>
          <w:i/>
          <w:iCs/>
          <w:noProof/>
          <w:szCs w:val="24"/>
        </w:rPr>
        <w:t xml:space="preserve">Int. J. Hydrogen </w:t>
      </w:r>
      <w:r w:rsidRPr="00EC62EF">
        <w:rPr>
          <w:rFonts w:ascii="Calibri" w:hAnsi="Calibri" w:cs="Calibri"/>
          <w:i/>
          <w:iCs/>
          <w:noProof/>
          <w:szCs w:val="24"/>
        </w:rPr>
        <w:lastRenderedPageBreak/>
        <w:t>Energy</w:t>
      </w:r>
      <w:r w:rsidRPr="00EC62EF">
        <w:rPr>
          <w:rFonts w:ascii="Calibri" w:hAnsi="Calibri" w:cs="Calibri"/>
          <w:noProof/>
          <w:szCs w:val="24"/>
        </w:rPr>
        <w:t>, vol. 42, no. 15, pp. 10142–10157, 2017.</w:t>
      </w:r>
    </w:p>
    <w:p w14:paraId="4BBF584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[37]</w:t>
      </w:r>
      <w:r w:rsidRPr="00EC62EF">
        <w:rPr>
          <w:rFonts w:ascii="Calibri" w:hAnsi="Calibri" w:cs="Calibri"/>
          <w:noProof/>
          <w:szCs w:val="24"/>
        </w:rPr>
        <w:tab/>
        <w:t xml:space="preserve">N. Sammes, R. Bove, and K. Stahl, “Phosphoric acid fuel cells: Fundamentals and applications,” </w:t>
      </w:r>
      <w:r w:rsidRPr="00EC62EF">
        <w:rPr>
          <w:rFonts w:ascii="Calibri" w:hAnsi="Calibri" w:cs="Calibri"/>
          <w:i/>
          <w:iCs/>
          <w:noProof/>
          <w:szCs w:val="24"/>
        </w:rPr>
        <w:t>Curr. Opin. Solid State Mater. Sci.</w:t>
      </w:r>
      <w:r w:rsidRPr="00EC62EF">
        <w:rPr>
          <w:rFonts w:ascii="Calibri" w:hAnsi="Calibri" w:cs="Calibri"/>
          <w:noProof/>
          <w:szCs w:val="24"/>
        </w:rPr>
        <w:t>, vol. 8, no. 5, pp. 372–378, 2004.</w:t>
      </w:r>
    </w:p>
    <w:p w14:paraId="06AB342E"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[38]</w:t>
      </w:r>
      <w:r w:rsidRPr="00EC62EF">
        <w:rPr>
          <w:rFonts w:ascii="Calibri" w:hAnsi="Calibri" w:cs="Calibri"/>
          <w:noProof/>
          <w:szCs w:val="24"/>
        </w:rPr>
        <w:tab/>
        <w:t xml:space="preserve">B. C. H. Steele, “Material science and engineering: The enabling technology for the commercialisation of fuel cell systems,” </w:t>
      </w:r>
      <w:r w:rsidRPr="00EC62EF">
        <w:rPr>
          <w:rFonts w:ascii="Calibri" w:hAnsi="Calibri" w:cs="Calibri"/>
          <w:i/>
          <w:iCs/>
          <w:noProof/>
          <w:szCs w:val="24"/>
        </w:rPr>
        <w:t>J. Mater. Sci.</w:t>
      </w:r>
      <w:r w:rsidRPr="00EC62EF">
        <w:rPr>
          <w:rFonts w:ascii="Calibri" w:hAnsi="Calibri" w:cs="Calibri"/>
          <w:noProof/>
          <w:szCs w:val="24"/>
        </w:rPr>
        <w:t>, vol. 36, no. 5, pp. 1053–1068, 2001.</w:t>
      </w:r>
    </w:p>
    <w:p w14:paraId="70FD70A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[39]</w:t>
      </w:r>
      <w:r w:rsidRPr="00EC62EF">
        <w:rPr>
          <w:rFonts w:ascii="Calibri" w:hAnsi="Calibri" w:cs="Calibri"/>
          <w:noProof/>
          <w:szCs w:val="24"/>
        </w:rPr>
        <w:tab/>
        <w:t xml:space="preserve">L. van Biert, M. Godjevac, K. Visser, and P. V. Aravind, “A review of fuel cell systems for maritime applications,” </w:t>
      </w:r>
      <w:r w:rsidRPr="00EC62EF">
        <w:rPr>
          <w:rFonts w:ascii="Calibri" w:hAnsi="Calibri" w:cs="Calibri"/>
          <w:i/>
          <w:iCs/>
          <w:noProof/>
          <w:szCs w:val="24"/>
        </w:rPr>
        <w:t>J. Power Sources</w:t>
      </w:r>
      <w:r w:rsidRPr="00EC62EF">
        <w:rPr>
          <w:rFonts w:ascii="Calibri" w:hAnsi="Calibri" w:cs="Calibri"/>
          <w:noProof/>
          <w:szCs w:val="24"/>
        </w:rPr>
        <w:t>, vol. 327, no. X, pp. 345–364, 2016.</w:t>
      </w:r>
    </w:p>
    <w:p w14:paraId="45D7630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[40]</w:t>
      </w:r>
      <w:r w:rsidRPr="00EC62EF">
        <w:rPr>
          <w:rFonts w:ascii="Calibri" w:hAnsi="Calibri" w:cs="Calibri"/>
          <w:noProof/>
          <w:szCs w:val="24"/>
        </w:rPr>
        <w:tab/>
        <w:t>C. S. H. Maru, S. C. Singhal and D. Wheeler, “1 – 10 kW Stationary combined heat and power systems status and technical potential, National Renewable Energy Laboratory, USA,” no. November, p. 39, 2010.</w:t>
      </w:r>
    </w:p>
    <w:p w14:paraId="72FECB6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[41]</w:t>
      </w:r>
      <w:r w:rsidRPr="00EC62EF">
        <w:rPr>
          <w:rFonts w:ascii="Calibri" w:hAnsi="Calibri" w:cs="Calibri"/>
          <w:noProof/>
          <w:szCs w:val="24"/>
        </w:rPr>
        <w:tab/>
        <w:t>U. S. D. of Energy, “Combined Heat and Power Technology Fact Sheet Series,” U.S. Department of Energy, 2016.</w:t>
      </w:r>
    </w:p>
    <w:p w14:paraId="33CDE95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[42]</w:t>
      </w:r>
      <w:r w:rsidRPr="00EC62EF">
        <w:rPr>
          <w:rFonts w:ascii="Calibri" w:hAnsi="Calibri" w:cs="Calibri"/>
          <w:noProof/>
          <w:szCs w:val="24"/>
        </w:rPr>
        <w:tab/>
        <w:t xml:space="preserve">I. Energy, “Upp Product Page,” </w:t>
      </w:r>
      <w:r w:rsidRPr="00EC62EF">
        <w:rPr>
          <w:rFonts w:ascii="Calibri" w:hAnsi="Calibri" w:cs="Calibri"/>
          <w:i/>
          <w:iCs/>
          <w:noProof/>
          <w:szCs w:val="24"/>
        </w:rPr>
        <w:t>Intelligent Energy</w:t>
      </w:r>
      <w:r w:rsidRPr="00EC62EF">
        <w:rPr>
          <w:rFonts w:ascii="Calibri" w:hAnsi="Calibri" w:cs="Calibri"/>
          <w:noProof/>
          <w:szCs w:val="24"/>
        </w:rPr>
        <w:t>, 2016. [Online]. Available: http://www.intelligent-energy.com/our-products/consumer-electronics-old/consumer-electronics/products/upp/.</w:t>
      </w:r>
    </w:p>
    <w:p w14:paraId="7D7C733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[43]</w:t>
      </w:r>
      <w:r w:rsidRPr="00EC62EF">
        <w:rPr>
          <w:rFonts w:ascii="Calibri" w:hAnsi="Calibri" w:cs="Calibri"/>
          <w:noProof/>
          <w:szCs w:val="24"/>
        </w:rPr>
        <w:tab/>
        <w:t xml:space="preserve">S. J. Peighambardoust, S. Rowshanzamir, and M. Amjadi, </w:t>
      </w:r>
      <w:r w:rsidRPr="00EC62EF">
        <w:rPr>
          <w:rFonts w:ascii="Calibri" w:hAnsi="Calibri" w:cs="Calibri"/>
          <w:i/>
          <w:iCs/>
          <w:noProof/>
          <w:szCs w:val="24"/>
        </w:rPr>
        <w:t>Review of the proton exchange membranes for fuel cell applications</w:t>
      </w:r>
      <w:r w:rsidRPr="00EC62EF">
        <w:rPr>
          <w:rFonts w:ascii="Calibri" w:hAnsi="Calibri" w:cs="Calibri"/>
          <w:noProof/>
          <w:szCs w:val="24"/>
        </w:rPr>
        <w:t>, vol. 35, no. 17. Elsevier Ltd, 2010.</w:t>
      </w:r>
    </w:p>
    <w:p w14:paraId="2A5CAD9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[44]</w:t>
      </w:r>
      <w:r w:rsidRPr="00EC62EF">
        <w:rPr>
          <w:rFonts w:ascii="Calibri" w:hAnsi="Calibri" w:cs="Calibri"/>
          <w:noProof/>
          <w:szCs w:val="24"/>
        </w:rPr>
        <w:tab/>
        <w:t xml:space="preserve">“Revolve unveils van range-extender with Bramble PCB fuel cell,” </w:t>
      </w:r>
      <w:r w:rsidRPr="00EC62EF">
        <w:rPr>
          <w:rFonts w:ascii="Calibri" w:hAnsi="Calibri" w:cs="Calibri"/>
          <w:i/>
          <w:iCs/>
          <w:noProof/>
          <w:szCs w:val="24"/>
        </w:rPr>
        <w:t>Fuel Cells Bull.</w:t>
      </w:r>
      <w:r w:rsidRPr="00EC62EF">
        <w:rPr>
          <w:rFonts w:ascii="Calibri" w:hAnsi="Calibri" w:cs="Calibri"/>
          <w:noProof/>
          <w:szCs w:val="24"/>
        </w:rPr>
        <w:t>, vol. 2018, no. 10, p. 5, 2018.</w:t>
      </w:r>
    </w:p>
    <w:p w14:paraId="407C651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[45]</w:t>
      </w:r>
      <w:r w:rsidRPr="00EC62EF">
        <w:rPr>
          <w:rFonts w:ascii="Calibri" w:hAnsi="Calibri" w:cs="Calibri"/>
          <w:noProof/>
          <w:szCs w:val="24"/>
        </w:rPr>
        <w:tab/>
        <w:t xml:space="preserve">J. Min-hee, “Hyundai Motor’s Nexo Outshines Japanese Counterparts,” </w:t>
      </w:r>
      <w:r w:rsidRPr="00EC62EF">
        <w:rPr>
          <w:rFonts w:ascii="Malgun Gothic" w:eastAsia="Malgun Gothic" w:hAnsi="Malgun Gothic" w:cs="Malgun Gothic" w:hint="eastAsia"/>
          <w:i/>
          <w:iCs/>
          <w:noProof/>
          <w:szCs w:val="24"/>
        </w:rPr>
        <w:t>비즈니스코리아</w:t>
      </w:r>
      <w:r w:rsidRPr="00EC62EF">
        <w:rPr>
          <w:rFonts w:ascii="Calibri" w:hAnsi="Calibri" w:cs="Calibri"/>
          <w:i/>
          <w:iCs/>
          <w:noProof/>
          <w:szCs w:val="24"/>
        </w:rPr>
        <w:t xml:space="preserve"> - BusinessKorea</w:t>
      </w:r>
      <w:r w:rsidRPr="00EC62EF">
        <w:rPr>
          <w:rFonts w:ascii="Calibri" w:hAnsi="Calibri" w:cs="Calibri"/>
          <w:noProof/>
          <w:szCs w:val="24"/>
        </w:rPr>
        <w:t xml:space="preserve">. </w:t>
      </w:r>
      <w:r w:rsidRPr="00EC62EF">
        <w:rPr>
          <w:rFonts w:ascii="Malgun Gothic" w:eastAsia="Malgun Gothic" w:hAnsi="Malgun Gothic" w:cs="Malgun Gothic" w:hint="eastAsia"/>
          <w:noProof/>
          <w:szCs w:val="24"/>
        </w:rPr>
        <w:t>비즈니스코리아</w:t>
      </w:r>
      <w:r w:rsidRPr="00EC62EF">
        <w:rPr>
          <w:rFonts w:ascii="Calibri" w:hAnsi="Calibri" w:cs="Calibri"/>
          <w:noProof/>
          <w:szCs w:val="24"/>
        </w:rPr>
        <w:t xml:space="preserve"> - BusinessKorea, </w:t>
      </w:r>
      <w:r w:rsidRPr="00EC62EF">
        <w:rPr>
          <w:rFonts w:ascii="Malgun Gothic" w:eastAsia="Malgun Gothic" w:hAnsi="Malgun Gothic" w:cs="Malgun Gothic" w:hint="eastAsia"/>
          <w:noProof/>
          <w:szCs w:val="24"/>
        </w:rPr>
        <w:t>비즈니스코리아</w:t>
      </w:r>
      <w:r w:rsidRPr="00EC62EF">
        <w:rPr>
          <w:rFonts w:ascii="Calibri" w:hAnsi="Calibri" w:cs="Calibri"/>
          <w:noProof/>
          <w:szCs w:val="24"/>
        </w:rPr>
        <w:t xml:space="preserve"> - BusinessKorea, 2018.</w:t>
      </w:r>
    </w:p>
    <w:p w14:paraId="7F3E875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[46]</w:t>
      </w:r>
      <w:r w:rsidRPr="00EC62EF">
        <w:rPr>
          <w:rFonts w:ascii="Calibri" w:hAnsi="Calibri" w:cs="Calibri"/>
          <w:noProof/>
          <w:szCs w:val="24"/>
        </w:rPr>
        <w:tab/>
        <w:t xml:space="preserve">T. R. A. of Engineering, </w:t>
      </w:r>
      <w:r w:rsidRPr="00EC62EF">
        <w:rPr>
          <w:rFonts w:ascii="Calibri" w:hAnsi="Calibri" w:cs="Calibri"/>
          <w:i/>
          <w:iCs/>
          <w:noProof/>
          <w:szCs w:val="24"/>
        </w:rPr>
        <w:t>Infrastructure, Engineering and Climate Change Adaptation – ensuring services in an uncertain future</w:t>
      </w:r>
      <w:r w:rsidRPr="00EC62EF">
        <w:rPr>
          <w:rFonts w:ascii="Calibri" w:hAnsi="Calibri" w:cs="Calibri"/>
          <w:noProof/>
          <w:szCs w:val="24"/>
        </w:rPr>
        <w:t>. 2011.</w:t>
      </w:r>
    </w:p>
    <w:p w14:paraId="1CDAA44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[47]</w:t>
      </w:r>
      <w:r w:rsidRPr="00EC62EF">
        <w:rPr>
          <w:rFonts w:ascii="Calibri" w:hAnsi="Calibri" w:cs="Calibri"/>
          <w:noProof/>
          <w:szCs w:val="24"/>
        </w:rPr>
        <w:tab/>
        <w:t xml:space="preserve">P. Pei and H. Chen, “Main factors affecting the lifetime of Proton Exchange Membrane fuel cells in vehicle applications: A review,” </w:t>
      </w:r>
      <w:r w:rsidRPr="00EC62EF">
        <w:rPr>
          <w:rFonts w:ascii="Calibri" w:hAnsi="Calibri" w:cs="Calibri"/>
          <w:i/>
          <w:iCs/>
          <w:noProof/>
          <w:szCs w:val="24"/>
        </w:rPr>
        <w:t>Appl. Energy</w:t>
      </w:r>
      <w:r w:rsidRPr="00EC62EF">
        <w:rPr>
          <w:rFonts w:ascii="Calibri" w:hAnsi="Calibri" w:cs="Calibri"/>
          <w:noProof/>
          <w:szCs w:val="24"/>
        </w:rPr>
        <w:t>, vol. 125, pp. 60–75, 2014.</w:t>
      </w:r>
    </w:p>
    <w:p w14:paraId="0ADC9D3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[48]</w:t>
      </w:r>
      <w:r w:rsidRPr="00EC62EF">
        <w:rPr>
          <w:rFonts w:ascii="Calibri" w:hAnsi="Calibri" w:cs="Calibri"/>
          <w:noProof/>
          <w:szCs w:val="24"/>
        </w:rPr>
        <w:tab/>
        <w:t xml:space="preserve">G. F. McLean, T. Niet, S. Prince-Richard, and N. Djilali, “An assessment of alkaline fuel cell technology,” </w:t>
      </w:r>
      <w:r w:rsidRPr="00EC62EF">
        <w:rPr>
          <w:rFonts w:ascii="Calibri" w:hAnsi="Calibri" w:cs="Calibri"/>
          <w:i/>
          <w:iCs/>
          <w:noProof/>
          <w:szCs w:val="24"/>
        </w:rPr>
        <w:t>Int. J. Hydrogen Energy</w:t>
      </w:r>
      <w:r w:rsidRPr="00EC62EF">
        <w:rPr>
          <w:rFonts w:ascii="Calibri" w:hAnsi="Calibri" w:cs="Calibri"/>
          <w:noProof/>
          <w:szCs w:val="24"/>
        </w:rPr>
        <w:t>, vol. 27, no. 5, pp. 507–526, 2002.</w:t>
      </w:r>
    </w:p>
    <w:p w14:paraId="4C874E7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[49]</w:t>
      </w:r>
      <w:r w:rsidRPr="00EC62EF">
        <w:rPr>
          <w:rFonts w:ascii="Calibri" w:hAnsi="Calibri" w:cs="Calibri"/>
          <w:noProof/>
          <w:szCs w:val="24"/>
        </w:rPr>
        <w:tab/>
        <w:t xml:space="preserve">T. G. B. D. C. Papageorgopoulos  J. P. Kopasz, W. F. Podolski, “Status of the U. S. Department Of Energy, Energy Efficiency and Renewable Energy’s Fuel Cell Research and Development Efforts ,” </w:t>
      </w:r>
      <w:r w:rsidRPr="00EC62EF">
        <w:rPr>
          <w:rFonts w:ascii="Calibri" w:hAnsi="Calibri" w:cs="Calibri"/>
          <w:i/>
          <w:iCs/>
          <w:noProof/>
          <w:szCs w:val="24"/>
        </w:rPr>
        <w:t>ECS Trans.</w:t>
      </w:r>
      <w:r w:rsidRPr="00EC62EF">
        <w:rPr>
          <w:rFonts w:ascii="Calibri" w:hAnsi="Calibri" w:cs="Calibri"/>
          <w:noProof/>
          <w:szCs w:val="24"/>
        </w:rPr>
        <w:t>, vol. 30, no. 1, pp. 3–15, 2011.</w:t>
      </w:r>
    </w:p>
    <w:p w14:paraId="7DDB34F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[50]</w:t>
      </w:r>
      <w:r w:rsidRPr="00EC62EF">
        <w:rPr>
          <w:rFonts w:ascii="Calibri" w:hAnsi="Calibri" w:cs="Calibri"/>
          <w:noProof/>
          <w:szCs w:val="24"/>
        </w:rPr>
        <w:tab/>
        <w:t xml:space="preserve">L. van Biert, M. Godjevac, K. Visser, and P. V Aravind, “A review of fuel cell systems for maritime applications,” </w:t>
      </w:r>
      <w:r w:rsidRPr="00EC62EF">
        <w:rPr>
          <w:rFonts w:ascii="Calibri" w:hAnsi="Calibri" w:cs="Calibri"/>
          <w:i/>
          <w:iCs/>
          <w:noProof/>
          <w:szCs w:val="24"/>
        </w:rPr>
        <w:t>J. Power Sources</w:t>
      </w:r>
      <w:r w:rsidRPr="00EC62EF">
        <w:rPr>
          <w:rFonts w:ascii="Calibri" w:hAnsi="Calibri" w:cs="Calibri"/>
          <w:noProof/>
          <w:szCs w:val="24"/>
        </w:rPr>
        <w:t>, vol. 327, pp. 345–364, 2016.</w:t>
      </w:r>
    </w:p>
    <w:p w14:paraId="5D8C48A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[51]</w:t>
      </w:r>
      <w:r w:rsidRPr="00EC62EF">
        <w:rPr>
          <w:rFonts w:ascii="Calibri" w:hAnsi="Calibri" w:cs="Calibri"/>
          <w:noProof/>
          <w:szCs w:val="24"/>
        </w:rPr>
        <w:tab/>
        <w:t xml:space="preserve">J. Fleig, K. D. Kreuer, and J. Maier, “Ceramic Fuel Cells,” </w:t>
      </w:r>
      <w:r w:rsidRPr="00EC62EF">
        <w:rPr>
          <w:rFonts w:ascii="Calibri" w:hAnsi="Calibri" w:cs="Calibri"/>
          <w:i/>
          <w:iCs/>
          <w:noProof/>
          <w:szCs w:val="24"/>
        </w:rPr>
        <w:t>Handb. Adv. Ceram. Mater. Appl. Process. Prop.</w:t>
      </w:r>
      <w:r w:rsidRPr="00EC62EF">
        <w:rPr>
          <w:rFonts w:ascii="Calibri" w:hAnsi="Calibri" w:cs="Calibri"/>
          <w:noProof/>
          <w:szCs w:val="24"/>
        </w:rPr>
        <w:t>, vol. 2–2, pp. 59–105, 2003.</w:t>
      </w:r>
    </w:p>
    <w:p w14:paraId="69CC86A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[52]</w:t>
      </w:r>
      <w:r w:rsidRPr="00EC62EF">
        <w:rPr>
          <w:rFonts w:ascii="Calibri" w:hAnsi="Calibri" w:cs="Calibri"/>
          <w:noProof/>
          <w:szCs w:val="24"/>
        </w:rPr>
        <w:tab/>
        <w:t xml:space="preserve">F. Ramadhani, M. A. Hussain, H. Mokhlis, and S. Hajimolana, “Optimization strategies for Solid Oxide Fuel Cell (SOFC) application: A literature survey,” </w:t>
      </w:r>
      <w:r w:rsidRPr="00EC62EF">
        <w:rPr>
          <w:rFonts w:ascii="Calibri" w:hAnsi="Calibri" w:cs="Calibri"/>
          <w:i/>
          <w:iCs/>
          <w:noProof/>
          <w:szCs w:val="24"/>
        </w:rPr>
        <w:t>Renewable and Sustainable Energy Reviews</w:t>
      </w:r>
      <w:r w:rsidRPr="00EC62EF">
        <w:rPr>
          <w:rFonts w:ascii="Calibri" w:hAnsi="Calibri" w:cs="Calibri"/>
          <w:noProof/>
          <w:szCs w:val="24"/>
        </w:rPr>
        <w:t>, vol. 76. 2017.</w:t>
      </w:r>
    </w:p>
    <w:p w14:paraId="6657DB1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[53]</w:t>
      </w:r>
      <w:r w:rsidRPr="00EC62EF">
        <w:rPr>
          <w:rFonts w:ascii="Calibri" w:hAnsi="Calibri" w:cs="Calibri"/>
          <w:noProof/>
          <w:szCs w:val="24"/>
        </w:rPr>
        <w:tab/>
        <w:t>B. Owens and J. Mcguinness, “Ge-Fuel Cells the Power of Tomorrow,” p. 43, 2015.</w:t>
      </w:r>
    </w:p>
    <w:p w14:paraId="537DC4D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[54]</w:t>
      </w:r>
      <w:r w:rsidRPr="00EC62EF">
        <w:rPr>
          <w:rFonts w:ascii="Calibri" w:hAnsi="Calibri" w:cs="Calibri"/>
          <w:noProof/>
          <w:szCs w:val="24"/>
        </w:rPr>
        <w:tab/>
        <w:t xml:space="preserve">C. Su, W. Wang, M. Liu, M. O. Tadé, and Z. Shao, “Progress and Prospects in Symmetrical Solid Oxide Fuel Cells with Two Identical Electrodes,” </w:t>
      </w:r>
      <w:r w:rsidRPr="00EC62EF">
        <w:rPr>
          <w:rFonts w:ascii="Calibri" w:hAnsi="Calibri" w:cs="Calibri"/>
          <w:i/>
          <w:iCs/>
          <w:noProof/>
          <w:szCs w:val="24"/>
        </w:rPr>
        <w:t>Adv. Energy Mater.</w:t>
      </w:r>
      <w:r w:rsidRPr="00EC62EF">
        <w:rPr>
          <w:rFonts w:ascii="Calibri" w:hAnsi="Calibri" w:cs="Calibri"/>
          <w:noProof/>
          <w:szCs w:val="24"/>
        </w:rPr>
        <w:t>, vol. 5, no. 14, 2015.</w:t>
      </w:r>
    </w:p>
    <w:p w14:paraId="1AF48B9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lastRenderedPageBreak/>
        <w:t>[55]</w:t>
      </w:r>
      <w:r w:rsidRPr="00EC62EF">
        <w:rPr>
          <w:rFonts w:ascii="Calibri" w:hAnsi="Calibri" w:cs="Calibri"/>
          <w:noProof/>
          <w:szCs w:val="24"/>
        </w:rPr>
        <w:tab/>
        <w:t xml:space="preserve">S. P. S. Shaikh, A. Muchtar, and M. R. Somalu, “A review on the selection of anode materials for solid-oxide fuel cells,” </w:t>
      </w:r>
      <w:r w:rsidRPr="00EC62EF">
        <w:rPr>
          <w:rFonts w:ascii="Calibri" w:hAnsi="Calibri" w:cs="Calibri"/>
          <w:i/>
          <w:iCs/>
          <w:noProof/>
          <w:szCs w:val="24"/>
        </w:rPr>
        <w:t>Renew. Sustain. Energy Rev.</w:t>
      </w:r>
      <w:r w:rsidRPr="00EC62EF">
        <w:rPr>
          <w:rFonts w:ascii="Calibri" w:hAnsi="Calibri" w:cs="Calibri"/>
          <w:noProof/>
          <w:szCs w:val="24"/>
        </w:rPr>
        <w:t>, vol. 51, pp. 1–8, 2015.</w:t>
      </w:r>
    </w:p>
    <w:p w14:paraId="329C483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[56]</w:t>
      </w:r>
      <w:r w:rsidRPr="00EC62EF">
        <w:rPr>
          <w:rFonts w:ascii="Calibri" w:hAnsi="Calibri" w:cs="Calibri"/>
          <w:noProof/>
          <w:szCs w:val="24"/>
        </w:rPr>
        <w:tab/>
        <w:t xml:space="preserve">A. V. Call, J. G. Railsback, H. Wang, and S. A. Barnett, “Degradation of nano-scale cathodes: a new paradigm for selecting low-temperature solid oxide cell materials,” </w:t>
      </w:r>
      <w:r w:rsidRPr="00EC62EF">
        <w:rPr>
          <w:rFonts w:ascii="Calibri" w:hAnsi="Calibri" w:cs="Calibri"/>
          <w:i/>
          <w:iCs/>
          <w:noProof/>
          <w:szCs w:val="24"/>
        </w:rPr>
        <w:t>Phys Chem Chem Phys</w:t>
      </w:r>
      <w:r w:rsidRPr="00EC62EF">
        <w:rPr>
          <w:rFonts w:ascii="Calibri" w:hAnsi="Calibri" w:cs="Calibri"/>
          <w:noProof/>
          <w:szCs w:val="24"/>
        </w:rPr>
        <w:t>, vol. 18, no. 19, pp. 13216–13222, 2016.</w:t>
      </w:r>
    </w:p>
    <w:p w14:paraId="308B6BCE"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[57]</w:t>
      </w:r>
      <w:r w:rsidRPr="00EC62EF">
        <w:rPr>
          <w:rFonts w:ascii="Calibri" w:hAnsi="Calibri" w:cs="Calibri"/>
          <w:noProof/>
          <w:szCs w:val="24"/>
        </w:rPr>
        <w:tab/>
        <w:t xml:space="preserve">A. Atkinson </w:t>
      </w:r>
      <w:r w:rsidRPr="00EC62EF">
        <w:rPr>
          <w:rFonts w:ascii="Calibri" w:hAnsi="Calibri" w:cs="Calibri"/>
          <w:i/>
          <w:iCs/>
          <w:noProof/>
          <w:szCs w:val="24"/>
        </w:rPr>
        <w:t>et al.</w:t>
      </w:r>
      <w:r w:rsidRPr="00EC62EF">
        <w:rPr>
          <w:rFonts w:ascii="Calibri" w:hAnsi="Calibri" w:cs="Calibri"/>
          <w:noProof/>
          <w:szCs w:val="24"/>
        </w:rPr>
        <w:t xml:space="preserve">, “Advanced anodes for high-temperature fuel cells,” </w:t>
      </w:r>
      <w:r w:rsidRPr="00EC62EF">
        <w:rPr>
          <w:rFonts w:ascii="Calibri" w:hAnsi="Calibri" w:cs="Calibri"/>
          <w:i/>
          <w:iCs/>
          <w:noProof/>
          <w:szCs w:val="24"/>
        </w:rPr>
        <w:t>Nat. Mater.</w:t>
      </w:r>
      <w:r w:rsidRPr="00EC62EF">
        <w:rPr>
          <w:rFonts w:ascii="Calibri" w:hAnsi="Calibri" w:cs="Calibri"/>
          <w:noProof/>
          <w:szCs w:val="24"/>
        </w:rPr>
        <w:t>, vol. 3, no. 1, pp. 17–27, 2004.</w:t>
      </w:r>
    </w:p>
    <w:p w14:paraId="6FB3810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[58]</w:t>
      </w:r>
      <w:r w:rsidRPr="00EC62EF">
        <w:rPr>
          <w:rFonts w:ascii="Calibri" w:hAnsi="Calibri" w:cs="Calibri"/>
          <w:noProof/>
          <w:szCs w:val="24"/>
        </w:rPr>
        <w:tab/>
        <w:t xml:space="preserve">H. Yokokawa, “Phase Diagrams and Thermodynamic Properties of Zirconia Based Ceramics,” </w:t>
      </w:r>
      <w:r w:rsidRPr="00EC62EF">
        <w:rPr>
          <w:rFonts w:ascii="Calibri" w:hAnsi="Calibri" w:cs="Calibri"/>
          <w:i/>
          <w:iCs/>
          <w:noProof/>
          <w:szCs w:val="24"/>
        </w:rPr>
        <w:t>Key Engineering Materials</w:t>
      </w:r>
      <w:r w:rsidRPr="00EC62EF">
        <w:rPr>
          <w:rFonts w:ascii="Calibri" w:hAnsi="Calibri" w:cs="Calibri"/>
          <w:noProof/>
          <w:szCs w:val="24"/>
        </w:rPr>
        <w:t>, vol. 153–154. pp. 37–74, 2009.</w:t>
      </w:r>
    </w:p>
    <w:p w14:paraId="546A809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[59]</w:t>
      </w:r>
      <w:r w:rsidRPr="00EC62EF">
        <w:rPr>
          <w:rFonts w:ascii="Calibri" w:hAnsi="Calibri" w:cs="Calibri"/>
          <w:noProof/>
          <w:szCs w:val="24"/>
        </w:rPr>
        <w:tab/>
        <w:t xml:space="preserve">Y. Matsuzaki and I. Yasuda, “Electrochemical properties of reduced-temperature SOFCs with mixed ionic-electronic conductors in electrodes and/or interlayers,” </w:t>
      </w:r>
      <w:r w:rsidRPr="00EC62EF">
        <w:rPr>
          <w:rFonts w:ascii="Calibri" w:hAnsi="Calibri" w:cs="Calibri"/>
          <w:i/>
          <w:iCs/>
          <w:noProof/>
          <w:szCs w:val="24"/>
        </w:rPr>
        <w:t>Solid State Ionics</w:t>
      </w:r>
      <w:r w:rsidRPr="00EC62EF">
        <w:rPr>
          <w:rFonts w:ascii="Calibri" w:hAnsi="Calibri" w:cs="Calibri"/>
          <w:noProof/>
          <w:szCs w:val="24"/>
        </w:rPr>
        <w:t>, vol. 152–153, pp. 463–468, 2002.</w:t>
      </w:r>
    </w:p>
    <w:p w14:paraId="14D371B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[60]</w:t>
      </w:r>
      <w:r w:rsidRPr="00EC62EF">
        <w:rPr>
          <w:rFonts w:ascii="Calibri" w:hAnsi="Calibri" w:cs="Calibri"/>
          <w:noProof/>
          <w:szCs w:val="24"/>
        </w:rPr>
        <w:tab/>
        <w:t xml:space="preserve">S. De Souza, S. J. Visco, and L. C. De Jonghe, “Thin-film solid oxide fuel cell with high performance at low-temperature,” </w:t>
      </w:r>
      <w:r w:rsidRPr="00EC62EF">
        <w:rPr>
          <w:rFonts w:ascii="Calibri" w:hAnsi="Calibri" w:cs="Calibri"/>
          <w:i/>
          <w:iCs/>
          <w:noProof/>
          <w:szCs w:val="24"/>
        </w:rPr>
        <w:t>Solid State Ionics</w:t>
      </w:r>
      <w:r w:rsidRPr="00EC62EF">
        <w:rPr>
          <w:rFonts w:ascii="Calibri" w:hAnsi="Calibri" w:cs="Calibri"/>
          <w:noProof/>
          <w:szCs w:val="24"/>
        </w:rPr>
        <w:t>, vol. 98, no. 1–2, pp. 57–61, 1997.</w:t>
      </w:r>
    </w:p>
    <w:p w14:paraId="0EBEBCB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[61]</w:t>
      </w:r>
      <w:r w:rsidRPr="00EC62EF">
        <w:rPr>
          <w:rFonts w:ascii="Calibri" w:hAnsi="Calibri" w:cs="Calibri"/>
          <w:noProof/>
          <w:szCs w:val="24"/>
        </w:rPr>
        <w:tab/>
        <w:t xml:space="preserve">B. C. H. Steele and A. Heinzel, “Materials for fuel-cell technologies,” </w:t>
      </w:r>
      <w:r w:rsidRPr="00EC62EF">
        <w:rPr>
          <w:rFonts w:ascii="Calibri" w:hAnsi="Calibri" w:cs="Calibri"/>
          <w:i/>
          <w:iCs/>
          <w:noProof/>
          <w:szCs w:val="24"/>
        </w:rPr>
        <w:t>Nature</w:t>
      </w:r>
      <w:r w:rsidRPr="00EC62EF">
        <w:rPr>
          <w:rFonts w:ascii="Calibri" w:hAnsi="Calibri" w:cs="Calibri"/>
          <w:noProof/>
          <w:szCs w:val="24"/>
        </w:rPr>
        <w:t>, vol. 414, no. 6861, pp. 345–352, 2001.</w:t>
      </w:r>
    </w:p>
    <w:p w14:paraId="465BAC8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[62]</w:t>
      </w:r>
      <w:r w:rsidRPr="00EC62EF">
        <w:rPr>
          <w:rFonts w:ascii="Calibri" w:hAnsi="Calibri" w:cs="Calibri"/>
          <w:noProof/>
          <w:szCs w:val="24"/>
        </w:rPr>
        <w:tab/>
        <w:t xml:space="preserve">S. P. S. Badwal and F. T. Ciacchi, “Oxygen-ion conducting electrolyte materials for solid oxide fuel cells,” </w:t>
      </w:r>
      <w:r w:rsidRPr="00EC62EF">
        <w:rPr>
          <w:rFonts w:ascii="Calibri" w:hAnsi="Calibri" w:cs="Calibri"/>
          <w:i/>
          <w:iCs/>
          <w:noProof/>
          <w:szCs w:val="24"/>
        </w:rPr>
        <w:t>Ionics (Kiel).</w:t>
      </w:r>
      <w:r w:rsidRPr="00EC62EF">
        <w:rPr>
          <w:rFonts w:ascii="Calibri" w:hAnsi="Calibri" w:cs="Calibri"/>
          <w:noProof/>
          <w:szCs w:val="24"/>
        </w:rPr>
        <w:t>, vol. 6, no. 1–2, pp. 1–21, 2000.</w:t>
      </w:r>
    </w:p>
    <w:p w14:paraId="45F57E6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[63]</w:t>
      </w:r>
      <w:r w:rsidRPr="00EC62EF">
        <w:rPr>
          <w:rFonts w:ascii="Calibri" w:hAnsi="Calibri" w:cs="Calibri"/>
          <w:noProof/>
          <w:szCs w:val="24"/>
        </w:rPr>
        <w:tab/>
        <w:t xml:space="preserve">M. F. A. P. T. Y. LTD., “Global Mineral Prices,” </w:t>
      </w:r>
      <w:r w:rsidRPr="00EC62EF">
        <w:rPr>
          <w:rFonts w:ascii="Calibri" w:hAnsi="Calibri" w:cs="Calibri"/>
          <w:i/>
          <w:iCs/>
          <w:noProof/>
          <w:szCs w:val="24"/>
        </w:rPr>
        <w:t>Global Mineral Prices</w:t>
      </w:r>
      <w:r w:rsidRPr="00EC62EF">
        <w:rPr>
          <w:rFonts w:ascii="Calibri" w:hAnsi="Calibri" w:cs="Calibri"/>
          <w:noProof/>
          <w:szCs w:val="24"/>
        </w:rPr>
        <w:t>, 2017. [Online]. Available: http://mineralprices.com/.</w:t>
      </w:r>
    </w:p>
    <w:p w14:paraId="75FFB97E"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[64]</w:t>
      </w:r>
      <w:r w:rsidRPr="00EC62EF">
        <w:rPr>
          <w:rFonts w:ascii="Calibri" w:hAnsi="Calibri" w:cs="Calibri"/>
          <w:noProof/>
          <w:szCs w:val="24"/>
        </w:rPr>
        <w:tab/>
        <w:t xml:space="preserve">R. J. Gorte and J. M. Vohs, “Nanostructured anodes for solid oxide fuel cells,” </w:t>
      </w:r>
      <w:r w:rsidRPr="00EC62EF">
        <w:rPr>
          <w:rFonts w:ascii="Calibri" w:hAnsi="Calibri" w:cs="Calibri"/>
          <w:i/>
          <w:iCs/>
          <w:noProof/>
          <w:szCs w:val="24"/>
        </w:rPr>
        <w:t>Curr. Opin. Colloid Interface Sci.</w:t>
      </w:r>
      <w:r w:rsidRPr="00EC62EF">
        <w:rPr>
          <w:rFonts w:ascii="Calibri" w:hAnsi="Calibri" w:cs="Calibri"/>
          <w:noProof/>
          <w:szCs w:val="24"/>
        </w:rPr>
        <w:t>, vol. 14, no. 4, pp. 236–244, 2009.</w:t>
      </w:r>
    </w:p>
    <w:p w14:paraId="6E7C02D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[65]</w:t>
      </w:r>
      <w:r w:rsidRPr="00EC62EF">
        <w:rPr>
          <w:rFonts w:ascii="Calibri" w:hAnsi="Calibri" w:cs="Calibri"/>
          <w:noProof/>
          <w:szCs w:val="24"/>
        </w:rPr>
        <w:tab/>
        <w:t xml:space="preserve">N. F. P. Ribeiro, M. M. V. M. Souza, O. R. M. Neto, S. M. R. Vasconcelos, and M. Schmal, “Investigating the microstructure and catalytic properties of Ni/YSZ cermets as anodes for SOFC applications,” </w:t>
      </w:r>
      <w:r w:rsidRPr="00EC62EF">
        <w:rPr>
          <w:rFonts w:ascii="Calibri" w:hAnsi="Calibri" w:cs="Calibri"/>
          <w:i/>
          <w:iCs/>
          <w:noProof/>
          <w:szCs w:val="24"/>
        </w:rPr>
        <w:t>Appl. Catal. A Gen.</w:t>
      </w:r>
      <w:r w:rsidRPr="00EC62EF">
        <w:rPr>
          <w:rFonts w:ascii="Calibri" w:hAnsi="Calibri" w:cs="Calibri"/>
          <w:noProof/>
          <w:szCs w:val="24"/>
        </w:rPr>
        <w:t>, vol. 353, no. 2, pp. 305–309, 2009.</w:t>
      </w:r>
    </w:p>
    <w:p w14:paraId="2685096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[66]</w:t>
      </w:r>
      <w:r w:rsidRPr="00EC62EF">
        <w:rPr>
          <w:rFonts w:ascii="Calibri" w:hAnsi="Calibri" w:cs="Calibri"/>
          <w:noProof/>
          <w:szCs w:val="24"/>
        </w:rPr>
        <w:tab/>
        <w:t xml:space="preserve">S. HYUN, H. LEE, J. MOON, J. KIM, S. KIM, and H. MOON, “Performance and durability of Ni-coated YSZ anodes for intermediate temperature solid oxide fuel cells,” </w:t>
      </w:r>
      <w:r w:rsidRPr="00EC62EF">
        <w:rPr>
          <w:rFonts w:ascii="Calibri" w:hAnsi="Calibri" w:cs="Calibri"/>
          <w:i/>
          <w:iCs/>
          <w:noProof/>
          <w:szCs w:val="24"/>
        </w:rPr>
        <w:t>Solid State Ionics</w:t>
      </w:r>
      <w:r w:rsidRPr="00EC62EF">
        <w:rPr>
          <w:rFonts w:ascii="Calibri" w:hAnsi="Calibri" w:cs="Calibri"/>
          <w:noProof/>
          <w:szCs w:val="24"/>
        </w:rPr>
        <w:t>, vol. 177, no. 9–10, pp. 931–938, 2006.</w:t>
      </w:r>
    </w:p>
    <w:p w14:paraId="58C7A46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[67]</w:t>
      </w:r>
      <w:r w:rsidRPr="00EC62EF">
        <w:rPr>
          <w:rFonts w:ascii="Calibri" w:hAnsi="Calibri" w:cs="Calibri"/>
          <w:noProof/>
          <w:szCs w:val="24"/>
        </w:rPr>
        <w:tab/>
        <w:t xml:space="preserve">M. Z. Khan, M. T. Mehran, R. H. Song, J. W. Lee, S. B. Lee, and T. H. Lim, “A simplified approach to predict performance degradation of a solid oxide fuel cell anode,” </w:t>
      </w:r>
      <w:r w:rsidRPr="00EC62EF">
        <w:rPr>
          <w:rFonts w:ascii="Calibri" w:hAnsi="Calibri" w:cs="Calibri"/>
          <w:i/>
          <w:iCs/>
          <w:noProof/>
          <w:szCs w:val="24"/>
        </w:rPr>
        <w:t>J. Power Sources</w:t>
      </w:r>
      <w:r w:rsidRPr="00EC62EF">
        <w:rPr>
          <w:rFonts w:ascii="Calibri" w:hAnsi="Calibri" w:cs="Calibri"/>
          <w:noProof/>
          <w:szCs w:val="24"/>
        </w:rPr>
        <w:t>, vol. 391, no. February, pp. 94–105, 2018.</w:t>
      </w:r>
    </w:p>
    <w:p w14:paraId="7DFA6B9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[68]</w:t>
      </w:r>
      <w:r w:rsidRPr="00EC62EF">
        <w:rPr>
          <w:rFonts w:ascii="Calibri" w:hAnsi="Calibri" w:cs="Calibri"/>
          <w:noProof/>
          <w:szCs w:val="24"/>
        </w:rPr>
        <w:tab/>
        <w:t xml:space="preserve">D. Simwonis, F. Tietz, and D. Stöver, “Nickel coarsening in annealed Ni/8YSZ anode substrates for solid oxide fuel cells,” </w:t>
      </w:r>
      <w:r w:rsidRPr="00EC62EF">
        <w:rPr>
          <w:rFonts w:ascii="Calibri" w:hAnsi="Calibri" w:cs="Calibri"/>
          <w:i/>
          <w:iCs/>
          <w:noProof/>
          <w:szCs w:val="24"/>
        </w:rPr>
        <w:t>Solid State Ionics</w:t>
      </w:r>
      <w:r w:rsidRPr="00EC62EF">
        <w:rPr>
          <w:rFonts w:ascii="Calibri" w:hAnsi="Calibri" w:cs="Calibri"/>
          <w:noProof/>
          <w:szCs w:val="24"/>
        </w:rPr>
        <w:t>, vol. 132, no. 3, pp. 241–251, 2000.</w:t>
      </w:r>
    </w:p>
    <w:p w14:paraId="0AFE62D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[69]</w:t>
      </w:r>
      <w:r w:rsidRPr="00EC62EF">
        <w:rPr>
          <w:rFonts w:ascii="Calibri" w:hAnsi="Calibri" w:cs="Calibri"/>
          <w:noProof/>
          <w:szCs w:val="24"/>
        </w:rPr>
        <w:tab/>
        <w:t xml:space="preserve">S.-B. Lee, R.-H. Song, T.-H. Lim, M. S. Khan, J.-W. Lee, and S.-J. Park, “Effect of infiltrated transition metals on nickel morphology change and area-specific resistance of Ni-YSZ based SOFC anode during long-term operation,” </w:t>
      </w:r>
      <w:r w:rsidRPr="00EC62EF">
        <w:rPr>
          <w:rFonts w:ascii="Calibri" w:hAnsi="Calibri" w:cs="Calibri"/>
          <w:i/>
          <w:iCs/>
          <w:noProof/>
          <w:szCs w:val="24"/>
        </w:rPr>
        <w:t>J. Electroceramics</w:t>
      </w:r>
      <w:r w:rsidRPr="00EC62EF">
        <w:rPr>
          <w:rFonts w:ascii="Calibri" w:hAnsi="Calibri" w:cs="Calibri"/>
          <w:noProof/>
          <w:szCs w:val="24"/>
        </w:rPr>
        <w:t>, vol. 35, no. 1–4, pp. 81–89, 2015.</w:t>
      </w:r>
    </w:p>
    <w:p w14:paraId="5C2283A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[70]</w:t>
      </w:r>
      <w:r w:rsidRPr="00EC62EF">
        <w:rPr>
          <w:rFonts w:ascii="Calibri" w:hAnsi="Calibri" w:cs="Calibri"/>
          <w:noProof/>
          <w:szCs w:val="24"/>
        </w:rPr>
        <w:tab/>
        <w:t xml:space="preserve">S. P. Jiang, “Nanoscale and nano-structured electrodes of solid oxide fuel cells by infiltration: Advances and challenges,” </w:t>
      </w:r>
      <w:r w:rsidRPr="00EC62EF">
        <w:rPr>
          <w:rFonts w:ascii="Calibri" w:hAnsi="Calibri" w:cs="Calibri"/>
          <w:i/>
          <w:iCs/>
          <w:noProof/>
          <w:szCs w:val="24"/>
        </w:rPr>
        <w:t>Int. J. Hydrogen Energy</w:t>
      </w:r>
      <w:r w:rsidRPr="00EC62EF">
        <w:rPr>
          <w:rFonts w:ascii="Calibri" w:hAnsi="Calibri" w:cs="Calibri"/>
          <w:noProof/>
          <w:szCs w:val="24"/>
        </w:rPr>
        <w:t>, vol. 37, no. 1, pp. 449–470, 2012.</w:t>
      </w:r>
    </w:p>
    <w:p w14:paraId="3320BA2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[71]</w:t>
      </w:r>
      <w:r w:rsidRPr="00EC62EF">
        <w:rPr>
          <w:rFonts w:ascii="Calibri" w:hAnsi="Calibri" w:cs="Calibri"/>
          <w:noProof/>
          <w:szCs w:val="24"/>
        </w:rPr>
        <w:tab/>
        <w:t xml:space="preserve">D. Ding, X. Li, S. Y. Lai, K. Gerdes, and M. Liu, “Enhancing SOFC cathode performance by surface modification through infiltration,” </w:t>
      </w:r>
      <w:r w:rsidRPr="00EC62EF">
        <w:rPr>
          <w:rFonts w:ascii="Calibri" w:hAnsi="Calibri" w:cs="Calibri"/>
          <w:i/>
          <w:iCs/>
          <w:noProof/>
          <w:szCs w:val="24"/>
        </w:rPr>
        <w:t>Energy Environ. Sci.</w:t>
      </w:r>
      <w:r w:rsidRPr="00EC62EF">
        <w:rPr>
          <w:rFonts w:ascii="Calibri" w:hAnsi="Calibri" w:cs="Calibri"/>
          <w:noProof/>
          <w:szCs w:val="24"/>
        </w:rPr>
        <w:t>, vol. 7, no. 2, pp. 552–575, 2014.</w:t>
      </w:r>
    </w:p>
    <w:p w14:paraId="0992AEB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lastRenderedPageBreak/>
        <w:t>[72]</w:t>
      </w:r>
      <w:r w:rsidRPr="00EC62EF">
        <w:rPr>
          <w:rFonts w:ascii="Calibri" w:hAnsi="Calibri" w:cs="Calibri"/>
          <w:noProof/>
          <w:szCs w:val="24"/>
        </w:rPr>
        <w:tab/>
        <w:t xml:space="preserve">T. L. Skafte, J. Hjelm, P. Blennow, and C. Graves, “Reactivating the Ni-YSZ electrode in solid oxide cells and stacks by infiltration,” </w:t>
      </w:r>
      <w:r w:rsidRPr="00EC62EF">
        <w:rPr>
          <w:rFonts w:ascii="Calibri" w:hAnsi="Calibri" w:cs="Calibri"/>
          <w:i/>
          <w:iCs/>
          <w:noProof/>
          <w:szCs w:val="24"/>
        </w:rPr>
        <w:t>J. Power Sources</w:t>
      </w:r>
      <w:r w:rsidRPr="00EC62EF">
        <w:rPr>
          <w:rFonts w:ascii="Calibri" w:hAnsi="Calibri" w:cs="Calibri"/>
          <w:noProof/>
          <w:szCs w:val="24"/>
        </w:rPr>
        <w:t>, vol. 378, 2018.</w:t>
      </w:r>
    </w:p>
    <w:p w14:paraId="5B451A3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[73]</w:t>
      </w:r>
      <w:r w:rsidRPr="00EC62EF">
        <w:rPr>
          <w:rFonts w:ascii="Calibri" w:hAnsi="Calibri" w:cs="Calibri"/>
          <w:noProof/>
          <w:szCs w:val="24"/>
        </w:rPr>
        <w:tab/>
        <w:t>J. Thijssen, “The impact of scale-up and production volume on SOFC manufacturing cost.” US Department of Energy, DoE , pp. 3–70, 2007.</w:t>
      </w:r>
    </w:p>
    <w:p w14:paraId="050C70C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[74]</w:t>
      </w:r>
      <w:r w:rsidRPr="00EC62EF">
        <w:rPr>
          <w:rFonts w:ascii="Calibri" w:hAnsi="Calibri" w:cs="Calibri"/>
          <w:noProof/>
          <w:szCs w:val="24"/>
        </w:rPr>
        <w:tab/>
        <w:t xml:space="preserve">J. H. T.L. Skafte  P. Blennow and C. Graves, “Quantitative review of degradation and lifetime of solid oxide cells and stacks,” in </w:t>
      </w:r>
      <w:r w:rsidRPr="00EC62EF">
        <w:rPr>
          <w:rFonts w:ascii="Calibri" w:hAnsi="Calibri" w:cs="Calibri"/>
          <w:i/>
          <w:iCs/>
          <w:noProof/>
          <w:szCs w:val="24"/>
        </w:rPr>
        <w:t>Proceedings of 12th European SOFC &amp; SOE Forum 2016</w:t>
      </w:r>
      <w:r w:rsidRPr="00EC62EF">
        <w:rPr>
          <w:rFonts w:ascii="Calibri" w:hAnsi="Calibri" w:cs="Calibri"/>
          <w:noProof/>
          <w:szCs w:val="24"/>
        </w:rPr>
        <w:t>, 2016, p. 19.</w:t>
      </w:r>
    </w:p>
    <w:p w14:paraId="494E406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[75]</w:t>
      </w:r>
      <w:r w:rsidRPr="00EC62EF">
        <w:rPr>
          <w:rFonts w:ascii="Calibri" w:hAnsi="Calibri" w:cs="Calibri"/>
          <w:noProof/>
          <w:szCs w:val="24"/>
        </w:rPr>
        <w:tab/>
        <w:t xml:space="preserve">B. P. Borglum and H. Ghezel-Ayagh, “Development of Solid Oxide Fuel Cells at Versa Power Systems and Fuel Cell Energy,” </w:t>
      </w:r>
      <w:r w:rsidRPr="00EC62EF">
        <w:rPr>
          <w:rFonts w:ascii="Calibri" w:hAnsi="Calibri" w:cs="Calibri"/>
          <w:i/>
          <w:iCs/>
          <w:noProof/>
          <w:szCs w:val="24"/>
        </w:rPr>
        <w:t>ECS Trans.</w:t>
      </w:r>
      <w:r w:rsidRPr="00EC62EF">
        <w:rPr>
          <w:rFonts w:ascii="Calibri" w:hAnsi="Calibri" w:cs="Calibri"/>
          <w:noProof/>
          <w:szCs w:val="24"/>
        </w:rPr>
        <w:t>, vol. 57, no. 1, pp. 61–66, 2013.</w:t>
      </w:r>
    </w:p>
    <w:p w14:paraId="5A089FC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[76]</w:t>
      </w:r>
      <w:r w:rsidRPr="00EC62EF">
        <w:rPr>
          <w:rFonts w:ascii="Calibri" w:hAnsi="Calibri" w:cs="Calibri"/>
          <w:noProof/>
          <w:szCs w:val="24"/>
        </w:rPr>
        <w:tab/>
        <w:t xml:space="preserve">Y. Zhou </w:t>
      </w:r>
      <w:r w:rsidRPr="00EC62EF">
        <w:rPr>
          <w:rFonts w:ascii="Calibri" w:hAnsi="Calibri" w:cs="Calibri"/>
          <w:i/>
          <w:iCs/>
          <w:noProof/>
          <w:szCs w:val="24"/>
        </w:rPr>
        <w:t>et al.</w:t>
      </w:r>
      <w:r w:rsidRPr="00EC62EF">
        <w:rPr>
          <w:rFonts w:ascii="Calibri" w:hAnsi="Calibri" w:cs="Calibri"/>
          <w:noProof/>
          <w:szCs w:val="24"/>
        </w:rPr>
        <w:t xml:space="preserve">, “Long-term stability of metal-supported solid oxide fuel cells employing infiltrated electrodes,” </w:t>
      </w:r>
      <w:r w:rsidRPr="00EC62EF">
        <w:rPr>
          <w:rFonts w:ascii="Calibri" w:hAnsi="Calibri" w:cs="Calibri"/>
          <w:i/>
          <w:iCs/>
          <w:noProof/>
          <w:szCs w:val="24"/>
        </w:rPr>
        <w:t>J. Power Sources</w:t>
      </w:r>
      <w:r w:rsidRPr="00EC62EF">
        <w:rPr>
          <w:rFonts w:ascii="Calibri" w:hAnsi="Calibri" w:cs="Calibri"/>
          <w:noProof/>
          <w:szCs w:val="24"/>
        </w:rPr>
        <w:t>, vol. 295, pp. 67–73, 2015.</w:t>
      </w:r>
    </w:p>
    <w:p w14:paraId="17E68DA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[77]</w:t>
      </w:r>
      <w:r w:rsidRPr="00EC62EF">
        <w:rPr>
          <w:rFonts w:ascii="Calibri" w:hAnsi="Calibri" w:cs="Calibri"/>
          <w:noProof/>
          <w:szCs w:val="24"/>
        </w:rPr>
        <w:tab/>
        <w:t xml:space="preserve">C. Jia, M. Chen, and M. Han, “Performance and electrochemical analysis of solid oxide fuel cells based on LSCF-YSZ nano-electrode,” </w:t>
      </w:r>
      <w:r w:rsidRPr="00EC62EF">
        <w:rPr>
          <w:rFonts w:ascii="Calibri" w:hAnsi="Calibri" w:cs="Calibri"/>
          <w:i/>
          <w:iCs/>
          <w:noProof/>
          <w:szCs w:val="24"/>
        </w:rPr>
        <w:t>Int. J. Appl. Ceram. Technol.</w:t>
      </w:r>
      <w:r w:rsidRPr="00EC62EF">
        <w:rPr>
          <w:rFonts w:ascii="Calibri" w:hAnsi="Calibri" w:cs="Calibri"/>
          <w:noProof/>
          <w:szCs w:val="24"/>
        </w:rPr>
        <w:t>, vol. 14, no. 5, pp. 1006–1012, 2017.</w:t>
      </w:r>
    </w:p>
    <w:p w14:paraId="02D4286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[78]</w:t>
      </w:r>
      <w:r w:rsidRPr="00EC62EF">
        <w:rPr>
          <w:rFonts w:ascii="Calibri" w:hAnsi="Calibri" w:cs="Calibri"/>
          <w:noProof/>
          <w:szCs w:val="24"/>
        </w:rPr>
        <w:tab/>
        <w:t xml:space="preserve">T. B. Hertz, T. Heiredal-Clausen, and R. Küngas, “Characterization and Stack Testing of Solid Oxide Fuel Cells with Cathodes Prepared by Infiltration,” </w:t>
      </w:r>
      <w:r w:rsidRPr="00EC62EF">
        <w:rPr>
          <w:rFonts w:ascii="Calibri" w:hAnsi="Calibri" w:cs="Calibri"/>
          <w:i/>
          <w:iCs/>
          <w:noProof/>
          <w:szCs w:val="24"/>
        </w:rPr>
        <w:t>J. Electrochem. Soc.</w:t>
      </w:r>
      <w:r w:rsidRPr="00EC62EF">
        <w:rPr>
          <w:rFonts w:ascii="Calibri" w:hAnsi="Calibri" w:cs="Calibri"/>
          <w:noProof/>
          <w:szCs w:val="24"/>
        </w:rPr>
        <w:t>, vol. 163, no. 2, pp. F38–F43, 2015.</w:t>
      </w:r>
    </w:p>
    <w:p w14:paraId="201E421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[79]</w:t>
      </w:r>
      <w:r w:rsidRPr="00EC62EF">
        <w:rPr>
          <w:rFonts w:ascii="Calibri" w:hAnsi="Calibri" w:cs="Calibri"/>
          <w:noProof/>
          <w:szCs w:val="24"/>
        </w:rPr>
        <w:tab/>
        <w:t xml:space="preserve">C. Nicollet, A. Flura, V. Vibhu, A. Rougier, J.-M. Bassat, and J.-C. Grenier, “An innovative efficient oxygen electrode for SOFC: Pr 6 O 11 infiltrated into Gd-doped ceria backbone,” </w:t>
      </w:r>
      <w:r w:rsidRPr="00EC62EF">
        <w:rPr>
          <w:rFonts w:ascii="Calibri" w:hAnsi="Calibri" w:cs="Calibri"/>
          <w:i/>
          <w:iCs/>
          <w:noProof/>
          <w:szCs w:val="24"/>
        </w:rPr>
        <w:t>Int. J. Hydrogen Energy</w:t>
      </w:r>
      <w:r w:rsidRPr="00EC62EF">
        <w:rPr>
          <w:rFonts w:ascii="Calibri" w:hAnsi="Calibri" w:cs="Calibri"/>
          <w:noProof/>
          <w:szCs w:val="24"/>
        </w:rPr>
        <w:t>, vol. 41, no. 34, pp. 15538–15544, 2016.</w:t>
      </w:r>
    </w:p>
    <w:p w14:paraId="43D979C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[80]</w:t>
      </w:r>
      <w:r w:rsidRPr="00EC62EF">
        <w:rPr>
          <w:rFonts w:ascii="Calibri" w:hAnsi="Calibri" w:cs="Calibri"/>
          <w:noProof/>
          <w:szCs w:val="24"/>
        </w:rPr>
        <w:tab/>
        <w:t xml:space="preserve">X. Zhu, D. Ding, Y. Li, Z. Lü, W. Su, and L. Zhen, “Development of La0.6Sr0.4Co0.2Fe 0.8O3-δ cathode with an improved stability via La0.8Sr0.2MnO3-film impregnation,” </w:t>
      </w:r>
      <w:r w:rsidRPr="00EC62EF">
        <w:rPr>
          <w:rFonts w:ascii="Calibri" w:hAnsi="Calibri" w:cs="Calibri"/>
          <w:i/>
          <w:iCs/>
          <w:noProof/>
          <w:szCs w:val="24"/>
        </w:rPr>
        <w:t>Int. J. Hydrogen Energy</w:t>
      </w:r>
      <w:r w:rsidRPr="00EC62EF">
        <w:rPr>
          <w:rFonts w:ascii="Calibri" w:hAnsi="Calibri" w:cs="Calibri"/>
          <w:noProof/>
          <w:szCs w:val="24"/>
        </w:rPr>
        <w:t>, vol. 38, no. 13, pp. 5375–5382, 2013.</w:t>
      </w:r>
    </w:p>
    <w:p w14:paraId="092235A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[81]</w:t>
      </w:r>
      <w:r w:rsidRPr="00EC62EF">
        <w:rPr>
          <w:rFonts w:ascii="Calibri" w:hAnsi="Calibri" w:cs="Calibri"/>
          <w:noProof/>
          <w:szCs w:val="24"/>
        </w:rPr>
        <w:tab/>
        <w:t xml:space="preserve">F. S. Torknik, A. Maghsoudipour, M. Keyanpour-Rad, G. M. Choi, S. H. Oh, and G. Y. Shin, “Microstructural refinement of Ni/Ce0.8Gd0.2O 2-δ anodes for low-temperature solid oxide fuel cell by wet infiltration loading of PdCl2,” </w:t>
      </w:r>
      <w:r w:rsidRPr="00EC62EF">
        <w:rPr>
          <w:rFonts w:ascii="Calibri" w:hAnsi="Calibri" w:cs="Calibri"/>
          <w:i/>
          <w:iCs/>
          <w:noProof/>
          <w:szCs w:val="24"/>
        </w:rPr>
        <w:t>Ceram. Int.</w:t>
      </w:r>
      <w:r w:rsidRPr="00EC62EF">
        <w:rPr>
          <w:rFonts w:ascii="Calibri" w:hAnsi="Calibri" w:cs="Calibri"/>
          <w:noProof/>
          <w:szCs w:val="24"/>
        </w:rPr>
        <w:t>, vol. 40, no. 8 PART A, pp. 12299–12312, 2014.</w:t>
      </w:r>
    </w:p>
    <w:p w14:paraId="0070A6B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[82]</w:t>
      </w:r>
      <w:r w:rsidRPr="00EC62EF">
        <w:rPr>
          <w:rFonts w:ascii="Calibri" w:hAnsi="Calibri" w:cs="Calibri"/>
          <w:noProof/>
          <w:szCs w:val="24"/>
        </w:rPr>
        <w:tab/>
        <w:t>N. R. E. Laboratory and U. S. D. of Energy, “1–10 kW Stationary Combined Heat and Power Systems Status and Technical Potential,” US Department of Energy, 2010.</w:t>
      </w:r>
    </w:p>
    <w:p w14:paraId="7CB7FDD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[83]</w:t>
      </w:r>
      <w:r w:rsidRPr="00EC62EF">
        <w:rPr>
          <w:rFonts w:ascii="Calibri" w:hAnsi="Calibri" w:cs="Calibri"/>
          <w:noProof/>
          <w:szCs w:val="24"/>
        </w:rPr>
        <w:tab/>
        <w:t xml:space="preserve">R. J. Gorte and J. M. Vohs, “Catalysis in Solid Oxide Fuel Cells,” </w:t>
      </w:r>
      <w:r w:rsidRPr="00EC62EF">
        <w:rPr>
          <w:rFonts w:ascii="Calibri" w:hAnsi="Calibri" w:cs="Calibri"/>
          <w:i/>
          <w:iCs/>
          <w:noProof/>
          <w:szCs w:val="24"/>
        </w:rPr>
        <w:t>Annu. Rev. Chem. Biomol. Eng.</w:t>
      </w:r>
      <w:r w:rsidRPr="00EC62EF">
        <w:rPr>
          <w:rFonts w:ascii="Calibri" w:hAnsi="Calibri" w:cs="Calibri"/>
          <w:noProof/>
          <w:szCs w:val="24"/>
        </w:rPr>
        <w:t>, vol. 2, no. 1, pp. 9–30, 2011.</w:t>
      </w:r>
    </w:p>
    <w:p w14:paraId="3992E32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[84]</w:t>
      </w:r>
      <w:r w:rsidRPr="00EC62EF">
        <w:rPr>
          <w:rFonts w:ascii="Calibri" w:hAnsi="Calibri" w:cs="Calibri"/>
          <w:noProof/>
          <w:szCs w:val="24"/>
        </w:rPr>
        <w:tab/>
        <w:t xml:space="preserve">Y. Li, X. Zhu, Y. Chen, S. Zhang, J. Li, and J. Liu, “Rapid synthesis of highly active Pt/C catalysts with various metal loadings from single batch platinum colloid,” </w:t>
      </w:r>
      <w:r w:rsidRPr="00EC62EF">
        <w:rPr>
          <w:rFonts w:ascii="Calibri" w:hAnsi="Calibri" w:cs="Calibri"/>
          <w:i/>
          <w:iCs/>
          <w:noProof/>
          <w:szCs w:val="24"/>
        </w:rPr>
        <w:t>J. Energy Chem.</w:t>
      </w:r>
      <w:r w:rsidRPr="00EC62EF">
        <w:rPr>
          <w:rFonts w:ascii="Calibri" w:hAnsi="Calibri" w:cs="Calibri"/>
          <w:noProof/>
          <w:szCs w:val="24"/>
        </w:rPr>
        <w:t>, vol. 47, pp. 138–145, 2020.</w:t>
      </w:r>
    </w:p>
    <w:p w14:paraId="5321025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[85]</w:t>
      </w:r>
      <w:r w:rsidRPr="00EC62EF">
        <w:rPr>
          <w:rFonts w:ascii="Calibri" w:hAnsi="Calibri" w:cs="Calibri"/>
          <w:noProof/>
          <w:szCs w:val="24"/>
        </w:rPr>
        <w:tab/>
        <w:t xml:space="preserve">F. Wang, W. Wang, J. Qu, Y. Zhong, M. O. Tade, and Z. Shao, “Enhanced sulfur tolerance of nickel-based anodes for oxygen-ion conducting solid oxide fuel cells by incorporating a secondary water storing phase,” </w:t>
      </w:r>
      <w:r w:rsidRPr="00EC62EF">
        <w:rPr>
          <w:rFonts w:ascii="Calibri" w:hAnsi="Calibri" w:cs="Calibri"/>
          <w:i/>
          <w:iCs/>
          <w:noProof/>
          <w:szCs w:val="24"/>
        </w:rPr>
        <w:t>Environ. Sci. Technol.</w:t>
      </w:r>
      <w:r w:rsidRPr="00EC62EF">
        <w:rPr>
          <w:rFonts w:ascii="Calibri" w:hAnsi="Calibri" w:cs="Calibri"/>
          <w:noProof/>
          <w:szCs w:val="24"/>
        </w:rPr>
        <w:t>, vol. 48, no. 20, pp. 12427–12434, 2014.</w:t>
      </w:r>
    </w:p>
    <w:p w14:paraId="3463C62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[86]</w:t>
      </w:r>
      <w:r w:rsidRPr="00EC62EF">
        <w:rPr>
          <w:rFonts w:ascii="Calibri" w:hAnsi="Calibri" w:cs="Calibri"/>
          <w:noProof/>
          <w:szCs w:val="24"/>
        </w:rPr>
        <w:tab/>
        <w:t xml:space="preserve">S. S. C. Chuang and L. Zhang, “Perovskites and Related Mixed Oxides for SOFC Applications,” in </w:t>
      </w:r>
      <w:r w:rsidRPr="00EC62EF">
        <w:rPr>
          <w:rFonts w:ascii="Calibri" w:hAnsi="Calibri" w:cs="Calibri"/>
          <w:i/>
          <w:iCs/>
          <w:noProof/>
          <w:szCs w:val="24"/>
        </w:rPr>
        <w:t>Perovskites and Related Mixed Oxides: Concepts and Applications</w:t>
      </w:r>
      <w:r w:rsidRPr="00EC62EF">
        <w:rPr>
          <w:rFonts w:ascii="Calibri" w:hAnsi="Calibri" w:cs="Calibri"/>
          <w:noProof/>
          <w:szCs w:val="24"/>
        </w:rPr>
        <w:t>, Wiley Blackwell, 2015, pp. 863–880.</w:t>
      </w:r>
    </w:p>
    <w:p w14:paraId="72B4C9D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[87]</w:t>
      </w:r>
      <w:r w:rsidRPr="00EC62EF">
        <w:rPr>
          <w:rFonts w:ascii="Calibri" w:hAnsi="Calibri" w:cs="Calibri"/>
          <w:noProof/>
          <w:szCs w:val="24"/>
        </w:rPr>
        <w:tab/>
        <w:t xml:space="preserve">M. Niania </w:t>
      </w:r>
      <w:r w:rsidRPr="00EC62EF">
        <w:rPr>
          <w:rFonts w:ascii="Calibri" w:hAnsi="Calibri" w:cs="Calibri"/>
          <w:i/>
          <w:iCs/>
          <w:noProof/>
          <w:szCs w:val="24"/>
        </w:rPr>
        <w:t>et al.</w:t>
      </w:r>
      <w:r w:rsidRPr="00EC62EF">
        <w:rPr>
          <w:rFonts w:ascii="Calibri" w:hAnsi="Calibri" w:cs="Calibri"/>
          <w:noProof/>
          <w:szCs w:val="24"/>
        </w:rPr>
        <w:t xml:space="preserve">, “In situ study of strontium segregation in La0.6Sr0.4Co0.2Fe0.8O3−δ in ambient atmospheres using high-temperature environmental scanning electron microscopy,” </w:t>
      </w:r>
      <w:r w:rsidRPr="00EC62EF">
        <w:rPr>
          <w:rFonts w:ascii="Calibri" w:hAnsi="Calibri" w:cs="Calibri"/>
          <w:i/>
          <w:iCs/>
          <w:noProof/>
          <w:szCs w:val="24"/>
        </w:rPr>
        <w:lastRenderedPageBreak/>
        <w:t>J. Mater. Chem. A</w:t>
      </w:r>
      <w:r w:rsidRPr="00EC62EF">
        <w:rPr>
          <w:rFonts w:ascii="Calibri" w:hAnsi="Calibri" w:cs="Calibri"/>
          <w:noProof/>
          <w:szCs w:val="24"/>
        </w:rPr>
        <w:t>, vol. 6, no. 29, pp. 14120–14135, 2018.</w:t>
      </w:r>
    </w:p>
    <w:p w14:paraId="1CB0F00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[88]</w:t>
      </w:r>
      <w:r w:rsidRPr="00EC62EF">
        <w:rPr>
          <w:rFonts w:ascii="Calibri" w:hAnsi="Calibri" w:cs="Calibri"/>
          <w:noProof/>
          <w:szCs w:val="24"/>
        </w:rPr>
        <w:tab/>
        <w:t xml:space="preserve">M. E. Chelmehsara and J. Mahmoudimehr, “Techno-economic comparison of anode-supported, cathode-supported, and electrolyte-supported SOFCs,” </w:t>
      </w:r>
      <w:r w:rsidRPr="00EC62EF">
        <w:rPr>
          <w:rFonts w:ascii="Calibri" w:hAnsi="Calibri" w:cs="Calibri"/>
          <w:i/>
          <w:iCs/>
          <w:noProof/>
          <w:szCs w:val="24"/>
        </w:rPr>
        <w:t>Int. J. Hydrogen Energy</w:t>
      </w:r>
      <w:r w:rsidRPr="00EC62EF">
        <w:rPr>
          <w:rFonts w:ascii="Calibri" w:hAnsi="Calibri" w:cs="Calibri"/>
          <w:noProof/>
          <w:szCs w:val="24"/>
        </w:rPr>
        <w:t>, vol. 43, no. 32, pp. 15521–15530, 2018.</w:t>
      </w:r>
    </w:p>
    <w:p w14:paraId="4AF47CEE"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[89]</w:t>
      </w:r>
      <w:r w:rsidRPr="00EC62EF">
        <w:rPr>
          <w:rFonts w:ascii="Calibri" w:hAnsi="Calibri" w:cs="Calibri"/>
          <w:noProof/>
          <w:szCs w:val="24"/>
        </w:rPr>
        <w:tab/>
        <w:t xml:space="preserve">Y. Akdeniz, B. Timurkutluk, and C. Timurkutluk, “Development of anodes for direct oxidation of methane fuel in solid oxide fuel cells,” </w:t>
      </w:r>
      <w:r w:rsidRPr="00EC62EF">
        <w:rPr>
          <w:rFonts w:ascii="Calibri" w:hAnsi="Calibri" w:cs="Calibri"/>
          <w:i/>
          <w:iCs/>
          <w:noProof/>
          <w:szCs w:val="24"/>
        </w:rPr>
        <w:t>Int. J. Hydrogen Energy</w:t>
      </w:r>
      <w:r w:rsidRPr="00EC62EF">
        <w:rPr>
          <w:rFonts w:ascii="Calibri" w:hAnsi="Calibri" w:cs="Calibri"/>
          <w:noProof/>
          <w:szCs w:val="24"/>
        </w:rPr>
        <w:t>, vol. 41, no. 23, pp. 10021–10029, 2016.</w:t>
      </w:r>
    </w:p>
    <w:p w14:paraId="2069882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[90]</w:t>
      </w:r>
      <w:r w:rsidRPr="00EC62EF">
        <w:rPr>
          <w:rFonts w:ascii="Calibri" w:hAnsi="Calibri" w:cs="Calibri"/>
          <w:noProof/>
          <w:szCs w:val="24"/>
        </w:rPr>
        <w:tab/>
        <w:t xml:space="preserve">K. T. S. Thydén, </w:t>
      </w:r>
      <w:r w:rsidRPr="00EC62EF">
        <w:rPr>
          <w:rFonts w:ascii="Calibri" w:hAnsi="Calibri" w:cs="Calibri"/>
          <w:i/>
          <w:iCs/>
          <w:noProof/>
          <w:szCs w:val="24"/>
        </w:rPr>
        <w:t>Microstructural degradation of Ni-YSZ anodes for solid oxide fuel cells</w:t>
      </w:r>
      <w:r w:rsidRPr="00EC62EF">
        <w:rPr>
          <w:rFonts w:ascii="Calibri" w:hAnsi="Calibri" w:cs="Calibri"/>
          <w:noProof/>
          <w:szCs w:val="24"/>
        </w:rPr>
        <w:t>. 2008.</w:t>
      </w:r>
    </w:p>
    <w:p w14:paraId="0B9859B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[91]</w:t>
      </w:r>
      <w:r w:rsidRPr="00EC62EF">
        <w:rPr>
          <w:rFonts w:ascii="Calibri" w:hAnsi="Calibri" w:cs="Calibri"/>
          <w:noProof/>
          <w:szCs w:val="24"/>
        </w:rPr>
        <w:tab/>
        <w:t xml:space="preserve">B. C. Steele and A. Heinzel, “Materials for fuel-cell technologies,” </w:t>
      </w:r>
      <w:r w:rsidRPr="00EC62EF">
        <w:rPr>
          <w:rFonts w:ascii="Calibri" w:hAnsi="Calibri" w:cs="Calibri"/>
          <w:i/>
          <w:iCs/>
          <w:noProof/>
          <w:szCs w:val="24"/>
        </w:rPr>
        <w:t>Nature</w:t>
      </w:r>
      <w:r w:rsidRPr="00EC62EF">
        <w:rPr>
          <w:rFonts w:ascii="Calibri" w:hAnsi="Calibri" w:cs="Calibri"/>
          <w:noProof/>
          <w:szCs w:val="24"/>
        </w:rPr>
        <w:t>, vol. 414, no. 6861, pp. 345–352, 2001.</w:t>
      </w:r>
    </w:p>
    <w:p w14:paraId="6EB79C3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[92]</w:t>
      </w:r>
      <w:r w:rsidRPr="00EC62EF">
        <w:rPr>
          <w:rFonts w:ascii="Calibri" w:hAnsi="Calibri" w:cs="Calibri"/>
          <w:noProof/>
          <w:szCs w:val="24"/>
        </w:rPr>
        <w:tab/>
        <w:t xml:space="preserve">A. V. Virkar, J. Chen, C. W. Tanner, and J. W. Kim, “Role of electrode microstructure on activation and concentration polarizations in solid oxide fuel cells,” </w:t>
      </w:r>
      <w:r w:rsidRPr="00EC62EF">
        <w:rPr>
          <w:rFonts w:ascii="Calibri" w:hAnsi="Calibri" w:cs="Calibri"/>
          <w:i/>
          <w:iCs/>
          <w:noProof/>
          <w:szCs w:val="24"/>
        </w:rPr>
        <w:t>Solid State Ionics</w:t>
      </w:r>
      <w:r w:rsidRPr="00EC62EF">
        <w:rPr>
          <w:rFonts w:ascii="Calibri" w:hAnsi="Calibri" w:cs="Calibri"/>
          <w:noProof/>
          <w:szCs w:val="24"/>
        </w:rPr>
        <w:t>, vol. 131, no. 1, pp. 189–198, 2000.</w:t>
      </w:r>
    </w:p>
    <w:p w14:paraId="14F20F0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[93]</w:t>
      </w:r>
      <w:r w:rsidRPr="00EC62EF">
        <w:rPr>
          <w:rFonts w:ascii="Calibri" w:hAnsi="Calibri" w:cs="Calibri"/>
          <w:noProof/>
          <w:szCs w:val="24"/>
        </w:rPr>
        <w:tab/>
        <w:t xml:space="preserve">H. Apfel, M. Rzepka, H. Tu, and U. Stimming, “Thermal start-up behaviour and thermal management of SOFC’s,” </w:t>
      </w:r>
      <w:r w:rsidRPr="00EC62EF">
        <w:rPr>
          <w:rFonts w:ascii="Calibri" w:hAnsi="Calibri" w:cs="Calibri"/>
          <w:i/>
          <w:iCs/>
          <w:noProof/>
          <w:szCs w:val="24"/>
        </w:rPr>
        <w:t>J. Power Sources</w:t>
      </w:r>
      <w:r w:rsidRPr="00EC62EF">
        <w:rPr>
          <w:rFonts w:ascii="Calibri" w:hAnsi="Calibri" w:cs="Calibri"/>
          <w:noProof/>
          <w:szCs w:val="24"/>
        </w:rPr>
        <w:t>, vol. 154, no. 2, pp. 370–378, 2006.</w:t>
      </w:r>
    </w:p>
    <w:p w14:paraId="2536656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[94]</w:t>
      </w:r>
      <w:r w:rsidRPr="00EC62EF">
        <w:rPr>
          <w:rFonts w:ascii="Calibri" w:hAnsi="Calibri" w:cs="Calibri"/>
          <w:noProof/>
          <w:szCs w:val="24"/>
        </w:rPr>
        <w:tab/>
        <w:t>V. V. Krishnan, “Recent Developments in Metal Supported Solid Oxide Fuel Cells Recent Developments in Metal Supported Solid Oxide Fuel Cells.”</w:t>
      </w:r>
    </w:p>
    <w:p w14:paraId="32DD7B5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[95]</w:t>
      </w:r>
      <w:r w:rsidRPr="00EC62EF">
        <w:rPr>
          <w:rFonts w:ascii="Calibri" w:hAnsi="Calibri" w:cs="Calibri"/>
          <w:noProof/>
          <w:szCs w:val="24"/>
        </w:rPr>
        <w:tab/>
        <w:t xml:space="preserve">F. Zhao and A. V. Virkar, “Dependence of polarization in anode-supported solid oxide fuel cells on various cell parameters,” </w:t>
      </w:r>
      <w:r w:rsidRPr="00EC62EF">
        <w:rPr>
          <w:rFonts w:ascii="Calibri" w:hAnsi="Calibri" w:cs="Calibri"/>
          <w:i/>
          <w:iCs/>
          <w:noProof/>
          <w:szCs w:val="24"/>
        </w:rPr>
        <w:t>J. Power Sources</w:t>
      </w:r>
      <w:r w:rsidRPr="00EC62EF">
        <w:rPr>
          <w:rFonts w:ascii="Calibri" w:hAnsi="Calibri" w:cs="Calibri"/>
          <w:noProof/>
          <w:szCs w:val="24"/>
        </w:rPr>
        <w:t>, vol. 141, no. 1, pp. 79–95, 2005.</w:t>
      </w:r>
    </w:p>
    <w:p w14:paraId="75D248D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[96]</w:t>
      </w:r>
      <w:r w:rsidRPr="00EC62EF">
        <w:rPr>
          <w:rFonts w:ascii="Calibri" w:hAnsi="Calibri" w:cs="Calibri"/>
          <w:noProof/>
          <w:szCs w:val="24"/>
        </w:rPr>
        <w:tab/>
        <w:t>H. S. Spacil, “Electrical device including nickel-containing stabilized zirconia electrode,” 1970.</w:t>
      </w:r>
    </w:p>
    <w:p w14:paraId="1F40764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[97]</w:t>
      </w:r>
      <w:r w:rsidRPr="00EC62EF">
        <w:rPr>
          <w:rFonts w:ascii="Calibri" w:hAnsi="Calibri" w:cs="Calibri"/>
          <w:noProof/>
          <w:szCs w:val="24"/>
        </w:rPr>
        <w:tab/>
        <w:t xml:space="preserve">K. Vels Jensen, S. Primdahl, I. Chorkendorff, and M. Mogensen, “Microstructural and chemical changes at the Ni/YSZ interface,” </w:t>
      </w:r>
      <w:r w:rsidRPr="00EC62EF">
        <w:rPr>
          <w:rFonts w:ascii="Calibri" w:hAnsi="Calibri" w:cs="Calibri"/>
          <w:i/>
          <w:iCs/>
          <w:noProof/>
          <w:szCs w:val="24"/>
        </w:rPr>
        <w:t>Solid State Ionics</w:t>
      </w:r>
      <w:r w:rsidRPr="00EC62EF">
        <w:rPr>
          <w:rFonts w:ascii="Calibri" w:hAnsi="Calibri" w:cs="Calibri"/>
          <w:noProof/>
          <w:szCs w:val="24"/>
        </w:rPr>
        <w:t>, vol. 144, no. 3–4, pp. 197–209, 2001.</w:t>
      </w:r>
    </w:p>
    <w:p w14:paraId="07077C4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[98]</w:t>
      </w:r>
      <w:r w:rsidRPr="00EC62EF">
        <w:rPr>
          <w:rFonts w:ascii="Calibri" w:hAnsi="Calibri" w:cs="Calibri"/>
          <w:noProof/>
          <w:szCs w:val="24"/>
        </w:rPr>
        <w:tab/>
        <w:t xml:space="preserve">S. P. S. Shaikh, S. V. Moharil, and B. S. Nagrare, “A comparative study of copper-cermet anode material synthesized by different technique,” </w:t>
      </w:r>
      <w:r w:rsidRPr="00EC62EF">
        <w:rPr>
          <w:rFonts w:ascii="Calibri" w:hAnsi="Calibri" w:cs="Calibri"/>
          <w:i/>
          <w:iCs/>
          <w:noProof/>
          <w:szCs w:val="24"/>
        </w:rPr>
        <w:t>Int. J. Hydrogen Energy</w:t>
      </w:r>
      <w:r w:rsidRPr="00EC62EF">
        <w:rPr>
          <w:rFonts w:ascii="Calibri" w:hAnsi="Calibri" w:cs="Calibri"/>
          <w:noProof/>
          <w:szCs w:val="24"/>
        </w:rPr>
        <w:t>, vol. 37, no. 8, pp. 6853–6861, 2012.</w:t>
      </w:r>
    </w:p>
    <w:p w14:paraId="4536B55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[99]</w:t>
      </w:r>
      <w:r w:rsidRPr="00EC62EF">
        <w:rPr>
          <w:rFonts w:ascii="Calibri" w:hAnsi="Calibri" w:cs="Calibri"/>
          <w:noProof/>
          <w:szCs w:val="24"/>
        </w:rPr>
        <w:tab/>
        <w:t xml:space="preserve">J. Otomo, J. Oishi, T. Mitsumori, H. Iwasaki, and K. Yamada, “Evaluation of cost reduction potential for 1 kW class SOFC stack production: Implications for SOFC technology scenario,” </w:t>
      </w:r>
      <w:r w:rsidRPr="00EC62EF">
        <w:rPr>
          <w:rFonts w:ascii="Calibri" w:hAnsi="Calibri" w:cs="Calibri"/>
          <w:i/>
          <w:iCs/>
          <w:noProof/>
          <w:szCs w:val="24"/>
        </w:rPr>
        <w:t>Int. J. Hydrogen Energy</w:t>
      </w:r>
      <w:r w:rsidRPr="00EC62EF">
        <w:rPr>
          <w:rFonts w:ascii="Calibri" w:hAnsi="Calibri" w:cs="Calibri"/>
          <w:noProof/>
          <w:szCs w:val="24"/>
        </w:rPr>
        <w:t>, vol. 38, no. 33, pp. 14337–14347, 2013.</w:t>
      </w:r>
    </w:p>
    <w:p w14:paraId="5ED86BE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[100]</w:t>
      </w:r>
      <w:r w:rsidRPr="00EC62EF">
        <w:rPr>
          <w:rFonts w:ascii="Calibri" w:hAnsi="Calibri" w:cs="Calibri"/>
          <w:noProof/>
          <w:szCs w:val="24"/>
        </w:rPr>
        <w:tab/>
        <w:t xml:space="preserve">Z. Gao, L. V. Mogni, E. C. Miller, J. G. Railsback, and S. A. Barnett, “A perspective on low-temperature solid oxide fuel cells,” </w:t>
      </w:r>
      <w:r w:rsidRPr="00EC62EF">
        <w:rPr>
          <w:rFonts w:ascii="Calibri" w:hAnsi="Calibri" w:cs="Calibri"/>
          <w:i/>
          <w:iCs/>
          <w:noProof/>
          <w:szCs w:val="24"/>
        </w:rPr>
        <w:t>Energy Environ. Sci.</w:t>
      </w:r>
      <w:r w:rsidRPr="00EC62EF">
        <w:rPr>
          <w:rFonts w:ascii="Calibri" w:hAnsi="Calibri" w:cs="Calibri"/>
          <w:noProof/>
          <w:szCs w:val="24"/>
        </w:rPr>
        <w:t>, vol. 9, no. 5, pp. 1602–1644, 2016.</w:t>
      </w:r>
    </w:p>
    <w:p w14:paraId="2FB062D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[101]</w:t>
      </w:r>
      <w:r w:rsidRPr="00EC62EF">
        <w:rPr>
          <w:rFonts w:ascii="Calibri" w:hAnsi="Calibri" w:cs="Calibri"/>
          <w:noProof/>
          <w:szCs w:val="24"/>
        </w:rPr>
        <w:tab/>
        <w:t>M. M. Whiston, “Solid Oxide Fuel Cells - Advancing Solid Oxide Fuel Cell Technical and Economic Viability SOLID,” 2019.</w:t>
      </w:r>
    </w:p>
    <w:p w14:paraId="1CCBED5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[102]</w:t>
      </w:r>
      <w:r w:rsidRPr="00EC62EF">
        <w:rPr>
          <w:rFonts w:ascii="Calibri" w:hAnsi="Calibri" w:cs="Calibri"/>
          <w:noProof/>
          <w:szCs w:val="24"/>
        </w:rPr>
        <w:tab/>
        <w:t xml:space="preserve">E. Weidner, R. Cebolla Ortiz, and J. Davies, </w:t>
      </w:r>
      <w:r w:rsidRPr="00EC62EF">
        <w:rPr>
          <w:rFonts w:ascii="Calibri" w:hAnsi="Calibri" w:cs="Calibri"/>
          <w:i/>
          <w:iCs/>
          <w:noProof/>
          <w:szCs w:val="24"/>
        </w:rPr>
        <w:t>Global deployment of large capacity stationary fuel cells – Drivers of, and barriers to, stationary fuel cell deployment</w:t>
      </w:r>
      <w:r w:rsidRPr="00EC62EF">
        <w:rPr>
          <w:rFonts w:ascii="Calibri" w:hAnsi="Calibri" w:cs="Calibri"/>
          <w:noProof/>
          <w:szCs w:val="24"/>
        </w:rPr>
        <w:t>. 2019.</w:t>
      </w:r>
    </w:p>
    <w:p w14:paraId="565C7D9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[103]</w:t>
      </w:r>
      <w:r w:rsidRPr="00EC62EF">
        <w:rPr>
          <w:rFonts w:ascii="Calibri" w:hAnsi="Calibri" w:cs="Calibri"/>
          <w:noProof/>
          <w:szCs w:val="24"/>
        </w:rPr>
        <w:tab/>
        <w:t xml:space="preserve">H. Yokokawa, H. Tu, B. Iwanschitz, and A. Mai, “Fundamental mechanisms limiting solid oxide fuel cell durability,” </w:t>
      </w:r>
      <w:r w:rsidRPr="00EC62EF">
        <w:rPr>
          <w:rFonts w:ascii="Calibri" w:hAnsi="Calibri" w:cs="Calibri"/>
          <w:i/>
          <w:iCs/>
          <w:noProof/>
          <w:szCs w:val="24"/>
        </w:rPr>
        <w:t>J. Power Sources</w:t>
      </w:r>
      <w:r w:rsidRPr="00EC62EF">
        <w:rPr>
          <w:rFonts w:ascii="Calibri" w:hAnsi="Calibri" w:cs="Calibri"/>
          <w:noProof/>
          <w:szCs w:val="24"/>
        </w:rPr>
        <w:t>, vol. 182, no. 2, pp. 400–412, 2008.</w:t>
      </w:r>
    </w:p>
    <w:p w14:paraId="354AEE0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[104]</w:t>
      </w:r>
      <w:r w:rsidRPr="00EC62EF">
        <w:rPr>
          <w:rFonts w:ascii="Calibri" w:hAnsi="Calibri" w:cs="Calibri"/>
          <w:noProof/>
          <w:szCs w:val="24"/>
        </w:rPr>
        <w:tab/>
        <w:t xml:space="preserve">N. K. Patel, S. R. Bishop, R. G. Utter, D. Das, and M. Pecht, “Failure modes, mechanisms, effects, and criticality analysis of ceramic anodes of solid oxide fuel cells,” </w:t>
      </w:r>
      <w:r w:rsidRPr="00EC62EF">
        <w:rPr>
          <w:rFonts w:ascii="Calibri" w:hAnsi="Calibri" w:cs="Calibri"/>
          <w:i/>
          <w:iCs/>
          <w:noProof/>
          <w:szCs w:val="24"/>
        </w:rPr>
        <w:t>Electron.</w:t>
      </w:r>
      <w:r w:rsidRPr="00EC62EF">
        <w:rPr>
          <w:rFonts w:ascii="Calibri" w:hAnsi="Calibri" w:cs="Calibri"/>
          <w:noProof/>
          <w:szCs w:val="24"/>
        </w:rPr>
        <w:t>, vol. 7, no. 11, 2018.</w:t>
      </w:r>
    </w:p>
    <w:p w14:paraId="169AA37E"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[105]</w:t>
      </w:r>
      <w:r w:rsidRPr="00EC62EF">
        <w:rPr>
          <w:rFonts w:ascii="Calibri" w:hAnsi="Calibri" w:cs="Calibri"/>
          <w:noProof/>
          <w:szCs w:val="24"/>
        </w:rPr>
        <w:tab/>
        <w:t xml:space="preserve">M. S. Khan, S. B. Lee, R. H. Song, J. W. Lee, T. H. Lim, and S. J. Park, “Fundamental mechanisms involved in the degradation of nickel–yttria stabilized zirconia (Ni–YSZ) anode </w:t>
      </w:r>
      <w:r w:rsidRPr="00EC62EF">
        <w:rPr>
          <w:rFonts w:ascii="Calibri" w:hAnsi="Calibri" w:cs="Calibri"/>
          <w:noProof/>
          <w:szCs w:val="24"/>
        </w:rPr>
        <w:lastRenderedPageBreak/>
        <w:t xml:space="preserve">during solid oxide fuel cells operation: A review,” </w:t>
      </w:r>
      <w:r w:rsidRPr="00EC62EF">
        <w:rPr>
          <w:rFonts w:ascii="Calibri" w:hAnsi="Calibri" w:cs="Calibri"/>
          <w:i/>
          <w:iCs/>
          <w:noProof/>
          <w:szCs w:val="24"/>
        </w:rPr>
        <w:t>Ceram. Int.</w:t>
      </w:r>
      <w:r w:rsidRPr="00EC62EF">
        <w:rPr>
          <w:rFonts w:ascii="Calibri" w:hAnsi="Calibri" w:cs="Calibri"/>
          <w:noProof/>
          <w:szCs w:val="24"/>
        </w:rPr>
        <w:t>, vol. 42, no. 1, pp. 35–48, 2016.</w:t>
      </w:r>
    </w:p>
    <w:p w14:paraId="457ED28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[106]</w:t>
      </w:r>
      <w:r w:rsidRPr="00EC62EF">
        <w:rPr>
          <w:rFonts w:ascii="Calibri" w:hAnsi="Calibri" w:cs="Calibri"/>
          <w:noProof/>
          <w:szCs w:val="24"/>
        </w:rPr>
        <w:tab/>
        <w:t xml:space="preserve">N. Mahato, A. Banerjee, A. Gupta, S. Omar, and K. Balani, “Progress in material selection for solid oxide fuel cell technology: A review,” </w:t>
      </w:r>
      <w:r w:rsidRPr="00EC62EF">
        <w:rPr>
          <w:rFonts w:ascii="Calibri" w:hAnsi="Calibri" w:cs="Calibri"/>
          <w:i/>
          <w:iCs/>
          <w:noProof/>
          <w:szCs w:val="24"/>
        </w:rPr>
        <w:t>Prog. Mater. Sci.</w:t>
      </w:r>
      <w:r w:rsidRPr="00EC62EF">
        <w:rPr>
          <w:rFonts w:ascii="Calibri" w:hAnsi="Calibri" w:cs="Calibri"/>
          <w:noProof/>
          <w:szCs w:val="24"/>
        </w:rPr>
        <w:t>, vol. 72, pp. 141–337, 2015.</w:t>
      </w:r>
    </w:p>
    <w:p w14:paraId="2D5FFA0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[107]</w:t>
      </w:r>
      <w:r w:rsidRPr="00EC62EF">
        <w:rPr>
          <w:rFonts w:ascii="Calibri" w:hAnsi="Calibri" w:cs="Calibri"/>
          <w:noProof/>
          <w:szCs w:val="24"/>
        </w:rPr>
        <w:tab/>
        <w:t xml:space="preserve">A. Hagen, K. Neufeld, and Y. L. Liu, “Effect of Humidity in Air on Performance and Long-Term Durability of SOFCs,” </w:t>
      </w:r>
      <w:r w:rsidRPr="00EC62EF">
        <w:rPr>
          <w:rFonts w:ascii="Calibri" w:hAnsi="Calibri" w:cs="Calibri"/>
          <w:i/>
          <w:iCs/>
          <w:noProof/>
          <w:szCs w:val="24"/>
        </w:rPr>
        <w:t>J. Electrochem. Soc.</w:t>
      </w:r>
      <w:r w:rsidRPr="00EC62EF">
        <w:rPr>
          <w:rFonts w:ascii="Calibri" w:hAnsi="Calibri" w:cs="Calibri"/>
          <w:noProof/>
          <w:szCs w:val="24"/>
        </w:rPr>
        <w:t>, vol. 157, no. 10, p. B1343, 2010.</w:t>
      </w:r>
    </w:p>
    <w:p w14:paraId="5608E9F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[108]</w:t>
      </w:r>
      <w:r w:rsidRPr="00EC62EF">
        <w:rPr>
          <w:rFonts w:ascii="Calibri" w:hAnsi="Calibri" w:cs="Calibri"/>
          <w:noProof/>
          <w:szCs w:val="24"/>
        </w:rPr>
        <w:tab/>
        <w:t xml:space="preserve">Z. Zhan, D. M. Bierschenk, J. S. Cronin, and S. A. Barnett, “A reduced temperature solid oxide fuel cell with nanostructured anodes,” </w:t>
      </w:r>
      <w:r w:rsidRPr="00EC62EF">
        <w:rPr>
          <w:rFonts w:ascii="Calibri" w:hAnsi="Calibri" w:cs="Calibri"/>
          <w:i/>
          <w:iCs/>
          <w:noProof/>
          <w:szCs w:val="24"/>
        </w:rPr>
        <w:t>Energy Environ. Sci.</w:t>
      </w:r>
      <w:r w:rsidRPr="00EC62EF">
        <w:rPr>
          <w:rFonts w:ascii="Calibri" w:hAnsi="Calibri" w:cs="Calibri"/>
          <w:noProof/>
          <w:szCs w:val="24"/>
        </w:rPr>
        <w:t>, vol. 4, no. 10, pp. 3951–3954, 2011.</w:t>
      </w:r>
    </w:p>
    <w:p w14:paraId="2F0389E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[109]</w:t>
      </w:r>
      <w:r w:rsidRPr="00EC62EF">
        <w:rPr>
          <w:rFonts w:ascii="Calibri" w:hAnsi="Calibri" w:cs="Calibri"/>
          <w:noProof/>
          <w:szCs w:val="24"/>
        </w:rPr>
        <w:tab/>
        <w:t xml:space="preserve">L. Holzer </w:t>
      </w:r>
      <w:r w:rsidRPr="00EC62EF">
        <w:rPr>
          <w:rFonts w:ascii="Calibri" w:hAnsi="Calibri" w:cs="Calibri"/>
          <w:i/>
          <w:iCs/>
          <w:noProof/>
          <w:szCs w:val="24"/>
        </w:rPr>
        <w:t>et al.</w:t>
      </w:r>
      <w:r w:rsidRPr="00EC62EF">
        <w:rPr>
          <w:rFonts w:ascii="Calibri" w:hAnsi="Calibri" w:cs="Calibri"/>
          <w:noProof/>
          <w:szCs w:val="24"/>
        </w:rPr>
        <w:t xml:space="preserve">, “Microstructure degradation of cermet anodes for solid oxide fuel cells: Quantification of nickel grain growth in dry and in humid atmospheres,” </w:t>
      </w:r>
      <w:r w:rsidRPr="00EC62EF">
        <w:rPr>
          <w:rFonts w:ascii="Calibri" w:hAnsi="Calibri" w:cs="Calibri"/>
          <w:i/>
          <w:iCs/>
          <w:noProof/>
          <w:szCs w:val="24"/>
        </w:rPr>
        <w:t>J. Power Sources</w:t>
      </w:r>
      <w:r w:rsidRPr="00EC62EF">
        <w:rPr>
          <w:rFonts w:ascii="Calibri" w:hAnsi="Calibri" w:cs="Calibri"/>
          <w:noProof/>
          <w:szCs w:val="24"/>
        </w:rPr>
        <w:t>, vol. 196, no. 3, pp. 1279–1294, 2011.</w:t>
      </w:r>
    </w:p>
    <w:p w14:paraId="35CD79F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[110]</w:t>
      </w:r>
      <w:r w:rsidRPr="00EC62EF">
        <w:rPr>
          <w:rFonts w:ascii="Calibri" w:hAnsi="Calibri" w:cs="Calibri"/>
          <w:noProof/>
          <w:szCs w:val="24"/>
        </w:rPr>
        <w:tab/>
        <w:t xml:space="preserve">Y. H. Lee, H. Muroyama, T. Matsui, and K. Eguchi, “Degradation of nickel-yttria-stabilized zirconia anode in solid oxide fuel cells under changing temperature and humidity conditions,” </w:t>
      </w:r>
      <w:r w:rsidRPr="00EC62EF">
        <w:rPr>
          <w:rFonts w:ascii="Calibri" w:hAnsi="Calibri" w:cs="Calibri"/>
          <w:i/>
          <w:iCs/>
          <w:noProof/>
          <w:szCs w:val="24"/>
        </w:rPr>
        <w:t>J. Power Sources</w:t>
      </w:r>
      <w:r w:rsidRPr="00EC62EF">
        <w:rPr>
          <w:rFonts w:ascii="Calibri" w:hAnsi="Calibri" w:cs="Calibri"/>
          <w:noProof/>
          <w:szCs w:val="24"/>
        </w:rPr>
        <w:t>, vol. 262, pp. 451–456, 2014.</w:t>
      </w:r>
    </w:p>
    <w:p w14:paraId="26CC006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[111]</w:t>
      </w:r>
      <w:r w:rsidRPr="00EC62EF">
        <w:rPr>
          <w:rFonts w:ascii="Calibri" w:hAnsi="Calibri" w:cs="Calibri"/>
          <w:noProof/>
          <w:szCs w:val="24"/>
        </w:rPr>
        <w:tab/>
        <w:t xml:space="preserve">H. Yokokawa, K. Yamaji, M. E. Brito, H. Kishimoto, and T. Horita, “General considerations on degradation of Solid Oxide Fuel Cell anodes and cathodes due to impurities in gases,” </w:t>
      </w:r>
      <w:r w:rsidRPr="00EC62EF">
        <w:rPr>
          <w:rFonts w:ascii="Calibri" w:hAnsi="Calibri" w:cs="Calibri"/>
          <w:i/>
          <w:iCs/>
          <w:noProof/>
          <w:szCs w:val="24"/>
        </w:rPr>
        <w:t>J. Power Sources</w:t>
      </w:r>
      <w:r w:rsidRPr="00EC62EF">
        <w:rPr>
          <w:rFonts w:ascii="Calibri" w:hAnsi="Calibri" w:cs="Calibri"/>
          <w:noProof/>
          <w:szCs w:val="24"/>
        </w:rPr>
        <w:t>, vol. 196, no. 17, pp. 7070–7075, 2011.</w:t>
      </w:r>
    </w:p>
    <w:p w14:paraId="7B38077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[112]</w:t>
      </w:r>
      <w:r w:rsidRPr="00EC62EF">
        <w:rPr>
          <w:rFonts w:ascii="Calibri" w:hAnsi="Calibri" w:cs="Calibri"/>
          <w:noProof/>
          <w:szCs w:val="24"/>
        </w:rPr>
        <w:tab/>
        <w:t xml:space="preserve">J. Shin, M. Liu, G. Kim, T.-H. Lim, S. Sengodan, and M. Liu, “ Enhancing Sulfur Tolerance of a Ni-YSZ Anode through BaZr 0.1 Ce 0.7 Y 0.1 Yb 0.1 O  3− δ  Infiltration ,” </w:t>
      </w:r>
      <w:r w:rsidRPr="00EC62EF">
        <w:rPr>
          <w:rFonts w:ascii="Calibri" w:hAnsi="Calibri" w:cs="Calibri"/>
          <w:i/>
          <w:iCs/>
          <w:noProof/>
          <w:szCs w:val="24"/>
        </w:rPr>
        <w:t>J. Electrochem. Soc.</w:t>
      </w:r>
      <w:r w:rsidRPr="00EC62EF">
        <w:rPr>
          <w:rFonts w:ascii="Calibri" w:hAnsi="Calibri" w:cs="Calibri"/>
          <w:noProof/>
          <w:szCs w:val="24"/>
        </w:rPr>
        <w:t>, vol. 161, no. 5, pp. F668–F673, 2014.</w:t>
      </w:r>
    </w:p>
    <w:p w14:paraId="2F836C3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[113]</w:t>
      </w:r>
      <w:r w:rsidRPr="00EC62EF">
        <w:rPr>
          <w:rFonts w:ascii="Calibri" w:hAnsi="Calibri" w:cs="Calibri"/>
          <w:noProof/>
          <w:szCs w:val="24"/>
        </w:rPr>
        <w:tab/>
        <w:t xml:space="preserve">B. D. Madsen and S. A. Barnett, “The influence of NiO content on ceramic-based solid oxide fuel cell anodes,” in </w:t>
      </w:r>
      <w:r w:rsidRPr="00EC62EF">
        <w:rPr>
          <w:rFonts w:ascii="Calibri" w:hAnsi="Calibri" w:cs="Calibri"/>
          <w:i/>
          <w:iCs/>
          <w:noProof/>
          <w:szCs w:val="24"/>
        </w:rPr>
        <w:t>Proceedings - Electrochemical Society</w:t>
      </w:r>
      <w:r w:rsidRPr="00EC62EF">
        <w:rPr>
          <w:rFonts w:ascii="Calibri" w:hAnsi="Calibri" w:cs="Calibri"/>
          <w:noProof/>
          <w:szCs w:val="24"/>
        </w:rPr>
        <w:t>, 2005, vol. PV 2005-07, pp. 1185–1194.</w:t>
      </w:r>
    </w:p>
    <w:p w14:paraId="5FDA9FB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[114]</w:t>
      </w:r>
      <w:r w:rsidRPr="00EC62EF">
        <w:rPr>
          <w:rFonts w:ascii="Calibri" w:hAnsi="Calibri" w:cs="Calibri"/>
          <w:noProof/>
          <w:szCs w:val="24"/>
        </w:rPr>
        <w:tab/>
        <w:t xml:space="preserve">Y. Zhang, B. Liu, B. Tu, Y. Dong, and M. Cheng, “Understanding of redox behavior of Ni–YSZ cermets,” </w:t>
      </w:r>
      <w:r w:rsidRPr="00EC62EF">
        <w:rPr>
          <w:rFonts w:ascii="Calibri" w:hAnsi="Calibri" w:cs="Calibri"/>
          <w:i/>
          <w:iCs/>
          <w:noProof/>
          <w:szCs w:val="24"/>
        </w:rPr>
        <w:t>Solid State Ionics</w:t>
      </w:r>
      <w:r w:rsidRPr="00EC62EF">
        <w:rPr>
          <w:rFonts w:ascii="Calibri" w:hAnsi="Calibri" w:cs="Calibri"/>
          <w:noProof/>
          <w:szCs w:val="24"/>
        </w:rPr>
        <w:t>, vol. 180, no. 36–39, pp. 1580–1586, Dec. 2009.</w:t>
      </w:r>
    </w:p>
    <w:p w14:paraId="612D27D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[115]</w:t>
      </w:r>
      <w:r w:rsidRPr="00EC62EF">
        <w:rPr>
          <w:rFonts w:ascii="Calibri" w:hAnsi="Calibri" w:cs="Calibri"/>
          <w:noProof/>
          <w:szCs w:val="24"/>
        </w:rPr>
        <w:tab/>
        <w:t xml:space="preserve">A. Faes, A. Hessler-Wyser, A. Zryd, and J. Van Herle, “A review of RedOx cycling of solid oxide fuel cells anode,” </w:t>
      </w:r>
      <w:r w:rsidRPr="00EC62EF">
        <w:rPr>
          <w:rFonts w:ascii="Calibri" w:hAnsi="Calibri" w:cs="Calibri"/>
          <w:i/>
          <w:iCs/>
          <w:noProof/>
          <w:szCs w:val="24"/>
        </w:rPr>
        <w:t>Membranes (Basel).</w:t>
      </w:r>
      <w:r w:rsidRPr="00EC62EF">
        <w:rPr>
          <w:rFonts w:ascii="Calibri" w:hAnsi="Calibri" w:cs="Calibri"/>
          <w:noProof/>
          <w:szCs w:val="24"/>
        </w:rPr>
        <w:t>, vol. 2, no. 3, pp. 585–664, 2012.</w:t>
      </w:r>
    </w:p>
    <w:p w14:paraId="1C5F059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[116]</w:t>
      </w:r>
      <w:r w:rsidRPr="00EC62EF">
        <w:rPr>
          <w:rFonts w:ascii="Calibri" w:hAnsi="Calibri" w:cs="Calibri"/>
          <w:noProof/>
          <w:szCs w:val="24"/>
        </w:rPr>
        <w:tab/>
        <w:t xml:space="preserve">G. Prieto, M. Shakeri, K. P. De Jong, and P. E. De Jongh, “Quantitative relationship between support porosity and the stability of pore-confined metal nanoparticles studied on CuZnO/SiO2 methanol synthesis catalysts,” </w:t>
      </w:r>
      <w:r w:rsidRPr="00EC62EF">
        <w:rPr>
          <w:rFonts w:ascii="Calibri" w:hAnsi="Calibri" w:cs="Calibri"/>
          <w:i/>
          <w:iCs/>
          <w:noProof/>
          <w:szCs w:val="24"/>
        </w:rPr>
        <w:t>ACS Nano</w:t>
      </w:r>
      <w:r w:rsidRPr="00EC62EF">
        <w:rPr>
          <w:rFonts w:ascii="Calibri" w:hAnsi="Calibri" w:cs="Calibri"/>
          <w:noProof/>
          <w:szCs w:val="24"/>
        </w:rPr>
        <w:t>, vol. 8, no. 3, pp. 2522–2531, 2014.</w:t>
      </w:r>
    </w:p>
    <w:p w14:paraId="0466C74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[117]</w:t>
      </w:r>
      <w:r w:rsidRPr="00EC62EF">
        <w:rPr>
          <w:rFonts w:ascii="Calibri" w:hAnsi="Calibri" w:cs="Calibri"/>
          <w:noProof/>
          <w:szCs w:val="24"/>
        </w:rPr>
        <w:tab/>
        <w:t xml:space="preserve">L. Holzer, B. Münch, B. Iwanschitz, M. Cantoni, T. Hocker, and T. Graule, “Quantitative relationships between composition, particle size, triple phase boundary length and surface area in nickel-cermet anodes for Solid Oxide Fuel Cells,” </w:t>
      </w:r>
      <w:r w:rsidRPr="00EC62EF">
        <w:rPr>
          <w:rFonts w:ascii="Calibri" w:hAnsi="Calibri" w:cs="Calibri"/>
          <w:i/>
          <w:iCs/>
          <w:noProof/>
          <w:szCs w:val="24"/>
        </w:rPr>
        <w:t>J. Power Sources</w:t>
      </w:r>
      <w:r w:rsidRPr="00EC62EF">
        <w:rPr>
          <w:rFonts w:ascii="Calibri" w:hAnsi="Calibri" w:cs="Calibri"/>
          <w:noProof/>
          <w:szCs w:val="24"/>
        </w:rPr>
        <w:t>, vol. 196, no. 17, pp. 7076–7089, 2011.</w:t>
      </w:r>
    </w:p>
    <w:p w14:paraId="75F6C81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[118]</w:t>
      </w:r>
      <w:r w:rsidRPr="00EC62EF">
        <w:rPr>
          <w:rFonts w:ascii="Calibri" w:hAnsi="Calibri" w:cs="Calibri"/>
          <w:noProof/>
          <w:szCs w:val="24"/>
        </w:rPr>
        <w:tab/>
        <w:t xml:space="preserve">T. W. Hansen, A. T. Delariva, S. R. Challa, and A. K. Datye, “Sintering of catalytic nanoparticles: particle migration or Ostwald ripening?,” </w:t>
      </w:r>
      <w:r w:rsidRPr="00EC62EF">
        <w:rPr>
          <w:rFonts w:ascii="Calibri" w:hAnsi="Calibri" w:cs="Calibri"/>
          <w:i/>
          <w:iCs/>
          <w:noProof/>
          <w:szCs w:val="24"/>
        </w:rPr>
        <w:t>Acc Chem Res</w:t>
      </w:r>
      <w:r w:rsidRPr="00EC62EF">
        <w:rPr>
          <w:rFonts w:ascii="Calibri" w:hAnsi="Calibri" w:cs="Calibri"/>
          <w:noProof/>
          <w:szCs w:val="24"/>
        </w:rPr>
        <w:t>, vol. 46, no. 8, pp. 1720–1730, 2013.</w:t>
      </w:r>
    </w:p>
    <w:p w14:paraId="17667B5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[119]</w:t>
      </w:r>
      <w:r w:rsidRPr="00EC62EF">
        <w:rPr>
          <w:rFonts w:ascii="Calibri" w:hAnsi="Calibri" w:cs="Calibri"/>
          <w:noProof/>
          <w:szCs w:val="24"/>
        </w:rPr>
        <w:tab/>
        <w:t xml:space="preserve">P. A. Connor, J. T. S. Irvine, J. Ma, C. Jiang, and M. Cassidy, “Highly efficient, coking-resistant SOFCs for energy conversion using biogas fuels,” </w:t>
      </w:r>
      <w:r w:rsidRPr="00EC62EF">
        <w:rPr>
          <w:rFonts w:ascii="Calibri" w:hAnsi="Calibri" w:cs="Calibri"/>
          <w:i/>
          <w:iCs/>
          <w:noProof/>
          <w:szCs w:val="24"/>
        </w:rPr>
        <w:t>J. Mater. Chem. A</w:t>
      </w:r>
      <w:r w:rsidRPr="00EC62EF">
        <w:rPr>
          <w:rFonts w:ascii="Calibri" w:hAnsi="Calibri" w:cs="Calibri"/>
          <w:noProof/>
          <w:szCs w:val="24"/>
        </w:rPr>
        <w:t>, vol. 3, no. 37, pp. 19068–19076, 2015.</w:t>
      </w:r>
    </w:p>
    <w:p w14:paraId="5196649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[120]</w:t>
      </w:r>
      <w:r w:rsidRPr="00EC62EF">
        <w:rPr>
          <w:rFonts w:ascii="Calibri" w:hAnsi="Calibri" w:cs="Calibri"/>
          <w:noProof/>
          <w:szCs w:val="24"/>
        </w:rPr>
        <w:tab/>
        <w:t xml:space="preserve">E. Wachsman, T. Ishihara, and J. Kilner, “Low-temperature solid-oxide fuel cells,” </w:t>
      </w:r>
      <w:r w:rsidRPr="00EC62EF">
        <w:rPr>
          <w:rFonts w:ascii="Calibri" w:hAnsi="Calibri" w:cs="Calibri"/>
          <w:i/>
          <w:iCs/>
          <w:noProof/>
          <w:szCs w:val="24"/>
        </w:rPr>
        <w:t>MRS Bull.</w:t>
      </w:r>
      <w:r w:rsidRPr="00EC62EF">
        <w:rPr>
          <w:rFonts w:ascii="Calibri" w:hAnsi="Calibri" w:cs="Calibri"/>
          <w:noProof/>
          <w:szCs w:val="24"/>
        </w:rPr>
        <w:t>, vol. 39, no. 9, pp. 773–779, 2014.</w:t>
      </w:r>
    </w:p>
    <w:p w14:paraId="119DC03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[121]</w:t>
      </w:r>
      <w:r w:rsidRPr="00EC62EF">
        <w:rPr>
          <w:rFonts w:ascii="Calibri" w:hAnsi="Calibri" w:cs="Calibri"/>
          <w:noProof/>
          <w:szCs w:val="24"/>
        </w:rPr>
        <w:tab/>
        <w:t xml:space="preserve">K. T. Lee, A. A. Lidie, S. Y. Jeon, G. T. Hitz, S. J. Song, and E. D. Wachsman, “Highly functional </w:t>
      </w:r>
      <w:r w:rsidRPr="00EC62EF">
        <w:rPr>
          <w:rFonts w:ascii="Calibri" w:hAnsi="Calibri" w:cs="Calibri"/>
          <w:noProof/>
          <w:szCs w:val="24"/>
        </w:rPr>
        <w:lastRenderedPageBreak/>
        <w:t xml:space="preserve">nano-scale stabilized bismuth oxides via reverse strike co-precipitation for solid oxide fuel cells,” </w:t>
      </w:r>
      <w:r w:rsidRPr="00EC62EF">
        <w:rPr>
          <w:rFonts w:ascii="Calibri" w:hAnsi="Calibri" w:cs="Calibri"/>
          <w:i/>
          <w:iCs/>
          <w:noProof/>
          <w:szCs w:val="24"/>
        </w:rPr>
        <w:t>J. Mater. Chem. A</w:t>
      </w:r>
      <w:r w:rsidRPr="00EC62EF">
        <w:rPr>
          <w:rFonts w:ascii="Calibri" w:hAnsi="Calibri" w:cs="Calibri"/>
          <w:noProof/>
          <w:szCs w:val="24"/>
        </w:rPr>
        <w:t>, vol. 1, no. 20, pp. 6199–6207, 2013.</w:t>
      </w:r>
    </w:p>
    <w:p w14:paraId="6BE48D4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[122]</w:t>
      </w:r>
      <w:r w:rsidRPr="00EC62EF">
        <w:rPr>
          <w:rFonts w:ascii="Calibri" w:hAnsi="Calibri" w:cs="Calibri"/>
          <w:noProof/>
          <w:szCs w:val="24"/>
        </w:rPr>
        <w:tab/>
        <w:t xml:space="preserve">A. J. Samson, P. Hjalmarsson, M. Sogaard, J. Hjelm, and N. Bonanos, “Highly durable anode supported solid oxide fuel cell with an infiltrated cathode,” </w:t>
      </w:r>
      <w:r w:rsidRPr="00EC62EF">
        <w:rPr>
          <w:rFonts w:ascii="Calibri" w:hAnsi="Calibri" w:cs="Calibri"/>
          <w:i/>
          <w:iCs/>
          <w:noProof/>
          <w:szCs w:val="24"/>
        </w:rPr>
        <w:t>J. Power Sources</w:t>
      </w:r>
      <w:r w:rsidRPr="00EC62EF">
        <w:rPr>
          <w:rFonts w:ascii="Calibri" w:hAnsi="Calibri" w:cs="Calibri"/>
          <w:noProof/>
          <w:szCs w:val="24"/>
        </w:rPr>
        <w:t>, vol. 216, pp. 124–130, 2012.</w:t>
      </w:r>
    </w:p>
    <w:p w14:paraId="3A0D6BB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[123]</w:t>
      </w:r>
      <w:r w:rsidRPr="00EC62EF">
        <w:rPr>
          <w:rFonts w:ascii="Calibri" w:hAnsi="Calibri" w:cs="Calibri"/>
          <w:noProof/>
          <w:szCs w:val="24"/>
        </w:rPr>
        <w:tab/>
        <w:t xml:space="preserve">T. B. Hertz, T. Heiredal-Clausen, and R. Küngas, “Characterization and Stack Testing of Solid Oxide Fuel Cells with Cathodes Prepared by Infiltration,” </w:t>
      </w:r>
      <w:r w:rsidRPr="00EC62EF">
        <w:rPr>
          <w:rFonts w:ascii="Calibri" w:hAnsi="Calibri" w:cs="Calibri"/>
          <w:i/>
          <w:iCs/>
          <w:noProof/>
          <w:szCs w:val="24"/>
        </w:rPr>
        <w:t>J. Electrochem. Soc.</w:t>
      </w:r>
      <w:r w:rsidRPr="00EC62EF">
        <w:rPr>
          <w:rFonts w:ascii="Calibri" w:hAnsi="Calibri" w:cs="Calibri"/>
          <w:noProof/>
          <w:szCs w:val="24"/>
        </w:rPr>
        <w:t>, vol. 163, no. 2, pp. F38–F43, 2016.</w:t>
      </w:r>
    </w:p>
    <w:p w14:paraId="2FEADDF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[124]</w:t>
      </w:r>
      <w:r w:rsidRPr="00EC62EF">
        <w:rPr>
          <w:rFonts w:ascii="Calibri" w:hAnsi="Calibri" w:cs="Calibri"/>
          <w:noProof/>
          <w:szCs w:val="24"/>
        </w:rPr>
        <w:tab/>
        <w:t xml:space="preserve">M. C. Tucker, G. Y. Lau, C. P. Jacobson, L. C. DeJonghe, and S. J. Visco, “Performance of metal-supported SOFCs with infiltrated electrodes,” </w:t>
      </w:r>
      <w:r w:rsidRPr="00EC62EF">
        <w:rPr>
          <w:rFonts w:ascii="Calibri" w:hAnsi="Calibri" w:cs="Calibri"/>
          <w:i/>
          <w:iCs/>
          <w:noProof/>
          <w:szCs w:val="24"/>
        </w:rPr>
        <w:t>J. Power Sources</w:t>
      </w:r>
      <w:r w:rsidRPr="00EC62EF">
        <w:rPr>
          <w:rFonts w:ascii="Calibri" w:hAnsi="Calibri" w:cs="Calibri"/>
          <w:noProof/>
          <w:szCs w:val="24"/>
        </w:rPr>
        <w:t>, vol. 171, no. 2, pp. 477–482, 2007.</w:t>
      </w:r>
    </w:p>
    <w:p w14:paraId="60514DC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[125]</w:t>
      </w:r>
      <w:r w:rsidRPr="00EC62EF">
        <w:rPr>
          <w:rFonts w:ascii="Calibri" w:hAnsi="Calibri" w:cs="Calibri"/>
          <w:noProof/>
          <w:szCs w:val="24"/>
        </w:rPr>
        <w:tab/>
        <w:t xml:space="preserve">K. S. Howe, A. R. Hanifi, K. Kendall, M. Zazulak, T. H. Etsell, and P. Sarkar, “Performance of microtubular SOFCs with infiltrated electrodes under thermal cycling,” </w:t>
      </w:r>
      <w:r w:rsidRPr="00EC62EF">
        <w:rPr>
          <w:rFonts w:ascii="Calibri" w:hAnsi="Calibri" w:cs="Calibri"/>
          <w:i/>
          <w:iCs/>
          <w:noProof/>
          <w:szCs w:val="24"/>
        </w:rPr>
        <w:t>Int. J. Hydrogen Energy</w:t>
      </w:r>
      <w:r w:rsidRPr="00EC62EF">
        <w:rPr>
          <w:rFonts w:ascii="Calibri" w:hAnsi="Calibri" w:cs="Calibri"/>
          <w:noProof/>
          <w:szCs w:val="24"/>
        </w:rPr>
        <w:t>, vol. 38, no. 2, pp. 1058–1067, 2013.</w:t>
      </w:r>
    </w:p>
    <w:p w14:paraId="2A2296D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[126]</w:t>
      </w:r>
      <w:r w:rsidRPr="00EC62EF">
        <w:rPr>
          <w:rFonts w:ascii="Calibri" w:hAnsi="Calibri" w:cs="Calibri"/>
          <w:noProof/>
          <w:szCs w:val="24"/>
        </w:rPr>
        <w:tab/>
        <w:t xml:space="preserve">S. P. Jiang, “Nanoscale and nano-structured electrodes of solid oxide fuel cells by infiltration: Advances and challenges,” </w:t>
      </w:r>
      <w:r w:rsidRPr="00EC62EF">
        <w:rPr>
          <w:rFonts w:ascii="Calibri" w:hAnsi="Calibri" w:cs="Calibri"/>
          <w:i/>
          <w:iCs/>
          <w:noProof/>
          <w:szCs w:val="24"/>
        </w:rPr>
        <w:t>Int. J. Hydrogen Energy</w:t>
      </w:r>
      <w:r w:rsidRPr="00EC62EF">
        <w:rPr>
          <w:rFonts w:ascii="Calibri" w:hAnsi="Calibri" w:cs="Calibri"/>
          <w:noProof/>
          <w:szCs w:val="24"/>
        </w:rPr>
        <w:t>, vol. 37, no. 1, pp. 449–470, 2012.</w:t>
      </w:r>
    </w:p>
    <w:p w14:paraId="0C01F9D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[127]</w:t>
      </w:r>
      <w:r w:rsidRPr="00EC62EF">
        <w:rPr>
          <w:rFonts w:ascii="Calibri" w:hAnsi="Calibri" w:cs="Calibri"/>
          <w:noProof/>
          <w:szCs w:val="24"/>
        </w:rPr>
        <w:tab/>
        <w:t xml:space="preserve">M. Ivanova </w:t>
      </w:r>
      <w:r w:rsidRPr="00EC62EF">
        <w:rPr>
          <w:rFonts w:ascii="Calibri" w:hAnsi="Calibri" w:cs="Calibri"/>
          <w:i/>
          <w:iCs/>
          <w:noProof/>
          <w:szCs w:val="24"/>
        </w:rPr>
        <w:t>et al.</w:t>
      </w:r>
      <w:r w:rsidRPr="00EC62EF">
        <w:rPr>
          <w:rFonts w:ascii="Calibri" w:hAnsi="Calibri" w:cs="Calibri"/>
          <w:noProof/>
          <w:szCs w:val="24"/>
        </w:rPr>
        <w:t xml:space="preserve">, “Ceramic Materials For Energy and Environmental Applications: Functionalizing of Properties by Tailored Compositions,” in </w:t>
      </w:r>
      <w:r w:rsidRPr="00EC62EF">
        <w:rPr>
          <w:rFonts w:ascii="Calibri" w:hAnsi="Calibri" w:cs="Calibri"/>
          <w:i/>
          <w:iCs/>
          <w:noProof/>
          <w:szCs w:val="24"/>
        </w:rPr>
        <w:t>Doping: Properties, Mechanisms and Applications</w:t>
      </w:r>
      <w:r w:rsidRPr="00EC62EF">
        <w:rPr>
          <w:rFonts w:ascii="Calibri" w:hAnsi="Calibri" w:cs="Calibri"/>
          <w:noProof/>
          <w:szCs w:val="24"/>
        </w:rPr>
        <w:t>, 2013, pp. 221–276.</w:t>
      </w:r>
    </w:p>
    <w:p w14:paraId="42D9B1D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[128]</w:t>
      </w:r>
      <w:r w:rsidRPr="00EC62EF">
        <w:rPr>
          <w:rFonts w:ascii="Calibri" w:hAnsi="Calibri" w:cs="Calibri"/>
          <w:noProof/>
          <w:szCs w:val="24"/>
        </w:rPr>
        <w:tab/>
        <w:t xml:space="preserve">S. P. Jiang, Y. Y. Duan, and J. G. Love, “Fabrication of High-Performance Ni/Y[sub 2]O[sub 3]-ZrO[sub 2] Cermet Anodes of Solid Oxide Fuel Cells by Ion Impregnation,” </w:t>
      </w:r>
      <w:r w:rsidRPr="00EC62EF">
        <w:rPr>
          <w:rFonts w:ascii="Calibri" w:hAnsi="Calibri" w:cs="Calibri"/>
          <w:i/>
          <w:iCs/>
          <w:noProof/>
          <w:szCs w:val="24"/>
        </w:rPr>
        <w:t>J. Electrochem. Soc.</w:t>
      </w:r>
      <w:r w:rsidRPr="00EC62EF">
        <w:rPr>
          <w:rFonts w:ascii="Calibri" w:hAnsi="Calibri" w:cs="Calibri"/>
          <w:noProof/>
          <w:szCs w:val="24"/>
        </w:rPr>
        <w:t>, vol. 149, no. 9, p. A1175, 2002.</w:t>
      </w:r>
    </w:p>
    <w:p w14:paraId="3488B36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[129]</w:t>
      </w:r>
      <w:r w:rsidRPr="00EC62EF">
        <w:rPr>
          <w:rFonts w:ascii="Calibri" w:hAnsi="Calibri" w:cs="Calibri"/>
          <w:noProof/>
          <w:szCs w:val="24"/>
        </w:rPr>
        <w:tab/>
        <w:t xml:space="preserve">J. Kim </w:t>
      </w:r>
      <w:r w:rsidRPr="00EC62EF">
        <w:rPr>
          <w:rFonts w:ascii="Calibri" w:hAnsi="Calibri" w:cs="Calibri"/>
          <w:i/>
          <w:iCs/>
          <w:noProof/>
          <w:szCs w:val="24"/>
        </w:rPr>
        <w:t>et al.</w:t>
      </w:r>
      <w:r w:rsidRPr="00EC62EF">
        <w:rPr>
          <w:rFonts w:ascii="Calibri" w:hAnsi="Calibri" w:cs="Calibri"/>
          <w:noProof/>
          <w:szCs w:val="24"/>
        </w:rPr>
        <w:t xml:space="preserve">, “Enhanced sinterability and electrochemical performance of solid oxide fuel cells via a roll calendering process,” </w:t>
      </w:r>
      <w:r w:rsidRPr="00EC62EF">
        <w:rPr>
          <w:rFonts w:ascii="Calibri" w:hAnsi="Calibri" w:cs="Calibri"/>
          <w:i/>
          <w:iCs/>
          <w:noProof/>
          <w:szCs w:val="24"/>
        </w:rPr>
        <w:t>J. Mater. Chem. A</w:t>
      </w:r>
      <w:r w:rsidRPr="00EC62EF">
        <w:rPr>
          <w:rFonts w:ascii="Calibri" w:hAnsi="Calibri" w:cs="Calibri"/>
          <w:noProof/>
          <w:szCs w:val="24"/>
        </w:rPr>
        <w:t>, vol. 7, no. 16, pp. 9958–9967, 2019.</w:t>
      </w:r>
    </w:p>
    <w:p w14:paraId="7B56C9D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[130]</w:t>
      </w:r>
      <w:r w:rsidRPr="00EC62EF">
        <w:rPr>
          <w:rFonts w:ascii="Calibri" w:hAnsi="Calibri" w:cs="Calibri"/>
          <w:noProof/>
          <w:szCs w:val="24"/>
        </w:rPr>
        <w:tab/>
        <w:t>Primdahl Søren, “Nickel/yttria-stabilised zirconia cermet anodes for solid oxide fuel cells,” University of Twente, 1999.</w:t>
      </w:r>
    </w:p>
    <w:p w14:paraId="4B89EDA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[131]</w:t>
      </w:r>
      <w:r w:rsidRPr="00EC62EF">
        <w:rPr>
          <w:rFonts w:ascii="Calibri" w:hAnsi="Calibri" w:cs="Calibri"/>
          <w:noProof/>
          <w:szCs w:val="24"/>
        </w:rPr>
        <w:tab/>
        <w:t xml:space="preserve">S. Primdahl and M. Mogensen, “Durability and thermal cycling of Ni/YSZ cermet anodes for solid oxide fuel cells,” </w:t>
      </w:r>
      <w:r w:rsidRPr="00EC62EF">
        <w:rPr>
          <w:rFonts w:ascii="Calibri" w:hAnsi="Calibri" w:cs="Calibri"/>
          <w:i/>
          <w:iCs/>
          <w:noProof/>
          <w:szCs w:val="24"/>
        </w:rPr>
        <w:t>J. Appl. Electrochem.</w:t>
      </w:r>
      <w:r w:rsidRPr="00EC62EF">
        <w:rPr>
          <w:rFonts w:ascii="Calibri" w:hAnsi="Calibri" w:cs="Calibri"/>
          <w:noProof/>
          <w:szCs w:val="24"/>
        </w:rPr>
        <w:t>, vol. 30, no. 2, pp. 247–257, 2000.</w:t>
      </w:r>
    </w:p>
    <w:p w14:paraId="056F3AD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[132]</w:t>
      </w:r>
      <w:r w:rsidRPr="00EC62EF">
        <w:rPr>
          <w:rFonts w:ascii="Calibri" w:hAnsi="Calibri" w:cs="Calibri"/>
          <w:noProof/>
          <w:szCs w:val="24"/>
        </w:rPr>
        <w:tab/>
        <w:t>Primdahl Søren, “Nickel/yttria-stabilised zirconia cermet anodes for solid oxide fuel cells,” University of Twente, 1999.</w:t>
      </w:r>
    </w:p>
    <w:p w14:paraId="1731512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[133]</w:t>
      </w:r>
      <w:r w:rsidRPr="00EC62EF">
        <w:rPr>
          <w:rFonts w:ascii="Calibri" w:hAnsi="Calibri" w:cs="Calibri"/>
          <w:noProof/>
          <w:szCs w:val="24"/>
        </w:rPr>
        <w:tab/>
        <w:t xml:space="preserve">B. de Boer, M. Gonzalez, H. J. M. Bouwmeester, and H. Verweij, “Effect of the presence of fine YSZ particles on the performance of porous nickel electrodes,” </w:t>
      </w:r>
      <w:r w:rsidRPr="00EC62EF">
        <w:rPr>
          <w:rFonts w:ascii="Calibri" w:hAnsi="Calibri" w:cs="Calibri"/>
          <w:i/>
          <w:iCs/>
          <w:noProof/>
          <w:szCs w:val="24"/>
        </w:rPr>
        <w:t>Solid State Ionics</w:t>
      </w:r>
      <w:r w:rsidRPr="00EC62EF">
        <w:rPr>
          <w:rFonts w:ascii="Calibri" w:hAnsi="Calibri" w:cs="Calibri"/>
          <w:noProof/>
          <w:szCs w:val="24"/>
        </w:rPr>
        <w:t>, vol. 127, no. 3, pp. 269–276, 2000.</w:t>
      </w:r>
    </w:p>
    <w:p w14:paraId="5A021E9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[134]</w:t>
      </w:r>
      <w:r w:rsidRPr="00EC62EF">
        <w:rPr>
          <w:rFonts w:ascii="Calibri" w:hAnsi="Calibri" w:cs="Calibri"/>
          <w:noProof/>
          <w:szCs w:val="24"/>
        </w:rPr>
        <w:tab/>
        <w:t xml:space="preserve">J. R. Wilson, J. S. Cronin, and S. A. Barnett, “Linking the microstructure, performance and durability of Ni-yttria-stabilized zirconia solid oxide fuel cell anodes using three-dimensional focused ion beam-scanning electron microscopy imaging,” </w:t>
      </w:r>
      <w:r w:rsidRPr="00EC62EF">
        <w:rPr>
          <w:rFonts w:ascii="Calibri" w:hAnsi="Calibri" w:cs="Calibri"/>
          <w:i/>
          <w:iCs/>
          <w:noProof/>
          <w:szCs w:val="24"/>
        </w:rPr>
        <w:t>Scr. Mater.</w:t>
      </w:r>
      <w:r w:rsidRPr="00EC62EF">
        <w:rPr>
          <w:rFonts w:ascii="Calibri" w:hAnsi="Calibri" w:cs="Calibri"/>
          <w:noProof/>
          <w:szCs w:val="24"/>
        </w:rPr>
        <w:t>, vol. 65, no. 2, pp. 67–72, 2011.</w:t>
      </w:r>
    </w:p>
    <w:p w14:paraId="1E5CDBF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[135]</w:t>
      </w:r>
      <w:r w:rsidRPr="00EC62EF">
        <w:rPr>
          <w:rFonts w:ascii="Calibri" w:hAnsi="Calibri" w:cs="Calibri"/>
          <w:noProof/>
          <w:szCs w:val="24"/>
        </w:rPr>
        <w:tab/>
        <w:t xml:space="preserve">B. Kenney, M. Valdmanis, C. Baker, J. G. Pharoah, and K. Karan, “Computation of TPB length, surface area and pore size from numerical reconstruction of composite solid oxide fuel cell electrodes,” </w:t>
      </w:r>
      <w:r w:rsidRPr="00EC62EF">
        <w:rPr>
          <w:rFonts w:ascii="Calibri" w:hAnsi="Calibri" w:cs="Calibri"/>
          <w:i/>
          <w:iCs/>
          <w:noProof/>
          <w:szCs w:val="24"/>
        </w:rPr>
        <w:t>J. Power Sources</w:t>
      </w:r>
      <w:r w:rsidRPr="00EC62EF">
        <w:rPr>
          <w:rFonts w:ascii="Calibri" w:hAnsi="Calibri" w:cs="Calibri"/>
          <w:noProof/>
          <w:szCs w:val="24"/>
        </w:rPr>
        <w:t>, vol. 189, no. 2, pp. 1051–1059, 2009.</w:t>
      </w:r>
    </w:p>
    <w:p w14:paraId="6B6EE99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[136]</w:t>
      </w:r>
      <w:r w:rsidRPr="00EC62EF">
        <w:rPr>
          <w:rFonts w:ascii="Calibri" w:hAnsi="Calibri" w:cs="Calibri"/>
          <w:noProof/>
          <w:szCs w:val="24"/>
        </w:rPr>
        <w:tab/>
        <w:t xml:space="preserve">Y. K. Chen-Wiegart, S. A. Barnett, J. S. Cronin, J. Wang, and D. Kennouche, “Three-Dimensional Microstructural Evolution of Ni- Yttria-Stabilized Zirconia Solid Oxide Fuel Cell Anodes At Elevated Temperatures,” </w:t>
      </w:r>
      <w:r w:rsidRPr="00EC62EF">
        <w:rPr>
          <w:rFonts w:ascii="Calibri" w:hAnsi="Calibri" w:cs="Calibri"/>
          <w:i/>
          <w:iCs/>
          <w:noProof/>
          <w:szCs w:val="24"/>
        </w:rPr>
        <w:t>J. Electrochem. Soc.</w:t>
      </w:r>
      <w:r w:rsidRPr="00EC62EF">
        <w:rPr>
          <w:rFonts w:ascii="Calibri" w:hAnsi="Calibri" w:cs="Calibri"/>
          <w:noProof/>
          <w:szCs w:val="24"/>
        </w:rPr>
        <w:t xml:space="preserve">, vol. 160, no. 11, pp. F1293–F1304, </w:t>
      </w:r>
      <w:r w:rsidRPr="00EC62EF">
        <w:rPr>
          <w:rFonts w:ascii="Calibri" w:hAnsi="Calibri" w:cs="Calibri"/>
          <w:noProof/>
          <w:szCs w:val="24"/>
        </w:rPr>
        <w:lastRenderedPageBreak/>
        <w:t>2013.</w:t>
      </w:r>
    </w:p>
    <w:p w14:paraId="190450C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[137]</w:t>
      </w:r>
      <w:r w:rsidRPr="00EC62EF">
        <w:rPr>
          <w:rFonts w:ascii="Calibri" w:hAnsi="Calibri" w:cs="Calibri"/>
          <w:noProof/>
          <w:szCs w:val="24"/>
        </w:rPr>
        <w:tab/>
        <w:t xml:space="preserve">R. J. Gorte and J. M. Vohs, “Nanostructured anodes for solid oxide fuel cells,” </w:t>
      </w:r>
      <w:r w:rsidRPr="00EC62EF">
        <w:rPr>
          <w:rFonts w:ascii="Calibri" w:hAnsi="Calibri" w:cs="Calibri"/>
          <w:i/>
          <w:iCs/>
          <w:noProof/>
          <w:szCs w:val="24"/>
        </w:rPr>
        <w:t>Curr. Opin. Colloid Interface Sci.</w:t>
      </w:r>
      <w:r w:rsidRPr="00EC62EF">
        <w:rPr>
          <w:rFonts w:ascii="Calibri" w:hAnsi="Calibri" w:cs="Calibri"/>
          <w:noProof/>
          <w:szCs w:val="24"/>
        </w:rPr>
        <w:t>, vol. 14, no. 4, pp. 236–244, 2009.</w:t>
      </w:r>
    </w:p>
    <w:p w14:paraId="559B8CC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[138]</w:t>
      </w:r>
      <w:r w:rsidRPr="00EC62EF">
        <w:rPr>
          <w:rFonts w:ascii="Calibri" w:hAnsi="Calibri" w:cs="Calibri"/>
          <w:noProof/>
          <w:szCs w:val="24"/>
        </w:rPr>
        <w:tab/>
        <w:t xml:space="preserve">E. Wachsman, T. Ishihara, and J. Kilner, “Low-temperature solid-oxide fuel cells,” </w:t>
      </w:r>
      <w:r w:rsidRPr="00EC62EF">
        <w:rPr>
          <w:rFonts w:ascii="Calibri" w:hAnsi="Calibri" w:cs="Calibri"/>
          <w:i/>
          <w:iCs/>
          <w:noProof/>
          <w:szCs w:val="24"/>
        </w:rPr>
        <w:t>MRS Bull.</w:t>
      </w:r>
      <w:r w:rsidRPr="00EC62EF">
        <w:rPr>
          <w:rFonts w:ascii="Calibri" w:hAnsi="Calibri" w:cs="Calibri"/>
          <w:noProof/>
          <w:szCs w:val="24"/>
        </w:rPr>
        <w:t>, vol. 39, no. 9, pp. 773–779, 2014.</w:t>
      </w:r>
    </w:p>
    <w:p w14:paraId="4B7487C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[139]</w:t>
      </w:r>
      <w:r w:rsidRPr="00EC62EF">
        <w:rPr>
          <w:rFonts w:ascii="Calibri" w:hAnsi="Calibri" w:cs="Calibri"/>
          <w:noProof/>
          <w:szCs w:val="24"/>
        </w:rPr>
        <w:tab/>
        <w:t xml:space="preserve">Ç. Timurkutluk </w:t>
      </w:r>
      <w:r w:rsidRPr="00EC62EF">
        <w:rPr>
          <w:rFonts w:ascii="Calibri" w:hAnsi="Calibri" w:cs="Calibri"/>
          <w:i/>
          <w:iCs/>
          <w:noProof/>
          <w:szCs w:val="24"/>
        </w:rPr>
        <w:t>et al.</w:t>
      </w:r>
      <w:r w:rsidRPr="00EC62EF">
        <w:rPr>
          <w:rFonts w:ascii="Calibri" w:hAnsi="Calibri" w:cs="Calibri"/>
          <w:noProof/>
          <w:szCs w:val="24"/>
        </w:rPr>
        <w:t xml:space="preserve">, “Effect of nano ion conductor infiltration on the performance of anode supported solid oxide fuel cells,” in </w:t>
      </w:r>
      <w:r w:rsidRPr="00EC62EF">
        <w:rPr>
          <w:rFonts w:ascii="Calibri" w:hAnsi="Calibri" w:cs="Calibri"/>
          <w:i/>
          <w:iCs/>
          <w:noProof/>
          <w:szCs w:val="24"/>
        </w:rPr>
        <w:t>11th International Symposium on Solid Oxide Fuel Cells (SOFC-XI)- 216th ECS Meeting</w:t>
      </w:r>
      <w:r w:rsidRPr="00EC62EF">
        <w:rPr>
          <w:rFonts w:ascii="Calibri" w:hAnsi="Calibri" w:cs="Calibri"/>
          <w:noProof/>
          <w:szCs w:val="24"/>
        </w:rPr>
        <w:t>, 2009, 2 PART 1., vol. 25, pp. 559–566.</w:t>
      </w:r>
    </w:p>
    <w:p w14:paraId="5088F2A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[140]</w:t>
      </w:r>
      <w:r w:rsidRPr="00EC62EF">
        <w:rPr>
          <w:rFonts w:ascii="Calibri" w:hAnsi="Calibri" w:cs="Calibri"/>
          <w:noProof/>
          <w:szCs w:val="24"/>
        </w:rPr>
        <w:tab/>
        <w:t xml:space="preserve">R. Craciun, S. Park, R. J. Gorte, J. M. Vohs, C. Wang, and W. L. Worrell, “Novel method for preparing anode cermets for solid oxide fuel cells,” </w:t>
      </w:r>
      <w:r w:rsidRPr="00EC62EF">
        <w:rPr>
          <w:rFonts w:ascii="Calibri" w:hAnsi="Calibri" w:cs="Calibri"/>
          <w:i/>
          <w:iCs/>
          <w:noProof/>
          <w:szCs w:val="24"/>
        </w:rPr>
        <w:t>J. Electrochem. Soc.</w:t>
      </w:r>
      <w:r w:rsidRPr="00EC62EF">
        <w:rPr>
          <w:rFonts w:ascii="Calibri" w:hAnsi="Calibri" w:cs="Calibri"/>
          <w:noProof/>
          <w:szCs w:val="24"/>
        </w:rPr>
        <w:t>, vol. 146, no. 11, pp. 4019–4022, 1999.</w:t>
      </w:r>
    </w:p>
    <w:p w14:paraId="30D2781E"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[141]</w:t>
      </w:r>
      <w:r w:rsidRPr="00EC62EF">
        <w:rPr>
          <w:rFonts w:ascii="Calibri" w:hAnsi="Calibri" w:cs="Calibri"/>
          <w:noProof/>
          <w:szCs w:val="24"/>
        </w:rPr>
        <w:tab/>
        <w:t xml:space="preserve">R. Craciun, “A Novel Method for Preparing Anode Cermets for Solid Oxide Fuel Cells,” </w:t>
      </w:r>
      <w:r w:rsidRPr="00EC62EF">
        <w:rPr>
          <w:rFonts w:ascii="Calibri" w:hAnsi="Calibri" w:cs="Calibri"/>
          <w:i/>
          <w:iCs/>
          <w:noProof/>
          <w:szCs w:val="24"/>
        </w:rPr>
        <w:t>J. Electrochem. Soc.</w:t>
      </w:r>
      <w:r w:rsidRPr="00EC62EF">
        <w:rPr>
          <w:rFonts w:ascii="Calibri" w:hAnsi="Calibri" w:cs="Calibri"/>
          <w:noProof/>
          <w:szCs w:val="24"/>
        </w:rPr>
        <w:t>, vol. 146, no. 11, p. 4019, 2002.</w:t>
      </w:r>
    </w:p>
    <w:p w14:paraId="1556E34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[142]</w:t>
      </w:r>
      <w:r w:rsidRPr="00EC62EF">
        <w:rPr>
          <w:rFonts w:ascii="Calibri" w:hAnsi="Calibri" w:cs="Calibri"/>
          <w:noProof/>
          <w:szCs w:val="24"/>
        </w:rPr>
        <w:tab/>
        <w:t xml:space="preserve">C. S. Ni, J. M. Vohs, R. J. Gorte, and J. T. S. Irvine, “Fabrication and characterisation of a large-area solid oxide fuel cell based on dual tape cast YSZ electrode skeleton supported YSZ electrolytes with vanadate and ferrite perovskite-impregnated anodes and cathodes,” </w:t>
      </w:r>
      <w:r w:rsidRPr="00EC62EF">
        <w:rPr>
          <w:rFonts w:ascii="Calibri" w:hAnsi="Calibri" w:cs="Calibri"/>
          <w:i/>
          <w:iCs/>
          <w:noProof/>
          <w:szCs w:val="24"/>
        </w:rPr>
        <w:t>J. Mater. Chem. A</w:t>
      </w:r>
      <w:r w:rsidRPr="00EC62EF">
        <w:rPr>
          <w:rFonts w:ascii="Calibri" w:hAnsi="Calibri" w:cs="Calibri"/>
          <w:noProof/>
          <w:szCs w:val="24"/>
        </w:rPr>
        <w:t>, vol. 2, no. 45, pp. 19150–19155, 2014.</w:t>
      </w:r>
    </w:p>
    <w:p w14:paraId="4158EB9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[143]</w:t>
      </w:r>
      <w:r w:rsidRPr="00EC62EF">
        <w:rPr>
          <w:rFonts w:ascii="Calibri" w:hAnsi="Calibri" w:cs="Calibri"/>
          <w:noProof/>
          <w:szCs w:val="24"/>
        </w:rPr>
        <w:tab/>
        <w:t xml:space="preserve">B. Timurkutluk, C. Timurkutluk, M. D. Mat, and Y. Kaplan, “Development of high-performance anode supported solid oxide fuel cell,” </w:t>
      </w:r>
      <w:r w:rsidRPr="00EC62EF">
        <w:rPr>
          <w:rFonts w:ascii="Calibri" w:hAnsi="Calibri" w:cs="Calibri"/>
          <w:i/>
          <w:iCs/>
          <w:noProof/>
          <w:szCs w:val="24"/>
        </w:rPr>
        <w:t>Int. J. Energy Res.</w:t>
      </w:r>
      <w:r w:rsidRPr="00EC62EF">
        <w:rPr>
          <w:rFonts w:ascii="Calibri" w:hAnsi="Calibri" w:cs="Calibri"/>
          <w:noProof/>
          <w:szCs w:val="24"/>
        </w:rPr>
        <w:t>, vol. 36, no. 15, pp. 1383–1387, 2012.</w:t>
      </w:r>
    </w:p>
    <w:p w14:paraId="0B53A5F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[144]</w:t>
      </w:r>
      <w:r w:rsidRPr="00EC62EF">
        <w:rPr>
          <w:rFonts w:ascii="Calibri" w:hAnsi="Calibri" w:cs="Calibri"/>
          <w:noProof/>
          <w:szCs w:val="24"/>
        </w:rPr>
        <w:tab/>
        <w:t xml:space="preserve">J. M. Vohs and R. J. Gorte, “High-performance SOFC cathodes prepared by infiltration,” </w:t>
      </w:r>
      <w:r w:rsidRPr="00EC62EF">
        <w:rPr>
          <w:rFonts w:ascii="Calibri" w:hAnsi="Calibri" w:cs="Calibri"/>
          <w:i/>
          <w:iCs/>
          <w:noProof/>
          <w:szCs w:val="24"/>
        </w:rPr>
        <w:t>Adv. Mater.</w:t>
      </w:r>
      <w:r w:rsidRPr="00EC62EF">
        <w:rPr>
          <w:rFonts w:ascii="Calibri" w:hAnsi="Calibri" w:cs="Calibri"/>
          <w:noProof/>
          <w:szCs w:val="24"/>
        </w:rPr>
        <w:t>, vol. 21, no. 9, pp. 943–956, 2009.</w:t>
      </w:r>
    </w:p>
    <w:p w14:paraId="231232C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[145]</w:t>
      </w:r>
      <w:r w:rsidRPr="00EC62EF">
        <w:rPr>
          <w:rFonts w:ascii="Calibri" w:hAnsi="Calibri" w:cs="Calibri"/>
          <w:noProof/>
          <w:szCs w:val="24"/>
        </w:rPr>
        <w:tab/>
        <w:t xml:space="preserve">Z. Liu, B. Liu, D. Ding, M. Liu, F. Chen, and C. Xia, “Review Fabrication and modification of solid oxide fuel cell anodes via wet impregnation/infiltration technique,” </w:t>
      </w:r>
      <w:r w:rsidRPr="00EC62EF">
        <w:rPr>
          <w:rFonts w:ascii="Calibri" w:hAnsi="Calibri" w:cs="Calibri"/>
          <w:i/>
          <w:iCs/>
          <w:noProof/>
          <w:szCs w:val="24"/>
        </w:rPr>
        <w:t>J. Power Sources</w:t>
      </w:r>
      <w:r w:rsidRPr="00EC62EF">
        <w:rPr>
          <w:rFonts w:ascii="Calibri" w:hAnsi="Calibri" w:cs="Calibri"/>
          <w:noProof/>
          <w:szCs w:val="24"/>
        </w:rPr>
        <w:t>, vol. 237, pp. 243–259, 2013.</w:t>
      </w:r>
    </w:p>
    <w:p w14:paraId="0C33759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[146]</w:t>
      </w:r>
      <w:r w:rsidRPr="00EC62EF">
        <w:rPr>
          <w:rFonts w:ascii="Calibri" w:hAnsi="Calibri" w:cs="Calibri"/>
          <w:noProof/>
          <w:szCs w:val="24"/>
        </w:rPr>
        <w:tab/>
        <w:t xml:space="preserve">Y. Li, Q. Liu, and W. Shen, “Morphology-dependent nanocatalysis: Metal particles,” </w:t>
      </w:r>
      <w:r w:rsidRPr="00EC62EF">
        <w:rPr>
          <w:rFonts w:ascii="Calibri" w:hAnsi="Calibri" w:cs="Calibri"/>
          <w:i/>
          <w:iCs/>
          <w:noProof/>
          <w:szCs w:val="24"/>
        </w:rPr>
        <w:t>Dalt. Trans.</w:t>
      </w:r>
      <w:r w:rsidRPr="00EC62EF">
        <w:rPr>
          <w:rFonts w:ascii="Calibri" w:hAnsi="Calibri" w:cs="Calibri"/>
          <w:noProof/>
          <w:szCs w:val="24"/>
        </w:rPr>
        <w:t>, vol. 40, no. 22, pp. 5811–5826, 2011.</w:t>
      </w:r>
    </w:p>
    <w:p w14:paraId="2D3294D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[147]</w:t>
      </w:r>
      <w:r w:rsidRPr="00EC62EF">
        <w:rPr>
          <w:rFonts w:ascii="Calibri" w:hAnsi="Calibri" w:cs="Calibri"/>
          <w:noProof/>
          <w:szCs w:val="24"/>
        </w:rPr>
        <w:tab/>
        <w:t xml:space="preserve">Y. Li, Q. Liu, and W. Shen, “Morphology-dependent nanocatalysis: metal particles,” </w:t>
      </w:r>
      <w:r w:rsidRPr="00EC62EF">
        <w:rPr>
          <w:rFonts w:ascii="Calibri" w:hAnsi="Calibri" w:cs="Calibri"/>
          <w:i/>
          <w:iCs/>
          <w:noProof/>
          <w:szCs w:val="24"/>
        </w:rPr>
        <w:t>Dalt. Trans.</w:t>
      </w:r>
      <w:r w:rsidRPr="00EC62EF">
        <w:rPr>
          <w:rFonts w:ascii="Calibri" w:hAnsi="Calibri" w:cs="Calibri"/>
          <w:noProof/>
          <w:szCs w:val="24"/>
        </w:rPr>
        <w:t>, vol. 40, no. 22, pp. 5811–5826, 2011.</w:t>
      </w:r>
    </w:p>
    <w:p w14:paraId="0883FEE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[148]</w:t>
      </w:r>
      <w:r w:rsidRPr="00EC62EF">
        <w:rPr>
          <w:rFonts w:ascii="Calibri" w:hAnsi="Calibri" w:cs="Calibri"/>
          <w:noProof/>
          <w:szCs w:val="24"/>
        </w:rPr>
        <w:tab/>
        <w:t xml:space="preserve">B. Roldan Cuenya and F. Behafarid, “Nanocatalysis: Size- and shape-dependent chemisorption and catalytic reactivity,” </w:t>
      </w:r>
      <w:r w:rsidRPr="00EC62EF">
        <w:rPr>
          <w:rFonts w:ascii="Calibri" w:hAnsi="Calibri" w:cs="Calibri"/>
          <w:i/>
          <w:iCs/>
          <w:noProof/>
          <w:szCs w:val="24"/>
        </w:rPr>
        <w:t>Surf. Sci. Rep.</w:t>
      </w:r>
      <w:r w:rsidRPr="00EC62EF">
        <w:rPr>
          <w:rFonts w:ascii="Calibri" w:hAnsi="Calibri" w:cs="Calibri"/>
          <w:noProof/>
          <w:szCs w:val="24"/>
        </w:rPr>
        <w:t>, vol. 70, no. 2, pp. 135–187, 2015.</w:t>
      </w:r>
    </w:p>
    <w:p w14:paraId="4AD6A9C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[149]</w:t>
      </w:r>
      <w:r w:rsidRPr="00EC62EF">
        <w:rPr>
          <w:rFonts w:ascii="Calibri" w:hAnsi="Calibri" w:cs="Calibri"/>
          <w:noProof/>
          <w:szCs w:val="24"/>
        </w:rPr>
        <w:tab/>
        <w:t xml:space="preserve">I. Gavrielatos, D. Montinaro, A. Orfanidi, and S. G. Neophytides, “Thermogravimetric and electrocatalytic study of carbon deposition of Ag-doped Ni/YSZ electrodes under internal CH4Steam reforming conditions,” </w:t>
      </w:r>
      <w:r w:rsidRPr="00EC62EF">
        <w:rPr>
          <w:rFonts w:ascii="Calibri" w:hAnsi="Calibri" w:cs="Calibri"/>
          <w:i/>
          <w:iCs/>
          <w:noProof/>
          <w:szCs w:val="24"/>
        </w:rPr>
        <w:t>Fuel Cells</w:t>
      </w:r>
      <w:r w:rsidRPr="00EC62EF">
        <w:rPr>
          <w:rFonts w:ascii="Calibri" w:hAnsi="Calibri" w:cs="Calibri"/>
          <w:noProof/>
          <w:szCs w:val="24"/>
        </w:rPr>
        <w:t>, vol. 9, no. 6, pp. 883–890, 2009.</w:t>
      </w:r>
    </w:p>
    <w:p w14:paraId="283B0FAE"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[150]</w:t>
      </w:r>
      <w:r w:rsidRPr="00EC62EF">
        <w:rPr>
          <w:rFonts w:ascii="Calibri" w:hAnsi="Calibri" w:cs="Calibri"/>
          <w:noProof/>
          <w:szCs w:val="24"/>
        </w:rPr>
        <w:tab/>
        <w:t xml:space="preserve">I. Gavrielatos, D. Montinaro, A. Orfanidi, and S. G. Neophytides, “Thermogravimetric and electrocatalytic study of carbon deposition of Ag-doped Ni/YSZ electrodes under internal CH4Steam reforming conditions,” </w:t>
      </w:r>
      <w:r w:rsidRPr="00EC62EF">
        <w:rPr>
          <w:rFonts w:ascii="Calibri" w:hAnsi="Calibri" w:cs="Calibri"/>
          <w:i/>
          <w:iCs/>
          <w:noProof/>
          <w:szCs w:val="24"/>
        </w:rPr>
        <w:t>Fuel Cells</w:t>
      </w:r>
      <w:r w:rsidRPr="00EC62EF">
        <w:rPr>
          <w:rFonts w:ascii="Calibri" w:hAnsi="Calibri" w:cs="Calibri"/>
          <w:noProof/>
          <w:szCs w:val="24"/>
        </w:rPr>
        <w:t>, vol. 9, no. 6, pp. 883–890, 2009.</w:t>
      </w:r>
    </w:p>
    <w:p w14:paraId="7CD5536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[151]</w:t>
      </w:r>
      <w:r w:rsidRPr="00EC62EF">
        <w:rPr>
          <w:rFonts w:ascii="Calibri" w:hAnsi="Calibri" w:cs="Calibri"/>
          <w:noProof/>
          <w:szCs w:val="24"/>
        </w:rPr>
        <w:tab/>
        <w:t xml:space="preserve">Z. Liu, B. Liu, D. Ding, M. Liu, F. Chen, and C. Xia, “Review Fabrication and modification of solid oxide fuel cell anodes via wet impregnation/infiltration technique,” </w:t>
      </w:r>
      <w:r w:rsidRPr="00EC62EF">
        <w:rPr>
          <w:rFonts w:ascii="Calibri" w:hAnsi="Calibri" w:cs="Calibri"/>
          <w:i/>
          <w:iCs/>
          <w:noProof/>
          <w:szCs w:val="24"/>
        </w:rPr>
        <w:t>J. Power Sources</w:t>
      </w:r>
      <w:r w:rsidRPr="00EC62EF">
        <w:rPr>
          <w:rFonts w:ascii="Calibri" w:hAnsi="Calibri" w:cs="Calibri"/>
          <w:noProof/>
          <w:szCs w:val="24"/>
        </w:rPr>
        <w:t>, vol. 237, pp. 243–259, 2013.</w:t>
      </w:r>
    </w:p>
    <w:p w14:paraId="1EECDA4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[152]</w:t>
      </w:r>
      <w:r w:rsidRPr="00EC62EF">
        <w:rPr>
          <w:rFonts w:ascii="Calibri" w:hAnsi="Calibri" w:cs="Calibri"/>
          <w:noProof/>
          <w:szCs w:val="24"/>
        </w:rPr>
        <w:tab/>
        <w:t xml:space="preserve">D. Driscoll, C. Hunt, J. Muretta, and S. W. Sofie, “Thermally Stabilized Nickel Electro-Catalyst Introduced by Infiltration for High Temperature Electrochemical Energy Conversion,” in </w:t>
      </w:r>
      <w:r w:rsidRPr="00EC62EF">
        <w:rPr>
          <w:rFonts w:ascii="Calibri" w:hAnsi="Calibri" w:cs="Calibri"/>
          <w:i/>
          <w:iCs/>
          <w:noProof/>
          <w:szCs w:val="24"/>
        </w:rPr>
        <w:t xml:space="preserve">ECS </w:t>
      </w:r>
      <w:r w:rsidRPr="00EC62EF">
        <w:rPr>
          <w:rFonts w:ascii="Calibri" w:hAnsi="Calibri" w:cs="Calibri"/>
          <w:i/>
          <w:iCs/>
          <w:noProof/>
          <w:szCs w:val="24"/>
        </w:rPr>
        <w:lastRenderedPageBreak/>
        <w:t>Transactions</w:t>
      </w:r>
      <w:r w:rsidRPr="00EC62EF">
        <w:rPr>
          <w:rFonts w:ascii="Calibri" w:hAnsi="Calibri" w:cs="Calibri"/>
          <w:noProof/>
          <w:szCs w:val="24"/>
        </w:rPr>
        <w:t>, 2013, 9th ed., vol. 53, no. 9, pp. 63–72.</w:t>
      </w:r>
    </w:p>
    <w:p w14:paraId="7F7DA8A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[153]</w:t>
      </w:r>
      <w:r w:rsidRPr="00EC62EF">
        <w:rPr>
          <w:rFonts w:ascii="Calibri" w:hAnsi="Calibri" w:cs="Calibri"/>
          <w:noProof/>
          <w:szCs w:val="24"/>
        </w:rPr>
        <w:tab/>
        <w:t xml:space="preserve">A. Buyukaksoy, V. Petrovsky, and F. Dogan, “Optimization of Redox Stable Ni-YSZ Anodes for SOFCs by Two-Step Infiltration,” </w:t>
      </w:r>
      <w:r w:rsidRPr="00EC62EF">
        <w:rPr>
          <w:rFonts w:ascii="Calibri" w:hAnsi="Calibri" w:cs="Calibri"/>
          <w:i/>
          <w:iCs/>
          <w:noProof/>
          <w:szCs w:val="24"/>
        </w:rPr>
        <w:t>J. Electrochem. Soc.</w:t>
      </w:r>
      <w:r w:rsidRPr="00EC62EF">
        <w:rPr>
          <w:rFonts w:ascii="Calibri" w:hAnsi="Calibri" w:cs="Calibri"/>
          <w:noProof/>
          <w:szCs w:val="24"/>
        </w:rPr>
        <w:t>, vol. 159, no. 12, pp. F841–F848, 2012.</w:t>
      </w:r>
    </w:p>
    <w:p w14:paraId="12BB317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[154]</w:t>
      </w:r>
      <w:r w:rsidRPr="00EC62EF">
        <w:rPr>
          <w:rFonts w:ascii="Calibri" w:hAnsi="Calibri" w:cs="Calibri"/>
          <w:noProof/>
          <w:szCs w:val="24"/>
        </w:rPr>
        <w:tab/>
        <w:t xml:space="preserve">M. Jasinski, M. Radecka, M. Rekas, P. Pasierb, and K. Haberko, “Structural and electrical properties of Ni–YSZ cermet materials,” </w:t>
      </w:r>
      <w:r w:rsidRPr="00EC62EF">
        <w:rPr>
          <w:rFonts w:ascii="Calibri" w:hAnsi="Calibri" w:cs="Calibri"/>
          <w:i/>
          <w:iCs/>
          <w:noProof/>
          <w:szCs w:val="24"/>
        </w:rPr>
        <w:t>J. Power Sources</w:t>
      </w:r>
      <w:r w:rsidRPr="00EC62EF">
        <w:rPr>
          <w:rFonts w:ascii="Calibri" w:hAnsi="Calibri" w:cs="Calibri"/>
          <w:noProof/>
          <w:szCs w:val="24"/>
        </w:rPr>
        <w:t>, vol. 195, no. 17, pp. 5527–5533, 2010.</w:t>
      </w:r>
    </w:p>
    <w:p w14:paraId="326530D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[155]</w:t>
      </w:r>
      <w:r w:rsidRPr="00EC62EF">
        <w:rPr>
          <w:rFonts w:ascii="Calibri" w:hAnsi="Calibri" w:cs="Calibri"/>
          <w:noProof/>
          <w:szCs w:val="24"/>
        </w:rPr>
        <w:tab/>
        <w:t xml:space="preserve">A. N. Busawon, D. Sarantaridis, and A. Atkinson, “Ni Infiltration as a Possible Solution to the Redox Problem of SOFC Anodes,” </w:t>
      </w:r>
      <w:r w:rsidRPr="00EC62EF">
        <w:rPr>
          <w:rFonts w:ascii="Calibri" w:hAnsi="Calibri" w:cs="Calibri"/>
          <w:i/>
          <w:iCs/>
          <w:noProof/>
          <w:szCs w:val="24"/>
        </w:rPr>
        <w:t>Electrochem. Solid-State Lett.</w:t>
      </w:r>
      <w:r w:rsidRPr="00EC62EF">
        <w:rPr>
          <w:rFonts w:ascii="Calibri" w:hAnsi="Calibri" w:cs="Calibri"/>
          <w:noProof/>
          <w:szCs w:val="24"/>
        </w:rPr>
        <w:t>, vol. 11, no. 10, p. B186, 2008.</w:t>
      </w:r>
    </w:p>
    <w:p w14:paraId="6F0F920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[156]</w:t>
      </w:r>
      <w:r w:rsidRPr="00EC62EF">
        <w:rPr>
          <w:rFonts w:ascii="Calibri" w:hAnsi="Calibri" w:cs="Calibri"/>
          <w:noProof/>
          <w:szCs w:val="24"/>
        </w:rPr>
        <w:tab/>
        <w:t xml:space="preserve">U. Lucia, “Overview on fuel cells,” </w:t>
      </w:r>
      <w:r w:rsidRPr="00EC62EF">
        <w:rPr>
          <w:rFonts w:ascii="Calibri" w:hAnsi="Calibri" w:cs="Calibri"/>
          <w:i/>
          <w:iCs/>
          <w:noProof/>
          <w:szCs w:val="24"/>
        </w:rPr>
        <w:t>Renew. Sustain. Energy Rev.</w:t>
      </w:r>
      <w:r w:rsidRPr="00EC62EF">
        <w:rPr>
          <w:rFonts w:ascii="Calibri" w:hAnsi="Calibri" w:cs="Calibri"/>
          <w:noProof/>
          <w:szCs w:val="24"/>
        </w:rPr>
        <w:t>, vol. 30, pp. 164–169, 2014.</w:t>
      </w:r>
    </w:p>
    <w:p w14:paraId="4362F6C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[157]</w:t>
      </w:r>
      <w:r w:rsidRPr="00EC62EF">
        <w:rPr>
          <w:rFonts w:ascii="Calibri" w:hAnsi="Calibri" w:cs="Calibri"/>
          <w:noProof/>
          <w:szCs w:val="24"/>
        </w:rPr>
        <w:tab/>
        <w:t xml:space="preserve">T. Klemenso̸, Y.-L. Liu, M. Mogensen, P. Vang Hendriksen, A. Hagen, and R. Barfod, “Detailed Characterization of Anode-Supported SOFCs by Impedance Spectroscopy,” </w:t>
      </w:r>
      <w:r w:rsidRPr="00EC62EF">
        <w:rPr>
          <w:rFonts w:ascii="Calibri" w:hAnsi="Calibri" w:cs="Calibri"/>
          <w:i/>
          <w:iCs/>
          <w:noProof/>
          <w:szCs w:val="24"/>
        </w:rPr>
        <w:t>J. Electrochem. Soc.</w:t>
      </w:r>
      <w:r w:rsidRPr="00EC62EF">
        <w:rPr>
          <w:rFonts w:ascii="Calibri" w:hAnsi="Calibri" w:cs="Calibri"/>
          <w:noProof/>
          <w:szCs w:val="24"/>
        </w:rPr>
        <w:t>, vol. 154, no. 4, p. B371, 2007.</w:t>
      </w:r>
    </w:p>
    <w:p w14:paraId="46A22C7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[158]</w:t>
      </w:r>
      <w:r w:rsidRPr="00EC62EF">
        <w:rPr>
          <w:rFonts w:ascii="Calibri" w:hAnsi="Calibri" w:cs="Calibri"/>
          <w:noProof/>
          <w:szCs w:val="24"/>
        </w:rPr>
        <w:tab/>
        <w:t xml:space="preserve">A. N. Busawon, D. Sarantaridis, and A. Atkinson, “Ni Infiltration as a Possible Solution to the Redox Problem of SOFC Anodes,” </w:t>
      </w:r>
      <w:r w:rsidRPr="00EC62EF">
        <w:rPr>
          <w:rFonts w:ascii="Calibri" w:hAnsi="Calibri" w:cs="Calibri"/>
          <w:i/>
          <w:iCs/>
          <w:noProof/>
          <w:szCs w:val="24"/>
        </w:rPr>
        <w:t>Electrochem. Solid-State Lett.</w:t>
      </w:r>
      <w:r w:rsidRPr="00EC62EF">
        <w:rPr>
          <w:rFonts w:ascii="Calibri" w:hAnsi="Calibri" w:cs="Calibri"/>
          <w:noProof/>
          <w:szCs w:val="24"/>
        </w:rPr>
        <w:t>, vol. 11, no. 10, p. B186, 2008.</w:t>
      </w:r>
    </w:p>
    <w:p w14:paraId="569010C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[159]</w:t>
      </w:r>
      <w:r w:rsidRPr="00EC62EF">
        <w:rPr>
          <w:rFonts w:ascii="Calibri" w:hAnsi="Calibri" w:cs="Calibri"/>
          <w:noProof/>
          <w:szCs w:val="24"/>
        </w:rPr>
        <w:tab/>
        <w:t xml:space="preserve">W. Zhu, D. Ding, and C. Xia, “Enhancement in Three-Phase Boundary of SOFC Electrodes by an Ion Impregnation Method: A Modeling Comparison,” </w:t>
      </w:r>
      <w:r w:rsidRPr="00EC62EF">
        <w:rPr>
          <w:rFonts w:ascii="Calibri" w:hAnsi="Calibri" w:cs="Calibri"/>
          <w:i/>
          <w:iCs/>
          <w:noProof/>
          <w:szCs w:val="24"/>
        </w:rPr>
        <w:t>Electrochem. Solid-State Lett.</w:t>
      </w:r>
      <w:r w:rsidRPr="00EC62EF">
        <w:rPr>
          <w:rFonts w:ascii="Calibri" w:hAnsi="Calibri" w:cs="Calibri"/>
          <w:noProof/>
          <w:szCs w:val="24"/>
        </w:rPr>
        <w:t>, vol. 11, no. 6, p. B83, 2008.</w:t>
      </w:r>
    </w:p>
    <w:p w14:paraId="6FE10D7E"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[160]</w:t>
      </w:r>
      <w:r w:rsidRPr="00EC62EF">
        <w:rPr>
          <w:rFonts w:ascii="Calibri" w:hAnsi="Calibri" w:cs="Calibri"/>
          <w:noProof/>
          <w:szCs w:val="24"/>
        </w:rPr>
        <w:tab/>
        <w:t xml:space="preserve">T. E. Burye, H. Tang, and J. D. Nicholas, “The Effect of Precursor Solution Desiccation or Nano-Ceria Pre-Infiltration on Various La </w:t>
      </w:r>
      <w:r w:rsidRPr="00EC62EF">
        <w:rPr>
          <w:rFonts w:ascii="Calibri" w:hAnsi="Calibri" w:cs="Calibri"/>
          <w:noProof/>
          <w:szCs w:val="24"/>
          <w:vertAlign w:val="subscript"/>
        </w:rPr>
        <w:t>0.6</w:t>
      </w:r>
      <w:r w:rsidRPr="00EC62EF">
        <w:rPr>
          <w:rFonts w:ascii="Calibri" w:hAnsi="Calibri" w:cs="Calibri"/>
          <w:noProof/>
          <w:szCs w:val="24"/>
        </w:rPr>
        <w:t xml:space="preserve"> Sr </w:t>
      </w:r>
      <w:r w:rsidRPr="00EC62EF">
        <w:rPr>
          <w:rFonts w:ascii="Calibri" w:hAnsi="Calibri" w:cs="Calibri"/>
          <w:noProof/>
          <w:szCs w:val="24"/>
          <w:vertAlign w:val="subscript"/>
        </w:rPr>
        <w:t>0.4</w:t>
      </w:r>
      <w:r w:rsidRPr="00EC62EF">
        <w:rPr>
          <w:rFonts w:ascii="Calibri" w:hAnsi="Calibri" w:cs="Calibri"/>
          <w:noProof/>
          <w:szCs w:val="24"/>
        </w:rPr>
        <w:t xml:space="preserve"> Fe </w:t>
      </w:r>
      <w:r w:rsidRPr="00EC62EF">
        <w:rPr>
          <w:rFonts w:ascii="Calibri" w:hAnsi="Calibri" w:cs="Calibri"/>
          <w:noProof/>
          <w:szCs w:val="24"/>
          <w:vertAlign w:val="subscript"/>
        </w:rPr>
        <w:t>y</w:t>
      </w:r>
      <w:r w:rsidRPr="00EC62EF">
        <w:rPr>
          <w:rFonts w:ascii="Calibri" w:hAnsi="Calibri" w:cs="Calibri"/>
          <w:noProof/>
          <w:szCs w:val="24"/>
        </w:rPr>
        <w:t xml:space="preserve"> Co </w:t>
      </w:r>
      <w:r w:rsidRPr="00EC62EF">
        <w:rPr>
          <w:rFonts w:ascii="Calibri" w:hAnsi="Calibri" w:cs="Calibri"/>
          <w:noProof/>
          <w:szCs w:val="24"/>
          <w:vertAlign w:val="subscript"/>
        </w:rPr>
        <w:t>1-y</w:t>
      </w:r>
      <w:r w:rsidRPr="00EC62EF">
        <w:rPr>
          <w:rFonts w:ascii="Calibri" w:hAnsi="Calibri" w:cs="Calibri"/>
          <w:noProof/>
          <w:szCs w:val="24"/>
        </w:rPr>
        <w:t xml:space="preserve"> O </w:t>
      </w:r>
      <w:r w:rsidRPr="00EC62EF">
        <w:rPr>
          <w:rFonts w:ascii="Calibri" w:hAnsi="Calibri" w:cs="Calibri"/>
          <w:noProof/>
          <w:szCs w:val="24"/>
          <w:vertAlign w:val="subscript"/>
        </w:rPr>
        <w:t>3-x</w:t>
      </w:r>
      <w:r w:rsidRPr="00EC62EF">
        <w:rPr>
          <w:rFonts w:ascii="Calibri" w:hAnsi="Calibri" w:cs="Calibri"/>
          <w:noProof/>
          <w:szCs w:val="24"/>
        </w:rPr>
        <w:t xml:space="preserve"> Infiltrate Compositions,” </w:t>
      </w:r>
      <w:r w:rsidRPr="00EC62EF">
        <w:rPr>
          <w:rFonts w:ascii="Calibri" w:hAnsi="Calibri" w:cs="Calibri"/>
          <w:i/>
          <w:iCs/>
          <w:noProof/>
          <w:szCs w:val="24"/>
        </w:rPr>
        <w:t>J. Electrochem. Soc.</w:t>
      </w:r>
      <w:r w:rsidRPr="00EC62EF">
        <w:rPr>
          <w:rFonts w:ascii="Calibri" w:hAnsi="Calibri" w:cs="Calibri"/>
          <w:noProof/>
          <w:szCs w:val="24"/>
        </w:rPr>
        <w:t>, vol. 163, no. 9, pp. F1017–F1022, 2016.</w:t>
      </w:r>
    </w:p>
    <w:p w14:paraId="27CF7B2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[161]</w:t>
      </w:r>
      <w:r w:rsidRPr="00EC62EF">
        <w:rPr>
          <w:rFonts w:ascii="Calibri" w:hAnsi="Calibri" w:cs="Calibri"/>
          <w:noProof/>
          <w:szCs w:val="24"/>
        </w:rPr>
        <w:tab/>
        <w:t xml:space="preserve">T. E. Burye, H. Tang, and J. D. Nicholas, “The Effect of Precursor Solution Desiccation or Nano-Ceria Pre-Infiltration on Various La0.6Sr0.4FeyCo1-yO3-x Infiltrate Compositions,” </w:t>
      </w:r>
      <w:r w:rsidRPr="00EC62EF">
        <w:rPr>
          <w:rFonts w:ascii="Calibri" w:hAnsi="Calibri" w:cs="Calibri"/>
          <w:i/>
          <w:iCs/>
          <w:noProof/>
          <w:szCs w:val="24"/>
        </w:rPr>
        <w:t>J. Electrochem. Soc.</w:t>
      </w:r>
      <w:r w:rsidRPr="00EC62EF">
        <w:rPr>
          <w:rFonts w:ascii="Calibri" w:hAnsi="Calibri" w:cs="Calibri"/>
          <w:noProof/>
          <w:szCs w:val="24"/>
        </w:rPr>
        <w:t>, vol. 163, no. 9, pp. F1017–F1022, 2016.</w:t>
      </w:r>
    </w:p>
    <w:p w14:paraId="5DB3919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[162]</w:t>
      </w:r>
      <w:r w:rsidRPr="00EC62EF">
        <w:rPr>
          <w:rFonts w:ascii="Calibri" w:hAnsi="Calibri" w:cs="Calibri"/>
          <w:noProof/>
          <w:szCs w:val="24"/>
        </w:rPr>
        <w:tab/>
        <w:t xml:space="preserve">T. E. Burye and J. D. Nicholas, “Precursor solution additives improve desiccated La0.6Sr0.4Co0.8Fe0.2O3–x infiltrated solid oxide fuel cell cathode performance,” </w:t>
      </w:r>
      <w:r w:rsidRPr="00EC62EF">
        <w:rPr>
          <w:rFonts w:ascii="Calibri" w:hAnsi="Calibri" w:cs="Calibri"/>
          <w:i/>
          <w:iCs/>
          <w:noProof/>
          <w:szCs w:val="24"/>
        </w:rPr>
        <w:t>J. Power Sources</w:t>
      </w:r>
      <w:r w:rsidRPr="00EC62EF">
        <w:rPr>
          <w:rFonts w:ascii="Calibri" w:hAnsi="Calibri" w:cs="Calibri"/>
          <w:noProof/>
          <w:szCs w:val="24"/>
        </w:rPr>
        <w:t>, vol. 301, pp. 287–298, 2016.</w:t>
      </w:r>
    </w:p>
    <w:p w14:paraId="4CE5C15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[163]</w:t>
      </w:r>
      <w:r w:rsidRPr="00EC62EF">
        <w:rPr>
          <w:rFonts w:ascii="Calibri" w:hAnsi="Calibri" w:cs="Calibri"/>
          <w:noProof/>
          <w:szCs w:val="24"/>
        </w:rPr>
        <w:tab/>
        <w:t xml:space="preserve">T. E. Burye, H. Tang, and J. D. Nicholas, “The Effect of Precursor Solution Desiccation or Nano-Ceria Pre-Infiltration on Various La0.6Sr0.4FeyCo1-yO3-x Infiltrate Compositions,” </w:t>
      </w:r>
      <w:r w:rsidRPr="00EC62EF">
        <w:rPr>
          <w:rFonts w:ascii="Calibri" w:hAnsi="Calibri" w:cs="Calibri"/>
          <w:i/>
          <w:iCs/>
          <w:noProof/>
          <w:szCs w:val="24"/>
        </w:rPr>
        <w:t xml:space="preserve">J. Electrochem. Soc. </w:t>
      </w:r>
      <w:r w:rsidRPr="00EC62EF">
        <w:rPr>
          <w:rFonts w:ascii="Calibri" w:hAnsi="Calibri" w:cs="Calibri"/>
          <w:noProof/>
          <w:szCs w:val="24"/>
        </w:rPr>
        <w:t>, vol. 163, no. 9, pp. F1017–F1022, Jan. 2016.</w:t>
      </w:r>
    </w:p>
    <w:p w14:paraId="2538401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[164]</w:t>
      </w:r>
      <w:r w:rsidRPr="00EC62EF">
        <w:rPr>
          <w:rFonts w:ascii="Calibri" w:hAnsi="Calibri" w:cs="Calibri"/>
          <w:noProof/>
          <w:szCs w:val="24"/>
        </w:rPr>
        <w:tab/>
        <w:t xml:space="preserve">T. E. Burye and J. D. Nicholas, “Precursor solution additives improve desiccated La0.6Sr0.4Co0.8Fe0.2O3-x infiltrated solid oxide fuel cell cathode performance,” </w:t>
      </w:r>
      <w:r w:rsidRPr="00EC62EF">
        <w:rPr>
          <w:rFonts w:ascii="Calibri" w:hAnsi="Calibri" w:cs="Calibri"/>
          <w:i/>
          <w:iCs/>
          <w:noProof/>
          <w:szCs w:val="24"/>
        </w:rPr>
        <w:t>J. Power Sources</w:t>
      </w:r>
      <w:r w:rsidRPr="00EC62EF">
        <w:rPr>
          <w:rFonts w:ascii="Calibri" w:hAnsi="Calibri" w:cs="Calibri"/>
          <w:noProof/>
          <w:szCs w:val="24"/>
        </w:rPr>
        <w:t>, vol. 301, pp. 287–298, 2016.</w:t>
      </w:r>
    </w:p>
    <w:p w14:paraId="79FF7F6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[165]</w:t>
      </w:r>
      <w:r w:rsidRPr="00EC62EF">
        <w:rPr>
          <w:rFonts w:ascii="Calibri" w:hAnsi="Calibri" w:cs="Calibri"/>
          <w:noProof/>
          <w:szCs w:val="24"/>
        </w:rPr>
        <w:tab/>
        <w:t xml:space="preserve">M. Wolters, I. C. A. Contreras Andrade, P. Munnik, J. H. Bitter, P. E. De Jongh, and K. P. De Jong, “Impact of NO on the decomposition of supported metal nitrate catalyst precursors and the final metal oxide dispersion,” </w:t>
      </w:r>
      <w:r w:rsidRPr="00EC62EF">
        <w:rPr>
          <w:rFonts w:ascii="Calibri" w:hAnsi="Calibri" w:cs="Calibri"/>
          <w:i/>
          <w:iCs/>
          <w:noProof/>
          <w:szCs w:val="24"/>
        </w:rPr>
        <w:t>10th International Symposium on Scientific Bases for the Preparation of Heterogeneous Catalysts</w:t>
      </w:r>
      <w:r w:rsidRPr="00EC62EF">
        <w:rPr>
          <w:rFonts w:ascii="Calibri" w:hAnsi="Calibri" w:cs="Calibri"/>
          <w:noProof/>
          <w:szCs w:val="24"/>
        </w:rPr>
        <w:t>, vol. 175. Louvain-la-Neuve, pp. 69–76, 2010.</w:t>
      </w:r>
    </w:p>
    <w:p w14:paraId="59C6A1F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[166]</w:t>
      </w:r>
      <w:r w:rsidRPr="00EC62EF">
        <w:rPr>
          <w:rFonts w:ascii="Calibri" w:hAnsi="Calibri" w:cs="Calibri"/>
          <w:noProof/>
          <w:szCs w:val="24"/>
        </w:rPr>
        <w:tab/>
        <w:t xml:space="preserve">M. Wolters, L. J. W. W. Van Grotel, T. M. Eggenhuisen, J. R. A. A. Sietsma, K. P. De Jong, and P. E. De Jongh, “Combining confinement and NO calcination to arrive at highly dispersed supported nickel and cobalt oxide catalysts with a tunable particle size,” </w:t>
      </w:r>
      <w:r w:rsidRPr="00EC62EF">
        <w:rPr>
          <w:rFonts w:ascii="Calibri" w:hAnsi="Calibri" w:cs="Calibri"/>
          <w:i/>
          <w:iCs/>
          <w:noProof/>
          <w:szCs w:val="24"/>
        </w:rPr>
        <w:t>Catal. Today</w:t>
      </w:r>
      <w:r w:rsidRPr="00EC62EF">
        <w:rPr>
          <w:rFonts w:ascii="Calibri" w:hAnsi="Calibri" w:cs="Calibri"/>
          <w:noProof/>
          <w:szCs w:val="24"/>
        </w:rPr>
        <w:t>, vol. 163, no. 1, pp. 27–32, 2011.</w:t>
      </w:r>
    </w:p>
    <w:p w14:paraId="343FCEE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[167]</w:t>
      </w:r>
      <w:r w:rsidRPr="00EC62EF">
        <w:rPr>
          <w:rFonts w:ascii="Calibri" w:hAnsi="Calibri" w:cs="Calibri"/>
          <w:noProof/>
          <w:szCs w:val="24"/>
        </w:rPr>
        <w:tab/>
        <w:t xml:space="preserve">H. Friedrich, J. R. A. Sietsma, P. E. de Jongh, A. J. Verkleij, and K. P. de Jong, “Measuring </w:t>
      </w:r>
      <w:r w:rsidRPr="00EC62EF">
        <w:rPr>
          <w:rFonts w:ascii="Calibri" w:hAnsi="Calibri" w:cs="Calibri"/>
          <w:noProof/>
          <w:szCs w:val="24"/>
        </w:rPr>
        <w:lastRenderedPageBreak/>
        <w:t xml:space="preserve">Location, Size, Distribution, and Loading of NiO Crystallites in Individual SBA-15 Pores by Electron Tomography,” </w:t>
      </w:r>
      <w:r w:rsidRPr="00EC62EF">
        <w:rPr>
          <w:rFonts w:ascii="Calibri" w:hAnsi="Calibri" w:cs="Calibri"/>
          <w:i/>
          <w:iCs/>
          <w:noProof/>
          <w:szCs w:val="24"/>
        </w:rPr>
        <w:t>J. Am. Chem. Soc.</w:t>
      </w:r>
      <w:r w:rsidRPr="00EC62EF">
        <w:rPr>
          <w:rFonts w:ascii="Calibri" w:hAnsi="Calibri" w:cs="Calibri"/>
          <w:noProof/>
          <w:szCs w:val="24"/>
        </w:rPr>
        <w:t>, vol. 129, no. 33, pp. 10249–10254, 2007.</w:t>
      </w:r>
    </w:p>
    <w:p w14:paraId="0EF155C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[168]</w:t>
      </w:r>
      <w:r w:rsidRPr="00EC62EF">
        <w:rPr>
          <w:rFonts w:ascii="Calibri" w:hAnsi="Calibri" w:cs="Calibri"/>
          <w:noProof/>
          <w:szCs w:val="24"/>
        </w:rPr>
        <w:tab/>
        <w:t xml:space="preserve">J. R. A. Sietsma </w:t>
      </w:r>
      <w:r w:rsidRPr="00EC62EF">
        <w:rPr>
          <w:rFonts w:ascii="Calibri" w:hAnsi="Calibri" w:cs="Calibri"/>
          <w:i/>
          <w:iCs/>
          <w:noProof/>
          <w:szCs w:val="24"/>
        </w:rPr>
        <w:t>et al.</w:t>
      </w:r>
      <w:r w:rsidRPr="00EC62EF">
        <w:rPr>
          <w:rFonts w:ascii="Calibri" w:hAnsi="Calibri" w:cs="Calibri"/>
          <w:noProof/>
          <w:szCs w:val="24"/>
        </w:rPr>
        <w:t xml:space="preserve">, “Ordered Mesoporous Silica to Study the Preparation of Ni/SiO2 ex Nitrate Catalysts: Impregnation, Drying, and Thermal Treatments,” </w:t>
      </w:r>
      <w:r w:rsidRPr="00EC62EF">
        <w:rPr>
          <w:rFonts w:ascii="Calibri" w:hAnsi="Calibri" w:cs="Calibri"/>
          <w:i/>
          <w:iCs/>
          <w:noProof/>
          <w:szCs w:val="24"/>
        </w:rPr>
        <w:t>Chem. Mater.</w:t>
      </w:r>
      <w:r w:rsidRPr="00EC62EF">
        <w:rPr>
          <w:rFonts w:ascii="Calibri" w:hAnsi="Calibri" w:cs="Calibri"/>
          <w:noProof/>
          <w:szCs w:val="24"/>
        </w:rPr>
        <w:t>, vol. 20, no. 9, pp. 2921–2931, May 2008.</w:t>
      </w:r>
    </w:p>
    <w:p w14:paraId="5B746F4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[169]</w:t>
      </w:r>
      <w:r w:rsidRPr="00EC62EF">
        <w:rPr>
          <w:rFonts w:ascii="Calibri" w:hAnsi="Calibri" w:cs="Calibri"/>
          <w:noProof/>
          <w:szCs w:val="24"/>
        </w:rPr>
        <w:tab/>
        <w:t xml:space="preserve">J. R. A. Sietsma </w:t>
      </w:r>
      <w:r w:rsidRPr="00EC62EF">
        <w:rPr>
          <w:rFonts w:ascii="Calibri" w:hAnsi="Calibri" w:cs="Calibri"/>
          <w:i/>
          <w:iCs/>
          <w:noProof/>
          <w:szCs w:val="24"/>
        </w:rPr>
        <w:t>et al.</w:t>
      </w:r>
      <w:r w:rsidRPr="00EC62EF">
        <w:rPr>
          <w:rFonts w:ascii="Calibri" w:hAnsi="Calibri" w:cs="Calibri"/>
          <w:noProof/>
          <w:szCs w:val="24"/>
        </w:rPr>
        <w:t xml:space="preserve">, “The preparation of supported NiO and Co3O4 nanoparticles by the nitric oxide controlled thermal decomposition of nitrates,” </w:t>
      </w:r>
      <w:r w:rsidRPr="00EC62EF">
        <w:rPr>
          <w:rFonts w:ascii="Calibri" w:hAnsi="Calibri" w:cs="Calibri"/>
          <w:i/>
          <w:iCs/>
          <w:noProof/>
          <w:szCs w:val="24"/>
        </w:rPr>
        <w:t>Angew. Chemie - Int. Ed.</w:t>
      </w:r>
      <w:r w:rsidRPr="00EC62EF">
        <w:rPr>
          <w:rFonts w:ascii="Calibri" w:hAnsi="Calibri" w:cs="Calibri"/>
          <w:noProof/>
          <w:szCs w:val="24"/>
        </w:rPr>
        <w:t>, vol. 46, no. 24, pp. 4547–4549, 2007.</w:t>
      </w:r>
    </w:p>
    <w:p w14:paraId="1CDF167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[170]</w:t>
      </w:r>
      <w:r w:rsidRPr="00EC62EF">
        <w:rPr>
          <w:rFonts w:ascii="Calibri" w:hAnsi="Calibri" w:cs="Calibri"/>
          <w:noProof/>
          <w:szCs w:val="24"/>
        </w:rPr>
        <w:tab/>
        <w:t xml:space="preserve">J. R. A. Sietsma </w:t>
      </w:r>
      <w:r w:rsidRPr="00EC62EF">
        <w:rPr>
          <w:rFonts w:ascii="Calibri" w:hAnsi="Calibri" w:cs="Calibri"/>
          <w:i/>
          <w:iCs/>
          <w:noProof/>
          <w:szCs w:val="24"/>
        </w:rPr>
        <w:t>et al.</w:t>
      </w:r>
      <w:r w:rsidRPr="00EC62EF">
        <w:rPr>
          <w:rFonts w:ascii="Calibri" w:hAnsi="Calibri" w:cs="Calibri"/>
          <w:noProof/>
          <w:szCs w:val="24"/>
        </w:rPr>
        <w:t xml:space="preserve">, “How nitric oxide affects the decomposition of supported nickel nitrate to arrive at highly dispersed catalysts,” </w:t>
      </w:r>
      <w:r w:rsidRPr="00EC62EF">
        <w:rPr>
          <w:rFonts w:ascii="Calibri" w:hAnsi="Calibri" w:cs="Calibri"/>
          <w:i/>
          <w:iCs/>
          <w:noProof/>
          <w:szCs w:val="24"/>
        </w:rPr>
        <w:t>J. Catal.</w:t>
      </w:r>
      <w:r w:rsidRPr="00EC62EF">
        <w:rPr>
          <w:rFonts w:ascii="Calibri" w:hAnsi="Calibri" w:cs="Calibri"/>
          <w:noProof/>
          <w:szCs w:val="24"/>
        </w:rPr>
        <w:t>, vol. 260, no. 2, pp. 227–235, 2008.</w:t>
      </w:r>
    </w:p>
    <w:p w14:paraId="356ED61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[171]</w:t>
      </w:r>
      <w:r w:rsidRPr="00EC62EF">
        <w:rPr>
          <w:rFonts w:ascii="Calibri" w:hAnsi="Calibri" w:cs="Calibri"/>
          <w:noProof/>
          <w:szCs w:val="24"/>
        </w:rPr>
        <w:tab/>
        <w:t xml:space="preserve">P. Munnik, N. A. Krans, P. E. De Jongh, and K. P. De Jong, “Effects of drying conditions on the synthesis of Co/SiO2 and Co/Al2O3 fischer-tropsch catalysts,” </w:t>
      </w:r>
      <w:r w:rsidRPr="00EC62EF">
        <w:rPr>
          <w:rFonts w:ascii="Calibri" w:hAnsi="Calibri" w:cs="Calibri"/>
          <w:i/>
          <w:iCs/>
          <w:noProof/>
          <w:szCs w:val="24"/>
        </w:rPr>
        <w:t>ACS Catal.</w:t>
      </w:r>
      <w:r w:rsidRPr="00EC62EF">
        <w:rPr>
          <w:rFonts w:ascii="Calibri" w:hAnsi="Calibri" w:cs="Calibri"/>
          <w:noProof/>
          <w:szCs w:val="24"/>
        </w:rPr>
        <w:t>, vol. 4, no. 9, pp. 3219–3226, 2014.</w:t>
      </w:r>
    </w:p>
    <w:p w14:paraId="7817DC8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[172]</w:t>
      </w:r>
      <w:r w:rsidRPr="00EC62EF">
        <w:rPr>
          <w:rFonts w:ascii="Calibri" w:hAnsi="Calibri" w:cs="Calibri"/>
          <w:noProof/>
          <w:szCs w:val="24"/>
        </w:rPr>
        <w:tab/>
        <w:t xml:space="preserve">J. Du, J. Yan, J. Hong, Y. Zhang, and J. Li, “RSC Advances Catalytic performance of Co / Zn – Al 2 O 3 Fischer – Tropsch catalysts : a comparative study of zinc,” </w:t>
      </w:r>
      <w:r w:rsidRPr="00EC62EF">
        <w:rPr>
          <w:rFonts w:ascii="Calibri" w:hAnsi="Calibri" w:cs="Calibri"/>
          <w:i/>
          <w:iCs/>
          <w:noProof/>
          <w:szCs w:val="24"/>
        </w:rPr>
        <w:t>RSC Adv.</w:t>
      </w:r>
      <w:r w:rsidRPr="00EC62EF">
        <w:rPr>
          <w:rFonts w:ascii="Calibri" w:hAnsi="Calibri" w:cs="Calibri"/>
          <w:noProof/>
          <w:szCs w:val="24"/>
        </w:rPr>
        <w:t>, vol. 5, pp. 60534–60540, 2015.</w:t>
      </w:r>
    </w:p>
    <w:p w14:paraId="4675609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[173]</w:t>
      </w:r>
      <w:r w:rsidRPr="00EC62EF">
        <w:rPr>
          <w:rFonts w:ascii="Calibri" w:hAnsi="Calibri" w:cs="Calibri"/>
          <w:noProof/>
          <w:szCs w:val="24"/>
        </w:rPr>
        <w:tab/>
        <w:t>J. R. A. Sietsma, K. P. De Jong, A. J. Van Dillen, and P. E. De Jongh, “A Novel Calcination Method for Supported Metal Nitrate Catalyst Precursors,” p. 80003, 1998.</w:t>
      </w:r>
    </w:p>
    <w:p w14:paraId="200790C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[174]</w:t>
      </w:r>
      <w:r w:rsidRPr="00EC62EF">
        <w:rPr>
          <w:rFonts w:ascii="Calibri" w:hAnsi="Calibri" w:cs="Calibri"/>
          <w:noProof/>
          <w:szCs w:val="24"/>
        </w:rPr>
        <w:tab/>
        <w:t xml:space="preserve">J. R. A. Sietsma </w:t>
      </w:r>
      <w:r w:rsidRPr="00EC62EF">
        <w:rPr>
          <w:rFonts w:ascii="Calibri" w:hAnsi="Calibri" w:cs="Calibri"/>
          <w:i/>
          <w:iCs/>
          <w:noProof/>
          <w:szCs w:val="24"/>
        </w:rPr>
        <w:t>et al.</w:t>
      </w:r>
      <w:r w:rsidRPr="00EC62EF">
        <w:rPr>
          <w:rFonts w:ascii="Calibri" w:hAnsi="Calibri" w:cs="Calibri"/>
          <w:noProof/>
          <w:szCs w:val="24"/>
        </w:rPr>
        <w:t xml:space="preserve">, “The Preparation of Supported NiO and Co3O4 Nanoparticles by the Nitric Oxide Controlled Thermal Decomposition of Nitrates,” </w:t>
      </w:r>
      <w:r w:rsidRPr="00EC62EF">
        <w:rPr>
          <w:rFonts w:ascii="Calibri" w:hAnsi="Calibri" w:cs="Calibri"/>
          <w:i/>
          <w:iCs/>
          <w:noProof/>
          <w:szCs w:val="24"/>
        </w:rPr>
        <w:t>Angew. Chemie Int. Ed.</w:t>
      </w:r>
      <w:r w:rsidRPr="00EC62EF">
        <w:rPr>
          <w:rFonts w:ascii="Calibri" w:hAnsi="Calibri" w:cs="Calibri"/>
          <w:noProof/>
          <w:szCs w:val="24"/>
        </w:rPr>
        <w:t>, vol. 46, no. 24, pp. 4547–4549, 2007.</w:t>
      </w:r>
    </w:p>
    <w:p w14:paraId="5D4A92F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[175]</w:t>
      </w:r>
      <w:r w:rsidRPr="00EC62EF">
        <w:rPr>
          <w:rFonts w:ascii="Calibri" w:hAnsi="Calibri" w:cs="Calibri"/>
          <w:noProof/>
          <w:szCs w:val="24"/>
        </w:rPr>
        <w:tab/>
        <w:t xml:space="preserve">J. R. A. Sietsma </w:t>
      </w:r>
      <w:r w:rsidRPr="00EC62EF">
        <w:rPr>
          <w:rFonts w:ascii="Calibri" w:hAnsi="Calibri" w:cs="Calibri"/>
          <w:i/>
          <w:iCs/>
          <w:noProof/>
          <w:szCs w:val="24"/>
        </w:rPr>
        <w:t>et al.</w:t>
      </w:r>
      <w:r w:rsidRPr="00EC62EF">
        <w:rPr>
          <w:rFonts w:ascii="Calibri" w:hAnsi="Calibri" w:cs="Calibri"/>
          <w:noProof/>
          <w:szCs w:val="24"/>
        </w:rPr>
        <w:t xml:space="preserve">, “How nitric oxide affects the decomposition of supported nickel nitrate to arrive at highly dispersed catalysts,” </w:t>
      </w:r>
      <w:r w:rsidRPr="00EC62EF">
        <w:rPr>
          <w:rFonts w:ascii="Calibri" w:hAnsi="Calibri" w:cs="Calibri"/>
          <w:i/>
          <w:iCs/>
          <w:noProof/>
          <w:szCs w:val="24"/>
        </w:rPr>
        <w:t>J. Catal.</w:t>
      </w:r>
      <w:r w:rsidRPr="00EC62EF">
        <w:rPr>
          <w:rFonts w:ascii="Calibri" w:hAnsi="Calibri" w:cs="Calibri"/>
          <w:noProof/>
          <w:szCs w:val="24"/>
        </w:rPr>
        <w:t>, vol. 260, no. 2, pp. 227–235, 2008.</w:t>
      </w:r>
    </w:p>
    <w:p w14:paraId="10F4D1B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[176]</w:t>
      </w:r>
      <w:r w:rsidRPr="00EC62EF">
        <w:rPr>
          <w:rFonts w:ascii="Calibri" w:hAnsi="Calibri" w:cs="Calibri"/>
          <w:noProof/>
          <w:szCs w:val="24"/>
        </w:rPr>
        <w:tab/>
        <w:t xml:space="preserve">M. Wolters, L. J. W. Van Grotel, T. M. Eggenhuisen, J. R. A. Sietsma, K. P. De Jong, and P. E. De Jongh, “Combining confinement and NO calcination to arrive at highly dispersed supported nickel and cobalt oxide catalysts with a tunable particle size,” </w:t>
      </w:r>
      <w:r w:rsidRPr="00EC62EF">
        <w:rPr>
          <w:rFonts w:ascii="Calibri" w:hAnsi="Calibri" w:cs="Calibri"/>
          <w:i/>
          <w:iCs/>
          <w:noProof/>
          <w:szCs w:val="24"/>
        </w:rPr>
        <w:t>Catal. Today</w:t>
      </w:r>
      <w:r w:rsidRPr="00EC62EF">
        <w:rPr>
          <w:rFonts w:ascii="Calibri" w:hAnsi="Calibri" w:cs="Calibri"/>
          <w:noProof/>
          <w:szCs w:val="24"/>
        </w:rPr>
        <w:t>, vol. 163, no. 1, pp. 27–32, 2011.</w:t>
      </w:r>
    </w:p>
    <w:p w14:paraId="1B1D437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[177]</w:t>
      </w:r>
      <w:r w:rsidRPr="00EC62EF">
        <w:rPr>
          <w:rFonts w:ascii="Calibri" w:hAnsi="Calibri" w:cs="Calibri"/>
          <w:noProof/>
          <w:szCs w:val="24"/>
        </w:rPr>
        <w:tab/>
        <w:t xml:space="preserve">P. Munnik, N. A. Krans, P. E. de Jongh, and K. P. de Jong, “Effects of Drying Conditions on the Synthesis of Co/SiO2and Co/Al2O3Fischer–Tropsch Catalysts,” </w:t>
      </w:r>
      <w:r w:rsidRPr="00EC62EF">
        <w:rPr>
          <w:rFonts w:ascii="Calibri" w:hAnsi="Calibri" w:cs="Calibri"/>
          <w:i/>
          <w:iCs/>
          <w:noProof/>
          <w:szCs w:val="24"/>
        </w:rPr>
        <w:t>ACS Catal.</w:t>
      </w:r>
      <w:r w:rsidRPr="00EC62EF">
        <w:rPr>
          <w:rFonts w:ascii="Calibri" w:hAnsi="Calibri" w:cs="Calibri"/>
          <w:noProof/>
          <w:szCs w:val="24"/>
        </w:rPr>
        <w:t>, vol. 4, no. 9, pp. 3219–3226, 2014.</w:t>
      </w:r>
    </w:p>
    <w:p w14:paraId="4CB2606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[178]</w:t>
      </w:r>
      <w:r w:rsidRPr="00EC62EF">
        <w:rPr>
          <w:rFonts w:ascii="Calibri" w:hAnsi="Calibri" w:cs="Calibri"/>
          <w:noProof/>
          <w:szCs w:val="24"/>
        </w:rPr>
        <w:tab/>
        <w:t xml:space="preserve">P. Munnik, P. E. De Jongh, and K. P. De Jong, “Recent Developments in the Synthesis of Supported Catalysts,” </w:t>
      </w:r>
      <w:r w:rsidRPr="00EC62EF">
        <w:rPr>
          <w:rFonts w:ascii="Calibri" w:hAnsi="Calibri" w:cs="Calibri"/>
          <w:i/>
          <w:iCs/>
          <w:noProof/>
          <w:szCs w:val="24"/>
        </w:rPr>
        <w:t>Chem. Rev.</w:t>
      </w:r>
      <w:r w:rsidRPr="00EC62EF">
        <w:rPr>
          <w:rFonts w:ascii="Calibri" w:hAnsi="Calibri" w:cs="Calibri"/>
          <w:noProof/>
          <w:szCs w:val="24"/>
        </w:rPr>
        <w:t>, vol. 115, no. 14, pp. 6687–6718, 2015.</w:t>
      </w:r>
    </w:p>
    <w:p w14:paraId="722A563E"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[179]</w:t>
      </w:r>
      <w:r w:rsidRPr="00EC62EF">
        <w:rPr>
          <w:rFonts w:ascii="Calibri" w:hAnsi="Calibri" w:cs="Calibri"/>
          <w:noProof/>
          <w:szCs w:val="24"/>
        </w:rPr>
        <w:tab/>
        <w:t xml:space="preserve">T. Van Haasterecht, M. Swart, K. P. De Jong, and J. H. Bitter, “Effect of initial nickel particle size on stability of nickel catalysts for aqueous phase reforming,” </w:t>
      </w:r>
      <w:r w:rsidRPr="00EC62EF">
        <w:rPr>
          <w:rFonts w:ascii="Calibri" w:hAnsi="Calibri" w:cs="Calibri"/>
          <w:i/>
          <w:iCs/>
          <w:noProof/>
          <w:szCs w:val="24"/>
        </w:rPr>
        <w:t>J. Energy Chem.</w:t>
      </w:r>
      <w:r w:rsidRPr="00EC62EF">
        <w:rPr>
          <w:rFonts w:ascii="Calibri" w:hAnsi="Calibri" w:cs="Calibri"/>
          <w:noProof/>
          <w:szCs w:val="24"/>
        </w:rPr>
        <w:t>, vol. 25, no. 2, pp. 289–296, 2016.</w:t>
      </w:r>
    </w:p>
    <w:p w14:paraId="5D3B732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[180]</w:t>
      </w:r>
      <w:r w:rsidRPr="00EC62EF">
        <w:rPr>
          <w:rFonts w:ascii="Calibri" w:hAnsi="Calibri" w:cs="Calibri"/>
          <w:noProof/>
          <w:szCs w:val="24"/>
        </w:rPr>
        <w:tab/>
        <w:t xml:space="preserve">M. Wolters, P. Munnik, J. H. Bitter, P. E. de Jongh, and K. P. de Jong, “How NO Affects Nickel and Cobalt Nitrates at Low Temperatures To Arrive at Highly Dispersed Silica-Supported Nickel and Cobalt Catalysts,” </w:t>
      </w:r>
      <w:r w:rsidRPr="00EC62EF">
        <w:rPr>
          <w:rFonts w:ascii="Calibri" w:hAnsi="Calibri" w:cs="Calibri"/>
          <w:i/>
          <w:iCs/>
          <w:noProof/>
          <w:szCs w:val="24"/>
        </w:rPr>
        <w:t>J. Phys. Chem. C</w:t>
      </w:r>
      <w:r w:rsidRPr="00EC62EF">
        <w:rPr>
          <w:rFonts w:ascii="Calibri" w:hAnsi="Calibri" w:cs="Calibri"/>
          <w:noProof/>
          <w:szCs w:val="24"/>
        </w:rPr>
        <w:t>, vol. 115, no. 8, pp. 3332–3339, 2011.</w:t>
      </w:r>
    </w:p>
    <w:p w14:paraId="4CBD3E9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[181]</w:t>
      </w:r>
      <w:r w:rsidRPr="00EC62EF">
        <w:rPr>
          <w:rFonts w:ascii="Calibri" w:hAnsi="Calibri" w:cs="Calibri"/>
          <w:noProof/>
          <w:szCs w:val="24"/>
        </w:rPr>
        <w:tab/>
        <w:t xml:space="preserve">J. G. Jackson, R. W. Fonseca, and J. A. Holcombe, “Mass spectral studies of thermal decomposition of metal nitrates,” </w:t>
      </w:r>
      <w:r w:rsidRPr="00EC62EF">
        <w:rPr>
          <w:rFonts w:ascii="Calibri" w:hAnsi="Calibri" w:cs="Calibri"/>
          <w:i/>
          <w:iCs/>
          <w:noProof/>
          <w:szCs w:val="24"/>
        </w:rPr>
        <w:t>Spectrochim. Acta Part B At. Spectrosc.</w:t>
      </w:r>
      <w:r w:rsidRPr="00EC62EF">
        <w:rPr>
          <w:rFonts w:ascii="Calibri" w:hAnsi="Calibri" w:cs="Calibri"/>
          <w:noProof/>
          <w:szCs w:val="24"/>
        </w:rPr>
        <w:t>, vol. 50, no. 12, pp. 1449–1457, 1995.</w:t>
      </w:r>
    </w:p>
    <w:p w14:paraId="1315F84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[182]</w:t>
      </w:r>
      <w:r w:rsidRPr="00EC62EF">
        <w:rPr>
          <w:rFonts w:ascii="Calibri" w:hAnsi="Calibri" w:cs="Calibri"/>
          <w:noProof/>
          <w:szCs w:val="24"/>
        </w:rPr>
        <w:tab/>
        <w:t xml:space="preserve">J. M. Criado, A. Ortega, and C. Real, “Mechanism of the thermal decomposition of anhydrous nickel nitrate,” </w:t>
      </w:r>
      <w:r w:rsidRPr="00EC62EF">
        <w:rPr>
          <w:rFonts w:ascii="Calibri" w:hAnsi="Calibri" w:cs="Calibri"/>
          <w:i/>
          <w:iCs/>
          <w:noProof/>
          <w:szCs w:val="24"/>
        </w:rPr>
        <w:t>React. Solids</w:t>
      </w:r>
      <w:r w:rsidRPr="00EC62EF">
        <w:rPr>
          <w:rFonts w:ascii="Calibri" w:hAnsi="Calibri" w:cs="Calibri"/>
          <w:noProof/>
          <w:szCs w:val="24"/>
        </w:rPr>
        <w:t>, vol. 4, no. 1–2, pp. 93–103, Oct. 1987.</w:t>
      </w:r>
    </w:p>
    <w:p w14:paraId="4CE266B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lastRenderedPageBreak/>
        <w:t>[183]</w:t>
      </w:r>
      <w:r w:rsidRPr="00EC62EF">
        <w:rPr>
          <w:rFonts w:ascii="Calibri" w:hAnsi="Calibri" w:cs="Calibri"/>
          <w:noProof/>
          <w:szCs w:val="24"/>
        </w:rPr>
        <w:tab/>
        <w:t xml:space="preserve">S. Yuvaraj, F. Y. Lin, T. H. Chang, and C. T. Yeh, “Thermal decomposition of metal nitrates in air and hydrogen environments,” </w:t>
      </w:r>
      <w:r w:rsidRPr="00EC62EF">
        <w:rPr>
          <w:rFonts w:ascii="Calibri" w:hAnsi="Calibri" w:cs="Calibri"/>
          <w:i/>
          <w:iCs/>
          <w:noProof/>
          <w:szCs w:val="24"/>
        </w:rPr>
        <w:t>J. Phys. Chem. B</w:t>
      </w:r>
      <w:r w:rsidRPr="00EC62EF">
        <w:rPr>
          <w:rFonts w:ascii="Calibri" w:hAnsi="Calibri" w:cs="Calibri"/>
          <w:noProof/>
          <w:szCs w:val="24"/>
        </w:rPr>
        <w:t>, vol. 107, no. 4, pp. 1044–1047, 2003.</w:t>
      </w:r>
    </w:p>
    <w:p w14:paraId="248BCA7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[184]</w:t>
      </w:r>
      <w:r w:rsidRPr="00EC62EF">
        <w:rPr>
          <w:rFonts w:ascii="Calibri" w:hAnsi="Calibri" w:cs="Calibri"/>
          <w:noProof/>
          <w:szCs w:val="24"/>
        </w:rPr>
        <w:tab/>
        <w:t xml:space="preserve">C. C. Addison and N. Logan, “Anhydrous Metal Nitrates,” </w:t>
      </w:r>
      <w:r w:rsidRPr="00EC62EF">
        <w:rPr>
          <w:rFonts w:ascii="Calibri" w:hAnsi="Calibri" w:cs="Calibri"/>
          <w:i/>
          <w:iCs/>
          <w:noProof/>
          <w:szCs w:val="24"/>
        </w:rPr>
        <w:t>Advances in Inorganic Chemistry and Radiochemistry</w:t>
      </w:r>
      <w:r w:rsidRPr="00EC62EF">
        <w:rPr>
          <w:rFonts w:ascii="Calibri" w:hAnsi="Calibri" w:cs="Calibri"/>
          <w:noProof/>
          <w:szCs w:val="24"/>
        </w:rPr>
        <w:t>, vol. 6. pp. 71–142, 1964.</w:t>
      </w:r>
    </w:p>
    <w:p w14:paraId="21E3B38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[185]</w:t>
      </w:r>
      <w:r w:rsidRPr="00EC62EF">
        <w:rPr>
          <w:rFonts w:ascii="Calibri" w:hAnsi="Calibri" w:cs="Calibri"/>
          <w:noProof/>
          <w:szCs w:val="24"/>
        </w:rPr>
        <w:tab/>
        <w:t xml:space="preserve">S. Yuvaraj, F. Y. Lin, T. H. Chang, and C. T. Yeh, “Thermal decomposition of metal nitrates in air and hydrogen environments,” </w:t>
      </w:r>
      <w:r w:rsidRPr="00EC62EF">
        <w:rPr>
          <w:rFonts w:ascii="Calibri" w:hAnsi="Calibri" w:cs="Calibri"/>
          <w:i/>
          <w:iCs/>
          <w:noProof/>
          <w:szCs w:val="24"/>
        </w:rPr>
        <w:t>J. Phys. Chem. B</w:t>
      </w:r>
      <w:r w:rsidRPr="00EC62EF">
        <w:rPr>
          <w:rFonts w:ascii="Calibri" w:hAnsi="Calibri" w:cs="Calibri"/>
          <w:noProof/>
          <w:szCs w:val="24"/>
        </w:rPr>
        <w:t>, vol. 107, no. 4, pp. 1044–1047, 2003.</w:t>
      </w:r>
    </w:p>
    <w:p w14:paraId="376A98D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[186]</w:t>
      </w:r>
      <w:r w:rsidRPr="00EC62EF">
        <w:rPr>
          <w:rFonts w:ascii="Calibri" w:hAnsi="Calibri" w:cs="Calibri"/>
          <w:noProof/>
          <w:szCs w:val="24"/>
        </w:rPr>
        <w:tab/>
        <w:t xml:space="preserve">A. Davidson, J. F. Tempere, M. Che, H. Roulet, and G. Dufour, “Spectroscopic studies of nickel(II) and nickel(III) species generated upon thermal treatments of nickel/ceria-supported materials,” </w:t>
      </w:r>
      <w:r w:rsidRPr="00EC62EF">
        <w:rPr>
          <w:rFonts w:ascii="Calibri" w:hAnsi="Calibri" w:cs="Calibri"/>
          <w:i/>
          <w:iCs/>
          <w:noProof/>
          <w:szCs w:val="24"/>
        </w:rPr>
        <w:t>J. Phys. Chem.</w:t>
      </w:r>
      <w:r w:rsidRPr="00EC62EF">
        <w:rPr>
          <w:rFonts w:ascii="Calibri" w:hAnsi="Calibri" w:cs="Calibri"/>
          <w:noProof/>
          <w:szCs w:val="24"/>
        </w:rPr>
        <w:t>, vol. 100, no. 12, pp. 4919–4929, 1996.</w:t>
      </w:r>
    </w:p>
    <w:p w14:paraId="0F7600F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[187]</w:t>
      </w:r>
      <w:r w:rsidRPr="00EC62EF">
        <w:rPr>
          <w:rFonts w:ascii="Calibri" w:hAnsi="Calibri" w:cs="Calibri"/>
          <w:noProof/>
          <w:szCs w:val="24"/>
        </w:rPr>
        <w:tab/>
        <w:t>G. Prieto, J. Zecevic, H. Friedrich, K. P. de Jong, and P. E. de Jongh, “- Towards Stable Catalysts by Controlling Collective Properties of Supported Metal Nanoparticles,” vol. 12.</w:t>
      </w:r>
    </w:p>
    <w:p w14:paraId="3D0FD88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[188]</w:t>
      </w:r>
      <w:r w:rsidRPr="00EC62EF">
        <w:rPr>
          <w:rFonts w:ascii="Calibri" w:hAnsi="Calibri" w:cs="Calibri"/>
          <w:noProof/>
          <w:szCs w:val="24"/>
        </w:rPr>
        <w:tab/>
        <w:t xml:space="preserve">Z. Gao, E. C. Miller, P. W. Voorhees, Q. Sherman, and S. A. Barnett, “Stability of Nickel-Infiltrated Anodes in Intermediate Temperature SOFCs,” in </w:t>
      </w:r>
      <w:r w:rsidRPr="00EC62EF">
        <w:rPr>
          <w:rFonts w:ascii="Calibri" w:hAnsi="Calibri" w:cs="Calibri"/>
          <w:i/>
          <w:iCs/>
          <w:noProof/>
          <w:szCs w:val="24"/>
        </w:rPr>
        <w:t>ECS Transactions</w:t>
      </w:r>
      <w:r w:rsidRPr="00EC62EF">
        <w:rPr>
          <w:rFonts w:ascii="Calibri" w:hAnsi="Calibri" w:cs="Calibri"/>
          <w:noProof/>
          <w:szCs w:val="24"/>
        </w:rPr>
        <w:t>, 2015, 1st ed., vol. 68, no. 1, pp. 1245–1254.</w:t>
      </w:r>
    </w:p>
    <w:p w14:paraId="23F3646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[189]</w:t>
      </w:r>
      <w:r w:rsidRPr="00EC62EF">
        <w:rPr>
          <w:rFonts w:ascii="Calibri" w:hAnsi="Calibri" w:cs="Calibri"/>
          <w:noProof/>
          <w:szCs w:val="24"/>
        </w:rPr>
        <w:tab/>
        <w:t xml:space="preserve">J.-S. Kim </w:t>
      </w:r>
      <w:r w:rsidRPr="00EC62EF">
        <w:rPr>
          <w:rFonts w:ascii="Calibri" w:hAnsi="Calibri" w:cs="Calibri"/>
          <w:i/>
          <w:iCs/>
          <w:noProof/>
          <w:szCs w:val="24"/>
        </w:rPr>
        <w:t>et al.</w:t>
      </w:r>
      <w:r w:rsidRPr="00EC62EF">
        <w:rPr>
          <w:rFonts w:ascii="Calibri" w:hAnsi="Calibri" w:cs="Calibri"/>
          <w:noProof/>
          <w:szCs w:val="24"/>
        </w:rPr>
        <w:t xml:space="preserve">, “Highly Active and Thermally Stable Core-Shell Catalysts for Solid Oxide Fuel Cells,” </w:t>
      </w:r>
      <w:r w:rsidRPr="00EC62EF">
        <w:rPr>
          <w:rFonts w:ascii="Calibri" w:hAnsi="Calibri" w:cs="Calibri"/>
          <w:i/>
          <w:iCs/>
          <w:noProof/>
          <w:szCs w:val="24"/>
        </w:rPr>
        <w:t>J. Electrochem. Soc.</w:t>
      </w:r>
      <w:r w:rsidRPr="00EC62EF">
        <w:rPr>
          <w:rFonts w:ascii="Calibri" w:hAnsi="Calibri" w:cs="Calibri"/>
          <w:noProof/>
          <w:szCs w:val="24"/>
        </w:rPr>
        <w:t>, vol. 158, no. 6, p. B596, 2011.</w:t>
      </w:r>
    </w:p>
    <w:p w14:paraId="4B5E97D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[190]</w:t>
      </w:r>
      <w:r w:rsidRPr="00EC62EF">
        <w:rPr>
          <w:rFonts w:ascii="Calibri" w:hAnsi="Calibri" w:cs="Calibri"/>
          <w:noProof/>
          <w:szCs w:val="24"/>
        </w:rPr>
        <w:tab/>
        <w:t xml:space="preserve">M. A. A. Elmasry, A. Gaber, and E. M. H. Khater, “Thermal decomposition of Ni(II) and Fe(III) nitrates and their mixture,” </w:t>
      </w:r>
      <w:r w:rsidRPr="00EC62EF">
        <w:rPr>
          <w:rFonts w:ascii="Calibri" w:hAnsi="Calibri" w:cs="Calibri"/>
          <w:i/>
          <w:iCs/>
          <w:noProof/>
          <w:szCs w:val="24"/>
        </w:rPr>
        <w:t>J. Therm. Anal. Calorim.</w:t>
      </w:r>
      <w:r w:rsidRPr="00EC62EF">
        <w:rPr>
          <w:rFonts w:ascii="Calibri" w:hAnsi="Calibri" w:cs="Calibri"/>
          <w:noProof/>
          <w:szCs w:val="24"/>
        </w:rPr>
        <w:t>, vol. 52, no. 2, pp. 489–495, 1998.</w:t>
      </w:r>
    </w:p>
    <w:p w14:paraId="06F3A1D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[191]</w:t>
      </w:r>
      <w:r w:rsidRPr="00EC62EF">
        <w:rPr>
          <w:rFonts w:ascii="Calibri" w:hAnsi="Calibri" w:cs="Calibri"/>
          <w:noProof/>
          <w:szCs w:val="24"/>
        </w:rPr>
        <w:tab/>
        <w:t xml:space="preserve">J. M. Criado, A. Ortega, and C. Real, “Mechanism of the thermal decomposition of anhydrous nickel nitrate,” </w:t>
      </w:r>
      <w:r w:rsidRPr="00EC62EF">
        <w:rPr>
          <w:rFonts w:ascii="Calibri" w:hAnsi="Calibri" w:cs="Calibri"/>
          <w:i/>
          <w:iCs/>
          <w:noProof/>
          <w:szCs w:val="24"/>
        </w:rPr>
        <w:t>React. Solids</w:t>
      </w:r>
      <w:r w:rsidRPr="00EC62EF">
        <w:rPr>
          <w:rFonts w:ascii="Calibri" w:hAnsi="Calibri" w:cs="Calibri"/>
          <w:noProof/>
          <w:szCs w:val="24"/>
        </w:rPr>
        <w:t>, vol. 4, no. 1–2, pp. 93–103, 1987.</w:t>
      </w:r>
    </w:p>
    <w:p w14:paraId="4B95932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[192]</w:t>
      </w:r>
      <w:r w:rsidRPr="00EC62EF">
        <w:rPr>
          <w:rFonts w:ascii="Calibri" w:hAnsi="Calibri" w:cs="Calibri"/>
          <w:noProof/>
          <w:szCs w:val="24"/>
        </w:rPr>
        <w:tab/>
        <w:t xml:space="preserve">W. Brockner, C. Ehrhardt, and M. Gjikaj, “Thermal decomposition of nickel nitrate hexahydrate, Ni(NO3)2·6H2O, in comparison to Co(NO3)2·6H2O and Ca(NO3)2·4H2O,” </w:t>
      </w:r>
      <w:r w:rsidRPr="00EC62EF">
        <w:rPr>
          <w:rFonts w:ascii="Calibri" w:hAnsi="Calibri" w:cs="Calibri"/>
          <w:i/>
          <w:iCs/>
          <w:noProof/>
          <w:szCs w:val="24"/>
        </w:rPr>
        <w:t>Thermochim. Acta</w:t>
      </w:r>
      <w:r w:rsidRPr="00EC62EF">
        <w:rPr>
          <w:rFonts w:ascii="Calibri" w:hAnsi="Calibri" w:cs="Calibri"/>
          <w:noProof/>
          <w:szCs w:val="24"/>
        </w:rPr>
        <w:t>, vol. 456, no. 1, pp. 64–68, 2007.</w:t>
      </w:r>
    </w:p>
    <w:p w14:paraId="443BCA7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[193]</w:t>
      </w:r>
      <w:r w:rsidRPr="00EC62EF">
        <w:rPr>
          <w:rFonts w:ascii="Calibri" w:hAnsi="Calibri" w:cs="Calibri"/>
          <w:noProof/>
          <w:szCs w:val="24"/>
        </w:rPr>
        <w:tab/>
        <w:t xml:space="preserve">G. Prieto, J. Zečević, H. Friedrich, K. P. de Jong, and P. E. de Jongh, “Towards stable catalysts by controlling collective properties of supported metal nanoparticles,” </w:t>
      </w:r>
      <w:r w:rsidRPr="00EC62EF">
        <w:rPr>
          <w:rFonts w:ascii="Calibri" w:hAnsi="Calibri" w:cs="Calibri"/>
          <w:i/>
          <w:iCs/>
          <w:noProof/>
          <w:szCs w:val="24"/>
        </w:rPr>
        <w:t>Nat Mater</w:t>
      </w:r>
      <w:r w:rsidRPr="00EC62EF">
        <w:rPr>
          <w:rFonts w:ascii="Calibri" w:hAnsi="Calibri" w:cs="Calibri"/>
          <w:noProof/>
          <w:szCs w:val="24"/>
        </w:rPr>
        <w:t>, vol. 12, no. 1, pp. 34–39, 2013.</w:t>
      </w:r>
    </w:p>
    <w:p w14:paraId="44D2012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[194]</w:t>
      </w:r>
      <w:r w:rsidRPr="00EC62EF">
        <w:rPr>
          <w:rFonts w:ascii="Calibri" w:hAnsi="Calibri" w:cs="Calibri"/>
          <w:noProof/>
          <w:szCs w:val="24"/>
        </w:rPr>
        <w:tab/>
        <w:t xml:space="preserve">C. H. Bartholomew and R. J. Farrauto, “Chemistry of nickel-alumina catalysts,” </w:t>
      </w:r>
      <w:r w:rsidRPr="00EC62EF">
        <w:rPr>
          <w:rFonts w:ascii="Calibri" w:hAnsi="Calibri" w:cs="Calibri"/>
          <w:i/>
          <w:iCs/>
          <w:noProof/>
          <w:szCs w:val="24"/>
        </w:rPr>
        <w:t>J. Catal.</w:t>
      </w:r>
      <w:r w:rsidRPr="00EC62EF">
        <w:rPr>
          <w:rFonts w:ascii="Calibri" w:hAnsi="Calibri" w:cs="Calibri"/>
          <w:noProof/>
          <w:szCs w:val="24"/>
        </w:rPr>
        <w:t>, vol. 45, no. 1, pp. 41–53, 1976.</w:t>
      </w:r>
    </w:p>
    <w:p w14:paraId="4783268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[195]</w:t>
      </w:r>
      <w:r w:rsidRPr="00EC62EF">
        <w:rPr>
          <w:rFonts w:ascii="Calibri" w:hAnsi="Calibri" w:cs="Calibri"/>
          <w:noProof/>
          <w:szCs w:val="24"/>
        </w:rPr>
        <w:tab/>
        <w:t xml:space="preserve">W. Brockner, C. Ehrhardt, and M. Gjikaj, “Thermal decomposition of nickel nitrate hexahydrate, Ni(NO3)2·6H2O, in comparison to Co(NO3)2·6H2O and Ca(NO3)2·4H2O,” </w:t>
      </w:r>
      <w:r w:rsidRPr="00EC62EF">
        <w:rPr>
          <w:rFonts w:ascii="Calibri" w:hAnsi="Calibri" w:cs="Calibri"/>
          <w:i/>
          <w:iCs/>
          <w:noProof/>
          <w:szCs w:val="24"/>
        </w:rPr>
        <w:t>Thermochim. Acta</w:t>
      </w:r>
      <w:r w:rsidRPr="00EC62EF">
        <w:rPr>
          <w:rFonts w:ascii="Calibri" w:hAnsi="Calibri" w:cs="Calibri"/>
          <w:noProof/>
          <w:szCs w:val="24"/>
        </w:rPr>
        <w:t>, vol. 456, no. 1, pp. 64–68, May 2007.</w:t>
      </w:r>
    </w:p>
    <w:p w14:paraId="0D6A28C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[196]</w:t>
      </w:r>
      <w:r w:rsidRPr="00EC62EF">
        <w:rPr>
          <w:rFonts w:ascii="Calibri" w:hAnsi="Calibri" w:cs="Calibri"/>
          <w:noProof/>
          <w:szCs w:val="24"/>
        </w:rPr>
        <w:tab/>
        <w:t xml:space="preserve">O. Kletenik-Edelman, E. Ploshnik, A. Salant, R. Shenhar, U. Banin, and E. Rabani, “Drying-mediated hierarchical self-assembly of nanoparticles: A dynamical coarse-grained approach,” </w:t>
      </w:r>
      <w:r w:rsidRPr="00EC62EF">
        <w:rPr>
          <w:rFonts w:ascii="Calibri" w:hAnsi="Calibri" w:cs="Calibri"/>
          <w:i/>
          <w:iCs/>
          <w:noProof/>
          <w:szCs w:val="24"/>
        </w:rPr>
        <w:t>J. Phys. Chem. C</w:t>
      </w:r>
      <w:r w:rsidRPr="00EC62EF">
        <w:rPr>
          <w:rFonts w:ascii="Calibri" w:hAnsi="Calibri" w:cs="Calibri"/>
          <w:noProof/>
          <w:szCs w:val="24"/>
        </w:rPr>
        <w:t>, vol. 112, no. 12, pp. 4498–4506, 2008.</w:t>
      </w:r>
    </w:p>
    <w:p w14:paraId="3CABB11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[197]</w:t>
      </w:r>
      <w:r w:rsidRPr="00EC62EF">
        <w:rPr>
          <w:rFonts w:ascii="Calibri" w:hAnsi="Calibri" w:cs="Calibri"/>
          <w:noProof/>
          <w:szCs w:val="24"/>
        </w:rPr>
        <w:tab/>
        <w:t xml:space="preserve">A. J. van Dillen, R. J. A. M. Terörde, D. J. Lensveld, J. W. Geus, and K. P. de Jong, “Synthesis of supported catalysts by impregnation and drying using aqueous chelated metal complexes,” </w:t>
      </w:r>
      <w:r w:rsidRPr="00EC62EF">
        <w:rPr>
          <w:rFonts w:ascii="Calibri" w:hAnsi="Calibri" w:cs="Calibri"/>
          <w:i/>
          <w:iCs/>
          <w:noProof/>
          <w:szCs w:val="24"/>
        </w:rPr>
        <w:t>J. Catal.</w:t>
      </w:r>
      <w:r w:rsidRPr="00EC62EF">
        <w:rPr>
          <w:rFonts w:ascii="Calibri" w:hAnsi="Calibri" w:cs="Calibri"/>
          <w:noProof/>
          <w:szCs w:val="24"/>
        </w:rPr>
        <w:t>, vol. 216, no. 1–2, pp. 257–264, 2003.</w:t>
      </w:r>
    </w:p>
    <w:p w14:paraId="21B6764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[198]</w:t>
      </w:r>
      <w:r w:rsidRPr="00EC62EF">
        <w:rPr>
          <w:rFonts w:ascii="Calibri" w:hAnsi="Calibri" w:cs="Calibri"/>
          <w:noProof/>
          <w:szCs w:val="24"/>
        </w:rPr>
        <w:tab/>
        <w:t xml:space="preserve">K. Petrov and L. Markov, “Preparation of copper-cobalt oxide spinels by thermal decomposition of copper-cobalt basic nitrate mixed crystals,” </w:t>
      </w:r>
      <w:r w:rsidRPr="00EC62EF">
        <w:rPr>
          <w:rFonts w:ascii="Calibri" w:hAnsi="Calibri" w:cs="Calibri"/>
          <w:i/>
          <w:iCs/>
          <w:noProof/>
          <w:szCs w:val="24"/>
        </w:rPr>
        <w:t>J. Mater. Sci.</w:t>
      </w:r>
      <w:r w:rsidRPr="00EC62EF">
        <w:rPr>
          <w:rFonts w:ascii="Calibri" w:hAnsi="Calibri" w:cs="Calibri"/>
          <w:noProof/>
          <w:szCs w:val="24"/>
        </w:rPr>
        <w:t>, vol. 20, no. 4, pp. 1211–1214, 1985.</w:t>
      </w:r>
    </w:p>
    <w:p w14:paraId="6FE5873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[199]</w:t>
      </w:r>
      <w:r w:rsidRPr="00EC62EF">
        <w:rPr>
          <w:rFonts w:ascii="Calibri" w:hAnsi="Calibri" w:cs="Calibri"/>
          <w:noProof/>
          <w:szCs w:val="24"/>
        </w:rPr>
        <w:tab/>
        <w:t xml:space="preserve">I. V. Morozov, K. O. Znamenkov, Y. M. Korenev, and O. A. Shlyakhtin, “Thermal decomposition of Cu(NO3)2·3H2O at reduced pressures,” </w:t>
      </w:r>
      <w:r w:rsidRPr="00EC62EF">
        <w:rPr>
          <w:rFonts w:ascii="Calibri" w:hAnsi="Calibri" w:cs="Calibri"/>
          <w:i/>
          <w:iCs/>
          <w:noProof/>
          <w:szCs w:val="24"/>
        </w:rPr>
        <w:t>Thermochim. Acta</w:t>
      </w:r>
      <w:r w:rsidRPr="00EC62EF">
        <w:rPr>
          <w:rFonts w:ascii="Calibri" w:hAnsi="Calibri" w:cs="Calibri"/>
          <w:noProof/>
          <w:szCs w:val="24"/>
        </w:rPr>
        <w:t xml:space="preserve">, vol. 403, no. 2, pp. 173–179, </w:t>
      </w:r>
      <w:r w:rsidRPr="00EC62EF">
        <w:rPr>
          <w:rFonts w:ascii="Calibri" w:hAnsi="Calibri" w:cs="Calibri"/>
          <w:noProof/>
          <w:szCs w:val="24"/>
        </w:rPr>
        <w:lastRenderedPageBreak/>
        <w:t>2003.</w:t>
      </w:r>
    </w:p>
    <w:p w14:paraId="5380627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[200]</w:t>
      </w:r>
      <w:r w:rsidRPr="00EC62EF">
        <w:rPr>
          <w:rFonts w:ascii="Calibri" w:hAnsi="Calibri" w:cs="Calibri"/>
          <w:noProof/>
          <w:szCs w:val="24"/>
        </w:rPr>
        <w:tab/>
        <w:t xml:space="preserve">J. R. A. Sietsma </w:t>
      </w:r>
      <w:r w:rsidRPr="00EC62EF">
        <w:rPr>
          <w:rFonts w:ascii="Calibri" w:hAnsi="Calibri" w:cs="Calibri"/>
          <w:i/>
          <w:iCs/>
          <w:noProof/>
          <w:szCs w:val="24"/>
        </w:rPr>
        <w:t>et al.</w:t>
      </w:r>
      <w:r w:rsidRPr="00EC62EF">
        <w:rPr>
          <w:rFonts w:ascii="Calibri" w:hAnsi="Calibri" w:cs="Calibri"/>
          <w:noProof/>
          <w:szCs w:val="24"/>
        </w:rPr>
        <w:t xml:space="preserve">, “Ordered Mesoporous Silica to Study the Preparation of Ni/SiO2 ex Nitrate Catalysts: Impregnation, Drying, and Thermal Treatments,” </w:t>
      </w:r>
      <w:r w:rsidRPr="00EC62EF">
        <w:rPr>
          <w:rFonts w:ascii="Calibri" w:hAnsi="Calibri" w:cs="Calibri"/>
          <w:i/>
          <w:iCs/>
          <w:noProof/>
          <w:szCs w:val="24"/>
        </w:rPr>
        <w:t>Chem. Mater.</w:t>
      </w:r>
      <w:r w:rsidRPr="00EC62EF">
        <w:rPr>
          <w:rFonts w:ascii="Calibri" w:hAnsi="Calibri" w:cs="Calibri"/>
          <w:noProof/>
          <w:szCs w:val="24"/>
        </w:rPr>
        <w:t>, vol. 20, no. 9, pp. 2921–2931, 2008.</w:t>
      </w:r>
    </w:p>
    <w:p w14:paraId="7F4ECFF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[201]</w:t>
      </w:r>
      <w:r w:rsidRPr="00EC62EF">
        <w:rPr>
          <w:rFonts w:ascii="Calibri" w:hAnsi="Calibri" w:cs="Calibri"/>
          <w:noProof/>
          <w:szCs w:val="24"/>
        </w:rPr>
        <w:tab/>
        <w:t xml:space="preserve">M. Wolters </w:t>
      </w:r>
      <w:r w:rsidRPr="00EC62EF">
        <w:rPr>
          <w:rFonts w:ascii="Calibri" w:hAnsi="Calibri" w:cs="Calibri"/>
          <w:i/>
          <w:iCs/>
          <w:noProof/>
          <w:szCs w:val="24"/>
        </w:rPr>
        <w:t>et al.</w:t>
      </w:r>
      <w:r w:rsidRPr="00EC62EF">
        <w:rPr>
          <w:rFonts w:ascii="Calibri" w:hAnsi="Calibri" w:cs="Calibri"/>
          <w:noProof/>
          <w:szCs w:val="24"/>
        </w:rPr>
        <w:t xml:space="preserve">, “DRIFTS/MS/Isotopic labeling study on the NO-moderated decomposition of a silica-supported nickel nitrate catalyst precursor,” </w:t>
      </w:r>
      <w:r w:rsidRPr="00EC62EF">
        <w:rPr>
          <w:rFonts w:ascii="Calibri" w:hAnsi="Calibri" w:cs="Calibri"/>
          <w:i/>
          <w:iCs/>
          <w:noProof/>
          <w:szCs w:val="24"/>
        </w:rPr>
        <w:t>J. Phys. Chem. C</w:t>
      </w:r>
      <w:r w:rsidRPr="00EC62EF">
        <w:rPr>
          <w:rFonts w:ascii="Calibri" w:hAnsi="Calibri" w:cs="Calibri"/>
          <w:noProof/>
          <w:szCs w:val="24"/>
        </w:rPr>
        <w:t>, vol. 114, no. 17, pp. 7839–7845, 2010.</w:t>
      </w:r>
    </w:p>
    <w:p w14:paraId="0D8C206E"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[202]</w:t>
      </w:r>
      <w:r w:rsidRPr="00EC62EF">
        <w:rPr>
          <w:rFonts w:ascii="Calibri" w:hAnsi="Calibri" w:cs="Calibri"/>
          <w:noProof/>
          <w:szCs w:val="24"/>
        </w:rPr>
        <w:tab/>
        <w:t xml:space="preserve">M. Wolters, P. Munnik, J. H. Bitter, P. E. De Jongh, and K. P. De Jong, “How NO affects nickel and cobalt nitrates at low temperatures to arrive at highly dispersed silica-supported nickel and cobalt catalysts,” </w:t>
      </w:r>
      <w:r w:rsidRPr="00EC62EF">
        <w:rPr>
          <w:rFonts w:ascii="Calibri" w:hAnsi="Calibri" w:cs="Calibri"/>
          <w:i/>
          <w:iCs/>
          <w:noProof/>
          <w:szCs w:val="24"/>
        </w:rPr>
        <w:t>J. Phys. Chem. C</w:t>
      </w:r>
      <w:r w:rsidRPr="00EC62EF">
        <w:rPr>
          <w:rFonts w:ascii="Calibri" w:hAnsi="Calibri" w:cs="Calibri"/>
          <w:noProof/>
          <w:szCs w:val="24"/>
        </w:rPr>
        <w:t>, vol. 115, no. 8, pp. 3332–3339, 2011.</w:t>
      </w:r>
    </w:p>
    <w:p w14:paraId="53C4C15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[203]</w:t>
      </w:r>
      <w:r w:rsidRPr="00EC62EF">
        <w:rPr>
          <w:rFonts w:ascii="Calibri" w:hAnsi="Calibri" w:cs="Calibri"/>
          <w:noProof/>
          <w:szCs w:val="24"/>
        </w:rPr>
        <w:tab/>
        <w:t xml:space="preserve">D. W. Southmayd, C. Contescu, and J. A. Schwarz, “Temperature-programmed reduction and oxidation of nickel supported on WO3-Al2O3 composite oxides,” </w:t>
      </w:r>
      <w:r w:rsidRPr="00EC62EF">
        <w:rPr>
          <w:rFonts w:ascii="Calibri" w:hAnsi="Calibri" w:cs="Calibri"/>
          <w:i/>
          <w:iCs/>
          <w:noProof/>
          <w:szCs w:val="24"/>
        </w:rPr>
        <w:t>J. Chem. Soc. Faraday Trans.</w:t>
      </w:r>
      <w:r w:rsidRPr="00EC62EF">
        <w:rPr>
          <w:rFonts w:ascii="Calibri" w:hAnsi="Calibri" w:cs="Calibri"/>
          <w:noProof/>
          <w:szCs w:val="24"/>
        </w:rPr>
        <w:t>, vol. 89, no. 12, pp. 2075–2083, 1993.</w:t>
      </w:r>
    </w:p>
    <w:p w14:paraId="3E3A65A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[204]</w:t>
      </w:r>
      <w:r w:rsidRPr="00EC62EF">
        <w:rPr>
          <w:rFonts w:ascii="Calibri" w:hAnsi="Calibri" w:cs="Calibri"/>
          <w:noProof/>
          <w:szCs w:val="24"/>
        </w:rPr>
        <w:tab/>
        <w:t xml:space="preserve">C. H. Bartholomew, “Mechanisms of catalyst deactivation,” </w:t>
      </w:r>
      <w:r w:rsidRPr="00EC62EF">
        <w:rPr>
          <w:rFonts w:ascii="Calibri" w:hAnsi="Calibri" w:cs="Calibri"/>
          <w:i/>
          <w:iCs/>
          <w:noProof/>
          <w:szCs w:val="24"/>
        </w:rPr>
        <w:t>Appl. Catal. A Gen.</w:t>
      </w:r>
      <w:r w:rsidRPr="00EC62EF">
        <w:rPr>
          <w:rFonts w:ascii="Calibri" w:hAnsi="Calibri" w:cs="Calibri"/>
          <w:noProof/>
          <w:szCs w:val="24"/>
        </w:rPr>
        <w:t>, vol. 212, no. 1–2, pp. 17–60, Apr. 2001.</w:t>
      </w:r>
    </w:p>
    <w:p w14:paraId="615B585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[205]</w:t>
      </w:r>
      <w:r w:rsidRPr="00EC62EF">
        <w:rPr>
          <w:rFonts w:ascii="Calibri" w:hAnsi="Calibri" w:cs="Calibri"/>
          <w:noProof/>
          <w:szCs w:val="24"/>
        </w:rPr>
        <w:tab/>
        <w:t xml:space="preserve">D. J. C. Yates, W. F. Taylor, and J. H. Sinfelt, “Catalysis over supported metals. I. Kinetics of ethane hydrogenolysis over nickel surfaces of known area,” </w:t>
      </w:r>
      <w:r w:rsidRPr="00EC62EF">
        <w:rPr>
          <w:rFonts w:ascii="Calibri" w:hAnsi="Calibri" w:cs="Calibri"/>
          <w:i/>
          <w:iCs/>
          <w:noProof/>
          <w:szCs w:val="24"/>
        </w:rPr>
        <w:t>J. Am. Chem. Soc.</w:t>
      </w:r>
      <w:r w:rsidRPr="00EC62EF">
        <w:rPr>
          <w:rFonts w:ascii="Calibri" w:hAnsi="Calibri" w:cs="Calibri"/>
          <w:noProof/>
          <w:szCs w:val="24"/>
        </w:rPr>
        <w:t>, vol. 86, no. 15, pp. 2996–3001, 1964.</w:t>
      </w:r>
    </w:p>
    <w:p w14:paraId="0859E2A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[206]</w:t>
      </w:r>
      <w:r w:rsidRPr="00EC62EF">
        <w:rPr>
          <w:rFonts w:ascii="Calibri" w:hAnsi="Calibri" w:cs="Calibri"/>
          <w:noProof/>
          <w:szCs w:val="24"/>
        </w:rPr>
        <w:tab/>
        <w:t xml:space="preserve">S. A. A. Mansour, “Spectroscopic and microscopic investigations of the thermal decomposition of nickel oxysalts: Part 2. Nickel nitrate hexahydrate,” </w:t>
      </w:r>
      <w:r w:rsidRPr="00EC62EF">
        <w:rPr>
          <w:rFonts w:ascii="Calibri" w:hAnsi="Calibri" w:cs="Calibri"/>
          <w:i/>
          <w:iCs/>
          <w:noProof/>
          <w:szCs w:val="24"/>
        </w:rPr>
        <w:t>Thermochim. Acta</w:t>
      </w:r>
      <w:r w:rsidRPr="00EC62EF">
        <w:rPr>
          <w:rFonts w:ascii="Calibri" w:hAnsi="Calibri" w:cs="Calibri"/>
          <w:noProof/>
          <w:szCs w:val="24"/>
        </w:rPr>
        <w:t>, vol. 228, pp. 173–189, 1993.</w:t>
      </w:r>
    </w:p>
    <w:p w14:paraId="7B598FC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[207]</w:t>
      </w:r>
      <w:r w:rsidRPr="00EC62EF">
        <w:rPr>
          <w:rFonts w:ascii="Calibri" w:hAnsi="Calibri" w:cs="Calibri"/>
          <w:noProof/>
          <w:szCs w:val="24"/>
        </w:rPr>
        <w:tab/>
        <w:t xml:space="preserve">B. Małecka, A. Łącz, E. Drożdż, and A. Małecki, “Thermal decomposition of d-metal nitrates supported on alumina,” </w:t>
      </w:r>
      <w:r w:rsidRPr="00EC62EF">
        <w:rPr>
          <w:rFonts w:ascii="Calibri" w:hAnsi="Calibri" w:cs="Calibri"/>
          <w:i/>
          <w:iCs/>
          <w:noProof/>
          <w:szCs w:val="24"/>
        </w:rPr>
        <w:t>J. Therm. Anal. Calorim.</w:t>
      </w:r>
      <w:r w:rsidRPr="00EC62EF">
        <w:rPr>
          <w:rFonts w:ascii="Calibri" w:hAnsi="Calibri" w:cs="Calibri"/>
          <w:noProof/>
          <w:szCs w:val="24"/>
        </w:rPr>
        <w:t>, vol. 119, no. 2, pp. 1053–1061, 2015.</w:t>
      </w:r>
    </w:p>
    <w:p w14:paraId="35ED1D4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[208]</w:t>
      </w:r>
      <w:r w:rsidRPr="00EC62EF">
        <w:rPr>
          <w:rFonts w:ascii="Calibri" w:hAnsi="Calibri" w:cs="Calibri"/>
          <w:noProof/>
          <w:szCs w:val="24"/>
        </w:rPr>
        <w:tab/>
        <w:t xml:space="preserve">S. De Angelis, P. S. Jørgensen, E. H. R. Tsai, M. Holler, K. Kreka, and J. R. Bowen, “Three dimensional characterization of nickel coarsening in solid oxide cells via ex-situ ptychographic nano-tomography,” </w:t>
      </w:r>
      <w:r w:rsidRPr="00EC62EF">
        <w:rPr>
          <w:rFonts w:ascii="Calibri" w:hAnsi="Calibri" w:cs="Calibri"/>
          <w:i/>
          <w:iCs/>
          <w:noProof/>
          <w:szCs w:val="24"/>
        </w:rPr>
        <w:t>J. Power Sources</w:t>
      </w:r>
      <w:r w:rsidRPr="00EC62EF">
        <w:rPr>
          <w:rFonts w:ascii="Calibri" w:hAnsi="Calibri" w:cs="Calibri"/>
          <w:noProof/>
          <w:szCs w:val="24"/>
        </w:rPr>
        <w:t>, vol. 383, no. February, pp. 72–79, 2018.</w:t>
      </w:r>
    </w:p>
    <w:p w14:paraId="64892D4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[209]</w:t>
      </w:r>
      <w:r w:rsidRPr="00EC62EF">
        <w:rPr>
          <w:rFonts w:ascii="Calibri" w:hAnsi="Calibri" w:cs="Calibri"/>
          <w:noProof/>
          <w:szCs w:val="24"/>
        </w:rPr>
        <w:tab/>
        <w:t xml:space="preserve">T. Shimura, Z. Jiao, and N. Shikazono, “Evaluation of nickel-yttria stabilized zirconia anode degradation during discharge operation and redox cycles operation by electrochemical calculation,” </w:t>
      </w:r>
      <w:r w:rsidRPr="00EC62EF">
        <w:rPr>
          <w:rFonts w:ascii="Calibri" w:hAnsi="Calibri" w:cs="Calibri"/>
          <w:i/>
          <w:iCs/>
          <w:noProof/>
          <w:szCs w:val="24"/>
        </w:rPr>
        <w:t>J. Power Sources</w:t>
      </w:r>
      <w:r w:rsidRPr="00EC62EF">
        <w:rPr>
          <w:rFonts w:ascii="Calibri" w:hAnsi="Calibri" w:cs="Calibri"/>
          <w:noProof/>
          <w:szCs w:val="24"/>
        </w:rPr>
        <w:t>, vol. 330, pp. 149–155, 2016.</w:t>
      </w:r>
    </w:p>
    <w:p w14:paraId="7D9B83C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[210]</w:t>
      </w:r>
      <w:r w:rsidRPr="00EC62EF">
        <w:rPr>
          <w:rFonts w:ascii="Calibri" w:hAnsi="Calibri" w:cs="Calibri"/>
          <w:noProof/>
          <w:szCs w:val="24"/>
        </w:rPr>
        <w:tab/>
        <w:t xml:space="preserve">D. W. Dees, T. D. Claar, T. E. Easler, D. C. Fee, and F. C. Mrazek, “Conductivity of Porous Ni∕ZrO2-Y2O3 Cermets,” </w:t>
      </w:r>
      <w:r w:rsidRPr="00EC62EF">
        <w:rPr>
          <w:rFonts w:ascii="Calibri" w:hAnsi="Calibri" w:cs="Calibri"/>
          <w:i/>
          <w:iCs/>
          <w:noProof/>
          <w:szCs w:val="24"/>
        </w:rPr>
        <w:t>J. Electrochem. Soc.</w:t>
      </w:r>
      <w:r w:rsidRPr="00EC62EF">
        <w:rPr>
          <w:rFonts w:ascii="Calibri" w:hAnsi="Calibri" w:cs="Calibri"/>
          <w:noProof/>
          <w:szCs w:val="24"/>
        </w:rPr>
        <w:t>, vol. 134, no. 9, pp. 2141–2146, 1987.</w:t>
      </w:r>
    </w:p>
    <w:p w14:paraId="521BCBA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[211]</w:t>
      </w:r>
      <w:r w:rsidRPr="00EC62EF">
        <w:rPr>
          <w:rFonts w:ascii="Calibri" w:hAnsi="Calibri" w:cs="Calibri"/>
          <w:noProof/>
          <w:szCs w:val="24"/>
        </w:rPr>
        <w:tab/>
        <w:t xml:space="preserve">M. Shishkin and T. Ziegler, “Direct modeling of the electrochemistry in the three-phase boundary of solid oxide fuel cell anodes by density functional theory: A critical overview,” </w:t>
      </w:r>
      <w:r w:rsidRPr="00EC62EF">
        <w:rPr>
          <w:rFonts w:ascii="Calibri" w:hAnsi="Calibri" w:cs="Calibri"/>
          <w:i/>
          <w:iCs/>
          <w:noProof/>
          <w:szCs w:val="24"/>
        </w:rPr>
        <w:t>Phys. Chem. Chem. Phys.</w:t>
      </w:r>
      <w:r w:rsidRPr="00EC62EF">
        <w:rPr>
          <w:rFonts w:ascii="Calibri" w:hAnsi="Calibri" w:cs="Calibri"/>
          <w:noProof/>
          <w:szCs w:val="24"/>
        </w:rPr>
        <w:t>, vol. 16, no. 5, pp. 1798–1808, 2014.</w:t>
      </w:r>
    </w:p>
    <w:p w14:paraId="0F60957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[212]</w:t>
      </w:r>
      <w:r w:rsidRPr="00EC62EF">
        <w:rPr>
          <w:rFonts w:ascii="Calibri" w:hAnsi="Calibri" w:cs="Calibri"/>
          <w:noProof/>
          <w:szCs w:val="24"/>
        </w:rPr>
        <w:tab/>
        <w:t xml:space="preserve">B. Kenney, M. Valdmanis, C. Baker, J. G. Pharoah, and K. Karan, “Computation of TPB length, surface area and pore size from numerical reconstruction of composite solid oxide fuel cell electrodes,” </w:t>
      </w:r>
      <w:r w:rsidRPr="00EC62EF">
        <w:rPr>
          <w:rFonts w:ascii="Calibri" w:hAnsi="Calibri" w:cs="Calibri"/>
          <w:i/>
          <w:iCs/>
          <w:noProof/>
          <w:szCs w:val="24"/>
        </w:rPr>
        <w:t>J. Power Sources</w:t>
      </w:r>
      <w:r w:rsidRPr="00EC62EF">
        <w:rPr>
          <w:rFonts w:ascii="Calibri" w:hAnsi="Calibri" w:cs="Calibri"/>
          <w:noProof/>
          <w:szCs w:val="24"/>
        </w:rPr>
        <w:t>, vol. 189, no. 2, pp. 1051–1059, 2009.</w:t>
      </w:r>
    </w:p>
    <w:p w14:paraId="0752E13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[213]</w:t>
      </w:r>
      <w:r w:rsidRPr="00EC62EF">
        <w:rPr>
          <w:rFonts w:ascii="Calibri" w:hAnsi="Calibri" w:cs="Calibri"/>
          <w:noProof/>
          <w:szCs w:val="24"/>
        </w:rPr>
        <w:tab/>
        <w:t xml:space="preserve">W. G. Bessler </w:t>
      </w:r>
      <w:r w:rsidRPr="00EC62EF">
        <w:rPr>
          <w:rFonts w:ascii="Calibri" w:hAnsi="Calibri" w:cs="Calibri"/>
          <w:i/>
          <w:iCs/>
          <w:noProof/>
          <w:szCs w:val="24"/>
        </w:rPr>
        <w:t>et al.</w:t>
      </w:r>
      <w:r w:rsidRPr="00EC62EF">
        <w:rPr>
          <w:rFonts w:ascii="Calibri" w:hAnsi="Calibri" w:cs="Calibri"/>
          <w:noProof/>
          <w:szCs w:val="24"/>
        </w:rPr>
        <w:t xml:space="preserve">, “Model anodes and anode models for understanding the mechanism of hydrogen oxidation in solid oxide fuel cells,” </w:t>
      </w:r>
      <w:r w:rsidRPr="00EC62EF">
        <w:rPr>
          <w:rFonts w:ascii="Calibri" w:hAnsi="Calibri" w:cs="Calibri"/>
          <w:i/>
          <w:iCs/>
          <w:noProof/>
          <w:szCs w:val="24"/>
        </w:rPr>
        <w:t>Phys. Chem. Chem. Phys.</w:t>
      </w:r>
      <w:r w:rsidRPr="00EC62EF">
        <w:rPr>
          <w:rFonts w:ascii="Calibri" w:hAnsi="Calibri" w:cs="Calibri"/>
          <w:noProof/>
          <w:szCs w:val="24"/>
        </w:rPr>
        <w:t>, vol. 12, no. 42, pp. 13888–13903, 2010.</w:t>
      </w:r>
    </w:p>
    <w:p w14:paraId="1197569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[214]</w:t>
      </w:r>
      <w:r w:rsidRPr="00EC62EF">
        <w:rPr>
          <w:rFonts w:ascii="Calibri" w:hAnsi="Calibri" w:cs="Calibri"/>
          <w:noProof/>
          <w:szCs w:val="24"/>
        </w:rPr>
        <w:tab/>
        <w:t xml:space="preserve">M. Shishkin and T. Ziegler, “Direct modeling of the electrochemistry in the three-phase boundary of solid oxide fuel cell anodes by density functional theory: a critical overview,” </w:t>
      </w:r>
      <w:r w:rsidRPr="00EC62EF">
        <w:rPr>
          <w:rFonts w:ascii="Calibri" w:hAnsi="Calibri" w:cs="Calibri"/>
          <w:i/>
          <w:iCs/>
          <w:noProof/>
          <w:szCs w:val="24"/>
        </w:rPr>
        <w:t>Phys. Chem. Chem. Phys.</w:t>
      </w:r>
      <w:r w:rsidRPr="00EC62EF">
        <w:rPr>
          <w:rFonts w:ascii="Calibri" w:hAnsi="Calibri" w:cs="Calibri"/>
          <w:noProof/>
          <w:szCs w:val="24"/>
        </w:rPr>
        <w:t>, vol. 16, no. 5, pp. 1798–1808, 2014.</w:t>
      </w:r>
    </w:p>
    <w:p w14:paraId="75E1EDF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lastRenderedPageBreak/>
        <w:t>[215]</w:t>
      </w:r>
      <w:r w:rsidRPr="00EC62EF">
        <w:rPr>
          <w:rFonts w:ascii="Calibri" w:hAnsi="Calibri" w:cs="Calibri"/>
          <w:noProof/>
          <w:szCs w:val="24"/>
        </w:rPr>
        <w:tab/>
        <w:t xml:space="preserve">N. Q. Minh, “Cermic Fuel Cells,” </w:t>
      </w:r>
      <w:r w:rsidRPr="00EC62EF">
        <w:rPr>
          <w:rFonts w:ascii="Calibri" w:hAnsi="Calibri" w:cs="Calibri"/>
          <w:i/>
          <w:iCs/>
          <w:noProof/>
          <w:szCs w:val="24"/>
        </w:rPr>
        <w:t>J. ther Am. Ceram. Soc.</w:t>
      </w:r>
      <w:r w:rsidRPr="00EC62EF">
        <w:rPr>
          <w:rFonts w:ascii="Calibri" w:hAnsi="Calibri" w:cs="Calibri"/>
          <w:noProof/>
          <w:szCs w:val="24"/>
        </w:rPr>
        <w:t>, vol. 76, no. 3, pp. 563–588, 1993.</w:t>
      </w:r>
    </w:p>
    <w:p w14:paraId="77731A6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[216]</w:t>
      </w:r>
      <w:r w:rsidRPr="00EC62EF">
        <w:rPr>
          <w:rFonts w:ascii="Calibri" w:hAnsi="Calibri" w:cs="Calibri"/>
          <w:noProof/>
          <w:szCs w:val="24"/>
        </w:rPr>
        <w:tab/>
        <w:t xml:space="preserve">N. Q. Minh, “Ceramic Fuel Cells,” </w:t>
      </w:r>
      <w:r w:rsidRPr="00EC62EF">
        <w:rPr>
          <w:rFonts w:ascii="Calibri" w:hAnsi="Calibri" w:cs="Calibri"/>
          <w:i/>
          <w:iCs/>
          <w:noProof/>
          <w:szCs w:val="24"/>
        </w:rPr>
        <w:t>J. Am. Ceram. Soc.</w:t>
      </w:r>
      <w:r w:rsidRPr="00EC62EF">
        <w:rPr>
          <w:rFonts w:ascii="Calibri" w:hAnsi="Calibri" w:cs="Calibri"/>
          <w:noProof/>
          <w:szCs w:val="24"/>
        </w:rPr>
        <w:t>, vol. 76, no. 3, pp. 563–588, 1993.</w:t>
      </w:r>
    </w:p>
    <w:p w14:paraId="15C812F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[217]</w:t>
      </w:r>
      <w:r w:rsidRPr="00EC62EF">
        <w:rPr>
          <w:rFonts w:ascii="Calibri" w:hAnsi="Calibri" w:cs="Calibri"/>
          <w:noProof/>
          <w:szCs w:val="24"/>
        </w:rPr>
        <w:tab/>
        <w:t xml:space="preserve">A. Faes, A. Hessler-Wyser, D. Presvytes, C. G. Vayenas, and J. Vanherle, “Nickel-zirconia anode degradation and triple phase boundary quantification from microstructural analysis,” </w:t>
      </w:r>
      <w:r w:rsidRPr="00EC62EF">
        <w:rPr>
          <w:rFonts w:ascii="Calibri" w:hAnsi="Calibri" w:cs="Calibri"/>
          <w:i/>
          <w:iCs/>
          <w:noProof/>
          <w:szCs w:val="24"/>
        </w:rPr>
        <w:t>Fuel Cells</w:t>
      </w:r>
      <w:r w:rsidRPr="00EC62EF">
        <w:rPr>
          <w:rFonts w:ascii="Calibri" w:hAnsi="Calibri" w:cs="Calibri"/>
          <w:noProof/>
          <w:szCs w:val="24"/>
        </w:rPr>
        <w:t>, vol. 9, no. 6, pp. 841–851, 2009.</w:t>
      </w:r>
    </w:p>
    <w:p w14:paraId="378C873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[218]</w:t>
      </w:r>
      <w:r w:rsidRPr="00EC62EF">
        <w:rPr>
          <w:rFonts w:ascii="Calibri" w:hAnsi="Calibri" w:cs="Calibri"/>
          <w:noProof/>
          <w:szCs w:val="24"/>
        </w:rPr>
        <w:tab/>
        <w:t xml:space="preserve">K. T. T. Klemensø  M. Chen, H. Wang, “Stability of Ni–yttria stabilized zirconia anodes based on Ni-impregnation,” </w:t>
      </w:r>
      <w:r w:rsidRPr="00EC62EF">
        <w:rPr>
          <w:rFonts w:ascii="Calibri" w:hAnsi="Calibri" w:cs="Calibri"/>
          <w:i/>
          <w:iCs/>
          <w:noProof/>
          <w:szCs w:val="24"/>
        </w:rPr>
        <w:t>J. Power Sources</w:t>
      </w:r>
      <w:r w:rsidRPr="00EC62EF">
        <w:rPr>
          <w:rFonts w:ascii="Calibri" w:hAnsi="Calibri" w:cs="Calibri"/>
          <w:noProof/>
          <w:szCs w:val="24"/>
        </w:rPr>
        <w:t>, vol. 195, pp. 7295–7301, 2010.</w:t>
      </w:r>
    </w:p>
    <w:p w14:paraId="252B272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[219]</w:t>
      </w:r>
      <w:r w:rsidRPr="00EC62EF">
        <w:rPr>
          <w:rFonts w:ascii="Calibri" w:hAnsi="Calibri" w:cs="Calibri"/>
          <w:noProof/>
          <w:szCs w:val="24"/>
        </w:rPr>
        <w:tab/>
        <w:t xml:space="preserve">T. Klemensø, K. Thydén, M. Chen, and H. J. Wang, “Stability of Ni-yttria stabilized zirconia anodes based on Ni-impregnation,” </w:t>
      </w:r>
      <w:r w:rsidRPr="00EC62EF">
        <w:rPr>
          <w:rFonts w:ascii="Calibri" w:hAnsi="Calibri" w:cs="Calibri"/>
          <w:i/>
          <w:iCs/>
          <w:noProof/>
          <w:szCs w:val="24"/>
        </w:rPr>
        <w:t>J. Power Sources</w:t>
      </w:r>
      <w:r w:rsidRPr="00EC62EF">
        <w:rPr>
          <w:rFonts w:ascii="Calibri" w:hAnsi="Calibri" w:cs="Calibri"/>
          <w:noProof/>
          <w:szCs w:val="24"/>
        </w:rPr>
        <w:t>, vol. 195, no. 21, pp. 7295–7301, 2010.</w:t>
      </w:r>
    </w:p>
    <w:p w14:paraId="0389365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[220]</w:t>
      </w:r>
      <w:r w:rsidRPr="00EC62EF">
        <w:rPr>
          <w:rFonts w:ascii="Calibri" w:hAnsi="Calibri" w:cs="Calibri"/>
          <w:noProof/>
          <w:szCs w:val="24"/>
        </w:rPr>
        <w:tab/>
        <w:t xml:space="preserve">T. W. Hansen, A. T. Delariva, S. R. Challa, and A. K. Datye, “Sintering of nanoparticles: Particle Migration or Ostwald Ripening?,” </w:t>
      </w:r>
      <w:r w:rsidRPr="00EC62EF">
        <w:rPr>
          <w:rFonts w:ascii="Calibri" w:hAnsi="Calibri" w:cs="Calibri"/>
          <w:i/>
          <w:iCs/>
          <w:noProof/>
          <w:szCs w:val="24"/>
        </w:rPr>
        <w:t>Acc. Chem. Res.</w:t>
      </w:r>
      <w:r w:rsidRPr="00EC62EF">
        <w:rPr>
          <w:rFonts w:ascii="Calibri" w:hAnsi="Calibri" w:cs="Calibri"/>
          <w:noProof/>
          <w:szCs w:val="24"/>
        </w:rPr>
        <w:t>, vol. 46, no. 8, pp. 1720–1730, 2014.</w:t>
      </w:r>
    </w:p>
    <w:p w14:paraId="41F7870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[221]</w:t>
      </w:r>
      <w:r w:rsidRPr="00EC62EF">
        <w:rPr>
          <w:rFonts w:ascii="Calibri" w:hAnsi="Calibri" w:cs="Calibri"/>
          <w:noProof/>
          <w:szCs w:val="24"/>
        </w:rPr>
        <w:tab/>
        <w:t xml:space="preserve">A. Borodziński and M. Bonarowska, “Relation between crystallite size and dispersion on supported metal catalysts,” </w:t>
      </w:r>
      <w:r w:rsidRPr="00EC62EF">
        <w:rPr>
          <w:rFonts w:ascii="Calibri" w:hAnsi="Calibri" w:cs="Calibri"/>
          <w:i/>
          <w:iCs/>
          <w:noProof/>
          <w:szCs w:val="24"/>
        </w:rPr>
        <w:t>Langmuir</w:t>
      </w:r>
      <w:r w:rsidRPr="00EC62EF">
        <w:rPr>
          <w:rFonts w:ascii="Calibri" w:hAnsi="Calibri" w:cs="Calibri"/>
          <w:noProof/>
          <w:szCs w:val="24"/>
        </w:rPr>
        <w:t>, vol. 13, no. 21, pp. 5613–5620, 1997.</w:t>
      </w:r>
    </w:p>
    <w:p w14:paraId="5003A09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[222]</w:t>
      </w:r>
      <w:r w:rsidRPr="00EC62EF">
        <w:rPr>
          <w:rFonts w:ascii="Calibri" w:hAnsi="Calibri" w:cs="Calibri"/>
          <w:noProof/>
          <w:szCs w:val="24"/>
        </w:rPr>
        <w:tab/>
        <w:t xml:space="preserve">Z. Yang, Z. Zheng, T. Zhu, and M. Han, “Preparation and performance of tri-layer composite anode supported fuel cell,” </w:t>
      </w:r>
      <w:r w:rsidRPr="00EC62EF">
        <w:rPr>
          <w:rFonts w:ascii="Calibri" w:hAnsi="Calibri" w:cs="Calibri"/>
          <w:i/>
          <w:iCs/>
          <w:noProof/>
          <w:szCs w:val="24"/>
        </w:rPr>
        <w:t>Kuei Suan Jen Hsueh Pao/Journal Chinese Ceram. Soc.</w:t>
      </w:r>
      <w:r w:rsidRPr="00EC62EF">
        <w:rPr>
          <w:rFonts w:ascii="Calibri" w:hAnsi="Calibri" w:cs="Calibri"/>
          <w:noProof/>
          <w:szCs w:val="24"/>
        </w:rPr>
        <w:t>, vol. 41, no. 2, pp. 130–133, 2013.</w:t>
      </w:r>
    </w:p>
    <w:p w14:paraId="363559B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[223]</w:t>
      </w:r>
      <w:r w:rsidRPr="00EC62EF">
        <w:rPr>
          <w:rFonts w:ascii="Calibri" w:hAnsi="Calibri" w:cs="Calibri"/>
          <w:noProof/>
          <w:szCs w:val="24"/>
        </w:rPr>
        <w:tab/>
        <w:t xml:space="preserve">A. Borodzinski and M. Bonarowska, “Relation between crystallite size and dispersion on supported metal catalysts,” </w:t>
      </w:r>
      <w:r w:rsidRPr="00EC62EF">
        <w:rPr>
          <w:rFonts w:ascii="Calibri" w:hAnsi="Calibri" w:cs="Calibri"/>
          <w:i/>
          <w:iCs/>
          <w:noProof/>
          <w:szCs w:val="24"/>
        </w:rPr>
        <w:t>Langmuir</w:t>
      </w:r>
      <w:r w:rsidRPr="00EC62EF">
        <w:rPr>
          <w:rFonts w:ascii="Calibri" w:hAnsi="Calibri" w:cs="Calibri"/>
          <w:noProof/>
          <w:szCs w:val="24"/>
        </w:rPr>
        <w:t>, vol. 13, no. 21, pp. 5613–5620, 1997.</w:t>
      </w:r>
    </w:p>
    <w:p w14:paraId="37BE86A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[224]</w:t>
      </w:r>
      <w:r w:rsidRPr="00EC62EF">
        <w:rPr>
          <w:rFonts w:ascii="Calibri" w:hAnsi="Calibri" w:cs="Calibri"/>
          <w:noProof/>
          <w:szCs w:val="24"/>
        </w:rPr>
        <w:tab/>
        <w:t xml:space="preserve">D. Kennouche, Y. C. K. Chen-Wiegart, J. S. Cronin, J. Wang, and S. A. Barnett, “Three-dimensional microstructural evolution of ni-yttria-stabilized zirconia solid oxide fuel cell anodes at elevated temperatures,” </w:t>
      </w:r>
      <w:r w:rsidRPr="00EC62EF">
        <w:rPr>
          <w:rFonts w:ascii="Calibri" w:hAnsi="Calibri" w:cs="Calibri"/>
          <w:i/>
          <w:iCs/>
          <w:noProof/>
          <w:szCs w:val="24"/>
        </w:rPr>
        <w:t>J. Electrochem. Soc.</w:t>
      </w:r>
      <w:r w:rsidRPr="00EC62EF">
        <w:rPr>
          <w:rFonts w:ascii="Calibri" w:hAnsi="Calibri" w:cs="Calibri"/>
          <w:noProof/>
          <w:szCs w:val="24"/>
        </w:rPr>
        <w:t>, vol. 160, no. 11, pp. 1293–1304, 2013.</w:t>
      </w:r>
    </w:p>
    <w:p w14:paraId="2341C7E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[225]</w:t>
      </w:r>
      <w:r w:rsidRPr="00EC62EF">
        <w:rPr>
          <w:rFonts w:ascii="Calibri" w:hAnsi="Calibri" w:cs="Calibri"/>
          <w:noProof/>
          <w:szCs w:val="24"/>
        </w:rPr>
        <w:tab/>
        <w:t xml:space="preserve">E. Ivers-Tiffée </w:t>
      </w:r>
      <w:r w:rsidRPr="00EC62EF">
        <w:rPr>
          <w:rFonts w:ascii="Calibri" w:hAnsi="Calibri" w:cs="Calibri"/>
          <w:i/>
          <w:iCs/>
          <w:noProof/>
          <w:szCs w:val="24"/>
        </w:rPr>
        <w:t>et al.</w:t>
      </w:r>
      <w:r w:rsidRPr="00EC62EF">
        <w:rPr>
          <w:rFonts w:ascii="Calibri" w:hAnsi="Calibri" w:cs="Calibri"/>
          <w:noProof/>
          <w:szCs w:val="24"/>
        </w:rPr>
        <w:t xml:space="preserve">, “Model anodes and anode models for understanding the mechanism of hydrogen oxidation in solid oxide fuel cells,” </w:t>
      </w:r>
      <w:r w:rsidRPr="00EC62EF">
        <w:rPr>
          <w:rFonts w:ascii="Calibri" w:hAnsi="Calibri" w:cs="Calibri"/>
          <w:i/>
          <w:iCs/>
          <w:noProof/>
          <w:szCs w:val="24"/>
        </w:rPr>
        <w:t>Phys. Chem. Chem. Phys.</w:t>
      </w:r>
      <w:r w:rsidRPr="00EC62EF">
        <w:rPr>
          <w:rFonts w:ascii="Calibri" w:hAnsi="Calibri" w:cs="Calibri"/>
          <w:noProof/>
          <w:szCs w:val="24"/>
        </w:rPr>
        <w:t>, vol. 12, no. 42, p. 13888, 2010.</w:t>
      </w:r>
    </w:p>
    <w:p w14:paraId="2D9FE5EE"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[226]</w:t>
      </w:r>
      <w:r w:rsidRPr="00EC62EF">
        <w:rPr>
          <w:rFonts w:ascii="Calibri" w:hAnsi="Calibri" w:cs="Calibri"/>
          <w:noProof/>
          <w:szCs w:val="24"/>
        </w:rPr>
        <w:tab/>
        <w:t xml:space="preserve">M. Kishimoto, H. Iwai, K. Miyawaki, M. Saito, and H. Yoshida, “Improvement of the sub-grid-scale model designed for 3D numerical simulation of solid oxide fuel cell electrodes using an adaptive power index,” </w:t>
      </w:r>
      <w:r w:rsidRPr="00EC62EF">
        <w:rPr>
          <w:rFonts w:ascii="Calibri" w:hAnsi="Calibri" w:cs="Calibri"/>
          <w:i/>
          <w:iCs/>
          <w:noProof/>
          <w:szCs w:val="24"/>
        </w:rPr>
        <w:t>J. Power Sources</w:t>
      </w:r>
      <w:r w:rsidRPr="00EC62EF">
        <w:rPr>
          <w:rFonts w:ascii="Calibri" w:hAnsi="Calibri" w:cs="Calibri"/>
          <w:noProof/>
          <w:szCs w:val="24"/>
        </w:rPr>
        <w:t>, 2013.</w:t>
      </w:r>
    </w:p>
    <w:p w14:paraId="6A44A79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[227]</w:t>
      </w:r>
      <w:r w:rsidRPr="00EC62EF">
        <w:rPr>
          <w:rFonts w:ascii="Calibri" w:hAnsi="Calibri" w:cs="Calibri"/>
          <w:noProof/>
          <w:szCs w:val="24"/>
        </w:rPr>
        <w:tab/>
        <w:t xml:space="preserve">E. Ivers-Tiffée </w:t>
      </w:r>
      <w:r w:rsidRPr="00EC62EF">
        <w:rPr>
          <w:rFonts w:ascii="Calibri" w:hAnsi="Calibri" w:cs="Calibri"/>
          <w:i/>
          <w:iCs/>
          <w:noProof/>
          <w:szCs w:val="24"/>
        </w:rPr>
        <w:t>et al.</w:t>
      </w:r>
      <w:r w:rsidRPr="00EC62EF">
        <w:rPr>
          <w:rFonts w:ascii="Calibri" w:hAnsi="Calibri" w:cs="Calibri"/>
          <w:noProof/>
          <w:szCs w:val="24"/>
        </w:rPr>
        <w:t xml:space="preserve">, “Model anodes and anode models for understanding the mechanism of hydrogen oxidation in solid oxide fuel cells,” </w:t>
      </w:r>
      <w:r w:rsidRPr="00EC62EF">
        <w:rPr>
          <w:rFonts w:ascii="Calibri" w:hAnsi="Calibri" w:cs="Calibri"/>
          <w:i/>
          <w:iCs/>
          <w:noProof/>
          <w:szCs w:val="24"/>
        </w:rPr>
        <w:t>Phys. Chem. Chem. Phys.</w:t>
      </w:r>
      <w:r w:rsidRPr="00EC62EF">
        <w:rPr>
          <w:rFonts w:ascii="Calibri" w:hAnsi="Calibri" w:cs="Calibri"/>
          <w:noProof/>
          <w:szCs w:val="24"/>
        </w:rPr>
        <w:t>, vol. 12, no. 42, p. 13888, 2010.</w:t>
      </w:r>
    </w:p>
    <w:p w14:paraId="66DE144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[228]</w:t>
      </w:r>
      <w:r w:rsidRPr="00EC62EF">
        <w:rPr>
          <w:rFonts w:ascii="Calibri" w:hAnsi="Calibri" w:cs="Calibri"/>
          <w:noProof/>
          <w:szCs w:val="24"/>
        </w:rPr>
        <w:tab/>
        <w:t xml:space="preserve">Y. Liu, Z. Shao, T. Mori, and S. P. Jiang, “Development of nickel based cermet anode materials in solid oxide fuel cells – Now and future,” </w:t>
      </w:r>
      <w:r w:rsidRPr="00EC62EF">
        <w:rPr>
          <w:rFonts w:ascii="Calibri" w:hAnsi="Calibri" w:cs="Calibri"/>
          <w:i/>
          <w:iCs/>
          <w:noProof/>
          <w:szCs w:val="24"/>
        </w:rPr>
        <w:t>Mater. Reports Energy</w:t>
      </w:r>
      <w:r w:rsidRPr="00EC62EF">
        <w:rPr>
          <w:rFonts w:ascii="Calibri" w:hAnsi="Calibri" w:cs="Calibri"/>
          <w:noProof/>
          <w:szCs w:val="24"/>
        </w:rPr>
        <w:t>, no. July, p. 100003, 2020.</w:t>
      </w:r>
    </w:p>
    <w:p w14:paraId="70BE0D5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[229]</w:t>
      </w:r>
      <w:r w:rsidRPr="00EC62EF">
        <w:rPr>
          <w:rFonts w:ascii="Calibri" w:hAnsi="Calibri" w:cs="Calibri"/>
          <w:noProof/>
          <w:szCs w:val="24"/>
        </w:rPr>
        <w:tab/>
        <w:t xml:space="preserve">Z. Cheng, J. H. Wang, Y. Choi, L. Yang, M. C. Lin, and M. Liu, “From Ni-YSZ to sulfur-tolerant anode materials for SOFCs: Electrochemical behavior, in situ characterization, modeling, and future perspectives,” </w:t>
      </w:r>
      <w:r w:rsidRPr="00EC62EF">
        <w:rPr>
          <w:rFonts w:ascii="Calibri" w:hAnsi="Calibri" w:cs="Calibri"/>
          <w:i/>
          <w:iCs/>
          <w:noProof/>
          <w:szCs w:val="24"/>
        </w:rPr>
        <w:t>Energy Environ. Sci.</w:t>
      </w:r>
      <w:r w:rsidRPr="00EC62EF">
        <w:rPr>
          <w:rFonts w:ascii="Calibri" w:hAnsi="Calibri" w:cs="Calibri"/>
          <w:noProof/>
          <w:szCs w:val="24"/>
        </w:rPr>
        <w:t>, vol. 4, no. 11, pp. 4380–4409, 2011.</w:t>
      </w:r>
    </w:p>
    <w:p w14:paraId="461298F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[230]</w:t>
      </w:r>
      <w:r w:rsidRPr="00EC62EF">
        <w:rPr>
          <w:rFonts w:ascii="Calibri" w:hAnsi="Calibri" w:cs="Calibri"/>
          <w:noProof/>
          <w:szCs w:val="24"/>
        </w:rPr>
        <w:tab/>
        <w:t xml:space="preserve">Y. Matsuzaki and I. Yasuda, “The poisoning effect of sulfur-containing impurity gas on a SOFC anode: Part I. Dependence on temperature, time, and impurity concentration,” </w:t>
      </w:r>
      <w:r w:rsidRPr="00EC62EF">
        <w:rPr>
          <w:rFonts w:ascii="Calibri" w:hAnsi="Calibri" w:cs="Calibri"/>
          <w:i/>
          <w:iCs/>
          <w:noProof/>
          <w:szCs w:val="24"/>
        </w:rPr>
        <w:t>Solid State Ionics</w:t>
      </w:r>
      <w:r w:rsidRPr="00EC62EF">
        <w:rPr>
          <w:rFonts w:ascii="Calibri" w:hAnsi="Calibri" w:cs="Calibri"/>
          <w:noProof/>
          <w:szCs w:val="24"/>
        </w:rPr>
        <w:t>, vol. 132, no. 3–4, pp. 261–269, Jul. 2000.</w:t>
      </w:r>
    </w:p>
    <w:p w14:paraId="5284591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[231]</w:t>
      </w:r>
      <w:r w:rsidRPr="00EC62EF">
        <w:rPr>
          <w:rFonts w:ascii="Calibri" w:hAnsi="Calibri" w:cs="Calibri"/>
          <w:noProof/>
          <w:szCs w:val="24"/>
        </w:rPr>
        <w:tab/>
        <w:t xml:space="preserve">D. Ding and M. Liu, “Enhancing SOFC Electrode Performance Through Surface Modification,” in </w:t>
      </w:r>
      <w:r w:rsidRPr="00EC62EF">
        <w:rPr>
          <w:rFonts w:ascii="Calibri" w:hAnsi="Calibri" w:cs="Calibri"/>
          <w:i/>
          <w:iCs/>
          <w:noProof/>
          <w:szCs w:val="24"/>
        </w:rPr>
        <w:t>ECS Transactions</w:t>
      </w:r>
      <w:r w:rsidRPr="00EC62EF">
        <w:rPr>
          <w:rFonts w:ascii="Calibri" w:hAnsi="Calibri" w:cs="Calibri"/>
          <w:noProof/>
          <w:szCs w:val="24"/>
        </w:rPr>
        <w:t>, 2013, 1st ed., vol. 57, no. 1, pp. 1801–1810.</w:t>
      </w:r>
    </w:p>
    <w:p w14:paraId="3A5B654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lastRenderedPageBreak/>
        <w:t>[232]</w:t>
      </w:r>
      <w:r w:rsidRPr="00EC62EF">
        <w:rPr>
          <w:rFonts w:ascii="Calibri" w:hAnsi="Calibri" w:cs="Calibri"/>
          <w:noProof/>
          <w:szCs w:val="24"/>
        </w:rPr>
        <w:tab/>
        <w:t xml:space="preserve">M. Li </w:t>
      </w:r>
      <w:r w:rsidRPr="00EC62EF">
        <w:rPr>
          <w:rFonts w:ascii="Calibri" w:hAnsi="Calibri" w:cs="Calibri"/>
          <w:i/>
          <w:iCs/>
          <w:noProof/>
          <w:szCs w:val="24"/>
        </w:rPr>
        <w:t>et al.</w:t>
      </w:r>
      <w:r w:rsidRPr="00EC62EF">
        <w:rPr>
          <w:rFonts w:ascii="Calibri" w:hAnsi="Calibri" w:cs="Calibri"/>
          <w:noProof/>
          <w:szCs w:val="24"/>
        </w:rPr>
        <w:t xml:space="preserve">, “Enhancing Sulfur Tolerance of Ni-Based Cermet Anodes of Solid Oxide Fuel Cells by Ytterbium-Doped Barium Cerate Infiltration,” </w:t>
      </w:r>
      <w:r w:rsidRPr="00EC62EF">
        <w:rPr>
          <w:rFonts w:ascii="Calibri" w:hAnsi="Calibri" w:cs="Calibri"/>
          <w:i/>
          <w:iCs/>
          <w:noProof/>
          <w:szCs w:val="24"/>
        </w:rPr>
        <w:t>ACS Appl. Mater. Interfaces</w:t>
      </w:r>
      <w:r w:rsidRPr="00EC62EF">
        <w:rPr>
          <w:rFonts w:ascii="Calibri" w:hAnsi="Calibri" w:cs="Calibri"/>
          <w:noProof/>
          <w:szCs w:val="24"/>
        </w:rPr>
        <w:t>, vol. 8, no. 16, pp. 10293–10301, 2016.</w:t>
      </w:r>
    </w:p>
    <w:p w14:paraId="5F495A6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[233]</w:t>
      </w:r>
      <w:r w:rsidRPr="00EC62EF">
        <w:rPr>
          <w:rFonts w:ascii="Calibri" w:hAnsi="Calibri" w:cs="Calibri"/>
          <w:noProof/>
          <w:szCs w:val="24"/>
        </w:rPr>
        <w:tab/>
        <w:t xml:space="preserve">A. Buyukaksoy, S. P. Kammampata, and V. I. Birss, “Effect of porous YSZ scaffold microstructure on the long-term performance of infiltrated Ni-YSZ anodes,” </w:t>
      </w:r>
      <w:r w:rsidRPr="00EC62EF">
        <w:rPr>
          <w:rFonts w:ascii="Calibri" w:hAnsi="Calibri" w:cs="Calibri"/>
          <w:i/>
          <w:iCs/>
          <w:noProof/>
          <w:szCs w:val="24"/>
        </w:rPr>
        <w:t>J. Power Sources</w:t>
      </w:r>
      <w:r w:rsidRPr="00EC62EF">
        <w:rPr>
          <w:rFonts w:ascii="Calibri" w:hAnsi="Calibri" w:cs="Calibri"/>
          <w:noProof/>
          <w:szCs w:val="24"/>
        </w:rPr>
        <w:t>, vol. 287, pp. 349–358, 2015.</w:t>
      </w:r>
    </w:p>
    <w:p w14:paraId="1C1D830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[234]</w:t>
      </w:r>
      <w:r w:rsidRPr="00EC62EF">
        <w:rPr>
          <w:rFonts w:ascii="Calibri" w:hAnsi="Calibri" w:cs="Calibri"/>
          <w:noProof/>
          <w:szCs w:val="24"/>
        </w:rPr>
        <w:tab/>
        <w:t xml:space="preserve">H. L. Frandsen </w:t>
      </w:r>
      <w:r w:rsidRPr="00EC62EF">
        <w:rPr>
          <w:rFonts w:ascii="Calibri" w:hAnsi="Calibri" w:cs="Calibri"/>
          <w:i/>
          <w:iCs/>
          <w:noProof/>
          <w:szCs w:val="24"/>
        </w:rPr>
        <w:t>et al.</w:t>
      </w:r>
      <w:r w:rsidRPr="00EC62EF">
        <w:rPr>
          <w:rFonts w:ascii="Calibri" w:hAnsi="Calibri" w:cs="Calibri"/>
          <w:noProof/>
          <w:szCs w:val="24"/>
        </w:rPr>
        <w:t xml:space="preserve">, “Accelerated creep in solid oxide fuel cell anode supports during reduction,” </w:t>
      </w:r>
      <w:r w:rsidRPr="00EC62EF">
        <w:rPr>
          <w:rFonts w:ascii="Calibri" w:hAnsi="Calibri" w:cs="Calibri"/>
          <w:i/>
          <w:iCs/>
          <w:noProof/>
          <w:szCs w:val="24"/>
        </w:rPr>
        <w:t>J. Power Sources</w:t>
      </w:r>
      <w:r w:rsidRPr="00EC62EF">
        <w:rPr>
          <w:rFonts w:ascii="Calibri" w:hAnsi="Calibri" w:cs="Calibri"/>
          <w:noProof/>
          <w:szCs w:val="24"/>
        </w:rPr>
        <w:t>, vol. 323, pp. 78–89, 2016.</w:t>
      </w:r>
    </w:p>
    <w:p w14:paraId="3337543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[235]</w:t>
      </w:r>
      <w:r w:rsidRPr="00EC62EF">
        <w:rPr>
          <w:rFonts w:ascii="Calibri" w:hAnsi="Calibri" w:cs="Calibri"/>
          <w:noProof/>
          <w:szCs w:val="24"/>
        </w:rPr>
        <w:tab/>
        <w:t xml:space="preserve">T. B. Mitchell-Williams </w:t>
      </w:r>
      <w:r w:rsidRPr="00EC62EF">
        <w:rPr>
          <w:rFonts w:ascii="Calibri" w:hAnsi="Calibri" w:cs="Calibri"/>
          <w:i/>
          <w:iCs/>
          <w:noProof/>
          <w:szCs w:val="24"/>
        </w:rPr>
        <w:t>et al.</w:t>
      </w:r>
      <w:r w:rsidRPr="00EC62EF">
        <w:rPr>
          <w:rFonts w:ascii="Calibri" w:hAnsi="Calibri" w:cs="Calibri"/>
          <w:noProof/>
          <w:szCs w:val="24"/>
        </w:rPr>
        <w:t xml:space="preserve">, “Infiltration of commercially available, anode supported SOFC’s via inkjet printing,” </w:t>
      </w:r>
      <w:r w:rsidRPr="00EC62EF">
        <w:rPr>
          <w:rFonts w:ascii="Calibri" w:hAnsi="Calibri" w:cs="Calibri"/>
          <w:i/>
          <w:iCs/>
          <w:noProof/>
          <w:szCs w:val="24"/>
        </w:rPr>
        <w:t>Mater. Renew. Sustain. Energy</w:t>
      </w:r>
      <w:r w:rsidRPr="00EC62EF">
        <w:rPr>
          <w:rFonts w:ascii="Calibri" w:hAnsi="Calibri" w:cs="Calibri"/>
          <w:noProof/>
          <w:szCs w:val="24"/>
        </w:rPr>
        <w:t>, vol. 6, no. 2, pp. 1–9, 2017.</w:t>
      </w:r>
    </w:p>
    <w:p w14:paraId="6CA6AB2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[236]</w:t>
      </w:r>
      <w:r w:rsidRPr="00EC62EF">
        <w:rPr>
          <w:rFonts w:ascii="Calibri" w:hAnsi="Calibri" w:cs="Calibri"/>
          <w:noProof/>
          <w:szCs w:val="24"/>
        </w:rPr>
        <w:tab/>
        <w:t xml:space="preserve">Y. Jin, H. Yasutake, K. Yamahara, and M. Ihara, “Improved electrochemical properties of Ni/YSZ anodes infiltrated by proton conductor SZY in solid oxide fuel cells with dry methane fuel: Dependence on amount of SZY,” </w:t>
      </w:r>
      <w:r w:rsidRPr="00EC62EF">
        <w:rPr>
          <w:rFonts w:ascii="Calibri" w:hAnsi="Calibri" w:cs="Calibri"/>
          <w:i/>
          <w:iCs/>
          <w:noProof/>
          <w:szCs w:val="24"/>
        </w:rPr>
        <w:t>Chem. Eng. Sci.</w:t>
      </w:r>
      <w:r w:rsidRPr="00EC62EF">
        <w:rPr>
          <w:rFonts w:ascii="Calibri" w:hAnsi="Calibri" w:cs="Calibri"/>
          <w:noProof/>
          <w:szCs w:val="24"/>
        </w:rPr>
        <w:t>, vol. 65, no. 1, pp. 597–602, 2010.</w:t>
      </w:r>
    </w:p>
    <w:p w14:paraId="5101DE7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[237]</w:t>
      </w:r>
      <w:r w:rsidRPr="00EC62EF">
        <w:rPr>
          <w:rFonts w:ascii="Calibri" w:hAnsi="Calibri" w:cs="Calibri"/>
          <w:noProof/>
          <w:szCs w:val="24"/>
        </w:rPr>
        <w:tab/>
        <w:t xml:space="preserve">M. Kishimoto, Y. Kawakami, Y. Otani, H. Iwai, and H. Yoshida, “Improved controllability of wet infiltration technique for fabrication of solid oxide fuel cell anodes,” </w:t>
      </w:r>
      <w:r w:rsidRPr="00EC62EF">
        <w:rPr>
          <w:rFonts w:ascii="Calibri" w:hAnsi="Calibri" w:cs="Calibri"/>
          <w:i/>
          <w:iCs/>
          <w:noProof/>
          <w:szCs w:val="24"/>
        </w:rPr>
        <w:t>Scr. Mater.</w:t>
      </w:r>
      <w:r w:rsidRPr="00EC62EF">
        <w:rPr>
          <w:rFonts w:ascii="Calibri" w:hAnsi="Calibri" w:cs="Calibri"/>
          <w:noProof/>
          <w:szCs w:val="24"/>
        </w:rPr>
        <w:t>, vol. 140, pp. 5–8, 2017.</w:t>
      </w:r>
    </w:p>
    <w:p w14:paraId="4FBFBA6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[238]</w:t>
      </w:r>
      <w:r w:rsidRPr="00EC62EF">
        <w:rPr>
          <w:rFonts w:ascii="Calibri" w:hAnsi="Calibri" w:cs="Calibri"/>
          <w:noProof/>
          <w:szCs w:val="24"/>
        </w:rPr>
        <w:tab/>
        <w:t xml:space="preserve">G. Tammann, “Zum Gedächtnis der Entdeckung des Isomorphismus vor 100 Jahren. Die chemischen und galvanischen Eigenschaften von Mischkristallreihen und ihre Atomverteilung,” </w:t>
      </w:r>
      <w:r w:rsidRPr="00EC62EF">
        <w:rPr>
          <w:rFonts w:ascii="Calibri" w:hAnsi="Calibri" w:cs="Calibri"/>
          <w:i/>
          <w:iCs/>
          <w:noProof/>
          <w:szCs w:val="24"/>
        </w:rPr>
        <w:t>Zeitschrift für Anorg. und Allg. Chemie</w:t>
      </w:r>
      <w:r w:rsidRPr="00EC62EF">
        <w:rPr>
          <w:rFonts w:ascii="Calibri" w:hAnsi="Calibri" w:cs="Calibri"/>
          <w:noProof/>
          <w:szCs w:val="24"/>
        </w:rPr>
        <w:t>, vol. 107, no. 1, pp. 1–239, 1919.</w:t>
      </w:r>
    </w:p>
    <w:p w14:paraId="095F702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[239]</w:t>
      </w:r>
      <w:r w:rsidRPr="00EC62EF">
        <w:rPr>
          <w:rFonts w:ascii="Calibri" w:hAnsi="Calibri" w:cs="Calibri"/>
          <w:noProof/>
          <w:szCs w:val="24"/>
        </w:rPr>
        <w:tab/>
        <w:t xml:space="preserve">C. Resident and I. Anandprakash, “Effect of Tammann Chromate Temperature and and Relative Humidity on Lead Compositions,” </w:t>
      </w:r>
      <w:r w:rsidRPr="00EC62EF">
        <w:rPr>
          <w:rFonts w:ascii="Calibri" w:hAnsi="Calibri" w:cs="Calibri"/>
          <w:i/>
          <w:iCs/>
          <w:noProof/>
          <w:szCs w:val="24"/>
        </w:rPr>
        <w:t>Def. Sci. J.</w:t>
      </w:r>
      <w:r w:rsidRPr="00EC62EF">
        <w:rPr>
          <w:rFonts w:ascii="Calibri" w:hAnsi="Calibri" w:cs="Calibri"/>
          <w:noProof/>
          <w:szCs w:val="24"/>
        </w:rPr>
        <w:t>, no. 3, pp. 303–308, 1998.</w:t>
      </w:r>
    </w:p>
    <w:p w14:paraId="2D5DE3AE"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[240]</w:t>
      </w:r>
      <w:r w:rsidRPr="00EC62EF">
        <w:rPr>
          <w:rFonts w:ascii="Calibri" w:hAnsi="Calibri" w:cs="Calibri"/>
          <w:noProof/>
          <w:szCs w:val="24"/>
        </w:rPr>
        <w:tab/>
        <w:t xml:space="preserve">J. Sun </w:t>
      </w:r>
      <w:r w:rsidRPr="00EC62EF">
        <w:rPr>
          <w:rFonts w:ascii="Calibri" w:hAnsi="Calibri" w:cs="Calibri"/>
          <w:i/>
          <w:iCs/>
          <w:noProof/>
          <w:szCs w:val="24"/>
        </w:rPr>
        <w:t>et al.</w:t>
      </w:r>
      <w:r w:rsidRPr="00EC62EF">
        <w:rPr>
          <w:rFonts w:ascii="Calibri" w:hAnsi="Calibri" w:cs="Calibri"/>
          <w:noProof/>
          <w:szCs w:val="24"/>
        </w:rPr>
        <w:t xml:space="preserve">, “Toward monodispersed silver nanoparticles with unusual thermal stability,” </w:t>
      </w:r>
      <w:r w:rsidRPr="00EC62EF">
        <w:rPr>
          <w:rFonts w:ascii="Calibri" w:hAnsi="Calibri" w:cs="Calibri"/>
          <w:i/>
          <w:iCs/>
          <w:noProof/>
          <w:szCs w:val="24"/>
        </w:rPr>
        <w:t>J. Am. Chem. Soc.</w:t>
      </w:r>
      <w:r w:rsidRPr="00EC62EF">
        <w:rPr>
          <w:rFonts w:ascii="Calibri" w:hAnsi="Calibri" w:cs="Calibri"/>
          <w:noProof/>
          <w:szCs w:val="24"/>
        </w:rPr>
        <w:t>, vol. 128, no. 49, pp. 15756–15764, 2006.</w:t>
      </w:r>
    </w:p>
    <w:p w14:paraId="05F4527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[241]</w:t>
      </w:r>
      <w:r w:rsidRPr="00EC62EF">
        <w:rPr>
          <w:rFonts w:ascii="Calibri" w:hAnsi="Calibri" w:cs="Calibri"/>
          <w:noProof/>
          <w:szCs w:val="24"/>
        </w:rPr>
        <w:tab/>
        <w:t xml:space="preserve">J. Van herle, A. Faes, C. G. Vayenas, A. Hessler-Wyser, and D. Presvytes, “Nickelâ“Zirconia Anode Degradation and Triple Phase Boundary Quantification from Microstructural Analysis,” </w:t>
      </w:r>
      <w:r w:rsidRPr="00EC62EF">
        <w:rPr>
          <w:rFonts w:ascii="Calibri" w:hAnsi="Calibri" w:cs="Calibri"/>
          <w:i/>
          <w:iCs/>
          <w:noProof/>
          <w:szCs w:val="24"/>
        </w:rPr>
        <w:t>Fuel Cells</w:t>
      </w:r>
      <w:r w:rsidRPr="00EC62EF">
        <w:rPr>
          <w:rFonts w:ascii="Calibri" w:hAnsi="Calibri" w:cs="Calibri"/>
          <w:noProof/>
          <w:szCs w:val="24"/>
        </w:rPr>
        <w:t>, vol. 9, no. 6, pp. 841–851, 2009.</w:t>
      </w:r>
    </w:p>
    <w:p w14:paraId="090B96C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[242]</w:t>
      </w:r>
      <w:r w:rsidRPr="00EC62EF">
        <w:rPr>
          <w:rFonts w:ascii="Calibri" w:hAnsi="Calibri" w:cs="Calibri"/>
          <w:noProof/>
          <w:szCs w:val="24"/>
        </w:rPr>
        <w:tab/>
        <w:t xml:space="preserve">A. Buyukaksoy, S. P. Kammampata, and V. I. Birss, “Effect of porous YSZ scaffold microstructure on the long-term performance of infiltrated Ni-YSZ anodes,” </w:t>
      </w:r>
      <w:r w:rsidRPr="00EC62EF">
        <w:rPr>
          <w:rFonts w:ascii="Calibri" w:hAnsi="Calibri" w:cs="Calibri"/>
          <w:i/>
          <w:iCs/>
          <w:noProof/>
          <w:szCs w:val="24"/>
        </w:rPr>
        <w:t>J. Power Sources</w:t>
      </w:r>
      <w:r w:rsidRPr="00EC62EF">
        <w:rPr>
          <w:rFonts w:ascii="Calibri" w:hAnsi="Calibri" w:cs="Calibri"/>
          <w:noProof/>
          <w:szCs w:val="24"/>
        </w:rPr>
        <w:t>, vol. 287, pp. 349–358, 2015.</w:t>
      </w:r>
    </w:p>
    <w:p w14:paraId="1CA47FC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[243]</w:t>
      </w:r>
      <w:r w:rsidRPr="00EC62EF">
        <w:rPr>
          <w:rFonts w:ascii="Calibri" w:hAnsi="Calibri" w:cs="Calibri"/>
          <w:noProof/>
          <w:szCs w:val="24"/>
        </w:rPr>
        <w:tab/>
        <w:t xml:space="preserve">A. Buyukaksoy and V. I. Birss, “Highly active nanoscale Ni - Yttria stabilized zirconia anodes for micro-solid oxide fuel cell applications,” </w:t>
      </w:r>
      <w:r w:rsidRPr="00EC62EF">
        <w:rPr>
          <w:rFonts w:ascii="Calibri" w:hAnsi="Calibri" w:cs="Calibri"/>
          <w:i/>
          <w:iCs/>
          <w:noProof/>
          <w:szCs w:val="24"/>
        </w:rPr>
        <w:t>J. Power Sources</w:t>
      </w:r>
      <w:r w:rsidRPr="00EC62EF">
        <w:rPr>
          <w:rFonts w:ascii="Calibri" w:hAnsi="Calibri" w:cs="Calibri"/>
          <w:noProof/>
          <w:szCs w:val="24"/>
        </w:rPr>
        <w:t>, vol. 307, pp. 449–453, 2016.</w:t>
      </w:r>
    </w:p>
    <w:p w14:paraId="6DC6B83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[244]</w:t>
      </w:r>
      <w:r w:rsidRPr="00EC62EF">
        <w:rPr>
          <w:rFonts w:ascii="Calibri" w:hAnsi="Calibri" w:cs="Calibri"/>
          <w:noProof/>
          <w:szCs w:val="24"/>
        </w:rPr>
        <w:tab/>
        <w:t xml:space="preserve">B. Song, E. Ruiz-Trejo, A. Bertei, and N. P. Brandon, “Quantification of the degradation of Ni-YSZ anodes upon redox cycling,” </w:t>
      </w:r>
      <w:r w:rsidRPr="00EC62EF">
        <w:rPr>
          <w:rFonts w:ascii="Calibri" w:hAnsi="Calibri" w:cs="Calibri"/>
          <w:i/>
          <w:iCs/>
          <w:noProof/>
          <w:szCs w:val="24"/>
        </w:rPr>
        <w:t>J. Power Sources</w:t>
      </w:r>
      <w:r w:rsidRPr="00EC62EF">
        <w:rPr>
          <w:rFonts w:ascii="Calibri" w:hAnsi="Calibri" w:cs="Calibri"/>
          <w:noProof/>
          <w:szCs w:val="24"/>
        </w:rPr>
        <w:t>, vol. 374, no. November 2017, pp. 61–68, 2018.</w:t>
      </w:r>
    </w:p>
    <w:p w14:paraId="7B95849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[245]</w:t>
      </w:r>
      <w:r w:rsidRPr="00EC62EF">
        <w:rPr>
          <w:rFonts w:ascii="Calibri" w:hAnsi="Calibri" w:cs="Calibri"/>
          <w:noProof/>
          <w:szCs w:val="24"/>
        </w:rPr>
        <w:tab/>
        <w:t xml:space="preserve">T. Shimura, Z. Jiao, S. Hara, and N. Shikazono, “Quantitative analysis of solid oxide fuel cell anode microstructure change during redox cycles,” </w:t>
      </w:r>
      <w:r w:rsidRPr="00EC62EF">
        <w:rPr>
          <w:rFonts w:ascii="Calibri" w:hAnsi="Calibri" w:cs="Calibri"/>
          <w:i/>
          <w:iCs/>
          <w:noProof/>
          <w:szCs w:val="24"/>
        </w:rPr>
        <w:t>J. Power Sources</w:t>
      </w:r>
      <w:r w:rsidRPr="00EC62EF">
        <w:rPr>
          <w:rFonts w:ascii="Calibri" w:hAnsi="Calibri" w:cs="Calibri"/>
          <w:noProof/>
          <w:szCs w:val="24"/>
        </w:rPr>
        <w:t>, vol. 267, pp. 58–68, 2014.</w:t>
      </w:r>
    </w:p>
    <w:p w14:paraId="320CB60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[246]</w:t>
      </w:r>
      <w:r w:rsidRPr="00EC62EF">
        <w:rPr>
          <w:rFonts w:ascii="Calibri" w:hAnsi="Calibri" w:cs="Calibri"/>
          <w:noProof/>
          <w:szCs w:val="24"/>
        </w:rPr>
        <w:tab/>
        <w:t xml:space="preserve">A. Buyukaksoy and V. I. Birss, “Highly active nanoscale Ni - Yttria stabilized zirconia anodes for micro-solid oxide fuel cell applications,” </w:t>
      </w:r>
      <w:r w:rsidRPr="00EC62EF">
        <w:rPr>
          <w:rFonts w:ascii="Calibri" w:hAnsi="Calibri" w:cs="Calibri"/>
          <w:i/>
          <w:iCs/>
          <w:noProof/>
          <w:szCs w:val="24"/>
        </w:rPr>
        <w:t>J. Power Sources</w:t>
      </w:r>
      <w:r w:rsidRPr="00EC62EF">
        <w:rPr>
          <w:rFonts w:ascii="Calibri" w:hAnsi="Calibri" w:cs="Calibri"/>
          <w:noProof/>
          <w:szCs w:val="24"/>
        </w:rPr>
        <w:t>, vol. 307, pp. 449–453, 2016.</w:t>
      </w:r>
    </w:p>
    <w:p w14:paraId="2CAFF94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[247]</w:t>
      </w:r>
      <w:r w:rsidRPr="00EC62EF">
        <w:rPr>
          <w:rFonts w:ascii="Calibri" w:hAnsi="Calibri" w:cs="Calibri"/>
          <w:noProof/>
          <w:szCs w:val="24"/>
        </w:rPr>
        <w:tab/>
        <w:t xml:space="preserve">A. Buyukaksoy, V. Petrovsky, and F. Dogan, “Stability and Performance of Solid Oxide Fuel Cells with Nanocomposite Electrodes,” </w:t>
      </w:r>
      <w:r w:rsidRPr="00EC62EF">
        <w:rPr>
          <w:rFonts w:ascii="Calibri" w:hAnsi="Calibri" w:cs="Calibri"/>
          <w:i/>
          <w:iCs/>
          <w:noProof/>
          <w:szCs w:val="24"/>
        </w:rPr>
        <w:t>J. Electrochem. Soc.</w:t>
      </w:r>
      <w:r w:rsidRPr="00EC62EF">
        <w:rPr>
          <w:rFonts w:ascii="Calibri" w:hAnsi="Calibri" w:cs="Calibri"/>
          <w:noProof/>
          <w:szCs w:val="24"/>
        </w:rPr>
        <w:t>, vol. 159, no. 6, pp. B666–B669, 2012.</w:t>
      </w:r>
    </w:p>
    <w:p w14:paraId="75FB886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lastRenderedPageBreak/>
        <w:t>[248]</w:t>
      </w:r>
      <w:r w:rsidRPr="00EC62EF">
        <w:rPr>
          <w:rFonts w:ascii="Calibri" w:hAnsi="Calibri" w:cs="Calibri"/>
          <w:noProof/>
          <w:szCs w:val="24"/>
        </w:rPr>
        <w:tab/>
        <w:t xml:space="preserve">M. Tao, X. Meng, Y. Lv, Z. Bian, and Z. Xin, “Effect of impregnation solvent on Ni dispersion and catalytic properties of Ni/SBA-15 for CO methanation reaction,” </w:t>
      </w:r>
      <w:r w:rsidRPr="00EC62EF">
        <w:rPr>
          <w:rFonts w:ascii="Calibri" w:hAnsi="Calibri" w:cs="Calibri"/>
          <w:i/>
          <w:iCs/>
          <w:noProof/>
          <w:szCs w:val="24"/>
        </w:rPr>
        <w:t>Fuel</w:t>
      </w:r>
      <w:r w:rsidRPr="00EC62EF">
        <w:rPr>
          <w:rFonts w:ascii="Calibri" w:hAnsi="Calibri" w:cs="Calibri"/>
          <w:noProof/>
          <w:szCs w:val="24"/>
        </w:rPr>
        <w:t>, vol. 165, no. 130, pp. 289–297, 2016.</w:t>
      </w:r>
    </w:p>
    <w:p w14:paraId="4DAD200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[249]</w:t>
      </w:r>
      <w:r w:rsidRPr="00EC62EF">
        <w:rPr>
          <w:rFonts w:ascii="Calibri" w:hAnsi="Calibri" w:cs="Calibri"/>
          <w:noProof/>
          <w:szCs w:val="24"/>
        </w:rPr>
        <w:tab/>
        <w:t xml:space="preserve">C. Erk </w:t>
      </w:r>
      <w:r w:rsidRPr="00EC62EF">
        <w:rPr>
          <w:rFonts w:ascii="Calibri" w:hAnsi="Calibri" w:cs="Calibri"/>
          <w:i/>
          <w:iCs/>
          <w:noProof/>
          <w:szCs w:val="24"/>
        </w:rPr>
        <w:t>et al.</w:t>
      </w:r>
      <w:r w:rsidRPr="00EC62EF">
        <w:rPr>
          <w:rFonts w:ascii="Calibri" w:hAnsi="Calibri" w:cs="Calibri"/>
          <w:noProof/>
          <w:szCs w:val="24"/>
        </w:rPr>
        <w:t xml:space="preserve">, “Thin-walled Er3+:Y2O3 nanotubes showing up-converted fluorescence,” </w:t>
      </w:r>
      <w:r w:rsidRPr="00EC62EF">
        <w:rPr>
          <w:rFonts w:ascii="Calibri" w:hAnsi="Calibri" w:cs="Calibri"/>
          <w:i/>
          <w:iCs/>
          <w:noProof/>
          <w:szCs w:val="24"/>
        </w:rPr>
        <w:t>Phys. Chem. Chem. Phys.</w:t>
      </w:r>
      <w:r w:rsidRPr="00EC62EF">
        <w:rPr>
          <w:rFonts w:ascii="Calibri" w:hAnsi="Calibri" w:cs="Calibri"/>
          <w:noProof/>
          <w:szCs w:val="24"/>
        </w:rPr>
        <w:t>, vol. 11, no. 19, pp. 3623–3627, 2009.</w:t>
      </w:r>
    </w:p>
    <w:p w14:paraId="05B1839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[250]</w:t>
      </w:r>
      <w:r w:rsidRPr="00EC62EF">
        <w:rPr>
          <w:rFonts w:ascii="Calibri" w:hAnsi="Calibri" w:cs="Calibri"/>
          <w:noProof/>
          <w:szCs w:val="24"/>
        </w:rPr>
        <w:tab/>
        <w:t xml:space="preserve">B. Kusz, P. Jasinski, J. Karczewski, S. Molin, M. Gazda, and B. Bochentyn, “Solid oxide fuel cells with Ni-infiltrated perovskite anode,” </w:t>
      </w:r>
      <w:r w:rsidRPr="00EC62EF">
        <w:rPr>
          <w:rFonts w:ascii="Calibri" w:hAnsi="Calibri" w:cs="Calibri"/>
          <w:i/>
          <w:iCs/>
          <w:noProof/>
          <w:szCs w:val="24"/>
        </w:rPr>
        <w:t>Solid State Ionics</w:t>
      </w:r>
      <w:r w:rsidRPr="00EC62EF">
        <w:rPr>
          <w:rFonts w:ascii="Calibri" w:hAnsi="Calibri" w:cs="Calibri"/>
          <w:noProof/>
          <w:szCs w:val="24"/>
        </w:rPr>
        <w:t>, vol. 221, pp. 11–14, 2012.</w:t>
      </w:r>
    </w:p>
    <w:p w14:paraId="0611ADF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[251]</w:t>
      </w:r>
      <w:r w:rsidRPr="00EC62EF">
        <w:rPr>
          <w:rFonts w:ascii="Calibri" w:hAnsi="Calibri" w:cs="Calibri"/>
          <w:noProof/>
          <w:szCs w:val="24"/>
        </w:rPr>
        <w:tab/>
        <w:t xml:space="preserve">Y. L. Liu and C. Jiao, “Microstructure degradation of an anode/electrolyte interface in SOFC studied by transmission electron microscopy,” </w:t>
      </w:r>
      <w:r w:rsidRPr="00EC62EF">
        <w:rPr>
          <w:rFonts w:ascii="Calibri" w:hAnsi="Calibri" w:cs="Calibri"/>
          <w:i/>
          <w:iCs/>
          <w:noProof/>
          <w:szCs w:val="24"/>
        </w:rPr>
        <w:t>Solid State Ionics</w:t>
      </w:r>
      <w:r w:rsidRPr="00EC62EF">
        <w:rPr>
          <w:rFonts w:ascii="Calibri" w:hAnsi="Calibri" w:cs="Calibri"/>
          <w:noProof/>
          <w:szCs w:val="24"/>
        </w:rPr>
        <w:t>, vol. 176, no. 5–6, pp. 435–442, 2005.</w:t>
      </w:r>
    </w:p>
    <w:p w14:paraId="6F4BB77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[252]</w:t>
      </w:r>
      <w:r w:rsidRPr="00EC62EF">
        <w:rPr>
          <w:rFonts w:ascii="Calibri" w:hAnsi="Calibri" w:cs="Calibri"/>
          <w:noProof/>
          <w:szCs w:val="24"/>
        </w:rPr>
        <w:tab/>
        <w:t xml:space="preserve">Y. L. Liu and C. Jiao, “Microstructure degradation of an anode/electrolyte interface in SOFC studied by transmission electron microscopy,” </w:t>
      </w:r>
      <w:r w:rsidRPr="00EC62EF">
        <w:rPr>
          <w:rFonts w:ascii="Calibri" w:hAnsi="Calibri" w:cs="Calibri"/>
          <w:i/>
          <w:iCs/>
          <w:noProof/>
          <w:szCs w:val="24"/>
        </w:rPr>
        <w:t>Solid State Ionics</w:t>
      </w:r>
      <w:r w:rsidRPr="00EC62EF">
        <w:rPr>
          <w:rFonts w:ascii="Calibri" w:hAnsi="Calibri" w:cs="Calibri"/>
          <w:noProof/>
          <w:szCs w:val="24"/>
        </w:rPr>
        <w:t>, vol. 176, no. 5–6, pp. 435–442, 2005.</w:t>
      </w:r>
    </w:p>
    <w:p w14:paraId="46CA4F2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[253]</w:t>
      </w:r>
      <w:r w:rsidRPr="00EC62EF">
        <w:rPr>
          <w:rFonts w:ascii="Calibri" w:hAnsi="Calibri" w:cs="Calibri"/>
          <w:noProof/>
          <w:szCs w:val="24"/>
        </w:rPr>
        <w:tab/>
        <w:t xml:space="preserve">R. Barfod, A. Hagen, S. Ramousse, P. V. Hendriksen, and Y.-L. Liu, “Degradation of Anode Supported SOFCs as a Function of Temperature and Current Load,” </w:t>
      </w:r>
      <w:r w:rsidRPr="00EC62EF">
        <w:rPr>
          <w:rFonts w:ascii="Calibri" w:hAnsi="Calibri" w:cs="Calibri"/>
          <w:i/>
          <w:iCs/>
          <w:noProof/>
          <w:szCs w:val="24"/>
        </w:rPr>
        <w:t>J. Electrochem. Soc.</w:t>
      </w:r>
      <w:r w:rsidRPr="00EC62EF">
        <w:rPr>
          <w:rFonts w:ascii="Calibri" w:hAnsi="Calibri" w:cs="Calibri"/>
          <w:noProof/>
          <w:szCs w:val="24"/>
        </w:rPr>
        <w:t>, vol. 153, no. 6, p. A1165, 2007.</w:t>
      </w:r>
    </w:p>
    <w:p w14:paraId="5A4BA65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[254]</w:t>
      </w:r>
      <w:r w:rsidRPr="00EC62EF">
        <w:rPr>
          <w:rFonts w:ascii="Calibri" w:hAnsi="Calibri" w:cs="Calibri"/>
          <w:noProof/>
          <w:szCs w:val="24"/>
        </w:rPr>
        <w:tab/>
        <w:t xml:space="preserve">J. R. Wilson </w:t>
      </w:r>
      <w:r w:rsidRPr="00EC62EF">
        <w:rPr>
          <w:rFonts w:ascii="Calibri" w:hAnsi="Calibri" w:cs="Calibri"/>
          <w:i/>
          <w:iCs/>
          <w:noProof/>
          <w:szCs w:val="24"/>
        </w:rPr>
        <w:t>et al.</w:t>
      </w:r>
      <w:r w:rsidRPr="00EC62EF">
        <w:rPr>
          <w:rFonts w:ascii="Calibri" w:hAnsi="Calibri" w:cs="Calibri"/>
          <w:noProof/>
          <w:szCs w:val="24"/>
        </w:rPr>
        <w:t xml:space="preserve">, “Three-dimensional reconstruction of a solid-oxide fuel-cell anode,” </w:t>
      </w:r>
      <w:r w:rsidRPr="00EC62EF">
        <w:rPr>
          <w:rFonts w:ascii="Calibri" w:hAnsi="Calibri" w:cs="Calibri"/>
          <w:i/>
          <w:iCs/>
          <w:noProof/>
          <w:szCs w:val="24"/>
        </w:rPr>
        <w:t>Nat. Mater.</w:t>
      </w:r>
      <w:r w:rsidRPr="00EC62EF">
        <w:rPr>
          <w:rFonts w:ascii="Calibri" w:hAnsi="Calibri" w:cs="Calibri"/>
          <w:noProof/>
          <w:szCs w:val="24"/>
        </w:rPr>
        <w:t>, vol. 5, no. 7, pp. 541–544, 2006.</w:t>
      </w:r>
    </w:p>
    <w:p w14:paraId="23395EA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[255]</w:t>
      </w:r>
      <w:r w:rsidRPr="00EC62EF">
        <w:rPr>
          <w:rFonts w:ascii="Calibri" w:hAnsi="Calibri" w:cs="Calibri"/>
          <w:noProof/>
          <w:szCs w:val="24"/>
        </w:rPr>
        <w:tab/>
        <w:t xml:space="preserve">T. M. M. Heenan, C. Tan, J. Hack, D. J. L. Brett, and P. R. Shearing, “Developments in X-ray tomography characterization for electrochemical devices,” </w:t>
      </w:r>
      <w:r w:rsidRPr="00EC62EF">
        <w:rPr>
          <w:rFonts w:ascii="Calibri" w:hAnsi="Calibri" w:cs="Calibri"/>
          <w:i/>
          <w:iCs/>
          <w:noProof/>
          <w:szCs w:val="24"/>
        </w:rPr>
        <w:t>Mater. Today</w:t>
      </w:r>
      <w:r w:rsidRPr="00EC62EF">
        <w:rPr>
          <w:rFonts w:ascii="Calibri" w:hAnsi="Calibri" w:cs="Calibri"/>
          <w:noProof/>
          <w:szCs w:val="24"/>
        </w:rPr>
        <w:t>, vol. 31, no. December, pp. 69–85, 2019.</w:t>
      </w:r>
    </w:p>
    <w:p w14:paraId="6AF0061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[256]</w:t>
      </w:r>
      <w:r w:rsidRPr="00EC62EF">
        <w:rPr>
          <w:rFonts w:ascii="Calibri" w:hAnsi="Calibri" w:cs="Calibri"/>
          <w:noProof/>
          <w:szCs w:val="24"/>
        </w:rPr>
        <w:tab/>
        <w:t xml:space="preserve">B. Song, E. Ruiz-Trejo, A. Bertei, and N. P. Brandon, “Quantification of the degradation of Ni-YSZ anodes upon redox cycling,” </w:t>
      </w:r>
      <w:r w:rsidRPr="00EC62EF">
        <w:rPr>
          <w:rFonts w:ascii="Calibri" w:hAnsi="Calibri" w:cs="Calibri"/>
          <w:i/>
          <w:iCs/>
          <w:noProof/>
          <w:szCs w:val="24"/>
        </w:rPr>
        <w:t>J. Power Sources</w:t>
      </w:r>
      <w:r w:rsidRPr="00EC62EF">
        <w:rPr>
          <w:rFonts w:ascii="Calibri" w:hAnsi="Calibri" w:cs="Calibri"/>
          <w:noProof/>
          <w:szCs w:val="24"/>
        </w:rPr>
        <w:t>, vol. 374, no. October 2017, pp. 61–68, 2018.</w:t>
      </w:r>
    </w:p>
    <w:p w14:paraId="1526F57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[257]</w:t>
      </w:r>
      <w:r w:rsidRPr="00EC62EF">
        <w:rPr>
          <w:rFonts w:ascii="Calibri" w:hAnsi="Calibri" w:cs="Calibri"/>
          <w:noProof/>
          <w:szCs w:val="24"/>
        </w:rPr>
        <w:tab/>
        <w:t xml:space="preserve">M. Kishimoto, M. Lomberg, E. Ruiz-Trejo, and N. P. Brandon, “Enhanced triple-phase boundary density in infiltrated electrodes for solid oxide fuel cells demonstrated by high-resolution tomography,” </w:t>
      </w:r>
      <w:r w:rsidRPr="00EC62EF">
        <w:rPr>
          <w:rFonts w:ascii="Calibri" w:hAnsi="Calibri" w:cs="Calibri"/>
          <w:i/>
          <w:iCs/>
          <w:noProof/>
          <w:szCs w:val="24"/>
        </w:rPr>
        <w:t>J. Power Sources</w:t>
      </w:r>
      <w:r w:rsidRPr="00EC62EF">
        <w:rPr>
          <w:rFonts w:ascii="Calibri" w:hAnsi="Calibri" w:cs="Calibri"/>
          <w:noProof/>
          <w:szCs w:val="24"/>
        </w:rPr>
        <w:t>, vol. 266, pp. 291–295, 2014.</w:t>
      </w:r>
    </w:p>
    <w:p w14:paraId="12A32D1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[258]</w:t>
      </w:r>
      <w:r w:rsidRPr="00EC62EF">
        <w:rPr>
          <w:rFonts w:ascii="Calibri" w:hAnsi="Calibri" w:cs="Calibri"/>
          <w:noProof/>
          <w:szCs w:val="24"/>
        </w:rPr>
        <w:tab/>
        <w:t xml:space="preserve">J. R. Wilson, J. S. Cronin, and S. A. Barnett, “Linking the microstructure, performance and durability of Ni-yttria-stabilized zirconia solid oxide fuel cell anodes using three-dimensional focused ion beam-scanning electron microscopy imaging,” </w:t>
      </w:r>
      <w:r w:rsidRPr="00EC62EF">
        <w:rPr>
          <w:rFonts w:ascii="Calibri" w:hAnsi="Calibri" w:cs="Calibri"/>
          <w:i/>
          <w:iCs/>
          <w:noProof/>
          <w:szCs w:val="24"/>
        </w:rPr>
        <w:t>Scr. Mater.</w:t>
      </w:r>
      <w:r w:rsidRPr="00EC62EF">
        <w:rPr>
          <w:rFonts w:ascii="Calibri" w:hAnsi="Calibri" w:cs="Calibri"/>
          <w:noProof/>
          <w:szCs w:val="24"/>
        </w:rPr>
        <w:t>, vol. 65, no. 2, pp. 67–72, 2011.</w:t>
      </w:r>
    </w:p>
    <w:p w14:paraId="1905D64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[259]</w:t>
      </w:r>
      <w:r w:rsidRPr="00EC62EF">
        <w:rPr>
          <w:rFonts w:ascii="Calibri" w:hAnsi="Calibri" w:cs="Calibri"/>
          <w:noProof/>
          <w:szCs w:val="24"/>
        </w:rPr>
        <w:tab/>
        <w:t xml:space="preserve">J. S. Cronin, J. R. Wilson, and S. A. Barnett, “Impact of pore microstructure evolution on polarization resistance of Ni-Yttria-stabilized zirconia fuel cell anodes,” </w:t>
      </w:r>
      <w:r w:rsidRPr="00EC62EF">
        <w:rPr>
          <w:rFonts w:ascii="Calibri" w:hAnsi="Calibri" w:cs="Calibri"/>
          <w:i/>
          <w:iCs/>
          <w:noProof/>
          <w:szCs w:val="24"/>
        </w:rPr>
        <w:t>J. Power Sources</w:t>
      </w:r>
      <w:r w:rsidRPr="00EC62EF">
        <w:rPr>
          <w:rFonts w:ascii="Calibri" w:hAnsi="Calibri" w:cs="Calibri"/>
          <w:noProof/>
          <w:szCs w:val="24"/>
        </w:rPr>
        <w:t>, vol. 196, no. 5, pp. 2640–2643, 2011.</w:t>
      </w:r>
    </w:p>
    <w:p w14:paraId="0FFA0C2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[260]</w:t>
      </w:r>
      <w:r w:rsidRPr="00EC62EF">
        <w:rPr>
          <w:rFonts w:ascii="Calibri" w:hAnsi="Calibri" w:cs="Calibri"/>
          <w:noProof/>
          <w:szCs w:val="24"/>
        </w:rPr>
        <w:tab/>
        <w:t xml:space="preserve">H. Iwai </w:t>
      </w:r>
      <w:r w:rsidRPr="00EC62EF">
        <w:rPr>
          <w:rFonts w:ascii="Calibri" w:hAnsi="Calibri" w:cs="Calibri"/>
          <w:i/>
          <w:iCs/>
          <w:noProof/>
          <w:szCs w:val="24"/>
        </w:rPr>
        <w:t>et al.</w:t>
      </w:r>
      <w:r w:rsidRPr="00EC62EF">
        <w:rPr>
          <w:rFonts w:ascii="Calibri" w:hAnsi="Calibri" w:cs="Calibri"/>
          <w:noProof/>
          <w:szCs w:val="24"/>
        </w:rPr>
        <w:t xml:space="preserve">, “Quantification of SOFC anode microstructure based on dual beam FIB-SEM technique,” </w:t>
      </w:r>
      <w:r w:rsidRPr="00EC62EF">
        <w:rPr>
          <w:rFonts w:ascii="Calibri" w:hAnsi="Calibri" w:cs="Calibri"/>
          <w:i/>
          <w:iCs/>
          <w:noProof/>
          <w:szCs w:val="24"/>
        </w:rPr>
        <w:t>J. Power Sources</w:t>
      </w:r>
      <w:r w:rsidRPr="00EC62EF">
        <w:rPr>
          <w:rFonts w:ascii="Calibri" w:hAnsi="Calibri" w:cs="Calibri"/>
          <w:noProof/>
          <w:szCs w:val="24"/>
        </w:rPr>
        <w:t>, vol. 195, no. 4, pp. 955–961, 2010.</w:t>
      </w:r>
    </w:p>
    <w:p w14:paraId="06B0198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[261]</w:t>
      </w:r>
      <w:r w:rsidRPr="00EC62EF">
        <w:rPr>
          <w:rFonts w:ascii="Calibri" w:hAnsi="Calibri" w:cs="Calibri"/>
          <w:noProof/>
          <w:szCs w:val="24"/>
        </w:rPr>
        <w:tab/>
        <w:t xml:space="preserve">J. R. Izzo </w:t>
      </w:r>
      <w:r w:rsidRPr="00EC62EF">
        <w:rPr>
          <w:rFonts w:ascii="Calibri" w:hAnsi="Calibri" w:cs="Calibri"/>
          <w:i/>
          <w:iCs/>
          <w:noProof/>
          <w:szCs w:val="24"/>
        </w:rPr>
        <w:t>et al.</w:t>
      </w:r>
      <w:r w:rsidRPr="00EC62EF">
        <w:rPr>
          <w:rFonts w:ascii="Calibri" w:hAnsi="Calibri" w:cs="Calibri"/>
          <w:noProof/>
          <w:szCs w:val="24"/>
        </w:rPr>
        <w:t xml:space="preserve">, “Nondestructive Reconstruction and Analysis of SOFC Anodes Using X-ray Computed Tomography at Sub-50 nm Resolution,” </w:t>
      </w:r>
      <w:r w:rsidRPr="00EC62EF">
        <w:rPr>
          <w:rFonts w:ascii="Calibri" w:hAnsi="Calibri" w:cs="Calibri"/>
          <w:i/>
          <w:iCs/>
          <w:noProof/>
          <w:szCs w:val="24"/>
        </w:rPr>
        <w:t>J. Electrochem. Soc.</w:t>
      </w:r>
      <w:r w:rsidRPr="00EC62EF">
        <w:rPr>
          <w:rFonts w:ascii="Calibri" w:hAnsi="Calibri" w:cs="Calibri"/>
          <w:noProof/>
          <w:szCs w:val="24"/>
        </w:rPr>
        <w:t>, vol. 155, no. 5, p. B504, 2008.</w:t>
      </w:r>
    </w:p>
    <w:p w14:paraId="2CCFBA6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[262]</w:t>
      </w:r>
      <w:r w:rsidRPr="00EC62EF">
        <w:rPr>
          <w:rFonts w:ascii="Calibri" w:hAnsi="Calibri" w:cs="Calibri"/>
          <w:noProof/>
          <w:szCs w:val="24"/>
        </w:rPr>
        <w:tab/>
        <w:t xml:space="preserve">V. Julie </w:t>
      </w:r>
      <w:r w:rsidRPr="00EC62EF">
        <w:rPr>
          <w:rFonts w:ascii="Calibri" w:hAnsi="Calibri" w:cs="Calibri"/>
          <w:i/>
          <w:iCs/>
          <w:noProof/>
          <w:szCs w:val="24"/>
        </w:rPr>
        <w:t>et al.</w:t>
      </w:r>
      <w:r w:rsidRPr="00EC62EF">
        <w:rPr>
          <w:rFonts w:ascii="Calibri" w:hAnsi="Calibri" w:cs="Calibri"/>
          <w:noProof/>
          <w:szCs w:val="24"/>
        </w:rPr>
        <w:t xml:space="preserve">, “3D phase mapping of solid oxide fuel cell YSZ/Ni cermet at the nanoscale by holographic X-ray nanotomography,” </w:t>
      </w:r>
      <w:r w:rsidRPr="00EC62EF">
        <w:rPr>
          <w:rFonts w:ascii="Calibri" w:hAnsi="Calibri" w:cs="Calibri"/>
          <w:i/>
          <w:iCs/>
          <w:noProof/>
          <w:szCs w:val="24"/>
        </w:rPr>
        <w:t>J. Power Sources</w:t>
      </w:r>
      <w:r w:rsidRPr="00EC62EF">
        <w:rPr>
          <w:rFonts w:ascii="Calibri" w:hAnsi="Calibri" w:cs="Calibri"/>
          <w:noProof/>
          <w:szCs w:val="24"/>
        </w:rPr>
        <w:t>, vol. 243, pp. 841–849, 2013.</w:t>
      </w:r>
    </w:p>
    <w:p w14:paraId="382E553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[263]</w:t>
      </w:r>
      <w:r w:rsidRPr="00EC62EF">
        <w:rPr>
          <w:rFonts w:ascii="Calibri" w:hAnsi="Calibri" w:cs="Calibri"/>
          <w:noProof/>
          <w:szCs w:val="24"/>
        </w:rPr>
        <w:tab/>
        <w:t xml:space="preserve">J. Joos, M. Ender, I. Rotscholl, N. H. Menzler, and E. Ivers-Tiffée, “Quantification of double-layer Ni/YSZ fuel cell anodes from focused ion beam tomography data,” </w:t>
      </w:r>
      <w:r w:rsidRPr="00EC62EF">
        <w:rPr>
          <w:rFonts w:ascii="Calibri" w:hAnsi="Calibri" w:cs="Calibri"/>
          <w:i/>
          <w:iCs/>
          <w:noProof/>
          <w:szCs w:val="24"/>
        </w:rPr>
        <w:t>J. Power Sources</w:t>
      </w:r>
      <w:r w:rsidRPr="00EC62EF">
        <w:rPr>
          <w:rFonts w:ascii="Calibri" w:hAnsi="Calibri" w:cs="Calibri"/>
          <w:noProof/>
          <w:szCs w:val="24"/>
        </w:rPr>
        <w:t xml:space="preserve">, vol. </w:t>
      </w:r>
      <w:r w:rsidRPr="00EC62EF">
        <w:rPr>
          <w:rFonts w:ascii="Calibri" w:hAnsi="Calibri" w:cs="Calibri"/>
          <w:noProof/>
          <w:szCs w:val="24"/>
        </w:rPr>
        <w:lastRenderedPageBreak/>
        <w:t>246, pp. 819–830, 2014.</w:t>
      </w:r>
    </w:p>
    <w:p w14:paraId="6487CC0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[264]</w:t>
      </w:r>
      <w:r w:rsidRPr="00EC62EF">
        <w:rPr>
          <w:rFonts w:ascii="Calibri" w:hAnsi="Calibri" w:cs="Calibri"/>
          <w:noProof/>
          <w:szCs w:val="24"/>
        </w:rPr>
        <w:tab/>
        <w:t xml:space="preserve">S. N. Basu, Y. Lu, P. J. Gasper, S. Gopalan, and U. B. Pal, “Enhancing Anodic Catalytic Activity at High Fuel Utilization By Infiltration of Ni Nanoparticles,” </w:t>
      </w:r>
      <w:r w:rsidRPr="00EC62EF">
        <w:rPr>
          <w:rFonts w:ascii="Calibri" w:hAnsi="Calibri" w:cs="Calibri"/>
          <w:i/>
          <w:iCs/>
          <w:noProof/>
          <w:szCs w:val="24"/>
        </w:rPr>
        <w:t>ECS Trans.</w:t>
      </w:r>
      <w:r w:rsidRPr="00EC62EF">
        <w:rPr>
          <w:rFonts w:ascii="Calibri" w:hAnsi="Calibri" w:cs="Calibri"/>
          <w:noProof/>
          <w:szCs w:val="24"/>
        </w:rPr>
        <w:t>, vol. 78, no. 1, pp. 1397–1405, 2017.</w:t>
      </w:r>
    </w:p>
    <w:p w14:paraId="48AA6F4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[265]</w:t>
      </w:r>
      <w:r w:rsidRPr="00EC62EF">
        <w:rPr>
          <w:rFonts w:ascii="Calibri" w:hAnsi="Calibri" w:cs="Calibri"/>
          <w:noProof/>
          <w:szCs w:val="24"/>
        </w:rPr>
        <w:tab/>
        <w:t xml:space="preserve">M. Kishimoto, M. Lomberg, E. Ruiz-Trejo, and N. P. Brandon, “Enhanced triple-phase boundary density in infiltrated electrodes for solid oxide fuel cells demonstrated by high-resolution tomography,” </w:t>
      </w:r>
      <w:r w:rsidRPr="00EC62EF">
        <w:rPr>
          <w:rFonts w:ascii="Calibri" w:hAnsi="Calibri" w:cs="Calibri"/>
          <w:i/>
          <w:iCs/>
          <w:noProof/>
          <w:szCs w:val="24"/>
        </w:rPr>
        <w:t>J. Power Sources</w:t>
      </w:r>
      <w:r w:rsidRPr="00EC62EF">
        <w:rPr>
          <w:rFonts w:ascii="Calibri" w:hAnsi="Calibri" w:cs="Calibri"/>
          <w:noProof/>
          <w:szCs w:val="24"/>
        </w:rPr>
        <w:t>, vol. 266, pp. 291–295, Nov. 2014.</w:t>
      </w:r>
    </w:p>
    <w:p w14:paraId="4D7C992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[266]</w:t>
      </w:r>
      <w:r w:rsidRPr="00EC62EF">
        <w:rPr>
          <w:rFonts w:ascii="Calibri" w:hAnsi="Calibri" w:cs="Calibri"/>
          <w:noProof/>
          <w:szCs w:val="24"/>
        </w:rPr>
        <w:tab/>
        <w:t>Harshil Parikh, “MICROSTRUCTURE CHANGES IN SOLID OXIDE FUEL CELL ANODES AFTER OPERATION , OBSERVED USING THREE-DIMENSIONAL RECONSTRUCTION AND MICROCHEMICAL ANALYSIS by HARSHIL PARIKH Submitted in partial fulfillment of the requirements for the degree of,” 2015.</w:t>
      </w:r>
    </w:p>
    <w:p w14:paraId="400BCE7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[267]</w:t>
      </w:r>
      <w:r w:rsidRPr="00EC62EF">
        <w:rPr>
          <w:rFonts w:ascii="Calibri" w:hAnsi="Calibri" w:cs="Calibri"/>
          <w:noProof/>
          <w:szCs w:val="24"/>
        </w:rPr>
        <w:tab/>
        <w:t xml:space="preserve">T. Shimura, Z. Jiao, and N. Shikazono, “Evaluation of nickel-yttria stabilized zirconia anode degradation during discharge operation and redox cycles operation by electrochemical calculation,” </w:t>
      </w:r>
      <w:r w:rsidRPr="00EC62EF">
        <w:rPr>
          <w:rFonts w:ascii="Calibri" w:hAnsi="Calibri" w:cs="Calibri"/>
          <w:i/>
          <w:iCs/>
          <w:noProof/>
          <w:szCs w:val="24"/>
        </w:rPr>
        <w:t>J. Power Sources</w:t>
      </w:r>
      <w:r w:rsidRPr="00EC62EF">
        <w:rPr>
          <w:rFonts w:ascii="Calibri" w:hAnsi="Calibri" w:cs="Calibri"/>
          <w:noProof/>
          <w:szCs w:val="24"/>
        </w:rPr>
        <w:t>, vol. 330, pp. 149–155, 2016.</w:t>
      </w:r>
    </w:p>
    <w:p w14:paraId="1FFBD97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[268]</w:t>
      </w:r>
      <w:r w:rsidRPr="00EC62EF">
        <w:rPr>
          <w:rFonts w:ascii="Calibri" w:hAnsi="Calibri" w:cs="Calibri"/>
          <w:noProof/>
          <w:szCs w:val="24"/>
        </w:rPr>
        <w:tab/>
        <w:t xml:space="preserve">A. Bertei, E. Ruiz-Trejo, F. Tariq, V. Yufit, A. Atkinson, and N. P. Brandon, “Validation of a physically-based solid oxide fuel cell anode model combining 3D tomography and impedance spectroscopy,” </w:t>
      </w:r>
      <w:r w:rsidRPr="00EC62EF">
        <w:rPr>
          <w:rFonts w:ascii="Calibri" w:hAnsi="Calibri" w:cs="Calibri"/>
          <w:i/>
          <w:iCs/>
          <w:noProof/>
          <w:szCs w:val="24"/>
        </w:rPr>
        <w:t>Int. J. Hydrogen Energy</w:t>
      </w:r>
      <w:r w:rsidRPr="00EC62EF">
        <w:rPr>
          <w:rFonts w:ascii="Calibri" w:hAnsi="Calibri" w:cs="Calibri"/>
          <w:noProof/>
          <w:szCs w:val="24"/>
        </w:rPr>
        <w:t>, vol. 41, no. 47, pp. 22381–22393, Dec. 2016.</w:t>
      </w:r>
    </w:p>
    <w:p w14:paraId="1BD33D5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[269]</w:t>
      </w:r>
      <w:r w:rsidRPr="00EC62EF">
        <w:rPr>
          <w:rFonts w:ascii="Calibri" w:hAnsi="Calibri" w:cs="Calibri"/>
          <w:noProof/>
          <w:szCs w:val="24"/>
        </w:rPr>
        <w:tab/>
        <w:t xml:space="preserve">J. Chen, A. Bertei, A. Atkinson, E. Ruiz-Trejo, and N. P. Brandon, “Characterization of Degradation in Nickel Impregnated Scandia-Stabilize Zirconia Electrodes during Isothermal Annealing,” </w:t>
      </w:r>
      <w:r w:rsidRPr="00EC62EF">
        <w:rPr>
          <w:rFonts w:ascii="Calibri" w:hAnsi="Calibri" w:cs="Calibri"/>
          <w:i/>
          <w:iCs/>
          <w:noProof/>
          <w:szCs w:val="24"/>
        </w:rPr>
        <w:t>J. Electrochem. Soc.</w:t>
      </w:r>
      <w:r w:rsidRPr="00EC62EF">
        <w:rPr>
          <w:rFonts w:ascii="Calibri" w:hAnsi="Calibri" w:cs="Calibri"/>
          <w:noProof/>
          <w:szCs w:val="24"/>
        </w:rPr>
        <w:t>, vol. 164, no. 9, 2017.</w:t>
      </w:r>
    </w:p>
    <w:p w14:paraId="11E6186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[270]</w:t>
      </w:r>
      <w:r w:rsidRPr="00EC62EF">
        <w:rPr>
          <w:rFonts w:ascii="Calibri" w:hAnsi="Calibri" w:cs="Calibri"/>
          <w:noProof/>
          <w:szCs w:val="24"/>
        </w:rPr>
        <w:tab/>
        <w:t xml:space="preserve">D. Kennouche </w:t>
      </w:r>
      <w:r w:rsidRPr="00EC62EF">
        <w:rPr>
          <w:rFonts w:ascii="Calibri" w:hAnsi="Calibri" w:cs="Calibri"/>
          <w:i/>
          <w:iCs/>
          <w:noProof/>
          <w:szCs w:val="24"/>
        </w:rPr>
        <w:t>et al.</w:t>
      </w:r>
      <w:r w:rsidRPr="00EC62EF">
        <w:rPr>
          <w:rFonts w:ascii="Calibri" w:hAnsi="Calibri" w:cs="Calibri"/>
          <w:noProof/>
          <w:szCs w:val="24"/>
        </w:rPr>
        <w:t xml:space="preserve">, “Observing the microstructural evolution of Ni-Yttria-stabilized zirconia solid oxide fuel cell anodes,” </w:t>
      </w:r>
      <w:r w:rsidRPr="00EC62EF">
        <w:rPr>
          <w:rFonts w:ascii="Calibri" w:hAnsi="Calibri" w:cs="Calibri"/>
          <w:i/>
          <w:iCs/>
          <w:noProof/>
          <w:szCs w:val="24"/>
        </w:rPr>
        <w:t>Acta Mater.</w:t>
      </w:r>
      <w:r w:rsidRPr="00EC62EF">
        <w:rPr>
          <w:rFonts w:ascii="Calibri" w:hAnsi="Calibri" w:cs="Calibri"/>
          <w:noProof/>
          <w:szCs w:val="24"/>
        </w:rPr>
        <w:t>, vol. 103, pp. 204–210, 2016.</w:t>
      </w:r>
    </w:p>
    <w:p w14:paraId="4342749E"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[271]</w:t>
      </w:r>
      <w:r w:rsidRPr="00EC62EF">
        <w:rPr>
          <w:rFonts w:ascii="Calibri" w:hAnsi="Calibri" w:cs="Calibri"/>
          <w:noProof/>
          <w:szCs w:val="24"/>
        </w:rPr>
        <w:tab/>
        <w:t xml:space="preserve">D. Kennouche, Y. C. K. Chen-Wiegart, C. Riscoe, J. Wang, and S. A. Barnett, “Combined electrochemical and X-ray tomography study of the high temperature evolution of Nickel - Yttria Stabilized Zirconia solid oxide fuel cell anodes,” </w:t>
      </w:r>
      <w:r w:rsidRPr="00EC62EF">
        <w:rPr>
          <w:rFonts w:ascii="Calibri" w:hAnsi="Calibri" w:cs="Calibri"/>
          <w:i/>
          <w:iCs/>
          <w:noProof/>
          <w:szCs w:val="24"/>
        </w:rPr>
        <w:t>J. Power Sources</w:t>
      </w:r>
      <w:r w:rsidRPr="00EC62EF">
        <w:rPr>
          <w:rFonts w:ascii="Calibri" w:hAnsi="Calibri" w:cs="Calibri"/>
          <w:noProof/>
          <w:szCs w:val="24"/>
        </w:rPr>
        <w:t>, vol. 307, pp. 604–612, 2016.</w:t>
      </w:r>
    </w:p>
    <w:p w14:paraId="6780A56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[272]</w:t>
      </w:r>
      <w:r w:rsidRPr="00EC62EF">
        <w:rPr>
          <w:rFonts w:ascii="Calibri" w:hAnsi="Calibri" w:cs="Calibri"/>
          <w:noProof/>
          <w:szCs w:val="24"/>
        </w:rPr>
        <w:tab/>
        <w:t xml:space="preserve">J. J. Bailey </w:t>
      </w:r>
      <w:r w:rsidRPr="00EC62EF">
        <w:rPr>
          <w:rFonts w:ascii="Calibri" w:hAnsi="Calibri" w:cs="Calibri"/>
          <w:i/>
          <w:iCs/>
          <w:noProof/>
          <w:szCs w:val="24"/>
        </w:rPr>
        <w:t>et al.</w:t>
      </w:r>
      <w:r w:rsidRPr="00EC62EF">
        <w:rPr>
          <w:rFonts w:ascii="Calibri" w:hAnsi="Calibri" w:cs="Calibri"/>
          <w:noProof/>
          <w:szCs w:val="24"/>
        </w:rPr>
        <w:t xml:space="preserve">, “Laser-preparation of geometrically optimised samples for X-ray nano-CT,” </w:t>
      </w:r>
      <w:r w:rsidRPr="00EC62EF">
        <w:rPr>
          <w:rFonts w:ascii="Calibri" w:hAnsi="Calibri" w:cs="Calibri"/>
          <w:i/>
          <w:iCs/>
          <w:noProof/>
          <w:szCs w:val="24"/>
        </w:rPr>
        <w:t>J. Microsc.</w:t>
      </w:r>
      <w:r w:rsidRPr="00EC62EF">
        <w:rPr>
          <w:rFonts w:ascii="Calibri" w:hAnsi="Calibri" w:cs="Calibri"/>
          <w:noProof/>
          <w:szCs w:val="24"/>
        </w:rPr>
        <w:t>, vol. 267, no. 3, pp. 384–396, 2017.</w:t>
      </w:r>
    </w:p>
    <w:p w14:paraId="4D55DEE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[273]</w:t>
      </w:r>
      <w:r w:rsidRPr="00EC62EF">
        <w:rPr>
          <w:rFonts w:ascii="Calibri" w:hAnsi="Calibri" w:cs="Calibri"/>
          <w:noProof/>
          <w:szCs w:val="24"/>
        </w:rPr>
        <w:tab/>
        <w:t xml:space="preserve">T. M. M. Heenan </w:t>
      </w:r>
      <w:r w:rsidRPr="00EC62EF">
        <w:rPr>
          <w:rFonts w:ascii="Calibri" w:hAnsi="Calibri" w:cs="Calibri"/>
          <w:i/>
          <w:iCs/>
          <w:noProof/>
          <w:szCs w:val="24"/>
        </w:rPr>
        <w:t>et al.</w:t>
      </w:r>
      <w:r w:rsidRPr="00EC62EF">
        <w:rPr>
          <w:rFonts w:ascii="Calibri" w:hAnsi="Calibri" w:cs="Calibri"/>
          <w:noProof/>
          <w:szCs w:val="24"/>
        </w:rPr>
        <w:t xml:space="preserve">, “Three-Phase Segmentation of Solid Oxide Fuel Cell Anode Materials Using Lab Based X-ray Nano-Computed Tomography,” </w:t>
      </w:r>
      <w:r w:rsidRPr="00EC62EF">
        <w:rPr>
          <w:rFonts w:ascii="Calibri" w:hAnsi="Calibri" w:cs="Calibri"/>
          <w:i/>
          <w:iCs/>
          <w:noProof/>
          <w:szCs w:val="24"/>
        </w:rPr>
        <w:t>Fuel Cells</w:t>
      </w:r>
      <w:r w:rsidRPr="00EC62EF">
        <w:rPr>
          <w:rFonts w:ascii="Calibri" w:hAnsi="Calibri" w:cs="Calibri"/>
          <w:noProof/>
          <w:szCs w:val="24"/>
        </w:rPr>
        <w:t>, vol. 17, no. 1, pp. 75–82, 2017.</w:t>
      </w:r>
    </w:p>
    <w:p w14:paraId="7255C54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[274]</w:t>
      </w:r>
      <w:r w:rsidRPr="00EC62EF">
        <w:rPr>
          <w:rFonts w:ascii="Calibri" w:hAnsi="Calibri" w:cs="Calibri"/>
          <w:noProof/>
          <w:szCs w:val="24"/>
        </w:rPr>
        <w:tab/>
        <w:t xml:space="preserve">Y. K. Chen-Wiegart, S. A. Barnett, J. S. Cronin, J. Wang, and D. Kennouche, “Three-Dimensional Microstructural Evolution of Ni- Yttria-Stabilized Zirconia Solid Oxide Fuel Cell Anodes At Elevated Temperatures,” </w:t>
      </w:r>
      <w:r w:rsidRPr="00EC62EF">
        <w:rPr>
          <w:rFonts w:ascii="Calibri" w:hAnsi="Calibri" w:cs="Calibri"/>
          <w:i/>
          <w:iCs/>
          <w:noProof/>
          <w:szCs w:val="24"/>
        </w:rPr>
        <w:t>J. Electrochem. Soc.</w:t>
      </w:r>
      <w:r w:rsidRPr="00EC62EF">
        <w:rPr>
          <w:rFonts w:ascii="Calibri" w:hAnsi="Calibri" w:cs="Calibri"/>
          <w:noProof/>
          <w:szCs w:val="24"/>
        </w:rPr>
        <w:t>, vol. 160, no. 11, pp. F1293–F1304, 2013.</w:t>
      </w:r>
    </w:p>
    <w:p w14:paraId="5F7ECBF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[275]</w:t>
      </w:r>
      <w:r w:rsidRPr="00EC62EF">
        <w:rPr>
          <w:rFonts w:ascii="Calibri" w:hAnsi="Calibri" w:cs="Calibri"/>
          <w:noProof/>
          <w:szCs w:val="24"/>
        </w:rPr>
        <w:tab/>
        <w:t xml:space="preserve">D. Claus </w:t>
      </w:r>
      <w:r w:rsidRPr="00EC62EF">
        <w:rPr>
          <w:rFonts w:ascii="Calibri" w:hAnsi="Calibri" w:cs="Calibri"/>
          <w:i/>
          <w:iCs/>
          <w:noProof/>
          <w:szCs w:val="24"/>
        </w:rPr>
        <w:t>et al.</w:t>
      </w:r>
      <w:r w:rsidRPr="00EC62EF">
        <w:rPr>
          <w:rFonts w:ascii="Calibri" w:hAnsi="Calibri" w:cs="Calibri"/>
          <w:noProof/>
          <w:szCs w:val="24"/>
        </w:rPr>
        <w:t xml:space="preserve">, “Ptychography: A powerful phase retrieval technique for biomedical imaging,” </w:t>
      </w:r>
      <w:r w:rsidRPr="00EC62EF">
        <w:rPr>
          <w:rFonts w:ascii="Calibri" w:hAnsi="Calibri" w:cs="Calibri"/>
          <w:i/>
          <w:iCs/>
          <w:noProof/>
          <w:szCs w:val="24"/>
        </w:rPr>
        <w:t>Tenth Int. Conf. Correl. Opt.</w:t>
      </w:r>
      <w:r w:rsidRPr="00EC62EF">
        <w:rPr>
          <w:rFonts w:ascii="Calibri" w:hAnsi="Calibri" w:cs="Calibri"/>
          <w:noProof/>
          <w:szCs w:val="24"/>
        </w:rPr>
        <w:t>, vol. 8338, 2011.</w:t>
      </w:r>
    </w:p>
    <w:p w14:paraId="1E6407D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[276]</w:t>
      </w:r>
      <w:r w:rsidRPr="00EC62EF">
        <w:rPr>
          <w:rFonts w:ascii="Calibri" w:hAnsi="Calibri" w:cs="Calibri"/>
          <w:noProof/>
          <w:szCs w:val="24"/>
        </w:rPr>
        <w:tab/>
        <w:t xml:space="preserve">L. Holzer, B. Münch, B. Iwanschitz, M. Cantoni, T. Hocker, and T. Graule, “Quantitative relationships between composition, particle size, triple phase boundary length and surface area in nickel-cermet anodes for Solid Oxide Fuel Cells,” </w:t>
      </w:r>
      <w:r w:rsidRPr="00EC62EF">
        <w:rPr>
          <w:rFonts w:ascii="Calibri" w:hAnsi="Calibri" w:cs="Calibri"/>
          <w:i/>
          <w:iCs/>
          <w:noProof/>
          <w:szCs w:val="24"/>
        </w:rPr>
        <w:t>J. Power Sources</w:t>
      </w:r>
      <w:r w:rsidRPr="00EC62EF">
        <w:rPr>
          <w:rFonts w:ascii="Calibri" w:hAnsi="Calibri" w:cs="Calibri"/>
          <w:noProof/>
          <w:szCs w:val="24"/>
        </w:rPr>
        <w:t>, vol. 196, no. 17, pp. 7076–7089, 2011.</w:t>
      </w:r>
    </w:p>
    <w:p w14:paraId="7E8EA58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[277]</w:t>
      </w:r>
      <w:r w:rsidRPr="00EC62EF">
        <w:rPr>
          <w:rFonts w:ascii="Calibri" w:hAnsi="Calibri" w:cs="Calibri"/>
          <w:noProof/>
          <w:szCs w:val="24"/>
        </w:rPr>
        <w:tab/>
        <w:t xml:space="preserve">N. Vivet </w:t>
      </w:r>
      <w:r w:rsidRPr="00EC62EF">
        <w:rPr>
          <w:rFonts w:ascii="Calibri" w:hAnsi="Calibri" w:cs="Calibri"/>
          <w:i/>
          <w:iCs/>
          <w:noProof/>
          <w:szCs w:val="24"/>
        </w:rPr>
        <w:t>et al.</w:t>
      </w:r>
      <w:r w:rsidRPr="00EC62EF">
        <w:rPr>
          <w:rFonts w:ascii="Calibri" w:hAnsi="Calibri" w:cs="Calibri"/>
          <w:noProof/>
          <w:szCs w:val="24"/>
        </w:rPr>
        <w:t xml:space="preserve">, “3D Microstructural characterization of a solid oxide fuel cell anode reconstructed by focused ion beam tomography,” </w:t>
      </w:r>
      <w:r w:rsidRPr="00EC62EF">
        <w:rPr>
          <w:rFonts w:ascii="Calibri" w:hAnsi="Calibri" w:cs="Calibri"/>
          <w:i/>
          <w:iCs/>
          <w:noProof/>
          <w:szCs w:val="24"/>
        </w:rPr>
        <w:t>Lancet</w:t>
      </w:r>
      <w:r w:rsidRPr="00EC62EF">
        <w:rPr>
          <w:rFonts w:ascii="Calibri" w:hAnsi="Calibri" w:cs="Calibri"/>
          <w:noProof/>
          <w:szCs w:val="24"/>
        </w:rPr>
        <w:t>, vol. 196, pp. 7541–7549, Sep. 2011.</w:t>
      </w:r>
    </w:p>
    <w:p w14:paraId="417098F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lastRenderedPageBreak/>
        <w:t>[278]</w:t>
      </w:r>
      <w:r w:rsidRPr="00EC62EF">
        <w:rPr>
          <w:rFonts w:ascii="Calibri" w:hAnsi="Calibri" w:cs="Calibri"/>
          <w:noProof/>
          <w:szCs w:val="24"/>
        </w:rPr>
        <w:tab/>
        <w:t xml:space="preserve">A. Tkachuk, F. Duewer, H. Cui, M. Feser, S. Wang, and W. Yun, “X-ray computed tomography in Zernike phase contrast mode at 8 keV with 50-nm resolution using Cu rotating anode X-ray source,” </w:t>
      </w:r>
      <w:r w:rsidRPr="00EC62EF">
        <w:rPr>
          <w:rFonts w:ascii="Calibri" w:hAnsi="Calibri" w:cs="Calibri"/>
          <w:i/>
          <w:iCs/>
          <w:noProof/>
          <w:szCs w:val="24"/>
        </w:rPr>
        <w:t>Zeitschrift fur Krist.</w:t>
      </w:r>
      <w:r w:rsidRPr="00EC62EF">
        <w:rPr>
          <w:rFonts w:ascii="Calibri" w:hAnsi="Calibri" w:cs="Calibri"/>
          <w:noProof/>
          <w:szCs w:val="24"/>
        </w:rPr>
        <w:t>, vol. 222, no. 11, pp. 650–655, 2007.</w:t>
      </w:r>
    </w:p>
    <w:p w14:paraId="17A7FCE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[279]</w:t>
      </w:r>
      <w:r w:rsidRPr="00EC62EF">
        <w:rPr>
          <w:rFonts w:ascii="Calibri" w:hAnsi="Calibri" w:cs="Calibri"/>
          <w:noProof/>
          <w:szCs w:val="24"/>
        </w:rPr>
        <w:tab/>
        <w:t xml:space="preserve">J. M. Rodenburg, “Ptychography and related diffractive imaging methods,” </w:t>
      </w:r>
      <w:r w:rsidRPr="00EC62EF">
        <w:rPr>
          <w:rFonts w:ascii="Calibri" w:hAnsi="Calibri" w:cs="Calibri"/>
          <w:i/>
          <w:iCs/>
          <w:noProof/>
          <w:szCs w:val="24"/>
        </w:rPr>
        <w:t>Adv. Imaging Electron Physics, Vol 150</w:t>
      </w:r>
      <w:r w:rsidRPr="00EC62EF">
        <w:rPr>
          <w:rFonts w:ascii="Calibri" w:hAnsi="Calibri" w:cs="Calibri"/>
          <w:noProof/>
          <w:szCs w:val="24"/>
        </w:rPr>
        <w:t>, vol. 150, pp. 87–184, 2008.</w:t>
      </w:r>
    </w:p>
    <w:p w14:paraId="229D782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[280]</w:t>
      </w:r>
      <w:r w:rsidRPr="00EC62EF">
        <w:rPr>
          <w:rFonts w:ascii="Calibri" w:hAnsi="Calibri" w:cs="Calibri"/>
          <w:noProof/>
          <w:szCs w:val="24"/>
        </w:rPr>
        <w:tab/>
        <w:t xml:space="preserve">F. Pfeiffer, “X-ray ptychography,” </w:t>
      </w:r>
      <w:r w:rsidRPr="00EC62EF">
        <w:rPr>
          <w:rFonts w:ascii="Calibri" w:hAnsi="Calibri" w:cs="Calibri"/>
          <w:i/>
          <w:iCs/>
          <w:noProof/>
          <w:szCs w:val="24"/>
        </w:rPr>
        <w:t>Nat. Photonics</w:t>
      </w:r>
      <w:r w:rsidRPr="00EC62EF">
        <w:rPr>
          <w:rFonts w:ascii="Calibri" w:hAnsi="Calibri" w:cs="Calibri"/>
          <w:noProof/>
          <w:szCs w:val="24"/>
        </w:rPr>
        <w:t>, vol. 12, no. 1, pp. 9–17, 2018.</w:t>
      </w:r>
    </w:p>
    <w:p w14:paraId="0E17CC1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[281]</w:t>
      </w:r>
      <w:r w:rsidRPr="00EC62EF">
        <w:rPr>
          <w:rFonts w:ascii="Calibri" w:hAnsi="Calibri" w:cs="Calibri"/>
          <w:noProof/>
          <w:szCs w:val="24"/>
        </w:rPr>
        <w:tab/>
        <w:t xml:space="preserve">S.-K. Yoon, H.-J. Cho, D.-C. Kim, Y.-H. Yu, and S.-K. Kim, “Phase Unwrapping using Modified Goldstein Algorithm in Digital Holography,” </w:t>
      </w:r>
      <w:r w:rsidRPr="00EC62EF">
        <w:rPr>
          <w:rFonts w:ascii="Calibri" w:hAnsi="Calibri" w:cs="Calibri"/>
          <w:i/>
          <w:iCs/>
          <w:noProof/>
          <w:szCs w:val="24"/>
        </w:rPr>
        <w:t>Hankook Kwanghak Hoeji</w:t>
      </w:r>
      <w:r w:rsidRPr="00EC62EF">
        <w:rPr>
          <w:rFonts w:ascii="Calibri" w:hAnsi="Calibri" w:cs="Calibri"/>
          <w:noProof/>
          <w:szCs w:val="24"/>
        </w:rPr>
        <w:t>, vol. 18, no. 2, pp. 122–129, 2009.</w:t>
      </w:r>
    </w:p>
    <w:p w14:paraId="41FD1FE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[282]</w:t>
      </w:r>
      <w:r w:rsidRPr="00EC62EF">
        <w:rPr>
          <w:rFonts w:ascii="Calibri" w:hAnsi="Calibri" w:cs="Calibri"/>
          <w:noProof/>
          <w:szCs w:val="24"/>
        </w:rPr>
        <w:tab/>
        <w:t xml:space="preserve">M. Stockmar </w:t>
      </w:r>
      <w:r w:rsidRPr="00EC62EF">
        <w:rPr>
          <w:rFonts w:ascii="Calibri" w:hAnsi="Calibri" w:cs="Calibri"/>
          <w:i/>
          <w:iCs/>
          <w:noProof/>
          <w:szCs w:val="24"/>
        </w:rPr>
        <w:t>et al.</w:t>
      </w:r>
      <w:r w:rsidRPr="00EC62EF">
        <w:rPr>
          <w:rFonts w:ascii="Calibri" w:hAnsi="Calibri" w:cs="Calibri"/>
          <w:noProof/>
          <w:szCs w:val="24"/>
        </w:rPr>
        <w:t xml:space="preserve">, “X-ray nanotomography using near-field ptychography,” </w:t>
      </w:r>
      <w:r w:rsidRPr="00EC62EF">
        <w:rPr>
          <w:rFonts w:ascii="Calibri" w:hAnsi="Calibri" w:cs="Calibri"/>
          <w:i/>
          <w:iCs/>
          <w:noProof/>
          <w:szCs w:val="24"/>
        </w:rPr>
        <w:t>Opt. Express</w:t>
      </w:r>
      <w:r w:rsidRPr="00EC62EF">
        <w:rPr>
          <w:rFonts w:ascii="Calibri" w:hAnsi="Calibri" w:cs="Calibri"/>
          <w:noProof/>
          <w:szCs w:val="24"/>
        </w:rPr>
        <w:t>, vol. 23, no. 10, p. 12720, 2015.</w:t>
      </w:r>
    </w:p>
    <w:p w14:paraId="26BD34A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[283]</w:t>
      </w:r>
      <w:r w:rsidRPr="00EC62EF">
        <w:rPr>
          <w:rFonts w:ascii="Calibri" w:hAnsi="Calibri" w:cs="Calibri"/>
          <w:noProof/>
          <w:szCs w:val="24"/>
        </w:rPr>
        <w:tab/>
        <w:t xml:space="preserve">M. Hubert, J. Laurencin, P. Cloetens, B. Morel, D. Montinaro, and F. Lefebvre-Joud, “Impact of Nickel agglomeration on Solid Oxide Cell operated in fuel cell and electrolysis modes,” </w:t>
      </w:r>
      <w:r w:rsidRPr="00EC62EF">
        <w:rPr>
          <w:rFonts w:ascii="Calibri" w:hAnsi="Calibri" w:cs="Calibri"/>
          <w:i/>
          <w:iCs/>
          <w:noProof/>
          <w:szCs w:val="24"/>
        </w:rPr>
        <w:t>J. Power Sources</w:t>
      </w:r>
      <w:r w:rsidRPr="00EC62EF">
        <w:rPr>
          <w:rFonts w:ascii="Calibri" w:hAnsi="Calibri" w:cs="Calibri"/>
          <w:noProof/>
          <w:szCs w:val="24"/>
        </w:rPr>
        <w:t>, vol. 397, no. June, pp. 240–251, 2018.</w:t>
      </w:r>
    </w:p>
    <w:p w14:paraId="43991DA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[284]</w:t>
      </w:r>
      <w:r w:rsidRPr="00EC62EF">
        <w:rPr>
          <w:rFonts w:ascii="Calibri" w:hAnsi="Calibri" w:cs="Calibri"/>
          <w:noProof/>
          <w:szCs w:val="24"/>
        </w:rPr>
        <w:tab/>
        <w:t xml:space="preserve">S. De Angelis </w:t>
      </w:r>
      <w:r w:rsidRPr="00EC62EF">
        <w:rPr>
          <w:rFonts w:ascii="Calibri" w:hAnsi="Calibri" w:cs="Calibri"/>
          <w:i/>
          <w:iCs/>
          <w:noProof/>
          <w:szCs w:val="24"/>
        </w:rPr>
        <w:t>et al.</w:t>
      </w:r>
      <w:r w:rsidRPr="00EC62EF">
        <w:rPr>
          <w:rFonts w:ascii="Calibri" w:hAnsi="Calibri" w:cs="Calibri"/>
          <w:noProof/>
          <w:szCs w:val="24"/>
        </w:rPr>
        <w:t xml:space="preserve">, “Ex-situ tracking solid oxide cell electrode microstructural evolution in a redox cycle by high resolution ptychographic nanotomography,” </w:t>
      </w:r>
      <w:r w:rsidRPr="00EC62EF">
        <w:rPr>
          <w:rFonts w:ascii="Calibri" w:hAnsi="Calibri" w:cs="Calibri"/>
          <w:i/>
          <w:iCs/>
          <w:noProof/>
          <w:szCs w:val="24"/>
        </w:rPr>
        <w:t>J. Power Sources</w:t>
      </w:r>
      <w:r w:rsidRPr="00EC62EF">
        <w:rPr>
          <w:rFonts w:ascii="Calibri" w:hAnsi="Calibri" w:cs="Calibri"/>
          <w:noProof/>
          <w:szCs w:val="24"/>
        </w:rPr>
        <w:t>, vol. 360, pp. 520–527, 2017.</w:t>
      </w:r>
    </w:p>
    <w:p w14:paraId="641300E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[285]</w:t>
      </w:r>
      <w:r w:rsidRPr="00EC62EF">
        <w:rPr>
          <w:rFonts w:ascii="Calibri" w:hAnsi="Calibri" w:cs="Calibri"/>
          <w:noProof/>
          <w:szCs w:val="24"/>
        </w:rPr>
        <w:tab/>
        <w:t xml:space="preserve">J. Moon, H.-W. Lee, H. Moon, J. Kim, S.-H. Hyun, and S.-D. Kim, “Nano-composite materials for high-performance and durability of solid oxide fuel cells,” </w:t>
      </w:r>
      <w:r w:rsidRPr="00EC62EF">
        <w:rPr>
          <w:rFonts w:ascii="Calibri" w:hAnsi="Calibri" w:cs="Calibri"/>
          <w:i/>
          <w:iCs/>
          <w:noProof/>
          <w:szCs w:val="24"/>
        </w:rPr>
        <w:t>J. Power Sources</w:t>
      </w:r>
      <w:r w:rsidRPr="00EC62EF">
        <w:rPr>
          <w:rFonts w:ascii="Calibri" w:hAnsi="Calibri" w:cs="Calibri"/>
          <w:noProof/>
          <w:szCs w:val="24"/>
        </w:rPr>
        <w:t>, vol. 163, no. 1, pp. 392–397, 2006.</w:t>
      </w:r>
    </w:p>
    <w:p w14:paraId="4816A67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[286]</w:t>
      </w:r>
      <w:r w:rsidRPr="00EC62EF">
        <w:rPr>
          <w:rFonts w:ascii="Calibri" w:hAnsi="Calibri" w:cs="Calibri"/>
          <w:noProof/>
          <w:szCs w:val="24"/>
        </w:rPr>
        <w:tab/>
        <w:t xml:space="preserve">J. Moon, H.-W. Lee, H. Moon, J. Kim, S.-H. Hyun, and S.-D. Kim, “Nano-composite materials for high-performance and durability of solid oxide fuel cells,” </w:t>
      </w:r>
      <w:r w:rsidRPr="00EC62EF">
        <w:rPr>
          <w:rFonts w:ascii="Calibri" w:hAnsi="Calibri" w:cs="Calibri"/>
          <w:i/>
          <w:iCs/>
          <w:noProof/>
          <w:szCs w:val="24"/>
        </w:rPr>
        <w:t>J. Power Sources</w:t>
      </w:r>
      <w:r w:rsidRPr="00EC62EF">
        <w:rPr>
          <w:rFonts w:ascii="Calibri" w:hAnsi="Calibri" w:cs="Calibri"/>
          <w:noProof/>
          <w:szCs w:val="24"/>
        </w:rPr>
        <w:t>, vol. 163, no. 1, pp. 392–397, 2006.</w:t>
      </w:r>
    </w:p>
    <w:p w14:paraId="27FBEE9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[287]</w:t>
      </w:r>
      <w:r w:rsidRPr="00EC62EF">
        <w:rPr>
          <w:rFonts w:ascii="Calibri" w:hAnsi="Calibri" w:cs="Calibri"/>
          <w:noProof/>
          <w:szCs w:val="24"/>
        </w:rPr>
        <w:tab/>
        <w:t xml:space="preserve">A. Bertei, E. Ruiz-Trejo, F. Tariq, V. Yufit, A. Atkinson, and N. P. Brandon, “Validation of a physically-based solid oxide fuel cell anode model combining 3D tomography and impedance spectroscopy,” </w:t>
      </w:r>
      <w:r w:rsidRPr="00EC62EF">
        <w:rPr>
          <w:rFonts w:ascii="Calibri" w:hAnsi="Calibri" w:cs="Calibri"/>
          <w:i/>
          <w:iCs/>
          <w:noProof/>
          <w:szCs w:val="24"/>
        </w:rPr>
        <w:t>Int. J. Hydrogen Energy</w:t>
      </w:r>
      <w:r w:rsidRPr="00EC62EF">
        <w:rPr>
          <w:rFonts w:ascii="Calibri" w:hAnsi="Calibri" w:cs="Calibri"/>
          <w:noProof/>
          <w:szCs w:val="24"/>
        </w:rPr>
        <w:t>, vol. 41, no. 47, pp. 22381–22393, 2016.</w:t>
      </w:r>
    </w:p>
    <w:p w14:paraId="06FC801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[288]</w:t>
      </w:r>
      <w:r w:rsidRPr="00EC62EF">
        <w:rPr>
          <w:rFonts w:ascii="Calibri" w:hAnsi="Calibri" w:cs="Calibri"/>
          <w:noProof/>
          <w:szCs w:val="24"/>
        </w:rPr>
        <w:tab/>
        <w:t>C. Honsberg, “Four Point Probe Resistivity measurements.  ,” 2015. [Online]. Available: http://pveducation.org/pvcdrom/characterisation/four-point-probe-resistivity-measurements.</w:t>
      </w:r>
    </w:p>
    <w:p w14:paraId="1FCA50B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[289]</w:t>
      </w:r>
      <w:r w:rsidRPr="00EC62EF">
        <w:rPr>
          <w:rFonts w:ascii="Calibri" w:hAnsi="Calibri" w:cs="Calibri"/>
          <w:noProof/>
          <w:szCs w:val="24"/>
        </w:rPr>
        <w:tab/>
        <w:t xml:space="preserve">M. Rao, S. H. Jensen, X. Sun, and A. Hagen, “Unwinding Entangled Degradation Mechanisms in Solid Oxide Electrolysis Cells Through Electrode Modifications and Impedance Analysis,” </w:t>
      </w:r>
      <w:r w:rsidRPr="00EC62EF">
        <w:rPr>
          <w:rFonts w:ascii="Calibri" w:hAnsi="Calibri" w:cs="Calibri"/>
          <w:i/>
          <w:iCs/>
          <w:noProof/>
          <w:szCs w:val="24"/>
        </w:rPr>
        <w:t>Fuel Cells</w:t>
      </w:r>
      <w:r w:rsidRPr="00EC62EF">
        <w:rPr>
          <w:rFonts w:ascii="Calibri" w:hAnsi="Calibri" w:cs="Calibri"/>
          <w:noProof/>
          <w:szCs w:val="24"/>
        </w:rPr>
        <w:t>, vol. 19, no. 4, pp. 445–457, 2019.</w:t>
      </w:r>
    </w:p>
    <w:p w14:paraId="2F8740F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[290]</w:t>
      </w:r>
      <w:r w:rsidRPr="00EC62EF">
        <w:rPr>
          <w:rFonts w:ascii="Calibri" w:hAnsi="Calibri" w:cs="Calibri"/>
          <w:noProof/>
          <w:szCs w:val="24"/>
        </w:rPr>
        <w:tab/>
        <w:t xml:space="preserve">M. V. Rao, J. Fleig, M. Zinkevich, and F. Aldinger, “The influence of the solid electrolyte on the impedance of hydrogen oxidation at patterned Ni electrodes,” </w:t>
      </w:r>
      <w:r w:rsidRPr="00EC62EF">
        <w:rPr>
          <w:rFonts w:ascii="Calibri" w:hAnsi="Calibri" w:cs="Calibri"/>
          <w:i/>
          <w:iCs/>
          <w:noProof/>
          <w:szCs w:val="24"/>
        </w:rPr>
        <w:t>Solid State Ionics</w:t>
      </w:r>
      <w:r w:rsidRPr="00EC62EF">
        <w:rPr>
          <w:rFonts w:ascii="Calibri" w:hAnsi="Calibri" w:cs="Calibri"/>
          <w:noProof/>
          <w:szCs w:val="24"/>
        </w:rPr>
        <w:t>, vol. 181, no. 25–26, pp. 1170–1177, 2010.</w:t>
      </w:r>
    </w:p>
    <w:p w14:paraId="72D41E5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[291]</w:t>
      </w:r>
      <w:r w:rsidRPr="00EC62EF">
        <w:rPr>
          <w:rFonts w:ascii="Calibri" w:hAnsi="Calibri" w:cs="Calibri"/>
          <w:noProof/>
          <w:szCs w:val="24"/>
        </w:rPr>
        <w:tab/>
        <w:t xml:space="preserve">A. Utz, H. Störmer, A. Leonide, A. Weber, and E. Ivers-Tiff́e, “Degradation and relaxation effects of ni patterned anodes in H2 - H2O atmosphere,” </w:t>
      </w:r>
      <w:r w:rsidRPr="00EC62EF">
        <w:rPr>
          <w:rFonts w:ascii="Calibri" w:hAnsi="Calibri" w:cs="Calibri"/>
          <w:i/>
          <w:iCs/>
          <w:noProof/>
          <w:szCs w:val="24"/>
        </w:rPr>
        <w:t>J. Electrochem. Soc.</w:t>
      </w:r>
      <w:r w:rsidRPr="00EC62EF">
        <w:rPr>
          <w:rFonts w:ascii="Calibri" w:hAnsi="Calibri" w:cs="Calibri"/>
          <w:noProof/>
          <w:szCs w:val="24"/>
        </w:rPr>
        <w:t>, vol. 157, no. 6, pp. 920–930, 2010.</w:t>
      </w:r>
    </w:p>
    <w:p w14:paraId="4E9BFA6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[292]</w:t>
      </w:r>
      <w:r w:rsidRPr="00EC62EF">
        <w:rPr>
          <w:rFonts w:ascii="Calibri" w:hAnsi="Calibri" w:cs="Calibri"/>
          <w:noProof/>
          <w:szCs w:val="24"/>
        </w:rPr>
        <w:tab/>
        <w:t xml:space="preserve">W. Zhu, D. Ding, and C. Xia, “Enhancement in Three-Phase Boundary of SOFC Electrodes by an Ion Impregnation Method: A Modeling Comparison,” </w:t>
      </w:r>
      <w:r w:rsidRPr="00EC62EF">
        <w:rPr>
          <w:rFonts w:ascii="Calibri" w:hAnsi="Calibri" w:cs="Calibri"/>
          <w:i/>
          <w:iCs/>
          <w:noProof/>
          <w:szCs w:val="24"/>
        </w:rPr>
        <w:t>Electrochem. Solid-State Lett.</w:t>
      </w:r>
      <w:r w:rsidRPr="00EC62EF">
        <w:rPr>
          <w:rFonts w:ascii="Calibri" w:hAnsi="Calibri" w:cs="Calibri"/>
          <w:noProof/>
          <w:szCs w:val="24"/>
        </w:rPr>
        <w:t>, vol. 11, no. 6, p. B83, 2008.</w:t>
      </w:r>
    </w:p>
    <w:p w14:paraId="50E2B16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[293]</w:t>
      </w:r>
      <w:r w:rsidRPr="00EC62EF">
        <w:rPr>
          <w:rFonts w:ascii="Calibri" w:hAnsi="Calibri" w:cs="Calibri"/>
          <w:noProof/>
          <w:szCs w:val="24"/>
        </w:rPr>
        <w:tab/>
        <w:t xml:space="preserve">J. R. Wilson, J. S. Cronin, and S. A. Barnett, “Linking the microstructure, performance and durability of Ni-yttria-stabilized zirconia solid oxide fuel cell anodes using three-dimensional </w:t>
      </w:r>
      <w:r w:rsidRPr="00EC62EF">
        <w:rPr>
          <w:rFonts w:ascii="Calibri" w:hAnsi="Calibri" w:cs="Calibri"/>
          <w:noProof/>
          <w:szCs w:val="24"/>
        </w:rPr>
        <w:lastRenderedPageBreak/>
        <w:t xml:space="preserve">focused ion beam–scanning electron microscopy imaging,” </w:t>
      </w:r>
      <w:r w:rsidRPr="00EC62EF">
        <w:rPr>
          <w:rFonts w:ascii="Calibri" w:hAnsi="Calibri" w:cs="Calibri"/>
          <w:i/>
          <w:iCs/>
          <w:noProof/>
          <w:szCs w:val="24"/>
        </w:rPr>
        <w:t>Scr. Mater.</w:t>
      </w:r>
      <w:r w:rsidRPr="00EC62EF">
        <w:rPr>
          <w:rFonts w:ascii="Calibri" w:hAnsi="Calibri" w:cs="Calibri"/>
          <w:noProof/>
          <w:szCs w:val="24"/>
        </w:rPr>
        <w:t>, vol. 65, no. 2, pp. 67–72, 2011.</w:t>
      </w:r>
    </w:p>
    <w:p w14:paraId="23BD017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[294]</w:t>
      </w:r>
      <w:r w:rsidRPr="00EC62EF">
        <w:rPr>
          <w:rFonts w:ascii="Calibri" w:hAnsi="Calibri" w:cs="Calibri"/>
          <w:noProof/>
          <w:szCs w:val="24"/>
        </w:rPr>
        <w:tab/>
        <w:t xml:space="preserve">A. R. West, </w:t>
      </w:r>
      <w:r w:rsidRPr="00EC62EF">
        <w:rPr>
          <w:rFonts w:ascii="Calibri" w:hAnsi="Calibri" w:cs="Calibri"/>
          <w:i/>
          <w:iCs/>
          <w:noProof/>
          <w:szCs w:val="24"/>
        </w:rPr>
        <w:t>Basic Solid State Chemistry</w:t>
      </w:r>
      <w:r w:rsidRPr="00EC62EF">
        <w:rPr>
          <w:rFonts w:ascii="Calibri" w:hAnsi="Calibri" w:cs="Calibri"/>
          <w:noProof/>
          <w:szCs w:val="24"/>
        </w:rPr>
        <w:t>, 2nd ed., vol. 14, no. 4. Wiley-Blackwell, 2000.</w:t>
      </w:r>
    </w:p>
    <w:p w14:paraId="24EE9A9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[295]</w:t>
      </w:r>
      <w:r w:rsidRPr="00EC62EF">
        <w:rPr>
          <w:rFonts w:ascii="Calibri" w:hAnsi="Calibri" w:cs="Calibri"/>
          <w:noProof/>
          <w:szCs w:val="24"/>
        </w:rPr>
        <w:tab/>
        <w:t>A. Speakman, Scott, “Estimating Crystallite Size Using XRD,” Massachusetts, 2007.</w:t>
      </w:r>
    </w:p>
    <w:p w14:paraId="70AD2A3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[296]</w:t>
      </w:r>
      <w:r w:rsidRPr="00EC62EF">
        <w:rPr>
          <w:rFonts w:ascii="Calibri" w:hAnsi="Calibri" w:cs="Calibri"/>
          <w:noProof/>
          <w:szCs w:val="24"/>
        </w:rPr>
        <w:tab/>
        <w:t xml:space="preserve">P. a Webb, “Introduction to Chemical Adsorption Analytical Techniques and their Applications to Catalysis,” </w:t>
      </w:r>
      <w:r w:rsidRPr="00EC62EF">
        <w:rPr>
          <w:rFonts w:ascii="Calibri" w:hAnsi="Calibri" w:cs="Calibri"/>
          <w:i/>
          <w:iCs/>
          <w:noProof/>
          <w:szCs w:val="24"/>
        </w:rPr>
        <w:t>MIC Tech. Publ.</w:t>
      </w:r>
      <w:r w:rsidRPr="00EC62EF">
        <w:rPr>
          <w:rFonts w:ascii="Calibri" w:hAnsi="Calibri" w:cs="Calibri"/>
          <w:noProof/>
          <w:szCs w:val="24"/>
        </w:rPr>
        <w:t>, vol. 13, no. January, pp. 1–4, 2003.</w:t>
      </w:r>
    </w:p>
    <w:p w14:paraId="3E3A0D0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[297]</w:t>
      </w:r>
      <w:r w:rsidRPr="00EC62EF">
        <w:rPr>
          <w:rFonts w:ascii="Calibri" w:hAnsi="Calibri" w:cs="Calibri"/>
          <w:noProof/>
          <w:szCs w:val="24"/>
        </w:rPr>
        <w:tab/>
        <w:t xml:space="preserve">J. M. Thomas and W. J. Thomas, </w:t>
      </w:r>
      <w:r w:rsidRPr="00EC62EF">
        <w:rPr>
          <w:rFonts w:ascii="Calibri" w:hAnsi="Calibri" w:cs="Calibri"/>
          <w:i/>
          <w:iCs/>
          <w:noProof/>
          <w:szCs w:val="24"/>
        </w:rPr>
        <w:t>Principles and practice of heterogeneous catalysis</w:t>
      </w:r>
      <w:r w:rsidRPr="00EC62EF">
        <w:rPr>
          <w:rFonts w:ascii="Calibri" w:hAnsi="Calibri" w:cs="Calibri"/>
          <w:noProof/>
          <w:szCs w:val="24"/>
        </w:rPr>
        <w:t>. VCH, 1997.</w:t>
      </w:r>
    </w:p>
    <w:p w14:paraId="541369B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[298]</w:t>
      </w:r>
      <w:r w:rsidRPr="00EC62EF">
        <w:rPr>
          <w:rFonts w:ascii="Calibri" w:hAnsi="Calibri" w:cs="Calibri"/>
          <w:noProof/>
          <w:szCs w:val="24"/>
        </w:rPr>
        <w:tab/>
        <w:t xml:space="preserve">F. Ding and B. I. Yakobson, “Challenges in hydrogen adsorptions: From physisorption to chemisorption,” </w:t>
      </w:r>
      <w:r w:rsidRPr="00EC62EF">
        <w:rPr>
          <w:rFonts w:ascii="Calibri" w:hAnsi="Calibri" w:cs="Calibri"/>
          <w:i/>
          <w:iCs/>
          <w:noProof/>
          <w:szCs w:val="24"/>
        </w:rPr>
        <w:t>Front. Phys.</w:t>
      </w:r>
      <w:r w:rsidRPr="00EC62EF">
        <w:rPr>
          <w:rFonts w:ascii="Calibri" w:hAnsi="Calibri" w:cs="Calibri"/>
          <w:noProof/>
          <w:szCs w:val="24"/>
        </w:rPr>
        <w:t>, vol. 6, no. 2, pp. 142–150, 2011.</w:t>
      </w:r>
    </w:p>
    <w:p w14:paraId="07CA671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[299]</w:t>
      </w:r>
      <w:r w:rsidRPr="00EC62EF">
        <w:rPr>
          <w:rFonts w:ascii="Calibri" w:hAnsi="Calibri" w:cs="Calibri"/>
          <w:noProof/>
          <w:szCs w:val="24"/>
        </w:rPr>
        <w:tab/>
        <w:t xml:space="preserve">L. Kröll, L. G. J. De Haart, I. Vinke, and R. A. Eichel, “Degradation Mechanisms in Solid-Oxide Fuel and Electrolyzer Cells: Analytical Description of Nickel Agglomeration in a Ni/YSZ Electrode,” </w:t>
      </w:r>
      <w:r w:rsidRPr="00EC62EF">
        <w:rPr>
          <w:rFonts w:ascii="Calibri" w:hAnsi="Calibri" w:cs="Calibri"/>
          <w:i/>
          <w:iCs/>
          <w:noProof/>
          <w:szCs w:val="24"/>
        </w:rPr>
        <w:t>Phys. Rev. Appl.</w:t>
      </w:r>
      <w:r w:rsidRPr="00EC62EF">
        <w:rPr>
          <w:rFonts w:ascii="Calibri" w:hAnsi="Calibri" w:cs="Calibri"/>
          <w:noProof/>
          <w:szCs w:val="24"/>
        </w:rPr>
        <w:t>, vol. 7, no. 4, pp. 1–22, 2017.</w:t>
      </w:r>
    </w:p>
    <w:p w14:paraId="7AE1DB9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[300]</w:t>
      </w:r>
      <w:r w:rsidRPr="00EC62EF">
        <w:rPr>
          <w:rFonts w:ascii="Calibri" w:hAnsi="Calibri" w:cs="Calibri"/>
          <w:noProof/>
          <w:szCs w:val="24"/>
        </w:rPr>
        <w:tab/>
        <w:t xml:space="preserve">E. D. Goodman, J. A. Schwalbe, and M. Cargnello, “Mechanistic Understanding and the Rational Design of Sinter-Resistant Heterogeneous Catalysts,” </w:t>
      </w:r>
      <w:r w:rsidRPr="00EC62EF">
        <w:rPr>
          <w:rFonts w:ascii="Calibri" w:hAnsi="Calibri" w:cs="Calibri"/>
          <w:i/>
          <w:iCs/>
          <w:noProof/>
          <w:szCs w:val="24"/>
        </w:rPr>
        <w:t>ACS Catal.</w:t>
      </w:r>
      <w:r w:rsidRPr="00EC62EF">
        <w:rPr>
          <w:rFonts w:ascii="Calibri" w:hAnsi="Calibri" w:cs="Calibri"/>
          <w:noProof/>
          <w:szCs w:val="24"/>
        </w:rPr>
        <w:t>, vol. 7, no. 10, pp. 7156–7173, Oct. 2017.</w:t>
      </w:r>
    </w:p>
    <w:p w14:paraId="45B2CBF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[301]</w:t>
      </w:r>
      <w:r w:rsidRPr="00EC62EF">
        <w:rPr>
          <w:rFonts w:ascii="Calibri" w:hAnsi="Calibri" w:cs="Calibri"/>
          <w:noProof/>
          <w:szCs w:val="24"/>
        </w:rPr>
        <w:tab/>
        <w:t xml:space="preserve">Y. Dai, P. Lu, Z. Cao, C. T. Campbell, and Y. Xia, “The physical chemistry and materials science behind sinter-resistant catalysts,” </w:t>
      </w:r>
      <w:r w:rsidRPr="00EC62EF">
        <w:rPr>
          <w:rFonts w:ascii="Calibri" w:hAnsi="Calibri" w:cs="Calibri"/>
          <w:i/>
          <w:iCs/>
          <w:noProof/>
          <w:szCs w:val="24"/>
        </w:rPr>
        <w:t>4314 | Chem. Soc. Rev</w:t>
      </w:r>
      <w:r w:rsidRPr="00EC62EF">
        <w:rPr>
          <w:rFonts w:ascii="Calibri" w:hAnsi="Calibri" w:cs="Calibri"/>
          <w:noProof/>
          <w:szCs w:val="24"/>
        </w:rPr>
        <w:t>, vol. 47, p. 4314, 2018.</w:t>
      </w:r>
    </w:p>
    <w:p w14:paraId="774853FE"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[302]</w:t>
      </w:r>
      <w:r w:rsidRPr="00EC62EF">
        <w:rPr>
          <w:rFonts w:ascii="Calibri" w:hAnsi="Calibri" w:cs="Calibri"/>
          <w:noProof/>
          <w:szCs w:val="24"/>
        </w:rPr>
        <w:tab/>
        <w:t xml:space="preserve">X. Lou, Z. Liu, S. Wang, Y. Xiu, C. P. Wong, and M. Liu, “Controlling the morphology and uniformity of a catalyst-infiltrated cathode for solid oxide fuel cells by tuning wetting property,” </w:t>
      </w:r>
      <w:r w:rsidRPr="00EC62EF">
        <w:rPr>
          <w:rFonts w:ascii="Calibri" w:hAnsi="Calibri" w:cs="Calibri"/>
          <w:i/>
          <w:iCs/>
          <w:noProof/>
          <w:szCs w:val="24"/>
        </w:rPr>
        <w:t>J. Power Sources</w:t>
      </w:r>
      <w:r w:rsidRPr="00EC62EF">
        <w:rPr>
          <w:rFonts w:ascii="Calibri" w:hAnsi="Calibri" w:cs="Calibri"/>
          <w:noProof/>
          <w:szCs w:val="24"/>
        </w:rPr>
        <w:t>, vol. 195, no. 2, pp. 419–424, 2010.</w:t>
      </w:r>
    </w:p>
    <w:p w14:paraId="2CCB221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[303]</w:t>
      </w:r>
      <w:r w:rsidRPr="00EC62EF">
        <w:rPr>
          <w:rFonts w:ascii="Calibri" w:hAnsi="Calibri" w:cs="Calibri"/>
          <w:noProof/>
          <w:szCs w:val="24"/>
        </w:rPr>
        <w:tab/>
        <w:t xml:space="preserve">D. Ding, X. Li, S. Y. Lai, K. Gerdes, and M. Liu, “Enhancing SOFC cathode performance by surface modification through infiltration,” </w:t>
      </w:r>
      <w:r w:rsidRPr="00EC62EF">
        <w:rPr>
          <w:rFonts w:ascii="Calibri" w:hAnsi="Calibri" w:cs="Calibri"/>
          <w:i/>
          <w:iCs/>
          <w:noProof/>
          <w:szCs w:val="24"/>
        </w:rPr>
        <w:t>Energy Environ. Sci.</w:t>
      </w:r>
      <w:r w:rsidRPr="00EC62EF">
        <w:rPr>
          <w:rFonts w:ascii="Calibri" w:hAnsi="Calibri" w:cs="Calibri"/>
          <w:noProof/>
          <w:szCs w:val="24"/>
        </w:rPr>
        <w:t>, vol. 7, no. 2, pp. 552–575, 2014.</w:t>
      </w:r>
    </w:p>
    <w:p w14:paraId="07E8DA0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[304]</w:t>
      </w:r>
      <w:r w:rsidRPr="00EC62EF">
        <w:rPr>
          <w:rFonts w:ascii="Calibri" w:hAnsi="Calibri" w:cs="Calibri"/>
          <w:noProof/>
          <w:szCs w:val="24"/>
        </w:rPr>
        <w:tab/>
        <w:t xml:space="preserve">F. Abdeljawad, B. Völker, R. Davis, R. M. McMeeking, and M. Haataja, “Connecting microstructural coarsening processes to electrochemical performance in solid oxide fuel cells: An integrated modeling approach,” </w:t>
      </w:r>
      <w:r w:rsidRPr="00EC62EF">
        <w:rPr>
          <w:rFonts w:ascii="Calibri" w:hAnsi="Calibri" w:cs="Calibri"/>
          <w:i/>
          <w:iCs/>
          <w:noProof/>
          <w:szCs w:val="24"/>
        </w:rPr>
        <w:t>J. Power Sources</w:t>
      </w:r>
      <w:r w:rsidRPr="00EC62EF">
        <w:rPr>
          <w:rFonts w:ascii="Calibri" w:hAnsi="Calibri" w:cs="Calibri"/>
          <w:noProof/>
          <w:szCs w:val="24"/>
        </w:rPr>
        <w:t>, vol. 250, pp. 319–331, 2014.</w:t>
      </w:r>
    </w:p>
    <w:p w14:paraId="0B000A9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[305]</w:t>
      </w:r>
      <w:r w:rsidRPr="00EC62EF">
        <w:rPr>
          <w:rFonts w:ascii="Calibri" w:hAnsi="Calibri" w:cs="Calibri"/>
          <w:noProof/>
          <w:szCs w:val="24"/>
        </w:rPr>
        <w:tab/>
        <w:t xml:space="preserve">T. E. Burye and J. D. Nicholas, “Precursor solution additives improve desiccated La0.6Sr0.4Co0.8Fe0.2O3–x infiltrated solid oxide fuel cell cathode performance,” </w:t>
      </w:r>
      <w:r w:rsidRPr="00EC62EF">
        <w:rPr>
          <w:rFonts w:ascii="Calibri" w:hAnsi="Calibri" w:cs="Calibri"/>
          <w:i/>
          <w:iCs/>
          <w:noProof/>
          <w:szCs w:val="24"/>
        </w:rPr>
        <w:t>J. Power Sources</w:t>
      </w:r>
      <w:r w:rsidRPr="00EC62EF">
        <w:rPr>
          <w:rFonts w:ascii="Calibri" w:hAnsi="Calibri" w:cs="Calibri"/>
          <w:noProof/>
          <w:szCs w:val="24"/>
        </w:rPr>
        <w:t>, vol. 301, pp. 287–298, 2016.</w:t>
      </w:r>
    </w:p>
    <w:p w14:paraId="1BA22AF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[306]</w:t>
      </w:r>
      <w:r w:rsidRPr="00EC62EF">
        <w:rPr>
          <w:rFonts w:ascii="Calibri" w:hAnsi="Calibri" w:cs="Calibri"/>
          <w:noProof/>
          <w:szCs w:val="24"/>
        </w:rPr>
        <w:tab/>
        <w:t xml:space="preserve">S. Hu and W. X. Li, “Influence of Particle Size Distribution on Lifetime and Thermal Stability of Ostwald Ripening of Supported Particles,” </w:t>
      </w:r>
      <w:r w:rsidRPr="00EC62EF">
        <w:rPr>
          <w:rFonts w:ascii="Calibri" w:hAnsi="Calibri" w:cs="Calibri"/>
          <w:i/>
          <w:iCs/>
          <w:noProof/>
          <w:szCs w:val="24"/>
        </w:rPr>
        <w:t>ChemCatChem</w:t>
      </w:r>
      <w:r w:rsidRPr="00EC62EF">
        <w:rPr>
          <w:rFonts w:ascii="Calibri" w:hAnsi="Calibri" w:cs="Calibri"/>
          <w:noProof/>
          <w:szCs w:val="24"/>
        </w:rPr>
        <w:t>, vol. 10, no. 13, pp. 2900–2907, 2018.</w:t>
      </w:r>
    </w:p>
    <w:p w14:paraId="37578B8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[307]</w:t>
      </w:r>
      <w:r w:rsidRPr="00EC62EF">
        <w:rPr>
          <w:rFonts w:ascii="Calibri" w:hAnsi="Calibri" w:cs="Calibri"/>
          <w:noProof/>
          <w:szCs w:val="24"/>
        </w:rPr>
        <w:tab/>
        <w:t xml:space="preserve">W. Cai </w:t>
      </w:r>
      <w:r w:rsidRPr="00EC62EF">
        <w:rPr>
          <w:rFonts w:ascii="Calibri" w:hAnsi="Calibri" w:cs="Calibri"/>
          <w:i/>
          <w:iCs/>
          <w:noProof/>
          <w:szCs w:val="24"/>
        </w:rPr>
        <w:t>et al.</w:t>
      </w:r>
      <w:r w:rsidRPr="00EC62EF">
        <w:rPr>
          <w:rFonts w:ascii="Calibri" w:hAnsi="Calibri" w:cs="Calibri"/>
          <w:noProof/>
          <w:szCs w:val="24"/>
        </w:rPr>
        <w:t xml:space="preserve">, “Oxidative steam reforming of ethanol over Ir/CeO 2 catalysts: A structure sensitivity analysis,” </w:t>
      </w:r>
      <w:r w:rsidRPr="00EC62EF">
        <w:rPr>
          <w:rFonts w:ascii="Calibri" w:hAnsi="Calibri" w:cs="Calibri"/>
          <w:i/>
          <w:iCs/>
          <w:noProof/>
          <w:szCs w:val="24"/>
        </w:rPr>
        <w:t>J. Catal.</w:t>
      </w:r>
      <w:r w:rsidRPr="00EC62EF">
        <w:rPr>
          <w:rFonts w:ascii="Calibri" w:hAnsi="Calibri" w:cs="Calibri"/>
          <w:noProof/>
          <w:szCs w:val="24"/>
        </w:rPr>
        <w:t>, vol. 286, pp. 137–152, 2012.</w:t>
      </w:r>
    </w:p>
    <w:p w14:paraId="34911B5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[308]</w:t>
      </w:r>
      <w:r w:rsidRPr="00EC62EF">
        <w:rPr>
          <w:rFonts w:ascii="Calibri" w:hAnsi="Calibri" w:cs="Calibri"/>
          <w:noProof/>
          <w:szCs w:val="24"/>
        </w:rPr>
        <w:tab/>
        <w:t xml:space="preserve">Q. Xu, K. C. C. Kharas, and A. K. Datye, “The effect of catalyst loading on the sintering of supported Pd/Al2O3 automotive catalysts,” </w:t>
      </w:r>
      <w:r w:rsidRPr="00EC62EF">
        <w:rPr>
          <w:rFonts w:ascii="Calibri" w:hAnsi="Calibri" w:cs="Calibri"/>
          <w:i/>
          <w:iCs/>
          <w:noProof/>
          <w:szCs w:val="24"/>
        </w:rPr>
        <w:t>Stud. Surf. Sci. Catal.</w:t>
      </w:r>
      <w:r w:rsidRPr="00EC62EF">
        <w:rPr>
          <w:rFonts w:ascii="Calibri" w:hAnsi="Calibri" w:cs="Calibri"/>
          <w:noProof/>
          <w:szCs w:val="24"/>
        </w:rPr>
        <w:t>, vol. 139, pp. 157–164, 2001.</w:t>
      </w:r>
    </w:p>
    <w:p w14:paraId="3DD32CF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[309]</w:t>
      </w:r>
      <w:r w:rsidRPr="00EC62EF">
        <w:rPr>
          <w:rFonts w:ascii="Calibri" w:hAnsi="Calibri" w:cs="Calibri"/>
          <w:noProof/>
          <w:szCs w:val="24"/>
        </w:rPr>
        <w:tab/>
        <w:t xml:space="preserve">J. Kihlman, N. Kaisalo, M. L. Koskinen-Soivi, P. Simell, M. Niemelä, and J. Lehtonen, “Whisker carbon formation in catalytic steam reforming of biomass gasification gas,” </w:t>
      </w:r>
      <w:r w:rsidRPr="00EC62EF">
        <w:rPr>
          <w:rFonts w:ascii="Calibri" w:hAnsi="Calibri" w:cs="Calibri"/>
          <w:i/>
          <w:iCs/>
          <w:noProof/>
          <w:szCs w:val="24"/>
        </w:rPr>
        <w:t>Appl. Catal. A Gen.</w:t>
      </w:r>
      <w:r w:rsidRPr="00EC62EF">
        <w:rPr>
          <w:rFonts w:ascii="Calibri" w:hAnsi="Calibri" w:cs="Calibri"/>
          <w:noProof/>
          <w:szCs w:val="24"/>
        </w:rPr>
        <w:t>, vol. 564, no. February, pp. 133–141, 2018.</w:t>
      </w:r>
    </w:p>
    <w:p w14:paraId="69705DA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lastRenderedPageBreak/>
        <w:t>[310]</w:t>
      </w:r>
      <w:r w:rsidRPr="00EC62EF">
        <w:rPr>
          <w:rFonts w:ascii="Calibri" w:hAnsi="Calibri" w:cs="Calibri"/>
          <w:noProof/>
          <w:szCs w:val="24"/>
        </w:rPr>
        <w:tab/>
        <w:t>A. W. Xiong, Y. S. Zhou, W. J. Hou, T. Guillemet, J. F. Silvain, and M. Lahaye, “Title : Nickel carbide ( Ni 3 C ) as an intermediate phase for graphene formation.”</w:t>
      </w:r>
    </w:p>
    <w:p w14:paraId="16C51D9E"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[311]</w:t>
      </w:r>
      <w:r w:rsidRPr="00EC62EF">
        <w:rPr>
          <w:rFonts w:ascii="Calibri" w:hAnsi="Calibri" w:cs="Calibri"/>
          <w:noProof/>
          <w:szCs w:val="24"/>
        </w:rPr>
        <w:tab/>
        <w:t xml:space="preserve">Specac, “Specac Manual Hydraulic Pellet Press Brochure Listing,” </w:t>
      </w:r>
      <w:r w:rsidRPr="00EC62EF">
        <w:rPr>
          <w:rFonts w:ascii="Calibri" w:hAnsi="Calibri" w:cs="Calibri"/>
          <w:i/>
          <w:iCs/>
          <w:noProof/>
          <w:szCs w:val="24"/>
        </w:rPr>
        <w:t>Specac Limited Product Page</w:t>
      </w:r>
      <w:r w:rsidRPr="00EC62EF">
        <w:rPr>
          <w:rFonts w:ascii="Calibri" w:hAnsi="Calibri" w:cs="Calibri"/>
          <w:noProof/>
          <w:szCs w:val="24"/>
        </w:rPr>
        <w:t>, 2020. [Online]. Available: https://www.specac.com/en/products/sample-prep/hydraulic-press/manual/manual. [Accessed: 20-Apr-2020].</w:t>
      </w:r>
    </w:p>
    <w:p w14:paraId="230E035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[312]</w:t>
      </w:r>
      <w:r w:rsidRPr="00EC62EF">
        <w:rPr>
          <w:rFonts w:ascii="Calibri" w:hAnsi="Calibri" w:cs="Calibri"/>
          <w:noProof/>
          <w:szCs w:val="24"/>
        </w:rPr>
        <w:tab/>
        <w:t>Imerys Graphite &amp; Carbon, “Specialty Carbons for Powder Metallurgy and Hard Metals Produktbroschüre,” 2014.</w:t>
      </w:r>
    </w:p>
    <w:p w14:paraId="6BA35C1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[313]</w:t>
      </w:r>
      <w:r w:rsidRPr="00EC62EF">
        <w:rPr>
          <w:rFonts w:ascii="Calibri" w:hAnsi="Calibri" w:cs="Calibri"/>
          <w:noProof/>
          <w:szCs w:val="24"/>
        </w:rPr>
        <w:tab/>
        <w:t xml:space="preserve">E. C. Miller, Z. Gao, and S. A. Barnett, “Fabrication of solid oxide fuel cells with a thin (La0.9Sr 0.1)0.98(Ga0.8Mg0.2)O 3-δ electrolyte on a Sr0.8La0.2TiO 3 support,” </w:t>
      </w:r>
      <w:r w:rsidRPr="00EC62EF">
        <w:rPr>
          <w:rFonts w:ascii="Calibri" w:hAnsi="Calibri" w:cs="Calibri"/>
          <w:i/>
          <w:iCs/>
          <w:noProof/>
          <w:szCs w:val="24"/>
        </w:rPr>
        <w:t>Fuel Cells</w:t>
      </w:r>
      <w:r w:rsidRPr="00EC62EF">
        <w:rPr>
          <w:rFonts w:ascii="Calibri" w:hAnsi="Calibri" w:cs="Calibri"/>
          <w:noProof/>
          <w:szCs w:val="24"/>
        </w:rPr>
        <w:t>, vol. 13, no. 6, pp. 1060–1067, 2013.</w:t>
      </w:r>
    </w:p>
    <w:p w14:paraId="7510309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[314]</w:t>
      </w:r>
      <w:r w:rsidRPr="00EC62EF">
        <w:rPr>
          <w:rFonts w:ascii="Calibri" w:hAnsi="Calibri" w:cs="Calibri"/>
          <w:noProof/>
          <w:szCs w:val="24"/>
        </w:rPr>
        <w:tab/>
        <w:t xml:space="preserve">A. Buyukaksoy, S. P. Kammampata, and V. I. Birss, “Effect of porous YSZ scaffold microstructure on the long-term performance of infiltrated Ni-YSZ anodes,” </w:t>
      </w:r>
      <w:r w:rsidRPr="00EC62EF">
        <w:rPr>
          <w:rFonts w:ascii="Calibri" w:hAnsi="Calibri" w:cs="Calibri"/>
          <w:i/>
          <w:iCs/>
          <w:noProof/>
          <w:szCs w:val="24"/>
        </w:rPr>
        <w:t>J. Power Sources</w:t>
      </w:r>
      <w:r w:rsidRPr="00EC62EF">
        <w:rPr>
          <w:rFonts w:ascii="Calibri" w:hAnsi="Calibri" w:cs="Calibri"/>
          <w:noProof/>
          <w:szCs w:val="24"/>
        </w:rPr>
        <w:t>, vol. 287, pp. 349–358, 2015.</w:t>
      </w:r>
    </w:p>
    <w:p w14:paraId="092451F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[315]</w:t>
      </w:r>
      <w:r w:rsidRPr="00EC62EF">
        <w:rPr>
          <w:rFonts w:ascii="Calibri" w:hAnsi="Calibri" w:cs="Calibri"/>
          <w:noProof/>
          <w:szCs w:val="24"/>
        </w:rPr>
        <w:tab/>
        <w:t xml:space="preserve">G. E. M. Ltd, “Gwent C2010515D4 Silver Ink Data Sheet,” </w:t>
      </w:r>
      <w:r w:rsidRPr="00EC62EF">
        <w:rPr>
          <w:rFonts w:ascii="Calibri" w:hAnsi="Calibri" w:cs="Calibri"/>
          <w:i/>
          <w:iCs/>
          <w:noProof/>
          <w:szCs w:val="24"/>
        </w:rPr>
        <w:t>Gwent Group Advanced Materials Catalog</w:t>
      </w:r>
      <w:r w:rsidRPr="00EC62EF">
        <w:rPr>
          <w:rFonts w:ascii="Calibri" w:hAnsi="Calibri" w:cs="Calibri"/>
          <w:noProof/>
          <w:szCs w:val="24"/>
        </w:rPr>
        <w:t>, 2020. [Online]. Available: http://www.gwent.org/gem_data_sheets/single_and_multilayer_products/ltcc_tape_products/ag_ink_c2010515d4.pdf. [Accessed: 22-Apr-2020].</w:t>
      </w:r>
    </w:p>
    <w:p w14:paraId="516A47F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[316]</w:t>
      </w:r>
      <w:r w:rsidRPr="00EC62EF">
        <w:rPr>
          <w:rFonts w:ascii="Calibri" w:hAnsi="Calibri" w:cs="Calibri"/>
          <w:noProof/>
          <w:szCs w:val="24"/>
        </w:rPr>
        <w:tab/>
        <w:t xml:space="preserve">T. D. Sheet, “THICK FILM Product Type : Conductors,” </w:t>
      </w:r>
      <w:r w:rsidRPr="00EC62EF">
        <w:rPr>
          <w:rFonts w:ascii="Calibri" w:hAnsi="Calibri" w:cs="Calibri"/>
          <w:i/>
          <w:iCs/>
          <w:noProof/>
          <w:szCs w:val="24"/>
        </w:rPr>
        <w:t>Heraeus Thick Film Materials Fuel Cell Materials Technical Data Sheet</w:t>
      </w:r>
      <w:r w:rsidRPr="00EC62EF">
        <w:rPr>
          <w:rFonts w:ascii="Calibri" w:hAnsi="Calibri" w:cs="Calibri"/>
          <w:noProof/>
          <w:szCs w:val="24"/>
        </w:rPr>
        <w:t>, 2020. .</w:t>
      </w:r>
    </w:p>
    <w:p w14:paraId="75581F5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[317]</w:t>
      </w:r>
      <w:r w:rsidRPr="00EC62EF">
        <w:rPr>
          <w:rFonts w:ascii="Calibri" w:hAnsi="Calibri" w:cs="Calibri"/>
          <w:noProof/>
          <w:szCs w:val="24"/>
        </w:rPr>
        <w:tab/>
        <w:t xml:space="preserve">Heraeus, “Fuel Cell Materials Technical Data Sheet,” </w:t>
      </w:r>
      <w:r w:rsidRPr="00EC62EF">
        <w:rPr>
          <w:rFonts w:ascii="Calibri" w:hAnsi="Calibri" w:cs="Calibri"/>
          <w:i/>
          <w:iCs/>
          <w:noProof/>
          <w:szCs w:val="24"/>
        </w:rPr>
        <w:t>Heraeus Thick Film Materials Fuel Cell Materials Technical Data Sheet</w:t>
      </w:r>
      <w:r w:rsidRPr="00EC62EF">
        <w:rPr>
          <w:rFonts w:ascii="Calibri" w:hAnsi="Calibri" w:cs="Calibri"/>
          <w:noProof/>
          <w:szCs w:val="24"/>
        </w:rPr>
        <w:t>, 2020. [Online]. Available: https://www.heraeus.com/media/media/het/doc_het/products_and_solutions_het_documents/thick_film/data_sheets_th/Fuel_Cell_Materials_Product_Feature.pdf. [Accessed: 24-Apr-2020].</w:t>
      </w:r>
    </w:p>
    <w:p w14:paraId="50B6CDB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[318]</w:t>
      </w:r>
      <w:r w:rsidRPr="00EC62EF">
        <w:rPr>
          <w:rFonts w:ascii="Calibri" w:hAnsi="Calibri" w:cs="Calibri"/>
          <w:noProof/>
          <w:szCs w:val="24"/>
        </w:rPr>
        <w:tab/>
        <w:t xml:space="preserve">S. C. Inc., “Shoei Chemical Inc Products: Fine Powders and Thick Film Materials,” </w:t>
      </w:r>
      <w:r w:rsidRPr="00EC62EF">
        <w:rPr>
          <w:rFonts w:ascii="Calibri" w:hAnsi="Calibri" w:cs="Calibri"/>
          <w:i/>
          <w:iCs/>
          <w:noProof/>
          <w:szCs w:val="24"/>
        </w:rPr>
        <w:t>Shoei Chemical Inc Metal Paste</w:t>
      </w:r>
      <w:r w:rsidRPr="00EC62EF">
        <w:rPr>
          <w:rFonts w:ascii="Calibri" w:hAnsi="Calibri" w:cs="Calibri"/>
          <w:noProof/>
          <w:szCs w:val="24"/>
        </w:rPr>
        <w:t>, 2020. [Online]. Available: https://www.shoeichem.co.jp/global/products/eng_panf.pdf. [Accessed: 24-Apr-2020].</w:t>
      </w:r>
    </w:p>
    <w:p w14:paraId="0FFF4E4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[319]</w:t>
      </w:r>
      <w:r w:rsidRPr="00EC62EF">
        <w:rPr>
          <w:rFonts w:ascii="Calibri" w:hAnsi="Calibri" w:cs="Calibri"/>
          <w:noProof/>
          <w:szCs w:val="24"/>
        </w:rPr>
        <w:tab/>
        <w:t xml:space="preserve">R. Prins, A. Wang, and X. Li, </w:t>
      </w:r>
      <w:r w:rsidRPr="00EC62EF">
        <w:rPr>
          <w:rFonts w:ascii="Calibri" w:hAnsi="Calibri" w:cs="Calibri"/>
          <w:i/>
          <w:iCs/>
          <w:noProof/>
          <w:szCs w:val="24"/>
        </w:rPr>
        <w:t>Introduction to Heterogeneous Catalysis</w:t>
      </w:r>
      <w:r w:rsidRPr="00EC62EF">
        <w:rPr>
          <w:rFonts w:ascii="Calibri" w:hAnsi="Calibri" w:cs="Calibri"/>
          <w:noProof/>
          <w:szCs w:val="24"/>
        </w:rPr>
        <w:t>. World Scientific Publishing Company, 2016.</w:t>
      </w:r>
    </w:p>
    <w:p w14:paraId="506B07B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[320]</w:t>
      </w:r>
      <w:r w:rsidRPr="00EC62EF">
        <w:rPr>
          <w:rFonts w:ascii="Calibri" w:hAnsi="Calibri" w:cs="Calibri"/>
          <w:noProof/>
          <w:szCs w:val="24"/>
        </w:rPr>
        <w:tab/>
        <w:t xml:space="preserve">S. Gates-Rector and T. Blanton, “The Powder Diffraction File: a quality materials characterization database,” </w:t>
      </w:r>
      <w:r w:rsidRPr="00EC62EF">
        <w:rPr>
          <w:rFonts w:ascii="Calibri" w:hAnsi="Calibri" w:cs="Calibri"/>
          <w:i/>
          <w:iCs/>
          <w:noProof/>
          <w:szCs w:val="24"/>
        </w:rPr>
        <w:t>Powder Diffr.</w:t>
      </w:r>
      <w:r w:rsidRPr="00EC62EF">
        <w:rPr>
          <w:rFonts w:ascii="Calibri" w:hAnsi="Calibri" w:cs="Calibri"/>
          <w:noProof/>
          <w:szCs w:val="24"/>
        </w:rPr>
        <w:t>, vol. 34, no. 4, pp. 352–360, 2019.</w:t>
      </w:r>
    </w:p>
    <w:p w14:paraId="351385A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[321]</w:t>
      </w:r>
      <w:r w:rsidRPr="00EC62EF">
        <w:rPr>
          <w:rFonts w:ascii="Calibri" w:hAnsi="Calibri" w:cs="Calibri"/>
          <w:noProof/>
          <w:szCs w:val="24"/>
        </w:rPr>
        <w:tab/>
        <w:t xml:space="preserve">C. Giannini, M. Ladisa, D. Altamura, D. Siliqi, T. Sibillano, and L. De Caro, “X-ray Diffraction: A powerful technique for the multiple-length-scale structural analysis of nanomaterials,” </w:t>
      </w:r>
      <w:r w:rsidRPr="00EC62EF">
        <w:rPr>
          <w:rFonts w:ascii="Calibri" w:hAnsi="Calibri" w:cs="Calibri"/>
          <w:i/>
          <w:iCs/>
          <w:noProof/>
          <w:szCs w:val="24"/>
        </w:rPr>
        <w:t>Crystals</w:t>
      </w:r>
      <w:r w:rsidRPr="00EC62EF">
        <w:rPr>
          <w:rFonts w:ascii="Calibri" w:hAnsi="Calibri" w:cs="Calibri"/>
          <w:noProof/>
          <w:szCs w:val="24"/>
        </w:rPr>
        <w:t>, vol. 6, no. 8, pp. 1–22, 2016.</w:t>
      </w:r>
    </w:p>
    <w:p w14:paraId="48FACB1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[322]</w:t>
      </w:r>
      <w:r w:rsidRPr="00EC62EF">
        <w:rPr>
          <w:rFonts w:ascii="Calibri" w:hAnsi="Calibri" w:cs="Calibri"/>
          <w:noProof/>
          <w:szCs w:val="24"/>
        </w:rPr>
        <w:tab/>
        <w:t xml:space="preserve">R. J. Angel, U. Bismayer, and W. G. Marshall, “Local and long-range order in ferroelastic lead phosphate at high pressure,” </w:t>
      </w:r>
      <w:r w:rsidRPr="00EC62EF">
        <w:rPr>
          <w:rFonts w:ascii="Calibri" w:hAnsi="Calibri" w:cs="Calibri"/>
          <w:i/>
          <w:iCs/>
          <w:noProof/>
          <w:szCs w:val="24"/>
        </w:rPr>
        <w:t>Acta Crystallogr. Sect. B Struct. Sci.</w:t>
      </w:r>
      <w:r w:rsidRPr="00EC62EF">
        <w:rPr>
          <w:rFonts w:ascii="Calibri" w:hAnsi="Calibri" w:cs="Calibri"/>
          <w:noProof/>
          <w:szCs w:val="24"/>
        </w:rPr>
        <w:t>, vol. 60, no. 1, pp. 1–9, 2004.</w:t>
      </w:r>
    </w:p>
    <w:p w14:paraId="584DAAB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[323]</w:t>
      </w:r>
      <w:r w:rsidRPr="00EC62EF">
        <w:rPr>
          <w:rFonts w:ascii="Calibri" w:hAnsi="Calibri" w:cs="Calibri"/>
          <w:noProof/>
          <w:szCs w:val="24"/>
        </w:rPr>
        <w:tab/>
        <w:t xml:space="preserve">M. Quirós, S. Gražulis, S. Girdzijauskaitė, A. Merkys, and A. Vaitkus, “Using SMILES strings for the description of chemical connectivity in the Crystallography Open Database,” </w:t>
      </w:r>
      <w:r w:rsidRPr="00EC62EF">
        <w:rPr>
          <w:rFonts w:ascii="Calibri" w:hAnsi="Calibri" w:cs="Calibri"/>
          <w:i/>
          <w:iCs/>
          <w:noProof/>
          <w:szCs w:val="24"/>
        </w:rPr>
        <w:t>J. Cheminform.</w:t>
      </w:r>
      <w:r w:rsidRPr="00EC62EF">
        <w:rPr>
          <w:rFonts w:ascii="Calibri" w:hAnsi="Calibri" w:cs="Calibri"/>
          <w:noProof/>
          <w:szCs w:val="24"/>
        </w:rPr>
        <w:t>, vol. 10, no. 1, 2018.</w:t>
      </w:r>
    </w:p>
    <w:p w14:paraId="3699F56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[324]</w:t>
      </w:r>
      <w:r w:rsidRPr="00EC62EF">
        <w:rPr>
          <w:rFonts w:ascii="Calibri" w:hAnsi="Calibri" w:cs="Calibri"/>
          <w:noProof/>
          <w:szCs w:val="24"/>
        </w:rPr>
        <w:tab/>
        <w:t xml:space="preserve">A. Merkys, A. Vaitkus, J. Butkus, M. Okulič-Kazarinas, V. Kairys, and S. Gražulis, “COD::CIF::Parser: An error-correcting CIF parser for the Perl language,” </w:t>
      </w:r>
      <w:r w:rsidRPr="00EC62EF">
        <w:rPr>
          <w:rFonts w:ascii="Calibri" w:hAnsi="Calibri" w:cs="Calibri"/>
          <w:i/>
          <w:iCs/>
          <w:noProof/>
          <w:szCs w:val="24"/>
        </w:rPr>
        <w:t>J. Appl. Crystallogr.</w:t>
      </w:r>
      <w:r w:rsidRPr="00EC62EF">
        <w:rPr>
          <w:rFonts w:ascii="Calibri" w:hAnsi="Calibri" w:cs="Calibri"/>
          <w:noProof/>
          <w:szCs w:val="24"/>
        </w:rPr>
        <w:t>, vol. 49, pp. 292–301, 2016.</w:t>
      </w:r>
    </w:p>
    <w:p w14:paraId="4B687DF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[325]</w:t>
      </w:r>
      <w:r w:rsidRPr="00EC62EF">
        <w:rPr>
          <w:rFonts w:ascii="Calibri" w:hAnsi="Calibri" w:cs="Calibri"/>
          <w:noProof/>
          <w:szCs w:val="24"/>
        </w:rPr>
        <w:tab/>
        <w:t xml:space="preserve">S. Gražulis, A. Merkys, A. Vaitkus, and M. Okulič-Kazarinas, “Computing stoichiometric </w:t>
      </w:r>
      <w:r w:rsidRPr="00EC62EF">
        <w:rPr>
          <w:rFonts w:ascii="Calibri" w:hAnsi="Calibri" w:cs="Calibri"/>
          <w:noProof/>
          <w:szCs w:val="24"/>
        </w:rPr>
        <w:lastRenderedPageBreak/>
        <w:t xml:space="preserve">molecular composition from crystal structures,” </w:t>
      </w:r>
      <w:r w:rsidRPr="00EC62EF">
        <w:rPr>
          <w:rFonts w:ascii="Calibri" w:hAnsi="Calibri" w:cs="Calibri"/>
          <w:i/>
          <w:iCs/>
          <w:noProof/>
          <w:szCs w:val="24"/>
        </w:rPr>
        <w:t>J. Appl. Crystallogr.</w:t>
      </w:r>
      <w:r w:rsidRPr="00EC62EF">
        <w:rPr>
          <w:rFonts w:ascii="Calibri" w:hAnsi="Calibri" w:cs="Calibri"/>
          <w:noProof/>
          <w:szCs w:val="24"/>
        </w:rPr>
        <w:t>, vol. 48, no. 1, pp. 85–91, 2015.</w:t>
      </w:r>
    </w:p>
    <w:p w14:paraId="02B4FE6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[326]</w:t>
      </w:r>
      <w:r w:rsidRPr="00EC62EF">
        <w:rPr>
          <w:rFonts w:ascii="Calibri" w:hAnsi="Calibri" w:cs="Calibri"/>
          <w:noProof/>
          <w:szCs w:val="24"/>
        </w:rPr>
        <w:tab/>
        <w:t xml:space="preserve">S. Gražulis </w:t>
      </w:r>
      <w:r w:rsidRPr="00EC62EF">
        <w:rPr>
          <w:rFonts w:ascii="Calibri" w:hAnsi="Calibri" w:cs="Calibri"/>
          <w:i/>
          <w:iCs/>
          <w:noProof/>
          <w:szCs w:val="24"/>
        </w:rPr>
        <w:t>et al.</w:t>
      </w:r>
      <w:r w:rsidRPr="00EC62EF">
        <w:rPr>
          <w:rFonts w:ascii="Calibri" w:hAnsi="Calibri" w:cs="Calibri"/>
          <w:noProof/>
          <w:szCs w:val="24"/>
        </w:rPr>
        <w:t xml:space="preserve">, “Crystallography Open Database (COD): An open-access collection of crystal structures and platform for world-wide collaboration,” </w:t>
      </w:r>
      <w:r w:rsidRPr="00EC62EF">
        <w:rPr>
          <w:rFonts w:ascii="Calibri" w:hAnsi="Calibri" w:cs="Calibri"/>
          <w:i/>
          <w:iCs/>
          <w:noProof/>
          <w:szCs w:val="24"/>
        </w:rPr>
        <w:t>Nucleic Acids Res.</w:t>
      </w:r>
      <w:r w:rsidRPr="00EC62EF">
        <w:rPr>
          <w:rFonts w:ascii="Calibri" w:hAnsi="Calibri" w:cs="Calibri"/>
          <w:noProof/>
          <w:szCs w:val="24"/>
        </w:rPr>
        <w:t>, vol. 40, no. D1, 2012.</w:t>
      </w:r>
    </w:p>
    <w:p w14:paraId="7490FD4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[327]</w:t>
      </w:r>
      <w:r w:rsidRPr="00EC62EF">
        <w:rPr>
          <w:rFonts w:ascii="Calibri" w:hAnsi="Calibri" w:cs="Calibri"/>
          <w:noProof/>
          <w:szCs w:val="24"/>
        </w:rPr>
        <w:tab/>
        <w:t xml:space="preserve">U. Holzwarth and N. Gibson, “The Scherrer equation versus the ‘Debye-Scherrer equation,’” </w:t>
      </w:r>
      <w:r w:rsidRPr="00EC62EF">
        <w:rPr>
          <w:rFonts w:ascii="Calibri" w:hAnsi="Calibri" w:cs="Calibri"/>
          <w:i/>
          <w:iCs/>
          <w:noProof/>
          <w:szCs w:val="24"/>
        </w:rPr>
        <w:t>Nat. Nanotechnol.</w:t>
      </w:r>
      <w:r w:rsidRPr="00EC62EF">
        <w:rPr>
          <w:rFonts w:ascii="Calibri" w:hAnsi="Calibri" w:cs="Calibri"/>
          <w:noProof/>
          <w:szCs w:val="24"/>
        </w:rPr>
        <w:t>, vol. 6, no. 9, pp. 534–534, Sep. 2011.</w:t>
      </w:r>
    </w:p>
    <w:p w14:paraId="79506AC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[328]</w:t>
      </w:r>
      <w:r w:rsidRPr="00EC62EF">
        <w:rPr>
          <w:rFonts w:ascii="Calibri" w:hAnsi="Calibri" w:cs="Calibri"/>
          <w:noProof/>
          <w:szCs w:val="24"/>
        </w:rPr>
        <w:tab/>
        <w:t xml:space="preserve">A. R. Stokes, A. J. C. Wilson, and W. L. Bragg, “A method of calculating the integral breadths of Debye-Scherrer lines,” </w:t>
      </w:r>
      <w:r w:rsidRPr="00EC62EF">
        <w:rPr>
          <w:rFonts w:ascii="Calibri" w:hAnsi="Calibri" w:cs="Calibri"/>
          <w:i/>
          <w:iCs/>
          <w:noProof/>
          <w:szCs w:val="24"/>
        </w:rPr>
        <w:t>Math. Proc. Cambridge Philos. Soc.</w:t>
      </w:r>
      <w:r w:rsidRPr="00EC62EF">
        <w:rPr>
          <w:rFonts w:ascii="Calibri" w:hAnsi="Calibri" w:cs="Calibri"/>
          <w:noProof/>
          <w:szCs w:val="24"/>
        </w:rPr>
        <w:t>, vol. 38, no. 03, p. 313, Jul. 1942.</w:t>
      </w:r>
    </w:p>
    <w:p w14:paraId="1D1E104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[329]</w:t>
      </w:r>
      <w:r w:rsidRPr="00EC62EF">
        <w:rPr>
          <w:rFonts w:ascii="Calibri" w:hAnsi="Calibri" w:cs="Calibri"/>
          <w:noProof/>
          <w:szCs w:val="24"/>
        </w:rPr>
        <w:tab/>
        <w:t xml:space="preserve">A. S. Vorokh, “Scherrer formula: estimation of error in determining small nanoparticle size,” </w:t>
      </w:r>
      <w:r w:rsidRPr="00EC62EF">
        <w:rPr>
          <w:rFonts w:ascii="Calibri" w:hAnsi="Calibri" w:cs="Calibri"/>
          <w:i/>
          <w:iCs/>
          <w:noProof/>
          <w:szCs w:val="24"/>
        </w:rPr>
        <w:t>Nanosyst. PHYSICS, Chem. Math.</w:t>
      </w:r>
      <w:r w:rsidRPr="00EC62EF">
        <w:rPr>
          <w:rFonts w:ascii="Calibri" w:hAnsi="Calibri" w:cs="Calibri"/>
          <w:noProof/>
          <w:szCs w:val="24"/>
        </w:rPr>
        <w:t>, vol. 9, no. 3, pp. 364–369, 2018.</w:t>
      </w:r>
    </w:p>
    <w:p w14:paraId="2562D9C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[330]</w:t>
      </w:r>
      <w:r w:rsidRPr="00EC62EF">
        <w:rPr>
          <w:rFonts w:ascii="Calibri" w:hAnsi="Calibri" w:cs="Calibri"/>
          <w:noProof/>
          <w:szCs w:val="24"/>
        </w:rPr>
        <w:tab/>
        <w:t xml:space="preserve">V. Mote, Y. Purushotham, and B. Dole, “Williamson-Hall analysis in estimation of lattice strain in nanometer-sized ZnO particles,” </w:t>
      </w:r>
      <w:r w:rsidRPr="00EC62EF">
        <w:rPr>
          <w:rFonts w:ascii="Calibri" w:hAnsi="Calibri" w:cs="Calibri"/>
          <w:i/>
          <w:iCs/>
          <w:noProof/>
          <w:szCs w:val="24"/>
        </w:rPr>
        <w:t>J. Theor. Appl. Phys.</w:t>
      </w:r>
      <w:r w:rsidRPr="00EC62EF">
        <w:rPr>
          <w:rFonts w:ascii="Calibri" w:hAnsi="Calibri" w:cs="Calibri"/>
          <w:noProof/>
          <w:szCs w:val="24"/>
        </w:rPr>
        <w:t>, vol. 6, no. 1, pp. 2–9, 2012.</w:t>
      </w:r>
    </w:p>
    <w:p w14:paraId="5C4A197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[331]</w:t>
      </w:r>
      <w:r w:rsidRPr="00EC62EF">
        <w:rPr>
          <w:rFonts w:ascii="Calibri" w:hAnsi="Calibri" w:cs="Calibri"/>
          <w:noProof/>
          <w:szCs w:val="24"/>
        </w:rPr>
        <w:tab/>
        <w:t xml:space="preserve">M. Saitou, “Characterization of electrodeposited Ni and Ni-Mo thin films by X-ray diffraction,” </w:t>
      </w:r>
      <w:r w:rsidRPr="00EC62EF">
        <w:rPr>
          <w:rFonts w:ascii="Calibri" w:hAnsi="Calibri" w:cs="Calibri"/>
          <w:i/>
          <w:iCs/>
          <w:noProof/>
          <w:szCs w:val="24"/>
        </w:rPr>
        <w:t>Int. J. Electrochem. Sci.</w:t>
      </w:r>
      <w:r w:rsidRPr="00EC62EF">
        <w:rPr>
          <w:rFonts w:ascii="Calibri" w:hAnsi="Calibri" w:cs="Calibri"/>
          <w:noProof/>
          <w:szCs w:val="24"/>
        </w:rPr>
        <w:t>, vol. 9, no. 11, pp. 6033–6042, 2014.</w:t>
      </w:r>
    </w:p>
    <w:p w14:paraId="21BFA01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[332]</w:t>
      </w:r>
      <w:r w:rsidRPr="00EC62EF">
        <w:rPr>
          <w:rFonts w:ascii="Calibri" w:hAnsi="Calibri" w:cs="Calibri"/>
          <w:noProof/>
          <w:szCs w:val="24"/>
        </w:rPr>
        <w:tab/>
        <w:t xml:space="preserve">J. Ilavsky </w:t>
      </w:r>
      <w:r w:rsidRPr="00EC62EF">
        <w:rPr>
          <w:rFonts w:ascii="Calibri" w:hAnsi="Calibri" w:cs="Calibri"/>
          <w:i/>
          <w:iCs/>
          <w:noProof/>
          <w:szCs w:val="24"/>
        </w:rPr>
        <w:t>et al.</w:t>
      </w:r>
      <w:r w:rsidRPr="00EC62EF">
        <w:rPr>
          <w:rFonts w:ascii="Calibri" w:hAnsi="Calibri" w:cs="Calibri"/>
          <w:noProof/>
          <w:szCs w:val="24"/>
        </w:rPr>
        <w:t xml:space="preserve">, “Development of combined microstructure and structure characterization facility for in situ and operando studies at the advanced photon source,” </w:t>
      </w:r>
      <w:r w:rsidRPr="00EC62EF">
        <w:rPr>
          <w:rFonts w:ascii="Calibri" w:hAnsi="Calibri" w:cs="Calibri"/>
          <w:i/>
          <w:iCs/>
          <w:noProof/>
          <w:szCs w:val="24"/>
        </w:rPr>
        <w:t>J. Appl. Crystallogr.</w:t>
      </w:r>
      <w:r w:rsidRPr="00EC62EF">
        <w:rPr>
          <w:rFonts w:ascii="Calibri" w:hAnsi="Calibri" w:cs="Calibri"/>
          <w:noProof/>
          <w:szCs w:val="24"/>
        </w:rPr>
        <w:t>, vol. 51, pp. 867–882, 2018.</w:t>
      </w:r>
    </w:p>
    <w:p w14:paraId="4F6DF64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[333]</w:t>
      </w:r>
      <w:r w:rsidRPr="00EC62EF">
        <w:rPr>
          <w:rFonts w:ascii="Calibri" w:hAnsi="Calibri" w:cs="Calibri"/>
          <w:noProof/>
          <w:szCs w:val="24"/>
        </w:rPr>
        <w:tab/>
        <w:t xml:space="preserve">J. Schindelin </w:t>
      </w:r>
      <w:r w:rsidRPr="00EC62EF">
        <w:rPr>
          <w:rFonts w:ascii="Calibri" w:hAnsi="Calibri" w:cs="Calibri"/>
          <w:i/>
          <w:iCs/>
          <w:noProof/>
          <w:szCs w:val="24"/>
        </w:rPr>
        <w:t>et al.</w:t>
      </w:r>
      <w:r w:rsidRPr="00EC62EF">
        <w:rPr>
          <w:rFonts w:ascii="Calibri" w:hAnsi="Calibri" w:cs="Calibri"/>
          <w:noProof/>
          <w:szCs w:val="24"/>
        </w:rPr>
        <w:t xml:space="preserve">, “Fiji: an open-source platform for biological-image analysis,” </w:t>
      </w:r>
      <w:r w:rsidRPr="00EC62EF">
        <w:rPr>
          <w:rFonts w:ascii="Calibri" w:hAnsi="Calibri" w:cs="Calibri"/>
          <w:i/>
          <w:iCs/>
          <w:noProof/>
          <w:szCs w:val="24"/>
        </w:rPr>
        <w:t>Nat. Methods</w:t>
      </w:r>
      <w:r w:rsidRPr="00EC62EF">
        <w:rPr>
          <w:rFonts w:ascii="Calibri" w:hAnsi="Calibri" w:cs="Calibri"/>
          <w:noProof/>
          <w:szCs w:val="24"/>
        </w:rPr>
        <w:t>, vol. 9, no. 7, pp. 676–682, 2012.</w:t>
      </w:r>
    </w:p>
    <w:p w14:paraId="488E3D7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[334]</w:t>
      </w:r>
      <w:r w:rsidRPr="00EC62EF">
        <w:rPr>
          <w:rFonts w:ascii="Calibri" w:hAnsi="Calibri" w:cs="Calibri"/>
          <w:noProof/>
          <w:szCs w:val="24"/>
        </w:rPr>
        <w:tab/>
        <w:t xml:space="preserve">M. Kishimoto, H. Iwai, M. Saito, and H. Yoshida, “Quantitative evaluation of solid oxide fuel cell porous anode microstructure based on focused ion beam and scanning electron microscope technique and prediction of anode overpotentials,” </w:t>
      </w:r>
      <w:r w:rsidRPr="00EC62EF">
        <w:rPr>
          <w:rFonts w:ascii="Calibri" w:hAnsi="Calibri" w:cs="Calibri"/>
          <w:i/>
          <w:iCs/>
          <w:noProof/>
          <w:szCs w:val="24"/>
        </w:rPr>
        <w:t>J. Power Sources</w:t>
      </w:r>
      <w:r w:rsidRPr="00EC62EF">
        <w:rPr>
          <w:rFonts w:ascii="Calibri" w:hAnsi="Calibri" w:cs="Calibri"/>
          <w:noProof/>
          <w:szCs w:val="24"/>
        </w:rPr>
        <w:t>, vol. 196, no. 10, pp. 4555–4563, May 2011.</w:t>
      </w:r>
    </w:p>
    <w:p w14:paraId="13D9BEA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[335]</w:t>
      </w:r>
      <w:r w:rsidRPr="00EC62EF">
        <w:rPr>
          <w:rFonts w:ascii="Calibri" w:hAnsi="Calibri" w:cs="Calibri"/>
          <w:noProof/>
          <w:szCs w:val="24"/>
        </w:rPr>
        <w:tab/>
        <w:t xml:space="preserve">T. Shimura, Z. Jiao, S. Hara, and N. Shikazono, “Quantitative analysis of solid oxide fuel cell anode microstructure change during redox cycles,” </w:t>
      </w:r>
      <w:r w:rsidRPr="00EC62EF">
        <w:rPr>
          <w:rFonts w:ascii="Calibri" w:hAnsi="Calibri" w:cs="Calibri"/>
          <w:i/>
          <w:iCs/>
          <w:noProof/>
          <w:szCs w:val="24"/>
        </w:rPr>
        <w:t>J. Power Sources</w:t>
      </w:r>
      <w:r w:rsidRPr="00EC62EF">
        <w:rPr>
          <w:rFonts w:ascii="Calibri" w:hAnsi="Calibri" w:cs="Calibri"/>
          <w:noProof/>
          <w:szCs w:val="24"/>
        </w:rPr>
        <w:t>, vol. 267, pp. 58–68, Dec. 2014.</w:t>
      </w:r>
    </w:p>
    <w:p w14:paraId="2372CE4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[336]</w:t>
      </w:r>
      <w:r w:rsidRPr="00EC62EF">
        <w:rPr>
          <w:rFonts w:ascii="Calibri" w:hAnsi="Calibri" w:cs="Calibri"/>
          <w:noProof/>
          <w:szCs w:val="24"/>
        </w:rPr>
        <w:tab/>
        <w:t xml:space="preserve">J. Sá, Y. Kayser, C. J. Milne, D. L. Abreu Fernandes, and J. Szlachetko, “Temperature-programmed reduction of NiO nanoparticles followed by time-resolved RIXS,” </w:t>
      </w:r>
      <w:r w:rsidRPr="00EC62EF">
        <w:rPr>
          <w:rFonts w:ascii="Calibri" w:hAnsi="Calibri" w:cs="Calibri"/>
          <w:i/>
          <w:iCs/>
          <w:noProof/>
          <w:szCs w:val="24"/>
        </w:rPr>
        <w:t>Phys. Chem. Chem. Phys.</w:t>
      </w:r>
      <w:r w:rsidRPr="00EC62EF">
        <w:rPr>
          <w:rFonts w:ascii="Calibri" w:hAnsi="Calibri" w:cs="Calibri"/>
          <w:noProof/>
          <w:szCs w:val="24"/>
        </w:rPr>
        <w:t>, vol. 16, no. 17, pp. 7692–7696, 2014.</w:t>
      </w:r>
    </w:p>
    <w:p w14:paraId="06603E9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[337]</w:t>
      </w:r>
      <w:r w:rsidRPr="00EC62EF">
        <w:rPr>
          <w:rFonts w:ascii="Calibri" w:hAnsi="Calibri" w:cs="Calibri"/>
          <w:noProof/>
          <w:szCs w:val="24"/>
        </w:rPr>
        <w:tab/>
        <w:t xml:space="preserve">B. Janković, B. Adnađević, and S. Mentus, “The kinetic study of temperature-programmed reduction of nickel oxide in hydrogen atmosphere,” </w:t>
      </w:r>
      <w:r w:rsidRPr="00EC62EF">
        <w:rPr>
          <w:rFonts w:ascii="Calibri" w:hAnsi="Calibri" w:cs="Calibri"/>
          <w:i/>
          <w:iCs/>
          <w:noProof/>
          <w:szCs w:val="24"/>
        </w:rPr>
        <w:t>Chem. Eng. Sci.</w:t>
      </w:r>
      <w:r w:rsidRPr="00EC62EF">
        <w:rPr>
          <w:rFonts w:ascii="Calibri" w:hAnsi="Calibri" w:cs="Calibri"/>
          <w:noProof/>
          <w:szCs w:val="24"/>
        </w:rPr>
        <w:t>, vol. 63, no. 3, pp. 567–575, 2008.</w:t>
      </w:r>
    </w:p>
    <w:p w14:paraId="354D83D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[338]</w:t>
      </w:r>
      <w:r w:rsidRPr="00EC62EF">
        <w:rPr>
          <w:rFonts w:ascii="Calibri" w:hAnsi="Calibri" w:cs="Calibri"/>
          <w:noProof/>
          <w:szCs w:val="24"/>
        </w:rPr>
        <w:tab/>
        <w:t xml:space="preserve">W. Callister and D. Rethwisch, “Materials Science &amp; Engineering,” </w:t>
      </w:r>
      <w:r w:rsidRPr="00EC62EF">
        <w:rPr>
          <w:rFonts w:ascii="Calibri" w:hAnsi="Calibri" w:cs="Calibri"/>
          <w:i/>
          <w:iCs/>
          <w:noProof/>
          <w:szCs w:val="24"/>
        </w:rPr>
        <w:t>Comput. Sci. Eng.</w:t>
      </w:r>
      <w:r w:rsidRPr="00EC62EF">
        <w:rPr>
          <w:rFonts w:ascii="Calibri" w:hAnsi="Calibri" w:cs="Calibri"/>
          <w:noProof/>
          <w:szCs w:val="24"/>
        </w:rPr>
        <w:t>, vol. 2, no. 4, p. 4172, 2014.</w:t>
      </w:r>
    </w:p>
    <w:p w14:paraId="79C895C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[339]</w:t>
      </w:r>
      <w:r w:rsidRPr="00EC62EF">
        <w:rPr>
          <w:rFonts w:ascii="Calibri" w:hAnsi="Calibri" w:cs="Calibri"/>
          <w:noProof/>
          <w:szCs w:val="24"/>
        </w:rPr>
        <w:tab/>
        <w:t xml:space="preserve">M. Che and J. C. Vedrine, </w:t>
      </w:r>
      <w:r w:rsidRPr="00EC62EF">
        <w:rPr>
          <w:rFonts w:ascii="Calibri" w:hAnsi="Calibri" w:cs="Calibri"/>
          <w:i/>
          <w:iCs/>
          <w:noProof/>
          <w:szCs w:val="24"/>
        </w:rPr>
        <w:t>Characterization of Solid Materials and Heterogeneous Catalysts: From Structure to Surface Reactivity</w:t>
      </w:r>
      <w:r w:rsidRPr="00EC62EF">
        <w:rPr>
          <w:rFonts w:ascii="Calibri" w:hAnsi="Calibri" w:cs="Calibri"/>
          <w:noProof/>
          <w:szCs w:val="24"/>
        </w:rPr>
        <w:t>. Wiley, 2012.</w:t>
      </w:r>
    </w:p>
    <w:p w14:paraId="1F2764C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[340]</w:t>
      </w:r>
      <w:r w:rsidRPr="00EC62EF">
        <w:rPr>
          <w:rFonts w:ascii="Calibri" w:hAnsi="Calibri" w:cs="Calibri"/>
          <w:noProof/>
          <w:szCs w:val="24"/>
        </w:rPr>
        <w:tab/>
        <w:t xml:space="preserve">D. Das and F. Gharib, “Cubic NiO Nanoparticles: Synthesis and Characterization,” </w:t>
      </w:r>
      <w:r w:rsidRPr="00EC62EF">
        <w:rPr>
          <w:rFonts w:ascii="Calibri" w:hAnsi="Calibri" w:cs="Calibri"/>
          <w:i/>
          <w:iCs/>
          <w:noProof/>
          <w:szCs w:val="24"/>
        </w:rPr>
        <w:t>Int. J. Bio-Inorganic Hybrid Nanomater.</w:t>
      </w:r>
      <w:r w:rsidRPr="00EC62EF">
        <w:rPr>
          <w:rFonts w:ascii="Calibri" w:hAnsi="Calibri" w:cs="Calibri"/>
          <w:noProof/>
          <w:szCs w:val="24"/>
        </w:rPr>
        <w:t>, vol. 4, no. 2, pp. 59–64, 2015.</w:t>
      </w:r>
    </w:p>
    <w:p w14:paraId="45525D5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[341]</w:t>
      </w:r>
      <w:r w:rsidRPr="00EC62EF">
        <w:rPr>
          <w:rFonts w:ascii="Calibri" w:hAnsi="Calibri" w:cs="Calibri"/>
          <w:noProof/>
          <w:szCs w:val="24"/>
        </w:rPr>
        <w:tab/>
        <w:t xml:space="preserve">M. Schneider, P. Demoulin, R. Sussmann, and J. Notholt, </w:t>
      </w:r>
      <w:r w:rsidRPr="00EC62EF">
        <w:rPr>
          <w:rFonts w:ascii="Calibri" w:hAnsi="Calibri" w:cs="Calibri"/>
          <w:i/>
          <w:iCs/>
          <w:noProof/>
          <w:szCs w:val="24"/>
        </w:rPr>
        <w:t>Fourier transform infrared spectrometry</w:t>
      </w:r>
      <w:r w:rsidRPr="00EC62EF">
        <w:rPr>
          <w:rFonts w:ascii="Calibri" w:hAnsi="Calibri" w:cs="Calibri"/>
          <w:noProof/>
          <w:szCs w:val="24"/>
        </w:rPr>
        <w:t>, vol. 10. 2013.</w:t>
      </w:r>
    </w:p>
    <w:p w14:paraId="03D3C92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lastRenderedPageBreak/>
        <w:t>[342]</w:t>
      </w:r>
      <w:r w:rsidRPr="00EC62EF">
        <w:rPr>
          <w:rFonts w:ascii="Calibri" w:hAnsi="Calibri" w:cs="Calibri"/>
          <w:noProof/>
          <w:szCs w:val="24"/>
        </w:rPr>
        <w:tab/>
        <w:t xml:space="preserve">E. G. Krukowski, A. Goodman, G. Rother, E. S. Ilton, G. Guthrie, and R. J. Bodnar, “FT-IR study of CO2 interaction with Na+ exchanged montmorillonite,” </w:t>
      </w:r>
      <w:r w:rsidRPr="00EC62EF">
        <w:rPr>
          <w:rFonts w:ascii="Calibri" w:hAnsi="Calibri" w:cs="Calibri"/>
          <w:i/>
          <w:iCs/>
          <w:noProof/>
          <w:szCs w:val="24"/>
        </w:rPr>
        <w:t>Appl. Clay Sci.</w:t>
      </w:r>
      <w:r w:rsidRPr="00EC62EF">
        <w:rPr>
          <w:rFonts w:ascii="Calibri" w:hAnsi="Calibri" w:cs="Calibri"/>
          <w:noProof/>
          <w:szCs w:val="24"/>
        </w:rPr>
        <w:t>, vol. 114, pp. 61–68, Sep. 2015.</w:t>
      </w:r>
    </w:p>
    <w:p w14:paraId="6ED8518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[343]</w:t>
      </w:r>
      <w:r w:rsidRPr="00EC62EF">
        <w:rPr>
          <w:rFonts w:ascii="Calibri" w:hAnsi="Calibri" w:cs="Calibri"/>
          <w:noProof/>
          <w:szCs w:val="24"/>
        </w:rPr>
        <w:tab/>
        <w:t xml:space="preserve">A. Dehno Khalaji, D. Das, J. Matalobos, and F. Gharib, “Cubic NiO Nanoparticles: Synthesis and Characterization,” </w:t>
      </w:r>
      <w:r w:rsidRPr="00EC62EF">
        <w:rPr>
          <w:rFonts w:ascii="Calibri" w:hAnsi="Calibri" w:cs="Calibri"/>
          <w:i/>
          <w:iCs/>
          <w:noProof/>
          <w:szCs w:val="24"/>
        </w:rPr>
        <w:t>Int. J. Bio-Inorganic Hybrid Nanomater.</w:t>
      </w:r>
      <w:r w:rsidRPr="00EC62EF">
        <w:rPr>
          <w:rFonts w:ascii="Calibri" w:hAnsi="Calibri" w:cs="Calibri"/>
          <w:noProof/>
          <w:szCs w:val="24"/>
        </w:rPr>
        <w:t>, vol. 4, no. 2, pp. 59–64, 2015.</w:t>
      </w:r>
    </w:p>
    <w:p w14:paraId="7BBD888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[344]</w:t>
      </w:r>
      <w:r w:rsidRPr="00EC62EF">
        <w:rPr>
          <w:rFonts w:ascii="Calibri" w:hAnsi="Calibri" w:cs="Calibri"/>
          <w:noProof/>
          <w:szCs w:val="24"/>
        </w:rPr>
        <w:tab/>
        <w:t xml:space="preserve">J. T. S. Irvine, D. C. Sinclair, and A. R. West, “Electroceramics: Characterization by Impedance Spectroscopy,” </w:t>
      </w:r>
      <w:r w:rsidRPr="00EC62EF">
        <w:rPr>
          <w:rFonts w:ascii="Calibri" w:hAnsi="Calibri" w:cs="Calibri"/>
          <w:i/>
          <w:iCs/>
          <w:noProof/>
          <w:szCs w:val="24"/>
        </w:rPr>
        <w:t>Adv. Mater.</w:t>
      </w:r>
      <w:r w:rsidRPr="00EC62EF">
        <w:rPr>
          <w:rFonts w:ascii="Calibri" w:hAnsi="Calibri" w:cs="Calibri"/>
          <w:noProof/>
          <w:szCs w:val="24"/>
        </w:rPr>
        <w:t>, vol. 2, no. 3, pp. 132–138, 1990.</w:t>
      </w:r>
    </w:p>
    <w:p w14:paraId="312AA77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[345]</w:t>
      </w:r>
      <w:r w:rsidRPr="00EC62EF">
        <w:rPr>
          <w:rFonts w:ascii="Calibri" w:hAnsi="Calibri" w:cs="Calibri"/>
          <w:noProof/>
          <w:szCs w:val="24"/>
        </w:rPr>
        <w:tab/>
        <w:t xml:space="preserve">A. Bertei, E. Ruiz-Trejo, F. Tariq, V. Yufit, A. Atkinson, and N. P. Brandon, “Validation of a physically-based solid oxide fuel cell anode model combining 3D tomography and impedance spectroscopy,” </w:t>
      </w:r>
      <w:r w:rsidRPr="00EC62EF">
        <w:rPr>
          <w:rFonts w:ascii="Calibri" w:hAnsi="Calibri" w:cs="Calibri"/>
          <w:i/>
          <w:iCs/>
          <w:noProof/>
          <w:szCs w:val="24"/>
        </w:rPr>
        <w:t>Int. J. Hydrogen Energy</w:t>
      </w:r>
      <w:r w:rsidRPr="00EC62EF">
        <w:rPr>
          <w:rFonts w:ascii="Calibri" w:hAnsi="Calibri" w:cs="Calibri"/>
          <w:noProof/>
          <w:szCs w:val="24"/>
        </w:rPr>
        <w:t>, vol. 41, no. 47, pp. 22381–22393, 2016.</w:t>
      </w:r>
    </w:p>
    <w:p w14:paraId="4C682C2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[346]</w:t>
      </w:r>
      <w:r w:rsidRPr="00EC62EF">
        <w:rPr>
          <w:rFonts w:ascii="Calibri" w:hAnsi="Calibri" w:cs="Calibri"/>
          <w:noProof/>
          <w:szCs w:val="24"/>
        </w:rPr>
        <w:tab/>
        <w:t xml:space="preserve">J. T. S. Irvine, D. C. Sinclair, and A. R. West, “Electroceramics: Characterization by Impedance Spectroscopy,” </w:t>
      </w:r>
      <w:r w:rsidRPr="00EC62EF">
        <w:rPr>
          <w:rFonts w:ascii="Calibri" w:hAnsi="Calibri" w:cs="Calibri"/>
          <w:i/>
          <w:iCs/>
          <w:noProof/>
          <w:szCs w:val="24"/>
        </w:rPr>
        <w:t>Adv. Mater.</w:t>
      </w:r>
      <w:r w:rsidRPr="00EC62EF">
        <w:rPr>
          <w:rFonts w:ascii="Calibri" w:hAnsi="Calibri" w:cs="Calibri"/>
          <w:noProof/>
          <w:szCs w:val="24"/>
        </w:rPr>
        <w:t>, vol. 2, no. 3, pp. 132–138, 1990.</w:t>
      </w:r>
    </w:p>
    <w:p w14:paraId="53734B9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[347]</w:t>
      </w:r>
      <w:r w:rsidRPr="00EC62EF">
        <w:rPr>
          <w:rFonts w:ascii="Calibri" w:hAnsi="Calibri" w:cs="Calibri"/>
          <w:noProof/>
          <w:szCs w:val="24"/>
        </w:rPr>
        <w:tab/>
        <w:t xml:space="preserve">V. F. Lvovich, </w:t>
      </w:r>
      <w:r w:rsidRPr="00EC62EF">
        <w:rPr>
          <w:rFonts w:ascii="Calibri" w:hAnsi="Calibri" w:cs="Calibri"/>
          <w:i/>
          <w:iCs/>
          <w:noProof/>
          <w:szCs w:val="24"/>
        </w:rPr>
        <w:t>Impedance Spectroscopy: Applications to Electrochemical and Dielectric Phenomena</w:t>
      </w:r>
      <w:r w:rsidRPr="00EC62EF">
        <w:rPr>
          <w:rFonts w:ascii="Calibri" w:hAnsi="Calibri" w:cs="Calibri"/>
          <w:noProof/>
          <w:szCs w:val="24"/>
        </w:rPr>
        <w:t>. 2012.</w:t>
      </w:r>
    </w:p>
    <w:p w14:paraId="0927646E"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[348]</w:t>
      </w:r>
      <w:r w:rsidRPr="00EC62EF">
        <w:rPr>
          <w:rFonts w:ascii="Calibri" w:hAnsi="Calibri" w:cs="Calibri"/>
          <w:noProof/>
          <w:szCs w:val="24"/>
        </w:rPr>
        <w:tab/>
        <w:t xml:space="preserve">A. M. Hussain, J. V. T. Hogh, W. Zhang, E. Stamate, K. T. S. Thydén, and N. Bonanos, “Improved ceramic anodes for SOFCs with modified electrode/electrolyte interface,” </w:t>
      </w:r>
      <w:r w:rsidRPr="00EC62EF">
        <w:rPr>
          <w:rFonts w:ascii="Calibri" w:hAnsi="Calibri" w:cs="Calibri"/>
          <w:i/>
          <w:iCs/>
          <w:noProof/>
          <w:szCs w:val="24"/>
        </w:rPr>
        <w:t>J. Power Sources</w:t>
      </w:r>
      <w:r w:rsidRPr="00EC62EF">
        <w:rPr>
          <w:rFonts w:ascii="Calibri" w:hAnsi="Calibri" w:cs="Calibri"/>
          <w:noProof/>
          <w:szCs w:val="24"/>
        </w:rPr>
        <w:t>, vol. 212, pp. 247–253, 2012.</w:t>
      </w:r>
    </w:p>
    <w:p w14:paraId="4744868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[349]</w:t>
      </w:r>
      <w:r w:rsidRPr="00EC62EF">
        <w:rPr>
          <w:rFonts w:ascii="Calibri" w:hAnsi="Calibri" w:cs="Calibri"/>
          <w:noProof/>
          <w:szCs w:val="24"/>
        </w:rPr>
        <w:tab/>
        <w:t xml:space="preserve">V. S. Bagotsky, </w:t>
      </w:r>
      <w:r w:rsidRPr="00EC62EF">
        <w:rPr>
          <w:rFonts w:ascii="Calibri" w:hAnsi="Calibri" w:cs="Calibri"/>
          <w:i/>
          <w:iCs/>
          <w:noProof/>
          <w:szCs w:val="24"/>
        </w:rPr>
        <w:t>Fuel Cells: Problems and Solutions: Second Edition</w:t>
      </w:r>
      <w:r w:rsidRPr="00EC62EF">
        <w:rPr>
          <w:rFonts w:ascii="Calibri" w:hAnsi="Calibri" w:cs="Calibri"/>
          <w:noProof/>
          <w:szCs w:val="24"/>
        </w:rPr>
        <w:t>. Wiley, 2012.</w:t>
      </w:r>
    </w:p>
    <w:p w14:paraId="2AE90C0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[350]</w:t>
      </w:r>
      <w:r w:rsidRPr="00EC62EF">
        <w:rPr>
          <w:rFonts w:ascii="Calibri" w:hAnsi="Calibri" w:cs="Calibri"/>
          <w:noProof/>
          <w:szCs w:val="24"/>
        </w:rPr>
        <w:tab/>
        <w:t xml:space="preserve">Primdahl Søren, </w:t>
      </w:r>
      <w:r w:rsidRPr="00EC62EF">
        <w:rPr>
          <w:rFonts w:ascii="Calibri" w:hAnsi="Calibri" w:cs="Calibri"/>
          <w:i/>
          <w:iCs/>
          <w:noProof/>
          <w:szCs w:val="24"/>
        </w:rPr>
        <w:t>Nickel/yttria-stabilised zirconia cermet anodes for solid oxide fuel cells</w:t>
      </w:r>
      <w:r w:rsidRPr="00EC62EF">
        <w:rPr>
          <w:rFonts w:ascii="Calibri" w:hAnsi="Calibri" w:cs="Calibri"/>
          <w:noProof/>
          <w:szCs w:val="24"/>
        </w:rPr>
        <w:t>, vol. PhD. 1999.</w:t>
      </w:r>
    </w:p>
    <w:p w14:paraId="4980655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[351]</w:t>
      </w:r>
      <w:r w:rsidRPr="00EC62EF">
        <w:rPr>
          <w:rFonts w:ascii="Calibri" w:hAnsi="Calibri" w:cs="Calibri"/>
          <w:noProof/>
          <w:szCs w:val="24"/>
        </w:rPr>
        <w:tab/>
        <w:t xml:space="preserve">Q. A. Huang, R. Hui, B. Wang, and J. Zhang, “A review of AC impedance modeling and validation in SOFC diagnosis,” </w:t>
      </w:r>
      <w:r w:rsidRPr="00EC62EF">
        <w:rPr>
          <w:rFonts w:ascii="Calibri" w:hAnsi="Calibri" w:cs="Calibri"/>
          <w:i/>
          <w:iCs/>
          <w:noProof/>
          <w:szCs w:val="24"/>
        </w:rPr>
        <w:t>Electrochim. Acta</w:t>
      </w:r>
      <w:r w:rsidRPr="00EC62EF">
        <w:rPr>
          <w:rFonts w:ascii="Calibri" w:hAnsi="Calibri" w:cs="Calibri"/>
          <w:noProof/>
          <w:szCs w:val="24"/>
        </w:rPr>
        <w:t>, vol. 52, no. 28, pp. 8144–8164, 2007.</w:t>
      </w:r>
    </w:p>
    <w:p w14:paraId="5DBC251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[352]</w:t>
      </w:r>
      <w:r w:rsidRPr="00EC62EF">
        <w:rPr>
          <w:rFonts w:ascii="Calibri" w:hAnsi="Calibri" w:cs="Calibri"/>
          <w:noProof/>
          <w:szCs w:val="24"/>
        </w:rPr>
        <w:tab/>
        <w:t xml:space="preserve">E. Drożdż-Cieśla, J. Wyrwa, W. Pyda, and M. Rękas, “A new method of preparing Ni/YSZ cermet materials,” </w:t>
      </w:r>
      <w:r w:rsidRPr="00EC62EF">
        <w:rPr>
          <w:rFonts w:ascii="Calibri" w:hAnsi="Calibri" w:cs="Calibri"/>
          <w:i/>
          <w:iCs/>
          <w:noProof/>
          <w:szCs w:val="24"/>
        </w:rPr>
        <w:t>J. Mater. Sci.</w:t>
      </w:r>
      <w:r w:rsidRPr="00EC62EF">
        <w:rPr>
          <w:rFonts w:ascii="Calibri" w:hAnsi="Calibri" w:cs="Calibri"/>
          <w:noProof/>
          <w:szCs w:val="24"/>
        </w:rPr>
        <w:t>, vol. 47, no. 6, pp. 2807–2817, 2012.</w:t>
      </w:r>
    </w:p>
    <w:p w14:paraId="15E82B4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[353]</w:t>
      </w:r>
      <w:r w:rsidRPr="00EC62EF">
        <w:rPr>
          <w:rFonts w:ascii="Calibri" w:hAnsi="Calibri" w:cs="Calibri"/>
          <w:noProof/>
          <w:szCs w:val="24"/>
        </w:rPr>
        <w:tab/>
        <w:t>Y. Fu and M. Z. Bazant, “Theoretical and Experimental Study of Solid Oxide Fuel Cell (SOFC) Using Impedance Spectra,” 2014.</w:t>
      </w:r>
    </w:p>
    <w:p w14:paraId="06D09AD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[354]</w:t>
      </w:r>
      <w:r w:rsidRPr="00EC62EF">
        <w:rPr>
          <w:rFonts w:ascii="Calibri" w:hAnsi="Calibri" w:cs="Calibri"/>
          <w:noProof/>
          <w:szCs w:val="24"/>
        </w:rPr>
        <w:tab/>
        <w:t xml:space="preserve">P. Keyvanfar and V. Birss, “Optimization of infiltration techniques used to construct Ni/YSZ anodes,” in </w:t>
      </w:r>
      <w:r w:rsidRPr="00EC62EF">
        <w:rPr>
          <w:rFonts w:ascii="Calibri" w:hAnsi="Calibri" w:cs="Calibri"/>
          <w:i/>
          <w:iCs/>
          <w:noProof/>
          <w:szCs w:val="24"/>
        </w:rPr>
        <w:t>ECS Transactions</w:t>
      </w:r>
      <w:r w:rsidRPr="00EC62EF">
        <w:rPr>
          <w:rFonts w:ascii="Calibri" w:hAnsi="Calibri" w:cs="Calibri"/>
          <w:noProof/>
          <w:szCs w:val="24"/>
        </w:rPr>
        <w:t>, 2013, 1st ed., vol. 57, pp. 1627–1638.</w:t>
      </w:r>
    </w:p>
    <w:p w14:paraId="0BD1A48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[355]</w:t>
      </w:r>
      <w:r w:rsidRPr="00EC62EF">
        <w:rPr>
          <w:rFonts w:ascii="Calibri" w:hAnsi="Calibri" w:cs="Calibri"/>
          <w:noProof/>
          <w:szCs w:val="24"/>
        </w:rPr>
        <w:tab/>
        <w:t xml:space="preserve">S. Cipiccia </w:t>
      </w:r>
      <w:r w:rsidRPr="00EC62EF">
        <w:rPr>
          <w:rFonts w:ascii="Calibri" w:hAnsi="Calibri" w:cs="Calibri"/>
          <w:i/>
          <w:iCs/>
          <w:noProof/>
          <w:szCs w:val="24"/>
        </w:rPr>
        <w:t>et al.</w:t>
      </w:r>
      <w:r w:rsidRPr="00EC62EF">
        <w:rPr>
          <w:rFonts w:ascii="Calibri" w:hAnsi="Calibri" w:cs="Calibri"/>
          <w:noProof/>
          <w:szCs w:val="24"/>
        </w:rPr>
        <w:t xml:space="preserve">, “An Iterative Self-Absorption Correction Algorithm for 3D Ptycho-Fluorescence Imaging,” </w:t>
      </w:r>
      <w:r w:rsidRPr="00EC62EF">
        <w:rPr>
          <w:rFonts w:ascii="Calibri" w:hAnsi="Calibri" w:cs="Calibri"/>
          <w:i/>
          <w:iCs/>
          <w:noProof/>
          <w:szCs w:val="24"/>
        </w:rPr>
        <w:t>Microsc. Microanal.</w:t>
      </w:r>
      <w:r w:rsidRPr="00EC62EF">
        <w:rPr>
          <w:rFonts w:ascii="Calibri" w:hAnsi="Calibri" w:cs="Calibri"/>
          <w:noProof/>
          <w:szCs w:val="24"/>
        </w:rPr>
        <w:t>, vol. 24, no. S2, pp. 96–97, 2018.</w:t>
      </w:r>
    </w:p>
    <w:p w14:paraId="04A1377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[356]</w:t>
      </w:r>
      <w:r w:rsidRPr="00EC62EF">
        <w:rPr>
          <w:rFonts w:ascii="Calibri" w:hAnsi="Calibri" w:cs="Calibri"/>
          <w:noProof/>
          <w:szCs w:val="24"/>
        </w:rPr>
        <w:tab/>
        <w:t xml:space="preserve">C. Rau, U. Wagner, Z. Pešić, and A. De Fanis, “Coherent imaging at the Diamond beamline I13,” </w:t>
      </w:r>
      <w:r w:rsidRPr="00EC62EF">
        <w:rPr>
          <w:rFonts w:ascii="Calibri" w:hAnsi="Calibri" w:cs="Calibri"/>
          <w:i/>
          <w:iCs/>
          <w:noProof/>
          <w:szCs w:val="24"/>
        </w:rPr>
        <w:t>Phys. Status Solidi Appl. Mater. Sci.</w:t>
      </w:r>
      <w:r w:rsidRPr="00EC62EF">
        <w:rPr>
          <w:rFonts w:ascii="Calibri" w:hAnsi="Calibri" w:cs="Calibri"/>
          <w:noProof/>
          <w:szCs w:val="24"/>
        </w:rPr>
        <w:t>, vol. 208, no. 11, pp. 2522–2525, 2011.</w:t>
      </w:r>
    </w:p>
    <w:p w14:paraId="37D8BB9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[357]</w:t>
      </w:r>
      <w:r w:rsidRPr="00EC62EF">
        <w:rPr>
          <w:rFonts w:ascii="Calibri" w:hAnsi="Calibri" w:cs="Calibri"/>
          <w:noProof/>
          <w:szCs w:val="24"/>
        </w:rPr>
        <w:tab/>
        <w:t xml:space="preserve">C. Rau, “Imaging with Coherent Synchrotron Radiation: X-ray Imaging and Coherence Beamline (I13) at Diamond Light Source,” </w:t>
      </w:r>
      <w:r w:rsidRPr="00EC62EF">
        <w:rPr>
          <w:rFonts w:ascii="Calibri" w:hAnsi="Calibri" w:cs="Calibri"/>
          <w:i/>
          <w:iCs/>
          <w:noProof/>
          <w:szCs w:val="24"/>
        </w:rPr>
        <w:t>Synchrotron Radiat. News</w:t>
      </w:r>
      <w:r w:rsidRPr="00EC62EF">
        <w:rPr>
          <w:rFonts w:ascii="Calibri" w:hAnsi="Calibri" w:cs="Calibri"/>
          <w:noProof/>
          <w:szCs w:val="24"/>
        </w:rPr>
        <w:t>, vol. 30, no. 5, pp. 19–25, 2017.</w:t>
      </w:r>
    </w:p>
    <w:p w14:paraId="10A0C1D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[358]</w:t>
      </w:r>
      <w:r w:rsidRPr="00EC62EF">
        <w:rPr>
          <w:rFonts w:ascii="Calibri" w:hAnsi="Calibri" w:cs="Calibri"/>
          <w:noProof/>
          <w:szCs w:val="24"/>
        </w:rPr>
        <w:tab/>
        <w:t xml:space="preserve">C. Rau </w:t>
      </w:r>
      <w:r w:rsidRPr="00EC62EF">
        <w:rPr>
          <w:rFonts w:ascii="Calibri" w:hAnsi="Calibri" w:cs="Calibri"/>
          <w:i/>
          <w:iCs/>
          <w:noProof/>
          <w:szCs w:val="24"/>
        </w:rPr>
        <w:t>et al.</w:t>
      </w:r>
      <w:r w:rsidRPr="00EC62EF">
        <w:rPr>
          <w:rFonts w:ascii="Calibri" w:hAnsi="Calibri" w:cs="Calibri"/>
          <w:noProof/>
          <w:szCs w:val="24"/>
        </w:rPr>
        <w:t xml:space="preserve">, “Multi-scale imaging at the diamond beamline I13,” </w:t>
      </w:r>
      <w:r w:rsidRPr="00EC62EF">
        <w:rPr>
          <w:rFonts w:ascii="Calibri" w:hAnsi="Calibri" w:cs="Calibri"/>
          <w:i/>
          <w:iCs/>
          <w:noProof/>
          <w:szCs w:val="24"/>
        </w:rPr>
        <w:t>AIP Conf. Proc.</w:t>
      </w:r>
      <w:r w:rsidRPr="00EC62EF">
        <w:rPr>
          <w:rFonts w:ascii="Calibri" w:hAnsi="Calibri" w:cs="Calibri"/>
          <w:noProof/>
          <w:szCs w:val="24"/>
        </w:rPr>
        <w:t>, vol. 2054, no. January, 2019.</w:t>
      </w:r>
    </w:p>
    <w:p w14:paraId="0239C50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[359]</w:t>
      </w:r>
      <w:r w:rsidRPr="00EC62EF">
        <w:rPr>
          <w:rFonts w:ascii="Calibri" w:hAnsi="Calibri" w:cs="Calibri"/>
          <w:noProof/>
          <w:szCs w:val="24"/>
        </w:rPr>
        <w:tab/>
        <w:t xml:space="preserve">P. J. Withers, “X-ray nanotomography,” </w:t>
      </w:r>
      <w:r w:rsidRPr="00EC62EF">
        <w:rPr>
          <w:rFonts w:ascii="Calibri" w:hAnsi="Calibri" w:cs="Calibri"/>
          <w:i/>
          <w:iCs/>
          <w:noProof/>
          <w:szCs w:val="24"/>
        </w:rPr>
        <w:t>Mater. Today</w:t>
      </w:r>
      <w:r w:rsidRPr="00EC62EF">
        <w:rPr>
          <w:rFonts w:ascii="Calibri" w:hAnsi="Calibri" w:cs="Calibri"/>
          <w:noProof/>
          <w:szCs w:val="24"/>
        </w:rPr>
        <w:t>, vol. 10, no. 12, pp. 26–34, 2007.</w:t>
      </w:r>
    </w:p>
    <w:p w14:paraId="7D48688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[360]</w:t>
      </w:r>
      <w:r w:rsidRPr="00EC62EF">
        <w:rPr>
          <w:rFonts w:ascii="Calibri" w:hAnsi="Calibri" w:cs="Calibri"/>
          <w:noProof/>
          <w:szCs w:val="24"/>
        </w:rPr>
        <w:tab/>
        <w:t xml:space="preserve">M. Holler </w:t>
      </w:r>
      <w:r w:rsidRPr="00EC62EF">
        <w:rPr>
          <w:rFonts w:ascii="Calibri" w:hAnsi="Calibri" w:cs="Calibri"/>
          <w:i/>
          <w:iCs/>
          <w:noProof/>
          <w:szCs w:val="24"/>
        </w:rPr>
        <w:t>et al.</w:t>
      </w:r>
      <w:r w:rsidRPr="00EC62EF">
        <w:rPr>
          <w:rFonts w:ascii="Calibri" w:hAnsi="Calibri" w:cs="Calibri"/>
          <w:noProof/>
          <w:szCs w:val="24"/>
        </w:rPr>
        <w:t xml:space="preserve">, “X-ray ptychographic computed tomography at 16 nm isotropic 3D resolution,” </w:t>
      </w:r>
      <w:r w:rsidRPr="00EC62EF">
        <w:rPr>
          <w:rFonts w:ascii="Calibri" w:hAnsi="Calibri" w:cs="Calibri"/>
          <w:i/>
          <w:iCs/>
          <w:noProof/>
          <w:szCs w:val="24"/>
        </w:rPr>
        <w:t>Sci. Rep.</w:t>
      </w:r>
      <w:r w:rsidRPr="00EC62EF">
        <w:rPr>
          <w:rFonts w:ascii="Calibri" w:hAnsi="Calibri" w:cs="Calibri"/>
          <w:noProof/>
          <w:szCs w:val="24"/>
        </w:rPr>
        <w:t>, vol. 4, pp. 1–5, 2014.</w:t>
      </w:r>
    </w:p>
    <w:p w14:paraId="5DDF95E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lastRenderedPageBreak/>
        <w:t>[361]</w:t>
      </w:r>
      <w:r w:rsidRPr="00EC62EF">
        <w:rPr>
          <w:rFonts w:ascii="Calibri" w:hAnsi="Calibri" w:cs="Calibri"/>
          <w:noProof/>
          <w:szCs w:val="24"/>
        </w:rPr>
        <w:tab/>
        <w:t xml:space="preserve">J. M. Rodenburg, “Ptychography and related diffractive imaging methods,” </w:t>
      </w:r>
      <w:r w:rsidRPr="00EC62EF">
        <w:rPr>
          <w:rFonts w:ascii="Calibri" w:hAnsi="Calibri" w:cs="Calibri"/>
          <w:i/>
          <w:iCs/>
          <w:noProof/>
          <w:szCs w:val="24"/>
        </w:rPr>
        <w:t>Adv. Imaging Electron Phys.</w:t>
      </w:r>
      <w:r w:rsidRPr="00EC62EF">
        <w:rPr>
          <w:rFonts w:ascii="Calibri" w:hAnsi="Calibri" w:cs="Calibri"/>
          <w:noProof/>
          <w:szCs w:val="24"/>
        </w:rPr>
        <w:t>, vol. 150, no. 07, pp. 87–184, 2008.</w:t>
      </w:r>
    </w:p>
    <w:p w14:paraId="6585D38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[362]</w:t>
      </w:r>
      <w:r w:rsidRPr="00EC62EF">
        <w:rPr>
          <w:rFonts w:ascii="Calibri" w:hAnsi="Calibri" w:cs="Calibri"/>
          <w:noProof/>
          <w:szCs w:val="24"/>
        </w:rPr>
        <w:tab/>
        <w:t xml:space="preserve">S. Sala, D. J. Batey, A. Prakash, S. Ahmed, C. Rau, and P. Thibault, “Ptychographic X-ray computed tomography at a high-brilliance X-ray source,” </w:t>
      </w:r>
      <w:r w:rsidRPr="00EC62EF">
        <w:rPr>
          <w:rFonts w:ascii="Calibri" w:hAnsi="Calibri" w:cs="Calibri"/>
          <w:i/>
          <w:iCs/>
          <w:noProof/>
          <w:szCs w:val="24"/>
        </w:rPr>
        <w:t>Opt. Express</w:t>
      </w:r>
      <w:r w:rsidRPr="00EC62EF">
        <w:rPr>
          <w:rFonts w:ascii="Calibri" w:hAnsi="Calibri" w:cs="Calibri"/>
          <w:noProof/>
          <w:szCs w:val="24"/>
        </w:rPr>
        <w:t>, vol. 27, no. 2, p. 533, 2019.</w:t>
      </w:r>
    </w:p>
    <w:p w14:paraId="5A11708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[363]</w:t>
      </w:r>
      <w:r w:rsidRPr="00EC62EF">
        <w:rPr>
          <w:rFonts w:ascii="Calibri" w:hAnsi="Calibri" w:cs="Calibri"/>
          <w:noProof/>
          <w:szCs w:val="24"/>
        </w:rPr>
        <w:tab/>
        <w:t xml:space="preserve">B. L. Henke, E. M. Gullikson, and J. C. Davis, “X-ray interactions: Photoabsorption, scattering, transmission, and reflection at E = 50-30, 000 eV, Z = 1-92,” </w:t>
      </w:r>
      <w:r w:rsidRPr="00EC62EF">
        <w:rPr>
          <w:rFonts w:ascii="Calibri" w:hAnsi="Calibri" w:cs="Calibri"/>
          <w:i/>
          <w:iCs/>
          <w:noProof/>
          <w:szCs w:val="24"/>
        </w:rPr>
        <w:t>Atomic Data and Nuclear Data Tables</w:t>
      </w:r>
      <w:r w:rsidRPr="00EC62EF">
        <w:rPr>
          <w:rFonts w:ascii="Calibri" w:hAnsi="Calibri" w:cs="Calibri"/>
          <w:noProof/>
          <w:szCs w:val="24"/>
        </w:rPr>
        <w:t>, vol. 54, no. 2. pp. 181–342, 1993.</w:t>
      </w:r>
    </w:p>
    <w:p w14:paraId="6A1706F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[364]</w:t>
      </w:r>
      <w:r w:rsidRPr="00EC62EF">
        <w:rPr>
          <w:rFonts w:ascii="Calibri" w:hAnsi="Calibri" w:cs="Calibri"/>
          <w:noProof/>
          <w:szCs w:val="24"/>
        </w:rPr>
        <w:tab/>
        <w:t xml:space="preserve">T. M. M. Heenan, C. Tan, A. J. Wade, R. Jervis, D. J. L. Brett, and P. R. Shearing, “Theoretical transmissions for X-ray computed tomography studies of lithium-ion battery cathodes,” </w:t>
      </w:r>
      <w:r w:rsidRPr="00EC62EF">
        <w:rPr>
          <w:rFonts w:ascii="Calibri" w:hAnsi="Calibri" w:cs="Calibri"/>
          <w:i/>
          <w:iCs/>
          <w:noProof/>
          <w:szCs w:val="24"/>
        </w:rPr>
        <w:t>Mater. Des.</w:t>
      </w:r>
      <w:r w:rsidRPr="00EC62EF">
        <w:rPr>
          <w:rFonts w:ascii="Calibri" w:hAnsi="Calibri" w:cs="Calibri"/>
          <w:noProof/>
          <w:szCs w:val="24"/>
        </w:rPr>
        <w:t>, vol. 191, p. 108585, 2020.</w:t>
      </w:r>
    </w:p>
    <w:p w14:paraId="107331B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[365]</w:t>
      </w:r>
      <w:r w:rsidRPr="00EC62EF">
        <w:rPr>
          <w:rFonts w:ascii="Calibri" w:hAnsi="Calibri" w:cs="Calibri"/>
          <w:noProof/>
          <w:szCs w:val="24"/>
        </w:rPr>
        <w:tab/>
        <w:t xml:space="preserve">S. Seltzer, “Tables of X-Ray Mass Attenuation Coefficients and Mass Energy-Absorption Coefficients, NIST Standard Reference Database 126,” </w:t>
      </w:r>
      <w:r w:rsidRPr="00EC62EF">
        <w:rPr>
          <w:rFonts w:ascii="Calibri" w:hAnsi="Calibri" w:cs="Calibri"/>
          <w:i/>
          <w:iCs/>
          <w:noProof/>
          <w:szCs w:val="24"/>
        </w:rPr>
        <w:t>NIST Stand. Ref. Database 126</w:t>
      </w:r>
      <w:r w:rsidRPr="00EC62EF">
        <w:rPr>
          <w:rFonts w:ascii="Calibri" w:hAnsi="Calibri" w:cs="Calibri"/>
          <w:noProof/>
          <w:szCs w:val="24"/>
        </w:rPr>
        <w:t>, 1996.</w:t>
      </w:r>
    </w:p>
    <w:p w14:paraId="2E46CFE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[366]</w:t>
      </w:r>
      <w:r w:rsidRPr="00EC62EF">
        <w:rPr>
          <w:rFonts w:ascii="Calibri" w:hAnsi="Calibri" w:cs="Calibri"/>
          <w:noProof/>
          <w:szCs w:val="24"/>
        </w:rPr>
        <w:tab/>
        <w:t xml:space="preserve">M. Stockmar </w:t>
      </w:r>
      <w:r w:rsidRPr="00EC62EF">
        <w:rPr>
          <w:rFonts w:ascii="Calibri" w:hAnsi="Calibri" w:cs="Calibri"/>
          <w:i/>
          <w:iCs/>
          <w:noProof/>
          <w:szCs w:val="24"/>
        </w:rPr>
        <w:t>et al.</w:t>
      </w:r>
      <w:r w:rsidRPr="00EC62EF">
        <w:rPr>
          <w:rFonts w:ascii="Calibri" w:hAnsi="Calibri" w:cs="Calibri"/>
          <w:noProof/>
          <w:szCs w:val="24"/>
        </w:rPr>
        <w:t xml:space="preserve">, “X-ray nanotomography using near-field ptychography,” </w:t>
      </w:r>
      <w:r w:rsidRPr="00EC62EF">
        <w:rPr>
          <w:rFonts w:ascii="Calibri" w:hAnsi="Calibri" w:cs="Calibri"/>
          <w:i/>
          <w:iCs/>
          <w:noProof/>
          <w:szCs w:val="24"/>
        </w:rPr>
        <w:t>Opt Express</w:t>
      </w:r>
      <w:r w:rsidRPr="00EC62EF">
        <w:rPr>
          <w:rFonts w:ascii="Calibri" w:hAnsi="Calibri" w:cs="Calibri"/>
          <w:noProof/>
          <w:szCs w:val="24"/>
        </w:rPr>
        <w:t>, vol. 23, no. 10, pp. 12720–12731, 2015.</w:t>
      </w:r>
    </w:p>
    <w:p w14:paraId="6DA1F6D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[367]</w:t>
      </w:r>
      <w:r w:rsidRPr="00EC62EF">
        <w:rPr>
          <w:rFonts w:ascii="Calibri" w:hAnsi="Calibri" w:cs="Calibri"/>
          <w:noProof/>
          <w:szCs w:val="24"/>
        </w:rPr>
        <w:tab/>
        <w:t xml:space="preserve">J. M. Rodenburg, “Ptychography and related diffractive imaging methods,” </w:t>
      </w:r>
      <w:r w:rsidRPr="00EC62EF">
        <w:rPr>
          <w:rFonts w:ascii="Calibri" w:hAnsi="Calibri" w:cs="Calibri"/>
          <w:i/>
          <w:iCs/>
          <w:noProof/>
          <w:szCs w:val="24"/>
        </w:rPr>
        <w:t>Adv. Imaging Electron Phys.</w:t>
      </w:r>
      <w:r w:rsidRPr="00EC62EF">
        <w:rPr>
          <w:rFonts w:ascii="Calibri" w:hAnsi="Calibri" w:cs="Calibri"/>
          <w:noProof/>
          <w:szCs w:val="24"/>
        </w:rPr>
        <w:t>, vol. 150, no. 07, pp. 87–184, 2008.</w:t>
      </w:r>
    </w:p>
    <w:p w14:paraId="7987FCA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[368]</w:t>
      </w:r>
      <w:r w:rsidRPr="00EC62EF">
        <w:rPr>
          <w:rFonts w:ascii="Calibri" w:hAnsi="Calibri" w:cs="Calibri"/>
          <w:noProof/>
          <w:szCs w:val="24"/>
        </w:rPr>
        <w:tab/>
        <w:t xml:space="preserve">J. Marchal </w:t>
      </w:r>
      <w:r w:rsidRPr="00EC62EF">
        <w:rPr>
          <w:rFonts w:ascii="Calibri" w:hAnsi="Calibri" w:cs="Calibri"/>
          <w:i/>
          <w:iCs/>
          <w:noProof/>
          <w:szCs w:val="24"/>
        </w:rPr>
        <w:t>et al.</w:t>
      </w:r>
      <w:r w:rsidRPr="00EC62EF">
        <w:rPr>
          <w:rFonts w:ascii="Calibri" w:hAnsi="Calibri" w:cs="Calibri"/>
          <w:noProof/>
          <w:szCs w:val="24"/>
        </w:rPr>
        <w:t xml:space="preserve">, “EXCALIBUR: A small-pixel photon counting area detector for coherent X-ray diffraction - Front-end design, fabrication and characterisation,” </w:t>
      </w:r>
      <w:r w:rsidRPr="00EC62EF">
        <w:rPr>
          <w:rFonts w:ascii="Calibri" w:hAnsi="Calibri" w:cs="Calibri"/>
          <w:i/>
          <w:iCs/>
          <w:noProof/>
          <w:szCs w:val="24"/>
        </w:rPr>
        <w:t>J. Phys. Conf. Ser.</w:t>
      </w:r>
      <w:r w:rsidRPr="00EC62EF">
        <w:rPr>
          <w:rFonts w:ascii="Calibri" w:hAnsi="Calibri" w:cs="Calibri"/>
          <w:noProof/>
          <w:szCs w:val="24"/>
        </w:rPr>
        <w:t>, vol. 425, no. PART 6, 2013.</w:t>
      </w:r>
    </w:p>
    <w:p w14:paraId="70F4B5C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[369]</w:t>
      </w:r>
      <w:r w:rsidRPr="00EC62EF">
        <w:rPr>
          <w:rFonts w:ascii="Calibri" w:hAnsi="Calibri" w:cs="Calibri"/>
          <w:noProof/>
          <w:szCs w:val="24"/>
        </w:rPr>
        <w:tab/>
        <w:t xml:space="preserve">S. Sala </w:t>
      </w:r>
      <w:r w:rsidRPr="00EC62EF">
        <w:rPr>
          <w:rFonts w:ascii="Calibri" w:hAnsi="Calibri" w:cs="Calibri"/>
          <w:i/>
          <w:iCs/>
          <w:noProof/>
          <w:szCs w:val="24"/>
        </w:rPr>
        <w:t>et al.</w:t>
      </w:r>
      <w:r w:rsidRPr="00EC62EF">
        <w:rPr>
          <w:rFonts w:ascii="Calibri" w:hAnsi="Calibri" w:cs="Calibri"/>
          <w:noProof/>
          <w:szCs w:val="24"/>
        </w:rPr>
        <w:t xml:space="preserve">, “Multiscale X-ray imaging using ptychography,” </w:t>
      </w:r>
      <w:r w:rsidRPr="00EC62EF">
        <w:rPr>
          <w:rFonts w:ascii="Calibri" w:hAnsi="Calibri" w:cs="Calibri"/>
          <w:i/>
          <w:iCs/>
          <w:noProof/>
          <w:szCs w:val="24"/>
        </w:rPr>
        <w:t>J. Synchrotron Radiat.</w:t>
      </w:r>
      <w:r w:rsidRPr="00EC62EF">
        <w:rPr>
          <w:rFonts w:ascii="Calibri" w:hAnsi="Calibri" w:cs="Calibri"/>
          <w:noProof/>
          <w:szCs w:val="24"/>
        </w:rPr>
        <w:t>, vol. 25, no. 4, pp. 1214–1221, 2018.</w:t>
      </w:r>
    </w:p>
    <w:p w14:paraId="76EECA7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[370]</w:t>
      </w:r>
      <w:r w:rsidRPr="00EC62EF">
        <w:rPr>
          <w:rFonts w:ascii="Calibri" w:hAnsi="Calibri" w:cs="Calibri"/>
          <w:noProof/>
          <w:szCs w:val="24"/>
        </w:rPr>
        <w:tab/>
        <w:t xml:space="preserve">M. Basham </w:t>
      </w:r>
      <w:r w:rsidRPr="00EC62EF">
        <w:rPr>
          <w:rFonts w:ascii="Calibri" w:hAnsi="Calibri" w:cs="Calibri"/>
          <w:i/>
          <w:iCs/>
          <w:noProof/>
          <w:szCs w:val="24"/>
        </w:rPr>
        <w:t>et al.</w:t>
      </w:r>
      <w:r w:rsidRPr="00EC62EF">
        <w:rPr>
          <w:rFonts w:ascii="Calibri" w:hAnsi="Calibri" w:cs="Calibri"/>
          <w:noProof/>
          <w:szCs w:val="24"/>
        </w:rPr>
        <w:t xml:space="preserve">, “Data Analysis WorkbeNch (DAWN),” </w:t>
      </w:r>
      <w:r w:rsidRPr="00EC62EF">
        <w:rPr>
          <w:rFonts w:ascii="Calibri" w:hAnsi="Calibri" w:cs="Calibri"/>
          <w:i/>
          <w:iCs/>
          <w:noProof/>
          <w:szCs w:val="24"/>
        </w:rPr>
        <w:t>J. Synchrotron Radiat.</w:t>
      </w:r>
      <w:r w:rsidRPr="00EC62EF">
        <w:rPr>
          <w:rFonts w:ascii="Calibri" w:hAnsi="Calibri" w:cs="Calibri"/>
          <w:noProof/>
          <w:szCs w:val="24"/>
        </w:rPr>
        <w:t>, vol. 22, pp. 853–858, 2015.</w:t>
      </w:r>
    </w:p>
    <w:p w14:paraId="41DB21F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[371]</w:t>
      </w:r>
      <w:r w:rsidRPr="00EC62EF">
        <w:rPr>
          <w:rFonts w:ascii="Calibri" w:hAnsi="Calibri" w:cs="Calibri"/>
          <w:noProof/>
          <w:szCs w:val="24"/>
        </w:rPr>
        <w:tab/>
        <w:t xml:space="preserve">J. Filik </w:t>
      </w:r>
      <w:r w:rsidRPr="00EC62EF">
        <w:rPr>
          <w:rFonts w:ascii="Calibri" w:hAnsi="Calibri" w:cs="Calibri"/>
          <w:i/>
          <w:iCs/>
          <w:noProof/>
          <w:szCs w:val="24"/>
        </w:rPr>
        <w:t>et al.</w:t>
      </w:r>
      <w:r w:rsidRPr="00EC62EF">
        <w:rPr>
          <w:rFonts w:ascii="Calibri" w:hAnsi="Calibri" w:cs="Calibri"/>
          <w:noProof/>
          <w:szCs w:val="24"/>
        </w:rPr>
        <w:t xml:space="preserve">, “Processing two-dimensional X-ray diffraction and small-angle scattering data in DAWN 2,” </w:t>
      </w:r>
      <w:r w:rsidRPr="00EC62EF">
        <w:rPr>
          <w:rFonts w:ascii="Calibri" w:hAnsi="Calibri" w:cs="Calibri"/>
          <w:i/>
          <w:iCs/>
          <w:noProof/>
          <w:szCs w:val="24"/>
        </w:rPr>
        <w:t>J. Appl. Crystallogr.</w:t>
      </w:r>
      <w:r w:rsidRPr="00EC62EF">
        <w:rPr>
          <w:rFonts w:ascii="Calibri" w:hAnsi="Calibri" w:cs="Calibri"/>
          <w:noProof/>
          <w:szCs w:val="24"/>
        </w:rPr>
        <w:t>, vol. 50, no. 3, pp. 959–966, 2017.</w:t>
      </w:r>
    </w:p>
    <w:p w14:paraId="0EB29A4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[372]</w:t>
      </w:r>
      <w:r w:rsidRPr="00EC62EF">
        <w:rPr>
          <w:rFonts w:ascii="Calibri" w:hAnsi="Calibri" w:cs="Calibri"/>
          <w:noProof/>
          <w:szCs w:val="24"/>
        </w:rPr>
        <w:tab/>
        <w:t xml:space="preserve">N. Wadeson and M. Basham, “Savu: A Python-based, MPI Framework for Simultaneous Processing of Multiple, N-dimensional, Large Tomography Datasets,” </w:t>
      </w:r>
      <w:r w:rsidRPr="00EC62EF">
        <w:rPr>
          <w:rFonts w:ascii="Calibri" w:hAnsi="Calibri" w:cs="Calibri"/>
          <w:i/>
          <w:iCs/>
          <w:noProof/>
          <w:szCs w:val="24"/>
        </w:rPr>
        <w:t>arXiv1610.08015 [cs]</w:t>
      </w:r>
      <w:r w:rsidRPr="00EC62EF">
        <w:rPr>
          <w:rFonts w:ascii="Calibri" w:hAnsi="Calibri" w:cs="Calibri"/>
          <w:noProof/>
          <w:szCs w:val="24"/>
        </w:rPr>
        <w:t>, 2016.</w:t>
      </w:r>
    </w:p>
    <w:p w14:paraId="74D593A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[373]</w:t>
      </w:r>
      <w:r w:rsidRPr="00EC62EF">
        <w:rPr>
          <w:rFonts w:ascii="Calibri" w:hAnsi="Calibri" w:cs="Calibri"/>
          <w:noProof/>
          <w:szCs w:val="24"/>
        </w:rPr>
        <w:tab/>
        <w:t xml:space="preserve">M. Wolters, L. J. W. Van Grotel, T. M. Eggenhuisen, J. R. A. Sietsma, K. P. De Jong, and P. E. De Jongh, “Combining confinement and NO calcination to arrive at highly dispersed supported nickel and cobalt oxide catalysts with a tunable particle size,” </w:t>
      </w:r>
      <w:r w:rsidRPr="00EC62EF">
        <w:rPr>
          <w:rFonts w:ascii="Calibri" w:hAnsi="Calibri" w:cs="Calibri"/>
          <w:i/>
          <w:iCs/>
          <w:noProof/>
          <w:szCs w:val="24"/>
        </w:rPr>
        <w:t>Catal. Today</w:t>
      </w:r>
      <w:r w:rsidRPr="00EC62EF">
        <w:rPr>
          <w:rFonts w:ascii="Calibri" w:hAnsi="Calibri" w:cs="Calibri"/>
          <w:noProof/>
          <w:szCs w:val="24"/>
        </w:rPr>
        <w:t>, vol. 163, no. 1, pp. 27–32, 2011.</w:t>
      </w:r>
    </w:p>
    <w:p w14:paraId="408F0D5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[374]</w:t>
      </w:r>
      <w:r w:rsidRPr="00EC62EF">
        <w:rPr>
          <w:rFonts w:ascii="Calibri" w:hAnsi="Calibri" w:cs="Calibri"/>
          <w:noProof/>
          <w:szCs w:val="24"/>
        </w:rPr>
        <w:tab/>
        <w:t xml:space="preserve">M. Wolters, L. J. W. van Grotel, T. M. Eggenhuisen, J. R. A. Sietsma, K. P. de Jong, and P. E. de Jongh, “Combining confinement and NO calcination to arrive at highly dispersed supported nickel and cobalt oxide catalysts with a tunable particle size,” </w:t>
      </w:r>
      <w:r w:rsidRPr="00EC62EF">
        <w:rPr>
          <w:rFonts w:ascii="Calibri" w:hAnsi="Calibri" w:cs="Calibri"/>
          <w:i/>
          <w:iCs/>
          <w:noProof/>
          <w:szCs w:val="24"/>
        </w:rPr>
        <w:t>Catal. Today</w:t>
      </w:r>
      <w:r w:rsidRPr="00EC62EF">
        <w:rPr>
          <w:rFonts w:ascii="Calibri" w:hAnsi="Calibri" w:cs="Calibri"/>
          <w:noProof/>
          <w:szCs w:val="24"/>
        </w:rPr>
        <w:t>, vol. 163, no. 1, pp. 27–32, 2011.</w:t>
      </w:r>
    </w:p>
    <w:p w14:paraId="4AFEC28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[375]</w:t>
      </w:r>
      <w:r w:rsidRPr="00EC62EF">
        <w:rPr>
          <w:rFonts w:ascii="Calibri" w:hAnsi="Calibri" w:cs="Calibri"/>
          <w:noProof/>
          <w:szCs w:val="24"/>
        </w:rPr>
        <w:tab/>
        <w:t>D. Schwartz, “ITWG Guideline on Powder X-Ray Diffraction (XRD),” 2015. [Online]. Available: http://www.nf-itwg.org/pdfs/ITWG-INFL-PXRD.pdf. [Accessed: 27-May-2020].</w:t>
      </w:r>
    </w:p>
    <w:p w14:paraId="2A7A8B2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[376]</w:t>
      </w:r>
      <w:r w:rsidRPr="00EC62EF">
        <w:rPr>
          <w:rFonts w:ascii="Calibri" w:hAnsi="Calibri" w:cs="Calibri"/>
          <w:noProof/>
          <w:szCs w:val="24"/>
        </w:rPr>
        <w:tab/>
        <w:t xml:space="preserve">R. Geyer, J. Hunold, M. Keck, P. Kraak, A. Pachulski, and R. Schödel, “Methods for determining the metal crystallite size of Ni supported catalysts,” </w:t>
      </w:r>
      <w:r w:rsidRPr="00EC62EF">
        <w:rPr>
          <w:rFonts w:ascii="Calibri" w:hAnsi="Calibri" w:cs="Calibri"/>
          <w:i/>
          <w:iCs/>
          <w:noProof/>
          <w:szCs w:val="24"/>
        </w:rPr>
        <w:t>Chemie-Ingenieur-Technik</w:t>
      </w:r>
      <w:r w:rsidRPr="00EC62EF">
        <w:rPr>
          <w:rFonts w:ascii="Calibri" w:hAnsi="Calibri" w:cs="Calibri"/>
          <w:noProof/>
          <w:szCs w:val="24"/>
        </w:rPr>
        <w:t>, vol. 84, no. 1–2, pp. 160–164, 2012.</w:t>
      </w:r>
    </w:p>
    <w:p w14:paraId="3A39B25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lastRenderedPageBreak/>
        <w:t>[377]</w:t>
      </w:r>
      <w:r w:rsidRPr="00EC62EF">
        <w:rPr>
          <w:rFonts w:ascii="Calibri" w:hAnsi="Calibri" w:cs="Calibri"/>
          <w:noProof/>
          <w:szCs w:val="24"/>
        </w:rPr>
        <w:tab/>
        <w:t xml:space="preserve">Y. Zhang, B. Liu, B. Tu, Y. Dong, and M. Cheng, “Redox cycling of Ni-YSZ anode investigated by TPR technique,” </w:t>
      </w:r>
      <w:r w:rsidRPr="00EC62EF">
        <w:rPr>
          <w:rFonts w:ascii="Calibri" w:hAnsi="Calibri" w:cs="Calibri"/>
          <w:i/>
          <w:iCs/>
          <w:noProof/>
          <w:szCs w:val="24"/>
        </w:rPr>
        <w:t>Solid State Ionics</w:t>
      </w:r>
      <w:r w:rsidRPr="00EC62EF">
        <w:rPr>
          <w:rFonts w:ascii="Calibri" w:hAnsi="Calibri" w:cs="Calibri"/>
          <w:noProof/>
          <w:szCs w:val="24"/>
        </w:rPr>
        <w:t>, vol. 176, no. 29–30, pp. 2193–2199, 2005.</w:t>
      </w:r>
    </w:p>
    <w:p w14:paraId="527B4C2E"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[378]</w:t>
      </w:r>
      <w:r w:rsidRPr="00EC62EF">
        <w:rPr>
          <w:rFonts w:ascii="Calibri" w:hAnsi="Calibri" w:cs="Calibri"/>
          <w:noProof/>
          <w:szCs w:val="24"/>
        </w:rPr>
        <w:tab/>
        <w:t xml:space="preserve">L. Zhang, J. Lin, and Y. Chen, “Studies of surface NiO species in NiO/SiO2 catalysts using temperature-programmed reduction and X-ray diffraction,” </w:t>
      </w:r>
      <w:r w:rsidRPr="00EC62EF">
        <w:rPr>
          <w:rFonts w:ascii="Calibri" w:hAnsi="Calibri" w:cs="Calibri"/>
          <w:i/>
          <w:iCs/>
          <w:noProof/>
          <w:szCs w:val="24"/>
        </w:rPr>
        <w:t>J. Chem. Soc. Faraday Trans.</w:t>
      </w:r>
      <w:r w:rsidRPr="00EC62EF">
        <w:rPr>
          <w:rFonts w:ascii="Calibri" w:hAnsi="Calibri" w:cs="Calibri"/>
          <w:noProof/>
          <w:szCs w:val="24"/>
        </w:rPr>
        <w:t>, vol. 88, no. 14, pp. 2075–2078, 1992.</w:t>
      </w:r>
    </w:p>
    <w:p w14:paraId="5F2670B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[379]</w:t>
      </w:r>
      <w:r w:rsidRPr="00EC62EF">
        <w:rPr>
          <w:rFonts w:ascii="Calibri" w:hAnsi="Calibri" w:cs="Calibri"/>
          <w:noProof/>
          <w:szCs w:val="24"/>
        </w:rPr>
        <w:tab/>
        <w:t xml:space="preserve">S. C. Ho and T. C. Chou, “The Role of Anion in the Preparation of Nickel Catalyst Detected by TPR and FTIR Spectra,” </w:t>
      </w:r>
      <w:r w:rsidRPr="00EC62EF">
        <w:rPr>
          <w:rFonts w:ascii="Calibri" w:hAnsi="Calibri" w:cs="Calibri"/>
          <w:i/>
          <w:iCs/>
          <w:noProof/>
          <w:szCs w:val="24"/>
        </w:rPr>
        <w:t>Ind. Eng. Chem. Res.</w:t>
      </w:r>
      <w:r w:rsidRPr="00EC62EF">
        <w:rPr>
          <w:rFonts w:ascii="Calibri" w:hAnsi="Calibri" w:cs="Calibri"/>
          <w:noProof/>
          <w:szCs w:val="24"/>
        </w:rPr>
        <w:t>, vol. 34, no. 7, pp. 2279–2284, 1995.</w:t>
      </w:r>
    </w:p>
    <w:p w14:paraId="60BF7E9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[380]</w:t>
      </w:r>
      <w:r w:rsidRPr="00EC62EF">
        <w:rPr>
          <w:rFonts w:ascii="Calibri" w:hAnsi="Calibri" w:cs="Calibri"/>
          <w:noProof/>
          <w:szCs w:val="24"/>
        </w:rPr>
        <w:tab/>
        <w:t xml:space="preserve">D. C. Sinclair, “D.C. Characterization of Electro-materials using AC Impedance Spectroscopy,” </w:t>
      </w:r>
      <w:r w:rsidRPr="00EC62EF">
        <w:rPr>
          <w:rFonts w:ascii="Calibri" w:hAnsi="Calibri" w:cs="Calibri"/>
          <w:i/>
          <w:iCs/>
          <w:noProof/>
          <w:szCs w:val="24"/>
        </w:rPr>
        <w:t>Bol. la Soc. Esp. Ceram. y Vidr.</w:t>
      </w:r>
      <w:r w:rsidRPr="00EC62EF">
        <w:rPr>
          <w:rFonts w:ascii="Calibri" w:hAnsi="Calibri" w:cs="Calibri"/>
          <w:noProof/>
          <w:szCs w:val="24"/>
        </w:rPr>
        <w:t>, vol. 65, pp. 55–66, 1995.</w:t>
      </w:r>
    </w:p>
    <w:p w14:paraId="2D692E3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[381]</w:t>
      </w:r>
      <w:r w:rsidRPr="00EC62EF">
        <w:rPr>
          <w:rFonts w:ascii="Calibri" w:hAnsi="Calibri" w:cs="Calibri"/>
          <w:noProof/>
          <w:szCs w:val="24"/>
        </w:rPr>
        <w:tab/>
        <w:t xml:space="preserve">A. R. West, “Electrochemistry: Generation, Storage and Utilisation of Energy in Fuel Cells and Batteries,” </w:t>
      </w:r>
      <w:r w:rsidRPr="00EC62EF">
        <w:rPr>
          <w:rFonts w:ascii="Calibri" w:hAnsi="Calibri" w:cs="Calibri"/>
          <w:i/>
          <w:iCs/>
          <w:noProof/>
          <w:szCs w:val="24"/>
        </w:rPr>
        <w:t>MAT2920: Materials and Energy</w:t>
      </w:r>
      <w:r w:rsidRPr="00EC62EF">
        <w:rPr>
          <w:rFonts w:ascii="Calibri" w:hAnsi="Calibri" w:cs="Calibri"/>
          <w:noProof/>
          <w:szCs w:val="24"/>
        </w:rPr>
        <w:t>, no. 1. University of Sheffield, Department of Materials Science and Engineering, 2014.</w:t>
      </w:r>
    </w:p>
    <w:p w14:paraId="371EE46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[382]</w:t>
      </w:r>
      <w:r w:rsidRPr="00EC62EF">
        <w:rPr>
          <w:rFonts w:ascii="Calibri" w:hAnsi="Calibri" w:cs="Calibri"/>
          <w:noProof/>
          <w:szCs w:val="24"/>
        </w:rPr>
        <w:tab/>
        <w:t xml:space="preserve">T. Maridurai, D. Balaji, and S. Sagadevan, “Synthesis and characterization of yttrium stabilized zirconia nanoparticles,” </w:t>
      </w:r>
      <w:r w:rsidRPr="00EC62EF">
        <w:rPr>
          <w:rFonts w:ascii="Calibri" w:hAnsi="Calibri" w:cs="Calibri"/>
          <w:i/>
          <w:iCs/>
          <w:noProof/>
          <w:szCs w:val="24"/>
        </w:rPr>
        <w:t>Mater. Res.</w:t>
      </w:r>
      <w:r w:rsidRPr="00EC62EF">
        <w:rPr>
          <w:rFonts w:ascii="Calibri" w:hAnsi="Calibri" w:cs="Calibri"/>
          <w:noProof/>
          <w:szCs w:val="24"/>
        </w:rPr>
        <w:t>, vol. 19, no. 4, pp. 812–816, 2016.</w:t>
      </w:r>
    </w:p>
    <w:p w14:paraId="372BFC0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[383]</w:t>
      </w:r>
      <w:r w:rsidRPr="00EC62EF">
        <w:rPr>
          <w:rFonts w:ascii="Calibri" w:hAnsi="Calibri" w:cs="Calibri"/>
          <w:noProof/>
          <w:szCs w:val="24"/>
        </w:rPr>
        <w:tab/>
        <w:t>“2102245.”</w:t>
      </w:r>
    </w:p>
    <w:p w14:paraId="2D70B1D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[384]</w:t>
      </w:r>
      <w:r w:rsidRPr="00EC62EF">
        <w:rPr>
          <w:rFonts w:ascii="Calibri" w:hAnsi="Calibri" w:cs="Calibri"/>
          <w:noProof/>
          <w:szCs w:val="24"/>
        </w:rPr>
        <w:tab/>
        <w:t xml:space="preserve">C. Artini, M. Pani, A. Lausi, R. Masini, and G. A. Costa, “High Temperature Structural Study of Gd-Doped Ceria by Synchrotron X-ray Diffraction (673 K ≤ T ≤ 1073 K),” </w:t>
      </w:r>
      <w:r w:rsidRPr="00EC62EF">
        <w:rPr>
          <w:rFonts w:ascii="Calibri" w:hAnsi="Calibri" w:cs="Calibri"/>
          <w:i/>
          <w:iCs/>
          <w:noProof/>
          <w:szCs w:val="24"/>
        </w:rPr>
        <w:t>Inorg. Chem.</w:t>
      </w:r>
      <w:r w:rsidRPr="00EC62EF">
        <w:rPr>
          <w:rFonts w:ascii="Calibri" w:hAnsi="Calibri" w:cs="Calibri"/>
          <w:noProof/>
          <w:szCs w:val="24"/>
        </w:rPr>
        <w:t>, vol. 53, no. 19, pp. 10140–10149, Oct. 2014.</w:t>
      </w:r>
    </w:p>
    <w:p w14:paraId="57639DB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[385]</w:t>
      </w:r>
      <w:r w:rsidRPr="00EC62EF">
        <w:rPr>
          <w:rFonts w:ascii="Calibri" w:hAnsi="Calibri" w:cs="Calibri"/>
          <w:noProof/>
          <w:szCs w:val="24"/>
        </w:rPr>
        <w:tab/>
        <w:t xml:space="preserve">B. Janković, S. Mentus, and D. Jelić, “A kinetic study of non-isothermal decomposition process of anhydrous nickel nitrate under air atmosphere,” </w:t>
      </w:r>
      <w:r w:rsidRPr="00EC62EF">
        <w:rPr>
          <w:rFonts w:ascii="Calibri" w:hAnsi="Calibri" w:cs="Calibri"/>
          <w:i/>
          <w:iCs/>
          <w:noProof/>
          <w:szCs w:val="24"/>
        </w:rPr>
        <w:t>Phys. B Condens. Matter</w:t>
      </w:r>
      <w:r w:rsidRPr="00EC62EF">
        <w:rPr>
          <w:rFonts w:ascii="Calibri" w:hAnsi="Calibri" w:cs="Calibri"/>
          <w:noProof/>
          <w:szCs w:val="24"/>
        </w:rPr>
        <w:t>, vol. 404, no. 16, pp. 2263–2269, 2009.</w:t>
      </w:r>
    </w:p>
    <w:p w14:paraId="23A70F3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[386]</w:t>
      </w:r>
      <w:r w:rsidRPr="00EC62EF">
        <w:rPr>
          <w:rFonts w:ascii="Calibri" w:hAnsi="Calibri" w:cs="Calibri"/>
          <w:noProof/>
          <w:szCs w:val="24"/>
        </w:rPr>
        <w:tab/>
        <w:t>J. G. Jackson, R. W. Fonseca, and J. A. Holcombe, “No +,” vol. 50, pp. 1449–1457, 1995.</w:t>
      </w:r>
    </w:p>
    <w:p w14:paraId="5AFF634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[387]</w:t>
      </w:r>
      <w:r w:rsidRPr="00EC62EF">
        <w:rPr>
          <w:rFonts w:ascii="Calibri" w:hAnsi="Calibri" w:cs="Calibri"/>
          <w:noProof/>
          <w:szCs w:val="24"/>
        </w:rPr>
        <w:tab/>
        <w:t xml:space="preserve">F. Rahmawati, I. Permadani, D. Syarif, and S. Soepriyanto, “Electrical Properties of Various Composition of Yttrium Doped-Zirconia Prepared from Local Zircon Sand,” </w:t>
      </w:r>
      <w:r w:rsidRPr="00EC62EF">
        <w:rPr>
          <w:rFonts w:ascii="Calibri" w:hAnsi="Calibri" w:cs="Calibri"/>
          <w:i/>
          <w:iCs/>
          <w:noProof/>
          <w:szCs w:val="24"/>
        </w:rPr>
        <w:t>Int. J. Technol.</w:t>
      </w:r>
      <w:r w:rsidRPr="00EC62EF">
        <w:rPr>
          <w:rFonts w:ascii="Calibri" w:hAnsi="Calibri" w:cs="Calibri"/>
          <w:noProof/>
          <w:szCs w:val="24"/>
        </w:rPr>
        <w:t>, vol. 8, p. 939, Oct. 2017.</w:t>
      </w:r>
    </w:p>
    <w:p w14:paraId="128FB04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[388]</w:t>
      </w:r>
      <w:r w:rsidRPr="00EC62EF">
        <w:rPr>
          <w:rFonts w:ascii="Calibri" w:hAnsi="Calibri" w:cs="Calibri"/>
          <w:noProof/>
          <w:szCs w:val="24"/>
        </w:rPr>
        <w:tab/>
        <w:t xml:space="preserve">T. Kaia, A. Zalga, A. Beganskienė, and A. Kareiva, “Thermoanalytical study of the YSZ precursors prepared by aqueous sol–gel synthesis route,” </w:t>
      </w:r>
      <w:r w:rsidRPr="00EC62EF">
        <w:rPr>
          <w:rFonts w:ascii="Calibri" w:hAnsi="Calibri" w:cs="Calibri"/>
          <w:i/>
          <w:iCs/>
          <w:noProof/>
          <w:szCs w:val="24"/>
        </w:rPr>
        <w:t>J. Therm. Anal. Calorim.</w:t>
      </w:r>
      <w:r w:rsidRPr="00EC62EF">
        <w:rPr>
          <w:rFonts w:ascii="Calibri" w:hAnsi="Calibri" w:cs="Calibri"/>
          <w:noProof/>
          <w:szCs w:val="24"/>
        </w:rPr>
        <w:t>, vol. 110, Oct. 2012.</w:t>
      </w:r>
    </w:p>
    <w:p w14:paraId="2D692F7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[389]</w:t>
      </w:r>
      <w:r w:rsidRPr="00EC62EF">
        <w:rPr>
          <w:rFonts w:ascii="Calibri" w:hAnsi="Calibri" w:cs="Calibri"/>
          <w:noProof/>
          <w:szCs w:val="24"/>
        </w:rPr>
        <w:tab/>
        <w:t xml:space="preserve">S. Vijayakumar, S. Nagamuthu, and G. Muralidharan, “Supercapacitor studies on NiO nanoflakes synthesized through a microwave route,” </w:t>
      </w:r>
      <w:r w:rsidRPr="00EC62EF">
        <w:rPr>
          <w:rFonts w:ascii="Calibri" w:hAnsi="Calibri" w:cs="Calibri"/>
          <w:i/>
          <w:iCs/>
          <w:noProof/>
          <w:szCs w:val="24"/>
        </w:rPr>
        <w:t>ACS Appl. Mater. Interfaces</w:t>
      </w:r>
      <w:r w:rsidRPr="00EC62EF">
        <w:rPr>
          <w:rFonts w:ascii="Calibri" w:hAnsi="Calibri" w:cs="Calibri"/>
          <w:noProof/>
          <w:szCs w:val="24"/>
        </w:rPr>
        <w:t>, vol. 5, no. 6, pp. 2188–2196, 2013.</w:t>
      </w:r>
    </w:p>
    <w:p w14:paraId="374F96A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[390]</w:t>
      </w:r>
      <w:r w:rsidRPr="00EC62EF">
        <w:rPr>
          <w:rFonts w:ascii="Calibri" w:hAnsi="Calibri" w:cs="Calibri"/>
          <w:noProof/>
          <w:szCs w:val="24"/>
        </w:rPr>
        <w:tab/>
        <w:t xml:space="preserve">D. Pozdnyakov, V. Filimonov, and K. Katal, “Infrared spectroscopic study of the chemisorption of nitric oxide and nitrogen dioxide on metal oxides,” </w:t>
      </w:r>
      <w:r w:rsidRPr="00EC62EF">
        <w:rPr>
          <w:rFonts w:ascii="Calibri" w:hAnsi="Calibri" w:cs="Calibri"/>
          <w:i/>
          <w:iCs/>
          <w:noProof/>
          <w:szCs w:val="24"/>
        </w:rPr>
        <w:t>Kinet. Katal</w:t>
      </w:r>
      <w:r w:rsidRPr="00EC62EF">
        <w:rPr>
          <w:rFonts w:ascii="Calibri" w:hAnsi="Calibri" w:cs="Calibri"/>
          <w:noProof/>
          <w:szCs w:val="24"/>
        </w:rPr>
        <w:t>, vol. 14, pp. 760–766, 1973.</w:t>
      </w:r>
    </w:p>
    <w:p w14:paraId="0352EF5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[391]</w:t>
      </w:r>
      <w:r w:rsidRPr="00EC62EF">
        <w:rPr>
          <w:rFonts w:ascii="Calibri" w:hAnsi="Calibri" w:cs="Calibri"/>
          <w:noProof/>
          <w:szCs w:val="24"/>
        </w:rPr>
        <w:tab/>
        <w:t xml:space="preserve">M. Y. Mihaylov </w:t>
      </w:r>
      <w:r w:rsidRPr="00EC62EF">
        <w:rPr>
          <w:rFonts w:ascii="Calibri" w:hAnsi="Calibri" w:cs="Calibri"/>
          <w:i/>
          <w:iCs/>
          <w:noProof/>
          <w:szCs w:val="24"/>
        </w:rPr>
        <w:t>et al.</w:t>
      </w:r>
      <w:r w:rsidRPr="00EC62EF">
        <w:rPr>
          <w:rFonts w:ascii="Calibri" w:hAnsi="Calibri" w:cs="Calibri"/>
          <w:noProof/>
          <w:szCs w:val="24"/>
        </w:rPr>
        <w:t xml:space="preserve">, “Infrared spectra of surface nitrates: Revision of the current opinions based on the case study of ceria,” </w:t>
      </w:r>
      <w:r w:rsidRPr="00EC62EF">
        <w:rPr>
          <w:rFonts w:ascii="Calibri" w:hAnsi="Calibri" w:cs="Calibri"/>
          <w:i/>
          <w:iCs/>
          <w:noProof/>
          <w:szCs w:val="24"/>
        </w:rPr>
        <w:t>J. Catal.</w:t>
      </w:r>
      <w:r w:rsidRPr="00EC62EF">
        <w:rPr>
          <w:rFonts w:ascii="Calibri" w:hAnsi="Calibri" w:cs="Calibri"/>
          <w:noProof/>
          <w:szCs w:val="24"/>
        </w:rPr>
        <w:t>, no. xxxx, pp. 1–14, 2020.</w:t>
      </w:r>
    </w:p>
    <w:p w14:paraId="1FB3B2D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[392]</w:t>
      </w:r>
      <w:r w:rsidRPr="00EC62EF">
        <w:rPr>
          <w:rFonts w:ascii="Calibri" w:hAnsi="Calibri" w:cs="Calibri"/>
          <w:noProof/>
          <w:szCs w:val="24"/>
        </w:rPr>
        <w:tab/>
        <w:t xml:space="preserve">V. A. Suárez-Toriello, C. E. Santolalla-Vargas, J. A. De Los Reyes, A. Vázquez-Zavala, M. Vrinat, and C. Geantet, “Influence of the solution pH in impregnation with citric acid and activity of Ni/W/Al&lt;inf&gt;2&lt;/inf&gt;O&lt;inf&gt;3&lt;/inf&gt; catalysts,” </w:t>
      </w:r>
      <w:r w:rsidRPr="00EC62EF">
        <w:rPr>
          <w:rFonts w:ascii="Calibri" w:hAnsi="Calibri" w:cs="Calibri"/>
          <w:i/>
          <w:iCs/>
          <w:noProof/>
          <w:szCs w:val="24"/>
        </w:rPr>
        <w:t>J. Mol. Catal. A Chem.</w:t>
      </w:r>
      <w:r w:rsidRPr="00EC62EF">
        <w:rPr>
          <w:rFonts w:ascii="Calibri" w:hAnsi="Calibri" w:cs="Calibri"/>
          <w:noProof/>
          <w:szCs w:val="24"/>
        </w:rPr>
        <w:t>, vol. 404–405, no. April, pp. 36–46, 2015.</w:t>
      </w:r>
    </w:p>
    <w:p w14:paraId="4BDFE53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[393]</w:t>
      </w:r>
      <w:r w:rsidRPr="00EC62EF">
        <w:rPr>
          <w:rFonts w:ascii="Calibri" w:hAnsi="Calibri" w:cs="Calibri"/>
          <w:noProof/>
          <w:szCs w:val="24"/>
        </w:rPr>
        <w:tab/>
        <w:t>S. Curtin  Gangi, J., “Fuel Cell Technologies Market Report 2016.” Fuel Cell and Hydrogen Energy Association, Office of Energy Efficiency &amp; Renewable Energy, 2016.</w:t>
      </w:r>
    </w:p>
    <w:p w14:paraId="6768CE3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lastRenderedPageBreak/>
        <w:t>[394]</w:t>
      </w:r>
      <w:r w:rsidRPr="00EC62EF">
        <w:rPr>
          <w:rFonts w:ascii="Calibri" w:hAnsi="Calibri" w:cs="Calibri"/>
          <w:noProof/>
          <w:szCs w:val="24"/>
        </w:rPr>
        <w:tab/>
        <w:t xml:space="preserve">S. Primdahl and M. Mogensen, “Durability and thermal cycling of Ni/YSZ cermet anodes for solid oxide fuel cells,” </w:t>
      </w:r>
      <w:r w:rsidRPr="00EC62EF">
        <w:rPr>
          <w:rFonts w:ascii="Calibri" w:hAnsi="Calibri" w:cs="Calibri"/>
          <w:i/>
          <w:iCs/>
          <w:noProof/>
          <w:szCs w:val="24"/>
        </w:rPr>
        <w:t>J. Appl. Electrochem.</w:t>
      </w:r>
      <w:r w:rsidRPr="00EC62EF">
        <w:rPr>
          <w:rFonts w:ascii="Calibri" w:hAnsi="Calibri" w:cs="Calibri"/>
          <w:noProof/>
          <w:szCs w:val="24"/>
        </w:rPr>
        <w:t>, vol. 30, no. 2, pp. 247–257, 2000.</w:t>
      </w:r>
    </w:p>
    <w:p w14:paraId="3ABCC58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[395]</w:t>
      </w:r>
      <w:r w:rsidRPr="00EC62EF">
        <w:rPr>
          <w:rFonts w:ascii="Calibri" w:hAnsi="Calibri" w:cs="Calibri"/>
          <w:noProof/>
          <w:szCs w:val="24"/>
        </w:rPr>
        <w:tab/>
        <w:t xml:space="preserve">B. Mo, J. Rix, U. Pal, S. Basu, and S. Gopalan, “Characterizing Performance of Electrocatalyst Nanoparticles Infiltrated into Ni-YSZ Cermet Anodes for Solid Oxide Fuel Cells,” </w:t>
      </w:r>
      <w:r w:rsidRPr="00EC62EF">
        <w:rPr>
          <w:rFonts w:ascii="Calibri" w:hAnsi="Calibri" w:cs="Calibri"/>
          <w:i/>
          <w:iCs/>
          <w:noProof/>
          <w:szCs w:val="24"/>
        </w:rPr>
        <w:t>J. Electrochem. Soc.</w:t>
      </w:r>
      <w:r w:rsidRPr="00EC62EF">
        <w:rPr>
          <w:rFonts w:ascii="Calibri" w:hAnsi="Calibri" w:cs="Calibri"/>
          <w:noProof/>
          <w:szCs w:val="24"/>
        </w:rPr>
        <w:t>, vol. 167, no. 5, p. 054515, 2020.</w:t>
      </w:r>
    </w:p>
    <w:p w14:paraId="76F30EA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[396]</w:t>
      </w:r>
      <w:r w:rsidRPr="00EC62EF">
        <w:rPr>
          <w:rFonts w:ascii="Calibri" w:hAnsi="Calibri" w:cs="Calibri"/>
          <w:noProof/>
          <w:szCs w:val="24"/>
        </w:rPr>
        <w:tab/>
        <w:t xml:space="preserve">J. Sá, Y. Kayser, C. J. Milne, D. L. Abreu Fernandes, and J. Szlachetko, “Temperature-programmed reduction of NiO nanoparticles followed by time-resolved RIXS,” </w:t>
      </w:r>
      <w:r w:rsidRPr="00EC62EF">
        <w:rPr>
          <w:rFonts w:ascii="Calibri" w:hAnsi="Calibri" w:cs="Calibri"/>
          <w:i/>
          <w:iCs/>
          <w:noProof/>
          <w:szCs w:val="24"/>
        </w:rPr>
        <w:t>Phys. Chem. Chem. Phys.</w:t>
      </w:r>
      <w:r w:rsidRPr="00EC62EF">
        <w:rPr>
          <w:rFonts w:ascii="Calibri" w:hAnsi="Calibri" w:cs="Calibri"/>
          <w:noProof/>
          <w:szCs w:val="24"/>
        </w:rPr>
        <w:t>, vol. 16, no. 17, pp. 7692–7696, 2014.</w:t>
      </w:r>
    </w:p>
    <w:p w14:paraId="65852BF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[397]</w:t>
      </w:r>
      <w:r w:rsidRPr="00EC62EF">
        <w:rPr>
          <w:rFonts w:ascii="Calibri" w:hAnsi="Calibri" w:cs="Calibri"/>
          <w:noProof/>
          <w:szCs w:val="24"/>
        </w:rPr>
        <w:tab/>
        <w:t xml:space="preserve">M. Che, Z. X. Cheng, and C. Louis, “Nucleation and Particle Growth Processes Involved in the Preparation of Silica-Supported Nickel Materials by a Two-Step Procedure,” </w:t>
      </w:r>
      <w:r w:rsidRPr="00EC62EF">
        <w:rPr>
          <w:rFonts w:ascii="Calibri" w:hAnsi="Calibri" w:cs="Calibri"/>
          <w:i/>
          <w:iCs/>
          <w:noProof/>
          <w:szCs w:val="24"/>
        </w:rPr>
        <w:t>J. Am. Chem. Soc.</w:t>
      </w:r>
      <w:r w:rsidRPr="00EC62EF">
        <w:rPr>
          <w:rFonts w:ascii="Calibri" w:hAnsi="Calibri" w:cs="Calibri"/>
          <w:noProof/>
          <w:szCs w:val="24"/>
        </w:rPr>
        <w:t>, vol. 117, no. 7, pp. 2008–2018, 1995.</w:t>
      </w:r>
    </w:p>
    <w:p w14:paraId="40F4E87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[398]</w:t>
      </w:r>
      <w:r w:rsidRPr="00EC62EF">
        <w:rPr>
          <w:rFonts w:ascii="Calibri" w:hAnsi="Calibri" w:cs="Calibri"/>
          <w:noProof/>
          <w:szCs w:val="24"/>
        </w:rPr>
        <w:tab/>
        <w:t xml:space="preserve">T. L. Lai, C. C. Lee, K. S. Wu, Y. Y. Shu, and C. Bin Wang, “Microwave-enhanced catalytic degradation of phenol over nickel oxide,” </w:t>
      </w:r>
      <w:r w:rsidRPr="00EC62EF">
        <w:rPr>
          <w:rFonts w:ascii="Calibri" w:hAnsi="Calibri" w:cs="Calibri"/>
          <w:i/>
          <w:iCs/>
          <w:noProof/>
          <w:szCs w:val="24"/>
        </w:rPr>
        <w:t>Appl. Catal. B Environ.</w:t>
      </w:r>
      <w:r w:rsidRPr="00EC62EF">
        <w:rPr>
          <w:rFonts w:ascii="Calibri" w:hAnsi="Calibri" w:cs="Calibri"/>
          <w:noProof/>
          <w:szCs w:val="24"/>
        </w:rPr>
        <w:t>, vol. 68, no. 3–4, pp. 147–153, 2006.</w:t>
      </w:r>
    </w:p>
    <w:p w14:paraId="0E87047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[399]</w:t>
      </w:r>
      <w:r w:rsidRPr="00EC62EF">
        <w:rPr>
          <w:rFonts w:ascii="Calibri" w:hAnsi="Calibri" w:cs="Calibri"/>
          <w:noProof/>
          <w:szCs w:val="24"/>
        </w:rPr>
        <w:tab/>
        <w:t xml:space="preserve">S. Primdahl and M. Mogensen, “Durability and thermal cycling of Ni/YSZ cermet anodes for solid oxide fuel cells,” </w:t>
      </w:r>
      <w:r w:rsidRPr="00EC62EF">
        <w:rPr>
          <w:rFonts w:ascii="Calibri" w:hAnsi="Calibri" w:cs="Calibri"/>
          <w:i/>
          <w:iCs/>
          <w:noProof/>
          <w:szCs w:val="24"/>
        </w:rPr>
        <w:t>J. Appl. Electrochem.</w:t>
      </w:r>
      <w:r w:rsidRPr="00EC62EF">
        <w:rPr>
          <w:rFonts w:ascii="Calibri" w:hAnsi="Calibri" w:cs="Calibri"/>
          <w:noProof/>
          <w:szCs w:val="24"/>
        </w:rPr>
        <w:t>, vol. 30, no. 2, pp. 247–257, 2000.</w:t>
      </w:r>
    </w:p>
    <w:p w14:paraId="6CC3C80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[400]</w:t>
      </w:r>
      <w:r w:rsidRPr="00EC62EF">
        <w:rPr>
          <w:rFonts w:ascii="Calibri" w:hAnsi="Calibri" w:cs="Calibri"/>
          <w:noProof/>
          <w:szCs w:val="24"/>
        </w:rPr>
        <w:tab/>
        <w:t xml:space="preserve">M. V. Rao, J. Fleig, M. Zinkevich, and F. Aldinger, “The influence of the solid electrolyte on the impedance of hydrogen oxidation at patterned Ni electrodes,” </w:t>
      </w:r>
      <w:r w:rsidRPr="00EC62EF">
        <w:rPr>
          <w:rFonts w:ascii="Calibri" w:hAnsi="Calibri" w:cs="Calibri"/>
          <w:i/>
          <w:iCs/>
          <w:noProof/>
          <w:szCs w:val="24"/>
        </w:rPr>
        <w:t>Solid State Ionics</w:t>
      </w:r>
      <w:r w:rsidRPr="00EC62EF">
        <w:rPr>
          <w:rFonts w:ascii="Calibri" w:hAnsi="Calibri" w:cs="Calibri"/>
          <w:noProof/>
          <w:szCs w:val="24"/>
        </w:rPr>
        <w:t>, vol. 181, no. 25–26, pp. 1170–1177, 2010.</w:t>
      </w:r>
    </w:p>
    <w:p w14:paraId="2DDEDE7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[401]</w:t>
      </w:r>
      <w:r w:rsidRPr="00EC62EF">
        <w:rPr>
          <w:rFonts w:ascii="Calibri" w:hAnsi="Calibri" w:cs="Calibri"/>
          <w:noProof/>
          <w:szCs w:val="24"/>
        </w:rPr>
        <w:tab/>
        <w:t xml:space="preserve">S. Skinner, </w:t>
      </w:r>
      <w:r w:rsidRPr="00EC62EF">
        <w:rPr>
          <w:rFonts w:ascii="Calibri" w:hAnsi="Calibri" w:cs="Calibri"/>
          <w:i/>
          <w:iCs/>
          <w:noProof/>
          <w:szCs w:val="24"/>
        </w:rPr>
        <w:t>Energy Storage and Conversion Materials</w:t>
      </w:r>
      <w:r w:rsidRPr="00EC62EF">
        <w:rPr>
          <w:rFonts w:ascii="Calibri" w:hAnsi="Calibri" w:cs="Calibri"/>
          <w:noProof/>
          <w:szCs w:val="24"/>
        </w:rPr>
        <w:t>, Illustrate. Royal Society of Chemistry, 2019.</w:t>
      </w:r>
    </w:p>
    <w:p w14:paraId="5A08333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[402]</w:t>
      </w:r>
      <w:r w:rsidRPr="00EC62EF">
        <w:rPr>
          <w:rFonts w:ascii="Calibri" w:hAnsi="Calibri" w:cs="Calibri"/>
          <w:noProof/>
          <w:szCs w:val="24"/>
        </w:rPr>
        <w:tab/>
        <w:t xml:space="preserve">T. W. Hansen, A. T. Delariva, S. R. Challa, and A. K. Datye, “Sintering of catalytic nanoparticles: Particle migration or ostwald ripening?,” </w:t>
      </w:r>
      <w:r w:rsidRPr="00EC62EF">
        <w:rPr>
          <w:rFonts w:ascii="Calibri" w:hAnsi="Calibri" w:cs="Calibri"/>
          <w:i/>
          <w:iCs/>
          <w:noProof/>
          <w:szCs w:val="24"/>
        </w:rPr>
        <w:t>Acc. Chem. Res.</w:t>
      </w:r>
      <w:r w:rsidRPr="00EC62EF">
        <w:rPr>
          <w:rFonts w:ascii="Calibri" w:hAnsi="Calibri" w:cs="Calibri"/>
          <w:noProof/>
          <w:szCs w:val="24"/>
        </w:rPr>
        <w:t>, vol. 46, no. 8, pp. 1720–1730, 2013.</w:t>
      </w:r>
    </w:p>
    <w:p w14:paraId="07A2D97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[403]</w:t>
      </w:r>
      <w:r w:rsidRPr="00EC62EF">
        <w:rPr>
          <w:rFonts w:ascii="Calibri" w:hAnsi="Calibri" w:cs="Calibri"/>
          <w:noProof/>
          <w:szCs w:val="24"/>
        </w:rPr>
        <w:tab/>
        <w:t xml:space="preserve">Y. K. C.-W. D. Kennouche  J.S. Cronin, J. Wang, S.A. Barnett, “Three-Dimensional Microstructural Evolution of NiYttria-Stabilized Zirconia Solid Oxide Fuel Cell Anodes,” </w:t>
      </w:r>
      <w:r w:rsidRPr="00EC62EF">
        <w:rPr>
          <w:rFonts w:ascii="Calibri" w:hAnsi="Calibri" w:cs="Calibri"/>
          <w:i/>
          <w:iCs/>
          <w:noProof/>
          <w:szCs w:val="24"/>
        </w:rPr>
        <w:t>J. Electrochem. Soc.</w:t>
      </w:r>
      <w:r w:rsidRPr="00EC62EF">
        <w:rPr>
          <w:rFonts w:ascii="Calibri" w:hAnsi="Calibri" w:cs="Calibri"/>
          <w:noProof/>
          <w:szCs w:val="24"/>
        </w:rPr>
        <w:t>, vol. 160, no. 11, pp. F1294–F1304, 2013.</w:t>
      </w:r>
    </w:p>
    <w:p w14:paraId="0D7CB0E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[404]</w:t>
      </w:r>
      <w:r w:rsidRPr="00EC62EF">
        <w:rPr>
          <w:rFonts w:ascii="Calibri" w:hAnsi="Calibri" w:cs="Calibri"/>
          <w:noProof/>
          <w:szCs w:val="24"/>
        </w:rPr>
        <w:tab/>
        <w:t>U. S. A. Hope College, “Error Propagation,” 2000. [Online]. Available: http://www.chem.hope.edu/~polik/Chem345-2000/errorpropagation.htm.</w:t>
      </w:r>
    </w:p>
    <w:p w14:paraId="039C24A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[405]</w:t>
      </w:r>
      <w:r w:rsidRPr="00EC62EF">
        <w:rPr>
          <w:rFonts w:ascii="Calibri" w:hAnsi="Calibri" w:cs="Calibri"/>
          <w:noProof/>
          <w:szCs w:val="24"/>
        </w:rPr>
        <w:tab/>
        <w:t>S. Primdahl, “Nickel/yttria-stabilised zirconia cermet anodes for solid oxide fuel cells,” University of Twente, 1999.</w:t>
      </w:r>
    </w:p>
    <w:p w14:paraId="1836E91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[406]</w:t>
      </w:r>
      <w:r w:rsidRPr="00EC62EF">
        <w:rPr>
          <w:rFonts w:ascii="Calibri" w:hAnsi="Calibri" w:cs="Calibri"/>
          <w:noProof/>
          <w:szCs w:val="24"/>
        </w:rPr>
        <w:tab/>
        <w:t xml:space="preserve">S. Gewies and W. G. Bessler, “Physically Based Impedance Modeling of Ni/YSZ Cermet Anodes,” </w:t>
      </w:r>
      <w:r w:rsidRPr="00EC62EF">
        <w:rPr>
          <w:rFonts w:ascii="Calibri" w:hAnsi="Calibri" w:cs="Calibri"/>
          <w:i/>
          <w:iCs/>
          <w:noProof/>
          <w:szCs w:val="24"/>
        </w:rPr>
        <w:t>J. Electrochem. Soc.</w:t>
      </w:r>
      <w:r w:rsidRPr="00EC62EF">
        <w:rPr>
          <w:rFonts w:ascii="Calibri" w:hAnsi="Calibri" w:cs="Calibri"/>
          <w:noProof/>
          <w:szCs w:val="24"/>
        </w:rPr>
        <w:t>, vol. 155, no. 9, p. B937, 2008.</w:t>
      </w:r>
    </w:p>
    <w:p w14:paraId="0D9A048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[407]</w:t>
      </w:r>
      <w:r w:rsidRPr="00EC62EF">
        <w:rPr>
          <w:rFonts w:ascii="Calibri" w:hAnsi="Calibri" w:cs="Calibri"/>
          <w:noProof/>
          <w:szCs w:val="24"/>
        </w:rPr>
        <w:tab/>
        <w:t>S. Gewies, “Modellgestutzte Interpretation der ¨ elektrochemischen Charakteristik von Festoxid-Brennstoffzellen mit Ni/YSZ-Cermetanoden,” Heidelberg University, 2009.</w:t>
      </w:r>
    </w:p>
    <w:p w14:paraId="68ADA19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[408]</w:t>
      </w:r>
      <w:r w:rsidRPr="00EC62EF">
        <w:rPr>
          <w:rFonts w:ascii="Calibri" w:hAnsi="Calibri" w:cs="Calibri"/>
          <w:noProof/>
          <w:szCs w:val="24"/>
        </w:rPr>
        <w:tab/>
        <w:t xml:space="preserve">X. Liu, J. G. Khinast, and B. J. Glasser, “Drying of supported catalysts for low melting point precursors: Impact of metal loading and drying methods on the metal distribution,” </w:t>
      </w:r>
      <w:r w:rsidRPr="00EC62EF">
        <w:rPr>
          <w:rFonts w:ascii="Calibri" w:hAnsi="Calibri" w:cs="Calibri"/>
          <w:i/>
          <w:iCs/>
          <w:noProof/>
          <w:szCs w:val="24"/>
        </w:rPr>
        <w:t>Chem. Eng. Sci.</w:t>
      </w:r>
      <w:r w:rsidRPr="00EC62EF">
        <w:rPr>
          <w:rFonts w:ascii="Calibri" w:hAnsi="Calibri" w:cs="Calibri"/>
          <w:noProof/>
          <w:szCs w:val="24"/>
        </w:rPr>
        <w:t>, vol. 79, pp. 187–199, 2012.</w:t>
      </w:r>
    </w:p>
    <w:p w14:paraId="681BF35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[409]</w:t>
      </w:r>
      <w:r w:rsidRPr="00EC62EF">
        <w:rPr>
          <w:rFonts w:ascii="Calibri" w:hAnsi="Calibri" w:cs="Calibri"/>
          <w:noProof/>
          <w:szCs w:val="24"/>
        </w:rPr>
        <w:tab/>
        <w:t xml:space="preserve">H. Alhummiany, S. Jarvis, R. A. J. Woolley, A. Stannard, M. Blunt, and P. Moriarty, “Dewetting of Au nanoparticle assemblies,” </w:t>
      </w:r>
      <w:r w:rsidRPr="00EC62EF">
        <w:rPr>
          <w:rFonts w:ascii="Calibri" w:hAnsi="Calibri" w:cs="Calibri"/>
          <w:i/>
          <w:iCs/>
          <w:noProof/>
          <w:szCs w:val="24"/>
        </w:rPr>
        <w:t>J. Mater. Chem.</w:t>
      </w:r>
      <w:r w:rsidRPr="00EC62EF">
        <w:rPr>
          <w:rFonts w:ascii="Calibri" w:hAnsi="Calibri" w:cs="Calibri"/>
          <w:noProof/>
          <w:szCs w:val="24"/>
        </w:rPr>
        <w:t>, vol. 21, no. 42, pp. 16983–16989, 2011.</w:t>
      </w:r>
    </w:p>
    <w:p w14:paraId="13525AB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[410]</w:t>
      </w:r>
      <w:r w:rsidRPr="00EC62EF">
        <w:rPr>
          <w:rFonts w:ascii="Calibri" w:hAnsi="Calibri" w:cs="Calibri"/>
          <w:noProof/>
          <w:szCs w:val="24"/>
        </w:rPr>
        <w:tab/>
        <w:t xml:space="preserve">O. Kletenik-Edelman, C. G. Sztrum-Vartash, and E. Rabani, “Coarse-grained lattice models for drying-mediated self-assembly of nanoparticles,” </w:t>
      </w:r>
      <w:r w:rsidRPr="00EC62EF">
        <w:rPr>
          <w:rFonts w:ascii="Calibri" w:hAnsi="Calibri" w:cs="Calibri"/>
          <w:i/>
          <w:iCs/>
          <w:noProof/>
          <w:szCs w:val="24"/>
        </w:rPr>
        <w:t>J. Mater. Chem.</w:t>
      </w:r>
      <w:r w:rsidRPr="00EC62EF">
        <w:rPr>
          <w:rFonts w:ascii="Calibri" w:hAnsi="Calibri" w:cs="Calibri"/>
          <w:noProof/>
          <w:szCs w:val="24"/>
        </w:rPr>
        <w:t>, vol. 19, no. 19, pp. 2872–2876, 2009.</w:t>
      </w:r>
    </w:p>
    <w:p w14:paraId="59700F9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lastRenderedPageBreak/>
        <w:t>[411]</w:t>
      </w:r>
      <w:r w:rsidRPr="00EC62EF">
        <w:rPr>
          <w:rFonts w:ascii="Calibri" w:hAnsi="Calibri" w:cs="Calibri"/>
          <w:noProof/>
          <w:szCs w:val="24"/>
        </w:rPr>
        <w:tab/>
        <w:t xml:space="preserve">C. G. Sztrum, O. Hod, and E. Rabani, “Self-Assembly of Nanoparticles in Three-Dimensions:  Formation of Stalagmites,” </w:t>
      </w:r>
      <w:r w:rsidRPr="00EC62EF">
        <w:rPr>
          <w:rFonts w:ascii="Calibri" w:hAnsi="Calibri" w:cs="Calibri"/>
          <w:i/>
          <w:iCs/>
          <w:noProof/>
          <w:szCs w:val="24"/>
        </w:rPr>
        <w:t>J. Phys. Chem. B</w:t>
      </w:r>
      <w:r w:rsidRPr="00EC62EF">
        <w:rPr>
          <w:rFonts w:ascii="Calibri" w:hAnsi="Calibri" w:cs="Calibri"/>
          <w:noProof/>
          <w:szCs w:val="24"/>
        </w:rPr>
        <w:t>, vol. 109, no. 14, pp. 6741–6747, Apr. 2005.</w:t>
      </w:r>
    </w:p>
    <w:p w14:paraId="3B12717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[412]</w:t>
      </w:r>
      <w:r w:rsidRPr="00EC62EF">
        <w:rPr>
          <w:rFonts w:ascii="Calibri" w:hAnsi="Calibri" w:cs="Calibri"/>
          <w:noProof/>
          <w:szCs w:val="24"/>
        </w:rPr>
        <w:tab/>
        <w:t xml:space="preserve">J. Estellé, P. Salagre, Y. Cesteros, M. Serra, F. Medina, and J. E. Sueiras, “Comparative study of the morphology and surface properties of nickel oxide prepared from different precursors,” </w:t>
      </w:r>
      <w:r w:rsidRPr="00EC62EF">
        <w:rPr>
          <w:rFonts w:ascii="Calibri" w:hAnsi="Calibri" w:cs="Calibri"/>
          <w:i/>
          <w:iCs/>
          <w:noProof/>
          <w:szCs w:val="24"/>
        </w:rPr>
        <w:t>Solid State Ionics</w:t>
      </w:r>
      <w:r w:rsidRPr="00EC62EF">
        <w:rPr>
          <w:rFonts w:ascii="Calibri" w:hAnsi="Calibri" w:cs="Calibri"/>
          <w:noProof/>
          <w:szCs w:val="24"/>
        </w:rPr>
        <w:t>, vol. 156, no. 1–2, pp. 233–243, 2003.</w:t>
      </w:r>
    </w:p>
    <w:p w14:paraId="4D97ADC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[413]</w:t>
      </w:r>
      <w:r w:rsidRPr="00EC62EF">
        <w:rPr>
          <w:rFonts w:ascii="Calibri" w:hAnsi="Calibri" w:cs="Calibri"/>
          <w:noProof/>
          <w:szCs w:val="24"/>
        </w:rPr>
        <w:tab/>
        <w:t xml:space="preserve">A. Stannard, C. P. Martin, E. Pauliac-Vaujour, P. Moriarty, and U. Thiele, “Dual-scale pattern formation in nanoparticle assemblies,” </w:t>
      </w:r>
      <w:r w:rsidRPr="00EC62EF">
        <w:rPr>
          <w:rFonts w:ascii="Calibri" w:hAnsi="Calibri" w:cs="Calibri"/>
          <w:i/>
          <w:iCs/>
          <w:noProof/>
          <w:szCs w:val="24"/>
        </w:rPr>
        <w:t>J. Phys. Chem. C</w:t>
      </w:r>
      <w:r w:rsidRPr="00EC62EF">
        <w:rPr>
          <w:rFonts w:ascii="Calibri" w:hAnsi="Calibri" w:cs="Calibri"/>
          <w:noProof/>
          <w:szCs w:val="24"/>
        </w:rPr>
        <w:t>, vol. 112, no. 39, pp. 15195–15203, 2008.</w:t>
      </w:r>
    </w:p>
    <w:p w14:paraId="4EF1C8E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[414]</w:t>
      </w:r>
      <w:r w:rsidRPr="00EC62EF">
        <w:rPr>
          <w:rFonts w:ascii="Calibri" w:hAnsi="Calibri" w:cs="Calibri"/>
          <w:noProof/>
          <w:szCs w:val="24"/>
        </w:rPr>
        <w:tab/>
        <w:t xml:space="preserve">X. Liu, J. G. Khinast, and B. J. Glasser, “A parametric investigation of impregnation and drying of supported catalysts,” </w:t>
      </w:r>
      <w:r w:rsidRPr="00EC62EF">
        <w:rPr>
          <w:rFonts w:ascii="Calibri" w:hAnsi="Calibri" w:cs="Calibri"/>
          <w:i/>
          <w:iCs/>
          <w:noProof/>
          <w:szCs w:val="24"/>
        </w:rPr>
        <w:t>Chem. Eng. Sci.</w:t>
      </w:r>
      <w:r w:rsidRPr="00EC62EF">
        <w:rPr>
          <w:rFonts w:ascii="Calibri" w:hAnsi="Calibri" w:cs="Calibri"/>
          <w:noProof/>
          <w:szCs w:val="24"/>
        </w:rPr>
        <w:t>, vol. 63, no. 18, pp. 4517–4530, 2008.</w:t>
      </w:r>
    </w:p>
    <w:p w14:paraId="2CB57FE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[415]</w:t>
      </w:r>
      <w:r w:rsidRPr="00EC62EF">
        <w:rPr>
          <w:rFonts w:ascii="Calibri" w:hAnsi="Calibri" w:cs="Calibri"/>
          <w:noProof/>
          <w:szCs w:val="24"/>
        </w:rPr>
        <w:tab/>
        <w:t xml:space="preserve">S. Chansai, R. Burch, C. Hardacre, H. Oh, and W. S. Epling, “An investigation of the role of surface nitrate species in the oxidation of propene on a Pt-based diesel oxidation catalyst,” </w:t>
      </w:r>
      <w:r w:rsidRPr="00EC62EF">
        <w:rPr>
          <w:rFonts w:ascii="Calibri" w:hAnsi="Calibri" w:cs="Calibri"/>
          <w:i/>
          <w:iCs/>
          <w:noProof/>
          <w:szCs w:val="24"/>
        </w:rPr>
        <w:t>Catal. Sci. Technol.</w:t>
      </w:r>
      <w:r w:rsidRPr="00EC62EF">
        <w:rPr>
          <w:rFonts w:ascii="Calibri" w:hAnsi="Calibri" w:cs="Calibri"/>
          <w:noProof/>
          <w:szCs w:val="24"/>
        </w:rPr>
        <w:t>, vol. 3, no. 9, pp. 2349–2356, 2013.</w:t>
      </w:r>
    </w:p>
    <w:p w14:paraId="49F8213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[416]</w:t>
      </w:r>
      <w:r w:rsidRPr="00EC62EF">
        <w:rPr>
          <w:rFonts w:ascii="Calibri" w:hAnsi="Calibri" w:cs="Calibri"/>
          <w:noProof/>
          <w:szCs w:val="24"/>
        </w:rPr>
        <w:tab/>
        <w:t>P. A. Webb, “Introduction to Chemical Adsorption Analytical Techniques and their Applications to Catalysis,” MIC Technical Publications, 2003.</w:t>
      </w:r>
    </w:p>
    <w:p w14:paraId="4F1F67E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[417]</w:t>
      </w:r>
      <w:r w:rsidRPr="00EC62EF">
        <w:rPr>
          <w:rFonts w:ascii="Calibri" w:hAnsi="Calibri" w:cs="Calibri"/>
          <w:noProof/>
          <w:szCs w:val="24"/>
        </w:rPr>
        <w:tab/>
        <w:t xml:space="preserve">C. Amorim and M. A. Keane, “Catalytic hydrodechlorination of chloroaromatic gas streams promoted by Pd and Ni: The role of hydrogen spillover,” </w:t>
      </w:r>
      <w:r w:rsidRPr="00EC62EF">
        <w:rPr>
          <w:rFonts w:ascii="Calibri" w:hAnsi="Calibri" w:cs="Calibri"/>
          <w:i/>
          <w:iCs/>
          <w:noProof/>
          <w:szCs w:val="24"/>
        </w:rPr>
        <w:t>J. Hazard. Mater.</w:t>
      </w:r>
      <w:r w:rsidRPr="00EC62EF">
        <w:rPr>
          <w:rFonts w:ascii="Calibri" w:hAnsi="Calibri" w:cs="Calibri"/>
          <w:noProof/>
          <w:szCs w:val="24"/>
        </w:rPr>
        <w:t>, vol. 211–212, pp. 208–217, 2012.</w:t>
      </w:r>
    </w:p>
    <w:p w14:paraId="02E25E8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[418]</w:t>
      </w:r>
      <w:r w:rsidRPr="00EC62EF">
        <w:rPr>
          <w:rFonts w:ascii="Calibri" w:hAnsi="Calibri" w:cs="Calibri"/>
          <w:noProof/>
          <w:szCs w:val="24"/>
        </w:rPr>
        <w:tab/>
        <w:t xml:space="preserve">J. S. J. Hargreaves *, “Powder X-ray diffraction and heterogeneous catalysis,” </w:t>
      </w:r>
      <w:r w:rsidRPr="00EC62EF">
        <w:rPr>
          <w:rFonts w:ascii="Calibri" w:hAnsi="Calibri" w:cs="Calibri"/>
          <w:i/>
          <w:iCs/>
          <w:noProof/>
          <w:szCs w:val="24"/>
        </w:rPr>
        <w:t>Crystallogr. Rev.</w:t>
      </w:r>
      <w:r w:rsidRPr="00EC62EF">
        <w:rPr>
          <w:rFonts w:ascii="Calibri" w:hAnsi="Calibri" w:cs="Calibri"/>
          <w:noProof/>
          <w:szCs w:val="24"/>
        </w:rPr>
        <w:t>, vol. 11, no. 1, pp. 21–34, Jan. 2005.</w:t>
      </w:r>
    </w:p>
    <w:p w14:paraId="4151A88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[419]</w:t>
      </w:r>
      <w:r w:rsidRPr="00EC62EF">
        <w:rPr>
          <w:rFonts w:ascii="Calibri" w:hAnsi="Calibri" w:cs="Calibri"/>
          <w:noProof/>
          <w:szCs w:val="24"/>
        </w:rPr>
        <w:tab/>
        <w:t xml:space="preserve">J. S. J. Hargreaves, “Some considerations related to the use of the Scherrer equation in powder X-ray diffraction as applied to heterogeneous catalysts,” </w:t>
      </w:r>
      <w:r w:rsidRPr="00EC62EF">
        <w:rPr>
          <w:rFonts w:ascii="Calibri" w:hAnsi="Calibri" w:cs="Calibri"/>
          <w:i/>
          <w:iCs/>
          <w:noProof/>
          <w:szCs w:val="24"/>
        </w:rPr>
        <w:t>Catal. Struct. React.</w:t>
      </w:r>
      <w:r w:rsidRPr="00EC62EF">
        <w:rPr>
          <w:rFonts w:ascii="Calibri" w:hAnsi="Calibri" w:cs="Calibri"/>
          <w:noProof/>
          <w:szCs w:val="24"/>
        </w:rPr>
        <w:t>, vol. 2, no. 1–4, pp. 33–37, Oct. 2016.</w:t>
      </w:r>
    </w:p>
    <w:p w14:paraId="74BA249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[420]</w:t>
      </w:r>
      <w:r w:rsidRPr="00EC62EF">
        <w:rPr>
          <w:rFonts w:ascii="Calibri" w:hAnsi="Calibri" w:cs="Calibri"/>
          <w:noProof/>
          <w:szCs w:val="24"/>
        </w:rPr>
        <w:tab/>
        <w:t>F. Girgsdies, “Peak Profile Fitting in XRD,” Berlin.</w:t>
      </w:r>
    </w:p>
    <w:p w14:paraId="2419DF5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[421]</w:t>
      </w:r>
      <w:r w:rsidRPr="00EC62EF">
        <w:rPr>
          <w:rFonts w:ascii="Calibri" w:hAnsi="Calibri" w:cs="Calibri"/>
          <w:noProof/>
          <w:szCs w:val="24"/>
        </w:rPr>
        <w:tab/>
        <w:t xml:space="preserve">J. A. Newman, P. D. Schmitt, S. J. Toth, F. Deng, S. Zhang, and G. J. Simpson, “Parts per Million Powder X-ray Diffraction,” </w:t>
      </w:r>
      <w:r w:rsidRPr="00EC62EF">
        <w:rPr>
          <w:rFonts w:ascii="Calibri" w:hAnsi="Calibri" w:cs="Calibri"/>
          <w:i/>
          <w:iCs/>
          <w:noProof/>
          <w:szCs w:val="24"/>
        </w:rPr>
        <w:t>Anal. Chem.</w:t>
      </w:r>
      <w:r w:rsidRPr="00EC62EF">
        <w:rPr>
          <w:rFonts w:ascii="Calibri" w:hAnsi="Calibri" w:cs="Calibri"/>
          <w:noProof/>
          <w:szCs w:val="24"/>
        </w:rPr>
        <w:t>, vol. 87, no. 21, pp. 10950–10955, 2015.</w:t>
      </w:r>
    </w:p>
    <w:p w14:paraId="0F9AC30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[422]</w:t>
      </w:r>
      <w:r w:rsidRPr="00EC62EF">
        <w:rPr>
          <w:rFonts w:ascii="Calibri" w:hAnsi="Calibri" w:cs="Calibri"/>
          <w:noProof/>
          <w:szCs w:val="24"/>
        </w:rPr>
        <w:tab/>
        <w:t xml:space="preserve">T. Klemensø, K. Thydén, M. Chen, and H.-J. Wang, “Stability of Ni–yttria stabilized zirconia anodes based on Ni-impregnation,” </w:t>
      </w:r>
      <w:r w:rsidRPr="00EC62EF">
        <w:rPr>
          <w:rFonts w:ascii="Calibri" w:hAnsi="Calibri" w:cs="Calibri"/>
          <w:i/>
          <w:iCs/>
          <w:noProof/>
          <w:szCs w:val="24"/>
        </w:rPr>
        <w:t>J. Power Sources</w:t>
      </w:r>
      <w:r w:rsidRPr="00EC62EF">
        <w:rPr>
          <w:rFonts w:ascii="Calibri" w:hAnsi="Calibri" w:cs="Calibri"/>
          <w:noProof/>
          <w:szCs w:val="24"/>
        </w:rPr>
        <w:t>, vol. 195, no. 21, pp. 7295–7301, 2010.</w:t>
      </w:r>
    </w:p>
    <w:p w14:paraId="3F38F85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[423]</w:t>
      </w:r>
      <w:r w:rsidRPr="00EC62EF">
        <w:rPr>
          <w:rFonts w:ascii="Calibri" w:hAnsi="Calibri" w:cs="Calibri"/>
          <w:noProof/>
          <w:szCs w:val="24"/>
        </w:rPr>
        <w:tab/>
        <w:t xml:space="preserve">R. Kiebach </w:t>
      </w:r>
      <w:r w:rsidRPr="00EC62EF">
        <w:rPr>
          <w:rFonts w:ascii="Calibri" w:hAnsi="Calibri" w:cs="Calibri"/>
          <w:i/>
          <w:iCs/>
          <w:noProof/>
          <w:szCs w:val="24"/>
        </w:rPr>
        <w:t>et al.</w:t>
      </w:r>
      <w:r w:rsidRPr="00EC62EF">
        <w:rPr>
          <w:rFonts w:ascii="Calibri" w:hAnsi="Calibri" w:cs="Calibri"/>
          <w:noProof/>
          <w:szCs w:val="24"/>
        </w:rPr>
        <w:t xml:space="preserve">, “Infiltration of SOFC Stacks: Evaluation of the Electrochemical Performance Enhancement and the Underlying Changes in the Microstructure,” </w:t>
      </w:r>
      <w:r w:rsidRPr="00EC62EF">
        <w:rPr>
          <w:rFonts w:ascii="Calibri" w:hAnsi="Calibri" w:cs="Calibri"/>
          <w:i/>
          <w:iCs/>
          <w:noProof/>
          <w:szCs w:val="24"/>
        </w:rPr>
        <w:t>Fuel Cells</w:t>
      </w:r>
      <w:r w:rsidRPr="00EC62EF">
        <w:rPr>
          <w:rFonts w:ascii="Calibri" w:hAnsi="Calibri" w:cs="Calibri"/>
          <w:noProof/>
          <w:szCs w:val="24"/>
        </w:rPr>
        <w:t>, vol. 16, no. 1, pp. 80–88, 2016.</w:t>
      </w:r>
    </w:p>
    <w:p w14:paraId="079C647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[424]</w:t>
      </w:r>
      <w:r w:rsidRPr="00EC62EF">
        <w:rPr>
          <w:rFonts w:ascii="Calibri" w:hAnsi="Calibri" w:cs="Calibri"/>
          <w:noProof/>
          <w:szCs w:val="24"/>
        </w:rPr>
        <w:tab/>
        <w:t xml:space="preserve">A. Buyukaksoy and V. I. Birss, “Highly active nanoscale Ni - Yttria stabilized zirconia anodes for micro-solid oxide fuel cell applications,” </w:t>
      </w:r>
      <w:r w:rsidRPr="00EC62EF">
        <w:rPr>
          <w:rFonts w:ascii="Calibri" w:hAnsi="Calibri" w:cs="Calibri"/>
          <w:i/>
          <w:iCs/>
          <w:noProof/>
          <w:szCs w:val="24"/>
        </w:rPr>
        <w:t>J. Power Sources</w:t>
      </w:r>
      <w:r w:rsidRPr="00EC62EF">
        <w:rPr>
          <w:rFonts w:ascii="Calibri" w:hAnsi="Calibri" w:cs="Calibri"/>
          <w:noProof/>
          <w:szCs w:val="24"/>
        </w:rPr>
        <w:t>, vol. 307, pp. 449–453, 2016.</w:t>
      </w:r>
    </w:p>
    <w:p w14:paraId="15C820C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[425]</w:t>
      </w:r>
      <w:r w:rsidRPr="00EC62EF">
        <w:rPr>
          <w:rFonts w:ascii="Calibri" w:hAnsi="Calibri" w:cs="Calibri"/>
          <w:noProof/>
          <w:szCs w:val="24"/>
        </w:rPr>
        <w:tab/>
        <w:t>S. Gewies, “Modellgestutzte Interpretation der ¨ elektrochemischen Charakteristik von Festoxid-Brennstoffzellen mit Ni/YSZ-Cermetanoden,” Heidelberg University, 2009.</w:t>
      </w:r>
    </w:p>
    <w:p w14:paraId="399E0E1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[426]</w:t>
      </w:r>
      <w:r w:rsidRPr="00EC62EF">
        <w:rPr>
          <w:rFonts w:ascii="Calibri" w:hAnsi="Calibri" w:cs="Calibri"/>
          <w:noProof/>
          <w:szCs w:val="24"/>
        </w:rPr>
        <w:tab/>
        <w:t xml:space="preserve">S. H. Jensen, A. Hauch, P. V. Hendriksen, M. Mogensen, N. Bonanos, and T. Jacobsen, “A Method to Separate Process Contributions in Impedance Spectra by Variation of Test Conditions,” </w:t>
      </w:r>
      <w:r w:rsidRPr="00EC62EF">
        <w:rPr>
          <w:rFonts w:ascii="Calibri" w:hAnsi="Calibri" w:cs="Calibri"/>
          <w:i/>
          <w:iCs/>
          <w:noProof/>
          <w:szCs w:val="24"/>
        </w:rPr>
        <w:t>J. Electrochem. Soc.</w:t>
      </w:r>
      <w:r w:rsidRPr="00EC62EF">
        <w:rPr>
          <w:rFonts w:ascii="Calibri" w:hAnsi="Calibri" w:cs="Calibri"/>
          <w:noProof/>
          <w:szCs w:val="24"/>
        </w:rPr>
        <w:t>, vol. 154, no. 12, p. B1325, 2007.</w:t>
      </w:r>
    </w:p>
    <w:p w14:paraId="7F8F711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[427]</w:t>
      </w:r>
      <w:r w:rsidRPr="00EC62EF">
        <w:rPr>
          <w:rFonts w:ascii="Calibri" w:hAnsi="Calibri" w:cs="Calibri"/>
          <w:noProof/>
          <w:szCs w:val="24"/>
        </w:rPr>
        <w:tab/>
        <w:t xml:space="preserve">S. Liu, T. Ishimoto, D. S. Monder, and M. Koyama, “First-Principles Study of Oxygen Transfer and Hydrogen Oxidation Processes at the Ni-YSZ-Gas Triple Phase Boundaries in a Solid Oxide Fuel Cell Anode,” </w:t>
      </w:r>
      <w:r w:rsidRPr="00EC62EF">
        <w:rPr>
          <w:rFonts w:ascii="Calibri" w:hAnsi="Calibri" w:cs="Calibri"/>
          <w:i/>
          <w:iCs/>
          <w:noProof/>
          <w:szCs w:val="24"/>
        </w:rPr>
        <w:t>J. Phys. Chem. C</w:t>
      </w:r>
      <w:r w:rsidRPr="00EC62EF">
        <w:rPr>
          <w:rFonts w:ascii="Calibri" w:hAnsi="Calibri" w:cs="Calibri"/>
          <w:noProof/>
          <w:szCs w:val="24"/>
        </w:rPr>
        <w:t>, vol. 119, no. 49, pp. 27603–27608, 2015.</w:t>
      </w:r>
    </w:p>
    <w:p w14:paraId="3CF2F01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lastRenderedPageBreak/>
        <w:t>[428]</w:t>
      </w:r>
      <w:r w:rsidRPr="00EC62EF">
        <w:rPr>
          <w:rFonts w:ascii="Calibri" w:hAnsi="Calibri" w:cs="Calibri"/>
          <w:noProof/>
          <w:szCs w:val="24"/>
        </w:rPr>
        <w:tab/>
        <w:t xml:space="preserve">Y. K. Chen-Wiegart, S. A. Barnett, J. S. Cronin, J. Wang, and D. Kennouche, “Three-Dimensional Microstructural Evolution of Ni- Yttria-Stabilized Zirconia Solid Oxide Fuel Cell Anodes At Elevated Temperatures,” </w:t>
      </w:r>
      <w:r w:rsidRPr="00EC62EF">
        <w:rPr>
          <w:rFonts w:ascii="Calibri" w:hAnsi="Calibri" w:cs="Calibri"/>
          <w:i/>
          <w:iCs/>
          <w:noProof/>
          <w:szCs w:val="24"/>
        </w:rPr>
        <w:t>J. Electrochem. Soc.</w:t>
      </w:r>
      <w:r w:rsidRPr="00EC62EF">
        <w:rPr>
          <w:rFonts w:ascii="Calibri" w:hAnsi="Calibri" w:cs="Calibri"/>
          <w:noProof/>
          <w:szCs w:val="24"/>
        </w:rPr>
        <w:t>, vol. 160, no. 11, pp. F1293–F1304, 2013.</w:t>
      </w:r>
    </w:p>
    <w:p w14:paraId="4EF1E07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[429]</w:t>
      </w:r>
      <w:r w:rsidRPr="00EC62EF">
        <w:rPr>
          <w:rFonts w:ascii="Calibri" w:hAnsi="Calibri" w:cs="Calibri"/>
          <w:noProof/>
          <w:szCs w:val="24"/>
        </w:rPr>
        <w:tab/>
        <w:t xml:space="preserve">N. T. K. Thanh, N. Maclean, and S. Mahiddine, “Mechanisms of nucleation and growth of nanoparticles in solution,” </w:t>
      </w:r>
      <w:r w:rsidRPr="00EC62EF">
        <w:rPr>
          <w:rFonts w:ascii="Calibri" w:hAnsi="Calibri" w:cs="Calibri"/>
          <w:i/>
          <w:iCs/>
          <w:noProof/>
          <w:szCs w:val="24"/>
        </w:rPr>
        <w:t>Chem. Rev.</w:t>
      </w:r>
      <w:r w:rsidRPr="00EC62EF">
        <w:rPr>
          <w:rFonts w:ascii="Calibri" w:hAnsi="Calibri" w:cs="Calibri"/>
          <w:noProof/>
          <w:szCs w:val="24"/>
        </w:rPr>
        <w:t>, vol. 114, no. 15, pp. 7610–7630, 2014.</w:t>
      </w:r>
    </w:p>
    <w:p w14:paraId="303C6EC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[430]</w:t>
      </w:r>
      <w:r w:rsidRPr="00EC62EF">
        <w:rPr>
          <w:rFonts w:ascii="Calibri" w:hAnsi="Calibri" w:cs="Calibri"/>
          <w:noProof/>
          <w:szCs w:val="24"/>
        </w:rPr>
        <w:tab/>
        <w:t xml:space="preserve">B. Janković, S. Mentus, and D. Jelić, “A kinetic study of non-isothermal decomposition process of anhydrous nickel nitrate under air atmosphere,” </w:t>
      </w:r>
      <w:r w:rsidRPr="00EC62EF">
        <w:rPr>
          <w:rFonts w:ascii="Calibri" w:hAnsi="Calibri" w:cs="Calibri"/>
          <w:i/>
          <w:iCs/>
          <w:noProof/>
          <w:szCs w:val="24"/>
        </w:rPr>
        <w:t>Phys. B Condens. Matter</w:t>
      </w:r>
      <w:r w:rsidRPr="00EC62EF">
        <w:rPr>
          <w:rFonts w:ascii="Calibri" w:hAnsi="Calibri" w:cs="Calibri"/>
          <w:noProof/>
          <w:szCs w:val="24"/>
        </w:rPr>
        <w:t>, vol. 404, no. 16, pp. 2263–2269, 2009.</w:t>
      </w:r>
    </w:p>
    <w:p w14:paraId="19736BD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[431]</w:t>
      </w:r>
      <w:r w:rsidRPr="00EC62EF">
        <w:rPr>
          <w:rFonts w:ascii="Calibri" w:hAnsi="Calibri" w:cs="Calibri"/>
          <w:noProof/>
          <w:szCs w:val="24"/>
        </w:rPr>
        <w:tab/>
        <w:t xml:space="preserve">J. T. Richardson, M. Lei, B. Turk, K. Forster, and M. V. Twigg, “Reduction of model steam reforming catalysts: NiO/α-Al2O3,” </w:t>
      </w:r>
      <w:r w:rsidRPr="00EC62EF">
        <w:rPr>
          <w:rFonts w:ascii="Calibri" w:hAnsi="Calibri" w:cs="Calibri"/>
          <w:i/>
          <w:iCs/>
          <w:noProof/>
          <w:szCs w:val="24"/>
        </w:rPr>
        <w:t>Appl. Catal. A, Gen.</w:t>
      </w:r>
      <w:r w:rsidRPr="00EC62EF">
        <w:rPr>
          <w:rFonts w:ascii="Calibri" w:hAnsi="Calibri" w:cs="Calibri"/>
          <w:noProof/>
          <w:szCs w:val="24"/>
        </w:rPr>
        <w:t>, vol. 110, no. 2, pp. 217–237, 1994.</w:t>
      </w:r>
    </w:p>
    <w:p w14:paraId="7BFCE7E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[432]</w:t>
      </w:r>
      <w:r w:rsidRPr="00EC62EF">
        <w:rPr>
          <w:rFonts w:ascii="Calibri" w:hAnsi="Calibri" w:cs="Calibri"/>
          <w:noProof/>
          <w:szCs w:val="24"/>
        </w:rPr>
        <w:tab/>
        <w:t xml:space="preserve">S. He </w:t>
      </w:r>
      <w:r w:rsidRPr="00EC62EF">
        <w:rPr>
          <w:rFonts w:ascii="Calibri" w:hAnsi="Calibri" w:cs="Calibri"/>
          <w:i/>
          <w:iCs/>
          <w:noProof/>
          <w:szCs w:val="24"/>
        </w:rPr>
        <w:t>et al.</w:t>
      </w:r>
      <w:r w:rsidRPr="00EC62EF">
        <w:rPr>
          <w:rFonts w:ascii="Calibri" w:hAnsi="Calibri" w:cs="Calibri"/>
          <w:noProof/>
          <w:szCs w:val="24"/>
        </w:rPr>
        <w:t xml:space="preserve">, “Ni/SiO&lt;inf&gt;2&lt;/inf&gt; Catalyst Prepared with Nickel Nitrate Precursor for Combination of CO&lt;inf&gt;2&lt;/inf&gt; Reforming and Partial Oxidation of Methane: Characterization and Deactivation Mechanism Investigation,” </w:t>
      </w:r>
      <w:r w:rsidRPr="00EC62EF">
        <w:rPr>
          <w:rFonts w:ascii="Calibri" w:hAnsi="Calibri" w:cs="Calibri"/>
          <w:i/>
          <w:iCs/>
          <w:noProof/>
          <w:szCs w:val="24"/>
        </w:rPr>
        <w:t>J. Nanomater.</w:t>
      </w:r>
      <w:r w:rsidRPr="00EC62EF">
        <w:rPr>
          <w:rFonts w:ascii="Calibri" w:hAnsi="Calibri" w:cs="Calibri"/>
          <w:noProof/>
          <w:szCs w:val="24"/>
        </w:rPr>
        <w:t>, vol. 2015, 2015.</w:t>
      </w:r>
    </w:p>
    <w:p w14:paraId="3058753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[433]</w:t>
      </w:r>
      <w:r w:rsidRPr="00EC62EF">
        <w:rPr>
          <w:rFonts w:ascii="Calibri" w:hAnsi="Calibri" w:cs="Calibri"/>
          <w:noProof/>
          <w:szCs w:val="24"/>
        </w:rPr>
        <w:tab/>
        <w:t xml:space="preserve">K. C. R. De Silva, B. J. Kaseman, and D. J. Bayless, “Silver (Ag) as anode and cathode current collectors in high temperature planar solid oxide fuel cells,” </w:t>
      </w:r>
      <w:r w:rsidRPr="00EC62EF">
        <w:rPr>
          <w:rFonts w:ascii="Calibri" w:hAnsi="Calibri" w:cs="Calibri"/>
          <w:i/>
          <w:iCs/>
          <w:noProof/>
          <w:szCs w:val="24"/>
        </w:rPr>
        <w:t>Int. J. Hydrogen Energy</w:t>
      </w:r>
      <w:r w:rsidRPr="00EC62EF">
        <w:rPr>
          <w:rFonts w:ascii="Calibri" w:hAnsi="Calibri" w:cs="Calibri"/>
          <w:noProof/>
          <w:szCs w:val="24"/>
        </w:rPr>
        <w:t>, vol. 36, no. 1, pp. 779–786, 2011.</w:t>
      </w:r>
    </w:p>
    <w:p w14:paraId="4C96583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[434]</w:t>
      </w:r>
      <w:r w:rsidRPr="00EC62EF">
        <w:rPr>
          <w:rFonts w:ascii="Calibri" w:hAnsi="Calibri" w:cs="Calibri"/>
          <w:noProof/>
          <w:szCs w:val="24"/>
        </w:rPr>
        <w:tab/>
        <w:t xml:space="preserve">S. P. Simner, M. D. Anderson, L. R. Pederson, and J. W. Stevenson, “Performance Variability of La(Sr)FeO[sub 3] SOFC Cathode with Pt, Ag, and Au Current Collectors,” </w:t>
      </w:r>
      <w:r w:rsidRPr="00EC62EF">
        <w:rPr>
          <w:rFonts w:ascii="Calibri" w:hAnsi="Calibri" w:cs="Calibri"/>
          <w:i/>
          <w:iCs/>
          <w:noProof/>
          <w:szCs w:val="24"/>
        </w:rPr>
        <w:t>J. Electrochem. Soc.</w:t>
      </w:r>
      <w:r w:rsidRPr="00EC62EF">
        <w:rPr>
          <w:rFonts w:ascii="Calibri" w:hAnsi="Calibri" w:cs="Calibri"/>
          <w:noProof/>
          <w:szCs w:val="24"/>
        </w:rPr>
        <w:t>, vol. 152, no. 9, p. A1851, 2005.</w:t>
      </w:r>
    </w:p>
    <w:p w14:paraId="3EC1F7A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[435]</w:t>
      </w:r>
      <w:r w:rsidRPr="00EC62EF">
        <w:rPr>
          <w:rFonts w:ascii="Calibri" w:hAnsi="Calibri" w:cs="Calibri"/>
          <w:noProof/>
          <w:szCs w:val="24"/>
        </w:rPr>
        <w:tab/>
        <w:t xml:space="preserve">E. V. Tsipis and V. V. Kharton, “Electrode materials and reaction mechanisms in solid oxide fuel cells: A brief review. III. Recent trends and selected methodological aspects,” </w:t>
      </w:r>
      <w:r w:rsidRPr="00EC62EF">
        <w:rPr>
          <w:rFonts w:ascii="Calibri" w:hAnsi="Calibri" w:cs="Calibri"/>
          <w:i/>
          <w:iCs/>
          <w:noProof/>
          <w:szCs w:val="24"/>
        </w:rPr>
        <w:t>J. Solid State Electrochem.</w:t>
      </w:r>
      <w:r w:rsidRPr="00EC62EF">
        <w:rPr>
          <w:rFonts w:ascii="Calibri" w:hAnsi="Calibri" w:cs="Calibri"/>
          <w:noProof/>
          <w:szCs w:val="24"/>
        </w:rPr>
        <w:t>, vol. 15, no. 5, pp. 1007–1040, 2011.</w:t>
      </w:r>
    </w:p>
    <w:p w14:paraId="3247008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[436]</w:t>
      </w:r>
      <w:r w:rsidRPr="00EC62EF">
        <w:rPr>
          <w:rFonts w:ascii="Calibri" w:hAnsi="Calibri" w:cs="Calibri"/>
          <w:noProof/>
          <w:szCs w:val="24"/>
        </w:rPr>
        <w:tab/>
        <w:t xml:space="preserve">Y. D. Zhen, A. I. Y. Tok, S. P. Jiang, and F. Y. C. Boey, “Fabrication and performance of gadolinia-doped ceria-based intermediate-temperature solid oxide fuel cells,” </w:t>
      </w:r>
      <w:r w:rsidRPr="00EC62EF">
        <w:rPr>
          <w:rFonts w:ascii="Calibri" w:hAnsi="Calibri" w:cs="Calibri"/>
          <w:i/>
          <w:iCs/>
          <w:noProof/>
          <w:szCs w:val="24"/>
        </w:rPr>
        <w:t>J. Power Sources</w:t>
      </w:r>
      <w:r w:rsidRPr="00EC62EF">
        <w:rPr>
          <w:rFonts w:ascii="Calibri" w:hAnsi="Calibri" w:cs="Calibri"/>
          <w:noProof/>
          <w:szCs w:val="24"/>
        </w:rPr>
        <w:t>, vol. 178, no. 1, pp. 69–74, 2008.</w:t>
      </w:r>
    </w:p>
    <w:p w14:paraId="68EB6D9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[437]</w:t>
      </w:r>
      <w:r w:rsidRPr="00EC62EF">
        <w:rPr>
          <w:rFonts w:ascii="Calibri" w:hAnsi="Calibri" w:cs="Calibri"/>
          <w:noProof/>
          <w:szCs w:val="24"/>
        </w:rPr>
        <w:tab/>
        <w:t>I. M. Torres da Silva, J. Nielsen, J. Hjelm, and M. Mogensen, “Comparison of the Degradation of the Polarisation Resistance of Symmetrical LSM-YSZ cells, with Anode Supported Ni-YSZ/YSZ/LSM-YSZ SOFCs,” pp. 489–498, 2009.</w:t>
      </w:r>
    </w:p>
    <w:p w14:paraId="2AD7348F"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[438]</w:t>
      </w:r>
      <w:r w:rsidRPr="00EC62EF">
        <w:rPr>
          <w:rFonts w:ascii="Calibri" w:hAnsi="Calibri" w:cs="Calibri"/>
          <w:noProof/>
          <w:szCs w:val="24"/>
        </w:rPr>
        <w:tab/>
        <w:t xml:space="preserve">M. Guillodo, P. Vernoux, and J. Fouletier, “Electrochemical properties of Ni-YSZ cermet in solid oxide fuel cells. Effect of current collecting,” </w:t>
      </w:r>
      <w:r w:rsidRPr="00EC62EF">
        <w:rPr>
          <w:rFonts w:ascii="Calibri" w:hAnsi="Calibri" w:cs="Calibri"/>
          <w:i/>
          <w:iCs/>
          <w:noProof/>
          <w:szCs w:val="24"/>
        </w:rPr>
        <w:t>Solid State Ionics</w:t>
      </w:r>
      <w:r w:rsidRPr="00EC62EF">
        <w:rPr>
          <w:rFonts w:ascii="Calibri" w:hAnsi="Calibri" w:cs="Calibri"/>
          <w:noProof/>
          <w:szCs w:val="24"/>
        </w:rPr>
        <w:t>, vol. 127, no. 1–2, pp. 99–107, 2000.</w:t>
      </w:r>
    </w:p>
    <w:p w14:paraId="1D08267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[439]</w:t>
      </w:r>
      <w:r w:rsidRPr="00EC62EF">
        <w:rPr>
          <w:rFonts w:ascii="Calibri" w:hAnsi="Calibri" w:cs="Calibri"/>
          <w:noProof/>
          <w:szCs w:val="24"/>
        </w:rPr>
        <w:tab/>
        <w:t xml:space="preserve">Z. Liu, D. Ding, B. Liu, W. Guo, W. Wang, and C. Xia, “Effect of impregnation phases on the performance of Ni-based anodes for low temperature solid oxide fuel cells,” </w:t>
      </w:r>
      <w:r w:rsidRPr="00EC62EF">
        <w:rPr>
          <w:rFonts w:ascii="Calibri" w:hAnsi="Calibri" w:cs="Calibri"/>
          <w:i/>
          <w:iCs/>
          <w:noProof/>
          <w:szCs w:val="24"/>
        </w:rPr>
        <w:t>J. Power Sources</w:t>
      </w:r>
      <w:r w:rsidRPr="00EC62EF">
        <w:rPr>
          <w:rFonts w:ascii="Calibri" w:hAnsi="Calibri" w:cs="Calibri"/>
          <w:noProof/>
          <w:szCs w:val="24"/>
        </w:rPr>
        <w:t>, vol. 196, no. 20, pp. 8561–8567, 2011.</w:t>
      </w:r>
    </w:p>
    <w:p w14:paraId="5CB89F3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[440]</w:t>
      </w:r>
      <w:r w:rsidRPr="00EC62EF">
        <w:rPr>
          <w:rFonts w:ascii="Calibri" w:hAnsi="Calibri" w:cs="Calibri"/>
          <w:noProof/>
          <w:szCs w:val="24"/>
        </w:rPr>
        <w:tab/>
        <w:t xml:space="preserve">S. F. Wang, Y. F. Hsu, P. Hsia, W. K. Hung, and P. Jasinski, “Design and characterization of apatite La9.8Si5.7Mg0.3O26±δ-based micro-tubular solid oxide fuel cells,” </w:t>
      </w:r>
      <w:r w:rsidRPr="00EC62EF">
        <w:rPr>
          <w:rFonts w:ascii="Calibri" w:hAnsi="Calibri" w:cs="Calibri"/>
          <w:i/>
          <w:iCs/>
          <w:noProof/>
          <w:szCs w:val="24"/>
        </w:rPr>
        <w:t>J. Power Sources</w:t>
      </w:r>
      <w:r w:rsidRPr="00EC62EF">
        <w:rPr>
          <w:rFonts w:ascii="Calibri" w:hAnsi="Calibri" w:cs="Calibri"/>
          <w:noProof/>
          <w:szCs w:val="24"/>
        </w:rPr>
        <w:t>, vol. 460, no. March, p. 228072, 2020.</w:t>
      </w:r>
    </w:p>
    <w:p w14:paraId="31C1B23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[441]</w:t>
      </w:r>
      <w:r w:rsidRPr="00EC62EF">
        <w:rPr>
          <w:rFonts w:ascii="Calibri" w:hAnsi="Calibri" w:cs="Calibri"/>
          <w:noProof/>
          <w:szCs w:val="24"/>
        </w:rPr>
        <w:tab/>
        <w:t xml:space="preserve">Y. Gong, C. Qin, and K. Huang, “Can silver be a reliable current collector for electrochemical tests,” </w:t>
      </w:r>
      <w:r w:rsidRPr="00EC62EF">
        <w:rPr>
          <w:rFonts w:ascii="Calibri" w:hAnsi="Calibri" w:cs="Calibri"/>
          <w:i/>
          <w:iCs/>
          <w:noProof/>
          <w:szCs w:val="24"/>
        </w:rPr>
        <w:t>ECS Electrochem. Lett.</w:t>
      </w:r>
      <w:r w:rsidRPr="00EC62EF">
        <w:rPr>
          <w:rFonts w:ascii="Calibri" w:hAnsi="Calibri" w:cs="Calibri"/>
          <w:noProof/>
          <w:szCs w:val="24"/>
        </w:rPr>
        <w:t>, vol. 2, no. 1, pp. 4–7, 2013.</w:t>
      </w:r>
    </w:p>
    <w:p w14:paraId="6EDFA82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[442]</w:t>
      </w:r>
      <w:r w:rsidRPr="00EC62EF">
        <w:rPr>
          <w:rFonts w:ascii="Calibri" w:hAnsi="Calibri" w:cs="Calibri"/>
          <w:noProof/>
          <w:szCs w:val="24"/>
        </w:rPr>
        <w:tab/>
        <w:t xml:space="preserve">A. J. Majewski and A. Dhir, “Application of silver in microtubular solid oxide fuel cells,” </w:t>
      </w:r>
      <w:r w:rsidRPr="00EC62EF">
        <w:rPr>
          <w:rFonts w:ascii="Calibri" w:hAnsi="Calibri" w:cs="Calibri"/>
          <w:i/>
          <w:iCs/>
          <w:noProof/>
          <w:szCs w:val="24"/>
        </w:rPr>
        <w:t>Mater. Renew. Sustain. Energy</w:t>
      </w:r>
      <w:r w:rsidRPr="00EC62EF">
        <w:rPr>
          <w:rFonts w:ascii="Calibri" w:hAnsi="Calibri" w:cs="Calibri"/>
          <w:noProof/>
          <w:szCs w:val="24"/>
        </w:rPr>
        <w:t>, vol. 7, no. 3, pp. 1–13, 2018.</w:t>
      </w:r>
    </w:p>
    <w:p w14:paraId="1542996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[443]</w:t>
      </w:r>
      <w:r w:rsidRPr="00EC62EF">
        <w:rPr>
          <w:rFonts w:ascii="Calibri" w:hAnsi="Calibri" w:cs="Calibri"/>
          <w:noProof/>
          <w:szCs w:val="24"/>
        </w:rPr>
        <w:tab/>
        <w:t xml:space="preserve">R. W. Jackson, F. S. Pettit, and G. H. Meier, “The behavior of nickel and silver in a simulated </w:t>
      </w:r>
      <w:r w:rsidRPr="00EC62EF">
        <w:rPr>
          <w:rFonts w:ascii="Calibri" w:hAnsi="Calibri" w:cs="Calibri"/>
          <w:noProof/>
          <w:szCs w:val="24"/>
        </w:rPr>
        <w:lastRenderedPageBreak/>
        <w:t xml:space="preserve">solid oxide fuel cell environment,” </w:t>
      </w:r>
      <w:r w:rsidRPr="00EC62EF">
        <w:rPr>
          <w:rFonts w:ascii="Calibri" w:hAnsi="Calibri" w:cs="Calibri"/>
          <w:i/>
          <w:iCs/>
          <w:noProof/>
          <w:szCs w:val="24"/>
        </w:rPr>
        <w:t>J. Power Sources</w:t>
      </w:r>
      <w:r w:rsidRPr="00EC62EF">
        <w:rPr>
          <w:rFonts w:ascii="Calibri" w:hAnsi="Calibri" w:cs="Calibri"/>
          <w:noProof/>
          <w:szCs w:val="24"/>
        </w:rPr>
        <w:t>, vol. 185, no. 2, pp. 1030–1039, 2008.</w:t>
      </w:r>
    </w:p>
    <w:p w14:paraId="370448A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[444]</w:t>
      </w:r>
      <w:r w:rsidRPr="00EC62EF">
        <w:rPr>
          <w:rFonts w:ascii="Calibri" w:hAnsi="Calibri" w:cs="Calibri"/>
          <w:noProof/>
          <w:szCs w:val="24"/>
        </w:rPr>
        <w:tab/>
        <w:t xml:space="preserve">P. Singh, Z. Yang, V. Viswanathan, and J. W. Stevenson, “Observations on the structural degradation of silver during simultaneous exposure to oxidizing and reducing environments,” </w:t>
      </w:r>
      <w:r w:rsidRPr="00EC62EF">
        <w:rPr>
          <w:rFonts w:ascii="Calibri" w:hAnsi="Calibri" w:cs="Calibri"/>
          <w:i/>
          <w:iCs/>
          <w:noProof/>
          <w:szCs w:val="24"/>
        </w:rPr>
        <w:t>J. Mater. Eng. Perform.</w:t>
      </w:r>
      <w:r w:rsidRPr="00EC62EF">
        <w:rPr>
          <w:rFonts w:ascii="Calibri" w:hAnsi="Calibri" w:cs="Calibri"/>
          <w:noProof/>
          <w:szCs w:val="24"/>
        </w:rPr>
        <w:t>, vol. 13, no. 3, pp. 287–294, 2004.</w:t>
      </w:r>
    </w:p>
    <w:p w14:paraId="3A64240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[445]</w:t>
      </w:r>
      <w:r w:rsidRPr="00EC62EF">
        <w:rPr>
          <w:rFonts w:ascii="Calibri" w:hAnsi="Calibri" w:cs="Calibri"/>
          <w:noProof/>
          <w:szCs w:val="24"/>
        </w:rPr>
        <w:tab/>
        <w:t xml:space="preserve">Z. Yang, D. J. Lichtenwalner, A. S. Morris, J. Krim, and A. I. Kingon, “Comparison of Au and Au-Ni alloys as contact materials for MEMS switches,” </w:t>
      </w:r>
      <w:r w:rsidRPr="00EC62EF">
        <w:rPr>
          <w:rFonts w:ascii="Calibri" w:hAnsi="Calibri" w:cs="Calibri"/>
          <w:i/>
          <w:iCs/>
          <w:noProof/>
          <w:szCs w:val="24"/>
        </w:rPr>
        <w:t>J. Microelectromechanical Syst.</w:t>
      </w:r>
      <w:r w:rsidRPr="00EC62EF">
        <w:rPr>
          <w:rFonts w:ascii="Calibri" w:hAnsi="Calibri" w:cs="Calibri"/>
          <w:noProof/>
          <w:szCs w:val="24"/>
        </w:rPr>
        <w:t>, vol. 18, no. 2, pp. 287–295, 2009.</w:t>
      </w:r>
    </w:p>
    <w:p w14:paraId="2EC6257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[446]</w:t>
      </w:r>
      <w:r w:rsidRPr="00EC62EF">
        <w:rPr>
          <w:rFonts w:ascii="Calibri" w:hAnsi="Calibri" w:cs="Calibri"/>
          <w:noProof/>
          <w:szCs w:val="24"/>
        </w:rPr>
        <w:tab/>
        <w:t xml:space="preserve">G. J. Nelson </w:t>
      </w:r>
      <w:r w:rsidRPr="00EC62EF">
        <w:rPr>
          <w:rFonts w:ascii="Calibri" w:hAnsi="Calibri" w:cs="Calibri"/>
          <w:i/>
          <w:iCs/>
          <w:noProof/>
          <w:szCs w:val="24"/>
        </w:rPr>
        <w:t>et al.</w:t>
      </w:r>
      <w:r w:rsidRPr="00EC62EF">
        <w:rPr>
          <w:rFonts w:ascii="Calibri" w:hAnsi="Calibri" w:cs="Calibri"/>
          <w:noProof/>
          <w:szCs w:val="24"/>
        </w:rPr>
        <w:t xml:space="preserve">, “Three-dimensional microstructural changes in the Ni-YSZ solid oxide fuel cell anode during operation,” </w:t>
      </w:r>
      <w:r w:rsidRPr="00EC62EF">
        <w:rPr>
          <w:rFonts w:ascii="Calibri" w:hAnsi="Calibri" w:cs="Calibri"/>
          <w:i/>
          <w:iCs/>
          <w:noProof/>
          <w:szCs w:val="24"/>
        </w:rPr>
        <w:t>Acta Mater.</w:t>
      </w:r>
      <w:r w:rsidRPr="00EC62EF">
        <w:rPr>
          <w:rFonts w:ascii="Calibri" w:hAnsi="Calibri" w:cs="Calibri"/>
          <w:noProof/>
          <w:szCs w:val="24"/>
        </w:rPr>
        <w:t>, vol. 60, no. 8, pp. 3491–3500, 2012.</w:t>
      </w:r>
    </w:p>
    <w:p w14:paraId="029702D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[447]</w:t>
      </w:r>
      <w:r w:rsidRPr="00EC62EF">
        <w:rPr>
          <w:rFonts w:ascii="Calibri" w:hAnsi="Calibri" w:cs="Calibri"/>
          <w:noProof/>
          <w:szCs w:val="24"/>
        </w:rPr>
        <w:tab/>
        <w:t xml:space="preserve">M. Avery, B. Chui, Y. G. Kariya, and K. Larson, “Hydrogen Induced Corrosion,” </w:t>
      </w:r>
      <w:r w:rsidRPr="00EC62EF">
        <w:rPr>
          <w:rFonts w:ascii="Calibri" w:hAnsi="Calibri" w:cs="Calibri"/>
          <w:i/>
          <w:iCs/>
          <w:noProof/>
          <w:szCs w:val="24"/>
        </w:rPr>
        <w:t>Mater. Sci.</w:t>
      </w:r>
      <w:r w:rsidRPr="00EC62EF">
        <w:rPr>
          <w:rFonts w:ascii="Calibri" w:hAnsi="Calibri" w:cs="Calibri"/>
          <w:noProof/>
          <w:szCs w:val="24"/>
        </w:rPr>
        <w:t>, vol. 112, pp. 1–8, 2001.</w:t>
      </w:r>
    </w:p>
    <w:p w14:paraId="7653F08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[448]</w:t>
      </w:r>
      <w:r w:rsidRPr="00EC62EF">
        <w:rPr>
          <w:rFonts w:ascii="Calibri" w:hAnsi="Calibri" w:cs="Calibri"/>
          <w:noProof/>
          <w:szCs w:val="24"/>
        </w:rPr>
        <w:tab/>
        <w:t xml:space="preserve">R. J. Aaberg, “A Possible Reaction Mechanism for the Oxidation of H2                                                on Ni/YSZ Cermet Electrodes,” </w:t>
      </w:r>
      <w:r w:rsidRPr="00EC62EF">
        <w:rPr>
          <w:rFonts w:ascii="Calibri" w:hAnsi="Calibri" w:cs="Calibri"/>
          <w:i/>
          <w:iCs/>
          <w:noProof/>
          <w:szCs w:val="24"/>
        </w:rPr>
        <w:t>ECS Proc. Vol.</w:t>
      </w:r>
      <w:r w:rsidRPr="00EC62EF">
        <w:rPr>
          <w:rFonts w:ascii="Calibri" w:hAnsi="Calibri" w:cs="Calibri"/>
          <w:noProof/>
          <w:szCs w:val="24"/>
        </w:rPr>
        <w:t>, vol. 1997–40, no. 1, pp. 557–564, 1997.</w:t>
      </w:r>
    </w:p>
    <w:p w14:paraId="0D404F4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[449]</w:t>
      </w:r>
      <w:r w:rsidRPr="00EC62EF">
        <w:rPr>
          <w:rFonts w:ascii="Calibri" w:hAnsi="Calibri" w:cs="Calibri"/>
          <w:noProof/>
          <w:szCs w:val="24"/>
        </w:rPr>
        <w:tab/>
        <w:t xml:space="preserve">S. Primdahl and M. Mogensen, “Durability and Thermal Cycling of Ni/YSZ Cermet Anodes for SOFC,” </w:t>
      </w:r>
      <w:r w:rsidRPr="00EC62EF">
        <w:rPr>
          <w:rFonts w:ascii="Calibri" w:hAnsi="Calibri" w:cs="Calibri"/>
          <w:i/>
          <w:iCs/>
          <w:noProof/>
          <w:szCs w:val="24"/>
        </w:rPr>
        <w:t>J. Appl. Electrochem.</w:t>
      </w:r>
      <w:r w:rsidRPr="00EC62EF">
        <w:rPr>
          <w:rFonts w:ascii="Calibri" w:hAnsi="Calibri" w:cs="Calibri"/>
          <w:noProof/>
          <w:szCs w:val="24"/>
        </w:rPr>
        <w:t>, vol. 30, pp. 247–257, 2000.</w:t>
      </w:r>
    </w:p>
    <w:p w14:paraId="772D4F1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[450]</w:t>
      </w:r>
      <w:r w:rsidRPr="00EC62EF">
        <w:rPr>
          <w:rFonts w:ascii="Calibri" w:hAnsi="Calibri" w:cs="Calibri"/>
          <w:noProof/>
          <w:szCs w:val="24"/>
        </w:rPr>
        <w:tab/>
        <w:t xml:space="preserve">H. Finklea, X. Chen, K. Gerdes, S. Pakalapati, and I. Celik, “Analysis of SOFCs using reference electrodes,” </w:t>
      </w:r>
      <w:r w:rsidRPr="00EC62EF">
        <w:rPr>
          <w:rFonts w:ascii="Calibri" w:hAnsi="Calibri" w:cs="Calibri"/>
          <w:i/>
          <w:iCs/>
          <w:noProof/>
          <w:szCs w:val="24"/>
        </w:rPr>
        <w:t>J. Electrochem. Soc.</w:t>
      </w:r>
      <w:r w:rsidRPr="00EC62EF">
        <w:rPr>
          <w:rFonts w:ascii="Calibri" w:hAnsi="Calibri" w:cs="Calibri"/>
          <w:noProof/>
          <w:szCs w:val="24"/>
        </w:rPr>
        <w:t>, vol. 160, no. 9, 2013.</w:t>
      </w:r>
    </w:p>
    <w:p w14:paraId="20404DC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[451]</w:t>
      </w:r>
      <w:r w:rsidRPr="00EC62EF">
        <w:rPr>
          <w:rFonts w:ascii="Calibri" w:hAnsi="Calibri" w:cs="Calibri"/>
          <w:noProof/>
          <w:szCs w:val="24"/>
        </w:rPr>
        <w:tab/>
        <w:t xml:space="preserve">A. Nenning, C. Bischof, J. Fleig, M. Bram, and A. K. Opitz, “The relation of microstructure, materials properties and impedance of SOFC electrodes: A case study of Ni/GDC anodes,” </w:t>
      </w:r>
      <w:r w:rsidRPr="00EC62EF">
        <w:rPr>
          <w:rFonts w:ascii="Calibri" w:hAnsi="Calibri" w:cs="Calibri"/>
          <w:i/>
          <w:iCs/>
          <w:noProof/>
          <w:szCs w:val="24"/>
        </w:rPr>
        <w:t>Energies</w:t>
      </w:r>
      <w:r w:rsidRPr="00EC62EF">
        <w:rPr>
          <w:rFonts w:ascii="Calibri" w:hAnsi="Calibri" w:cs="Calibri"/>
          <w:noProof/>
          <w:szCs w:val="24"/>
        </w:rPr>
        <w:t>, vol. 13, no. 4, pp. 5–9, 2020.</w:t>
      </w:r>
    </w:p>
    <w:p w14:paraId="5DF54B2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[452]</w:t>
      </w:r>
      <w:r w:rsidRPr="00EC62EF">
        <w:rPr>
          <w:rFonts w:ascii="Calibri" w:hAnsi="Calibri" w:cs="Calibri"/>
          <w:noProof/>
          <w:szCs w:val="24"/>
        </w:rPr>
        <w:tab/>
        <w:t xml:space="preserve">R. Fernández-González, J. C. Ruiz-Morales, J. Canales-Vázquez, J. R. Jurado, A. Makradi, and P. Núñez, “Decreasing the polarisation resistance of a Ni-YSZ solid oxide fuel cell anode by infiltration of a ceria-based solution,” </w:t>
      </w:r>
      <w:r w:rsidRPr="00EC62EF">
        <w:rPr>
          <w:rFonts w:ascii="Calibri" w:hAnsi="Calibri" w:cs="Calibri"/>
          <w:i/>
          <w:iCs/>
          <w:noProof/>
          <w:szCs w:val="24"/>
        </w:rPr>
        <w:t>Int. J. Hydrogen Energy</w:t>
      </w:r>
      <w:r w:rsidRPr="00EC62EF">
        <w:rPr>
          <w:rFonts w:ascii="Calibri" w:hAnsi="Calibri" w:cs="Calibri"/>
          <w:noProof/>
          <w:szCs w:val="24"/>
        </w:rPr>
        <w:t>, vol. 41, no. 43, pp. 19731–19736, 2016.</w:t>
      </w:r>
    </w:p>
    <w:p w14:paraId="2651BC7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[453]</w:t>
      </w:r>
      <w:r w:rsidRPr="00EC62EF">
        <w:rPr>
          <w:rFonts w:ascii="Calibri" w:hAnsi="Calibri" w:cs="Calibri"/>
          <w:noProof/>
          <w:szCs w:val="24"/>
        </w:rPr>
        <w:tab/>
        <w:t xml:space="preserve">J. Guindet and M. Hères, “Technical papers,” </w:t>
      </w:r>
      <w:r w:rsidRPr="00EC62EF">
        <w:rPr>
          <w:rFonts w:ascii="Calibri" w:hAnsi="Calibri" w:cs="Calibri"/>
          <w:i/>
          <w:iCs/>
          <w:noProof/>
          <w:szCs w:val="24"/>
        </w:rPr>
        <w:t>Adv. River Sediment Res.</w:t>
      </w:r>
      <w:r w:rsidRPr="00EC62EF">
        <w:rPr>
          <w:rFonts w:ascii="Calibri" w:hAnsi="Calibri" w:cs="Calibri"/>
          <w:noProof/>
          <w:szCs w:val="24"/>
        </w:rPr>
        <w:t>, pp. 35–35, 2013.</w:t>
      </w:r>
    </w:p>
    <w:p w14:paraId="28B6EC4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[454]</w:t>
      </w:r>
      <w:r w:rsidRPr="00EC62EF">
        <w:rPr>
          <w:rFonts w:ascii="Calibri" w:hAnsi="Calibri" w:cs="Calibri"/>
          <w:noProof/>
          <w:szCs w:val="24"/>
        </w:rPr>
        <w:tab/>
        <w:t xml:space="preserve">I. Gavrielatos, V. Drakopoulos, and S. G. Neophytides, “Carbon tolerant Ni-Au SOFC electrodes operating under internal steam reforming conditions,” </w:t>
      </w:r>
      <w:r w:rsidRPr="00EC62EF">
        <w:rPr>
          <w:rFonts w:ascii="Calibri" w:hAnsi="Calibri" w:cs="Calibri"/>
          <w:i/>
          <w:iCs/>
          <w:noProof/>
          <w:szCs w:val="24"/>
        </w:rPr>
        <w:t>J. Catal.</w:t>
      </w:r>
      <w:r w:rsidRPr="00EC62EF">
        <w:rPr>
          <w:rFonts w:ascii="Calibri" w:hAnsi="Calibri" w:cs="Calibri"/>
          <w:noProof/>
          <w:szCs w:val="24"/>
        </w:rPr>
        <w:t>, vol. 259, no. 1, pp. 75–84, 2008.</w:t>
      </w:r>
    </w:p>
    <w:p w14:paraId="0C93469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[455]</w:t>
      </w:r>
      <w:r w:rsidRPr="00EC62EF">
        <w:rPr>
          <w:rFonts w:ascii="Calibri" w:hAnsi="Calibri" w:cs="Calibri"/>
          <w:noProof/>
          <w:szCs w:val="24"/>
        </w:rPr>
        <w:tab/>
        <w:t xml:space="preserve">I. Gavrielatos, D. Montinaro, A. Orfanidi, and S. G. Neophytides, “Thermogravimetric and electrocatalytic study of carbon deposition of Ag-doped Ni/YSZ electrodes under internal CH4Steam reforming conditions,” </w:t>
      </w:r>
      <w:r w:rsidRPr="00EC62EF">
        <w:rPr>
          <w:rFonts w:ascii="Calibri" w:hAnsi="Calibri" w:cs="Calibri"/>
          <w:i/>
          <w:iCs/>
          <w:noProof/>
          <w:szCs w:val="24"/>
        </w:rPr>
        <w:t>Fuel Cells</w:t>
      </w:r>
      <w:r w:rsidRPr="00EC62EF">
        <w:rPr>
          <w:rFonts w:ascii="Calibri" w:hAnsi="Calibri" w:cs="Calibri"/>
          <w:noProof/>
          <w:szCs w:val="24"/>
        </w:rPr>
        <w:t>, vol. 9, no. 6, pp. 883–890, 2009.</w:t>
      </w:r>
    </w:p>
    <w:p w14:paraId="0908172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[456]</w:t>
      </w:r>
      <w:r w:rsidRPr="00EC62EF">
        <w:rPr>
          <w:rFonts w:ascii="Calibri" w:hAnsi="Calibri" w:cs="Calibri"/>
          <w:noProof/>
          <w:szCs w:val="24"/>
        </w:rPr>
        <w:tab/>
        <w:t xml:space="preserve">J. Colbus and K. F. Zimmermann, “Properties of gold-nickel alloy brazed joints in high temperature materials,” </w:t>
      </w:r>
      <w:r w:rsidRPr="00EC62EF">
        <w:rPr>
          <w:rFonts w:ascii="Calibri" w:hAnsi="Calibri" w:cs="Calibri"/>
          <w:i/>
          <w:iCs/>
          <w:noProof/>
          <w:szCs w:val="24"/>
        </w:rPr>
        <w:t>Gold Bull.</w:t>
      </w:r>
      <w:r w:rsidRPr="00EC62EF">
        <w:rPr>
          <w:rFonts w:ascii="Calibri" w:hAnsi="Calibri" w:cs="Calibri"/>
          <w:noProof/>
          <w:szCs w:val="24"/>
        </w:rPr>
        <w:t>, vol. 7, no. 2, pp. 42–49, 1974.</w:t>
      </w:r>
    </w:p>
    <w:p w14:paraId="166CF62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[457]</w:t>
      </w:r>
      <w:r w:rsidRPr="00EC62EF">
        <w:rPr>
          <w:rFonts w:ascii="Calibri" w:hAnsi="Calibri" w:cs="Calibri"/>
          <w:noProof/>
          <w:szCs w:val="24"/>
        </w:rPr>
        <w:tab/>
        <w:t xml:space="preserve">R. A. Matula, “Electrical Resistivity of Cu, Au, Pd, and Ag,” </w:t>
      </w:r>
      <w:r w:rsidRPr="00EC62EF">
        <w:rPr>
          <w:rFonts w:ascii="Calibri" w:hAnsi="Calibri" w:cs="Calibri"/>
          <w:i/>
          <w:iCs/>
          <w:noProof/>
          <w:szCs w:val="24"/>
        </w:rPr>
        <w:t>J. Phys. Chem</w:t>
      </w:r>
      <w:r w:rsidRPr="00EC62EF">
        <w:rPr>
          <w:rFonts w:ascii="Calibri" w:hAnsi="Calibri" w:cs="Calibri"/>
          <w:noProof/>
          <w:szCs w:val="24"/>
        </w:rPr>
        <w:t>, vol. 6, no. 4. p. 1147, 1979.</w:t>
      </w:r>
    </w:p>
    <w:p w14:paraId="6D2C1ED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[458]</w:t>
      </w:r>
      <w:r w:rsidRPr="00EC62EF">
        <w:rPr>
          <w:rFonts w:ascii="Calibri" w:hAnsi="Calibri" w:cs="Calibri"/>
          <w:noProof/>
          <w:szCs w:val="24"/>
        </w:rPr>
        <w:tab/>
        <w:t>T. K. Chu and C. Y. Ho, “Electrical Resistivity of Chromium, Cobalt, Iron and Nickel,” 1982.</w:t>
      </w:r>
    </w:p>
    <w:p w14:paraId="50A814C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[459]</w:t>
      </w:r>
      <w:r w:rsidRPr="00EC62EF">
        <w:rPr>
          <w:rFonts w:ascii="Calibri" w:hAnsi="Calibri" w:cs="Calibri"/>
          <w:noProof/>
          <w:szCs w:val="24"/>
        </w:rPr>
        <w:tab/>
        <w:t xml:space="preserve">M. Kusnezoff, N. Trofimenko, M. Müller, and A. Michaelis, “Influence of electrode design and contacting layers on performance of electrolyte supported SOFC/SOEC single cells,” </w:t>
      </w:r>
      <w:r w:rsidRPr="00EC62EF">
        <w:rPr>
          <w:rFonts w:ascii="Calibri" w:hAnsi="Calibri" w:cs="Calibri"/>
          <w:i/>
          <w:iCs/>
          <w:noProof/>
          <w:szCs w:val="24"/>
        </w:rPr>
        <w:t>Materials (Basel).</w:t>
      </w:r>
      <w:r w:rsidRPr="00EC62EF">
        <w:rPr>
          <w:rFonts w:ascii="Calibri" w:hAnsi="Calibri" w:cs="Calibri"/>
          <w:noProof/>
          <w:szCs w:val="24"/>
        </w:rPr>
        <w:t>, vol. 9, no. 11, 2016.</w:t>
      </w:r>
    </w:p>
    <w:p w14:paraId="5B327EC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[460]</w:t>
      </w:r>
      <w:r w:rsidRPr="00EC62EF">
        <w:rPr>
          <w:rFonts w:ascii="Calibri" w:hAnsi="Calibri" w:cs="Calibri"/>
          <w:noProof/>
          <w:szCs w:val="24"/>
        </w:rPr>
        <w:tab/>
        <w:t xml:space="preserve">B. de Boer, M. Gonzalez, H. J. M. Bouwmeester, and H. Verweij, “The effect of the presence of fine YSZ particles on the performance of porous nickel electrodes,” </w:t>
      </w:r>
      <w:r w:rsidRPr="00EC62EF">
        <w:rPr>
          <w:rFonts w:ascii="Calibri" w:hAnsi="Calibri" w:cs="Calibri"/>
          <w:i/>
          <w:iCs/>
          <w:noProof/>
          <w:szCs w:val="24"/>
        </w:rPr>
        <w:t>Solid State Ionics</w:t>
      </w:r>
      <w:r w:rsidRPr="00EC62EF">
        <w:rPr>
          <w:rFonts w:ascii="Calibri" w:hAnsi="Calibri" w:cs="Calibri"/>
          <w:noProof/>
          <w:szCs w:val="24"/>
        </w:rPr>
        <w:t xml:space="preserve">, vol. 127, </w:t>
      </w:r>
      <w:r w:rsidRPr="00EC62EF">
        <w:rPr>
          <w:rFonts w:ascii="Calibri" w:hAnsi="Calibri" w:cs="Calibri"/>
          <w:noProof/>
          <w:szCs w:val="24"/>
        </w:rPr>
        <w:lastRenderedPageBreak/>
        <w:t>no. 3–4, pp. 269–276, Jan. 2000.</w:t>
      </w:r>
    </w:p>
    <w:p w14:paraId="3B3723C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[461]</w:t>
      </w:r>
      <w:r w:rsidRPr="00EC62EF">
        <w:rPr>
          <w:rFonts w:ascii="Calibri" w:hAnsi="Calibri" w:cs="Calibri"/>
          <w:noProof/>
          <w:szCs w:val="24"/>
        </w:rPr>
        <w:tab/>
        <w:t xml:space="preserve">S. J. Cooper, A. Bertei, D. P. Finegan, and N. P. Brandon, “Simulated impedance of diffusion in porous media,” </w:t>
      </w:r>
      <w:r w:rsidRPr="00EC62EF">
        <w:rPr>
          <w:rFonts w:ascii="Calibri" w:hAnsi="Calibri" w:cs="Calibri"/>
          <w:i/>
          <w:iCs/>
          <w:noProof/>
          <w:szCs w:val="24"/>
        </w:rPr>
        <w:t>Electrochim. Acta</w:t>
      </w:r>
      <w:r w:rsidRPr="00EC62EF">
        <w:rPr>
          <w:rFonts w:ascii="Calibri" w:hAnsi="Calibri" w:cs="Calibri"/>
          <w:noProof/>
          <w:szCs w:val="24"/>
        </w:rPr>
        <w:t>, vol. 251, 2017.</w:t>
      </w:r>
    </w:p>
    <w:p w14:paraId="4D64C16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[462]</w:t>
      </w:r>
      <w:r w:rsidRPr="00EC62EF">
        <w:rPr>
          <w:rFonts w:ascii="Calibri" w:hAnsi="Calibri" w:cs="Calibri"/>
          <w:noProof/>
          <w:szCs w:val="24"/>
        </w:rPr>
        <w:tab/>
        <w:t xml:space="preserve">M. R. Pinnel, “Diffusion-related behaviour of gold in thin film systems,” </w:t>
      </w:r>
      <w:r w:rsidRPr="00EC62EF">
        <w:rPr>
          <w:rFonts w:ascii="Calibri" w:hAnsi="Calibri" w:cs="Calibri"/>
          <w:i/>
          <w:iCs/>
          <w:noProof/>
          <w:szCs w:val="24"/>
        </w:rPr>
        <w:t>Gold Bull.</w:t>
      </w:r>
      <w:r w:rsidRPr="00EC62EF">
        <w:rPr>
          <w:rFonts w:ascii="Calibri" w:hAnsi="Calibri" w:cs="Calibri"/>
          <w:noProof/>
          <w:szCs w:val="24"/>
        </w:rPr>
        <w:t>, vol. 12, no. 2, pp. 62–71, 1979.</w:t>
      </w:r>
    </w:p>
    <w:p w14:paraId="2D5BFE5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[463]</w:t>
      </w:r>
      <w:r w:rsidRPr="00EC62EF">
        <w:rPr>
          <w:rFonts w:ascii="Calibri" w:hAnsi="Calibri" w:cs="Calibri"/>
          <w:noProof/>
          <w:szCs w:val="24"/>
        </w:rPr>
        <w:tab/>
        <w:t>S. M. Haile, “Fuel cell materials and components</w:t>
      </w:r>
      <w:r w:rsidRPr="00EC62EF">
        <w:rPr>
          <w:rFonts w:ascii="Segoe UI Symbol" w:hAnsi="Segoe UI Symbol" w:cs="Segoe UI Symbol"/>
          <w:noProof/>
          <w:szCs w:val="24"/>
        </w:rPr>
        <w:t>☆☆</w:t>
      </w:r>
      <w:r w:rsidRPr="00EC62EF">
        <w:rPr>
          <w:rFonts w:ascii="Calibri" w:hAnsi="Calibri" w:cs="Calibri"/>
          <w:noProof/>
          <w:szCs w:val="24"/>
        </w:rPr>
        <w:t xml:space="preserve">,” </w:t>
      </w:r>
      <w:r w:rsidRPr="00EC62EF">
        <w:rPr>
          <w:rFonts w:ascii="Calibri" w:hAnsi="Calibri" w:cs="Calibri"/>
          <w:i/>
          <w:iCs/>
          <w:noProof/>
          <w:szCs w:val="24"/>
        </w:rPr>
        <w:t>Acta Mater.</w:t>
      </w:r>
      <w:r w:rsidRPr="00EC62EF">
        <w:rPr>
          <w:rFonts w:ascii="Calibri" w:hAnsi="Calibri" w:cs="Calibri"/>
          <w:noProof/>
          <w:szCs w:val="24"/>
        </w:rPr>
        <w:t>, vol. 51, no. 19, pp. 5981–6000, Nov. 2003.</w:t>
      </w:r>
    </w:p>
    <w:p w14:paraId="3D38D70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[464]</w:t>
      </w:r>
      <w:r w:rsidRPr="00EC62EF">
        <w:rPr>
          <w:rFonts w:ascii="Calibri" w:hAnsi="Calibri" w:cs="Calibri"/>
          <w:noProof/>
          <w:szCs w:val="24"/>
        </w:rPr>
        <w:tab/>
        <w:t xml:space="preserve">J. W. Arblaster, “Selected electrical resistivity values for the platinum group of metals part i: Palladium and platinum,” </w:t>
      </w:r>
      <w:r w:rsidRPr="00EC62EF">
        <w:rPr>
          <w:rFonts w:ascii="Calibri" w:hAnsi="Calibri" w:cs="Calibri"/>
          <w:i/>
          <w:iCs/>
          <w:noProof/>
          <w:szCs w:val="24"/>
        </w:rPr>
        <w:t>Johnson Matthey Technol. Rev.</w:t>
      </w:r>
      <w:r w:rsidRPr="00EC62EF">
        <w:rPr>
          <w:rFonts w:ascii="Calibri" w:hAnsi="Calibri" w:cs="Calibri"/>
          <w:noProof/>
          <w:szCs w:val="24"/>
        </w:rPr>
        <w:t>, vol. 59, no. 3, pp. 174–181, 2015.</w:t>
      </w:r>
    </w:p>
    <w:p w14:paraId="489DDA5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[465]</w:t>
      </w:r>
      <w:r w:rsidRPr="00EC62EF">
        <w:rPr>
          <w:rFonts w:ascii="Calibri" w:hAnsi="Calibri" w:cs="Calibri"/>
          <w:noProof/>
          <w:szCs w:val="24"/>
        </w:rPr>
        <w:tab/>
        <w:t xml:space="preserve">E. Gunen, “Solid Oxide Fuel Cell Electrode Fabrication by Infiltration,” in </w:t>
      </w:r>
      <w:r w:rsidRPr="00EC62EF">
        <w:rPr>
          <w:rFonts w:ascii="Calibri" w:hAnsi="Calibri" w:cs="Calibri"/>
          <w:i/>
          <w:iCs/>
          <w:noProof/>
          <w:szCs w:val="24"/>
        </w:rPr>
        <w:t>Fuel Cell Science and Engineering: Materials, Processes, Systems and Technology</w:t>
      </w:r>
      <w:r w:rsidRPr="00EC62EF">
        <w:rPr>
          <w:rFonts w:ascii="Calibri" w:hAnsi="Calibri" w:cs="Calibri"/>
          <w:noProof/>
          <w:szCs w:val="24"/>
        </w:rPr>
        <w:t>, vol. 1, Wiley-VCH, 2012, pp. 275–299.</w:t>
      </w:r>
    </w:p>
    <w:p w14:paraId="6ACE41A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[466]</w:t>
      </w:r>
      <w:r w:rsidRPr="00EC62EF">
        <w:rPr>
          <w:rFonts w:ascii="Calibri" w:hAnsi="Calibri" w:cs="Calibri"/>
          <w:noProof/>
          <w:szCs w:val="24"/>
        </w:rPr>
        <w:tab/>
        <w:t xml:space="preserve">J. Rossmeisl and W. G. Bessler, “Trends in catalytic activity for SOFC anode materials,” </w:t>
      </w:r>
      <w:r w:rsidRPr="00EC62EF">
        <w:rPr>
          <w:rFonts w:ascii="Calibri" w:hAnsi="Calibri" w:cs="Calibri"/>
          <w:i/>
          <w:iCs/>
          <w:noProof/>
          <w:szCs w:val="24"/>
        </w:rPr>
        <w:t>Solid State Ionics</w:t>
      </w:r>
      <w:r w:rsidRPr="00EC62EF">
        <w:rPr>
          <w:rFonts w:ascii="Calibri" w:hAnsi="Calibri" w:cs="Calibri"/>
          <w:noProof/>
          <w:szCs w:val="24"/>
        </w:rPr>
        <w:t>, vol. 178, no. 31–32, pp. 1694–1700, 2008.</w:t>
      </w:r>
    </w:p>
    <w:p w14:paraId="05B97BC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[467]</w:t>
      </w:r>
      <w:r w:rsidRPr="00EC62EF">
        <w:rPr>
          <w:rFonts w:ascii="Calibri" w:hAnsi="Calibri" w:cs="Calibri"/>
          <w:noProof/>
          <w:szCs w:val="24"/>
        </w:rPr>
        <w:tab/>
        <w:t xml:space="preserve">K. Elsøe </w:t>
      </w:r>
      <w:r w:rsidRPr="00EC62EF">
        <w:rPr>
          <w:rFonts w:ascii="Calibri" w:hAnsi="Calibri" w:cs="Calibri"/>
          <w:i/>
          <w:iCs/>
          <w:noProof/>
          <w:szCs w:val="24"/>
        </w:rPr>
        <w:t>et al.</w:t>
      </w:r>
      <w:r w:rsidRPr="00EC62EF">
        <w:rPr>
          <w:rFonts w:ascii="Calibri" w:hAnsi="Calibri" w:cs="Calibri"/>
          <w:noProof/>
          <w:szCs w:val="24"/>
        </w:rPr>
        <w:t xml:space="preserve">, “Noise Phenomena in Electrochemical Impedance Spectroscopy of Polymer Electrolyte Membrane Electrolysis Cells,” </w:t>
      </w:r>
      <w:r w:rsidRPr="00EC62EF">
        <w:rPr>
          <w:rFonts w:ascii="Calibri" w:hAnsi="Calibri" w:cs="Calibri"/>
          <w:i/>
          <w:iCs/>
          <w:noProof/>
          <w:szCs w:val="24"/>
        </w:rPr>
        <w:t>Fuel Cells</w:t>
      </w:r>
      <w:r w:rsidRPr="00EC62EF">
        <w:rPr>
          <w:rFonts w:ascii="Calibri" w:hAnsi="Calibri" w:cs="Calibri"/>
          <w:noProof/>
          <w:szCs w:val="24"/>
        </w:rPr>
        <w:t>, vol. 18, no. 5, pp. 640–648, 2018.</w:t>
      </w:r>
    </w:p>
    <w:p w14:paraId="37CE98E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[468]</w:t>
      </w:r>
      <w:r w:rsidRPr="00EC62EF">
        <w:rPr>
          <w:rFonts w:ascii="Calibri" w:hAnsi="Calibri" w:cs="Calibri"/>
          <w:noProof/>
          <w:szCs w:val="24"/>
        </w:rPr>
        <w:tab/>
        <w:t xml:space="preserve">D. G. Goodwin, H. Zhu, A. M. Colclasure, and R. J. Kee, “Modeling Electrochemical Oxidation of Hydrogen on Ni–YSZ Pattern Anodes,” </w:t>
      </w:r>
      <w:r w:rsidRPr="00EC62EF">
        <w:rPr>
          <w:rFonts w:ascii="Calibri" w:hAnsi="Calibri" w:cs="Calibri"/>
          <w:i/>
          <w:iCs/>
          <w:noProof/>
          <w:szCs w:val="24"/>
        </w:rPr>
        <w:t>J. Electrochem. Soc.</w:t>
      </w:r>
      <w:r w:rsidRPr="00EC62EF">
        <w:rPr>
          <w:rFonts w:ascii="Calibri" w:hAnsi="Calibri" w:cs="Calibri"/>
          <w:noProof/>
          <w:szCs w:val="24"/>
        </w:rPr>
        <w:t>, vol. 156, no. 9, p. B1004, 2009.</w:t>
      </w:r>
    </w:p>
    <w:p w14:paraId="0BCB8E7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[469]</w:t>
      </w:r>
      <w:r w:rsidRPr="00EC62EF">
        <w:rPr>
          <w:rFonts w:ascii="Calibri" w:hAnsi="Calibri" w:cs="Calibri"/>
          <w:noProof/>
          <w:szCs w:val="24"/>
        </w:rPr>
        <w:tab/>
        <w:t>A. Leonide, “SOFC Modelling and Parameter Identification by means of Impedance Spectroscopy,” 2010.</w:t>
      </w:r>
    </w:p>
    <w:p w14:paraId="1B250A7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[470]</w:t>
      </w:r>
      <w:r w:rsidRPr="00EC62EF">
        <w:rPr>
          <w:rFonts w:ascii="Calibri" w:hAnsi="Calibri" w:cs="Calibri"/>
          <w:noProof/>
          <w:szCs w:val="24"/>
        </w:rPr>
        <w:tab/>
        <w:t xml:space="preserve">S. Akanda and M. E. Walter, “Characterization of Electrode-Electrolyte Interface Strengths in SOFCs,” in </w:t>
      </w:r>
      <w:r w:rsidRPr="00EC62EF">
        <w:rPr>
          <w:rFonts w:ascii="Calibri" w:hAnsi="Calibri" w:cs="Calibri"/>
          <w:i/>
          <w:iCs/>
          <w:noProof/>
          <w:szCs w:val="24"/>
        </w:rPr>
        <w:t>2010 Annual Conference on Experimental and Applied Mechanics</w:t>
      </w:r>
      <w:r w:rsidRPr="00EC62EF">
        <w:rPr>
          <w:rFonts w:ascii="Calibri" w:hAnsi="Calibri" w:cs="Calibri"/>
          <w:noProof/>
          <w:szCs w:val="24"/>
        </w:rPr>
        <w:t>, 2011, vol. 6, pp. 373–382.</w:t>
      </w:r>
    </w:p>
    <w:p w14:paraId="770FBA5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[471]</w:t>
      </w:r>
      <w:r w:rsidRPr="00EC62EF">
        <w:rPr>
          <w:rFonts w:ascii="Calibri" w:hAnsi="Calibri" w:cs="Calibri"/>
          <w:noProof/>
          <w:szCs w:val="24"/>
        </w:rPr>
        <w:tab/>
        <w:t xml:space="preserve">Laszlo Nanai, “Nanoscaled Films and Layers,” in </w:t>
      </w:r>
      <w:r w:rsidRPr="00EC62EF">
        <w:rPr>
          <w:rFonts w:ascii="Calibri" w:hAnsi="Calibri" w:cs="Calibri"/>
          <w:i/>
          <w:iCs/>
          <w:noProof/>
          <w:szCs w:val="24"/>
        </w:rPr>
        <w:t>Nanoscaled Films and Layers</w:t>
      </w:r>
      <w:r w:rsidRPr="00EC62EF">
        <w:rPr>
          <w:rFonts w:ascii="Calibri" w:hAnsi="Calibri" w:cs="Calibri"/>
          <w:noProof/>
          <w:szCs w:val="24"/>
        </w:rPr>
        <w:t>, 2017, pp. 38–39.</w:t>
      </w:r>
    </w:p>
    <w:p w14:paraId="316C9B8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[472]</w:t>
      </w:r>
      <w:r w:rsidRPr="00EC62EF">
        <w:rPr>
          <w:rFonts w:ascii="Calibri" w:hAnsi="Calibri" w:cs="Calibri"/>
          <w:noProof/>
          <w:szCs w:val="24"/>
        </w:rPr>
        <w:tab/>
        <w:t xml:space="preserve">H. Koide, Y. Someya, T. Yoshida, and T. Maruyama, “Properties of Ni/YSZ cermet as anode for SOFC,” </w:t>
      </w:r>
      <w:r w:rsidRPr="00EC62EF">
        <w:rPr>
          <w:rFonts w:ascii="Calibri" w:hAnsi="Calibri" w:cs="Calibri"/>
          <w:i/>
          <w:iCs/>
          <w:noProof/>
          <w:szCs w:val="24"/>
        </w:rPr>
        <w:t>Solid State Ionics</w:t>
      </w:r>
      <w:r w:rsidRPr="00EC62EF">
        <w:rPr>
          <w:rFonts w:ascii="Calibri" w:hAnsi="Calibri" w:cs="Calibri"/>
          <w:noProof/>
          <w:szCs w:val="24"/>
        </w:rPr>
        <w:t>, vol. 132, no. 3–4, pp. 253–260, 2000.</w:t>
      </w:r>
    </w:p>
    <w:p w14:paraId="2E96A67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[473]</w:t>
      </w:r>
      <w:r w:rsidRPr="00EC62EF">
        <w:rPr>
          <w:rFonts w:ascii="Calibri" w:hAnsi="Calibri" w:cs="Calibri"/>
          <w:noProof/>
          <w:szCs w:val="24"/>
        </w:rPr>
        <w:tab/>
        <w:t xml:space="preserve">J. Koong, K. Sun, D. Zhou, J. Qiao, and J. Li, “Anode-Supported IT-SOFC anode Prepared by Tape Casting Technique,” in </w:t>
      </w:r>
      <w:r w:rsidRPr="00EC62EF">
        <w:rPr>
          <w:rFonts w:ascii="Calibri" w:hAnsi="Calibri" w:cs="Calibri"/>
          <w:i/>
          <w:iCs/>
          <w:noProof/>
          <w:szCs w:val="24"/>
        </w:rPr>
        <w:t>2006 International Forum on Strategic Technology</w:t>
      </w:r>
      <w:r w:rsidRPr="00EC62EF">
        <w:rPr>
          <w:rFonts w:ascii="Calibri" w:hAnsi="Calibri" w:cs="Calibri"/>
          <w:noProof/>
          <w:szCs w:val="24"/>
        </w:rPr>
        <w:t>, 2006, pp. 186–189.</w:t>
      </w:r>
    </w:p>
    <w:p w14:paraId="647CEDB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[474]</w:t>
      </w:r>
      <w:r w:rsidRPr="00EC62EF">
        <w:rPr>
          <w:rFonts w:ascii="Calibri" w:hAnsi="Calibri" w:cs="Calibri"/>
          <w:noProof/>
          <w:szCs w:val="24"/>
        </w:rPr>
        <w:tab/>
        <w:t xml:space="preserve">H. Y. Chen, H. C. Yu, J. Scott Cronin, J. R. Wilson, S. A. Barnett, and K. Thornton, “Simulation of coarsening in three-phase solid oxide fuel cell anodes,” </w:t>
      </w:r>
      <w:r w:rsidRPr="00EC62EF">
        <w:rPr>
          <w:rFonts w:ascii="Calibri" w:hAnsi="Calibri" w:cs="Calibri"/>
          <w:i/>
          <w:iCs/>
          <w:noProof/>
          <w:szCs w:val="24"/>
        </w:rPr>
        <w:t>J. Power Sources</w:t>
      </w:r>
      <w:r w:rsidRPr="00EC62EF">
        <w:rPr>
          <w:rFonts w:ascii="Calibri" w:hAnsi="Calibri" w:cs="Calibri"/>
          <w:noProof/>
          <w:szCs w:val="24"/>
        </w:rPr>
        <w:t>, vol. 196, no. 3, pp. 1333–1337, 2011.</w:t>
      </w:r>
    </w:p>
    <w:p w14:paraId="27B827B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[475]</w:t>
      </w:r>
      <w:r w:rsidRPr="00EC62EF">
        <w:rPr>
          <w:rFonts w:ascii="Calibri" w:hAnsi="Calibri" w:cs="Calibri"/>
          <w:noProof/>
          <w:szCs w:val="24"/>
        </w:rPr>
        <w:tab/>
        <w:t xml:space="preserve">J. Ma and Y. Sahai, “Effect of electrode fabrication method and substrate material on performance of alkaline fuel cells,” </w:t>
      </w:r>
      <w:r w:rsidRPr="00EC62EF">
        <w:rPr>
          <w:rFonts w:ascii="Calibri" w:hAnsi="Calibri" w:cs="Calibri"/>
          <w:i/>
          <w:iCs/>
          <w:noProof/>
          <w:szCs w:val="24"/>
        </w:rPr>
        <w:t>Electrochem. commun.</w:t>
      </w:r>
      <w:r w:rsidRPr="00EC62EF">
        <w:rPr>
          <w:rFonts w:ascii="Calibri" w:hAnsi="Calibri" w:cs="Calibri"/>
          <w:noProof/>
          <w:szCs w:val="24"/>
        </w:rPr>
        <w:t>, vol. 30, pp. 63–66, 2013.</w:t>
      </w:r>
    </w:p>
    <w:p w14:paraId="5ED8BE6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[476]</w:t>
      </w:r>
      <w:r w:rsidRPr="00EC62EF">
        <w:rPr>
          <w:rFonts w:ascii="Calibri" w:hAnsi="Calibri" w:cs="Calibri"/>
          <w:noProof/>
          <w:szCs w:val="24"/>
        </w:rPr>
        <w:tab/>
        <w:t xml:space="preserve">R. B. McLellan, “Solid solutions of hydrogen in gold, silver and copper,” </w:t>
      </w:r>
      <w:r w:rsidRPr="00EC62EF">
        <w:rPr>
          <w:rFonts w:ascii="Calibri" w:hAnsi="Calibri" w:cs="Calibri"/>
          <w:i/>
          <w:iCs/>
          <w:noProof/>
          <w:szCs w:val="24"/>
        </w:rPr>
        <w:t>J. Phys. Chem. Solids</w:t>
      </w:r>
      <w:r w:rsidRPr="00EC62EF">
        <w:rPr>
          <w:rFonts w:ascii="Calibri" w:hAnsi="Calibri" w:cs="Calibri"/>
          <w:noProof/>
          <w:szCs w:val="24"/>
        </w:rPr>
        <w:t>, vol. 34, no. 6, pp. 1137–1141, 1973.</w:t>
      </w:r>
    </w:p>
    <w:p w14:paraId="3C0E036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[477]</w:t>
      </w:r>
      <w:r w:rsidRPr="00EC62EF">
        <w:rPr>
          <w:rFonts w:ascii="Calibri" w:hAnsi="Calibri" w:cs="Calibri"/>
          <w:noProof/>
          <w:szCs w:val="24"/>
        </w:rPr>
        <w:tab/>
        <w:t xml:space="preserve">S. Primdahl and M. Mogensen, “Gas Diffusion Impedance in Characterization of Solid Oxide Fuel Cell Anodes,” </w:t>
      </w:r>
      <w:r w:rsidRPr="00EC62EF">
        <w:rPr>
          <w:rFonts w:ascii="Calibri" w:hAnsi="Calibri" w:cs="Calibri"/>
          <w:i/>
          <w:iCs/>
          <w:noProof/>
          <w:szCs w:val="24"/>
        </w:rPr>
        <w:t>J. Electrochem. Soc.</w:t>
      </w:r>
      <w:r w:rsidRPr="00EC62EF">
        <w:rPr>
          <w:rFonts w:ascii="Calibri" w:hAnsi="Calibri" w:cs="Calibri"/>
          <w:noProof/>
          <w:szCs w:val="24"/>
        </w:rPr>
        <w:t>, vol. 146, no. 8, pp. 2827–2833, 1999.</w:t>
      </w:r>
    </w:p>
    <w:p w14:paraId="00A4B1C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[478]</w:t>
      </w:r>
      <w:r w:rsidRPr="00EC62EF">
        <w:rPr>
          <w:rFonts w:ascii="Calibri" w:hAnsi="Calibri" w:cs="Calibri"/>
          <w:noProof/>
          <w:szCs w:val="24"/>
        </w:rPr>
        <w:tab/>
        <w:t xml:space="preserve">Z. Jamil, E. Ruiz-Trejo, P. Boldrin, and N. P. Brandon, “Anode fabrication for solid oxide fuel cells: Electroless and electrodeposition of nickel and silver into doped ceria scaffolds,” </w:t>
      </w:r>
      <w:r w:rsidRPr="00EC62EF">
        <w:rPr>
          <w:rFonts w:ascii="Calibri" w:hAnsi="Calibri" w:cs="Calibri"/>
          <w:i/>
          <w:iCs/>
          <w:noProof/>
          <w:szCs w:val="24"/>
        </w:rPr>
        <w:t xml:space="preserve">Int. J. </w:t>
      </w:r>
      <w:r w:rsidRPr="00EC62EF">
        <w:rPr>
          <w:rFonts w:ascii="Calibri" w:hAnsi="Calibri" w:cs="Calibri"/>
          <w:i/>
          <w:iCs/>
          <w:noProof/>
          <w:szCs w:val="24"/>
        </w:rPr>
        <w:lastRenderedPageBreak/>
        <w:t>Hydrogen Energy</w:t>
      </w:r>
      <w:r w:rsidRPr="00EC62EF">
        <w:rPr>
          <w:rFonts w:ascii="Calibri" w:hAnsi="Calibri" w:cs="Calibri"/>
          <w:noProof/>
          <w:szCs w:val="24"/>
        </w:rPr>
        <w:t>, vol. 41, no. 22, pp. 9627–9637, 2016.</w:t>
      </w:r>
    </w:p>
    <w:p w14:paraId="4943E2D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[479]</w:t>
      </w:r>
      <w:r w:rsidRPr="00EC62EF">
        <w:rPr>
          <w:rFonts w:ascii="Calibri" w:hAnsi="Calibri" w:cs="Calibri"/>
          <w:noProof/>
          <w:szCs w:val="24"/>
        </w:rPr>
        <w:tab/>
        <w:t xml:space="preserve">R. Kirchheim and A. Pundt, “Hydrogen in Metals,” </w:t>
      </w:r>
      <w:r w:rsidRPr="00EC62EF">
        <w:rPr>
          <w:rFonts w:ascii="Calibri" w:hAnsi="Calibri" w:cs="Calibri"/>
          <w:i/>
          <w:iCs/>
          <w:noProof/>
          <w:szCs w:val="24"/>
        </w:rPr>
        <w:t>Phys. Metall. Fifth Ed.</w:t>
      </w:r>
      <w:r w:rsidRPr="00EC62EF">
        <w:rPr>
          <w:rFonts w:ascii="Calibri" w:hAnsi="Calibri" w:cs="Calibri"/>
          <w:noProof/>
          <w:szCs w:val="24"/>
        </w:rPr>
        <w:t>, vol. 1, pp. 2597–2705, 2014.</w:t>
      </w:r>
    </w:p>
    <w:p w14:paraId="4C627F5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[480]</w:t>
      </w:r>
      <w:r w:rsidRPr="00EC62EF">
        <w:rPr>
          <w:rFonts w:ascii="Calibri" w:hAnsi="Calibri" w:cs="Calibri"/>
          <w:noProof/>
          <w:szCs w:val="24"/>
        </w:rPr>
        <w:tab/>
        <w:t xml:space="preserve">F. S. Torknik, A. Maghsoudipour, M. Keyanpour-Rad, G. M. Choi, S. H. Oh, and G. Y. Shin, “Microstructural refinement of Ni/Ce0.8Gd0.2O 2-δ anodes for low-temperature solid oxide fuel cell by wet infiltration loading of PdCl2,” </w:t>
      </w:r>
      <w:r w:rsidRPr="00EC62EF">
        <w:rPr>
          <w:rFonts w:ascii="Calibri" w:hAnsi="Calibri" w:cs="Calibri"/>
          <w:i/>
          <w:iCs/>
          <w:noProof/>
          <w:szCs w:val="24"/>
        </w:rPr>
        <w:t>Ceram. Int.</w:t>
      </w:r>
      <w:r w:rsidRPr="00EC62EF">
        <w:rPr>
          <w:rFonts w:ascii="Calibri" w:hAnsi="Calibri" w:cs="Calibri"/>
          <w:noProof/>
          <w:szCs w:val="24"/>
        </w:rPr>
        <w:t>, vol. 40, no. 8 PART A, pp. 12299–12312, 2014.</w:t>
      </w:r>
    </w:p>
    <w:p w14:paraId="79BC101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[481]</w:t>
      </w:r>
      <w:r w:rsidRPr="00EC62EF">
        <w:rPr>
          <w:rFonts w:ascii="Calibri" w:hAnsi="Calibri" w:cs="Calibri"/>
          <w:noProof/>
          <w:szCs w:val="24"/>
        </w:rPr>
        <w:tab/>
        <w:t>Primdahl Søren, “Nickel/yttria-stabilised zirconia cermet anodes for solid oxide fuel cells,” Universiteit Twente, 1999.</w:t>
      </w:r>
    </w:p>
    <w:p w14:paraId="3EC2E46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[482]</w:t>
      </w:r>
      <w:r w:rsidRPr="00EC62EF">
        <w:rPr>
          <w:rFonts w:ascii="Calibri" w:hAnsi="Calibri" w:cs="Calibri"/>
          <w:noProof/>
          <w:szCs w:val="24"/>
        </w:rPr>
        <w:tab/>
        <w:t xml:space="preserve">T. T. Aindow, A. T. Haug, and D. Jayne, “Platinum catalyst degradation in phosphoric acid fuel cells for stationary applications,” </w:t>
      </w:r>
      <w:r w:rsidRPr="00EC62EF">
        <w:rPr>
          <w:rFonts w:ascii="Calibri" w:hAnsi="Calibri" w:cs="Calibri"/>
          <w:i/>
          <w:iCs/>
          <w:noProof/>
          <w:szCs w:val="24"/>
        </w:rPr>
        <w:t>J. Power Sources</w:t>
      </w:r>
      <w:r w:rsidRPr="00EC62EF">
        <w:rPr>
          <w:rFonts w:ascii="Calibri" w:hAnsi="Calibri" w:cs="Calibri"/>
          <w:noProof/>
          <w:szCs w:val="24"/>
        </w:rPr>
        <w:t>, vol. 196, no. 10, pp. 4506–4514, 2011.</w:t>
      </w:r>
    </w:p>
    <w:p w14:paraId="55C1225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[483]</w:t>
      </w:r>
      <w:r w:rsidRPr="00EC62EF">
        <w:rPr>
          <w:rFonts w:ascii="Calibri" w:hAnsi="Calibri" w:cs="Calibri"/>
          <w:noProof/>
          <w:szCs w:val="24"/>
        </w:rPr>
        <w:tab/>
        <w:t>B. D. Mcdonald, “The History of the Melting of Platinum,” pp. 55–60, 1958.</w:t>
      </w:r>
    </w:p>
    <w:p w14:paraId="6D4FB5D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[484]</w:t>
      </w:r>
      <w:r w:rsidRPr="00EC62EF">
        <w:rPr>
          <w:rFonts w:ascii="Calibri" w:hAnsi="Calibri" w:cs="Calibri"/>
          <w:noProof/>
          <w:szCs w:val="24"/>
        </w:rPr>
        <w:tab/>
        <w:t xml:space="preserve">H. Tu and U. Stimming, “Advances, aging mechanisms and lifetime in solid-oxide fuel cells,” </w:t>
      </w:r>
      <w:r w:rsidRPr="00EC62EF">
        <w:rPr>
          <w:rFonts w:ascii="Calibri" w:hAnsi="Calibri" w:cs="Calibri"/>
          <w:i/>
          <w:iCs/>
          <w:noProof/>
          <w:szCs w:val="24"/>
        </w:rPr>
        <w:t>J. Power Sources</w:t>
      </w:r>
      <w:r w:rsidRPr="00EC62EF">
        <w:rPr>
          <w:rFonts w:ascii="Calibri" w:hAnsi="Calibri" w:cs="Calibri"/>
          <w:noProof/>
          <w:szCs w:val="24"/>
        </w:rPr>
        <w:t>, vol. 127, no. 1–2, pp. 284–293, 2004.</w:t>
      </w:r>
    </w:p>
    <w:p w14:paraId="2600604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[485]</w:t>
      </w:r>
      <w:r w:rsidRPr="00EC62EF">
        <w:rPr>
          <w:rFonts w:ascii="Calibri" w:hAnsi="Calibri" w:cs="Calibri"/>
          <w:noProof/>
          <w:szCs w:val="24"/>
        </w:rPr>
        <w:tab/>
        <w:t xml:space="preserve">P. R. Shearing, J. Gelb, J. Yi, W. K. Lee, M. Drakopolous, and N. P. Brandon, “Analysis of triple phase contact in Ni–YSZ microstructures using non-destructive X-ray tomography with synchrotron radiation,” </w:t>
      </w:r>
      <w:r w:rsidRPr="00EC62EF">
        <w:rPr>
          <w:rFonts w:ascii="Calibri" w:hAnsi="Calibri" w:cs="Calibri"/>
          <w:i/>
          <w:iCs/>
          <w:noProof/>
          <w:szCs w:val="24"/>
        </w:rPr>
        <w:t>Electrochem. commun.</w:t>
      </w:r>
      <w:r w:rsidRPr="00EC62EF">
        <w:rPr>
          <w:rFonts w:ascii="Calibri" w:hAnsi="Calibri" w:cs="Calibri"/>
          <w:noProof/>
          <w:szCs w:val="24"/>
        </w:rPr>
        <w:t>, vol. 12, no. 8, pp. 1021–1024, 2010.</w:t>
      </w:r>
    </w:p>
    <w:p w14:paraId="7779ABC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[486]</w:t>
      </w:r>
      <w:r w:rsidRPr="00EC62EF">
        <w:rPr>
          <w:rFonts w:ascii="Calibri" w:hAnsi="Calibri" w:cs="Calibri"/>
          <w:noProof/>
          <w:szCs w:val="24"/>
        </w:rPr>
        <w:tab/>
        <w:t xml:space="preserve">X. Lu </w:t>
      </w:r>
      <w:r w:rsidRPr="00EC62EF">
        <w:rPr>
          <w:rFonts w:ascii="Calibri" w:hAnsi="Calibri" w:cs="Calibri"/>
          <w:i/>
          <w:iCs/>
          <w:noProof/>
          <w:szCs w:val="24"/>
        </w:rPr>
        <w:t>et al.</w:t>
      </w:r>
      <w:r w:rsidRPr="00EC62EF">
        <w:rPr>
          <w:rFonts w:ascii="Calibri" w:hAnsi="Calibri" w:cs="Calibri"/>
          <w:noProof/>
          <w:szCs w:val="24"/>
        </w:rPr>
        <w:t xml:space="preserve">, “Correlation between triple phase boundary and the microstructure of Solid Oxide Fuel Cell anodes: The role of composition, porosity and Ni densification,” </w:t>
      </w:r>
      <w:r w:rsidRPr="00EC62EF">
        <w:rPr>
          <w:rFonts w:ascii="Calibri" w:hAnsi="Calibri" w:cs="Calibri"/>
          <w:i/>
          <w:iCs/>
          <w:noProof/>
          <w:szCs w:val="24"/>
        </w:rPr>
        <w:t>J. Power Sources</w:t>
      </w:r>
      <w:r w:rsidRPr="00EC62EF">
        <w:rPr>
          <w:rFonts w:ascii="Calibri" w:hAnsi="Calibri" w:cs="Calibri"/>
          <w:noProof/>
          <w:szCs w:val="24"/>
        </w:rPr>
        <w:t>, vol. 365, pp. 210–219, 2017.</w:t>
      </w:r>
    </w:p>
    <w:p w14:paraId="11BED48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[487]</w:t>
      </w:r>
      <w:r w:rsidRPr="00EC62EF">
        <w:rPr>
          <w:rFonts w:ascii="Calibri" w:hAnsi="Calibri" w:cs="Calibri"/>
          <w:noProof/>
          <w:szCs w:val="24"/>
        </w:rPr>
        <w:tab/>
        <w:t xml:space="preserve">S. De Angelis, P. S. Jørgensen, E. H. R. Tsai, M. Holler, K. Kreka, and J. R. Bowen, “Three dimensional characterization of nickel coarsening in solid oxide cells via ex-situ ptychographic nano-tomography,” </w:t>
      </w:r>
      <w:r w:rsidRPr="00EC62EF">
        <w:rPr>
          <w:rFonts w:ascii="Calibri" w:hAnsi="Calibri" w:cs="Calibri"/>
          <w:i/>
          <w:iCs/>
          <w:noProof/>
          <w:szCs w:val="24"/>
        </w:rPr>
        <w:t>J. Power Sources</w:t>
      </w:r>
      <w:r w:rsidRPr="00EC62EF">
        <w:rPr>
          <w:rFonts w:ascii="Calibri" w:hAnsi="Calibri" w:cs="Calibri"/>
          <w:noProof/>
          <w:szCs w:val="24"/>
        </w:rPr>
        <w:t>, vol. 383, no. January, pp. 72–79, 2018.</w:t>
      </w:r>
    </w:p>
    <w:p w14:paraId="60ECB2A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[488]</w:t>
      </w:r>
      <w:r w:rsidRPr="00EC62EF">
        <w:rPr>
          <w:rFonts w:ascii="Calibri" w:hAnsi="Calibri" w:cs="Calibri"/>
          <w:noProof/>
          <w:szCs w:val="24"/>
        </w:rPr>
        <w:tab/>
        <w:t xml:space="preserve">J. T. Ma, X. P. Lin, and B. Q. Zhang, “Preparation and SEM of Ni/Ce-YSZ Anode Materials,” </w:t>
      </w:r>
      <w:r w:rsidRPr="00EC62EF">
        <w:rPr>
          <w:rFonts w:ascii="Calibri" w:hAnsi="Calibri" w:cs="Calibri"/>
          <w:i/>
          <w:iCs/>
          <w:noProof/>
          <w:szCs w:val="24"/>
        </w:rPr>
        <w:t>Key Engineering Materials</w:t>
      </w:r>
      <w:r w:rsidRPr="00EC62EF">
        <w:rPr>
          <w:rFonts w:ascii="Calibri" w:hAnsi="Calibri" w:cs="Calibri"/>
          <w:noProof/>
          <w:szCs w:val="24"/>
        </w:rPr>
        <w:t>, vol. 336–338. pp. 387–390, 2009.</w:t>
      </w:r>
    </w:p>
    <w:p w14:paraId="738DDE6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[489]</w:t>
      </w:r>
      <w:r w:rsidRPr="00EC62EF">
        <w:rPr>
          <w:rFonts w:ascii="Calibri" w:hAnsi="Calibri" w:cs="Calibri"/>
          <w:noProof/>
          <w:szCs w:val="24"/>
        </w:rPr>
        <w:tab/>
        <w:t xml:space="preserve">A. Cao, R. Lu, and G. Veser, “Stabilizing metal nanoparticles for heterogeneous catalysis,” </w:t>
      </w:r>
      <w:r w:rsidRPr="00EC62EF">
        <w:rPr>
          <w:rFonts w:ascii="Calibri" w:hAnsi="Calibri" w:cs="Calibri"/>
          <w:i/>
          <w:iCs/>
          <w:noProof/>
          <w:szCs w:val="24"/>
        </w:rPr>
        <w:t>Phys. Chem. Chem. Phys.</w:t>
      </w:r>
      <w:r w:rsidRPr="00EC62EF">
        <w:rPr>
          <w:rFonts w:ascii="Calibri" w:hAnsi="Calibri" w:cs="Calibri"/>
          <w:noProof/>
          <w:szCs w:val="24"/>
        </w:rPr>
        <w:t>, vol. 12, no. 41, p. 13499, Oct. 2010.</w:t>
      </w:r>
    </w:p>
    <w:p w14:paraId="2499B7F6"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[490]</w:t>
      </w:r>
      <w:r w:rsidRPr="00EC62EF">
        <w:rPr>
          <w:rFonts w:ascii="Calibri" w:hAnsi="Calibri" w:cs="Calibri"/>
          <w:noProof/>
          <w:szCs w:val="24"/>
        </w:rPr>
        <w:tab/>
        <w:t xml:space="preserve">T. M. M. Heenan, D. J. . Brett, and P. R. Shearing, “X-ray attenuation properties of commonly employed solid oxide fuel cell materials,” </w:t>
      </w:r>
      <w:r w:rsidRPr="00EC62EF">
        <w:rPr>
          <w:rFonts w:ascii="Calibri" w:hAnsi="Calibri" w:cs="Calibri"/>
          <w:i/>
          <w:iCs/>
          <w:noProof/>
          <w:szCs w:val="24"/>
        </w:rPr>
        <w:t>J. Phys. Conf. Ser.</w:t>
      </w:r>
      <w:r w:rsidRPr="00EC62EF">
        <w:rPr>
          <w:rFonts w:ascii="Calibri" w:hAnsi="Calibri" w:cs="Calibri"/>
          <w:noProof/>
          <w:szCs w:val="24"/>
        </w:rPr>
        <w:t>, vol. 849, 2017.</w:t>
      </w:r>
    </w:p>
    <w:p w14:paraId="3833282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[491]</w:t>
      </w:r>
      <w:r w:rsidRPr="00EC62EF">
        <w:rPr>
          <w:rFonts w:ascii="Calibri" w:hAnsi="Calibri" w:cs="Calibri"/>
          <w:noProof/>
          <w:szCs w:val="24"/>
        </w:rPr>
        <w:tab/>
        <w:t xml:space="preserve">M. E. Wieser, “Atomic weights of the elements 2005 (IUPAC Technical Report),” </w:t>
      </w:r>
      <w:r w:rsidRPr="00EC62EF">
        <w:rPr>
          <w:rFonts w:ascii="Calibri" w:hAnsi="Calibri" w:cs="Calibri"/>
          <w:i/>
          <w:iCs/>
          <w:noProof/>
          <w:szCs w:val="24"/>
        </w:rPr>
        <w:t>Pure Appl. Chem.</w:t>
      </w:r>
      <w:r w:rsidRPr="00EC62EF">
        <w:rPr>
          <w:rFonts w:ascii="Calibri" w:hAnsi="Calibri" w:cs="Calibri"/>
          <w:noProof/>
          <w:szCs w:val="24"/>
        </w:rPr>
        <w:t>, vol. 78, no. 11, pp. 2051–2066, 2006.</w:t>
      </w:r>
    </w:p>
    <w:p w14:paraId="1D98BE4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[492]</w:t>
      </w:r>
      <w:r w:rsidRPr="00EC62EF">
        <w:rPr>
          <w:rFonts w:ascii="Calibri" w:hAnsi="Calibri" w:cs="Calibri"/>
          <w:noProof/>
          <w:szCs w:val="24"/>
        </w:rPr>
        <w:tab/>
        <w:t xml:space="preserve">J. R. Wilson, J. S. Cronin, and S. A. Barnett, “Linking the microstructure, performance and durability of Ni-yttria-stabilized zirconia solid oxide fuel cell anodes using three-dimensional focused ion beam–scanning electron microscopy imaging,” </w:t>
      </w:r>
      <w:r w:rsidRPr="00EC62EF">
        <w:rPr>
          <w:rFonts w:ascii="Calibri" w:hAnsi="Calibri" w:cs="Calibri"/>
          <w:i/>
          <w:iCs/>
          <w:noProof/>
          <w:szCs w:val="24"/>
        </w:rPr>
        <w:t>Scr. Mater.</w:t>
      </w:r>
      <w:r w:rsidRPr="00EC62EF">
        <w:rPr>
          <w:rFonts w:ascii="Calibri" w:hAnsi="Calibri" w:cs="Calibri"/>
          <w:noProof/>
          <w:szCs w:val="24"/>
        </w:rPr>
        <w:t>, vol. 65, no. 2, pp. 67–72, Jul. 2011.</w:t>
      </w:r>
    </w:p>
    <w:p w14:paraId="07C7AC24"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[493]</w:t>
      </w:r>
      <w:r w:rsidRPr="00EC62EF">
        <w:rPr>
          <w:rFonts w:ascii="Calibri" w:hAnsi="Calibri" w:cs="Calibri"/>
          <w:noProof/>
          <w:szCs w:val="24"/>
        </w:rPr>
        <w:tab/>
        <w:t xml:space="preserve">P. L. Llewellyn, V. Chevrot, J. Ragaï, O. Cerclier, J. Estienne, and F. Rouquérol, “Preparation of reactive nickel oxide by the controlled thermolysis of hexahydrated nickel nitrate,” </w:t>
      </w:r>
      <w:r w:rsidRPr="00EC62EF">
        <w:rPr>
          <w:rFonts w:ascii="Calibri" w:hAnsi="Calibri" w:cs="Calibri"/>
          <w:i/>
          <w:iCs/>
          <w:noProof/>
          <w:szCs w:val="24"/>
        </w:rPr>
        <w:t>Solid State Ionics</w:t>
      </w:r>
      <w:r w:rsidRPr="00EC62EF">
        <w:rPr>
          <w:rFonts w:ascii="Calibri" w:hAnsi="Calibri" w:cs="Calibri"/>
          <w:noProof/>
          <w:szCs w:val="24"/>
        </w:rPr>
        <w:t>, vol. 101–103, no. PART 1, pp. 1293–1298, 1997.</w:t>
      </w:r>
    </w:p>
    <w:p w14:paraId="1223A378"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[494]</w:t>
      </w:r>
      <w:r w:rsidRPr="00EC62EF">
        <w:rPr>
          <w:rFonts w:ascii="Calibri" w:hAnsi="Calibri" w:cs="Calibri"/>
          <w:noProof/>
          <w:szCs w:val="24"/>
        </w:rPr>
        <w:tab/>
        <w:t xml:space="preserve">K. Maniammal, G. Madhu, and V. Biju, “X-ray diffraction line profile analysis of nanostructured nickel oxide: Shape factor and convolution of crystallite size and microstrain contributions,” </w:t>
      </w:r>
      <w:r w:rsidRPr="00EC62EF">
        <w:rPr>
          <w:rFonts w:ascii="Calibri" w:hAnsi="Calibri" w:cs="Calibri"/>
          <w:i/>
          <w:iCs/>
          <w:noProof/>
          <w:szCs w:val="24"/>
        </w:rPr>
        <w:t>Phys. E Low-dimensional Syst. Nanostructures</w:t>
      </w:r>
      <w:r w:rsidRPr="00EC62EF">
        <w:rPr>
          <w:rFonts w:ascii="Calibri" w:hAnsi="Calibri" w:cs="Calibri"/>
          <w:noProof/>
          <w:szCs w:val="24"/>
        </w:rPr>
        <w:t>, vol. 85, pp. 214–222, 2017.</w:t>
      </w:r>
    </w:p>
    <w:p w14:paraId="7C42E385"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lastRenderedPageBreak/>
        <w:t>[495]</w:t>
      </w:r>
      <w:r w:rsidRPr="00EC62EF">
        <w:rPr>
          <w:rFonts w:ascii="Calibri" w:hAnsi="Calibri" w:cs="Calibri"/>
          <w:noProof/>
          <w:szCs w:val="24"/>
        </w:rPr>
        <w:tab/>
        <w:t xml:space="preserve">J. I. Langford and A. J. C. Wilson, “Scherrer after sixty years: A survey and some new results in the determination of crystallite size,” </w:t>
      </w:r>
      <w:r w:rsidRPr="00EC62EF">
        <w:rPr>
          <w:rFonts w:ascii="Calibri" w:hAnsi="Calibri" w:cs="Calibri"/>
          <w:i/>
          <w:iCs/>
          <w:noProof/>
          <w:szCs w:val="24"/>
        </w:rPr>
        <w:t>J. Appl. Crystallogr.</w:t>
      </w:r>
      <w:r w:rsidRPr="00EC62EF">
        <w:rPr>
          <w:rFonts w:ascii="Calibri" w:hAnsi="Calibri" w:cs="Calibri"/>
          <w:noProof/>
          <w:szCs w:val="24"/>
        </w:rPr>
        <w:t>, vol. 11, no. 2, pp. 102–113, Apr. 1978.</w:t>
      </w:r>
    </w:p>
    <w:p w14:paraId="2D1F569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[496]</w:t>
      </w:r>
      <w:r w:rsidRPr="00EC62EF">
        <w:rPr>
          <w:rFonts w:ascii="Calibri" w:hAnsi="Calibri" w:cs="Calibri"/>
          <w:noProof/>
          <w:szCs w:val="24"/>
        </w:rPr>
        <w:tab/>
        <w:t xml:space="preserve">“transmittance, T, τ,” </w:t>
      </w:r>
      <w:r w:rsidRPr="00EC62EF">
        <w:rPr>
          <w:rFonts w:ascii="Calibri" w:hAnsi="Calibri" w:cs="Calibri"/>
          <w:i/>
          <w:iCs/>
          <w:noProof/>
          <w:szCs w:val="24"/>
        </w:rPr>
        <w:t>IUPAC Compend. Chem. Terminol.</w:t>
      </w:r>
      <w:r w:rsidRPr="00EC62EF">
        <w:rPr>
          <w:rFonts w:ascii="Calibri" w:hAnsi="Calibri" w:cs="Calibri"/>
          <w:noProof/>
          <w:szCs w:val="24"/>
        </w:rPr>
        <w:t>, 2008.</w:t>
      </w:r>
    </w:p>
    <w:p w14:paraId="264A6AB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[497]</w:t>
      </w:r>
      <w:r w:rsidRPr="00EC62EF">
        <w:rPr>
          <w:rFonts w:ascii="Calibri" w:hAnsi="Calibri" w:cs="Calibri"/>
          <w:noProof/>
          <w:szCs w:val="24"/>
        </w:rPr>
        <w:tab/>
        <w:t xml:space="preserve">Beer, “Bestimmung der Absorption des rothen Lichts in farbigen Flüssigkeiten,” </w:t>
      </w:r>
      <w:r w:rsidRPr="00EC62EF">
        <w:rPr>
          <w:rFonts w:ascii="Calibri" w:hAnsi="Calibri" w:cs="Calibri"/>
          <w:i/>
          <w:iCs/>
          <w:noProof/>
          <w:szCs w:val="24"/>
        </w:rPr>
        <w:t>Ann. Phys.</w:t>
      </w:r>
      <w:r w:rsidRPr="00EC62EF">
        <w:rPr>
          <w:rFonts w:ascii="Calibri" w:hAnsi="Calibri" w:cs="Calibri"/>
          <w:noProof/>
          <w:szCs w:val="24"/>
        </w:rPr>
        <w:t>, vol. 162, no. 5, pp. 78–88, 1852.</w:t>
      </w:r>
    </w:p>
    <w:p w14:paraId="0FED231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[498]</w:t>
      </w:r>
      <w:r w:rsidRPr="00EC62EF">
        <w:rPr>
          <w:rFonts w:ascii="Calibri" w:hAnsi="Calibri" w:cs="Calibri"/>
          <w:noProof/>
          <w:szCs w:val="24"/>
        </w:rPr>
        <w:tab/>
        <w:t xml:space="preserve">Klett, E. Witwe, Detleffsen, C. Peter, and others, </w:t>
      </w:r>
      <w:r w:rsidRPr="00EC62EF">
        <w:rPr>
          <w:rFonts w:ascii="Calibri" w:hAnsi="Calibri" w:cs="Calibri"/>
          <w:i/>
          <w:iCs/>
          <w:noProof/>
          <w:szCs w:val="24"/>
        </w:rPr>
        <w:t>IH Lambert... Photometria sive de mensura et gradibus luminis, colorum et umbrae</w:t>
      </w:r>
      <w:r w:rsidRPr="00EC62EF">
        <w:rPr>
          <w:rFonts w:ascii="Calibri" w:hAnsi="Calibri" w:cs="Calibri"/>
          <w:noProof/>
          <w:szCs w:val="24"/>
        </w:rPr>
        <w:t>. 1760.</w:t>
      </w:r>
    </w:p>
    <w:p w14:paraId="1766C6D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[499]</w:t>
      </w:r>
      <w:r w:rsidRPr="00EC62EF">
        <w:rPr>
          <w:rFonts w:ascii="Calibri" w:hAnsi="Calibri" w:cs="Calibri"/>
          <w:noProof/>
          <w:szCs w:val="24"/>
        </w:rPr>
        <w:tab/>
        <w:t xml:space="preserve">P. Bouguer, “Essai d’optique sur la gradation de la lumière,” </w:t>
      </w:r>
      <w:r w:rsidRPr="00EC62EF">
        <w:rPr>
          <w:rFonts w:ascii="Calibri" w:hAnsi="Calibri" w:cs="Calibri"/>
          <w:i/>
          <w:iCs/>
          <w:noProof/>
          <w:szCs w:val="24"/>
        </w:rPr>
        <w:t>Nature</w:t>
      </w:r>
      <w:r w:rsidRPr="00EC62EF">
        <w:rPr>
          <w:rFonts w:ascii="Calibri" w:hAnsi="Calibri" w:cs="Calibri"/>
          <w:noProof/>
          <w:szCs w:val="24"/>
        </w:rPr>
        <w:t>, vol. 111, no. 2784, pp. 320–320, 1923.</w:t>
      </w:r>
    </w:p>
    <w:p w14:paraId="5CE748D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[500]</w:t>
      </w:r>
      <w:r w:rsidRPr="00EC62EF">
        <w:rPr>
          <w:rFonts w:ascii="Calibri" w:hAnsi="Calibri" w:cs="Calibri"/>
          <w:noProof/>
          <w:szCs w:val="24"/>
        </w:rPr>
        <w:tab/>
        <w:t xml:space="preserve">B. L. Henke, E. M. Gullikson, and J. C. Davis, “X-ray Interactions: Photoabsoprtion, Scattering, Transmission and Reflection at E=50-30,000 eV, Z=1-92,” </w:t>
      </w:r>
      <w:r w:rsidRPr="00EC62EF">
        <w:rPr>
          <w:rFonts w:ascii="Calibri" w:hAnsi="Calibri" w:cs="Calibri"/>
          <w:i/>
          <w:iCs/>
          <w:noProof/>
          <w:szCs w:val="24"/>
        </w:rPr>
        <w:t>At. Data Nucl. Data</w:t>
      </w:r>
      <w:r w:rsidRPr="00EC62EF">
        <w:rPr>
          <w:rFonts w:ascii="Calibri" w:hAnsi="Calibri" w:cs="Calibri"/>
          <w:noProof/>
          <w:szCs w:val="24"/>
        </w:rPr>
        <w:t>, vol. 54, pp. 181–342, 1993.</w:t>
      </w:r>
    </w:p>
    <w:p w14:paraId="2FE29AC1"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[501]</w:t>
      </w:r>
      <w:r w:rsidRPr="00EC62EF">
        <w:rPr>
          <w:rFonts w:ascii="Calibri" w:hAnsi="Calibri" w:cs="Calibri"/>
          <w:noProof/>
          <w:szCs w:val="24"/>
        </w:rPr>
        <w:tab/>
        <w:t xml:space="preserve">D. Simwonis, “Nickel coarsening in annealed Ni/8YSZ anode substrates for solid oxide fuel cells,” </w:t>
      </w:r>
      <w:r w:rsidRPr="00EC62EF">
        <w:rPr>
          <w:rFonts w:ascii="Calibri" w:hAnsi="Calibri" w:cs="Calibri"/>
          <w:i/>
          <w:iCs/>
          <w:noProof/>
          <w:szCs w:val="24"/>
        </w:rPr>
        <w:t>Solid State Ionics</w:t>
      </w:r>
      <w:r w:rsidRPr="00EC62EF">
        <w:rPr>
          <w:rFonts w:ascii="Calibri" w:hAnsi="Calibri" w:cs="Calibri"/>
          <w:noProof/>
          <w:szCs w:val="24"/>
        </w:rPr>
        <w:t>, vol. 132, no. 3–4, pp. 241–251, 2002.</w:t>
      </w:r>
    </w:p>
    <w:p w14:paraId="2357A38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[502]</w:t>
      </w:r>
      <w:r w:rsidRPr="00EC62EF">
        <w:rPr>
          <w:rFonts w:ascii="Calibri" w:hAnsi="Calibri" w:cs="Calibri"/>
          <w:noProof/>
          <w:szCs w:val="24"/>
        </w:rPr>
        <w:tab/>
        <w:t xml:space="preserve">A. T. DeLaRiva, T. W. Hansen, S. R. Challa, and A. K. Datye, “In situ Transmission Electron Microscopy of catalyst sintering,” </w:t>
      </w:r>
      <w:r w:rsidRPr="00EC62EF">
        <w:rPr>
          <w:rFonts w:ascii="Calibri" w:hAnsi="Calibri" w:cs="Calibri"/>
          <w:i/>
          <w:iCs/>
          <w:noProof/>
          <w:szCs w:val="24"/>
        </w:rPr>
        <w:t>J. Catal.</w:t>
      </w:r>
      <w:r w:rsidRPr="00EC62EF">
        <w:rPr>
          <w:rFonts w:ascii="Calibri" w:hAnsi="Calibri" w:cs="Calibri"/>
          <w:noProof/>
          <w:szCs w:val="24"/>
        </w:rPr>
        <w:t>, vol. 308, pp. 291–305, 2013.</w:t>
      </w:r>
    </w:p>
    <w:p w14:paraId="7428209E"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[503]</w:t>
      </w:r>
      <w:r w:rsidRPr="00EC62EF">
        <w:rPr>
          <w:rFonts w:ascii="Calibri" w:hAnsi="Calibri" w:cs="Calibri"/>
          <w:noProof/>
          <w:szCs w:val="24"/>
        </w:rPr>
        <w:tab/>
        <w:t>A. T. DeLaRiva, “Sintering of Ni/MgAl2O4 catalyst via in-situ TEM,” The University of New Mexico, 2010.</w:t>
      </w:r>
    </w:p>
    <w:p w14:paraId="4278334D"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[504]</w:t>
      </w:r>
      <w:r w:rsidRPr="00EC62EF">
        <w:rPr>
          <w:rFonts w:ascii="Calibri" w:hAnsi="Calibri" w:cs="Calibri"/>
          <w:noProof/>
          <w:szCs w:val="24"/>
        </w:rPr>
        <w:tab/>
        <w:t>J. G. Crump, “Crystallite Size Distributions of Sintered Nickel Catalysts,” vol. 85, pp. 417–425, 1979.</w:t>
      </w:r>
    </w:p>
    <w:p w14:paraId="1854EC03"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[505]</w:t>
      </w:r>
      <w:r w:rsidRPr="00EC62EF">
        <w:rPr>
          <w:rFonts w:ascii="Calibri" w:hAnsi="Calibri" w:cs="Calibri"/>
          <w:noProof/>
          <w:szCs w:val="24"/>
        </w:rPr>
        <w:tab/>
        <w:t xml:space="preserve">J. Hou, K. Dong, L. Miao, and W. Liu, “Rationally structuring proton-conducting solid oxide fuel cell anode with Ni metal catalyst and porous skeleton,” </w:t>
      </w:r>
      <w:r w:rsidRPr="00EC62EF">
        <w:rPr>
          <w:rFonts w:ascii="Calibri" w:hAnsi="Calibri" w:cs="Calibri"/>
          <w:i/>
          <w:iCs/>
          <w:noProof/>
          <w:szCs w:val="24"/>
        </w:rPr>
        <w:t>Ceram. Int.</w:t>
      </w:r>
      <w:r w:rsidRPr="00EC62EF">
        <w:rPr>
          <w:rFonts w:ascii="Calibri" w:hAnsi="Calibri" w:cs="Calibri"/>
          <w:noProof/>
          <w:szCs w:val="24"/>
        </w:rPr>
        <w:t>, 2020.</w:t>
      </w:r>
    </w:p>
    <w:p w14:paraId="0CEEFD2B"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[506]</w:t>
      </w:r>
      <w:r w:rsidRPr="00EC62EF">
        <w:rPr>
          <w:rFonts w:ascii="Calibri" w:hAnsi="Calibri" w:cs="Calibri"/>
          <w:noProof/>
          <w:szCs w:val="24"/>
        </w:rPr>
        <w:tab/>
        <w:t xml:space="preserve">P. Keyvanfar </w:t>
      </w:r>
      <w:r w:rsidRPr="00EC62EF">
        <w:rPr>
          <w:rFonts w:ascii="Calibri" w:hAnsi="Calibri" w:cs="Calibri"/>
          <w:i/>
          <w:iCs/>
          <w:noProof/>
          <w:szCs w:val="24"/>
        </w:rPr>
        <w:t>et al.</w:t>
      </w:r>
      <w:r w:rsidRPr="00EC62EF">
        <w:rPr>
          <w:rFonts w:ascii="Calibri" w:hAnsi="Calibri" w:cs="Calibri"/>
          <w:noProof/>
          <w:szCs w:val="24"/>
        </w:rPr>
        <w:t xml:space="preserve">, “Enhancement of Ni-(Y2O3)0.08(ZrO2)0.92 fuel electrode performance by infiltration of Ce0.8Gd0.2O2-: δ nanoparticles,” </w:t>
      </w:r>
      <w:r w:rsidRPr="00EC62EF">
        <w:rPr>
          <w:rFonts w:ascii="Calibri" w:hAnsi="Calibri" w:cs="Calibri"/>
          <w:i/>
          <w:iCs/>
          <w:noProof/>
          <w:szCs w:val="24"/>
        </w:rPr>
        <w:t>J. Mater. Chem. A</w:t>
      </w:r>
      <w:r w:rsidRPr="00EC62EF">
        <w:rPr>
          <w:rFonts w:ascii="Calibri" w:hAnsi="Calibri" w:cs="Calibri"/>
          <w:noProof/>
          <w:szCs w:val="24"/>
        </w:rPr>
        <w:t>, vol. 8, no. 7, pp. 4099–4106, 2020.</w:t>
      </w:r>
    </w:p>
    <w:p w14:paraId="47731870"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[507]</w:t>
      </w:r>
      <w:r w:rsidRPr="00EC62EF">
        <w:rPr>
          <w:rFonts w:ascii="Calibri" w:hAnsi="Calibri" w:cs="Calibri"/>
          <w:noProof/>
          <w:szCs w:val="24"/>
        </w:rPr>
        <w:tab/>
        <w:t xml:space="preserve">P. R. Shearing, J. Gelb, J. Yi, W. K. Lee, M. Drakopolous, and N. P. Brandon, “Analysis of triple phase contact in Ni-YSZ microstructures using non-destructive X-ray tomography with synchrotron radiation,” </w:t>
      </w:r>
      <w:r w:rsidRPr="00EC62EF">
        <w:rPr>
          <w:rFonts w:ascii="Calibri" w:hAnsi="Calibri" w:cs="Calibri"/>
          <w:i/>
          <w:iCs/>
          <w:noProof/>
          <w:szCs w:val="24"/>
        </w:rPr>
        <w:t>Electrochem. commun.</w:t>
      </w:r>
      <w:r w:rsidRPr="00EC62EF">
        <w:rPr>
          <w:rFonts w:ascii="Calibri" w:hAnsi="Calibri" w:cs="Calibri"/>
          <w:noProof/>
          <w:szCs w:val="24"/>
        </w:rPr>
        <w:t>, vol. 12, no. 8, pp. 1021–1024, 2010.</w:t>
      </w:r>
    </w:p>
    <w:p w14:paraId="257D54E9"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[508]</w:t>
      </w:r>
      <w:r w:rsidRPr="00EC62EF">
        <w:rPr>
          <w:rFonts w:ascii="Calibri" w:hAnsi="Calibri" w:cs="Calibri"/>
          <w:noProof/>
          <w:szCs w:val="24"/>
        </w:rPr>
        <w:tab/>
        <w:t xml:space="preserve">Y. Guan </w:t>
      </w:r>
      <w:r w:rsidRPr="00EC62EF">
        <w:rPr>
          <w:rFonts w:ascii="Calibri" w:hAnsi="Calibri" w:cs="Calibri"/>
          <w:i/>
          <w:iCs/>
          <w:noProof/>
          <w:szCs w:val="24"/>
        </w:rPr>
        <w:t>et al.</w:t>
      </w:r>
      <w:r w:rsidRPr="00EC62EF">
        <w:rPr>
          <w:rFonts w:ascii="Calibri" w:hAnsi="Calibri" w:cs="Calibri"/>
          <w:noProof/>
          <w:szCs w:val="24"/>
        </w:rPr>
        <w:t xml:space="preserve">, “Quantitative analysis of micro structural and conductivity evolution of Ni-YSZ anodes during thermal cycling based on nano-computed tomography,” </w:t>
      </w:r>
      <w:r w:rsidRPr="00EC62EF">
        <w:rPr>
          <w:rFonts w:ascii="Calibri" w:hAnsi="Calibri" w:cs="Calibri"/>
          <w:i/>
          <w:iCs/>
          <w:noProof/>
          <w:szCs w:val="24"/>
        </w:rPr>
        <w:t>J. Power Sources</w:t>
      </w:r>
      <w:r w:rsidRPr="00EC62EF">
        <w:rPr>
          <w:rFonts w:ascii="Calibri" w:hAnsi="Calibri" w:cs="Calibri"/>
          <w:noProof/>
          <w:szCs w:val="24"/>
        </w:rPr>
        <w:t>, vol. 196, no. 24, pp. 10601–10605, 2011.</w:t>
      </w:r>
    </w:p>
    <w:p w14:paraId="542F286A"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[509]</w:t>
      </w:r>
      <w:r w:rsidRPr="00EC62EF">
        <w:rPr>
          <w:rFonts w:ascii="Calibri" w:hAnsi="Calibri" w:cs="Calibri"/>
          <w:noProof/>
          <w:szCs w:val="24"/>
        </w:rPr>
        <w:tab/>
        <w:t xml:space="preserve">Z. Jamil, E. Ruiz-Trejo, P. Boldrin, and N. P. Brandon, “Anode fabrication for solid oxide fuel cells: Electroless and electrodeposition of nickel and silver into doped ceria scaffolds,” </w:t>
      </w:r>
      <w:r w:rsidRPr="00EC62EF">
        <w:rPr>
          <w:rFonts w:ascii="Calibri" w:hAnsi="Calibri" w:cs="Calibri"/>
          <w:i/>
          <w:iCs/>
          <w:noProof/>
          <w:szCs w:val="24"/>
        </w:rPr>
        <w:t>Int. J. Hydrogen Energy</w:t>
      </w:r>
      <w:r w:rsidRPr="00EC62EF">
        <w:rPr>
          <w:rFonts w:ascii="Calibri" w:hAnsi="Calibri" w:cs="Calibri"/>
          <w:noProof/>
          <w:szCs w:val="24"/>
        </w:rPr>
        <w:t>, vol. 41, no. 22, pp. 9627–9637, Jun. 2016.</w:t>
      </w:r>
    </w:p>
    <w:p w14:paraId="302E4612"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[510]</w:t>
      </w:r>
      <w:r w:rsidRPr="00EC62EF">
        <w:rPr>
          <w:rFonts w:ascii="Calibri" w:hAnsi="Calibri" w:cs="Calibri"/>
          <w:noProof/>
          <w:szCs w:val="24"/>
        </w:rPr>
        <w:tab/>
        <w:t xml:space="preserve">D. R. Driscoll, M. D. McIntyre, M. M. Welander, S. W. Sofie, and R. A. Walker, “Enhancement of high temperature metallic catalysts: Aluminum titanate in the nickel-zirconia system,” </w:t>
      </w:r>
      <w:r w:rsidRPr="00EC62EF">
        <w:rPr>
          <w:rFonts w:ascii="Calibri" w:hAnsi="Calibri" w:cs="Calibri"/>
          <w:i/>
          <w:iCs/>
          <w:noProof/>
          <w:szCs w:val="24"/>
        </w:rPr>
        <w:t>Appl. Catal. A Gen.</w:t>
      </w:r>
      <w:r w:rsidRPr="00EC62EF">
        <w:rPr>
          <w:rFonts w:ascii="Calibri" w:hAnsi="Calibri" w:cs="Calibri"/>
          <w:noProof/>
          <w:szCs w:val="24"/>
        </w:rPr>
        <w:t>, vol. 527, pp. 36–44, 2016.</w:t>
      </w:r>
    </w:p>
    <w:p w14:paraId="7A42F907"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szCs w:val="24"/>
        </w:rPr>
      </w:pPr>
      <w:r w:rsidRPr="00EC62EF">
        <w:rPr>
          <w:rFonts w:ascii="Calibri" w:hAnsi="Calibri" w:cs="Calibri"/>
          <w:noProof/>
          <w:szCs w:val="24"/>
        </w:rPr>
        <w:t>[511]</w:t>
      </w:r>
      <w:r w:rsidRPr="00EC62EF">
        <w:rPr>
          <w:rFonts w:ascii="Calibri" w:hAnsi="Calibri" w:cs="Calibri"/>
          <w:noProof/>
          <w:szCs w:val="24"/>
        </w:rPr>
        <w:tab/>
        <w:t xml:space="preserve">G. Schiller </w:t>
      </w:r>
      <w:r w:rsidRPr="00EC62EF">
        <w:rPr>
          <w:rFonts w:ascii="Calibri" w:hAnsi="Calibri" w:cs="Calibri"/>
          <w:i/>
          <w:iCs/>
          <w:noProof/>
          <w:szCs w:val="24"/>
        </w:rPr>
        <w:t>et al.</w:t>
      </w:r>
      <w:r w:rsidRPr="00EC62EF">
        <w:rPr>
          <w:rFonts w:ascii="Calibri" w:hAnsi="Calibri" w:cs="Calibri"/>
          <w:noProof/>
          <w:szCs w:val="24"/>
        </w:rPr>
        <w:t xml:space="preserve">, “A novel concept for in situ gas-phase laser Raman spectroscopy for solid oxide fuel cell research,” </w:t>
      </w:r>
      <w:r w:rsidRPr="00EC62EF">
        <w:rPr>
          <w:rFonts w:ascii="Calibri" w:hAnsi="Calibri" w:cs="Calibri"/>
          <w:i/>
          <w:iCs/>
          <w:noProof/>
          <w:szCs w:val="24"/>
        </w:rPr>
        <w:t>Appl. Phys. B Lasers Opt.</w:t>
      </w:r>
      <w:r w:rsidRPr="00EC62EF">
        <w:rPr>
          <w:rFonts w:ascii="Calibri" w:hAnsi="Calibri" w:cs="Calibri"/>
          <w:noProof/>
          <w:szCs w:val="24"/>
        </w:rPr>
        <w:t>, vol. 111, no. 1, pp. 29–38, 2013.</w:t>
      </w:r>
    </w:p>
    <w:p w14:paraId="76586F3C" w14:textId="77777777" w:rsidR="00EC62EF" w:rsidRPr="00EC62EF" w:rsidRDefault="00EC62EF" w:rsidP="00EC62EF">
      <w:pPr>
        <w:widowControl w:val="0"/>
        <w:autoSpaceDE w:val="0"/>
        <w:autoSpaceDN w:val="0"/>
        <w:adjustRightInd w:val="0"/>
        <w:spacing w:line="240" w:lineRule="auto"/>
        <w:ind w:left="640" w:hanging="640"/>
        <w:rPr>
          <w:rFonts w:ascii="Calibri" w:hAnsi="Calibri" w:cs="Calibri"/>
          <w:noProof/>
        </w:rPr>
      </w:pPr>
      <w:r w:rsidRPr="00EC62EF">
        <w:rPr>
          <w:rFonts w:ascii="Calibri" w:hAnsi="Calibri" w:cs="Calibri"/>
          <w:noProof/>
          <w:szCs w:val="24"/>
        </w:rPr>
        <w:t>[512]</w:t>
      </w:r>
      <w:r w:rsidRPr="00EC62EF">
        <w:rPr>
          <w:rFonts w:ascii="Calibri" w:hAnsi="Calibri" w:cs="Calibri"/>
          <w:noProof/>
          <w:szCs w:val="24"/>
        </w:rPr>
        <w:tab/>
        <w:t xml:space="preserve">A. V. Call, J. G. Railsback, H. Wang, and S. A. Barnett, “Degradation of nano-scale cathodes: a </w:t>
      </w:r>
      <w:r w:rsidRPr="00EC62EF">
        <w:rPr>
          <w:rFonts w:ascii="Calibri" w:hAnsi="Calibri" w:cs="Calibri"/>
          <w:noProof/>
          <w:szCs w:val="24"/>
        </w:rPr>
        <w:lastRenderedPageBreak/>
        <w:t xml:space="preserve">new paradigm for selecting low-temperature solid oxide cell materials,” </w:t>
      </w:r>
      <w:r w:rsidRPr="00EC62EF">
        <w:rPr>
          <w:rFonts w:ascii="Calibri" w:hAnsi="Calibri" w:cs="Calibri"/>
          <w:i/>
          <w:iCs/>
          <w:noProof/>
          <w:szCs w:val="24"/>
        </w:rPr>
        <w:t>Phys. Chem. Chem. Phys.</w:t>
      </w:r>
      <w:r w:rsidRPr="00EC62EF">
        <w:rPr>
          <w:rFonts w:ascii="Calibri" w:hAnsi="Calibri" w:cs="Calibri"/>
          <w:noProof/>
          <w:szCs w:val="24"/>
        </w:rPr>
        <w:t>, vol. 18, no. 19, pp. 13216–13222, 2016.</w:t>
      </w:r>
    </w:p>
    <w:p w14:paraId="23BBA805" w14:textId="77777777" w:rsidR="00007F6C" w:rsidRDefault="00007F6C" w:rsidP="00007F6C">
      <w:r>
        <w:fldChar w:fldCharType="end"/>
      </w:r>
    </w:p>
    <w:p w14:paraId="71297BAA" w14:textId="77777777" w:rsidR="00007F6C" w:rsidRDefault="00007F6C" w:rsidP="00007F6C">
      <w:r>
        <w:br w:type="page"/>
      </w:r>
    </w:p>
    <w:p w14:paraId="5F7A1D45" w14:textId="77777777" w:rsidR="00007F6C" w:rsidRDefault="00007F6C" w:rsidP="00007F6C">
      <w:pPr>
        <w:pStyle w:val="Heading1"/>
      </w:pPr>
      <w:bookmarkStart w:id="658" w:name="_Toc69129469"/>
      <w:r>
        <w:lastRenderedPageBreak/>
        <w:t>Appendix</w:t>
      </w:r>
      <w:bookmarkEnd w:id="658"/>
    </w:p>
    <w:p w14:paraId="520D6372" w14:textId="77777777" w:rsidR="00007F6C" w:rsidRDefault="00007F6C" w:rsidP="00007F6C">
      <w:pPr>
        <w:pStyle w:val="Heading2"/>
      </w:pPr>
      <w:bookmarkStart w:id="659" w:name="_Toc69129470"/>
      <w:r>
        <w:t>4.3.1 Structural Identification</w:t>
      </w:r>
      <w:bookmarkEnd w:id="659"/>
    </w:p>
    <w:p w14:paraId="66ACDEAF" w14:textId="77777777" w:rsidR="00007F6C" w:rsidRDefault="00007F6C" w:rsidP="00007F6C">
      <w:pPr>
        <w:keepNext/>
        <w:jc w:val="center"/>
      </w:pPr>
      <w:r>
        <w:rPr>
          <w:noProof/>
        </w:rPr>
        <w:drawing>
          <wp:inline distT="0" distB="0" distL="0" distR="0" wp14:anchorId="103DC7E5" wp14:editId="2D2A4973">
            <wp:extent cx="4320000" cy="3499868"/>
            <wp:effectExtent l="0" t="0" r="4445" b="5715"/>
            <wp:docPr id="452" name="Picture 45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descr="A screenshot of a cell phone&#10;&#10;Description automatically generated"/>
                    <pic:cNvPicPr/>
                  </pic:nvPicPr>
                  <pic:blipFill>
                    <a:blip r:embed="rId213">
                      <a:extLst>
                        <a:ext uri="{28A0092B-C50C-407E-A947-70E740481C1C}">
                          <a14:useLocalDpi xmlns:a14="http://schemas.microsoft.com/office/drawing/2010/main" val="0"/>
                        </a:ext>
                      </a:extLst>
                    </a:blip>
                    <a:stretch>
                      <a:fillRect/>
                    </a:stretch>
                  </pic:blipFill>
                  <pic:spPr>
                    <a:xfrm>
                      <a:off x="0" y="0"/>
                      <a:ext cx="4320000" cy="3499868"/>
                    </a:xfrm>
                    <a:prstGeom prst="rect">
                      <a:avLst/>
                    </a:prstGeom>
                  </pic:spPr>
                </pic:pic>
              </a:graphicData>
            </a:graphic>
          </wp:inline>
        </w:drawing>
      </w:r>
    </w:p>
    <w:p w14:paraId="10E7CA5A" w14:textId="3F507C33" w:rsidR="00007F6C" w:rsidRPr="008A0653" w:rsidRDefault="00007F6C" w:rsidP="00007F6C">
      <w:pPr>
        <w:pStyle w:val="Caption"/>
      </w:pPr>
      <w:bookmarkStart w:id="660" w:name="_Toc69115091"/>
      <w:r>
        <w:t>Figure A</w:t>
      </w:r>
      <w:r w:rsidR="004D5B42">
        <w:fldChar w:fldCharType="begin"/>
      </w:r>
      <w:r w:rsidR="004D5B42">
        <w:instrText xml:space="preserve"> SEQ Figure \* ARABIC </w:instrText>
      </w:r>
      <w:r w:rsidR="0056210C">
        <w:instrText>\r 1</w:instrText>
      </w:r>
      <w:r w:rsidR="004D5B42">
        <w:fldChar w:fldCharType="separate"/>
      </w:r>
      <w:r w:rsidR="0056210C">
        <w:rPr>
          <w:noProof/>
        </w:rPr>
        <w:t>1</w:t>
      </w:r>
      <w:r w:rsidR="004D5B42">
        <w:rPr>
          <w:noProof/>
        </w:rPr>
        <w:fldChar w:fldCharType="end"/>
      </w:r>
      <w:r>
        <w:t xml:space="preserve">: X-ray diffraction patterns of the Ni-GDC samples dried in either air or nitrogen. The 1 and 2 denote the </w:t>
      </w:r>
      <w:r w:rsidR="0056210C">
        <w:t xml:space="preserve">peaks assigned to </w:t>
      </w:r>
      <w:proofErr w:type="spellStart"/>
      <w:r w:rsidR="0056210C">
        <w:t>bunesnite</w:t>
      </w:r>
      <w:proofErr w:type="spellEnd"/>
      <w:r w:rsidR="0056210C">
        <w:t xml:space="preserve"> (</w:t>
      </w:r>
      <w:proofErr w:type="spellStart"/>
      <w:r w:rsidR="0056210C">
        <w:t>NiO</w:t>
      </w:r>
      <w:proofErr w:type="spellEnd"/>
      <w:r w:rsidR="0056210C">
        <w:t>)</w:t>
      </w:r>
      <w:bookmarkEnd w:id="660"/>
    </w:p>
    <w:p w14:paraId="274A8BF4" w14:textId="77777777" w:rsidR="00007F6C" w:rsidRDefault="00007F6C" w:rsidP="00007F6C">
      <w:pPr>
        <w:pStyle w:val="Heading2"/>
      </w:pPr>
      <w:bookmarkStart w:id="661" w:name="_Toc69129471"/>
      <w:r>
        <w:t>4.3.2 Chemical Identification</w:t>
      </w:r>
      <w:bookmarkEnd w:id="661"/>
    </w:p>
    <w:p w14:paraId="71E7DE63" w14:textId="77777777" w:rsidR="00007F6C" w:rsidRDefault="00007F6C" w:rsidP="00007F6C">
      <w:pPr>
        <w:keepNext/>
        <w:jc w:val="center"/>
      </w:pPr>
      <w:r w:rsidRPr="004F01B1">
        <w:rPr>
          <w:noProof/>
        </w:rPr>
        <w:drawing>
          <wp:inline distT="0" distB="0" distL="0" distR="0" wp14:anchorId="4A508F87" wp14:editId="0F9F0437">
            <wp:extent cx="4320000" cy="3568696"/>
            <wp:effectExtent l="0" t="0" r="4445"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4">
                      <a:extLst>
                        <a:ext uri="{28A0092B-C50C-407E-A947-70E740481C1C}">
                          <a14:useLocalDpi xmlns:a14="http://schemas.microsoft.com/office/drawing/2010/main" val="0"/>
                        </a:ext>
                      </a:extLst>
                    </a:blip>
                    <a:srcRect l="6881" t="9009" r="13990" b="5406"/>
                    <a:stretch/>
                  </pic:blipFill>
                  <pic:spPr bwMode="auto">
                    <a:xfrm>
                      <a:off x="0" y="0"/>
                      <a:ext cx="4320000" cy="3568696"/>
                    </a:xfrm>
                    <a:prstGeom prst="rect">
                      <a:avLst/>
                    </a:prstGeom>
                    <a:noFill/>
                    <a:ln>
                      <a:noFill/>
                    </a:ln>
                    <a:extLst>
                      <a:ext uri="{53640926-AAD7-44D8-BBD7-CCE9431645EC}">
                        <a14:shadowObscured xmlns:a14="http://schemas.microsoft.com/office/drawing/2010/main"/>
                      </a:ext>
                    </a:extLst>
                  </pic:spPr>
                </pic:pic>
              </a:graphicData>
            </a:graphic>
          </wp:inline>
        </w:drawing>
      </w:r>
    </w:p>
    <w:p w14:paraId="674B787E" w14:textId="2A1F5A89" w:rsidR="00007F6C" w:rsidRDefault="00007F6C" w:rsidP="00007F6C">
      <w:pPr>
        <w:pStyle w:val="Caption"/>
      </w:pPr>
      <w:bookmarkStart w:id="662" w:name="_Toc69115092"/>
      <w:r>
        <w:t>Figure A</w:t>
      </w:r>
      <w:r w:rsidR="00B51F53">
        <w:fldChar w:fldCharType="begin"/>
      </w:r>
      <w:r w:rsidR="00B51F53">
        <w:instrText xml:space="preserve"> SEQ Figure \* ARABIC </w:instrText>
      </w:r>
      <w:r w:rsidR="00B51F53">
        <w:fldChar w:fldCharType="separate"/>
      </w:r>
      <w:r w:rsidR="0056210C">
        <w:rPr>
          <w:noProof/>
        </w:rPr>
        <w:t>2</w:t>
      </w:r>
      <w:r w:rsidR="00B51F53">
        <w:rPr>
          <w:noProof/>
        </w:rPr>
        <w:fldChar w:fldCharType="end"/>
      </w:r>
      <w:r>
        <w:t>: Full FTIR Spectra of the Overlaid FTIR spectra of nickel nitrate hexahydrate dried in air and nitrogen (denoted by the black and red series respectively)</w:t>
      </w:r>
      <w:bookmarkEnd w:id="662"/>
    </w:p>
    <w:p w14:paraId="555A75C7" w14:textId="77777777" w:rsidR="00007F6C" w:rsidRDefault="00007F6C" w:rsidP="00007F6C">
      <w:pPr>
        <w:pStyle w:val="Heading2"/>
      </w:pPr>
      <w:bookmarkStart w:id="663" w:name="_Toc69129472"/>
      <w:r>
        <w:lastRenderedPageBreak/>
        <w:t>4.3.4 Microstructural Identification</w:t>
      </w:r>
      <w:bookmarkEnd w:id="663"/>
    </w:p>
    <w:p w14:paraId="0A6544BD" w14:textId="77777777" w:rsidR="00007F6C" w:rsidRDefault="00007F6C" w:rsidP="00007F6C">
      <w:pPr>
        <w:keepNext/>
        <w:jc w:val="center"/>
      </w:pPr>
      <w:r>
        <w:rPr>
          <w:noProof/>
        </w:rPr>
        <w:drawing>
          <wp:inline distT="0" distB="0" distL="0" distR="0" wp14:anchorId="6271611C" wp14:editId="32A752AE">
            <wp:extent cx="2880000" cy="2880000"/>
            <wp:effectExtent l="0" t="0" r="0" b="0"/>
            <wp:docPr id="384" name="Picture 384"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close up of a flower&#10;&#10;Description automatically generated"/>
                    <pic:cNvPicPr/>
                  </pic:nvPicPr>
                  <pic:blipFill>
                    <a:blip r:embed="rId215">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inline>
        </w:drawing>
      </w:r>
    </w:p>
    <w:p w14:paraId="6A0ABA49" w14:textId="1BB6991D" w:rsidR="00007F6C" w:rsidRDefault="00007F6C" w:rsidP="00007F6C">
      <w:pPr>
        <w:pStyle w:val="Caption"/>
      </w:pPr>
      <w:bookmarkStart w:id="664" w:name="_Toc69115093"/>
      <w:r>
        <w:t>Figure A</w:t>
      </w:r>
      <w:r w:rsidR="00B51F53">
        <w:fldChar w:fldCharType="begin"/>
      </w:r>
      <w:r w:rsidR="00B51F53">
        <w:instrText xml:space="preserve"> SEQ Figure \* ARABIC </w:instrText>
      </w:r>
      <w:r w:rsidR="00B51F53">
        <w:fldChar w:fldCharType="separate"/>
      </w:r>
      <w:r w:rsidR="0056210C">
        <w:rPr>
          <w:noProof/>
        </w:rPr>
        <w:t>3</w:t>
      </w:r>
      <w:r w:rsidR="00B51F53">
        <w:rPr>
          <w:noProof/>
        </w:rPr>
        <w:fldChar w:fldCharType="end"/>
      </w:r>
      <w:r>
        <w:t xml:space="preserve">: 5 </w:t>
      </w:r>
      <w:r>
        <w:rPr>
          <w:rFonts w:cstheme="minorHAnsi"/>
        </w:rPr>
        <w:t>µ</w:t>
      </w:r>
      <w:r>
        <w:t xml:space="preserve">m * 5 </w:t>
      </w:r>
      <w:r>
        <w:rPr>
          <w:rFonts w:cstheme="minorHAnsi"/>
        </w:rPr>
        <w:t>µ</w:t>
      </w:r>
      <w:r>
        <w:t xml:space="preserve">m section of the Air DC Ni-YSZ sample used for particle size analysis using </w:t>
      </w:r>
      <w:proofErr w:type="gramStart"/>
      <w:r>
        <w:t>FIJI</w:t>
      </w:r>
      <w:bookmarkEnd w:id="664"/>
      <w:proofErr w:type="gramEnd"/>
    </w:p>
    <w:p w14:paraId="38996221" w14:textId="77777777" w:rsidR="00007F6C" w:rsidRDefault="00007F6C" w:rsidP="00007F6C"/>
    <w:p w14:paraId="5F3FD6B0" w14:textId="195A0212" w:rsidR="00007F6C" w:rsidRDefault="00007F6C" w:rsidP="0056210C">
      <w:pPr>
        <w:pStyle w:val="Caption"/>
        <w:keepNext/>
        <w:spacing w:after="240"/>
      </w:pPr>
      <w:r>
        <w:t>Table A</w:t>
      </w:r>
      <w:r w:rsidR="004D5B42">
        <w:fldChar w:fldCharType="begin"/>
      </w:r>
      <w:r w:rsidR="004D5B42">
        <w:instrText xml:space="preserve"> SEQ Table \* ARABIC </w:instrText>
      </w:r>
      <w:r w:rsidR="0056210C">
        <w:instrText>\r 1</w:instrText>
      </w:r>
      <w:r w:rsidR="004D5B42">
        <w:fldChar w:fldCharType="separate"/>
      </w:r>
      <w:r w:rsidR="0056210C">
        <w:rPr>
          <w:noProof/>
        </w:rPr>
        <w:t>1</w:t>
      </w:r>
      <w:r w:rsidR="004D5B42">
        <w:rPr>
          <w:noProof/>
        </w:rPr>
        <w:fldChar w:fldCharType="end"/>
      </w:r>
      <w:r>
        <w:t>: Particle size measurements from FIJI of the Air DC Ni-YSZ sample section</w:t>
      </w:r>
    </w:p>
    <w:tbl>
      <w:tblPr>
        <w:tblStyle w:val="TableGrid"/>
        <w:tblW w:w="0" w:type="auto"/>
        <w:jc w:val="center"/>
        <w:tblLook w:val="04A0" w:firstRow="1" w:lastRow="0" w:firstColumn="1" w:lastColumn="0" w:noHBand="0" w:noVBand="1"/>
      </w:tblPr>
      <w:tblGrid>
        <w:gridCol w:w="442"/>
        <w:gridCol w:w="1372"/>
        <w:gridCol w:w="1809"/>
        <w:gridCol w:w="2873"/>
      </w:tblGrid>
      <w:tr w:rsidR="00007F6C" w:rsidRPr="00DF6DF2" w14:paraId="257A3988" w14:textId="77777777" w:rsidTr="005E2F1E">
        <w:trPr>
          <w:trHeight w:val="300"/>
          <w:jc w:val="center"/>
        </w:trPr>
        <w:tc>
          <w:tcPr>
            <w:tcW w:w="0" w:type="auto"/>
            <w:gridSpan w:val="2"/>
            <w:noWrap/>
            <w:hideMark/>
          </w:tcPr>
          <w:p w14:paraId="2F1C0929" w14:textId="77777777" w:rsidR="00007F6C" w:rsidRPr="00DF6DF2" w:rsidRDefault="00007F6C" w:rsidP="005E2F1E">
            <w:pPr>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Ni-YSZ as red</w:t>
            </w:r>
            <w:r>
              <w:rPr>
                <w:rFonts w:ascii="Calibri" w:eastAsia="Times New Roman" w:hAnsi="Calibri" w:cs="Times New Roman"/>
                <w:color w:val="000000"/>
                <w:lang w:eastAsia="en-GB"/>
              </w:rPr>
              <w:t>uced</w:t>
            </w:r>
          </w:p>
        </w:tc>
        <w:tc>
          <w:tcPr>
            <w:tcW w:w="0" w:type="auto"/>
            <w:noWrap/>
            <w:hideMark/>
          </w:tcPr>
          <w:p w14:paraId="619840F6" w14:textId="77777777" w:rsidR="00007F6C" w:rsidRPr="00DF6DF2" w:rsidRDefault="00007F6C" w:rsidP="005E2F1E">
            <w:pPr>
              <w:rPr>
                <w:rFonts w:ascii="Calibri" w:eastAsia="Times New Roman" w:hAnsi="Calibri" w:cs="Times New Roman"/>
                <w:color w:val="000000"/>
                <w:lang w:eastAsia="en-GB"/>
              </w:rPr>
            </w:pPr>
            <w:r>
              <w:rPr>
                <w:rFonts w:ascii="Calibri" w:eastAsia="Times New Roman" w:hAnsi="Calibri" w:cs="Times New Roman"/>
                <w:color w:val="000000"/>
                <w:lang w:eastAsia="en-GB"/>
              </w:rPr>
              <w:t xml:space="preserve">Atmosphere: </w:t>
            </w:r>
            <w:r w:rsidRPr="00DF6DF2">
              <w:rPr>
                <w:rFonts w:ascii="Calibri" w:eastAsia="Times New Roman" w:hAnsi="Calibri" w:cs="Times New Roman"/>
                <w:color w:val="000000"/>
                <w:lang w:eastAsia="en-GB"/>
              </w:rPr>
              <w:t>Air</w:t>
            </w:r>
          </w:p>
        </w:tc>
        <w:tc>
          <w:tcPr>
            <w:tcW w:w="0" w:type="auto"/>
            <w:noWrap/>
            <w:hideMark/>
          </w:tcPr>
          <w:p w14:paraId="2900F9C1" w14:textId="77777777" w:rsidR="00007F6C" w:rsidRPr="00DF6DF2" w:rsidRDefault="00007F6C" w:rsidP="005E2F1E">
            <w:pPr>
              <w:rPr>
                <w:rFonts w:ascii="Calibri" w:eastAsia="Times New Roman" w:hAnsi="Calibri" w:cs="Times New Roman"/>
                <w:color w:val="000000"/>
                <w:lang w:eastAsia="en-GB"/>
              </w:rPr>
            </w:pPr>
          </w:p>
        </w:tc>
      </w:tr>
      <w:tr w:rsidR="00007F6C" w:rsidRPr="00DF6DF2" w14:paraId="7910C1AB" w14:textId="77777777" w:rsidTr="005E2F1E">
        <w:trPr>
          <w:trHeight w:val="300"/>
          <w:jc w:val="center"/>
        </w:trPr>
        <w:tc>
          <w:tcPr>
            <w:tcW w:w="0" w:type="auto"/>
            <w:noWrap/>
            <w:hideMark/>
          </w:tcPr>
          <w:p w14:paraId="5CFDD6C5" w14:textId="77777777" w:rsidR="00007F6C" w:rsidRPr="00DF6DF2" w:rsidRDefault="00007F6C" w:rsidP="005E2F1E">
            <w:pPr>
              <w:rPr>
                <w:rFonts w:ascii="Times New Roman" w:eastAsia="Times New Roman" w:hAnsi="Times New Roman" w:cs="Times New Roman"/>
                <w:sz w:val="20"/>
                <w:szCs w:val="20"/>
                <w:lang w:eastAsia="en-GB"/>
              </w:rPr>
            </w:pPr>
          </w:p>
        </w:tc>
        <w:tc>
          <w:tcPr>
            <w:tcW w:w="0" w:type="auto"/>
            <w:noWrap/>
            <w:hideMark/>
          </w:tcPr>
          <w:p w14:paraId="11251E88" w14:textId="77777777" w:rsidR="00007F6C" w:rsidRPr="00DF6DF2" w:rsidRDefault="00007F6C" w:rsidP="005E2F1E">
            <w:pPr>
              <w:rPr>
                <w:rFonts w:ascii="Calibri" w:eastAsia="Times New Roman" w:hAnsi="Calibri" w:cs="Times New Roman"/>
                <w:b/>
                <w:bCs/>
                <w:color w:val="000000"/>
                <w:lang w:eastAsia="en-GB"/>
              </w:rPr>
            </w:pPr>
            <w:r w:rsidRPr="00DF6DF2">
              <w:rPr>
                <w:rFonts w:ascii="Calibri" w:eastAsia="Times New Roman" w:hAnsi="Calibri" w:cs="Times New Roman"/>
                <w:b/>
                <w:bCs/>
                <w:color w:val="000000"/>
                <w:lang w:eastAsia="en-GB"/>
              </w:rPr>
              <w:t>Area [µm^2]</w:t>
            </w:r>
          </w:p>
        </w:tc>
        <w:tc>
          <w:tcPr>
            <w:tcW w:w="0" w:type="auto"/>
            <w:noWrap/>
            <w:hideMark/>
          </w:tcPr>
          <w:p w14:paraId="58110E83" w14:textId="77777777" w:rsidR="00007F6C" w:rsidRPr="00DF6DF2" w:rsidRDefault="00007F6C" w:rsidP="005E2F1E">
            <w:pPr>
              <w:rPr>
                <w:rFonts w:ascii="Calibri" w:eastAsia="Times New Roman" w:hAnsi="Calibri" w:cs="Times New Roman"/>
                <w:b/>
                <w:bCs/>
                <w:color w:val="000000"/>
                <w:lang w:eastAsia="en-GB"/>
              </w:rPr>
            </w:pPr>
            <w:r w:rsidRPr="00DF6DF2">
              <w:rPr>
                <w:rFonts w:ascii="Calibri" w:eastAsia="Times New Roman" w:hAnsi="Calibri" w:cs="Times New Roman"/>
                <w:b/>
                <w:bCs/>
                <w:color w:val="000000"/>
                <w:lang w:eastAsia="en-GB"/>
              </w:rPr>
              <w:t>Particle Size [µm]</w:t>
            </w:r>
          </w:p>
        </w:tc>
        <w:tc>
          <w:tcPr>
            <w:tcW w:w="0" w:type="auto"/>
            <w:noWrap/>
            <w:hideMark/>
          </w:tcPr>
          <w:p w14:paraId="21669FE4" w14:textId="77777777" w:rsidR="00007F6C" w:rsidRPr="00DF6DF2" w:rsidRDefault="00007F6C" w:rsidP="005E2F1E">
            <w:pPr>
              <w:rPr>
                <w:rFonts w:ascii="Calibri" w:eastAsia="Times New Roman" w:hAnsi="Calibri" w:cs="Times New Roman"/>
                <w:b/>
                <w:bCs/>
                <w:color w:val="000000"/>
                <w:lang w:eastAsia="en-GB"/>
              </w:rPr>
            </w:pPr>
            <w:r w:rsidRPr="00DF6DF2">
              <w:rPr>
                <w:rFonts w:ascii="Calibri" w:eastAsia="Times New Roman" w:hAnsi="Calibri" w:cs="Times New Roman"/>
                <w:b/>
                <w:bCs/>
                <w:color w:val="000000"/>
                <w:lang w:eastAsia="en-GB"/>
              </w:rPr>
              <w:t>Average Particle Length [µm]</w:t>
            </w:r>
          </w:p>
        </w:tc>
      </w:tr>
      <w:tr w:rsidR="00007F6C" w:rsidRPr="00DF6DF2" w14:paraId="4C641A34" w14:textId="77777777" w:rsidTr="005E2F1E">
        <w:trPr>
          <w:trHeight w:val="300"/>
          <w:jc w:val="center"/>
        </w:trPr>
        <w:tc>
          <w:tcPr>
            <w:tcW w:w="0" w:type="auto"/>
            <w:noWrap/>
            <w:hideMark/>
          </w:tcPr>
          <w:p w14:paraId="12E2C724"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1</w:t>
            </w:r>
          </w:p>
        </w:tc>
        <w:tc>
          <w:tcPr>
            <w:tcW w:w="0" w:type="auto"/>
            <w:noWrap/>
            <w:hideMark/>
          </w:tcPr>
          <w:p w14:paraId="20FE7A09"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0.003</w:t>
            </w:r>
          </w:p>
        </w:tc>
        <w:tc>
          <w:tcPr>
            <w:tcW w:w="0" w:type="auto"/>
            <w:noWrap/>
            <w:hideMark/>
          </w:tcPr>
          <w:p w14:paraId="5D9C6975"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0.185</w:t>
            </w:r>
          </w:p>
        </w:tc>
        <w:tc>
          <w:tcPr>
            <w:tcW w:w="0" w:type="auto"/>
            <w:noWrap/>
            <w:hideMark/>
          </w:tcPr>
          <w:p w14:paraId="5486A490"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0.08596</w:t>
            </w:r>
          </w:p>
        </w:tc>
      </w:tr>
      <w:tr w:rsidR="00007F6C" w:rsidRPr="00DF6DF2" w14:paraId="2D427C14" w14:textId="77777777" w:rsidTr="005E2F1E">
        <w:trPr>
          <w:trHeight w:val="300"/>
          <w:jc w:val="center"/>
        </w:trPr>
        <w:tc>
          <w:tcPr>
            <w:tcW w:w="0" w:type="auto"/>
            <w:noWrap/>
            <w:hideMark/>
          </w:tcPr>
          <w:p w14:paraId="374E1A54"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2</w:t>
            </w:r>
          </w:p>
        </w:tc>
        <w:tc>
          <w:tcPr>
            <w:tcW w:w="0" w:type="auto"/>
            <w:noWrap/>
            <w:hideMark/>
          </w:tcPr>
          <w:p w14:paraId="4A54CF66"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0.001</w:t>
            </w:r>
          </w:p>
        </w:tc>
        <w:tc>
          <w:tcPr>
            <w:tcW w:w="0" w:type="auto"/>
            <w:noWrap/>
            <w:hideMark/>
          </w:tcPr>
          <w:p w14:paraId="32A54F73"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0.095</w:t>
            </w:r>
          </w:p>
        </w:tc>
        <w:tc>
          <w:tcPr>
            <w:tcW w:w="0" w:type="auto"/>
            <w:noWrap/>
            <w:hideMark/>
          </w:tcPr>
          <w:p w14:paraId="0AE5CEFD"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6F3DCCCD" w14:textId="77777777" w:rsidTr="005E2F1E">
        <w:trPr>
          <w:trHeight w:val="300"/>
          <w:jc w:val="center"/>
        </w:trPr>
        <w:tc>
          <w:tcPr>
            <w:tcW w:w="0" w:type="auto"/>
            <w:noWrap/>
            <w:hideMark/>
          </w:tcPr>
          <w:p w14:paraId="6A9EDFA2"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3</w:t>
            </w:r>
          </w:p>
        </w:tc>
        <w:tc>
          <w:tcPr>
            <w:tcW w:w="0" w:type="auto"/>
            <w:noWrap/>
            <w:hideMark/>
          </w:tcPr>
          <w:p w14:paraId="6BF637EB"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0.002</w:t>
            </w:r>
          </w:p>
        </w:tc>
        <w:tc>
          <w:tcPr>
            <w:tcW w:w="0" w:type="auto"/>
            <w:noWrap/>
            <w:hideMark/>
          </w:tcPr>
          <w:p w14:paraId="5FCC2C0E"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0.13</w:t>
            </w:r>
          </w:p>
        </w:tc>
        <w:tc>
          <w:tcPr>
            <w:tcW w:w="0" w:type="auto"/>
            <w:noWrap/>
            <w:hideMark/>
          </w:tcPr>
          <w:p w14:paraId="36C2EE54" w14:textId="77777777" w:rsidR="00007F6C" w:rsidRPr="00DF6DF2" w:rsidRDefault="00007F6C" w:rsidP="005E2F1E">
            <w:pPr>
              <w:rPr>
                <w:rFonts w:ascii="Calibri" w:eastAsia="Times New Roman" w:hAnsi="Calibri" w:cs="Times New Roman"/>
                <w:b/>
                <w:bCs/>
                <w:color w:val="000000"/>
                <w:lang w:eastAsia="en-GB"/>
              </w:rPr>
            </w:pPr>
            <w:r w:rsidRPr="00DF6DF2">
              <w:rPr>
                <w:rFonts w:ascii="Calibri" w:eastAsia="Times New Roman" w:hAnsi="Calibri" w:cs="Times New Roman"/>
                <w:b/>
                <w:bCs/>
                <w:color w:val="000000"/>
                <w:lang w:eastAsia="en-GB"/>
              </w:rPr>
              <w:t>Average particle length [nm]</w:t>
            </w:r>
          </w:p>
        </w:tc>
      </w:tr>
      <w:tr w:rsidR="00007F6C" w:rsidRPr="00DF6DF2" w14:paraId="0EC43C5C" w14:textId="77777777" w:rsidTr="005E2F1E">
        <w:trPr>
          <w:trHeight w:val="300"/>
          <w:jc w:val="center"/>
        </w:trPr>
        <w:tc>
          <w:tcPr>
            <w:tcW w:w="0" w:type="auto"/>
            <w:noWrap/>
            <w:hideMark/>
          </w:tcPr>
          <w:p w14:paraId="30E6CED5"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4</w:t>
            </w:r>
          </w:p>
        </w:tc>
        <w:tc>
          <w:tcPr>
            <w:tcW w:w="0" w:type="auto"/>
            <w:noWrap/>
            <w:hideMark/>
          </w:tcPr>
          <w:p w14:paraId="21998CAF"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0.003</w:t>
            </w:r>
          </w:p>
        </w:tc>
        <w:tc>
          <w:tcPr>
            <w:tcW w:w="0" w:type="auto"/>
            <w:noWrap/>
            <w:hideMark/>
          </w:tcPr>
          <w:p w14:paraId="1AB6DE1B"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0.185</w:t>
            </w:r>
          </w:p>
        </w:tc>
        <w:tc>
          <w:tcPr>
            <w:tcW w:w="0" w:type="auto"/>
            <w:noWrap/>
            <w:hideMark/>
          </w:tcPr>
          <w:p w14:paraId="7473850D"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85.96</w:t>
            </w:r>
          </w:p>
        </w:tc>
      </w:tr>
      <w:tr w:rsidR="00007F6C" w:rsidRPr="00DF6DF2" w14:paraId="7FF02C99" w14:textId="77777777" w:rsidTr="005E2F1E">
        <w:trPr>
          <w:trHeight w:val="300"/>
          <w:jc w:val="center"/>
        </w:trPr>
        <w:tc>
          <w:tcPr>
            <w:tcW w:w="0" w:type="auto"/>
            <w:noWrap/>
            <w:hideMark/>
          </w:tcPr>
          <w:p w14:paraId="194C59FC"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5</w:t>
            </w:r>
          </w:p>
        </w:tc>
        <w:tc>
          <w:tcPr>
            <w:tcW w:w="0" w:type="auto"/>
            <w:noWrap/>
            <w:hideMark/>
          </w:tcPr>
          <w:p w14:paraId="2124D3BE"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0.002</w:t>
            </w:r>
          </w:p>
        </w:tc>
        <w:tc>
          <w:tcPr>
            <w:tcW w:w="0" w:type="auto"/>
            <w:noWrap/>
            <w:hideMark/>
          </w:tcPr>
          <w:p w14:paraId="1CDBE689"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0.156</w:t>
            </w:r>
          </w:p>
        </w:tc>
        <w:tc>
          <w:tcPr>
            <w:tcW w:w="0" w:type="auto"/>
            <w:noWrap/>
            <w:hideMark/>
          </w:tcPr>
          <w:p w14:paraId="3B27C653"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0.011633</w:t>
            </w:r>
          </w:p>
        </w:tc>
      </w:tr>
      <w:tr w:rsidR="00007F6C" w:rsidRPr="00DF6DF2" w14:paraId="4E6339C7" w14:textId="77777777" w:rsidTr="005E2F1E">
        <w:trPr>
          <w:trHeight w:val="300"/>
          <w:jc w:val="center"/>
        </w:trPr>
        <w:tc>
          <w:tcPr>
            <w:tcW w:w="0" w:type="auto"/>
            <w:noWrap/>
            <w:hideMark/>
          </w:tcPr>
          <w:p w14:paraId="3BEBF09A"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6</w:t>
            </w:r>
          </w:p>
        </w:tc>
        <w:tc>
          <w:tcPr>
            <w:tcW w:w="0" w:type="auto"/>
            <w:noWrap/>
            <w:hideMark/>
          </w:tcPr>
          <w:p w14:paraId="657A2A12"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0.002</w:t>
            </w:r>
          </w:p>
        </w:tc>
        <w:tc>
          <w:tcPr>
            <w:tcW w:w="0" w:type="auto"/>
            <w:noWrap/>
            <w:hideMark/>
          </w:tcPr>
          <w:p w14:paraId="1AACE47C"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0.136</w:t>
            </w:r>
          </w:p>
        </w:tc>
        <w:tc>
          <w:tcPr>
            <w:tcW w:w="0" w:type="auto"/>
            <w:noWrap/>
            <w:hideMark/>
          </w:tcPr>
          <w:p w14:paraId="75C62AC2"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165D4EAE" w14:textId="77777777" w:rsidTr="005E2F1E">
        <w:trPr>
          <w:trHeight w:val="300"/>
          <w:jc w:val="center"/>
        </w:trPr>
        <w:tc>
          <w:tcPr>
            <w:tcW w:w="0" w:type="auto"/>
            <w:noWrap/>
            <w:hideMark/>
          </w:tcPr>
          <w:p w14:paraId="4FAC774F"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7</w:t>
            </w:r>
          </w:p>
        </w:tc>
        <w:tc>
          <w:tcPr>
            <w:tcW w:w="0" w:type="auto"/>
            <w:noWrap/>
            <w:hideMark/>
          </w:tcPr>
          <w:p w14:paraId="266A00BF"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0.001</w:t>
            </w:r>
          </w:p>
        </w:tc>
        <w:tc>
          <w:tcPr>
            <w:tcW w:w="0" w:type="auto"/>
            <w:noWrap/>
            <w:hideMark/>
          </w:tcPr>
          <w:p w14:paraId="4BAB5A34"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0.109</w:t>
            </w:r>
          </w:p>
        </w:tc>
        <w:tc>
          <w:tcPr>
            <w:tcW w:w="0" w:type="auto"/>
            <w:noWrap/>
            <w:hideMark/>
          </w:tcPr>
          <w:p w14:paraId="07B06D49" w14:textId="77777777" w:rsidR="00007F6C" w:rsidRPr="00DF6DF2" w:rsidRDefault="00007F6C" w:rsidP="005E2F1E">
            <w:pPr>
              <w:rPr>
                <w:rFonts w:ascii="Calibri" w:eastAsia="Times New Roman" w:hAnsi="Calibri" w:cs="Times New Roman"/>
                <w:b/>
                <w:bCs/>
                <w:color w:val="000000"/>
                <w:lang w:eastAsia="en-GB"/>
              </w:rPr>
            </w:pPr>
            <w:r w:rsidRPr="00DF6DF2">
              <w:rPr>
                <w:rFonts w:ascii="Calibri" w:eastAsia="Times New Roman" w:hAnsi="Calibri" w:cs="Times New Roman"/>
                <w:b/>
                <w:bCs/>
                <w:color w:val="000000"/>
                <w:lang w:eastAsia="en-GB"/>
              </w:rPr>
              <w:t>Error [nm]</w:t>
            </w:r>
          </w:p>
        </w:tc>
      </w:tr>
      <w:tr w:rsidR="00007F6C" w:rsidRPr="00DF6DF2" w14:paraId="7D105EFF" w14:textId="77777777" w:rsidTr="005E2F1E">
        <w:trPr>
          <w:trHeight w:val="300"/>
          <w:jc w:val="center"/>
        </w:trPr>
        <w:tc>
          <w:tcPr>
            <w:tcW w:w="0" w:type="auto"/>
            <w:noWrap/>
            <w:hideMark/>
          </w:tcPr>
          <w:p w14:paraId="14A035CA"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8</w:t>
            </w:r>
          </w:p>
        </w:tc>
        <w:tc>
          <w:tcPr>
            <w:tcW w:w="0" w:type="auto"/>
            <w:noWrap/>
            <w:hideMark/>
          </w:tcPr>
          <w:p w14:paraId="613C5249"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0.002</w:t>
            </w:r>
          </w:p>
        </w:tc>
        <w:tc>
          <w:tcPr>
            <w:tcW w:w="0" w:type="auto"/>
            <w:noWrap/>
            <w:hideMark/>
          </w:tcPr>
          <w:p w14:paraId="622D946F"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0.153</w:t>
            </w:r>
          </w:p>
        </w:tc>
        <w:tc>
          <w:tcPr>
            <w:tcW w:w="0" w:type="auto"/>
            <w:noWrap/>
            <w:hideMark/>
          </w:tcPr>
          <w:p w14:paraId="09A43EF8"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11.6</w:t>
            </w:r>
          </w:p>
        </w:tc>
      </w:tr>
      <w:tr w:rsidR="00007F6C" w:rsidRPr="00DF6DF2" w14:paraId="1F1B03D8" w14:textId="77777777" w:rsidTr="005E2F1E">
        <w:trPr>
          <w:trHeight w:val="300"/>
          <w:jc w:val="center"/>
        </w:trPr>
        <w:tc>
          <w:tcPr>
            <w:tcW w:w="0" w:type="auto"/>
            <w:noWrap/>
            <w:hideMark/>
          </w:tcPr>
          <w:p w14:paraId="78195199"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9</w:t>
            </w:r>
          </w:p>
        </w:tc>
        <w:tc>
          <w:tcPr>
            <w:tcW w:w="0" w:type="auto"/>
            <w:noWrap/>
            <w:hideMark/>
          </w:tcPr>
          <w:p w14:paraId="7E5C493F"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0.001</w:t>
            </w:r>
          </w:p>
        </w:tc>
        <w:tc>
          <w:tcPr>
            <w:tcW w:w="0" w:type="auto"/>
            <w:noWrap/>
            <w:hideMark/>
          </w:tcPr>
          <w:p w14:paraId="35730108"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0.106</w:t>
            </w:r>
          </w:p>
        </w:tc>
        <w:tc>
          <w:tcPr>
            <w:tcW w:w="0" w:type="auto"/>
            <w:noWrap/>
            <w:hideMark/>
          </w:tcPr>
          <w:p w14:paraId="17FB4F39"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3AD4D539" w14:textId="77777777" w:rsidTr="005E2F1E">
        <w:trPr>
          <w:trHeight w:val="300"/>
          <w:jc w:val="center"/>
        </w:trPr>
        <w:tc>
          <w:tcPr>
            <w:tcW w:w="0" w:type="auto"/>
            <w:noWrap/>
            <w:hideMark/>
          </w:tcPr>
          <w:p w14:paraId="6A6F298B"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10</w:t>
            </w:r>
          </w:p>
        </w:tc>
        <w:tc>
          <w:tcPr>
            <w:tcW w:w="0" w:type="auto"/>
            <w:noWrap/>
            <w:hideMark/>
          </w:tcPr>
          <w:p w14:paraId="45999C8D"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9.44E-04</w:t>
            </w:r>
          </w:p>
        </w:tc>
        <w:tc>
          <w:tcPr>
            <w:tcW w:w="0" w:type="auto"/>
            <w:noWrap/>
            <w:hideMark/>
          </w:tcPr>
          <w:p w14:paraId="3117AC02"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0.064</w:t>
            </w:r>
          </w:p>
        </w:tc>
        <w:tc>
          <w:tcPr>
            <w:tcW w:w="0" w:type="auto"/>
            <w:noWrap/>
            <w:hideMark/>
          </w:tcPr>
          <w:p w14:paraId="742E99F2"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261A3E04" w14:textId="77777777" w:rsidTr="005E2F1E">
        <w:trPr>
          <w:trHeight w:val="300"/>
          <w:jc w:val="center"/>
        </w:trPr>
        <w:tc>
          <w:tcPr>
            <w:tcW w:w="0" w:type="auto"/>
            <w:noWrap/>
            <w:hideMark/>
          </w:tcPr>
          <w:p w14:paraId="1204AC60"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11</w:t>
            </w:r>
          </w:p>
        </w:tc>
        <w:tc>
          <w:tcPr>
            <w:tcW w:w="0" w:type="auto"/>
            <w:noWrap/>
            <w:hideMark/>
          </w:tcPr>
          <w:p w14:paraId="585588FC"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0.002</w:t>
            </w:r>
          </w:p>
        </w:tc>
        <w:tc>
          <w:tcPr>
            <w:tcW w:w="0" w:type="auto"/>
            <w:noWrap/>
            <w:hideMark/>
          </w:tcPr>
          <w:p w14:paraId="64750888"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0.18</w:t>
            </w:r>
          </w:p>
        </w:tc>
        <w:tc>
          <w:tcPr>
            <w:tcW w:w="0" w:type="auto"/>
            <w:noWrap/>
            <w:hideMark/>
          </w:tcPr>
          <w:p w14:paraId="78D53334"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17E9418A" w14:textId="77777777" w:rsidTr="005E2F1E">
        <w:trPr>
          <w:trHeight w:val="300"/>
          <w:jc w:val="center"/>
        </w:trPr>
        <w:tc>
          <w:tcPr>
            <w:tcW w:w="0" w:type="auto"/>
            <w:noWrap/>
            <w:hideMark/>
          </w:tcPr>
          <w:p w14:paraId="57C9D720"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12</w:t>
            </w:r>
          </w:p>
        </w:tc>
        <w:tc>
          <w:tcPr>
            <w:tcW w:w="0" w:type="auto"/>
            <w:noWrap/>
            <w:hideMark/>
          </w:tcPr>
          <w:p w14:paraId="754EBEE3"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0.001</w:t>
            </w:r>
          </w:p>
        </w:tc>
        <w:tc>
          <w:tcPr>
            <w:tcW w:w="0" w:type="auto"/>
            <w:noWrap/>
            <w:hideMark/>
          </w:tcPr>
          <w:p w14:paraId="68FE099E"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0.092</w:t>
            </w:r>
          </w:p>
        </w:tc>
        <w:tc>
          <w:tcPr>
            <w:tcW w:w="0" w:type="auto"/>
            <w:noWrap/>
            <w:hideMark/>
          </w:tcPr>
          <w:p w14:paraId="74C3D5AD"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74CB1DA9" w14:textId="77777777" w:rsidTr="005E2F1E">
        <w:trPr>
          <w:trHeight w:val="300"/>
          <w:jc w:val="center"/>
        </w:trPr>
        <w:tc>
          <w:tcPr>
            <w:tcW w:w="0" w:type="auto"/>
            <w:noWrap/>
            <w:hideMark/>
          </w:tcPr>
          <w:p w14:paraId="6A840FFD"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13</w:t>
            </w:r>
          </w:p>
        </w:tc>
        <w:tc>
          <w:tcPr>
            <w:tcW w:w="0" w:type="auto"/>
            <w:noWrap/>
            <w:hideMark/>
          </w:tcPr>
          <w:p w14:paraId="67665A57"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8.09E-04</w:t>
            </w:r>
          </w:p>
        </w:tc>
        <w:tc>
          <w:tcPr>
            <w:tcW w:w="0" w:type="auto"/>
            <w:noWrap/>
            <w:hideMark/>
          </w:tcPr>
          <w:p w14:paraId="5CA497FE"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0.055</w:t>
            </w:r>
          </w:p>
        </w:tc>
        <w:tc>
          <w:tcPr>
            <w:tcW w:w="0" w:type="auto"/>
            <w:noWrap/>
            <w:hideMark/>
          </w:tcPr>
          <w:p w14:paraId="3167C3B1"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3741F54A" w14:textId="77777777" w:rsidTr="005E2F1E">
        <w:trPr>
          <w:trHeight w:val="300"/>
          <w:jc w:val="center"/>
        </w:trPr>
        <w:tc>
          <w:tcPr>
            <w:tcW w:w="0" w:type="auto"/>
            <w:noWrap/>
            <w:hideMark/>
          </w:tcPr>
          <w:p w14:paraId="2F3DDDB9"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14</w:t>
            </w:r>
          </w:p>
        </w:tc>
        <w:tc>
          <w:tcPr>
            <w:tcW w:w="0" w:type="auto"/>
            <w:noWrap/>
            <w:hideMark/>
          </w:tcPr>
          <w:p w14:paraId="736FC976"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0.002</w:t>
            </w:r>
          </w:p>
        </w:tc>
        <w:tc>
          <w:tcPr>
            <w:tcW w:w="0" w:type="auto"/>
            <w:noWrap/>
            <w:hideMark/>
          </w:tcPr>
          <w:p w14:paraId="2290AA1B"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0.133</w:t>
            </w:r>
          </w:p>
        </w:tc>
        <w:tc>
          <w:tcPr>
            <w:tcW w:w="0" w:type="auto"/>
            <w:noWrap/>
            <w:hideMark/>
          </w:tcPr>
          <w:p w14:paraId="22DA9990"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39652A6B" w14:textId="77777777" w:rsidTr="005E2F1E">
        <w:trPr>
          <w:trHeight w:val="300"/>
          <w:jc w:val="center"/>
        </w:trPr>
        <w:tc>
          <w:tcPr>
            <w:tcW w:w="0" w:type="auto"/>
            <w:noWrap/>
            <w:hideMark/>
          </w:tcPr>
          <w:p w14:paraId="786BF8C3"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15</w:t>
            </w:r>
          </w:p>
        </w:tc>
        <w:tc>
          <w:tcPr>
            <w:tcW w:w="0" w:type="auto"/>
            <w:noWrap/>
            <w:hideMark/>
          </w:tcPr>
          <w:p w14:paraId="61334BB8"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0.001</w:t>
            </w:r>
          </w:p>
        </w:tc>
        <w:tc>
          <w:tcPr>
            <w:tcW w:w="0" w:type="auto"/>
            <w:noWrap/>
            <w:hideMark/>
          </w:tcPr>
          <w:p w14:paraId="07ECCDDB"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0.089</w:t>
            </w:r>
          </w:p>
        </w:tc>
        <w:tc>
          <w:tcPr>
            <w:tcW w:w="0" w:type="auto"/>
            <w:noWrap/>
            <w:hideMark/>
          </w:tcPr>
          <w:p w14:paraId="22A1EF47"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0A07B297" w14:textId="77777777" w:rsidTr="005E2F1E">
        <w:trPr>
          <w:trHeight w:val="300"/>
          <w:jc w:val="center"/>
        </w:trPr>
        <w:tc>
          <w:tcPr>
            <w:tcW w:w="0" w:type="auto"/>
            <w:noWrap/>
            <w:hideMark/>
          </w:tcPr>
          <w:p w14:paraId="79192A7A"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16</w:t>
            </w:r>
          </w:p>
        </w:tc>
        <w:tc>
          <w:tcPr>
            <w:tcW w:w="0" w:type="auto"/>
            <w:noWrap/>
            <w:hideMark/>
          </w:tcPr>
          <w:p w14:paraId="557F81D4"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0.001</w:t>
            </w:r>
          </w:p>
        </w:tc>
        <w:tc>
          <w:tcPr>
            <w:tcW w:w="0" w:type="auto"/>
            <w:noWrap/>
            <w:hideMark/>
          </w:tcPr>
          <w:p w14:paraId="17A4976E"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0.082</w:t>
            </w:r>
          </w:p>
        </w:tc>
        <w:tc>
          <w:tcPr>
            <w:tcW w:w="0" w:type="auto"/>
            <w:noWrap/>
            <w:hideMark/>
          </w:tcPr>
          <w:p w14:paraId="205222A4"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73AF7F12" w14:textId="77777777" w:rsidTr="005E2F1E">
        <w:trPr>
          <w:trHeight w:val="300"/>
          <w:jc w:val="center"/>
        </w:trPr>
        <w:tc>
          <w:tcPr>
            <w:tcW w:w="0" w:type="auto"/>
            <w:noWrap/>
            <w:hideMark/>
          </w:tcPr>
          <w:p w14:paraId="645B097E"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17</w:t>
            </w:r>
          </w:p>
        </w:tc>
        <w:tc>
          <w:tcPr>
            <w:tcW w:w="0" w:type="auto"/>
            <w:noWrap/>
            <w:hideMark/>
          </w:tcPr>
          <w:p w14:paraId="13882149"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0.002</w:t>
            </w:r>
          </w:p>
        </w:tc>
        <w:tc>
          <w:tcPr>
            <w:tcW w:w="0" w:type="auto"/>
            <w:noWrap/>
            <w:hideMark/>
          </w:tcPr>
          <w:p w14:paraId="6871A052"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0.13</w:t>
            </w:r>
          </w:p>
        </w:tc>
        <w:tc>
          <w:tcPr>
            <w:tcW w:w="0" w:type="auto"/>
            <w:noWrap/>
            <w:hideMark/>
          </w:tcPr>
          <w:p w14:paraId="6A204978"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32304F38" w14:textId="77777777" w:rsidTr="005E2F1E">
        <w:trPr>
          <w:trHeight w:val="300"/>
          <w:jc w:val="center"/>
        </w:trPr>
        <w:tc>
          <w:tcPr>
            <w:tcW w:w="0" w:type="auto"/>
            <w:noWrap/>
            <w:hideMark/>
          </w:tcPr>
          <w:p w14:paraId="2EAAC6C2"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18</w:t>
            </w:r>
          </w:p>
        </w:tc>
        <w:tc>
          <w:tcPr>
            <w:tcW w:w="0" w:type="auto"/>
            <w:noWrap/>
            <w:hideMark/>
          </w:tcPr>
          <w:p w14:paraId="6897C5A2"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0.001</w:t>
            </w:r>
          </w:p>
        </w:tc>
        <w:tc>
          <w:tcPr>
            <w:tcW w:w="0" w:type="auto"/>
            <w:noWrap/>
            <w:hideMark/>
          </w:tcPr>
          <w:p w14:paraId="2185CACB"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0.108</w:t>
            </w:r>
          </w:p>
        </w:tc>
        <w:tc>
          <w:tcPr>
            <w:tcW w:w="0" w:type="auto"/>
            <w:noWrap/>
            <w:hideMark/>
          </w:tcPr>
          <w:p w14:paraId="24C199A7"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4A332176" w14:textId="77777777" w:rsidTr="005E2F1E">
        <w:trPr>
          <w:trHeight w:val="300"/>
          <w:jc w:val="center"/>
        </w:trPr>
        <w:tc>
          <w:tcPr>
            <w:tcW w:w="0" w:type="auto"/>
            <w:noWrap/>
            <w:hideMark/>
          </w:tcPr>
          <w:p w14:paraId="025BEFFD"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19</w:t>
            </w:r>
          </w:p>
        </w:tc>
        <w:tc>
          <w:tcPr>
            <w:tcW w:w="0" w:type="auto"/>
            <w:noWrap/>
            <w:hideMark/>
          </w:tcPr>
          <w:p w14:paraId="1C126BD1"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0.001</w:t>
            </w:r>
          </w:p>
        </w:tc>
        <w:tc>
          <w:tcPr>
            <w:tcW w:w="0" w:type="auto"/>
            <w:noWrap/>
            <w:hideMark/>
          </w:tcPr>
          <w:p w14:paraId="09BEFF88"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0.092</w:t>
            </w:r>
          </w:p>
        </w:tc>
        <w:tc>
          <w:tcPr>
            <w:tcW w:w="0" w:type="auto"/>
            <w:noWrap/>
            <w:hideMark/>
          </w:tcPr>
          <w:p w14:paraId="7F5DBD46"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0CE3572E" w14:textId="77777777" w:rsidTr="005E2F1E">
        <w:trPr>
          <w:trHeight w:val="300"/>
          <w:jc w:val="center"/>
        </w:trPr>
        <w:tc>
          <w:tcPr>
            <w:tcW w:w="0" w:type="auto"/>
            <w:noWrap/>
            <w:hideMark/>
          </w:tcPr>
          <w:p w14:paraId="26978F99"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20</w:t>
            </w:r>
          </w:p>
        </w:tc>
        <w:tc>
          <w:tcPr>
            <w:tcW w:w="0" w:type="auto"/>
            <w:noWrap/>
            <w:hideMark/>
          </w:tcPr>
          <w:p w14:paraId="1F6CB15B"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8.09E-04</w:t>
            </w:r>
          </w:p>
        </w:tc>
        <w:tc>
          <w:tcPr>
            <w:tcW w:w="0" w:type="auto"/>
            <w:noWrap/>
            <w:hideMark/>
          </w:tcPr>
          <w:p w14:paraId="27DCC28E"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0.062</w:t>
            </w:r>
          </w:p>
        </w:tc>
        <w:tc>
          <w:tcPr>
            <w:tcW w:w="0" w:type="auto"/>
            <w:noWrap/>
            <w:hideMark/>
          </w:tcPr>
          <w:p w14:paraId="5B209AE6"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4E5A84CF" w14:textId="77777777" w:rsidTr="005E2F1E">
        <w:trPr>
          <w:trHeight w:val="300"/>
          <w:jc w:val="center"/>
        </w:trPr>
        <w:tc>
          <w:tcPr>
            <w:tcW w:w="0" w:type="auto"/>
            <w:noWrap/>
            <w:hideMark/>
          </w:tcPr>
          <w:p w14:paraId="0894293A"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21</w:t>
            </w:r>
          </w:p>
        </w:tc>
        <w:tc>
          <w:tcPr>
            <w:tcW w:w="0" w:type="auto"/>
            <w:noWrap/>
            <w:hideMark/>
          </w:tcPr>
          <w:p w14:paraId="36FE3B50"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8.09E-04</w:t>
            </w:r>
          </w:p>
        </w:tc>
        <w:tc>
          <w:tcPr>
            <w:tcW w:w="0" w:type="auto"/>
            <w:noWrap/>
            <w:hideMark/>
          </w:tcPr>
          <w:p w14:paraId="52362A1A"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0.061</w:t>
            </w:r>
          </w:p>
        </w:tc>
        <w:tc>
          <w:tcPr>
            <w:tcW w:w="0" w:type="auto"/>
            <w:noWrap/>
            <w:hideMark/>
          </w:tcPr>
          <w:p w14:paraId="02FA1093"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78FA9258" w14:textId="77777777" w:rsidTr="005E2F1E">
        <w:trPr>
          <w:trHeight w:val="300"/>
          <w:jc w:val="center"/>
        </w:trPr>
        <w:tc>
          <w:tcPr>
            <w:tcW w:w="0" w:type="auto"/>
            <w:noWrap/>
            <w:hideMark/>
          </w:tcPr>
          <w:p w14:paraId="01A5D5E4"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22</w:t>
            </w:r>
          </w:p>
        </w:tc>
        <w:tc>
          <w:tcPr>
            <w:tcW w:w="0" w:type="auto"/>
            <w:noWrap/>
            <w:hideMark/>
          </w:tcPr>
          <w:p w14:paraId="520B4A64"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9.44E-04</w:t>
            </w:r>
          </w:p>
        </w:tc>
        <w:tc>
          <w:tcPr>
            <w:tcW w:w="0" w:type="auto"/>
            <w:noWrap/>
            <w:hideMark/>
          </w:tcPr>
          <w:p w14:paraId="1631D1DF"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0.065</w:t>
            </w:r>
          </w:p>
        </w:tc>
        <w:tc>
          <w:tcPr>
            <w:tcW w:w="0" w:type="auto"/>
            <w:noWrap/>
            <w:hideMark/>
          </w:tcPr>
          <w:p w14:paraId="104D1A67"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1DC11644" w14:textId="77777777" w:rsidTr="005E2F1E">
        <w:trPr>
          <w:trHeight w:val="300"/>
          <w:jc w:val="center"/>
        </w:trPr>
        <w:tc>
          <w:tcPr>
            <w:tcW w:w="0" w:type="auto"/>
            <w:noWrap/>
            <w:hideMark/>
          </w:tcPr>
          <w:p w14:paraId="3FCD2B43"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23</w:t>
            </w:r>
          </w:p>
        </w:tc>
        <w:tc>
          <w:tcPr>
            <w:tcW w:w="0" w:type="auto"/>
            <w:noWrap/>
            <w:hideMark/>
          </w:tcPr>
          <w:p w14:paraId="3D017564"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8.09E-04</w:t>
            </w:r>
          </w:p>
        </w:tc>
        <w:tc>
          <w:tcPr>
            <w:tcW w:w="0" w:type="auto"/>
            <w:noWrap/>
            <w:hideMark/>
          </w:tcPr>
          <w:p w14:paraId="7C01652D"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0.057</w:t>
            </w:r>
          </w:p>
        </w:tc>
        <w:tc>
          <w:tcPr>
            <w:tcW w:w="0" w:type="auto"/>
            <w:noWrap/>
            <w:hideMark/>
          </w:tcPr>
          <w:p w14:paraId="5C93661C"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054C2C77" w14:textId="77777777" w:rsidTr="005E2F1E">
        <w:trPr>
          <w:trHeight w:val="300"/>
          <w:jc w:val="center"/>
        </w:trPr>
        <w:tc>
          <w:tcPr>
            <w:tcW w:w="0" w:type="auto"/>
            <w:noWrap/>
            <w:hideMark/>
          </w:tcPr>
          <w:p w14:paraId="137FFD3B"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lastRenderedPageBreak/>
              <w:t>24</w:t>
            </w:r>
          </w:p>
        </w:tc>
        <w:tc>
          <w:tcPr>
            <w:tcW w:w="0" w:type="auto"/>
            <w:noWrap/>
            <w:hideMark/>
          </w:tcPr>
          <w:p w14:paraId="302281B3"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0.001</w:t>
            </w:r>
          </w:p>
        </w:tc>
        <w:tc>
          <w:tcPr>
            <w:tcW w:w="0" w:type="auto"/>
            <w:noWrap/>
            <w:hideMark/>
          </w:tcPr>
          <w:p w14:paraId="36D66B85"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0.094</w:t>
            </w:r>
          </w:p>
        </w:tc>
        <w:tc>
          <w:tcPr>
            <w:tcW w:w="0" w:type="auto"/>
            <w:noWrap/>
            <w:hideMark/>
          </w:tcPr>
          <w:p w14:paraId="5AE7AFB2"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4B486CC2" w14:textId="77777777" w:rsidTr="005E2F1E">
        <w:trPr>
          <w:trHeight w:val="300"/>
          <w:jc w:val="center"/>
        </w:trPr>
        <w:tc>
          <w:tcPr>
            <w:tcW w:w="0" w:type="auto"/>
            <w:noWrap/>
            <w:hideMark/>
          </w:tcPr>
          <w:p w14:paraId="56527AD1"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25</w:t>
            </w:r>
          </w:p>
        </w:tc>
        <w:tc>
          <w:tcPr>
            <w:tcW w:w="0" w:type="auto"/>
            <w:noWrap/>
            <w:hideMark/>
          </w:tcPr>
          <w:p w14:paraId="353E767F"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0.001</w:t>
            </w:r>
          </w:p>
        </w:tc>
        <w:tc>
          <w:tcPr>
            <w:tcW w:w="0" w:type="auto"/>
            <w:noWrap/>
            <w:hideMark/>
          </w:tcPr>
          <w:p w14:paraId="3854C66C"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0.088</w:t>
            </w:r>
          </w:p>
        </w:tc>
        <w:tc>
          <w:tcPr>
            <w:tcW w:w="0" w:type="auto"/>
            <w:noWrap/>
            <w:hideMark/>
          </w:tcPr>
          <w:p w14:paraId="274CE05F"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5E662A4D" w14:textId="77777777" w:rsidTr="005E2F1E">
        <w:trPr>
          <w:trHeight w:val="300"/>
          <w:jc w:val="center"/>
        </w:trPr>
        <w:tc>
          <w:tcPr>
            <w:tcW w:w="0" w:type="auto"/>
            <w:noWrap/>
            <w:hideMark/>
          </w:tcPr>
          <w:p w14:paraId="34813CEC"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26</w:t>
            </w:r>
          </w:p>
        </w:tc>
        <w:tc>
          <w:tcPr>
            <w:tcW w:w="0" w:type="auto"/>
            <w:noWrap/>
            <w:hideMark/>
          </w:tcPr>
          <w:p w14:paraId="5D0AF988"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5.39E-04</w:t>
            </w:r>
          </w:p>
        </w:tc>
        <w:tc>
          <w:tcPr>
            <w:tcW w:w="0" w:type="auto"/>
            <w:noWrap/>
            <w:hideMark/>
          </w:tcPr>
          <w:p w14:paraId="0913C168"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0.034</w:t>
            </w:r>
          </w:p>
        </w:tc>
        <w:tc>
          <w:tcPr>
            <w:tcW w:w="0" w:type="auto"/>
            <w:noWrap/>
            <w:hideMark/>
          </w:tcPr>
          <w:p w14:paraId="55EF74F1"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0779A2D7" w14:textId="77777777" w:rsidTr="005E2F1E">
        <w:trPr>
          <w:trHeight w:val="300"/>
          <w:jc w:val="center"/>
        </w:trPr>
        <w:tc>
          <w:tcPr>
            <w:tcW w:w="0" w:type="auto"/>
            <w:noWrap/>
            <w:hideMark/>
          </w:tcPr>
          <w:p w14:paraId="1071A344"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27</w:t>
            </w:r>
          </w:p>
        </w:tc>
        <w:tc>
          <w:tcPr>
            <w:tcW w:w="0" w:type="auto"/>
            <w:noWrap/>
            <w:hideMark/>
          </w:tcPr>
          <w:p w14:paraId="729132A1"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0.001</w:t>
            </w:r>
          </w:p>
        </w:tc>
        <w:tc>
          <w:tcPr>
            <w:tcW w:w="0" w:type="auto"/>
            <w:noWrap/>
            <w:hideMark/>
          </w:tcPr>
          <w:p w14:paraId="47503CE7"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0.082</w:t>
            </w:r>
          </w:p>
        </w:tc>
        <w:tc>
          <w:tcPr>
            <w:tcW w:w="0" w:type="auto"/>
            <w:noWrap/>
            <w:hideMark/>
          </w:tcPr>
          <w:p w14:paraId="6C3D51D7"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412511F8" w14:textId="77777777" w:rsidTr="005E2F1E">
        <w:trPr>
          <w:trHeight w:val="300"/>
          <w:jc w:val="center"/>
        </w:trPr>
        <w:tc>
          <w:tcPr>
            <w:tcW w:w="0" w:type="auto"/>
            <w:noWrap/>
            <w:hideMark/>
          </w:tcPr>
          <w:p w14:paraId="6068BDC9"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28</w:t>
            </w:r>
          </w:p>
        </w:tc>
        <w:tc>
          <w:tcPr>
            <w:tcW w:w="0" w:type="auto"/>
            <w:noWrap/>
            <w:hideMark/>
          </w:tcPr>
          <w:p w14:paraId="2D45C441"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0.002</w:t>
            </w:r>
          </w:p>
        </w:tc>
        <w:tc>
          <w:tcPr>
            <w:tcW w:w="0" w:type="auto"/>
            <w:noWrap/>
            <w:hideMark/>
          </w:tcPr>
          <w:p w14:paraId="6886AB3B"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0.133</w:t>
            </w:r>
          </w:p>
        </w:tc>
        <w:tc>
          <w:tcPr>
            <w:tcW w:w="0" w:type="auto"/>
            <w:noWrap/>
            <w:hideMark/>
          </w:tcPr>
          <w:p w14:paraId="1163EA6D"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3F7334FD" w14:textId="77777777" w:rsidTr="005E2F1E">
        <w:trPr>
          <w:trHeight w:val="300"/>
          <w:jc w:val="center"/>
        </w:trPr>
        <w:tc>
          <w:tcPr>
            <w:tcW w:w="0" w:type="auto"/>
            <w:noWrap/>
            <w:hideMark/>
          </w:tcPr>
          <w:p w14:paraId="462F1DAD"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29</w:t>
            </w:r>
          </w:p>
        </w:tc>
        <w:tc>
          <w:tcPr>
            <w:tcW w:w="0" w:type="auto"/>
            <w:noWrap/>
            <w:hideMark/>
          </w:tcPr>
          <w:p w14:paraId="189253BC"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6.74E-04</w:t>
            </w:r>
          </w:p>
        </w:tc>
        <w:tc>
          <w:tcPr>
            <w:tcW w:w="0" w:type="auto"/>
            <w:noWrap/>
            <w:hideMark/>
          </w:tcPr>
          <w:p w14:paraId="40A31DA0"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0.047</w:t>
            </w:r>
          </w:p>
        </w:tc>
        <w:tc>
          <w:tcPr>
            <w:tcW w:w="0" w:type="auto"/>
            <w:noWrap/>
            <w:hideMark/>
          </w:tcPr>
          <w:p w14:paraId="4CB46428"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7D13DB31" w14:textId="77777777" w:rsidTr="005E2F1E">
        <w:trPr>
          <w:trHeight w:val="300"/>
          <w:jc w:val="center"/>
        </w:trPr>
        <w:tc>
          <w:tcPr>
            <w:tcW w:w="0" w:type="auto"/>
            <w:noWrap/>
            <w:hideMark/>
          </w:tcPr>
          <w:p w14:paraId="41C49B50"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30</w:t>
            </w:r>
          </w:p>
        </w:tc>
        <w:tc>
          <w:tcPr>
            <w:tcW w:w="0" w:type="auto"/>
            <w:noWrap/>
            <w:hideMark/>
          </w:tcPr>
          <w:p w14:paraId="2E8717E4"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0.001</w:t>
            </w:r>
          </w:p>
        </w:tc>
        <w:tc>
          <w:tcPr>
            <w:tcW w:w="0" w:type="auto"/>
            <w:noWrap/>
            <w:hideMark/>
          </w:tcPr>
          <w:p w14:paraId="0FAC58C7"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0.085</w:t>
            </w:r>
          </w:p>
        </w:tc>
        <w:tc>
          <w:tcPr>
            <w:tcW w:w="0" w:type="auto"/>
            <w:noWrap/>
            <w:hideMark/>
          </w:tcPr>
          <w:p w14:paraId="61D680B0"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01BE1067" w14:textId="77777777" w:rsidTr="005E2F1E">
        <w:trPr>
          <w:trHeight w:val="300"/>
          <w:jc w:val="center"/>
        </w:trPr>
        <w:tc>
          <w:tcPr>
            <w:tcW w:w="0" w:type="auto"/>
            <w:noWrap/>
            <w:hideMark/>
          </w:tcPr>
          <w:p w14:paraId="7DCCDF48"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31</w:t>
            </w:r>
          </w:p>
        </w:tc>
        <w:tc>
          <w:tcPr>
            <w:tcW w:w="0" w:type="auto"/>
            <w:noWrap/>
            <w:hideMark/>
          </w:tcPr>
          <w:p w14:paraId="379ED05B"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0.001</w:t>
            </w:r>
          </w:p>
        </w:tc>
        <w:tc>
          <w:tcPr>
            <w:tcW w:w="0" w:type="auto"/>
            <w:noWrap/>
            <w:hideMark/>
          </w:tcPr>
          <w:p w14:paraId="62AC0EFE"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0.094</w:t>
            </w:r>
          </w:p>
        </w:tc>
        <w:tc>
          <w:tcPr>
            <w:tcW w:w="0" w:type="auto"/>
            <w:noWrap/>
            <w:hideMark/>
          </w:tcPr>
          <w:p w14:paraId="7DC8219A"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3C175DD0" w14:textId="77777777" w:rsidTr="005E2F1E">
        <w:trPr>
          <w:trHeight w:val="300"/>
          <w:jc w:val="center"/>
        </w:trPr>
        <w:tc>
          <w:tcPr>
            <w:tcW w:w="0" w:type="auto"/>
            <w:noWrap/>
            <w:hideMark/>
          </w:tcPr>
          <w:p w14:paraId="7387F1D8"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32</w:t>
            </w:r>
          </w:p>
        </w:tc>
        <w:tc>
          <w:tcPr>
            <w:tcW w:w="0" w:type="auto"/>
            <w:noWrap/>
            <w:hideMark/>
          </w:tcPr>
          <w:p w14:paraId="4155CEAD"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0.001</w:t>
            </w:r>
          </w:p>
        </w:tc>
        <w:tc>
          <w:tcPr>
            <w:tcW w:w="0" w:type="auto"/>
            <w:noWrap/>
            <w:hideMark/>
          </w:tcPr>
          <w:p w14:paraId="13E6A049"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0.076</w:t>
            </w:r>
          </w:p>
        </w:tc>
        <w:tc>
          <w:tcPr>
            <w:tcW w:w="0" w:type="auto"/>
            <w:noWrap/>
            <w:hideMark/>
          </w:tcPr>
          <w:p w14:paraId="119FD768"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4125C427" w14:textId="77777777" w:rsidTr="005E2F1E">
        <w:trPr>
          <w:trHeight w:val="300"/>
          <w:jc w:val="center"/>
        </w:trPr>
        <w:tc>
          <w:tcPr>
            <w:tcW w:w="0" w:type="auto"/>
            <w:noWrap/>
            <w:hideMark/>
          </w:tcPr>
          <w:p w14:paraId="6776D4C5"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33</w:t>
            </w:r>
          </w:p>
        </w:tc>
        <w:tc>
          <w:tcPr>
            <w:tcW w:w="0" w:type="auto"/>
            <w:noWrap/>
            <w:hideMark/>
          </w:tcPr>
          <w:p w14:paraId="54CD6C19"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0.001</w:t>
            </w:r>
          </w:p>
        </w:tc>
        <w:tc>
          <w:tcPr>
            <w:tcW w:w="0" w:type="auto"/>
            <w:noWrap/>
            <w:hideMark/>
          </w:tcPr>
          <w:p w14:paraId="67B8CF73"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0.077</w:t>
            </w:r>
          </w:p>
        </w:tc>
        <w:tc>
          <w:tcPr>
            <w:tcW w:w="0" w:type="auto"/>
            <w:noWrap/>
            <w:hideMark/>
          </w:tcPr>
          <w:p w14:paraId="37FB5CD9"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40590940" w14:textId="77777777" w:rsidTr="005E2F1E">
        <w:trPr>
          <w:trHeight w:val="300"/>
          <w:jc w:val="center"/>
        </w:trPr>
        <w:tc>
          <w:tcPr>
            <w:tcW w:w="0" w:type="auto"/>
            <w:noWrap/>
            <w:hideMark/>
          </w:tcPr>
          <w:p w14:paraId="60E2E568"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34</w:t>
            </w:r>
          </w:p>
        </w:tc>
        <w:tc>
          <w:tcPr>
            <w:tcW w:w="0" w:type="auto"/>
            <w:noWrap/>
            <w:hideMark/>
          </w:tcPr>
          <w:p w14:paraId="7B87AD6E"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0.001</w:t>
            </w:r>
          </w:p>
        </w:tc>
        <w:tc>
          <w:tcPr>
            <w:tcW w:w="0" w:type="auto"/>
            <w:noWrap/>
            <w:hideMark/>
          </w:tcPr>
          <w:p w14:paraId="1F154F52"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0.094</w:t>
            </w:r>
          </w:p>
        </w:tc>
        <w:tc>
          <w:tcPr>
            <w:tcW w:w="0" w:type="auto"/>
            <w:noWrap/>
            <w:hideMark/>
          </w:tcPr>
          <w:p w14:paraId="0F90C818"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67463000" w14:textId="77777777" w:rsidTr="005E2F1E">
        <w:trPr>
          <w:trHeight w:val="300"/>
          <w:jc w:val="center"/>
        </w:trPr>
        <w:tc>
          <w:tcPr>
            <w:tcW w:w="0" w:type="auto"/>
            <w:noWrap/>
            <w:hideMark/>
          </w:tcPr>
          <w:p w14:paraId="32C4AF7F"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35</w:t>
            </w:r>
          </w:p>
        </w:tc>
        <w:tc>
          <w:tcPr>
            <w:tcW w:w="0" w:type="auto"/>
            <w:noWrap/>
            <w:hideMark/>
          </w:tcPr>
          <w:p w14:paraId="3E8D6D69"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0.001</w:t>
            </w:r>
          </w:p>
        </w:tc>
        <w:tc>
          <w:tcPr>
            <w:tcW w:w="0" w:type="auto"/>
            <w:noWrap/>
            <w:hideMark/>
          </w:tcPr>
          <w:p w14:paraId="52AB198E"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0.077</w:t>
            </w:r>
          </w:p>
        </w:tc>
        <w:tc>
          <w:tcPr>
            <w:tcW w:w="0" w:type="auto"/>
            <w:noWrap/>
            <w:hideMark/>
          </w:tcPr>
          <w:p w14:paraId="09003036"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73F79C11" w14:textId="77777777" w:rsidTr="005E2F1E">
        <w:trPr>
          <w:trHeight w:val="300"/>
          <w:jc w:val="center"/>
        </w:trPr>
        <w:tc>
          <w:tcPr>
            <w:tcW w:w="0" w:type="auto"/>
            <w:noWrap/>
            <w:hideMark/>
          </w:tcPr>
          <w:p w14:paraId="0AAC6C89"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36</w:t>
            </w:r>
          </w:p>
        </w:tc>
        <w:tc>
          <w:tcPr>
            <w:tcW w:w="0" w:type="auto"/>
            <w:noWrap/>
            <w:hideMark/>
          </w:tcPr>
          <w:p w14:paraId="13CC72E7"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0.002</w:t>
            </w:r>
          </w:p>
        </w:tc>
        <w:tc>
          <w:tcPr>
            <w:tcW w:w="0" w:type="auto"/>
            <w:noWrap/>
            <w:hideMark/>
          </w:tcPr>
          <w:p w14:paraId="2560C510"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0.133</w:t>
            </w:r>
          </w:p>
        </w:tc>
        <w:tc>
          <w:tcPr>
            <w:tcW w:w="0" w:type="auto"/>
            <w:noWrap/>
            <w:hideMark/>
          </w:tcPr>
          <w:p w14:paraId="0C74B2AF"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68AF74BC" w14:textId="77777777" w:rsidTr="005E2F1E">
        <w:trPr>
          <w:trHeight w:val="300"/>
          <w:jc w:val="center"/>
        </w:trPr>
        <w:tc>
          <w:tcPr>
            <w:tcW w:w="0" w:type="auto"/>
            <w:noWrap/>
            <w:hideMark/>
          </w:tcPr>
          <w:p w14:paraId="7D2B36BA"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37</w:t>
            </w:r>
          </w:p>
        </w:tc>
        <w:tc>
          <w:tcPr>
            <w:tcW w:w="0" w:type="auto"/>
            <w:noWrap/>
            <w:hideMark/>
          </w:tcPr>
          <w:p w14:paraId="7DDF75D4"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6.74E-04</w:t>
            </w:r>
          </w:p>
        </w:tc>
        <w:tc>
          <w:tcPr>
            <w:tcW w:w="0" w:type="auto"/>
            <w:noWrap/>
            <w:hideMark/>
          </w:tcPr>
          <w:p w14:paraId="00B83464"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0.048</w:t>
            </w:r>
          </w:p>
        </w:tc>
        <w:tc>
          <w:tcPr>
            <w:tcW w:w="0" w:type="auto"/>
            <w:noWrap/>
            <w:hideMark/>
          </w:tcPr>
          <w:p w14:paraId="35BE82DF"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035BEBFE" w14:textId="77777777" w:rsidTr="005E2F1E">
        <w:trPr>
          <w:trHeight w:val="300"/>
          <w:jc w:val="center"/>
        </w:trPr>
        <w:tc>
          <w:tcPr>
            <w:tcW w:w="0" w:type="auto"/>
            <w:noWrap/>
            <w:hideMark/>
          </w:tcPr>
          <w:p w14:paraId="2E1E3FCB"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38</w:t>
            </w:r>
          </w:p>
        </w:tc>
        <w:tc>
          <w:tcPr>
            <w:tcW w:w="0" w:type="auto"/>
            <w:noWrap/>
            <w:hideMark/>
          </w:tcPr>
          <w:p w14:paraId="59820D03"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6.74E-04</w:t>
            </w:r>
          </w:p>
        </w:tc>
        <w:tc>
          <w:tcPr>
            <w:tcW w:w="0" w:type="auto"/>
            <w:noWrap/>
            <w:hideMark/>
          </w:tcPr>
          <w:p w14:paraId="6D3A03C1"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0.052</w:t>
            </w:r>
          </w:p>
        </w:tc>
        <w:tc>
          <w:tcPr>
            <w:tcW w:w="0" w:type="auto"/>
            <w:noWrap/>
            <w:hideMark/>
          </w:tcPr>
          <w:p w14:paraId="65AEF0E2"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026D31F6" w14:textId="77777777" w:rsidTr="005E2F1E">
        <w:trPr>
          <w:trHeight w:val="300"/>
          <w:jc w:val="center"/>
        </w:trPr>
        <w:tc>
          <w:tcPr>
            <w:tcW w:w="0" w:type="auto"/>
            <w:noWrap/>
            <w:hideMark/>
          </w:tcPr>
          <w:p w14:paraId="7879133C"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39</w:t>
            </w:r>
          </w:p>
        </w:tc>
        <w:tc>
          <w:tcPr>
            <w:tcW w:w="0" w:type="auto"/>
            <w:noWrap/>
            <w:hideMark/>
          </w:tcPr>
          <w:p w14:paraId="57E3EC31"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6.74E-04</w:t>
            </w:r>
          </w:p>
        </w:tc>
        <w:tc>
          <w:tcPr>
            <w:tcW w:w="0" w:type="auto"/>
            <w:noWrap/>
            <w:hideMark/>
          </w:tcPr>
          <w:p w14:paraId="5DE8F654"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0.044</w:t>
            </w:r>
          </w:p>
        </w:tc>
        <w:tc>
          <w:tcPr>
            <w:tcW w:w="0" w:type="auto"/>
            <w:noWrap/>
            <w:hideMark/>
          </w:tcPr>
          <w:p w14:paraId="4D3EEF3F"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46EC9F5F" w14:textId="77777777" w:rsidTr="005E2F1E">
        <w:trPr>
          <w:trHeight w:val="300"/>
          <w:jc w:val="center"/>
        </w:trPr>
        <w:tc>
          <w:tcPr>
            <w:tcW w:w="0" w:type="auto"/>
            <w:noWrap/>
            <w:hideMark/>
          </w:tcPr>
          <w:p w14:paraId="32225753"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40</w:t>
            </w:r>
          </w:p>
        </w:tc>
        <w:tc>
          <w:tcPr>
            <w:tcW w:w="0" w:type="auto"/>
            <w:noWrap/>
            <w:hideMark/>
          </w:tcPr>
          <w:p w14:paraId="6A7CE464"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6.74E-04</w:t>
            </w:r>
          </w:p>
        </w:tc>
        <w:tc>
          <w:tcPr>
            <w:tcW w:w="0" w:type="auto"/>
            <w:noWrap/>
            <w:hideMark/>
          </w:tcPr>
          <w:p w14:paraId="5452CDFB"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0.041</w:t>
            </w:r>
          </w:p>
        </w:tc>
        <w:tc>
          <w:tcPr>
            <w:tcW w:w="0" w:type="auto"/>
            <w:noWrap/>
            <w:hideMark/>
          </w:tcPr>
          <w:p w14:paraId="07B5077B"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554992F0" w14:textId="77777777" w:rsidTr="005E2F1E">
        <w:trPr>
          <w:trHeight w:val="300"/>
          <w:jc w:val="center"/>
        </w:trPr>
        <w:tc>
          <w:tcPr>
            <w:tcW w:w="0" w:type="auto"/>
            <w:noWrap/>
            <w:hideMark/>
          </w:tcPr>
          <w:p w14:paraId="7EAAE75C"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41</w:t>
            </w:r>
          </w:p>
        </w:tc>
        <w:tc>
          <w:tcPr>
            <w:tcW w:w="0" w:type="auto"/>
            <w:noWrap/>
            <w:hideMark/>
          </w:tcPr>
          <w:p w14:paraId="7D7AAB2E"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6.74E-04</w:t>
            </w:r>
          </w:p>
        </w:tc>
        <w:tc>
          <w:tcPr>
            <w:tcW w:w="0" w:type="auto"/>
            <w:noWrap/>
            <w:hideMark/>
          </w:tcPr>
          <w:p w14:paraId="6606002A"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0.046</w:t>
            </w:r>
          </w:p>
        </w:tc>
        <w:tc>
          <w:tcPr>
            <w:tcW w:w="0" w:type="auto"/>
            <w:noWrap/>
            <w:hideMark/>
          </w:tcPr>
          <w:p w14:paraId="0F414039"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581B27E5" w14:textId="77777777" w:rsidTr="005E2F1E">
        <w:trPr>
          <w:trHeight w:val="300"/>
          <w:jc w:val="center"/>
        </w:trPr>
        <w:tc>
          <w:tcPr>
            <w:tcW w:w="0" w:type="auto"/>
            <w:noWrap/>
            <w:hideMark/>
          </w:tcPr>
          <w:p w14:paraId="0296DEED"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42</w:t>
            </w:r>
          </w:p>
        </w:tc>
        <w:tc>
          <w:tcPr>
            <w:tcW w:w="0" w:type="auto"/>
            <w:noWrap/>
            <w:hideMark/>
          </w:tcPr>
          <w:p w14:paraId="70F2E67D"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6.74E-04</w:t>
            </w:r>
          </w:p>
        </w:tc>
        <w:tc>
          <w:tcPr>
            <w:tcW w:w="0" w:type="auto"/>
            <w:noWrap/>
            <w:hideMark/>
          </w:tcPr>
          <w:p w14:paraId="318132B0"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0.05</w:t>
            </w:r>
          </w:p>
        </w:tc>
        <w:tc>
          <w:tcPr>
            <w:tcW w:w="0" w:type="auto"/>
            <w:noWrap/>
            <w:hideMark/>
          </w:tcPr>
          <w:p w14:paraId="44825C49"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23E86763" w14:textId="77777777" w:rsidTr="005E2F1E">
        <w:trPr>
          <w:trHeight w:val="300"/>
          <w:jc w:val="center"/>
        </w:trPr>
        <w:tc>
          <w:tcPr>
            <w:tcW w:w="0" w:type="auto"/>
            <w:noWrap/>
            <w:hideMark/>
          </w:tcPr>
          <w:p w14:paraId="24D6720E"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43</w:t>
            </w:r>
          </w:p>
        </w:tc>
        <w:tc>
          <w:tcPr>
            <w:tcW w:w="0" w:type="auto"/>
            <w:noWrap/>
            <w:hideMark/>
          </w:tcPr>
          <w:p w14:paraId="51E25236"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5.39E-04</w:t>
            </w:r>
          </w:p>
        </w:tc>
        <w:tc>
          <w:tcPr>
            <w:tcW w:w="0" w:type="auto"/>
            <w:noWrap/>
            <w:hideMark/>
          </w:tcPr>
          <w:p w14:paraId="7278B443"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0.036</w:t>
            </w:r>
          </w:p>
        </w:tc>
        <w:tc>
          <w:tcPr>
            <w:tcW w:w="0" w:type="auto"/>
            <w:noWrap/>
            <w:hideMark/>
          </w:tcPr>
          <w:p w14:paraId="1BA85598"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621C5646" w14:textId="77777777" w:rsidTr="005E2F1E">
        <w:trPr>
          <w:trHeight w:val="300"/>
          <w:jc w:val="center"/>
        </w:trPr>
        <w:tc>
          <w:tcPr>
            <w:tcW w:w="0" w:type="auto"/>
            <w:noWrap/>
            <w:hideMark/>
          </w:tcPr>
          <w:p w14:paraId="25D2F92A"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44</w:t>
            </w:r>
          </w:p>
        </w:tc>
        <w:tc>
          <w:tcPr>
            <w:tcW w:w="0" w:type="auto"/>
            <w:noWrap/>
            <w:hideMark/>
          </w:tcPr>
          <w:p w14:paraId="29AD7C94"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6.74E-04</w:t>
            </w:r>
          </w:p>
        </w:tc>
        <w:tc>
          <w:tcPr>
            <w:tcW w:w="0" w:type="auto"/>
            <w:noWrap/>
            <w:hideMark/>
          </w:tcPr>
          <w:p w14:paraId="7F90F5B4"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0.05</w:t>
            </w:r>
          </w:p>
        </w:tc>
        <w:tc>
          <w:tcPr>
            <w:tcW w:w="0" w:type="auto"/>
            <w:noWrap/>
            <w:hideMark/>
          </w:tcPr>
          <w:p w14:paraId="772F0694"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648907DB" w14:textId="77777777" w:rsidTr="005E2F1E">
        <w:trPr>
          <w:trHeight w:val="300"/>
          <w:jc w:val="center"/>
        </w:trPr>
        <w:tc>
          <w:tcPr>
            <w:tcW w:w="0" w:type="auto"/>
            <w:noWrap/>
            <w:hideMark/>
          </w:tcPr>
          <w:p w14:paraId="742694AB"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45</w:t>
            </w:r>
          </w:p>
        </w:tc>
        <w:tc>
          <w:tcPr>
            <w:tcW w:w="0" w:type="auto"/>
            <w:noWrap/>
            <w:hideMark/>
          </w:tcPr>
          <w:p w14:paraId="07224AC7"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8.09E-04</w:t>
            </w:r>
          </w:p>
        </w:tc>
        <w:tc>
          <w:tcPr>
            <w:tcW w:w="0" w:type="auto"/>
            <w:noWrap/>
            <w:hideMark/>
          </w:tcPr>
          <w:p w14:paraId="499B6213"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0.056</w:t>
            </w:r>
          </w:p>
        </w:tc>
        <w:tc>
          <w:tcPr>
            <w:tcW w:w="0" w:type="auto"/>
            <w:noWrap/>
            <w:hideMark/>
          </w:tcPr>
          <w:p w14:paraId="690E4C11"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6DD48F4C" w14:textId="77777777" w:rsidTr="005E2F1E">
        <w:trPr>
          <w:trHeight w:val="300"/>
          <w:jc w:val="center"/>
        </w:trPr>
        <w:tc>
          <w:tcPr>
            <w:tcW w:w="0" w:type="auto"/>
            <w:noWrap/>
            <w:hideMark/>
          </w:tcPr>
          <w:p w14:paraId="77FF5B09"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46</w:t>
            </w:r>
          </w:p>
        </w:tc>
        <w:tc>
          <w:tcPr>
            <w:tcW w:w="0" w:type="auto"/>
            <w:noWrap/>
            <w:hideMark/>
          </w:tcPr>
          <w:p w14:paraId="1A54597D"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6.74E-04</w:t>
            </w:r>
          </w:p>
        </w:tc>
        <w:tc>
          <w:tcPr>
            <w:tcW w:w="0" w:type="auto"/>
            <w:noWrap/>
            <w:hideMark/>
          </w:tcPr>
          <w:p w14:paraId="30F9D592"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0.042</w:t>
            </w:r>
          </w:p>
        </w:tc>
        <w:tc>
          <w:tcPr>
            <w:tcW w:w="0" w:type="auto"/>
            <w:noWrap/>
            <w:hideMark/>
          </w:tcPr>
          <w:p w14:paraId="7B830E9D"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7AC0DD73" w14:textId="77777777" w:rsidTr="005E2F1E">
        <w:trPr>
          <w:trHeight w:val="300"/>
          <w:jc w:val="center"/>
        </w:trPr>
        <w:tc>
          <w:tcPr>
            <w:tcW w:w="0" w:type="auto"/>
            <w:noWrap/>
            <w:hideMark/>
          </w:tcPr>
          <w:p w14:paraId="0E8A56F7"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47</w:t>
            </w:r>
          </w:p>
        </w:tc>
        <w:tc>
          <w:tcPr>
            <w:tcW w:w="0" w:type="auto"/>
            <w:noWrap/>
            <w:hideMark/>
          </w:tcPr>
          <w:p w14:paraId="6C36FB0C"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6.74E-04</w:t>
            </w:r>
          </w:p>
        </w:tc>
        <w:tc>
          <w:tcPr>
            <w:tcW w:w="0" w:type="auto"/>
            <w:noWrap/>
            <w:hideMark/>
          </w:tcPr>
          <w:p w14:paraId="1449F9D7"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0.041</w:t>
            </w:r>
          </w:p>
        </w:tc>
        <w:tc>
          <w:tcPr>
            <w:tcW w:w="0" w:type="auto"/>
            <w:noWrap/>
            <w:hideMark/>
          </w:tcPr>
          <w:p w14:paraId="750277F5"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02C8B5EF" w14:textId="77777777" w:rsidTr="005E2F1E">
        <w:trPr>
          <w:trHeight w:val="300"/>
          <w:jc w:val="center"/>
        </w:trPr>
        <w:tc>
          <w:tcPr>
            <w:tcW w:w="0" w:type="auto"/>
            <w:noWrap/>
            <w:hideMark/>
          </w:tcPr>
          <w:p w14:paraId="53FC70E6"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48</w:t>
            </w:r>
          </w:p>
        </w:tc>
        <w:tc>
          <w:tcPr>
            <w:tcW w:w="0" w:type="auto"/>
            <w:noWrap/>
            <w:hideMark/>
          </w:tcPr>
          <w:p w14:paraId="16840598"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8.09E-04</w:t>
            </w:r>
          </w:p>
        </w:tc>
        <w:tc>
          <w:tcPr>
            <w:tcW w:w="0" w:type="auto"/>
            <w:noWrap/>
            <w:hideMark/>
          </w:tcPr>
          <w:p w14:paraId="61D74A1F"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0.056</w:t>
            </w:r>
          </w:p>
        </w:tc>
        <w:tc>
          <w:tcPr>
            <w:tcW w:w="0" w:type="auto"/>
            <w:noWrap/>
            <w:hideMark/>
          </w:tcPr>
          <w:p w14:paraId="1B43600E"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421D1E0E" w14:textId="77777777" w:rsidTr="005E2F1E">
        <w:trPr>
          <w:trHeight w:val="300"/>
          <w:jc w:val="center"/>
        </w:trPr>
        <w:tc>
          <w:tcPr>
            <w:tcW w:w="0" w:type="auto"/>
            <w:noWrap/>
            <w:hideMark/>
          </w:tcPr>
          <w:p w14:paraId="68F831D1"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49</w:t>
            </w:r>
          </w:p>
        </w:tc>
        <w:tc>
          <w:tcPr>
            <w:tcW w:w="0" w:type="auto"/>
            <w:noWrap/>
            <w:hideMark/>
          </w:tcPr>
          <w:p w14:paraId="149C0E46"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6.74E-04</w:t>
            </w:r>
          </w:p>
        </w:tc>
        <w:tc>
          <w:tcPr>
            <w:tcW w:w="0" w:type="auto"/>
            <w:noWrap/>
            <w:hideMark/>
          </w:tcPr>
          <w:p w14:paraId="41DC5AC3"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0.051</w:t>
            </w:r>
          </w:p>
        </w:tc>
        <w:tc>
          <w:tcPr>
            <w:tcW w:w="0" w:type="auto"/>
            <w:noWrap/>
            <w:hideMark/>
          </w:tcPr>
          <w:p w14:paraId="3D92C1AF" w14:textId="77777777" w:rsidR="00007F6C" w:rsidRPr="00DF6DF2" w:rsidRDefault="00007F6C" w:rsidP="005E2F1E">
            <w:pPr>
              <w:jc w:val="right"/>
              <w:rPr>
                <w:rFonts w:ascii="Calibri" w:eastAsia="Times New Roman" w:hAnsi="Calibri" w:cs="Times New Roman"/>
                <w:color w:val="000000"/>
                <w:lang w:eastAsia="en-GB"/>
              </w:rPr>
            </w:pPr>
          </w:p>
        </w:tc>
      </w:tr>
      <w:tr w:rsidR="00007F6C" w:rsidRPr="00DF6DF2" w14:paraId="0A2076EF" w14:textId="77777777" w:rsidTr="005E2F1E">
        <w:trPr>
          <w:trHeight w:val="300"/>
          <w:jc w:val="center"/>
        </w:trPr>
        <w:tc>
          <w:tcPr>
            <w:tcW w:w="0" w:type="auto"/>
            <w:noWrap/>
            <w:hideMark/>
          </w:tcPr>
          <w:p w14:paraId="7216E3DD"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50</w:t>
            </w:r>
          </w:p>
        </w:tc>
        <w:tc>
          <w:tcPr>
            <w:tcW w:w="0" w:type="auto"/>
            <w:noWrap/>
            <w:hideMark/>
          </w:tcPr>
          <w:p w14:paraId="73307AE3"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6.74E-04</w:t>
            </w:r>
          </w:p>
        </w:tc>
        <w:tc>
          <w:tcPr>
            <w:tcW w:w="0" w:type="auto"/>
            <w:noWrap/>
            <w:hideMark/>
          </w:tcPr>
          <w:p w14:paraId="25E73BFF" w14:textId="77777777" w:rsidR="00007F6C" w:rsidRPr="00DF6DF2" w:rsidRDefault="00007F6C" w:rsidP="005E2F1E">
            <w:pPr>
              <w:jc w:val="right"/>
              <w:rPr>
                <w:rFonts w:ascii="Calibri" w:eastAsia="Times New Roman" w:hAnsi="Calibri" w:cs="Times New Roman"/>
                <w:color w:val="000000"/>
                <w:lang w:eastAsia="en-GB"/>
              </w:rPr>
            </w:pPr>
            <w:r w:rsidRPr="00DF6DF2">
              <w:rPr>
                <w:rFonts w:ascii="Calibri" w:eastAsia="Times New Roman" w:hAnsi="Calibri" w:cs="Times New Roman"/>
                <w:color w:val="000000"/>
                <w:lang w:eastAsia="en-GB"/>
              </w:rPr>
              <w:t>0.046</w:t>
            </w:r>
          </w:p>
        </w:tc>
        <w:tc>
          <w:tcPr>
            <w:tcW w:w="0" w:type="auto"/>
            <w:noWrap/>
            <w:hideMark/>
          </w:tcPr>
          <w:p w14:paraId="32F55DE9" w14:textId="77777777" w:rsidR="00007F6C" w:rsidRPr="00DF6DF2" w:rsidRDefault="00007F6C" w:rsidP="005E2F1E">
            <w:pPr>
              <w:jc w:val="right"/>
              <w:rPr>
                <w:rFonts w:ascii="Calibri" w:eastAsia="Times New Roman" w:hAnsi="Calibri" w:cs="Times New Roman"/>
                <w:color w:val="000000"/>
                <w:lang w:eastAsia="en-GB"/>
              </w:rPr>
            </w:pPr>
          </w:p>
        </w:tc>
      </w:tr>
    </w:tbl>
    <w:p w14:paraId="1A7F66A6" w14:textId="77777777" w:rsidR="00007F6C" w:rsidRDefault="00007F6C" w:rsidP="00007F6C">
      <w:pPr>
        <w:keepNext/>
      </w:pPr>
    </w:p>
    <w:p w14:paraId="2491AE25" w14:textId="77777777" w:rsidR="00007F6C" w:rsidRDefault="00007F6C" w:rsidP="00007F6C">
      <w:pPr>
        <w:keepNext/>
        <w:jc w:val="center"/>
      </w:pPr>
      <w:r>
        <w:rPr>
          <w:noProof/>
        </w:rPr>
        <w:drawing>
          <wp:inline distT="0" distB="0" distL="0" distR="0" wp14:anchorId="581B9914" wp14:editId="35CC7320">
            <wp:extent cx="2880000" cy="2886698"/>
            <wp:effectExtent l="0" t="0" r="0" b="9525"/>
            <wp:docPr id="391" name="Picture 391"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close up of a flower&#10;&#10;Description automatically generated"/>
                    <pic:cNvPicPr/>
                  </pic:nvPicPr>
                  <pic:blipFill>
                    <a:blip r:embed="rId216">
                      <a:extLst>
                        <a:ext uri="{28A0092B-C50C-407E-A947-70E740481C1C}">
                          <a14:useLocalDpi xmlns:a14="http://schemas.microsoft.com/office/drawing/2010/main" val="0"/>
                        </a:ext>
                      </a:extLst>
                    </a:blip>
                    <a:stretch>
                      <a:fillRect/>
                    </a:stretch>
                  </pic:blipFill>
                  <pic:spPr>
                    <a:xfrm>
                      <a:off x="0" y="0"/>
                      <a:ext cx="2880000" cy="2886698"/>
                    </a:xfrm>
                    <a:prstGeom prst="rect">
                      <a:avLst/>
                    </a:prstGeom>
                  </pic:spPr>
                </pic:pic>
              </a:graphicData>
            </a:graphic>
          </wp:inline>
        </w:drawing>
      </w:r>
    </w:p>
    <w:p w14:paraId="03D291FE" w14:textId="1E3287DD" w:rsidR="00007F6C" w:rsidRDefault="00007F6C" w:rsidP="00007F6C">
      <w:pPr>
        <w:pStyle w:val="Caption"/>
      </w:pPr>
      <w:bookmarkStart w:id="665" w:name="_Toc69115094"/>
      <w:r>
        <w:t>Figure A</w:t>
      </w:r>
      <w:r w:rsidR="00B51F53">
        <w:fldChar w:fldCharType="begin"/>
      </w:r>
      <w:r w:rsidR="00B51F53">
        <w:instrText xml:space="preserve"> SEQ Figure \* ARABIC </w:instrText>
      </w:r>
      <w:r w:rsidR="00B51F53">
        <w:fldChar w:fldCharType="separate"/>
      </w:r>
      <w:r w:rsidR="0056210C">
        <w:rPr>
          <w:noProof/>
        </w:rPr>
        <w:t>4</w:t>
      </w:r>
      <w:r w:rsidR="00B51F53">
        <w:rPr>
          <w:noProof/>
        </w:rPr>
        <w:fldChar w:fldCharType="end"/>
      </w:r>
      <w:r>
        <w:t xml:space="preserve">: 5 </w:t>
      </w:r>
      <w:r>
        <w:rPr>
          <w:rFonts w:cstheme="minorHAnsi"/>
        </w:rPr>
        <w:t>µ</w:t>
      </w:r>
      <w:r>
        <w:t xml:space="preserve">m * 5 </w:t>
      </w:r>
      <w:r>
        <w:rPr>
          <w:rFonts w:cstheme="minorHAnsi"/>
        </w:rPr>
        <w:t>µ</w:t>
      </w:r>
      <w:r>
        <w:t>m section of the N</w:t>
      </w:r>
      <w:r>
        <w:rPr>
          <w:vertAlign w:val="subscript"/>
        </w:rPr>
        <w:t>2</w:t>
      </w:r>
      <w:r>
        <w:t xml:space="preserve"> DC Ni-YSZ sample used for particle size analysis using </w:t>
      </w:r>
      <w:proofErr w:type="gramStart"/>
      <w:r>
        <w:t>FIJI</w:t>
      </w:r>
      <w:bookmarkEnd w:id="665"/>
      <w:proofErr w:type="gramEnd"/>
    </w:p>
    <w:p w14:paraId="40377ADD" w14:textId="77777777" w:rsidR="00007F6C" w:rsidRPr="00B829E2" w:rsidRDefault="00007F6C" w:rsidP="00007F6C">
      <w:pPr>
        <w:jc w:val="center"/>
      </w:pPr>
    </w:p>
    <w:p w14:paraId="2B7155F7" w14:textId="52C93E3F" w:rsidR="00007F6C" w:rsidRDefault="00007F6C" w:rsidP="0056210C">
      <w:pPr>
        <w:pStyle w:val="Caption"/>
        <w:keepNext/>
        <w:spacing w:after="240"/>
      </w:pPr>
      <w:r>
        <w:t>Table A</w:t>
      </w:r>
      <w:r w:rsidR="00B51F53">
        <w:fldChar w:fldCharType="begin"/>
      </w:r>
      <w:r w:rsidR="00B51F53">
        <w:instrText xml:space="preserve"> SEQ Table \* ARABIC </w:instrText>
      </w:r>
      <w:r w:rsidR="00B51F53">
        <w:fldChar w:fldCharType="separate"/>
      </w:r>
      <w:r w:rsidR="0056210C">
        <w:rPr>
          <w:noProof/>
        </w:rPr>
        <w:t>2</w:t>
      </w:r>
      <w:r w:rsidR="00B51F53">
        <w:rPr>
          <w:noProof/>
        </w:rPr>
        <w:fldChar w:fldCharType="end"/>
      </w:r>
      <w:r>
        <w:t>: Particle size measurements from FIJI of the N</w:t>
      </w:r>
      <w:r>
        <w:rPr>
          <w:vertAlign w:val="subscript"/>
        </w:rPr>
        <w:t>2</w:t>
      </w:r>
      <w:r>
        <w:t xml:space="preserve"> DC Ni-YSZ sample section</w:t>
      </w:r>
    </w:p>
    <w:tbl>
      <w:tblPr>
        <w:tblStyle w:val="TableGrid"/>
        <w:tblW w:w="0" w:type="auto"/>
        <w:jc w:val="center"/>
        <w:tblLook w:val="04A0" w:firstRow="1" w:lastRow="0" w:firstColumn="1" w:lastColumn="0" w:noHBand="0" w:noVBand="1"/>
      </w:tblPr>
      <w:tblGrid>
        <w:gridCol w:w="467"/>
        <w:gridCol w:w="1492"/>
        <w:gridCol w:w="1954"/>
        <w:gridCol w:w="3115"/>
      </w:tblGrid>
      <w:tr w:rsidR="00007F6C" w:rsidRPr="00DF6DF2" w14:paraId="17E99F20" w14:textId="77777777" w:rsidTr="005E2F1E">
        <w:trPr>
          <w:trHeight w:val="300"/>
          <w:jc w:val="center"/>
        </w:trPr>
        <w:tc>
          <w:tcPr>
            <w:tcW w:w="0" w:type="auto"/>
            <w:gridSpan w:val="2"/>
            <w:noWrap/>
            <w:hideMark/>
          </w:tcPr>
          <w:p w14:paraId="35FBAADD" w14:textId="77777777" w:rsidR="00007F6C" w:rsidRPr="00DF6DF2" w:rsidRDefault="00007F6C" w:rsidP="005E2F1E">
            <w:pPr>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Ni-YSZ as red</w:t>
            </w:r>
            <w:r>
              <w:rPr>
                <w:rFonts w:ascii="Calibri" w:eastAsia="Times New Roman" w:hAnsi="Calibri" w:cs="Times New Roman"/>
                <w:color w:val="000000"/>
                <w:sz w:val="24"/>
                <w:szCs w:val="24"/>
                <w:lang w:eastAsia="en-GB"/>
              </w:rPr>
              <w:t>uced</w:t>
            </w:r>
          </w:p>
        </w:tc>
        <w:tc>
          <w:tcPr>
            <w:tcW w:w="0" w:type="auto"/>
            <w:noWrap/>
            <w:hideMark/>
          </w:tcPr>
          <w:p w14:paraId="12D6BABA" w14:textId="77777777" w:rsidR="00007F6C" w:rsidRPr="00DF6DF2" w:rsidRDefault="00007F6C" w:rsidP="005E2F1E">
            <w:pPr>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 xml:space="preserve">Atmosphere: </w:t>
            </w:r>
            <w:r w:rsidRPr="00DF6DF2">
              <w:rPr>
                <w:rFonts w:ascii="Calibri" w:eastAsia="Times New Roman" w:hAnsi="Calibri" w:cs="Times New Roman"/>
                <w:color w:val="000000"/>
                <w:sz w:val="24"/>
                <w:szCs w:val="24"/>
                <w:lang w:eastAsia="en-GB"/>
              </w:rPr>
              <w:t>N</w:t>
            </w:r>
            <w:r w:rsidRPr="00ED2528">
              <w:rPr>
                <w:rFonts w:ascii="Calibri" w:eastAsia="Times New Roman" w:hAnsi="Calibri" w:cs="Times New Roman"/>
                <w:color w:val="000000"/>
                <w:sz w:val="24"/>
                <w:szCs w:val="24"/>
                <w:vertAlign w:val="subscript"/>
                <w:lang w:eastAsia="en-GB"/>
              </w:rPr>
              <w:t>2</w:t>
            </w:r>
          </w:p>
        </w:tc>
        <w:tc>
          <w:tcPr>
            <w:tcW w:w="0" w:type="auto"/>
            <w:noWrap/>
            <w:hideMark/>
          </w:tcPr>
          <w:p w14:paraId="52C62E43" w14:textId="77777777" w:rsidR="00007F6C" w:rsidRPr="00DF6DF2" w:rsidRDefault="00007F6C" w:rsidP="005E2F1E">
            <w:pPr>
              <w:rPr>
                <w:rFonts w:ascii="Calibri" w:eastAsia="Times New Roman" w:hAnsi="Calibri" w:cs="Times New Roman"/>
                <w:color w:val="000000"/>
                <w:sz w:val="24"/>
                <w:szCs w:val="24"/>
                <w:lang w:eastAsia="en-GB"/>
              </w:rPr>
            </w:pPr>
          </w:p>
        </w:tc>
      </w:tr>
      <w:tr w:rsidR="00007F6C" w:rsidRPr="00DF6DF2" w14:paraId="1FC4032E" w14:textId="77777777" w:rsidTr="005E2F1E">
        <w:trPr>
          <w:trHeight w:val="300"/>
          <w:jc w:val="center"/>
        </w:trPr>
        <w:tc>
          <w:tcPr>
            <w:tcW w:w="0" w:type="auto"/>
            <w:noWrap/>
            <w:hideMark/>
          </w:tcPr>
          <w:p w14:paraId="788A5FD8" w14:textId="77777777" w:rsidR="00007F6C" w:rsidRPr="00DF6DF2" w:rsidRDefault="00007F6C" w:rsidP="005E2F1E">
            <w:pPr>
              <w:rPr>
                <w:rFonts w:ascii="Times New Roman" w:eastAsia="Times New Roman" w:hAnsi="Times New Roman" w:cs="Times New Roman"/>
                <w:sz w:val="24"/>
                <w:szCs w:val="24"/>
                <w:lang w:eastAsia="en-GB"/>
              </w:rPr>
            </w:pPr>
          </w:p>
        </w:tc>
        <w:tc>
          <w:tcPr>
            <w:tcW w:w="0" w:type="auto"/>
            <w:noWrap/>
            <w:hideMark/>
          </w:tcPr>
          <w:p w14:paraId="6F8BDDC6" w14:textId="77777777" w:rsidR="00007F6C" w:rsidRPr="00DF6DF2" w:rsidRDefault="00007F6C" w:rsidP="005E2F1E">
            <w:pPr>
              <w:rPr>
                <w:rFonts w:ascii="Calibri" w:eastAsia="Times New Roman" w:hAnsi="Calibri" w:cs="Times New Roman"/>
                <w:b/>
                <w:bCs/>
                <w:color w:val="000000"/>
                <w:sz w:val="24"/>
                <w:szCs w:val="24"/>
                <w:lang w:eastAsia="en-GB"/>
              </w:rPr>
            </w:pPr>
            <w:r w:rsidRPr="00DF6DF2">
              <w:rPr>
                <w:rFonts w:ascii="Calibri" w:eastAsia="Times New Roman" w:hAnsi="Calibri" w:cs="Times New Roman"/>
                <w:b/>
                <w:bCs/>
                <w:color w:val="000000"/>
                <w:sz w:val="24"/>
                <w:szCs w:val="24"/>
                <w:lang w:eastAsia="en-GB"/>
              </w:rPr>
              <w:t>Area [µm^2]</w:t>
            </w:r>
          </w:p>
        </w:tc>
        <w:tc>
          <w:tcPr>
            <w:tcW w:w="0" w:type="auto"/>
            <w:noWrap/>
            <w:hideMark/>
          </w:tcPr>
          <w:p w14:paraId="63C7DBF4" w14:textId="77777777" w:rsidR="00007F6C" w:rsidRPr="00DF6DF2" w:rsidRDefault="00007F6C" w:rsidP="005E2F1E">
            <w:pPr>
              <w:rPr>
                <w:rFonts w:ascii="Calibri" w:eastAsia="Times New Roman" w:hAnsi="Calibri" w:cs="Times New Roman"/>
                <w:b/>
                <w:bCs/>
                <w:color w:val="000000"/>
                <w:sz w:val="24"/>
                <w:szCs w:val="24"/>
                <w:lang w:eastAsia="en-GB"/>
              </w:rPr>
            </w:pPr>
            <w:r w:rsidRPr="00DF6DF2">
              <w:rPr>
                <w:rFonts w:ascii="Calibri" w:eastAsia="Times New Roman" w:hAnsi="Calibri" w:cs="Times New Roman"/>
                <w:b/>
                <w:bCs/>
                <w:color w:val="000000"/>
                <w:sz w:val="24"/>
                <w:szCs w:val="24"/>
                <w:lang w:eastAsia="en-GB"/>
              </w:rPr>
              <w:t>Particle Size [µm]</w:t>
            </w:r>
          </w:p>
        </w:tc>
        <w:tc>
          <w:tcPr>
            <w:tcW w:w="0" w:type="auto"/>
            <w:noWrap/>
            <w:hideMark/>
          </w:tcPr>
          <w:p w14:paraId="054E168E" w14:textId="77777777" w:rsidR="00007F6C" w:rsidRPr="00DF6DF2" w:rsidRDefault="00007F6C" w:rsidP="005E2F1E">
            <w:pPr>
              <w:rPr>
                <w:rFonts w:ascii="Calibri" w:eastAsia="Times New Roman" w:hAnsi="Calibri" w:cs="Times New Roman"/>
                <w:b/>
                <w:bCs/>
                <w:color w:val="000000"/>
                <w:sz w:val="24"/>
                <w:szCs w:val="24"/>
                <w:lang w:eastAsia="en-GB"/>
              </w:rPr>
            </w:pPr>
            <w:r w:rsidRPr="00DF6DF2">
              <w:rPr>
                <w:rFonts w:ascii="Calibri" w:eastAsia="Times New Roman" w:hAnsi="Calibri" w:cs="Times New Roman"/>
                <w:b/>
                <w:bCs/>
                <w:color w:val="000000"/>
                <w:sz w:val="24"/>
                <w:szCs w:val="24"/>
                <w:lang w:eastAsia="en-GB"/>
              </w:rPr>
              <w:t>Average Particle Length [µm]</w:t>
            </w:r>
          </w:p>
        </w:tc>
      </w:tr>
      <w:tr w:rsidR="00007F6C" w:rsidRPr="00DF6DF2" w14:paraId="377E9130" w14:textId="77777777" w:rsidTr="005E2F1E">
        <w:trPr>
          <w:trHeight w:val="300"/>
          <w:jc w:val="center"/>
        </w:trPr>
        <w:tc>
          <w:tcPr>
            <w:tcW w:w="0" w:type="auto"/>
            <w:noWrap/>
            <w:hideMark/>
          </w:tcPr>
          <w:p w14:paraId="3DBABB07"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1</w:t>
            </w:r>
          </w:p>
        </w:tc>
        <w:tc>
          <w:tcPr>
            <w:tcW w:w="0" w:type="auto"/>
            <w:noWrap/>
            <w:hideMark/>
          </w:tcPr>
          <w:p w14:paraId="3FA5C1AD"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1.00E-03</w:t>
            </w:r>
          </w:p>
        </w:tc>
        <w:tc>
          <w:tcPr>
            <w:tcW w:w="0" w:type="auto"/>
            <w:noWrap/>
            <w:hideMark/>
          </w:tcPr>
          <w:p w14:paraId="5503E449"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0.086</w:t>
            </w:r>
          </w:p>
        </w:tc>
        <w:tc>
          <w:tcPr>
            <w:tcW w:w="0" w:type="auto"/>
            <w:noWrap/>
            <w:hideMark/>
          </w:tcPr>
          <w:p w14:paraId="1159A794"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0.04758</w:t>
            </w:r>
          </w:p>
        </w:tc>
      </w:tr>
      <w:tr w:rsidR="00007F6C" w:rsidRPr="00DF6DF2" w14:paraId="6702923A" w14:textId="77777777" w:rsidTr="005E2F1E">
        <w:trPr>
          <w:trHeight w:val="300"/>
          <w:jc w:val="center"/>
        </w:trPr>
        <w:tc>
          <w:tcPr>
            <w:tcW w:w="0" w:type="auto"/>
            <w:noWrap/>
            <w:hideMark/>
          </w:tcPr>
          <w:p w14:paraId="0D94AFAA"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2</w:t>
            </w:r>
          </w:p>
        </w:tc>
        <w:tc>
          <w:tcPr>
            <w:tcW w:w="0" w:type="auto"/>
            <w:noWrap/>
            <w:hideMark/>
          </w:tcPr>
          <w:p w14:paraId="1C23BC57"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1.00E-03</w:t>
            </w:r>
          </w:p>
        </w:tc>
        <w:tc>
          <w:tcPr>
            <w:tcW w:w="0" w:type="auto"/>
            <w:noWrap/>
            <w:hideMark/>
          </w:tcPr>
          <w:p w14:paraId="21FD1632"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0.111</w:t>
            </w:r>
          </w:p>
        </w:tc>
        <w:tc>
          <w:tcPr>
            <w:tcW w:w="0" w:type="auto"/>
            <w:noWrap/>
            <w:hideMark/>
          </w:tcPr>
          <w:p w14:paraId="054945AC"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70B69CAB" w14:textId="77777777" w:rsidTr="005E2F1E">
        <w:trPr>
          <w:trHeight w:val="300"/>
          <w:jc w:val="center"/>
        </w:trPr>
        <w:tc>
          <w:tcPr>
            <w:tcW w:w="0" w:type="auto"/>
            <w:noWrap/>
            <w:hideMark/>
          </w:tcPr>
          <w:p w14:paraId="68B0A47E"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3</w:t>
            </w:r>
          </w:p>
        </w:tc>
        <w:tc>
          <w:tcPr>
            <w:tcW w:w="0" w:type="auto"/>
            <w:noWrap/>
            <w:hideMark/>
          </w:tcPr>
          <w:p w14:paraId="5BA3656A"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1.00E-03</w:t>
            </w:r>
          </w:p>
        </w:tc>
        <w:tc>
          <w:tcPr>
            <w:tcW w:w="0" w:type="auto"/>
            <w:noWrap/>
            <w:hideMark/>
          </w:tcPr>
          <w:p w14:paraId="26768613"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0.081</w:t>
            </w:r>
          </w:p>
        </w:tc>
        <w:tc>
          <w:tcPr>
            <w:tcW w:w="0" w:type="auto"/>
            <w:noWrap/>
            <w:hideMark/>
          </w:tcPr>
          <w:p w14:paraId="2C025654" w14:textId="77777777" w:rsidR="00007F6C" w:rsidRPr="00DF6DF2" w:rsidRDefault="00007F6C" w:rsidP="005E2F1E">
            <w:pPr>
              <w:rPr>
                <w:rFonts w:ascii="Calibri" w:eastAsia="Times New Roman" w:hAnsi="Calibri" w:cs="Times New Roman"/>
                <w:b/>
                <w:bCs/>
                <w:color w:val="000000"/>
                <w:sz w:val="24"/>
                <w:szCs w:val="24"/>
                <w:lang w:eastAsia="en-GB"/>
              </w:rPr>
            </w:pPr>
            <w:r w:rsidRPr="00DF6DF2">
              <w:rPr>
                <w:rFonts w:ascii="Calibri" w:eastAsia="Times New Roman" w:hAnsi="Calibri" w:cs="Times New Roman"/>
                <w:b/>
                <w:bCs/>
                <w:color w:val="000000"/>
                <w:sz w:val="24"/>
                <w:szCs w:val="24"/>
                <w:lang w:eastAsia="en-GB"/>
              </w:rPr>
              <w:t>Average particle length [nm]</w:t>
            </w:r>
          </w:p>
        </w:tc>
      </w:tr>
      <w:tr w:rsidR="00007F6C" w:rsidRPr="00DF6DF2" w14:paraId="43B325BD" w14:textId="77777777" w:rsidTr="005E2F1E">
        <w:trPr>
          <w:trHeight w:val="300"/>
          <w:jc w:val="center"/>
        </w:trPr>
        <w:tc>
          <w:tcPr>
            <w:tcW w:w="0" w:type="auto"/>
            <w:noWrap/>
            <w:hideMark/>
          </w:tcPr>
          <w:p w14:paraId="28A54941"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4</w:t>
            </w:r>
          </w:p>
        </w:tc>
        <w:tc>
          <w:tcPr>
            <w:tcW w:w="0" w:type="auto"/>
            <w:noWrap/>
            <w:hideMark/>
          </w:tcPr>
          <w:p w14:paraId="67F80346"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1.00E-03</w:t>
            </w:r>
          </w:p>
        </w:tc>
        <w:tc>
          <w:tcPr>
            <w:tcW w:w="0" w:type="auto"/>
            <w:noWrap/>
            <w:hideMark/>
          </w:tcPr>
          <w:p w14:paraId="30A28B44"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0.078</w:t>
            </w:r>
          </w:p>
        </w:tc>
        <w:tc>
          <w:tcPr>
            <w:tcW w:w="0" w:type="auto"/>
            <w:noWrap/>
            <w:hideMark/>
          </w:tcPr>
          <w:p w14:paraId="66C58CB0"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47.58</w:t>
            </w:r>
          </w:p>
        </w:tc>
      </w:tr>
      <w:tr w:rsidR="00007F6C" w:rsidRPr="00DF6DF2" w14:paraId="1F7CED4F" w14:textId="77777777" w:rsidTr="005E2F1E">
        <w:trPr>
          <w:trHeight w:val="300"/>
          <w:jc w:val="center"/>
        </w:trPr>
        <w:tc>
          <w:tcPr>
            <w:tcW w:w="0" w:type="auto"/>
            <w:noWrap/>
            <w:hideMark/>
          </w:tcPr>
          <w:p w14:paraId="4ABB896B"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5</w:t>
            </w:r>
          </w:p>
        </w:tc>
        <w:tc>
          <w:tcPr>
            <w:tcW w:w="0" w:type="auto"/>
            <w:noWrap/>
            <w:hideMark/>
          </w:tcPr>
          <w:p w14:paraId="1793ABD5"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8.14E-04</w:t>
            </w:r>
          </w:p>
        </w:tc>
        <w:tc>
          <w:tcPr>
            <w:tcW w:w="0" w:type="auto"/>
            <w:noWrap/>
            <w:hideMark/>
          </w:tcPr>
          <w:p w14:paraId="1733DBAE"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0.06</w:t>
            </w:r>
          </w:p>
        </w:tc>
        <w:tc>
          <w:tcPr>
            <w:tcW w:w="0" w:type="auto"/>
            <w:noWrap/>
            <w:hideMark/>
          </w:tcPr>
          <w:p w14:paraId="3B7F58C2"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6BA42CC3" w14:textId="77777777" w:rsidTr="005E2F1E">
        <w:trPr>
          <w:trHeight w:val="300"/>
          <w:jc w:val="center"/>
        </w:trPr>
        <w:tc>
          <w:tcPr>
            <w:tcW w:w="0" w:type="auto"/>
            <w:noWrap/>
            <w:hideMark/>
          </w:tcPr>
          <w:p w14:paraId="16A8B995"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6</w:t>
            </w:r>
          </w:p>
        </w:tc>
        <w:tc>
          <w:tcPr>
            <w:tcW w:w="0" w:type="auto"/>
            <w:noWrap/>
            <w:hideMark/>
          </w:tcPr>
          <w:p w14:paraId="61E44059"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8.14E-04</w:t>
            </w:r>
          </w:p>
        </w:tc>
        <w:tc>
          <w:tcPr>
            <w:tcW w:w="0" w:type="auto"/>
            <w:noWrap/>
            <w:hideMark/>
          </w:tcPr>
          <w:p w14:paraId="0C859185"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0.053</w:t>
            </w:r>
          </w:p>
        </w:tc>
        <w:tc>
          <w:tcPr>
            <w:tcW w:w="0" w:type="auto"/>
            <w:noWrap/>
            <w:hideMark/>
          </w:tcPr>
          <w:p w14:paraId="7B2C401A" w14:textId="77777777" w:rsidR="00007F6C" w:rsidRPr="00DF6DF2" w:rsidRDefault="00007F6C" w:rsidP="005E2F1E">
            <w:pPr>
              <w:rPr>
                <w:rFonts w:ascii="Calibri" w:eastAsia="Times New Roman" w:hAnsi="Calibri" w:cs="Times New Roman"/>
                <w:b/>
                <w:bCs/>
                <w:color w:val="000000"/>
                <w:sz w:val="24"/>
                <w:szCs w:val="24"/>
                <w:lang w:eastAsia="en-GB"/>
              </w:rPr>
            </w:pPr>
            <w:r w:rsidRPr="00DF6DF2">
              <w:rPr>
                <w:rFonts w:ascii="Calibri" w:eastAsia="Times New Roman" w:hAnsi="Calibri" w:cs="Times New Roman"/>
                <w:b/>
                <w:bCs/>
                <w:color w:val="000000"/>
                <w:sz w:val="24"/>
                <w:szCs w:val="24"/>
                <w:lang w:eastAsia="en-GB"/>
              </w:rPr>
              <w:t>Error [nm]</w:t>
            </w:r>
          </w:p>
        </w:tc>
      </w:tr>
      <w:tr w:rsidR="00007F6C" w:rsidRPr="00DF6DF2" w14:paraId="3B4D8ABD" w14:textId="77777777" w:rsidTr="005E2F1E">
        <w:trPr>
          <w:trHeight w:val="300"/>
          <w:jc w:val="center"/>
        </w:trPr>
        <w:tc>
          <w:tcPr>
            <w:tcW w:w="0" w:type="auto"/>
            <w:noWrap/>
            <w:hideMark/>
          </w:tcPr>
          <w:p w14:paraId="145636D8"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7</w:t>
            </w:r>
          </w:p>
        </w:tc>
        <w:tc>
          <w:tcPr>
            <w:tcW w:w="0" w:type="auto"/>
            <w:noWrap/>
            <w:hideMark/>
          </w:tcPr>
          <w:p w14:paraId="4A82B5A4"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8.14E-04</w:t>
            </w:r>
          </w:p>
        </w:tc>
        <w:tc>
          <w:tcPr>
            <w:tcW w:w="0" w:type="auto"/>
            <w:noWrap/>
            <w:hideMark/>
          </w:tcPr>
          <w:p w14:paraId="137F1EC3"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0.054</w:t>
            </w:r>
          </w:p>
        </w:tc>
        <w:tc>
          <w:tcPr>
            <w:tcW w:w="0" w:type="auto"/>
            <w:noWrap/>
            <w:hideMark/>
          </w:tcPr>
          <w:p w14:paraId="0ECBCB93"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21.0</w:t>
            </w:r>
          </w:p>
        </w:tc>
      </w:tr>
      <w:tr w:rsidR="00007F6C" w:rsidRPr="00DF6DF2" w14:paraId="4365D441" w14:textId="77777777" w:rsidTr="005E2F1E">
        <w:trPr>
          <w:trHeight w:val="300"/>
          <w:jc w:val="center"/>
        </w:trPr>
        <w:tc>
          <w:tcPr>
            <w:tcW w:w="0" w:type="auto"/>
            <w:noWrap/>
            <w:hideMark/>
          </w:tcPr>
          <w:p w14:paraId="28D04150"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8</w:t>
            </w:r>
          </w:p>
        </w:tc>
        <w:tc>
          <w:tcPr>
            <w:tcW w:w="0" w:type="auto"/>
            <w:noWrap/>
            <w:hideMark/>
          </w:tcPr>
          <w:p w14:paraId="58666CEF"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5.43E-04</w:t>
            </w:r>
          </w:p>
        </w:tc>
        <w:tc>
          <w:tcPr>
            <w:tcW w:w="0" w:type="auto"/>
            <w:noWrap/>
            <w:hideMark/>
          </w:tcPr>
          <w:p w14:paraId="6C6DE29D"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0.031</w:t>
            </w:r>
          </w:p>
        </w:tc>
        <w:tc>
          <w:tcPr>
            <w:tcW w:w="0" w:type="auto"/>
            <w:noWrap/>
            <w:hideMark/>
          </w:tcPr>
          <w:p w14:paraId="4E9BA06A"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62D41580" w14:textId="77777777" w:rsidTr="005E2F1E">
        <w:trPr>
          <w:trHeight w:val="300"/>
          <w:jc w:val="center"/>
        </w:trPr>
        <w:tc>
          <w:tcPr>
            <w:tcW w:w="0" w:type="auto"/>
            <w:noWrap/>
            <w:hideMark/>
          </w:tcPr>
          <w:p w14:paraId="348CA1F9"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9</w:t>
            </w:r>
          </w:p>
        </w:tc>
        <w:tc>
          <w:tcPr>
            <w:tcW w:w="0" w:type="auto"/>
            <w:noWrap/>
            <w:hideMark/>
          </w:tcPr>
          <w:p w14:paraId="122E9790"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6.78E-04</w:t>
            </w:r>
          </w:p>
        </w:tc>
        <w:tc>
          <w:tcPr>
            <w:tcW w:w="0" w:type="auto"/>
            <w:noWrap/>
            <w:hideMark/>
          </w:tcPr>
          <w:p w14:paraId="20793B71"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0.047</w:t>
            </w:r>
          </w:p>
        </w:tc>
        <w:tc>
          <w:tcPr>
            <w:tcW w:w="0" w:type="auto"/>
            <w:noWrap/>
            <w:hideMark/>
          </w:tcPr>
          <w:p w14:paraId="65EA2681"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1BC199AE" w14:textId="77777777" w:rsidTr="005E2F1E">
        <w:trPr>
          <w:trHeight w:val="300"/>
          <w:jc w:val="center"/>
        </w:trPr>
        <w:tc>
          <w:tcPr>
            <w:tcW w:w="0" w:type="auto"/>
            <w:noWrap/>
            <w:hideMark/>
          </w:tcPr>
          <w:p w14:paraId="7D49CC41"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10</w:t>
            </w:r>
          </w:p>
        </w:tc>
        <w:tc>
          <w:tcPr>
            <w:tcW w:w="0" w:type="auto"/>
            <w:noWrap/>
            <w:hideMark/>
          </w:tcPr>
          <w:p w14:paraId="132DC404"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4.07E-04</w:t>
            </w:r>
          </w:p>
        </w:tc>
        <w:tc>
          <w:tcPr>
            <w:tcW w:w="0" w:type="auto"/>
            <w:noWrap/>
            <w:hideMark/>
          </w:tcPr>
          <w:p w14:paraId="5DC57E3B"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0.024</w:t>
            </w:r>
          </w:p>
        </w:tc>
        <w:tc>
          <w:tcPr>
            <w:tcW w:w="0" w:type="auto"/>
            <w:noWrap/>
            <w:hideMark/>
          </w:tcPr>
          <w:p w14:paraId="7C8880C9"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0B59B912" w14:textId="77777777" w:rsidTr="005E2F1E">
        <w:trPr>
          <w:trHeight w:val="300"/>
          <w:jc w:val="center"/>
        </w:trPr>
        <w:tc>
          <w:tcPr>
            <w:tcW w:w="0" w:type="auto"/>
            <w:noWrap/>
            <w:hideMark/>
          </w:tcPr>
          <w:p w14:paraId="6D316905"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11</w:t>
            </w:r>
          </w:p>
        </w:tc>
        <w:tc>
          <w:tcPr>
            <w:tcW w:w="0" w:type="auto"/>
            <w:noWrap/>
            <w:hideMark/>
          </w:tcPr>
          <w:p w14:paraId="1B96E998"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6.78E-04</w:t>
            </w:r>
          </w:p>
        </w:tc>
        <w:tc>
          <w:tcPr>
            <w:tcW w:w="0" w:type="auto"/>
            <w:noWrap/>
            <w:hideMark/>
          </w:tcPr>
          <w:p w14:paraId="078C1A9A"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0.047</w:t>
            </w:r>
          </w:p>
        </w:tc>
        <w:tc>
          <w:tcPr>
            <w:tcW w:w="0" w:type="auto"/>
            <w:noWrap/>
            <w:hideMark/>
          </w:tcPr>
          <w:p w14:paraId="24E54A22"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210CC63D" w14:textId="77777777" w:rsidTr="005E2F1E">
        <w:trPr>
          <w:trHeight w:val="300"/>
          <w:jc w:val="center"/>
        </w:trPr>
        <w:tc>
          <w:tcPr>
            <w:tcW w:w="0" w:type="auto"/>
            <w:noWrap/>
            <w:hideMark/>
          </w:tcPr>
          <w:p w14:paraId="0C1D9C4B"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12</w:t>
            </w:r>
          </w:p>
        </w:tc>
        <w:tc>
          <w:tcPr>
            <w:tcW w:w="0" w:type="auto"/>
            <w:noWrap/>
            <w:hideMark/>
          </w:tcPr>
          <w:p w14:paraId="670197ED"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0.001</w:t>
            </w:r>
          </w:p>
        </w:tc>
        <w:tc>
          <w:tcPr>
            <w:tcW w:w="0" w:type="auto"/>
            <w:noWrap/>
            <w:hideMark/>
          </w:tcPr>
          <w:p w14:paraId="432E3F28"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0.101</w:t>
            </w:r>
          </w:p>
        </w:tc>
        <w:tc>
          <w:tcPr>
            <w:tcW w:w="0" w:type="auto"/>
            <w:noWrap/>
            <w:hideMark/>
          </w:tcPr>
          <w:p w14:paraId="6039B620"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61D47202" w14:textId="77777777" w:rsidTr="005E2F1E">
        <w:trPr>
          <w:trHeight w:val="300"/>
          <w:jc w:val="center"/>
        </w:trPr>
        <w:tc>
          <w:tcPr>
            <w:tcW w:w="0" w:type="auto"/>
            <w:noWrap/>
            <w:hideMark/>
          </w:tcPr>
          <w:p w14:paraId="021DD91F"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13</w:t>
            </w:r>
          </w:p>
        </w:tc>
        <w:tc>
          <w:tcPr>
            <w:tcW w:w="0" w:type="auto"/>
            <w:noWrap/>
            <w:hideMark/>
          </w:tcPr>
          <w:p w14:paraId="4E1F2E43"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9.49E-04</w:t>
            </w:r>
          </w:p>
        </w:tc>
        <w:tc>
          <w:tcPr>
            <w:tcW w:w="0" w:type="auto"/>
            <w:noWrap/>
            <w:hideMark/>
          </w:tcPr>
          <w:p w14:paraId="1D3E9C6E"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0.073</w:t>
            </w:r>
          </w:p>
        </w:tc>
        <w:tc>
          <w:tcPr>
            <w:tcW w:w="0" w:type="auto"/>
            <w:noWrap/>
            <w:hideMark/>
          </w:tcPr>
          <w:p w14:paraId="0603FB83"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6C5FB84A" w14:textId="77777777" w:rsidTr="005E2F1E">
        <w:trPr>
          <w:trHeight w:val="300"/>
          <w:jc w:val="center"/>
        </w:trPr>
        <w:tc>
          <w:tcPr>
            <w:tcW w:w="0" w:type="auto"/>
            <w:noWrap/>
            <w:hideMark/>
          </w:tcPr>
          <w:p w14:paraId="2E269104"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14</w:t>
            </w:r>
          </w:p>
        </w:tc>
        <w:tc>
          <w:tcPr>
            <w:tcW w:w="0" w:type="auto"/>
            <w:noWrap/>
            <w:hideMark/>
          </w:tcPr>
          <w:p w14:paraId="18961B93"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6.78E-04</w:t>
            </w:r>
          </w:p>
        </w:tc>
        <w:tc>
          <w:tcPr>
            <w:tcW w:w="0" w:type="auto"/>
            <w:noWrap/>
            <w:hideMark/>
          </w:tcPr>
          <w:p w14:paraId="51AC9711"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0.052</w:t>
            </w:r>
          </w:p>
        </w:tc>
        <w:tc>
          <w:tcPr>
            <w:tcW w:w="0" w:type="auto"/>
            <w:noWrap/>
            <w:hideMark/>
          </w:tcPr>
          <w:p w14:paraId="652C37A6"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5FEACE54" w14:textId="77777777" w:rsidTr="005E2F1E">
        <w:trPr>
          <w:trHeight w:val="300"/>
          <w:jc w:val="center"/>
        </w:trPr>
        <w:tc>
          <w:tcPr>
            <w:tcW w:w="0" w:type="auto"/>
            <w:noWrap/>
            <w:hideMark/>
          </w:tcPr>
          <w:p w14:paraId="2F2DD8AF"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15</w:t>
            </w:r>
          </w:p>
        </w:tc>
        <w:tc>
          <w:tcPr>
            <w:tcW w:w="0" w:type="auto"/>
            <w:noWrap/>
            <w:hideMark/>
          </w:tcPr>
          <w:p w14:paraId="0CDE7756"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6.78E-04</w:t>
            </w:r>
          </w:p>
        </w:tc>
        <w:tc>
          <w:tcPr>
            <w:tcW w:w="0" w:type="auto"/>
            <w:noWrap/>
            <w:hideMark/>
          </w:tcPr>
          <w:p w14:paraId="4D94D5D7"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0.042</w:t>
            </w:r>
          </w:p>
        </w:tc>
        <w:tc>
          <w:tcPr>
            <w:tcW w:w="0" w:type="auto"/>
            <w:noWrap/>
            <w:hideMark/>
          </w:tcPr>
          <w:p w14:paraId="61DC6A67"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183B5046" w14:textId="77777777" w:rsidTr="005E2F1E">
        <w:trPr>
          <w:trHeight w:val="300"/>
          <w:jc w:val="center"/>
        </w:trPr>
        <w:tc>
          <w:tcPr>
            <w:tcW w:w="0" w:type="auto"/>
            <w:noWrap/>
            <w:hideMark/>
          </w:tcPr>
          <w:p w14:paraId="4DFA4F58"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16</w:t>
            </w:r>
          </w:p>
        </w:tc>
        <w:tc>
          <w:tcPr>
            <w:tcW w:w="0" w:type="auto"/>
            <w:noWrap/>
            <w:hideMark/>
          </w:tcPr>
          <w:p w14:paraId="16C2D337"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8.14E-04</w:t>
            </w:r>
          </w:p>
        </w:tc>
        <w:tc>
          <w:tcPr>
            <w:tcW w:w="0" w:type="auto"/>
            <w:noWrap/>
            <w:hideMark/>
          </w:tcPr>
          <w:p w14:paraId="4B2D9C34"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0.055</w:t>
            </w:r>
          </w:p>
        </w:tc>
        <w:tc>
          <w:tcPr>
            <w:tcW w:w="0" w:type="auto"/>
            <w:noWrap/>
            <w:hideMark/>
          </w:tcPr>
          <w:p w14:paraId="2FCE4BB6"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3749903C" w14:textId="77777777" w:rsidTr="005E2F1E">
        <w:trPr>
          <w:trHeight w:val="300"/>
          <w:jc w:val="center"/>
        </w:trPr>
        <w:tc>
          <w:tcPr>
            <w:tcW w:w="0" w:type="auto"/>
            <w:noWrap/>
            <w:hideMark/>
          </w:tcPr>
          <w:p w14:paraId="36834806"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17</w:t>
            </w:r>
          </w:p>
        </w:tc>
        <w:tc>
          <w:tcPr>
            <w:tcW w:w="0" w:type="auto"/>
            <w:noWrap/>
            <w:hideMark/>
          </w:tcPr>
          <w:p w14:paraId="656EE9AA"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5.43E-04</w:t>
            </w:r>
          </w:p>
        </w:tc>
        <w:tc>
          <w:tcPr>
            <w:tcW w:w="0" w:type="auto"/>
            <w:noWrap/>
            <w:hideMark/>
          </w:tcPr>
          <w:p w14:paraId="6B0716A4"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0.029</w:t>
            </w:r>
          </w:p>
        </w:tc>
        <w:tc>
          <w:tcPr>
            <w:tcW w:w="0" w:type="auto"/>
            <w:noWrap/>
            <w:hideMark/>
          </w:tcPr>
          <w:p w14:paraId="09FC8366"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71ADEA06" w14:textId="77777777" w:rsidTr="005E2F1E">
        <w:trPr>
          <w:trHeight w:val="300"/>
          <w:jc w:val="center"/>
        </w:trPr>
        <w:tc>
          <w:tcPr>
            <w:tcW w:w="0" w:type="auto"/>
            <w:noWrap/>
            <w:hideMark/>
          </w:tcPr>
          <w:p w14:paraId="1C2F1FC5"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18</w:t>
            </w:r>
          </w:p>
        </w:tc>
        <w:tc>
          <w:tcPr>
            <w:tcW w:w="0" w:type="auto"/>
            <w:noWrap/>
            <w:hideMark/>
          </w:tcPr>
          <w:p w14:paraId="56E29777"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5.43E-04</w:t>
            </w:r>
          </w:p>
        </w:tc>
        <w:tc>
          <w:tcPr>
            <w:tcW w:w="0" w:type="auto"/>
            <w:noWrap/>
            <w:hideMark/>
          </w:tcPr>
          <w:p w14:paraId="4DD99456"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0.035</w:t>
            </w:r>
          </w:p>
        </w:tc>
        <w:tc>
          <w:tcPr>
            <w:tcW w:w="0" w:type="auto"/>
            <w:noWrap/>
            <w:hideMark/>
          </w:tcPr>
          <w:p w14:paraId="2F1C747F"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7813E98C" w14:textId="77777777" w:rsidTr="005E2F1E">
        <w:trPr>
          <w:trHeight w:val="300"/>
          <w:jc w:val="center"/>
        </w:trPr>
        <w:tc>
          <w:tcPr>
            <w:tcW w:w="0" w:type="auto"/>
            <w:noWrap/>
            <w:hideMark/>
          </w:tcPr>
          <w:p w14:paraId="37F7E9BB"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19</w:t>
            </w:r>
          </w:p>
        </w:tc>
        <w:tc>
          <w:tcPr>
            <w:tcW w:w="0" w:type="auto"/>
            <w:noWrap/>
            <w:hideMark/>
          </w:tcPr>
          <w:p w14:paraId="3CCE8705"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6.78E-04</w:t>
            </w:r>
          </w:p>
        </w:tc>
        <w:tc>
          <w:tcPr>
            <w:tcW w:w="0" w:type="auto"/>
            <w:noWrap/>
            <w:hideMark/>
          </w:tcPr>
          <w:p w14:paraId="5A1EADB8"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0.052</w:t>
            </w:r>
          </w:p>
        </w:tc>
        <w:tc>
          <w:tcPr>
            <w:tcW w:w="0" w:type="auto"/>
            <w:noWrap/>
            <w:hideMark/>
          </w:tcPr>
          <w:p w14:paraId="65FB630D"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6CF89315" w14:textId="77777777" w:rsidTr="005E2F1E">
        <w:trPr>
          <w:trHeight w:val="300"/>
          <w:jc w:val="center"/>
        </w:trPr>
        <w:tc>
          <w:tcPr>
            <w:tcW w:w="0" w:type="auto"/>
            <w:noWrap/>
            <w:hideMark/>
          </w:tcPr>
          <w:p w14:paraId="2EF39B6B"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20</w:t>
            </w:r>
          </w:p>
        </w:tc>
        <w:tc>
          <w:tcPr>
            <w:tcW w:w="0" w:type="auto"/>
            <w:noWrap/>
            <w:hideMark/>
          </w:tcPr>
          <w:p w14:paraId="529E1F94"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6.78E-04</w:t>
            </w:r>
          </w:p>
        </w:tc>
        <w:tc>
          <w:tcPr>
            <w:tcW w:w="0" w:type="auto"/>
            <w:noWrap/>
            <w:hideMark/>
          </w:tcPr>
          <w:p w14:paraId="172E4417"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0.041</w:t>
            </w:r>
          </w:p>
        </w:tc>
        <w:tc>
          <w:tcPr>
            <w:tcW w:w="0" w:type="auto"/>
            <w:noWrap/>
            <w:hideMark/>
          </w:tcPr>
          <w:p w14:paraId="64F6D93B"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2B3AAD04" w14:textId="77777777" w:rsidTr="005E2F1E">
        <w:trPr>
          <w:trHeight w:val="300"/>
          <w:jc w:val="center"/>
        </w:trPr>
        <w:tc>
          <w:tcPr>
            <w:tcW w:w="0" w:type="auto"/>
            <w:noWrap/>
            <w:hideMark/>
          </w:tcPr>
          <w:p w14:paraId="172F86FD"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21</w:t>
            </w:r>
          </w:p>
        </w:tc>
        <w:tc>
          <w:tcPr>
            <w:tcW w:w="0" w:type="auto"/>
            <w:noWrap/>
            <w:hideMark/>
          </w:tcPr>
          <w:p w14:paraId="155A6337"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6.78E-04</w:t>
            </w:r>
          </w:p>
        </w:tc>
        <w:tc>
          <w:tcPr>
            <w:tcW w:w="0" w:type="auto"/>
            <w:noWrap/>
            <w:hideMark/>
          </w:tcPr>
          <w:p w14:paraId="479CFD83"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0.048</w:t>
            </w:r>
          </w:p>
        </w:tc>
        <w:tc>
          <w:tcPr>
            <w:tcW w:w="0" w:type="auto"/>
            <w:noWrap/>
            <w:hideMark/>
          </w:tcPr>
          <w:p w14:paraId="6CB65DD5"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0E81D823" w14:textId="77777777" w:rsidTr="005E2F1E">
        <w:trPr>
          <w:trHeight w:val="300"/>
          <w:jc w:val="center"/>
        </w:trPr>
        <w:tc>
          <w:tcPr>
            <w:tcW w:w="0" w:type="auto"/>
            <w:noWrap/>
            <w:hideMark/>
          </w:tcPr>
          <w:p w14:paraId="050C3704"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22</w:t>
            </w:r>
          </w:p>
        </w:tc>
        <w:tc>
          <w:tcPr>
            <w:tcW w:w="0" w:type="auto"/>
            <w:noWrap/>
            <w:hideMark/>
          </w:tcPr>
          <w:p w14:paraId="40A74FA6"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6.78E-04</w:t>
            </w:r>
          </w:p>
        </w:tc>
        <w:tc>
          <w:tcPr>
            <w:tcW w:w="0" w:type="auto"/>
            <w:noWrap/>
            <w:hideMark/>
          </w:tcPr>
          <w:p w14:paraId="6DA759CF"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0.045</w:t>
            </w:r>
          </w:p>
        </w:tc>
        <w:tc>
          <w:tcPr>
            <w:tcW w:w="0" w:type="auto"/>
            <w:noWrap/>
            <w:hideMark/>
          </w:tcPr>
          <w:p w14:paraId="482D577B"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5D0E465B" w14:textId="77777777" w:rsidTr="005E2F1E">
        <w:trPr>
          <w:trHeight w:val="300"/>
          <w:jc w:val="center"/>
        </w:trPr>
        <w:tc>
          <w:tcPr>
            <w:tcW w:w="0" w:type="auto"/>
            <w:noWrap/>
            <w:hideMark/>
          </w:tcPr>
          <w:p w14:paraId="264D7103"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23</w:t>
            </w:r>
          </w:p>
        </w:tc>
        <w:tc>
          <w:tcPr>
            <w:tcW w:w="0" w:type="auto"/>
            <w:noWrap/>
            <w:hideMark/>
          </w:tcPr>
          <w:p w14:paraId="03F53FB5"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5.43E-04</w:t>
            </w:r>
          </w:p>
        </w:tc>
        <w:tc>
          <w:tcPr>
            <w:tcW w:w="0" w:type="auto"/>
            <w:noWrap/>
            <w:hideMark/>
          </w:tcPr>
          <w:p w14:paraId="7299BE65"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0.037</w:t>
            </w:r>
          </w:p>
        </w:tc>
        <w:tc>
          <w:tcPr>
            <w:tcW w:w="0" w:type="auto"/>
            <w:noWrap/>
            <w:hideMark/>
          </w:tcPr>
          <w:p w14:paraId="0F2A1903"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7E5B38C4" w14:textId="77777777" w:rsidTr="005E2F1E">
        <w:trPr>
          <w:trHeight w:val="300"/>
          <w:jc w:val="center"/>
        </w:trPr>
        <w:tc>
          <w:tcPr>
            <w:tcW w:w="0" w:type="auto"/>
            <w:noWrap/>
            <w:hideMark/>
          </w:tcPr>
          <w:p w14:paraId="07ADE8BA"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24</w:t>
            </w:r>
          </w:p>
        </w:tc>
        <w:tc>
          <w:tcPr>
            <w:tcW w:w="0" w:type="auto"/>
            <w:noWrap/>
            <w:hideMark/>
          </w:tcPr>
          <w:p w14:paraId="35C5EEFA"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5.43E-04</w:t>
            </w:r>
          </w:p>
        </w:tc>
        <w:tc>
          <w:tcPr>
            <w:tcW w:w="0" w:type="auto"/>
            <w:noWrap/>
            <w:hideMark/>
          </w:tcPr>
          <w:p w14:paraId="056DCAA2"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0.029</w:t>
            </w:r>
          </w:p>
        </w:tc>
        <w:tc>
          <w:tcPr>
            <w:tcW w:w="0" w:type="auto"/>
            <w:noWrap/>
            <w:hideMark/>
          </w:tcPr>
          <w:p w14:paraId="60036C36"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1F4ABD79" w14:textId="77777777" w:rsidTr="005E2F1E">
        <w:trPr>
          <w:trHeight w:val="300"/>
          <w:jc w:val="center"/>
        </w:trPr>
        <w:tc>
          <w:tcPr>
            <w:tcW w:w="0" w:type="auto"/>
            <w:noWrap/>
            <w:hideMark/>
          </w:tcPr>
          <w:p w14:paraId="0C9DBFA7"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25</w:t>
            </w:r>
          </w:p>
        </w:tc>
        <w:tc>
          <w:tcPr>
            <w:tcW w:w="0" w:type="auto"/>
            <w:noWrap/>
            <w:hideMark/>
          </w:tcPr>
          <w:p w14:paraId="1ACE144E"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5.43E-04</w:t>
            </w:r>
          </w:p>
        </w:tc>
        <w:tc>
          <w:tcPr>
            <w:tcW w:w="0" w:type="auto"/>
            <w:noWrap/>
            <w:hideMark/>
          </w:tcPr>
          <w:p w14:paraId="6EEDB55F"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0.031</w:t>
            </w:r>
          </w:p>
        </w:tc>
        <w:tc>
          <w:tcPr>
            <w:tcW w:w="0" w:type="auto"/>
            <w:noWrap/>
            <w:hideMark/>
          </w:tcPr>
          <w:p w14:paraId="3053F0D4"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5CB3A774" w14:textId="77777777" w:rsidTr="005E2F1E">
        <w:trPr>
          <w:trHeight w:val="300"/>
          <w:jc w:val="center"/>
        </w:trPr>
        <w:tc>
          <w:tcPr>
            <w:tcW w:w="0" w:type="auto"/>
            <w:noWrap/>
            <w:hideMark/>
          </w:tcPr>
          <w:p w14:paraId="1153973D"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26</w:t>
            </w:r>
          </w:p>
        </w:tc>
        <w:tc>
          <w:tcPr>
            <w:tcW w:w="0" w:type="auto"/>
            <w:noWrap/>
            <w:hideMark/>
          </w:tcPr>
          <w:p w14:paraId="4EDDAF30"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6.78E-04</w:t>
            </w:r>
          </w:p>
        </w:tc>
        <w:tc>
          <w:tcPr>
            <w:tcW w:w="0" w:type="auto"/>
            <w:noWrap/>
            <w:hideMark/>
          </w:tcPr>
          <w:p w14:paraId="2996AED6"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0.047</w:t>
            </w:r>
          </w:p>
        </w:tc>
        <w:tc>
          <w:tcPr>
            <w:tcW w:w="0" w:type="auto"/>
            <w:noWrap/>
            <w:hideMark/>
          </w:tcPr>
          <w:p w14:paraId="14BE1EE3"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0D2E3A1C" w14:textId="77777777" w:rsidTr="005E2F1E">
        <w:trPr>
          <w:trHeight w:val="300"/>
          <w:jc w:val="center"/>
        </w:trPr>
        <w:tc>
          <w:tcPr>
            <w:tcW w:w="0" w:type="auto"/>
            <w:noWrap/>
            <w:hideMark/>
          </w:tcPr>
          <w:p w14:paraId="732C07CC"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27</w:t>
            </w:r>
          </w:p>
        </w:tc>
        <w:tc>
          <w:tcPr>
            <w:tcW w:w="0" w:type="auto"/>
            <w:noWrap/>
            <w:hideMark/>
          </w:tcPr>
          <w:p w14:paraId="7B340435"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0.001</w:t>
            </w:r>
          </w:p>
        </w:tc>
        <w:tc>
          <w:tcPr>
            <w:tcW w:w="0" w:type="auto"/>
            <w:noWrap/>
            <w:hideMark/>
          </w:tcPr>
          <w:p w14:paraId="15926310"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0.076</w:t>
            </w:r>
          </w:p>
        </w:tc>
        <w:tc>
          <w:tcPr>
            <w:tcW w:w="0" w:type="auto"/>
            <w:noWrap/>
            <w:hideMark/>
          </w:tcPr>
          <w:p w14:paraId="2BEF0F64"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5CE0BDC4" w14:textId="77777777" w:rsidTr="005E2F1E">
        <w:trPr>
          <w:trHeight w:val="300"/>
          <w:jc w:val="center"/>
        </w:trPr>
        <w:tc>
          <w:tcPr>
            <w:tcW w:w="0" w:type="auto"/>
            <w:noWrap/>
            <w:hideMark/>
          </w:tcPr>
          <w:p w14:paraId="4178024A"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28</w:t>
            </w:r>
          </w:p>
        </w:tc>
        <w:tc>
          <w:tcPr>
            <w:tcW w:w="0" w:type="auto"/>
            <w:noWrap/>
            <w:hideMark/>
          </w:tcPr>
          <w:p w14:paraId="33FC9A9D"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5.43E-04</w:t>
            </w:r>
          </w:p>
        </w:tc>
        <w:tc>
          <w:tcPr>
            <w:tcW w:w="0" w:type="auto"/>
            <w:noWrap/>
            <w:hideMark/>
          </w:tcPr>
          <w:p w14:paraId="7CC448AE"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0.029</w:t>
            </w:r>
          </w:p>
        </w:tc>
        <w:tc>
          <w:tcPr>
            <w:tcW w:w="0" w:type="auto"/>
            <w:noWrap/>
            <w:hideMark/>
          </w:tcPr>
          <w:p w14:paraId="11253EA3"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2C16C20E" w14:textId="77777777" w:rsidTr="005E2F1E">
        <w:trPr>
          <w:trHeight w:val="300"/>
          <w:jc w:val="center"/>
        </w:trPr>
        <w:tc>
          <w:tcPr>
            <w:tcW w:w="0" w:type="auto"/>
            <w:noWrap/>
            <w:hideMark/>
          </w:tcPr>
          <w:p w14:paraId="34DCFE24"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29</w:t>
            </w:r>
          </w:p>
        </w:tc>
        <w:tc>
          <w:tcPr>
            <w:tcW w:w="0" w:type="auto"/>
            <w:noWrap/>
            <w:hideMark/>
          </w:tcPr>
          <w:p w14:paraId="1D0E812C"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6.78E-04</w:t>
            </w:r>
          </w:p>
        </w:tc>
        <w:tc>
          <w:tcPr>
            <w:tcW w:w="0" w:type="auto"/>
            <w:noWrap/>
            <w:hideMark/>
          </w:tcPr>
          <w:p w14:paraId="507E4382"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0.052</w:t>
            </w:r>
          </w:p>
        </w:tc>
        <w:tc>
          <w:tcPr>
            <w:tcW w:w="0" w:type="auto"/>
            <w:noWrap/>
            <w:hideMark/>
          </w:tcPr>
          <w:p w14:paraId="16F0B9DB"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5F08A97E" w14:textId="77777777" w:rsidTr="005E2F1E">
        <w:trPr>
          <w:trHeight w:val="300"/>
          <w:jc w:val="center"/>
        </w:trPr>
        <w:tc>
          <w:tcPr>
            <w:tcW w:w="0" w:type="auto"/>
            <w:noWrap/>
            <w:hideMark/>
          </w:tcPr>
          <w:p w14:paraId="001F4F1C"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30</w:t>
            </w:r>
          </w:p>
        </w:tc>
        <w:tc>
          <w:tcPr>
            <w:tcW w:w="0" w:type="auto"/>
            <w:noWrap/>
            <w:hideMark/>
          </w:tcPr>
          <w:p w14:paraId="4C2A853E"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6.78E-04</w:t>
            </w:r>
          </w:p>
        </w:tc>
        <w:tc>
          <w:tcPr>
            <w:tcW w:w="0" w:type="auto"/>
            <w:noWrap/>
            <w:hideMark/>
          </w:tcPr>
          <w:p w14:paraId="16466B7A"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0.041</w:t>
            </w:r>
          </w:p>
        </w:tc>
        <w:tc>
          <w:tcPr>
            <w:tcW w:w="0" w:type="auto"/>
            <w:noWrap/>
            <w:hideMark/>
          </w:tcPr>
          <w:p w14:paraId="2695E1EB"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1AEA74D8" w14:textId="77777777" w:rsidTr="005E2F1E">
        <w:trPr>
          <w:trHeight w:val="300"/>
          <w:jc w:val="center"/>
        </w:trPr>
        <w:tc>
          <w:tcPr>
            <w:tcW w:w="0" w:type="auto"/>
            <w:noWrap/>
            <w:hideMark/>
          </w:tcPr>
          <w:p w14:paraId="6A5B3EA8"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31</w:t>
            </w:r>
          </w:p>
        </w:tc>
        <w:tc>
          <w:tcPr>
            <w:tcW w:w="0" w:type="auto"/>
            <w:noWrap/>
            <w:hideMark/>
          </w:tcPr>
          <w:p w14:paraId="497FA4D9"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5.43E-04</w:t>
            </w:r>
          </w:p>
        </w:tc>
        <w:tc>
          <w:tcPr>
            <w:tcW w:w="0" w:type="auto"/>
            <w:noWrap/>
            <w:hideMark/>
          </w:tcPr>
          <w:p w14:paraId="40E3EF4D"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0.035</w:t>
            </w:r>
          </w:p>
        </w:tc>
        <w:tc>
          <w:tcPr>
            <w:tcW w:w="0" w:type="auto"/>
            <w:noWrap/>
            <w:hideMark/>
          </w:tcPr>
          <w:p w14:paraId="036027FB"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34C7A3D9" w14:textId="77777777" w:rsidTr="005E2F1E">
        <w:trPr>
          <w:trHeight w:val="300"/>
          <w:jc w:val="center"/>
        </w:trPr>
        <w:tc>
          <w:tcPr>
            <w:tcW w:w="0" w:type="auto"/>
            <w:noWrap/>
            <w:hideMark/>
          </w:tcPr>
          <w:p w14:paraId="2F913FD6"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32</w:t>
            </w:r>
          </w:p>
        </w:tc>
        <w:tc>
          <w:tcPr>
            <w:tcW w:w="0" w:type="auto"/>
            <w:noWrap/>
            <w:hideMark/>
          </w:tcPr>
          <w:p w14:paraId="724AC583"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6.78E-04</w:t>
            </w:r>
          </w:p>
        </w:tc>
        <w:tc>
          <w:tcPr>
            <w:tcW w:w="0" w:type="auto"/>
            <w:noWrap/>
            <w:hideMark/>
          </w:tcPr>
          <w:p w14:paraId="39882B73"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0.047</w:t>
            </w:r>
          </w:p>
        </w:tc>
        <w:tc>
          <w:tcPr>
            <w:tcW w:w="0" w:type="auto"/>
            <w:noWrap/>
            <w:hideMark/>
          </w:tcPr>
          <w:p w14:paraId="37F7B42B"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415D8AC0" w14:textId="77777777" w:rsidTr="005E2F1E">
        <w:trPr>
          <w:trHeight w:val="300"/>
          <w:jc w:val="center"/>
        </w:trPr>
        <w:tc>
          <w:tcPr>
            <w:tcW w:w="0" w:type="auto"/>
            <w:noWrap/>
            <w:hideMark/>
          </w:tcPr>
          <w:p w14:paraId="69E58795"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33</w:t>
            </w:r>
          </w:p>
        </w:tc>
        <w:tc>
          <w:tcPr>
            <w:tcW w:w="0" w:type="auto"/>
            <w:noWrap/>
            <w:hideMark/>
          </w:tcPr>
          <w:p w14:paraId="258F5179"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6.78E-04</w:t>
            </w:r>
          </w:p>
        </w:tc>
        <w:tc>
          <w:tcPr>
            <w:tcW w:w="0" w:type="auto"/>
            <w:noWrap/>
            <w:hideMark/>
          </w:tcPr>
          <w:p w14:paraId="0635497B"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0.048</w:t>
            </w:r>
          </w:p>
        </w:tc>
        <w:tc>
          <w:tcPr>
            <w:tcW w:w="0" w:type="auto"/>
            <w:noWrap/>
            <w:hideMark/>
          </w:tcPr>
          <w:p w14:paraId="4550A1D7"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5A106048" w14:textId="77777777" w:rsidTr="005E2F1E">
        <w:trPr>
          <w:trHeight w:val="300"/>
          <w:jc w:val="center"/>
        </w:trPr>
        <w:tc>
          <w:tcPr>
            <w:tcW w:w="0" w:type="auto"/>
            <w:noWrap/>
            <w:hideMark/>
          </w:tcPr>
          <w:p w14:paraId="3CA0B2D4"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34</w:t>
            </w:r>
          </w:p>
        </w:tc>
        <w:tc>
          <w:tcPr>
            <w:tcW w:w="0" w:type="auto"/>
            <w:noWrap/>
            <w:hideMark/>
          </w:tcPr>
          <w:p w14:paraId="7BF94900"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6.78E-04</w:t>
            </w:r>
          </w:p>
        </w:tc>
        <w:tc>
          <w:tcPr>
            <w:tcW w:w="0" w:type="auto"/>
            <w:noWrap/>
            <w:hideMark/>
          </w:tcPr>
          <w:p w14:paraId="25728AF9"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0.044</w:t>
            </w:r>
          </w:p>
        </w:tc>
        <w:tc>
          <w:tcPr>
            <w:tcW w:w="0" w:type="auto"/>
            <w:noWrap/>
            <w:hideMark/>
          </w:tcPr>
          <w:p w14:paraId="364A439B"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452729C0" w14:textId="77777777" w:rsidTr="005E2F1E">
        <w:trPr>
          <w:trHeight w:val="300"/>
          <w:jc w:val="center"/>
        </w:trPr>
        <w:tc>
          <w:tcPr>
            <w:tcW w:w="0" w:type="auto"/>
            <w:noWrap/>
            <w:hideMark/>
          </w:tcPr>
          <w:p w14:paraId="414A953B"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35</w:t>
            </w:r>
          </w:p>
        </w:tc>
        <w:tc>
          <w:tcPr>
            <w:tcW w:w="0" w:type="auto"/>
            <w:noWrap/>
            <w:hideMark/>
          </w:tcPr>
          <w:p w14:paraId="654BC190"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5.43E-04</w:t>
            </w:r>
          </w:p>
        </w:tc>
        <w:tc>
          <w:tcPr>
            <w:tcW w:w="0" w:type="auto"/>
            <w:noWrap/>
            <w:hideMark/>
          </w:tcPr>
          <w:p w14:paraId="264D95F1"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0.039</w:t>
            </w:r>
          </w:p>
        </w:tc>
        <w:tc>
          <w:tcPr>
            <w:tcW w:w="0" w:type="auto"/>
            <w:noWrap/>
            <w:hideMark/>
          </w:tcPr>
          <w:p w14:paraId="097E1638"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7794A558" w14:textId="77777777" w:rsidTr="005E2F1E">
        <w:trPr>
          <w:trHeight w:val="300"/>
          <w:jc w:val="center"/>
        </w:trPr>
        <w:tc>
          <w:tcPr>
            <w:tcW w:w="0" w:type="auto"/>
            <w:noWrap/>
            <w:hideMark/>
          </w:tcPr>
          <w:p w14:paraId="0A798890"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36</w:t>
            </w:r>
          </w:p>
        </w:tc>
        <w:tc>
          <w:tcPr>
            <w:tcW w:w="0" w:type="auto"/>
            <w:noWrap/>
            <w:hideMark/>
          </w:tcPr>
          <w:p w14:paraId="7378BFAC"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5.43E-04</w:t>
            </w:r>
          </w:p>
        </w:tc>
        <w:tc>
          <w:tcPr>
            <w:tcW w:w="0" w:type="auto"/>
            <w:noWrap/>
            <w:hideMark/>
          </w:tcPr>
          <w:p w14:paraId="7A5E0EA2"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0.037</w:t>
            </w:r>
          </w:p>
        </w:tc>
        <w:tc>
          <w:tcPr>
            <w:tcW w:w="0" w:type="auto"/>
            <w:noWrap/>
            <w:hideMark/>
          </w:tcPr>
          <w:p w14:paraId="05646573"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66947339" w14:textId="77777777" w:rsidTr="005E2F1E">
        <w:trPr>
          <w:trHeight w:val="300"/>
          <w:jc w:val="center"/>
        </w:trPr>
        <w:tc>
          <w:tcPr>
            <w:tcW w:w="0" w:type="auto"/>
            <w:noWrap/>
            <w:hideMark/>
          </w:tcPr>
          <w:p w14:paraId="1C98267E"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37</w:t>
            </w:r>
          </w:p>
        </w:tc>
        <w:tc>
          <w:tcPr>
            <w:tcW w:w="0" w:type="auto"/>
            <w:noWrap/>
            <w:hideMark/>
          </w:tcPr>
          <w:p w14:paraId="14097DA0"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4.07E-04</w:t>
            </w:r>
          </w:p>
        </w:tc>
        <w:tc>
          <w:tcPr>
            <w:tcW w:w="0" w:type="auto"/>
            <w:noWrap/>
            <w:hideMark/>
          </w:tcPr>
          <w:p w14:paraId="4B253266"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0.018</w:t>
            </w:r>
          </w:p>
        </w:tc>
        <w:tc>
          <w:tcPr>
            <w:tcW w:w="0" w:type="auto"/>
            <w:noWrap/>
            <w:hideMark/>
          </w:tcPr>
          <w:p w14:paraId="6D0B53A3"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34AC2883" w14:textId="77777777" w:rsidTr="005E2F1E">
        <w:trPr>
          <w:trHeight w:val="300"/>
          <w:jc w:val="center"/>
        </w:trPr>
        <w:tc>
          <w:tcPr>
            <w:tcW w:w="0" w:type="auto"/>
            <w:noWrap/>
            <w:hideMark/>
          </w:tcPr>
          <w:p w14:paraId="681537D5"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38</w:t>
            </w:r>
          </w:p>
        </w:tc>
        <w:tc>
          <w:tcPr>
            <w:tcW w:w="0" w:type="auto"/>
            <w:noWrap/>
            <w:hideMark/>
          </w:tcPr>
          <w:p w14:paraId="110BD653"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5.43E-04</w:t>
            </w:r>
          </w:p>
        </w:tc>
        <w:tc>
          <w:tcPr>
            <w:tcW w:w="0" w:type="auto"/>
            <w:noWrap/>
            <w:hideMark/>
          </w:tcPr>
          <w:p w14:paraId="0E29EFDE"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0.035</w:t>
            </w:r>
          </w:p>
        </w:tc>
        <w:tc>
          <w:tcPr>
            <w:tcW w:w="0" w:type="auto"/>
            <w:noWrap/>
            <w:hideMark/>
          </w:tcPr>
          <w:p w14:paraId="79E3D696"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45C38D5F" w14:textId="77777777" w:rsidTr="005E2F1E">
        <w:trPr>
          <w:trHeight w:val="300"/>
          <w:jc w:val="center"/>
        </w:trPr>
        <w:tc>
          <w:tcPr>
            <w:tcW w:w="0" w:type="auto"/>
            <w:noWrap/>
            <w:hideMark/>
          </w:tcPr>
          <w:p w14:paraId="4B9AF258"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39</w:t>
            </w:r>
          </w:p>
        </w:tc>
        <w:tc>
          <w:tcPr>
            <w:tcW w:w="0" w:type="auto"/>
            <w:noWrap/>
            <w:hideMark/>
          </w:tcPr>
          <w:p w14:paraId="1250021F"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8.14E-04</w:t>
            </w:r>
          </w:p>
        </w:tc>
        <w:tc>
          <w:tcPr>
            <w:tcW w:w="0" w:type="auto"/>
            <w:noWrap/>
            <w:hideMark/>
          </w:tcPr>
          <w:p w14:paraId="226E252C"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0.063</w:t>
            </w:r>
          </w:p>
        </w:tc>
        <w:tc>
          <w:tcPr>
            <w:tcW w:w="0" w:type="auto"/>
            <w:noWrap/>
            <w:hideMark/>
          </w:tcPr>
          <w:p w14:paraId="7694CE84"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4C7DE025" w14:textId="77777777" w:rsidTr="005E2F1E">
        <w:trPr>
          <w:trHeight w:val="300"/>
          <w:jc w:val="center"/>
        </w:trPr>
        <w:tc>
          <w:tcPr>
            <w:tcW w:w="0" w:type="auto"/>
            <w:noWrap/>
            <w:hideMark/>
          </w:tcPr>
          <w:p w14:paraId="7A13533E"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40</w:t>
            </w:r>
          </w:p>
        </w:tc>
        <w:tc>
          <w:tcPr>
            <w:tcW w:w="0" w:type="auto"/>
            <w:noWrap/>
            <w:hideMark/>
          </w:tcPr>
          <w:p w14:paraId="526D7AA4"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6.78E-04</w:t>
            </w:r>
          </w:p>
        </w:tc>
        <w:tc>
          <w:tcPr>
            <w:tcW w:w="0" w:type="auto"/>
            <w:noWrap/>
            <w:hideMark/>
          </w:tcPr>
          <w:p w14:paraId="4D06CF00"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0.047</w:t>
            </w:r>
          </w:p>
        </w:tc>
        <w:tc>
          <w:tcPr>
            <w:tcW w:w="0" w:type="auto"/>
            <w:noWrap/>
            <w:hideMark/>
          </w:tcPr>
          <w:p w14:paraId="194022A5"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15CC6631" w14:textId="77777777" w:rsidTr="005E2F1E">
        <w:trPr>
          <w:trHeight w:val="300"/>
          <w:jc w:val="center"/>
        </w:trPr>
        <w:tc>
          <w:tcPr>
            <w:tcW w:w="0" w:type="auto"/>
            <w:noWrap/>
            <w:hideMark/>
          </w:tcPr>
          <w:p w14:paraId="140CBADE"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lastRenderedPageBreak/>
              <w:t>41</w:t>
            </w:r>
          </w:p>
        </w:tc>
        <w:tc>
          <w:tcPr>
            <w:tcW w:w="0" w:type="auto"/>
            <w:noWrap/>
            <w:hideMark/>
          </w:tcPr>
          <w:p w14:paraId="47699ECE"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5.43E-04</w:t>
            </w:r>
          </w:p>
        </w:tc>
        <w:tc>
          <w:tcPr>
            <w:tcW w:w="0" w:type="auto"/>
            <w:noWrap/>
            <w:hideMark/>
          </w:tcPr>
          <w:p w14:paraId="39FE1B9B"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0.031</w:t>
            </w:r>
          </w:p>
        </w:tc>
        <w:tc>
          <w:tcPr>
            <w:tcW w:w="0" w:type="auto"/>
            <w:noWrap/>
            <w:hideMark/>
          </w:tcPr>
          <w:p w14:paraId="6475C9D2"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0D3D62C1" w14:textId="77777777" w:rsidTr="005E2F1E">
        <w:trPr>
          <w:trHeight w:val="300"/>
          <w:jc w:val="center"/>
        </w:trPr>
        <w:tc>
          <w:tcPr>
            <w:tcW w:w="0" w:type="auto"/>
            <w:noWrap/>
            <w:hideMark/>
          </w:tcPr>
          <w:p w14:paraId="5D7924AA"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42</w:t>
            </w:r>
          </w:p>
        </w:tc>
        <w:tc>
          <w:tcPr>
            <w:tcW w:w="0" w:type="auto"/>
            <w:noWrap/>
            <w:hideMark/>
          </w:tcPr>
          <w:p w14:paraId="0B8076D0"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6.78E-04</w:t>
            </w:r>
          </w:p>
        </w:tc>
        <w:tc>
          <w:tcPr>
            <w:tcW w:w="0" w:type="auto"/>
            <w:noWrap/>
            <w:hideMark/>
          </w:tcPr>
          <w:p w14:paraId="5A5AB000"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0.044</w:t>
            </w:r>
          </w:p>
        </w:tc>
        <w:tc>
          <w:tcPr>
            <w:tcW w:w="0" w:type="auto"/>
            <w:noWrap/>
            <w:hideMark/>
          </w:tcPr>
          <w:p w14:paraId="641ED0CE"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5E103CAE" w14:textId="77777777" w:rsidTr="005E2F1E">
        <w:trPr>
          <w:trHeight w:val="300"/>
          <w:jc w:val="center"/>
        </w:trPr>
        <w:tc>
          <w:tcPr>
            <w:tcW w:w="0" w:type="auto"/>
            <w:noWrap/>
            <w:hideMark/>
          </w:tcPr>
          <w:p w14:paraId="07023985"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43</w:t>
            </w:r>
          </w:p>
        </w:tc>
        <w:tc>
          <w:tcPr>
            <w:tcW w:w="0" w:type="auto"/>
            <w:noWrap/>
            <w:hideMark/>
          </w:tcPr>
          <w:p w14:paraId="7B6547A7"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5.43E-04</w:t>
            </w:r>
          </w:p>
        </w:tc>
        <w:tc>
          <w:tcPr>
            <w:tcW w:w="0" w:type="auto"/>
            <w:noWrap/>
            <w:hideMark/>
          </w:tcPr>
          <w:p w14:paraId="777AD58A"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0.037</w:t>
            </w:r>
          </w:p>
        </w:tc>
        <w:tc>
          <w:tcPr>
            <w:tcW w:w="0" w:type="auto"/>
            <w:noWrap/>
            <w:hideMark/>
          </w:tcPr>
          <w:p w14:paraId="3E5F0359"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5AAD91D6" w14:textId="77777777" w:rsidTr="005E2F1E">
        <w:trPr>
          <w:trHeight w:val="300"/>
          <w:jc w:val="center"/>
        </w:trPr>
        <w:tc>
          <w:tcPr>
            <w:tcW w:w="0" w:type="auto"/>
            <w:noWrap/>
            <w:hideMark/>
          </w:tcPr>
          <w:p w14:paraId="2FF4C6C3"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44</w:t>
            </w:r>
          </w:p>
        </w:tc>
        <w:tc>
          <w:tcPr>
            <w:tcW w:w="0" w:type="auto"/>
            <w:noWrap/>
            <w:hideMark/>
          </w:tcPr>
          <w:p w14:paraId="5C7A01BA"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6.78E-04</w:t>
            </w:r>
          </w:p>
        </w:tc>
        <w:tc>
          <w:tcPr>
            <w:tcW w:w="0" w:type="auto"/>
            <w:noWrap/>
            <w:hideMark/>
          </w:tcPr>
          <w:p w14:paraId="4FA12312"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0.045</w:t>
            </w:r>
          </w:p>
        </w:tc>
        <w:tc>
          <w:tcPr>
            <w:tcW w:w="0" w:type="auto"/>
            <w:noWrap/>
            <w:hideMark/>
          </w:tcPr>
          <w:p w14:paraId="73CB55F5"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382C41C3" w14:textId="77777777" w:rsidTr="005E2F1E">
        <w:trPr>
          <w:trHeight w:val="300"/>
          <w:jc w:val="center"/>
        </w:trPr>
        <w:tc>
          <w:tcPr>
            <w:tcW w:w="0" w:type="auto"/>
            <w:noWrap/>
            <w:hideMark/>
          </w:tcPr>
          <w:p w14:paraId="4FC0A611"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45</w:t>
            </w:r>
          </w:p>
        </w:tc>
        <w:tc>
          <w:tcPr>
            <w:tcW w:w="0" w:type="auto"/>
            <w:noWrap/>
            <w:hideMark/>
          </w:tcPr>
          <w:p w14:paraId="2CAFC686"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5.43E-04</w:t>
            </w:r>
          </w:p>
        </w:tc>
        <w:tc>
          <w:tcPr>
            <w:tcW w:w="0" w:type="auto"/>
            <w:noWrap/>
            <w:hideMark/>
          </w:tcPr>
          <w:p w14:paraId="6E5FCF2E"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0.037</w:t>
            </w:r>
          </w:p>
        </w:tc>
        <w:tc>
          <w:tcPr>
            <w:tcW w:w="0" w:type="auto"/>
            <w:noWrap/>
            <w:hideMark/>
          </w:tcPr>
          <w:p w14:paraId="6C9C0301"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6217CA3E" w14:textId="77777777" w:rsidTr="005E2F1E">
        <w:trPr>
          <w:trHeight w:val="300"/>
          <w:jc w:val="center"/>
        </w:trPr>
        <w:tc>
          <w:tcPr>
            <w:tcW w:w="0" w:type="auto"/>
            <w:noWrap/>
            <w:hideMark/>
          </w:tcPr>
          <w:p w14:paraId="14E3AE2F"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46</w:t>
            </w:r>
          </w:p>
        </w:tc>
        <w:tc>
          <w:tcPr>
            <w:tcW w:w="0" w:type="auto"/>
            <w:noWrap/>
            <w:hideMark/>
          </w:tcPr>
          <w:p w14:paraId="7D9DFA77"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4.07E-04</w:t>
            </w:r>
          </w:p>
        </w:tc>
        <w:tc>
          <w:tcPr>
            <w:tcW w:w="0" w:type="auto"/>
            <w:noWrap/>
            <w:hideMark/>
          </w:tcPr>
          <w:p w14:paraId="309EACAE"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0.023</w:t>
            </w:r>
          </w:p>
        </w:tc>
        <w:tc>
          <w:tcPr>
            <w:tcW w:w="0" w:type="auto"/>
            <w:noWrap/>
            <w:hideMark/>
          </w:tcPr>
          <w:p w14:paraId="52535604"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4C7D3348" w14:textId="77777777" w:rsidTr="005E2F1E">
        <w:trPr>
          <w:trHeight w:val="300"/>
          <w:jc w:val="center"/>
        </w:trPr>
        <w:tc>
          <w:tcPr>
            <w:tcW w:w="0" w:type="auto"/>
            <w:noWrap/>
            <w:hideMark/>
          </w:tcPr>
          <w:p w14:paraId="45B690DA"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47</w:t>
            </w:r>
          </w:p>
        </w:tc>
        <w:tc>
          <w:tcPr>
            <w:tcW w:w="0" w:type="auto"/>
            <w:noWrap/>
            <w:hideMark/>
          </w:tcPr>
          <w:p w14:paraId="07DFDD5B"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5.43E-04</w:t>
            </w:r>
          </w:p>
        </w:tc>
        <w:tc>
          <w:tcPr>
            <w:tcW w:w="0" w:type="auto"/>
            <w:noWrap/>
            <w:hideMark/>
          </w:tcPr>
          <w:p w14:paraId="323B9D96"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0.031</w:t>
            </w:r>
          </w:p>
        </w:tc>
        <w:tc>
          <w:tcPr>
            <w:tcW w:w="0" w:type="auto"/>
            <w:noWrap/>
            <w:hideMark/>
          </w:tcPr>
          <w:p w14:paraId="34195FCE"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633E7007" w14:textId="77777777" w:rsidTr="005E2F1E">
        <w:trPr>
          <w:trHeight w:val="300"/>
          <w:jc w:val="center"/>
        </w:trPr>
        <w:tc>
          <w:tcPr>
            <w:tcW w:w="0" w:type="auto"/>
            <w:noWrap/>
            <w:hideMark/>
          </w:tcPr>
          <w:p w14:paraId="7A253C00"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48</w:t>
            </w:r>
          </w:p>
        </w:tc>
        <w:tc>
          <w:tcPr>
            <w:tcW w:w="0" w:type="auto"/>
            <w:noWrap/>
            <w:hideMark/>
          </w:tcPr>
          <w:p w14:paraId="017BCCF5"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8.14E-04</w:t>
            </w:r>
          </w:p>
        </w:tc>
        <w:tc>
          <w:tcPr>
            <w:tcW w:w="0" w:type="auto"/>
            <w:noWrap/>
            <w:hideMark/>
          </w:tcPr>
          <w:p w14:paraId="05727759"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0.053</w:t>
            </w:r>
          </w:p>
        </w:tc>
        <w:tc>
          <w:tcPr>
            <w:tcW w:w="0" w:type="auto"/>
            <w:noWrap/>
            <w:hideMark/>
          </w:tcPr>
          <w:p w14:paraId="1359487C"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3FFE937F" w14:textId="77777777" w:rsidTr="005E2F1E">
        <w:trPr>
          <w:trHeight w:val="300"/>
          <w:jc w:val="center"/>
        </w:trPr>
        <w:tc>
          <w:tcPr>
            <w:tcW w:w="0" w:type="auto"/>
            <w:noWrap/>
            <w:hideMark/>
          </w:tcPr>
          <w:p w14:paraId="6D5CB934"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49</w:t>
            </w:r>
          </w:p>
        </w:tc>
        <w:tc>
          <w:tcPr>
            <w:tcW w:w="0" w:type="auto"/>
            <w:noWrap/>
            <w:hideMark/>
          </w:tcPr>
          <w:p w14:paraId="1939EB31"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5.43E-04</w:t>
            </w:r>
          </w:p>
        </w:tc>
        <w:tc>
          <w:tcPr>
            <w:tcW w:w="0" w:type="auto"/>
            <w:noWrap/>
            <w:hideMark/>
          </w:tcPr>
          <w:p w14:paraId="5E006E79"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0.039</w:t>
            </w:r>
          </w:p>
        </w:tc>
        <w:tc>
          <w:tcPr>
            <w:tcW w:w="0" w:type="auto"/>
            <w:noWrap/>
            <w:hideMark/>
          </w:tcPr>
          <w:p w14:paraId="519AF039" w14:textId="77777777" w:rsidR="00007F6C" w:rsidRPr="00DF6DF2" w:rsidRDefault="00007F6C" w:rsidP="005E2F1E">
            <w:pPr>
              <w:jc w:val="right"/>
              <w:rPr>
                <w:rFonts w:ascii="Calibri" w:eastAsia="Times New Roman" w:hAnsi="Calibri" w:cs="Times New Roman"/>
                <w:color w:val="000000"/>
                <w:sz w:val="24"/>
                <w:szCs w:val="24"/>
                <w:lang w:eastAsia="en-GB"/>
              </w:rPr>
            </w:pPr>
          </w:p>
        </w:tc>
      </w:tr>
      <w:tr w:rsidR="00007F6C" w:rsidRPr="00DF6DF2" w14:paraId="1EB2A1ED" w14:textId="77777777" w:rsidTr="005E2F1E">
        <w:trPr>
          <w:trHeight w:val="300"/>
          <w:jc w:val="center"/>
        </w:trPr>
        <w:tc>
          <w:tcPr>
            <w:tcW w:w="0" w:type="auto"/>
            <w:noWrap/>
            <w:hideMark/>
          </w:tcPr>
          <w:p w14:paraId="246D5258"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50</w:t>
            </w:r>
          </w:p>
        </w:tc>
        <w:tc>
          <w:tcPr>
            <w:tcW w:w="0" w:type="auto"/>
            <w:noWrap/>
            <w:hideMark/>
          </w:tcPr>
          <w:p w14:paraId="10FCC054"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5.43E-04</w:t>
            </w:r>
          </w:p>
        </w:tc>
        <w:tc>
          <w:tcPr>
            <w:tcW w:w="0" w:type="auto"/>
            <w:noWrap/>
            <w:hideMark/>
          </w:tcPr>
          <w:p w14:paraId="4B6B1F7F" w14:textId="77777777" w:rsidR="00007F6C" w:rsidRPr="00DF6DF2" w:rsidRDefault="00007F6C" w:rsidP="005E2F1E">
            <w:pPr>
              <w:jc w:val="right"/>
              <w:rPr>
                <w:rFonts w:ascii="Calibri" w:eastAsia="Times New Roman" w:hAnsi="Calibri" w:cs="Times New Roman"/>
                <w:color w:val="000000"/>
                <w:sz w:val="24"/>
                <w:szCs w:val="24"/>
                <w:lang w:eastAsia="en-GB"/>
              </w:rPr>
            </w:pPr>
            <w:r w:rsidRPr="00DF6DF2">
              <w:rPr>
                <w:rFonts w:ascii="Calibri" w:eastAsia="Times New Roman" w:hAnsi="Calibri" w:cs="Times New Roman"/>
                <w:color w:val="000000"/>
                <w:sz w:val="24"/>
                <w:szCs w:val="24"/>
                <w:lang w:eastAsia="en-GB"/>
              </w:rPr>
              <w:t>0.039</w:t>
            </w:r>
          </w:p>
        </w:tc>
        <w:tc>
          <w:tcPr>
            <w:tcW w:w="0" w:type="auto"/>
            <w:noWrap/>
            <w:hideMark/>
          </w:tcPr>
          <w:p w14:paraId="67A421D4" w14:textId="77777777" w:rsidR="00007F6C" w:rsidRPr="00DF6DF2" w:rsidRDefault="00007F6C" w:rsidP="005E2F1E">
            <w:pPr>
              <w:jc w:val="right"/>
              <w:rPr>
                <w:rFonts w:ascii="Calibri" w:eastAsia="Times New Roman" w:hAnsi="Calibri" w:cs="Times New Roman"/>
                <w:color w:val="000000"/>
                <w:sz w:val="24"/>
                <w:szCs w:val="24"/>
                <w:lang w:eastAsia="en-GB"/>
              </w:rPr>
            </w:pPr>
          </w:p>
        </w:tc>
      </w:tr>
    </w:tbl>
    <w:p w14:paraId="3E13BF4D" w14:textId="77777777" w:rsidR="00007F6C" w:rsidRDefault="00007F6C" w:rsidP="00007F6C"/>
    <w:p w14:paraId="169ECE62" w14:textId="77777777" w:rsidR="00007F6C" w:rsidRDefault="00007F6C" w:rsidP="00007F6C"/>
    <w:p w14:paraId="65603E2C" w14:textId="77777777" w:rsidR="00007F6C" w:rsidRDefault="00007F6C" w:rsidP="00007F6C">
      <w:pPr>
        <w:keepNext/>
        <w:jc w:val="center"/>
      </w:pPr>
      <w:r w:rsidRPr="00D401EB">
        <w:rPr>
          <w:noProof/>
        </w:rPr>
        <w:drawing>
          <wp:inline distT="0" distB="0" distL="0" distR="0" wp14:anchorId="7F696AD0" wp14:editId="3A087284">
            <wp:extent cx="3600000" cy="2918126"/>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7">
                      <a:extLst>
                        <a:ext uri="{28A0092B-C50C-407E-A947-70E740481C1C}">
                          <a14:useLocalDpi xmlns:a14="http://schemas.microsoft.com/office/drawing/2010/main" val="0"/>
                        </a:ext>
                      </a:extLst>
                    </a:blip>
                    <a:srcRect l="7402" t="9482" r="11842" b="4743"/>
                    <a:stretch/>
                  </pic:blipFill>
                  <pic:spPr bwMode="auto">
                    <a:xfrm>
                      <a:off x="0" y="0"/>
                      <a:ext cx="3600000" cy="2918126"/>
                    </a:xfrm>
                    <a:prstGeom prst="rect">
                      <a:avLst/>
                    </a:prstGeom>
                    <a:noFill/>
                    <a:ln>
                      <a:noFill/>
                    </a:ln>
                    <a:extLst>
                      <a:ext uri="{53640926-AAD7-44D8-BBD7-CCE9431645EC}">
                        <a14:shadowObscured xmlns:a14="http://schemas.microsoft.com/office/drawing/2010/main"/>
                      </a:ext>
                    </a:extLst>
                  </pic:spPr>
                </pic:pic>
              </a:graphicData>
            </a:graphic>
          </wp:inline>
        </w:drawing>
      </w:r>
    </w:p>
    <w:p w14:paraId="383DFD25" w14:textId="33FB1B29" w:rsidR="00007F6C" w:rsidRDefault="00007F6C" w:rsidP="00007F6C">
      <w:pPr>
        <w:pStyle w:val="Caption"/>
      </w:pPr>
      <w:bookmarkStart w:id="666" w:name="_Toc69115095"/>
      <w:r>
        <w:t>Figure A</w:t>
      </w:r>
      <w:r w:rsidR="00B51F53">
        <w:fldChar w:fldCharType="begin"/>
      </w:r>
      <w:r w:rsidR="00B51F53">
        <w:instrText xml:space="preserve"> SEQ Figure \* ARABIC </w:instrText>
      </w:r>
      <w:r w:rsidR="00B51F53">
        <w:fldChar w:fldCharType="separate"/>
      </w:r>
      <w:r w:rsidR="0056210C">
        <w:rPr>
          <w:noProof/>
        </w:rPr>
        <w:t>5</w:t>
      </w:r>
      <w:r w:rsidR="00B51F53">
        <w:rPr>
          <w:noProof/>
        </w:rPr>
        <w:fldChar w:fldCharType="end"/>
      </w:r>
      <w:r>
        <w:t>: Calibration curve of the NiO bulker powder from 3-20mg</w:t>
      </w:r>
      <w:r w:rsidR="0056210C">
        <w:t xml:space="preserve"> for Temperature Programmed Reduction measurements</w:t>
      </w:r>
      <w:bookmarkEnd w:id="666"/>
    </w:p>
    <w:p w14:paraId="3D254224" w14:textId="77777777" w:rsidR="00007F6C" w:rsidRDefault="00007F6C" w:rsidP="00007F6C"/>
    <w:p w14:paraId="6A13291E" w14:textId="77777777" w:rsidR="00007F6C" w:rsidRDefault="00007F6C" w:rsidP="00007F6C">
      <w:pPr>
        <w:pStyle w:val="Heading3"/>
      </w:pPr>
      <w:bookmarkStart w:id="667" w:name="_Toc69129473"/>
      <w:r>
        <w:t>Percent dispersion (%) calculations</w:t>
      </w:r>
      <w:bookmarkEnd w:id="667"/>
      <w:r>
        <w:t xml:space="preserve"> </w:t>
      </w:r>
    </w:p>
    <w:p w14:paraId="7C1D4228" w14:textId="77777777" w:rsidR="00007F6C" w:rsidRDefault="00007F6C" w:rsidP="00007F6C">
      <w:r>
        <w:t xml:space="preserve">Percent dispersion calculation of the nickel species in the infiltrated </w:t>
      </w:r>
    </w:p>
    <w:p w14:paraId="097FE5B5" w14:textId="77777777" w:rsidR="00007F6C" w:rsidRDefault="00007F6C" w:rsidP="00007F6C">
      <w:pPr>
        <w:pStyle w:val="Heading6"/>
      </w:pPr>
      <w:r>
        <w:t>Atomic radii method</w:t>
      </w:r>
    </w:p>
    <w:p w14:paraId="0A9BF6E5" w14:textId="0A2E7D9C" w:rsidR="00007F6C" w:rsidRDefault="00007F6C" w:rsidP="00007F6C">
      <w:r w:rsidRPr="006A3770">
        <w:t>This method was used to check that the unit cell length determined by the volumetric method was correct. The atomic radius used was 1.246</w:t>
      </w:r>
      <w:r w:rsidRPr="006A3770">
        <w:rPr>
          <w:rFonts w:cstheme="minorHAnsi"/>
        </w:rPr>
        <w:t>Å</w:t>
      </w:r>
      <w:r w:rsidRPr="006A3770">
        <w:t xml:space="preserve">. The unit cell length a, was calculated using Pythagoras’ theorem was rearranged with respect to </w:t>
      </w:r>
      <w:r w:rsidRPr="00744824">
        <w:t xml:space="preserve">a </w:t>
      </w:r>
      <w:bookmarkStart w:id="668" w:name="_Hlk47946433"/>
      <w:r w:rsidRPr="00744824">
        <w:fldChar w:fldCharType="begin" w:fldLock="1"/>
      </w:r>
      <w:r w:rsidR="00D80A5D">
        <w:instrText>ADDIN CSL_CITATION {"citationItems":[{"id":"ITEM-1","itemData":{"DOI":"10.1109/MCISE.2001.963423","ISBN":"1521-9615","ISSN":"1521-9615","PMID":"22096182","abstract":"This road map of Ireland has been specifically prepared for tourism and long-distance travel, allowing for easy planning and route-finding and also features indexed town plans of Belfast, Cork, Derry/Londonderry and Dublin. The mapping is at 9 miles to 1 inch, showing all major roads, and includes airports and ferries.","author":[{"dropping-particle":"","family":"Callister","given":"William","non-dropping-particle":"","parse-names":false,"suffix":""},{"dropping-particle":"","family":"Rethwisch","given":"David","non-dropping-particle":"","parse-names":false,"suffix":""}],"container-title":"Computing in Science &amp; Engineering","id":"ITEM-1","issue":"4","issued":{"date-parts":[["2014"]]},"page":"4172","title":"Materials Science &amp; Engineering","type":"article-journal","volume":"2"},"uris":["http://www.mendeley.com/documents/?uuid=935a88ab-a9d3-4a88-91ac-42b366e36c18"]},{"id":"ITEM-2","itemData":{"DOI":"10.1002/(sici)1099-0739(200004)14:4&lt;227::aid-aoc949&gt;3.0.co;2-f","ISSN":"0268-2605","author":[{"dropping-particle":"","family":"West","given":"Anthony R.","non-dropping-particle":"","parse-names":false,"suffix":""}],"container-title":"Applied Organometallic Chemistry","edition":"2nd","id":"ITEM-2","issue":"4","issued":{"date-parts":[["2000"]]},"number-of-pages":"227-228","publisher":"Wiley-Blackwell","title":"Basic Solid State Chemistry","type":"book","volume":"14"},"uris":["http://www.mendeley.com/documents/?uuid=cfc7d172-f48b-4960-bd9a-272da03540f8"]},{"id":"ITEM-3","itemData":{"ISBN":"9783527645336","author":[{"dropping-particle":"","family":"Che","given":"M","non-dropping-particle":"","parse-names":false,"suffix":""},{"dropping-particle":"","family":"Vedrine","given":"J C","non-dropping-particle":"","parse-names":false,"suffix":""}],"id":"ITEM-3","issued":{"date-parts":[["2012"]]},"publisher":"Wiley","title":"Characterization of Solid Materials and Heterogeneous Catalysts: From Structure to Surface Reactivity","type":"book"},"uris":["http://www.mendeley.com/documents/?uuid=32c40c4a-3193-48c4-9c88-dcbd1d8fbec8"]}],"mendeley":{"formattedCitation":"[294], [338], [339]","plainTextFormattedCitation":"[294], [338], [339]","previouslyFormattedCitation":"[294], [338], [339]"},"properties":{"noteIndex":0},"schema":"https://github.com/citation-style-language/schema/raw/master/csl-citation.json"}</w:instrText>
      </w:r>
      <w:r w:rsidRPr="00744824">
        <w:fldChar w:fldCharType="separate"/>
      </w:r>
      <w:r w:rsidR="006C586A" w:rsidRPr="006C586A">
        <w:rPr>
          <w:noProof/>
        </w:rPr>
        <w:t>[294], [338], [339]</w:t>
      </w:r>
      <w:r w:rsidRPr="00744824">
        <w:fldChar w:fldCharType="end"/>
      </w:r>
      <w:bookmarkEnd w:id="668"/>
      <w:r w:rsidRPr="006A3770">
        <w:t xml:space="preserve">. </w:t>
      </w:r>
    </w:p>
    <w:p w14:paraId="1C5B7421" w14:textId="77777777" w:rsidR="00007F6C" w:rsidRPr="006A3770" w:rsidRDefault="00007F6C" w:rsidP="00007F6C"/>
    <w:p w14:paraId="7B82CDA8" w14:textId="77777777" w:rsidR="00007F6C" w:rsidRPr="006A3770" w:rsidRDefault="00B51F53" w:rsidP="00007F6C">
      <w:pPr>
        <w:rPr>
          <w:rFonts w:eastAsiaTheme="minorEastAsia"/>
        </w:rPr>
      </w:pPr>
      <m:oMathPara>
        <m:oMath>
          <m:sSup>
            <m:sSupPr>
              <m:ctrlPr>
                <w:rPr>
                  <w:rFonts w:ascii="Cambria Math" w:hAnsi="Cambria Math"/>
                  <w:i/>
                </w:rPr>
              </m:ctrlPr>
            </m:sSupPr>
            <m:e>
              <m:d>
                <m:dPr>
                  <m:ctrlPr>
                    <w:rPr>
                      <w:rFonts w:ascii="Cambria Math" w:hAnsi="Cambria Math"/>
                      <w:i/>
                    </w:rPr>
                  </m:ctrlPr>
                </m:dPr>
                <m:e>
                  <m:r>
                    <m:rPr>
                      <m:sty m:val="p"/>
                    </m:rPr>
                    <w:rPr>
                      <w:rFonts w:ascii="Cambria Math" w:hAnsi="Cambria Math"/>
                    </w:rPr>
                    <m:t>4r</m:t>
                  </m:r>
                </m:e>
              </m:d>
            </m:e>
            <m:sup>
              <m:r>
                <m:rPr>
                  <m:sty m:val="p"/>
                </m:rPr>
                <w:rPr>
                  <w:rFonts w:ascii="Cambria Math" w:hAnsi="Cambria Math"/>
                </w:rPr>
                <m:t>2</m:t>
              </m:r>
            </m:sup>
          </m:sSup>
          <m:r>
            <m:rPr>
              <m:sty m:val="p"/>
            </m:rPr>
            <w:rPr>
              <w:rFonts w:ascii="Cambria Math" w:hAnsi="Cambria Math"/>
            </w:rPr>
            <m:t>=</m:t>
          </m:r>
          <m:sSup>
            <m:sSupPr>
              <m:ctrlPr>
                <w:rPr>
                  <w:rFonts w:ascii="Cambria Math" w:hAnsi="Cambria Math"/>
                  <w:i/>
                </w:rPr>
              </m:ctrlPr>
            </m:sSupPr>
            <m:e>
              <m:r>
                <m:rPr>
                  <m:sty m:val="p"/>
                </m:rPr>
                <w:rPr>
                  <w:rFonts w:ascii="Cambria Math" w:hAnsi="Cambria Math"/>
                </w:rPr>
                <m:t>2a</m:t>
              </m:r>
            </m:e>
            <m:sup>
              <m:r>
                <m:rPr>
                  <m:sty m:val="p"/>
                </m:rPr>
                <w:rPr>
                  <w:rFonts w:ascii="Cambria Math" w:hAnsi="Cambria Math"/>
                </w:rPr>
                <m:t>2</m:t>
              </m:r>
            </m:sup>
          </m:sSup>
        </m:oMath>
      </m:oMathPara>
    </w:p>
    <w:p w14:paraId="6418A4A8" w14:textId="77777777" w:rsidR="00007F6C" w:rsidRPr="006A3770" w:rsidRDefault="00B51F53" w:rsidP="00007F6C">
      <w:pPr>
        <w:rPr>
          <w:rFonts w:eastAsiaTheme="minorEastAsia"/>
        </w:rPr>
      </w:pPr>
      <m:oMathPara>
        <m:oMath>
          <m:sSup>
            <m:sSupPr>
              <m:ctrlPr>
                <w:rPr>
                  <w:rFonts w:ascii="Cambria Math" w:hAnsi="Cambria Math"/>
                  <w:i/>
                </w:rPr>
              </m:ctrlPr>
            </m:sSupPr>
            <m:e>
              <m:r>
                <m:rPr>
                  <m:sty m:val="p"/>
                </m:rPr>
                <w:rPr>
                  <w:rFonts w:ascii="Cambria Math" w:hAnsi="Cambria Math"/>
                </w:rPr>
                <m:t>16r</m:t>
              </m:r>
            </m:e>
            <m:sup>
              <m:r>
                <m:rPr>
                  <m:sty m:val="p"/>
                </m:rPr>
                <w:rPr>
                  <w:rFonts w:ascii="Cambria Math" w:hAnsi="Cambria Math"/>
                </w:rPr>
                <m:t>2</m:t>
              </m:r>
            </m:sup>
          </m:sSup>
          <m:r>
            <m:rPr>
              <m:sty m:val="p"/>
            </m:rPr>
            <w:rPr>
              <w:rFonts w:ascii="Cambria Math" w:hAnsi="Cambria Math"/>
            </w:rPr>
            <m:t>=</m:t>
          </m:r>
          <m:sSup>
            <m:sSupPr>
              <m:ctrlPr>
                <w:rPr>
                  <w:rFonts w:ascii="Cambria Math" w:hAnsi="Cambria Math"/>
                  <w:i/>
                </w:rPr>
              </m:ctrlPr>
            </m:sSupPr>
            <m:e>
              <m:r>
                <m:rPr>
                  <m:sty m:val="p"/>
                </m:rPr>
                <w:rPr>
                  <w:rFonts w:ascii="Cambria Math" w:hAnsi="Cambria Math"/>
                </w:rPr>
                <m:t>2a</m:t>
              </m:r>
            </m:e>
            <m:sup>
              <m:r>
                <m:rPr>
                  <m:sty m:val="p"/>
                </m:rPr>
                <w:rPr>
                  <w:rFonts w:ascii="Cambria Math" w:hAnsi="Cambria Math"/>
                </w:rPr>
                <m:t>2</m:t>
              </m:r>
            </m:sup>
          </m:sSup>
        </m:oMath>
      </m:oMathPara>
    </w:p>
    <w:p w14:paraId="2071C056" w14:textId="77777777" w:rsidR="00007F6C" w:rsidRPr="006A3770" w:rsidRDefault="00B51F53" w:rsidP="00007F6C">
      <w:pPr>
        <w:rPr>
          <w:rFonts w:eastAsiaTheme="minorEastAsia"/>
        </w:rPr>
      </w:pPr>
      <m:oMathPara>
        <m:oMath>
          <m:sSup>
            <m:sSupPr>
              <m:ctrlPr>
                <w:rPr>
                  <w:rFonts w:ascii="Cambria Math" w:hAnsi="Cambria Math"/>
                  <w:i/>
                </w:rPr>
              </m:ctrlPr>
            </m:sSupPr>
            <m:e>
              <m:r>
                <m:rPr>
                  <m:sty m:val="p"/>
                </m:rPr>
                <w:rPr>
                  <w:rFonts w:ascii="Cambria Math" w:hAnsi="Cambria Math"/>
                </w:rPr>
                <m:t>8r</m:t>
              </m:r>
            </m:e>
            <m:sup>
              <m:r>
                <m:rPr>
                  <m:sty m:val="p"/>
                </m:rPr>
                <w:rPr>
                  <w:rFonts w:ascii="Cambria Math" w:hAnsi="Cambria Math"/>
                </w:rPr>
                <m:t>2</m:t>
              </m:r>
            </m:sup>
          </m:sSup>
          <m:r>
            <m:rPr>
              <m:sty m:val="p"/>
            </m:rPr>
            <w:rPr>
              <w:rFonts w:ascii="Cambria Math" w:hAnsi="Cambria Math"/>
            </w:rPr>
            <m:t>=</m:t>
          </m:r>
          <m:sSup>
            <m:sSupPr>
              <m:ctrlPr>
                <w:rPr>
                  <w:rFonts w:ascii="Cambria Math" w:hAnsi="Cambria Math"/>
                  <w:i/>
                </w:rPr>
              </m:ctrlPr>
            </m:sSupPr>
            <m:e>
              <m:r>
                <m:rPr>
                  <m:sty m:val="p"/>
                </m:rPr>
                <w:rPr>
                  <w:rFonts w:ascii="Cambria Math" w:hAnsi="Cambria Math"/>
                </w:rPr>
                <m:t>a</m:t>
              </m:r>
            </m:e>
            <m:sup>
              <m:r>
                <m:rPr>
                  <m:sty m:val="p"/>
                </m:rPr>
                <w:rPr>
                  <w:rFonts w:ascii="Cambria Math" w:hAnsi="Cambria Math"/>
                </w:rPr>
                <m:t>2</m:t>
              </m:r>
            </m:sup>
          </m:sSup>
        </m:oMath>
      </m:oMathPara>
    </w:p>
    <w:p w14:paraId="46EC6E05" w14:textId="77777777" w:rsidR="00007F6C" w:rsidRPr="006A3770" w:rsidRDefault="00B51F53" w:rsidP="00007F6C">
      <w:pPr>
        <w:rPr>
          <w:rFonts w:eastAsiaTheme="minorEastAsia"/>
        </w:rPr>
      </w:pPr>
      <m:oMathPara>
        <m:oMath>
          <m:sSup>
            <m:sSupPr>
              <m:ctrlPr>
                <w:rPr>
                  <w:rFonts w:ascii="Cambria Math" w:hAnsi="Cambria Math"/>
                  <w:i/>
                </w:rPr>
              </m:ctrlPr>
            </m:sSupPr>
            <m:e>
              <m:r>
                <m:rPr>
                  <m:sty m:val="p"/>
                </m:rPr>
                <w:rPr>
                  <w:rFonts w:ascii="Cambria Math" w:hAnsi="Cambria Math"/>
                </w:rPr>
                <m:t>8r</m:t>
              </m:r>
            </m:e>
            <m:sup>
              <m:r>
                <m:rPr>
                  <m:sty m:val="p"/>
                </m:rPr>
                <w:rPr>
                  <w:rFonts w:ascii="Cambria Math" w:hAnsi="Cambria Math"/>
                </w:rPr>
                <m:t>2</m:t>
              </m:r>
            </m:sup>
          </m:sSup>
          <m:r>
            <m:rPr>
              <m:sty m:val="p"/>
            </m:rPr>
            <w:rPr>
              <w:rFonts w:ascii="Cambria Math" w:hAnsi="Cambria Math"/>
            </w:rPr>
            <m:t>=</m:t>
          </m:r>
          <m:sSup>
            <m:sSupPr>
              <m:ctrlPr>
                <w:rPr>
                  <w:rFonts w:ascii="Cambria Math" w:hAnsi="Cambria Math"/>
                  <w:i/>
                </w:rPr>
              </m:ctrlPr>
            </m:sSupPr>
            <m:e>
              <m:r>
                <m:rPr>
                  <m:sty m:val="p"/>
                </m:rPr>
                <w:rPr>
                  <w:rFonts w:ascii="Cambria Math" w:hAnsi="Cambria Math"/>
                </w:rPr>
                <m:t>a</m:t>
              </m:r>
            </m:e>
            <m:sup>
              <m:r>
                <m:rPr>
                  <m:sty m:val="p"/>
                </m:rPr>
                <w:rPr>
                  <w:rFonts w:ascii="Cambria Math" w:hAnsi="Cambria Math"/>
                </w:rPr>
                <m:t>2</m:t>
              </m:r>
            </m:sup>
          </m:sSup>
        </m:oMath>
      </m:oMathPara>
    </w:p>
    <w:p w14:paraId="77459A4B" w14:textId="77777777" w:rsidR="00007F6C" w:rsidRPr="00744824" w:rsidRDefault="00007F6C" w:rsidP="00007F6C">
      <w:pPr>
        <w:pStyle w:val="Caption"/>
        <w:keepNext/>
        <w:rPr>
          <w:rFonts w:eastAsiaTheme="minorEastAsia"/>
          <w:color w:val="auto"/>
          <w:sz w:val="22"/>
          <w:szCs w:val="22"/>
        </w:rPr>
      </w:pPr>
      <m:oMathPara>
        <m:oMath>
          <m:r>
            <w:rPr>
              <w:rFonts w:ascii="Cambria Math" w:hAnsi="Cambria Math"/>
              <w:color w:val="auto"/>
              <w:sz w:val="22"/>
              <w:szCs w:val="22"/>
            </w:rPr>
            <w:lastRenderedPageBreak/>
            <m:t>a=r</m:t>
          </m:r>
          <m:rad>
            <m:radPr>
              <m:degHide m:val="1"/>
              <m:ctrlPr>
                <w:rPr>
                  <w:rFonts w:ascii="Cambria Math" w:hAnsi="Cambria Math"/>
                  <w:i w:val="0"/>
                  <w:color w:val="auto"/>
                  <w:sz w:val="22"/>
                  <w:szCs w:val="22"/>
                </w:rPr>
              </m:ctrlPr>
            </m:radPr>
            <m:deg/>
            <m:e>
              <m:r>
                <w:rPr>
                  <w:rFonts w:ascii="Cambria Math" w:hAnsi="Cambria Math"/>
                  <w:color w:val="auto"/>
                  <w:sz w:val="22"/>
                  <w:szCs w:val="22"/>
                </w:rPr>
                <m:t>8</m:t>
              </m:r>
            </m:e>
          </m:rad>
        </m:oMath>
      </m:oMathPara>
    </w:p>
    <w:p w14:paraId="443D1F57" w14:textId="75E4D202" w:rsidR="00007F6C" w:rsidRPr="0099375E" w:rsidRDefault="00007F6C" w:rsidP="00007F6C">
      <w:pPr>
        <w:pStyle w:val="Caption"/>
        <w:keepNext/>
        <w:jc w:val="right"/>
        <w:rPr>
          <w:i w:val="0"/>
          <w:iCs w:val="0"/>
          <w:color w:val="auto"/>
          <w:sz w:val="22"/>
          <w:szCs w:val="22"/>
        </w:rPr>
      </w:pPr>
      <w:r w:rsidRPr="0099375E">
        <w:rPr>
          <w:i w:val="0"/>
          <w:iCs w:val="0"/>
          <w:color w:val="auto"/>
          <w:sz w:val="22"/>
          <w:szCs w:val="22"/>
        </w:rPr>
        <w:t>Equation A</w:t>
      </w:r>
      <w:r w:rsidRPr="0099375E">
        <w:rPr>
          <w:i w:val="0"/>
          <w:iCs w:val="0"/>
          <w:color w:val="auto"/>
          <w:sz w:val="22"/>
          <w:szCs w:val="22"/>
        </w:rPr>
        <w:fldChar w:fldCharType="begin"/>
      </w:r>
      <w:r w:rsidRPr="0099375E">
        <w:rPr>
          <w:i w:val="0"/>
          <w:iCs w:val="0"/>
          <w:color w:val="auto"/>
          <w:sz w:val="22"/>
          <w:szCs w:val="22"/>
        </w:rPr>
        <w:instrText xml:space="preserve"> SEQ Equation \* ARABIC \r 1 </w:instrText>
      </w:r>
      <w:r w:rsidRPr="0099375E">
        <w:rPr>
          <w:i w:val="0"/>
          <w:iCs w:val="0"/>
          <w:color w:val="auto"/>
          <w:sz w:val="22"/>
          <w:szCs w:val="22"/>
        </w:rPr>
        <w:fldChar w:fldCharType="separate"/>
      </w:r>
      <w:r w:rsidR="00315BF8">
        <w:rPr>
          <w:i w:val="0"/>
          <w:iCs w:val="0"/>
          <w:noProof/>
          <w:color w:val="auto"/>
          <w:sz w:val="22"/>
          <w:szCs w:val="22"/>
        </w:rPr>
        <w:t>1</w:t>
      </w:r>
      <w:r w:rsidRPr="0099375E">
        <w:rPr>
          <w:i w:val="0"/>
          <w:iCs w:val="0"/>
          <w:color w:val="auto"/>
          <w:sz w:val="22"/>
          <w:szCs w:val="22"/>
        </w:rPr>
        <w:fldChar w:fldCharType="end"/>
      </w:r>
    </w:p>
    <w:p w14:paraId="77E81C40" w14:textId="77777777" w:rsidR="00007F6C" w:rsidRPr="006A3770" w:rsidRDefault="00007F6C" w:rsidP="00007F6C">
      <w:pPr>
        <w:keepNext/>
        <w:rPr>
          <w:rFonts w:eastAsiaTheme="minorEastAsia"/>
        </w:rPr>
      </w:pPr>
    </w:p>
    <w:p w14:paraId="1E90C6AD" w14:textId="77777777" w:rsidR="00007F6C" w:rsidRDefault="00007F6C" w:rsidP="00007F6C">
      <w:pPr>
        <w:keepNext/>
        <w:jc w:val="center"/>
      </w:pPr>
      <w:r w:rsidRPr="006A3770">
        <w:rPr>
          <w:noProof/>
          <w:lang w:eastAsia="en-GB"/>
        </w:rPr>
        <w:drawing>
          <wp:inline distT="0" distB="0" distL="0" distR="0" wp14:anchorId="7A6A77B6" wp14:editId="3F8F9447">
            <wp:extent cx="1800000" cy="2123715"/>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i FCC 111 image.pn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800000" cy="2123715"/>
                    </a:xfrm>
                    <a:prstGeom prst="rect">
                      <a:avLst/>
                    </a:prstGeom>
                  </pic:spPr>
                </pic:pic>
              </a:graphicData>
            </a:graphic>
          </wp:inline>
        </w:drawing>
      </w:r>
    </w:p>
    <w:p w14:paraId="3322A567" w14:textId="6349CEF9" w:rsidR="00007F6C" w:rsidRDefault="00007F6C" w:rsidP="00007F6C">
      <w:pPr>
        <w:pStyle w:val="Caption"/>
      </w:pPr>
      <w:bookmarkStart w:id="669" w:name="_Toc69115096"/>
      <w:r>
        <w:t>Figure A</w:t>
      </w:r>
      <w:r w:rsidR="00B51F53">
        <w:fldChar w:fldCharType="begin"/>
      </w:r>
      <w:r w:rsidR="00B51F53">
        <w:instrText xml:space="preserve"> SEQ Figure \* ARABIC </w:instrText>
      </w:r>
      <w:r w:rsidR="00B51F53">
        <w:fldChar w:fldCharType="separate"/>
      </w:r>
      <w:r w:rsidR="0056210C">
        <w:rPr>
          <w:noProof/>
        </w:rPr>
        <w:t>6</w:t>
      </w:r>
      <w:r w:rsidR="00B51F53">
        <w:rPr>
          <w:noProof/>
        </w:rPr>
        <w:fldChar w:fldCharType="end"/>
      </w:r>
      <w:r>
        <w:t xml:space="preserve">: </w:t>
      </w:r>
      <w:r w:rsidRPr="006A3770">
        <w:t xml:space="preserve">Diagram of the (111) crystallographic plane in the Ni FCC Unit cell. The atomic radius of nickel is denoted by r. The unit cell length is denoted by a </w:t>
      </w:r>
      <w:proofErr w:type="gramStart"/>
      <w:r w:rsidRPr="006A3770">
        <w:t>respectively</w:t>
      </w:r>
      <w:bookmarkEnd w:id="669"/>
      <w:proofErr w:type="gramEnd"/>
    </w:p>
    <w:p w14:paraId="21961C19" w14:textId="77777777" w:rsidR="0056210C" w:rsidRPr="0056210C" w:rsidRDefault="0056210C" w:rsidP="0056210C"/>
    <w:p w14:paraId="7AADF95D" w14:textId="77777777" w:rsidR="00007F6C" w:rsidRDefault="00007F6C" w:rsidP="00007F6C">
      <w:pPr>
        <w:pStyle w:val="Heading2"/>
      </w:pPr>
      <w:bookmarkStart w:id="670" w:name="_Toc69129474"/>
      <w:r>
        <w:t>4.3.5 Electrochemical performance</w:t>
      </w:r>
      <w:bookmarkEnd w:id="670"/>
    </w:p>
    <w:p w14:paraId="7F4459AB" w14:textId="768D4CAF" w:rsidR="00007F6C" w:rsidRDefault="00007F6C" w:rsidP="0056210C">
      <w:pPr>
        <w:pStyle w:val="Caption"/>
        <w:keepNext/>
        <w:spacing w:after="240"/>
      </w:pPr>
      <w:r>
        <w:t>Table A</w:t>
      </w:r>
      <w:r w:rsidR="00B51F53">
        <w:fldChar w:fldCharType="begin"/>
      </w:r>
      <w:r w:rsidR="00B51F53">
        <w:instrText xml:space="preserve"> SEQ Table \* ARABIC </w:instrText>
      </w:r>
      <w:r w:rsidR="00B51F53">
        <w:fldChar w:fldCharType="separate"/>
      </w:r>
      <w:r w:rsidR="0056210C">
        <w:rPr>
          <w:noProof/>
        </w:rPr>
        <w:t>3</w:t>
      </w:r>
      <w:r w:rsidR="00B51F53">
        <w:rPr>
          <w:noProof/>
        </w:rPr>
        <w:fldChar w:fldCharType="end"/>
      </w:r>
      <w:r>
        <w:t xml:space="preserve">: Evolution of the series and polarisation resistance in 50 h of ageing </w:t>
      </w:r>
    </w:p>
    <w:tbl>
      <w:tblPr>
        <w:tblStyle w:val="TableGrid"/>
        <w:tblW w:w="9493" w:type="dxa"/>
        <w:tblLook w:val="04A0" w:firstRow="1" w:lastRow="0" w:firstColumn="1" w:lastColumn="0" w:noHBand="0" w:noVBand="1"/>
      </w:tblPr>
      <w:tblGrid>
        <w:gridCol w:w="1694"/>
        <w:gridCol w:w="1134"/>
        <w:gridCol w:w="1557"/>
        <w:gridCol w:w="1557"/>
        <w:gridCol w:w="1798"/>
        <w:gridCol w:w="1753"/>
      </w:tblGrid>
      <w:tr w:rsidR="00007F6C" w14:paraId="0BFF906E" w14:textId="77777777" w:rsidTr="005E2F1E">
        <w:tc>
          <w:tcPr>
            <w:tcW w:w="1694" w:type="dxa"/>
          </w:tcPr>
          <w:p w14:paraId="7C31031B" w14:textId="77777777" w:rsidR="00007F6C" w:rsidRPr="00517350" w:rsidRDefault="00007F6C" w:rsidP="005E2F1E">
            <w:pPr>
              <w:rPr>
                <w:b/>
                <w:bCs/>
              </w:rPr>
            </w:pPr>
            <w:r w:rsidRPr="00517350">
              <w:rPr>
                <w:b/>
                <w:bCs/>
              </w:rPr>
              <w:t>Sample (Drying and Calcination atmosphere)</w:t>
            </w:r>
          </w:p>
        </w:tc>
        <w:tc>
          <w:tcPr>
            <w:tcW w:w="1134" w:type="dxa"/>
          </w:tcPr>
          <w:p w14:paraId="7F512B1A" w14:textId="77777777" w:rsidR="00007F6C" w:rsidRPr="00517350" w:rsidRDefault="00007F6C" w:rsidP="005E2F1E">
            <w:pPr>
              <w:rPr>
                <w:b/>
                <w:bCs/>
                <w:vertAlign w:val="superscript"/>
              </w:rPr>
            </w:pPr>
            <w:r w:rsidRPr="00517350">
              <w:rPr>
                <w:b/>
                <w:bCs/>
              </w:rPr>
              <w:t>Electrode Area [cm</w:t>
            </w:r>
            <w:r w:rsidRPr="00517350">
              <w:rPr>
                <w:b/>
                <w:bCs/>
                <w:vertAlign w:val="superscript"/>
              </w:rPr>
              <w:t>2]</w:t>
            </w:r>
          </w:p>
        </w:tc>
        <w:tc>
          <w:tcPr>
            <w:tcW w:w="1557" w:type="dxa"/>
          </w:tcPr>
          <w:p w14:paraId="67EF6DDE" w14:textId="77777777" w:rsidR="00007F6C" w:rsidRPr="00517350" w:rsidRDefault="00007F6C" w:rsidP="005E2F1E">
            <w:pPr>
              <w:rPr>
                <w:b/>
                <w:bCs/>
                <w:vertAlign w:val="subscript"/>
              </w:rPr>
            </w:pPr>
            <w:r w:rsidRPr="00517350">
              <w:rPr>
                <w:b/>
                <w:bCs/>
              </w:rPr>
              <w:t>Initial Series Resistance, Rs</w:t>
            </w:r>
            <w:r w:rsidRPr="00517350">
              <w:rPr>
                <w:b/>
                <w:bCs/>
                <w:vertAlign w:val="subscript"/>
              </w:rPr>
              <w:t>0</w:t>
            </w:r>
          </w:p>
          <w:p w14:paraId="6756CD5D" w14:textId="77777777" w:rsidR="00007F6C" w:rsidRPr="00517350" w:rsidRDefault="00007F6C" w:rsidP="005E2F1E">
            <w:pPr>
              <w:rPr>
                <w:b/>
                <w:bCs/>
              </w:rPr>
            </w:pPr>
            <w:r w:rsidRPr="00517350">
              <w:rPr>
                <w:b/>
                <w:bCs/>
                <w:vertAlign w:val="subscript"/>
              </w:rPr>
              <w:t xml:space="preserve"> </w:t>
            </w:r>
            <w:r w:rsidRPr="00517350">
              <w:rPr>
                <w:b/>
                <w:bCs/>
              </w:rPr>
              <w:t>[</w:t>
            </w:r>
            <w:r w:rsidRPr="00517350">
              <w:rPr>
                <w:rFonts w:cstheme="minorHAnsi"/>
                <w:b/>
                <w:bCs/>
              </w:rPr>
              <w:t>Ω</w:t>
            </w:r>
            <w:r w:rsidRPr="00517350">
              <w:rPr>
                <w:b/>
                <w:bCs/>
              </w:rPr>
              <w:t>cm</w:t>
            </w:r>
            <w:r w:rsidRPr="00517350">
              <w:rPr>
                <w:b/>
                <w:bCs/>
                <w:vertAlign w:val="superscript"/>
              </w:rPr>
              <w:t>2</w:t>
            </w:r>
            <w:r w:rsidRPr="00517350">
              <w:rPr>
                <w:b/>
                <w:bCs/>
              </w:rPr>
              <w:t>]</w:t>
            </w:r>
          </w:p>
        </w:tc>
        <w:tc>
          <w:tcPr>
            <w:tcW w:w="1557" w:type="dxa"/>
          </w:tcPr>
          <w:p w14:paraId="08116253" w14:textId="77777777" w:rsidR="00007F6C" w:rsidRPr="00517350" w:rsidRDefault="00007F6C" w:rsidP="005E2F1E">
            <w:pPr>
              <w:rPr>
                <w:b/>
                <w:bCs/>
              </w:rPr>
            </w:pPr>
            <w:r w:rsidRPr="00517350">
              <w:rPr>
                <w:b/>
                <w:bCs/>
              </w:rPr>
              <w:t>Initial Polarisation Resistance, R</w:t>
            </w:r>
            <w:r w:rsidRPr="00517350">
              <w:rPr>
                <w:b/>
                <w:bCs/>
                <w:vertAlign w:val="subscript"/>
              </w:rPr>
              <w:t>P0</w:t>
            </w:r>
            <w:r w:rsidRPr="00517350">
              <w:rPr>
                <w:b/>
                <w:bCs/>
              </w:rPr>
              <w:t xml:space="preserve"> [</w:t>
            </w:r>
            <w:r w:rsidRPr="00517350">
              <w:rPr>
                <w:rFonts w:cstheme="minorHAnsi"/>
                <w:b/>
                <w:bCs/>
              </w:rPr>
              <w:t>Ω</w:t>
            </w:r>
            <w:r w:rsidRPr="00517350">
              <w:rPr>
                <w:b/>
                <w:bCs/>
              </w:rPr>
              <w:t>cm</w:t>
            </w:r>
            <w:r w:rsidRPr="00517350">
              <w:rPr>
                <w:b/>
                <w:bCs/>
                <w:vertAlign w:val="superscript"/>
              </w:rPr>
              <w:t>2</w:t>
            </w:r>
            <w:r w:rsidRPr="00517350">
              <w:rPr>
                <w:b/>
                <w:bCs/>
              </w:rPr>
              <w:t>]</w:t>
            </w:r>
          </w:p>
        </w:tc>
        <w:tc>
          <w:tcPr>
            <w:tcW w:w="1798" w:type="dxa"/>
          </w:tcPr>
          <w:p w14:paraId="1DF5AF18" w14:textId="77777777" w:rsidR="00007F6C" w:rsidRPr="00517350" w:rsidRDefault="00007F6C" w:rsidP="005E2F1E">
            <w:pPr>
              <w:rPr>
                <w:b/>
                <w:bCs/>
              </w:rPr>
            </w:pPr>
            <w:r w:rsidRPr="00517350">
              <w:rPr>
                <w:b/>
                <w:bCs/>
              </w:rPr>
              <w:t xml:space="preserve">Series Resistance after 50h of ageing, Rs </w:t>
            </w:r>
          </w:p>
          <w:p w14:paraId="754AF43F" w14:textId="77777777" w:rsidR="00007F6C" w:rsidRPr="00517350" w:rsidRDefault="00007F6C" w:rsidP="005E2F1E">
            <w:pPr>
              <w:rPr>
                <w:b/>
                <w:bCs/>
              </w:rPr>
            </w:pPr>
            <w:r w:rsidRPr="00517350">
              <w:rPr>
                <w:b/>
                <w:bCs/>
              </w:rPr>
              <w:t>[</w:t>
            </w:r>
            <w:r w:rsidRPr="00517350">
              <w:rPr>
                <w:rFonts w:cstheme="minorHAnsi"/>
                <w:b/>
                <w:bCs/>
              </w:rPr>
              <w:t>Ω</w:t>
            </w:r>
            <w:r w:rsidRPr="00517350">
              <w:rPr>
                <w:b/>
                <w:bCs/>
              </w:rPr>
              <w:t>cm</w:t>
            </w:r>
            <w:r w:rsidRPr="00517350">
              <w:rPr>
                <w:b/>
                <w:bCs/>
                <w:vertAlign w:val="superscript"/>
              </w:rPr>
              <w:t>2</w:t>
            </w:r>
            <w:r w:rsidRPr="00517350">
              <w:rPr>
                <w:b/>
                <w:bCs/>
              </w:rPr>
              <w:t>]</w:t>
            </w:r>
          </w:p>
        </w:tc>
        <w:tc>
          <w:tcPr>
            <w:tcW w:w="1753" w:type="dxa"/>
          </w:tcPr>
          <w:p w14:paraId="57890E7F" w14:textId="77777777" w:rsidR="00007F6C" w:rsidRPr="00517350" w:rsidRDefault="00007F6C" w:rsidP="005E2F1E">
            <w:pPr>
              <w:rPr>
                <w:b/>
                <w:bCs/>
              </w:rPr>
            </w:pPr>
            <w:r w:rsidRPr="00517350">
              <w:rPr>
                <w:b/>
                <w:bCs/>
              </w:rPr>
              <w:t>Polarisation</w:t>
            </w:r>
          </w:p>
          <w:p w14:paraId="3FFDF07C" w14:textId="77777777" w:rsidR="00007F6C" w:rsidRPr="00517350" w:rsidRDefault="00007F6C" w:rsidP="005E2F1E">
            <w:pPr>
              <w:rPr>
                <w:b/>
                <w:bCs/>
              </w:rPr>
            </w:pPr>
            <w:r w:rsidRPr="00517350">
              <w:rPr>
                <w:b/>
                <w:bCs/>
              </w:rPr>
              <w:t>Resistance after 50h of ageing, R</w:t>
            </w:r>
            <w:r w:rsidRPr="00517350">
              <w:rPr>
                <w:b/>
                <w:bCs/>
                <w:vertAlign w:val="subscript"/>
              </w:rPr>
              <w:t>P</w:t>
            </w:r>
            <w:r w:rsidRPr="00517350">
              <w:rPr>
                <w:b/>
                <w:bCs/>
              </w:rPr>
              <w:t xml:space="preserve"> [</w:t>
            </w:r>
            <w:r w:rsidRPr="00517350">
              <w:rPr>
                <w:rFonts w:cstheme="minorHAnsi"/>
                <w:b/>
                <w:bCs/>
              </w:rPr>
              <w:t>Ω</w:t>
            </w:r>
            <w:r w:rsidRPr="00517350">
              <w:rPr>
                <w:b/>
                <w:bCs/>
              </w:rPr>
              <w:t>cm</w:t>
            </w:r>
            <w:r w:rsidRPr="00517350">
              <w:rPr>
                <w:b/>
                <w:bCs/>
                <w:vertAlign w:val="superscript"/>
              </w:rPr>
              <w:t>2</w:t>
            </w:r>
            <w:r w:rsidRPr="00517350">
              <w:rPr>
                <w:b/>
                <w:bCs/>
              </w:rPr>
              <w:t>]</w:t>
            </w:r>
          </w:p>
        </w:tc>
      </w:tr>
      <w:tr w:rsidR="00007F6C" w14:paraId="6D9EE4DE" w14:textId="77777777" w:rsidTr="005E2F1E">
        <w:tc>
          <w:tcPr>
            <w:tcW w:w="1694" w:type="dxa"/>
          </w:tcPr>
          <w:p w14:paraId="66547518" w14:textId="77777777" w:rsidR="00007F6C" w:rsidRDefault="00007F6C" w:rsidP="005E2F1E">
            <w:r>
              <w:t>ND NC</w:t>
            </w:r>
          </w:p>
        </w:tc>
        <w:tc>
          <w:tcPr>
            <w:tcW w:w="1134" w:type="dxa"/>
          </w:tcPr>
          <w:p w14:paraId="511D0F35" w14:textId="77777777" w:rsidR="00007F6C" w:rsidRDefault="00007F6C" w:rsidP="005E2F1E">
            <w:r>
              <w:t>0.2827</w:t>
            </w:r>
          </w:p>
        </w:tc>
        <w:tc>
          <w:tcPr>
            <w:tcW w:w="1557" w:type="dxa"/>
          </w:tcPr>
          <w:p w14:paraId="62DD36E6" w14:textId="77777777" w:rsidR="00007F6C" w:rsidRDefault="00007F6C" w:rsidP="005E2F1E">
            <w:r>
              <w:t>1.585</w:t>
            </w:r>
          </w:p>
        </w:tc>
        <w:tc>
          <w:tcPr>
            <w:tcW w:w="1557" w:type="dxa"/>
          </w:tcPr>
          <w:p w14:paraId="5B8FFCCE" w14:textId="77777777" w:rsidR="00007F6C" w:rsidRDefault="00007F6C" w:rsidP="005E2F1E">
            <w:r>
              <w:t>21.641</w:t>
            </w:r>
          </w:p>
        </w:tc>
        <w:tc>
          <w:tcPr>
            <w:tcW w:w="1798" w:type="dxa"/>
          </w:tcPr>
          <w:p w14:paraId="3DE25037" w14:textId="77777777" w:rsidR="00007F6C" w:rsidRDefault="00007F6C" w:rsidP="005E2F1E">
            <w:r>
              <w:t>4.446</w:t>
            </w:r>
          </w:p>
        </w:tc>
        <w:tc>
          <w:tcPr>
            <w:tcW w:w="1753" w:type="dxa"/>
          </w:tcPr>
          <w:p w14:paraId="2E2C1E9B" w14:textId="77777777" w:rsidR="00007F6C" w:rsidRDefault="00007F6C" w:rsidP="005E2F1E">
            <w:r>
              <w:t>42.140 (</w:t>
            </w:r>
            <w:r w:rsidRPr="009926D6">
              <w:rPr>
                <w:color w:val="00B050"/>
              </w:rPr>
              <w:t>20.</w:t>
            </w:r>
            <w:r>
              <w:rPr>
                <w:color w:val="00B050"/>
              </w:rPr>
              <w:t>50</w:t>
            </w:r>
            <w:r>
              <w:t>)</w:t>
            </w:r>
          </w:p>
        </w:tc>
      </w:tr>
      <w:tr w:rsidR="00007F6C" w14:paraId="49DE6603" w14:textId="77777777" w:rsidTr="005E2F1E">
        <w:tc>
          <w:tcPr>
            <w:tcW w:w="1694" w:type="dxa"/>
          </w:tcPr>
          <w:p w14:paraId="03BEFA36" w14:textId="77777777" w:rsidR="00007F6C" w:rsidRDefault="00007F6C" w:rsidP="005E2F1E">
            <w:r>
              <w:t>ND AC</w:t>
            </w:r>
          </w:p>
        </w:tc>
        <w:tc>
          <w:tcPr>
            <w:tcW w:w="1134" w:type="dxa"/>
          </w:tcPr>
          <w:p w14:paraId="509189E9" w14:textId="77777777" w:rsidR="00007F6C" w:rsidRDefault="00007F6C" w:rsidP="005E2F1E">
            <w:r>
              <w:t>0.2827</w:t>
            </w:r>
          </w:p>
        </w:tc>
        <w:tc>
          <w:tcPr>
            <w:tcW w:w="1557" w:type="dxa"/>
          </w:tcPr>
          <w:p w14:paraId="7A64947F" w14:textId="77777777" w:rsidR="00007F6C" w:rsidRDefault="00007F6C" w:rsidP="005E2F1E">
            <w:r>
              <w:t>3.907</w:t>
            </w:r>
          </w:p>
        </w:tc>
        <w:tc>
          <w:tcPr>
            <w:tcW w:w="1557" w:type="dxa"/>
          </w:tcPr>
          <w:p w14:paraId="7FA1B8B4" w14:textId="77777777" w:rsidR="00007F6C" w:rsidRDefault="00007F6C" w:rsidP="005E2F1E">
            <w:r>
              <w:t>15.418</w:t>
            </w:r>
          </w:p>
        </w:tc>
        <w:tc>
          <w:tcPr>
            <w:tcW w:w="1798" w:type="dxa"/>
          </w:tcPr>
          <w:p w14:paraId="7A37D93B" w14:textId="77777777" w:rsidR="00007F6C" w:rsidRDefault="00007F6C" w:rsidP="005E2F1E">
            <w:r>
              <w:t>5.864</w:t>
            </w:r>
          </w:p>
        </w:tc>
        <w:tc>
          <w:tcPr>
            <w:tcW w:w="1753" w:type="dxa"/>
          </w:tcPr>
          <w:p w14:paraId="4B95B8C6" w14:textId="77777777" w:rsidR="00007F6C" w:rsidRDefault="00007F6C" w:rsidP="005E2F1E">
            <w:r>
              <w:t>20.088 (</w:t>
            </w:r>
            <w:r w:rsidRPr="009926D6">
              <w:rPr>
                <w:color w:val="00B050"/>
              </w:rPr>
              <w:t>4.</w:t>
            </w:r>
            <w:r>
              <w:rPr>
                <w:color w:val="00B050"/>
              </w:rPr>
              <w:t>67</w:t>
            </w:r>
            <w:r>
              <w:t>)</w:t>
            </w:r>
          </w:p>
        </w:tc>
      </w:tr>
      <w:tr w:rsidR="00007F6C" w14:paraId="1B87A243" w14:textId="77777777" w:rsidTr="005E2F1E">
        <w:tc>
          <w:tcPr>
            <w:tcW w:w="1694" w:type="dxa"/>
          </w:tcPr>
          <w:p w14:paraId="73FC5202" w14:textId="77777777" w:rsidR="00007F6C" w:rsidRDefault="00007F6C" w:rsidP="005E2F1E">
            <w:r>
              <w:t>AD AC</w:t>
            </w:r>
          </w:p>
        </w:tc>
        <w:tc>
          <w:tcPr>
            <w:tcW w:w="1134" w:type="dxa"/>
          </w:tcPr>
          <w:p w14:paraId="31E31D86" w14:textId="77777777" w:rsidR="00007F6C" w:rsidRDefault="00007F6C" w:rsidP="005E2F1E">
            <w:r>
              <w:t>0.2827</w:t>
            </w:r>
          </w:p>
        </w:tc>
        <w:tc>
          <w:tcPr>
            <w:tcW w:w="1557" w:type="dxa"/>
          </w:tcPr>
          <w:p w14:paraId="70F06ED3" w14:textId="77777777" w:rsidR="00007F6C" w:rsidRDefault="00007F6C" w:rsidP="005E2F1E">
            <w:r>
              <w:t xml:space="preserve">3.35 </w:t>
            </w:r>
          </w:p>
        </w:tc>
        <w:tc>
          <w:tcPr>
            <w:tcW w:w="1557" w:type="dxa"/>
          </w:tcPr>
          <w:p w14:paraId="52D889FD" w14:textId="77777777" w:rsidR="00007F6C" w:rsidRDefault="00007F6C" w:rsidP="005E2F1E">
            <w:r>
              <w:t>12.385</w:t>
            </w:r>
          </w:p>
        </w:tc>
        <w:tc>
          <w:tcPr>
            <w:tcW w:w="1798" w:type="dxa"/>
          </w:tcPr>
          <w:p w14:paraId="58329A22" w14:textId="77777777" w:rsidR="00007F6C" w:rsidRDefault="00007F6C" w:rsidP="005E2F1E">
            <w:r>
              <w:t>5.163</w:t>
            </w:r>
          </w:p>
        </w:tc>
        <w:tc>
          <w:tcPr>
            <w:tcW w:w="1753" w:type="dxa"/>
          </w:tcPr>
          <w:p w14:paraId="284FE16C" w14:textId="77777777" w:rsidR="00007F6C" w:rsidRDefault="00007F6C" w:rsidP="005E2F1E">
            <w:r>
              <w:t>39.886 (</w:t>
            </w:r>
            <w:r w:rsidRPr="009926D6">
              <w:rPr>
                <w:color w:val="00B050"/>
              </w:rPr>
              <w:t>2</w:t>
            </w:r>
            <w:r>
              <w:rPr>
                <w:color w:val="00B050"/>
              </w:rPr>
              <w:t>7</w:t>
            </w:r>
            <w:r w:rsidRPr="009926D6">
              <w:rPr>
                <w:color w:val="00B050"/>
              </w:rPr>
              <w:t>.</w:t>
            </w:r>
            <w:r>
              <w:rPr>
                <w:color w:val="00B050"/>
              </w:rPr>
              <w:t>50</w:t>
            </w:r>
            <w:r>
              <w:t>)</w:t>
            </w:r>
          </w:p>
        </w:tc>
      </w:tr>
      <w:tr w:rsidR="00007F6C" w14:paraId="645052E3" w14:textId="77777777" w:rsidTr="005E2F1E">
        <w:tc>
          <w:tcPr>
            <w:tcW w:w="1694" w:type="dxa"/>
          </w:tcPr>
          <w:p w14:paraId="3D689664" w14:textId="77777777" w:rsidR="00007F6C" w:rsidRDefault="00007F6C" w:rsidP="005E2F1E">
            <w:r>
              <w:t>AD NC</w:t>
            </w:r>
          </w:p>
        </w:tc>
        <w:tc>
          <w:tcPr>
            <w:tcW w:w="1134" w:type="dxa"/>
          </w:tcPr>
          <w:p w14:paraId="705E610D" w14:textId="77777777" w:rsidR="00007F6C" w:rsidRDefault="00007F6C" w:rsidP="005E2F1E">
            <w:r>
              <w:t>0.2827</w:t>
            </w:r>
          </w:p>
        </w:tc>
        <w:tc>
          <w:tcPr>
            <w:tcW w:w="1557" w:type="dxa"/>
          </w:tcPr>
          <w:p w14:paraId="6FBE310C" w14:textId="77777777" w:rsidR="00007F6C" w:rsidRDefault="00007F6C" w:rsidP="005E2F1E">
            <w:r>
              <w:t>5.804</w:t>
            </w:r>
          </w:p>
        </w:tc>
        <w:tc>
          <w:tcPr>
            <w:tcW w:w="1557" w:type="dxa"/>
          </w:tcPr>
          <w:p w14:paraId="6E6C86FA" w14:textId="77777777" w:rsidR="00007F6C" w:rsidRDefault="00007F6C" w:rsidP="005E2F1E">
            <w:r>
              <w:t>21.675</w:t>
            </w:r>
          </w:p>
        </w:tc>
        <w:tc>
          <w:tcPr>
            <w:tcW w:w="1798" w:type="dxa"/>
          </w:tcPr>
          <w:p w14:paraId="54831B22" w14:textId="77777777" w:rsidR="00007F6C" w:rsidRDefault="00007F6C" w:rsidP="005E2F1E">
            <w:r>
              <w:t>7.636</w:t>
            </w:r>
          </w:p>
        </w:tc>
        <w:tc>
          <w:tcPr>
            <w:tcW w:w="1753" w:type="dxa"/>
          </w:tcPr>
          <w:p w14:paraId="44B4B9FF" w14:textId="77777777" w:rsidR="00007F6C" w:rsidRDefault="00007F6C" w:rsidP="005E2F1E">
            <w:r>
              <w:t>38.006 (</w:t>
            </w:r>
            <w:r w:rsidRPr="009926D6">
              <w:rPr>
                <w:color w:val="00B050"/>
              </w:rPr>
              <w:t>16.</w:t>
            </w:r>
            <w:r>
              <w:rPr>
                <w:color w:val="00B050"/>
              </w:rPr>
              <w:t>33</w:t>
            </w:r>
            <w:r>
              <w:t>)</w:t>
            </w:r>
          </w:p>
        </w:tc>
      </w:tr>
    </w:tbl>
    <w:p w14:paraId="7888B3D7" w14:textId="77777777" w:rsidR="00007F6C" w:rsidRDefault="00007F6C" w:rsidP="00007F6C"/>
    <w:p w14:paraId="2F683618" w14:textId="77777777" w:rsidR="00007F6C" w:rsidRDefault="00007F6C" w:rsidP="0056210C">
      <w:r>
        <w:t>EC Fits</w:t>
      </w:r>
    </w:p>
    <w:p w14:paraId="4BEFFB47" w14:textId="61F2CBB6" w:rsidR="00007F6C" w:rsidRDefault="00007F6C" w:rsidP="0056210C">
      <w:pPr>
        <w:pStyle w:val="Caption"/>
        <w:keepNext/>
        <w:spacing w:after="160"/>
      </w:pPr>
      <w:r>
        <w:t>Table A</w:t>
      </w:r>
      <w:r w:rsidR="00B51F53">
        <w:fldChar w:fldCharType="begin"/>
      </w:r>
      <w:r w:rsidR="00B51F53">
        <w:instrText xml:space="preserve"> SEQ Table \* ARABIC </w:instrText>
      </w:r>
      <w:r w:rsidR="00B51F53">
        <w:fldChar w:fldCharType="separate"/>
      </w:r>
      <w:r w:rsidR="0022061C">
        <w:rPr>
          <w:noProof/>
        </w:rPr>
        <w:t>27</w:t>
      </w:r>
      <w:r w:rsidR="00B51F53">
        <w:rPr>
          <w:noProof/>
        </w:rPr>
        <w:fldChar w:fldCharType="end"/>
      </w:r>
      <w:r>
        <w:t xml:space="preserve">: Evolution of the series and polarisation resistance in 50 h of ageing using Equivalent circuit </w:t>
      </w:r>
      <w:proofErr w:type="gramStart"/>
      <w:r>
        <w:t>fitting</w:t>
      </w:r>
      <w:proofErr w:type="gramEnd"/>
    </w:p>
    <w:tbl>
      <w:tblPr>
        <w:tblStyle w:val="TableGrid"/>
        <w:tblW w:w="9493" w:type="dxa"/>
        <w:tblLook w:val="04A0" w:firstRow="1" w:lastRow="0" w:firstColumn="1" w:lastColumn="0" w:noHBand="0" w:noVBand="1"/>
      </w:tblPr>
      <w:tblGrid>
        <w:gridCol w:w="1694"/>
        <w:gridCol w:w="1134"/>
        <w:gridCol w:w="1557"/>
        <w:gridCol w:w="1557"/>
        <w:gridCol w:w="1798"/>
        <w:gridCol w:w="1753"/>
      </w:tblGrid>
      <w:tr w:rsidR="00007F6C" w14:paraId="1DBA5AFD" w14:textId="77777777" w:rsidTr="005E2F1E">
        <w:tc>
          <w:tcPr>
            <w:tcW w:w="1694" w:type="dxa"/>
          </w:tcPr>
          <w:p w14:paraId="5087B459" w14:textId="77777777" w:rsidR="00007F6C" w:rsidRPr="00517350" w:rsidRDefault="00007F6C" w:rsidP="005E2F1E">
            <w:pPr>
              <w:rPr>
                <w:b/>
                <w:bCs/>
              </w:rPr>
            </w:pPr>
            <w:r w:rsidRPr="00517350">
              <w:rPr>
                <w:b/>
                <w:bCs/>
              </w:rPr>
              <w:t>Sample (Drying and Calcination atmosphere)</w:t>
            </w:r>
          </w:p>
        </w:tc>
        <w:tc>
          <w:tcPr>
            <w:tcW w:w="1134" w:type="dxa"/>
          </w:tcPr>
          <w:p w14:paraId="011EA735" w14:textId="77777777" w:rsidR="00007F6C" w:rsidRPr="00517350" w:rsidRDefault="00007F6C" w:rsidP="005E2F1E">
            <w:pPr>
              <w:rPr>
                <w:b/>
                <w:bCs/>
                <w:vertAlign w:val="superscript"/>
              </w:rPr>
            </w:pPr>
            <w:r w:rsidRPr="00517350">
              <w:rPr>
                <w:b/>
                <w:bCs/>
              </w:rPr>
              <w:t>Electrode Area [cm</w:t>
            </w:r>
            <w:r w:rsidRPr="00517350">
              <w:rPr>
                <w:b/>
                <w:bCs/>
                <w:vertAlign w:val="superscript"/>
              </w:rPr>
              <w:t>2]</w:t>
            </w:r>
          </w:p>
        </w:tc>
        <w:tc>
          <w:tcPr>
            <w:tcW w:w="1557" w:type="dxa"/>
          </w:tcPr>
          <w:p w14:paraId="10014CD0" w14:textId="77777777" w:rsidR="00007F6C" w:rsidRPr="00517350" w:rsidRDefault="00007F6C" w:rsidP="005E2F1E">
            <w:pPr>
              <w:rPr>
                <w:b/>
                <w:bCs/>
                <w:vertAlign w:val="subscript"/>
              </w:rPr>
            </w:pPr>
            <w:r w:rsidRPr="00517350">
              <w:rPr>
                <w:b/>
                <w:bCs/>
              </w:rPr>
              <w:t>Initial Series Resistance, Rs</w:t>
            </w:r>
            <w:r w:rsidRPr="00517350">
              <w:rPr>
                <w:b/>
                <w:bCs/>
                <w:vertAlign w:val="subscript"/>
              </w:rPr>
              <w:t>0</w:t>
            </w:r>
          </w:p>
          <w:p w14:paraId="1CEC6FA7" w14:textId="77777777" w:rsidR="00007F6C" w:rsidRPr="00517350" w:rsidRDefault="00007F6C" w:rsidP="005E2F1E">
            <w:pPr>
              <w:rPr>
                <w:b/>
                <w:bCs/>
              </w:rPr>
            </w:pPr>
            <w:r w:rsidRPr="00517350">
              <w:rPr>
                <w:b/>
                <w:bCs/>
                <w:vertAlign w:val="subscript"/>
              </w:rPr>
              <w:t xml:space="preserve"> </w:t>
            </w:r>
            <w:r w:rsidRPr="00517350">
              <w:rPr>
                <w:b/>
                <w:bCs/>
              </w:rPr>
              <w:t>[</w:t>
            </w:r>
            <w:r w:rsidRPr="00517350">
              <w:rPr>
                <w:rFonts w:cstheme="minorHAnsi"/>
                <w:b/>
                <w:bCs/>
              </w:rPr>
              <w:t>Ω</w:t>
            </w:r>
            <w:r w:rsidRPr="00517350">
              <w:rPr>
                <w:b/>
                <w:bCs/>
              </w:rPr>
              <w:t>cm</w:t>
            </w:r>
            <w:r w:rsidRPr="00517350">
              <w:rPr>
                <w:b/>
                <w:bCs/>
                <w:vertAlign w:val="superscript"/>
              </w:rPr>
              <w:t>2</w:t>
            </w:r>
            <w:r w:rsidRPr="00517350">
              <w:rPr>
                <w:b/>
                <w:bCs/>
              </w:rPr>
              <w:t>]</w:t>
            </w:r>
          </w:p>
        </w:tc>
        <w:tc>
          <w:tcPr>
            <w:tcW w:w="1557" w:type="dxa"/>
          </w:tcPr>
          <w:p w14:paraId="35841F77" w14:textId="77777777" w:rsidR="00007F6C" w:rsidRPr="00517350" w:rsidRDefault="00007F6C" w:rsidP="005E2F1E">
            <w:pPr>
              <w:rPr>
                <w:b/>
                <w:bCs/>
              </w:rPr>
            </w:pPr>
            <w:r w:rsidRPr="00517350">
              <w:rPr>
                <w:b/>
                <w:bCs/>
              </w:rPr>
              <w:t>Initial Polarisation Resistance, R</w:t>
            </w:r>
            <w:r w:rsidRPr="00517350">
              <w:rPr>
                <w:b/>
                <w:bCs/>
                <w:vertAlign w:val="subscript"/>
              </w:rPr>
              <w:t>P0</w:t>
            </w:r>
            <w:r w:rsidRPr="00517350">
              <w:rPr>
                <w:b/>
                <w:bCs/>
              </w:rPr>
              <w:t xml:space="preserve"> [</w:t>
            </w:r>
            <w:r w:rsidRPr="00517350">
              <w:rPr>
                <w:rFonts w:cstheme="minorHAnsi"/>
                <w:b/>
                <w:bCs/>
              </w:rPr>
              <w:t>Ω</w:t>
            </w:r>
            <w:r w:rsidRPr="00517350">
              <w:rPr>
                <w:b/>
                <w:bCs/>
              </w:rPr>
              <w:t>cm</w:t>
            </w:r>
            <w:r w:rsidRPr="00517350">
              <w:rPr>
                <w:b/>
                <w:bCs/>
                <w:vertAlign w:val="superscript"/>
              </w:rPr>
              <w:t>2</w:t>
            </w:r>
            <w:r w:rsidRPr="00517350">
              <w:rPr>
                <w:b/>
                <w:bCs/>
              </w:rPr>
              <w:t>]</w:t>
            </w:r>
          </w:p>
        </w:tc>
        <w:tc>
          <w:tcPr>
            <w:tcW w:w="1798" w:type="dxa"/>
          </w:tcPr>
          <w:p w14:paraId="28B7E67F" w14:textId="77777777" w:rsidR="00007F6C" w:rsidRPr="00517350" w:rsidRDefault="00007F6C" w:rsidP="005E2F1E">
            <w:pPr>
              <w:rPr>
                <w:b/>
                <w:bCs/>
              </w:rPr>
            </w:pPr>
            <w:r w:rsidRPr="00517350">
              <w:rPr>
                <w:b/>
                <w:bCs/>
              </w:rPr>
              <w:t xml:space="preserve">Series Resistance after 50h of ageing, Rs </w:t>
            </w:r>
          </w:p>
          <w:p w14:paraId="3212523B" w14:textId="77777777" w:rsidR="00007F6C" w:rsidRPr="00517350" w:rsidRDefault="00007F6C" w:rsidP="005E2F1E">
            <w:pPr>
              <w:rPr>
                <w:b/>
                <w:bCs/>
              </w:rPr>
            </w:pPr>
            <w:r w:rsidRPr="00517350">
              <w:rPr>
                <w:b/>
                <w:bCs/>
              </w:rPr>
              <w:t>[</w:t>
            </w:r>
            <w:r w:rsidRPr="00517350">
              <w:rPr>
                <w:rFonts w:cstheme="minorHAnsi"/>
                <w:b/>
                <w:bCs/>
              </w:rPr>
              <w:t>Ω</w:t>
            </w:r>
            <w:r w:rsidRPr="00517350">
              <w:rPr>
                <w:b/>
                <w:bCs/>
              </w:rPr>
              <w:t>cm</w:t>
            </w:r>
            <w:r w:rsidRPr="00517350">
              <w:rPr>
                <w:b/>
                <w:bCs/>
                <w:vertAlign w:val="superscript"/>
              </w:rPr>
              <w:t>2</w:t>
            </w:r>
            <w:r w:rsidRPr="00517350">
              <w:rPr>
                <w:b/>
                <w:bCs/>
              </w:rPr>
              <w:t>]</w:t>
            </w:r>
          </w:p>
        </w:tc>
        <w:tc>
          <w:tcPr>
            <w:tcW w:w="1753" w:type="dxa"/>
          </w:tcPr>
          <w:p w14:paraId="03E96ED7" w14:textId="77777777" w:rsidR="00007F6C" w:rsidRPr="00517350" w:rsidRDefault="00007F6C" w:rsidP="005E2F1E">
            <w:pPr>
              <w:rPr>
                <w:b/>
                <w:bCs/>
              </w:rPr>
            </w:pPr>
            <w:r w:rsidRPr="00517350">
              <w:rPr>
                <w:b/>
                <w:bCs/>
              </w:rPr>
              <w:t>Polarisation</w:t>
            </w:r>
          </w:p>
          <w:p w14:paraId="2D4DD392" w14:textId="77777777" w:rsidR="00007F6C" w:rsidRPr="00517350" w:rsidRDefault="00007F6C" w:rsidP="005E2F1E">
            <w:pPr>
              <w:rPr>
                <w:b/>
                <w:bCs/>
              </w:rPr>
            </w:pPr>
            <w:r w:rsidRPr="00517350">
              <w:rPr>
                <w:b/>
                <w:bCs/>
              </w:rPr>
              <w:t>Resistance after 50h of ageing, R</w:t>
            </w:r>
            <w:r w:rsidRPr="00517350">
              <w:rPr>
                <w:b/>
                <w:bCs/>
                <w:vertAlign w:val="subscript"/>
              </w:rPr>
              <w:t>P</w:t>
            </w:r>
            <w:r w:rsidRPr="00517350">
              <w:rPr>
                <w:b/>
                <w:bCs/>
              </w:rPr>
              <w:t xml:space="preserve"> [</w:t>
            </w:r>
            <w:r w:rsidRPr="00517350">
              <w:rPr>
                <w:rFonts w:cstheme="minorHAnsi"/>
                <w:b/>
                <w:bCs/>
              </w:rPr>
              <w:t>Ω</w:t>
            </w:r>
            <w:r w:rsidRPr="00517350">
              <w:rPr>
                <w:b/>
                <w:bCs/>
              </w:rPr>
              <w:t>cm</w:t>
            </w:r>
            <w:r w:rsidRPr="00517350">
              <w:rPr>
                <w:b/>
                <w:bCs/>
                <w:vertAlign w:val="superscript"/>
              </w:rPr>
              <w:t>2</w:t>
            </w:r>
            <w:r w:rsidRPr="00517350">
              <w:rPr>
                <w:b/>
                <w:bCs/>
              </w:rPr>
              <w:t>]</w:t>
            </w:r>
          </w:p>
        </w:tc>
      </w:tr>
      <w:tr w:rsidR="00007F6C" w14:paraId="4E4C7EF0" w14:textId="77777777" w:rsidTr="005E2F1E">
        <w:tc>
          <w:tcPr>
            <w:tcW w:w="1694" w:type="dxa"/>
          </w:tcPr>
          <w:p w14:paraId="11415250" w14:textId="77777777" w:rsidR="00007F6C" w:rsidRDefault="00007F6C" w:rsidP="005E2F1E">
            <w:r>
              <w:t>ND NC</w:t>
            </w:r>
          </w:p>
        </w:tc>
        <w:tc>
          <w:tcPr>
            <w:tcW w:w="1134" w:type="dxa"/>
          </w:tcPr>
          <w:p w14:paraId="11FF7599" w14:textId="77777777" w:rsidR="00007F6C" w:rsidRDefault="00007F6C" w:rsidP="005E2F1E">
            <w:r>
              <w:t>0.2827</w:t>
            </w:r>
          </w:p>
        </w:tc>
        <w:tc>
          <w:tcPr>
            <w:tcW w:w="1557" w:type="dxa"/>
          </w:tcPr>
          <w:p w14:paraId="104F1A58" w14:textId="77777777" w:rsidR="00007F6C" w:rsidRDefault="00007F6C" w:rsidP="005E2F1E">
            <w:r>
              <w:t>1.52</w:t>
            </w:r>
          </w:p>
        </w:tc>
        <w:tc>
          <w:tcPr>
            <w:tcW w:w="1557" w:type="dxa"/>
          </w:tcPr>
          <w:p w14:paraId="45B25871" w14:textId="77777777" w:rsidR="00007F6C" w:rsidRDefault="00007F6C" w:rsidP="005E2F1E">
            <w:r>
              <w:t>21.52</w:t>
            </w:r>
          </w:p>
        </w:tc>
        <w:tc>
          <w:tcPr>
            <w:tcW w:w="1798" w:type="dxa"/>
          </w:tcPr>
          <w:p w14:paraId="65F7C2E9" w14:textId="77777777" w:rsidR="00007F6C" w:rsidRDefault="00007F6C" w:rsidP="005E2F1E">
            <w:r>
              <w:t>4.76</w:t>
            </w:r>
          </w:p>
        </w:tc>
        <w:tc>
          <w:tcPr>
            <w:tcW w:w="1753" w:type="dxa"/>
          </w:tcPr>
          <w:p w14:paraId="6CFD5901" w14:textId="77777777" w:rsidR="00007F6C" w:rsidRDefault="00007F6C" w:rsidP="005E2F1E">
            <w:r>
              <w:t>41.63 (</w:t>
            </w:r>
            <w:r>
              <w:rPr>
                <w:color w:val="00B050"/>
              </w:rPr>
              <w:t>20.11</w:t>
            </w:r>
            <w:r>
              <w:t>)</w:t>
            </w:r>
          </w:p>
        </w:tc>
      </w:tr>
      <w:tr w:rsidR="00007F6C" w14:paraId="139974D8" w14:textId="77777777" w:rsidTr="005E2F1E">
        <w:tc>
          <w:tcPr>
            <w:tcW w:w="1694" w:type="dxa"/>
          </w:tcPr>
          <w:p w14:paraId="67AE9587" w14:textId="77777777" w:rsidR="00007F6C" w:rsidRDefault="00007F6C" w:rsidP="005E2F1E">
            <w:r>
              <w:t>ND AC</w:t>
            </w:r>
          </w:p>
        </w:tc>
        <w:tc>
          <w:tcPr>
            <w:tcW w:w="1134" w:type="dxa"/>
          </w:tcPr>
          <w:p w14:paraId="2FAB3BCD" w14:textId="77777777" w:rsidR="00007F6C" w:rsidRDefault="00007F6C" w:rsidP="005E2F1E">
            <w:r>
              <w:t>0.2827</w:t>
            </w:r>
          </w:p>
        </w:tc>
        <w:tc>
          <w:tcPr>
            <w:tcW w:w="1557" w:type="dxa"/>
          </w:tcPr>
          <w:p w14:paraId="5722068E" w14:textId="77777777" w:rsidR="00007F6C" w:rsidRDefault="00007F6C" w:rsidP="005E2F1E">
            <w:r>
              <w:t>3.82</w:t>
            </w:r>
          </w:p>
        </w:tc>
        <w:tc>
          <w:tcPr>
            <w:tcW w:w="1557" w:type="dxa"/>
          </w:tcPr>
          <w:p w14:paraId="4F6262AE" w14:textId="77777777" w:rsidR="00007F6C" w:rsidRDefault="00007F6C" w:rsidP="005E2F1E">
            <w:r>
              <w:t>15.27</w:t>
            </w:r>
          </w:p>
        </w:tc>
        <w:tc>
          <w:tcPr>
            <w:tcW w:w="1798" w:type="dxa"/>
          </w:tcPr>
          <w:p w14:paraId="0C709909" w14:textId="77777777" w:rsidR="00007F6C" w:rsidRDefault="00007F6C" w:rsidP="005E2F1E">
            <w:r>
              <w:t>5.87</w:t>
            </w:r>
          </w:p>
        </w:tc>
        <w:tc>
          <w:tcPr>
            <w:tcW w:w="1753" w:type="dxa"/>
          </w:tcPr>
          <w:p w14:paraId="56ABB05B" w14:textId="77777777" w:rsidR="00007F6C" w:rsidRDefault="00007F6C" w:rsidP="005E2F1E">
            <w:r>
              <w:t>19.30 (</w:t>
            </w:r>
            <w:r w:rsidRPr="009926D6">
              <w:rPr>
                <w:color w:val="00B050"/>
              </w:rPr>
              <w:t>4.03</w:t>
            </w:r>
            <w:r>
              <w:t>)</w:t>
            </w:r>
          </w:p>
        </w:tc>
      </w:tr>
      <w:tr w:rsidR="00007F6C" w14:paraId="00C772EE" w14:textId="77777777" w:rsidTr="005E2F1E">
        <w:tc>
          <w:tcPr>
            <w:tcW w:w="1694" w:type="dxa"/>
          </w:tcPr>
          <w:p w14:paraId="01243786" w14:textId="77777777" w:rsidR="00007F6C" w:rsidRDefault="00007F6C" w:rsidP="005E2F1E">
            <w:r>
              <w:t>AD AC</w:t>
            </w:r>
          </w:p>
        </w:tc>
        <w:tc>
          <w:tcPr>
            <w:tcW w:w="1134" w:type="dxa"/>
          </w:tcPr>
          <w:p w14:paraId="6572B3DE" w14:textId="77777777" w:rsidR="00007F6C" w:rsidRDefault="00007F6C" w:rsidP="005E2F1E">
            <w:r>
              <w:t>0.2827</w:t>
            </w:r>
          </w:p>
        </w:tc>
        <w:tc>
          <w:tcPr>
            <w:tcW w:w="1557" w:type="dxa"/>
          </w:tcPr>
          <w:p w14:paraId="7C6B4195" w14:textId="77777777" w:rsidR="00007F6C" w:rsidRDefault="00007F6C" w:rsidP="005E2F1E">
            <w:r w:rsidRPr="006460F5">
              <w:t>3.1</w:t>
            </w:r>
            <w:r>
              <w:t>4</w:t>
            </w:r>
          </w:p>
        </w:tc>
        <w:tc>
          <w:tcPr>
            <w:tcW w:w="1557" w:type="dxa"/>
          </w:tcPr>
          <w:p w14:paraId="39BFF90D" w14:textId="77777777" w:rsidR="00007F6C" w:rsidRDefault="00007F6C" w:rsidP="005E2F1E">
            <w:r>
              <w:t>12.41</w:t>
            </w:r>
          </w:p>
        </w:tc>
        <w:tc>
          <w:tcPr>
            <w:tcW w:w="1798" w:type="dxa"/>
          </w:tcPr>
          <w:p w14:paraId="14C22E62" w14:textId="77777777" w:rsidR="00007F6C" w:rsidRDefault="00007F6C" w:rsidP="005E2F1E">
            <w:r w:rsidRPr="006460F5">
              <w:t>5.16</w:t>
            </w:r>
          </w:p>
        </w:tc>
        <w:tc>
          <w:tcPr>
            <w:tcW w:w="1753" w:type="dxa"/>
          </w:tcPr>
          <w:p w14:paraId="787A2417" w14:textId="77777777" w:rsidR="00007F6C" w:rsidRDefault="00007F6C" w:rsidP="005E2F1E">
            <w:r>
              <w:t>39.63 (</w:t>
            </w:r>
            <w:r w:rsidRPr="009926D6">
              <w:rPr>
                <w:color w:val="00B050"/>
              </w:rPr>
              <w:t>27.22</w:t>
            </w:r>
            <w:r>
              <w:t>)</w:t>
            </w:r>
          </w:p>
        </w:tc>
      </w:tr>
      <w:tr w:rsidR="00007F6C" w14:paraId="511FAD43" w14:textId="77777777" w:rsidTr="005E2F1E">
        <w:tc>
          <w:tcPr>
            <w:tcW w:w="1694" w:type="dxa"/>
          </w:tcPr>
          <w:p w14:paraId="7E90CF93" w14:textId="77777777" w:rsidR="00007F6C" w:rsidRDefault="00007F6C" w:rsidP="005E2F1E">
            <w:r>
              <w:t>AD NC</w:t>
            </w:r>
          </w:p>
        </w:tc>
        <w:tc>
          <w:tcPr>
            <w:tcW w:w="1134" w:type="dxa"/>
          </w:tcPr>
          <w:p w14:paraId="147846AC" w14:textId="77777777" w:rsidR="00007F6C" w:rsidRDefault="00007F6C" w:rsidP="005E2F1E">
            <w:r>
              <w:t>0.2827</w:t>
            </w:r>
          </w:p>
        </w:tc>
        <w:tc>
          <w:tcPr>
            <w:tcW w:w="1557" w:type="dxa"/>
          </w:tcPr>
          <w:p w14:paraId="653BF4B2" w14:textId="77777777" w:rsidR="00007F6C" w:rsidRDefault="00007F6C" w:rsidP="005E2F1E">
            <w:r>
              <w:t>2.60</w:t>
            </w:r>
          </w:p>
        </w:tc>
        <w:tc>
          <w:tcPr>
            <w:tcW w:w="1557" w:type="dxa"/>
          </w:tcPr>
          <w:p w14:paraId="4827440E" w14:textId="77777777" w:rsidR="00007F6C" w:rsidRDefault="00007F6C" w:rsidP="005E2F1E">
            <w:r>
              <w:t>22.38</w:t>
            </w:r>
          </w:p>
        </w:tc>
        <w:tc>
          <w:tcPr>
            <w:tcW w:w="1798" w:type="dxa"/>
          </w:tcPr>
          <w:p w14:paraId="256A9C70" w14:textId="77777777" w:rsidR="00007F6C" w:rsidRDefault="00007F6C" w:rsidP="005E2F1E">
            <w:r>
              <w:t>4.50</w:t>
            </w:r>
          </w:p>
        </w:tc>
        <w:tc>
          <w:tcPr>
            <w:tcW w:w="1753" w:type="dxa"/>
          </w:tcPr>
          <w:p w14:paraId="060035E1" w14:textId="77777777" w:rsidR="00007F6C" w:rsidRDefault="00007F6C" w:rsidP="005E2F1E">
            <w:r>
              <w:t>36.88 (</w:t>
            </w:r>
            <w:r w:rsidRPr="009926D6">
              <w:rPr>
                <w:color w:val="00B050"/>
              </w:rPr>
              <w:t>14.50</w:t>
            </w:r>
            <w:r>
              <w:t>)</w:t>
            </w:r>
          </w:p>
        </w:tc>
      </w:tr>
    </w:tbl>
    <w:p w14:paraId="4746C9D7" w14:textId="77777777" w:rsidR="00007F6C" w:rsidRDefault="00007F6C" w:rsidP="00007F6C"/>
    <w:p w14:paraId="5DD7F383" w14:textId="77777777" w:rsidR="00007F6C" w:rsidRDefault="00007F6C" w:rsidP="00007F6C">
      <w:pPr>
        <w:pStyle w:val="Heading2"/>
      </w:pPr>
      <w:bookmarkStart w:id="671" w:name="_Toc69129475"/>
      <w:r>
        <w:lastRenderedPageBreak/>
        <w:t xml:space="preserve">5.3.2 Electrochemical performance using electrical impedance </w:t>
      </w:r>
      <w:proofErr w:type="gramStart"/>
      <w:r>
        <w:t>spectroscopy</w:t>
      </w:r>
      <w:bookmarkEnd w:id="671"/>
      <w:proofErr w:type="gramEnd"/>
    </w:p>
    <w:p w14:paraId="40A5CFC5" w14:textId="77777777" w:rsidR="00007F6C" w:rsidRDefault="00007F6C" w:rsidP="00007F6C">
      <w:pPr>
        <w:pStyle w:val="Heading3"/>
      </w:pPr>
      <w:bookmarkStart w:id="672" w:name="_Toc69129476"/>
      <w:r>
        <w:t>Electrochemical Performance Activation Energy Plots</w:t>
      </w:r>
      <w:bookmarkEnd w:id="672"/>
    </w:p>
    <w:p w14:paraId="3420879E" w14:textId="77777777" w:rsidR="00007F6C" w:rsidRDefault="00007F6C" w:rsidP="00007F6C">
      <w:pPr>
        <w:keepNext/>
        <w:jc w:val="center"/>
      </w:pPr>
      <w:r w:rsidRPr="002F6240">
        <w:rPr>
          <w:noProof/>
        </w:rPr>
        <w:drawing>
          <wp:inline distT="0" distB="0" distL="0" distR="0" wp14:anchorId="70973AE1" wp14:editId="51106272">
            <wp:extent cx="4320000" cy="3587368"/>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9">
                      <a:extLst>
                        <a:ext uri="{28A0092B-C50C-407E-A947-70E740481C1C}">
                          <a14:useLocalDpi xmlns:a14="http://schemas.microsoft.com/office/drawing/2010/main" val="0"/>
                        </a:ext>
                      </a:extLst>
                    </a:blip>
                    <a:srcRect l="10550" t="9610" r="11010" b="5105"/>
                    <a:stretch/>
                  </pic:blipFill>
                  <pic:spPr bwMode="auto">
                    <a:xfrm>
                      <a:off x="0" y="0"/>
                      <a:ext cx="4320000" cy="3587368"/>
                    </a:xfrm>
                    <a:prstGeom prst="rect">
                      <a:avLst/>
                    </a:prstGeom>
                    <a:noFill/>
                    <a:ln>
                      <a:noFill/>
                    </a:ln>
                    <a:extLst>
                      <a:ext uri="{53640926-AAD7-44D8-BBD7-CCE9431645EC}">
                        <a14:shadowObscured xmlns:a14="http://schemas.microsoft.com/office/drawing/2010/main"/>
                      </a:ext>
                    </a:extLst>
                  </pic:spPr>
                </pic:pic>
              </a:graphicData>
            </a:graphic>
          </wp:inline>
        </w:drawing>
      </w:r>
    </w:p>
    <w:p w14:paraId="5EFF8413" w14:textId="603A1CF9" w:rsidR="00007F6C" w:rsidRDefault="00007F6C" w:rsidP="00007F6C">
      <w:pPr>
        <w:pStyle w:val="Caption"/>
        <w:jc w:val="both"/>
      </w:pPr>
      <w:bookmarkStart w:id="673" w:name="_Toc69115097"/>
      <w:r>
        <w:t>Figure A</w:t>
      </w:r>
      <w:r w:rsidR="00B51F53">
        <w:fldChar w:fldCharType="begin"/>
      </w:r>
      <w:r w:rsidR="00B51F53">
        <w:instrText xml:space="preserve"> SEQ Figure \* ARABIC </w:instrText>
      </w:r>
      <w:r w:rsidR="00B51F53">
        <w:fldChar w:fldCharType="separate"/>
      </w:r>
      <w:r w:rsidR="0056210C">
        <w:rPr>
          <w:noProof/>
        </w:rPr>
        <w:t>7</w:t>
      </w:r>
      <w:r w:rsidR="00B51F53">
        <w:rPr>
          <w:noProof/>
        </w:rPr>
        <w:fldChar w:fldCharType="end"/>
      </w:r>
      <w:r>
        <w:t>: Arrhenius plot polarisation resistance vs 1000/T for the Ag2 at 400-800</w:t>
      </w:r>
      <w:r w:rsidR="0056210C">
        <w:t xml:space="preserve"> </w:t>
      </w:r>
      <w:r>
        <w:rPr>
          <w:rFonts w:cstheme="minorHAnsi"/>
        </w:rPr>
        <w:t>⁰</w:t>
      </w:r>
      <w:r>
        <w:t>C</w:t>
      </w:r>
      <w:bookmarkEnd w:id="673"/>
    </w:p>
    <w:p w14:paraId="0B7AB847" w14:textId="77777777" w:rsidR="00007F6C" w:rsidRDefault="00007F6C" w:rsidP="00007F6C">
      <w:pPr>
        <w:pStyle w:val="Caption"/>
        <w:jc w:val="both"/>
      </w:pPr>
    </w:p>
    <w:p w14:paraId="7DFC3A6E" w14:textId="77777777" w:rsidR="00007F6C" w:rsidRDefault="00007F6C" w:rsidP="00007F6C">
      <w:pPr>
        <w:keepNext/>
        <w:jc w:val="center"/>
      </w:pPr>
      <w:r w:rsidRPr="002F6240">
        <w:rPr>
          <w:noProof/>
        </w:rPr>
        <w:drawing>
          <wp:inline distT="0" distB="0" distL="0" distR="0" wp14:anchorId="3BD6A066" wp14:editId="414EF296">
            <wp:extent cx="4320000" cy="3587368"/>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0">
                      <a:extLst>
                        <a:ext uri="{28A0092B-C50C-407E-A947-70E740481C1C}">
                          <a14:useLocalDpi xmlns:a14="http://schemas.microsoft.com/office/drawing/2010/main" val="0"/>
                        </a:ext>
                      </a:extLst>
                    </a:blip>
                    <a:srcRect l="10321" t="9910" r="11239" b="4805"/>
                    <a:stretch/>
                  </pic:blipFill>
                  <pic:spPr bwMode="auto">
                    <a:xfrm>
                      <a:off x="0" y="0"/>
                      <a:ext cx="4320000" cy="3587368"/>
                    </a:xfrm>
                    <a:prstGeom prst="rect">
                      <a:avLst/>
                    </a:prstGeom>
                    <a:noFill/>
                    <a:ln>
                      <a:noFill/>
                    </a:ln>
                    <a:extLst>
                      <a:ext uri="{53640926-AAD7-44D8-BBD7-CCE9431645EC}">
                        <a14:shadowObscured xmlns:a14="http://schemas.microsoft.com/office/drawing/2010/main"/>
                      </a:ext>
                    </a:extLst>
                  </pic:spPr>
                </pic:pic>
              </a:graphicData>
            </a:graphic>
          </wp:inline>
        </w:drawing>
      </w:r>
    </w:p>
    <w:p w14:paraId="505A8878" w14:textId="5552C30F" w:rsidR="00007F6C" w:rsidRPr="002F6240" w:rsidRDefault="00007F6C" w:rsidP="00007F6C">
      <w:pPr>
        <w:pStyle w:val="Caption"/>
        <w:jc w:val="both"/>
      </w:pPr>
      <w:bookmarkStart w:id="674" w:name="_Ref46231727"/>
      <w:bookmarkStart w:id="675" w:name="_Toc69115098"/>
      <w:r>
        <w:t>Figure A</w:t>
      </w:r>
      <w:r w:rsidR="00B51F53">
        <w:fldChar w:fldCharType="begin"/>
      </w:r>
      <w:r w:rsidR="00B51F53">
        <w:instrText xml:space="preserve"> SEQ Figure \* ARABIC </w:instrText>
      </w:r>
      <w:r w:rsidR="00B51F53">
        <w:fldChar w:fldCharType="separate"/>
      </w:r>
      <w:r w:rsidR="0056210C">
        <w:rPr>
          <w:noProof/>
        </w:rPr>
        <w:t>8</w:t>
      </w:r>
      <w:r w:rsidR="00B51F53">
        <w:rPr>
          <w:noProof/>
        </w:rPr>
        <w:fldChar w:fldCharType="end"/>
      </w:r>
      <w:bookmarkEnd w:id="674"/>
      <w:r>
        <w:t>: Arrhenius plot polarisation resistance vs 1000/T for the Ag3 at 400-800</w:t>
      </w:r>
      <w:r w:rsidR="0056210C">
        <w:t xml:space="preserve"> </w:t>
      </w:r>
      <w:r>
        <w:rPr>
          <w:rFonts w:cstheme="minorHAnsi"/>
        </w:rPr>
        <w:t>⁰</w:t>
      </w:r>
      <w:r>
        <w:t>C</w:t>
      </w:r>
      <w:bookmarkEnd w:id="675"/>
    </w:p>
    <w:p w14:paraId="3C323CD5" w14:textId="77777777" w:rsidR="00007F6C" w:rsidRDefault="00007F6C" w:rsidP="00007F6C"/>
    <w:p w14:paraId="6E549E07" w14:textId="77777777" w:rsidR="00007F6C" w:rsidRDefault="00007F6C" w:rsidP="00007F6C"/>
    <w:p w14:paraId="3F3F6CE7" w14:textId="77777777" w:rsidR="00007F6C" w:rsidRDefault="00007F6C" w:rsidP="00007F6C">
      <w:pPr>
        <w:pStyle w:val="Heading2"/>
      </w:pPr>
      <w:bookmarkStart w:id="676" w:name="_Toc69129477"/>
      <w:r>
        <w:lastRenderedPageBreak/>
        <w:t>6.3.2 Focussed Ion Beam Scanning Electron Microscopy</w:t>
      </w:r>
      <w:bookmarkEnd w:id="676"/>
    </w:p>
    <w:p w14:paraId="7F41A538" w14:textId="77777777" w:rsidR="00007F6C" w:rsidRDefault="00007F6C" w:rsidP="00007F6C">
      <w:pPr>
        <w:pStyle w:val="Heading3"/>
      </w:pPr>
      <w:bookmarkStart w:id="677" w:name="_Toc69129478"/>
      <w:r>
        <w:t>Back-scattered electron micrographs of infiltrated Ni-YSZ samples</w:t>
      </w:r>
      <w:bookmarkEnd w:id="677"/>
    </w:p>
    <w:p w14:paraId="146C443E" w14:textId="77777777" w:rsidR="00007F6C" w:rsidRDefault="00007F6C" w:rsidP="00007F6C">
      <w:pPr>
        <w:keepNext/>
        <w:jc w:val="both"/>
      </w:pPr>
      <w:r>
        <w:rPr>
          <w:noProof/>
        </w:rPr>
        <w:drawing>
          <wp:inline distT="0" distB="0" distL="0" distR="0" wp14:anchorId="73110619" wp14:editId="6F23F06E">
            <wp:extent cx="5731510" cy="2306955"/>
            <wp:effectExtent l="0" t="0" r="2540" b="0"/>
            <wp:docPr id="434" name="Picture 434" descr="A large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large field&#10;&#10;Description automatically generated"/>
                    <pic:cNvPicPr/>
                  </pic:nvPicPr>
                  <pic:blipFill>
                    <a:blip r:embed="rId221">
                      <a:extLst>
                        <a:ext uri="{28A0092B-C50C-407E-A947-70E740481C1C}">
                          <a14:useLocalDpi xmlns:a14="http://schemas.microsoft.com/office/drawing/2010/main" val="0"/>
                        </a:ext>
                      </a:extLst>
                    </a:blip>
                    <a:stretch>
                      <a:fillRect/>
                    </a:stretch>
                  </pic:blipFill>
                  <pic:spPr>
                    <a:xfrm>
                      <a:off x="0" y="0"/>
                      <a:ext cx="5731510" cy="2306955"/>
                    </a:xfrm>
                    <a:prstGeom prst="rect">
                      <a:avLst/>
                    </a:prstGeom>
                  </pic:spPr>
                </pic:pic>
              </a:graphicData>
            </a:graphic>
          </wp:inline>
        </w:drawing>
      </w:r>
    </w:p>
    <w:p w14:paraId="1882AB69" w14:textId="794ED947" w:rsidR="00007F6C" w:rsidRPr="006B024F" w:rsidRDefault="00007F6C" w:rsidP="00007F6C">
      <w:pPr>
        <w:pStyle w:val="Caption"/>
        <w:jc w:val="both"/>
      </w:pPr>
      <w:bookmarkStart w:id="678" w:name="_Toc69115099"/>
      <w:r>
        <w:t>Figure A</w:t>
      </w:r>
      <w:r w:rsidR="00B51F53">
        <w:fldChar w:fldCharType="begin"/>
      </w:r>
      <w:r w:rsidR="00B51F53">
        <w:instrText xml:space="preserve"> SEQ Figure \* ARABIC </w:instrText>
      </w:r>
      <w:r w:rsidR="00B51F53">
        <w:fldChar w:fldCharType="separate"/>
      </w:r>
      <w:r w:rsidR="0056210C">
        <w:rPr>
          <w:noProof/>
        </w:rPr>
        <w:t>9</w:t>
      </w:r>
      <w:r w:rsidR="00B51F53">
        <w:rPr>
          <w:noProof/>
        </w:rPr>
        <w:fldChar w:fldCharType="end"/>
      </w:r>
      <w:r>
        <w:t xml:space="preserve">: Back-scattered electron micrograph of the 0 h aged air-dried infiltrated Ni-YSZ fuel electrode sample at 25000x magnification. The white region corresponds to the element with the highest atomic number (Pt). The region measures 20 </w:t>
      </w:r>
      <w:r>
        <w:rPr>
          <w:rFonts w:cstheme="minorHAnsi"/>
        </w:rPr>
        <w:t>µ</w:t>
      </w:r>
      <w:r>
        <w:t xml:space="preserve">m x 10 </w:t>
      </w:r>
      <w:r>
        <w:rPr>
          <w:rFonts w:cstheme="minorHAnsi"/>
        </w:rPr>
        <w:t>µ</w:t>
      </w:r>
      <w:r>
        <w:t>m, respectively.</w:t>
      </w:r>
      <w:bookmarkEnd w:id="678"/>
    </w:p>
    <w:p w14:paraId="67F6870D" w14:textId="77777777" w:rsidR="00007F6C" w:rsidRDefault="00007F6C" w:rsidP="00007F6C">
      <w:pPr>
        <w:keepNext/>
        <w:jc w:val="both"/>
      </w:pPr>
      <w:r>
        <w:rPr>
          <w:noProof/>
        </w:rPr>
        <w:drawing>
          <wp:inline distT="0" distB="0" distL="0" distR="0" wp14:anchorId="50CB95D5" wp14:editId="2D3FFF8C">
            <wp:extent cx="5731510" cy="2726055"/>
            <wp:effectExtent l="0" t="0" r="2540" b="0"/>
            <wp:docPr id="435" name="Picture 435" descr="A picture containing rock, outdoor, photo,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rock, outdoor, photo, old&#10;&#10;Description automatically generated"/>
                    <pic:cNvPicPr/>
                  </pic:nvPicPr>
                  <pic:blipFill>
                    <a:blip r:embed="rId222">
                      <a:extLst>
                        <a:ext uri="{28A0092B-C50C-407E-A947-70E740481C1C}">
                          <a14:useLocalDpi xmlns:a14="http://schemas.microsoft.com/office/drawing/2010/main" val="0"/>
                        </a:ext>
                      </a:extLst>
                    </a:blip>
                    <a:stretch>
                      <a:fillRect/>
                    </a:stretch>
                  </pic:blipFill>
                  <pic:spPr>
                    <a:xfrm>
                      <a:off x="0" y="0"/>
                      <a:ext cx="5731510" cy="2726055"/>
                    </a:xfrm>
                    <a:prstGeom prst="rect">
                      <a:avLst/>
                    </a:prstGeom>
                  </pic:spPr>
                </pic:pic>
              </a:graphicData>
            </a:graphic>
          </wp:inline>
        </w:drawing>
      </w:r>
    </w:p>
    <w:p w14:paraId="77A7E87E" w14:textId="100A0014" w:rsidR="00007F6C" w:rsidRDefault="00007F6C" w:rsidP="00007F6C">
      <w:pPr>
        <w:pStyle w:val="Caption"/>
        <w:jc w:val="both"/>
      </w:pPr>
      <w:bookmarkStart w:id="679" w:name="_Toc69115100"/>
      <w:r>
        <w:t>Figure A</w:t>
      </w:r>
      <w:r w:rsidR="00B51F53">
        <w:fldChar w:fldCharType="begin"/>
      </w:r>
      <w:r w:rsidR="00B51F53">
        <w:instrText xml:space="preserve"> SEQ Figure \* ARABIC </w:instrText>
      </w:r>
      <w:r w:rsidR="00B51F53">
        <w:fldChar w:fldCharType="separate"/>
      </w:r>
      <w:r w:rsidR="0056210C">
        <w:rPr>
          <w:noProof/>
        </w:rPr>
        <w:t>10</w:t>
      </w:r>
      <w:r w:rsidR="00B51F53">
        <w:rPr>
          <w:noProof/>
        </w:rPr>
        <w:fldChar w:fldCharType="end"/>
      </w:r>
      <w:r>
        <w:t xml:space="preserve">: Back-scattered electron micrograph of the 0 h aged nitrogen-dried infiltrated Ni-YSZ fuel electrode sample at 25000x magnification. The white region corresponds to the element with the highest atomic number (Pt). The region measures 20 </w:t>
      </w:r>
      <w:r>
        <w:rPr>
          <w:rFonts w:cstheme="minorHAnsi"/>
        </w:rPr>
        <w:t>µ</w:t>
      </w:r>
      <w:r>
        <w:t xml:space="preserve">m x 10 </w:t>
      </w:r>
      <w:r>
        <w:rPr>
          <w:rFonts w:cstheme="minorHAnsi"/>
        </w:rPr>
        <w:t>µ</w:t>
      </w:r>
      <w:r>
        <w:t>m, respectively.</w:t>
      </w:r>
      <w:bookmarkEnd w:id="679"/>
    </w:p>
    <w:p w14:paraId="7F8F23C1" w14:textId="77777777" w:rsidR="00007F6C" w:rsidRDefault="00007F6C" w:rsidP="00007F6C">
      <w:r>
        <w:br w:type="page"/>
      </w:r>
    </w:p>
    <w:p w14:paraId="315B983A" w14:textId="77777777" w:rsidR="00007F6C" w:rsidRDefault="00007F6C" w:rsidP="00007F6C">
      <w:pPr>
        <w:pStyle w:val="Heading2"/>
      </w:pPr>
      <w:bookmarkStart w:id="680" w:name="_Toc69129479"/>
      <w:r>
        <w:lastRenderedPageBreak/>
        <w:t>6.3.4 Attenuation coefficient ratio of Ni-YSZ fuel electrodes at 20 keV</w:t>
      </w:r>
      <w:bookmarkEnd w:id="680"/>
    </w:p>
    <w:p w14:paraId="21EBBF51" w14:textId="78C663B9" w:rsidR="00007F6C" w:rsidRDefault="00007F6C" w:rsidP="0056210C">
      <w:pPr>
        <w:pStyle w:val="Caption"/>
        <w:keepNext/>
        <w:spacing w:after="240"/>
      </w:pPr>
      <w:r>
        <w:t>Table A</w:t>
      </w:r>
      <w:r w:rsidR="00B51F53">
        <w:fldChar w:fldCharType="begin"/>
      </w:r>
      <w:r w:rsidR="00B51F53">
        <w:instrText xml:space="preserve"> SEQ Table \* ARABIC </w:instrText>
      </w:r>
      <w:r w:rsidR="00B51F53">
        <w:fldChar w:fldCharType="separate"/>
      </w:r>
      <w:r w:rsidR="0056210C">
        <w:rPr>
          <w:noProof/>
        </w:rPr>
        <w:t>5</w:t>
      </w:r>
      <w:r w:rsidR="00B51F53">
        <w:rPr>
          <w:noProof/>
        </w:rPr>
        <w:fldChar w:fldCharType="end"/>
      </w:r>
      <w:r>
        <w:t xml:space="preserve">: Table calculating the electrode attenuation coefficients for a beam energy of 20 keV </w:t>
      </w:r>
      <w:r>
        <w:fldChar w:fldCharType="begin" w:fldLock="1"/>
      </w:r>
      <w:r w:rsidR="00EC62EF">
        <w:instrText>ADDIN CSL_CITATION {"citationItems":[{"id":"ITEM-1","itemData":{"DOI":"10.18434/t4d01f","abstract":"Tables and graphs of the photon mass attenuation coefficient μ/ρ and the mass energy-absorption coefficient μen/ρ are presented for all of the elements Z = 1 to 92, and for 48 compounds and mixtures of radiological interest. The tables cover energies of the photon (x-ray, gamma ray, bremsstrahlung) from 1 keV to 20 MeV. The μ/ρ values are taken from the current photon interaction database at the National Institute of Standards and Technology, and the μen/ρ values are based on the new calculations by Seltzer described in Radiation Research 136, 147 (1993). These tables of μ/ρ and μen/ρ replace and extend the tables given by Hubbell in the International Journal of Applied Radiation and Isotopes 33, 1269 (1982).","author":[{"dropping-particle":"","family":"Seltzer","given":"Stephen","non-dropping-particle":"","parse-names":false,"suffix":""}],"container-title":"NIST Standard Reference Database 126","id":"ITEM-1","issued":{"date-parts":[["1996"]]},"title":"Tables of X-Ray Mass Attenuation Coefficients and Mass Energy-Absorption Coefficients, NIST Standard Reference Database 126","type":"article-journal"},"uris":["http://www.mendeley.com/documents/?uuid=9c035abc-9431-4234-b17f-af36642ee992"]},{"id":"ITEM-2","itemData":{"DOI":"10.1088/1742-6596/849/1/012017","abstract":"Abstract. X-ray nano CT has been vastly applied to study the microstructure of solid oxide\r\nfuel cell (SOFC) electrodes. One widely accepted indicator of electrochemical performance is\r\nthe triple phase boundary (TPB): a location where the three materials responsible for ionic,\r\nelectronic and gas-phase reactant transport are in contact. X-ray absorption tomography has\r\nbeen used extensively in the characterisation of these TPBs, utilising the different attenuation\r\nproperties of the constituent materials. Here we present a quantitative comparison of the\r\nattenuation properties for elements commonly employed in solid oxide fuel cell materials. ","author":[{"dropping-particle":"","family":"Heenan","given":"T.M.M.","non-dropping-particle":"","parse-names":false,"suffix":""},{"dropping-particle":"","family":"Brett","given":"D.J.L","non-dropping-particle":"","parse-names":false,"suffix":""},{"dropping-particle":"","family":"Shearing","given":"P.R.","non-dropping-particle":"","parse-names":false,"suffix":""}],"container-title":"Journal of Physics: Conference Series","id":"ITEM-2","issued":{"date-parts":[["2017"]]},"title":"X-ray attenuation properties of commonly employed solid oxide fuel cell materials","type":"article-journal","volume":"849"},"uris":["http://www.mendeley.com/documents/?uuid=c28b36d9-4fcf-3cad-8d17-9699cc5bb785"]}],"mendeley":{"formattedCitation":"[365], [490]","plainTextFormattedCitation":"[365], [490]","previouslyFormattedCitation":"[365], [490]"},"properties":{"noteIndex":0},"schema":"https://github.com/citation-style-language/schema/raw/master/csl-citation.json"}</w:instrText>
      </w:r>
      <w:r>
        <w:fldChar w:fldCharType="separate"/>
      </w:r>
      <w:r w:rsidR="008446C6" w:rsidRPr="008446C6">
        <w:rPr>
          <w:i w:val="0"/>
          <w:noProof/>
        </w:rPr>
        <w:t>[365], [490]</w:t>
      </w:r>
      <w:r>
        <w:fldChar w:fldCharType="end"/>
      </w:r>
    </w:p>
    <w:tbl>
      <w:tblPr>
        <w:tblStyle w:val="TableGrid"/>
        <w:tblW w:w="5000" w:type="pct"/>
        <w:tblLook w:val="04A0" w:firstRow="1" w:lastRow="0" w:firstColumn="1" w:lastColumn="0" w:noHBand="0" w:noVBand="1"/>
      </w:tblPr>
      <w:tblGrid>
        <w:gridCol w:w="2036"/>
        <w:gridCol w:w="1553"/>
        <w:gridCol w:w="2593"/>
        <w:gridCol w:w="1260"/>
        <w:gridCol w:w="1574"/>
      </w:tblGrid>
      <w:tr w:rsidR="00007F6C" w14:paraId="68ABA9C9" w14:textId="77777777" w:rsidTr="005E2F1E">
        <w:tc>
          <w:tcPr>
            <w:tcW w:w="1129" w:type="pct"/>
          </w:tcPr>
          <w:p w14:paraId="6C173C86" w14:textId="77777777" w:rsidR="00007F6C" w:rsidRPr="00323907" w:rsidRDefault="00007F6C" w:rsidP="005E2F1E">
            <w:pPr>
              <w:jc w:val="both"/>
              <w:rPr>
                <w:b/>
                <w:bCs/>
              </w:rPr>
            </w:pPr>
            <w:r w:rsidRPr="00323907">
              <w:rPr>
                <w:b/>
                <w:bCs/>
              </w:rPr>
              <w:t>Element</w:t>
            </w:r>
          </w:p>
        </w:tc>
        <w:tc>
          <w:tcPr>
            <w:tcW w:w="861" w:type="pct"/>
          </w:tcPr>
          <w:p w14:paraId="5279C010" w14:textId="77777777" w:rsidR="00007F6C" w:rsidRPr="00323907" w:rsidRDefault="00007F6C" w:rsidP="005E2F1E">
            <w:pPr>
              <w:jc w:val="both"/>
              <w:rPr>
                <w:b/>
                <w:bCs/>
              </w:rPr>
            </w:pPr>
            <w:r w:rsidRPr="00323907">
              <w:rPr>
                <w:b/>
                <w:bCs/>
              </w:rPr>
              <w:t>Ni</w:t>
            </w:r>
          </w:p>
        </w:tc>
        <w:tc>
          <w:tcPr>
            <w:tcW w:w="1438" w:type="pct"/>
          </w:tcPr>
          <w:p w14:paraId="23CA087F" w14:textId="77777777" w:rsidR="00007F6C" w:rsidRPr="00323907" w:rsidRDefault="00007F6C" w:rsidP="005E2F1E">
            <w:pPr>
              <w:jc w:val="both"/>
              <w:rPr>
                <w:b/>
                <w:bCs/>
              </w:rPr>
            </w:pPr>
            <w:r w:rsidRPr="00323907">
              <w:rPr>
                <w:b/>
                <w:bCs/>
              </w:rPr>
              <w:t>Zr</w:t>
            </w:r>
          </w:p>
        </w:tc>
        <w:tc>
          <w:tcPr>
            <w:tcW w:w="699" w:type="pct"/>
          </w:tcPr>
          <w:p w14:paraId="18B4AC15" w14:textId="77777777" w:rsidR="00007F6C" w:rsidRPr="00323907" w:rsidRDefault="00007F6C" w:rsidP="005E2F1E">
            <w:pPr>
              <w:jc w:val="both"/>
              <w:rPr>
                <w:b/>
                <w:bCs/>
              </w:rPr>
            </w:pPr>
            <w:r w:rsidRPr="00323907">
              <w:rPr>
                <w:b/>
                <w:bCs/>
              </w:rPr>
              <w:t>Y</w:t>
            </w:r>
          </w:p>
        </w:tc>
        <w:tc>
          <w:tcPr>
            <w:tcW w:w="873" w:type="pct"/>
          </w:tcPr>
          <w:p w14:paraId="663A6117" w14:textId="77777777" w:rsidR="00007F6C" w:rsidRPr="00323907" w:rsidRDefault="00007F6C" w:rsidP="005E2F1E">
            <w:pPr>
              <w:jc w:val="both"/>
              <w:rPr>
                <w:b/>
                <w:bCs/>
              </w:rPr>
            </w:pPr>
            <w:r w:rsidRPr="00323907">
              <w:rPr>
                <w:b/>
                <w:bCs/>
              </w:rPr>
              <w:t>O</w:t>
            </w:r>
          </w:p>
        </w:tc>
      </w:tr>
      <w:tr w:rsidR="00007F6C" w14:paraId="2A835755" w14:textId="77777777" w:rsidTr="005E2F1E">
        <w:tc>
          <w:tcPr>
            <w:tcW w:w="1129" w:type="pct"/>
          </w:tcPr>
          <w:p w14:paraId="1C9D7C95" w14:textId="77777777" w:rsidR="00007F6C" w:rsidRDefault="00007F6C" w:rsidP="005E2F1E">
            <w:pPr>
              <w:jc w:val="both"/>
              <w:rPr>
                <w:b/>
                <w:bCs/>
                <w:vertAlign w:val="subscript"/>
              </w:rPr>
            </w:pPr>
            <w:r w:rsidRPr="00323907">
              <w:rPr>
                <w:b/>
                <w:bCs/>
              </w:rPr>
              <w:t xml:space="preserve">Mass attenuation coefficient, </w:t>
            </w:r>
            <w:r w:rsidRPr="00323907">
              <w:rPr>
                <w:rFonts w:cstheme="minorHAnsi"/>
                <w:b/>
                <w:bCs/>
              </w:rPr>
              <w:t>µ</w:t>
            </w:r>
            <w:r w:rsidRPr="00323907">
              <w:rPr>
                <w:b/>
                <w:bCs/>
                <w:vertAlign w:val="subscript"/>
              </w:rPr>
              <w:t>m</w:t>
            </w:r>
          </w:p>
          <w:p w14:paraId="60C11D92" w14:textId="147FE3C0" w:rsidR="00007F6C" w:rsidRPr="00323907" w:rsidRDefault="00007F6C" w:rsidP="005E2F1E">
            <w:pPr>
              <w:jc w:val="both"/>
              <w:rPr>
                <w:b/>
                <w:bCs/>
              </w:rPr>
            </w:pPr>
            <w:r w:rsidRPr="00323907">
              <w:rPr>
                <w:b/>
                <w:bCs/>
              </w:rPr>
              <w:t>[</w:t>
            </w:r>
            <w:r>
              <w:rPr>
                <w:b/>
                <w:bCs/>
              </w:rPr>
              <w:t>cm</w:t>
            </w:r>
            <w:r>
              <w:rPr>
                <w:b/>
                <w:bCs/>
                <w:vertAlign w:val="superscript"/>
              </w:rPr>
              <w:t>2</w:t>
            </w:r>
            <w:r>
              <w:rPr>
                <w:b/>
                <w:bCs/>
              </w:rPr>
              <w:t>/g</w:t>
            </w:r>
            <w:r w:rsidRPr="00323907">
              <w:rPr>
                <w:b/>
                <w:bCs/>
              </w:rPr>
              <w:t>]</w:t>
            </w:r>
            <w:r>
              <w:rPr>
                <w:b/>
                <w:bCs/>
              </w:rPr>
              <w:t xml:space="preserve"> </w:t>
            </w:r>
            <w:r>
              <w:rPr>
                <w:b/>
                <w:bCs/>
              </w:rPr>
              <w:fldChar w:fldCharType="begin" w:fldLock="1"/>
            </w:r>
            <w:r w:rsidR="00D80A5D">
              <w:rPr>
                <w:b/>
                <w:bCs/>
              </w:rPr>
              <w:instrText>ADDIN CSL_CITATION {"citationItems":[{"id":"ITEM-1","itemData":{"DOI":"10.18434/t4d01f","abstract":"Tables and graphs of the photon mass attenuation coefficient μ/ρ and the mass energy-absorption coefficient μen/ρ are presented for all of the elements Z = 1 to 92, and for 48 compounds and mixtures of radiological interest. The tables cover energies of the photon (x-ray, gamma ray, bremsstrahlung) from 1 keV to 20 MeV. The μ/ρ values are taken from the current photon interaction database at the National Institute of Standards and Technology, and the μen/ρ values are based on the new calculations by Seltzer described in Radiation Research 136, 147 (1993). These tables of μ/ρ and μen/ρ replace and extend the tables given by Hubbell in the International Journal of Applied Radiation and Isotopes 33, 1269 (1982).","author":[{"dropping-particle":"","family":"Seltzer","given":"Stephen","non-dropping-particle":"","parse-names":false,"suffix":""}],"container-title":"NIST Standard Reference Database 126","id":"ITEM-1","issued":{"date-parts":[["1996"]]},"title":"Tables of X-Ray Mass Attenuation Coefficients and Mass Energy-Absorption Coefficients, NIST Standard Reference Database 126","type":"article-journal"},"uris":["http://www.mendeley.com/documents/?uuid=9c035abc-9431-4234-b17f-af36642ee992"]}],"mendeley":{"formattedCitation":"[365]","plainTextFormattedCitation":"[365]","previouslyFormattedCitation":"[365]"},"properties":{"noteIndex":0},"schema":"https://github.com/citation-style-language/schema/raw/master/csl-citation.json"}</w:instrText>
            </w:r>
            <w:r>
              <w:rPr>
                <w:b/>
                <w:bCs/>
              </w:rPr>
              <w:fldChar w:fldCharType="separate"/>
            </w:r>
            <w:r w:rsidR="006C586A" w:rsidRPr="006C586A">
              <w:rPr>
                <w:bCs/>
                <w:noProof/>
              </w:rPr>
              <w:t>[365]</w:t>
            </w:r>
            <w:r>
              <w:rPr>
                <w:b/>
                <w:bCs/>
              </w:rPr>
              <w:fldChar w:fldCharType="end"/>
            </w:r>
          </w:p>
          <w:p w14:paraId="6B9841C7" w14:textId="77777777" w:rsidR="00007F6C" w:rsidRPr="00323907" w:rsidRDefault="00007F6C" w:rsidP="005E2F1E">
            <w:pPr>
              <w:jc w:val="both"/>
              <w:rPr>
                <w:b/>
                <w:bCs/>
              </w:rPr>
            </w:pPr>
          </w:p>
        </w:tc>
        <w:tc>
          <w:tcPr>
            <w:tcW w:w="861" w:type="pct"/>
          </w:tcPr>
          <w:p w14:paraId="4B206408" w14:textId="77777777" w:rsidR="00007F6C" w:rsidRDefault="00007F6C" w:rsidP="005E2F1E">
            <w:pPr>
              <w:jc w:val="right"/>
            </w:pPr>
            <w:r>
              <w:t>2050</w:t>
            </w:r>
          </w:p>
        </w:tc>
        <w:tc>
          <w:tcPr>
            <w:tcW w:w="1438" w:type="pct"/>
          </w:tcPr>
          <w:p w14:paraId="34AA60BF" w14:textId="77777777" w:rsidR="00007F6C" w:rsidRDefault="00007F6C" w:rsidP="005E2F1E">
            <w:pPr>
              <w:jc w:val="right"/>
            </w:pPr>
            <w:r>
              <w:t>742</w:t>
            </w:r>
          </w:p>
        </w:tc>
        <w:tc>
          <w:tcPr>
            <w:tcW w:w="699" w:type="pct"/>
          </w:tcPr>
          <w:p w14:paraId="074E5110" w14:textId="77777777" w:rsidR="00007F6C" w:rsidRDefault="00007F6C" w:rsidP="005E2F1E">
            <w:pPr>
              <w:jc w:val="right"/>
            </w:pPr>
            <w:r w:rsidRPr="00C243F9">
              <w:t>8</w:t>
            </w:r>
            <w:r>
              <w:t>12</w:t>
            </w:r>
          </w:p>
        </w:tc>
        <w:tc>
          <w:tcPr>
            <w:tcW w:w="873" w:type="pct"/>
          </w:tcPr>
          <w:p w14:paraId="628885D6" w14:textId="77777777" w:rsidR="00007F6C" w:rsidRDefault="00007F6C" w:rsidP="005E2F1E">
            <w:pPr>
              <w:jc w:val="right"/>
            </w:pPr>
            <w:r w:rsidRPr="00C243F9">
              <w:t>695</w:t>
            </w:r>
          </w:p>
        </w:tc>
      </w:tr>
      <w:tr w:rsidR="00007F6C" w14:paraId="3B7C63D4" w14:textId="77777777" w:rsidTr="005E2F1E">
        <w:tc>
          <w:tcPr>
            <w:tcW w:w="1129" w:type="pct"/>
          </w:tcPr>
          <w:p w14:paraId="0BBA23A3" w14:textId="77777777" w:rsidR="00007F6C" w:rsidRPr="00323907" w:rsidRDefault="00007F6C" w:rsidP="005E2F1E">
            <w:pPr>
              <w:jc w:val="both"/>
              <w:rPr>
                <w:b/>
                <w:bCs/>
              </w:rPr>
            </w:pPr>
            <w:r>
              <w:rPr>
                <w:b/>
                <w:bCs/>
              </w:rPr>
              <w:t>Electrode phase</w:t>
            </w:r>
          </w:p>
        </w:tc>
        <w:tc>
          <w:tcPr>
            <w:tcW w:w="861" w:type="pct"/>
          </w:tcPr>
          <w:p w14:paraId="7EF5C9D3" w14:textId="77777777" w:rsidR="00007F6C" w:rsidRPr="00323907" w:rsidRDefault="00007F6C" w:rsidP="005E2F1E">
            <w:pPr>
              <w:jc w:val="both"/>
              <w:rPr>
                <w:b/>
                <w:bCs/>
              </w:rPr>
            </w:pPr>
            <w:proofErr w:type="gramStart"/>
            <w:r w:rsidRPr="00323907">
              <w:rPr>
                <w:b/>
                <w:bCs/>
              </w:rPr>
              <w:t>Nickel</w:t>
            </w:r>
            <w:r>
              <w:rPr>
                <w:b/>
                <w:bCs/>
              </w:rPr>
              <w:t xml:space="preserve">  (</w:t>
            </w:r>
            <w:proofErr w:type="gramEnd"/>
            <w:r>
              <w:rPr>
                <w:b/>
                <w:bCs/>
              </w:rPr>
              <w:t>20%)</w:t>
            </w:r>
          </w:p>
        </w:tc>
        <w:tc>
          <w:tcPr>
            <w:tcW w:w="1438" w:type="pct"/>
          </w:tcPr>
          <w:p w14:paraId="364CAAE6" w14:textId="77777777" w:rsidR="00007F6C" w:rsidRPr="00174104" w:rsidRDefault="00007F6C" w:rsidP="005E2F1E">
            <w:pPr>
              <w:jc w:val="both"/>
            </w:pPr>
            <w:r w:rsidRPr="00512137">
              <w:rPr>
                <w:b/>
                <w:bCs/>
              </w:rPr>
              <w:t>(Y</w:t>
            </w:r>
            <w:r w:rsidRPr="00512137">
              <w:rPr>
                <w:b/>
                <w:bCs/>
                <w:vertAlign w:val="subscript"/>
              </w:rPr>
              <w:t>2</w:t>
            </w:r>
            <w:r w:rsidRPr="00512137">
              <w:rPr>
                <w:b/>
                <w:bCs/>
              </w:rPr>
              <w:t>O</w:t>
            </w:r>
            <w:r w:rsidRPr="00512137">
              <w:rPr>
                <w:b/>
                <w:bCs/>
                <w:vertAlign w:val="subscript"/>
              </w:rPr>
              <w:t>3</w:t>
            </w:r>
            <w:r w:rsidRPr="00512137">
              <w:rPr>
                <w:b/>
                <w:bCs/>
              </w:rPr>
              <w:t>)</w:t>
            </w:r>
            <w:r w:rsidRPr="00512137">
              <w:rPr>
                <w:b/>
                <w:bCs/>
                <w:vertAlign w:val="subscript"/>
              </w:rPr>
              <w:t>0.08</w:t>
            </w:r>
            <w:r w:rsidRPr="00512137">
              <w:rPr>
                <w:b/>
                <w:bCs/>
              </w:rPr>
              <w:t>(ZrO</w:t>
            </w:r>
            <w:r w:rsidRPr="00512137">
              <w:rPr>
                <w:b/>
                <w:bCs/>
                <w:vertAlign w:val="subscript"/>
              </w:rPr>
              <w:t>2</w:t>
            </w:r>
            <w:r w:rsidRPr="00512137">
              <w:rPr>
                <w:b/>
                <w:bCs/>
              </w:rPr>
              <w:t>)</w:t>
            </w:r>
            <w:r w:rsidRPr="00512137">
              <w:rPr>
                <w:b/>
                <w:bCs/>
                <w:vertAlign w:val="subscript"/>
              </w:rPr>
              <w:t>0.92</w:t>
            </w:r>
            <w:r>
              <w:rPr>
                <w:b/>
                <w:bCs/>
              </w:rPr>
              <w:t xml:space="preserve"> (65%)</w:t>
            </w:r>
          </w:p>
        </w:tc>
        <w:tc>
          <w:tcPr>
            <w:tcW w:w="699" w:type="pct"/>
          </w:tcPr>
          <w:p w14:paraId="36450E26" w14:textId="77777777" w:rsidR="00007F6C" w:rsidRPr="00174104" w:rsidRDefault="00007F6C" w:rsidP="005E2F1E">
            <w:pPr>
              <w:jc w:val="both"/>
              <w:rPr>
                <w:b/>
                <w:bCs/>
              </w:rPr>
            </w:pPr>
            <w:r>
              <w:rPr>
                <w:b/>
                <w:bCs/>
              </w:rPr>
              <w:t>Air (15%)</w:t>
            </w:r>
          </w:p>
        </w:tc>
        <w:tc>
          <w:tcPr>
            <w:tcW w:w="873" w:type="pct"/>
          </w:tcPr>
          <w:p w14:paraId="123CA46B" w14:textId="77777777" w:rsidR="00007F6C" w:rsidRPr="00174104" w:rsidRDefault="00007F6C" w:rsidP="005E2F1E">
            <w:pPr>
              <w:jc w:val="both"/>
              <w:rPr>
                <w:b/>
                <w:bCs/>
              </w:rPr>
            </w:pPr>
            <w:r w:rsidRPr="00174104">
              <w:rPr>
                <w:b/>
                <w:bCs/>
              </w:rPr>
              <w:t>ACR</w:t>
            </w:r>
            <w:r>
              <w:rPr>
                <w:b/>
                <w:bCs/>
              </w:rPr>
              <w:t xml:space="preserve"> </w:t>
            </w:r>
            <w:r w:rsidRPr="00174104">
              <w:t>[unitless]</w:t>
            </w:r>
          </w:p>
        </w:tc>
      </w:tr>
      <w:tr w:rsidR="00007F6C" w14:paraId="296F335F" w14:textId="77777777" w:rsidTr="005E2F1E">
        <w:tc>
          <w:tcPr>
            <w:tcW w:w="1129" w:type="pct"/>
          </w:tcPr>
          <w:p w14:paraId="2E0E9661" w14:textId="77777777" w:rsidR="00007F6C" w:rsidRDefault="00007F6C" w:rsidP="005E2F1E">
            <w:pPr>
              <w:jc w:val="both"/>
              <w:rPr>
                <w:b/>
                <w:bCs/>
                <w:vertAlign w:val="subscript"/>
              </w:rPr>
            </w:pPr>
            <w:r>
              <w:rPr>
                <w:rFonts w:eastAsiaTheme="minorEastAsia"/>
                <w:b/>
                <w:bCs/>
              </w:rPr>
              <w:t>Electrode</w:t>
            </w:r>
            <w:r w:rsidRPr="00323907">
              <w:rPr>
                <w:rFonts w:eastAsiaTheme="minorEastAsia"/>
                <w:b/>
                <w:bCs/>
              </w:rPr>
              <w:t xml:space="preserve"> Attenuation coefficient </w:t>
            </w:r>
            <m:oMath>
              <m:sSub>
                <m:sSubPr>
                  <m:ctrlPr>
                    <w:rPr>
                      <w:rFonts w:ascii="Cambria Math" w:hAnsi="Cambria Math" w:cstheme="minorHAnsi"/>
                    </w:rPr>
                  </m:ctrlPr>
                </m:sSubPr>
                <m:e>
                  <m:r>
                    <m:rPr>
                      <m:sty m:val="p"/>
                    </m:rPr>
                    <w:rPr>
                      <w:rFonts w:ascii="Cambria Math" w:hAnsi="Cambria Math" w:cstheme="minorHAnsi"/>
                    </w:rPr>
                    <m:t>µ</m:t>
                  </m:r>
                </m:e>
                <m:sub>
                  <m:r>
                    <m:rPr>
                      <m:sty m:val="p"/>
                    </m:rPr>
                    <w:rPr>
                      <w:rFonts w:ascii="Cambria Math" w:hAnsi="Cambria Math" w:cstheme="minorHAnsi"/>
                    </w:rPr>
                    <m:t>m</m:t>
                  </m:r>
                </m:sub>
              </m:sSub>
              <m:d>
                <m:dPr>
                  <m:ctrlPr>
                    <w:rPr>
                      <w:rFonts w:ascii="Cambria Math" w:hAnsi="Cambria Math"/>
                      <w:i/>
                    </w:rPr>
                  </m:ctrlPr>
                </m:dPr>
                <m:e>
                  <m:sSub>
                    <m:sSubPr>
                      <m:ctrlPr>
                        <w:rPr>
                          <w:rFonts w:ascii="Cambria Math" w:hAnsi="Cambria Math"/>
                          <w:i/>
                        </w:rPr>
                      </m:ctrlPr>
                    </m:sSubPr>
                    <m:e>
                      <m:r>
                        <m:rPr>
                          <m:sty m:val="p"/>
                        </m:rPr>
                        <w:rPr>
                          <w:rFonts w:ascii="Cambria Math" w:hAnsi="Cambria Math"/>
                        </w:rPr>
                        <m:t>E</m:t>
                      </m:r>
                    </m:e>
                    <m:sub>
                      <m:r>
                        <m:rPr>
                          <m:sty m:val="p"/>
                        </m:rPr>
                        <w:rPr>
                          <w:rFonts w:ascii="Cambria Math" w:hAnsi="Cambria Math"/>
                        </w:rPr>
                        <m:t>0</m:t>
                      </m:r>
                    </m:sub>
                  </m:sSub>
                </m:e>
              </m:d>
            </m:oMath>
            <w:r w:rsidRPr="00323907">
              <w:t>,</w:t>
            </w:r>
            <w:r w:rsidRPr="00323907">
              <w:rPr>
                <w:b/>
                <w:bCs/>
              </w:rPr>
              <w:t xml:space="preserve"> </w:t>
            </w:r>
            <w:r w:rsidRPr="00323907">
              <w:rPr>
                <w:rFonts w:cstheme="minorHAnsi"/>
                <w:b/>
                <w:bCs/>
              </w:rPr>
              <w:t>µ</w:t>
            </w:r>
            <w:r w:rsidRPr="00323907">
              <w:rPr>
                <w:b/>
                <w:bCs/>
                <w:vertAlign w:val="subscript"/>
              </w:rPr>
              <w:t>m</w:t>
            </w:r>
          </w:p>
          <w:p w14:paraId="00ABE354" w14:textId="77777777" w:rsidR="00007F6C" w:rsidRPr="00323907" w:rsidRDefault="00007F6C" w:rsidP="005E2F1E">
            <w:pPr>
              <w:jc w:val="both"/>
              <w:rPr>
                <w:b/>
                <w:bCs/>
              </w:rPr>
            </w:pPr>
            <w:r w:rsidRPr="00323907">
              <w:rPr>
                <w:b/>
                <w:bCs/>
              </w:rPr>
              <w:t>[</w:t>
            </w:r>
            <w:r>
              <w:rPr>
                <w:b/>
                <w:bCs/>
              </w:rPr>
              <w:t>cm</w:t>
            </w:r>
            <w:r>
              <w:rPr>
                <w:b/>
                <w:bCs/>
                <w:vertAlign w:val="superscript"/>
              </w:rPr>
              <w:t>2</w:t>
            </w:r>
            <w:r>
              <w:rPr>
                <w:b/>
                <w:bCs/>
              </w:rPr>
              <w:t>/g</w:t>
            </w:r>
            <w:r w:rsidRPr="00323907">
              <w:rPr>
                <w:b/>
                <w:bCs/>
              </w:rPr>
              <w:t>]</w:t>
            </w:r>
            <w:r>
              <w:rPr>
                <w:b/>
                <w:bCs/>
              </w:rPr>
              <w:t xml:space="preserve"> </w:t>
            </w:r>
          </w:p>
        </w:tc>
        <w:tc>
          <w:tcPr>
            <w:tcW w:w="861" w:type="pct"/>
          </w:tcPr>
          <w:p w14:paraId="5D3CCA0E" w14:textId="77777777" w:rsidR="00007F6C" w:rsidRDefault="00007F6C" w:rsidP="005E2F1E">
            <w:pPr>
              <w:jc w:val="right"/>
            </w:pPr>
            <w:r>
              <w:rPr>
                <w:rFonts w:ascii="Calibri" w:hAnsi="Calibri" w:cs="Calibri"/>
                <w:color w:val="000000"/>
              </w:rPr>
              <w:t>410</w:t>
            </w:r>
          </w:p>
        </w:tc>
        <w:tc>
          <w:tcPr>
            <w:tcW w:w="1438" w:type="pct"/>
          </w:tcPr>
          <w:p w14:paraId="0020724D" w14:textId="77777777" w:rsidR="00007F6C" w:rsidRPr="00512137" w:rsidRDefault="00007F6C" w:rsidP="005E2F1E">
            <w:pPr>
              <w:jc w:val="right"/>
              <w:rPr>
                <w:b/>
                <w:bCs/>
              </w:rPr>
            </w:pPr>
            <w:r>
              <w:rPr>
                <w:rFonts w:ascii="Calibri" w:hAnsi="Calibri" w:cs="Calibri"/>
                <w:color w:val="000000"/>
              </w:rPr>
              <w:t>2750</w:t>
            </w:r>
          </w:p>
        </w:tc>
        <w:tc>
          <w:tcPr>
            <w:tcW w:w="699" w:type="pct"/>
          </w:tcPr>
          <w:p w14:paraId="77CDB289" w14:textId="77777777" w:rsidR="00007F6C" w:rsidRPr="00323907" w:rsidRDefault="00007F6C" w:rsidP="005E2F1E">
            <w:pPr>
              <w:jc w:val="right"/>
            </w:pPr>
            <w:r>
              <w:t>79.2</w:t>
            </w:r>
          </w:p>
        </w:tc>
        <w:tc>
          <w:tcPr>
            <w:tcW w:w="873" w:type="pct"/>
          </w:tcPr>
          <w:p w14:paraId="29472550" w14:textId="77777777" w:rsidR="00007F6C" w:rsidRDefault="00007F6C" w:rsidP="005E2F1E">
            <w:pPr>
              <w:jc w:val="right"/>
            </w:pPr>
            <w:r>
              <w:t>6.71</w:t>
            </w:r>
          </w:p>
        </w:tc>
      </w:tr>
    </w:tbl>
    <w:p w14:paraId="2A129E07" w14:textId="77777777" w:rsidR="00007F6C" w:rsidRDefault="00007F6C" w:rsidP="00007F6C">
      <w:pPr>
        <w:widowControl w:val="0"/>
        <w:autoSpaceDE w:val="0"/>
        <w:autoSpaceDN w:val="0"/>
        <w:adjustRightInd w:val="0"/>
        <w:spacing w:line="240" w:lineRule="auto"/>
        <w:jc w:val="both"/>
      </w:pPr>
    </w:p>
    <w:p w14:paraId="27453634" w14:textId="77777777" w:rsidR="00007F6C" w:rsidRDefault="00007F6C" w:rsidP="00007F6C">
      <w:pPr>
        <w:pStyle w:val="Heading2"/>
      </w:pPr>
      <w:bookmarkStart w:id="681" w:name="_Toc69129480"/>
      <w:r>
        <w:t>6.3.4 Ptychographic datasets</w:t>
      </w:r>
      <w:bookmarkEnd w:id="681"/>
    </w:p>
    <w:p w14:paraId="3A55702F" w14:textId="77777777" w:rsidR="00007F6C" w:rsidRPr="00543D7B" w:rsidRDefault="00007F6C" w:rsidP="00007F6C">
      <w:pPr>
        <w:pStyle w:val="Heading5"/>
        <w:jc w:val="both"/>
      </w:pPr>
      <w:r>
        <w:t>Contrast Sample</w:t>
      </w:r>
    </w:p>
    <w:p w14:paraId="7ABD8D7E" w14:textId="77777777" w:rsidR="00007F6C" w:rsidRPr="007B6F18" w:rsidRDefault="00007F6C" w:rsidP="0056210C">
      <w:pPr>
        <w:pStyle w:val="Heading6"/>
        <w:spacing w:before="0"/>
      </w:pPr>
      <w:r>
        <w:t>Air</w:t>
      </w:r>
    </w:p>
    <w:p w14:paraId="54EA137B" w14:textId="23173D76" w:rsidR="00007F6C" w:rsidRDefault="00007F6C" w:rsidP="00007F6C">
      <w:pPr>
        <w:pStyle w:val="Caption"/>
        <w:keepNext/>
        <w:jc w:val="both"/>
      </w:pPr>
      <w:r>
        <w:t>Table A</w:t>
      </w:r>
      <w:r w:rsidR="00B51F53">
        <w:fldChar w:fldCharType="begin"/>
      </w:r>
      <w:r w:rsidR="00B51F53">
        <w:instrText xml:space="preserve"> SEQ Table \* ARABIC </w:instrText>
      </w:r>
      <w:r w:rsidR="00B51F53">
        <w:fldChar w:fldCharType="separate"/>
      </w:r>
      <w:r w:rsidR="0056210C">
        <w:rPr>
          <w:noProof/>
        </w:rPr>
        <w:t>6</w:t>
      </w:r>
      <w:r w:rsidR="00B51F53">
        <w:rPr>
          <w:noProof/>
        </w:rPr>
        <w:fldChar w:fldCharType="end"/>
      </w:r>
      <w:r>
        <w:t>: Table detailing the line profile measurements of the air phase in the Ni-YSZ contrast sample. The minimum, maximum and average GSV are shown on the right.</w:t>
      </w:r>
    </w:p>
    <w:tbl>
      <w:tblPr>
        <w:tblW w:w="9660" w:type="dxa"/>
        <w:tblLook w:val="04A0" w:firstRow="1" w:lastRow="0" w:firstColumn="1" w:lastColumn="0" w:noHBand="0" w:noVBand="1"/>
      </w:tblPr>
      <w:tblGrid>
        <w:gridCol w:w="2290"/>
        <w:gridCol w:w="904"/>
        <w:gridCol w:w="904"/>
        <w:gridCol w:w="904"/>
        <w:gridCol w:w="904"/>
        <w:gridCol w:w="904"/>
        <w:gridCol w:w="904"/>
        <w:gridCol w:w="1946"/>
      </w:tblGrid>
      <w:tr w:rsidR="00007F6C" w:rsidRPr="00F025B1" w14:paraId="4695CFF8" w14:textId="77777777" w:rsidTr="005E2F1E">
        <w:trPr>
          <w:trHeight w:val="315"/>
        </w:trPr>
        <w:tc>
          <w:tcPr>
            <w:tcW w:w="9660" w:type="dxa"/>
            <w:gridSpan w:val="8"/>
            <w:tcBorders>
              <w:top w:val="nil"/>
              <w:left w:val="nil"/>
              <w:bottom w:val="nil"/>
              <w:right w:val="nil"/>
            </w:tcBorders>
            <w:shd w:val="clear" w:color="auto" w:fill="auto"/>
            <w:noWrap/>
            <w:vAlign w:val="bottom"/>
            <w:hideMark/>
          </w:tcPr>
          <w:p w14:paraId="32FA4780" w14:textId="77777777" w:rsidR="00007F6C" w:rsidRPr="00F025B1" w:rsidRDefault="00007F6C" w:rsidP="005E2F1E">
            <w:pPr>
              <w:spacing w:after="0" w:line="240" w:lineRule="auto"/>
              <w:jc w:val="both"/>
              <w:rPr>
                <w:rFonts w:ascii="Calibri" w:eastAsia="Times New Roman" w:hAnsi="Calibri" w:cs="Calibri"/>
                <w:b/>
                <w:bCs/>
                <w:color w:val="000000"/>
                <w:lang w:eastAsia="en-GB"/>
              </w:rPr>
            </w:pPr>
            <w:r w:rsidRPr="00F025B1">
              <w:rPr>
                <w:rFonts w:ascii="Calibri" w:eastAsia="Times New Roman" w:hAnsi="Calibri" w:cs="Calibri"/>
                <w:b/>
                <w:bCs/>
                <w:color w:val="000000"/>
                <w:lang w:eastAsia="en-GB"/>
              </w:rPr>
              <w:t>Air Grayscale Values</w:t>
            </w:r>
          </w:p>
        </w:tc>
      </w:tr>
      <w:tr w:rsidR="00007F6C" w:rsidRPr="00F025B1" w14:paraId="1CC7FE1F" w14:textId="77777777" w:rsidTr="005E2F1E">
        <w:trPr>
          <w:trHeight w:val="315"/>
        </w:trPr>
        <w:tc>
          <w:tcPr>
            <w:tcW w:w="2290" w:type="dxa"/>
            <w:vMerge w:val="restart"/>
            <w:tcBorders>
              <w:top w:val="single" w:sz="8" w:space="0" w:color="auto"/>
              <w:left w:val="single" w:sz="8" w:space="0" w:color="auto"/>
              <w:bottom w:val="single" w:sz="8" w:space="0" w:color="auto"/>
              <w:right w:val="single" w:sz="8" w:space="0" w:color="auto"/>
            </w:tcBorders>
            <w:shd w:val="clear" w:color="auto" w:fill="auto"/>
            <w:vAlign w:val="bottom"/>
            <w:hideMark/>
          </w:tcPr>
          <w:p w14:paraId="7C582818" w14:textId="77777777" w:rsidR="00007F6C" w:rsidRPr="00F025B1" w:rsidRDefault="00007F6C" w:rsidP="005E2F1E">
            <w:pPr>
              <w:spacing w:after="0" w:line="240" w:lineRule="auto"/>
              <w:jc w:val="both"/>
              <w:rPr>
                <w:rFonts w:ascii="Calibri" w:eastAsia="Times New Roman" w:hAnsi="Calibri" w:cs="Calibri"/>
                <w:b/>
                <w:bCs/>
                <w:color w:val="000000"/>
                <w:lang w:eastAsia="en-GB"/>
              </w:rPr>
            </w:pPr>
            <w:r w:rsidRPr="00F025B1">
              <w:rPr>
                <w:rFonts w:ascii="Calibri" w:eastAsia="Times New Roman" w:hAnsi="Calibri" w:cs="Calibri"/>
                <w:b/>
                <w:bCs/>
                <w:color w:val="000000"/>
                <w:lang w:eastAsia="en-GB"/>
              </w:rPr>
              <w:t>Measurement Number</w:t>
            </w:r>
          </w:p>
        </w:tc>
        <w:tc>
          <w:tcPr>
            <w:tcW w:w="5424" w:type="dxa"/>
            <w:gridSpan w:val="6"/>
            <w:tcBorders>
              <w:top w:val="single" w:sz="8" w:space="0" w:color="auto"/>
              <w:left w:val="nil"/>
              <w:bottom w:val="single" w:sz="8" w:space="0" w:color="auto"/>
              <w:right w:val="single" w:sz="4" w:space="0" w:color="auto"/>
            </w:tcBorders>
            <w:shd w:val="clear" w:color="auto" w:fill="auto"/>
            <w:noWrap/>
            <w:vAlign w:val="bottom"/>
            <w:hideMark/>
          </w:tcPr>
          <w:p w14:paraId="5D071A1A" w14:textId="77777777" w:rsidR="00007F6C" w:rsidRPr="00F025B1" w:rsidRDefault="00007F6C" w:rsidP="005E2F1E">
            <w:pPr>
              <w:spacing w:after="0" w:line="240" w:lineRule="auto"/>
              <w:jc w:val="both"/>
              <w:rPr>
                <w:rFonts w:ascii="Calibri" w:eastAsia="Times New Roman" w:hAnsi="Calibri" w:cs="Calibri"/>
                <w:b/>
                <w:bCs/>
                <w:color w:val="000000"/>
                <w:lang w:eastAsia="en-GB"/>
              </w:rPr>
            </w:pPr>
            <w:r w:rsidRPr="00F025B1">
              <w:rPr>
                <w:rFonts w:ascii="Calibri" w:eastAsia="Times New Roman" w:hAnsi="Calibri" w:cs="Calibri"/>
                <w:b/>
                <w:bCs/>
                <w:color w:val="000000"/>
                <w:lang w:eastAsia="en-GB"/>
              </w:rPr>
              <w:t>Slice Number</w:t>
            </w:r>
          </w:p>
        </w:tc>
        <w:tc>
          <w:tcPr>
            <w:tcW w:w="19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813B2C" w14:textId="77777777" w:rsidR="00007F6C" w:rsidRPr="00F025B1" w:rsidRDefault="00007F6C" w:rsidP="005E2F1E">
            <w:pPr>
              <w:spacing w:after="0" w:line="240" w:lineRule="auto"/>
              <w:jc w:val="both"/>
              <w:rPr>
                <w:rFonts w:ascii="Calibri" w:eastAsia="Times New Roman" w:hAnsi="Calibri" w:cs="Calibri"/>
                <w:b/>
                <w:bCs/>
                <w:color w:val="000000"/>
                <w:lang w:eastAsia="en-GB"/>
              </w:rPr>
            </w:pPr>
            <w:r w:rsidRPr="00F025B1">
              <w:rPr>
                <w:rFonts w:ascii="Calibri" w:eastAsia="Times New Roman" w:hAnsi="Calibri" w:cs="Calibri"/>
                <w:b/>
                <w:bCs/>
                <w:color w:val="000000"/>
                <w:lang w:eastAsia="en-GB"/>
              </w:rPr>
              <w:t>Minimum GSV</w:t>
            </w:r>
          </w:p>
        </w:tc>
      </w:tr>
      <w:tr w:rsidR="00007F6C" w:rsidRPr="00F025B1" w14:paraId="2440CD64" w14:textId="77777777" w:rsidTr="005E2F1E">
        <w:trPr>
          <w:trHeight w:val="300"/>
        </w:trPr>
        <w:tc>
          <w:tcPr>
            <w:tcW w:w="2290" w:type="dxa"/>
            <w:vMerge/>
            <w:tcBorders>
              <w:top w:val="single" w:sz="8" w:space="0" w:color="auto"/>
              <w:left w:val="single" w:sz="8" w:space="0" w:color="auto"/>
              <w:bottom w:val="single" w:sz="8" w:space="0" w:color="auto"/>
              <w:right w:val="single" w:sz="8" w:space="0" w:color="auto"/>
            </w:tcBorders>
            <w:vAlign w:val="center"/>
            <w:hideMark/>
          </w:tcPr>
          <w:p w14:paraId="3F6CBDE8" w14:textId="77777777" w:rsidR="00007F6C" w:rsidRPr="00F025B1" w:rsidRDefault="00007F6C" w:rsidP="005E2F1E">
            <w:pPr>
              <w:spacing w:after="0" w:line="240" w:lineRule="auto"/>
              <w:jc w:val="both"/>
              <w:rPr>
                <w:rFonts w:ascii="Calibri" w:eastAsia="Times New Roman" w:hAnsi="Calibri" w:cs="Calibri"/>
                <w:b/>
                <w:bCs/>
                <w:color w:val="000000"/>
                <w:lang w:eastAsia="en-GB"/>
              </w:rPr>
            </w:pPr>
          </w:p>
        </w:tc>
        <w:tc>
          <w:tcPr>
            <w:tcW w:w="904" w:type="dxa"/>
            <w:tcBorders>
              <w:top w:val="nil"/>
              <w:left w:val="nil"/>
              <w:bottom w:val="nil"/>
              <w:right w:val="single" w:sz="8" w:space="0" w:color="auto"/>
            </w:tcBorders>
            <w:shd w:val="clear" w:color="auto" w:fill="auto"/>
            <w:noWrap/>
            <w:vAlign w:val="bottom"/>
            <w:hideMark/>
          </w:tcPr>
          <w:p w14:paraId="49BE5488" w14:textId="77777777" w:rsidR="00007F6C" w:rsidRPr="00F025B1" w:rsidRDefault="00007F6C" w:rsidP="005E2F1E">
            <w:pPr>
              <w:spacing w:after="0" w:line="240" w:lineRule="auto"/>
              <w:jc w:val="both"/>
              <w:rPr>
                <w:rFonts w:ascii="Calibri" w:eastAsia="Times New Roman" w:hAnsi="Calibri" w:cs="Calibri"/>
                <w:b/>
                <w:bCs/>
                <w:color w:val="000000"/>
                <w:lang w:eastAsia="en-GB"/>
              </w:rPr>
            </w:pPr>
            <w:r w:rsidRPr="00F025B1">
              <w:rPr>
                <w:rFonts w:ascii="Calibri" w:eastAsia="Times New Roman" w:hAnsi="Calibri" w:cs="Calibri"/>
                <w:b/>
                <w:bCs/>
                <w:color w:val="000000"/>
                <w:lang w:eastAsia="en-GB"/>
              </w:rPr>
              <w:t>1</w:t>
            </w:r>
          </w:p>
        </w:tc>
        <w:tc>
          <w:tcPr>
            <w:tcW w:w="904" w:type="dxa"/>
            <w:tcBorders>
              <w:top w:val="nil"/>
              <w:left w:val="nil"/>
              <w:bottom w:val="nil"/>
              <w:right w:val="single" w:sz="8" w:space="0" w:color="auto"/>
            </w:tcBorders>
            <w:shd w:val="clear" w:color="auto" w:fill="auto"/>
            <w:noWrap/>
            <w:vAlign w:val="bottom"/>
            <w:hideMark/>
          </w:tcPr>
          <w:p w14:paraId="25BDCAC9" w14:textId="77777777" w:rsidR="00007F6C" w:rsidRPr="00F025B1" w:rsidRDefault="00007F6C" w:rsidP="005E2F1E">
            <w:pPr>
              <w:spacing w:after="0" w:line="240" w:lineRule="auto"/>
              <w:jc w:val="both"/>
              <w:rPr>
                <w:rFonts w:ascii="Calibri" w:eastAsia="Times New Roman" w:hAnsi="Calibri" w:cs="Calibri"/>
                <w:b/>
                <w:bCs/>
                <w:color w:val="000000"/>
                <w:lang w:eastAsia="en-GB"/>
              </w:rPr>
            </w:pPr>
            <w:r w:rsidRPr="00F025B1">
              <w:rPr>
                <w:rFonts w:ascii="Calibri" w:eastAsia="Times New Roman" w:hAnsi="Calibri" w:cs="Calibri"/>
                <w:b/>
                <w:bCs/>
                <w:color w:val="000000"/>
                <w:lang w:eastAsia="en-GB"/>
              </w:rPr>
              <w:t>20</w:t>
            </w:r>
          </w:p>
        </w:tc>
        <w:tc>
          <w:tcPr>
            <w:tcW w:w="904" w:type="dxa"/>
            <w:tcBorders>
              <w:top w:val="nil"/>
              <w:left w:val="nil"/>
              <w:bottom w:val="nil"/>
              <w:right w:val="single" w:sz="8" w:space="0" w:color="auto"/>
            </w:tcBorders>
            <w:shd w:val="clear" w:color="auto" w:fill="auto"/>
            <w:noWrap/>
            <w:vAlign w:val="bottom"/>
            <w:hideMark/>
          </w:tcPr>
          <w:p w14:paraId="7D1951A4" w14:textId="77777777" w:rsidR="00007F6C" w:rsidRPr="00F025B1" w:rsidRDefault="00007F6C" w:rsidP="005E2F1E">
            <w:pPr>
              <w:spacing w:after="0" w:line="240" w:lineRule="auto"/>
              <w:jc w:val="both"/>
              <w:rPr>
                <w:rFonts w:ascii="Calibri" w:eastAsia="Times New Roman" w:hAnsi="Calibri" w:cs="Calibri"/>
                <w:b/>
                <w:bCs/>
                <w:color w:val="000000"/>
                <w:lang w:eastAsia="en-GB"/>
              </w:rPr>
            </w:pPr>
            <w:r w:rsidRPr="00F025B1">
              <w:rPr>
                <w:rFonts w:ascii="Calibri" w:eastAsia="Times New Roman" w:hAnsi="Calibri" w:cs="Calibri"/>
                <w:b/>
                <w:bCs/>
                <w:color w:val="000000"/>
                <w:lang w:eastAsia="en-GB"/>
              </w:rPr>
              <w:t>40</w:t>
            </w:r>
          </w:p>
        </w:tc>
        <w:tc>
          <w:tcPr>
            <w:tcW w:w="904" w:type="dxa"/>
            <w:tcBorders>
              <w:top w:val="nil"/>
              <w:left w:val="nil"/>
              <w:bottom w:val="nil"/>
              <w:right w:val="single" w:sz="8" w:space="0" w:color="auto"/>
            </w:tcBorders>
            <w:shd w:val="clear" w:color="auto" w:fill="auto"/>
            <w:noWrap/>
            <w:vAlign w:val="bottom"/>
            <w:hideMark/>
          </w:tcPr>
          <w:p w14:paraId="4F5DEB80" w14:textId="77777777" w:rsidR="00007F6C" w:rsidRPr="00F025B1" w:rsidRDefault="00007F6C" w:rsidP="005E2F1E">
            <w:pPr>
              <w:spacing w:after="0" w:line="240" w:lineRule="auto"/>
              <w:jc w:val="both"/>
              <w:rPr>
                <w:rFonts w:ascii="Calibri" w:eastAsia="Times New Roman" w:hAnsi="Calibri" w:cs="Calibri"/>
                <w:b/>
                <w:bCs/>
                <w:color w:val="000000"/>
                <w:lang w:eastAsia="en-GB"/>
              </w:rPr>
            </w:pPr>
            <w:r w:rsidRPr="00F025B1">
              <w:rPr>
                <w:rFonts w:ascii="Calibri" w:eastAsia="Times New Roman" w:hAnsi="Calibri" w:cs="Calibri"/>
                <w:b/>
                <w:bCs/>
                <w:color w:val="000000"/>
                <w:lang w:eastAsia="en-GB"/>
              </w:rPr>
              <w:t>60</w:t>
            </w:r>
          </w:p>
        </w:tc>
        <w:tc>
          <w:tcPr>
            <w:tcW w:w="904" w:type="dxa"/>
            <w:tcBorders>
              <w:top w:val="nil"/>
              <w:left w:val="nil"/>
              <w:bottom w:val="nil"/>
              <w:right w:val="single" w:sz="8" w:space="0" w:color="auto"/>
            </w:tcBorders>
            <w:shd w:val="clear" w:color="auto" w:fill="auto"/>
            <w:noWrap/>
            <w:vAlign w:val="bottom"/>
            <w:hideMark/>
          </w:tcPr>
          <w:p w14:paraId="61206F21" w14:textId="77777777" w:rsidR="00007F6C" w:rsidRPr="00F025B1" w:rsidRDefault="00007F6C" w:rsidP="005E2F1E">
            <w:pPr>
              <w:spacing w:after="0" w:line="240" w:lineRule="auto"/>
              <w:jc w:val="both"/>
              <w:rPr>
                <w:rFonts w:ascii="Calibri" w:eastAsia="Times New Roman" w:hAnsi="Calibri" w:cs="Calibri"/>
                <w:b/>
                <w:bCs/>
                <w:color w:val="000000"/>
                <w:lang w:eastAsia="en-GB"/>
              </w:rPr>
            </w:pPr>
            <w:r w:rsidRPr="00F025B1">
              <w:rPr>
                <w:rFonts w:ascii="Calibri" w:eastAsia="Times New Roman" w:hAnsi="Calibri" w:cs="Calibri"/>
                <w:b/>
                <w:bCs/>
                <w:color w:val="000000"/>
                <w:lang w:eastAsia="en-GB"/>
              </w:rPr>
              <w:t>80</w:t>
            </w:r>
          </w:p>
        </w:tc>
        <w:tc>
          <w:tcPr>
            <w:tcW w:w="904" w:type="dxa"/>
            <w:tcBorders>
              <w:top w:val="nil"/>
              <w:left w:val="nil"/>
              <w:bottom w:val="nil"/>
              <w:right w:val="single" w:sz="4" w:space="0" w:color="auto"/>
            </w:tcBorders>
            <w:shd w:val="clear" w:color="auto" w:fill="auto"/>
            <w:noWrap/>
            <w:vAlign w:val="bottom"/>
            <w:hideMark/>
          </w:tcPr>
          <w:p w14:paraId="345438D4" w14:textId="77777777" w:rsidR="00007F6C" w:rsidRPr="00F025B1" w:rsidRDefault="00007F6C" w:rsidP="005E2F1E">
            <w:pPr>
              <w:spacing w:after="0" w:line="240" w:lineRule="auto"/>
              <w:jc w:val="both"/>
              <w:rPr>
                <w:rFonts w:ascii="Calibri" w:eastAsia="Times New Roman" w:hAnsi="Calibri" w:cs="Calibri"/>
                <w:b/>
                <w:bCs/>
                <w:color w:val="000000"/>
                <w:lang w:eastAsia="en-GB"/>
              </w:rPr>
            </w:pPr>
            <w:r w:rsidRPr="00F025B1">
              <w:rPr>
                <w:rFonts w:ascii="Calibri" w:eastAsia="Times New Roman" w:hAnsi="Calibri" w:cs="Calibri"/>
                <w:b/>
                <w:bCs/>
                <w:color w:val="000000"/>
                <w:lang w:eastAsia="en-GB"/>
              </w:rPr>
              <w:t>100</w:t>
            </w:r>
          </w:p>
        </w:tc>
        <w:tc>
          <w:tcPr>
            <w:tcW w:w="19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14EFD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36</w:t>
            </w:r>
            <w:r>
              <w:rPr>
                <w:rFonts w:ascii="Calibri" w:eastAsia="Times New Roman" w:hAnsi="Calibri" w:cs="Calibri"/>
                <w:color w:val="000000"/>
                <w:lang w:eastAsia="en-GB"/>
              </w:rPr>
              <w:t>.00</w:t>
            </w:r>
          </w:p>
        </w:tc>
      </w:tr>
      <w:tr w:rsidR="00007F6C" w:rsidRPr="00F025B1" w14:paraId="4C57AC2E" w14:textId="77777777" w:rsidTr="005E2F1E">
        <w:trPr>
          <w:trHeight w:val="30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142C1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0</w:t>
            </w:r>
          </w:p>
        </w:tc>
        <w:tc>
          <w:tcPr>
            <w:tcW w:w="904" w:type="dxa"/>
            <w:tcBorders>
              <w:top w:val="single" w:sz="4" w:space="0" w:color="auto"/>
              <w:left w:val="nil"/>
              <w:bottom w:val="single" w:sz="4" w:space="0" w:color="auto"/>
              <w:right w:val="single" w:sz="4" w:space="0" w:color="auto"/>
            </w:tcBorders>
            <w:shd w:val="clear" w:color="auto" w:fill="auto"/>
            <w:noWrap/>
            <w:vAlign w:val="bottom"/>
            <w:hideMark/>
          </w:tcPr>
          <w:p w14:paraId="51ECB2D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single" w:sz="4" w:space="0" w:color="auto"/>
              <w:left w:val="nil"/>
              <w:bottom w:val="single" w:sz="4" w:space="0" w:color="auto"/>
              <w:right w:val="single" w:sz="4" w:space="0" w:color="auto"/>
            </w:tcBorders>
            <w:shd w:val="clear" w:color="auto" w:fill="auto"/>
            <w:noWrap/>
            <w:vAlign w:val="bottom"/>
            <w:hideMark/>
          </w:tcPr>
          <w:p w14:paraId="0094DFC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48.000</w:t>
            </w:r>
          </w:p>
        </w:tc>
        <w:tc>
          <w:tcPr>
            <w:tcW w:w="904" w:type="dxa"/>
            <w:tcBorders>
              <w:top w:val="single" w:sz="4" w:space="0" w:color="auto"/>
              <w:left w:val="nil"/>
              <w:bottom w:val="single" w:sz="4" w:space="0" w:color="auto"/>
              <w:right w:val="single" w:sz="4" w:space="0" w:color="auto"/>
            </w:tcBorders>
            <w:shd w:val="clear" w:color="auto" w:fill="auto"/>
            <w:noWrap/>
            <w:vAlign w:val="bottom"/>
            <w:hideMark/>
          </w:tcPr>
          <w:p w14:paraId="6A5AC08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47.000</w:t>
            </w:r>
          </w:p>
        </w:tc>
        <w:tc>
          <w:tcPr>
            <w:tcW w:w="904" w:type="dxa"/>
            <w:tcBorders>
              <w:top w:val="single" w:sz="4" w:space="0" w:color="auto"/>
              <w:left w:val="nil"/>
              <w:bottom w:val="single" w:sz="4" w:space="0" w:color="auto"/>
              <w:right w:val="single" w:sz="4" w:space="0" w:color="auto"/>
            </w:tcBorders>
            <w:shd w:val="clear" w:color="auto" w:fill="auto"/>
            <w:noWrap/>
            <w:vAlign w:val="bottom"/>
            <w:hideMark/>
          </w:tcPr>
          <w:p w14:paraId="3699851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45.000</w:t>
            </w:r>
          </w:p>
        </w:tc>
        <w:tc>
          <w:tcPr>
            <w:tcW w:w="904" w:type="dxa"/>
            <w:tcBorders>
              <w:top w:val="single" w:sz="4" w:space="0" w:color="auto"/>
              <w:left w:val="nil"/>
              <w:bottom w:val="single" w:sz="4" w:space="0" w:color="auto"/>
              <w:right w:val="single" w:sz="4" w:space="0" w:color="auto"/>
            </w:tcBorders>
            <w:shd w:val="clear" w:color="auto" w:fill="auto"/>
            <w:noWrap/>
            <w:vAlign w:val="bottom"/>
            <w:hideMark/>
          </w:tcPr>
          <w:p w14:paraId="3A948F1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37.000</w:t>
            </w:r>
          </w:p>
        </w:tc>
        <w:tc>
          <w:tcPr>
            <w:tcW w:w="904" w:type="dxa"/>
            <w:tcBorders>
              <w:top w:val="single" w:sz="4" w:space="0" w:color="auto"/>
              <w:left w:val="nil"/>
              <w:bottom w:val="single" w:sz="4" w:space="0" w:color="auto"/>
              <w:right w:val="single" w:sz="4" w:space="0" w:color="auto"/>
            </w:tcBorders>
            <w:shd w:val="clear" w:color="auto" w:fill="auto"/>
            <w:noWrap/>
            <w:vAlign w:val="bottom"/>
            <w:hideMark/>
          </w:tcPr>
          <w:p w14:paraId="704137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36.000</w:t>
            </w:r>
          </w:p>
        </w:tc>
        <w:tc>
          <w:tcPr>
            <w:tcW w:w="1946" w:type="dxa"/>
            <w:tcBorders>
              <w:top w:val="single" w:sz="4" w:space="0" w:color="auto"/>
              <w:left w:val="nil"/>
              <w:bottom w:val="single" w:sz="4" w:space="0" w:color="auto"/>
              <w:right w:val="single" w:sz="4" w:space="0" w:color="auto"/>
            </w:tcBorders>
            <w:shd w:val="clear" w:color="auto" w:fill="auto"/>
            <w:noWrap/>
            <w:vAlign w:val="bottom"/>
            <w:hideMark/>
          </w:tcPr>
          <w:p w14:paraId="10F61A32" w14:textId="77777777" w:rsidR="00007F6C" w:rsidRPr="00F025B1" w:rsidRDefault="00007F6C" w:rsidP="005E2F1E">
            <w:pPr>
              <w:spacing w:after="0" w:line="240" w:lineRule="auto"/>
              <w:jc w:val="both"/>
              <w:rPr>
                <w:rFonts w:ascii="Calibri" w:eastAsia="Times New Roman" w:hAnsi="Calibri" w:cs="Calibri"/>
                <w:b/>
                <w:bCs/>
                <w:color w:val="000000"/>
                <w:lang w:eastAsia="en-GB"/>
              </w:rPr>
            </w:pPr>
            <w:r w:rsidRPr="00F025B1">
              <w:rPr>
                <w:rFonts w:ascii="Calibri" w:eastAsia="Times New Roman" w:hAnsi="Calibri" w:cs="Calibri"/>
                <w:b/>
                <w:bCs/>
                <w:color w:val="000000"/>
                <w:lang w:eastAsia="en-GB"/>
              </w:rPr>
              <w:t>Maximum GSV</w:t>
            </w:r>
          </w:p>
        </w:tc>
      </w:tr>
      <w:tr w:rsidR="00007F6C" w:rsidRPr="00F025B1" w14:paraId="4072223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A754D8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w:t>
            </w:r>
          </w:p>
        </w:tc>
        <w:tc>
          <w:tcPr>
            <w:tcW w:w="904" w:type="dxa"/>
            <w:tcBorders>
              <w:top w:val="nil"/>
              <w:left w:val="nil"/>
              <w:bottom w:val="single" w:sz="4" w:space="0" w:color="auto"/>
              <w:right w:val="single" w:sz="4" w:space="0" w:color="auto"/>
            </w:tcBorders>
            <w:shd w:val="clear" w:color="auto" w:fill="auto"/>
            <w:noWrap/>
            <w:vAlign w:val="bottom"/>
            <w:hideMark/>
          </w:tcPr>
          <w:p w14:paraId="612B442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54.156</w:t>
            </w:r>
          </w:p>
        </w:tc>
        <w:tc>
          <w:tcPr>
            <w:tcW w:w="904" w:type="dxa"/>
            <w:tcBorders>
              <w:top w:val="nil"/>
              <w:left w:val="nil"/>
              <w:bottom w:val="single" w:sz="4" w:space="0" w:color="auto"/>
              <w:right w:val="single" w:sz="4" w:space="0" w:color="auto"/>
            </w:tcBorders>
            <w:shd w:val="clear" w:color="auto" w:fill="auto"/>
            <w:noWrap/>
            <w:vAlign w:val="bottom"/>
            <w:hideMark/>
          </w:tcPr>
          <w:p w14:paraId="53E344E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50.555</w:t>
            </w:r>
          </w:p>
        </w:tc>
        <w:tc>
          <w:tcPr>
            <w:tcW w:w="904" w:type="dxa"/>
            <w:tcBorders>
              <w:top w:val="nil"/>
              <w:left w:val="nil"/>
              <w:bottom w:val="single" w:sz="4" w:space="0" w:color="auto"/>
              <w:right w:val="single" w:sz="4" w:space="0" w:color="auto"/>
            </w:tcBorders>
            <w:shd w:val="clear" w:color="auto" w:fill="auto"/>
            <w:noWrap/>
            <w:vAlign w:val="bottom"/>
            <w:hideMark/>
          </w:tcPr>
          <w:p w14:paraId="50D7CBA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48.626</w:t>
            </w:r>
          </w:p>
        </w:tc>
        <w:tc>
          <w:tcPr>
            <w:tcW w:w="904" w:type="dxa"/>
            <w:tcBorders>
              <w:top w:val="nil"/>
              <w:left w:val="nil"/>
              <w:bottom w:val="single" w:sz="4" w:space="0" w:color="auto"/>
              <w:right w:val="single" w:sz="4" w:space="0" w:color="auto"/>
            </w:tcBorders>
            <w:shd w:val="clear" w:color="auto" w:fill="auto"/>
            <w:noWrap/>
            <w:vAlign w:val="bottom"/>
            <w:hideMark/>
          </w:tcPr>
          <w:p w14:paraId="01ACAF2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45.000</w:t>
            </w:r>
          </w:p>
        </w:tc>
        <w:tc>
          <w:tcPr>
            <w:tcW w:w="904" w:type="dxa"/>
            <w:tcBorders>
              <w:top w:val="nil"/>
              <w:left w:val="nil"/>
              <w:bottom w:val="single" w:sz="4" w:space="0" w:color="auto"/>
              <w:right w:val="single" w:sz="4" w:space="0" w:color="auto"/>
            </w:tcBorders>
            <w:shd w:val="clear" w:color="auto" w:fill="auto"/>
            <w:noWrap/>
            <w:vAlign w:val="bottom"/>
            <w:hideMark/>
          </w:tcPr>
          <w:p w14:paraId="58C8D4D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37.892</w:t>
            </w:r>
          </w:p>
        </w:tc>
        <w:tc>
          <w:tcPr>
            <w:tcW w:w="904" w:type="dxa"/>
            <w:tcBorders>
              <w:top w:val="nil"/>
              <w:left w:val="nil"/>
              <w:bottom w:val="single" w:sz="4" w:space="0" w:color="auto"/>
              <w:right w:val="single" w:sz="4" w:space="0" w:color="auto"/>
            </w:tcBorders>
            <w:shd w:val="clear" w:color="auto" w:fill="auto"/>
            <w:noWrap/>
            <w:vAlign w:val="bottom"/>
            <w:hideMark/>
          </w:tcPr>
          <w:p w14:paraId="2B9B371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36.892</w:t>
            </w:r>
          </w:p>
        </w:tc>
        <w:tc>
          <w:tcPr>
            <w:tcW w:w="1946" w:type="dxa"/>
            <w:tcBorders>
              <w:top w:val="single" w:sz="4" w:space="0" w:color="auto"/>
              <w:left w:val="nil"/>
              <w:bottom w:val="single" w:sz="4" w:space="0" w:color="auto"/>
              <w:right w:val="single" w:sz="4" w:space="0" w:color="auto"/>
            </w:tcBorders>
            <w:shd w:val="clear" w:color="auto" w:fill="auto"/>
            <w:noWrap/>
            <w:vAlign w:val="bottom"/>
            <w:hideMark/>
          </w:tcPr>
          <w:p w14:paraId="7C9D7A8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70</w:t>
            </w:r>
            <w:r>
              <w:rPr>
                <w:rFonts w:ascii="Calibri" w:eastAsia="Times New Roman" w:hAnsi="Calibri" w:cs="Calibri"/>
                <w:color w:val="000000"/>
                <w:lang w:eastAsia="en-GB"/>
              </w:rPr>
              <w:t>.00</w:t>
            </w:r>
          </w:p>
        </w:tc>
      </w:tr>
      <w:tr w:rsidR="00007F6C" w:rsidRPr="00F025B1" w14:paraId="095C9DF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598B44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w:t>
            </w:r>
          </w:p>
        </w:tc>
        <w:tc>
          <w:tcPr>
            <w:tcW w:w="904" w:type="dxa"/>
            <w:tcBorders>
              <w:top w:val="nil"/>
              <w:left w:val="nil"/>
              <w:bottom w:val="single" w:sz="4" w:space="0" w:color="auto"/>
              <w:right w:val="single" w:sz="4" w:space="0" w:color="auto"/>
            </w:tcBorders>
            <w:shd w:val="clear" w:color="auto" w:fill="auto"/>
            <w:noWrap/>
            <w:vAlign w:val="bottom"/>
            <w:hideMark/>
          </w:tcPr>
          <w:p w14:paraId="7E4A2A5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7E473E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51.101</w:t>
            </w:r>
          </w:p>
        </w:tc>
        <w:tc>
          <w:tcPr>
            <w:tcW w:w="904" w:type="dxa"/>
            <w:tcBorders>
              <w:top w:val="nil"/>
              <w:left w:val="nil"/>
              <w:bottom w:val="single" w:sz="4" w:space="0" w:color="auto"/>
              <w:right w:val="single" w:sz="4" w:space="0" w:color="auto"/>
            </w:tcBorders>
            <w:shd w:val="clear" w:color="auto" w:fill="auto"/>
            <w:noWrap/>
            <w:vAlign w:val="bottom"/>
            <w:hideMark/>
          </w:tcPr>
          <w:p w14:paraId="0E2EAD3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49.000</w:t>
            </w:r>
          </w:p>
        </w:tc>
        <w:tc>
          <w:tcPr>
            <w:tcW w:w="904" w:type="dxa"/>
            <w:tcBorders>
              <w:top w:val="nil"/>
              <w:left w:val="nil"/>
              <w:bottom w:val="single" w:sz="4" w:space="0" w:color="auto"/>
              <w:right w:val="single" w:sz="4" w:space="0" w:color="auto"/>
            </w:tcBorders>
            <w:shd w:val="clear" w:color="auto" w:fill="auto"/>
            <w:noWrap/>
            <w:vAlign w:val="bottom"/>
            <w:hideMark/>
          </w:tcPr>
          <w:p w14:paraId="2FB8510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46.407</w:t>
            </w:r>
          </w:p>
        </w:tc>
        <w:tc>
          <w:tcPr>
            <w:tcW w:w="904" w:type="dxa"/>
            <w:tcBorders>
              <w:top w:val="nil"/>
              <w:left w:val="nil"/>
              <w:bottom w:val="single" w:sz="4" w:space="0" w:color="auto"/>
              <w:right w:val="single" w:sz="4" w:space="0" w:color="auto"/>
            </w:tcBorders>
            <w:shd w:val="clear" w:color="auto" w:fill="auto"/>
            <w:noWrap/>
            <w:vAlign w:val="bottom"/>
            <w:hideMark/>
          </w:tcPr>
          <w:p w14:paraId="4D0953E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39.000</w:t>
            </w:r>
          </w:p>
        </w:tc>
        <w:tc>
          <w:tcPr>
            <w:tcW w:w="904" w:type="dxa"/>
            <w:tcBorders>
              <w:top w:val="nil"/>
              <w:left w:val="nil"/>
              <w:bottom w:val="single" w:sz="4" w:space="0" w:color="auto"/>
              <w:right w:val="single" w:sz="4" w:space="0" w:color="auto"/>
            </w:tcBorders>
            <w:shd w:val="clear" w:color="auto" w:fill="auto"/>
            <w:noWrap/>
            <w:vAlign w:val="bottom"/>
            <w:hideMark/>
          </w:tcPr>
          <w:p w14:paraId="79E4C75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38.000</w:t>
            </w:r>
          </w:p>
        </w:tc>
        <w:tc>
          <w:tcPr>
            <w:tcW w:w="1946" w:type="dxa"/>
            <w:tcBorders>
              <w:top w:val="single" w:sz="4" w:space="0" w:color="auto"/>
              <w:left w:val="nil"/>
              <w:bottom w:val="single" w:sz="4" w:space="0" w:color="auto"/>
              <w:right w:val="single" w:sz="4" w:space="0" w:color="auto"/>
            </w:tcBorders>
            <w:shd w:val="clear" w:color="auto" w:fill="auto"/>
            <w:noWrap/>
            <w:vAlign w:val="bottom"/>
            <w:hideMark/>
          </w:tcPr>
          <w:p w14:paraId="58C1440D" w14:textId="77777777" w:rsidR="00007F6C" w:rsidRPr="00F025B1" w:rsidRDefault="00007F6C" w:rsidP="005E2F1E">
            <w:pPr>
              <w:spacing w:after="0" w:line="240" w:lineRule="auto"/>
              <w:jc w:val="both"/>
              <w:rPr>
                <w:rFonts w:ascii="Calibri" w:eastAsia="Times New Roman" w:hAnsi="Calibri" w:cs="Calibri"/>
                <w:b/>
                <w:bCs/>
                <w:color w:val="000000"/>
                <w:lang w:eastAsia="en-GB"/>
              </w:rPr>
            </w:pPr>
            <w:r w:rsidRPr="00F025B1">
              <w:rPr>
                <w:rFonts w:ascii="Calibri" w:eastAsia="Times New Roman" w:hAnsi="Calibri" w:cs="Calibri"/>
                <w:b/>
                <w:bCs/>
                <w:color w:val="000000"/>
                <w:lang w:eastAsia="en-GB"/>
              </w:rPr>
              <w:t>Average GSV</w:t>
            </w:r>
          </w:p>
        </w:tc>
      </w:tr>
      <w:tr w:rsidR="00007F6C" w:rsidRPr="00F025B1" w14:paraId="1DF855D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123B34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w:t>
            </w:r>
          </w:p>
        </w:tc>
        <w:tc>
          <w:tcPr>
            <w:tcW w:w="904" w:type="dxa"/>
            <w:tcBorders>
              <w:top w:val="nil"/>
              <w:left w:val="nil"/>
              <w:bottom w:val="single" w:sz="4" w:space="0" w:color="auto"/>
              <w:right w:val="single" w:sz="4" w:space="0" w:color="auto"/>
            </w:tcBorders>
            <w:shd w:val="clear" w:color="auto" w:fill="auto"/>
            <w:noWrap/>
            <w:vAlign w:val="bottom"/>
            <w:hideMark/>
          </w:tcPr>
          <w:p w14:paraId="11A1F31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0CF70DE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52.873</w:t>
            </w:r>
          </w:p>
        </w:tc>
        <w:tc>
          <w:tcPr>
            <w:tcW w:w="904" w:type="dxa"/>
            <w:tcBorders>
              <w:top w:val="nil"/>
              <w:left w:val="nil"/>
              <w:bottom w:val="single" w:sz="4" w:space="0" w:color="auto"/>
              <w:right w:val="single" w:sz="4" w:space="0" w:color="auto"/>
            </w:tcBorders>
            <w:shd w:val="clear" w:color="auto" w:fill="auto"/>
            <w:noWrap/>
            <w:vAlign w:val="bottom"/>
            <w:hideMark/>
          </w:tcPr>
          <w:p w14:paraId="7CDCFCE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49.000</w:t>
            </w:r>
          </w:p>
        </w:tc>
        <w:tc>
          <w:tcPr>
            <w:tcW w:w="904" w:type="dxa"/>
            <w:tcBorders>
              <w:top w:val="nil"/>
              <w:left w:val="nil"/>
              <w:bottom w:val="single" w:sz="4" w:space="0" w:color="auto"/>
              <w:right w:val="single" w:sz="4" w:space="0" w:color="auto"/>
            </w:tcBorders>
            <w:shd w:val="clear" w:color="auto" w:fill="auto"/>
            <w:noWrap/>
            <w:vAlign w:val="bottom"/>
            <w:hideMark/>
          </w:tcPr>
          <w:p w14:paraId="44DF2DA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47.000</w:t>
            </w:r>
          </w:p>
        </w:tc>
        <w:tc>
          <w:tcPr>
            <w:tcW w:w="904" w:type="dxa"/>
            <w:tcBorders>
              <w:top w:val="nil"/>
              <w:left w:val="nil"/>
              <w:bottom w:val="single" w:sz="4" w:space="0" w:color="auto"/>
              <w:right w:val="single" w:sz="4" w:space="0" w:color="auto"/>
            </w:tcBorders>
            <w:shd w:val="clear" w:color="auto" w:fill="auto"/>
            <w:noWrap/>
            <w:vAlign w:val="bottom"/>
            <w:hideMark/>
          </w:tcPr>
          <w:p w14:paraId="40E6D30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40.110</w:t>
            </w:r>
          </w:p>
        </w:tc>
        <w:tc>
          <w:tcPr>
            <w:tcW w:w="904" w:type="dxa"/>
            <w:tcBorders>
              <w:top w:val="nil"/>
              <w:left w:val="nil"/>
              <w:bottom w:val="single" w:sz="4" w:space="0" w:color="auto"/>
              <w:right w:val="single" w:sz="4" w:space="0" w:color="auto"/>
            </w:tcBorders>
            <w:shd w:val="clear" w:color="auto" w:fill="auto"/>
            <w:noWrap/>
            <w:vAlign w:val="bottom"/>
            <w:hideMark/>
          </w:tcPr>
          <w:p w14:paraId="7239B2D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38.635</w:t>
            </w:r>
          </w:p>
        </w:tc>
        <w:tc>
          <w:tcPr>
            <w:tcW w:w="1946" w:type="dxa"/>
            <w:tcBorders>
              <w:top w:val="single" w:sz="4" w:space="0" w:color="auto"/>
              <w:left w:val="nil"/>
              <w:bottom w:val="single" w:sz="4" w:space="0" w:color="auto"/>
              <w:right w:val="single" w:sz="4" w:space="0" w:color="auto"/>
            </w:tcBorders>
            <w:shd w:val="clear" w:color="auto" w:fill="auto"/>
            <w:noWrap/>
            <w:vAlign w:val="bottom"/>
            <w:hideMark/>
          </w:tcPr>
          <w:p w14:paraId="2A8DD38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57.44</w:t>
            </w:r>
          </w:p>
        </w:tc>
      </w:tr>
      <w:tr w:rsidR="00007F6C" w:rsidRPr="00F025B1" w14:paraId="06F0628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B018EE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w:t>
            </w:r>
          </w:p>
        </w:tc>
        <w:tc>
          <w:tcPr>
            <w:tcW w:w="904" w:type="dxa"/>
            <w:tcBorders>
              <w:top w:val="nil"/>
              <w:left w:val="nil"/>
              <w:bottom w:val="single" w:sz="4" w:space="0" w:color="auto"/>
              <w:right w:val="single" w:sz="4" w:space="0" w:color="auto"/>
            </w:tcBorders>
            <w:shd w:val="clear" w:color="auto" w:fill="auto"/>
            <w:noWrap/>
            <w:vAlign w:val="bottom"/>
            <w:hideMark/>
          </w:tcPr>
          <w:p w14:paraId="65D48C3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2614C2D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54.390</w:t>
            </w:r>
          </w:p>
        </w:tc>
        <w:tc>
          <w:tcPr>
            <w:tcW w:w="904" w:type="dxa"/>
            <w:tcBorders>
              <w:top w:val="nil"/>
              <w:left w:val="nil"/>
              <w:bottom w:val="single" w:sz="4" w:space="0" w:color="auto"/>
              <w:right w:val="single" w:sz="4" w:space="0" w:color="auto"/>
            </w:tcBorders>
            <w:shd w:val="clear" w:color="auto" w:fill="auto"/>
            <w:noWrap/>
            <w:vAlign w:val="bottom"/>
            <w:hideMark/>
          </w:tcPr>
          <w:p w14:paraId="0583CBA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49.000</w:t>
            </w:r>
          </w:p>
        </w:tc>
        <w:tc>
          <w:tcPr>
            <w:tcW w:w="904" w:type="dxa"/>
            <w:tcBorders>
              <w:top w:val="nil"/>
              <w:left w:val="nil"/>
              <w:bottom w:val="single" w:sz="4" w:space="0" w:color="auto"/>
              <w:right w:val="single" w:sz="4" w:space="0" w:color="auto"/>
            </w:tcBorders>
            <w:shd w:val="clear" w:color="auto" w:fill="auto"/>
            <w:noWrap/>
            <w:vAlign w:val="bottom"/>
            <w:hideMark/>
          </w:tcPr>
          <w:p w14:paraId="2C27E6A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48.390</w:t>
            </w:r>
          </w:p>
        </w:tc>
        <w:tc>
          <w:tcPr>
            <w:tcW w:w="904" w:type="dxa"/>
            <w:tcBorders>
              <w:top w:val="nil"/>
              <w:left w:val="nil"/>
              <w:bottom w:val="single" w:sz="4" w:space="0" w:color="auto"/>
              <w:right w:val="single" w:sz="4" w:space="0" w:color="auto"/>
            </w:tcBorders>
            <w:shd w:val="clear" w:color="auto" w:fill="auto"/>
            <w:noWrap/>
            <w:vAlign w:val="bottom"/>
            <w:hideMark/>
          </w:tcPr>
          <w:p w14:paraId="11C8AEF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41.813</w:t>
            </w:r>
          </w:p>
        </w:tc>
        <w:tc>
          <w:tcPr>
            <w:tcW w:w="904" w:type="dxa"/>
            <w:tcBorders>
              <w:top w:val="nil"/>
              <w:left w:val="nil"/>
              <w:bottom w:val="single" w:sz="4" w:space="0" w:color="auto"/>
              <w:right w:val="single" w:sz="4" w:space="0" w:color="auto"/>
            </w:tcBorders>
            <w:shd w:val="clear" w:color="auto" w:fill="auto"/>
            <w:noWrap/>
            <w:vAlign w:val="bottom"/>
            <w:hideMark/>
          </w:tcPr>
          <w:p w14:paraId="5AEC53A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39.961</w:t>
            </w:r>
          </w:p>
        </w:tc>
        <w:tc>
          <w:tcPr>
            <w:tcW w:w="1946" w:type="dxa"/>
            <w:tcBorders>
              <w:top w:val="single" w:sz="4" w:space="0" w:color="auto"/>
              <w:left w:val="nil"/>
              <w:bottom w:val="nil"/>
              <w:right w:val="nil"/>
            </w:tcBorders>
            <w:shd w:val="clear" w:color="auto" w:fill="auto"/>
            <w:noWrap/>
            <w:vAlign w:val="bottom"/>
            <w:hideMark/>
          </w:tcPr>
          <w:p w14:paraId="375304E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DF29FE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F00562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w:t>
            </w:r>
          </w:p>
        </w:tc>
        <w:tc>
          <w:tcPr>
            <w:tcW w:w="904" w:type="dxa"/>
            <w:tcBorders>
              <w:top w:val="nil"/>
              <w:left w:val="nil"/>
              <w:bottom w:val="single" w:sz="4" w:space="0" w:color="auto"/>
              <w:right w:val="single" w:sz="4" w:space="0" w:color="auto"/>
            </w:tcBorders>
            <w:shd w:val="clear" w:color="auto" w:fill="auto"/>
            <w:noWrap/>
            <w:vAlign w:val="bottom"/>
            <w:hideMark/>
          </w:tcPr>
          <w:p w14:paraId="5AF67EE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3D6EF7C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52445F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49.000</w:t>
            </w:r>
          </w:p>
        </w:tc>
        <w:tc>
          <w:tcPr>
            <w:tcW w:w="904" w:type="dxa"/>
            <w:tcBorders>
              <w:top w:val="nil"/>
              <w:left w:val="nil"/>
              <w:bottom w:val="single" w:sz="4" w:space="0" w:color="auto"/>
              <w:right w:val="single" w:sz="4" w:space="0" w:color="auto"/>
            </w:tcBorders>
            <w:shd w:val="clear" w:color="auto" w:fill="auto"/>
            <w:noWrap/>
            <w:vAlign w:val="bottom"/>
            <w:hideMark/>
          </w:tcPr>
          <w:p w14:paraId="3B9BEE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50.000</w:t>
            </w:r>
          </w:p>
        </w:tc>
        <w:tc>
          <w:tcPr>
            <w:tcW w:w="904" w:type="dxa"/>
            <w:tcBorders>
              <w:top w:val="nil"/>
              <w:left w:val="nil"/>
              <w:bottom w:val="single" w:sz="4" w:space="0" w:color="auto"/>
              <w:right w:val="single" w:sz="4" w:space="0" w:color="auto"/>
            </w:tcBorders>
            <w:shd w:val="clear" w:color="auto" w:fill="auto"/>
            <w:noWrap/>
            <w:vAlign w:val="bottom"/>
            <w:hideMark/>
          </w:tcPr>
          <w:p w14:paraId="6812630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43.000</w:t>
            </w:r>
          </w:p>
        </w:tc>
        <w:tc>
          <w:tcPr>
            <w:tcW w:w="904" w:type="dxa"/>
            <w:tcBorders>
              <w:top w:val="nil"/>
              <w:left w:val="nil"/>
              <w:bottom w:val="single" w:sz="4" w:space="0" w:color="auto"/>
              <w:right w:val="single" w:sz="4" w:space="0" w:color="auto"/>
            </w:tcBorders>
            <w:shd w:val="clear" w:color="auto" w:fill="auto"/>
            <w:noWrap/>
            <w:vAlign w:val="bottom"/>
            <w:hideMark/>
          </w:tcPr>
          <w:p w14:paraId="246D057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39.540</w:t>
            </w:r>
          </w:p>
        </w:tc>
        <w:tc>
          <w:tcPr>
            <w:tcW w:w="1946" w:type="dxa"/>
            <w:tcBorders>
              <w:top w:val="nil"/>
              <w:left w:val="nil"/>
              <w:bottom w:val="nil"/>
              <w:right w:val="nil"/>
            </w:tcBorders>
            <w:shd w:val="clear" w:color="auto" w:fill="auto"/>
            <w:noWrap/>
            <w:vAlign w:val="bottom"/>
            <w:hideMark/>
          </w:tcPr>
          <w:p w14:paraId="05767EF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BD14F6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FEE362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w:t>
            </w:r>
          </w:p>
        </w:tc>
        <w:tc>
          <w:tcPr>
            <w:tcW w:w="904" w:type="dxa"/>
            <w:tcBorders>
              <w:top w:val="nil"/>
              <w:left w:val="nil"/>
              <w:bottom w:val="single" w:sz="4" w:space="0" w:color="auto"/>
              <w:right w:val="single" w:sz="4" w:space="0" w:color="auto"/>
            </w:tcBorders>
            <w:shd w:val="clear" w:color="auto" w:fill="auto"/>
            <w:noWrap/>
            <w:vAlign w:val="bottom"/>
            <w:hideMark/>
          </w:tcPr>
          <w:p w14:paraId="009FE44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1104A8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56.713</w:t>
            </w:r>
          </w:p>
        </w:tc>
        <w:tc>
          <w:tcPr>
            <w:tcW w:w="904" w:type="dxa"/>
            <w:tcBorders>
              <w:top w:val="nil"/>
              <w:left w:val="nil"/>
              <w:bottom w:val="single" w:sz="4" w:space="0" w:color="auto"/>
              <w:right w:val="single" w:sz="4" w:space="0" w:color="auto"/>
            </w:tcBorders>
            <w:shd w:val="clear" w:color="auto" w:fill="auto"/>
            <w:noWrap/>
            <w:vAlign w:val="bottom"/>
            <w:hideMark/>
          </w:tcPr>
          <w:p w14:paraId="7ABC09A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49.047</w:t>
            </w:r>
          </w:p>
        </w:tc>
        <w:tc>
          <w:tcPr>
            <w:tcW w:w="904" w:type="dxa"/>
            <w:tcBorders>
              <w:top w:val="nil"/>
              <w:left w:val="nil"/>
              <w:bottom w:val="single" w:sz="4" w:space="0" w:color="auto"/>
              <w:right w:val="single" w:sz="4" w:space="0" w:color="auto"/>
            </w:tcBorders>
            <w:shd w:val="clear" w:color="auto" w:fill="auto"/>
            <w:noWrap/>
            <w:vAlign w:val="bottom"/>
            <w:hideMark/>
          </w:tcPr>
          <w:p w14:paraId="1ACBE39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50.713</w:t>
            </w:r>
          </w:p>
        </w:tc>
        <w:tc>
          <w:tcPr>
            <w:tcW w:w="904" w:type="dxa"/>
            <w:tcBorders>
              <w:top w:val="nil"/>
              <w:left w:val="nil"/>
              <w:bottom w:val="single" w:sz="4" w:space="0" w:color="auto"/>
              <w:right w:val="single" w:sz="4" w:space="0" w:color="auto"/>
            </w:tcBorders>
            <w:shd w:val="clear" w:color="auto" w:fill="auto"/>
            <w:noWrap/>
            <w:vAlign w:val="bottom"/>
            <w:hideMark/>
          </w:tcPr>
          <w:p w14:paraId="1AE5E5E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43.475</w:t>
            </w:r>
          </w:p>
        </w:tc>
        <w:tc>
          <w:tcPr>
            <w:tcW w:w="904" w:type="dxa"/>
            <w:tcBorders>
              <w:top w:val="nil"/>
              <w:left w:val="nil"/>
              <w:bottom w:val="single" w:sz="4" w:space="0" w:color="auto"/>
              <w:right w:val="single" w:sz="4" w:space="0" w:color="auto"/>
            </w:tcBorders>
            <w:shd w:val="clear" w:color="auto" w:fill="auto"/>
            <w:noWrap/>
            <w:vAlign w:val="bottom"/>
            <w:hideMark/>
          </w:tcPr>
          <w:p w14:paraId="00B1998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39.856</w:t>
            </w:r>
          </w:p>
        </w:tc>
        <w:tc>
          <w:tcPr>
            <w:tcW w:w="1946" w:type="dxa"/>
            <w:tcBorders>
              <w:top w:val="nil"/>
              <w:left w:val="nil"/>
              <w:bottom w:val="nil"/>
              <w:right w:val="nil"/>
            </w:tcBorders>
            <w:shd w:val="clear" w:color="auto" w:fill="auto"/>
            <w:noWrap/>
            <w:vAlign w:val="bottom"/>
            <w:hideMark/>
          </w:tcPr>
          <w:p w14:paraId="385C6667"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37A706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7DF89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7</w:t>
            </w:r>
          </w:p>
        </w:tc>
        <w:tc>
          <w:tcPr>
            <w:tcW w:w="904" w:type="dxa"/>
            <w:tcBorders>
              <w:top w:val="nil"/>
              <w:left w:val="nil"/>
              <w:bottom w:val="single" w:sz="4" w:space="0" w:color="auto"/>
              <w:right w:val="single" w:sz="4" w:space="0" w:color="auto"/>
            </w:tcBorders>
            <w:shd w:val="clear" w:color="auto" w:fill="auto"/>
            <w:noWrap/>
            <w:vAlign w:val="bottom"/>
            <w:hideMark/>
          </w:tcPr>
          <w:p w14:paraId="15B2276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6E9DE3D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58.962</w:t>
            </w:r>
          </w:p>
        </w:tc>
        <w:tc>
          <w:tcPr>
            <w:tcW w:w="904" w:type="dxa"/>
            <w:tcBorders>
              <w:top w:val="nil"/>
              <w:left w:val="nil"/>
              <w:bottom w:val="single" w:sz="4" w:space="0" w:color="auto"/>
              <w:right w:val="single" w:sz="4" w:space="0" w:color="auto"/>
            </w:tcBorders>
            <w:shd w:val="clear" w:color="auto" w:fill="auto"/>
            <w:noWrap/>
            <w:vAlign w:val="bottom"/>
            <w:hideMark/>
          </w:tcPr>
          <w:p w14:paraId="3A3BB2D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50.926</w:t>
            </w:r>
          </w:p>
        </w:tc>
        <w:tc>
          <w:tcPr>
            <w:tcW w:w="904" w:type="dxa"/>
            <w:tcBorders>
              <w:top w:val="nil"/>
              <w:left w:val="nil"/>
              <w:bottom w:val="single" w:sz="4" w:space="0" w:color="auto"/>
              <w:right w:val="single" w:sz="4" w:space="0" w:color="auto"/>
            </w:tcBorders>
            <w:shd w:val="clear" w:color="auto" w:fill="auto"/>
            <w:noWrap/>
            <w:vAlign w:val="bottom"/>
            <w:hideMark/>
          </w:tcPr>
          <w:p w14:paraId="1F497B7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52.962</w:t>
            </w:r>
          </w:p>
        </w:tc>
        <w:tc>
          <w:tcPr>
            <w:tcW w:w="904" w:type="dxa"/>
            <w:tcBorders>
              <w:top w:val="nil"/>
              <w:left w:val="nil"/>
              <w:bottom w:val="single" w:sz="4" w:space="0" w:color="auto"/>
              <w:right w:val="single" w:sz="4" w:space="0" w:color="auto"/>
            </w:tcBorders>
            <w:shd w:val="clear" w:color="auto" w:fill="auto"/>
            <w:noWrap/>
            <w:vAlign w:val="bottom"/>
            <w:hideMark/>
          </w:tcPr>
          <w:p w14:paraId="61123A0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44.974</w:t>
            </w:r>
          </w:p>
        </w:tc>
        <w:tc>
          <w:tcPr>
            <w:tcW w:w="904" w:type="dxa"/>
            <w:tcBorders>
              <w:top w:val="nil"/>
              <w:left w:val="nil"/>
              <w:bottom w:val="single" w:sz="4" w:space="0" w:color="auto"/>
              <w:right w:val="single" w:sz="4" w:space="0" w:color="auto"/>
            </w:tcBorders>
            <w:shd w:val="clear" w:color="auto" w:fill="auto"/>
            <w:noWrap/>
            <w:vAlign w:val="bottom"/>
            <w:hideMark/>
          </w:tcPr>
          <w:p w14:paraId="1349086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39.332</w:t>
            </w:r>
          </w:p>
        </w:tc>
        <w:tc>
          <w:tcPr>
            <w:tcW w:w="1946" w:type="dxa"/>
            <w:tcBorders>
              <w:top w:val="nil"/>
              <w:left w:val="nil"/>
              <w:bottom w:val="nil"/>
              <w:right w:val="nil"/>
            </w:tcBorders>
            <w:shd w:val="clear" w:color="auto" w:fill="auto"/>
            <w:noWrap/>
            <w:vAlign w:val="bottom"/>
            <w:hideMark/>
          </w:tcPr>
          <w:p w14:paraId="73D4BD9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DAB1F1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B37B0F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8</w:t>
            </w:r>
          </w:p>
        </w:tc>
        <w:tc>
          <w:tcPr>
            <w:tcW w:w="904" w:type="dxa"/>
            <w:tcBorders>
              <w:top w:val="nil"/>
              <w:left w:val="nil"/>
              <w:bottom w:val="single" w:sz="4" w:space="0" w:color="auto"/>
              <w:right w:val="single" w:sz="4" w:space="0" w:color="auto"/>
            </w:tcBorders>
            <w:shd w:val="clear" w:color="auto" w:fill="auto"/>
            <w:noWrap/>
            <w:vAlign w:val="bottom"/>
            <w:hideMark/>
          </w:tcPr>
          <w:p w14:paraId="328D6D8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53.808</w:t>
            </w:r>
          </w:p>
        </w:tc>
        <w:tc>
          <w:tcPr>
            <w:tcW w:w="904" w:type="dxa"/>
            <w:tcBorders>
              <w:top w:val="nil"/>
              <w:left w:val="nil"/>
              <w:bottom w:val="single" w:sz="4" w:space="0" w:color="auto"/>
              <w:right w:val="single" w:sz="4" w:space="0" w:color="auto"/>
            </w:tcBorders>
            <w:shd w:val="clear" w:color="auto" w:fill="auto"/>
            <w:noWrap/>
            <w:vAlign w:val="bottom"/>
            <w:hideMark/>
          </w:tcPr>
          <w:p w14:paraId="76B0379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57.218</w:t>
            </w:r>
          </w:p>
        </w:tc>
        <w:tc>
          <w:tcPr>
            <w:tcW w:w="904" w:type="dxa"/>
            <w:tcBorders>
              <w:top w:val="nil"/>
              <w:left w:val="nil"/>
              <w:bottom w:val="single" w:sz="4" w:space="0" w:color="auto"/>
              <w:right w:val="single" w:sz="4" w:space="0" w:color="auto"/>
            </w:tcBorders>
            <w:shd w:val="clear" w:color="auto" w:fill="auto"/>
            <w:noWrap/>
            <w:vAlign w:val="bottom"/>
            <w:hideMark/>
          </w:tcPr>
          <w:p w14:paraId="6151DB1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51.808</w:t>
            </w:r>
          </w:p>
        </w:tc>
        <w:tc>
          <w:tcPr>
            <w:tcW w:w="904" w:type="dxa"/>
            <w:tcBorders>
              <w:top w:val="nil"/>
              <w:left w:val="nil"/>
              <w:bottom w:val="single" w:sz="4" w:space="0" w:color="auto"/>
              <w:right w:val="single" w:sz="4" w:space="0" w:color="auto"/>
            </w:tcBorders>
            <w:shd w:val="clear" w:color="auto" w:fill="auto"/>
            <w:noWrap/>
            <w:vAlign w:val="bottom"/>
            <w:hideMark/>
          </w:tcPr>
          <w:p w14:paraId="1C4E305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7EA205B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44.151</w:t>
            </w:r>
          </w:p>
        </w:tc>
        <w:tc>
          <w:tcPr>
            <w:tcW w:w="904" w:type="dxa"/>
            <w:tcBorders>
              <w:top w:val="nil"/>
              <w:left w:val="nil"/>
              <w:bottom w:val="single" w:sz="4" w:space="0" w:color="auto"/>
              <w:right w:val="single" w:sz="4" w:space="0" w:color="auto"/>
            </w:tcBorders>
            <w:shd w:val="clear" w:color="auto" w:fill="auto"/>
            <w:noWrap/>
            <w:vAlign w:val="bottom"/>
            <w:hideMark/>
          </w:tcPr>
          <w:p w14:paraId="28C17A6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39.000</w:t>
            </w:r>
          </w:p>
        </w:tc>
        <w:tc>
          <w:tcPr>
            <w:tcW w:w="1946" w:type="dxa"/>
            <w:tcBorders>
              <w:top w:val="nil"/>
              <w:left w:val="nil"/>
              <w:bottom w:val="nil"/>
              <w:right w:val="nil"/>
            </w:tcBorders>
            <w:shd w:val="clear" w:color="auto" w:fill="auto"/>
            <w:noWrap/>
            <w:vAlign w:val="bottom"/>
            <w:hideMark/>
          </w:tcPr>
          <w:p w14:paraId="2182455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7AADAD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8D4218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9</w:t>
            </w:r>
          </w:p>
        </w:tc>
        <w:tc>
          <w:tcPr>
            <w:tcW w:w="904" w:type="dxa"/>
            <w:tcBorders>
              <w:top w:val="nil"/>
              <w:left w:val="nil"/>
              <w:bottom w:val="single" w:sz="4" w:space="0" w:color="auto"/>
              <w:right w:val="single" w:sz="4" w:space="0" w:color="auto"/>
            </w:tcBorders>
            <w:shd w:val="clear" w:color="auto" w:fill="auto"/>
            <w:noWrap/>
            <w:vAlign w:val="bottom"/>
            <w:hideMark/>
          </w:tcPr>
          <w:p w14:paraId="0D16002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53.095</w:t>
            </w:r>
          </w:p>
        </w:tc>
        <w:tc>
          <w:tcPr>
            <w:tcW w:w="904" w:type="dxa"/>
            <w:tcBorders>
              <w:top w:val="nil"/>
              <w:left w:val="nil"/>
              <w:bottom w:val="single" w:sz="4" w:space="0" w:color="auto"/>
              <w:right w:val="single" w:sz="4" w:space="0" w:color="auto"/>
            </w:tcBorders>
            <w:shd w:val="clear" w:color="auto" w:fill="auto"/>
            <w:noWrap/>
            <w:vAlign w:val="bottom"/>
            <w:hideMark/>
          </w:tcPr>
          <w:p w14:paraId="2011553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56.095</w:t>
            </w:r>
          </w:p>
        </w:tc>
        <w:tc>
          <w:tcPr>
            <w:tcW w:w="904" w:type="dxa"/>
            <w:tcBorders>
              <w:top w:val="nil"/>
              <w:left w:val="nil"/>
              <w:bottom w:val="single" w:sz="4" w:space="0" w:color="auto"/>
              <w:right w:val="single" w:sz="4" w:space="0" w:color="auto"/>
            </w:tcBorders>
            <w:shd w:val="clear" w:color="auto" w:fill="auto"/>
            <w:noWrap/>
            <w:vAlign w:val="bottom"/>
            <w:hideMark/>
          </w:tcPr>
          <w:p w14:paraId="53FE6EB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51.095</w:t>
            </w:r>
          </w:p>
        </w:tc>
        <w:tc>
          <w:tcPr>
            <w:tcW w:w="904" w:type="dxa"/>
            <w:tcBorders>
              <w:top w:val="nil"/>
              <w:left w:val="nil"/>
              <w:bottom w:val="single" w:sz="4" w:space="0" w:color="auto"/>
              <w:right w:val="single" w:sz="4" w:space="0" w:color="auto"/>
            </w:tcBorders>
            <w:shd w:val="clear" w:color="auto" w:fill="auto"/>
            <w:noWrap/>
            <w:vAlign w:val="bottom"/>
            <w:hideMark/>
          </w:tcPr>
          <w:p w14:paraId="62EAB04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51.098</w:t>
            </w:r>
          </w:p>
        </w:tc>
        <w:tc>
          <w:tcPr>
            <w:tcW w:w="904" w:type="dxa"/>
            <w:tcBorders>
              <w:top w:val="nil"/>
              <w:left w:val="nil"/>
              <w:bottom w:val="single" w:sz="4" w:space="0" w:color="auto"/>
              <w:right w:val="single" w:sz="4" w:space="0" w:color="auto"/>
            </w:tcBorders>
            <w:shd w:val="clear" w:color="auto" w:fill="auto"/>
            <w:noWrap/>
            <w:vAlign w:val="bottom"/>
            <w:hideMark/>
          </w:tcPr>
          <w:p w14:paraId="607A9F4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44.189</w:t>
            </w:r>
          </w:p>
        </w:tc>
        <w:tc>
          <w:tcPr>
            <w:tcW w:w="904" w:type="dxa"/>
            <w:tcBorders>
              <w:top w:val="nil"/>
              <w:left w:val="nil"/>
              <w:bottom w:val="single" w:sz="4" w:space="0" w:color="auto"/>
              <w:right w:val="single" w:sz="4" w:space="0" w:color="auto"/>
            </w:tcBorders>
            <w:shd w:val="clear" w:color="auto" w:fill="auto"/>
            <w:noWrap/>
            <w:vAlign w:val="bottom"/>
            <w:hideMark/>
          </w:tcPr>
          <w:p w14:paraId="5B3CC20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39.000</w:t>
            </w:r>
          </w:p>
        </w:tc>
        <w:tc>
          <w:tcPr>
            <w:tcW w:w="1946" w:type="dxa"/>
            <w:tcBorders>
              <w:top w:val="nil"/>
              <w:left w:val="nil"/>
              <w:bottom w:val="nil"/>
              <w:right w:val="nil"/>
            </w:tcBorders>
            <w:shd w:val="clear" w:color="auto" w:fill="auto"/>
            <w:noWrap/>
            <w:vAlign w:val="bottom"/>
            <w:hideMark/>
          </w:tcPr>
          <w:p w14:paraId="44EB7316"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D3D500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09A981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10</w:t>
            </w:r>
          </w:p>
        </w:tc>
        <w:tc>
          <w:tcPr>
            <w:tcW w:w="904" w:type="dxa"/>
            <w:tcBorders>
              <w:top w:val="nil"/>
              <w:left w:val="nil"/>
              <w:bottom w:val="single" w:sz="4" w:space="0" w:color="auto"/>
              <w:right w:val="single" w:sz="4" w:space="0" w:color="auto"/>
            </w:tcBorders>
            <w:shd w:val="clear" w:color="auto" w:fill="auto"/>
            <w:noWrap/>
            <w:vAlign w:val="bottom"/>
            <w:hideMark/>
          </w:tcPr>
          <w:p w14:paraId="15C97B5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6D8E131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7E7F730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51.000</w:t>
            </w:r>
          </w:p>
        </w:tc>
        <w:tc>
          <w:tcPr>
            <w:tcW w:w="904" w:type="dxa"/>
            <w:tcBorders>
              <w:top w:val="nil"/>
              <w:left w:val="nil"/>
              <w:bottom w:val="single" w:sz="4" w:space="0" w:color="auto"/>
              <w:right w:val="single" w:sz="4" w:space="0" w:color="auto"/>
            </w:tcBorders>
            <w:shd w:val="clear" w:color="auto" w:fill="auto"/>
            <w:noWrap/>
            <w:vAlign w:val="bottom"/>
            <w:hideMark/>
          </w:tcPr>
          <w:p w14:paraId="7A6CE8B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49.000</w:t>
            </w:r>
          </w:p>
        </w:tc>
        <w:tc>
          <w:tcPr>
            <w:tcW w:w="904" w:type="dxa"/>
            <w:tcBorders>
              <w:top w:val="nil"/>
              <w:left w:val="nil"/>
              <w:bottom w:val="single" w:sz="4" w:space="0" w:color="auto"/>
              <w:right w:val="single" w:sz="4" w:space="0" w:color="auto"/>
            </w:tcBorders>
            <w:shd w:val="clear" w:color="auto" w:fill="auto"/>
            <w:noWrap/>
            <w:vAlign w:val="bottom"/>
            <w:hideMark/>
          </w:tcPr>
          <w:p w14:paraId="3F28F3E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45.896</w:t>
            </w:r>
          </w:p>
        </w:tc>
        <w:tc>
          <w:tcPr>
            <w:tcW w:w="904" w:type="dxa"/>
            <w:tcBorders>
              <w:top w:val="nil"/>
              <w:left w:val="nil"/>
              <w:bottom w:val="single" w:sz="4" w:space="0" w:color="auto"/>
              <w:right w:val="single" w:sz="4" w:space="0" w:color="auto"/>
            </w:tcBorders>
            <w:shd w:val="clear" w:color="auto" w:fill="auto"/>
            <w:noWrap/>
            <w:vAlign w:val="bottom"/>
            <w:hideMark/>
          </w:tcPr>
          <w:p w14:paraId="2122822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39.000</w:t>
            </w:r>
          </w:p>
        </w:tc>
        <w:tc>
          <w:tcPr>
            <w:tcW w:w="1946" w:type="dxa"/>
            <w:tcBorders>
              <w:top w:val="nil"/>
              <w:left w:val="nil"/>
              <w:bottom w:val="nil"/>
              <w:right w:val="nil"/>
            </w:tcBorders>
            <w:shd w:val="clear" w:color="auto" w:fill="auto"/>
            <w:noWrap/>
            <w:vAlign w:val="bottom"/>
            <w:hideMark/>
          </w:tcPr>
          <w:p w14:paraId="43E898D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EB416D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434963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11</w:t>
            </w:r>
          </w:p>
        </w:tc>
        <w:tc>
          <w:tcPr>
            <w:tcW w:w="904" w:type="dxa"/>
            <w:tcBorders>
              <w:top w:val="nil"/>
              <w:left w:val="nil"/>
              <w:bottom w:val="single" w:sz="4" w:space="0" w:color="auto"/>
              <w:right w:val="single" w:sz="4" w:space="0" w:color="auto"/>
            </w:tcBorders>
            <w:shd w:val="clear" w:color="auto" w:fill="auto"/>
            <w:noWrap/>
            <w:vAlign w:val="bottom"/>
            <w:hideMark/>
          </w:tcPr>
          <w:p w14:paraId="30732B6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4D55A29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94BDC0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51.000</w:t>
            </w:r>
          </w:p>
        </w:tc>
        <w:tc>
          <w:tcPr>
            <w:tcW w:w="904" w:type="dxa"/>
            <w:tcBorders>
              <w:top w:val="nil"/>
              <w:left w:val="nil"/>
              <w:bottom w:val="single" w:sz="4" w:space="0" w:color="auto"/>
              <w:right w:val="single" w:sz="4" w:space="0" w:color="auto"/>
            </w:tcBorders>
            <w:shd w:val="clear" w:color="auto" w:fill="auto"/>
            <w:noWrap/>
            <w:vAlign w:val="bottom"/>
            <w:hideMark/>
          </w:tcPr>
          <w:p w14:paraId="1E4458C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49.000</w:t>
            </w:r>
          </w:p>
        </w:tc>
        <w:tc>
          <w:tcPr>
            <w:tcW w:w="904" w:type="dxa"/>
            <w:tcBorders>
              <w:top w:val="nil"/>
              <w:left w:val="nil"/>
              <w:bottom w:val="single" w:sz="4" w:space="0" w:color="auto"/>
              <w:right w:val="single" w:sz="4" w:space="0" w:color="auto"/>
            </w:tcBorders>
            <w:shd w:val="clear" w:color="auto" w:fill="auto"/>
            <w:noWrap/>
            <w:vAlign w:val="bottom"/>
            <w:hideMark/>
          </w:tcPr>
          <w:p w14:paraId="3F0E7D2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46.719</w:t>
            </w:r>
          </w:p>
        </w:tc>
        <w:tc>
          <w:tcPr>
            <w:tcW w:w="904" w:type="dxa"/>
            <w:tcBorders>
              <w:top w:val="nil"/>
              <w:left w:val="nil"/>
              <w:bottom w:val="single" w:sz="4" w:space="0" w:color="auto"/>
              <w:right w:val="single" w:sz="4" w:space="0" w:color="auto"/>
            </w:tcBorders>
            <w:shd w:val="clear" w:color="auto" w:fill="auto"/>
            <w:noWrap/>
            <w:vAlign w:val="bottom"/>
            <w:hideMark/>
          </w:tcPr>
          <w:p w14:paraId="29E4C14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39.823</w:t>
            </w:r>
          </w:p>
        </w:tc>
        <w:tc>
          <w:tcPr>
            <w:tcW w:w="1946" w:type="dxa"/>
            <w:tcBorders>
              <w:top w:val="nil"/>
              <w:left w:val="nil"/>
              <w:bottom w:val="nil"/>
              <w:right w:val="nil"/>
            </w:tcBorders>
            <w:shd w:val="clear" w:color="auto" w:fill="auto"/>
            <w:noWrap/>
            <w:vAlign w:val="bottom"/>
            <w:hideMark/>
          </w:tcPr>
          <w:p w14:paraId="47D76E6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1B25BA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DDC849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12</w:t>
            </w:r>
          </w:p>
        </w:tc>
        <w:tc>
          <w:tcPr>
            <w:tcW w:w="904" w:type="dxa"/>
            <w:tcBorders>
              <w:top w:val="nil"/>
              <w:left w:val="nil"/>
              <w:bottom w:val="single" w:sz="4" w:space="0" w:color="auto"/>
              <w:right w:val="single" w:sz="4" w:space="0" w:color="auto"/>
            </w:tcBorders>
            <w:shd w:val="clear" w:color="auto" w:fill="auto"/>
            <w:noWrap/>
            <w:vAlign w:val="bottom"/>
            <w:hideMark/>
          </w:tcPr>
          <w:p w14:paraId="1FD6F92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15205F4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5F2E22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51.658</w:t>
            </w:r>
          </w:p>
        </w:tc>
        <w:tc>
          <w:tcPr>
            <w:tcW w:w="904" w:type="dxa"/>
            <w:tcBorders>
              <w:top w:val="nil"/>
              <w:left w:val="nil"/>
              <w:bottom w:val="single" w:sz="4" w:space="0" w:color="auto"/>
              <w:right w:val="single" w:sz="4" w:space="0" w:color="auto"/>
            </w:tcBorders>
            <w:shd w:val="clear" w:color="auto" w:fill="auto"/>
            <w:noWrap/>
            <w:vAlign w:val="bottom"/>
            <w:hideMark/>
          </w:tcPr>
          <w:p w14:paraId="21DBE6F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49.000</w:t>
            </w:r>
          </w:p>
        </w:tc>
        <w:tc>
          <w:tcPr>
            <w:tcW w:w="904" w:type="dxa"/>
            <w:tcBorders>
              <w:top w:val="nil"/>
              <w:left w:val="nil"/>
              <w:bottom w:val="single" w:sz="4" w:space="0" w:color="auto"/>
              <w:right w:val="single" w:sz="4" w:space="0" w:color="auto"/>
            </w:tcBorders>
            <w:shd w:val="clear" w:color="auto" w:fill="auto"/>
            <w:noWrap/>
            <w:vAlign w:val="bottom"/>
            <w:hideMark/>
          </w:tcPr>
          <w:p w14:paraId="0C37521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45.556</w:t>
            </w:r>
          </w:p>
        </w:tc>
        <w:tc>
          <w:tcPr>
            <w:tcW w:w="904" w:type="dxa"/>
            <w:tcBorders>
              <w:top w:val="nil"/>
              <w:left w:val="nil"/>
              <w:bottom w:val="single" w:sz="4" w:space="0" w:color="auto"/>
              <w:right w:val="single" w:sz="4" w:space="0" w:color="auto"/>
            </w:tcBorders>
            <w:shd w:val="clear" w:color="auto" w:fill="auto"/>
            <w:noWrap/>
            <w:vAlign w:val="bottom"/>
            <w:hideMark/>
          </w:tcPr>
          <w:p w14:paraId="4154179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41.000</w:t>
            </w:r>
          </w:p>
        </w:tc>
        <w:tc>
          <w:tcPr>
            <w:tcW w:w="1946" w:type="dxa"/>
            <w:tcBorders>
              <w:top w:val="nil"/>
              <w:left w:val="nil"/>
              <w:bottom w:val="nil"/>
              <w:right w:val="nil"/>
            </w:tcBorders>
            <w:shd w:val="clear" w:color="auto" w:fill="auto"/>
            <w:noWrap/>
            <w:vAlign w:val="bottom"/>
            <w:hideMark/>
          </w:tcPr>
          <w:p w14:paraId="5219C54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0EB82A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273299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13</w:t>
            </w:r>
          </w:p>
        </w:tc>
        <w:tc>
          <w:tcPr>
            <w:tcW w:w="904" w:type="dxa"/>
            <w:tcBorders>
              <w:top w:val="nil"/>
              <w:left w:val="nil"/>
              <w:bottom w:val="single" w:sz="4" w:space="0" w:color="auto"/>
              <w:right w:val="single" w:sz="4" w:space="0" w:color="auto"/>
            </w:tcBorders>
            <w:shd w:val="clear" w:color="auto" w:fill="auto"/>
            <w:noWrap/>
            <w:vAlign w:val="bottom"/>
            <w:hideMark/>
          </w:tcPr>
          <w:p w14:paraId="470EDBA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200E254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55.902</w:t>
            </w:r>
          </w:p>
        </w:tc>
        <w:tc>
          <w:tcPr>
            <w:tcW w:w="904" w:type="dxa"/>
            <w:tcBorders>
              <w:top w:val="nil"/>
              <w:left w:val="nil"/>
              <w:bottom w:val="single" w:sz="4" w:space="0" w:color="auto"/>
              <w:right w:val="single" w:sz="4" w:space="0" w:color="auto"/>
            </w:tcBorders>
            <w:shd w:val="clear" w:color="auto" w:fill="auto"/>
            <w:noWrap/>
            <w:vAlign w:val="bottom"/>
            <w:hideMark/>
          </w:tcPr>
          <w:p w14:paraId="59B9262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2EF98EB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49.085</w:t>
            </w:r>
          </w:p>
        </w:tc>
        <w:tc>
          <w:tcPr>
            <w:tcW w:w="904" w:type="dxa"/>
            <w:tcBorders>
              <w:top w:val="nil"/>
              <w:left w:val="nil"/>
              <w:bottom w:val="single" w:sz="4" w:space="0" w:color="auto"/>
              <w:right w:val="single" w:sz="4" w:space="0" w:color="auto"/>
            </w:tcBorders>
            <w:shd w:val="clear" w:color="auto" w:fill="auto"/>
            <w:noWrap/>
            <w:vAlign w:val="bottom"/>
            <w:hideMark/>
          </w:tcPr>
          <w:p w14:paraId="36E4050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45.027</w:t>
            </w:r>
          </w:p>
        </w:tc>
        <w:tc>
          <w:tcPr>
            <w:tcW w:w="904" w:type="dxa"/>
            <w:tcBorders>
              <w:top w:val="nil"/>
              <w:left w:val="nil"/>
              <w:bottom w:val="single" w:sz="4" w:space="0" w:color="auto"/>
              <w:right w:val="single" w:sz="4" w:space="0" w:color="auto"/>
            </w:tcBorders>
            <w:shd w:val="clear" w:color="auto" w:fill="auto"/>
            <w:noWrap/>
            <w:vAlign w:val="bottom"/>
            <w:hideMark/>
          </w:tcPr>
          <w:p w14:paraId="64A29B0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41.173</w:t>
            </w:r>
          </w:p>
        </w:tc>
        <w:tc>
          <w:tcPr>
            <w:tcW w:w="1946" w:type="dxa"/>
            <w:tcBorders>
              <w:top w:val="nil"/>
              <w:left w:val="nil"/>
              <w:bottom w:val="nil"/>
              <w:right w:val="nil"/>
            </w:tcBorders>
            <w:shd w:val="clear" w:color="auto" w:fill="auto"/>
            <w:noWrap/>
            <w:vAlign w:val="bottom"/>
            <w:hideMark/>
          </w:tcPr>
          <w:p w14:paraId="4D21B36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227D3C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600288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14</w:t>
            </w:r>
          </w:p>
        </w:tc>
        <w:tc>
          <w:tcPr>
            <w:tcW w:w="904" w:type="dxa"/>
            <w:tcBorders>
              <w:top w:val="nil"/>
              <w:left w:val="nil"/>
              <w:bottom w:val="single" w:sz="4" w:space="0" w:color="auto"/>
              <w:right w:val="single" w:sz="4" w:space="0" w:color="auto"/>
            </w:tcBorders>
            <w:shd w:val="clear" w:color="auto" w:fill="auto"/>
            <w:noWrap/>
            <w:vAlign w:val="bottom"/>
            <w:hideMark/>
          </w:tcPr>
          <w:p w14:paraId="4F1F46B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7DE8B07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55.051</w:t>
            </w:r>
          </w:p>
        </w:tc>
        <w:tc>
          <w:tcPr>
            <w:tcW w:w="904" w:type="dxa"/>
            <w:tcBorders>
              <w:top w:val="nil"/>
              <w:left w:val="nil"/>
              <w:bottom w:val="single" w:sz="4" w:space="0" w:color="auto"/>
              <w:right w:val="single" w:sz="4" w:space="0" w:color="auto"/>
            </w:tcBorders>
            <w:shd w:val="clear" w:color="auto" w:fill="auto"/>
            <w:noWrap/>
            <w:vAlign w:val="bottom"/>
            <w:hideMark/>
          </w:tcPr>
          <w:p w14:paraId="62C7E60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29D192E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50.232</w:t>
            </w:r>
          </w:p>
        </w:tc>
        <w:tc>
          <w:tcPr>
            <w:tcW w:w="904" w:type="dxa"/>
            <w:tcBorders>
              <w:top w:val="nil"/>
              <w:left w:val="nil"/>
              <w:bottom w:val="single" w:sz="4" w:space="0" w:color="auto"/>
              <w:right w:val="single" w:sz="4" w:space="0" w:color="auto"/>
            </w:tcBorders>
            <w:shd w:val="clear" w:color="auto" w:fill="auto"/>
            <w:noWrap/>
            <w:vAlign w:val="bottom"/>
            <w:hideMark/>
          </w:tcPr>
          <w:p w14:paraId="67FDB6B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45.619</w:t>
            </w:r>
          </w:p>
        </w:tc>
        <w:tc>
          <w:tcPr>
            <w:tcW w:w="904" w:type="dxa"/>
            <w:tcBorders>
              <w:top w:val="nil"/>
              <w:left w:val="nil"/>
              <w:bottom w:val="single" w:sz="4" w:space="0" w:color="auto"/>
              <w:right w:val="single" w:sz="4" w:space="0" w:color="auto"/>
            </w:tcBorders>
            <w:shd w:val="clear" w:color="auto" w:fill="auto"/>
            <w:noWrap/>
            <w:vAlign w:val="bottom"/>
            <w:hideMark/>
          </w:tcPr>
          <w:p w14:paraId="0B5805B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43.846</w:t>
            </w:r>
          </w:p>
        </w:tc>
        <w:tc>
          <w:tcPr>
            <w:tcW w:w="1946" w:type="dxa"/>
            <w:tcBorders>
              <w:top w:val="nil"/>
              <w:left w:val="nil"/>
              <w:bottom w:val="nil"/>
              <w:right w:val="nil"/>
            </w:tcBorders>
            <w:shd w:val="clear" w:color="auto" w:fill="auto"/>
            <w:noWrap/>
            <w:vAlign w:val="bottom"/>
            <w:hideMark/>
          </w:tcPr>
          <w:p w14:paraId="4AE018E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695FE9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CF315F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15</w:t>
            </w:r>
          </w:p>
        </w:tc>
        <w:tc>
          <w:tcPr>
            <w:tcW w:w="904" w:type="dxa"/>
            <w:tcBorders>
              <w:top w:val="nil"/>
              <w:left w:val="nil"/>
              <w:bottom w:val="single" w:sz="4" w:space="0" w:color="auto"/>
              <w:right w:val="single" w:sz="4" w:space="0" w:color="auto"/>
            </w:tcBorders>
            <w:shd w:val="clear" w:color="auto" w:fill="auto"/>
            <w:noWrap/>
            <w:vAlign w:val="bottom"/>
            <w:hideMark/>
          </w:tcPr>
          <w:p w14:paraId="349E547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391B016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C1140F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56.105</w:t>
            </w:r>
          </w:p>
        </w:tc>
        <w:tc>
          <w:tcPr>
            <w:tcW w:w="904" w:type="dxa"/>
            <w:tcBorders>
              <w:top w:val="nil"/>
              <w:left w:val="nil"/>
              <w:bottom w:val="single" w:sz="4" w:space="0" w:color="auto"/>
              <w:right w:val="single" w:sz="4" w:space="0" w:color="auto"/>
            </w:tcBorders>
            <w:shd w:val="clear" w:color="auto" w:fill="auto"/>
            <w:noWrap/>
            <w:vAlign w:val="bottom"/>
            <w:hideMark/>
          </w:tcPr>
          <w:p w14:paraId="1CF5B28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51.743</w:t>
            </w:r>
          </w:p>
        </w:tc>
        <w:tc>
          <w:tcPr>
            <w:tcW w:w="904" w:type="dxa"/>
            <w:tcBorders>
              <w:top w:val="nil"/>
              <w:left w:val="nil"/>
              <w:bottom w:val="single" w:sz="4" w:space="0" w:color="auto"/>
              <w:right w:val="single" w:sz="4" w:space="0" w:color="auto"/>
            </w:tcBorders>
            <w:shd w:val="clear" w:color="auto" w:fill="auto"/>
            <w:noWrap/>
            <w:vAlign w:val="bottom"/>
            <w:hideMark/>
          </w:tcPr>
          <w:p w14:paraId="18CD948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46.937</w:t>
            </w:r>
          </w:p>
        </w:tc>
        <w:tc>
          <w:tcPr>
            <w:tcW w:w="904" w:type="dxa"/>
            <w:tcBorders>
              <w:top w:val="nil"/>
              <w:left w:val="nil"/>
              <w:bottom w:val="single" w:sz="4" w:space="0" w:color="auto"/>
              <w:right w:val="single" w:sz="4" w:space="0" w:color="auto"/>
            </w:tcBorders>
            <w:shd w:val="clear" w:color="auto" w:fill="auto"/>
            <w:noWrap/>
            <w:vAlign w:val="bottom"/>
            <w:hideMark/>
          </w:tcPr>
          <w:p w14:paraId="21C778C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44.000</w:t>
            </w:r>
          </w:p>
        </w:tc>
        <w:tc>
          <w:tcPr>
            <w:tcW w:w="1946" w:type="dxa"/>
            <w:tcBorders>
              <w:top w:val="nil"/>
              <w:left w:val="nil"/>
              <w:bottom w:val="nil"/>
              <w:right w:val="nil"/>
            </w:tcBorders>
            <w:shd w:val="clear" w:color="auto" w:fill="auto"/>
            <w:noWrap/>
            <w:vAlign w:val="bottom"/>
            <w:hideMark/>
          </w:tcPr>
          <w:p w14:paraId="7C702DB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E7AC0A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355140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16</w:t>
            </w:r>
          </w:p>
        </w:tc>
        <w:tc>
          <w:tcPr>
            <w:tcW w:w="904" w:type="dxa"/>
            <w:tcBorders>
              <w:top w:val="nil"/>
              <w:left w:val="nil"/>
              <w:bottom w:val="single" w:sz="4" w:space="0" w:color="auto"/>
              <w:right w:val="single" w:sz="4" w:space="0" w:color="auto"/>
            </w:tcBorders>
            <w:shd w:val="clear" w:color="auto" w:fill="auto"/>
            <w:noWrap/>
            <w:vAlign w:val="bottom"/>
            <w:hideMark/>
          </w:tcPr>
          <w:p w14:paraId="21EDAE9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365018F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39DBBA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D877A6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904" w:type="dxa"/>
            <w:tcBorders>
              <w:top w:val="nil"/>
              <w:left w:val="nil"/>
              <w:bottom w:val="single" w:sz="4" w:space="0" w:color="auto"/>
              <w:right w:val="single" w:sz="4" w:space="0" w:color="auto"/>
            </w:tcBorders>
            <w:shd w:val="clear" w:color="auto" w:fill="auto"/>
            <w:noWrap/>
            <w:vAlign w:val="bottom"/>
            <w:hideMark/>
          </w:tcPr>
          <w:p w14:paraId="1170D95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47.000</w:t>
            </w:r>
          </w:p>
        </w:tc>
        <w:tc>
          <w:tcPr>
            <w:tcW w:w="904" w:type="dxa"/>
            <w:tcBorders>
              <w:top w:val="nil"/>
              <w:left w:val="nil"/>
              <w:bottom w:val="single" w:sz="4" w:space="0" w:color="auto"/>
              <w:right w:val="single" w:sz="4" w:space="0" w:color="auto"/>
            </w:tcBorders>
            <w:shd w:val="clear" w:color="auto" w:fill="auto"/>
            <w:noWrap/>
            <w:vAlign w:val="bottom"/>
            <w:hideMark/>
          </w:tcPr>
          <w:p w14:paraId="314E3FA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44.480</w:t>
            </w:r>
          </w:p>
        </w:tc>
        <w:tc>
          <w:tcPr>
            <w:tcW w:w="1946" w:type="dxa"/>
            <w:tcBorders>
              <w:top w:val="nil"/>
              <w:left w:val="nil"/>
              <w:bottom w:val="nil"/>
              <w:right w:val="nil"/>
            </w:tcBorders>
            <w:shd w:val="clear" w:color="auto" w:fill="auto"/>
            <w:noWrap/>
            <w:vAlign w:val="bottom"/>
            <w:hideMark/>
          </w:tcPr>
          <w:p w14:paraId="21ED0F9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419C66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63CDEF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17</w:t>
            </w:r>
          </w:p>
        </w:tc>
        <w:tc>
          <w:tcPr>
            <w:tcW w:w="904" w:type="dxa"/>
            <w:tcBorders>
              <w:top w:val="nil"/>
              <w:left w:val="nil"/>
              <w:bottom w:val="single" w:sz="4" w:space="0" w:color="auto"/>
              <w:right w:val="single" w:sz="4" w:space="0" w:color="auto"/>
            </w:tcBorders>
            <w:shd w:val="clear" w:color="auto" w:fill="auto"/>
            <w:noWrap/>
            <w:vAlign w:val="bottom"/>
            <w:hideMark/>
          </w:tcPr>
          <w:p w14:paraId="48429AF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54.433</w:t>
            </w:r>
          </w:p>
        </w:tc>
        <w:tc>
          <w:tcPr>
            <w:tcW w:w="904" w:type="dxa"/>
            <w:tcBorders>
              <w:top w:val="nil"/>
              <w:left w:val="nil"/>
              <w:bottom w:val="single" w:sz="4" w:space="0" w:color="auto"/>
              <w:right w:val="single" w:sz="4" w:space="0" w:color="auto"/>
            </w:tcBorders>
            <w:shd w:val="clear" w:color="auto" w:fill="auto"/>
            <w:noWrap/>
            <w:vAlign w:val="bottom"/>
            <w:hideMark/>
          </w:tcPr>
          <w:p w14:paraId="3E3F215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16EFB26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049B9CB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53.433</w:t>
            </w:r>
          </w:p>
        </w:tc>
        <w:tc>
          <w:tcPr>
            <w:tcW w:w="904" w:type="dxa"/>
            <w:tcBorders>
              <w:top w:val="nil"/>
              <w:left w:val="nil"/>
              <w:bottom w:val="single" w:sz="4" w:space="0" w:color="auto"/>
              <w:right w:val="single" w:sz="4" w:space="0" w:color="auto"/>
            </w:tcBorders>
            <w:shd w:val="clear" w:color="auto" w:fill="auto"/>
            <w:noWrap/>
            <w:vAlign w:val="bottom"/>
            <w:hideMark/>
          </w:tcPr>
          <w:p w14:paraId="60D7F20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48.433</w:t>
            </w:r>
          </w:p>
        </w:tc>
        <w:tc>
          <w:tcPr>
            <w:tcW w:w="904" w:type="dxa"/>
            <w:tcBorders>
              <w:top w:val="nil"/>
              <w:left w:val="nil"/>
              <w:bottom w:val="single" w:sz="4" w:space="0" w:color="auto"/>
              <w:right w:val="single" w:sz="4" w:space="0" w:color="auto"/>
            </w:tcBorders>
            <w:shd w:val="clear" w:color="auto" w:fill="auto"/>
            <w:noWrap/>
            <w:vAlign w:val="bottom"/>
            <w:hideMark/>
          </w:tcPr>
          <w:p w14:paraId="576C85F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45.903</w:t>
            </w:r>
          </w:p>
        </w:tc>
        <w:tc>
          <w:tcPr>
            <w:tcW w:w="1946" w:type="dxa"/>
            <w:tcBorders>
              <w:top w:val="nil"/>
              <w:left w:val="nil"/>
              <w:bottom w:val="nil"/>
              <w:right w:val="nil"/>
            </w:tcBorders>
            <w:shd w:val="clear" w:color="auto" w:fill="auto"/>
            <w:noWrap/>
            <w:vAlign w:val="bottom"/>
            <w:hideMark/>
          </w:tcPr>
          <w:p w14:paraId="795CB1B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3D3FE5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BDCC42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18</w:t>
            </w:r>
          </w:p>
        </w:tc>
        <w:tc>
          <w:tcPr>
            <w:tcW w:w="904" w:type="dxa"/>
            <w:tcBorders>
              <w:top w:val="nil"/>
              <w:left w:val="nil"/>
              <w:bottom w:val="single" w:sz="4" w:space="0" w:color="auto"/>
              <w:right w:val="single" w:sz="4" w:space="0" w:color="auto"/>
            </w:tcBorders>
            <w:shd w:val="clear" w:color="auto" w:fill="auto"/>
            <w:noWrap/>
            <w:vAlign w:val="bottom"/>
            <w:hideMark/>
          </w:tcPr>
          <w:p w14:paraId="7F5E775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616318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7C76127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56.756</w:t>
            </w:r>
          </w:p>
        </w:tc>
        <w:tc>
          <w:tcPr>
            <w:tcW w:w="904" w:type="dxa"/>
            <w:tcBorders>
              <w:top w:val="nil"/>
              <w:left w:val="nil"/>
              <w:bottom w:val="single" w:sz="4" w:space="0" w:color="auto"/>
              <w:right w:val="single" w:sz="4" w:space="0" w:color="auto"/>
            </w:tcBorders>
            <w:shd w:val="clear" w:color="auto" w:fill="auto"/>
            <w:noWrap/>
            <w:vAlign w:val="bottom"/>
            <w:hideMark/>
          </w:tcPr>
          <w:p w14:paraId="58AFD2B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6C34D01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50.369</w:t>
            </w:r>
          </w:p>
        </w:tc>
        <w:tc>
          <w:tcPr>
            <w:tcW w:w="904" w:type="dxa"/>
            <w:tcBorders>
              <w:top w:val="nil"/>
              <w:left w:val="nil"/>
              <w:bottom w:val="single" w:sz="4" w:space="0" w:color="auto"/>
              <w:right w:val="single" w:sz="4" w:space="0" w:color="auto"/>
            </w:tcBorders>
            <w:shd w:val="clear" w:color="auto" w:fill="auto"/>
            <w:noWrap/>
            <w:vAlign w:val="bottom"/>
            <w:hideMark/>
          </w:tcPr>
          <w:p w14:paraId="4120C38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46.426</w:t>
            </w:r>
          </w:p>
        </w:tc>
        <w:tc>
          <w:tcPr>
            <w:tcW w:w="1946" w:type="dxa"/>
            <w:tcBorders>
              <w:top w:val="nil"/>
              <w:left w:val="nil"/>
              <w:bottom w:val="nil"/>
              <w:right w:val="nil"/>
            </w:tcBorders>
            <w:shd w:val="clear" w:color="auto" w:fill="auto"/>
            <w:noWrap/>
            <w:vAlign w:val="bottom"/>
            <w:hideMark/>
          </w:tcPr>
          <w:p w14:paraId="20F8CCC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EE1EFB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6D18E4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19</w:t>
            </w:r>
          </w:p>
        </w:tc>
        <w:tc>
          <w:tcPr>
            <w:tcW w:w="904" w:type="dxa"/>
            <w:tcBorders>
              <w:top w:val="nil"/>
              <w:left w:val="nil"/>
              <w:bottom w:val="single" w:sz="4" w:space="0" w:color="auto"/>
              <w:right w:val="single" w:sz="4" w:space="0" w:color="auto"/>
            </w:tcBorders>
            <w:shd w:val="clear" w:color="auto" w:fill="auto"/>
            <w:noWrap/>
            <w:vAlign w:val="bottom"/>
            <w:hideMark/>
          </w:tcPr>
          <w:p w14:paraId="604CDE0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56.518</w:t>
            </w:r>
          </w:p>
        </w:tc>
        <w:tc>
          <w:tcPr>
            <w:tcW w:w="904" w:type="dxa"/>
            <w:tcBorders>
              <w:top w:val="nil"/>
              <w:left w:val="nil"/>
              <w:bottom w:val="single" w:sz="4" w:space="0" w:color="auto"/>
              <w:right w:val="single" w:sz="4" w:space="0" w:color="auto"/>
            </w:tcBorders>
            <w:shd w:val="clear" w:color="auto" w:fill="auto"/>
            <w:noWrap/>
            <w:vAlign w:val="bottom"/>
            <w:hideMark/>
          </w:tcPr>
          <w:p w14:paraId="7FEE023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55.526</w:t>
            </w:r>
          </w:p>
        </w:tc>
        <w:tc>
          <w:tcPr>
            <w:tcW w:w="904" w:type="dxa"/>
            <w:tcBorders>
              <w:top w:val="nil"/>
              <w:left w:val="nil"/>
              <w:bottom w:val="single" w:sz="4" w:space="0" w:color="auto"/>
              <w:right w:val="single" w:sz="4" w:space="0" w:color="auto"/>
            </w:tcBorders>
            <w:shd w:val="clear" w:color="auto" w:fill="auto"/>
            <w:noWrap/>
            <w:vAlign w:val="bottom"/>
            <w:hideMark/>
          </w:tcPr>
          <w:p w14:paraId="68D7CBC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56.090</w:t>
            </w:r>
          </w:p>
        </w:tc>
        <w:tc>
          <w:tcPr>
            <w:tcW w:w="904" w:type="dxa"/>
            <w:tcBorders>
              <w:top w:val="nil"/>
              <w:left w:val="nil"/>
              <w:bottom w:val="single" w:sz="4" w:space="0" w:color="auto"/>
              <w:right w:val="single" w:sz="4" w:space="0" w:color="auto"/>
            </w:tcBorders>
            <w:shd w:val="clear" w:color="auto" w:fill="auto"/>
            <w:noWrap/>
            <w:vAlign w:val="bottom"/>
            <w:hideMark/>
          </w:tcPr>
          <w:p w14:paraId="39B0619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3E9C935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52.008</w:t>
            </w:r>
          </w:p>
        </w:tc>
        <w:tc>
          <w:tcPr>
            <w:tcW w:w="904" w:type="dxa"/>
            <w:tcBorders>
              <w:top w:val="nil"/>
              <w:left w:val="nil"/>
              <w:bottom w:val="single" w:sz="4" w:space="0" w:color="auto"/>
              <w:right w:val="single" w:sz="4" w:space="0" w:color="auto"/>
            </w:tcBorders>
            <w:shd w:val="clear" w:color="auto" w:fill="auto"/>
            <w:noWrap/>
            <w:vAlign w:val="bottom"/>
            <w:hideMark/>
          </w:tcPr>
          <w:p w14:paraId="17CDD81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48.890</w:t>
            </w:r>
          </w:p>
        </w:tc>
        <w:tc>
          <w:tcPr>
            <w:tcW w:w="1946" w:type="dxa"/>
            <w:tcBorders>
              <w:top w:val="nil"/>
              <w:left w:val="nil"/>
              <w:bottom w:val="nil"/>
              <w:right w:val="nil"/>
            </w:tcBorders>
            <w:shd w:val="clear" w:color="auto" w:fill="auto"/>
            <w:noWrap/>
            <w:vAlign w:val="bottom"/>
            <w:hideMark/>
          </w:tcPr>
          <w:p w14:paraId="4EE694A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9341F5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CB6DF0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20</w:t>
            </w:r>
          </w:p>
        </w:tc>
        <w:tc>
          <w:tcPr>
            <w:tcW w:w="904" w:type="dxa"/>
            <w:tcBorders>
              <w:top w:val="nil"/>
              <w:left w:val="nil"/>
              <w:bottom w:val="single" w:sz="4" w:space="0" w:color="auto"/>
              <w:right w:val="single" w:sz="4" w:space="0" w:color="auto"/>
            </w:tcBorders>
            <w:shd w:val="clear" w:color="auto" w:fill="auto"/>
            <w:noWrap/>
            <w:vAlign w:val="bottom"/>
            <w:hideMark/>
          </w:tcPr>
          <w:p w14:paraId="4E97FB5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7914D7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C55651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5313BFD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37B302C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53.025</w:t>
            </w:r>
          </w:p>
        </w:tc>
        <w:tc>
          <w:tcPr>
            <w:tcW w:w="904" w:type="dxa"/>
            <w:tcBorders>
              <w:top w:val="nil"/>
              <w:left w:val="nil"/>
              <w:bottom w:val="single" w:sz="4" w:space="0" w:color="auto"/>
              <w:right w:val="single" w:sz="4" w:space="0" w:color="auto"/>
            </w:tcBorders>
            <w:shd w:val="clear" w:color="auto" w:fill="auto"/>
            <w:noWrap/>
            <w:vAlign w:val="bottom"/>
            <w:hideMark/>
          </w:tcPr>
          <w:p w14:paraId="697D7EA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49.081</w:t>
            </w:r>
          </w:p>
        </w:tc>
        <w:tc>
          <w:tcPr>
            <w:tcW w:w="1946" w:type="dxa"/>
            <w:tcBorders>
              <w:top w:val="nil"/>
              <w:left w:val="nil"/>
              <w:bottom w:val="nil"/>
              <w:right w:val="nil"/>
            </w:tcBorders>
            <w:shd w:val="clear" w:color="auto" w:fill="auto"/>
            <w:noWrap/>
            <w:vAlign w:val="bottom"/>
            <w:hideMark/>
          </w:tcPr>
          <w:p w14:paraId="0E71A78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C0F873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FA207E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21</w:t>
            </w:r>
          </w:p>
        </w:tc>
        <w:tc>
          <w:tcPr>
            <w:tcW w:w="904" w:type="dxa"/>
            <w:tcBorders>
              <w:top w:val="nil"/>
              <w:left w:val="nil"/>
              <w:bottom w:val="single" w:sz="4" w:space="0" w:color="auto"/>
              <w:right w:val="single" w:sz="4" w:space="0" w:color="auto"/>
            </w:tcBorders>
            <w:shd w:val="clear" w:color="auto" w:fill="auto"/>
            <w:noWrap/>
            <w:vAlign w:val="bottom"/>
            <w:hideMark/>
          </w:tcPr>
          <w:p w14:paraId="2616A3A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D90287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E6E047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DAD7CB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1396DA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54.884</w:t>
            </w:r>
          </w:p>
        </w:tc>
        <w:tc>
          <w:tcPr>
            <w:tcW w:w="904" w:type="dxa"/>
            <w:tcBorders>
              <w:top w:val="nil"/>
              <w:left w:val="nil"/>
              <w:bottom w:val="single" w:sz="4" w:space="0" w:color="auto"/>
              <w:right w:val="single" w:sz="4" w:space="0" w:color="auto"/>
            </w:tcBorders>
            <w:shd w:val="clear" w:color="auto" w:fill="auto"/>
            <w:noWrap/>
            <w:vAlign w:val="bottom"/>
            <w:hideMark/>
          </w:tcPr>
          <w:p w14:paraId="1D421AB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51.650</w:t>
            </w:r>
          </w:p>
        </w:tc>
        <w:tc>
          <w:tcPr>
            <w:tcW w:w="1946" w:type="dxa"/>
            <w:tcBorders>
              <w:top w:val="nil"/>
              <w:left w:val="nil"/>
              <w:bottom w:val="nil"/>
              <w:right w:val="nil"/>
            </w:tcBorders>
            <w:shd w:val="clear" w:color="auto" w:fill="auto"/>
            <w:noWrap/>
            <w:vAlign w:val="bottom"/>
            <w:hideMark/>
          </w:tcPr>
          <w:p w14:paraId="0C0878D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75CC29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AC370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22</w:t>
            </w:r>
          </w:p>
        </w:tc>
        <w:tc>
          <w:tcPr>
            <w:tcW w:w="904" w:type="dxa"/>
            <w:tcBorders>
              <w:top w:val="nil"/>
              <w:left w:val="nil"/>
              <w:bottom w:val="single" w:sz="4" w:space="0" w:color="auto"/>
              <w:right w:val="single" w:sz="4" w:space="0" w:color="auto"/>
            </w:tcBorders>
            <w:shd w:val="clear" w:color="auto" w:fill="auto"/>
            <w:noWrap/>
            <w:vAlign w:val="bottom"/>
            <w:hideMark/>
          </w:tcPr>
          <w:p w14:paraId="76BABE1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51C0A9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FCF3B9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5C2CF52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56.819</w:t>
            </w:r>
          </w:p>
        </w:tc>
        <w:tc>
          <w:tcPr>
            <w:tcW w:w="904" w:type="dxa"/>
            <w:tcBorders>
              <w:top w:val="nil"/>
              <w:left w:val="nil"/>
              <w:bottom w:val="single" w:sz="4" w:space="0" w:color="auto"/>
              <w:right w:val="single" w:sz="4" w:space="0" w:color="auto"/>
            </w:tcBorders>
            <w:shd w:val="clear" w:color="auto" w:fill="auto"/>
            <w:noWrap/>
            <w:vAlign w:val="bottom"/>
            <w:hideMark/>
          </w:tcPr>
          <w:p w14:paraId="43C4C97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6F71588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51.473</w:t>
            </w:r>
          </w:p>
        </w:tc>
        <w:tc>
          <w:tcPr>
            <w:tcW w:w="1946" w:type="dxa"/>
            <w:tcBorders>
              <w:top w:val="nil"/>
              <w:left w:val="nil"/>
              <w:bottom w:val="nil"/>
              <w:right w:val="nil"/>
            </w:tcBorders>
            <w:shd w:val="clear" w:color="auto" w:fill="auto"/>
            <w:noWrap/>
            <w:vAlign w:val="bottom"/>
            <w:hideMark/>
          </w:tcPr>
          <w:p w14:paraId="6A5D463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6E6664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CA2F82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lastRenderedPageBreak/>
              <w:t>23</w:t>
            </w:r>
          </w:p>
        </w:tc>
        <w:tc>
          <w:tcPr>
            <w:tcW w:w="904" w:type="dxa"/>
            <w:tcBorders>
              <w:top w:val="nil"/>
              <w:left w:val="nil"/>
              <w:bottom w:val="single" w:sz="4" w:space="0" w:color="auto"/>
              <w:right w:val="single" w:sz="4" w:space="0" w:color="auto"/>
            </w:tcBorders>
            <w:shd w:val="clear" w:color="auto" w:fill="auto"/>
            <w:noWrap/>
            <w:vAlign w:val="bottom"/>
            <w:hideMark/>
          </w:tcPr>
          <w:p w14:paraId="7317827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67F581F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089014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330210D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57.566</w:t>
            </w:r>
          </w:p>
        </w:tc>
        <w:tc>
          <w:tcPr>
            <w:tcW w:w="904" w:type="dxa"/>
            <w:tcBorders>
              <w:top w:val="nil"/>
              <w:left w:val="nil"/>
              <w:bottom w:val="single" w:sz="4" w:space="0" w:color="auto"/>
              <w:right w:val="single" w:sz="4" w:space="0" w:color="auto"/>
            </w:tcBorders>
            <w:shd w:val="clear" w:color="auto" w:fill="auto"/>
            <w:noWrap/>
            <w:vAlign w:val="bottom"/>
            <w:hideMark/>
          </w:tcPr>
          <w:p w14:paraId="714D46C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3CA1E48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51.000</w:t>
            </w:r>
          </w:p>
        </w:tc>
        <w:tc>
          <w:tcPr>
            <w:tcW w:w="1946" w:type="dxa"/>
            <w:tcBorders>
              <w:top w:val="nil"/>
              <w:left w:val="nil"/>
              <w:bottom w:val="nil"/>
              <w:right w:val="nil"/>
            </w:tcBorders>
            <w:shd w:val="clear" w:color="auto" w:fill="auto"/>
            <w:noWrap/>
            <w:vAlign w:val="bottom"/>
            <w:hideMark/>
          </w:tcPr>
          <w:p w14:paraId="29C85EB7"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D24026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FED81F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24</w:t>
            </w:r>
          </w:p>
        </w:tc>
        <w:tc>
          <w:tcPr>
            <w:tcW w:w="904" w:type="dxa"/>
            <w:tcBorders>
              <w:top w:val="nil"/>
              <w:left w:val="nil"/>
              <w:bottom w:val="single" w:sz="4" w:space="0" w:color="auto"/>
              <w:right w:val="single" w:sz="4" w:space="0" w:color="auto"/>
            </w:tcBorders>
            <w:shd w:val="clear" w:color="auto" w:fill="auto"/>
            <w:noWrap/>
            <w:vAlign w:val="bottom"/>
            <w:hideMark/>
          </w:tcPr>
          <w:p w14:paraId="659EA21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11BE08C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26396C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019B498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3D5F6FB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114EA75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51.373</w:t>
            </w:r>
          </w:p>
        </w:tc>
        <w:tc>
          <w:tcPr>
            <w:tcW w:w="1946" w:type="dxa"/>
            <w:tcBorders>
              <w:top w:val="nil"/>
              <w:left w:val="nil"/>
              <w:bottom w:val="nil"/>
              <w:right w:val="nil"/>
            </w:tcBorders>
            <w:shd w:val="clear" w:color="auto" w:fill="auto"/>
            <w:noWrap/>
            <w:vAlign w:val="bottom"/>
            <w:hideMark/>
          </w:tcPr>
          <w:p w14:paraId="117769D6"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FC03FD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97DAE3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25</w:t>
            </w:r>
          </w:p>
        </w:tc>
        <w:tc>
          <w:tcPr>
            <w:tcW w:w="904" w:type="dxa"/>
            <w:tcBorders>
              <w:top w:val="nil"/>
              <w:left w:val="nil"/>
              <w:bottom w:val="single" w:sz="4" w:space="0" w:color="auto"/>
              <w:right w:val="single" w:sz="4" w:space="0" w:color="auto"/>
            </w:tcBorders>
            <w:shd w:val="clear" w:color="auto" w:fill="auto"/>
            <w:noWrap/>
            <w:vAlign w:val="bottom"/>
            <w:hideMark/>
          </w:tcPr>
          <w:p w14:paraId="4592658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58.930</w:t>
            </w:r>
          </w:p>
        </w:tc>
        <w:tc>
          <w:tcPr>
            <w:tcW w:w="904" w:type="dxa"/>
            <w:tcBorders>
              <w:top w:val="nil"/>
              <w:left w:val="nil"/>
              <w:bottom w:val="single" w:sz="4" w:space="0" w:color="auto"/>
              <w:right w:val="single" w:sz="4" w:space="0" w:color="auto"/>
            </w:tcBorders>
            <w:shd w:val="clear" w:color="auto" w:fill="auto"/>
            <w:noWrap/>
            <w:vAlign w:val="bottom"/>
            <w:hideMark/>
          </w:tcPr>
          <w:p w14:paraId="1C4DC03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59.012</w:t>
            </w:r>
          </w:p>
        </w:tc>
        <w:tc>
          <w:tcPr>
            <w:tcW w:w="904" w:type="dxa"/>
            <w:tcBorders>
              <w:top w:val="nil"/>
              <w:left w:val="nil"/>
              <w:bottom w:val="single" w:sz="4" w:space="0" w:color="auto"/>
              <w:right w:val="single" w:sz="4" w:space="0" w:color="auto"/>
            </w:tcBorders>
            <w:shd w:val="clear" w:color="auto" w:fill="auto"/>
            <w:noWrap/>
            <w:vAlign w:val="bottom"/>
            <w:hideMark/>
          </w:tcPr>
          <w:p w14:paraId="6DD2CA9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AB355A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58.192</w:t>
            </w:r>
          </w:p>
        </w:tc>
        <w:tc>
          <w:tcPr>
            <w:tcW w:w="904" w:type="dxa"/>
            <w:tcBorders>
              <w:top w:val="nil"/>
              <w:left w:val="nil"/>
              <w:bottom w:val="single" w:sz="4" w:space="0" w:color="auto"/>
              <w:right w:val="single" w:sz="4" w:space="0" w:color="auto"/>
            </w:tcBorders>
            <w:shd w:val="clear" w:color="auto" w:fill="auto"/>
            <w:noWrap/>
            <w:vAlign w:val="bottom"/>
            <w:hideMark/>
          </w:tcPr>
          <w:p w14:paraId="5CE8D9A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55.058</w:t>
            </w:r>
          </w:p>
        </w:tc>
        <w:tc>
          <w:tcPr>
            <w:tcW w:w="904" w:type="dxa"/>
            <w:tcBorders>
              <w:top w:val="nil"/>
              <w:left w:val="nil"/>
              <w:bottom w:val="single" w:sz="4" w:space="0" w:color="auto"/>
              <w:right w:val="single" w:sz="4" w:space="0" w:color="auto"/>
            </w:tcBorders>
            <w:shd w:val="clear" w:color="auto" w:fill="auto"/>
            <w:noWrap/>
            <w:vAlign w:val="bottom"/>
            <w:hideMark/>
          </w:tcPr>
          <w:p w14:paraId="6BF3BA0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51.581</w:t>
            </w:r>
          </w:p>
        </w:tc>
        <w:tc>
          <w:tcPr>
            <w:tcW w:w="1946" w:type="dxa"/>
            <w:tcBorders>
              <w:top w:val="nil"/>
              <w:left w:val="nil"/>
              <w:bottom w:val="nil"/>
              <w:right w:val="nil"/>
            </w:tcBorders>
            <w:shd w:val="clear" w:color="auto" w:fill="auto"/>
            <w:noWrap/>
            <w:vAlign w:val="bottom"/>
            <w:hideMark/>
          </w:tcPr>
          <w:p w14:paraId="0034AC3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D4E30E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D5E880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26</w:t>
            </w:r>
          </w:p>
        </w:tc>
        <w:tc>
          <w:tcPr>
            <w:tcW w:w="904" w:type="dxa"/>
            <w:tcBorders>
              <w:top w:val="nil"/>
              <w:left w:val="nil"/>
              <w:bottom w:val="single" w:sz="4" w:space="0" w:color="auto"/>
              <w:right w:val="single" w:sz="4" w:space="0" w:color="auto"/>
            </w:tcBorders>
            <w:shd w:val="clear" w:color="auto" w:fill="auto"/>
            <w:noWrap/>
            <w:vAlign w:val="bottom"/>
            <w:hideMark/>
          </w:tcPr>
          <w:p w14:paraId="7E956A1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59.284</w:t>
            </w:r>
          </w:p>
        </w:tc>
        <w:tc>
          <w:tcPr>
            <w:tcW w:w="904" w:type="dxa"/>
            <w:tcBorders>
              <w:top w:val="nil"/>
              <w:left w:val="nil"/>
              <w:bottom w:val="single" w:sz="4" w:space="0" w:color="auto"/>
              <w:right w:val="single" w:sz="4" w:space="0" w:color="auto"/>
            </w:tcBorders>
            <w:shd w:val="clear" w:color="auto" w:fill="auto"/>
            <w:noWrap/>
            <w:vAlign w:val="bottom"/>
            <w:hideMark/>
          </w:tcPr>
          <w:p w14:paraId="4514676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3AD07D5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B663E8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58.662</w:t>
            </w:r>
          </w:p>
        </w:tc>
        <w:tc>
          <w:tcPr>
            <w:tcW w:w="904" w:type="dxa"/>
            <w:tcBorders>
              <w:top w:val="nil"/>
              <w:left w:val="nil"/>
              <w:bottom w:val="single" w:sz="4" w:space="0" w:color="auto"/>
              <w:right w:val="single" w:sz="4" w:space="0" w:color="auto"/>
            </w:tcBorders>
            <w:shd w:val="clear" w:color="auto" w:fill="auto"/>
            <w:noWrap/>
            <w:vAlign w:val="bottom"/>
            <w:hideMark/>
          </w:tcPr>
          <w:p w14:paraId="4C7A013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56.495</w:t>
            </w:r>
          </w:p>
        </w:tc>
        <w:tc>
          <w:tcPr>
            <w:tcW w:w="904" w:type="dxa"/>
            <w:tcBorders>
              <w:top w:val="nil"/>
              <w:left w:val="nil"/>
              <w:bottom w:val="single" w:sz="4" w:space="0" w:color="auto"/>
              <w:right w:val="single" w:sz="4" w:space="0" w:color="auto"/>
            </w:tcBorders>
            <w:shd w:val="clear" w:color="auto" w:fill="auto"/>
            <w:noWrap/>
            <w:vAlign w:val="bottom"/>
            <w:hideMark/>
          </w:tcPr>
          <w:p w14:paraId="7F8E313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53.142</w:t>
            </w:r>
          </w:p>
        </w:tc>
        <w:tc>
          <w:tcPr>
            <w:tcW w:w="1946" w:type="dxa"/>
            <w:tcBorders>
              <w:top w:val="nil"/>
              <w:left w:val="nil"/>
              <w:bottom w:val="nil"/>
              <w:right w:val="nil"/>
            </w:tcBorders>
            <w:shd w:val="clear" w:color="auto" w:fill="auto"/>
            <w:noWrap/>
            <w:vAlign w:val="bottom"/>
            <w:hideMark/>
          </w:tcPr>
          <w:p w14:paraId="0D01E8D7"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52C3B6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BB6317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27</w:t>
            </w:r>
          </w:p>
        </w:tc>
        <w:tc>
          <w:tcPr>
            <w:tcW w:w="904" w:type="dxa"/>
            <w:tcBorders>
              <w:top w:val="nil"/>
              <w:left w:val="nil"/>
              <w:bottom w:val="single" w:sz="4" w:space="0" w:color="auto"/>
              <w:right w:val="single" w:sz="4" w:space="0" w:color="auto"/>
            </w:tcBorders>
            <w:shd w:val="clear" w:color="auto" w:fill="auto"/>
            <w:noWrap/>
            <w:vAlign w:val="bottom"/>
            <w:hideMark/>
          </w:tcPr>
          <w:p w14:paraId="779429C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60.987</w:t>
            </w:r>
          </w:p>
        </w:tc>
        <w:tc>
          <w:tcPr>
            <w:tcW w:w="904" w:type="dxa"/>
            <w:tcBorders>
              <w:top w:val="nil"/>
              <w:left w:val="nil"/>
              <w:bottom w:val="single" w:sz="4" w:space="0" w:color="auto"/>
              <w:right w:val="single" w:sz="4" w:space="0" w:color="auto"/>
            </w:tcBorders>
            <w:shd w:val="clear" w:color="auto" w:fill="auto"/>
            <w:noWrap/>
            <w:vAlign w:val="bottom"/>
            <w:hideMark/>
          </w:tcPr>
          <w:p w14:paraId="0A145E3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4A6F150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287B9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59.841</w:t>
            </w:r>
          </w:p>
        </w:tc>
        <w:tc>
          <w:tcPr>
            <w:tcW w:w="904" w:type="dxa"/>
            <w:tcBorders>
              <w:top w:val="nil"/>
              <w:left w:val="nil"/>
              <w:bottom w:val="single" w:sz="4" w:space="0" w:color="auto"/>
              <w:right w:val="single" w:sz="4" w:space="0" w:color="auto"/>
            </w:tcBorders>
            <w:shd w:val="clear" w:color="auto" w:fill="auto"/>
            <w:noWrap/>
            <w:vAlign w:val="bottom"/>
            <w:hideMark/>
          </w:tcPr>
          <w:p w14:paraId="4BDD1C3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57.995</w:t>
            </w:r>
          </w:p>
        </w:tc>
        <w:tc>
          <w:tcPr>
            <w:tcW w:w="904" w:type="dxa"/>
            <w:tcBorders>
              <w:top w:val="nil"/>
              <w:left w:val="nil"/>
              <w:bottom w:val="single" w:sz="4" w:space="0" w:color="auto"/>
              <w:right w:val="single" w:sz="4" w:space="0" w:color="auto"/>
            </w:tcBorders>
            <w:shd w:val="clear" w:color="auto" w:fill="auto"/>
            <w:noWrap/>
            <w:vAlign w:val="bottom"/>
            <w:hideMark/>
          </w:tcPr>
          <w:p w14:paraId="7C91126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53.995</w:t>
            </w:r>
          </w:p>
        </w:tc>
        <w:tc>
          <w:tcPr>
            <w:tcW w:w="1946" w:type="dxa"/>
            <w:tcBorders>
              <w:top w:val="nil"/>
              <w:left w:val="nil"/>
              <w:bottom w:val="nil"/>
              <w:right w:val="nil"/>
            </w:tcBorders>
            <w:shd w:val="clear" w:color="auto" w:fill="auto"/>
            <w:noWrap/>
            <w:vAlign w:val="bottom"/>
            <w:hideMark/>
          </w:tcPr>
          <w:p w14:paraId="647B9C6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D4D3CB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CEF3D9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28</w:t>
            </w:r>
          </w:p>
        </w:tc>
        <w:tc>
          <w:tcPr>
            <w:tcW w:w="904" w:type="dxa"/>
            <w:tcBorders>
              <w:top w:val="nil"/>
              <w:left w:val="nil"/>
              <w:bottom w:val="single" w:sz="4" w:space="0" w:color="auto"/>
              <w:right w:val="single" w:sz="4" w:space="0" w:color="auto"/>
            </w:tcBorders>
            <w:shd w:val="clear" w:color="auto" w:fill="auto"/>
            <w:noWrap/>
            <w:vAlign w:val="bottom"/>
            <w:hideMark/>
          </w:tcPr>
          <w:p w14:paraId="411B018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4415936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0AC55CB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5083BBF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59.896</w:t>
            </w:r>
          </w:p>
        </w:tc>
        <w:tc>
          <w:tcPr>
            <w:tcW w:w="904" w:type="dxa"/>
            <w:tcBorders>
              <w:top w:val="nil"/>
              <w:left w:val="nil"/>
              <w:bottom w:val="single" w:sz="4" w:space="0" w:color="auto"/>
              <w:right w:val="single" w:sz="4" w:space="0" w:color="auto"/>
            </w:tcBorders>
            <w:shd w:val="clear" w:color="auto" w:fill="auto"/>
            <w:noWrap/>
            <w:vAlign w:val="bottom"/>
            <w:hideMark/>
          </w:tcPr>
          <w:p w14:paraId="68CDDB0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59.980</w:t>
            </w:r>
          </w:p>
        </w:tc>
        <w:tc>
          <w:tcPr>
            <w:tcW w:w="904" w:type="dxa"/>
            <w:tcBorders>
              <w:top w:val="nil"/>
              <w:left w:val="nil"/>
              <w:bottom w:val="single" w:sz="4" w:space="0" w:color="auto"/>
              <w:right w:val="single" w:sz="4" w:space="0" w:color="auto"/>
            </w:tcBorders>
            <w:shd w:val="clear" w:color="auto" w:fill="auto"/>
            <w:noWrap/>
            <w:vAlign w:val="bottom"/>
            <w:hideMark/>
          </w:tcPr>
          <w:p w14:paraId="3C576FA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1946" w:type="dxa"/>
            <w:tcBorders>
              <w:top w:val="nil"/>
              <w:left w:val="nil"/>
              <w:bottom w:val="nil"/>
              <w:right w:val="nil"/>
            </w:tcBorders>
            <w:shd w:val="clear" w:color="auto" w:fill="auto"/>
            <w:noWrap/>
            <w:vAlign w:val="bottom"/>
            <w:hideMark/>
          </w:tcPr>
          <w:p w14:paraId="0163660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2CB7D3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71FC24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29</w:t>
            </w:r>
          </w:p>
        </w:tc>
        <w:tc>
          <w:tcPr>
            <w:tcW w:w="904" w:type="dxa"/>
            <w:tcBorders>
              <w:top w:val="nil"/>
              <w:left w:val="nil"/>
              <w:bottom w:val="single" w:sz="4" w:space="0" w:color="auto"/>
              <w:right w:val="single" w:sz="4" w:space="0" w:color="auto"/>
            </w:tcBorders>
            <w:shd w:val="clear" w:color="auto" w:fill="auto"/>
            <w:noWrap/>
            <w:vAlign w:val="bottom"/>
            <w:hideMark/>
          </w:tcPr>
          <w:p w14:paraId="186C014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02797CD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09B66C7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56.272</w:t>
            </w:r>
          </w:p>
        </w:tc>
        <w:tc>
          <w:tcPr>
            <w:tcW w:w="904" w:type="dxa"/>
            <w:tcBorders>
              <w:top w:val="nil"/>
              <w:left w:val="nil"/>
              <w:bottom w:val="single" w:sz="4" w:space="0" w:color="auto"/>
              <w:right w:val="single" w:sz="4" w:space="0" w:color="auto"/>
            </w:tcBorders>
            <w:shd w:val="clear" w:color="auto" w:fill="auto"/>
            <w:noWrap/>
            <w:vAlign w:val="bottom"/>
            <w:hideMark/>
          </w:tcPr>
          <w:p w14:paraId="366AF0F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FAAE9E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1ADBCD4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54.697</w:t>
            </w:r>
          </w:p>
        </w:tc>
        <w:tc>
          <w:tcPr>
            <w:tcW w:w="1946" w:type="dxa"/>
            <w:tcBorders>
              <w:top w:val="nil"/>
              <w:left w:val="nil"/>
              <w:bottom w:val="nil"/>
              <w:right w:val="nil"/>
            </w:tcBorders>
            <w:shd w:val="clear" w:color="auto" w:fill="auto"/>
            <w:noWrap/>
            <w:vAlign w:val="bottom"/>
            <w:hideMark/>
          </w:tcPr>
          <w:p w14:paraId="7D5E395C"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4637C3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38EF44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30</w:t>
            </w:r>
          </w:p>
        </w:tc>
        <w:tc>
          <w:tcPr>
            <w:tcW w:w="904" w:type="dxa"/>
            <w:tcBorders>
              <w:top w:val="nil"/>
              <w:left w:val="nil"/>
              <w:bottom w:val="single" w:sz="4" w:space="0" w:color="auto"/>
              <w:right w:val="single" w:sz="4" w:space="0" w:color="auto"/>
            </w:tcBorders>
            <w:shd w:val="clear" w:color="auto" w:fill="auto"/>
            <w:noWrap/>
            <w:vAlign w:val="bottom"/>
            <w:hideMark/>
          </w:tcPr>
          <w:p w14:paraId="4E3D3C9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1E49C10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0E7ED30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58.295</w:t>
            </w:r>
          </w:p>
        </w:tc>
        <w:tc>
          <w:tcPr>
            <w:tcW w:w="904" w:type="dxa"/>
            <w:tcBorders>
              <w:top w:val="nil"/>
              <w:left w:val="nil"/>
              <w:bottom w:val="single" w:sz="4" w:space="0" w:color="auto"/>
              <w:right w:val="single" w:sz="4" w:space="0" w:color="auto"/>
            </w:tcBorders>
            <w:shd w:val="clear" w:color="auto" w:fill="auto"/>
            <w:noWrap/>
            <w:vAlign w:val="bottom"/>
            <w:hideMark/>
          </w:tcPr>
          <w:p w14:paraId="32738B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5C2C35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62.337</w:t>
            </w:r>
          </w:p>
        </w:tc>
        <w:tc>
          <w:tcPr>
            <w:tcW w:w="904" w:type="dxa"/>
            <w:tcBorders>
              <w:top w:val="nil"/>
              <w:left w:val="nil"/>
              <w:bottom w:val="single" w:sz="4" w:space="0" w:color="auto"/>
              <w:right w:val="single" w:sz="4" w:space="0" w:color="auto"/>
            </w:tcBorders>
            <w:shd w:val="clear" w:color="auto" w:fill="auto"/>
            <w:noWrap/>
            <w:vAlign w:val="bottom"/>
            <w:hideMark/>
          </w:tcPr>
          <w:p w14:paraId="6BCCC9B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55.703</w:t>
            </w:r>
          </w:p>
        </w:tc>
        <w:tc>
          <w:tcPr>
            <w:tcW w:w="1946" w:type="dxa"/>
            <w:tcBorders>
              <w:top w:val="nil"/>
              <w:left w:val="nil"/>
              <w:bottom w:val="nil"/>
              <w:right w:val="nil"/>
            </w:tcBorders>
            <w:shd w:val="clear" w:color="auto" w:fill="auto"/>
            <w:noWrap/>
            <w:vAlign w:val="bottom"/>
            <w:hideMark/>
          </w:tcPr>
          <w:p w14:paraId="2A63DEB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1CC818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7A198F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31</w:t>
            </w:r>
          </w:p>
        </w:tc>
        <w:tc>
          <w:tcPr>
            <w:tcW w:w="904" w:type="dxa"/>
            <w:tcBorders>
              <w:top w:val="nil"/>
              <w:left w:val="nil"/>
              <w:bottom w:val="single" w:sz="4" w:space="0" w:color="auto"/>
              <w:right w:val="single" w:sz="4" w:space="0" w:color="auto"/>
            </w:tcBorders>
            <w:shd w:val="clear" w:color="auto" w:fill="auto"/>
            <w:noWrap/>
            <w:vAlign w:val="bottom"/>
            <w:hideMark/>
          </w:tcPr>
          <w:p w14:paraId="5D74D6D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666239D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6152ABA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B8EF8E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6EED52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4375592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56.061</w:t>
            </w:r>
          </w:p>
        </w:tc>
        <w:tc>
          <w:tcPr>
            <w:tcW w:w="1946" w:type="dxa"/>
            <w:tcBorders>
              <w:top w:val="nil"/>
              <w:left w:val="nil"/>
              <w:bottom w:val="nil"/>
              <w:right w:val="nil"/>
            </w:tcBorders>
            <w:shd w:val="clear" w:color="auto" w:fill="auto"/>
            <w:noWrap/>
            <w:vAlign w:val="bottom"/>
            <w:hideMark/>
          </w:tcPr>
          <w:p w14:paraId="07EAB27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2628EB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D90ED4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32</w:t>
            </w:r>
          </w:p>
        </w:tc>
        <w:tc>
          <w:tcPr>
            <w:tcW w:w="904" w:type="dxa"/>
            <w:tcBorders>
              <w:top w:val="nil"/>
              <w:left w:val="nil"/>
              <w:bottom w:val="single" w:sz="4" w:space="0" w:color="auto"/>
              <w:right w:val="single" w:sz="4" w:space="0" w:color="auto"/>
            </w:tcBorders>
            <w:shd w:val="clear" w:color="auto" w:fill="auto"/>
            <w:noWrap/>
            <w:vAlign w:val="bottom"/>
            <w:hideMark/>
          </w:tcPr>
          <w:p w14:paraId="2BEBBE9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0DFAB19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657BE3C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5CDEB8D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765DEA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64.193</w:t>
            </w:r>
          </w:p>
        </w:tc>
        <w:tc>
          <w:tcPr>
            <w:tcW w:w="904" w:type="dxa"/>
            <w:tcBorders>
              <w:top w:val="nil"/>
              <w:left w:val="nil"/>
              <w:bottom w:val="single" w:sz="4" w:space="0" w:color="auto"/>
              <w:right w:val="single" w:sz="4" w:space="0" w:color="auto"/>
            </w:tcBorders>
            <w:shd w:val="clear" w:color="auto" w:fill="auto"/>
            <w:noWrap/>
            <w:vAlign w:val="bottom"/>
            <w:hideMark/>
          </w:tcPr>
          <w:p w14:paraId="4A1AAE1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55.853</w:t>
            </w:r>
          </w:p>
        </w:tc>
        <w:tc>
          <w:tcPr>
            <w:tcW w:w="1946" w:type="dxa"/>
            <w:tcBorders>
              <w:top w:val="nil"/>
              <w:left w:val="nil"/>
              <w:bottom w:val="nil"/>
              <w:right w:val="nil"/>
            </w:tcBorders>
            <w:shd w:val="clear" w:color="auto" w:fill="auto"/>
            <w:noWrap/>
            <w:vAlign w:val="bottom"/>
            <w:hideMark/>
          </w:tcPr>
          <w:p w14:paraId="7C96706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F3A53A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A09A2A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33</w:t>
            </w:r>
          </w:p>
        </w:tc>
        <w:tc>
          <w:tcPr>
            <w:tcW w:w="904" w:type="dxa"/>
            <w:tcBorders>
              <w:top w:val="nil"/>
              <w:left w:val="nil"/>
              <w:bottom w:val="single" w:sz="4" w:space="0" w:color="auto"/>
              <w:right w:val="single" w:sz="4" w:space="0" w:color="auto"/>
            </w:tcBorders>
            <w:shd w:val="clear" w:color="auto" w:fill="auto"/>
            <w:noWrap/>
            <w:vAlign w:val="bottom"/>
            <w:hideMark/>
          </w:tcPr>
          <w:p w14:paraId="2EB0AB0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60.927</w:t>
            </w:r>
          </w:p>
        </w:tc>
        <w:tc>
          <w:tcPr>
            <w:tcW w:w="904" w:type="dxa"/>
            <w:tcBorders>
              <w:top w:val="nil"/>
              <w:left w:val="nil"/>
              <w:bottom w:val="single" w:sz="4" w:space="0" w:color="auto"/>
              <w:right w:val="single" w:sz="4" w:space="0" w:color="auto"/>
            </w:tcBorders>
            <w:shd w:val="clear" w:color="auto" w:fill="auto"/>
            <w:noWrap/>
            <w:vAlign w:val="bottom"/>
            <w:hideMark/>
          </w:tcPr>
          <w:p w14:paraId="4A9E937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408B5D1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59.030</w:t>
            </w:r>
          </w:p>
        </w:tc>
        <w:tc>
          <w:tcPr>
            <w:tcW w:w="904" w:type="dxa"/>
            <w:tcBorders>
              <w:top w:val="nil"/>
              <w:left w:val="nil"/>
              <w:bottom w:val="single" w:sz="4" w:space="0" w:color="auto"/>
              <w:right w:val="single" w:sz="4" w:space="0" w:color="auto"/>
            </w:tcBorders>
            <w:shd w:val="clear" w:color="auto" w:fill="auto"/>
            <w:noWrap/>
            <w:vAlign w:val="bottom"/>
            <w:hideMark/>
          </w:tcPr>
          <w:p w14:paraId="3D7E618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46FE6F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64.970</w:t>
            </w:r>
          </w:p>
        </w:tc>
        <w:tc>
          <w:tcPr>
            <w:tcW w:w="904" w:type="dxa"/>
            <w:tcBorders>
              <w:top w:val="nil"/>
              <w:left w:val="nil"/>
              <w:bottom w:val="single" w:sz="4" w:space="0" w:color="auto"/>
              <w:right w:val="single" w:sz="4" w:space="0" w:color="auto"/>
            </w:tcBorders>
            <w:shd w:val="clear" w:color="auto" w:fill="auto"/>
            <w:noWrap/>
            <w:vAlign w:val="bottom"/>
            <w:hideMark/>
          </w:tcPr>
          <w:p w14:paraId="43FC355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56.449</w:t>
            </w:r>
          </w:p>
        </w:tc>
        <w:tc>
          <w:tcPr>
            <w:tcW w:w="1946" w:type="dxa"/>
            <w:tcBorders>
              <w:top w:val="nil"/>
              <w:left w:val="nil"/>
              <w:bottom w:val="nil"/>
              <w:right w:val="nil"/>
            </w:tcBorders>
            <w:shd w:val="clear" w:color="auto" w:fill="auto"/>
            <w:noWrap/>
            <w:vAlign w:val="bottom"/>
            <w:hideMark/>
          </w:tcPr>
          <w:p w14:paraId="3D966F5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D1E1BC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BA892A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34</w:t>
            </w:r>
          </w:p>
        </w:tc>
        <w:tc>
          <w:tcPr>
            <w:tcW w:w="904" w:type="dxa"/>
            <w:tcBorders>
              <w:top w:val="nil"/>
              <w:left w:val="nil"/>
              <w:bottom w:val="single" w:sz="4" w:space="0" w:color="auto"/>
              <w:right w:val="single" w:sz="4" w:space="0" w:color="auto"/>
            </w:tcBorders>
            <w:shd w:val="clear" w:color="auto" w:fill="auto"/>
            <w:noWrap/>
            <w:vAlign w:val="bottom"/>
            <w:hideMark/>
          </w:tcPr>
          <w:p w14:paraId="5D0EC7B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60.823</w:t>
            </w:r>
          </w:p>
        </w:tc>
        <w:tc>
          <w:tcPr>
            <w:tcW w:w="904" w:type="dxa"/>
            <w:tcBorders>
              <w:top w:val="nil"/>
              <w:left w:val="nil"/>
              <w:bottom w:val="single" w:sz="4" w:space="0" w:color="auto"/>
              <w:right w:val="single" w:sz="4" w:space="0" w:color="auto"/>
            </w:tcBorders>
            <w:shd w:val="clear" w:color="auto" w:fill="auto"/>
            <w:noWrap/>
            <w:vAlign w:val="bottom"/>
            <w:hideMark/>
          </w:tcPr>
          <w:p w14:paraId="1B118AE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0B0AB9A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59.778</w:t>
            </w:r>
          </w:p>
        </w:tc>
        <w:tc>
          <w:tcPr>
            <w:tcW w:w="904" w:type="dxa"/>
            <w:tcBorders>
              <w:top w:val="nil"/>
              <w:left w:val="nil"/>
              <w:bottom w:val="single" w:sz="4" w:space="0" w:color="auto"/>
              <w:right w:val="single" w:sz="4" w:space="0" w:color="auto"/>
            </w:tcBorders>
            <w:shd w:val="clear" w:color="auto" w:fill="auto"/>
            <w:noWrap/>
            <w:vAlign w:val="bottom"/>
            <w:hideMark/>
          </w:tcPr>
          <w:p w14:paraId="3582020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795B59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64.222</w:t>
            </w:r>
          </w:p>
        </w:tc>
        <w:tc>
          <w:tcPr>
            <w:tcW w:w="904" w:type="dxa"/>
            <w:tcBorders>
              <w:top w:val="nil"/>
              <w:left w:val="nil"/>
              <w:bottom w:val="single" w:sz="4" w:space="0" w:color="auto"/>
              <w:right w:val="single" w:sz="4" w:space="0" w:color="auto"/>
            </w:tcBorders>
            <w:shd w:val="clear" w:color="auto" w:fill="auto"/>
            <w:noWrap/>
            <w:vAlign w:val="bottom"/>
            <w:hideMark/>
          </w:tcPr>
          <w:p w14:paraId="256542C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56.149</w:t>
            </w:r>
          </w:p>
        </w:tc>
        <w:tc>
          <w:tcPr>
            <w:tcW w:w="1946" w:type="dxa"/>
            <w:tcBorders>
              <w:top w:val="nil"/>
              <w:left w:val="nil"/>
              <w:bottom w:val="nil"/>
              <w:right w:val="nil"/>
            </w:tcBorders>
            <w:shd w:val="clear" w:color="auto" w:fill="auto"/>
            <w:noWrap/>
            <w:vAlign w:val="bottom"/>
            <w:hideMark/>
          </w:tcPr>
          <w:p w14:paraId="38BF4746"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4356AE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71B6DF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35</w:t>
            </w:r>
          </w:p>
        </w:tc>
        <w:tc>
          <w:tcPr>
            <w:tcW w:w="904" w:type="dxa"/>
            <w:tcBorders>
              <w:top w:val="nil"/>
              <w:left w:val="nil"/>
              <w:bottom w:val="single" w:sz="4" w:space="0" w:color="auto"/>
              <w:right w:val="single" w:sz="4" w:space="0" w:color="auto"/>
            </w:tcBorders>
            <w:shd w:val="clear" w:color="auto" w:fill="auto"/>
            <w:noWrap/>
            <w:vAlign w:val="bottom"/>
            <w:hideMark/>
          </w:tcPr>
          <w:p w14:paraId="6257698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60.532</w:t>
            </w:r>
          </w:p>
        </w:tc>
        <w:tc>
          <w:tcPr>
            <w:tcW w:w="904" w:type="dxa"/>
            <w:tcBorders>
              <w:top w:val="nil"/>
              <w:left w:val="nil"/>
              <w:bottom w:val="single" w:sz="4" w:space="0" w:color="auto"/>
              <w:right w:val="single" w:sz="4" w:space="0" w:color="auto"/>
            </w:tcBorders>
            <w:shd w:val="clear" w:color="auto" w:fill="auto"/>
            <w:noWrap/>
            <w:vAlign w:val="bottom"/>
            <w:hideMark/>
          </w:tcPr>
          <w:p w14:paraId="4E798D4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282EDAE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61.679</w:t>
            </w:r>
          </w:p>
        </w:tc>
        <w:tc>
          <w:tcPr>
            <w:tcW w:w="904" w:type="dxa"/>
            <w:tcBorders>
              <w:top w:val="nil"/>
              <w:left w:val="nil"/>
              <w:bottom w:val="single" w:sz="4" w:space="0" w:color="auto"/>
              <w:right w:val="single" w:sz="4" w:space="0" w:color="auto"/>
            </w:tcBorders>
            <w:shd w:val="clear" w:color="auto" w:fill="auto"/>
            <w:noWrap/>
            <w:vAlign w:val="bottom"/>
            <w:hideMark/>
          </w:tcPr>
          <w:p w14:paraId="28919E0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61.614</w:t>
            </w:r>
          </w:p>
        </w:tc>
        <w:tc>
          <w:tcPr>
            <w:tcW w:w="904" w:type="dxa"/>
            <w:tcBorders>
              <w:top w:val="nil"/>
              <w:left w:val="nil"/>
              <w:bottom w:val="single" w:sz="4" w:space="0" w:color="auto"/>
              <w:right w:val="single" w:sz="4" w:space="0" w:color="auto"/>
            </w:tcBorders>
            <w:shd w:val="clear" w:color="auto" w:fill="auto"/>
            <w:noWrap/>
            <w:vAlign w:val="bottom"/>
            <w:hideMark/>
          </w:tcPr>
          <w:p w14:paraId="7568238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63.128</w:t>
            </w:r>
          </w:p>
        </w:tc>
        <w:tc>
          <w:tcPr>
            <w:tcW w:w="904" w:type="dxa"/>
            <w:tcBorders>
              <w:top w:val="nil"/>
              <w:left w:val="nil"/>
              <w:bottom w:val="single" w:sz="4" w:space="0" w:color="auto"/>
              <w:right w:val="single" w:sz="4" w:space="0" w:color="auto"/>
            </w:tcBorders>
            <w:shd w:val="clear" w:color="auto" w:fill="auto"/>
            <w:noWrap/>
            <w:vAlign w:val="bottom"/>
            <w:hideMark/>
          </w:tcPr>
          <w:p w14:paraId="372883C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2853717C"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9E54A9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052027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36</w:t>
            </w:r>
          </w:p>
        </w:tc>
        <w:tc>
          <w:tcPr>
            <w:tcW w:w="904" w:type="dxa"/>
            <w:tcBorders>
              <w:top w:val="nil"/>
              <w:left w:val="nil"/>
              <w:bottom w:val="single" w:sz="4" w:space="0" w:color="auto"/>
              <w:right w:val="single" w:sz="4" w:space="0" w:color="auto"/>
            </w:tcBorders>
            <w:shd w:val="clear" w:color="auto" w:fill="auto"/>
            <w:noWrap/>
            <w:vAlign w:val="bottom"/>
            <w:hideMark/>
          </w:tcPr>
          <w:p w14:paraId="553683E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60.862</w:t>
            </w:r>
          </w:p>
        </w:tc>
        <w:tc>
          <w:tcPr>
            <w:tcW w:w="904" w:type="dxa"/>
            <w:tcBorders>
              <w:top w:val="nil"/>
              <w:left w:val="nil"/>
              <w:bottom w:val="single" w:sz="4" w:space="0" w:color="auto"/>
              <w:right w:val="single" w:sz="4" w:space="0" w:color="auto"/>
            </w:tcBorders>
            <w:shd w:val="clear" w:color="auto" w:fill="auto"/>
            <w:noWrap/>
            <w:vAlign w:val="bottom"/>
            <w:hideMark/>
          </w:tcPr>
          <w:p w14:paraId="276FE10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0A17CF4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60.296</w:t>
            </w:r>
          </w:p>
        </w:tc>
        <w:tc>
          <w:tcPr>
            <w:tcW w:w="904" w:type="dxa"/>
            <w:tcBorders>
              <w:top w:val="nil"/>
              <w:left w:val="nil"/>
              <w:bottom w:val="single" w:sz="4" w:space="0" w:color="auto"/>
              <w:right w:val="single" w:sz="4" w:space="0" w:color="auto"/>
            </w:tcBorders>
            <w:shd w:val="clear" w:color="auto" w:fill="auto"/>
            <w:noWrap/>
            <w:vAlign w:val="bottom"/>
            <w:hideMark/>
          </w:tcPr>
          <w:p w14:paraId="4E77066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62.091</w:t>
            </w:r>
          </w:p>
        </w:tc>
        <w:tc>
          <w:tcPr>
            <w:tcW w:w="904" w:type="dxa"/>
            <w:tcBorders>
              <w:top w:val="nil"/>
              <w:left w:val="nil"/>
              <w:bottom w:val="single" w:sz="4" w:space="0" w:color="auto"/>
              <w:right w:val="single" w:sz="4" w:space="0" w:color="auto"/>
            </w:tcBorders>
            <w:shd w:val="clear" w:color="auto" w:fill="auto"/>
            <w:noWrap/>
            <w:vAlign w:val="bottom"/>
            <w:hideMark/>
          </w:tcPr>
          <w:p w14:paraId="473D2E5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11280E7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56.091</w:t>
            </w:r>
          </w:p>
        </w:tc>
        <w:tc>
          <w:tcPr>
            <w:tcW w:w="1946" w:type="dxa"/>
            <w:tcBorders>
              <w:top w:val="nil"/>
              <w:left w:val="nil"/>
              <w:bottom w:val="nil"/>
              <w:right w:val="nil"/>
            </w:tcBorders>
            <w:shd w:val="clear" w:color="auto" w:fill="auto"/>
            <w:noWrap/>
            <w:vAlign w:val="bottom"/>
            <w:hideMark/>
          </w:tcPr>
          <w:p w14:paraId="48C0721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C764A3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C6BA78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37</w:t>
            </w:r>
          </w:p>
        </w:tc>
        <w:tc>
          <w:tcPr>
            <w:tcW w:w="904" w:type="dxa"/>
            <w:tcBorders>
              <w:top w:val="nil"/>
              <w:left w:val="nil"/>
              <w:bottom w:val="single" w:sz="4" w:space="0" w:color="auto"/>
              <w:right w:val="single" w:sz="4" w:space="0" w:color="auto"/>
            </w:tcBorders>
            <w:shd w:val="clear" w:color="auto" w:fill="auto"/>
            <w:noWrap/>
            <w:vAlign w:val="bottom"/>
            <w:hideMark/>
          </w:tcPr>
          <w:p w14:paraId="1907892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5124F76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62.333</w:t>
            </w:r>
          </w:p>
        </w:tc>
        <w:tc>
          <w:tcPr>
            <w:tcW w:w="904" w:type="dxa"/>
            <w:tcBorders>
              <w:top w:val="nil"/>
              <w:left w:val="nil"/>
              <w:bottom w:val="single" w:sz="4" w:space="0" w:color="auto"/>
              <w:right w:val="single" w:sz="4" w:space="0" w:color="auto"/>
            </w:tcBorders>
            <w:shd w:val="clear" w:color="auto" w:fill="auto"/>
            <w:noWrap/>
            <w:vAlign w:val="bottom"/>
            <w:hideMark/>
          </w:tcPr>
          <w:p w14:paraId="123415A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32F0BA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60.601</w:t>
            </w:r>
          </w:p>
        </w:tc>
        <w:tc>
          <w:tcPr>
            <w:tcW w:w="904" w:type="dxa"/>
            <w:tcBorders>
              <w:top w:val="nil"/>
              <w:left w:val="nil"/>
              <w:bottom w:val="single" w:sz="4" w:space="0" w:color="auto"/>
              <w:right w:val="single" w:sz="4" w:space="0" w:color="auto"/>
            </w:tcBorders>
            <w:shd w:val="clear" w:color="auto" w:fill="auto"/>
            <w:noWrap/>
            <w:vAlign w:val="bottom"/>
            <w:hideMark/>
          </w:tcPr>
          <w:p w14:paraId="6EDE955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62.803</w:t>
            </w:r>
          </w:p>
        </w:tc>
        <w:tc>
          <w:tcPr>
            <w:tcW w:w="904" w:type="dxa"/>
            <w:tcBorders>
              <w:top w:val="nil"/>
              <w:left w:val="nil"/>
              <w:bottom w:val="single" w:sz="4" w:space="0" w:color="auto"/>
              <w:right w:val="single" w:sz="4" w:space="0" w:color="auto"/>
            </w:tcBorders>
            <w:shd w:val="clear" w:color="auto" w:fill="auto"/>
            <w:noWrap/>
            <w:vAlign w:val="bottom"/>
            <w:hideMark/>
          </w:tcPr>
          <w:p w14:paraId="6C13900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56.823</w:t>
            </w:r>
          </w:p>
        </w:tc>
        <w:tc>
          <w:tcPr>
            <w:tcW w:w="1946" w:type="dxa"/>
            <w:tcBorders>
              <w:top w:val="nil"/>
              <w:left w:val="nil"/>
              <w:bottom w:val="nil"/>
              <w:right w:val="nil"/>
            </w:tcBorders>
            <w:shd w:val="clear" w:color="auto" w:fill="auto"/>
            <w:noWrap/>
            <w:vAlign w:val="bottom"/>
            <w:hideMark/>
          </w:tcPr>
          <w:p w14:paraId="4588642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97FB28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10AD07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38</w:t>
            </w:r>
          </w:p>
        </w:tc>
        <w:tc>
          <w:tcPr>
            <w:tcW w:w="904" w:type="dxa"/>
            <w:tcBorders>
              <w:top w:val="nil"/>
              <w:left w:val="nil"/>
              <w:bottom w:val="single" w:sz="4" w:space="0" w:color="auto"/>
              <w:right w:val="single" w:sz="4" w:space="0" w:color="auto"/>
            </w:tcBorders>
            <w:shd w:val="clear" w:color="auto" w:fill="auto"/>
            <w:noWrap/>
            <w:vAlign w:val="bottom"/>
            <w:hideMark/>
          </w:tcPr>
          <w:p w14:paraId="16ED2C7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23CECD8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63.419</w:t>
            </w:r>
          </w:p>
        </w:tc>
        <w:tc>
          <w:tcPr>
            <w:tcW w:w="904" w:type="dxa"/>
            <w:tcBorders>
              <w:top w:val="nil"/>
              <w:left w:val="nil"/>
              <w:bottom w:val="single" w:sz="4" w:space="0" w:color="auto"/>
              <w:right w:val="single" w:sz="4" w:space="0" w:color="auto"/>
            </w:tcBorders>
            <w:shd w:val="clear" w:color="auto" w:fill="auto"/>
            <w:noWrap/>
            <w:vAlign w:val="bottom"/>
            <w:hideMark/>
          </w:tcPr>
          <w:p w14:paraId="4FAECD2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0000457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575B98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61.366</w:t>
            </w:r>
          </w:p>
        </w:tc>
        <w:tc>
          <w:tcPr>
            <w:tcW w:w="904" w:type="dxa"/>
            <w:tcBorders>
              <w:top w:val="nil"/>
              <w:left w:val="nil"/>
              <w:bottom w:val="single" w:sz="4" w:space="0" w:color="auto"/>
              <w:right w:val="single" w:sz="4" w:space="0" w:color="auto"/>
            </w:tcBorders>
            <w:shd w:val="clear" w:color="auto" w:fill="auto"/>
            <w:noWrap/>
            <w:vAlign w:val="bottom"/>
            <w:hideMark/>
          </w:tcPr>
          <w:p w14:paraId="305C2F7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57.781</w:t>
            </w:r>
          </w:p>
        </w:tc>
        <w:tc>
          <w:tcPr>
            <w:tcW w:w="1946" w:type="dxa"/>
            <w:tcBorders>
              <w:top w:val="nil"/>
              <w:left w:val="nil"/>
              <w:bottom w:val="nil"/>
              <w:right w:val="nil"/>
            </w:tcBorders>
            <w:shd w:val="clear" w:color="auto" w:fill="auto"/>
            <w:noWrap/>
            <w:vAlign w:val="bottom"/>
            <w:hideMark/>
          </w:tcPr>
          <w:p w14:paraId="5B95B64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0C2AE0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2F0462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39</w:t>
            </w:r>
          </w:p>
        </w:tc>
        <w:tc>
          <w:tcPr>
            <w:tcW w:w="904" w:type="dxa"/>
            <w:tcBorders>
              <w:top w:val="nil"/>
              <w:left w:val="nil"/>
              <w:bottom w:val="single" w:sz="4" w:space="0" w:color="auto"/>
              <w:right w:val="single" w:sz="4" w:space="0" w:color="auto"/>
            </w:tcBorders>
            <w:shd w:val="clear" w:color="auto" w:fill="auto"/>
            <w:noWrap/>
            <w:vAlign w:val="bottom"/>
            <w:hideMark/>
          </w:tcPr>
          <w:p w14:paraId="66C0E61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60.879</w:t>
            </w:r>
          </w:p>
        </w:tc>
        <w:tc>
          <w:tcPr>
            <w:tcW w:w="904" w:type="dxa"/>
            <w:tcBorders>
              <w:top w:val="nil"/>
              <w:left w:val="nil"/>
              <w:bottom w:val="single" w:sz="4" w:space="0" w:color="auto"/>
              <w:right w:val="single" w:sz="4" w:space="0" w:color="auto"/>
            </w:tcBorders>
            <w:shd w:val="clear" w:color="auto" w:fill="auto"/>
            <w:noWrap/>
            <w:vAlign w:val="bottom"/>
            <w:hideMark/>
          </w:tcPr>
          <w:p w14:paraId="1148E87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350ACF5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58.566</w:t>
            </w:r>
          </w:p>
        </w:tc>
        <w:tc>
          <w:tcPr>
            <w:tcW w:w="904" w:type="dxa"/>
            <w:tcBorders>
              <w:top w:val="nil"/>
              <w:left w:val="nil"/>
              <w:bottom w:val="single" w:sz="4" w:space="0" w:color="auto"/>
              <w:right w:val="single" w:sz="4" w:space="0" w:color="auto"/>
            </w:tcBorders>
            <w:shd w:val="clear" w:color="auto" w:fill="auto"/>
            <w:noWrap/>
            <w:vAlign w:val="bottom"/>
            <w:hideMark/>
          </w:tcPr>
          <w:p w14:paraId="7AC1C3C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67F99F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842139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39F540C6"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8F259E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79AB13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40</w:t>
            </w:r>
          </w:p>
        </w:tc>
        <w:tc>
          <w:tcPr>
            <w:tcW w:w="904" w:type="dxa"/>
            <w:tcBorders>
              <w:top w:val="nil"/>
              <w:left w:val="nil"/>
              <w:bottom w:val="single" w:sz="4" w:space="0" w:color="auto"/>
              <w:right w:val="single" w:sz="4" w:space="0" w:color="auto"/>
            </w:tcBorders>
            <w:shd w:val="clear" w:color="auto" w:fill="auto"/>
            <w:noWrap/>
            <w:vAlign w:val="bottom"/>
            <w:hideMark/>
          </w:tcPr>
          <w:p w14:paraId="248E263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60.766</w:t>
            </w:r>
          </w:p>
        </w:tc>
        <w:tc>
          <w:tcPr>
            <w:tcW w:w="904" w:type="dxa"/>
            <w:tcBorders>
              <w:top w:val="nil"/>
              <w:left w:val="nil"/>
              <w:bottom w:val="single" w:sz="4" w:space="0" w:color="auto"/>
              <w:right w:val="single" w:sz="4" w:space="0" w:color="auto"/>
            </w:tcBorders>
            <w:shd w:val="clear" w:color="auto" w:fill="auto"/>
            <w:noWrap/>
            <w:vAlign w:val="bottom"/>
            <w:hideMark/>
          </w:tcPr>
          <w:p w14:paraId="7C5CB02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0ADF579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58.042</w:t>
            </w:r>
          </w:p>
        </w:tc>
        <w:tc>
          <w:tcPr>
            <w:tcW w:w="904" w:type="dxa"/>
            <w:tcBorders>
              <w:top w:val="nil"/>
              <w:left w:val="nil"/>
              <w:bottom w:val="single" w:sz="4" w:space="0" w:color="auto"/>
              <w:right w:val="single" w:sz="4" w:space="0" w:color="auto"/>
            </w:tcBorders>
            <w:shd w:val="clear" w:color="auto" w:fill="auto"/>
            <w:noWrap/>
            <w:vAlign w:val="bottom"/>
            <w:hideMark/>
          </w:tcPr>
          <w:p w14:paraId="352EDF3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235374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E95E4B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47746FD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6C9A08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46FB68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41</w:t>
            </w:r>
          </w:p>
        </w:tc>
        <w:tc>
          <w:tcPr>
            <w:tcW w:w="904" w:type="dxa"/>
            <w:tcBorders>
              <w:top w:val="nil"/>
              <w:left w:val="nil"/>
              <w:bottom w:val="single" w:sz="4" w:space="0" w:color="auto"/>
              <w:right w:val="single" w:sz="4" w:space="0" w:color="auto"/>
            </w:tcBorders>
            <w:shd w:val="clear" w:color="auto" w:fill="auto"/>
            <w:noWrap/>
            <w:vAlign w:val="bottom"/>
            <w:hideMark/>
          </w:tcPr>
          <w:p w14:paraId="2CB9468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58.250</w:t>
            </w:r>
          </w:p>
        </w:tc>
        <w:tc>
          <w:tcPr>
            <w:tcW w:w="904" w:type="dxa"/>
            <w:tcBorders>
              <w:top w:val="nil"/>
              <w:left w:val="nil"/>
              <w:bottom w:val="single" w:sz="4" w:space="0" w:color="auto"/>
              <w:right w:val="single" w:sz="4" w:space="0" w:color="auto"/>
            </w:tcBorders>
            <w:shd w:val="clear" w:color="auto" w:fill="auto"/>
            <w:noWrap/>
            <w:vAlign w:val="bottom"/>
            <w:hideMark/>
          </w:tcPr>
          <w:p w14:paraId="5AD4B1A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2CB0BF2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3A2AA7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2735D6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ED2B95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751C392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3493382"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021262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42</w:t>
            </w:r>
          </w:p>
        </w:tc>
        <w:tc>
          <w:tcPr>
            <w:tcW w:w="904" w:type="dxa"/>
            <w:tcBorders>
              <w:top w:val="nil"/>
              <w:left w:val="nil"/>
              <w:bottom w:val="single" w:sz="4" w:space="0" w:color="auto"/>
              <w:right w:val="single" w:sz="4" w:space="0" w:color="auto"/>
            </w:tcBorders>
            <w:shd w:val="clear" w:color="auto" w:fill="auto"/>
            <w:noWrap/>
            <w:vAlign w:val="bottom"/>
            <w:hideMark/>
          </w:tcPr>
          <w:p w14:paraId="62C1735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58.001</w:t>
            </w:r>
          </w:p>
        </w:tc>
        <w:tc>
          <w:tcPr>
            <w:tcW w:w="904" w:type="dxa"/>
            <w:tcBorders>
              <w:top w:val="nil"/>
              <w:left w:val="nil"/>
              <w:bottom w:val="single" w:sz="4" w:space="0" w:color="auto"/>
              <w:right w:val="single" w:sz="4" w:space="0" w:color="auto"/>
            </w:tcBorders>
            <w:shd w:val="clear" w:color="auto" w:fill="auto"/>
            <w:noWrap/>
            <w:vAlign w:val="bottom"/>
            <w:hideMark/>
          </w:tcPr>
          <w:p w14:paraId="3272D44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63.994</w:t>
            </w:r>
          </w:p>
        </w:tc>
        <w:tc>
          <w:tcPr>
            <w:tcW w:w="904" w:type="dxa"/>
            <w:tcBorders>
              <w:top w:val="nil"/>
              <w:left w:val="nil"/>
              <w:bottom w:val="single" w:sz="4" w:space="0" w:color="auto"/>
              <w:right w:val="single" w:sz="4" w:space="0" w:color="auto"/>
            </w:tcBorders>
            <w:shd w:val="clear" w:color="auto" w:fill="auto"/>
            <w:noWrap/>
            <w:vAlign w:val="bottom"/>
            <w:hideMark/>
          </w:tcPr>
          <w:p w14:paraId="7A45A0E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57.237</w:t>
            </w:r>
          </w:p>
        </w:tc>
        <w:tc>
          <w:tcPr>
            <w:tcW w:w="904" w:type="dxa"/>
            <w:tcBorders>
              <w:top w:val="nil"/>
              <w:left w:val="nil"/>
              <w:bottom w:val="single" w:sz="4" w:space="0" w:color="auto"/>
              <w:right w:val="single" w:sz="4" w:space="0" w:color="auto"/>
            </w:tcBorders>
            <w:shd w:val="clear" w:color="auto" w:fill="auto"/>
            <w:noWrap/>
            <w:vAlign w:val="bottom"/>
            <w:hideMark/>
          </w:tcPr>
          <w:p w14:paraId="5C3B59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61.538</w:t>
            </w:r>
          </w:p>
        </w:tc>
        <w:tc>
          <w:tcPr>
            <w:tcW w:w="904" w:type="dxa"/>
            <w:tcBorders>
              <w:top w:val="nil"/>
              <w:left w:val="nil"/>
              <w:bottom w:val="single" w:sz="4" w:space="0" w:color="auto"/>
              <w:right w:val="single" w:sz="4" w:space="0" w:color="auto"/>
            </w:tcBorders>
            <w:shd w:val="clear" w:color="auto" w:fill="auto"/>
            <w:noWrap/>
            <w:vAlign w:val="bottom"/>
            <w:hideMark/>
          </w:tcPr>
          <w:p w14:paraId="6BE0710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C5DA38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58.988</w:t>
            </w:r>
          </w:p>
        </w:tc>
        <w:tc>
          <w:tcPr>
            <w:tcW w:w="1946" w:type="dxa"/>
            <w:tcBorders>
              <w:top w:val="nil"/>
              <w:left w:val="nil"/>
              <w:bottom w:val="nil"/>
              <w:right w:val="nil"/>
            </w:tcBorders>
            <w:shd w:val="clear" w:color="auto" w:fill="auto"/>
            <w:noWrap/>
            <w:vAlign w:val="bottom"/>
            <w:hideMark/>
          </w:tcPr>
          <w:p w14:paraId="4F57B86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6280E5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A49ED0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43</w:t>
            </w:r>
          </w:p>
        </w:tc>
        <w:tc>
          <w:tcPr>
            <w:tcW w:w="904" w:type="dxa"/>
            <w:tcBorders>
              <w:top w:val="nil"/>
              <w:left w:val="nil"/>
              <w:bottom w:val="single" w:sz="4" w:space="0" w:color="auto"/>
              <w:right w:val="single" w:sz="4" w:space="0" w:color="auto"/>
            </w:tcBorders>
            <w:shd w:val="clear" w:color="auto" w:fill="auto"/>
            <w:noWrap/>
            <w:vAlign w:val="bottom"/>
            <w:hideMark/>
          </w:tcPr>
          <w:p w14:paraId="6115EC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1263E6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61.611</w:t>
            </w:r>
          </w:p>
        </w:tc>
        <w:tc>
          <w:tcPr>
            <w:tcW w:w="904" w:type="dxa"/>
            <w:tcBorders>
              <w:top w:val="nil"/>
              <w:left w:val="nil"/>
              <w:bottom w:val="single" w:sz="4" w:space="0" w:color="auto"/>
              <w:right w:val="single" w:sz="4" w:space="0" w:color="auto"/>
            </w:tcBorders>
            <w:shd w:val="clear" w:color="auto" w:fill="auto"/>
            <w:noWrap/>
            <w:vAlign w:val="bottom"/>
            <w:hideMark/>
          </w:tcPr>
          <w:p w14:paraId="533407A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56.910</w:t>
            </w:r>
          </w:p>
        </w:tc>
        <w:tc>
          <w:tcPr>
            <w:tcW w:w="904" w:type="dxa"/>
            <w:tcBorders>
              <w:top w:val="nil"/>
              <w:left w:val="nil"/>
              <w:bottom w:val="single" w:sz="4" w:space="0" w:color="auto"/>
              <w:right w:val="single" w:sz="4" w:space="0" w:color="auto"/>
            </w:tcBorders>
            <w:shd w:val="clear" w:color="auto" w:fill="auto"/>
            <w:noWrap/>
            <w:vAlign w:val="bottom"/>
            <w:hideMark/>
          </w:tcPr>
          <w:p w14:paraId="0E16412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62.620</w:t>
            </w:r>
          </w:p>
        </w:tc>
        <w:tc>
          <w:tcPr>
            <w:tcW w:w="904" w:type="dxa"/>
            <w:tcBorders>
              <w:top w:val="nil"/>
              <w:left w:val="nil"/>
              <w:bottom w:val="single" w:sz="4" w:space="0" w:color="auto"/>
              <w:right w:val="single" w:sz="4" w:space="0" w:color="auto"/>
            </w:tcBorders>
            <w:shd w:val="clear" w:color="auto" w:fill="auto"/>
            <w:noWrap/>
            <w:vAlign w:val="bottom"/>
            <w:hideMark/>
          </w:tcPr>
          <w:p w14:paraId="06CF14F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1643BB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57.940</w:t>
            </w:r>
          </w:p>
        </w:tc>
        <w:tc>
          <w:tcPr>
            <w:tcW w:w="1946" w:type="dxa"/>
            <w:tcBorders>
              <w:top w:val="nil"/>
              <w:left w:val="nil"/>
              <w:bottom w:val="nil"/>
              <w:right w:val="nil"/>
            </w:tcBorders>
            <w:shd w:val="clear" w:color="auto" w:fill="auto"/>
            <w:noWrap/>
            <w:vAlign w:val="bottom"/>
            <w:hideMark/>
          </w:tcPr>
          <w:p w14:paraId="0D53E29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CEB7F2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9BB4A3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44</w:t>
            </w:r>
          </w:p>
        </w:tc>
        <w:tc>
          <w:tcPr>
            <w:tcW w:w="904" w:type="dxa"/>
            <w:tcBorders>
              <w:top w:val="nil"/>
              <w:left w:val="nil"/>
              <w:bottom w:val="single" w:sz="4" w:space="0" w:color="auto"/>
              <w:right w:val="single" w:sz="4" w:space="0" w:color="auto"/>
            </w:tcBorders>
            <w:shd w:val="clear" w:color="auto" w:fill="auto"/>
            <w:noWrap/>
            <w:vAlign w:val="bottom"/>
            <w:hideMark/>
          </w:tcPr>
          <w:p w14:paraId="111B10A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65B778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59.924</w:t>
            </w:r>
          </w:p>
        </w:tc>
        <w:tc>
          <w:tcPr>
            <w:tcW w:w="904" w:type="dxa"/>
            <w:tcBorders>
              <w:top w:val="nil"/>
              <w:left w:val="nil"/>
              <w:bottom w:val="single" w:sz="4" w:space="0" w:color="auto"/>
              <w:right w:val="single" w:sz="4" w:space="0" w:color="auto"/>
            </w:tcBorders>
            <w:shd w:val="clear" w:color="auto" w:fill="auto"/>
            <w:noWrap/>
            <w:vAlign w:val="bottom"/>
            <w:hideMark/>
          </w:tcPr>
          <w:p w14:paraId="0E04E56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56.583</w:t>
            </w:r>
          </w:p>
        </w:tc>
        <w:tc>
          <w:tcPr>
            <w:tcW w:w="904" w:type="dxa"/>
            <w:tcBorders>
              <w:top w:val="nil"/>
              <w:left w:val="nil"/>
              <w:bottom w:val="single" w:sz="4" w:space="0" w:color="auto"/>
              <w:right w:val="single" w:sz="4" w:space="0" w:color="auto"/>
            </w:tcBorders>
            <w:shd w:val="clear" w:color="auto" w:fill="auto"/>
            <w:noWrap/>
            <w:vAlign w:val="bottom"/>
            <w:hideMark/>
          </w:tcPr>
          <w:p w14:paraId="6CE1BA8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62.503</w:t>
            </w:r>
          </w:p>
        </w:tc>
        <w:tc>
          <w:tcPr>
            <w:tcW w:w="904" w:type="dxa"/>
            <w:tcBorders>
              <w:top w:val="nil"/>
              <w:left w:val="nil"/>
              <w:bottom w:val="single" w:sz="4" w:space="0" w:color="auto"/>
              <w:right w:val="single" w:sz="4" w:space="0" w:color="auto"/>
            </w:tcBorders>
            <w:shd w:val="clear" w:color="auto" w:fill="auto"/>
            <w:noWrap/>
            <w:vAlign w:val="bottom"/>
            <w:hideMark/>
          </w:tcPr>
          <w:p w14:paraId="2ABE58B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59.946</w:t>
            </w:r>
          </w:p>
        </w:tc>
        <w:tc>
          <w:tcPr>
            <w:tcW w:w="904" w:type="dxa"/>
            <w:tcBorders>
              <w:top w:val="nil"/>
              <w:left w:val="nil"/>
              <w:bottom w:val="single" w:sz="4" w:space="0" w:color="auto"/>
              <w:right w:val="single" w:sz="4" w:space="0" w:color="auto"/>
            </w:tcBorders>
            <w:shd w:val="clear" w:color="auto" w:fill="auto"/>
            <w:noWrap/>
            <w:vAlign w:val="bottom"/>
            <w:hideMark/>
          </w:tcPr>
          <w:p w14:paraId="635D2AE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56.946</w:t>
            </w:r>
          </w:p>
        </w:tc>
        <w:tc>
          <w:tcPr>
            <w:tcW w:w="1946" w:type="dxa"/>
            <w:tcBorders>
              <w:top w:val="nil"/>
              <w:left w:val="nil"/>
              <w:bottom w:val="nil"/>
              <w:right w:val="nil"/>
            </w:tcBorders>
            <w:shd w:val="clear" w:color="auto" w:fill="auto"/>
            <w:noWrap/>
            <w:vAlign w:val="bottom"/>
            <w:hideMark/>
          </w:tcPr>
          <w:p w14:paraId="0842FCD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A4620F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17AD9D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45</w:t>
            </w:r>
          </w:p>
        </w:tc>
        <w:tc>
          <w:tcPr>
            <w:tcW w:w="904" w:type="dxa"/>
            <w:tcBorders>
              <w:top w:val="nil"/>
              <w:left w:val="nil"/>
              <w:bottom w:val="single" w:sz="4" w:space="0" w:color="auto"/>
              <w:right w:val="single" w:sz="4" w:space="0" w:color="auto"/>
            </w:tcBorders>
            <w:shd w:val="clear" w:color="auto" w:fill="auto"/>
            <w:noWrap/>
            <w:vAlign w:val="bottom"/>
            <w:hideMark/>
          </w:tcPr>
          <w:p w14:paraId="21039D3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2B322D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57.857</w:t>
            </w:r>
          </w:p>
        </w:tc>
        <w:tc>
          <w:tcPr>
            <w:tcW w:w="904" w:type="dxa"/>
            <w:tcBorders>
              <w:top w:val="nil"/>
              <w:left w:val="nil"/>
              <w:bottom w:val="single" w:sz="4" w:space="0" w:color="auto"/>
              <w:right w:val="single" w:sz="4" w:space="0" w:color="auto"/>
            </w:tcBorders>
            <w:shd w:val="clear" w:color="auto" w:fill="auto"/>
            <w:noWrap/>
            <w:vAlign w:val="bottom"/>
            <w:hideMark/>
          </w:tcPr>
          <w:p w14:paraId="4D4C867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56.901</w:t>
            </w:r>
          </w:p>
        </w:tc>
        <w:tc>
          <w:tcPr>
            <w:tcW w:w="904" w:type="dxa"/>
            <w:tcBorders>
              <w:top w:val="nil"/>
              <w:left w:val="nil"/>
              <w:bottom w:val="single" w:sz="4" w:space="0" w:color="auto"/>
              <w:right w:val="single" w:sz="4" w:space="0" w:color="auto"/>
            </w:tcBorders>
            <w:shd w:val="clear" w:color="auto" w:fill="auto"/>
            <w:noWrap/>
            <w:vAlign w:val="bottom"/>
            <w:hideMark/>
          </w:tcPr>
          <w:p w14:paraId="0BCF86C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60.776</w:t>
            </w:r>
          </w:p>
        </w:tc>
        <w:tc>
          <w:tcPr>
            <w:tcW w:w="904" w:type="dxa"/>
            <w:tcBorders>
              <w:top w:val="nil"/>
              <w:left w:val="nil"/>
              <w:bottom w:val="single" w:sz="4" w:space="0" w:color="auto"/>
              <w:right w:val="single" w:sz="4" w:space="0" w:color="auto"/>
            </w:tcBorders>
            <w:shd w:val="clear" w:color="auto" w:fill="auto"/>
            <w:noWrap/>
            <w:vAlign w:val="bottom"/>
            <w:hideMark/>
          </w:tcPr>
          <w:p w14:paraId="3373652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59.422</w:t>
            </w:r>
          </w:p>
        </w:tc>
        <w:tc>
          <w:tcPr>
            <w:tcW w:w="904" w:type="dxa"/>
            <w:tcBorders>
              <w:top w:val="nil"/>
              <w:left w:val="nil"/>
              <w:bottom w:val="single" w:sz="4" w:space="0" w:color="auto"/>
              <w:right w:val="single" w:sz="4" w:space="0" w:color="auto"/>
            </w:tcBorders>
            <w:shd w:val="clear" w:color="auto" w:fill="auto"/>
            <w:noWrap/>
            <w:vAlign w:val="bottom"/>
            <w:hideMark/>
          </w:tcPr>
          <w:p w14:paraId="6CFD4F1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56.235</w:t>
            </w:r>
          </w:p>
        </w:tc>
        <w:tc>
          <w:tcPr>
            <w:tcW w:w="1946" w:type="dxa"/>
            <w:tcBorders>
              <w:top w:val="nil"/>
              <w:left w:val="nil"/>
              <w:bottom w:val="nil"/>
              <w:right w:val="nil"/>
            </w:tcBorders>
            <w:shd w:val="clear" w:color="auto" w:fill="auto"/>
            <w:noWrap/>
            <w:vAlign w:val="bottom"/>
            <w:hideMark/>
          </w:tcPr>
          <w:p w14:paraId="4CD09DE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2A53BD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F6CC96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46</w:t>
            </w:r>
          </w:p>
        </w:tc>
        <w:tc>
          <w:tcPr>
            <w:tcW w:w="904" w:type="dxa"/>
            <w:tcBorders>
              <w:top w:val="nil"/>
              <w:left w:val="nil"/>
              <w:bottom w:val="single" w:sz="4" w:space="0" w:color="auto"/>
              <w:right w:val="single" w:sz="4" w:space="0" w:color="auto"/>
            </w:tcBorders>
            <w:shd w:val="clear" w:color="auto" w:fill="auto"/>
            <w:noWrap/>
            <w:vAlign w:val="bottom"/>
            <w:hideMark/>
          </w:tcPr>
          <w:p w14:paraId="3B783EE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57.790</w:t>
            </w:r>
          </w:p>
        </w:tc>
        <w:tc>
          <w:tcPr>
            <w:tcW w:w="904" w:type="dxa"/>
            <w:tcBorders>
              <w:top w:val="nil"/>
              <w:left w:val="nil"/>
              <w:bottom w:val="single" w:sz="4" w:space="0" w:color="auto"/>
              <w:right w:val="single" w:sz="4" w:space="0" w:color="auto"/>
            </w:tcBorders>
            <w:shd w:val="clear" w:color="auto" w:fill="auto"/>
            <w:noWrap/>
            <w:vAlign w:val="bottom"/>
            <w:hideMark/>
          </w:tcPr>
          <w:p w14:paraId="0F12EC5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40131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CD0081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3D245F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64D42EF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3B1A7FC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E3C0D8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7F6016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47</w:t>
            </w:r>
          </w:p>
        </w:tc>
        <w:tc>
          <w:tcPr>
            <w:tcW w:w="904" w:type="dxa"/>
            <w:tcBorders>
              <w:top w:val="nil"/>
              <w:left w:val="nil"/>
              <w:bottom w:val="single" w:sz="4" w:space="0" w:color="auto"/>
              <w:right w:val="single" w:sz="4" w:space="0" w:color="auto"/>
            </w:tcBorders>
            <w:shd w:val="clear" w:color="auto" w:fill="auto"/>
            <w:noWrap/>
            <w:vAlign w:val="bottom"/>
            <w:hideMark/>
          </w:tcPr>
          <w:p w14:paraId="539F77E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55.728</w:t>
            </w:r>
          </w:p>
        </w:tc>
        <w:tc>
          <w:tcPr>
            <w:tcW w:w="904" w:type="dxa"/>
            <w:tcBorders>
              <w:top w:val="nil"/>
              <w:left w:val="nil"/>
              <w:bottom w:val="single" w:sz="4" w:space="0" w:color="auto"/>
              <w:right w:val="single" w:sz="4" w:space="0" w:color="auto"/>
            </w:tcBorders>
            <w:shd w:val="clear" w:color="auto" w:fill="auto"/>
            <w:noWrap/>
            <w:vAlign w:val="bottom"/>
            <w:hideMark/>
          </w:tcPr>
          <w:p w14:paraId="27C8847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28F442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D36E52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58.967</w:t>
            </w:r>
          </w:p>
        </w:tc>
        <w:tc>
          <w:tcPr>
            <w:tcW w:w="904" w:type="dxa"/>
            <w:tcBorders>
              <w:top w:val="nil"/>
              <w:left w:val="nil"/>
              <w:bottom w:val="single" w:sz="4" w:space="0" w:color="auto"/>
              <w:right w:val="single" w:sz="4" w:space="0" w:color="auto"/>
            </w:tcBorders>
            <w:shd w:val="clear" w:color="auto" w:fill="auto"/>
            <w:noWrap/>
            <w:vAlign w:val="bottom"/>
            <w:hideMark/>
          </w:tcPr>
          <w:p w14:paraId="1E0230E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551C0EE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307471BC"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F08BFD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0DF611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48</w:t>
            </w:r>
          </w:p>
        </w:tc>
        <w:tc>
          <w:tcPr>
            <w:tcW w:w="904" w:type="dxa"/>
            <w:tcBorders>
              <w:top w:val="nil"/>
              <w:left w:val="nil"/>
              <w:bottom w:val="single" w:sz="4" w:space="0" w:color="auto"/>
              <w:right w:val="single" w:sz="4" w:space="0" w:color="auto"/>
            </w:tcBorders>
            <w:shd w:val="clear" w:color="auto" w:fill="auto"/>
            <w:noWrap/>
            <w:vAlign w:val="bottom"/>
            <w:hideMark/>
          </w:tcPr>
          <w:p w14:paraId="749C64A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2ECD53F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161A54A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B2DD6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57.113</w:t>
            </w:r>
          </w:p>
        </w:tc>
        <w:tc>
          <w:tcPr>
            <w:tcW w:w="904" w:type="dxa"/>
            <w:tcBorders>
              <w:top w:val="nil"/>
              <w:left w:val="nil"/>
              <w:bottom w:val="single" w:sz="4" w:space="0" w:color="auto"/>
              <w:right w:val="single" w:sz="4" w:space="0" w:color="auto"/>
            </w:tcBorders>
            <w:shd w:val="clear" w:color="auto" w:fill="auto"/>
            <w:noWrap/>
            <w:vAlign w:val="bottom"/>
            <w:hideMark/>
          </w:tcPr>
          <w:p w14:paraId="7885B63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CACC65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4B42717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FD1BC7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DB4AFD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w:t>
            </w:r>
          </w:p>
        </w:tc>
        <w:tc>
          <w:tcPr>
            <w:tcW w:w="904" w:type="dxa"/>
            <w:tcBorders>
              <w:top w:val="nil"/>
              <w:left w:val="nil"/>
              <w:bottom w:val="single" w:sz="4" w:space="0" w:color="auto"/>
              <w:right w:val="single" w:sz="4" w:space="0" w:color="auto"/>
            </w:tcBorders>
            <w:shd w:val="clear" w:color="auto" w:fill="auto"/>
            <w:noWrap/>
            <w:vAlign w:val="bottom"/>
            <w:hideMark/>
          </w:tcPr>
          <w:p w14:paraId="37CA93F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719A26F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1D4D3B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CCA667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56.088</w:t>
            </w:r>
          </w:p>
        </w:tc>
        <w:tc>
          <w:tcPr>
            <w:tcW w:w="904" w:type="dxa"/>
            <w:tcBorders>
              <w:top w:val="nil"/>
              <w:left w:val="nil"/>
              <w:bottom w:val="single" w:sz="4" w:space="0" w:color="auto"/>
              <w:right w:val="single" w:sz="4" w:space="0" w:color="auto"/>
            </w:tcBorders>
            <w:shd w:val="clear" w:color="auto" w:fill="auto"/>
            <w:noWrap/>
            <w:vAlign w:val="bottom"/>
            <w:hideMark/>
          </w:tcPr>
          <w:p w14:paraId="1BC91D4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0D73E11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54.508</w:t>
            </w:r>
          </w:p>
        </w:tc>
        <w:tc>
          <w:tcPr>
            <w:tcW w:w="1946" w:type="dxa"/>
            <w:tcBorders>
              <w:top w:val="nil"/>
              <w:left w:val="nil"/>
              <w:bottom w:val="nil"/>
              <w:right w:val="nil"/>
            </w:tcBorders>
            <w:shd w:val="clear" w:color="auto" w:fill="auto"/>
            <w:noWrap/>
            <w:vAlign w:val="bottom"/>
            <w:hideMark/>
          </w:tcPr>
          <w:p w14:paraId="318E013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216A5B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C37725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w:t>
            </w:r>
          </w:p>
        </w:tc>
        <w:tc>
          <w:tcPr>
            <w:tcW w:w="904" w:type="dxa"/>
            <w:tcBorders>
              <w:top w:val="nil"/>
              <w:left w:val="nil"/>
              <w:bottom w:val="single" w:sz="4" w:space="0" w:color="auto"/>
              <w:right w:val="single" w:sz="4" w:space="0" w:color="auto"/>
            </w:tcBorders>
            <w:shd w:val="clear" w:color="auto" w:fill="auto"/>
            <w:noWrap/>
            <w:vAlign w:val="bottom"/>
            <w:hideMark/>
          </w:tcPr>
          <w:p w14:paraId="1629BF3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A9A158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55.372</w:t>
            </w:r>
          </w:p>
        </w:tc>
        <w:tc>
          <w:tcPr>
            <w:tcW w:w="904" w:type="dxa"/>
            <w:tcBorders>
              <w:top w:val="nil"/>
              <w:left w:val="nil"/>
              <w:bottom w:val="single" w:sz="4" w:space="0" w:color="auto"/>
              <w:right w:val="single" w:sz="4" w:space="0" w:color="auto"/>
            </w:tcBorders>
            <w:shd w:val="clear" w:color="auto" w:fill="auto"/>
            <w:noWrap/>
            <w:vAlign w:val="bottom"/>
            <w:hideMark/>
          </w:tcPr>
          <w:p w14:paraId="643970E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AAD2DF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30C9A46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2B5531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54.300</w:t>
            </w:r>
          </w:p>
        </w:tc>
        <w:tc>
          <w:tcPr>
            <w:tcW w:w="1946" w:type="dxa"/>
            <w:tcBorders>
              <w:top w:val="nil"/>
              <w:left w:val="nil"/>
              <w:bottom w:val="nil"/>
              <w:right w:val="nil"/>
            </w:tcBorders>
            <w:shd w:val="clear" w:color="auto" w:fill="auto"/>
            <w:noWrap/>
            <w:vAlign w:val="bottom"/>
            <w:hideMark/>
          </w:tcPr>
          <w:p w14:paraId="4142933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4167AF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9DFECD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w:t>
            </w:r>
          </w:p>
        </w:tc>
        <w:tc>
          <w:tcPr>
            <w:tcW w:w="904" w:type="dxa"/>
            <w:tcBorders>
              <w:top w:val="nil"/>
              <w:left w:val="nil"/>
              <w:bottom w:val="single" w:sz="4" w:space="0" w:color="auto"/>
              <w:right w:val="single" w:sz="4" w:space="0" w:color="auto"/>
            </w:tcBorders>
            <w:shd w:val="clear" w:color="auto" w:fill="auto"/>
            <w:noWrap/>
            <w:vAlign w:val="bottom"/>
            <w:hideMark/>
          </w:tcPr>
          <w:p w14:paraId="0E8DD70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727E5EE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54.409</w:t>
            </w:r>
          </w:p>
        </w:tc>
        <w:tc>
          <w:tcPr>
            <w:tcW w:w="904" w:type="dxa"/>
            <w:tcBorders>
              <w:top w:val="nil"/>
              <w:left w:val="nil"/>
              <w:bottom w:val="single" w:sz="4" w:space="0" w:color="auto"/>
              <w:right w:val="single" w:sz="4" w:space="0" w:color="auto"/>
            </w:tcBorders>
            <w:shd w:val="clear" w:color="auto" w:fill="auto"/>
            <w:noWrap/>
            <w:vAlign w:val="bottom"/>
            <w:hideMark/>
          </w:tcPr>
          <w:p w14:paraId="750CF6A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59.298</w:t>
            </w:r>
          </w:p>
        </w:tc>
        <w:tc>
          <w:tcPr>
            <w:tcW w:w="904" w:type="dxa"/>
            <w:tcBorders>
              <w:top w:val="nil"/>
              <w:left w:val="nil"/>
              <w:bottom w:val="single" w:sz="4" w:space="0" w:color="auto"/>
              <w:right w:val="single" w:sz="4" w:space="0" w:color="auto"/>
            </w:tcBorders>
            <w:shd w:val="clear" w:color="auto" w:fill="auto"/>
            <w:noWrap/>
            <w:vAlign w:val="bottom"/>
            <w:hideMark/>
          </w:tcPr>
          <w:p w14:paraId="0D5F3A0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9415AB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B42A9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54.591</w:t>
            </w:r>
          </w:p>
        </w:tc>
        <w:tc>
          <w:tcPr>
            <w:tcW w:w="1946" w:type="dxa"/>
            <w:tcBorders>
              <w:top w:val="nil"/>
              <w:left w:val="nil"/>
              <w:bottom w:val="nil"/>
              <w:right w:val="nil"/>
            </w:tcBorders>
            <w:shd w:val="clear" w:color="auto" w:fill="auto"/>
            <w:noWrap/>
            <w:vAlign w:val="bottom"/>
            <w:hideMark/>
          </w:tcPr>
          <w:p w14:paraId="4768A1D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FF8D27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D78543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w:t>
            </w:r>
          </w:p>
        </w:tc>
        <w:tc>
          <w:tcPr>
            <w:tcW w:w="904" w:type="dxa"/>
            <w:tcBorders>
              <w:top w:val="nil"/>
              <w:left w:val="nil"/>
              <w:bottom w:val="single" w:sz="4" w:space="0" w:color="auto"/>
              <w:right w:val="single" w:sz="4" w:space="0" w:color="auto"/>
            </w:tcBorders>
            <w:shd w:val="clear" w:color="auto" w:fill="auto"/>
            <w:noWrap/>
            <w:vAlign w:val="bottom"/>
            <w:hideMark/>
          </w:tcPr>
          <w:p w14:paraId="4C43667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0BEF50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48CB6C9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3F12465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55.930</w:t>
            </w:r>
          </w:p>
        </w:tc>
        <w:tc>
          <w:tcPr>
            <w:tcW w:w="904" w:type="dxa"/>
            <w:tcBorders>
              <w:top w:val="nil"/>
              <w:left w:val="nil"/>
              <w:bottom w:val="single" w:sz="4" w:space="0" w:color="auto"/>
              <w:right w:val="single" w:sz="4" w:space="0" w:color="auto"/>
            </w:tcBorders>
            <w:shd w:val="clear" w:color="auto" w:fill="auto"/>
            <w:noWrap/>
            <w:vAlign w:val="bottom"/>
            <w:hideMark/>
          </w:tcPr>
          <w:p w14:paraId="3B21046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CB3590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54.824</w:t>
            </w:r>
          </w:p>
        </w:tc>
        <w:tc>
          <w:tcPr>
            <w:tcW w:w="1946" w:type="dxa"/>
            <w:tcBorders>
              <w:top w:val="nil"/>
              <w:left w:val="nil"/>
              <w:bottom w:val="nil"/>
              <w:right w:val="nil"/>
            </w:tcBorders>
            <w:shd w:val="clear" w:color="auto" w:fill="auto"/>
            <w:noWrap/>
            <w:vAlign w:val="bottom"/>
            <w:hideMark/>
          </w:tcPr>
          <w:p w14:paraId="076B71C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747BA5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7AEB35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w:t>
            </w:r>
          </w:p>
        </w:tc>
        <w:tc>
          <w:tcPr>
            <w:tcW w:w="904" w:type="dxa"/>
            <w:tcBorders>
              <w:top w:val="nil"/>
              <w:left w:val="nil"/>
              <w:bottom w:val="single" w:sz="4" w:space="0" w:color="auto"/>
              <w:right w:val="single" w:sz="4" w:space="0" w:color="auto"/>
            </w:tcBorders>
            <w:shd w:val="clear" w:color="auto" w:fill="auto"/>
            <w:noWrap/>
            <w:vAlign w:val="bottom"/>
            <w:hideMark/>
          </w:tcPr>
          <w:p w14:paraId="1421D19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55.167</w:t>
            </w:r>
          </w:p>
        </w:tc>
        <w:tc>
          <w:tcPr>
            <w:tcW w:w="904" w:type="dxa"/>
            <w:tcBorders>
              <w:top w:val="nil"/>
              <w:left w:val="nil"/>
              <w:bottom w:val="single" w:sz="4" w:space="0" w:color="auto"/>
              <w:right w:val="single" w:sz="4" w:space="0" w:color="auto"/>
            </w:tcBorders>
            <w:shd w:val="clear" w:color="auto" w:fill="auto"/>
            <w:noWrap/>
            <w:vAlign w:val="bottom"/>
            <w:hideMark/>
          </w:tcPr>
          <w:p w14:paraId="70734DC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127C7C2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4CB4A7E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55.230</w:t>
            </w:r>
          </w:p>
        </w:tc>
        <w:tc>
          <w:tcPr>
            <w:tcW w:w="904" w:type="dxa"/>
            <w:tcBorders>
              <w:top w:val="nil"/>
              <w:left w:val="nil"/>
              <w:bottom w:val="single" w:sz="4" w:space="0" w:color="auto"/>
              <w:right w:val="single" w:sz="4" w:space="0" w:color="auto"/>
            </w:tcBorders>
            <w:shd w:val="clear" w:color="auto" w:fill="auto"/>
            <w:noWrap/>
            <w:vAlign w:val="bottom"/>
            <w:hideMark/>
          </w:tcPr>
          <w:p w14:paraId="499B50A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6671951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2E719AA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554553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5C446C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w:t>
            </w:r>
          </w:p>
        </w:tc>
        <w:tc>
          <w:tcPr>
            <w:tcW w:w="904" w:type="dxa"/>
            <w:tcBorders>
              <w:top w:val="nil"/>
              <w:left w:val="nil"/>
              <w:bottom w:val="single" w:sz="4" w:space="0" w:color="auto"/>
              <w:right w:val="single" w:sz="4" w:space="0" w:color="auto"/>
            </w:tcBorders>
            <w:shd w:val="clear" w:color="auto" w:fill="auto"/>
            <w:noWrap/>
            <w:vAlign w:val="bottom"/>
            <w:hideMark/>
          </w:tcPr>
          <w:p w14:paraId="05DB98A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56.571</w:t>
            </w:r>
          </w:p>
        </w:tc>
        <w:tc>
          <w:tcPr>
            <w:tcW w:w="904" w:type="dxa"/>
            <w:tcBorders>
              <w:top w:val="nil"/>
              <w:left w:val="nil"/>
              <w:bottom w:val="single" w:sz="4" w:space="0" w:color="auto"/>
              <w:right w:val="single" w:sz="4" w:space="0" w:color="auto"/>
            </w:tcBorders>
            <w:shd w:val="clear" w:color="auto" w:fill="auto"/>
            <w:noWrap/>
            <w:vAlign w:val="bottom"/>
            <w:hideMark/>
          </w:tcPr>
          <w:p w14:paraId="547C3B9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54.580</w:t>
            </w:r>
          </w:p>
        </w:tc>
        <w:tc>
          <w:tcPr>
            <w:tcW w:w="904" w:type="dxa"/>
            <w:tcBorders>
              <w:top w:val="nil"/>
              <w:left w:val="nil"/>
              <w:bottom w:val="single" w:sz="4" w:space="0" w:color="auto"/>
              <w:right w:val="single" w:sz="4" w:space="0" w:color="auto"/>
            </w:tcBorders>
            <w:shd w:val="clear" w:color="auto" w:fill="auto"/>
            <w:noWrap/>
            <w:vAlign w:val="bottom"/>
            <w:hideMark/>
          </w:tcPr>
          <w:p w14:paraId="3D06486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351359C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4267E50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26CA578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55.290</w:t>
            </w:r>
          </w:p>
        </w:tc>
        <w:tc>
          <w:tcPr>
            <w:tcW w:w="1946" w:type="dxa"/>
            <w:tcBorders>
              <w:top w:val="nil"/>
              <w:left w:val="nil"/>
              <w:bottom w:val="nil"/>
              <w:right w:val="nil"/>
            </w:tcBorders>
            <w:shd w:val="clear" w:color="auto" w:fill="auto"/>
            <w:noWrap/>
            <w:vAlign w:val="bottom"/>
            <w:hideMark/>
          </w:tcPr>
          <w:p w14:paraId="3B8C6D9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BF8421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F566E1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w:t>
            </w:r>
          </w:p>
        </w:tc>
        <w:tc>
          <w:tcPr>
            <w:tcW w:w="904" w:type="dxa"/>
            <w:tcBorders>
              <w:top w:val="nil"/>
              <w:left w:val="nil"/>
              <w:bottom w:val="single" w:sz="4" w:space="0" w:color="auto"/>
              <w:right w:val="single" w:sz="4" w:space="0" w:color="auto"/>
            </w:tcBorders>
            <w:shd w:val="clear" w:color="auto" w:fill="auto"/>
            <w:noWrap/>
            <w:vAlign w:val="bottom"/>
            <w:hideMark/>
          </w:tcPr>
          <w:p w14:paraId="11C9F79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57.941</w:t>
            </w:r>
          </w:p>
        </w:tc>
        <w:tc>
          <w:tcPr>
            <w:tcW w:w="904" w:type="dxa"/>
            <w:tcBorders>
              <w:top w:val="nil"/>
              <w:left w:val="nil"/>
              <w:bottom w:val="single" w:sz="4" w:space="0" w:color="auto"/>
              <w:right w:val="single" w:sz="4" w:space="0" w:color="auto"/>
            </w:tcBorders>
            <w:shd w:val="clear" w:color="auto" w:fill="auto"/>
            <w:noWrap/>
            <w:vAlign w:val="bottom"/>
            <w:hideMark/>
          </w:tcPr>
          <w:p w14:paraId="0C2B4AA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56.321</w:t>
            </w:r>
          </w:p>
        </w:tc>
        <w:tc>
          <w:tcPr>
            <w:tcW w:w="904" w:type="dxa"/>
            <w:tcBorders>
              <w:top w:val="nil"/>
              <w:left w:val="nil"/>
              <w:bottom w:val="single" w:sz="4" w:space="0" w:color="auto"/>
              <w:right w:val="single" w:sz="4" w:space="0" w:color="auto"/>
            </w:tcBorders>
            <w:shd w:val="clear" w:color="auto" w:fill="auto"/>
            <w:noWrap/>
            <w:vAlign w:val="bottom"/>
            <w:hideMark/>
          </w:tcPr>
          <w:p w14:paraId="73DB750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61.686</w:t>
            </w:r>
          </w:p>
        </w:tc>
        <w:tc>
          <w:tcPr>
            <w:tcW w:w="904" w:type="dxa"/>
            <w:tcBorders>
              <w:top w:val="nil"/>
              <w:left w:val="nil"/>
              <w:bottom w:val="single" w:sz="4" w:space="0" w:color="auto"/>
              <w:right w:val="single" w:sz="4" w:space="0" w:color="auto"/>
            </w:tcBorders>
            <w:shd w:val="clear" w:color="auto" w:fill="auto"/>
            <w:noWrap/>
            <w:vAlign w:val="bottom"/>
            <w:hideMark/>
          </w:tcPr>
          <w:p w14:paraId="45258C9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4C908BF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60.372</w:t>
            </w:r>
          </w:p>
        </w:tc>
        <w:tc>
          <w:tcPr>
            <w:tcW w:w="904" w:type="dxa"/>
            <w:tcBorders>
              <w:top w:val="nil"/>
              <w:left w:val="nil"/>
              <w:bottom w:val="single" w:sz="4" w:space="0" w:color="auto"/>
              <w:right w:val="single" w:sz="4" w:space="0" w:color="auto"/>
            </w:tcBorders>
            <w:shd w:val="clear" w:color="auto" w:fill="auto"/>
            <w:noWrap/>
            <w:vAlign w:val="bottom"/>
            <w:hideMark/>
          </w:tcPr>
          <w:p w14:paraId="6057A67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56.810</w:t>
            </w:r>
          </w:p>
        </w:tc>
        <w:tc>
          <w:tcPr>
            <w:tcW w:w="1946" w:type="dxa"/>
            <w:tcBorders>
              <w:top w:val="nil"/>
              <w:left w:val="nil"/>
              <w:bottom w:val="nil"/>
              <w:right w:val="nil"/>
            </w:tcBorders>
            <w:shd w:val="clear" w:color="auto" w:fill="auto"/>
            <w:noWrap/>
            <w:vAlign w:val="bottom"/>
            <w:hideMark/>
          </w:tcPr>
          <w:p w14:paraId="1D9A854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F5A426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E0C873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w:t>
            </w:r>
          </w:p>
        </w:tc>
        <w:tc>
          <w:tcPr>
            <w:tcW w:w="904" w:type="dxa"/>
            <w:tcBorders>
              <w:top w:val="nil"/>
              <w:left w:val="nil"/>
              <w:bottom w:val="single" w:sz="4" w:space="0" w:color="auto"/>
              <w:right w:val="single" w:sz="4" w:space="0" w:color="auto"/>
            </w:tcBorders>
            <w:shd w:val="clear" w:color="auto" w:fill="auto"/>
            <w:noWrap/>
            <w:vAlign w:val="bottom"/>
            <w:hideMark/>
          </w:tcPr>
          <w:p w14:paraId="11ACCD9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D579D3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15379A9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61.415</w:t>
            </w:r>
          </w:p>
        </w:tc>
        <w:tc>
          <w:tcPr>
            <w:tcW w:w="904" w:type="dxa"/>
            <w:tcBorders>
              <w:top w:val="nil"/>
              <w:left w:val="nil"/>
              <w:bottom w:val="single" w:sz="4" w:space="0" w:color="auto"/>
              <w:right w:val="single" w:sz="4" w:space="0" w:color="auto"/>
            </w:tcBorders>
            <w:shd w:val="clear" w:color="auto" w:fill="auto"/>
            <w:noWrap/>
            <w:vAlign w:val="bottom"/>
            <w:hideMark/>
          </w:tcPr>
          <w:p w14:paraId="1131F7C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55.578</w:t>
            </w:r>
          </w:p>
        </w:tc>
        <w:tc>
          <w:tcPr>
            <w:tcW w:w="904" w:type="dxa"/>
            <w:tcBorders>
              <w:top w:val="nil"/>
              <w:left w:val="nil"/>
              <w:bottom w:val="single" w:sz="4" w:space="0" w:color="auto"/>
              <w:right w:val="single" w:sz="4" w:space="0" w:color="auto"/>
            </w:tcBorders>
            <w:shd w:val="clear" w:color="auto" w:fill="auto"/>
            <w:noWrap/>
            <w:vAlign w:val="bottom"/>
            <w:hideMark/>
          </w:tcPr>
          <w:p w14:paraId="44FC841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2664093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66C1AEC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43609B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4B197B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w:t>
            </w:r>
          </w:p>
        </w:tc>
        <w:tc>
          <w:tcPr>
            <w:tcW w:w="904" w:type="dxa"/>
            <w:tcBorders>
              <w:top w:val="nil"/>
              <w:left w:val="nil"/>
              <w:bottom w:val="single" w:sz="4" w:space="0" w:color="auto"/>
              <w:right w:val="single" w:sz="4" w:space="0" w:color="auto"/>
            </w:tcBorders>
            <w:shd w:val="clear" w:color="auto" w:fill="auto"/>
            <w:noWrap/>
            <w:vAlign w:val="bottom"/>
            <w:hideMark/>
          </w:tcPr>
          <w:p w14:paraId="1C1754A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57.530</w:t>
            </w:r>
          </w:p>
        </w:tc>
        <w:tc>
          <w:tcPr>
            <w:tcW w:w="904" w:type="dxa"/>
            <w:tcBorders>
              <w:top w:val="nil"/>
              <w:left w:val="nil"/>
              <w:bottom w:val="single" w:sz="4" w:space="0" w:color="auto"/>
              <w:right w:val="single" w:sz="4" w:space="0" w:color="auto"/>
            </w:tcBorders>
            <w:shd w:val="clear" w:color="auto" w:fill="auto"/>
            <w:noWrap/>
            <w:vAlign w:val="bottom"/>
            <w:hideMark/>
          </w:tcPr>
          <w:p w14:paraId="461845F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C40FBC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60.530</w:t>
            </w:r>
          </w:p>
        </w:tc>
        <w:tc>
          <w:tcPr>
            <w:tcW w:w="904" w:type="dxa"/>
            <w:tcBorders>
              <w:top w:val="nil"/>
              <w:left w:val="nil"/>
              <w:bottom w:val="single" w:sz="4" w:space="0" w:color="auto"/>
              <w:right w:val="single" w:sz="4" w:space="0" w:color="auto"/>
            </w:tcBorders>
            <w:shd w:val="clear" w:color="auto" w:fill="auto"/>
            <w:noWrap/>
            <w:vAlign w:val="bottom"/>
            <w:hideMark/>
          </w:tcPr>
          <w:p w14:paraId="540711F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57.201</w:t>
            </w:r>
          </w:p>
        </w:tc>
        <w:tc>
          <w:tcPr>
            <w:tcW w:w="904" w:type="dxa"/>
            <w:tcBorders>
              <w:top w:val="nil"/>
              <w:left w:val="nil"/>
              <w:bottom w:val="single" w:sz="4" w:space="0" w:color="auto"/>
              <w:right w:val="single" w:sz="4" w:space="0" w:color="auto"/>
            </w:tcBorders>
            <w:shd w:val="clear" w:color="auto" w:fill="auto"/>
            <w:noWrap/>
            <w:vAlign w:val="bottom"/>
            <w:hideMark/>
          </w:tcPr>
          <w:p w14:paraId="2E48744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60.530</w:t>
            </w:r>
          </w:p>
        </w:tc>
        <w:tc>
          <w:tcPr>
            <w:tcW w:w="904" w:type="dxa"/>
            <w:tcBorders>
              <w:top w:val="nil"/>
              <w:left w:val="nil"/>
              <w:bottom w:val="single" w:sz="4" w:space="0" w:color="auto"/>
              <w:right w:val="single" w:sz="4" w:space="0" w:color="auto"/>
            </w:tcBorders>
            <w:shd w:val="clear" w:color="auto" w:fill="auto"/>
            <w:noWrap/>
            <w:vAlign w:val="bottom"/>
            <w:hideMark/>
          </w:tcPr>
          <w:p w14:paraId="2CA1182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57.470</w:t>
            </w:r>
          </w:p>
        </w:tc>
        <w:tc>
          <w:tcPr>
            <w:tcW w:w="1946" w:type="dxa"/>
            <w:tcBorders>
              <w:top w:val="nil"/>
              <w:left w:val="nil"/>
              <w:bottom w:val="nil"/>
              <w:right w:val="nil"/>
            </w:tcBorders>
            <w:shd w:val="clear" w:color="auto" w:fill="auto"/>
            <w:noWrap/>
            <w:vAlign w:val="bottom"/>
            <w:hideMark/>
          </w:tcPr>
          <w:p w14:paraId="3B27E2D6"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B712352"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81F0F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w:t>
            </w:r>
          </w:p>
        </w:tc>
        <w:tc>
          <w:tcPr>
            <w:tcW w:w="904" w:type="dxa"/>
            <w:tcBorders>
              <w:top w:val="nil"/>
              <w:left w:val="nil"/>
              <w:bottom w:val="single" w:sz="4" w:space="0" w:color="auto"/>
              <w:right w:val="single" w:sz="4" w:space="0" w:color="auto"/>
            </w:tcBorders>
            <w:shd w:val="clear" w:color="auto" w:fill="auto"/>
            <w:noWrap/>
            <w:vAlign w:val="bottom"/>
            <w:hideMark/>
          </w:tcPr>
          <w:p w14:paraId="4AA9AFD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56.212</w:t>
            </w:r>
          </w:p>
        </w:tc>
        <w:tc>
          <w:tcPr>
            <w:tcW w:w="904" w:type="dxa"/>
            <w:tcBorders>
              <w:top w:val="nil"/>
              <w:left w:val="nil"/>
              <w:bottom w:val="single" w:sz="4" w:space="0" w:color="auto"/>
              <w:right w:val="single" w:sz="4" w:space="0" w:color="auto"/>
            </w:tcBorders>
            <w:shd w:val="clear" w:color="auto" w:fill="auto"/>
            <w:noWrap/>
            <w:vAlign w:val="bottom"/>
            <w:hideMark/>
          </w:tcPr>
          <w:p w14:paraId="6ACBFAA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57.307</w:t>
            </w:r>
          </w:p>
        </w:tc>
        <w:tc>
          <w:tcPr>
            <w:tcW w:w="904" w:type="dxa"/>
            <w:tcBorders>
              <w:top w:val="nil"/>
              <w:left w:val="nil"/>
              <w:bottom w:val="single" w:sz="4" w:space="0" w:color="auto"/>
              <w:right w:val="single" w:sz="4" w:space="0" w:color="auto"/>
            </w:tcBorders>
            <w:shd w:val="clear" w:color="auto" w:fill="auto"/>
            <w:noWrap/>
            <w:vAlign w:val="bottom"/>
            <w:hideMark/>
          </w:tcPr>
          <w:p w14:paraId="2E5C15A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DB6EBF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D86AC0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60.236</w:t>
            </w:r>
          </w:p>
        </w:tc>
        <w:tc>
          <w:tcPr>
            <w:tcW w:w="904" w:type="dxa"/>
            <w:tcBorders>
              <w:top w:val="nil"/>
              <w:left w:val="nil"/>
              <w:bottom w:val="single" w:sz="4" w:space="0" w:color="auto"/>
              <w:right w:val="single" w:sz="4" w:space="0" w:color="auto"/>
            </w:tcBorders>
            <w:shd w:val="clear" w:color="auto" w:fill="auto"/>
            <w:noWrap/>
            <w:vAlign w:val="bottom"/>
            <w:hideMark/>
          </w:tcPr>
          <w:p w14:paraId="0282982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58.477</w:t>
            </w:r>
          </w:p>
        </w:tc>
        <w:tc>
          <w:tcPr>
            <w:tcW w:w="1946" w:type="dxa"/>
            <w:tcBorders>
              <w:top w:val="nil"/>
              <w:left w:val="nil"/>
              <w:bottom w:val="nil"/>
              <w:right w:val="nil"/>
            </w:tcBorders>
            <w:shd w:val="clear" w:color="auto" w:fill="auto"/>
            <w:noWrap/>
            <w:vAlign w:val="bottom"/>
            <w:hideMark/>
          </w:tcPr>
          <w:p w14:paraId="6714FE6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1B505F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E64C01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w:t>
            </w:r>
          </w:p>
        </w:tc>
        <w:tc>
          <w:tcPr>
            <w:tcW w:w="904" w:type="dxa"/>
            <w:tcBorders>
              <w:top w:val="nil"/>
              <w:left w:val="nil"/>
              <w:bottom w:val="single" w:sz="4" w:space="0" w:color="auto"/>
              <w:right w:val="single" w:sz="4" w:space="0" w:color="auto"/>
            </w:tcBorders>
            <w:shd w:val="clear" w:color="auto" w:fill="auto"/>
            <w:noWrap/>
            <w:vAlign w:val="bottom"/>
            <w:hideMark/>
          </w:tcPr>
          <w:p w14:paraId="6A2A91F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7E2DA4F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59.073</w:t>
            </w:r>
          </w:p>
        </w:tc>
        <w:tc>
          <w:tcPr>
            <w:tcW w:w="904" w:type="dxa"/>
            <w:tcBorders>
              <w:top w:val="nil"/>
              <w:left w:val="nil"/>
              <w:bottom w:val="single" w:sz="4" w:space="0" w:color="auto"/>
              <w:right w:val="single" w:sz="4" w:space="0" w:color="auto"/>
            </w:tcBorders>
            <w:shd w:val="clear" w:color="auto" w:fill="auto"/>
            <w:noWrap/>
            <w:vAlign w:val="bottom"/>
            <w:hideMark/>
          </w:tcPr>
          <w:p w14:paraId="381F60F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6D7C2A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3E53D2E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0CF4F1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58.065</w:t>
            </w:r>
          </w:p>
        </w:tc>
        <w:tc>
          <w:tcPr>
            <w:tcW w:w="1946" w:type="dxa"/>
            <w:tcBorders>
              <w:top w:val="nil"/>
              <w:left w:val="nil"/>
              <w:bottom w:val="nil"/>
              <w:right w:val="nil"/>
            </w:tcBorders>
            <w:shd w:val="clear" w:color="auto" w:fill="auto"/>
            <w:noWrap/>
            <w:vAlign w:val="bottom"/>
            <w:hideMark/>
          </w:tcPr>
          <w:p w14:paraId="1C194D3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D734F2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8B372C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w:t>
            </w:r>
          </w:p>
        </w:tc>
        <w:tc>
          <w:tcPr>
            <w:tcW w:w="904" w:type="dxa"/>
            <w:tcBorders>
              <w:top w:val="nil"/>
              <w:left w:val="nil"/>
              <w:bottom w:val="single" w:sz="4" w:space="0" w:color="auto"/>
              <w:right w:val="single" w:sz="4" w:space="0" w:color="auto"/>
            </w:tcBorders>
            <w:shd w:val="clear" w:color="auto" w:fill="auto"/>
            <w:noWrap/>
            <w:vAlign w:val="bottom"/>
            <w:hideMark/>
          </w:tcPr>
          <w:p w14:paraId="4748360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384CB72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21B377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92CE54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59.477</w:t>
            </w:r>
          </w:p>
        </w:tc>
        <w:tc>
          <w:tcPr>
            <w:tcW w:w="904" w:type="dxa"/>
            <w:tcBorders>
              <w:top w:val="nil"/>
              <w:left w:val="nil"/>
              <w:bottom w:val="single" w:sz="4" w:space="0" w:color="auto"/>
              <w:right w:val="single" w:sz="4" w:space="0" w:color="auto"/>
            </w:tcBorders>
            <w:shd w:val="clear" w:color="auto" w:fill="auto"/>
            <w:noWrap/>
            <w:vAlign w:val="bottom"/>
            <w:hideMark/>
          </w:tcPr>
          <w:p w14:paraId="6A65464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59.957</w:t>
            </w:r>
          </w:p>
        </w:tc>
        <w:tc>
          <w:tcPr>
            <w:tcW w:w="904" w:type="dxa"/>
            <w:tcBorders>
              <w:top w:val="nil"/>
              <w:left w:val="nil"/>
              <w:bottom w:val="single" w:sz="4" w:space="0" w:color="auto"/>
              <w:right w:val="single" w:sz="4" w:space="0" w:color="auto"/>
            </w:tcBorders>
            <w:shd w:val="clear" w:color="auto" w:fill="auto"/>
            <w:noWrap/>
            <w:vAlign w:val="bottom"/>
            <w:hideMark/>
          </w:tcPr>
          <w:p w14:paraId="4A4648C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056276C6"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7D03D1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BB0D1C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w:t>
            </w:r>
          </w:p>
        </w:tc>
        <w:tc>
          <w:tcPr>
            <w:tcW w:w="904" w:type="dxa"/>
            <w:tcBorders>
              <w:top w:val="nil"/>
              <w:left w:val="nil"/>
              <w:bottom w:val="single" w:sz="4" w:space="0" w:color="auto"/>
              <w:right w:val="single" w:sz="4" w:space="0" w:color="auto"/>
            </w:tcBorders>
            <w:shd w:val="clear" w:color="auto" w:fill="auto"/>
            <w:noWrap/>
            <w:vAlign w:val="bottom"/>
            <w:hideMark/>
          </w:tcPr>
          <w:p w14:paraId="096D939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4BC4EEB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D05AB0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D801F1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60.994</w:t>
            </w:r>
          </w:p>
        </w:tc>
        <w:tc>
          <w:tcPr>
            <w:tcW w:w="904" w:type="dxa"/>
            <w:tcBorders>
              <w:top w:val="nil"/>
              <w:left w:val="nil"/>
              <w:bottom w:val="single" w:sz="4" w:space="0" w:color="auto"/>
              <w:right w:val="single" w:sz="4" w:space="0" w:color="auto"/>
            </w:tcBorders>
            <w:shd w:val="clear" w:color="auto" w:fill="auto"/>
            <w:noWrap/>
            <w:vAlign w:val="bottom"/>
            <w:hideMark/>
          </w:tcPr>
          <w:p w14:paraId="77366C0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59.088</w:t>
            </w:r>
          </w:p>
        </w:tc>
        <w:tc>
          <w:tcPr>
            <w:tcW w:w="904" w:type="dxa"/>
            <w:tcBorders>
              <w:top w:val="nil"/>
              <w:left w:val="nil"/>
              <w:bottom w:val="single" w:sz="4" w:space="0" w:color="auto"/>
              <w:right w:val="single" w:sz="4" w:space="0" w:color="auto"/>
            </w:tcBorders>
            <w:shd w:val="clear" w:color="auto" w:fill="auto"/>
            <w:noWrap/>
            <w:vAlign w:val="bottom"/>
            <w:hideMark/>
          </w:tcPr>
          <w:p w14:paraId="7DDA65B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3E7CE0F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CDB1F4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AC3E2B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w:t>
            </w:r>
          </w:p>
        </w:tc>
        <w:tc>
          <w:tcPr>
            <w:tcW w:w="904" w:type="dxa"/>
            <w:tcBorders>
              <w:top w:val="nil"/>
              <w:left w:val="nil"/>
              <w:bottom w:val="single" w:sz="4" w:space="0" w:color="auto"/>
              <w:right w:val="single" w:sz="4" w:space="0" w:color="auto"/>
            </w:tcBorders>
            <w:shd w:val="clear" w:color="auto" w:fill="auto"/>
            <w:noWrap/>
            <w:vAlign w:val="bottom"/>
            <w:hideMark/>
          </w:tcPr>
          <w:p w14:paraId="77DD2DA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7B2DD2E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800195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6D823F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60.103</w:t>
            </w:r>
          </w:p>
        </w:tc>
        <w:tc>
          <w:tcPr>
            <w:tcW w:w="904" w:type="dxa"/>
            <w:tcBorders>
              <w:top w:val="nil"/>
              <w:left w:val="nil"/>
              <w:bottom w:val="single" w:sz="4" w:space="0" w:color="auto"/>
              <w:right w:val="single" w:sz="4" w:space="0" w:color="auto"/>
            </w:tcBorders>
            <w:shd w:val="clear" w:color="auto" w:fill="auto"/>
            <w:noWrap/>
            <w:vAlign w:val="bottom"/>
            <w:hideMark/>
          </w:tcPr>
          <w:p w14:paraId="4CE7EDD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59.412</w:t>
            </w:r>
          </w:p>
        </w:tc>
        <w:tc>
          <w:tcPr>
            <w:tcW w:w="904" w:type="dxa"/>
            <w:tcBorders>
              <w:top w:val="nil"/>
              <w:left w:val="nil"/>
              <w:bottom w:val="single" w:sz="4" w:space="0" w:color="auto"/>
              <w:right w:val="single" w:sz="4" w:space="0" w:color="auto"/>
            </w:tcBorders>
            <w:shd w:val="clear" w:color="auto" w:fill="auto"/>
            <w:noWrap/>
            <w:vAlign w:val="bottom"/>
            <w:hideMark/>
          </w:tcPr>
          <w:p w14:paraId="789CB67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58.389</w:t>
            </w:r>
          </w:p>
        </w:tc>
        <w:tc>
          <w:tcPr>
            <w:tcW w:w="1946" w:type="dxa"/>
            <w:tcBorders>
              <w:top w:val="nil"/>
              <w:left w:val="nil"/>
              <w:bottom w:val="nil"/>
              <w:right w:val="nil"/>
            </w:tcBorders>
            <w:shd w:val="clear" w:color="auto" w:fill="auto"/>
            <w:noWrap/>
            <w:vAlign w:val="bottom"/>
            <w:hideMark/>
          </w:tcPr>
          <w:p w14:paraId="2F10A6C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978731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D4C7BE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w:t>
            </w:r>
          </w:p>
        </w:tc>
        <w:tc>
          <w:tcPr>
            <w:tcW w:w="904" w:type="dxa"/>
            <w:tcBorders>
              <w:top w:val="nil"/>
              <w:left w:val="nil"/>
              <w:bottom w:val="single" w:sz="4" w:space="0" w:color="auto"/>
              <w:right w:val="single" w:sz="4" w:space="0" w:color="auto"/>
            </w:tcBorders>
            <w:shd w:val="clear" w:color="auto" w:fill="auto"/>
            <w:noWrap/>
            <w:vAlign w:val="bottom"/>
            <w:hideMark/>
          </w:tcPr>
          <w:p w14:paraId="2A39355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6FC012E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6A2595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0D4A89F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F9BB26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59.658</w:t>
            </w:r>
          </w:p>
        </w:tc>
        <w:tc>
          <w:tcPr>
            <w:tcW w:w="904" w:type="dxa"/>
            <w:tcBorders>
              <w:top w:val="nil"/>
              <w:left w:val="nil"/>
              <w:bottom w:val="single" w:sz="4" w:space="0" w:color="auto"/>
              <w:right w:val="single" w:sz="4" w:space="0" w:color="auto"/>
            </w:tcBorders>
            <w:shd w:val="clear" w:color="auto" w:fill="auto"/>
            <w:noWrap/>
            <w:vAlign w:val="bottom"/>
            <w:hideMark/>
          </w:tcPr>
          <w:p w14:paraId="1317116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59.003</w:t>
            </w:r>
          </w:p>
        </w:tc>
        <w:tc>
          <w:tcPr>
            <w:tcW w:w="1946" w:type="dxa"/>
            <w:tcBorders>
              <w:top w:val="nil"/>
              <w:left w:val="nil"/>
              <w:bottom w:val="nil"/>
              <w:right w:val="nil"/>
            </w:tcBorders>
            <w:shd w:val="clear" w:color="auto" w:fill="auto"/>
            <w:noWrap/>
            <w:vAlign w:val="bottom"/>
            <w:hideMark/>
          </w:tcPr>
          <w:p w14:paraId="7704428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354E59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CE4B2A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w:t>
            </w:r>
          </w:p>
        </w:tc>
        <w:tc>
          <w:tcPr>
            <w:tcW w:w="904" w:type="dxa"/>
            <w:tcBorders>
              <w:top w:val="nil"/>
              <w:left w:val="nil"/>
              <w:bottom w:val="single" w:sz="4" w:space="0" w:color="auto"/>
              <w:right w:val="single" w:sz="4" w:space="0" w:color="auto"/>
            </w:tcBorders>
            <w:shd w:val="clear" w:color="auto" w:fill="auto"/>
            <w:noWrap/>
            <w:vAlign w:val="bottom"/>
            <w:hideMark/>
          </w:tcPr>
          <w:p w14:paraId="0CA623B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CB4A05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877C4F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5CBA9F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143729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61.004</w:t>
            </w:r>
          </w:p>
        </w:tc>
        <w:tc>
          <w:tcPr>
            <w:tcW w:w="904" w:type="dxa"/>
            <w:tcBorders>
              <w:top w:val="nil"/>
              <w:left w:val="nil"/>
              <w:bottom w:val="single" w:sz="4" w:space="0" w:color="auto"/>
              <w:right w:val="single" w:sz="4" w:space="0" w:color="auto"/>
            </w:tcBorders>
            <w:shd w:val="clear" w:color="auto" w:fill="auto"/>
            <w:noWrap/>
            <w:vAlign w:val="bottom"/>
            <w:hideMark/>
          </w:tcPr>
          <w:p w14:paraId="038F13B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22F45B07"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8D8CD37"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AF7FD9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65</w:t>
            </w:r>
          </w:p>
        </w:tc>
        <w:tc>
          <w:tcPr>
            <w:tcW w:w="904" w:type="dxa"/>
            <w:tcBorders>
              <w:top w:val="nil"/>
              <w:left w:val="nil"/>
              <w:bottom w:val="single" w:sz="4" w:space="0" w:color="auto"/>
              <w:right w:val="single" w:sz="4" w:space="0" w:color="auto"/>
            </w:tcBorders>
            <w:shd w:val="clear" w:color="auto" w:fill="auto"/>
            <w:noWrap/>
            <w:vAlign w:val="bottom"/>
            <w:hideMark/>
          </w:tcPr>
          <w:p w14:paraId="56C749E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55.061</w:t>
            </w:r>
          </w:p>
        </w:tc>
        <w:tc>
          <w:tcPr>
            <w:tcW w:w="904" w:type="dxa"/>
            <w:tcBorders>
              <w:top w:val="nil"/>
              <w:left w:val="nil"/>
              <w:bottom w:val="single" w:sz="4" w:space="0" w:color="auto"/>
              <w:right w:val="single" w:sz="4" w:space="0" w:color="auto"/>
            </w:tcBorders>
            <w:shd w:val="clear" w:color="auto" w:fill="auto"/>
            <w:noWrap/>
            <w:vAlign w:val="bottom"/>
            <w:hideMark/>
          </w:tcPr>
          <w:p w14:paraId="366A7BB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59.608</w:t>
            </w:r>
          </w:p>
        </w:tc>
        <w:tc>
          <w:tcPr>
            <w:tcW w:w="904" w:type="dxa"/>
            <w:tcBorders>
              <w:top w:val="nil"/>
              <w:left w:val="nil"/>
              <w:bottom w:val="single" w:sz="4" w:space="0" w:color="auto"/>
              <w:right w:val="single" w:sz="4" w:space="0" w:color="auto"/>
            </w:tcBorders>
            <w:shd w:val="clear" w:color="auto" w:fill="auto"/>
            <w:noWrap/>
            <w:vAlign w:val="bottom"/>
            <w:hideMark/>
          </w:tcPr>
          <w:p w14:paraId="2E198ED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589F37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84E3E3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2CB605A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58.980</w:t>
            </w:r>
          </w:p>
        </w:tc>
        <w:tc>
          <w:tcPr>
            <w:tcW w:w="1946" w:type="dxa"/>
            <w:tcBorders>
              <w:top w:val="nil"/>
              <w:left w:val="nil"/>
              <w:bottom w:val="nil"/>
              <w:right w:val="nil"/>
            </w:tcBorders>
            <w:shd w:val="clear" w:color="auto" w:fill="auto"/>
            <w:noWrap/>
            <w:vAlign w:val="bottom"/>
            <w:hideMark/>
          </w:tcPr>
          <w:p w14:paraId="5E045FB7"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476243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04599B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66</w:t>
            </w:r>
          </w:p>
        </w:tc>
        <w:tc>
          <w:tcPr>
            <w:tcW w:w="904" w:type="dxa"/>
            <w:tcBorders>
              <w:top w:val="nil"/>
              <w:left w:val="nil"/>
              <w:bottom w:val="single" w:sz="4" w:space="0" w:color="auto"/>
              <w:right w:val="single" w:sz="4" w:space="0" w:color="auto"/>
            </w:tcBorders>
            <w:shd w:val="clear" w:color="auto" w:fill="auto"/>
            <w:noWrap/>
            <w:vAlign w:val="bottom"/>
            <w:hideMark/>
          </w:tcPr>
          <w:p w14:paraId="6927AA9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57.004</w:t>
            </w:r>
          </w:p>
        </w:tc>
        <w:tc>
          <w:tcPr>
            <w:tcW w:w="904" w:type="dxa"/>
            <w:tcBorders>
              <w:top w:val="nil"/>
              <w:left w:val="nil"/>
              <w:bottom w:val="single" w:sz="4" w:space="0" w:color="auto"/>
              <w:right w:val="single" w:sz="4" w:space="0" w:color="auto"/>
            </w:tcBorders>
            <w:shd w:val="clear" w:color="auto" w:fill="auto"/>
            <w:noWrap/>
            <w:vAlign w:val="bottom"/>
            <w:hideMark/>
          </w:tcPr>
          <w:p w14:paraId="31C784B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E3C67D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E68250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59.880</w:t>
            </w:r>
          </w:p>
        </w:tc>
        <w:tc>
          <w:tcPr>
            <w:tcW w:w="904" w:type="dxa"/>
            <w:tcBorders>
              <w:top w:val="nil"/>
              <w:left w:val="nil"/>
              <w:bottom w:val="single" w:sz="4" w:space="0" w:color="auto"/>
              <w:right w:val="single" w:sz="4" w:space="0" w:color="auto"/>
            </w:tcBorders>
            <w:shd w:val="clear" w:color="auto" w:fill="auto"/>
            <w:noWrap/>
            <w:vAlign w:val="bottom"/>
            <w:hideMark/>
          </w:tcPr>
          <w:p w14:paraId="7C62594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60.966</w:t>
            </w:r>
          </w:p>
        </w:tc>
        <w:tc>
          <w:tcPr>
            <w:tcW w:w="904" w:type="dxa"/>
            <w:tcBorders>
              <w:top w:val="nil"/>
              <w:left w:val="nil"/>
              <w:bottom w:val="single" w:sz="4" w:space="0" w:color="auto"/>
              <w:right w:val="single" w:sz="4" w:space="0" w:color="auto"/>
            </w:tcBorders>
            <w:shd w:val="clear" w:color="auto" w:fill="auto"/>
            <w:noWrap/>
            <w:vAlign w:val="bottom"/>
            <w:hideMark/>
          </w:tcPr>
          <w:p w14:paraId="64081F3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58.332</w:t>
            </w:r>
          </w:p>
        </w:tc>
        <w:tc>
          <w:tcPr>
            <w:tcW w:w="1946" w:type="dxa"/>
            <w:tcBorders>
              <w:top w:val="nil"/>
              <w:left w:val="nil"/>
              <w:bottom w:val="nil"/>
              <w:right w:val="nil"/>
            </w:tcBorders>
            <w:shd w:val="clear" w:color="auto" w:fill="auto"/>
            <w:noWrap/>
            <w:vAlign w:val="bottom"/>
            <w:hideMark/>
          </w:tcPr>
          <w:p w14:paraId="26A21E6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3C1F63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35781E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67</w:t>
            </w:r>
          </w:p>
        </w:tc>
        <w:tc>
          <w:tcPr>
            <w:tcW w:w="904" w:type="dxa"/>
            <w:tcBorders>
              <w:top w:val="nil"/>
              <w:left w:val="nil"/>
              <w:bottom w:val="single" w:sz="4" w:space="0" w:color="auto"/>
              <w:right w:val="single" w:sz="4" w:space="0" w:color="auto"/>
            </w:tcBorders>
            <w:shd w:val="clear" w:color="auto" w:fill="auto"/>
            <w:noWrap/>
            <w:vAlign w:val="bottom"/>
            <w:hideMark/>
          </w:tcPr>
          <w:p w14:paraId="3F1E8E4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244DEB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58.929</w:t>
            </w:r>
          </w:p>
        </w:tc>
        <w:tc>
          <w:tcPr>
            <w:tcW w:w="904" w:type="dxa"/>
            <w:tcBorders>
              <w:top w:val="nil"/>
              <w:left w:val="nil"/>
              <w:bottom w:val="single" w:sz="4" w:space="0" w:color="auto"/>
              <w:right w:val="single" w:sz="4" w:space="0" w:color="auto"/>
            </w:tcBorders>
            <w:shd w:val="clear" w:color="auto" w:fill="auto"/>
            <w:noWrap/>
            <w:vAlign w:val="bottom"/>
            <w:hideMark/>
          </w:tcPr>
          <w:p w14:paraId="77219AD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60.118</w:t>
            </w:r>
          </w:p>
        </w:tc>
        <w:tc>
          <w:tcPr>
            <w:tcW w:w="904" w:type="dxa"/>
            <w:tcBorders>
              <w:top w:val="nil"/>
              <w:left w:val="nil"/>
              <w:bottom w:val="single" w:sz="4" w:space="0" w:color="auto"/>
              <w:right w:val="single" w:sz="4" w:space="0" w:color="auto"/>
            </w:tcBorders>
            <w:shd w:val="clear" w:color="auto" w:fill="auto"/>
            <w:noWrap/>
            <w:vAlign w:val="bottom"/>
            <w:hideMark/>
          </w:tcPr>
          <w:p w14:paraId="5F3D8A4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56EDFEA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60.105</w:t>
            </w:r>
          </w:p>
        </w:tc>
        <w:tc>
          <w:tcPr>
            <w:tcW w:w="904" w:type="dxa"/>
            <w:tcBorders>
              <w:top w:val="nil"/>
              <w:left w:val="nil"/>
              <w:bottom w:val="single" w:sz="4" w:space="0" w:color="auto"/>
              <w:right w:val="single" w:sz="4" w:space="0" w:color="auto"/>
            </w:tcBorders>
            <w:shd w:val="clear" w:color="auto" w:fill="auto"/>
            <w:noWrap/>
            <w:vAlign w:val="bottom"/>
            <w:hideMark/>
          </w:tcPr>
          <w:p w14:paraId="0350715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4017FFE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38E9FA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30FD25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lastRenderedPageBreak/>
              <w:t>68</w:t>
            </w:r>
          </w:p>
        </w:tc>
        <w:tc>
          <w:tcPr>
            <w:tcW w:w="904" w:type="dxa"/>
            <w:tcBorders>
              <w:top w:val="nil"/>
              <w:left w:val="nil"/>
              <w:bottom w:val="single" w:sz="4" w:space="0" w:color="auto"/>
              <w:right w:val="single" w:sz="4" w:space="0" w:color="auto"/>
            </w:tcBorders>
            <w:shd w:val="clear" w:color="auto" w:fill="auto"/>
            <w:noWrap/>
            <w:vAlign w:val="bottom"/>
            <w:hideMark/>
          </w:tcPr>
          <w:p w14:paraId="4105CB6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658AF8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56.944</w:t>
            </w:r>
          </w:p>
        </w:tc>
        <w:tc>
          <w:tcPr>
            <w:tcW w:w="904" w:type="dxa"/>
            <w:tcBorders>
              <w:top w:val="nil"/>
              <w:left w:val="nil"/>
              <w:bottom w:val="single" w:sz="4" w:space="0" w:color="auto"/>
              <w:right w:val="single" w:sz="4" w:space="0" w:color="auto"/>
            </w:tcBorders>
            <w:shd w:val="clear" w:color="auto" w:fill="auto"/>
            <w:noWrap/>
            <w:vAlign w:val="bottom"/>
            <w:hideMark/>
          </w:tcPr>
          <w:p w14:paraId="635336C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61.821</w:t>
            </w:r>
          </w:p>
        </w:tc>
        <w:tc>
          <w:tcPr>
            <w:tcW w:w="904" w:type="dxa"/>
            <w:tcBorders>
              <w:top w:val="nil"/>
              <w:left w:val="nil"/>
              <w:bottom w:val="single" w:sz="4" w:space="0" w:color="auto"/>
              <w:right w:val="single" w:sz="4" w:space="0" w:color="auto"/>
            </w:tcBorders>
            <w:shd w:val="clear" w:color="auto" w:fill="auto"/>
            <w:noWrap/>
            <w:vAlign w:val="bottom"/>
            <w:hideMark/>
          </w:tcPr>
          <w:p w14:paraId="0A69042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9D104D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60.675</w:t>
            </w:r>
          </w:p>
        </w:tc>
        <w:tc>
          <w:tcPr>
            <w:tcW w:w="904" w:type="dxa"/>
            <w:tcBorders>
              <w:top w:val="nil"/>
              <w:left w:val="nil"/>
              <w:bottom w:val="single" w:sz="4" w:space="0" w:color="auto"/>
              <w:right w:val="single" w:sz="4" w:space="0" w:color="auto"/>
            </w:tcBorders>
            <w:shd w:val="clear" w:color="auto" w:fill="auto"/>
            <w:noWrap/>
            <w:vAlign w:val="bottom"/>
            <w:hideMark/>
          </w:tcPr>
          <w:p w14:paraId="62B285B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75BFA0F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42ED0E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190DDE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69</w:t>
            </w:r>
          </w:p>
        </w:tc>
        <w:tc>
          <w:tcPr>
            <w:tcW w:w="904" w:type="dxa"/>
            <w:tcBorders>
              <w:top w:val="nil"/>
              <w:left w:val="nil"/>
              <w:bottom w:val="single" w:sz="4" w:space="0" w:color="auto"/>
              <w:right w:val="single" w:sz="4" w:space="0" w:color="auto"/>
            </w:tcBorders>
            <w:shd w:val="clear" w:color="auto" w:fill="auto"/>
            <w:noWrap/>
            <w:vAlign w:val="bottom"/>
            <w:hideMark/>
          </w:tcPr>
          <w:p w14:paraId="4D9DE53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60.395</w:t>
            </w:r>
          </w:p>
        </w:tc>
        <w:tc>
          <w:tcPr>
            <w:tcW w:w="904" w:type="dxa"/>
            <w:tcBorders>
              <w:top w:val="nil"/>
              <w:left w:val="nil"/>
              <w:bottom w:val="single" w:sz="4" w:space="0" w:color="auto"/>
              <w:right w:val="single" w:sz="4" w:space="0" w:color="auto"/>
            </w:tcBorders>
            <w:shd w:val="clear" w:color="auto" w:fill="auto"/>
            <w:noWrap/>
            <w:vAlign w:val="bottom"/>
            <w:hideMark/>
          </w:tcPr>
          <w:p w14:paraId="3D70852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0B18FF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56EC222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58.883</w:t>
            </w:r>
          </w:p>
        </w:tc>
        <w:tc>
          <w:tcPr>
            <w:tcW w:w="904" w:type="dxa"/>
            <w:tcBorders>
              <w:top w:val="nil"/>
              <w:left w:val="nil"/>
              <w:bottom w:val="single" w:sz="4" w:space="0" w:color="auto"/>
              <w:right w:val="single" w:sz="4" w:space="0" w:color="auto"/>
            </w:tcBorders>
            <w:shd w:val="clear" w:color="auto" w:fill="auto"/>
            <w:noWrap/>
            <w:vAlign w:val="bottom"/>
            <w:hideMark/>
          </w:tcPr>
          <w:p w14:paraId="3BE66FC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61.407</w:t>
            </w:r>
          </w:p>
        </w:tc>
        <w:tc>
          <w:tcPr>
            <w:tcW w:w="904" w:type="dxa"/>
            <w:tcBorders>
              <w:top w:val="nil"/>
              <w:left w:val="nil"/>
              <w:bottom w:val="single" w:sz="4" w:space="0" w:color="auto"/>
              <w:right w:val="single" w:sz="4" w:space="0" w:color="auto"/>
            </w:tcBorders>
            <w:shd w:val="clear" w:color="auto" w:fill="auto"/>
            <w:noWrap/>
            <w:vAlign w:val="bottom"/>
            <w:hideMark/>
          </w:tcPr>
          <w:p w14:paraId="125B280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4E1C066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3442BA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30FD5F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70</w:t>
            </w:r>
          </w:p>
        </w:tc>
        <w:tc>
          <w:tcPr>
            <w:tcW w:w="904" w:type="dxa"/>
            <w:tcBorders>
              <w:top w:val="nil"/>
              <w:left w:val="nil"/>
              <w:bottom w:val="single" w:sz="4" w:space="0" w:color="auto"/>
              <w:right w:val="single" w:sz="4" w:space="0" w:color="auto"/>
            </w:tcBorders>
            <w:shd w:val="clear" w:color="auto" w:fill="auto"/>
            <w:noWrap/>
            <w:vAlign w:val="bottom"/>
            <w:hideMark/>
          </w:tcPr>
          <w:p w14:paraId="01909EE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242DD26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0CED66E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0A9174B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58.125</w:t>
            </w:r>
          </w:p>
        </w:tc>
        <w:tc>
          <w:tcPr>
            <w:tcW w:w="904" w:type="dxa"/>
            <w:tcBorders>
              <w:top w:val="nil"/>
              <w:left w:val="nil"/>
              <w:bottom w:val="single" w:sz="4" w:space="0" w:color="auto"/>
              <w:right w:val="single" w:sz="4" w:space="0" w:color="auto"/>
            </w:tcBorders>
            <w:shd w:val="clear" w:color="auto" w:fill="auto"/>
            <w:noWrap/>
            <w:vAlign w:val="bottom"/>
            <w:hideMark/>
          </w:tcPr>
          <w:p w14:paraId="0937429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61.738</w:t>
            </w:r>
          </w:p>
        </w:tc>
        <w:tc>
          <w:tcPr>
            <w:tcW w:w="904" w:type="dxa"/>
            <w:tcBorders>
              <w:top w:val="nil"/>
              <w:left w:val="nil"/>
              <w:bottom w:val="single" w:sz="4" w:space="0" w:color="auto"/>
              <w:right w:val="single" w:sz="4" w:space="0" w:color="auto"/>
            </w:tcBorders>
            <w:shd w:val="clear" w:color="auto" w:fill="auto"/>
            <w:noWrap/>
            <w:vAlign w:val="bottom"/>
            <w:hideMark/>
          </w:tcPr>
          <w:p w14:paraId="2801B21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6419224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0AD1E5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94ACC5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71</w:t>
            </w:r>
          </w:p>
        </w:tc>
        <w:tc>
          <w:tcPr>
            <w:tcW w:w="904" w:type="dxa"/>
            <w:tcBorders>
              <w:top w:val="nil"/>
              <w:left w:val="nil"/>
              <w:bottom w:val="single" w:sz="4" w:space="0" w:color="auto"/>
              <w:right w:val="single" w:sz="4" w:space="0" w:color="auto"/>
            </w:tcBorders>
            <w:shd w:val="clear" w:color="auto" w:fill="auto"/>
            <w:noWrap/>
            <w:vAlign w:val="bottom"/>
            <w:hideMark/>
          </w:tcPr>
          <w:p w14:paraId="258E851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6795A35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55.907</w:t>
            </w:r>
          </w:p>
        </w:tc>
        <w:tc>
          <w:tcPr>
            <w:tcW w:w="904" w:type="dxa"/>
            <w:tcBorders>
              <w:top w:val="nil"/>
              <w:left w:val="nil"/>
              <w:bottom w:val="single" w:sz="4" w:space="0" w:color="auto"/>
              <w:right w:val="single" w:sz="4" w:space="0" w:color="auto"/>
            </w:tcBorders>
            <w:shd w:val="clear" w:color="auto" w:fill="auto"/>
            <w:noWrap/>
            <w:vAlign w:val="bottom"/>
            <w:hideMark/>
          </w:tcPr>
          <w:p w14:paraId="72A9345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62.465</w:t>
            </w:r>
          </w:p>
        </w:tc>
        <w:tc>
          <w:tcPr>
            <w:tcW w:w="904" w:type="dxa"/>
            <w:tcBorders>
              <w:top w:val="nil"/>
              <w:left w:val="nil"/>
              <w:bottom w:val="single" w:sz="4" w:space="0" w:color="auto"/>
              <w:right w:val="single" w:sz="4" w:space="0" w:color="auto"/>
            </w:tcBorders>
            <w:shd w:val="clear" w:color="auto" w:fill="auto"/>
            <w:noWrap/>
            <w:vAlign w:val="bottom"/>
            <w:hideMark/>
          </w:tcPr>
          <w:p w14:paraId="6049328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58.094</w:t>
            </w:r>
          </w:p>
        </w:tc>
        <w:tc>
          <w:tcPr>
            <w:tcW w:w="904" w:type="dxa"/>
            <w:tcBorders>
              <w:top w:val="nil"/>
              <w:left w:val="nil"/>
              <w:bottom w:val="single" w:sz="4" w:space="0" w:color="auto"/>
              <w:right w:val="single" w:sz="4" w:space="0" w:color="auto"/>
            </w:tcBorders>
            <w:shd w:val="clear" w:color="auto" w:fill="auto"/>
            <w:noWrap/>
            <w:vAlign w:val="bottom"/>
            <w:hideMark/>
          </w:tcPr>
          <w:p w14:paraId="7325930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61.427</w:t>
            </w:r>
          </w:p>
        </w:tc>
        <w:tc>
          <w:tcPr>
            <w:tcW w:w="904" w:type="dxa"/>
            <w:tcBorders>
              <w:top w:val="nil"/>
              <w:left w:val="nil"/>
              <w:bottom w:val="single" w:sz="4" w:space="0" w:color="auto"/>
              <w:right w:val="single" w:sz="4" w:space="0" w:color="auto"/>
            </w:tcBorders>
            <w:shd w:val="clear" w:color="auto" w:fill="auto"/>
            <w:noWrap/>
            <w:vAlign w:val="bottom"/>
            <w:hideMark/>
          </w:tcPr>
          <w:p w14:paraId="03876AA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7D12AE1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104ACF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C70D66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72</w:t>
            </w:r>
          </w:p>
        </w:tc>
        <w:tc>
          <w:tcPr>
            <w:tcW w:w="904" w:type="dxa"/>
            <w:tcBorders>
              <w:top w:val="nil"/>
              <w:left w:val="nil"/>
              <w:bottom w:val="single" w:sz="4" w:space="0" w:color="auto"/>
              <w:right w:val="single" w:sz="4" w:space="0" w:color="auto"/>
            </w:tcBorders>
            <w:shd w:val="clear" w:color="auto" w:fill="auto"/>
            <w:noWrap/>
            <w:vAlign w:val="bottom"/>
            <w:hideMark/>
          </w:tcPr>
          <w:p w14:paraId="2FDD0F9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4EAD0C1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55.188</w:t>
            </w:r>
          </w:p>
        </w:tc>
        <w:tc>
          <w:tcPr>
            <w:tcW w:w="904" w:type="dxa"/>
            <w:tcBorders>
              <w:top w:val="nil"/>
              <w:left w:val="nil"/>
              <w:bottom w:val="single" w:sz="4" w:space="0" w:color="auto"/>
              <w:right w:val="single" w:sz="4" w:space="0" w:color="auto"/>
            </w:tcBorders>
            <w:shd w:val="clear" w:color="auto" w:fill="auto"/>
            <w:noWrap/>
            <w:vAlign w:val="bottom"/>
            <w:hideMark/>
          </w:tcPr>
          <w:p w14:paraId="5FB4E90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63.174</w:t>
            </w:r>
          </w:p>
        </w:tc>
        <w:tc>
          <w:tcPr>
            <w:tcW w:w="904" w:type="dxa"/>
            <w:tcBorders>
              <w:top w:val="nil"/>
              <w:left w:val="nil"/>
              <w:bottom w:val="single" w:sz="4" w:space="0" w:color="auto"/>
              <w:right w:val="single" w:sz="4" w:space="0" w:color="auto"/>
            </w:tcBorders>
            <w:shd w:val="clear" w:color="auto" w:fill="auto"/>
            <w:noWrap/>
            <w:vAlign w:val="bottom"/>
            <w:hideMark/>
          </w:tcPr>
          <w:p w14:paraId="3A5D81B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59.129</w:t>
            </w:r>
          </w:p>
        </w:tc>
        <w:tc>
          <w:tcPr>
            <w:tcW w:w="904" w:type="dxa"/>
            <w:tcBorders>
              <w:top w:val="nil"/>
              <w:left w:val="nil"/>
              <w:bottom w:val="single" w:sz="4" w:space="0" w:color="auto"/>
              <w:right w:val="single" w:sz="4" w:space="0" w:color="auto"/>
            </w:tcBorders>
            <w:shd w:val="clear" w:color="auto" w:fill="auto"/>
            <w:noWrap/>
            <w:vAlign w:val="bottom"/>
            <w:hideMark/>
          </w:tcPr>
          <w:p w14:paraId="3047570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3BE35F5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1CCC9F36"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2A023D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B6C4B1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73</w:t>
            </w:r>
          </w:p>
        </w:tc>
        <w:tc>
          <w:tcPr>
            <w:tcW w:w="904" w:type="dxa"/>
            <w:tcBorders>
              <w:top w:val="nil"/>
              <w:left w:val="nil"/>
              <w:bottom w:val="single" w:sz="4" w:space="0" w:color="auto"/>
              <w:right w:val="single" w:sz="4" w:space="0" w:color="auto"/>
            </w:tcBorders>
            <w:shd w:val="clear" w:color="auto" w:fill="auto"/>
            <w:noWrap/>
            <w:vAlign w:val="bottom"/>
            <w:hideMark/>
          </w:tcPr>
          <w:p w14:paraId="648A40D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26E5955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09F681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62.456</w:t>
            </w:r>
          </w:p>
        </w:tc>
        <w:tc>
          <w:tcPr>
            <w:tcW w:w="904" w:type="dxa"/>
            <w:tcBorders>
              <w:top w:val="nil"/>
              <w:left w:val="nil"/>
              <w:bottom w:val="single" w:sz="4" w:space="0" w:color="auto"/>
              <w:right w:val="single" w:sz="4" w:space="0" w:color="auto"/>
            </w:tcBorders>
            <w:shd w:val="clear" w:color="auto" w:fill="auto"/>
            <w:noWrap/>
            <w:vAlign w:val="bottom"/>
            <w:hideMark/>
          </w:tcPr>
          <w:p w14:paraId="0E696F1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DD756F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60.832</w:t>
            </w:r>
          </w:p>
        </w:tc>
        <w:tc>
          <w:tcPr>
            <w:tcW w:w="904" w:type="dxa"/>
            <w:tcBorders>
              <w:top w:val="nil"/>
              <w:left w:val="nil"/>
              <w:bottom w:val="single" w:sz="4" w:space="0" w:color="auto"/>
              <w:right w:val="single" w:sz="4" w:space="0" w:color="auto"/>
            </w:tcBorders>
            <w:shd w:val="clear" w:color="auto" w:fill="auto"/>
            <w:noWrap/>
            <w:vAlign w:val="bottom"/>
            <w:hideMark/>
          </w:tcPr>
          <w:p w14:paraId="49300F8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58.544</w:t>
            </w:r>
          </w:p>
        </w:tc>
        <w:tc>
          <w:tcPr>
            <w:tcW w:w="1946" w:type="dxa"/>
            <w:tcBorders>
              <w:top w:val="nil"/>
              <w:left w:val="nil"/>
              <w:bottom w:val="nil"/>
              <w:right w:val="nil"/>
            </w:tcBorders>
            <w:shd w:val="clear" w:color="auto" w:fill="auto"/>
            <w:noWrap/>
            <w:vAlign w:val="bottom"/>
            <w:hideMark/>
          </w:tcPr>
          <w:p w14:paraId="53CFB6A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53619A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48C389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74</w:t>
            </w:r>
          </w:p>
        </w:tc>
        <w:tc>
          <w:tcPr>
            <w:tcW w:w="904" w:type="dxa"/>
            <w:tcBorders>
              <w:top w:val="nil"/>
              <w:left w:val="nil"/>
              <w:bottom w:val="single" w:sz="4" w:space="0" w:color="auto"/>
              <w:right w:val="single" w:sz="4" w:space="0" w:color="auto"/>
            </w:tcBorders>
            <w:shd w:val="clear" w:color="auto" w:fill="auto"/>
            <w:noWrap/>
            <w:vAlign w:val="bottom"/>
            <w:hideMark/>
          </w:tcPr>
          <w:p w14:paraId="0263BCE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47524DF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55.047</w:t>
            </w:r>
          </w:p>
        </w:tc>
        <w:tc>
          <w:tcPr>
            <w:tcW w:w="904" w:type="dxa"/>
            <w:tcBorders>
              <w:top w:val="nil"/>
              <w:left w:val="nil"/>
              <w:bottom w:val="single" w:sz="4" w:space="0" w:color="auto"/>
              <w:right w:val="single" w:sz="4" w:space="0" w:color="auto"/>
            </w:tcBorders>
            <w:shd w:val="clear" w:color="auto" w:fill="auto"/>
            <w:noWrap/>
            <w:vAlign w:val="bottom"/>
            <w:hideMark/>
          </w:tcPr>
          <w:p w14:paraId="3B86067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1FB2551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77697F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59.985</w:t>
            </w:r>
          </w:p>
        </w:tc>
        <w:tc>
          <w:tcPr>
            <w:tcW w:w="904" w:type="dxa"/>
            <w:tcBorders>
              <w:top w:val="nil"/>
              <w:left w:val="nil"/>
              <w:bottom w:val="single" w:sz="4" w:space="0" w:color="auto"/>
              <w:right w:val="single" w:sz="4" w:space="0" w:color="auto"/>
            </w:tcBorders>
            <w:shd w:val="clear" w:color="auto" w:fill="auto"/>
            <w:noWrap/>
            <w:vAlign w:val="bottom"/>
            <w:hideMark/>
          </w:tcPr>
          <w:p w14:paraId="3BAFAA7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59.985</w:t>
            </w:r>
          </w:p>
        </w:tc>
        <w:tc>
          <w:tcPr>
            <w:tcW w:w="1946" w:type="dxa"/>
            <w:tcBorders>
              <w:top w:val="nil"/>
              <w:left w:val="nil"/>
              <w:bottom w:val="nil"/>
              <w:right w:val="nil"/>
            </w:tcBorders>
            <w:shd w:val="clear" w:color="auto" w:fill="auto"/>
            <w:noWrap/>
            <w:vAlign w:val="bottom"/>
            <w:hideMark/>
          </w:tcPr>
          <w:p w14:paraId="5D2AFCE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420AD7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7837B7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75</w:t>
            </w:r>
          </w:p>
        </w:tc>
        <w:tc>
          <w:tcPr>
            <w:tcW w:w="904" w:type="dxa"/>
            <w:tcBorders>
              <w:top w:val="nil"/>
              <w:left w:val="nil"/>
              <w:bottom w:val="single" w:sz="4" w:space="0" w:color="auto"/>
              <w:right w:val="single" w:sz="4" w:space="0" w:color="auto"/>
            </w:tcBorders>
            <w:shd w:val="clear" w:color="auto" w:fill="auto"/>
            <w:noWrap/>
            <w:vAlign w:val="bottom"/>
            <w:hideMark/>
          </w:tcPr>
          <w:p w14:paraId="2A24E6A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64B1DE7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57.691</w:t>
            </w:r>
          </w:p>
        </w:tc>
        <w:tc>
          <w:tcPr>
            <w:tcW w:w="904" w:type="dxa"/>
            <w:tcBorders>
              <w:top w:val="nil"/>
              <w:left w:val="nil"/>
              <w:bottom w:val="single" w:sz="4" w:space="0" w:color="auto"/>
              <w:right w:val="single" w:sz="4" w:space="0" w:color="auto"/>
            </w:tcBorders>
            <w:shd w:val="clear" w:color="auto" w:fill="auto"/>
            <w:noWrap/>
            <w:vAlign w:val="bottom"/>
            <w:hideMark/>
          </w:tcPr>
          <w:p w14:paraId="16AFC1B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6FA6439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59.741</w:t>
            </w:r>
          </w:p>
        </w:tc>
        <w:tc>
          <w:tcPr>
            <w:tcW w:w="904" w:type="dxa"/>
            <w:tcBorders>
              <w:top w:val="nil"/>
              <w:left w:val="nil"/>
              <w:bottom w:val="single" w:sz="4" w:space="0" w:color="auto"/>
              <w:right w:val="single" w:sz="4" w:space="0" w:color="auto"/>
            </w:tcBorders>
            <w:shd w:val="clear" w:color="auto" w:fill="auto"/>
            <w:noWrap/>
            <w:vAlign w:val="bottom"/>
            <w:hideMark/>
          </w:tcPr>
          <w:p w14:paraId="587C031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58.611</w:t>
            </w:r>
          </w:p>
        </w:tc>
        <w:tc>
          <w:tcPr>
            <w:tcW w:w="904" w:type="dxa"/>
            <w:tcBorders>
              <w:top w:val="nil"/>
              <w:left w:val="nil"/>
              <w:bottom w:val="single" w:sz="4" w:space="0" w:color="auto"/>
              <w:right w:val="single" w:sz="4" w:space="0" w:color="auto"/>
            </w:tcBorders>
            <w:shd w:val="clear" w:color="auto" w:fill="auto"/>
            <w:noWrap/>
            <w:vAlign w:val="bottom"/>
            <w:hideMark/>
          </w:tcPr>
          <w:p w14:paraId="288EB64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59.090</w:t>
            </w:r>
          </w:p>
        </w:tc>
        <w:tc>
          <w:tcPr>
            <w:tcW w:w="1946" w:type="dxa"/>
            <w:tcBorders>
              <w:top w:val="nil"/>
              <w:left w:val="nil"/>
              <w:bottom w:val="nil"/>
              <w:right w:val="nil"/>
            </w:tcBorders>
            <w:shd w:val="clear" w:color="auto" w:fill="auto"/>
            <w:noWrap/>
            <w:vAlign w:val="bottom"/>
            <w:hideMark/>
          </w:tcPr>
          <w:p w14:paraId="05F2F15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18F9F5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4AC279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76</w:t>
            </w:r>
          </w:p>
        </w:tc>
        <w:tc>
          <w:tcPr>
            <w:tcW w:w="904" w:type="dxa"/>
            <w:tcBorders>
              <w:top w:val="nil"/>
              <w:left w:val="nil"/>
              <w:bottom w:val="single" w:sz="4" w:space="0" w:color="auto"/>
              <w:right w:val="single" w:sz="4" w:space="0" w:color="auto"/>
            </w:tcBorders>
            <w:shd w:val="clear" w:color="auto" w:fill="auto"/>
            <w:noWrap/>
            <w:vAlign w:val="bottom"/>
            <w:hideMark/>
          </w:tcPr>
          <w:p w14:paraId="5B77B8E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1AFC4E3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C51F3A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60.406</w:t>
            </w:r>
          </w:p>
        </w:tc>
        <w:tc>
          <w:tcPr>
            <w:tcW w:w="904" w:type="dxa"/>
            <w:tcBorders>
              <w:top w:val="nil"/>
              <w:left w:val="nil"/>
              <w:bottom w:val="single" w:sz="4" w:space="0" w:color="auto"/>
              <w:right w:val="single" w:sz="4" w:space="0" w:color="auto"/>
            </w:tcBorders>
            <w:shd w:val="clear" w:color="auto" w:fill="auto"/>
            <w:noWrap/>
            <w:vAlign w:val="bottom"/>
            <w:hideMark/>
          </w:tcPr>
          <w:p w14:paraId="4EFCBBF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59.050</w:t>
            </w:r>
          </w:p>
        </w:tc>
        <w:tc>
          <w:tcPr>
            <w:tcW w:w="904" w:type="dxa"/>
            <w:tcBorders>
              <w:top w:val="nil"/>
              <w:left w:val="nil"/>
              <w:bottom w:val="single" w:sz="4" w:space="0" w:color="auto"/>
              <w:right w:val="single" w:sz="4" w:space="0" w:color="auto"/>
            </w:tcBorders>
            <w:shd w:val="clear" w:color="auto" w:fill="auto"/>
            <w:noWrap/>
            <w:vAlign w:val="bottom"/>
            <w:hideMark/>
          </w:tcPr>
          <w:p w14:paraId="50C4917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56.506</w:t>
            </w:r>
          </w:p>
        </w:tc>
        <w:tc>
          <w:tcPr>
            <w:tcW w:w="904" w:type="dxa"/>
            <w:tcBorders>
              <w:top w:val="nil"/>
              <w:left w:val="nil"/>
              <w:bottom w:val="single" w:sz="4" w:space="0" w:color="auto"/>
              <w:right w:val="single" w:sz="4" w:space="0" w:color="auto"/>
            </w:tcBorders>
            <w:shd w:val="clear" w:color="auto" w:fill="auto"/>
            <w:noWrap/>
            <w:vAlign w:val="bottom"/>
            <w:hideMark/>
          </w:tcPr>
          <w:p w14:paraId="200DFAD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535CFE2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E28AF8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DDFF59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77</w:t>
            </w:r>
          </w:p>
        </w:tc>
        <w:tc>
          <w:tcPr>
            <w:tcW w:w="904" w:type="dxa"/>
            <w:tcBorders>
              <w:top w:val="nil"/>
              <w:left w:val="nil"/>
              <w:bottom w:val="single" w:sz="4" w:space="0" w:color="auto"/>
              <w:right w:val="single" w:sz="4" w:space="0" w:color="auto"/>
            </w:tcBorders>
            <w:shd w:val="clear" w:color="auto" w:fill="auto"/>
            <w:noWrap/>
            <w:vAlign w:val="bottom"/>
            <w:hideMark/>
          </w:tcPr>
          <w:p w14:paraId="43DE664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59.275</w:t>
            </w:r>
          </w:p>
        </w:tc>
        <w:tc>
          <w:tcPr>
            <w:tcW w:w="904" w:type="dxa"/>
            <w:tcBorders>
              <w:top w:val="nil"/>
              <w:left w:val="nil"/>
              <w:bottom w:val="single" w:sz="4" w:space="0" w:color="auto"/>
              <w:right w:val="single" w:sz="4" w:space="0" w:color="auto"/>
            </w:tcBorders>
            <w:shd w:val="clear" w:color="auto" w:fill="auto"/>
            <w:noWrap/>
            <w:vAlign w:val="bottom"/>
            <w:hideMark/>
          </w:tcPr>
          <w:p w14:paraId="4607389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59.150</w:t>
            </w:r>
          </w:p>
        </w:tc>
        <w:tc>
          <w:tcPr>
            <w:tcW w:w="904" w:type="dxa"/>
            <w:tcBorders>
              <w:top w:val="nil"/>
              <w:left w:val="nil"/>
              <w:bottom w:val="single" w:sz="4" w:space="0" w:color="auto"/>
              <w:right w:val="single" w:sz="4" w:space="0" w:color="auto"/>
            </w:tcBorders>
            <w:shd w:val="clear" w:color="auto" w:fill="auto"/>
            <w:noWrap/>
            <w:vAlign w:val="bottom"/>
            <w:hideMark/>
          </w:tcPr>
          <w:p w14:paraId="1E11ED0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0BF74B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BED99C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5302B9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59.198</w:t>
            </w:r>
          </w:p>
        </w:tc>
        <w:tc>
          <w:tcPr>
            <w:tcW w:w="1946" w:type="dxa"/>
            <w:tcBorders>
              <w:top w:val="nil"/>
              <w:left w:val="nil"/>
              <w:bottom w:val="nil"/>
              <w:right w:val="nil"/>
            </w:tcBorders>
            <w:shd w:val="clear" w:color="auto" w:fill="auto"/>
            <w:noWrap/>
            <w:vAlign w:val="bottom"/>
            <w:hideMark/>
          </w:tcPr>
          <w:p w14:paraId="4405660C"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332142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9E3A23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78</w:t>
            </w:r>
          </w:p>
        </w:tc>
        <w:tc>
          <w:tcPr>
            <w:tcW w:w="904" w:type="dxa"/>
            <w:tcBorders>
              <w:top w:val="nil"/>
              <w:left w:val="nil"/>
              <w:bottom w:val="single" w:sz="4" w:space="0" w:color="auto"/>
              <w:right w:val="single" w:sz="4" w:space="0" w:color="auto"/>
            </w:tcBorders>
            <w:shd w:val="clear" w:color="auto" w:fill="auto"/>
            <w:noWrap/>
            <w:vAlign w:val="bottom"/>
            <w:hideMark/>
          </w:tcPr>
          <w:p w14:paraId="4CD30AB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74E2C0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CFBC87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58.350</w:t>
            </w:r>
          </w:p>
        </w:tc>
        <w:tc>
          <w:tcPr>
            <w:tcW w:w="904" w:type="dxa"/>
            <w:tcBorders>
              <w:top w:val="nil"/>
              <w:left w:val="nil"/>
              <w:bottom w:val="single" w:sz="4" w:space="0" w:color="auto"/>
              <w:right w:val="single" w:sz="4" w:space="0" w:color="auto"/>
            </w:tcBorders>
            <w:shd w:val="clear" w:color="auto" w:fill="auto"/>
            <w:noWrap/>
            <w:vAlign w:val="bottom"/>
            <w:hideMark/>
          </w:tcPr>
          <w:p w14:paraId="1246080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23AE87A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55.573</w:t>
            </w:r>
          </w:p>
        </w:tc>
        <w:tc>
          <w:tcPr>
            <w:tcW w:w="904" w:type="dxa"/>
            <w:tcBorders>
              <w:top w:val="nil"/>
              <w:left w:val="nil"/>
              <w:bottom w:val="single" w:sz="4" w:space="0" w:color="auto"/>
              <w:right w:val="single" w:sz="4" w:space="0" w:color="auto"/>
            </w:tcBorders>
            <w:shd w:val="clear" w:color="auto" w:fill="auto"/>
            <w:noWrap/>
            <w:vAlign w:val="bottom"/>
            <w:hideMark/>
          </w:tcPr>
          <w:p w14:paraId="7996D15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60.295</w:t>
            </w:r>
          </w:p>
        </w:tc>
        <w:tc>
          <w:tcPr>
            <w:tcW w:w="1946" w:type="dxa"/>
            <w:tcBorders>
              <w:top w:val="nil"/>
              <w:left w:val="nil"/>
              <w:bottom w:val="nil"/>
              <w:right w:val="nil"/>
            </w:tcBorders>
            <w:shd w:val="clear" w:color="auto" w:fill="auto"/>
            <w:noWrap/>
            <w:vAlign w:val="bottom"/>
            <w:hideMark/>
          </w:tcPr>
          <w:p w14:paraId="29EA790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B847DC7"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33CEE3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79</w:t>
            </w:r>
          </w:p>
        </w:tc>
        <w:tc>
          <w:tcPr>
            <w:tcW w:w="904" w:type="dxa"/>
            <w:tcBorders>
              <w:top w:val="nil"/>
              <w:left w:val="nil"/>
              <w:bottom w:val="single" w:sz="4" w:space="0" w:color="auto"/>
              <w:right w:val="single" w:sz="4" w:space="0" w:color="auto"/>
            </w:tcBorders>
            <w:shd w:val="clear" w:color="auto" w:fill="auto"/>
            <w:noWrap/>
            <w:vAlign w:val="bottom"/>
            <w:hideMark/>
          </w:tcPr>
          <w:p w14:paraId="638CAFF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7468E3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60.278</w:t>
            </w:r>
          </w:p>
        </w:tc>
        <w:tc>
          <w:tcPr>
            <w:tcW w:w="904" w:type="dxa"/>
            <w:tcBorders>
              <w:top w:val="nil"/>
              <w:left w:val="nil"/>
              <w:bottom w:val="single" w:sz="4" w:space="0" w:color="auto"/>
              <w:right w:val="single" w:sz="4" w:space="0" w:color="auto"/>
            </w:tcBorders>
            <w:shd w:val="clear" w:color="auto" w:fill="auto"/>
            <w:noWrap/>
            <w:vAlign w:val="bottom"/>
            <w:hideMark/>
          </w:tcPr>
          <w:p w14:paraId="58CA896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56.567</w:t>
            </w:r>
          </w:p>
        </w:tc>
        <w:tc>
          <w:tcPr>
            <w:tcW w:w="904" w:type="dxa"/>
            <w:tcBorders>
              <w:top w:val="nil"/>
              <w:left w:val="nil"/>
              <w:bottom w:val="single" w:sz="4" w:space="0" w:color="auto"/>
              <w:right w:val="single" w:sz="4" w:space="0" w:color="auto"/>
            </w:tcBorders>
            <w:shd w:val="clear" w:color="auto" w:fill="auto"/>
            <w:noWrap/>
            <w:vAlign w:val="bottom"/>
            <w:hideMark/>
          </w:tcPr>
          <w:p w14:paraId="6D0621D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59.169</w:t>
            </w:r>
          </w:p>
        </w:tc>
        <w:tc>
          <w:tcPr>
            <w:tcW w:w="904" w:type="dxa"/>
            <w:tcBorders>
              <w:top w:val="nil"/>
              <w:left w:val="nil"/>
              <w:bottom w:val="single" w:sz="4" w:space="0" w:color="auto"/>
              <w:right w:val="single" w:sz="4" w:space="0" w:color="auto"/>
            </w:tcBorders>
            <w:shd w:val="clear" w:color="auto" w:fill="auto"/>
            <w:noWrap/>
            <w:vAlign w:val="bottom"/>
            <w:hideMark/>
          </w:tcPr>
          <w:p w14:paraId="1F4C09E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54.722</w:t>
            </w:r>
          </w:p>
        </w:tc>
        <w:tc>
          <w:tcPr>
            <w:tcW w:w="904" w:type="dxa"/>
            <w:tcBorders>
              <w:top w:val="nil"/>
              <w:left w:val="nil"/>
              <w:bottom w:val="single" w:sz="4" w:space="0" w:color="auto"/>
              <w:right w:val="single" w:sz="4" w:space="0" w:color="auto"/>
            </w:tcBorders>
            <w:shd w:val="clear" w:color="auto" w:fill="auto"/>
            <w:noWrap/>
            <w:vAlign w:val="bottom"/>
            <w:hideMark/>
          </w:tcPr>
          <w:p w14:paraId="43246E3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59.658</w:t>
            </w:r>
          </w:p>
        </w:tc>
        <w:tc>
          <w:tcPr>
            <w:tcW w:w="1946" w:type="dxa"/>
            <w:tcBorders>
              <w:top w:val="nil"/>
              <w:left w:val="nil"/>
              <w:bottom w:val="nil"/>
              <w:right w:val="nil"/>
            </w:tcBorders>
            <w:shd w:val="clear" w:color="auto" w:fill="auto"/>
            <w:noWrap/>
            <w:vAlign w:val="bottom"/>
            <w:hideMark/>
          </w:tcPr>
          <w:p w14:paraId="67A5B7A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1D97CE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4DA26E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80</w:t>
            </w:r>
          </w:p>
        </w:tc>
        <w:tc>
          <w:tcPr>
            <w:tcW w:w="904" w:type="dxa"/>
            <w:tcBorders>
              <w:top w:val="nil"/>
              <w:left w:val="nil"/>
              <w:bottom w:val="single" w:sz="4" w:space="0" w:color="auto"/>
              <w:right w:val="single" w:sz="4" w:space="0" w:color="auto"/>
            </w:tcBorders>
            <w:shd w:val="clear" w:color="auto" w:fill="auto"/>
            <w:noWrap/>
            <w:vAlign w:val="bottom"/>
            <w:hideMark/>
          </w:tcPr>
          <w:p w14:paraId="4012CC6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57.881</w:t>
            </w:r>
          </w:p>
        </w:tc>
        <w:tc>
          <w:tcPr>
            <w:tcW w:w="904" w:type="dxa"/>
            <w:tcBorders>
              <w:top w:val="nil"/>
              <w:left w:val="nil"/>
              <w:bottom w:val="single" w:sz="4" w:space="0" w:color="auto"/>
              <w:right w:val="single" w:sz="4" w:space="0" w:color="auto"/>
            </w:tcBorders>
            <w:shd w:val="clear" w:color="auto" w:fill="auto"/>
            <w:noWrap/>
            <w:vAlign w:val="bottom"/>
            <w:hideMark/>
          </w:tcPr>
          <w:p w14:paraId="2C3746A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61.260</w:t>
            </w:r>
          </w:p>
        </w:tc>
        <w:tc>
          <w:tcPr>
            <w:tcW w:w="904" w:type="dxa"/>
            <w:tcBorders>
              <w:top w:val="nil"/>
              <w:left w:val="nil"/>
              <w:bottom w:val="single" w:sz="4" w:space="0" w:color="auto"/>
              <w:right w:val="single" w:sz="4" w:space="0" w:color="auto"/>
            </w:tcBorders>
            <w:shd w:val="clear" w:color="auto" w:fill="auto"/>
            <w:noWrap/>
            <w:vAlign w:val="bottom"/>
            <w:hideMark/>
          </w:tcPr>
          <w:p w14:paraId="5F9E75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55.881</w:t>
            </w:r>
          </w:p>
        </w:tc>
        <w:tc>
          <w:tcPr>
            <w:tcW w:w="904" w:type="dxa"/>
            <w:tcBorders>
              <w:top w:val="nil"/>
              <w:left w:val="nil"/>
              <w:bottom w:val="single" w:sz="4" w:space="0" w:color="auto"/>
              <w:right w:val="single" w:sz="4" w:space="0" w:color="auto"/>
            </w:tcBorders>
            <w:shd w:val="clear" w:color="auto" w:fill="auto"/>
            <w:noWrap/>
            <w:vAlign w:val="bottom"/>
            <w:hideMark/>
          </w:tcPr>
          <w:p w14:paraId="5D079FE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59.213</w:t>
            </w:r>
          </w:p>
        </w:tc>
        <w:tc>
          <w:tcPr>
            <w:tcW w:w="904" w:type="dxa"/>
            <w:tcBorders>
              <w:top w:val="nil"/>
              <w:left w:val="nil"/>
              <w:bottom w:val="single" w:sz="4" w:space="0" w:color="auto"/>
              <w:right w:val="single" w:sz="4" w:space="0" w:color="auto"/>
            </w:tcBorders>
            <w:shd w:val="clear" w:color="auto" w:fill="auto"/>
            <w:noWrap/>
            <w:vAlign w:val="bottom"/>
            <w:hideMark/>
          </w:tcPr>
          <w:p w14:paraId="088E6E5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5B2A9D2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57.145</w:t>
            </w:r>
          </w:p>
        </w:tc>
        <w:tc>
          <w:tcPr>
            <w:tcW w:w="1946" w:type="dxa"/>
            <w:tcBorders>
              <w:top w:val="nil"/>
              <w:left w:val="nil"/>
              <w:bottom w:val="nil"/>
              <w:right w:val="nil"/>
            </w:tcBorders>
            <w:shd w:val="clear" w:color="auto" w:fill="auto"/>
            <w:noWrap/>
            <w:vAlign w:val="bottom"/>
            <w:hideMark/>
          </w:tcPr>
          <w:p w14:paraId="0CDC7DF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9A4441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F9922F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81</w:t>
            </w:r>
          </w:p>
        </w:tc>
        <w:tc>
          <w:tcPr>
            <w:tcW w:w="904" w:type="dxa"/>
            <w:tcBorders>
              <w:top w:val="nil"/>
              <w:left w:val="nil"/>
              <w:bottom w:val="single" w:sz="4" w:space="0" w:color="auto"/>
              <w:right w:val="single" w:sz="4" w:space="0" w:color="auto"/>
            </w:tcBorders>
            <w:shd w:val="clear" w:color="auto" w:fill="auto"/>
            <w:noWrap/>
            <w:vAlign w:val="bottom"/>
            <w:hideMark/>
          </w:tcPr>
          <w:p w14:paraId="00DEA23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57.019</w:t>
            </w:r>
          </w:p>
        </w:tc>
        <w:tc>
          <w:tcPr>
            <w:tcW w:w="904" w:type="dxa"/>
            <w:tcBorders>
              <w:top w:val="nil"/>
              <w:left w:val="nil"/>
              <w:bottom w:val="single" w:sz="4" w:space="0" w:color="auto"/>
              <w:right w:val="single" w:sz="4" w:space="0" w:color="auto"/>
            </w:tcBorders>
            <w:shd w:val="clear" w:color="auto" w:fill="auto"/>
            <w:noWrap/>
            <w:vAlign w:val="bottom"/>
            <w:hideMark/>
          </w:tcPr>
          <w:p w14:paraId="7802E67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62.955</w:t>
            </w:r>
          </w:p>
        </w:tc>
        <w:tc>
          <w:tcPr>
            <w:tcW w:w="904" w:type="dxa"/>
            <w:tcBorders>
              <w:top w:val="nil"/>
              <w:left w:val="nil"/>
              <w:bottom w:val="single" w:sz="4" w:space="0" w:color="auto"/>
              <w:right w:val="single" w:sz="4" w:space="0" w:color="auto"/>
            </w:tcBorders>
            <w:shd w:val="clear" w:color="auto" w:fill="auto"/>
            <w:noWrap/>
            <w:vAlign w:val="bottom"/>
            <w:hideMark/>
          </w:tcPr>
          <w:p w14:paraId="225010B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55.019</w:t>
            </w:r>
          </w:p>
        </w:tc>
        <w:tc>
          <w:tcPr>
            <w:tcW w:w="904" w:type="dxa"/>
            <w:tcBorders>
              <w:top w:val="nil"/>
              <w:left w:val="nil"/>
              <w:bottom w:val="single" w:sz="4" w:space="0" w:color="auto"/>
              <w:right w:val="single" w:sz="4" w:space="0" w:color="auto"/>
            </w:tcBorders>
            <w:shd w:val="clear" w:color="auto" w:fill="auto"/>
            <w:noWrap/>
            <w:vAlign w:val="bottom"/>
            <w:hideMark/>
          </w:tcPr>
          <w:p w14:paraId="749E056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59.982</w:t>
            </w:r>
          </w:p>
        </w:tc>
        <w:tc>
          <w:tcPr>
            <w:tcW w:w="904" w:type="dxa"/>
            <w:tcBorders>
              <w:top w:val="nil"/>
              <w:left w:val="nil"/>
              <w:bottom w:val="single" w:sz="4" w:space="0" w:color="auto"/>
              <w:right w:val="single" w:sz="4" w:space="0" w:color="auto"/>
            </w:tcBorders>
            <w:shd w:val="clear" w:color="auto" w:fill="auto"/>
            <w:noWrap/>
            <w:vAlign w:val="bottom"/>
            <w:hideMark/>
          </w:tcPr>
          <w:p w14:paraId="6D4176B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53.568</w:t>
            </w:r>
          </w:p>
        </w:tc>
        <w:tc>
          <w:tcPr>
            <w:tcW w:w="904" w:type="dxa"/>
            <w:tcBorders>
              <w:top w:val="nil"/>
              <w:left w:val="nil"/>
              <w:bottom w:val="single" w:sz="4" w:space="0" w:color="auto"/>
              <w:right w:val="single" w:sz="4" w:space="0" w:color="auto"/>
            </w:tcBorders>
            <w:shd w:val="clear" w:color="auto" w:fill="auto"/>
            <w:noWrap/>
            <w:vAlign w:val="bottom"/>
            <w:hideMark/>
          </w:tcPr>
          <w:p w14:paraId="037321F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72EAED7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E8E702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DD6301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82</w:t>
            </w:r>
          </w:p>
        </w:tc>
        <w:tc>
          <w:tcPr>
            <w:tcW w:w="904" w:type="dxa"/>
            <w:tcBorders>
              <w:top w:val="nil"/>
              <w:left w:val="nil"/>
              <w:bottom w:val="single" w:sz="4" w:space="0" w:color="auto"/>
              <w:right w:val="single" w:sz="4" w:space="0" w:color="auto"/>
            </w:tcBorders>
            <w:shd w:val="clear" w:color="auto" w:fill="auto"/>
            <w:noWrap/>
            <w:vAlign w:val="bottom"/>
            <w:hideMark/>
          </w:tcPr>
          <w:p w14:paraId="4D00434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54.530</w:t>
            </w:r>
          </w:p>
        </w:tc>
        <w:tc>
          <w:tcPr>
            <w:tcW w:w="904" w:type="dxa"/>
            <w:tcBorders>
              <w:top w:val="nil"/>
              <w:left w:val="nil"/>
              <w:bottom w:val="single" w:sz="4" w:space="0" w:color="auto"/>
              <w:right w:val="single" w:sz="4" w:space="0" w:color="auto"/>
            </w:tcBorders>
            <w:shd w:val="clear" w:color="auto" w:fill="auto"/>
            <w:noWrap/>
            <w:vAlign w:val="bottom"/>
            <w:hideMark/>
          </w:tcPr>
          <w:p w14:paraId="1E2252D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62.197</w:t>
            </w:r>
          </w:p>
        </w:tc>
        <w:tc>
          <w:tcPr>
            <w:tcW w:w="904" w:type="dxa"/>
            <w:tcBorders>
              <w:top w:val="nil"/>
              <w:left w:val="nil"/>
              <w:bottom w:val="single" w:sz="4" w:space="0" w:color="auto"/>
              <w:right w:val="single" w:sz="4" w:space="0" w:color="auto"/>
            </w:tcBorders>
            <w:shd w:val="clear" w:color="auto" w:fill="auto"/>
            <w:noWrap/>
            <w:vAlign w:val="bottom"/>
            <w:hideMark/>
          </w:tcPr>
          <w:p w14:paraId="25CFC2B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2E6EA9F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67A883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53.006</w:t>
            </w:r>
          </w:p>
        </w:tc>
        <w:tc>
          <w:tcPr>
            <w:tcW w:w="904" w:type="dxa"/>
            <w:tcBorders>
              <w:top w:val="nil"/>
              <w:left w:val="nil"/>
              <w:bottom w:val="single" w:sz="4" w:space="0" w:color="auto"/>
              <w:right w:val="single" w:sz="4" w:space="0" w:color="auto"/>
            </w:tcBorders>
            <w:shd w:val="clear" w:color="auto" w:fill="auto"/>
            <w:noWrap/>
            <w:vAlign w:val="bottom"/>
            <w:hideMark/>
          </w:tcPr>
          <w:p w14:paraId="05C8CE5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56.167</w:t>
            </w:r>
          </w:p>
        </w:tc>
        <w:tc>
          <w:tcPr>
            <w:tcW w:w="1946" w:type="dxa"/>
            <w:tcBorders>
              <w:top w:val="nil"/>
              <w:left w:val="nil"/>
              <w:bottom w:val="nil"/>
              <w:right w:val="nil"/>
            </w:tcBorders>
            <w:shd w:val="clear" w:color="auto" w:fill="auto"/>
            <w:noWrap/>
            <w:vAlign w:val="bottom"/>
            <w:hideMark/>
          </w:tcPr>
          <w:p w14:paraId="03A0E56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603A74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9721F3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83</w:t>
            </w:r>
          </w:p>
        </w:tc>
        <w:tc>
          <w:tcPr>
            <w:tcW w:w="904" w:type="dxa"/>
            <w:tcBorders>
              <w:top w:val="nil"/>
              <w:left w:val="nil"/>
              <w:bottom w:val="single" w:sz="4" w:space="0" w:color="auto"/>
              <w:right w:val="single" w:sz="4" w:space="0" w:color="auto"/>
            </w:tcBorders>
            <w:shd w:val="clear" w:color="auto" w:fill="auto"/>
            <w:noWrap/>
            <w:vAlign w:val="bottom"/>
            <w:hideMark/>
          </w:tcPr>
          <w:p w14:paraId="3A23D1D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54.462</w:t>
            </w:r>
          </w:p>
        </w:tc>
        <w:tc>
          <w:tcPr>
            <w:tcW w:w="904" w:type="dxa"/>
            <w:tcBorders>
              <w:top w:val="nil"/>
              <w:left w:val="nil"/>
              <w:bottom w:val="single" w:sz="4" w:space="0" w:color="auto"/>
              <w:right w:val="single" w:sz="4" w:space="0" w:color="auto"/>
            </w:tcBorders>
            <w:shd w:val="clear" w:color="auto" w:fill="auto"/>
            <w:noWrap/>
            <w:vAlign w:val="bottom"/>
            <w:hideMark/>
          </w:tcPr>
          <w:p w14:paraId="0B3668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414EC5A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54.161</w:t>
            </w:r>
          </w:p>
        </w:tc>
        <w:tc>
          <w:tcPr>
            <w:tcW w:w="904" w:type="dxa"/>
            <w:tcBorders>
              <w:top w:val="nil"/>
              <w:left w:val="nil"/>
              <w:bottom w:val="single" w:sz="4" w:space="0" w:color="auto"/>
              <w:right w:val="single" w:sz="4" w:space="0" w:color="auto"/>
            </w:tcBorders>
            <w:shd w:val="clear" w:color="auto" w:fill="auto"/>
            <w:noWrap/>
            <w:vAlign w:val="bottom"/>
            <w:hideMark/>
          </w:tcPr>
          <w:p w14:paraId="06005F0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59.161</w:t>
            </w:r>
          </w:p>
        </w:tc>
        <w:tc>
          <w:tcPr>
            <w:tcW w:w="904" w:type="dxa"/>
            <w:tcBorders>
              <w:top w:val="nil"/>
              <w:left w:val="nil"/>
              <w:bottom w:val="single" w:sz="4" w:space="0" w:color="auto"/>
              <w:right w:val="single" w:sz="4" w:space="0" w:color="auto"/>
            </w:tcBorders>
            <w:shd w:val="clear" w:color="auto" w:fill="auto"/>
            <w:noWrap/>
            <w:vAlign w:val="bottom"/>
            <w:hideMark/>
          </w:tcPr>
          <w:p w14:paraId="574B139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52.315</w:t>
            </w:r>
          </w:p>
        </w:tc>
        <w:tc>
          <w:tcPr>
            <w:tcW w:w="904" w:type="dxa"/>
            <w:tcBorders>
              <w:top w:val="nil"/>
              <w:left w:val="nil"/>
              <w:bottom w:val="single" w:sz="4" w:space="0" w:color="auto"/>
              <w:right w:val="single" w:sz="4" w:space="0" w:color="auto"/>
            </w:tcBorders>
            <w:shd w:val="clear" w:color="auto" w:fill="auto"/>
            <w:noWrap/>
            <w:vAlign w:val="bottom"/>
            <w:hideMark/>
          </w:tcPr>
          <w:p w14:paraId="763C807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55.315</w:t>
            </w:r>
          </w:p>
        </w:tc>
        <w:tc>
          <w:tcPr>
            <w:tcW w:w="1946" w:type="dxa"/>
            <w:tcBorders>
              <w:top w:val="nil"/>
              <w:left w:val="nil"/>
              <w:bottom w:val="nil"/>
              <w:right w:val="nil"/>
            </w:tcBorders>
            <w:shd w:val="clear" w:color="auto" w:fill="auto"/>
            <w:noWrap/>
            <w:vAlign w:val="bottom"/>
            <w:hideMark/>
          </w:tcPr>
          <w:p w14:paraId="0A186C6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A1835B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5350BE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84</w:t>
            </w:r>
          </w:p>
        </w:tc>
        <w:tc>
          <w:tcPr>
            <w:tcW w:w="904" w:type="dxa"/>
            <w:tcBorders>
              <w:top w:val="nil"/>
              <w:left w:val="nil"/>
              <w:bottom w:val="single" w:sz="4" w:space="0" w:color="auto"/>
              <w:right w:val="single" w:sz="4" w:space="0" w:color="auto"/>
            </w:tcBorders>
            <w:shd w:val="clear" w:color="auto" w:fill="auto"/>
            <w:noWrap/>
            <w:vAlign w:val="bottom"/>
            <w:hideMark/>
          </w:tcPr>
          <w:p w14:paraId="4F17B20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54.037</w:t>
            </w:r>
          </w:p>
        </w:tc>
        <w:tc>
          <w:tcPr>
            <w:tcW w:w="904" w:type="dxa"/>
            <w:tcBorders>
              <w:top w:val="nil"/>
              <w:left w:val="nil"/>
              <w:bottom w:val="single" w:sz="4" w:space="0" w:color="auto"/>
              <w:right w:val="single" w:sz="4" w:space="0" w:color="auto"/>
            </w:tcBorders>
            <w:shd w:val="clear" w:color="auto" w:fill="auto"/>
            <w:noWrap/>
            <w:vAlign w:val="bottom"/>
            <w:hideMark/>
          </w:tcPr>
          <w:p w14:paraId="5B16A1F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61.988</w:t>
            </w:r>
          </w:p>
        </w:tc>
        <w:tc>
          <w:tcPr>
            <w:tcW w:w="904" w:type="dxa"/>
            <w:tcBorders>
              <w:top w:val="nil"/>
              <w:left w:val="nil"/>
              <w:bottom w:val="single" w:sz="4" w:space="0" w:color="auto"/>
              <w:right w:val="single" w:sz="4" w:space="0" w:color="auto"/>
            </w:tcBorders>
            <w:shd w:val="clear" w:color="auto" w:fill="auto"/>
            <w:noWrap/>
            <w:vAlign w:val="bottom"/>
            <w:hideMark/>
          </w:tcPr>
          <w:p w14:paraId="0E4F991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53.993</w:t>
            </w:r>
          </w:p>
        </w:tc>
        <w:tc>
          <w:tcPr>
            <w:tcW w:w="904" w:type="dxa"/>
            <w:tcBorders>
              <w:top w:val="nil"/>
              <w:left w:val="nil"/>
              <w:bottom w:val="single" w:sz="4" w:space="0" w:color="auto"/>
              <w:right w:val="single" w:sz="4" w:space="0" w:color="auto"/>
            </w:tcBorders>
            <w:shd w:val="clear" w:color="auto" w:fill="auto"/>
            <w:noWrap/>
            <w:vAlign w:val="bottom"/>
            <w:hideMark/>
          </w:tcPr>
          <w:p w14:paraId="1EB172A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58.993</w:t>
            </w:r>
          </w:p>
        </w:tc>
        <w:tc>
          <w:tcPr>
            <w:tcW w:w="904" w:type="dxa"/>
            <w:tcBorders>
              <w:top w:val="nil"/>
              <w:left w:val="nil"/>
              <w:bottom w:val="single" w:sz="4" w:space="0" w:color="auto"/>
              <w:right w:val="single" w:sz="4" w:space="0" w:color="auto"/>
            </w:tcBorders>
            <w:shd w:val="clear" w:color="auto" w:fill="auto"/>
            <w:noWrap/>
            <w:vAlign w:val="bottom"/>
            <w:hideMark/>
          </w:tcPr>
          <w:p w14:paraId="188771D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904" w:type="dxa"/>
            <w:tcBorders>
              <w:top w:val="nil"/>
              <w:left w:val="nil"/>
              <w:bottom w:val="single" w:sz="4" w:space="0" w:color="auto"/>
              <w:right w:val="single" w:sz="4" w:space="0" w:color="auto"/>
            </w:tcBorders>
            <w:shd w:val="clear" w:color="auto" w:fill="auto"/>
            <w:noWrap/>
            <w:vAlign w:val="bottom"/>
            <w:hideMark/>
          </w:tcPr>
          <w:p w14:paraId="1F2624E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54.993</w:t>
            </w:r>
          </w:p>
        </w:tc>
        <w:tc>
          <w:tcPr>
            <w:tcW w:w="1946" w:type="dxa"/>
            <w:tcBorders>
              <w:top w:val="nil"/>
              <w:left w:val="nil"/>
              <w:bottom w:val="nil"/>
              <w:right w:val="nil"/>
            </w:tcBorders>
            <w:shd w:val="clear" w:color="auto" w:fill="auto"/>
            <w:noWrap/>
            <w:vAlign w:val="bottom"/>
            <w:hideMark/>
          </w:tcPr>
          <w:p w14:paraId="1562CB26"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A03E94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DD271B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85</w:t>
            </w:r>
          </w:p>
        </w:tc>
        <w:tc>
          <w:tcPr>
            <w:tcW w:w="904" w:type="dxa"/>
            <w:tcBorders>
              <w:top w:val="nil"/>
              <w:left w:val="nil"/>
              <w:bottom w:val="single" w:sz="4" w:space="0" w:color="auto"/>
              <w:right w:val="single" w:sz="4" w:space="0" w:color="auto"/>
            </w:tcBorders>
            <w:shd w:val="clear" w:color="auto" w:fill="auto"/>
            <w:noWrap/>
            <w:vAlign w:val="bottom"/>
            <w:hideMark/>
          </w:tcPr>
          <w:p w14:paraId="6D6091E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55.401</w:t>
            </w:r>
          </w:p>
        </w:tc>
        <w:tc>
          <w:tcPr>
            <w:tcW w:w="904" w:type="dxa"/>
            <w:tcBorders>
              <w:top w:val="nil"/>
              <w:left w:val="nil"/>
              <w:bottom w:val="single" w:sz="4" w:space="0" w:color="auto"/>
              <w:right w:val="single" w:sz="4" w:space="0" w:color="auto"/>
            </w:tcBorders>
            <w:shd w:val="clear" w:color="auto" w:fill="auto"/>
            <w:noWrap/>
            <w:vAlign w:val="bottom"/>
            <w:hideMark/>
          </w:tcPr>
          <w:p w14:paraId="2CCB304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61.672</w:t>
            </w:r>
          </w:p>
        </w:tc>
        <w:tc>
          <w:tcPr>
            <w:tcW w:w="904" w:type="dxa"/>
            <w:tcBorders>
              <w:top w:val="nil"/>
              <w:left w:val="nil"/>
              <w:bottom w:val="single" w:sz="4" w:space="0" w:color="auto"/>
              <w:right w:val="single" w:sz="4" w:space="0" w:color="auto"/>
            </w:tcBorders>
            <w:shd w:val="clear" w:color="auto" w:fill="auto"/>
            <w:noWrap/>
            <w:vAlign w:val="bottom"/>
            <w:hideMark/>
          </w:tcPr>
          <w:p w14:paraId="0A06EA8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53.284</w:t>
            </w:r>
          </w:p>
        </w:tc>
        <w:tc>
          <w:tcPr>
            <w:tcW w:w="904" w:type="dxa"/>
            <w:tcBorders>
              <w:top w:val="nil"/>
              <w:left w:val="nil"/>
              <w:bottom w:val="single" w:sz="4" w:space="0" w:color="auto"/>
              <w:right w:val="single" w:sz="4" w:space="0" w:color="auto"/>
            </w:tcBorders>
            <w:shd w:val="clear" w:color="auto" w:fill="auto"/>
            <w:noWrap/>
            <w:vAlign w:val="bottom"/>
            <w:hideMark/>
          </w:tcPr>
          <w:p w14:paraId="466030B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57.660</w:t>
            </w:r>
          </w:p>
        </w:tc>
        <w:tc>
          <w:tcPr>
            <w:tcW w:w="904" w:type="dxa"/>
            <w:tcBorders>
              <w:top w:val="nil"/>
              <w:left w:val="nil"/>
              <w:bottom w:val="single" w:sz="4" w:space="0" w:color="auto"/>
              <w:right w:val="single" w:sz="4" w:space="0" w:color="auto"/>
            </w:tcBorders>
            <w:shd w:val="clear" w:color="auto" w:fill="auto"/>
            <w:noWrap/>
            <w:vAlign w:val="bottom"/>
            <w:hideMark/>
          </w:tcPr>
          <w:p w14:paraId="733A612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52.416</w:t>
            </w:r>
          </w:p>
        </w:tc>
        <w:tc>
          <w:tcPr>
            <w:tcW w:w="904" w:type="dxa"/>
            <w:tcBorders>
              <w:top w:val="nil"/>
              <w:left w:val="nil"/>
              <w:bottom w:val="single" w:sz="4" w:space="0" w:color="auto"/>
              <w:right w:val="single" w:sz="4" w:space="0" w:color="auto"/>
            </w:tcBorders>
            <w:shd w:val="clear" w:color="auto" w:fill="auto"/>
            <w:noWrap/>
            <w:vAlign w:val="bottom"/>
            <w:hideMark/>
          </w:tcPr>
          <w:p w14:paraId="21AE129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54.284</w:t>
            </w:r>
          </w:p>
        </w:tc>
        <w:tc>
          <w:tcPr>
            <w:tcW w:w="1946" w:type="dxa"/>
            <w:tcBorders>
              <w:top w:val="nil"/>
              <w:left w:val="nil"/>
              <w:bottom w:val="nil"/>
              <w:right w:val="nil"/>
            </w:tcBorders>
            <w:shd w:val="clear" w:color="auto" w:fill="auto"/>
            <w:noWrap/>
            <w:vAlign w:val="bottom"/>
            <w:hideMark/>
          </w:tcPr>
          <w:p w14:paraId="2E0C541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F575B6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3181AB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86</w:t>
            </w:r>
          </w:p>
        </w:tc>
        <w:tc>
          <w:tcPr>
            <w:tcW w:w="904" w:type="dxa"/>
            <w:tcBorders>
              <w:top w:val="nil"/>
              <w:left w:val="nil"/>
              <w:bottom w:val="single" w:sz="4" w:space="0" w:color="auto"/>
              <w:right w:val="single" w:sz="4" w:space="0" w:color="auto"/>
            </w:tcBorders>
            <w:shd w:val="clear" w:color="auto" w:fill="auto"/>
            <w:noWrap/>
            <w:vAlign w:val="bottom"/>
            <w:hideMark/>
          </w:tcPr>
          <w:p w14:paraId="7EC67A0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F43852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61.819</w:t>
            </w:r>
          </w:p>
        </w:tc>
        <w:tc>
          <w:tcPr>
            <w:tcW w:w="904" w:type="dxa"/>
            <w:tcBorders>
              <w:top w:val="nil"/>
              <w:left w:val="nil"/>
              <w:bottom w:val="single" w:sz="4" w:space="0" w:color="auto"/>
              <w:right w:val="single" w:sz="4" w:space="0" w:color="auto"/>
            </w:tcBorders>
            <w:shd w:val="clear" w:color="auto" w:fill="auto"/>
            <w:noWrap/>
            <w:vAlign w:val="bottom"/>
            <w:hideMark/>
          </w:tcPr>
          <w:p w14:paraId="7C580E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5938A13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6C8DEA8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53.986</w:t>
            </w:r>
          </w:p>
        </w:tc>
        <w:tc>
          <w:tcPr>
            <w:tcW w:w="904" w:type="dxa"/>
            <w:tcBorders>
              <w:top w:val="nil"/>
              <w:left w:val="nil"/>
              <w:bottom w:val="single" w:sz="4" w:space="0" w:color="auto"/>
              <w:right w:val="single" w:sz="4" w:space="0" w:color="auto"/>
            </w:tcBorders>
            <w:shd w:val="clear" w:color="auto" w:fill="auto"/>
            <w:noWrap/>
            <w:vAlign w:val="bottom"/>
            <w:hideMark/>
          </w:tcPr>
          <w:p w14:paraId="1B6B7A0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53.986</w:t>
            </w:r>
          </w:p>
        </w:tc>
        <w:tc>
          <w:tcPr>
            <w:tcW w:w="1946" w:type="dxa"/>
            <w:tcBorders>
              <w:top w:val="nil"/>
              <w:left w:val="nil"/>
              <w:bottom w:val="nil"/>
              <w:right w:val="nil"/>
            </w:tcBorders>
            <w:shd w:val="clear" w:color="auto" w:fill="auto"/>
            <w:noWrap/>
            <w:vAlign w:val="bottom"/>
            <w:hideMark/>
          </w:tcPr>
          <w:p w14:paraId="0534A2D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B1EC8F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55A8E0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87</w:t>
            </w:r>
          </w:p>
        </w:tc>
        <w:tc>
          <w:tcPr>
            <w:tcW w:w="904" w:type="dxa"/>
            <w:tcBorders>
              <w:top w:val="nil"/>
              <w:left w:val="nil"/>
              <w:bottom w:val="single" w:sz="4" w:space="0" w:color="auto"/>
              <w:right w:val="single" w:sz="4" w:space="0" w:color="auto"/>
            </w:tcBorders>
            <w:shd w:val="clear" w:color="auto" w:fill="auto"/>
            <w:noWrap/>
            <w:vAlign w:val="bottom"/>
            <w:hideMark/>
          </w:tcPr>
          <w:p w14:paraId="5E0890C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09A7903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60.247</w:t>
            </w:r>
          </w:p>
        </w:tc>
        <w:tc>
          <w:tcPr>
            <w:tcW w:w="904" w:type="dxa"/>
            <w:tcBorders>
              <w:top w:val="nil"/>
              <w:left w:val="nil"/>
              <w:bottom w:val="single" w:sz="4" w:space="0" w:color="auto"/>
              <w:right w:val="single" w:sz="4" w:space="0" w:color="auto"/>
            </w:tcBorders>
            <w:shd w:val="clear" w:color="auto" w:fill="auto"/>
            <w:noWrap/>
            <w:vAlign w:val="bottom"/>
            <w:hideMark/>
          </w:tcPr>
          <w:p w14:paraId="7C53767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28F4F58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87BC90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53.378</w:t>
            </w:r>
          </w:p>
        </w:tc>
        <w:tc>
          <w:tcPr>
            <w:tcW w:w="904" w:type="dxa"/>
            <w:tcBorders>
              <w:top w:val="nil"/>
              <w:left w:val="nil"/>
              <w:bottom w:val="single" w:sz="4" w:space="0" w:color="auto"/>
              <w:right w:val="single" w:sz="4" w:space="0" w:color="auto"/>
            </w:tcBorders>
            <w:shd w:val="clear" w:color="auto" w:fill="auto"/>
            <w:noWrap/>
            <w:vAlign w:val="bottom"/>
            <w:hideMark/>
          </w:tcPr>
          <w:p w14:paraId="1FDB157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53.378</w:t>
            </w:r>
          </w:p>
        </w:tc>
        <w:tc>
          <w:tcPr>
            <w:tcW w:w="1946" w:type="dxa"/>
            <w:tcBorders>
              <w:top w:val="nil"/>
              <w:left w:val="nil"/>
              <w:bottom w:val="nil"/>
              <w:right w:val="nil"/>
            </w:tcBorders>
            <w:shd w:val="clear" w:color="auto" w:fill="auto"/>
            <w:noWrap/>
            <w:vAlign w:val="bottom"/>
            <w:hideMark/>
          </w:tcPr>
          <w:p w14:paraId="32D3318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A9327C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710F19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88</w:t>
            </w:r>
          </w:p>
        </w:tc>
        <w:tc>
          <w:tcPr>
            <w:tcW w:w="904" w:type="dxa"/>
            <w:tcBorders>
              <w:top w:val="nil"/>
              <w:left w:val="nil"/>
              <w:bottom w:val="single" w:sz="4" w:space="0" w:color="auto"/>
              <w:right w:val="single" w:sz="4" w:space="0" w:color="auto"/>
            </w:tcBorders>
            <w:shd w:val="clear" w:color="auto" w:fill="auto"/>
            <w:noWrap/>
            <w:vAlign w:val="bottom"/>
            <w:hideMark/>
          </w:tcPr>
          <w:p w14:paraId="0012094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EFB8CB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58.892</w:t>
            </w:r>
          </w:p>
        </w:tc>
        <w:tc>
          <w:tcPr>
            <w:tcW w:w="904" w:type="dxa"/>
            <w:tcBorders>
              <w:top w:val="nil"/>
              <w:left w:val="nil"/>
              <w:bottom w:val="single" w:sz="4" w:space="0" w:color="auto"/>
              <w:right w:val="single" w:sz="4" w:space="0" w:color="auto"/>
            </w:tcBorders>
            <w:shd w:val="clear" w:color="auto" w:fill="auto"/>
            <w:noWrap/>
            <w:vAlign w:val="bottom"/>
            <w:hideMark/>
          </w:tcPr>
          <w:p w14:paraId="235215B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53.204</w:t>
            </w:r>
          </w:p>
        </w:tc>
        <w:tc>
          <w:tcPr>
            <w:tcW w:w="904" w:type="dxa"/>
            <w:tcBorders>
              <w:top w:val="nil"/>
              <w:left w:val="nil"/>
              <w:bottom w:val="single" w:sz="4" w:space="0" w:color="auto"/>
              <w:right w:val="single" w:sz="4" w:space="0" w:color="auto"/>
            </w:tcBorders>
            <w:shd w:val="clear" w:color="auto" w:fill="auto"/>
            <w:noWrap/>
            <w:vAlign w:val="bottom"/>
            <w:hideMark/>
          </w:tcPr>
          <w:p w14:paraId="1F1898D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0DABB41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0F289D3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1946" w:type="dxa"/>
            <w:tcBorders>
              <w:top w:val="nil"/>
              <w:left w:val="nil"/>
              <w:bottom w:val="nil"/>
              <w:right w:val="nil"/>
            </w:tcBorders>
            <w:shd w:val="clear" w:color="auto" w:fill="auto"/>
            <w:noWrap/>
            <w:vAlign w:val="bottom"/>
            <w:hideMark/>
          </w:tcPr>
          <w:p w14:paraId="2425008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584938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A6A794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89</w:t>
            </w:r>
          </w:p>
        </w:tc>
        <w:tc>
          <w:tcPr>
            <w:tcW w:w="904" w:type="dxa"/>
            <w:tcBorders>
              <w:top w:val="nil"/>
              <w:left w:val="nil"/>
              <w:bottom w:val="single" w:sz="4" w:space="0" w:color="auto"/>
              <w:right w:val="single" w:sz="4" w:space="0" w:color="auto"/>
            </w:tcBorders>
            <w:shd w:val="clear" w:color="auto" w:fill="auto"/>
            <w:noWrap/>
            <w:vAlign w:val="bottom"/>
            <w:hideMark/>
          </w:tcPr>
          <w:p w14:paraId="21BB6D2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E57ABF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58.368</w:t>
            </w:r>
          </w:p>
        </w:tc>
        <w:tc>
          <w:tcPr>
            <w:tcW w:w="904" w:type="dxa"/>
            <w:tcBorders>
              <w:top w:val="nil"/>
              <w:left w:val="nil"/>
              <w:bottom w:val="single" w:sz="4" w:space="0" w:color="auto"/>
              <w:right w:val="single" w:sz="4" w:space="0" w:color="auto"/>
            </w:tcBorders>
            <w:shd w:val="clear" w:color="auto" w:fill="auto"/>
            <w:noWrap/>
            <w:vAlign w:val="bottom"/>
            <w:hideMark/>
          </w:tcPr>
          <w:p w14:paraId="746CF60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54.849</w:t>
            </w:r>
          </w:p>
        </w:tc>
        <w:tc>
          <w:tcPr>
            <w:tcW w:w="904" w:type="dxa"/>
            <w:tcBorders>
              <w:top w:val="nil"/>
              <w:left w:val="nil"/>
              <w:bottom w:val="single" w:sz="4" w:space="0" w:color="auto"/>
              <w:right w:val="single" w:sz="4" w:space="0" w:color="auto"/>
            </w:tcBorders>
            <w:shd w:val="clear" w:color="auto" w:fill="auto"/>
            <w:noWrap/>
            <w:vAlign w:val="bottom"/>
            <w:hideMark/>
          </w:tcPr>
          <w:p w14:paraId="132829F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06DEA91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2709D8A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52.206</w:t>
            </w:r>
          </w:p>
        </w:tc>
        <w:tc>
          <w:tcPr>
            <w:tcW w:w="1946" w:type="dxa"/>
            <w:tcBorders>
              <w:top w:val="nil"/>
              <w:left w:val="nil"/>
              <w:bottom w:val="nil"/>
              <w:right w:val="nil"/>
            </w:tcBorders>
            <w:shd w:val="clear" w:color="auto" w:fill="auto"/>
            <w:noWrap/>
            <w:vAlign w:val="bottom"/>
            <w:hideMark/>
          </w:tcPr>
          <w:p w14:paraId="3FCA78A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63D6EC2"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A1BDC6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90</w:t>
            </w:r>
          </w:p>
        </w:tc>
        <w:tc>
          <w:tcPr>
            <w:tcW w:w="904" w:type="dxa"/>
            <w:tcBorders>
              <w:top w:val="nil"/>
              <w:left w:val="nil"/>
              <w:bottom w:val="single" w:sz="4" w:space="0" w:color="auto"/>
              <w:right w:val="single" w:sz="4" w:space="0" w:color="auto"/>
            </w:tcBorders>
            <w:shd w:val="clear" w:color="auto" w:fill="auto"/>
            <w:noWrap/>
            <w:vAlign w:val="bottom"/>
            <w:hideMark/>
          </w:tcPr>
          <w:p w14:paraId="79E471F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BF573F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26F879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2BB1FED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54.299</w:t>
            </w:r>
          </w:p>
        </w:tc>
        <w:tc>
          <w:tcPr>
            <w:tcW w:w="904" w:type="dxa"/>
            <w:tcBorders>
              <w:top w:val="nil"/>
              <w:left w:val="nil"/>
              <w:bottom w:val="single" w:sz="4" w:space="0" w:color="auto"/>
              <w:right w:val="single" w:sz="4" w:space="0" w:color="auto"/>
            </w:tcBorders>
            <w:shd w:val="clear" w:color="auto" w:fill="auto"/>
            <w:noWrap/>
            <w:vAlign w:val="bottom"/>
            <w:hideMark/>
          </w:tcPr>
          <w:p w14:paraId="668ADE3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787BC8D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50.364</w:t>
            </w:r>
          </w:p>
        </w:tc>
        <w:tc>
          <w:tcPr>
            <w:tcW w:w="1946" w:type="dxa"/>
            <w:tcBorders>
              <w:top w:val="nil"/>
              <w:left w:val="nil"/>
              <w:bottom w:val="nil"/>
              <w:right w:val="nil"/>
            </w:tcBorders>
            <w:shd w:val="clear" w:color="auto" w:fill="auto"/>
            <w:noWrap/>
            <w:vAlign w:val="bottom"/>
            <w:hideMark/>
          </w:tcPr>
          <w:p w14:paraId="3FD47FF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BB1025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DCEEE6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91</w:t>
            </w:r>
          </w:p>
        </w:tc>
        <w:tc>
          <w:tcPr>
            <w:tcW w:w="904" w:type="dxa"/>
            <w:tcBorders>
              <w:top w:val="nil"/>
              <w:left w:val="nil"/>
              <w:bottom w:val="single" w:sz="4" w:space="0" w:color="auto"/>
              <w:right w:val="single" w:sz="4" w:space="0" w:color="auto"/>
            </w:tcBorders>
            <w:shd w:val="clear" w:color="auto" w:fill="auto"/>
            <w:noWrap/>
            <w:vAlign w:val="bottom"/>
            <w:hideMark/>
          </w:tcPr>
          <w:p w14:paraId="569BDA4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55.502</w:t>
            </w:r>
          </w:p>
        </w:tc>
        <w:tc>
          <w:tcPr>
            <w:tcW w:w="904" w:type="dxa"/>
            <w:tcBorders>
              <w:top w:val="nil"/>
              <w:left w:val="nil"/>
              <w:bottom w:val="single" w:sz="4" w:space="0" w:color="auto"/>
              <w:right w:val="single" w:sz="4" w:space="0" w:color="auto"/>
            </w:tcBorders>
            <w:shd w:val="clear" w:color="auto" w:fill="auto"/>
            <w:noWrap/>
            <w:vAlign w:val="bottom"/>
            <w:hideMark/>
          </w:tcPr>
          <w:p w14:paraId="3411A3D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56.666</w:t>
            </w:r>
          </w:p>
        </w:tc>
        <w:tc>
          <w:tcPr>
            <w:tcW w:w="904" w:type="dxa"/>
            <w:tcBorders>
              <w:top w:val="nil"/>
              <w:left w:val="nil"/>
              <w:bottom w:val="single" w:sz="4" w:space="0" w:color="auto"/>
              <w:right w:val="single" w:sz="4" w:space="0" w:color="auto"/>
            </w:tcBorders>
            <w:shd w:val="clear" w:color="auto" w:fill="auto"/>
            <w:noWrap/>
            <w:vAlign w:val="bottom"/>
            <w:hideMark/>
          </w:tcPr>
          <w:p w14:paraId="23C85FD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9111C3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007509E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53.677</w:t>
            </w:r>
          </w:p>
        </w:tc>
        <w:tc>
          <w:tcPr>
            <w:tcW w:w="904" w:type="dxa"/>
            <w:tcBorders>
              <w:top w:val="nil"/>
              <w:left w:val="nil"/>
              <w:bottom w:val="single" w:sz="4" w:space="0" w:color="auto"/>
              <w:right w:val="single" w:sz="4" w:space="0" w:color="auto"/>
            </w:tcBorders>
            <w:shd w:val="clear" w:color="auto" w:fill="auto"/>
            <w:noWrap/>
            <w:vAlign w:val="bottom"/>
            <w:hideMark/>
          </w:tcPr>
          <w:p w14:paraId="250ACB0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50.025</w:t>
            </w:r>
          </w:p>
        </w:tc>
        <w:tc>
          <w:tcPr>
            <w:tcW w:w="1946" w:type="dxa"/>
            <w:tcBorders>
              <w:top w:val="nil"/>
              <w:left w:val="nil"/>
              <w:bottom w:val="nil"/>
              <w:right w:val="nil"/>
            </w:tcBorders>
            <w:shd w:val="clear" w:color="auto" w:fill="auto"/>
            <w:noWrap/>
            <w:vAlign w:val="bottom"/>
            <w:hideMark/>
          </w:tcPr>
          <w:p w14:paraId="2A1B7DAC"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8BA7F2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0B2C2E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92</w:t>
            </w:r>
          </w:p>
        </w:tc>
        <w:tc>
          <w:tcPr>
            <w:tcW w:w="904" w:type="dxa"/>
            <w:tcBorders>
              <w:top w:val="nil"/>
              <w:left w:val="nil"/>
              <w:bottom w:val="single" w:sz="4" w:space="0" w:color="auto"/>
              <w:right w:val="single" w:sz="4" w:space="0" w:color="auto"/>
            </w:tcBorders>
            <w:shd w:val="clear" w:color="auto" w:fill="auto"/>
            <w:noWrap/>
            <w:vAlign w:val="bottom"/>
            <w:hideMark/>
          </w:tcPr>
          <w:p w14:paraId="74EC796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2EF9471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2C28464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55.625</w:t>
            </w:r>
          </w:p>
        </w:tc>
        <w:tc>
          <w:tcPr>
            <w:tcW w:w="904" w:type="dxa"/>
            <w:tcBorders>
              <w:top w:val="nil"/>
              <w:left w:val="nil"/>
              <w:bottom w:val="single" w:sz="4" w:space="0" w:color="auto"/>
              <w:right w:val="single" w:sz="4" w:space="0" w:color="auto"/>
            </w:tcBorders>
            <w:shd w:val="clear" w:color="auto" w:fill="auto"/>
            <w:noWrap/>
            <w:vAlign w:val="bottom"/>
            <w:hideMark/>
          </w:tcPr>
          <w:p w14:paraId="201D936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29AC75F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8364A4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49.408</w:t>
            </w:r>
          </w:p>
        </w:tc>
        <w:tc>
          <w:tcPr>
            <w:tcW w:w="1946" w:type="dxa"/>
            <w:tcBorders>
              <w:top w:val="nil"/>
              <w:left w:val="nil"/>
              <w:bottom w:val="nil"/>
              <w:right w:val="nil"/>
            </w:tcBorders>
            <w:shd w:val="clear" w:color="auto" w:fill="auto"/>
            <w:noWrap/>
            <w:vAlign w:val="bottom"/>
            <w:hideMark/>
          </w:tcPr>
          <w:p w14:paraId="35CBDBC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1695F7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5AC3D8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93</w:t>
            </w:r>
          </w:p>
        </w:tc>
        <w:tc>
          <w:tcPr>
            <w:tcW w:w="904" w:type="dxa"/>
            <w:tcBorders>
              <w:top w:val="nil"/>
              <w:left w:val="nil"/>
              <w:bottom w:val="single" w:sz="4" w:space="0" w:color="auto"/>
              <w:right w:val="single" w:sz="4" w:space="0" w:color="auto"/>
            </w:tcBorders>
            <w:shd w:val="clear" w:color="auto" w:fill="auto"/>
            <w:noWrap/>
            <w:vAlign w:val="bottom"/>
            <w:hideMark/>
          </w:tcPr>
          <w:p w14:paraId="4BC044E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2A1FE68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24DB7AA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57.565</w:t>
            </w:r>
          </w:p>
        </w:tc>
        <w:tc>
          <w:tcPr>
            <w:tcW w:w="904" w:type="dxa"/>
            <w:tcBorders>
              <w:top w:val="nil"/>
              <w:left w:val="nil"/>
              <w:bottom w:val="single" w:sz="4" w:space="0" w:color="auto"/>
              <w:right w:val="single" w:sz="4" w:space="0" w:color="auto"/>
            </w:tcBorders>
            <w:shd w:val="clear" w:color="auto" w:fill="auto"/>
            <w:noWrap/>
            <w:vAlign w:val="bottom"/>
            <w:hideMark/>
          </w:tcPr>
          <w:p w14:paraId="12FCEF3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54.439</w:t>
            </w:r>
          </w:p>
        </w:tc>
        <w:tc>
          <w:tcPr>
            <w:tcW w:w="904" w:type="dxa"/>
            <w:tcBorders>
              <w:top w:val="nil"/>
              <w:left w:val="nil"/>
              <w:bottom w:val="single" w:sz="4" w:space="0" w:color="auto"/>
              <w:right w:val="single" w:sz="4" w:space="0" w:color="auto"/>
            </w:tcBorders>
            <w:shd w:val="clear" w:color="auto" w:fill="auto"/>
            <w:noWrap/>
            <w:vAlign w:val="bottom"/>
            <w:hideMark/>
          </w:tcPr>
          <w:p w14:paraId="0C722B0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12E9BD2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50.565</w:t>
            </w:r>
          </w:p>
        </w:tc>
        <w:tc>
          <w:tcPr>
            <w:tcW w:w="1946" w:type="dxa"/>
            <w:tcBorders>
              <w:top w:val="nil"/>
              <w:left w:val="nil"/>
              <w:bottom w:val="nil"/>
              <w:right w:val="nil"/>
            </w:tcBorders>
            <w:shd w:val="clear" w:color="auto" w:fill="auto"/>
            <w:noWrap/>
            <w:vAlign w:val="bottom"/>
            <w:hideMark/>
          </w:tcPr>
          <w:p w14:paraId="2C09720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5446C32"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2807D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94</w:t>
            </w:r>
          </w:p>
        </w:tc>
        <w:tc>
          <w:tcPr>
            <w:tcW w:w="904" w:type="dxa"/>
            <w:tcBorders>
              <w:top w:val="nil"/>
              <w:left w:val="nil"/>
              <w:bottom w:val="single" w:sz="4" w:space="0" w:color="auto"/>
              <w:right w:val="single" w:sz="4" w:space="0" w:color="auto"/>
            </w:tcBorders>
            <w:shd w:val="clear" w:color="auto" w:fill="auto"/>
            <w:noWrap/>
            <w:vAlign w:val="bottom"/>
            <w:hideMark/>
          </w:tcPr>
          <w:p w14:paraId="56568C3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14EE69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AF0EDF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67E5348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F1C1FA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4F79EB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51.000</w:t>
            </w:r>
          </w:p>
        </w:tc>
        <w:tc>
          <w:tcPr>
            <w:tcW w:w="1946" w:type="dxa"/>
            <w:tcBorders>
              <w:top w:val="nil"/>
              <w:left w:val="nil"/>
              <w:bottom w:val="nil"/>
              <w:right w:val="nil"/>
            </w:tcBorders>
            <w:shd w:val="clear" w:color="auto" w:fill="auto"/>
            <w:noWrap/>
            <w:vAlign w:val="bottom"/>
            <w:hideMark/>
          </w:tcPr>
          <w:p w14:paraId="3A8FAF4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7E8707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CF78A7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95</w:t>
            </w:r>
          </w:p>
        </w:tc>
        <w:tc>
          <w:tcPr>
            <w:tcW w:w="904" w:type="dxa"/>
            <w:tcBorders>
              <w:top w:val="nil"/>
              <w:left w:val="nil"/>
              <w:bottom w:val="single" w:sz="4" w:space="0" w:color="auto"/>
              <w:right w:val="single" w:sz="4" w:space="0" w:color="auto"/>
            </w:tcBorders>
            <w:shd w:val="clear" w:color="auto" w:fill="auto"/>
            <w:noWrap/>
            <w:vAlign w:val="bottom"/>
            <w:hideMark/>
          </w:tcPr>
          <w:p w14:paraId="5F88AC7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194CF68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389B1DD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31D5B2A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E3384C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497AF8B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51.000</w:t>
            </w:r>
          </w:p>
        </w:tc>
        <w:tc>
          <w:tcPr>
            <w:tcW w:w="1946" w:type="dxa"/>
            <w:tcBorders>
              <w:top w:val="nil"/>
              <w:left w:val="nil"/>
              <w:bottom w:val="nil"/>
              <w:right w:val="nil"/>
            </w:tcBorders>
            <w:shd w:val="clear" w:color="auto" w:fill="auto"/>
            <w:noWrap/>
            <w:vAlign w:val="bottom"/>
            <w:hideMark/>
          </w:tcPr>
          <w:p w14:paraId="0DA4D76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5CDED4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B2F949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96</w:t>
            </w:r>
          </w:p>
        </w:tc>
        <w:tc>
          <w:tcPr>
            <w:tcW w:w="904" w:type="dxa"/>
            <w:tcBorders>
              <w:top w:val="nil"/>
              <w:left w:val="nil"/>
              <w:bottom w:val="single" w:sz="4" w:space="0" w:color="auto"/>
              <w:right w:val="single" w:sz="4" w:space="0" w:color="auto"/>
            </w:tcBorders>
            <w:shd w:val="clear" w:color="auto" w:fill="auto"/>
            <w:noWrap/>
            <w:vAlign w:val="bottom"/>
            <w:hideMark/>
          </w:tcPr>
          <w:p w14:paraId="6B636AD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6007D1F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270DD7C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57.700</w:t>
            </w:r>
          </w:p>
        </w:tc>
        <w:tc>
          <w:tcPr>
            <w:tcW w:w="904" w:type="dxa"/>
            <w:tcBorders>
              <w:top w:val="nil"/>
              <w:left w:val="nil"/>
              <w:bottom w:val="single" w:sz="4" w:space="0" w:color="auto"/>
              <w:right w:val="single" w:sz="4" w:space="0" w:color="auto"/>
            </w:tcBorders>
            <w:shd w:val="clear" w:color="auto" w:fill="auto"/>
            <w:noWrap/>
            <w:vAlign w:val="bottom"/>
            <w:hideMark/>
          </w:tcPr>
          <w:p w14:paraId="591CB7B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DC135C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38382F7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52.958</w:t>
            </w:r>
          </w:p>
        </w:tc>
        <w:tc>
          <w:tcPr>
            <w:tcW w:w="1946" w:type="dxa"/>
            <w:tcBorders>
              <w:top w:val="nil"/>
              <w:left w:val="nil"/>
              <w:bottom w:val="nil"/>
              <w:right w:val="nil"/>
            </w:tcBorders>
            <w:shd w:val="clear" w:color="auto" w:fill="auto"/>
            <w:noWrap/>
            <w:vAlign w:val="bottom"/>
            <w:hideMark/>
          </w:tcPr>
          <w:p w14:paraId="5E82AA5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58CE04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8157C1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97</w:t>
            </w:r>
          </w:p>
        </w:tc>
        <w:tc>
          <w:tcPr>
            <w:tcW w:w="904" w:type="dxa"/>
            <w:tcBorders>
              <w:top w:val="nil"/>
              <w:left w:val="nil"/>
              <w:bottom w:val="single" w:sz="4" w:space="0" w:color="auto"/>
              <w:right w:val="single" w:sz="4" w:space="0" w:color="auto"/>
            </w:tcBorders>
            <w:shd w:val="clear" w:color="auto" w:fill="auto"/>
            <w:noWrap/>
            <w:vAlign w:val="bottom"/>
            <w:hideMark/>
          </w:tcPr>
          <w:p w14:paraId="4B454A8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3C48F94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69009A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57.176</w:t>
            </w:r>
          </w:p>
        </w:tc>
        <w:tc>
          <w:tcPr>
            <w:tcW w:w="904" w:type="dxa"/>
            <w:tcBorders>
              <w:top w:val="nil"/>
              <w:left w:val="nil"/>
              <w:bottom w:val="single" w:sz="4" w:space="0" w:color="auto"/>
              <w:right w:val="single" w:sz="4" w:space="0" w:color="auto"/>
            </w:tcBorders>
            <w:shd w:val="clear" w:color="auto" w:fill="auto"/>
            <w:noWrap/>
            <w:vAlign w:val="bottom"/>
            <w:hideMark/>
          </w:tcPr>
          <w:p w14:paraId="6ECE7AD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024AA48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53.499</w:t>
            </w:r>
          </w:p>
        </w:tc>
        <w:tc>
          <w:tcPr>
            <w:tcW w:w="904" w:type="dxa"/>
            <w:tcBorders>
              <w:top w:val="nil"/>
              <w:left w:val="nil"/>
              <w:bottom w:val="single" w:sz="4" w:space="0" w:color="auto"/>
              <w:right w:val="single" w:sz="4" w:space="0" w:color="auto"/>
            </w:tcBorders>
            <w:shd w:val="clear" w:color="auto" w:fill="auto"/>
            <w:noWrap/>
            <w:vAlign w:val="bottom"/>
            <w:hideMark/>
          </w:tcPr>
          <w:p w14:paraId="0495B70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53.323</w:t>
            </w:r>
          </w:p>
        </w:tc>
        <w:tc>
          <w:tcPr>
            <w:tcW w:w="1946" w:type="dxa"/>
            <w:tcBorders>
              <w:top w:val="nil"/>
              <w:left w:val="nil"/>
              <w:bottom w:val="nil"/>
              <w:right w:val="nil"/>
            </w:tcBorders>
            <w:shd w:val="clear" w:color="auto" w:fill="auto"/>
            <w:noWrap/>
            <w:vAlign w:val="bottom"/>
            <w:hideMark/>
          </w:tcPr>
          <w:p w14:paraId="7E9AD93C"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03D37B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883E5E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98</w:t>
            </w:r>
          </w:p>
        </w:tc>
        <w:tc>
          <w:tcPr>
            <w:tcW w:w="904" w:type="dxa"/>
            <w:tcBorders>
              <w:top w:val="nil"/>
              <w:left w:val="nil"/>
              <w:bottom w:val="single" w:sz="4" w:space="0" w:color="auto"/>
              <w:right w:val="single" w:sz="4" w:space="0" w:color="auto"/>
            </w:tcBorders>
            <w:shd w:val="clear" w:color="auto" w:fill="auto"/>
            <w:noWrap/>
            <w:vAlign w:val="bottom"/>
            <w:hideMark/>
          </w:tcPr>
          <w:p w14:paraId="57184D1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A51B08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56.294</w:t>
            </w:r>
          </w:p>
        </w:tc>
        <w:tc>
          <w:tcPr>
            <w:tcW w:w="904" w:type="dxa"/>
            <w:tcBorders>
              <w:top w:val="nil"/>
              <w:left w:val="nil"/>
              <w:bottom w:val="single" w:sz="4" w:space="0" w:color="auto"/>
              <w:right w:val="single" w:sz="4" w:space="0" w:color="auto"/>
            </w:tcBorders>
            <w:shd w:val="clear" w:color="auto" w:fill="auto"/>
            <w:noWrap/>
            <w:vAlign w:val="bottom"/>
            <w:hideMark/>
          </w:tcPr>
          <w:p w14:paraId="0AEE616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761C240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56.840</w:t>
            </w:r>
          </w:p>
        </w:tc>
        <w:tc>
          <w:tcPr>
            <w:tcW w:w="904" w:type="dxa"/>
            <w:tcBorders>
              <w:top w:val="nil"/>
              <w:left w:val="nil"/>
              <w:bottom w:val="single" w:sz="4" w:space="0" w:color="auto"/>
              <w:right w:val="single" w:sz="4" w:space="0" w:color="auto"/>
            </w:tcBorders>
            <w:shd w:val="clear" w:color="auto" w:fill="auto"/>
            <w:noWrap/>
            <w:vAlign w:val="bottom"/>
            <w:hideMark/>
          </w:tcPr>
          <w:p w14:paraId="30A0134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904" w:type="dxa"/>
            <w:tcBorders>
              <w:top w:val="nil"/>
              <w:left w:val="nil"/>
              <w:bottom w:val="single" w:sz="4" w:space="0" w:color="auto"/>
              <w:right w:val="single" w:sz="4" w:space="0" w:color="auto"/>
            </w:tcBorders>
            <w:shd w:val="clear" w:color="auto" w:fill="auto"/>
            <w:noWrap/>
            <w:vAlign w:val="bottom"/>
            <w:hideMark/>
          </w:tcPr>
          <w:p w14:paraId="0810CE6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54.942</w:t>
            </w:r>
          </w:p>
        </w:tc>
        <w:tc>
          <w:tcPr>
            <w:tcW w:w="1946" w:type="dxa"/>
            <w:tcBorders>
              <w:top w:val="nil"/>
              <w:left w:val="nil"/>
              <w:bottom w:val="nil"/>
              <w:right w:val="nil"/>
            </w:tcBorders>
            <w:shd w:val="clear" w:color="auto" w:fill="auto"/>
            <w:noWrap/>
            <w:vAlign w:val="bottom"/>
            <w:hideMark/>
          </w:tcPr>
          <w:p w14:paraId="07CC35E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68D4E9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78E211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99</w:t>
            </w:r>
          </w:p>
        </w:tc>
        <w:tc>
          <w:tcPr>
            <w:tcW w:w="904" w:type="dxa"/>
            <w:tcBorders>
              <w:top w:val="nil"/>
              <w:left w:val="nil"/>
              <w:bottom w:val="single" w:sz="4" w:space="0" w:color="auto"/>
              <w:right w:val="single" w:sz="4" w:space="0" w:color="auto"/>
            </w:tcBorders>
            <w:shd w:val="clear" w:color="auto" w:fill="auto"/>
            <w:noWrap/>
            <w:vAlign w:val="bottom"/>
            <w:hideMark/>
          </w:tcPr>
          <w:p w14:paraId="729789F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3A951EE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05CE565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56.108</w:t>
            </w:r>
          </w:p>
        </w:tc>
        <w:tc>
          <w:tcPr>
            <w:tcW w:w="904" w:type="dxa"/>
            <w:tcBorders>
              <w:top w:val="nil"/>
              <w:left w:val="nil"/>
              <w:bottom w:val="single" w:sz="4" w:space="0" w:color="auto"/>
              <w:right w:val="single" w:sz="4" w:space="0" w:color="auto"/>
            </w:tcBorders>
            <w:shd w:val="clear" w:color="auto" w:fill="auto"/>
            <w:noWrap/>
            <w:vAlign w:val="bottom"/>
            <w:hideMark/>
          </w:tcPr>
          <w:p w14:paraId="57D1F3D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55.276</w:t>
            </w:r>
          </w:p>
        </w:tc>
        <w:tc>
          <w:tcPr>
            <w:tcW w:w="904" w:type="dxa"/>
            <w:tcBorders>
              <w:top w:val="nil"/>
              <w:left w:val="nil"/>
              <w:bottom w:val="single" w:sz="4" w:space="0" w:color="auto"/>
              <w:right w:val="single" w:sz="4" w:space="0" w:color="auto"/>
            </w:tcBorders>
            <w:shd w:val="clear" w:color="auto" w:fill="auto"/>
            <w:noWrap/>
            <w:vAlign w:val="bottom"/>
            <w:hideMark/>
          </w:tcPr>
          <w:p w14:paraId="2C850CA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904" w:type="dxa"/>
            <w:tcBorders>
              <w:top w:val="nil"/>
              <w:left w:val="nil"/>
              <w:bottom w:val="single" w:sz="4" w:space="0" w:color="auto"/>
              <w:right w:val="single" w:sz="4" w:space="0" w:color="auto"/>
            </w:tcBorders>
            <w:shd w:val="clear" w:color="auto" w:fill="auto"/>
            <w:noWrap/>
            <w:vAlign w:val="bottom"/>
            <w:hideMark/>
          </w:tcPr>
          <w:p w14:paraId="0742177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0D8AF2B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755084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60BB11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100</w:t>
            </w:r>
          </w:p>
        </w:tc>
        <w:tc>
          <w:tcPr>
            <w:tcW w:w="904" w:type="dxa"/>
            <w:tcBorders>
              <w:top w:val="nil"/>
              <w:left w:val="nil"/>
              <w:bottom w:val="single" w:sz="4" w:space="0" w:color="auto"/>
              <w:right w:val="single" w:sz="4" w:space="0" w:color="auto"/>
            </w:tcBorders>
            <w:shd w:val="clear" w:color="auto" w:fill="auto"/>
            <w:noWrap/>
            <w:vAlign w:val="bottom"/>
            <w:hideMark/>
          </w:tcPr>
          <w:p w14:paraId="5996BEB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071E4A4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013F4D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08A573D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4E58CEE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904" w:type="dxa"/>
            <w:tcBorders>
              <w:top w:val="nil"/>
              <w:left w:val="nil"/>
              <w:bottom w:val="single" w:sz="4" w:space="0" w:color="auto"/>
              <w:right w:val="single" w:sz="4" w:space="0" w:color="auto"/>
            </w:tcBorders>
            <w:shd w:val="clear" w:color="auto" w:fill="auto"/>
            <w:noWrap/>
            <w:vAlign w:val="bottom"/>
            <w:hideMark/>
          </w:tcPr>
          <w:p w14:paraId="400538D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2361BB2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14F51C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42C62F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101</w:t>
            </w:r>
          </w:p>
        </w:tc>
        <w:tc>
          <w:tcPr>
            <w:tcW w:w="904" w:type="dxa"/>
            <w:tcBorders>
              <w:top w:val="nil"/>
              <w:left w:val="nil"/>
              <w:bottom w:val="single" w:sz="4" w:space="0" w:color="auto"/>
              <w:right w:val="single" w:sz="4" w:space="0" w:color="auto"/>
            </w:tcBorders>
            <w:shd w:val="clear" w:color="auto" w:fill="auto"/>
            <w:noWrap/>
            <w:vAlign w:val="bottom"/>
            <w:hideMark/>
          </w:tcPr>
          <w:p w14:paraId="05DD744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55.013</w:t>
            </w:r>
          </w:p>
        </w:tc>
        <w:tc>
          <w:tcPr>
            <w:tcW w:w="904" w:type="dxa"/>
            <w:tcBorders>
              <w:top w:val="nil"/>
              <w:left w:val="nil"/>
              <w:bottom w:val="single" w:sz="4" w:space="0" w:color="auto"/>
              <w:right w:val="single" w:sz="4" w:space="0" w:color="auto"/>
            </w:tcBorders>
            <w:shd w:val="clear" w:color="auto" w:fill="auto"/>
            <w:noWrap/>
            <w:vAlign w:val="bottom"/>
            <w:hideMark/>
          </w:tcPr>
          <w:p w14:paraId="1BC2736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0DD2055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4D22D88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4CD9A6A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904" w:type="dxa"/>
            <w:tcBorders>
              <w:top w:val="nil"/>
              <w:left w:val="nil"/>
              <w:bottom w:val="single" w:sz="4" w:space="0" w:color="auto"/>
              <w:right w:val="single" w:sz="4" w:space="0" w:color="auto"/>
            </w:tcBorders>
            <w:shd w:val="clear" w:color="auto" w:fill="auto"/>
            <w:noWrap/>
            <w:vAlign w:val="bottom"/>
            <w:hideMark/>
          </w:tcPr>
          <w:p w14:paraId="54DB5F4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7EE34EB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998489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B00A82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102</w:t>
            </w:r>
          </w:p>
        </w:tc>
        <w:tc>
          <w:tcPr>
            <w:tcW w:w="904" w:type="dxa"/>
            <w:tcBorders>
              <w:top w:val="nil"/>
              <w:left w:val="nil"/>
              <w:bottom w:val="single" w:sz="4" w:space="0" w:color="auto"/>
              <w:right w:val="single" w:sz="4" w:space="0" w:color="auto"/>
            </w:tcBorders>
            <w:shd w:val="clear" w:color="auto" w:fill="auto"/>
            <w:noWrap/>
            <w:vAlign w:val="bottom"/>
            <w:hideMark/>
          </w:tcPr>
          <w:p w14:paraId="333F421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55.925</w:t>
            </w:r>
          </w:p>
        </w:tc>
        <w:tc>
          <w:tcPr>
            <w:tcW w:w="904" w:type="dxa"/>
            <w:tcBorders>
              <w:top w:val="nil"/>
              <w:left w:val="nil"/>
              <w:bottom w:val="single" w:sz="4" w:space="0" w:color="auto"/>
              <w:right w:val="single" w:sz="4" w:space="0" w:color="auto"/>
            </w:tcBorders>
            <w:shd w:val="clear" w:color="auto" w:fill="auto"/>
            <w:noWrap/>
            <w:vAlign w:val="bottom"/>
            <w:hideMark/>
          </w:tcPr>
          <w:p w14:paraId="1CD87F5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899416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6A6E293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1F2FE9F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904" w:type="dxa"/>
            <w:tcBorders>
              <w:top w:val="nil"/>
              <w:left w:val="nil"/>
              <w:bottom w:val="single" w:sz="4" w:space="0" w:color="auto"/>
              <w:right w:val="single" w:sz="4" w:space="0" w:color="auto"/>
            </w:tcBorders>
            <w:shd w:val="clear" w:color="auto" w:fill="auto"/>
            <w:noWrap/>
            <w:vAlign w:val="bottom"/>
            <w:hideMark/>
          </w:tcPr>
          <w:p w14:paraId="0C2E768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6D86DB4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280F09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226332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103</w:t>
            </w:r>
          </w:p>
        </w:tc>
        <w:tc>
          <w:tcPr>
            <w:tcW w:w="904" w:type="dxa"/>
            <w:tcBorders>
              <w:top w:val="nil"/>
              <w:left w:val="nil"/>
              <w:bottom w:val="single" w:sz="4" w:space="0" w:color="auto"/>
              <w:right w:val="single" w:sz="4" w:space="0" w:color="auto"/>
            </w:tcBorders>
            <w:shd w:val="clear" w:color="auto" w:fill="auto"/>
            <w:noWrap/>
            <w:vAlign w:val="bottom"/>
            <w:hideMark/>
          </w:tcPr>
          <w:p w14:paraId="5E855EF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58.128</w:t>
            </w:r>
          </w:p>
        </w:tc>
        <w:tc>
          <w:tcPr>
            <w:tcW w:w="904" w:type="dxa"/>
            <w:tcBorders>
              <w:top w:val="nil"/>
              <w:left w:val="nil"/>
              <w:bottom w:val="single" w:sz="4" w:space="0" w:color="auto"/>
              <w:right w:val="single" w:sz="4" w:space="0" w:color="auto"/>
            </w:tcBorders>
            <w:shd w:val="clear" w:color="auto" w:fill="auto"/>
            <w:noWrap/>
            <w:vAlign w:val="bottom"/>
            <w:hideMark/>
          </w:tcPr>
          <w:p w14:paraId="3D9A31D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56.283</w:t>
            </w:r>
          </w:p>
        </w:tc>
        <w:tc>
          <w:tcPr>
            <w:tcW w:w="904" w:type="dxa"/>
            <w:tcBorders>
              <w:top w:val="nil"/>
              <w:left w:val="nil"/>
              <w:bottom w:val="single" w:sz="4" w:space="0" w:color="auto"/>
              <w:right w:val="single" w:sz="4" w:space="0" w:color="auto"/>
            </w:tcBorders>
            <w:shd w:val="clear" w:color="auto" w:fill="auto"/>
            <w:noWrap/>
            <w:vAlign w:val="bottom"/>
            <w:hideMark/>
          </w:tcPr>
          <w:p w14:paraId="5F76800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6019BF7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56D22F6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904" w:type="dxa"/>
            <w:tcBorders>
              <w:top w:val="nil"/>
              <w:left w:val="nil"/>
              <w:bottom w:val="single" w:sz="4" w:space="0" w:color="auto"/>
              <w:right w:val="single" w:sz="4" w:space="0" w:color="auto"/>
            </w:tcBorders>
            <w:shd w:val="clear" w:color="auto" w:fill="auto"/>
            <w:noWrap/>
            <w:vAlign w:val="bottom"/>
            <w:hideMark/>
          </w:tcPr>
          <w:p w14:paraId="5871B56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55.306</w:t>
            </w:r>
          </w:p>
        </w:tc>
        <w:tc>
          <w:tcPr>
            <w:tcW w:w="1946" w:type="dxa"/>
            <w:tcBorders>
              <w:top w:val="nil"/>
              <w:left w:val="nil"/>
              <w:bottom w:val="nil"/>
              <w:right w:val="nil"/>
            </w:tcBorders>
            <w:shd w:val="clear" w:color="auto" w:fill="auto"/>
            <w:noWrap/>
            <w:vAlign w:val="bottom"/>
            <w:hideMark/>
          </w:tcPr>
          <w:p w14:paraId="1D49C7C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FC21BC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79A6A2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104</w:t>
            </w:r>
          </w:p>
        </w:tc>
        <w:tc>
          <w:tcPr>
            <w:tcW w:w="904" w:type="dxa"/>
            <w:tcBorders>
              <w:top w:val="nil"/>
              <w:left w:val="nil"/>
              <w:bottom w:val="single" w:sz="4" w:space="0" w:color="auto"/>
              <w:right w:val="single" w:sz="4" w:space="0" w:color="auto"/>
            </w:tcBorders>
            <w:shd w:val="clear" w:color="auto" w:fill="auto"/>
            <w:noWrap/>
            <w:vAlign w:val="bottom"/>
            <w:hideMark/>
          </w:tcPr>
          <w:p w14:paraId="19E84FB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58.576</w:t>
            </w:r>
          </w:p>
        </w:tc>
        <w:tc>
          <w:tcPr>
            <w:tcW w:w="904" w:type="dxa"/>
            <w:tcBorders>
              <w:top w:val="nil"/>
              <w:left w:val="nil"/>
              <w:bottom w:val="single" w:sz="4" w:space="0" w:color="auto"/>
              <w:right w:val="single" w:sz="4" w:space="0" w:color="auto"/>
            </w:tcBorders>
            <w:shd w:val="clear" w:color="auto" w:fill="auto"/>
            <w:noWrap/>
            <w:vAlign w:val="bottom"/>
            <w:hideMark/>
          </w:tcPr>
          <w:p w14:paraId="0045D8C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299E27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3492EF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03F3BBB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53.706</w:t>
            </w:r>
          </w:p>
        </w:tc>
        <w:tc>
          <w:tcPr>
            <w:tcW w:w="904" w:type="dxa"/>
            <w:tcBorders>
              <w:top w:val="nil"/>
              <w:left w:val="nil"/>
              <w:bottom w:val="single" w:sz="4" w:space="0" w:color="auto"/>
              <w:right w:val="single" w:sz="4" w:space="0" w:color="auto"/>
            </w:tcBorders>
            <w:shd w:val="clear" w:color="auto" w:fill="auto"/>
            <w:noWrap/>
            <w:vAlign w:val="bottom"/>
            <w:hideMark/>
          </w:tcPr>
          <w:p w14:paraId="38753DD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04D30DB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63E629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4B10D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105</w:t>
            </w:r>
          </w:p>
        </w:tc>
        <w:tc>
          <w:tcPr>
            <w:tcW w:w="904" w:type="dxa"/>
            <w:tcBorders>
              <w:top w:val="nil"/>
              <w:left w:val="nil"/>
              <w:bottom w:val="single" w:sz="4" w:space="0" w:color="auto"/>
              <w:right w:val="single" w:sz="4" w:space="0" w:color="auto"/>
            </w:tcBorders>
            <w:shd w:val="clear" w:color="auto" w:fill="auto"/>
            <w:noWrap/>
            <w:vAlign w:val="bottom"/>
            <w:hideMark/>
          </w:tcPr>
          <w:p w14:paraId="5758BCB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024C554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55.981</w:t>
            </w:r>
          </w:p>
        </w:tc>
        <w:tc>
          <w:tcPr>
            <w:tcW w:w="904" w:type="dxa"/>
            <w:tcBorders>
              <w:top w:val="nil"/>
              <w:left w:val="nil"/>
              <w:bottom w:val="single" w:sz="4" w:space="0" w:color="auto"/>
              <w:right w:val="single" w:sz="4" w:space="0" w:color="auto"/>
            </w:tcBorders>
            <w:shd w:val="clear" w:color="auto" w:fill="auto"/>
            <w:noWrap/>
            <w:vAlign w:val="bottom"/>
            <w:hideMark/>
          </w:tcPr>
          <w:p w14:paraId="456F6ED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5EFCDC5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259EE8F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C5B943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40519E9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2062AD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25A3E1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106</w:t>
            </w:r>
          </w:p>
        </w:tc>
        <w:tc>
          <w:tcPr>
            <w:tcW w:w="904" w:type="dxa"/>
            <w:tcBorders>
              <w:top w:val="nil"/>
              <w:left w:val="nil"/>
              <w:bottom w:val="single" w:sz="4" w:space="0" w:color="auto"/>
              <w:right w:val="single" w:sz="4" w:space="0" w:color="auto"/>
            </w:tcBorders>
            <w:shd w:val="clear" w:color="auto" w:fill="auto"/>
            <w:noWrap/>
            <w:vAlign w:val="bottom"/>
            <w:hideMark/>
          </w:tcPr>
          <w:p w14:paraId="0B0CA10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E8AEEB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54.006</w:t>
            </w:r>
          </w:p>
        </w:tc>
        <w:tc>
          <w:tcPr>
            <w:tcW w:w="904" w:type="dxa"/>
            <w:tcBorders>
              <w:top w:val="nil"/>
              <w:left w:val="nil"/>
              <w:bottom w:val="single" w:sz="4" w:space="0" w:color="auto"/>
              <w:right w:val="single" w:sz="4" w:space="0" w:color="auto"/>
            </w:tcBorders>
            <w:shd w:val="clear" w:color="auto" w:fill="auto"/>
            <w:noWrap/>
            <w:vAlign w:val="bottom"/>
            <w:hideMark/>
          </w:tcPr>
          <w:p w14:paraId="32F607B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23934B9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64C8356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6FB57DD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20A8AD1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570C9A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1A67D3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107</w:t>
            </w:r>
          </w:p>
        </w:tc>
        <w:tc>
          <w:tcPr>
            <w:tcW w:w="904" w:type="dxa"/>
            <w:tcBorders>
              <w:top w:val="nil"/>
              <w:left w:val="nil"/>
              <w:bottom w:val="single" w:sz="4" w:space="0" w:color="auto"/>
              <w:right w:val="single" w:sz="4" w:space="0" w:color="auto"/>
            </w:tcBorders>
            <w:shd w:val="clear" w:color="auto" w:fill="auto"/>
            <w:noWrap/>
            <w:vAlign w:val="bottom"/>
            <w:hideMark/>
          </w:tcPr>
          <w:p w14:paraId="2B1F155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628220A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352B075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4EC5BE0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131793B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0A8BB64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2CDC2B2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8F9081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2F47B3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108</w:t>
            </w:r>
          </w:p>
        </w:tc>
        <w:tc>
          <w:tcPr>
            <w:tcW w:w="904" w:type="dxa"/>
            <w:tcBorders>
              <w:top w:val="nil"/>
              <w:left w:val="nil"/>
              <w:bottom w:val="single" w:sz="4" w:space="0" w:color="auto"/>
              <w:right w:val="single" w:sz="4" w:space="0" w:color="auto"/>
            </w:tcBorders>
            <w:shd w:val="clear" w:color="auto" w:fill="auto"/>
            <w:noWrap/>
            <w:vAlign w:val="bottom"/>
            <w:hideMark/>
          </w:tcPr>
          <w:p w14:paraId="1826956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1B3EC71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5268B76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1651333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44270A1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28BBF6C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4DF69D3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22131D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4B72E8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109</w:t>
            </w:r>
          </w:p>
        </w:tc>
        <w:tc>
          <w:tcPr>
            <w:tcW w:w="904" w:type="dxa"/>
            <w:tcBorders>
              <w:top w:val="nil"/>
              <w:left w:val="nil"/>
              <w:bottom w:val="single" w:sz="4" w:space="0" w:color="auto"/>
              <w:right w:val="single" w:sz="4" w:space="0" w:color="auto"/>
            </w:tcBorders>
            <w:shd w:val="clear" w:color="auto" w:fill="auto"/>
            <w:noWrap/>
            <w:vAlign w:val="bottom"/>
            <w:hideMark/>
          </w:tcPr>
          <w:p w14:paraId="1281777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0BD007F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46CD4C8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4CFD44F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52.942</w:t>
            </w:r>
          </w:p>
        </w:tc>
        <w:tc>
          <w:tcPr>
            <w:tcW w:w="904" w:type="dxa"/>
            <w:tcBorders>
              <w:top w:val="nil"/>
              <w:left w:val="nil"/>
              <w:bottom w:val="single" w:sz="4" w:space="0" w:color="auto"/>
              <w:right w:val="single" w:sz="4" w:space="0" w:color="auto"/>
            </w:tcBorders>
            <w:shd w:val="clear" w:color="auto" w:fill="auto"/>
            <w:noWrap/>
            <w:vAlign w:val="bottom"/>
            <w:hideMark/>
          </w:tcPr>
          <w:p w14:paraId="2B4C5A0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2B25A5C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5E551C07"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7C8A88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E8254F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110</w:t>
            </w:r>
          </w:p>
        </w:tc>
        <w:tc>
          <w:tcPr>
            <w:tcW w:w="904" w:type="dxa"/>
            <w:tcBorders>
              <w:top w:val="nil"/>
              <w:left w:val="nil"/>
              <w:bottom w:val="single" w:sz="4" w:space="0" w:color="auto"/>
              <w:right w:val="single" w:sz="4" w:space="0" w:color="auto"/>
            </w:tcBorders>
            <w:shd w:val="clear" w:color="auto" w:fill="auto"/>
            <w:noWrap/>
            <w:vAlign w:val="bottom"/>
            <w:hideMark/>
          </w:tcPr>
          <w:p w14:paraId="79020FE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61.036</w:t>
            </w:r>
          </w:p>
        </w:tc>
        <w:tc>
          <w:tcPr>
            <w:tcW w:w="904" w:type="dxa"/>
            <w:tcBorders>
              <w:top w:val="nil"/>
              <w:left w:val="nil"/>
              <w:bottom w:val="single" w:sz="4" w:space="0" w:color="auto"/>
              <w:right w:val="single" w:sz="4" w:space="0" w:color="auto"/>
            </w:tcBorders>
            <w:shd w:val="clear" w:color="auto" w:fill="auto"/>
            <w:noWrap/>
            <w:vAlign w:val="bottom"/>
            <w:hideMark/>
          </w:tcPr>
          <w:p w14:paraId="5F28D3A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3C4D8E0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064F92B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35BD4CD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3A3937A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40181AC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58F2A4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7F6012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111</w:t>
            </w:r>
          </w:p>
        </w:tc>
        <w:tc>
          <w:tcPr>
            <w:tcW w:w="904" w:type="dxa"/>
            <w:tcBorders>
              <w:top w:val="nil"/>
              <w:left w:val="nil"/>
              <w:bottom w:val="single" w:sz="4" w:space="0" w:color="auto"/>
              <w:right w:val="single" w:sz="4" w:space="0" w:color="auto"/>
            </w:tcBorders>
            <w:shd w:val="clear" w:color="auto" w:fill="auto"/>
            <w:noWrap/>
            <w:vAlign w:val="bottom"/>
            <w:hideMark/>
          </w:tcPr>
          <w:p w14:paraId="63974BB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61.554</w:t>
            </w:r>
          </w:p>
        </w:tc>
        <w:tc>
          <w:tcPr>
            <w:tcW w:w="904" w:type="dxa"/>
            <w:tcBorders>
              <w:top w:val="nil"/>
              <w:left w:val="nil"/>
              <w:bottom w:val="single" w:sz="4" w:space="0" w:color="auto"/>
              <w:right w:val="single" w:sz="4" w:space="0" w:color="auto"/>
            </w:tcBorders>
            <w:shd w:val="clear" w:color="auto" w:fill="auto"/>
            <w:noWrap/>
            <w:vAlign w:val="bottom"/>
            <w:hideMark/>
          </w:tcPr>
          <w:p w14:paraId="3E3FE8A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34CCDAE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54.478</w:t>
            </w:r>
          </w:p>
        </w:tc>
        <w:tc>
          <w:tcPr>
            <w:tcW w:w="904" w:type="dxa"/>
            <w:tcBorders>
              <w:top w:val="nil"/>
              <w:left w:val="nil"/>
              <w:bottom w:val="single" w:sz="4" w:space="0" w:color="auto"/>
              <w:right w:val="single" w:sz="4" w:space="0" w:color="auto"/>
            </w:tcBorders>
            <w:shd w:val="clear" w:color="auto" w:fill="auto"/>
            <w:noWrap/>
            <w:vAlign w:val="bottom"/>
            <w:hideMark/>
          </w:tcPr>
          <w:p w14:paraId="31F5DAE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3FDACE3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55.084</w:t>
            </w:r>
          </w:p>
        </w:tc>
        <w:tc>
          <w:tcPr>
            <w:tcW w:w="904" w:type="dxa"/>
            <w:tcBorders>
              <w:top w:val="nil"/>
              <w:left w:val="nil"/>
              <w:bottom w:val="single" w:sz="4" w:space="0" w:color="auto"/>
              <w:right w:val="single" w:sz="4" w:space="0" w:color="auto"/>
            </w:tcBorders>
            <w:shd w:val="clear" w:color="auto" w:fill="auto"/>
            <w:noWrap/>
            <w:vAlign w:val="bottom"/>
            <w:hideMark/>
          </w:tcPr>
          <w:p w14:paraId="4826041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75771C8C"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F9AB87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055FD1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112</w:t>
            </w:r>
          </w:p>
        </w:tc>
        <w:tc>
          <w:tcPr>
            <w:tcW w:w="904" w:type="dxa"/>
            <w:tcBorders>
              <w:top w:val="nil"/>
              <w:left w:val="nil"/>
              <w:bottom w:val="single" w:sz="4" w:space="0" w:color="auto"/>
              <w:right w:val="single" w:sz="4" w:space="0" w:color="auto"/>
            </w:tcBorders>
            <w:shd w:val="clear" w:color="auto" w:fill="auto"/>
            <w:noWrap/>
            <w:vAlign w:val="bottom"/>
            <w:hideMark/>
          </w:tcPr>
          <w:p w14:paraId="4DDA918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61.422</w:t>
            </w:r>
          </w:p>
        </w:tc>
        <w:tc>
          <w:tcPr>
            <w:tcW w:w="904" w:type="dxa"/>
            <w:tcBorders>
              <w:top w:val="nil"/>
              <w:left w:val="nil"/>
              <w:bottom w:val="single" w:sz="4" w:space="0" w:color="auto"/>
              <w:right w:val="single" w:sz="4" w:space="0" w:color="auto"/>
            </w:tcBorders>
            <w:shd w:val="clear" w:color="auto" w:fill="auto"/>
            <w:noWrap/>
            <w:vAlign w:val="bottom"/>
            <w:hideMark/>
          </w:tcPr>
          <w:p w14:paraId="550EAB4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2ECDD9E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56.050</w:t>
            </w:r>
          </w:p>
        </w:tc>
        <w:tc>
          <w:tcPr>
            <w:tcW w:w="904" w:type="dxa"/>
            <w:tcBorders>
              <w:top w:val="nil"/>
              <w:left w:val="nil"/>
              <w:bottom w:val="single" w:sz="4" w:space="0" w:color="auto"/>
              <w:right w:val="single" w:sz="4" w:space="0" w:color="auto"/>
            </w:tcBorders>
            <w:shd w:val="clear" w:color="auto" w:fill="auto"/>
            <w:noWrap/>
            <w:vAlign w:val="bottom"/>
            <w:hideMark/>
          </w:tcPr>
          <w:p w14:paraId="2A2E1AB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45C47CA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55.683</w:t>
            </w:r>
          </w:p>
        </w:tc>
        <w:tc>
          <w:tcPr>
            <w:tcW w:w="904" w:type="dxa"/>
            <w:tcBorders>
              <w:top w:val="nil"/>
              <w:left w:val="nil"/>
              <w:bottom w:val="single" w:sz="4" w:space="0" w:color="auto"/>
              <w:right w:val="single" w:sz="4" w:space="0" w:color="auto"/>
            </w:tcBorders>
            <w:shd w:val="clear" w:color="auto" w:fill="auto"/>
            <w:noWrap/>
            <w:vAlign w:val="bottom"/>
            <w:hideMark/>
          </w:tcPr>
          <w:p w14:paraId="1DEE20A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536688C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273480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DA2F26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lastRenderedPageBreak/>
              <w:t>113</w:t>
            </w:r>
          </w:p>
        </w:tc>
        <w:tc>
          <w:tcPr>
            <w:tcW w:w="904" w:type="dxa"/>
            <w:tcBorders>
              <w:top w:val="nil"/>
              <w:left w:val="nil"/>
              <w:bottom w:val="single" w:sz="4" w:space="0" w:color="auto"/>
              <w:right w:val="single" w:sz="4" w:space="0" w:color="auto"/>
            </w:tcBorders>
            <w:shd w:val="clear" w:color="auto" w:fill="auto"/>
            <w:noWrap/>
            <w:vAlign w:val="bottom"/>
            <w:hideMark/>
          </w:tcPr>
          <w:p w14:paraId="3F3A8FC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44AB3CE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784D5CA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AE8B64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5CA6B25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55.855</w:t>
            </w:r>
          </w:p>
        </w:tc>
        <w:tc>
          <w:tcPr>
            <w:tcW w:w="904" w:type="dxa"/>
            <w:tcBorders>
              <w:top w:val="nil"/>
              <w:left w:val="nil"/>
              <w:bottom w:val="single" w:sz="4" w:space="0" w:color="auto"/>
              <w:right w:val="single" w:sz="4" w:space="0" w:color="auto"/>
            </w:tcBorders>
            <w:shd w:val="clear" w:color="auto" w:fill="auto"/>
            <w:noWrap/>
            <w:vAlign w:val="bottom"/>
            <w:hideMark/>
          </w:tcPr>
          <w:p w14:paraId="0215866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0ED31257"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BE64BE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BA037A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114</w:t>
            </w:r>
          </w:p>
        </w:tc>
        <w:tc>
          <w:tcPr>
            <w:tcW w:w="904" w:type="dxa"/>
            <w:tcBorders>
              <w:top w:val="nil"/>
              <w:left w:val="nil"/>
              <w:bottom w:val="single" w:sz="4" w:space="0" w:color="auto"/>
              <w:right w:val="single" w:sz="4" w:space="0" w:color="auto"/>
            </w:tcBorders>
            <w:shd w:val="clear" w:color="auto" w:fill="auto"/>
            <w:noWrap/>
            <w:vAlign w:val="bottom"/>
            <w:hideMark/>
          </w:tcPr>
          <w:p w14:paraId="3C82B63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60.745</w:t>
            </w:r>
          </w:p>
        </w:tc>
        <w:tc>
          <w:tcPr>
            <w:tcW w:w="904" w:type="dxa"/>
            <w:tcBorders>
              <w:top w:val="nil"/>
              <w:left w:val="nil"/>
              <w:bottom w:val="single" w:sz="4" w:space="0" w:color="auto"/>
              <w:right w:val="single" w:sz="4" w:space="0" w:color="auto"/>
            </w:tcBorders>
            <w:shd w:val="clear" w:color="auto" w:fill="auto"/>
            <w:noWrap/>
            <w:vAlign w:val="bottom"/>
            <w:hideMark/>
          </w:tcPr>
          <w:p w14:paraId="7D96161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01D9E7E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1FA1DB9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1F71E77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53.807</w:t>
            </w:r>
          </w:p>
        </w:tc>
        <w:tc>
          <w:tcPr>
            <w:tcW w:w="904" w:type="dxa"/>
            <w:tcBorders>
              <w:top w:val="nil"/>
              <w:left w:val="nil"/>
              <w:bottom w:val="single" w:sz="4" w:space="0" w:color="auto"/>
              <w:right w:val="single" w:sz="4" w:space="0" w:color="auto"/>
            </w:tcBorders>
            <w:shd w:val="clear" w:color="auto" w:fill="auto"/>
            <w:noWrap/>
            <w:vAlign w:val="bottom"/>
            <w:hideMark/>
          </w:tcPr>
          <w:p w14:paraId="6FC9357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151403E6"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66EC15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CFB6D8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115</w:t>
            </w:r>
          </w:p>
        </w:tc>
        <w:tc>
          <w:tcPr>
            <w:tcW w:w="904" w:type="dxa"/>
            <w:tcBorders>
              <w:top w:val="nil"/>
              <w:left w:val="nil"/>
              <w:bottom w:val="single" w:sz="4" w:space="0" w:color="auto"/>
              <w:right w:val="single" w:sz="4" w:space="0" w:color="auto"/>
            </w:tcBorders>
            <w:shd w:val="clear" w:color="auto" w:fill="auto"/>
            <w:noWrap/>
            <w:vAlign w:val="bottom"/>
            <w:hideMark/>
          </w:tcPr>
          <w:p w14:paraId="24A4E6B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58.190</w:t>
            </w:r>
          </w:p>
        </w:tc>
        <w:tc>
          <w:tcPr>
            <w:tcW w:w="904" w:type="dxa"/>
            <w:tcBorders>
              <w:top w:val="nil"/>
              <w:left w:val="nil"/>
              <w:bottom w:val="single" w:sz="4" w:space="0" w:color="auto"/>
              <w:right w:val="single" w:sz="4" w:space="0" w:color="auto"/>
            </w:tcBorders>
            <w:shd w:val="clear" w:color="auto" w:fill="auto"/>
            <w:noWrap/>
            <w:vAlign w:val="bottom"/>
            <w:hideMark/>
          </w:tcPr>
          <w:p w14:paraId="6534208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53.717</w:t>
            </w:r>
          </w:p>
        </w:tc>
        <w:tc>
          <w:tcPr>
            <w:tcW w:w="904" w:type="dxa"/>
            <w:tcBorders>
              <w:top w:val="nil"/>
              <w:left w:val="nil"/>
              <w:bottom w:val="single" w:sz="4" w:space="0" w:color="auto"/>
              <w:right w:val="single" w:sz="4" w:space="0" w:color="auto"/>
            </w:tcBorders>
            <w:shd w:val="clear" w:color="auto" w:fill="auto"/>
            <w:noWrap/>
            <w:vAlign w:val="bottom"/>
            <w:hideMark/>
          </w:tcPr>
          <w:p w14:paraId="1BD07BF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56.283</w:t>
            </w:r>
          </w:p>
        </w:tc>
        <w:tc>
          <w:tcPr>
            <w:tcW w:w="904" w:type="dxa"/>
            <w:tcBorders>
              <w:top w:val="nil"/>
              <w:left w:val="nil"/>
              <w:bottom w:val="single" w:sz="4" w:space="0" w:color="auto"/>
              <w:right w:val="single" w:sz="4" w:space="0" w:color="auto"/>
            </w:tcBorders>
            <w:shd w:val="clear" w:color="auto" w:fill="auto"/>
            <w:noWrap/>
            <w:vAlign w:val="bottom"/>
            <w:hideMark/>
          </w:tcPr>
          <w:p w14:paraId="282F761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3FD10F6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524939E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5E3F88C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65C28C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1FBDCE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116</w:t>
            </w:r>
          </w:p>
        </w:tc>
        <w:tc>
          <w:tcPr>
            <w:tcW w:w="904" w:type="dxa"/>
            <w:tcBorders>
              <w:top w:val="nil"/>
              <w:left w:val="nil"/>
              <w:bottom w:val="single" w:sz="4" w:space="0" w:color="auto"/>
              <w:right w:val="single" w:sz="4" w:space="0" w:color="auto"/>
            </w:tcBorders>
            <w:shd w:val="clear" w:color="auto" w:fill="auto"/>
            <w:noWrap/>
            <w:vAlign w:val="bottom"/>
            <w:hideMark/>
          </w:tcPr>
          <w:p w14:paraId="5657646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1B3003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55.860</w:t>
            </w:r>
          </w:p>
        </w:tc>
        <w:tc>
          <w:tcPr>
            <w:tcW w:w="904" w:type="dxa"/>
            <w:tcBorders>
              <w:top w:val="nil"/>
              <w:left w:val="nil"/>
              <w:bottom w:val="single" w:sz="4" w:space="0" w:color="auto"/>
              <w:right w:val="single" w:sz="4" w:space="0" w:color="auto"/>
            </w:tcBorders>
            <w:shd w:val="clear" w:color="auto" w:fill="auto"/>
            <w:noWrap/>
            <w:vAlign w:val="bottom"/>
            <w:hideMark/>
          </w:tcPr>
          <w:p w14:paraId="7B1BCDB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54.140</w:t>
            </w:r>
          </w:p>
        </w:tc>
        <w:tc>
          <w:tcPr>
            <w:tcW w:w="904" w:type="dxa"/>
            <w:tcBorders>
              <w:top w:val="nil"/>
              <w:left w:val="nil"/>
              <w:bottom w:val="single" w:sz="4" w:space="0" w:color="auto"/>
              <w:right w:val="single" w:sz="4" w:space="0" w:color="auto"/>
            </w:tcBorders>
            <w:shd w:val="clear" w:color="auto" w:fill="auto"/>
            <w:noWrap/>
            <w:vAlign w:val="bottom"/>
            <w:hideMark/>
          </w:tcPr>
          <w:p w14:paraId="74AFC50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1625F4B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49299DE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5C9B215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15D7D2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895506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117</w:t>
            </w:r>
          </w:p>
        </w:tc>
        <w:tc>
          <w:tcPr>
            <w:tcW w:w="904" w:type="dxa"/>
            <w:tcBorders>
              <w:top w:val="nil"/>
              <w:left w:val="nil"/>
              <w:bottom w:val="single" w:sz="4" w:space="0" w:color="auto"/>
              <w:right w:val="single" w:sz="4" w:space="0" w:color="auto"/>
            </w:tcBorders>
            <w:shd w:val="clear" w:color="auto" w:fill="auto"/>
            <w:noWrap/>
            <w:vAlign w:val="bottom"/>
            <w:hideMark/>
          </w:tcPr>
          <w:p w14:paraId="73397D4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F87865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56.582</w:t>
            </w:r>
          </w:p>
        </w:tc>
        <w:tc>
          <w:tcPr>
            <w:tcW w:w="904" w:type="dxa"/>
            <w:tcBorders>
              <w:top w:val="nil"/>
              <w:left w:val="nil"/>
              <w:bottom w:val="single" w:sz="4" w:space="0" w:color="auto"/>
              <w:right w:val="single" w:sz="4" w:space="0" w:color="auto"/>
            </w:tcBorders>
            <w:shd w:val="clear" w:color="auto" w:fill="auto"/>
            <w:noWrap/>
            <w:vAlign w:val="bottom"/>
            <w:hideMark/>
          </w:tcPr>
          <w:p w14:paraId="0D39ECD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0240766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53.909</w:t>
            </w:r>
          </w:p>
        </w:tc>
        <w:tc>
          <w:tcPr>
            <w:tcW w:w="904" w:type="dxa"/>
            <w:tcBorders>
              <w:top w:val="nil"/>
              <w:left w:val="nil"/>
              <w:bottom w:val="single" w:sz="4" w:space="0" w:color="auto"/>
              <w:right w:val="single" w:sz="4" w:space="0" w:color="auto"/>
            </w:tcBorders>
            <w:shd w:val="clear" w:color="auto" w:fill="auto"/>
            <w:noWrap/>
            <w:vAlign w:val="bottom"/>
            <w:hideMark/>
          </w:tcPr>
          <w:p w14:paraId="7E0A6BD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70D8C41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46E7B026"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030A5C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A96B80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118</w:t>
            </w:r>
          </w:p>
        </w:tc>
        <w:tc>
          <w:tcPr>
            <w:tcW w:w="904" w:type="dxa"/>
            <w:tcBorders>
              <w:top w:val="nil"/>
              <w:left w:val="nil"/>
              <w:bottom w:val="single" w:sz="4" w:space="0" w:color="auto"/>
              <w:right w:val="single" w:sz="4" w:space="0" w:color="auto"/>
            </w:tcBorders>
            <w:shd w:val="clear" w:color="auto" w:fill="auto"/>
            <w:noWrap/>
            <w:vAlign w:val="bottom"/>
            <w:hideMark/>
          </w:tcPr>
          <w:p w14:paraId="431EB83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C8ED1E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58.736</w:t>
            </w:r>
          </w:p>
        </w:tc>
        <w:tc>
          <w:tcPr>
            <w:tcW w:w="904" w:type="dxa"/>
            <w:tcBorders>
              <w:top w:val="nil"/>
              <w:left w:val="nil"/>
              <w:bottom w:val="single" w:sz="4" w:space="0" w:color="auto"/>
              <w:right w:val="single" w:sz="4" w:space="0" w:color="auto"/>
            </w:tcBorders>
            <w:shd w:val="clear" w:color="auto" w:fill="auto"/>
            <w:noWrap/>
            <w:vAlign w:val="bottom"/>
            <w:hideMark/>
          </w:tcPr>
          <w:p w14:paraId="5E1676C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1ED7D2E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55.481</w:t>
            </w:r>
          </w:p>
        </w:tc>
        <w:tc>
          <w:tcPr>
            <w:tcW w:w="904" w:type="dxa"/>
            <w:tcBorders>
              <w:top w:val="nil"/>
              <w:left w:val="nil"/>
              <w:bottom w:val="single" w:sz="4" w:space="0" w:color="auto"/>
              <w:right w:val="single" w:sz="4" w:space="0" w:color="auto"/>
            </w:tcBorders>
            <w:shd w:val="clear" w:color="auto" w:fill="auto"/>
            <w:noWrap/>
            <w:vAlign w:val="bottom"/>
            <w:hideMark/>
          </w:tcPr>
          <w:p w14:paraId="58C22E7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2C7CBF6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48C7B326"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D91DAC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55394A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119</w:t>
            </w:r>
          </w:p>
        </w:tc>
        <w:tc>
          <w:tcPr>
            <w:tcW w:w="904" w:type="dxa"/>
            <w:tcBorders>
              <w:top w:val="nil"/>
              <w:left w:val="nil"/>
              <w:bottom w:val="single" w:sz="4" w:space="0" w:color="auto"/>
              <w:right w:val="single" w:sz="4" w:space="0" w:color="auto"/>
            </w:tcBorders>
            <w:shd w:val="clear" w:color="auto" w:fill="auto"/>
            <w:noWrap/>
            <w:vAlign w:val="bottom"/>
            <w:hideMark/>
          </w:tcPr>
          <w:p w14:paraId="0279FB8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56.279</w:t>
            </w:r>
          </w:p>
        </w:tc>
        <w:tc>
          <w:tcPr>
            <w:tcW w:w="904" w:type="dxa"/>
            <w:tcBorders>
              <w:top w:val="nil"/>
              <w:left w:val="nil"/>
              <w:bottom w:val="single" w:sz="4" w:space="0" w:color="auto"/>
              <w:right w:val="single" w:sz="4" w:space="0" w:color="auto"/>
            </w:tcBorders>
            <w:shd w:val="clear" w:color="auto" w:fill="auto"/>
            <w:noWrap/>
            <w:vAlign w:val="bottom"/>
            <w:hideMark/>
          </w:tcPr>
          <w:p w14:paraId="1CB3E48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59.361</w:t>
            </w:r>
          </w:p>
        </w:tc>
        <w:tc>
          <w:tcPr>
            <w:tcW w:w="904" w:type="dxa"/>
            <w:tcBorders>
              <w:top w:val="nil"/>
              <w:left w:val="nil"/>
              <w:bottom w:val="single" w:sz="4" w:space="0" w:color="auto"/>
              <w:right w:val="single" w:sz="4" w:space="0" w:color="auto"/>
            </w:tcBorders>
            <w:shd w:val="clear" w:color="auto" w:fill="auto"/>
            <w:noWrap/>
            <w:vAlign w:val="bottom"/>
            <w:hideMark/>
          </w:tcPr>
          <w:p w14:paraId="3C52F18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55079FE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08E4A0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53.361</w:t>
            </w:r>
          </w:p>
        </w:tc>
        <w:tc>
          <w:tcPr>
            <w:tcW w:w="904" w:type="dxa"/>
            <w:tcBorders>
              <w:top w:val="nil"/>
              <w:left w:val="nil"/>
              <w:bottom w:val="single" w:sz="4" w:space="0" w:color="auto"/>
              <w:right w:val="single" w:sz="4" w:space="0" w:color="auto"/>
            </w:tcBorders>
            <w:shd w:val="clear" w:color="auto" w:fill="auto"/>
            <w:noWrap/>
            <w:vAlign w:val="bottom"/>
            <w:hideMark/>
          </w:tcPr>
          <w:p w14:paraId="0DBB5BC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67BC4AE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6667E9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F81F45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120</w:t>
            </w:r>
          </w:p>
        </w:tc>
        <w:tc>
          <w:tcPr>
            <w:tcW w:w="904" w:type="dxa"/>
            <w:tcBorders>
              <w:top w:val="nil"/>
              <w:left w:val="nil"/>
              <w:bottom w:val="single" w:sz="4" w:space="0" w:color="auto"/>
              <w:right w:val="single" w:sz="4" w:space="0" w:color="auto"/>
            </w:tcBorders>
            <w:shd w:val="clear" w:color="auto" w:fill="auto"/>
            <w:noWrap/>
            <w:vAlign w:val="bottom"/>
            <w:hideMark/>
          </w:tcPr>
          <w:p w14:paraId="5788238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1CC784B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61.698</w:t>
            </w:r>
          </w:p>
        </w:tc>
        <w:tc>
          <w:tcPr>
            <w:tcW w:w="904" w:type="dxa"/>
            <w:tcBorders>
              <w:top w:val="nil"/>
              <w:left w:val="nil"/>
              <w:bottom w:val="single" w:sz="4" w:space="0" w:color="auto"/>
              <w:right w:val="single" w:sz="4" w:space="0" w:color="auto"/>
            </w:tcBorders>
            <w:shd w:val="clear" w:color="auto" w:fill="auto"/>
            <w:noWrap/>
            <w:vAlign w:val="bottom"/>
            <w:hideMark/>
          </w:tcPr>
          <w:p w14:paraId="2D3AA9A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3E8A873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371266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55.649</w:t>
            </w:r>
          </w:p>
        </w:tc>
        <w:tc>
          <w:tcPr>
            <w:tcW w:w="904" w:type="dxa"/>
            <w:tcBorders>
              <w:top w:val="nil"/>
              <w:left w:val="nil"/>
              <w:bottom w:val="single" w:sz="4" w:space="0" w:color="auto"/>
              <w:right w:val="single" w:sz="4" w:space="0" w:color="auto"/>
            </w:tcBorders>
            <w:shd w:val="clear" w:color="auto" w:fill="auto"/>
            <w:noWrap/>
            <w:vAlign w:val="bottom"/>
            <w:hideMark/>
          </w:tcPr>
          <w:p w14:paraId="06DA77A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54.416</w:t>
            </w:r>
          </w:p>
        </w:tc>
        <w:tc>
          <w:tcPr>
            <w:tcW w:w="1946" w:type="dxa"/>
            <w:tcBorders>
              <w:top w:val="nil"/>
              <w:left w:val="nil"/>
              <w:bottom w:val="nil"/>
              <w:right w:val="nil"/>
            </w:tcBorders>
            <w:shd w:val="clear" w:color="auto" w:fill="auto"/>
            <w:noWrap/>
            <w:vAlign w:val="bottom"/>
            <w:hideMark/>
          </w:tcPr>
          <w:p w14:paraId="062D641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E46E33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512EFF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121</w:t>
            </w:r>
          </w:p>
        </w:tc>
        <w:tc>
          <w:tcPr>
            <w:tcW w:w="904" w:type="dxa"/>
            <w:tcBorders>
              <w:top w:val="nil"/>
              <w:left w:val="nil"/>
              <w:bottom w:val="single" w:sz="4" w:space="0" w:color="auto"/>
              <w:right w:val="single" w:sz="4" w:space="0" w:color="auto"/>
            </w:tcBorders>
            <w:shd w:val="clear" w:color="auto" w:fill="auto"/>
            <w:noWrap/>
            <w:vAlign w:val="bottom"/>
            <w:hideMark/>
          </w:tcPr>
          <w:p w14:paraId="728DE99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4948467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74C404A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1EF2F76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A08D1A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F5FBAD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1946" w:type="dxa"/>
            <w:tcBorders>
              <w:top w:val="nil"/>
              <w:left w:val="nil"/>
              <w:bottom w:val="nil"/>
              <w:right w:val="nil"/>
            </w:tcBorders>
            <w:shd w:val="clear" w:color="auto" w:fill="auto"/>
            <w:noWrap/>
            <w:vAlign w:val="bottom"/>
            <w:hideMark/>
          </w:tcPr>
          <w:p w14:paraId="4690061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879819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088AC8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122</w:t>
            </w:r>
          </w:p>
        </w:tc>
        <w:tc>
          <w:tcPr>
            <w:tcW w:w="904" w:type="dxa"/>
            <w:tcBorders>
              <w:top w:val="nil"/>
              <w:left w:val="nil"/>
              <w:bottom w:val="single" w:sz="4" w:space="0" w:color="auto"/>
              <w:right w:val="single" w:sz="4" w:space="0" w:color="auto"/>
            </w:tcBorders>
            <w:shd w:val="clear" w:color="auto" w:fill="auto"/>
            <w:noWrap/>
            <w:vAlign w:val="bottom"/>
            <w:hideMark/>
          </w:tcPr>
          <w:p w14:paraId="364F52D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1C29EAD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0F23AAD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665E381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79BEFA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446A7B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1946" w:type="dxa"/>
            <w:tcBorders>
              <w:top w:val="nil"/>
              <w:left w:val="nil"/>
              <w:bottom w:val="nil"/>
              <w:right w:val="nil"/>
            </w:tcBorders>
            <w:shd w:val="clear" w:color="auto" w:fill="auto"/>
            <w:noWrap/>
            <w:vAlign w:val="bottom"/>
            <w:hideMark/>
          </w:tcPr>
          <w:p w14:paraId="659C4E6C"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3B81FF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86E51F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123</w:t>
            </w:r>
          </w:p>
        </w:tc>
        <w:tc>
          <w:tcPr>
            <w:tcW w:w="904" w:type="dxa"/>
            <w:tcBorders>
              <w:top w:val="nil"/>
              <w:left w:val="nil"/>
              <w:bottom w:val="single" w:sz="4" w:space="0" w:color="auto"/>
              <w:right w:val="single" w:sz="4" w:space="0" w:color="auto"/>
            </w:tcBorders>
            <w:shd w:val="clear" w:color="auto" w:fill="auto"/>
            <w:noWrap/>
            <w:vAlign w:val="bottom"/>
            <w:hideMark/>
          </w:tcPr>
          <w:p w14:paraId="2B4AE96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73E85C7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342F67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199B697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55.665</w:t>
            </w:r>
          </w:p>
        </w:tc>
        <w:tc>
          <w:tcPr>
            <w:tcW w:w="904" w:type="dxa"/>
            <w:tcBorders>
              <w:top w:val="nil"/>
              <w:left w:val="nil"/>
              <w:bottom w:val="single" w:sz="4" w:space="0" w:color="auto"/>
              <w:right w:val="single" w:sz="4" w:space="0" w:color="auto"/>
            </w:tcBorders>
            <w:shd w:val="clear" w:color="auto" w:fill="auto"/>
            <w:noWrap/>
            <w:vAlign w:val="bottom"/>
            <w:hideMark/>
          </w:tcPr>
          <w:p w14:paraId="7A29C84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FF63C8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1946" w:type="dxa"/>
            <w:tcBorders>
              <w:top w:val="nil"/>
              <w:left w:val="nil"/>
              <w:bottom w:val="nil"/>
              <w:right w:val="nil"/>
            </w:tcBorders>
            <w:shd w:val="clear" w:color="auto" w:fill="auto"/>
            <w:noWrap/>
            <w:vAlign w:val="bottom"/>
            <w:hideMark/>
          </w:tcPr>
          <w:p w14:paraId="147C684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53E4EF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9B0045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124</w:t>
            </w:r>
          </w:p>
        </w:tc>
        <w:tc>
          <w:tcPr>
            <w:tcW w:w="904" w:type="dxa"/>
            <w:tcBorders>
              <w:top w:val="nil"/>
              <w:left w:val="nil"/>
              <w:bottom w:val="single" w:sz="4" w:space="0" w:color="auto"/>
              <w:right w:val="single" w:sz="4" w:space="0" w:color="auto"/>
            </w:tcBorders>
            <w:shd w:val="clear" w:color="auto" w:fill="auto"/>
            <w:noWrap/>
            <w:vAlign w:val="bottom"/>
            <w:hideMark/>
          </w:tcPr>
          <w:p w14:paraId="00A3C99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26785D2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729956D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7FA6312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55.012</w:t>
            </w:r>
          </w:p>
        </w:tc>
        <w:tc>
          <w:tcPr>
            <w:tcW w:w="904" w:type="dxa"/>
            <w:tcBorders>
              <w:top w:val="nil"/>
              <w:left w:val="nil"/>
              <w:bottom w:val="single" w:sz="4" w:space="0" w:color="auto"/>
              <w:right w:val="single" w:sz="4" w:space="0" w:color="auto"/>
            </w:tcBorders>
            <w:shd w:val="clear" w:color="auto" w:fill="auto"/>
            <w:noWrap/>
            <w:vAlign w:val="bottom"/>
            <w:hideMark/>
          </w:tcPr>
          <w:p w14:paraId="25B8140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1E47A2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1946" w:type="dxa"/>
            <w:tcBorders>
              <w:top w:val="nil"/>
              <w:left w:val="nil"/>
              <w:bottom w:val="nil"/>
              <w:right w:val="nil"/>
            </w:tcBorders>
            <w:shd w:val="clear" w:color="auto" w:fill="auto"/>
            <w:noWrap/>
            <w:vAlign w:val="bottom"/>
            <w:hideMark/>
          </w:tcPr>
          <w:p w14:paraId="552EF37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595FF4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268C29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125</w:t>
            </w:r>
          </w:p>
        </w:tc>
        <w:tc>
          <w:tcPr>
            <w:tcW w:w="904" w:type="dxa"/>
            <w:tcBorders>
              <w:top w:val="nil"/>
              <w:left w:val="nil"/>
              <w:bottom w:val="single" w:sz="4" w:space="0" w:color="auto"/>
              <w:right w:val="single" w:sz="4" w:space="0" w:color="auto"/>
            </w:tcBorders>
            <w:shd w:val="clear" w:color="auto" w:fill="auto"/>
            <w:noWrap/>
            <w:vAlign w:val="bottom"/>
            <w:hideMark/>
          </w:tcPr>
          <w:p w14:paraId="47FEA2D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0EB975C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60.870</w:t>
            </w:r>
          </w:p>
        </w:tc>
        <w:tc>
          <w:tcPr>
            <w:tcW w:w="904" w:type="dxa"/>
            <w:tcBorders>
              <w:top w:val="nil"/>
              <w:left w:val="nil"/>
              <w:bottom w:val="single" w:sz="4" w:space="0" w:color="auto"/>
              <w:right w:val="single" w:sz="4" w:space="0" w:color="auto"/>
            </w:tcBorders>
            <w:shd w:val="clear" w:color="auto" w:fill="auto"/>
            <w:noWrap/>
            <w:vAlign w:val="bottom"/>
            <w:hideMark/>
          </w:tcPr>
          <w:p w14:paraId="7BE8608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1CCC2A4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F7FD79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67D985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1946" w:type="dxa"/>
            <w:tcBorders>
              <w:top w:val="nil"/>
              <w:left w:val="nil"/>
              <w:bottom w:val="nil"/>
              <w:right w:val="nil"/>
            </w:tcBorders>
            <w:shd w:val="clear" w:color="auto" w:fill="auto"/>
            <w:noWrap/>
            <w:vAlign w:val="bottom"/>
            <w:hideMark/>
          </w:tcPr>
          <w:p w14:paraId="5B4AF496"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657A69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66FFA8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126</w:t>
            </w:r>
          </w:p>
        </w:tc>
        <w:tc>
          <w:tcPr>
            <w:tcW w:w="904" w:type="dxa"/>
            <w:tcBorders>
              <w:top w:val="nil"/>
              <w:left w:val="nil"/>
              <w:bottom w:val="single" w:sz="4" w:space="0" w:color="auto"/>
              <w:right w:val="single" w:sz="4" w:space="0" w:color="auto"/>
            </w:tcBorders>
            <w:shd w:val="clear" w:color="auto" w:fill="auto"/>
            <w:noWrap/>
            <w:vAlign w:val="bottom"/>
            <w:hideMark/>
          </w:tcPr>
          <w:p w14:paraId="50EAC07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8E5A01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C3C7C6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377D95F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54.983</w:t>
            </w:r>
          </w:p>
        </w:tc>
        <w:tc>
          <w:tcPr>
            <w:tcW w:w="904" w:type="dxa"/>
            <w:tcBorders>
              <w:top w:val="nil"/>
              <w:left w:val="nil"/>
              <w:bottom w:val="single" w:sz="4" w:space="0" w:color="auto"/>
              <w:right w:val="single" w:sz="4" w:space="0" w:color="auto"/>
            </w:tcBorders>
            <w:shd w:val="clear" w:color="auto" w:fill="auto"/>
            <w:noWrap/>
            <w:vAlign w:val="bottom"/>
            <w:hideMark/>
          </w:tcPr>
          <w:p w14:paraId="67F026F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0314791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1946" w:type="dxa"/>
            <w:tcBorders>
              <w:top w:val="nil"/>
              <w:left w:val="nil"/>
              <w:bottom w:val="nil"/>
              <w:right w:val="nil"/>
            </w:tcBorders>
            <w:shd w:val="clear" w:color="auto" w:fill="auto"/>
            <w:noWrap/>
            <w:vAlign w:val="bottom"/>
            <w:hideMark/>
          </w:tcPr>
          <w:p w14:paraId="43768EF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B71AE1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B9F18A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127</w:t>
            </w:r>
          </w:p>
        </w:tc>
        <w:tc>
          <w:tcPr>
            <w:tcW w:w="904" w:type="dxa"/>
            <w:tcBorders>
              <w:top w:val="nil"/>
              <w:left w:val="nil"/>
              <w:bottom w:val="single" w:sz="4" w:space="0" w:color="auto"/>
              <w:right w:val="single" w:sz="4" w:space="0" w:color="auto"/>
            </w:tcBorders>
            <w:shd w:val="clear" w:color="auto" w:fill="auto"/>
            <w:noWrap/>
            <w:vAlign w:val="bottom"/>
            <w:hideMark/>
          </w:tcPr>
          <w:p w14:paraId="01813C5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5F4E3F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58.746</w:t>
            </w:r>
          </w:p>
        </w:tc>
        <w:tc>
          <w:tcPr>
            <w:tcW w:w="904" w:type="dxa"/>
            <w:tcBorders>
              <w:top w:val="nil"/>
              <w:left w:val="nil"/>
              <w:bottom w:val="single" w:sz="4" w:space="0" w:color="auto"/>
              <w:right w:val="single" w:sz="4" w:space="0" w:color="auto"/>
            </w:tcBorders>
            <w:shd w:val="clear" w:color="auto" w:fill="auto"/>
            <w:noWrap/>
            <w:vAlign w:val="bottom"/>
            <w:hideMark/>
          </w:tcPr>
          <w:p w14:paraId="2EDA7F6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0F57783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53.158</w:t>
            </w:r>
          </w:p>
        </w:tc>
        <w:tc>
          <w:tcPr>
            <w:tcW w:w="904" w:type="dxa"/>
            <w:tcBorders>
              <w:top w:val="nil"/>
              <w:left w:val="nil"/>
              <w:bottom w:val="single" w:sz="4" w:space="0" w:color="auto"/>
              <w:right w:val="single" w:sz="4" w:space="0" w:color="auto"/>
            </w:tcBorders>
            <w:shd w:val="clear" w:color="auto" w:fill="auto"/>
            <w:noWrap/>
            <w:vAlign w:val="bottom"/>
            <w:hideMark/>
          </w:tcPr>
          <w:p w14:paraId="29AB232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5716FB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1946" w:type="dxa"/>
            <w:tcBorders>
              <w:top w:val="nil"/>
              <w:left w:val="nil"/>
              <w:bottom w:val="nil"/>
              <w:right w:val="nil"/>
            </w:tcBorders>
            <w:shd w:val="clear" w:color="auto" w:fill="auto"/>
            <w:noWrap/>
            <w:vAlign w:val="bottom"/>
            <w:hideMark/>
          </w:tcPr>
          <w:p w14:paraId="0BD73DFC"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3FCC29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3313F8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128</w:t>
            </w:r>
          </w:p>
        </w:tc>
        <w:tc>
          <w:tcPr>
            <w:tcW w:w="904" w:type="dxa"/>
            <w:tcBorders>
              <w:top w:val="nil"/>
              <w:left w:val="nil"/>
              <w:bottom w:val="single" w:sz="4" w:space="0" w:color="auto"/>
              <w:right w:val="single" w:sz="4" w:space="0" w:color="auto"/>
            </w:tcBorders>
            <w:shd w:val="clear" w:color="auto" w:fill="auto"/>
            <w:noWrap/>
            <w:vAlign w:val="bottom"/>
            <w:hideMark/>
          </w:tcPr>
          <w:p w14:paraId="035F630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7D66F1D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715886F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54.016</w:t>
            </w:r>
          </w:p>
        </w:tc>
        <w:tc>
          <w:tcPr>
            <w:tcW w:w="904" w:type="dxa"/>
            <w:tcBorders>
              <w:top w:val="nil"/>
              <w:left w:val="nil"/>
              <w:bottom w:val="single" w:sz="4" w:space="0" w:color="auto"/>
              <w:right w:val="single" w:sz="4" w:space="0" w:color="auto"/>
            </w:tcBorders>
            <w:shd w:val="clear" w:color="auto" w:fill="auto"/>
            <w:noWrap/>
            <w:vAlign w:val="bottom"/>
            <w:hideMark/>
          </w:tcPr>
          <w:p w14:paraId="6C3EA50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904" w:type="dxa"/>
            <w:tcBorders>
              <w:top w:val="nil"/>
              <w:left w:val="nil"/>
              <w:bottom w:val="single" w:sz="4" w:space="0" w:color="auto"/>
              <w:right w:val="single" w:sz="4" w:space="0" w:color="auto"/>
            </w:tcBorders>
            <w:shd w:val="clear" w:color="auto" w:fill="auto"/>
            <w:noWrap/>
            <w:vAlign w:val="bottom"/>
            <w:hideMark/>
          </w:tcPr>
          <w:p w14:paraId="3A4E85D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71706F4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52.066</w:t>
            </w:r>
          </w:p>
        </w:tc>
        <w:tc>
          <w:tcPr>
            <w:tcW w:w="1946" w:type="dxa"/>
            <w:tcBorders>
              <w:top w:val="nil"/>
              <w:left w:val="nil"/>
              <w:bottom w:val="nil"/>
              <w:right w:val="nil"/>
            </w:tcBorders>
            <w:shd w:val="clear" w:color="auto" w:fill="auto"/>
            <w:noWrap/>
            <w:vAlign w:val="bottom"/>
            <w:hideMark/>
          </w:tcPr>
          <w:p w14:paraId="0169D42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6C6ECC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2C226A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129</w:t>
            </w:r>
          </w:p>
        </w:tc>
        <w:tc>
          <w:tcPr>
            <w:tcW w:w="904" w:type="dxa"/>
            <w:tcBorders>
              <w:top w:val="nil"/>
              <w:left w:val="nil"/>
              <w:bottom w:val="single" w:sz="4" w:space="0" w:color="auto"/>
              <w:right w:val="single" w:sz="4" w:space="0" w:color="auto"/>
            </w:tcBorders>
            <w:shd w:val="clear" w:color="auto" w:fill="auto"/>
            <w:noWrap/>
            <w:vAlign w:val="bottom"/>
            <w:hideMark/>
          </w:tcPr>
          <w:p w14:paraId="0D52778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2FC0C7E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1C2539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56.226</w:t>
            </w:r>
          </w:p>
        </w:tc>
        <w:tc>
          <w:tcPr>
            <w:tcW w:w="904" w:type="dxa"/>
            <w:tcBorders>
              <w:top w:val="nil"/>
              <w:left w:val="nil"/>
              <w:bottom w:val="single" w:sz="4" w:space="0" w:color="auto"/>
              <w:right w:val="single" w:sz="4" w:space="0" w:color="auto"/>
            </w:tcBorders>
            <w:shd w:val="clear" w:color="auto" w:fill="auto"/>
            <w:noWrap/>
            <w:vAlign w:val="bottom"/>
            <w:hideMark/>
          </w:tcPr>
          <w:p w14:paraId="670DC42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904" w:type="dxa"/>
            <w:tcBorders>
              <w:top w:val="nil"/>
              <w:left w:val="nil"/>
              <w:bottom w:val="single" w:sz="4" w:space="0" w:color="auto"/>
              <w:right w:val="single" w:sz="4" w:space="0" w:color="auto"/>
            </w:tcBorders>
            <w:shd w:val="clear" w:color="auto" w:fill="auto"/>
            <w:noWrap/>
            <w:vAlign w:val="bottom"/>
            <w:hideMark/>
          </w:tcPr>
          <w:p w14:paraId="162B3FD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43D315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52.083</w:t>
            </w:r>
          </w:p>
        </w:tc>
        <w:tc>
          <w:tcPr>
            <w:tcW w:w="1946" w:type="dxa"/>
            <w:tcBorders>
              <w:top w:val="nil"/>
              <w:left w:val="nil"/>
              <w:bottom w:val="nil"/>
              <w:right w:val="nil"/>
            </w:tcBorders>
            <w:shd w:val="clear" w:color="auto" w:fill="auto"/>
            <w:noWrap/>
            <w:vAlign w:val="bottom"/>
            <w:hideMark/>
          </w:tcPr>
          <w:p w14:paraId="0A9A915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C19563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87597C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130</w:t>
            </w:r>
          </w:p>
        </w:tc>
        <w:tc>
          <w:tcPr>
            <w:tcW w:w="904" w:type="dxa"/>
            <w:tcBorders>
              <w:top w:val="nil"/>
              <w:left w:val="nil"/>
              <w:bottom w:val="single" w:sz="4" w:space="0" w:color="auto"/>
              <w:right w:val="single" w:sz="4" w:space="0" w:color="auto"/>
            </w:tcBorders>
            <w:shd w:val="clear" w:color="auto" w:fill="auto"/>
            <w:noWrap/>
            <w:vAlign w:val="bottom"/>
            <w:hideMark/>
          </w:tcPr>
          <w:p w14:paraId="524BB9A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55.244</w:t>
            </w:r>
          </w:p>
        </w:tc>
        <w:tc>
          <w:tcPr>
            <w:tcW w:w="904" w:type="dxa"/>
            <w:tcBorders>
              <w:top w:val="nil"/>
              <w:left w:val="nil"/>
              <w:bottom w:val="single" w:sz="4" w:space="0" w:color="auto"/>
              <w:right w:val="single" w:sz="4" w:space="0" w:color="auto"/>
            </w:tcBorders>
            <w:shd w:val="clear" w:color="auto" w:fill="auto"/>
            <w:noWrap/>
            <w:vAlign w:val="bottom"/>
            <w:hideMark/>
          </w:tcPr>
          <w:p w14:paraId="3E1F17B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9DD703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F27CD2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904" w:type="dxa"/>
            <w:tcBorders>
              <w:top w:val="nil"/>
              <w:left w:val="nil"/>
              <w:bottom w:val="single" w:sz="4" w:space="0" w:color="auto"/>
              <w:right w:val="single" w:sz="4" w:space="0" w:color="auto"/>
            </w:tcBorders>
            <w:shd w:val="clear" w:color="auto" w:fill="auto"/>
            <w:noWrap/>
            <w:vAlign w:val="bottom"/>
            <w:hideMark/>
          </w:tcPr>
          <w:p w14:paraId="44F6D1D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55.886</w:t>
            </w:r>
          </w:p>
        </w:tc>
        <w:tc>
          <w:tcPr>
            <w:tcW w:w="904" w:type="dxa"/>
            <w:tcBorders>
              <w:top w:val="nil"/>
              <w:left w:val="nil"/>
              <w:bottom w:val="single" w:sz="4" w:space="0" w:color="auto"/>
              <w:right w:val="single" w:sz="4" w:space="0" w:color="auto"/>
            </w:tcBorders>
            <w:shd w:val="clear" w:color="auto" w:fill="auto"/>
            <w:noWrap/>
            <w:vAlign w:val="bottom"/>
            <w:hideMark/>
          </w:tcPr>
          <w:p w14:paraId="4BDE3D6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52.114</w:t>
            </w:r>
          </w:p>
        </w:tc>
        <w:tc>
          <w:tcPr>
            <w:tcW w:w="1946" w:type="dxa"/>
            <w:tcBorders>
              <w:top w:val="nil"/>
              <w:left w:val="nil"/>
              <w:bottom w:val="nil"/>
              <w:right w:val="nil"/>
            </w:tcBorders>
            <w:shd w:val="clear" w:color="auto" w:fill="auto"/>
            <w:noWrap/>
            <w:vAlign w:val="bottom"/>
            <w:hideMark/>
          </w:tcPr>
          <w:p w14:paraId="27E5F5F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40B0C2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30CC41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131</w:t>
            </w:r>
          </w:p>
        </w:tc>
        <w:tc>
          <w:tcPr>
            <w:tcW w:w="904" w:type="dxa"/>
            <w:tcBorders>
              <w:top w:val="nil"/>
              <w:left w:val="nil"/>
              <w:bottom w:val="single" w:sz="4" w:space="0" w:color="auto"/>
              <w:right w:val="single" w:sz="4" w:space="0" w:color="auto"/>
            </w:tcBorders>
            <w:shd w:val="clear" w:color="auto" w:fill="auto"/>
            <w:noWrap/>
            <w:vAlign w:val="bottom"/>
            <w:hideMark/>
          </w:tcPr>
          <w:p w14:paraId="0BCB468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57.525</w:t>
            </w:r>
          </w:p>
        </w:tc>
        <w:tc>
          <w:tcPr>
            <w:tcW w:w="904" w:type="dxa"/>
            <w:tcBorders>
              <w:top w:val="nil"/>
              <w:left w:val="nil"/>
              <w:bottom w:val="single" w:sz="4" w:space="0" w:color="auto"/>
              <w:right w:val="single" w:sz="4" w:space="0" w:color="auto"/>
            </w:tcBorders>
            <w:shd w:val="clear" w:color="auto" w:fill="auto"/>
            <w:noWrap/>
            <w:vAlign w:val="bottom"/>
            <w:hideMark/>
          </w:tcPr>
          <w:p w14:paraId="105C736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5C49E5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2FA907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904" w:type="dxa"/>
            <w:tcBorders>
              <w:top w:val="nil"/>
              <w:left w:val="nil"/>
              <w:bottom w:val="single" w:sz="4" w:space="0" w:color="auto"/>
              <w:right w:val="single" w:sz="4" w:space="0" w:color="auto"/>
            </w:tcBorders>
            <w:shd w:val="clear" w:color="auto" w:fill="auto"/>
            <w:noWrap/>
            <w:vAlign w:val="bottom"/>
            <w:hideMark/>
          </w:tcPr>
          <w:p w14:paraId="01844B6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55.362</w:t>
            </w:r>
          </w:p>
        </w:tc>
        <w:tc>
          <w:tcPr>
            <w:tcW w:w="904" w:type="dxa"/>
            <w:tcBorders>
              <w:top w:val="nil"/>
              <w:left w:val="nil"/>
              <w:bottom w:val="single" w:sz="4" w:space="0" w:color="auto"/>
              <w:right w:val="single" w:sz="4" w:space="0" w:color="auto"/>
            </w:tcBorders>
            <w:shd w:val="clear" w:color="auto" w:fill="auto"/>
            <w:noWrap/>
            <w:vAlign w:val="bottom"/>
            <w:hideMark/>
          </w:tcPr>
          <w:p w14:paraId="4B4D1D5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52.638</w:t>
            </w:r>
          </w:p>
        </w:tc>
        <w:tc>
          <w:tcPr>
            <w:tcW w:w="1946" w:type="dxa"/>
            <w:tcBorders>
              <w:top w:val="nil"/>
              <w:left w:val="nil"/>
              <w:bottom w:val="nil"/>
              <w:right w:val="nil"/>
            </w:tcBorders>
            <w:shd w:val="clear" w:color="auto" w:fill="auto"/>
            <w:noWrap/>
            <w:vAlign w:val="bottom"/>
            <w:hideMark/>
          </w:tcPr>
          <w:p w14:paraId="686B363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197D1B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6DF2FC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132</w:t>
            </w:r>
          </w:p>
        </w:tc>
        <w:tc>
          <w:tcPr>
            <w:tcW w:w="904" w:type="dxa"/>
            <w:tcBorders>
              <w:top w:val="nil"/>
              <w:left w:val="nil"/>
              <w:bottom w:val="single" w:sz="4" w:space="0" w:color="auto"/>
              <w:right w:val="single" w:sz="4" w:space="0" w:color="auto"/>
            </w:tcBorders>
            <w:shd w:val="clear" w:color="auto" w:fill="auto"/>
            <w:noWrap/>
            <w:vAlign w:val="bottom"/>
            <w:hideMark/>
          </w:tcPr>
          <w:p w14:paraId="1B37E07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9AA4D6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567658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0AAE6CA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52.414</w:t>
            </w:r>
          </w:p>
        </w:tc>
        <w:tc>
          <w:tcPr>
            <w:tcW w:w="904" w:type="dxa"/>
            <w:tcBorders>
              <w:top w:val="nil"/>
              <w:left w:val="nil"/>
              <w:bottom w:val="single" w:sz="4" w:space="0" w:color="auto"/>
              <w:right w:val="single" w:sz="4" w:space="0" w:color="auto"/>
            </w:tcBorders>
            <w:shd w:val="clear" w:color="auto" w:fill="auto"/>
            <w:noWrap/>
            <w:vAlign w:val="bottom"/>
            <w:hideMark/>
          </w:tcPr>
          <w:p w14:paraId="608ABAC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452D218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1946" w:type="dxa"/>
            <w:tcBorders>
              <w:top w:val="nil"/>
              <w:left w:val="nil"/>
              <w:bottom w:val="nil"/>
              <w:right w:val="nil"/>
            </w:tcBorders>
            <w:shd w:val="clear" w:color="auto" w:fill="auto"/>
            <w:noWrap/>
            <w:vAlign w:val="bottom"/>
            <w:hideMark/>
          </w:tcPr>
          <w:p w14:paraId="6F6C878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86B9D9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855D9A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133</w:t>
            </w:r>
          </w:p>
        </w:tc>
        <w:tc>
          <w:tcPr>
            <w:tcW w:w="904" w:type="dxa"/>
            <w:tcBorders>
              <w:top w:val="nil"/>
              <w:left w:val="nil"/>
              <w:bottom w:val="single" w:sz="4" w:space="0" w:color="auto"/>
              <w:right w:val="single" w:sz="4" w:space="0" w:color="auto"/>
            </w:tcBorders>
            <w:shd w:val="clear" w:color="auto" w:fill="auto"/>
            <w:noWrap/>
            <w:vAlign w:val="bottom"/>
            <w:hideMark/>
          </w:tcPr>
          <w:p w14:paraId="008C035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669A78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E4CCE5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57.182</w:t>
            </w:r>
          </w:p>
        </w:tc>
        <w:tc>
          <w:tcPr>
            <w:tcW w:w="904" w:type="dxa"/>
            <w:tcBorders>
              <w:top w:val="nil"/>
              <w:left w:val="nil"/>
              <w:bottom w:val="single" w:sz="4" w:space="0" w:color="auto"/>
              <w:right w:val="single" w:sz="4" w:space="0" w:color="auto"/>
            </w:tcBorders>
            <w:shd w:val="clear" w:color="auto" w:fill="auto"/>
            <w:noWrap/>
            <w:vAlign w:val="bottom"/>
            <w:hideMark/>
          </w:tcPr>
          <w:p w14:paraId="1394E5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522E207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4EA0D02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53.365</w:t>
            </w:r>
          </w:p>
        </w:tc>
        <w:tc>
          <w:tcPr>
            <w:tcW w:w="1946" w:type="dxa"/>
            <w:tcBorders>
              <w:top w:val="nil"/>
              <w:left w:val="nil"/>
              <w:bottom w:val="nil"/>
              <w:right w:val="nil"/>
            </w:tcBorders>
            <w:shd w:val="clear" w:color="auto" w:fill="auto"/>
            <w:noWrap/>
            <w:vAlign w:val="bottom"/>
            <w:hideMark/>
          </w:tcPr>
          <w:p w14:paraId="0A5EF86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D0908E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38AA4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134</w:t>
            </w:r>
          </w:p>
        </w:tc>
        <w:tc>
          <w:tcPr>
            <w:tcW w:w="904" w:type="dxa"/>
            <w:tcBorders>
              <w:top w:val="nil"/>
              <w:left w:val="nil"/>
              <w:bottom w:val="single" w:sz="4" w:space="0" w:color="auto"/>
              <w:right w:val="single" w:sz="4" w:space="0" w:color="auto"/>
            </w:tcBorders>
            <w:shd w:val="clear" w:color="auto" w:fill="auto"/>
            <w:noWrap/>
            <w:vAlign w:val="bottom"/>
            <w:hideMark/>
          </w:tcPr>
          <w:p w14:paraId="08CEA34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A59905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5903150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57.883</w:t>
            </w:r>
          </w:p>
        </w:tc>
        <w:tc>
          <w:tcPr>
            <w:tcW w:w="904" w:type="dxa"/>
            <w:tcBorders>
              <w:top w:val="nil"/>
              <w:left w:val="nil"/>
              <w:bottom w:val="single" w:sz="4" w:space="0" w:color="auto"/>
              <w:right w:val="single" w:sz="4" w:space="0" w:color="auto"/>
            </w:tcBorders>
            <w:shd w:val="clear" w:color="auto" w:fill="auto"/>
            <w:noWrap/>
            <w:vAlign w:val="bottom"/>
            <w:hideMark/>
          </w:tcPr>
          <w:p w14:paraId="664A62A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4EB80BA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05A3846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6D1AED2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DAA053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EA732A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135</w:t>
            </w:r>
          </w:p>
        </w:tc>
        <w:tc>
          <w:tcPr>
            <w:tcW w:w="904" w:type="dxa"/>
            <w:tcBorders>
              <w:top w:val="nil"/>
              <w:left w:val="nil"/>
              <w:bottom w:val="single" w:sz="4" w:space="0" w:color="auto"/>
              <w:right w:val="single" w:sz="4" w:space="0" w:color="auto"/>
            </w:tcBorders>
            <w:shd w:val="clear" w:color="auto" w:fill="auto"/>
            <w:noWrap/>
            <w:vAlign w:val="bottom"/>
            <w:hideMark/>
          </w:tcPr>
          <w:p w14:paraId="0F4EF50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6319F40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75B3105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57.031</w:t>
            </w:r>
          </w:p>
        </w:tc>
        <w:tc>
          <w:tcPr>
            <w:tcW w:w="904" w:type="dxa"/>
            <w:tcBorders>
              <w:top w:val="nil"/>
              <w:left w:val="nil"/>
              <w:bottom w:val="single" w:sz="4" w:space="0" w:color="auto"/>
              <w:right w:val="single" w:sz="4" w:space="0" w:color="auto"/>
            </w:tcBorders>
            <w:shd w:val="clear" w:color="auto" w:fill="auto"/>
            <w:noWrap/>
            <w:vAlign w:val="bottom"/>
            <w:hideMark/>
          </w:tcPr>
          <w:p w14:paraId="718615F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4004BE0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10FA052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62A48C5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5BA628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E9797C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136</w:t>
            </w:r>
          </w:p>
        </w:tc>
        <w:tc>
          <w:tcPr>
            <w:tcW w:w="904" w:type="dxa"/>
            <w:tcBorders>
              <w:top w:val="nil"/>
              <w:left w:val="nil"/>
              <w:bottom w:val="single" w:sz="4" w:space="0" w:color="auto"/>
              <w:right w:val="single" w:sz="4" w:space="0" w:color="auto"/>
            </w:tcBorders>
            <w:shd w:val="clear" w:color="auto" w:fill="auto"/>
            <w:noWrap/>
            <w:vAlign w:val="bottom"/>
            <w:hideMark/>
          </w:tcPr>
          <w:p w14:paraId="78A683F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56.617</w:t>
            </w:r>
          </w:p>
        </w:tc>
        <w:tc>
          <w:tcPr>
            <w:tcW w:w="904" w:type="dxa"/>
            <w:tcBorders>
              <w:top w:val="nil"/>
              <w:left w:val="nil"/>
              <w:bottom w:val="single" w:sz="4" w:space="0" w:color="auto"/>
              <w:right w:val="single" w:sz="4" w:space="0" w:color="auto"/>
            </w:tcBorders>
            <w:shd w:val="clear" w:color="auto" w:fill="auto"/>
            <w:noWrap/>
            <w:vAlign w:val="bottom"/>
            <w:hideMark/>
          </w:tcPr>
          <w:p w14:paraId="27223A7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729612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98146C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2F83F9F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75190D6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5D24541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EA05517"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A619D2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137</w:t>
            </w:r>
          </w:p>
        </w:tc>
        <w:tc>
          <w:tcPr>
            <w:tcW w:w="904" w:type="dxa"/>
            <w:tcBorders>
              <w:top w:val="nil"/>
              <w:left w:val="nil"/>
              <w:bottom w:val="single" w:sz="4" w:space="0" w:color="auto"/>
              <w:right w:val="single" w:sz="4" w:space="0" w:color="auto"/>
            </w:tcBorders>
            <w:shd w:val="clear" w:color="auto" w:fill="auto"/>
            <w:noWrap/>
            <w:vAlign w:val="bottom"/>
            <w:hideMark/>
          </w:tcPr>
          <w:p w14:paraId="3DD75E3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55.143</w:t>
            </w:r>
          </w:p>
        </w:tc>
        <w:tc>
          <w:tcPr>
            <w:tcW w:w="904" w:type="dxa"/>
            <w:tcBorders>
              <w:top w:val="nil"/>
              <w:left w:val="nil"/>
              <w:bottom w:val="single" w:sz="4" w:space="0" w:color="auto"/>
              <w:right w:val="single" w:sz="4" w:space="0" w:color="auto"/>
            </w:tcBorders>
            <w:shd w:val="clear" w:color="auto" w:fill="auto"/>
            <w:noWrap/>
            <w:vAlign w:val="bottom"/>
            <w:hideMark/>
          </w:tcPr>
          <w:p w14:paraId="0A45B3B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F0CC14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1760CC4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77891B0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61DDC81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1451BBD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1E9549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7ED245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138</w:t>
            </w:r>
          </w:p>
        </w:tc>
        <w:tc>
          <w:tcPr>
            <w:tcW w:w="904" w:type="dxa"/>
            <w:tcBorders>
              <w:top w:val="nil"/>
              <w:left w:val="nil"/>
              <w:bottom w:val="single" w:sz="4" w:space="0" w:color="auto"/>
              <w:right w:val="single" w:sz="4" w:space="0" w:color="auto"/>
            </w:tcBorders>
            <w:shd w:val="clear" w:color="auto" w:fill="auto"/>
            <w:noWrap/>
            <w:vAlign w:val="bottom"/>
            <w:hideMark/>
          </w:tcPr>
          <w:p w14:paraId="2F98781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0744240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5C2735A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7420CF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6BF8AD5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3E1E7FE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55.990</w:t>
            </w:r>
          </w:p>
        </w:tc>
        <w:tc>
          <w:tcPr>
            <w:tcW w:w="1946" w:type="dxa"/>
            <w:tcBorders>
              <w:top w:val="nil"/>
              <w:left w:val="nil"/>
              <w:bottom w:val="nil"/>
              <w:right w:val="nil"/>
            </w:tcBorders>
            <w:shd w:val="clear" w:color="auto" w:fill="auto"/>
            <w:noWrap/>
            <w:vAlign w:val="bottom"/>
            <w:hideMark/>
          </w:tcPr>
          <w:p w14:paraId="331D9BA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F14990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F5F3FE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139</w:t>
            </w:r>
          </w:p>
        </w:tc>
        <w:tc>
          <w:tcPr>
            <w:tcW w:w="904" w:type="dxa"/>
            <w:tcBorders>
              <w:top w:val="nil"/>
              <w:left w:val="nil"/>
              <w:bottom w:val="single" w:sz="4" w:space="0" w:color="auto"/>
              <w:right w:val="single" w:sz="4" w:space="0" w:color="auto"/>
            </w:tcBorders>
            <w:shd w:val="clear" w:color="auto" w:fill="auto"/>
            <w:noWrap/>
            <w:vAlign w:val="bottom"/>
            <w:hideMark/>
          </w:tcPr>
          <w:p w14:paraId="442293D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7D8DCD8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56.935</w:t>
            </w:r>
          </w:p>
        </w:tc>
        <w:tc>
          <w:tcPr>
            <w:tcW w:w="904" w:type="dxa"/>
            <w:tcBorders>
              <w:top w:val="nil"/>
              <w:left w:val="nil"/>
              <w:bottom w:val="single" w:sz="4" w:space="0" w:color="auto"/>
              <w:right w:val="single" w:sz="4" w:space="0" w:color="auto"/>
            </w:tcBorders>
            <w:shd w:val="clear" w:color="auto" w:fill="auto"/>
            <w:noWrap/>
            <w:vAlign w:val="bottom"/>
            <w:hideMark/>
          </w:tcPr>
          <w:p w14:paraId="4411D57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7B37C73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25E1982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A9661F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57.788</w:t>
            </w:r>
          </w:p>
        </w:tc>
        <w:tc>
          <w:tcPr>
            <w:tcW w:w="1946" w:type="dxa"/>
            <w:tcBorders>
              <w:top w:val="nil"/>
              <w:left w:val="nil"/>
              <w:bottom w:val="nil"/>
              <w:right w:val="nil"/>
            </w:tcBorders>
            <w:shd w:val="clear" w:color="auto" w:fill="auto"/>
            <w:noWrap/>
            <w:vAlign w:val="bottom"/>
            <w:hideMark/>
          </w:tcPr>
          <w:p w14:paraId="56380B4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9ADEA7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43E6D6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140</w:t>
            </w:r>
          </w:p>
        </w:tc>
        <w:tc>
          <w:tcPr>
            <w:tcW w:w="904" w:type="dxa"/>
            <w:tcBorders>
              <w:top w:val="nil"/>
              <w:left w:val="nil"/>
              <w:bottom w:val="single" w:sz="4" w:space="0" w:color="auto"/>
              <w:right w:val="single" w:sz="4" w:space="0" w:color="auto"/>
            </w:tcBorders>
            <w:shd w:val="clear" w:color="auto" w:fill="auto"/>
            <w:noWrap/>
            <w:vAlign w:val="bottom"/>
            <w:hideMark/>
          </w:tcPr>
          <w:p w14:paraId="39F8623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55.161</w:t>
            </w:r>
          </w:p>
        </w:tc>
        <w:tc>
          <w:tcPr>
            <w:tcW w:w="904" w:type="dxa"/>
            <w:tcBorders>
              <w:top w:val="nil"/>
              <w:left w:val="nil"/>
              <w:bottom w:val="single" w:sz="4" w:space="0" w:color="auto"/>
              <w:right w:val="single" w:sz="4" w:space="0" w:color="auto"/>
            </w:tcBorders>
            <w:shd w:val="clear" w:color="auto" w:fill="auto"/>
            <w:noWrap/>
            <w:vAlign w:val="bottom"/>
            <w:hideMark/>
          </w:tcPr>
          <w:p w14:paraId="08DD72C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28869F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655513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54.502</w:t>
            </w:r>
          </w:p>
        </w:tc>
        <w:tc>
          <w:tcPr>
            <w:tcW w:w="904" w:type="dxa"/>
            <w:tcBorders>
              <w:top w:val="nil"/>
              <w:left w:val="nil"/>
              <w:bottom w:val="single" w:sz="4" w:space="0" w:color="auto"/>
              <w:right w:val="single" w:sz="4" w:space="0" w:color="auto"/>
            </w:tcBorders>
            <w:shd w:val="clear" w:color="auto" w:fill="auto"/>
            <w:noWrap/>
            <w:vAlign w:val="bottom"/>
            <w:hideMark/>
          </w:tcPr>
          <w:p w14:paraId="02197ED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54.727</w:t>
            </w:r>
          </w:p>
        </w:tc>
        <w:tc>
          <w:tcPr>
            <w:tcW w:w="904" w:type="dxa"/>
            <w:tcBorders>
              <w:top w:val="nil"/>
              <w:left w:val="nil"/>
              <w:bottom w:val="single" w:sz="4" w:space="0" w:color="auto"/>
              <w:right w:val="single" w:sz="4" w:space="0" w:color="auto"/>
            </w:tcBorders>
            <w:shd w:val="clear" w:color="auto" w:fill="auto"/>
            <w:noWrap/>
            <w:vAlign w:val="bottom"/>
            <w:hideMark/>
          </w:tcPr>
          <w:p w14:paraId="2723484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0F99C88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8CF0FA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00966E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141</w:t>
            </w:r>
          </w:p>
        </w:tc>
        <w:tc>
          <w:tcPr>
            <w:tcW w:w="904" w:type="dxa"/>
            <w:tcBorders>
              <w:top w:val="nil"/>
              <w:left w:val="nil"/>
              <w:bottom w:val="single" w:sz="4" w:space="0" w:color="auto"/>
              <w:right w:val="single" w:sz="4" w:space="0" w:color="auto"/>
            </w:tcBorders>
            <w:shd w:val="clear" w:color="auto" w:fill="auto"/>
            <w:noWrap/>
            <w:vAlign w:val="bottom"/>
            <w:hideMark/>
          </w:tcPr>
          <w:p w14:paraId="43BE375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56.825</w:t>
            </w:r>
          </w:p>
        </w:tc>
        <w:tc>
          <w:tcPr>
            <w:tcW w:w="904" w:type="dxa"/>
            <w:tcBorders>
              <w:top w:val="nil"/>
              <w:left w:val="nil"/>
              <w:bottom w:val="single" w:sz="4" w:space="0" w:color="auto"/>
              <w:right w:val="single" w:sz="4" w:space="0" w:color="auto"/>
            </w:tcBorders>
            <w:shd w:val="clear" w:color="auto" w:fill="auto"/>
            <w:noWrap/>
            <w:vAlign w:val="bottom"/>
            <w:hideMark/>
          </w:tcPr>
          <w:p w14:paraId="735DC2A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6F011D1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18C4E90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552C488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1EE7F3A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437A605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401130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A981A9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142</w:t>
            </w:r>
          </w:p>
        </w:tc>
        <w:tc>
          <w:tcPr>
            <w:tcW w:w="904" w:type="dxa"/>
            <w:tcBorders>
              <w:top w:val="nil"/>
              <w:left w:val="nil"/>
              <w:bottom w:val="single" w:sz="4" w:space="0" w:color="auto"/>
              <w:right w:val="single" w:sz="4" w:space="0" w:color="auto"/>
            </w:tcBorders>
            <w:shd w:val="clear" w:color="auto" w:fill="auto"/>
            <w:noWrap/>
            <w:vAlign w:val="bottom"/>
            <w:hideMark/>
          </w:tcPr>
          <w:p w14:paraId="483FD63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57.958</w:t>
            </w:r>
          </w:p>
        </w:tc>
        <w:tc>
          <w:tcPr>
            <w:tcW w:w="904" w:type="dxa"/>
            <w:tcBorders>
              <w:top w:val="nil"/>
              <w:left w:val="nil"/>
              <w:bottom w:val="single" w:sz="4" w:space="0" w:color="auto"/>
              <w:right w:val="single" w:sz="4" w:space="0" w:color="auto"/>
            </w:tcBorders>
            <w:shd w:val="clear" w:color="auto" w:fill="auto"/>
            <w:noWrap/>
            <w:vAlign w:val="bottom"/>
            <w:hideMark/>
          </w:tcPr>
          <w:p w14:paraId="5408BB0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59.748</w:t>
            </w:r>
          </w:p>
        </w:tc>
        <w:tc>
          <w:tcPr>
            <w:tcW w:w="904" w:type="dxa"/>
            <w:tcBorders>
              <w:top w:val="nil"/>
              <w:left w:val="nil"/>
              <w:bottom w:val="single" w:sz="4" w:space="0" w:color="auto"/>
              <w:right w:val="single" w:sz="4" w:space="0" w:color="auto"/>
            </w:tcBorders>
            <w:shd w:val="clear" w:color="auto" w:fill="auto"/>
            <w:noWrap/>
            <w:vAlign w:val="bottom"/>
            <w:hideMark/>
          </w:tcPr>
          <w:p w14:paraId="6DFC530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040A696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E7A1B8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54.598</w:t>
            </w:r>
          </w:p>
        </w:tc>
        <w:tc>
          <w:tcPr>
            <w:tcW w:w="904" w:type="dxa"/>
            <w:tcBorders>
              <w:top w:val="nil"/>
              <w:left w:val="nil"/>
              <w:bottom w:val="single" w:sz="4" w:space="0" w:color="auto"/>
              <w:right w:val="single" w:sz="4" w:space="0" w:color="auto"/>
            </w:tcBorders>
            <w:shd w:val="clear" w:color="auto" w:fill="auto"/>
            <w:noWrap/>
            <w:vAlign w:val="bottom"/>
            <w:hideMark/>
          </w:tcPr>
          <w:p w14:paraId="4D7F3A6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24F13167"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2AE4D5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844193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143</w:t>
            </w:r>
          </w:p>
        </w:tc>
        <w:tc>
          <w:tcPr>
            <w:tcW w:w="904" w:type="dxa"/>
            <w:tcBorders>
              <w:top w:val="nil"/>
              <w:left w:val="nil"/>
              <w:bottom w:val="single" w:sz="4" w:space="0" w:color="auto"/>
              <w:right w:val="single" w:sz="4" w:space="0" w:color="auto"/>
            </w:tcBorders>
            <w:shd w:val="clear" w:color="auto" w:fill="auto"/>
            <w:noWrap/>
            <w:vAlign w:val="bottom"/>
            <w:hideMark/>
          </w:tcPr>
          <w:p w14:paraId="7787F76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362AC22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61.634</w:t>
            </w:r>
          </w:p>
        </w:tc>
        <w:tc>
          <w:tcPr>
            <w:tcW w:w="904" w:type="dxa"/>
            <w:tcBorders>
              <w:top w:val="nil"/>
              <w:left w:val="nil"/>
              <w:bottom w:val="single" w:sz="4" w:space="0" w:color="auto"/>
              <w:right w:val="single" w:sz="4" w:space="0" w:color="auto"/>
            </w:tcBorders>
            <w:shd w:val="clear" w:color="auto" w:fill="auto"/>
            <w:noWrap/>
            <w:vAlign w:val="bottom"/>
            <w:hideMark/>
          </w:tcPr>
          <w:p w14:paraId="2167DBC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867AB0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C17F7F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54.798</w:t>
            </w:r>
          </w:p>
        </w:tc>
        <w:tc>
          <w:tcPr>
            <w:tcW w:w="904" w:type="dxa"/>
            <w:tcBorders>
              <w:top w:val="nil"/>
              <w:left w:val="nil"/>
              <w:bottom w:val="single" w:sz="4" w:space="0" w:color="auto"/>
              <w:right w:val="single" w:sz="4" w:space="0" w:color="auto"/>
            </w:tcBorders>
            <w:shd w:val="clear" w:color="auto" w:fill="auto"/>
            <w:noWrap/>
            <w:vAlign w:val="bottom"/>
            <w:hideMark/>
          </w:tcPr>
          <w:p w14:paraId="2E8FA35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5779B1F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BFD1BB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3DADEC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144</w:t>
            </w:r>
          </w:p>
        </w:tc>
        <w:tc>
          <w:tcPr>
            <w:tcW w:w="904" w:type="dxa"/>
            <w:tcBorders>
              <w:top w:val="nil"/>
              <w:left w:val="nil"/>
              <w:bottom w:val="single" w:sz="4" w:space="0" w:color="auto"/>
              <w:right w:val="single" w:sz="4" w:space="0" w:color="auto"/>
            </w:tcBorders>
            <w:shd w:val="clear" w:color="auto" w:fill="auto"/>
            <w:noWrap/>
            <w:vAlign w:val="bottom"/>
            <w:hideMark/>
          </w:tcPr>
          <w:p w14:paraId="1EA2153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B15E34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60.302</w:t>
            </w:r>
          </w:p>
        </w:tc>
        <w:tc>
          <w:tcPr>
            <w:tcW w:w="904" w:type="dxa"/>
            <w:tcBorders>
              <w:top w:val="nil"/>
              <w:left w:val="nil"/>
              <w:bottom w:val="single" w:sz="4" w:space="0" w:color="auto"/>
              <w:right w:val="single" w:sz="4" w:space="0" w:color="auto"/>
            </w:tcBorders>
            <w:shd w:val="clear" w:color="auto" w:fill="auto"/>
            <w:noWrap/>
            <w:vAlign w:val="bottom"/>
            <w:hideMark/>
          </w:tcPr>
          <w:p w14:paraId="21BC3ED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DC4364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7B62BF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54.550</w:t>
            </w:r>
          </w:p>
        </w:tc>
        <w:tc>
          <w:tcPr>
            <w:tcW w:w="904" w:type="dxa"/>
            <w:tcBorders>
              <w:top w:val="nil"/>
              <w:left w:val="nil"/>
              <w:bottom w:val="single" w:sz="4" w:space="0" w:color="auto"/>
              <w:right w:val="single" w:sz="4" w:space="0" w:color="auto"/>
            </w:tcBorders>
            <w:shd w:val="clear" w:color="auto" w:fill="auto"/>
            <w:noWrap/>
            <w:vAlign w:val="bottom"/>
            <w:hideMark/>
          </w:tcPr>
          <w:p w14:paraId="165286D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770C3FE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8A75D2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81C694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145</w:t>
            </w:r>
          </w:p>
        </w:tc>
        <w:tc>
          <w:tcPr>
            <w:tcW w:w="904" w:type="dxa"/>
            <w:tcBorders>
              <w:top w:val="nil"/>
              <w:left w:val="nil"/>
              <w:bottom w:val="single" w:sz="4" w:space="0" w:color="auto"/>
              <w:right w:val="single" w:sz="4" w:space="0" w:color="auto"/>
            </w:tcBorders>
            <w:shd w:val="clear" w:color="auto" w:fill="auto"/>
            <w:noWrap/>
            <w:vAlign w:val="bottom"/>
            <w:hideMark/>
          </w:tcPr>
          <w:p w14:paraId="64FFE56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8101F4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59.027</w:t>
            </w:r>
          </w:p>
        </w:tc>
        <w:tc>
          <w:tcPr>
            <w:tcW w:w="904" w:type="dxa"/>
            <w:tcBorders>
              <w:top w:val="nil"/>
              <w:left w:val="nil"/>
              <w:bottom w:val="single" w:sz="4" w:space="0" w:color="auto"/>
              <w:right w:val="single" w:sz="4" w:space="0" w:color="auto"/>
            </w:tcBorders>
            <w:shd w:val="clear" w:color="auto" w:fill="auto"/>
            <w:noWrap/>
            <w:vAlign w:val="bottom"/>
            <w:hideMark/>
          </w:tcPr>
          <w:p w14:paraId="2D8D64A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45B1D6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5684D8B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54.499</w:t>
            </w:r>
          </w:p>
        </w:tc>
        <w:tc>
          <w:tcPr>
            <w:tcW w:w="904" w:type="dxa"/>
            <w:tcBorders>
              <w:top w:val="nil"/>
              <w:left w:val="nil"/>
              <w:bottom w:val="single" w:sz="4" w:space="0" w:color="auto"/>
              <w:right w:val="single" w:sz="4" w:space="0" w:color="auto"/>
            </w:tcBorders>
            <w:shd w:val="clear" w:color="auto" w:fill="auto"/>
            <w:noWrap/>
            <w:vAlign w:val="bottom"/>
            <w:hideMark/>
          </w:tcPr>
          <w:p w14:paraId="417B5A9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345053B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37E076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7AE8A2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146</w:t>
            </w:r>
          </w:p>
        </w:tc>
        <w:tc>
          <w:tcPr>
            <w:tcW w:w="904" w:type="dxa"/>
            <w:tcBorders>
              <w:top w:val="nil"/>
              <w:left w:val="nil"/>
              <w:bottom w:val="single" w:sz="4" w:space="0" w:color="auto"/>
              <w:right w:val="single" w:sz="4" w:space="0" w:color="auto"/>
            </w:tcBorders>
            <w:shd w:val="clear" w:color="auto" w:fill="auto"/>
            <w:noWrap/>
            <w:vAlign w:val="bottom"/>
            <w:hideMark/>
          </w:tcPr>
          <w:p w14:paraId="1DF799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3EC38DC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6F22007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57.503</w:t>
            </w:r>
          </w:p>
        </w:tc>
        <w:tc>
          <w:tcPr>
            <w:tcW w:w="904" w:type="dxa"/>
            <w:tcBorders>
              <w:top w:val="nil"/>
              <w:left w:val="nil"/>
              <w:bottom w:val="single" w:sz="4" w:space="0" w:color="auto"/>
              <w:right w:val="single" w:sz="4" w:space="0" w:color="auto"/>
            </w:tcBorders>
            <w:shd w:val="clear" w:color="auto" w:fill="auto"/>
            <w:noWrap/>
            <w:vAlign w:val="bottom"/>
            <w:hideMark/>
          </w:tcPr>
          <w:p w14:paraId="067825B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A4C246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54.838</w:t>
            </w:r>
          </w:p>
        </w:tc>
        <w:tc>
          <w:tcPr>
            <w:tcW w:w="904" w:type="dxa"/>
            <w:tcBorders>
              <w:top w:val="nil"/>
              <w:left w:val="nil"/>
              <w:bottom w:val="single" w:sz="4" w:space="0" w:color="auto"/>
              <w:right w:val="single" w:sz="4" w:space="0" w:color="auto"/>
            </w:tcBorders>
            <w:shd w:val="clear" w:color="auto" w:fill="auto"/>
            <w:noWrap/>
            <w:vAlign w:val="bottom"/>
            <w:hideMark/>
          </w:tcPr>
          <w:p w14:paraId="661DDA2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57.502</w:t>
            </w:r>
          </w:p>
        </w:tc>
        <w:tc>
          <w:tcPr>
            <w:tcW w:w="1946" w:type="dxa"/>
            <w:tcBorders>
              <w:top w:val="nil"/>
              <w:left w:val="nil"/>
              <w:bottom w:val="nil"/>
              <w:right w:val="nil"/>
            </w:tcBorders>
            <w:shd w:val="clear" w:color="auto" w:fill="auto"/>
            <w:noWrap/>
            <w:vAlign w:val="bottom"/>
            <w:hideMark/>
          </w:tcPr>
          <w:p w14:paraId="2247471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CE49AA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4EFDFE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147</w:t>
            </w:r>
          </w:p>
        </w:tc>
        <w:tc>
          <w:tcPr>
            <w:tcW w:w="904" w:type="dxa"/>
            <w:tcBorders>
              <w:top w:val="nil"/>
              <w:left w:val="nil"/>
              <w:bottom w:val="single" w:sz="4" w:space="0" w:color="auto"/>
              <w:right w:val="single" w:sz="4" w:space="0" w:color="auto"/>
            </w:tcBorders>
            <w:shd w:val="clear" w:color="auto" w:fill="auto"/>
            <w:noWrap/>
            <w:vAlign w:val="bottom"/>
            <w:hideMark/>
          </w:tcPr>
          <w:p w14:paraId="716D6BB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DC9702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58.382</w:t>
            </w:r>
          </w:p>
        </w:tc>
        <w:tc>
          <w:tcPr>
            <w:tcW w:w="904" w:type="dxa"/>
            <w:tcBorders>
              <w:top w:val="nil"/>
              <w:left w:val="nil"/>
              <w:bottom w:val="single" w:sz="4" w:space="0" w:color="auto"/>
              <w:right w:val="single" w:sz="4" w:space="0" w:color="auto"/>
            </w:tcBorders>
            <w:shd w:val="clear" w:color="auto" w:fill="auto"/>
            <w:noWrap/>
            <w:vAlign w:val="bottom"/>
            <w:hideMark/>
          </w:tcPr>
          <w:p w14:paraId="03E0054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436188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A56E5C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56.206</w:t>
            </w:r>
          </w:p>
        </w:tc>
        <w:tc>
          <w:tcPr>
            <w:tcW w:w="904" w:type="dxa"/>
            <w:tcBorders>
              <w:top w:val="nil"/>
              <w:left w:val="nil"/>
              <w:bottom w:val="single" w:sz="4" w:space="0" w:color="auto"/>
              <w:right w:val="single" w:sz="4" w:space="0" w:color="auto"/>
            </w:tcBorders>
            <w:shd w:val="clear" w:color="auto" w:fill="auto"/>
            <w:noWrap/>
            <w:vAlign w:val="bottom"/>
            <w:hideMark/>
          </w:tcPr>
          <w:p w14:paraId="22BADA9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75619D8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01B5B5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90EFB3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148</w:t>
            </w:r>
          </w:p>
        </w:tc>
        <w:tc>
          <w:tcPr>
            <w:tcW w:w="904" w:type="dxa"/>
            <w:tcBorders>
              <w:top w:val="nil"/>
              <w:left w:val="nil"/>
              <w:bottom w:val="single" w:sz="4" w:space="0" w:color="auto"/>
              <w:right w:val="single" w:sz="4" w:space="0" w:color="auto"/>
            </w:tcBorders>
            <w:shd w:val="clear" w:color="auto" w:fill="auto"/>
            <w:noWrap/>
            <w:vAlign w:val="bottom"/>
            <w:hideMark/>
          </w:tcPr>
          <w:p w14:paraId="3EC896C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58.044</w:t>
            </w:r>
          </w:p>
        </w:tc>
        <w:tc>
          <w:tcPr>
            <w:tcW w:w="904" w:type="dxa"/>
            <w:tcBorders>
              <w:top w:val="nil"/>
              <w:left w:val="nil"/>
              <w:bottom w:val="single" w:sz="4" w:space="0" w:color="auto"/>
              <w:right w:val="single" w:sz="4" w:space="0" w:color="auto"/>
            </w:tcBorders>
            <w:shd w:val="clear" w:color="auto" w:fill="auto"/>
            <w:noWrap/>
            <w:vAlign w:val="bottom"/>
            <w:hideMark/>
          </w:tcPr>
          <w:p w14:paraId="304CCDF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0D868B1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D92F60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09F644D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57.018</w:t>
            </w:r>
          </w:p>
        </w:tc>
        <w:tc>
          <w:tcPr>
            <w:tcW w:w="904" w:type="dxa"/>
            <w:tcBorders>
              <w:top w:val="nil"/>
              <w:left w:val="nil"/>
              <w:bottom w:val="single" w:sz="4" w:space="0" w:color="auto"/>
              <w:right w:val="single" w:sz="4" w:space="0" w:color="auto"/>
            </w:tcBorders>
            <w:shd w:val="clear" w:color="auto" w:fill="auto"/>
            <w:noWrap/>
            <w:vAlign w:val="bottom"/>
            <w:hideMark/>
          </w:tcPr>
          <w:p w14:paraId="47BC9AB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2989374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938625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48CE93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149</w:t>
            </w:r>
          </w:p>
        </w:tc>
        <w:tc>
          <w:tcPr>
            <w:tcW w:w="904" w:type="dxa"/>
            <w:tcBorders>
              <w:top w:val="nil"/>
              <w:left w:val="nil"/>
              <w:bottom w:val="single" w:sz="4" w:space="0" w:color="auto"/>
              <w:right w:val="single" w:sz="4" w:space="0" w:color="auto"/>
            </w:tcBorders>
            <w:shd w:val="clear" w:color="auto" w:fill="auto"/>
            <w:noWrap/>
            <w:vAlign w:val="bottom"/>
            <w:hideMark/>
          </w:tcPr>
          <w:p w14:paraId="2CDA873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59.861</w:t>
            </w:r>
          </w:p>
        </w:tc>
        <w:tc>
          <w:tcPr>
            <w:tcW w:w="904" w:type="dxa"/>
            <w:tcBorders>
              <w:top w:val="nil"/>
              <w:left w:val="nil"/>
              <w:bottom w:val="single" w:sz="4" w:space="0" w:color="auto"/>
              <w:right w:val="single" w:sz="4" w:space="0" w:color="auto"/>
            </w:tcBorders>
            <w:shd w:val="clear" w:color="auto" w:fill="auto"/>
            <w:noWrap/>
            <w:vAlign w:val="bottom"/>
            <w:hideMark/>
          </w:tcPr>
          <w:p w14:paraId="56822C5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5AEBB38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F5375E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5FDDC37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9A0120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6CDF9A8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DA8F54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3229FD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150</w:t>
            </w:r>
          </w:p>
        </w:tc>
        <w:tc>
          <w:tcPr>
            <w:tcW w:w="904" w:type="dxa"/>
            <w:tcBorders>
              <w:top w:val="nil"/>
              <w:left w:val="nil"/>
              <w:bottom w:val="single" w:sz="4" w:space="0" w:color="auto"/>
              <w:right w:val="single" w:sz="4" w:space="0" w:color="auto"/>
            </w:tcBorders>
            <w:shd w:val="clear" w:color="auto" w:fill="auto"/>
            <w:noWrap/>
            <w:vAlign w:val="bottom"/>
            <w:hideMark/>
          </w:tcPr>
          <w:p w14:paraId="425BDAD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60.896</w:t>
            </w:r>
          </w:p>
        </w:tc>
        <w:tc>
          <w:tcPr>
            <w:tcW w:w="904" w:type="dxa"/>
            <w:tcBorders>
              <w:top w:val="nil"/>
              <w:left w:val="nil"/>
              <w:bottom w:val="single" w:sz="4" w:space="0" w:color="auto"/>
              <w:right w:val="single" w:sz="4" w:space="0" w:color="auto"/>
            </w:tcBorders>
            <w:shd w:val="clear" w:color="auto" w:fill="auto"/>
            <w:noWrap/>
            <w:vAlign w:val="bottom"/>
            <w:hideMark/>
          </w:tcPr>
          <w:p w14:paraId="58E6759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C3A10C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AA168F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D45D0E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1A6C3F3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45C18F7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0786EB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5D6C87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151</w:t>
            </w:r>
          </w:p>
        </w:tc>
        <w:tc>
          <w:tcPr>
            <w:tcW w:w="904" w:type="dxa"/>
            <w:tcBorders>
              <w:top w:val="nil"/>
              <w:left w:val="nil"/>
              <w:bottom w:val="single" w:sz="4" w:space="0" w:color="auto"/>
              <w:right w:val="single" w:sz="4" w:space="0" w:color="auto"/>
            </w:tcBorders>
            <w:shd w:val="clear" w:color="auto" w:fill="auto"/>
            <w:noWrap/>
            <w:vAlign w:val="bottom"/>
            <w:hideMark/>
          </w:tcPr>
          <w:p w14:paraId="5BD43F2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788702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E72DC7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781897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55.857</w:t>
            </w:r>
          </w:p>
        </w:tc>
        <w:tc>
          <w:tcPr>
            <w:tcW w:w="904" w:type="dxa"/>
            <w:tcBorders>
              <w:top w:val="nil"/>
              <w:left w:val="nil"/>
              <w:bottom w:val="single" w:sz="4" w:space="0" w:color="auto"/>
              <w:right w:val="single" w:sz="4" w:space="0" w:color="auto"/>
            </w:tcBorders>
            <w:shd w:val="clear" w:color="auto" w:fill="auto"/>
            <w:noWrap/>
            <w:vAlign w:val="bottom"/>
            <w:hideMark/>
          </w:tcPr>
          <w:p w14:paraId="4F8477C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7F3A7F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497FA20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5771AC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73D345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152</w:t>
            </w:r>
          </w:p>
        </w:tc>
        <w:tc>
          <w:tcPr>
            <w:tcW w:w="904" w:type="dxa"/>
            <w:tcBorders>
              <w:top w:val="nil"/>
              <w:left w:val="nil"/>
              <w:bottom w:val="single" w:sz="4" w:space="0" w:color="auto"/>
              <w:right w:val="single" w:sz="4" w:space="0" w:color="auto"/>
            </w:tcBorders>
            <w:shd w:val="clear" w:color="auto" w:fill="auto"/>
            <w:noWrap/>
            <w:vAlign w:val="bottom"/>
            <w:hideMark/>
          </w:tcPr>
          <w:p w14:paraId="320D7B6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4A43955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DC5785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BA7330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85D193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56.587</w:t>
            </w:r>
          </w:p>
        </w:tc>
        <w:tc>
          <w:tcPr>
            <w:tcW w:w="904" w:type="dxa"/>
            <w:tcBorders>
              <w:top w:val="nil"/>
              <w:left w:val="nil"/>
              <w:bottom w:val="single" w:sz="4" w:space="0" w:color="auto"/>
              <w:right w:val="single" w:sz="4" w:space="0" w:color="auto"/>
            </w:tcBorders>
            <w:shd w:val="clear" w:color="auto" w:fill="auto"/>
            <w:noWrap/>
            <w:vAlign w:val="bottom"/>
            <w:hideMark/>
          </w:tcPr>
          <w:p w14:paraId="469E0B8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382C459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4A0A60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54C465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153</w:t>
            </w:r>
          </w:p>
        </w:tc>
        <w:tc>
          <w:tcPr>
            <w:tcW w:w="904" w:type="dxa"/>
            <w:tcBorders>
              <w:top w:val="nil"/>
              <w:left w:val="nil"/>
              <w:bottom w:val="single" w:sz="4" w:space="0" w:color="auto"/>
              <w:right w:val="single" w:sz="4" w:space="0" w:color="auto"/>
            </w:tcBorders>
            <w:shd w:val="clear" w:color="auto" w:fill="auto"/>
            <w:noWrap/>
            <w:vAlign w:val="bottom"/>
            <w:hideMark/>
          </w:tcPr>
          <w:p w14:paraId="2A32B0C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60.255</w:t>
            </w:r>
          </w:p>
        </w:tc>
        <w:tc>
          <w:tcPr>
            <w:tcW w:w="904" w:type="dxa"/>
            <w:tcBorders>
              <w:top w:val="nil"/>
              <w:left w:val="nil"/>
              <w:bottom w:val="single" w:sz="4" w:space="0" w:color="auto"/>
              <w:right w:val="single" w:sz="4" w:space="0" w:color="auto"/>
            </w:tcBorders>
            <w:shd w:val="clear" w:color="auto" w:fill="auto"/>
            <w:noWrap/>
            <w:vAlign w:val="bottom"/>
            <w:hideMark/>
          </w:tcPr>
          <w:p w14:paraId="75B5695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B97D3C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59.105</w:t>
            </w:r>
          </w:p>
        </w:tc>
        <w:tc>
          <w:tcPr>
            <w:tcW w:w="904" w:type="dxa"/>
            <w:tcBorders>
              <w:top w:val="nil"/>
              <w:left w:val="nil"/>
              <w:bottom w:val="single" w:sz="4" w:space="0" w:color="auto"/>
              <w:right w:val="single" w:sz="4" w:space="0" w:color="auto"/>
            </w:tcBorders>
            <w:shd w:val="clear" w:color="auto" w:fill="auto"/>
            <w:noWrap/>
            <w:vAlign w:val="bottom"/>
            <w:hideMark/>
          </w:tcPr>
          <w:p w14:paraId="1AA5302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E35D38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0200260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56.620</w:t>
            </w:r>
          </w:p>
        </w:tc>
        <w:tc>
          <w:tcPr>
            <w:tcW w:w="1946" w:type="dxa"/>
            <w:tcBorders>
              <w:top w:val="nil"/>
              <w:left w:val="nil"/>
              <w:bottom w:val="nil"/>
              <w:right w:val="nil"/>
            </w:tcBorders>
            <w:shd w:val="clear" w:color="auto" w:fill="auto"/>
            <w:noWrap/>
            <w:vAlign w:val="bottom"/>
            <w:hideMark/>
          </w:tcPr>
          <w:p w14:paraId="5ABFA16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F58CA4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20CF87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154</w:t>
            </w:r>
          </w:p>
        </w:tc>
        <w:tc>
          <w:tcPr>
            <w:tcW w:w="904" w:type="dxa"/>
            <w:tcBorders>
              <w:top w:val="nil"/>
              <w:left w:val="nil"/>
              <w:bottom w:val="single" w:sz="4" w:space="0" w:color="auto"/>
              <w:right w:val="single" w:sz="4" w:space="0" w:color="auto"/>
            </w:tcBorders>
            <w:shd w:val="clear" w:color="auto" w:fill="auto"/>
            <w:noWrap/>
            <w:vAlign w:val="bottom"/>
            <w:hideMark/>
          </w:tcPr>
          <w:p w14:paraId="66A5868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58.528</w:t>
            </w:r>
          </w:p>
        </w:tc>
        <w:tc>
          <w:tcPr>
            <w:tcW w:w="904" w:type="dxa"/>
            <w:tcBorders>
              <w:top w:val="nil"/>
              <w:left w:val="nil"/>
              <w:bottom w:val="single" w:sz="4" w:space="0" w:color="auto"/>
              <w:right w:val="single" w:sz="4" w:space="0" w:color="auto"/>
            </w:tcBorders>
            <w:shd w:val="clear" w:color="auto" w:fill="auto"/>
            <w:noWrap/>
            <w:vAlign w:val="bottom"/>
            <w:hideMark/>
          </w:tcPr>
          <w:p w14:paraId="772624C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56.310</w:t>
            </w:r>
          </w:p>
        </w:tc>
        <w:tc>
          <w:tcPr>
            <w:tcW w:w="904" w:type="dxa"/>
            <w:tcBorders>
              <w:top w:val="nil"/>
              <w:left w:val="nil"/>
              <w:bottom w:val="single" w:sz="4" w:space="0" w:color="auto"/>
              <w:right w:val="single" w:sz="4" w:space="0" w:color="auto"/>
            </w:tcBorders>
            <w:shd w:val="clear" w:color="auto" w:fill="auto"/>
            <w:noWrap/>
            <w:vAlign w:val="bottom"/>
            <w:hideMark/>
          </w:tcPr>
          <w:p w14:paraId="0D5DFAA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965A50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7B788E2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AF33AA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54.932</w:t>
            </w:r>
          </w:p>
        </w:tc>
        <w:tc>
          <w:tcPr>
            <w:tcW w:w="1946" w:type="dxa"/>
            <w:tcBorders>
              <w:top w:val="nil"/>
              <w:left w:val="nil"/>
              <w:bottom w:val="nil"/>
              <w:right w:val="nil"/>
            </w:tcBorders>
            <w:shd w:val="clear" w:color="auto" w:fill="auto"/>
            <w:noWrap/>
            <w:vAlign w:val="bottom"/>
            <w:hideMark/>
          </w:tcPr>
          <w:p w14:paraId="401CE3B7"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3E0747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C550E1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155</w:t>
            </w:r>
          </w:p>
        </w:tc>
        <w:tc>
          <w:tcPr>
            <w:tcW w:w="904" w:type="dxa"/>
            <w:tcBorders>
              <w:top w:val="nil"/>
              <w:left w:val="nil"/>
              <w:bottom w:val="single" w:sz="4" w:space="0" w:color="auto"/>
              <w:right w:val="single" w:sz="4" w:space="0" w:color="auto"/>
            </w:tcBorders>
            <w:shd w:val="clear" w:color="auto" w:fill="auto"/>
            <w:noWrap/>
            <w:vAlign w:val="bottom"/>
            <w:hideMark/>
          </w:tcPr>
          <w:p w14:paraId="660A4B5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57.999</w:t>
            </w:r>
          </w:p>
        </w:tc>
        <w:tc>
          <w:tcPr>
            <w:tcW w:w="904" w:type="dxa"/>
            <w:tcBorders>
              <w:top w:val="nil"/>
              <w:left w:val="nil"/>
              <w:bottom w:val="single" w:sz="4" w:space="0" w:color="auto"/>
              <w:right w:val="single" w:sz="4" w:space="0" w:color="auto"/>
            </w:tcBorders>
            <w:shd w:val="clear" w:color="auto" w:fill="auto"/>
            <w:noWrap/>
            <w:vAlign w:val="bottom"/>
            <w:hideMark/>
          </w:tcPr>
          <w:p w14:paraId="33F9316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9EA273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6EF7C8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C88A07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30806D7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1946" w:type="dxa"/>
            <w:tcBorders>
              <w:top w:val="nil"/>
              <w:left w:val="nil"/>
              <w:bottom w:val="nil"/>
              <w:right w:val="nil"/>
            </w:tcBorders>
            <w:shd w:val="clear" w:color="auto" w:fill="auto"/>
            <w:noWrap/>
            <w:vAlign w:val="bottom"/>
            <w:hideMark/>
          </w:tcPr>
          <w:p w14:paraId="49F33FB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5F7FF5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4E11EC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156</w:t>
            </w:r>
          </w:p>
        </w:tc>
        <w:tc>
          <w:tcPr>
            <w:tcW w:w="904" w:type="dxa"/>
            <w:tcBorders>
              <w:top w:val="nil"/>
              <w:left w:val="nil"/>
              <w:bottom w:val="single" w:sz="4" w:space="0" w:color="auto"/>
              <w:right w:val="single" w:sz="4" w:space="0" w:color="auto"/>
            </w:tcBorders>
            <w:shd w:val="clear" w:color="auto" w:fill="auto"/>
            <w:noWrap/>
            <w:vAlign w:val="bottom"/>
            <w:hideMark/>
          </w:tcPr>
          <w:p w14:paraId="6B65689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56.113</w:t>
            </w:r>
          </w:p>
        </w:tc>
        <w:tc>
          <w:tcPr>
            <w:tcW w:w="904" w:type="dxa"/>
            <w:tcBorders>
              <w:top w:val="nil"/>
              <w:left w:val="nil"/>
              <w:bottom w:val="single" w:sz="4" w:space="0" w:color="auto"/>
              <w:right w:val="single" w:sz="4" w:space="0" w:color="auto"/>
            </w:tcBorders>
            <w:shd w:val="clear" w:color="auto" w:fill="auto"/>
            <w:noWrap/>
            <w:vAlign w:val="bottom"/>
            <w:hideMark/>
          </w:tcPr>
          <w:p w14:paraId="2C6A559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0661D7D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72A170F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3676F61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0CCAB14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1946" w:type="dxa"/>
            <w:tcBorders>
              <w:top w:val="nil"/>
              <w:left w:val="nil"/>
              <w:bottom w:val="nil"/>
              <w:right w:val="nil"/>
            </w:tcBorders>
            <w:shd w:val="clear" w:color="auto" w:fill="auto"/>
            <w:noWrap/>
            <w:vAlign w:val="bottom"/>
            <w:hideMark/>
          </w:tcPr>
          <w:p w14:paraId="56FFFF7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215EB0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60BDCF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157</w:t>
            </w:r>
          </w:p>
        </w:tc>
        <w:tc>
          <w:tcPr>
            <w:tcW w:w="904" w:type="dxa"/>
            <w:tcBorders>
              <w:top w:val="nil"/>
              <w:left w:val="nil"/>
              <w:bottom w:val="single" w:sz="4" w:space="0" w:color="auto"/>
              <w:right w:val="single" w:sz="4" w:space="0" w:color="auto"/>
            </w:tcBorders>
            <w:shd w:val="clear" w:color="auto" w:fill="auto"/>
            <w:noWrap/>
            <w:vAlign w:val="bottom"/>
            <w:hideMark/>
          </w:tcPr>
          <w:p w14:paraId="10299FB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55.521</w:t>
            </w:r>
          </w:p>
        </w:tc>
        <w:tc>
          <w:tcPr>
            <w:tcW w:w="904" w:type="dxa"/>
            <w:tcBorders>
              <w:top w:val="nil"/>
              <w:left w:val="nil"/>
              <w:bottom w:val="single" w:sz="4" w:space="0" w:color="auto"/>
              <w:right w:val="single" w:sz="4" w:space="0" w:color="auto"/>
            </w:tcBorders>
            <w:shd w:val="clear" w:color="auto" w:fill="auto"/>
            <w:noWrap/>
            <w:vAlign w:val="bottom"/>
            <w:hideMark/>
          </w:tcPr>
          <w:p w14:paraId="27E1061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EB3C60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54.654</w:t>
            </w:r>
          </w:p>
        </w:tc>
        <w:tc>
          <w:tcPr>
            <w:tcW w:w="904" w:type="dxa"/>
            <w:tcBorders>
              <w:top w:val="nil"/>
              <w:left w:val="nil"/>
              <w:bottom w:val="single" w:sz="4" w:space="0" w:color="auto"/>
              <w:right w:val="single" w:sz="4" w:space="0" w:color="auto"/>
            </w:tcBorders>
            <w:shd w:val="clear" w:color="auto" w:fill="auto"/>
            <w:noWrap/>
            <w:vAlign w:val="bottom"/>
            <w:hideMark/>
          </w:tcPr>
          <w:p w14:paraId="51C09EF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58.114</w:t>
            </w:r>
          </w:p>
        </w:tc>
        <w:tc>
          <w:tcPr>
            <w:tcW w:w="904" w:type="dxa"/>
            <w:tcBorders>
              <w:top w:val="nil"/>
              <w:left w:val="nil"/>
              <w:bottom w:val="single" w:sz="4" w:space="0" w:color="auto"/>
              <w:right w:val="single" w:sz="4" w:space="0" w:color="auto"/>
            </w:tcBorders>
            <w:shd w:val="clear" w:color="auto" w:fill="auto"/>
            <w:noWrap/>
            <w:vAlign w:val="bottom"/>
            <w:hideMark/>
          </w:tcPr>
          <w:p w14:paraId="659F01A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200E7B8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53.739</w:t>
            </w:r>
          </w:p>
        </w:tc>
        <w:tc>
          <w:tcPr>
            <w:tcW w:w="1946" w:type="dxa"/>
            <w:tcBorders>
              <w:top w:val="nil"/>
              <w:left w:val="nil"/>
              <w:bottom w:val="nil"/>
              <w:right w:val="nil"/>
            </w:tcBorders>
            <w:shd w:val="clear" w:color="auto" w:fill="auto"/>
            <w:noWrap/>
            <w:vAlign w:val="bottom"/>
            <w:hideMark/>
          </w:tcPr>
          <w:p w14:paraId="66A564B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E1447A7"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DE5E22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lastRenderedPageBreak/>
              <w:t>158</w:t>
            </w:r>
          </w:p>
        </w:tc>
        <w:tc>
          <w:tcPr>
            <w:tcW w:w="904" w:type="dxa"/>
            <w:tcBorders>
              <w:top w:val="nil"/>
              <w:left w:val="nil"/>
              <w:bottom w:val="single" w:sz="4" w:space="0" w:color="auto"/>
              <w:right w:val="single" w:sz="4" w:space="0" w:color="auto"/>
            </w:tcBorders>
            <w:shd w:val="clear" w:color="auto" w:fill="auto"/>
            <w:noWrap/>
            <w:vAlign w:val="bottom"/>
            <w:hideMark/>
          </w:tcPr>
          <w:p w14:paraId="0722BD9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55.652</w:t>
            </w:r>
          </w:p>
        </w:tc>
        <w:tc>
          <w:tcPr>
            <w:tcW w:w="904" w:type="dxa"/>
            <w:tcBorders>
              <w:top w:val="nil"/>
              <w:left w:val="nil"/>
              <w:bottom w:val="single" w:sz="4" w:space="0" w:color="auto"/>
              <w:right w:val="single" w:sz="4" w:space="0" w:color="auto"/>
            </w:tcBorders>
            <w:shd w:val="clear" w:color="auto" w:fill="auto"/>
            <w:noWrap/>
            <w:vAlign w:val="bottom"/>
            <w:hideMark/>
          </w:tcPr>
          <w:p w14:paraId="5ACF997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60.550</w:t>
            </w:r>
          </w:p>
        </w:tc>
        <w:tc>
          <w:tcPr>
            <w:tcW w:w="904" w:type="dxa"/>
            <w:tcBorders>
              <w:top w:val="nil"/>
              <w:left w:val="nil"/>
              <w:bottom w:val="single" w:sz="4" w:space="0" w:color="auto"/>
              <w:right w:val="single" w:sz="4" w:space="0" w:color="auto"/>
            </w:tcBorders>
            <w:shd w:val="clear" w:color="auto" w:fill="auto"/>
            <w:noWrap/>
            <w:vAlign w:val="bottom"/>
            <w:hideMark/>
          </w:tcPr>
          <w:p w14:paraId="693EC3F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27EFD55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6D8F7F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3CADE53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53.215</w:t>
            </w:r>
          </w:p>
        </w:tc>
        <w:tc>
          <w:tcPr>
            <w:tcW w:w="1946" w:type="dxa"/>
            <w:tcBorders>
              <w:top w:val="nil"/>
              <w:left w:val="nil"/>
              <w:bottom w:val="nil"/>
              <w:right w:val="nil"/>
            </w:tcBorders>
            <w:shd w:val="clear" w:color="auto" w:fill="auto"/>
            <w:noWrap/>
            <w:vAlign w:val="bottom"/>
            <w:hideMark/>
          </w:tcPr>
          <w:p w14:paraId="763F866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E6BB73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B0DC5E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159</w:t>
            </w:r>
          </w:p>
        </w:tc>
        <w:tc>
          <w:tcPr>
            <w:tcW w:w="904" w:type="dxa"/>
            <w:tcBorders>
              <w:top w:val="nil"/>
              <w:left w:val="nil"/>
              <w:bottom w:val="single" w:sz="4" w:space="0" w:color="auto"/>
              <w:right w:val="single" w:sz="4" w:space="0" w:color="auto"/>
            </w:tcBorders>
            <w:shd w:val="clear" w:color="auto" w:fill="auto"/>
            <w:noWrap/>
            <w:vAlign w:val="bottom"/>
            <w:hideMark/>
          </w:tcPr>
          <w:p w14:paraId="0A6D3E7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55.691</w:t>
            </w:r>
          </w:p>
        </w:tc>
        <w:tc>
          <w:tcPr>
            <w:tcW w:w="904" w:type="dxa"/>
            <w:tcBorders>
              <w:top w:val="nil"/>
              <w:left w:val="nil"/>
              <w:bottom w:val="single" w:sz="4" w:space="0" w:color="auto"/>
              <w:right w:val="single" w:sz="4" w:space="0" w:color="auto"/>
            </w:tcBorders>
            <w:shd w:val="clear" w:color="auto" w:fill="auto"/>
            <w:noWrap/>
            <w:vAlign w:val="bottom"/>
            <w:hideMark/>
          </w:tcPr>
          <w:p w14:paraId="1C01A96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06CCB64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76797DC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2DDC5AF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54.874</w:t>
            </w:r>
          </w:p>
        </w:tc>
        <w:tc>
          <w:tcPr>
            <w:tcW w:w="904" w:type="dxa"/>
            <w:tcBorders>
              <w:top w:val="nil"/>
              <w:left w:val="nil"/>
              <w:bottom w:val="single" w:sz="4" w:space="0" w:color="auto"/>
              <w:right w:val="single" w:sz="4" w:space="0" w:color="auto"/>
            </w:tcBorders>
            <w:shd w:val="clear" w:color="auto" w:fill="auto"/>
            <w:noWrap/>
            <w:vAlign w:val="bottom"/>
            <w:hideMark/>
          </w:tcPr>
          <w:p w14:paraId="799BB89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1946" w:type="dxa"/>
            <w:tcBorders>
              <w:top w:val="nil"/>
              <w:left w:val="nil"/>
              <w:bottom w:val="nil"/>
              <w:right w:val="nil"/>
            </w:tcBorders>
            <w:shd w:val="clear" w:color="auto" w:fill="auto"/>
            <w:noWrap/>
            <w:vAlign w:val="bottom"/>
            <w:hideMark/>
          </w:tcPr>
          <w:p w14:paraId="6605251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E7C5CF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561BCF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160</w:t>
            </w:r>
          </w:p>
        </w:tc>
        <w:tc>
          <w:tcPr>
            <w:tcW w:w="904" w:type="dxa"/>
            <w:tcBorders>
              <w:top w:val="nil"/>
              <w:left w:val="nil"/>
              <w:bottom w:val="single" w:sz="4" w:space="0" w:color="auto"/>
              <w:right w:val="single" w:sz="4" w:space="0" w:color="auto"/>
            </w:tcBorders>
            <w:shd w:val="clear" w:color="auto" w:fill="auto"/>
            <w:noWrap/>
            <w:vAlign w:val="bottom"/>
            <w:hideMark/>
          </w:tcPr>
          <w:p w14:paraId="019AF18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55.167</w:t>
            </w:r>
          </w:p>
        </w:tc>
        <w:tc>
          <w:tcPr>
            <w:tcW w:w="904" w:type="dxa"/>
            <w:tcBorders>
              <w:top w:val="nil"/>
              <w:left w:val="nil"/>
              <w:bottom w:val="single" w:sz="4" w:space="0" w:color="auto"/>
              <w:right w:val="single" w:sz="4" w:space="0" w:color="auto"/>
            </w:tcBorders>
            <w:shd w:val="clear" w:color="auto" w:fill="auto"/>
            <w:noWrap/>
            <w:vAlign w:val="bottom"/>
            <w:hideMark/>
          </w:tcPr>
          <w:p w14:paraId="3030787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4E89944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53.784</w:t>
            </w:r>
          </w:p>
        </w:tc>
        <w:tc>
          <w:tcPr>
            <w:tcW w:w="904" w:type="dxa"/>
            <w:tcBorders>
              <w:top w:val="nil"/>
              <w:left w:val="nil"/>
              <w:bottom w:val="single" w:sz="4" w:space="0" w:color="auto"/>
              <w:right w:val="single" w:sz="4" w:space="0" w:color="auto"/>
            </w:tcBorders>
            <w:shd w:val="clear" w:color="auto" w:fill="auto"/>
            <w:noWrap/>
            <w:vAlign w:val="bottom"/>
            <w:hideMark/>
          </w:tcPr>
          <w:p w14:paraId="0F0ACF4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2CBEF0F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54.383</w:t>
            </w:r>
          </w:p>
        </w:tc>
        <w:tc>
          <w:tcPr>
            <w:tcW w:w="904" w:type="dxa"/>
            <w:tcBorders>
              <w:top w:val="nil"/>
              <w:left w:val="nil"/>
              <w:bottom w:val="single" w:sz="4" w:space="0" w:color="auto"/>
              <w:right w:val="single" w:sz="4" w:space="0" w:color="auto"/>
            </w:tcBorders>
            <w:shd w:val="clear" w:color="auto" w:fill="auto"/>
            <w:noWrap/>
            <w:vAlign w:val="bottom"/>
            <w:hideMark/>
          </w:tcPr>
          <w:p w14:paraId="3430396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52.351</w:t>
            </w:r>
          </w:p>
        </w:tc>
        <w:tc>
          <w:tcPr>
            <w:tcW w:w="1946" w:type="dxa"/>
            <w:tcBorders>
              <w:top w:val="nil"/>
              <w:left w:val="nil"/>
              <w:bottom w:val="nil"/>
              <w:right w:val="nil"/>
            </w:tcBorders>
            <w:shd w:val="clear" w:color="auto" w:fill="auto"/>
            <w:noWrap/>
            <w:vAlign w:val="bottom"/>
            <w:hideMark/>
          </w:tcPr>
          <w:p w14:paraId="39182626"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99A16D2"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4065AE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161</w:t>
            </w:r>
          </w:p>
        </w:tc>
        <w:tc>
          <w:tcPr>
            <w:tcW w:w="904" w:type="dxa"/>
            <w:tcBorders>
              <w:top w:val="nil"/>
              <w:left w:val="nil"/>
              <w:bottom w:val="single" w:sz="4" w:space="0" w:color="auto"/>
              <w:right w:val="single" w:sz="4" w:space="0" w:color="auto"/>
            </w:tcBorders>
            <w:shd w:val="clear" w:color="auto" w:fill="auto"/>
            <w:noWrap/>
            <w:vAlign w:val="bottom"/>
            <w:hideMark/>
          </w:tcPr>
          <w:p w14:paraId="72DAF3C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55.072</w:t>
            </w:r>
          </w:p>
        </w:tc>
        <w:tc>
          <w:tcPr>
            <w:tcW w:w="904" w:type="dxa"/>
            <w:tcBorders>
              <w:top w:val="nil"/>
              <w:left w:val="nil"/>
              <w:bottom w:val="single" w:sz="4" w:space="0" w:color="auto"/>
              <w:right w:val="single" w:sz="4" w:space="0" w:color="auto"/>
            </w:tcBorders>
            <w:shd w:val="clear" w:color="auto" w:fill="auto"/>
            <w:noWrap/>
            <w:vAlign w:val="bottom"/>
            <w:hideMark/>
          </w:tcPr>
          <w:p w14:paraId="54C66C7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5B3CB99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43A7FEC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1EE662A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54.048</w:t>
            </w:r>
          </w:p>
        </w:tc>
        <w:tc>
          <w:tcPr>
            <w:tcW w:w="904" w:type="dxa"/>
            <w:tcBorders>
              <w:top w:val="nil"/>
              <w:left w:val="nil"/>
              <w:bottom w:val="single" w:sz="4" w:space="0" w:color="auto"/>
              <w:right w:val="single" w:sz="4" w:space="0" w:color="auto"/>
            </w:tcBorders>
            <w:shd w:val="clear" w:color="auto" w:fill="auto"/>
            <w:noWrap/>
            <w:vAlign w:val="bottom"/>
            <w:hideMark/>
          </w:tcPr>
          <w:p w14:paraId="076451C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50.000</w:t>
            </w:r>
          </w:p>
        </w:tc>
        <w:tc>
          <w:tcPr>
            <w:tcW w:w="1946" w:type="dxa"/>
            <w:tcBorders>
              <w:top w:val="nil"/>
              <w:left w:val="nil"/>
              <w:bottom w:val="nil"/>
              <w:right w:val="nil"/>
            </w:tcBorders>
            <w:shd w:val="clear" w:color="auto" w:fill="auto"/>
            <w:noWrap/>
            <w:vAlign w:val="bottom"/>
            <w:hideMark/>
          </w:tcPr>
          <w:p w14:paraId="2EA20B5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842E6A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76A46B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162</w:t>
            </w:r>
          </w:p>
        </w:tc>
        <w:tc>
          <w:tcPr>
            <w:tcW w:w="904" w:type="dxa"/>
            <w:tcBorders>
              <w:top w:val="nil"/>
              <w:left w:val="nil"/>
              <w:bottom w:val="single" w:sz="4" w:space="0" w:color="auto"/>
              <w:right w:val="single" w:sz="4" w:space="0" w:color="auto"/>
            </w:tcBorders>
            <w:shd w:val="clear" w:color="auto" w:fill="auto"/>
            <w:noWrap/>
            <w:vAlign w:val="bottom"/>
            <w:hideMark/>
          </w:tcPr>
          <w:p w14:paraId="5326A3F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55.115</w:t>
            </w:r>
          </w:p>
        </w:tc>
        <w:tc>
          <w:tcPr>
            <w:tcW w:w="904" w:type="dxa"/>
            <w:tcBorders>
              <w:top w:val="nil"/>
              <w:left w:val="nil"/>
              <w:bottom w:val="single" w:sz="4" w:space="0" w:color="auto"/>
              <w:right w:val="single" w:sz="4" w:space="0" w:color="auto"/>
            </w:tcBorders>
            <w:shd w:val="clear" w:color="auto" w:fill="auto"/>
            <w:noWrap/>
            <w:vAlign w:val="bottom"/>
            <w:hideMark/>
          </w:tcPr>
          <w:p w14:paraId="0C6CB59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417E1AB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1DD3002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2B9715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54.902</w:t>
            </w:r>
          </w:p>
        </w:tc>
        <w:tc>
          <w:tcPr>
            <w:tcW w:w="904" w:type="dxa"/>
            <w:tcBorders>
              <w:top w:val="nil"/>
              <w:left w:val="nil"/>
              <w:bottom w:val="single" w:sz="4" w:space="0" w:color="auto"/>
              <w:right w:val="single" w:sz="4" w:space="0" w:color="auto"/>
            </w:tcBorders>
            <w:shd w:val="clear" w:color="auto" w:fill="auto"/>
            <w:noWrap/>
            <w:vAlign w:val="bottom"/>
            <w:hideMark/>
          </w:tcPr>
          <w:p w14:paraId="5F3E180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50.000</w:t>
            </w:r>
          </w:p>
        </w:tc>
        <w:tc>
          <w:tcPr>
            <w:tcW w:w="1946" w:type="dxa"/>
            <w:tcBorders>
              <w:top w:val="nil"/>
              <w:left w:val="nil"/>
              <w:bottom w:val="nil"/>
              <w:right w:val="nil"/>
            </w:tcBorders>
            <w:shd w:val="clear" w:color="auto" w:fill="auto"/>
            <w:noWrap/>
            <w:vAlign w:val="bottom"/>
            <w:hideMark/>
          </w:tcPr>
          <w:p w14:paraId="6C2BD2C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8E12A4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99768F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163</w:t>
            </w:r>
          </w:p>
        </w:tc>
        <w:tc>
          <w:tcPr>
            <w:tcW w:w="904" w:type="dxa"/>
            <w:tcBorders>
              <w:top w:val="nil"/>
              <w:left w:val="nil"/>
              <w:bottom w:val="single" w:sz="4" w:space="0" w:color="auto"/>
              <w:right w:val="single" w:sz="4" w:space="0" w:color="auto"/>
            </w:tcBorders>
            <w:shd w:val="clear" w:color="auto" w:fill="auto"/>
            <w:noWrap/>
            <w:vAlign w:val="bottom"/>
            <w:hideMark/>
          </w:tcPr>
          <w:p w14:paraId="70A28C7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57.444</w:t>
            </w:r>
          </w:p>
        </w:tc>
        <w:tc>
          <w:tcPr>
            <w:tcW w:w="904" w:type="dxa"/>
            <w:tcBorders>
              <w:top w:val="nil"/>
              <w:left w:val="nil"/>
              <w:bottom w:val="single" w:sz="4" w:space="0" w:color="auto"/>
              <w:right w:val="single" w:sz="4" w:space="0" w:color="auto"/>
            </w:tcBorders>
            <w:shd w:val="clear" w:color="auto" w:fill="auto"/>
            <w:noWrap/>
            <w:vAlign w:val="bottom"/>
            <w:hideMark/>
          </w:tcPr>
          <w:p w14:paraId="26F3AF0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59.556</w:t>
            </w:r>
          </w:p>
        </w:tc>
        <w:tc>
          <w:tcPr>
            <w:tcW w:w="904" w:type="dxa"/>
            <w:tcBorders>
              <w:top w:val="nil"/>
              <w:left w:val="nil"/>
              <w:bottom w:val="single" w:sz="4" w:space="0" w:color="auto"/>
              <w:right w:val="single" w:sz="4" w:space="0" w:color="auto"/>
            </w:tcBorders>
            <w:shd w:val="clear" w:color="auto" w:fill="auto"/>
            <w:noWrap/>
            <w:vAlign w:val="bottom"/>
            <w:hideMark/>
          </w:tcPr>
          <w:p w14:paraId="6D8EC53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1930736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2C7CE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54.775</w:t>
            </w:r>
          </w:p>
        </w:tc>
        <w:tc>
          <w:tcPr>
            <w:tcW w:w="904" w:type="dxa"/>
            <w:tcBorders>
              <w:top w:val="nil"/>
              <w:left w:val="nil"/>
              <w:bottom w:val="single" w:sz="4" w:space="0" w:color="auto"/>
              <w:right w:val="single" w:sz="4" w:space="0" w:color="auto"/>
            </w:tcBorders>
            <w:shd w:val="clear" w:color="auto" w:fill="auto"/>
            <w:noWrap/>
            <w:vAlign w:val="bottom"/>
            <w:hideMark/>
          </w:tcPr>
          <w:p w14:paraId="7642F77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50.000</w:t>
            </w:r>
          </w:p>
        </w:tc>
        <w:tc>
          <w:tcPr>
            <w:tcW w:w="1946" w:type="dxa"/>
            <w:tcBorders>
              <w:top w:val="nil"/>
              <w:left w:val="nil"/>
              <w:bottom w:val="nil"/>
              <w:right w:val="nil"/>
            </w:tcBorders>
            <w:shd w:val="clear" w:color="auto" w:fill="auto"/>
            <w:noWrap/>
            <w:vAlign w:val="bottom"/>
            <w:hideMark/>
          </w:tcPr>
          <w:p w14:paraId="021C0B1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3CC9ED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11F818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164</w:t>
            </w:r>
          </w:p>
        </w:tc>
        <w:tc>
          <w:tcPr>
            <w:tcW w:w="904" w:type="dxa"/>
            <w:tcBorders>
              <w:top w:val="nil"/>
              <w:left w:val="nil"/>
              <w:bottom w:val="single" w:sz="4" w:space="0" w:color="auto"/>
              <w:right w:val="single" w:sz="4" w:space="0" w:color="auto"/>
            </w:tcBorders>
            <w:shd w:val="clear" w:color="auto" w:fill="auto"/>
            <w:noWrap/>
            <w:vAlign w:val="bottom"/>
            <w:hideMark/>
          </w:tcPr>
          <w:p w14:paraId="70B89DB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587D1F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68FECF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0A839F8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68B83A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6146DC2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49.381</w:t>
            </w:r>
          </w:p>
        </w:tc>
        <w:tc>
          <w:tcPr>
            <w:tcW w:w="1946" w:type="dxa"/>
            <w:tcBorders>
              <w:top w:val="nil"/>
              <w:left w:val="nil"/>
              <w:bottom w:val="nil"/>
              <w:right w:val="nil"/>
            </w:tcBorders>
            <w:shd w:val="clear" w:color="auto" w:fill="auto"/>
            <w:noWrap/>
            <w:vAlign w:val="bottom"/>
            <w:hideMark/>
          </w:tcPr>
          <w:p w14:paraId="7677FA5C"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D488CA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BF6B56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165</w:t>
            </w:r>
          </w:p>
        </w:tc>
        <w:tc>
          <w:tcPr>
            <w:tcW w:w="904" w:type="dxa"/>
            <w:tcBorders>
              <w:top w:val="nil"/>
              <w:left w:val="nil"/>
              <w:bottom w:val="single" w:sz="4" w:space="0" w:color="auto"/>
              <w:right w:val="single" w:sz="4" w:space="0" w:color="auto"/>
            </w:tcBorders>
            <w:shd w:val="clear" w:color="auto" w:fill="auto"/>
            <w:noWrap/>
            <w:vAlign w:val="bottom"/>
            <w:hideMark/>
          </w:tcPr>
          <w:p w14:paraId="1299669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202721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52DFF37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748CC40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5749DE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47F1208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49.218</w:t>
            </w:r>
          </w:p>
        </w:tc>
        <w:tc>
          <w:tcPr>
            <w:tcW w:w="1946" w:type="dxa"/>
            <w:tcBorders>
              <w:top w:val="nil"/>
              <w:left w:val="nil"/>
              <w:bottom w:val="nil"/>
              <w:right w:val="nil"/>
            </w:tcBorders>
            <w:shd w:val="clear" w:color="auto" w:fill="auto"/>
            <w:noWrap/>
            <w:vAlign w:val="bottom"/>
            <w:hideMark/>
          </w:tcPr>
          <w:p w14:paraId="0879373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612F23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348C1A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166</w:t>
            </w:r>
          </w:p>
        </w:tc>
        <w:tc>
          <w:tcPr>
            <w:tcW w:w="904" w:type="dxa"/>
            <w:tcBorders>
              <w:top w:val="nil"/>
              <w:left w:val="nil"/>
              <w:bottom w:val="single" w:sz="4" w:space="0" w:color="auto"/>
              <w:right w:val="single" w:sz="4" w:space="0" w:color="auto"/>
            </w:tcBorders>
            <w:shd w:val="clear" w:color="auto" w:fill="auto"/>
            <w:noWrap/>
            <w:vAlign w:val="bottom"/>
            <w:hideMark/>
          </w:tcPr>
          <w:p w14:paraId="293AEFF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515136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57.892</w:t>
            </w:r>
          </w:p>
        </w:tc>
        <w:tc>
          <w:tcPr>
            <w:tcW w:w="904" w:type="dxa"/>
            <w:tcBorders>
              <w:top w:val="nil"/>
              <w:left w:val="nil"/>
              <w:bottom w:val="single" w:sz="4" w:space="0" w:color="auto"/>
              <w:right w:val="single" w:sz="4" w:space="0" w:color="auto"/>
            </w:tcBorders>
            <w:shd w:val="clear" w:color="auto" w:fill="auto"/>
            <w:noWrap/>
            <w:vAlign w:val="bottom"/>
            <w:hideMark/>
          </w:tcPr>
          <w:p w14:paraId="2496182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54.108</w:t>
            </w:r>
          </w:p>
        </w:tc>
        <w:tc>
          <w:tcPr>
            <w:tcW w:w="904" w:type="dxa"/>
            <w:tcBorders>
              <w:top w:val="nil"/>
              <w:left w:val="nil"/>
              <w:bottom w:val="single" w:sz="4" w:space="0" w:color="auto"/>
              <w:right w:val="single" w:sz="4" w:space="0" w:color="auto"/>
            </w:tcBorders>
            <w:shd w:val="clear" w:color="auto" w:fill="auto"/>
            <w:noWrap/>
            <w:vAlign w:val="bottom"/>
            <w:hideMark/>
          </w:tcPr>
          <w:p w14:paraId="2D288F4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57.892</w:t>
            </w:r>
          </w:p>
        </w:tc>
        <w:tc>
          <w:tcPr>
            <w:tcW w:w="904" w:type="dxa"/>
            <w:tcBorders>
              <w:top w:val="nil"/>
              <w:left w:val="nil"/>
              <w:bottom w:val="single" w:sz="4" w:space="0" w:color="auto"/>
              <w:right w:val="single" w:sz="4" w:space="0" w:color="auto"/>
            </w:tcBorders>
            <w:shd w:val="clear" w:color="auto" w:fill="auto"/>
            <w:noWrap/>
            <w:vAlign w:val="bottom"/>
            <w:hideMark/>
          </w:tcPr>
          <w:p w14:paraId="080DF9E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55.739</w:t>
            </w:r>
          </w:p>
        </w:tc>
        <w:tc>
          <w:tcPr>
            <w:tcW w:w="904" w:type="dxa"/>
            <w:tcBorders>
              <w:top w:val="nil"/>
              <w:left w:val="nil"/>
              <w:bottom w:val="single" w:sz="4" w:space="0" w:color="auto"/>
              <w:right w:val="single" w:sz="4" w:space="0" w:color="auto"/>
            </w:tcBorders>
            <w:shd w:val="clear" w:color="auto" w:fill="auto"/>
            <w:noWrap/>
            <w:vAlign w:val="bottom"/>
            <w:hideMark/>
          </w:tcPr>
          <w:p w14:paraId="1B38DB9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49.000</w:t>
            </w:r>
          </w:p>
        </w:tc>
        <w:tc>
          <w:tcPr>
            <w:tcW w:w="1946" w:type="dxa"/>
            <w:tcBorders>
              <w:top w:val="nil"/>
              <w:left w:val="nil"/>
              <w:bottom w:val="nil"/>
              <w:right w:val="nil"/>
            </w:tcBorders>
            <w:shd w:val="clear" w:color="auto" w:fill="auto"/>
            <w:noWrap/>
            <w:vAlign w:val="bottom"/>
            <w:hideMark/>
          </w:tcPr>
          <w:p w14:paraId="6F4D5DC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8D9008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FE3ACF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167</w:t>
            </w:r>
          </w:p>
        </w:tc>
        <w:tc>
          <w:tcPr>
            <w:tcW w:w="904" w:type="dxa"/>
            <w:tcBorders>
              <w:top w:val="nil"/>
              <w:left w:val="nil"/>
              <w:bottom w:val="single" w:sz="4" w:space="0" w:color="auto"/>
              <w:right w:val="single" w:sz="4" w:space="0" w:color="auto"/>
            </w:tcBorders>
            <w:shd w:val="clear" w:color="auto" w:fill="auto"/>
            <w:noWrap/>
            <w:vAlign w:val="bottom"/>
            <w:hideMark/>
          </w:tcPr>
          <w:p w14:paraId="7C6EFF9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94FC30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3F9E3E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74A8A7C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56.390</w:t>
            </w:r>
          </w:p>
        </w:tc>
        <w:tc>
          <w:tcPr>
            <w:tcW w:w="904" w:type="dxa"/>
            <w:tcBorders>
              <w:top w:val="nil"/>
              <w:left w:val="nil"/>
              <w:bottom w:val="single" w:sz="4" w:space="0" w:color="auto"/>
              <w:right w:val="single" w:sz="4" w:space="0" w:color="auto"/>
            </w:tcBorders>
            <w:shd w:val="clear" w:color="auto" w:fill="auto"/>
            <w:noWrap/>
            <w:vAlign w:val="bottom"/>
            <w:hideMark/>
          </w:tcPr>
          <w:p w14:paraId="053A34A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50186D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49.501</w:t>
            </w:r>
          </w:p>
        </w:tc>
        <w:tc>
          <w:tcPr>
            <w:tcW w:w="1946" w:type="dxa"/>
            <w:tcBorders>
              <w:top w:val="nil"/>
              <w:left w:val="nil"/>
              <w:bottom w:val="nil"/>
              <w:right w:val="nil"/>
            </w:tcBorders>
            <w:shd w:val="clear" w:color="auto" w:fill="auto"/>
            <w:noWrap/>
            <w:vAlign w:val="bottom"/>
            <w:hideMark/>
          </w:tcPr>
          <w:p w14:paraId="469DA53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9DBEEE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7F6466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168</w:t>
            </w:r>
          </w:p>
        </w:tc>
        <w:tc>
          <w:tcPr>
            <w:tcW w:w="904" w:type="dxa"/>
            <w:tcBorders>
              <w:top w:val="nil"/>
              <w:left w:val="nil"/>
              <w:bottom w:val="single" w:sz="4" w:space="0" w:color="auto"/>
              <w:right w:val="single" w:sz="4" w:space="0" w:color="auto"/>
            </w:tcBorders>
            <w:shd w:val="clear" w:color="auto" w:fill="auto"/>
            <w:noWrap/>
            <w:vAlign w:val="bottom"/>
            <w:hideMark/>
          </w:tcPr>
          <w:p w14:paraId="2DF7FE4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57.998</w:t>
            </w:r>
          </w:p>
        </w:tc>
        <w:tc>
          <w:tcPr>
            <w:tcW w:w="904" w:type="dxa"/>
            <w:tcBorders>
              <w:top w:val="nil"/>
              <w:left w:val="nil"/>
              <w:bottom w:val="single" w:sz="4" w:space="0" w:color="auto"/>
              <w:right w:val="single" w:sz="4" w:space="0" w:color="auto"/>
            </w:tcBorders>
            <w:shd w:val="clear" w:color="auto" w:fill="auto"/>
            <w:noWrap/>
            <w:vAlign w:val="bottom"/>
            <w:hideMark/>
          </w:tcPr>
          <w:p w14:paraId="1DE3360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309D4A0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D2E601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72A036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1D0D86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50.000</w:t>
            </w:r>
          </w:p>
        </w:tc>
        <w:tc>
          <w:tcPr>
            <w:tcW w:w="1946" w:type="dxa"/>
            <w:tcBorders>
              <w:top w:val="nil"/>
              <w:left w:val="nil"/>
              <w:bottom w:val="nil"/>
              <w:right w:val="nil"/>
            </w:tcBorders>
            <w:shd w:val="clear" w:color="auto" w:fill="auto"/>
            <w:noWrap/>
            <w:vAlign w:val="bottom"/>
            <w:hideMark/>
          </w:tcPr>
          <w:p w14:paraId="040B201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A57667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569AD4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169</w:t>
            </w:r>
          </w:p>
        </w:tc>
        <w:tc>
          <w:tcPr>
            <w:tcW w:w="904" w:type="dxa"/>
            <w:tcBorders>
              <w:top w:val="nil"/>
              <w:left w:val="nil"/>
              <w:bottom w:val="single" w:sz="4" w:space="0" w:color="auto"/>
              <w:right w:val="single" w:sz="4" w:space="0" w:color="auto"/>
            </w:tcBorders>
            <w:shd w:val="clear" w:color="auto" w:fill="auto"/>
            <w:noWrap/>
            <w:vAlign w:val="bottom"/>
            <w:hideMark/>
          </w:tcPr>
          <w:p w14:paraId="0229329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57.493</w:t>
            </w:r>
          </w:p>
        </w:tc>
        <w:tc>
          <w:tcPr>
            <w:tcW w:w="904" w:type="dxa"/>
            <w:tcBorders>
              <w:top w:val="nil"/>
              <w:left w:val="nil"/>
              <w:bottom w:val="single" w:sz="4" w:space="0" w:color="auto"/>
              <w:right w:val="single" w:sz="4" w:space="0" w:color="auto"/>
            </w:tcBorders>
            <w:shd w:val="clear" w:color="auto" w:fill="auto"/>
            <w:noWrap/>
            <w:vAlign w:val="bottom"/>
            <w:hideMark/>
          </w:tcPr>
          <w:p w14:paraId="0186B4B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7D036A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79CDE23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A6CCD4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B0B3AB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50.000</w:t>
            </w:r>
          </w:p>
        </w:tc>
        <w:tc>
          <w:tcPr>
            <w:tcW w:w="1946" w:type="dxa"/>
            <w:tcBorders>
              <w:top w:val="nil"/>
              <w:left w:val="nil"/>
              <w:bottom w:val="nil"/>
              <w:right w:val="nil"/>
            </w:tcBorders>
            <w:shd w:val="clear" w:color="auto" w:fill="auto"/>
            <w:noWrap/>
            <w:vAlign w:val="bottom"/>
            <w:hideMark/>
          </w:tcPr>
          <w:p w14:paraId="28D83AE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1C9501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6019FF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170</w:t>
            </w:r>
          </w:p>
        </w:tc>
        <w:tc>
          <w:tcPr>
            <w:tcW w:w="904" w:type="dxa"/>
            <w:tcBorders>
              <w:top w:val="nil"/>
              <w:left w:val="nil"/>
              <w:bottom w:val="single" w:sz="4" w:space="0" w:color="auto"/>
              <w:right w:val="single" w:sz="4" w:space="0" w:color="auto"/>
            </w:tcBorders>
            <w:shd w:val="clear" w:color="auto" w:fill="auto"/>
            <w:noWrap/>
            <w:vAlign w:val="bottom"/>
            <w:hideMark/>
          </w:tcPr>
          <w:p w14:paraId="1762B94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16B680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5082E96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941D15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7D09C3A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58.552</w:t>
            </w:r>
          </w:p>
        </w:tc>
        <w:tc>
          <w:tcPr>
            <w:tcW w:w="904" w:type="dxa"/>
            <w:tcBorders>
              <w:top w:val="nil"/>
              <w:left w:val="nil"/>
              <w:bottom w:val="single" w:sz="4" w:space="0" w:color="auto"/>
              <w:right w:val="single" w:sz="4" w:space="0" w:color="auto"/>
            </w:tcBorders>
            <w:shd w:val="clear" w:color="auto" w:fill="auto"/>
            <w:noWrap/>
            <w:vAlign w:val="bottom"/>
            <w:hideMark/>
          </w:tcPr>
          <w:p w14:paraId="7AA4134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50.000</w:t>
            </w:r>
          </w:p>
        </w:tc>
        <w:tc>
          <w:tcPr>
            <w:tcW w:w="1946" w:type="dxa"/>
            <w:tcBorders>
              <w:top w:val="nil"/>
              <w:left w:val="nil"/>
              <w:bottom w:val="nil"/>
              <w:right w:val="nil"/>
            </w:tcBorders>
            <w:shd w:val="clear" w:color="auto" w:fill="auto"/>
            <w:noWrap/>
            <w:vAlign w:val="bottom"/>
            <w:hideMark/>
          </w:tcPr>
          <w:p w14:paraId="0385097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B0D732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312096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171</w:t>
            </w:r>
          </w:p>
        </w:tc>
        <w:tc>
          <w:tcPr>
            <w:tcW w:w="904" w:type="dxa"/>
            <w:tcBorders>
              <w:top w:val="nil"/>
              <w:left w:val="nil"/>
              <w:bottom w:val="single" w:sz="4" w:space="0" w:color="auto"/>
              <w:right w:val="single" w:sz="4" w:space="0" w:color="auto"/>
            </w:tcBorders>
            <w:shd w:val="clear" w:color="auto" w:fill="auto"/>
            <w:noWrap/>
            <w:vAlign w:val="bottom"/>
            <w:hideMark/>
          </w:tcPr>
          <w:p w14:paraId="25FF6AB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2AEC8F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65FE88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786812C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BA53BA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59.253</w:t>
            </w:r>
          </w:p>
        </w:tc>
        <w:tc>
          <w:tcPr>
            <w:tcW w:w="904" w:type="dxa"/>
            <w:tcBorders>
              <w:top w:val="nil"/>
              <w:left w:val="nil"/>
              <w:bottom w:val="single" w:sz="4" w:space="0" w:color="auto"/>
              <w:right w:val="single" w:sz="4" w:space="0" w:color="auto"/>
            </w:tcBorders>
            <w:shd w:val="clear" w:color="auto" w:fill="auto"/>
            <w:noWrap/>
            <w:vAlign w:val="bottom"/>
            <w:hideMark/>
          </w:tcPr>
          <w:p w14:paraId="1CEF3E8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50.000</w:t>
            </w:r>
          </w:p>
        </w:tc>
        <w:tc>
          <w:tcPr>
            <w:tcW w:w="1946" w:type="dxa"/>
            <w:tcBorders>
              <w:top w:val="nil"/>
              <w:left w:val="nil"/>
              <w:bottom w:val="nil"/>
              <w:right w:val="nil"/>
            </w:tcBorders>
            <w:shd w:val="clear" w:color="auto" w:fill="auto"/>
            <w:noWrap/>
            <w:vAlign w:val="bottom"/>
            <w:hideMark/>
          </w:tcPr>
          <w:p w14:paraId="213EA35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44EFB12"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E07BFF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172</w:t>
            </w:r>
          </w:p>
        </w:tc>
        <w:tc>
          <w:tcPr>
            <w:tcW w:w="904" w:type="dxa"/>
            <w:tcBorders>
              <w:top w:val="nil"/>
              <w:left w:val="nil"/>
              <w:bottom w:val="single" w:sz="4" w:space="0" w:color="auto"/>
              <w:right w:val="single" w:sz="4" w:space="0" w:color="auto"/>
            </w:tcBorders>
            <w:shd w:val="clear" w:color="auto" w:fill="auto"/>
            <w:noWrap/>
            <w:vAlign w:val="bottom"/>
            <w:hideMark/>
          </w:tcPr>
          <w:p w14:paraId="1A5C391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F067FA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75BAC7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32F33A2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380BA2F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57.916</w:t>
            </w:r>
          </w:p>
        </w:tc>
        <w:tc>
          <w:tcPr>
            <w:tcW w:w="904" w:type="dxa"/>
            <w:tcBorders>
              <w:top w:val="nil"/>
              <w:left w:val="nil"/>
              <w:bottom w:val="single" w:sz="4" w:space="0" w:color="auto"/>
              <w:right w:val="single" w:sz="4" w:space="0" w:color="auto"/>
            </w:tcBorders>
            <w:shd w:val="clear" w:color="auto" w:fill="auto"/>
            <w:noWrap/>
            <w:vAlign w:val="bottom"/>
            <w:hideMark/>
          </w:tcPr>
          <w:p w14:paraId="3178D18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49.521</w:t>
            </w:r>
          </w:p>
        </w:tc>
        <w:tc>
          <w:tcPr>
            <w:tcW w:w="1946" w:type="dxa"/>
            <w:tcBorders>
              <w:top w:val="nil"/>
              <w:left w:val="nil"/>
              <w:bottom w:val="nil"/>
              <w:right w:val="nil"/>
            </w:tcBorders>
            <w:shd w:val="clear" w:color="auto" w:fill="auto"/>
            <w:noWrap/>
            <w:vAlign w:val="bottom"/>
            <w:hideMark/>
          </w:tcPr>
          <w:p w14:paraId="030AE71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B7F8E2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502CC7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173</w:t>
            </w:r>
          </w:p>
        </w:tc>
        <w:tc>
          <w:tcPr>
            <w:tcW w:w="904" w:type="dxa"/>
            <w:tcBorders>
              <w:top w:val="nil"/>
              <w:left w:val="nil"/>
              <w:bottom w:val="single" w:sz="4" w:space="0" w:color="auto"/>
              <w:right w:val="single" w:sz="4" w:space="0" w:color="auto"/>
            </w:tcBorders>
            <w:shd w:val="clear" w:color="auto" w:fill="auto"/>
            <w:noWrap/>
            <w:vAlign w:val="bottom"/>
            <w:hideMark/>
          </w:tcPr>
          <w:p w14:paraId="076AC36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5D8107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CFCF70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3F9DB82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0AED70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E7C3B7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49.000</w:t>
            </w:r>
          </w:p>
        </w:tc>
        <w:tc>
          <w:tcPr>
            <w:tcW w:w="1946" w:type="dxa"/>
            <w:tcBorders>
              <w:top w:val="nil"/>
              <w:left w:val="nil"/>
              <w:bottom w:val="nil"/>
              <w:right w:val="nil"/>
            </w:tcBorders>
            <w:shd w:val="clear" w:color="auto" w:fill="auto"/>
            <w:noWrap/>
            <w:vAlign w:val="bottom"/>
            <w:hideMark/>
          </w:tcPr>
          <w:p w14:paraId="2F019A0C"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42DE5E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77D7F8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174</w:t>
            </w:r>
          </w:p>
        </w:tc>
        <w:tc>
          <w:tcPr>
            <w:tcW w:w="904" w:type="dxa"/>
            <w:tcBorders>
              <w:top w:val="nil"/>
              <w:left w:val="nil"/>
              <w:bottom w:val="single" w:sz="4" w:space="0" w:color="auto"/>
              <w:right w:val="single" w:sz="4" w:space="0" w:color="auto"/>
            </w:tcBorders>
            <w:shd w:val="clear" w:color="auto" w:fill="auto"/>
            <w:noWrap/>
            <w:vAlign w:val="bottom"/>
            <w:hideMark/>
          </w:tcPr>
          <w:p w14:paraId="4492469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AAA116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96B59E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6644AC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094C08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05AAE2E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49.000</w:t>
            </w:r>
          </w:p>
        </w:tc>
        <w:tc>
          <w:tcPr>
            <w:tcW w:w="1946" w:type="dxa"/>
            <w:tcBorders>
              <w:top w:val="nil"/>
              <w:left w:val="nil"/>
              <w:bottom w:val="nil"/>
              <w:right w:val="nil"/>
            </w:tcBorders>
            <w:shd w:val="clear" w:color="auto" w:fill="auto"/>
            <w:noWrap/>
            <w:vAlign w:val="bottom"/>
            <w:hideMark/>
          </w:tcPr>
          <w:p w14:paraId="07CF3B9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AB28CC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FD889E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175</w:t>
            </w:r>
          </w:p>
        </w:tc>
        <w:tc>
          <w:tcPr>
            <w:tcW w:w="904" w:type="dxa"/>
            <w:tcBorders>
              <w:top w:val="nil"/>
              <w:left w:val="nil"/>
              <w:bottom w:val="single" w:sz="4" w:space="0" w:color="auto"/>
              <w:right w:val="single" w:sz="4" w:space="0" w:color="auto"/>
            </w:tcBorders>
            <w:shd w:val="clear" w:color="auto" w:fill="auto"/>
            <w:noWrap/>
            <w:vAlign w:val="bottom"/>
            <w:hideMark/>
          </w:tcPr>
          <w:p w14:paraId="11305B3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57.021</w:t>
            </w:r>
          </w:p>
        </w:tc>
        <w:tc>
          <w:tcPr>
            <w:tcW w:w="904" w:type="dxa"/>
            <w:tcBorders>
              <w:top w:val="nil"/>
              <w:left w:val="nil"/>
              <w:bottom w:val="single" w:sz="4" w:space="0" w:color="auto"/>
              <w:right w:val="single" w:sz="4" w:space="0" w:color="auto"/>
            </w:tcBorders>
            <w:shd w:val="clear" w:color="auto" w:fill="auto"/>
            <w:noWrap/>
            <w:vAlign w:val="bottom"/>
            <w:hideMark/>
          </w:tcPr>
          <w:p w14:paraId="0727E1B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00BCF3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0018B29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56.081</w:t>
            </w:r>
          </w:p>
        </w:tc>
        <w:tc>
          <w:tcPr>
            <w:tcW w:w="904" w:type="dxa"/>
            <w:tcBorders>
              <w:top w:val="nil"/>
              <w:left w:val="nil"/>
              <w:bottom w:val="single" w:sz="4" w:space="0" w:color="auto"/>
              <w:right w:val="single" w:sz="4" w:space="0" w:color="auto"/>
            </w:tcBorders>
            <w:shd w:val="clear" w:color="auto" w:fill="auto"/>
            <w:noWrap/>
            <w:vAlign w:val="bottom"/>
            <w:hideMark/>
          </w:tcPr>
          <w:p w14:paraId="4E8732C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3B2D3E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49.000</w:t>
            </w:r>
          </w:p>
        </w:tc>
        <w:tc>
          <w:tcPr>
            <w:tcW w:w="1946" w:type="dxa"/>
            <w:tcBorders>
              <w:top w:val="nil"/>
              <w:left w:val="nil"/>
              <w:bottom w:val="nil"/>
              <w:right w:val="nil"/>
            </w:tcBorders>
            <w:shd w:val="clear" w:color="auto" w:fill="auto"/>
            <w:noWrap/>
            <w:vAlign w:val="bottom"/>
            <w:hideMark/>
          </w:tcPr>
          <w:p w14:paraId="6E79335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BFE1DB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ED0A7B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176</w:t>
            </w:r>
          </w:p>
        </w:tc>
        <w:tc>
          <w:tcPr>
            <w:tcW w:w="904" w:type="dxa"/>
            <w:tcBorders>
              <w:top w:val="nil"/>
              <w:left w:val="nil"/>
              <w:bottom w:val="single" w:sz="4" w:space="0" w:color="auto"/>
              <w:right w:val="single" w:sz="4" w:space="0" w:color="auto"/>
            </w:tcBorders>
            <w:shd w:val="clear" w:color="auto" w:fill="auto"/>
            <w:noWrap/>
            <w:vAlign w:val="bottom"/>
            <w:hideMark/>
          </w:tcPr>
          <w:p w14:paraId="55BEA1A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0D4D11F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0B5DE7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3C24FAA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58.706</w:t>
            </w:r>
          </w:p>
        </w:tc>
        <w:tc>
          <w:tcPr>
            <w:tcW w:w="904" w:type="dxa"/>
            <w:tcBorders>
              <w:top w:val="nil"/>
              <w:left w:val="nil"/>
              <w:bottom w:val="single" w:sz="4" w:space="0" w:color="auto"/>
              <w:right w:val="single" w:sz="4" w:space="0" w:color="auto"/>
            </w:tcBorders>
            <w:shd w:val="clear" w:color="auto" w:fill="auto"/>
            <w:noWrap/>
            <w:vAlign w:val="bottom"/>
            <w:hideMark/>
          </w:tcPr>
          <w:p w14:paraId="71B1076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F75C46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49.575</w:t>
            </w:r>
          </w:p>
        </w:tc>
        <w:tc>
          <w:tcPr>
            <w:tcW w:w="1946" w:type="dxa"/>
            <w:tcBorders>
              <w:top w:val="nil"/>
              <w:left w:val="nil"/>
              <w:bottom w:val="nil"/>
              <w:right w:val="nil"/>
            </w:tcBorders>
            <w:shd w:val="clear" w:color="auto" w:fill="auto"/>
            <w:noWrap/>
            <w:vAlign w:val="bottom"/>
            <w:hideMark/>
          </w:tcPr>
          <w:p w14:paraId="53FB552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04ACCE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EC7EFC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177</w:t>
            </w:r>
          </w:p>
        </w:tc>
        <w:tc>
          <w:tcPr>
            <w:tcW w:w="904" w:type="dxa"/>
            <w:tcBorders>
              <w:top w:val="nil"/>
              <w:left w:val="nil"/>
              <w:bottom w:val="single" w:sz="4" w:space="0" w:color="auto"/>
              <w:right w:val="single" w:sz="4" w:space="0" w:color="auto"/>
            </w:tcBorders>
            <w:shd w:val="clear" w:color="auto" w:fill="auto"/>
            <w:noWrap/>
            <w:vAlign w:val="bottom"/>
            <w:hideMark/>
          </w:tcPr>
          <w:p w14:paraId="27471CA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E223D2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3291EEB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55.263</w:t>
            </w:r>
          </w:p>
        </w:tc>
        <w:tc>
          <w:tcPr>
            <w:tcW w:w="904" w:type="dxa"/>
            <w:tcBorders>
              <w:top w:val="nil"/>
              <w:left w:val="nil"/>
              <w:bottom w:val="single" w:sz="4" w:space="0" w:color="auto"/>
              <w:right w:val="single" w:sz="4" w:space="0" w:color="auto"/>
            </w:tcBorders>
            <w:shd w:val="clear" w:color="auto" w:fill="auto"/>
            <w:noWrap/>
            <w:vAlign w:val="bottom"/>
            <w:hideMark/>
          </w:tcPr>
          <w:p w14:paraId="2380D18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1FF408F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54.788</w:t>
            </w:r>
          </w:p>
        </w:tc>
        <w:tc>
          <w:tcPr>
            <w:tcW w:w="904" w:type="dxa"/>
            <w:tcBorders>
              <w:top w:val="nil"/>
              <w:left w:val="nil"/>
              <w:bottom w:val="single" w:sz="4" w:space="0" w:color="auto"/>
              <w:right w:val="single" w:sz="4" w:space="0" w:color="auto"/>
            </w:tcBorders>
            <w:shd w:val="clear" w:color="auto" w:fill="auto"/>
            <w:noWrap/>
            <w:vAlign w:val="bottom"/>
            <w:hideMark/>
          </w:tcPr>
          <w:p w14:paraId="700866B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51.221</w:t>
            </w:r>
          </w:p>
        </w:tc>
        <w:tc>
          <w:tcPr>
            <w:tcW w:w="1946" w:type="dxa"/>
            <w:tcBorders>
              <w:top w:val="nil"/>
              <w:left w:val="nil"/>
              <w:bottom w:val="nil"/>
              <w:right w:val="nil"/>
            </w:tcBorders>
            <w:shd w:val="clear" w:color="auto" w:fill="auto"/>
            <w:noWrap/>
            <w:vAlign w:val="bottom"/>
            <w:hideMark/>
          </w:tcPr>
          <w:p w14:paraId="0D59277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9BDBA1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0A486C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178</w:t>
            </w:r>
          </w:p>
        </w:tc>
        <w:tc>
          <w:tcPr>
            <w:tcW w:w="904" w:type="dxa"/>
            <w:tcBorders>
              <w:top w:val="nil"/>
              <w:left w:val="nil"/>
              <w:bottom w:val="single" w:sz="4" w:space="0" w:color="auto"/>
              <w:right w:val="single" w:sz="4" w:space="0" w:color="auto"/>
            </w:tcBorders>
            <w:shd w:val="clear" w:color="auto" w:fill="auto"/>
            <w:noWrap/>
            <w:vAlign w:val="bottom"/>
            <w:hideMark/>
          </w:tcPr>
          <w:p w14:paraId="02D247C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817359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0D70AFF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371B5EB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00E417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2DF3478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1946" w:type="dxa"/>
            <w:tcBorders>
              <w:top w:val="nil"/>
              <w:left w:val="nil"/>
              <w:bottom w:val="nil"/>
              <w:right w:val="nil"/>
            </w:tcBorders>
            <w:shd w:val="clear" w:color="auto" w:fill="auto"/>
            <w:noWrap/>
            <w:vAlign w:val="bottom"/>
            <w:hideMark/>
          </w:tcPr>
          <w:p w14:paraId="690BEE3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3850CB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E98306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179</w:t>
            </w:r>
          </w:p>
        </w:tc>
        <w:tc>
          <w:tcPr>
            <w:tcW w:w="904" w:type="dxa"/>
            <w:tcBorders>
              <w:top w:val="nil"/>
              <w:left w:val="nil"/>
              <w:bottom w:val="single" w:sz="4" w:space="0" w:color="auto"/>
              <w:right w:val="single" w:sz="4" w:space="0" w:color="auto"/>
            </w:tcBorders>
            <w:shd w:val="clear" w:color="auto" w:fill="auto"/>
            <w:noWrap/>
            <w:vAlign w:val="bottom"/>
            <w:hideMark/>
          </w:tcPr>
          <w:p w14:paraId="3F8701B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95AB3A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7AC1C5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0C8E2D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5B24D4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644AB4F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1946" w:type="dxa"/>
            <w:tcBorders>
              <w:top w:val="nil"/>
              <w:left w:val="nil"/>
              <w:bottom w:val="nil"/>
              <w:right w:val="nil"/>
            </w:tcBorders>
            <w:shd w:val="clear" w:color="auto" w:fill="auto"/>
            <w:noWrap/>
            <w:vAlign w:val="bottom"/>
            <w:hideMark/>
          </w:tcPr>
          <w:p w14:paraId="210C64D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B2A2E8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245409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180</w:t>
            </w:r>
          </w:p>
        </w:tc>
        <w:tc>
          <w:tcPr>
            <w:tcW w:w="904" w:type="dxa"/>
            <w:tcBorders>
              <w:top w:val="nil"/>
              <w:left w:val="nil"/>
              <w:bottom w:val="single" w:sz="4" w:space="0" w:color="auto"/>
              <w:right w:val="single" w:sz="4" w:space="0" w:color="auto"/>
            </w:tcBorders>
            <w:shd w:val="clear" w:color="auto" w:fill="auto"/>
            <w:noWrap/>
            <w:vAlign w:val="bottom"/>
            <w:hideMark/>
          </w:tcPr>
          <w:p w14:paraId="45CC9E2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57.785</w:t>
            </w:r>
          </w:p>
        </w:tc>
        <w:tc>
          <w:tcPr>
            <w:tcW w:w="904" w:type="dxa"/>
            <w:tcBorders>
              <w:top w:val="nil"/>
              <w:left w:val="nil"/>
              <w:bottom w:val="single" w:sz="4" w:space="0" w:color="auto"/>
              <w:right w:val="single" w:sz="4" w:space="0" w:color="auto"/>
            </w:tcBorders>
            <w:shd w:val="clear" w:color="auto" w:fill="auto"/>
            <w:noWrap/>
            <w:vAlign w:val="bottom"/>
            <w:hideMark/>
          </w:tcPr>
          <w:p w14:paraId="55DD07B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B7D58B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32C018A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0E7F7C4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53.799</w:t>
            </w:r>
          </w:p>
        </w:tc>
        <w:tc>
          <w:tcPr>
            <w:tcW w:w="904" w:type="dxa"/>
            <w:tcBorders>
              <w:top w:val="nil"/>
              <w:left w:val="nil"/>
              <w:bottom w:val="single" w:sz="4" w:space="0" w:color="auto"/>
              <w:right w:val="single" w:sz="4" w:space="0" w:color="auto"/>
            </w:tcBorders>
            <w:shd w:val="clear" w:color="auto" w:fill="auto"/>
            <w:noWrap/>
            <w:vAlign w:val="bottom"/>
            <w:hideMark/>
          </w:tcPr>
          <w:p w14:paraId="4BCFFBB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52.312</w:t>
            </w:r>
          </w:p>
        </w:tc>
        <w:tc>
          <w:tcPr>
            <w:tcW w:w="1946" w:type="dxa"/>
            <w:tcBorders>
              <w:top w:val="nil"/>
              <w:left w:val="nil"/>
              <w:bottom w:val="nil"/>
              <w:right w:val="nil"/>
            </w:tcBorders>
            <w:shd w:val="clear" w:color="auto" w:fill="auto"/>
            <w:noWrap/>
            <w:vAlign w:val="bottom"/>
            <w:hideMark/>
          </w:tcPr>
          <w:p w14:paraId="04F9B89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5383AC7"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C48A09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181</w:t>
            </w:r>
          </w:p>
        </w:tc>
        <w:tc>
          <w:tcPr>
            <w:tcW w:w="904" w:type="dxa"/>
            <w:tcBorders>
              <w:top w:val="nil"/>
              <w:left w:val="nil"/>
              <w:bottom w:val="single" w:sz="4" w:space="0" w:color="auto"/>
              <w:right w:val="single" w:sz="4" w:space="0" w:color="auto"/>
            </w:tcBorders>
            <w:shd w:val="clear" w:color="auto" w:fill="auto"/>
            <w:noWrap/>
            <w:vAlign w:val="bottom"/>
            <w:hideMark/>
          </w:tcPr>
          <w:p w14:paraId="2945210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59.284</w:t>
            </w:r>
          </w:p>
        </w:tc>
        <w:tc>
          <w:tcPr>
            <w:tcW w:w="904" w:type="dxa"/>
            <w:tcBorders>
              <w:top w:val="nil"/>
              <w:left w:val="nil"/>
              <w:bottom w:val="single" w:sz="4" w:space="0" w:color="auto"/>
              <w:right w:val="single" w:sz="4" w:space="0" w:color="auto"/>
            </w:tcBorders>
            <w:shd w:val="clear" w:color="auto" w:fill="auto"/>
            <w:noWrap/>
            <w:vAlign w:val="bottom"/>
            <w:hideMark/>
          </w:tcPr>
          <w:p w14:paraId="5C10425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56.361</w:t>
            </w:r>
          </w:p>
        </w:tc>
        <w:tc>
          <w:tcPr>
            <w:tcW w:w="904" w:type="dxa"/>
            <w:tcBorders>
              <w:top w:val="nil"/>
              <w:left w:val="nil"/>
              <w:bottom w:val="single" w:sz="4" w:space="0" w:color="auto"/>
              <w:right w:val="single" w:sz="4" w:space="0" w:color="auto"/>
            </w:tcBorders>
            <w:shd w:val="clear" w:color="auto" w:fill="auto"/>
            <w:noWrap/>
            <w:vAlign w:val="bottom"/>
            <w:hideMark/>
          </w:tcPr>
          <w:p w14:paraId="76CEAE3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71FD87C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58.736</w:t>
            </w:r>
          </w:p>
        </w:tc>
        <w:tc>
          <w:tcPr>
            <w:tcW w:w="904" w:type="dxa"/>
            <w:tcBorders>
              <w:top w:val="nil"/>
              <w:left w:val="nil"/>
              <w:bottom w:val="single" w:sz="4" w:space="0" w:color="auto"/>
              <w:right w:val="single" w:sz="4" w:space="0" w:color="auto"/>
            </w:tcBorders>
            <w:shd w:val="clear" w:color="auto" w:fill="auto"/>
            <w:noWrap/>
            <w:vAlign w:val="bottom"/>
            <w:hideMark/>
          </w:tcPr>
          <w:p w14:paraId="264EF8C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53.716</w:t>
            </w:r>
          </w:p>
        </w:tc>
        <w:tc>
          <w:tcPr>
            <w:tcW w:w="904" w:type="dxa"/>
            <w:tcBorders>
              <w:top w:val="nil"/>
              <w:left w:val="nil"/>
              <w:bottom w:val="single" w:sz="4" w:space="0" w:color="auto"/>
              <w:right w:val="single" w:sz="4" w:space="0" w:color="auto"/>
            </w:tcBorders>
            <w:shd w:val="clear" w:color="auto" w:fill="auto"/>
            <w:noWrap/>
            <w:vAlign w:val="bottom"/>
            <w:hideMark/>
          </w:tcPr>
          <w:p w14:paraId="3EAA73C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52.836</w:t>
            </w:r>
          </w:p>
        </w:tc>
        <w:tc>
          <w:tcPr>
            <w:tcW w:w="1946" w:type="dxa"/>
            <w:tcBorders>
              <w:top w:val="nil"/>
              <w:left w:val="nil"/>
              <w:bottom w:val="nil"/>
              <w:right w:val="nil"/>
            </w:tcBorders>
            <w:shd w:val="clear" w:color="auto" w:fill="auto"/>
            <w:noWrap/>
            <w:vAlign w:val="bottom"/>
            <w:hideMark/>
          </w:tcPr>
          <w:p w14:paraId="2C29A8A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D2B547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933C6E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182</w:t>
            </w:r>
          </w:p>
        </w:tc>
        <w:tc>
          <w:tcPr>
            <w:tcW w:w="904" w:type="dxa"/>
            <w:tcBorders>
              <w:top w:val="nil"/>
              <w:left w:val="nil"/>
              <w:bottom w:val="single" w:sz="4" w:space="0" w:color="auto"/>
              <w:right w:val="single" w:sz="4" w:space="0" w:color="auto"/>
            </w:tcBorders>
            <w:shd w:val="clear" w:color="auto" w:fill="auto"/>
            <w:noWrap/>
            <w:vAlign w:val="bottom"/>
            <w:hideMark/>
          </w:tcPr>
          <w:p w14:paraId="026240E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59.997</w:t>
            </w:r>
          </w:p>
        </w:tc>
        <w:tc>
          <w:tcPr>
            <w:tcW w:w="904" w:type="dxa"/>
            <w:tcBorders>
              <w:top w:val="nil"/>
              <w:left w:val="nil"/>
              <w:bottom w:val="single" w:sz="4" w:space="0" w:color="auto"/>
              <w:right w:val="single" w:sz="4" w:space="0" w:color="auto"/>
            </w:tcBorders>
            <w:shd w:val="clear" w:color="auto" w:fill="auto"/>
            <w:noWrap/>
            <w:vAlign w:val="bottom"/>
            <w:hideMark/>
          </w:tcPr>
          <w:p w14:paraId="0E6054C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58.991</w:t>
            </w:r>
          </w:p>
        </w:tc>
        <w:tc>
          <w:tcPr>
            <w:tcW w:w="904" w:type="dxa"/>
            <w:tcBorders>
              <w:top w:val="nil"/>
              <w:left w:val="nil"/>
              <w:bottom w:val="single" w:sz="4" w:space="0" w:color="auto"/>
              <w:right w:val="single" w:sz="4" w:space="0" w:color="auto"/>
            </w:tcBorders>
            <w:shd w:val="clear" w:color="auto" w:fill="auto"/>
            <w:noWrap/>
            <w:vAlign w:val="bottom"/>
            <w:hideMark/>
          </w:tcPr>
          <w:p w14:paraId="20A129F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61D4BBA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56.291</w:t>
            </w:r>
          </w:p>
        </w:tc>
        <w:tc>
          <w:tcPr>
            <w:tcW w:w="904" w:type="dxa"/>
            <w:tcBorders>
              <w:top w:val="nil"/>
              <w:left w:val="nil"/>
              <w:bottom w:val="single" w:sz="4" w:space="0" w:color="auto"/>
              <w:right w:val="single" w:sz="4" w:space="0" w:color="auto"/>
            </w:tcBorders>
            <w:shd w:val="clear" w:color="auto" w:fill="auto"/>
            <w:noWrap/>
            <w:vAlign w:val="bottom"/>
            <w:hideMark/>
          </w:tcPr>
          <w:p w14:paraId="392EFED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53.363</w:t>
            </w:r>
          </w:p>
        </w:tc>
        <w:tc>
          <w:tcPr>
            <w:tcW w:w="904" w:type="dxa"/>
            <w:tcBorders>
              <w:top w:val="nil"/>
              <w:left w:val="nil"/>
              <w:bottom w:val="single" w:sz="4" w:space="0" w:color="auto"/>
              <w:right w:val="single" w:sz="4" w:space="0" w:color="auto"/>
            </w:tcBorders>
            <w:shd w:val="clear" w:color="auto" w:fill="auto"/>
            <w:noWrap/>
            <w:vAlign w:val="bottom"/>
            <w:hideMark/>
          </w:tcPr>
          <w:p w14:paraId="5AF3081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1946" w:type="dxa"/>
            <w:tcBorders>
              <w:top w:val="nil"/>
              <w:left w:val="nil"/>
              <w:bottom w:val="nil"/>
              <w:right w:val="nil"/>
            </w:tcBorders>
            <w:shd w:val="clear" w:color="auto" w:fill="auto"/>
            <w:noWrap/>
            <w:vAlign w:val="bottom"/>
            <w:hideMark/>
          </w:tcPr>
          <w:p w14:paraId="38897A7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E53431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2530B2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183</w:t>
            </w:r>
          </w:p>
        </w:tc>
        <w:tc>
          <w:tcPr>
            <w:tcW w:w="904" w:type="dxa"/>
            <w:tcBorders>
              <w:top w:val="nil"/>
              <w:left w:val="nil"/>
              <w:bottom w:val="single" w:sz="4" w:space="0" w:color="auto"/>
              <w:right w:val="single" w:sz="4" w:space="0" w:color="auto"/>
            </w:tcBorders>
            <w:shd w:val="clear" w:color="auto" w:fill="auto"/>
            <w:noWrap/>
            <w:vAlign w:val="bottom"/>
            <w:hideMark/>
          </w:tcPr>
          <w:p w14:paraId="56E0A9E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03E37DC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95D1A3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13C4023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55.036</w:t>
            </w:r>
          </w:p>
        </w:tc>
        <w:tc>
          <w:tcPr>
            <w:tcW w:w="904" w:type="dxa"/>
            <w:tcBorders>
              <w:top w:val="nil"/>
              <w:left w:val="nil"/>
              <w:bottom w:val="single" w:sz="4" w:space="0" w:color="auto"/>
              <w:right w:val="single" w:sz="4" w:space="0" w:color="auto"/>
            </w:tcBorders>
            <w:shd w:val="clear" w:color="auto" w:fill="auto"/>
            <w:noWrap/>
            <w:vAlign w:val="bottom"/>
            <w:hideMark/>
          </w:tcPr>
          <w:p w14:paraId="61965F2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53.135</w:t>
            </w:r>
          </w:p>
        </w:tc>
        <w:tc>
          <w:tcPr>
            <w:tcW w:w="904" w:type="dxa"/>
            <w:tcBorders>
              <w:top w:val="nil"/>
              <w:left w:val="nil"/>
              <w:bottom w:val="single" w:sz="4" w:space="0" w:color="auto"/>
              <w:right w:val="single" w:sz="4" w:space="0" w:color="auto"/>
            </w:tcBorders>
            <w:shd w:val="clear" w:color="auto" w:fill="auto"/>
            <w:noWrap/>
            <w:vAlign w:val="bottom"/>
            <w:hideMark/>
          </w:tcPr>
          <w:p w14:paraId="60CC830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1946" w:type="dxa"/>
            <w:tcBorders>
              <w:top w:val="nil"/>
              <w:left w:val="nil"/>
              <w:bottom w:val="nil"/>
              <w:right w:val="nil"/>
            </w:tcBorders>
            <w:shd w:val="clear" w:color="auto" w:fill="auto"/>
            <w:noWrap/>
            <w:vAlign w:val="bottom"/>
            <w:hideMark/>
          </w:tcPr>
          <w:p w14:paraId="20CC728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0975A22"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B42C31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184</w:t>
            </w:r>
          </w:p>
        </w:tc>
        <w:tc>
          <w:tcPr>
            <w:tcW w:w="904" w:type="dxa"/>
            <w:tcBorders>
              <w:top w:val="nil"/>
              <w:left w:val="nil"/>
              <w:bottom w:val="single" w:sz="4" w:space="0" w:color="auto"/>
              <w:right w:val="single" w:sz="4" w:space="0" w:color="auto"/>
            </w:tcBorders>
            <w:shd w:val="clear" w:color="auto" w:fill="auto"/>
            <w:noWrap/>
            <w:vAlign w:val="bottom"/>
            <w:hideMark/>
          </w:tcPr>
          <w:p w14:paraId="0B4255F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0AE8C91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1F76269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56.224</w:t>
            </w:r>
          </w:p>
        </w:tc>
        <w:tc>
          <w:tcPr>
            <w:tcW w:w="904" w:type="dxa"/>
            <w:tcBorders>
              <w:top w:val="nil"/>
              <w:left w:val="nil"/>
              <w:bottom w:val="single" w:sz="4" w:space="0" w:color="auto"/>
              <w:right w:val="single" w:sz="4" w:space="0" w:color="auto"/>
            </w:tcBorders>
            <w:shd w:val="clear" w:color="auto" w:fill="auto"/>
            <w:noWrap/>
            <w:vAlign w:val="bottom"/>
            <w:hideMark/>
          </w:tcPr>
          <w:p w14:paraId="12B3E03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19ACE0D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55.465</w:t>
            </w:r>
          </w:p>
        </w:tc>
        <w:tc>
          <w:tcPr>
            <w:tcW w:w="904" w:type="dxa"/>
            <w:tcBorders>
              <w:top w:val="nil"/>
              <w:left w:val="nil"/>
              <w:bottom w:val="single" w:sz="4" w:space="0" w:color="auto"/>
              <w:right w:val="single" w:sz="4" w:space="0" w:color="auto"/>
            </w:tcBorders>
            <w:shd w:val="clear" w:color="auto" w:fill="auto"/>
            <w:noWrap/>
            <w:vAlign w:val="bottom"/>
            <w:hideMark/>
          </w:tcPr>
          <w:p w14:paraId="183A698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53.285</w:t>
            </w:r>
          </w:p>
        </w:tc>
        <w:tc>
          <w:tcPr>
            <w:tcW w:w="1946" w:type="dxa"/>
            <w:tcBorders>
              <w:top w:val="nil"/>
              <w:left w:val="nil"/>
              <w:bottom w:val="nil"/>
              <w:right w:val="nil"/>
            </w:tcBorders>
            <w:shd w:val="clear" w:color="auto" w:fill="auto"/>
            <w:noWrap/>
            <w:vAlign w:val="bottom"/>
            <w:hideMark/>
          </w:tcPr>
          <w:p w14:paraId="13F0311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3057FB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9696E9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185</w:t>
            </w:r>
          </w:p>
        </w:tc>
        <w:tc>
          <w:tcPr>
            <w:tcW w:w="904" w:type="dxa"/>
            <w:tcBorders>
              <w:top w:val="nil"/>
              <w:left w:val="nil"/>
              <w:bottom w:val="single" w:sz="4" w:space="0" w:color="auto"/>
              <w:right w:val="single" w:sz="4" w:space="0" w:color="auto"/>
            </w:tcBorders>
            <w:shd w:val="clear" w:color="auto" w:fill="auto"/>
            <w:noWrap/>
            <w:vAlign w:val="bottom"/>
            <w:hideMark/>
          </w:tcPr>
          <w:p w14:paraId="6CC579F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EE3EFF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97A83D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57.871</w:t>
            </w:r>
          </w:p>
        </w:tc>
        <w:tc>
          <w:tcPr>
            <w:tcW w:w="904" w:type="dxa"/>
            <w:tcBorders>
              <w:top w:val="nil"/>
              <w:left w:val="nil"/>
              <w:bottom w:val="single" w:sz="4" w:space="0" w:color="auto"/>
              <w:right w:val="single" w:sz="4" w:space="0" w:color="auto"/>
            </w:tcBorders>
            <w:shd w:val="clear" w:color="auto" w:fill="auto"/>
            <w:noWrap/>
            <w:vAlign w:val="bottom"/>
            <w:hideMark/>
          </w:tcPr>
          <w:p w14:paraId="2C21B61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24534D0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ABFA42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54.958</w:t>
            </w:r>
          </w:p>
        </w:tc>
        <w:tc>
          <w:tcPr>
            <w:tcW w:w="1946" w:type="dxa"/>
            <w:tcBorders>
              <w:top w:val="nil"/>
              <w:left w:val="nil"/>
              <w:bottom w:val="nil"/>
              <w:right w:val="nil"/>
            </w:tcBorders>
            <w:shd w:val="clear" w:color="auto" w:fill="auto"/>
            <w:noWrap/>
            <w:vAlign w:val="bottom"/>
            <w:hideMark/>
          </w:tcPr>
          <w:p w14:paraId="1508F0A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740BD07"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500DCF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186</w:t>
            </w:r>
          </w:p>
        </w:tc>
        <w:tc>
          <w:tcPr>
            <w:tcW w:w="904" w:type="dxa"/>
            <w:tcBorders>
              <w:top w:val="nil"/>
              <w:left w:val="nil"/>
              <w:bottom w:val="single" w:sz="4" w:space="0" w:color="auto"/>
              <w:right w:val="single" w:sz="4" w:space="0" w:color="auto"/>
            </w:tcBorders>
            <w:shd w:val="clear" w:color="auto" w:fill="auto"/>
            <w:noWrap/>
            <w:vAlign w:val="bottom"/>
            <w:hideMark/>
          </w:tcPr>
          <w:p w14:paraId="1D2A52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BB30B0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1EBB8E6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C538E9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4C920A0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56.367</w:t>
            </w:r>
          </w:p>
        </w:tc>
        <w:tc>
          <w:tcPr>
            <w:tcW w:w="904" w:type="dxa"/>
            <w:tcBorders>
              <w:top w:val="nil"/>
              <w:left w:val="nil"/>
              <w:bottom w:val="single" w:sz="4" w:space="0" w:color="auto"/>
              <w:right w:val="single" w:sz="4" w:space="0" w:color="auto"/>
            </w:tcBorders>
            <w:shd w:val="clear" w:color="auto" w:fill="auto"/>
            <w:noWrap/>
            <w:vAlign w:val="bottom"/>
            <w:hideMark/>
          </w:tcPr>
          <w:p w14:paraId="199779D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632A425C"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FCF307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9A0AE2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187</w:t>
            </w:r>
          </w:p>
        </w:tc>
        <w:tc>
          <w:tcPr>
            <w:tcW w:w="904" w:type="dxa"/>
            <w:tcBorders>
              <w:top w:val="nil"/>
              <w:left w:val="nil"/>
              <w:bottom w:val="single" w:sz="4" w:space="0" w:color="auto"/>
              <w:right w:val="single" w:sz="4" w:space="0" w:color="auto"/>
            </w:tcBorders>
            <w:shd w:val="clear" w:color="auto" w:fill="auto"/>
            <w:noWrap/>
            <w:vAlign w:val="bottom"/>
            <w:hideMark/>
          </w:tcPr>
          <w:p w14:paraId="6446DF1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0DEA7BE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79F5BD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3793905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3316156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57.970</w:t>
            </w:r>
          </w:p>
        </w:tc>
        <w:tc>
          <w:tcPr>
            <w:tcW w:w="904" w:type="dxa"/>
            <w:tcBorders>
              <w:top w:val="nil"/>
              <w:left w:val="nil"/>
              <w:bottom w:val="single" w:sz="4" w:space="0" w:color="auto"/>
              <w:right w:val="single" w:sz="4" w:space="0" w:color="auto"/>
            </w:tcBorders>
            <w:shd w:val="clear" w:color="auto" w:fill="auto"/>
            <w:noWrap/>
            <w:vAlign w:val="bottom"/>
            <w:hideMark/>
          </w:tcPr>
          <w:p w14:paraId="7140E80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6212A19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4EE48D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A825D8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188</w:t>
            </w:r>
          </w:p>
        </w:tc>
        <w:tc>
          <w:tcPr>
            <w:tcW w:w="904" w:type="dxa"/>
            <w:tcBorders>
              <w:top w:val="nil"/>
              <w:left w:val="nil"/>
              <w:bottom w:val="single" w:sz="4" w:space="0" w:color="auto"/>
              <w:right w:val="single" w:sz="4" w:space="0" w:color="auto"/>
            </w:tcBorders>
            <w:shd w:val="clear" w:color="auto" w:fill="auto"/>
            <w:noWrap/>
            <w:vAlign w:val="bottom"/>
            <w:hideMark/>
          </w:tcPr>
          <w:p w14:paraId="064AF54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04AFD06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57.488</w:t>
            </w:r>
          </w:p>
        </w:tc>
        <w:tc>
          <w:tcPr>
            <w:tcW w:w="904" w:type="dxa"/>
            <w:tcBorders>
              <w:top w:val="nil"/>
              <w:left w:val="nil"/>
              <w:bottom w:val="single" w:sz="4" w:space="0" w:color="auto"/>
              <w:right w:val="single" w:sz="4" w:space="0" w:color="auto"/>
            </w:tcBorders>
            <w:shd w:val="clear" w:color="auto" w:fill="auto"/>
            <w:noWrap/>
            <w:vAlign w:val="bottom"/>
            <w:hideMark/>
          </w:tcPr>
          <w:p w14:paraId="67DBAB3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143E04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3FFDD5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9DAE21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7D21636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EBB60E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46D60C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189</w:t>
            </w:r>
          </w:p>
        </w:tc>
        <w:tc>
          <w:tcPr>
            <w:tcW w:w="904" w:type="dxa"/>
            <w:tcBorders>
              <w:top w:val="nil"/>
              <w:left w:val="nil"/>
              <w:bottom w:val="single" w:sz="4" w:space="0" w:color="auto"/>
              <w:right w:val="single" w:sz="4" w:space="0" w:color="auto"/>
            </w:tcBorders>
            <w:shd w:val="clear" w:color="auto" w:fill="auto"/>
            <w:noWrap/>
            <w:vAlign w:val="bottom"/>
            <w:hideMark/>
          </w:tcPr>
          <w:p w14:paraId="3325C79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B66F93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874B65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084C46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55.084</w:t>
            </w:r>
          </w:p>
        </w:tc>
        <w:tc>
          <w:tcPr>
            <w:tcW w:w="904" w:type="dxa"/>
            <w:tcBorders>
              <w:top w:val="nil"/>
              <w:left w:val="nil"/>
              <w:bottom w:val="single" w:sz="4" w:space="0" w:color="auto"/>
              <w:right w:val="single" w:sz="4" w:space="0" w:color="auto"/>
            </w:tcBorders>
            <w:shd w:val="clear" w:color="auto" w:fill="auto"/>
            <w:noWrap/>
            <w:vAlign w:val="bottom"/>
            <w:hideMark/>
          </w:tcPr>
          <w:p w14:paraId="406FB39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84920E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487F826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A2A422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5810E1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190</w:t>
            </w:r>
          </w:p>
        </w:tc>
        <w:tc>
          <w:tcPr>
            <w:tcW w:w="904" w:type="dxa"/>
            <w:tcBorders>
              <w:top w:val="nil"/>
              <w:left w:val="nil"/>
              <w:bottom w:val="single" w:sz="4" w:space="0" w:color="auto"/>
              <w:right w:val="single" w:sz="4" w:space="0" w:color="auto"/>
            </w:tcBorders>
            <w:shd w:val="clear" w:color="auto" w:fill="auto"/>
            <w:noWrap/>
            <w:vAlign w:val="bottom"/>
            <w:hideMark/>
          </w:tcPr>
          <w:p w14:paraId="5306DE4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98A13A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57.087</w:t>
            </w:r>
          </w:p>
        </w:tc>
        <w:tc>
          <w:tcPr>
            <w:tcW w:w="904" w:type="dxa"/>
            <w:tcBorders>
              <w:top w:val="nil"/>
              <w:left w:val="nil"/>
              <w:bottom w:val="single" w:sz="4" w:space="0" w:color="auto"/>
              <w:right w:val="single" w:sz="4" w:space="0" w:color="auto"/>
            </w:tcBorders>
            <w:shd w:val="clear" w:color="auto" w:fill="auto"/>
            <w:noWrap/>
            <w:vAlign w:val="bottom"/>
            <w:hideMark/>
          </w:tcPr>
          <w:p w14:paraId="51218B1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EE1065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57.742</w:t>
            </w:r>
          </w:p>
        </w:tc>
        <w:tc>
          <w:tcPr>
            <w:tcW w:w="904" w:type="dxa"/>
            <w:tcBorders>
              <w:top w:val="nil"/>
              <w:left w:val="nil"/>
              <w:bottom w:val="single" w:sz="4" w:space="0" w:color="auto"/>
              <w:right w:val="single" w:sz="4" w:space="0" w:color="auto"/>
            </w:tcBorders>
            <w:shd w:val="clear" w:color="auto" w:fill="auto"/>
            <w:noWrap/>
            <w:vAlign w:val="bottom"/>
            <w:hideMark/>
          </w:tcPr>
          <w:p w14:paraId="69BDC29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FDE625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01703EE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E2F898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239371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191</w:t>
            </w:r>
          </w:p>
        </w:tc>
        <w:tc>
          <w:tcPr>
            <w:tcW w:w="904" w:type="dxa"/>
            <w:tcBorders>
              <w:top w:val="nil"/>
              <w:left w:val="nil"/>
              <w:bottom w:val="single" w:sz="4" w:space="0" w:color="auto"/>
              <w:right w:val="single" w:sz="4" w:space="0" w:color="auto"/>
            </w:tcBorders>
            <w:shd w:val="clear" w:color="auto" w:fill="auto"/>
            <w:noWrap/>
            <w:vAlign w:val="bottom"/>
            <w:hideMark/>
          </w:tcPr>
          <w:p w14:paraId="7802B5D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B0695B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57.980</w:t>
            </w:r>
          </w:p>
        </w:tc>
        <w:tc>
          <w:tcPr>
            <w:tcW w:w="904" w:type="dxa"/>
            <w:tcBorders>
              <w:top w:val="nil"/>
              <w:left w:val="nil"/>
              <w:bottom w:val="single" w:sz="4" w:space="0" w:color="auto"/>
              <w:right w:val="single" w:sz="4" w:space="0" w:color="auto"/>
            </w:tcBorders>
            <w:shd w:val="clear" w:color="auto" w:fill="auto"/>
            <w:noWrap/>
            <w:vAlign w:val="bottom"/>
            <w:hideMark/>
          </w:tcPr>
          <w:p w14:paraId="66AAE96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5C8A5F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58.150</w:t>
            </w:r>
          </w:p>
        </w:tc>
        <w:tc>
          <w:tcPr>
            <w:tcW w:w="904" w:type="dxa"/>
            <w:tcBorders>
              <w:top w:val="nil"/>
              <w:left w:val="nil"/>
              <w:bottom w:val="single" w:sz="4" w:space="0" w:color="auto"/>
              <w:right w:val="single" w:sz="4" w:space="0" w:color="auto"/>
            </w:tcBorders>
            <w:shd w:val="clear" w:color="auto" w:fill="auto"/>
            <w:noWrap/>
            <w:vAlign w:val="bottom"/>
            <w:hideMark/>
          </w:tcPr>
          <w:p w14:paraId="3D93487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64F303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56.227</w:t>
            </w:r>
          </w:p>
        </w:tc>
        <w:tc>
          <w:tcPr>
            <w:tcW w:w="1946" w:type="dxa"/>
            <w:tcBorders>
              <w:top w:val="nil"/>
              <w:left w:val="nil"/>
              <w:bottom w:val="nil"/>
              <w:right w:val="nil"/>
            </w:tcBorders>
            <w:shd w:val="clear" w:color="auto" w:fill="auto"/>
            <w:noWrap/>
            <w:vAlign w:val="bottom"/>
            <w:hideMark/>
          </w:tcPr>
          <w:p w14:paraId="36F91F3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396F96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0BACB6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192</w:t>
            </w:r>
          </w:p>
        </w:tc>
        <w:tc>
          <w:tcPr>
            <w:tcW w:w="904" w:type="dxa"/>
            <w:tcBorders>
              <w:top w:val="nil"/>
              <w:left w:val="nil"/>
              <w:bottom w:val="single" w:sz="4" w:space="0" w:color="auto"/>
              <w:right w:val="single" w:sz="4" w:space="0" w:color="auto"/>
            </w:tcBorders>
            <w:shd w:val="clear" w:color="auto" w:fill="auto"/>
            <w:noWrap/>
            <w:vAlign w:val="bottom"/>
            <w:hideMark/>
          </w:tcPr>
          <w:p w14:paraId="291997A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5DB400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58.795</w:t>
            </w:r>
          </w:p>
        </w:tc>
        <w:tc>
          <w:tcPr>
            <w:tcW w:w="904" w:type="dxa"/>
            <w:tcBorders>
              <w:top w:val="nil"/>
              <w:left w:val="nil"/>
              <w:bottom w:val="single" w:sz="4" w:space="0" w:color="auto"/>
              <w:right w:val="single" w:sz="4" w:space="0" w:color="auto"/>
            </w:tcBorders>
            <w:shd w:val="clear" w:color="auto" w:fill="auto"/>
            <w:noWrap/>
            <w:vAlign w:val="bottom"/>
            <w:hideMark/>
          </w:tcPr>
          <w:p w14:paraId="5734110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37E142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60.004</w:t>
            </w:r>
          </w:p>
        </w:tc>
        <w:tc>
          <w:tcPr>
            <w:tcW w:w="904" w:type="dxa"/>
            <w:tcBorders>
              <w:top w:val="nil"/>
              <w:left w:val="nil"/>
              <w:bottom w:val="single" w:sz="4" w:space="0" w:color="auto"/>
              <w:right w:val="single" w:sz="4" w:space="0" w:color="auto"/>
            </w:tcBorders>
            <w:shd w:val="clear" w:color="auto" w:fill="auto"/>
            <w:noWrap/>
            <w:vAlign w:val="bottom"/>
            <w:hideMark/>
          </w:tcPr>
          <w:p w14:paraId="16D726F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6FF41B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57.697</w:t>
            </w:r>
          </w:p>
        </w:tc>
        <w:tc>
          <w:tcPr>
            <w:tcW w:w="1946" w:type="dxa"/>
            <w:tcBorders>
              <w:top w:val="nil"/>
              <w:left w:val="nil"/>
              <w:bottom w:val="nil"/>
              <w:right w:val="nil"/>
            </w:tcBorders>
            <w:shd w:val="clear" w:color="auto" w:fill="auto"/>
            <w:noWrap/>
            <w:vAlign w:val="bottom"/>
            <w:hideMark/>
          </w:tcPr>
          <w:p w14:paraId="19894E8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D126B1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1EA7BC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193</w:t>
            </w:r>
          </w:p>
        </w:tc>
        <w:tc>
          <w:tcPr>
            <w:tcW w:w="904" w:type="dxa"/>
            <w:tcBorders>
              <w:top w:val="nil"/>
              <w:left w:val="nil"/>
              <w:bottom w:val="single" w:sz="4" w:space="0" w:color="auto"/>
              <w:right w:val="single" w:sz="4" w:space="0" w:color="auto"/>
            </w:tcBorders>
            <w:shd w:val="clear" w:color="auto" w:fill="auto"/>
            <w:noWrap/>
            <w:vAlign w:val="bottom"/>
            <w:hideMark/>
          </w:tcPr>
          <w:p w14:paraId="6B9C0E5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CDFC3A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0F629F3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581B80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6C7D91D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852141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58.079</w:t>
            </w:r>
          </w:p>
        </w:tc>
        <w:tc>
          <w:tcPr>
            <w:tcW w:w="1946" w:type="dxa"/>
            <w:tcBorders>
              <w:top w:val="nil"/>
              <w:left w:val="nil"/>
              <w:bottom w:val="nil"/>
              <w:right w:val="nil"/>
            </w:tcBorders>
            <w:shd w:val="clear" w:color="auto" w:fill="auto"/>
            <w:noWrap/>
            <w:vAlign w:val="bottom"/>
            <w:hideMark/>
          </w:tcPr>
          <w:p w14:paraId="6FD9AEC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F64CE5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6A271A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194</w:t>
            </w:r>
          </w:p>
        </w:tc>
        <w:tc>
          <w:tcPr>
            <w:tcW w:w="904" w:type="dxa"/>
            <w:tcBorders>
              <w:top w:val="nil"/>
              <w:left w:val="nil"/>
              <w:bottom w:val="single" w:sz="4" w:space="0" w:color="auto"/>
              <w:right w:val="single" w:sz="4" w:space="0" w:color="auto"/>
            </w:tcBorders>
            <w:shd w:val="clear" w:color="auto" w:fill="auto"/>
            <w:noWrap/>
            <w:vAlign w:val="bottom"/>
            <w:hideMark/>
          </w:tcPr>
          <w:p w14:paraId="70EFAF0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61B37D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59.430</w:t>
            </w:r>
          </w:p>
        </w:tc>
        <w:tc>
          <w:tcPr>
            <w:tcW w:w="904" w:type="dxa"/>
            <w:tcBorders>
              <w:top w:val="nil"/>
              <w:left w:val="nil"/>
              <w:bottom w:val="single" w:sz="4" w:space="0" w:color="auto"/>
              <w:right w:val="single" w:sz="4" w:space="0" w:color="auto"/>
            </w:tcBorders>
            <w:shd w:val="clear" w:color="auto" w:fill="auto"/>
            <w:noWrap/>
            <w:vAlign w:val="bottom"/>
            <w:hideMark/>
          </w:tcPr>
          <w:p w14:paraId="4D3A6D9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56.017</w:t>
            </w:r>
          </w:p>
        </w:tc>
        <w:tc>
          <w:tcPr>
            <w:tcW w:w="904" w:type="dxa"/>
            <w:tcBorders>
              <w:top w:val="nil"/>
              <w:left w:val="nil"/>
              <w:bottom w:val="single" w:sz="4" w:space="0" w:color="auto"/>
              <w:right w:val="single" w:sz="4" w:space="0" w:color="auto"/>
            </w:tcBorders>
            <w:shd w:val="clear" w:color="auto" w:fill="auto"/>
            <w:noWrap/>
            <w:vAlign w:val="bottom"/>
            <w:hideMark/>
          </w:tcPr>
          <w:p w14:paraId="558B8AC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61.417</w:t>
            </w:r>
          </w:p>
        </w:tc>
        <w:tc>
          <w:tcPr>
            <w:tcW w:w="904" w:type="dxa"/>
            <w:tcBorders>
              <w:top w:val="nil"/>
              <w:left w:val="nil"/>
              <w:bottom w:val="single" w:sz="4" w:space="0" w:color="auto"/>
              <w:right w:val="single" w:sz="4" w:space="0" w:color="auto"/>
            </w:tcBorders>
            <w:shd w:val="clear" w:color="auto" w:fill="auto"/>
            <w:noWrap/>
            <w:vAlign w:val="bottom"/>
            <w:hideMark/>
          </w:tcPr>
          <w:p w14:paraId="6556F7D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46EB1E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58.278</w:t>
            </w:r>
          </w:p>
        </w:tc>
        <w:tc>
          <w:tcPr>
            <w:tcW w:w="1946" w:type="dxa"/>
            <w:tcBorders>
              <w:top w:val="nil"/>
              <w:left w:val="nil"/>
              <w:bottom w:val="nil"/>
              <w:right w:val="nil"/>
            </w:tcBorders>
            <w:shd w:val="clear" w:color="auto" w:fill="auto"/>
            <w:noWrap/>
            <w:vAlign w:val="bottom"/>
            <w:hideMark/>
          </w:tcPr>
          <w:p w14:paraId="35AB8046"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7B75CC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94D332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195</w:t>
            </w:r>
          </w:p>
        </w:tc>
        <w:tc>
          <w:tcPr>
            <w:tcW w:w="904" w:type="dxa"/>
            <w:tcBorders>
              <w:top w:val="nil"/>
              <w:left w:val="nil"/>
              <w:bottom w:val="single" w:sz="4" w:space="0" w:color="auto"/>
              <w:right w:val="single" w:sz="4" w:space="0" w:color="auto"/>
            </w:tcBorders>
            <w:shd w:val="clear" w:color="auto" w:fill="auto"/>
            <w:noWrap/>
            <w:vAlign w:val="bottom"/>
            <w:hideMark/>
          </w:tcPr>
          <w:p w14:paraId="11AF4A1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59.801</w:t>
            </w:r>
          </w:p>
        </w:tc>
        <w:tc>
          <w:tcPr>
            <w:tcW w:w="904" w:type="dxa"/>
            <w:tcBorders>
              <w:top w:val="nil"/>
              <w:left w:val="nil"/>
              <w:bottom w:val="single" w:sz="4" w:space="0" w:color="auto"/>
              <w:right w:val="single" w:sz="4" w:space="0" w:color="auto"/>
            </w:tcBorders>
            <w:shd w:val="clear" w:color="auto" w:fill="auto"/>
            <w:noWrap/>
            <w:vAlign w:val="bottom"/>
            <w:hideMark/>
          </w:tcPr>
          <w:p w14:paraId="0CB90FD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32A0B41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A2AD20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37C7CB9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6DABF3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60.227</w:t>
            </w:r>
          </w:p>
        </w:tc>
        <w:tc>
          <w:tcPr>
            <w:tcW w:w="1946" w:type="dxa"/>
            <w:tcBorders>
              <w:top w:val="nil"/>
              <w:left w:val="nil"/>
              <w:bottom w:val="nil"/>
              <w:right w:val="nil"/>
            </w:tcBorders>
            <w:shd w:val="clear" w:color="auto" w:fill="auto"/>
            <w:noWrap/>
            <w:vAlign w:val="bottom"/>
            <w:hideMark/>
          </w:tcPr>
          <w:p w14:paraId="10E68CE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9E7254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06FB56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196</w:t>
            </w:r>
          </w:p>
        </w:tc>
        <w:tc>
          <w:tcPr>
            <w:tcW w:w="904" w:type="dxa"/>
            <w:tcBorders>
              <w:top w:val="nil"/>
              <w:left w:val="nil"/>
              <w:bottom w:val="single" w:sz="4" w:space="0" w:color="auto"/>
              <w:right w:val="single" w:sz="4" w:space="0" w:color="auto"/>
            </w:tcBorders>
            <w:shd w:val="clear" w:color="auto" w:fill="auto"/>
            <w:noWrap/>
            <w:vAlign w:val="bottom"/>
            <w:hideMark/>
          </w:tcPr>
          <w:p w14:paraId="688F32B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57.246</w:t>
            </w:r>
          </w:p>
        </w:tc>
        <w:tc>
          <w:tcPr>
            <w:tcW w:w="904" w:type="dxa"/>
            <w:tcBorders>
              <w:top w:val="nil"/>
              <w:left w:val="nil"/>
              <w:bottom w:val="single" w:sz="4" w:space="0" w:color="auto"/>
              <w:right w:val="single" w:sz="4" w:space="0" w:color="auto"/>
            </w:tcBorders>
            <w:shd w:val="clear" w:color="auto" w:fill="auto"/>
            <w:noWrap/>
            <w:vAlign w:val="bottom"/>
            <w:hideMark/>
          </w:tcPr>
          <w:p w14:paraId="589991D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167BB1A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225B2C6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1EC287D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7E20D9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60.975</w:t>
            </w:r>
          </w:p>
        </w:tc>
        <w:tc>
          <w:tcPr>
            <w:tcW w:w="1946" w:type="dxa"/>
            <w:tcBorders>
              <w:top w:val="nil"/>
              <w:left w:val="nil"/>
              <w:bottom w:val="nil"/>
              <w:right w:val="nil"/>
            </w:tcBorders>
            <w:shd w:val="clear" w:color="auto" w:fill="auto"/>
            <w:noWrap/>
            <w:vAlign w:val="bottom"/>
            <w:hideMark/>
          </w:tcPr>
          <w:p w14:paraId="262FFC1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8567A4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38EA2C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197</w:t>
            </w:r>
          </w:p>
        </w:tc>
        <w:tc>
          <w:tcPr>
            <w:tcW w:w="904" w:type="dxa"/>
            <w:tcBorders>
              <w:top w:val="nil"/>
              <w:left w:val="nil"/>
              <w:bottom w:val="single" w:sz="4" w:space="0" w:color="auto"/>
              <w:right w:val="single" w:sz="4" w:space="0" w:color="auto"/>
            </w:tcBorders>
            <w:shd w:val="clear" w:color="auto" w:fill="auto"/>
            <w:noWrap/>
            <w:vAlign w:val="bottom"/>
            <w:hideMark/>
          </w:tcPr>
          <w:p w14:paraId="2206D7A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7B8AE53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61.939</w:t>
            </w:r>
          </w:p>
        </w:tc>
        <w:tc>
          <w:tcPr>
            <w:tcW w:w="904" w:type="dxa"/>
            <w:tcBorders>
              <w:top w:val="nil"/>
              <w:left w:val="nil"/>
              <w:bottom w:val="single" w:sz="4" w:space="0" w:color="auto"/>
              <w:right w:val="single" w:sz="4" w:space="0" w:color="auto"/>
            </w:tcBorders>
            <w:shd w:val="clear" w:color="auto" w:fill="auto"/>
            <w:noWrap/>
            <w:vAlign w:val="bottom"/>
            <w:hideMark/>
          </w:tcPr>
          <w:p w14:paraId="1A889C3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05DDC20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2769241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58.388</w:t>
            </w:r>
          </w:p>
        </w:tc>
        <w:tc>
          <w:tcPr>
            <w:tcW w:w="904" w:type="dxa"/>
            <w:tcBorders>
              <w:top w:val="nil"/>
              <w:left w:val="nil"/>
              <w:bottom w:val="single" w:sz="4" w:space="0" w:color="auto"/>
              <w:right w:val="single" w:sz="4" w:space="0" w:color="auto"/>
            </w:tcBorders>
            <w:shd w:val="clear" w:color="auto" w:fill="auto"/>
            <w:noWrap/>
            <w:vAlign w:val="bottom"/>
            <w:hideMark/>
          </w:tcPr>
          <w:p w14:paraId="0799696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1946" w:type="dxa"/>
            <w:tcBorders>
              <w:top w:val="nil"/>
              <w:left w:val="nil"/>
              <w:bottom w:val="nil"/>
              <w:right w:val="nil"/>
            </w:tcBorders>
            <w:shd w:val="clear" w:color="auto" w:fill="auto"/>
            <w:noWrap/>
            <w:vAlign w:val="bottom"/>
            <w:hideMark/>
          </w:tcPr>
          <w:p w14:paraId="236C99D6"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259DDA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89E30A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198</w:t>
            </w:r>
          </w:p>
        </w:tc>
        <w:tc>
          <w:tcPr>
            <w:tcW w:w="904" w:type="dxa"/>
            <w:tcBorders>
              <w:top w:val="nil"/>
              <w:left w:val="nil"/>
              <w:bottom w:val="single" w:sz="4" w:space="0" w:color="auto"/>
              <w:right w:val="single" w:sz="4" w:space="0" w:color="auto"/>
            </w:tcBorders>
            <w:shd w:val="clear" w:color="auto" w:fill="auto"/>
            <w:noWrap/>
            <w:vAlign w:val="bottom"/>
            <w:hideMark/>
          </w:tcPr>
          <w:p w14:paraId="77BDC40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616D57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63.524</w:t>
            </w:r>
          </w:p>
        </w:tc>
        <w:tc>
          <w:tcPr>
            <w:tcW w:w="904" w:type="dxa"/>
            <w:tcBorders>
              <w:top w:val="nil"/>
              <w:left w:val="nil"/>
              <w:bottom w:val="single" w:sz="4" w:space="0" w:color="auto"/>
              <w:right w:val="single" w:sz="4" w:space="0" w:color="auto"/>
            </w:tcBorders>
            <w:shd w:val="clear" w:color="auto" w:fill="auto"/>
            <w:noWrap/>
            <w:vAlign w:val="bottom"/>
            <w:hideMark/>
          </w:tcPr>
          <w:p w14:paraId="7508905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649676C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7B5899F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59.025</w:t>
            </w:r>
          </w:p>
        </w:tc>
        <w:tc>
          <w:tcPr>
            <w:tcW w:w="904" w:type="dxa"/>
            <w:tcBorders>
              <w:top w:val="nil"/>
              <w:left w:val="nil"/>
              <w:bottom w:val="single" w:sz="4" w:space="0" w:color="auto"/>
              <w:right w:val="single" w:sz="4" w:space="0" w:color="auto"/>
            </w:tcBorders>
            <w:shd w:val="clear" w:color="auto" w:fill="auto"/>
            <w:noWrap/>
            <w:vAlign w:val="bottom"/>
            <w:hideMark/>
          </w:tcPr>
          <w:p w14:paraId="1117B6D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1946" w:type="dxa"/>
            <w:tcBorders>
              <w:top w:val="nil"/>
              <w:left w:val="nil"/>
              <w:bottom w:val="nil"/>
              <w:right w:val="nil"/>
            </w:tcBorders>
            <w:shd w:val="clear" w:color="auto" w:fill="auto"/>
            <w:noWrap/>
            <w:vAlign w:val="bottom"/>
            <w:hideMark/>
          </w:tcPr>
          <w:p w14:paraId="55CDC70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2FF2D6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C98C4F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199</w:t>
            </w:r>
          </w:p>
        </w:tc>
        <w:tc>
          <w:tcPr>
            <w:tcW w:w="904" w:type="dxa"/>
            <w:tcBorders>
              <w:top w:val="nil"/>
              <w:left w:val="nil"/>
              <w:bottom w:val="single" w:sz="4" w:space="0" w:color="auto"/>
              <w:right w:val="single" w:sz="4" w:space="0" w:color="auto"/>
            </w:tcBorders>
            <w:shd w:val="clear" w:color="auto" w:fill="auto"/>
            <w:noWrap/>
            <w:vAlign w:val="bottom"/>
            <w:hideMark/>
          </w:tcPr>
          <w:p w14:paraId="6BC89F7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0A9A04A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51B22B1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3B2C5E8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303287C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59.740</w:t>
            </w:r>
          </w:p>
        </w:tc>
        <w:tc>
          <w:tcPr>
            <w:tcW w:w="904" w:type="dxa"/>
            <w:tcBorders>
              <w:top w:val="nil"/>
              <w:left w:val="nil"/>
              <w:bottom w:val="single" w:sz="4" w:space="0" w:color="auto"/>
              <w:right w:val="single" w:sz="4" w:space="0" w:color="auto"/>
            </w:tcBorders>
            <w:shd w:val="clear" w:color="auto" w:fill="auto"/>
            <w:noWrap/>
            <w:vAlign w:val="bottom"/>
            <w:hideMark/>
          </w:tcPr>
          <w:p w14:paraId="1D90B6D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1946" w:type="dxa"/>
            <w:tcBorders>
              <w:top w:val="nil"/>
              <w:left w:val="nil"/>
              <w:bottom w:val="nil"/>
              <w:right w:val="nil"/>
            </w:tcBorders>
            <w:shd w:val="clear" w:color="auto" w:fill="auto"/>
            <w:noWrap/>
            <w:vAlign w:val="bottom"/>
            <w:hideMark/>
          </w:tcPr>
          <w:p w14:paraId="53C40BA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F48614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27DA34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200</w:t>
            </w:r>
          </w:p>
        </w:tc>
        <w:tc>
          <w:tcPr>
            <w:tcW w:w="904" w:type="dxa"/>
            <w:tcBorders>
              <w:top w:val="nil"/>
              <w:left w:val="nil"/>
              <w:bottom w:val="single" w:sz="4" w:space="0" w:color="auto"/>
              <w:right w:val="single" w:sz="4" w:space="0" w:color="auto"/>
            </w:tcBorders>
            <w:shd w:val="clear" w:color="auto" w:fill="auto"/>
            <w:noWrap/>
            <w:vAlign w:val="bottom"/>
            <w:hideMark/>
          </w:tcPr>
          <w:p w14:paraId="18EECDD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1C5B772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7BF759B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B3A1BB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63.229</w:t>
            </w:r>
          </w:p>
        </w:tc>
        <w:tc>
          <w:tcPr>
            <w:tcW w:w="904" w:type="dxa"/>
            <w:tcBorders>
              <w:top w:val="nil"/>
              <w:left w:val="nil"/>
              <w:bottom w:val="single" w:sz="4" w:space="0" w:color="auto"/>
              <w:right w:val="single" w:sz="4" w:space="0" w:color="auto"/>
            </w:tcBorders>
            <w:shd w:val="clear" w:color="auto" w:fill="auto"/>
            <w:noWrap/>
            <w:vAlign w:val="bottom"/>
            <w:hideMark/>
          </w:tcPr>
          <w:p w14:paraId="5F474CD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60.859</w:t>
            </w:r>
          </w:p>
        </w:tc>
        <w:tc>
          <w:tcPr>
            <w:tcW w:w="904" w:type="dxa"/>
            <w:tcBorders>
              <w:top w:val="nil"/>
              <w:left w:val="nil"/>
              <w:bottom w:val="single" w:sz="4" w:space="0" w:color="auto"/>
              <w:right w:val="single" w:sz="4" w:space="0" w:color="auto"/>
            </w:tcBorders>
            <w:shd w:val="clear" w:color="auto" w:fill="auto"/>
            <w:noWrap/>
            <w:vAlign w:val="bottom"/>
            <w:hideMark/>
          </w:tcPr>
          <w:p w14:paraId="4D5CE2B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60.486</w:t>
            </w:r>
          </w:p>
        </w:tc>
        <w:tc>
          <w:tcPr>
            <w:tcW w:w="1946" w:type="dxa"/>
            <w:tcBorders>
              <w:top w:val="nil"/>
              <w:left w:val="nil"/>
              <w:bottom w:val="nil"/>
              <w:right w:val="nil"/>
            </w:tcBorders>
            <w:shd w:val="clear" w:color="auto" w:fill="auto"/>
            <w:noWrap/>
            <w:vAlign w:val="bottom"/>
            <w:hideMark/>
          </w:tcPr>
          <w:p w14:paraId="7F72B9A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5904A0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6C9C51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201</w:t>
            </w:r>
          </w:p>
        </w:tc>
        <w:tc>
          <w:tcPr>
            <w:tcW w:w="904" w:type="dxa"/>
            <w:tcBorders>
              <w:top w:val="nil"/>
              <w:left w:val="nil"/>
              <w:bottom w:val="single" w:sz="4" w:space="0" w:color="auto"/>
              <w:right w:val="single" w:sz="4" w:space="0" w:color="auto"/>
            </w:tcBorders>
            <w:shd w:val="clear" w:color="auto" w:fill="auto"/>
            <w:noWrap/>
            <w:vAlign w:val="bottom"/>
            <w:hideMark/>
          </w:tcPr>
          <w:p w14:paraId="459A5EB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E30732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33BDEB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55.529</w:t>
            </w:r>
          </w:p>
        </w:tc>
        <w:tc>
          <w:tcPr>
            <w:tcW w:w="904" w:type="dxa"/>
            <w:tcBorders>
              <w:top w:val="nil"/>
              <w:left w:val="nil"/>
              <w:bottom w:val="single" w:sz="4" w:space="0" w:color="auto"/>
              <w:right w:val="single" w:sz="4" w:space="0" w:color="auto"/>
            </w:tcBorders>
            <w:shd w:val="clear" w:color="auto" w:fill="auto"/>
            <w:noWrap/>
            <w:vAlign w:val="bottom"/>
            <w:hideMark/>
          </w:tcPr>
          <w:p w14:paraId="1807C74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60.824</w:t>
            </w:r>
          </w:p>
        </w:tc>
        <w:tc>
          <w:tcPr>
            <w:tcW w:w="904" w:type="dxa"/>
            <w:tcBorders>
              <w:top w:val="nil"/>
              <w:left w:val="nil"/>
              <w:bottom w:val="single" w:sz="4" w:space="0" w:color="auto"/>
              <w:right w:val="single" w:sz="4" w:space="0" w:color="auto"/>
            </w:tcBorders>
            <w:shd w:val="clear" w:color="auto" w:fill="auto"/>
            <w:noWrap/>
            <w:vAlign w:val="bottom"/>
            <w:hideMark/>
          </w:tcPr>
          <w:p w14:paraId="7D75EBA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2FDE4A3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7DD23D8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8A1311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B75AA1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202</w:t>
            </w:r>
          </w:p>
        </w:tc>
        <w:tc>
          <w:tcPr>
            <w:tcW w:w="904" w:type="dxa"/>
            <w:tcBorders>
              <w:top w:val="nil"/>
              <w:left w:val="nil"/>
              <w:bottom w:val="single" w:sz="4" w:space="0" w:color="auto"/>
              <w:right w:val="single" w:sz="4" w:space="0" w:color="auto"/>
            </w:tcBorders>
            <w:shd w:val="clear" w:color="auto" w:fill="auto"/>
            <w:noWrap/>
            <w:vAlign w:val="bottom"/>
            <w:hideMark/>
          </w:tcPr>
          <w:p w14:paraId="3C0A23B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C0A1A7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63.917</w:t>
            </w:r>
          </w:p>
        </w:tc>
        <w:tc>
          <w:tcPr>
            <w:tcW w:w="904" w:type="dxa"/>
            <w:tcBorders>
              <w:top w:val="nil"/>
              <w:left w:val="nil"/>
              <w:bottom w:val="single" w:sz="4" w:space="0" w:color="auto"/>
              <w:right w:val="single" w:sz="4" w:space="0" w:color="auto"/>
            </w:tcBorders>
            <w:shd w:val="clear" w:color="auto" w:fill="auto"/>
            <w:noWrap/>
            <w:vAlign w:val="bottom"/>
            <w:hideMark/>
          </w:tcPr>
          <w:p w14:paraId="5AA7583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60F1481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59.977</w:t>
            </w:r>
          </w:p>
        </w:tc>
        <w:tc>
          <w:tcPr>
            <w:tcW w:w="904" w:type="dxa"/>
            <w:tcBorders>
              <w:top w:val="nil"/>
              <w:left w:val="nil"/>
              <w:bottom w:val="single" w:sz="4" w:space="0" w:color="auto"/>
              <w:right w:val="single" w:sz="4" w:space="0" w:color="auto"/>
            </w:tcBorders>
            <w:shd w:val="clear" w:color="auto" w:fill="auto"/>
            <w:noWrap/>
            <w:vAlign w:val="bottom"/>
            <w:hideMark/>
          </w:tcPr>
          <w:p w14:paraId="2368A1E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00190B0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5BC967D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4D5EC4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AE6321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lastRenderedPageBreak/>
              <w:t>203</w:t>
            </w:r>
          </w:p>
        </w:tc>
        <w:tc>
          <w:tcPr>
            <w:tcW w:w="904" w:type="dxa"/>
            <w:tcBorders>
              <w:top w:val="nil"/>
              <w:left w:val="nil"/>
              <w:bottom w:val="single" w:sz="4" w:space="0" w:color="auto"/>
              <w:right w:val="single" w:sz="4" w:space="0" w:color="auto"/>
            </w:tcBorders>
            <w:shd w:val="clear" w:color="auto" w:fill="auto"/>
            <w:noWrap/>
            <w:vAlign w:val="bottom"/>
            <w:hideMark/>
          </w:tcPr>
          <w:p w14:paraId="2C1CDFF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57.958</w:t>
            </w:r>
          </w:p>
        </w:tc>
        <w:tc>
          <w:tcPr>
            <w:tcW w:w="904" w:type="dxa"/>
            <w:tcBorders>
              <w:top w:val="nil"/>
              <w:left w:val="nil"/>
              <w:bottom w:val="single" w:sz="4" w:space="0" w:color="auto"/>
              <w:right w:val="single" w:sz="4" w:space="0" w:color="auto"/>
            </w:tcBorders>
            <w:shd w:val="clear" w:color="auto" w:fill="auto"/>
            <w:noWrap/>
            <w:vAlign w:val="bottom"/>
            <w:hideMark/>
          </w:tcPr>
          <w:p w14:paraId="6AC9F73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61.230</w:t>
            </w:r>
          </w:p>
        </w:tc>
        <w:tc>
          <w:tcPr>
            <w:tcW w:w="904" w:type="dxa"/>
            <w:tcBorders>
              <w:top w:val="nil"/>
              <w:left w:val="nil"/>
              <w:bottom w:val="single" w:sz="4" w:space="0" w:color="auto"/>
              <w:right w:val="single" w:sz="4" w:space="0" w:color="auto"/>
            </w:tcBorders>
            <w:shd w:val="clear" w:color="auto" w:fill="auto"/>
            <w:noWrap/>
            <w:vAlign w:val="bottom"/>
            <w:hideMark/>
          </w:tcPr>
          <w:p w14:paraId="611E51B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6332F8F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58.482</w:t>
            </w:r>
          </w:p>
        </w:tc>
        <w:tc>
          <w:tcPr>
            <w:tcW w:w="904" w:type="dxa"/>
            <w:tcBorders>
              <w:top w:val="nil"/>
              <w:left w:val="nil"/>
              <w:bottom w:val="single" w:sz="4" w:space="0" w:color="auto"/>
              <w:right w:val="single" w:sz="4" w:space="0" w:color="auto"/>
            </w:tcBorders>
            <w:shd w:val="clear" w:color="auto" w:fill="auto"/>
            <w:noWrap/>
            <w:vAlign w:val="bottom"/>
            <w:hideMark/>
          </w:tcPr>
          <w:p w14:paraId="3585B06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64CD8B1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3C5D5D6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0E87E8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DD7074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204</w:t>
            </w:r>
          </w:p>
        </w:tc>
        <w:tc>
          <w:tcPr>
            <w:tcW w:w="904" w:type="dxa"/>
            <w:tcBorders>
              <w:top w:val="nil"/>
              <w:left w:val="nil"/>
              <w:bottom w:val="single" w:sz="4" w:space="0" w:color="auto"/>
              <w:right w:val="single" w:sz="4" w:space="0" w:color="auto"/>
            </w:tcBorders>
            <w:shd w:val="clear" w:color="auto" w:fill="auto"/>
            <w:noWrap/>
            <w:vAlign w:val="bottom"/>
            <w:hideMark/>
          </w:tcPr>
          <w:p w14:paraId="3D404A8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59.909</w:t>
            </w:r>
          </w:p>
        </w:tc>
        <w:tc>
          <w:tcPr>
            <w:tcW w:w="904" w:type="dxa"/>
            <w:tcBorders>
              <w:top w:val="nil"/>
              <w:left w:val="nil"/>
              <w:bottom w:val="single" w:sz="4" w:space="0" w:color="auto"/>
              <w:right w:val="single" w:sz="4" w:space="0" w:color="auto"/>
            </w:tcBorders>
            <w:shd w:val="clear" w:color="auto" w:fill="auto"/>
            <w:noWrap/>
            <w:vAlign w:val="bottom"/>
            <w:hideMark/>
          </w:tcPr>
          <w:p w14:paraId="6677D50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60.351</w:t>
            </w:r>
          </w:p>
        </w:tc>
        <w:tc>
          <w:tcPr>
            <w:tcW w:w="904" w:type="dxa"/>
            <w:tcBorders>
              <w:top w:val="nil"/>
              <w:left w:val="nil"/>
              <w:bottom w:val="single" w:sz="4" w:space="0" w:color="auto"/>
              <w:right w:val="single" w:sz="4" w:space="0" w:color="auto"/>
            </w:tcBorders>
            <w:shd w:val="clear" w:color="auto" w:fill="auto"/>
            <w:noWrap/>
            <w:vAlign w:val="bottom"/>
            <w:hideMark/>
          </w:tcPr>
          <w:p w14:paraId="1E33C83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39547B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57.061</w:t>
            </w:r>
          </w:p>
        </w:tc>
        <w:tc>
          <w:tcPr>
            <w:tcW w:w="904" w:type="dxa"/>
            <w:tcBorders>
              <w:top w:val="nil"/>
              <w:left w:val="nil"/>
              <w:bottom w:val="single" w:sz="4" w:space="0" w:color="auto"/>
              <w:right w:val="single" w:sz="4" w:space="0" w:color="auto"/>
            </w:tcBorders>
            <w:shd w:val="clear" w:color="auto" w:fill="auto"/>
            <w:noWrap/>
            <w:vAlign w:val="bottom"/>
            <w:hideMark/>
          </w:tcPr>
          <w:p w14:paraId="50EE025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55DD886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2EC75A8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BF477A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249DAB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205</w:t>
            </w:r>
          </w:p>
        </w:tc>
        <w:tc>
          <w:tcPr>
            <w:tcW w:w="904" w:type="dxa"/>
            <w:tcBorders>
              <w:top w:val="nil"/>
              <w:left w:val="nil"/>
              <w:bottom w:val="single" w:sz="4" w:space="0" w:color="auto"/>
              <w:right w:val="single" w:sz="4" w:space="0" w:color="auto"/>
            </w:tcBorders>
            <w:shd w:val="clear" w:color="auto" w:fill="auto"/>
            <w:noWrap/>
            <w:vAlign w:val="bottom"/>
            <w:hideMark/>
          </w:tcPr>
          <w:p w14:paraId="4657FBF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8690A2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58.492</w:t>
            </w:r>
          </w:p>
        </w:tc>
        <w:tc>
          <w:tcPr>
            <w:tcW w:w="904" w:type="dxa"/>
            <w:tcBorders>
              <w:top w:val="nil"/>
              <w:left w:val="nil"/>
              <w:bottom w:val="single" w:sz="4" w:space="0" w:color="auto"/>
              <w:right w:val="single" w:sz="4" w:space="0" w:color="auto"/>
            </w:tcBorders>
            <w:shd w:val="clear" w:color="auto" w:fill="auto"/>
            <w:noWrap/>
            <w:vAlign w:val="bottom"/>
            <w:hideMark/>
          </w:tcPr>
          <w:p w14:paraId="30B6ECC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4A5949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56.281</w:t>
            </w:r>
          </w:p>
        </w:tc>
        <w:tc>
          <w:tcPr>
            <w:tcW w:w="904" w:type="dxa"/>
            <w:tcBorders>
              <w:top w:val="nil"/>
              <w:left w:val="nil"/>
              <w:bottom w:val="single" w:sz="4" w:space="0" w:color="auto"/>
              <w:right w:val="single" w:sz="4" w:space="0" w:color="auto"/>
            </w:tcBorders>
            <w:shd w:val="clear" w:color="auto" w:fill="auto"/>
            <w:noWrap/>
            <w:vAlign w:val="bottom"/>
            <w:hideMark/>
          </w:tcPr>
          <w:p w14:paraId="0F42FF1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1841B84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58.589</w:t>
            </w:r>
          </w:p>
        </w:tc>
        <w:tc>
          <w:tcPr>
            <w:tcW w:w="1946" w:type="dxa"/>
            <w:tcBorders>
              <w:top w:val="nil"/>
              <w:left w:val="nil"/>
              <w:bottom w:val="nil"/>
              <w:right w:val="nil"/>
            </w:tcBorders>
            <w:shd w:val="clear" w:color="auto" w:fill="auto"/>
            <w:noWrap/>
            <w:vAlign w:val="bottom"/>
            <w:hideMark/>
          </w:tcPr>
          <w:p w14:paraId="2C4847B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1B4F50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C9FD7C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206</w:t>
            </w:r>
          </w:p>
        </w:tc>
        <w:tc>
          <w:tcPr>
            <w:tcW w:w="904" w:type="dxa"/>
            <w:tcBorders>
              <w:top w:val="nil"/>
              <w:left w:val="nil"/>
              <w:bottom w:val="single" w:sz="4" w:space="0" w:color="auto"/>
              <w:right w:val="single" w:sz="4" w:space="0" w:color="auto"/>
            </w:tcBorders>
            <w:shd w:val="clear" w:color="auto" w:fill="auto"/>
            <w:noWrap/>
            <w:vAlign w:val="bottom"/>
            <w:hideMark/>
          </w:tcPr>
          <w:p w14:paraId="3B26B6E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743972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70BA2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46D381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54.110</w:t>
            </w:r>
          </w:p>
        </w:tc>
        <w:tc>
          <w:tcPr>
            <w:tcW w:w="904" w:type="dxa"/>
            <w:tcBorders>
              <w:top w:val="nil"/>
              <w:left w:val="nil"/>
              <w:bottom w:val="single" w:sz="4" w:space="0" w:color="auto"/>
              <w:right w:val="single" w:sz="4" w:space="0" w:color="auto"/>
            </w:tcBorders>
            <w:shd w:val="clear" w:color="auto" w:fill="auto"/>
            <w:noWrap/>
            <w:vAlign w:val="bottom"/>
            <w:hideMark/>
          </w:tcPr>
          <w:p w14:paraId="1D0EAC3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60.594</w:t>
            </w:r>
          </w:p>
        </w:tc>
        <w:tc>
          <w:tcPr>
            <w:tcW w:w="904" w:type="dxa"/>
            <w:tcBorders>
              <w:top w:val="nil"/>
              <w:left w:val="nil"/>
              <w:bottom w:val="single" w:sz="4" w:space="0" w:color="auto"/>
              <w:right w:val="single" w:sz="4" w:space="0" w:color="auto"/>
            </w:tcBorders>
            <w:shd w:val="clear" w:color="auto" w:fill="auto"/>
            <w:noWrap/>
            <w:vAlign w:val="bottom"/>
            <w:hideMark/>
          </w:tcPr>
          <w:p w14:paraId="56F29C2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58.065</w:t>
            </w:r>
          </w:p>
        </w:tc>
        <w:tc>
          <w:tcPr>
            <w:tcW w:w="1946" w:type="dxa"/>
            <w:tcBorders>
              <w:top w:val="nil"/>
              <w:left w:val="nil"/>
              <w:bottom w:val="nil"/>
              <w:right w:val="nil"/>
            </w:tcBorders>
            <w:shd w:val="clear" w:color="auto" w:fill="auto"/>
            <w:noWrap/>
            <w:vAlign w:val="bottom"/>
            <w:hideMark/>
          </w:tcPr>
          <w:p w14:paraId="345DE8B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69F650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6287A0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207</w:t>
            </w:r>
          </w:p>
        </w:tc>
        <w:tc>
          <w:tcPr>
            <w:tcW w:w="904" w:type="dxa"/>
            <w:tcBorders>
              <w:top w:val="nil"/>
              <w:left w:val="nil"/>
              <w:bottom w:val="single" w:sz="4" w:space="0" w:color="auto"/>
              <w:right w:val="single" w:sz="4" w:space="0" w:color="auto"/>
            </w:tcBorders>
            <w:shd w:val="clear" w:color="auto" w:fill="auto"/>
            <w:noWrap/>
            <w:vAlign w:val="bottom"/>
            <w:hideMark/>
          </w:tcPr>
          <w:p w14:paraId="39DF88F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F96145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57.869</w:t>
            </w:r>
          </w:p>
        </w:tc>
        <w:tc>
          <w:tcPr>
            <w:tcW w:w="904" w:type="dxa"/>
            <w:tcBorders>
              <w:top w:val="nil"/>
              <w:left w:val="nil"/>
              <w:bottom w:val="single" w:sz="4" w:space="0" w:color="auto"/>
              <w:right w:val="single" w:sz="4" w:space="0" w:color="auto"/>
            </w:tcBorders>
            <w:shd w:val="clear" w:color="auto" w:fill="auto"/>
            <w:noWrap/>
            <w:vAlign w:val="bottom"/>
            <w:hideMark/>
          </w:tcPr>
          <w:p w14:paraId="4B9738A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56.623</w:t>
            </w:r>
          </w:p>
        </w:tc>
        <w:tc>
          <w:tcPr>
            <w:tcW w:w="904" w:type="dxa"/>
            <w:tcBorders>
              <w:top w:val="nil"/>
              <w:left w:val="nil"/>
              <w:bottom w:val="single" w:sz="4" w:space="0" w:color="auto"/>
              <w:right w:val="single" w:sz="4" w:space="0" w:color="auto"/>
            </w:tcBorders>
            <w:shd w:val="clear" w:color="auto" w:fill="auto"/>
            <w:noWrap/>
            <w:vAlign w:val="bottom"/>
            <w:hideMark/>
          </w:tcPr>
          <w:p w14:paraId="0366345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02F2D23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8781F7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57.082</w:t>
            </w:r>
          </w:p>
        </w:tc>
        <w:tc>
          <w:tcPr>
            <w:tcW w:w="1946" w:type="dxa"/>
            <w:tcBorders>
              <w:top w:val="nil"/>
              <w:left w:val="nil"/>
              <w:bottom w:val="nil"/>
              <w:right w:val="nil"/>
            </w:tcBorders>
            <w:shd w:val="clear" w:color="auto" w:fill="auto"/>
            <w:noWrap/>
            <w:vAlign w:val="bottom"/>
            <w:hideMark/>
          </w:tcPr>
          <w:p w14:paraId="735BDFA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A6C3E7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BF39E4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208</w:t>
            </w:r>
          </w:p>
        </w:tc>
        <w:tc>
          <w:tcPr>
            <w:tcW w:w="904" w:type="dxa"/>
            <w:tcBorders>
              <w:top w:val="nil"/>
              <w:left w:val="nil"/>
              <w:bottom w:val="single" w:sz="4" w:space="0" w:color="auto"/>
              <w:right w:val="single" w:sz="4" w:space="0" w:color="auto"/>
            </w:tcBorders>
            <w:shd w:val="clear" w:color="auto" w:fill="auto"/>
            <w:noWrap/>
            <w:vAlign w:val="bottom"/>
            <w:hideMark/>
          </w:tcPr>
          <w:p w14:paraId="5C0BD06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59.993</w:t>
            </w:r>
          </w:p>
        </w:tc>
        <w:tc>
          <w:tcPr>
            <w:tcW w:w="904" w:type="dxa"/>
            <w:tcBorders>
              <w:top w:val="nil"/>
              <w:left w:val="nil"/>
              <w:bottom w:val="single" w:sz="4" w:space="0" w:color="auto"/>
              <w:right w:val="single" w:sz="4" w:space="0" w:color="auto"/>
            </w:tcBorders>
            <w:shd w:val="clear" w:color="auto" w:fill="auto"/>
            <w:noWrap/>
            <w:vAlign w:val="bottom"/>
            <w:hideMark/>
          </w:tcPr>
          <w:p w14:paraId="4C45D0C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57.290</w:t>
            </w:r>
          </w:p>
        </w:tc>
        <w:tc>
          <w:tcPr>
            <w:tcW w:w="904" w:type="dxa"/>
            <w:tcBorders>
              <w:top w:val="nil"/>
              <w:left w:val="nil"/>
              <w:bottom w:val="single" w:sz="4" w:space="0" w:color="auto"/>
              <w:right w:val="single" w:sz="4" w:space="0" w:color="auto"/>
            </w:tcBorders>
            <w:shd w:val="clear" w:color="auto" w:fill="auto"/>
            <w:noWrap/>
            <w:vAlign w:val="bottom"/>
            <w:hideMark/>
          </w:tcPr>
          <w:p w14:paraId="2D66932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55.457</w:t>
            </w:r>
          </w:p>
        </w:tc>
        <w:tc>
          <w:tcPr>
            <w:tcW w:w="904" w:type="dxa"/>
            <w:tcBorders>
              <w:top w:val="nil"/>
              <w:left w:val="nil"/>
              <w:bottom w:val="single" w:sz="4" w:space="0" w:color="auto"/>
              <w:right w:val="single" w:sz="4" w:space="0" w:color="auto"/>
            </w:tcBorders>
            <w:shd w:val="clear" w:color="auto" w:fill="auto"/>
            <w:noWrap/>
            <w:vAlign w:val="bottom"/>
            <w:hideMark/>
          </w:tcPr>
          <w:p w14:paraId="5328B9A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5C671E1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AFB7F0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56.034</w:t>
            </w:r>
          </w:p>
        </w:tc>
        <w:tc>
          <w:tcPr>
            <w:tcW w:w="1946" w:type="dxa"/>
            <w:tcBorders>
              <w:top w:val="nil"/>
              <w:left w:val="nil"/>
              <w:bottom w:val="nil"/>
              <w:right w:val="nil"/>
            </w:tcBorders>
            <w:shd w:val="clear" w:color="auto" w:fill="auto"/>
            <w:noWrap/>
            <w:vAlign w:val="bottom"/>
            <w:hideMark/>
          </w:tcPr>
          <w:p w14:paraId="1D44FB5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E2DADF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5A4EB4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209</w:t>
            </w:r>
          </w:p>
        </w:tc>
        <w:tc>
          <w:tcPr>
            <w:tcW w:w="904" w:type="dxa"/>
            <w:tcBorders>
              <w:top w:val="nil"/>
              <w:left w:val="nil"/>
              <w:bottom w:val="single" w:sz="4" w:space="0" w:color="auto"/>
              <w:right w:val="single" w:sz="4" w:space="0" w:color="auto"/>
            </w:tcBorders>
            <w:shd w:val="clear" w:color="auto" w:fill="auto"/>
            <w:noWrap/>
            <w:vAlign w:val="bottom"/>
            <w:hideMark/>
          </w:tcPr>
          <w:p w14:paraId="42E264B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023FD37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57.970</w:t>
            </w:r>
          </w:p>
        </w:tc>
        <w:tc>
          <w:tcPr>
            <w:tcW w:w="904" w:type="dxa"/>
            <w:tcBorders>
              <w:top w:val="nil"/>
              <w:left w:val="nil"/>
              <w:bottom w:val="single" w:sz="4" w:space="0" w:color="auto"/>
              <w:right w:val="single" w:sz="4" w:space="0" w:color="auto"/>
            </w:tcBorders>
            <w:shd w:val="clear" w:color="auto" w:fill="auto"/>
            <w:noWrap/>
            <w:vAlign w:val="bottom"/>
            <w:hideMark/>
          </w:tcPr>
          <w:p w14:paraId="659F910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56.463</w:t>
            </w:r>
          </w:p>
        </w:tc>
        <w:tc>
          <w:tcPr>
            <w:tcW w:w="904" w:type="dxa"/>
            <w:tcBorders>
              <w:top w:val="nil"/>
              <w:left w:val="nil"/>
              <w:bottom w:val="single" w:sz="4" w:space="0" w:color="auto"/>
              <w:right w:val="single" w:sz="4" w:space="0" w:color="auto"/>
            </w:tcBorders>
            <w:shd w:val="clear" w:color="auto" w:fill="auto"/>
            <w:noWrap/>
            <w:vAlign w:val="bottom"/>
            <w:hideMark/>
          </w:tcPr>
          <w:p w14:paraId="358AD65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2A4DA59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FD57CF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3C28395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3244F1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978401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210</w:t>
            </w:r>
          </w:p>
        </w:tc>
        <w:tc>
          <w:tcPr>
            <w:tcW w:w="904" w:type="dxa"/>
            <w:tcBorders>
              <w:top w:val="nil"/>
              <w:left w:val="nil"/>
              <w:bottom w:val="single" w:sz="4" w:space="0" w:color="auto"/>
              <w:right w:val="single" w:sz="4" w:space="0" w:color="auto"/>
            </w:tcBorders>
            <w:shd w:val="clear" w:color="auto" w:fill="auto"/>
            <w:noWrap/>
            <w:vAlign w:val="bottom"/>
            <w:hideMark/>
          </w:tcPr>
          <w:p w14:paraId="453E838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57.478</w:t>
            </w:r>
          </w:p>
        </w:tc>
        <w:tc>
          <w:tcPr>
            <w:tcW w:w="904" w:type="dxa"/>
            <w:tcBorders>
              <w:top w:val="nil"/>
              <w:left w:val="nil"/>
              <w:bottom w:val="single" w:sz="4" w:space="0" w:color="auto"/>
              <w:right w:val="single" w:sz="4" w:space="0" w:color="auto"/>
            </w:tcBorders>
            <w:shd w:val="clear" w:color="auto" w:fill="auto"/>
            <w:noWrap/>
            <w:vAlign w:val="bottom"/>
            <w:hideMark/>
          </w:tcPr>
          <w:p w14:paraId="0A49749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58.646</w:t>
            </w:r>
          </w:p>
        </w:tc>
        <w:tc>
          <w:tcPr>
            <w:tcW w:w="904" w:type="dxa"/>
            <w:tcBorders>
              <w:top w:val="nil"/>
              <w:left w:val="nil"/>
              <w:bottom w:val="single" w:sz="4" w:space="0" w:color="auto"/>
              <w:right w:val="single" w:sz="4" w:space="0" w:color="auto"/>
            </w:tcBorders>
            <w:shd w:val="clear" w:color="auto" w:fill="auto"/>
            <w:noWrap/>
            <w:vAlign w:val="bottom"/>
            <w:hideMark/>
          </w:tcPr>
          <w:p w14:paraId="3F0B944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57.522</w:t>
            </w:r>
          </w:p>
        </w:tc>
        <w:tc>
          <w:tcPr>
            <w:tcW w:w="904" w:type="dxa"/>
            <w:tcBorders>
              <w:top w:val="nil"/>
              <w:left w:val="nil"/>
              <w:bottom w:val="single" w:sz="4" w:space="0" w:color="auto"/>
              <w:right w:val="single" w:sz="4" w:space="0" w:color="auto"/>
            </w:tcBorders>
            <w:shd w:val="clear" w:color="auto" w:fill="auto"/>
            <w:noWrap/>
            <w:vAlign w:val="bottom"/>
            <w:hideMark/>
          </w:tcPr>
          <w:p w14:paraId="3A457C6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16C2763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59.995</w:t>
            </w:r>
          </w:p>
        </w:tc>
        <w:tc>
          <w:tcPr>
            <w:tcW w:w="904" w:type="dxa"/>
            <w:tcBorders>
              <w:top w:val="nil"/>
              <w:left w:val="nil"/>
              <w:bottom w:val="single" w:sz="4" w:space="0" w:color="auto"/>
              <w:right w:val="single" w:sz="4" w:space="0" w:color="auto"/>
            </w:tcBorders>
            <w:shd w:val="clear" w:color="auto" w:fill="auto"/>
            <w:noWrap/>
            <w:vAlign w:val="bottom"/>
            <w:hideMark/>
          </w:tcPr>
          <w:p w14:paraId="3D3E5DB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1C9F3797"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FC723C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2FBA1F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211</w:t>
            </w:r>
          </w:p>
        </w:tc>
        <w:tc>
          <w:tcPr>
            <w:tcW w:w="904" w:type="dxa"/>
            <w:tcBorders>
              <w:top w:val="nil"/>
              <w:left w:val="nil"/>
              <w:bottom w:val="single" w:sz="4" w:space="0" w:color="auto"/>
              <w:right w:val="single" w:sz="4" w:space="0" w:color="auto"/>
            </w:tcBorders>
            <w:shd w:val="clear" w:color="auto" w:fill="auto"/>
            <w:noWrap/>
            <w:vAlign w:val="bottom"/>
            <w:hideMark/>
          </w:tcPr>
          <w:p w14:paraId="4A8059F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9073FA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58.445</w:t>
            </w:r>
          </w:p>
        </w:tc>
        <w:tc>
          <w:tcPr>
            <w:tcW w:w="904" w:type="dxa"/>
            <w:tcBorders>
              <w:top w:val="nil"/>
              <w:left w:val="nil"/>
              <w:bottom w:val="single" w:sz="4" w:space="0" w:color="auto"/>
              <w:right w:val="single" w:sz="4" w:space="0" w:color="auto"/>
            </w:tcBorders>
            <w:shd w:val="clear" w:color="auto" w:fill="auto"/>
            <w:noWrap/>
            <w:vAlign w:val="bottom"/>
            <w:hideMark/>
          </w:tcPr>
          <w:p w14:paraId="6621BFF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37CF09F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1CBE971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6B6E39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4146AF7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C17AFC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5B378A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212</w:t>
            </w:r>
          </w:p>
        </w:tc>
        <w:tc>
          <w:tcPr>
            <w:tcW w:w="904" w:type="dxa"/>
            <w:tcBorders>
              <w:top w:val="nil"/>
              <w:left w:val="nil"/>
              <w:bottom w:val="single" w:sz="4" w:space="0" w:color="auto"/>
              <w:right w:val="single" w:sz="4" w:space="0" w:color="auto"/>
            </w:tcBorders>
            <w:shd w:val="clear" w:color="auto" w:fill="auto"/>
            <w:noWrap/>
            <w:vAlign w:val="bottom"/>
            <w:hideMark/>
          </w:tcPr>
          <w:p w14:paraId="712995A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36038A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D6B70C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DD389D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575CED6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59.835</w:t>
            </w:r>
          </w:p>
        </w:tc>
        <w:tc>
          <w:tcPr>
            <w:tcW w:w="904" w:type="dxa"/>
            <w:tcBorders>
              <w:top w:val="nil"/>
              <w:left w:val="nil"/>
              <w:bottom w:val="single" w:sz="4" w:space="0" w:color="auto"/>
              <w:right w:val="single" w:sz="4" w:space="0" w:color="auto"/>
            </w:tcBorders>
            <w:shd w:val="clear" w:color="auto" w:fill="auto"/>
            <w:noWrap/>
            <w:vAlign w:val="bottom"/>
            <w:hideMark/>
          </w:tcPr>
          <w:p w14:paraId="230B730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09480C97"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BC64ED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3C05F7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213</w:t>
            </w:r>
          </w:p>
        </w:tc>
        <w:tc>
          <w:tcPr>
            <w:tcW w:w="904" w:type="dxa"/>
            <w:tcBorders>
              <w:top w:val="nil"/>
              <w:left w:val="nil"/>
              <w:bottom w:val="single" w:sz="4" w:space="0" w:color="auto"/>
              <w:right w:val="single" w:sz="4" w:space="0" w:color="auto"/>
            </w:tcBorders>
            <w:shd w:val="clear" w:color="auto" w:fill="auto"/>
            <w:noWrap/>
            <w:vAlign w:val="bottom"/>
            <w:hideMark/>
          </w:tcPr>
          <w:p w14:paraId="261ADB6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F5EE3D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657938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8C2CB5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34000F7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57.720</w:t>
            </w:r>
          </w:p>
        </w:tc>
        <w:tc>
          <w:tcPr>
            <w:tcW w:w="904" w:type="dxa"/>
            <w:tcBorders>
              <w:top w:val="nil"/>
              <w:left w:val="nil"/>
              <w:bottom w:val="single" w:sz="4" w:space="0" w:color="auto"/>
              <w:right w:val="single" w:sz="4" w:space="0" w:color="auto"/>
            </w:tcBorders>
            <w:shd w:val="clear" w:color="auto" w:fill="auto"/>
            <w:noWrap/>
            <w:vAlign w:val="bottom"/>
            <w:hideMark/>
          </w:tcPr>
          <w:p w14:paraId="015E24E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13BB194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B21B20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1CBE92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214</w:t>
            </w:r>
          </w:p>
        </w:tc>
        <w:tc>
          <w:tcPr>
            <w:tcW w:w="904" w:type="dxa"/>
            <w:tcBorders>
              <w:top w:val="nil"/>
              <w:left w:val="nil"/>
              <w:bottom w:val="single" w:sz="4" w:space="0" w:color="auto"/>
              <w:right w:val="single" w:sz="4" w:space="0" w:color="auto"/>
            </w:tcBorders>
            <w:shd w:val="clear" w:color="auto" w:fill="auto"/>
            <w:noWrap/>
            <w:vAlign w:val="bottom"/>
            <w:hideMark/>
          </w:tcPr>
          <w:p w14:paraId="16BC919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B29245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46508E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3148A0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0600C44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677A4E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16FEE19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FA18AF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6B8862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215</w:t>
            </w:r>
          </w:p>
        </w:tc>
        <w:tc>
          <w:tcPr>
            <w:tcW w:w="904" w:type="dxa"/>
            <w:tcBorders>
              <w:top w:val="nil"/>
              <w:left w:val="nil"/>
              <w:bottom w:val="single" w:sz="4" w:space="0" w:color="auto"/>
              <w:right w:val="single" w:sz="4" w:space="0" w:color="auto"/>
            </w:tcBorders>
            <w:shd w:val="clear" w:color="auto" w:fill="auto"/>
            <w:noWrap/>
            <w:vAlign w:val="bottom"/>
            <w:hideMark/>
          </w:tcPr>
          <w:p w14:paraId="4FFF291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0AD7FD3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B19369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3150070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54.129</w:t>
            </w:r>
          </w:p>
        </w:tc>
        <w:tc>
          <w:tcPr>
            <w:tcW w:w="904" w:type="dxa"/>
            <w:tcBorders>
              <w:top w:val="nil"/>
              <w:left w:val="nil"/>
              <w:bottom w:val="single" w:sz="4" w:space="0" w:color="auto"/>
              <w:right w:val="single" w:sz="4" w:space="0" w:color="auto"/>
            </w:tcBorders>
            <w:shd w:val="clear" w:color="auto" w:fill="auto"/>
            <w:noWrap/>
            <w:vAlign w:val="bottom"/>
            <w:hideMark/>
          </w:tcPr>
          <w:p w14:paraId="6629D4D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DD7BC6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0864D73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C808E3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35BDBE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216</w:t>
            </w:r>
          </w:p>
        </w:tc>
        <w:tc>
          <w:tcPr>
            <w:tcW w:w="904" w:type="dxa"/>
            <w:tcBorders>
              <w:top w:val="nil"/>
              <w:left w:val="nil"/>
              <w:bottom w:val="single" w:sz="4" w:space="0" w:color="auto"/>
              <w:right w:val="single" w:sz="4" w:space="0" w:color="auto"/>
            </w:tcBorders>
            <w:shd w:val="clear" w:color="auto" w:fill="auto"/>
            <w:noWrap/>
            <w:vAlign w:val="bottom"/>
            <w:hideMark/>
          </w:tcPr>
          <w:p w14:paraId="460EED2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5ADB82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347EA41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969936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56.067</w:t>
            </w:r>
          </w:p>
        </w:tc>
        <w:tc>
          <w:tcPr>
            <w:tcW w:w="904" w:type="dxa"/>
            <w:tcBorders>
              <w:top w:val="nil"/>
              <w:left w:val="nil"/>
              <w:bottom w:val="single" w:sz="4" w:space="0" w:color="auto"/>
              <w:right w:val="single" w:sz="4" w:space="0" w:color="auto"/>
            </w:tcBorders>
            <w:shd w:val="clear" w:color="auto" w:fill="auto"/>
            <w:noWrap/>
            <w:vAlign w:val="bottom"/>
            <w:hideMark/>
          </w:tcPr>
          <w:p w14:paraId="6248546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56.502</w:t>
            </w:r>
          </w:p>
        </w:tc>
        <w:tc>
          <w:tcPr>
            <w:tcW w:w="904" w:type="dxa"/>
            <w:tcBorders>
              <w:top w:val="nil"/>
              <w:left w:val="nil"/>
              <w:bottom w:val="single" w:sz="4" w:space="0" w:color="auto"/>
              <w:right w:val="single" w:sz="4" w:space="0" w:color="auto"/>
            </w:tcBorders>
            <w:shd w:val="clear" w:color="auto" w:fill="auto"/>
            <w:noWrap/>
            <w:vAlign w:val="bottom"/>
            <w:hideMark/>
          </w:tcPr>
          <w:p w14:paraId="0BDA844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59116C9C"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5ADCAC2"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ADBA86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217</w:t>
            </w:r>
          </w:p>
        </w:tc>
        <w:tc>
          <w:tcPr>
            <w:tcW w:w="904" w:type="dxa"/>
            <w:tcBorders>
              <w:top w:val="nil"/>
              <w:left w:val="nil"/>
              <w:bottom w:val="single" w:sz="4" w:space="0" w:color="auto"/>
              <w:right w:val="single" w:sz="4" w:space="0" w:color="auto"/>
            </w:tcBorders>
            <w:shd w:val="clear" w:color="auto" w:fill="auto"/>
            <w:noWrap/>
            <w:vAlign w:val="bottom"/>
            <w:hideMark/>
          </w:tcPr>
          <w:p w14:paraId="17D8062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571E43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D4D9D4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56.319</w:t>
            </w:r>
          </w:p>
        </w:tc>
        <w:tc>
          <w:tcPr>
            <w:tcW w:w="904" w:type="dxa"/>
            <w:tcBorders>
              <w:top w:val="nil"/>
              <w:left w:val="nil"/>
              <w:bottom w:val="single" w:sz="4" w:space="0" w:color="auto"/>
              <w:right w:val="single" w:sz="4" w:space="0" w:color="auto"/>
            </w:tcBorders>
            <w:shd w:val="clear" w:color="auto" w:fill="auto"/>
            <w:noWrap/>
            <w:vAlign w:val="bottom"/>
            <w:hideMark/>
          </w:tcPr>
          <w:p w14:paraId="759676B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56.940</w:t>
            </w:r>
          </w:p>
        </w:tc>
        <w:tc>
          <w:tcPr>
            <w:tcW w:w="904" w:type="dxa"/>
            <w:tcBorders>
              <w:top w:val="nil"/>
              <w:left w:val="nil"/>
              <w:bottom w:val="single" w:sz="4" w:space="0" w:color="auto"/>
              <w:right w:val="single" w:sz="4" w:space="0" w:color="auto"/>
            </w:tcBorders>
            <w:shd w:val="clear" w:color="auto" w:fill="auto"/>
            <w:noWrap/>
            <w:vAlign w:val="bottom"/>
            <w:hideMark/>
          </w:tcPr>
          <w:p w14:paraId="28553BD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54.179</w:t>
            </w:r>
          </w:p>
        </w:tc>
        <w:tc>
          <w:tcPr>
            <w:tcW w:w="904" w:type="dxa"/>
            <w:tcBorders>
              <w:top w:val="nil"/>
              <w:left w:val="nil"/>
              <w:bottom w:val="single" w:sz="4" w:space="0" w:color="auto"/>
              <w:right w:val="single" w:sz="4" w:space="0" w:color="auto"/>
            </w:tcBorders>
            <w:shd w:val="clear" w:color="auto" w:fill="auto"/>
            <w:noWrap/>
            <w:vAlign w:val="bottom"/>
            <w:hideMark/>
          </w:tcPr>
          <w:p w14:paraId="68E5C6E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57.681</w:t>
            </w:r>
          </w:p>
        </w:tc>
        <w:tc>
          <w:tcPr>
            <w:tcW w:w="1946" w:type="dxa"/>
            <w:tcBorders>
              <w:top w:val="nil"/>
              <w:left w:val="nil"/>
              <w:bottom w:val="nil"/>
              <w:right w:val="nil"/>
            </w:tcBorders>
            <w:shd w:val="clear" w:color="auto" w:fill="auto"/>
            <w:noWrap/>
            <w:vAlign w:val="bottom"/>
            <w:hideMark/>
          </w:tcPr>
          <w:p w14:paraId="520D5CC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DCD7AA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7486DB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218</w:t>
            </w:r>
          </w:p>
        </w:tc>
        <w:tc>
          <w:tcPr>
            <w:tcW w:w="904" w:type="dxa"/>
            <w:tcBorders>
              <w:top w:val="nil"/>
              <w:left w:val="nil"/>
              <w:bottom w:val="single" w:sz="4" w:space="0" w:color="auto"/>
              <w:right w:val="single" w:sz="4" w:space="0" w:color="auto"/>
            </w:tcBorders>
            <w:shd w:val="clear" w:color="auto" w:fill="auto"/>
            <w:noWrap/>
            <w:vAlign w:val="bottom"/>
            <w:hideMark/>
          </w:tcPr>
          <w:p w14:paraId="10A5B4E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01A27A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57.855</w:t>
            </w:r>
          </w:p>
        </w:tc>
        <w:tc>
          <w:tcPr>
            <w:tcW w:w="904" w:type="dxa"/>
            <w:tcBorders>
              <w:top w:val="nil"/>
              <w:left w:val="nil"/>
              <w:bottom w:val="single" w:sz="4" w:space="0" w:color="auto"/>
              <w:right w:val="single" w:sz="4" w:space="0" w:color="auto"/>
            </w:tcBorders>
            <w:shd w:val="clear" w:color="auto" w:fill="auto"/>
            <w:noWrap/>
            <w:vAlign w:val="bottom"/>
            <w:hideMark/>
          </w:tcPr>
          <w:p w14:paraId="4670502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56.017</w:t>
            </w:r>
          </w:p>
        </w:tc>
        <w:tc>
          <w:tcPr>
            <w:tcW w:w="904" w:type="dxa"/>
            <w:tcBorders>
              <w:top w:val="nil"/>
              <w:left w:val="nil"/>
              <w:bottom w:val="single" w:sz="4" w:space="0" w:color="auto"/>
              <w:right w:val="single" w:sz="4" w:space="0" w:color="auto"/>
            </w:tcBorders>
            <w:shd w:val="clear" w:color="auto" w:fill="auto"/>
            <w:noWrap/>
            <w:vAlign w:val="bottom"/>
            <w:hideMark/>
          </w:tcPr>
          <w:p w14:paraId="5DBF556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103D73C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208FFEE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4F319FD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9A7D62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EE7556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219</w:t>
            </w:r>
          </w:p>
        </w:tc>
        <w:tc>
          <w:tcPr>
            <w:tcW w:w="904" w:type="dxa"/>
            <w:tcBorders>
              <w:top w:val="nil"/>
              <w:left w:val="nil"/>
              <w:bottom w:val="single" w:sz="4" w:space="0" w:color="auto"/>
              <w:right w:val="single" w:sz="4" w:space="0" w:color="auto"/>
            </w:tcBorders>
            <w:shd w:val="clear" w:color="auto" w:fill="auto"/>
            <w:noWrap/>
            <w:vAlign w:val="bottom"/>
            <w:hideMark/>
          </w:tcPr>
          <w:p w14:paraId="5BC4FAA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ECFEFF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57.125</w:t>
            </w:r>
          </w:p>
        </w:tc>
        <w:tc>
          <w:tcPr>
            <w:tcW w:w="904" w:type="dxa"/>
            <w:tcBorders>
              <w:top w:val="nil"/>
              <w:left w:val="nil"/>
              <w:bottom w:val="single" w:sz="4" w:space="0" w:color="auto"/>
              <w:right w:val="single" w:sz="4" w:space="0" w:color="auto"/>
            </w:tcBorders>
            <w:shd w:val="clear" w:color="auto" w:fill="auto"/>
            <w:noWrap/>
            <w:vAlign w:val="bottom"/>
            <w:hideMark/>
          </w:tcPr>
          <w:p w14:paraId="7A36C6A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56.390</w:t>
            </w:r>
          </w:p>
        </w:tc>
        <w:tc>
          <w:tcPr>
            <w:tcW w:w="904" w:type="dxa"/>
            <w:tcBorders>
              <w:top w:val="nil"/>
              <w:left w:val="nil"/>
              <w:bottom w:val="single" w:sz="4" w:space="0" w:color="auto"/>
              <w:right w:val="single" w:sz="4" w:space="0" w:color="auto"/>
            </w:tcBorders>
            <w:shd w:val="clear" w:color="auto" w:fill="auto"/>
            <w:noWrap/>
            <w:vAlign w:val="bottom"/>
            <w:hideMark/>
          </w:tcPr>
          <w:p w14:paraId="226EE2C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56.616</w:t>
            </w:r>
          </w:p>
        </w:tc>
        <w:tc>
          <w:tcPr>
            <w:tcW w:w="904" w:type="dxa"/>
            <w:tcBorders>
              <w:top w:val="nil"/>
              <w:left w:val="nil"/>
              <w:bottom w:val="single" w:sz="4" w:space="0" w:color="auto"/>
              <w:right w:val="single" w:sz="4" w:space="0" w:color="auto"/>
            </w:tcBorders>
            <w:shd w:val="clear" w:color="auto" w:fill="auto"/>
            <w:noWrap/>
            <w:vAlign w:val="bottom"/>
            <w:hideMark/>
          </w:tcPr>
          <w:p w14:paraId="12FEF9D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5AC33EC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0F4CA02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D3D74C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6D03B1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220</w:t>
            </w:r>
          </w:p>
        </w:tc>
        <w:tc>
          <w:tcPr>
            <w:tcW w:w="904" w:type="dxa"/>
            <w:tcBorders>
              <w:top w:val="nil"/>
              <w:left w:val="nil"/>
              <w:bottom w:val="single" w:sz="4" w:space="0" w:color="auto"/>
              <w:right w:val="single" w:sz="4" w:space="0" w:color="auto"/>
            </w:tcBorders>
            <w:shd w:val="clear" w:color="auto" w:fill="auto"/>
            <w:noWrap/>
            <w:vAlign w:val="bottom"/>
            <w:hideMark/>
          </w:tcPr>
          <w:p w14:paraId="7D76AFE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57.550</w:t>
            </w:r>
          </w:p>
        </w:tc>
        <w:tc>
          <w:tcPr>
            <w:tcW w:w="904" w:type="dxa"/>
            <w:tcBorders>
              <w:top w:val="nil"/>
              <w:left w:val="nil"/>
              <w:bottom w:val="single" w:sz="4" w:space="0" w:color="auto"/>
              <w:right w:val="single" w:sz="4" w:space="0" w:color="auto"/>
            </w:tcBorders>
            <w:shd w:val="clear" w:color="auto" w:fill="auto"/>
            <w:noWrap/>
            <w:vAlign w:val="bottom"/>
            <w:hideMark/>
          </w:tcPr>
          <w:p w14:paraId="4D47EC2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B3B013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57.009</w:t>
            </w:r>
          </w:p>
        </w:tc>
        <w:tc>
          <w:tcPr>
            <w:tcW w:w="904" w:type="dxa"/>
            <w:tcBorders>
              <w:top w:val="nil"/>
              <w:left w:val="nil"/>
              <w:bottom w:val="single" w:sz="4" w:space="0" w:color="auto"/>
              <w:right w:val="single" w:sz="4" w:space="0" w:color="auto"/>
            </w:tcBorders>
            <w:shd w:val="clear" w:color="auto" w:fill="auto"/>
            <w:noWrap/>
            <w:vAlign w:val="bottom"/>
            <w:hideMark/>
          </w:tcPr>
          <w:p w14:paraId="01AA502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7DD2CD3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1B170B3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5E166C16"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84DA5F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9B6395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221</w:t>
            </w:r>
          </w:p>
        </w:tc>
        <w:tc>
          <w:tcPr>
            <w:tcW w:w="904" w:type="dxa"/>
            <w:tcBorders>
              <w:top w:val="nil"/>
              <w:left w:val="nil"/>
              <w:bottom w:val="single" w:sz="4" w:space="0" w:color="auto"/>
              <w:right w:val="single" w:sz="4" w:space="0" w:color="auto"/>
            </w:tcBorders>
            <w:shd w:val="clear" w:color="auto" w:fill="auto"/>
            <w:noWrap/>
            <w:vAlign w:val="bottom"/>
            <w:hideMark/>
          </w:tcPr>
          <w:p w14:paraId="3EC2447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59.675</w:t>
            </w:r>
          </w:p>
        </w:tc>
        <w:tc>
          <w:tcPr>
            <w:tcW w:w="904" w:type="dxa"/>
            <w:tcBorders>
              <w:top w:val="nil"/>
              <w:left w:val="nil"/>
              <w:bottom w:val="single" w:sz="4" w:space="0" w:color="auto"/>
              <w:right w:val="single" w:sz="4" w:space="0" w:color="auto"/>
            </w:tcBorders>
            <w:shd w:val="clear" w:color="auto" w:fill="auto"/>
            <w:noWrap/>
            <w:vAlign w:val="bottom"/>
            <w:hideMark/>
          </w:tcPr>
          <w:p w14:paraId="3DC8D01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BE2B8F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3DE128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56.957</w:t>
            </w:r>
          </w:p>
        </w:tc>
        <w:tc>
          <w:tcPr>
            <w:tcW w:w="904" w:type="dxa"/>
            <w:tcBorders>
              <w:top w:val="nil"/>
              <w:left w:val="nil"/>
              <w:bottom w:val="single" w:sz="4" w:space="0" w:color="auto"/>
              <w:right w:val="single" w:sz="4" w:space="0" w:color="auto"/>
            </w:tcBorders>
            <w:shd w:val="clear" w:color="auto" w:fill="auto"/>
            <w:noWrap/>
            <w:vAlign w:val="bottom"/>
            <w:hideMark/>
          </w:tcPr>
          <w:p w14:paraId="19798D2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54.417</w:t>
            </w:r>
          </w:p>
        </w:tc>
        <w:tc>
          <w:tcPr>
            <w:tcW w:w="904" w:type="dxa"/>
            <w:tcBorders>
              <w:top w:val="nil"/>
              <w:left w:val="nil"/>
              <w:bottom w:val="single" w:sz="4" w:space="0" w:color="auto"/>
              <w:right w:val="single" w:sz="4" w:space="0" w:color="auto"/>
            </w:tcBorders>
            <w:shd w:val="clear" w:color="auto" w:fill="auto"/>
            <w:noWrap/>
            <w:vAlign w:val="bottom"/>
            <w:hideMark/>
          </w:tcPr>
          <w:p w14:paraId="6727D46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7E0D1E3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4FA34D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5E490D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222</w:t>
            </w:r>
          </w:p>
        </w:tc>
        <w:tc>
          <w:tcPr>
            <w:tcW w:w="904" w:type="dxa"/>
            <w:tcBorders>
              <w:top w:val="nil"/>
              <w:left w:val="nil"/>
              <w:bottom w:val="single" w:sz="4" w:space="0" w:color="auto"/>
              <w:right w:val="single" w:sz="4" w:space="0" w:color="auto"/>
            </w:tcBorders>
            <w:shd w:val="clear" w:color="auto" w:fill="auto"/>
            <w:noWrap/>
            <w:vAlign w:val="bottom"/>
            <w:hideMark/>
          </w:tcPr>
          <w:p w14:paraId="1C94F34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945B19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1BB2D6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4C879D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9F70F4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5611553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71FF94B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BB64D4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DC9BA4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223</w:t>
            </w:r>
          </w:p>
        </w:tc>
        <w:tc>
          <w:tcPr>
            <w:tcW w:w="904" w:type="dxa"/>
            <w:tcBorders>
              <w:top w:val="nil"/>
              <w:left w:val="nil"/>
              <w:bottom w:val="single" w:sz="4" w:space="0" w:color="auto"/>
              <w:right w:val="single" w:sz="4" w:space="0" w:color="auto"/>
            </w:tcBorders>
            <w:shd w:val="clear" w:color="auto" w:fill="auto"/>
            <w:noWrap/>
            <w:vAlign w:val="bottom"/>
            <w:hideMark/>
          </w:tcPr>
          <w:p w14:paraId="7EFCFD9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A99F0C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0EB721F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29EDD7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3A3FFA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0594153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1CFFC85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4234D1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BBFB78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224</w:t>
            </w:r>
          </w:p>
        </w:tc>
        <w:tc>
          <w:tcPr>
            <w:tcW w:w="904" w:type="dxa"/>
            <w:tcBorders>
              <w:top w:val="nil"/>
              <w:left w:val="nil"/>
              <w:bottom w:val="single" w:sz="4" w:space="0" w:color="auto"/>
              <w:right w:val="single" w:sz="4" w:space="0" w:color="auto"/>
            </w:tcBorders>
            <w:shd w:val="clear" w:color="auto" w:fill="auto"/>
            <w:noWrap/>
            <w:vAlign w:val="bottom"/>
            <w:hideMark/>
          </w:tcPr>
          <w:p w14:paraId="44F0468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0CE816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1D466C5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59.807</w:t>
            </w:r>
          </w:p>
        </w:tc>
        <w:tc>
          <w:tcPr>
            <w:tcW w:w="904" w:type="dxa"/>
            <w:tcBorders>
              <w:top w:val="nil"/>
              <w:left w:val="nil"/>
              <w:bottom w:val="single" w:sz="4" w:space="0" w:color="auto"/>
              <w:right w:val="single" w:sz="4" w:space="0" w:color="auto"/>
            </w:tcBorders>
            <w:shd w:val="clear" w:color="auto" w:fill="auto"/>
            <w:noWrap/>
            <w:vAlign w:val="bottom"/>
            <w:hideMark/>
          </w:tcPr>
          <w:p w14:paraId="31B7E48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76C615F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84543D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0447DE2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89267A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9518F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225</w:t>
            </w:r>
          </w:p>
        </w:tc>
        <w:tc>
          <w:tcPr>
            <w:tcW w:w="904" w:type="dxa"/>
            <w:tcBorders>
              <w:top w:val="nil"/>
              <w:left w:val="nil"/>
              <w:bottom w:val="single" w:sz="4" w:space="0" w:color="auto"/>
              <w:right w:val="single" w:sz="4" w:space="0" w:color="auto"/>
            </w:tcBorders>
            <w:shd w:val="clear" w:color="auto" w:fill="auto"/>
            <w:noWrap/>
            <w:vAlign w:val="bottom"/>
            <w:hideMark/>
          </w:tcPr>
          <w:p w14:paraId="78F620C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5554AE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0426CE6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60.958</w:t>
            </w:r>
          </w:p>
        </w:tc>
        <w:tc>
          <w:tcPr>
            <w:tcW w:w="904" w:type="dxa"/>
            <w:tcBorders>
              <w:top w:val="nil"/>
              <w:left w:val="nil"/>
              <w:bottom w:val="single" w:sz="4" w:space="0" w:color="auto"/>
              <w:right w:val="single" w:sz="4" w:space="0" w:color="auto"/>
            </w:tcBorders>
            <w:shd w:val="clear" w:color="auto" w:fill="auto"/>
            <w:noWrap/>
            <w:vAlign w:val="bottom"/>
            <w:hideMark/>
          </w:tcPr>
          <w:p w14:paraId="5FC8A9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56.385</w:t>
            </w:r>
          </w:p>
        </w:tc>
        <w:tc>
          <w:tcPr>
            <w:tcW w:w="904" w:type="dxa"/>
            <w:tcBorders>
              <w:top w:val="nil"/>
              <w:left w:val="nil"/>
              <w:bottom w:val="single" w:sz="4" w:space="0" w:color="auto"/>
              <w:right w:val="single" w:sz="4" w:space="0" w:color="auto"/>
            </w:tcBorders>
            <w:shd w:val="clear" w:color="auto" w:fill="auto"/>
            <w:noWrap/>
            <w:vAlign w:val="bottom"/>
            <w:hideMark/>
          </w:tcPr>
          <w:p w14:paraId="3022E39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57.845</w:t>
            </w:r>
          </w:p>
        </w:tc>
        <w:tc>
          <w:tcPr>
            <w:tcW w:w="904" w:type="dxa"/>
            <w:tcBorders>
              <w:top w:val="nil"/>
              <w:left w:val="nil"/>
              <w:bottom w:val="single" w:sz="4" w:space="0" w:color="auto"/>
              <w:right w:val="single" w:sz="4" w:space="0" w:color="auto"/>
            </w:tcBorders>
            <w:shd w:val="clear" w:color="auto" w:fill="auto"/>
            <w:noWrap/>
            <w:vAlign w:val="bottom"/>
            <w:hideMark/>
          </w:tcPr>
          <w:p w14:paraId="4580D33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7A34D9B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32ECAA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39E4D0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226</w:t>
            </w:r>
          </w:p>
        </w:tc>
        <w:tc>
          <w:tcPr>
            <w:tcW w:w="904" w:type="dxa"/>
            <w:tcBorders>
              <w:top w:val="nil"/>
              <w:left w:val="nil"/>
              <w:bottom w:val="single" w:sz="4" w:space="0" w:color="auto"/>
              <w:right w:val="single" w:sz="4" w:space="0" w:color="auto"/>
            </w:tcBorders>
            <w:shd w:val="clear" w:color="auto" w:fill="auto"/>
            <w:noWrap/>
            <w:vAlign w:val="bottom"/>
            <w:hideMark/>
          </w:tcPr>
          <w:p w14:paraId="6AFEC31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A8F1B4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F15549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205C209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095B2FF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57.158</w:t>
            </w:r>
          </w:p>
        </w:tc>
        <w:tc>
          <w:tcPr>
            <w:tcW w:w="904" w:type="dxa"/>
            <w:tcBorders>
              <w:top w:val="nil"/>
              <w:left w:val="nil"/>
              <w:bottom w:val="single" w:sz="4" w:space="0" w:color="auto"/>
              <w:right w:val="single" w:sz="4" w:space="0" w:color="auto"/>
            </w:tcBorders>
            <w:shd w:val="clear" w:color="auto" w:fill="auto"/>
            <w:noWrap/>
            <w:vAlign w:val="bottom"/>
            <w:hideMark/>
          </w:tcPr>
          <w:p w14:paraId="0A4C4B9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2BFD659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161DEC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521A4D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227</w:t>
            </w:r>
          </w:p>
        </w:tc>
        <w:tc>
          <w:tcPr>
            <w:tcW w:w="904" w:type="dxa"/>
            <w:tcBorders>
              <w:top w:val="nil"/>
              <w:left w:val="nil"/>
              <w:bottom w:val="single" w:sz="4" w:space="0" w:color="auto"/>
              <w:right w:val="single" w:sz="4" w:space="0" w:color="auto"/>
            </w:tcBorders>
            <w:shd w:val="clear" w:color="auto" w:fill="auto"/>
            <w:noWrap/>
            <w:vAlign w:val="bottom"/>
            <w:hideMark/>
          </w:tcPr>
          <w:p w14:paraId="16BC9D3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CE86F7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C0A222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0BCDACF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C70E49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1FEF19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6C86FB4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5E01572"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2AD57C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228</w:t>
            </w:r>
          </w:p>
        </w:tc>
        <w:tc>
          <w:tcPr>
            <w:tcW w:w="904" w:type="dxa"/>
            <w:tcBorders>
              <w:top w:val="nil"/>
              <w:left w:val="nil"/>
              <w:bottom w:val="single" w:sz="4" w:space="0" w:color="auto"/>
              <w:right w:val="single" w:sz="4" w:space="0" w:color="auto"/>
            </w:tcBorders>
            <w:shd w:val="clear" w:color="auto" w:fill="auto"/>
            <w:noWrap/>
            <w:vAlign w:val="bottom"/>
            <w:hideMark/>
          </w:tcPr>
          <w:p w14:paraId="7F0D706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19E8DE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7AB72A2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5FD882A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018A63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CAD879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483860A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88CD34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0A3942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229</w:t>
            </w:r>
          </w:p>
        </w:tc>
        <w:tc>
          <w:tcPr>
            <w:tcW w:w="904" w:type="dxa"/>
            <w:tcBorders>
              <w:top w:val="nil"/>
              <w:left w:val="nil"/>
              <w:bottom w:val="single" w:sz="4" w:space="0" w:color="auto"/>
              <w:right w:val="single" w:sz="4" w:space="0" w:color="auto"/>
            </w:tcBorders>
            <w:shd w:val="clear" w:color="auto" w:fill="auto"/>
            <w:noWrap/>
            <w:vAlign w:val="bottom"/>
            <w:hideMark/>
          </w:tcPr>
          <w:p w14:paraId="4E77588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60.022</w:t>
            </w:r>
          </w:p>
        </w:tc>
        <w:tc>
          <w:tcPr>
            <w:tcW w:w="904" w:type="dxa"/>
            <w:tcBorders>
              <w:top w:val="nil"/>
              <w:left w:val="nil"/>
              <w:bottom w:val="single" w:sz="4" w:space="0" w:color="auto"/>
              <w:right w:val="single" w:sz="4" w:space="0" w:color="auto"/>
            </w:tcBorders>
            <w:shd w:val="clear" w:color="auto" w:fill="auto"/>
            <w:noWrap/>
            <w:vAlign w:val="bottom"/>
            <w:hideMark/>
          </w:tcPr>
          <w:p w14:paraId="538D4F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F2ADF2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60.999</w:t>
            </w:r>
          </w:p>
        </w:tc>
        <w:tc>
          <w:tcPr>
            <w:tcW w:w="904" w:type="dxa"/>
            <w:tcBorders>
              <w:top w:val="nil"/>
              <w:left w:val="nil"/>
              <w:bottom w:val="single" w:sz="4" w:space="0" w:color="auto"/>
              <w:right w:val="single" w:sz="4" w:space="0" w:color="auto"/>
            </w:tcBorders>
            <w:shd w:val="clear" w:color="auto" w:fill="auto"/>
            <w:noWrap/>
            <w:vAlign w:val="bottom"/>
            <w:hideMark/>
          </w:tcPr>
          <w:p w14:paraId="5ABFCDB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56.022</w:t>
            </w:r>
          </w:p>
        </w:tc>
        <w:tc>
          <w:tcPr>
            <w:tcW w:w="904" w:type="dxa"/>
            <w:tcBorders>
              <w:top w:val="nil"/>
              <w:left w:val="nil"/>
              <w:bottom w:val="single" w:sz="4" w:space="0" w:color="auto"/>
              <w:right w:val="single" w:sz="4" w:space="0" w:color="auto"/>
            </w:tcBorders>
            <w:shd w:val="clear" w:color="auto" w:fill="auto"/>
            <w:noWrap/>
            <w:vAlign w:val="bottom"/>
            <w:hideMark/>
          </w:tcPr>
          <w:p w14:paraId="0B4474C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55.936</w:t>
            </w:r>
          </w:p>
        </w:tc>
        <w:tc>
          <w:tcPr>
            <w:tcW w:w="904" w:type="dxa"/>
            <w:tcBorders>
              <w:top w:val="nil"/>
              <w:left w:val="nil"/>
              <w:bottom w:val="single" w:sz="4" w:space="0" w:color="auto"/>
              <w:right w:val="single" w:sz="4" w:space="0" w:color="auto"/>
            </w:tcBorders>
            <w:shd w:val="clear" w:color="auto" w:fill="auto"/>
            <w:noWrap/>
            <w:vAlign w:val="bottom"/>
            <w:hideMark/>
          </w:tcPr>
          <w:p w14:paraId="5C41853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58A1217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2D64E1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D93165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230</w:t>
            </w:r>
          </w:p>
        </w:tc>
        <w:tc>
          <w:tcPr>
            <w:tcW w:w="904" w:type="dxa"/>
            <w:tcBorders>
              <w:top w:val="nil"/>
              <w:left w:val="nil"/>
              <w:bottom w:val="single" w:sz="4" w:space="0" w:color="auto"/>
              <w:right w:val="single" w:sz="4" w:space="0" w:color="auto"/>
            </w:tcBorders>
            <w:shd w:val="clear" w:color="auto" w:fill="auto"/>
            <w:noWrap/>
            <w:vAlign w:val="bottom"/>
            <w:hideMark/>
          </w:tcPr>
          <w:p w14:paraId="5ECD4B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60.428</w:t>
            </w:r>
          </w:p>
        </w:tc>
        <w:tc>
          <w:tcPr>
            <w:tcW w:w="904" w:type="dxa"/>
            <w:tcBorders>
              <w:top w:val="nil"/>
              <w:left w:val="nil"/>
              <w:bottom w:val="single" w:sz="4" w:space="0" w:color="auto"/>
              <w:right w:val="single" w:sz="4" w:space="0" w:color="auto"/>
            </w:tcBorders>
            <w:shd w:val="clear" w:color="auto" w:fill="auto"/>
            <w:noWrap/>
            <w:vAlign w:val="bottom"/>
            <w:hideMark/>
          </w:tcPr>
          <w:p w14:paraId="04CF4D5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1FD730E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1D7B615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56.428</w:t>
            </w:r>
          </w:p>
        </w:tc>
        <w:tc>
          <w:tcPr>
            <w:tcW w:w="904" w:type="dxa"/>
            <w:tcBorders>
              <w:top w:val="nil"/>
              <w:left w:val="nil"/>
              <w:bottom w:val="single" w:sz="4" w:space="0" w:color="auto"/>
              <w:right w:val="single" w:sz="4" w:space="0" w:color="auto"/>
            </w:tcBorders>
            <w:shd w:val="clear" w:color="auto" w:fill="auto"/>
            <w:noWrap/>
            <w:vAlign w:val="bottom"/>
            <w:hideMark/>
          </w:tcPr>
          <w:p w14:paraId="2151F72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53.186</w:t>
            </w:r>
          </w:p>
        </w:tc>
        <w:tc>
          <w:tcPr>
            <w:tcW w:w="904" w:type="dxa"/>
            <w:tcBorders>
              <w:top w:val="nil"/>
              <w:left w:val="nil"/>
              <w:bottom w:val="single" w:sz="4" w:space="0" w:color="auto"/>
              <w:right w:val="single" w:sz="4" w:space="0" w:color="auto"/>
            </w:tcBorders>
            <w:shd w:val="clear" w:color="auto" w:fill="auto"/>
            <w:noWrap/>
            <w:vAlign w:val="bottom"/>
            <w:hideMark/>
          </w:tcPr>
          <w:p w14:paraId="6083AE5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36C446A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D7C6EA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27F1D7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231</w:t>
            </w:r>
          </w:p>
        </w:tc>
        <w:tc>
          <w:tcPr>
            <w:tcW w:w="904" w:type="dxa"/>
            <w:tcBorders>
              <w:top w:val="nil"/>
              <w:left w:val="nil"/>
              <w:bottom w:val="single" w:sz="4" w:space="0" w:color="auto"/>
              <w:right w:val="single" w:sz="4" w:space="0" w:color="auto"/>
            </w:tcBorders>
            <w:shd w:val="clear" w:color="auto" w:fill="auto"/>
            <w:noWrap/>
            <w:vAlign w:val="bottom"/>
            <w:hideMark/>
          </w:tcPr>
          <w:p w14:paraId="3199B51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0C53E4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57.025</w:t>
            </w:r>
          </w:p>
        </w:tc>
        <w:tc>
          <w:tcPr>
            <w:tcW w:w="904" w:type="dxa"/>
            <w:tcBorders>
              <w:top w:val="nil"/>
              <w:left w:val="nil"/>
              <w:bottom w:val="single" w:sz="4" w:space="0" w:color="auto"/>
              <w:right w:val="single" w:sz="4" w:space="0" w:color="auto"/>
            </w:tcBorders>
            <w:shd w:val="clear" w:color="auto" w:fill="auto"/>
            <w:noWrap/>
            <w:vAlign w:val="bottom"/>
            <w:hideMark/>
          </w:tcPr>
          <w:p w14:paraId="59F2D42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58.899</w:t>
            </w:r>
          </w:p>
        </w:tc>
        <w:tc>
          <w:tcPr>
            <w:tcW w:w="904" w:type="dxa"/>
            <w:tcBorders>
              <w:top w:val="nil"/>
              <w:left w:val="nil"/>
              <w:bottom w:val="single" w:sz="4" w:space="0" w:color="auto"/>
              <w:right w:val="single" w:sz="4" w:space="0" w:color="auto"/>
            </w:tcBorders>
            <w:shd w:val="clear" w:color="auto" w:fill="auto"/>
            <w:noWrap/>
            <w:vAlign w:val="bottom"/>
            <w:hideMark/>
          </w:tcPr>
          <w:p w14:paraId="53C0C19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4CFA24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4C90A71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64676437"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6506E2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9AE640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232</w:t>
            </w:r>
          </w:p>
        </w:tc>
        <w:tc>
          <w:tcPr>
            <w:tcW w:w="904" w:type="dxa"/>
            <w:tcBorders>
              <w:top w:val="nil"/>
              <w:left w:val="nil"/>
              <w:bottom w:val="single" w:sz="4" w:space="0" w:color="auto"/>
              <w:right w:val="single" w:sz="4" w:space="0" w:color="auto"/>
            </w:tcBorders>
            <w:shd w:val="clear" w:color="auto" w:fill="auto"/>
            <w:noWrap/>
            <w:vAlign w:val="bottom"/>
            <w:hideMark/>
          </w:tcPr>
          <w:p w14:paraId="1240F69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1414E6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58.966</w:t>
            </w:r>
          </w:p>
        </w:tc>
        <w:tc>
          <w:tcPr>
            <w:tcW w:w="904" w:type="dxa"/>
            <w:tcBorders>
              <w:top w:val="nil"/>
              <w:left w:val="nil"/>
              <w:bottom w:val="single" w:sz="4" w:space="0" w:color="auto"/>
              <w:right w:val="single" w:sz="4" w:space="0" w:color="auto"/>
            </w:tcBorders>
            <w:shd w:val="clear" w:color="auto" w:fill="auto"/>
            <w:noWrap/>
            <w:vAlign w:val="bottom"/>
            <w:hideMark/>
          </w:tcPr>
          <w:p w14:paraId="2169CB2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58.709</w:t>
            </w:r>
          </w:p>
        </w:tc>
        <w:tc>
          <w:tcPr>
            <w:tcW w:w="904" w:type="dxa"/>
            <w:tcBorders>
              <w:top w:val="nil"/>
              <w:left w:val="nil"/>
              <w:bottom w:val="single" w:sz="4" w:space="0" w:color="auto"/>
              <w:right w:val="single" w:sz="4" w:space="0" w:color="auto"/>
            </w:tcBorders>
            <w:shd w:val="clear" w:color="auto" w:fill="auto"/>
            <w:noWrap/>
            <w:vAlign w:val="bottom"/>
            <w:hideMark/>
          </w:tcPr>
          <w:p w14:paraId="72A3ECD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56.255</w:t>
            </w:r>
          </w:p>
        </w:tc>
        <w:tc>
          <w:tcPr>
            <w:tcW w:w="904" w:type="dxa"/>
            <w:tcBorders>
              <w:top w:val="nil"/>
              <w:left w:val="nil"/>
              <w:bottom w:val="single" w:sz="4" w:space="0" w:color="auto"/>
              <w:right w:val="single" w:sz="4" w:space="0" w:color="auto"/>
            </w:tcBorders>
            <w:shd w:val="clear" w:color="auto" w:fill="auto"/>
            <w:noWrap/>
            <w:vAlign w:val="bottom"/>
            <w:hideMark/>
          </w:tcPr>
          <w:p w14:paraId="15C2B5A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69BE7EC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4C12BFA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7F41182"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69F606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233</w:t>
            </w:r>
          </w:p>
        </w:tc>
        <w:tc>
          <w:tcPr>
            <w:tcW w:w="904" w:type="dxa"/>
            <w:tcBorders>
              <w:top w:val="nil"/>
              <w:left w:val="nil"/>
              <w:bottom w:val="single" w:sz="4" w:space="0" w:color="auto"/>
              <w:right w:val="single" w:sz="4" w:space="0" w:color="auto"/>
            </w:tcBorders>
            <w:shd w:val="clear" w:color="auto" w:fill="auto"/>
            <w:noWrap/>
            <w:vAlign w:val="bottom"/>
            <w:hideMark/>
          </w:tcPr>
          <w:p w14:paraId="3B42482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8D5E55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0CD16A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58.141</w:t>
            </w:r>
          </w:p>
        </w:tc>
        <w:tc>
          <w:tcPr>
            <w:tcW w:w="904" w:type="dxa"/>
            <w:tcBorders>
              <w:top w:val="nil"/>
              <w:left w:val="nil"/>
              <w:bottom w:val="single" w:sz="4" w:space="0" w:color="auto"/>
              <w:right w:val="single" w:sz="4" w:space="0" w:color="auto"/>
            </w:tcBorders>
            <w:shd w:val="clear" w:color="auto" w:fill="auto"/>
            <w:noWrap/>
            <w:vAlign w:val="bottom"/>
            <w:hideMark/>
          </w:tcPr>
          <w:p w14:paraId="16EAAD8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56.393</w:t>
            </w:r>
          </w:p>
        </w:tc>
        <w:tc>
          <w:tcPr>
            <w:tcW w:w="904" w:type="dxa"/>
            <w:tcBorders>
              <w:top w:val="nil"/>
              <w:left w:val="nil"/>
              <w:bottom w:val="single" w:sz="4" w:space="0" w:color="auto"/>
              <w:right w:val="single" w:sz="4" w:space="0" w:color="auto"/>
            </w:tcBorders>
            <w:shd w:val="clear" w:color="auto" w:fill="auto"/>
            <w:noWrap/>
            <w:vAlign w:val="bottom"/>
            <w:hideMark/>
          </w:tcPr>
          <w:p w14:paraId="440F077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0F9EB67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58.930</w:t>
            </w:r>
          </w:p>
        </w:tc>
        <w:tc>
          <w:tcPr>
            <w:tcW w:w="1946" w:type="dxa"/>
            <w:tcBorders>
              <w:top w:val="nil"/>
              <w:left w:val="nil"/>
              <w:bottom w:val="nil"/>
              <w:right w:val="nil"/>
            </w:tcBorders>
            <w:shd w:val="clear" w:color="auto" w:fill="auto"/>
            <w:noWrap/>
            <w:vAlign w:val="bottom"/>
            <w:hideMark/>
          </w:tcPr>
          <w:p w14:paraId="56CA3F87"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C73F79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9507E8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234</w:t>
            </w:r>
          </w:p>
        </w:tc>
        <w:tc>
          <w:tcPr>
            <w:tcW w:w="904" w:type="dxa"/>
            <w:tcBorders>
              <w:top w:val="nil"/>
              <w:left w:val="nil"/>
              <w:bottom w:val="single" w:sz="4" w:space="0" w:color="auto"/>
              <w:right w:val="single" w:sz="4" w:space="0" w:color="auto"/>
            </w:tcBorders>
            <w:shd w:val="clear" w:color="auto" w:fill="auto"/>
            <w:noWrap/>
            <w:vAlign w:val="bottom"/>
            <w:hideMark/>
          </w:tcPr>
          <w:p w14:paraId="00137DE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06D2C85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F5D546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A7BD8E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57.123</w:t>
            </w:r>
          </w:p>
        </w:tc>
        <w:tc>
          <w:tcPr>
            <w:tcW w:w="904" w:type="dxa"/>
            <w:tcBorders>
              <w:top w:val="nil"/>
              <w:left w:val="nil"/>
              <w:bottom w:val="single" w:sz="4" w:space="0" w:color="auto"/>
              <w:right w:val="single" w:sz="4" w:space="0" w:color="auto"/>
            </w:tcBorders>
            <w:shd w:val="clear" w:color="auto" w:fill="auto"/>
            <w:noWrap/>
            <w:vAlign w:val="bottom"/>
            <w:hideMark/>
          </w:tcPr>
          <w:p w14:paraId="1C3C728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56036F4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57.509</w:t>
            </w:r>
          </w:p>
        </w:tc>
        <w:tc>
          <w:tcPr>
            <w:tcW w:w="1946" w:type="dxa"/>
            <w:tcBorders>
              <w:top w:val="nil"/>
              <w:left w:val="nil"/>
              <w:bottom w:val="nil"/>
              <w:right w:val="nil"/>
            </w:tcBorders>
            <w:shd w:val="clear" w:color="auto" w:fill="auto"/>
            <w:noWrap/>
            <w:vAlign w:val="bottom"/>
            <w:hideMark/>
          </w:tcPr>
          <w:p w14:paraId="5CCFD6E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15DE23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7ED507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235</w:t>
            </w:r>
          </w:p>
        </w:tc>
        <w:tc>
          <w:tcPr>
            <w:tcW w:w="904" w:type="dxa"/>
            <w:tcBorders>
              <w:top w:val="nil"/>
              <w:left w:val="nil"/>
              <w:bottom w:val="single" w:sz="4" w:space="0" w:color="auto"/>
              <w:right w:val="single" w:sz="4" w:space="0" w:color="auto"/>
            </w:tcBorders>
            <w:shd w:val="clear" w:color="auto" w:fill="auto"/>
            <w:noWrap/>
            <w:vAlign w:val="bottom"/>
            <w:hideMark/>
          </w:tcPr>
          <w:p w14:paraId="6635AAF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3EBD02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60.394</w:t>
            </w:r>
          </w:p>
        </w:tc>
        <w:tc>
          <w:tcPr>
            <w:tcW w:w="904" w:type="dxa"/>
            <w:tcBorders>
              <w:top w:val="nil"/>
              <w:left w:val="nil"/>
              <w:bottom w:val="single" w:sz="4" w:space="0" w:color="auto"/>
              <w:right w:val="single" w:sz="4" w:space="0" w:color="auto"/>
            </w:tcBorders>
            <w:shd w:val="clear" w:color="auto" w:fill="auto"/>
            <w:noWrap/>
            <w:vAlign w:val="bottom"/>
            <w:hideMark/>
          </w:tcPr>
          <w:p w14:paraId="789DDBA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B01AF2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6AA9384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52.740</w:t>
            </w:r>
          </w:p>
        </w:tc>
        <w:tc>
          <w:tcPr>
            <w:tcW w:w="904" w:type="dxa"/>
            <w:tcBorders>
              <w:top w:val="nil"/>
              <w:left w:val="nil"/>
              <w:bottom w:val="single" w:sz="4" w:space="0" w:color="auto"/>
              <w:right w:val="single" w:sz="4" w:space="0" w:color="auto"/>
            </w:tcBorders>
            <w:shd w:val="clear" w:color="auto" w:fill="auto"/>
            <w:noWrap/>
            <w:vAlign w:val="bottom"/>
            <w:hideMark/>
          </w:tcPr>
          <w:p w14:paraId="78E0856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5869E40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826CD4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9BD4E7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236</w:t>
            </w:r>
          </w:p>
        </w:tc>
        <w:tc>
          <w:tcPr>
            <w:tcW w:w="904" w:type="dxa"/>
            <w:tcBorders>
              <w:top w:val="nil"/>
              <w:left w:val="nil"/>
              <w:bottom w:val="single" w:sz="4" w:space="0" w:color="auto"/>
              <w:right w:val="single" w:sz="4" w:space="0" w:color="auto"/>
            </w:tcBorders>
            <w:shd w:val="clear" w:color="auto" w:fill="auto"/>
            <w:noWrap/>
            <w:vAlign w:val="bottom"/>
            <w:hideMark/>
          </w:tcPr>
          <w:p w14:paraId="2E784BC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800DB2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62.949</w:t>
            </w:r>
          </w:p>
        </w:tc>
        <w:tc>
          <w:tcPr>
            <w:tcW w:w="904" w:type="dxa"/>
            <w:tcBorders>
              <w:top w:val="nil"/>
              <w:left w:val="nil"/>
              <w:bottom w:val="single" w:sz="4" w:space="0" w:color="auto"/>
              <w:right w:val="single" w:sz="4" w:space="0" w:color="auto"/>
            </w:tcBorders>
            <w:shd w:val="clear" w:color="auto" w:fill="auto"/>
            <w:noWrap/>
            <w:vAlign w:val="bottom"/>
            <w:hideMark/>
          </w:tcPr>
          <w:p w14:paraId="33E34AC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31B9245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26B4DCB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51.692</w:t>
            </w:r>
          </w:p>
        </w:tc>
        <w:tc>
          <w:tcPr>
            <w:tcW w:w="904" w:type="dxa"/>
            <w:tcBorders>
              <w:top w:val="nil"/>
              <w:left w:val="nil"/>
              <w:bottom w:val="single" w:sz="4" w:space="0" w:color="auto"/>
              <w:right w:val="single" w:sz="4" w:space="0" w:color="auto"/>
            </w:tcBorders>
            <w:shd w:val="clear" w:color="auto" w:fill="auto"/>
            <w:noWrap/>
            <w:vAlign w:val="bottom"/>
            <w:hideMark/>
          </w:tcPr>
          <w:p w14:paraId="0384965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1088B8D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EA1DDC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39E85E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237</w:t>
            </w:r>
          </w:p>
        </w:tc>
        <w:tc>
          <w:tcPr>
            <w:tcW w:w="904" w:type="dxa"/>
            <w:tcBorders>
              <w:top w:val="nil"/>
              <w:left w:val="nil"/>
              <w:bottom w:val="single" w:sz="4" w:space="0" w:color="auto"/>
              <w:right w:val="single" w:sz="4" w:space="0" w:color="auto"/>
            </w:tcBorders>
            <w:shd w:val="clear" w:color="auto" w:fill="auto"/>
            <w:noWrap/>
            <w:vAlign w:val="bottom"/>
            <w:hideMark/>
          </w:tcPr>
          <w:p w14:paraId="63837F4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6B5AB0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426EA07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90E607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2797F61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51.000</w:t>
            </w:r>
          </w:p>
        </w:tc>
        <w:tc>
          <w:tcPr>
            <w:tcW w:w="904" w:type="dxa"/>
            <w:tcBorders>
              <w:top w:val="nil"/>
              <w:left w:val="nil"/>
              <w:bottom w:val="single" w:sz="4" w:space="0" w:color="auto"/>
              <w:right w:val="single" w:sz="4" w:space="0" w:color="auto"/>
            </w:tcBorders>
            <w:shd w:val="clear" w:color="auto" w:fill="auto"/>
            <w:noWrap/>
            <w:vAlign w:val="bottom"/>
            <w:hideMark/>
          </w:tcPr>
          <w:p w14:paraId="0BC8E56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55.555</w:t>
            </w:r>
          </w:p>
        </w:tc>
        <w:tc>
          <w:tcPr>
            <w:tcW w:w="1946" w:type="dxa"/>
            <w:tcBorders>
              <w:top w:val="nil"/>
              <w:left w:val="nil"/>
              <w:bottom w:val="nil"/>
              <w:right w:val="nil"/>
            </w:tcBorders>
            <w:shd w:val="clear" w:color="auto" w:fill="auto"/>
            <w:noWrap/>
            <w:vAlign w:val="bottom"/>
            <w:hideMark/>
          </w:tcPr>
          <w:p w14:paraId="3514EBA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4FBA28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2C51EC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238</w:t>
            </w:r>
          </w:p>
        </w:tc>
        <w:tc>
          <w:tcPr>
            <w:tcW w:w="904" w:type="dxa"/>
            <w:tcBorders>
              <w:top w:val="nil"/>
              <w:left w:val="nil"/>
              <w:bottom w:val="single" w:sz="4" w:space="0" w:color="auto"/>
              <w:right w:val="single" w:sz="4" w:space="0" w:color="auto"/>
            </w:tcBorders>
            <w:shd w:val="clear" w:color="auto" w:fill="auto"/>
            <w:noWrap/>
            <w:vAlign w:val="bottom"/>
            <w:hideMark/>
          </w:tcPr>
          <w:p w14:paraId="7F39FD2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EB2751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4F44151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1E992F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8B8848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51.000</w:t>
            </w:r>
          </w:p>
        </w:tc>
        <w:tc>
          <w:tcPr>
            <w:tcW w:w="904" w:type="dxa"/>
            <w:tcBorders>
              <w:top w:val="nil"/>
              <w:left w:val="nil"/>
              <w:bottom w:val="single" w:sz="4" w:space="0" w:color="auto"/>
              <w:right w:val="single" w:sz="4" w:space="0" w:color="auto"/>
            </w:tcBorders>
            <w:shd w:val="clear" w:color="auto" w:fill="auto"/>
            <w:noWrap/>
            <w:vAlign w:val="bottom"/>
            <w:hideMark/>
          </w:tcPr>
          <w:p w14:paraId="59C1AEC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53.895</w:t>
            </w:r>
          </w:p>
        </w:tc>
        <w:tc>
          <w:tcPr>
            <w:tcW w:w="1946" w:type="dxa"/>
            <w:tcBorders>
              <w:top w:val="nil"/>
              <w:left w:val="nil"/>
              <w:bottom w:val="nil"/>
              <w:right w:val="nil"/>
            </w:tcBorders>
            <w:shd w:val="clear" w:color="auto" w:fill="auto"/>
            <w:noWrap/>
            <w:vAlign w:val="bottom"/>
            <w:hideMark/>
          </w:tcPr>
          <w:p w14:paraId="765AD07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C26EEC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497958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239</w:t>
            </w:r>
          </w:p>
        </w:tc>
        <w:tc>
          <w:tcPr>
            <w:tcW w:w="904" w:type="dxa"/>
            <w:tcBorders>
              <w:top w:val="nil"/>
              <w:left w:val="nil"/>
              <w:bottom w:val="single" w:sz="4" w:space="0" w:color="auto"/>
              <w:right w:val="single" w:sz="4" w:space="0" w:color="auto"/>
            </w:tcBorders>
            <w:shd w:val="clear" w:color="auto" w:fill="auto"/>
            <w:noWrap/>
            <w:vAlign w:val="bottom"/>
            <w:hideMark/>
          </w:tcPr>
          <w:p w14:paraId="1650062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708E32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4AFF38F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3C3947D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C86542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51.000</w:t>
            </w:r>
          </w:p>
        </w:tc>
        <w:tc>
          <w:tcPr>
            <w:tcW w:w="904" w:type="dxa"/>
            <w:tcBorders>
              <w:top w:val="nil"/>
              <w:left w:val="nil"/>
              <w:bottom w:val="single" w:sz="4" w:space="0" w:color="auto"/>
              <w:right w:val="single" w:sz="4" w:space="0" w:color="auto"/>
            </w:tcBorders>
            <w:shd w:val="clear" w:color="auto" w:fill="auto"/>
            <w:noWrap/>
            <w:vAlign w:val="bottom"/>
            <w:hideMark/>
          </w:tcPr>
          <w:p w14:paraId="485753D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52.879</w:t>
            </w:r>
          </w:p>
        </w:tc>
        <w:tc>
          <w:tcPr>
            <w:tcW w:w="1946" w:type="dxa"/>
            <w:tcBorders>
              <w:top w:val="nil"/>
              <w:left w:val="nil"/>
              <w:bottom w:val="nil"/>
              <w:right w:val="nil"/>
            </w:tcBorders>
            <w:shd w:val="clear" w:color="auto" w:fill="auto"/>
            <w:noWrap/>
            <w:vAlign w:val="bottom"/>
            <w:hideMark/>
          </w:tcPr>
          <w:p w14:paraId="5937C90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AC6ECE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CA3F43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240</w:t>
            </w:r>
          </w:p>
        </w:tc>
        <w:tc>
          <w:tcPr>
            <w:tcW w:w="904" w:type="dxa"/>
            <w:tcBorders>
              <w:top w:val="nil"/>
              <w:left w:val="nil"/>
              <w:bottom w:val="single" w:sz="4" w:space="0" w:color="auto"/>
              <w:right w:val="single" w:sz="4" w:space="0" w:color="auto"/>
            </w:tcBorders>
            <w:shd w:val="clear" w:color="auto" w:fill="auto"/>
            <w:noWrap/>
            <w:vAlign w:val="bottom"/>
            <w:hideMark/>
          </w:tcPr>
          <w:p w14:paraId="08DD596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EBB48F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61.832</w:t>
            </w:r>
          </w:p>
        </w:tc>
        <w:tc>
          <w:tcPr>
            <w:tcW w:w="904" w:type="dxa"/>
            <w:tcBorders>
              <w:top w:val="nil"/>
              <w:left w:val="nil"/>
              <w:bottom w:val="single" w:sz="4" w:space="0" w:color="auto"/>
              <w:right w:val="single" w:sz="4" w:space="0" w:color="auto"/>
            </w:tcBorders>
            <w:shd w:val="clear" w:color="auto" w:fill="auto"/>
            <w:noWrap/>
            <w:vAlign w:val="bottom"/>
            <w:hideMark/>
          </w:tcPr>
          <w:p w14:paraId="61EBEED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3335D11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57.832</w:t>
            </w:r>
          </w:p>
        </w:tc>
        <w:tc>
          <w:tcPr>
            <w:tcW w:w="904" w:type="dxa"/>
            <w:tcBorders>
              <w:top w:val="nil"/>
              <w:left w:val="nil"/>
              <w:bottom w:val="single" w:sz="4" w:space="0" w:color="auto"/>
              <w:right w:val="single" w:sz="4" w:space="0" w:color="auto"/>
            </w:tcBorders>
            <w:shd w:val="clear" w:color="auto" w:fill="auto"/>
            <w:noWrap/>
            <w:vAlign w:val="bottom"/>
            <w:hideMark/>
          </w:tcPr>
          <w:p w14:paraId="32A45C2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51.000</w:t>
            </w:r>
          </w:p>
        </w:tc>
        <w:tc>
          <w:tcPr>
            <w:tcW w:w="904" w:type="dxa"/>
            <w:tcBorders>
              <w:top w:val="nil"/>
              <w:left w:val="nil"/>
              <w:bottom w:val="single" w:sz="4" w:space="0" w:color="auto"/>
              <w:right w:val="single" w:sz="4" w:space="0" w:color="auto"/>
            </w:tcBorders>
            <w:shd w:val="clear" w:color="auto" w:fill="auto"/>
            <w:noWrap/>
            <w:vAlign w:val="bottom"/>
            <w:hideMark/>
          </w:tcPr>
          <w:p w14:paraId="666FAEA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52.153</w:t>
            </w:r>
          </w:p>
        </w:tc>
        <w:tc>
          <w:tcPr>
            <w:tcW w:w="1946" w:type="dxa"/>
            <w:tcBorders>
              <w:top w:val="nil"/>
              <w:left w:val="nil"/>
              <w:bottom w:val="nil"/>
              <w:right w:val="nil"/>
            </w:tcBorders>
            <w:shd w:val="clear" w:color="auto" w:fill="auto"/>
            <w:noWrap/>
            <w:vAlign w:val="bottom"/>
            <w:hideMark/>
          </w:tcPr>
          <w:p w14:paraId="658C849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7BCA69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C7BD45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241</w:t>
            </w:r>
          </w:p>
        </w:tc>
        <w:tc>
          <w:tcPr>
            <w:tcW w:w="904" w:type="dxa"/>
            <w:tcBorders>
              <w:top w:val="nil"/>
              <w:left w:val="nil"/>
              <w:bottom w:val="single" w:sz="4" w:space="0" w:color="auto"/>
              <w:right w:val="single" w:sz="4" w:space="0" w:color="auto"/>
            </w:tcBorders>
            <w:shd w:val="clear" w:color="auto" w:fill="auto"/>
            <w:noWrap/>
            <w:vAlign w:val="bottom"/>
            <w:hideMark/>
          </w:tcPr>
          <w:p w14:paraId="558D760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EF4D5E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01BE30E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8677DD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56.623</w:t>
            </w:r>
          </w:p>
        </w:tc>
        <w:tc>
          <w:tcPr>
            <w:tcW w:w="904" w:type="dxa"/>
            <w:tcBorders>
              <w:top w:val="nil"/>
              <w:left w:val="nil"/>
              <w:bottom w:val="single" w:sz="4" w:space="0" w:color="auto"/>
              <w:right w:val="single" w:sz="4" w:space="0" w:color="auto"/>
            </w:tcBorders>
            <w:shd w:val="clear" w:color="auto" w:fill="auto"/>
            <w:noWrap/>
            <w:vAlign w:val="bottom"/>
            <w:hideMark/>
          </w:tcPr>
          <w:p w14:paraId="35536C1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51.000</w:t>
            </w:r>
          </w:p>
        </w:tc>
        <w:tc>
          <w:tcPr>
            <w:tcW w:w="904" w:type="dxa"/>
            <w:tcBorders>
              <w:top w:val="nil"/>
              <w:left w:val="nil"/>
              <w:bottom w:val="single" w:sz="4" w:space="0" w:color="auto"/>
              <w:right w:val="single" w:sz="4" w:space="0" w:color="auto"/>
            </w:tcBorders>
            <w:shd w:val="clear" w:color="auto" w:fill="auto"/>
            <w:noWrap/>
            <w:vAlign w:val="bottom"/>
            <w:hideMark/>
          </w:tcPr>
          <w:p w14:paraId="5C67583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1946" w:type="dxa"/>
            <w:tcBorders>
              <w:top w:val="nil"/>
              <w:left w:val="nil"/>
              <w:bottom w:val="nil"/>
              <w:right w:val="nil"/>
            </w:tcBorders>
            <w:shd w:val="clear" w:color="auto" w:fill="auto"/>
            <w:noWrap/>
            <w:vAlign w:val="bottom"/>
            <w:hideMark/>
          </w:tcPr>
          <w:p w14:paraId="03AF50D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5D9AF2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B50A77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242</w:t>
            </w:r>
          </w:p>
        </w:tc>
        <w:tc>
          <w:tcPr>
            <w:tcW w:w="904" w:type="dxa"/>
            <w:tcBorders>
              <w:top w:val="nil"/>
              <w:left w:val="nil"/>
              <w:bottom w:val="single" w:sz="4" w:space="0" w:color="auto"/>
              <w:right w:val="single" w:sz="4" w:space="0" w:color="auto"/>
            </w:tcBorders>
            <w:shd w:val="clear" w:color="auto" w:fill="auto"/>
            <w:noWrap/>
            <w:vAlign w:val="bottom"/>
            <w:hideMark/>
          </w:tcPr>
          <w:p w14:paraId="003505D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0D2E479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37CA1E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F5BF86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65605C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51.278</w:t>
            </w:r>
          </w:p>
        </w:tc>
        <w:tc>
          <w:tcPr>
            <w:tcW w:w="904" w:type="dxa"/>
            <w:tcBorders>
              <w:top w:val="nil"/>
              <w:left w:val="nil"/>
              <w:bottom w:val="single" w:sz="4" w:space="0" w:color="auto"/>
              <w:right w:val="single" w:sz="4" w:space="0" w:color="auto"/>
            </w:tcBorders>
            <w:shd w:val="clear" w:color="auto" w:fill="auto"/>
            <w:noWrap/>
            <w:vAlign w:val="bottom"/>
            <w:hideMark/>
          </w:tcPr>
          <w:p w14:paraId="4D2956A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1946" w:type="dxa"/>
            <w:tcBorders>
              <w:top w:val="nil"/>
              <w:left w:val="nil"/>
              <w:bottom w:val="nil"/>
              <w:right w:val="nil"/>
            </w:tcBorders>
            <w:shd w:val="clear" w:color="auto" w:fill="auto"/>
            <w:noWrap/>
            <w:vAlign w:val="bottom"/>
            <w:hideMark/>
          </w:tcPr>
          <w:p w14:paraId="45EDFB97"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A6731F2"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B21B9E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243</w:t>
            </w:r>
          </w:p>
        </w:tc>
        <w:tc>
          <w:tcPr>
            <w:tcW w:w="904" w:type="dxa"/>
            <w:tcBorders>
              <w:top w:val="nil"/>
              <w:left w:val="nil"/>
              <w:bottom w:val="single" w:sz="4" w:space="0" w:color="auto"/>
              <w:right w:val="single" w:sz="4" w:space="0" w:color="auto"/>
            </w:tcBorders>
            <w:shd w:val="clear" w:color="auto" w:fill="auto"/>
            <w:noWrap/>
            <w:vAlign w:val="bottom"/>
            <w:hideMark/>
          </w:tcPr>
          <w:p w14:paraId="77E565A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6797AE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D6BE10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EA4BAD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56.661</w:t>
            </w:r>
          </w:p>
        </w:tc>
        <w:tc>
          <w:tcPr>
            <w:tcW w:w="904" w:type="dxa"/>
            <w:tcBorders>
              <w:top w:val="nil"/>
              <w:left w:val="nil"/>
              <w:bottom w:val="single" w:sz="4" w:space="0" w:color="auto"/>
              <w:right w:val="single" w:sz="4" w:space="0" w:color="auto"/>
            </w:tcBorders>
            <w:shd w:val="clear" w:color="auto" w:fill="auto"/>
            <w:noWrap/>
            <w:vAlign w:val="bottom"/>
            <w:hideMark/>
          </w:tcPr>
          <w:p w14:paraId="70A06FC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53.833</w:t>
            </w:r>
          </w:p>
        </w:tc>
        <w:tc>
          <w:tcPr>
            <w:tcW w:w="904" w:type="dxa"/>
            <w:tcBorders>
              <w:top w:val="nil"/>
              <w:left w:val="nil"/>
              <w:bottom w:val="single" w:sz="4" w:space="0" w:color="auto"/>
              <w:right w:val="single" w:sz="4" w:space="0" w:color="auto"/>
            </w:tcBorders>
            <w:shd w:val="clear" w:color="auto" w:fill="auto"/>
            <w:noWrap/>
            <w:vAlign w:val="bottom"/>
            <w:hideMark/>
          </w:tcPr>
          <w:p w14:paraId="55EDA69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1946" w:type="dxa"/>
            <w:tcBorders>
              <w:top w:val="nil"/>
              <w:left w:val="nil"/>
              <w:bottom w:val="nil"/>
              <w:right w:val="nil"/>
            </w:tcBorders>
            <w:shd w:val="clear" w:color="auto" w:fill="auto"/>
            <w:noWrap/>
            <w:vAlign w:val="bottom"/>
            <w:hideMark/>
          </w:tcPr>
          <w:p w14:paraId="191D0C2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4277B8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3F3D03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244</w:t>
            </w:r>
          </w:p>
        </w:tc>
        <w:tc>
          <w:tcPr>
            <w:tcW w:w="904" w:type="dxa"/>
            <w:tcBorders>
              <w:top w:val="nil"/>
              <w:left w:val="nil"/>
              <w:bottom w:val="single" w:sz="4" w:space="0" w:color="auto"/>
              <w:right w:val="single" w:sz="4" w:space="0" w:color="auto"/>
            </w:tcBorders>
            <w:shd w:val="clear" w:color="auto" w:fill="auto"/>
            <w:noWrap/>
            <w:vAlign w:val="bottom"/>
            <w:hideMark/>
          </w:tcPr>
          <w:p w14:paraId="2B882D9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248EE1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57.612</w:t>
            </w:r>
          </w:p>
        </w:tc>
        <w:tc>
          <w:tcPr>
            <w:tcW w:w="904" w:type="dxa"/>
            <w:tcBorders>
              <w:top w:val="nil"/>
              <w:left w:val="nil"/>
              <w:bottom w:val="single" w:sz="4" w:space="0" w:color="auto"/>
              <w:right w:val="single" w:sz="4" w:space="0" w:color="auto"/>
            </w:tcBorders>
            <w:shd w:val="clear" w:color="auto" w:fill="auto"/>
            <w:noWrap/>
            <w:vAlign w:val="bottom"/>
            <w:hideMark/>
          </w:tcPr>
          <w:p w14:paraId="62E3B19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420CCA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58.364</w:t>
            </w:r>
          </w:p>
        </w:tc>
        <w:tc>
          <w:tcPr>
            <w:tcW w:w="904" w:type="dxa"/>
            <w:tcBorders>
              <w:top w:val="nil"/>
              <w:left w:val="nil"/>
              <w:bottom w:val="single" w:sz="4" w:space="0" w:color="auto"/>
              <w:right w:val="single" w:sz="4" w:space="0" w:color="auto"/>
            </w:tcBorders>
            <w:shd w:val="clear" w:color="auto" w:fill="auto"/>
            <w:noWrap/>
            <w:vAlign w:val="bottom"/>
            <w:hideMark/>
          </w:tcPr>
          <w:p w14:paraId="095780C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7CF50E6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1946" w:type="dxa"/>
            <w:tcBorders>
              <w:top w:val="nil"/>
              <w:left w:val="nil"/>
              <w:bottom w:val="nil"/>
              <w:right w:val="nil"/>
            </w:tcBorders>
            <w:shd w:val="clear" w:color="auto" w:fill="auto"/>
            <w:noWrap/>
            <w:vAlign w:val="bottom"/>
            <w:hideMark/>
          </w:tcPr>
          <w:p w14:paraId="6036DF7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4737D5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9BA8C5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245</w:t>
            </w:r>
          </w:p>
        </w:tc>
        <w:tc>
          <w:tcPr>
            <w:tcW w:w="904" w:type="dxa"/>
            <w:tcBorders>
              <w:top w:val="nil"/>
              <w:left w:val="nil"/>
              <w:bottom w:val="single" w:sz="4" w:space="0" w:color="auto"/>
              <w:right w:val="single" w:sz="4" w:space="0" w:color="auto"/>
            </w:tcBorders>
            <w:shd w:val="clear" w:color="auto" w:fill="auto"/>
            <w:noWrap/>
            <w:vAlign w:val="bottom"/>
            <w:hideMark/>
          </w:tcPr>
          <w:p w14:paraId="34A7869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9E3B25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F3D78C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44EC3C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5CB99B8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579196D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1946" w:type="dxa"/>
            <w:tcBorders>
              <w:top w:val="nil"/>
              <w:left w:val="nil"/>
              <w:bottom w:val="nil"/>
              <w:right w:val="nil"/>
            </w:tcBorders>
            <w:shd w:val="clear" w:color="auto" w:fill="auto"/>
            <w:noWrap/>
            <w:vAlign w:val="bottom"/>
            <w:hideMark/>
          </w:tcPr>
          <w:p w14:paraId="075574E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8AB3AC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D9D4DC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246</w:t>
            </w:r>
          </w:p>
        </w:tc>
        <w:tc>
          <w:tcPr>
            <w:tcW w:w="904" w:type="dxa"/>
            <w:tcBorders>
              <w:top w:val="nil"/>
              <w:left w:val="nil"/>
              <w:bottom w:val="single" w:sz="4" w:space="0" w:color="auto"/>
              <w:right w:val="single" w:sz="4" w:space="0" w:color="auto"/>
            </w:tcBorders>
            <w:shd w:val="clear" w:color="auto" w:fill="auto"/>
            <w:noWrap/>
            <w:vAlign w:val="bottom"/>
            <w:hideMark/>
          </w:tcPr>
          <w:p w14:paraId="66BC870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99608C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BDC0C0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3C5DF1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57.662</w:t>
            </w:r>
          </w:p>
        </w:tc>
        <w:tc>
          <w:tcPr>
            <w:tcW w:w="904" w:type="dxa"/>
            <w:tcBorders>
              <w:top w:val="nil"/>
              <w:left w:val="nil"/>
              <w:bottom w:val="single" w:sz="4" w:space="0" w:color="auto"/>
              <w:right w:val="single" w:sz="4" w:space="0" w:color="auto"/>
            </w:tcBorders>
            <w:shd w:val="clear" w:color="auto" w:fill="auto"/>
            <w:noWrap/>
            <w:vAlign w:val="bottom"/>
            <w:hideMark/>
          </w:tcPr>
          <w:p w14:paraId="590CC6A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5A2CF4B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51.501</w:t>
            </w:r>
          </w:p>
        </w:tc>
        <w:tc>
          <w:tcPr>
            <w:tcW w:w="1946" w:type="dxa"/>
            <w:tcBorders>
              <w:top w:val="nil"/>
              <w:left w:val="nil"/>
              <w:bottom w:val="nil"/>
              <w:right w:val="nil"/>
            </w:tcBorders>
            <w:shd w:val="clear" w:color="auto" w:fill="auto"/>
            <w:noWrap/>
            <w:vAlign w:val="bottom"/>
            <w:hideMark/>
          </w:tcPr>
          <w:p w14:paraId="09B3FAD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F345D1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BFB16B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247</w:t>
            </w:r>
          </w:p>
        </w:tc>
        <w:tc>
          <w:tcPr>
            <w:tcW w:w="904" w:type="dxa"/>
            <w:tcBorders>
              <w:top w:val="nil"/>
              <w:left w:val="nil"/>
              <w:bottom w:val="single" w:sz="4" w:space="0" w:color="auto"/>
              <w:right w:val="single" w:sz="4" w:space="0" w:color="auto"/>
            </w:tcBorders>
            <w:shd w:val="clear" w:color="auto" w:fill="auto"/>
            <w:noWrap/>
            <w:vAlign w:val="bottom"/>
            <w:hideMark/>
          </w:tcPr>
          <w:p w14:paraId="2AA2972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58.748</w:t>
            </w:r>
          </w:p>
        </w:tc>
        <w:tc>
          <w:tcPr>
            <w:tcW w:w="904" w:type="dxa"/>
            <w:tcBorders>
              <w:top w:val="nil"/>
              <w:left w:val="nil"/>
              <w:bottom w:val="single" w:sz="4" w:space="0" w:color="auto"/>
              <w:right w:val="single" w:sz="4" w:space="0" w:color="auto"/>
            </w:tcBorders>
            <w:shd w:val="clear" w:color="auto" w:fill="auto"/>
            <w:noWrap/>
            <w:vAlign w:val="bottom"/>
            <w:hideMark/>
          </w:tcPr>
          <w:p w14:paraId="3A8DDA5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57.417</w:t>
            </w:r>
          </w:p>
        </w:tc>
        <w:tc>
          <w:tcPr>
            <w:tcW w:w="904" w:type="dxa"/>
            <w:tcBorders>
              <w:top w:val="nil"/>
              <w:left w:val="nil"/>
              <w:bottom w:val="single" w:sz="4" w:space="0" w:color="auto"/>
              <w:right w:val="single" w:sz="4" w:space="0" w:color="auto"/>
            </w:tcBorders>
            <w:shd w:val="clear" w:color="auto" w:fill="auto"/>
            <w:noWrap/>
            <w:vAlign w:val="bottom"/>
            <w:hideMark/>
          </w:tcPr>
          <w:p w14:paraId="6EFDD1E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A6B9C9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D63DDF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54.710</w:t>
            </w:r>
          </w:p>
        </w:tc>
        <w:tc>
          <w:tcPr>
            <w:tcW w:w="904" w:type="dxa"/>
            <w:tcBorders>
              <w:top w:val="nil"/>
              <w:left w:val="nil"/>
              <w:bottom w:val="single" w:sz="4" w:space="0" w:color="auto"/>
              <w:right w:val="single" w:sz="4" w:space="0" w:color="auto"/>
            </w:tcBorders>
            <w:shd w:val="clear" w:color="auto" w:fill="auto"/>
            <w:noWrap/>
            <w:vAlign w:val="bottom"/>
            <w:hideMark/>
          </w:tcPr>
          <w:p w14:paraId="6B47500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50.019</w:t>
            </w:r>
          </w:p>
        </w:tc>
        <w:tc>
          <w:tcPr>
            <w:tcW w:w="1946" w:type="dxa"/>
            <w:tcBorders>
              <w:top w:val="nil"/>
              <w:left w:val="nil"/>
              <w:bottom w:val="nil"/>
              <w:right w:val="nil"/>
            </w:tcBorders>
            <w:shd w:val="clear" w:color="auto" w:fill="auto"/>
            <w:noWrap/>
            <w:vAlign w:val="bottom"/>
            <w:hideMark/>
          </w:tcPr>
          <w:p w14:paraId="29D5193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8552B3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6E52C7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lastRenderedPageBreak/>
              <w:t>248</w:t>
            </w:r>
          </w:p>
        </w:tc>
        <w:tc>
          <w:tcPr>
            <w:tcW w:w="904" w:type="dxa"/>
            <w:tcBorders>
              <w:top w:val="nil"/>
              <w:left w:val="nil"/>
              <w:bottom w:val="single" w:sz="4" w:space="0" w:color="auto"/>
              <w:right w:val="single" w:sz="4" w:space="0" w:color="auto"/>
            </w:tcBorders>
            <w:shd w:val="clear" w:color="auto" w:fill="auto"/>
            <w:noWrap/>
            <w:vAlign w:val="bottom"/>
            <w:hideMark/>
          </w:tcPr>
          <w:p w14:paraId="60E72EF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57.176</w:t>
            </w:r>
          </w:p>
        </w:tc>
        <w:tc>
          <w:tcPr>
            <w:tcW w:w="904" w:type="dxa"/>
            <w:tcBorders>
              <w:top w:val="nil"/>
              <w:left w:val="nil"/>
              <w:bottom w:val="single" w:sz="4" w:space="0" w:color="auto"/>
              <w:right w:val="single" w:sz="4" w:space="0" w:color="auto"/>
            </w:tcBorders>
            <w:shd w:val="clear" w:color="auto" w:fill="auto"/>
            <w:noWrap/>
            <w:vAlign w:val="bottom"/>
            <w:hideMark/>
          </w:tcPr>
          <w:p w14:paraId="2002796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57.941</w:t>
            </w:r>
          </w:p>
        </w:tc>
        <w:tc>
          <w:tcPr>
            <w:tcW w:w="904" w:type="dxa"/>
            <w:tcBorders>
              <w:top w:val="nil"/>
              <w:left w:val="nil"/>
              <w:bottom w:val="single" w:sz="4" w:space="0" w:color="auto"/>
              <w:right w:val="single" w:sz="4" w:space="0" w:color="auto"/>
            </w:tcBorders>
            <w:shd w:val="clear" w:color="auto" w:fill="auto"/>
            <w:noWrap/>
            <w:vAlign w:val="bottom"/>
            <w:hideMark/>
          </w:tcPr>
          <w:p w14:paraId="19F72D1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3A88D32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E1A0B5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57.026</w:t>
            </w:r>
          </w:p>
        </w:tc>
        <w:tc>
          <w:tcPr>
            <w:tcW w:w="904" w:type="dxa"/>
            <w:tcBorders>
              <w:top w:val="nil"/>
              <w:left w:val="nil"/>
              <w:bottom w:val="single" w:sz="4" w:space="0" w:color="auto"/>
              <w:right w:val="single" w:sz="4" w:space="0" w:color="auto"/>
            </w:tcBorders>
            <w:shd w:val="clear" w:color="auto" w:fill="auto"/>
            <w:noWrap/>
            <w:vAlign w:val="bottom"/>
            <w:hideMark/>
          </w:tcPr>
          <w:p w14:paraId="3831BF9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48.748</w:t>
            </w:r>
          </w:p>
        </w:tc>
        <w:tc>
          <w:tcPr>
            <w:tcW w:w="1946" w:type="dxa"/>
            <w:tcBorders>
              <w:top w:val="nil"/>
              <w:left w:val="nil"/>
              <w:bottom w:val="nil"/>
              <w:right w:val="nil"/>
            </w:tcBorders>
            <w:shd w:val="clear" w:color="auto" w:fill="auto"/>
            <w:noWrap/>
            <w:vAlign w:val="bottom"/>
            <w:hideMark/>
          </w:tcPr>
          <w:p w14:paraId="67905D3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1B3C31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668098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249</w:t>
            </w:r>
          </w:p>
        </w:tc>
        <w:tc>
          <w:tcPr>
            <w:tcW w:w="904" w:type="dxa"/>
            <w:tcBorders>
              <w:top w:val="nil"/>
              <w:left w:val="nil"/>
              <w:bottom w:val="single" w:sz="4" w:space="0" w:color="auto"/>
              <w:right w:val="single" w:sz="4" w:space="0" w:color="auto"/>
            </w:tcBorders>
            <w:shd w:val="clear" w:color="auto" w:fill="auto"/>
            <w:noWrap/>
            <w:vAlign w:val="bottom"/>
            <w:hideMark/>
          </w:tcPr>
          <w:p w14:paraId="4042D92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F92C90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57.398</w:t>
            </w:r>
          </w:p>
        </w:tc>
        <w:tc>
          <w:tcPr>
            <w:tcW w:w="904" w:type="dxa"/>
            <w:tcBorders>
              <w:top w:val="nil"/>
              <w:left w:val="nil"/>
              <w:bottom w:val="single" w:sz="4" w:space="0" w:color="auto"/>
              <w:right w:val="single" w:sz="4" w:space="0" w:color="auto"/>
            </w:tcBorders>
            <w:shd w:val="clear" w:color="auto" w:fill="auto"/>
            <w:noWrap/>
            <w:vAlign w:val="bottom"/>
            <w:hideMark/>
          </w:tcPr>
          <w:p w14:paraId="1D37BD8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E6FD58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35EF62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D152D6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49.680</w:t>
            </w:r>
          </w:p>
        </w:tc>
        <w:tc>
          <w:tcPr>
            <w:tcW w:w="1946" w:type="dxa"/>
            <w:tcBorders>
              <w:top w:val="nil"/>
              <w:left w:val="nil"/>
              <w:bottom w:val="nil"/>
              <w:right w:val="nil"/>
            </w:tcBorders>
            <w:shd w:val="clear" w:color="auto" w:fill="auto"/>
            <w:noWrap/>
            <w:vAlign w:val="bottom"/>
            <w:hideMark/>
          </w:tcPr>
          <w:p w14:paraId="007C757C"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658F39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84FB67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250</w:t>
            </w:r>
          </w:p>
        </w:tc>
        <w:tc>
          <w:tcPr>
            <w:tcW w:w="904" w:type="dxa"/>
            <w:tcBorders>
              <w:top w:val="nil"/>
              <w:left w:val="nil"/>
              <w:bottom w:val="single" w:sz="4" w:space="0" w:color="auto"/>
              <w:right w:val="single" w:sz="4" w:space="0" w:color="auto"/>
            </w:tcBorders>
            <w:shd w:val="clear" w:color="auto" w:fill="auto"/>
            <w:noWrap/>
            <w:vAlign w:val="bottom"/>
            <w:hideMark/>
          </w:tcPr>
          <w:p w14:paraId="15182DF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BA7B5F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55.190</w:t>
            </w:r>
          </w:p>
        </w:tc>
        <w:tc>
          <w:tcPr>
            <w:tcW w:w="904" w:type="dxa"/>
            <w:tcBorders>
              <w:top w:val="nil"/>
              <w:left w:val="nil"/>
              <w:bottom w:val="single" w:sz="4" w:space="0" w:color="auto"/>
              <w:right w:val="single" w:sz="4" w:space="0" w:color="auto"/>
            </w:tcBorders>
            <w:shd w:val="clear" w:color="auto" w:fill="auto"/>
            <w:noWrap/>
            <w:vAlign w:val="bottom"/>
            <w:hideMark/>
          </w:tcPr>
          <w:p w14:paraId="4BFDAEA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E21632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1E4C08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FB9F4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50.720</w:t>
            </w:r>
          </w:p>
        </w:tc>
        <w:tc>
          <w:tcPr>
            <w:tcW w:w="1946" w:type="dxa"/>
            <w:tcBorders>
              <w:top w:val="nil"/>
              <w:left w:val="nil"/>
              <w:bottom w:val="nil"/>
              <w:right w:val="nil"/>
            </w:tcBorders>
            <w:shd w:val="clear" w:color="auto" w:fill="auto"/>
            <w:noWrap/>
            <w:vAlign w:val="bottom"/>
            <w:hideMark/>
          </w:tcPr>
          <w:p w14:paraId="1BED36B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5A9357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D86551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251</w:t>
            </w:r>
          </w:p>
        </w:tc>
        <w:tc>
          <w:tcPr>
            <w:tcW w:w="904" w:type="dxa"/>
            <w:tcBorders>
              <w:top w:val="nil"/>
              <w:left w:val="nil"/>
              <w:bottom w:val="single" w:sz="4" w:space="0" w:color="auto"/>
              <w:right w:val="single" w:sz="4" w:space="0" w:color="auto"/>
            </w:tcBorders>
            <w:shd w:val="clear" w:color="auto" w:fill="auto"/>
            <w:noWrap/>
            <w:vAlign w:val="bottom"/>
            <w:hideMark/>
          </w:tcPr>
          <w:p w14:paraId="357ABD1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0B56A4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0ABC26B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6F257E3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0C68C28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9FA885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50.626</w:t>
            </w:r>
          </w:p>
        </w:tc>
        <w:tc>
          <w:tcPr>
            <w:tcW w:w="1946" w:type="dxa"/>
            <w:tcBorders>
              <w:top w:val="nil"/>
              <w:left w:val="nil"/>
              <w:bottom w:val="nil"/>
              <w:right w:val="nil"/>
            </w:tcBorders>
            <w:shd w:val="clear" w:color="auto" w:fill="auto"/>
            <w:noWrap/>
            <w:vAlign w:val="bottom"/>
            <w:hideMark/>
          </w:tcPr>
          <w:p w14:paraId="0B4D0AE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8331D3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773CF8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252</w:t>
            </w:r>
          </w:p>
        </w:tc>
        <w:tc>
          <w:tcPr>
            <w:tcW w:w="904" w:type="dxa"/>
            <w:tcBorders>
              <w:top w:val="nil"/>
              <w:left w:val="nil"/>
              <w:bottom w:val="single" w:sz="4" w:space="0" w:color="auto"/>
              <w:right w:val="single" w:sz="4" w:space="0" w:color="auto"/>
            </w:tcBorders>
            <w:shd w:val="clear" w:color="auto" w:fill="auto"/>
            <w:noWrap/>
            <w:vAlign w:val="bottom"/>
            <w:hideMark/>
          </w:tcPr>
          <w:p w14:paraId="60ED063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56.977</w:t>
            </w:r>
          </w:p>
        </w:tc>
        <w:tc>
          <w:tcPr>
            <w:tcW w:w="904" w:type="dxa"/>
            <w:tcBorders>
              <w:top w:val="nil"/>
              <w:left w:val="nil"/>
              <w:bottom w:val="single" w:sz="4" w:space="0" w:color="auto"/>
              <w:right w:val="single" w:sz="4" w:space="0" w:color="auto"/>
            </w:tcBorders>
            <w:shd w:val="clear" w:color="auto" w:fill="auto"/>
            <w:noWrap/>
            <w:vAlign w:val="bottom"/>
            <w:hideMark/>
          </w:tcPr>
          <w:p w14:paraId="00156C1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55.045</w:t>
            </w:r>
          </w:p>
        </w:tc>
        <w:tc>
          <w:tcPr>
            <w:tcW w:w="904" w:type="dxa"/>
            <w:tcBorders>
              <w:top w:val="nil"/>
              <w:left w:val="nil"/>
              <w:bottom w:val="single" w:sz="4" w:space="0" w:color="auto"/>
              <w:right w:val="single" w:sz="4" w:space="0" w:color="auto"/>
            </w:tcBorders>
            <w:shd w:val="clear" w:color="auto" w:fill="auto"/>
            <w:noWrap/>
            <w:vAlign w:val="bottom"/>
            <w:hideMark/>
          </w:tcPr>
          <w:p w14:paraId="50DF7F1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56.173</w:t>
            </w:r>
          </w:p>
        </w:tc>
        <w:tc>
          <w:tcPr>
            <w:tcW w:w="904" w:type="dxa"/>
            <w:tcBorders>
              <w:top w:val="nil"/>
              <w:left w:val="nil"/>
              <w:bottom w:val="single" w:sz="4" w:space="0" w:color="auto"/>
              <w:right w:val="single" w:sz="4" w:space="0" w:color="auto"/>
            </w:tcBorders>
            <w:shd w:val="clear" w:color="auto" w:fill="auto"/>
            <w:noWrap/>
            <w:vAlign w:val="bottom"/>
            <w:hideMark/>
          </w:tcPr>
          <w:p w14:paraId="291BC16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8D7029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58.037</w:t>
            </w:r>
          </w:p>
        </w:tc>
        <w:tc>
          <w:tcPr>
            <w:tcW w:w="904" w:type="dxa"/>
            <w:tcBorders>
              <w:top w:val="nil"/>
              <w:left w:val="nil"/>
              <w:bottom w:val="single" w:sz="4" w:space="0" w:color="auto"/>
              <w:right w:val="single" w:sz="4" w:space="0" w:color="auto"/>
            </w:tcBorders>
            <w:shd w:val="clear" w:color="auto" w:fill="auto"/>
            <w:noWrap/>
            <w:vAlign w:val="bottom"/>
            <w:hideMark/>
          </w:tcPr>
          <w:p w14:paraId="5B8BAFA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50.957</w:t>
            </w:r>
          </w:p>
        </w:tc>
        <w:tc>
          <w:tcPr>
            <w:tcW w:w="1946" w:type="dxa"/>
            <w:tcBorders>
              <w:top w:val="nil"/>
              <w:left w:val="nil"/>
              <w:bottom w:val="nil"/>
              <w:right w:val="nil"/>
            </w:tcBorders>
            <w:shd w:val="clear" w:color="auto" w:fill="auto"/>
            <w:noWrap/>
            <w:vAlign w:val="bottom"/>
            <w:hideMark/>
          </w:tcPr>
          <w:p w14:paraId="18DE6E1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34E02D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BF46FD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253</w:t>
            </w:r>
          </w:p>
        </w:tc>
        <w:tc>
          <w:tcPr>
            <w:tcW w:w="904" w:type="dxa"/>
            <w:tcBorders>
              <w:top w:val="nil"/>
              <w:left w:val="nil"/>
              <w:bottom w:val="single" w:sz="4" w:space="0" w:color="auto"/>
              <w:right w:val="single" w:sz="4" w:space="0" w:color="auto"/>
            </w:tcBorders>
            <w:shd w:val="clear" w:color="auto" w:fill="auto"/>
            <w:noWrap/>
            <w:vAlign w:val="bottom"/>
            <w:hideMark/>
          </w:tcPr>
          <w:p w14:paraId="7B727E8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56.697</w:t>
            </w:r>
          </w:p>
        </w:tc>
        <w:tc>
          <w:tcPr>
            <w:tcW w:w="904" w:type="dxa"/>
            <w:tcBorders>
              <w:top w:val="nil"/>
              <w:left w:val="nil"/>
              <w:bottom w:val="single" w:sz="4" w:space="0" w:color="auto"/>
              <w:right w:val="single" w:sz="4" w:space="0" w:color="auto"/>
            </w:tcBorders>
            <w:shd w:val="clear" w:color="auto" w:fill="auto"/>
            <w:noWrap/>
            <w:vAlign w:val="bottom"/>
            <w:hideMark/>
          </w:tcPr>
          <w:p w14:paraId="726D574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56.987</w:t>
            </w:r>
          </w:p>
        </w:tc>
        <w:tc>
          <w:tcPr>
            <w:tcW w:w="904" w:type="dxa"/>
            <w:tcBorders>
              <w:top w:val="nil"/>
              <w:left w:val="nil"/>
              <w:bottom w:val="single" w:sz="4" w:space="0" w:color="auto"/>
              <w:right w:val="single" w:sz="4" w:space="0" w:color="auto"/>
            </w:tcBorders>
            <w:shd w:val="clear" w:color="auto" w:fill="auto"/>
            <w:noWrap/>
            <w:vAlign w:val="bottom"/>
            <w:hideMark/>
          </w:tcPr>
          <w:p w14:paraId="67B98B2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41CC4C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EB56C5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58.561</w:t>
            </w:r>
          </w:p>
        </w:tc>
        <w:tc>
          <w:tcPr>
            <w:tcW w:w="904" w:type="dxa"/>
            <w:tcBorders>
              <w:top w:val="nil"/>
              <w:left w:val="nil"/>
              <w:bottom w:val="single" w:sz="4" w:space="0" w:color="auto"/>
              <w:right w:val="single" w:sz="4" w:space="0" w:color="auto"/>
            </w:tcBorders>
            <w:shd w:val="clear" w:color="auto" w:fill="auto"/>
            <w:noWrap/>
            <w:vAlign w:val="bottom"/>
            <w:hideMark/>
          </w:tcPr>
          <w:p w14:paraId="410B31D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51.000</w:t>
            </w:r>
          </w:p>
        </w:tc>
        <w:tc>
          <w:tcPr>
            <w:tcW w:w="1946" w:type="dxa"/>
            <w:tcBorders>
              <w:top w:val="nil"/>
              <w:left w:val="nil"/>
              <w:bottom w:val="nil"/>
              <w:right w:val="nil"/>
            </w:tcBorders>
            <w:shd w:val="clear" w:color="auto" w:fill="auto"/>
            <w:noWrap/>
            <w:vAlign w:val="bottom"/>
            <w:hideMark/>
          </w:tcPr>
          <w:p w14:paraId="6583909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CA2635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2D0993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254</w:t>
            </w:r>
          </w:p>
        </w:tc>
        <w:tc>
          <w:tcPr>
            <w:tcW w:w="904" w:type="dxa"/>
            <w:tcBorders>
              <w:top w:val="nil"/>
              <w:left w:val="nil"/>
              <w:bottom w:val="single" w:sz="4" w:space="0" w:color="auto"/>
              <w:right w:val="single" w:sz="4" w:space="0" w:color="auto"/>
            </w:tcBorders>
            <w:shd w:val="clear" w:color="auto" w:fill="auto"/>
            <w:noWrap/>
            <w:vAlign w:val="bottom"/>
            <w:hideMark/>
          </w:tcPr>
          <w:p w14:paraId="7793F23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56.745</w:t>
            </w:r>
          </w:p>
        </w:tc>
        <w:tc>
          <w:tcPr>
            <w:tcW w:w="904" w:type="dxa"/>
            <w:tcBorders>
              <w:top w:val="nil"/>
              <w:left w:val="nil"/>
              <w:bottom w:val="single" w:sz="4" w:space="0" w:color="auto"/>
              <w:right w:val="single" w:sz="4" w:space="0" w:color="auto"/>
            </w:tcBorders>
            <w:shd w:val="clear" w:color="auto" w:fill="auto"/>
            <w:noWrap/>
            <w:vAlign w:val="bottom"/>
            <w:hideMark/>
          </w:tcPr>
          <w:p w14:paraId="01C0CB4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C442B3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54.063</w:t>
            </w:r>
          </w:p>
        </w:tc>
        <w:tc>
          <w:tcPr>
            <w:tcW w:w="904" w:type="dxa"/>
            <w:tcBorders>
              <w:top w:val="nil"/>
              <w:left w:val="nil"/>
              <w:bottom w:val="single" w:sz="4" w:space="0" w:color="auto"/>
              <w:right w:val="single" w:sz="4" w:space="0" w:color="auto"/>
            </w:tcBorders>
            <w:shd w:val="clear" w:color="auto" w:fill="auto"/>
            <w:noWrap/>
            <w:vAlign w:val="bottom"/>
            <w:hideMark/>
          </w:tcPr>
          <w:p w14:paraId="3E3A48C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5D05DCF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4F9F8A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51.857</w:t>
            </w:r>
          </w:p>
        </w:tc>
        <w:tc>
          <w:tcPr>
            <w:tcW w:w="1946" w:type="dxa"/>
            <w:tcBorders>
              <w:top w:val="nil"/>
              <w:left w:val="nil"/>
              <w:bottom w:val="nil"/>
              <w:right w:val="nil"/>
            </w:tcBorders>
            <w:shd w:val="clear" w:color="auto" w:fill="auto"/>
            <w:noWrap/>
            <w:vAlign w:val="bottom"/>
            <w:hideMark/>
          </w:tcPr>
          <w:p w14:paraId="44C5A04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538EA4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CC9C62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255</w:t>
            </w:r>
          </w:p>
        </w:tc>
        <w:tc>
          <w:tcPr>
            <w:tcW w:w="904" w:type="dxa"/>
            <w:tcBorders>
              <w:top w:val="nil"/>
              <w:left w:val="nil"/>
              <w:bottom w:val="single" w:sz="4" w:space="0" w:color="auto"/>
              <w:right w:val="single" w:sz="4" w:space="0" w:color="auto"/>
            </w:tcBorders>
            <w:shd w:val="clear" w:color="auto" w:fill="auto"/>
            <w:noWrap/>
            <w:vAlign w:val="bottom"/>
            <w:hideMark/>
          </w:tcPr>
          <w:p w14:paraId="53C31C2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55.472</w:t>
            </w:r>
          </w:p>
        </w:tc>
        <w:tc>
          <w:tcPr>
            <w:tcW w:w="904" w:type="dxa"/>
            <w:tcBorders>
              <w:top w:val="nil"/>
              <w:left w:val="nil"/>
              <w:bottom w:val="single" w:sz="4" w:space="0" w:color="auto"/>
              <w:right w:val="single" w:sz="4" w:space="0" w:color="auto"/>
            </w:tcBorders>
            <w:shd w:val="clear" w:color="auto" w:fill="auto"/>
            <w:noWrap/>
            <w:vAlign w:val="bottom"/>
            <w:hideMark/>
          </w:tcPr>
          <w:p w14:paraId="7F1B220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EF4A8E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904" w:type="dxa"/>
            <w:tcBorders>
              <w:top w:val="nil"/>
              <w:left w:val="nil"/>
              <w:bottom w:val="single" w:sz="4" w:space="0" w:color="auto"/>
              <w:right w:val="single" w:sz="4" w:space="0" w:color="auto"/>
            </w:tcBorders>
            <w:shd w:val="clear" w:color="auto" w:fill="auto"/>
            <w:noWrap/>
            <w:vAlign w:val="bottom"/>
            <w:hideMark/>
          </w:tcPr>
          <w:p w14:paraId="1AFF86D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56.192</w:t>
            </w:r>
          </w:p>
        </w:tc>
        <w:tc>
          <w:tcPr>
            <w:tcW w:w="904" w:type="dxa"/>
            <w:tcBorders>
              <w:top w:val="nil"/>
              <w:left w:val="nil"/>
              <w:bottom w:val="single" w:sz="4" w:space="0" w:color="auto"/>
              <w:right w:val="single" w:sz="4" w:space="0" w:color="auto"/>
            </w:tcBorders>
            <w:shd w:val="clear" w:color="auto" w:fill="auto"/>
            <w:noWrap/>
            <w:vAlign w:val="bottom"/>
            <w:hideMark/>
          </w:tcPr>
          <w:p w14:paraId="57E4F4C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58.808</w:t>
            </w:r>
          </w:p>
        </w:tc>
        <w:tc>
          <w:tcPr>
            <w:tcW w:w="904" w:type="dxa"/>
            <w:tcBorders>
              <w:top w:val="nil"/>
              <w:left w:val="nil"/>
              <w:bottom w:val="single" w:sz="4" w:space="0" w:color="auto"/>
              <w:right w:val="single" w:sz="4" w:space="0" w:color="auto"/>
            </w:tcBorders>
            <w:shd w:val="clear" w:color="auto" w:fill="auto"/>
            <w:noWrap/>
            <w:vAlign w:val="bottom"/>
            <w:hideMark/>
          </w:tcPr>
          <w:p w14:paraId="058EFD6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52.472</w:t>
            </w:r>
          </w:p>
        </w:tc>
        <w:tc>
          <w:tcPr>
            <w:tcW w:w="1946" w:type="dxa"/>
            <w:tcBorders>
              <w:top w:val="nil"/>
              <w:left w:val="nil"/>
              <w:bottom w:val="nil"/>
              <w:right w:val="nil"/>
            </w:tcBorders>
            <w:shd w:val="clear" w:color="auto" w:fill="auto"/>
            <w:noWrap/>
            <w:vAlign w:val="bottom"/>
            <w:hideMark/>
          </w:tcPr>
          <w:p w14:paraId="599C88CC"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625664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3807C6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256</w:t>
            </w:r>
          </w:p>
        </w:tc>
        <w:tc>
          <w:tcPr>
            <w:tcW w:w="904" w:type="dxa"/>
            <w:tcBorders>
              <w:top w:val="nil"/>
              <w:left w:val="nil"/>
              <w:bottom w:val="single" w:sz="4" w:space="0" w:color="auto"/>
              <w:right w:val="single" w:sz="4" w:space="0" w:color="auto"/>
            </w:tcBorders>
            <w:shd w:val="clear" w:color="auto" w:fill="auto"/>
            <w:noWrap/>
            <w:vAlign w:val="bottom"/>
            <w:hideMark/>
          </w:tcPr>
          <w:p w14:paraId="0331A11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56.607</w:t>
            </w:r>
          </w:p>
        </w:tc>
        <w:tc>
          <w:tcPr>
            <w:tcW w:w="904" w:type="dxa"/>
            <w:tcBorders>
              <w:top w:val="nil"/>
              <w:left w:val="nil"/>
              <w:bottom w:val="single" w:sz="4" w:space="0" w:color="auto"/>
              <w:right w:val="single" w:sz="4" w:space="0" w:color="auto"/>
            </w:tcBorders>
            <w:shd w:val="clear" w:color="auto" w:fill="auto"/>
            <w:noWrap/>
            <w:vAlign w:val="bottom"/>
            <w:hideMark/>
          </w:tcPr>
          <w:p w14:paraId="21FD93C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81AD10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904" w:type="dxa"/>
            <w:tcBorders>
              <w:top w:val="nil"/>
              <w:left w:val="nil"/>
              <w:bottom w:val="single" w:sz="4" w:space="0" w:color="auto"/>
              <w:right w:val="single" w:sz="4" w:space="0" w:color="auto"/>
            </w:tcBorders>
            <w:shd w:val="clear" w:color="auto" w:fill="auto"/>
            <w:noWrap/>
            <w:vAlign w:val="bottom"/>
            <w:hideMark/>
          </w:tcPr>
          <w:p w14:paraId="57D29A1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56.046</w:t>
            </w:r>
          </w:p>
        </w:tc>
        <w:tc>
          <w:tcPr>
            <w:tcW w:w="904" w:type="dxa"/>
            <w:tcBorders>
              <w:top w:val="nil"/>
              <w:left w:val="nil"/>
              <w:bottom w:val="single" w:sz="4" w:space="0" w:color="auto"/>
              <w:right w:val="single" w:sz="4" w:space="0" w:color="auto"/>
            </w:tcBorders>
            <w:shd w:val="clear" w:color="auto" w:fill="auto"/>
            <w:noWrap/>
            <w:vAlign w:val="bottom"/>
            <w:hideMark/>
          </w:tcPr>
          <w:p w14:paraId="456E514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58.960</w:t>
            </w:r>
          </w:p>
        </w:tc>
        <w:tc>
          <w:tcPr>
            <w:tcW w:w="904" w:type="dxa"/>
            <w:tcBorders>
              <w:top w:val="nil"/>
              <w:left w:val="nil"/>
              <w:bottom w:val="single" w:sz="4" w:space="0" w:color="auto"/>
              <w:right w:val="single" w:sz="4" w:space="0" w:color="auto"/>
            </w:tcBorders>
            <w:shd w:val="clear" w:color="auto" w:fill="auto"/>
            <w:noWrap/>
            <w:vAlign w:val="bottom"/>
            <w:hideMark/>
          </w:tcPr>
          <w:p w14:paraId="3431D4D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54.002</w:t>
            </w:r>
          </w:p>
        </w:tc>
        <w:tc>
          <w:tcPr>
            <w:tcW w:w="1946" w:type="dxa"/>
            <w:tcBorders>
              <w:top w:val="nil"/>
              <w:left w:val="nil"/>
              <w:bottom w:val="nil"/>
              <w:right w:val="nil"/>
            </w:tcBorders>
            <w:shd w:val="clear" w:color="auto" w:fill="auto"/>
            <w:noWrap/>
            <w:vAlign w:val="bottom"/>
            <w:hideMark/>
          </w:tcPr>
          <w:p w14:paraId="76BFC63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32C0E4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3D1BAB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257</w:t>
            </w:r>
          </w:p>
        </w:tc>
        <w:tc>
          <w:tcPr>
            <w:tcW w:w="904" w:type="dxa"/>
            <w:tcBorders>
              <w:top w:val="nil"/>
              <w:left w:val="nil"/>
              <w:bottom w:val="single" w:sz="4" w:space="0" w:color="auto"/>
              <w:right w:val="single" w:sz="4" w:space="0" w:color="auto"/>
            </w:tcBorders>
            <w:shd w:val="clear" w:color="auto" w:fill="auto"/>
            <w:noWrap/>
            <w:vAlign w:val="bottom"/>
            <w:hideMark/>
          </w:tcPr>
          <w:p w14:paraId="2FF3C64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56.738</w:t>
            </w:r>
          </w:p>
        </w:tc>
        <w:tc>
          <w:tcPr>
            <w:tcW w:w="904" w:type="dxa"/>
            <w:tcBorders>
              <w:top w:val="nil"/>
              <w:left w:val="nil"/>
              <w:bottom w:val="single" w:sz="4" w:space="0" w:color="auto"/>
              <w:right w:val="single" w:sz="4" w:space="0" w:color="auto"/>
            </w:tcBorders>
            <w:shd w:val="clear" w:color="auto" w:fill="auto"/>
            <w:noWrap/>
            <w:vAlign w:val="bottom"/>
            <w:hideMark/>
          </w:tcPr>
          <w:p w14:paraId="360B8C6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416451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904" w:type="dxa"/>
            <w:tcBorders>
              <w:top w:val="nil"/>
              <w:left w:val="nil"/>
              <w:bottom w:val="single" w:sz="4" w:space="0" w:color="auto"/>
              <w:right w:val="single" w:sz="4" w:space="0" w:color="auto"/>
            </w:tcBorders>
            <w:shd w:val="clear" w:color="auto" w:fill="auto"/>
            <w:noWrap/>
            <w:vAlign w:val="bottom"/>
            <w:hideMark/>
          </w:tcPr>
          <w:p w14:paraId="1565CFB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58.601</w:t>
            </w:r>
          </w:p>
        </w:tc>
        <w:tc>
          <w:tcPr>
            <w:tcW w:w="904" w:type="dxa"/>
            <w:tcBorders>
              <w:top w:val="nil"/>
              <w:left w:val="nil"/>
              <w:bottom w:val="single" w:sz="4" w:space="0" w:color="auto"/>
              <w:right w:val="single" w:sz="4" w:space="0" w:color="auto"/>
            </w:tcBorders>
            <w:shd w:val="clear" w:color="auto" w:fill="auto"/>
            <w:noWrap/>
            <w:vAlign w:val="bottom"/>
            <w:hideMark/>
          </w:tcPr>
          <w:p w14:paraId="7DDD534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58.108</w:t>
            </w:r>
          </w:p>
        </w:tc>
        <w:tc>
          <w:tcPr>
            <w:tcW w:w="904" w:type="dxa"/>
            <w:tcBorders>
              <w:top w:val="nil"/>
              <w:left w:val="nil"/>
              <w:bottom w:val="single" w:sz="4" w:space="0" w:color="auto"/>
              <w:right w:val="single" w:sz="4" w:space="0" w:color="auto"/>
            </w:tcBorders>
            <w:shd w:val="clear" w:color="auto" w:fill="auto"/>
            <w:noWrap/>
            <w:vAlign w:val="bottom"/>
            <w:hideMark/>
          </w:tcPr>
          <w:p w14:paraId="2ED18BF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54.570</w:t>
            </w:r>
          </w:p>
        </w:tc>
        <w:tc>
          <w:tcPr>
            <w:tcW w:w="1946" w:type="dxa"/>
            <w:tcBorders>
              <w:top w:val="nil"/>
              <w:left w:val="nil"/>
              <w:bottom w:val="nil"/>
              <w:right w:val="nil"/>
            </w:tcBorders>
            <w:shd w:val="clear" w:color="auto" w:fill="auto"/>
            <w:noWrap/>
            <w:vAlign w:val="bottom"/>
            <w:hideMark/>
          </w:tcPr>
          <w:p w14:paraId="37F23D7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C66892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C2CF87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258</w:t>
            </w:r>
          </w:p>
        </w:tc>
        <w:tc>
          <w:tcPr>
            <w:tcW w:w="904" w:type="dxa"/>
            <w:tcBorders>
              <w:top w:val="nil"/>
              <w:left w:val="nil"/>
              <w:bottom w:val="single" w:sz="4" w:space="0" w:color="auto"/>
              <w:right w:val="single" w:sz="4" w:space="0" w:color="auto"/>
            </w:tcBorders>
            <w:shd w:val="clear" w:color="auto" w:fill="auto"/>
            <w:noWrap/>
            <w:vAlign w:val="bottom"/>
            <w:hideMark/>
          </w:tcPr>
          <w:p w14:paraId="5445917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56.847</w:t>
            </w:r>
          </w:p>
        </w:tc>
        <w:tc>
          <w:tcPr>
            <w:tcW w:w="904" w:type="dxa"/>
            <w:tcBorders>
              <w:top w:val="nil"/>
              <w:left w:val="nil"/>
              <w:bottom w:val="single" w:sz="4" w:space="0" w:color="auto"/>
              <w:right w:val="single" w:sz="4" w:space="0" w:color="auto"/>
            </w:tcBorders>
            <w:shd w:val="clear" w:color="auto" w:fill="auto"/>
            <w:noWrap/>
            <w:vAlign w:val="bottom"/>
            <w:hideMark/>
          </w:tcPr>
          <w:p w14:paraId="0BE9D1E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55.844</w:t>
            </w:r>
          </w:p>
        </w:tc>
        <w:tc>
          <w:tcPr>
            <w:tcW w:w="904" w:type="dxa"/>
            <w:tcBorders>
              <w:top w:val="nil"/>
              <w:left w:val="nil"/>
              <w:bottom w:val="single" w:sz="4" w:space="0" w:color="auto"/>
              <w:right w:val="single" w:sz="4" w:space="0" w:color="auto"/>
            </w:tcBorders>
            <w:shd w:val="clear" w:color="auto" w:fill="auto"/>
            <w:noWrap/>
            <w:vAlign w:val="bottom"/>
            <w:hideMark/>
          </w:tcPr>
          <w:p w14:paraId="24265E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904" w:type="dxa"/>
            <w:tcBorders>
              <w:top w:val="nil"/>
              <w:left w:val="nil"/>
              <w:bottom w:val="single" w:sz="4" w:space="0" w:color="auto"/>
              <w:right w:val="single" w:sz="4" w:space="0" w:color="auto"/>
            </w:tcBorders>
            <w:shd w:val="clear" w:color="auto" w:fill="auto"/>
            <w:noWrap/>
            <w:vAlign w:val="bottom"/>
            <w:hideMark/>
          </w:tcPr>
          <w:p w14:paraId="6F0B629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22D3620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226562F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56.307</w:t>
            </w:r>
          </w:p>
        </w:tc>
        <w:tc>
          <w:tcPr>
            <w:tcW w:w="1946" w:type="dxa"/>
            <w:tcBorders>
              <w:top w:val="nil"/>
              <w:left w:val="nil"/>
              <w:bottom w:val="nil"/>
              <w:right w:val="nil"/>
            </w:tcBorders>
            <w:shd w:val="clear" w:color="auto" w:fill="auto"/>
            <w:noWrap/>
            <w:vAlign w:val="bottom"/>
            <w:hideMark/>
          </w:tcPr>
          <w:p w14:paraId="26927A3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EEB16E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4A9B2A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259</w:t>
            </w:r>
          </w:p>
        </w:tc>
        <w:tc>
          <w:tcPr>
            <w:tcW w:w="904" w:type="dxa"/>
            <w:tcBorders>
              <w:top w:val="nil"/>
              <w:left w:val="nil"/>
              <w:bottom w:val="single" w:sz="4" w:space="0" w:color="auto"/>
              <w:right w:val="single" w:sz="4" w:space="0" w:color="auto"/>
            </w:tcBorders>
            <w:shd w:val="clear" w:color="auto" w:fill="auto"/>
            <w:noWrap/>
            <w:vAlign w:val="bottom"/>
            <w:hideMark/>
          </w:tcPr>
          <w:p w14:paraId="5D38988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F411CC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FFB04E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904" w:type="dxa"/>
            <w:tcBorders>
              <w:top w:val="nil"/>
              <w:left w:val="nil"/>
              <w:bottom w:val="single" w:sz="4" w:space="0" w:color="auto"/>
              <w:right w:val="single" w:sz="4" w:space="0" w:color="auto"/>
            </w:tcBorders>
            <w:shd w:val="clear" w:color="auto" w:fill="auto"/>
            <w:noWrap/>
            <w:vAlign w:val="bottom"/>
            <w:hideMark/>
          </w:tcPr>
          <w:p w14:paraId="3BF79AE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24FEAE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5980922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55.893</w:t>
            </w:r>
          </w:p>
        </w:tc>
        <w:tc>
          <w:tcPr>
            <w:tcW w:w="1946" w:type="dxa"/>
            <w:tcBorders>
              <w:top w:val="nil"/>
              <w:left w:val="nil"/>
              <w:bottom w:val="nil"/>
              <w:right w:val="nil"/>
            </w:tcBorders>
            <w:shd w:val="clear" w:color="auto" w:fill="auto"/>
            <w:noWrap/>
            <w:vAlign w:val="bottom"/>
            <w:hideMark/>
          </w:tcPr>
          <w:p w14:paraId="34745B9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F0B89A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BDBAF8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260</w:t>
            </w:r>
          </w:p>
        </w:tc>
        <w:tc>
          <w:tcPr>
            <w:tcW w:w="904" w:type="dxa"/>
            <w:tcBorders>
              <w:top w:val="nil"/>
              <w:left w:val="nil"/>
              <w:bottom w:val="single" w:sz="4" w:space="0" w:color="auto"/>
              <w:right w:val="single" w:sz="4" w:space="0" w:color="auto"/>
            </w:tcBorders>
            <w:shd w:val="clear" w:color="auto" w:fill="auto"/>
            <w:noWrap/>
            <w:vAlign w:val="bottom"/>
            <w:hideMark/>
          </w:tcPr>
          <w:p w14:paraId="45EAC79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57.325</w:t>
            </w:r>
          </w:p>
        </w:tc>
        <w:tc>
          <w:tcPr>
            <w:tcW w:w="904" w:type="dxa"/>
            <w:tcBorders>
              <w:top w:val="nil"/>
              <w:left w:val="nil"/>
              <w:bottom w:val="single" w:sz="4" w:space="0" w:color="auto"/>
              <w:right w:val="single" w:sz="4" w:space="0" w:color="auto"/>
            </w:tcBorders>
            <w:shd w:val="clear" w:color="auto" w:fill="auto"/>
            <w:noWrap/>
            <w:vAlign w:val="bottom"/>
            <w:hideMark/>
          </w:tcPr>
          <w:p w14:paraId="5AF86A2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070D937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904" w:type="dxa"/>
            <w:tcBorders>
              <w:top w:val="nil"/>
              <w:left w:val="nil"/>
              <w:bottom w:val="single" w:sz="4" w:space="0" w:color="auto"/>
              <w:right w:val="single" w:sz="4" w:space="0" w:color="auto"/>
            </w:tcBorders>
            <w:shd w:val="clear" w:color="auto" w:fill="auto"/>
            <w:noWrap/>
            <w:vAlign w:val="bottom"/>
            <w:hideMark/>
          </w:tcPr>
          <w:p w14:paraId="2EDF1DA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080D52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297DF1F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5FB85E6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2A143B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8AD013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261</w:t>
            </w:r>
          </w:p>
        </w:tc>
        <w:tc>
          <w:tcPr>
            <w:tcW w:w="904" w:type="dxa"/>
            <w:tcBorders>
              <w:top w:val="nil"/>
              <w:left w:val="nil"/>
              <w:bottom w:val="single" w:sz="4" w:space="0" w:color="auto"/>
              <w:right w:val="single" w:sz="4" w:space="0" w:color="auto"/>
            </w:tcBorders>
            <w:shd w:val="clear" w:color="auto" w:fill="auto"/>
            <w:noWrap/>
            <w:vAlign w:val="bottom"/>
            <w:hideMark/>
          </w:tcPr>
          <w:p w14:paraId="60149F9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23BC41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19DF7F5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52.821</w:t>
            </w:r>
          </w:p>
        </w:tc>
        <w:tc>
          <w:tcPr>
            <w:tcW w:w="904" w:type="dxa"/>
            <w:tcBorders>
              <w:top w:val="nil"/>
              <w:left w:val="nil"/>
              <w:bottom w:val="single" w:sz="4" w:space="0" w:color="auto"/>
              <w:right w:val="single" w:sz="4" w:space="0" w:color="auto"/>
            </w:tcBorders>
            <w:shd w:val="clear" w:color="auto" w:fill="auto"/>
            <w:noWrap/>
            <w:vAlign w:val="bottom"/>
            <w:hideMark/>
          </w:tcPr>
          <w:p w14:paraId="2E24777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8088BD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0AE98F0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3D1FA8F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F95497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FAFFB0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262</w:t>
            </w:r>
          </w:p>
        </w:tc>
        <w:tc>
          <w:tcPr>
            <w:tcW w:w="904" w:type="dxa"/>
            <w:tcBorders>
              <w:top w:val="nil"/>
              <w:left w:val="nil"/>
              <w:bottom w:val="single" w:sz="4" w:space="0" w:color="auto"/>
              <w:right w:val="single" w:sz="4" w:space="0" w:color="auto"/>
            </w:tcBorders>
            <w:shd w:val="clear" w:color="auto" w:fill="auto"/>
            <w:noWrap/>
            <w:vAlign w:val="bottom"/>
            <w:hideMark/>
          </w:tcPr>
          <w:p w14:paraId="1D3F22A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A22287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2B77C42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2CAD2B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0A71F42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50AF4CC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7020A636"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3DF962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D316BE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263</w:t>
            </w:r>
          </w:p>
        </w:tc>
        <w:tc>
          <w:tcPr>
            <w:tcW w:w="904" w:type="dxa"/>
            <w:tcBorders>
              <w:top w:val="nil"/>
              <w:left w:val="nil"/>
              <w:bottom w:val="single" w:sz="4" w:space="0" w:color="auto"/>
              <w:right w:val="single" w:sz="4" w:space="0" w:color="auto"/>
            </w:tcBorders>
            <w:shd w:val="clear" w:color="auto" w:fill="auto"/>
            <w:noWrap/>
            <w:vAlign w:val="bottom"/>
            <w:hideMark/>
          </w:tcPr>
          <w:p w14:paraId="3C060DF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F5245F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22523BD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47CF7D2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E01224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0C8CC0D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0ECF5AE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117AC5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3912E0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264</w:t>
            </w:r>
          </w:p>
        </w:tc>
        <w:tc>
          <w:tcPr>
            <w:tcW w:w="904" w:type="dxa"/>
            <w:tcBorders>
              <w:top w:val="nil"/>
              <w:left w:val="nil"/>
              <w:bottom w:val="single" w:sz="4" w:space="0" w:color="auto"/>
              <w:right w:val="single" w:sz="4" w:space="0" w:color="auto"/>
            </w:tcBorders>
            <w:shd w:val="clear" w:color="auto" w:fill="auto"/>
            <w:noWrap/>
            <w:vAlign w:val="bottom"/>
            <w:hideMark/>
          </w:tcPr>
          <w:p w14:paraId="239F17F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62.485</w:t>
            </w:r>
          </w:p>
        </w:tc>
        <w:tc>
          <w:tcPr>
            <w:tcW w:w="904" w:type="dxa"/>
            <w:tcBorders>
              <w:top w:val="nil"/>
              <w:left w:val="nil"/>
              <w:bottom w:val="single" w:sz="4" w:space="0" w:color="auto"/>
              <w:right w:val="single" w:sz="4" w:space="0" w:color="auto"/>
            </w:tcBorders>
            <w:shd w:val="clear" w:color="auto" w:fill="auto"/>
            <w:noWrap/>
            <w:vAlign w:val="bottom"/>
            <w:hideMark/>
          </w:tcPr>
          <w:p w14:paraId="2967F1C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13B3CB0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57.652</w:t>
            </w:r>
          </w:p>
        </w:tc>
        <w:tc>
          <w:tcPr>
            <w:tcW w:w="904" w:type="dxa"/>
            <w:tcBorders>
              <w:top w:val="nil"/>
              <w:left w:val="nil"/>
              <w:bottom w:val="single" w:sz="4" w:space="0" w:color="auto"/>
              <w:right w:val="single" w:sz="4" w:space="0" w:color="auto"/>
            </w:tcBorders>
            <w:shd w:val="clear" w:color="auto" w:fill="auto"/>
            <w:noWrap/>
            <w:vAlign w:val="bottom"/>
            <w:hideMark/>
          </w:tcPr>
          <w:p w14:paraId="7380433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1A9FDB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59.269</w:t>
            </w:r>
          </w:p>
        </w:tc>
        <w:tc>
          <w:tcPr>
            <w:tcW w:w="904" w:type="dxa"/>
            <w:tcBorders>
              <w:top w:val="nil"/>
              <w:left w:val="nil"/>
              <w:bottom w:val="single" w:sz="4" w:space="0" w:color="auto"/>
              <w:right w:val="single" w:sz="4" w:space="0" w:color="auto"/>
            </w:tcBorders>
            <w:shd w:val="clear" w:color="auto" w:fill="auto"/>
            <w:noWrap/>
            <w:vAlign w:val="bottom"/>
            <w:hideMark/>
          </w:tcPr>
          <w:p w14:paraId="01BBE40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54.731</w:t>
            </w:r>
          </w:p>
        </w:tc>
        <w:tc>
          <w:tcPr>
            <w:tcW w:w="1946" w:type="dxa"/>
            <w:tcBorders>
              <w:top w:val="nil"/>
              <w:left w:val="nil"/>
              <w:bottom w:val="nil"/>
              <w:right w:val="nil"/>
            </w:tcBorders>
            <w:shd w:val="clear" w:color="auto" w:fill="auto"/>
            <w:noWrap/>
            <w:vAlign w:val="bottom"/>
            <w:hideMark/>
          </w:tcPr>
          <w:p w14:paraId="20289CE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9C9608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43AC04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265</w:t>
            </w:r>
          </w:p>
        </w:tc>
        <w:tc>
          <w:tcPr>
            <w:tcW w:w="904" w:type="dxa"/>
            <w:tcBorders>
              <w:top w:val="nil"/>
              <w:left w:val="nil"/>
              <w:bottom w:val="single" w:sz="4" w:space="0" w:color="auto"/>
              <w:right w:val="single" w:sz="4" w:space="0" w:color="auto"/>
            </w:tcBorders>
            <w:shd w:val="clear" w:color="auto" w:fill="auto"/>
            <w:noWrap/>
            <w:vAlign w:val="bottom"/>
            <w:hideMark/>
          </w:tcPr>
          <w:p w14:paraId="2CEFFCC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61.166</w:t>
            </w:r>
          </w:p>
        </w:tc>
        <w:tc>
          <w:tcPr>
            <w:tcW w:w="904" w:type="dxa"/>
            <w:tcBorders>
              <w:top w:val="nil"/>
              <w:left w:val="nil"/>
              <w:bottom w:val="single" w:sz="4" w:space="0" w:color="auto"/>
              <w:right w:val="single" w:sz="4" w:space="0" w:color="auto"/>
            </w:tcBorders>
            <w:shd w:val="clear" w:color="auto" w:fill="auto"/>
            <w:noWrap/>
            <w:vAlign w:val="bottom"/>
            <w:hideMark/>
          </w:tcPr>
          <w:p w14:paraId="0DC1179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43B3BA2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58.577</w:t>
            </w:r>
          </w:p>
        </w:tc>
        <w:tc>
          <w:tcPr>
            <w:tcW w:w="904" w:type="dxa"/>
            <w:tcBorders>
              <w:top w:val="nil"/>
              <w:left w:val="nil"/>
              <w:bottom w:val="single" w:sz="4" w:space="0" w:color="auto"/>
              <w:right w:val="single" w:sz="4" w:space="0" w:color="auto"/>
            </w:tcBorders>
            <w:shd w:val="clear" w:color="auto" w:fill="auto"/>
            <w:noWrap/>
            <w:vAlign w:val="bottom"/>
            <w:hideMark/>
          </w:tcPr>
          <w:p w14:paraId="60F9350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5373EC4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61.003</w:t>
            </w:r>
          </w:p>
        </w:tc>
        <w:tc>
          <w:tcPr>
            <w:tcW w:w="904" w:type="dxa"/>
            <w:tcBorders>
              <w:top w:val="nil"/>
              <w:left w:val="nil"/>
              <w:bottom w:val="single" w:sz="4" w:space="0" w:color="auto"/>
              <w:right w:val="single" w:sz="4" w:space="0" w:color="auto"/>
            </w:tcBorders>
            <w:shd w:val="clear" w:color="auto" w:fill="auto"/>
            <w:noWrap/>
            <w:vAlign w:val="bottom"/>
            <w:hideMark/>
          </w:tcPr>
          <w:p w14:paraId="213BB25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52.894</w:t>
            </w:r>
          </w:p>
        </w:tc>
        <w:tc>
          <w:tcPr>
            <w:tcW w:w="1946" w:type="dxa"/>
            <w:tcBorders>
              <w:top w:val="nil"/>
              <w:left w:val="nil"/>
              <w:bottom w:val="nil"/>
              <w:right w:val="nil"/>
            </w:tcBorders>
            <w:shd w:val="clear" w:color="auto" w:fill="auto"/>
            <w:noWrap/>
            <w:vAlign w:val="bottom"/>
            <w:hideMark/>
          </w:tcPr>
          <w:p w14:paraId="0A347717"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D68E2D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D891D9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266</w:t>
            </w:r>
          </w:p>
        </w:tc>
        <w:tc>
          <w:tcPr>
            <w:tcW w:w="904" w:type="dxa"/>
            <w:tcBorders>
              <w:top w:val="nil"/>
              <w:left w:val="nil"/>
              <w:bottom w:val="single" w:sz="4" w:space="0" w:color="auto"/>
              <w:right w:val="single" w:sz="4" w:space="0" w:color="auto"/>
            </w:tcBorders>
            <w:shd w:val="clear" w:color="auto" w:fill="auto"/>
            <w:noWrap/>
            <w:vAlign w:val="bottom"/>
            <w:hideMark/>
          </w:tcPr>
          <w:p w14:paraId="70402D8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92046F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164EB21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60.079</w:t>
            </w:r>
          </w:p>
        </w:tc>
        <w:tc>
          <w:tcPr>
            <w:tcW w:w="904" w:type="dxa"/>
            <w:tcBorders>
              <w:top w:val="nil"/>
              <w:left w:val="nil"/>
              <w:bottom w:val="single" w:sz="4" w:space="0" w:color="auto"/>
              <w:right w:val="single" w:sz="4" w:space="0" w:color="auto"/>
            </w:tcBorders>
            <w:shd w:val="clear" w:color="auto" w:fill="auto"/>
            <w:noWrap/>
            <w:vAlign w:val="bottom"/>
            <w:hideMark/>
          </w:tcPr>
          <w:p w14:paraId="6413FA9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56.882</w:t>
            </w:r>
          </w:p>
        </w:tc>
        <w:tc>
          <w:tcPr>
            <w:tcW w:w="904" w:type="dxa"/>
            <w:tcBorders>
              <w:top w:val="nil"/>
              <w:left w:val="nil"/>
              <w:bottom w:val="single" w:sz="4" w:space="0" w:color="auto"/>
              <w:right w:val="single" w:sz="4" w:space="0" w:color="auto"/>
            </w:tcBorders>
            <w:shd w:val="clear" w:color="auto" w:fill="auto"/>
            <w:noWrap/>
            <w:vAlign w:val="bottom"/>
            <w:hideMark/>
          </w:tcPr>
          <w:p w14:paraId="6D808C6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61.468</w:t>
            </w:r>
          </w:p>
        </w:tc>
        <w:tc>
          <w:tcPr>
            <w:tcW w:w="904" w:type="dxa"/>
            <w:tcBorders>
              <w:top w:val="nil"/>
              <w:left w:val="nil"/>
              <w:bottom w:val="single" w:sz="4" w:space="0" w:color="auto"/>
              <w:right w:val="single" w:sz="4" w:space="0" w:color="auto"/>
            </w:tcBorders>
            <w:shd w:val="clear" w:color="auto" w:fill="auto"/>
            <w:noWrap/>
            <w:vAlign w:val="bottom"/>
            <w:hideMark/>
          </w:tcPr>
          <w:p w14:paraId="7798262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52.349</w:t>
            </w:r>
          </w:p>
        </w:tc>
        <w:tc>
          <w:tcPr>
            <w:tcW w:w="1946" w:type="dxa"/>
            <w:tcBorders>
              <w:top w:val="nil"/>
              <w:left w:val="nil"/>
              <w:bottom w:val="nil"/>
              <w:right w:val="nil"/>
            </w:tcBorders>
            <w:shd w:val="clear" w:color="auto" w:fill="auto"/>
            <w:noWrap/>
            <w:vAlign w:val="bottom"/>
            <w:hideMark/>
          </w:tcPr>
          <w:p w14:paraId="22FDCB3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6114E5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BD3AD0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267</w:t>
            </w:r>
          </w:p>
        </w:tc>
        <w:tc>
          <w:tcPr>
            <w:tcW w:w="904" w:type="dxa"/>
            <w:tcBorders>
              <w:top w:val="nil"/>
              <w:left w:val="nil"/>
              <w:bottom w:val="single" w:sz="4" w:space="0" w:color="auto"/>
              <w:right w:val="single" w:sz="4" w:space="0" w:color="auto"/>
            </w:tcBorders>
            <w:shd w:val="clear" w:color="auto" w:fill="auto"/>
            <w:noWrap/>
            <w:vAlign w:val="bottom"/>
            <w:hideMark/>
          </w:tcPr>
          <w:p w14:paraId="42A275E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D92293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1B44C87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60.817</w:t>
            </w:r>
          </w:p>
        </w:tc>
        <w:tc>
          <w:tcPr>
            <w:tcW w:w="904" w:type="dxa"/>
            <w:tcBorders>
              <w:top w:val="nil"/>
              <w:left w:val="nil"/>
              <w:bottom w:val="single" w:sz="4" w:space="0" w:color="auto"/>
              <w:right w:val="single" w:sz="4" w:space="0" w:color="auto"/>
            </w:tcBorders>
            <w:shd w:val="clear" w:color="auto" w:fill="auto"/>
            <w:noWrap/>
            <w:vAlign w:val="bottom"/>
            <w:hideMark/>
          </w:tcPr>
          <w:p w14:paraId="38CBB68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7A263A7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60.233</w:t>
            </w:r>
          </w:p>
        </w:tc>
        <w:tc>
          <w:tcPr>
            <w:tcW w:w="904" w:type="dxa"/>
            <w:tcBorders>
              <w:top w:val="nil"/>
              <w:left w:val="nil"/>
              <w:bottom w:val="single" w:sz="4" w:space="0" w:color="auto"/>
              <w:right w:val="single" w:sz="4" w:space="0" w:color="auto"/>
            </w:tcBorders>
            <w:shd w:val="clear" w:color="auto" w:fill="auto"/>
            <w:noWrap/>
            <w:vAlign w:val="bottom"/>
            <w:hideMark/>
          </w:tcPr>
          <w:p w14:paraId="279D2CB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53.031</w:t>
            </w:r>
          </w:p>
        </w:tc>
        <w:tc>
          <w:tcPr>
            <w:tcW w:w="1946" w:type="dxa"/>
            <w:tcBorders>
              <w:top w:val="nil"/>
              <w:left w:val="nil"/>
              <w:bottom w:val="nil"/>
              <w:right w:val="nil"/>
            </w:tcBorders>
            <w:shd w:val="clear" w:color="auto" w:fill="auto"/>
            <w:noWrap/>
            <w:vAlign w:val="bottom"/>
            <w:hideMark/>
          </w:tcPr>
          <w:p w14:paraId="53C9215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29259C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0F8295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268</w:t>
            </w:r>
          </w:p>
        </w:tc>
        <w:tc>
          <w:tcPr>
            <w:tcW w:w="904" w:type="dxa"/>
            <w:tcBorders>
              <w:top w:val="nil"/>
              <w:left w:val="nil"/>
              <w:bottom w:val="single" w:sz="4" w:space="0" w:color="auto"/>
              <w:right w:val="single" w:sz="4" w:space="0" w:color="auto"/>
            </w:tcBorders>
            <w:shd w:val="clear" w:color="auto" w:fill="auto"/>
            <w:noWrap/>
            <w:vAlign w:val="bottom"/>
            <w:hideMark/>
          </w:tcPr>
          <w:p w14:paraId="0B57BDF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020474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315B941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60.295</w:t>
            </w:r>
          </w:p>
        </w:tc>
        <w:tc>
          <w:tcPr>
            <w:tcW w:w="904" w:type="dxa"/>
            <w:tcBorders>
              <w:top w:val="nil"/>
              <w:left w:val="nil"/>
              <w:bottom w:val="single" w:sz="4" w:space="0" w:color="auto"/>
              <w:right w:val="single" w:sz="4" w:space="0" w:color="auto"/>
            </w:tcBorders>
            <w:shd w:val="clear" w:color="auto" w:fill="auto"/>
            <w:noWrap/>
            <w:vAlign w:val="bottom"/>
            <w:hideMark/>
          </w:tcPr>
          <w:p w14:paraId="214CDE4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CF8B5F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0C69B2F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4E02F58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088DAC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38A9B9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269</w:t>
            </w:r>
          </w:p>
        </w:tc>
        <w:tc>
          <w:tcPr>
            <w:tcW w:w="904" w:type="dxa"/>
            <w:tcBorders>
              <w:top w:val="nil"/>
              <w:left w:val="nil"/>
              <w:bottom w:val="single" w:sz="4" w:space="0" w:color="auto"/>
              <w:right w:val="single" w:sz="4" w:space="0" w:color="auto"/>
            </w:tcBorders>
            <w:shd w:val="clear" w:color="auto" w:fill="auto"/>
            <w:noWrap/>
            <w:vAlign w:val="bottom"/>
            <w:hideMark/>
          </w:tcPr>
          <w:p w14:paraId="1780564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17A10B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32E04E8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6230F87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0BB8D74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D26B34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60B87C6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457389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D3CCA1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270</w:t>
            </w:r>
          </w:p>
        </w:tc>
        <w:tc>
          <w:tcPr>
            <w:tcW w:w="904" w:type="dxa"/>
            <w:tcBorders>
              <w:top w:val="nil"/>
              <w:left w:val="nil"/>
              <w:bottom w:val="single" w:sz="4" w:space="0" w:color="auto"/>
              <w:right w:val="single" w:sz="4" w:space="0" w:color="auto"/>
            </w:tcBorders>
            <w:shd w:val="clear" w:color="auto" w:fill="auto"/>
            <w:noWrap/>
            <w:vAlign w:val="bottom"/>
            <w:hideMark/>
          </w:tcPr>
          <w:p w14:paraId="6021EC7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0793A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15C0F74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58.029</w:t>
            </w:r>
          </w:p>
        </w:tc>
        <w:tc>
          <w:tcPr>
            <w:tcW w:w="904" w:type="dxa"/>
            <w:tcBorders>
              <w:top w:val="nil"/>
              <w:left w:val="nil"/>
              <w:bottom w:val="single" w:sz="4" w:space="0" w:color="auto"/>
              <w:right w:val="single" w:sz="4" w:space="0" w:color="auto"/>
            </w:tcBorders>
            <w:shd w:val="clear" w:color="auto" w:fill="auto"/>
            <w:noWrap/>
            <w:vAlign w:val="bottom"/>
            <w:hideMark/>
          </w:tcPr>
          <w:p w14:paraId="26DB0B1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3C44BF2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466208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4CFB6B7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E464A2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12373D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271</w:t>
            </w:r>
          </w:p>
        </w:tc>
        <w:tc>
          <w:tcPr>
            <w:tcW w:w="904" w:type="dxa"/>
            <w:tcBorders>
              <w:top w:val="nil"/>
              <w:left w:val="nil"/>
              <w:bottom w:val="single" w:sz="4" w:space="0" w:color="auto"/>
              <w:right w:val="single" w:sz="4" w:space="0" w:color="auto"/>
            </w:tcBorders>
            <w:shd w:val="clear" w:color="auto" w:fill="auto"/>
            <w:noWrap/>
            <w:vAlign w:val="bottom"/>
            <w:hideMark/>
          </w:tcPr>
          <w:p w14:paraId="4820D22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E2B1F7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57.369</w:t>
            </w:r>
          </w:p>
        </w:tc>
        <w:tc>
          <w:tcPr>
            <w:tcW w:w="904" w:type="dxa"/>
            <w:tcBorders>
              <w:top w:val="nil"/>
              <w:left w:val="nil"/>
              <w:bottom w:val="single" w:sz="4" w:space="0" w:color="auto"/>
              <w:right w:val="single" w:sz="4" w:space="0" w:color="auto"/>
            </w:tcBorders>
            <w:shd w:val="clear" w:color="auto" w:fill="auto"/>
            <w:noWrap/>
            <w:vAlign w:val="bottom"/>
            <w:hideMark/>
          </w:tcPr>
          <w:p w14:paraId="476258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2F156F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FA130D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05DAB6E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57.351</w:t>
            </w:r>
          </w:p>
        </w:tc>
        <w:tc>
          <w:tcPr>
            <w:tcW w:w="1946" w:type="dxa"/>
            <w:tcBorders>
              <w:top w:val="nil"/>
              <w:left w:val="nil"/>
              <w:bottom w:val="nil"/>
              <w:right w:val="nil"/>
            </w:tcBorders>
            <w:shd w:val="clear" w:color="auto" w:fill="auto"/>
            <w:noWrap/>
            <w:vAlign w:val="bottom"/>
            <w:hideMark/>
          </w:tcPr>
          <w:p w14:paraId="32A7110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2F92297"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998CFD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272</w:t>
            </w:r>
          </w:p>
        </w:tc>
        <w:tc>
          <w:tcPr>
            <w:tcW w:w="904" w:type="dxa"/>
            <w:tcBorders>
              <w:top w:val="nil"/>
              <w:left w:val="nil"/>
              <w:bottom w:val="single" w:sz="4" w:space="0" w:color="auto"/>
              <w:right w:val="single" w:sz="4" w:space="0" w:color="auto"/>
            </w:tcBorders>
            <w:shd w:val="clear" w:color="auto" w:fill="auto"/>
            <w:noWrap/>
            <w:vAlign w:val="bottom"/>
            <w:hideMark/>
          </w:tcPr>
          <w:p w14:paraId="7669E14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58.076</w:t>
            </w:r>
          </w:p>
        </w:tc>
        <w:tc>
          <w:tcPr>
            <w:tcW w:w="904" w:type="dxa"/>
            <w:tcBorders>
              <w:top w:val="nil"/>
              <w:left w:val="nil"/>
              <w:bottom w:val="single" w:sz="4" w:space="0" w:color="auto"/>
              <w:right w:val="single" w:sz="4" w:space="0" w:color="auto"/>
            </w:tcBorders>
            <w:shd w:val="clear" w:color="auto" w:fill="auto"/>
            <w:noWrap/>
            <w:vAlign w:val="bottom"/>
            <w:hideMark/>
          </w:tcPr>
          <w:p w14:paraId="56F4B5A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4EA164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57.875</w:t>
            </w:r>
          </w:p>
        </w:tc>
        <w:tc>
          <w:tcPr>
            <w:tcW w:w="904" w:type="dxa"/>
            <w:tcBorders>
              <w:top w:val="nil"/>
              <w:left w:val="nil"/>
              <w:bottom w:val="single" w:sz="4" w:space="0" w:color="auto"/>
              <w:right w:val="single" w:sz="4" w:space="0" w:color="auto"/>
            </w:tcBorders>
            <w:shd w:val="clear" w:color="auto" w:fill="auto"/>
            <w:noWrap/>
            <w:vAlign w:val="bottom"/>
            <w:hideMark/>
          </w:tcPr>
          <w:p w14:paraId="2364406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57.924</w:t>
            </w:r>
          </w:p>
        </w:tc>
        <w:tc>
          <w:tcPr>
            <w:tcW w:w="904" w:type="dxa"/>
            <w:tcBorders>
              <w:top w:val="nil"/>
              <w:left w:val="nil"/>
              <w:bottom w:val="single" w:sz="4" w:space="0" w:color="auto"/>
              <w:right w:val="single" w:sz="4" w:space="0" w:color="auto"/>
            </w:tcBorders>
            <w:shd w:val="clear" w:color="auto" w:fill="auto"/>
            <w:noWrap/>
            <w:vAlign w:val="bottom"/>
            <w:hideMark/>
          </w:tcPr>
          <w:p w14:paraId="5807C79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D810F0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1B2B30B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A7F35A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AB0DE9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273</w:t>
            </w:r>
          </w:p>
        </w:tc>
        <w:tc>
          <w:tcPr>
            <w:tcW w:w="904" w:type="dxa"/>
            <w:tcBorders>
              <w:top w:val="nil"/>
              <w:left w:val="nil"/>
              <w:bottom w:val="single" w:sz="4" w:space="0" w:color="auto"/>
              <w:right w:val="single" w:sz="4" w:space="0" w:color="auto"/>
            </w:tcBorders>
            <w:shd w:val="clear" w:color="auto" w:fill="auto"/>
            <w:noWrap/>
            <w:vAlign w:val="bottom"/>
            <w:hideMark/>
          </w:tcPr>
          <w:p w14:paraId="3E57F14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ECF903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59.540</w:t>
            </w:r>
          </w:p>
        </w:tc>
        <w:tc>
          <w:tcPr>
            <w:tcW w:w="904" w:type="dxa"/>
            <w:tcBorders>
              <w:top w:val="nil"/>
              <w:left w:val="nil"/>
              <w:bottom w:val="single" w:sz="4" w:space="0" w:color="auto"/>
              <w:right w:val="single" w:sz="4" w:space="0" w:color="auto"/>
            </w:tcBorders>
            <w:shd w:val="clear" w:color="auto" w:fill="auto"/>
            <w:noWrap/>
            <w:vAlign w:val="bottom"/>
            <w:hideMark/>
          </w:tcPr>
          <w:p w14:paraId="0BDBCDD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57.034</w:t>
            </w:r>
          </w:p>
        </w:tc>
        <w:tc>
          <w:tcPr>
            <w:tcW w:w="904" w:type="dxa"/>
            <w:tcBorders>
              <w:top w:val="nil"/>
              <w:left w:val="nil"/>
              <w:bottom w:val="single" w:sz="4" w:space="0" w:color="auto"/>
              <w:right w:val="single" w:sz="4" w:space="0" w:color="auto"/>
            </w:tcBorders>
            <w:shd w:val="clear" w:color="auto" w:fill="auto"/>
            <w:noWrap/>
            <w:vAlign w:val="bottom"/>
            <w:hideMark/>
          </w:tcPr>
          <w:p w14:paraId="0A749EB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6FA157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315820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5B29B7D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909957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D3B4E5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274</w:t>
            </w:r>
          </w:p>
        </w:tc>
        <w:tc>
          <w:tcPr>
            <w:tcW w:w="904" w:type="dxa"/>
            <w:tcBorders>
              <w:top w:val="nil"/>
              <w:left w:val="nil"/>
              <w:bottom w:val="single" w:sz="4" w:space="0" w:color="auto"/>
              <w:right w:val="single" w:sz="4" w:space="0" w:color="auto"/>
            </w:tcBorders>
            <w:shd w:val="clear" w:color="auto" w:fill="auto"/>
            <w:noWrap/>
            <w:vAlign w:val="bottom"/>
            <w:hideMark/>
          </w:tcPr>
          <w:p w14:paraId="573962A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F8A94F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62.034</w:t>
            </w:r>
          </w:p>
        </w:tc>
        <w:tc>
          <w:tcPr>
            <w:tcW w:w="904" w:type="dxa"/>
            <w:tcBorders>
              <w:top w:val="nil"/>
              <w:left w:val="nil"/>
              <w:bottom w:val="single" w:sz="4" w:space="0" w:color="auto"/>
              <w:right w:val="single" w:sz="4" w:space="0" w:color="auto"/>
            </w:tcBorders>
            <w:shd w:val="clear" w:color="auto" w:fill="auto"/>
            <w:noWrap/>
            <w:vAlign w:val="bottom"/>
            <w:hideMark/>
          </w:tcPr>
          <w:p w14:paraId="1281514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0616BA5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59.884</w:t>
            </w:r>
          </w:p>
        </w:tc>
        <w:tc>
          <w:tcPr>
            <w:tcW w:w="904" w:type="dxa"/>
            <w:tcBorders>
              <w:top w:val="nil"/>
              <w:left w:val="nil"/>
              <w:bottom w:val="single" w:sz="4" w:space="0" w:color="auto"/>
              <w:right w:val="single" w:sz="4" w:space="0" w:color="auto"/>
            </w:tcBorders>
            <w:shd w:val="clear" w:color="auto" w:fill="auto"/>
            <w:noWrap/>
            <w:vAlign w:val="bottom"/>
            <w:hideMark/>
          </w:tcPr>
          <w:p w14:paraId="30F7C7B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2CB59A1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4DE5195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EB4345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FB7C9E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275</w:t>
            </w:r>
          </w:p>
        </w:tc>
        <w:tc>
          <w:tcPr>
            <w:tcW w:w="904" w:type="dxa"/>
            <w:tcBorders>
              <w:top w:val="nil"/>
              <w:left w:val="nil"/>
              <w:bottom w:val="single" w:sz="4" w:space="0" w:color="auto"/>
              <w:right w:val="single" w:sz="4" w:space="0" w:color="auto"/>
            </w:tcBorders>
            <w:shd w:val="clear" w:color="auto" w:fill="auto"/>
            <w:noWrap/>
            <w:vAlign w:val="bottom"/>
            <w:hideMark/>
          </w:tcPr>
          <w:p w14:paraId="38CA5ED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6A449F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64.410</w:t>
            </w:r>
          </w:p>
        </w:tc>
        <w:tc>
          <w:tcPr>
            <w:tcW w:w="904" w:type="dxa"/>
            <w:tcBorders>
              <w:top w:val="nil"/>
              <w:left w:val="nil"/>
              <w:bottom w:val="single" w:sz="4" w:space="0" w:color="auto"/>
              <w:right w:val="single" w:sz="4" w:space="0" w:color="auto"/>
            </w:tcBorders>
            <w:shd w:val="clear" w:color="auto" w:fill="auto"/>
            <w:noWrap/>
            <w:vAlign w:val="bottom"/>
            <w:hideMark/>
          </w:tcPr>
          <w:p w14:paraId="27B6AB5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5D76F2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54CF5F5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2896D5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5D34693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06E3117"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2481E7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276</w:t>
            </w:r>
          </w:p>
        </w:tc>
        <w:tc>
          <w:tcPr>
            <w:tcW w:w="904" w:type="dxa"/>
            <w:tcBorders>
              <w:top w:val="nil"/>
              <w:left w:val="nil"/>
              <w:bottom w:val="single" w:sz="4" w:space="0" w:color="auto"/>
              <w:right w:val="single" w:sz="4" w:space="0" w:color="auto"/>
            </w:tcBorders>
            <w:shd w:val="clear" w:color="auto" w:fill="auto"/>
            <w:noWrap/>
            <w:vAlign w:val="bottom"/>
            <w:hideMark/>
          </w:tcPr>
          <w:p w14:paraId="43C635B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6078FF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66.631</w:t>
            </w:r>
          </w:p>
        </w:tc>
        <w:tc>
          <w:tcPr>
            <w:tcW w:w="904" w:type="dxa"/>
            <w:tcBorders>
              <w:top w:val="nil"/>
              <w:left w:val="nil"/>
              <w:bottom w:val="single" w:sz="4" w:space="0" w:color="auto"/>
              <w:right w:val="single" w:sz="4" w:space="0" w:color="auto"/>
            </w:tcBorders>
            <w:shd w:val="clear" w:color="auto" w:fill="auto"/>
            <w:noWrap/>
            <w:vAlign w:val="bottom"/>
            <w:hideMark/>
          </w:tcPr>
          <w:p w14:paraId="0B29B79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5A74E7A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51E8F78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16C861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6B60822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88CC2C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E5E233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277</w:t>
            </w:r>
          </w:p>
        </w:tc>
        <w:tc>
          <w:tcPr>
            <w:tcW w:w="904" w:type="dxa"/>
            <w:tcBorders>
              <w:top w:val="nil"/>
              <w:left w:val="nil"/>
              <w:bottom w:val="single" w:sz="4" w:space="0" w:color="auto"/>
              <w:right w:val="single" w:sz="4" w:space="0" w:color="auto"/>
            </w:tcBorders>
            <w:shd w:val="clear" w:color="auto" w:fill="auto"/>
            <w:noWrap/>
            <w:vAlign w:val="bottom"/>
            <w:hideMark/>
          </w:tcPr>
          <w:p w14:paraId="0C7A939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57C8C5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67.245</w:t>
            </w:r>
          </w:p>
        </w:tc>
        <w:tc>
          <w:tcPr>
            <w:tcW w:w="904" w:type="dxa"/>
            <w:tcBorders>
              <w:top w:val="nil"/>
              <w:left w:val="nil"/>
              <w:bottom w:val="single" w:sz="4" w:space="0" w:color="auto"/>
              <w:right w:val="single" w:sz="4" w:space="0" w:color="auto"/>
            </w:tcBorders>
            <w:shd w:val="clear" w:color="auto" w:fill="auto"/>
            <w:noWrap/>
            <w:vAlign w:val="bottom"/>
            <w:hideMark/>
          </w:tcPr>
          <w:p w14:paraId="26212EA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2070A2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431DDD2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58.878</w:t>
            </w:r>
          </w:p>
        </w:tc>
        <w:tc>
          <w:tcPr>
            <w:tcW w:w="904" w:type="dxa"/>
            <w:tcBorders>
              <w:top w:val="nil"/>
              <w:left w:val="nil"/>
              <w:bottom w:val="single" w:sz="4" w:space="0" w:color="auto"/>
              <w:right w:val="single" w:sz="4" w:space="0" w:color="auto"/>
            </w:tcBorders>
            <w:shd w:val="clear" w:color="auto" w:fill="auto"/>
            <w:noWrap/>
            <w:vAlign w:val="bottom"/>
            <w:hideMark/>
          </w:tcPr>
          <w:p w14:paraId="6BB8F5B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31B7F05C"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EADE5A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B191F7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278</w:t>
            </w:r>
          </w:p>
        </w:tc>
        <w:tc>
          <w:tcPr>
            <w:tcW w:w="904" w:type="dxa"/>
            <w:tcBorders>
              <w:top w:val="nil"/>
              <w:left w:val="nil"/>
              <w:bottom w:val="single" w:sz="4" w:space="0" w:color="auto"/>
              <w:right w:val="single" w:sz="4" w:space="0" w:color="auto"/>
            </w:tcBorders>
            <w:shd w:val="clear" w:color="auto" w:fill="auto"/>
            <w:noWrap/>
            <w:vAlign w:val="bottom"/>
            <w:hideMark/>
          </w:tcPr>
          <w:p w14:paraId="1DD8E3B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4A3870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69.327</w:t>
            </w:r>
          </w:p>
        </w:tc>
        <w:tc>
          <w:tcPr>
            <w:tcW w:w="904" w:type="dxa"/>
            <w:tcBorders>
              <w:top w:val="nil"/>
              <w:left w:val="nil"/>
              <w:bottom w:val="single" w:sz="4" w:space="0" w:color="auto"/>
              <w:right w:val="single" w:sz="4" w:space="0" w:color="auto"/>
            </w:tcBorders>
            <w:shd w:val="clear" w:color="auto" w:fill="auto"/>
            <w:noWrap/>
            <w:vAlign w:val="bottom"/>
            <w:hideMark/>
          </w:tcPr>
          <w:p w14:paraId="30807C0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56.751</w:t>
            </w:r>
          </w:p>
        </w:tc>
        <w:tc>
          <w:tcPr>
            <w:tcW w:w="904" w:type="dxa"/>
            <w:tcBorders>
              <w:top w:val="nil"/>
              <w:left w:val="nil"/>
              <w:bottom w:val="single" w:sz="4" w:space="0" w:color="auto"/>
              <w:right w:val="single" w:sz="4" w:space="0" w:color="auto"/>
            </w:tcBorders>
            <w:shd w:val="clear" w:color="auto" w:fill="auto"/>
            <w:noWrap/>
            <w:vAlign w:val="bottom"/>
            <w:hideMark/>
          </w:tcPr>
          <w:p w14:paraId="4C21DF0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4A75A68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57.093</w:t>
            </w:r>
          </w:p>
        </w:tc>
        <w:tc>
          <w:tcPr>
            <w:tcW w:w="904" w:type="dxa"/>
            <w:tcBorders>
              <w:top w:val="nil"/>
              <w:left w:val="nil"/>
              <w:bottom w:val="single" w:sz="4" w:space="0" w:color="auto"/>
              <w:right w:val="single" w:sz="4" w:space="0" w:color="auto"/>
            </w:tcBorders>
            <w:shd w:val="clear" w:color="auto" w:fill="auto"/>
            <w:noWrap/>
            <w:vAlign w:val="bottom"/>
            <w:hideMark/>
          </w:tcPr>
          <w:p w14:paraId="1E8319A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55.747</w:t>
            </w:r>
          </w:p>
        </w:tc>
        <w:tc>
          <w:tcPr>
            <w:tcW w:w="1946" w:type="dxa"/>
            <w:tcBorders>
              <w:top w:val="nil"/>
              <w:left w:val="nil"/>
              <w:bottom w:val="nil"/>
              <w:right w:val="nil"/>
            </w:tcBorders>
            <w:shd w:val="clear" w:color="auto" w:fill="auto"/>
            <w:noWrap/>
            <w:vAlign w:val="bottom"/>
            <w:hideMark/>
          </w:tcPr>
          <w:p w14:paraId="267B2E5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F9620B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04FD89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279</w:t>
            </w:r>
          </w:p>
        </w:tc>
        <w:tc>
          <w:tcPr>
            <w:tcW w:w="904" w:type="dxa"/>
            <w:tcBorders>
              <w:top w:val="nil"/>
              <w:left w:val="nil"/>
              <w:bottom w:val="single" w:sz="4" w:space="0" w:color="auto"/>
              <w:right w:val="single" w:sz="4" w:space="0" w:color="auto"/>
            </w:tcBorders>
            <w:shd w:val="clear" w:color="auto" w:fill="auto"/>
            <w:noWrap/>
            <w:vAlign w:val="bottom"/>
            <w:hideMark/>
          </w:tcPr>
          <w:p w14:paraId="2233DC3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A92E90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70.000</w:t>
            </w:r>
          </w:p>
        </w:tc>
        <w:tc>
          <w:tcPr>
            <w:tcW w:w="904" w:type="dxa"/>
            <w:tcBorders>
              <w:top w:val="nil"/>
              <w:left w:val="nil"/>
              <w:bottom w:val="single" w:sz="4" w:space="0" w:color="auto"/>
              <w:right w:val="single" w:sz="4" w:space="0" w:color="auto"/>
            </w:tcBorders>
            <w:shd w:val="clear" w:color="auto" w:fill="auto"/>
            <w:noWrap/>
            <w:vAlign w:val="bottom"/>
            <w:hideMark/>
          </w:tcPr>
          <w:p w14:paraId="3103090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C7E876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7D1D017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5CCDE88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625F5D96"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235276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D7171B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280</w:t>
            </w:r>
          </w:p>
        </w:tc>
        <w:tc>
          <w:tcPr>
            <w:tcW w:w="904" w:type="dxa"/>
            <w:tcBorders>
              <w:top w:val="nil"/>
              <w:left w:val="nil"/>
              <w:bottom w:val="single" w:sz="4" w:space="0" w:color="auto"/>
              <w:right w:val="single" w:sz="4" w:space="0" w:color="auto"/>
            </w:tcBorders>
            <w:shd w:val="clear" w:color="auto" w:fill="auto"/>
            <w:noWrap/>
            <w:vAlign w:val="bottom"/>
            <w:hideMark/>
          </w:tcPr>
          <w:p w14:paraId="4424F2C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8822F4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70.000</w:t>
            </w:r>
          </w:p>
        </w:tc>
        <w:tc>
          <w:tcPr>
            <w:tcW w:w="904" w:type="dxa"/>
            <w:tcBorders>
              <w:top w:val="nil"/>
              <w:left w:val="nil"/>
              <w:bottom w:val="single" w:sz="4" w:space="0" w:color="auto"/>
              <w:right w:val="single" w:sz="4" w:space="0" w:color="auto"/>
            </w:tcBorders>
            <w:shd w:val="clear" w:color="auto" w:fill="auto"/>
            <w:noWrap/>
            <w:vAlign w:val="bottom"/>
            <w:hideMark/>
          </w:tcPr>
          <w:p w14:paraId="155BB99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7AEB9BA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3BC093D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5F578E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152BF3D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91D27D2"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C34DCF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281</w:t>
            </w:r>
          </w:p>
        </w:tc>
        <w:tc>
          <w:tcPr>
            <w:tcW w:w="904" w:type="dxa"/>
            <w:tcBorders>
              <w:top w:val="nil"/>
              <w:left w:val="nil"/>
              <w:bottom w:val="single" w:sz="4" w:space="0" w:color="auto"/>
              <w:right w:val="single" w:sz="4" w:space="0" w:color="auto"/>
            </w:tcBorders>
            <w:shd w:val="clear" w:color="auto" w:fill="auto"/>
            <w:noWrap/>
            <w:vAlign w:val="bottom"/>
            <w:hideMark/>
          </w:tcPr>
          <w:p w14:paraId="730E3EC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048A6D7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70.000</w:t>
            </w:r>
          </w:p>
        </w:tc>
        <w:tc>
          <w:tcPr>
            <w:tcW w:w="904" w:type="dxa"/>
            <w:tcBorders>
              <w:top w:val="nil"/>
              <w:left w:val="nil"/>
              <w:bottom w:val="single" w:sz="4" w:space="0" w:color="auto"/>
              <w:right w:val="single" w:sz="4" w:space="0" w:color="auto"/>
            </w:tcBorders>
            <w:shd w:val="clear" w:color="auto" w:fill="auto"/>
            <w:noWrap/>
            <w:vAlign w:val="bottom"/>
            <w:hideMark/>
          </w:tcPr>
          <w:p w14:paraId="4D9587A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7C81F8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61.623</w:t>
            </w:r>
          </w:p>
        </w:tc>
        <w:tc>
          <w:tcPr>
            <w:tcW w:w="904" w:type="dxa"/>
            <w:tcBorders>
              <w:top w:val="nil"/>
              <w:left w:val="nil"/>
              <w:bottom w:val="single" w:sz="4" w:space="0" w:color="auto"/>
              <w:right w:val="single" w:sz="4" w:space="0" w:color="auto"/>
            </w:tcBorders>
            <w:shd w:val="clear" w:color="auto" w:fill="auto"/>
            <w:noWrap/>
            <w:vAlign w:val="bottom"/>
            <w:hideMark/>
          </w:tcPr>
          <w:p w14:paraId="212035C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BBC2B5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2CD6D7A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10E388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E8D758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282</w:t>
            </w:r>
          </w:p>
        </w:tc>
        <w:tc>
          <w:tcPr>
            <w:tcW w:w="904" w:type="dxa"/>
            <w:tcBorders>
              <w:top w:val="nil"/>
              <w:left w:val="nil"/>
              <w:bottom w:val="single" w:sz="4" w:space="0" w:color="auto"/>
              <w:right w:val="single" w:sz="4" w:space="0" w:color="auto"/>
            </w:tcBorders>
            <w:shd w:val="clear" w:color="auto" w:fill="auto"/>
            <w:noWrap/>
            <w:vAlign w:val="bottom"/>
            <w:hideMark/>
          </w:tcPr>
          <w:p w14:paraId="13E3D9B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72461E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70.000</w:t>
            </w:r>
          </w:p>
        </w:tc>
        <w:tc>
          <w:tcPr>
            <w:tcW w:w="904" w:type="dxa"/>
            <w:tcBorders>
              <w:top w:val="nil"/>
              <w:left w:val="nil"/>
              <w:bottom w:val="single" w:sz="4" w:space="0" w:color="auto"/>
              <w:right w:val="single" w:sz="4" w:space="0" w:color="auto"/>
            </w:tcBorders>
            <w:shd w:val="clear" w:color="auto" w:fill="auto"/>
            <w:noWrap/>
            <w:vAlign w:val="bottom"/>
            <w:hideMark/>
          </w:tcPr>
          <w:p w14:paraId="39CCB0A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57.435</w:t>
            </w:r>
          </w:p>
        </w:tc>
        <w:tc>
          <w:tcPr>
            <w:tcW w:w="904" w:type="dxa"/>
            <w:tcBorders>
              <w:top w:val="nil"/>
              <w:left w:val="nil"/>
              <w:bottom w:val="single" w:sz="4" w:space="0" w:color="auto"/>
              <w:right w:val="single" w:sz="4" w:space="0" w:color="auto"/>
            </w:tcBorders>
            <w:shd w:val="clear" w:color="auto" w:fill="auto"/>
            <w:noWrap/>
            <w:vAlign w:val="bottom"/>
            <w:hideMark/>
          </w:tcPr>
          <w:p w14:paraId="7CA12F4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60.206</w:t>
            </w:r>
          </w:p>
        </w:tc>
        <w:tc>
          <w:tcPr>
            <w:tcW w:w="904" w:type="dxa"/>
            <w:tcBorders>
              <w:top w:val="nil"/>
              <w:left w:val="nil"/>
              <w:bottom w:val="single" w:sz="4" w:space="0" w:color="auto"/>
              <w:right w:val="single" w:sz="4" w:space="0" w:color="auto"/>
            </w:tcBorders>
            <w:shd w:val="clear" w:color="auto" w:fill="auto"/>
            <w:noWrap/>
            <w:vAlign w:val="bottom"/>
            <w:hideMark/>
          </w:tcPr>
          <w:p w14:paraId="4E9EF33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56.235</w:t>
            </w:r>
          </w:p>
        </w:tc>
        <w:tc>
          <w:tcPr>
            <w:tcW w:w="904" w:type="dxa"/>
            <w:tcBorders>
              <w:top w:val="nil"/>
              <w:left w:val="nil"/>
              <w:bottom w:val="single" w:sz="4" w:space="0" w:color="auto"/>
              <w:right w:val="single" w:sz="4" w:space="0" w:color="auto"/>
            </w:tcBorders>
            <w:shd w:val="clear" w:color="auto" w:fill="auto"/>
            <w:noWrap/>
            <w:vAlign w:val="bottom"/>
            <w:hideMark/>
          </w:tcPr>
          <w:p w14:paraId="42E5186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69E56986"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736273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99BA71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283</w:t>
            </w:r>
          </w:p>
        </w:tc>
        <w:tc>
          <w:tcPr>
            <w:tcW w:w="904" w:type="dxa"/>
            <w:tcBorders>
              <w:top w:val="nil"/>
              <w:left w:val="nil"/>
              <w:bottom w:val="single" w:sz="4" w:space="0" w:color="auto"/>
              <w:right w:val="single" w:sz="4" w:space="0" w:color="auto"/>
            </w:tcBorders>
            <w:shd w:val="clear" w:color="auto" w:fill="auto"/>
            <w:noWrap/>
            <w:vAlign w:val="bottom"/>
            <w:hideMark/>
          </w:tcPr>
          <w:p w14:paraId="2366674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A95495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70.000</w:t>
            </w:r>
          </w:p>
        </w:tc>
        <w:tc>
          <w:tcPr>
            <w:tcW w:w="904" w:type="dxa"/>
            <w:tcBorders>
              <w:top w:val="nil"/>
              <w:left w:val="nil"/>
              <w:bottom w:val="single" w:sz="4" w:space="0" w:color="auto"/>
              <w:right w:val="single" w:sz="4" w:space="0" w:color="auto"/>
            </w:tcBorders>
            <w:shd w:val="clear" w:color="auto" w:fill="auto"/>
            <w:noWrap/>
            <w:vAlign w:val="bottom"/>
            <w:hideMark/>
          </w:tcPr>
          <w:p w14:paraId="3C2C599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0C74CEE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832CC8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56.741</w:t>
            </w:r>
          </w:p>
        </w:tc>
        <w:tc>
          <w:tcPr>
            <w:tcW w:w="904" w:type="dxa"/>
            <w:tcBorders>
              <w:top w:val="nil"/>
              <w:left w:val="nil"/>
              <w:bottom w:val="single" w:sz="4" w:space="0" w:color="auto"/>
              <w:right w:val="single" w:sz="4" w:space="0" w:color="auto"/>
            </w:tcBorders>
            <w:shd w:val="clear" w:color="auto" w:fill="auto"/>
            <w:noWrap/>
            <w:vAlign w:val="bottom"/>
            <w:hideMark/>
          </w:tcPr>
          <w:p w14:paraId="4FDD825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7FDDB35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13A7C92"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38B205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284</w:t>
            </w:r>
          </w:p>
        </w:tc>
        <w:tc>
          <w:tcPr>
            <w:tcW w:w="904" w:type="dxa"/>
            <w:tcBorders>
              <w:top w:val="nil"/>
              <w:left w:val="nil"/>
              <w:bottom w:val="single" w:sz="4" w:space="0" w:color="auto"/>
              <w:right w:val="single" w:sz="4" w:space="0" w:color="auto"/>
            </w:tcBorders>
            <w:shd w:val="clear" w:color="auto" w:fill="auto"/>
            <w:noWrap/>
            <w:vAlign w:val="bottom"/>
            <w:hideMark/>
          </w:tcPr>
          <w:p w14:paraId="3B64FF8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CABA80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70.000</w:t>
            </w:r>
          </w:p>
        </w:tc>
        <w:tc>
          <w:tcPr>
            <w:tcW w:w="904" w:type="dxa"/>
            <w:tcBorders>
              <w:top w:val="nil"/>
              <w:left w:val="nil"/>
              <w:bottom w:val="single" w:sz="4" w:space="0" w:color="auto"/>
              <w:right w:val="single" w:sz="4" w:space="0" w:color="auto"/>
            </w:tcBorders>
            <w:shd w:val="clear" w:color="auto" w:fill="auto"/>
            <w:noWrap/>
            <w:vAlign w:val="bottom"/>
            <w:hideMark/>
          </w:tcPr>
          <w:p w14:paraId="5058C63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8B8167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943F80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58.610</w:t>
            </w:r>
          </w:p>
        </w:tc>
        <w:tc>
          <w:tcPr>
            <w:tcW w:w="904" w:type="dxa"/>
            <w:tcBorders>
              <w:top w:val="nil"/>
              <w:left w:val="nil"/>
              <w:bottom w:val="single" w:sz="4" w:space="0" w:color="auto"/>
              <w:right w:val="single" w:sz="4" w:space="0" w:color="auto"/>
            </w:tcBorders>
            <w:shd w:val="clear" w:color="auto" w:fill="auto"/>
            <w:noWrap/>
            <w:vAlign w:val="bottom"/>
            <w:hideMark/>
          </w:tcPr>
          <w:p w14:paraId="4F8F01F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3C4BC11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0311B7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BC9CD3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285</w:t>
            </w:r>
          </w:p>
        </w:tc>
        <w:tc>
          <w:tcPr>
            <w:tcW w:w="904" w:type="dxa"/>
            <w:tcBorders>
              <w:top w:val="nil"/>
              <w:left w:val="nil"/>
              <w:bottom w:val="single" w:sz="4" w:space="0" w:color="auto"/>
              <w:right w:val="single" w:sz="4" w:space="0" w:color="auto"/>
            </w:tcBorders>
            <w:shd w:val="clear" w:color="auto" w:fill="auto"/>
            <w:noWrap/>
            <w:vAlign w:val="bottom"/>
            <w:hideMark/>
          </w:tcPr>
          <w:p w14:paraId="07D3CC6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355F95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70.000</w:t>
            </w:r>
          </w:p>
        </w:tc>
        <w:tc>
          <w:tcPr>
            <w:tcW w:w="904" w:type="dxa"/>
            <w:tcBorders>
              <w:top w:val="nil"/>
              <w:left w:val="nil"/>
              <w:bottom w:val="single" w:sz="4" w:space="0" w:color="auto"/>
              <w:right w:val="single" w:sz="4" w:space="0" w:color="auto"/>
            </w:tcBorders>
            <w:shd w:val="clear" w:color="auto" w:fill="auto"/>
            <w:noWrap/>
            <w:vAlign w:val="bottom"/>
            <w:hideMark/>
          </w:tcPr>
          <w:p w14:paraId="744A671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5621FA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0064D6A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78AC89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623E042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5521A4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6F8586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286</w:t>
            </w:r>
          </w:p>
        </w:tc>
        <w:tc>
          <w:tcPr>
            <w:tcW w:w="904" w:type="dxa"/>
            <w:tcBorders>
              <w:top w:val="nil"/>
              <w:left w:val="nil"/>
              <w:bottom w:val="single" w:sz="4" w:space="0" w:color="auto"/>
              <w:right w:val="single" w:sz="4" w:space="0" w:color="auto"/>
            </w:tcBorders>
            <w:shd w:val="clear" w:color="auto" w:fill="auto"/>
            <w:noWrap/>
            <w:vAlign w:val="bottom"/>
            <w:hideMark/>
          </w:tcPr>
          <w:p w14:paraId="3064915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1D2936C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68.872</w:t>
            </w:r>
          </w:p>
        </w:tc>
        <w:tc>
          <w:tcPr>
            <w:tcW w:w="904" w:type="dxa"/>
            <w:tcBorders>
              <w:top w:val="nil"/>
              <w:left w:val="nil"/>
              <w:bottom w:val="single" w:sz="4" w:space="0" w:color="auto"/>
              <w:right w:val="single" w:sz="4" w:space="0" w:color="auto"/>
            </w:tcBorders>
            <w:shd w:val="clear" w:color="auto" w:fill="auto"/>
            <w:noWrap/>
            <w:vAlign w:val="bottom"/>
            <w:hideMark/>
          </w:tcPr>
          <w:p w14:paraId="512797F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6FE65A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88E9FF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60.609</w:t>
            </w:r>
          </w:p>
        </w:tc>
        <w:tc>
          <w:tcPr>
            <w:tcW w:w="904" w:type="dxa"/>
            <w:tcBorders>
              <w:top w:val="nil"/>
              <w:left w:val="nil"/>
              <w:bottom w:val="single" w:sz="4" w:space="0" w:color="auto"/>
              <w:right w:val="single" w:sz="4" w:space="0" w:color="auto"/>
            </w:tcBorders>
            <w:shd w:val="clear" w:color="auto" w:fill="auto"/>
            <w:noWrap/>
            <w:vAlign w:val="bottom"/>
            <w:hideMark/>
          </w:tcPr>
          <w:p w14:paraId="329BC0F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1C459AD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A43F78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9C6C60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287</w:t>
            </w:r>
          </w:p>
        </w:tc>
        <w:tc>
          <w:tcPr>
            <w:tcW w:w="904" w:type="dxa"/>
            <w:tcBorders>
              <w:top w:val="nil"/>
              <w:left w:val="nil"/>
              <w:bottom w:val="single" w:sz="4" w:space="0" w:color="auto"/>
              <w:right w:val="single" w:sz="4" w:space="0" w:color="auto"/>
            </w:tcBorders>
            <w:shd w:val="clear" w:color="auto" w:fill="auto"/>
            <w:noWrap/>
            <w:vAlign w:val="bottom"/>
            <w:hideMark/>
          </w:tcPr>
          <w:p w14:paraId="49A8934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327BBC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68.000</w:t>
            </w:r>
          </w:p>
        </w:tc>
        <w:tc>
          <w:tcPr>
            <w:tcW w:w="904" w:type="dxa"/>
            <w:tcBorders>
              <w:top w:val="nil"/>
              <w:left w:val="nil"/>
              <w:bottom w:val="single" w:sz="4" w:space="0" w:color="auto"/>
              <w:right w:val="single" w:sz="4" w:space="0" w:color="auto"/>
            </w:tcBorders>
            <w:shd w:val="clear" w:color="auto" w:fill="auto"/>
            <w:noWrap/>
            <w:vAlign w:val="bottom"/>
            <w:hideMark/>
          </w:tcPr>
          <w:p w14:paraId="065A993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CB5362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EEBB8E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2421795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3338EF6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9DEEE6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C7B3AE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288</w:t>
            </w:r>
          </w:p>
        </w:tc>
        <w:tc>
          <w:tcPr>
            <w:tcW w:w="904" w:type="dxa"/>
            <w:tcBorders>
              <w:top w:val="nil"/>
              <w:left w:val="nil"/>
              <w:bottom w:val="single" w:sz="4" w:space="0" w:color="auto"/>
              <w:right w:val="single" w:sz="4" w:space="0" w:color="auto"/>
            </w:tcBorders>
            <w:shd w:val="clear" w:color="auto" w:fill="auto"/>
            <w:noWrap/>
            <w:vAlign w:val="bottom"/>
            <w:hideMark/>
          </w:tcPr>
          <w:p w14:paraId="6E9063D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45450A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68.000</w:t>
            </w:r>
          </w:p>
        </w:tc>
        <w:tc>
          <w:tcPr>
            <w:tcW w:w="904" w:type="dxa"/>
            <w:tcBorders>
              <w:top w:val="nil"/>
              <w:left w:val="nil"/>
              <w:bottom w:val="single" w:sz="4" w:space="0" w:color="auto"/>
              <w:right w:val="single" w:sz="4" w:space="0" w:color="auto"/>
            </w:tcBorders>
            <w:shd w:val="clear" w:color="auto" w:fill="auto"/>
            <w:noWrap/>
            <w:vAlign w:val="bottom"/>
            <w:hideMark/>
          </w:tcPr>
          <w:p w14:paraId="21A807F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6475A8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A68391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4B64127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5924F52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D32169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86BE51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289</w:t>
            </w:r>
          </w:p>
        </w:tc>
        <w:tc>
          <w:tcPr>
            <w:tcW w:w="904" w:type="dxa"/>
            <w:tcBorders>
              <w:top w:val="nil"/>
              <w:left w:val="nil"/>
              <w:bottom w:val="single" w:sz="4" w:space="0" w:color="auto"/>
              <w:right w:val="single" w:sz="4" w:space="0" w:color="auto"/>
            </w:tcBorders>
            <w:shd w:val="clear" w:color="auto" w:fill="auto"/>
            <w:noWrap/>
            <w:vAlign w:val="bottom"/>
            <w:hideMark/>
          </w:tcPr>
          <w:p w14:paraId="5E3F915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56.794</w:t>
            </w:r>
          </w:p>
        </w:tc>
        <w:tc>
          <w:tcPr>
            <w:tcW w:w="904" w:type="dxa"/>
            <w:tcBorders>
              <w:top w:val="nil"/>
              <w:left w:val="nil"/>
              <w:bottom w:val="single" w:sz="4" w:space="0" w:color="auto"/>
              <w:right w:val="single" w:sz="4" w:space="0" w:color="auto"/>
            </w:tcBorders>
            <w:shd w:val="clear" w:color="auto" w:fill="auto"/>
            <w:noWrap/>
            <w:vAlign w:val="bottom"/>
            <w:hideMark/>
          </w:tcPr>
          <w:p w14:paraId="47B6D00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67.849</w:t>
            </w:r>
          </w:p>
        </w:tc>
        <w:tc>
          <w:tcPr>
            <w:tcW w:w="904" w:type="dxa"/>
            <w:tcBorders>
              <w:top w:val="nil"/>
              <w:left w:val="nil"/>
              <w:bottom w:val="single" w:sz="4" w:space="0" w:color="auto"/>
              <w:right w:val="single" w:sz="4" w:space="0" w:color="auto"/>
            </w:tcBorders>
            <w:shd w:val="clear" w:color="auto" w:fill="auto"/>
            <w:noWrap/>
            <w:vAlign w:val="bottom"/>
            <w:hideMark/>
          </w:tcPr>
          <w:p w14:paraId="4B57833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750E92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60D951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021EAE3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6E0D3EE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18ACF7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59A133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290</w:t>
            </w:r>
          </w:p>
        </w:tc>
        <w:tc>
          <w:tcPr>
            <w:tcW w:w="904" w:type="dxa"/>
            <w:tcBorders>
              <w:top w:val="nil"/>
              <w:left w:val="nil"/>
              <w:bottom w:val="single" w:sz="4" w:space="0" w:color="auto"/>
              <w:right w:val="single" w:sz="4" w:space="0" w:color="auto"/>
            </w:tcBorders>
            <w:shd w:val="clear" w:color="auto" w:fill="auto"/>
            <w:noWrap/>
            <w:vAlign w:val="bottom"/>
            <w:hideMark/>
          </w:tcPr>
          <w:p w14:paraId="12DF4BA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56.847</w:t>
            </w:r>
          </w:p>
        </w:tc>
        <w:tc>
          <w:tcPr>
            <w:tcW w:w="904" w:type="dxa"/>
            <w:tcBorders>
              <w:top w:val="nil"/>
              <w:left w:val="nil"/>
              <w:bottom w:val="single" w:sz="4" w:space="0" w:color="auto"/>
              <w:right w:val="single" w:sz="4" w:space="0" w:color="auto"/>
            </w:tcBorders>
            <w:shd w:val="clear" w:color="auto" w:fill="auto"/>
            <w:noWrap/>
            <w:vAlign w:val="bottom"/>
            <w:hideMark/>
          </w:tcPr>
          <w:p w14:paraId="1B66A52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65.241</w:t>
            </w:r>
          </w:p>
        </w:tc>
        <w:tc>
          <w:tcPr>
            <w:tcW w:w="904" w:type="dxa"/>
            <w:tcBorders>
              <w:top w:val="nil"/>
              <w:left w:val="nil"/>
              <w:bottom w:val="single" w:sz="4" w:space="0" w:color="auto"/>
              <w:right w:val="single" w:sz="4" w:space="0" w:color="auto"/>
            </w:tcBorders>
            <w:shd w:val="clear" w:color="auto" w:fill="auto"/>
            <w:noWrap/>
            <w:vAlign w:val="bottom"/>
            <w:hideMark/>
          </w:tcPr>
          <w:p w14:paraId="4BDBA92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4F630E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3BE52E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277E301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2F08D97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E22675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546EFE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291</w:t>
            </w:r>
          </w:p>
        </w:tc>
        <w:tc>
          <w:tcPr>
            <w:tcW w:w="904" w:type="dxa"/>
            <w:tcBorders>
              <w:top w:val="nil"/>
              <w:left w:val="nil"/>
              <w:bottom w:val="single" w:sz="4" w:space="0" w:color="auto"/>
              <w:right w:val="single" w:sz="4" w:space="0" w:color="auto"/>
            </w:tcBorders>
            <w:shd w:val="clear" w:color="auto" w:fill="auto"/>
            <w:noWrap/>
            <w:vAlign w:val="bottom"/>
            <w:hideMark/>
          </w:tcPr>
          <w:p w14:paraId="4D6DAC8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55.696</w:t>
            </w:r>
          </w:p>
        </w:tc>
        <w:tc>
          <w:tcPr>
            <w:tcW w:w="904" w:type="dxa"/>
            <w:tcBorders>
              <w:top w:val="nil"/>
              <w:left w:val="nil"/>
              <w:bottom w:val="single" w:sz="4" w:space="0" w:color="auto"/>
              <w:right w:val="single" w:sz="4" w:space="0" w:color="auto"/>
            </w:tcBorders>
            <w:shd w:val="clear" w:color="auto" w:fill="auto"/>
            <w:noWrap/>
            <w:vAlign w:val="bottom"/>
            <w:hideMark/>
          </w:tcPr>
          <w:p w14:paraId="037FE2C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65.000</w:t>
            </w:r>
          </w:p>
        </w:tc>
        <w:tc>
          <w:tcPr>
            <w:tcW w:w="904" w:type="dxa"/>
            <w:tcBorders>
              <w:top w:val="nil"/>
              <w:left w:val="nil"/>
              <w:bottom w:val="single" w:sz="4" w:space="0" w:color="auto"/>
              <w:right w:val="single" w:sz="4" w:space="0" w:color="auto"/>
            </w:tcBorders>
            <w:shd w:val="clear" w:color="auto" w:fill="auto"/>
            <w:noWrap/>
            <w:vAlign w:val="bottom"/>
            <w:hideMark/>
          </w:tcPr>
          <w:p w14:paraId="5C2AAC5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57.533</w:t>
            </w:r>
          </w:p>
        </w:tc>
        <w:tc>
          <w:tcPr>
            <w:tcW w:w="904" w:type="dxa"/>
            <w:tcBorders>
              <w:top w:val="nil"/>
              <w:left w:val="nil"/>
              <w:bottom w:val="single" w:sz="4" w:space="0" w:color="auto"/>
              <w:right w:val="single" w:sz="4" w:space="0" w:color="auto"/>
            </w:tcBorders>
            <w:shd w:val="clear" w:color="auto" w:fill="auto"/>
            <w:noWrap/>
            <w:vAlign w:val="bottom"/>
            <w:hideMark/>
          </w:tcPr>
          <w:p w14:paraId="6C21DE6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A5E88C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62.388</w:t>
            </w:r>
          </w:p>
        </w:tc>
        <w:tc>
          <w:tcPr>
            <w:tcW w:w="904" w:type="dxa"/>
            <w:tcBorders>
              <w:top w:val="nil"/>
              <w:left w:val="nil"/>
              <w:bottom w:val="single" w:sz="4" w:space="0" w:color="auto"/>
              <w:right w:val="single" w:sz="4" w:space="0" w:color="auto"/>
            </w:tcBorders>
            <w:shd w:val="clear" w:color="auto" w:fill="auto"/>
            <w:noWrap/>
            <w:vAlign w:val="bottom"/>
            <w:hideMark/>
          </w:tcPr>
          <w:p w14:paraId="47B25FA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1946" w:type="dxa"/>
            <w:tcBorders>
              <w:top w:val="nil"/>
              <w:left w:val="nil"/>
              <w:bottom w:val="nil"/>
              <w:right w:val="nil"/>
            </w:tcBorders>
            <w:shd w:val="clear" w:color="auto" w:fill="auto"/>
            <w:noWrap/>
            <w:vAlign w:val="bottom"/>
            <w:hideMark/>
          </w:tcPr>
          <w:p w14:paraId="210CABA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684521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8E3FCA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292</w:t>
            </w:r>
          </w:p>
        </w:tc>
        <w:tc>
          <w:tcPr>
            <w:tcW w:w="904" w:type="dxa"/>
            <w:tcBorders>
              <w:top w:val="nil"/>
              <w:left w:val="nil"/>
              <w:bottom w:val="single" w:sz="4" w:space="0" w:color="auto"/>
              <w:right w:val="single" w:sz="4" w:space="0" w:color="auto"/>
            </w:tcBorders>
            <w:shd w:val="clear" w:color="auto" w:fill="auto"/>
            <w:noWrap/>
            <w:vAlign w:val="bottom"/>
            <w:hideMark/>
          </w:tcPr>
          <w:p w14:paraId="2D60706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54.974</w:t>
            </w:r>
          </w:p>
        </w:tc>
        <w:tc>
          <w:tcPr>
            <w:tcW w:w="904" w:type="dxa"/>
            <w:tcBorders>
              <w:top w:val="nil"/>
              <w:left w:val="nil"/>
              <w:bottom w:val="single" w:sz="4" w:space="0" w:color="auto"/>
              <w:right w:val="single" w:sz="4" w:space="0" w:color="auto"/>
            </w:tcBorders>
            <w:shd w:val="clear" w:color="auto" w:fill="auto"/>
            <w:noWrap/>
            <w:vAlign w:val="bottom"/>
            <w:hideMark/>
          </w:tcPr>
          <w:p w14:paraId="67C5022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65.000</w:t>
            </w:r>
          </w:p>
        </w:tc>
        <w:tc>
          <w:tcPr>
            <w:tcW w:w="904" w:type="dxa"/>
            <w:tcBorders>
              <w:top w:val="nil"/>
              <w:left w:val="nil"/>
              <w:bottom w:val="single" w:sz="4" w:space="0" w:color="auto"/>
              <w:right w:val="single" w:sz="4" w:space="0" w:color="auto"/>
            </w:tcBorders>
            <w:shd w:val="clear" w:color="auto" w:fill="auto"/>
            <w:noWrap/>
            <w:vAlign w:val="bottom"/>
            <w:hideMark/>
          </w:tcPr>
          <w:p w14:paraId="0BF13B4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07B34A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1A0F20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62.331</w:t>
            </w:r>
          </w:p>
        </w:tc>
        <w:tc>
          <w:tcPr>
            <w:tcW w:w="904" w:type="dxa"/>
            <w:tcBorders>
              <w:top w:val="nil"/>
              <w:left w:val="nil"/>
              <w:bottom w:val="single" w:sz="4" w:space="0" w:color="auto"/>
              <w:right w:val="single" w:sz="4" w:space="0" w:color="auto"/>
            </w:tcBorders>
            <w:shd w:val="clear" w:color="auto" w:fill="auto"/>
            <w:noWrap/>
            <w:vAlign w:val="bottom"/>
            <w:hideMark/>
          </w:tcPr>
          <w:p w14:paraId="2671787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57.019</w:t>
            </w:r>
          </w:p>
        </w:tc>
        <w:tc>
          <w:tcPr>
            <w:tcW w:w="1946" w:type="dxa"/>
            <w:tcBorders>
              <w:top w:val="nil"/>
              <w:left w:val="nil"/>
              <w:bottom w:val="nil"/>
              <w:right w:val="nil"/>
            </w:tcBorders>
            <w:shd w:val="clear" w:color="auto" w:fill="auto"/>
            <w:noWrap/>
            <w:vAlign w:val="bottom"/>
            <w:hideMark/>
          </w:tcPr>
          <w:p w14:paraId="6A2848F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0483E5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D4D5FA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lastRenderedPageBreak/>
              <w:t>293</w:t>
            </w:r>
          </w:p>
        </w:tc>
        <w:tc>
          <w:tcPr>
            <w:tcW w:w="904" w:type="dxa"/>
            <w:tcBorders>
              <w:top w:val="nil"/>
              <w:left w:val="nil"/>
              <w:bottom w:val="single" w:sz="4" w:space="0" w:color="auto"/>
              <w:right w:val="single" w:sz="4" w:space="0" w:color="auto"/>
            </w:tcBorders>
            <w:shd w:val="clear" w:color="auto" w:fill="auto"/>
            <w:noWrap/>
            <w:vAlign w:val="bottom"/>
            <w:hideMark/>
          </w:tcPr>
          <w:p w14:paraId="5C5C08D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55.259</w:t>
            </w:r>
          </w:p>
        </w:tc>
        <w:tc>
          <w:tcPr>
            <w:tcW w:w="904" w:type="dxa"/>
            <w:tcBorders>
              <w:top w:val="nil"/>
              <w:left w:val="nil"/>
              <w:bottom w:val="single" w:sz="4" w:space="0" w:color="auto"/>
              <w:right w:val="single" w:sz="4" w:space="0" w:color="auto"/>
            </w:tcBorders>
            <w:shd w:val="clear" w:color="auto" w:fill="auto"/>
            <w:noWrap/>
            <w:vAlign w:val="bottom"/>
            <w:hideMark/>
          </w:tcPr>
          <w:p w14:paraId="51CD467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64.727</w:t>
            </w:r>
          </w:p>
        </w:tc>
        <w:tc>
          <w:tcPr>
            <w:tcW w:w="904" w:type="dxa"/>
            <w:tcBorders>
              <w:top w:val="nil"/>
              <w:left w:val="nil"/>
              <w:bottom w:val="single" w:sz="4" w:space="0" w:color="auto"/>
              <w:right w:val="single" w:sz="4" w:space="0" w:color="auto"/>
            </w:tcBorders>
            <w:shd w:val="clear" w:color="auto" w:fill="auto"/>
            <w:noWrap/>
            <w:vAlign w:val="bottom"/>
            <w:hideMark/>
          </w:tcPr>
          <w:p w14:paraId="4B158CA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14C12CA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1DA913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49015AD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5407F4D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B681E8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E8D24F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294</w:t>
            </w:r>
          </w:p>
        </w:tc>
        <w:tc>
          <w:tcPr>
            <w:tcW w:w="904" w:type="dxa"/>
            <w:tcBorders>
              <w:top w:val="nil"/>
              <w:left w:val="nil"/>
              <w:bottom w:val="single" w:sz="4" w:space="0" w:color="auto"/>
              <w:right w:val="single" w:sz="4" w:space="0" w:color="auto"/>
            </w:tcBorders>
            <w:shd w:val="clear" w:color="auto" w:fill="auto"/>
            <w:noWrap/>
            <w:vAlign w:val="bottom"/>
            <w:hideMark/>
          </w:tcPr>
          <w:p w14:paraId="07D0E86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55.130</w:t>
            </w:r>
          </w:p>
        </w:tc>
        <w:tc>
          <w:tcPr>
            <w:tcW w:w="904" w:type="dxa"/>
            <w:tcBorders>
              <w:top w:val="nil"/>
              <w:left w:val="nil"/>
              <w:bottom w:val="single" w:sz="4" w:space="0" w:color="auto"/>
              <w:right w:val="single" w:sz="4" w:space="0" w:color="auto"/>
            </w:tcBorders>
            <w:shd w:val="clear" w:color="auto" w:fill="auto"/>
            <w:noWrap/>
            <w:vAlign w:val="bottom"/>
            <w:hideMark/>
          </w:tcPr>
          <w:p w14:paraId="746FD5C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63.870</w:t>
            </w:r>
          </w:p>
        </w:tc>
        <w:tc>
          <w:tcPr>
            <w:tcW w:w="904" w:type="dxa"/>
            <w:tcBorders>
              <w:top w:val="nil"/>
              <w:left w:val="nil"/>
              <w:bottom w:val="single" w:sz="4" w:space="0" w:color="auto"/>
              <w:right w:val="single" w:sz="4" w:space="0" w:color="auto"/>
            </w:tcBorders>
            <w:shd w:val="clear" w:color="auto" w:fill="auto"/>
            <w:noWrap/>
            <w:vAlign w:val="bottom"/>
            <w:hideMark/>
          </w:tcPr>
          <w:p w14:paraId="0169663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383694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369C69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60.869</w:t>
            </w:r>
          </w:p>
        </w:tc>
        <w:tc>
          <w:tcPr>
            <w:tcW w:w="904" w:type="dxa"/>
            <w:tcBorders>
              <w:top w:val="nil"/>
              <w:left w:val="nil"/>
              <w:bottom w:val="single" w:sz="4" w:space="0" w:color="auto"/>
              <w:right w:val="single" w:sz="4" w:space="0" w:color="auto"/>
            </w:tcBorders>
            <w:shd w:val="clear" w:color="auto" w:fill="auto"/>
            <w:noWrap/>
            <w:vAlign w:val="bottom"/>
            <w:hideMark/>
          </w:tcPr>
          <w:p w14:paraId="2BF399D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3B60CB6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593C8C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467573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295</w:t>
            </w:r>
          </w:p>
        </w:tc>
        <w:tc>
          <w:tcPr>
            <w:tcW w:w="904" w:type="dxa"/>
            <w:tcBorders>
              <w:top w:val="nil"/>
              <w:left w:val="nil"/>
              <w:bottom w:val="single" w:sz="4" w:space="0" w:color="auto"/>
              <w:right w:val="single" w:sz="4" w:space="0" w:color="auto"/>
            </w:tcBorders>
            <w:shd w:val="clear" w:color="auto" w:fill="auto"/>
            <w:noWrap/>
            <w:vAlign w:val="bottom"/>
            <w:hideMark/>
          </w:tcPr>
          <w:p w14:paraId="7B8A9C3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56.572</w:t>
            </w:r>
          </w:p>
        </w:tc>
        <w:tc>
          <w:tcPr>
            <w:tcW w:w="904" w:type="dxa"/>
            <w:tcBorders>
              <w:top w:val="nil"/>
              <w:left w:val="nil"/>
              <w:bottom w:val="single" w:sz="4" w:space="0" w:color="auto"/>
              <w:right w:val="single" w:sz="4" w:space="0" w:color="auto"/>
            </w:tcBorders>
            <w:shd w:val="clear" w:color="auto" w:fill="auto"/>
            <w:noWrap/>
            <w:vAlign w:val="bottom"/>
            <w:hideMark/>
          </w:tcPr>
          <w:p w14:paraId="0F98011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62.298</w:t>
            </w:r>
          </w:p>
        </w:tc>
        <w:tc>
          <w:tcPr>
            <w:tcW w:w="904" w:type="dxa"/>
            <w:tcBorders>
              <w:top w:val="nil"/>
              <w:left w:val="nil"/>
              <w:bottom w:val="single" w:sz="4" w:space="0" w:color="auto"/>
              <w:right w:val="single" w:sz="4" w:space="0" w:color="auto"/>
            </w:tcBorders>
            <w:shd w:val="clear" w:color="auto" w:fill="auto"/>
            <w:noWrap/>
            <w:vAlign w:val="bottom"/>
            <w:hideMark/>
          </w:tcPr>
          <w:p w14:paraId="556F773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03E913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B54CE7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2F81273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08C9176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29AF76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1892AA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296</w:t>
            </w:r>
          </w:p>
        </w:tc>
        <w:tc>
          <w:tcPr>
            <w:tcW w:w="904" w:type="dxa"/>
            <w:tcBorders>
              <w:top w:val="nil"/>
              <w:left w:val="nil"/>
              <w:bottom w:val="single" w:sz="4" w:space="0" w:color="auto"/>
              <w:right w:val="single" w:sz="4" w:space="0" w:color="auto"/>
            </w:tcBorders>
            <w:shd w:val="clear" w:color="auto" w:fill="auto"/>
            <w:noWrap/>
            <w:vAlign w:val="bottom"/>
            <w:hideMark/>
          </w:tcPr>
          <w:p w14:paraId="7636AF7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57.164</w:t>
            </w:r>
          </w:p>
        </w:tc>
        <w:tc>
          <w:tcPr>
            <w:tcW w:w="904" w:type="dxa"/>
            <w:tcBorders>
              <w:top w:val="nil"/>
              <w:left w:val="nil"/>
              <w:bottom w:val="single" w:sz="4" w:space="0" w:color="auto"/>
              <w:right w:val="single" w:sz="4" w:space="0" w:color="auto"/>
            </w:tcBorders>
            <w:shd w:val="clear" w:color="auto" w:fill="auto"/>
            <w:noWrap/>
            <w:vAlign w:val="bottom"/>
            <w:hideMark/>
          </w:tcPr>
          <w:p w14:paraId="2AF593A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2A2DAB5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513A56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DBDA7C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FDB4A9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1AC8C0D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68FE58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E1241E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297</w:t>
            </w:r>
          </w:p>
        </w:tc>
        <w:tc>
          <w:tcPr>
            <w:tcW w:w="904" w:type="dxa"/>
            <w:tcBorders>
              <w:top w:val="nil"/>
              <w:left w:val="nil"/>
              <w:bottom w:val="single" w:sz="4" w:space="0" w:color="auto"/>
              <w:right w:val="single" w:sz="4" w:space="0" w:color="auto"/>
            </w:tcBorders>
            <w:shd w:val="clear" w:color="auto" w:fill="auto"/>
            <w:noWrap/>
            <w:vAlign w:val="bottom"/>
            <w:hideMark/>
          </w:tcPr>
          <w:p w14:paraId="0D77DF3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57.974</w:t>
            </w:r>
          </w:p>
        </w:tc>
        <w:tc>
          <w:tcPr>
            <w:tcW w:w="904" w:type="dxa"/>
            <w:tcBorders>
              <w:top w:val="nil"/>
              <w:left w:val="nil"/>
              <w:bottom w:val="single" w:sz="4" w:space="0" w:color="auto"/>
              <w:right w:val="single" w:sz="4" w:space="0" w:color="auto"/>
            </w:tcBorders>
            <w:shd w:val="clear" w:color="auto" w:fill="auto"/>
            <w:noWrap/>
            <w:vAlign w:val="bottom"/>
            <w:hideMark/>
          </w:tcPr>
          <w:p w14:paraId="4ABB0AB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0496B7C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514B74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6C7761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D0AD1C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331FD08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F54554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965F42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298</w:t>
            </w:r>
          </w:p>
        </w:tc>
        <w:tc>
          <w:tcPr>
            <w:tcW w:w="904" w:type="dxa"/>
            <w:tcBorders>
              <w:top w:val="nil"/>
              <w:left w:val="nil"/>
              <w:bottom w:val="single" w:sz="4" w:space="0" w:color="auto"/>
              <w:right w:val="single" w:sz="4" w:space="0" w:color="auto"/>
            </w:tcBorders>
            <w:shd w:val="clear" w:color="auto" w:fill="auto"/>
            <w:noWrap/>
            <w:vAlign w:val="bottom"/>
            <w:hideMark/>
          </w:tcPr>
          <w:p w14:paraId="1754D3F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C54630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60.643</w:t>
            </w:r>
          </w:p>
        </w:tc>
        <w:tc>
          <w:tcPr>
            <w:tcW w:w="904" w:type="dxa"/>
            <w:tcBorders>
              <w:top w:val="nil"/>
              <w:left w:val="nil"/>
              <w:bottom w:val="single" w:sz="4" w:space="0" w:color="auto"/>
              <w:right w:val="single" w:sz="4" w:space="0" w:color="auto"/>
            </w:tcBorders>
            <w:shd w:val="clear" w:color="auto" w:fill="auto"/>
            <w:noWrap/>
            <w:vAlign w:val="bottom"/>
            <w:hideMark/>
          </w:tcPr>
          <w:p w14:paraId="3C66E0A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56.673</w:t>
            </w:r>
          </w:p>
        </w:tc>
        <w:tc>
          <w:tcPr>
            <w:tcW w:w="904" w:type="dxa"/>
            <w:tcBorders>
              <w:top w:val="nil"/>
              <w:left w:val="nil"/>
              <w:bottom w:val="single" w:sz="4" w:space="0" w:color="auto"/>
              <w:right w:val="single" w:sz="4" w:space="0" w:color="auto"/>
            </w:tcBorders>
            <w:shd w:val="clear" w:color="auto" w:fill="auto"/>
            <w:noWrap/>
            <w:vAlign w:val="bottom"/>
            <w:hideMark/>
          </w:tcPr>
          <w:p w14:paraId="51C51E7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22F879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472629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60.351</w:t>
            </w:r>
          </w:p>
        </w:tc>
        <w:tc>
          <w:tcPr>
            <w:tcW w:w="1946" w:type="dxa"/>
            <w:tcBorders>
              <w:top w:val="nil"/>
              <w:left w:val="nil"/>
              <w:bottom w:val="nil"/>
              <w:right w:val="nil"/>
            </w:tcBorders>
            <w:shd w:val="clear" w:color="auto" w:fill="auto"/>
            <w:noWrap/>
            <w:vAlign w:val="bottom"/>
            <w:hideMark/>
          </w:tcPr>
          <w:p w14:paraId="733CD21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5223A1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1597DE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299</w:t>
            </w:r>
          </w:p>
        </w:tc>
        <w:tc>
          <w:tcPr>
            <w:tcW w:w="904" w:type="dxa"/>
            <w:tcBorders>
              <w:top w:val="nil"/>
              <w:left w:val="nil"/>
              <w:bottom w:val="single" w:sz="4" w:space="0" w:color="auto"/>
              <w:right w:val="single" w:sz="4" w:space="0" w:color="auto"/>
            </w:tcBorders>
            <w:shd w:val="clear" w:color="auto" w:fill="auto"/>
            <w:noWrap/>
            <w:vAlign w:val="bottom"/>
            <w:hideMark/>
          </w:tcPr>
          <w:p w14:paraId="41400EC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18334B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59.011</w:t>
            </w:r>
          </w:p>
        </w:tc>
        <w:tc>
          <w:tcPr>
            <w:tcW w:w="904" w:type="dxa"/>
            <w:tcBorders>
              <w:top w:val="nil"/>
              <w:left w:val="nil"/>
              <w:bottom w:val="single" w:sz="4" w:space="0" w:color="auto"/>
              <w:right w:val="single" w:sz="4" w:space="0" w:color="auto"/>
            </w:tcBorders>
            <w:shd w:val="clear" w:color="auto" w:fill="auto"/>
            <w:noWrap/>
            <w:vAlign w:val="bottom"/>
            <w:hideMark/>
          </w:tcPr>
          <w:p w14:paraId="318B381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54.369</w:t>
            </w:r>
          </w:p>
        </w:tc>
        <w:tc>
          <w:tcPr>
            <w:tcW w:w="904" w:type="dxa"/>
            <w:tcBorders>
              <w:top w:val="nil"/>
              <w:left w:val="nil"/>
              <w:bottom w:val="single" w:sz="4" w:space="0" w:color="auto"/>
              <w:right w:val="single" w:sz="4" w:space="0" w:color="auto"/>
            </w:tcBorders>
            <w:shd w:val="clear" w:color="auto" w:fill="auto"/>
            <w:noWrap/>
            <w:vAlign w:val="bottom"/>
            <w:hideMark/>
          </w:tcPr>
          <w:p w14:paraId="44F28BE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7ED67A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59ADF92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1946" w:type="dxa"/>
            <w:tcBorders>
              <w:top w:val="nil"/>
              <w:left w:val="nil"/>
              <w:bottom w:val="nil"/>
              <w:right w:val="nil"/>
            </w:tcBorders>
            <w:shd w:val="clear" w:color="auto" w:fill="auto"/>
            <w:noWrap/>
            <w:vAlign w:val="bottom"/>
            <w:hideMark/>
          </w:tcPr>
          <w:p w14:paraId="023C7A0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DE639C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D1BF64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300</w:t>
            </w:r>
          </w:p>
        </w:tc>
        <w:tc>
          <w:tcPr>
            <w:tcW w:w="904" w:type="dxa"/>
            <w:tcBorders>
              <w:top w:val="nil"/>
              <w:left w:val="nil"/>
              <w:bottom w:val="single" w:sz="4" w:space="0" w:color="auto"/>
              <w:right w:val="single" w:sz="4" w:space="0" w:color="auto"/>
            </w:tcBorders>
            <w:shd w:val="clear" w:color="auto" w:fill="auto"/>
            <w:noWrap/>
            <w:vAlign w:val="bottom"/>
            <w:hideMark/>
          </w:tcPr>
          <w:p w14:paraId="64C4C64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6BF8928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3A1AFA7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3808BAD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1F5C39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0C5D7C1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61.182</w:t>
            </w:r>
          </w:p>
        </w:tc>
        <w:tc>
          <w:tcPr>
            <w:tcW w:w="1946" w:type="dxa"/>
            <w:tcBorders>
              <w:top w:val="nil"/>
              <w:left w:val="nil"/>
              <w:bottom w:val="nil"/>
              <w:right w:val="nil"/>
            </w:tcBorders>
            <w:shd w:val="clear" w:color="auto" w:fill="auto"/>
            <w:noWrap/>
            <w:vAlign w:val="bottom"/>
            <w:hideMark/>
          </w:tcPr>
          <w:p w14:paraId="796EE22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B1667C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44236E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301</w:t>
            </w:r>
          </w:p>
        </w:tc>
        <w:tc>
          <w:tcPr>
            <w:tcW w:w="904" w:type="dxa"/>
            <w:tcBorders>
              <w:top w:val="nil"/>
              <w:left w:val="nil"/>
              <w:bottom w:val="single" w:sz="4" w:space="0" w:color="auto"/>
              <w:right w:val="single" w:sz="4" w:space="0" w:color="auto"/>
            </w:tcBorders>
            <w:shd w:val="clear" w:color="auto" w:fill="auto"/>
            <w:noWrap/>
            <w:vAlign w:val="bottom"/>
            <w:hideMark/>
          </w:tcPr>
          <w:p w14:paraId="2B41A9B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119A5E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FFD89F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5CA3CCA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2EE4A4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5AA36C9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62.715</w:t>
            </w:r>
          </w:p>
        </w:tc>
        <w:tc>
          <w:tcPr>
            <w:tcW w:w="1946" w:type="dxa"/>
            <w:tcBorders>
              <w:top w:val="nil"/>
              <w:left w:val="nil"/>
              <w:bottom w:val="nil"/>
              <w:right w:val="nil"/>
            </w:tcBorders>
            <w:shd w:val="clear" w:color="auto" w:fill="auto"/>
            <w:noWrap/>
            <w:vAlign w:val="bottom"/>
            <w:hideMark/>
          </w:tcPr>
          <w:p w14:paraId="4A88BF0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9521A8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59757F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302</w:t>
            </w:r>
          </w:p>
        </w:tc>
        <w:tc>
          <w:tcPr>
            <w:tcW w:w="904" w:type="dxa"/>
            <w:tcBorders>
              <w:top w:val="nil"/>
              <w:left w:val="nil"/>
              <w:bottom w:val="single" w:sz="4" w:space="0" w:color="auto"/>
              <w:right w:val="single" w:sz="4" w:space="0" w:color="auto"/>
            </w:tcBorders>
            <w:shd w:val="clear" w:color="auto" w:fill="auto"/>
            <w:noWrap/>
            <w:vAlign w:val="bottom"/>
            <w:hideMark/>
          </w:tcPr>
          <w:p w14:paraId="3A176EE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58.436</w:t>
            </w:r>
          </w:p>
        </w:tc>
        <w:tc>
          <w:tcPr>
            <w:tcW w:w="904" w:type="dxa"/>
            <w:tcBorders>
              <w:top w:val="nil"/>
              <w:left w:val="nil"/>
              <w:bottom w:val="single" w:sz="4" w:space="0" w:color="auto"/>
              <w:right w:val="single" w:sz="4" w:space="0" w:color="auto"/>
            </w:tcBorders>
            <w:shd w:val="clear" w:color="auto" w:fill="auto"/>
            <w:noWrap/>
            <w:vAlign w:val="bottom"/>
            <w:hideMark/>
          </w:tcPr>
          <w:p w14:paraId="3007A17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FCB0A0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54.134</w:t>
            </w:r>
          </w:p>
        </w:tc>
        <w:tc>
          <w:tcPr>
            <w:tcW w:w="904" w:type="dxa"/>
            <w:tcBorders>
              <w:top w:val="nil"/>
              <w:left w:val="nil"/>
              <w:bottom w:val="single" w:sz="4" w:space="0" w:color="auto"/>
              <w:right w:val="single" w:sz="4" w:space="0" w:color="auto"/>
            </w:tcBorders>
            <w:shd w:val="clear" w:color="auto" w:fill="auto"/>
            <w:noWrap/>
            <w:vAlign w:val="bottom"/>
            <w:hideMark/>
          </w:tcPr>
          <w:p w14:paraId="1B4BC12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43DA12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0B5C208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1946" w:type="dxa"/>
            <w:tcBorders>
              <w:top w:val="nil"/>
              <w:left w:val="nil"/>
              <w:bottom w:val="nil"/>
              <w:right w:val="nil"/>
            </w:tcBorders>
            <w:shd w:val="clear" w:color="auto" w:fill="auto"/>
            <w:noWrap/>
            <w:vAlign w:val="bottom"/>
            <w:hideMark/>
          </w:tcPr>
          <w:p w14:paraId="68596A5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41F457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DD13F8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303</w:t>
            </w:r>
          </w:p>
        </w:tc>
        <w:tc>
          <w:tcPr>
            <w:tcW w:w="904" w:type="dxa"/>
            <w:tcBorders>
              <w:top w:val="nil"/>
              <w:left w:val="nil"/>
              <w:bottom w:val="single" w:sz="4" w:space="0" w:color="auto"/>
              <w:right w:val="single" w:sz="4" w:space="0" w:color="auto"/>
            </w:tcBorders>
            <w:shd w:val="clear" w:color="auto" w:fill="auto"/>
            <w:noWrap/>
            <w:vAlign w:val="bottom"/>
            <w:hideMark/>
          </w:tcPr>
          <w:p w14:paraId="0F7E1F1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58.818</w:t>
            </w:r>
          </w:p>
        </w:tc>
        <w:tc>
          <w:tcPr>
            <w:tcW w:w="904" w:type="dxa"/>
            <w:tcBorders>
              <w:top w:val="nil"/>
              <w:left w:val="nil"/>
              <w:bottom w:val="single" w:sz="4" w:space="0" w:color="auto"/>
              <w:right w:val="single" w:sz="4" w:space="0" w:color="auto"/>
            </w:tcBorders>
            <w:shd w:val="clear" w:color="auto" w:fill="auto"/>
            <w:noWrap/>
            <w:vAlign w:val="bottom"/>
            <w:hideMark/>
          </w:tcPr>
          <w:p w14:paraId="747C810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677021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56.307</w:t>
            </w:r>
          </w:p>
        </w:tc>
        <w:tc>
          <w:tcPr>
            <w:tcW w:w="904" w:type="dxa"/>
            <w:tcBorders>
              <w:top w:val="nil"/>
              <w:left w:val="nil"/>
              <w:bottom w:val="single" w:sz="4" w:space="0" w:color="auto"/>
              <w:right w:val="single" w:sz="4" w:space="0" w:color="auto"/>
            </w:tcBorders>
            <w:shd w:val="clear" w:color="auto" w:fill="auto"/>
            <w:noWrap/>
            <w:vAlign w:val="bottom"/>
            <w:hideMark/>
          </w:tcPr>
          <w:p w14:paraId="53BD1C5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8F525D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58.990</w:t>
            </w:r>
          </w:p>
        </w:tc>
        <w:tc>
          <w:tcPr>
            <w:tcW w:w="904" w:type="dxa"/>
            <w:tcBorders>
              <w:top w:val="nil"/>
              <w:left w:val="nil"/>
              <w:bottom w:val="single" w:sz="4" w:space="0" w:color="auto"/>
              <w:right w:val="single" w:sz="4" w:space="0" w:color="auto"/>
            </w:tcBorders>
            <w:shd w:val="clear" w:color="auto" w:fill="auto"/>
            <w:noWrap/>
            <w:vAlign w:val="bottom"/>
            <w:hideMark/>
          </w:tcPr>
          <w:p w14:paraId="0FB9D36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1946" w:type="dxa"/>
            <w:tcBorders>
              <w:top w:val="nil"/>
              <w:left w:val="nil"/>
              <w:bottom w:val="nil"/>
              <w:right w:val="nil"/>
            </w:tcBorders>
            <w:shd w:val="clear" w:color="auto" w:fill="auto"/>
            <w:noWrap/>
            <w:vAlign w:val="bottom"/>
            <w:hideMark/>
          </w:tcPr>
          <w:p w14:paraId="66F084B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3A33D1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EB8541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304</w:t>
            </w:r>
          </w:p>
        </w:tc>
        <w:tc>
          <w:tcPr>
            <w:tcW w:w="904" w:type="dxa"/>
            <w:tcBorders>
              <w:top w:val="nil"/>
              <w:left w:val="nil"/>
              <w:bottom w:val="single" w:sz="4" w:space="0" w:color="auto"/>
              <w:right w:val="single" w:sz="4" w:space="0" w:color="auto"/>
            </w:tcBorders>
            <w:shd w:val="clear" w:color="auto" w:fill="auto"/>
            <w:noWrap/>
            <w:vAlign w:val="bottom"/>
            <w:hideMark/>
          </w:tcPr>
          <w:p w14:paraId="707F1E9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60.680</w:t>
            </w:r>
          </w:p>
        </w:tc>
        <w:tc>
          <w:tcPr>
            <w:tcW w:w="904" w:type="dxa"/>
            <w:tcBorders>
              <w:top w:val="nil"/>
              <w:left w:val="nil"/>
              <w:bottom w:val="single" w:sz="4" w:space="0" w:color="auto"/>
              <w:right w:val="single" w:sz="4" w:space="0" w:color="auto"/>
            </w:tcBorders>
            <w:shd w:val="clear" w:color="auto" w:fill="auto"/>
            <w:noWrap/>
            <w:vAlign w:val="bottom"/>
            <w:hideMark/>
          </w:tcPr>
          <w:p w14:paraId="57C4988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57.152</w:t>
            </w:r>
          </w:p>
        </w:tc>
        <w:tc>
          <w:tcPr>
            <w:tcW w:w="904" w:type="dxa"/>
            <w:tcBorders>
              <w:top w:val="nil"/>
              <w:left w:val="nil"/>
              <w:bottom w:val="single" w:sz="4" w:space="0" w:color="auto"/>
              <w:right w:val="single" w:sz="4" w:space="0" w:color="auto"/>
            </w:tcBorders>
            <w:shd w:val="clear" w:color="auto" w:fill="auto"/>
            <w:noWrap/>
            <w:vAlign w:val="bottom"/>
            <w:hideMark/>
          </w:tcPr>
          <w:p w14:paraId="2C1D97C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065410A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210617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2978CB6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1946" w:type="dxa"/>
            <w:tcBorders>
              <w:top w:val="nil"/>
              <w:left w:val="nil"/>
              <w:bottom w:val="nil"/>
              <w:right w:val="nil"/>
            </w:tcBorders>
            <w:shd w:val="clear" w:color="auto" w:fill="auto"/>
            <w:noWrap/>
            <w:vAlign w:val="bottom"/>
            <w:hideMark/>
          </w:tcPr>
          <w:p w14:paraId="1A211EB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6254EB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86AD46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305</w:t>
            </w:r>
          </w:p>
        </w:tc>
        <w:tc>
          <w:tcPr>
            <w:tcW w:w="904" w:type="dxa"/>
            <w:tcBorders>
              <w:top w:val="nil"/>
              <w:left w:val="nil"/>
              <w:bottom w:val="single" w:sz="4" w:space="0" w:color="auto"/>
              <w:right w:val="single" w:sz="4" w:space="0" w:color="auto"/>
            </w:tcBorders>
            <w:shd w:val="clear" w:color="auto" w:fill="auto"/>
            <w:noWrap/>
            <w:vAlign w:val="bottom"/>
            <w:hideMark/>
          </w:tcPr>
          <w:p w14:paraId="256326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67C3D1C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55.580</w:t>
            </w:r>
          </w:p>
        </w:tc>
        <w:tc>
          <w:tcPr>
            <w:tcW w:w="904" w:type="dxa"/>
            <w:tcBorders>
              <w:top w:val="nil"/>
              <w:left w:val="nil"/>
              <w:bottom w:val="single" w:sz="4" w:space="0" w:color="auto"/>
              <w:right w:val="single" w:sz="4" w:space="0" w:color="auto"/>
            </w:tcBorders>
            <w:shd w:val="clear" w:color="auto" w:fill="auto"/>
            <w:noWrap/>
            <w:vAlign w:val="bottom"/>
            <w:hideMark/>
          </w:tcPr>
          <w:p w14:paraId="5E53427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B28B4A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3A74F1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58.856</w:t>
            </w:r>
          </w:p>
        </w:tc>
        <w:tc>
          <w:tcPr>
            <w:tcW w:w="904" w:type="dxa"/>
            <w:tcBorders>
              <w:top w:val="nil"/>
              <w:left w:val="nil"/>
              <w:bottom w:val="single" w:sz="4" w:space="0" w:color="auto"/>
              <w:right w:val="single" w:sz="4" w:space="0" w:color="auto"/>
            </w:tcBorders>
            <w:shd w:val="clear" w:color="auto" w:fill="auto"/>
            <w:noWrap/>
            <w:vAlign w:val="bottom"/>
            <w:hideMark/>
          </w:tcPr>
          <w:p w14:paraId="64914EA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1946" w:type="dxa"/>
            <w:tcBorders>
              <w:top w:val="nil"/>
              <w:left w:val="nil"/>
              <w:bottom w:val="nil"/>
              <w:right w:val="nil"/>
            </w:tcBorders>
            <w:shd w:val="clear" w:color="auto" w:fill="auto"/>
            <w:noWrap/>
            <w:vAlign w:val="bottom"/>
            <w:hideMark/>
          </w:tcPr>
          <w:p w14:paraId="3583A387"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28235E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04A29D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306</w:t>
            </w:r>
          </w:p>
        </w:tc>
        <w:tc>
          <w:tcPr>
            <w:tcW w:w="904" w:type="dxa"/>
            <w:tcBorders>
              <w:top w:val="nil"/>
              <w:left w:val="nil"/>
              <w:bottom w:val="single" w:sz="4" w:space="0" w:color="auto"/>
              <w:right w:val="single" w:sz="4" w:space="0" w:color="auto"/>
            </w:tcBorders>
            <w:shd w:val="clear" w:color="auto" w:fill="auto"/>
            <w:noWrap/>
            <w:vAlign w:val="bottom"/>
            <w:hideMark/>
          </w:tcPr>
          <w:p w14:paraId="2834B32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08CA2EB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56.198</w:t>
            </w:r>
          </w:p>
        </w:tc>
        <w:tc>
          <w:tcPr>
            <w:tcW w:w="904" w:type="dxa"/>
            <w:tcBorders>
              <w:top w:val="nil"/>
              <w:left w:val="nil"/>
              <w:bottom w:val="single" w:sz="4" w:space="0" w:color="auto"/>
              <w:right w:val="single" w:sz="4" w:space="0" w:color="auto"/>
            </w:tcBorders>
            <w:shd w:val="clear" w:color="auto" w:fill="auto"/>
            <w:noWrap/>
            <w:vAlign w:val="bottom"/>
            <w:hideMark/>
          </w:tcPr>
          <w:p w14:paraId="4F6F283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76671BA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58.077</w:t>
            </w:r>
          </w:p>
        </w:tc>
        <w:tc>
          <w:tcPr>
            <w:tcW w:w="904" w:type="dxa"/>
            <w:tcBorders>
              <w:top w:val="nil"/>
              <w:left w:val="nil"/>
              <w:bottom w:val="single" w:sz="4" w:space="0" w:color="auto"/>
              <w:right w:val="single" w:sz="4" w:space="0" w:color="auto"/>
            </w:tcBorders>
            <w:shd w:val="clear" w:color="auto" w:fill="auto"/>
            <w:noWrap/>
            <w:vAlign w:val="bottom"/>
            <w:hideMark/>
          </w:tcPr>
          <w:p w14:paraId="6C9D972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58.403</w:t>
            </w:r>
          </w:p>
        </w:tc>
        <w:tc>
          <w:tcPr>
            <w:tcW w:w="904" w:type="dxa"/>
            <w:tcBorders>
              <w:top w:val="nil"/>
              <w:left w:val="nil"/>
              <w:bottom w:val="single" w:sz="4" w:space="0" w:color="auto"/>
              <w:right w:val="single" w:sz="4" w:space="0" w:color="auto"/>
            </w:tcBorders>
            <w:shd w:val="clear" w:color="auto" w:fill="auto"/>
            <w:noWrap/>
            <w:vAlign w:val="bottom"/>
            <w:hideMark/>
          </w:tcPr>
          <w:p w14:paraId="74BDD01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62.138</w:t>
            </w:r>
          </w:p>
        </w:tc>
        <w:tc>
          <w:tcPr>
            <w:tcW w:w="1946" w:type="dxa"/>
            <w:tcBorders>
              <w:top w:val="nil"/>
              <w:left w:val="nil"/>
              <w:bottom w:val="nil"/>
              <w:right w:val="nil"/>
            </w:tcBorders>
            <w:shd w:val="clear" w:color="auto" w:fill="auto"/>
            <w:noWrap/>
            <w:vAlign w:val="bottom"/>
            <w:hideMark/>
          </w:tcPr>
          <w:p w14:paraId="30E529D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ADD102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85BC0B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307</w:t>
            </w:r>
          </w:p>
        </w:tc>
        <w:tc>
          <w:tcPr>
            <w:tcW w:w="904" w:type="dxa"/>
            <w:tcBorders>
              <w:top w:val="nil"/>
              <w:left w:val="nil"/>
              <w:bottom w:val="single" w:sz="4" w:space="0" w:color="auto"/>
              <w:right w:val="single" w:sz="4" w:space="0" w:color="auto"/>
            </w:tcBorders>
            <w:shd w:val="clear" w:color="auto" w:fill="auto"/>
            <w:noWrap/>
            <w:vAlign w:val="bottom"/>
            <w:hideMark/>
          </w:tcPr>
          <w:p w14:paraId="32FD948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62.345</w:t>
            </w:r>
          </w:p>
        </w:tc>
        <w:tc>
          <w:tcPr>
            <w:tcW w:w="904" w:type="dxa"/>
            <w:tcBorders>
              <w:top w:val="nil"/>
              <w:left w:val="nil"/>
              <w:bottom w:val="single" w:sz="4" w:space="0" w:color="auto"/>
              <w:right w:val="single" w:sz="4" w:space="0" w:color="auto"/>
            </w:tcBorders>
            <w:shd w:val="clear" w:color="auto" w:fill="auto"/>
            <w:noWrap/>
            <w:vAlign w:val="bottom"/>
            <w:hideMark/>
          </w:tcPr>
          <w:p w14:paraId="4538140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55.884</w:t>
            </w:r>
          </w:p>
        </w:tc>
        <w:tc>
          <w:tcPr>
            <w:tcW w:w="904" w:type="dxa"/>
            <w:tcBorders>
              <w:top w:val="nil"/>
              <w:left w:val="nil"/>
              <w:bottom w:val="single" w:sz="4" w:space="0" w:color="auto"/>
              <w:right w:val="single" w:sz="4" w:space="0" w:color="auto"/>
            </w:tcBorders>
            <w:shd w:val="clear" w:color="auto" w:fill="auto"/>
            <w:noWrap/>
            <w:vAlign w:val="bottom"/>
            <w:hideMark/>
          </w:tcPr>
          <w:p w14:paraId="136421B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58.345</w:t>
            </w:r>
          </w:p>
        </w:tc>
        <w:tc>
          <w:tcPr>
            <w:tcW w:w="904" w:type="dxa"/>
            <w:tcBorders>
              <w:top w:val="nil"/>
              <w:left w:val="nil"/>
              <w:bottom w:val="single" w:sz="4" w:space="0" w:color="auto"/>
              <w:right w:val="single" w:sz="4" w:space="0" w:color="auto"/>
            </w:tcBorders>
            <w:shd w:val="clear" w:color="auto" w:fill="auto"/>
            <w:noWrap/>
            <w:vAlign w:val="bottom"/>
            <w:hideMark/>
          </w:tcPr>
          <w:p w14:paraId="036F0C0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62E37F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627135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61.407</w:t>
            </w:r>
          </w:p>
        </w:tc>
        <w:tc>
          <w:tcPr>
            <w:tcW w:w="1946" w:type="dxa"/>
            <w:tcBorders>
              <w:top w:val="nil"/>
              <w:left w:val="nil"/>
              <w:bottom w:val="nil"/>
              <w:right w:val="nil"/>
            </w:tcBorders>
            <w:shd w:val="clear" w:color="auto" w:fill="auto"/>
            <w:noWrap/>
            <w:vAlign w:val="bottom"/>
            <w:hideMark/>
          </w:tcPr>
          <w:p w14:paraId="641DEB6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7A70897"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DC2AA4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308</w:t>
            </w:r>
          </w:p>
        </w:tc>
        <w:tc>
          <w:tcPr>
            <w:tcW w:w="904" w:type="dxa"/>
            <w:tcBorders>
              <w:top w:val="nil"/>
              <w:left w:val="nil"/>
              <w:bottom w:val="single" w:sz="4" w:space="0" w:color="auto"/>
              <w:right w:val="single" w:sz="4" w:space="0" w:color="auto"/>
            </w:tcBorders>
            <w:shd w:val="clear" w:color="auto" w:fill="auto"/>
            <w:noWrap/>
            <w:vAlign w:val="bottom"/>
            <w:hideMark/>
          </w:tcPr>
          <w:p w14:paraId="700B191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63.735</w:t>
            </w:r>
          </w:p>
        </w:tc>
        <w:tc>
          <w:tcPr>
            <w:tcW w:w="904" w:type="dxa"/>
            <w:tcBorders>
              <w:top w:val="nil"/>
              <w:left w:val="nil"/>
              <w:bottom w:val="single" w:sz="4" w:space="0" w:color="auto"/>
              <w:right w:val="single" w:sz="4" w:space="0" w:color="auto"/>
            </w:tcBorders>
            <w:shd w:val="clear" w:color="auto" w:fill="auto"/>
            <w:noWrap/>
            <w:vAlign w:val="bottom"/>
            <w:hideMark/>
          </w:tcPr>
          <w:p w14:paraId="74CF7DF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55.621</w:t>
            </w:r>
          </w:p>
        </w:tc>
        <w:tc>
          <w:tcPr>
            <w:tcW w:w="904" w:type="dxa"/>
            <w:tcBorders>
              <w:top w:val="nil"/>
              <w:left w:val="nil"/>
              <w:bottom w:val="single" w:sz="4" w:space="0" w:color="auto"/>
              <w:right w:val="single" w:sz="4" w:space="0" w:color="auto"/>
            </w:tcBorders>
            <w:shd w:val="clear" w:color="auto" w:fill="auto"/>
            <w:noWrap/>
            <w:vAlign w:val="bottom"/>
            <w:hideMark/>
          </w:tcPr>
          <w:p w14:paraId="5721814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B69019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66FE42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D90E9F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60.441</w:t>
            </w:r>
          </w:p>
        </w:tc>
        <w:tc>
          <w:tcPr>
            <w:tcW w:w="1946" w:type="dxa"/>
            <w:tcBorders>
              <w:top w:val="nil"/>
              <w:left w:val="nil"/>
              <w:bottom w:val="nil"/>
              <w:right w:val="nil"/>
            </w:tcBorders>
            <w:shd w:val="clear" w:color="auto" w:fill="auto"/>
            <w:noWrap/>
            <w:vAlign w:val="bottom"/>
            <w:hideMark/>
          </w:tcPr>
          <w:p w14:paraId="4B6C5FE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5FF14F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E01582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309</w:t>
            </w:r>
          </w:p>
        </w:tc>
        <w:tc>
          <w:tcPr>
            <w:tcW w:w="904" w:type="dxa"/>
            <w:tcBorders>
              <w:top w:val="nil"/>
              <w:left w:val="nil"/>
              <w:bottom w:val="single" w:sz="4" w:space="0" w:color="auto"/>
              <w:right w:val="single" w:sz="4" w:space="0" w:color="auto"/>
            </w:tcBorders>
            <w:shd w:val="clear" w:color="auto" w:fill="auto"/>
            <w:noWrap/>
            <w:vAlign w:val="bottom"/>
            <w:hideMark/>
          </w:tcPr>
          <w:p w14:paraId="149ECA9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2ACE222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55.234</w:t>
            </w:r>
          </w:p>
        </w:tc>
        <w:tc>
          <w:tcPr>
            <w:tcW w:w="904" w:type="dxa"/>
            <w:tcBorders>
              <w:top w:val="nil"/>
              <w:left w:val="nil"/>
              <w:bottom w:val="single" w:sz="4" w:space="0" w:color="auto"/>
              <w:right w:val="single" w:sz="4" w:space="0" w:color="auto"/>
            </w:tcBorders>
            <w:shd w:val="clear" w:color="auto" w:fill="auto"/>
            <w:noWrap/>
            <w:vAlign w:val="bottom"/>
            <w:hideMark/>
          </w:tcPr>
          <w:p w14:paraId="40FFEC5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60.454</w:t>
            </w:r>
          </w:p>
        </w:tc>
        <w:tc>
          <w:tcPr>
            <w:tcW w:w="904" w:type="dxa"/>
            <w:tcBorders>
              <w:top w:val="nil"/>
              <w:left w:val="nil"/>
              <w:bottom w:val="single" w:sz="4" w:space="0" w:color="auto"/>
              <w:right w:val="single" w:sz="4" w:space="0" w:color="auto"/>
            </w:tcBorders>
            <w:shd w:val="clear" w:color="auto" w:fill="auto"/>
            <w:noWrap/>
            <w:vAlign w:val="bottom"/>
            <w:hideMark/>
          </w:tcPr>
          <w:p w14:paraId="351B4AE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56.819</w:t>
            </w:r>
          </w:p>
        </w:tc>
        <w:tc>
          <w:tcPr>
            <w:tcW w:w="904" w:type="dxa"/>
            <w:tcBorders>
              <w:top w:val="nil"/>
              <w:left w:val="nil"/>
              <w:bottom w:val="single" w:sz="4" w:space="0" w:color="auto"/>
              <w:right w:val="single" w:sz="4" w:space="0" w:color="auto"/>
            </w:tcBorders>
            <w:shd w:val="clear" w:color="auto" w:fill="auto"/>
            <w:noWrap/>
            <w:vAlign w:val="bottom"/>
            <w:hideMark/>
          </w:tcPr>
          <w:p w14:paraId="7314822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4D34D3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60.298</w:t>
            </w:r>
          </w:p>
        </w:tc>
        <w:tc>
          <w:tcPr>
            <w:tcW w:w="1946" w:type="dxa"/>
            <w:tcBorders>
              <w:top w:val="nil"/>
              <w:left w:val="nil"/>
              <w:bottom w:val="nil"/>
              <w:right w:val="nil"/>
            </w:tcBorders>
            <w:shd w:val="clear" w:color="auto" w:fill="auto"/>
            <w:noWrap/>
            <w:vAlign w:val="bottom"/>
            <w:hideMark/>
          </w:tcPr>
          <w:p w14:paraId="694638D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E45669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5D48D3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310</w:t>
            </w:r>
          </w:p>
        </w:tc>
        <w:tc>
          <w:tcPr>
            <w:tcW w:w="904" w:type="dxa"/>
            <w:tcBorders>
              <w:top w:val="nil"/>
              <w:left w:val="nil"/>
              <w:bottom w:val="single" w:sz="4" w:space="0" w:color="auto"/>
              <w:right w:val="single" w:sz="4" w:space="0" w:color="auto"/>
            </w:tcBorders>
            <w:shd w:val="clear" w:color="auto" w:fill="auto"/>
            <w:noWrap/>
            <w:vAlign w:val="bottom"/>
            <w:hideMark/>
          </w:tcPr>
          <w:p w14:paraId="263B55D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4D5A176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55.573</w:t>
            </w:r>
          </w:p>
        </w:tc>
        <w:tc>
          <w:tcPr>
            <w:tcW w:w="904" w:type="dxa"/>
            <w:tcBorders>
              <w:top w:val="nil"/>
              <w:left w:val="nil"/>
              <w:bottom w:val="single" w:sz="4" w:space="0" w:color="auto"/>
              <w:right w:val="single" w:sz="4" w:space="0" w:color="auto"/>
            </w:tcBorders>
            <w:shd w:val="clear" w:color="auto" w:fill="auto"/>
            <w:noWrap/>
            <w:vAlign w:val="bottom"/>
            <w:hideMark/>
          </w:tcPr>
          <w:p w14:paraId="144026D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7C1E622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56.419</w:t>
            </w:r>
          </w:p>
        </w:tc>
        <w:tc>
          <w:tcPr>
            <w:tcW w:w="904" w:type="dxa"/>
            <w:tcBorders>
              <w:top w:val="nil"/>
              <w:left w:val="nil"/>
              <w:bottom w:val="single" w:sz="4" w:space="0" w:color="auto"/>
              <w:right w:val="single" w:sz="4" w:space="0" w:color="auto"/>
            </w:tcBorders>
            <w:shd w:val="clear" w:color="auto" w:fill="auto"/>
            <w:noWrap/>
            <w:vAlign w:val="bottom"/>
            <w:hideMark/>
          </w:tcPr>
          <w:p w14:paraId="34A7D1B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5258D8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57.997</w:t>
            </w:r>
          </w:p>
        </w:tc>
        <w:tc>
          <w:tcPr>
            <w:tcW w:w="1946" w:type="dxa"/>
            <w:tcBorders>
              <w:top w:val="nil"/>
              <w:left w:val="nil"/>
              <w:bottom w:val="nil"/>
              <w:right w:val="nil"/>
            </w:tcBorders>
            <w:shd w:val="clear" w:color="auto" w:fill="auto"/>
            <w:noWrap/>
            <w:vAlign w:val="bottom"/>
            <w:hideMark/>
          </w:tcPr>
          <w:p w14:paraId="2CB386C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A88A63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77E805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311</w:t>
            </w:r>
          </w:p>
        </w:tc>
        <w:tc>
          <w:tcPr>
            <w:tcW w:w="904" w:type="dxa"/>
            <w:tcBorders>
              <w:top w:val="nil"/>
              <w:left w:val="nil"/>
              <w:bottom w:val="single" w:sz="4" w:space="0" w:color="auto"/>
              <w:right w:val="single" w:sz="4" w:space="0" w:color="auto"/>
            </w:tcBorders>
            <w:shd w:val="clear" w:color="auto" w:fill="auto"/>
            <w:noWrap/>
            <w:vAlign w:val="bottom"/>
            <w:hideMark/>
          </w:tcPr>
          <w:p w14:paraId="5B0E1AE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472B5B4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55.050</w:t>
            </w:r>
          </w:p>
        </w:tc>
        <w:tc>
          <w:tcPr>
            <w:tcW w:w="904" w:type="dxa"/>
            <w:tcBorders>
              <w:top w:val="nil"/>
              <w:left w:val="nil"/>
              <w:bottom w:val="single" w:sz="4" w:space="0" w:color="auto"/>
              <w:right w:val="single" w:sz="4" w:space="0" w:color="auto"/>
            </w:tcBorders>
            <w:shd w:val="clear" w:color="auto" w:fill="auto"/>
            <w:noWrap/>
            <w:vAlign w:val="bottom"/>
            <w:hideMark/>
          </w:tcPr>
          <w:p w14:paraId="6559653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318CF88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54.429</w:t>
            </w:r>
          </w:p>
        </w:tc>
        <w:tc>
          <w:tcPr>
            <w:tcW w:w="904" w:type="dxa"/>
            <w:tcBorders>
              <w:top w:val="nil"/>
              <w:left w:val="nil"/>
              <w:bottom w:val="single" w:sz="4" w:space="0" w:color="auto"/>
              <w:right w:val="single" w:sz="4" w:space="0" w:color="auto"/>
            </w:tcBorders>
            <w:shd w:val="clear" w:color="auto" w:fill="auto"/>
            <w:noWrap/>
            <w:vAlign w:val="bottom"/>
            <w:hideMark/>
          </w:tcPr>
          <w:p w14:paraId="0827FF9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184C01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57.145</w:t>
            </w:r>
          </w:p>
        </w:tc>
        <w:tc>
          <w:tcPr>
            <w:tcW w:w="1946" w:type="dxa"/>
            <w:tcBorders>
              <w:top w:val="nil"/>
              <w:left w:val="nil"/>
              <w:bottom w:val="nil"/>
              <w:right w:val="nil"/>
            </w:tcBorders>
            <w:shd w:val="clear" w:color="auto" w:fill="auto"/>
            <w:noWrap/>
            <w:vAlign w:val="bottom"/>
            <w:hideMark/>
          </w:tcPr>
          <w:p w14:paraId="5CCAC8D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35E4D9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75C9E4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312</w:t>
            </w:r>
          </w:p>
        </w:tc>
        <w:tc>
          <w:tcPr>
            <w:tcW w:w="904" w:type="dxa"/>
            <w:tcBorders>
              <w:top w:val="nil"/>
              <w:left w:val="nil"/>
              <w:bottom w:val="single" w:sz="4" w:space="0" w:color="auto"/>
              <w:right w:val="single" w:sz="4" w:space="0" w:color="auto"/>
            </w:tcBorders>
            <w:shd w:val="clear" w:color="auto" w:fill="auto"/>
            <w:noWrap/>
            <w:vAlign w:val="bottom"/>
            <w:hideMark/>
          </w:tcPr>
          <w:p w14:paraId="5731335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158C05E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52.463</w:t>
            </w:r>
          </w:p>
        </w:tc>
        <w:tc>
          <w:tcPr>
            <w:tcW w:w="904" w:type="dxa"/>
            <w:tcBorders>
              <w:top w:val="nil"/>
              <w:left w:val="nil"/>
              <w:bottom w:val="single" w:sz="4" w:space="0" w:color="auto"/>
              <w:right w:val="single" w:sz="4" w:space="0" w:color="auto"/>
            </w:tcBorders>
            <w:shd w:val="clear" w:color="auto" w:fill="auto"/>
            <w:noWrap/>
            <w:vAlign w:val="bottom"/>
            <w:hideMark/>
          </w:tcPr>
          <w:p w14:paraId="37CBFCB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64.748</w:t>
            </w:r>
          </w:p>
        </w:tc>
        <w:tc>
          <w:tcPr>
            <w:tcW w:w="904" w:type="dxa"/>
            <w:tcBorders>
              <w:top w:val="nil"/>
              <w:left w:val="nil"/>
              <w:bottom w:val="single" w:sz="4" w:space="0" w:color="auto"/>
              <w:right w:val="single" w:sz="4" w:space="0" w:color="auto"/>
            </w:tcBorders>
            <w:shd w:val="clear" w:color="auto" w:fill="auto"/>
            <w:noWrap/>
            <w:vAlign w:val="bottom"/>
            <w:hideMark/>
          </w:tcPr>
          <w:p w14:paraId="27AB958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7C93749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3FEBBE6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51F5878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94BAEC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3D489F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313</w:t>
            </w:r>
          </w:p>
        </w:tc>
        <w:tc>
          <w:tcPr>
            <w:tcW w:w="904" w:type="dxa"/>
            <w:tcBorders>
              <w:top w:val="nil"/>
              <w:left w:val="nil"/>
              <w:bottom w:val="single" w:sz="4" w:space="0" w:color="auto"/>
              <w:right w:val="single" w:sz="4" w:space="0" w:color="auto"/>
            </w:tcBorders>
            <w:shd w:val="clear" w:color="auto" w:fill="auto"/>
            <w:noWrap/>
            <w:vAlign w:val="bottom"/>
            <w:hideMark/>
          </w:tcPr>
          <w:p w14:paraId="6BBE250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789F0B8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904" w:type="dxa"/>
            <w:tcBorders>
              <w:top w:val="nil"/>
              <w:left w:val="nil"/>
              <w:bottom w:val="single" w:sz="4" w:space="0" w:color="auto"/>
              <w:right w:val="single" w:sz="4" w:space="0" w:color="auto"/>
            </w:tcBorders>
            <w:shd w:val="clear" w:color="auto" w:fill="auto"/>
            <w:noWrap/>
            <w:vAlign w:val="bottom"/>
            <w:hideMark/>
          </w:tcPr>
          <w:p w14:paraId="088B1F3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65.999</w:t>
            </w:r>
          </w:p>
        </w:tc>
        <w:tc>
          <w:tcPr>
            <w:tcW w:w="904" w:type="dxa"/>
            <w:tcBorders>
              <w:top w:val="nil"/>
              <w:left w:val="nil"/>
              <w:bottom w:val="single" w:sz="4" w:space="0" w:color="auto"/>
              <w:right w:val="single" w:sz="4" w:space="0" w:color="auto"/>
            </w:tcBorders>
            <w:shd w:val="clear" w:color="auto" w:fill="auto"/>
            <w:noWrap/>
            <w:vAlign w:val="bottom"/>
            <w:hideMark/>
          </w:tcPr>
          <w:p w14:paraId="5C39C96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2FF0BD1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1926C6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29547CF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D962B9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77D035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314</w:t>
            </w:r>
          </w:p>
        </w:tc>
        <w:tc>
          <w:tcPr>
            <w:tcW w:w="904" w:type="dxa"/>
            <w:tcBorders>
              <w:top w:val="nil"/>
              <w:left w:val="nil"/>
              <w:bottom w:val="single" w:sz="4" w:space="0" w:color="auto"/>
              <w:right w:val="single" w:sz="4" w:space="0" w:color="auto"/>
            </w:tcBorders>
            <w:shd w:val="clear" w:color="auto" w:fill="auto"/>
            <w:noWrap/>
            <w:vAlign w:val="bottom"/>
            <w:hideMark/>
          </w:tcPr>
          <w:p w14:paraId="71F56AB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6F0C712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904" w:type="dxa"/>
            <w:tcBorders>
              <w:top w:val="nil"/>
              <w:left w:val="nil"/>
              <w:bottom w:val="single" w:sz="4" w:space="0" w:color="auto"/>
              <w:right w:val="single" w:sz="4" w:space="0" w:color="auto"/>
            </w:tcBorders>
            <w:shd w:val="clear" w:color="auto" w:fill="auto"/>
            <w:noWrap/>
            <w:vAlign w:val="bottom"/>
            <w:hideMark/>
          </w:tcPr>
          <w:p w14:paraId="4B5D001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66.000</w:t>
            </w:r>
          </w:p>
        </w:tc>
        <w:tc>
          <w:tcPr>
            <w:tcW w:w="904" w:type="dxa"/>
            <w:tcBorders>
              <w:top w:val="nil"/>
              <w:left w:val="nil"/>
              <w:bottom w:val="single" w:sz="4" w:space="0" w:color="auto"/>
              <w:right w:val="single" w:sz="4" w:space="0" w:color="auto"/>
            </w:tcBorders>
            <w:shd w:val="clear" w:color="auto" w:fill="auto"/>
            <w:noWrap/>
            <w:vAlign w:val="bottom"/>
            <w:hideMark/>
          </w:tcPr>
          <w:p w14:paraId="49D94AF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301EEDE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59.229</w:t>
            </w:r>
          </w:p>
        </w:tc>
        <w:tc>
          <w:tcPr>
            <w:tcW w:w="904" w:type="dxa"/>
            <w:tcBorders>
              <w:top w:val="nil"/>
              <w:left w:val="nil"/>
              <w:bottom w:val="single" w:sz="4" w:space="0" w:color="auto"/>
              <w:right w:val="single" w:sz="4" w:space="0" w:color="auto"/>
            </w:tcBorders>
            <w:shd w:val="clear" w:color="auto" w:fill="auto"/>
            <w:noWrap/>
            <w:vAlign w:val="bottom"/>
            <w:hideMark/>
          </w:tcPr>
          <w:p w14:paraId="2D99ABE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7B63C55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FEF680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51408D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315</w:t>
            </w:r>
          </w:p>
        </w:tc>
        <w:tc>
          <w:tcPr>
            <w:tcW w:w="904" w:type="dxa"/>
            <w:tcBorders>
              <w:top w:val="nil"/>
              <w:left w:val="nil"/>
              <w:bottom w:val="single" w:sz="4" w:space="0" w:color="auto"/>
              <w:right w:val="single" w:sz="4" w:space="0" w:color="auto"/>
            </w:tcBorders>
            <w:shd w:val="clear" w:color="auto" w:fill="auto"/>
            <w:noWrap/>
            <w:vAlign w:val="bottom"/>
            <w:hideMark/>
          </w:tcPr>
          <w:p w14:paraId="2CA4F68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64.103</w:t>
            </w:r>
          </w:p>
        </w:tc>
        <w:tc>
          <w:tcPr>
            <w:tcW w:w="904" w:type="dxa"/>
            <w:tcBorders>
              <w:top w:val="nil"/>
              <w:left w:val="nil"/>
              <w:bottom w:val="single" w:sz="4" w:space="0" w:color="auto"/>
              <w:right w:val="single" w:sz="4" w:space="0" w:color="auto"/>
            </w:tcBorders>
            <w:shd w:val="clear" w:color="auto" w:fill="auto"/>
            <w:noWrap/>
            <w:vAlign w:val="bottom"/>
            <w:hideMark/>
          </w:tcPr>
          <w:p w14:paraId="4F9276A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904" w:type="dxa"/>
            <w:tcBorders>
              <w:top w:val="nil"/>
              <w:left w:val="nil"/>
              <w:bottom w:val="single" w:sz="4" w:space="0" w:color="auto"/>
              <w:right w:val="single" w:sz="4" w:space="0" w:color="auto"/>
            </w:tcBorders>
            <w:shd w:val="clear" w:color="auto" w:fill="auto"/>
            <w:noWrap/>
            <w:vAlign w:val="bottom"/>
            <w:hideMark/>
          </w:tcPr>
          <w:p w14:paraId="40DDD34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66.069</w:t>
            </w:r>
          </w:p>
        </w:tc>
        <w:tc>
          <w:tcPr>
            <w:tcW w:w="904" w:type="dxa"/>
            <w:tcBorders>
              <w:top w:val="nil"/>
              <w:left w:val="nil"/>
              <w:bottom w:val="single" w:sz="4" w:space="0" w:color="auto"/>
              <w:right w:val="single" w:sz="4" w:space="0" w:color="auto"/>
            </w:tcBorders>
            <w:shd w:val="clear" w:color="auto" w:fill="auto"/>
            <w:noWrap/>
            <w:vAlign w:val="bottom"/>
            <w:hideMark/>
          </w:tcPr>
          <w:p w14:paraId="190048D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3AF7B42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4BC717A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56.964</w:t>
            </w:r>
          </w:p>
        </w:tc>
        <w:tc>
          <w:tcPr>
            <w:tcW w:w="1946" w:type="dxa"/>
            <w:tcBorders>
              <w:top w:val="nil"/>
              <w:left w:val="nil"/>
              <w:bottom w:val="nil"/>
              <w:right w:val="nil"/>
            </w:tcBorders>
            <w:shd w:val="clear" w:color="auto" w:fill="auto"/>
            <w:noWrap/>
            <w:vAlign w:val="bottom"/>
            <w:hideMark/>
          </w:tcPr>
          <w:p w14:paraId="2FE3598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38A250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E771E1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316</w:t>
            </w:r>
          </w:p>
        </w:tc>
        <w:tc>
          <w:tcPr>
            <w:tcW w:w="904" w:type="dxa"/>
            <w:tcBorders>
              <w:top w:val="nil"/>
              <w:left w:val="nil"/>
              <w:bottom w:val="single" w:sz="4" w:space="0" w:color="auto"/>
              <w:right w:val="single" w:sz="4" w:space="0" w:color="auto"/>
            </w:tcBorders>
            <w:shd w:val="clear" w:color="auto" w:fill="auto"/>
            <w:noWrap/>
            <w:vAlign w:val="bottom"/>
            <w:hideMark/>
          </w:tcPr>
          <w:p w14:paraId="1ACA967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68FA8CC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904" w:type="dxa"/>
            <w:tcBorders>
              <w:top w:val="nil"/>
              <w:left w:val="nil"/>
              <w:bottom w:val="single" w:sz="4" w:space="0" w:color="auto"/>
              <w:right w:val="single" w:sz="4" w:space="0" w:color="auto"/>
            </w:tcBorders>
            <w:shd w:val="clear" w:color="auto" w:fill="auto"/>
            <w:noWrap/>
            <w:vAlign w:val="bottom"/>
            <w:hideMark/>
          </w:tcPr>
          <w:p w14:paraId="6EF851D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66.000</w:t>
            </w:r>
          </w:p>
        </w:tc>
        <w:tc>
          <w:tcPr>
            <w:tcW w:w="904" w:type="dxa"/>
            <w:tcBorders>
              <w:top w:val="nil"/>
              <w:left w:val="nil"/>
              <w:bottom w:val="single" w:sz="4" w:space="0" w:color="auto"/>
              <w:right w:val="single" w:sz="4" w:space="0" w:color="auto"/>
            </w:tcBorders>
            <w:shd w:val="clear" w:color="auto" w:fill="auto"/>
            <w:noWrap/>
            <w:vAlign w:val="bottom"/>
            <w:hideMark/>
          </w:tcPr>
          <w:p w14:paraId="476875E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0D7F0B6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5DE495D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55.144</w:t>
            </w:r>
          </w:p>
        </w:tc>
        <w:tc>
          <w:tcPr>
            <w:tcW w:w="1946" w:type="dxa"/>
            <w:tcBorders>
              <w:top w:val="nil"/>
              <w:left w:val="nil"/>
              <w:bottom w:val="nil"/>
              <w:right w:val="nil"/>
            </w:tcBorders>
            <w:shd w:val="clear" w:color="auto" w:fill="auto"/>
            <w:noWrap/>
            <w:vAlign w:val="bottom"/>
            <w:hideMark/>
          </w:tcPr>
          <w:p w14:paraId="2555B19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29D5A5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5BB421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317</w:t>
            </w:r>
          </w:p>
        </w:tc>
        <w:tc>
          <w:tcPr>
            <w:tcW w:w="904" w:type="dxa"/>
            <w:tcBorders>
              <w:top w:val="nil"/>
              <w:left w:val="nil"/>
              <w:bottom w:val="single" w:sz="4" w:space="0" w:color="auto"/>
              <w:right w:val="single" w:sz="4" w:space="0" w:color="auto"/>
            </w:tcBorders>
            <w:shd w:val="clear" w:color="auto" w:fill="auto"/>
            <w:noWrap/>
            <w:vAlign w:val="bottom"/>
            <w:hideMark/>
          </w:tcPr>
          <w:p w14:paraId="3BE3C10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64.192</w:t>
            </w:r>
          </w:p>
        </w:tc>
        <w:tc>
          <w:tcPr>
            <w:tcW w:w="904" w:type="dxa"/>
            <w:tcBorders>
              <w:top w:val="nil"/>
              <w:left w:val="nil"/>
              <w:bottom w:val="single" w:sz="4" w:space="0" w:color="auto"/>
              <w:right w:val="single" w:sz="4" w:space="0" w:color="auto"/>
            </w:tcBorders>
            <w:shd w:val="clear" w:color="auto" w:fill="auto"/>
            <w:noWrap/>
            <w:vAlign w:val="bottom"/>
            <w:hideMark/>
          </w:tcPr>
          <w:p w14:paraId="2B7009D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904" w:type="dxa"/>
            <w:tcBorders>
              <w:top w:val="nil"/>
              <w:left w:val="nil"/>
              <w:bottom w:val="single" w:sz="4" w:space="0" w:color="auto"/>
              <w:right w:val="single" w:sz="4" w:space="0" w:color="auto"/>
            </w:tcBorders>
            <w:shd w:val="clear" w:color="auto" w:fill="auto"/>
            <w:noWrap/>
            <w:vAlign w:val="bottom"/>
            <w:hideMark/>
          </w:tcPr>
          <w:p w14:paraId="043786E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66.192</w:t>
            </w:r>
          </w:p>
        </w:tc>
        <w:tc>
          <w:tcPr>
            <w:tcW w:w="904" w:type="dxa"/>
            <w:tcBorders>
              <w:top w:val="nil"/>
              <w:left w:val="nil"/>
              <w:bottom w:val="single" w:sz="4" w:space="0" w:color="auto"/>
              <w:right w:val="single" w:sz="4" w:space="0" w:color="auto"/>
            </w:tcBorders>
            <w:shd w:val="clear" w:color="auto" w:fill="auto"/>
            <w:noWrap/>
            <w:vAlign w:val="bottom"/>
            <w:hideMark/>
          </w:tcPr>
          <w:p w14:paraId="614026E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7521994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250304F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1946" w:type="dxa"/>
            <w:tcBorders>
              <w:top w:val="nil"/>
              <w:left w:val="nil"/>
              <w:bottom w:val="nil"/>
              <w:right w:val="nil"/>
            </w:tcBorders>
            <w:shd w:val="clear" w:color="auto" w:fill="auto"/>
            <w:noWrap/>
            <w:vAlign w:val="bottom"/>
            <w:hideMark/>
          </w:tcPr>
          <w:p w14:paraId="7FE1C05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F95C3E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99FC26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318</w:t>
            </w:r>
          </w:p>
        </w:tc>
        <w:tc>
          <w:tcPr>
            <w:tcW w:w="904" w:type="dxa"/>
            <w:tcBorders>
              <w:top w:val="nil"/>
              <w:left w:val="nil"/>
              <w:bottom w:val="single" w:sz="4" w:space="0" w:color="auto"/>
              <w:right w:val="single" w:sz="4" w:space="0" w:color="auto"/>
            </w:tcBorders>
            <w:shd w:val="clear" w:color="auto" w:fill="auto"/>
            <w:noWrap/>
            <w:vAlign w:val="bottom"/>
            <w:hideMark/>
          </w:tcPr>
          <w:p w14:paraId="40F1BA7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64.227</w:t>
            </w:r>
          </w:p>
        </w:tc>
        <w:tc>
          <w:tcPr>
            <w:tcW w:w="904" w:type="dxa"/>
            <w:tcBorders>
              <w:top w:val="nil"/>
              <w:left w:val="nil"/>
              <w:bottom w:val="single" w:sz="4" w:space="0" w:color="auto"/>
              <w:right w:val="single" w:sz="4" w:space="0" w:color="auto"/>
            </w:tcBorders>
            <w:shd w:val="clear" w:color="auto" w:fill="auto"/>
            <w:noWrap/>
            <w:vAlign w:val="bottom"/>
            <w:hideMark/>
          </w:tcPr>
          <w:p w14:paraId="148C3BC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904" w:type="dxa"/>
            <w:tcBorders>
              <w:top w:val="nil"/>
              <w:left w:val="nil"/>
              <w:bottom w:val="single" w:sz="4" w:space="0" w:color="auto"/>
              <w:right w:val="single" w:sz="4" w:space="0" w:color="auto"/>
            </w:tcBorders>
            <w:shd w:val="clear" w:color="auto" w:fill="auto"/>
            <w:noWrap/>
            <w:vAlign w:val="bottom"/>
            <w:hideMark/>
          </w:tcPr>
          <w:p w14:paraId="62DE307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66.227</w:t>
            </w:r>
          </w:p>
        </w:tc>
        <w:tc>
          <w:tcPr>
            <w:tcW w:w="904" w:type="dxa"/>
            <w:tcBorders>
              <w:top w:val="nil"/>
              <w:left w:val="nil"/>
              <w:bottom w:val="single" w:sz="4" w:space="0" w:color="auto"/>
              <w:right w:val="single" w:sz="4" w:space="0" w:color="auto"/>
            </w:tcBorders>
            <w:shd w:val="clear" w:color="auto" w:fill="auto"/>
            <w:noWrap/>
            <w:vAlign w:val="bottom"/>
            <w:hideMark/>
          </w:tcPr>
          <w:p w14:paraId="00F6F42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1D01D76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6AB19D0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1946" w:type="dxa"/>
            <w:tcBorders>
              <w:top w:val="nil"/>
              <w:left w:val="nil"/>
              <w:bottom w:val="nil"/>
              <w:right w:val="nil"/>
            </w:tcBorders>
            <w:shd w:val="clear" w:color="auto" w:fill="auto"/>
            <w:noWrap/>
            <w:vAlign w:val="bottom"/>
            <w:hideMark/>
          </w:tcPr>
          <w:p w14:paraId="3AE2F31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897559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F8A48D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319</w:t>
            </w:r>
          </w:p>
        </w:tc>
        <w:tc>
          <w:tcPr>
            <w:tcW w:w="904" w:type="dxa"/>
            <w:tcBorders>
              <w:top w:val="nil"/>
              <w:left w:val="nil"/>
              <w:bottom w:val="single" w:sz="4" w:space="0" w:color="auto"/>
              <w:right w:val="single" w:sz="4" w:space="0" w:color="auto"/>
            </w:tcBorders>
            <w:shd w:val="clear" w:color="auto" w:fill="auto"/>
            <w:noWrap/>
            <w:vAlign w:val="bottom"/>
            <w:hideMark/>
          </w:tcPr>
          <w:p w14:paraId="171A4A7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66A7543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50.570</w:t>
            </w:r>
          </w:p>
        </w:tc>
        <w:tc>
          <w:tcPr>
            <w:tcW w:w="904" w:type="dxa"/>
            <w:tcBorders>
              <w:top w:val="nil"/>
              <w:left w:val="nil"/>
              <w:bottom w:val="single" w:sz="4" w:space="0" w:color="auto"/>
              <w:right w:val="single" w:sz="4" w:space="0" w:color="auto"/>
            </w:tcBorders>
            <w:shd w:val="clear" w:color="auto" w:fill="auto"/>
            <w:noWrap/>
            <w:vAlign w:val="bottom"/>
            <w:hideMark/>
          </w:tcPr>
          <w:p w14:paraId="3C571A3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66.427</w:t>
            </w:r>
          </w:p>
        </w:tc>
        <w:tc>
          <w:tcPr>
            <w:tcW w:w="904" w:type="dxa"/>
            <w:tcBorders>
              <w:top w:val="nil"/>
              <w:left w:val="nil"/>
              <w:bottom w:val="single" w:sz="4" w:space="0" w:color="auto"/>
              <w:right w:val="single" w:sz="4" w:space="0" w:color="auto"/>
            </w:tcBorders>
            <w:shd w:val="clear" w:color="auto" w:fill="auto"/>
            <w:noWrap/>
            <w:vAlign w:val="bottom"/>
            <w:hideMark/>
          </w:tcPr>
          <w:p w14:paraId="7495DEC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3490BC4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2F94DCC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53.332</w:t>
            </w:r>
          </w:p>
        </w:tc>
        <w:tc>
          <w:tcPr>
            <w:tcW w:w="1946" w:type="dxa"/>
            <w:tcBorders>
              <w:top w:val="nil"/>
              <w:left w:val="nil"/>
              <w:bottom w:val="nil"/>
              <w:right w:val="nil"/>
            </w:tcBorders>
            <w:shd w:val="clear" w:color="auto" w:fill="auto"/>
            <w:noWrap/>
            <w:vAlign w:val="bottom"/>
            <w:hideMark/>
          </w:tcPr>
          <w:p w14:paraId="7CE642A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C5136F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0BB246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320</w:t>
            </w:r>
          </w:p>
        </w:tc>
        <w:tc>
          <w:tcPr>
            <w:tcW w:w="904" w:type="dxa"/>
            <w:tcBorders>
              <w:top w:val="nil"/>
              <w:left w:val="nil"/>
              <w:bottom w:val="single" w:sz="4" w:space="0" w:color="auto"/>
              <w:right w:val="single" w:sz="4" w:space="0" w:color="auto"/>
            </w:tcBorders>
            <w:shd w:val="clear" w:color="auto" w:fill="auto"/>
            <w:noWrap/>
            <w:vAlign w:val="bottom"/>
            <w:hideMark/>
          </w:tcPr>
          <w:p w14:paraId="36702CC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0872B25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50.000</w:t>
            </w:r>
          </w:p>
        </w:tc>
        <w:tc>
          <w:tcPr>
            <w:tcW w:w="904" w:type="dxa"/>
            <w:tcBorders>
              <w:top w:val="nil"/>
              <w:left w:val="nil"/>
              <w:bottom w:val="single" w:sz="4" w:space="0" w:color="auto"/>
              <w:right w:val="single" w:sz="4" w:space="0" w:color="auto"/>
            </w:tcBorders>
            <w:shd w:val="clear" w:color="auto" w:fill="auto"/>
            <w:noWrap/>
            <w:vAlign w:val="bottom"/>
            <w:hideMark/>
          </w:tcPr>
          <w:p w14:paraId="332FE07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67.653</w:t>
            </w:r>
          </w:p>
        </w:tc>
        <w:tc>
          <w:tcPr>
            <w:tcW w:w="904" w:type="dxa"/>
            <w:tcBorders>
              <w:top w:val="nil"/>
              <w:left w:val="nil"/>
              <w:bottom w:val="single" w:sz="4" w:space="0" w:color="auto"/>
              <w:right w:val="single" w:sz="4" w:space="0" w:color="auto"/>
            </w:tcBorders>
            <w:shd w:val="clear" w:color="auto" w:fill="auto"/>
            <w:noWrap/>
            <w:vAlign w:val="bottom"/>
            <w:hideMark/>
          </w:tcPr>
          <w:p w14:paraId="4EC1EAB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52.962</w:t>
            </w:r>
          </w:p>
        </w:tc>
        <w:tc>
          <w:tcPr>
            <w:tcW w:w="904" w:type="dxa"/>
            <w:tcBorders>
              <w:top w:val="nil"/>
              <w:left w:val="nil"/>
              <w:bottom w:val="single" w:sz="4" w:space="0" w:color="auto"/>
              <w:right w:val="single" w:sz="4" w:space="0" w:color="auto"/>
            </w:tcBorders>
            <w:shd w:val="clear" w:color="auto" w:fill="auto"/>
            <w:noWrap/>
            <w:vAlign w:val="bottom"/>
            <w:hideMark/>
          </w:tcPr>
          <w:p w14:paraId="0055AFD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62.212</w:t>
            </w:r>
          </w:p>
        </w:tc>
        <w:tc>
          <w:tcPr>
            <w:tcW w:w="904" w:type="dxa"/>
            <w:tcBorders>
              <w:top w:val="nil"/>
              <w:left w:val="nil"/>
              <w:bottom w:val="single" w:sz="4" w:space="0" w:color="auto"/>
              <w:right w:val="single" w:sz="4" w:space="0" w:color="auto"/>
            </w:tcBorders>
            <w:shd w:val="clear" w:color="auto" w:fill="auto"/>
            <w:noWrap/>
            <w:vAlign w:val="bottom"/>
            <w:hideMark/>
          </w:tcPr>
          <w:p w14:paraId="7247AAA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51.962</w:t>
            </w:r>
          </w:p>
        </w:tc>
        <w:tc>
          <w:tcPr>
            <w:tcW w:w="1946" w:type="dxa"/>
            <w:tcBorders>
              <w:top w:val="nil"/>
              <w:left w:val="nil"/>
              <w:bottom w:val="nil"/>
              <w:right w:val="nil"/>
            </w:tcBorders>
            <w:shd w:val="clear" w:color="auto" w:fill="auto"/>
            <w:noWrap/>
            <w:vAlign w:val="bottom"/>
            <w:hideMark/>
          </w:tcPr>
          <w:p w14:paraId="426A1FC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DAEBF7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2B63AE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321</w:t>
            </w:r>
          </w:p>
        </w:tc>
        <w:tc>
          <w:tcPr>
            <w:tcW w:w="904" w:type="dxa"/>
            <w:tcBorders>
              <w:top w:val="nil"/>
              <w:left w:val="nil"/>
              <w:bottom w:val="single" w:sz="4" w:space="0" w:color="auto"/>
              <w:right w:val="single" w:sz="4" w:space="0" w:color="auto"/>
            </w:tcBorders>
            <w:shd w:val="clear" w:color="auto" w:fill="auto"/>
            <w:noWrap/>
            <w:vAlign w:val="bottom"/>
            <w:hideMark/>
          </w:tcPr>
          <w:p w14:paraId="33FEB15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4CE564D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50.000</w:t>
            </w:r>
          </w:p>
        </w:tc>
        <w:tc>
          <w:tcPr>
            <w:tcW w:w="904" w:type="dxa"/>
            <w:tcBorders>
              <w:top w:val="nil"/>
              <w:left w:val="nil"/>
              <w:bottom w:val="single" w:sz="4" w:space="0" w:color="auto"/>
              <w:right w:val="single" w:sz="4" w:space="0" w:color="auto"/>
            </w:tcBorders>
            <w:shd w:val="clear" w:color="auto" w:fill="auto"/>
            <w:noWrap/>
            <w:vAlign w:val="bottom"/>
            <w:hideMark/>
          </w:tcPr>
          <w:p w14:paraId="175B567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67.890</w:t>
            </w:r>
          </w:p>
        </w:tc>
        <w:tc>
          <w:tcPr>
            <w:tcW w:w="904" w:type="dxa"/>
            <w:tcBorders>
              <w:top w:val="nil"/>
              <w:left w:val="nil"/>
              <w:bottom w:val="single" w:sz="4" w:space="0" w:color="auto"/>
              <w:right w:val="single" w:sz="4" w:space="0" w:color="auto"/>
            </w:tcBorders>
            <w:shd w:val="clear" w:color="auto" w:fill="auto"/>
            <w:noWrap/>
            <w:vAlign w:val="bottom"/>
            <w:hideMark/>
          </w:tcPr>
          <w:p w14:paraId="2610E77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51.000</w:t>
            </w:r>
          </w:p>
        </w:tc>
        <w:tc>
          <w:tcPr>
            <w:tcW w:w="904" w:type="dxa"/>
            <w:tcBorders>
              <w:top w:val="nil"/>
              <w:left w:val="nil"/>
              <w:bottom w:val="single" w:sz="4" w:space="0" w:color="auto"/>
              <w:right w:val="single" w:sz="4" w:space="0" w:color="auto"/>
            </w:tcBorders>
            <w:shd w:val="clear" w:color="auto" w:fill="auto"/>
            <w:noWrap/>
            <w:vAlign w:val="bottom"/>
            <w:hideMark/>
          </w:tcPr>
          <w:p w14:paraId="718C06E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62.920</w:t>
            </w:r>
          </w:p>
        </w:tc>
        <w:tc>
          <w:tcPr>
            <w:tcW w:w="904" w:type="dxa"/>
            <w:tcBorders>
              <w:top w:val="nil"/>
              <w:left w:val="nil"/>
              <w:bottom w:val="single" w:sz="4" w:space="0" w:color="auto"/>
              <w:right w:val="single" w:sz="4" w:space="0" w:color="auto"/>
            </w:tcBorders>
            <w:shd w:val="clear" w:color="auto" w:fill="auto"/>
            <w:noWrap/>
            <w:vAlign w:val="bottom"/>
            <w:hideMark/>
          </w:tcPr>
          <w:p w14:paraId="23F1F43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50.000</w:t>
            </w:r>
          </w:p>
        </w:tc>
        <w:tc>
          <w:tcPr>
            <w:tcW w:w="1946" w:type="dxa"/>
            <w:tcBorders>
              <w:top w:val="nil"/>
              <w:left w:val="nil"/>
              <w:bottom w:val="nil"/>
              <w:right w:val="nil"/>
            </w:tcBorders>
            <w:shd w:val="clear" w:color="auto" w:fill="auto"/>
            <w:noWrap/>
            <w:vAlign w:val="bottom"/>
            <w:hideMark/>
          </w:tcPr>
          <w:p w14:paraId="14326DE6"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AE0C09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3F3E07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322</w:t>
            </w:r>
          </w:p>
        </w:tc>
        <w:tc>
          <w:tcPr>
            <w:tcW w:w="904" w:type="dxa"/>
            <w:tcBorders>
              <w:top w:val="nil"/>
              <w:left w:val="nil"/>
              <w:bottom w:val="single" w:sz="4" w:space="0" w:color="auto"/>
              <w:right w:val="single" w:sz="4" w:space="0" w:color="auto"/>
            </w:tcBorders>
            <w:shd w:val="clear" w:color="auto" w:fill="auto"/>
            <w:noWrap/>
            <w:vAlign w:val="bottom"/>
            <w:hideMark/>
          </w:tcPr>
          <w:p w14:paraId="1DF723E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2D29134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50.000</w:t>
            </w:r>
          </w:p>
        </w:tc>
        <w:tc>
          <w:tcPr>
            <w:tcW w:w="904" w:type="dxa"/>
            <w:tcBorders>
              <w:top w:val="nil"/>
              <w:left w:val="nil"/>
              <w:bottom w:val="single" w:sz="4" w:space="0" w:color="auto"/>
              <w:right w:val="single" w:sz="4" w:space="0" w:color="auto"/>
            </w:tcBorders>
            <w:shd w:val="clear" w:color="auto" w:fill="auto"/>
            <w:noWrap/>
            <w:vAlign w:val="bottom"/>
            <w:hideMark/>
          </w:tcPr>
          <w:p w14:paraId="1BD4A99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68.365</w:t>
            </w:r>
          </w:p>
        </w:tc>
        <w:tc>
          <w:tcPr>
            <w:tcW w:w="904" w:type="dxa"/>
            <w:tcBorders>
              <w:top w:val="nil"/>
              <w:left w:val="nil"/>
              <w:bottom w:val="single" w:sz="4" w:space="0" w:color="auto"/>
              <w:right w:val="single" w:sz="4" w:space="0" w:color="auto"/>
            </w:tcBorders>
            <w:shd w:val="clear" w:color="auto" w:fill="auto"/>
            <w:noWrap/>
            <w:vAlign w:val="bottom"/>
            <w:hideMark/>
          </w:tcPr>
          <w:p w14:paraId="487BAF5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51.000</w:t>
            </w:r>
          </w:p>
        </w:tc>
        <w:tc>
          <w:tcPr>
            <w:tcW w:w="904" w:type="dxa"/>
            <w:tcBorders>
              <w:top w:val="nil"/>
              <w:left w:val="nil"/>
              <w:bottom w:val="single" w:sz="4" w:space="0" w:color="auto"/>
              <w:right w:val="single" w:sz="4" w:space="0" w:color="auto"/>
            </w:tcBorders>
            <w:shd w:val="clear" w:color="auto" w:fill="auto"/>
            <w:noWrap/>
            <w:vAlign w:val="bottom"/>
            <w:hideMark/>
          </w:tcPr>
          <w:p w14:paraId="4C01BAF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61.667</w:t>
            </w:r>
          </w:p>
        </w:tc>
        <w:tc>
          <w:tcPr>
            <w:tcW w:w="904" w:type="dxa"/>
            <w:tcBorders>
              <w:top w:val="nil"/>
              <w:left w:val="nil"/>
              <w:bottom w:val="single" w:sz="4" w:space="0" w:color="auto"/>
              <w:right w:val="single" w:sz="4" w:space="0" w:color="auto"/>
            </w:tcBorders>
            <w:shd w:val="clear" w:color="auto" w:fill="auto"/>
            <w:noWrap/>
            <w:vAlign w:val="bottom"/>
            <w:hideMark/>
          </w:tcPr>
          <w:p w14:paraId="796EC8A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50.000</w:t>
            </w:r>
          </w:p>
        </w:tc>
        <w:tc>
          <w:tcPr>
            <w:tcW w:w="1946" w:type="dxa"/>
            <w:tcBorders>
              <w:top w:val="nil"/>
              <w:left w:val="nil"/>
              <w:bottom w:val="nil"/>
              <w:right w:val="nil"/>
            </w:tcBorders>
            <w:shd w:val="clear" w:color="auto" w:fill="auto"/>
            <w:noWrap/>
            <w:vAlign w:val="bottom"/>
            <w:hideMark/>
          </w:tcPr>
          <w:p w14:paraId="2A14CBF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099280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B48DA6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323</w:t>
            </w:r>
          </w:p>
        </w:tc>
        <w:tc>
          <w:tcPr>
            <w:tcW w:w="904" w:type="dxa"/>
            <w:tcBorders>
              <w:top w:val="nil"/>
              <w:left w:val="nil"/>
              <w:bottom w:val="single" w:sz="4" w:space="0" w:color="auto"/>
              <w:right w:val="single" w:sz="4" w:space="0" w:color="auto"/>
            </w:tcBorders>
            <w:shd w:val="clear" w:color="auto" w:fill="auto"/>
            <w:noWrap/>
            <w:vAlign w:val="bottom"/>
            <w:hideMark/>
          </w:tcPr>
          <w:p w14:paraId="54EFD6A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100B46E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50.827</w:t>
            </w:r>
          </w:p>
        </w:tc>
        <w:tc>
          <w:tcPr>
            <w:tcW w:w="904" w:type="dxa"/>
            <w:tcBorders>
              <w:top w:val="nil"/>
              <w:left w:val="nil"/>
              <w:bottom w:val="single" w:sz="4" w:space="0" w:color="auto"/>
              <w:right w:val="single" w:sz="4" w:space="0" w:color="auto"/>
            </w:tcBorders>
            <w:shd w:val="clear" w:color="auto" w:fill="auto"/>
            <w:noWrap/>
            <w:vAlign w:val="bottom"/>
            <w:hideMark/>
          </w:tcPr>
          <w:p w14:paraId="1BAAB04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69.000</w:t>
            </w:r>
          </w:p>
        </w:tc>
        <w:tc>
          <w:tcPr>
            <w:tcW w:w="904" w:type="dxa"/>
            <w:tcBorders>
              <w:top w:val="nil"/>
              <w:left w:val="nil"/>
              <w:bottom w:val="single" w:sz="4" w:space="0" w:color="auto"/>
              <w:right w:val="single" w:sz="4" w:space="0" w:color="auto"/>
            </w:tcBorders>
            <w:shd w:val="clear" w:color="auto" w:fill="auto"/>
            <w:noWrap/>
            <w:vAlign w:val="bottom"/>
            <w:hideMark/>
          </w:tcPr>
          <w:p w14:paraId="7E3A6B4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51.000</w:t>
            </w:r>
          </w:p>
        </w:tc>
        <w:tc>
          <w:tcPr>
            <w:tcW w:w="904" w:type="dxa"/>
            <w:tcBorders>
              <w:top w:val="nil"/>
              <w:left w:val="nil"/>
              <w:bottom w:val="single" w:sz="4" w:space="0" w:color="auto"/>
              <w:right w:val="single" w:sz="4" w:space="0" w:color="auto"/>
            </w:tcBorders>
            <w:shd w:val="clear" w:color="auto" w:fill="auto"/>
            <w:noWrap/>
            <w:vAlign w:val="bottom"/>
            <w:hideMark/>
          </w:tcPr>
          <w:p w14:paraId="2231DBC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6DC8630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50.000</w:t>
            </w:r>
          </w:p>
        </w:tc>
        <w:tc>
          <w:tcPr>
            <w:tcW w:w="1946" w:type="dxa"/>
            <w:tcBorders>
              <w:top w:val="nil"/>
              <w:left w:val="nil"/>
              <w:bottom w:val="nil"/>
              <w:right w:val="nil"/>
            </w:tcBorders>
            <w:shd w:val="clear" w:color="auto" w:fill="auto"/>
            <w:noWrap/>
            <w:vAlign w:val="bottom"/>
            <w:hideMark/>
          </w:tcPr>
          <w:p w14:paraId="3B8C4E0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F0B555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EA22A3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324</w:t>
            </w:r>
          </w:p>
        </w:tc>
        <w:tc>
          <w:tcPr>
            <w:tcW w:w="904" w:type="dxa"/>
            <w:tcBorders>
              <w:top w:val="nil"/>
              <w:left w:val="nil"/>
              <w:bottom w:val="single" w:sz="4" w:space="0" w:color="auto"/>
              <w:right w:val="single" w:sz="4" w:space="0" w:color="auto"/>
            </w:tcBorders>
            <w:shd w:val="clear" w:color="auto" w:fill="auto"/>
            <w:noWrap/>
            <w:vAlign w:val="bottom"/>
            <w:hideMark/>
          </w:tcPr>
          <w:p w14:paraId="0E3AD30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01BF8DB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52.727</w:t>
            </w:r>
          </w:p>
        </w:tc>
        <w:tc>
          <w:tcPr>
            <w:tcW w:w="904" w:type="dxa"/>
            <w:tcBorders>
              <w:top w:val="nil"/>
              <w:left w:val="nil"/>
              <w:bottom w:val="single" w:sz="4" w:space="0" w:color="auto"/>
              <w:right w:val="single" w:sz="4" w:space="0" w:color="auto"/>
            </w:tcBorders>
            <w:shd w:val="clear" w:color="auto" w:fill="auto"/>
            <w:noWrap/>
            <w:vAlign w:val="bottom"/>
            <w:hideMark/>
          </w:tcPr>
          <w:p w14:paraId="2CAC5FD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69.000</w:t>
            </w:r>
          </w:p>
        </w:tc>
        <w:tc>
          <w:tcPr>
            <w:tcW w:w="904" w:type="dxa"/>
            <w:tcBorders>
              <w:top w:val="nil"/>
              <w:left w:val="nil"/>
              <w:bottom w:val="single" w:sz="4" w:space="0" w:color="auto"/>
              <w:right w:val="single" w:sz="4" w:space="0" w:color="auto"/>
            </w:tcBorders>
            <w:shd w:val="clear" w:color="auto" w:fill="auto"/>
            <w:noWrap/>
            <w:vAlign w:val="bottom"/>
            <w:hideMark/>
          </w:tcPr>
          <w:p w14:paraId="6BE5F4C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51.000</w:t>
            </w:r>
          </w:p>
        </w:tc>
        <w:tc>
          <w:tcPr>
            <w:tcW w:w="904" w:type="dxa"/>
            <w:tcBorders>
              <w:top w:val="nil"/>
              <w:left w:val="nil"/>
              <w:bottom w:val="single" w:sz="4" w:space="0" w:color="auto"/>
              <w:right w:val="single" w:sz="4" w:space="0" w:color="auto"/>
            </w:tcBorders>
            <w:shd w:val="clear" w:color="auto" w:fill="auto"/>
            <w:noWrap/>
            <w:vAlign w:val="bottom"/>
            <w:hideMark/>
          </w:tcPr>
          <w:p w14:paraId="6FEC6B2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5BD8AB5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50.000</w:t>
            </w:r>
          </w:p>
        </w:tc>
        <w:tc>
          <w:tcPr>
            <w:tcW w:w="1946" w:type="dxa"/>
            <w:tcBorders>
              <w:top w:val="nil"/>
              <w:left w:val="nil"/>
              <w:bottom w:val="nil"/>
              <w:right w:val="nil"/>
            </w:tcBorders>
            <w:shd w:val="clear" w:color="auto" w:fill="auto"/>
            <w:noWrap/>
            <w:vAlign w:val="bottom"/>
            <w:hideMark/>
          </w:tcPr>
          <w:p w14:paraId="2231E42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1D08F6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0D5868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325</w:t>
            </w:r>
          </w:p>
        </w:tc>
        <w:tc>
          <w:tcPr>
            <w:tcW w:w="904" w:type="dxa"/>
            <w:tcBorders>
              <w:top w:val="nil"/>
              <w:left w:val="nil"/>
              <w:bottom w:val="single" w:sz="4" w:space="0" w:color="auto"/>
              <w:right w:val="single" w:sz="4" w:space="0" w:color="auto"/>
            </w:tcBorders>
            <w:shd w:val="clear" w:color="auto" w:fill="auto"/>
            <w:noWrap/>
            <w:vAlign w:val="bottom"/>
            <w:hideMark/>
          </w:tcPr>
          <w:p w14:paraId="3A97C5F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6B932A9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07D4C43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68.936</w:t>
            </w:r>
          </w:p>
        </w:tc>
        <w:tc>
          <w:tcPr>
            <w:tcW w:w="904" w:type="dxa"/>
            <w:tcBorders>
              <w:top w:val="nil"/>
              <w:left w:val="nil"/>
              <w:bottom w:val="single" w:sz="4" w:space="0" w:color="auto"/>
              <w:right w:val="single" w:sz="4" w:space="0" w:color="auto"/>
            </w:tcBorders>
            <w:shd w:val="clear" w:color="auto" w:fill="auto"/>
            <w:noWrap/>
            <w:vAlign w:val="bottom"/>
            <w:hideMark/>
          </w:tcPr>
          <w:p w14:paraId="0878F74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51.000</w:t>
            </w:r>
          </w:p>
        </w:tc>
        <w:tc>
          <w:tcPr>
            <w:tcW w:w="904" w:type="dxa"/>
            <w:tcBorders>
              <w:top w:val="nil"/>
              <w:left w:val="nil"/>
              <w:bottom w:val="single" w:sz="4" w:space="0" w:color="auto"/>
              <w:right w:val="single" w:sz="4" w:space="0" w:color="auto"/>
            </w:tcBorders>
            <w:shd w:val="clear" w:color="auto" w:fill="auto"/>
            <w:noWrap/>
            <w:vAlign w:val="bottom"/>
            <w:hideMark/>
          </w:tcPr>
          <w:p w14:paraId="23B2611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0D42849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50.000</w:t>
            </w:r>
          </w:p>
        </w:tc>
        <w:tc>
          <w:tcPr>
            <w:tcW w:w="1946" w:type="dxa"/>
            <w:tcBorders>
              <w:top w:val="nil"/>
              <w:left w:val="nil"/>
              <w:bottom w:val="nil"/>
              <w:right w:val="nil"/>
            </w:tcBorders>
            <w:shd w:val="clear" w:color="auto" w:fill="auto"/>
            <w:noWrap/>
            <w:vAlign w:val="bottom"/>
            <w:hideMark/>
          </w:tcPr>
          <w:p w14:paraId="4BE596A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95FFE8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91A585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326</w:t>
            </w:r>
          </w:p>
        </w:tc>
        <w:tc>
          <w:tcPr>
            <w:tcW w:w="904" w:type="dxa"/>
            <w:tcBorders>
              <w:top w:val="nil"/>
              <w:left w:val="nil"/>
              <w:bottom w:val="single" w:sz="4" w:space="0" w:color="auto"/>
              <w:right w:val="single" w:sz="4" w:space="0" w:color="auto"/>
            </w:tcBorders>
            <w:shd w:val="clear" w:color="auto" w:fill="auto"/>
            <w:noWrap/>
            <w:vAlign w:val="bottom"/>
            <w:hideMark/>
          </w:tcPr>
          <w:p w14:paraId="02BC712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124DB3C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49F654C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68.371</w:t>
            </w:r>
          </w:p>
        </w:tc>
        <w:tc>
          <w:tcPr>
            <w:tcW w:w="904" w:type="dxa"/>
            <w:tcBorders>
              <w:top w:val="nil"/>
              <w:left w:val="nil"/>
              <w:bottom w:val="single" w:sz="4" w:space="0" w:color="auto"/>
              <w:right w:val="single" w:sz="4" w:space="0" w:color="auto"/>
            </w:tcBorders>
            <w:shd w:val="clear" w:color="auto" w:fill="auto"/>
            <w:noWrap/>
            <w:vAlign w:val="bottom"/>
            <w:hideMark/>
          </w:tcPr>
          <w:p w14:paraId="0A200AD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51.000</w:t>
            </w:r>
          </w:p>
        </w:tc>
        <w:tc>
          <w:tcPr>
            <w:tcW w:w="904" w:type="dxa"/>
            <w:tcBorders>
              <w:top w:val="nil"/>
              <w:left w:val="nil"/>
              <w:bottom w:val="single" w:sz="4" w:space="0" w:color="auto"/>
              <w:right w:val="single" w:sz="4" w:space="0" w:color="auto"/>
            </w:tcBorders>
            <w:shd w:val="clear" w:color="auto" w:fill="auto"/>
            <w:noWrap/>
            <w:vAlign w:val="bottom"/>
            <w:hideMark/>
          </w:tcPr>
          <w:p w14:paraId="0A4D008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4719D86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50.000</w:t>
            </w:r>
          </w:p>
        </w:tc>
        <w:tc>
          <w:tcPr>
            <w:tcW w:w="1946" w:type="dxa"/>
            <w:tcBorders>
              <w:top w:val="nil"/>
              <w:left w:val="nil"/>
              <w:bottom w:val="nil"/>
              <w:right w:val="nil"/>
            </w:tcBorders>
            <w:shd w:val="clear" w:color="auto" w:fill="auto"/>
            <w:noWrap/>
            <w:vAlign w:val="bottom"/>
            <w:hideMark/>
          </w:tcPr>
          <w:p w14:paraId="45903C2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40B16B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2B5606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327</w:t>
            </w:r>
          </w:p>
        </w:tc>
        <w:tc>
          <w:tcPr>
            <w:tcW w:w="904" w:type="dxa"/>
            <w:tcBorders>
              <w:top w:val="nil"/>
              <w:left w:val="nil"/>
              <w:bottom w:val="single" w:sz="4" w:space="0" w:color="auto"/>
              <w:right w:val="single" w:sz="4" w:space="0" w:color="auto"/>
            </w:tcBorders>
            <w:shd w:val="clear" w:color="auto" w:fill="auto"/>
            <w:noWrap/>
            <w:vAlign w:val="bottom"/>
            <w:hideMark/>
          </w:tcPr>
          <w:p w14:paraId="033F5E6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62.999</w:t>
            </w:r>
          </w:p>
        </w:tc>
        <w:tc>
          <w:tcPr>
            <w:tcW w:w="904" w:type="dxa"/>
            <w:tcBorders>
              <w:top w:val="nil"/>
              <w:left w:val="nil"/>
              <w:bottom w:val="single" w:sz="4" w:space="0" w:color="auto"/>
              <w:right w:val="single" w:sz="4" w:space="0" w:color="auto"/>
            </w:tcBorders>
            <w:shd w:val="clear" w:color="auto" w:fill="auto"/>
            <w:noWrap/>
            <w:vAlign w:val="bottom"/>
            <w:hideMark/>
          </w:tcPr>
          <w:p w14:paraId="311658B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41570CA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67.359</w:t>
            </w:r>
          </w:p>
        </w:tc>
        <w:tc>
          <w:tcPr>
            <w:tcW w:w="904" w:type="dxa"/>
            <w:tcBorders>
              <w:top w:val="nil"/>
              <w:left w:val="nil"/>
              <w:bottom w:val="single" w:sz="4" w:space="0" w:color="auto"/>
              <w:right w:val="single" w:sz="4" w:space="0" w:color="auto"/>
            </w:tcBorders>
            <w:shd w:val="clear" w:color="auto" w:fill="auto"/>
            <w:noWrap/>
            <w:vAlign w:val="bottom"/>
            <w:hideMark/>
          </w:tcPr>
          <w:p w14:paraId="438DCF4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51.000</w:t>
            </w:r>
          </w:p>
        </w:tc>
        <w:tc>
          <w:tcPr>
            <w:tcW w:w="904" w:type="dxa"/>
            <w:tcBorders>
              <w:top w:val="nil"/>
              <w:left w:val="nil"/>
              <w:bottom w:val="single" w:sz="4" w:space="0" w:color="auto"/>
              <w:right w:val="single" w:sz="4" w:space="0" w:color="auto"/>
            </w:tcBorders>
            <w:shd w:val="clear" w:color="auto" w:fill="auto"/>
            <w:noWrap/>
            <w:vAlign w:val="bottom"/>
            <w:hideMark/>
          </w:tcPr>
          <w:p w14:paraId="32563B8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313758C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50.000</w:t>
            </w:r>
          </w:p>
        </w:tc>
        <w:tc>
          <w:tcPr>
            <w:tcW w:w="1946" w:type="dxa"/>
            <w:tcBorders>
              <w:top w:val="nil"/>
              <w:left w:val="nil"/>
              <w:bottom w:val="nil"/>
              <w:right w:val="nil"/>
            </w:tcBorders>
            <w:shd w:val="clear" w:color="auto" w:fill="auto"/>
            <w:noWrap/>
            <w:vAlign w:val="bottom"/>
            <w:hideMark/>
          </w:tcPr>
          <w:p w14:paraId="3354B75C"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331C5F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8726F1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328</w:t>
            </w:r>
          </w:p>
        </w:tc>
        <w:tc>
          <w:tcPr>
            <w:tcW w:w="904" w:type="dxa"/>
            <w:tcBorders>
              <w:top w:val="nil"/>
              <w:left w:val="nil"/>
              <w:bottom w:val="single" w:sz="4" w:space="0" w:color="auto"/>
              <w:right w:val="single" w:sz="4" w:space="0" w:color="auto"/>
            </w:tcBorders>
            <w:shd w:val="clear" w:color="auto" w:fill="auto"/>
            <w:noWrap/>
            <w:vAlign w:val="bottom"/>
            <w:hideMark/>
          </w:tcPr>
          <w:p w14:paraId="691BFF8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61.427</w:t>
            </w:r>
          </w:p>
        </w:tc>
        <w:tc>
          <w:tcPr>
            <w:tcW w:w="904" w:type="dxa"/>
            <w:tcBorders>
              <w:top w:val="nil"/>
              <w:left w:val="nil"/>
              <w:bottom w:val="single" w:sz="4" w:space="0" w:color="auto"/>
              <w:right w:val="single" w:sz="4" w:space="0" w:color="auto"/>
            </w:tcBorders>
            <w:shd w:val="clear" w:color="auto" w:fill="auto"/>
            <w:noWrap/>
            <w:vAlign w:val="bottom"/>
            <w:hideMark/>
          </w:tcPr>
          <w:p w14:paraId="7226866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4B00002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65.810</w:t>
            </w:r>
          </w:p>
        </w:tc>
        <w:tc>
          <w:tcPr>
            <w:tcW w:w="904" w:type="dxa"/>
            <w:tcBorders>
              <w:top w:val="nil"/>
              <w:left w:val="nil"/>
              <w:bottom w:val="single" w:sz="4" w:space="0" w:color="auto"/>
              <w:right w:val="single" w:sz="4" w:space="0" w:color="auto"/>
            </w:tcBorders>
            <w:shd w:val="clear" w:color="auto" w:fill="auto"/>
            <w:noWrap/>
            <w:vAlign w:val="bottom"/>
            <w:hideMark/>
          </w:tcPr>
          <w:p w14:paraId="5A11C7A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51.855</w:t>
            </w:r>
          </w:p>
        </w:tc>
        <w:tc>
          <w:tcPr>
            <w:tcW w:w="904" w:type="dxa"/>
            <w:tcBorders>
              <w:top w:val="nil"/>
              <w:left w:val="nil"/>
              <w:bottom w:val="single" w:sz="4" w:space="0" w:color="auto"/>
              <w:right w:val="single" w:sz="4" w:space="0" w:color="auto"/>
            </w:tcBorders>
            <w:shd w:val="clear" w:color="auto" w:fill="auto"/>
            <w:noWrap/>
            <w:vAlign w:val="bottom"/>
            <w:hideMark/>
          </w:tcPr>
          <w:p w14:paraId="77245CE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490DF07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50.997</w:t>
            </w:r>
          </w:p>
        </w:tc>
        <w:tc>
          <w:tcPr>
            <w:tcW w:w="1946" w:type="dxa"/>
            <w:tcBorders>
              <w:top w:val="nil"/>
              <w:left w:val="nil"/>
              <w:bottom w:val="nil"/>
              <w:right w:val="nil"/>
            </w:tcBorders>
            <w:shd w:val="clear" w:color="auto" w:fill="auto"/>
            <w:noWrap/>
            <w:vAlign w:val="bottom"/>
            <w:hideMark/>
          </w:tcPr>
          <w:p w14:paraId="36CE4B76"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CCAD0F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7851F6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329</w:t>
            </w:r>
          </w:p>
        </w:tc>
        <w:tc>
          <w:tcPr>
            <w:tcW w:w="904" w:type="dxa"/>
            <w:tcBorders>
              <w:top w:val="nil"/>
              <w:left w:val="nil"/>
              <w:bottom w:val="single" w:sz="4" w:space="0" w:color="auto"/>
              <w:right w:val="single" w:sz="4" w:space="0" w:color="auto"/>
            </w:tcBorders>
            <w:shd w:val="clear" w:color="auto" w:fill="auto"/>
            <w:noWrap/>
            <w:vAlign w:val="bottom"/>
            <w:hideMark/>
          </w:tcPr>
          <w:p w14:paraId="5912778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61.114</w:t>
            </w:r>
          </w:p>
        </w:tc>
        <w:tc>
          <w:tcPr>
            <w:tcW w:w="904" w:type="dxa"/>
            <w:tcBorders>
              <w:top w:val="nil"/>
              <w:left w:val="nil"/>
              <w:bottom w:val="single" w:sz="4" w:space="0" w:color="auto"/>
              <w:right w:val="single" w:sz="4" w:space="0" w:color="auto"/>
            </w:tcBorders>
            <w:shd w:val="clear" w:color="auto" w:fill="auto"/>
            <w:noWrap/>
            <w:vAlign w:val="bottom"/>
            <w:hideMark/>
          </w:tcPr>
          <w:p w14:paraId="347F557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54.145</w:t>
            </w:r>
          </w:p>
        </w:tc>
        <w:tc>
          <w:tcPr>
            <w:tcW w:w="904" w:type="dxa"/>
            <w:tcBorders>
              <w:top w:val="nil"/>
              <w:left w:val="nil"/>
              <w:bottom w:val="single" w:sz="4" w:space="0" w:color="auto"/>
              <w:right w:val="single" w:sz="4" w:space="0" w:color="auto"/>
            </w:tcBorders>
            <w:shd w:val="clear" w:color="auto" w:fill="auto"/>
            <w:noWrap/>
            <w:vAlign w:val="bottom"/>
            <w:hideMark/>
          </w:tcPr>
          <w:p w14:paraId="13FED2F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65.000</w:t>
            </w:r>
          </w:p>
        </w:tc>
        <w:tc>
          <w:tcPr>
            <w:tcW w:w="904" w:type="dxa"/>
            <w:tcBorders>
              <w:top w:val="nil"/>
              <w:left w:val="nil"/>
              <w:bottom w:val="single" w:sz="4" w:space="0" w:color="auto"/>
              <w:right w:val="single" w:sz="4" w:space="0" w:color="auto"/>
            </w:tcBorders>
            <w:shd w:val="clear" w:color="auto" w:fill="auto"/>
            <w:noWrap/>
            <w:vAlign w:val="bottom"/>
            <w:hideMark/>
          </w:tcPr>
          <w:p w14:paraId="31F0C0B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7C1E555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59.855</w:t>
            </w:r>
          </w:p>
        </w:tc>
        <w:tc>
          <w:tcPr>
            <w:tcW w:w="904" w:type="dxa"/>
            <w:tcBorders>
              <w:top w:val="nil"/>
              <w:left w:val="nil"/>
              <w:bottom w:val="single" w:sz="4" w:space="0" w:color="auto"/>
              <w:right w:val="single" w:sz="4" w:space="0" w:color="auto"/>
            </w:tcBorders>
            <w:shd w:val="clear" w:color="auto" w:fill="auto"/>
            <w:noWrap/>
            <w:vAlign w:val="bottom"/>
            <w:hideMark/>
          </w:tcPr>
          <w:p w14:paraId="32BDE10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1946" w:type="dxa"/>
            <w:tcBorders>
              <w:top w:val="nil"/>
              <w:left w:val="nil"/>
              <w:bottom w:val="nil"/>
              <w:right w:val="nil"/>
            </w:tcBorders>
            <w:shd w:val="clear" w:color="auto" w:fill="auto"/>
            <w:noWrap/>
            <w:vAlign w:val="bottom"/>
            <w:hideMark/>
          </w:tcPr>
          <w:p w14:paraId="396E6FF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ADE31F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BC06DD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330</w:t>
            </w:r>
          </w:p>
        </w:tc>
        <w:tc>
          <w:tcPr>
            <w:tcW w:w="904" w:type="dxa"/>
            <w:tcBorders>
              <w:top w:val="nil"/>
              <w:left w:val="nil"/>
              <w:bottom w:val="single" w:sz="4" w:space="0" w:color="auto"/>
              <w:right w:val="single" w:sz="4" w:space="0" w:color="auto"/>
            </w:tcBorders>
            <w:shd w:val="clear" w:color="auto" w:fill="auto"/>
            <w:noWrap/>
            <w:vAlign w:val="bottom"/>
            <w:hideMark/>
          </w:tcPr>
          <w:p w14:paraId="5042116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61.101</w:t>
            </w:r>
          </w:p>
        </w:tc>
        <w:tc>
          <w:tcPr>
            <w:tcW w:w="904" w:type="dxa"/>
            <w:tcBorders>
              <w:top w:val="nil"/>
              <w:left w:val="nil"/>
              <w:bottom w:val="single" w:sz="4" w:space="0" w:color="auto"/>
              <w:right w:val="single" w:sz="4" w:space="0" w:color="auto"/>
            </w:tcBorders>
            <w:shd w:val="clear" w:color="auto" w:fill="auto"/>
            <w:noWrap/>
            <w:vAlign w:val="bottom"/>
            <w:hideMark/>
          </w:tcPr>
          <w:p w14:paraId="11A300B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55.727</w:t>
            </w:r>
          </w:p>
        </w:tc>
        <w:tc>
          <w:tcPr>
            <w:tcW w:w="904" w:type="dxa"/>
            <w:tcBorders>
              <w:top w:val="nil"/>
              <w:left w:val="nil"/>
              <w:bottom w:val="single" w:sz="4" w:space="0" w:color="auto"/>
              <w:right w:val="single" w:sz="4" w:space="0" w:color="auto"/>
            </w:tcBorders>
            <w:shd w:val="clear" w:color="auto" w:fill="auto"/>
            <w:noWrap/>
            <w:vAlign w:val="bottom"/>
            <w:hideMark/>
          </w:tcPr>
          <w:p w14:paraId="355FA4A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65.000</w:t>
            </w:r>
          </w:p>
        </w:tc>
        <w:tc>
          <w:tcPr>
            <w:tcW w:w="904" w:type="dxa"/>
            <w:tcBorders>
              <w:top w:val="nil"/>
              <w:left w:val="nil"/>
              <w:bottom w:val="single" w:sz="4" w:space="0" w:color="auto"/>
              <w:right w:val="single" w:sz="4" w:space="0" w:color="auto"/>
            </w:tcBorders>
            <w:shd w:val="clear" w:color="auto" w:fill="auto"/>
            <w:noWrap/>
            <w:vAlign w:val="bottom"/>
            <w:hideMark/>
          </w:tcPr>
          <w:p w14:paraId="313C86A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7A06119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58.273</w:t>
            </w:r>
          </w:p>
        </w:tc>
        <w:tc>
          <w:tcPr>
            <w:tcW w:w="904" w:type="dxa"/>
            <w:tcBorders>
              <w:top w:val="nil"/>
              <w:left w:val="nil"/>
              <w:bottom w:val="single" w:sz="4" w:space="0" w:color="auto"/>
              <w:right w:val="single" w:sz="4" w:space="0" w:color="auto"/>
            </w:tcBorders>
            <w:shd w:val="clear" w:color="auto" w:fill="auto"/>
            <w:noWrap/>
            <w:vAlign w:val="bottom"/>
            <w:hideMark/>
          </w:tcPr>
          <w:p w14:paraId="55DE1A7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1946" w:type="dxa"/>
            <w:tcBorders>
              <w:top w:val="nil"/>
              <w:left w:val="nil"/>
              <w:bottom w:val="nil"/>
              <w:right w:val="nil"/>
            </w:tcBorders>
            <w:shd w:val="clear" w:color="auto" w:fill="auto"/>
            <w:noWrap/>
            <w:vAlign w:val="bottom"/>
            <w:hideMark/>
          </w:tcPr>
          <w:p w14:paraId="44AAE34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773CE1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930F29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331</w:t>
            </w:r>
          </w:p>
        </w:tc>
        <w:tc>
          <w:tcPr>
            <w:tcW w:w="904" w:type="dxa"/>
            <w:tcBorders>
              <w:top w:val="nil"/>
              <w:left w:val="nil"/>
              <w:bottom w:val="single" w:sz="4" w:space="0" w:color="auto"/>
              <w:right w:val="single" w:sz="4" w:space="0" w:color="auto"/>
            </w:tcBorders>
            <w:shd w:val="clear" w:color="auto" w:fill="auto"/>
            <w:noWrap/>
            <w:vAlign w:val="bottom"/>
            <w:hideMark/>
          </w:tcPr>
          <w:p w14:paraId="15D7FE9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1A4F08B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50DA20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65.000</w:t>
            </w:r>
          </w:p>
        </w:tc>
        <w:tc>
          <w:tcPr>
            <w:tcW w:w="904" w:type="dxa"/>
            <w:tcBorders>
              <w:top w:val="nil"/>
              <w:left w:val="nil"/>
              <w:bottom w:val="single" w:sz="4" w:space="0" w:color="auto"/>
              <w:right w:val="single" w:sz="4" w:space="0" w:color="auto"/>
            </w:tcBorders>
            <w:shd w:val="clear" w:color="auto" w:fill="auto"/>
            <w:noWrap/>
            <w:vAlign w:val="bottom"/>
            <w:hideMark/>
          </w:tcPr>
          <w:p w14:paraId="570EC38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6C7121E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B2FB79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1946" w:type="dxa"/>
            <w:tcBorders>
              <w:top w:val="nil"/>
              <w:left w:val="nil"/>
              <w:bottom w:val="nil"/>
              <w:right w:val="nil"/>
            </w:tcBorders>
            <w:shd w:val="clear" w:color="auto" w:fill="auto"/>
            <w:noWrap/>
            <w:vAlign w:val="bottom"/>
            <w:hideMark/>
          </w:tcPr>
          <w:p w14:paraId="00A43AE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0C2118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0B50D1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332</w:t>
            </w:r>
          </w:p>
        </w:tc>
        <w:tc>
          <w:tcPr>
            <w:tcW w:w="904" w:type="dxa"/>
            <w:tcBorders>
              <w:top w:val="nil"/>
              <w:left w:val="nil"/>
              <w:bottom w:val="single" w:sz="4" w:space="0" w:color="auto"/>
              <w:right w:val="single" w:sz="4" w:space="0" w:color="auto"/>
            </w:tcBorders>
            <w:shd w:val="clear" w:color="auto" w:fill="auto"/>
            <w:noWrap/>
            <w:vAlign w:val="bottom"/>
            <w:hideMark/>
          </w:tcPr>
          <w:p w14:paraId="6CC4D38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55F47CB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58.114</w:t>
            </w:r>
          </w:p>
        </w:tc>
        <w:tc>
          <w:tcPr>
            <w:tcW w:w="904" w:type="dxa"/>
            <w:tcBorders>
              <w:top w:val="nil"/>
              <w:left w:val="nil"/>
              <w:bottom w:val="single" w:sz="4" w:space="0" w:color="auto"/>
              <w:right w:val="single" w:sz="4" w:space="0" w:color="auto"/>
            </w:tcBorders>
            <w:shd w:val="clear" w:color="auto" w:fill="auto"/>
            <w:noWrap/>
            <w:vAlign w:val="bottom"/>
            <w:hideMark/>
          </w:tcPr>
          <w:p w14:paraId="1F6291F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65.000</w:t>
            </w:r>
          </w:p>
        </w:tc>
        <w:tc>
          <w:tcPr>
            <w:tcW w:w="904" w:type="dxa"/>
            <w:tcBorders>
              <w:top w:val="nil"/>
              <w:left w:val="nil"/>
              <w:bottom w:val="single" w:sz="4" w:space="0" w:color="auto"/>
              <w:right w:val="single" w:sz="4" w:space="0" w:color="auto"/>
            </w:tcBorders>
            <w:shd w:val="clear" w:color="auto" w:fill="auto"/>
            <w:noWrap/>
            <w:vAlign w:val="bottom"/>
            <w:hideMark/>
          </w:tcPr>
          <w:p w14:paraId="23867DC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56.114</w:t>
            </w:r>
          </w:p>
        </w:tc>
        <w:tc>
          <w:tcPr>
            <w:tcW w:w="904" w:type="dxa"/>
            <w:tcBorders>
              <w:top w:val="nil"/>
              <w:left w:val="nil"/>
              <w:bottom w:val="single" w:sz="4" w:space="0" w:color="auto"/>
              <w:right w:val="single" w:sz="4" w:space="0" w:color="auto"/>
            </w:tcBorders>
            <w:shd w:val="clear" w:color="auto" w:fill="auto"/>
            <w:noWrap/>
            <w:vAlign w:val="bottom"/>
            <w:hideMark/>
          </w:tcPr>
          <w:p w14:paraId="79934AD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2AA683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1946" w:type="dxa"/>
            <w:tcBorders>
              <w:top w:val="nil"/>
              <w:left w:val="nil"/>
              <w:bottom w:val="nil"/>
              <w:right w:val="nil"/>
            </w:tcBorders>
            <w:shd w:val="clear" w:color="auto" w:fill="auto"/>
            <w:noWrap/>
            <w:vAlign w:val="bottom"/>
            <w:hideMark/>
          </w:tcPr>
          <w:p w14:paraId="7E6C6DE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595107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027991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333</w:t>
            </w:r>
          </w:p>
        </w:tc>
        <w:tc>
          <w:tcPr>
            <w:tcW w:w="904" w:type="dxa"/>
            <w:tcBorders>
              <w:top w:val="nil"/>
              <w:left w:val="nil"/>
              <w:bottom w:val="single" w:sz="4" w:space="0" w:color="auto"/>
              <w:right w:val="single" w:sz="4" w:space="0" w:color="auto"/>
            </w:tcBorders>
            <w:shd w:val="clear" w:color="auto" w:fill="auto"/>
            <w:noWrap/>
            <w:vAlign w:val="bottom"/>
            <w:hideMark/>
          </w:tcPr>
          <w:p w14:paraId="1A29363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3A129A0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59.590</w:t>
            </w:r>
          </w:p>
        </w:tc>
        <w:tc>
          <w:tcPr>
            <w:tcW w:w="904" w:type="dxa"/>
            <w:tcBorders>
              <w:top w:val="nil"/>
              <w:left w:val="nil"/>
              <w:bottom w:val="single" w:sz="4" w:space="0" w:color="auto"/>
              <w:right w:val="single" w:sz="4" w:space="0" w:color="auto"/>
            </w:tcBorders>
            <w:shd w:val="clear" w:color="auto" w:fill="auto"/>
            <w:noWrap/>
            <w:vAlign w:val="bottom"/>
            <w:hideMark/>
          </w:tcPr>
          <w:p w14:paraId="76ACC10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63.959</w:t>
            </w:r>
          </w:p>
        </w:tc>
        <w:tc>
          <w:tcPr>
            <w:tcW w:w="904" w:type="dxa"/>
            <w:tcBorders>
              <w:top w:val="nil"/>
              <w:left w:val="nil"/>
              <w:bottom w:val="single" w:sz="4" w:space="0" w:color="auto"/>
              <w:right w:val="single" w:sz="4" w:space="0" w:color="auto"/>
            </w:tcBorders>
            <w:shd w:val="clear" w:color="auto" w:fill="auto"/>
            <w:noWrap/>
            <w:vAlign w:val="bottom"/>
            <w:hideMark/>
          </w:tcPr>
          <w:p w14:paraId="5C7647B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0AA226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9F6AAF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1946" w:type="dxa"/>
            <w:tcBorders>
              <w:top w:val="nil"/>
              <w:left w:val="nil"/>
              <w:bottom w:val="nil"/>
              <w:right w:val="nil"/>
            </w:tcBorders>
            <w:shd w:val="clear" w:color="auto" w:fill="auto"/>
            <w:noWrap/>
            <w:vAlign w:val="bottom"/>
            <w:hideMark/>
          </w:tcPr>
          <w:p w14:paraId="6709FF5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113A992"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2A440C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334</w:t>
            </w:r>
          </w:p>
        </w:tc>
        <w:tc>
          <w:tcPr>
            <w:tcW w:w="904" w:type="dxa"/>
            <w:tcBorders>
              <w:top w:val="nil"/>
              <w:left w:val="nil"/>
              <w:bottom w:val="single" w:sz="4" w:space="0" w:color="auto"/>
              <w:right w:val="single" w:sz="4" w:space="0" w:color="auto"/>
            </w:tcBorders>
            <w:shd w:val="clear" w:color="auto" w:fill="auto"/>
            <w:noWrap/>
            <w:vAlign w:val="bottom"/>
            <w:hideMark/>
          </w:tcPr>
          <w:p w14:paraId="3255CC9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20967C7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61.329</w:t>
            </w:r>
          </w:p>
        </w:tc>
        <w:tc>
          <w:tcPr>
            <w:tcW w:w="904" w:type="dxa"/>
            <w:tcBorders>
              <w:top w:val="nil"/>
              <w:left w:val="nil"/>
              <w:bottom w:val="single" w:sz="4" w:space="0" w:color="auto"/>
              <w:right w:val="single" w:sz="4" w:space="0" w:color="auto"/>
            </w:tcBorders>
            <w:shd w:val="clear" w:color="auto" w:fill="auto"/>
            <w:noWrap/>
            <w:vAlign w:val="bottom"/>
            <w:hideMark/>
          </w:tcPr>
          <w:p w14:paraId="4831E99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3DDB82E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939961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14080D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1946" w:type="dxa"/>
            <w:tcBorders>
              <w:top w:val="nil"/>
              <w:left w:val="nil"/>
              <w:bottom w:val="nil"/>
              <w:right w:val="nil"/>
            </w:tcBorders>
            <w:shd w:val="clear" w:color="auto" w:fill="auto"/>
            <w:noWrap/>
            <w:vAlign w:val="bottom"/>
            <w:hideMark/>
          </w:tcPr>
          <w:p w14:paraId="429CB68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5EB8E1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A5D0CE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335</w:t>
            </w:r>
          </w:p>
        </w:tc>
        <w:tc>
          <w:tcPr>
            <w:tcW w:w="904" w:type="dxa"/>
            <w:tcBorders>
              <w:top w:val="nil"/>
              <w:left w:val="nil"/>
              <w:bottom w:val="single" w:sz="4" w:space="0" w:color="auto"/>
              <w:right w:val="single" w:sz="4" w:space="0" w:color="auto"/>
            </w:tcBorders>
            <w:shd w:val="clear" w:color="auto" w:fill="auto"/>
            <w:noWrap/>
            <w:vAlign w:val="bottom"/>
            <w:hideMark/>
          </w:tcPr>
          <w:p w14:paraId="1EC58D2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1BC40B3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63.463</w:t>
            </w:r>
          </w:p>
        </w:tc>
        <w:tc>
          <w:tcPr>
            <w:tcW w:w="904" w:type="dxa"/>
            <w:tcBorders>
              <w:top w:val="nil"/>
              <w:left w:val="nil"/>
              <w:bottom w:val="single" w:sz="4" w:space="0" w:color="auto"/>
              <w:right w:val="single" w:sz="4" w:space="0" w:color="auto"/>
            </w:tcBorders>
            <w:shd w:val="clear" w:color="auto" w:fill="auto"/>
            <w:noWrap/>
            <w:vAlign w:val="bottom"/>
            <w:hideMark/>
          </w:tcPr>
          <w:p w14:paraId="4AEE5FB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35DA040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07D994F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1350E2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1946" w:type="dxa"/>
            <w:tcBorders>
              <w:top w:val="nil"/>
              <w:left w:val="nil"/>
              <w:bottom w:val="nil"/>
              <w:right w:val="nil"/>
            </w:tcBorders>
            <w:shd w:val="clear" w:color="auto" w:fill="auto"/>
            <w:noWrap/>
            <w:vAlign w:val="bottom"/>
            <w:hideMark/>
          </w:tcPr>
          <w:p w14:paraId="2B6C545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8F07EF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8B6694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336</w:t>
            </w:r>
          </w:p>
        </w:tc>
        <w:tc>
          <w:tcPr>
            <w:tcW w:w="904" w:type="dxa"/>
            <w:tcBorders>
              <w:top w:val="nil"/>
              <w:left w:val="nil"/>
              <w:bottom w:val="single" w:sz="4" w:space="0" w:color="auto"/>
              <w:right w:val="single" w:sz="4" w:space="0" w:color="auto"/>
            </w:tcBorders>
            <w:shd w:val="clear" w:color="auto" w:fill="auto"/>
            <w:noWrap/>
            <w:vAlign w:val="bottom"/>
            <w:hideMark/>
          </w:tcPr>
          <w:p w14:paraId="38F0FAA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0FCC547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66.000</w:t>
            </w:r>
          </w:p>
        </w:tc>
        <w:tc>
          <w:tcPr>
            <w:tcW w:w="904" w:type="dxa"/>
            <w:tcBorders>
              <w:top w:val="nil"/>
              <w:left w:val="nil"/>
              <w:bottom w:val="single" w:sz="4" w:space="0" w:color="auto"/>
              <w:right w:val="single" w:sz="4" w:space="0" w:color="auto"/>
            </w:tcBorders>
            <w:shd w:val="clear" w:color="auto" w:fill="auto"/>
            <w:noWrap/>
            <w:vAlign w:val="bottom"/>
            <w:hideMark/>
          </w:tcPr>
          <w:p w14:paraId="2CD1793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61.802</w:t>
            </w:r>
          </w:p>
        </w:tc>
        <w:tc>
          <w:tcPr>
            <w:tcW w:w="904" w:type="dxa"/>
            <w:tcBorders>
              <w:top w:val="nil"/>
              <w:left w:val="nil"/>
              <w:bottom w:val="single" w:sz="4" w:space="0" w:color="auto"/>
              <w:right w:val="single" w:sz="4" w:space="0" w:color="auto"/>
            </w:tcBorders>
            <w:shd w:val="clear" w:color="auto" w:fill="auto"/>
            <w:noWrap/>
            <w:vAlign w:val="bottom"/>
            <w:hideMark/>
          </w:tcPr>
          <w:p w14:paraId="7B23922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57.148</w:t>
            </w:r>
          </w:p>
        </w:tc>
        <w:tc>
          <w:tcPr>
            <w:tcW w:w="904" w:type="dxa"/>
            <w:tcBorders>
              <w:top w:val="nil"/>
              <w:left w:val="nil"/>
              <w:bottom w:val="single" w:sz="4" w:space="0" w:color="auto"/>
              <w:right w:val="single" w:sz="4" w:space="0" w:color="auto"/>
            </w:tcBorders>
            <w:shd w:val="clear" w:color="auto" w:fill="auto"/>
            <w:noWrap/>
            <w:vAlign w:val="bottom"/>
            <w:hideMark/>
          </w:tcPr>
          <w:p w14:paraId="1EAB19A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50488D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53.148</w:t>
            </w:r>
          </w:p>
        </w:tc>
        <w:tc>
          <w:tcPr>
            <w:tcW w:w="1946" w:type="dxa"/>
            <w:tcBorders>
              <w:top w:val="nil"/>
              <w:left w:val="nil"/>
              <w:bottom w:val="nil"/>
              <w:right w:val="nil"/>
            </w:tcBorders>
            <w:shd w:val="clear" w:color="auto" w:fill="auto"/>
            <w:noWrap/>
            <w:vAlign w:val="bottom"/>
            <w:hideMark/>
          </w:tcPr>
          <w:p w14:paraId="3A018FA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CFFAD5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D4485C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337</w:t>
            </w:r>
          </w:p>
        </w:tc>
        <w:tc>
          <w:tcPr>
            <w:tcW w:w="904" w:type="dxa"/>
            <w:tcBorders>
              <w:top w:val="nil"/>
              <w:left w:val="nil"/>
              <w:bottom w:val="single" w:sz="4" w:space="0" w:color="auto"/>
              <w:right w:val="single" w:sz="4" w:space="0" w:color="auto"/>
            </w:tcBorders>
            <w:shd w:val="clear" w:color="auto" w:fill="auto"/>
            <w:noWrap/>
            <w:vAlign w:val="bottom"/>
            <w:hideMark/>
          </w:tcPr>
          <w:p w14:paraId="78CD034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6C03887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66.000</w:t>
            </w:r>
          </w:p>
        </w:tc>
        <w:tc>
          <w:tcPr>
            <w:tcW w:w="904" w:type="dxa"/>
            <w:tcBorders>
              <w:top w:val="nil"/>
              <w:left w:val="nil"/>
              <w:bottom w:val="single" w:sz="4" w:space="0" w:color="auto"/>
              <w:right w:val="single" w:sz="4" w:space="0" w:color="auto"/>
            </w:tcBorders>
            <w:shd w:val="clear" w:color="auto" w:fill="auto"/>
            <w:noWrap/>
            <w:vAlign w:val="bottom"/>
            <w:hideMark/>
          </w:tcPr>
          <w:p w14:paraId="5E98318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59.706</w:t>
            </w:r>
          </w:p>
        </w:tc>
        <w:tc>
          <w:tcPr>
            <w:tcW w:w="904" w:type="dxa"/>
            <w:tcBorders>
              <w:top w:val="nil"/>
              <w:left w:val="nil"/>
              <w:bottom w:val="single" w:sz="4" w:space="0" w:color="auto"/>
              <w:right w:val="single" w:sz="4" w:space="0" w:color="auto"/>
            </w:tcBorders>
            <w:shd w:val="clear" w:color="auto" w:fill="auto"/>
            <w:noWrap/>
            <w:vAlign w:val="bottom"/>
            <w:hideMark/>
          </w:tcPr>
          <w:p w14:paraId="0FB1B7B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58.720</w:t>
            </w:r>
          </w:p>
        </w:tc>
        <w:tc>
          <w:tcPr>
            <w:tcW w:w="904" w:type="dxa"/>
            <w:tcBorders>
              <w:top w:val="nil"/>
              <w:left w:val="nil"/>
              <w:bottom w:val="single" w:sz="4" w:space="0" w:color="auto"/>
              <w:right w:val="single" w:sz="4" w:space="0" w:color="auto"/>
            </w:tcBorders>
            <w:shd w:val="clear" w:color="auto" w:fill="auto"/>
            <w:noWrap/>
            <w:vAlign w:val="bottom"/>
            <w:hideMark/>
          </w:tcPr>
          <w:p w14:paraId="2FE23BA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518454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54.720</w:t>
            </w:r>
          </w:p>
        </w:tc>
        <w:tc>
          <w:tcPr>
            <w:tcW w:w="1946" w:type="dxa"/>
            <w:tcBorders>
              <w:top w:val="nil"/>
              <w:left w:val="nil"/>
              <w:bottom w:val="nil"/>
              <w:right w:val="nil"/>
            </w:tcBorders>
            <w:shd w:val="clear" w:color="auto" w:fill="auto"/>
            <w:noWrap/>
            <w:vAlign w:val="bottom"/>
            <w:hideMark/>
          </w:tcPr>
          <w:p w14:paraId="5F2657B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D01B7C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7A8F23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lastRenderedPageBreak/>
              <w:t>338</w:t>
            </w:r>
          </w:p>
        </w:tc>
        <w:tc>
          <w:tcPr>
            <w:tcW w:w="904" w:type="dxa"/>
            <w:tcBorders>
              <w:top w:val="nil"/>
              <w:left w:val="nil"/>
              <w:bottom w:val="single" w:sz="4" w:space="0" w:color="auto"/>
              <w:right w:val="single" w:sz="4" w:space="0" w:color="auto"/>
            </w:tcBorders>
            <w:shd w:val="clear" w:color="auto" w:fill="auto"/>
            <w:noWrap/>
            <w:vAlign w:val="bottom"/>
            <w:hideMark/>
          </w:tcPr>
          <w:p w14:paraId="0760F02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2CE9457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66.000</w:t>
            </w:r>
          </w:p>
        </w:tc>
        <w:tc>
          <w:tcPr>
            <w:tcW w:w="904" w:type="dxa"/>
            <w:tcBorders>
              <w:top w:val="nil"/>
              <w:left w:val="nil"/>
              <w:bottom w:val="single" w:sz="4" w:space="0" w:color="auto"/>
              <w:right w:val="single" w:sz="4" w:space="0" w:color="auto"/>
            </w:tcBorders>
            <w:shd w:val="clear" w:color="auto" w:fill="auto"/>
            <w:noWrap/>
            <w:vAlign w:val="bottom"/>
            <w:hideMark/>
          </w:tcPr>
          <w:p w14:paraId="0C1B669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23A64D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53BBE0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3FF72E8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08BFB14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4B6727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5F4413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339</w:t>
            </w:r>
          </w:p>
        </w:tc>
        <w:tc>
          <w:tcPr>
            <w:tcW w:w="904" w:type="dxa"/>
            <w:tcBorders>
              <w:top w:val="nil"/>
              <w:left w:val="nil"/>
              <w:bottom w:val="single" w:sz="4" w:space="0" w:color="auto"/>
              <w:right w:val="single" w:sz="4" w:space="0" w:color="auto"/>
            </w:tcBorders>
            <w:shd w:val="clear" w:color="auto" w:fill="auto"/>
            <w:noWrap/>
            <w:vAlign w:val="bottom"/>
            <w:hideMark/>
          </w:tcPr>
          <w:p w14:paraId="0676680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0781528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66.000</w:t>
            </w:r>
          </w:p>
        </w:tc>
        <w:tc>
          <w:tcPr>
            <w:tcW w:w="904" w:type="dxa"/>
            <w:tcBorders>
              <w:top w:val="nil"/>
              <w:left w:val="nil"/>
              <w:bottom w:val="single" w:sz="4" w:space="0" w:color="auto"/>
              <w:right w:val="single" w:sz="4" w:space="0" w:color="auto"/>
            </w:tcBorders>
            <w:shd w:val="clear" w:color="auto" w:fill="auto"/>
            <w:noWrap/>
            <w:vAlign w:val="bottom"/>
            <w:hideMark/>
          </w:tcPr>
          <w:p w14:paraId="074795D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58.265</w:t>
            </w:r>
          </w:p>
        </w:tc>
        <w:tc>
          <w:tcPr>
            <w:tcW w:w="904" w:type="dxa"/>
            <w:tcBorders>
              <w:top w:val="nil"/>
              <w:left w:val="nil"/>
              <w:bottom w:val="single" w:sz="4" w:space="0" w:color="auto"/>
              <w:right w:val="single" w:sz="4" w:space="0" w:color="auto"/>
            </w:tcBorders>
            <w:shd w:val="clear" w:color="auto" w:fill="auto"/>
            <w:noWrap/>
            <w:vAlign w:val="bottom"/>
            <w:hideMark/>
          </w:tcPr>
          <w:p w14:paraId="604BB3D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59.735</w:t>
            </w:r>
          </w:p>
        </w:tc>
        <w:tc>
          <w:tcPr>
            <w:tcW w:w="904" w:type="dxa"/>
            <w:tcBorders>
              <w:top w:val="nil"/>
              <w:left w:val="nil"/>
              <w:bottom w:val="single" w:sz="4" w:space="0" w:color="auto"/>
              <w:right w:val="single" w:sz="4" w:space="0" w:color="auto"/>
            </w:tcBorders>
            <w:shd w:val="clear" w:color="auto" w:fill="auto"/>
            <w:noWrap/>
            <w:vAlign w:val="bottom"/>
            <w:hideMark/>
          </w:tcPr>
          <w:p w14:paraId="53401AE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D55B0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3B59F26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DF4253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65195B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340</w:t>
            </w:r>
          </w:p>
        </w:tc>
        <w:tc>
          <w:tcPr>
            <w:tcW w:w="904" w:type="dxa"/>
            <w:tcBorders>
              <w:top w:val="nil"/>
              <w:left w:val="nil"/>
              <w:bottom w:val="single" w:sz="4" w:space="0" w:color="auto"/>
              <w:right w:val="single" w:sz="4" w:space="0" w:color="auto"/>
            </w:tcBorders>
            <w:shd w:val="clear" w:color="auto" w:fill="auto"/>
            <w:noWrap/>
            <w:vAlign w:val="bottom"/>
            <w:hideMark/>
          </w:tcPr>
          <w:p w14:paraId="62E99BE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370F6BA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66.000</w:t>
            </w:r>
          </w:p>
        </w:tc>
        <w:tc>
          <w:tcPr>
            <w:tcW w:w="904" w:type="dxa"/>
            <w:tcBorders>
              <w:top w:val="nil"/>
              <w:left w:val="nil"/>
              <w:bottom w:val="single" w:sz="4" w:space="0" w:color="auto"/>
              <w:right w:val="single" w:sz="4" w:space="0" w:color="auto"/>
            </w:tcBorders>
            <w:shd w:val="clear" w:color="auto" w:fill="auto"/>
            <w:noWrap/>
            <w:vAlign w:val="bottom"/>
            <w:hideMark/>
          </w:tcPr>
          <w:p w14:paraId="65A2958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94E3E8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9C23BA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57.564</w:t>
            </w:r>
          </w:p>
        </w:tc>
        <w:tc>
          <w:tcPr>
            <w:tcW w:w="904" w:type="dxa"/>
            <w:tcBorders>
              <w:top w:val="nil"/>
              <w:left w:val="nil"/>
              <w:bottom w:val="single" w:sz="4" w:space="0" w:color="auto"/>
              <w:right w:val="single" w:sz="4" w:space="0" w:color="auto"/>
            </w:tcBorders>
            <w:shd w:val="clear" w:color="auto" w:fill="auto"/>
            <w:noWrap/>
            <w:vAlign w:val="bottom"/>
            <w:hideMark/>
          </w:tcPr>
          <w:p w14:paraId="6B784C3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0111ABB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B8E24D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A44F4F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341</w:t>
            </w:r>
          </w:p>
        </w:tc>
        <w:tc>
          <w:tcPr>
            <w:tcW w:w="904" w:type="dxa"/>
            <w:tcBorders>
              <w:top w:val="nil"/>
              <w:left w:val="nil"/>
              <w:bottom w:val="single" w:sz="4" w:space="0" w:color="auto"/>
              <w:right w:val="single" w:sz="4" w:space="0" w:color="auto"/>
            </w:tcBorders>
            <w:shd w:val="clear" w:color="auto" w:fill="auto"/>
            <w:noWrap/>
            <w:vAlign w:val="bottom"/>
            <w:hideMark/>
          </w:tcPr>
          <w:p w14:paraId="0275A2D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75F5202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66.000</w:t>
            </w:r>
          </w:p>
        </w:tc>
        <w:tc>
          <w:tcPr>
            <w:tcW w:w="904" w:type="dxa"/>
            <w:tcBorders>
              <w:top w:val="nil"/>
              <w:left w:val="nil"/>
              <w:bottom w:val="single" w:sz="4" w:space="0" w:color="auto"/>
              <w:right w:val="single" w:sz="4" w:space="0" w:color="auto"/>
            </w:tcBorders>
            <w:shd w:val="clear" w:color="auto" w:fill="auto"/>
            <w:noWrap/>
            <w:vAlign w:val="bottom"/>
            <w:hideMark/>
          </w:tcPr>
          <w:p w14:paraId="57DFFA7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58.133</w:t>
            </w:r>
          </w:p>
        </w:tc>
        <w:tc>
          <w:tcPr>
            <w:tcW w:w="904" w:type="dxa"/>
            <w:tcBorders>
              <w:top w:val="nil"/>
              <w:left w:val="nil"/>
              <w:bottom w:val="single" w:sz="4" w:space="0" w:color="auto"/>
              <w:right w:val="single" w:sz="4" w:space="0" w:color="auto"/>
            </w:tcBorders>
            <w:shd w:val="clear" w:color="auto" w:fill="auto"/>
            <w:noWrap/>
            <w:vAlign w:val="bottom"/>
            <w:hideMark/>
          </w:tcPr>
          <w:p w14:paraId="4697DCA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AF9BCF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56.802</w:t>
            </w:r>
          </w:p>
        </w:tc>
        <w:tc>
          <w:tcPr>
            <w:tcW w:w="904" w:type="dxa"/>
            <w:tcBorders>
              <w:top w:val="nil"/>
              <w:left w:val="nil"/>
              <w:bottom w:val="single" w:sz="4" w:space="0" w:color="auto"/>
              <w:right w:val="single" w:sz="4" w:space="0" w:color="auto"/>
            </w:tcBorders>
            <w:shd w:val="clear" w:color="auto" w:fill="auto"/>
            <w:noWrap/>
            <w:vAlign w:val="bottom"/>
            <w:hideMark/>
          </w:tcPr>
          <w:p w14:paraId="69D2A9E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51CC741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53146D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72741F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342</w:t>
            </w:r>
          </w:p>
        </w:tc>
        <w:tc>
          <w:tcPr>
            <w:tcW w:w="904" w:type="dxa"/>
            <w:tcBorders>
              <w:top w:val="nil"/>
              <w:left w:val="nil"/>
              <w:bottom w:val="single" w:sz="4" w:space="0" w:color="auto"/>
              <w:right w:val="single" w:sz="4" w:space="0" w:color="auto"/>
            </w:tcBorders>
            <w:shd w:val="clear" w:color="auto" w:fill="auto"/>
            <w:noWrap/>
            <w:vAlign w:val="bottom"/>
            <w:hideMark/>
          </w:tcPr>
          <w:p w14:paraId="0819702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52EF509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65.420</w:t>
            </w:r>
          </w:p>
        </w:tc>
        <w:tc>
          <w:tcPr>
            <w:tcW w:w="904" w:type="dxa"/>
            <w:tcBorders>
              <w:top w:val="nil"/>
              <w:left w:val="nil"/>
              <w:bottom w:val="single" w:sz="4" w:space="0" w:color="auto"/>
              <w:right w:val="single" w:sz="4" w:space="0" w:color="auto"/>
            </w:tcBorders>
            <w:shd w:val="clear" w:color="auto" w:fill="auto"/>
            <w:noWrap/>
            <w:vAlign w:val="bottom"/>
            <w:hideMark/>
          </w:tcPr>
          <w:p w14:paraId="41F3B04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57.967</w:t>
            </w:r>
          </w:p>
        </w:tc>
        <w:tc>
          <w:tcPr>
            <w:tcW w:w="904" w:type="dxa"/>
            <w:tcBorders>
              <w:top w:val="nil"/>
              <w:left w:val="nil"/>
              <w:bottom w:val="single" w:sz="4" w:space="0" w:color="auto"/>
              <w:right w:val="single" w:sz="4" w:space="0" w:color="auto"/>
            </w:tcBorders>
            <w:shd w:val="clear" w:color="auto" w:fill="auto"/>
            <w:noWrap/>
            <w:vAlign w:val="bottom"/>
            <w:hideMark/>
          </w:tcPr>
          <w:p w14:paraId="3CBF9F6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E5381B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57.420</w:t>
            </w:r>
          </w:p>
        </w:tc>
        <w:tc>
          <w:tcPr>
            <w:tcW w:w="904" w:type="dxa"/>
            <w:tcBorders>
              <w:top w:val="nil"/>
              <w:left w:val="nil"/>
              <w:bottom w:val="single" w:sz="4" w:space="0" w:color="auto"/>
              <w:right w:val="single" w:sz="4" w:space="0" w:color="auto"/>
            </w:tcBorders>
            <w:shd w:val="clear" w:color="auto" w:fill="auto"/>
            <w:noWrap/>
            <w:vAlign w:val="bottom"/>
            <w:hideMark/>
          </w:tcPr>
          <w:p w14:paraId="04A546D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539C7B4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D50B3F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E77012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343</w:t>
            </w:r>
          </w:p>
        </w:tc>
        <w:tc>
          <w:tcPr>
            <w:tcW w:w="904" w:type="dxa"/>
            <w:tcBorders>
              <w:top w:val="nil"/>
              <w:left w:val="nil"/>
              <w:bottom w:val="single" w:sz="4" w:space="0" w:color="auto"/>
              <w:right w:val="single" w:sz="4" w:space="0" w:color="auto"/>
            </w:tcBorders>
            <w:shd w:val="clear" w:color="auto" w:fill="auto"/>
            <w:noWrap/>
            <w:vAlign w:val="bottom"/>
            <w:hideMark/>
          </w:tcPr>
          <w:p w14:paraId="7674936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61.060</w:t>
            </w:r>
          </w:p>
        </w:tc>
        <w:tc>
          <w:tcPr>
            <w:tcW w:w="904" w:type="dxa"/>
            <w:tcBorders>
              <w:top w:val="nil"/>
              <w:left w:val="nil"/>
              <w:bottom w:val="single" w:sz="4" w:space="0" w:color="auto"/>
              <w:right w:val="single" w:sz="4" w:space="0" w:color="auto"/>
            </w:tcBorders>
            <w:shd w:val="clear" w:color="auto" w:fill="auto"/>
            <w:noWrap/>
            <w:vAlign w:val="bottom"/>
            <w:hideMark/>
          </w:tcPr>
          <w:p w14:paraId="7147CCE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63.788</w:t>
            </w:r>
          </w:p>
        </w:tc>
        <w:tc>
          <w:tcPr>
            <w:tcW w:w="904" w:type="dxa"/>
            <w:tcBorders>
              <w:top w:val="nil"/>
              <w:left w:val="nil"/>
              <w:bottom w:val="single" w:sz="4" w:space="0" w:color="auto"/>
              <w:right w:val="single" w:sz="4" w:space="0" w:color="auto"/>
            </w:tcBorders>
            <w:shd w:val="clear" w:color="auto" w:fill="auto"/>
            <w:noWrap/>
            <w:vAlign w:val="bottom"/>
            <w:hideMark/>
          </w:tcPr>
          <w:p w14:paraId="6A8BB45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0C918CE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6D6341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56.002</w:t>
            </w:r>
          </w:p>
        </w:tc>
        <w:tc>
          <w:tcPr>
            <w:tcW w:w="904" w:type="dxa"/>
            <w:tcBorders>
              <w:top w:val="nil"/>
              <w:left w:val="nil"/>
              <w:bottom w:val="single" w:sz="4" w:space="0" w:color="auto"/>
              <w:right w:val="single" w:sz="4" w:space="0" w:color="auto"/>
            </w:tcBorders>
            <w:shd w:val="clear" w:color="auto" w:fill="auto"/>
            <w:noWrap/>
            <w:vAlign w:val="bottom"/>
            <w:hideMark/>
          </w:tcPr>
          <w:p w14:paraId="2299DBA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038B97F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47F704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C150C8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344</w:t>
            </w:r>
          </w:p>
        </w:tc>
        <w:tc>
          <w:tcPr>
            <w:tcW w:w="904" w:type="dxa"/>
            <w:tcBorders>
              <w:top w:val="nil"/>
              <w:left w:val="nil"/>
              <w:bottom w:val="single" w:sz="4" w:space="0" w:color="auto"/>
              <w:right w:val="single" w:sz="4" w:space="0" w:color="auto"/>
            </w:tcBorders>
            <w:shd w:val="clear" w:color="auto" w:fill="auto"/>
            <w:noWrap/>
            <w:vAlign w:val="bottom"/>
            <w:hideMark/>
          </w:tcPr>
          <w:p w14:paraId="0E8DA1C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6A84453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6F60BE8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58.970</w:t>
            </w:r>
          </w:p>
        </w:tc>
        <w:tc>
          <w:tcPr>
            <w:tcW w:w="904" w:type="dxa"/>
            <w:tcBorders>
              <w:top w:val="nil"/>
              <w:left w:val="nil"/>
              <w:bottom w:val="single" w:sz="4" w:space="0" w:color="auto"/>
              <w:right w:val="single" w:sz="4" w:space="0" w:color="auto"/>
            </w:tcBorders>
            <w:shd w:val="clear" w:color="auto" w:fill="auto"/>
            <w:noWrap/>
            <w:vAlign w:val="bottom"/>
            <w:hideMark/>
          </w:tcPr>
          <w:p w14:paraId="6D7A0F9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EB4154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56.454</w:t>
            </w:r>
          </w:p>
        </w:tc>
        <w:tc>
          <w:tcPr>
            <w:tcW w:w="904" w:type="dxa"/>
            <w:tcBorders>
              <w:top w:val="nil"/>
              <w:left w:val="nil"/>
              <w:bottom w:val="single" w:sz="4" w:space="0" w:color="auto"/>
              <w:right w:val="single" w:sz="4" w:space="0" w:color="auto"/>
            </w:tcBorders>
            <w:shd w:val="clear" w:color="auto" w:fill="auto"/>
            <w:noWrap/>
            <w:vAlign w:val="bottom"/>
            <w:hideMark/>
          </w:tcPr>
          <w:p w14:paraId="5DA20CE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2CD5E35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B437CA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802137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345</w:t>
            </w:r>
          </w:p>
        </w:tc>
        <w:tc>
          <w:tcPr>
            <w:tcW w:w="904" w:type="dxa"/>
            <w:tcBorders>
              <w:top w:val="nil"/>
              <w:left w:val="nil"/>
              <w:bottom w:val="single" w:sz="4" w:space="0" w:color="auto"/>
              <w:right w:val="single" w:sz="4" w:space="0" w:color="auto"/>
            </w:tcBorders>
            <w:shd w:val="clear" w:color="auto" w:fill="auto"/>
            <w:noWrap/>
            <w:vAlign w:val="bottom"/>
            <w:hideMark/>
          </w:tcPr>
          <w:p w14:paraId="12B1189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61.190</w:t>
            </w:r>
          </w:p>
        </w:tc>
        <w:tc>
          <w:tcPr>
            <w:tcW w:w="904" w:type="dxa"/>
            <w:tcBorders>
              <w:top w:val="nil"/>
              <w:left w:val="nil"/>
              <w:bottom w:val="single" w:sz="4" w:space="0" w:color="auto"/>
              <w:right w:val="single" w:sz="4" w:space="0" w:color="auto"/>
            </w:tcBorders>
            <w:shd w:val="clear" w:color="auto" w:fill="auto"/>
            <w:noWrap/>
            <w:vAlign w:val="bottom"/>
            <w:hideMark/>
          </w:tcPr>
          <w:p w14:paraId="2F083AD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69C5D42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656876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38FEA5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56.899</w:t>
            </w:r>
          </w:p>
        </w:tc>
        <w:tc>
          <w:tcPr>
            <w:tcW w:w="904" w:type="dxa"/>
            <w:tcBorders>
              <w:top w:val="nil"/>
              <w:left w:val="nil"/>
              <w:bottom w:val="single" w:sz="4" w:space="0" w:color="auto"/>
              <w:right w:val="single" w:sz="4" w:space="0" w:color="auto"/>
            </w:tcBorders>
            <w:shd w:val="clear" w:color="auto" w:fill="auto"/>
            <w:noWrap/>
            <w:vAlign w:val="bottom"/>
            <w:hideMark/>
          </w:tcPr>
          <w:p w14:paraId="731D576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47AE0D5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9F3909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711102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346</w:t>
            </w:r>
          </w:p>
        </w:tc>
        <w:tc>
          <w:tcPr>
            <w:tcW w:w="904" w:type="dxa"/>
            <w:tcBorders>
              <w:top w:val="nil"/>
              <w:left w:val="nil"/>
              <w:bottom w:val="single" w:sz="4" w:space="0" w:color="auto"/>
              <w:right w:val="single" w:sz="4" w:space="0" w:color="auto"/>
            </w:tcBorders>
            <w:shd w:val="clear" w:color="auto" w:fill="auto"/>
            <w:noWrap/>
            <w:vAlign w:val="bottom"/>
            <w:hideMark/>
          </w:tcPr>
          <w:p w14:paraId="14A5256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1E98783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61.663</w:t>
            </w:r>
          </w:p>
        </w:tc>
        <w:tc>
          <w:tcPr>
            <w:tcW w:w="904" w:type="dxa"/>
            <w:tcBorders>
              <w:top w:val="nil"/>
              <w:left w:val="nil"/>
              <w:bottom w:val="single" w:sz="4" w:space="0" w:color="auto"/>
              <w:right w:val="single" w:sz="4" w:space="0" w:color="auto"/>
            </w:tcBorders>
            <w:shd w:val="clear" w:color="auto" w:fill="auto"/>
            <w:noWrap/>
            <w:vAlign w:val="bottom"/>
            <w:hideMark/>
          </w:tcPr>
          <w:p w14:paraId="5A49D99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5E2D1B0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03726C4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57.759</w:t>
            </w:r>
          </w:p>
        </w:tc>
        <w:tc>
          <w:tcPr>
            <w:tcW w:w="904" w:type="dxa"/>
            <w:tcBorders>
              <w:top w:val="nil"/>
              <w:left w:val="nil"/>
              <w:bottom w:val="single" w:sz="4" w:space="0" w:color="auto"/>
              <w:right w:val="single" w:sz="4" w:space="0" w:color="auto"/>
            </w:tcBorders>
            <w:shd w:val="clear" w:color="auto" w:fill="auto"/>
            <w:noWrap/>
            <w:vAlign w:val="bottom"/>
            <w:hideMark/>
          </w:tcPr>
          <w:p w14:paraId="57AFC07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0C789B8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9BACEC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FFFB99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347</w:t>
            </w:r>
          </w:p>
        </w:tc>
        <w:tc>
          <w:tcPr>
            <w:tcW w:w="904" w:type="dxa"/>
            <w:tcBorders>
              <w:top w:val="nil"/>
              <w:left w:val="nil"/>
              <w:bottom w:val="single" w:sz="4" w:space="0" w:color="auto"/>
              <w:right w:val="single" w:sz="4" w:space="0" w:color="auto"/>
            </w:tcBorders>
            <w:shd w:val="clear" w:color="auto" w:fill="auto"/>
            <w:noWrap/>
            <w:vAlign w:val="bottom"/>
            <w:hideMark/>
          </w:tcPr>
          <w:p w14:paraId="707EC40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61.192</w:t>
            </w:r>
          </w:p>
        </w:tc>
        <w:tc>
          <w:tcPr>
            <w:tcW w:w="904" w:type="dxa"/>
            <w:tcBorders>
              <w:top w:val="nil"/>
              <w:left w:val="nil"/>
              <w:bottom w:val="single" w:sz="4" w:space="0" w:color="auto"/>
              <w:right w:val="single" w:sz="4" w:space="0" w:color="auto"/>
            </w:tcBorders>
            <w:shd w:val="clear" w:color="auto" w:fill="auto"/>
            <w:noWrap/>
            <w:vAlign w:val="bottom"/>
            <w:hideMark/>
          </w:tcPr>
          <w:p w14:paraId="4A33C81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60.182</w:t>
            </w:r>
          </w:p>
        </w:tc>
        <w:tc>
          <w:tcPr>
            <w:tcW w:w="904" w:type="dxa"/>
            <w:tcBorders>
              <w:top w:val="nil"/>
              <w:left w:val="nil"/>
              <w:bottom w:val="single" w:sz="4" w:space="0" w:color="auto"/>
              <w:right w:val="single" w:sz="4" w:space="0" w:color="auto"/>
            </w:tcBorders>
            <w:shd w:val="clear" w:color="auto" w:fill="auto"/>
            <w:noWrap/>
            <w:vAlign w:val="bottom"/>
            <w:hideMark/>
          </w:tcPr>
          <w:p w14:paraId="3F8F079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6D224C3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7D3EF6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894B05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7B3CE21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969D88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E9C29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348</w:t>
            </w:r>
          </w:p>
        </w:tc>
        <w:tc>
          <w:tcPr>
            <w:tcW w:w="904" w:type="dxa"/>
            <w:tcBorders>
              <w:top w:val="nil"/>
              <w:left w:val="nil"/>
              <w:bottom w:val="single" w:sz="4" w:space="0" w:color="auto"/>
              <w:right w:val="single" w:sz="4" w:space="0" w:color="auto"/>
            </w:tcBorders>
            <w:shd w:val="clear" w:color="auto" w:fill="auto"/>
            <w:noWrap/>
            <w:vAlign w:val="bottom"/>
            <w:hideMark/>
          </w:tcPr>
          <w:p w14:paraId="07EC03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044A0F8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8429AD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1E3AFA0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797BDA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57.663</w:t>
            </w:r>
          </w:p>
        </w:tc>
        <w:tc>
          <w:tcPr>
            <w:tcW w:w="904" w:type="dxa"/>
            <w:tcBorders>
              <w:top w:val="nil"/>
              <w:left w:val="nil"/>
              <w:bottom w:val="single" w:sz="4" w:space="0" w:color="auto"/>
              <w:right w:val="single" w:sz="4" w:space="0" w:color="auto"/>
            </w:tcBorders>
            <w:shd w:val="clear" w:color="auto" w:fill="auto"/>
            <w:noWrap/>
            <w:vAlign w:val="bottom"/>
            <w:hideMark/>
          </w:tcPr>
          <w:p w14:paraId="7353B65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6D86048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D8D17B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CA5D47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349</w:t>
            </w:r>
          </w:p>
        </w:tc>
        <w:tc>
          <w:tcPr>
            <w:tcW w:w="904" w:type="dxa"/>
            <w:tcBorders>
              <w:top w:val="nil"/>
              <w:left w:val="nil"/>
              <w:bottom w:val="single" w:sz="4" w:space="0" w:color="auto"/>
              <w:right w:val="single" w:sz="4" w:space="0" w:color="auto"/>
            </w:tcBorders>
            <w:shd w:val="clear" w:color="auto" w:fill="auto"/>
            <w:noWrap/>
            <w:vAlign w:val="bottom"/>
            <w:hideMark/>
          </w:tcPr>
          <w:p w14:paraId="00D4D65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00306E7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D0A024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640539B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784C5A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57.139</w:t>
            </w:r>
          </w:p>
        </w:tc>
        <w:tc>
          <w:tcPr>
            <w:tcW w:w="904" w:type="dxa"/>
            <w:tcBorders>
              <w:top w:val="nil"/>
              <w:left w:val="nil"/>
              <w:bottom w:val="single" w:sz="4" w:space="0" w:color="auto"/>
              <w:right w:val="single" w:sz="4" w:space="0" w:color="auto"/>
            </w:tcBorders>
            <w:shd w:val="clear" w:color="auto" w:fill="auto"/>
            <w:noWrap/>
            <w:vAlign w:val="bottom"/>
            <w:hideMark/>
          </w:tcPr>
          <w:p w14:paraId="7B9E6D4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07D33B0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E3A1ED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8D4D2C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350</w:t>
            </w:r>
          </w:p>
        </w:tc>
        <w:tc>
          <w:tcPr>
            <w:tcW w:w="904" w:type="dxa"/>
            <w:tcBorders>
              <w:top w:val="nil"/>
              <w:left w:val="nil"/>
              <w:bottom w:val="single" w:sz="4" w:space="0" w:color="auto"/>
              <w:right w:val="single" w:sz="4" w:space="0" w:color="auto"/>
            </w:tcBorders>
            <w:shd w:val="clear" w:color="auto" w:fill="auto"/>
            <w:noWrap/>
            <w:vAlign w:val="bottom"/>
            <w:hideMark/>
          </w:tcPr>
          <w:p w14:paraId="57A7E93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5FAA247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59.204</w:t>
            </w:r>
          </w:p>
        </w:tc>
        <w:tc>
          <w:tcPr>
            <w:tcW w:w="904" w:type="dxa"/>
            <w:tcBorders>
              <w:top w:val="nil"/>
              <w:left w:val="nil"/>
              <w:bottom w:val="single" w:sz="4" w:space="0" w:color="auto"/>
              <w:right w:val="single" w:sz="4" w:space="0" w:color="auto"/>
            </w:tcBorders>
            <w:shd w:val="clear" w:color="auto" w:fill="auto"/>
            <w:noWrap/>
            <w:vAlign w:val="bottom"/>
            <w:hideMark/>
          </w:tcPr>
          <w:p w14:paraId="1D46BCE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57.720</w:t>
            </w:r>
          </w:p>
        </w:tc>
        <w:tc>
          <w:tcPr>
            <w:tcW w:w="904" w:type="dxa"/>
            <w:tcBorders>
              <w:top w:val="nil"/>
              <w:left w:val="nil"/>
              <w:bottom w:val="single" w:sz="4" w:space="0" w:color="auto"/>
              <w:right w:val="single" w:sz="4" w:space="0" w:color="auto"/>
            </w:tcBorders>
            <w:shd w:val="clear" w:color="auto" w:fill="auto"/>
            <w:noWrap/>
            <w:vAlign w:val="bottom"/>
            <w:hideMark/>
          </w:tcPr>
          <w:p w14:paraId="3DC8EC0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0140F7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7CA29EF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55.958</w:t>
            </w:r>
          </w:p>
        </w:tc>
        <w:tc>
          <w:tcPr>
            <w:tcW w:w="1946" w:type="dxa"/>
            <w:tcBorders>
              <w:top w:val="nil"/>
              <w:left w:val="nil"/>
              <w:bottom w:val="nil"/>
              <w:right w:val="nil"/>
            </w:tcBorders>
            <w:shd w:val="clear" w:color="auto" w:fill="auto"/>
            <w:noWrap/>
            <w:vAlign w:val="bottom"/>
            <w:hideMark/>
          </w:tcPr>
          <w:p w14:paraId="05B9A6A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719DDA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6BD17D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351</w:t>
            </w:r>
          </w:p>
        </w:tc>
        <w:tc>
          <w:tcPr>
            <w:tcW w:w="904" w:type="dxa"/>
            <w:tcBorders>
              <w:top w:val="nil"/>
              <w:left w:val="nil"/>
              <w:bottom w:val="single" w:sz="4" w:space="0" w:color="auto"/>
              <w:right w:val="single" w:sz="4" w:space="0" w:color="auto"/>
            </w:tcBorders>
            <w:shd w:val="clear" w:color="auto" w:fill="auto"/>
            <w:noWrap/>
            <w:vAlign w:val="bottom"/>
            <w:hideMark/>
          </w:tcPr>
          <w:p w14:paraId="2F48336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7FE8B4E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57.347</w:t>
            </w:r>
          </w:p>
        </w:tc>
        <w:tc>
          <w:tcPr>
            <w:tcW w:w="904" w:type="dxa"/>
            <w:tcBorders>
              <w:top w:val="nil"/>
              <w:left w:val="nil"/>
              <w:bottom w:val="single" w:sz="4" w:space="0" w:color="auto"/>
              <w:right w:val="single" w:sz="4" w:space="0" w:color="auto"/>
            </w:tcBorders>
            <w:shd w:val="clear" w:color="auto" w:fill="auto"/>
            <w:noWrap/>
            <w:vAlign w:val="bottom"/>
            <w:hideMark/>
          </w:tcPr>
          <w:p w14:paraId="1D7114D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56.022</w:t>
            </w:r>
          </w:p>
        </w:tc>
        <w:tc>
          <w:tcPr>
            <w:tcW w:w="904" w:type="dxa"/>
            <w:tcBorders>
              <w:top w:val="nil"/>
              <w:left w:val="nil"/>
              <w:bottom w:val="single" w:sz="4" w:space="0" w:color="auto"/>
              <w:right w:val="single" w:sz="4" w:space="0" w:color="auto"/>
            </w:tcBorders>
            <w:shd w:val="clear" w:color="auto" w:fill="auto"/>
            <w:noWrap/>
            <w:vAlign w:val="bottom"/>
            <w:hideMark/>
          </w:tcPr>
          <w:p w14:paraId="1639D0A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30762C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0D643AC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55.916</w:t>
            </w:r>
          </w:p>
        </w:tc>
        <w:tc>
          <w:tcPr>
            <w:tcW w:w="1946" w:type="dxa"/>
            <w:tcBorders>
              <w:top w:val="nil"/>
              <w:left w:val="nil"/>
              <w:bottom w:val="nil"/>
              <w:right w:val="nil"/>
            </w:tcBorders>
            <w:shd w:val="clear" w:color="auto" w:fill="auto"/>
            <w:noWrap/>
            <w:vAlign w:val="bottom"/>
            <w:hideMark/>
          </w:tcPr>
          <w:p w14:paraId="5930257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F47861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65A56C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352</w:t>
            </w:r>
          </w:p>
        </w:tc>
        <w:tc>
          <w:tcPr>
            <w:tcW w:w="904" w:type="dxa"/>
            <w:tcBorders>
              <w:top w:val="nil"/>
              <w:left w:val="nil"/>
              <w:bottom w:val="single" w:sz="4" w:space="0" w:color="auto"/>
              <w:right w:val="single" w:sz="4" w:space="0" w:color="auto"/>
            </w:tcBorders>
            <w:shd w:val="clear" w:color="auto" w:fill="auto"/>
            <w:noWrap/>
            <w:vAlign w:val="bottom"/>
            <w:hideMark/>
          </w:tcPr>
          <w:p w14:paraId="72C089E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59.999</w:t>
            </w:r>
          </w:p>
        </w:tc>
        <w:tc>
          <w:tcPr>
            <w:tcW w:w="904" w:type="dxa"/>
            <w:tcBorders>
              <w:top w:val="nil"/>
              <w:left w:val="nil"/>
              <w:bottom w:val="single" w:sz="4" w:space="0" w:color="auto"/>
              <w:right w:val="single" w:sz="4" w:space="0" w:color="auto"/>
            </w:tcBorders>
            <w:shd w:val="clear" w:color="auto" w:fill="auto"/>
            <w:noWrap/>
            <w:vAlign w:val="bottom"/>
            <w:hideMark/>
          </w:tcPr>
          <w:p w14:paraId="5F76584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A265A9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0C6F0E4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B8494F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852836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55.229</w:t>
            </w:r>
          </w:p>
        </w:tc>
        <w:tc>
          <w:tcPr>
            <w:tcW w:w="1946" w:type="dxa"/>
            <w:tcBorders>
              <w:top w:val="nil"/>
              <w:left w:val="nil"/>
              <w:bottom w:val="nil"/>
              <w:right w:val="nil"/>
            </w:tcBorders>
            <w:shd w:val="clear" w:color="auto" w:fill="auto"/>
            <w:noWrap/>
            <w:vAlign w:val="bottom"/>
            <w:hideMark/>
          </w:tcPr>
          <w:p w14:paraId="20887D9C"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4A30CC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5EEFD1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353</w:t>
            </w:r>
          </w:p>
        </w:tc>
        <w:tc>
          <w:tcPr>
            <w:tcW w:w="904" w:type="dxa"/>
            <w:tcBorders>
              <w:top w:val="nil"/>
              <w:left w:val="nil"/>
              <w:bottom w:val="single" w:sz="4" w:space="0" w:color="auto"/>
              <w:right w:val="single" w:sz="4" w:space="0" w:color="auto"/>
            </w:tcBorders>
            <w:shd w:val="clear" w:color="auto" w:fill="auto"/>
            <w:noWrap/>
            <w:vAlign w:val="bottom"/>
            <w:hideMark/>
          </w:tcPr>
          <w:p w14:paraId="1C7016B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58.076</w:t>
            </w:r>
          </w:p>
        </w:tc>
        <w:tc>
          <w:tcPr>
            <w:tcW w:w="904" w:type="dxa"/>
            <w:tcBorders>
              <w:top w:val="nil"/>
              <w:left w:val="nil"/>
              <w:bottom w:val="single" w:sz="4" w:space="0" w:color="auto"/>
              <w:right w:val="single" w:sz="4" w:space="0" w:color="auto"/>
            </w:tcBorders>
            <w:shd w:val="clear" w:color="auto" w:fill="auto"/>
            <w:noWrap/>
            <w:vAlign w:val="bottom"/>
            <w:hideMark/>
          </w:tcPr>
          <w:p w14:paraId="1323A57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98FE1A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7FCFD30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2E0735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7B58D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54.404</w:t>
            </w:r>
          </w:p>
        </w:tc>
        <w:tc>
          <w:tcPr>
            <w:tcW w:w="1946" w:type="dxa"/>
            <w:tcBorders>
              <w:top w:val="nil"/>
              <w:left w:val="nil"/>
              <w:bottom w:val="nil"/>
              <w:right w:val="nil"/>
            </w:tcBorders>
            <w:shd w:val="clear" w:color="auto" w:fill="auto"/>
            <w:noWrap/>
            <w:vAlign w:val="bottom"/>
            <w:hideMark/>
          </w:tcPr>
          <w:p w14:paraId="6AFD5B4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4938CC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E2F113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354</w:t>
            </w:r>
          </w:p>
        </w:tc>
        <w:tc>
          <w:tcPr>
            <w:tcW w:w="904" w:type="dxa"/>
            <w:tcBorders>
              <w:top w:val="nil"/>
              <w:left w:val="nil"/>
              <w:bottom w:val="single" w:sz="4" w:space="0" w:color="auto"/>
              <w:right w:val="single" w:sz="4" w:space="0" w:color="auto"/>
            </w:tcBorders>
            <w:shd w:val="clear" w:color="auto" w:fill="auto"/>
            <w:noWrap/>
            <w:vAlign w:val="bottom"/>
            <w:hideMark/>
          </w:tcPr>
          <w:p w14:paraId="7EB4C87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87B7AB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42061B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5951F7E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8A0693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7CF1D02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52.546</w:t>
            </w:r>
          </w:p>
        </w:tc>
        <w:tc>
          <w:tcPr>
            <w:tcW w:w="1946" w:type="dxa"/>
            <w:tcBorders>
              <w:top w:val="nil"/>
              <w:left w:val="nil"/>
              <w:bottom w:val="nil"/>
              <w:right w:val="nil"/>
            </w:tcBorders>
            <w:shd w:val="clear" w:color="auto" w:fill="auto"/>
            <w:noWrap/>
            <w:vAlign w:val="bottom"/>
            <w:hideMark/>
          </w:tcPr>
          <w:p w14:paraId="63CA57B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5A5117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B8D6A5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355</w:t>
            </w:r>
          </w:p>
        </w:tc>
        <w:tc>
          <w:tcPr>
            <w:tcW w:w="904" w:type="dxa"/>
            <w:tcBorders>
              <w:top w:val="nil"/>
              <w:left w:val="nil"/>
              <w:bottom w:val="single" w:sz="4" w:space="0" w:color="auto"/>
              <w:right w:val="single" w:sz="4" w:space="0" w:color="auto"/>
            </w:tcBorders>
            <w:shd w:val="clear" w:color="auto" w:fill="auto"/>
            <w:noWrap/>
            <w:vAlign w:val="bottom"/>
            <w:hideMark/>
          </w:tcPr>
          <w:p w14:paraId="4B356B9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B6D4D7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56.986</w:t>
            </w:r>
          </w:p>
        </w:tc>
        <w:tc>
          <w:tcPr>
            <w:tcW w:w="904" w:type="dxa"/>
            <w:tcBorders>
              <w:top w:val="nil"/>
              <w:left w:val="nil"/>
              <w:bottom w:val="single" w:sz="4" w:space="0" w:color="auto"/>
              <w:right w:val="single" w:sz="4" w:space="0" w:color="auto"/>
            </w:tcBorders>
            <w:shd w:val="clear" w:color="auto" w:fill="auto"/>
            <w:noWrap/>
            <w:vAlign w:val="bottom"/>
            <w:hideMark/>
          </w:tcPr>
          <w:p w14:paraId="0B42486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08E0F77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59.999</w:t>
            </w:r>
          </w:p>
        </w:tc>
        <w:tc>
          <w:tcPr>
            <w:tcW w:w="904" w:type="dxa"/>
            <w:tcBorders>
              <w:top w:val="nil"/>
              <w:left w:val="nil"/>
              <w:bottom w:val="single" w:sz="4" w:space="0" w:color="auto"/>
              <w:right w:val="single" w:sz="4" w:space="0" w:color="auto"/>
            </w:tcBorders>
            <w:shd w:val="clear" w:color="auto" w:fill="auto"/>
            <w:noWrap/>
            <w:vAlign w:val="bottom"/>
            <w:hideMark/>
          </w:tcPr>
          <w:p w14:paraId="3981FB0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A8805D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1946" w:type="dxa"/>
            <w:tcBorders>
              <w:top w:val="nil"/>
              <w:left w:val="nil"/>
              <w:bottom w:val="nil"/>
              <w:right w:val="nil"/>
            </w:tcBorders>
            <w:shd w:val="clear" w:color="auto" w:fill="auto"/>
            <w:noWrap/>
            <w:vAlign w:val="bottom"/>
            <w:hideMark/>
          </w:tcPr>
          <w:p w14:paraId="5F561D0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8C7D2B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89B5C8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356</w:t>
            </w:r>
          </w:p>
        </w:tc>
        <w:tc>
          <w:tcPr>
            <w:tcW w:w="904" w:type="dxa"/>
            <w:tcBorders>
              <w:top w:val="nil"/>
              <w:left w:val="nil"/>
              <w:bottom w:val="single" w:sz="4" w:space="0" w:color="auto"/>
              <w:right w:val="single" w:sz="4" w:space="0" w:color="auto"/>
            </w:tcBorders>
            <w:shd w:val="clear" w:color="auto" w:fill="auto"/>
            <w:noWrap/>
            <w:vAlign w:val="bottom"/>
            <w:hideMark/>
          </w:tcPr>
          <w:p w14:paraId="6B3A0C5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CF79F1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55.414</w:t>
            </w:r>
          </w:p>
        </w:tc>
        <w:tc>
          <w:tcPr>
            <w:tcW w:w="904" w:type="dxa"/>
            <w:tcBorders>
              <w:top w:val="nil"/>
              <w:left w:val="nil"/>
              <w:bottom w:val="single" w:sz="4" w:space="0" w:color="auto"/>
              <w:right w:val="single" w:sz="4" w:space="0" w:color="auto"/>
            </w:tcBorders>
            <w:shd w:val="clear" w:color="auto" w:fill="auto"/>
            <w:noWrap/>
            <w:vAlign w:val="bottom"/>
            <w:hideMark/>
          </w:tcPr>
          <w:p w14:paraId="329F5EE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709393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59.200</w:t>
            </w:r>
          </w:p>
        </w:tc>
        <w:tc>
          <w:tcPr>
            <w:tcW w:w="904" w:type="dxa"/>
            <w:tcBorders>
              <w:top w:val="nil"/>
              <w:left w:val="nil"/>
              <w:bottom w:val="single" w:sz="4" w:space="0" w:color="auto"/>
              <w:right w:val="single" w:sz="4" w:space="0" w:color="auto"/>
            </w:tcBorders>
            <w:shd w:val="clear" w:color="auto" w:fill="auto"/>
            <w:noWrap/>
            <w:vAlign w:val="bottom"/>
            <w:hideMark/>
          </w:tcPr>
          <w:p w14:paraId="27E580C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56.718</w:t>
            </w:r>
          </w:p>
        </w:tc>
        <w:tc>
          <w:tcPr>
            <w:tcW w:w="904" w:type="dxa"/>
            <w:tcBorders>
              <w:top w:val="nil"/>
              <w:left w:val="nil"/>
              <w:bottom w:val="single" w:sz="4" w:space="0" w:color="auto"/>
              <w:right w:val="single" w:sz="4" w:space="0" w:color="auto"/>
            </w:tcBorders>
            <w:shd w:val="clear" w:color="auto" w:fill="auto"/>
            <w:noWrap/>
            <w:vAlign w:val="bottom"/>
            <w:hideMark/>
          </w:tcPr>
          <w:p w14:paraId="2A8AEF5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52.000</w:t>
            </w:r>
          </w:p>
        </w:tc>
        <w:tc>
          <w:tcPr>
            <w:tcW w:w="1946" w:type="dxa"/>
            <w:tcBorders>
              <w:top w:val="nil"/>
              <w:left w:val="nil"/>
              <w:bottom w:val="nil"/>
              <w:right w:val="nil"/>
            </w:tcBorders>
            <w:shd w:val="clear" w:color="auto" w:fill="auto"/>
            <w:noWrap/>
            <w:vAlign w:val="bottom"/>
            <w:hideMark/>
          </w:tcPr>
          <w:p w14:paraId="2F0BF52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BE39F1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4ECC87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357</w:t>
            </w:r>
          </w:p>
        </w:tc>
        <w:tc>
          <w:tcPr>
            <w:tcW w:w="904" w:type="dxa"/>
            <w:tcBorders>
              <w:top w:val="nil"/>
              <w:left w:val="nil"/>
              <w:bottom w:val="single" w:sz="4" w:space="0" w:color="auto"/>
              <w:right w:val="single" w:sz="4" w:space="0" w:color="auto"/>
            </w:tcBorders>
            <w:shd w:val="clear" w:color="auto" w:fill="auto"/>
            <w:noWrap/>
            <w:vAlign w:val="bottom"/>
            <w:hideMark/>
          </w:tcPr>
          <w:p w14:paraId="2AD390C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57.949</w:t>
            </w:r>
          </w:p>
        </w:tc>
        <w:tc>
          <w:tcPr>
            <w:tcW w:w="904" w:type="dxa"/>
            <w:tcBorders>
              <w:top w:val="nil"/>
              <w:left w:val="nil"/>
              <w:bottom w:val="single" w:sz="4" w:space="0" w:color="auto"/>
              <w:right w:val="single" w:sz="4" w:space="0" w:color="auto"/>
            </w:tcBorders>
            <w:shd w:val="clear" w:color="auto" w:fill="auto"/>
            <w:noWrap/>
            <w:vAlign w:val="bottom"/>
            <w:hideMark/>
          </w:tcPr>
          <w:p w14:paraId="11657BA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7D44B3D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FB33B1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9EE6CA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3ACBC6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52.053</w:t>
            </w:r>
          </w:p>
        </w:tc>
        <w:tc>
          <w:tcPr>
            <w:tcW w:w="1946" w:type="dxa"/>
            <w:tcBorders>
              <w:top w:val="nil"/>
              <w:left w:val="nil"/>
              <w:bottom w:val="nil"/>
              <w:right w:val="nil"/>
            </w:tcBorders>
            <w:shd w:val="clear" w:color="auto" w:fill="auto"/>
            <w:noWrap/>
            <w:vAlign w:val="bottom"/>
            <w:hideMark/>
          </w:tcPr>
          <w:p w14:paraId="3685F3B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C9D555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65A95C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358</w:t>
            </w:r>
          </w:p>
        </w:tc>
        <w:tc>
          <w:tcPr>
            <w:tcW w:w="904" w:type="dxa"/>
            <w:tcBorders>
              <w:top w:val="nil"/>
              <w:left w:val="nil"/>
              <w:bottom w:val="single" w:sz="4" w:space="0" w:color="auto"/>
              <w:right w:val="single" w:sz="4" w:space="0" w:color="auto"/>
            </w:tcBorders>
            <w:shd w:val="clear" w:color="auto" w:fill="auto"/>
            <w:noWrap/>
            <w:vAlign w:val="bottom"/>
            <w:hideMark/>
          </w:tcPr>
          <w:p w14:paraId="0C32145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57.931</w:t>
            </w:r>
          </w:p>
        </w:tc>
        <w:tc>
          <w:tcPr>
            <w:tcW w:w="904" w:type="dxa"/>
            <w:tcBorders>
              <w:top w:val="nil"/>
              <w:left w:val="nil"/>
              <w:bottom w:val="single" w:sz="4" w:space="0" w:color="auto"/>
              <w:right w:val="single" w:sz="4" w:space="0" w:color="auto"/>
            </w:tcBorders>
            <w:shd w:val="clear" w:color="auto" w:fill="auto"/>
            <w:noWrap/>
            <w:vAlign w:val="bottom"/>
            <w:hideMark/>
          </w:tcPr>
          <w:p w14:paraId="78434E6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4923CED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7DC2C6A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44CBA0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7E88AC9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52.577</w:t>
            </w:r>
          </w:p>
        </w:tc>
        <w:tc>
          <w:tcPr>
            <w:tcW w:w="1946" w:type="dxa"/>
            <w:tcBorders>
              <w:top w:val="nil"/>
              <w:left w:val="nil"/>
              <w:bottom w:val="nil"/>
              <w:right w:val="nil"/>
            </w:tcBorders>
            <w:shd w:val="clear" w:color="auto" w:fill="auto"/>
            <w:noWrap/>
            <w:vAlign w:val="bottom"/>
            <w:hideMark/>
          </w:tcPr>
          <w:p w14:paraId="5C51790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9FD320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AE0BDB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359</w:t>
            </w:r>
          </w:p>
        </w:tc>
        <w:tc>
          <w:tcPr>
            <w:tcW w:w="904" w:type="dxa"/>
            <w:tcBorders>
              <w:top w:val="nil"/>
              <w:left w:val="nil"/>
              <w:bottom w:val="single" w:sz="4" w:space="0" w:color="auto"/>
              <w:right w:val="single" w:sz="4" w:space="0" w:color="auto"/>
            </w:tcBorders>
            <w:shd w:val="clear" w:color="auto" w:fill="auto"/>
            <w:noWrap/>
            <w:vAlign w:val="bottom"/>
            <w:hideMark/>
          </w:tcPr>
          <w:p w14:paraId="1ADB8CD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57.973</w:t>
            </w:r>
          </w:p>
        </w:tc>
        <w:tc>
          <w:tcPr>
            <w:tcW w:w="904" w:type="dxa"/>
            <w:tcBorders>
              <w:top w:val="nil"/>
              <w:left w:val="nil"/>
              <w:bottom w:val="single" w:sz="4" w:space="0" w:color="auto"/>
              <w:right w:val="single" w:sz="4" w:space="0" w:color="auto"/>
            </w:tcBorders>
            <w:shd w:val="clear" w:color="auto" w:fill="auto"/>
            <w:noWrap/>
            <w:vAlign w:val="bottom"/>
            <w:hideMark/>
          </w:tcPr>
          <w:p w14:paraId="73B61E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2CC4544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55.779</w:t>
            </w:r>
          </w:p>
        </w:tc>
        <w:tc>
          <w:tcPr>
            <w:tcW w:w="904" w:type="dxa"/>
            <w:tcBorders>
              <w:top w:val="nil"/>
              <w:left w:val="nil"/>
              <w:bottom w:val="single" w:sz="4" w:space="0" w:color="auto"/>
              <w:right w:val="single" w:sz="4" w:space="0" w:color="auto"/>
            </w:tcBorders>
            <w:shd w:val="clear" w:color="auto" w:fill="auto"/>
            <w:noWrap/>
            <w:vAlign w:val="bottom"/>
            <w:hideMark/>
          </w:tcPr>
          <w:p w14:paraId="02E2EC5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690607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7BD1F0A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1946" w:type="dxa"/>
            <w:tcBorders>
              <w:top w:val="nil"/>
              <w:left w:val="nil"/>
              <w:bottom w:val="nil"/>
              <w:right w:val="nil"/>
            </w:tcBorders>
            <w:shd w:val="clear" w:color="auto" w:fill="auto"/>
            <w:noWrap/>
            <w:vAlign w:val="bottom"/>
            <w:hideMark/>
          </w:tcPr>
          <w:p w14:paraId="400925D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546536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174DB4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360</w:t>
            </w:r>
          </w:p>
        </w:tc>
        <w:tc>
          <w:tcPr>
            <w:tcW w:w="904" w:type="dxa"/>
            <w:tcBorders>
              <w:top w:val="nil"/>
              <w:left w:val="nil"/>
              <w:bottom w:val="single" w:sz="4" w:space="0" w:color="auto"/>
              <w:right w:val="single" w:sz="4" w:space="0" w:color="auto"/>
            </w:tcBorders>
            <w:shd w:val="clear" w:color="auto" w:fill="auto"/>
            <w:noWrap/>
            <w:vAlign w:val="bottom"/>
            <w:hideMark/>
          </w:tcPr>
          <w:p w14:paraId="3B0C4CF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61F17F5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08AEFDC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53.469</w:t>
            </w:r>
          </w:p>
        </w:tc>
        <w:tc>
          <w:tcPr>
            <w:tcW w:w="904" w:type="dxa"/>
            <w:tcBorders>
              <w:top w:val="nil"/>
              <w:left w:val="nil"/>
              <w:bottom w:val="single" w:sz="4" w:space="0" w:color="auto"/>
              <w:right w:val="single" w:sz="4" w:space="0" w:color="auto"/>
            </w:tcBorders>
            <w:shd w:val="clear" w:color="auto" w:fill="auto"/>
            <w:noWrap/>
            <w:vAlign w:val="bottom"/>
            <w:hideMark/>
          </w:tcPr>
          <w:p w14:paraId="3C49A41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7028CB1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6803144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1946" w:type="dxa"/>
            <w:tcBorders>
              <w:top w:val="nil"/>
              <w:left w:val="nil"/>
              <w:bottom w:val="nil"/>
              <w:right w:val="nil"/>
            </w:tcBorders>
            <w:shd w:val="clear" w:color="auto" w:fill="auto"/>
            <w:noWrap/>
            <w:vAlign w:val="bottom"/>
            <w:hideMark/>
          </w:tcPr>
          <w:p w14:paraId="592ED8F7"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C34501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5FA377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361</w:t>
            </w:r>
          </w:p>
        </w:tc>
        <w:tc>
          <w:tcPr>
            <w:tcW w:w="904" w:type="dxa"/>
            <w:tcBorders>
              <w:top w:val="nil"/>
              <w:left w:val="nil"/>
              <w:bottom w:val="single" w:sz="4" w:space="0" w:color="auto"/>
              <w:right w:val="single" w:sz="4" w:space="0" w:color="auto"/>
            </w:tcBorders>
            <w:shd w:val="clear" w:color="auto" w:fill="auto"/>
            <w:noWrap/>
            <w:vAlign w:val="bottom"/>
            <w:hideMark/>
          </w:tcPr>
          <w:p w14:paraId="0B2E87C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31AC17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047BED1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2143211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759166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1FBCEC8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54.188</w:t>
            </w:r>
          </w:p>
        </w:tc>
        <w:tc>
          <w:tcPr>
            <w:tcW w:w="1946" w:type="dxa"/>
            <w:tcBorders>
              <w:top w:val="nil"/>
              <w:left w:val="nil"/>
              <w:bottom w:val="nil"/>
              <w:right w:val="nil"/>
            </w:tcBorders>
            <w:shd w:val="clear" w:color="auto" w:fill="auto"/>
            <w:noWrap/>
            <w:vAlign w:val="bottom"/>
            <w:hideMark/>
          </w:tcPr>
          <w:p w14:paraId="2DCA7D4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845E3A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DF1CA5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362</w:t>
            </w:r>
          </w:p>
        </w:tc>
        <w:tc>
          <w:tcPr>
            <w:tcW w:w="904" w:type="dxa"/>
            <w:tcBorders>
              <w:top w:val="nil"/>
              <w:left w:val="nil"/>
              <w:bottom w:val="single" w:sz="4" w:space="0" w:color="auto"/>
              <w:right w:val="single" w:sz="4" w:space="0" w:color="auto"/>
            </w:tcBorders>
            <w:shd w:val="clear" w:color="auto" w:fill="auto"/>
            <w:noWrap/>
            <w:vAlign w:val="bottom"/>
            <w:hideMark/>
          </w:tcPr>
          <w:p w14:paraId="0FEC3DB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508E56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7155A2A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7D4D621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1CB8F79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7EFEBFE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55.767</w:t>
            </w:r>
          </w:p>
        </w:tc>
        <w:tc>
          <w:tcPr>
            <w:tcW w:w="1946" w:type="dxa"/>
            <w:tcBorders>
              <w:top w:val="nil"/>
              <w:left w:val="nil"/>
              <w:bottom w:val="nil"/>
              <w:right w:val="nil"/>
            </w:tcBorders>
            <w:shd w:val="clear" w:color="auto" w:fill="auto"/>
            <w:noWrap/>
            <w:vAlign w:val="bottom"/>
            <w:hideMark/>
          </w:tcPr>
          <w:p w14:paraId="0E150AA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AD715D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C3B991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363</w:t>
            </w:r>
          </w:p>
        </w:tc>
        <w:tc>
          <w:tcPr>
            <w:tcW w:w="904" w:type="dxa"/>
            <w:tcBorders>
              <w:top w:val="nil"/>
              <w:left w:val="nil"/>
              <w:bottom w:val="single" w:sz="4" w:space="0" w:color="auto"/>
              <w:right w:val="single" w:sz="4" w:space="0" w:color="auto"/>
            </w:tcBorders>
            <w:shd w:val="clear" w:color="auto" w:fill="auto"/>
            <w:noWrap/>
            <w:vAlign w:val="bottom"/>
            <w:hideMark/>
          </w:tcPr>
          <w:p w14:paraId="656C16B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EB12A4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54.589</w:t>
            </w:r>
          </w:p>
        </w:tc>
        <w:tc>
          <w:tcPr>
            <w:tcW w:w="904" w:type="dxa"/>
            <w:tcBorders>
              <w:top w:val="nil"/>
              <w:left w:val="nil"/>
              <w:bottom w:val="single" w:sz="4" w:space="0" w:color="auto"/>
              <w:right w:val="single" w:sz="4" w:space="0" w:color="auto"/>
            </w:tcBorders>
            <w:shd w:val="clear" w:color="auto" w:fill="auto"/>
            <w:noWrap/>
            <w:vAlign w:val="bottom"/>
            <w:hideMark/>
          </w:tcPr>
          <w:p w14:paraId="6DAFA28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05FC2DC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674FF7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54.589</w:t>
            </w:r>
          </w:p>
        </w:tc>
        <w:tc>
          <w:tcPr>
            <w:tcW w:w="904" w:type="dxa"/>
            <w:tcBorders>
              <w:top w:val="nil"/>
              <w:left w:val="nil"/>
              <w:bottom w:val="single" w:sz="4" w:space="0" w:color="auto"/>
              <w:right w:val="single" w:sz="4" w:space="0" w:color="auto"/>
            </w:tcBorders>
            <w:shd w:val="clear" w:color="auto" w:fill="auto"/>
            <w:noWrap/>
            <w:vAlign w:val="bottom"/>
            <w:hideMark/>
          </w:tcPr>
          <w:p w14:paraId="417844D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3DF63EE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CC15902"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86E3D6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364</w:t>
            </w:r>
          </w:p>
        </w:tc>
        <w:tc>
          <w:tcPr>
            <w:tcW w:w="904" w:type="dxa"/>
            <w:tcBorders>
              <w:top w:val="nil"/>
              <w:left w:val="nil"/>
              <w:bottom w:val="single" w:sz="4" w:space="0" w:color="auto"/>
              <w:right w:val="single" w:sz="4" w:space="0" w:color="auto"/>
            </w:tcBorders>
            <w:shd w:val="clear" w:color="auto" w:fill="auto"/>
            <w:noWrap/>
            <w:vAlign w:val="bottom"/>
            <w:hideMark/>
          </w:tcPr>
          <w:p w14:paraId="5836D09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9ED1CD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56.161</w:t>
            </w:r>
          </w:p>
        </w:tc>
        <w:tc>
          <w:tcPr>
            <w:tcW w:w="904" w:type="dxa"/>
            <w:tcBorders>
              <w:top w:val="nil"/>
              <w:left w:val="nil"/>
              <w:bottom w:val="single" w:sz="4" w:space="0" w:color="auto"/>
              <w:right w:val="single" w:sz="4" w:space="0" w:color="auto"/>
            </w:tcBorders>
            <w:shd w:val="clear" w:color="auto" w:fill="auto"/>
            <w:noWrap/>
            <w:vAlign w:val="bottom"/>
            <w:hideMark/>
          </w:tcPr>
          <w:p w14:paraId="2877C10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1535762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F03522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56.161</w:t>
            </w:r>
          </w:p>
        </w:tc>
        <w:tc>
          <w:tcPr>
            <w:tcW w:w="904" w:type="dxa"/>
            <w:tcBorders>
              <w:top w:val="nil"/>
              <w:left w:val="nil"/>
              <w:bottom w:val="single" w:sz="4" w:space="0" w:color="auto"/>
              <w:right w:val="single" w:sz="4" w:space="0" w:color="auto"/>
            </w:tcBorders>
            <w:shd w:val="clear" w:color="auto" w:fill="auto"/>
            <w:noWrap/>
            <w:vAlign w:val="bottom"/>
            <w:hideMark/>
          </w:tcPr>
          <w:p w14:paraId="7D733F5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4950D327"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BF5FAA7"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080736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365</w:t>
            </w:r>
          </w:p>
        </w:tc>
        <w:tc>
          <w:tcPr>
            <w:tcW w:w="904" w:type="dxa"/>
            <w:tcBorders>
              <w:top w:val="nil"/>
              <w:left w:val="nil"/>
              <w:bottom w:val="single" w:sz="4" w:space="0" w:color="auto"/>
              <w:right w:val="single" w:sz="4" w:space="0" w:color="auto"/>
            </w:tcBorders>
            <w:shd w:val="clear" w:color="auto" w:fill="auto"/>
            <w:noWrap/>
            <w:vAlign w:val="bottom"/>
            <w:hideMark/>
          </w:tcPr>
          <w:p w14:paraId="3AD7E97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82388A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63DC75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1B14D3D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0910597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57.617</w:t>
            </w:r>
          </w:p>
        </w:tc>
        <w:tc>
          <w:tcPr>
            <w:tcW w:w="904" w:type="dxa"/>
            <w:tcBorders>
              <w:top w:val="nil"/>
              <w:left w:val="nil"/>
              <w:bottom w:val="single" w:sz="4" w:space="0" w:color="auto"/>
              <w:right w:val="single" w:sz="4" w:space="0" w:color="auto"/>
            </w:tcBorders>
            <w:shd w:val="clear" w:color="auto" w:fill="auto"/>
            <w:noWrap/>
            <w:vAlign w:val="bottom"/>
            <w:hideMark/>
          </w:tcPr>
          <w:p w14:paraId="5344189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766F6EA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47B4F5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69DB2C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366</w:t>
            </w:r>
          </w:p>
        </w:tc>
        <w:tc>
          <w:tcPr>
            <w:tcW w:w="904" w:type="dxa"/>
            <w:tcBorders>
              <w:top w:val="nil"/>
              <w:left w:val="nil"/>
              <w:bottom w:val="single" w:sz="4" w:space="0" w:color="auto"/>
              <w:right w:val="single" w:sz="4" w:space="0" w:color="auto"/>
            </w:tcBorders>
            <w:shd w:val="clear" w:color="auto" w:fill="auto"/>
            <w:noWrap/>
            <w:vAlign w:val="bottom"/>
            <w:hideMark/>
          </w:tcPr>
          <w:p w14:paraId="3AE1766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687568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10E88F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54.599</w:t>
            </w:r>
          </w:p>
        </w:tc>
        <w:tc>
          <w:tcPr>
            <w:tcW w:w="904" w:type="dxa"/>
            <w:tcBorders>
              <w:top w:val="nil"/>
              <w:left w:val="nil"/>
              <w:bottom w:val="single" w:sz="4" w:space="0" w:color="auto"/>
              <w:right w:val="single" w:sz="4" w:space="0" w:color="auto"/>
            </w:tcBorders>
            <w:shd w:val="clear" w:color="auto" w:fill="auto"/>
            <w:noWrap/>
            <w:vAlign w:val="bottom"/>
            <w:hideMark/>
          </w:tcPr>
          <w:p w14:paraId="65A8B64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1466BAF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59.787</w:t>
            </w:r>
          </w:p>
        </w:tc>
        <w:tc>
          <w:tcPr>
            <w:tcW w:w="904" w:type="dxa"/>
            <w:tcBorders>
              <w:top w:val="nil"/>
              <w:left w:val="nil"/>
              <w:bottom w:val="single" w:sz="4" w:space="0" w:color="auto"/>
              <w:right w:val="single" w:sz="4" w:space="0" w:color="auto"/>
            </w:tcBorders>
            <w:shd w:val="clear" w:color="auto" w:fill="auto"/>
            <w:noWrap/>
            <w:vAlign w:val="bottom"/>
            <w:hideMark/>
          </w:tcPr>
          <w:p w14:paraId="4420178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1E34A3C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8EC2A2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9A0E00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367</w:t>
            </w:r>
          </w:p>
        </w:tc>
        <w:tc>
          <w:tcPr>
            <w:tcW w:w="904" w:type="dxa"/>
            <w:tcBorders>
              <w:top w:val="nil"/>
              <w:left w:val="nil"/>
              <w:bottom w:val="single" w:sz="4" w:space="0" w:color="auto"/>
              <w:right w:val="single" w:sz="4" w:space="0" w:color="auto"/>
            </w:tcBorders>
            <w:shd w:val="clear" w:color="auto" w:fill="auto"/>
            <w:noWrap/>
            <w:vAlign w:val="bottom"/>
            <w:hideMark/>
          </w:tcPr>
          <w:p w14:paraId="5BC04C2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58.864</w:t>
            </w:r>
          </w:p>
        </w:tc>
        <w:tc>
          <w:tcPr>
            <w:tcW w:w="904" w:type="dxa"/>
            <w:tcBorders>
              <w:top w:val="nil"/>
              <w:left w:val="nil"/>
              <w:bottom w:val="single" w:sz="4" w:space="0" w:color="auto"/>
              <w:right w:val="single" w:sz="4" w:space="0" w:color="auto"/>
            </w:tcBorders>
            <w:shd w:val="clear" w:color="auto" w:fill="auto"/>
            <w:noWrap/>
            <w:vAlign w:val="bottom"/>
            <w:hideMark/>
          </w:tcPr>
          <w:p w14:paraId="7B376B6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182067C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E3AD00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14C85D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60.159</w:t>
            </w:r>
          </w:p>
        </w:tc>
        <w:tc>
          <w:tcPr>
            <w:tcW w:w="904" w:type="dxa"/>
            <w:tcBorders>
              <w:top w:val="nil"/>
              <w:left w:val="nil"/>
              <w:bottom w:val="single" w:sz="4" w:space="0" w:color="auto"/>
              <w:right w:val="single" w:sz="4" w:space="0" w:color="auto"/>
            </w:tcBorders>
            <w:shd w:val="clear" w:color="auto" w:fill="auto"/>
            <w:noWrap/>
            <w:vAlign w:val="bottom"/>
            <w:hideMark/>
          </w:tcPr>
          <w:p w14:paraId="0FB7AAB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141D73B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88EC44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7195C9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368</w:t>
            </w:r>
          </w:p>
        </w:tc>
        <w:tc>
          <w:tcPr>
            <w:tcW w:w="904" w:type="dxa"/>
            <w:tcBorders>
              <w:top w:val="nil"/>
              <w:left w:val="nil"/>
              <w:bottom w:val="single" w:sz="4" w:space="0" w:color="auto"/>
              <w:right w:val="single" w:sz="4" w:space="0" w:color="auto"/>
            </w:tcBorders>
            <w:shd w:val="clear" w:color="auto" w:fill="auto"/>
            <w:noWrap/>
            <w:vAlign w:val="bottom"/>
            <w:hideMark/>
          </w:tcPr>
          <w:p w14:paraId="130167C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60.778</w:t>
            </w:r>
          </w:p>
        </w:tc>
        <w:tc>
          <w:tcPr>
            <w:tcW w:w="904" w:type="dxa"/>
            <w:tcBorders>
              <w:top w:val="nil"/>
              <w:left w:val="nil"/>
              <w:bottom w:val="single" w:sz="4" w:space="0" w:color="auto"/>
              <w:right w:val="single" w:sz="4" w:space="0" w:color="auto"/>
            </w:tcBorders>
            <w:shd w:val="clear" w:color="auto" w:fill="auto"/>
            <w:noWrap/>
            <w:vAlign w:val="bottom"/>
            <w:hideMark/>
          </w:tcPr>
          <w:p w14:paraId="37F6A76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0C8165D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5B2D159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BA220F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61.464</w:t>
            </w:r>
          </w:p>
        </w:tc>
        <w:tc>
          <w:tcPr>
            <w:tcW w:w="904" w:type="dxa"/>
            <w:tcBorders>
              <w:top w:val="nil"/>
              <w:left w:val="nil"/>
              <w:bottom w:val="single" w:sz="4" w:space="0" w:color="auto"/>
              <w:right w:val="single" w:sz="4" w:space="0" w:color="auto"/>
            </w:tcBorders>
            <w:shd w:val="clear" w:color="auto" w:fill="auto"/>
            <w:noWrap/>
            <w:vAlign w:val="bottom"/>
            <w:hideMark/>
          </w:tcPr>
          <w:p w14:paraId="45D6844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56.648</w:t>
            </w:r>
          </w:p>
        </w:tc>
        <w:tc>
          <w:tcPr>
            <w:tcW w:w="1946" w:type="dxa"/>
            <w:tcBorders>
              <w:top w:val="nil"/>
              <w:left w:val="nil"/>
              <w:bottom w:val="nil"/>
              <w:right w:val="nil"/>
            </w:tcBorders>
            <w:shd w:val="clear" w:color="auto" w:fill="auto"/>
            <w:noWrap/>
            <w:vAlign w:val="bottom"/>
            <w:hideMark/>
          </w:tcPr>
          <w:p w14:paraId="519DA9F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61920E7"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80C6CD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369</w:t>
            </w:r>
          </w:p>
        </w:tc>
        <w:tc>
          <w:tcPr>
            <w:tcW w:w="904" w:type="dxa"/>
            <w:tcBorders>
              <w:top w:val="nil"/>
              <w:left w:val="nil"/>
              <w:bottom w:val="single" w:sz="4" w:space="0" w:color="auto"/>
              <w:right w:val="single" w:sz="4" w:space="0" w:color="auto"/>
            </w:tcBorders>
            <w:shd w:val="clear" w:color="auto" w:fill="auto"/>
            <w:noWrap/>
            <w:vAlign w:val="bottom"/>
            <w:hideMark/>
          </w:tcPr>
          <w:p w14:paraId="5FB89C3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484EE77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1611A9A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3EA5353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2F773D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4A24F34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58.504</w:t>
            </w:r>
          </w:p>
        </w:tc>
        <w:tc>
          <w:tcPr>
            <w:tcW w:w="1946" w:type="dxa"/>
            <w:tcBorders>
              <w:top w:val="nil"/>
              <w:left w:val="nil"/>
              <w:bottom w:val="nil"/>
              <w:right w:val="nil"/>
            </w:tcBorders>
            <w:shd w:val="clear" w:color="auto" w:fill="auto"/>
            <w:noWrap/>
            <w:vAlign w:val="bottom"/>
            <w:hideMark/>
          </w:tcPr>
          <w:p w14:paraId="0695A64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EBFA7F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D10045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370</w:t>
            </w:r>
          </w:p>
        </w:tc>
        <w:tc>
          <w:tcPr>
            <w:tcW w:w="904" w:type="dxa"/>
            <w:tcBorders>
              <w:top w:val="nil"/>
              <w:left w:val="nil"/>
              <w:bottom w:val="single" w:sz="4" w:space="0" w:color="auto"/>
              <w:right w:val="single" w:sz="4" w:space="0" w:color="auto"/>
            </w:tcBorders>
            <w:shd w:val="clear" w:color="auto" w:fill="auto"/>
            <w:noWrap/>
            <w:vAlign w:val="bottom"/>
            <w:hideMark/>
          </w:tcPr>
          <w:p w14:paraId="6A83C0A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5B824C9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0C0FDB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76D3476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2670B0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661F698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5E214E2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F83742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99AEC3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371</w:t>
            </w:r>
          </w:p>
        </w:tc>
        <w:tc>
          <w:tcPr>
            <w:tcW w:w="904" w:type="dxa"/>
            <w:tcBorders>
              <w:top w:val="nil"/>
              <w:left w:val="nil"/>
              <w:bottom w:val="single" w:sz="4" w:space="0" w:color="auto"/>
              <w:right w:val="single" w:sz="4" w:space="0" w:color="auto"/>
            </w:tcBorders>
            <w:shd w:val="clear" w:color="auto" w:fill="auto"/>
            <w:noWrap/>
            <w:vAlign w:val="bottom"/>
            <w:hideMark/>
          </w:tcPr>
          <w:p w14:paraId="2764089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43AB4F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1E1D1F4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57.164</w:t>
            </w:r>
          </w:p>
        </w:tc>
        <w:tc>
          <w:tcPr>
            <w:tcW w:w="904" w:type="dxa"/>
            <w:tcBorders>
              <w:top w:val="nil"/>
              <w:left w:val="nil"/>
              <w:bottom w:val="single" w:sz="4" w:space="0" w:color="auto"/>
              <w:right w:val="single" w:sz="4" w:space="0" w:color="auto"/>
            </w:tcBorders>
            <w:shd w:val="clear" w:color="auto" w:fill="auto"/>
            <w:noWrap/>
            <w:vAlign w:val="bottom"/>
            <w:hideMark/>
          </w:tcPr>
          <w:p w14:paraId="5E45C8C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6352A6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30A97C2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710CB4D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3F0B4E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10CBFC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372</w:t>
            </w:r>
          </w:p>
        </w:tc>
        <w:tc>
          <w:tcPr>
            <w:tcW w:w="904" w:type="dxa"/>
            <w:tcBorders>
              <w:top w:val="nil"/>
              <w:left w:val="nil"/>
              <w:bottom w:val="single" w:sz="4" w:space="0" w:color="auto"/>
              <w:right w:val="single" w:sz="4" w:space="0" w:color="auto"/>
            </w:tcBorders>
            <w:shd w:val="clear" w:color="auto" w:fill="auto"/>
            <w:noWrap/>
            <w:vAlign w:val="bottom"/>
            <w:hideMark/>
          </w:tcPr>
          <w:p w14:paraId="212648E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54C7995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0851724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58.877</w:t>
            </w:r>
          </w:p>
        </w:tc>
        <w:tc>
          <w:tcPr>
            <w:tcW w:w="904" w:type="dxa"/>
            <w:tcBorders>
              <w:top w:val="nil"/>
              <w:left w:val="nil"/>
              <w:bottom w:val="single" w:sz="4" w:space="0" w:color="auto"/>
              <w:right w:val="single" w:sz="4" w:space="0" w:color="auto"/>
            </w:tcBorders>
            <w:shd w:val="clear" w:color="auto" w:fill="auto"/>
            <w:noWrap/>
            <w:vAlign w:val="bottom"/>
            <w:hideMark/>
          </w:tcPr>
          <w:p w14:paraId="3799A39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1C25F8F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77CC705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78FED9A6"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4D01227"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4590F0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373</w:t>
            </w:r>
          </w:p>
        </w:tc>
        <w:tc>
          <w:tcPr>
            <w:tcW w:w="904" w:type="dxa"/>
            <w:tcBorders>
              <w:top w:val="nil"/>
              <w:left w:val="nil"/>
              <w:bottom w:val="single" w:sz="4" w:space="0" w:color="auto"/>
              <w:right w:val="single" w:sz="4" w:space="0" w:color="auto"/>
            </w:tcBorders>
            <w:shd w:val="clear" w:color="auto" w:fill="auto"/>
            <w:noWrap/>
            <w:vAlign w:val="bottom"/>
            <w:hideMark/>
          </w:tcPr>
          <w:p w14:paraId="07A19A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63.417</w:t>
            </w:r>
          </w:p>
        </w:tc>
        <w:tc>
          <w:tcPr>
            <w:tcW w:w="904" w:type="dxa"/>
            <w:tcBorders>
              <w:top w:val="nil"/>
              <w:left w:val="nil"/>
              <w:bottom w:val="single" w:sz="4" w:space="0" w:color="auto"/>
              <w:right w:val="single" w:sz="4" w:space="0" w:color="auto"/>
            </w:tcBorders>
            <w:shd w:val="clear" w:color="auto" w:fill="auto"/>
            <w:noWrap/>
            <w:vAlign w:val="bottom"/>
            <w:hideMark/>
          </w:tcPr>
          <w:p w14:paraId="5DB83F6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0065611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C4A367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618A39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0A49963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441500E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13546A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D554E8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374</w:t>
            </w:r>
          </w:p>
        </w:tc>
        <w:tc>
          <w:tcPr>
            <w:tcW w:w="904" w:type="dxa"/>
            <w:tcBorders>
              <w:top w:val="nil"/>
              <w:left w:val="nil"/>
              <w:bottom w:val="single" w:sz="4" w:space="0" w:color="auto"/>
              <w:right w:val="single" w:sz="4" w:space="0" w:color="auto"/>
            </w:tcBorders>
            <w:shd w:val="clear" w:color="auto" w:fill="auto"/>
            <w:noWrap/>
            <w:vAlign w:val="bottom"/>
            <w:hideMark/>
          </w:tcPr>
          <w:p w14:paraId="7CB1EA9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50820F4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8900D7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960D0A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230F19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3AB097F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23C32A2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F452C8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3E453C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375</w:t>
            </w:r>
          </w:p>
        </w:tc>
        <w:tc>
          <w:tcPr>
            <w:tcW w:w="904" w:type="dxa"/>
            <w:tcBorders>
              <w:top w:val="nil"/>
              <w:left w:val="nil"/>
              <w:bottom w:val="single" w:sz="4" w:space="0" w:color="auto"/>
              <w:right w:val="single" w:sz="4" w:space="0" w:color="auto"/>
            </w:tcBorders>
            <w:shd w:val="clear" w:color="auto" w:fill="auto"/>
            <w:noWrap/>
            <w:vAlign w:val="bottom"/>
            <w:hideMark/>
          </w:tcPr>
          <w:p w14:paraId="296DD9D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764B1F4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58.451</w:t>
            </w:r>
          </w:p>
        </w:tc>
        <w:tc>
          <w:tcPr>
            <w:tcW w:w="904" w:type="dxa"/>
            <w:tcBorders>
              <w:top w:val="nil"/>
              <w:left w:val="nil"/>
              <w:bottom w:val="single" w:sz="4" w:space="0" w:color="auto"/>
              <w:right w:val="single" w:sz="4" w:space="0" w:color="auto"/>
            </w:tcBorders>
            <w:shd w:val="clear" w:color="auto" w:fill="auto"/>
            <w:noWrap/>
            <w:vAlign w:val="bottom"/>
            <w:hideMark/>
          </w:tcPr>
          <w:p w14:paraId="3AFC425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60.451</w:t>
            </w:r>
          </w:p>
        </w:tc>
        <w:tc>
          <w:tcPr>
            <w:tcW w:w="904" w:type="dxa"/>
            <w:tcBorders>
              <w:top w:val="nil"/>
              <w:left w:val="nil"/>
              <w:bottom w:val="single" w:sz="4" w:space="0" w:color="auto"/>
              <w:right w:val="single" w:sz="4" w:space="0" w:color="auto"/>
            </w:tcBorders>
            <w:shd w:val="clear" w:color="auto" w:fill="auto"/>
            <w:noWrap/>
            <w:vAlign w:val="bottom"/>
            <w:hideMark/>
          </w:tcPr>
          <w:p w14:paraId="7A8998C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58.451</w:t>
            </w:r>
          </w:p>
        </w:tc>
        <w:tc>
          <w:tcPr>
            <w:tcW w:w="904" w:type="dxa"/>
            <w:tcBorders>
              <w:top w:val="nil"/>
              <w:left w:val="nil"/>
              <w:bottom w:val="single" w:sz="4" w:space="0" w:color="auto"/>
              <w:right w:val="single" w:sz="4" w:space="0" w:color="auto"/>
            </w:tcBorders>
            <w:shd w:val="clear" w:color="auto" w:fill="auto"/>
            <w:noWrap/>
            <w:vAlign w:val="bottom"/>
            <w:hideMark/>
          </w:tcPr>
          <w:p w14:paraId="0BB8268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32ABB1A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7FCC64D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D1DDD7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BCAE9B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376</w:t>
            </w:r>
          </w:p>
        </w:tc>
        <w:tc>
          <w:tcPr>
            <w:tcW w:w="904" w:type="dxa"/>
            <w:tcBorders>
              <w:top w:val="nil"/>
              <w:left w:val="nil"/>
              <w:bottom w:val="single" w:sz="4" w:space="0" w:color="auto"/>
              <w:right w:val="single" w:sz="4" w:space="0" w:color="auto"/>
            </w:tcBorders>
            <w:shd w:val="clear" w:color="auto" w:fill="auto"/>
            <w:noWrap/>
            <w:vAlign w:val="bottom"/>
            <w:hideMark/>
          </w:tcPr>
          <w:p w14:paraId="3275498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5891B7E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60.005</w:t>
            </w:r>
          </w:p>
        </w:tc>
        <w:tc>
          <w:tcPr>
            <w:tcW w:w="904" w:type="dxa"/>
            <w:tcBorders>
              <w:top w:val="nil"/>
              <w:left w:val="nil"/>
              <w:bottom w:val="single" w:sz="4" w:space="0" w:color="auto"/>
              <w:right w:val="single" w:sz="4" w:space="0" w:color="auto"/>
            </w:tcBorders>
            <w:shd w:val="clear" w:color="auto" w:fill="auto"/>
            <w:noWrap/>
            <w:vAlign w:val="bottom"/>
            <w:hideMark/>
          </w:tcPr>
          <w:p w14:paraId="6948CAD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2899B31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B77E97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32448D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0AEE256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45F486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DC64AD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377</w:t>
            </w:r>
          </w:p>
        </w:tc>
        <w:tc>
          <w:tcPr>
            <w:tcW w:w="904" w:type="dxa"/>
            <w:tcBorders>
              <w:top w:val="nil"/>
              <w:left w:val="nil"/>
              <w:bottom w:val="single" w:sz="4" w:space="0" w:color="auto"/>
              <w:right w:val="single" w:sz="4" w:space="0" w:color="auto"/>
            </w:tcBorders>
            <w:shd w:val="clear" w:color="auto" w:fill="auto"/>
            <w:noWrap/>
            <w:vAlign w:val="bottom"/>
            <w:hideMark/>
          </w:tcPr>
          <w:p w14:paraId="2B32ED4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5BC6AE3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61.595</w:t>
            </w:r>
          </w:p>
        </w:tc>
        <w:tc>
          <w:tcPr>
            <w:tcW w:w="904" w:type="dxa"/>
            <w:tcBorders>
              <w:top w:val="nil"/>
              <w:left w:val="nil"/>
              <w:bottom w:val="single" w:sz="4" w:space="0" w:color="auto"/>
              <w:right w:val="single" w:sz="4" w:space="0" w:color="auto"/>
            </w:tcBorders>
            <w:shd w:val="clear" w:color="auto" w:fill="auto"/>
            <w:noWrap/>
            <w:vAlign w:val="bottom"/>
            <w:hideMark/>
          </w:tcPr>
          <w:p w14:paraId="7015540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7D44B22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F72A14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7BA24CC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58.872</w:t>
            </w:r>
          </w:p>
        </w:tc>
        <w:tc>
          <w:tcPr>
            <w:tcW w:w="1946" w:type="dxa"/>
            <w:tcBorders>
              <w:top w:val="nil"/>
              <w:left w:val="nil"/>
              <w:bottom w:val="nil"/>
              <w:right w:val="nil"/>
            </w:tcBorders>
            <w:shd w:val="clear" w:color="auto" w:fill="auto"/>
            <w:noWrap/>
            <w:vAlign w:val="bottom"/>
            <w:hideMark/>
          </w:tcPr>
          <w:p w14:paraId="1C675CC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0C5AF7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668CEB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378</w:t>
            </w:r>
          </w:p>
        </w:tc>
        <w:tc>
          <w:tcPr>
            <w:tcW w:w="904" w:type="dxa"/>
            <w:tcBorders>
              <w:top w:val="nil"/>
              <w:left w:val="nil"/>
              <w:bottom w:val="single" w:sz="4" w:space="0" w:color="auto"/>
              <w:right w:val="single" w:sz="4" w:space="0" w:color="auto"/>
            </w:tcBorders>
            <w:shd w:val="clear" w:color="auto" w:fill="auto"/>
            <w:noWrap/>
            <w:vAlign w:val="bottom"/>
            <w:hideMark/>
          </w:tcPr>
          <w:p w14:paraId="4DCFFB2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63.944</w:t>
            </w:r>
          </w:p>
        </w:tc>
        <w:tc>
          <w:tcPr>
            <w:tcW w:w="904" w:type="dxa"/>
            <w:tcBorders>
              <w:top w:val="nil"/>
              <w:left w:val="nil"/>
              <w:bottom w:val="single" w:sz="4" w:space="0" w:color="auto"/>
              <w:right w:val="single" w:sz="4" w:space="0" w:color="auto"/>
            </w:tcBorders>
            <w:shd w:val="clear" w:color="auto" w:fill="auto"/>
            <w:noWrap/>
            <w:vAlign w:val="bottom"/>
            <w:hideMark/>
          </w:tcPr>
          <w:p w14:paraId="3EE306D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268A7A1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297A943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E95670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249EA8A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56.260</w:t>
            </w:r>
          </w:p>
        </w:tc>
        <w:tc>
          <w:tcPr>
            <w:tcW w:w="1946" w:type="dxa"/>
            <w:tcBorders>
              <w:top w:val="nil"/>
              <w:left w:val="nil"/>
              <w:bottom w:val="nil"/>
              <w:right w:val="nil"/>
            </w:tcBorders>
            <w:shd w:val="clear" w:color="auto" w:fill="auto"/>
            <w:noWrap/>
            <w:vAlign w:val="bottom"/>
            <w:hideMark/>
          </w:tcPr>
          <w:p w14:paraId="75B9B79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30786B7"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AE85EE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379</w:t>
            </w:r>
          </w:p>
        </w:tc>
        <w:tc>
          <w:tcPr>
            <w:tcW w:w="904" w:type="dxa"/>
            <w:tcBorders>
              <w:top w:val="nil"/>
              <w:left w:val="nil"/>
              <w:bottom w:val="single" w:sz="4" w:space="0" w:color="auto"/>
              <w:right w:val="single" w:sz="4" w:space="0" w:color="auto"/>
            </w:tcBorders>
            <w:shd w:val="clear" w:color="auto" w:fill="auto"/>
            <w:noWrap/>
            <w:vAlign w:val="bottom"/>
            <w:hideMark/>
          </w:tcPr>
          <w:p w14:paraId="6F8D066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63.420</w:t>
            </w:r>
          </w:p>
        </w:tc>
        <w:tc>
          <w:tcPr>
            <w:tcW w:w="904" w:type="dxa"/>
            <w:tcBorders>
              <w:top w:val="nil"/>
              <w:left w:val="nil"/>
              <w:bottom w:val="single" w:sz="4" w:space="0" w:color="auto"/>
              <w:right w:val="single" w:sz="4" w:space="0" w:color="auto"/>
            </w:tcBorders>
            <w:shd w:val="clear" w:color="auto" w:fill="auto"/>
            <w:noWrap/>
            <w:vAlign w:val="bottom"/>
            <w:hideMark/>
          </w:tcPr>
          <w:p w14:paraId="103B727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53A2F90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2E37509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61.330</w:t>
            </w:r>
          </w:p>
        </w:tc>
        <w:tc>
          <w:tcPr>
            <w:tcW w:w="904" w:type="dxa"/>
            <w:tcBorders>
              <w:top w:val="nil"/>
              <w:left w:val="nil"/>
              <w:bottom w:val="single" w:sz="4" w:space="0" w:color="auto"/>
              <w:right w:val="single" w:sz="4" w:space="0" w:color="auto"/>
            </w:tcBorders>
            <w:shd w:val="clear" w:color="auto" w:fill="auto"/>
            <w:noWrap/>
            <w:vAlign w:val="bottom"/>
            <w:hideMark/>
          </w:tcPr>
          <w:p w14:paraId="1B1A7CC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6232B22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4DE9F276"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60854E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2C7D8E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380</w:t>
            </w:r>
          </w:p>
        </w:tc>
        <w:tc>
          <w:tcPr>
            <w:tcW w:w="904" w:type="dxa"/>
            <w:tcBorders>
              <w:top w:val="nil"/>
              <w:left w:val="nil"/>
              <w:bottom w:val="single" w:sz="4" w:space="0" w:color="auto"/>
              <w:right w:val="single" w:sz="4" w:space="0" w:color="auto"/>
            </w:tcBorders>
            <w:shd w:val="clear" w:color="auto" w:fill="auto"/>
            <w:noWrap/>
            <w:vAlign w:val="bottom"/>
            <w:hideMark/>
          </w:tcPr>
          <w:p w14:paraId="77D8AEC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62.808</w:t>
            </w:r>
          </w:p>
        </w:tc>
        <w:tc>
          <w:tcPr>
            <w:tcW w:w="904" w:type="dxa"/>
            <w:tcBorders>
              <w:top w:val="nil"/>
              <w:left w:val="nil"/>
              <w:bottom w:val="single" w:sz="4" w:space="0" w:color="auto"/>
              <w:right w:val="single" w:sz="4" w:space="0" w:color="auto"/>
            </w:tcBorders>
            <w:shd w:val="clear" w:color="auto" w:fill="auto"/>
            <w:noWrap/>
            <w:vAlign w:val="bottom"/>
            <w:hideMark/>
          </w:tcPr>
          <w:p w14:paraId="4EB6874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64.416</w:t>
            </w:r>
          </w:p>
        </w:tc>
        <w:tc>
          <w:tcPr>
            <w:tcW w:w="904" w:type="dxa"/>
            <w:tcBorders>
              <w:top w:val="nil"/>
              <w:left w:val="nil"/>
              <w:bottom w:val="single" w:sz="4" w:space="0" w:color="auto"/>
              <w:right w:val="single" w:sz="4" w:space="0" w:color="auto"/>
            </w:tcBorders>
            <w:shd w:val="clear" w:color="auto" w:fill="auto"/>
            <w:noWrap/>
            <w:vAlign w:val="bottom"/>
            <w:hideMark/>
          </w:tcPr>
          <w:p w14:paraId="4B70671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61.808</w:t>
            </w:r>
          </w:p>
        </w:tc>
        <w:tc>
          <w:tcPr>
            <w:tcW w:w="904" w:type="dxa"/>
            <w:tcBorders>
              <w:top w:val="nil"/>
              <w:left w:val="nil"/>
              <w:bottom w:val="single" w:sz="4" w:space="0" w:color="auto"/>
              <w:right w:val="single" w:sz="4" w:space="0" w:color="auto"/>
            </w:tcBorders>
            <w:shd w:val="clear" w:color="auto" w:fill="auto"/>
            <w:noWrap/>
            <w:vAlign w:val="bottom"/>
            <w:hideMark/>
          </w:tcPr>
          <w:p w14:paraId="322EBA7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45B41F0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62.176</w:t>
            </w:r>
          </w:p>
        </w:tc>
        <w:tc>
          <w:tcPr>
            <w:tcW w:w="904" w:type="dxa"/>
            <w:tcBorders>
              <w:top w:val="nil"/>
              <w:left w:val="nil"/>
              <w:bottom w:val="single" w:sz="4" w:space="0" w:color="auto"/>
              <w:right w:val="single" w:sz="4" w:space="0" w:color="auto"/>
            </w:tcBorders>
            <w:shd w:val="clear" w:color="auto" w:fill="auto"/>
            <w:noWrap/>
            <w:vAlign w:val="bottom"/>
            <w:hideMark/>
          </w:tcPr>
          <w:p w14:paraId="2A181BE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79F423A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C84046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8ADBB0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381</w:t>
            </w:r>
          </w:p>
        </w:tc>
        <w:tc>
          <w:tcPr>
            <w:tcW w:w="904" w:type="dxa"/>
            <w:tcBorders>
              <w:top w:val="nil"/>
              <w:left w:val="nil"/>
              <w:bottom w:val="single" w:sz="4" w:space="0" w:color="auto"/>
              <w:right w:val="single" w:sz="4" w:space="0" w:color="auto"/>
            </w:tcBorders>
            <w:shd w:val="clear" w:color="auto" w:fill="auto"/>
            <w:noWrap/>
            <w:vAlign w:val="bottom"/>
            <w:hideMark/>
          </w:tcPr>
          <w:p w14:paraId="2BEC82E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60.769</w:t>
            </w:r>
          </w:p>
        </w:tc>
        <w:tc>
          <w:tcPr>
            <w:tcW w:w="904" w:type="dxa"/>
            <w:tcBorders>
              <w:top w:val="nil"/>
              <w:left w:val="nil"/>
              <w:bottom w:val="single" w:sz="4" w:space="0" w:color="auto"/>
              <w:right w:val="single" w:sz="4" w:space="0" w:color="auto"/>
            </w:tcBorders>
            <w:shd w:val="clear" w:color="auto" w:fill="auto"/>
            <w:noWrap/>
            <w:vAlign w:val="bottom"/>
            <w:hideMark/>
          </w:tcPr>
          <w:p w14:paraId="2B6610A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65.802</w:t>
            </w:r>
          </w:p>
        </w:tc>
        <w:tc>
          <w:tcPr>
            <w:tcW w:w="904" w:type="dxa"/>
            <w:tcBorders>
              <w:top w:val="nil"/>
              <w:left w:val="nil"/>
              <w:bottom w:val="single" w:sz="4" w:space="0" w:color="auto"/>
              <w:right w:val="single" w:sz="4" w:space="0" w:color="auto"/>
            </w:tcBorders>
            <w:shd w:val="clear" w:color="auto" w:fill="auto"/>
            <w:noWrap/>
            <w:vAlign w:val="bottom"/>
            <w:hideMark/>
          </w:tcPr>
          <w:p w14:paraId="059A073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59.769</w:t>
            </w:r>
          </w:p>
        </w:tc>
        <w:tc>
          <w:tcPr>
            <w:tcW w:w="904" w:type="dxa"/>
            <w:tcBorders>
              <w:top w:val="nil"/>
              <w:left w:val="nil"/>
              <w:bottom w:val="single" w:sz="4" w:space="0" w:color="auto"/>
              <w:right w:val="single" w:sz="4" w:space="0" w:color="auto"/>
            </w:tcBorders>
            <w:shd w:val="clear" w:color="auto" w:fill="auto"/>
            <w:noWrap/>
            <w:vAlign w:val="bottom"/>
            <w:hideMark/>
          </w:tcPr>
          <w:p w14:paraId="0113074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520AB07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60.396</w:t>
            </w:r>
          </w:p>
        </w:tc>
        <w:tc>
          <w:tcPr>
            <w:tcW w:w="904" w:type="dxa"/>
            <w:tcBorders>
              <w:top w:val="nil"/>
              <w:left w:val="nil"/>
              <w:bottom w:val="single" w:sz="4" w:space="0" w:color="auto"/>
              <w:right w:val="single" w:sz="4" w:space="0" w:color="auto"/>
            </w:tcBorders>
            <w:shd w:val="clear" w:color="auto" w:fill="auto"/>
            <w:noWrap/>
            <w:vAlign w:val="bottom"/>
            <w:hideMark/>
          </w:tcPr>
          <w:p w14:paraId="7F1FB8B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7EFF203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3EFDD3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FA980D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382</w:t>
            </w:r>
          </w:p>
        </w:tc>
        <w:tc>
          <w:tcPr>
            <w:tcW w:w="904" w:type="dxa"/>
            <w:tcBorders>
              <w:top w:val="nil"/>
              <w:left w:val="nil"/>
              <w:bottom w:val="single" w:sz="4" w:space="0" w:color="auto"/>
              <w:right w:val="single" w:sz="4" w:space="0" w:color="auto"/>
            </w:tcBorders>
            <w:shd w:val="clear" w:color="auto" w:fill="auto"/>
            <w:noWrap/>
            <w:vAlign w:val="bottom"/>
            <w:hideMark/>
          </w:tcPr>
          <w:p w14:paraId="74C186E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F607BD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66.248</w:t>
            </w:r>
          </w:p>
        </w:tc>
        <w:tc>
          <w:tcPr>
            <w:tcW w:w="904" w:type="dxa"/>
            <w:tcBorders>
              <w:top w:val="nil"/>
              <w:left w:val="nil"/>
              <w:bottom w:val="single" w:sz="4" w:space="0" w:color="auto"/>
              <w:right w:val="single" w:sz="4" w:space="0" w:color="auto"/>
            </w:tcBorders>
            <w:shd w:val="clear" w:color="auto" w:fill="auto"/>
            <w:noWrap/>
            <w:vAlign w:val="bottom"/>
            <w:hideMark/>
          </w:tcPr>
          <w:p w14:paraId="737AFA8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FEA2C0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65A8668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0873372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47174CF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32E207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405959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lastRenderedPageBreak/>
              <w:t>383</w:t>
            </w:r>
          </w:p>
        </w:tc>
        <w:tc>
          <w:tcPr>
            <w:tcW w:w="904" w:type="dxa"/>
            <w:tcBorders>
              <w:top w:val="nil"/>
              <w:left w:val="nil"/>
              <w:bottom w:val="single" w:sz="4" w:space="0" w:color="auto"/>
              <w:right w:val="single" w:sz="4" w:space="0" w:color="auto"/>
            </w:tcBorders>
            <w:shd w:val="clear" w:color="auto" w:fill="auto"/>
            <w:noWrap/>
            <w:vAlign w:val="bottom"/>
            <w:hideMark/>
          </w:tcPr>
          <w:p w14:paraId="654988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10DD44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68.026</w:t>
            </w:r>
          </w:p>
        </w:tc>
        <w:tc>
          <w:tcPr>
            <w:tcW w:w="904" w:type="dxa"/>
            <w:tcBorders>
              <w:top w:val="nil"/>
              <w:left w:val="nil"/>
              <w:bottom w:val="single" w:sz="4" w:space="0" w:color="auto"/>
              <w:right w:val="single" w:sz="4" w:space="0" w:color="auto"/>
            </w:tcBorders>
            <w:shd w:val="clear" w:color="auto" w:fill="auto"/>
            <w:noWrap/>
            <w:vAlign w:val="bottom"/>
            <w:hideMark/>
          </w:tcPr>
          <w:p w14:paraId="1A9589C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5D4476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6BC5052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00637A0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56.403</w:t>
            </w:r>
          </w:p>
        </w:tc>
        <w:tc>
          <w:tcPr>
            <w:tcW w:w="1946" w:type="dxa"/>
            <w:tcBorders>
              <w:top w:val="nil"/>
              <w:left w:val="nil"/>
              <w:bottom w:val="nil"/>
              <w:right w:val="nil"/>
            </w:tcBorders>
            <w:shd w:val="clear" w:color="auto" w:fill="auto"/>
            <w:noWrap/>
            <w:vAlign w:val="bottom"/>
            <w:hideMark/>
          </w:tcPr>
          <w:p w14:paraId="034CC4F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FF0BA9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B9F3A9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384</w:t>
            </w:r>
          </w:p>
        </w:tc>
        <w:tc>
          <w:tcPr>
            <w:tcW w:w="904" w:type="dxa"/>
            <w:tcBorders>
              <w:top w:val="nil"/>
              <w:left w:val="nil"/>
              <w:bottom w:val="single" w:sz="4" w:space="0" w:color="auto"/>
              <w:right w:val="single" w:sz="4" w:space="0" w:color="auto"/>
            </w:tcBorders>
            <w:shd w:val="clear" w:color="auto" w:fill="auto"/>
            <w:noWrap/>
            <w:vAlign w:val="bottom"/>
            <w:hideMark/>
          </w:tcPr>
          <w:p w14:paraId="7696E17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553B1E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68.995</w:t>
            </w:r>
          </w:p>
        </w:tc>
        <w:tc>
          <w:tcPr>
            <w:tcW w:w="904" w:type="dxa"/>
            <w:tcBorders>
              <w:top w:val="nil"/>
              <w:left w:val="nil"/>
              <w:bottom w:val="single" w:sz="4" w:space="0" w:color="auto"/>
              <w:right w:val="single" w:sz="4" w:space="0" w:color="auto"/>
            </w:tcBorders>
            <w:shd w:val="clear" w:color="auto" w:fill="auto"/>
            <w:noWrap/>
            <w:vAlign w:val="bottom"/>
            <w:hideMark/>
          </w:tcPr>
          <w:p w14:paraId="46DD11A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29FA537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0360A70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DF4136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079A27A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8C4C62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133FDA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385</w:t>
            </w:r>
          </w:p>
        </w:tc>
        <w:tc>
          <w:tcPr>
            <w:tcW w:w="904" w:type="dxa"/>
            <w:tcBorders>
              <w:top w:val="nil"/>
              <w:left w:val="nil"/>
              <w:bottom w:val="single" w:sz="4" w:space="0" w:color="auto"/>
              <w:right w:val="single" w:sz="4" w:space="0" w:color="auto"/>
            </w:tcBorders>
            <w:shd w:val="clear" w:color="auto" w:fill="auto"/>
            <w:noWrap/>
            <w:vAlign w:val="bottom"/>
            <w:hideMark/>
          </w:tcPr>
          <w:p w14:paraId="12973A6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EA92F0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68.367</w:t>
            </w:r>
          </w:p>
        </w:tc>
        <w:tc>
          <w:tcPr>
            <w:tcW w:w="904" w:type="dxa"/>
            <w:tcBorders>
              <w:top w:val="nil"/>
              <w:left w:val="nil"/>
              <w:bottom w:val="single" w:sz="4" w:space="0" w:color="auto"/>
              <w:right w:val="single" w:sz="4" w:space="0" w:color="auto"/>
            </w:tcBorders>
            <w:shd w:val="clear" w:color="auto" w:fill="auto"/>
            <w:noWrap/>
            <w:vAlign w:val="bottom"/>
            <w:hideMark/>
          </w:tcPr>
          <w:p w14:paraId="4B7D172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18EEDCB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1E95F0E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947D65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53F77EB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7A9431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FF3F08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386</w:t>
            </w:r>
          </w:p>
        </w:tc>
        <w:tc>
          <w:tcPr>
            <w:tcW w:w="904" w:type="dxa"/>
            <w:tcBorders>
              <w:top w:val="nil"/>
              <w:left w:val="nil"/>
              <w:bottom w:val="single" w:sz="4" w:space="0" w:color="auto"/>
              <w:right w:val="single" w:sz="4" w:space="0" w:color="auto"/>
            </w:tcBorders>
            <w:shd w:val="clear" w:color="auto" w:fill="auto"/>
            <w:noWrap/>
            <w:vAlign w:val="bottom"/>
            <w:hideMark/>
          </w:tcPr>
          <w:p w14:paraId="1C5E999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4374B6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68.000</w:t>
            </w:r>
          </w:p>
        </w:tc>
        <w:tc>
          <w:tcPr>
            <w:tcW w:w="904" w:type="dxa"/>
            <w:tcBorders>
              <w:top w:val="nil"/>
              <w:left w:val="nil"/>
              <w:bottom w:val="single" w:sz="4" w:space="0" w:color="auto"/>
              <w:right w:val="single" w:sz="4" w:space="0" w:color="auto"/>
            </w:tcBorders>
            <w:shd w:val="clear" w:color="auto" w:fill="auto"/>
            <w:noWrap/>
            <w:vAlign w:val="bottom"/>
            <w:hideMark/>
          </w:tcPr>
          <w:p w14:paraId="0854EA4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CABF49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2BD22B8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8DDA80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59.794</w:t>
            </w:r>
          </w:p>
        </w:tc>
        <w:tc>
          <w:tcPr>
            <w:tcW w:w="1946" w:type="dxa"/>
            <w:tcBorders>
              <w:top w:val="nil"/>
              <w:left w:val="nil"/>
              <w:bottom w:val="nil"/>
              <w:right w:val="nil"/>
            </w:tcBorders>
            <w:shd w:val="clear" w:color="auto" w:fill="auto"/>
            <w:noWrap/>
            <w:vAlign w:val="bottom"/>
            <w:hideMark/>
          </w:tcPr>
          <w:p w14:paraId="2A82D16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E90F64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38003A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387</w:t>
            </w:r>
          </w:p>
        </w:tc>
        <w:tc>
          <w:tcPr>
            <w:tcW w:w="904" w:type="dxa"/>
            <w:tcBorders>
              <w:top w:val="nil"/>
              <w:left w:val="nil"/>
              <w:bottom w:val="single" w:sz="4" w:space="0" w:color="auto"/>
              <w:right w:val="single" w:sz="4" w:space="0" w:color="auto"/>
            </w:tcBorders>
            <w:shd w:val="clear" w:color="auto" w:fill="auto"/>
            <w:noWrap/>
            <w:vAlign w:val="bottom"/>
            <w:hideMark/>
          </w:tcPr>
          <w:p w14:paraId="5118008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60.132</w:t>
            </w:r>
          </w:p>
        </w:tc>
        <w:tc>
          <w:tcPr>
            <w:tcW w:w="904" w:type="dxa"/>
            <w:tcBorders>
              <w:top w:val="nil"/>
              <w:left w:val="nil"/>
              <w:bottom w:val="single" w:sz="4" w:space="0" w:color="auto"/>
              <w:right w:val="single" w:sz="4" w:space="0" w:color="auto"/>
            </w:tcBorders>
            <w:shd w:val="clear" w:color="auto" w:fill="auto"/>
            <w:noWrap/>
            <w:vAlign w:val="bottom"/>
            <w:hideMark/>
          </w:tcPr>
          <w:p w14:paraId="20D9B22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68.000</w:t>
            </w:r>
          </w:p>
        </w:tc>
        <w:tc>
          <w:tcPr>
            <w:tcW w:w="904" w:type="dxa"/>
            <w:tcBorders>
              <w:top w:val="nil"/>
              <w:left w:val="nil"/>
              <w:bottom w:val="single" w:sz="4" w:space="0" w:color="auto"/>
              <w:right w:val="single" w:sz="4" w:space="0" w:color="auto"/>
            </w:tcBorders>
            <w:shd w:val="clear" w:color="auto" w:fill="auto"/>
            <w:noWrap/>
            <w:vAlign w:val="bottom"/>
            <w:hideMark/>
          </w:tcPr>
          <w:p w14:paraId="5A9484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0EA504D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63.397</w:t>
            </w:r>
          </w:p>
        </w:tc>
        <w:tc>
          <w:tcPr>
            <w:tcW w:w="904" w:type="dxa"/>
            <w:tcBorders>
              <w:top w:val="nil"/>
              <w:left w:val="nil"/>
              <w:bottom w:val="single" w:sz="4" w:space="0" w:color="auto"/>
              <w:right w:val="single" w:sz="4" w:space="0" w:color="auto"/>
            </w:tcBorders>
            <w:shd w:val="clear" w:color="auto" w:fill="auto"/>
            <w:noWrap/>
            <w:vAlign w:val="bottom"/>
            <w:hideMark/>
          </w:tcPr>
          <w:p w14:paraId="6BB6CD9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EFB24B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1946" w:type="dxa"/>
            <w:tcBorders>
              <w:top w:val="nil"/>
              <w:left w:val="nil"/>
              <w:bottom w:val="nil"/>
              <w:right w:val="nil"/>
            </w:tcBorders>
            <w:shd w:val="clear" w:color="auto" w:fill="auto"/>
            <w:noWrap/>
            <w:vAlign w:val="bottom"/>
            <w:hideMark/>
          </w:tcPr>
          <w:p w14:paraId="63BCD70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B12B6B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A444B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388</w:t>
            </w:r>
          </w:p>
        </w:tc>
        <w:tc>
          <w:tcPr>
            <w:tcW w:w="904" w:type="dxa"/>
            <w:tcBorders>
              <w:top w:val="nil"/>
              <w:left w:val="nil"/>
              <w:bottom w:val="single" w:sz="4" w:space="0" w:color="auto"/>
              <w:right w:val="single" w:sz="4" w:space="0" w:color="auto"/>
            </w:tcBorders>
            <w:shd w:val="clear" w:color="auto" w:fill="auto"/>
            <w:noWrap/>
            <w:vAlign w:val="bottom"/>
            <w:hideMark/>
          </w:tcPr>
          <w:p w14:paraId="290A609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60.464</w:t>
            </w:r>
          </w:p>
        </w:tc>
        <w:tc>
          <w:tcPr>
            <w:tcW w:w="904" w:type="dxa"/>
            <w:tcBorders>
              <w:top w:val="nil"/>
              <w:left w:val="nil"/>
              <w:bottom w:val="single" w:sz="4" w:space="0" w:color="auto"/>
              <w:right w:val="single" w:sz="4" w:space="0" w:color="auto"/>
            </w:tcBorders>
            <w:shd w:val="clear" w:color="auto" w:fill="auto"/>
            <w:noWrap/>
            <w:vAlign w:val="bottom"/>
            <w:hideMark/>
          </w:tcPr>
          <w:p w14:paraId="0E28EFA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68.000</w:t>
            </w:r>
          </w:p>
        </w:tc>
        <w:tc>
          <w:tcPr>
            <w:tcW w:w="904" w:type="dxa"/>
            <w:tcBorders>
              <w:top w:val="nil"/>
              <w:left w:val="nil"/>
              <w:bottom w:val="single" w:sz="4" w:space="0" w:color="auto"/>
              <w:right w:val="single" w:sz="4" w:space="0" w:color="auto"/>
            </w:tcBorders>
            <w:shd w:val="clear" w:color="auto" w:fill="auto"/>
            <w:noWrap/>
            <w:vAlign w:val="bottom"/>
            <w:hideMark/>
          </w:tcPr>
          <w:p w14:paraId="537EAF3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E157B4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63.909</w:t>
            </w:r>
          </w:p>
        </w:tc>
        <w:tc>
          <w:tcPr>
            <w:tcW w:w="904" w:type="dxa"/>
            <w:tcBorders>
              <w:top w:val="nil"/>
              <w:left w:val="nil"/>
              <w:bottom w:val="single" w:sz="4" w:space="0" w:color="auto"/>
              <w:right w:val="single" w:sz="4" w:space="0" w:color="auto"/>
            </w:tcBorders>
            <w:shd w:val="clear" w:color="auto" w:fill="auto"/>
            <w:noWrap/>
            <w:vAlign w:val="bottom"/>
            <w:hideMark/>
          </w:tcPr>
          <w:p w14:paraId="5926E42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40C719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1946" w:type="dxa"/>
            <w:tcBorders>
              <w:top w:val="nil"/>
              <w:left w:val="nil"/>
              <w:bottom w:val="nil"/>
              <w:right w:val="nil"/>
            </w:tcBorders>
            <w:shd w:val="clear" w:color="auto" w:fill="auto"/>
            <w:noWrap/>
            <w:vAlign w:val="bottom"/>
            <w:hideMark/>
          </w:tcPr>
          <w:p w14:paraId="2C6E35C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241A4D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7F7672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389</w:t>
            </w:r>
          </w:p>
        </w:tc>
        <w:tc>
          <w:tcPr>
            <w:tcW w:w="904" w:type="dxa"/>
            <w:tcBorders>
              <w:top w:val="nil"/>
              <w:left w:val="nil"/>
              <w:bottom w:val="single" w:sz="4" w:space="0" w:color="auto"/>
              <w:right w:val="single" w:sz="4" w:space="0" w:color="auto"/>
            </w:tcBorders>
            <w:shd w:val="clear" w:color="auto" w:fill="auto"/>
            <w:noWrap/>
            <w:vAlign w:val="bottom"/>
            <w:hideMark/>
          </w:tcPr>
          <w:p w14:paraId="293C847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60.589</w:t>
            </w:r>
          </w:p>
        </w:tc>
        <w:tc>
          <w:tcPr>
            <w:tcW w:w="904" w:type="dxa"/>
            <w:tcBorders>
              <w:top w:val="nil"/>
              <w:left w:val="nil"/>
              <w:bottom w:val="single" w:sz="4" w:space="0" w:color="auto"/>
              <w:right w:val="single" w:sz="4" w:space="0" w:color="auto"/>
            </w:tcBorders>
            <w:shd w:val="clear" w:color="auto" w:fill="auto"/>
            <w:noWrap/>
            <w:vAlign w:val="bottom"/>
            <w:hideMark/>
          </w:tcPr>
          <w:p w14:paraId="11B22EB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68.000</w:t>
            </w:r>
          </w:p>
        </w:tc>
        <w:tc>
          <w:tcPr>
            <w:tcW w:w="904" w:type="dxa"/>
            <w:tcBorders>
              <w:top w:val="nil"/>
              <w:left w:val="nil"/>
              <w:bottom w:val="single" w:sz="4" w:space="0" w:color="auto"/>
              <w:right w:val="single" w:sz="4" w:space="0" w:color="auto"/>
            </w:tcBorders>
            <w:shd w:val="clear" w:color="auto" w:fill="auto"/>
            <w:noWrap/>
            <w:vAlign w:val="bottom"/>
            <w:hideMark/>
          </w:tcPr>
          <w:p w14:paraId="7BB6A40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28C07FC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64.003</w:t>
            </w:r>
          </w:p>
        </w:tc>
        <w:tc>
          <w:tcPr>
            <w:tcW w:w="904" w:type="dxa"/>
            <w:tcBorders>
              <w:top w:val="nil"/>
              <w:left w:val="nil"/>
              <w:bottom w:val="single" w:sz="4" w:space="0" w:color="auto"/>
              <w:right w:val="single" w:sz="4" w:space="0" w:color="auto"/>
            </w:tcBorders>
            <w:shd w:val="clear" w:color="auto" w:fill="auto"/>
            <w:noWrap/>
            <w:vAlign w:val="bottom"/>
            <w:hideMark/>
          </w:tcPr>
          <w:p w14:paraId="7BF3F00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84D2A5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59.309</w:t>
            </w:r>
          </w:p>
        </w:tc>
        <w:tc>
          <w:tcPr>
            <w:tcW w:w="1946" w:type="dxa"/>
            <w:tcBorders>
              <w:top w:val="nil"/>
              <w:left w:val="nil"/>
              <w:bottom w:val="nil"/>
              <w:right w:val="nil"/>
            </w:tcBorders>
            <w:shd w:val="clear" w:color="auto" w:fill="auto"/>
            <w:noWrap/>
            <w:vAlign w:val="bottom"/>
            <w:hideMark/>
          </w:tcPr>
          <w:p w14:paraId="235E431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3F937F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B5EEA1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390</w:t>
            </w:r>
          </w:p>
        </w:tc>
        <w:tc>
          <w:tcPr>
            <w:tcW w:w="904" w:type="dxa"/>
            <w:tcBorders>
              <w:top w:val="nil"/>
              <w:left w:val="nil"/>
              <w:bottom w:val="single" w:sz="4" w:space="0" w:color="auto"/>
              <w:right w:val="single" w:sz="4" w:space="0" w:color="auto"/>
            </w:tcBorders>
            <w:shd w:val="clear" w:color="auto" w:fill="auto"/>
            <w:noWrap/>
            <w:vAlign w:val="bottom"/>
            <w:hideMark/>
          </w:tcPr>
          <w:p w14:paraId="6347173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951C4C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68.000</w:t>
            </w:r>
          </w:p>
        </w:tc>
        <w:tc>
          <w:tcPr>
            <w:tcW w:w="904" w:type="dxa"/>
            <w:tcBorders>
              <w:top w:val="nil"/>
              <w:left w:val="nil"/>
              <w:bottom w:val="single" w:sz="4" w:space="0" w:color="auto"/>
              <w:right w:val="single" w:sz="4" w:space="0" w:color="auto"/>
            </w:tcBorders>
            <w:shd w:val="clear" w:color="auto" w:fill="auto"/>
            <w:noWrap/>
            <w:vAlign w:val="bottom"/>
            <w:hideMark/>
          </w:tcPr>
          <w:p w14:paraId="10F6406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5210DDB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64.314</w:t>
            </w:r>
          </w:p>
        </w:tc>
        <w:tc>
          <w:tcPr>
            <w:tcW w:w="904" w:type="dxa"/>
            <w:tcBorders>
              <w:top w:val="nil"/>
              <w:left w:val="nil"/>
              <w:bottom w:val="single" w:sz="4" w:space="0" w:color="auto"/>
              <w:right w:val="single" w:sz="4" w:space="0" w:color="auto"/>
            </w:tcBorders>
            <w:shd w:val="clear" w:color="auto" w:fill="auto"/>
            <w:noWrap/>
            <w:vAlign w:val="bottom"/>
            <w:hideMark/>
          </w:tcPr>
          <w:p w14:paraId="6C17C2A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59.478</w:t>
            </w:r>
          </w:p>
        </w:tc>
        <w:tc>
          <w:tcPr>
            <w:tcW w:w="904" w:type="dxa"/>
            <w:tcBorders>
              <w:top w:val="nil"/>
              <w:left w:val="nil"/>
              <w:bottom w:val="single" w:sz="4" w:space="0" w:color="auto"/>
              <w:right w:val="single" w:sz="4" w:space="0" w:color="auto"/>
            </w:tcBorders>
            <w:shd w:val="clear" w:color="auto" w:fill="auto"/>
            <w:noWrap/>
            <w:vAlign w:val="bottom"/>
            <w:hideMark/>
          </w:tcPr>
          <w:p w14:paraId="66943BF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5FCD59C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F8379F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AE4424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391</w:t>
            </w:r>
          </w:p>
        </w:tc>
        <w:tc>
          <w:tcPr>
            <w:tcW w:w="904" w:type="dxa"/>
            <w:tcBorders>
              <w:top w:val="nil"/>
              <w:left w:val="nil"/>
              <w:bottom w:val="single" w:sz="4" w:space="0" w:color="auto"/>
              <w:right w:val="single" w:sz="4" w:space="0" w:color="auto"/>
            </w:tcBorders>
            <w:shd w:val="clear" w:color="auto" w:fill="auto"/>
            <w:noWrap/>
            <w:vAlign w:val="bottom"/>
            <w:hideMark/>
          </w:tcPr>
          <w:p w14:paraId="51CEEE2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0A92A0D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68.000</w:t>
            </w:r>
          </w:p>
        </w:tc>
        <w:tc>
          <w:tcPr>
            <w:tcW w:w="904" w:type="dxa"/>
            <w:tcBorders>
              <w:top w:val="nil"/>
              <w:left w:val="nil"/>
              <w:bottom w:val="single" w:sz="4" w:space="0" w:color="auto"/>
              <w:right w:val="single" w:sz="4" w:space="0" w:color="auto"/>
            </w:tcBorders>
            <w:shd w:val="clear" w:color="auto" w:fill="auto"/>
            <w:noWrap/>
            <w:vAlign w:val="bottom"/>
            <w:hideMark/>
          </w:tcPr>
          <w:p w14:paraId="36310FB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13343D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63.266</w:t>
            </w:r>
          </w:p>
        </w:tc>
        <w:tc>
          <w:tcPr>
            <w:tcW w:w="904" w:type="dxa"/>
            <w:tcBorders>
              <w:top w:val="nil"/>
              <w:left w:val="nil"/>
              <w:bottom w:val="single" w:sz="4" w:space="0" w:color="auto"/>
              <w:right w:val="single" w:sz="4" w:space="0" w:color="auto"/>
            </w:tcBorders>
            <w:shd w:val="clear" w:color="auto" w:fill="auto"/>
            <w:noWrap/>
            <w:vAlign w:val="bottom"/>
            <w:hideMark/>
          </w:tcPr>
          <w:p w14:paraId="562F65D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57.295</w:t>
            </w:r>
          </w:p>
        </w:tc>
        <w:tc>
          <w:tcPr>
            <w:tcW w:w="904" w:type="dxa"/>
            <w:tcBorders>
              <w:top w:val="nil"/>
              <w:left w:val="nil"/>
              <w:bottom w:val="single" w:sz="4" w:space="0" w:color="auto"/>
              <w:right w:val="single" w:sz="4" w:space="0" w:color="auto"/>
            </w:tcBorders>
            <w:shd w:val="clear" w:color="auto" w:fill="auto"/>
            <w:noWrap/>
            <w:vAlign w:val="bottom"/>
            <w:hideMark/>
          </w:tcPr>
          <w:p w14:paraId="736318A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3BB5FBA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5CBEE6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1EA420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392</w:t>
            </w:r>
          </w:p>
        </w:tc>
        <w:tc>
          <w:tcPr>
            <w:tcW w:w="904" w:type="dxa"/>
            <w:tcBorders>
              <w:top w:val="nil"/>
              <w:left w:val="nil"/>
              <w:bottom w:val="single" w:sz="4" w:space="0" w:color="auto"/>
              <w:right w:val="single" w:sz="4" w:space="0" w:color="auto"/>
            </w:tcBorders>
            <w:shd w:val="clear" w:color="auto" w:fill="auto"/>
            <w:noWrap/>
            <w:vAlign w:val="bottom"/>
            <w:hideMark/>
          </w:tcPr>
          <w:p w14:paraId="12F4162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903C46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67.609</w:t>
            </w:r>
          </w:p>
        </w:tc>
        <w:tc>
          <w:tcPr>
            <w:tcW w:w="904" w:type="dxa"/>
            <w:tcBorders>
              <w:top w:val="nil"/>
              <w:left w:val="nil"/>
              <w:bottom w:val="single" w:sz="4" w:space="0" w:color="auto"/>
              <w:right w:val="single" w:sz="4" w:space="0" w:color="auto"/>
            </w:tcBorders>
            <w:shd w:val="clear" w:color="auto" w:fill="auto"/>
            <w:noWrap/>
            <w:vAlign w:val="bottom"/>
            <w:hideMark/>
          </w:tcPr>
          <w:p w14:paraId="609328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087E976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7B82F41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56.609</w:t>
            </w:r>
          </w:p>
        </w:tc>
        <w:tc>
          <w:tcPr>
            <w:tcW w:w="904" w:type="dxa"/>
            <w:tcBorders>
              <w:top w:val="nil"/>
              <w:left w:val="nil"/>
              <w:bottom w:val="single" w:sz="4" w:space="0" w:color="auto"/>
              <w:right w:val="single" w:sz="4" w:space="0" w:color="auto"/>
            </w:tcBorders>
            <w:shd w:val="clear" w:color="auto" w:fill="auto"/>
            <w:noWrap/>
            <w:vAlign w:val="bottom"/>
            <w:hideMark/>
          </w:tcPr>
          <w:p w14:paraId="69DA7CC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7DF2C71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20F68C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B84EE5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393</w:t>
            </w:r>
          </w:p>
        </w:tc>
        <w:tc>
          <w:tcPr>
            <w:tcW w:w="904" w:type="dxa"/>
            <w:tcBorders>
              <w:top w:val="nil"/>
              <w:left w:val="nil"/>
              <w:bottom w:val="single" w:sz="4" w:space="0" w:color="auto"/>
              <w:right w:val="single" w:sz="4" w:space="0" w:color="auto"/>
            </w:tcBorders>
            <w:shd w:val="clear" w:color="auto" w:fill="auto"/>
            <w:noWrap/>
            <w:vAlign w:val="bottom"/>
            <w:hideMark/>
          </w:tcPr>
          <w:p w14:paraId="15B9013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5703A8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65.197</w:t>
            </w:r>
          </w:p>
        </w:tc>
        <w:tc>
          <w:tcPr>
            <w:tcW w:w="904" w:type="dxa"/>
            <w:tcBorders>
              <w:top w:val="nil"/>
              <w:left w:val="nil"/>
              <w:bottom w:val="single" w:sz="4" w:space="0" w:color="auto"/>
              <w:right w:val="single" w:sz="4" w:space="0" w:color="auto"/>
            </w:tcBorders>
            <w:shd w:val="clear" w:color="auto" w:fill="auto"/>
            <w:noWrap/>
            <w:vAlign w:val="bottom"/>
            <w:hideMark/>
          </w:tcPr>
          <w:p w14:paraId="6D82129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59.688</w:t>
            </w:r>
          </w:p>
        </w:tc>
        <w:tc>
          <w:tcPr>
            <w:tcW w:w="904" w:type="dxa"/>
            <w:tcBorders>
              <w:top w:val="nil"/>
              <w:left w:val="nil"/>
              <w:bottom w:val="single" w:sz="4" w:space="0" w:color="auto"/>
              <w:right w:val="single" w:sz="4" w:space="0" w:color="auto"/>
            </w:tcBorders>
            <w:shd w:val="clear" w:color="auto" w:fill="auto"/>
            <w:noWrap/>
            <w:vAlign w:val="bottom"/>
            <w:hideMark/>
          </w:tcPr>
          <w:p w14:paraId="320F80D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17CDD60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56.027</w:t>
            </w:r>
          </w:p>
        </w:tc>
        <w:tc>
          <w:tcPr>
            <w:tcW w:w="904" w:type="dxa"/>
            <w:tcBorders>
              <w:top w:val="nil"/>
              <w:left w:val="nil"/>
              <w:bottom w:val="single" w:sz="4" w:space="0" w:color="auto"/>
              <w:right w:val="single" w:sz="4" w:space="0" w:color="auto"/>
            </w:tcBorders>
            <w:shd w:val="clear" w:color="auto" w:fill="auto"/>
            <w:noWrap/>
            <w:vAlign w:val="bottom"/>
            <w:hideMark/>
          </w:tcPr>
          <w:p w14:paraId="4E9886E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4C7D681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DF2B5A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433E1D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394</w:t>
            </w:r>
          </w:p>
        </w:tc>
        <w:tc>
          <w:tcPr>
            <w:tcW w:w="904" w:type="dxa"/>
            <w:tcBorders>
              <w:top w:val="nil"/>
              <w:left w:val="nil"/>
              <w:bottom w:val="single" w:sz="4" w:space="0" w:color="auto"/>
              <w:right w:val="single" w:sz="4" w:space="0" w:color="auto"/>
            </w:tcBorders>
            <w:shd w:val="clear" w:color="auto" w:fill="auto"/>
            <w:noWrap/>
            <w:vAlign w:val="bottom"/>
            <w:hideMark/>
          </w:tcPr>
          <w:p w14:paraId="756B50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1037C8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6DCC316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61.246</w:t>
            </w:r>
          </w:p>
        </w:tc>
        <w:tc>
          <w:tcPr>
            <w:tcW w:w="904" w:type="dxa"/>
            <w:tcBorders>
              <w:top w:val="nil"/>
              <w:left w:val="nil"/>
              <w:bottom w:val="single" w:sz="4" w:space="0" w:color="auto"/>
              <w:right w:val="single" w:sz="4" w:space="0" w:color="auto"/>
            </w:tcBorders>
            <w:shd w:val="clear" w:color="auto" w:fill="auto"/>
            <w:noWrap/>
            <w:vAlign w:val="bottom"/>
            <w:hideMark/>
          </w:tcPr>
          <w:p w14:paraId="4D906D1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61.244</w:t>
            </w:r>
          </w:p>
        </w:tc>
        <w:tc>
          <w:tcPr>
            <w:tcW w:w="904" w:type="dxa"/>
            <w:tcBorders>
              <w:top w:val="nil"/>
              <w:left w:val="nil"/>
              <w:bottom w:val="single" w:sz="4" w:space="0" w:color="auto"/>
              <w:right w:val="single" w:sz="4" w:space="0" w:color="auto"/>
            </w:tcBorders>
            <w:shd w:val="clear" w:color="auto" w:fill="auto"/>
            <w:noWrap/>
            <w:vAlign w:val="bottom"/>
            <w:hideMark/>
          </w:tcPr>
          <w:p w14:paraId="38B63DE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271E7B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26D329A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5DAB89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32F9F6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395</w:t>
            </w:r>
          </w:p>
        </w:tc>
        <w:tc>
          <w:tcPr>
            <w:tcW w:w="904" w:type="dxa"/>
            <w:tcBorders>
              <w:top w:val="nil"/>
              <w:left w:val="nil"/>
              <w:bottom w:val="single" w:sz="4" w:space="0" w:color="auto"/>
              <w:right w:val="single" w:sz="4" w:space="0" w:color="auto"/>
            </w:tcBorders>
            <w:shd w:val="clear" w:color="auto" w:fill="auto"/>
            <w:noWrap/>
            <w:vAlign w:val="bottom"/>
            <w:hideMark/>
          </w:tcPr>
          <w:p w14:paraId="45034D8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59.957</w:t>
            </w:r>
          </w:p>
        </w:tc>
        <w:tc>
          <w:tcPr>
            <w:tcW w:w="904" w:type="dxa"/>
            <w:tcBorders>
              <w:top w:val="nil"/>
              <w:left w:val="nil"/>
              <w:bottom w:val="single" w:sz="4" w:space="0" w:color="auto"/>
              <w:right w:val="single" w:sz="4" w:space="0" w:color="auto"/>
            </w:tcBorders>
            <w:shd w:val="clear" w:color="auto" w:fill="auto"/>
            <w:noWrap/>
            <w:vAlign w:val="bottom"/>
            <w:hideMark/>
          </w:tcPr>
          <w:p w14:paraId="2AC1C10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64.000</w:t>
            </w:r>
          </w:p>
        </w:tc>
        <w:tc>
          <w:tcPr>
            <w:tcW w:w="904" w:type="dxa"/>
            <w:tcBorders>
              <w:top w:val="nil"/>
              <w:left w:val="nil"/>
              <w:bottom w:val="single" w:sz="4" w:space="0" w:color="auto"/>
              <w:right w:val="single" w:sz="4" w:space="0" w:color="auto"/>
            </w:tcBorders>
            <w:shd w:val="clear" w:color="auto" w:fill="auto"/>
            <w:noWrap/>
            <w:vAlign w:val="bottom"/>
            <w:hideMark/>
          </w:tcPr>
          <w:p w14:paraId="66162D7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61.037</w:t>
            </w:r>
          </w:p>
        </w:tc>
        <w:tc>
          <w:tcPr>
            <w:tcW w:w="904" w:type="dxa"/>
            <w:tcBorders>
              <w:top w:val="nil"/>
              <w:left w:val="nil"/>
              <w:bottom w:val="single" w:sz="4" w:space="0" w:color="auto"/>
              <w:right w:val="single" w:sz="4" w:space="0" w:color="auto"/>
            </w:tcBorders>
            <w:shd w:val="clear" w:color="auto" w:fill="auto"/>
            <w:noWrap/>
            <w:vAlign w:val="bottom"/>
            <w:hideMark/>
          </w:tcPr>
          <w:p w14:paraId="7BDAE97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59.105</w:t>
            </w:r>
          </w:p>
        </w:tc>
        <w:tc>
          <w:tcPr>
            <w:tcW w:w="904" w:type="dxa"/>
            <w:tcBorders>
              <w:top w:val="nil"/>
              <w:left w:val="nil"/>
              <w:bottom w:val="single" w:sz="4" w:space="0" w:color="auto"/>
              <w:right w:val="single" w:sz="4" w:space="0" w:color="auto"/>
            </w:tcBorders>
            <w:shd w:val="clear" w:color="auto" w:fill="auto"/>
            <w:noWrap/>
            <w:vAlign w:val="bottom"/>
            <w:hideMark/>
          </w:tcPr>
          <w:p w14:paraId="183CA0F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8F869C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1CFE60F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73A94E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2E9A44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396</w:t>
            </w:r>
          </w:p>
        </w:tc>
        <w:tc>
          <w:tcPr>
            <w:tcW w:w="904" w:type="dxa"/>
            <w:tcBorders>
              <w:top w:val="nil"/>
              <w:left w:val="nil"/>
              <w:bottom w:val="single" w:sz="4" w:space="0" w:color="auto"/>
              <w:right w:val="single" w:sz="4" w:space="0" w:color="auto"/>
            </w:tcBorders>
            <w:shd w:val="clear" w:color="auto" w:fill="auto"/>
            <w:noWrap/>
            <w:vAlign w:val="bottom"/>
            <w:hideMark/>
          </w:tcPr>
          <w:p w14:paraId="284EE1B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59.272</w:t>
            </w:r>
          </w:p>
        </w:tc>
        <w:tc>
          <w:tcPr>
            <w:tcW w:w="904" w:type="dxa"/>
            <w:tcBorders>
              <w:top w:val="nil"/>
              <w:left w:val="nil"/>
              <w:bottom w:val="single" w:sz="4" w:space="0" w:color="auto"/>
              <w:right w:val="single" w:sz="4" w:space="0" w:color="auto"/>
            </w:tcBorders>
            <w:shd w:val="clear" w:color="auto" w:fill="auto"/>
            <w:noWrap/>
            <w:vAlign w:val="bottom"/>
            <w:hideMark/>
          </w:tcPr>
          <w:p w14:paraId="7536521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62.539</w:t>
            </w:r>
          </w:p>
        </w:tc>
        <w:tc>
          <w:tcPr>
            <w:tcW w:w="904" w:type="dxa"/>
            <w:tcBorders>
              <w:top w:val="nil"/>
              <w:left w:val="nil"/>
              <w:bottom w:val="single" w:sz="4" w:space="0" w:color="auto"/>
              <w:right w:val="single" w:sz="4" w:space="0" w:color="auto"/>
            </w:tcBorders>
            <w:shd w:val="clear" w:color="auto" w:fill="auto"/>
            <w:noWrap/>
            <w:vAlign w:val="bottom"/>
            <w:hideMark/>
          </w:tcPr>
          <w:p w14:paraId="3FF74A8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0CF36D6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58.764</w:t>
            </w:r>
          </w:p>
        </w:tc>
        <w:tc>
          <w:tcPr>
            <w:tcW w:w="904" w:type="dxa"/>
            <w:tcBorders>
              <w:top w:val="nil"/>
              <w:left w:val="nil"/>
              <w:bottom w:val="single" w:sz="4" w:space="0" w:color="auto"/>
              <w:right w:val="single" w:sz="4" w:space="0" w:color="auto"/>
            </w:tcBorders>
            <w:shd w:val="clear" w:color="auto" w:fill="auto"/>
            <w:noWrap/>
            <w:vAlign w:val="bottom"/>
            <w:hideMark/>
          </w:tcPr>
          <w:p w14:paraId="71B9812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749D9D5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5DAA3ED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F977212"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D6F3BF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397</w:t>
            </w:r>
          </w:p>
        </w:tc>
        <w:tc>
          <w:tcPr>
            <w:tcW w:w="904" w:type="dxa"/>
            <w:tcBorders>
              <w:top w:val="nil"/>
              <w:left w:val="nil"/>
              <w:bottom w:val="single" w:sz="4" w:space="0" w:color="auto"/>
              <w:right w:val="single" w:sz="4" w:space="0" w:color="auto"/>
            </w:tcBorders>
            <w:shd w:val="clear" w:color="auto" w:fill="auto"/>
            <w:noWrap/>
            <w:vAlign w:val="bottom"/>
            <w:hideMark/>
          </w:tcPr>
          <w:p w14:paraId="3F5CF2C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BD9EFD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22D3E70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3651AC4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56.896</w:t>
            </w:r>
          </w:p>
        </w:tc>
        <w:tc>
          <w:tcPr>
            <w:tcW w:w="904" w:type="dxa"/>
            <w:tcBorders>
              <w:top w:val="nil"/>
              <w:left w:val="nil"/>
              <w:bottom w:val="single" w:sz="4" w:space="0" w:color="auto"/>
              <w:right w:val="single" w:sz="4" w:space="0" w:color="auto"/>
            </w:tcBorders>
            <w:shd w:val="clear" w:color="auto" w:fill="auto"/>
            <w:noWrap/>
            <w:vAlign w:val="bottom"/>
            <w:hideMark/>
          </w:tcPr>
          <w:p w14:paraId="764A683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56.283</w:t>
            </w:r>
          </w:p>
        </w:tc>
        <w:tc>
          <w:tcPr>
            <w:tcW w:w="904" w:type="dxa"/>
            <w:tcBorders>
              <w:top w:val="nil"/>
              <w:left w:val="nil"/>
              <w:bottom w:val="single" w:sz="4" w:space="0" w:color="auto"/>
              <w:right w:val="single" w:sz="4" w:space="0" w:color="auto"/>
            </w:tcBorders>
            <w:shd w:val="clear" w:color="auto" w:fill="auto"/>
            <w:noWrap/>
            <w:vAlign w:val="bottom"/>
            <w:hideMark/>
          </w:tcPr>
          <w:p w14:paraId="1F8C288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5EFC495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BAB85A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FFFC4A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398</w:t>
            </w:r>
          </w:p>
        </w:tc>
        <w:tc>
          <w:tcPr>
            <w:tcW w:w="904" w:type="dxa"/>
            <w:tcBorders>
              <w:top w:val="nil"/>
              <w:left w:val="nil"/>
              <w:bottom w:val="single" w:sz="4" w:space="0" w:color="auto"/>
              <w:right w:val="single" w:sz="4" w:space="0" w:color="auto"/>
            </w:tcBorders>
            <w:shd w:val="clear" w:color="auto" w:fill="auto"/>
            <w:noWrap/>
            <w:vAlign w:val="bottom"/>
            <w:hideMark/>
          </w:tcPr>
          <w:p w14:paraId="52270EC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F6EF4A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1EABCCD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3FDEDDE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56.025</w:t>
            </w:r>
          </w:p>
        </w:tc>
        <w:tc>
          <w:tcPr>
            <w:tcW w:w="904" w:type="dxa"/>
            <w:tcBorders>
              <w:top w:val="nil"/>
              <w:left w:val="nil"/>
              <w:bottom w:val="single" w:sz="4" w:space="0" w:color="auto"/>
              <w:right w:val="single" w:sz="4" w:space="0" w:color="auto"/>
            </w:tcBorders>
            <w:shd w:val="clear" w:color="auto" w:fill="auto"/>
            <w:noWrap/>
            <w:vAlign w:val="bottom"/>
            <w:hideMark/>
          </w:tcPr>
          <w:p w14:paraId="63F2BEE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58.838</w:t>
            </w:r>
          </w:p>
        </w:tc>
        <w:tc>
          <w:tcPr>
            <w:tcW w:w="904" w:type="dxa"/>
            <w:tcBorders>
              <w:top w:val="nil"/>
              <w:left w:val="nil"/>
              <w:bottom w:val="single" w:sz="4" w:space="0" w:color="auto"/>
              <w:right w:val="single" w:sz="4" w:space="0" w:color="auto"/>
            </w:tcBorders>
            <w:shd w:val="clear" w:color="auto" w:fill="auto"/>
            <w:noWrap/>
            <w:vAlign w:val="bottom"/>
            <w:hideMark/>
          </w:tcPr>
          <w:p w14:paraId="7293812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1FCECD6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DA5E0A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E33DE5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399</w:t>
            </w:r>
          </w:p>
        </w:tc>
        <w:tc>
          <w:tcPr>
            <w:tcW w:w="904" w:type="dxa"/>
            <w:tcBorders>
              <w:top w:val="nil"/>
              <w:left w:val="nil"/>
              <w:bottom w:val="single" w:sz="4" w:space="0" w:color="auto"/>
              <w:right w:val="single" w:sz="4" w:space="0" w:color="auto"/>
            </w:tcBorders>
            <w:shd w:val="clear" w:color="auto" w:fill="auto"/>
            <w:noWrap/>
            <w:vAlign w:val="bottom"/>
            <w:hideMark/>
          </w:tcPr>
          <w:p w14:paraId="06E68F8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56.191</w:t>
            </w:r>
          </w:p>
        </w:tc>
        <w:tc>
          <w:tcPr>
            <w:tcW w:w="904" w:type="dxa"/>
            <w:tcBorders>
              <w:top w:val="nil"/>
              <w:left w:val="nil"/>
              <w:bottom w:val="single" w:sz="4" w:space="0" w:color="auto"/>
              <w:right w:val="single" w:sz="4" w:space="0" w:color="auto"/>
            </w:tcBorders>
            <w:shd w:val="clear" w:color="auto" w:fill="auto"/>
            <w:noWrap/>
            <w:vAlign w:val="bottom"/>
            <w:hideMark/>
          </w:tcPr>
          <w:p w14:paraId="561DA7B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60.014</w:t>
            </w:r>
          </w:p>
        </w:tc>
        <w:tc>
          <w:tcPr>
            <w:tcW w:w="904" w:type="dxa"/>
            <w:tcBorders>
              <w:top w:val="nil"/>
              <w:left w:val="nil"/>
              <w:bottom w:val="single" w:sz="4" w:space="0" w:color="auto"/>
              <w:right w:val="single" w:sz="4" w:space="0" w:color="auto"/>
            </w:tcBorders>
            <w:shd w:val="clear" w:color="auto" w:fill="auto"/>
            <w:noWrap/>
            <w:vAlign w:val="bottom"/>
            <w:hideMark/>
          </w:tcPr>
          <w:p w14:paraId="4AB786E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7DBFE01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505338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396225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61B0908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E75088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FA8AE2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400</w:t>
            </w:r>
          </w:p>
        </w:tc>
        <w:tc>
          <w:tcPr>
            <w:tcW w:w="904" w:type="dxa"/>
            <w:tcBorders>
              <w:top w:val="nil"/>
              <w:left w:val="nil"/>
              <w:bottom w:val="single" w:sz="4" w:space="0" w:color="auto"/>
              <w:right w:val="single" w:sz="4" w:space="0" w:color="auto"/>
            </w:tcBorders>
            <w:shd w:val="clear" w:color="auto" w:fill="auto"/>
            <w:noWrap/>
            <w:vAlign w:val="bottom"/>
            <w:hideMark/>
          </w:tcPr>
          <w:p w14:paraId="352CEFB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7F4531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57.439</w:t>
            </w:r>
          </w:p>
        </w:tc>
        <w:tc>
          <w:tcPr>
            <w:tcW w:w="904" w:type="dxa"/>
            <w:tcBorders>
              <w:top w:val="nil"/>
              <w:left w:val="nil"/>
              <w:bottom w:val="single" w:sz="4" w:space="0" w:color="auto"/>
              <w:right w:val="single" w:sz="4" w:space="0" w:color="auto"/>
            </w:tcBorders>
            <w:shd w:val="clear" w:color="auto" w:fill="auto"/>
            <w:noWrap/>
            <w:vAlign w:val="bottom"/>
            <w:hideMark/>
          </w:tcPr>
          <w:p w14:paraId="132346A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4B5A7D9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98FD1A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58.244</w:t>
            </w:r>
          </w:p>
        </w:tc>
        <w:tc>
          <w:tcPr>
            <w:tcW w:w="904" w:type="dxa"/>
            <w:tcBorders>
              <w:top w:val="nil"/>
              <w:left w:val="nil"/>
              <w:bottom w:val="single" w:sz="4" w:space="0" w:color="auto"/>
              <w:right w:val="single" w:sz="4" w:space="0" w:color="auto"/>
            </w:tcBorders>
            <w:shd w:val="clear" w:color="auto" w:fill="auto"/>
            <w:noWrap/>
            <w:vAlign w:val="bottom"/>
            <w:hideMark/>
          </w:tcPr>
          <w:p w14:paraId="4D6BEE4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56.622</w:t>
            </w:r>
          </w:p>
        </w:tc>
        <w:tc>
          <w:tcPr>
            <w:tcW w:w="1946" w:type="dxa"/>
            <w:tcBorders>
              <w:top w:val="nil"/>
              <w:left w:val="nil"/>
              <w:bottom w:val="nil"/>
              <w:right w:val="nil"/>
            </w:tcBorders>
            <w:shd w:val="clear" w:color="auto" w:fill="auto"/>
            <w:noWrap/>
            <w:vAlign w:val="bottom"/>
            <w:hideMark/>
          </w:tcPr>
          <w:p w14:paraId="40A1137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18CDBE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AD63C9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401</w:t>
            </w:r>
          </w:p>
        </w:tc>
        <w:tc>
          <w:tcPr>
            <w:tcW w:w="904" w:type="dxa"/>
            <w:tcBorders>
              <w:top w:val="nil"/>
              <w:left w:val="nil"/>
              <w:bottom w:val="single" w:sz="4" w:space="0" w:color="auto"/>
              <w:right w:val="single" w:sz="4" w:space="0" w:color="auto"/>
            </w:tcBorders>
            <w:shd w:val="clear" w:color="auto" w:fill="auto"/>
            <w:noWrap/>
            <w:vAlign w:val="bottom"/>
            <w:hideMark/>
          </w:tcPr>
          <w:p w14:paraId="37DFB41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C0CAF9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DB940D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60.392</w:t>
            </w:r>
          </w:p>
        </w:tc>
        <w:tc>
          <w:tcPr>
            <w:tcW w:w="904" w:type="dxa"/>
            <w:tcBorders>
              <w:top w:val="nil"/>
              <w:left w:val="nil"/>
              <w:bottom w:val="single" w:sz="4" w:space="0" w:color="auto"/>
              <w:right w:val="single" w:sz="4" w:space="0" w:color="auto"/>
            </w:tcBorders>
            <w:shd w:val="clear" w:color="auto" w:fill="auto"/>
            <w:noWrap/>
            <w:vAlign w:val="bottom"/>
            <w:hideMark/>
          </w:tcPr>
          <w:p w14:paraId="36FA7F0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2E73AF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BCD8A9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56.447</w:t>
            </w:r>
          </w:p>
        </w:tc>
        <w:tc>
          <w:tcPr>
            <w:tcW w:w="1946" w:type="dxa"/>
            <w:tcBorders>
              <w:top w:val="nil"/>
              <w:left w:val="nil"/>
              <w:bottom w:val="nil"/>
              <w:right w:val="nil"/>
            </w:tcBorders>
            <w:shd w:val="clear" w:color="auto" w:fill="auto"/>
            <w:noWrap/>
            <w:vAlign w:val="bottom"/>
            <w:hideMark/>
          </w:tcPr>
          <w:p w14:paraId="5749B40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EE5B98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3DCA81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402</w:t>
            </w:r>
          </w:p>
        </w:tc>
        <w:tc>
          <w:tcPr>
            <w:tcW w:w="904" w:type="dxa"/>
            <w:tcBorders>
              <w:top w:val="nil"/>
              <w:left w:val="nil"/>
              <w:bottom w:val="single" w:sz="4" w:space="0" w:color="auto"/>
              <w:right w:val="single" w:sz="4" w:space="0" w:color="auto"/>
            </w:tcBorders>
            <w:shd w:val="clear" w:color="auto" w:fill="auto"/>
            <w:noWrap/>
            <w:vAlign w:val="bottom"/>
            <w:hideMark/>
          </w:tcPr>
          <w:p w14:paraId="532A957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3B5A94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0B2C3D4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58.478</w:t>
            </w:r>
          </w:p>
        </w:tc>
        <w:tc>
          <w:tcPr>
            <w:tcW w:w="904" w:type="dxa"/>
            <w:tcBorders>
              <w:top w:val="nil"/>
              <w:left w:val="nil"/>
              <w:bottom w:val="single" w:sz="4" w:space="0" w:color="auto"/>
              <w:right w:val="single" w:sz="4" w:space="0" w:color="auto"/>
            </w:tcBorders>
            <w:shd w:val="clear" w:color="auto" w:fill="auto"/>
            <w:noWrap/>
            <w:vAlign w:val="bottom"/>
            <w:hideMark/>
          </w:tcPr>
          <w:p w14:paraId="3B38560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7B4997C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1504E1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56.592</w:t>
            </w:r>
          </w:p>
        </w:tc>
        <w:tc>
          <w:tcPr>
            <w:tcW w:w="1946" w:type="dxa"/>
            <w:tcBorders>
              <w:top w:val="nil"/>
              <w:left w:val="nil"/>
              <w:bottom w:val="nil"/>
              <w:right w:val="nil"/>
            </w:tcBorders>
            <w:shd w:val="clear" w:color="auto" w:fill="auto"/>
            <w:noWrap/>
            <w:vAlign w:val="bottom"/>
            <w:hideMark/>
          </w:tcPr>
          <w:p w14:paraId="10D1779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31978D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E0AD8B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403</w:t>
            </w:r>
          </w:p>
        </w:tc>
        <w:tc>
          <w:tcPr>
            <w:tcW w:w="904" w:type="dxa"/>
            <w:tcBorders>
              <w:top w:val="nil"/>
              <w:left w:val="nil"/>
              <w:bottom w:val="single" w:sz="4" w:space="0" w:color="auto"/>
              <w:right w:val="single" w:sz="4" w:space="0" w:color="auto"/>
            </w:tcBorders>
            <w:shd w:val="clear" w:color="auto" w:fill="auto"/>
            <w:noWrap/>
            <w:vAlign w:val="bottom"/>
            <w:hideMark/>
          </w:tcPr>
          <w:p w14:paraId="6129B80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886D26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56.599</w:t>
            </w:r>
          </w:p>
        </w:tc>
        <w:tc>
          <w:tcPr>
            <w:tcW w:w="904" w:type="dxa"/>
            <w:tcBorders>
              <w:top w:val="nil"/>
              <w:left w:val="nil"/>
              <w:bottom w:val="single" w:sz="4" w:space="0" w:color="auto"/>
              <w:right w:val="single" w:sz="4" w:space="0" w:color="auto"/>
            </w:tcBorders>
            <w:shd w:val="clear" w:color="auto" w:fill="auto"/>
            <w:noWrap/>
            <w:vAlign w:val="bottom"/>
            <w:hideMark/>
          </w:tcPr>
          <w:p w14:paraId="07432AD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36CF370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67EAE8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04F9761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56.877</w:t>
            </w:r>
          </w:p>
        </w:tc>
        <w:tc>
          <w:tcPr>
            <w:tcW w:w="1946" w:type="dxa"/>
            <w:tcBorders>
              <w:top w:val="nil"/>
              <w:left w:val="nil"/>
              <w:bottom w:val="nil"/>
              <w:right w:val="nil"/>
            </w:tcBorders>
            <w:shd w:val="clear" w:color="auto" w:fill="auto"/>
            <w:noWrap/>
            <w:vAlign w:val="bottom"/>
            <w:hideMark/>
          </w:tcPr>
          <w:p w14:paraId="7134010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B5B2B9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33D823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404</w:t>
            </w:r>
          </w:p>
        </w:tc>
        <w:tc>
          <w:tcPr>
            <w:tcW w:w="904" w:type="dxa"/>
            <w:tcBorders>
              <w:top w:val="nil"/>
              <w:left w:val="nil"/>
              <w:bottom w:val="single" w:sz="4" w:space="0" w:color="auto"/>
              <w:right w:val="single" w:sz="4" w:space="0" w:color="auto"/>
            </w:tcBorders>
            <w:shd w:val="clear" w:color="auto" w:fill="auto"/>
            <w:noWrap/>
            <w:vAlign w:val="bottom"/>
            <w:hideMark/>
          </w:tcPr>
          <w:p w14:paraId="59B9FF3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F804BB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56.322</w:t>
            </w:r>
          </w:p>
        </w:tc>
        <w:tc>
          <w:tcPr>
            <w:tcW w:w="904" w:type="dxa"/>
            <w:tcBorders>
              <w:top w:val="nil"/>
              <w:left w:val="nil"/>
              <w:bottom w:val="single" w:sz="4" w:space="0" w:color="auto"/>
              <w:right w:val="single" w:sz="4" w:space="0" w:color="auto"/>
            </w:tcBorders>
            <w:shd w:val="clear" w:color="auto" w:fill="auto"/>
            <w:noWrap/>
            <w:vAlign w:val="bottom"/>
            <w:hideMark/>
          </w:tcPr>
          <w:p w14:paraId="07E4FBC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69AD9E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DA6550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117B1F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65146B0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4765DF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3A3E1D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405</w:t>
            </w:r>
          </w:p>
        </w:tc>
        <w:tc>
          <w:tcPr>
            <w:tcW w:w="904" w:type="dxa"/>
            <w:tcBorders>
              <w:top w:val="nil"/>
              <w:left w:val="nil"/>
              <w:bottom w:val="single" w:sz="4" w:space="0" w:color="auto"/>
              <w:right w:val="single" w:sz="4" w:space="0" w:color="auto"/>
            </w:tcBorders>
            <w:shd w:val="clear" w:color="auto" w:fill="auto"/>
            <w:noWrap/>
            <w:vAlign w:val="bottom"/>
            <w:hideMark/>
          </w:tcPr>
          <w:p w14:paraId="511D13A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388FB1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55.393</w:t>
            </w:r>
          </w:p>
        </w:tc>
        <w:tc>
          <w:tcPr>
            <w:tcW w:w="904" w:type="dxa"/>
            <w:tcBorders>
              <w:top w:val="nil"/>
              <w:left w:val="nil"/>
              <w:bottom w:val="single" w:sz="4" w:space="0" w:color="auto"/>
              <w:right w:val="single" w:sz="4" w:space="0" w:color="auto"/>
            </w:tcBorders>
            <w:shd w:val="clear" w:color="auto" w:fill="auto"/>
            <w:noWrap/>
            <w:vAlign w:val="bottom"/>
            <w:hideMark/>
          </w:tcPr>
          <w:p w14:paraId="1915650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64D1251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689C17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DD0F78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44B5FB4C"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DD1691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C00826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406</w:t>
            </w:r>
          </w:p>
        </w:tc>
        <w:tc>
          <w:tcPr>
            <w:tcW w:w="904" w:type="dxa"/>
            <w:tcBorders>
              <w:top w:val="nil"/>
              <w:left w:val="nil"/>
              <w:bottom w:val="single" w:sz="4" w:space="0" w:color="auto"/>
              <w:right w:val="single" w:sz="4" w:space="0" w:color="auto"/>
            </w:tcBorders>
            <w:shd w:val="clear" w:color="auto" w:fill="auto"/>
            <w:noWrap/>
            <w:vAlign w:val="bottom"/>
            <w:hideMark/>
          </w:tcPr>
          <w:p w14:paraId="5A97C54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0B77BAB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55.475</w:t>
            </w:r>
          </w:p>
        </w:tc>
        <w:tc>
          <w:tcPr>
            <w:tcW w:w="904" w:type="dxa"/>
            <w:tcBorders>
              <w:top w:val="nil"/>
              <w:left w:val="nil"/>
              <w:bottom w:val="single" w:sz="4" w:space="0" w:color="auto"/>
              <w:right w:val="single" w:sz="4" w:space="0" w:color="auto"/>
            </w:tcBorders>
            <w:shd w:val="clear" w:color="auto" w:fill="auto"/>
            <w:noWrap/>
            <w:vAlign w:val="bottom"/>
            <w:hideMark/>
          </w:tcPr>
          <w:p w14:paraId="0B42BF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AB45E8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49B31A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0CD31A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7AF7C1C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299867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5B8D4E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407</w:t>
            </w:r>
          </w:p>
        </w:tc>
        <w:tc>
          <w:tcPr>
            <w:tcW w:w="904" w:type="dxa"/>
            <w:tcBorders>
              <w:top w:val="nil"/>
              <w:left w:val="nil"/>
              <w:bottom w:val="single" w:sz="4" w:space="0" w:color="auto"/>
              <w:right w:val="single" w:sz="4" w:space="0" w:color="auto"/>
            </w:tcBorders>
            <w:shd w:val="clear" w:color="auto" w:fill="auto"/>
            <w:noWrap/>
            <w:vAlign w:val="bottom"/>
            <w:hideMark/>
          </w:tcPr>
          <w:p w14:paraId="0ECC2A9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55.750</w:t>
            </w:r>
          </w:p>
        </w:tc>
        <w:tc>
          <w:tcPr>
            <w:tcW w:w="904" w:type="dxa"/>
            <w:tcBorders>
              <w:top w:val="nil"/>
              <w:left w:val="nil"/>
              <w:bottom w:val="single" w:sz="4" w:space="0" w:color="auto"/>
              <w:right w:val="single" w:sz="4" w:space="0" w:color="auto"/>
            </w:tcBorders>
            <w:shd w:val="clear" w:color="auto" w:fill="auto"/>
            <w:noWrap/>
            <w:vAlign w:val="bottom"/>
            <w:hideMark/>
          </w:tcPr>
          <w:p w14:paraId="498B7F3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55.249</w:t>
            </w:r>
          </w:p>
        </w:tc>
        <w:tc>
          <w:tcPr>
            <w:tcW w:w="904" w:type="dxa"/>
            <w:tcBorders>
              <w:top w:val="nil"/>
              <w:left w:val="nil"/>
              <w:bottom w:val="single" w:sz="4" w:space="0" w:color="auto"/>
              <w:right w:val="single" w:sz="4" w:space="0" w:color="auto"/>
            </w:tcBorders>
            <w:shd w:val="clear" w:color="auto" w:fill="auto"/>
            <w:noWrap/>
            <w:vAlign w:val="bottom"/>
            <w:hideMark/>
          </w:tcPr>
          <w:p w14:paraId="079BFA9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55.876</w:t>
            </w:r>
          </w:p>
        </w:tc>
        <w:tc>
          <w:tcPr>
            <w:tcW w:w="904" w:type="dxa"/>
            <w:tcBorders>
              <w:top w:val="nil"/>
              <w:left w:val="nil"/>
              <w:bottom w:val="single" w:sz="4" w:space="0" w:color="auto"/>
              <w:right w:val="single" w:sz="4" w:space="0" w:color="auto"/>
            </w:tcBorders>
            <w:shd w:val="clear" w:color="auto" w:fill="auto"/>
            <w:noWrap/>
            <w:vAlign w:val="bottom"/>
            <w:hideMark/>
          </w:tcPr>
          <w:p w14:paraId="05E9EAC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79E1497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55.791</w:t>
            </w:r>
          </w:p>
        </w:tc>
        <w:tc>
          <w:tcPr>
            <w:tcW w:w="904" w:type="dxa"/>
            <w:tcBorders>
              <w:top w:val="nil"/>
              <w:left w:val="nil"/>
              <w:bottom w:val="single" w:sz="4" w:space="0" w:color="auto"/>
              <w:right w:val="single" w:sz="4" w:space="0" w:color="auto"/>
            </w:tcBorders>
            <w:shd w:val="clear" w:color="auto" w:fill="auto"/>
            <w:noWrap/>
            <w:vAlign w:val="bottom"/>
            <w:hideMark/>
          </w:tcPr>
          <w:p w14:paraId="52CBF3E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7559D6FC"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7940FE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6C88C6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408</w:t>
            </w:r>
          </w:p>
        </w:tc>
        <w:tc>
          <w:tcPr>
            <w:tcW w:w="904" w:type="dxa"/>
            <w:tcBorders>
              <w:top w:val="nil"/>
              <w:left w:val="nil"/>
              <w:bottom w:val="single" w:sz="4" w:space="0" w:color="auto"/>
              <w:right w:val="single" w:sz="4" w:space="0" w:color="auto"/>
            </w:tcBorders>
            <w:shd w:val="clear" w:color="auto" w:fill="auto"/>
            <w:noWrap/>
            <w:vAlign w:val="bottom"/>
            <w:hideMark/>
          </w:tcPr>
          <w:p w14:paraId="76BFFB7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55.226</w:t>
            </w:r>
          </w:p>
        </w:tc>
        <w:tc>
          <w:tcPr>
            <w:tcW w:w="904" w:type="dxa"/>
            <w:tcBorders>
              <w:top w:val="nil"/>
              <w:left w:val="nil"/>
              <w:bottom w:val="single" w:sz="4" w:space="0" w:color="auto"/>
              <w:right w:val="single" w:sz="4" w:space="0" w:color="auto"/>
            </w:tcBorders>
            <w:shd w:val="clear" w:color="auto" w:fill="auto"/>
            <w:noWrap/>
            <w:vAlign w:val="bottom"/>
            <w:hideMark/>
          </w:tcPr>
          <w:p w14:paraId="3E1F54E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54.751</w:t>
            </w:r>
          </w:p>
        </w:tc>
        <w:tc>
          <w:tcPr>
            <w:tcW w:w="904" w:type="dxa"/>
            <w:tcBorders>
              <w:top w:val="nil"/>
              <w:left w:val="nil"/>
              <w:bottom w:val="single" w:sz="4" w:space="0" w:color="auto"/>
              <w:right w:val="single" w:sz="4" w:space="0" w:color="auto"/>
            </w:tcBorders>
            <w:shd w:val="clear" w:color="auto" w:fill="auto"/>
            <w:noWrap/>
            <w:vAlign w:val="bottom"/>
            <w:hideMark/>
          </w:tcPr>
          <w:p w14:paraId="53091D2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1FB1197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82AED6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54.243</w:t>
            </w:r>
          </w:p>
        </w:tc>
        <w:tc>
          <w:tcPr>
            <w:tcW w:w="904" w:type="dxa"/>
            <w:tcBorders>
              <w:top w:val="nil"/>
              <w:left w:val="nil"/>
              <w:bottom w:val="single" w:sz="4" w:space="0" w:color="auto"/>
              <w:right w:val="single" w:sz="4" w:space="0" w:color="auto"/>
            </w:tcBorders>
            <w:shd w:val="clear" w:color="auto" w:fill="auto"/>
            <w:noWrap/>
            <w:vAlign w:val="bottom"/>
            <w:hideMark/>
          </w:tcPr>
          <w:p w14:paraId="51E370D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1D6C1CA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38E918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632031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409</w:t>
            </w:r>
          </w:p>
        </w:tc>
        <w:tc>
          <w:tcPr>
            <w:tcW w:w="904" w:type="dxa"/>
            <w:tcBorders>
              <w:top w:val="nil"/>
              <w:left w:val="nil"/>
              <w:bottom w:val="single" w:sz="4" w:space="0" w:color="auto"/>
              <w:right w:val="single" w:sz="4" w:space="0" w:color="auto"/>
            </w:tcBorders>
            <w:shd w:val="clear" w:color="auto" w:fill="auto"/>
            <w:noWrap/>
            <w:vAlign w:val="bottom"/>
            <w:hideMark/>
          </w:tcPr>
          <w:p w14:paraId="27ACF60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3167234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55.105</w:t>
            </w:r>
          </w:p>
        </w:tc>
        <w:tc>
          <w:tcPr>
            <w:tcW w:w="904" w:type="dxa"/>
            <w:tcBorders>
              <w:top w:val="nil"/>
              <w:left w:val="nil"/>
              <w:bottom w:val="single" w:sz="4" w:space="0" w:color="auto"/>
              <w:right w:val="single" w:sz="4" w:space="0" w:color="auto"/>
            </w:tcBorders>
            <w:shd w:val="clear" w:color="auto" w:fill="auto"/>
            <w:noWrap/>
            <w:vAlign w:val="bottom"/>
            <w:hideMark/>
          </w:tcPr>
          <w:p w14:paraId="5CC0AE6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66F0C42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3DA1A7E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7DB2B79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4C3AB71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D0163B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F72777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410</w:t>
            </w:r>
          </w:p>
        </w:tc>
        <w:tc>
          <w:tcPr>
            <w:tcW w:w="904" w:type="dxa"/>
            <w:tcBorders>
              <w:top w:val="nil"/>
              <w:left w:val="nil"/>
              <w:bottom w:val="single" w:sz="4" w:space="0" w:color="auto"/>
              <w:right w:val="single" w:sz="4" w:space="0" w:color="auto"/>
            </w:tcBorders>
            <w:shd w:val="clear" w:color="auto" w:fill="auto"/>
            <w:noWrap/>
            <w:vAlign w:val="bottom"/>
            <w:hideMark/>
          </w:tcPr>
          <w:p w14:paraId="355CB36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405BDE6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53.941</w:t>
            </w:r>
          </w:p>
        </w:tc>
        <w:tc>
          <w:tcPr>
            <w:tcW w:w="904" w:type="dxa"/>
            <w:tcBorders>
              <w:top w:val="nil"/>
              <w:left w:val="nil"/>
              <w:bottom w:val="single" w:sz="4" w:space="0" w:color="auto"/>
              <w:right w:val="single" w:sz="4" w:space="0" w:color="auto"/>
            </w:tcBorders>
            <w:shd w:val="clear" w:color="auto" w:fill="auto"/>
            <w:noWrap/>
            <w:vAlign w:val="bottom"/>
            <w:hideMark/>
          </w:tcPr>
          <w:p w14:paraId="1F6FB05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1ACBF54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D8DAD8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904" w:type="dxa"/>
            <w:tcBorders>
              <w:top w:val="nil"/>
              <w:left w:val="nil"/>
              <w:bottom w:val="single" w:sz="4" w:space="0" w:color="auto"/>
              <w:right w:val="single" w:sz="4" w:space="0" w:color="auto"/>
            </w:tcBorders>
            <w:shd w:val="clear" w:color="auto" w:fill="auto"/>
            <w:noWrap/>
            <w:vAlign w:val="bottom"/>
            <w:hideMark/>
          </w:tcPr>
          <w:p w14:paraId="5F474D9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4D7783A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4F66A2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95A83F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411</w:t>
            </w:r>
          </w:p>
        </w:tc>
        <w:tc>
          <w:tcPr>
            <w:tcW w:w="904" w:type="dxa"/>
            <w:tcBorders>
              <w:top w:val="nil"/>
              <w:left w:val="nil"/>
              <w:bottom w:val="single" w:sz="4" w:space="0" w:color="auto"/>
              <w:right w:val="single" w:sz="4" w:space="0" w:color="auto"/>
            </w:tcBorders>
            <w:shd w:val="clear" w:color="auto" w:fill="auto"/>
            <w:noWrap/>
            <w:vAlign w:val="bottom"/>
            <w:hideMark/>
          </w:tcPr>
          <w:p w14:paraId="6084C47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6072C6A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54.961</w:t>
            </w:r>
          </w:p>
        </w:tc>
        <w:tc>
          <w:tcPr>
            <w:tcW w:w="904" w:type="dxa"/>
            <w:tcBorders>
              <w:top w:val="nil"/>
              <w:left w:val="nil"/>
              <w:bottom w:val="single" w:sz="4" w:space="0" w:color="auto"/>
              <w:right w:val="single" w:sz="4" w:space="0" w:color="auto"/>
            </w:tcBorders>
            <w:shd w:val="clear" w:color="auto" w:fill="auto"/>
            <w:noWrap/>
            <w:vAlign w:val="bottom"/>
            <w:hideMark/>
          </w:tcPr>
          <w:p w14:paraId="2E3AD27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21A855F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55.660</w:t>
            </w:r>
          </w:p>
        </w:tc>
        <w:tc>
          <w:tcPr>
            <w:tcW w:w="904" w:type="dxa"/>
            <w:tcBorders>
              <w:top w:val="nil"/>
              <w:left w:val="nil"/>
              <w:bottom w:val="single" w:sz="4" w:space="0" w:color="auto"/>
              <w:right w:val="single" w:sz="4" w:space="0" w:color="auto"/>
            </w:tcBorders>
            <w:shd w:val="clear" w:color="auto" w:fill="auto"/>
            <w:noWrap/>
            <w:vAlign w:val="bottom"/>
            <w:hideMark/>
          </w:tcPr>
          <w:p w14:paraId="51F632C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54.357</w:t>
            </w:r>
          </w:p>
        </w:tc>
        <w:tc>
          <w:tcPr>
            <w:tcW w:w="904" w:type="dxa"/>
            <w:tcBorders>
              <w:top w:val="nil"/>
              <w:left w:val="nil"/>
              <w:bottom w:val="single" w:sz="4" w:space="0" w:color="auto"/>
              <w:right w:val="single" w:sz="4" w:space="0" w:color="auto"/>
            </w:tcBorders>
            <w:shd w:val="clear" w:color="auto" w:fill="auto"/>
            <w:noWrap/>
            <w:vAlign w:val="bottom"/>
            <w:hideMark/>
          </w:tcPr>
          <w:p w14:paraId="6D05EA0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56.949</w:t>
            </w:r>
          </w:p>
        </w:tc>
        <w:tc>
          <w:tcPr>
            <w:tcW w:w="1946" w:type="dxa"/>
            <w:tcBorders>
              <w:top w:val="nil"/>
              <w:left w:val="nil"/>
              <w:bottom w:val="nil"/>
              <w:right w:val="nil"/>
            </w:tcBorders>
            <w:shd w:val="clear" w:color="auto" w:fill="auto"/>
            <w:noWrap/>
            <w:vAlign w:val="bottom"/>
            <w:hideMark/>
          </w:tcPr>
          <w:p w14:paraId="16F01F8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E4A5207"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C53AB3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412</w:t>
            </w:r>
          </w:p>
        </w:tc>
        <w:tc>
          <w:tcPr>
            <w:tcW w:w="904" w:type="dxa"/>
            <w:tcBorders>
              <w:top w:val="nil"/>
              <w:left w:val="nil"/>
              <w:bottom w:val="single" w:sz="4" w:space="0" w:color="auto"/>
              <w:right w:val="single" w:sz="4" w:space="0" w:color="auto"/>
            </w:tcBorders>
            <w:shd w:val="clear" w:color="auto" w:fill="auto"/>
            <w:noWrap/>
            <w:vAlign w:val="bottom"/>
            <w:hideMark/>
          </w:tcPr>
          <w:p w14:paraId="40DC54A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FA7F47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53.390</w:t>
            </w:r>
          </w:p>
        </w:tc>
        <w:tc>
          <w:tcPr>
            <w:tcW w:w="904" w:type="dxa"/>
            <w:tcBorders>
              <w:top w:val="nil"/>
              <w:left w:val="nil"/>
              <w:bottom w:val="single" w:sz="4" w:space="0" w:color="auto"/>
              <w:right w:val="single" w:sz="4" w:space="0" w:color="auto"/>
            </w:tcBorders>
            <w:shd w:val="clear" w:color="auto" w:fill="auto"/>
            <w:noWrap/>
            <w:vAlign w:val="bottom"/>
            <w:hideMark/>
          </w:tcPr>
          <w:p w14:paraId="495B423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4D090E6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55.886</w:t>
            </w:r>
          </w:p>
        </w:tc>
        <w:tc>
          <w:tcPr>
            <w:tcW w:w="904" w:type="dxa"/>
            <w:tcBorders>
              <w:top w:val="nil"/>
              <w:left w:val="nil"/>
              <w:bottom w:val="single" w:sz="4" w:space="0" w:color="auto"/>
              <w:right w:val="single" w:sz="4" w:space="0" w:color="auto"/>
            </w:tcBorders>
            <w:shd w:val="clear" w:color="auto" w:fill="auto"/>
            <w:noWrap/>
            <w:vAlign w:val="bottom"/>
            <w:hideMark/>
          </w:tcPr>
          <w:p w14:paraId="6F7A630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54.983</w:t>
            </w:r>
          </w:p>
        </w:tc>
        <w:tc>
          <w:tcPr>
            <w:tcW w:w="904" w:type="dxa"/>
            <w:tcBorders>
              <w:top w:val="nil"/>
              <w:left w:val="nil"/>
              <w:bottom w:val="single" w:sz="4" w:space="0" w:color="auto"/>
              <w:right w:val="single" w:sz="4" w:space="0" w:color="auto"/>
            </w:tcBorders>
            <w:shd w:val="clear" w:color="auto" w:fill="auto"/>
            <w:noWrap/>
            <w:vAlign w:val="bottom"/>
            <w:hideMark/>
          </w:tcPr>
          <w:p w14:paraId="4534F22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54.394</w:t>
            </w:r>
          </w:p>
        </w:tc>
        <w:tc>
          <w:tcPr>
            <w:tcW w:w="1946" w:type="dxa"/>
            <w:tcBorders>
              <w:top w:val="nil"/>
              <w:left w:val="nil"/>
              <w:bottom w:val="nil"/>
              <w:right w:val="nil"/>
            </w:tcBorders>
            <w:shd w:val="clear" w:color="auto" w:fill="auto"/>
            <w:noWrap/>
            <w:vAlign w:val="bottom"/>
            <w:hideMark/>
          </w:tcPr>
          <w:p w14:paraId="1B3BC03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B33389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439B20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413</w:t>
            </w:r>
          </w:p>
        </w:tc>
        <w:tc>
          <w:tcPr>
            <w:tcW w:w="904" w:type="dxa"/>
            <w:tcBorders>
              <w:top w:val="nil"/>
              <w:left w:val="nil"/>
              <w:bottom w:val="single" w:sz="4" w:space="0" w:color="auto"/>
              <w:right w:val="single" w:sz="4" w:space="0" w:color="auto"/>
            </w:tcBorders>
            <w:shd w:val="clear" w:color="auto" w:fill="auto"/>
            <w:noWrap/>
            <w:vAlign w:val="bottom"/>
            <w:hideMark/>
          </w:tcPr>
          <w:p w14:paraId="146FAE6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57.492</w:t>
            </w:r>
          </w:p>
        </w:tc>
        <w:tc>
          <w:tcPr>
            <w:tcW w:w="904" w:type="dxa"/>
            <w:tcBorders>
              <w:top w:val="nil"/>
              <w:left w:val="nil"/>
              <w:bottom w:val="single" w:sz="4" w:space="0" w:color="auto"/>
              <w:right w:val="single" w:sz="4" w:space="0" w:color="auto"/>
            </w:tcBorders>
            <w:shd w:val="clear" w:color="auto" w:fill="auto"/>
            <w:noWrap/>
            <w:vAlign w:val="bottom"/>
            <w:hideMark/>
          </w:tcPr>
          <w:p w14:paraId="1B837D6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54.309</w:t>
            </w:r>
          </w:p>
        </w:tc>
        <w:tc>
          <w:tcPr>
            <w:tcW w:w="904" w:type="dxa"/>
            <w:tcBorders>
              <w:top w:val="nil"/>
              <w:left w:val="nil"/>
              <w:bottom w:val="single" w:sz="4" w:space="0" w:color="auto"/>
              <w:right w:val="single" w:sz="4" w:space="0" w:color="auto"/>
            </w:tcBorders>
            <w:shd w:val="clear" w:color="auto" w:fill="auto"/>
            <w:noWrap/>
            <w:vAlign w:val="bottom"/>
            <w:hideMark/>
          </w:tcPr>
          <w:p w14:paraId="1E6F21F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57.097</w:t>
            </w:r>
          </w:p>
        </w:tc>
        <w:tc>
          <w:tcPr>
            <w:tcW w:w="904" w:type="dxa"/>
            <w:tcBorders>
              <w:top w:val="nil"/>
              <w:left w:val="nil"/>
              <w:bottom w:val="single" w:sz="4" w:space="0" w:color="auto"/>
              <w:right w:val="single" w:sz="4" w:space="0" w:color="auto"/>
            </w:tcBorders>
            <w:shd w:val="clear" w:color="auto" w:fill="auto"/>
            <w:noWrap/>
            <w:vAlign w:val="bottom"/>
            <w:hideMark/>
          </w:tcPr>
          <w:p w14:paraId="28773ED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55.890</w:t>
            </w:r>
          </w:p>
        </w:tc>
        <w:tc>
          <w:tcPr>
            <w:tcW w:w="904" w:type="dxa"/>
            <w:tcBorders>
              <w:top w:val="nil"/>
              <w:left w:val="nil"/>
              <w:bottom w:val="single" w:sz="4" w:space="0" w:color="auto"/>
              <w:right w:val="single" w:sz="4" w:space="0" w:color="auto"/>
            </w:tcBorders>
            <w:shd w:val="clear" w:color="auto" w:fill="auto"/>
            <w:noWrap/>
            <w:vAlign w:val="bottom"/>
            <w:hideMark/>
          </w:tcPr>
          <w:p w14:paraId="01B1F7A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2377653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1946" w:type="dxa"/>
            <w:tcBorders>
              <w:top w:val="nil"/>
              <w:left w:val="nil"/>
              <w:bottom w:val="nil"/>
              <w:right w:val="nil"/>
            </w:tcBorders>
            <w:shd w:val="clear" w:color="auto" w:fill="auto"/>
            <w:noWrap/>
            <w:vAlign w:val="bottom"/>
            <w:hideMark/>
          </w:tcPr>
          <w:p w14:paraId="3672BFC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56D8FD7"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70FAF4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414</w:t>
            </w:r>
          </w:p>
        </w:tc>
        <w:tc>
          <w:tcPr>
            <w:tcW w:w="904" w:type="dxa"/>
            <w:tcBorders>
              <w:top w:val="nil"/>
              <w:left w:val="nil"/>
              <w:bottom w:val="single" w:sz="4" w:space="0" w:color="auto"/>
              <w:right w:val="single" w:sz="4" w:space="0" w:color="auto"/>
            </w:tcBorders>
            <w:shd w:val="clear" w:color="auto" w:fill="auto"/>
            <w:noWrap/>
            <w:vAlign w:val="bottom"/>
            <w:hideMark/>
          </w:tcPr>
          <w:p w14:paraId="1FC44BA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898029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54.821</w:t>
            </w:r>
          </w:p>
        </w:tc>
        <w:tc>
          <w:tcPr>
            <w:tcW w:w="904" w:type="dxa"/>
            <w:tcBorders>
              <w:top w:val="nil"/>
              <w:left w:val="nil"/>
              <w:bottom w:val="single" w:sz="4" w:space="0" w:color="auto"/>
              <w:right w:val="single" w:sz="4" w:space="0" w:color="auto"/>
            </w:tcBorders>
            <w:shd w:val="clear" w:color="auto" w:fill="auto"/>
            <w:noWrap/>
            <w:vAlign w:val="bottom"/>
            <w:hideMark/>
          </w:tcPr>
          <w:p w14:paraId="0AA927E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57.082</w:t>
            </w:r>
          </w:p>
        </w:tc>
        <w:tc>
          <w:tcPr>
            <w:tcW w:w="904" w:type="dxa"/>
            <w:tcBorders>
              <w:top w:val="nil"/>
              <w:left w:val="nil"/>
              <w:bottom w:val="single" w:sz="4" w:space="0" w:color="auto"/>
              <w:right w:val="single" w:sz="4" w:space="0" w:color="auto"/>
            </w:tcBorders>
            <w:shd w:val="clear" w:color="auto" w:fill="auto"/>
            <w:noWrap/>
            <w:vAlign w:val="bottom"/>
            <w:hideMark/>
          </w:tcPr>
          <w:p w14:paraId="166CFE8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E6DFFB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0CF8454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1946" w:type="dxa"/>
            <w:tcBorders>
              <w:top w:val="nil"/>
              <w:left w:val="nil"/>
              <w:bottom w:val="nil"/>
              <w:right w:val="nil"/>
            </w:tcBorders>
            <w:shd w:val="clear" w:color="auto" w:fill="auto"/>
            <w:noWrap/>
            <w:vAlign w:val="bottom"/>
            <w:hideMark/>
          </w:tcPr>
          <w:p w14:paraId="2B85C1E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66DB48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73416C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415</w:t>
            </w:r>
          </w:p>
        </w:tc>
        <w:tc>
          <w:tcPr>
            <w:tcW w:w="904" w:type="dxa"/>
            <w:tcBorders>
              <w:top w:val="nil"/>
              <w:left w:val="nil"/>
              <w:bottom w:val="single" w:sz="4" w:space="0" w:color="auto"/>
              <w:right w:val="single" w:sz="4" w:space="0" w:color="auto"/>
            </w:tcBorders>
            <w:shd w:val="clear" w:color="auto" w:fill="auto"/>
            <w:noWrap/>
            <w:vAlign w:val="bottom"/>
            <w:hideMark/>
          </w:tcPr>
          <w:p w14:paraId="445AAAC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65578AD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55.236</w:t>
            </w:r>
          </w:p>
        </w:tc>
        <w:tc>
          <w:tcPr>
            <w:tcW w:w="904" w:type="dxa"/>
            <w:tcBorders>
              <w:top w:val="nil"/>
              <w:left w:val="nil"/>
              <w:bottom w:val="single" w:sz="4" w:space="0" w:color="auto"/>
              <w:right w:val="single" w:sz="4" w:space="0" w:color="auto"/>
            </w:tcBorders>
            <w:shd w:val="clear" w:color="auto" w:fill="auto"/>
            <w:noWrap/>
            <w:vAlign w:val="bottom"/>
            <w:hideMark/>
          </w:tcPr>
          <w:p w14:paraId="6A76F49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57.236</w:t>
            </w:r>
          </w:p>
        </w:tc>
        <w:tc>
          <w:tcPr>
            <w:tcW w:w="904" w:type="dxa"/>
            <w:tcBorders>
              <w:top w:val="nil"/>
              <w:left w:val="nil"/>
              <w:bottom w:val="single" w:sz="4" w:space="0" w:color="auto"/>
              <w:right w:val="single" w:sz="4" w:space="0" w:color="auto"/>
            </w:tcBorders>
            <w:shd w:val="clear" w:color="auto" w:fill="auto"/>
            <w:noWrap/>
            <w:vAlign w:val="bottom"/>
            <w:hideMark/>
          </w:tcPr>
          <w:p w14:paraId="7091F01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9B474C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0AF0C8A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54.000</w:t>
            </w:r>
          </w:p>
        </w:tc>
        <w:tc>
          <w:tcPr>
            <w:tcW w:w="1946" w:type="dxa"/>
            <w:tcBorders>
              <w:top w:val="nil"/>
              <w:left w:val="nil"/>
              <w:bottom w:val="nil"/>
              <w:right w:val="nil"/>
            </w:tcBorders>
            <w:shd w:val="clear" w:color="auto" w:fill="auto"/>
            <w:noWrap/>
            <w:vAlign w:val="bottom"/>
            <w:hideMark/>
          </w:tcPr>
          <w:p w14:paraId="524E06F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3D64A47"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9B287F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416</w:t>
            </w:r>
          </w:p>
        </w:tc>
        <w:tc>
          <w:tcPr>
            <w:tcW w:w="904" w:type="dxa"/>
            <w:tcBorders>
              <w:top w:val="nil"/>
              <w:left w:val="nil"/>
              <w:bottom w:val="single" w:sz="4" w:space="0" w:color="auto"/>
              <w:right w:val="single" w:sz="4" w:space="0" w:color="auto"/>
            </w:tcBorders>
            <w:shd w:val="clear" w:color="auto" w:fill="auto"/>
            <w:noWrap/>
            <w:vAlign w:val="bottom"/>
            <w:hideMark/>
          </w:tcPr>
          <w:p w14:paraId="2117C78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84F79D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0C01EC2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57.831</w:t>
            </w:r>
          </w:p>
        </w:tc>
        <w:tc>
          <w:tcPr>
            <w:tcW w:w="904" w:type="dxa"/>
            <w:tcBorders>
              <w:top w:val="nil"/>
              <w:left w:val="nil"/>
              <w:bottom w:val="single" w:sz="4" w:space="0" w:color="auto"/>
              <w:right w:val="single" w:sz="4" w:space="0" w:color="auto"/>
            </w:tcBorders>
            <w:shd w:val="clear" w:color="auto" w:fill="auto"/>
            <w:noWrap/>
            <w:vAlign w:val="bottom"/>
            <w:hideMark/>
          </w:tcPr>
          <w:p w14:paraId="40CC31E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74A2960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1C6245B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54.797</w:t>
            </w:r>
          </w:p>
        </w:tc>
        <w:tc>
          <w:tcPr>
            <w:tcW w:w="1946" w:type="dxa"/>
            <w:tcBorders>
              <w:top w:val="nil"/>
              <w:left w:val="nil"/>
              <w:bottom w:val="nil"/>
              <w:right w:val="nil"/>
            </w:tcBorders>
            <w:shd w:val="clear" w:color="auto" w:fill="auto"/>
            <w:noWrap/>
            <w:vAlign w:val="bottom"/>
            <w:hideMark/>
          </w:tcPr>
          <w:p w14:paraId="011A2A5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AAB664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EEC725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417</w:t>
            </w:r>
          </w:p>
        </w:tc>
        <w:tc>
          <w:tcPr>
            <w:tcW w:w="904" w:type="dxa"/>
            <w:tcBorders>
              <w:top w:val="nil"/>
              <w:left w:val="nil"/>
              <w:bottom w:val="single" w:sz="4" w:space="0" w:color="auto"/>
              <w:right w:val="single" w:sz="4" w:space="0" w:color="auto"/>
            </w:tcBorders>
            <w:shd w:val="clear" w:color="auto" w:fill="auto"/>
            <w:noWrap/>
            <w:vAlign w:val="bottom"/>
            <w:hideMark/>
          </w:tcPr>
          <w:p w14:paraId="3FEC46A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58.186</w:t>
            </w:r>
          </w:p>
        </w:tc>
        <w:tc>
          <w:tcPr>
            <w:tcW w:w="904" w:type="dxa"/>
            <w:tcBorders>
              <w:top w:val="nil"/>
              <w:left w:val="nil"/>
              <w:bottom w:val="single" w:sz="4" w:space="0" w:color="auto"/>
              <w:right w:val="single" w:sz="4" w:space="0" w:color="auto"/>
            </w:tcBorders>
            <w:shd w:val="clear" w:color="auto" w:fill="auto"/>
            <w:noWrap/>
            <w:vAlign w:val="bottom"/>
            <w:hideMark/>
          </w:tcPr>
          <w:p w14:paraId="665F71F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76A345B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0B6D13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3085843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0D2D622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56.510</w:t>
            </w:r>
          </w:p>
        </w:tc>
        <w:tc>
          <w:tcPr>
            <w:tcW w:w="1946" w:type="dxa"/>
            <w:tcBorders>
              <w:top w:val="nil"/>
              <w:left w:val="nil"/>
              <w:bottom w:val="nil"/>
              <w:right w:val="nil"/>
            </w:tcBorders>
            <w:shd w:val="clear" w:color="auto" w:fill="auto"/>
            <w:noWrap/>
            <w:vAlign w:val="bottom"/>
            <w:hideMark/>
          </w:tcPr>
          <w:p w14:paraId="211C6DC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623474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C803BA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418</w:t>
            </w:r>
          </w:p>
        </w:tc>
        <w:tc>
          <w:tcPr>
            <w:tcW w:w="904" w:type="dxa"/>
            <w:tcBorders>
              <w:top w:val="nil"/>
              <w:left w:val="nil"/>
              <w:bottom w:val="single" w:sz="4" w:space="0" w:color="auto"/>
              <w:right w:val="single" w:sz="4" w:space="0" w:color="auto"/>
            </w:tcBorders>
            <w:shd w:val="clear" w:color="auto" w:fill="auto"/>
            <w:noWrap/>
            <w:vAlign w:val="bottom"/>
            <w:hideMark/>
          </w:tcPr>
          <w:p w14:paraId="5E7CC7B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60.936</w:t>
            </w:r>
          </w:p>
        </w:tc>
        <w:tc>
          <w:tcPr>
            <w:tcW w:w="904" w:type="dxa"/>
            <w:tcBorders>
              <w:top w:val="nil"/>
              <w:left w:val="nil"/>
              <w:bottom w:val="single" w:sz="4" w:space="0" w:color="auto"/>
              <w:right w:val="single" w:sz="4" w:space="0" w:color="auto"/>
            </w:tcBorders>
            <w:shd w:val="clear" w:color="auto" w:fill="auto"/>
            <w:noWrap/>
            <w:vAlign w:val="bottom"/>
            <w:hideMark/>
          </w:tcPr>
          <w:p w14:paraId="74076A4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5B8651E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B0213C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56.028</w:t>
            </w:r>
          </w:p>
        </w:tc>
        <w:tc>
          <w:tcPr>
            <w:tcW w:w="904" w:type="dxa"/>
            <w:tcBorders>
              <w:top w:val="nil"/>
              <w:left w:val="nil"/>
              <w:bottom w:val="single" w:sz="4" w:space="0" w:color="auto"/>
              <w:right w:val="single" w:sz="4" w:space="0" w:color="auto"/>
            </w:tcBorders>
            <w:shd w:val="clear" w:color="auto" w:fill="auto"/>
            <w:noWrap/>
            <w:vAlign w:val="bottom"/>
            <w:hideMark/>
          </w:tcPr>
          <w:p w14:paraId="29BD2D2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97A210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3D52376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CB92B4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2731E4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419</w:t>
            </w:r>
          </w:p>
        </w:tc>
        <w:tc>
          <w:tcPr>
            <w:tcW w:w="904" w:type="dxa"/>
            <w:tcBorders>
              <w:top w:val="nil"/>
              <w:left w:val="nil"/>
              <w:bottom w:val="single" w:sz="4" w:space="0" w:color="auto"/>
              <w:right w:val="single" w:sz="4" w:space="0" w:color="auto"/>
            </w:tcBorders>
            <w:shd w:val="clear" w:color="auto" w:fill="auto"/>
            <w:noWrap/>
            <w:vAlign w:val="bottom"/>
            <w:hideMark/>
          </w:tcPr>
          <w:p w14:paraId="755C6FD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763A745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53.510</w:t>
            </w:r>
          </w:p>
        </w:tc>
        <w:tc>
          <w:tcPr>
            <w:tcW w:w="904" w:type="dxa"/>
            <w:tcBorders>
              <w:top w:val="nil"/>
              <w:left w:val="nil"/>
              <w:bottom w:val="single" w:sz="4" w:space="0" w:color="auto"/>
              <w:right w:val="single" w:sz="4" w:space="0" w:color="auto"/>
            </w:tcBorders>
            <w:shd w:val="clear" w:color="auto" w:fill="auto"/>
            <w:noWrap/>
            <w:vAlign w:val="bottom"/>
            <w:hideMark/>
          </w:tcPr>
          <w:p w14:paraId="3B8E68D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1594A0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56.183</w:t>
            </w:r>
          </w:p>
        </w:tc>
        <w:tc>
          <w:tcPr>
            <w:tcW w:w="904" w:type="dxa"/>
            <w:tcBorders>
              <w:top w:val="nil"/>
              <w:left w:val="nil"/>
              <w:bottom w:val="single" w:sz="4" w:space="0" w:color="auto"/>
              <w:right w:val="single" w:sz="4" w:space="0" w:color="auto"/>
            </w:tcBorders>
            <w:shd w:val="clear" w:color="auto" w:fill="auto"/>
            <w:noWrap/>
            <w:vAlign w:val="bottom"/>
            <w:hideMark/>
          </w:tcPr>
          <w:p w14:paraId="397A291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56.660</w:t>
            </w:r>
          </w:p>
        </w:tc>
        <w:tc>
          <w:tcPr>
            <w:tcW w:w="904" w:type="dxa"/>
            <w:tcBorders>
              <w:top w:val="nil"/>
              <w:left w:val="nil"/>
              <w:bottom w:val="single" w:sz="4" w:space="0" w:color="auto"/>
              <w:right w:val="single" w:sz="4" w:space="0" w:color="auto"/>
            </w:tcBorders>
            <w:shd w:val="clear" w:color="auto" w:fill="auto"/>
            <w:noWrap/>
            <w:vAlign w:val="bottom"/>
            <w:hideMark/>
          </w:tcPr>
          <w:p w14:paraId="1E8822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67993CA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EA88E6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6BE6E1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420</w:t>
            </w:r>
          </w:p>
        </w:tc>
        <w:tc>
          <w:tcPr>
            <w:tcW w:w="904" w:type="dxa"/>
            <w:tcBorders>
              <w:top w:val="nil"/>
              <w:left w:val="nil"/>
              <w:bottom w:val="single" w:sz="4" w:space="0" w:color="auto"/>
              <w:right w:val="single" w:sz="4" w:space="0" w:color="auto"/>
            </w:tcBorders>
            <w:shd w:val="clear" w:color="auto" w:fill="auto"/>
            <w:noWrap/>
            <w:vAlign w:val="bottom"/>
            <w:hideMark/>
          </w:tcPr>
          <w:p w14:paraId="3291D81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201C00F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6D5DBAF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60.042</w:t>
            </w:r>
          </w:p>
        </w:tc>
        <w:tc>
          <w:tcPr>
            <w:tcW w:w="904" w:type="dxa"/>
            <w:tcBorders>
              <w:top w:val="nil"/>
              <w:left w:val="nil"/>
              <w:bottom w:val="single" w:sz="4" w:space="0" w:color="auto"/>
              <w:right w:val="single" w:sz="4" w:space="0" w:color="auto"/>
            </w:tcBorders>
            <w:shd w:val="clear" w:color="auto" w:fill="auto"/>
            <w:noWrap/>
            <w:vAlign w:val="bottom"/>
            <w:hideMark/>
          </w:tcPr>
          <w:p w14:paraId="3FD9F77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56.039</w:t>
            </w:r>
          </w:p>
        </w:tc>
        <w:tc>
          <w:tcPr>
            <w:tcW w:w="904" w:type="dxa"/>
            <w:tcBorders>
              <w:top w:val="nil"/>
              <w:left w:val="nil"/>
              <w:bottom w:val="single" w:sz="4" w:space="0" w:color="auto"/>
              <w:right w:val="single" w:sz="4" w:space="0" w:color="auto"/>
            </w:tcBorders>
            <w:shd w:val="clear" w:color="auto" w:fill="auto"/>
            <w:noWrap/>
            <w:vAlign w:val="bottom"/>
            <w:hideMark/>
          </w:tcPr>
          <w:p w14:paraId="27F7350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57.682</w:t>
            </w:r>
          </w:p>
        </w:tc>
        <w:tc>
          <w:tcPr>
            <w:tcW w:w="904" w:type="dxa"/>
            <w:tcBorders>
              <w:top w:val="nil"/>
              <w:left w:val="nil"/>
              <w:bottom w:val="single" w:sz="4" w:space="0" w:color="auto"/>
              <w:right w:val="single" w:sz="4" w:space="0" w:color="auto"/>
            </w:tcBorders>
            <w:shd w:val="clear" w:color="auto" w:fill="auto"/>
            <w:noWrap/>
            <w:vAlign w:val="bottom"/>
            <w:hideMark/>
          </w:tcPr>
          <w:p w14:paraId="51B9E1C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56.126</w:t>
            </w:r>
          </w:p>
        </w:tc>
        <w:tc>
          <w:tcPr>
            <w:tcW w:w="1946" w:type="dxa"/>
            <w:tcBorders>
              <w:top w:val="nil"/>
              <w:left w:val="nil"/>
              <w:bottom w:val="nil"/>
              <w:right w:val="nil"/>
            </w:tcBorders>
            <w:shd w:val="clear" w:color="auto" w:fill="auto"/>
            <w:noWrap/>
            <w:vAlign w:val="bottom"/>
            <w:hideMark/>
          </w:tcPr>
          <w:p w14:paraId="6317446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A80245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36B842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421</w:t>
            </w:r>
          </w:p>
        </w:tc>
        <w:tc>
          <w:tcPr>
            <w:tcW w:w="904" w:type="dxa"/>
            <w:tcBorders>
              <w:top w:val="nil"/>
              <w:left w:val="nil"/>
              <w:bottom w:val="single" w:sz="4" w:space="0" w:color="auto"/>
              <w:right w:val="single" w:sz="4" w:space="0" w:color="auto"/>
            </w:tcBorders>
            <w:shd w:val="clear" w:color="auto" w:fill="auto"/>
            <w:noWrap/>
            <w:vAlign w:val="bottom"/>
            <w:hideMark/>
          </w:tcPr>
          <w:p w14:paraId="7EB955E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61.312</w:t>
            </w:r>
          </w:p>
        </w:tc>
        <w:tc>
          <w:tcPr>
            <w:tcW w:w="904" w:type="dxa"/>
            <w:tcBorders>
              <w:top w:val="nil"/>
              <w:left w:val="nil"/>
              <w:bottom w:val="single" w:sz="4" w:space="0" w:color="auto"/>
              <w:right w:val="single" w:sz="4" w:space="0" w:color="auto"/>
            </w:tcBorders>
            <w:shd w:val="clear" w:color="auto" w:fill="auto"/>
            <w:noWrap/>
            <w:vAlign w:val="bottom"/>
            <w:hideMark/>
          </w:tcPr>
          <w:p w14:paraId="272196C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53.000</w:t>
            </w:r>
          </w:p>
        </w:tc>
        <w:tc>
          <w:tcPr>
            <w:tcW w:w="904" w:type="dxa"/>
            <w:tcBorders>
              <w:top w:val="nil"/>
              <w:left w:val="nil"/>
              <w:bottom w:val="single" w:sz="4" w:space="0" w:color="auto"/>
              <w:right w:val="single" w:sz="4" w:space="0" w:color="auto"/>
            </w:tcBorders>
            <w:shd w:val="clear" w:color="auto" w:fill="auto"/>
            <w:noWrap/>
            <w:vAlign w:val="bottom"/>
            <w:hideMark/>
          </w:tcPr>
          <w:p w14:paraId="4EA2F12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60.586</w:t>
            </w:r>
          </w:p>
        </w:tc>
        <w:tc>
          <w:tcPr>
            <w:tcW w:w="904" w:type="dxa"/>
            <w:tcBorders>
              <w:top w:val="nil"/>
              <w:left w:val="nil"/>
              <w:bottom w:val="single" w:sz="4" w:space="0" w:color="auto"/>
              <w:right w:val="single" w:sz="4" w:space="0" w:color="auto"/>
            </w:tcBorders>
            <w:shd w:val="clear" w:color="auto" w:fill="auto"/>
            <w:noWrap/>
            <w:vAlign w:val="bottom"/>
            <w:hideMark/>
          </w:tcPr>
          <w:p w14:paraId="5C09D48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002B592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A08B8D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58.953</w:t>
            </w:r>
          </w:p>
        </w:tc>
        <w:tc>
          <w:tcPr>
            <w:tcW w:w="1946" w:type="dxa"/>
            <w:tcBorders>
              <w:top w:val="nil"/>
              <w:left w:val="nil"/>
              <w:bottom w:val="nil"/>
              <w:right w:val="nil"/>
            </w:tcBorders>
            <w:shd w:val="clear" w:color="auto" w:fill="auto"/>
            <w:noWrap/>
            <w:vAlign w:val="bottom"/>
            <w:hideMark/>
          </w:tcPr>
          <w:p w14:paraId="5BA6D68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9EA842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0FF8F0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422</w:t>
            </w:r>
          </w:p>
        </w:tc>
        <w:tc>
          <w:tcPr>
            <w:tcW w:w="904" w:type="dxa"/>
            <w:tcBorders>
              <w:top w:val="nil"/>
              <w:left w:val="nil"/>
              <w:bottom w:val="single" w:sz="4" w:space="0" w:color="auto"/>
              <w:right w:val="single" w:sz="4" w:space="0" w:color="auto"/>
            </w:tcBorders>
            <w:shd w:val="clear" w:color="auto" w:fill="auto"/>
            <w:noWrap/>
            <w:vAlign w:val="bottom"/>
            <w:hideMark/>
          </w:tcPr>
          <w:p w14:paraId="371EBC7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3130C83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53.127</w:t>
            </w:r>
          </w:p>
        </w:tc>
        <w:tc>
          <w:tcPr>
            <w:tcW w:w="904" w:type="dxa"/>
            <w:tcBorders>
              <w:top w:val="nil"/>
              <w:left w:val="nil"/>
              <w:bottom w:val="single" w:sz="4" w:space="0" w:color="auto"/>
              <w:right w:val="single" w:sz="4" w:space="0" w:color="auto"/>
            </w:tcBorders>
            <w:shd w:val="clear" w:color="auto" w:fill="auto"/>
            <w:noWrap/>
            <w:vAlign w:val="bottom"/>
            <w:hideMark/>
          </w:tcPr>
          <w:p w14:paraId="377CEB0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4E511C3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8B5794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4FA4AD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59.933</w:t>
            </w:r>
          </w:p>
        </w:tc>
        <w:tc>
          <w:tcPr>
            <w:tcW w:w="1946" w:type="dxa"/>
            <w:tcBorders>
              <w:top w:val="nil"/>
              <w:left w:val="nil"/>
              <w:bottom w:val="nil"/>
              <w:right w:val="nil"/>
            </w:tcBorders>
            <w:shd w:val="clear" w:color="auto" w:fill="auto"/>
            <w:noWrap/>
            <w:vAlign w:val="bottom"/>
            <w:hideMark/>
          </w:tcPr>
          <w:p w14:paraId="1116273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B612F7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4DBAD1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423</w:t>
            </w:r>
          </w:p>
        </w:tc>
        <w:tc>
          <w:tcPr>
            <w:tcW w:w="904" w:type="dxa"/>
            <w:tcBorders>
              <w:top w:val="nil"/>
              <w:left w:val="nil"/>
              <w:bottom w:val="single" w:sz="4" w:space="0" w:color="auto"/>
              <w:right w:val="single" w:sz="4" w:space="0" w:color="auto"/>
            </w:tcBorders>
            <w:shd w:val="clear" w:color="auto" w:fill="auto"/>
            <w:noWrap/>
            <w:vAlign w:val="bottom"/>
            <w:hideMark/>
          </w:tcPr>
          <w:p w14:paraId="0A8C5A0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61.550</w:t>
            </w:r>
          </w:p>
        </w:tc>
        <w:tc>
          <w:tcPr>
            <w:tcW w:w="904" w:type="dxa"/>
            <w:tcBorders>
              <w:top w:val="nil"/>
              <w:left w:val="nil"/>
              <w:bottom w:val="single" w:sz="4" w:space="0" w:color="auto"/>
              <w:right w:val="single" w:sz="4" w:space="0" w:color="auto"/>
            </w:tcBorders>
            <w:shd w:val="clear" w:color="auto" w:fill="auto"/>
            <w:noWrap/>
            <w:vAlign w:val="bottom"/>
            <w:hideMark/>
          </w:tcPr>
          <w:p w14:paraId="456645A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55.161</w:t>
            </w:r>
          </w:p>
        </w:tc>
        <w:tc>
          <w:tcPr>
            <w:tcW w:w="904" w:type="dxa"/>
            <w:tcBorders>
              <w:top w:val="nil"/>
              <w:left w:val="nil"/>
              <w:bottom w:val="single" w:sz="4" w:space="0" w:color="auto"/>
              <w:right w:val="single" w:sz="4" w:space="0" w:color="auto"/>
            </w:tcBorders>
            <w:shd w:val="clear" w:color="auto" w:fill="auto"/>
            <w:noWrap/>
            <w:vAlign w:val="bottom"/>
            <w:hideMark/>
          </w:tcPr>
          <w:p w14:paraId="7F8B480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1D57E48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FE6E5B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68083D3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1946" w:type="dxa"/>
            <w:tcBorders>
              <w:top w:val="nil"/>
              <w:left w:val="nil"/>
              <w:bottom w:val="nil"/>
              <w:right w:val="nil"/>
            </w:tcBorders>
            <w:shd w:val="clear" w:color="auto" w:fill="auto"/>
            <w:noWrap/>
            <w:vAlign w:val="bottom"/>
            <w:hideMark/>
          </w:tcPr>
          <w:p w14:paraId="1F20E0E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C4F2E0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A6807B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424</w:t>
            </w:r>
          </w:p>
        </w:tc>
        <w:tc>
          <w:tcPr>
            <w:tcW w:w="904" w:type="dxa"/>
            <w:tcBorders>
              <w:top w:val="nil"/>
              <w:left w:val="nil"/>
              <w:bottom w:val="single" w:sz="4" w:space="0" w:color="auto"/>
              <w:right w:val="single" w:sz="4" w:space="0" w:color="auto"/>
            </w:tcBorders>
            <w:shd w:val="clear" w:color="auto" w:fill="auto"/>
            <w:noWrap/>
            <w:vAlign w:val="bottom"/>
            <w:hideMark/>
          </w:tcPr>
          <w:p w14:paraId="33FC8C2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A99DFD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7C2CA72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60.736</w:t>
            </w:r>
          </w:p>
        </w:tc>
        <w:tc>
          <w:tcPr>
            <w:tcW w:w="904" w:type="dxa"/>
            <w:tcBorders>
              <w:top w:val="nil"/>
              <w:left w:val="nil"/>
              <w:bottom w:val="single" w:sz="4" w:space="0" w:color="auto"/>
              <w:right w:val="single" w:sz="4" w:space="0" w:color="auto"/>
            </w:tcBorders>
            <w:shd w:val="clear" w:color="auto" w:fill="auto"/>
            <w:noWrap/>
            <w:vAlign w:val="bottom"/>
            <w:hideMark/>
          </w:tcPr>
          <w:p w14:paraId="5816373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56.696</w:t>
            </w:r>
          </w:p>
        </w:tc>
        <w:tc>
          <w:tcPr>
            <w:tcW w:w="904" w:type="dxa"/>
            <w:tcBorders>
              <w:top w:val="nil"/>
              <w:left w:val="nil"/>
              <w:bottom w:val="single" w:sz="4" w:space="0" w:color="auto"/>
              <w:right w:val="single" w:sz="4" w:space="0" w:color="auto"/>
            </w:tcBorders>
            <w:shd w:val="clear" w:color="auto" w:fill="auto"/>
            <w:noWrap/>
            <w:vAlign w:val="bottom"/>
            <w:hideMark/>
          </w:tcPr>
          <w:p w14:paraId="67506EE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3BA6EE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60.464</w:t>
            </w:r>
          </w:p>
        </w:tc>
        <w:tc>
          <w:tcPr>
            <w:tcW w:w="1946" w:type="dxa"/>
            <w:tcBorders>
              <w:top w:val="nil"/>
              <w:left w:val="nil"/>
              <w:bottom w:val="nil"/>
              <w:right w:val="nil"/>
            </w:tcBorders>
            <w:shd w:val="clear" w:color="auto" w:fill="auto"/>
            <w:noWrap/>
            <w:vAlign w:val="bottom"/>
            <w:hideMark/>
          </w:tcPr>
          <w:p w14:paraId="723E54FC"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D32464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4A66EC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425</w:t>
            </w:r>
          </w:p>
        </w:tc>
        <w:tc>
          <w:tcPr>
            <w:tcW w:w="904" w:type="dxa"/>
            <w:tcBorders>
              <w:top w:val="nil"/>
              <w:left w:val="nil"/>
              <w:bottom w:val="single" w:sz="4" w:space="0" w:color="auto"/>
              <w:right w:val="single" w:sz="4" w:space="0" w:color="auto"/>
            </w:tcBorders>
            <w:shd w:val="clear" w:color="auto" w:fill="auto"/>
            <w:noWrap/>
            <w:vAlign w:val="bottom"/>
            <w:hideMark/>
          </w:tcPr>
          <w:p w14:paraId="5FF4C22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BC82CC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596B92E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58.181</w:t>
            </w:r>
          </w:p>
        </w:tc>
        <w:tc>
          <w:tcPr>
            <w:tcW w:w="904" w:type="dxa"/>
            <w:tcBorders>
              <w:top w:val="nil"/>
              <w:left w:val="nil"/>
              <w:bottom w:val="single" w:sz="4" w:space="0" w:color="auto"/>
              <w:right w:val="single" w:sz="4" w:space="0" w:color="auto"/>
            </w:tcBorders>
            <w:shd w:val="clear" w:color="auto" w:fill="auto"/>
            <w:noWrap/>
            <w:vAlign w:val="bottom"/>
            <w:hideMark/>
          </w:tcPr>
          <w:p w14:paraId="0EEEBCD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58.942</w:t>
            </w:r>
          </w:p>
        </w:tc>
        <w:tc>
          <w:tcPr>
            <w:tcW w:w="904" w:type="dxa"/>
            <w:tcBorders>
              <w:top w:val="nil"/>
              <w:left w:val="nil"/>
              <w:bottom w:val="single" w:sz="4" w:space="0" w:color="auto"/>
              <w:right w:val="single" w:sz="4" w:space="0" w:color="auto"/>
            </w:tcBorders>
            <w:shd w:val="clear" w:color="auto" w:fill="auto"/>
            <w:noWrap/>
            <w:vAlign w:val="bottom"/>
            <w:hideMark/>
          </w:tcPr>
          <w:p w14:paraId="77CF950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1949F8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61.962</w:t>
            </w:r>
          </w:p>
        </w:tc>
        <w:tc>
          <w:tcPr>
            <w:tcW w:w="1946" w:type="dxa"/>
            <w:tcBorders>
              <w:top w:val="nil"/>
              <w:left w:val="nil"/>
              <w:bottom w:val="nil"/>
              <w:right w:val="nil"/>
            </w:tcBorders>
            <w:shd w:val="clear" w:color="auto" w:fill="auto"/>
            <w:noWrap/>
            <w:vAlign w:val="bottom"/>
            <w:hideMark/>
          </w:tcPr>
          <w:p w14:paraId="6DB8FF97"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C6C6AE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CC001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426</w:t>
            </w:r>
          </w:p>
        </w:tc>
        <w:tc>
          <w:tcPr>
            <w:tcW w:w="904" w:type="dxa"/>
            <w:tcBorders>
              <w:top w:val="nil"/>
              <w:left w:val="nil"/>
              <w:bottom w:val="single" w:sz="4" w:space="0" w:color="auto"/>
              <w:right w:val="single" w:sz="4" w:space="0" w:color="auto"/>
            </w:tcBorders>
            <w:shd w:val="clear" w:color="auto" w:fill="auto"/>
            <w:noWrap/>
            <w:vAlign w:val="bottom"/>
            <w:hideMark/>
          </w:tcPr>
          <w:p w14:paraId="2CFF58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5AEBF7B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57.951</w:t>
            </w:r>
          </w:p>
        </w:tc>
        <w:tc>
          <w:tcPr>
            <w:tcW w:w="904" w:type="dxa"/>
            <w:tcBorders>
              <w:top w:val="nil"/>
              <w:left w:val="nil"/>
              <w:bottom w:val="single" w:sz="4" w:space="0" w:color="auto"/>
              <w:right w:val="single" w:sz="4" w:space="0" w:color="auto"/>
            </w:tcBorders>
            <w:shd w:val="clear" w:color="auto" w:fill="auto"/>
            <w:noWrap/>
            <w:vAlign w:val="bottom"/>
            <w:hideMark/>
          </w:tcPr>
          <w:p w14:paraId="298BDF1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58.043</w:t>
            </w:r>
          </w:p>
        </w:tc>
        <w:tc>
          <w:tcPr>
            <w:tcW w:w="904" w:type="dxa"/>
            <w:tcBorders>
              <w:top w:val="nil"/>
              <w:left w:val="nil"/>
              <w:bottom w:val="single" w:sz="4" w:space="0" w:color="auto"/>
              <w:right w:val="single" w:sz="4" w:space="0" w:color="auto"/>
            </w:tcBorders>
            <w:shd w:val="clear" w:color="auto" w:fill="auto"/>
            <w:noWrap/>
            <w:vAlign w:val="bottom"/>
            <w:hideMark/>
          </w:tcPr>
          <w:p w14:paraId="75FAF9A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59.043</w:t>
            </w:r>
          </w:p>
        </w:tc>
        <w:tc>
          <w:tcPr>
            <w:tcW w:w="904" w:type="dxa"/>
            <w:tcBorders>
              <w:top w:val="nil"/>
              <w:left w:val="nil"/>
              <w:bottom w:val="single" w:sz="4" w:space="0" w:color="auto"/>
              <w:right w:val="single" w:sz="4" w:space="0" w:color="auto"/>
            </w:tcBorders>
            <w:shd w:val="clear" w:color="auto" w:fill="auto"/>
            <w:noWrap/>
            <w:vAlign w:val="bottom"/>
            <w:hideMark/>
          </w:tcPr>
          <w:p w14:paraId="38487C9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FE1AA7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62.163</w:t>
            </w:r>
          </w:p>
        </w:tc>
        <w:tc>
          <w:tcPr>
            <w:tcW w:w="1946" w:type="dxa"/>
            <w:tcBorders>
              <w:top w:val="nil"/>
              <w:left w:val="nil"/>
              <w:bottom w:val="nil"/>
              <w:right w:val="nil"/>
            </w:tcBorders>
            <w:shd w:val="clear" w:color="auto" w:fill="auto"/>
            <w:noWrap/>
            <w:vAlign w:val="bottom"/>
            <w:hideMark/>
          </w:tcPr>
          <w:p w14:paraId="1F5574B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286CA8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64CE2A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427</w:t>
            </w:r>
          </w:p>
        </w:tc>
        <w:tc>
          <w:tcPr>
            <w:tcW w:w="904" w:type="dxa"/>
            <w:tcBorders>
              <w:top w:val="nil"/>
              <w:left w:val="nil"/>
              <w:bottom w:val="single" w:sz="4" w:space="0" w:color="auto"/>
              <w:right w:val="single" w:sz="4" w:space="0" w:color="auto"/>
            </w:tcBorders>
            <w:shd w:val="clear" w:color="auto" w:fill="auto"/>
            <w:noWrap/>
            <w:vAlign w:val="bottom"/>
            <w:hideMark/>
          </w:tcPr>
          <w:p w14:paraId="5E9FDAE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59D157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59.633</w:t>
            </w:r>
          </w:p>
        </w:tc>
        <w:tc>
          <w:tcPr>
            <w:tcW w:w="904" w:type="dxa"/>
            <w:tcBorders>
              <w:top w:val="nil"/>
              <w:left w:val="nil"/>
              <w:bottom w:val="single" w:sz="4" w:space="0" w:color="auto"/>
              <w:right w:val="single" w:sz="4" w:space="0" w:color="auto"/>
            </w:tcBorders>
            <w:shd w:val="clear" w:color="auto" w:fill="auto"/>
            <w:noWrap/>
            <w:vAlign w:val="bottom"/>
            <w:hideMark/>
          </w:tcPr>
          <w:p w14:paraId="664DA91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C5C7A9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57.714</w:t>
            </w:r>
          </w:p>
        </w:tc>
        <w:tc>
          <w:tcPr>
            <w:tcW w:w="904" w:type="dxa"/>
            <w:tcBorders>
              <w:top w:val="nil"/>
              <w:left w:val="nil"/>
              <w:bottom w:val="single" w:sz="4" w:space="0" w:color="auto"/>
              <w:right w:val="single" w:sz="4" w:space="0" w:color="auto"/>
            </w:tcBorders>
            <w:shd w:val="clear" w:color="auto" w:fill="auto"/>
            <w:noWrap/>
            <w:vAlign w:val="bottom"/>
            <w:hideMark/>
          </w:tcPr>
          <w:p w14:paraId="12D71B1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61380CD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62.903</w:t>
            </w:r>
          </w:p>
        </w:tc>
        <w:tc>
          <w:tcPr>
            <w:tcW w:w="1946" w:type="dxa"/>
            <w:tcBorders>
              <w:top w:val="nil"/>
              <w:left w:val="nil"/>
              <w:bottom w:val="nil"/>
              <w:right w:val="nil"/>
            </w:tcBorders>
            <w:shd w:val="clear" w:color="auto" w:fill="auto"/>
            <w:noWrap/>
            <w:vAlign w:val="bottom"/>
            <w:hideMark/>
          </w:tcPr>
          <w:p w14:paraId="3E515DC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D0F4FF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814318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lastRenderedPageBreak/>
              <w:t>428</w:t>
            </w:r>
          </w:p>
        </w:tc>
        <w:tc>
          <w:tcPr>
            <w:tcW w:w="904" w:type="dxa"/>
            <w:tcBorders>
              <w:top w:val="nil"/>
              <w:left w:val="nil"/>
              <w:bottom w:val="single" w:sz="4" w:space="0" w:color="auto"/>
              <w:right w:val="single" w:sz="4" w:space="0" w:color="auto"/>
            </w:tcBorders>
            <w:shd w:val="clear" w:color="auto" w:fill="auto"/>
            <w:noWrap/>
            <w:vAlign w:val="bottom"/>
            <w:hideMark/>
          </w:tcPr>
          <w:p w14:paraId="59BBC58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1395B79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1B0024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853438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7D51F8F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CC8152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1946" w:type="dxa"/>
            <w:tcBorders>
              <w:top w:val="nil"/>
              <w:left w:val="nil"/>
              <w:bottom w:val="nil"/>
              <w:right w:val="nil"/>
            </w:tcBorders>
            <w:shd w:val="clear" w:color="auto" w:fill="auto"/>
            <w:noWrap/>
            <w:vAlign w:val="bottom"/>
            <w:hideMark/>
          </w:tcPr>
          <w:p w14:paraId="32E0970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0E45B5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F7BC82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429</w:t>
            </w:r>
          </w:p>
        </w:tc>
        <w:tc>
          <w:tcPr>
            <w:tcW w:w="904" w:type="dxa"/>
            <w:tcBorders>
              <w:top w:val="nil"/>
              <w:left w:val="nil"/>
              <w:bottom w:val="single" w:sz="4" w:space="0" w:color="auto"/>
              <w:right w:val="single" w:sz="4" w:space="0" w:color="auto"/>
            </w:tcBorders>
            <w:shd w:val="clear" w:color="auto" w:fill="auto"/>
            <w:noWrap/>
            <w:vAlign w:val="bottom"/>
            <w:hideMark/>
          </w:tcPr>
          <w:p w14:paraId="4ABAE2D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59.269</w:t>
            </w:r>
          </w:p>
        </w:tc>
        <w:tc>
          <w:tcPr>
            <w:tcW w:w="904" w:type="dxa"/>
            <w:tcBorders>
              <w:top w:val="nil"/>
              <w:left w:val="nil"/>
              <w:bottom w:val="single" w:sz="4" w:space="0" w:color="auto"/>
              <w:right w:val="single" w:sz="4" w:space="0" w:color="auto"/>
            </w:tcBorders>
            <w:shd w:val="clear" w:color="auto" w:fill="auto"/>
            <w:noWrap/>
            <w:vAlign w:val="bottom"/>
            <w:hideMark/>
          </w:tcPr>
          <w:p w14:paraId="7E9CA45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A58DEA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E6309C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87B18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560D36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1946" w:type="dxa"/>
            <w:tcBorders>
              <w:top w:val="nil"/>
              <w:left w:val="nil"/>
              <w:bottom w:val="nil"/>
              <w:right w:val="nil"/>
            </w:tcBorders>
            <w:shd w:val="clear" w:color="auto" w:fill="auto"/>
            <w:noWrap/>
            <w:vAlign w:val="bottom"/>
            <w:hideMark/>
          </w:tcPr>
          <w:p w14:paraId="6E9A4F6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215C09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38FD78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430</w:t>
            </w:r>
          </w:p>
        </w:tc>
        <w:tc>
          <w:tcPr>
            <w:tcW w:w="904" w:type="dxa"/>
            <w:tcBorders>
              <w:top w:val="nil"/>
              <w:left w:val="nil"/>
              <w:bottom w:val="single" w:sz="4" w:space="0" w:color="auto"/>
              <w:right w:val="single" w:sz="4" w:space="0" w:color="auto"/>
            </w:tcBorders>
            <w:shd w:val="clear" w:color="auto" w:fill="auto"/>
            <w:noWrap/>
            <w:vAlign w:val="bottom"/>
            <w:hideMark/>
          </w:tcPr>
          <w:p w14:paraId="004BB96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4152F3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BC20A2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E0D78D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5E1291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9F1590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62.699</w:t>
            </w:r>
          </w:p>
        </w:tc>
        <w:tc>
          <w:tcPr>
            <w:tcW w:w="1946" w:type="dxa"/>
            <w:tcBorders>
              <w:top w:val="nil"/>
              <w:left w:val="nil"/>
              <w:bottom w:val="nil"/>
              <w:right w:val="nil"/>
            </w:tcBorders>
            <w:shd w:val="clear" w:color="auto" w:fill="auto"/>
            <w:noWrap/>
            <w:vAlign w:val="bottom"/>
            <w:hideMark/>
          </w:tcPr>
          <w:p w14:paraId="5AF131F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8E6BB4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789689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431</w:t>
            </w:r>
          </w:p>
        </w:tc>
        <w:tc>
          <w:tcPr>
            <w:tcW w:w="904" w:type="dxa"/>
            <w:tcBorders>
              <w:top w:val="nil"/>
              <w:left w:val="nil"/>
              <w:bottom w:val="single" w:sz="4" w:space="0" w:color="auto"/>
              <w:right w:val="single" w:sz="4" w:space="0" w:color="auto"/>
            </w:tcBorders>
            <w:shd w:val="clear" w:color="auto" w:fill="auto"/>
            <w:noWrap/>
            <w:vAlign w:val="bottom"/>
            <w:hideMark/>
          </w:tcPr>
          <w:p w14:paraId="7D7E7B0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843171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60.017</w:t>
            </w:r>
          </w:p>
        </w:tc>
        <w:tc>
          <w:tcPr>
            <w:tcW w:w="904" w:type="dxa"/>
            <w:tcBorders>
              <w:top w:val="nil"/>
              <w:left w:val="nil"/>
              <w:bottom w:val="single" w:sz="4" w:space="0" w:color="auto"/>
              <w:right w:val="single" w:sz="4" w:space="0" w:color="auto"/>
            </w:tcBorders>
            <w:shd w:val="clear" w:color="auto" w:fill="auto"/>
            <w:noWrap/>
            <w:vAlign w:val="bottom"/>
            <w:hideMark/>
          </w:tcPr>
          <w:p w14:paraId="40D9628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6EA6F1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1586B92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6C79FFE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62.175</w:t>
            </w:r>
          </w:p>
        </w:tc>
        <w:tc>
          <w:tcPr>
            <w:tcW w:w="1946" w:type="dxa"/>
            <w:tcBorders>
              <w:top w:val="nil"/>
              <w:left w:val="nil"/>
              <w:bottom w:val="nil"/>
              <w:right w:val="nil"/>
            </w:tcBorders>
            <w:shd w:val="clear" w:color="auto" w:fill="auto"/>
            <w:noWrap/>
            <w:vAlign w:val="bottom"/>
            <w:hideMark/>
          </w:tcPr>
          <w:p w14:paraId="1F5A5E77"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8570B1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6AC11B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432</w:t>
            </w:r>
          </w:p>
        </w:tc>
        <w:tc>
          <w:tcPr>
            <w:tcW w:w="904" w:type="dxa"/>
            <w:tcBorders>
              <w:top w:val="nil"/>
              <w:left w:val="nil"/>
              <w:bottom w:val="single" w:sz="4" w:space="0" w:color="auto"/>
              <w:right w:val="single" w:sz="4" w:space="0" w:color="auto"/>
            </w:tcBorders>
            <w:shd w:val="clear" w:color="auto" w:fill="auto"/>
            <w:noWrap/>
            <w:vAlign w:val="bottom"/>
            <w:hideMark/>
          </w:tcPr>
          <w:p w14:paraId="422FD79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06FAF4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7A3F95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8A0F0B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140921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530AFB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1946" w:type="dxa"/>
            <w:tcBorders>
              <w:top w:val="nil"/>
              <w:left w:val="nil"/>
              <w:bottom w:val="nil"/>
              <w:right w:val="nil"/>
            </w:tcBorders>
            <w:shd w:val="clear" w:color="auto" w:fill="auto"/>
            <w:noWrap/>
            <w:vAlign w:val="bottom"/>
            <w:hideMark/>
          </w:tcPr>
          <w:p w14:paraId="77D16D3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0CD0FF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E50D81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433</w:t>
            </w:r>
          </w:p>
        </w:tc>
        <w:tc>
          <w:tcPr>
            <w:tcW w:w="904" w:type="dxa"/>
            <w:tcBorders>
              <w:top w:val="nil"/>
              <w:left w:val="nil"/>
              <w:bottom w:val="single" w:sz="4" w:space="0" w:color="auto"/>
              <w:right w:val="single" w:sz="4" w:space="0" w:color="auto"/>
            </w:tcBorders>
            <w:shd w:val="clear" w:color="auto" w:fill="auto"/>
            <w:noWrap/>
            <w:vAlign w:val="bottom"/>
            <w:hideMark/>
          </w:tcPr>
          <w:p w14:paraId="7E7F557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5FF293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8DD4BF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3CB74D7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F23C42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A297BB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1946" w:type="dxa"/>
            <w:tcBorders>
              <w:top w:val="nil"/>
              <w:left w:val="nil"/>
              <w:bottom w:val="nil"/>
              <w:right w:val="nil"/>
            </w:tcBorders>
            <w:shd w:val="clear" w:color="auto" w:fill="auto"/>
            <w:noWrap/>
            <w:vAlign w:val="bottom"/>
            <w:hideMark/>
          </w:tcPr>
          <w:p w14:paraId="247BEA0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4BE3F8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5EB3EC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434</w:t>
            </w:r>
          </w:p>
        </w:tc>
        <w:tc>
          <w:tcPr>
            <w:tcW w:w="904" w:type="dxa"/>
            <w:tcBorders>
              <w:top w:val="nil"/>
              <w:left w:val="nil"/>
              <w:bottom w:val="single" w:sz="4" w:space="0" w:color="auto"/>
              <w:right w:val="single" w:sz="4" w:space="0" w:color="auto"/>
            </w:tcBorders>
            <w:shd w:val="clear" w:color="auto" w:fill="auto"/>
            <w:noWrap/>
            <w:vAlign w:val="bottom"/>
            <w:hideMark/>
          </w:tcPr>
          <w:p w14:paraId="7CD3C79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39C8BE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07B0D30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58.480</w:t>
            </w:r>
          </w:p>
        </w:tc>
        <w:tc>
          <w:tcPr>
            <w:tcW w:w="904" w:type="dxa"/>
            <w:tcBorders>
              <w:top w:val="nil"/>
              <w:left w:val="nil"/>
              <w:bottom w:val="single" w:sz="4" w:space="0" w:color="auto"/>
              <w:right w:val="single" w:sz="4" w:space="0" w:color="auto"/>
            </w:tcBorders>
            <w:shd w:val="clear" w:color="auto" w:fill="auto"/>
            <w:noWrap/>
            <w:vAlign w:val="bottom"/>
            <w:hideMark/>
          </w:tcPr>
          <w:p w14:paraId="259D45E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1D909BB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FB3B18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60.758</w:t>
            </w:r>
          </w:p>
        </w:tc>
        <w:tc>
          <w:tcPr>
            <w:tcW w:w="1946" w:type="dxa"/>
            <w:tcBorders>
              <w:top w:val="nil"/>
              <w:left w:val="nil"/>
              <w:bottom w:val="nil"/>
              <w:right w:val="nil"/>
            </w:tcBorders>
            <w:shd w:val="clear" w:color="auto" w:fill="auto"/>
            <w:noWrap/>
            <w:vAlign w:val="bottom"/>
            <w:hideMark/>
          </w:tcPr>
          <w:p w14:paraId="3BAE31E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9E4729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198874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435</w:t>
            </w:r>
          </w:p>
        </w:tc>
        <w:tc>
          <w:tcPr>
            <w:tcW w:w="904" w:type="dxa"/>
            <w:tcBorders>
              <w:top w:val="nil"/>
              <w:left w:val="nil"/>
              <w:bottom w:val="single" w:sz="4" w:space="0" w:color="auto"/>
              <w:right w:val="single" w:sz="4" w:space="0" w:color="auto"/>
            </w:tcBorders>
            <w:shd w:val="clear" w:color="auto" w:fill="auto"/>
            <w:noWrap/>
            <w:vAlign w:val="bottom"/>
            <w:hideMark/>
          </w:tcPr>
          <w:p w14:paraId="438B333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E39BA0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7A3471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60.262</w:t>
            </w:r>
          </w:p>
        </w:tc>
        <w:tc>
          <w:tcPr>
            <w:tcW w:w="904" w:type="dxa"/>
            <w:tcBorders>
              <w:top w:val="nil"/>
              <w:left w:val="nil"/>
              <w:bottom w:val="single" w:sz="4" w:space="0" w:color="auto"/>
              <w:right w:val="single" w:sz="4" w:space="0" w:color="auto"/>
            </w:tcBorders>
            <w:shd w:val="clear" w:color="auto" w:fill="auto"/>
            <w:noWrap/>
            <w:vAlign w:val="bottom"/>
            <w:hideMark/>
          </w:tcPr>
          <w:p w14:paraId="6DEBD47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0B42A42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6A084F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59.086</w:t>
            </w:r>
          </w:p>
        </w:tc>
        <w:tc>
          <w:tcPr>
            <w:tcW w:w="1946" w:type="dxa"/>
            <w:tcBorders>
              <w:top w:val="nil"/>
              <w:left w:val="nil"/>
              <w:bottom w:val="nil"/>
              <w:right w:val="nil"/>
            </w:tcBorders>
            <w:shd w:val="clear" w:color="auto" w:fill="auto"/>
            <w:noWrap/>
            <w:vAlign w:val="bottom"/>
            <w:hideMark/>
          </w:tcPr>
          <w:p w14:paraId="27191FC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5DFCA2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C0D53F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436</w:t>
            </w:r>
          </w:p>
        </w:tc>
        <w:tc>
          <w:tcPr>
            <w:tcW w:w="904" w:type="dxa"/>
            <w:tcBorders>
              <w:top w:val="nil"/>
              <w:left w:val="nil"/>
              <w:bottom w:val="single" w:sz="4" w:space="0" w:color="auto"/>
              <w:right w:val="single" w:sz="4" w:space="0" w:color="auto"/>
            </w:tcBorders>
            <w:shd w:val="clear" w:color="auto" w:fill="auto"/>
            <w:noWrap/>
            <w:vAlign w:val="bottom"/>
            <w:hideMark/>
          </w:tcPr>
          <w:p w14:paraId="465AF24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59.351</w:t>
            </w:r>
          </w:p>
        </w:tc>
        <w:tc>
          <w:tcPr>
            <w:tcW w:w="904" w:type="dxa"/>
            <w:tcBorders>
              <w:top w:val="nil"/>
              <w:left w:val="nil"/>
              <w:bottom w:val="single" w:sz="4" w:space="0" w:color="auto"/>
              <w:right w:val="single" w:sz="4" w:space="0" w:color="auto"/>
            </w:tcBorders>
            <w:shd w:val="clear" w:color="auto" w:fill="auto"/>
            <w:noWrap/>
            <w:vAlign w:val="bottom"/>
            <w:hideMark/>
          </w:tcPr>
          <w:p w14:paraId="2A0DC64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D7C002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491FF0F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96C81D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58.445</w:t>
            </w:r>
          </w:p>
        </w:tc>
        <w:tc>
          <w:tcPr>
            <w:tcW w:w="904" w:type="dxa"/>
            <w:tcBorders>
              <w:top w:val="nil"/>
              <w:left w:val="nil"/>
              <w:bottom w:val="single" w:sz="4" w:space="0" w:color="auto"/>
              <w:right w:val="single" w:sz="4" w:space="0" w:color="auto"/>
            </w:tcBorders>
            <w:shd w:val="clear" w:color="auto" w:fill="auto"/>
            <w:noWrap/>
            <w:vAlign w:val="bottom"/>
            <w:hideMark/>
          </w:tcPr>
          <w:p w14:paraId="02BEA30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667FF4D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8783D8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55AE49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437</w:t>
            </w:r>
          </w:p>
        </w:tc>
        <w:tc>
          <w:tcPr>
            <w:tcW w:w="904" w:type="dxa"/>
            <w:tcBorders>
              <w:top w:val="nil"/>
              <w:left w:val="nil"/>
              <w:bottom w:val="single" w:sz="4" w:space="0" w:color="auto"/>
              <w:right w:val="single" w:sz="4" w:space="0" w:color="auto"/>
            </w:tcBorders>
            <w:shd w:val="clear" w:color="auto" w:fill="auto"/>
            <w:noWrap/>
            <w:vAlign w:val="bottom"/>
            <w:hideMark/>
          </w:tcPr>
          <w:p w14:paraId="0AFFD44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58.630</w:t>
            </w:r>
          </w:p>
        </w:tc>
        <w:tc>
          <w:tcPr>
            <w:tcW w:w="904" w:type="dxa"/>
            <w:tcBorders>
              <w:top w:val="nil"/>
              <w:left w:val="nil"/>
              <w:bottom w:val="single" w:sz="4" w:space="0" w:color="auto"/>
              <w:right w:val="single" w:sz="4" w:space="0" w:color="auto"/>
            </w:tcBorders>
            <w:shd w:val="clear" w:color="auto" w:fill="auto"/>
            <w:noWrap/>
            <w:vAlign w:val="bottom"/>
            <w:hideMark/>
          </w:tcPr>
          <w:p w14:paraId="137EE7A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0689DF4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7247E9C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56.985</w:t>
            </w:r>
          </w:p>
        </w:tc>
        <w:tc>
          <w:tcPr>
            <w:tcW w:w="904" w:type="dxa"/>
            <w:tcBorders>
              <w:top w:val="nil"/>
              <w:left w:val="nil"/>
              <w:bottom w:val="single" w:sz="4" w:space="0" w:color="auto"/>
              <w:right w:val="single" w:sz="4" w:space="0" w:color="auto"/>
            </w:tcBorders>
            <w:shd w:val="clear" w:color="auto" w:fill="auto"/>
            <w:noWrap/>
            <w:vAlign w:val="bottom"/>
            <w:hideMark/>
          </w:tcPr>
          <w:p w14:paraId="4BDF831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58.969</w:t>
            </w:r>
          </w:p>
        </w:tc>
        <w:tc>
          <w:tcPr>
            <w:tcW w:w="904" w:type="dxa"/>
            <w:tcBorders>
              <w:top w:val="nil"/>
              <w:left w:val="nil"/>
              <w:bottom w:val="single" w:sz="4" w:space="0" w:color="auto"/>
              <w:right w:val="single" w:sz="4" w:space="0" w:color="auto"/>
            </w:tcBorders>
            <w:shd w:val="clear" w:color="auto" w:fill="auto"/>
            <w:noWrap/>
            <w:vAlign w:val="bottom"/>
            <w:hideMark/>
          </w:tcPr>
          <w:p w14:paraId="58B47AB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1ED5BB1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D2493C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7DE00E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438</w:t>
            </w:r>
          </w:p>
        </w:tc>
        <w:tc>
          <w:tcPr>
            <w:tcW w:w="904" w:type="dxa"/>
            <w:tcBorders>
              <w:top w:val="nil"/>
              <w:left w:val="nil"/>
              <w:bottom w:val="single" w:sz="4" w:space="0" w:color="auto"/>
              <w:right w:val="single" w:sz="4" w:space="0" w:color="auto"/>
            </w:tcBorders>
            <w:shd w:val="clear" w:color="auto" w:fill="auto"/>
            <w:noWrap/>
            <w:vAlign w:val="bottom"/>
            <w:hideMark/>
          </w:tcPr>
          <w:p w14:paraId="6AD6282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57.975</w:t>
            </w:r>
          </w:p>
        </w:tc>
        <w:tc>
          <w:tcPr>
            <w:tcW w:w="904" w:type="dxa"/>
            <w:tcBorders>
              <w:top w:val="nil"/>
              <w:left w:val="nil"/>
              <w:bottom w:val="single" w:sz="4" w:space="0" w:color="auto"/>
              <w:right w:val="single" w:sz="4" w:space="0" w:color="auto"/>
            </w:tcBorders>
            <w:shd w:val="clear" w:color="auto" w:fill="auto"/>
            <w:noWrap/>
            <w:vAlign w:val="bottom"/>
            <w:hideMark/>
          </w:tcPr>
          <w:p w14:paraId="34CEAEB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60.493</w:t>
            </w:r>
          </w:p>
        </w:tc>
        <w:tc>
          <w:tcPr>
            <w:tcW w:w="904" w:type="dxa"/>
            <w:tcBorders>
              <w:top w:val="nil"/>
              <w:left w:val="nil"/>
              <w:bottom w:val="single" w:sz="4" w:space="0" w:color="auto"/>
              <w:right w:val="single" w:sz="4" w:space="0" w:color="auto"/>
            </w:tcBorders>
            <w:shd w:val="clear" w:color="auto" w:fill="auto"/>
            <w:noWrap/>
            <w:vAlign w:val="bottom"/>
            <w:hideMark/>
          </w:tcPr>
          <w:p w14:paraId="781180D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52879FB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56.984</w:t>
            </w:r>
          </w:p>
        </w:tc>
        <w:tc>
          <w:tcPr>
            <w:tcW w:w="904" w:type="dxa"/>
            <w:tcBorders>
              <w:top w:val="nil"/>
              <w:left w:val="nil"/>
              <w:bottom w:val="single" w:sz="4" w:space="0" w:color="auto"/>
              <w:right w:val="single" w:sz="4" w:space="0" w:color="auto"/>
            </w:tcBorders>
            <w:shd w:val="clear" w:color="auto" w:fill="auto"/>
            <w:noWrap/>
            <w:vAlign w:val="bottom"/>
            <w:hideMark/>
          </w:tcPr>
          <w:p w14:paraId="380684D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58.989</w:t>
            </w:r>
          </w:p>
        </w:tc>
        <w:tc>
          <w:tcPr>
            <w:tcW w:w="904" w:type="dxa"/>
            <w:tcBorders>
              <w:top w:val="nil"/>
              <w:left w:val="nil"/>
              <w:bottom w:val="single" w:sz="4" w:space="0" w:color="auto"/>
              <w:right w:val="single" w:sz="4" w:space="0" w:color="auto"/>
            </w:tcBorders>
            <w:shd w:val="clear" w:color="auto" w:fill="auto"/>
            <w:noWrap/>
            <w:vAlign w:val="bottom"/>
            <w:hideMark/>
          </w:tcPr>
          <w:p w14:paraId="6D23451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7D1F199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5BDD85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F46643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439</w:t>
            </w:r>
          </w:p>
        </w:tc>
        <w:tc>
          <w:tcPr>
            <w:tcW w:w="904" w:type="dxa"/>
            <w:tcBorders>
              <w:top w:val="nil"/>
              <w:left w:val="nil"/>
              <w:bottom w:val="single" w:sz="4" w:space="0" w:color="auto"/>
              <w:right w:val="single" w:sz="4" w:space="0" w:color="auto"/>
            </w:tcBorders>
            <w:shd w:val="clear" w:color="auto" w:fill="auto"/>
            <w:noWrap/>
            <w:vAlign w:val="bottom"/>
            <w:hideMark/>
          </w:tcPr>
          <w:p w14:paraId="7A7F051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57.321</w:t>
            </w:r>
          </w:p>
        </w:tc>
        <w:tc>
          <w:tcPr>
            <w:tcW w:w="904" w:type="dxa"/>
            <w:tcBorders>
              <w:top w:val="nil"/>
              <w:left w:val="nil"/>
              <w:bottom w:val="single" w:sz="4" w:space="0" w:color="auto"/>
              <w:right w:val="single" w:sz="4" w:space="0" w:color="auto"/>
            </w:tcBorders>
            <w:shd w:val="clear" w:color="auto" w:fill="auto"/>
            <w:noWrap/>
            <w:vAlign w:val="bottom"/>
            <w:hideMark/>
          </w:tcPr>
          <w:p w14:paraId="75F33A4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0F0F26B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534DC0A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8E4B60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58.138</w:t>
            </w:r>
          </w:p>
        </w:tc>
        <w:tc>
          <w:tcPr>
            <w:tcW w:w="904" w:type="dxa"/>
            <w:tcBorders>
              <w:top w:val="nil"/>
              <w:left w:val="nil"/>
              <w:bottom w:val="single" w:sz="4" w:space="0" w:color="auto"/>
              <w:right w:val="single" w:sz="4" w:space="0" w:color="auto"/>
            </w:tcBorders>
            <w:shd w:val="clear" w:color="auto" w:fill="auto"/>
            <w:noWrap/>
            <w:vAlign w:val="bottom"/>
            <w:hideMark/>
          </w:tcPr>
          <w:p w14:paraId="292767C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58.985</w:t>
            </w:r>
          </w:p>
        </w:tc>
        <w:tc>
          <w:tcPr>
            <w:tcW w:w="1946" w:type="dxa"/>
            <w:tcBorders>
              <w:top w:val="nil"/>
              <w:left w:val="nil"/>
              <w:bottom w:val="nil"/>
              <w:right w:val="nil"/>
            </w:tcBorders>
            <w:shd w:val="clear" w:color="auto" w:fill="auto"/>
            <w:noWrap/>
            <w:vAlign w:val="bottom"/>
            <w:hideMark/>
          </w:tcPr>
          <w:p w14:paraId="67C54390"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9903A6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F2119B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440</w:t>
            </w:r>
          </w:p>
        </w:tc>
        <w:tc>
          <w:tcPr>
            <w:tcW w:w="904" w:type="dxa"/>
            <w:tcBorders>
              <w:top w:val="nil"/>
              <w:left w:val="nil"/>
              <w:bottom w:val="single" w:sz="4" w:space="0" w:color="auto"/>
              <w:right w:val="single" w:sz="4" w:space="0" w:color="auto"/>
            </w:tcBorders>
            <w:shd w:val="clear" w:color="auto" w:fill="auto"/>
            <w:noWrap/>
            <w:vAlign w:val="bottom"/>
            <w:hideMark/>
          </w:tcPr>
          <w:p w14:paraId="23E5078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57.850</w:t>
            </w:r>
          </w:p>
        </w:tc>
        <w:tc>
          <w:tcPr>
            <w:tcW w:w="904" w:type="dxa"/>
            <w:tcBorders>
              <w:top w:val="nil"/>
              <w:left w:val="nil"/>
              <w:bottom w:val="single" w:sz="4" w:space="0" w:color="auto"/>
              <w:right w:val="single" w:sz="4" w:space="0" w:color="auto"/>
            </w:tcBorders>
            <w:shd w:val="clear" w:color="auto" w:fill="auto"/>
            <w:noWrap/>
            <w:vAlign w:val="bottom"/>
            <w:hideMark/>
          </w:tcPr>
          <w:p w14:paraId="245DC14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3BCC530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2899062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56.017</w:t>
            </w:r>
          </w:p>
        </w:tc>
        <w:tc>
          <w:tcPr>
            <w:tcW w:w="904" w:type="dxa"/>
            <w:tcBorders>
              <w:top w:val="nil"/>
              <w:left w:val="nil"/>
              <w:bottom w:val="single" w:sz="4" w:space="0" w:color="auto"/>
              <w:right w:val="single" w:sz="4" w:space="0" w:color="auto"/>
            </w:tcBorders>
            <w:shd w:val="clear" w:color="auto" w:fill="auto"/>
            <w:noWrap/>
            <w:vAlign w:val="bottom"/>
            <w:hideMark/>
          </w:tcPr>
          <w:p w14:paraId="118E209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4854EE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58.459</w:t>
            </w:r>
          </w:p>
        </w:tc>
        <w:tc>
          <w:tcPr>
            <w:tcW w:w="1946" w:type="dxa"/>
            <w:tcBorders>
              <w:top w:val="nil"/>
              <w:left w:val="nil"/>
              <w:bottom w:val="nil"/>
              <w:right w:val="nil"/>
            </w:tcBorders>
            <w:shd w:val="clear" w:color="auto" w:fill="auto"/>
            <w:noWrap/>
            <w:vAlign w:val="bottom"/>
            <w:hideMark/>
          </w:tcPr>
          <w:p w14:paraId="5931763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90C6B3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D1E2E6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441</w:t>
            </w:r>
          </w:p>
        </w:tc>
        <w:tc>
          <w:tcPr>
            <w:tcW w:w="904" w:type="dxa"/>
            <w:tcBorders>
              <w:top w:val="nil"/>
              <w:left w:val="nil"/>
              <w:bottom w:val="single" w:sz="4" w:space="0" w:color="auto"/>
              <w:right w:val="single" w:sz="4" w:space="0" w:color="auto"/>
            </w:tcBorders>
            <w:shd w:val="clear" w:color="auto" w:fill="auto"/>
            <w:noWrap/>
            <w:vAlign w:val="bottom"/>
            <w:hideMark/>
          </w:tcPr>
          <w:p w14:paraId="59E7183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58.659</w:t>
            </w:r>
          </w:p>
        </w:tc>
        <w:tc>
          <w:tcPr>
            <w:tcW w:w="904" w:type="dxa"/>
            <w:tcBorders>
              <w:top w:val="nil"/>
              <w:left w:val="nil"/>
              <w:bottom w:val="single" w:sz="4" w:space="0" w:color="auto"/>
              <w:right w:val="single" w:sz="4" w:space="0" w:color="auto"/>
            </w:tcBorders>
            <w:shd w:val="clear" w:color="auto" w:fill="auto"/>
            <w:noWrap/>
            <w:vAlign w:val="bottom"/>
            <w:hideMark/>
          </w:tcPr>
          <w:p w14:paraId="11988D9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247C6F4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54C61B6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F16677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98BC4F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58.529</w:t>
            </w:r>
          </w:p>
        </w:tc>
        <w:tc>
          <w:tcPr>
            <w:tcW w:w="1946" w:type="dxa"/>
            <w:tcBorders>
              <w:top w:val="nil"/>
              <w:left w:val="nil"/>
              <w:bottom w:val="nil"/>
              <w:right w:val="nil"/>
            </w:tcBorders>
            <w:shd w:val="clear" w:color="auto" w:fill="auto"/>
            <w:noWrap/>
            <w:vAlign w:val="bottom"/>
            <w:hideMark/>
          </w:tcPr>
          <w:p w14:paraId="720F891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B1B1E3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C79E7A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442</w:t>
            </w:r>
          </w:p>
        </w:tc>
        <w:tc>
          <w:tcPr>
            <w:tcW w:w="904" w:type="dxa"/>
            <w:tcBorders>
              <w:top w:val="nil"/>
              <w:left w:val="nil"/>
              <w:bottom w:val="single" w:sz="4" w:space="0" w:color="auto"/>
              <w:right w:val="single" w:sz="4" w:space="0" w:color="auto"/>
            </w:tcBorders>
            <w:shd w:val="clear" w:color="auto" w:fill="auto"/>
            <w:noWrap/>
            <w:vAlign w:val="bottom"/>
            <w:hideMark/>
          </w:tcPr>
          <w:p w14:paraId="7BBA021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59.760</w:t>
            </w:r>
          </w:p>
        </w:tc>
        <w:tc>
          <w:tcPr>
            <w:tcW w:w="904" w:type="dxa"/>
            <w:tcBorders>
              <w:top w:val="nil"/>
              <w:left w:val="nil"/>
              <w:bottom w:val="single" w:sz="4" w:space="0" w:color="auto"/>
              <w:right w:val="single" w:sz="4" w:space="0" w:color="auto"/>
            </w:tcBorders>
            <w:shd w:val="clear" w:color="auto" w:fill="auto"/>
            <w:noWrap/>
            <w:vAlign w:val="bottom"/>
            <w:hideMark/>
          </w:tcPr>
          <w:p w14:paraId="29EED3D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4A41D4D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60.263</w:t>
            </w:r>
          </w:p>
        </w:tc>
        <w:tc>
          <w:tcPr>
            <w:tcW w:w="904" w:type="dxa"/>
            <w:tcBorders>
              <w:top w:val="nil"/>
              <w:left w:val="nil"/>
              <w:bottom w:val="single" w:sz="4" w:space="0" w:color="auto"/>
              <w:right w:val="single" w:sz="4" w:space="0" w:color="auto"/>
            </w:tcBorders>
            <w:shd w:val="clear" w:color="auto" w:fill="auto"/>
            <w:noWrap/>
            <w:vAlign w:val="bottom"/>
            <w:hideMark/>
          </w:tcPr>
          <w:p w14:paraId="5A8E3D7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1DD94C3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344D73C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58.657</w:t>
            </w:r>
          </w:p>
        </w:tc>
        <w:tc>
          <w:tcPr>
            <w:tcW w:w="1946" w:type="dxa"/>
            <w:tcBorders>
              <w:top w:val="nil"/>
              <w:left w:val="nil"/>
              <w:bottom w:val="nil"/>
              <w:right w:val="nil"/>
            </w:tcBorders>
            <w:shd w:val="clear" w:color="auto" w:fill="auto"/>
            <w:noWrap/>
            <w:vAlign w:val="bottom"/>
            <w:hideMark/>
          </w:tcPr>
          <w:p w14:paraId="1A5E9F8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3D7D06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A63F15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443</w:t>
            </w:r>
          </w:p>
        </w:tc>
        <w:tc>
          <w:tcPr>
            <w:tcW w:w="904" w:type="dxa"/>
            <w:tcBorders>
              <w:top w:val="nil"/>
              <w:left w:val="nil"/>
              <w:bottom w:val="single" w:sz="4" w:space="0" w:color="auto"/>
              <w:right w:val="single" w:sz="4" w:space="0" w:color="auto"/>
            </w:tcBorders>
            <w:shd w:val="clear" w:color="auto" w:fill="auto"/>
            <w:noWrap/>
            <w:vAlign w:val="bottom"/>
            <w:hideMark/>
          </w:tcPr>
          <w:p w14:paraId="072E4EA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68C316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60.193</w:t>
            </w:r>
          </w:p>
        </w:tc>
        <w:tc>
          <w:tcPr>
            <w:tcW w:w="904" w:type="dxa"/>
            <w:tcBorders>
              <w:top w:val="nil"/>
              <w:left w:val="nil"/>
              <w:bottom w:val="single" w:sz="4" w:space="0" w:color="auto"/>
              <w:right w:val="single" w:sz="4" w:space="0" w:color="auto"/>
            </w:tcBorders>
            <w:shd w:val="clear" w:color="auto" w:fill="auto"/>
            <w:noWrap/>
            <w:vAlign w:val="bottom"/>
            <w:hideMark/>
          </w:tcPr>
          <w:p w14:paraId="1B5073B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873326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76608E5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141E7B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58.649</w:t>
            </w:r>
          </w:p>
        </w:tc>
        <w:tc>
          <w:tcPr>
            <w:tcW w:w="1946" w:type="dxa"/>
            <w:tcBorders>
              <w:top w:val="nil"/>
              <w:left w:val="nil"/>
              <w:bottom w:val="nil"/>
              <w:right w:val="nil"/>
            </w:tcBorders>
            <w:shd w:val="clear" w:color="auto" w:fill="auto"/>
            <w:noWrap/>
            <w:vAlign w:val="bottom"/>
            <w:hideMark/>
          </w:tcPr>
          <w:p w14:paraId="08641DCC"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4B46F5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9621F1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444</w:t>
            </w:r>
          </w:p>
        </w:tc>
        <w:tc>
          <w:tcPr>
            <w:tcW w:w="904" w:type="dxa"/>
            <w:tcBorders>
              <w:top w:val="nil"/>
              <w:left w:val="nil"/>
              <w:bottom w:val="single" w:sz="4" w:space="0" w:color="auto"/>
              <w:right w:val="single" w:sz="4" w:space="0" w:color="auto"/>
            </w:tcBorders>
            <w:shd w:val="clear" w:color="auto" w:fill="auto"/>
            <w:noWrap/>
            <w:vAlign w:val="bottom"/>
            <w:hideMark/>
          </w:tcPr>
          <w:p w14:paraId="144E6C0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59.726</w:t>
            </w:r>
          </w:p>
        </w:tc>
        <w:tc>
          <w:tcPr>
            <w:tcW w:w="904" w:type="dxa"/>
            <w:tcBorders>
              <w:top w:val="nil"/>
              <w:left w:val="nil"/>
              <w:bottom w:val="single" w:sz="4" w:space="0" w:color="auto"/>
              <w:right w:val="single" w:sz="4" w:space="0" w:color="auto"/>
            </w:tcBorders>
            <w:shd w:val="clear" w:color="auto" w:fill="auto"/>
            <w:noWrap/>
            <w:vAlign w:val="bottom"/>
            <w:hideMark/>
          </w:tcPr>
          <w:p w14:paraId="1F92F96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6476820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3166A3A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9A0189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DDC9FD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33EDCBE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6F3FB1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91FC08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445</w:t>
            </w:r>
          </w:p>
        </w:tc>
        <w:tc>
          <w:tcPr>
            <w:tcW w:w="904" w:type="dxa"/>
            <w:tcBorders>
              <w:top w:val="nil"/>
              <w:left w:val="nil"/>
              <w:bottom w:val="single" w:sz="4" w:space="0" w:color="auto"/>
              <w:right w:val="single" w:sz="4" w:space="0" w:color="auto"/>
            </w:tcBorders>
            <w:shd w:val="clear" w:color="auto" w:fill="auto"/>
            <w:noWrap/>
            <w:vAlign w:val="bottom"/>
            <w:hideMark/>
          </w:tcPr>
          <w:p w14:paraId="322910A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57.084</w:t>
            </w:r>
          </w:p>
        </w:tc>
        <w:tc>
          <w:tcPr>
            <w:tcW w:w="904" w:type="dxa"/>
            <w:tcBorders>
              <w:top w:val="nil"/>
              <w:left w:val="nil"/>
              <w:bottom w:val="single" w:sz="4" w:space="0" w:color="auto"/>
              <w:right w:val="single" w:sz="4" w:space="0" w:color="auto"/>
            </w:tcBorders>
            <w:shd w:val="clear" w:color="auto" w:fill="auto"/>
            <w:noWrap/>
            <w:vAlign w:val="bottom"/>
            <w:hideMark/>
          </w:tcPr>
          <w:p w14:paraId="6C70667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F183CA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FDC711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6EC758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8665A0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19993E3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A504BF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8F3EBD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446</w:t>
            </w:r>
          </w:p>
        </w:tc>
        <w:tc>
          <w:tcPr>
            <w:tcW w:w="904" w:type="dxa"/>
            <w:tcBorders>
              <w:top w:val="nil"/>
              <w:left w:val="nil"/>
              <w:bottom w:val="single" w:sz="4" w:space="0" w:color="auto"/>
              <w:right w:val="single" w:sz="4" w:space="0" w:color="auto"/>
            </w:tcBorders>
            <w:shd w:val="clear" w:color="auto" w:fill="auto"/>
            <w:noWrap/>
            <w:vAlign w:val="bottom"/>
            <w:hideMark/>
          </w:tcPr>
          <w:p w14:paraId="40AC163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4DDE8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0283F8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31B098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4F49128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1597FE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218C316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EAE63F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57FB6E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447</w:t>
            </w:r>
          </w:p>
        </w:tc>
        <w:tc>
          <w:tcPr>
            <w:tcW w:w="904" w:type="dxa"/>
            <w:tcBorders>
              <w:top w:val="nil"/>
              <w:left w:val="nil"/>
              <w:bottom w:val="single" w:sz="4" w:space="0" w:color="auto"/>
              <w:right w:val="single" w:sz="4" w:space="0" w:color="auto"/>
            </w:tcBorders>
            <w:shd w:val="clear" w:color="auto" w:fill="auto"/>
            <w:noWrap/>
            <w:vAlign w:val="bottom"/>
            <w:hideMark/>
          </w:tcPr>
          <w:p w14:paraId="5F99544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1843DC4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58.743</w:t>
            </w:r>
          </w:p>
        </w:tc>
        <w:tc>
          <w:tcPr>
            <w:tcW w:w="904" w:type="dxa"/>
            <w:tcBorders>
              <w:top w:val="nil"/>
              <w:left w:val="nil"/>
              <w:bottom w:val="single" w:sz="4" w:space="0" w:color="auto"/>
              <w:right w:val="single" w:sz="4" w:space="0" w:color="auto"/>
            </w:tcBorders>
            <w:shd w:val="clear" w:color="auto" w:fill="auto"/>
            <w:noWrap/>
            <w:vAlign w:val="bottom"/>
            <w:hideMark/>
          </w:tcPr>
          <w:p w14:paraId="7E663C2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331E6C0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57.626</w:t>
            </w:r>
          </w:p>
        </w:tc>
        <w:tc>
          <w:tcPr>
            <w:tcW w:w="904" w:type="dxa"/>
            <w:tcBorders>
              <w:top w:val="nil"/>
              <w:left w:val="nil"/>
              <w:bottom w:val="single" w:sz="4" w:space="0" w:color="auto"/>
              <w:right w:val="single" w:sz="4" w:space="0" w:color="auto"/>
            </w:tcBorders>
            <w:shd w:val="clear" w:color="auto" w:fill="auto"/>
            <w:noWrap/>
            <w:vAlign w:val="bottom"/>
            <w:hideMark/>
          </w:tcPr>
          <w:p w14:paraId="3123038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74A908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72987AD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FD21652"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33E32A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448</w:t>
            </w:r>
          </w:p>
        </w:tc>
        <w:tc>
          <w:tcPr>
            <w:tcW w:w="904" w:type="dxa"/>
            <w:tcBorders>
              <w:top w:val="nil"/>
              <w:left w:val="nil"/>
              <w:bottom w:val="single" w:sz="4" w:space="0" w:color="auto"/>
              <w:right w:val="single" w:sz="4" w:space="0" w:color="auto"/>
            </w:tcBorders>
            <w:shd w:val="clear" w:color="auto" w:fill="auto"/>
            <w:noWrap/>
            <w:vAlign w:val="bottom"/>
            <w:hideMark/>
          </w:tcPr>
          <w:p w14:paraId="642B144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3B5C42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F33F12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6B63F5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59.621</w:t>
            </w:r>
          </w:p>
        </w:tc>
        <w:tc>
          <w:tcPr>
            <w:tcW w:w="904" w:type="dxa"/>
            <w:tcBorders>
              <w:top w:val="nil"/>
              <w:left w:val="nil"/>
              <w:bottom w:val="single" w:sz="4" w:space="0" w:color="auto"/>
              <w:right w:val="single" w:sz="4" w:space="0" w:color="auto"/>
            </w:tcBorders>
            <w:shd w:val="clear" w:color="auto" w:fill="auto"/>
            <w:noWrap/>
            <w:vAlign w:val="bottom"/>
            <w:hideMark/>
          </w:tcPr>
          <w:p w14:paraId="68A93AA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56.701</w:t>
            </w:r>
          </w:p>
        </w:tc>
        <w:tc>
          <w:tcPr>
            <w:tcW w:w="904" w:type="dxa"/>
            <w:tcBorders>
              <w:top w:val="nil"/>
              <w:left w:val="nil"/>
              <w:bottom w:val="single" w:sz="4" w:space="0" w:color="auto"/>
              <w:right w:val="single" w:sz="4" w:space="0" w:color="auto"/>
            </w:tcBorders>
            <w:shd w:val="clear" w:color="auto" w:fill="auto"/>
            <w:noWrap/>
            <w:vAlign w:val="bottom"/>
            <w:hideMark/>
          </w:tcPr>
          <w:p w14:paraId="3F3C2C8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028412C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2A3ECA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9AF051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449</w:t>
            </w:r>
          </w:p>
        </w:tc>
        <w:tc>
          <w:tcPr>
            <w:tcW w:w="904" w:type="dxa"/>
            <w:tcBorders>
              <w:top w:val="nil"/>
              <w:left w:val="nil"/>
              <w:bottom w:val="single" w:sz="4" w:space="0" w:color="auto"/>
              <w:right w:val="single" w:sz="4" w:space="0" w:color="auto"/>
            </w:tcBorders>
            <w:shd w:val="clear" w:color="auto" w:fill="auto"/>
            <w:noWrap/>
            <w:vAlign w:val="bottom"/>
            <w:hideMark/>
          </w:tcPr>
          <w:p w14:paraId="2A62D77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CEFB13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026F4AE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29A30C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04F05F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22A5796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412EFCC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0FE9A8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5BBA44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450</w:t>
            </w:r>
          </w:p>
        </w:tc>
        <w:tc>
          <w:tcPr>
            <w:tcW w:w="904" w:type="dxa"/>
            <w:tcBorders>
              <w:top w:val="nil"/>
              <w:left w:val="nil"/>
              <w:bottom w:val="single" w:sz="4" w:space="0" w:color="auto"/>
              <w:right w:val="single" w:sz="4" w:space="0" w:color="auto"/>
            </w:tcBorders>
            <w:shd w:val="clear" w:color="auto" w:fill="auto"/>
            <w:noWrap/>
            <w:vAlign w:val="bottom"/>
            <w:hideMark/>
          </w:tcPr>
          <w:p w14:paraId="2A9931A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5213681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D8CA3E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777B5B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682480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3F1210A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3314D36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74BA18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27B799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451</w:t>
            </w:r>
          </w:p>
        </w:tc>
        <w:tc>
          <w:tcPr>
            <w:tcW w:w="904" w:type="dxa"/>
            <w:tcBorders>
              <w:top w:val="nil"/>
              <w:left w:val="nil"/>
              <w:bottom w:val="single" w:sz="4" w:space="0" w:color="auto"/>
              <w:right w:val="single" w:sz="4" w:space="0" w:color="auto"/>
            </w:tcBorders>
            <w:shd w:val="clear" w:color="auto" w:fill="auto"/>
            <w:noWrap/>
            <w:vAlign w:val="bottom"/>
            <w:hideMark/>
          </w:tcPr>
          <w:p w14:paraId="55F4B7C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57.075</w:t>
            </w:r>
          </w:p>
        </w:tc>
        <w:tc>
          <w:tcPr>
            <w:tcW w:w="904" w:type="dxa"/>
            <w:tcBorders>
              <w:top w:val="nil"/>
              <w:left w:val="nil"/>
              <w:bottom w:val="single" w:sz="4" w:space="0" w:color="auto"/>
              <w:right w:val="single" w:sz="4" w:space="0" w:color="auto"/>
            </w:tcBorders>
            <w:shd w:val="clear" w:color="auto" w:fill="auto"/>
            <w:noWrap/>
            <w:vAlign w:val="bottom"/>
            <w:hideMark/>
          </w:tcPr>
          <w:p w14:paraId="283B14E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D9EAB7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B24556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BEE6A8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14788EE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700F556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A8959E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B8003D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452</w:t>
            </w:r>
          </w:p>
        </w:tc>
        <w:tc>
          <w:tcPr>
            <w:tcW w:w="904" w:type="dxa"/>
            <w:tcBorders>
              <w:top w:val="nil"/>
              <w:left w:val="nil"/>
              <w:bottom w:val="single" w:sz="4" w:space="0" w:color="auto"/>
              <w:right w:val="single" w:sz="4" w:space="0" w:color="auto"/>
            </w:tcBorders>
            <w:shd w:val="clear" w:color="auto" w:fill="auto"/>
            <w:noWrap/>
            <w:vAlign w:val="bottom"/>
            <w:hideMark/>
          </w:tcPr>
          <w:p w14:paraId="091F51F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59.320</w:t>
            </w:r>
          </w:p>
        </w:tc>
        <w:tc>
          <w:tcPr>
            <w:tcW w:w="904" w:type="dxa"/>
            <w:tcBorders>
              <w:top w:val="nil"/>
              <w:left w:val="nil"/>
              <w:bottom w:val="single" w:sz="4" w:space="0" w:color="auto"/>
              <w:right w:val="single" w:sz="4" w:space="0" w:color="auto"/>
            </w:tcBorders>
            <w:shd w:val="clear" w:color="auto" w:fill="auto"/>
            <w:noWrap/>
            <w:vAlign w:val="bottom"/>
            <w:hideMark/>
          </w:tcPr>
          <w:p w14:paraId="1198B0A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29BCA49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502429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02C174A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2A3C27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6F682CB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F335E7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249D31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453</w:t>
            </w:r>
          </w:p>
        </w:tc>
        <w:tc>
          <w:tcPr>
            <w:tcW w:w="904" w:type="dxa"/>
            <w:tcBorders>
              <w:top w:val="nil"/>
              <w:left w:val="nil"/>
              <w:bottom w:val="single" w:sz="4" w:space="0" w:color="auto"/>
              <w:right w:val="single" w:sz="4" w:space="0" w:color="auto"/>
            </w:tcBorders>
            <w:shd w:val="clear" w:color="auto" w:fill="auto"/>
            <w:noWrap/>
            <w:vAlign w:val="bottom"/>
            <w:hideMark/>
          </w:tcPr>
          <w:p w14:paraId="75342F0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DFE4F8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503CE7D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4B973D8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59.447</w:t>
            </w:r>
          </w:p>
        </w:tc>
        <w:tc>
          <w:tcPr>
            <w:tcW w:w="904" w:type="dxa"/>
            <w:tcBorders>
              <w:top w:val="nil"/>
              <w:left w:val="nil"/>
              <w:bottom w:val="single" w:sz="4" w:space="0" w:color="auto"/>
              <w:right w:val="single" w:sz="4" w:space="0" w:color="auto"/>
            </w:tcBorders>
            <w:shd w:val="clear" w:color="auto" w:fill="auto"/>
            <w:noWrap/>
            <w:vAlign w:val="bottom"/>
            <w:hideMark/>
          </w:tcPr>
          <w:p w14:paraId="0420721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6BC65EA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34294B1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3C2E10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0BCE22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454</w:t>
            </w:r>
          </w:p>
        </w:tc>
        <w:tc>
          <w:tcPr>
            <w:tcW w:w="904" w:type="dxa"/>
            <w:tcBorders>
              <w:top w:val="nil"/>
              <w:left w:val="nil"/>
              <w:bottom w:val="single" w:sz="4" w:space="0" w:color="auto"/>
              <w:right w:val="single" w:sz="4" w:space="0" w:color="auto"/>
            </w:tcBorders>
            <w:shd w:val="clear" w:color="auto" w:fill="auto"/>
            <w:noWrap/>
            <w:vAlign w:val="bottom"/>
            <w:hideMark/>
          </w:tcPr>
          <w:p w14:paraId="493C34C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5C27F6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19D7D1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1D48E7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57.453</w:t>
            </w:r>
          </w:p>
        </w:tc>
        <w:tc>
          <w:tcPr>
            <w:tcW w:w="904" w:type="dxa"/>
            <w:tcBorders>
              <w:top w:val="nil"/>
              <w:left w:val="nil"/>
              <w:bottom w:val="single" w:sz="4" w:space="0" w:color="auto"/>
              <w:right w:val="single" w:sz="4" w:space="0" w:color="auto"/>
            </w:tcBorders>
            <w:shd w:val="clear" w:color="auto" w:fill="auto"/>
            <w:noWrap/>
            <w:vAlign w:val="bottom"/>
            <w:hideMark/>
          </w:tcPr>
          <w:p w14:paraId="5269F3B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45B6E1A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13FBF3C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866793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6404A1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455</w:t>
            </w:r>
          </w:p>
        </w:tc>
        <w:tc>
          <w:tcPr>
            <w:tcW w:w="904" w:type="dxa"/>
            <w:tcBorders>
              <w:top w:val="nil"/>
              <w:left w:val="nil"/>
              <w:bottom w:val="single" w:sz="4" w:space="0" w:color="auto"/>
              <w:right w:val="single" w:sz="4" w:space="0" w:color="auto"/>
            </w:tcBorders>
            <w:shd w:val="clear" w:color="auto" w:fill="auto"/>
            <w:noWrap/>
            <w:vAlign w:val="bottom"/>
            <w:hideMark/>
          </w:tcPr>
          <w:p w14:paraId="0B67788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1B87858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59.977</w:t>
            </w:r>
          </w:p>
        </w:tc>
        <w:tc>
          <w:tcPr>
            <w:tcW w:w="904" w:type="dxa"/>
            <w:tcBorders>
              <w:top w:val="nil"/>
              <w:left w:val="nil"/>
              <w:bottom w:val="single" w:sz="4" w:space="0" w:color="auto"/>
              <w:right w:val="single" w:sz="4" w:space="0" w:color="auto"/>
            </w:tcBorders>
            <w:shd w:val="clear" w:color="auto" w:fill="auto"/>
            <w:noWrap/>
            <w:vAlign w:val="bottom"/>
            <w:hideMark/>
          </w:tcPr>
          <w:p w14:paraId="391B0FA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E34FBB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31A9B19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60DB47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66D1C45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AC1AFB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E4579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456</w:t>
            </w:r>
          </w:p>
        </w:tc>
        <w:tc>
          <w:tcPr>
            <w:tcW w:w="904" w:type="dxa"/>
            <w:tcBorders>
              <w:top w:val="nil"/>
              <w:left w:val="nil"/>
              <w:bottom w:val="single" w:sz="4" w:space="0" w:color="auto"/>
              <w:right w:val="single" w:sz="4" w:space="0" w:color="auto"/>
            </w:tcBorders>
            <w:shd w:val="clear" w:color="auto" w:fill="auto"/>
            <w:noWrap/>
            <w:vAlign w:val="bottom"/>
            <w:hideMark/>
          </w:tcPr>
          <w:p w14:paraId="3A4BEAB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0D77997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60.320</w:t>
            </w:r>
          </w:p>
        </w:tc>
        <w:tc>
          <w:tcPr>
            <w:tcW w:w="904" w:type="dxa"/>
            <w:tcBorders>
              <w:top w:val="nil"/>
              <w:left w:val="nil"/>
              <w:bottom w:val="single" w:sz="4" w:space="0" w:color="auto"/>
              <w:right w:val="single" w:sz="4" w:space="0" w:color="auto"/>
            </w:tcBorders>
            <w:shd w:val="clear" w:color="auto" w:fill="auto"/>
            <w:noWrap/>
            <w:vAlign w:val="bottom"/>
            <w:hideMark/>
          </w:tcPr>
          <w:p w14:paraId="4046314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FDE727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73D97BF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7974C86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1039215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BE5A7A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37E215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457</w:t>
            </w:r>
          </w:p>
        </w:tc>
        <w:tc>
          <w:tcPr>
            <w:tcW w:w="904" w:type="dxa"/>
            <w:tcBorders>
              <w:top w:val="nil"/>
              <w:left w:val="nil"/>
              <w:bottom w:val="single" w:sz="4" w:space="0" w:color="auto"/>
              <w:right w:val="single" w:sz="4" w:space="0" w:color="auto"/>
            </w:tcBorders>
            <w:shd w:val="clear" w:color="auto" w:fill="auto"/>
            <w:noWrap/>
            <w:vAlign w:val="bottom"/>
            <w:hideMark/>
          </w:tcPr>
          <w:p w14:paraId="48D30DF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3CB3EC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59.362</w:t>
            </w:r>
          </w:p>
        </w:tc>
        <w:tc>
          <w:tcPr>
            <w:tcW w:w="904" w:type="dxa"/>
            <w:tcBorders>
              <w:top w:val="nil"/>
              <w:left w:val="nil"/>
              <w:bottom w:val="single" w:sz="4" w:space="0" w:color="auto"/>
              <w:right w:val="single" w:sz="4" w:space="0" w:color="auto"/>
            </w:tcBorders>
            <w:shd w:val="clear" w:color="auto" w:fill="auto"/>
            <w:noWrap/>
            <w:vAlign w:val="bottom"/>
            <w:hideMark/>
          </w:tcPr>
          <w:p w14:paraId="0733484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568C7A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2FC00ED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7604FD6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387B43D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8CBE22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45CAB3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458</w:t>
            </w:r>
          </w:p>
        </w:tc>
        <w:tc>
          <w:tcPr>
            <w:tcW w:w="904" w:type="dxa"/>
            <w:tcBorders>
              <w:top w:val="nil"/>
              <w:left w:val="nil"/>
              <w:bottom w:val="single" w:sz="4" w:space="0" w:color="auto"/>
              <w:right w:val="single" w:sz="4" w:space="0" w:color="auto"/>
            </w:tcBorders>
            <w:shd w:val="clear" w:color="auto" w:fill="auto"/>
            <w:noWrap/>
            <w:vAlign w:val="bottom"/>
            <w:hideMark/>
          </w:tcPr>
          <w:p w14:paraId="52226F1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60.129</w:t>
            </w:r>
          </w:p>
        </w:tc>
        <w:tc>
          <w:tcPr>
            <w:tcW w:w="904" w:type="dxa"/>
            <w:tcBorders>
              <w:top w:val="nil"/>
              <w:left w:val="nil"/>
              <w:bottom w:val="single" w:sz="4" w:space="0" w:color="auto"/>
              <w:right w:val="single" w:sz="4" w:space="0" w:color="auto"/>
            </w:tcBorders>
            <w:shd w:val="clear" w:color="auto" w:fill="auto"/>
            <w:noWrap/>
            <w:vAlign w:val="bottom"/>
            <w:hideMark/>
          </w:tcPr>
          <w:p w14:paraId="0E0DCCE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27BAA0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D372AD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873081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200B3F7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6A8E8687"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E8D93C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0AED3D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459</w:t>
            </w:r>
          </w:p>
        </w:tc>
        <w:tc>
          <w:tcPr>
            <w:tcW w:w="904" w:type="dxa"/>
            <w:tcBorders>
              <w:top w:val="nil"/>
              <w:left w:val="nil"/>
              <w:bottom w:val="single" w:sz="4" w:space="0" w:color="auto"/>
              <w:right w:val="single" w:sz="4" w:space="0" w:color="auto"/>
            </w:tcBorders>
            <w:shd w:val="clear" w:color="auto" w:fill="auto"/>
            <w:noWrap/>
            <w:vAlign w:val="bottom"/>
            <w:hideMark/>
          </w:tcPr>
          <w:p w14:paraId="0E01E6C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62.789</w:t>
            </w:r>
          </w:p>
        </w:tc>
        <w:tc>
          <w:tcPr>
            <w:tcW w:w="904" w:type="dxa"/>
            <w:tcBorders>
              <w:top w:val="nil"/>
              <w:left w:val="nil"/>
              <w:bottom w:val="single" w:sz="4" w:space="0" w:color="auto"/>
              <w:right w:val="single" w:sz="4" w:space="0" w:color="auto"/>
            </w:tcBorders>
            <w:shd w:val="clear" w:color="auto" w:fill="auto"/>
            <w:noWrap/>
            <w:vAlign w:val="bottom"/>
            <w:hideMark/>
          </w:tcPr>
          <w:p w14:paraId="7A001E6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19C91F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E98A47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904" w:type="dxa"/>
            <w:tcBorders>
              <w:top w:val="nil"/>
              <w:left w:val="nil"/>
              <w:bottom w:val="single" w:sz="4" w:space="0" w:color="auto"/>
              <w:right w:val="single" w:sz="4" w:space="0" w:color="auto"/>
            </w:tcBorders>
            <w:shd w:val="clear" w:color="auto" w:fill="auto"/>
            <w:noWrap/>
            <w:vAlign w:val="bottom"/>
            <w:hideMark/>
          </w:tcPr>
          <w:p w14:paraId="60EB680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4203218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0D2AD08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F9EF65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86ABB2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460</w:t>
            </w:r>
          </w:p>
        </w:tc>
        <w:tc>
          <w:tcPr>
            <w:tcW w:w="904" w:type="dxa"/>
            <w:tcBorders>
              <w:top w:val="nil"/>
              <w:left w:val="nil"/>
              <w:bottom w:val="single" w:sz="4" w:space="0" w:color="auto"/>
              <w:right w:val="single" w:sz="4" w:space="0" w:color="auto"/>
            </w:tcBorders>
            <w:shd w:val="clear" w:color="auto" w:fill="auto"/>
            <w:noWrap/>
            <w:vAlign w:val="bottom"/>
            <w:hideMark/>
          </w:tcPr>
          <w:p w14:paraId="119B28D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087B10E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4455D3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415F04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58.523</w:t>
            </w:r>
          </w:p>
        </w:tc>
        <w:tc>
          <w:tcPr>
            <w:tcW w:w="904" w:type="dxa"/>
            <w:tcBorders>
              <w:top w:val="nil"/>
              <w:left w:val="nil"/>
              <w:bottom w:val="single" w:sz="4" w:space="0" w:color="auto"/>
              <w:right w:val="single" w:sz="4" w:space="0" w:color="auto"/>
            </w:tcBorders>
            <w:shd w:val="clear" w:color="auto" w:fill="auto"/>
            <w:noWrap/>
            <w:vAlign w:val="bottom"/>
            <w:hideMark/>
          </w:tcPr>
          <w:p w14:paraId="78AECF6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6557311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5D03A35C"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F26033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05DFD8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461</w:t>
            </w:r>
          </w:p>
        </w:tc>
        <w:tc>
          <w:tcPr>
            <w:tcW w:w="904" w:type="dxa"/>
            <w:tcBorders>
              <w:top w:val="nil"/>
              <w:left w:val="nil"/>
              <w:bottom w:val="single" w:sz="4" w:space="0" w:color="auto"/>
              <w:right w:val="single" w:sz="4" w:space="0" w:color="auto"/>
            </w:tcBorders>
            <w:shd w:val="clear" w:color="auto" w:fill="auto"/>
            <w:noWrap/>
            <w:vAlign w:val="bottom"/>
            <w:hideMark/>
          </w:tcPr>
          <w:p w14:paraId="70D37F8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7CD132D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009759A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58.598</w:t>
            </w:r>
          </w:p>
        </w:tc>
        <w:tc>
          <w:tcPr>
            <w:tcW w:w="904" w:type="dxa"/>
            <w:tcBorders>
              <w:top w:val="nil"/>
              <w:left w:val="nil"/>
              <w:bottom w:val="single" w:sz="4" w:space="0" w:color="auto"/>
              <w:right w:val="single" w:sz="4" w:space="0" w:color="auto"/>
            </w:tcBorders>
            <w:shd w:val="clear" w:color="auto" w:fill="auto"/>
            <w:noWrap/>
            <w:vAlign w:val="bottom"/>
            <w:hideMark/>
          </w:tcPr>
          <w:p w14:paraId="49578B3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59.817</w:t>
            </w:r>
          </w:p>
        </w:tc>
        <w:tc>
          <w:tcPr>
            <w:tcW w:w="904" w:type="dxa"/>
            <w:tcBorders>
              <w:top w:val="nil"/>
              <w:left w:val="nil"/>
              <w:bottom w:val="single" w:sz="4" w:space="0" w:color="auto"/>
              <w:right w:val="single" w:sz="4" w:space="0" w:color="auto"/>
            </w:tcBorders>
            <w:shd w:val="clear" w:color="auto" w:fill="auto"/>
            <w:noWrap/>
            <w:vAlign w:val="bottom"/>
            <w:hideMark/>
          </w:tcPr>
          <w:p w14:paraId="3E84F9F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0E75C85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57930B5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6382A1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056E25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462</w:t>
            </w:r>
          </w:p>
        </w:tc>
        <w:tc>
          <w:tcPr>
            <w:tcW w:w="904" w:type="dxa"/>
            <w:tcBorders>
              <w:top w:val="nil"/>
              <w:left w:val="nil"/>
              <w:bottom w:val="single" w:sz="4" w:space="0" w:color="auto"/>
              <w:right w:val="single" w:sz="4" w:space="0" w:color="auto"/>
            </w:tcBorders>
            <w:shd w:val="clear" w:color="auto" w:fill="auto"/>
            <w:noWrap/>
            <w:vAlign w:val="bottom"/>
            <w:hideMark/>
          </w:tcPr>
          <w:p w14:paraId="10364A1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0DC56BC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59.061</w:t>
            </w:r>
          </w:p>
        </w:tc>
        <w:tc>
          <w:tcPr>
            <w:tcW w:w="904" w:type="dxa"/>
            <w:tcBorders>
              <w:top w:val="nil"/>
              <w:left w:val="nil"/>
              <w:bottom w:val="single" w:sz="4" w:space="0" w:color="auto"/>
              <w:right w:val="single" w:sz="4" w:space="0" w:color="auto"/>
            </w:tcBorders>
            <w:shd w:val="clear" w:color="auto" w:fill="auto"/>
            <w:noWrap/>
            <w:vAlign w:val="bottom"/>
            <w:hideMark/>
          </w:tcPr>
          <w:p w14:paraId="69C4DB8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026BE4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95DB94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0B98ACD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7B2B466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0E9764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3B3A4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463</w:t>
            </w:r>
          </w:p>
        </w:tc>
        <w:tc>
          <w:tcPr>
            <w:tcW w:w="904" w:type="dxa"/>
            <w:tcBorders>
              <w:top w:val="nil"/>
              <w:left w:val="nil"/>
              <w:bottom w:val="single" w:sz="4" w:space="0" w:color="auto"/>
              <w:right w:val="single" w:sz="4" w:space="0" w:color="auto"/>
            </w:tcBorders>
            <w:shd w:val="clear" w:color="auto" w:fill="auto"/>
            <w:noWrap/>
            <w:vAlign w:val="bottom"/>
            <w:hideMark/>
          </w:tcPr>
          <w:p w14:paraId="4DB5BF8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62.342</w:t>
            </w:r>
          </w:p>
        </w:tc>
        <w:tc>
          <w:tcPr>
            <w:tcW w:w="904" w:type="dxa"/>
            <w:tcBorders>
              <w:top w:val="nil"/>
              <w:left w:val="nil"/>
              <w:bottom w:val="single" w:sz="4" w:space="0" w:color="auto"/>
              <w:right w:val="single" w:sz="4" w:space="0" w:color="auto"/>
            </w:tcBorders>
            <w:shd w:val="clear" w:color="auto" w:fill="auto"/>
            <w:noWrap/>
            <w:vAlign w:val="bottom"/>
            <w:hideMark/>
          </w:tcPr>
          <w:p w14:paraId="50828BE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60.184</w:t>
            </w:r>
          </w:p>
        </w:tc>
        <w:tc>
          <w:tcPr>
            <w:tcW w:w="904" w:type="dxa"/>
            <w:tcBorders>
              <w:top w:val="nil"/>
              <w:left w:val="nil"/>
              <w:bottom w:val="single" w:sz="4" w:space="0" w:color="auto"/>
              <w:right w:val="single" w:sz="4" w:space="0" w:color="auto"/>
            </w:tcBorders>
            <w:shd w:val="clear" w:color="auto" w:fill="auto"/>
            <w:noWrap/>
            <w:vAlign w:val="bottom"/>
            <w:hideMark/>
          </w:tcPr>
          <w:p w14:paraId="3B3E8E5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59.904</w:t>
            </w:r>
          </w:p>
        </w:tc>
        <w:tc>
          <w:tcPr>
            <w:tcW w:w="904" w:type="dxa"/>
            <w:tcBorders>
              <w:top w:val="nil"/>
              <w:left w:val="nil"/>
              <w:bottom w:val="single" w:sz="4" w:space="0" w:color="auto"/>
              <w:right w:val="single" w:sz="4" w:space="0" w:color="auto"/>
            </w:tcBorders>
            <w:shd w:val="clear" w:color="auto" w:fill="auto"/>
            <w:noWrap/>
            <w:vAlign w:val="bottom"/>
            <w:hideMark/>
          </w:tcPr>
          <w:p w14:paraId="69E75C8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BD54E0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711E679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3678BCA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67B5C5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76B836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464</w:t>
            </w:r>
          </w:p>
        </w:tc>
        <w:tc>
          <w:tcPr>
            <w:tcW w:w="904" w:type="dxa"/>
            <w:tcBorders>
              <w:top w:val="nil"/>
              <w:left w:val="nil"/>
              <w:bottom w:val="single" w:sz="4" w:space="0" w:color="auto"/>
              <w:right w:val="single" w:sz="4" w:space="0" w:color="auto"/>
            </w:tcBorders>
            <w:shd w:val="clear" w:color="auto" w:fill="auto"/>
            <w:noWrap/>
            <w:vAlign w:val="bottom"/>
            <w:hideMark/>
          </w:tcPr>
          <w:p w14:paraId="629D82D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FB1BD0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61.135</w:t>
            </w:r>
          </w:p>
        </w:tc>
        <w:tc>
          <w:tcPr>
            <w:tcW w:w="904" w:type="dxa"/>
            <w:tcBorders>
              <w:top w:val="nil"/>
              <w:left w:val="nil"/>
              <w:bottom w:val="single" w:sz="4" w:space="0" w:color="auto"/>
              <w:right w:val="single" w:sz="4" w:space="0" w:color="auto"/>
            </w:tcBorders>
            <w:shd w:val="clear" w:color="auto" w:fill="auto"/>
            <w:noWrap/>
            <w:vAlign w:val="bottom"/>
            <w:hideMark/>
          </w:tcPr>
          <w:p w14:paraId="70ACF16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35B704E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60.018</w:t>
            </w:r>
          </w:p>
        </w:tc>
        <w:tc>
          <w:tcPr>
            <w:tcW w:w="904" w:type="dxa"/>
            <w:tcBorders>
              <w:top w:val="nil"/>
              <w:left w:val="nil"/>
              <w:bottom w:val="single" w:sz="4" w:space="0" w:color="auto"/>
              <w:right w:val="single" w:sz="4" w:space="0" w:color="auto"/>
            </w:tcBorders>
            <w:shd w:val="clear" w:color="auto" w:fill="auto"/>
            <w:noWrap/>
            <w:vAlign w:val="bottom"/>
            <w:hideMark/>
          </w:tcPr>
          <w:p w14:paraId="4943897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3EFCECD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081631A6"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CC3364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59311F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465</w:t>
            </w:r>
          </w:p>
        </w:tc>
        <w:tc>
          <w:tcPr>
            <w:tcW w:w="904" w:type="dxa"/>
            <w:tcBorders>
              <w:top w:val="nil"/>
              <w:left w:val="nil"/>
              <w:bottom w:val="single" w:sz="4" w:space="0" w:color="auto"/>
              <w:right w:val="single" w:sz="4" w:space="0" w:color="auto"/>
            </w:tcBorders>
            <w:shd w:val="clear" w:color="auto" w:fill="auto"/>
            <w:noWrap/>
            <w:vAlign w:val="bottom"/>
            <w:hideMark/>
          </w:tcPr>
          <w:p w14:paraId="0624CA5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C73E38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61.359</w:t>
            </w:r>
          </w:p>
        </w:tc>
        <w:tc>
          <w:tcPr>
            <w:tcW w:w="904" w:type="dxa"/>
            <w:tcBorders>
              <w:top w:val="nil"/>
              <w:left w:val="nil"/>
              <w:bottom w:val="single" w:sz="4" w:space="0" w:color="auto"/>
              <w:right w:val="single" w:sz="4" w:space="0" w:color="auto"/>
            </w:tcBorders>
            <w:shd w:val="clear" w:color="auto" w:fill="auto"/>
            <w:noWrap/>
            <w:vAlign w:val="bottom"/>
            <w:hideMark/>
          </w:tcPr>
          <w:p w14:paraId="14ED273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690602A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60.646</w:t>
            </w:r>
          </w:p>
        </w:tc>
        <w:tc>
          <w:tcPr>
            <w:tcW w:w="904" w:type="dxa"/>
            <w:tcBorders>
              <w:top w:val="nil"/>
              <w:left w:val="nil"/>
              <w:bottom w:val="single" w:sz="4" w:space="0" w:color="auto"/>
              <w:right w:val="single" w:sz="4" w:space="0" w:color="auto"/>
            </w:tcBorders>
            <w:shd w:val="clear" w:color="auto" w:fill="auto"/>
            <w:noWrap/>
            <w:vAlign w:val="bottom"/>
            <w:hideMark/>
          </w:tcPr>
          <w:p w14:paraId="26A1B2A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244FFB5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2B6A6C2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15B658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806518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466</w:t>
            </w:r>
          </w:p>
        </w:tc>
        <w:tc>
          <w:tcPr>
            <w:tcW w:w="904" w:type="dxa"/>
            <w:tcBorders>
              <w:top w:val="nil"/>
              <w:left w:val="nil"/>
              <w:bottom w:val="single" w:sz="4" w:space="0" w:color="auto"/>
              <w:right w:val="single" w:sz="4" w:space="0" w:color="auto"/>
            </w:tcBorders>
            <w:shd w:val="clear" w:color="auto" w:fill="auto"/>
            <w:noWrap/>
            <w:vAlign w:val="bottom"/>
            <w:hideMark/>
          </w:tcPr>
          <w:p w14:paraId="0571AA8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4A8407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75BD978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61.672</w:t>
            </w:r>
          </w:p>
        </w:tc>
        <w:tc>
          <w:tcPr>
            <w:tcW w:w="904" w:type="dxa"/>
            <w:tcBorders>
              <w:top w:val="nil"/>
              <w:left w:val="nil"/>
              <w:bottom w:val="single" w:sz="4" w:space="0" w:color="auto"/>
              <w:right w:val="single" w:sz="4" w:space="0" w:color="auto"/>
            </w:tcBorders>
            <w:shd w:val="clear" w:color="auto" w:fill="auto"/>
            <w:noWrap/>
            <w:vAlign w:val="bottom"/>
            <w:hideMark/>
          </w:tcPr>
          <w:p w14:paraId="056BEE5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62.760</w:t>
            </w:r>
          </w:p>
        </w:tc>
        <w:tc>
          <w:tcPr>
            <w:tcW w:w="904" w:type="dxa"/>
            <w:tcBorders>
              <w:top w:val="nil"/>
              <w:left w:val="nil"/>
              <w:bottom w:val="single" w:sz="4" w:space="0" w:color="auto"/>
              <w:right w:val="single" w:sz="4" w:space="0" w:color="auto"/>
            </w:tcBorders>
            <w:shd w:val="clear" w:color="auto" w:fill="auto"/>
            <w:noWrap/>
            <w:vAlign w:val="bottom"/>
            <w:hideMark/>
          </w:tcPr>
          <w:p w14:paraId="18A34BA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4B9A53E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7A90D57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07FAFE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A5266D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467</w:t>
            </w:r>
          </w:p>
        </w:tc>
        <w:tc>
          <w:tcPr>
            <w:tcW w:w="904" w:type="dxa"/>
            <w:tcBorders>
              <w:top w:val="nil"/>
              <w:left w:val="nil"/>
              <w:bottom w:val="single" w:sz="4" w:space="0" w:color="auto"/>
              <w:right w:val="single" w:sz="4" w:space="0" w:color="auto"/>
            </w:tcBorders>
            <w:shd w:val="clear" w:color="auto" w:fill="auto"/>
            <w:noWrap/>
            <w:vAlign w:val="bottom"/>
            <w:hideMark/>
          </w:tcPr>
          <w:p w14:paraId="564164C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5C347F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61.487</w:t>
            </w:r>
          </w:p>
        </w:tc>
        <w:tc>
          <w:tcPr>
            <w:tcW w:w="904" w:type="dxa"/>
            <w:tcBorders>
              <w:top w:val="nil"/>
              <w:left w:val="nil"/>
              <w:bottom w:val="single" w:sz="4" w:space="0" w:color="auto"/>
              <w:right w:val="single" w:sz="4" w:space="0" w:color="auto"/>
            </w:tcBorders>
            <w:shd w:val="clear" w:color="auto" w:fill="auto"/>
            <w:noWrap/>
            <w:vAlign w:val="bottom"/>
            <w:hideMark/>
          </w:tcPr>
          <w:p w14:paraId="4FAC67E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60.138</w:t>
            </w:r>
          </w:p>
        </w:tc>
        <w:tc>
          <w:tcPr>
            <w:tcW w:w="904" w:type="dxa"/>
            <w:tcBorders>
              <w:top w:val="nil"/>
              <w:left w:val="nil"/>
              <w:bottom w:val="single" w:sz="4" w:space="0" w:color="auto"/>
              <w:right w:val="single" w:sz="4" w:space="0" w:color="auto"/>
            </w:tcBorders>
            <w:shd w:val="clear" w:color="auto" w:fill="auto"/>
            <w:noWrap/>
            <w:vAlign w:val="bottom"/>
            <w:hideMark/>
          </w:tcPr>
          <w:p w14:paraId="241B0A5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3C67B9D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7252377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5726A47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AF9E66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D8C593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468</w:t>
            </w:r>
          </w:p>
        </w:tc>
        <w:tc>
          <w:tcPr>
            <w:tcW w:w="904" w:type="dxa"/>
            <w:tcBorders>
              <w:top w:val="nil"/>
              <w:left w:val="nil"/>
              <w:bottom w:val="single" w:sz="4" w:space="0" w:color="auto"/>
              <w:right w:val="single" w:sz="4" w:space="0" w:color="auto"/>
            </w:tcBorders>
            <w:shd w:val="clear" w:color="auto" w:fill="auto"/>
            <w:noWrap/>
            <w:vAlign w:val="bottom"/>
            <w:hideMark/>
          </w:tcPr>
          <w:p w14:paraId="4C471EB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F73582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62.305</w:t>
            </w:r>
          </w:p>
        </w:tc>
        <w:tc>
          <w:tcPr>
            <w:tcW w:w="904" w:type="dxa"/>
            <w:tcBorders>
              <w:top w:val="nil"/>
              <w:left w:val="nil"/>
              <w:bottom w:val="single" w:sz="4" w:space="0" w:color="auto"/>
              <w:right w:val="single" w:sz="4" w:space="0" w:color="auto"/>
            </w:tcBorders>
            <w:shd w:val="clear" w:color="auto" w:fill="auto"/>
            <w:noWrap/>
            <w:vAlign w:val="bottom"/>
            <w:hideMark/>
          </w:tcPr>
          <w:p w14:paraId="670AD1E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252341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549BF4A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55.237</w:t>
            </w:r>
          </w:p>
        </w:tc>
        <w:tc>
          <w:tcPr>
            <w:tcW w:w="904" w:type="dxa"/>
            <w:tcBorders>
              <w:top w:val="nil"/>
              <w:left w:val="nil"/>
              <w:bottom w:val="single" w:sz="4" w:space="0" w:color="auto"/>
              <w:right w:val="single" w:sz="4" w:space="0" w:color="auto"/>
            </w:tcBorders>
            <w:shd w:val="clear" w:color="auto" w:fill="auto"/>
            <w:noWrap/>
            <w:vAlign w:val="bottom"/>
            <w:hideMark/>
          </w:tcPr>
          <w:p w14:paraId="7E064E5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52F9247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8DFBCD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008646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469</w:t>
            </w:r>
          </w:p>
        </w:tc>
        <w:tc>
          <w:tcPr>
            <w:tcW w:w="904" w:type="dxa"/>
            <w:tcBorders>
              <w:top w:val="nil"/>
              <w:left w:val="nil"/>
              <w:bottom w:val="single" w:sz="4" w:space="0" w:color="auto"/>
              <w:right w:val="single" w:sz="4" w:space="0" w:color="auto"/>
            </w:tcBorders>
            <w:shd w:val="clear" w:color="auto" w:fill="auto"/>
            <w:noWrap/>
            <w:vAlign w:val="bottom"/>
            <w:hideMark/>
          </w:tcPr>
          <w:p w14:paraId="7D0036E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0C472F5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62.131</w:t>
            </w:r>
          </w:p>
        </w:tc>
        <w:tc>
          <w:tcPr>
            <w:tcW w:w="904" w:type="dxa"/>
            <w:tcBorders>
              <w:top w:val="nil"/>
              <w:left w:val="nil"/>
              <w:bottom w:val="single" w:sz="4" w:space="0" w:color="auto"/>
              <w:right w:val="single" w:sz="4" w:space="0" w:color="auto"/>
            </w:tcBorders>
            <w:shd w:val="clear" w:color="auto" w:fill="auto"/>
            <w:noWrap/>
            <w:vAlign w:val="bottom"/>
            <w:hideMark/>
          </w:tcPr>
          <w:p w14:paraId="21EEB90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5E3DE8E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081D0D8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57.100</w:t>
            </w:r>
          </w:p>
        </w:tc>
        <w:tc>
          <w:tcPr>
            <w:tcW w:w="904" w:type="dxa"/>
            <w:tcBorders>
              <w:top w:val="nil"/>
              <w:left w:val="nil"/>
              <w:bottom w:val="single" w:sz="4" w:space="0" w:color="auto"/>
              <w:right w:val="single" w:sz="4" w:space="0" w:color="auto"/>
            </w:tcBorders>
            <w:shd w:val="clear" w:color="auto" w:fill="auto"/>
            <w:noWrap/>
            <w:vAlign w:val="bottom"/>
            <w:hideMark/>
          </w:tcPr>
          <w:p w14:paraId="5D9D00E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6B38B0B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C86FBD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A5D2B4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470</w:t>
            </w:r>
          </w:p>
        </w:tc>
        <w:tc>
          <w:tcPr>
            <w:tcW w:w="904" w:type="dxa"/>
            <w:tcBorders>
              <w:top w:val="nil"/>
              <w:left w:val="nil"/>
              <w:bottom w:val="single" w:sz="4" w:space="0" w:color="auto"/>
              <w:right w:val="single" w:sz="4" w:space="0" w:color="auto"/>
            </w:tcBorders>
            <w:shd w:val="clear" w:color="auto" w:fill="auto"/>
            <w:noWrap/>
            <w:vAlign w:val="bottom"/>
            <w:hideMark/>
          </w:tcPr>
          <w:p w14:paraId="2350FC4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4EC362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24E6F6C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B96CE9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738078E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2AC28E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41A971F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0BF0A4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177FD1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471</w:t>
            </w:r>
          </w:p>
        </w:tc>
        <w:tc>
          <w:tcPr>
            <w:tcW w:w="904" w:type="dxa"/>
            <w:tcBorders>
              <w:top w:val="nil"/>
              <w:left w:val="nil"/>
              <w:bottom w:val="single" w:sz="4" w:space="0" w:color="auto"/>
              <w:right w:val="single" w:sz="4" w:space="0" w:color="auto"/>
            </w:tcBorders>
            <w:shd w:val="clear" w:color="auto" w:fill="auto"/>
            <w:noWrap/>
            <w:vAlign w:val="bottom"/>
            <w:hideMark/>
          </w:tcPr>
          <w:p w14:paraId="73340AC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E8D73F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03A5C43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096609E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2A9720D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2D4836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1946" w:type="dxa"/>
            <w:tcBorders>
              <w:top w:val="nil"/>
              <w:left w:val="nil"/>
              <w:bottom w:val="nil"/>
              <w:right w:val="nil"/>
            </w:tcBorders>
            <w:shd w:val="clear" w:color="auto" w:fill="auto"/>
            <w:noWrap/>
            <w:vAlign w:val="bottom"/>
            <w:hideMark/>
          </w:tcPr>
          <w:p w14:paraId="2DC0991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E7F276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BFA831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472</w:t>
            </w:r>
          </w:p>
        </w:tc>
        <w:tc>
          <w:tcPr>
            <w:tcW w:w="904" w:type="dxa"/>
            <w:tcBorders>
              <w:top w:val="nil"/>
              <w:left w:val="nil"/>
              <w:bottom w:val="single" w:sz="4" w:space="0" w:color="auto"/>
              <w:right w:val="single" w:sz="4" w:space="0" w:color="auto"/>
            </w:tcBorders>
            <w:shd w:val="clear" w:color="auto" w:fill="auto"/>
            <w:noWrap/>
            <w:vAlign w:val="bottom"/>
            <w:hideMark/>
          </w:tcPr>
          <w:p w14:paraId="6482CFE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096EE1F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7DE026D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1B3EB29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63.000</w:t>
            </w:r>
          </w:p>
        </w:tc>
        <w:tc>
          <w:tcPr>
            <w:tcW w:w="904" w:type="dxa"/>
            <w:tcBorders>
              <w:top w:val="nil"/>
              <w:left w:val="nil"/>
              <w:bottom w:val="single" w:sz="4" w:space="0" w:color="auto"/>
              <w:right w:val="single" w:sz="4" w:space="0" w:color="auto"/>
            </w:tcBorders>
            <w:shd w:val="clear" w:color="auto" w:fill="auto"/>
            <w:noWrap/>
            <w:vAlign w:val="bottom"/>
            <w:hideMark/>
          </w:tcPr>
          <w:p w14:paraId="4F5706F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58B38BC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57.088</w:t>
            </w:r>
          </w:p>
        </w:tc>
        <w:tc>
          <w:tcPr>
            <w:tcW w:w="1946" w:type="dxa"/>
            <w:tcBorders>
              <w:top w:val="nil"/>
              <w:left w:val="nil"/>
              <w:bottom w:val="nil"/>
              <w:right w:val="nil"/>
            </w:tcBorders>
            <w:shd w:val="clear" w:color="auto" w:fill="auto"/>
            <w:noWrap/>
            <w:vAlign w:val="bottom"/>
            <w:hideMark/>
          </w:tcPr>
          <w:p w14:paraId="7B05F46E"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EE0734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F18906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lastRenderedPageBreak/>
              <w:t>473</w:t>
            </w:r>
          </w:p>
        </w:tc>
        <w:tc>
          <w:tcPr>
            <w:tcW w:w="904" w:type="dxa"/>
            <w:tcBorders>
              <w:top w:val="nil"/>
              <w:left w:val="nil"/>
              <w:bottom w:val="single" w:sz="4" w:space="0" w:color="auto"/>
              <w:right w:val="single" w:sz="4" w:space="0" w:color="auto"/>
            </w:tcBorders>
            <w:shd w:val="clear" w:color="auto" w:fill="auto"/>
            <w:noWrap/>
            <w:vAlign w:val="bottom"/>
            <w:hideMark/>
          </w:tcPr>
          <w:p w14:paraId="4C67EF3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A52101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494011C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9F6EDD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62.320</w:t>
            </w:r>
          </w:p>
        </w:tc>
        <w:tc>
          <w:tcPr>
            <w:tcW w:w="904" w:type="dxa"/>
            <w:tcBorders>
              <w:top w:val="nil"/>
              <w:left w:val="nil"/>
              <w:bottom w:val="single" w:sz="4" w:space="0" w:color="auto"/>
              <w:right w:val="single" w:sz="4" w:space="0" w:color="auto"/>
            </w:tcBorders>
            <w:shd w:val="clear" w:color="auto" w:fill="auto"/>
            <w:noWrap/>
            <w:vAlign w:val="bottom"/>
            <w:hideMark/>
          </w:tcPr>
          <w:p w14:paraId="510E1B5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253B4C6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56.865</w:t>
            </w:r>
          </w:p>
        </w:tc>
        <w:tc>
          <w:tcPr>
            <w:tcW w:w="1946" w:type="dxa"/>
            <w:tcBorders>
              <w:top w:val="nil"/>
              <w:left w:val="nil"/>
              <w:bottom w:val="nil"/>
              <w:right w:val="nil"/>
            </w:tcBorders>
            <w:shd w:val="clear" w:color="auto" w:fill="auto"/>
            <w:noWrap/>
            <w:vAlign w:val="bottom"/>
            <w:hideMark/>
          </w:tcPr>
          <w:p w14:paraId="6EEE813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FB1644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3B413B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474</w:t>
            </w:r>
          </w:p>
        </w:tc>
        <w:tc>
          <w:tcPr>
            <w:tcW w:w="904" w:type="dxa"/>
            <w:tcBorders>
              <w:top w:val="nil"/>
              <w:left w:val="nil"/>
              <w:bottom w:val="single" w:sz="4" w:space="0" w:color="auto"/>
              <w:right w:val="single" w:sz="4" w:space="0" w:color="auto"/>
            </w:tcBorders>
            <w:shd w:val="clear" w:color="auto" w:fill="auto"/>
            <w:noWrap/>
            <w:vAlign w:val="bottom"/>
            <w:hideMark/>
          </w:tcPr>
          <w:p w14:paraId="7E65E71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65E53D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0BC4134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C24B4B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60.426</w:t>
            </w:r>
          </w:p>
        </w:tc>
        <w:tc>
          <w:tcPr>
            <w:tcW w:w="904" w:type="dxa"/>
            <w:tcBorders>
              <w:top w:val="nil"/>
              <w:left w:val="nil"/>
              <w:bottom w:val="single" w:sz="4" w:space="0" w:color="auto"/>
              <w:right w:val="single" w:sz="4" w:space="0" w:color="auto"/>
            </w:tcBorders>
            <w:shd w:val="clear" w:color="auto" w:fill="auto"/>
            <w:noWrap/>
            <w:vAlign w:val="bottom"/>
            <w:hideMark/>
          </w:tcPr>
          <w:p w14:paraId="2736424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6799574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56.958</w:t>
            </w:r>
          </w:p>
        </w:tc>
        <w:tc>
          <w:tcPr>
            <w:tcW w:w="1946" w:type="dxa"/>
            <w:tcBorders>
              <w:top w:val="nil"/>
              <w:left w:val="nil"/>
              <w:bottom w:val="nil"/>
              <w:right w:val="nil"/>
            </w:tcBorders>
            <w:shd w:val="clear" w:color="auto" w:fill="auto"/>
            <w:noWrap/>
            <w:vAlign w:val="bottom"/>
            <w:hideMark/>
          </w:tcPr>
          <w:p w14:paraId="00B58B6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979742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361CA2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475</w:t>
            </w:r>
          </w:p>
        </w:tc>
        <w:tc>
          <w:tcPr>
            <w:tcW w:w="904" w:type="dxa"/>
            <w:tcBorders>
              <w:top w:val="nil"/>
              <w:left w:val="nil"/>
              <w:bottom w:val="single" w:sz="4" w:space="0" w:color="auto"/>
              <w:right w:val="single" w:sz="4" w:space="0" w:color="auto"/>
            </w:tcBorders>
            <w:shd w:val="clear" w:color="auto" w:fill="auto"/>
            <w:noWrap/>
            <w:vAlign w:val="bottom"/>
            <w:hideMark/>
          </w:tcPr>
          <w:p w14:paraId="3995C40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18D929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6F3E5D9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69A1BF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59.542</w:t>
            </w:r>
          </w:p>
        </w:tc>
        <w:tc>
          <w:tcPr>
            <w:tcW w:w="904" w:type="dxa"/>
            <w:tcBorders>
              <w:top w:val="nil"/>
              <w:left w:val="nil"/>
              <w:bottom w:val="single" w:sz="4" w:space="0" w:color="auto"/>
              <w:right w:val="single" w:sz="4" w:space="0" w:color="auto"/>
            </w:tcBorders>
            <w:shd w:val="clear" w:color="auto" w:fill="auto"/>
            <w:noWrap/>
            <w:vAlign w:val="bottom"/>
            <w:hideMark/>
          </w:tcPr>
          <w:p w14:paraId="212EA02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14C3BDF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56.241</w:t>
            </w:r>
          </w:p>
        </w:tc>
        <w:tc>
          <w:tcPr>
            <w:tcW w:w="1946" w:type="dxa"/>
            <w:tcBorders>
              <w:top w:val="nil"/>
              <w:left w:val="nil"/>
              <w:bottom w:val="nil"/>
              <w:right w:val="nil"/>
            </w:tcBorders>
            <w:shd w:val="clear" w:color="auto" w:fill="auto"/>
            <w:noWrap/>
            <w:vAlign w:val="bottom"/>
            <w:hideMark/>
          </w:tcPr>
          <w:p w14:paraId="345B3127"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9F8D1FE"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369742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476</w:t>
            </w:r>
          </w:p>
        </w:tc>
        <w:tc>
          <w:tcPr>
            <w:tcW w:w="904" w:type="dxa"/>
            <w:tcBorders>
              <w:top w:val="nil"/>
              <w:left w:val="nil"/>
              <w:bottom w:val="single" w:sz="4" w:space="0" w:color="auto"/>
              <w:right w:val="single" w:sz="4" w:space="0" w:color="auto"/>
            </w:tcBorders>
            <w:shd w:val="clear" w:color="auto" w:fill="auto"/>
            <w:noWrap/>
            <w:vAlign w:val="bottom"/>
            <w:hideMark/>
          </w:tcPr>
          <w:p w14:paraId="6F99C54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932D93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60.296</w:t>
            </w:r>
          </w:p>
        </w:tc>
        <w:tc>
          <w:tcPr>
            <w:tcW w:w="904" w:type="dxa"/>
            <w:tcBorders>
              <w:top w:val="nil"/>
              <w:left w:val="nil"/>
              <w:bottom w:val="single" w:sz="4" w:space="0" w:color="auto"/>
              <w:right w:val="single" w:sz="4" w:space="0" w:color="auto"/>
            </w:tcBorders>
            <w:shd w:val="clear" w:color="auto" w:fill="auto"/>
            <w:noWrap/>
            <w:vAlign w:val="bottom"/>
            <w:hideMark/>
          </w:tcPr>
          <w:p w14:paraId="2EC4D0E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F8EFC5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B7482C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FCAFEC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55.778</w:t>
            </w:r>
          </w:p>
        </w:tc>
        <w:tc>
          <w:tcPr>
            <w:tcW w:w="1946" w:type="dxa"/>
            <w:tcBorders>
              <w:top w:val="nil"/>
              <w:left w:val="nil"/>
              <w:bottom w:val="nil"/>
              <w:right w:val="nil"/>
            </w:tcBorders>
            <w:shd w:val="clear" w:color="auto" w:fill="auto"/>
            <w:noWrap/>
            <w:vAlign w:val="bottom"/>
            <w:hideMark/>
          </w:tcPr>
          <w:p w14:paraId="299E5392"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A9A5B0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99CE1D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477</w:t>
            </w:r>
          </w:p>
        </w:tc>
        <w:tc>
          <w:tcPr>
            <w:tcW w:w="904" w:type="dxa"/>
            <w:tcBorders>
              <w:top w:val="nil"/>
              <w:left w:val="nil"/>
              <w:bottom w:val="single" w:sz="4" w:space="0" w:color="auto"/>
              <w:right w:val="single" w:sz="4" w:space="0" w:color="auto"/>
            </w:tcBorders>
            <w:shd w:val="clear" w:color="auto" w:fill="auto"/>
            <w:noWrap/>
            <w:vAlign w:val="bottom"/>
            <w:hideMark/>
          </w:tcPr>
          <w:p w14:paraId="329052B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5C2020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58.202</w:t>
            </w:r>
          </w:p>
        </w:tc>
        <w:tc>
          <w:tcPr>
            <w:tcW w:w="904" w:type="dxa"/>
            <w:tcBorders>
              <w:top w:val="nil"/>
              <w:left w:val="nil"/>
              <w:bottom w:val="single" w:sz="4" w:space="0" w:color="auto"/>
              <w:right w:val="single" w:sz="4" w:space="0" w:color="auto"/>
            </w:tcBorders>
            <w:shd w:val="clear" w:color="auto" w:fill="auto"/>
            <w:noWrap/>
            <w:vAlign w:val="bottom"/>
            <w:hideMark/>
          </w:tcPr>
          <w:p w14:paraId="5ED3E42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01E4E62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55DC67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58.624</w:t>
            </w:r>
          </w:p>
        </w:tc>
        <w:tc>
          <w:tcPr>
            <w:tcW w:w="904" w:type="dxa"/>
            <w:tcBorders>
              <w:top w:val="nil"/>
              <w:left w:val="nil"/>
              <w:bottom w:val="single" w:sz="4" w:space="0" w:color="auto"/>
              <w:right w:val="single" w:sz="4" w:space="0" w:color="auto"/>
            </w:tcBorders>
            <w:shd w:val="clear" w:color="auto" w:fill="auto"/>
            <w:noWrap/>
            <w:vAlign w:val="bottom"/>
            <w:hideMark/>
          </w:tcPr>
          <w:p w14:paraId="3993F02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55.720</w:t>
            </w:r>
          </w:p>
        </w:tc>
        <w:tc>
          <w:tcPr>
            <w:tcW w:w="1946" w:type="dxa"/>
            <w:tcBorders>
              <w:top w:val="nil"/>
              <w:left w:val="nil"/>
              <w:bottom w:val="nil"/>
              <w:right w:val="nil"/>
            </w:tcBorders>
            <w:shd w:val="clear" w:color="auto" w:fill="auto"/>
            <w:noWrap/>
            <w:vAlign w:val="bottom"/>
            <w:hideMark/>
          </w:tcPr>
          <w:p w14:paraId="7B7174C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5F2E47C"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1EA3CA5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478</w:t>
            </w:r>
          </w:p>
        </w:tc>
        <w:tc>
          <w:tcPr>
            <w:tcW w:w="904" w:type="dxa"/>
            <w:tcBorders>
              <w:top w:val="nil"/>
              <w:left w:val="nil"/>
              <w:bottom w:val="single" w:sz="4" w:space="0" w:color="auto"/>
              <w:right w:val="single" w:sz="4" w:space="0" w:color="auto"/>
            </w:tcBorders>
            <w:shd w:val="clear" w:color="auto" w:fill="auto"/>
            <w:noWrap/>
            <w:vAlign w:val="bottom"/>
            <w:hideMark/>
          </w:tcPr>
          <w:p w14:paraId="0C95D2B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AC21E1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3408F6C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56F0006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504BDCD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0963D5C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55.451</w:t>
            </w:r>
          </w:p>
        </w:tc>
        <w:tc>
          <w:tcPr>
            <w:tcW w:w="1946" w:type="dxa"/>
            <w:tcBorders>
              <w:top w:val="nil"/>
              <w:left w:val="nil"/>
              <w:bottom w:val="nil"/>
              <w:right w:val="nil"/>
            </w:tcBorders>
            <w:shd w:val="clear" w:color="auto" w:fill="auto"/>
            <w:noWrap/>
            <w:vAlign w:val="bottom"/>
            <w:hideMark/>
          </w:tcPr>
          <w:p w14:paraId="560D43E7"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BE4F2A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23454A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479</w:t>
            </w:r>
          </w:p>
        </w:tc>
        <w:tc>
          <w:tcPr>
            <w:tcW w:w="904" w:type="dxa"/>
            <w:tcBorders>
              <w:top w:val="nil"/>
              <w:left w:val="nil"/>
              <w:bottom w:val="single" w:sz="4" w:space="0" w:color="auto"/>
              <w:right w:val="single" w:sz="4" w:space="0" w:color="auto"/>
            </w:tcBorders>
            <w:shd w:val="clear" w:color="auto" w:fill="auto"/>
            <w:noWrap/>
            <w:vAlign w:val="bottom"/>
            <w:hideMark/>
          </w:tcPr>
          <w:p w14:paraId="0CA0117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3CBB03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6833221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0CAFA18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8D565D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3DB14EE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55.975</w:t>
            </w:r>
          </w:p>
        </w:tc>
        <w:tc>
          <w:tcPr>
            <w:tcW w:w="1946" w:type="dxa"/>
            <w:tcBorders>
              <w:top w:val="nil"/>
              <w:left w:val="nil"/>
              <w:bottom w:val="nil"/>
              <w:right w:val="nil"/>
            </w:tcBorders>
            <w:shd w:val="clear" w:color="auto" w:fill="auto"/>
            <w:noWrap/>
            <w:vAlign w:val="bottom"/>
            <w:hideMark/>
          </w:tcPr>
          <w:p w14:paraId="562D1E01"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221A82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93D551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480</w:t>
            </w:r>
          </w:p>
        </w:tc>
        <w:tc>
          <w:tcPr>
            <w:tcW w:w="904" w:type="dxa"/>
            <w:tcBorders>
              <w:top w:val="nil"/>
              <w:left w:val="nil"/>
              <w:bottom w:val="single" w:sz="4" w:space="0" w:color="auto"/>
              <w:right w:val="single" w:sz="4" w:space="0" w:color="auto"/>
            </w:tcBorders>
            <w:shd w:val="clear" w:color="auto" w:fill="auto"/>
            <w:noWrap/>
            <w:vAlign w:val="bottom"/>
            <w:hideMark/>
          </w:tcPr>
          <w:p w14:paraId="00F6598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05D65C4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56.833</w:t>
            </w:r>
          </w:p>
        </w:tc>
        <w:tc>
          <w:tcPr>
            <w:tcW w:w="904" w:type="dxa"/>
            <w:tcBorders>
              <w:top w:val="nil"/>
              <w:left w:val="nil"/>
              <w:bottom w:val="single" w:sz="4" w:space="0" w:color="auto"/>
              <w:right w:val="single" w:sz="4" w:space="0" w:color="auto"/>
            </w:tcBorders>
            <w:shd w:val="clear" w:color="auto" w:fill="auto"/>
            <w:noWrap/>
            <w:vAlign w:val="bottom"/>
            <w:hideMark/>
          </w:tcPr>
          <w:p w14:paraId="0B9ED26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66FAB11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A696B2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793F828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147EDE4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A739B60"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03CA4A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481</w:t>
            </w:r>
          </w:p>
        </w:tc>
        <w:tc>
          <w:tcPr>
            <w:tcW w:w="904" w:type="dxa"/>
            <w:tcBorders>
              <w:top w:val="nil"/>
              <w:left w:val="nil"/>
              <w:bottom w:val="single" w:sz="4" w:space="0" w:color="auto"/>
              <w:right w:val="single" w:sz="4" w:space="0" w:color="auto"/>
            </w:tcBorders>
            <w:shd w:val="clear" w:color="auto" w:fill="auto"/>
            <w:noWrap/>
            <w:vAlign w:val="bottom"/>
            <w:hideMark/>
          </w:tcPr>
          <w:p w14:paraId="7185754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7F02F9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445F23D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10EF342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3B1248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7DD2E66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1EDE8A7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8604E7B"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01C940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482</w:t>
            </w:r>
          </w:p>
        </w:tc>
        <w:tc>
          <w:tcPr>
            <w:tcW w:w="904" w:type="dxa"/>
            <w:tcBorders>
              <w:top w:val="nil"/>
              <w:left w:val="nil"/>
              <w:bottom w:val="single" w:sz="4" w:space="0" w:color="auto"/>
              <w:right w:val="single" w:sz="4" w:space="0" w:color="auto"/>
            </w:tcBorders>
            <w:shd w:val="clear" w:color="auto" w:fill="auto"/>
            <w:noWrap/>
            <w:vAlign w:val="bottom"/>
            <w:hideMark/>
          </w:tcPr>
          <w:p w14:paraId="0367CEC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075446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6DCEB4A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2DF6620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601CB43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61.482</w:t>
            </w:r>
          </w:p>
        </w:tc>
        <w:tc>
          <w:tcPr>
            <w:tcW w:w="904" w:type="dxa"/>
            <w:tcBorders>
              <w:top w:val="nil"/>
              <w:left w:val="nil"/>
              <w:bottom w:val="single" w:sz="4" w:space="0" w:color="auto"/>
              <w:right w:val="single" w:sz="4" w:space="0" w:color="auto"/>
            </w:tcBorders>
            <w:shd w:val="clear" w:color="auto" w:fill="auto"/>
            <w:noWrap/>
            <w:vAlign w:val="bottom"/>
            <w:hideMark/>
          </w:tcPr>
          <w:p w14:paraId="48396E0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5E3DEAA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94CDA6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1AF8C8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483</w:t>
            </w:r>
          </w:p>
        </w:tc>
        <w:tc>
          <w:tcPr>
            <w:tcW w:w="904" w:type="dxa"/>
            <w:tcBorders>
              <w:top w:val="nil"/>
              <w:left w:val="nil"/>
              <w:bottom w:val="single" w:sz="4" w:space="0" w:color="auto"/>
              <w:right w:val="single" w:sz="4" w:space="0" w:color="auto"/>
            </w:tcBorders>
            <w:shd w:val="clear" w:color="auto" w:fill="auto"/>
            <w:noWrap/>
            <w:vAlign w:val="bottom"/>
            <w:hideMark/>
          </w:tcPr>
          <w:p w14:paraId="76AF6B6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2B7AC7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1B60935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63026F3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58.929</w:t>
            </w:r>
          </w:p>
        </w:tc>
        <w:tc>
          <w:tcPr>
            <w:tcW w:w="904" w:type="dxa"/>
            <w:tcBorders>
              <w:top w:val="nil"/>
              <w:left w:val="nil"/>
              <w:bottom w:val="single" w:sz="4" w:space="0" w:color="auto"/>
              <w:right w:val="single" w:sz="4" w:space="0" w:color="auto"/>
            </w:tcBorders>
            <w:shd w:val="clear" w:color="auto" w:fill="auto"/>
            <w:noWrap/>
            <w:vAlign w:val="bottom"/>
            <w:hideMark/>
          </w:tcPr>
          <w:p w14:paraId="6F706FC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477E3D3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56.047</w:t>
            </w:r>
          </w:p>
        </w:tc>
        <w:tc>
          <w:tcPr>
            <w:tcW w:w="1946" w:type="dxa"/>
            <w:tcBorders>
              <w:top w:val="nil"/>
              <w:left w:val="nil"/>
              <w:bottom w:val="nil"/>
              <w:right w:val="nil"/>
            </w:tcBorders>
            <w:shd w:val="clear" w:color="auto" w:fill="auto"/>
            <w:noWrap/>
            <w:vAlign w:val="bottom"/>
            <w:hideMark/>
          </w:tcPr>
          <w:p w14:paraId="50FEC80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337C112"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464B40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484</w:t>
            </w:r>
          </w:p>
        </w:tc>
        <w:tc>
          <w:tcPr>
            <w:tcW w:w="904" w:type="dxa"/>
            <w:tcBorders>
              <w:top w:val="nil"/>
              <w:left w:val="nil"/>
              <w:bottom w:val="single" w:sz="4" w:space="0" w:color="auto"/>
              <w:right w:val="single" w:sz="4" w:space="0" w:color="auto"/>
            </w:tcBorders>
            <w:shd w:val="clear" w:color="auto" w:fill="auto"/>
            <w:noWrap/>
            <w:vAlign w:val="bottom"/>
            <w:hideMark/>
          </w:tcPr>
          <w:p w14:paraId="565A88D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A40915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4A13E23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7DB03C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56.990</w:t>
            </w:r>
          </w:p>
        </w:tc>
        <w:tc>
          <w:tcPr>
            <w:tcW w:w="904" w:type="dxa"/>
            <w:tcBorders>
              <w:top w:val="nil"/>
              <w:left w:val="nil"/>
              <w:bottom w:val="single" w:sz="4" w:space="0" w:color="auto"/>
              <w:right w:val="single" w:sz="4" w:space="0" w:color="auto"/>
            </w:tcBorders>
            <w:shd w:val="clear" w:color="auto" w:fill="auto"/>
            <w:noWrap/>
            <w:vAlign w:val="bottom"/>
            <w:hideMark/>
          </w:tcPr>
          <w:p w14:paraId="282C6C9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4B4EB66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25B81CD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004D80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CF69C4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485</w:t>
            </w:r>
          </w:p>
        </w:tc>
        <w:tc>
          <w:tcPr>
            <w:tcW w:w="904" w:type="dxa"/>
            <w:tcBorders>
              <w:top w:val="nil"/>
              <w:left w:val="nil"/>
              <w:bottom w:val="single" w:sz="4" w:space="0" w:color="auto"/>
              <w:right w:val="single" w:sz="4" w:space="0" w:color="auto"/>
            </w:tcBorders>
            <w:shd w:val="clear" w:color="auto" w:fill="auto"/>
            <w:noWrap/>
            <w:vAlign w:val="bottom"/>
            <w:hideMark/>
          </w:tcPr>
          <w:p w14:paraId="0BD5B68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0C8C42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511A7F0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0087645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520432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21BE07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1239D74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04172FDF"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4E0231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486</w:t>
            </w:r>
          </w:p>
        </w:tc>
        <w:tc>
          <w:tcPr>
            <w:tcW w:w="904" w:type="dxa"/>
            <w:tcBorders>
              <w:top w:val="nil"/>
              <w:left w:val="nil"/>
              <w:bottom w:val="single" w:sz="4" w:space="0" w:color="auto"/>
              <w:right w:val="single" w:sz="4" w:space="0" w:color="auto"/>
            </w:tcBorders>
            <w:shd w:val="clear" w:color="auto" w:fill="auto"/>
            <w:noWrap/>
            <w:vAlign w:val="bottom"/>
            <w:hideMark/>
          </w:tcPr>
          <w:p w14:paraId="05AFED9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939D24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4A45D32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3C155D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5B0692B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263825B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1946" w:type="dxa"/>
            <w:tcBorders>
              <w:top w:val="nil"/>
              <w:left w:val="nil"/>
              <w:bottom w:val="nil"/>
              <w:right w:val="nil"/>
            </w:tcBorders>
            <w:shd w:val="clear" w:color="auto" w:fill="auto"/>
            <w:noWrap/>
            <w:vAlign w:val="bottom"/>
            <w:hideMark/>
          </w:tcPr>
          <w:p w14:paraId="530BBB24"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15F0CC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08941EA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487</w:t>
            </w:r>
          </w:p>
        </w:tc>
        <w:tc>
          <w:tcPr>
            <w:tcW w:w="904" w:type="dxa"/>
            <w:tcBorders>
              <w:top w:val="nil"/>
              <w:left w:val="nil"/>
              <w:bottom w:val="single" w:sz="4" w:space="0" w:color="auto"/>
              <w:right w:val="single" w:sz="4" w:space="0" w:color="auto"/>
            </w:tcBorders>
            <w:shd w:val="clear" w:color="auto" w:fill="auto"/>
            <w:noWrap/>
            <w:vAlign w:val="bottom"/>
            <w:hideMark/>
          </w:tcPr>
          <w:p w14:paraId="3569DA8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38F1DE7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55.000</w:t>
            </w:r>
          </w:p>
        </w:tc>
        <w:tc>
          <w:tcPr>
            <w:tcW w:w="904" w:type="dxa"/>
            <w:tcBorders>
              <w:top w:val="nil"/>
              <w:left w:val="nil"/>
              <w:bottom w:val="single" w:sz="4" w:space="0" w:color="auto"/>
              <w:right w:val="single" w:sz="4" w:space="0" w:color="auto"/>
            </w:tcBorders>
            <w:shd w:val="clear" w:color="auto" w:fill="auto"/>
            <w:noWrap/>
            <w:vAlign w:val="bottom"/>
            <w:hideMark/>
          </w:tcPr>
          <w:p w14:paraId="31F0382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67A6D72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0697F83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0F1A06B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56.501</w:t>
            </w:r>
          </w:p>
        </w:tc>
        <w:tc>
          <w:tcPr>
            <w:tcW w:w="1946" w:type="dxa"/>
            <w:tcBorders>
              <w:top w:val="nil"/>
              <w:left w:val="nil"/>
              <w:bottom w:val="nil"/>
              <w:right w:val="nil"/>
            </w:tcBorders>
            <w:shd w:val="clear" w:color="auto" w:fill="auto"/>
            <w:noWrap/>
            <w:vAlign w:val="bottom"/>
            <w:hideMark/>
          </w:tcPr>
          <w:p w14:paraId="747F43F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1AE8F86"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67A3B6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488</w:t>
            </w:r>
          </w:p>
        </w:tc>
        <w:tc>
          <w:tcPr>
            <w:tcW w:w="904" w:type="dxa"/>
            <w:tcBorders>
              <w:top w:val="nil"/>
              <w:left w:val="nil"/>
              <w:bottom w:val="single" w:sz="4" w:space="0" w:color="auto"/>
              <w:right w:val="single" w:sz="4" w:space="0" w:color="auto"/>
            </w:tcBorders>
            <w:shd w:val="clear" w:color="auto" w:fill="auto"/>
            <w:noWrap/>
            <w:vAlign w:val="bottom"/>
            <w:hideMark/>
          </w:tcPr>
          <w:p w14:paraId="5A44F99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326F6C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56.776</w:t>
            </w:r>
          </w:p>
        </w:tc>
        <w:tc>
          <w:tcPr>
            <w:tcW w:w="904" w:type="dxa"/>
            <w:tcBorders>
              <w:top w:val="nil"/>
              <w:left w:val="nil"/>
              <w:bottom w:val="single" w:sz="4" w:space="0" w:color="auto"/>
              <w:right w:val="single" w:sz="4" w:space="0" w:color="auto"/>
            </w:tcBorders>
            <w:shd w:val="clear" w:color="auto" w:fill="auto"/>
            <w:noWrap/>
            <w:vAlign w:val="bottom"/>
            <w:hideMark/>
          </w:tcPr>
          <w:p w14:paraId="28D63EF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E3A10D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54A5387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6174DD3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58.439</w:t>
            </w:r>
          </w:p>
        </w:tc>
        <w:tc>
          <w:tcPr>
            <w:tcW w:w="1946" w:type="dxa"/>
            <w:tcBorders>
              <w:top w:val="nil"/>
              <w:left w:val="nil"/>
              <w:bottom w:val="nil"/>
              <w:right w:val="nil"/>
            </w:tcBorders>
            <w:shd w:val="clear" w:color="auto" w:fill="auto"/>
            <w:noWrap/>
            <w:vAlign w:val="bottom"/>
            <w:hideMark/>
          </w:tcPr>
          <w:p w14:paraId="5B575D99"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0123B1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0C4D27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489</w:t>
            </w:r>
          </w:p>
        </w:tc>
        <w:tc>
          <w:tcPr>
            <w:tcW w:w="904" w:type="dxa"/>
            <w:tcBorders>
              <w:top w:val="nil"/>
              <w:left w:val="nil"/>
              <w:bottom w:val="single" w:sz="4" w:space="0" w:color="auto"/>
              <w:right w:val="single" w:sz="4" w:space="0" w:color="auto"/>
            </w:tcBorders>
            <w:shd w:val="clear" w:color="auto" w:fill="auto"/>
            <w:noWrap/>
            <w:vAlign w:val="bottom"/>
            <w:hideMark/>
          </w:tcPr>
          <w:p w14:paraId="79CAB6F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0DAAB4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0FE9927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58.881</w:t>
            </w:r>
          </w:p>
        </w:tc>
        <w:tc>
          <w:tcPr>
            <w:tcW w:w="904" w:type="dxa"/>
            <w:tcBorders>
              <w:top w:val="nil"/>
              <w:left w:val="nil"/>
              <w:bottom w:val="single" w:sz="4" w:space="0" w:color="auto"/>
              <w:right w:val="single" w:sz="4" w:space="0" w:color="auto"/>
            </w:tcBorders>
            <w:shd w:val="clear" w:color="auto" w:fill="auto"/>
            <w:noWrap/>
            <w:vAlign w:val="bottom"/>
            <w:hideMark/>
          </w:tcPr>
          <w:p w14:paraId="0EA3D63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56.983</w:t>
            </w:r>
          </w:p>
        </w:tc>
        <w:tc>
          <w:tcPr>
            <w:tcW w:w="904" w:type="dxa"/>
            <w:tcBorders>
              <w:top w:val="nil"/>
              <w:left w:val="nil"/>
              <w:bottom w:val="single" w:sz="4" w:space="0" w:color="auto"/>
              <w:right w:val="single" w:sz="4" w:space="0" w:color="auto"/>
            </w:tcBorders>
            <w:shd w:val="clear" w:color="auto" w:fill="auto"/>
            <w:noWrap/>
            <w:vAlign w:val="bottom"/>
            <w:hideMark/>
          </w:tcPr>
          <w:p w14:paraId="3E5CC0C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075DA91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2F2C42F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FBB25E1"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67121F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490</w:t>
            </w:r>
          </w:p>
        </w:tc>
        <w:tc>
          <w:tcPr>
            <w:tcW w:w="904" w:type="dxa"/>
            <w:tcBorders>
              <w:top w:val="nil"/>
              <w:left w:val="nil"/>
              <w:bottom w:val="single" w:sz="4" w:space="0" w:color="auto"/>
              <w:right w:val="single" w:sz="4" w:space="0" w:color="auto"/>
            </w:tcBorders>
            <w:shd w:val="clear" w:color="auto" w:fill="auto"/>
            <w:noWrap/>
            <w:vAlign w:val="bottom"/>
            <w:hideMark/>
          </w:tcPr>
          <w:p w14:paraId="1D30E74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8268EB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58.000</w:t>
            </w:r>
          </w:p>
        </w:tc>
        <w:tc>
          <w:tcPr>
            <w:tcW w:w="904" w:type="dxa"/>
            <w:tcBorders>
              <w:top w:val="nil"/>
              <w:left w:val="nil"/>
              <w:bottom w:val="single" w:sz="4" w:space="0" w:color="auto"/>
              <w:right w:val="single" w:sz="4" w:space="0" w:color="auto"/>
            </w:tcBorders>
            <w:shd w:val="clear" w:color="auto" w:fill="auto"/>
            <w:noWrap/>
            <w:vAlign w:val="bottom"/>
            <w:hideMark/>
          </w:tcPr>
          <w:p w14:paraId="7A3E44E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1E6D2F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58.816</w:t>
            </w:r>
          </w:p>
        </w:tc>
        <w:tc>
          <w:tcPr>
            <w:tcW w:w="904" w:type="dxa"/>
            <w:tcBorders>
              <w:top w:val="nil"/>
              <w:left w:val="nil"/>
              <w:bottom w:val="single" w:sz="4" w:space="0" w:color="auto"/>
              <w:right w:val="single" w:sz="4" w:space="0" w:color="auto"/>
            </w:tcBorders>
            <w:shd w:val="clear" w:color="auto" w:fill="auto"/>
            <w:noWrap/>
            <w:vAlign w:val="bottom"/>
            <w:hideMark/>
          </w:tcPr>
          <w:p w14:paraId="4F39629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62.000</w:t>
            </w:r>
          </w:p>
        </w:tc>
        <w:tc>
          <w:tcPr>
            <w:tcW w:w="904" w:type="dxa"/>
            <w:tcBorders>
              <w:top w:val="nil"/>
              <w:left w:val="nil"/>
              <w:bottom w:val="single" w:sz="4" w:space="0" w:color="auto"/>
              <w:right w:val="single" w:sz="4" w:space="0" w:color="auto"/>
            </w:tcBorders>
            <w:shd w:val="clear" w:color="auto" w:fill="auto"/>
            <w:noWrap/>
            <w:vAlign w:val="bottom"/>
            <w:hideMark/>
          </w:tcPr>
          <w:p w14:paraId="67873E0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4A6354D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15D2A90D"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29A91E2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491</w:t>
            </w:r>
          </w:p>
        </w:tc>
        <w:tc>
          <w:tcPr>
            <w:tcW w:w="904" w:type="dxa"/>
            <w:tcBorders>
              <w:top w:val="nil"/>
              <w:left w:val="nil"/>
              <w:bottom w:val="single" w:sz="4" w:space="0" w:color="auto"/>
              <w:right w:val="single" w:sz="4" w:space="0" w:color="auto"/>
            </w:tcBorders>
            <w:shd w:val="clear" w:color="auto" w:fill="auto"/>
            <w:noWrap/>
            <w:vAlign w:val="bottom"/>
            <w:hideMark/>
          </w:tcPr>
          <w:p w14:paraId="57F689D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28130ED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58.564</w:t>
            </w:r>
          </w:p>
        </w:tc>
        <w:tc>
          <w:tcPr>
            <w:tcW w:w="904" w:type="dxa"/>
            <w:tcBorders>
              <w:top w:val="nil"/>
              <w:left w:val="nil"/>
              <w:bottom w:val="single" w:sz="4" w:space="0" w:color="auto"/>
              <w:right w:val="single" w:sz="4" w:space="0" w:color="auto"/>
            </w:tcBorders>
            <w:shd w:val="clear" w:color="auto" w:fill="auto"/>
            <w:noWrap/>
            <w:vAlign w:val="bottom"/>
            <w:hideMark/>
          </w:tcPr>
          <w:p w14:paraId="7E2D331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58.328</w:t>
            </w:r>
          </w:p>
        </w:tc>
        <w:tc>
          <w:tcPr>
            <w:tcW w:w="904" w:type="dxa"/>
            <w:tcBorders>
              <w:top w:val="nil"/>
              <w:left w:val="nil"/>
              <w:bottom w:val="single" w:sz="4" w:space="0" w:color="auto"/>
              <w:right w:val="single" w:sz="4" w:space="0" w:color="auto"/>
            </w:tcBorders>
            <w:shd w:val="clear" w:color="auto" w:fill="auto"/>
            <w:noWrap/>
            <w:vAlign w:val="bottom"/>
            <w:hideMark/>
          </w:tcPr>
          <w:p w14:paraId="270E8D5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58.560</w:t>
            </w:r>
          </w:p>
        </w:tc>
        <w:tc>
          <w:tcPr>
            <w:tcW w:w="904" w:type="dxa"/>
            <w:tcBorders>
              <w:top w:val="nil"/>
              <w:left w:val="nil"/>
              <w:bottom w:val="single" w:sz="4" w:space="0" w:color="auto"/>
              <w:right w:val="single" w:sz="4" w:space="0" w:color="auto"/>
            </w:tcBorders>
            <w:shd w:val="clear" w:color="auto" w:fill="auto"/>
            <w:noWrap/>
            <w:vAlign w:val="bottom"/>
            <w:hideMark/>
          </w:tcPr>
          <w:p w14:paraId="745035A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61.212</w:t>
            </w:r>
          </w:p>
        </w:tc>
        <w:tc>
          <w:tcPr>
            <w:tcW w:w="904" w:type="dxa"/>
            <w:tcBorders>
              <w:top w:val="nil"/>
              <w:left w:val="nil"/>
              <w:bottom w:val="single" w:sz="4" w:space="0" w:color="auto"/>
              <w:right w:val="single" w:sz="4" w:space="0" w:color="auto"/>
            </w:tcBorders>
            <w:shd w:val="clear" w:color="auto" w:fill="auto"/>
            <w:noWrap/>
            <w:vAlign w:val="bottom"/>
            <w:hideMark/>
          </w:tcPr>
          <w:p w14:paraId="4427A16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3F680D4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6EB9DBB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4DAC110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492</w:t>
            </w:r>
          </w:p>
        </w:tc>
        <w:tc>
          <w:tcPr>
            <w:tcW w:w="904" w:type="dxa"/>
            <w:tcBorders>
              <w:top w:val="nil"/>
              <w:left w:val="nil"/>
              <w:bottom w:val="single" w:sz="4" w:space="0" w:color="auto"/>
              <w:right w:val="single" w:sz="4" w:space="0" w:color="auto"/>
            </w:tcBorders>
            <w:shd w:val="clear" w:color="auto" w:fill="auto"/>
            <w:noWrap/>
            <w:vAlign w:val="bottom"/>
            <w:hideMark/>
          </w:tcPr>
          <w:p w14:paraId="5D16AB1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9AF426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60.359</w:t>
            </w:r>
          </w:p>
        </w:tc>
        <w:tc>
          <w:tcPr>
            <w:tcW w:w="904" w:type="dxa"/>
            <w:tcBorders>
              <w:top w:val="nil"/>
              <w:left w:val="nil"/>
              <w:bottom w:val="single" w:sz="4" w:space="0" w:color="auto"/>
              <w:right w:val="single" w:sz="4" w:space="0" w:color="auto"/>
            </w:tcBorders>
            <w:shd w:val="clear" w:color="auto" w:fill="auto"/>
            <w:noWrap/>
            <w:vAlign w:val="bottom"/>
            <w:hideMark/>
          </w:tcPr>
          <w:p w14:paraId="6392BB6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58.996</w:t>
            </w:r>
          </w:p>
        </w:tc>
        <w:tc>
          <w:tcPr>
            <w:tcW w:w="904" w:type="dxa"/>
            <w:tcBorders>
              <w:top w:val="nil"/>
              <w:left w:val="nil"/>
              <w:bottom w:val="single" w:sz="4" w:space="0" w:color="auto"/>
              <w:right w:val="single" w:sz="4" w:space="0" w:color="auto"/>
            </w:tcBorders>
            <w:shd w:val="clear" w:color="auto" w:fill="auto"/>
            <w:noWrap/>
            <w:vAlign w:val="bottom"/>
            <w:hideMark/>
          </w:tcPr>
          <w:p w14:paraId="0F2C971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56.005</w:t>
            </w:r>
          </w:p>
        </w:tc>
        <w:tc>
          <w:tcPr>
            <w:tcW w:w="904" w:type="dxa"/>
            <w:tcBorders>
              <w:top w:val="nil"/>
              <w:left w:val="nil"/>
              <w:bottom w:val="single" w:sz="4" w:space="0" w:color="auto"/>
              <w:right w:val="single" w:sz="4" w:space="0" w:color="auto"/>
            </w:tcBorders>
            <w:shd w:val="clear" w:color="auto" w:fill="auto"/>
            <w:noWrap/>
            <w:vAlign w:val="bottom"/>
            <w:hideMark/>
          </w:tcPr>
          <w:p w14:paraId="3CAE29E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59.640</w:t>
            </w:r>
          </w:p>
        </w:tc>
        <w:tc>
          <w:tcPr>
            <w:tcW w:w="904" w:type="dxa"/>
            <w:tcBorders>
              <w:top w:val="nil"/>
              <w:left w:val="nil"/>
              <w:bottom w:val="single" w:sz="4" w:space="0" w:color="auto"/>
              <w:right w:val="single" w:sz="4" w:space="0" w:color="auto"/>
            </w:tcBorders>
            <w:shd w:val="clear" w:color="auto" w:fill="auto"/>
            <w:noWrap/>
            <w:vAlign w:val="bottom"/>
            <w:hideMark/>
          </w:tcPr>
          <w:p w14:paraId="008B1C4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73C88597"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80EF812"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6B2F6D4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493</w:t>
            </w:r>
          </w:p>
        </w:tc>
        <w:tc>
          <w:tcPr>
            <w:tcW w:w="904" w:type="dxa"/>
            <w:tcBorders>
              <w:top w:val="nil"/>
              <w:left w:val="nil"/>
              <w:bottom w:val="single" w:sz="4" w:space="0" w:color="auto"/>
              <w:right w:val="single" w:sz="4" w:space="0" w:color="auto"/>
            </w:tcBorders>
            <w:shd w:val="clear" w:color="auto" w:fill="auto"/>
            <w:noWrap/>
            <w:vAlign w:val="bottom"/>
            <w:hideMark/>
          </w:tcPr>
          <w:p w14:paraId="157FF64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69174E7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60.414</w:t>
            </w:r>
          </w:p>
        </w:tc>
        <w:tc>
          <w:tcPr>
            <w:tcW w:w="904" w:type="dxa"/>
            <w:tcBorders>
              <w:top w:val="nil"/>
              <w:left w:val="nil"/>
              <w:bottom w:val="single" w:sz="4" w:space="0" w:color="auto"/>
              <w:right w:val="single" w:sz="4" w:space="0" w:color="auto"/>
            </w:tcBorders>
            <w:shd w:val="clear" w:color="auto" w:fill="auto"/>
            <w:noWrap/>
            <w:vAlign w:val="bottom"/>
            <w:hideMark/>
          </w:tcPr>
          <w:p w14:paraId="3E2A1B2C"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58.860</w:t>
            </w:r>
          </w:p>
        </w:tc>
        <w:tc>
          <w:tcPr>
            <w:tcW w:w="904" w:type="dxa"/>
            <w:tcBorders>
              <w:top w:val="nil"/>
              <w:left w:val="nil"/>
              <w:bottom w:val="single" w:sz="4" w:space="0" w:color="auto"/>
              <w:right w:val="single" w:sz="4" w:space="0" w:color="auto"/>
            </w:tcBorders>
            <w:shd w:val="clear" w:color="auto" w:fill="auto"/>
            <w:noWrap/>
            <w:vAlign w:val="bottom"/>
            <w:hideMark/>
          </w:tcPr>
          <w:p w14:paraId="70614F0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6022D7C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3BBD0C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4744DE3F"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A9B6D74"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14F949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494</w:t>
            </w:r>
          </w:p>
        </w:tc>
        <w:tc>
          <w:tcPr>
            <w:tcW w:w="904" w:type="dxa"/>
            <w:tcBorders>
              <w:top w:val="nil"/>
              <w:left w:val="nil"/>
              <w:bottom w:val="single" w:sz="4" w:space="0" w:color="auto"/>
              <w:right w:val="single" w:sz="4" w:space="0" w:color="auto"/>
            </w:tcBorders>
            <w:shd w:val="clear" w:color="auto" w:fill="auto"/>
            <w:noWrap/>
            <w:vAlign w:val="bottom"/>
            <w:hideMark/>
          </w:tcPr>
          <w:p w14:paraId="55036A3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7F0DF31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60.951</w:t>
            </w:r>
          </w:p>
        </w:tc>
        <w:tc>
          <w:tcPr>
            <w:tcW w:w="904" w:type="dxa"/>
            <w:tcBorders>
              <w:top w:val="nil"/>
              <w:left w:val="nil"/>
              <w:bottom w:val="single" w:sz="4" w:space="0" w:color="auto"/>
              <w:right w:val="single" w:sz="4" w:space="0" w:color="auto"/>
            </w:tcBorders>
            <w:shd w:val="clear" w:color="auto" w:fill="auto"/>
            <w:noWrap/>
            <w:vAlign w:val="bottom"/>
            <w:hideMark/>
          </w:tcPr>
          <w:p w14:paraId="55341EB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B8B061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2F76196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60B9EF0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581361CA"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468E9DA"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37C2EAA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495</w:t>
            </w:r>
          </w:p>
        </w:tc>
        <w:tc>
          <w:tcPr>
            <w:tcW w:w="904" w:type="dxa"/>
            <w:tcBorders>
              <w:top w:val="nil"/>
              <w:left w:val="nil"/>
              <w:bottom w:val="single" w:sz="4" w:space="0" w:color="auto"/>
              <w:right w:val="single" w:sz="4" w:space="0" w:color="auto"/>
            </w:tcBorders>
            <w:shd w:val="clear" w:color="auto" w:fill="auto"/>
            <w:noWrap/>
            <w:vAlign w:val="bottom"/>
            <w:hideMark/>
          </w:tcPr>
          <w:p w14:paraId="4BB02D7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0CD9F5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2B67071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2A884E4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4A2EFD5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07B9B16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79D751C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46199E13"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7E030A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496</w:t>
            </w:r>
          </w:p>
        </w:tc>
        <w:tc>
          <w:tcPr>
            <w:tcW w:w="904" w:type="dxa"/>
            <w:tcBorders>
              <w:top w:val="nil"/>
              <w:left w:val="nil"/>
              <w:bottom w:val="single" w:sz="4" w:space="0" w:color="auto"/>
              <w:right w:val="single" w:sz="4" w:space="0" w:color="auto"/>
            </w:tcBorders>
            <w:shd w:val="clear" w:color="auto" w:fill="auto"/>
            <w:noWrap/>
            <w:vAlign w:val="bottom"/>
            <w:hideMark/>
          </w:tcPr>
          <w:p w14:paraId="4EB6618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45C9995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620BA79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42A478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56.000</w:t>
            </w:r>
          </w:p>
        </w:tc>
        <w:tc>
          <w:tcPr>
            <w:tcW w:w="904" w:type="dxa"/>
            <w:tcBorders>
              <w:top w:val="nil"/>
              <w:left w:val="nil"/>
              <w:bottom w:val="single" w:sz="4" w:space="0" w:color="auto"/>
              <w:right w:val="single" w:sz="4" w:space="0" w:color="auto"/>
            </w:tcBorders>
            <w:shd w:val="clear" w:color="auto" w:fill="auto"/>
            <w:noWrap/>
            <w:vAlign w:val="bottom"/>
            <w:hideMark/>
          </w:tcPr>
          <w:p w14:paraId="15067B1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34AD80D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7F35981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BE69B95"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FD21D6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497</w:t>
            </w:r>
          </w:p>
        </w:tc>
        <w:tc>
          <w:tcPr>
            <w:tcW w:w="904" w:type="dxa"/>
            <w:tcBorders>
              <w:top w:val="nil"/>
              <w:left w:val="nil"/>
              <w:bottom w:val="single" w:sz="4" w:space="0" w:color="auto"/>
              <w:right w:val="single" w:sz="4" w:space="0" w:color="auto"/>
            </w:tcBorders>
            <w:shd w:val="clear" w:color="auto" w:fill="auto"/>
            <w:noWrap/>
            <w:vAlign w:val="bottom"/>
            <w:hideMark/>
          </w:tcPr>
          <w:p w14:paraId="1ABE3AA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0EDDE54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71B193E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4831CB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55.385</w:t>
            </w:r>
          </w:p>
        </w:tc>
        <w:tc>
          <w:tcPr>
            <w:tcW w:w="904" w:type="dxa"/>
            <w:tcBorders>
              <w:top w:val="nil"/>
              <w:left w:val="nil"/>
              <w:bottom w:val="single" w:sz="4" w:space="0" w:color="auto"/>
              <w:right w:val="single" w:sz="4" w:space="0" w:color="auto"/>
            </w:tcBorders>
            <w:shd w:val="clear" w:color="auto" w:fill="auto"/>
            <w:noWrap/>
            <w:vAlign w:val="bottom"/>
            <w:hideMark/>
          </w:tcPr>
          <w:p w14:paraId="74F0992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4D313C3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1946" w:type="dxa"/>
            <w:tcBorders>
              <w:top w:val="nil"/>
              <w:left w:val="nil"/>
              <w:bottom w:val="nil"/>
              <w:right w:val="nil"/>
            </w:tcBorders>
            <w:shd w:val="clear" w:color="auto" w:fill="auto"/>
            <w:noWrap/>
            <w:vAlign w:val="bottom"/>
            <w:hideMark/>
          </w:tcPr>
          <w:p w14:paraId="74E1221D"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2C3E7CA8"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58EB967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498</w:t>
            </w:r>
          </w:p>
        </w:tc>
        <w:tc>
          <w:tcPr>
            <w:tcW w:w="904" w:type="dxa"/>
            <w:tcBorders>
              <w:top w:val="nil"/>
              <w:left w:val="nil"/>
              <w:bottom w:val="single" w:sz="4" w:space="0" w:color="auto"/>
              <w:right w:val="single" w:sz="4" w:space="0" w:color="auto"/>
            </w:tcBorders>
            <w:shd w:val="clear" w:color="auto" w:fill="auto"/>
            <w:noWrap/>
            <w:vAlign w:val="bottom"/>
            <w:hideMark/>
          </w:tcPr>
          <w:p w14:paraId="60F75BD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0C8C464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61.000</w:t>
            </w:r>
          </w:p>
        </w:tc>
        <w:tc>
          <w:tcPr>
            <w:tcW w:w="904" w:type="dxa"/>
            <w:tcBorders>
              <w:top w:val="nil"/>
              <w:left w:val="nil"/>
              <w:bottom w:val="single" w:sz="4" w:space="0" w:color="auto"/>
              <w:right w:val="single" w:sz="4" w:space="0" w:color="auto"/>
            </w:tcBorders>
            <w:shd w:val="clear" w:color="auto" w:fill="auto"/>
            <w:noWrap/>
            <w:vAlign w:val="bottom"/>
            <w:hideMark/>
          </w:tcPr>
          <w:p w14:paraId="7C715B46"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23C776D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53.511</w:t>
            </w:r>
          </w:p>
        </w:tc>
        <w:tc>
          <w:tcPr>
            <w:tcW w:w="904" w:type="dxa"/>
            <w:tcBorders>
              <w:top w:val="nil"/>
              <w:left w:val="nil"/>
              <w:bottom w:val="single" w:sz="4" w:space="0" w:color="auto"/>
              <w:right w:val="single" w:sz="4" w:space="0" w:color="auto"/>
            </w:tcBorders>
            <w:shd w:val="clear" w:color="auto" w:fill="auto"/>
            <w:noWrap/>
            <w:vAlign w:val="bottom"/>
            <w:hideMark/>
          </w:tcPr>
          <w:p w14:paraId="36267A2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7D2933E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58.799</w:t>
            </w:r>
          </w:p>
        </w:tc>
        <w:tc>
          <w:tcPr>
            <w:tcW w:w="1946" w:type="dxa"/>
            <w:tcBorders>
              <w:top w:val="nil"/>
              <w:left w:val="nil"/>
              <w:bottom w:val="nil"/>
              <w:right w:val="nil"/>
            </w:tcBorders>
            <w:shd w:val="clear" w:color="auto" w:fill="auto"/>
            <w:noWrap/>
            <w:vAlign w:val="bottom"/>
            <w:hideMark/>
          </w:tcPr>
          <w:p w14:paraId="30B85FC3"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5B3CF6E9" w14:textId="77777777" w:rsidTr="005E2F1E">
        <w:trPr>
          <w:trHeight w:val="30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14:paraId="7440F113"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499</w:t>
            </w:r>
          </w:p>
        </w:tc>
        <w:tc>
          <w:tcPr>
            <w:tcW w:w="904" w:type="dxa"/>
            <w:tcBorders>
              <w:top w:val="nil"/>
              <w:left w:val="nil"/>
              <w:bottom w:val="single" w:sz="4" w:space="0" w:color="auto"/>
              <w:right w:val="single" w:sz="4" w:space="0" w:color="auto"/>
            </w:tcBorders>
            <w:shd w:val="clear" w:color="auto" w:fill="auto"/>
            <w:noWrap/>
            <w:vAlign w:val="bottom"/>
            <w:hideMark/>
          </w:tcPr>
          <w:p w14:paraId="7A6D610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single" w:sz="4" w:space="0" w:color="auto"/>
              <w:right w:val="single" w:sz="4" w:space="0" w:color="auto"/>
            </w:tcBorders>
            <w:shd w:val="clear" w:color="auto" w:fill="auto"/>
            <w:noWrap/>
            <w:vAlign w:val="bottom"/>
            <w:hideMark/>
          </w:tcPr>
          <w:p w14:paraId="512F745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60.564</w:t>
            </w:r>
          </w:p>
        </w:tc>
        <w:tc>
          <w:tcPr>
            <w:tcW w:w="904" w:type="dxa"/>
            <w:tcBorders>
              <w:top w:val="nil"/>
              <w:left w:val="nil"/>
              <w:bottom w:val="single" w:sz="4" w:space="0" w:color="auto"/>
              <w:right w:val="single" w:sz="4" w:space="0" w:color="auto"/>
            </w:tcBorders>
            <w:shd w:val="clear" w:color="auto" w:fill="auto"/>
            <w:noWrap/>
            <w:vAlign w:val="bottom"/>
            <w:hideMark/>
          </w:tcPr>
          <w:p w14:paraId="248F667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2C5A4E1A"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54.571</w:t>
            </w:r>
          </w:p>
        </w:tc>
        <w:tc>
          <w:tcPr>
            <w:tcW w:w="904" w:type="dxa"/>
            <w:tcBorders>
              <w:top w:val="nil"/>
              <w:left w:val="nil"/>
              <w:bottom w:val="single" w:sz="4" w:space="0" w:color="auto"/>
              <w:right w:val="single" w:sz="4" w:space="0" w:color="auto"/>
            </w:tcBorders>
            <w:shd w:val="clear" w:color="auto" w:fill="auto"/>
            <w:noWrap/>
            <w:vAlign w:val="bottom"/>
            <w:hideMark/>
          </w:tcPr>
          <w:p w14:paraId="1F730CBF"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single" w:sz="4" w:space="0" w:color="auto"/>
              <w:right w:val="single" w:sz="4" w:space="0" w:color="auto"/>
            </w:tcBorders>
            <w:shd w:val="clear" w:color="auto" w:fill="auto"/>
            <w:noWrap/>
            <w:vAlign w:val="bottom"/>
            <w:hideMark/>
          </w:tcPr>
          <w:p w14:paraId="1BBCB1F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57.044</w:t>
            </w:r>
          </w:p>
        </w:tc>
        <w:tc>
          <w:tcPr>
            <w:tcW w:w="1946" w:type="dxa"/>
            <w:tcBorders>
              <w:top w:val="nil"/>
              <w:left w:val="nil"/>
              <w:bottom w:val="nil"/>
              <w:right w:val="nil"/>
            </w:tcBorders>
            <w:shd w:val="clear" w:color="auto" w:fill="auto"/>
            <w:noWrap/>
            <w:vAlign w:val="bottom"/>
            <w:hideMark/>
          </w:tcPr>
          <w:p w14:paraId="310300A8"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3AF2F64D" w14:textId="77777777" w:rsidTr="005E2F1E">
        <w:trPr>
          <w:trHeight w:val="315"/>
        </w:trPr>
        <w:tc>
          <w:tcPr>
            <w:tcW w:w="2290" w:type="dxa"/>
            <w:tcBorders>
              <w:top w:val="nil"/>
              <w:left w:val="single" w:sz="4" w:space="0" w:color="auto"/>
              <w:bottom w:val="nil"/>
              <w:right w:val="single" w:sz="4" w:space="0" w:color="auto"/>
            </w:tcBorders>
            <w:shd w:val="clear" w:color="auto" w:fill="auto"/>
            <w:noWrap/>
            <w:vAlign w:val="bottom"/>
            <w:hideMark/>
          </w:tcPr>
          <w:p w14:paraId="4CD9263B"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500</w:t>
            </w:r>
          </w:p>
        </w:tc>
        <w:tc>
          <w:tcPr>
            <w:tcW w:w="904" w:type="dxa"/>
            <w:tcBorders>
              <w:top w:val="nil"/>
              <w:left w:val="nil"/>
              <w:bottom w:val="nil"/>
              <w:right w:val="single" w:sz="4" w:space="0" w:color="auto"/>
            </w:tcBorders>
            <w:shd w:val="clear" w:color="auto" w:fill="auto"/>
            <w:noWrap/>
            <w:vAlign w:val="bottom"/>
            <w:hideMark/>
          </w:tcPr>
          <w:p w14:paraId="419C7A4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60.000</w:t>
            </w:r>
          </w:p>
        </w:tc>
        <w:tc>
          <w:tcPr>
            <w:tcW w:w="904" w:type="dxa"/>
            <w:tcBorders>
              <w:top w:val="nil"/>
              <w:left w:val="nil"/>
              <w:bottom w:val="nil"/>
              <w:right w:val="single" w:sz="4" w:space="0" w:color="auto"/>
            </w:tcBorders>
            <w:shd w:val="clear" w:color="auto" w:fill="auto"/>
            <w:noWrap/>
            <w:vAlign w:val="bottom"/>
            <w:hideMark/>
          </w:tcPr>
          <w:p w14:paraId="2B0ADAC5"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58.381</w:t>
            </w:r>
          </w:p>
        </w:tc>
        <w:tc>
          <w:tcPr>
            <w:tcW w:w="904" w:type="dxa"/>
            <w:tcBorders>
              <w:top w:val="nil"/>
              <w:left w:val="nil"/>
              <w:bottom w:val="nil"/>
              <w:right w:val="single" w:sz="4" w:space="0" w:color="auto"/>
            </w:tcBorders>
            <w:shd w:val="clear" w:color="auto" w:fill="auto"/>
            <w:noWrap/>
            <w:vAlign w:val="bottom"/>
            <w:hideMark/>
          </w:tcPr>
          <w:p w14:paraId="5A77722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59.000</w:t>
            </w:r>
          </w:p>
        </w:tc>
        <w:tc>
          <w:tcPr>
            <w:tcW w:w="904" w:type="dxa"/>
            <w:tcBorders>
              <w:top w:val="nil"/>
              <w:left w:val="nil"/>
              <w:bottom w:val="nil"/>
              <w:right w:val="single" w:sz="4" w:space="0" w:color="auto"/>
            </w:tcBorders>
            <w:shd w:val="clear" w:color="auto" w:fill="auto"/>
            <w:noWrap/>
            <w:vAlign w:val="bottom"/>
            <w:hideMark/>
          </w:tcPr>
          <w:p w14:paraId="33636A62"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53.065</w:t>
            </w:r>
          </w:p>
        </w:tc>
        <w:tc>
          <w:tcPr>
            <w:tcW w:w="904" w:type="dxa"/>
            <w:tcBorders>
              <w:top w:val="nil"/>
              <w:left w:val="nil"/>
              <w:bottom w:val="nil"/>
              <w:right w:val="single" w:sz="4" w:space="0" w:color="auto"/>
            </w:tcBorders>
            <w:shd w:val="clear" w:color="auto" w:fill="auto"/>
            <w:noWrap/>
            <w:vAlign w:val="bottom"/>
            <w:hideMark/>
          </w:tcPr>
          <w:p w14:paraId="07F50321"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59.035</w:t>
            </w:r>
          </w:p>
        </w:tc>
        <w:tc>
          <w:tcPr>
            <w:tcW w:w="904" w:type="dxa"/>
            <w:tcBorders>
              <w:top w:val="nil"/>
              <w:left w:val="nil"/>
              <w:bottom w:val="nil"/>
              <w:right w:val="single" w:sz="4" w:space="0" w:color="auto"/>
            </w:tcBorders>
            <w:shd w:val="clear" w:color="auto" w:fill="auto"/>
            <w:noWrap/>
            <w:vAlign w:val="bottom"/>
            <w:hideMark/>
          </w:tcPr>
          <w:p w14:paraId="5D85AE14"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57.000</w:t>
            </w:r>
          </w:p>
        </w:tc>
        <w:tc>
          <w:tcPr>
            <w:tcW w:w="1946" w:type="dxa"/>
            <w:tcBorders>
              <w:top w:val="nil"/>
              <w:left w:val="nil"/>
              <w:bottom w:val="nil"/>
              <w:right w:val="nil"/>
            </w:tcBorders>
            <w:shd w:val="clear" w:color="auto" w:fill="auto"/>
            <w:noWrap/>
            <w:vAlign w:val="bottom"/>
            <w:hideMark/>
          </w:tcPr>
          <w:p w14:paraId="6C740BBB"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r w:rsidR="00007F6C" w:rsidRPr="00F025B1" w14:paraId="7BF25E6E" w14:textId="77777777" w:rsidTr="005E2F1E">
        <w:trPr>
          <w:trHeight w:val="315"/>
        </w:trPr>
        <w:tc>
          <w:tcPr>
            <w:tcW w:w="229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5DFBB12" w14:textId="77777777" w:rsidR="00007F6C" w:rsidRPr="00F025B1" w:rsidRDefault="00007F6C" w:rsidP="005E2F1E">
            <w:pPr>
              <w:spacing w:after="0" w:line="240" w:lineRule="auto"/>
              <w:jc w:val="both"/>
              <w:rPr>
                <w:rFonts w:ascii="Calibri" w:eastAsia="Times New Roman" w:hAnsi="Calibri" w:cs="Calibri"/>
                <w:b/>
                <w:bCs/>
                <w:color w:val="000000"/>
                <w:lang w:eastAsia="en-GB"/>
              </w:rPr>
            </w:pPr>
            <w:r w:rsidRPr="00F025B1">
              <w:rPr>
                <w:rFonts w:ascii="Calibri" w:eastAsia="Times New Roman" w:hAnsi="Calibri" w:cs="Calibri"/>
                <w:b/>
                <w:bCs/>
                <w:color w:val="000000"/>
                <w:lang w:eastAsia="en-GB"/>
              </w:rPr>
              <w:t>Average</w:t>
            </w:r>
            <w:r>
              <w:rPr>
                <w:rFonts w:ascii="Calibri" w:eastAsia="Times New Roman" w:hAnsi="Calibri" w:cs="Calibri"/>
                <w:b/>
                <w:bCs/>
                <w:color w:val="000000"/>
                <w:lang w:eastAsia="en-GB"/>
              </w:rPr>
              <w:t>/Slice</w:t>
            </w:r>
          </w:p>
        </w:tc>
        <w:tc>
          <w:tcPr>
            <w:tcW w:w="904" w:type="dxa"/>
            <w:tcBorders>
              <w:top w:val="single" w:sz="8" w:space="0" w:color="auto"/>
              <w:left w:val="nil"/>
              <w:bottom w:val="single" w:sz="8" w:space="0" w:color="auto"/>
              <w:right w:val="single" w:sz="4" w:space="0" w:color="auto"/>
            </w:tcBorders>
            <w:shd w:val="clear" w:color="auto" w:fill="auto"/>
            <w:noWrap/>
            <w:vAlign w:val="bottom"/>
            <w:hideMark/>
          </w:tcPr>
          <w:p w14:paraId="431865E0"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58.63</w:t>
            </w:r>
          </w:p>
        </w:tc>
        <w:tc>
          <w:tcPr>
            <w:tcW w:w="904" w:type="dxa"/>
            <w:tcBorders>
              <w:top w:val="single" w:sz="8" w:space="0" w:color="auto"/>
              <w:left w:val="nil"/>
              <w:bottom w:val="single" w:sz="8" w:space="0" w:color="auto"/>
              <w:right w:val="single" w:sz="4" w:space="0" w:color="auto"/>
            </w:tcBorders>
            <w:shd w:val="clear" w:color="auto" w:fill="auto"/>
            <w:noWrap/>
            <w:vAlign w:val="bottom"/>
            <w:hideMark/>
          </w:tcPr>
          <w:p w14:paraId="1A090F07"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58.57</w:t>
            </w:r>
          </w:p>
        </w:tc>
        <w:tc>
          <w:tcPr>
            <w:tcW w:w="904" w:type="dxa"/>
            <w:tcBorders>
              <w:top w:val="single" w:sz="8" w:space="0" w:color="auto"/>
              <w:left w:val="nil"/>
              <w:bottom w:val="single" w:sz="8" w:space="0" w:color="auto"/>
              <w:right w:val="single" w:sz="4" w:space="0" w:color="auto"/>
            </w:tcBorders>
            <w:shd w:val="clear" w:color="auto" w:fill="auto"/>
            <w:noWrap/>
            <w:vAlign w:val="bottom"/>
            <w:hideMark/>
          </w:tcPr>
          <w:p w14:paraId="68925269"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57.81</w:t>
            </w:r>
          </w:p>
        </w:tc>
        <w:tc>
          <w:tcPr>
            <w:tcW w:w="904" w:type="dxa"/>
            <w:tcBorders>
              <w:top w:val="single" w:sz="8" w:space="0" w:color="auto"/>
              <w:left w:val="nil"/>
              <w:bottom w:val="single" w:sz="8" w:space="0" w:color="auto"/>
              <w:right w:val="single" w:sz="4" w:space="0" w:color="auto"/>
            </w:tcBorders>
            <w:shd w:val="clear" w:color="auto" w:fill="auto"/>
            <w:noWrap/>
            <w:vAlign w:val="bottom"/>
            <w:hideMark/>
          </w:tcPr>
          <w:p w14:paraId="5070824D"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57.22</w:t>
            </w:r>
          </w:p>
        </w:tc>
        <w:tc>
          <w:tcPr>
            <w:tcW w:w="904" w:type="dxa"/>
            <w:tcBorders>
              <w:top w:val="single" w:sz="8" w:space="0" w:color="auto"/>
              <w:left w:val="nil"/>
              <w:bottom w:val="single" w:sz="8" w:space="0" w:color="auto"/>
              <w:right w:val="single" w:sz="4" w:space="0" w:color="auto"/>
            </w:tcBorders>
            <w:shd w:val="clear" w:color="auto" w:fill="auto"/>
            <w:noWrap/>
            <w:vAlign w:val="bottom"/>
            <w:hideMark/>
          </w:tcPr>
          <w:p w14:paraId="07439CFE"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56.99</w:t>
            </w:r>
          </w:p>
        </w:tc>
        <w:tc>
          <w:tcPr>
            <w:tcW w:w="904" w:type="dxa"/>
            <w:tcBorders>
              <w:top w:val="single" w:sz="8" w:space="0" w:color="auto"/>
              <w:left w:val="nil"/>
              <w:bottom w:val="single" w:sz="8" w:space="0" w:color="auto"/>
              <w:right w:val="single" w:sz="8" w:space="0" w:color="auto"/>
            </w:tcBorders>
            <w:shd w:val="clear" w:color="auto" w:fill="auto"/>
            <w:noWrap/>
            <w:vAlign w:val="bottom"/>
            <w:hideMark/>
          </w:tcPr>
          <w:p w14:paraId="47EA67A8" w14:textId="77777777" w:rsidR="00007F6C" w:rsidRPr="00F025B1" w:rsidRDefault="00007F6C" w:rsidP="005E2F1E">
            <w:pPr>
              <w:spacing w:after="0" w:line="240" w:lineRule="auto"/>
              <w:jc w:val="both"/>
              <w:rPr>
                <w:rFonts w:ascii="Calibri" w:eastAsia="Times New Roman" w:hAnsi="Calibri" w:cs="Calibri"/>
                <w:color w:val="000000"/>
                <w:lang w:eastAsia="en-GB"/>
              </w:rPr>
            </w:pPr>
            <w:r w:rsidRPr="00F025B1">
              <w:rPr>
                <w:rFonts w:ascii="Calibri" w:eastAsia="Times New Roman" w:hAnsi="Calibri" w:cs="Calibri"/>
                <w:color w:val="000000"/>
                <w:lang w:eastAsia="en-GB"/>
              </w:rPr>
              <w:t>55.43</w:t>
            </w:r>
          </w:p>
        </w:tc>
        <w:tc>
          <w:tcPr>
            <w:tcW w:w="1946" w:type="dxa"/>
            <w:tcBorders>
              <w:top w:val="nil"/>
              <w:left w:val="nil"/>
              <w:bottom w:val="nil"/>
              <w:right w:val="nil"/>
            </w:tcBorders>
            <w:shd w:val="clear" w:color="auto" w:fill="auto"/>
            <w:noWrap/>
            <w:vAlign w:val="bottom"/>
            <w:hideMark/>
          </w:tcPr>
          <w:p w14:paraId="06977865" w14:textId="77777777" w:rsidR="00007F6C" w:rsidRPr="00F025B1" w:rsidRDefault="00007F6C" w:rsidP="005E2F1E">
            <w:pPr>
              <w:spacing w:after="0" w:line="240" w:lineRule="auto"/>
              <w:jc w:val="both"/>
              <w:rPr>
                <w:rFonts w:ascii="Calibri" w:eastAsia="Times New Roman" w:hAnsi="Calibri" w:cs="Calibri"/>
                <w:color w:val="000000"/>
                <w:lang w:eastAsia="en-GB"/>
              </w:rPr>
            </w:pPr>
          </w:p>
        </w:tc>
      </w:tr>
    </w:tbl>
    <w:p w14:paraId="1C1D9474" w14:textId="77777777" w:rsidR="00007F6C" w:rsidRDefault="00007F6C" w:rsidP="00007F6C">
      <w:pPr>
        <w:widowControl w:val="0"/>
        <w:autoSpaceDE w:val="0"/>
        <w:autoSpaceDN w:val="0"/>
        <w:adjustRightInd w:val="0"/>
        <w:spacing w:line="240" w:lineRule="auto"/>
        <w:jc w:val="both"/>
        <w:rPr>
          <w:color w:val="FFC000"/>
        </w:rPr>
      </w:pPr>
    </w:p>
    <w:p w14:paraId="35D4EE99" w14:textId="77777777" w:rsidR="00007F6C" w:rsidRDefault="00007F6C" w:rsidP="00007F6C">
      <w:pPr>
        <w:pStyle w:val="Heading6"/>
      </w:pPr>
      <w:r>
        <w:t>YSZ</w:t>
      </w:r>
    </w:p>
    <w:p w14:paraId="44D22FDC" w14:textId="00FC558F" w:rsidR="00007F6C" w:rsidRDefault="00007F6C" w:rsidP="00007F6C">
      <w:pPr>
        <w:pStyle w:val="Caption"/>
        <w:keepNext/>
        <w:jc w:val="both"/>
      </w:pPr>
      <w:r>
        <w:t>Table A</w:t>
      </w:r>
      <w:r w:rsidR="00B51F53">
        <w:fldChar w:fldCharType="begin"/>
      </w:r>
      <w:r w:rsidR="00B51F53">
        <w:instrText xml:space="preserve"> SEQ Table \* ARABIC </w:instrText>
      </w:r>
      <w:r w:rsidR="00B51F53">
        <w:fldChar w:fldCharType="separate"/>
      </w:r>
      <w:r w:rsidR="0056210C">
        <w:rPr>
          <w:noProof/>
        </w:rPr>
        <w:t>7</w:t>
      </w:r>
      <w:r w:rsidR="00B51F53">
        <w:rPr>
          <w:noProof/>
        </w:rPr>
        <w:fldChar w:fldCharType="end"/>
      </w:r>
      <w:r>
        <w:t>:  Table detailing the line profile measurements of the YSZ phase in the Ni-YSZ contrast sample. The minimum, maximum and average GSV are shown on the right.</w:t>
      </w:r>
    </w:p>
    <w:tbl>
      <w:tblPr>
        <w:tblW w:w="10000" w:type="dxa"/>
        <w:tblLook w:val="04A0" w:firstRow="1" w:lastRow="0" w:firstColumn="1" w:lastColumn="0" w:noHBand="0" w:noVBand="1"/>
      </w:tblPr>
      <w:tblGrid>
        <w:gridCol w:w="2280"/>
        <w:gridCol w:w="960"/>
        <w:gridCol w:w="960"/>
        <w:gridCol w:w="960"/>
        <w:gridCol w:w="960"/>
        <w:gridCol w:w="960"/>
        <w:gridCol w:w="960"/>
        <w:gridCol w:w="1960"/>
      </w:tblGrid>
      <w:tr w:rsidR="00007F6C" w:rsidRPr="006A2F6A" w14:paraId="500E482F" w14:textId="77777777" w:rsidTr="005E2F1E">
        <w:trPr>
          <w:trHeight w:val="315"/>
        </w:trPr>
        <w:tc>
          <w:tcPr>
            <w:tcW w:w="2280" w:type="dxa"/>
            <w:tcBorders>
              <w:top w:val="nil"/>
              <w:left w:val="nil"/>
              <w:bottom w:val="nil"/>
              <w:right w:val="nil"/>
            </w:tcBorders>
            <w:shd w:val="clear" w:color="auto" w:fill="auto"/>
            <w:noWrap/>
            <w:vAlign w:val="bottom"/>
            <w:hideMark/>
          </w:tcPr>
          <w:p w14:paraId="4E82E150" w14:textId="77777777" w:rsidR="00007F6C" w:rsidRPr="006A2F6A" w:rsidRDefault="00007F6C" w:rsidP="005E2F1E">
            <w:pPr>
              <w:spacing w:after="0" w:line="240" w:lineRule="auto"/>
              <w:jc w:val="both"/>
              <w:rPr>
                <w:rFonts w:ascii="Times New Roman" w:eastAsia="Times New Roman" w:hAnsi="Times New Roman" w:cs="Times New Roman"/>
                <w:sz w:val="24"/>
                <w:szCs w:val="24"/>
                <w:lang w:eastAsia="en-GB"/>
              </w:rPr>
            </w:pPr>
          </w:p>
        </w:tc>
        <w:tc>
          <w:tcPr>
            <w:tcW w:w="2880" w:type="dxa"/>
            <w:gridSpan w:val="3"/>
            <w:tcBorders>
              <w:top w:val="nil"/>
              <w:left w:val="nil"/>
              <w:bottom w:val="nil"/>
              <w:right w:val="nil"/>
            </w:tcBorders>
            <w:shd w:val="clear" w:color="auto" w:fill="auto"/>
            <w:noWrap/>
            <w:vAlign w:val="bottom"/>
            <w:hideMark/>
          </w:tcPr>
          <w:p w14:paraId="0E0AA477" w14:textId="77777777" w:rsidR="00007F6C" w:rsidRPr="006A2F6A" w:rsidRDefault="00007F6C" w:rsidP="005E2F1E">
            <w:pPr>
              <w:spacing w:after="0" w:line="240" w:lineRule="auto"/>
              <w:jc w:val="both"/>
              <w:rPr>
                <w:rFonts w:ascii="Calibri" w:eastAsia="Times New Roman" w:hAnsi="Calibri" w:cs="Calibri"/>
                <w:b/>
                <w:bCs/>
                <w:color w:val="000000"/>
                <w:lang w:eastAsia="en-GB"/>
              </w:rPr>
            </w:pPr>
            <w:r w:rsidRPr="006A2F6A">
              <w:rPr>
                <w:rFonts w:ascii="Calibri" w:eastAsia="Times New Roman" w:hAnsi="Calibri" w:cs="Calibri"/>
                <w:b/>
                <w:bCs/>
                <w:color w:val="000000"/>
                <w:lang w:eastAsia="en-GB"/>
              </w:rPr>
              <w:t>YSZ Grayscale Values</w:t>
            </w:r>
          </w:p>
        </w:tc>
        <w:tc>
          <w:tcPr>
            <w:tcW w:w="960" w:type="dxa"/>
            <w:tcBorders>
              <w:top w:val="nil"/>
              <w:left w:val="nil"/>
              <w:bottom w:val="nil"/>
              <w:right w:val="nil"/>
            </w:tcBorders>
            <w:shd w:val="clear" w:color="auto" w:fill="auto"/>
            <w:noWrap/>
            <w:vAlign w:val="bottom"/>
            <w:hideMark/>
          </w:tcPr>
          <w:p w14:paraId="49541A02" w14:textId="77777777" w:rsidR="00007F6C" w:rsidRPr="006A2F6A" w:rsidRDefault="00007F6C" w:rsidP="005E2F1E">
            <w:pPr>
              <w:spacing w:after="0" w:line="240" w:lineRule="auto"/>
              <w:jc w:val="both"/>
              <w:rPr>
                <w:rFonts w:ascii="Calibri" w:eastAsia="Times New Roman" w:hAnsi="Calibri" w:cs="Calibri"/>
                <w:b/>
                <w:bCs/>
                <w:color w:val="000000"/>
                <w:lang w:eastAsia="en-GB"/>
              </w:rPr>
            </w:pPr>
          </w:p>
        </w:tc>
        <w:tc>
          <w:tcPr>
            <w:tcW w:w="960" w:type="dxa"/>
            <w:tcBorders>
              <w:top w:val="nil"/>
              <w:left w:val="nil"/>
              <w:bottom w:val="nil"/>
              <w:right w:val="nil"/>
            </w:tcBorders>
            <w:shd w:val="clear" w:color="auto" w:fill="auto"/>
            <w:noWrap/>
            <w:vAlign w:val="bottom"/>
            <w:hideMark/>
          </w:tcPr>
          <w:p w14:paraId="3A76A215" w14:textId="77777777" w:rsidR="00007F6C" w:rsidRPr="006A2F6A" w:rsidRDefault="00007F6C" w:rsidP="005E2F1E">
            <w:pPr>
              <w:spacing w:after="0" w:line="240" w:lineRule="auto"/>
              <w:jc w:val="both"/>
              <w:rPr>
                <w:rFonts w:ascii="Times New Roman" w:eastAsia="Times New Roman" w:hAnsi="Times New Roman" w:cs="Times New Roman"/>
                <w:sz w:val="20"/>
                <w:szCs w:val="20"/>
                <w:lang w:eastAsia="en-GB"/>
              </w:rPr>
            </w:pPr>
          </w:p>
        </w:tc>
        <w:tc>
          <w:tcPr>
            <w:tcW w:w="960" w:type="dxa"/>
            <w:tcBorders>
              <w:top w:val="nil"/>
              <w:left w:val="nil"/>
              <w:bottom w:val="nil"/>
              <w:right w:val="nil"/>
            </w:tcBorders>
            <w:shd w:val="clear" w:color="auto" w:fill="auto"/>
            <w:noWrap/>
            <w:vAlign w:val="bottom"/>
            <w:hideMark/>
          </w:tcPr>
          <w:p w14:paraId="7434D3EC" w14:textId="77777777" w:rsidR="00007F6C" w:rsidRPr="006A2F6A" w:rsidRDefault="00007F6C" w:rsidP="005E2F1E">
            <w:pPr>
              <w:spacing w:after="0" w:line="240" w:lineRule="auto"/>
              <w:jc w:val="both"/>
              <w:rPr>
                <w:rFonts w:ascii="Times New Roman" w:eastAsia="Times New Roman" w:hAnsi="Times New Roman" w:cs="Times New Roman"/>
                <w:sz w:val="20"/>
                <w:szCs w:val="20"/>
                <w:lang w:eastAsia="en-GB"/>
              </w:rPr>
            </w:pPr>
          </w:p>
        </w:tc>
        <w:tc>
          <w:tcPr>
            <w:tcW w:w="1960" w:type="dxa"/>
            <w:tcBorders>
              <w:top w:val="nil"/>
              <w:left w:val="nil"/>
              <w:bottom w:val="nil"/>
              <w:right w:val="nil"/>
            </w:tcBorders>
            <w:shd w:val="clear" w:color="auto" w:fill="auto"/>
            <w:noWrap/>
            <w:vAlign w:val="bottom"/>
            <w:hideMark/>
          </w:tcPr>
          <w:p w14:paraId="29B2EBD6" w14:textId="77777777" w:rsidR="00007F6C" w:rsidRPr="006A2F6A" w:rsidRDefault="00007F6C" w:rsidP="005E2F1E">
            <w:pPr>
              <w:spacing w:after="0" w:line="240" w:lineRule="auto"/>
              <w:jc w:val="both"/>
              <w:rPr>
                <w:rFonts w:ascii="Times New Roman" w:eastAsia="Times New Roman" w:hAnsi="Times New Roman" w:cs="Times New Roman"/>
                <w:sz w:val="20"/>
                <w:szCs w:val="20"/>
                <w:lang w:eastAsia="en-GB"/>
              </w:rPr>
            </w:pPr>
          </w:p>
        </w:tc>
      </w:tr>
      <w:tr w:rsidR="00007F6C" w:rsidRPr="006A2F6A" w14:paraId="7D063988" w14:textId="77777777" w:rsidTr="005E2F1E">
        <w:trPr>
          <w:trHeight w:val="315"/>
        </w:trPr>
        <w:tc>
          <w:tcPr>
            <w:tcW w:w="2280" w:type="dxa"/>
            <w:vMerge w:val="restart"/>
            <w:tcBorders>
              <w:top w:val="single" w:sz="8" w:space="0" w:color="auto"/>
              <w:left w:val="single" w:sz="8" w:space="0" w:color="auto"/>
              <w:bottom w:val="single" w:sz="8" w:space="0" w:color="auto"/>
              <w:right w:val="single" w:sz="8" w:space="0" w:color="auto"/>
            </w:tcBorders>
            <w:shd w:val="clear" w:color="auto" w:fill="auto"/>
            <w:vAlign w:val="bottom"/>
            <w:hideMark/>
          </w:tcPr>
          <w:p w14:paraId="4EF40BF0" w14:textId="77777777" w:rsidR="00007F6C" w:rsidRPr="006A2F6A" w:rsidRDefault="00007F6C" w:rsidP="005E2F1E">
            <w:pPr>
              <w:spacing w:after="0" w:line="240" w:lineRule="auto"/>
              <w:jc w:val="both"/>
              <w:rPr>
                <w:rFonts w:ascii="Calibri" w:eastAsia="Times New Roman" w:hAnsi="Calibri" w:cs="Calibri"/>
                <w:b/>
                <w:bCs/>
                <w:color w:val="000000"/>
                <w:lang w:eastAsia="en-GB"/>
              </w:rPr>
            </w:pPr>
            <w:r w:rsidRPr="006A2F6A">
              <w:rPr>
                <w:rFonts w:ascii="Calibri" w:eastAsia="Times New Roman" w:hAnsi="Calibri" w:cs="Calibri"/>
                <w:b/>
                <w:bCs/>
                <w:color w:val="000000"/>
                <w:lang w:eastAsia="en-GB"/>
              </w:rPr>
              <w:t>Measurement Number</w:t>
            </w:r>
          </w:p>
        </w:tc>
        <w:tc>
          <w:tcPr>
            <w:tcW w:w="5760" w:type="dxa"/>
            <w:gridSpan w:val="6"/>
            <w:tcBorders>
              <w:top w:val="single" w:sz="8" w:space="0" w:color="auto"/>
              <w:left w:val="nil"/>
              <w:bottom w:val="single" w:sz="8" w:space="0" w:color="auto"/>
              <w:right w:val="single" w:sz="8" w:space="0" w:color="auto"/>
            </w:tcBorders>
            <w:shd w:val="clear" w:color="auto" w:fill="auto"/>
            <w:noWrap/>
            <w:vAlign w:val="bottom"/>
            <w:hideMark/>
          </w:tcPr>
          <w:p w14:paraId="037AE05D" w14:textId="77777777" w:rsidR="00007F6C" w:rsidRPr="006A2F6A" w:rsidRDefault="00007F6C" w:rsidP="005E2F1E">
            <w:pPr>
              <w:spacing w:after="0" w:line="240" w:lineRule="auto"/>
              <w:jc w:val="both"/>
              <w:rPr>
                <w:rFonts w:ascii="Calibri" w:eastAsia="Times New Roman" w:hAnsi="Calibri" w:cs="Calibri"/>
                <w:b/>
                <w:bCs/>
                <w:color w:val="000000"/>
                <w:lang w:eastAsia="en-GB"/>
              </w:rPr>
            </w:pPr>
            <w:r w:rsidRPr="006A2F6A">
              <w:rPr>
                <w:rFonts w:ascii="Calibri" w:eastAsia="Times New Roman" w:hAnsi="Calibri" w:cs="Calibri"/>
                <w:b/>
                <w:bCs/>
                <w:color w:val="000000"/>
                <w:lang w:eastAsia="en-GB"/>
              </w:rPr>
              <w:t>Slice Number</w:t>
            </w:r>
          </w:p>
        </w:tc>
        <w:tc>
          <w:tcPr>
            <w:tcW w:w="1960" w:type="dxa"/>
            <w:tcBorders>
              <w:top w:val="nil"/>
              <w:left w:val="nil"/>
              <w:bottom w:val="single" w:sz="4" w:space="0" w:color="auto"/>
              <w:right w:val="nil"/>
            </w:tcBorders>
            <w:shd w:val="clear" w:color="auto" w:fill="auto"/>
            <w:noWrap/>
            <w:vAlign w:val="bottom"/>
            <w:hideMark/>
          </w:tcPr>
          <w:p w14:paraId="1BFE1206" w14:textId="77777777" w:rsidR="00007F6C" w:rsidRPr="006A2F6A" w:rsidRDefault="00007F6C" w:rsidP="005E2F1E">
            <w:pPr>
              <w:spacing w:after="0" w:line="240" w:lineRule="auto"/>
              <w:jc w:val="both"/>
              <w:rPr>
                <w:rFonts w:ascii="Calibri" w:eastAsia="Times New Roman" w:hAnsi="Calibri" w:cs="Calibri"/>
                <w:b/>
                <w:bCs/>
                <w:color w:val="000000"/>
                <w:lang w:eastAsia="en-GB"/>
              </w:rPr>
            </w:pPr>
          </w:p>
        </w:tc>
      </w:tr>
      <w:tr w:rsidR="00007F6C" w:rsidRPr="006A2F6A" w14:paraId="056AD2AE" w14:textId="77777777" w:rsidTr="005E2F1E">
        <w:trPr>
          <w:trHeight w:val="315"/>
        </w:trPr>
        <w:tc>
          <w:tcPr>
            <w:tcW w:w="2280" w:type="dxa"/>
            <w:vMerge/>
            <w:tcBorders>
              <w:top w:val="single" w:sz="8" w:space="0" w:color="auto"/>
              <w:left w:val="single" w:sz="8" w:space="0" w:color="auto"/>
              <w:bottom w:val="single" w:sz="8" w:space="0" w:color="auto"/>
              <w:right w:val="single" w:sz="8" w:space="0" w:color="auto"/>
            </w:tcBorders>
            <w:vAlign w:val="center"/>
            <w:hideMark/>
          </w:tcPr>
          <w:p w14:paraId="72DA0FF0" w14:textId="77777777" w:rsidR="00007F6C" w:rsidRPr="006A2F6A" w:rsidRDefault="00007F6C" w:rsidP="005E2F1E">
            <w:pPr>
              <w:spacing w:after="0" w:line="240" w:lineRule="auto"/>
              <w:jc w:val="both"/>
              <w:rPr>
                <w:rFonts w:ascii="Calibri" w:eastAsia="Times New Roman" w:hAnsi="Calibri" w:cs="Calibri"/>
                <w:b/>
                <w:bCs/>
                <w:color w:val="000000"/>
                <w:lang w:eastAsia="en-GB"/>
              </w:rPr>
            </w:pPr>
          </w:p>
        </w:tc>
        <w:tc>
          <w:tcPr>
            <w:tcW w:w="960" w:type="dxa"/>
            <w:tcBorders>
              <w:top w:val="nil"/>
              <w:left w:val="nil"/>
              <w:bottom w:val="single" w:sz="8" w:space="0" w:color="auto"/>
              <w:right w:val="single" w:sz="8" w:space="0" w:color="auto"/>
            </w:tcBorders>
            <w:shd w:val="clear" w:color="auto" w:fill="auto"/>
            <w:noWrap/>
            <w:vAlign w:val="bottom"/>
            <w:hideMark/>
          </w:tcPr>
          <w:p w14:paraId="32A25C01" w14:textId="77777777" w:rsidR="00007F6C" w:rsidRPr="006A2F6A" w:rsidRDefault="00007F6C" w:rsidP="005E2F1E">
            <w:pPr>
              <w:spacing w:after="0" w:line="240" w:lineRule="auto"/>
              <w:jc w:val="both"/>
              <w:rPr>
                <w:rFonts w:ascii="Calibri" w:eastAsia="Times New Roman" w:hAnsi="Calibri" w:cs="Calibri"/>
                <w:b/>
                <w:bCs/>
                <w:color w:val="000000"/>
                <w:lang w:eastAsia="en-GB"/>
              </w:rPr>
            </w:pPr>
            <w:r w:rsidRPr="006A2F6A">
              <w:rPr>
                <w:rFonts w:ascii="Calibri" w:eastAsia="Times New Roman" w:hAnsi="Calibri" w:cs="Calibri"/>
                <w:b/>
                <w:bCs/>
                <w:color w:val="000000"/>
                <w:lang w:eastAsia="en-GB"/>
              </w:rPr>
              <w:t>370</w:t>
            </w:r>
          </w:p>
        </w:tc>
        <w:tc>
          <w:tcPr>
            <w:tcW w:w="960" w:type="dxa"/>
            <w:tcBorders>
              <w:top w:val="nil"/>
              <w:left w:val="nil"/>
              <w:bottom w:val="single" w:sz="8" w:space="0" w:color="auto"/>
              <w:right w:val="single" w:sz="8" w:space="0" w:color="auto"/>
            </w:tcBorders>
            <w:shd w:val="clear" w:color="auto" w:fill="auto"/>
            <w:noWrap/>
            <w:vAlign w:val="bottom"/>
            <w:hideMark/>
          </w:tcPr>
          <w:p w14:paraId="19B068E8" w14:textId="77777777" w:rsidR="00007F6C" w:rsidRPr="006A2F6A" w:rsidRDefault="00007F6C" w:rsidP="005E2F1E">
            <w:pPr>
              <w:spacing w:after="0" w:line="240" w:lineRule="auto"/>
              <w:jc w:val="both"/>
              <w:rPr>
                <w:rFonts w:ascii="Calibri" w:eastAsia="Times New Roman" w:hAnsi="Calibri" w:cs="Calibri"/>
                <w:b/>
                <w:bCs/>
                <w:color w:val="000000"/>
                <w:lang w:eastAsia="en-GB"/>
              </w:rPr>
            </w:pPr>
            <w:r w:rsidRPr="006A2F6A">
              <w:rPr>
                <w:rFonts w:ascii="Calibri" w:eastAsia="Times New Roman" w:hAnsi="Calibri" w:cs="Calibri"/>
                <w:b/>
                <w:bCs/>
                <w:color w:val="000000"/>
                <w:lang w:eastAsia="en-GB"/>
              </w:rPr>
              <w:t>375</w:t>
            </w:r>
          </w:p>
        </w:tc>
        <w:tc>
          <w:tcPr>
            <w:tcW w:w="960" w:type="dxa"/>
            <w:tcBorders>
              <w:top w:val="nil"/>
              <w:left w:val="nil"/>
              <w:bottom w:val="single" w:sz="8" w:space="0" w:color="auto"/>
              <w:right w:val="single" w:sz="8" w:space="0" w:color="auto"/>
            </w:tcBorders>
            <w:shd w:val="clear" w:color="auto" w:fill="auto"/>
            <w:noWrap/>
            <w:vAlign w:val="bottom"/>
            <w:hideMark/>
          </w:tcPr>
          <w:p w14:paraId="1FB55E41" w14:textId="77777777" w:rsidR="00007F6C" w:rsidRPr="006A2F6A" w:rsidRDefault="00007F6C" w:rsidP="005E2F1E">
            <w:pPr>
              <w:spacing w:after="0" w:line="240" w:lineRule="auto"/>
              <w:jc w:val="both"/>
              <w:rPr>
                <w:rFonts w:ascii="Calibri" w:eastAsia="Times New Roman" w:hAnsi="Calibri" w:cs="Calibri"/>
                <w:b/>
                <w:bCs/>
                <w:color w:val="000000"/>
                <w:lang w:eastAsia="en-GB"/>
              </w:rPr>
            </w:pPr>
            <w:r w:rsidRPr="006A2F6A">
              <w:rPr>
                <w:rFonts w:ascii="Calibri" w:eastAsia="Times New Roman" w:hAnsi="Calibri" w:cs="Calibri"/>
                <w:b/>
                <w:bCs/>
                <w:color w:val="000000"/>
                <w:lang w:eastAsia="en-GB"/>
              </w:rPr>
              <w:t>380</w:t>
            </w:r>
          </w:p>
        </w:tc>
        <w:tc>
          <w:tcPr>
            <w:tcW w:w="960" w:type="dxa"/>
            <w:tcBorders>
              <w:top w:val="nil"/>
              <w:left w:val="nil"/>
              <w:bottom w:val="single" w:sz="8" w:space="0" w:color="auto"/>
              <w:right w:val="single" w:sz="8" w:space="0" w:color="auto"/>
            </w:tcBorders>
            <w:shd w:val="clear" w:color="auto" w:fill="auto"/>
            <w:noWrap/>
            <w:vAlign w:val="bottom"/>
            <w:hideMark/>
          </w:tcPr>
          <w:p w14:paraId="0BEDB284" w14:textId="77777777" w:rsidR="00007F6C" w:rsidRPr="006A2F6A" w:rsidRDefault="00007F6C" w:rsidP="005E2F1E">
            <w:pPr>
              <w:spacing w:after="0" w:line="240" w:lineRule="auto"/>
              <w:jc w:val="both"/>
              <w:rPr>
                <w:rFonts w:ascii="Calibri" w:eastAsia="Times New Roman" w:hAnsi="Calibri" w:cs="Calibri"/>
                <w:b/>
                <w:bCs/>
                <w:color w:val="000000"/>
                <w:lang w:eastAsia="en-GB"/>
              </w:rPr>
            </w:pPr>
            <w:r w:rsidRPr="006A2F6A">
              <w:rPr>
                <w:rFonts w:ascii="Calibri" w:eastAsia="Times New Roman" w:hAnsi="Calibri" w:cs="Calibri"/>
                <w:b/>
                <w:bCs/>
                <w:color w:val="000000"/>
                <w:lang w:eastAsia="en-GB"/>
              </w:rPr>
              <w:t>385</w:t>
            </w:r>
          </w:p>
        </w:tc>
        <w:tc>
          <w:tcPr>
            <w:tcW w:w="960" w:type="dxa"/>
            <w:tcBorders>
              <w:top w:val="nil"/>
              <w:left w:val="nil"/>
              <w:bottom w:val="single" w:sz="8" w:space="0" w:color="auto"/>
              <w:right w:val="single" w:sz="8" w:space="0" w:color="auto"/>
            </w:tcBorders>
            <w:shd w:val="clear" w:color="auto" w:fill="auto"/>
            <w:noWrap/>
            <w:vAlign w:val="bottom"/>
            <w:hideMark/>
          </w:tcPr>
          <w:p w14:paraId="38E62FB2" w14:textId="77777777" w:rsidR="00007F6C" w:rsidRPr="006A2F6A" w:rsidRDefault="00007F6C" w:rsidP="005E2F1E">
            <w:pPr>
              <w:spacing w:after="0" w:line="240" w:lineRule="auto"/>
              <w:jc w:val="both"/>
              <w:rPr>
                <w:rFonts w:ascii="Calibri" w:eastAsia="Times New Roman" w:hAnsi="Calibri" w:cs="Calibri"/>
                <w:b/>
                <w:bCs/>
                <w:color w:val="000000"/>
                <w:lang w:eastAsia="en-GB"/>
              </w:rPr>
            </w:pPr>
            <w:r w:rsidRPr="006A2F6A">
              <w:rPr>
                <w:rFonts w:ascii="Calibri" w:eastAsia="Times New Roman" w:hAnsi="Calibri" w:cs="Calibri"/>
                <w:b/>
                <w:bCs/>
                <w:color w:val="000000"/>
                <w:lang w:eastAsia="en-GB"/>
              </w:rPr>
              <w:t>390</w:t>
            </w:r>
          </w:p>
        </w:tc>
        <w:tc>
          <w:tcPr>
            <w:tcW w:w="960" w:type="dxa"/>
            <w:tcBorders>
              <w:top w:val="nil"/>
              <w:left w:val="nil"/>
              <w:bottom w:val="single" w:sz="8" w:space="0" w:color="auto"/>
              <w:right w:val="single" w:sz="4" w:space="0" w:color="auto"/>
            </w:tcBorders>
            <w:shd w:val="clear" w:color="auto" w:fill="auto"/>
            <w:noWrap/>
            <w:vAlign w:val="bottom"/>
            <w:hideMark/>
          </w:tcPr>
          <w:p w14:paraId="71C08CEA" w14:textId="77777777" w:rsidR="00007F6C" w:rsidRPr="006A2F6A" w:rsidRDefault="00007F6C" w:rsidP="005E2F1E">
            <w:pPr>
              <w:spacing w:after="0" w:line="240" w:lineRule="auto"/>
              <w:jc w:val="both"/>
              <w:rPr>
                <w:rFonts w:ascii="Calibri" w:eastAsia="Times New Roman" w:hAnsi="Calibri" w:cs="Calibri"/>
                <w:b/>
                <w:bCs/>
                <w:color w:val="000000"/>
                <w:lang w:eastAsia="en-GB"/>
              </w:rPr>
            </w:pPr>
            <w:r w:rsidRPr="006A2F6A">
              <w:rPr>
                <w:rFonts w:ascii="Calibri" w:eastAsia="Times New Roman" w:hAnsi="Calibri" w:cs="Calibri"/>
                <w:b/>
                <w:bCs/>
                <w:color w:val="000000"/>
                <w:lang w:eastAsia="en-GB"/>
              </w:rPr>
              <w:t>395</w:t>
            </w:r>
          </w:p>
        </w:tc>
        <w:tc>
          <w:tcPr>
            <w:tcW w:w="1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EAD144" w14:textId="77777777" w:rsidR="00007F6C" w:rsidRPr="006A2F6A" w:rsidRDefault="00007F6C" w:rsidP="005E2F1E">
            <w:pPr>
              <w:spacing w:after="0" w:line="240" w:lineRule="auto"/>
              <w:jc w:val="both"/>
              <w:rPr>
                <w:rFonts w:ascii="Calibri" w:eastAsia="Times New Roman" w:hAnsi="Calibri" w:cs="Calibri"/>
                <w:b/>
                <w:bCs/>
                <w:color w:val="000000"/>
                <w:lang w:eastAsia="en-GB"/>
              </w:rPr>
            </w:pPr>
            <w:r w:rsidRPr="006A2F6A">
              <w:rPr>
                <w:rFonts w:ascii="Calibri" w:eastAsia="Times New Roman" w:hAnsi="Calibri" w:cs="Calibri"/>
                <w:b/>
                <w:bCs/>
                <w:color w:val="000000"/>
                <w:lang w:eastAsia="en-GB"/>
              </w:rPr>
              <w:t>Mini</w:t>
            </w:r>
            <w:r>
              <w:rPr>
                <w:rFonts w:ascii="Calibri" w:eastAsia="Times New Roman" w:hAnsi="Calibri" w:cs="Calibri"/>
                <w:b/>
                <w:bCs/>
                <w:color w:val="000000"/>
                <w:lang w:eastAsia="en-GB"/>
              </w:rPr>
              <w:t>m</w:t>
            </w:r>
            <w:r w:rsidRPr="006A2F6A">
              <w:rPr>
                <w:rFonts w:ascii="Calibri" w:eastAsia="Times New Roman" w:hAnsi="Calibri" w:cs="Calibri"/>
                <w:b/>
                <w:bCs/>
                <w:color w:val="000000"/>
                <w:lang w:eastAsia="en-GB"/>
              </w:rPr>
              <w:t>um GSV</w:t>
            </w:r>
          </w:p>
        </w:tc>
      </w:tr>
      <w:tr w:rsidR="00007F6C" w:rsidRPr="006A2F6A" w14:paraId="3C8BE3AC"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E2120C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14:paraId="07F41CC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167.000</w:t>
            </w:r>
          </w:p>
        </w:tc>
        <w:tc>
          <w:tcPr>
            <w:tcW w:w="960" w:type="dxa"/>
            <w:tcBorders>
              <w:top w:val="nil"/>
              <w:left w:val="nil"/>
              <w:bottom w:val="single" w:sz="4" w:space="0" w:color="auto"/>
              <w:right w:val="single" w:sz="4" w:space="0" w:color="auto"/>
            </w:tcBorders>
            <w:shd w:val="clear" w:color="auto" w:fill="auto"/>
            <w:noWrap/>
            <w:vAlign w:val="bottom"/>
            <w:hideMark/>
          </w:tcPr>
          <w:p w14:paraId="3B01A1F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179.000</w:t>
            </w:r>
          </w:p>
        </w:tc>
        <w:tc>
          <w:tcPr>
            <w:tcW w:w="960" w:type="dxa"/>
            <w:tcBorders>
              <w:top w:val="nil"/>
              <w:left w:val="nil"/>
              <w:bottom w:val="single" w:sz="4" w:space="0" w:color="auto"/>
              <w:right w:val="single" w:sz="4" w:space="0" w:color="auto"/>
            </w:tcBorders>
            <w:shd w:val="clear" w:color="auto" w:fill="auto"/>
            <w:noWrap/>
            <w:vAlign w:val="bottom"/>
            <w:hideMark/>
          </w:tcPr>
          <w:p w14:paraId="48B0459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166.000</w:t>
            </w:r>
          </w:p>
        </w:tc>
        <w:tc>
          <w:tcPr>
            <w:tcW w:w="960" w:type="dxa"/>
            <w:tcBorders>
              <w:top w:val="nil"/>
              <w:left w:val="nil"/>
              <w:bottom w:val="single" w:sz="4" w:space="0" w:color="auto"/>
              <w:right w:val="single" w:sz="4" w:space="0" w:color="auto"/>
            </w:tcBorders>
            <w:shd w:val="clear" w:color="auto" w:fill="auto"/>
            <w:noWrap/>
            <w:vAlign w:val="bottom"/>
            <w:hideMark/>
          </w:tcPr>
          <w:p w14:paraId="2D6BAF0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146.000</w:t>
            </w:r>
          </w:p>
        </w:tc>
        <w:tc>
          <w:tcPr>
            <w:tcW w:w="960" w:type="dxa"/>
            <w:tcBorders>
              <w:top w:val="nil"/>
              <w:left w:val="nil"/>
              <w:bottom w:val="single" w:sz="4" w:space="0" w:color="auto"/>
              <w:right w:val="single" w:sz="4" w:space="0" w:color="auto"/>
            </w:tcBorders>
            <w:shd w:val="clear" w:color="auto" w:fill="auto"/>
            <w:noWrap/>
            <w:vAlign w:val="bottom"/>
            <w:hideMark/>
          </w:tcPr>
          <w:p w14:paraId="1726068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197.000</w:t>
            </w:r>
          </w:p>
        </w:tc>
        <w:tc>
          <w:tcPr>
            <w:tcW w:w="960" w:type="dxa"/>
            <w:tcBorders>
              <w:top w:val="nil"/>
              <w:left w:val="nil"/>
              <w:bottom w:val="single" w:sz="4" w:space="0" w:color="auto"/>
              <w:right w:val="single" w:sz="4" w:space="0" w:color="auto"/>
            </w:tcBorders>
            <w:shd w:val="clear" w:color="auto" w:fill="auto"/>
            <w:noWrap/>
            <w:vAlign w:val="bottom"/>
            <w:hideMark/>
          </w:tcPr>
          <w:p w14:paraId="28D4DC8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114.000</w:t>
            </w:r>
          </w:p>
        </w:tc>
        <w:tc>
          <w:tcPr>
            <w:tcW w:w="1960" w:type="dxa"/>
            <w:tcBorders>
              <w:top w:val="single" w:sz="4" w:space="0" w:color="auto"/>
              <w:left w:val="nil"/>
              <w:bottom w:val="single" w:sz="4" w:space="0" w:color="auto"/>
              <w:right w:val="single" w:sz="4" w:space="0" w:color="auto"/>
            </w:tcBorders>
            <w:shd w:val="clear" w:color="auto" w:fill="auto"/>
            <w:noWrap/>
            <w:vAlign w:val="bottom"/>
            <w:hideMark/>
          </w:tcPr>
          <w:p w14:paraId="091D1A7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65.35</w:t>
            </w:r>
          </w:p>
        </w:tc>
      </w:tr>
      <w:tr w:rsidR="00007F6C" w:rsidRPr="006A2F6A" w14:paraId="6CF4BCA0"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DAA250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w:t>
            </w:r>
          </w:p>
        </w:tc>
        <w:tc>
          <w:tcPr>
            <w:tcW w:w="960" w:type="dxa"/>
            <w:tcBorders>
              <w:top w:val="nil"/>
              <w:left w:val="nil"/>
              <w:bottom w:val="single" w:sz="4" w:space="0" w:color="auto"/>
              <w:right w:val="single" w:sz="4" w:space="0" w:color="auto"/>
            </w:tcBorders>
            <w:shd w:val="clear" w:color="auto" w:fill="auto"/>
            <w:noWrap/>
            <w:vAlign w:val="bottom"/>
            <w:hideMark/>
          </w:tcPr>
          <w:p w14:paraId="635BA52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171.212</w:t>
            </w:r>
          </w:p>
        </w:tc>
        <w:tc>
          <w:tcPr>
            <w:tcW w:w="960" w:type="dxa"/>
            <w:tcBorders>
              <w:top w:val="nil"/>
              <w:left w:val="nil"/>
              <w:bottom w:val="single" w:sz="4" w:space="0" w:color="auto"/>
              <w:right w:val="single" w:sz="4" w:space="0" w:color="auto"/>
            </w:tcBorders>
            <w:shd w:val="clear" w:color="auto" w:fill="auto"/>
            <w:noWrap/>
            <w:vAlign w:val="bottom"/>
            <w:hideMark/>
          </w:tcPr>
          <w:p w14:paraId="4DDBD60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183.365</w:t>
            </w:r>
          </w:p>
        </w:tc>
        <w:tc>
          <w:tcPr>
            <w:tcW w:w="960" w:type="dxa"/>
            <w:tcBorders>
              <w:top w:val="nil"/>
              <w:left w:val="nil"/>
              <w:bottom w:val="single" w:sz="4" w:space="0" w:color="auto"/>
              <w:right w:val="single" w:sz="4" w:space="0" w:color="auto"/>
            </w:tcBorders>
            <w:shd w:val="clear" w:color="auto" w:fill="auto"/>
            <w:noWrap/>
            <w:vAlign w:val="bottom"/>
            <w:hideMark/>
          </w:tcPr>
          <w:p w14:paraId="05AEDD5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167.415</w:t>
            </w:r>
          </w:p>
        </w:tc>
        <w:tc>
          <w:tcPr>
            <w:tcW w:w="960" w:type="dxa"/>
            <w:tcBorders>
              <w:top w:val="nil"/>
              <w:left w:val="nil"/>
              <w:bottom w:val="single" w:sz="4" w:space="0" w:color="auto"/>
              <w:right w:val="single" w:sz="4" w:space="0" w:color="auto"/>
            </w:tcBorders>
            <w:shd w:val="clear" w:color="auto" w:fill="auto"/>
            <w:noWrap/>
            <w:vAlign w:val="bottom"/>
            <w:hideMark/>
          </w:tcPr>
          <w:p w14:paraId="206DB2F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151.908</w:t>
            </w:r>
          </w:p>
        </w:tc>
        <w:tc>
          <w:tcPr>
            <w:tcW w:w="960" w:type="dxa"/>
            <w:tcBorders>
              <w:top w:val="nil"/>
              <w:left w:val="nil"/>
              <w:bottom w:val="single" w:sz="4" w:space="0" w:color="auto"/>
              <w:right w:val="single" w:sz="4" w:space="0" w:color="auto"/>
            </w:tcBorders>
            <w:shd w:val="clear" w:color="auto" w:fill="auto"/>
            <w:noWrap/>
            <w:vAlign w:val="bottom"/>
            <w:hideMark/>
          </w:tcPr>
          <w:p w14:paraId="2B7854B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199.962</w:t>
            </w:r>
          </w:p>
        </w:tc>
        <w:tc>
          <w:tcPr>
            <w:tcW w:w="960" w:type="dxa"/>
            <w:tcBorders>
              <w:top w:val="nil"/>
              <w:left w:val="nil"/>
              <w:bottom w:val="single" w:sz="4" w:space="0" w:color="auto"/>
              <w:right w:val="single" w:sz="4" w:space="0" w:color="auto"/>
            </w:tcBorders>
            <w:shd w:val="clear" w:color="auto" w:fill="auto"/>
            <w:noWrap/>
            <w:vAlign w:val="bottom"/>
            <w:hideMark/>
          </w:tcPr>
          <w:p w14:paraId="42571B9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118.212</w:t>
            </w:r>
          </w:p>
        </w:tc>
        <w:tc>
          <w:tcPr>
            <w:tcW w:w="1960" w:type="dxa"/>
            <w:tcBorders>
              <w:top w:val="single" w:sz="4" w:space="0" w:color="auto"/>
              <w:left w:val="nil"/>
              <w:bottom w:val="single" w:sz="4" w:space="0" w:color="auto"/>
              <w:right w:val="single" w:sz="4" w:space="0" w:color="auto"/>
            </w:tcBorders>
            <w:shd w:val="clear" w:color="auto" w:fill="auto"/>
            <w:noWrap/>
            <w:vAlign w:val="bottom"/>
            <w:hideMark/>
          </w:tcPr>
          <w:p w14:paraId="22CB5125" w14:textId="77777777" w:rsidR="00007F6C" w:rsidRPr="006A2F6A" w:rsidRDefault="00007F6C" w:rsidP="005E2F1E">
            <w:pPr>
              <w:spacing w:after="0" w:line="240" w:lineRule="auto"/>
              <w:jc w:val="both"/>
              <w:rPr>
                <w:rFonts w:ascii="Calibri" w:eastAsia="Times New Roman" w:hAnsi="Calibri" w:cs="Calibri"/>
                <w:b/>
                <w:bCs/>
                <w:color w:val="000000"/>
                <w:lang w:eastAsia="en-GB"/>
              </w:rPr>
            </w:pPr>
            <w:r w:rsidRPr="006A2F6A">
              <w:rPr>
                <w:rFonts w:ascii="Calibri" w:eastAsia="Times New Roman" w:hAnsi="Calibri" w:cs="Calibri"/>
                <w:b/>
                <w:bCs/>
                <w:color w:val="000000"/>
                <w:lang w:eastAsia="en-GB"/>
              </w:rPr>
              <w:t>Maximum GSV</w:t>
            </w:r>
          </w:p>
        </w:tc>
      </w:tr>
      <w:tr w:rsidR="00007F6C" w:rsidRPr="006A2F6A" w14:paraId="58FEF187"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3F52B3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w:t>
            </w:r>
          </w:p>
        </w:tc>
        <w:tc>
          <w:tcPr>
            <w:tcW w:w="960" w:type="dxa"/>
            <w:tcBorders>
              <w:top w:val="nil"/>
              <w:left w:val="nil"/>
              <w:bottom w:val="single" w:sz="4" w:space="0" w:color="auto"/>
              <w:right w:val="single" w:sz="4" w:space="0" w:color="auto"/>
            </w:tcBorders>
            <w:shd w:val="clear" w:color="auto" w:fill="auto"/>
            <w:noWrap/>
            <w:vAlign w:val="bottom"/>
            <w:hideMark/>
          </w:tcPr>
          <w:p w14:paraId="6F87451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175.423</w:t>
            </w:r>
          </w:p>
        </w:tc>
        <w:tc>
          <w:tcPr>
            <w:tcW w:w="960" w:type="dxa"/>
            <w:tcBorders>
              <w:top w:val="nil"/>
              <w:left w:val="nil"/>
              <w:bottom w:val="single" w:sz="4" w:space="0" w:color="auto"/>
              <w:right w:val="single" w:sz="4" w:space="0" w:color="auto"/>
            </w:tcBorders>
            <w:shd w:val="clear" w:color="auto" w:fill="auto"/>
            <w:noWrap/>
            <w:vAlign w:val="bottom"/>
            <w:hideMark/>
          </w:tcPr>
          <w:p w14:paraId="3371EC4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186.923</w:t>
            </w:r>
          </w:p>
        </w:tc>
        <w:tc>
          <w:tcPr>
            <w:tcW w:w="960" w:type="dxa"/>
            <w:tcBorders>
              <w:top w:val="nil"/>
              <w:left w:val="nil"/>
              <w:bottom w:val="single" w:sz="4" w:space="0" w:color="auto"/>
              <w:right w:val="single" w:sz="4" w:space="0" w:color="auto"/>
            </w:tcBorders>
            <w:shd w:val="clear" w:color="auto" w:fill="auto"/>
            <w:noWrap/>
            <w:vAlign w:val="bottom"/>
            <w:hideMark/>
          </w:tcPr>
          <w:p w14:paraId="34823BB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169.409</w:t>
            </w:r>
          </w:p>
        </w:tc>
        <w:tc>
          <w:tcPr>
            <w:tcW w:w="960" w:type="dxa"/>
            <w:tcBorders>
              <w:top w:val="nil"/>
              <w:left w:val="nil"/>
              <w:bottom w:val="single" w:sz="4" w:space="0" w:color="auto"/>
              <w:right w:val="single" w:sz="4" w:space="0" w:color="auto"/>
            </w:tcBorders>
            <w:shd w:val="clear" w:color="auto" w:fill="auto"/>
            <w:noWrap/>
            <w:vAlign w:val="bottom"/>
            <w:hideMark/>
          </w:tcPr>
          <w:p w14:paraId="033A49E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157.370</w:t>
            </w:r>
          </w:p>
        </w:tc>
        <w:tc>
          <w:tcPr>
            <w:tcW w:w="960" w:type="dxa"/>
            <w:tcBorders>
              <w:top w:val="nil"/>
              <w:left w:val="nil"/>
              <w:bottom w:val="single" w:sz="4" w:space="0" w:color="auto"/>
              <w:right w:val="single" w:sz="4" w:space="0" w:color="auto"/>
            </w:tcBorders>
            <w:shd w:val="clear" w:color="auto" w:fill="auto"/>
            <w:noWrap/>
            <w:vAlign w:val="bottom"/>
            <w:hideMark/>
          </w:tcPr>
          <w:p w14:paraId="6E31FC0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202.813</w:t>
            </w:r>
          </w:p>
        </w:tc>
        <w:tc>
          <w:tcPr>
            <w:tcW w:w="960" w:type="dxa"/>
            <w:tcBorders>
              <w:top w:val="nil"/>
              <w:left w:val="nil"/>
              <w:bottom w:val="single" w:sz="4" w:space="0" w:color="auto"/>
              <w:right w:val="single" w:sz="4" w:space="0" w:color="auto"/>
            </w:tcBorders>
            <w:shd w:val="clear" w:color="auto" w:fill="auto"/>
            <w:noWrap/>
            <w:vAlign w:val="bottom"/>
            <w:hideMark/>
          </w:tcPr>
          <w:p w14:paraId="0E9DB17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122.981</w:t>
            </w:r>
          </w:p>
        </w:tc>
        <w:tc>
          <w:tcPr>
            <w:tcW w:w="1960" w:type="dxa"/>
            <w:tcBorders>
              <w:top w:val="single" w:sz="4" w:space="0" w:color="auto"/>
              <w:left w:val="nil"/>
              <w:bottom w:val="single" w:sz="4" w:space="0" w:color="auto"/>
              <w:right w:val="single" w:sz="4" w:space="0" w:color="auto"/>
            </w:tcBorders>
            <w:shd w:val="clear" w:color="auto" w:fill="auto"/>
            <w:noWrap/>
            <w:vAlign w:val="bottom"/>
            <w:hideMark/>
          </w:tcPr>
          <w:p w14:paraId="52AD2F5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250.75</w:t>
            </w:r>
          </w:p>
        </w:tc>
      </w:tr>
      <w:tr w:rsidR="00007F6C" w:rsidRPr="006A2F6A" w14:paraId="204737A5"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784B3B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3</w:t>
            </w:r>
          </w:p>
        </w:tc>
        <w:tc>
          <w:tcPr>
            <w:tcW w:w="960" w:type="dxa"/>
            <w:tcBorders>
              <w:top w:val="nil"/>
              <w:left w:val="nil"/>
              <w:bottom w:val="single" w:sz="4" w:space="0" w:color="auto"/>
              <w:right w:val="single" w:sz="4" w:space="0" w:color="auto"/>
            </w:tcBorders>
            <w:shd w:val="clear" w:color="auto" w:fill="auto"/>
            <w:noWrap/>
            <w:vAlign w:val="bottom"/>
            <w:hideMark/>
          </w:tcPr>
          <w:p w14:paraId="48EF4DF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179.677</w:t>
            </w:r>
          </w:p>
        </w:tc>
        <w:tc>
          <w:tcPr>
            <w:tcW w:w="960" w:type="dxa"/>
            <w:tcBorders>
              <w:top w:val="nil"/>
              <w:left w:val="nil"/>
              <w:bottom w:val="single" w:sz="4" w:space="0" w:color="auto"/>
              <w:right w:val="single" w:sz="4" w:space="0" w:color="auto"/>
            </w:tcBorders>
            <w:shd w:val="clear" w:color="auto" w:fill="auto"/>
            <w:noWrap/>
            <w:vAlign w:val="bottom"/>
            <w:hideMark/>
          </w:tcPr>
          <w:p w14:paraId="1F8FF34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189.843</w:t>
            </w:r>
          </w:p>
        </w:tc>
        <w:tc>
          <w:tcPr>
            <w:tcW w:w="960" w:type="dxa"/>
            <w:tcBorders>
              <w:top w:val="nil"/>
              <w:left w:val="nil"/>
              <w:bottom w:val="single" w:sz="4" w:space="0" w:color="auto"/>
              <w:right w:val="single" w:sz="4" w:space="0" w:color="auto"/>
            </w:tcBorders>
            <w:shd w:val="clear" w:color="auto" w:fill="auto"/>
            <w:noWrap/>
            <w:vAlign w:val="bottom"/>
            <w:hideMark/>
          </w:tcPr>
          <w:p w14:paraId="7075854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170.781</w:t>
            </w:r>
          </w:p>
        </w:tc>
        <w:tc>
          <w:tcPr>
            <w:tcW w:w="960" w:type="dxa"/>
            <w:tcBorders>
              <w:top w:val="nil"/>
              <w:left w:val="nil"/>
              <w:bottom w:val="single" w:sz="4" w:space="0" w:color="auto"/>
              <w:right w:val="single" w:sz="4" w:space="0" w:color="auto"/>
            </w:tcBorders>
            <w:shd w:val="clear" w:color="auto" w:fill="auto"/>
            <w:noWrap/>
            <w:vAlign w:val="bottom"/>
            <w:hideMark/>
          </w:tcPr>
          <w:p w14:paraId="6786A00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164.352</w:t>
            </w:r>
          </w:p>
        </w:tc>
        <w:tc>
          <w:tcPr>
            <w:tcW w:w="960" w:type="dxa"/>
            <w:tcBorders>
              <w:top w:val="nil"/>
              <w:left w:val="nil"/>
              <w:bottom w:val="single" w:sz="4" w:space="0" w:color="auto"/>
              <w:right w:val="single" w:sz="4" w:space="0" w:color="auto"/>
            </w:tcBorders>
            <w:shd w:val="clear" w:color="auto" w:fill="auto"/>
            <w:noWrap/>
            <w:vAlign w:val="bottom"/>
            <w:hideMark/>
          </w:tcPr>
          <w:p w14:paraId="32B5FF0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206.179</w:t>
            </w:r>
          </w:p>
        </w:tc>
        <w:tc>
          <w:tcPr>
            <w:tcW w:w="960" w:type="dxa"/>
            <w:tcBorders>
              <w:top w:val="nil"/>
              <w:left w:val="nil"/>
              <w:bottom w:val="single" w:sz="4" w:space="0" w:color="auto"/>
              <w:right w:val="single" w:sz="4" w:space="0" w:color="auto"/>
            </w:tcBorders>
            <w:shd w:val="clear" w:color="auto" w:fill="auto"/>
            <w:noWrap/>
            <w:vAlign w:val="bottom"/>
            <w:hideMark/>
          </w:tcPr>
          <w:p w14:paraId="0B05FBF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128.266</w:t>
            </w:r>
          </w:p>
        </w:tc>
        <w:tc>
          <w:tcPr>
            <w:tcW w:w="1960" w:type="dxa"/>
            <w:tcBorders>
              <w:top w:val="single" w:sz="4" w:space="0" w:color="auto"/>
              <w:left w:val="nil"/>
              <w:bottom w:val="single" w:sz="4" w:space="0" w:color="auto"/>
              <w:right w:val="single" w:sz="4" w:space="0" w:color="auto"/>
            </w:tcBorders>
            <w:shd w:val="clear" w:color="auto" w:fill="auto"/>
            <w:noWrap/>
            <w:vAlign w:val="bottom"/>
            <w:hideMark/>
          </w:tcPr>
          <w:p w14:paraId="7F9F6088" w14:textId="77777777" w:rsidR="00007F6C" w:rsidRPr="006A2F6A" w:rsidRDefault="00007F6C" w:rsidP="005E2F1E">
            <w:pPr>
              <w:spacing w:after="0" w:line="240" w:lineRule="auto"/>
              <w:jc w:val="both"/>
              <w:rPr>
                <w:rFonts w:ascii="Calibri" w:eastAsia="Times New Roman" w:hAnsi="Calibri" w:cs="Calibri"/>
                <w:b/>
                <w:bCs/>
                <w:color w:val="000000"/>
                <w:lang w:eastAsia="en-GB"/>
              </w:rPr>
            </w:pPr>
            <w:r w:rsidRPr="006A2F6A">
              <w:rPr>
                <w:rFonts w:ascii="Calibri" w:eastAsia="Times New Roman" w:hAnsi="Calibri" w:cs="Calibri"/>
                <w:b/>
                <w:bCs/>
                <w:color w:val="000000"/>
                <w:lang w:eastAsia="en-GB"/>
              </w:rPr>
              <w:t>Average GSV</w:t>
            </w:r>
          </w:p>
        </w:tc>
      </w:tr>
      <w:tr w:rsidR="00007F6C" w:rsidRPr="006A2F6A" w14:paraId="5A80D11E"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72E80B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4</w:t>
            </w:r>
          </w:p>
        </w:tc>
        <w:tc>
          <w:tcPr>
            <w:tcW w:w="960" w:type="dxa"/>
            <w:tcBorders>
              <w:top w:val="nil"/>
              <w:left w:val="nil"/>
              <w:bottom w:val="single" w:sz="4" w:space="0" w:color="auto"/>
              <w:right w:val="single" w:sz="4" w:space="0" w:color="auto"/>
            </w:tcBorders>
            <w:shd w:val="clear" w:color="auto" w:fill="auto"/>
            <w:noWrap/>
            <w:vAlign w:val="bottom"/>
            <w:hideMark/>
          </w:tcPr>
          <w:p w14:paraId="7E0BF8A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184.404</w:t>
            </w:r>
          </w:p>
        </w:tc>
        <w:tc>
          <w:tcPr>
            <w:tcW w:w="960" w:type="dxa"/>
            <w:tcBorders>
              <w:top w:val="nil"/>
              <w:left w:val="nil"/>
              <w:bottom w:val="single" w:sz="4" w:space="0" w:color="auto"/>
              <w:right w:val="single" w:sz="4" w:space="0" w:color="auto"/>
            </w:tcBorders>
            <w:shd w:val="clear" w:color="auto" w:fill="auto"/>
            <w:noWrap/>
            <w:vAlign w:val="bottom"/>
            <w:hideMark/>
          </w:tcPr>
          <w:p w14:paraId="2C4E8C7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192.615</w:t>
            </w:r>
          </w:p>
        </w:tc>
        <w:tc>
          <w:tcPr>
            <w:tcW w:w="960" w:type="dxa"/>
            <w:tcBorders>
              <w:top w:val="nil"/>
              <w:left w:val="nil"/>
              <w:bottom w:val="single" w:sz="4" w:space="0" w:color="auto"/>
              <w:right w:val="single" w:sz="4" w:space="0" w:color="auto"/>
            </w:tcBorders>
            <w:shd w:val="clear" w:color="auto" w:fill="auto"/>
            <w:noWrap/>
            <w:vAlign w:val="bottom"/>
            <w:hideMark/>
          </w:tcPr>
          <w:p w14:paraId="5C6F5F7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172.219</w:t>
            </w:r>
          </w:p>
        </w:tc>
        <w:tc>
          <w:tcPr>
            <w:tcW w:w="960" w:type="dxa"/>
            <w:tcBorders>
              <w:top w:val="nil"/>
              <w:left w:val="nil"/>
              <w:bottom w:val="single" w:sz="4" w:space="0" w:color="auto"/>
              <w:right w:val="single" w:sz="4" w:space="0" w:color="auto"/>
            </w:tcBorders>
            <w:shd w:val="clear" w:color="auto" w:fill="auto"/>
            <w:noWrap/>
            <w:vAlign w:val="bottom"/>
            <w:hideMark/>
          </w:tcPr>
          <w:p w14:paraId="37AE0E7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171.462</w:t>
            </w:r>
          </w:p>
        </w:tc>
        <w:tc>
          <w:tcPr>
            <w:tcW w:w="960" w:type="dxa"/>
            <w:tcBorders>
              <w:top w:val="nil"/>
              <w:left w:val="nil"/>
              <w:bottom w:val="single" w:sz="4" w:space="0" w:color="auto"/>
              <w:right w:val="single" w:sz="4" w:space="0" w:color="auto"/>
            </w:tcBorders>
            <w:shd w:val="clear" w:color="auto" w:fill="auto"/>
            <w:noWrap/>
            <w:vAlign w:val="bottom"/>
            <w:hideMark/>
          </w:tcPr>
          <w:p w14:paraId="2B6E4BA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209.846</w:t>
            </w:r>
          </w:p>
        </w:tc>
        <w:tc>
          <w:tcPr>
            <w:tcW w:w="960" w:type="dxa"/>
            <w:tcBorders>
              <w:top w:val="nil"/>
              <w:left w:val="nil"/>
              <w:bottom w:val="single" w:sz="4" w:space="0" w:color="auto"/>
              <w:right w:val="single" w:sz="4" w:space="0" w:color="auto"/>
            </w:tcBorders>
            <w:shd w:val="clear" w:color="auto" w:fill="auto"/>
            <w:noWrap/>
            <w:vAlign w:val="bottom"/>
            <w:hideMark/>
          </w:tcPr>
          <w:p w14:paraId="4158ACF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134.808</w:t>
            </w:r>
          </w:p>
        </w:tc>
        <w:tc>
          <w:tcPr>
            <w:tcW w:w="1960" w:type="dxa"/>
            <w:tcBorders>
              <w:top w:val="single" w:sz="4" w:space="0" w:color="auto"/>
              <w:left w:val="nil"/>
              <w:bottom w:val="single" w:sz="4" w:space="0" w:color="auto"/>
              <w:right w:val="single" w:sz="4" w:space="0" w:color="auto"/>
            </w:tcBorders>
            <w:shd w:val="clear" w:color="auto" w:fill="auto"/>
            <w:noWrap/>
            <w:vAlign w:val="bottom"/>
            <w:hideMark/>
          </w:tcPr>
          <w:p w14:paraId="01EF75A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197.76</w:t>
            </w:r>
          </w:p>
        </w:tc>
      </w:tr>
      <w:tr w:rsidR="00007F6C" w:rsidRPr="006A2F6A" w14:paraId="7BD8C251"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AE3631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5</w:t>
            </w:r>
          </w:p>
        </w:tc>
        <w:tc>
          <w:tcPr>
            <w:tcW w:w="960" w:type="dxa"/>
            <w:tcBorders>
              <w:top w:val="nil"/>
              <w:left w:val="nil"/>
              <w:bottom w:val="single" w:sz="4" w:space="0" w:color="auto"/>
              <w:right w:val="single" w:sz="4" w:space="0" w:color="auto"/>
            </w:tcBorders>
            <w:shd w:val="clear" w:color="auto" w:fill="auto"/>
            <w:noWrap/>
            <w:vAlign w:val="bottom"/>
            <w:hideMark/>
          </w:tcPr>
          <w:p w14:paraId="205E19A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189.071</w:t>
            </w:r>
          </w:p>
        </w:tc>
        <w:tc>
          <w:tcPr>
            <w:tcW w:w="960" w:type="dxa"/>
            <w:tcBorders>
              <w:top w:val="nil"/>
              <w:left w:val="nil"/>
              <w:bottom w:val="single" w:sz="4" w:space="0" w:color="auto"/>
              <w:right w:val="single" w:sz="4" w:space="0" w:color="auto"/>
            </w:tcBorders>
            <w:shd w:val="clear" w:color="auto" w:fill="auto"/>
            <w:noWrap/>
            <w:vAlign w:val="bottom"/>
            <w:hideMark/>
          </w:tcPr>
          <w:p w14:paraId="550A74B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193.881</w:t>
            </w:r>
          </w:p>
        </w:tc>
        <w:tc>
          <w:tcPr>
            <w:tcW w:w="960" w:type="dxa"/>
            <w:tcBorders>
              <w:top w:val="nil"/>
              <w:left w:val="nil"/>
              <w:bottom w:val="single" w:sz="4" w:space="0" w:color="auto"/>
              <w:right w:val="single" w:sz="4" w:space="0" w:color="auto"/>
            </w:tcBorders>
            <w:shd w:val="clear" w:color="auto" w:fill="auto"/>
            <w:noWrap/>
            <w:vAlign w:val="bottom"/>
            <w:hideMark/>
          </w:tcPr>
          <w:p w14:paraId="0D2C0C3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173.914</w:t>
            </w:r>
          </w:p>
        </w:tc>
        <w:tc>
          <w:tcPr>
            <w:tcW w:w="960" w:type="dxa"/>
            <w:tcBorders>
              <w:top w:val="nil"/>
              <w:left w:val="nil"/>
              <w:bottom w:val="single" w:sz="4" w:space="0" w:color="auto"/>
              <w:right w:val="single" w:sz="4" w:space="0" w:color="auto"/>
            </w:tcBorders>
            <w:shd w:val="clear" w:color="auto" w:fill="auto"/>
            <w:noWrap/>
            <w:vAlign w:val="bottom"/>
            <w:hideMark/>
          </w:tcPr>
          <w:p w14:paraId="6DDD3FE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177.189</w:t>
            </w:r>
          </w:p>
        </w:tc>
        <w:tc>
          <w:tcPr>
            <w:tcW w:w="960" w:type="dxa"/>
            <w:tcBorders>
              <w:top w:val="nil"/>
              <w:left w:val="nil"/>
              <w:bottom w:val="single" w:sz="4" w:space="0" w:color="auto"/>
              <w:right w:val="single" w:sz="4" w:space="0" w:color="auto"/>
            </w:tcBorders>
            <w:shd w:val="clear" w:color="auto" w:fill="auto"/>
            <w:noWrap/>
            <w:vAlign w:val="bottom"/>
            <w:hideMark/>
          </w:tcPr>
          <w:p w14:paraId="5BE90A9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212.795</w:t>
            </w:r>
          </w:p>
        </w:tc>
        <w:tc>
          <w:tcPr>
            <w:tcW w:w="960" w:type="dxa"/>
            <w:tcBorders>
              <w:top w:val="nil"/>
              <w:left w:val="nil"/>
              <w:bottom w:val="single" w:sz="4" w:space="0" w:color="auto"/>
              <w:right w:val="single" w:sz="4" w:space="0" w:color="auto"/>
            </w:tcBorders>
            <w:shd w:val="clear" w:color="auto" w:fill="auto"/>
            <w:noWrap/>
            <w:vAlign w:val="bottom"/>
            <w:hideMark/>
          </w:tcPr>
          <w:p w14:paraId="1647E09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143.680</w:t>
            </w:r>
          </w:p>
        </w:tc>
        <w:tc>
          <w:tcPr>
            <w:tcW w:w="1960" w:type="dxa"/>
            <w:tcBorders>
              <w:top w:val="single" w:sz="4" w:space="0" w:color="auto"/>
              <w:left w:val="nil"/>
              <w:bottom w:val="single" w:sz="4" w:space="0" w:color="auto"/>
              <w:right w:val="single" w:sz="4" w:space="0" w:color="auto"/>
            </w:tcBorders>
            <w:shd w:val="clear" w:color="auto" w:fill="auto"/>
            <w:noWrap/>
            <w:vAlign w:val="bottom"/>
            <w:hideMark/>
          </w:tcPr>
          <w:p w14:paraId="5E80520E" w14:textId="77777777" w:rsidR="00007F6C" w:rsidRPr="006A2F6A" w:rsidRDefault="00007F6C" w:rsidP="005E2F1E">
            <w:pPr>
              <w:spacing w:after="0" w:line="240" w:lineRule="auto"/>
              <w:jc w:val="both"/>
              <w:rPr>
                <w:rFonts w:ascii="Calibri" w:eastAsia="Times New Roman" w:hAnsi="Calibri" w:cs="Calibri"/>
                <w:b/>
                <w:bCs/>
                <w:color w:val="000000"/>
                <w:sz w:val="20"/>
                <w:szCs w:val="20"/>
                <w:lang w:eastAsia="en-GB"/>
              </w:rPr>
            </w:pPr>
            <w:r w:rsidRPr="006A2F6A">
              <w:rPr>
                <w:rFonts w:ascii="Calibri" w:eastAsia="Times New Roman" w:hAnsi="Calibri" w:cs="Calibri"/>
                <w:b/>
                <w:bCs/>
                <w:color w:val="000000"/>
                <w:sz w:val="20"/>
                <w:szCs w:val="20"/>
                <w:lang w:eastAsia="en-GB"/>
              </w:rPr>
              <w:t>Standard Deviation</w:t>
            </w:r>
          </w:p>
        </w:tc>
      </w:tr>
      <w:tr w:rsidR="00007F6C" w:rsidRPr="006A2F6A" w14:paraId="17FF288D"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5A3987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6</w:t>
            </w:r>
          </w:p>
        </w:tc>
        <w:tc>
          <w:tcPr>
            <w:tcW w:w="960" w:type="dxa"/>
            <w:tcBorders>
              <w:top w:val="nil"/>
              <w:left w:val="nil"/>
              <w:bottom w:val="single" w:sz="4" w:space="0" w:color="auto"/>
              <w:right w:val="single" w:sz="4" w:space="0" w:color="auto"/>
            </w:tcBorders>
            <w:shd w:val="clear" w:color="auto" w:fill="auto"/>
            <w:noWrap/>
            <w:vAlign w:val="bottom"/>
            <w:hideMark/>
          </w:tcPr>
          <w:p w14:paraId="301CA43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192.091</w:t>
            </w:r>
          </w:p>
        </w:tc>
        <w:tc>
          <w:tcPr>
            <w:tcW w:w="960" w:type="dxa"/>
            <w:tcBorders>
              <w:top w:val="nil"/>
              <w:left w:val="nil"/>
              <w:bottom w:val="single" w:sz="4" w:space="0" w:color="auto"/>
              <w:right w:val="single" w:sz="4" w:space="0" w:color="auto"/>
            </w:tcBorders>
            <w:shd w:val="clear" w:color="auto" w:fill="auto"/>
            <w:noWrap/>
            <w:vAlign w:val="bottom"/>
            <w:hideMark/>
          </w:tcPr>
          <w:p w14:paraId="55D5629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194.000</w:t>
            </w:r>
          </w:p>
        </w:tc>
        <w:tc>
          <w:tcPr>
            <w:tcW w:w="960" w:type="dxa"/>
            <w:tcBorders>
              <w:top w:val="nil"/>
              <w:left w:val="nil"/>
              <w:bottom w:val="single" w:sz="4" w:space="0" w:color="auto"/>
              <w:right w:val="single" w:sz="4" w:space="0" w:color="auto"/>
            </w:tcBorders>
            <w:shd w:val="clear" w:color="auto" w:fill="auto"/>
            <w:noWrap/>
            <w:vAlign w:val="bottom"/>
            <w:hideMark/>
          </w:tcPr>
          <w:p w14:paraId="76334D8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175.741</w:t>
            </w:r>
          </w:p>
        </w:tc>
        <w:tc>
          <w:tcPr>
            <w:tcW w:w="960" w:type="dxa"/>
            <w:tcBorders>
              <w:top w:val="nil"/>
              <w:left w:val="nil"/>
              <w:bottom w:val="single" w:sz="4" w:space="0" w:color="auto"/>
              <w:right w:val="single" w:sz="4" w:space="0" w:color="auto"/>
            </w:tcBorders>
            <w:shd w:val="clear" w:color="auto" w:fill="auto"/>
            <w:noWrap/>
            <w:vAlign w:val="bottom"/>
            <w:hideMark/>
          </w:tcPr>
          <w:p w14:paraId="29325A1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184.115</w:t>
            </w:r>
          </w:p>
        </w:tc>
        <w:tc>
          <w:tcPr>
            <w:tcW w:w="960" w:type="dxa"/>
            <w:tcBorders>
              <w:top w:val="nil"/>
              <w:left w:val="nil"/>
              <w:bottom w:val="single" w:sz="4" w:space="0" w:color="auto"/>
              <w:right w:val="single" w:sz="4" w:space="0" w:color="auto"/>
            </w:tcBorders>
            <w:shd w:val="clear" w:color="auto" w:fill="auto"/>
            <w:noWrap/>
            <w:vAlign w:val="bottom"/>
            <w:hideMark/>
          </w:tcPr>
          <w:p w14:paraId="0BB6C54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216.106</w:t>
            </w:r>
          </w:p>
        </w:tc>
        <w:tc>
          <w:tcPr>
            <w:tcW w:w="960" w:type="dxa"/>
            <w:tcBorders>
              <w:top w:val="nil"/>
              <w:left w:val="nil"/>
              <w:bottom w:val="single" w:sz="4" w:space="0" w:color="auto"/>
              <w:right w:val="single" w:sz="4" w:space="0" w:color="auto"/>
            </w:tcBorders>
            <w:shd w:val="clear" w:color="auto" w:fill="auto"/>
            <w:noWrap/>
            <w:vAlign w:val="bottom"/>
            <w:hideMark/>
          </w:tcPr>
          <w:p w14:paraId="7DB9F81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152.216</w:t>
            </w:r>
          </w:p>
        </w:tc>
        <w:tc>
          <w:tcPr>
            <w:tcW w:w="1960" w:type="dxa"/>
            <w:tcBorders>
              <w:top w:val="single" w:sz="4" w:space="0" w:color="auto"/>
              <w:left w:val="nil"/>
              <w:bottom w:val="single" w:sz="4" w:space="0" w:color="auto"/>
              <w:right w:val="single" w:sz="4" w:space="0" w:color="auto"/>
            </w:tcBorders>
            <w:shd w:val="clear" w:color="auto" w:fill="auto"/>
            <w:noWrap/>
            <w:vAlign w:val="bottom"/>
            <w:hideMark/>
          </w:tcPr>
          <w:p w14:paraId="6270AF3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40.87</w:t>
            </w:r>
          </w:p>
        </w:tc>
      </w:tr>
      <w:tr w:rsidR="00007F6C" w:rsidRPr="006A2F6A" w14:paraId="5C20B307"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2C372F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7</w:t>
            </w:r>
          </w:p>
        </w:tc>
        <w:tc>
          <w:tcPr>
            <w:tcW w:w="960" w:type="dxa"/>
            <w:tcBorders>
              <w:top w:val="nil"/>
              <w:left w:val="nil"/>
              <w:bottom w:val="single" w:sz="4" w:space="0" w:color="auto"/>
              <w:right w:val="single" w:sz="4" w:space="0" w:color="auto"/>
            </w:tcBorders>
            <w:shd w:val="clear" w:color="auto" w:fill="auto"/>
            <w:noWrap/>
            <w:vAlign w:val="bottom"/>
            <w:hideMark/>
          </w:tcPr>
          <w:p w14:paraId="0F1DCA4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194.690</w:t>
            </w:r>
          </w:p>
        </w:tc>
        <w:tc>
          <w:tcPr>
            <w:tcW w:w="960" w:type="dxa"/>
            <w:tcBorders>
              <w:top w:val="nil"/>
              <w:left w:val="nil"/>
              <w:bottom w:val="single" w:sz="4" w:space="0" w:color="auto"/>
              <w:right w:val="single" w:sz="4" w:space="0" w:color="auto"/>
            </w:tcBorders>
            <w:shd w:val="clear" w:color="auto" w:fill="auto"/>
            <w:noWrap/>
            <w:vAlign w:val="bottom"/>
            <w:hideMark/>
          </w:tcPr>
          <w:p w14:paraId="04E655F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194.000</w:t>
            </w:r>
          </w:p>
        </w:tc>
        <w:tc>
          <w:tcPr>
            <w:tcW w:w="960" w:type="dxa"/>
            <w:tcBorders>
              <w:top w:val="nil"/>
              <w:left w:val="nil"/>
              <w:bottom w:val="single" w:sz="4" w:space="0" w:color="auto"/>
              <w:right w:val="single" w:sz="4" w:space="0" w:color="auto"/>
            </w:tcBorders>
            <w:shd w:val="clear" w:color="auto" w:fill="auto"/>
            <w:noWrap/>
            <w:vAlign w:val="bottom"/>
            <w:hideMark/>
          </w:tcPr>
          <w:p w14:paraId="137BEF5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177.942</w:t>
            </w:r>
          </w:p>
        </w:tc>
        <w:tc>
          <w:tcPr>
            <w:tcW w:w="960" w:type="dxa"/>
            <w:tcBorders>
              <w:top w:val="nil"/>
              <w:left w:val="nil"/>
              <w:bottom w:val="single" w:sz="4" w:space="0" w:color="auto"/>
              <w:right w:val="single" w:sz="4" w:space="0" w:color="auto"/>
            </w:tcBorders>
            <w:shd w:val="clear" w:color="auto" w:fill="auto"/>
            <w:noWrap/>
            <w:vAlign w:val="bottom"/>
            <w:hideMark/>
          </w:tcPr>
          <w:p w14:paraId="1498DE6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189.183</w:t>
            </w:r>
          </w:p>
        </w:tc>
        <w:tc>
          <w:tcPr>
            <w:tcW w:w="960" w:type="dxa"/>
            <w:tcBorders>
              <w:top w:val="nil"/>
              <w:left w:val="nil"/>
              <w:bottom w:val="single" w:sz="4" w:space="0" w:color="auto"/>
              <w:right w:val="single" w:sz="4" w:space="0" w:color="auto"/>
            </w:tcBorders>
            <w:shd w:val="clear" w:color="auto" w:fill="auto"/>
            <w:noWrap/>
            <w:vAlign w:val="bottom"/>
            <w:hideMark/>
          </w:tcPr>
          <w:p w14:paraId="4799D9E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216.702</w:t>
            </w:r>
          </w:p>
        </w:tc>
        <w:tc>
          <w:tcPr>
            <w:tcW w:w="960" w:type="dxa"/>
            <w:tcBorders>
              <w:top w:val="nil"/>
              <w:left w:val="nil"/>
              <w:bottom w:val="single" w:sz="4" w:space="0" w:color="auto"/>
              <w:right w:val="single" w:sz="4" w:space="0" w:color="auto"/>
            </w:tcBorders>
            <w:shd w:val="clear" w:color="auto" w:fill="auto"/>
            <w:noWrap/>
            <w:vAlign w:val="bottom"/>
            <w:hideMark/>
          </w:tcPr>
          <w:p w14:paraId="744A739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161.208</w:t>
            </w:r>
          </w:p>
        </w:tc>
        <w:tc>
          <w:tcPr>
            <w:tcW w:w="1960" w:type="dxa"/>
            <w:tcBorders>
              <w:top w:val="single" w:sz="4" w:space="0" w:color="auto"/>
              <w:left w:val="nil"/>
              <w:bottom w:val="nil"/>
              <w:right w:val="nil"/>
            </w:tcBorders>
            <w:shd w:val="clear" w:color="auto" w:fill="auto"/>
            <w:noWrap/>
            <w:vAlign w:val="bottom"/>
            <w:hideMark/>
          </w:tcPr>
          <w:p w14:paraId="6741A340"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571D2790"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D80F92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lastRenderedPageBreak/>
              <w:t>8</w:t>
            </w:r>
          </w:p>
        </w:tc>
        <w:tc>
          <w:tcPr>
            <w:tcW w:w="960" w:type="dxa"/>
            <w:tcBorders>
              <w:top w:val="nil"/>
              <w:left w:val="nil"/>
              <w:bottom w:val="single" w:sz="4" w:space="0" w:color="auto"/>
              <w:right w:val="single" w:sz="4" w:space="0" w:color="auto"/>
            </w:tcBorders>
            <w:shd w:val="clear" w:color="auto" w:fill="auto"/>
            <w:noWrap/>
            <w:vAlign w:val="bottom"/>
            <w:hideMark/>
          </w:tcPr>
          <w:p w14:paraId="07E2E5F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196.231</w:t>
            </w:r>
          </w:p>
        </w:tc>
        <w:tc>
          <w:tcPr>
            <w:tcW w:w="960" w:type="dxa"/>
            <w:tcBorders>
              <w:top w:val="nil"/>
              <w:left w:val="nil"/>
              <w:bottom w:val="single" w:sz="4" w:space="0" w:color="auto"/>
              <w:right w:val="single" w:sz="4" w:space="0" w:color="auto"/>
            </w:tcBorders>
            <w:shd w:val="clear" w:color="auto" w:fill="auto"/>
            <w:noWrap/>
            <w:vAlign w:val="bottom"/>
            <w:hideMark/>
          </w:tcPr>
          <w:p w14:paraId="269D39B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194.000</w:t>
            </w:r>
          </w:p>
        </w:tc>
        <w:tc>
          <w:tcPr>
            <w:tcW w:w="960" w:type="dxa"/>
            <w:tcBorders>
              <w:top w:val="nil"/>
              <w:left w:val="nil"/>
              <w:bottom w:val="single" w:sz="4" w:space="0" w:color="auto"/>
              <w:right w:val="single" w:sz="4" w:space="0" w:color="auto"/>
            </w:tcBorders>
            <w:shd w:val="clear" w:color="auto" w:fill="auto"/>
            <w:noWrap/>
            <w:vAlign w:val="bottom"/>
            <w:hideMark/>
          </w:tcPr>
          <w:p w14:paraId="78BC7E3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180.490</w:t>
            </w:r>
          </w:p>
        </w:tc>
        <w:tc>
          <w:tcPr>
            <w:tcW w:w="960" w:type="dxa"/>
            <w:tcBorders>
              <w:top w:val="nil"/>
              <w:left w:val="nil"/>
              <w:bottom w:val="single" w:sz="4" w:space="0" w:color="auto"/>
              <w:right w:val="single" w:sz="4" w:space="0" w:color="auto"/>
            </w:tcBorders>
            <w:shd w:val="clear" w:color="auto" w:fill="auto"/>
            <w:noWrap/>
            <w:vAlign w:val="bottom"/>
            <w:hideMark/>
          </w:tcPr>
          <w:p w14:paraId="7243088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192.923</w:t>
            </w:r>
          </w:p>
        </w:tc>
        <w:tc>
          <w:tcPr>
            <w:tcW w:w="960" w:type="dxa"/>
            <w:tcBorders>
              <w:top w:val="nil"/>
              <w:left w:val="nil"/>
              <w:bottom w:val="single" w:sz="4" w:space="0" w:color="auto"/>
              <w:right w:val="single" w:sz="4" w:space="0" w:color="auto"/>
            </w:tcBorders>
            <w:shd w:val="clear" w:color="auto" w:fill="auto"/>
            <w:noWrap/>
            <w:vAlign w:val="bottom"/>
            <w:hideMark/>
          </w:tcPr>
          <w:p w14:paraId="10AB095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215.769</w:t>
            </w:r>
          </w:p>
        </w:tc>
        <w:tc>
          <w:tcPr>
            <w:tcW w:w="960" w:type="dxa"/>
            <w:tcBorders>
              <w:top w:val="nil"/>
              <w:left w:val="nil"/>
              <w:bottom w:val="single" w:sz="4" w:space="0" w:color="auto"/>
              <w:right w:val="single" w:sz="4" w:space="0" w:color="auto"/>
            </w:tcBorders>
            <w:shd w:val="clear" w:color="auto" w:fill="auto"/>
            <w:noWrap/>
            <w:vAlign w:val="bottom"/>
            <w:hideMark/>
          </w:tcPr>
          <w:p w14:paraId="0C91666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170.846</w:t>
            </w:r>
          </w:p>
        </w:tc>
        <w:tc>
          <w:tcPr>
            <w:tcW w:w="1960" w:type="dxa"/>
            <w:tcBorders>
              <w:top w:val="nil"/>
              <w:left w:val="nil"/>
              <w:bottom w:val="nil"/>
              <w:right w:val="nil"/>
            </w:tcBorders>
            <w:shd w:val="clear" w:color="auto" w:fill="auto"/>
            <w:noWrap/>
            <w:vAlign w:val="bottom"/>
            <w:hideMark/>
          </w:tcPr>
          <w:p w14:paraId="41117E0A"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08B3CE1B"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483A8A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9</w:t>
            </w:r>
          </w:p>
        </w:tc>
        <w:tc>
          <w:tcPr>
            <w:tcW w:w="960" w:type="dxa"/>
            <w:tcBorders>
              <w:top w:val="nil"/>
              <w:left w:val="nil"/>
              <w:bottom w:val="single" w:sz="4" w:space="0" w:color="auto"/>
              <w:right w:val="single" w:sz="4" w:space="0" w:color="auto"/>
            </w:tcBorders>
            <w:shd w:val="clear" w:color="auto" w:fill="auto"/>
            <w:noWrap/>
            <w:vAlign w:val="bottom"/>
            <w:hideMark/>
          </w:tcPr>
          <w:p w14:paraId="19EA441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197.637</w:t>
            </w:r>
          </w:p>
        </w:tc>
        <w:tc>
          <w:tcPr>
            <w:tcW w:w="960" w:type="dxa"/>
            <w:tcBorders>
              <w:top w:val="nil"/>
              <w:left w:val="nil"/>
              <w:bottom w:val="single" w:sz="4" w:space="0" w:color="auto"/>
              <w:right w:val="single" w:sz="4" w:space="0" w:color="auto"/>
            </w:tcBorders>
            <w:shd w:val="clear" w:color="auto" w:fill="auto"/>
            <w:noWrap/>
            <w:vAlign w:val="bottom"/>
            <w:hideMark/>
          </w:tcPr>
          <w:p w14:paraId="4B4236D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195.250</w:t>
            </w:r>
          </w:p>
        </w:tc>
        <w:tc>
          <w:tcPr>
            <w:tcW w:w="960" w:type="dxa"/>
            <w:tcBorders>
              <w:top w:val="nil"/>
              <w:left w:val="nil"/>
              <w:bottom w:val="single" w:sz="4" w:space="0" w:color="auto"/>
              <w:right w:val="single" w:sz="4" w:space="0" w:color="auto"/>
            </w:tcBorders>
            <w:shd w:val="clear" w:color="auto" w:fill="auto"/>
            <w:noWrap/>
            <w:vAlign w:val="bottom"/>
            <w:hideMark/>
          </w:tcPr>
          <w:p w14:paraId="463F8B5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183.945</w:t>
            </w:r>
          </w:p>
        </w:tc>
        <w:tc>
          <w:tcPr>
            <w:tcW w:w="960" w:type="dxa"/>
            <w:tcBorders>
              <w:top w:val="nil"/>
              <w:left w:val="nil"/>
              <w:bottom w:val="single" w:sz="4" w:space="0" w:color="auto"/>
              <w:right w:val="single" w:sz="4" w:space="0" w:color="auto"/>
            </w:tcBorders>
            <w:shd w:val="clear" w:color="auto" w:fill="auto"/>
            <w:noWrap/>
            <w:vAlign w:val="bottom"/>
            <w:hideMark/>
          </w:tcPr>
          <w:p w14:paraId="0ED12DE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194.801</w:t>
            </w:r>
          </w:p>
        </w:tc>
        <w:tc>
          <w:tcPr>
            <w:tcW w:w="960" w:type="dxa"/>
            <w:tcBorders>
              <w:top w:val="nil"/>
              <w:left w:val="nil"/>
              <w:bottom w:val="single" w:sz="4" w:space="0" w:color="auto"/>
              <w:right w:val="single" w:sz="4" w:space="0" w:color="auto"/>
            </w:tcBorders>
            <w:shd w:val="clear" w:color="auto" w:fill="auto"/>
            <w:noWrap/>
            <w:vAlign w:val="bottom"/>
            <w:hideMark/>
          </w:tcPr>
          <w:p w14:paraId="09DB7BB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213.740</w:t>
            </w:r>
          </w:p>
        </w:tc>
        <w:tc>
          <w:tcPr>
            <w:tcW w:w="960" w:type="dxa"/>
            <w:tcBorders>
              <w:top w:val="nil"/>
              <w:left w:val="nil"/>
              <w:bottom w:val="single" w:sz="4" w:space="0" w:color="auto"/>
              <w:right w:val="single" w:sz="4" w:space="0" w:color="auto"/>
            </w:tcBorders>
            <w:shd w:val="clear" w:color="auto" w:fill="auto"/>
            <w:noWrap/>
            <w:vAlign w:val="bottom"/>
            <w:hideMark/>
          </w:tcPr>
          <w:p w14:paraId="44270D0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179.577</w:t>
            </w:r>
          </w:p>
        </w:tc>
        <w:tc>
          <w:tcPr>
            <w:tcW w:w="1960" w:type="dxa"/>
            <w:tcBorders>
              <w:top w:val="nil"/>
              <w:left w:val="nil"/>
              <w:bottom w:val="nil"/>
              <w:right w:val="nil"/>
            </w:tcBorders>
            <w:shd w:val="clear" w:color="auto" w:fill="auto"/>
            <w:noWrap/>
            <w:vAlign w:val="bottom"/>
            <w:hideMark/>
          </w:tcPr>
          <w:p w14:paraId="292B99B0"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34C34391"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4F69B2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10</w:t>
            </w:r>
          </w:p>
        </w:tc>
        <w:tc>
          <w:tcPr>
            <w:tcW w:w="960" w:type="dxa"/>
            <w:tcBorders>
              <w:top w:val="nil"/>
              <w:left w:val="nil"/>
              <w:bottom w:val="single" w:sz="4" w:space="0" w:color="auto"/>
              <w:right w:val="single" w:sz="4" w:space="0" w:color="auto"/>
            </w:tcBorders>
            <w:shd w:val="clear" w:color="auto" w:fill="auto"/>
            <w:noWrap/>
            <w:vAlign w:val="bottom"/>
            <w:hideMark/>
          </w:tcPr>
          <w:p w14:paraId="33AA191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200.077</w:t>
            </w:r>
          </w:p>
        </w:tc>
        <w:tc>
          <w:tcPr>
            <w:tcW w:w="960" w:type="dxa"/>
            <w:tcBorders>
              <w:top w:val="nil"/>
              <w:left w:val="nil"/>
              <w:bottom w:val="single" w:sz="4" w:space="0" w:color="auto"/>
              <w:right w:val="single" w:sz="4" w:space="0" w:color="auto"/>
            </w:tcBorders>
            <w:shd w:val="clear" w:color="auto" w:fill="auto"/>
            <w:noWrap/>
            <w:vAlign w:val="bottom"/>
            <w:hideMark/>
          </w:tcPr>
          <w:p w14:paraId="1F91EBA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196.303</w:t>
            </w:r>
          </w:p>
        </w:tc>
        <w:tc>
          <w:tcPr>
            <w:tcW w:w="960" w:type="dxa"/>
            <w:tcBorders>
              <w:top w:val="nil"/>
              <w:left w:val="nil"/>
              <w:bottom w:val="single" w:sz="4" w:space="0" w:color="auto"/>
              <w:right w:val="single" w:sz="4" w:space="0" w:color="auto"/>
            </w:tcBorders>
            <w:shd w:val="clear" w:color="auto" w:fill="auto"/>
            <w:noWrap/>
            <w:vAlign w:val="bottom"/>
            <w:hideMark/>
          </w:tcPr>
          <w:p w14:paraId="3C0A9DD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185.900</w:t>
            </w:r>
          </w:p>
        </w:tc>
        <w:tc>
          <w:tcPr>
            <w:tcW w:w="960" w:type="dxa"/>
            <w:tcBorders>
              <w:top w:val="nil"/>
              <w:left w:val="nil"/>
              <w:bottom w:val="single" w:sz="4" w:space="0" w:color="auto"/>
              <w:right w:val="single" w:sz="4" w:space="0" w:color="auto"/>
            </w:tcBorders>
            <w:shd w:val="clear" w:color="auto" w:fill="auto"/>
            <w:noWrap/>
            <w:vAlign w:val="bottom"/>
            <w:hideMark/>
          </w:tcPr>
          <w:p w14:paraId="7E562D1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198.731</w:t>
            </w:r>
          </w:p>
        </w:tc>
        <w:tc>
          <w:tcPr>
            <w:tcW w:w="960" w:type="dxa"/>
            <w:tcBorders>
              <w:top w:val="nil"/>
              <w:left w:val="nil"/>
              <w:bottom w:val="single" w:sz="4" w:space="0" w:color="auto"/>
              <w:right w:val="single" w:sz="4" w:space="0" w:color="auto"/>
            </w:tcBorders>
            <w:shd w:val="clear" w:color="auto" w:fill="auto"/>
            <w:noWrap/>
            <w:vAlign w:val="bottom"/>
            <w:hideMark/>
          </w:tcPr>
          <w:p w14:paraId="4B0C284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211.659</w:t>
            </w:r>
          </w:p>
        </w:tc>
        <w:tc>
          <w:tcPr>
            <w:tcW w:w="960" w:type="dxa"/>
            <w:tcBorders>
              <w:top w:val="nil"/>
              <w:left w:val="nil"/>
              <w:bottom w:val="single" w:sz="4" w:space="0" w:color="auto"/>
              <w:right w:val="single" w:sz="4" w:space="0" w:color="auto"/>
            </w:tcBorders>
            <w:shd w:val="clear" w:color="auto" w:fill="auto"/>
            <w:noWrap/>
            <w:vAlign w:val="bottom"/>
            <w:hideMark/>
          </w:tcPr>
          <w:p w14:paraId="2C72786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188.202</w:t>
            </w:r>
          </w:p>
        </w:tc>
        <w:tc>
          <w:tcPr>
            <w:tcW w:w="1960" w:type="dxa"/>
            <w:tcBorders>
              <w:top w:val="nil"/>
              <w:left w:val="nil"/>
              <w:bottom w:val="nil"/>
              <w:right w:val="nil"/>
            </w:tcBorders>
            <w:shd w:val="clear" w:color="auto" w:fill="auto"/>
            <w:noWrap/>
            <w:vAlign w:val="bottom"/>
            <w:hideMark/>
          </w:tcPr>
          <w:p w14:paraId="3E82A366"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7D3FE30E"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203DE6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11</w:t>
            </w:r>
          </w:p>
        </w:tc>
        <w:tc>
          <w:tcPr>
            <w:tcW w:w="960" w:type="dxa"/>
            <w:tcBorders>
              <w:top w:val="nil"/>
              <w:left w:val="nil"/>
              <w:bottom w:val="single" w:sz="4" w:space="0" w:color="auto"/>
              <w:right w:val="single" w:sz="4" w:space="0" w:color="auto"/>
            </w:tcBorders>
            <w:shd w:val="clear" w:color="auto" w:fill="auto"/>
            <w:noWrap/>
            <w:vAlign w:val="bottom"/>
            <w:hideMark/>
          </w:tcPr>
          <w:p w14:paraId="2977EF4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202.246</w:t>
            </w:r>
          </w:p>
        </w:tc>
        <w:tc>
          <w:tcPr>
            <w:tcW w:w="960" w:type="dxa"/>
            <w:tcBorders>
              <w:top w:val="nil"/>
              <w:left w:val="nil"/>
              <w:bottom w:val="single" w:sz="4" w:space="0" w:color="auto"/>
              <w:right w:val="single" w:sz="4" w:space="0" w:color="auto"/>
            </w:tcBorders>
            <w:shd w:val="clear" w:color="auto" w:fill="auto"/>
            <w:noWrap/>
            <w:vAlign w:val="bottom"/>
            <w:hideMark/>
          </w:tcPr>
          <w:p w14:paraId="792288A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196.804</w:t>
            </w:r>
          </w:p>
        </w:tc>
        <w:tc>
          <w:tcPr>
            <w:tcW w:w="960" w:type="dxa"/>
            <w:tcBorders>
              <w:top w:val="nil"/>
              <w:left w:val="nil"/>
              <w:bottom w:val="single" w:sz="4" w:space="0" w:color="auto"/>
              <w:right w:val="single" w:sz="4" w:space="0" w:color="auto"/>
            </w:tcBorders>
            <w:shd w:val="clear" w:color="auto" w:fill="auto"/>
            <w:noWrap/>
            <w:vAlign w:val="bottom"/>
            <w:hideMark/>
          </w:tcPr>
          <w:p w14:paraId="3CE121B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183.897</w:t>
            </w:r>
          </w:p>
        </w:tc>
        <w:tc>
          <w:tcPr>
            <w:tcW w:w="960" w:type="dxa"/>
            <w:tcBorders>
              <w:top w:val="nil"/>
              <w:left w:val="nil"/>
              <w:bottom w:val="single" w:sz="4" w:space="0" w:color="auto"/>
              <w:right w:val="single" w:sz="4" w:space="0" w:color="auto"/>
            </w:tcBorders>
            <w:shd w:val="clear" w:color="auto" w:fill="auto"/>
            <w:noWrap/>
            <w:vAlign w:val="bottom"/>
            <w:hideMark/>
          </w:tcPr>
          <w:p w14:paraId="23D677F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203.262</w:t>
            </w:r>
          </w:p>
        </w:tc>
        <w:tc>
          <w:tcPr>
            <w:tcW w:w="960" w:type="dxa"/>
            <w:tcBorders>
              <w:top w:val="nil"/>
              <w:left w:val="nil"/>
              <w:bottom w:val="single" w:sz="4" w:space="0" w:color="auto"/>
              <w:right w:val="single" w:sz="4" w:space="0" w:color="auto"/>
            </w:tcBorders>
            <w:shd w:val="clear" w:color="auto" w:fill="auto"/>
            <w:noWrap/>
            <w:vAlign w:val="bottom"/>
            <w:hideMark/>
          </w:tcPr>
          <w:p w14:paraId="75C5117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209.754</w:t>
            </w:r>
          </w:p>
        </w:tc>
        <w:tc>
          <w:tcPr>
            <w:tcW w:w="960" w:type="dxa"/>
            <w:tcBorders>
              <w:top w:val="nil"/>
              <w:left w:val="nil"/>
              <w:bottom w:val="single" w:sz="4" w:space="0" w:color="auto"/>
              <w:right w:val="single" w:sz="4" w:space="0" w:color="auto"/>
            </w:tcBorders>
            <w:shd w:val="clear" w:color="auto" w:fill="auto"/>
            <w:noWrap/>
            <w:vAlign w:val="bottom"/>
            <w:hideMark/>
          </w:tcPr>
          <w:p w14:paraId="243B570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197.038</w:t>
            </w:r>
          </w:p>
        </w:tc>
        <w:tc>
          <w:tcPr>
            <w:tcW w:w="1960" w:type="dxa"/>
            <w:tcBorders>
              <w:top w:val="nil"/>
              <w:left w:val="nil"/>
              <w:bottom w:val="nil"/>
              <w:right w:val="nil"/>
            </w:tcBorders>
            <w:shd w:val="clear" w:color="auto" w:fill="auto"/>
            <w:noWrap/>
            <w:vAlign w:val="bottom"/>
            <w:hideMark/>
          </w:tcPr>
          <w:p w14:paraId="138555F9"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3FA3244E"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6F699B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12</w:t>
            </w:r>
          </w:p>
        </w:tc>
        <w:tc>
          <w:tcPr>
            <w:tcW w:w="960" w:type="dxa"/>
            <w:tcBorders>
              <w:top w:val="nil"/>
              <w:left w:val="nil"/>
              <w:bottom w:val="single" w:sz="4" w:space="0" w:color="auto"/>
              <w:right w:val="single" w:sz="4" w:space="0" w:color="auto"/>
            </w:tcBorders>
            <w:shd w:val="clear" w:color="auto" w:fill="auto"/>
            <w:noWrap/>
            <w:vAlign w:val="bottom"/>
            <w:hideMark/>
          </w:tcPr>
          <w:p w14:paraId="0D74685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203.500</w:t>
            </w:r>
          </w:p>
        </w:tc>
        <w:tc>
          <w:tcPr>
            <w:tcW w:w="960" w:type="dxa"/>
            <w:tcBorders>
              <w:top w:val="nil"/>
              <w:left w:val="nil"/>
              <w:bottom w:val="single" w:sz="4" w:space="0" w:color="auto"/>
              <w:right w:val="single" w:sz="4" w:space="0" w:color="auto"/>
            </w:tcBorders>
            <w:shd w:val="clear" w:color="auto" w:fill="auto"/>
            <w:noWrap/>
            <w:vAlign w:val="bottom"/>
            <w:hideMark/>
          </w:tcPr>
          <w:p w14:paraId="45D3771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198.346</w:t>
            </w:r>
          </w:p>
        </w:tc>
        <w:tc>
          <w:tcPr>
            <w:tcW w:w="960" w:type="dxa"/>
            <w:tcBorders>
              <w:top w:val="nil"/>
              <w:left w:val="nil"/>
              <w:bottom w:val="single" w:sz="4" w:space="0" w:color="auto"/>
              <w:right w:val="single" w:sz="4" w:space="0" w:color="auto"/>
            </w:tcBorders>
            <w:shd w:val="clear" w:color="auto" w:fill="auto"/>
            <w:noWrap/>
            <w:vAlign w:val="bottom"/>
            <w:hideMark/>
          </w:tcPr>
          <w:p w14:paraId="5C8BC07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178.751</w:t>
            </w:r>
          </w:p>
        </w:tc>
        <w:tc>
          <w:tcPr>
            <w:tcW w:w="960" w:type="dxa"/>
            <w:tcBorders>
              <w:top w:val="nil"/>
              <w:left w:val="nil"/>
              <w:bottom w:val="single" w:sz="4" w:space="0" w:color="auto"/>
              <w:right w:val="single" w:sz="4" w:space="0" w:color="auto"/>
            </w:tcBorders>
            <w:shd w:val="clear" w:color="auto" w:fill="auto"/>
            <w:noWrap/>
            <w:vAlign w:val="bottom"/>
            <w:hideMark/>
          </w:tcPr>
          <w:p w14:paraId="786431C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207.885</w:t>
            </w:r>
          </w:p>
        </w:tc>
        <w:tc>
          <w:tcPr>
            <w:tcW w:w="960" w:type="dxa"/>
            <w:tcBorders>
              <w:top w:val="nil"/>
              <w:left w:val="nil"/>
              <w:bottom w:val="single" w:sz="4" w:space="0" w:color="auto"/>
              <w:right w:val="single" w:sz="4" w:space="0" w:color="auto"/>
            </w:tcBorders>
            <w:shd w:val="clear" w:color="auto" w:fill="auto"/>
            <w:noWrap/>
            <w:vAlign w:val="bottom"/>
            <w:hideMark/>
          </w:tcPr>
          <w:p w14:paraId="36D7A71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208.173</w:t>
            </w:r>
          </w:p>
        </w:tc>
        <w:tc>
          <w:tcPr>
            <w:tcW w:w="960" w:type="dxa"/>
            <w:tcBorders>
              <w:top w:val="nil"/>
              <w:left w:val="nil"/>
              <w:bottom w:val="single" w:sz="4" w:space="0" w:color="auto"/>
              <w:right w:val="single" w:sz="4" w:space="0" w:color="auto"/>
            </w:tcBorders>
            <w:shd w:val="clear" w:color="auto" w:fill="auto"/>
            <w:noWrap/>
            <w:vAlign w:val="bottom"/>
            <w:hideMark/>
          </w:tcPr>
          <w:p w14:paraId="0A3215E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204.231</w:t>
            </w:r>
          </w:p>
        </w:tc>
        <w:tc>
          <w:tcPr>
            <w:tcW w:w="1960" w:type="dxa"/>
            <w:tcBorders>
              <w:top w:val="nil"/>
              <w:left w:val="nil"/>
              <w:bottom w:val="nil"/>
              <w:right w:val="nil"/>
            </w:tcBorders>
            <w:shd w:val="clear" w:color="auto" w:fill="auto"/>
            <w:noWrap/>
            <w:vAlign w:val="bottom"/>
            <w:hideMark/>
          </w:tcPr>
          <w:p w14:paraId="3E7F95D0"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114C9FD1"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0B492B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13</w:t>
            </w:r>
          </w:p>
        </w:tc>
        <w:tc>
          <w:tcPr>
            <w:tcW w:w="960" w:type="dxa"/>
            <w:tcBorders>
              <w:top w:val="nil"/>
              <w:left w:val="nil"/>
              <w:bottom w:val="single" w:sz="4" w:space="0" w:color="auto"/>
              <w:right w:val="single" w:sz="4" w:space="0" w:color="auto"/>
            </w:tcBorders>
            <w:shd w:val="clear" w:color="auto" w:fill="auto"/>
            <w:noWrap/>
            <w:vAlign w:val="bottom"/>
            <w:hideMark/>
          </w:tcPr>
          <w:p w14:paraId="5A6D29C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204.484</w:t>
            </w:r>
          </w:p>
        </w:tc>
        <w:tc>
          <w:tcPr>
            <w:tcW w:w="960" w:type="dxa"/>
            <w:tcBorders>
              <w:top w:val="nil"/>
              <w:left w:val="nil"/>
              <w:bottom w:val="single" w:sz="4" w:space="0" w:color="auto"/>
              <w:right w:val="single" w:sz="4" w:space="0" w:color="auto"/>
            </w:tcBorders>
            <w:shd w:val="clear" w:color="auto" w:fill="auto"/>
            <w:noWrap/>
            <w:vAlign w:val="bottom"/>
            <w:hideMark/>
          </w:tcPr>
          <w:p w14:paraId="28E9AE0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200.141</w:t>
            </w:r>
          </w:p>
        </w:tc>
        <w:tc>
          <w:tcPr>
            <w:tcW w:w="960" w:type="dxa"/>
            <w:tcBorders>
              <w:top w:val="nil"/>
              <w:left w:val="nil"/>
              <w:bottom w:val="single" w:sz="4" w:space="0" w:color="auto"/>
              <w:right w:val="single" w:sz="4" w:space="0" w:color="auto"/>
            </w:tcBorders>
            <w:shd w:val="clear" w:color="auto" w:fill="auto"/>
            <w:noWrap/>
            <w:vAlign w:val="bottom"/>
            <w:hideMark/>
          </w:tcPr>
          <w:p w14:paraId="27C56B5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172.728</w:t>
            </w:r>
          </w:p>
        </w:tc>
        <w:tc>
          <w:tcPr>
            <w:tcW w:w="960" w:type="dxa"/>
            <w:tcBorders>
              <w:top w:val="nil"/>
              <w:left w:val="nil"/>
              <w:bottom w:val="single" w:sz="4" w:space="0" w:color="auto"/>
              <w:right w:val="single" w:sz="4" w:space="0" w:color="auto"/>
            </w:tcBorders>
            <w:shd w:val="clear" w:color="auto" w:fill="auto"/>
            <w:noWrap/>
            <w:vAlign w:val="bottom"/>
            <w:hideMark/>
          </w:tcPr>
          <w:p w14:paraId="5BB33ED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212.734</w:t>
            </w:r>
          </w:p>
        </w:tc>
        <w:tc>
          <w:tcPr>
            <w:tcW w:w="960" w:type="dxa"/>
            <w:tcBorders>
              <w:top w:val="nil"/>
              <w:left w:val="nil"/>
              <w:bottom w:val="single" w:sz="4" w:space="0" w:color="auto"/>
              <w:right w:val="single" w:sz="4" w:space="0" w:color="auto"/>
            </w:tcBorders>
            <w:shd w:val="clear" w:color="auto" w:fill="auto"/>
            <w:noWrap/>
            <w:vAlign w:val="bottom"/>
            <w:hideMark/>
          </w:tcPr>
          <w:p w14:paraId="067FC43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207.891</w:t>
            </w:r>
          </w:p>
        </w:tc>
        <w:tc>
          <w:tcPr>
            <w:tcW w:w="960" w:type="dxa"/>
            <w:tcBorders>
              <w:top w:val="nil"/>
              <w:left w:val="nil"/>
              <w:bottom w:val="single" w:sz="4" w:space="0" w:color="auto"/>
              <w:right w:val="single" w:sz="4" w:space="0" w:color="auto"/>
            </w:tcBorders>
            <w:shd w:val="clear" w:color="auto" w:fill="auto"/>
            <w:noWrap/>
            <w:vAlign w:val="bottom"/>
            <w:hideMark/>
          </w:tcPr>
          <w:p w14:paraId="6E960A6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209.656</w:t>
            </w:r>
          </w:p>
        </w:tc>
        <w:tc>
          <w:tcPr>
            <w:tcW w:w="1960" w:type="dxa"/>
            <w:tcBorders>
              <w:top w:val="nil"/>
              <w:left w:val="nil"/>
              <w:bottom w:val="nil"/>
              <w:right w:val="nil"/>
            </w:tcBorders>
            <w:shd w:val="clear" w:color="auto" w:fill="auto"/>
            <w:noWrap/>
            <w:vAlign w:val="bottom"/>
            <w:hideMark/>
          </w:tcPr>
          <w:p w14:paraId="0D18F3C6"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72E3E2FD"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39BC0D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14</w:t>
            </w:r>
          </w:p>
        </w:tc>
        <w:tc>
          <w:tcPr>
            <w:tcW w:w="960" w:type="dxa"/>
            <w:tcBorders>
              <w:top w:val="nil"/>
              <w:left w:val="nil"/>
              <w:bottom w:val="single" w:sz="4" w:space="0" w:color="auto"/>
              <w:right w:val="single" w:sz="4" w:space="0" w:color="auto"/>
            </w:tcBorders>
            <w:shd w:val="clear" w:color="auto" w:fill="auto"/>
            <w:noWrap/>
            <w:vAlign w:val="bottom"/>
            <w:hideMark/>
          </w:tcPr>
          <w:p w14:paraId="4941962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206.630</w:t>
            </w:r>
          </w:p>
        </w:tc>
        <w:tc>
          <w:tcPr>
            <w:tcW w:w="960" w:type="dxa"/>
            <w:tcBorders>
              <w:top w:val="nil"/>
              <w:left w:val="nil"/>
              <w:bottom w:val="single" w:sz="4" w:space="0" w:color="auto"/>
              <w:right w:val="single" w:sz="4" w:space="0" w:color="auto"/>
            </w:tcBorders>
            <w:shd w:val="clear" w:color="auto" w:fill="auto"/>
            <w:noWrap/>
            <w:vAlign w:val="bottom"/>
            <w:hideMark/>
          </w:tcPr>
          <w:p w14:paraId="742A29C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201.428</w:t>
            </w:r>
          </w:p>
        </w:tc>
        <w:tc>
          <w:tcPr>
            <w:tcW w:w="960" w:type="dxa"/>
            <w:tcBorders>
              <w:top w:val="nil"/>
              <w:left w:val="nil"/>
              <w:bottom w:val="single" w:sz="4" w:space="0" w:color="auto"/>
              <w:right w:val="single" w:sz="4" w:space="0" w:color="auto"/>
            </w:tcBorders>
            <w:shd w:val="clear" w:color="auto" w:fill="auto"/>
            <w:noWrap/>
            <w:vAlign w:val="bottom"/>
            <w:hideMark/>
          </w:tcPr>
          <w:p w14:paraId="1091F92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166.234</w:t>
            </w:r>
          </w:p>
        </w:tc>
        <w:tc>
          <w:tcPr>
            <w:tcW w:w="960" w:type="dxa"/>
            <w:tcBorders>
              <w:top w:val="nil"/>
              <w:left w:val="nil"/>
              <w:bottom w:val="single" w:sz="4" w:space="0" w:color="auto"/>
              <w:right w:val="single" w:sz="4" w:space="0" w:color="auto"/>
            </w:tcBorders>
            <w:shd w:val="clear" w:color="auto" w:fill="auto"/>
            <w:noWrap/>
            <w:vAlign w:val="bottom"/>
            <w:hideMark/>
          </w:tcPr>
          <w:p w14:paraId="4B0F639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216.284</w:t>
            </w:r>
          </w:p>
        </w:tc>
        <w:tc>
          <w:tcPr>
            <w:tcW w:w="960" w:type="dxa"/>
            <w:tcBorders>
              <w:top w:val="nil"/>
              <w:left w:val="nil"/>
              <w:bottom w:val="single" w:sz="4" w:space="0" w:color="auto"/>
              <w:right w:val="single" w:sz="4" w:space="0" w:color="auto"/>
            </w:tcBorders>
            <w:shd w:val="clear" w:color="auto" w:fill="auto"/>
            <w:noWrap/>
            <w:vAlign w:val="bottom"/>
            <w:hideMark/>
          </w:tcPr>
          <w:p w14:paraId="286C9AA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207.928</w:t>
            </w:r>
          </w:p>
        </w:tc>
        <w:tc>
          <w:tcPr>
            <w:tcW w:w="960" w:type="dxa"/>
            <w:tcBorders>
              <w:top w:val="nil"/>
              <w:left w:val="nil"/>
              <w:bottom w:val="single" w:sz="4" w:space="0" w:color="auto"/>
              <w:right w:val="single" w:sz="4" w:space="0" w:color="auto"/>
            </w:tcBorders>
            <w:shd w:val="clear" w:color="auto" w:fill="auto"/>
            <w:noWrap/>
            <w:vAlign w:val="bottom"/>
            <w:hideMark/>
          </w:tcPr>
          <w:p w14:paraId="6976E49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214.567</w:t>
            </w:r>
          </w:p>
        </w:tc>
        <w:tc>
          <w:tcPr>
            <w:tcW w:w="1960" w:type="dxa"/>
            <w:tcBorders>
              <w:top w:val="nil"/>
              <w:left w:val="nil"/>
              <w:bottom w:val="nil"/>
              <w:right w:val="nil"/>
            </w:tcBorders>
            <w:shd w:val="clear" w:color="auto" w:fill="auto"/>
            <w:noWrap/>
            <w:vAlign w:val="bottom"/>
            <w:hideMark/>
          </w:tcPr>
          <w:p w14:paraId="112C7DD4"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557B92A1"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B87EDD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15</w:t>
            </w:r>
          </w:p>
        </w:tc>
        <w:tc>
          <w:tcPr>
            <w:tcW w:w="960" w:type="dxa"/>
            <w:tcBorders>
              <w:top w:val="nil"/>
              <w:left w:val="nil"/>
              <w:bottom w:val="single" w:sz="4" w:space="0" w:color="auto"/>
              <w:right w:val="single" w:sz="4" w:space="0" w:color="auto"/>
            </w:tcBorders>
            <w:shd w:val="clear" w:color="auto" w:fill="auto"/>
            <w:noWrap/>
            <w:vAlign w:val="bottom"/>
            <w:hideMark/>
          </w:tcPr>
          <w:p w14:paraId="18BCE4C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207.631</w:t>
            </w:r>
          </w:p>
        </w:tc>
        <w:tc>
          <w:tcPr>
            <w:tcW w:w="960" w:type="dxa"/>
            <w:tcBorders>
              <w:top w:val="nil"/>
              <w:left w:val="nil"/>
              <w:bottom w:val="single" w:sz="4" w:space="0" w:color="auto"/>
              <w:right w:val="single" w:sz="4" w:space="0" w:color="auto"/>
            </w:tcBorders>
            <w:shd w:val="clear" w:color="auto" w:fill="auto"/>
            <w:noWrap/>
            <w:vAlign w:val="bottom"/>
            <w:hideMark/>
          </w:tcPr>
          <w:p w14:paraId="21A116D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203.314</w:t>
            </w:r>
          </w:p>
        </w:tc>
        <w:tc>
          <w:tcPr>
            <w:tcW w:w="960" w:type="dxa"/>
            <w:tcBorders>
              <w:top w:val="nil"/>
              <w:left w:val="nil"/>
              <w:bottom w:val="single" w:sz="4" w:space="0" w:color="auto"/>
              <w:right w:val="single" w:sz="4" w:space="0" w:color="auto"/>
            </w:tcBorders>
            <w:shd w:val="clear" w:color="auto" w:fill="auto"/>
            <w:noWrap/>
            <w:vAlign w:val="bottom"/>
            <w:hideMark/>
          </w:tcPr>
          <w:p w14:paraId="3BF6BFB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158.556</w:t>
            </w:r>
          </w:p>
        </w:tc>
        <w:tc>
          <w:tcPr>
            <w:tcW w:w="960" w:type="dxa"/>
            <w:tcBorders>
              <w:top w:val="nil"/>
              <w:left w:val="nil"/>
              <w:bottom w:val="single" w:sz="4" w:space="0" w:color="auto"/>
              <w:right w:val="single" w:sz="4" w:space="0" w:color="auto"/>
            </w:tcBorders>
            <w:shd w:val="clear" w:color="auto" w:fill="auto"/>
            <w:noWrap/>
            <w:vAlign w:val="bottom"/>
            <w:hideMark/>
          </w:tcPr>
          <w:p w14:paraId="0426193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219.490</w:t>
            </w:r>
          </w:p>
        </w:tc>
        <w:tc>
          <w:tcPr>
            <w:tcW w:w="960" w:type="dxa"/>
            <w:tcBorders>
              <w:top w:val="nil"/>
              <w:left w:val="nil"/>
              <w:bottom w:val="single" w:sz="4" w:space="0" w:color="auto"/>
              <w:right w:val="single" w:sz="4" w:space="0" w:color="auto"/>
            </w:tcBorders>
            <w:shd w:val="clear" w:color="auto" w:fill="auto"/>
            <w:noWrap/>
            <w:vAlign w:val="bottom"/>
            <w:hideMark/>
          </w:tcPr>
          <w:p w14:paraId="44A11F6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208.256</w:t>
            </w:r>
          </w:p>
        </w:tc>
        <w:tc>
          <w:tcPr>
            <w:tcW w:w="960" w:type="dxa"/>
            <w:tcBorders>
              <w:top w:val="nil"/>
              <w:left w:val="nil"/>
              <w:bottom w:val="single" w:sz="4" w:space="0" w:color="auto"/>
              <w:right w:val="single" w:sz="4" w:space="0" w:color="auto"/>
            </w:tcBorders>
            <w:shd w:val="clear" w:color="auto" w:fill="auto"/>
            <w:noWrap/>
            <w:vAlign w:val="bottom"/>
            <w:hideMark/>
          </w:tcPr>
          <w:p w14:paraId="743D970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219.429</w:t>
            </w:r>
          </w:p>
        </w:tc>
        <w:tc>
          <w:tcPr>
            <w:tcW w:w="1960" w:type="dxa"/>
            <w:tcBorders>
              <w:top w:val="nil"/>
              <w:left w:val="nil"/>
              <w:bottom w:val="nil"/>
              <w:right w:val="nil"/>
            </w:tcBorders>
            <w:shd w:val="clear" w:color="auto" w:fill="auto"/>
            <w:noWrap/>
            <w:vAlign w:val="bottom"/>
            <w:hideMark/>
          </w:tcPr>
          <w:p w14:paraId="79D758EE"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0E9DA66F"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0B5012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w:t>
            </w:r>
          </w:p>
        </w:tc>
        <w:tc>
          <w:tcPr>
            <w:tcW w:w="960" w:type="dxa"/>
            <w:tcBorders>
              <w:top w:val="nil"/>
              <w:left w:val="nil"/>
              <w:bottom w:val="single" w:sz="4" w:space="0" w:color="auto"/>
              <w:right w:val="single" w:sz="4" w:space="0" w:color="auto"/>
            </w:tcBorders>
            <w:shd w:val="clear" w:color="auto" w:fill="auto"/>
            <w:noWrap/>
            <w:vAlign w:val="bottom"/>
            <w:hideMark/>
          </w:tcPr>
          <w:p w14:paraId="3AFB219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209.462</w:t>
            </w:r>
          </w:p>
        </w:tc>
        <w:tc>
          <w:tcPr>
            <w:tcW w:w="960" w:type="dxa"/>
            <w:tcBorders>
              <w:top w:val="nil"/>
              <w:left w:val="nil"/>
              <w:bottom w:val="single" w:sz="4" w:space="0" w:color="auto"/>
              <w:right w:val="single" w:sz="4" w:space="0" w:color="auto"/>
            </w:tcBorders>
            <w:shd w:val="clear" w:color="auto" w:fill="auto"/>
            <w:noWrap/>
            <w:vAlign w:val="bottom"/>
            <w:hideMark/>
          </w:tcPr>
          <w:p w14:paraId="4F45976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205.923</w:t>
            </w:r>
          </w:p>
        </w:tc>
        <w:tc>
          <w:tcPr>
            <w:tcW w:w="960" w:type="dxa"/>
            <w:tcBorders>
              <w:top w:val="nil"/>
              <w:left w:val="nil"/>
              <w:bottom w:val="single" w:sz="4" w:space="0" w:color="auto"/>
              <w:right w:val="single" w:sz="4" w:space="0" w:color="auto"/>
            </w:tcBorders>
            <w:shd w:val="clear" w:color="auto" w:fill="auto"/>
            <w:noWrap/>
            <w:vAlign w:val="bottom"/>
            <w:hideMark/>
          </w:tcPr>
          <w:p w14:paraId="3BCED43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150.770</w:t>
            </w:r>
          </w:p>
        </w:tc>
        <w:tc>
          <w:tcPr>
            <w:tcW w:w="960" w:type="dxa"/>
            <w:tcBorders>
              <w:top w:val="nil"/>
              <w:left w:val="nil"/>
              <w:bottom w:val="single" w:sz="4" w:space="0" w:color="auto"/>
              <w:right w:val="single" w:sz="4" w:space="0" w:color="auto"/>
            </w:tcBorders>
            <w:shd w:val="clear" w:color="auto" w:fill="auto"/>
            <w:noWrap/>
            <w:vAlign w:val="bottom"/>
            <w:hideMark/>
          </w:tcPr>
          <w:p w14:paraId="08AF19F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222.462</w:t>
            </w:r>
          </w:p>
        </w:tc>
        <w:tc>
          <w:tcPr>
            <w:tcW w:w="960" w:type="dxa"/>
            <w:tcBorders>
              <w:top w:val="nil"/>
              <w:left w:val="nil"/>
              <w:bottom w:val="single" w:sz="4" w:space="0" w:color="auto"/>
              <w:right w:val="single" w:sz="4" w:space="0" w:color="auto"/>
            </w:tcBorders>
            <w:shd w:val="clear" w:color="auto" w:fill="auto"/>
            <w:noWrap/>
            <w:vAlign w:val="bottom"/>
            <w:hideMark/>
          </w:tcPr>
          <w:p w14:paraId="4084F5F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209.000</w:t>
            </w:r>
          </w:p>
        </w:tc>
        <w:tc>
          <w:tcPr>
            <w:tcW w:w="960" w:type="dxa"/>
            <w:tcBorders>
              <w:top w:val="nil"/>
              <w:left w:val="nil"/>
              <w:bottom w:val="single" w:sz="4" w:space="0" w:color="auto"/>
              <w:right w:val="single" w:sz="4" w:space="0" w:color="auto"/>
            </w:tcBorders>
            <w:shd w:val="clear" w:color="auto" w:fill="auto"/>
            <w:noWrap/>
            <w:vAlign w:val="bottom"/>
            <w:hideMark/>
          </w:tcPr>
          <w:p w14:paraId="47DD1CF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223.923</w:t>
            </w:r>
          </w:p>
        </w:tc>
        <w:tc>
          <w:tcPr>
            <w:tcW w:w="1960" w:type="dxa"/>
            <w:tcBorders>
              <w:top w:val="nil"/>
              <w:left w:val="nil"/>
              <w:bottom w:val="nil"/>
              <w:right w:val="nil"/>
            </w:tcBorders>
            <w:shd w:val="clear" w:color="auto" w:fill="auto"/>
            <w:noWrap/>
            <w:vAlign w:val="bottom"/>
            <w:hideMark/>
          </w:tcPr>
          <w:p w14:paraId="08ADCCFC"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137C8DBD"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1069D5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w:t>
            </w:r>
          </w:p>
        </w:tc>
        <w:tc>
          <w:tcPr>
            <w:tcW w:w="960" w:type="dxa"/>
            <w:tcBorders>
              <w:top w:val="nil"/>
              <w:left w:val="nil"/>
              <w:bottom w:val="single" w:sz="4" w:space="0" w:color="auto"/>
              <w:right w:val="single" w:sz="4" w:space="0" w:color="auto"/>
            </w:tcBorders>
            <w:shd w:val="clear" w:color="auto" w:fill="auto"/>
            <w:noWrap/>
            <w:vAlign w:val="bottom"/>
            <w:hideMark/>
          </w:tcPr>
          <w:p w14:paraId="05CF8C4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211.016</w:t>
            </w:r>
          </w:p>
        </w:tc>
        <w:tc>
          <w:tcPr>
            <w:tcW w:w="960" w:type="dxa"/>
            <w:tcBorders>
              <w:top w:val="nil"/>
              <w:left w:val="nil"/>
              <w:bottom w:val="single" w:sz="4" w:space="0" w:color="auto"/>
              <w:right w:val="single" w:sz="4" w:space="0" w:color="auto"/>
            </w:tcBorders>
            <w:shd w:val="clear" w:color="auto" w:fill="auto"/>
            <w:noWrap/>
            <w:vAlign w:val="bottom"/>
            <w:hideMark/>
          </w:tcPr>
          <w:p w14:paraId="0644EF3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208.016</w:t>
            </w:r>
          </w:p>
        </w:tc>
        <w:tc>
          <w:tcPr>
            <w:tcW w:w="960" w:type="dxa"/>
            <w:tcBorders>
              <w:top w:val="nil"/>
              <w:left w:val="nil"/>
              <w:bottom w:val="single" w:sz="4" w:space="0" w:color="auto"/>
              <w:right w:val="single" w:sz="4" w:space="0" w:color="auto"/>
            </w:tcBorders>
            <w:shd w:val="clear" w:color="auto" w:fill="auto"/>
            <w:noWrap/>
            <w:vAlign w:val="bottom"/>
            <w:hideMark/>
          </w:tcPr>
          <w:p w14:paraId="1D9AA52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142.288</w:t>
            </w:r>
          </w:p>
        </w:tc>
        <w:tc>
          <w:tcPr>
            <w:tcW w:w="960" w:type="dxa"/>
            <w:tcBorders>
              <w:top w:val="nil"/>
              <w:left w:val="nil"/>
              <w:bottom w:val="single" w:sz="4" w:space="0" w:color="auto"/>
              <w:right w:val="single" w:sz="4" w:space="0" w:color="auto"/>
            </w:tcBorders>
            <w:shd w:val="clear" w:color="auto" w:fill="auto"/>
            <w:noWrap/>
            <w:vAlign w:val="bottom"/>
            <w:hideMark/>
          </w:tcPr>
          <w:p w14:paraId="50BF2A5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225.206</w:t>
            </w:r>
          </w:p>
        </w:tc>
        <w:tc>
          <w:tcPr>
            <w:tcW w:w="960" w:type="dxa"/>
            <w:tcBorders>
              <w:top w:val="nil"/>
              <w:left w:val="nil"/>
              <w:bottom w:val="single" w:sz="4" w:space="0" w:color="auto"/>
              <w:right w:val="single" w:sz="4" w:space="0" w:color="auto"/>
            </w:tcBorders>
            <w:shd w:val="clear" w:color="auto" w:fill="auto"/>
            <w:noWrap/>
            <w:vAlign w:val="bottom"/>
            <w:hideMark/>
          </w:tcPr>
          <w:p w14:paraId="50C7ABD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210.340</w:t>
            </w:r>
          </w:p>
        </w:tc>
        <w:tc>
          <w:tcPr>
            <w:tcW w:w="960" w:type="dxa"/>
            <w:tcBorders>
              <w:top w:val="nil"/>
              <w:left w:val="nil"/>
              <w:bottom w:val="single" w:sz="4" w:space="0" w:color="auto"/>
              <w:right w:val="single" w:sz="4" w:space="0" w:color="auto"/>
            </w:tcBorders>
            <w:shd w:val="clear" w:color="auto" w:fill="auto"/>
            <w:noWrap/>
            <w:vAlign w:val="bottom"/>
            <w:hideMark/>
          </w:tcPr>
          <w:p w14:paraId="171809F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227.206</w:t>
            </w:r>
          </w:p>
        </w:tc>
        <w:tc>
          <w:tcPr>
            <w:tcW w:w="1960" w:type="dxa"/>
            <w:tcBorders>
              <w:top w:val="nil"/>
              <w:left w:val="nil"/>
              <w:bottom w:val="nil"/>
              <w:right w:val="nil"/>
            </w:tcBorders>
            <w:shd w:val="clear" w:color="auto" w:fill="auto"/>
            <w:noWrap/>
            <w:vAlign w:val="bottom"/>
            <w:hideMark/>
          </w:tcPr>
          <w:p w14:paraId="1043C8D7"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5F07F93D"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C5656E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w:t>
            </w:r>
          </w:p>
        </w:tc>
        <w:tc>
          <w:tcPr>
            <w:tcW w:w="960" w:type="dxa"/>
            <w:tcBorders>
              <w:top w:val="nil"/>
              <w:left w:val="nil"/>
              <w:bottom w:val="single" w:sz="4" w:space="0" w:color="auto"/>
              <w:right w:val="single" w:sz="4" w:space="0" w:color="auto"/>
            </w:tcBorders>
            <w:shd w:val="clear" w:color="auto" w:fill="auto"/>
            <w:noWrap/>
            <w:vAlign w:val="bottom"/>
            <w:hideMark/>
          </w:tcPr>
          <w:p w14:paraId="07502A6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213.524</w:t>
            </w:r>
          </w:p>
        </w:tc>
        <w:tc>
          <w:tcPr>
            <w:tcW w:w="960" w:type="dxa"/>
            <w:tcBorders>
              <w:top w:val="nil"/>
              <w:left w:val="nil"/>
              <w:bottom w:val="single" w:sz="4" w:space="0" w:color="auto"/>
              <w:right w:val="single" w:sz="4" w:space="0" w:color="auto"/>
            </w:tcBorders>
            <w:shd w:val="clear" w:color="auto" w:fill="auto"/>
            <w:noWrap/>
            <w:vAlign w:val="bottom"/>
            <w:hideMark/>
          </w:tcPr>
          <w:p w14:paraId="297715B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209.798</w:t>
            </w:r>
          </w:p>
        </w:tc>
        <w:tc>
          <w:tcPr>
            <w:tcW w:w="960" w:type="dxa"/>
            <w:tcBorders>
              <w:top w:val="nil"/>
              <w:left w:val="nil"/>
              <w:bottom w:val="single" w:sz="4" w:space="0" w:color="auto"/>
              <w:right w:val="single" w:sz="4" w:space="0" w:color="auto"/>
            </w:tcBorders>
            <w:shd w:val="clear" w:color="auto" w:fill="auto"/>
            <w:noWrap/>
            <w:vAlign w:val="bottom"/>
            <w:hideMark/>
          </w:tcPr>
          <w:p w14:paraId="58881F8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132.550</w:t>
            </w:r>
          </w:p>
        </w:tc>
        <w:tc>
          <w:tcPr>
            <w:tcW w:w="960" w:type="dxa"/>
            <w:tcBorders>
              <w:top w:val="nil"/>
              <w:left w:val="nil"/>
              <w:bottom w:val="single" w:sz="4" w:space="0" w:color="auto"/>
              <w:right w:val="single" w:sz="4" w:space="0" w:color="auto"/>
            </w:tcBorders>
            <w:shd w:val="clear" w:color="auto" w:fill="auto"/>
            <w:noWrap/>
            <w:vAlign w:val="bottom"/>
            <w:hideMark/>
          </w:tcPr>
          <w:p w14:paraId="792F9F3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227.784</w:t>
            </w:r>
          </w:p>
        </w:tc>
        <w:tc>
          <w:tcPr>
            <w:tcW w:w="960" w:type="dxa"/>
            <w:tcBorders>
              <w:top w:val="nil"/>
              <w:left w:val="nil"/>
              <w:bottom w:val="single" w:sz="4" w:space="0" w:color="auto"/>
              <w:right w:val="single" w:sz="4" w:space="0" w:color="auto"/>
            </w:tcBorders>
            <w:shd w:val="clear" w:color="auto" w:fill="auto"/>
            <w:noWrap/>
            <w:vAlign w:val="bottom"/>
            <w:hideMark/>
          </w:tcPr>
          <w:p w14:paraId="32FCF5C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211.519</w:t>
            </w:r>
          </w:p>
        </w:tc>
        <w:tc>
          <w:tcPr>
            <w:tcW w:w="960" w:type="dxa"/>
            <w:tcBorders>
              <w:top w:val="nil"/>
              <w:left w:val="nil"/>
              <w:bottom w:val="single" w:sz="4" w:space="0" w:color="auto"/>
              <w:right w:val="single" w:sz="4" w:space="0" w:color="auto"/>
            </w:tcBorders>
            <w:shd w:val="clear" w:color="auto" w:fill="auto"/>
            <w:noWrap/>
            <w:vAlign w:val="bottom"/>
            <w:hideMark/>
          </w:tcPr>
          <w:p w14:paraId="2D6C93B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229.764</w:t>
            </w:r>
          </w:p>
        </w:tc>
        <w:tc>
          <w:tcPr>
            <w:tcW w:w="1960" w:type="dxa"/>
            <w:tcBorders>
              <w:top w:val="nil"/>
              <w:left w:val="nil"/>
              <w:bottom w:val="nil"/>
              <w:right w:val="nil"/>
            </w:tcBorders>
            <w:shd w:val="clear" w:color="auto" w:fill="auto"/>
            <w:noWrap/>
            <w:vAlign w:val="bottom"/>
            <w:hideMark/>
          </w:tcPr>
          <w:p w14:paraId="396B28C6"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5B9551D2"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FF173A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w:t>
            </w:r>
          </w:p>
        </w:tc>
        <w:tc>
          <w:tcPr>
            <w:tcW w:w="960" w:type="dxa"/>
            <w:tcBorders>
              <w:top w:val="nil"/>
              <w:left w:val="nil"/>
              <w:bottom w:val="single" w:sz="4" w:space="0" w:color="auto"/>
              <w:right w:val="single" w:sz="4" w:space="0" w:color="auto"/>
            </w:tcBorders>
            <w:shd w:val="clear" w:color="auto" w:fill="auto"/>
            <w:noWrap/>
            <w:vAlign w:val="bottom"/>
            <w:hideMark/>
          </w:tcPr>
          <w:p w14:paraId="7CEF778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216.246</w:t>
            </w:r>
          </w:p>
        </w:tc>
        <w:tc>
          <w:tcPr>
            <w:tcW w:w="960" w:type="dxa"/>
            <w:tcBorders>
              <w:top w:val="nil"/>
              <w:left w:val="nil"/>
              <w:bottom w:val="single" w:sz="4" w:space="0" w:color="auto"/>
              <w:right w:val="single" w:sz="4" w:space="0" w:color="auto"/>
            </w:tcBorders>
            <w:shd w:val="clear" w:color="auto" w:fill="auto"/>
            <w:noWrap/>
            <w:vAlign w:val="bottom"/>
            <w:hideMark/>
          </w:tcPr>
          <w:p w14:paraId="09C890E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212.118</w:t>
            </w:r>
          </w:p>
        </w:tc>
        <w:tc>
          <w:tcPr>
            <w:tcW w:w="960" w:type="dxa"/>
            <w:tcBorders>
              <w:top w:val="nil"/>
              <w:left w:val="nil"/>
              <w:bottom w:val="single" w:sz="4" w:space="0" w:color="auto"/>
              <w:right w:val="single" w:sz="4" w:space="0" w:color="auto"/>
            </w:tcBorders>
            <w:shd w:val="clear" w:color="auto" w:fill="auto"/>
            <w:noWrap/>
            <w:vAlign w:val="bottom"/>
            <w:hideMark/>
          </w:tcPr>
          <w:p w14:paraId="6E6B4C9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123.846</w:t>
            </w:r>
          </w:p>
        </w:tc>
        <w:tc>
          <w:tcPr>
            <w:tcW w:w="960" w:type="dxa"/>
            <w:tcBorders>
              <w:top w:val="nil"/>
              <w:left w:val="nil"/>
              <w:bottom w:val="single" w:sz="4" w:space="0" w:color="auto"/>
              <w:right w:val="single" w:sz="4" w:space="0" w:color="auto"/>
            </w:tcBorders>
            <w:shd w:val="clear" w:color="auto" w:fill="auto"/>
            <w:noWrap/>
            <w:vAlign w:val="bottom"/>
            <w:hideMark/>
          </w:tcPr>
          <w:p w14:paraId="256583C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230.523</w:t>
            </w:r>
          </w:p>
        </w:tc>
        <w:tc>
          <w:tcPr>
            <w:tcW w:w="960" w:type="dxa"/>
            <w:tcBorders>
              <w:top w:val="nil"/>
              <w:left w:val="nil"/>
              <w:bottom w:val="single" w:sz="4" w:space="0" w:color="auto"/>
              <w:right w:val="single" w:sz="4" w:space="0" w:color="auto"/>
            </w:tcBorders>
            <w:shd w:val="clear" w:color="auto" w:fill="auto"/>
            <w:noWrap/>
            <w:vAlign w:val="bottom"/>
            <w:hideMark/>
          </w:tcPr>
          <w:p w14:paraId="427C9A1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213.548</w:t>
            </w:r>
          </w:p>
        </w:tc>
        <w:tc>
          <w:tcPr>
            <w:tcW w:w="960" w:type="dxa"/>
            <w:tcBorders>
              <w:top w:val="nil"/>
              <w:left w:val="nil"/>
              <w:bottom w:val="single" w:sz="4" w:space="0" w:color="auto"/>
              <w:right w:val="single" w:sz="4" w:space="0" w:color="auto"/>
            </w:tcBorders>
            <w:shd w:val="clear" w:color="auto" w:fill="auto"/>
            <w:noWrap/>
            <w:vAlign w:val="bottom"/>
            <w:hideMark/>
          </w:tcPr>
          <w:p w14:paraId="413064C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231.725</w:t>
            </w:r>
          </w:p>
        </w:tc>
        <w:tc>
          <w:tcPr>
            <w:tcW w:w="1960" w:type="dxa"/>
            <w:tcBorders>
              <w:top w:val="nil"/>
              <w:left w:val="nil"/>
              <w:bottom w:val="nil"/>
              <w:right w:val="nil"/>
            </w:tcBorders>
            <w:shd w:val="clear" w:color="auto" w:fill="auto"/>
            <w:noWrap/>
            <w:vAlign w:val="bottom"/>
            <w:hideMark/>
          </w:tcPr>
          <w:p w14:paraId="7897333B"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7BFA0D2B"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A70DB0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w:t>
            </w:r>
          </w:p>
        </w:tc>
        <w:tc>
          <w:tcPr>
            <w:tcW w:w="960" w:type="dxa"/>
            <w:tcBorders>
              <w:top w:val="nil"/>
              <w:left w:val="nil"/>
              <w:bottom w:val="single" w:sz="4" w:space="0" w:color="auto"/>
              <w:right w:val="single" w:sz="4" w:space="0" w:color="auto"/>
            </w:tcBorders>
            <w:shd w:val="clear" w:color="auto" w:fill="auto"/>
            <w:noWrap/>
            <w:vAlign w:val="bottom"/>
            <w:hideMark/>
          </w:tcPr>
          <w:p w14:paraId="268E768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218.865</w:t>
            </w:r>
          </w:p>
        </w:tc>
        <w:tc>
          <w:tcPr>
            <w:tcW w:w="960" w:type="dxa"/>
            <w:tcBorders>
              <w:top w:val="nil"/>
              <w:left w:val="nil"/>
              <w:bottom w:val="single" w:sz="4" w:space="0" w:color="auto"/>
              <w:right w:val="single" w:sz="4" w:space="0" w:color="auto"/>
            </w:tcBorders>
            <w:shd w:val="clear" w:color="auto" w:fill="auto"/>
            <w:noWrap/>
            <w:vAlign w:val="bottom"/>
            <w:hideMark/>
          </w:tcPr>
          <w:p w14:paraId="4266DA1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215.019</w:t>
            </w:r>
          </w:p>
        </w:tc>
        <w:tc>
          <w:tcPr>
            <w:tcW w:w="960" w:type="dxa"/>
            <w:tcBorders>
              <w:top w:val="nil"/>
              <w:left w:val="nil"/>
              <w:bottom w:val="single" w:sz="4" w:space="0" w:color="auto"/>
              <w:right w:val="single" w:sz="4" w:space="0" w:color="auto"/>
            </w:tcBorders>
            <w:shd w:val="clear" w:color="auto" w:fill="auto"/>
            <w:noWrap/>
            <w:vAlign w:val="bottom"/>
            <w:hideMark/>
          </w:tcPr>
          <w:p w14:paraId="7ECA4AA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115.624</w:t>
            </w:r>
          </w:p>
        </w:tc>
        <w:tc>
          <w:tcPr>
            <w:tcW w:w="960" w:type="dxa"/>
            <w:tcBorders>
              <w:top w:val="nil"/>
              <w:left w:val="nil"/>
              <w:bottom w:val="single" w:sz="4" w:space="0" w:color="auto"/>
              <w:right w:val="single" w:sz="4" w:space="0" w:color="auto"/>
            </w:tcBorders>
            <w:shd w:val="clear" w:color="auto" w:fill="auto"/>
            <w:noWrap/>
            <w:vAlign w:val="bottom"/>
            <w:hideMark/>
          </w:tcPr>
          <w:p w14:paraId="319F94E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233.365</w:t>
            </w:r>
          </w:p>
        </w:tc>
        <w:tc>
          <w:tcPr>
            <w:tcW w:w="960" w:type="dxa"/>
            <w:tcBorders>
              <w:top w:val="nil"/>
              <w:left w:val="nil"/>
              <w:bottom w:val="single" w:sz="4" w:space="0" w:color="auto"/>
              <w:right w:val="single" w:sz="4" w:space="0" w:color="auto"/>
            </w:tcBorders>
            <w:shd w:val="clear" w:color="auto" w:fill="auto"/>
            <w:noWrap/>
            <w:vAlign w:val="bottom"/>
            <w:hideMark/>
          </w:tcPr>
          <w:p w14:paraId="52205BD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215.365</w:t>
            </w:r>
          </w:p>
        </w:tc>
        <w:tc>
          <w:tcPr>
            <w:tcW w:w="960" w:type="dxa"/>
            <w:tcBorders>
              <w:top w:val="nil"/>
              <w:left w:val="nil"/>
              <w:bottom w:val="single" w:sz="4" w:space="0" w:color="auto"/>
              <w:right w:val="single" w:sz="4" w:space="0" w:color="auto"/>
            </w:tcBorders>
            <w:shd w:val="clear" w:color="auto" w:fill="auto"/>
            <w:noWrap/>
            <w:vAlign w:val="bottom"/>
            <w:hideMark/>
          </w:tcPr>
          <w:p w14:paraId="3E6F9BC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233.288</w:t>
            </w:r>
          </w:p>
        </w:tc>
        <w:tc>
          <w:tcPr>
            <w:tcW w:w="1960" w:type="dxa"/>
            <w:tcBorders>
              <w:top w:val="nil"/>
              <w:left w:val="nil"/>
              <w:bottom w:val="nil"/>
              <w:right w:val="nil"/>
            </w:tcBorders>
            <w:shd w:val="clear" w:color="auto" w:fill="auto"/>
            <w:noWrap/>
            <w:vAlign w:val="bottom"/>
            <w:hideMark/>
          </w:tcPr>
          <w:p w14:paraId="5AB8BB66"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6834EA46"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2D8380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w:t>
            </w:r>
          </w:p>
        </w:tc>
        <w:tc>
          <w:tcPr>
            <w:tcW w:w="960" w:type="dxa"/>
            <w:tcBorders>
              <w:top w:val="nil"/>
              <w:left w:val="nil"/>
              <w:bottom w:val="single" w:sz="4" w:space="0" w:color="auto"/>
              <w:right w:val="single" w:sz="4" w:space="0" w:color="auto"/>
            </w:tcBorders>
            <w:shd w:val="clear" w:color="auto" w:fill="auto"/>
            <w:noWrap/>
            <w:vAlign w:val="bottom"/>
            <w:hideMark/>
          </w:tcPr>
          <w:p w14:paraId="7BE99BA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222.006</w:t>
            </w:r>
          </w:p>
        </w:tc>
        <w:tc>
          <w:tcPr>
            <w:tcW w:w="960" w:type="dxa"/>
            <w:tcBorders>
              <w:top w:val="nil"/>
              <w:left w:val="nil"/>
              <w:bottom w:val="single" w:sz="4" w:space="0" w:color="auto"/>
              <w:right w:val="single" w:sz="4" w:space="0" w:color="auto"/>
            </w:tcBorders>
            <w:shd w:val="clear" w:color="auto" w:fill="auto"/>
            <w:noWrap/>
            <w:vAlign w:val="bottom"/>
            <w:hideMark/>
          </w:tcPr>
          <w:p w14:paraId="4C04A02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218.273</w:t>
            </w:r>
          </w:p>
        </w:tc>
        <w:tc>
          <w:tcPr>
            <w:tcW w:w="960" w:type="dxa"/>
            <w:tcBorders>
              <w:top w:val="nil"/>
              <w:left w:val="nil"/>
              <w:bottom w:val="single" w:sz="4" w:space="0" w:color="auto"/>
              <w:right w:val="single" w:sz="4" w:space="0" w:color="auto"/>
            </w:tcBorders>
            <w:shd w:val="clear" w:color="auto" w:fill="auto"/>
            <w:noWrap/>
            <w:vAlign w:val="bottom"/>
            <w:hideMark/>
          </w:tcPr>
          <w:p w14:paraId="6881777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107.237</w:t>
            </w:r>
          </w:p>
        </w:tc>
        <w:tc>
          <w:tcPr>
            <w:tcW w:w="960" w:type="dxa"/>
            <w:tcBorders>
              <w:top w:val="nil"/>
              <w:left w:val="nil"/>
              <w:bottom w:val="single" w:sz="4" w:space="0" w:color="auto"/>
              <w:right w:val="single" w:sz="4" w:space="0" w:color="auto"/>
            </w:tcBorders>
            <w:shd w:val="clear" w:color="auto" w:fill="auto"/>
            <w:noWrap/>
            <w:vAlign w:val="bottom"/>
            <w:hideMark/>
          </w:tcPr>
          <w:p w14:paraId="49D04AD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235.170</w:t>
            </w:r>
          </w:p>
        </w:tc>
        <w:tc>
          <w:tcPr>
            <w:tcW w:w="960" w:type="dxa"/>
            <w:tcBorders>
              <w:top w:val="nil"/>
              <w:left w:val="nil"/>
              <w:bottom w:val="single" w:sz="4" w:space="0" w:color="auto"/>
              <w:right w:val="single" w:sz="4" w:space="0" w:color="auto"/>
            </w:tcBorders>
            <w:shd w:val="clear" w:color="auto" w:fill="auto"/>
            <w:noWrap/>
            <w:vAlign w:val="bottom"/>
            <w:hideMark/>
          </w:tcPr>
          <w:p w14:paraId="56D4390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217.881</w:t>
            </w:r>
          </w:p>
        </w:tc>
        <w:tc>
          <w:tcPr>
            <w:tcW w:w="960" w:type="dxa"/>
            <w:tcBorders>
              <w:top w:val="nil"/>
              <w:left w:val="nil"/>
              <w:bottom w:val="single" w:sz="4" w:space="0" w:color="auto"/>
              <w:right w:val="single" w:sz="4" w:space="0" w:color="auto"/>
            </w:tcBorders>
            <w:shd w:val="clear" w:color="auto" w:fill="auto"/>
            <w:noWrap/>
            <w:vAlign w:val="bottom"/>
            <w:hideMark/>
          </w:tcPr>
          <w:p w14:paraId="269CA55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234.561</w:t>
            </w:r>
          </w:p>
        </w:tc>
        <w:tc>
          <w:tcPr>
            <w:tcW w:w="1960" w:type="dxa"/>
            <w:tcBorders>
              <w:top w:val="nil"/>
              <w:left w:val="nil"/>
              <w:bottom w:val="nil"/>
              <w:right w:val="nil"/>
            </w:tcBorders>
            <w:shd w:val="clear" w:color="auto" w:fill="auto"/>
            <w:noWrap/>
            <w:vAlign w:val="bottom"/>
            <w:hideMark/>
          </w:tcPr>
          <w:p w14:paraId="62801F12"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427C3DEA"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10C7F7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w:t>
            </w:r>
          </w:p>
        </w:tc>
        <w:tc>
          <w:tcPr>
            <w:tcW w:w="960" w:type="dxa"/>
            <w:tcBorders>
              <w:top w:val="nil"/>
              <w:left w:val="nil"/>
              <w:bottom w:val="single" w:sz="4" w:space="0" w:color="auto"/>
              <w:right w:val="single" w:sz="4" w:space="0" w:color="auto"/>
            </w:tcBorders>
            <w:shd w:val="clear" w:color="auto" w:fill="auto"/>
            <w:noWrap/>
            <w:vAlign w:val="bottom"/>
            <w:hideMark/>
          </w:tcPr>
          <w:p w14:paraId="67837BC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225.418</w:t>
            </w:r>
          </w:p>
        </w:tc>
        <w:tc>
          <w:tcPr>
            <w:tcW w:w="960" w:type="dxa"/>
            <w:tcBorders>
              <w:top w:val="nil"/>
              <w:left w:val="nil"/>
              <w:bottom w:val="single" w:sz="4" w:space="0" w:color="auto"/>
              <w:right w:val="single" w:sz="4" w:space="0" w:color="auto"/>
            </w:tcBorders>
            <w:shd w:val="clear" w:color="auto" w:fill="auto"/>
            <w:noWrap/>
            <w:vAlign w:val="bottom"/>
            <w:hideMark/>
          </w:tcPr>
          <w:p w14:paraId="3A30894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221.120</w:t>
            </w:r>
          </w:p>
        </w:tc>
        <w:tc>
          <w:tcPr>
            <w:tcW w:w="960" w:type="dxa"/>
            <w:tcBorders>
              <w:top w:val="nil"/>
              <w:left w:val="nil"/>
              <w:bottom w:val="single" w:sz="4" w:space="0" w:color="auto"/>
              <w:right w:val="single" w:sz="4" w:space="0" w:color="auto"/>
            </w:tcBorders>
            <w:shd w:val="clear" w:color="auto" w:fill="auto"/>
            <w:noWrap/>
            <w:vAlign w:val="bottom"/>
            <w:hideMark/>
          </w:tcPr>
          <w:p w14:paraId="730FA95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100.921</w:t>
            </w:r>
          </w:p>
        </w:tc>
        <w:tc>
          <w:tcPr>
            <w:tcW w:w="960" w:type="dxa"/>
            <w:tcBorders>
              <w:top w:val="nil"/>
              <w:left w:val="nil"/>
              <w:bottom w:val="single" w:sz="4" w:space="0" w:color="auto"/>
              <w:right w:val="single" w:sz="4" w:space="0" w:color="auto"/>
            </w:tcBorders>
            <w:shd w:val="clear" w:color="auto" w:fill="auto"/>
            <w:noWrap/>
            <w:vAlign w:val="bottom"/>
            <w:hideMark/>
          </w:tcPr>
          <w:p w14:paraId="3AE1013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236.668</w:t>
            </w:r>
          </w:p>
        </w:tc>
        <w:tc>
          <w:tcPr>
            <w:tcW w:w="960" w:type="dxa"/>
            <w:tcBorders>
              <w:top w:val="nil"/>
              <w:left w:val="nil"/>
              <w:bottom w:val="single" w:sz="4" w:space="0" w:color="auto"/>
              <w:right w:val="single" w:sz="4" w:space="0" w:color="auto"/>
            </w:tcBorders>
            <w:shd w:val="clear" w:color="auto" w:fill="auto"/>
            <w:noWrap/>
            <w:vAlign w:val="bottom"/>
            <w:hideMark/>
          </w:tcPr>
          <w:p w14:paraId="64F8903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220.769</w:t>
            </w:r>
          </w:p>
        </w:tc>
        <w:tc>
          <w:tcPr>
            <w:tcW w:w="960" w:type="dxa"/>
            <w:tcBorders>
              <w:top w:val="nil"/>
              <w:left w:val="nil"/>
              <w:bottom w:val="single" w:sz="4" w:space="0" w:color="auto"/>
              <w:right w:val="single" w:sz="4" w:space="0" w:color="auto"/>
            </w:tcBorders>
            <w:shd w:val="clear" w:color="auto" w:fill="auto"/>
            <w:noWrap/>
            <w:vAlign w:val="bottom"/>
            <w:hideMark/>
          </w:tcPr>
          <w:p w14:paraId="2EC27EA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235.817</w:t>
            </w:r>
          </w:p>
        </w:tc>
        <w:tc>
          <w:tcPr>
            <w:tcW w:w="1960" w:type="dxa"/>
            <w:tcBorders>
              <w:top w:val="nil"/>
              <w:left w:val="nil"/>
              <w:bottom w:val="nil"/>
              <w:right w:val="nil"/>
            </w:tcBorders>
            <w:shd w:val="clear" w:color="auto" w:fill="auto"/>
            <w:noWrap/>
            <w:vAlign w:val="bottom"/>
            <w:hideMark/>
          </w:tcPr>
          <w:p w14:paraId="7680B3BD"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3F761FA3"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360155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w:t>
            </w:r>
          </w:p>
        </w:tc>
        <w:tc>
          <w:tcPr>
            <w:tcW w:w="960" w:type="dxa"/>
            <w:tcBorders>
              <w:top w:val="nil"/>
              <w:left w:val="nil"/>
              <w:bottom w:val="single" w:sz="4" w:space="0" w:color="auto"/>
              <w:right w:val="single" w:sz="4" w:space="0" w:color="auto"/>
            </w:tcBorders>
            <w:shd w:val="clear" w:color="auto" w:fill="auto"/>
            <w:noWrap/>
            <w:vAlign w:val="bottom"/>
            <w:hideMark/>
          </w:tcPr>
          <w:p w14:paraId="081FBAE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227.599</w:t>
            </w:r>
          </w:p>
        </w:tc>
        <w:tc>
          <w:tcPr>
            <w:tcW w:w="960" w:type="dxa"/>
            <w:tcBorders>
              <w:top w:val="nil"/>
              <w:left w:val="nil"/>
              <w:bottom w:val="single" w:sz="4" w:space="0" w:color="auto"/>
              <w:right w:val="single" w:sz="4" w:space="0" w:color="auto"/>
            </w:tcBorders>
            <w:shd w:val="clear" w:color="auto" w:fill="auto"/>
            <w:noWrap/>
            <w:vAlign w:val="bottom"/>
            <w:hideMark/>
          </w:tcPr>
          <w:p w14:paraId="44529D1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224.490</w:t>
            </w:r>
          </w:p>
        </w:tc>
        <w:tc>
          <w:tcPr>
            <w:tcW w:w="960" w:type="dxa"/>
            <w:tcBorders>
              <w:top w:val="nil"/>
              <w:left w:val="nil"/>
              <w:bottom w:val="single" w:sz="4" w:space="0" w:color="auto"/>
              <w:right w:val="single" w:sz="4" w:space="0" w:color="auto"/>
            </w:tcBorders>
            <w:shd w:val="clear" w:color="auto" w:fill="auto"/>
            <w:noWrap/>
            <w:vAlign w:val="bottom"/>
            <w:hideMark/>
          </w:tcPr>
          <w:p w14:paraId="30606AE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94.675</w:t>
            </w:r>
          </w:p>
        </w:tc>
        <w:tc>
          <w:tcPr>
            <w:tcW w:w="960" w:type="dxa"/>
            <w:tcBorders>
              <w:top w:val="nil"/>
              <w:left w:val="nil"/>
              <w:bottom w:val="single" w:sz="4" w:space="0" w:color="auto"/>
              <w:right w:val="single" w:sz="4" w:space="0" w:color="auto"/>
            </w:tcBorders>
            <w:shd w:val="clear" w:color="auto" w:fill="auto"/>
            <w:noWrap/>
            <w:vAlign w:val="bottom"/>
            <w:hideMark/>
          </w:tcPr>
          <w:p w14:paraId="7DF1A53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238.664</w:t>
            </w:r>
          </w:p>
        </w:tc>
        <w:tc>
          <w:tcPr>
            <w:tcW w:w="960" w:type="dxa"/>
            <w:tcBorders>
              <w:top w:val="nil"/>
              <w:left w:val="nil"/>
              <w:bottom w:val="single" w:sz="4" w:space="0" w:color="auto"/>
              <w:right w:val="single" w:sz="4" w:space="0" w:color="auto"/>
            </w:tcBorders>
            <w:shd w:val="clear" w:color="auto" w:fill="auto"/>
            <w:noWrap/>
            <w:vAlign w:val="bottom"/>
            <w:hideMark/>
          </w:tcPr>
          <w:p w14:paraId="3A5CEB0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223.920</w:t>
            </w:r>
          </w:p>
        </w:tc>
        <w:tc>
          <w:tcPr>
            <w:tcW w:w="960" w:type="dxa"/>
            <w:tcBorders>
              <w:top w:val="nil"/>
              <w:left w:val="nil"/>
              <w:bottom w:val="single" w:sz="4" w:space="0" w:color="auto"/>
              <w:right w:val="single" w:sz="4" w:space="0" w:color="auto"/>
            </w:tcBorders>
            <w:shd w:val="clear" w:color="auto" w:fill="auto"/>
            <w:noWrap/>
            <w:vAlign w:val="bottom"/>
            <w:hideMark/>
          </w:tcPr>
          <w:p w14:paraId="19B14BA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237.663</w:t>
            </w:r>
          </w:p>
        </w:tc>
        <w:tc>
          <w:tcPr>
            <w:tcW w:w="1960" w:type="dxa"/>
            <w:tcBorders>
              <w:top w:val="nil"/>
              <w:left w:val="nil"/>
              <w:bottom w:val="nil"/>
              <w:right w:val="nil"/>
            </w:tcBorders>
            <w:shd w:val="clear" w:color="auto" w:fill="auto"/>
            <w:noWrap/>
            <w:vAlign w:val="bottom"/>
            <w:hideMark/>
          </w:tcPr>
          <w:p w14:paraId="41B10769"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0CC1AF2B"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1A8778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w:t>
            </w:r>
          </w:p>
        </w:tc>
        <w:tc>
          <w:tcPr>
            <w:tcW w:w="960" w:type="dxa"/>
            <w:tcBorders>
              <w:top w:val="nil"/>
              <w:left w:val="nil"/>
              <w:bottom w:val="single" w:sz="4" w:space="0" w:color="auto"/>
              <w:right w:val="single" w:sz="4" w:space="0" w:color="auto"/>
            </w:tcBorders>
            <w:shd w:val="clear" w:color="auto" w:fill="auto"/>
            <w:noWrap/>
            <w:vAlign w:val="bottom"/>
            <w:hideMark/>
          </w:tcPr>
          <w:p w14:paraId="26FF0CB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230.385</w:t>
            </w:r>
          </w:p>
        </w:tc>
        <w:tc>
          <w:tcPr>
            <w:tcW w:w="960" w:type="dxa"/>
            <w:tcBorders>
              <w:top w:val="nil"/>
              <w:left w:val="nil"/>
              <w:bottom w:val="single" w:sz="4" w:space="0" w:color="auto"/>
              <w:right w:val="single" w:sz="4" w:space="0" w:color="auto"/>
            </w:tcBorders>
            <w:shd w:val="clear" w:color="auto" w:fill="auto"/>
            <w:noWrap/>
            <w:vAlign w:val="bottom"/>
            <w:hideMark/>
          </w:tcPr>
          <w:p w14:paraId="21971CE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228.077</w:t>
            </w:r>
          </w:p>
        </w:tc>
        <w:tc>
          <w:tcPr>
            <w:tcW w:w="960" w:type="dxa"/>
            <w:tcBorders>
              <w:top w:val="nil"/>
              <w:left w:val="nil"/>
              <w:bottom w:val="single" w:sz="4" w:space="0" w:color="auto"/>
              <w:right w:val="single" w:sz="4" w:space="0" w:color="auto"/>
            </w:tcBorders>
            <w:shd w:val="clear" w:color="auto" w:fill="auto"/>
            <w:noWrap/>
            <w:vAlign w:val="bottom"/>
            <w:hideMark/>
          </w:tcPr>
          <w:p w14:paraId="3D3B7BC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92.318</w:t>
            </w:r>
          </w:p>
        </w:tc>
        <w:tc>
          <w:tcPr>
            <w:tcW w:w="960" w:type="dxa"/>
            <w:tcBorders>
              <w:top w:val="nil"/>
              <w:left w:val="nil"/>
              <w:bottom w:val="single" w:sz="4" w:space="0" w:color="auto"/>
              <w:right w:val="single" w:sz="4" w:space="0" w:color="auto"/>
            </w:tcBorders>
            <w:shd w:val="clear" w:color="auto" w:fill="auto"/>
            <w:noWrap/>
            <w:vAlign w:val="bottom"/>
            <w:hideMark/>
          </w:tcPr>
          <w:p w14:paraId="2E08D9F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240.692</w:t>
            </w:r>
          </w:p>
        </w:tc>
        <w:tc>
          <w:tcPr>
            <w:tcW w:w="960" w:type="dxa"/>
            <w:tcBorders>
              <w:top w:val="nil"/>
              <w:left w:val="nil"/>
              <w:bottom w:val="single" w:sz="4" w:space="0" w:color="auto"/>
              <w:right w:val="single" w:sz="4" w:space="0" w:color="auto"/>
            </w:tcBorders>
            <w:shd w:val="clear" w:color="auto" w:fill="auto"/>
            <w:noWrap/>
            <w:vAlign w:val="bottom"/>
            <w:hideMark/>
          </w:tcPr>
          <w:p w14:paraId="249F7E1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229.462</w:t>
            </w:r>
          </w:p>
        </w:tc>
        <w:tc>
          <w:tcPr>
            <w:tcW w:w="960" w:type="dxa"/>
            <w:tcBorders>
              <w:top w:val="nil"/>
              <w:left w:val="nil"/>
              <w:bottom w:val="single" w:sz="4" w:space="0" w:color="auto"/>
              <w:right w:val="single" w:sz="4" w:space="0" w:color="auto"/>
            </w:tcBorders>
            <w:shd w:val="clear" w:color="auto" w:fill="auto"/>
            <w:noWrap/>
            <w:vAlign w:val="bottom"/>
            <w:hideMark/>
          </w:tcPr>
          <w:p w14:paraId="15B47D7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239.000</w:t>
            </w:r>
          </w:p>
        </w:tc>
        <w:tc>
          <w:tcPr>
            <w:tcW w:w="1960" w:type="dxa"/>
            <w:tcBorders>
              <w:top w:val="nil"/>
              <w:left w:val="nil"/>
              <w:bottom w:val="nil"/>
              <w:right w:val="nil"/>
            </w:tcBorders>
            <w:shd w:val="clear" w:color="auto" w:fill="auto"/>
            <w:noWrap/>
            <w:vAlign w:val="bottom"/>
            <w:hideMark/>
          </w:tcPr>
          <w:p w14:paraId="483DFA8C"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38C6C41C"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D69C41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25</w:t>
            </w:r>
          </w:p>
        </w:tc>
        <w:tc>
          <w:tcPr>
            <w:tcW w:w="960" w:type="dxa"/>
            <w:tcBorders>
              <w:top w:val="nil"/>
              <w:left w:val="nil"/>
              <w:bottom w:val="single" w:sz="4" w:space="0" w:color="auto"/>
              <w:right w:val="single" w:sz="4" w:space="0" w:color="auto"/>
            </w:tcBorders>
            <w:shd w:val="clear" w:color="auto" w:fill="auto"/>
            <w:noWrap/>
            <w:vAlign w:val="bottom"/>
            <w:hideMark/>
          </w:tcPr>
          <w:p w14:paraId="5D94540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233.192</w:t>
            </w:r>
          </w:p>
        </w:tc>
        <w:tc>
          <w:tcPr>
            <w:tcW w:w="960" w:type="dxa"/>
            <w:tcBorders>
              <w:top w:val="nil"/>
              <w:left w:val="nil"/>
              <w:bottom w:val="single" w:sz="4" w:space="0" w:color="auto"/>
              <w:right w:val="single" w:sz="4" w:space="0" w:color="auto"/>
            </w:tcBorders>
            <w:shd w:val="clear" w:color="auto" w:fill="auto"/>
            <w:noWrap/>
            <w:vAlign w:val="bottom"/>
            <w:hideMark/>
          </w:tcPr>
          <w:p w14:paraId="1E69BC2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231.039</w:t>
            </w:r>
          </w:p>
        </w:tc>
        <w:tc>
          <w:tcPr>
            <w:tcW w:w="960" w:type="dxa"/>
            <w:tcBorders>
              <w:top w:val="nil"/>
              <w:left w:val="nil"/>
              <w:bottom w:val="single" w:sz="4" w:space="0" w:color="auto"/>
              <w:right w:val="single" w:sz="4" w:space="0" w:color="auto"/>
            </w:tcBorders>
            <w:shd w:val="clear" w:color="auto" w:fill="auto"/>
            <w:noWrap/>
            <w:vAlign w:val="bottom"/>
            <w:hideMark/>
          </w:tcPr>
          <w:p w14:paraId="59643C4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92.000</w:t>
            </w:r>
          </w:p>
        </w:tc>
        <w:tc>
          <w:tcPr>
            <w:tcW w:w="960" w:type="dxa"/>
            <w:tcBorders>
              <w:top w:val="nil"/>
              <w:left w:val="nil"/>
              <w:bottom w:val="single" w:sz="4" w:space="0" w:color="auto"/>
              <w:right w:val="single" w:sz="4" w:space="0" w:color="auto"/>
            </w:tcBorders>
            <w:shd w:val="clear" w:color="auto" w:fill="auto"/>
            <w:noWrap/>
            <w:vAlign w:val="bottom"/>
            <w:hideMark/>
          </w:tcPr>
          <w:p w14:paraId="756918E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241.295</w:t>
            </w:r>
          </w:p>
        </w:tc>
        <w:tc>
          <w:tcPr>
            <w:tcW w:w="960" w:type="dxa"/>
            <w:tcBorders>
              <w:top w:val="nil"/>
              <w:left w:val="nil"/>
              <w:bottom w:val="single" w:sz="4" w:space="0" w:color="auto"/>
              <w:right w:val="single" w:sz="4" w:space="0" w:color="auto"/>
            </w:tcBorders>
            <w:shd w:val="clear" w:color="auto" w:fill="auto"/>
            <w:noWrap/>
            <w:vAlign w:val="bottom"/>
            <w:hideMark/>
          </w:tcPr>
          <w:p w14:paraId="5BEE319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233.840</w:t>
            </w:r>
          </w:p>
        </w:tc>
        <w:tc>
          <w:tcPr>
            <w:tcW w:w="960" w:type="dxa"/>
            <w:tcBorders>
              <w:top w:val="nil"/>
              <w:left w:val="nil"/>
              <w:bottom w:val="single" w:sz="4" w:space="0" w:color="auto"/>
              <w:right w:val="single" w:sz="4" w:space="0" w:color="auto"/>
            </w:tcBorders>
            <w:shd w:val="clear" w:color="auto" w:fill="auto"/>
            <w:noWrap/>
            <w:vAlign w:val="bottom"/>
            <w:hideMark/>
          </w:tcPr>
          <w:p w14:paraId="5BF11A2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239.000</w:t>
            </w:r>
          </w:p>
        </w:tc>
        <w:tc>
          <w:tcPr>
            <w:tcW w:w="1960" w:type="dxa"/>
            <w:tcBorders>
              <w:top w:val="nil"/>
              <w:left w:val="nil"/>
              <w:bottom w:val="nil"/>
              <w:right w:val="nil"/>
            </w:tcBorders>
            <w:shd w:val="clear" w:color="auto" w:fill="auto"/>
            <w:noWrap/>
            <w:vAlign w:val="bottom"/>
            <w:hideMark/>
          </w:tcPr>
          <w:p w14:paraId="4B8497F7"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43056EF1"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C5E36C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26</w:t>
            </w:r>
          </w:p>
        </w:tc>
        <w:tc>
          <w:tcPr>
            <w:tcW w:w="960" w:type="dxa"/>
            <w:tcBorders>
              <w:top w:val="nil"/>
              <w:left w:val="nil"/>
              <w:bottom w:val="single" w:sz="4" w:space="0" w:color="auto"/>
              <w:right w:val="single" w:sz="4" w:space="0" w:color="auto"/>
            </w:tcBorders>
            <w:shd w:val="clear" w:color="auto" w:fill="auto"/>
            <w:noWrap/>
            <w:vAlign w:val="bottom"/>
            <w:hideMark/>
          </w:tcPr>
          <w:p w14:paraId="0568F4A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235.813</w:t>
            </w:r>
          </w:p>
        </w:tc>
        <w:tc>
          <w:tcPr>
            <w:tcW w:w="960" w:type="dxa"/>
            <w:tcBorders>
              <w:top w:val="nil"/>
              <w:left w:val="nil"/>
              <w:bottom w:val="single" w:sz="4" w:space="0" w:color="auto"/>
              <w:right w:val="single" w:sz="4" w:space="0" w:color="auto"/>
            </w:tcBorders>
            <w:shd w:val="clear" w:color="auto" w:fill="auto"/>
            <w:noWrap/>
            <w:vAlign w:val="bottom"/>
            <w:hideMark/>
          </w:tcPr>
          <w:p w14:paraId="267F25A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234.063</w:t>
            </w:r>
          </w:p>
        </w:tc>
        <w:tc>
          <w:tcPr>
            <w:tcW w:w="960" w:type="dxa"/>
            <w:tcBorders>
              <w:top w:val="nil"/>
              <w:left w:val="nil"/>
              <w:bottom w:val="single" w:sz="4" w:space="0" w:color="auto"/>
              <w:right w:val="single" w:sz="4" w:space="0" w:color="auto"/>
            </w:tcBorders>
            <w:shd w:val="clear" w:color="auto" w:fill="auto"/>
            <w:noWrap/>
            <w:vAlign w:val="bottom"/>
            <w:hideMark/>
          </w:tcPr>
          <w:p w14:paraId="76D54AB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92.677</w:t>
            </w:r>
          </w:p>
        </w:tc>
        <w:tc>
          <w:tcPr>
            <w:tcW w:w="960" w:type="dxa"/>
            <w:tcBorders>
              <w:top w:val="nil"/>
              <w:left w:val="nil"/>
              <w:bottom w:val="single" w:sz="4" w:space="0" w:color="auto"/>
              <w:right w:val="single" w:sz="4" w:space="0" w:color="auto"/>
            </w:tcBorders>
            <w:shd w:val="clear" w:color="auto" w:fill="auto"/>
            <w:noWrap/>
            <w:vAlign w:val="bottom"/>
            <w:hideMark/>
          </w:tcPr>
          <w:p w14:paraId="6FA04BC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242.250</w:t>
            </w:r>
          </w:p>
        </w:tc>
        <w:tc>
          <w:tcPr>
            <w:tcW w:w="960" w:type="dxa"/>
            <w:tcBorders>
              <w:top w:val="nil"/>
              <w:left w:val="nil"/>
              <w:bottom w:val="single" w:sz="4" w:space="0" w:color="auto"/>
              <w:right w:val="single" w:sz="4" w:space="0" w:color="auto"/>
            </w:tcBorders>
            <w:shd w:val="clear" w:color="auto" w:fill="auto"/>
            <w:noWrap/>
            <w:vAlign w:val="bottom"/>
            <w:hideMark/>
          </w:tcPr>
          <w:p w14:paraId="7387464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236.750</w:t>
            </w:r>
          </w:p>
        </w:tc>
        <w:tc>
          <w:tcPr>
            <w:tcW w:w="960" w:type="dxa"/>
            <w:tcBorders>
              <w:top w:val="nil"/>
              <w:left w:val="nil"/>
              <w:bottom w:val="single" w:sz="4" w:space="0" w:color="auto"/>
              <w:right w:val="single" w:sz="4" w:space="0" w:color="auto"/>
            </w:tcBorders>
            <w:shd w:val="clear" w:color="auto" w:fill="auto"/>
            <w:noWrap/>
            <w:vAlign w:val="bottom"/>
            <w:hideMark/>
          </w:tcPr>
          <w:p w14:paraId="27A0659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239.062</w:t>
            </w:r>
          </w:p>
        </w:tc>
        <w:tc>
          <w:tcPr>
            <w:tcW w:w="1960" w:type="dxa"/>
            <w:tcBorders>
              <w:top w:val="nil"/>
              <w:left w:val="nil"/>
              <w:bottom w:val="nil"/>
              <w:right w:val="nil"/>
            </w:tcBorders>
            <w:shd w:val="clear" w:color="auto" w:fill="auto"/>
            <w:noWrap/>
            <w:vAlign w:val="bottom"/>
            <w:hideMark/>
          </w:tcPr>
          <w:p w14:paraId="4F67250E"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033EE457"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27DD9C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27</w:t>
            </w:r>
          </w:p>
        </w:tc>
        <w:tc>
          <w:tcPr>
            <w:tcW w:w="960" w:type="dxa"/>
            <w:tcBorders>
              <w:top w:val="nil"/>
              <w:left w:val="nil"/>
              <w:bottom w:val="single" w:sz="4" w:space="0" w:color="auto"/>
              <w:right w:val="single" w:sz="4" w:space="0" w:color="auto"/>
            </w:tcBorders>
            <w:shd w:val="clear" w:color="auto" w:fill="auto"/>
            <w:noWrap/>
            <w:vAlign w:val="bottom"/>
            <w:hideMark/>
          </w:tcPr>
          <w:p w14:paraId="7117C8E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238.865</w:t>
            </w:r>
          </w:p>
        </w:tc>
        <w:tc>
          <w:tcPr>
            <w:tcW w:w="960" w:type="dxa"/>
            <w:tcBorders>
              <w:top w:val="nil"/>
              <w:left w:val="nil"/>
              <w:bottom w:val="single" w:sz="4" w:space="0" w:color="auto"/>
              <w:right w:val="single" w:sz="4" w:space="0" w:color="auto"/>
            </w:tcBorders>
            <w:shd w:val="clear" w:color="auto" w:fill="auto"/>
            <w:noWrap/>
            <w:vAlign w:val="bottom"/>
            <w:hideMark/>
          </w:tcPr>
          <w:p w14:paraId="3882650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237.862</w:t>
            </w:r>
          </w:p>
        </w:tc>
        <w:tc>
          <w:tcPr>
            <w:tcW w:w="960" w:type="dxa"/>
            <w:tcBorders>
              <w:top w:val="nil"/>
              <w:left w:val="nil"/>
              <w:bottom w:val="single" w:sz="4" w:space="0" w:color="auto"/>
              <w:right w:val="single" w:sz="4" w:space="0" w:color="auto"/>
            </w:tcBorders>
            <w:shd w:val="clear" w:color="auto" w:fill="auto"/>
            <w:noWrap/>
            <w:vAlign w:val="bottom"/>
            <w:hideMark/>
          </w:tcPr>
          <w:p w14:paraId="7D6AE98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95.831</w:t>
            </w:r>
          </w:p>
        </w:tc>
        <w:tc>
          <w:tcPr>
            <w:tcW w:w="960" w:type="dxa"/>
            <w:tcBorders>
              <w:top w:val="nil"/>
              <w:left w:val="nil"/>
              <w:bottom w:val="single" w:sz="4" w:space="0" w:color="auto"/>
              <w:right w:val="single" w:sz="4" w:space="0" w:color="auto"/>
            </w:tcBorders>
            <w:shd w:val="clear" w:color="auto" w:fill="auto"/>
            <w:noWrap/>
            <w:vAlign w:val="bottom"/>
            <w:hideMark/>
          </w:tcPr>
          <w:p w14:paraId="098CCE8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243.004</w:t>
            </w:r>
          </w:p>
        </w:tc>
        <w:tc>
          <w:tcPr>
            <w:tcW w:w="960" w:type="dxa"/>
            <w:tcBorders>
              <w:top w:val="nil"/>
              <w:left w:val="nil"/>
              <w:bottom w:val="single" w:sz="4" w:space="0" w:color="auto"/>
              <w:right w:val="single" w:sz="4" w:space="0" w:color="auto"/>
            </w:tcBorders>
            <w:shd w:val="clear" w:color="auto" w:fill="auto"/>
            <w:noWrap/>
            <w:vAlign w:val="bottom"/>
            <w:hideMark/>
          </w:tcPr>
          <w:p w14:paraId="79DC1B2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238.933</w:t>
            </w:r>
          </w:p>
        </w:tc>
        <w:tc>
          <w:tcPr>
            <w:tcW w:w="960" w:type="dxa"/>
            <w:tcBorders>
              <w:top w:val="nil"/>
              <w:left w:val="nil"/>
              <w:bottom w:val="single" w:sz="4" w:space="0" w:color="auto"/>
              <w:right w:val="single" w:sz="4" w:space="0" w:color="auto"/>
            </w:tcBorders>
            <w:shd w:val="clear" w:color="auto" w:fill="auto"/>
            <w:noWrap/>
            <w:vAlign w:val="bottom"/>
            <w:hideMark/>
          </w:tcPr>
          <w:p w14:paraId="0C09DE7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239.879</w:t>
            </w:r>
          </w:p>
        </w:tc>
        <w:tc>
          <w:tcPr>
            <w:tcW w:w="1960" w:type="dxa"/>
            <w:tcBorders>
              <w:top w:val="nil"/>
              <w:left w:val="nil"/>
              <w:bottom w:val="nil"/>
              <w:right w:val="nil"/>
            </w:tcBorders>
            <w:shd w:val="clear" w:color="auto" w:fill="auto"/>
            <w:noWrap/>
            <w:vAlign w:val="bottom"/>
            <w:hideMark/>
          </w:tcPr>
          <w:p w14:paraId="71A9340E"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23A53283"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ECA9CC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28</w:t>
            </w:r>
          </w:p>
        </w:tc>
        <w:tc>
          <w:tcPr>
            <w:tcW w:w="960" w:type="dxa"/>
            <w:tcBorders>
              <w:top w:val="nil"/>
              <w:left w:val="nil"/>
              <w:bottom w:val="single" w:sz="4" w:space="0" w:color="auto"/>
              <w:right w:val="single" w:sz="4" w:space="0" w:color="auto"/>
            </w:tcBorders>
            <w:shd w:val="clear" w:color="auto" w:fill="auto"/>
            <w:noWrap/>
            <w:vAlign w:val="bottom"/>
            <w:hideMark/>
          </w:tcPr>
          <w:p w14:paraId="5DED102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242.827</w:t>
            </w:r>
          </w:p>
        </w:tc>
        <w:tc>
          <w:tcPr>
            <w:tcW w:w="960" w:type="dxa"/>
            <w:tcBorders>
              <w:top w:val="nil"/>
              <w:left w:val="nil"/>
              <w:bottom w:val="single" w:sz="4" w:space="0" w:color="auto"/>
              <w:right w:val="single" w:sz="4" w:space="0" w:color="auto"/>
            </w:tcBorders>
            <w:shd w:val="clear" w:color="auto" w:fill="auto"/>
            <w:noWrap/>
            <w:vAlign w:val="bottom"/>
            <w:hideMark/>
          </w:tcPr>
          <w:p w14:paraId="6A90954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242.231</w:t>
            </w:r>
          </w:p>
        </w:tc>
        <w:tc>
          <w:tcPr>
            <w:tcW w:w="960" w:type="dxa"/>
            <w:tcBorders>
              <w:top w:val="nil"/>
              <w:left w:val="nil"/>
              <w:bottom w:val="single" w:sz="4" w:space="0" w:color="auto"/>
              <w:right w:val="single" w:sz="4" w:space="0" w:color="auto"/>
            </w:tcBorders>
            <w:shd w:val="clear" w:color="auto" w:fill="auto"/>
            <w:noWrap/>
            <w:vAlign w:val="bottom"/>
            <w:hideMark/>
          </w:tcPr>
          <w:p w14:paraId="47BCD0F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99.922</w:t>
            </w:r>
          </w:p>
        </w:tc>
        <w:tc>
          <w:tcPr>
            <w:tcW w:w="960" w:type="dxa"/>
            <w:tcBorders>
              <w:top w:val="nil"/>
              <w:left w:val="nil"/>
              <w:bottom w:val="single" w:sz="4" w:space="0" w:color="auto"/>
              <w:right w:val="single" w:sz="4" w:space="0" w:color="auto"/>
            </w:tcBorders>
            <w:shd w:val="clear" w:color="auto" w:fill="auto"/>
            <w:noWrap/>
            <w:vAlign w:val="bottom"/>
            <w:hideMark/>
          </w:tcPr>
          <w:p w14:paraId="31A86DD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243.404</w:t>
            </w:r>
          </w:p>
        </w:tc>
        <w:tc>
          <w:tcPr>
            <w:tcW w:w="960" w:type="dxa"/>
            <w:tcBorders>
              <w:top w:val="nil"/>
              <w:left w:val="nil"/>
              <w:bottom w:val="single" w:sz="4" w:space="0" w:color="auto"/>
              <w:right w:val="single" w:sz="4" w:space="0" w:color="auto"/>
            </w:tcBorders>
            <w:shd w:val="clear" w:color="auto" w:fill="auto"/>
            <w:noWrap/>
            <w:vAlign w:val="bottom"/>
            <w:hideMark/>
          </w:tcPr>
          <w:p w14:paraId="258AA51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240.212</w:t>
            </w:r>
          </w:p>
        </w:tc>
        <w:tc>
          <w:tcPr>
            <w:tcW w:w="960" w:type="dxa"/>
            <w:tcBorders>
              <w:top w:val="nil"/>
              <w:left w:val="nil"/>
              <w:bottom w:val="single" w:sz="4" w:space="0" w:color="auto"/>
              <w:right w:val="single" w:sz="4" w:space="0" w:color="auto"/>
            </w:tcBorders>
            <w:shd w:val="clear" w:color="auto" w:fill="auto"/>
            <w:noWrap/>
            <w:vAlign w:val="bottom"/>
            <w:hideMark/>
          </w:tcPr>
          <w:p w14:paraId="52ECA1A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239.904</w:t>
            </w:r>
          </w:p>
        </w:tc>
        <w:tc>
          <w:tcPr>
            <w:tcW w:w="1960" w:type="dxa"/>
            <w:tcBorders>
              <w:top w:val="nil"/>
              <w:left w:val="nil"/>
              <w:bottom w:val="nil"/>
              <w:right w:val="nil"/>
            </w:tcBorders>
            <w:shd w:val="clear" w:color="auto" w:fill="auto"/>
            <w:noWrap/>
            <w:vAlign w:val="bottom"/>
            <w:hideMark/>
          </w:tcPr>
          <w:p w14:paraId="5B032B69"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2DBD782F"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38F9D7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29</w:t>
            </w:r>
          </w:p>
        </w:tc>
        <w:tc>
          <w:tcPr>
            <w:tcW w:w="960" w:type="dxa"/>
            <w:tcBorders>
              <w:top w:val="nil"/>
              <w:left w:val="nil"/>
              <w:bottom w:val="single" w:sz="4" w:space="0" w:color="auto"/>
              <w:right w:val="single" w:sz="4" w:space="0" w:color="auto"/>
            </w:tcBorders>
            <w:shd w:val="clear" w:color="auto" w:fill="auto"/>
            <w:noWrap/>
            <w:vAlign w:val="bottom"/>
            <w:hideMark/>
          </w:tcPr>
          <w:p w14:paraId="07998C5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245.371</w:t>
            </w:r>
          </w:p>
        </w:tc>
        <w:tc>
          <w:tcPr>
            <w:tcW w:w="960" w:type="dxa"/>
            <w:tcBorders>
              <w:top w:val="nil"/>
              <w:left w:val="nil"/>
              <w:bottom w:val="single" w:sz="4" w:space="0" w:color="auto"/>
              <w:right w:val="single" w:sz="4" w:space="0" w:color="auto"/>
            </w:tcBorders>
            <w:shd w:val="clear" w:color="auto" w:fill="auto"/>
            <w:noWrap/>
            <w:vAlign w:val="bottom"/>
            <w:hideMark/>
          </w:tcPr>
          <w:p w14:paraId="28A9CDD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245.298</w:t>
            </w:r>
          </w:p>
        </w:tc>
        <w:tc>
          <w:tcPr>
            <w:tcW w:w="960" w:type="dxa"/>
            <w:tcBorders>
              <w:top w:val="nil"/>
              <w:left w:val="nil"/>
              <w:bottom w:val="single" w:sz="4" w:space="0" w:color="auto"/>
              <w:right w:val="single" w:sz="4" w:space="0" w:color="auto"/>
            </w:tcBorders>
            <w:shd w:val="clear" w:color="auto" w:fill="auto"/>
            <w:noWrap/>
            <w:vAlign w:val="bottom"/>
            <w:hideMark/>
          </w:tcPr>
          <w:p w14:paraId="154A314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101.545</w:t>
            </w:r>
          </w:p>
        </w:tc>
        <w:tc>
          <w:tcPr>
            <w:tcW w:w="960" w:type="dxa"/>
            <w:tcBorders>
              <w:top w:val="nil"/>
              <w:left w:val="nil"/>
              <w:bottom w:val="single" w:sz="4" w:space="0" w:color="auto"/>
              <w:right w:val="single" w:sz="4" w:space="0" w:color="auto"/>
            </w:tcBorders>
            <w:shd w:val="clear" w:color="auto" w:fill="auto"/>
            <w:noWrap/>
            <w:vAlign w:val="bottom"/>
            <w:hideMark/>
          </w:tcPr>
          <w:p w14:paraId="5A50726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243.927</w:t>
            </w:r>
          </w:p>
        </w:tc>
        <w:tc>
          <w:tcPr>
            <w:tcW w:w="960" w:type="dxa"/>
            <w:tcBorders>
              <w:top w:val="nil"/>
              <w:left w:val="nil"/>
              <w:bottom w:val="single" w:sz="4" w:space="0" w:color="auto"/>
              <w:right w:val="single" w:sz="4" w:space="0" w:color="auto"/>
            </w:tcBorders>
            <w:shd w:val="clear" w:color="auto" w:fill="auto"/>
            <w:noWrap/>
            <w:vAlign w:val="bottom"/>
            <w:hideMark/>
          </w:tcPr>
          <w:p w14:paraId="5B412FC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239.802</w:t>
            </w:r>
          </w:p>
        </w:tc>
        <w:tc>
          <w:tcPr>
            <w:tcW w:w="960" w:type="dxa"/>
            <w:tcBorders>
              <w:top w:val="nil"/>
              <w:left w:val="nil"/>
              <w:bottom w:val="single" w:sz="4" w:space="0" w:color="auto"/>
              <w:right w:val="single" w:sz="4" w:space="0" w:color="auto"/>
            </w:tcBorders>
            <w:shd w:val="clear" w:color="auto" w:fill="auto"/>
            <w:noWrap/>
            <w:vAlign w:val="bottom"/>
            <w:hideMark/>
          </w:tcPr>
          <w:p w14:paraId="6ED1FF9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239.875</w:t>
            </w:r>
          </w:p>
        </w:tc>
        <w:tc>
          <w:tcPr>
            <w:tcW w:w="1960" w:type="dxa"/>
            <w:tcBorders>
              <w:top w:val="nil"/>
              <w:left w:val="nil"/>
              <w:bottom w:val="nil"/>
              <w:right w:val="nil"/>
            </w:tcBorders>
            <w:shd w:val="clear" w:color="auto" w:fill="auto"/>
            <w:noWrap/>
            <w:vAlign w:val="bottom"/>
            <w:hideMark/>
          </w:tcPr>
          <w:p w14:paraId="09481796"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07F362A6"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8B880B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30</w:t>
            </w:r>
          </w:p>
        </w:tc>
        <w:tc>
          <w:tcPr>
            <w:tcW w:w="960" w:type="dxa"/>
            <w:tcBorders>
              <w:top w:val="nil"/>
              <w:left w:val="nil"/>
              <w:bottom w:val="single" w:sz="4" w:space="0" w:color="auto"/>
              <w:right w:val="single" w:sz="4" w:space="0" w:color="auto"/>
            </w:tcBorders>
            <w:shd w:val="clear" w:color="auto" w:fill="auto"/>
            <w:noWrap/>
            <w:vAlign w:val="bottom"/>
            <w:hideMark/>
          </w:tcPr>
          <w:p w14:paraId="392F881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248.048</w:t>
            </w:r>
          </w:p>
        </w:tc>
        <w:tc>
          <w:tcPr>
            <w:tcW w:w="960" w:type="dxa"/>
            <w:tcBorders>
              <w:top w:val="nil"/>
              <w:left w:val="nil"/>
              <w:bottom w:val="single" w:sz="4" w:space="0" w:color="auto"/>
              <w:right w:val="single" w:sz="4" w:space="0" w:color="auto"/>
            </w:tcBorders>
            <w:shd w:val="clear" w:color="auto" w:fill="auto"/>
            <w:noWrap/>
            <w:vAlign w:val="bottom"/>
            <w:hideMark/>
          </w:tcPr>
          <w:p w14:paraId="6F847B0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247.207</w:t>
            </w:r>
          </w:p>
        </w:tc>
        <w:tc>
          <w:tcPr>
            <w:tcW w:w="960" w:type="dxa"/>
            <w:tcBorders>
              <w:top w:val="nil"/>
              <w:left w:val="nil"/>
              <w:bottom w:val="single" w:sz="4" w:space="0" w:color="auto"/>
              <w:right w:val="single" w:sz="4" w:space="0" w:color="auto"/>
            </w:tcBorders>
            <w:shd w:val="clear" w:color="auto" w:fill="auto"/>
            <w:noWrap/>
            <w:vAlign w:val="bottom"/>
            <w:hideMark/>
          </w:tcPr>
          <w:p w14:paraId="4870768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103.341</w:t>
            </w:r>
          </w:p>
        </w:tc>
        <w:tc>
          <w:tcPr>
            <w:tcW w:w="960" w:type="dxa"/>
            <w:tcBorders>
              <w:top w:val="nil"/>
              <w:left w:val="nil"/>
              <w:bottom w:val="single" w:sz="4" w:space="0" w:color="auto"/>
              <w:right w:val="single" w:sz="4" w:space="0" w:color="auto"/>
            </w:tcBorders>
            <w:shd w:val="clear" w:color="auto" w:fill="auto"/>
            <w:noWrap/>
            <w:vAlign w:val="bottom"/>
            <w:hideMark/>
          </w:tcPr>
          <w:p w14:paraId="1D7F57A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243.341</w:t>
            </w:r>
          </w:p>
        </w:tc>
        <w:tc>
          <w:tcPr>
            <w:tcW w:w="960" w:type="dxa"/>
            <w:tcBorders>
              <w:top w:val="nil"/>
              <w:left w:val="nil"/>
              <w:bottom w:val="single" w:sz="4" w:space="0" w:color="auto"/>
              <w:right w:val="single" w:sz="4" w:space="0" w:color="auto"/>
            </w:tcBorders>
            <w:shd w:val="clear" w:color="auto" w:fill="auto"/>
            <w:noWrap/>
            <w:vAlign w:val="bottom"/>
            <w:hideMark/>
          </w:tcPr>
          <w:p w14:paraId="3951A5B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239.048</w:t>
            </w:r>
          </w:p>
        </w:tc>
        <w:tc>
          <w:tcPr>
            <w:tcW w:w="960" w:type="dxa"/>
            <w:tcBorders>
              <w:top w:val="nil"/>
              <w:left w:val="nil"/>
              <w:bottom w:val="single" w:sz="4" w:space="0" w:color="auto"/>
              <w:right w:val="single" w:sz="4" w:space="0" w:color="auto"/>
            </w:tcBorders>
            <w:shd w:val="clear" w:color="auto" w:fill="auto"/>
            <w:noWrap/>
            <w:vAlign w:val="bottom"/>
            <w:hideMark/>
          </w:tcPr>
          <w:p w14:paraId="0C500CD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239.250</w:t>
            </w:r>
          </w:p>
        </w:tc>
        <w:tc>
          <w:tcPr>
            <w:tcW w:w="1960" w:type="dxa"/>
            <w:tcBorders>
              <w:top w:val="nil"/>
              <w:left w:val="nil"/>
              <w:bottom w:val="nil"/>
              <w:right w:val="nil"/>
            </w:tcBorders>
            <w:shd w:val="clear" w:color="auto" w:fill="auto"/>
            <w:noWrap/>
            <w:vAlign w:val="bottom"/>
            <w:hideMark/>
          </w:tcPr>
          <w:p w14:paraId="760A65E1"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4AA07837"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F1C422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31</w:t>
            </w:r>
          </w:p>
        </w:tc>
        <w:tc>
          <w:tcPr>
            <w:tcW w:w="960" w:type="dxa"/>
            <w:tcBorders>
              <w:top w:val="nil"/>
              <w:left w:val="nil"/>
              <w:bottom w:val="single" w:sz="4" w:space="0" w:color="auto"/>
              <w:right w:val="single" w:sz="4" w:space="0" w:color="auto"/>
            </w:tcBorders>
            <w:shd w:val="clear" w:color="auto" w:fill="auto"/>
            <w:noWrap/>
            <w:vAlign w:val="bottom"/>
            <w:hideMark/>
          </w:tcPr>
          <w:p w14:paraId="1A23002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249.054</w:t>
            </w:r>
          </w:p>
        </w:tc>
        <w:tc>
          <w:tcPr>
            <w:tcW w:w="960" w:type="dxa"/>
            <w:tcBorders>
              <w:top w:val="nil"/>
              <w:left w:val="nil"/>
              <w:bottom w:val="single" w:sz="4" w:space="0" w:color="auto"/>
              <w:right w:val="single" w:sz="4" w:space="0" w:color="auto"/>
            </w:tcBorders>
            <w:shd w:val="clear" w:color="auto" w:fill="auto"/>
            <w:noWrap/>
            <w:vAlign w:val="bottom"/>
            <w:hideMark/>
          </w:tcPr>
          <w:p w14:paraId="4BC9A92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247.679</w:t>
            </w:r>
          </w:p>
        </w:tc>
        <w:tc>
          <w:tcPr>
            <w:tcW w:w="960" w:type="dxa"/>
            <w:tcBorders>
              <w:top w:val="nil"/>
              <w:left w:val="nil"/>
              <w:bottom w:val="single" w:sz="4" w:space="0" w:color="auto"/>
              <w:right w:val="single" w:sz="4" w:space="0" w:color="auto"/>
            </w:tcBorders>
            <w:shd w:val="clear" w:color="auto" w:fill="auto"/>
            <w:noWrap/>
            <w:vAlign w:val="bottom"/>
            <w:hideMark/>
          </w:tcPr>
          <w:p w14:paraId="126B97A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106.797</w:t>
            </w:r>
          </w:p>
        </w:tc>
        <w:tc>
          <w:tcPr>
            <w:tcW w:w="960" w:type="dxa"/>
            <w:tcBorders>
              <w:top w:val="nil"/>
              <w:left w:val="nil"/>
              <w:bottom w:val="single" w:sz="4" w:space="0" w:color="auto"/>
              <w:right w:val="single" w:sz="4" w:space="0" w:color="auto"/>
            </w:tcBorders>
            <w:shd w:val="clear" w:color="auto" w:fill="auto"/>
            <w:noWrap/>
            <w:vAlign w:val="bottom"/>
            <w:hideMark/>
          </w:tcPr>
          <w:p w14:paraId="44A5FB5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243.180</w:t>
            </w:r>
          </w:p>
        </w:tc>
        <w:tc>
          <w:tcPr>
            <w:tcW w:w="960" w:type="dxa"/>
            <w:tcBorders>
              <w:top w:val="nil"/>
              <w:left w:val="nil"/>
              <w:bottom w:val="single" w:sz="4" w:space="0" w:color="auto"/>
              <w:right w:val="single" w:sz="4" w:space="0" w:color="auto"/>
            </w:tcBorders>
            <w:shd w:val="clear" w:color="auto" w:fill="auto"/>
            <w:noWrap/>
            <w:vAlign w:val="bottom"/>
            <w:hideMark/>
          </w:tcPr>
          <w:p w14:paraId="2EA84DB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239.304</w:t>
            </w:r>
          </w:p>
        </w:tc>
        <w:tc>
          <w:tcPr>
            <w:tcW w:w="960" w:type="dxa"/>
            <w:tcBorders>
              <w:top w:val="nil"/>
              <w:left w:val="nil"/>
              <w:bottom w:val="single" w:sz="4" w:space="0" w:color="auto"/>
              <w:right w:val="single" w:sz="4" w:space="0" w:color="auto"/>
            </w:tcBorders>
            <w:shd w:val="clear" w:color="auto" w:fill="auto"/>
            <w:noWrap/>
            <w:vAlign w:val="bottom"/>
            <w:hideMark/>
          </w:tcPr>
          <w:p w14:paraId="09BA2AC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238.106</w:t>
            </w:r>
          </w:p>
        </w:tc>
        <w:tc>
          <w:tcPr>
            <w:tcW w:w="1960" w:type="dxa"/>
            <w:tcBorders>
              <w:top w:val="nil"/>
              <w:left w:val="nil"/>
              <w:bottom w:val="nil"/>
              <w:right w:val="nil"/>
            </w:tcBorders>
            <w:shd w:val="clear" w:color="auto" w:fill="auto"/>
            <w:noWrap/>
            <w:vAlign w:val="bottom"/>
            <w:hideMark/>
          </w:tcPr>
          <w:p w14:paraId="460861E5"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6A9B07AD"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930B0A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32</w:t>
            </w:r>
          </w:p>
        </w:tc>
        <w:tc>
          <w:tcPr>
            <w:tcW w:w="960" w:type="dxa"/>
            <w:tcBorders>
              <w:top w:val="nil"/>
              <w:left w:val="nil"/>
              <w:bottom w:val="single" w:sz="4" w:space="0" w:color="auto"/>
              <w:right w:val="single" w:sz="4" w:space="0" w:color="auto"/>
            </w:tcBorders>
            <w:shd w:val="clear" w:color="auto" w:fill="auto"/>
            <w:noWrap/>
            <w:vAlign w:val="bottom"/>
            <w:hideMark/>
          </w:tcPr>
          <w:p w14:paraId="2BF57B8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249.923</w:t>
            </w:r>
          </w:p>
        </w:tc>
        <w:tc>
          <w:tcPr>
            <w:tcW w:w="960" w:type="dxa"/>
            <w:tcBorders>
              <w:top w:val="nil"/>
              <w:left w:val="nil"/>
              <w:bottom w:val="single" w:sz="4" w:space="0" w:color="auto"/>
              <w:right w:val="single" w:sz="4" w:space="0" w:color="auto"/>
            </w:tcBorders>
            <w:shd w:val="clear" w:color="auto" w:fill="auto"/>
            <w:noWrap/>
            <w:vAlign w:val="bottom"/>
            <w:hideMark/>
          </w:tcPr>
          <w:p w14:paraId="03912F8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247.923</w:t>
            </w:r>
          </w:p>
        </w:tc>
        <w:tc>
          <w:tcPr>
            <w:tcW w:w="960" w:type="dxa"/>
            <w:tcBorders>
              <w:top w:val="nil"/>
              <w:left w:val="nil"/>
              <w:bottom w:val="single" w:sz="4" w:space="0" w:color="auto"/>
              <w:right w:val="single" w:sz="4" w:space="0" w:color="auto"/>
            </w:tcBorders>
            <w:shd w:val="clear" w:color="auto" w:fill="auto"/>
            <w:noWrap/>
            <w:vAlign w:val="bottom"/>
            <w:hideMark/>
          </w:tcPr>
          <w:p w14:paraId="73DA2CE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113.191</w:t>
            </w:r>
          </w:p>
        </w:tc>
        <w:tc>
          <w:tcPr>
            <w:tcW w:w="960" w:type="dxa"/>
            <w:tcBorders>
              <w:top w:val="nil"/>
              <w:left w:val="nil"/>
              <w:bottom w:val="single" w:sz="4" w:space="0" w:color="auto"/>
              <w:right w:val="single" w:sz="4" w:space="0" w:color="auto"/>
            </w:tcBorders>
            <w:shd w:val="clear" w:color="auto" w:fill="auto"/>
            <w:noWrap/>
            <w:vAlign w:val="bottom"/>
            <w:hideMark/>
          </w:tcPr>
          <w:p w14:paraId="13FA983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243.000</w:t>
            </w:r>
          </w:p>
        </w:tc>
        <w:tc>
          <w:tcPr>
            <w:tcW w:w="960" w:type="dxa"/>
            <w:tcBorders>
              <w:top w:val="nil"/>
              <w:left w:val="nil"/>
              <w:bottom w:val="single" w:sz="4" w:space="0" w:color="auto"/>
              <w:right w:val="single" w:sz="4" w:space="0" w:color="auto"/>
            </w:tcBorders>
            <w:shd w:val="clear" w:color="auto" w:fill="auto"/>
            <w:noWrap/>
            <w:vAlign w:val="bottom"/>
            <w:hideMark/>
          </w:tcPr>
          <w:p w14:paraId="0FADD28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238.923</w:t>
            </w:r>
          </w:p>
        </w:tc>
        <w:tc>
          <w:tcPr>
            <w:tcW w:w="960" w:type="dxa"/>
            <w:tcBorders>
              <w:top w:val="nil"/>
              <w:left w:val="nil"/>
              <w:bottom w:val="single" w:sz="4" w:space="0" w:color="auto"/>
              <w:right w:val="single" w:sz="4" w:space="0" w:color="auto"/>
            </w:tcBorders>
            <w:shd w:val="clear" w:color="auto" w:fill="auto"/>
            <w:noWrap/>
            <w:vAlign w:val="bottom"/>
            <w:hideMark/>
          </w:tcPr>
          <w:p w14:paraId="1A72D53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236.077</w:t>
            </w:r>
          </w:p>
        </w:tc>
        <w:tc>
          <w:tcPr>
            <w:tcW w:w="1960" w:type="dxa"/>
            <w:tcBorders>
              <w:top w:val="nil"/>
              <w:left w:val="nil"/>
              <w:bottom w:val="nil"/>
              <w:right w:val="nil"/>
            </w:tcBorders>
            <w:shd w:val="clear" w:color="auto" w:fill="auto"/>
            <w:noWrap/>
            <w:vAlign w:val="bottom"/>
            <w:hideMark/>
          </w:tcPr>
          <w:p w14:paraId="4269A991"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556F53C3"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882562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33</w:t>
            </w:r>
          </w:p>
        </w:tc>
        <w:tc>
          <w:tcPr>
            <w:tcW w:w="960" w:type="dxa"/>
            <w:tcBorders>
              <w:top w:val="nil"/>
              <w:left w:val="nil"/>
              <w:bottom w:val="single" w:sz="4" w:space="0" w:color="auto"/>
              <w:right w:val="single" w:sz="4" w:space="0" w:color="auto"/>
            </w:tcBorders>
            <w:shd w:val="clear" w:color="auto" w:fill="auto"/>
            <w:noWrap/>
            <w:vAlign w:val="bottom"/>
            <w:hideMark/>
          </w:tcPr>
          <w:p w14:paraId="1B3116D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250.702</w:t>
            </w:r>
          </w:p>
        </w:tc>
        <w:tc>
          <w:tcPr>
            <w:tcW w:w="960" w:type="dxa"/>
            <w:tcBorders>
              <w:top w:val="nil"/>
              <w:left w:val="nil"/>
              <w:bottom w:val="single" w:sz="4" w:space="0" w:color="auto"/>
              <w:right w:val="single" w:sz="4" w:space="0" w:color="auto"/>
            </w:tcBorders>
            <w:shd w:val="clear" w:color="auto" w:fill="auto"/>
            <w:noWrap/>
            <w:vAlign w:val="bottom"/>
            <w:hideMark/>
          </w:tcPr>
          <w:p w14:paraId="4546718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248.702</w:t>
            </w:r>
          </w:p>
        </w:tc>
        <w:tc>
          <w:tcPr>
            <w:tcW w:w="960" w:type="dxa"/>
            <w:tcBorders>
              <w:top w:val="nil"/>
              <w:left w:val="nil"/>
              <w:bottom w:val="single" w:sz="4" w:space="0" w:color="auto"/>
              <w:right w:val="single" w:sz="4" w:space="0" w:color="auto"/>
            </w:tcBorders>
            <w:shd w:val="clear" w:color="auto" w:fill="auto"/>
            <w:noWrap/>
            <w:vAlign w:val="bottom"/>
            <w:hideMark/>
          </w:tcPr>
          <w:p w14:paraId="3A7D203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120.678</w:t>
            </w:r>
          </w:p>
        </w:tc>
        <w:tc>
          <w:tcPr>
            <w:tcW w:w="960" w:type="dxa"/>
            <w:tcBorders>
              <w:top w:val="nil"/>
              <w:left w:val="nil"/>
              <w:bottom w:val="single" w:sz="4" w:space="0" w:color="auto"/>
              <w:right w:val="single" w:sz="4" w:space="0" w:color="auto"/>
            </w:tcBorders>
            <w:shd w:val="clear" w:color="auto" w:fill="auto"/>
            <w:noWrap/>
            <w:vAlign w:val="bottom"/>
            <w:hideMark/>
          </w:tcPr>
          <w:p w14:paraId="6D49498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241.936</w:t>
            </w:r>
          </w:p>
        </w:tc>
        <w:tc>
          <w:tcPr>
            <w:tcW w:w="960" w:type="dxa"/>
            <w:tcBorders>
              <w:top w:val="nil"/>
              <w:left w:val="nil"/>
              <w:bottom w:val="single" w:sz="4" w:space="0" w:color="auto"/>
              <w:right w:val="single" w:sz="4" w:space="0" w:color="auto"/>
            </w:tcBorders>
            <w:shd w:val="clear" w:color="auto" w:fill="auto"/>
            <w:noWrap/>
            <w:vAlign w:val="bottom"/>
            <w:hideMark/>
          </w:tcPr>
          <w:p w14:paraId="2F96835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238.375</w:t>
            </w:r>
          </w:p>
        </w:tc>
        <w:tc>
          <w:tcPr>
            <w:tcW w:w="960" w:type="dxa"/>
            <w:tcBorders>
              <w:top w:val="nil"/>
              <w:left w:val="nil"/>
              <w:bottom w:val="single" w:sz="4" w:space="0" w:color="auto"/>
              <w:right w:val="single" w:sz="4" w:space="0" w:color="auto"/>
            </w:tcBorders>
            <w:shd w:val="clear" w:color="auto" w:fill="auto"/>
            <w:noWrap/>
            <w:vAlign w:val="bottom"/>
            <w:hideMark/>
          </w:tcPr>
          <w:p w14:paraId="3C390BD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235.529</w:t>
            </w:r>
          </w:p>
        </w:tc>
        <w:tc>
          <w:tcPr>
            <w:tcW w:w="1960" w:type="dxa"/>
            <w:tcBorders>
              <w:top w:val="nil"/>
              <w:left w:val="nil"/>
              <w:bottom w:val="nil"/>
              <w:right w:val="nil"/>
            </w:tcBorders>
            <w:shd w:val="clear" w:color="auto" w:fill="auto"/>
            <w:noWrap/>
            <w:vAlign w:val="bottom"/>
            <w:hideMark/>
          </w:tcPr>
          <w:p w14:paraId="738877F8"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542B7863"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AED449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34</w:t>
            </w:r>
          </w:p>
        </w:tc>
        <w:tc>
          <w:tcPr>
            <w:tcW w:w="960" w:type="dxa"/>
            <w:tcBorders>
              <w:top w:val="nil"/>
              <w:left w:val="nil"/>
              <w:bottom w:val="single" w:sz="4" w:space="0" w:color="auto"/>
              <w:right w:val="single" w:sz="4" w:space="0" w:color="auto"/>
            </w:tcBorders>
            <w:shd w:val="clear" w:color="auto" w:fill="auto"/>
            <w:noWrap/>
            <w:vAlign w:val="bottom"/>
            <w:hideMark/>
          </w:tcPr>
          <w:p w14:paraId="6B6E470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250.750</w:t>
            </w:r>
          </w:p>
        </w:tc>
        <w:tc>
          <w:tcPr>
            <w:tcW w:w="960" w:type="dxa"/>
            <w:tcBorders>
              <w:top w:val="nil"/>
              <w:left w:val="nil"/>
              <w:bottom w:val="single" w:sz="4" w:space="0" w:color="auto"/>
              <w:right w:val="single" w:sz="4" w:space="0" w:color="auto"/>
            </w:tcBorders>
            <w:shd w:val="clear" w:color="auto" w:fill="auto"/>
            <w:noWrap/>
            <w:vAlign w:val="bottom"/>
            <w:hideMark/>
          </w:tcPr>
          <w:p w14:paraId="00A6B08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248.750</w:t>
            </w:r>
          </w:p>
        </w:tc>
        <w:tc>
          <w:tcPr>
            <w:tcW w:w="960" w:type="dxa"/>
            <w:tcBorders>
              <w:top w:val="nil"/>
              <w:left w:val="nil"/>
              <w:bottom w:val="single" w:sz="4" w:space="0" w:color="auto"/>
              <w:right w:val="single" w:sz="4" w:space="0" w:color="auto"/>
            </w:tcBorders>
            <w:shd w:val="clear" w:color="auto" w:fill="auto"/>
            <w:noWrap/>
            <w:vAlign w:val="bottom"/>
            <w:hideMark/>
          </w:tcPr>
          <w:p w14:paraId="15CF09A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130.380</w:t>
            </w:r>
          </w:p>
        </w:tc>
        <w:tc>
          <w:tcPr>
            <w:tcW w:w="960" w:type="dxa"/>
            <w:tcBorders>
              <w:top w:val="nil"/>
              <w:left w:val="nil"/>
              <w:bottom w:val="single" w:sz="4" w:space="0" w:color="auto"/>
              <w:right w:val="single" w:sz="4" w:space="0" w:color="auto"/>
            </w:tcBorders>
            <w:shd w:val="clear" w:color="auto" w:fill="auto"/>
            <w:noWrap/>
            <w:vAlign w:val="bottom"/>
            <w:hideMark/>
          </w:tcPr>
          <w:p w14:paraId="42B31B7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240.750</w:t>
            </w:r>
          </w:p>
        </w:tc>
        <w:tc>
          <w:tcPr>
            <w:tcW w:w="960" w:type="dxa"/>
            <w:tcBorders>
              <w:top w:val="nil"/>
              <w:left w:val="nil"/>
              <w:bottom w:val="single" w:sz="4" w:space="0" w:color="auto"/>
              <w:right w:val="single" w:sz="4" w:space="0" w:color="auto"/>
            </w:tcBorders>
            <w:shd w:val="clear" w:color="auto" w:fill="auto"/>
            <w:noWrap/>
            <w:vAlign w:val="bottom"/>
            <w:hideMark/>
          </w:tcPr>
          <w:p w14:paraId="6C32C0D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237.870</w:t>
            </w:r>
          </w:p>
        </w:tc>
        <w:tc>
          <w:tcPr>
            <w:tcW w:w="960" w:type="dxa"/>
            <w:tcBorders>
              <w:top w:val="nil"/>
              <w:left w:val="nil"/>
              <w:bottom w:val="single" w:sz="4" w:space="0" w:color="auto"/>
              <w:right w:val="single" w:sz="4" w:space="0" w:color="auto"/>
            </w:tcBorders>
            <w:shd w:val="clear" w:color="auto" w:fill="auto"/>
            <w:noWrap/>
            <w:vAlign w:val="bottom"/>
            <w:hideMark/>
          </w:tcPr>
          <w:p w14:paraId="721C2D2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234.601</w:t>
            </w:r>
          </w:p>
        </w:tc>
        <w:tc>
          <w:tcPr>
            <w:tcW w:w="1960" w:type="dxa"/>
            <w:tcBorders>
              <w:top w:val="nil"/>
              <w:left w:val="nil"/>
              <w:bottom w:val="nil"/>
              <w:right w:val="nil"/>
            </w:tcBorders>
            <w:shd w:val="clear" w:color="auto" w:fill="auto"/>
            <w:noWrap/>
            <w:vAlign w:val="bottom"/>
            <w:hideMark/>
          </w:tcPr>
          <w:p w14:paraId="3DFDFEF9"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34ECB4B4"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2B6575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35</w:t>
            </w:r>
          </w:p>
        </w:tc>
        <w:tc>
          <w:tcPr>
            <w:tcW w:w="960" w:type="dxa"/>
            <w:tcBorders>
              <w:top w:val="nil"/>
              <w:left w:val="nil"/>
              <w:bottom w:val="single" w:sz="4" w:space="0" w:color="auto"/>
              <w:right w:val="single" w:sz="4" w:space="0" w:color="auto"/>
            </w:tcBorders>
            <w:shd w:val="clear" w:color="auto" w:fill="auto"/>
            <w:noWrap/>
            <w:vAlign w:val="bottom"/>
            <w:hideMark/>
          </w:tcPr>
          <w:p w14:paraId="484080B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250.125</w:t>
            </w:r>
          </w:p>
        </w:tc>
        <w:tc>
          <w:tcPr>
            <w:tcW w:w="960" w:type="dxa"/>
            <w:tcBorders>
              <w:top w:val="nil"/>
              <w:left w:val="nil"/>
              <w:bottom w:val="single" w:sz="4" w:space="0" w:color="auto"/>
              <w:right w:val="single" w:sz="4" w:space="0" w:color="auto"/>
            </w:tcBorders>
            <w:shd w:val="clear" w:color="auto" w:fill="auto"/>
            <w:noWrap/>
            <w:vAlign w:val="bottom"/>
            <w:hideMark/>
          </w:tcPr>
          <w:p w14:paraId="6D97A2F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248.125</w:t>
            </w:r>
          </w:p>
        </w:tc>
        <w:tc>
          <w:tcPr>
            <w:tcW w:w="960" w:type="dxa"/>
            <w:tcBorders>
              <w:top w:val="nil"/>
              <w:left w:val="nil"/>
              <w:bottom w:val="single" w:sz="4" w:space="0" w:color="auto"/>
              <w:right w:val="single" w:sz="4" w:space="0" w:color="auto"/>
            </w:tcBorders>
            <w:shd w:val="clear" w:color="auto" w:fill="auto"/>
            <w:noWrap/>
            <w:vAlign w:val="bottom"/>
            <w:hideMark/>
          </w:tcPr>
          <w:p w14:paraId="6D546C9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143.251</w:t>
            </w:r>
          </w:p>
        </w:tc>
        <w:tc>
          <w:tcPr>
            <w:tcW w:w="960" w:type="dxa"/>
            <w:tcBorders>
              <w:top w:val="nil"/>
              <w:left w:val="nil"/>
              <w:bottom w:val="single" w:sz="4" w:space="0" w:color="auto"/>
              <w:right w:val="single" w:sz="4" w:space="0" w:color="auto"/>
            </w:tcBorders>
            <w:shd w:val="clear" w:color="auto" w:fill="auto"/>
            <w:noWrap/>
            <w:vAlign w:val="bottom"/>
            <w:hideMark/>
          </w:tcPr>
          <w:p w14:paraId="5AD6F55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240.125</w:t>
            </w:r>
          </w:p>
        </w:tc>
        <w:tc>
          <w:tcPr>
            <w:tcW w:w="960" w:type="dxa"/>
            <w:tcBorders>
              <w:top w:val="nil"/>
              <w:left w:val="nil"/>
              <w:bottom w:val="single" w:sz="4" w:space="0" w:color="auto"/>
              <w:right w:val="single" w:sz="4" w:space="0" w:color="auto"/>
            </w:tcBorders>
            <w:shd w:val="clear" w:color="auto" w:fill="auto"/>
            <w:noWrap/>
            <w:vAlign w:val="bottom"/>
            <w:hideMark/>
          </w:tcPr>
          <w:p w14:paraId="038EB04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237.773</w:t>
            </w:r>
          </w:p>
        </w:tc>
        <w:tc>
          <w:tcPr>
            <w:tcW w:w="960" w:type="dxa"/>
            <w:tcBorders>
              <w:top w:val="nil"/>
              <w:left w:val="nil"/>
              <w:bottom w:val="single" w:sz="4" w:space="0" w:color="auto"/>
              <w:right w:val="single" w:sz="4" w:space="0" w:color="auto"/>
            </w:tcBorders>
            <w:shd w:val="clear" w:color="auto" w:fill="auto"/>
            <w:noWrap/>
            <w:vAlign w:val="bottom"/>
            <w:hideMark/>
          </w:tcPr>
          <w:p w14:paraId="140E151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233.862</w:t>
            </w:r>
          </w:p>
        </w:tc>
        <w:tc>
          <w:tcPr>
            <w:tcW w:w="1960" w:type="dxa"/>
            <w:tcBorders>
              <w:top w:val="nil"/>
              <w:left w:val="nil"/>
              <w:bottom w:val="nil"/>
              <w:right w:val="nil"/>
            </w:tcBorders>
            <w:shd w:val="clear" w:color="auto" w:fill="auto"/>
            <w:noWrap/>
            <w:vAlign w:val="bottom"/>
            <w:hideMark/>
          </w:tcPr>
          <w:p w14:paraId="7B4C307A"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554C0513"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7DD24F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36</w:t>
            </w:r>
          </w:p>
        </w:tc>
        <w:tc>
          <w:tcPr>
            <w:tcW w:w="960" w:type="dxa"/>
            <w:tcBorders>
              <w:top w:val="nil"/>
              <w:left w:val="nil"/>
              <w:bottom w:val="single" w:sz="4" w:space="0" w:color="auto"/>
              <w:right w:val="single" w:sz="4" w:space="0" w:color="auto"/>
            </w:tcBorders>
            <w:shd w:val="clear" w:color="auto" w:fill="auto"/>
            <w:noWrap/>
            <w:vAlign w:val="bottom"/>
            <w:hideMark/>
          </w:tcPr>
          <w:p w14:paraId="79DF43A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248.981</w:t>
            </w:r>
          </w:p>
        </w:tc>
        <w:tc>
          <w:tcPr>
            <w:tcW w:w="960" w:type="dxa"/>
            <w:tcBorders>
              <w:top w:val="nil"/>
              <w:left w:val="nil"/>
              <w:bottom w:val="single" w:sz="4" w:space="0" w:color="auto"/>
              <w:right w:val="single" w:sz="4" w:space="0" w:color="auto"/>
            </w:tcBorders>
            <w:shd w:val="clear" w:color="auto" w:fill="auto"/>
            <w:noWrap/>
            <w:vAlign w:val="bottom"/>
            <w:hideMark/>
          </w:tcPr>
          <w:p w14:paraId="05338C0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248.000</w:t>
            </w:r>
          </w:p>
        </w:tc>
        <w:tc>
          <w:tcPr>
            <w:tcW w:w="960" w:type="dxa"/>
            <w:tcBorders>
              <w:top w:val="nil"/>
              <w:left w:val="nil"/>
              <w:bottom w:val="single" w:sz="4" w:space="0" w:color="auto"/>
              <w:right w:val="single" w:sz="4" w:space="0" w:color="auto"/>
            </w:tcBorders>
            <w:shd w:val="clear" w:color="auto" w:fill="auto"/>
            <w:noWrap/>
            <w:vAlign w:val="bottom"/>
            <w:hideMark/>
          </w:tcPr>
          <w:p w14:paraId="258FB61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158.198</w:t>
            </w:r>
          </w:p>
        </w:tc>
        <w:tc>
          <w:tcPr>
            <w:tcW w:w="960" w:type="dxa"/>
            <w:tcBorders>
              <w:top w:val="nil"/>
              <w:left w:val="nil"/>
              <w:bottom w:val="single" w:sz="4" w:space="0" w:color="auto"/>
              <w:right w:val="single" w:sz="4" w:space="0" w:color="auto"/>
            </w:tcBorders>
            <w:shd w:val="clear" w:color="auto" w:fill="auto"/>
            <w:noWrap/>
            <w:vAlign w:val="bottom"/>
            <w:hideMark/>
          </w:tcPr>
          <w:p w14:paraId="1549907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239.000</w:t>
            </w:r>
          </w:p>
        </w:tc>
        <w:tc>
          <w:tcPr>
            <w:tcW w:w="960" w:type="dxa"/>
            <w:tcBorders>
              <w:top w:val="nil"/>
              <w:left w:val="nil"/>
              <w:bottom w:val="single" w:sz="4" w:space="0" w:color="auto"/>
              <w:right w:val="single" w:sz="4" w:space="0" w:color="auto"/>
            </w:tcBorders>
            <w:shd w:val="clear" w:color="auto" w:fill="auto"/>
            <w:noWrap/>
            <w:vAlign w:val="bottom"/>
            <w:hideMark/>
          </w:tcPr>
          <w:p w14:paraId="4238AFC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236.000</w:t>
            </w:r>
          </w:p>
        </w:tc>
        <w:tc>
          <w:tcPr>
            <w:tcW w:w="960" w:type="dxa"/>
            <w:tcBorders>
              <w:top w:val="nil"/>
              <w:left w:val="nil"/>
              <w:bottom w:val="single" w:sz="4" w:space="0" w:color="auto"/>
              <w:right w:val="single" w:sz="4" w:space="0" w:color="auto"/>
            </w:tcBorders>
            <w:shd w:val="clear" w:color="auto" w:fill="auto"/>
            <w:noWrap/>
            <w:vAlign w:val="bottom"/>
            <w:hideMark/>
          </w:tcPr>
          <w:p w14:paraId="13BB364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233.577</w:t>
            </w:r>
          </w:p>
        </w:tc>
        <w:tc>
          <w:tcPr>
            <w:tcW w:w="1960" w:type="dxa"/>
            <w:tcBorders>
              <w:top w:val="nil"/>
              <w:left w:val="nil"/>
              <w:bottom w:val="nil"/>
              <w:right w:val="nil"/>
            </w:tcBorders>
            <w:shd w:val="clear" w:color="auto" w:fill="auto"/>
            <w:noWrap/>
            <w:vAlign w:val="bottom"/>
            <w:hideMark/>
          </w:tcPr>
          <w:p w14:paraId="101D7632"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2887B8B9"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06B8A7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37</w:t>
            </w:r>
          </w:p>
        </w:tc>
        <w:tc>
          <w:tcPr>
            <w:tcW w:w="960" w:type="dxa"/>
            <w:tcBorders>
              <w:top w:val="nil"/>
              <w:left w:val="nil"/>
              <w:bottom w:val="single" w:sz="4" w:space="0" w:color="auto"/>
              <w:right w:val="single" w:sz="4" w:space="0" w:color="auto"/>
            </w:tcBorders>
            <w:shd w:val="clear" w:color="auto" w:fill="auto"/>
            <w:noWrap/>
            <w:vAlign w:val="bottom"/>
            <w:hideMark/>
          </w:tcPr>
          <w:p w14:paraId="18AC960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247.875</w:t>
            </w:r>
          </w:p>
        </w:tc>
        <w:tc>
          <w:tcPr>
            <w:tcW w:w="960" w:type="dxa"/>
            <w:tcBorders>
              <w:top w:val="nil"/>
              <w:left w:val="nil"/>
              <w:bottom w:val="single" w:sz="4" w:space="0" w:color="auto"/>
              <w:right w:val="single" w:sz="4" w:space="0" w:color="auto"/>
            </w:tcBorders>
            <w:shd w:val="clear" w:color="auto" w:fill="auto"/>
            <w:noWrap/>
            <w:vAlign w:val="bottom"/>
            <w:hideMark/>
          </w:tcPr>
          <w:p w14:paraId="30057D3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247.875</w:t>
            </w:r>
          </w:p>
        </w:tc>
        <w:tc>
          <w:tcPr>
            <w:tcW w:w="960" w:type="dxa"/>
            <w:tcBorders>
              <w:top w:val="nil"/>
              <w:left w:val="nil"/>
              <w:bottom w:val="single" w:sz="4" w:space="0" w:color="auto"/>
              <w:right w:val="single" w:sz="4" w:space="0" w:color="auto"/>
            </w:tcBorders>
            <w:shd w:val="clear" w:color="auto" w:fill="auto"/>
            <w:noWrap/>
            <w:vAlign w:val="bottom"/>
            <w:hideMark/>
          </w:tcPr>
          <w:p w14:paraId="5DA1708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174.616</w:t>
            </w:r>
          </w:p>
        </w:tc>
        <w:tc>
          <w:tcPr>
            <w:tcW w:w="960" w:type="dxa"/>
            <w:tcBorders>
              <w:top w:val="nil"/>
              <w:left w:val="nil"/>
              <w:bottom w:val="single" w:sz="4" w:space="0" w:color="auto"/>
              <w:right w:val="single" w:sz="4" w:space="0" w:color="auto"/>
            </w:tcBorders>
            <w:shd w:val="clear" w:color="auto" w:fill="auto"/>
            <w:noWrap/>
            <w:vAlign w:val="bottom"/>
            <w:hideMark/>
          </w:tcPr>
          <w:p w14:paraId="1568060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237.648</w:t>
            </w:r>
          </w:p>
        </w:tc>
        <w:tc>
          <w:tcPr>
            <w:tcW w:w="960" w:type="dxa"/>
            <w:tcBorders>
              <w:top w:val="nil"/>
              <w:left w:val="nil"/>
              <w:bottom w:val="single" w:sz="4" w:space="0" w:color="auto"/>
              <w:right w:val="single" w:sz="4" w:space="0" w:color="auto"/>
            </w:tcBorders>
            <w:shd w:val="clear" w:color="auto" w:fill="auto"/>
            <w:noWrap/>
            <w:vAlign w:val="bottom"/>
            <w:hideMark/>
          </w:tcPr>
          <w:p w14:paraId="52BBF97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234.977</w:t>
            </w:r>
          </w:p>
        </w:tc>
        <w:tc>
          <w:tcPr>
            <w:tcW w:w="960" w:type="dxa"/>
            <w:tcBorders>
              <w:top w:val="nil"/>
              <w:left w:val="nil"/>
              <w:bottom w:val="single" w:sz="4" w:space="0" w:color="auto"/>
              <w:right w:val="single" w:sz="4" w:space="0" w:color="auto"/>
            </w:tcBorders>
            <w:shd w:val="clear" w:color="auto" w:fill="auto"/>
            <w:noWrap/>
            <w:vAlign w:val="bottom"/>
            <w:hideMark/>
          </w:tcPr>
          <w:p w14:paraId="105ED3B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233.135</w:t>
            </w:r>
          </w:p>
        </w:tc>
        <w:tc>
          <w:tcPr>
            <w:tcW w:w="1960" w:type="dxa"/>
            <w:tcBorders>
              <w:top w:val="nil"/>
              <w:left w:val="nil"/>
              <w:bottom w:val="nil"/>
              <w:right w:val="nil"/>
            </w:tcBorders>
            <w:shd w:val="clear" w:color="auto" w:fill="auto"/>
            <w:noWrap/>
            <w:vAlign w:val="bottom"/>
            <w:hideMark/>
          </w:tcPr>
          <w:p w14:paraId="20EC6913"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7FD86FA7"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9C65B3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38</w:t>
            </w:r>
          </w:p>
        </w:tc>
        <w:tc>
          <w:tcPr>
            <w:tcW w:w="960" w:type="dxa"/>
            <w:tcBorders>
              <w:top w:val="nil"/>
              <w:left w:val="nil"/>
              <w:bottom w:val="single" w:sz="4" w:space="0" w:color="auto"/>
              <w:right w:val="single" w:sz="4" w:space="0" w:color="auto"/>
            </w:tcBorders>
            <w:shd w:val="clear" w:color="auto" w:fill="auto"/>
            <w:noWrap/>
            <w:vAlign w:val="bottom"/>
            <w:hideMark/>
          </w:tcPr>
          <w:p w14:paraId="49A6F85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246.654</w:t>
            </w:r>
          </w:p>
        </w:tc>
        <w:tc>
          <w:tcPr>
            <w:tcW w:w="960" w:type="dxa"/>
            <w:tcBorders>
              <w:top w:val="nil"/>
              <w:left w:val="nil"/>
              <w:bottom w:val="single" w:sz="4" w:space="0" w:color="auto"/>
              <w:right w:val="single" w:sz="4" w:space="0" w:color="auto"/>
            </w:tcBorders>
            <w:shd w:val="clear" w:color="auto" w:fill="auto"/>
            <w:noWrap/>
            <w:vAlign w:val="bottom"/>
            <w:hideMark/>
          </w:tcPr>
          <w:p w14:paraId="25912E7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247.250</w:t>
            </w:r>
          </w:p>
        </w:tc>
        <w:tc>
          <w:tcPr>
            <w:tcW w:w="960" w:type="dxa"/>
            <w:tcBorders>
              <w:top w:val="nil"/>
              <w:left w:val="nil"/>
              <w:bottom w:val="single" w:sz="4" w:space="0" w:color="auto"/>
              <w:right w:val="single" w:sz="4" w:space="0" w:color="auto"/>
            </w:tcBorders>
            <w:shd w:val="clear" w:color="auto" w:fill="auto"/>
            <w:noWrap/>
            <w:vAlign w:val="bottom"/>
            <w:hideMark/>
          </w:tcPr>
          <w:p w14:paraId="4DAF77E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187.621</w:t>
            </w:r>
          </w:p>
        </w:tc>
        <w:tc>
          <w:tcPr>
            <w:tcW w:w="960" w:type="dxa"/>
            <w:tcBorders>
              <w:top w:val="nil"/>
              <w:left w:val="nil"/>
              <w:bottom w:val="single" w:sz="4" w:space="0" w:color="auto"/>
              <w:right w:val="single" w:sz="4" w:space="0" w:color="auto"/>
            </w:tcBorders>
            <w:shd w:val="clear" w:color="auto" w:fill="auto"/>
            <w:noWrap/>
            <w:vAlign w:val="bottom"/>
            <w:hideMark/>
          </w:tcPr>
          <w:p w14:paraId="5F986E8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236.644</w:t>
            </w:r>
          </w:p>
        </w:tc>
        <w:tc>
          <w:tcPr>
            <w:tcW w:w="960" w:type="dxa"/>
            <w:tcBorders>
              <w:top w:val="nil"/>
              <w:left w:val="nil"/>
              <w:bottom w:val="single" w:sz="4" w:space="0" w:color="auto"/>
              <w:right w:val="single" w:sz="4" w:space="0" w:color="auto"/>
            </w:tcBorders>
            <w:shd w:val="clear" w:color="auto" w:fill="auto"/>
            <w:noWrap/>
            <w:vAlign w:val="bottom"/>
            <w:hideMark/>
          </w:tcPr>
          <w:p w14:paraId="75D50A0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235.000</w:t>
            </w:r>
          </w:p>
        </w:tc>
        <w:tc>
          <w:tcPr>
            <w:tcW w:w="960" w:type="dxa"/>
            <w:tcBorders>
              <w:top w:val="nil"/>
              <w:left w:val="nil"/>
              <w:bottom w:val="single" w:sz="4" w:space="0" w:color="auto"/>
              <w:right w:val="single" w:sz="4" w:space="0" w:color="auto"/>
            </w:tcBorders>
            <w:shd w:val="clear" w:color="auto" w:fill="auto"/>
            <w:noWrap/>
            <w:vAlign w:val="bottom"/>
            <w:hideMark/>
          </w:tcPr>
          <w:p w14:paraId="08EFB33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232.639</w:t>
            </w:r>
          </w:p>
        </w:tc>
        <w:tc>
          <w:tcPr>
            <w:tcW w:w="1960" w:type="dxa"/>
            <w:tcBorders>
              <w:top w:val="nil"/>
              <w:left w:val="nil"/>
              <w:bottom w:val="nil"/>
              <w:right w:val="nil"/>
            </w:tcBorders>
            <w:shd w:val="clear" w:color="auto" w:fill="auto"/>
            <w:noWrap/>
            <w:vAlign w:val="bottom"/>
            <w:hideMark/>
          </w:tcPr>
          <w:p w14:paraId="6EBA6598"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3290BBB3"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D40483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39</w:t>
            </w:r>
          </w:p>
        </w:tc>
        <w:tc>
          <w:tcPr>
            <w:tcW w:w="960" w:type="dxa"/>
            <w:tcBorders>
              <w:top w:val="nil"/>
              <w:left w:val="nil"/>
              <w:bottom w:val="single" w:sz="4" w:space="0" w:color="auto"/>
              <w:right w:val="single" w:sz="4" w:space="0" w:color="auto"/>
            </w:tcBorders>
            <w:shd w:val="clear" w:color="auto" w:fill="auto"/>
            <w:noWrap/>
            <w:vAlign w:val="bottom"/>
            <w:hideMark/>
          </w:tcPr>
          <w:p w14:paraId="161E304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245.625</w:t>
            </w:r>
          </w:p>
        </w:tc>
        <w:tc>
          <w:tcPr>
            <w:tcW w:w="960" w:type="dxa"/>
            <w:tcBorders>
              <w:top w:val="nil"/>
              <w:left w:val="nil"/>
              <w:bottom w:val="single" w:sz="4" w:space="0" w:color="auto"/>
              <w:right w:val="single" w:sz="4" w:space="0" w:color="auto"/>
            </w:tcBorders>
            <w:shd w:val="clear" w:color="auto" w:fill="auto"/>
            <w:noWrap/>
            <w:vAlign w:val="bottom"/>
            <w:hideMark/>
          </w:tcPr>
          <w:p w14:paraId="1F2F01A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246.391</w:t>
            </w:r>
          </w:p>
        </w:tc>
        <w:tc>
          <w:tcPr>
            <w:tcW w:w="960" w:type="dxa"/>
            <w:tcBorders>
              <w:top w:val="nil"/>
              <w:left w:val="nil"/>
              <w:bottom w:val="single" w:sz="4" w:space="0" w:color="auto"/>
              <w:right w:val="single" w:sz="4" w:space="0" w:color="auto"/>
            </w:tcBorders>
            <w:shd w:val="clear" w:color="auto" w:fill="auto"/>
            <w:noWrap/>
            <w:vAlign w:val="bottom"/>
            <w:hideMark/>
          </w:tcPr>
          <w:p w14:paraId="695EAEF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198.322</w:t>
            </w:r>
          </w:p>
        </w:tc>
        <w:tc>
          <w:tcPr>
            <w:tcW w:w="960" w:type="dxa"/>
            <w:tcBorders>
              <w:top w:val="nil"/>
              <w:left w:val="nil"/>
              <w:bottom w:val="single" w:sz="4" w:space="0" w:color="auto"/>
              <w:right w:val="single" w:sz="4" w:space="0" w:color="auto"/>
            </w:tcBorders>
            <w:shd w:val="clear" w:color="auto" w:fill="auto"/>
            <w:noWrap/>
            <w:vAlign w:val="bottom"/>
            <w:hideMark/>
          </w:tcPr>
          <w:p w14:paraId="706C2BE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236.391</w:t>
            </w:r>
          </w:p>
        </w:tc>
        <w:tc>
          <w:tcPr>
            <w:tcW w:w="960" w:type="dxa"/>
            <w:tcBorders>
              <w:top w:val="nil"/>
              <w:left w:val="nil"/>
              <w:bottom w:val="single" w:sz="4" w:space="0" w:color="auto"/>
              <w:right w:val="single" w:sz="4" w:space="0" w:color="auto"/>
            </w:tcBorders>
            <w:shd w:val="clear" w:color="auto" w:fill="auto"/>
            <w:noWrap/>
            <w:vAlign w:val="bottom"/>
            <w:hideMark/>
          </w:tcPr>
          <w:p w14:paraId="00DC15E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234.625</w:t>
            </w:r>
          </w:p>
        </w:tc>
        <w:tc>
          <w:tcPr>
            <w:tcW w:w="960" w:type="dxa"/>
            <w:tcBorders>
              <w:top w:val="nil"/>
              <w:left w:val="nil"/>
              <w:bottom w:val="single" w:sz="4" w:space="0" w:color="auto"/>
              <w:right w:val="single" w:sz="4" w:space="0" w:color="auto"/>
            </w:tcBorders>
            <w:shd w:val="clear" w:color="auto" w:fill="auto"/>
            <w:noWrap/>
            <w:vAlign w:val="bottom"/>
            <w:hideMark/>
          </w:tcPr>
          <w:p w14:paraId="16411D8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233.000</w:t>
            </w:r>
          </w:p>
        </w:tc>
        <w:tc>
          <w:tcPr>
            <w:tcW w:w="1960" w:type="dxa"/>
            <w:tcBorders>
              <w:top w:val="nil"/>
              <w:left w:val="nil"/>
              <w:bottom w:val="nil"/>
              <w:right w:val="nil"/>
            </w:tcBorders>
            <w:shd w:val="clear" w:color="auto" w:fill="auto"/>
            <w:noWrap/>
            <w:vAlign w:val="bottom"/>
            <w:hideMark/>
          </w:tcPr>
          <w:p w14:paraId="5B1793DF"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446A92A1"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57D908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40</w:t>
            </w:r>
          </w:p>
        </w:tc>
        <w:tc>
          <w:tcPr>
            <w:tcW w:w="960" w:type="dxa"/>
            <w:tcBorders>
              <w:top w:val="nil"/>
              <w:left w:val="nil"/>
              <w:bottom w:val="single" w:sz="4" w:space="0" w:color="auto"/>
              <w:right w:val="single" w:sz="4" w:space="0" w:color="auto"/>
            </w:tcBorders>
            <w:shd w:val="clear" w:color="auto" w:fill="auto"/>
            <w:noWrap/>
            <w:vAlign w:val="bottom"/>
            <w:hideMark/>
          </w:tcPr>
          <w:p w14:paraId="6D1F58D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244.692</w:t>
            </w:r>
          </w:p>
        </w:tc>
        <w:tc>
          <w:tcPr>
            <w:tcW w:w="960" w:type="dxa"/>
            <w:tcBorders>
              <w:top w:val="nil"/>
              <w:left w:val="nil"/>
              <w:bottom w:val="single" w:sz="4" w:space="0" w:color="auto"/>
              <w:right w:val="single" w:sz="4" w:space="0" w:color="auto"/>
            </w:tcBorders>
            <w:shd w:val="clear" w:color="auto" w:fill="auto"/>
            <w:noWrap/>
            <w:vAlign w:val="bottom"/>
            <w:hideMark/>
          </w:tcPr>
          <w:p w14:paraId="66A05EC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245.846</w:t>
            </w:r>
          </w:p>
        </w:tc>
        <w:tc>
          <w:tcPr>
            <w:tcW w:w="960" w:type="dxa"/>
            <w:tcBorders>
              <w:top w:val="nil"/>
              <w:left w:val="nil"/>
              <w:bottom w:val="single" w:sz="4" w:space="0" w:color="auto"/>
              <w:right w:val="single" w:sz="4" w:space="0" w:color="auto"/>
            </w:tcBorders>
            <w:shd w:val="clear" w:color="auto" w:fill="auto"/>
            <w:noWrap/>
            <w:vAlign w:val="bottom"/>
            <w:hideMark/>
          </w:tcPr>
          <w:p w14:paraId="3160484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208.003</w:t>
            </w:r>
          </w:p>
        </w:tc>
        <w:tc>
          <w:tcPr>
            <w:tcW w:w="960" w:type="dxa"/>
            <w:tcBorders>
              <w:top w:val="nil"/>
              <w:left w:val="nil"/>
              <w:bottom w:val="single" w:sz="4" w:space="0" w:color="auto"/>
              <w:right w:val="single" w:sz="4" w:space="0" w:color="auto"/>
            </w:tcBorders>
            <w:shd w:val="clear" w:color="auto" w:fill="auto"/>
            <w:noWrap/>
            <w:vAlign w:val="bottom"/>
            <w:hideMark/>
          </w:tcPr>
          <w:p w14:paraId="55C121F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236.154</w:t>
            </w:r>
          </w:p>
        </w:tc>
        <w:tc>
          <w:tcPr>
            <w:tcW w:w="960" w:type="dxa"/>
            <w:tcBorders>
              <w:top w:val="nil"/>
              <w:left w:val="nil"/>
              <w:bottom w:val="single" w:sz="4" w:space="0" w:color="auto"/>
              <w:right w:val="single" w:sz="4" w:space="0" w:color="auto"/>
            </w:tcBorders>
            <w:shd w:val="clear" w:color="auto" w:fill="auto"/>
            <w:noWrap/>
            <w:vAlign w:val="bottom"/>
            <w:hideMark/>
          </w:tcPr>
          <w:p w14:paraId="6D418CB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234.154</w:t>
            </w:r>
          </w:p>
        </w:tc>
        <w:tc>
          <w:tcPr>
            <w:tcW w:w="960" w:type="dxa"/>
            <w:tcBorders>
              <w:top w:val="nil"/>
              <w:left w:val="nil"/>
              <w:bottom w:val="single" w:sz="4" w:space="0" w:color="auto"/>
              <w:right w:val="single" w:sz="4" w:space="0" w:color="auto"/>
            </w:tcBorders>
            <w:shd w:val="clear" w:color="auto" w:fill="auto"/>
            <w:noWrap/>
            <w:vAlign w:val="bottom"/>
            <w:hideMark/>
          </w:tcPr>
          <w:p w14:paraId="06C1712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233.154</w:t>
            </w:r>
          </w:p>
        </w:tc>
        <w:tc>
          <w:tcPr>
            <w:tcW w:w="1960" w:type="dxa"/>
            <w:tcBorders>
              <w:top w:val="nil"/>
              <w:left w:val="nil"/>
              <w:bottom w:val="nil"/>
              <w:right w:val="nil"/>
            </w:tcBorders>
            <w:shd w:val="clear" w:color="auto" w:fill="auto"/>
            <w:noWrap/>
            <w:vAlign w:val="bottom"/>
            <w:hideMark/>
          </w:tcPr>
          <w:p w14:paraId="461F9381"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6A976DF1"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788115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41</w:t>
            </w:r>
          </w:p>
        </w:tc>
        <w:tc>
          <w:tcPr>
            <w:tcW w:w="960" w:type="dxa"/>
            <w:tcBorders>
              <w:top w:val="nil"/>
              <w:left w:val="nil"/>
              <w:bottom w:val="single" w:sz="4" w:space="0" w:color="auto"/>
              <w:right w:val="single" w:sz="4" w:space="0" w:color="auto"/>
            </w:tcBorders>
            <w:shd w:val="clear" w:color="auto" w:fill="auto"/>
            <w:noWrap/>
            <w:vAlign w:val="bottom"/>
            <w:hideMark/>
          </w:tcPr>
          <w:p w14:paraId="4A0F05A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243.051</w:t>
            </w:r>
          </w:p>
        </w:tc>
        <w:tc>
          <w:tcPr>
            <w:tcW w:w="960" w:type="dxa"/>
            <w:tcBorders>
              <w:top w:val="nil"/>
              <w:left w:val="nil"/>
              <w:bottom w:val="single" w:sz="4" w:space="0" w:color="auto"/>
              <w:right w:val="single" w:sz="4" w:space="0" w:color="auto"/>
            </w:tcBorders>
            <w:shd w:val="clear" w:color="auto" w:fill="auto"/>
            <w:noWrap/>
            <w:vAlign w:val="bottom"/>
            <w:hideMark/>
          </w:tcPr>
          <w:p w14:paraId="3D59EFC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244.442</w:t>
            </w:r>
          </w:p>
        </w:tc>
        <w:tc>
          <w:tcPr>
            <w:tcW w:w="960" w:type="dxa"/>
            <w:tcBorders>
              <w:top w:val="nil"/>
              <w:left w:val="nil"/>
              <w:bottom w:val="single" w:sz="4" w:space="0" w:color="auto"/>
              <w:right w:val="single" w:sz="4" w:space="0" w:color="auto"/>
            </w:tcBorders>
            <w:shd w:val="clear" w:color="auto" w:fill="auto"/>
            <w:noWrap/>
            <w:vAlign w:val="bottom"/>
            <w:hideMark/>
          </w:tcPr>
          <w:p w14:paraId="3E51748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215.478</w:t>
            </w:r>
          </w:p>
        </w:tc>
        <w:tc>
          <w:tcPr>
            <w:tcW w:w="960" w:type="dxa"/>
            <w:tcBorders>
              <w:top w:val="nil"/>
              <w:left w:val="nil"/>
              <w:bottom w:val="single" w:sz="4" w:space="0" w:color="auto"/>
              <w:right w:val="single" w:sz="4" w:space="0" w:color="auto"/>
            </w:tcBorders>
            <w:shd w:val="clear" w:color="auto" w:fill="auto"/>
            <w:noWrap/>
            <w:vAlign w:val="bottom"/>
            <w:hideMark/>
          </w:tcPr>
          <w:p w14:paraId="55F0057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235.683</w:t>
            </w:r>
          </w:p>
        </w:tc>
        <w:tc>
          <w:tcPr>
            <w:tcW w:w="960" w:type="dxa"/>
            <w:tcBorders>
              <w:top w:val="nil"/>
              <w:left w:val="nil"/>
              <w:bottom w:val="single" w:sz="4" w:space="0" w:color="auto"/>
              <w:right w:val="single" w:sz="4" w:space="0" w:color="auto"/>
            </w:tcBorders>
            <w:shd w:val="clear" w:color="auto" w:fill="auto"/>
            <w:noWrap/>
            <w:vAlign w:val="bottom"/>
            <w:hideMark/>
          </w:tcPr>
          <w:p w14:paraId="740F207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234.350</w:t>
            </w:r>
          </w:p>
        </w:tc>
        <w:tc>
          <w:tcPr>
            <w:tcW w:w="960" w:type="dxa"/>
            <w:tcBorders>
              <w:top w:val="nil"/>
              <w:left w:val="nil"/>
              <w:bottom w:val="single" w:sz="4" w:space="0" w:color="auto"/>
              <w:right w:val="single" w:sz="4" w:space="0" w:color="auto"/>
            </w:tcBorders>
            <w:shd w:val="clear" w:color="auto" w:fill="auto"/>
            <w:noWrap/>
            <w:vAlign w:val="bottom"/>
            <w:hideMark/>
          </w:tcPr>
          <w:p w14:paraId="035E4F5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231.391</w:t>
            </w:r>
          </w:p>
        </w:tc>
        <w:tc>
          <w:tcPr>
            <w:tcW w:w="1960" w:type="dxa"/>
            <w:tcBorders>
              <w:top w:val="nil"/>
              <w:left w:val="nil"/>
              <w:bottom w:val="nil"/>
              <w:right w:val="nil"/>
            </w:tcBorders>
            <w:shd w:val="clear" w:color="auto" w:fill="auto"/>
            <w:noWrap/>
            <w:vAlign w:val="bottom"/>
            <w:hideMark/>
          </w:tcPr>
          <w:p w14:paraId="5415FCFE"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019D2905"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E61B64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42</w:t>
            </w:r>
          </w:p>
        </w:tc>
        <w:tc>
          <w:tcPr>
            <w:tcW w:w="960" w:type="dxa"/>
            <w:tcBorders>
              <w:top w:val="nil"/>
              <w:left w:val="nil"/>
              <w:bottom w:val="single" w:sz="4" w:space="0" w:color="auto"/>
              <w:right w:val="single" w:sz="4" w:space="0" w:color="auto"/>
            </w:tcBorders>
            <w:shd w:val="clear" w:color="auto" w:fill="auto"/>
            <w:noWrap/>
            <w:vAlign w:val="bottom"/>
            <w:hideMark/>
          </w:tcPr>
          <w:p w14:paraId="159B9C9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242.216</w:t>
            </w:r>
          </w:p>
        </w:tc>
        <w:tc>
          <w:tcPr>
            <w:tcW w:w="960" w:type="dxa"/>
            <w:tcBorders>
              <w:top w:val="nil"/>
              <w:left w:val="nil"/>
              <w:bottom w:val="single" w:sz="4" w:space="0" w:color="auto"/>
              <w:right w:val="single" w:sz="4" w:space="0" w:color="auto"/>
            </w:tcBorders>
            <w:shd w:val="clear" w:color="auto" w:fill="auto"/>
            <w:noWrap/>
            <w:vAlign w:val="bottom"/>
            <w:hideMark/>
          </w:tcPr>
          <w:p w14:paraId="0DD20C1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243.039</w:t>
            </w:r>
          </w:p>
        </w:tc>
        <w:tc>
          <w:tcPr>
            <w:tcW w:w="960" w:type="dxa"/>
            <w:tcBorders>
              <w:top w:val="nil"/>
              <w:left w:val="nil"/>
              <w:bottom w:val="single" w:sz="4" w:space="0" w:color="auto"/>
              <w:right w:val="single" w:sz="4" w:space="0" w:color="auto"/>
            </w:tcBorders>
            <w:shd w:val="clear" w:color="auto" w:fill="auto"/>
            <w:noWrap/>
            <w:vAlign w:val="bottom"/>
            <w:hideMark/>
          </w:tcPr>
          <w:p w14:paraId="4E25B42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222.469</w:t>
            </w:r>
          </w:p>
        </w:tc>
        <w:tc>
          <w:tcPr>
            <w:tcW w:w="960" w:type="dxa"/>
            <w:tcBorders>
              <w:top w:val="nil"/>
              <w:left w:val="nil"/>
              <w:bottom w:val="single" w:sz="4" w:space="0" w:color="auto"/>
              <w:right w:val="single" w:sz="4" w:space="0" w:color="auto"/>
            </w:tcBorders>
            <w:shd w:val="clear" w:color="auto" w:fill="auto"/>
            <w:noWrap/>
            <w:vAlign w:val="bottom"/>
            <w:hideMark/>
          </w:tcPr>
          <w:p w14:paraId="177D1D0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233.966</w:t>
            </w:r>
          </w:p>
        </w:tc>
        <w:tc>
          <w:tcPr>
            <w:tcW w:w="960" w:type="dxa"/>
            <w:tcBorders>
              <w:top w:val="nil"/>
              <w:left w:val="nil"/>
              <w:bottom w:val="single" w:sz="4" w:space="0" w:color="auto"/>
              <w:right w:val="single" w:sz="4" w:space="0" w:color="auto"/>
            </w:tcBorders>
            <w:shd w:val="clear" w:color="auto" w:fill="auto"/>
            <w:noWrap/>
            <w:vAlign w:val="bottom"/>
            <w:hideMark/>
          </w:tcPr>
          <w:p w14:paraId="35D0503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234.712</w:t>
            </w:r>
          </w:p>
        </w:tc>
        <w:tc>
          <w:tcPr>
            <w:tcW w:w="960" w:type="dxa"/>
            <w:tcBorders>
              <w:top w:val="nil"/>
              <w:left w:val="nil"/>
              <w:bottom w:val="single" w:sz="4" w:space="0" w:color="auto"/>
              <w:right w:val="single" w:sz="4" w:space="0" w:color="auto"/>
            </w:tcBorders>
            <w:shd w:val="clear" w:color="auto" w:fill="auto"/>
            <w:noWrap/>
            <w:vAlign w:val="bottom"/>
            <w:hideMark/>
          </w:tcPr>
          <w:p w14:paraId="13A3302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229.462</w:t>
            </w:r>
          </w:p>
        </w:tc>
        <w:tc>
          <w:tcPr>
            <w:tcW w:w="1960" w:type="dxa"/>
            <w:tcBorders>
              <w:top w:val="nil"/>
              <w:left w:val="nil"/>
              <w:bottom w:val="nil"/>
              <w:right w:val="nil"/>
            </w:tcBorders>
            <w:shd w:val="clear" w:color="auto" w:fill="auto"/>
            <w:noWrap/>
            <w:vAlign w:val="bottom"/>
            <w:hideMark/>
          </w:tcPr>
          <w:p w14:paraId="767BACB2"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4A1D786E"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53B5E2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43</w:t>
            </w:r>
          </w:p>
        </w:tc>
        <w:tc>
          <w:tcPr>
            <w:tcW w:w="960" w:type="dxa"/>
            <w:tcBorders>
              <w:top w:val="nil"/>
              <w:left w:val="nil"/>
              <w:bottom w:val="single" w:sz="4" w:space="0" w:color="auto"/>
              <w:right w:val="single" w:sz="4" w:space="0" w:color="auto"/>
            </w:tcBorders>
            <w:shd w:val="clear" w:color="auto" w:fill="auto"/>
            <w:noWrap/>
            <w:vAlign w:val="bottom"/>
            <w:hideMark/>
          </w:tcPr>
          <w:p w14:paraId="51973CD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241.571</w:t>
            </w:r>
          </w:p>
        </w:tc>
        <w:tc>
          <w:tcPr>
            <w:tcW w:w="960" w:type="dxa"/>
            <w:tcBorders>
              <w:top w:val="nil"/>
              <w:left w:val="nil"/>
              <w:bottom w:val="single" w:sz="4" w:space="0" w:color="auto"/>
              <w:right w:val="single" w:sz="4" w:space="0" w:color="auto"/>
            </w:tcBorders>
            <w:shd w:val="clear" w:color="auto" w:fill="auto"/>
            <w:noWrap/>
            <w:vAlign w:val="bottom"/>
            <w:hideMark/>
          </w:tcPr>
          <w:p w14:paraId="32058DB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242.064</w:t>
            </w:r>
          </w:p>
        </w:tc>
        <w:tc>
          <w:tcPr>
            <w:tcW w:w="960" w:type="dxa"/>
            <w:tcBorders>
              <w:top w:val="nil"/>
              <w:left w:val="nil"/>
              <w:bottom w:val="single" w:sz="4" w:space="0" w:color="auto"/>
              <w:right w:val="single" w:sz="4" w:space="0" w:color="auto"/>
            </w:tcBorders>
            <w:shd w:val="clear" w:color="auto" w:fill="auto"/>
            <w:noWrap/>
            <w:vAlign w:val="bottom"/>
            <w:hideMark/>
          </w:tcPr>
          <w:p w14:paraId="1A1B0B1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227.143</w:t>
            </w:r>
          </w:p>
        </w:tc>
        <w:tc>
          <w:tcPr>
            <w:tcW w:w="960" w:type="dxa"/>
            <w:tcBorders>
              <w:top w:val="nil"/>
              <w:left w:val="nil"/>
              <w:bottom w:val="single" w:sz="4" w:space="0" w:color="auto"/>
              <w:right w:val="single" w:sz="4" w:space="0" w:color="auto"/>
            </w:tcBorders>
            <w:shd w:val="clear" w:color="auto" w:fill="auto"/>
            <w:noWrap/>
            <w:vAlign w:val="bottom"/>
            <w:hideMark/>
          </w:tcPr>
          <w:p w14:paraId="1A842D4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233.615</w:t>
            </w:r>
          </w:p>
        </w:tc>
        <w:tc>
          <w:tcPr>
            <w:tcW w:w="960" w:type="dxa"/>
            <w:tcBorders>
              <w:top w:val="nil"/>
              <w:left w:val="nil"/>
              <w:bottom w:val="single" w:sz="4" w:space="0" w:color="auto"/>
              <w:right w:val="single" w:sz="4" w:space="0" w:color="auto"/>
            </w:tcBorders>
            <w:shd w:val="clear" w:color="auto" w:fill="auto"/>
            <w:noWrap/>
            <w:vAlign w:val="bottom"/>
            <w:hideMark/>
          </w:tcPr>
          <w:p w14:paraId="5BC97C5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234.632</w:t>
            </w:r>
          </w:p>
        </w:tc>
        <w:tc>
          <w:tcPr>
            <w:tcW w:w="960" w:type="dxa"/>
            <w:tcBorders>
              <w:top w:val="nil"/>
              <w:left w:val="nil"/>
              <w:bottom w:val="single" w:sz="4" w:space="0" w:color="auto"/>
              <w:right w:val="single" w:sz="4" w:space="0" w:color="auto"/>
            </w:tcBorders>
            <w:shd w:val="clear" w:color="auto" w:fill="auto"/>
            <w:noWrap/>
            <w:vAlign w:val="bottom"/>
            <w:hideMark/>
          </w:tcPr>
          <w:p w14:paraId="5BB4125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226.625</w:t>
            </w:r>
          </w:p>
        </w:tc>
        <w:tc>
          <w:tcPr>
            <w:tcW w:w="1960" w:type="dxa"/>
            <w:tcBorders>
              <w:top w:val="nil"/>
              <w:left w:val="nil"/>
              <w:bottom w:val="nil"/>
              <w:right w:val="nil"/>
            </w:tcBorders>
            <w:shd w:val="clear" w:color="auto" w:fill="auto"/>
            <w:noWrap/>
            <w:vAlign w:val="bottom"/>
            <w:hideMark/>
          </w:tcPr>
          <w:p w14:paraId="26313DD2"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50E14AAC"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7A1F75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44</w:t>
            </w:r>
          </w:p>
        </w:tc>
        <w:tc>
          <w:tcPr>
            <w:tcW w:w="960" w:type="dxa"/>
            <w:tcBorders>
              <w:top w:val="nil"/>
              <w:left w:val="nil"/>
              <w:bottom w:val="single" w:sz="4" w:space="0" w:color="auto"/>
              <w:right w:val="single" w:sz="4" w:space="0" w:color="auto"/>
            </w:tcBorders>
            <w:shd w:val="clear" w:color="auto" w:fill="auto"/>
            <w:noWrap/>
            <w:vAlign w:val="bottom"/>
            <w:hideMark/>
          </w:tcPr>
          <w:p w14:paraId="4B99B2B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240.865</w:t>
            </w:r>
          </w:p>
        </w:tc>
        <w:tc>
          <w:tcPr>
            <w:tcW w:w="960" w:type="dxa"/>
            <w:tcBorders>
              <w:top w:val="nil"/>
              <w:left w:val="nil"/>
              <w:bottom w:val="single" w:sz="4" w:space="0" w:color="auto"/>
              <w:right w:val="single" w:sz="4" w:space="0" w:color="auto"/>
            </w:tcBorders>
            <w:shd w:val="clear" w:color="auto" w:fill="auto"/>
            <w:noWrap/>
            <w:vAlign w:val="bottom"/>
            <w:hideMark/>
          </w:tcPr>
          <w:p w14:paraId="626A23F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241.731</w:t>
            </w:r>
          </w:p>
        </w:tc>
        <w:tc>
          <w:tcPr>
            <w:tcW w:w="960" w:type="dxa"/>
            <w:tcBorders>
              <w:top w:val="nil"/>
              <w:left w:val="nil"/>
              <w:bottom w:val="single" w:sz="4" w:space="0" w:color="auto"/>
              <w:right w:val="single" w:sz="4" w:space="0" w:color="auto"/>
            </w:tcBorders>
            <w:shd w:val="clear" w:color="auto" w:fill="auto"/>
            <w:noWrap/>
            <w:vAlign w:val="bottom"/>
            <w:hideMark/>
          </w:tcPr>
          <w:p w14:paraId="1CF1D25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231.452</w:t>
            </w:r>
          </w:p>
        </w:tc>
        <w:tc>
          <w:tcPr>
            <w:tcW w:w="960" w:type="dxa"/>
            <w:tcBorders>
              <w:top w:val="nil"/>
              <w:left w:val="nil"/>
              <w:bottom w:val="single" w:sz="4" w:space="0" w:color="auto"/>
              <w:right w:val="single" w:sz="4" w:space="0" w:color="auto"/>
            </w:tcBorders>
            <w:shd w:val="clear" w:color="auto" w:fill="auto"/>
            <w:noWrap/>
            <w:vAlign w:val="bottom"/>
            <w:hideMark/>
          </w:tcPr>
          <w:p w14:paraId="041FC5E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233.000</w:t>
            </w:r>
          </w:p>
        </w:tc>
        <w:tc>
          <w:tcPr>
            <w:tcW w:w="960" w:type="dxa"/>
            <w:tcBorders>
              <w:top w:val="nil"/>
              <w:left w:val="nil"/>
              <w:bottom w:val="single" w:sz="4" w:space="0" w:color="auto"/>
              <w:right w:val="single" w:sz="4" w:space="0" w:color="auto"/>
            </w:tcBorders>
            <w:shd w:val="clear" w:color="auto" w:fill="auto"/>
            <w:noWrap/>
            <w:vAlign w:val="bottom"/>
            <w:hideMark/>
          </w:tcPr>
          <w:p w14:paraId="51F8D8E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234.135</w:t>
            </w:r>
          </w:p>
        </w:tc>
        <w:tc>
          <w:tcPr>
            <w:tcW w:w="960" w:type="dxa"/>
            <w:tcBorders>
              <w:top w:val="nil"/>
              <w:left w:val="nil"/>
              <w:bottom w:val="single" w:sz="4" w:space="0" w:color="auto"/>
              <w:right w:val="single" w:sz="4" w:space="0" w:color="auto"/>
            </w:tcBorders>
            <w:shd w:val="clear" w:color="auto" w:fill="auto"/>
            <w:noWrap/>
            <w:vAlign w:val="bottom"/>
            <w:hideMark/>
          </w:tcPr>
          <w:p w14:paraId="52A624E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224.635</w:t>
            </w:r>
          </w:p>
        </w:tc>
        <w:tc>
          <w:tcPr>
            <w:tcW w:w="1960" w:type="dxa"/>
            <w:tcBorders>
              <w:top w:val="nil"/>
              <w:left w:val="nil"/>
              <w:bottom w:val="nil"/>
              <w:right w:val="nil"/>
            </w:tcBorders>
            <w:shd w:val="clear" w:color="auto" w:fill="auto"/>
            <w:noWrap/>
            <w:vAlign w:val="bottom"/>
            <w:hideMark/>
          </w:tcPr>
          <w:p w14:paraId="4AE1BB75"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230EE513"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DFA9A2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45</w:t>
            </w:r>
          </w:p>
        </w:tc>
        <w:tc>
          <w:tcPr>
            <w:tcW w:w="960" w:type="dxa"/>
            <w:tcBorders>
              <w:top w:val="nil"/>
              <w:left w:val="nil"/>
              <w:bottom w:val="single" w:sz="4" w:space="0" w:color="auto"/>
              <w:right w:val="single" w:sz="4" w:space="0" w:color="auto"/>
            </w:tcBorders>
            <w:shd w:val="clear" w:color="auto" w:fill="auto"/>
            <w:noWrap/>
            <w:vAlign w:val="bottom"/>
            <w:hideMark/>
          </w:tcPr>
          <w:p w14:paraId="41F892B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239.827</w:t>
            </w:r>
          </w:p>
        </w:tc>
        <w:tc>
          <w:tcPr>
            <w:tcW w:w="960" w:type="dxa"/>
            <w:tcBorders>
              <w:top w:val="nil"/>
              <w:left w:val="nil"/>
              <w:bottom w:val="single" w:sz="4" w:space="0" w:color="auto"/>
              <w:right w:val="single" w:sz="4" w:space="0" w:color="auto"/>
            </w:tcBorders>
            <w:shd w:val="clear" w:color="auto" w:fill="auto"/>
            <w:noWrap/>
            <w:vAlign w:val="bottom"/>
            <w:hideMark/>
          </w:tcPr>
          <w:p w14:paraId="7820B04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240.952</w:t>
            </w:r>
          </w:p>
        </w:tc>
        <w:tc>
          <w:tcPr>
            <w:tcW w:w="960" w:type="dxa"/>
            <w:tcBorders>
              <w:top w:val="nil"/>
              <w:left w:val="nil"/>
              <w:bottom w:val="single" w:sz="4" w:space="0" w:color="auto"/>
              <w:right w:val="single" w:sz="4" w:space="0" w:color="auto"/>
            </w:tcBorders>
            <w:shd w:val="clear" w:color="auto" w:fill="auto"/>
            <w:noWrap/>
            <w:vAlign w:val="bottom"/>
            <w:hideMark/>
          </w:tcPr>
          <w:p w14:paraId="19173FB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234.938</w:t>
            </w:r>
          </w:p>
        </w:tc>
        <w:tc>
          <w:tcPr>
            <w:tcW w:w="960" w:type="dxa"/>
            <w:tcBorders>
              <w:top w:val="nil"/>
              <w:left w:val="nil"/>
              <w:bottom w:val="single" w:sz="4" w:space="0" w:color="auto"/>
              <w:right w:val="single" w:sz="4" w:space="0" w:color="auto"/>
            </w:tcBorders>
            <w:shd w:val="clear" w:color="auto" w:fill="auto"/>
            <w:noWrap/>
            <w:vAlign w:val="bottom"/>
            <w:hideMark/>
          </w:tcPr>
          <w:p w14:paraId="2BF3A0F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231.917</w:t>
            </w:r>
          </w:p>
        </w:tc>
        <w:tc>
          <w:tcPr>
            <w:tcW w:w="960" w:type="dxa"/>
            <w:tcBorders>
              <w:top w:val="nil"/>
              <w:left w:val="nil"/>
              <w:bottom w:val="single" w:sz="4" w:space="0" w:color="auto"/>
              <w:right w:val="single" w:sz="4" w:space="0" w:color="auto"/>
            </w:tcBorders>
            <w:shd w:val="clear" w:color="auto" w:fill="auto"/>
            <w:noWrap/>
            <w:vAlign w:val="bottom"/>
            <w:hideMark/>
          </w:tcPr>
          <w:p w14:paraId="3C726BD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233.833</w:t>
            </w:r>
          </w:p>
        </w:tc>
        <w:tc>
          <w:tcPr>
            <w:tcW w:w="960" w:type="dxa"/>
            <w:tcBorders>
              <w:top w:val="nil"/>
              <w:left w:val="nil"/>
              <w:bottom w:val="single" w:sz="4" w:space="0" w:color="auto"/>
              <w:right w:val="single" w:sz="4" w:space="0" w:color="auto"/>
            </w:tcBorders>
            <w:shd w:val="clear" w:color="auto" w:fill="auto"/>
            <w:noWrap/>
            <w:vAlign w:val="bottom"/>
            <w:hideMark/>
          </w:tcPr>
          <w:p w14:paraId="0C9FB74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222.619</w:t>
            </w:r>
          </w:p>
        </w:tc>
        <w:tc>
          <w:tcPr>
            <w:tcW w:w="1960" w:type="dxa"/>
            <w:tcBorders>
              <w:top w:val="nil"/>
              <w:left w:val="nil"/>
              <w:bottom w:val="nil"/>
              <w:right w:val="nil"/>
            </w:tcBorders>
            <w:shd w:val="clear" w:color="auto" w:fill="auto"/>
            <w:noWrap/>
            <w:vAlign w:val="bottom"/>
            <w:hideMark/>
          </w:tcPr>
          <w:p w14:paraId="6645E92A"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5AE13D66"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D76C43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46</w:t>
            </w:r>
          </w:p>
        </w:tc>
        <w:tc>
          <w:tcPr>
            <w:tcW w:w="960" w:type="dxa"/>
            <w:tcBorders>
              <w:top w:val="nil"/>
              <w:left w:val="nil"/>
              <w:bottom w:val="single" w:sz="4" w:space="0" w:color="auto"/>
              <w:right w:val="single" w:sz="4" w:space="0" w:color="auto"/>
            </w:tcBorders>
            <w:shd w:val="clear" w:color="auto" w:fill="auto"/>
            <w:noWrap/>
            <w:vAlign w:val="bottom"/>
            <w:hideMark/>
          </w:tcPr>
          <w:p w14:paraId="2051982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238.423</w:t>
            </w:r>
          </w:p>
        </w:tc>
        <w:tc>
          <w:tcPr>
            <w:tcW w:w="960" w:type="dxa"/>
            <w:tcBorders>
              <w:top w:val="nil"/>
              <w:left w:val="nil"/>
              <w:bottom w:val="single" w:sz="4" w:space="0" w:color="auto"/>
              <w:right w:val="single" w:sz="4" w:space="0" w:color="auto"/>
            </w:tcBorders>
            <w:shd w:val="clear" w:color="auto" w:fill="auto"/>
            <w:noWrap/>
            <w:vAlign w:val="bottom"/>
            <w:hideMark/>
          </w:tcPr>
          <w:p w14:paraId="75467F1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240.173</w:t>
            </w:r>
          </w:p>
        </w:tc>
        <w:tc>
          <w:tcPr>
            <w:tcW w:w="960" w:type="dxa"/>
            <w:tcBorders>
              <w:top w:val="nil"/>
              <w:left w:val="nil"/>
              <w:bottom w:val="single" w:sz="4" w:space="0" w:color="auto"/>
              <w:right w:val="single" w:sz="4" w:space="0" w:color="auto"/>
            </w:tcBorders>
            <w:shd w:val="clear" w:color="auto" w:fill="auto"/>
            <w:noWrap/>
            <w:vAlign w:val="bottom"/>
            <w:hideMark/>
          </w:tcPr>
          <w:p w14:paraId="2C8638F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237.194</w:t>
            </w:r>
          </w:p>
        </w:tc>
        <w:tc>
          <w:tcPr>
            <w:tcW w:w="960" w:type="dxa"/>
            <w:tcBorders>
              <w:top w:val="nil"/>
              <w:left w:val="nil"/>
              <w:bottom w:val="single" w:sz="4" w:space="0" w:color="auto"/>
              <w:right w:val="single" w:sz="4" w:space="0" w:color="auto"/>
            </w:tcBorders>
            <w:shd w:val="clear" w:color="auto" w:fill="auto"/>
            <w:noWrap/>
            <w:vAlign w:val="bottom"/>
            <w:hideMark/>
          </w:tcPr>
          <w:p w14:paraId="3443808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231.457</w:t>
            </w:r>
          </w:p>
        </w:tc>
        <w:tc>
          <w:tcPr>
            <w:tcW w:w="960" w:type="dxa"/>
            <w:tcBorders>
              <w:top w:val="nil"/>
              <w:left w:val="nil"/>
              <w:bottom w:val="single" w:sz="4" w:space="0" w:color="auto"/>
              <w:right w:val="single" w:sz="4" w:space="0" w:color="auto"/>
            </w:tcBorders>
            <w:shd w:val="clear" w:color="auto" w:fill="auto"/>
            <w:noWrap/>
            <w:vAlign w:val="bottom"/>
            <w:hideMark/>
          </w:tcPr>
          <w:p w14:paraId="1CA72C2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233.043</w:t>
            </w:r>
          </w:p>
        </w:tc>
        <w:tc>
          <w:tcPr>
            <w:tcW w:w="960" w:type="dxa"/>
            <w:tcBorders>
              <w:top w:val="nil"/>
              <w:left w:val="nil"/>
              <w:bottom w:val="single" w:sz="4" w:space="0" w:color="auto"/>
              <w:right w:val="single" w:sz="4" w:space="0" w:color="auto"/>
            </w:tcBorders>
            <w:shd w:val="clear" w:color="auto" w:fill="auto"/>
            <w:noWrap/>
            <w:vAlign w:val="bottom"/>
            <w:hideMark/>
          </w:tcPr>
          <w:p w14:paraId="54560EA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220.130</w:t>
            </w:r>
          </w:p>
        </w:tc>
        <w:tc>
          <w:tcPr>
            <w:tcW w:w="1960" w:type="dxa"/>
            <w:tcBorders>
              <w:top w:val="nil"/>
              <w:left w:val="nil"/>
              <w:bottom w:val="nil"/>
              <w:right w:val="nil"/>
            </w:tcBorders>
            <w:shd w:val="clear" w:color="auto" w:fill="auto"/>
            <w:noWrap/>
            <w:vAlign w:val="bottom"/>
            <w:hideMark/>
          </w:tcPr>
          <w:p w14:paraId="047D6D92"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756A1A48"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DFD573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47</w:t>
            </w:r>
          </w:p>
        </w:tc>
        <w:tc>
          <w:tcPr>
            <w:tcW w:w="960" w:type="dxa"/>
            <w:tcBorders>
              <w:top w:val="nil"/>
              <w:left w:val="nil"/>
              <w:bottom w:val="single" w:sz="4" w:space="0" w:color="auto"/>
              <w:right w:val="single" w:sz="4" w:space="0" w:color="auto"/>
            </w:tcBorders>
            <w:shd w:val="clear" w:color="auto" w:fill="auto"/>
            <w:noWrap/>
            <w:vAlign w:val="bottom"/>
            <w:hideMark/>
          </w:tcPr>
          <w:p w14:paraId="4B076E5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237.398</w:t>
            </w:r>
          </w:p>
        </w:tc>
        <w:tc>
          <w:tcPr>
            <w:tcW w:w="960" w:type="dxa"/>
            <w:tcBorders>
              <w:top w:val="nil"/>
              <w:left w:val="nil"/>
              <w:bottom w:val="single" w:sz="4" w:space="0" w:color="auto"/>
              <w:right w:val="single" w:sz="4" w:space="0" w:color="auto"/>
            </w:tcBorders>
            <w:shd w:val="clear" w:color="auto" w:fill="auto"/>
            <w:noWrap/>
            <w:vAlign w:val="bottom"/>
            <w:hideMark/>
          </w:tcPr>
          <w:p w14:paraId="7720AA2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239.246</w:t>
            </w:r>
          </w:p>
        </w:tc>
        <w:tc>
          <w:tcPr>
            <w:tcW w:w="960" w:type="dxa"/>
            <w:tcBorders>
              <w:top w:val="nil"/>
              <w:left w:val="nil"/>
              <w:bottom w:val="single" w:sz="4" w:space="0" w:color="auto"/>
              <w:right w:val="single" w:sz="4" w:space="0" w:color="auto"/>
            </w:tcBorders>
            <w:shd w:val="clear" w:color="auto" w:fill="auto"/>
            <w:noWrap/>
            <w:vAlign w:val="bottom"/>
            <w:hideMark/>
          </w:tcPr>
          <w:p w14:paraId="3B2CEDB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238.801</w:t>
            </w:r>
          </w:p>
        </w:tc>
        <w:tc>
          <w:tcPr>
            <w:tcW w:w="960" w:type="dxa"/>
            <w:tcBorders>
              <w:top w:val="nil"/>
              <w:left w:val="nil"/>
              <w:bottom w:val="single" w:sz="4" w:space="0" w:color="auto"/>
              <w:right w:val="single" w:sz="4" w:space="0" w:color="auto"/>
            </w:tcBorders>
            <w:shd w:val="clear" w:color="auto" w:fill="auto"/>
            <w:noWrap/>
            <w:vAlign w:val="bottom"/>
            <w:hideMark/>
          </w:tcPr>
          <w:p w14:paraId="45A7707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230.481</w:t>
            </w:r>
          </w:p>
        </w:tc>
        <w:tc>
          <w:tcPr>
            <w:tcW w:w="960" w:type="dxa"/>
            <w:tcBorders>
              <w:top w:val="nil"/>
              <w:left w:val="nil"/>
              <w:bottom w:val="single" w:sz="4" w:space="0" w:color="auto"/>
              <w:right w:val="single" w:sz="4" w:space="0" w:color="auto"/>
            </w:tcBorders>
            <w:shd w:val="clear" w:color="auto" w:fill="auto"/>
            <w:noWrap/>
            <w:vAlign w:val="bottom"/>
            <w:hideMark/>
          </w:tcPr>
          <w:p w14:paraId="4391BAC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231.644</w:t>
            </w:r>
          </w:p>
        </w:tc>
        <w:tc>
          <w:tcPr>
            <w:tcW w:w="960" w:type="dxa"/>
            <w:tcBorders>
              <w:top w:val="nil"/>
              <w:left w:val="nil"/>
              <w:bottom w:val="single" w:sz="4" w:space="0" w:color="auto"/>
              <w:right w:val="single" w:sz="4" w:space="0" w:color="auto"/>
            </w:tcBorders>
            <w:shd w:val="clear" w:color="auto" w:fill="auto"/>
            <w:noWrap/>
            <w:vAlign w:val="bottom"/>
            <w:hideMark/>
          </w:tcPr>
          <w:p w14:paraId="48B642D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217.269</w:t>
            </w:r>
          </w:p>
        </w:tc>
        <w:tc>
          <w:tcPr>
            <w:tcW w:w="1960" w:type="dxa"/>
            <w:tcBorders>
              <w:top w:val="nil"/>
              <w:left w:val="nil"/>
              <w:bottom w:val="nil"/>
              <w:right w:val="nil"/>
            </w:tcBorders>
            <w:shd w:val="clear" w:color="auto" w:fill="auto"/>
            <w:noWrap/>
            <w:vAlign w:val="bottom"/>
            <w:hideMark/>
          </w:tcPr>
          <w:p w14:paraId="132E61C9"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7DC1BC0C"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27F3A3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48</w:t>
            </w:r>
          </w:p>
        </w:tc>
        <w:tc>
          <w:tcPr>
            <w:tcW w:w="960" w:type="dxa"/>
            <w:tcBorders>
              <w:top w:val="nil"/>
              <w:left w:val="nil"/>
              <w:bottom w:val="single" w:sz="4" w:space="0" w:color="auto"/>
              <w:right w:val="single" w:sz="4" w:space="0" w:color="auto"/>
            </w:tcBorders>
            <w:shd w:val="clear" w:color="auto" w:fill="auto"/>
            <w:noWrap/>
            <w:vAlign w:val="bottom"/>
            <w:hideMark/>
          </w:tcPr>
          <w:p w14:paraId="65E80AF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235.615</w:t>
            </w:r>
          </w:p>
        </w:tc>
        <w:tc>
          <w:tcPr>
            <w:tcW w:w="960" w:type="dxa"/>
            <w:tcBorders>
              <w:top w:val="nil"/>
              <w:left w:val="nil"/>
              <w:bottom w:val="single" w:sz="4" w:space="0" w:color="auto"/>
              <w:right w:val="single" w:sz="4" w:space="0" w:color="auto"/>
            </w:tcBorders>
            <w:shd w:val="clear" w:color="auto" w:fill="auto"/>
            <w:noWrap/>
            <w:vAlign w:val="bottom"/>
            <w:hideMark/>
          </w:tcPr>
          <w:p w14:paraId="11FA9E0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238.615</w:t>
            </w:r>
          </w:p>
        </w:tc>
        <w:tc>
          <w:tcPr>
            <w:tcW w:w="960" w:type="dxa"/>
            <w:tcBorders>
              <w:top w:val="nil"/>
              <w:left w:val="nil"/>
              <w:bottom w:val="single" w:sz="4" w:space="0" w:color="auto"/>
              <w:right w:val="single" w:sz="4" w:space="0" w:color="auto"/>
            </w:tcBorders>
            <w:shd w:val="clear" w:color="auto" w:fill="auto"/>
            <w:noWrap/>
            <w:vAlign w:val="bottom"/>
            <w:hideMark/>
          </w:tcPr>
          <w:p w14:paraId="568D1E4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239.492</w:t>
            </w:r>
          </w:p>
        </w:tc>
        <w:tc>
          <w:tcPr>
            <w:tcW w:w="960" w:type="dxa"/>
            <w:tcBorders>
              <w:top w:val="nil"/>
              <w:left w:val="nil"/>
              <w:bottom w:val="single" w:sz="4" w:space="0" w:color="auto"/>
              <w:right w:val="single" w:sz="4" w:space="0" w:color="auto"/>
            </w:tcBorders>
            <w:shd w:val="clear" w:color="auto" w:fill="auto"/>
            <w:noWrap/>
            <w:vAlign w:val="bottom"/>
            <w:hideMark/>
          </w:tcPr>
          <w:p w14:paraId="7ED04CC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229.000</w:t>
            </w:r>
          </w:p>
        </w:tc>
        <w:tc>
          <w:tcPr>
            <w:tcW w:w="960" w:type="dxa"/>
            <w:tcBorders>
              <w:top w:val="nil"/>
              <w:left w:val="nil"/>
              <w:bottom w:val="single" w:sz="4" w:space="0" w:color="auto"/>
              <w:right w:val="single" w:sz="4" w:space="0" w:color="auto"/>
            </w:tcBorders>
            <w:shd w:val="clear" w:color="auto" w:fill="auto"/>
            <w:noWrap/>
            <w:vAlign w:val="bottom"/>
            <w:hideMark/>
          </w:tcPr>
          <w:p w14:paraId="181F7D1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230.000</w:t>
            </w:r>
          </w:p>
        </w:tc>
        <w:tc>
          <w:tcPr>
            <w:tcW w:w="960" w:type="dxa"/>
            <w:tcBorders>
              <w:top w:val="nil"/>
              <w:left w:val="nil"/>
              <w:bottom w:val="single" w:sz="4" w:space="0" w:color="auto"/>
              <w:right w:val="single" w:sz="4" w:space="0" w:color="auto"/>
            </w:tcBorders>
            <w:shd w:val="clear" w:color="auto" w:fill="auto"/>
            <w:noWrap/>
            <w:vAlign w:val="bottom"/>
            <w:hideMark/>
          </w:tcPr>
          <w:p w14:paraId="0B0D9CF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215.000</w:t>
            </w:r>
          </w:p>
        </w:tc>
        <w:tc>
          <w:tcPr>
            <w:tcW w:w="1960" w:type="dxa"/>
            <w:tcBorders>
              <w:top w:val="nil"/>
              <w:left w:val="nil"/>
              <w:bottom w:val="nil"/>
              <w:right w:val="nil"/>
            </w:tcBorders>
            <w:shd w:val="clear" w:color="auto" w:fill="auto"/>
            <w:noWrap/>
            <w:vAlign w:val="bottom"/>
            <w:hideMark/>
          </w:tcPr>
          <w:p w14:paraId="244B7484"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78879AFE"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C581F3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49</w:t>
            </w:r>
          </w:p>
        </w:tc>
        <w:tc>
          <w:tcPr>
            <w:tcW w:w="960" w:type="dxa"/>
            <w:tcBorders>
              <w:top w:val="nil"/>
              <w:left w:val="nil"/>
              <w:bottom w:val="single" w:sz="4" w:space="0" w:color="auto"/>
              <w:right w:val="single" w:sz="4" w:space="0" w:color="auto"/>
            </w:tcBorders>
            <w:shd w:val="clear" w:color="auto" w:fill="auto"/>
            <w:noWrap/>
            <w:vAlign w:val="bottom"/>
            <w:hideMark/>
          </w:tcPr>
          <w:p w14:paraId="2BB2F27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234.898</w:t>
            </w:r>
          </w:p>
        </w:tc>
        <w:tc>
          <w:tcPr>
            <w:tcW w:w="960" w:type="dxa"/>
            <w:tcBorders>
              <w:top w:val="nil"/>
              <w:left w:val="nil"/>
              <w:bottom w:val="single" w:sz="4" w:space="0" w:color="auto"/>
              <w:right w:val="single" w:sz="4" w:space="0" w:color="auto"/>
            </w:tcBorders>
            <w:shd w:val="clear" w:color="auto" w:fill="auto"/>
            <w:noWrap/>
            <w:vAlign w:val="bottom"/>
            <w:hideMark/>
          </w:tcPr>
          <w:p w14:paraId="0B0CF63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237.375</w:t>
            </w:r>
          </w:p>
        </w:tc>
        <w:tc>
          <w:tcPr>
            <w:tcW w:w="960" w:type="dxa"/>
            <w:tcBorders>
              <w:top w:val="nil"/>
              <w:left w:val="nil"/>
              <w:bottom w:val="single" w:sz="4" w:space="0" w:color="auto"/>
              <w:right w:val="single" w:sz="4" w:space="0" w:color="auto"/>
            </w:tcBorders>
            <w:shd w:val="clear" w:color="auto" w:fill="auto"/>
            <w:noWrap/>
            <w:vAlign w:val="bottom"/>
            <w:hideMark/>
          </w:tcPr>
          <w:p w14:paraId="0B4E187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240.326</w:t>
            </w:r>
          </w:p>
        </w:tc>
        <w:tc>
          <w:tcPr>
            <w:tcW w:w="960" w:type="dxa"/>
            <w:tcBorders>
              <w:top w:val="nil"/>
              <w:left w:val="nil"/>
              <w:bottom w:val="single" w:sz="4" w:space="0" w:color="auto"/>
              <w:right w:val="single" w:sz="4" w:space="0" w:color="auto"/>
            </w:tcBorders>
            <w:shd w:val="clear" w:color="auto" w:fill="auto"/>
            <w:noWrap/>
            <w:vAlign w:val="bottom"/>
            <w:hideMark/>
          </w:tcPr>
          <w:p w14:paraId="4E0D2C1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227.023</w:t>
            </w:r>
          </w:p>
        </w:tc>
        <w:tc>
          <w:tcPr>
            <w:tcW w:w="960" w:type="dxa"/>
            <w:tcBorders>
              <w:top w:val="nil"/>
              <w:left w:val="nil"/>
              <w:bottom w:val="single" w:sz="4" w:space="0" w:color="auto"/>
              <w:right w:val="single" w:sz="4" w:space="0" w:color="auto"/>
            </w:tcBorders>
            <w:shd w:val="clear" w:color="auto" w:fill="auto"/>
            <w:noWrap/>
            <w:vAlign w:val="bottom"/>
            <w:hideMark/>
          </w:tcPr>
          <w:p w14:paraId="6A61B4F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228.587</w:t>
            </w:r>
          </w:p>
        </w:tc>
        <w:tc>
          <w:tcPr>
            <w:tcW w:w="960" w:type="dxa"/>
            <w:tcBorders>
              <w:top w:val="nil"/>
              <w:left w:val="nil"/>
              <w:bottom w:val="single" w:sz="4" w:space="0" w:color="auto"/>
              <w:right w:val="single" w:sz="4" w:space="0" w:color="auto"/>
            </w:tcBorders>
            <w:shd w:val="clear" w:color="auto" w:fill="auto"/>
            <w:noWrap/>
            <w:vAlign w:val="bottom"/>
            <w:hideMark/>
          </w:tcPr>
          <w:p w14:paraId="41693C0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212.337</w:t>
            </w:r>
          </w:p>
        </w:tc>
        <w:tc>
          <w:tcPr>
            <w:tcW w:w="1960" w:type="dxa"/>
            <w:tcBorders>
              <w:top w:val="nil"/>
              <w:left w:val="nil"/>
              <w:bottom w:val="nil"/>
              <w:right w:val="nil"/>
            </w:tcBorders>
            <w:shd w:val="clear" w:color="auto" w:fill="auto"/>
            <w:noWrap/>
            <w:vAlign w:val="bottom"/>
            <w:hideMark/>
          </w:tcPr>
          <w:p w14:paraId="7D31BF5F"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6C415400"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551E94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50</w:t>
            </w:r>
          </w:p>
        </w:tc>
        <w:tc>
          <w:tcPr>
            <w:tcW w:w="960" w:type="dxa"/>
            <w:tcBorders>
              <w:top w:val="nil"/>
              <w:left w:val="nil"/>
              <w:bottom w:val="single" w:sz="4" w:space="0" w:color="auto"/>
              <w:right w:val="single" w:sz="4" w:space="0" w:color="auto"/>
            </w:tcBorders>
            <w:shd w:val="clear" w:color="auto" w:fill="auto"/>
            <w:noWrap/>
            <w:vAlign w:val="bottom"/>
            <w:hideMark/>
          </w:tcPr>
          <w:p w14:paraId="326FFF8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233.793</w:t>
            </w:r>
          </w:p>
        </w:tc>
        <w:tc>
          <w:tcPr>
            <w:tcW w:w="960" w:type="dxa"/>
            <w:tcBorders>
              <w:top w:val="nil"/>
              <w:left w:val="nil"/>
              <w:bottom w:val="single" w:sz="4" w:space="0" w:color="auto"/>
              <w:right w:val="single" w:sz="4" w:space="0" w:color="auto"/>
            </w:tcBorders>
            <w:shd w:val="clear" w:color="auto" w:fill="auto"/>
            <w:noWrap/>
            <w:vAlign w:val="bottom"/>
            <w:hideMark/>
          </w:tcPr>
          <w:p w14:paraId="0DAA754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237.000</w:t>
            </w:r>
          </w:p>
        </w:tc>
        <w:tc>
          <w:tcPr>
            <w:tcW w:w="960" w:type="dxa"/>
            <w:tcBorders>
              <w:top w:val="nil"/>
              <w:left w:val="nil"/>
              <w:bottom w:val="single" w:sz="4" w:space="0" w:color="auto"/>
              <w:right w:val="single" w:sz="4" w:space="0" w:color="auto"/>
            </w:tcBorders>
            <w:shd w:val="clear" w:color="auto" w:fill="auto"/>
            <w:noWrap/>
            <w:vAlign w:val="bottom"/>
            <w:hideMark/>
          </w:tcPr>
          <w:p w14:paraId="5F61BDB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240.475</w:t>
            </w:r>
          </w:p>
        </w:tc>
        <w:tc>
          <w:tcPr>
            <w:tcW w:w="960" w:type="dxa"/>
            <w:tcBorders>
              <w:top w:val="nil"/>
              <w:left w:val="nil"/>
              <w:bottom w:val="single" w:sz="4" w:space="0" w:color="auto"/>
              <w:right w:val="single" w:sz="4" w:space="0" w:color="auto"/>
            </w:tcBorders>
            <w:shd w:val="clear" w:color="auto" w:fill="auto"/>
            <w:noWrap/>
            <w:vAlign w:val="bottom"/>
            <w:hideMark/>
          </w:tcPr>
          <w:p w14:paraId="43B90E8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224.308</w:t>
            </w:r>
          </w:p>
        </w:tc>
        <w:tc>
          <w:tcPr>
            <w:tcW w:w="960" w:type="dxa"/>
            <w:tcBorders>
              <w:top w:val="nil"/>
              <w:left w:val="nil"/>
              <w:bottom w:val="single" w:sz="4" w:space="0" w:color="auto"/>
              <w:right w:val="single" w:sz="4" w:space="0" w:color="auto"/>
            </w:tcBorders>
            <w:shd w:val="clear" w:color="auto" w:fill="auto"/>
            <w:noWrap/>
            <w:vAlign w:val="bottom"/>
            <w:hideMark/>
          </w:tcPr>
          <w:p w14:paraId="2D6EDEC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226.793</w:t>
            </w:r>
          </w:p>
        </w:tc>
        <w:tc>
          <w:tcPr>
            <w:tcW w:w="960" w:type="dxa"/>
            <w:tcBorders>
              <w:top w:val="nil"/>
              <w:left w:val="nil"/>
              <w:bottom w:val="single" w:sz="4" w:space="0" w:color="auto"/>
              <w:right w:val="single" w:sz="4" w:space="0" w:color="auto"/>
            </w:tcBorders>
            <w:shd w:val="clear" w:color="auto" w:fill="auto"/>
            <w:noWrap/>
            <w:vAlign w:val="bottom"/>
            <w:hideMark/>
          </w:tcPr>
          <w:p w14:paraId="1164752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208.808</w:t>
            </w:r>
          </w:p>
        </w:tc>
        <w:tc>
          <w:tcPr>
            <w:tcW w:w="1960" w:type="dxa"/>
            <w:tcBorders>
              <w:top w:val="nil"/>
              <w:left w:val="nil"/>
              <w:bottom w:val="nil"/>
              <w:right w:val="nil"/>
            </w:tcBorders>
            <w:shd w:val="clear" w:color="auto" w:fill="auto"/>
            <w:noWrap/>
            <w:vAlign w:val="bottom"/>
            <w:hideMark/>
          </w:tcPr>
          <w:p w14:paraId="55EFD168"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616EC890"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140804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51</w:t>
            </w:r>
          </w:p>
        </w:tc>
        <w:tc>
          <w:tcPr>
            <w:tcW w:w="960" w:type="dxa"/>
            <w:tcBorders>
              <w:top w:val="nil"/>
              <w:left w:val="nil"/>
              <w:bottom w:val="single" w:sz="4" w:space="0" w:color="auto"/>
              <w:right w:val="single" w:sz="4" w:space="0" w:color="auto"/>
            </w:tcBorders>
            <w:shd w:val="clear" w:color="auto" w:fill="auto"/>
            <w:noWrap/>
            <w:vAlign w:val="bottom"/>
            <w:hideMark/>
          </w:tcPr>
          <w:p w14:paraId="4287175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233.125</w:t>
            </w:r>
          </w:p>
        </w:tc>
        <w:tc>
          <w:tcPr>
            <w:tcW w:w="960" w:type="dxa"/>
            <w:tcBorders>
              <w:top w:val="nil"/>
              <w:left w:val="nil"/>
              <w:bottom w:val="single" w:sz="4" w:space="0" w:color="auto"/>
              <w:right w:val="single" w:sz="4" w:space="0" w:color="auto"/>
            </w:tcBorders>
            <w:shd w:val="clear" w:color="auto" w:fill="auto"/>
            <w:noWrap/>
            <w:vAlign w:val="bottom"/>
            <w:hideMark/>
          </w:tcPr>
          <w:p w14:paraId="53981B4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236.369</w:t>
            </w:r>
          </w:p>
        </w:tc>
        <w:tc>
          <w:tcPr>
            <w:tcW w:w="960" w:type="dxa"/>
            <w:tcBorders>
              <w:top w:val="nil"/>
              <w:left w:val="nil"/>
              <w:bottom w:val="single" w:sz="4" w:space="0" w:color="auto"/>
              <w:right w:val="single" w:sz="4" w:space="0" w:color="auto"/>
            </w:tcBorders>
            <w:shd w:val="clear" w:color="auto" w:fill="auto"/>
            <w:noWrap/>
            <w:vAlign w:val="bottom"/>
            <w:hideMark/>
          </w:tcPr>
          <w:p w14:paraId="0D5A8FF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240.625</w:t>
            </w:r>
          </w:p>
        </w:tc>
        <w:tc>
          <w:tcPr>
            <w:tcW w:w="960" w:type="dxa"/>
            <w:tcBorders>
              <w:top w:val="nil"/>
              <w:left w:val="nil"/>
              <w:bottom w:val="single" w:sz="4" w:space="0" w:color="auto"/>
              <w:right w:val="single" w:sz="4" w:space="0" w:color="auto"/>
            </w:tcBorders>
            <w:shd w:val="clear" w:color="auto" w:fill="auto"/>
            <w:noWrap/>
            <w:vAlign w:val="bottom"/>
            <w:hideMark/>
          </w:tcPr>
          <w:p w14:paraId="6651BA2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220.933</w:t>
            </w:r>
          </w:p>
        </w:tc>
        <w:tc>
          <w:tcPr>
            <w:tcW w:w="960" w:type="dxa"/>
            <w:tcBorders>
              <w:top w:val="nil"/>
              <w:left w:val="nil"/>
              <w:bottom w:val="single" w:sz="4" w:space="0" w:color="auto"/>
              <w:right w:val="single" w:sz="4" w:space="0" w:color="auto"/>
            </w:tcBorders>
            <w:shd w:val="clear" w:color="auto" w:fill="auto"/>
            <w:noWrap/>
            <w:vAlign w:val="bottom"/>
            <w:hideMark/>
          </w:tcPr>
          <w:p w14:paraId="685FC96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225.494</w:t>
            </w:r>
          </w:p>
        </w:tc>
        <w:tc>
          <w:tcPr>
            <w:tcW w:w="960" w:type="dxa"/>
            <w:tcBorders>
              <w:top w:val="nil"/>
              <w:left w:val="nil"/>
              <w:bottom w:val="single" w:sz="4" w:space="0" w:color="auto"/>
              <w:right w:val="single" w:sz="4" w:space="0" w:color="auto"/>
            </w:tcBorders>
            <w:shd w:val="clear" w:color="auto" w:fill="auto"/>
            <w:noWrap/>
            <w:vAlign w:val="bottom"/>
            <w:hideMark/>
          </w:tcPr>
          <w:p w14:paraId="3DBD6C3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204.814</w:t>
            </w:r>
          </w:p>
        </w:tc>
        <w:tc>
          <w:tcPr>
            <w:tcW w:w="1960" w:type="dxa"/>
            <w:tcBorders>
              <w:top w:val="nil"/>
              <w:left w:val="nil"/>
              <w:bottom w:val="nil"/>
              <w:right w:val="nil"/>
            </w:tcBorders>
            <w:shd w:val="clear" w:color="auto" w:fill="auto"/>
            <w:noWrap/>
            <w:vAlign w:val="bottom"/>
            <w:hideMark/>
          </w:tcPr>
          <w:p w14:paraId="26ECB1D4"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7103619B"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2111F2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52</w:t>
            </w:r>
          </w:p>
        </w:tc>
        <w:tc>
          <w:tcPr>
            <w:tcW w:w="960" w:type="dxa"/>
            <w:tcBorders>
              <w:top w:val="nil"/>
              <w:left w:val="nil"/>
              <w:bottom w:val="single" w:sz="4" w:space="0" w:color="auto"/>
              <w:right w:val="single" w:sz="4" w:space="0" w:color="auto"/>
            </w:tcBorders>
            <w:shd w:val="clear" w:color="auto" w:fill="auto"/>
            <w:noWrap/>
            <w:vAlign w:val="bottom"/>
            <w:hideMark/>
          </w:tcPr>
          <w:p w14:paraId="15E4985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232.750</w:t>
            </w:r>
          </w:p>
        </w:tc>
        <w:tc>
          <w:tcPr>
            <w:tcW w:w="960" w:type="dxa"/>
            <w:tcBorders>
              <w:top w:val="nil"/>
              <w:left w:val="nil"/>
              <w:bottom w:val="single" w:sz="4" w:space="0" w:color="auto"/>
              <w:right w:val="single" w:sz="4" w:space="0" w:color="auto"/>
            </w:tcBorders>
            <w:shd w:val="clear" w:color="auto" w:fill="auto"/>
            <w:noWrap/>
            <w:vAlign w:val="bottom"/>
            <w:hideMark/>
          </w:tcPr>
          <w:p w14:paraId="7DB45F8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235.250</w:t>
            </w:r>
          </w:p>
        </w:tc>
        <w:tc>
          <w:tcPr>
            <w:tcW w:w="960" w:type="dxa"/>
            <w:tcBorders>
              <w:top w:val="nil"/>
              <w:left w:val="nil"/>
              <w:bottom w:val="single" w:sz="4" w:space="0" w:color="auto"/>
              <w:right w:val="single" w:sz="4" w:space="0" w:color="auto"/>
            </w:tcBorders>
            <w:shd w:val="clear" w:color="auto" w:fill="auto"/>
            <w:noWrap/>
            <w:vAlign w:val="bottom"/>
            <w:hideMark/>
          </w:tcPr>
          <w:p w14:paraId="0BC17A7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241.051</w:t>
            </w:r>
          </w:p>
        </w:tc>
        <w:tc>
          <w:tcPr>
            <w:tcW w:w="960" w:type="dxa"/>
            <w:tcBorders>
              <w:top w:val="nil"/>
              <w:left w:val="nil"/>
              <w:bottom w:val="single" w:sz="4" w:space="0" w:color="auto"/>
              <w:right w:val="single" w:sz="4" w:space="0" w:color="auto"/>
            </w:tcBorders>
            <w:shd w:val="clear" w:color="auto" w:fill="auto"/>
            <w:noWrap/>
            <w:vAlign w:val="bottom"/>
            <w:hideMark/>
          </w:tcPr>
          <w:p w14:paraId="1882DDC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216.750</w:t>
            </w:r>
          </w:p>
        </w:tc>
        <w:tc>
          <w:tcPr>
            <w:tcW w:w="960" w:type="dxa"/>
            <w:tcBorders>
              <w:top w:val="nil"/>
              <w:left w:val="nil"/>
              <w:bottom w:val="single" w:sz="4" w:space="0" w:color="auto"/>
              <w:right w:val="single" w:sz="4" w:space="0" w:color="auto"/>
            </w:tcBorders>
            <w:shd w:val="clear" w:color="auto" w:fill="auto"/>
            <w:noWrap/>
            <w:vAlign w:val="bottom"/>
            <w:hideMark/>
          </w:tcPr>
          <w:p w14:paraId="6F81D80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224.250</w:t>
            </w:r>
          </w:p>
        </w:tc>
        <w:tc>
          <w:tcPr>
            <w:tcW w:w="960" w:type="dxa"/>
            <w:tcBorders>
              <w:top w:val="nil"/>
              <w:left w:val="nil"/>
              <w:bottom w:val="single" w:sz="4" w:space="0" w:color="auto"/>
              <w:right w:val="single" w:sz="4" w:space="0" w:color="auto"/>
            </w:tcBorders>
            <w:shd w:val="clear" w:color="auto" w:fill="auto"/>
            <w:noWrap/>
            <w:vAlign w:val="bottom"/>
            <w:hideMark/>
          </w:tcPr>
          <w:p w14:paraId="6349771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200.000</w:t>
            </w:r>
          </w:p>
        </w:tc>
        <w:tc>
          <w:tcPr>
            <w:tcW w:w="1960" w:type="dxa"/>
            <w:tcBorders>
              <w:top w:val="nil"/>
              <w:left w:val="nil"/>
              <w:bottom w:val="nil"/>
              <w:right w:val="nil"/>
            </w:tcBorders>
            <w:shd w:val="clear" w:color="auto" w:fill="auto"/>
            <w:noWrap/>
            <w:vAlign w:val="bottom"/>
            <w:hideMark/>
          </w:tcPr>
          <w:p w14:paraId="146B3CAC"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209A1C5D"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9C4705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lastRenderedPageBreak/>
              <w:t>53</w:t>
            </w:r>
          </w:p>
        </w:tc>
        <w:tc>
          <w:tcPr>
            <w:tcW w:w="960" w:type="dxa"/>
            <w:tcBorders>
              <w:top w:val="nil"/>
              <w:left w:val="nil"/>
              <w:bottom w:val="single" w:sz="4" w:space="0" w:color="auto"/>
              <w:right w:val="single" w:sz="4" w:space="0" w:color="auto"/>
            </w:tcBorders>
            <w:shd w:val="clear" w:color="auto" w:fill="auto"/>
            <w:noWrap/>
            <w:vAlign w:val="bottom"/>
            <w:hideMark/>
          </w:tcPr>
          <w:p w14:paraId="7015BAC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232.820</w:t>
            </w:r>
          </w:p>
        </w:tc>
        <w:tc>
          <w:tcPr>
            <w:tcW w:w="960" w:type="dxa"/>
            <w:tcBorders>
              <w:top w:val="nil"/>
              <w:left w:val="nil"/>
              <w:bottom w:val="single" w:sz="4" w:space="0" w:color="auto"/>
              <w:right w:val="single" w:sz="4" w:space="0" w:color="auto"/>
            </w:tcBorders>
            <w:shd w:val="clear" w:color="auto" w:fill="auto"/>
            <w:noWrap/>
            <w:vAlign w:val="bottom"/>
            <w:hideMark/>
          </w:tcPr>
          <w:p w14:paraId="0CAA441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233.840</w:t>
            </w:r>
          </w:p>
        </w:tc>
        <w:tc>
          <w:tcPr>
            <w:tcW w:w="960" w:type="dxa"/>
            <w:tcBorders>
              <w:top w:val="nil"/>
              <w:left w:val="nil"/>
              <w:bottom w:val="single" w:sz="4" w:space="0" w:color="auto"/>
              <w:right w:val="single" w:sz="4" w:space="0" w:color="auto"/>
            </w:tcBorders>
            <w:shd w:val="clear" w:color="auto" w:fill="auto"/>
            <w:noWrap/>
            <w:vAlign w:val="bottom"/>
            <w:hideMark/>
          </w:tcPr>
          <w:p w14:paraId="7B033FB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241.980</w:t>
            </w:r>
          </w:p>
        </w:tc>
        <w:tc>
          <w:tcPr>
            <w:tcW w:w="960" w:type="dxa"/>
            <w:tcBorders>
              <w:top w:val="nil"/>
              <w:left w:val="nil"/>
              <w:bottom w:val="single" w:sz="4" w:space="0" w:color="auto"/>
              <w:right w:val="single" w:sz="4" w:space="0" w:color="auto"/>
            </w:tcBorders>
            <w:shd w:val="clear" w:color="auto" w:fill="auto"/>
            <w:noWrap/>
            <w:vAlign w:val="bottom"/>
            <w:hideMark/>
          </w:tcPr>
          <w:p w14:paraId="46B0E22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212.608</w:t>
            </w:r>
          </w:p>
        </w:tc>
        <w:tc>
          <w:tcPr>
            <w:tcW w:w="960" w:type="dxa"/>
            <w:tcBorders>
              <w:top w:val="nil"/>
              <w:left w:val="nil"/>
              <w:bottom w:val="single" w:sz="4" w:space="0" w:color="auto"/>
              <w:right w:val="single" w:sz="4" w:space="0" w:color="auto"/>
            </w:tcBorders>
            <w:shd w:val="clear" w:color="auto" w:fill="auto"/>
            <w:noWrap/>
            <w:vAlign w:val="bottom"/>
            <w:hideMark/>
          </w:tcPr>
          <w:p w14:paraId="0AE1619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222.596</w:t>
            </w:r>
          </w:p>
        </w:tc>
        <w:tc>
          <w:tcPr>
            <w:tcW w:w="960" w:type="dxa"/>
            <w:tcBorders>
              <w:top w:val="nil"/>
              <w:left w:val="nil"/>
              <w:bottom w:val="single" w:sz="4" w:space="0" w:color="auto"/>
              <w:right w:val="single" w:sz="4" w:space="0" w:color="auto"/>
            </w:tcBorders>
            <w:shd w:val="clear" w:color="auto" w:fill="auto"/>
            <w:noWrap/>
            <w:vAlign w:val="bottom"/>
            <w:hideMark/>
          </w:tcPr>
          <w:p w14:paraId="0368B84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194.782</w:t>
            </w:r>
          </w:p>
        </w:tc>
        <w:tc>
          <w:tcPr>
            <w:tcW w:w="1960" w:type="dxa"/>
            <w:tcBorders>
              <w:top w:val="nil"/>
              <w:left w:val="nil"/>
              <w:bottom w:val="nil"/>
              <w:right w:val="nil"/>
            </w:tcBorders>
            <w:shd w:val="clear" w:color="auto" w:fill="auto"/>
            <w:noWrap/>
            <w:vAlign w:val="bottom"/>
            <w:hideMark/>
          </w:tcPr>
          <w:p w14:paraId="6371D235"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3E315B83"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33EDED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54</w:t>
            </w:r>
          </w:p>
        </w:tc>
        <w:tc>
          <w:tcPr>
            <w:tcW w:w="960" w:type="dxa"/>
            <w:tcBorders>
              <w:top w:val="nil"/>
              <w:left w:val="nil"/>
              <w:bottom w:val="single" w:sz="4" w:space="0" w:color="auto"/>
              <w:right w:val="single" w:sz="4" w:space="0" w:color="auto"/>
            </w:tcBorders>
            <w:shd w:val="clear" w:color="auto" w:fill="auto"/>
            <w:noWrap/>
            <w:vAlign w:val="bottom"/>
            <w:hideMark/>
          </w:tcPr>
          <w:p w14:paraId="2DF7F41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233.058</w:t>
            </w:r>
          </w:p>
        </w:tc>
        <w:tc>
          <w:tcPr>
            <w:tcW w:w="960" w:type="dxa"/>
            <w:tcBorders>
              <w:top w:val="nil"/>
              <w:left w:val="nil"/>
              <w:bottom w:val="single" w:sz="4" w:space="0" w:color="auto"/>
              <w:right w:val="single" w:sz="4" w:space="0" w:color="auto"/>
            </w:tcBorders>
            <w:shd w:val="clear" w:color="auto" w:fill="auto"/>
            <w:noWrap/>
            <w:vAlign w:val="bottom"/>
            <w:hideMark/>
          </w:tcPr>
          <w:p w14:paraId="1C5CC8B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232.428</w:t>
            </w:r>
          </w:p>
        </w:tc>
        <w:tc>
          <w:tcPr>
            <w:tcW w:w="960" w:type="dxa"/>
            <w:tcBorders>
              <w:top w:val="nil"/>
              <w:left w:val="nil"/>
              <w:bottom w:val="single" w:sz="4" w:space="0" w:color="auto"/>
              <w:right w:val="single" w:sz="4" w:space="0" w:color="auto"/>
            </w:tcBorders>
            <w:shd w:val="clear" w:color="auto" w:fill="auto"/>
            <w:noWrap/>
            <w:vAlign w:val="bottom"/>
            <w:hideMark/>
          </w:tcPr>
          <w:p w14:paraId="2E8DCA1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242.962</w:t>
            </w:r>
          </w:p>
        </w:tc>
        <w:tc>
          <w:tcPr>
            <w:tcW w:w="960" w:type="dxa"/>
            <w:tcBorders>
              <w:top w:val="nil"/>
              <w:left w:val="nil"/>
              <w:bottom w:val="single" w:sz="4" w:space="0" w:color="auto"/>
              <w:right w:val="single" w:sz="4" w:space="0" w:color="auto"/>
            </w:tcBorders>
            <w:shd w:val="clear" w:color="auto" w:fill="auto"/>
            <w:noWrap/>
            <w:vAlign w:val="bottom"/>
            <w:hideMark/>
          </w:tcPr>
          <w:p w14:paraId="108E762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208.664</w:t>
            </w:r>
          </w:p>
        </w:tc>
        <w:tc>
          <w:tcPr>
            <w:tcW w:w="960" w:type="dxa"/>
            <w:tcBorders>
              <w:top w:val="nil"/>
              <w:left w:val="nil"/>
              <w:bottom w:val="single" w:sz="4" w:space="0" w:color="auto"/>
              <w:right w:val="single" w:sz="4" w:space="0" w:color="auto"/>
            </w:tcBorders>
            <w:shd w:val="clear" w:color="auto" w:fill="auto"/>
            <w:noWrap/>
            <w:vAlign w:val="bottom"/>
            <w:hideMark/>
          </w:tcPr>
          <w:p w14:paraId="4457669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221.250</w:t>
            </w:r>
          </w:p>
        </w:tc>
        <w:tc>
          <w:tcPr>
            <w:tcW w:w="960" w:type="dxa"/>
            <w:tcBorders>
              <w:top w:val="nil"/>
              <w:left w:val="nil"/>
              <w:bottom w:val="single" w:sz="4" w:space="0" w:color="auto"/>
              <w:right w:val="single" w:sz="4" w:space="0" w:color="auto"/>
            </w:tcBorders>
            <w:shd w:val="clear" w:color="auto" w:fill="auto"/>
            <w:noWrap/>
            <w:vAlign w:val="bottom"/>
            <w:hideMark/>
          </w:tcPr>
          <w:p w14:paraId="6806D5E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189.212</w:t>
            </w:r>
          </w:p>
        </w:tc>
        <w:tc>
          <w:tcPr>
            <w:tcW w:w="1960" w:type="dxa"/>
            <w:tcBorders>
              <w:top w:val="nil"/>
              <w:left w:val="nil"/>
              <w:bottom w:val="nil"/>
              <w:right w:val="nil"/>
            </w:tcBorders>
            <w:shd w:val="clear" w:color="auto" w:fill="auto"/>
            <w:noWrap/>
            <w:vAlign w:val="bottom"/>
            <w:hideMark/>
          </w:tcPr>
          <w:p w14:paraId="69495AE8"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7C21ADF6"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690734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55</w:t>
            </w:r>
          </w:p>
        </w:tc>
        <w:tc>
          <w:tcPr>
            <w:tcW w:w="960" w:type="dxa"/>
            <w:tcBorders>
              <w:top w:val="nil"/>
              <w:left w:val="nil"/>
              <w:bottom w:val="single" w:sz="4" w:space="0" w:color="auto"/>
              <w:right w:val="single" w:sz="4" w:space="0" w:color="auto"/>
            </w:tcBorders>
            <w:shd w:val="clear" w:color="auto" w:fill="auto"/>
            <w:noWrap/>
            <w:vAlign w:val="bottom"/>
            <w:hideMark/>
          </w:tcPr>
          <w:p w14:paraId="6EA3379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233.087</w:t>
            </w:r>
          </w:p>
        </w:tc>
        <w:tc>
          <w:tcPr>
            <w:tcW w:w="960" w:type="dxa"/>
            <w:tcBorders>
              <w:top w:val="nil"/>
              <w:left w:val="nil"/>
              <w:bottom w:val="single" w:sz="4" w:space="0" w:color="auto"/>
              <w:right w:val="single" w:sz="4" w:space="0" w:color="auto"/>
            </w:tcBorders>
            <w:shd w:val="clear" w:color="auto" w:fill="auto"/>
            <w:noWrap/>
            <w:vAlign w:val="bottom"/>
            <w:hideMark/>
          </w:tcPr>
          <w:p w14:paraId="0698A30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230.039</w:t>
            </w:r>
          </w:p>
        </w:tc>
        <w:tc>
          <w:tcPr>
            <w:tcW w:w="960" w:type="dxa"/>
            <w:tcBorders>
              <w:top w:val="nil"/>
              <w:left w:val="nil"/>
              <w:bottom w:val="single" w:sz="4" w:space="0" w:color="auto"/>
              <w:right w:val="single" w:sz="4" w:space="0" w:color="auto"/>
            </w:tcBorders>
            <w:shd w:val="clear" w:color="auto" w:fill="auto"/>
            <w:noWrap/>
            <w:vAlign w:val="bottom"/>
            <w:hideMark/>
          </w:tcPr>
          <w:p w14:paraId="28B3111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242.870</w:t>
            </w:r>
          </w:p>
        </w:tc>
        <w:tc>
          <w:tcPr>
            <w:tcW w:w="960" w:type="dxa"/>
            <w:tcBorders>
              <w:top w:val="nil"/>
              <w:left w:val="nil"/>
              <w:bottom w:val="single" w:sz="4" w:space="0" w:color="auto"/>
              <w:right w:val="single" w:sz="4" w:space="0" w:color="auto"/>
            </w:tcBorders>
            <w:shd w:val="clear" w:color="auto" w:fill="auto"/>
            <w:noWrap/>
            <w:vAlign w:val="bottom"/>
            <w:hideMark/>
          </w:tcPr>
          <w:p w14:paraId="78A39F7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204.704</w:t>
            </w:r>
          </w:p>
        </w:tc>
        <w:tc>
          <w:tcPr>
            <w:tcW w:w="960" w:type="dxa"/>
            <w:tcBorders>
              <w:top w:val="nil"/>
              <w:left w:val="nil"/>
              <w:bottom w:val="single" w:sz="4" w:space="0" w:color="auto"/>
              <w:right w:val="single" w:sz="4" w:space="0" w:color="auto"/>
            </w:tcBorders>
            <w:shd w:val="clear" w:color="auto" w:fill="auto"/>
            <w:noWrap/>
            <w:vAlign w:val="bottom"/>
            <w:hideMark/>
          </w:tcPr>
          <w:p w14:paraId="382A22C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220.686</w:t>
            </w:r>
          </w:p>
        </w:tc>
        <w:tc>
          <w:tcPr>
            <w:tcW w:w="960" w:type="dxa"/>
            <w:tcBorders>
              <w:top w:val="nil"/>
              <w:left w:val="nil"/>
              <w:bottom w:val="single" w:sz="4" w:space="0" w:color="auto"/>
              <w:right w:val="single" w:sz="4" w:space="0" w:color="auto"/>
            </w:tcBorders>
            <w:shd w:val="clear" w:color="auto" w:fill="auto"/>
            <w:noWrap/>
            <w:vAlign w:val="bottom"/>
            <w:hideMark/>
          </w:tcPr>
          <w:p w14:paraId="4383FD5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181.445</w:t>
            </w:r>
          </w:p>
        </w:tc>
        <w:tc>
          <w:tcPr>
            <w:tcW w:w="1960" w:type="dxa"/>
            <w:tcBorders>
              <w:top w:val="nil"/>
              <w:left w:val="nil"/>
              <w:bottom w:val="nil"/>
              <w:right w:val="nil"/>
            </w:tcBorders>
            <w:shd w:val="clear" w:color="auto" w:fill="auto"/>
            <w:noWrap/>
            <w:vAlign w:val="bottom"/>
            <w:hideMark/>
          </w:tcPr>
          <w:p w14:paraId="399AA110"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3BDE66E3"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31BBDB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56</w:t>
            </w:r>
          </w:p>
        </w:tc>
        <w:tc>
          <w:tcPr>
            <w:tcW w:w="960" w:type="dxa"/>
            <w:tcBorders>
              <w:top w:val="nil"/>
              <w:left w:val="nil"/>
              <w:bottom w:val="single" w:sz="4" w:space="0" w:color="auto"/>
              <w:right w:val="single" w:sz="4" w:space="0" w:color="auto"/>
            </w:tcBorders>
            <w:shd w:val="clear" w:color="auto" w:fill="auto"/>
            <w:noWrap/>
            <w:vAlign w:val="bottom"/>
            <w:hideMark/>
          </w:tcPr>
          <w:p w14:paraId="4A48E49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232.000</w:t>
            </w:r>
          </w:p>
        </w:tc>
        <w:tc>
          <w:tcPr>
            <w:tcW w:w="960" w:type="dxa"/>
            <w:tcBorders>
              <w:top w:val="nil"/>
              <w:left w:val="nil"/>
              <w:bottom w:val="single" w:sz="4" w:space="0" w:color="auto"/>
              <w:right w:val="single" w:sz="4" w:space="0" w:color="auto"/>
            </w:tcBorders>
            <w:shd w:val="clear" w:color="auto" w:fill="auto"/>
            <w:noWrap/>
            <w:vAlign w:val="bottom"/>
            <w:hideMark/>
          </w:tcPr>
          <w:p w14:paraId="6975BAD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228.000</w:t>
            </w:r>
          </w:p>
        </w:tc>
        <w:tc>
          <w:tcPr>
            <w:tcW w:w="960" w:type="dxa"/>
            <w:tcBorders>
              <w:top w:val="nil"/>
              <w:left w:val="nil"/>
              <w:bottom w:val="single" w:sz="4" w:space="0" w:color="auto"/>
              <w:right w:val="single" w:sz="4" w:space="0" w:color="auto"/>
            </w:tcBorders>
            <w:shd w:val="clear" w:color="auto" w:fill="auto"/>
            <w:noWrap/>
            <w:vAlign w:val="bottom"/>
            <w:hideMark/>
          </w:tcPr>
          <w:p w14:paraId="648E737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243.622</w:t>
            </w:r>
          </w:p>
        </w:tc>
        <w:tc>
          <w:tcPr>
            <w:tcW w:w="960" w:type="dxa"/>
            <w:tcBorders>
              <w:top w:val="nil"/>
              <w:left w:val="nil"/>
              <w:bottom w:val="single" w:sz="4" w:space="0" w:color="auto"/>
              <w:right w:val="single" w:sz="4" w:space="0" w:color="auto"/>
            </w:tcBorders>
            <w:shd w:val="clear" w:color="auto" w:fill="auto"/>
            <w:noWrap/>
            <w:vAlign w:val="bottom"/>
            <w:hideMark/>
          </w:tcPr>
          <w:p w14:paraId="47F1A65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202.000</w:t>
            </w:r>
          </w:p>
        </w:tc>
        <w:tc>
          <w:tcPr>
            <w:tcW w:w="960" w:type="dxa"/>
            <w:tcBorders>
              <w:top w:val="nil"/>
              <w:left w:val="nil"/>
              <w:bottom w:val="single" w:sz="4" w:space="0" w:color="auto"/>
              <w:right w:val="single" w:sz="4" w:space="0" w:color="auto"/>
            </w:tcBorders>
            <w:shd w:val="clear" w:color="auto" w:fill="auto"/>
            <w:noWrap/>
            <w:vAlign w:val="bottom"/>
            <w:hideMark/>
          </w:tcPr>
          <w:p w14:paraId="1C87B50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220.000</w:t>
            </w:r>
          </w:p>
        </w:tc>
        <w:tc>
          <w:tcPr>
            <w:tcW w:w="960" w:type="dxa"/>
            <w:tcBorders>
              <w:top w:val="nil"/>
              <w:left w:val="nil"/>
              <w:bottom w:val="single" w:sz="4" w:space="0" w:color="auto"/>
              <w:right w:val="single" w:sz="4" w:space="0" w:color="auto"/>
            </w:tcBorders>
            <w:shd w:val="clear" w:color="auto" w:fill="auto"/>
            <w:noWrap/>
            <w:vAlign w:val="bottom"/>
            <w:hideMark/>
          </w:tcPr>
          <w:p w14:paraId="1D3850F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174.538</w:t>
            </w:r>
          </w:p>
        </w:tc>
        <w:tc>
          <w:tcPr>
            <w:tcW w:w="1960" w:type="dxa"/>
            <w:tcBorders>
              <w:top w:val="nil"/>
              <w:left w:val="nil"/>
              <w:bottom w:val="nil"/>
              <w:right w:val="nil"/>
            </w:tcBorders>
            <w:shd w:val="clear" w:color="auto" w:fill="auto"/>
            <w:noWrap/>
            <w:vAlign w:val="bottom"/>
            <w:hideMark/>
          </w:tcPr>
          <w:p w14:paraId="1487E164"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0EDC8B94"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E1DD6B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57</w:t>
            </w:r>
          </w:p>
        </w:tc>
        <w:tc>
          <w:tcPr>
            <w:tcW w:w="960" w:type="dxa"/>
            <w:tcBorders>
              <w:top w:val="nil"/>
              <w:left w:val="nil"/>
              <w:bottom w:val="single" w:sz="4" w:space="0" w:color="auto"/>
              <w:right w:val="single" w:sz="4" w:space="0" w:color="auto"/>
            </w:tcBorders>
            <w:shd w:val="clear" w:color="auto" w:fill="auto"/>
            <w:noWrap/>
            <w:vAlign w:val="bottom"/>
            <w:hideMark/>
          </w:tcPr>
          <w:p w14:paraId="39C3634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230.125</w:t>
            </w:r>
          </w:p>
        </w:tc>
        <w:tc>
          <w:tcPr>
            <w:tcW w:w="960" w:type="dxa"/>
            <w:tcBorders>
              <w:top w:val="nil"/>
              <w:left w:val="nil"/>
              <w:bottom w:val="single" w:sz="4" w:space="0" w:color="auto"/>
              <w:right w:val="single" w:sz="4" w:space="0" w:color="auto"/>
            </w:tcBorders>
            <w:shd w:val="clear" w:color="auto" w:fill="auto"/>
            <w:noWrap/>
            <w:vAlign w:val="bottom"/>
            <w:hideMark/>
          </w:tcPr>
          <w:p w14:paraId="17C38B9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225.977</w:t>
            </w:r>
          </w:p>
        </w:tc>
        <w:tc>
          <w:tcPr>
            <w:tcW w:w="960" w:type="dxa"/>
            <w:tcBorders>
              <w:top w:val="nil"/>
              <w:left w:val="nil"/>
              <w:bottom w:val="single" w:sz="4" w:space="0" w:color="auto"/>
              <w:right w:val="single" w:sz="4" w:space="0" w:color="auto"/>
            </w:tcBorders>
            <w:shd w:val="clear" w:color="auto" w:fill="auto"/>
            <w:noWrap/>
            <w:vAlign w:val="bottom"/>
            <w:hideMark/>
          </w:tcPr>
          <w:p w14:paraId="43CF8EB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245.103</w:t>
            </w:r>
          </w:p>
        </w:tc>
        <w:tc>
          <w:tcPr>
            <w:tcW w:w="960" w:type="dxa"/>
            <w:tcBorders>
              <w:top w:val="nil"/>
              <w:left w:val="nil"/>
              <w:bottom w:val="single" w:sz="4" w:space="0" w:color="auto"/>
              <w:right w:val="single" w:sz="4" w:space="0" w:color="auto"/>
            </w:tcBorders>
            <w:shd w:val="clear" w:color="auto" w:fill="auto"/>
            <w:noWrap/>
            <w:vAlign w:val="bottom"/>
            <w:hideMark/>
          </w:tcPr>
          <w:p w14:paraId="0CA3521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200.519</w:t>
            </w:r>
          </w:p>
        </w:tc>
        <w:tc>
          <w:tcPr>
            <w:tcW w:w="960" w:type="dxa"/>
            <w:tcBorders>
              <w:top w:val="nil"/>
              <w:left w:val="nil"/>
              <w:bottom w:val="single" w:sz="4" w:space="0" w:color="auto"/>
              <w:right w:val="single" w:sz="4" w:space="0" w:color="auto"/>
            </w:tcBorders>
            <w:shd w:val="clear" w:color="auto" w:fill="auto"/>
            <w:noWrap/>
            <w:vAlign w:val="bottom"/>
            <w:hideMark/>
          </w:tcPr>
          <w:p w14:paraId="7091BC2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219.621</w:t>
            </w:r>
          </w:p>
        </w:tc>
        <w:tc>
          <w:tcPr>
            <w:tcW w:w="960" w:type="dxa"/>
            <w:tcBorders>
              <w:top w:val="nil"/>
              <w:left w:val="nil"/>
              <w:bottom w:val="single" w:sz="4" w:space="0" w:color="auto"/>
              <w:right w:val="single" w:sz="4" w:space="0" w:color="auto"/>
            </w:tcBorders>
            <w:shd w:val="clear" w:color="auto" w:fill="auto"/>
            <w:noWrap/>
            <w:vAlign w:val="bottom"/>
            <w:hideMark/>
          </w:tcPr>
          <w:p w14:paraId="21EC4F6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168.083</w:t>
            </w:r>
          </w:p>
        </w:tc>
        <w:tc>
          <w:tcPr>
            <w:tcW w:w="1960" w:type="dxa"/>
            <w:tcBorders>
              <w:top w:val="nil"/>
              <w:left w:val="nil"/>
              <w:bottom w:val="nil"/>
              <w:right w:val="nil"/>
            </w:tcBorders>
            <w:shd w:val="clear" w:color="auto" w:fill="auto"/>
            <w:noWrap/>
            <w:vAlign w:val="bottom"/>
            <w:hideMark/>
          </w:tcPr>
          <w:p w14:paraId="01AE1808"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397B5F00"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DE367B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58</w:t>
            </w:r>
          </w:p>
        </w:tc>
        <w:tc>
          <w:tcPr>
            <w:tcW w:w="960" w:type="dxa"/>
            <w:tcBorders>
              <w:top w:val="nil"/>
              <w:left w:val="nil"/>
              <w:bottom w:val="single" w:sz="4" w:space="0" w:color="auto"/>
              <w:right w:val="single" w:sz="4" w:space="0" w:color="auto"/>
            </w:tcBorders>
            <w:shd w:val="clear" w:color="auto" w:fill="auto"/>
            <w:noWrap/>
            <w:vAlign w:val="bottom"/>
            <w:hideMark/>
          </w:tcPr>
          <w:p w14:paraId="580F864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228.500</w:t>
            </w:r>
          </w:p>
        </w:tc>
        <w:tc>
          <w:tcPr>
            <w:tcW w:w="960" w:type="dxa"/>
            <w:tcBorders>
              <w:top w:val="nil"/>
              <w:left w:val="nil"/>
              <w:bottom w:val="single" w:sz="4" w:space="0" w:color="auto"/>
              <w:right w:val="single" w:sz="4" w:space="0" w:color="auto"/>
            </w:tcBorders>
            <w:shd w:val="clear" w:color="auto" w:fill="auto"/>
            <w:noWrap/>
            <w:vAlign w:val="bottom"/>
            <w:hideMark/>
          </w:tcPr>
          <w:p w14:paraId="669EB8E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224.500</w:t>
            </w:r>
          </w:p>
        </w:tc>
        <w:tc>
          <w:tcPr>
            <w:tcW w:w="960" w:type="dxa"/>
            <w:tcBorders>
              <w:top w:val="nil"/>
              <w:left w:val="nil"/>
              <w:bottom w:val="single" w:sz="4" w:space="0" w:color="auto"/>
              <w:right w:val="single" w:sz="4" w:space="0" w:color="auto"/>
            </w:tcBorders>
            <w:shd w:val="clear" w:color="auto" w:fill="auto"/>
            <w:noWrap/>
            <w:vAlign w:val="bottom"/>
            <w:hideMark/>
          </w:tcPr>
          <w:p w14:paraId="7228DD8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246.038</w:t>
            </w:r>
          </w:p>
        </w:tc>
        <w:tc>
          <w:tcPr>
            <w:tcW w:w="960" w:type="dxa"/>
            <w:tcBorders>
              <w:top w:val="nil"/>
              <w:left w:val="nil"/>
              <w:bottom w:val="single" w:sz="4" w:space="0" w:color="auto"/>
              <w:right w:val="single" w:sz="4" w:space="0" w:color="auto"/>
            </w:tcBorders>
            <w:shd w:val="clear" w:color="auto" w:fill="auto"/>
            <w:noWrap/>
            <w:vAlign w:val="bottom"/>
            <w:hideMark/>
          </w:tcPr>
          <w:p w14:paraId="24C7227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199.303</w:t>
            </w:r>
          </w:p>
        </w:tc>
        <w:tc>
          <w:tcPr>
            <w:tcW w:w="960" w:type="dxa"/>
            <w:tcBorders>
              <w:top w:val="nil"/>
              <w:left w:val="nil"/>
              <w:bottom w:val="single" w:sz="4" w:space="0" w:color="auto"/>
              <w:right w:val="single" w:sz="4" w:space="0" w:color="auto"/>
            </w:tcBorders>
            <w:shd w:val="clear" w:color="auto" w:fill="auto"/>
            <w:noWrap/>
            <w:vAlign w:val="bottom"/>
            <w:hideMark/>
          </w:tcPr>
          <w:p w14:paraId="0681FF7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219.250</w:t>
            </w:r>
          </w:p>
        </w:tc>
        <w:tc>
          <w:tcPr>
            <w:tcW w:w="960" w:type="dxa"/>
            <w:tcBorders>
              <w:top w:val="nil"/>
              <w:left w:val="nil"/>
              <w:bottom w:val="single" w:sz="4" w:space="0" w:color="auto"/>
              <w:right w:val="single" w:sz="4" w:space="0" w:color="auto"/>
            </w:tcBorders>
            <w:shd w:val="clear" w:color="auto" w:fill="auto"/>
            <w:noWrap/>
            <w:vAlign w:val="bottom"/>
            <w:hideMark/>
          </w:tcPr>
          <w:p w14:paraId="4432D9C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163.543</w:t>
            </w:r>
          </w:p>
        </w:tc>
        <w:tc>
          <w:tcPr>
            <w:tcW w:w="1960" w:type="dxa"/>
            <w:tcBorders>
              <w:top w:val="nil"/>
              <w:left w:val="nil"/>
              <w:bottom w:val="nil"/>
              <w:right w:val="nil"/>
            </w:tcBorders>
            <w:shd w:val="clear" w:color="auto" w:fill="auto"/>
            <w:noWrap/>
            <w:vAlign w:val="bottom"/>
            <w:hideMark/>
          </w:tcPr>
          <w:p w14:paraId="6DD90400"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70AD01CC"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CF8452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59</w:t>
            </w:r>
          </w:p>
        </w:tc>
        <w:tc>
          <w:tcPr>
            <w:tcW w:w="960" w:type="dxa"/>
            <w:tcBorders>
              <w:top w:val="nil"/>
              <w:left w:val="nil"/>
              <w:bottom w:val="single" w:sz="4" w:space="0" w:color="auto"/>
              <w:right w:val="single" w:sz="4" w:space="0" w:color="auto"/>
            </w:tcBorders>
            <w:shd w:val="clear" w:color="auto" w:fill="auto"/>
            <w:noWrap/>
            <w:vAlign w:val="bottom"/>
            <w:hideMark/>
          </w:tcPr>
          <w:p w14:paraId="6B821EA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227.250</w:t>
            </w:r>
          </w:p>
        </w:tc>
        <w:tc>
          <w:tcPr>
            <w:tcW w:w="960" w:type="dxa"/>
            <w:tcBorders>
              <w:top w:val="nil"/>
              <w:left w:val="nil"/>
              <w:bottom w:val="single" w:sz="4" w:space="0" w:color="auto"/>
              <w:right w:val="single" w:sz="4" w:space="0" w:color="auto"/>
            </w:tcBorders>
            <w:shd w:val="clear" w:color="auto" w:fill="auto"/>
            <w:noWrap/>
            <w:vAlign w:val="bottom"/>
            <w:hideMark/>
          </w:tcPr>
          <w:p w14:paraId="79DE773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223.250</w:t>
            </w:r>
          </w:p>
        </w:tc>
        <w:tc>
          <w:tcPr>
            <w:tcW w:w="960" w:type="dxa"/>
            <w:tcBorders>
              <w:top w:val="nil"/>
              <w:left w:val="nil"/>
              <w:bottom w:val="single" w:sz="4" w:space="0" w:color="auto"/>
              <w:right w:val="single" w:sz="4" w:space="0" w:color="auto"/>
            </w:tcBorders>
            <w:shd w:val="clear" w:color="auto" w:fill="auto"/>
            <w:noWrap/>
            <w:vAlign w:val="bottom"/>
            <w:hideMark/>
          </w:tcPr>
          <w:p w14:paraId="669103C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246.867</w:t>
            </w:r>
          </w:p>
        </w:tc>
        <w:tc>
          <w:tcPr>
            <w:tcW w:w="960" w:type="dxa"/>
            <w:tcBorders>
              <w:top w:val="nil"/>
              <w:left w:val="nil"/>
              <w:bottom w:val="single" w:sz="4" w:space="0" w:color="auto"/>
              <w:right w:val="single" w:sz="4" w:space="0" w:color="auto"/>
            </w:tcBorders>
            <w:shd w:val="clear" w:color="auto" w:fill="auto"/>
            <w:noWrap/>
            <w:vAlign w:val="bottom"/>
            <w:hideMark/>
          </w:tcPr>
          <w:p w14:paraId="644BA29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197.571</w:t>
            </w:r>
          </w:p>
        </w:tc>
        <w:tc>
          <w:tcPr>
            <w:tcW w:w="960" w:type="dxa"/>
            <w:tcBorders>
              <w:top w:val="nil"/>
              <w:left w:val="nil"/>
              <w:bottom w:val="single" w:sz="4" w:space="0" w:color="auto"/>
              <w:right w:val="single" w:sz="4" w:space="0" w:color="auto"/>
            </w:tcBorders>
            <w:shd w:val="clear" w:color="auto" w:fill="auto"/>
            <w:noWrap/>
            <w:vAlign w:val="bottom"/>
            <w:hideMark/>
          </w:tcPr>
          <w:p w14:paraId="44A87F6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217.375</w:t>
            </w:r>
          </w:p>
        </w:tc>
        <w:tc>
          <w:tcPr>
            <w:tcW w:w="960" w:type="dxa"/>
            <w:tcBorders>
              <w:top w:val="nil"/>
              <w:left w:val="nil"/>
              <w:bottom w:val="single" w:sz="4" w:space="0" w:color="auto"/>
              <w:right w:val="single" w:sz="4" w:space="0" w:color="auto"/>
            </w:tcBorders>
            <w:shd w:val="clear" w:color="auto" w:fill="auto"/>
            <w:noWrap/>
            <w:vAlign w:val="bottom"/>
            <w:hideMark/>
          </w:tcPr>
          <w:p w14:paraId="0F2B528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160.583</w:t>
            </w:r>
          </w:p>
        </w:tc>
        <w:tc>
          <w:tcPr>
            <w:tcW w:w="1960" w:type="dxa"/>
            <w:tcBorders>
              <w:top w:val="nil"/>
              <w:left w:val="nil"/>
              <w:bottom w:val="nil"/>
              <w:right w:val="nil"/>
            </w:tcBorders>
            <w:shd w:val="clear" w:color="auto" w:fill="auto"/>
            <w:noWrap/>
            <w:vAlign w:val="bottom"/>
            <w:hideMark/>
          </w:tcPr>
          <w:p w14:paraId="0C09D7EB"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464D1436"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82AEE7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60</w:t>
            </w:r>
          </w:p>
        </w:tc>
        <w:tc>
          <w:tcPr>
            <w:tcW w:w="960" w:type="dxa"/>
            <w:tcBorders>
              <w:top w:val="nil"/>
              <w:left w:val="nil"/>
              <w:bottom w:val="single" w:sz="4" w:space="0" w:color="auto"/>
              <w:right w:val="single" w:sz="4" w:space="0" w:color="auto"/>
            </w:tcBorders>
            <w:shd w:val="clear" w:color="auto" w:fill="auto"/>
            <w:noWrap/>
            <w:vAlign w:val="bottom"/>
            <w:hideMark/>
          </w:tcPr>
          <w:p w14:paraId="620C032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227.231</w:t>
            </w:r>
          </w:p>
        </w:tc>
        <w:tc>
          <w:tcPr>
            <w:tcW w:w="960" w:type="dxa"/>
            <w:tcBorders>
              <w:top w:val="nil"/>
              <w:left w:val="nil"/>
              <w:bottom w:val="single" w:sz="4" w:space="0" w:color="auto"/>
              <w:right w:val="single" w:sz="4" w:space="0" w:color="auto"/>
            </w:tcBorders>
            <w:shd w:val="clear" w:color="auto" w:fill="auto"/>
            <w:noWrap/>
            <w:vAlign w:val="bottom"/>
            <w:hideMark/>
          </w:tcPr>
          <w:p w14:paraId="01E1F5E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221.135</w:t>
            </w:r>
          </w:p>
        </w:tc>
        <w:tc>
          <w:tcPr>
            <w:tcW w:w="960" w:type="dxa"/>
            <w:tcBorders>
              <w:top w:val="nil"/>
              <w:left w:val="nil"/>
              <w:bottom w:val="single" w:sz="4" w:space="0" w:color="auto"/>
              <w:right w:val="single" w:sz="4" w:space="0" w:color="auto"/>
            </w:tcBorders>
            <w:shd w:val="clear" w:color="auto" w:fill="auto"/>
            <w:noWrap/>
            <w:vAlign w:val="bottom"/>
            <w:hideMark/>
          </w:tcPr>
          <w:p w14:paraId="54A2F5E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247.000</w:t>
            </w:r>
          </w:p>
        </w:tc>
        <w:tc>
          <w:tcPr>
            <w:tcW w:w="960" w:type="dxa"/>
            <w:tcBorders>
              <w:top w:val="nil"/>
              <w:left w:val="nil"/>
              <w:bottom w:val="single" w:sz="4" w:space="0" w:color="auto"/>
              <w:right w:val="single" w:sz="4" w:space="0" w:color="auto"/>
            </w:tcBorders>
            <w:shd w:val="clear" w:color="auto" w:fill="auto"/>
            <w:noWrap/>
            <w:vAlign w:val="bottom"/>
            <w:hideMark/>
          </w:tcPr>
          <w:p w14:paraId="0AC19DF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194.865</w:t>
            </w:r>
          </w:p>
        </w:tc>
        <w:tc>
          <w:tcPr>
            <w:tcW w:w="960" w:type="dxa"/>
            <w:tcBorders>
              <w:top w:val="nil"/>
              <w:left w:val="nil"/>
              <w:bottom w:val="single" w:sz="4" w:space="0" w:color="auto"/>
              <w:right w:val="single" w:sz="4" w:space="0" w:color="auto"/>
            </w:tcBorders>
            <w:shd w:val="clear" w:color="auto" w:fill="auto"/>
            <w:noWrap/>
            <w:vAlign w:val="bottom"/>
            <w:hideMark/>
          </w:tcPr>
          <w:p w14:paraId="40D5791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216.865</w:t>
            </w:r>
          </w:p>
        </w:tc>
        <w:tc>
          <w:tcPr>
            <w:tcW w:w="960" w:type="dxa"/>
            <w:tcBorders>
              <w:top w:val="nil"/>
              <w:left w:val="nil"/>
              <w:bottom w:val="single" w:sz="4" w:space="0" w:color="auto"/>
              <w:right w:val="single" w:sz="4" w:space="0" w:color="auto"/>
            </w:tcBorders>
            <w:shd w:val="clear" w:color="auto" w:fill="auto"/>
            <w:noWrap/>
            <w:vAlign w:val="bottom"/>
            <w:hideMark/>
          </w:tcPr>
          <w:p w14:paraId="58939DA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156.865</w:t>
            </w:r>
          </w:p>
        </w:tc>
        <w:tc>
          <w:tcPr>
            <w:tcW w:w="1960" w:type="dxa"/>
            <w:tcBorders>
              <w:top w:val="nil"/>
              <w:left w:val="nil"/>
              <w:bottom w:val="nil"/>
              <w:right w:val="nil"/>
            </w:tcBorders>
            <w:shd w:val="clear" w:color="auto" w:fill="auto"/>
            <w:noWrap/>
            <w:vAlign w:val="bottom"/>
            <w:hideMark/>
          </w:tcPr>
          <w:p w14:paraId="32140D40"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557FF834"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60D2BC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61</w:t>
            </w:r>
          </w:p>
        </w:tc>
        <w:tc>
          <w:tcPr>
            <w:tcW w:w="960" w:type="dxa"/>
            <w:tcBorders>
              <w:top w:val="nil"/>
              <w:left w:val="nil"/>
              <w:bottom w:val="single" w:sz="4" w:space="0" w:color="auto"/>
              <w:right w:val="single" w:sz="4" w:space="0" w:color="auto"/>
            </w:tcBorders>
            <w:shd w:val="clear" w:color="auto" w:fill="auto"/>
            <w:noWrap/>
            <w:vAlign w:val="bottom"/>
            <w:hideMark/>
          </w:tcPr>
          <w:p w14:paraId="1255CBD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226.811</w:t>
            </w:r>
          </w:p>
        </w:tc>
        <w:tc>
          <w:tcPr>
            <w:tcW w:w="960" w:type="dxa"/>
            <w:tcBorders>
              <w:top w:val="nil"/>
              <w:left w:val="nil"/>
              <w:bottom w:val="single" w:sz="4" w:space="0" w:color="auto"/>
              <w:right w:val="single" w:sz="4" w:space="0" w:color="auto"/>
            </w:tcBorders>
            <w:shd w:val="clear" w:color="auto" w:fill="auto"/>
            <w:noWrap/>
            <w:vAlign w:val="bottom"/>
            <w:hideMark/>
          </w:tcPr>
          <w:p w14:paraId="007A8AD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218.814</w:t>
            </w:r>
          </w:p>
        </w:tc>
        <w:tc>
          <w:tcPr>
            <w:tcW w:w="960" w:type="dxa"/>
            <w:tcBorders>
              <w:top w:val="nil"/>
              <w:left w:val="nil"/>
              <w:bottom w:val="single" w:sz="4" w:space="0" w:color="auto"/>
              <w:right w:val="single" w:sz="4" w:space="0" w:color="auto"/>
            </w:tcBorders>
            <w:shd w:val="clear" w:color="auto" w:fill="auto"/>
            <w:noWrap/>
            <w:vAlign w:val="bottom"/>
            <w:hideMark/>
          </w:tcPr>
          <w:p w14:paraId="782D44B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246.276</w:t>
            </w:r>
          </w:p>
        </w:tc>
        <w:tc>
          <w:tcPr>
            <w:tcW w:w="960" w:type="dxa"/>
            <w:tcBorders>
              <w:top w:val="nil"/>
              <w:left w:val="nil"/>
              <w:bottom w:val="single" w:sz="4" w:space="0" w:color="auto"/>
              <w:right w:val="single" w:sz="4" w:space="0" w:color="auto"/>
            </w:tcBorders>
            <w:shd w:val="clear" w:color="auto" w:fill="auto"/>
            <w:noWrap/>
            <w:vAlign w:val="bottom"/>
            <w:hideMark/>
          </w:tcPr>
          <w:p w14:paraId="7BB27F9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192.189</w:t>
            </w:r>
          </w:p>
        </w:tc>
        <w:tc>
          <w:tcPr>
            <w:tcW w:w="960" w:type="dxa"/>
            <w:tcBorders>
              <w:top w:val="nil"/>
              <w:left w:val="nil"/>
              <w:bottom w:val="single" w:sz="4" w:space="0" w:color="auto"/>
              <w:right w:val="single" w:sz="4" w:space="0" w:color="auto"/>
            </w:tcBorders>
            <w:shd w:val="clear" w:color="auto" w:fill="auto"/>
            <w:noWrap/>
            <w:vAlign w:val="bottom"/>
            <w:hideMark/>
          </w:tcPr>
          <w:p w14:paraId="09D6B2E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216.831</w:t>
            </w:r>
          </w:p>
        </w:tc>
        <w:tc>
          <w:tcPr>
            <w:tcW w:w="960" w:type="dxa"/>
            <w:tcBorders>
              <w:top w:val="nil"/>
              <w:left w:val="nil"/>
              <w:bottom w:val="single" w:sz="4" w:space="0" w:color="auto"/>
              <w:right w:val="single" w:sz="4" w:space="0" w:color="auto"/>
            </w:tcBorders>
            <w:shd w:val="clear" w:color="auto" w:fill="auto"/>
            <w:noWrap/>
            <w:vAlign w:val="bottom"/>
            <w:hideMark/>
          </w:tcPr>
          <w:p w14:paraId="0C9B28E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154.269</w:t>
            </w:r>
          </w:p>
        </w:tc>
        <w:tc>
          <w:tcPr>
            <w:tcW w:w="1960" w:type="dxa"/>
            <w:tcBorders>
              <w:top w:val="nil"/>
              <w:left w:val="nil"/>
              <w:bottom w:val="nil"/>
              <w:right w:val="nil"/>
            </w:tcBorders>
            <w:shd w:val="clear" w:color="auto" w:fill="auto"/>
            <w:noWrap/>
            <w:vAlign w:val="bottom"/>
            <w:hideMark/>
          </w:tcPr>
          <w:p w14:paraId="377D1AF5"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64AC8CA2"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961BC8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62</w:t>
            </w:r>
          </w:p>
        </w:tc>
        <w:tc>
          <w:tcPr>
            <w:tcW w:w="960" w:type="dxa"/>
            <w:tcBorders>
              <w:top w:val="nil"/>
              <w:left w:val="nil"/>
              <w:bottom w:val="single" w:sz="4" w:space="0" w:color="auto"/>
              <w:right w:val="single" w:sz="4" w:space="0" w:color="auto"/>
            </w:tcBorders>
            <w:shd w:val="clear" w:color="auto" w:fill="auto"/>
            <w:noWrap/>
            <w:vAlign w:val="bottom"/>
            <w:hideMark/>
          </w:tcPr>
          <w:p w14:paraId="258983F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225.500</w:t>
            </w:r>
          </w:p>
        </w:tc>
        <w:tc>
          <w:tcPr>
            <w:tcW w:w="960" w:type="dxa"/>
            <w:tcBorders>
              <w:top w:val="nil"/>
              <w:left w:val="nil"/>
              <w:bottom w:val="single" w:sz="4" w:space="0" w:color="auto"/>
              <w:right w:val="single" w:sz="4" w:space="0" w:color="auto"/>
            </w:tcBorders>
            <w:shd w:val="clear" w:color="auto" w:fill="auto"/>
            <w:noWrap/>
            <w:vAlign w:val="bottom"/>
            <w:hideMark/>
          </w:tcPr>
          <w:p w14:paraId="27998D0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218.322</w:t>
            </w:r>
          </w:p>
        </w:tc>
        <w:tc>
          <w:tcPr>
            <w:tcW w:w="960" w:type="dxa"/>
            <w:tcBorders>
              <w:top w:val="nil"/>
              <w:left w:val="nil"/>
              <w:bottom w:val="single" w:sz="4" w:space="0" w:color="auto"/>
              <w:right w:val="single" w:sz="4" w:space="0" w:color="auto"/>
            </w:tcBorders>
            <w:shd w:val="clear" w:color="auto" w:fill="auto"/>
            <w:noWrap/>
            <w:vAlign w:val="bottom"/>
            <w:hideMark/>
          </w:tcPr>
          <w:p w14:paraId="48C412A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244.884</w:t>
            </w:r>
          </w:p>
        </w:tc>
        <w:tc>
          <w:tcPr>
            <w:tcW w:w="960" w:type="dxa"/>
            <w:tcBorders>
              <w:top w:val="nil"/>
              <w:left w:val="nil"/>
              <w:bottom w:val="single" w:sz="4" w:space="0" w:color="auto"/>
              <w:right w:val="single" w:sz="4" w:space="0" w:color="auto"/>
            </w:tcBorders>
            <w:shd w:val="clear" w:color="auto" w:fill="auto"/>
            <w:noWrap/>
            <w:vAlign w:val="bottom"/>
            <w:hideMark/>
          </w:tcPr>
          <w:p w14:paraId="250C1A4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188.861</w:t>
            </w:r>
          </w:p>
        </w:tc>
        <w:tc>
          <w:tcPr>
            <w:tcW w:w="960" w:type="dxa"/>
            <w:tcBorders>
              <w:top w:val="nil"/>
              <w:left w:val="nil"/>
              <w:bottom w:val="single" w:sz="4" w:space="0" w:color="auto"/>
              <w:right w:val="single" w:sz="4" w:space="0" w:color="auto"/>
            </w:tcBorders>
            <w:shd w:val="clear" w:color="auto" w:fill="auto"/>
            <w:noWrap/>
            <w:vAlign w:val="bottom"/>
            <w:hideMark/>
          </w:tcPr>
          <w:p w14:paraId="5C58396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216.716</w:t>
            </w:r>
          </w:p>
        </w:tc>
        <w:tc>
          <w:tcPr>
            <w:tcW w:w="960" w:type="dxa"/>
            <w:tcBorders>
              <w:top w:val="nil"/>
              <w:left w:val="nil"/>
              <w:bottom w:val="single" w:sz="4" w:space="0" w:color="auto"/>
              <w:right w:val="single" w:sz="4" w:space="0" w:color="auto"/>
            </w:tcBorders>
            <w:shd w:val="clear" w:color="auto" w:fill="auto"/>
            <w:noWrap/>
            <w:vAlign w:val="bottom"/>
            <w:hideMark/>
          </w:tcPr>
          <w:p w14:paraId="3F9F260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151.788</w:t>
            </w:r>
          </w:p>
        </w:tc>
        <w:tc>
          <w:tcPr>
            <w:tcW w:w="1960" w:type="dxa"/>
            <w:tcBorders>
              <w:top w:val="nil"/>
              <w:left w:val="nil"/>
              <w:bottom w:val="nil"/>
              <w:right w:val="nil"/>
            </w:tcBorders>
            <w:shd w:val="clear" w:color="auto" w:fill="auto"/>
            <w:noWrap/>
            <w:vAlign w:val="bottom"/>
            <w:hideMark/>
          </w:tcPr>
          <w:p w14:paraId="578356FA"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43E8DB5D"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A9C1E8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63</w:t>
            </w:r>
          </w:p>
        </w:tc>
        <w:tc>
          <w:tcPr>
            <w:tcW w:w="960" w:type="dxa"/>
            <w:tcBorders>
              <w:top w:val="nil"/>
              <w:left w:val="nil"/>
              <w:bottom w:val="single" w:sz="4" w:space="0" w:color="auto"/>
              <w:right w:val="single" w:sz="4" w:space="0" w:color="auto"/>
            </w:tcBorders>
            <w:shd w:val="clear" w:color="auto" w:fill="auto"/>
            <w:noWrap/>
            <w:vAlign w:val="bottom"/>
            <w:hideMark/>
          </w:tcPr>
          <w:p w14:paraId="624D298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224.250</w:t>
            </w:r>
          </w:p>
        </w:tc>
        <w:tc>
          <w:tcPr>
            <w:tcW w:w="960" w:type="dxa"/>
            <w:tcBorders>
              <w:top w:val="nil"/>
              <w:left w:val="nil"/>
              <w:bottom w:val="single" w:sz="4" w:space="0" w:color="auto"/>
              <w:right w:val="single" w:sz="4" w:space="0" w:color="auto"/>
            </w:tcBorders>
            <w:shd w:val="clear" w:color="auto" w:fill="auto"/>
            <w:noWrap/>
            <w:vAlign w:val="bottom"/>
            <w:hideMark/>
          </w:tcPr>
          <w:p w14:paraId="453E976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217.734</w:t>
            </w:r>
          </w:p>
        </w:tc>
        <w:tc>
          <w:tcPr>
            <w:tcW w:w="960" w:type="dxa"/>
            <w:tcBorders>
              <w:top w:val="nil"/>
              <w:left w:val="nil"/>
              <w:bottom w:val="single" w:sz="4" w:space="0" w:color="auto"/>
              <w:right w:val="single" w:sz="4" w:space="0" w:color="auto"/>
            </w:tcBorders>
            <w:shd w:val="clear" w:color="auto" w:fill="auto"/>
            <w:noWrap/>
            <w:vAlign w:val="bottom"/>
            <w:hideMark/>
          </w:tcPr>
          <w:p w14:paraId="0D440EB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242.907</w:t>
            </w:r>
          </w:p>
        </w:tc>
        <w:tc>
          <w:tcPr>
            <w:tcW w:w="960" w:type="dxa"/>
            <w:tcBorders>
              <w:top w:val="nil"/>
              <w:left w:val="nil"/>
              <w:bottom w:val="single" w:sz="4" w:space="0" w:color="auto"/>
              <w:right w:val="single" w:sz="4" w:space="0" w:color="auto"/>
            </w:tcBorders>
            <w:shd w:val="clear" w:color="auto" w:fill="auto"/>
            <w:noWrap/>
            <w:vAlign w:val="bottom"/>
            <w:hideMark/>
          </w:tcPr>
          <w:p w14:paraId="06F514F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185.602</w:t>
            </w:r>
          </w:p>
        </w:tc>
        <w:tc>
          <w:tcPr>
            <w:tcW w:w="960" w:type="dxa"/>
            <w:tcBorders>
              <w:top w:val="nil"/>
              <w:left w:val="nil"/>
              <w:bottom w:val="single" w:sz="4" w:space="0" w:color="auto"/>
              <w:right w:val="single" w:sz="4" w:space="0" w:color="auto"/>
            </w:tcBorders>
            <w:shd w:val="clear" w:color="auto" w:fill="auto"/>
            <w:noWrap/>
            <w:vAlign w:val="bottom"/>
            <w:hideMark/>
          </w:tcPr>
          <w:p w14:paraId="0333029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216.692</w:t>
            </w:r>
          </w:p>
        </w:tc>
        <w:tc>
          <w:tcPr>
            <w:tcW w:w="960" w:type="dxa"/>
            <w:tcBorders>
              <w:top w:val="nil"/>
              <w:left w:val="nil"/>
              <w:bottom w:val="single" w:sz="4" w:space="0" w:color="auto"/>
              <w:right w:val="single" w:sz="4" w:space="0" w:color="auto"/>
            </w:tcBorders>
            <w:shd w:val="clear" w:color="auto" w:fill="auto"/>
            <w:noWrap/>
            <w:vAlign w:val="bottom"/>
            <w:hideMark/>
          </w:tcPr>
          <w:p w14:paraId="56F6CB5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148.025</w:t>
            </w:r>
          </w:p>
        </w:tc>
        <w:tc>
          <w:tcPr>
            <w:tcW w:w="1960" w:type="dxa"/>
            <w:tcBorders>
              <w:top w:val="nil"/>
              <w:left w:val="nil"/>
              <w:bottom w:val="nil"/>
              <w:right w:val="nil"/>
            </w:tcBorders>
            <w:shd w:val="clear" w:color="auto" w:fill="auto"/>
            <w:noWrap/>
            <w:vAlign w:val="bottom"/>
            <w:hideMark/>
          </w:tcPr>
          <w:p w14:paraId="54E3D82B"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7E49A0F2"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7344E4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64</w:t>
            </w:r>
          </w:p>
        </w:tc>
        <w:tc>
          <w:tcPr>
            <w:tcW w:w="960" w:type="dxa"/>
            <w:tcBorders>
              <w:top w:val="nil"/>
              <w:left w:val="nil"/>
              <w:bottom w:val="single" w:sz="4" w:space="0" w:color="auto"/>
              <w:right w:val="single" w:sz="4" w:space="0" w:color="auto"/>
            </w:tcBorders>
            <w:shd w:val="clear" w:color="auto" w:fill="auto"/>
            <w:noWrap/>
            <w:vAlign w:val="bottom"/>
            <w:hideMark/>
          </w:tcPr>
          <w:p w14:paraId="0CAC15A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223.000</w:t>
            </w:r>
          </w:p>
        </w:tc>
        <w:tc>
          <w:tcPr>
            <w:tcW w:w="960" w:type="dxa"/>
            <w:tcBorders>
              <w:top w:val="nil"/>
              <w:left w:val="nil"/>
              <w:bottom w:val="single" w:sz="4" w:space="0" w:color="auto"/>
              <w:right w:val="single" w:sz="4" w:space="0" w:color="auto"/>
            </w:tcBorders>
            <w:shd w:val="clear" w:color="auto" w:fill="auto"/>
            <w:noWrap/>
            <w:vAlign w:val="bottom"/>
            <w:hideMark/>
          </w:tcPr>
          <w:p w14:paraId="40C72D9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217.846</w:t>
            </w:r>
          </w:p>
        </w:tc>
        <w:tc>
          <w:tcPr>
            <w:tcW w:w="960" w:type="dxa"/>
            <w:tcBorders>
              <w:top w:val="nil"/>
              <w:left w:val="nil"/>
              <w:bottom w:val="single" w:sz="4" w:space="0" w:color="auto"/>
              <w:right w:val="single" w:sz="4" w:space="0" w:color="auto"/>
            </w:tcBorders>
            <w:shd w:val="clear" w:color="auto" w:fill="auto"/>
            <w:noWrap/>
            <w:vAlign w:val="bottom"/>
            <w:hideMark/>
          </w:tcPr>
          <w:p w14:paraId="342CBAB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240.733</w:t>
            </w:r>
          </w:p>
        </w:tc>
        <w:tc>
          <w:tcPr>
            <w:tcW w:w="960" w:type="dxa"/>
            <w:tcBorders>
              <w:top w:val="nil"/>
              <w:left w:val="nil"/>
              <w:bottom w:val="single" w:sz="4" w:space="0" w:color="auto"/>
              <w:right w:val="single" w:sz="4" w:space="0" w:color="auto"/>
            </w:tcBorders>
            <w:shd w:val="clear" w:color="auto" w:fill="auto"/>
            <w:noWrap/>
            <w:vAlign w:val="bottom"/>
            <w:hideMark/>
          </w:tcPr>
          <w:p w14:paraId="3304F06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184.385</w:t>
            </w:r>
          </w:p>
        </w:tc>
        <w:tc>
          <w:tcPr>
            <w:tcW w:w="960" w:type="dxa"/>
            <w:tcBorders>
              <w:top w:val="nil"/>
              <w:left w:val="nil"/>
              <w:bottom w:val="single" w:sz="4" w:space="0" w:color="auto"/>
              <w:right w:val="single" w:sz="4" w:space="0" w:color="auto"/>
            </w:tcBorders>
            <w:shd w:val="clear" w:color="auto" w:fill="auto"/>
            <w:noWrap/>
            <w:vAlign w:val="bottom"/>
            <w:hideMark/>
          </w:tcPr>
          <w:p w14:paraId="5F87700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216.846</w:t>
            </w:r>
          </w:p>
        </w:tc>
        <w:tc>
          <w:tcPr>
            <w:tcW w:w="960" w:type="dxa"/>
            <w:tcBorders>
              <w:top w:val="nil"/>
              <w:left w:val="nil"/>
              <w:bottom w:val="single" w:sz="4" w:space="0" w:color="auto"/>
              <w:right w:val="single" w:sz="4" w:space="0" w:color="auto"/>
            </w:tcBorders>
            <w:shd w:val="clear" w:color="auto" w:fill="auto"/>
            <w:noWrap/>
            <w:vAlign w:val="bottom"/>
            <w:hideMark/>
          </w:tcPr>
          <w:p w14:paraId="69E21A8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143.846</w:t>
            </w:r>
          </w:p>
        </w:tc>
        <w:tc>
          <w:tcPr>
            <w:tcW w:w="1960" w:type="dxa"/>
            <w:tcBorders>
              <w:top w:val="nil"/>
              <w:left w:val="nil"/>
              <w:bottom w:val="nil"/>
              <w:right w:val="nil"/>
            </w:tcBorders>
            <w:shd w:val="clear" w:color="auto" w:fill="auto"/>
            <w:noWrap/>
            <w:vAlign w:val="bottom"/>
            <w:hideMark/>
          </w:tcPr>
          <w:p w14:paraId="22219B25"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74BA0940"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9B0613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65</w:t>
            </w:r>
          </w:p>
        </w:tc>
        <w:tc>
          <w:tcPr>
            <w:tcW w:w="960" w:type="dxa"/>
            <w:tcBorders>
              <w:top w:val="nil"/>
              <w:left w:val="nil"/>
              <w:bottom w:val="single" w:sz="4" w:space="0" w:color="auto"/>
              <w:right w:val="single" w:sz="4" w:space="0" w:color="auto"/>
            </w:tcBorders>
            <w:shd w:val="clear" w:color="auto" w:fill="auto"/>
            <w:noWrap/>
            <w:vAlign w:val="bottom"/>
            <w:hideMark/>
          </w:tcPr>
          <w:p w14:paraId="2E8D899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222.375</w:t>
            </w:r>
          </w:p>
        </w:tc>
        <w:tc>
          <w:tcPr>
            <w:tcW w:w="960" w:type="dxa"/>
            <w:tcBorders>
              <w:top w:val="nil"/>
              <w:left w:val="nil"/>
              <w:bottom w:val="single" w:sz="4" w:space="0" w:color="auto"/>
              <w:right w:val="single" w:sz="4" w:space="0" w:color="auto"/>
            </w:tcBorders>
            <w:shd w:val="clear" w:color="auto" w:fill="auto"/>
            <w:noWrap/>
            <w:vAlign w:val="bottom"/>
            <w:hideMark/>
          </w:tcPr>
          <w:p w14:paraId="06E52CB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218.234</w:t>
            </w:r>
          </w:p>
        </w:tc>
        <w:tc>
          <w:tcPr>
            <w:tcW w:w="960" w:type="dxa"/>
            <w:tcBorders>
              <w:top w:val="nil"/>
              <w:left w:val="nil"/>
              <w:bottom w:val="single" w:sz="4" w:space="0" w:color="auto"/>
              <w:right w:val="single" w:sz="4" w:space="0" w:color="auto"/>
            </w:tcBorders>
            <w:shd w:val="clear" w:color="auto" w:fill="auto"/>
            <w:noWrap/>
            <w:vAlign w:val="bottom"/>
            <w:hideMark/>
          </w:tcPr>
          <w:p w14:paraId="20F0684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237.928</w:t>
            </w:r>
          </w:p>
        </w:tc>
        <w:tc>
          <w:tcPr>
            <w:tcW w:w="960" w:type="dxa"/>
            <w:tcBorders>
              <w:top w:val="nil"/>
              <w:left w:val="nil"/>
              <w:bottom w:val="single" w:sz="4" w:space="0" w:color="auto"/>
              <w:right w:val="single" w:sz="4" w:space="0" w:color="auto"/>
            </w:tcBorders>
            <w:shd w:val="clear" w:color="auto" w:fill="auto"/>
            <w:noWrap/>
            <w:vAlign w:val="bottom"/>
            <w:hideMark/>
          </w:tcPr>
          <w:p w14:paraId="41DD4DC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183.125</w:t>
            </w:r>
          </w:p>
        </w:tc>
        <w:tc>
          <w:tcPr>
            <w:tcW w:w="960" w:type="dxa"/>
            <w:tcBorders>
              <w:top w:val="nil"/>
              <w:left w:val="nil"/>
              <w:bottom w:val="single" w:sz="4" w:space="0" w:color="auto"/>
              <w:right w:val="single" w:sz="4" w:space="0" w:color="auto"/>
            </w:tcBorders>
            <w:shd w:val="clear" w:color="auto" w:fill="auto"/>
            <w:noWrap/>
            <w:vAlign w:val="bottom"/>
            <w:hideMark/>
          </w:tcPr>
          <w:p w14:paraId="61FE7B6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215.984</w:t>
            </w:r>
          </w:p>
        </w:tc>
        <w:tc>
          <w:tcPr>
            <w:tcW w:w="960" w:type="dxa"/>
            <w:tcBorders>
              <w:top w:val="nil"/>
              <w:left w:val="nil"/>
              <w:bottom w:val="single" w:sz="4" w:space="0" w:color="auto"/>
              <w:right w:val="single" w:sz="4" w:space="0" w:color="auto"/>
            </w:tcBorders>
            <w:shd w:val="clear" w:color="auto" w:fill="auto"/>
            <w:noWrap/>
            <w:vAlign w:val="bottom"/>
            <w:hideMark/>
          </w:tcPr>
          <w:p w14:paraId="7AD1E92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139.859</w:t>
            </w:r>
          </w:p>
        </w:tc>
        <w:tc>
          <w:tcPr>
            <w:tcW w:w="1960" w:type="dxa"/>
            <w:tcBorders>
              <w:top w:val="nil"/>
              <w:left w:val="nil"/>
              <w:bottom w:val="nil"/>
              <w:right w:val="nil"/>
            </w:tcBorders>
            <w:shd w:val="clear" w:color="auto" w:fill="auto"/>
            <w:noWrap/>
            <w:vAlign w:val="bottom"/>
            <w:hideMark/>
          </w:tcPr>
          <w:p w14:paraId="61EA4DDD"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13B7C846"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001C0A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66</w:t>
            </w:r>
          </w:p>
        </w:tc>
        <w:tc>
          <w:tcPr>
            <w:tcW w:w="960" w:type="dxa"/>
            <w:tcBorders>
              <w:top w:val="nil"/>
              <w:left w:val="nil"/>
              <w:bottom w:val="single" w:sz="4" w:space="0" w:color="auto"/>
              <w:right w:val="single" w:sz="4" w:space="0" w:color="auto"/>
            </w:tcBorders>
            <w:shd w:val="clear" w:color="auto" w:fill="auto"/>
            <w:noWrap/>
            <w:vAlign w:val="bottom"/>
            <w:hideMark/>
          </w:tcPr>
          <w:p w14:paraId="7E48AFC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221.851</w:t>
            </w:r>
          </w:p>
        </w:tc>
        <w:tc>
          <w:tcPr>
            <w:tcW w:w="960" w:type="dxa"/>
            <w:tcBorders>
              <w:top w:val="nil"/>
              <w:left w:val="nil"/>
              <w:bottom w:val="single" w:sz="4" w:space="0" w:color="auto"/>
              <w:right w:val="single" w:sz="4" w:space="0" w:color="auto"/>
            </w:tcBorders>
            <w:shd w:val="clear" w:color="auto" w:fill="auto"/>
            <w:noWrap/>
            <w:vAlign w:val="bottom"/>
            <w:hideMark/>
          </w:tcPr>
          <w:p w14:paraId="458CD28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219.111</w:t>
            </w:r>
          </w:p>
        </w:tc>
        <w:tc>
          <w:tcPr>
            <w:tcW w:w="960" w:type="dxa"/>
            <w:tcBorders>
              <w:top w:val="nil"/>
              <w:left w:val="nil"/>
              <w:bottom w:val="single" w:sz="4" w:space="0" w:color="auto"/>
              <w:right w:val="single" w:sz="4" w:space="0" w:color="auto"/>
            </w:tcBorders>
            <w:shd w:val="clear" w:color="auto" w:fill="auto"/>
            <w:noWrap/>
            <w:vAlign w:val="bottom"/>
            <w:hideMark/>
          </w:tcPr>
          <w:p w14:paraId="4674EEC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235.056</w:t>
            </w:r>
          </w:p>
        </w:tc>
        <w:tc>
          <w:tcPr>
            <w:tcW w:w="960" w:type="dxa"/>
            <w:tcBorders>
              <w:top w:val="nil"/>
              <w:left w:val="nil"/>
              <w:bottom w:val="single" w:sz="4" w:space="0" w:color="auto"/>
              <w:right w:val="single" w:sz="4" w:space="0" w:color="auto"/>
            </w:tcBorders>
            <w:shd w:val="clear" w:color="auto" w:fill="auto"/>
            <w:noWrap/>
            <w:vAlign w:val="bottom"/>
            <w:hideMark/>
          </w:tcPr>
          <w:p w14:paraId="0EF9974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182.067</w:t>
            </w:r>
          </w:p>
        </w:tc>
        <w:tc>
          <w:tcPr>
            <w:tcW w:w="960" w:type="dxa"/>
            <w:tcBorders>
              <w:top w:val="nil"/>
              <w:left w:val="nil"/>
              <w:bottom w:val="single" w:sz="4" w:space="0" w:color="auto"/>
              <w:right w:val="single" w:sz="4" w:space="0" w:color="auto"/>
            </w:tcBorders>
            <w:shd w:val="clear" w:color="auto" w:fill="auto"/>
            <w:noWrap/>
            <w:vAlign w:val="bottom"/>
            <w:hideMark/>
          </w:tcPr>
          <w:p w14:paraId="182C19E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214.351</w:t>
            </w:r>
          </w:p>
        </w:tc>
        <w:tc>
          <w:tcPr>
            <w:tcW w:w="960" w:type="dxa"/>
            <w:tcBorders>
              <w:top w:val="nil"/>
              <w:left w:val="nil"/>
              <w:bottom w:val="single" w:sz="4" w:space="0" w:color="auto"/>
              <w:right w:val="single" w:sz="4" w:space="0" w:color="auto"/>
            </w:tcBorders>
            <w:shd w:val="clear" w:color="auto" w:fill="auto"/>
            <w:noWrap/>
            <w:vAlign w:val="bottom"/>
            <w:hideMark/>
          </w:tcPr>
          <w:p w14:paraId="6EE9F6A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135.106</w:t>
            </w:r>
          </w:p>
        </w:tc>
        <w:tc>
          <w:tcPr>
            <w:tcW w:w="1960" w:type="dxa"/>
            <w:tcBorders>
              <w:top w:val="nil"/>
              <w:left w:val="nil"/>
              <w:bottom w:val="nil"/>
              <w:right w:val="nil"/>
            </w:tcBorders>
            <w:shd w:val="clear" w:color="auto" w:fill="auto"/>
            <w:noWrap/>
            <w:vAlign w:val="bottom"/>
            <w:hideMark/>
          </w:tcPr>
          <w:p w14:paraId="20A92331"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7C2F3F60"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C8AE51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67</w:t>
            </w:r>
          </w:p>
        </w:tc>
        <w:tc>
          <w:tcPr>
            <w:tcW w:w="960" w:type="dxa"/>
            <w:tcBorders>
              <w:top w:val="nil"/>
              <w:left w:val="nil"/>
              <w:bottom w:val="single" w:sz="4" w:space="0" w:color="auto"/>
              <w:right w:val="single" w:sz="4" w:space="0" w:color="auto"/>
            </w:tcBorders>
            <w:shd w:val="clear" w:color="auto" w:fill="auto"/>
            <w:noWrap/>
            <w:vAlign w:val="bottom"/>
            <w:hideMark/>
          </w:tcPr>
          <w:p w14:paraId="478498D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222.000</w:t>
            </w:r>
          </w:p>
        </w:tc>
        <w:tc>
          <w:tcPr>
            <w:tcW w:w="960" w:type="dxa"/>
            <w:tcBorders>
              <w:top w:val="nil"/>
              <w:left w:val="nil"/>
              <w:bottom w:val="single" w:sz="4" w:space="0" w:color="auto"/>
              <w:right w:val="single" w:sz="4" w:space="0" w:color="auto"/>
            </w:tcBorders>
            <w:shd w:val="clear" w:color="auto" w:fill="auto"/>
            <w:noWrap/>
            <w:vAlign w:val="bottom"/>
            <w:hideMark/>
          </w:tcPr>
          <w:p w14:paraId="44E98F3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220.468</w:t>
            </w:r>
          </w:p>
        </w:tc>
        <w:tc>
          <w:tcPr>
            <w:tcW w:w="960" w:type="dxa"/>
            <w:tcBorders>
              <w:top w:val="nil"/>
              <w:left w:val="nil"/>
              <w:bottom w:val="single" w:sz="4" w:space="0" w:color="auto"/>
              <w:right w:val="single" w:sz="4" w:space="0" w:color="auto"/>
            </w:tcBorders>
            <w:shd w:val="clear" w:color="auto" w:fill="auto"/>
            <w:noWrap/>
            <w:vAlign w:val="bottom"/>
            <w:hideMark/>
          </w:tcPr>
          <w:p w14:paraId="4F27C92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231.612</w:t>
            </w:r>
          </w:p>
        </w:tc>
        <w:tc>
          <w:tcPr>
            <w:tcW w:w="960" w:type="dxa"/>
            <w:tcBorders>
              <w:top w:val="nil"/>
              <w:left w:val="nil"/>
              <w:bottom w:val="single" w:sz="4" w:space="0" w:color="auto"/>
              <w:right w:val="single" w:sz="4" w:space="0" w:color="auto"/>
            </w:tcBorders>
            <w:shd w:val="clear" w:color="auto" w:fill="auto"/>
            <w:noWrap/>
            <w:vAlign w:val="bottom"/>
            <w:hideMark/>
          </w:tcPr>
          <w:p w14:paraId="445DDD4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182.539</w:t>
            </w:r>
          </w:p>
        </w:tc>
        <w:tc>
          <w:tcPr>
            <w:tcW w:w="960" w:type="dxa"/>
            <w:tcBorders>
              <w:top w:val="nil"/>
              <w:left w:val="nil"/>
              <w:bottom w:val="single" w:sz="4" w:space="0" w:color="auto"/>
              <w:right w:val="single" w:sz="4" w:space="0" w:color="auto"/>
            </w:tcBorders>
            <w:shd w:val="clear" w:color="auto" w:fill="auto"/>
            <w:noWrap/>
            <w:vAlign w:val="bottom"/>
            <w:hideMark/>
          </w:tcPr>
          <w:p w14:paraId="5FFDBD8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213.273</w:t>
            </w:r>
          </w:p>
        </w:tc>
        <w:tc>
          <w:tcPr>
            <w:tcW w:w="960" w:type="dxa"/>
            <w:tcBorders>
              <w:top w:val="nil"/>
              <w:left w:val="nil"/>
              <w:bottom w:val="single" w:sz="4" w:space="0" w:color="auto"/>
              <w:right w:val="single" w:sz="4" w:space="0" w:color="auto"/>
            </w:tcBorders>
            <w:shd w:val="clear" w:color="auto" w:fill="auto"/>
            <w:noWrap/>
            <w:vAlign w:val="bottom"/>
            <w:hideMark/>
          </w:tcPr>
          <w:p w14:paraId="245D101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131.388</w:t>
            </w:r>
          </w:p>
        </w:tc>
        <w:tc>
          <w:tcPr>
            <w:tcW w:w="1960" w:type="dxa"/>
            <w:tcBorders>
              <w:top w:val="nil"/>
              <w:left w:val="nil"/>
              <w:bottom w:val="nil"/>
              <w:right w:val="nil"/>
            </w:tcBorders>
            <w:shd w:val="clear" w:color="auto" w:fill="auto"/>
            <w:noWrap/>
            <w:vAlign w:val="bottom"/>
            <w:hideMark/>
          </w:tcPr>
          <w:p w14:paraId="213EAAE8"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26C34CFC"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B9F2F7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68</w:t>
            </w:r>
          </w:p>
        </w:tc>
        <w:tc>
          <w:tcPr>
            <w:tcW w:w="960" w:type="dxa"/>
            <w:tcBorders>
              <w:top w:val="nil"/>
              <w:left w:val="nil"/>
              <w:bottom w:val="single" w:sz="4" w:space="0" w:color="auto"/>
              <w:right w:val="single" w:sz="4" w:space="0" w:color="auto"/>
            </w:tcBorders>
            <w:shd w:val="clear" w:color="auto" w:fill="auto"/>
            <w:noWrap/>
            <w:vAlign w:val="bottom"/>
            <w:hideMark/>
          </w:tcPr>
          <w:p w14:paraId="64EC261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220.481</w:t>
            </w:r>
          </w:p>
        </w:tc>
        <w:tc>
          <w:tcPr>
            <w:tcW w:w="960" w:type="dxa"/>
            <w:tcBorders>
              <w:top w:val="nil"/>
              <w:left w:val="nil"/>
              <w:bottom w:val="single" w:sz="4" w:space="0" w:color="auto"/>
              <w:right w:val="single" w:sz="4" w:space="0" w:color="auto"/>
            </w:tcBorders>
            <w:shd w:val="clear" w:color="auto" w:fill="auto"/>
            <w:noWrap/>
            <w:vAlign w:val="bottom"/>
            <w:hideMark/>
          </w:tcPr>
          <w:p w14:paraId="527D4B7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220.942</w:t>
            </w:r>
          </w:p>
        </w:tc>
        <w:tc>
          <w:tcPr>
            <w:tcW w:w="960" w:type="dxa"/>
            <w:tcBorders>
              <w:top w:val="nil"/>
              <w:left w:val="nil"/>
              <w:bottom w:val="single" w:sz="4" w:space="0" w:color="auto"/>
              <w:right w:val="single" w:sz="4" w:space="0" w:color="auto"/>
            </w:tcBorders>
            <w:shd w:val="clear" w:color="auto" w:fill="auto"/>
            <w:noWrap/>
            <w:vAlign w:val="bottom"/>
            <w:hideMark/>
          </w:tcPr>
          <w:p w14:paraId="2BC506A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227.577</w:t>
            </w:r>
          </w:p>
        </w:tc>
        <w:tc>
          <w:tcPr>
            <w:tcW w:w="960" w:type="dxa"/>
            <w:tcBorders>
              <w:top w:val="nil"/>
              <w:left w:val="nil"/>
              <w:bottom w:val="single" w:sz="4" w:space="0" w:color="auto"/>
              <w:right w:val="single" w:sz="4" w:space="0" w:color="auto"/>
            </w:tcBorders>
            <w:shd w:val="clear" w:color="auto" w:fill="auto"/>
            <w:noWrap/>
            <w:vAlign w:val="bottom"/>
            <w:hideMark/>
          </w:tcPr>
          <w:p w14:paraId="409CCFC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183.289</w:t>
            </w:r>
          </w:p>
        </w:tc>
        <w:tc>
          <w:tcPr>
            <w:tcW w:w="960" w:type="dxa"/>
            <w:tcBorders>
              <w:top w:val="nil"/>
              <w:left w:val="nil"/>
              <w:bottom w:val="single" w:sz="4" w:space="0" w:color="auto"/>
              <w:right w:val="single" w:sz="4" w:space="0" w:color="auto"/>
            </w:tcBorders>
            <w:shd w:val="clear" w:color="auto" w:fill="auto"/>
            <w:noWrap/>
            <w:vAlign w:val="bottom"/>
            <w:hideMark/>
          </w:tcPr>
          <w:p w14:paraId="5ADC6F2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211.500</w:t>
            </w:r>
          </w:p>
        </w:tc>
        <w:tc>
          <w:tcPr>
            <w:tcW w:w="960" w:type="dxa"/>
            <w:tcBorders>
              <w:top w:val="nil"/>
              <w:left w:val="nil"/>
              <w:bottom w:val="single" w:sz="4" w:space="0" w:color="auto"/>
              <w:right w:val="single" w:sz="4" w:space="0" w:color="auto"/>
            </w:tcBorders>
            <w:shd w:val="clear" w:color="auto" w:fill="auto"/>
            <w:noWrap/>
            <w:vAlign w:val="bottom"/>
            <w:hideMark/>
          </w:tcPr>
          <w:p w14:paraId="55A0B47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126.885</w:t>
            </w:r>
          </w:p>
        </w:tc>
        <w:tc>
          <w:tcPr>
            <w:tcW w:w="1960" w:type="dxa"/>
            <w:tcBorders>
              <w:top w:val="nil"/>
              <w:left w:val="nil"/>
              <w:bottom w:val="nil"/>
              <w:right w:val="nil"/>
            </w:tcBorders>
            <w:shd w:val="clear" w:color="auto" w:fill="auto"/>
            <w:noWrap/>
            <w:vAlign w:val="bottom"/>
            <w:hideMark/>
          </w:tcPr>
          <w:p w14:paraId="1137DA6D"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13CA5ABB"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D6D1AA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69</w:t>
            </w:r>
          </w:p>
        </w:tc>
        <w:tc>
          <w:tcPr>
            <w:tcW w:w="960" w:type="dxa"/>
            <w:tcBorders>
              <w:top w:val="nil"/>
              <w:left w:val="nil"/>
              <w:bottom w:val="single" w:sz="4" w:space="0" w:color="auto"/>
              <w:right w:val="single" w:sz="4" w:space="0" w:color="auto"/>
            </w:tcBorders>
            <w:shd w:val="clear" w:color="auto" w:fill="auto"/>
            <w:noWrap/>
            <w:vAlign w:val="bottom"/>
            <w:hideMark/>
          </w:tcPr>
          <w:p w14:paraId="4DA4D1A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218.227</w:t>
            </w:r>
          </w:p>
        </w:tc>
        <w:tc>
          <w:tcPr>
            <w:tcW w:w="960" w:type="dxa"/>
            <w:tcBorders>
              <w:top w:val="nil"/>
              <w:left w:val="nil"/>
              <w:bottom w:val="single" w:sz="4" w:space="0" w:color="auto"/>
              <w:right w:val="single" w:sz="4" w:space="0" w:color="auto"/>
            </w:tcBorders>
            <w:shd w:val="clear" w:color="auto" w:fill="auto"/>
            <w:noWrap/>
            <w:vAlign w:val="bottom"/>
            <w:hideMark/>
          </w:tcPr>
          <w:p w14:paraId="470C1B6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221.231</w:t>
            </w:r>
          </w:p>
        </w:tc>
        <w:tc>
          <w:tcPr>
            <w:tcW w:w="960" w:type="dxa"/>
            <w:tcBorders>
              <w:top w:val="nil"/>
              <w:left w:val="nil"/>
              <w:bottom w:val="single" w:sz="4" w:space="0" w:color="auto"/>
              <w:right w:val="single" w:sz="4" w:space="0" w:color="auto"/>
            </w:tcBorders>
            <w:shd w:val="clear" w:color="auto" w:fill="auto"/>
            <w:noWrap/>
            <w:vAlign w:val="bottom"/>
            <w:hideMark/>
          </w:tcPr>
          <w:p w14:paraId="36853F6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220.724</w:t>
            </w:r>
          </w:p>
        </w:tc>
        <w:tc>
          <w:tcPr>
            <w:tcW w:w="960" w:type="dxa"/>
            <w:tcBorders>
              <w:top w:val="nil"/>
              <w:left w:val="nil"/>
              <w:bottom w:val="single" w:sz="4" w:space="0" w:color="auto"/>
              <w:right w:val="single" w:sz="4" w:space="0" w:color="auto"/>
            </w:tcBorders>
            <w:shd w:val="clear" w:color="auto" w:fill="auto"/>
            <w:noWrap/>
            <w:vAlign w:val="bottom"/>
            <w:hideMark/>
          </w:tcPr>
          <w:p w14:paraId="30DE103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183.026</w:t>
            </w:r>
          </w:p>
        </w:tc>
        <w:tc>
          <w:tcPr>
            <w:tcW w:w="960" w:type="dxa"/>
            <w:tcBorders>
              <w:top w:val="nil"/>
              <w:left w:val="nil"/>
              <w:bottom w:val="single" w:sz="4" w:space="0" w:color="auto"/>
              <w:right w:val="single" w:sz="4" w:space="0" w:color="auto"/>
            </w:tcBorders>
            <w:shd w:val="clear" w:color="auto" w:fill="auto"/>
            <w:noWrap/>
            <w:vAlign w:val="bottom"/>
            <w:hideMark/>
          </w:tcPr>
          <w:p w14:paraId="5221A20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210.398</w:t>
            </w:r>
          </w:p>
        </w:tc>
        <w:tc>
          <w:tcPr>
            <w:tcW w:w="960" w:type="dxa"/>
            <w:tcBorders>
              <w:top w:val="nil"/>
              <w:left w:val="nil"/>
              <w:bottom w:val="single" w:sz="4" w:space="0" w:color="auto"/>
              <w:right w:val="single" w:sz="4" w:space="0" w:color="auto"/>
            </w:tcBorders>
            <w:shd w:val="clear" w:color="auto" w:fill="auto"/>
            <w:noWrap/>
            <w:vAlign w:val="bottom"/>
            <w:hideMark/>
          </w:tcPr>
          <w:p w14:paraId="6F51539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123.587</w:t>
            </w:r>
          </w:p>
        </w:tc>
        <w:tc>
          <w:tcPr>
            <w:tcW w:w="1960" w:type="dxa"/>
            <w:tcBorders>
              <w:top w:val="nil"/>
              <w:left w:val="nil"/>
              <w:bottom w:val="nil"/>
              <w:right w:val="nil"/>
            </w:tcBorders>
            <w:shd w:val="clear" w:color="auto" w:fill="auto"/>
            <w:noWrap/>
            <w:vAlign w:val="bottom"/>
            <w:hideMark/>
          </w:tcPr>
          <w:p w14:paraId="1E007D0F"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62EA9920"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50766D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70</w:t>
            </w:r>
          </w:p>
        </w:tc>
        <w:tc>
          <w:tcPr>
            <w:tcW w:w="960" w:type="dxa"/>
            <w:tcBorders>
              <w:top w:val="nil"/>
              <w:left w:val="nil"/>
              <w:bottom w:val="single" w:sz="4" w:space="0" w:color="auto"/>
              <w:right w:val="single" w:sz="4" w:space="0" w:color="auto"/>
            </w:tcBorders>
            <w:shd w:val="clear" w:color="auto" w:fill="auto"/>
            <w:noWrap/>
            <w:vAlign w:val="bottom"/>
            <w:hideMark/>
          </w:tcPr>
          <w:p w14:paraId="180114B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218.260</w:t>
            </w:r>
          </w:p>
        </w:tc>
        <w:tc>
          <w:tcPr>
            <w:tcW w:w="960" w:type="dxa"/>
            <w:tcBorders>
              <w:top w:val="nil"/>
              <w:left w:val="nil"/>
              <w:bottom w:val="single" w:sz="4" w:space="0" w:color="auto"/>
              <w:right w:val="single" w:sz="4" w:space="0" w:color="auto"/>
            </w:tcBorders>
            <w:shd w:val="clear" w:color="auto" w:fill="auto"/>
            <w:noWrap/>
            <w:vAlign w:val="bottom"/>
            <w:hideMark/>
          </w:tcPr>
          <w:p w14:paraId="7C842BF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221.409</w:t>
            </w:r>
          </w:p>
        </w:tc>
        <w:tc>
          <w:tcPr>
            <w:tcW w:w="960" w:type="dxa"/>
            <w:tcBorders>
              <w:top w:val="nil"/>
              <w:left w:val="nil"/>
              <w:bottom w:val="single" w:sz="4" w:space="0" w:color="auto"/>
              <w:right w:val="single" w:sz="4" w:space="0" w:color="auto"/>
            </w:tcBorders>
            <w:shd w:val="clear" w:color="auto" w:fill="auto"/>
            <w:noWrap/>
            <w:vAlign w:val="bottom"/>
            <w:hideMark/>
          </w:tcPr>
          <w:p w14:paraId="7598404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212.806</w:t>
            </w:r>
          </w:p>
        </w:tc>
        <w:tc>
          <w:tcPr>
            <w:tcW w:w="960" w:type="dxa"/>
            <w:tcBorders>
              <w:top w:val="nil"/>
              <w:left w:val="nil"/>
              <w:bottom w:val="single" w:sz="4" w:space="0" w:color="auto"/>
              <w:right w:val="single" w:sz="4" w:space="0" w:color="auto"/>
            </w:tcBorders>
            <w:shd w:val="clear" w:color="auto" w:fill="auto"/>
            <w:noWrap/>
            <w:vAlign w:val="bottom"/>
            <w:hideMark/>
          </w:tcPr>
          <w:p w14:paraId="6CE6ECF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180.168</w:t>
            </w:r>
          </w:p>
        </w:tc>
        <w:tc>
          <w:tcPr>
            <w:tcW w:w="960" w:type="dxa"/>
            <w:tcBorders>
              <w:top w:val="nil"/>
              <w:left w:val="nil"/>
              <w:bottom w:val="single" w:sz="4" w:space="0" w:color="auto"/>
              <w:right w:val="single" w:sz="4" w:space="0" w:color="auto"/>
            </w:tcBorders>
            <w:shd w:val="clear" w:color="auto" w:fill="auto"/>
            <w:noWrap/>
            <w:vAlign w:val="bottom"/>
            <w:hideMark/>
          </w:tcPr>
          <w:p w14:paraId="721E6FD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209.139</w:t>
            </w:r>
          </w:p>
        </w:tc>
        <w:tc>
          <w:tcPr>
            <w:tcW w:w="960" w:type="dxa"/>
            <w:tcBorders>
              <w:top w:val="nil"/>
              <w:left w:val="nil"/>
              <w:bottom w:val="single" w:sz="4" w:space="0" w:color="auto"/>
              <w:right w:val="single" w:sz="4" w:space="0" w:color="auto"/>
            </w:tcBorders>
            <w:shd w:val="clear" w:color="auto" w:fill="auto"/>
            <w:noWrap/>
            <w:vAlign w:val="bottom"/>
            <w:hideMark/>
          </w:tcPr>
          <w:p w14:paraId="14B655E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120.346</w:t>
            </w:r>
          </w:p>
        </w:tc>
        <w:tc>
          <w:tcPr>
            <w:tcW w:w="1960" w:type="dxa"/>
            <w:tcBorders>
              <w:top w:val="nil"/>
              <w:left w:val="nil"/>
              <w:bottom w:val="nil"/>
              <w:right w:val="nil"/>
            </w:tcBorders>
            <w:shd w:val="clear" w:color="auto" w:fill="auto"/>
            <w:noWrap/>
            <w:vAlign w:val="bottom"/>
            <w:hideMark/>
          </w:tcPr>
          <w:p w14:paraId="320AC9C0"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00CA25D3"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D013A5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71</w:t>
            </w:r>
          </w:p>
        </w:tc>
        <w:tc>
          <w:tcPr>
            <w:tcW w:w="960" w:type="dxa"/>
            <w:tcBorders>
              <w:top w:val="nil"/>
              <w:left w:val="nil"/>
              <w:bottom w:val="single" w:sz="4" w:space="0" w:color="auto"/>
              <w:right w:val="single" w:sz="4" w:space="0" w:color="auto"/>
            </w:tcBorders>
            <w:shd w:val="clear" w:color="auto" w:fill="auto"/>
            <w:noWrap/>
            <w:vAlign w:val="bottom"/>
            <w:hideMark/>
          </w:tcPr>
          <w:p w14:paraId="1326F92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218.484</w:t>
            </w:r>
          </w:p>
        </w:tc>
        <w:tc>
          <w:tcPr>
            <w:tcW w:w="960" w:type="dxa"/>
            <w:tcBorders>
              <w:top w:val="nil"/>
              <w:left w:val="nil"/>
              <w:bottom w:val="single" w:sz="4" w:space="0" w:color="auto"/>
              <w:right w:val="single" w:sz="4" w:space="0" w:color="auto"/>
            </w:tcBorders>
            <w:shd w:val="clear" w:color="auto" w:fill="auto"/>
            <w:noWrap/>
            <w:vAlign w:val="bottom"/>
            <w:hideMark/>
          </w:tcPr>
          <w:p w14:paraId="59317B8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221.548</w:t>
            </w:r>
          </w:p>
        </w:tc>
        <w:tc>
          <w:tcPr>
            <w:tcW w:w="960" w:type="dxa"/>
            <w:tcBorders>
              <w:top w:val="nil"/>
              <w:left w:val="nil"/>
              <w:bottom w:val="single" w:sz="4" w:space="0" w:color="auto"/>
              <w:right w:val="single" w:sz="4" w:space="0" w:color="auto"/>
            </w:tcBorders>
            <w:shd w:val="clear" w:color="auto" w:fill="auto"/>
            <w:noWrap/>
            <w:vAlign w:val="bottom"/>
            <w:hideMark/>
          </w:tcPr>
          <w:p w14:paraId="5A5CB78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203.255</w:t>
            </w:r>
          </w:p>
        </w:tc>
        <w:tc>
          <w:tcPr>
            <w:tcW w:w="960" w:type="dxa"/>
            <w:tcBorders>
              <w:top w:val="nil"/>
              <w:left w:val="nil"/>
              <w:bottom w:val="single" w:sz="4" w:space="0" w:color="auto"/>
              <w:right w:val="single" w:sz="4" w:space="0" w:color="auto"/>
            </w:tcBorders>
            <w:shd w:val="clear" w:color="auto" w:fill="auto"/>
            <w:noWrap/>
            <w:vAlign w:val="bottom"/>
            <w:hideMark/>
          </w:tcPr>
          <w:p w14:paraId="31F93C1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177.269</w:t>
            </w:r>
          </w:p>
        </w:tc>
        <w:tc>
          <w:tcPr>
            <w:tcW w:w="960" w:type="dxa"/>
            <w:tcBorders>
              <w:top w:val="nil"/>
              <w:left w:val="nil"/>
              <w:bottom w:val="single" w:sz="4" w:space="0" w:color="auto"/>
              <w:right w:val="single" w:sz="4" w:space="0" w:color="auto"/>
            </w:tcBorders>
            <w:shd w:val="clear" w:color="auto" w:fill="auto"/>
            <w:noWrap/>
            <w:vAlign w:val="bottom"/>
            <w:hideMark/>
          </w:tcPr>
          <w:p w14:paraId="4183F35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208.846</w:t>
            </w:r>
          </w:p>
        </w:tc>
        <w:tc>
          <w:tcPr>
            <w:tcW w:w="960" w:type="dxa"/>
            <w:tcBorders>
              <w:top w:val="nil"/>
              <w:left w:val="nil"/>
              <w:bottom w:val="single" w:sz="4" w:space="0" w:color="auto"/>
              <w:right w:val="single" w:sz="4" w:space="0" w:color="auto"/>
            </w:tcBorders>
            <w:shd w:val="clear" w:color="auto" w:fill="auto"/>
            <w:noWrap/>
            <w:vAlign w:val="bottom"/>
            <w:hideMark/>
          </w:tcPr>
          <w:p w14:paraId="7E1BED8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118.073</w:t>
            </w:r>
          </w:p>
        </w:tc>
        <w:tc>
          <w:tcPr>
            <w:tcW w:w="1960" w:type="dxa"/>
            <w:tcBorders>
              <w:top w:val="nil"/>
              <w:left w:val="nil"/>
              <w:bottom w:val="nil"/>
              <w:right w:val="nil"/>
            </w:tcBorders>
            <w:shd w:val="clear" w:color="auto" w:fill="auto"/>
            <w:noWrap/>
            <w:vAlign w:val="bottom"/>
            <w:hideMark/>
          </w:tcPr>
          <w:p w14:paraId="10755853"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688C8914"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619AF9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72</w:t>
            </w:r>
          </w:p>
        </w:tc>
        <w:tc>
          <w:tcPr>
            <w:tcW w:w="960" w:type="dxa"/>
            <w:tcBorders>
              <w:top w:val="nil"/>
              <w:left w:val="nil"/>
              <w:bottom w:val="single" w:sz="4" w:space="0" w:color="auto"/>
              <w:right w:val="single" w:sz="4" w:space="0" w:color="auto"/>
            </w:tcBorders>
            <w:shd w:val="clear" w:color="auto" w:fill="auto"/>
            <w:noWrap/>
            <w:vAlign w:val="bottom"/>
            <w:hideMark/>
          </w:tcPr>
          <w:p w14:paraId="02715C6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219.077</w:t>
            </w:r>
          </w:p>
        </w:tc>
        <w:tc>
          <w:tcPr>
            <w:tcW w:w="960" w:type="dxa"/>
            <w:tcBorders>
              <w:top w:val="nil"/>
              <w:left w:val="nil"/>
              <w:bottom w:val="single" w:sz="4" w:space="0" w:color="auto"/>
              <w:right w:val="single" w:sz="4" w:space="0" w:color="auto"/>
            </w:tcBorders>
            <w:shd w:val="clear" w:color="auto" w:fill="auto"/>
            <w:noWrap/>
            <w:vAlign w:val="bottom"/>
            <w:hideMark/>
          </w:tcPr>
          <w:p w14:paraId="51F334C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221.077</w:t>
            </w:r>
          </w:p>
        </w:tc>
        <w:tc>
          <w:tcPr>
            <w:tcW w:w="960" w:type="dxa"/>
            <w:tcBorders>
              <w:top w:val="nil"/>
              <w:left w:val="nil"/>
              <w:bottom w:val="single" w:sz="4" w:space="0" w:color="auto"/>
              <w:right w:val="single" w:sz="4" w:space="0" w:color="auto"/>
            </w:tcBorders>
            <w:shd w:val="clear" w:color="auto" w:fill="auto"/>
            <w:noWrap/>
            <w:vAlign w:val="bottom"/>
            <w:hideMark/>
          </w:tcPr>
          <w:p w14:paraId="7A3CDA8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193.281</w:t>
            </w:r>
          </w:p>
        </w:tc>
        <w:tc>
          <w:tcPr>
            <w:tcW w:w="960" w:type="dxa"/>
            <w:tcBorders>
              <w:top w:val="nil"/>
              <w:left w:val="nil"/>
              <w:bottom w:val="single" w:sz="4" w:space="0" w:color="auto"/>
              <w:right w:val="single" w:sz="4" w:space="0" w:color="auto"/>
            </w:tcBorders>
            <w:shd w:val="clear" w:color="auto" w:fill="auto"/>
            <w:noWrap/>
            <w:vAlign w:val="bottom"/>
            <w:hideMark/>
          </w:tcPr>
          <w:p w14:paraId="0B98B09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175.385</w:t>
            </w:r>
          </w:p>
        </w:tc>
        <w:tc>
          <w:tcPr>
            <w:tcW w:w="960" w:type="dxa"/>
            <w:tcBorders>
              <w:top w:val="nil"/>
              <w:left w:val="nil"/>
              <w:bottom w:val="single" w:sz="4" w:space="0" w:color="auto"/>
              <w:right w:val="single" w:sz="4" w:space="0" w:color="auto"/>
            </w:tcBorders>
            <w:shd w:val="clear" w:color="auto" w:fill="auto"/>
            <w:noWrap/>
            <w:vAlign w:val="bottom"/>
            <w:hideMark/>
          </w:tcPr>
          <w:p w14:paraId="7BBC077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209.000</w:t>
            </w:r>
          </w:p>
        </w:tc>
        <w:tc>
          <w:tcPr>
            <w:tcW w:w="960" w:type="dxa"/>
            <w:tcBorders>
              <w:top w:val="nil"/>
              <w:left w:val="nil"/>
              <w:bottom w:val="single" w:sz="4" w:space="0" w:color="auto"/>
              <w:right w:val="single" w:sz="4" w:space="0" w:color="auto"/>
            </w:tcBorders>
            <w:shd w:val="clear" w:color="auto" w:fill="auto"/>
            <w:noWrap/>
            <w:vAlign w:val="bottom"/>
            <w:hideMark/>
          </w:tcPr>
          <w:p w14:paraId="777671C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117.692</w:t>
            </w:r>
          </w:p>
        </w:tc>
        <w:tc>
          <w:tcPr>
            <w:tcW w:w="1960" w:type="dxa"/>
            <w:tcBorders>
              <w:top w:val="nil"/>
              <w:left w:val="nil"/>
              <w:bottom w:val="nil"/>
              <w:right w:val="nil"/>
            </w:tcBorders>
            <w:shd w:val="clear" w:color="auto" w:fill="auto"/>
            <w:noWrap/>
            <w:vAlign w:val="bottom"/>
            <w:hideMark/>
          </w:tcPr>
          <w:p w14:paraId="15F8100D"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7DC55B88"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273B39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73</w:t>
            </w:r>
          </w:p>
        </w:tc>
        <w:tc>
          <w:tcPr>
            <w:tcW w:w="960" w:type="dxa"/>
            <w:tcBorders>
              <w:top w:val="nil"/>
              <w:left w:val="nil"/>
              <w:bottom w:val="single" w:sz="4" w:space="0" w:color="auto"/>
              <w:right w:val="single" w:sz="4" w:space="0" w:color="auto"/>
            </w:tcBorders>
            <w:shd w:val="clear" w:color="auto" w:fill="auto"/>
            <w:noWrap/>
            <w:vAlign w:val="bottom"/>
            <w:hideMark/>
          </w:tcPr>
          <w:p w14:paraId="5BBE3E5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219.231</w:t>
            </w:r>
          </w:p>
        </w:tc>
        <w:tc>
          <w:tcPr>
            <w:tcW w:w="960" w:type="dxa"/>
            <w:tcBorders>
              <w:top w:val="nil"/>
              <w:left w:val="nil"/>
              <w:bottom w:val="single" w:sz="4" w:space="0" w:color="auto"/>
              <w:right w:val="single" w:sz="4" w:space="0" w:color="auto"/>
            </w:tcBorders>
            <w:shd w:val="clear" w:color="auto" w:fill="auto"/>
            <w:noWrap/>
            <w:vAlign w:val="bottom"/>
            <w:hideMark/>
          </w:tcPr>
          <w:p w14:paraId="2C6B55C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220.071</w:t>
            </w:r>
          </w:p>
        </w:tc>
        <w:tc>
          <w:tcPr>
            <w:tcW w:w="960" w:type="dxa"/>
            <w:tcBorders>
              <w:top w:val="nil"/>
              <w:left w:val="nil"/>
              <w:bottom w:val="single" w:sz="4" w:space="0" w:color="auto"/>
              <w:right w:val="single" w:sz="4" w:space="0" w:color="auto"/>
            </w:tcBorders>
            <w:shd w:val="clear" w:color="auto" w:fill="auto"/>
            <w:noWrap/>
            <w:vAlign w:val="bottom"/>
            <w:hideMark/>
          </w:tcPr>
          <w:p w14:paraId="2CC6343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182.332</w:t>
            </w:r>
          </w:p>
        </w:tc>
        <w:tc>
          <w:tcPr>
            <w:tcW w:w="960" w:type="dxa"/>
            <w:tcBorders>
              <w:top w:val="nil"/>
              <w:left w:val="nil"/>
              <w:bottom w:val="single" w:sz="4" w:space="0" w:color="auto"/>
              <w:right w:val="single" w:sz="4" w:space="0" w:color="auto"/>
            </w:tcBorders>
            <w:shd w:val="clear" w:color="auto" w:fill="auto"/>
            <w:noWrap/>
            <w:vAlign w:val="bottom"/>
            <w:hideMark/>
          </w:tcPr>
          <w:p w14:paraId="4ACD1C8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175.974</w:t>
            </w:r>
          </w:p>
        </w:tc>
        <w:tc>
          <w:tcPr>
            <w:tcW w:w="960" w:type="dxa"/>
            <w:tcBorders>
              <w:top w:val="nil"/>
              <w:left w:val="nil"/>
              <w:bottom w:val="single" w:sz="4" w:space="0" w:color="auto"/>
              <w:right w:val="single" w:sz="4" w:space="0" w:color="auto"/>
            </w:tcBorders>
            <w:shd w:val="clear" w:color="auto" w:fill="auto"/>
            <w:noWrap/>
            <w:vAlign w:val="bottom"/>
            <w:hideMark/>
          </w:tcPr>
          <w:p w14:paraId="39CC7A5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207.125</w:t>
            </w:r>
          </w:p>
        </w:tc>
        <w:tc>
          <w:tcPr>
            <w:tcW w:w="960" w:type="dxa"/>
            <w:tcBorders>
              <w:top w:val="nil"/>
              <w:left w:val="nil"/>
              <w:bottom w:val="single" w:sz="4" w:space="0" w:color="auto"/>
              <w:right w:val="single" w:sz="4" w:space="0" w:color="auto"/>
            </w:tcBorders>
            <w:shd w:val="clear" w:color="auto" w:fill="auto"/>
            <w:noWrap/>
            <w:vAlign w:val="bottom"/>
            <w:hideMark/>
          </w:tcPr>
          <w:p w14:paraId="747EAC9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118.987</w:t>
            </w:r>
          </w:p>
        </w:tc>
        <w:tc>
          <w:tcPr>
            <w:tcW w:w="1960" w:type="dxa"/>
            <w:tcBorders>
              <w:top w:val="nil"/>
              <w:left w:val="nil"/>
              <w:bottom w:val="nil"/>
              <w:right w:val="nil"/>
            </w:tcBorders>
            <w:shd w:val="clear" w:color="auto" w:fill="auto"/>
            <w:noWrap/>
            <w:vAlign w:val="bottom"/>
            <w:hideMark/>
          </w:tcPr>
          <w:p w14:paraId="3AAF9A75"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0254A770"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755793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74</w:t>
            </w:r>
          </w:p>
        </w:tc>
        <w:tc>
          <w:tcPr>
            <w:tcW w:w="960" w:type="dxa"/>
            <w:tcBorders>
              <w:top w:val="nil"/>
              <w:left w:val="nil"/>
              <w:bottom w:val="single" w:sz="4" w:space="0" w:color="auto"/>
              <w:right w:val="single" w:sz="4" w:space="0" w:color="auto"/>
            </w:tcBorders>
            <w:shd w:val="clear" w:color="auto" w:fill="auto"/>
            <w:noWrap/>
            <w:vAlign w:val="bottom"/>
            <w:hideMark/>
          </w:tcPr>
          <w:p w14:paraId="4518739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219.067</w:t>
            </w:r>
          </w:p>
        </w:tc>
        <w:tc>
          <w:tcPr>
            <w:tcW w:w="960" w:type="dxa"/>
            <w:tcBorders>
              <w:top w:val="nil"/>
              <w:left w:val="nil"/>
              <w:bottom w:val="single" w:sz="4" w:space="0" w:color="auto"/>
              <w:right w:val="single" w:sz="4" w:space="0" w:color="auto"/>
            </w:tcBorders>
            <w:shd w:val="clear" w:color="auto" w:fill="auto"/>
            <w:noWrap/>
            <w:vAlign w:val="bottom"/>
            <w:hideMark/>
          </w:tcPr>
          <w:p w14:paraId="5618748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218.250</w:t>
            </w:r>
          </w:p>
        </w:tc>
        <w:tc>
          <w:tcPr>
            <w:tcW w:w="960" w:type="dxa"/>
            <w:tcBorders>
              <w:top w:val="nil"/>
              <w:left w:val="nil"/>
              <w:bottom w:val="single" w:sz="4" w:space="0" w:color="auto"/>
              <w:right w:val="single" w:sz="4" w:space="0" w:color="auto"/>
            </w:tcBorders>
            <w:shd w:val="clear" w:color="auto" w:fill="auto"/>
            <w:noWrap/>
            <w:vAlign w:val="bottom"/>
            <w:hideMark/>
          </w:tcPr>
          <w:p w14:paraId="033B29C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170.960</w:t>
            </w:r>
          </w:p>
        </w:tc>
        <w:tc>
          <w:tcPr>
            <w:tcW w:w="960" w:type="dxa"/>
            <w:tcBorders>
              <w:top w:val="nil"/>
              <w:left w:val="nil"/>
              <w:bottom w:val="single" w:sz="4" w:space="0" w:color="auto"/>
              <w:right w:val="single" w:sz="4" w:space="0" w:color="auto"/>
            </w:tcBorders>
            <w:shd w:val="clear" w:color="auto" w:fill="auto"/>
            <w:noWrap/>
            <w:vAlign w:val="bottom"/>
            <w:hideMark/>
          </w:tcPr>
          <w:p w14:paraId="0FBD61E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176.490</w:t>
            </w:r>
          </w:p>
        </w:tc>
        <w:tc>
          <w:tcPr>
            <w:tcW w:w="960" w:type="dxa"/>
            <w:tcBorders>
              <w:top w:val="nil"/>
              <w:left w:val="nil"/>
              <w:bottom w:val="single" w:sz="4" w:space="0" w:color="auto"/>
              <w:right w:val="single" w:sz="4" w:space="0" w:color="auto"/>
            </w:tcBorders>
            <w:shd w:val="clear" w:color="auto" w:fill="auto"/>
            <w:noWrap/>
            <w:vAlign w:val="bottom"/>
            <w:hideMark/>
          </w:tcPr>
          <w:p w14:paraId="6F61826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207.245</w:t>
            </w:r>
          </w:p>
        </w:tc>
        <w:tc>
          <w:tcPr>
            <w:tcW w:w="960" w:type="dxa"/>
            <w:tcBorders>
              <w:top w:val="nil"/>
              <w:left w:val="nil"/>
              <w:bottom w:val="single" w:sz="4" w:space="0" w:color="auto"/>
              <w:right w:val="single" w:sz="4" w:space="0" w:color="auto"/>
            </w:tcBorders>
            <w:shd w:val="clear" w:color="auto" w:fill="auto"/>
            <w:noWrap/>
            <w:vAlign w:val="bottom"/>
            <w:hideMark/>
          </w:tcPr>
          <w:p w14:paraId="0AD4B61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120.529</w:t>
            </w:r>
          </w:p>
        </w:tc>
        <w:tc>
          <w:tcPr>
            <w:tcW w:w="1960" w:type="dxa"/>
            <w:tcBorders>
              <w:top w:val="nil"/>
              <w:left w:val="nil"/>
              <w:bottom w:val="nil"/>
              <w:right w:val="nil"/>
            </w:tcBorders>
            <w:shd w:val="clear" w:color="auto" w:fill="auto"/>
            <w:noWrap/>
            <w:vAlign w:val="bottom"/>
            <w:hideMark/>
          </w:tcPr>
          <w:p w14:paraId="1D59350B"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7BDD307A"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4A82F4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75</w:t>
            </w:r>
          </w:p>
        </w:tc>
        <w:tc>
          <w:tcPr>
            <w:tcW w:w="960" w:type="dxa"/>
            <w:tcBorders>
              <w:top w:val="nil"/>
              <w:left w:val="nil"/>
              <w:bottom w:val="single" w:sz="4" w:space="0" w:color="auto"/>
              <w:right w:val="single" w:sz="4" w:space="0" w:color="auto"/>
            </w:tcBorders>
            <w:shd w:val="clear" w:color="auto" w:fill="auto"/>
            <w:noWrap/>
            <w:vAlign w:val="bottom"/>
            <w:hideMark/>
          </w:tcPr>
          <w:p w14:paraId="4329B9F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216.962</w:t>
            </w:r>
          </w:p>
        </w:tc>
        <w:tc>
          <w:tcPr>
            <w:tcW w:w="960" w:type="dxa"/>
            <w:tcBorders>
              <w:top w:val="nil"/>
              <w:left w:val="nil"/>
              <w:bottom w:val="single" w:sz="4" w:space="0" w:color="auto"/>
              <w:right w:val="single" w:sz="4" w:space="0" w:color="auto"/>
            </w:tcBorders>
            <w:shd w:val="clear" w:color="auto" w:fill="auto"/>
            <w:noWrap/>
            <w:vAlign w:val="bottom"/>
            <w:hideMark/>
          </w:tcPr>
          <w:p w14:paraId="32D0120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216.375</w:t>
            </w:r>
          </w:p>
        </w:tc>
        <w:tc>
          <w:tcPr>
            <w:tcW w:w="960" w:type="dxa"/>
            <w:tcBorders>
              <w:top w:val="nil"/>
              <w:left w:val="nil"/>
              <w:bottom w:val="single" w:sz="4" w:space="0" w:color="auto"/>
              <w:right w:val="single" w:sz="4" w:space="0" w:color="auto"/>
            </w:tcBorders>
            <w:shd w:val="clear" w:color="auto" w:fill="auto"/>
            <w:noWrap/>
            <w:vAlign w:val="bottom"/>
            <w:hideMark/>
          </w:tcPr>
          <w:p w14:paraId="7350C19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160.198</w:t>
            </w:r>
          </w:p>
        </w:tc>
        <w:tc>
          <w:tcPr>
            <w:tcW w:w="960" w:type="dxa"/>
            <w:tcBorders>
              <w:top w:val="nil"/>
              <w:left w:val="nil"/>
              <w:bottom w:val="single" w:sz="4" w:space="0" w:color="auto"/>
              <w:right w:val="single" w:sz="4" w:space="0" w:color="auto"/>
            </w:tcBorders>
            <w:shd w:val="clear" w:color="auto" w:fill="auto"/>
            <w:noWrap/>
            <w:vAlign w:val="bottom"/>
            <w:hideMark/>
          </w:tcPr>
          <w:p w14:paraId="7C20251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176.869</w:t>
            </w:r>
          </w:p>
        </w:tc>
        <w:tc>
          <w:tcPr>
            <w:tcW w:w="960" w:type="dxa"/>
            <w:tcBorders>
              <w:top w:val="nil"/>
              <w:left w:val="nil"/>
              <w:bottom w:val="single" w:sz="4" w:space="0" w:color="auto"/>
              <w:right w:val="single" w:sz="4" w:space="0" w:color="auto"/>
            </w:tcBorders>
            <w:shd w:val="clear" w:color="auto" w:fill="auto"/>
            <w:noWrap/>
            <w:vAlign w:val="bottom"/>
            <w:hideMark/>
          </w:tcPr>
          <w:p w14:paraId="783B857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207.150</w:t>
            </w:r>
          </w:p>
        </w:tc>
        <w:tc>
          <w:tcPr>
            <w:tcW w:w="960" w:type="dxa"/>
            <w:tcBorders>
              <w:top w:val="nil"/>
              <w:left w:val="nil"/>
              <w:bottom w:val="single" w:sz="4" w:space="0" w:color="auto"/>
              <w:right w:val="single" w:sz="4" w:space="0" w:color="auto"/>
            </w:tcBorders>
            <w:shd w:val="clear" w:color="auto" w:fill="auto"/>
            <w:noWrap/>
            <w:vAlign w:val="bottom"/>
            <w:hideMark/>
          </w:tcPr>
          <w:p w14:paraId="1E7B592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123.806</w:t>
            </w:r>
          </w:p>
        </w:tc>
        <w:tc>
          <w:tcPr>
            <w:tcW w:w="1960" w:type="dxa"/>
            <w:tcBorders>
              <w:top w:val="nil"/>
              <w:left w:val="nil"/>
              <w:bottom w:val="nil"/>
              <w:right w:val="nil"/>
            </w:tcBorders>
            <w:shd w:val="clear" w:color="auto" w:fill="auto"/>
            <w:noWrap/>
            <w:vAlign w:val="bottom"/>
            <w:hideMark/>
          </w:tcPr>
          <w:p w14:paraId="7D17246C"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420E29AA"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F99B23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76</w:t>
            </w:r>
          </w:p>
        </w:tc>
        <w:tc>
          <w:tcPr>
            <w:tcW w:w="960" w:type="dxa"/>
            <w:tcBorders>
              <w:top w:val="nil"/>
              <w:left w:val="nil"/>
              <w:bottom w:val="single" w:sz="4" w:space="0" w:color="auto"/>
              <w:right w:val="single" w:sz="4" w:space="0" w:color="auto"/>
            </w:tcBorders>
            <w:shd w:val="clear" w:color="auto" w:fill="auto"/>
            <w:noWrap/>
            <w:vAlign w:val="bottom"/>
            <w:hideMark/>
          </w:tcPr>
          <w:p w14:paraId="7657494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214.115</w:t>
            </w:r>
          </w:p>
        </w:tc>
        <w:tc>
          <w:tcPr>
            <w:tcW w:w="960" w:type="dxa"/>
            <w:tcBorders>
              <w:top w:val="nil"/>
              <w:left w:val="nil"/>
              <w:bottom w:val="single" w:sz="4" w:space="0" w:color="auto"/>
              <w:right w:val="single" w:sz="4" w:space="0" w:color="auto"/>
            </w:tcBorders>
            <w:shd w:val="clear" w:color="auto" w:fill="auto"/>
            <w:noWrap/>
            <w:vAlign w:val="bottom"/>
            <w:hideMark/>
          </w:tcPr>
          <w:p w14:paraId="0DA37D3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214.096</w:t>
            </w:r>
          </w:p>
        </w:tc>
        <w:tc>
          <w:tcPr>
            <w:tcW w:w="960" w:type="dxa"/>
            <w:tcBorders>
              <w:top w:val="nil"/>
              <w:left w:val="nil"/>
              <w:bottom w:val="single" w:sz="4" w:space="0" w:color="auto"/>
              <w:right w:val="single" w:sz="4" w:space="0" w:color="auto"/>
            </w:tcBorders>
            <w:shd w:val="clear" w:color="auto" w:fill="auto"/>
            <w:noWrap/>
            <w:vAlign w:val="bottom"/>
            <w:hideMark/>
          </w:tcPr>
          <w:p w14:paraId="54077F0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148.342</w:t>
            </w:r>
          </w:p>
        </w:tc>
        <w:tc>
          <w:tcPr>
            <w:tcW w:w="960" w:type="dxa"/>
            <w:tcBorders>
              <w:top w:val="nil"/>
              <w:left w:val="nil"/>
              <w:bottom w:val="single" w:sz="4" w:space="0" w:color="auto"/>
              <w:right w:val="single" w:sz="4" w:space="0" w:color="auto"/>
            </w:tcBorders>
            <w:shd w:val="clear" w:color="auto" w:fill="auto"/>
            <w:noWrap/>
            <w:vAlign w:val="bottom"/>
            <w:hideMark/>
          </w:tcPr>
          <w:p w14:paraId="3EA0CD1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177.154</w:t>
            </w:r>
          </w:p>
        </w:tc>
        <w:tc>
          <w:tcPr>
            <w:tcW w:w="960" w:type="dxa"/>
            <w:tcBorders>
              <w:top w:val="nil"/>
              <w:left w:val="nil"/>
              <w:bottom w:val="single" w:sz="4" w:space="0" w:color="auto"/>
              <w:right w:val="single" w:sz="4" w:space="0" w:color="auto"/>
            </w:tcBorders>
            <w:shd w:val="clear" w:color="auto" w:fill="auto"/>
            <w:noWrap/>
            <w:vAlign w:val="bottom"/>
            <w:hideMark/>
          </w:tcPr>
          <w:p w14:paraId="39E7CE6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206.596</w:t>
            </w:r>
          </w:p>
        </w:tc>
        <w:tc>
          <w:tcPr>
            <w:tcW w:w="960" w:type="dxa"/>
            <w:tcBorders>
              <w:top w:val="nil"/>
              <w:left w:val="nil"/>
              <w:bottom w:val="single" w:sz="4" w:space="0" w:color="auto"/>
              <w:right w:val="single" w:sz="4" w:space="0" w:color="auto"/>
            </w:tcBorders>
            <w:shd w:val="clear" w:color="auto" w:fill="auto"/>
            <w:noWrap/>
            <w:vAlign w:val="bottom"/>
            <w:hideMark/>
          </w:tcPr>
          <w:p w14:paraId="0CE54AD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128.731</w:t>
            </w:r>
          </w:p>
        </w:tc>
        <w:tc>
          <w:tcPr>
            <w:tcW w:w="1960" w:type="dxa"/>
            <w:tcBorders>
              <w:top w:val="nil"/>
              <w:left w:val="nil"/>
              <w:bottom w:val="nil"/>
              <w:right w:val="nil"/>
            </w:tcBorders>
            <w:shd w:val="clear" w:color="auto" w:fill="auto"/>
            <w:noWrap/>
            <w:vAlign w:val="bottom"/>
            <w:hideMark/>
          </w:tcPr>
          <w:p w14:paraId="5374C749"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2D4ED796"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461390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77</w:t>
            </w:r>
          </w:p>
        </w:tc>
        <w:tc>
          <w:tcPr>
            <w:tcW w:w="960" w:type="dxa"/>
            <w:tcBorders>
              <w:top w:val="nil"/>
              <w:left w:val="nil"/>
              <w:bottom w:val="single" w:sz="4" w:space="0" w:color="auto"/>
              <w:right w:val="single" w:sz="4" w:space="0" w:color="auto"/>
            </w:tcBorders>
            <w:shd w:val="clear" w:color="auto" w:fill="auto"/>
            <w:noWrap/>
            <w:vAlign w:val="bottom"/>
            <w:hideMark/>
          </w:tcPr>
          <w:p w14:paraId="10D6567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210.558</w:t>
            </w:r>
          </w:p>
        </w:tc>
        <w:tc>
          <w:tcPr>
            <w:tcW w:w="960" w:type="dxa"/>
            <w:tcBorders>
              <w:top w:val="nil"/>
              <w:left w:val="nil"/>
              <w:bottom w:val="single" w:sz="4" w:space="0" w:color="auto"/>
              <w:right w:val="single" w:sz="4" w:space="0" w:color="auto"/>
            </w:tcBorders>
            <w:shd w:val="clear" w:color="auto" w:fill="auto"/>
            <w:noWrap/>
            <w:vAlign w:val="bottom"/>
            <w:hideMark/>
          </w:tcPr>
          <w:p w14:paraId="09C06D5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212.600</w:t>
            </w:r>
          </w:p>
        </w:tc>
        <w:tc>
          <w:tcPr>
            <w:tcW w:w="960" w:type="dxa"/>
            <w:tcBorders>
              <w:top w:val="nil"/>
              <w:left w:val="nil"/>
              <w:bottom w:val="single" w:sz="4" w:space="0" w:color="auto"/>
              <w:right w:val="single" w:sz="4" w:space="0" w:color="auto"/>
            </w:tcBorders>
            <w:shd w:val="clear" w:color="auto" w:fill="auto"/>
            <w:noWrap/>
            <w:vAlign w:val="bottom"/>
            <w:hideMark/>
          </w:tcPr>
          <w:p w14:paraId="362FBFC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137.023</w:t>
            </w:r>
          </w:p>
        </w:tc>
        <w:tc>
          <w:tcPr>
            <w:tcW w:w="960" w:type="dxa"/>
            <w:tcBorders>
              <w:top w:val="nil"/>
              <w:left w:val="nil"/>
              <w:bottom w:val="single" w:sz="4" w:space="0" w:color="auto"/>
              <w:right w:val="single" w:sz="4" w:space="0" w:color="auto"/>
            </w:tcBorders>
            <w:shd w:val="clear" w:color="auto" w:fill="auto"/>
            <w:noWrap/>
            <w:vAlign w:val="bottom"/>
            <w:hideMark/>
          </w:tcPr>
          <w:p w14:paraId="60DE1ED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177.827</w:t>
            </w:r>
          </w:p>
        </w:tc>
        <w:tc>
          <w:tcPr>
            <w:tcW w:w="960" w:type="dxa"/>
            <w:tcBorders>
              <w:top w:val="nil"/>
              <w:left w:val="nil"/>
              <w:bottom w:val="single" w:sz="4" w:space="0" w:color="auto"/>
              <w:right w:val="single" w:sz="4" w:space="0" w:color="auto"/>
            </w:tcBorders>
            <w:shd w:val="clear" w:color="auto" w:fill="auto"/>
            <w:noWrap/>
            <w:vAlign w:val="bottom"/>
            <w:hideMark/>
          </w:tcPr>
          <w:p w14:paraId="4451481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205.596</w:t>
            </w:r>
          </w:p>
        </w:tc>
        <w:tc>
          <w:tcPr>
            <w:tcW w:w="960" w:type="dxa"/>
            <w:tcBorders>
              <w:top w:val="nil"/>
              <w:left w:val="nil"/>
              <w:bottom w:val="single" w:sz="4" w:space="0" w:color="auto"/>
              <w:right w:val="single" w:sz="4" w:space="0" w:color="auto"/>
            </w:tcBorders>
            <w:shd w:val="clear" w:color="auto" w:fill="auto"/>
            <w:noWrap/>
            <w:vAlign w:val="bottom"/>
            <w:hideMark/>
          </w:tcPr>
          <w:p w14:paraId="7D47601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131.990</w:t>
            </w:r>
          </w:p>
        </w:tc>
        <w:tc>
          <w:tcPr>
            <w:tcW w:w="1960" w:type="dxa"/>
            <w:tcBorders>
              <w:top w:val="nil"/>
              <w:left w:val="nil"/>
              <w:bottom w:val="nil"/>
              <w:right w:val="nil"/>
            </w:tcBorders>
            <w:shd w:val="clear" w:color="auto" w:fill="auto"/>
            <w:noWrap/>
            <w:vAlign w:val="bottom"/>
            <w:hideMark/>
          </w:tcPr>
          <w:p w14:paraId="363F167F"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37B2AC80"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4B159F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78</w:t>
            </w:r>
          </w:p>
        </w:tc>
        <w:tc>
          <w:tcPr>
            <w:tcW w:w="960" w:type="dxa"/>
            <w:tcBorders>
              <w:top w:val="nil"/>
              <w:left w:val="nil"/>
              <w:bottom w:val="single" w:sz="4" w:space="0" w:color="auto"/>
              <w:right w:val="single" w:sz="4" w:space="0" w:color="auto"/>
            </w:tcBorders>
            <w:shd w:val="clear" w:color="auto" w:fill="auto"/>
            <w:noWrap/>
            <w:vAlign w:val="bottom"/>
            <w:hideMark/>
          </w:tcPr>
          <w:p w14:paraId="62D5A66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206.500</w:t>
            </w:r>
          </w:p>
        </w:tc>
        <w:tc>
          <w:tcPr>
            <w:tcW w:w="960" w:type="dxa"/>
            <w:tcBorders>
              <w:top w:val="nil"/>
              <w:left w:val="nil"/>
              <w:bottom w:val="single" w:sz="4" w:space="0" w:color="auto"/>
              <w:right w:val="single" w:sz="4" w:space="0" w:color="auto"/>
            </w:tcBorders>
            <w:shd w:val="clear" w:color="auto" w:fill="auto"/>
            <w:noWrap/>
            <w:vAlign w:val="bottom"/>
            <w:hideMark/>
          </w:tcPr>
          <w:p w14:paraId="395DD4C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211.313</w:t>
            </w:r>
          </w:p>
        </w:tc>
        <w:tc>
          <w:tcPr>
            <w:tcW w:w="960" w:type="dxa"/>
            <w:tcBorders>
              <w:top w:val="nil"/>
              <w:left w:val="nil"/>
              <w:bottom w:val="single" w:sz="4" w:space="0" w:color="auto"/>
              <w:right w:val="single" w:sz="4" w:space="0" w:color="auto"/>
            </w:tcBorders>
            <w:shd w:val="clear" w:color="auto" w:fill="auto"/>
            <w:noWrap/>
            <w:vAlign w:val="bottom"/>
            <w:hideMark/>
          </w:tcPr>
          <w:p w14:paraId="5FB8867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127.650</w:t>
            </w:r>
          </w:p>
        </w:tc>
        <w:tc>
          <w:tcPr>
            <w:tcW w:w="960" w:type="dxa"/>
            <w:tcBorders>
              <w:top w:val="nil"/>
              <w:left w:val="nil"/>
              <w:bottom w:val="single" w:sz="4" w:space="0" w:color="auto"/>
              <w:right w:val="single" w:sz="4" w:space="0" w:color="auto"/>
            </w:tcBorders>
            <w:shd w:val="clear" w:color="auto" w:fill="auto"/>
            <w:noWrap/>
            <w:vAlign w:val="bottom"/>
            <w:hideMark/>
          </w:tcPr>
          <w:p w14:paraId="450BA1E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176.563</w:t>
            </w:r>
          </w:p>
        </w:tc>
        <w:tc>
          <w:tcPr>
            <w:tcW w:w="960" w:type="dxa"/>
            <w:tcBorders>
              <w:top w:val="nil"/>
              <w:left w:val="nil"/>
              <w:bottom w:val="single" w:sz="4" w:space="0" w:color="auto"/>
              <w:right w:val="single" w:sz="4" w:space="0" w:color="auto"/>
            </w:tcBorders>
            <w:shd w:val="clear" w:color="auto" w:fill="auto"/>
            <w:noWrap/>
            <w:vAlign w:val="bottom"/>
            <w:hideMark/>
          </w:tcPr>
          <w:p w14:paraId="6A4FF65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205.063</w:t>
            </w:r>
          </w:p>
        </w:tc>
        <w:tc>
          <w:tcPr>
            <w:tcW w:w="960" w:type="dxa"/>
            <w:tcBorders>
              <w:top w:val="nil"/>
              <w:left w:val="nil"/>
              <w:bottom w:val="single" w:sz="4" w:space="0" w:color="auto"/>
              <w:right w:val="single" w:sz="4" w:space="0" w:color="auto"/>
            </w:tcBorders>
            <w:shd w:val="clear" w:color="auto" w:fill="auto"/>
            <w:noWrap/>
            <w:vAlign w:val="bottom"/>
            <w:hideMark/>
          </w:tcPr>
          <w:p w14:paraId="18AB0B8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133.562</w:t>
            </w:r>
          </w:p>
        </w:tc>
        <w:tc>
          <w:tcPr>
            <w:tcW w:w="1960" w:type="dxa"/>
            <w:tcBorders>
              <w:top w:val="nil"/>
              <w:left w:val="nil"/>
              <w:bottom w:val="nil"/>
              <w:right w:val="nil"/>
            </w:tcBorders>
            <w:shd w:val="clear" w:color="auto" w:fill="auto"/>
            <w:noWrap/>
            <w:vAlign w:val="bottom"/>
            <w:hideMark/>
          </w:tcPr>
          <w:p w14:paraId="74E6074B"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0A64AB4D"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C9085D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79</w:t>
            </w:r>
          </w:p>
        </w:tc>
        <w:tc>
          <w:tcPr>
            <w:tcW w:w="960" w:type="dxa"/>
            <w:tcBorders>
              <w:top w:val="nil"/>
              <w:left w:val="nil"/>
              <w:bottom w:val="single" w:sz="4" w:space="0" w:color="auto"/>
              <w:right w:val="single" w:sz="4" w:space="0" w:color="auto"/>
            </w:tcBorders>
            <w:shd w:val="clear" w:color="auto" w:fill="auto"/>
            <w:noWrap/>
            <w:vAlign w:val="bottom"/>
            <w:hideMark/>
          </w:tcPr>
          <w:p w14:paraId="2F6B4CB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202.641</w:t>
            </w:r>
          </w:p>
        </w:tc>
        <w:tc>
          <w:tcPr>
            <w:tcW w:w="960" w:type="dxa"/>
            <w:tcBorders>
              <w:top w:val="nil"/>
              <w:left w:val="nil"/>
              <w:bottom w:val="single" w:sz="4" w:space="0" w:color="auto"/>
              <w:right w:val="single" w:sz="4" w:space="0" w:color="auto"/>
            </w:tcBorders>
            <w:shd w:val="clear" w:color="auto" w:fill="auto"/>
            <w:noWrap/>
            <w:vAlign w:val="bottom"/>
            <w:hideMark/>
          </w:tcPr>
          <w:p w14:paraId="4269F5F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208.971</w:t>
            </w:r>
          </w:p>
        </w:tc>
        <w:tc>
          <w:tcPr>
            <w:tcW w:w="960" w:type="dxa"/>
            <w:tcBorders>
              <w:top w:val="nil"/>
              <w:left w:val="nil"/>
              <w:bottom w:val="single" w:sz="4" w:space="0" w:color="auto"/>
              <w:right w:val="single" w:sz="4" w:space="0" w:color="auto"/>
            </w:tcBorders>
            <w:shd w:val="clear" w:color="auto" w:fill="auto"/>
            <w:noWrap/>
            <w:vAlign w:val="bottom"/>
            <w:hideMark/>
          </w:tcPr>
          <w:p w14:paraId="760F0D5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122.060</w:t>
            </w:r>
          </w:p>
        </w:tc>
        <w:tc>
          <w:tcPr>
            <w:tcW w:w="960" w:type="dxa"/>
            <w:tcBorders>
              <w:top w:val="nil"/>
              <w:left w:val="nil"/>
              <w:bottom w:val="single" w:sz="4" w:space="0" w:color="auto"/>
              <w:right w:val="single" w:sz="4" w:space="0" w:color="auto"/>
            </w:tcBorders>
            <w:shd w:val="clear" w:color="auto" w:fill="auto"/>
            <w:noWrap/>
            <w:vAlign w:val="bottom"/>
            <w:hideMark/>
          </w:tcPr>
          <w:p w14:paraId="3A802E1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176.548</w:t>
            </w:r>
          </w:p>
        </w:tc>
        <w:tc>
          <w:tcPr>
            <w:tcW w:w="960" w:type="dxa"/>
            <w:tcBorders>
              <w:top w:val="nil"/>
              <w:left w:val="nil"/>
              <w:bottom w:val="single" w:sz="4" w:space="0" w:color="auto"/>
              <w:right w:val="single" w:sz="4" w:space="0" w:color="auto"/>
            </w:tcBorders>
            <w:shd w:val="clear" w:color="auto" w:fill="auto"/>
            <w:noWrap/>
            <w:vAlign w:val="bottom"/>
            <w:hideMark/>
          </w:tcPr>
          <w:p w14:paraId="627597C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204.602</w:t>
            </w:r>
          </w:p>
        </w:tc>
        <w:tc>
          <w:tcPr>
            <w:tcW w:w="960" w:type="dxa"/>
            <w:tcBorders>
              <w:top w:val="nil"/>
              <w:left w:val="nil"/>
              <w:bottom w:val="single" w:sz="4" w:space="0" w:color="auto"/>
              <w:right w:val="single" w:sz="4" w:space="0" w:color="auto"/>
            </w:tcBorders>
            <w:shd w:val="clear" w:color="auto" w:fill="auto"/>
            <w:noWrap/>
            <w:vAlign w:val="bottom"/>
            <w:hideMark/>
          </w:tcPr>
          <w:p w14:paraId="544B87B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133.512</w:t>
            </w:r>
          </w:p>
        </w:tc>
        <w:tc>
          <w:tcPr>
            <w:tcW w:w="1960" w:type="dxa"/>
            <w:tcBorders>
              <w:top w:val="nil"/>
              <w:left w:val="nil"/>
              <w:bottom w:val="nil"/>
              <w:right w:val="nil"/>
            </w:tcBorders>
            <w:shd w:val="clear" w:color="auto" w:fill="auto"/>
            <w:noWrap/>
            <w:vAlign w:val="bottom"/>
            <w:hideMark/>
          </w:tcPr>
          <w:p w14:paraId="70A1CDE5"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7347A6B2"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30C6C0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80</w:t>
            </w:r>
          </w:p>
        </w:tc>
        <w:tc>
          <w:tcPr>
            <w:tcW w:w="960" w:type="dxa"/>
            <w:tcBorders>
              <w:top w:val="nil"/>
              <w:left w:val="nil"/>
              <w:bottom w:val="single" w:sz="4" w:space="0" w:color="auto"/>
              <w:right w:val="single" w:sz="4" w:space="0" w:color="auto"/>
            </w:tcBorders>
            <w:shd w:val="clear" w:color="auto" w:fill="auto"/>
            <w:noWrap/>
            <w:vAlign w:val="bottom"/>
            <w:hideMark/>
          </w:tcPr>
          <w:p w14:paraId="1E995E8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199.385</w:t>
            </w:r>
          </w:p>
        </w:tc>
        <w:tc>
          <w:tcPr>
            <w:tcW w:w="960" w:type="dxa"/>
            <w:tcBorders>
              <w:top w:val="nil"/>
              <w:left w:val="nil"/>
              <w:bottom w:val="single" w:sz="4" w:space="0" w:color="auto"/>
              <w:right w:val="single" w:sz="4" w:space="0" w:color="auto"/>
            </w:tcBorders>
            <w:shd w:val="clear" w:color="auto" w:fill="auto"/>
            <w:noWrap/>
            <w:vAlign w:val="bottom"/>
            <w:hideMark/>
          </w:tcPr>
          <w:p w14:paraId="7CCD136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205.692</w:t>
            </w:r>
          </w:p>
        </w:tc>
        <w:tc>
          <w:tcPr>
            <w:tcW w:w="960" w:type="dxa"/>
            <w:tcBorders>
              <w:top w:val="nil"/>
              <w:left w:val="nil"/>
              <w:bottom w:val="single" w:sz="4" w:space="0" w:color="auto"/>
              <w:right w:val="single" w:sz="4" w:space="0" w:color="auto"/>
            </w:tcBorders>
            <w:shd w:val="clear" w:color="auto" w:fill="auto"/>
            <w:noWrap/>
            <w:vAlign w:val="bottom"/>
            <w:hideMark/>
          </w:tcPr>
          <w:p w14:paraId="626F0C0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119.841</w:t>
            </w:r>
          </w:p>
        </w:tc>
        <w:tc>
          <w:tcPr>
            <w:tcW w:w="960" w:type="dxa"/>
            <w:tcBorders>
              <w:top w:val="nil"/>
              <w:left w:val="nil"/>
              <w:bottom w:val="single" w:sz="4" w:space="0" w:color="auto"/>
              <w:right w:val="single" w:sz="4" w:space="0" w:color="auto"/>
            </w:tcBorders>
            <w:shd w:val="clear" w:color="auto" w:fill="auto"/>
            <w:noWrap/>
            <w:vAlign w:val="bottom"/>
            <w:hideMark/>
          </w:tcPr>
          <w:p w14:paraId="592D0A5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176.846</w:t>
            </w:r>
          </w:p>
        </w:tc>
        <w:tc>
          <w:tcPr>
            <w:tcW w:w="960" w:type="dxa"/>
            <w:tcBorders>
              <w:top w:val="nil"/>
              <w:left w:val="nil"/>
              <w:bottom w:val="single" w:sz="4" w:space="0" w:color="auto"/>
              <w:right w:val="single" w:sz="4" w:space="0" w:color="auto"/>
            </w:tcBorders>
            <w:shd w:val="clear" w:color="auto" w:fill="auto"/>
            <w:noWrap/>
            <w:vAlign w:val="bottom"/>
            <w:hideMark/>
          </w:tcPr>
          <w:p w14:paraId="2FF25C0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204.308</w:t>
            </w:r>
          </w:p>
        </w:tc>
        <w:tc>
          <w:tcPr>
            <w:tcW w:w="960" w:type="dxa"/>
            <w:tcBorders>
              <w:top w:val="nil"/>
              <w:left w:val="nil"/>
              <w:bottom w:val="single" w:sz="4" w:space="0" w:color="auto"/>
              <w:right w:val="single" w:sz="4" w:space="0" w:color="auto"/>
            </w:tcBorders>
            <w:shd w:val="clear" w:color="auto" w:fill="auto"/>
            <w:noWrap/>
            <w:vAlign w:val="bottom"/>
            <w:hideMark/>
          </w:tcPr>
          <w:p w14:paraId="7FC09F9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133.231</w:t>
            </w:r>
          </w:p>
        </w:tc>
        <w:tc>
          <w:tcPr>
            <w:tcW w:w="1960" w:type="dxa"/>
            <w:tcBorders>
              <w:top w:val="nil"/>
              <w:left w:val="nil"/>
              <w:bottom w:val="nil"/>
              <w:right w:val="nil"/>
            </w:tcBorders>
            <w:shd w:val="clear" w:color="auto" w:fill="auto"/>
            <w:noWrap/>
            <w:vAlign w:val="bottom"/>
            <w:hideMark/>
          </w:tcPr>
          <w:p w14:paraId="1BB7BFD9"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1B91D45C"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ED2E3B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81</w:t>
            </w:r>
          </w:p>
        </w:tc>
        <w:tc>
          <w:tcPr>
            <w:tcW w:w="960" w:type="dxa"/>
            <w:tcBorders>
              <w:top w:val="nil"/>
              <w:left w:val="nil"/>
              <w:bottom w:val="single" w:sz="4" w:space="0" w:color="auto"/>
              <w:right w:val="single" w:sz="4" w:space="0" w:color="auto"/>
            </w:tcBorders>
            <w:shd w:val="clear" w:color="auto" w:fill="auto"/>
            <w:noWrap/>
            <w:vAlign w:val="bottom"/>
            <w:hideMark/>
          </w:tcPr>
          <w:p w14:paraId="1B76B06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196.039</w:t>
            </w:r>
          </w:p>
        </w:tc>
        <w:tc>
          <w:tcPr>
            <w:tcW w:w="960" w:type="dxa"/>
            <w:tcBorders>
              <w:top w:val="nil"/>
              <w:left w:val="nil"/>
              <w:bottom w:val="single" w:sz="4" w:space="0" w:color="auto"/>
              <w:right w:val="single" w:sz="4" w:space="0" w:color="auto"/>
            </w:tcBorders>
            <w:shd w:val="clear" w:color="auto" w:fill="auto"/>
            <w:noWrap/>
            <w:vAlign w:val="bottom"/>
            <w:hideMark/>
          </w:tcPr>
          <w:p w14:paraId="335B5AB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202.327</w:t>
            </w:r>
          </w:p>
        </w:tc>
        <w:tc>
          <w:tcPr>
            <w:tcW w:w="960" w:type="dxa"/>
            <w:tcBorders>
              <w:top w:val="nil"/>
              <w:left w:val="nil"/>
              <w:bottom w:val="single" w:sz="4" w:space="0" w:color="auto"/>
              <w:right w:val="single" w:sz="4" w:space="0" w:color="auto"/>
            </w:tcBorders>
            <w:shd w:val="clear" w:color="auto" w:fill="auto"/>
            <w:noWrap/>
            <w:vAlign w:val="bottom"/>
            <w:hideMark/>
          </w:tcPr>
          <w:p w14:paraId="52B3971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120.439</w:t>
            </w:r>
          </w:p>
        </w:tc>
        <w:tc>
          <w:tcPr>
            <w:tcW w:w="960" w:type="dxa"/>
            <w:tcBorders>
              <w:top w:val="nil"/>
              <w:left w:val="nil"/>
              <w:bottom w:val="single" w:sz="4" w:space="0" w:color="auto"/>
              <w:right w:val="single" w:sz="4" w:space="0" w:color="auto"/>
            </w:tcBorders>
            <w:shd w:val="clear" w:color="auto" w:fill="auto"/>
            <w:noWrap/>
            <w:vAlign w:val="bottom"/>
            <w:hideMark/>
          </w:tcPr>
          <w:p w14:paraId="4EB71B5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176.400</w:t>
            </w:r>
          </w:p>
        </w:tc>
        <w:tc>
          <w:tcPr>
            <w:tcW w:w="960" w:type="dxa"/>
            <w:tcBorders>
              <w:top w:val="nil"/>
              <w:left w:val="nil"/>
              <w:bottom w:val="single" w:sz="4" w:space="0" w:color="auto"/>
              <w:right w:val="single" w:sz="4" w:space="0" w:color="auto"/>
            </w:tcBorders>
            <w:shd w:val="clear" w:color="auto" w:fill="auto"/>
            <w:noWrap/>
            <w:vAlign w:val="bottom"/>
            <w:hideMark/>
          </w:tcPr>
          <w:p w14:paraId="61A0292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203.352</w:t>
            </w:r>
          </w:p>
        </w:tc>
        <w:tc>
          <w:tcPr>
            <w:tcW w:w="960" w:type="dxa"/>
            <w:tcBorders>
              <w:top w:val="nil"/>
              <w:left w:val="nil"/>
              <w:bottom w:val="single" w:sz="4" w:space="0" w:color="auto"/>
              <w:right w:val="single" w:sz="4" w:space="0" w:color="auto"/>
            </w:tcBorders>
            <w:shd w:val="clear" w:color="auto" w:fill="auto"/>
            <w:noWrap/>
            <w:vAlign w:val="bottom"/>
            <w:hideMark/>
          </w:tcPr>
          <w:p w14:paraId="58587E0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131.260</w:t>
            </w:r>
          </w:p>
        </w:tc>
        <w:tc>
          <w:tcPr>
            <w:tcW w:w="1960" w:type="dxa"/>
            <w:tcBorders>
              <w:top w:val="nil"/>
              <w:left w:val="nil"/>
              <w:bottom w:val="nil"/>
              <w:right w:val="nil"/>
            </w:tcBorders>
            <w:shd w:val="clear" w:color="auto" w:fill="auto"/>
            <w:noWrap/>
            <w:vAlign w:val="bottom"/>
            <w:hideMark/>
          </w:tcPr>
          <w:p w14:paraId="55E70AB0"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76A1B9C6"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48C9FC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82</w:t>
            </w:r>
          </w:p>
        </w:tc>
        <w:tc>
          <w:tcPr>
            <w:tcW w:w="960" w:type="dxa"/>
            <w:tcBorders>
              <w:top w:val="nil"/>
              <w:left w:val="nil"/>
              <w:bottom w:val="single" w:sz="4" w:space="0" w:color="auto"/>
              <w:right w:val="single" w:sz="4" w:space="0" w:color="auto"/>
            </w:tcBorders>
            <w:shd w:val="clear" w:color="auto" w:fill="auto"/>
            <w:noWrap/>
            <w:vAlign w:val="bottom"/>
            <w:hideMark/>
          </w:tcPr>
          <w:p w14:paraId="61DA13F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193.385</w:t>
            </w:r>
          </w:p>
        </w:tc>
        <w:tc>
          <w:tcPr>
            <w:tcW w:w="960" w:type="dxa"/>
            <w:tcBorders>
              <w:top w:val="nil"/>
              <w:left w:val="nil"/>
              <w:bottom w:val="single" w:sz="4" w:space="0" w:color="auto"/>
              <w:right w:val="single" w:sz="4" w:space="0" w:color="auto"/>
            </w:tcBorders>
            <w:shd w:val="clear" w:color="auto" w:fill="auto"/>
            <w:noWrap/>
            <w:vAlign w:val="bottom"/>
            <w:hideMark/>
          </w:tcPr>
          <w:p w14:paraId="063BFA6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198.269</w:t>
            </w:r>
          </w:p>
        </w:tc>
        <w:tc>
          <w:tcPr>
            <w:tcW w:w="960" w:type="dxa"/>
            <w:tcBorders>
              <w:top w:val="nil"/>
              <w:left w:val="nil"/>
              <w:bottom w:val="single" w:sz="4" w:space="0" w:color="auto"/>
              <w:right w:val="single" w:sz="4" w:space="0" w:color="auto"/>
            </w:tcBorders>
            <w:shd w:val="clear" w:color="auto" w:fill="auto"/>
            <w:noWrap/>
            <w:vAlign w:val="bottom"/>
            <w:hideMark/>
          </w:tcPr>
          <w:p w14:paraId="460283A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122.497</w:t>
            </w:r>
          </w:p>
        </w:tc>
        <w:tc>
          <w:tcPr>
            <w:tcW w:w="960" w:type="dxa"/>
            <w:tcBorders>
              <w:top w:val="nil"/>
              <w:left w:val="nil"/>
              <w:bottom w:val="single" w:sz="4" w:space="0" w:color="auto"/>
              <w:right w:val="single" w:sz="4" w:space="0" w:color="auto"/>
            </w:tcBorders>
            <w:shd w:val="clear" w:color="auto" w:fill="auto"/>
            <w:noWrap/>
            <w:vAlign w:val="bottom"/>
            <w:hideMark/>
          </w:tcPr>
          <w:p w14:paraId="6980B07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175.577</w:t>
            </w:r>
          </w:p>
        </w:tc>
        <w:tc>
          <w:tcPr>
            <w:tcW w:w="960" w:type="dxa"/>
            <w:tcBorders>
              <w:top w:val="nil"/>
              <w:left w:val="nil"/>
              <w:bottom w:val="single" w:sz="4" w:space="0" w:color="auto"/>
              <w:right w:val="single" w:sz="4" w:space="0" w:color="auto"/>
            </w:tcBorders>
            <w:shd w:val="clear" w:color="auto" w:fill="auto"/>
            <w:noWrap/>
            <w:vAlign w:val="bottom"/>
            <w:hideMark/>
          </w:tcPr>
          <w:p w14:paraId="08FFDF6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203.664</w:t>
            </w:r>
          </w:p>
        </w:tc>
        <w:tc>
          <w:tcPr>
            <w:tcW w:w="960" w:type="dxa"/>
            <w:tcBorders>
              <w:top w:val="nil"/>
              <w:left w:val="nil"/>
              <w:bottom w:val="single" w:sz="4" w:space="0" w:color="auto"/>
              <w:right w:val="single" w:sz="4" w:space="0" w:color="auto"/>
            </w:tcBorders>
            <w:shd w:val="clear" w:color="auto" w:fill="auto"/>
            <w:noWrap/>
            <w:vAlign w:val="bottom"/>
            <w:hideMark/>
          </w:tcPr>
          <w:p w14:paraId="5B29BE5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128.812</w:t>
            </w:r>
          </w:p>
        </w:tc>
        <w:tc>
          <w:tcPr>
            <w:tcW w:w="1960" w:type="dxa"/>
            <w:tcBorders>
              <w:top w:val="nil"/>
              <w:left w:val="nil"/>
              <w:bottom w:val="nil"/>
              <w:right w:val="nil"/>
            </w:tcBorders>
            <w:shd w:val="clear" w:color="auto" w:fill="auto"/>
            <w:noWrap/>
            <w:vAlign w:val="bottom"/>
            <w:hideMark/>
          </w:tcPr>
          <w:p w14:paraId="6B780697"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518C12C7"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560E8E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83</w:t>
            </w:r>
          </w:p>
        </w:tc>
        <w:tc>
          <w:tcPr>
            <w:tcW w:w="960" w:type="dxa"/>
            <w:tcBorders>
              <w:top w:val="nil"/>
              <w:left w:val="nil"/>
              <w:bottom w:val="single" w:sz="4" w:space="0" w:color="auto"/>
              <w:right w:val="single" w:sz="4" w:space="0" w:color="auto"/>
            </w:tcBorders>
            <w:shd w:val="clear" w:color="auto" w:fill="auto"/>
            <w:noWrap/>
            <w:vAlign w:val="bottom"/>
            <w:hideMark/>
          </w:tcPr>
          <w:p w14:paraId="61D499A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190.167</w:t>
            </w:r>
          </w:p>
        </w:tc>
        <w:tc>
          <w:tcPr>
            <w:tcW w:w="960" w:type="dxa"/>
            <w:tcBorders>
              <w:top w:val="nil"/>
              <w:left w:val="nil"/>
              <w:bottom w:val="single" w:sz="4" w:space="0" w:color="auto"/>
              <w:right w:val="single" w:sz="4" w:space="0" w:color="auto"/>
            </w:tcBorders>
            <w:shd w:val="clear" w:color="auto" w:fill="auto"/>
            <w:noWrap/>
            <w:vAlign w:val="bottom"/>
            <w:hideMark/>
          </w:tcPr>
          <w:p w14:paraId="34174F1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194.856</w:t>
            </w:r>
          </w:p>
        </w:tc>
        <w:tc>
          <w:tcPr>
            <w:tcW w:w="960" w:type="dxa"/>
            <w:tcBorders>
              <w:top w:val="nil"/>
              <w:left w:val="nil"/>
              <w:bottom w:val="single" w:sz="4" w:space="0" w:color="auto"/>
              <w:right w:val="single" w:sz="4" w:space="0" w:color="auto"/>
            </w:tcBorders>
            <w:shd w:val="clear" w:color="auto" w:fill="auto"/>
            <w:noWrap/>
            <w:vAlign w:val="bottom"/>
            <w:hideMark/>
          </w:tcPr>
          <w:p w14:paraId="7D41303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126.802</w:t>
            </w:r>
          </w:p>
        </w:tc>
        <w:tc>
          <w:tcPr>
            <w:tcW w:w="960" w:type="dxa"/>
            <w:tcBorders>
              <w:top w:val="nil"/>
              <w:left w:val="nil"/>
              <w:bottom w:val="single" w:sz="4" w:space="0" w:color="auto"/>
              <w:right w:val="single" w:sz="4" w:space="0" w:color="auto"/>
            </w:tcBorders>
            <w:shd w:val="clear" w:color="auto" w:fill="auto"/>
            <w:noWrap/>
            <w:vAlign w:val="bottom"/>
            <w:hideMark/>
          </w:tcPr>
          <w:p w14:paraId="48E4980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175.660</w:t>
            </w:r>
          </w:p>
        </w:tc>
        <w:tc>
          <w:tcPr>
            <w:tcW w:w="960" w:type="dxa"/>
            <w:tcBorders>
              <w:top w:val="nil"/>
              <w:left w:val="nil"/>
              <w:bottom w:val="single" w:sz="4" w:space="0" w:color="auto"/>
              <w:right w:val="single" w:sz="4" w:space="0" w:color="auto"/>
            </w:tcBorders>
            <w:shd w:val="clear" w:color="auto" w:fill="auto"/>
            <w:noWrap/>
            <w:vAlign w:val="bottom"/>
            <w:hideMark/>
          </w:tcPr>
          <w:p w14:paraId="04A95F2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202.708</w:t>
            </w:r>
          </w:p>
        </w:tc>
        <w:tc>
          <w:tcPr>
            <w:tcW w:w="960" w:type="dxa"/>
            <w:tcBorders>
              <w:top w:val="nil"/>
              <w:left w:val="nil"/>
              <w:bottom w:val="single" w:sz="4" w:space="0" w:color="auto"/>
              <w:right w:val="single" w:sz="4" w:space="0" w:color="auto"/>
            </w:tcBorders>
            <w:shd w:val="clear" w:color="auto" w:fill="auto"/>
            <w:noWrap/>
            <w:vAlign w:val="bottom"/>
            <w:hideMark/>
          </w:tcPr>
          <w:p w14:paraId="70B2F78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128.016</w:t>
            </w:r>
          </w:p>
        </w:tc>
        <w:tc>
          <w:tcPr>
            <w:tcW w:w="1960" w:type="dxa"/>
            <w:tcBorders>
              <w:top w:val="nil"/>
              <w:left w:val="nil"/>
              <w:bottom w:val="nil"/>
              <w:right w:val="nil"/>
            </w:tcBorders>
            <w:shd w:val="clear" w:color="auto" w:fill="auto"/>
            <w:noWrap/>
            <w:vAlign w:val="bottom"/>
            <w:hideMark/>
          </w:tcPr>
          <w:p w14:paraId="1CCF235B"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208D9BE4"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5B9496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84</w:t>
            </w:r>
          </w:p>
        </w:tc>
        <w:tc>
          <w:tcPr>
            <w:tcW w:w="960" w:type="dxa"/>
            <w:tcBorders>
              <w:top w:val="nil"/>
              <w:left w:val="nil"/>
              <w:bottom w:val="single" w:sz="4" w:space="0" w:color="auto"/>
              <w:right w:val="single" w:sz="4" w:space="0" w:color="auto"/>
            </w:tcBorders>
            <w:shd w:val="clear" w:color="auto" w:fill="auto"/>
            <w:noWrap/>
            <w:vAlign w:val="bottom"/>
            <w:hideMark/>
          </w:tcPr>
          <w:p w14:paraId="304146C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188.289</w:t>
            </w:r>
          </w:p>
        </w:tc>
        <w:tc>
          <w:tcPr>
            <w:tcW w:w="960" w:type="dxa"/>
            <w:tcBorders>
              <w:top w:val="nil"/>
              <w:left w:val="nil"/>
              <w:bottom w:val="single" w:sz="4" w:space="0" w:color="auto"/>
              <w:right w:val="single" w:sz="4" w:space="0" w:color="auto"/>
            </w:tcBorders>
            <w:shd w:val="clear" w:color="auto" w:fill="auto"/>
            <w:noWrap/>
            <w:vAlign w:val="bottom"/>
            <w:hideMark/>
          </w:tcPr>
          <w:p w14:paraId="5345757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192.789</w:t>
            </w:r>
          </w:p>
        </w:tc>
        <w:tc>
          <w:tcPr>
            <w:tcW w:w="960" w:type="dxa"/>
            <w:tcBorders>
              <w:top w:val="nil"/>
              <w:left w:val="nil"/>
              <w:bottom w:val="single" w:sz="4" w:space="0" w:color="auto"/>
              <w:right w:val="single" w:sz="4" w:space="0" w:color="auto"/>
            </w:tcBorders>
            <w:shd w:val="clear" w:color="auto" w:fill="auto"/>
            <w:noWrap/>
            <w:vAlign w:val="bottom"/>
            <w:hideMark/>
          </w:tcPr>
          <w:p w14:paraId="2AB85E6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132.380</w:t>
            </w:r>
          </w:p>
        </w:tc>
        <w:tc>
          <w:tcPr>
            <w:tcW w:w="960" w:type="dxa"/>
            <w:tcBorders>
              <w:top w:val="nil"/>
              <w:left w:val="nil"/>
              <w:bottom w:val="single" w:sz="4" w:space="0" w:color="auto"/>
              <w:right w:val="single" w:sz="4" w:space="0" w:color="auto"/>
            </w:tcBorders>
            <w:shd w:val="clear" w:color="auto" w:fill="auto"/>
            <w:noWrap/>
            <w:vAlign w:val="bottom"/>
            <w:hideMark/>
          </w:tcPr>
          <w:p w14:paraId="7E09644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175.404</w:t>
            </w:r>
          </w:p>
        </w:tc>
        <w:tc>
          <w:tcPr>
            <w:tcW w:w="960" w:type="dxa"/>
            <w:tcBorders>
              <w:top w:val="nil"/>
              <w:left w:val="nil"/>
              <w:bottom w:val="single" w:sz="4" w:space="0" w:color="auto"/>
              <w:right w:val="single" w:sz="4" w:space="0" w:color="auto"/>
            </w:tcBorders>
            <w:shd w:val="clear" w:color="auto" w:fill="auto"/>
            <w:noWrap/>
            <w:vAlign w:val="bottom"/>
            <w:hideMark/>
          </w:tcPr>
          <w:p w14:paraId="4959357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201.500</w:t>
            </w:r>
          </w:p>
        </w:tc>
        <w:tc>
          <w:tcPr>
            <w:tcW w:w="960" w:type="dxa"/>
            <w:tcBorders>
              <w:top w:val="nil"/>
              <w:left w:val="nil"/>
              <w:bottom w:val="single" w:sz="4" w:space="0" w:color="auto"/>
              <w:right w:val="single" w:sz="4" w:space="0" w:color="auto"/>
            </w:tcBorders>
            <w:shd w:val="clear" w:color="auto" w:fill="auto"/>
            <w:noWrap/>
            <w:vAlign w:val="bottom"/>
            <w:hideMark/>
          </w:tcPr>
          <w:p w14:paraId="7E63D95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125.769</w:t>
            </w:r>
          </w:p>
        </w:tc>
        <w:tc>
          <w:tcPr>
            <w:tcW w:w="1960" w:type="dxa"/>
            <w:tcBorders>
              <w:top w:val="nil"/>
              <w:left w:val="nil"/>
              <w:bottom w:val="nil"/>
              <w:right w:val="nil"/>
            </w:tcBorders>
            <w:shd w:val="clear" w:color="auto" w:fill="auto"/>
            <w:noWrap/>
            <w:vAlign w:val="bottom"/>
            <w:hideMark/>
          </w:tcPr>
          <w:p w14:paraId="5795954D"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5A8A70D1"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3A2496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85</w:t>
            </w:r>
          </w:p>
        </w:tc>
        <w:tc>
          <w:tcPr>
            <w:tcW w:w="960" w:type="dxa"/>
            <w:tcBorders>
              <w:top w:val="nil"/>
              <w:left w:val="nil"/>
              <w:bottom w:val="single" w:sz="4" w:space="0" w:color="auto"/>
              <w:right w:val="single" w:sz="4" w:space="0" w:color="auto"/>
            </w:tcBorders>
            <w:shd w:val="clear" w:color="auto" w:fill="auto"/>
            <w:noWrap/>
            <w:vAlign w:val="bottom"/>
            <w:hideMark/>
          </w:tcPr>
          <w:p w14:paraId="33E6CA8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187.052</w:t>
            </w:r>
          </w:p>
        </w:tc>
        <w:tc>
          <w:tcPr>
            <w:tcW w:w="960" w:type="dxa"/>
            <w:tcBorders>
              <w:top w:val="nil"/>
              <w:left w:val="nil"/>
              <w:bottom w:val="single" w:sz="4" w:space="0" w:color="auto"/>
              <w:right w:val="single" w:sz="4" w:space="0" w:color="auto"/>
            </w:tcBorders>
            <w:shd w:val="clear" w:color="auto" w:fill="auto"/>
            <w:noWrap/>
            <w:vAlign w:val="bottom"/>
            <w:hideMark/>
          </w:tcPr>
          <w:p w14:paraId="37F3D23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191.353</w:t>
            </w:r>
          </w:p>
        </w:tc>
        <w:tc>
          <w:tcPr>
            <w:tcW w:w="960" w:type="dxa"/>
            <w:tcBorders>
              <w:top w:val="nil"/>
              <w:left w:val="nil"/>
              <w:bottom w:val="single" w:sz="4" w:space="0" w:color="auto"/>
              <w:right w:val="single" w:sz="4" w:space="0" w:color="auto"/>
            </w:tcBorders>
            <w:shd w:val="clear" w:color="auto" w:fill="auto"/>
            <w:noWrap/>
            <w:vAlign w:val="bottom"/>
            <w:hideMark/>
          </w:tcPr>
          <w:p w14:paraId="1FD36A0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137.369</w:t>
            </w:r>
          </w:p>
        </w:tc>
        <w:tc>
          <w:tcPr>
            <w:tcW w:w="960" w:type="dxa"/>
            <w:tcBorders>
              <w:top w:val="nil"/>
              <w:left w:val="nil"/>
              <w:bottom w:val="single" w:sz="4" w:space="0" w:color="auto"/>
              <w:right w:val="single" w:sz="4" w:space="0" w:color="auto"/>
            </w:tcBorders>
            <w:shd w:val="clear" w:color="auto" w:fill="auto"/>
            <w:noWrap/>
            <w:vAlign w:val="bottom"/>
            <w:hideMark/>
          </w:tcPr>
          <w:p w14:paraId="0C9792A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174.234</w:t>
            </w:r>
          </w:p>
        </w:tc>
        <w:tc>
          <w:tcPr>
            <w:tcW w:w="960" w:type="dxa"/>
            <w:tcBorders>
              <w:top w:val="nil"/>
              <w:left w:val="nil"/>
              <w:bottom w:val="single" w:sz="4" w:space="0" w:color="auto"/>
              <w:right w:val="single" w:sz="4" w:space="0" w:color="auto"/>
            </w:tcBorders>
            <w:shd w:val="clear" w:color="auto" w:fill="auto"/>
            <w:noWrap/>
            <w:vAlign w:val="bottom"/>
            <w:hideMark/>
          </w:tcPr>
          <w:p w14:paraId="2DE1805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199.228</w:t>
            </w:r>
          </w:p>
        </w:tc>
        <w:tc>
          <w:tcPr>
            <w:tcW w:w="960" w:type="dxa"/>
            <w:tcBorders>
              <w:top w:val="nil"/>
              <w:left w:val="nil"/>
              <w:bottom w:val="single" w:sz="4" w:space="0" w:color="auto"/>
              <w:right w:val="single" w:sz="4" w:space="0" w:color="auto"/>
            </w:tcBorders>
            <w:shd w:val="clear" w:color="auto" w:fill="auto"/>
            <w:noWrap/>
            <w:vAlign w:val="bottom"/>
            <w:hideMark/>
          </w:tcPr>
          <w:p w14:paraId="3F05262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123.481</w:t>
            </w:r>
          </w:p>
        </w:tc>
        <w:tc>
          <w:tcPr>
            <w:tcW w:w="1960" w:type="dxa"/>
            <w:tcBorders>
              <w:top w:val="nil"/>
              <w:left w:val="nil"/>
              <w:bottom w:val="nil"/>
              <w:right w:val="nil"/>
            </w:tcBorders>
            <w:shd w:val="clear" w:color="auto" w:fill="auto"/>
            <w:noWrap/>
            <w:vAlign w:val="bottom"/>
            <w:hideMark/>
          </w:tcPr>
          <w:p w14:paraId="439587E0"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074ED3B6"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C16F6F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86</w:t>
            </w:r>
          </w:p>
        </w:tc>
        <w:tc>
          <w:tcPr>
            <w:tcW w:w="960" w:type="dxa"/>
            <w:tcBorders>
              <w:top w:val="nil"/>
              <w:left w:val="nil"/>
              <w:bottom w:val="single" w:sz="4" w:space="0" w:color="auto"/>
              <w:right w:val="single" w:sz="4" w:space="0" w:color="auto"/>
            </w:tcBorders>
            <w:shd w:val="clear" w:color="auto" w:fill="auto"/>
            <w:noWrap/>
            <w:vAlign w:val="bottom"/>
            <w:hideMark/>
          </w:tcPr>
          <w:p w14:paraId="680D30E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186.495</w:t>
            </w:r>
          </w:p>
        </w:tc>
        <w:tc>
          <w:tcPr>
            <w:tcW w:w="960" w:type="dxa"/>
            <w:tcBorders>
              <w:top w:val="nil"/>
              <w:left w:val="nil"/>
              <w:bottom w:val="single" w:sz="4" w:space="0" w:color="auto"/>
              <w:right w:val="single" w:sz="4" w:space="0" w:color="auto"/>
            </w:tcBorders>
            <w:shd w:val="clear" w:color="auto" w:fill="auto"/>
            <w:noWrap/>
            <w:vAlign w:val="bottom"/>
            <w:hideMark/>
          </w:tcPr>
          <w:p w14:paraId="5D1AF41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191.490</w:t>
            </w:r>
          </w:p>
        </w:tc>
        <w:tc>
          <w:tcPr>
            <w:tcW w:w="960" w:type="dxa"/>
            <w:tcBorders>
              <w:top w:val="nil"/>
              <w:left w:val="nil"/>
              <w:bottom w:val="single" w:sz="4" w:space="0" w:color="auto"/>
              <w:right w:val="single" w:sz="4" w:space="0" w:color="auto"/>
            </w:tcBorders>
            <w:shd w:val="clear" w:color="auto" w:fill="auto"/>
            <w:noWrap/>
            <w:vAlign w:val="bottom"/>
            <w:hideMark/>
          </w:tcPr>
          <w:p w14:paraId="6E12600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140.429</w:t>
            </w:r>
          </w:p>
        </w:tc>
        <w:tc>
          <w:tcPr>
            <w:tcW w:w="960" w:type="dxa"/>
            <w:tcBorders>
              <w:top w:val="nil"/>
              <w:left w:val="nil"/>
              <w:bottom w:val="single" w:sz="4" w:space="0" w:color="auto"/>
              <w:right w:val="single" w:sz="4" w:space="0" w:color="auto"/>
            </w:tcBorders>
            <w:shd w:val="clear" w:color="auto" w:fill="auto"/>
            <w:noWrap/>
            <w:vAlign w:val="bottom"/>
            <w:hideMark/>
          </w:tcPr>
          <w:p w14:paraId="51FAF8A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173.668</w:t>
            </w:r>
          </w:p>
        </w:tc>
        <w:tc>
          <w:tcPr>
            <w:tcW w:w="960" w:type="dxa"/>
            <w:tcBorders>
              <w:top w:val="nil"/>
              <w:left w:val="nil"/>
              <w:bottom w:val="single" w:sz="4" w:space="0" w:color="auto"/>
              <w:right w:val="single" w:sz="4" w:space="0" w:color="auto"/>
            </w:tcBorders>
            <w:shd w:val="clear" w:color="auto" w:fill="auto"/>
            <w:noWrap/>
            <w:vAlign w:val="bottom"/>
            <w:hideMark/>
          </w:tcPr>
          <w:p w14:paraId="242238A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198.740</w:t>
            </w:r>
          </w:p>
        </w:tc>
        <w:tc>
          <w:tcPr>
            <w:tcW w:w="960" w:type="dxa"/>
            <w:tcBorders>
              <w:top w:val="nil"/>
              <w:left w:val="nil"/>
              <w:bottom w:val="single" w:sz="4" w:space="0" w:color="auto"/>
              <w:right w:val="single" w:sz="4" w:space="0" w:color="auto"/>
            </w:tcBorders>
            <w:shd w:val="clear" w:color="auto" w:fill="auto"/>
            <w:noWrap/>
            <w:vAlign w:val="bottom"/>
            <w:hideMark/>
          </w:tcPr>
          <w:p w14:paraId="4FE3F63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120.192</w:t>
            </w:r>
          </w:p>
        </w:tc>
        <w:tc>
          <w:tcPr>
            <w:tcW w:w="1960" w:type="dxa"/>
            <w:tcBorders>
              <w:top w:val="nil"/>
              <w:left w:val="nil"/>
              <w:bottom w:val="nil"/>
              <w:right w:val="nil"/>
            </w:tcBorders>
            <w:shd w:val="clear" w:color="auto" w:fill="auto"/>
            <w:noWrap/>
            <w:vAlign w:val="bottom"/>
            <w:hideMark/>
          </w:tcPr>
          <w:p w14:paraId="7768B759"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3AB9868A"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61CA2B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87</w:t>
            </w:r>
          </w:p>
        </w:tc>
        <w:tc>
          <w:tcPr>
            <w:tcW w:w="960" w:type="dxa"/>
            <w:tcBorders>
              <w:top w:val="nil"/>
              <w:left w:val="nil"/>
              <w:bottom w:val="single" w:sz="4" w:space="0" w:color="auto"/>
              <w:right w:val="single" w:sz="4" w:space="0" w:color="auto"/>
            </w:tcBorders>
            <w:shd w:val="clear" w:color="auto" w:fill="auto"/>
            <w:noWrap/>
            <w:vAlign w:val="bottom"/>
            <w:hideMark/>
          </w:tcPr>
          <w:p w14:paraId="439A354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185.625</w:t>
            </w:r>
          </w:p>
        </w:tc>
        <w:tc>
          <w:tcPr>
            <w:tcW w:w="960" w:type="dxa"/>
            <w:tcBorders>
              <w:top w:val="nil"/>
              <w:left w:val="nil"/>
              <w:bottom w:val="single" w:sz="4" w:space="0" w:color="auto"/>
              <w:right w:val="single" w:sz="4" w:space="0" w:color="auto"/>
            </w:tcBorders>
            <w:shd w:val="clear" w:color="auto" w:fill="auto"/>
            <w:noWrap/>
            <w:vAlign w:val="bottom"/>
            <w:hideMark/>
          </w:tcPr>
          <w:p w14:paraId="0DFA714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191.950</w:t>
            </w:r>
          </w:p>
        </w:tc>
        <w:tc>
          <w:tcPr>
            <w:tcW w:w="960" w:type="dxa"/>
            <w:tcBorders>
              <w:top w:val="nil"/>
              <w:left w:val="nil"/>
              <w:bottom w:val="single" w:sz="4" w:space="0" w:color="auto"/>
              <w:right w:val="single" w:sz="4" w:space="0" w:color="auto"/>
            </w:tcBorders>
            <w:shd w:val="clear" w:color="auto" w:fill="auto"/>
            <w:noWrap/>
            <w:vAlign w:val="bottom"/>
            <w:hideMark/>
          </w:tcPr>
          <w:p w14:paraId="5BD9A3F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142.276</w:t>
            </w:r>
          </w:p>
        </w:tc>
        <w:tc>
          <w:tcPr>
            <w:tcW w:w="960" w:type="dxa"/>
            <w:tcBorders>
              <w:top w:val="nil"/>
              <w:left w:val="nil"/>
              <w:bottom w:val="single" w:sz="4" w:space="0" w:color="auto"/>
              <w:right w:val="single" w:sz="4" w:space="0" w:color="auto"/>
            </w:tcBorders>
            <w:shd w:val="clear" w:color="auto" w:fill="auto"/>
            <w:noWrap/>
            <w:vAlign w:val="bottom"/>
            <w:hideMark/>
          </w:tcPr>
          <w:p w14:paraId="4774F4E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172.404</w:t>
            </w:r>
          </w:p>
        </w:tc>
        <w:tc>
          <w:tcPr>
            <w:tcW w:w="960" w:type="dxa"/>
            <w:tcBorders>
              <w:top w:val="nil"/>
              <w:left w:val="nil"/>
              <w:bottom w:val="single" w:sz="4" w:space="0" w:color="auto"/>
              <w:right w:val="single" w:sz="4" w:space="0" w:color="auto"/>
            </w:tcBorders>
            <w:shd w:val="clear" w:color="auto" w:fill="auto"/>
            <w:noWrap/>
            <w:vAlign w:val="bottom"/>
            <w:hideMark/>
          </w:tcPr>
          <w:p w14:paraId="6CE4338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197.260</w:t>
            </w:r>
          </w:p>
        </w:tc>
        <w:tc>
          <w:tcPr>
            <w:tcW w:w="960" w:type="dxa"/>
            <w:tcBorders>
              <w:top w:val="nil"/>
              <w:left w:val="nil"/>
              <w:bottom w:val="single" w:sz="4" w:space="0" w:color="auto"/>
              <w:right w:val="single" w:sz="4" w:space="0" w:color="auto"/>
            </w:tcBorders>
            <w:shd w:val="clear" w:color="auto" w:fill="auto"/>
            <w:noWrap/>
            <w:vAlign w:val="bottom"/>
            <w:hideMark/>
          </w:tcPr>
          <w:p w14:paraId="0998EA2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115.100</w:t>
            </w:r>
          </w:p>
        </w:tc>
        <w:tc>
          <w:tcPr>
            <w:tcW w:w="1960" w:type="dxa"/>
            <w:tcBorders>
              <w:top w:val="nil"/>
              <w:left w:val="nil"/>
              <w:bottom w:val="nil"/>
              <w:right w:val="nil"/>
            </w:tcBorders>
            <w:shd w:val="clear" w:color="auto" w:fill="auto"/>
            <w:noWrap/>
            <w:vAlign w:val="bottom"/>
            <w:hideMark/>
          </w:tcPr>
          <w:p w14:paraId="4A5BB19C"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1949285F"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A6B1FF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88</w:t>
            </w:r>
          </w:p>
        </w:tc>
        <w:tc>
          <w:tcPr>
            <w:tcW w:w="960" w:type="dxa"/>
            <w:tcBorders>
              <w:top w:val="nil"/>
              <w:left w:val="nil"/>
              <w:bottom w:val="single" w:sz="4" w:space="0" w:color="auto"/>
              <w:right w:val="single" w:sz="4" w:space="0" w:color="auto"/>
            </w:tcBorders>
            <w:shd w:val="clear" w:color="auto" w:fill="auto"/>
            <w:noWrap/>
            <w:vAlign w:val="bottom"/>
            <w:hideMark/>
          </w:tcPr>
          <w:p w14:paraId="7AB5492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185.000</w:t>
            </w:r>
          </w:p>
        </w:tc>
        <w:tc>
          <w:tcPr>
            <w:tcW w:w="960" w:type="dxa"/>
            <w:tcBorders>
              <w:top w:val="nil"/>
              <w:left w:val="nil"/>
              <w:bottom w:val="single" w:sz="4" w:space="0" w:color="auto"/>
              <w:right w:val="single" w:sz="4" w:space="0" w:color="auto"/>
            </w:tcBorders>
            <w:shd w:val="clear" w:color="auto" w:fill="auto"/>
            <w:noWrap/>
            <w:vAlign w:val="bottom"/>
            <w:hideMark/>
          </w:tcPr>
          <w:p w14:paraId="17C4268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192.077</w:t>
            </w:r>
          </w:p>
        </w:tc>
        <w:tc>
          <w:tcPr>
            <w:tcW w:w="960" w:type="dxa"/>
            <w:tcBorders>
              <w:top w:val="nil"/>
              <w:left w:val="nil"/>
              <w:bottom w:val="single" w:sz="4" w:space="0" w:color="auto"/>
              <w:right w:val="single" w:sz="4" w:space="0" w:color="auto"/>
            </w:tcBorders>
            <w:shd w:val="clear" w:color="auto" w:fill="auto"/>
            <w:noWrap/>
            <w:vAlign w:val="bottom"/>
            <w:hideMark/>
          </w:tcPr>
          <w:p w14:paraId="5B06B5E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144.648</w:t>
            </w:r>
          </w:p>
        </w:tc>
        <w:tc>
          <w:tcPr>
            <w:tcW w:w="960" w:type="dxa"/>
            <w:tcBorders>
              <w:top w:val="nil"/>
              <w:left w:val="nil"/>
              <w:bottom w:val="single" w:sz="4" w:space="0" w:color="auto"/>
              <w:right w:val="single" w:sz="4" w:space="0" w:color="auto"/>
            </w:tcBorders>
            <w:shd w:val="clear" w:color="auto" w:fill="auto"/>
            <w:noWrap/>
            <w:vAlign w:val="bottom"/>
            <w:hideMark/>
          </w:tcPr>
          <w:p w14:paraId="2B7E175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171.077</w:t>
            </w:r>
          </w:p>
        </w:tc>
        <w:tc>
          <w:tcPr>
            <w:tcW w:w="960" w:type="dxa"/>
            <w:tcBorders>
              <w:top w:val="nil"/>
              <w:left w:val="nil"/>
              <w:bottom w:val="single" w:sz="4" w:space="0" w:color="auto"/>
              <w:right w:val="single" w:sz="4" w:space="0" w:color="auto"/>
            </w:tcBorders>
            <w:shd w:val="clear" w:color="auto" w:fill="auto"/>
            <w:noWrap/>
            <w:vAlign w:val="bottom"/>
            <w:hideMark/>
          </w:tcPr>
          <w:p w14:paraId="1F535BE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196.077</w:t>
            </w:r>
          </w:p>
        </w:tc>
        <w:tc>
          <w:tcPr>
            <w:tcW w:w="960" w:type="dxa"/>
            <w:tcBorders>
              <w:top w:val="nil"/>
              <w:left w:val="nil"/>
              <w:bottom w:val="single" w:sz="4" w:space="0" w:color="auto"/>
              <w:right w:val="single" w:sz="4" w:space="0" w:color="auto"/>
            </w:tcBorders>
            <w:shd w:val="clear" w:color="auto" w:fill="auto"/>
            <w:noWrap/>
            <w:vAlign w:val="bottom"/>
            <w:hideMark/>
          </w:tcPr>
          <w:p w14:paraId="5BFA405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109.000</w:t>
            </w:r>
          </w:p>
        </w:tc>
        <w:tc>
          <w:tcPr>
            <w:tcW w:w="1960" w:type="dxa"/>
            <w:tcBorders>
              <w:top w:val="nil"/>
              <w:left w:val="nil"/>
              <w:bottom w:val="nil"/>
              <w:right w:val="nil"/>
            </w:tcBorders>
            <w:shd w:val="clear" w:color="auto" w:fill="auto"/>
            <w:noWrap/>
            <w:vAlign w:val="bottom"/>
            <w:hideMark/>
          </w:tcPr>
          <w:p w14:paraId="2A83B1CF"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41DAA244"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69E73A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89</w:t>
            </w:r>
          </w:p>
        </w:tc>
        <w:tc>
          <w:tcPr>
            <w:tcW w:w="960" w:type="dxa"/>
            <w:tcBorders>
              <w:top w:val="nil"/>
              <w:left w:val="nil"/>
              <w:bottom w:val="single" w:sz="4" w:space="0" w:color="auto"/>
              <w:right w:val="single" w:sz="4" w:space="0" w:color="auto"/>
            </w:tcBorders>
            <w:shd w:val="clear" w:color="auto" w:fill="auto"/>
            <w:noWrap/>
            <w:vAlign w:val="bottom"/>
            <w:hideMark/>
          </w:tcPr>
          <w:p w14:paraId="27C73E1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183.631</w:t>
            </w:r>
          </w:p>
        </w:tc>
        <w:tc>
          <w:tcPr>
            <w:tcW w:w="960" w:type="dxa"/>
            <w:tcBorders>
              <w:top w:val="nil"/>
              <w:left w:val="nil"/>
              <w:bottom w:val="single" w:sz="4" w:space="0" w:color="auto"/>
              <w:right w:val="single" w:sz="4" w:space="0" w:color="auto"/>
            </w:tcBorders>
            <w:shd w:val="clear" w:color="auto" w:fill="auto"/>
            <w:noWrap/>
            <w:vAlign w:val="bottom"/>
            <w:hideMark/>
          </w:tcPr>
          <w:p w14:paraId="21A58DD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192.375</w:t>
            </w:r>
          </w:p>
        </w:tc>
        <w:tc>
          <w:tcPr>
            <w:tcW w:w="960" w:type="dxa"/>
            <w:tcBorders>
              <w:top w:val="nil"/>
              <w:left w:val="nil"/>
              <w:bottom w:val="single" w:sz="4" w:space="0" w:color="auto"/>
              <w:right w:val="single" w:sz="4" w:space="0" w:color="auto"/>
            </w:tcBorders>
            <w:shd w:val="clear" w:color="auto" w:fill="auto"/>
            <w:noWrap/>
            <w:vAlign w:val="bottom"/>
            <w:hideMark/>
          </w:tcPr>
          <w:p w14:paraId="67400FC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147.211</w:t>
            </w:r>
          </w:p>
        </w:tc>
        <w:tc>
          <w:tcPr>
            <w:tcW w:w="960" w:type="dxa"/>
            <w:tcBorders>
              <w:top w:val="nil"/>
              <w:left w:val="nil"/>
              <w:bottom w:val="single" w:sz="4" w:space="0" w:color="auto"/>
              <w:right w:val="single" w:sz="4" w:space="0" w:color="auto"/>
            </w:tcBorders>
            <w:shd w:val="clear" w:color="auto" w:fill="auto"/>
            <w:noWrap/>
            <w:vAlign w:val="bottom"/>
            <w:hideMark/>
          </w:tcPr>
          <w:p w14:paraId="1FAA43D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169.629</w:t>
            </w:r>
          </w:p>
        </w:tc>
        <w:tc>
          <w:tcPr>
            <w:tcW w:w="960" w:type="dxa"/>
            <w:tcBorders>
              <w:top w:val="nil"/>
              <w:left w:val="nil"/>
              <w:bottom w:val="single" w:sz="4" w:space="0" w:color="auto"/>
              <w:right w:val="single" w:sz="4" w:space="0" w:color="auto"/>
            </w:tcBorders>
            <w:shd w:val="clear" w:color="auto" w:fill="auto"/>
            <w:noWrap/>
            <w:vAlign w:val="bottom"/>
            <w:hideMark/>
          </w:tcPr>
          <w:p w14:paraId="61F9ADA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194.698</w:t>
            </w:r>
          </w:p>
        </w:tc>
        <w:tc>
          <w:tcPr>
            <w:tcW w:w="960" w:type="dxa"/>
            <w:tcBorders>
              <w:top w:val="nil"/>
              <w:left w:val="nil"/>
              <w:bottom w:val="single" w:sz="4" w:space="0" w:color="auto"/>
              <w:right w:val="single" w:sz="4" w:space="0" w:color="auto"/>
            </w:tcBorders>
            <w:shd w:val="clear" w:color="auto" w:fill="auto"/>
            <w:noWrap/>
            <w:vAlign w:val="bottom"/>
            <w:hideMark/>
          </w:tcPr>
          <w:p w14:paraId="4287C6F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100.667</w:t>
            </w:r>
          </w:p>
        </w:tc>
        <w:tc>
          <w:tcPr>
            <w:tcW w:w="1960" w:type="dxa"/>
            <w:tcBorders>
              <w:top w:val="nil"/>
              <w:left w:val="nil"/>
              <w:bottom w:val="nil"/>
              <w:right w:val="nil"/>
            </w:tcBorders>
            <w:shd w:val="clear" w:color="auto" w:fill="auto"/>
            <w:noWrap/>
            <w:vAlign w:val="bottom"/>
            <w:hideMark/>
          </w:tcPr>
          <w:p w14:paraId="6DE9EA9E"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641C8C52"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B8FCFB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90</w:t>
            </w:r>
          </w:p>
        </w:tc>
        <w:tc>
          <w:tcPr>
            <w:tcW w:w="960" w:type="dxa"/>
            <w:tcBorders>
              <w:top w:val="nil"/>
              <w:left w:val="nil"/>
              <w:bottom w:val="single" w:sz="4" w:space="0" w:color="auto"/>
              <w:right w:val="single" w:sz="4" w:space="0" w:color="auto"/>
            </w:tcBorders>
            <w:shd w:val="clear" w:color="auto" w:fill="auto"/>
            <w:noWrap/>
            <w:vAlign w:val="bottom"/>
            <w:hideMark/>
          </w:tcPr>
          <w:p w14:paraId="57205E1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182.654</w:t>
            </w:r>
          </w:p>
        </w:tc>
        <w:tc>
          <w:tcPr>
            <w:tcW w:w="960" w:type="dxa"/>
            <w:tcBorders>
              <w:top w:val="nil"/>
              <w:left w:val="nil"/>
              <w:bottom w:val="single" w:sz="4" w:space="0" w:color="auto"/>
              <w:right w:val="single" w:sz="4" w:space="0" w:color="auto"/>
            </w:tcBorders>
            <w:shd w:val="clear" w:color="auto" w:fill="auto"/>
            <w:noWrap/>
            <w:vAlign w:val="bottom"/>
            <w:hideMark/>
          </w:tcPr>
          <w:p w14:paraId="0FC79F6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191.404</w:t>
            </w:r>
          </w:p>
        </w:tc>
        <w:tc>
          <w:tcPr>
            <w:tcW w:w="960" w:type="dxa"/>
            <w:tcBorders>
              <w:top w:val="nil"/>
              <w:left w:val="nil"/>
              <w:bottom w:val="single" w:sz="4" w:space="0" w:color="auto"/>
              <w:right w:val="single" w:sz="4" w:space="0" w:color="auto"/>
            </w:tcBorders>
            <w:shd w:val="clear" w:color="auto" w:fill="auto"/>
            <w:noWrap/>
            <w:vAlign w:val="bottom"/>
            <w:hideMark/>
          </w:tcPr>
          <w:p w14:paraId="783B31F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147.950</w:t>
            </w:r>
          </w:p>
        </w:tc>
        <w:tc>
          <w:tcPr>
            <w:tcW w:w="960" w:type="dxa"/>
            <w:tcBorders>
              <w:top w:val="nil"/>
              <w:left w:val="nil"/>
              <w:bottom w:val="single" w:sz="4" w:space="0" w:color="auto"/>
              <w:right w:val="single" w:sz="4" w:space="0" w:color="auto"/>
            </w:tcBorders>
            <w:shd w:val="clear" w:color="auto" w:fill="auto"/>
            <w:noWrap/>
            <w:vAlign w:val="bottom"/>
            <w:hideMark/>
          </w:tcPr>
          <w:p w14:paraId="11F7F09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167.942</w:t>
            </w:r>
          </w:p>
        </w:tc>
        <w:tc>
          <w:tcPr>
            <w:tcW w:w="960" w:type="dxa"/>
            <w:tcBorders>
              <w:top w:val="nil"/>
              <w:left w:val="nil"/>
              <w:bottom w:val="single" w:sz="4" w:space="0" w:color="auto"/>
              <w:right w:val="single" w:sz="4" w:space="0" w:color="auto"/>
            </w:tcBorders>
            <w:shd w:val="clear" w:color="auto" w:fill="auto"/>
            <w:noWrap/>
            <w:vAlign w:val="bottom"/>
            <w:hideMark/>
          </w:tcPr>
          <w:p w14:paraId="6FD5F5C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193.346</w:t>
            </w:r>
          </w:p>
        </w:tc>
        <w:tc>
          <w:tcPr>
            <w:tcW w:w="960" w:type="dxa"/>
            <w:tcBorders>
              <w:top w:val="nil"/>
              <w:left w:val="nil"/>
              <w:bottom w:val="single" w:sz="4" w:space="0" w:color="auto"/>
              <w:right w:val="single" w:sz="4" w:space="0" w:color="auto"/>
            </w:tcBorders>
            <w:shd w:val="clear" w:color="auto" w:fill="auto"/>
            <w:noWrap/>
            <w:vAlign w:val="bottom"/>
            <w:hideMark/>
          </w:tcPr>
          <w:p w14:paraId="7E427EB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90.462</w:t>
            </w:r>
          </w:p>
        </w:tc>
        <w:tc>
          <w:tcPr>
            <w:tcW w:w="1960" w:type="dxa"/>
            <w:tcBorders>
              <w:top w:val="nil"/>
              <w:left w:val="nil"/>
              <w:bottom w:val="nil"/>
              <w:right w:val="nil"/>
            </w:tcBorders>
            <w:shd w:val="clear" w:color="auto" w:fill="auto"/>
            <w:noWrap/>
            <w:vAlign w:val="bottom"/>
            <w:hideMark/>
          </w:tcPr>
          <w:p w14:paraId="58057313"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138A6398"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6401FA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91</w:t>
            </w:r>
          </w:p>
        </w:tc>
        <w:tc>
          <w:tcPr>
            <w:tcW w:w="960" w:type="dxa"/>
            <w:tcBorders>
              <w:top w:val="nil"/>
              <w:left w:val="nil"/>
              <w:bottom w:val="single" w:sz="4" w:space="0" w:color="auto"/>
              <w:right w:val="single" w:sz="4" w:space="0" w:color="auto"/>
            </w:tcBorders>
            <w:shd w:val="clear" w:color="auto" w:fill="auto"/>
            <w:noWrap/>
            <w:vAlign w:val="bottom"/>
            <w:hideMark/>
          </w:tcPr>
          <w:p w14:paraId="5509FDF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181.250</w:t>
            </w:r>
          </w:p>
        </w:tc>
        <w:tc>
          <w:tcPr>
            <w:tcW w:w="960" w:type="dxa"/>
            <w:tcBorders>
              <w:top w:val="nil"/>
              <w:left w:val="nil"/>
              <w:bottom w:val="single" w:sz="4" w:space="0" w:color="auto"/>
              <w:right w:val="single" w:sz="4" w:space="0" w:color="auto"/>
            </w:tcBorders>
            <w:shd w:val="clear" w:color="auto" w:fill="auto"/>
            <w:noWrap/>
            <w:vAlign w:val="bottom"/>
            <w:hideMark/>
          </w:tcPr>
          <w:p w14:paraId="7B5FBE9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189.375</w:t>
            </w:r>
          </w:p>
        </w:tc>
        <w:tc>
          <w:tcPr>
            <w:tcW w:w="960" w:type="dxa"/>
            <w:tcBorders>
              <w:top w:val="nil"/>
              <w:left w:val="nil"/>
              <w:bottom w:val="single" w:sz="4" w:space="0" w:color="auto"/>
              <w:right w:val="single" w:sz="4" w:space="0" w:color="auto"/>
            </w:tcBorders>
            <w:shd w:val="clear" w:color="auto" w:fill="auto"/>
            <w:noWrap/>
            <w:vAlign w:val="bottom"/>
            <w:hideMark/>
          </w:tcPr>
          <w:p w14:paraId="231FC85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149.209</w:t>
            </w:r>
          </w:p>
        </w:tc>
        <w:tc>
          <w:tcPr>
            <w:tcW w:w="960" w:type="dxa"/>
            <w:tcBorders>
              <w:top w:val="nil"/>
              <w:left w:val="nil"/>
              <w:bottom w:val="single" w:sz="4" w:space="0" w:color="auto"/>
              <w:right w:val="single" w:sz="4" w:space="0" w:color="auto"/>
            </w:tcBorders>
            <w:shd w:val="clear" w:color="auto" w:fill="auto"/>
            <w:noWrap/>
            <w:vAlign w:val="bottom"/>
            <w:hideMark/>
          </w:tcPr>
          <w:p w14:paraId="155502C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166.375</w:t>
            </w:r>
          </w:p>
        </w:tc>
        <w:tc>
          <w:tcPr>
            <w:tcW w:w="960" w:type="dxa"/>
            <w:tcBorders>
              <w:top w:val="nil"/>
              <w:left w:val="nil"/>
              <w:bottom w:val="single" w:sz="4" w:space="0" w:color="auto"/>
              <w:right w:val="single" w:sz="4" w:space="0" w:color="auto"/>
            </w:tcBorders>
            <w:shd w:val="clear" w:color="auto" w:fill="auto"/>
            <w:noWrap/>
            <w:vAlign w:val="bottom"/>
            <w:hideMark/>
          </w:tcPr>
          <w:p w14:paraId="795851F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192.250</w:t>
            </w:r>
          </w:p>
        </w:tc>
        <w:tc>
          <w:tcPr>
            <w:tcW w:w="960" w:type="dxa"/>
            <w:tcBorders>
              <w:top w:val="nil"/>
              <w:left w:val="nil"/>
              <w:bottom w:val="single" w:sz="4" w:space="0" w:color="auto"/>
              <w:right w:val="single" w:sz="4" w:space="0" w:color="auto"/>
            </w:tcBorders>
            <w:shd w:val="clear" w:color="auto" w:fill="auto"/>
            <w:noWrap/>
            <w:vAlign w:val="bottom"/>
            <w:hideMark/>
          </w:tcPr>
          <w:p w14:paraId="4C4DBAD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80.000</w:t>
            </w:r>
          </w:p>
        </w:tc>
        <w:tc>
          <w:tcPr>
            <w:tcW w:w="1960" w:type="dxa"/>
            <w:tcBorders>
              <w:top w:val="nil"/>
              <w:left w:val="nil"/>
              <w:bottom w:val="nil"/>
              <w:right w:val="nil"/>
            </w:tcBorders>
            <w:shd w:val="clear" w:color="auto" w:fill="auto"/>
            <w:noWrap/>
            <w:vAlign w:val="bottom"/>
            <w:hideMark/>
          </w:tcPr>
          <w:p w14:paraId="5D04930E"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6BD747FF"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F1B7A1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92</w:t>
            </w:r>
          </w:p>
        </w:tc>
        <w:tc>
          <w:tcPr>
            <w:tcW w:w="960" w:type="dxa"/>
            <w:tcBorders>
              <w:top w:val="nil"/>
              <w:left w:val="nil"/>
              <w:bottom w:val="single" w:sz="4" w:space="0" w:color="auto"/>
              <w:right w:val="single" w:sz="4" w:space="0" w:color="auto"/>
            </w:tcBorders>
            <w:shd w:val="clear" w:color="auto" w:fill="auto"/>
            <w:noWrap/>
            <w:vAlign w:val="bottom"/>
            <w:hideMark/>
          </w:tcPr>
          <w:p w14:paraId="1C277CD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179.846</w:t>
            </w:r>
          </w:p>
        </w:tc>
        <w:tc>
          <w:tcPr>
            <w:tcW w:w="960" w:type="dxa"/>
            <w:tcBorders>
              <w:top w:val="nil"/>
              <w:left w:val="nil"/>
              <w:bottom w:val="single" w:sz="4" w:space="0" w:color="auto"/>
              <w:right w:val="single" w:sz="4" w:space="0" w:color="auto"/>
            </w:tcBorders>
            <w:shd w:val="clear" w:color="auto" w:fill="auto"/>
            <w:noWrap/>
            <w:vAlign w:val="bottom"/>
            <w:hideMark/>
          </w:tcPr>
          <w:p w14:paraId="31ED8F6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186.519</w:t>
            </w:r>
          </w:p>
        </w:tc>
        <w:tc>
          <w:tcPr>
            <w:tcW w:w="960" w:type="dxa"/>
            <w:tcBorders>
              <w:top w:val="nil"/>
              <w:left w:val="nil"/>
              <w:bottom w:val="single" w:sz="4" w:space="0" w:color="auto"/>
              <w:right w:val="single" w:sz="4" w:space="0" w:color="auto"/>
            </w:tcBorders>
            <w:shd w:val="clear" w:color="auto" w:fill="auto"/>
            <w:noWrap/>
            <w:vAlign w:val="bottom"/>
            <w:hideMark/>
          </w:tcPr>
          <w:p w14:paraId="01A29ACA"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148.865</w:t>
            </w:r>
          </w:p>
        </w:tc>
        <w:tc>
          <w:tcPr>
            <w:tcW w:w="960" w:type="dxa"/>
            <w:tcBorders>
              <w:top w:val="nil"/>
              <w:left w:val="nil"/>
              <w:bottom w:val="single" w:sz="4" w:space="0" w:color="auto"/>
              <w:right w:val="single" w:sz="4" w:space="0" w:color="auto"/>
            </w:tcBorders>
            <w:shd w:val="clear" w:color="auto" w:fill="auto"/>
            <w:noWrap/>
            <w:vAlign w:val="bottom"/>
            <w:hideMark/>
          </w:tcPr>
          <w:p w14:paraId="5618F85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165.135</w:t>
            </w:r>
          </w:p>
        </w:tc>
        <w:tc>
          <w:tcPr>
            <w:tcW w:w="960" w:type="dxa"/>
            <w:tcBorders>
              <w:top w:val="nil"/>
              <w:left w:val="nil"/>
              <w:bottom w:val="single" w:sz="4" w:space="0" w:color="auto"/>
              <w:right w:val="single" w:sz="4" w:space="0" w:color="auto"/>
            </w:tcBorders>
            <w:shd w:val="clear" w:color="auto" w:fill="auto"/>
            <w:noWrap/>
            <w:vAlign w:val="bottom"/>
            <w:hideMark/>
          </w:tcPr>
          <w:p w14:paraId="16FC345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191.154</w:t>
            </w:r>
          </w:p>
        </w:tc>
        <w:tc>
          <w:tcPr>
            <w:tcW w:w="960" w:type="dxa"/>
            <w:tcBorders>
              <w:top w:val="nil"/>
              <w:left w:val="nil"/>
              <w:bottom w:val="single" w:sz="4" w:space="0" w:color="auto"/>
              <w:right w:val="single" w:sz="4" w:space="0" w:color="auto"/>
            </w:tcBorders>
            <w:shd w:val="clear" w:color="auto" w:fill="auto"/>
            <w:noWrap/>
            <w:vAlign w:val="bottom"/>
            <w:hideMark/>
          </w:tcPr>
          <w:p w14:paraId="646FDF6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74.808</w:t>
            </w:r>
          </w:p>
        </w:tc>
        <w:tc>
          <w:tcPr>
            <w:tcW w:w="1960" w:type="dxa"/>
            <w:tcBorders>
              <w:top w:val="nil"/>
              <w:left w:val="nil"/>
              <w:bottom w:val="nil"/>
              <w:right w:val="nil"/>
            </w:tcBorders>
            <w:shd w:val="clear" w:color="auto" w:fill="auto"/>
            <w:noWrap/>
            <w:vAlign w:val="bottom"/>
            <w:hideMark/>
          </w:tcPr>
          <w:p w14:paraId="32D9E29C"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45FEAA2C"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CF1ECD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93</w:t>
            </w:r>
          </w:p>
        </w:tc>
        <w:tc>
          <w:tcPr>
            <w:tcW w:w="960" w:type="dxa"/>
            <w:tcBorders>
              <w:top w:val="nil"/>
              <w:left w:val="nil"/>
              <w:bottom w:val="single" w:sz="4" w:space="0" w:color="auto"/>
              <w:right w:val="single" w:sz="4" w:space="0" w:color="auto"/>
            </w:tcBorders>
            <w:shd w:val="clear" w:color="auto" w:fill="auto"/>
            <w:noWrap/>
            <w:vAlign w:val="bottom"/>
            <w:hideMark/>
          </w:tcPr>
          <w:p w14:paraId="28188B1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178.317</w:t>
            </w:r>
          </w:p>
        </w:tc>
        <w:tc>
          <w:tcPr>
            <w:tcW w:w="960" w:type="dxa"/>
            <w:tcBorders>
              <w:top w:val="nil"/>
              <w:left w:val="nil"/>
              <w:bottom w:val="single" w:sz="4" w:space="0" w:color="auto"/>
              <w:right w:val="single" w:sz="4" w:space="0" w:color="auto"/>
            </w:tcBorders>
            <w:shd w:val="clear" w:color="auto" w:fill="auto"/>
            <w:noWrap/>
            <w:vAlign w:val="bottom"/>
            <w:hideMark/>
          </w:tcPr>
          <w:p w14:paraId="509BC82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183.885</w:t>
            </w:r>
          </w:p>
        </w:tc>
        <w:tc>
          <w:tcPr>
            <w:tcW w:w="960" w:type="dxa"/>
            <w:tcBorders>
              <w:top w:val="nil"/>
              <w:left w:val="nil"/>
              <w:bottom w:val="single" w:sz="4" w:space="0" w:color="auto"/>
              <w:right w:val="single" w:sz="4" w:space="0" w:color="auto"/>
            </w:tcBorders>
            <w:shd w:val="clear" w:color="auto" w:fill="auto"/>
            <w:noWrap/>
            <w:vAlign w:val="bottom"/>
            <w:hideMark/>
          </w:tcPr>
          <w:p w14:paraId="035AEDE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148.904</w:t>
            </w:r>
          </w:p>
        </w:tc>
        <w:tc>
          <w:tcPr>
            <w:tcW w:w="960" w:type="dxa"/>
            <w:tcBorders>
              <w:top w:val="nil"/>
              <w:left w:val="nil"/>
              <w:bottom w:val="single" w:sz="4" w:space="0" w:color="auto"/>
              <w:right w:val="single" w:sz="4" w:space="0" w:color="auto"/>
            </w:tcBorders>
            <w:shd w:val="clear" w:color="auto" w:fill="auto"/>
            <w:noWrap/>
            <w:vAlign w:val="bottom"/>
            <w:hideMark/>
          </w:tcPr>
          <w:p w14:paraId="5266111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163.970</w:t>
            </w:r>
          </w:p>
        </w:tc>
        <w:tc>
          <w:tcPr>
            <w:tcW w:w="960" w:type="dxa"/>
            <w:tcBorders>
              <w:top w:val="nil"/>
              <w:left w:val="nil"/>
              <w:bottom w:val="single" w:sz="4" w:space="0" w:color="auto"/>
              <w:right w:val="single" w:sz="4" w:space="0" w:color="auto"/>
            </w:tcBorders>
            <w:shd w:val="clear" w:color="auto" w:fill="auto"/>
            <w:noWrap/>
            <w:vAlign w:val="bottom"/>
            <w:hideMark/>
          </w:tcPr>
          <w:p w14:paraId="30AB369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189.176</w:t>
            </w:r>
          </w:p>
        </w:tc>
        <w:tc>
          <w:tcPr>
            <w:tcW w:w="960" w:type="dxa"/>
            <w:tcBorders>
              <w:top w:val="nil"/>
              <w:left w:val="nil"/>
              <w:bottom w:val="single" w:sz="4" w:space="0" w:color="auto"/>
              <w:right w:val="single" w:sz="4" w:space="0" w:color="auto"/>
            </w:tcBorders>
            <w:shd w:val="clear" w:color="auto" w:fill="auto"/>
            <w:noWrap/>
            <w:vAlign w:val="bottom"/>
            <w:hideMark/>
          </w:tcPr>
          <w:p w14:paraId="335AFDE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71.470</w:t>
            </w:r>
          </w:p>
        </w:tc>
        <w:tc>
          <w:tcPr>
            <w:tcW w:w="1960" w:type="dxa"/>
            <w:tcBorders>
              <w:top w:val="nil"/>
              <w:left w:val="nil"/>
              <w:bottom w:val="nil"/>
              <w:right w:val="nil"/>
            </w:tcBorders>
            <w:shd w:val="clear" w:color="auto" w:fill="auto"/>
            <w:noWrap/>
            <w:vAlign w:val="bottom"/>
            <w:hideMark/>
          </w:tcPr>
          <w:p w14:paraId="44CB4ABA"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3D1DF424"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5D3235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94</w:t>
            </w:r>
          </w:p>
        </w:tc>
        <w:tc>
          <w:tcPr>
            <w:tcW w:w="960" w:type="dxa"/>
            <w:tcBorders>
              <w:top w:val="nil"/>
              <w:left w:val="nil"/>
              <w:bottom w:val="single" w:sz="4" w:space="0" w:color="auto"/>
              <w:right w:val="single" w:sz="4" w:space="0" w:color="auto"/>
            </w:tcBorders>
            <w:shd w:val="clear" w:color="auto" w:fill="auto"/>
            <w:noWrap/>
            <w:vAlign w:val="bottom"/>
            <w:hideMark/>
          </w:tcPr>
          <w:p w14:paraId="1FFF93C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176.236</w:t>
            </w:r>
          </w:p>
        </w:tc>
        <w:tc>
          <w:tcPr>
            <w:tcW w:w="960" w:type="dxa"/>
            <w:tcBorders>
              <w:top w:val="nil"/>
              <w:left w:val="nil"/>
              <w:bottom w:val="single" w:sz="4" w:space="0" w:color="auto"/>
              <w:right w:val="single" w:sz="4" w:space="0" w:color="auto"/>
            </w:tcBorders>
            <w:shd w:val="clear" w:color="auto" w:fill="auto"/>
            <w:noWrap/>
            <w:vAlign w:val="bottom"/>
            <w:hideMark/>
          </w:tcPr>
          <w:p w14:paraId="2AD5049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181.236</w:t>
            </w:r>
          </w:p>
        </w:tc>
        <w:tc>
          <w:tcPr>
            <w:tcW w:w="960" w:type="dxa"/>
            <w:tcBorders>
              <w:top w:val="nil"/>
              <w:left w:val="nil"/>
              <w:bottom w:val="single" w:sz="4" w:space="0" w:color="auto"/>
              <w:right w:val="single" w:sz="4" w:space="0" w:color="auto"/>
            </w:tcBorders>
            <w:shd w:val="clear" w:color="auto" w:fill="auto"/>
            <w:noWrap/>
            <w:vAlign w:val="bottom"/>
            <w:hideMark/>
          </w:tcPr>
          <w:p w14:paraId="491E2A1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149.131</w:t>
            </w:r>
          </w:p>
        </w:tc>
        <w:tc>
          <w:tcPr>
            <w:tcW w:w="960" w:type="dxa"/>
            <w:tcBorders>
              <w:top w:val="nil"/>
              <w:left w:val="nil"/>
              <w:bottom w:val="single" w:sz="4" w:space="0" w:color="auto"/>
              <w:right w:val="single" w:sz="4" w:space="0" w:color="auto"/>
            </w:tcBorders>
            <w:shd w:val="clear" w:color="auto" w:fill="auto"/>
            <w:noWrap/>
            <w:vAlign w:val="bottom"/>
            <w:hideMark/>
          </w:tcPr>
          <w:p w14:paraId="25426DC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163.976</w:t>
            </w:r>
          </w:p>
        </w:tc>
        <w:tc>
          <w:tcPr>
            <w:tcW w:w="960" w:type="dxa"/>
            <w:tcBorders>
              <w:top w:val="nil"/>
              <w:left w:val="nil"/>
              <w:bottom w:val="single" w:sz="4" w:space="0" w:color="auto"/>
              <w:right w:val="single" w:sz="4" w:space="0" w:color="auto"/>
            </w:tcBorders>
            <w:shd w:val="clear" w:color="auto" w:fill="auto"/>
            <w:noWrap/>
            <w:vAlign w:val="bottom"/>
            <w:hideMark/>
          </w:tcPr>
          <w:p w14:paraId="007A63E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187.447</w:t>
            </w:r>
          </w:p>
        </w:tc>
        <w:tc>
          <w:tcPr>
            <w:tcW w:w="960" w:type="dxa"/>
            <w:tcBorders>
              <w:top w:val="nil"/>
              <w:left w:val="nil"/>
              <w:bottom w:val="single" w:sz="4" w:space="0" w:color="auto"/>
              <w:right w:val="single" w:sz="4" w:space="0" w:color="auto"/>
            </w:tcBorders>
            <w:shd w:val="clear" w:color="auto" w:fill="auto"/>
            <w:noWrap/>
            <w:vAlign w:val="bottom"/>
            <w:hideMark/>
          </w:tcPr>
          <w:p w14:paraId="725865DE"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69.611</w:t>
            </w:r>
          </w:p>
        </w:tc>
        <w:tc>
          <w:tcPr>
            <w:tcW w:w="1960" w:type="dxa"/>
            <w:tcBorders>
              <w:top w:val="nil"/>
              <w:left w:val="nil"/>
              <w:bottom w:val="nil"/>
              <w:right w:val="nil"/>
            </w:tcBorders>
            <w:shd w:val="clear" w:color="auto" w:fill="auto"/>
            <w:noWrap/>
            <w:vAlign w:val="bottom"/>
            <w:hideMark/>
          </w:tcPr>
          <w:p w14:paraId="4448EFA2"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4BF14BF5"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12BDE3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95</w:t>
            </w:r>
          </w:p>
        </w:tc>
        <w:tc>
          <w:tcPr>
            <w:tcW w:w="960" w:type="dxa"/>
            <w:tcBorders>
              <w:top w:val="nil"/>
              <w:left w:val="nil"/>
              <w:bottom w:val="single" w:sz="4" w:space="0" w:color="auto"/>
              <w:right w:val="single" w:sz="4" w:space="0" w:color="auto"/>
            </w:tcBorders>
            <w:shd w:val="clear" w:color="auto" w:fill="auto"/>
            <w:noWrap/>
            <w:vAlign w:val="bottom"/>
            <w:hideMark/>
          </w:tcPr>
          <w:p w14:paraId="4AF80B3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174.263</w:t>
            </w:r>
          </w:p>
        </w:tc>
        <w:tc>
          <w:tcPr>
            <w:tcW w:w="960" w:type="dxa"/>
            <w:tcBorders>
              <w:top w:val="nil"/>
              <w:left w:val="nil"/>
              <w:bottom w:val="single" w:sz="4" w:space="0" w:color="auto"/>
              <w:right w:val="single" w:sz="4" w:space="0" w:color="auto"/>
            </w:tcBorders>
            <w:shd w:val="clear" w:color="auto" w:fill="auto"/>
            <w:noWrap/>
            <w:vAlign w:val="bottom"/>
            <w:hideMark/>
          </w:tcPr>
          <w:p w14:paraId="28D2274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178.888</w:t>
            </w:r>
          </w:p>
        </w:tc>
        <w:tc>
          <w:tcPr>
            <w:tcW w:w="960" w:type="dxa"/>
            <w:tcBorders>
              <w:top w:val="nil"/>
              <w:left w:val="nil"/>
              <w:bottom w:val="single" w:sz="4" w:space="0" w:color="auto"/>
              <w:right w:val="single" w:sz="4" w:space="0" w:color="auto"/>
            </w:tcBorders>
            <w:shd w:val="clear" w:color="auto" w:fill="auto"/>
            <w:noWrap/>
            <w:vAlign w:val="bottom"/>
            <w:hideMark/>
          </w:tcPr>
          <w:p w14:paraId="2139856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150.612</w:t>
            </w:r>
          </w:p>
        </w:tc>
        <w:tc>
          <w:tcPr>
            <w:tcW w:w="960" w:type="dxa"/>
            <w:tcBorders>
              <w:top w:val="nil"/>
              <w:left w:val="nil"/>
              <w:bottom w:val="single" w:sz="4" w:space="0" w:color="auto"/>
              <w:right w:val="single" w:sz="4" w:space="0" w:color="auto"/>
            </w:tcBorders>
            <w:shd w:val="clear" w:color="auto" w:fill="auto"/>
            <w:noWrap/>
            <w:vAlign w:val="bottom"/>
            <w:hideMark/>
          </w:tcPr>
          <w:p w14:paraId="36C01D4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163.849</w:t>
            </w:r>
          </w:p>
        </w:tc>
        <w:tc>
          <w:tcPr>
            <w:tcW w:w="960" w:type="dxa"/>
            <w:tcBorders>
              <w:top w:val="nil"/>
              <w:left w:val="nil"/>
              <w:bottom w:val="single" w:sz="4" w:space="0" w:color="auto"/>
              <w:right w:val="single" w:sz="4" w:space="0" w:color="auto"/>
            </w:tcBorders>
            <w:shd w:val="clear" w:color="auto" w:fill="auto"/>
            <w:noWrap/>
            <w:vAlign w:val="bottom"/>
            <w:hideMark/>
          </w:tcPr>
          <w:p w14:paraId="0331257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184.877</w:t>
            </w:r>
          </w:p>
        </w:tc>
        <w:tc>
          <w:tcPr>
            <w:tcW w:w="960" w:type="dxa"/>
            <w:tcBorders>
              <w:top w:val="nil"/>
              <w:left w:val="nil"/>
              <w:bottom w:val="single" w:sz="4" w:space="0" w:color="auto"/>
              <w:right w:val="single" w:sz="4" w:space="0" w:color="auto"/>
            </w:tcBorders>
            <w:shd w:val="clear" w:color="auto" w:fill="auto"/>
            <w:noWrap/>
            <w:vAlign w:val="bottom"/>
            <w:hideMark/>
          </w:tcPr>
          <w:p w14:paraId="0F76D77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69.698</w:t>
            </w:r>
          </w:p>
        </w:tc>
        <w:tc>
          <w:tcPr>
            <w:tcW w:w="1960" w:type="dxa"/>
            <w:tcBorders>
              <w:top w:val="nil"/>
              <w:left w:val="nil"/>
              <w:bottom w:val="nil"/>
              <w:right w:val="nil"/>
            </w:tcBorders>
            <w:shd w:val="clear" w:color="auto" w:fill="auto"/>
            <w:noWrap/>
            <w:vAlign w:val="bottom"/>
            <w:hideMark/>
          </w:tcPr>
          <w:p w14:paraId="5D34C187"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7765C07C"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2FBCFC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96</w:t>
            </w:r>
          </w:p>
        </w:tc>
        <w:tc>
          <w:tcPr>
            <w:tcW w:w="960" w:type="dxa"/>
            <w:tcBorders>
              <w:top w:val="nil"/>
              <w:left w:val="nil"/>
              <w:bottom w:val="single" w:sz="4" w:space="0" w:color="auto"/>
              <w:right w:val="single" w:sz="4" w:space="0" w:color="auto"/>
            </w:tcBorders>
            <w:shd w:val="clear" w:color="auto" w:fill="auto"/>
            <w:noWrap/>
            <w:vAlign w:val="bottom"/>
            <w:hideMark/>
          </w:tcPr>
          <w:p w14:paraId="115E834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171.462</w:t>
            </w:r>
          </w:p>
        </w:tc>
        <w:tc>
          <w:tcPr>
            <w:tcW w:w="960" w:type="dxa"/>
            <w:tcBorders>
              <w:top w:val="nil"/>
              <w:left w:val="nil"/>
              <w:bottom w:val="single" w:sz="4" w:space="0" w:color="auto"/>
              <w:right w:val="single" w:sz="4" w:space="0" w:color="auto"/>
            </w:tcBorders>
            <w:shd w:val="clear" w:color="auto" w:fill="auto"/>
            <w:noWrap/>
            <w:vAlign w:val="bottom"/>
            <w:hideMark/>
          </w:tcPr>
          <w:p w14:paraId="71DECB9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175.462</w:t>
            </w:r>
          </w:p>
        </w:tc>
        <w:tc>
          <w:tcPr>
            <w:tcW w:w="960" w:type="dxa"/>
            <w:tcBorders>
              <w:top w:val="nil"/>
              <w:left w:val="nil"/>
              <w:bottom w:val="single" w:sz="4" w:space="0" w:color="auto"/>
              <w:right w:val="single" w:sz="4" w:space="0" w:color="auto"/>
            </w:tcBorders>
            <w:shd w:val="clear" w:color="auto" w:fill="auto"/>
            <w:noWrap/>
            <w:vAlign w:val="bottom"/>
            <w:hideMark/>
          </w:tcPr>
          <w:p w14:paraId="0B34D19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152.160</w:t>
            </w:r>
          </w:p>
        </w:tc>
        <w:tc>
          <w:tcPr>
            <w:tcW w:w="960" w:type="dxa"/>
            <w:tcBorders>
              <w:top w:val="nil"/>
              <w:left w:val="nil"/>
              <w:bottom w:val="single" w:sz="4" w:space="0" w:color="auto"/>
              <w:right w:val="single" w:sz="4" w:space="0" w:color="auto"/>
            </w:tcBorders>
            <w:shd w:val="clear" w:color="auto" w:fill="auto"/>
            <w:noWrap/>
            <w:vAlign w:val="bottom"/>
            <w:hideMark/>
          </w:tcPr>
          <w:p w14:paraId="045A872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163.539</w:t>
            </w:r>
          </w:p>
        </w:tc>
        <w:tc>
          <w:tcPr>
            <w:tcW w:w="960" w:type="dxa"/>
            <w:tcBorders>
              <w:top w:val="nil"/>
              <w:left w:val="nil"/>
              <w:bottom w:val="single" w:sz="4" w:space="0" w:color="auto"/>
              <w:right w:val="single" w:sz="4" w:space="0" w:color="auto"/>
            </w:tcBorders>
            <w:shd w:val="clear" w:color="auto" w:fill="auto"/>
            <w:noWrap/>
            <w:vAlign w:val="bottom"/>
            <w:hideMark/>
          </w:tcPr>
          <w:p w14:paraId="1FFE793F"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183.000</w:t>
            </w:r>
          </w:p>
        </w:tc>
        <w:tc>
          <w:tcPr>
            <w:tcW w:w="960" w:type="dxa"/>
            <w:tcBorders>
              <w:top w:val="nil"/>
              <w:left w:val="nil"/>
              <w:bottom w:val="single" w:sz="4" w:space="0" w:color="auto"/>
              <w:right w:val="single" w:sz="4" w:space="0" w:color="auto"/>
            </w:tcBorders>
            <w:shd w:val="clear" w:color="auto" w:fill="auto"/>
            <w:noWrap/>
            <w:vAlign w:val="bottom"/>
            <w:hideMark/>
          </w:tcPr>
          <w:p w14:paraId="007E163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68.308</w:t>
            </w:r>
          </w:p>
        </w:tc>
        <w:tc>
          <w:tcPr>
            <w:tcW w:w="1960" w:type="dxa"/>
            <w:tcBorders>
              <w:top w:val="nil"/>
              <w:left w:val="nil"/>
              <w:bottom w:val="nil"/>
              <w:right w:val="nil"/>
            </w:tcBorders>
            <w:shd w:val="clear" w:color="auto" w:fill="auto"/>
            <w:noWrap/>
            <w:vAlign w:val="bottom"/>
            <w:hideMark/>
          </w:tcPr>
          <w:p w14:paraId="00271BE5"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61A784C0"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596456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97</w:t>
            </w:r>
          </w:p>
        </w:tc>
        <w:tc>
          <w:tcPr>
            <w:tcW w:w="960" w:type="dxa"/>
            <w:tcBorders>
              <w:top w:val="nil"/>
              <w:left w:val="nil"/>
              <w:bottom w:val="single" w:sz="4" w:space="0" w:color="auto"/>
              <w:right w:val="single" w:sz="4" w:space="0" w:color="auto"/>
            </w:tcBorders>
            <w:shd w:val="clear" w:color="auto" w:fill="auto"/>
            <w:noWrap/>
            <w:vAlign w:val="bottom"/>
            <w:hideMark/>
          </w:tcPr>
          <w:p w14:paraId="40F1413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169.279</w:t>
            </w:r>
          </w:p>
        </w:tc>
        <w:tc>
          <w:tcPr>
            <w:tcW w:w="960" w:type="dxa"/>
            <w:tcBorders>
              <w:top w:val="nil"/>
              <w:left w:val="nil"/>
              <w:bottom w:val="single" w:sz="4" w:space="0" w:color="auto"/>
              <w:right w:val="single" w:sz="4" w:space="0" w:color="auto"/>
            </w:tcBorders>
            <w:shd w:val="clear" w:color="auto" w:fill="auto"/>
            <w:noWrap/>
            <w:vAlign w:val="bottom"/>
            <w:hideMark/>
          </w:tcPr>
          <w:p w14:paraId="026052D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173.484</w:t>
            </w:r>
          </w:p>
        </w:tc>
        <w:tc>
          <w:tcPr>
            <w:tcW w:w="960" w:type="dxa"/>
            <w:tcBorders>
              <w:top w:val="nil"/>
              <w:left w:val="nil"/>
              <w:bottom w:val="single" w:sz="4" w:space="0" w:color="auto"/>
              <w:right w:val="single" w:sz="4" w:space="0" w:color="auto"/>
            </w:tcBorders>
            <w:shd w:val="clear" w:color="auto" w:fill="auto"/>
            <w:noWrap/>
            <w:vAlign w:val="bottom"/>
            <w:hideMark/>
          </w:tcPr>
          <w:p w14:paraId="4456FD3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154.264</w:t>
            </w:r>
          </w:p>
        </w:tc>
        <w:tc>
          <w:tcPr>
            <w:tcW w:w="960" w:type="dxa"/>
            <w:tcBorders>
              <w:top w:val="nil"/>
              <w:left w:val="nil"/>
              <w:bottom w:val="single" w:sz="4" w:space="0" w:color="auto"/>
              <w:right w:val="single" w:sz="4" w:space="0" w:color="auto"/>
            </w:tcBorders>
            <w:shd w:val="clear" w:color="auto" w:fill="auto"/>
            <w:noWrap/>
            <w:vAlign w:val="bottom"/>
            <w:hideMark/>
          </w:tcPr>
          <w:p w14:paraId="583CEB2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162.048</w:t>
            </w:r>
          </w:p>
        </w:tc>
        <w:tc>
          <w:tcPr>
            <w:tcW w:w="960" w:type="dxa"/>
            <w:tcBorders>
              <w:top w:val="nil"/>
              <w:left w:val="nil"/>
              <w:bottom w:val="single" w:sz="4" w:space="0" w:color="auto"/>
              <w:right w:val="single" w:sz="4" w:space="0" w:color="auto"/>
            </w:tcBorders>
            <w:shd w:val="clear" w:color="auto" w:fill="auto"/>
            <w:noWrap/>
            <w:vAlign w:val="bottom"/>
            <w:hideMark/>
          </w:tcPr>
          <w:p w14:paraId="3416A65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180.218</w:t>
            </w:r>
          </w:p>
        </w:tc>
        <w:tc>
          <w:tcPr>
            <w:tcW w:w="960" w:type="dxa"/>
            <w:tcBorders>
              <w:top w:val="nil"/>
              <w:left w:val="nil"/>
              <w:bottom w:val="single" w:sz="4" w:space="0" w:color="auto"/>
              <w:right w:val="single" w:sz="4" w:space="0" w:color="auto"/>
            </w:tcBorders>
            <w:shd w:val="clear" w:color="auto" w:fill="auto"/>
            <w:noWrap/>
            <w:vAlign w:val="bottom"/>
            <w:hideMark/>
          </w:tcPr>
          <w:p w14:paraId="63F829A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67.100</w:t>
            </w:r>
          </w:p>
        </w:tc>
        <w:tc>
          <w:tcPr>
            <w:tcW w:w="1960" w:type="dxa"/>
            <w:tcBorders>
              <w:top w:val="nil"/>
              <w:left w:val="nil"/>
              <w:bottom w:val="nil"/>
              <w:right w:val="nil"/>
            </w:tcBorders>
            <w:shd w:val="clear" w:color="auto" w:fill="auto"/>
            <w:noWrap/>
            <w:vAlign w:val="bottom"/>
            <w:hideMark/>
          </w:tcPr>
          <w:p w14:paraId="4262C189"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31AA48F8"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29CADBC"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lastRenderedPageBreak/>
              <w:t>98</w:t>
            </w:r>
          </w:p>
        </w:tc>
        <w:tc>
          <w:tcPr>
            <w:tcW w:w="960" w:type="dxa"/>
            <w:tcBorders>
              <w:top w:val="nil"/>
              <w:left w:val="nil"/>
              <w:bottom w:val="single" w:sz="4" w:space="0" w:color="auto"/>
              <w:right w:val="single" w:sz="4" w:space="0" w:color="auto"/>
            </w:tcBorders>
            <w:shd w:val="clear" w:color="auto" w:fill="auto"/>
            <w:noWrap/>
            <w:vAlign w:val="bottom"/>
            <w:hideMark/>
          </w:tcPr>
          <w:p w14:paraId="7FC20C6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166.846</w:t>
            </w:r>
          </w:p>
        </w:tc>
        <w:tc>
          <w:tcPr>
            <w:tcW w:w="960" w:type="dxa"/>
            <w:tcBorders>
              <w:top w:val="nil"/>
              <w:left w:val="nil"/>
              <w:bottom w:val="single" w:sz="4" w:space="0" w:color="auto"/>
              <w:right w:val="single" w:sz="4" w:space="0" w:color="auto"/>
            </w:tcBorders>
            <w:shd w:val="clear" w:color="auto" w:fill="auto"/>
            <w:noWrap/>
            <w:vAlign w:val="bottom"/>
            <w:hideMark/>
          </w:tcPr>
          <w:p w14:paraId="5262455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171.010</w:t>
            </w:r>
          </w:p>
        </w:tc>
        <w:tc>
          <w:tcPr>
            <w:tcW w:w="960" w:type="dxa"/>
            <w:tcBorders>
              <w:top w:val="nil"/>
              <w:left w:val="nil"/>
              <w:bottom w:val="single" w:sz="4" w:space="0" w:color="auto"/>
              <w:right w:val="single" w:sz="4" w:space="0" w:color="auto"/>
            </w:tcBorders>
            <w:shd w:val="clear" w:color="auto" w:fill="auto"/>
            <w:noWrap/>
            <w:vAlign w:val="bottom"/>
            <w:hideMark/>
          </w:tcPr>
          <w:p w14:paraId="1F0B4C4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156.744</w:t>
            </w:r>
          </w:p>
        </w:tc>
        <w:tc>
          <w:tcPr>
            <w:tcW w:w="960" w:type="dxa"/>
            <w:tcBorders>
              <w:top w:val="nil"/>
              <w:left w:val="nil"/>
              <w:bottom w:val="single" w:sz="4" w:space="0" w:color="auto"/>
              <w:right w:val="single" w:sz="4" w:space="0" w:color="auto"/>
            </w:tcBorders>
            <w:shd w:val="clear" w:color="auto" w:fill="auto"/>
            <w:noWrap/>
            <w:vAlign w:val="bottom"/>
            <w:hideMark/>
          </w:tcPr>
          <w:p w14:paraId="0F79738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160.904</w:t>
            </w:r>
          </w:p>
        </w:tc>
        <w:tc>
          <w:tcPr>
            <w:tcW w:w="960" w:type="dxa"/>
            <w:tcBorders>
              <w:top w:val="nil"/>
              <w:left w:val="nil"/>
              <w:bottom w:val="single" w:sz="4" w:space="0" w:color="auto"/>
              <w:right w:val="single" w:sz="4" w:space="0" w:color="auto"/>
            </w:tcBorders>
            <w:shd w:val="clear" w:color="auto" w:fill="auto"/>
            <w:noWrap/>
            <w:vAlign w:val="bottom"/>
            <w:hideMark/>
          </w:tcPr>
          <w:p w14:paraId="41516C3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178.250</w:t>
            </w:r>
          </w:p>
        </w:tc>
        <w:tc>
          <w:tcPr>
            <w:tcW w:w="960" w:type="dxa"/>
            <w:tcBorders>
              <w:top w:val="nil"/>
              <w:left w:val="nil"/>
              <w:bottom w:val="single" w:sz="4" w:space="0" w:color="auto"/>
              <w:right w:val="single" w:sz="4" w:space="0" w:color="auto"/>
            </w:tcBorders>
            <w:shd w:val="clear" w:color="auto" w:fill="auto"/>
            <w:noWrap/>
            <w:vAlign w:val="bottom"/>
            <w:hideMark/>
          </w:tcPr>
          <w:p w14:paraId="6BB23F7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65.808</w:t>
            </w:r>
          </w:p>
        </w:tc>
        <w:tc>
          <w:tcPr>
            <w:tcW w:w="1960" w:type="dxa"/>
            <w:tcBorders>
              <w:top w:val="nil"/>
              <w:left w:val="nil"/>
              <w:bottom w:val="nil"/>
              <w:right w:val="nil"/>
            </w:tcBorders>
            <w:shd w:val="clear" w:color="auto" w:fill="auto"/>
            <w:noWrap/>
            <w:vAlign w:val="bottom"/>
            <w:hideMark/>
          </w:tcPr>
          <w:p w14:paraId="3039BA3B"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150A3225" w14:textId="77777777" w:rsidTr="005E2F1E">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CBE1C4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99</w:t>
            </w:r>
          </w:p>
        </w:tc>
        <w:tc>
          <w:tcPr>
            <w:tcW w:w="960" w:type="dxa"/>
            <w:tcBorders>
              <w:top w:val="nil"/>
              <w:left w:val="nil"/>
              <w:bottom w:val="single" w:sz="4" w:space="0" w:color="auto"/>
              <w:right w:val="single" w:sz="4" w:space="0" w:color="auto"/>
            </w:tcBorders>
            <w:shd w:val="clear" w:color="auto" w:fill="auto"/>
            <w:noWrap/>
            <w:vAlign w:val="bottom"/>
            <w:hideMark/>
          </w:tcPr>
          <w:p w14:paraId="544F7C8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164.039</w:t>
            </w:r>
          </w:p>
        </w:tc>
        <w:tc>
          <w:tcPr>
            <w:tcW w:w="960" w:type="dxa"/>
            <w:tcBorders>
              <w:top w:val="nil"/>
              <w:left w:val="nil"/>
              <w:bottom w:val="single" w:sz="4" w:space="0" w:color="auto"/>
              <w:right w:val="single" w:sz="4" w:space="0" w:color="auto"/>
            </w:tcBorders>
            <w:shd w:val="clear" w:color="auto" w:fill="auto"/>
            <w:noWrap/>
            <w:vAlign w:val="bottom"/>
            <w:hideMark/>
          </w:tcPr>
          <w:p w14:paraId="08690B75"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169.802</w:t>
            </w:r>
          </w:p>
        </w:tc>
        <w:tc>
          <w:tcPr>
            <w:tcW w:w="960" w:type="dxa"/>
            <w:tcBorders>
              <w:top w:val="nil"/>
              <w:left w:val="nil"/>
              <w:bottom w:val="single" w:sz="4" w:space="0" w:color="auto"/>
              <w:right w:val="single" w:sz="4" w:space="0" w:color="auto"/>
            </w:tcBorders>
            <w:shd w:val="clear" w:color="auto" w:fill="auto"/>
            <w:noWrap/>
            <w:vAlign w:val="bottom"/>
            <w:hideMark/>
          </w:tcPr>
          <w:p w14:paraId="40E934C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159.860</w:t>
            </w:r>
          </w:p>
        </w:tc>
        <w:tc>
          <w:tcPr>
            <w:tcW w:w="960" w:type="dxa"/>
            <w:tcBorders>
              <w:top w:val="nil"/>
              <w:left w:val="nil"/>
              <w:bottom w:val="single" w:sz="4" w:space="0" w:color="auto"/>
              <w:right w:val="single" w:sz="4" w:space="0" w:color="auto"/>
            </w:tcBorders>
            <w:shd w:val="clear" w:color="auto" w:fill="auto"/>
            <w:noWrap/>
            <w:vAlign w:val="bottom"/>
            <w:hideMark/>
          </w:tcPr>
          <w:p w14:paraId="4D99EB97"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160.296</w:t>
            </w:r>
          </w:p>
        </w:tc>
        <w:tc>
          <w:tcPr>
            <w:tcW w:w="960" w:type="dxa"/>
            <w:tcBorders>
              <w:top w:val="nil"/>
              <w:left w:val="nil"/>
              <w:bottom w:val="single" w:sz="4" w:space="0" w:color="auto"/>
              <w:right w:val="single" w:sz="4" w:space="0" w:color="auto"/>
            </w:tcBorders>
            <w:shd w:val="clear" w:color="auto" w:fill="auto"/>
            <w:noWrap/>
            <w:vAlign w:val="bottom"/>
            <w:hideMark/>
          </w:tcPr>
          <w:p w14:paraId="24EFD60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176.375</w:t>
            </w:r>
          </w:p>
        </w:tc>
        <w:tc>
          <w:tcPr>
            <w:tcW w:w="960" w:type="dxa"/>
            <w:tcBorders>
              <w:top w:val="nil"/>
              <w:left w:val="nil"/>
              <w:bottom w:val="single" w:sz="4" w:space="0" w:color="auto"/>
              <w:right w:val="single" w:sz="4" w:space="0" w:color="auto"/>
            </w:tcBorders>
            <w:shd w:val="clear" w:color="auto" w:fill="auto"/>
            <w:noWrap/>
            <w:vAlign w:val="bottom"/>
            <w:hideMark/>
          </w:tcPr>
          <w:p w14:paraId="1FF279A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65.345</w:t>
            </w:r>
          </w:p>
        </w:tc>
        <w:tc>
          <w:tcPr>
            <w:tcW w:w="1960" w:type="dxa"/>
            <w:tcBorders>
              <w:top w:val="nil"/>
              <w:left w:val="nil"/>
              <w:bottom w:val="nil"/>
              <w:right w:val="nil"/>
            </w:tcBorders>
            <w:shd w:val="clear" w:color="auto" w:fill="auto"/>
            <w:noWrap/>
            <w:vAlign w:val="bottom"/>
            <w:hideMark/>
          </w:tcPr>
          <w:p w14:paraId="34329EFD"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401327B6" w14:textId="77777777" w:rsidTr="005E2F1E">
        <w:trPr>
          <w:trHeight w:val="315"/>
        </w:trPr>
        <w:tc>
          <w:tcPr>
            <w:tcW w:w="2280" w:type="dxa"/>
            <w:tcBorders>
              <w:top w:val="nil"/>
              <w:left w:val="single" w:sz="4" w:space="0" w:color="auto"/>
              <w:bottom w:val="nil"/>
              <w:right w:val="single" w:sz="4" w:space="0" w:color="auto"/>
            </w:tcBorders>
            <w:shd w:val="clear" w:color="auto" w:fill="auto"/>
            <w:noWrap/>
            <w:vAlign w:val="bottom"/>
            <w:hideMark/>
          </w:tcPr>
          <w:p w14:paraId="43326DF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100</w:t>
            </w:r>
          </w:p>
        </w:tc>
        <w:tc>
          <w:tcPr>
            <w:tcW w:w="960" w:type="dxa"/>
            <w:tcBorders>
              <w:top w:val="nil"/>
              <w:left w:val="nil"/>
              <w:bottom w:val="nil"/>
              <w:right w:val="single" w:sz="4" w:space="0" w:color="auto"/>
            </w:tcBorders>
            <w:shd w:val="clear" w:color="auto" w:fill="auto"/>
            <w:noWrap/>
            <w:vAlign w:val="bottom"/>
            <w:hideMark/>
          </w:tcPr>
          <w:p w14:paraId="00B06862"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162.115</w:t>
            </w:r>
          </w:p>
        </w:tc>
        <w:tc>
          <w:tcPr>
            <w:tcW w:w="960" w:type="dxa"/>
            <w:tcBorders>
              <w:top w:val="nil"/>
              <w:left w:val="nil"/>
              <w:bottom w:val="nil"/>
              <w:right w:val="single" w:sz="4" w:space="0" w:color="auto"/>
            </w:tcBorders>
            <w:shd w:val="clear" w:color="auto" w:fill="auto"/>
            <w:noWrap/>
            <w:vAlign w:val="bottom"/>
            <w:hideMark/>
          </w:tcPr>
          <w:p w14:paraId="0AA12310"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167.673</w:t>
            </w:r>
          </w:p>
        </w:tc>
        <w:tc>
          <w:tcPr>
            <w:tcW w:w="960" w:type="dxa"/>
            <w:tcBorders>
              <w:top w:val="nil"/>
              <w:left w:val="nil"/>
              <w:bottom w:val="nil"/>
              <w:right w:val="single" w:sz="4" w:space="0" w:color="auto"/>
            </w:tcBorders>
            <w:shd w:val="clear" w:color="auto" w:fill="auto"/>
            <w:noWrap/>
            <w:vAlign w:val="bottom"/>
            <w:hideMark/>
          </w:tcPr>
          <w:p w14:paraId="62CADDC6"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162.808</w:t>
            </w:r>
          </w:p>
        </w:tc>
        <w:tc>
          <w:tcPr>
            <w:tcW w:w="960" w:type="dxa"/>
            <w:tcBorders>
              <w:top w:val="nil"/>
              <w:left w:val="nil"/>
              <w:bottom w:val="nil"/>
              <w:right w:val="single" w:sz="4" w:space="0" w:color="auto"/>
            </w:tcBorders>
            <w:shd w:val="clear" w:color="auto" w:fill="auto"/>
            <w:noWrap/>
            <w:vAlign w:val="bottom"/>
            <w:hideMark/>
          </w:tcPr>
          <w:p w14:paraId="1BAAECC8"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157.000</w:t>
            </w:r>
          </w:p>
        </w:tc>
        <w:tc>
          <w:tcPr>
            <w:tcW w:w="960" w:type="dxa"/>
            <w:tcBorders>
              <w:top w:val="nil"/>
              <w:left w:val="nil"/>
              <w:bottom w:val="nil"/>
              <w:right w:val="single" w:sz="4" w:space="0" w:color="auto"/>
            </w:tcBorders>
            <w:shd w:val="clear" w:color="auto" w:fill="auto"/>
            <w:noWrap/>
            <w:vAlign w:val="bottom"/>
            <w:hideMark/>
          </w:tcPr>
          <w:p w14:paraId="074A696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175.000</w:t>
            </w:r>
          </w:p>
        </w:tc>
        <w:tc>
          <w:tcPr>
            <w:tcW w:w="960" w:type="dxa"/>
            <w:tcBorders>
              <w:top w:val="nil"/>
              <w:left w:val="nil"/>
              <w:bottom w:val="nil"/>
              <w:right w:val="single" w:sz="4" w:space="0" w:color="auto"/>
            </w:tcBorders>
            <w:shd w:val="clear" w:color="auto" w:fill="auto"/>
            <w:noWrap/>
            <w:vAlign w:val="bottom"/>
            <w:hideMark/>
          </w:tcPr>
          <w:p w14:paraId="4CBA8FD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66.423</w:t>
            </w:r>
          </w:p>
        </w:tc>
        <w:tc>
          <w:tcPr>
            <w:tcW w:w="1960" w:type="dxa"/>
            <w:tcBorders>
              <w:top w:val="nil"/>
              <w:left w:val="nil"/>
              <w:bottom w:val="nil"/>
              <w:right w:val="nil"/>
            </w:tcBorders>
            <w:shd w:val="clear" w:color="auto" w:fill="auto"/>
            <w:noWrap/>
            <w:vAlign w:val="bottom"/>
            <w:hideMark/>
          </w:tcPr>
          <w:p w14:paraId="2C2C71B6"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r w:rsidR="00007F6C" w:rsidRPr="006A2F6A" w14:paraId="50265CD7" w14:textId="77777777" w:rsidTr="005E2F1E">
        <w:trPr>
          <w:trHeight w:val="315"/>
        </w:trPr>
        <w:tc>
          <w:tcPr>
            <w:tcW w:w="228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39E74DBB" w14:textId="77777777" w:rsidR="00007F6C" w:rsidRPr="006A2F6A" w:rsidRDefault="00007F6C" w:rsidP="005E2F1E">
            <w:pPr>
              <w:spacing w:after="0" w:line="240" w:lineRule="auto"/>
              <w:jc w:val="both"/>
              <w:rPr>
                <w:rFonts w:ascii="Calibri" w:eastAsia="Times New Roman" w:hAnsi="Calibri" w:cs="Calibri"/>
                <w:b/>
                <w:bCs/>
                <w:color w:val="000000"/>
                <w:lang w:eastAsia="en-GB"/>
              </w:rPr>
            </w:pPr>
            <w:r w:rsidRPr="006A2F6A">
              <w:rPr>
                <w:rFonts w:ascii="Calibri" w:eastAsia="Times New Roman" w:hAnsi="Calibri" w:cs="Calibri"/>
                <w:b/>
                <w:bCs/>
                <w:color w:val="000000"/>
                <w:lang w:eastAsia="en-GB"/>
              </w:rPr>
              <w:t>Average/ slice</w:t>
            </w:r>
          </w:p>
        </w:tc>
        <w:tc>
          <w:tcPr>
            <w:tcW w:w="960" w:type="dxa"/>
            <w:tcBorders>
              <w:top w:val="single" w:sz="8" w:space="0" w:color="auto"/>
              <w:left w:val="nil"/>
              <w:bottom w:val="single" w:sz="8" w:space="0" w:color="auto"/>
              <w:right w:val="single" w:sz="8" w:space="0" w:color="auto"/>
            </w:tcBorders>
            <w:shd w:val="clear" w:color="auto" w:fill="auto"/>
            <w:noWrap/>
            <w:vAlign w:val="bottom"/>
            <w:hideMark/>
          </w:tcPr>
          <w:p w14:paraId="799DC5E3"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214.09</w:t>
            </w:r>
          </w:p>
        </w:tc>
        <w:tc>
          <w:tcPr>
            <w:tcW w:w="960" w:type="dxa"/>
            <w:tcBorders>
              <w:top w:val="single" w:sz="8" w:space="0" w:color="auto"/>
              <w:left w:val="nil"/>
              <w:bottom w:val="single" w:sz="8" w:space="0" w:color="auto"/>
              <w:right w:val="single" w:sz="8" w:space="0" w:color="auto"/>
            </w:tcBorders>
            <w:shd w:val="clear" w:color="auto" w:fill="auto"/>
            <w:noWrap/>
            <w:vAlign w:val="bottom"/>
            <w:hideMark/>
          </w:tcPr>
          <w:p w14:paraId="34BD9631"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214.97</w:t>
            </w:r>
          </w:p>
        </w:tc>
        <w:tc>
          <w:tcPr>
            <w:tcW w:w="960" w:type="dxa"/>
            <w:tcBorders>
              <w:top w:val="single" w:sz="8" w:space="0" w:color="auto"/>
              <w:left w:val="nil"/>
              <w:bottom w:val="single" w:sz="8" w:space="0" w:color="auto"/>
              <w:right w:val="single" w:sz="8" w:space="0" w:color="auto"/>
            </w:tcBorders>
            <w:shd w:val="clear" w:color="auto" w:fill="auto"/>
            <w:noWrap/>
            <w:vAlign w:val="bottom"/>
            <w:hideMark/>
          </w:tcPr>
          <w:p w14:paraId="6837B209"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173.63</w:t>
            </w:r>
          </w:p>
        </w:tc>
        <w:tc>
          <w:tcPr>
            <w:tcW w:w="960" w:type="dxa"/>
            <w:tcBorders>
              <w:top w:val="single" w:sz="8" w:space="0" w:color="auto"/>
              <w:left w:val="nil"/>
              <w:bottom w:val="single" w:sz="8" w:space="0" w:color="auto"/>
              <w:right w:val="single" w:sz="8" w:space="0" w:color="auto"/>
            </w:tcBorders>
            <w:shd w:val="clear" w:color="auto" w:fill="auto"/>
            <w:noWrap/>
            <w:vAlign w:val="bottom"/>
            <w:hideMark/>
          </w:tcPr>
          <w:p w14:paraId="3BB5F41D"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200.69</w:t>
            </w:r>
          </w:p>
        </w:tc>
        <w:tc>
          <w:tcPr>
            <w:tcW w:w="960" w:type="dxa"/>
            <w:tcBorders>
              <w:top w:val="single" w:sz="8" w:space="0" w:color="auto"/>
              <w:left w:val="nil"/>
              <w:bottom w:val="single" w:sz="8" w:space="0" w:color="auto"/>
              <w:right w:val="single" w:sz="8" w:space="0" w:color="auto"/>
            </w:tcBorders>
            <w:shd w:val="clear" w:color="auto" w:fill="auto"/>
            <w:noWrap/>
            <w:vAlign w:val="bottom"/>
            <w:hideMark/>
          </w:tcPr>
          <w:p w14:paraId="4E62C524"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214.42</w:t>
            </w:r>
          </w:p>
        </w:tc>
        <w:tc>
          <w:tcPr>
            <w:tcW w:w="960" w:type="dxa"/>
            <w:tcBorders>
              <w:top w:val="single" w:sz="8" w:space="0" w:color="auto"/>
              <w:left w:val="nil"/>
              <w:bottom w:val="single" w:sz="8" w:space="0" w:color="auto"/>
              <w:right w:val="single" w:sz="8" w:space="0" w:color="auto"/>
            </w:tcBorders>
            <w:shd w:val="clear" w:color="auto" w:fill="auto"/>
            <w:noWrap/>
            <w:vAlign w:val="bottom"/>
            <w:hideMark/>
          </w:tcPr>
          <w:p w14:paraId="3E31D04B" w14:textId="77777777" w:rsidR="00007F6C" w:rsidRPr="006A2F6A" w:rsidRDefault="00007F6C" w:rsidP="005E2F1E">
            <w:pPr>
              <w:spacing w:after="0" w:line="240" w:lineRule="auto"/>
              <w:jc w:val="both"/>
              <w:rPr>
                <w:rFonts w:ascii="Calibri" w:eastAsia="Times New Roman" w:hAnsi="Calibri" w:cs="Calibri"/>
                <w:color w:val="000000"/>
                <w:lang w:eastAsia="en-GB"/>
              </w:rPr>
            </w:pPr>
            <w:r w:rsidRPr="006A2F6A">
              <w:rPr>
                <w:rFonts w:ascii="Calibri" w:eastAsia="Times New Roman" w:hAnsi="Calibri" w:cs="Calibri"/>
                <w:color w:val="000000"/>
                <w:lang w:eastAsia="en-GB"/>
              </w:rPr>
              <w:t>168.72</w:t>
            </w:r>
          </w:p>
        </w:tc>
        <w:tc>
          <w:tcPr>
            <w:tcW w:w="1960" w:type="dxa"/>
            <w:tcBorders>
              <w:top w:val="nil"/>
              <w:left w:val="nil"/>
              <w:bottom w:val="nil"/>
              <w:right w:val="nil"/>
            </w:tcBorders>
            <w:shd w:val="clear" w:color="auto" w:fill="auto"/>
            <w:noWrap/>
            <w:vAlign w:val="bottom"/>
            <w:hideMark/>
          </w:tcPr>
          <w:p w14:paraId="18109B66" w14:textId="77777777" w:rsidR="00007F6C" w:rsidRPr="006A2F6A" w:rsidRDefault="00007F6C" w:rsidP="005E2F1E">
            <w:pPr>
              <w:spacing w:after="0" w:line="240" w:lineRule="auto"/>
              <w:jc w:val="both"/>
              <w:rPr>
                <w:rFonts w:ascii="Calibri" w:eastAsia="Times New Roman" w:hAnsi="Calibri" w:cs="Calibri"/>
                <w:color w:val="000000"/>
                <w:lang w:eastAsia="en-GB"/>
              </w:rPr>
            </w:pPr>
          </w:p>
        </w:tc>
      </w:tr>
    </w:tbl>
    <w:p w14:paraId="6AC47434" w14:textId="77777777" w:rsidR="00007F6C" w:rsidRDefault="00007F6C" w:rsidP="00007F6C">
      <w:pPr>
        <w:widowControl w:val="0"/>
        <w:autoSpaceDE w:val="0"/>
        <w:autoSpaceDN w:val="0"/>
        <w:adjustRightInd w:val="0"/>
        <w:spacing w:line="240" w:lineRule="auto"/>
        <w:jc w:val="both"/>
        <w:rPr>
          <w:color w:val="FFC000"/>
        </w:rPr>
      </w:pPr>
    </w:p>
    <w:p w14:paraId="0DAACF67" w14:textId="77777777" w:rsidR="00007F6C" w:rsidRDefault="00007F6C" w:rsidP="00007F6C">
      <w:pPr>
        <w:rPr>
          <w:rFonts w:asciiTheme="majorHAnsi" w:eastAsia="MS Mincho" w:hAnsiTheme="majorHAnsi" w:cs="Times New Roman"/>
          <w:b/>
          <w:bCs/>
        </w:rPr>
      </w:pPr>
      <w:r>
        <w:br w:type="page"/>
      </w:r>
    </w:p>
    <w:p w14:paraId="6CE35418" w14:textId="77777777" w:rsidR="00007F6C" w:rsidRPr="00543D7B" w:rsidRDefault="00007F6C" w:rsidP="00007F6C">
      <w:pPr>
        <w:pStyle w:val="Heading6"/>
      </w:pPr>
      <w:r>
        <w:lastRenderedPageBreak/>
        <w:t>Nickel</w:t>
      </w:r>
    </w:p>
    <w:p w14:paraId="681E06F7" w14:textId="07CEBA0D" w:rsidR="00007F6C" w:rsidRDefault="00007F6C" w:rsidP="00007F6C">
      <w:pPr>
        <w:pStyle w:val="Caption"/>
        <w:keepNext/>
        <w:jc w:val="both"/>
      </w:pPr>
      <w:r>
        <w:t>Table A</w:t>
      </w:r>
      <w:r w:rsidR="00B51F53">
        <w:fldChar w:fldCharType="begin"/>
      </w:r>
      <w:r w:rsidR="00B51F53">
        <w:instrText xml:space="preserve"> SEQ Table \* ARABIC </w:instrText>
      </w:r>
      <w:r w:rsidR="00B51F53">
        <w:fldChar w:fldCharType="separate"/>
      </w:r>
      <w:r w:rsidR="0056210C">
        <w:rPr>
          <w:noProof/>
        </w:rPr>
        <w:t>8</w:t>
      </w:r>
      <w:r w:rsidR="00B51F53">
        <w:rPr>
          <w:noProof/>
        </w:rPr>
        <w:fldChar w:fldCharType="end"/>
      </w:r>
      <w:r>
        <w:t>: Table detailing the line profile measurements of the Nickel phase in the Ni-YSZ contrast sample. The minimum, maximum and average GSV are shown on the right.</w:t>
      </w:r>
    </w:p>
    <w:tbl>
      <w:tblPr>
        <w:tblW w:w="9080" w:type="dxa"/>
        <w:tblLook w:val="04A0" w:firstRow="1" w:lastRow="0" w:firstColumn="1" w:lastColumn="0" w:noHBand="0" w:noVBand="1"/>
      </w:tblPr>
      <w:tblGrid>
        <w:gridCol w:w="1507"/>
        <w:gridCol w:w="960"/>
        <w:gridCol w:w="960"/>
        <w:gridCol w:w="960"/>
        <w:gridCol w:w="960"/>
        <w:gridCol w:w="960"/>
        <w:gridCol w:w="960"/>
        <w:gridCol w:w="1900"/>
      </w:tblGrid>
      <w:tr w:rsidR="00007F6C" w:rsidRPr="005A770E" w14:paraId="7E8DF69A" w14:textId="77777777" w:rsidTr="005E2F1E">
        <w:trPr>
          <w:trHeight w:val="315"/>
        </w:trPr>
        <w:tc>
          <w:tcPr>
            <w:tcW w:w="1420" w:type="dxa"/>
            <w:tcBorders>
              <w:top w:val="nil"/>
              <w:left w:val="nil"/>
              <w:bottom w:val="nil"/>
              <w:right w:val="nil"/>
            </w:tcBorders>
            <w:shd w:val="clear" w:color="auto" w:fill="auto"/>
            <w:noWrap/>
            <w:vAlign w:val="bottom"/>
            <w:hideMark/>
          </w:tcPr>
          <w:p w14:paraId="62FE2172" w14:textId="77777777" w:rsidR="00007F6C" w:rsidRPr="005A770E" w:rsidRDefault="00007F6C" w:rsidP="005E2F1E">
            <w:pPr>
              <w:spacing w:after="0" w:line="240" w:lineRule="auto"/>
              <w:jc w:val="both"/>
              <w:rPr>
                <w:rFonts w:ascii="Times New Roman" w:eastAsia="Times New Roman" w:hAnsi="Times New Roman" w:cs="Times New Roman"/>
                <w:sz w:val="24"/>
                <w:szCs w:val="24"/>
                <w:lang w:eastAsia="en-GB"/>
              </w:rPr>
            </w:pPr>
          </w:p>
        </w:tc>
        <w:tc>
          <w:tcPr>
            <w:tcW w:w="2880" w:type="dxa"/>
            <w:gridSpan w:val="3"/>
            <w:tcBorders>
              <w:top w:val="nil"/>
              <w:left w:val="nil"/>
              <w:bottom w:val="nil"/>
              <w:right w:val="nil"/>
            </w:tcBorders>
            <w:shd w:val="clear" w:color="auto" w:fill="auto"/>
            <w:noWrap/>
            <w:vAlign w:val="bottom"/>
            <w:hideMark/>
          </w:tcPr>
          <w:p w14:paraId="4A560BF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Nickel Grayscale Values</w:t>
            </w:r>
          </w:p>
        </w:tc>
        <w:tc>
          <w:tcPr>
            <w:tcW w:w="960" w:type="dxa"/>
            <w:tcBorders>
              <w:top w:val="nil"/>
              <w:left w:val="nil"/>
              <w:bottom w:val="nil"/>
              <w:right w:val="nil"/>
            </w:tcBorders>
            <w:shd w:val="clear" w:color="auto" w:fill="auto"/>
            <w:noWrap/>
            <w:vAlign w:val="bottom"/>
            <w:hideMark/>
          </w:tcPr>
          <w:p w14:paraId="62153494"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c>
          <w:tcPr>
            <w:tcW w:w="960" w:type="dxa"/>
            <w:tcBorders>
              <w:top w:val="nil"/>
              <w:left w:val="nil"/>
              <w:bottom w:val="nil"/>
              <w:right w:val="nil"/>
            </w:tcBorders>
            <w:shd w:val="clear" w:color="auto" w:fill="auto"/>
            <w:noWrap/>
            <w:vAlign w:val="bottom"/>
            <w:hideMark/>
          </w:tcPr>
          <w:p w14:paraId="628F00A8" w14:textId="77777777" w:rsidR="00007F6C" w:rsidRPr="005A770E" w:rsidRDefault="00007F6C" w:rsidP="005E2F1E">
            <w:pPr>
              <w:spacing w:after="0" w:line="240" w:lineRule="auto"/>
              <w:jc w:val="both"/>
              <w:rPr>
                <w:rFonts w:ascii="Times New Roman" w:eastAsia="Times New Roman" w:hAnsi="Times New Roman" w:cs="Times New Roman"/>
                <w:sz w:val="20"/>
                <w:szCs w:val="20"/>
                <w:lang w:eastAsia="en-GB"/>
              </w:rPr>
            </w:pPr>
          </w:p>
        </w:tc>
        <w:tc>
          <w:tcPr>
            <w:tcW w:w="960" w:type="dxa"/>
            <w:tcBorders>
              <w:top w:val="nil"/>
              <w:left w:val="nil"/>
              <w:bottom w:val="nil"/>
              <w:right w:val="nil"/>
            </w:tcBorders>
            <w:shd w:val="clear" w:color="auto" w:fill="auto"/>
            <w:noWrap/>
            <w:vAlign w:val="bottom"/>
            <w:hideMark/>
          </w:tcPr>
          <w:p w14:paraId="231926A4" w14:textId="77777777" w:rsidR="00007F6C" w:rsidRPr="005A770E" w:rsidRDefault="00007F6C" w:rsidP="005E2F1E">
            <w:pPr>
              <w:spacing w:after="0" w:line="240" w:lineRule="auto"/>
              <w:jc w:val="both"/>
              <w:rPr>
                <w:rFonts w:ascii="Times New Roman" w:eastAsia="Times New Roman" w:hAnsi="Times New Roman" w:cs="Times New Roman"/>
                <w:sz w:val="20"/>
                <w:szCs w:val="20"/>
                <w:lang w:eastAsia="en-GB"/>
              </w:rPr>
            </w:pPr>
          </w:p>
        </w:tc>
        <w:tc>
          <w:tcPr>
            <w:tcW w:w="1900" w:type="dxa"/>
            <w:tcBorders>
              <w:top w:val="nil"/>
              <w:left w:val="nil"/>
              <w:bottom w:val="nil"/>
              <w:right w:val="nil"/>
            </w:tcBorders>
            <w:shd w:val="clear" w:color="auto" w:fill="auto"/>
            <w:noWrap/>
            <w:vAlign w:val="bottom"/>
            <w:hideMark/>
          </w:tcPr>
          <w:p w14:paraId="16EC33DA" w14:textId="77777777" w:rsidR="00007F6C" w:rsidRPr="005A770E" w:rsidRDefault="00007F6C" w:rsidP="005E2F1E">
            <w:pPr>
              <w:spacing w:after="0" w:line="240" w:lineRule="auto"/>
              <w:jc w:val="both"/>
              <w:rPr>
                <w:rFonts w:ascii="Times New Roman" w:eastAsia="Times New Roman" w:hAnsi="Times New Roman" w:cs="Times New Roman"/>
                <w:sz w:val="20"/>
                <w:szCs w:val="20"/>
                <w:lang w:eastAsia="en-GB"/>
              </w:rPr>
            </w:pPr>
          </w:p>
        </w:tc>
      </w:tr>
      <w:tr w:rsidR="00007F6C" w:rsidRPr="005A770E" w14:paraId="0F132584" w14:textId="77777777" w:rsidTr="005E2F1E">
        <w:trPr>
          <w:trHeight w:val="315"/>
        </w:trPr>
        <w:tc>
          <w:tcPr>
            <w:tcW w:w="1420" w:type="dxa"/>
            <w:vMerge w:val="restart"/>
            <w:tcBorders>
              <w:top w:val="single" w:sz="8" w:space="0" w:color="auto"/>
              <w:left w:val="single" w:sz="8" w:space="0" w:color="auto"/>
              <w:bottom w:val="single" w:sz="8" w:space="0" w:color="auto"/>
              <w:right w:val="single" w:sz="8" w:space="0" w:color="auto"/>
            </w:tcBorders>
            <w:shd w:val="clear" w:color="auto" w:fill="auto"/>
            <w:vAlign w:val="bottom"/>
            <w:hideMark/>
          </w:tcPr>
          <w:p w14:paraId="273A6BEE" w14:textId="77777777" w:rsidR="00007F6C" w:rsidRPr="005A770E" w:rsidRDefault="00007F6C" w:rsidP="005E2F1E">
            <w:pPr>
              <w:spacing w:after="0" w:line="240" w:lineRule="auto"/>
              <w:jc w:val="both"/>
              <w:rPr>
                <w:rFonts w:ascii="Calibri" w:eastAsia="Times New Roman" w:hAnsi="Calibri" w:cs="Calibri"/>
                <w:b/>
                <w:bCs/>
                <w:color w:val="000000"/>
                <w:lang w:eastAsia="en-GB"/>
              </w:rPr>
            </w:pPr>
            <w:r w:rsidRPr="005A770E">
              <w:rPr>
                <w:rFonts w:ascii="Calibri" w:eastAsia="Times New Roman" w:hAnsi="Calibri" w:cs="Calibri"/>
                <w:b/>
                <w:bCs/>
                <w:color w:val="000000"/>
                <w:lang w:eastAsia="en-GB"/>
              </w:rPr>
              <w:t>Measurement Number</w:t>
            </w:r>
          </w:p>
        </w:tc>
        <w:tc>
          <w:tcPr>
            <w:tcW w:w="5760" w:type="dxa"/>
            <w:gridSpan w:val="6"/>
            <w:tcBorders>
              <w:top w:val="single" w:sz="8" w:space="0" w:color="auto"/>
              <w:left w:val="nil"/>
              <w:bottom w:val="single" w:sz="8" w:space="0" w:color="auto"/>
              <w:right w:val="single" w:sz="8" w:space="0" w:color="auto"/>
            </w:tcBorders>
            <w:shd w:val="clear" w:color="auto" w:fill="auto"/>
            <w:noWrap/>
            <w:vAlign w:val="bottom"/>
            <w:hideMark/>
          </w:tcPr>
          <w:p w14:paraId="074B5837" w14:textId="77777777" w:rsidR="00007F6C" w:rsidRPr="005A770E" w:rsidRDefault="00007F6C" w:rsidP="005E2F1E">
            <w:pPr>
              <w:spacing w:after="0" w:line="240" w:lineRule="auto"/>
              <w:jc w:val="both"/>
              <w:rPr>
                <w:rFonts w:ascii="Calibri" w:eastAsia="Times New Roman" w:hAnsi="Calibri" w:cs="Calibri"/>
                <w:b/>
                <w:bCs/>
                <w:color w:val="000000"/>
                <w:lang w:eastAsia="en-GB"/>
              </w:rPr>
            </w:pPr>
            <w:r w:rsidRPr="005A770E">
              <w:rPr>
                <w:rFonts w:ascii="Calibri" w:eastAsia="Times New Roman" w:hAnsi="Calibri" w:cs="Calibri"/>
                <w:b/>
                <w:bCs/>
                <w:color w:val="000000"/>
                <w:lang w:eastAsia="en-GB"/>
              </w:rPr>
              <w:t>Slice Number</w:t>
            </w:r>
          </w:p>
        </w:tc>
        <w:tc>
          <w:tcPr>
            <w:tcW w:w="1900" w:type="dxa"/>
            <w:tcBorders>
              <w:top w:val="nil"/>
              <w:left w:val="nil"/>
              <w:bottom w:val="single" w:sz="4" w:space="0" w:color="auto"/>
              <w:right w:val="nil"/>
            </w:tcBorders>
            <w:shd w:val="clear" w:color="auto" w:fill="auto"/>
            <w:noWrap/>
            <w:vAlign w:val="bottom"/>
            <w:hideMark/>
          </w:tcPr>
          <w:p w14:paraId="7083E5C8" w14:textId="77777777" w:rsidR="00007F6C" w:rsidRPr="005A770E" w:rsidRDefault="00007F6C" w:rsidP="005E2F1E">
            <w:pPr>
              <w:spacing w:after="0" w:line="240" w:lineRule="auto"/>
              <w:jc w:val="both"/>
              <w:rPr>
                <w:rFonts w:ascii="Calibri" w:eastAsia="Times New Roman" w:hAnsi="Calibri" w:cs="Calibri"/>
                <w:b/>
                <w:bCs/>
                <w:color w:val="000000"/>
                <w:lang w:eastAsia="en-GB"/>
              </w:rPr>
            </w:pPr>
          </w:p>
        </w:tc>
      </w:tr>
      <w:tr w:rsidR="00007F6C" w:rsidRPr="005A770E" w14:paraId="14A54787" w14:textId="77777777" w:rsidTr="005E2F1E">
        <w:trPr>
          <w:trHeight w:val="315"/>
        </w:trPr>
        <w:tc>
          <w:tcPr>
            <w:tcW w:w="1420" w:type="dxa"/>
            <w:vMerge/>
            <w:tcBorders>
              <w:top w:val="single" w:sz="8" w:space="0" w:color="auto"/>
              <w:left w:val="single" w:sz="8" w:space="0" w:color="auto"/>
              <w:bottom w:val="single" w:sz="8" w:space="0" w:color="auto"/>
              <w:right w:val="single" w:sz="8" w:space="0" w:color="auto"/>
            </w:tcBorders>
            <w:vAlign w:val="center"/>
            <w:hideMark/>
          </w:tcPr>
          <w:p w14:paraId="6C92F62B" w14:textId="77777777" w:rsidR="00007F6C" w:rsidRPr="005A770E" w:rsidRDefault="00007F6C" w:rsidP="005E2F1E">
            <w:pPr>
              <w:spacing w:after="0" w:line="240" w:lineRule="auto"/>
              <w:jc w:val="both"/>
              <w:rPr>
                <w:rFonts w:ascii="Calibri" w:eastAsia="Times New Roman" w:hAnsi="Calibri" w:cs="Calibri"/>
                <w:b/>
                <w:bCs/>
                <w:color w:val="000000"/>
                <w:lang w:eastAsia="en-GB"/>
              </w:rPr>
            </w:pPr>
          </w:p>
        </w:tc>
        <w:tc>
          <w:tcPr>
            <w:tcW w:w="960" w:type="dxa"/>
            <w:tcBorders>
              <w:top w:val="nil"/>
              <w:left w:val="nil"/>
              <w:bottom w:val="nil"/>
              <w:right w:val="single" w:sz="8" w:space="0" w:color="auto"/>
            </w:tcBorders>
            <w:shd w:val="clear" w:color="auto" w:fill="auto"/>
            <w:noWrap/>
            <w:vAlign w:val="bottom"/>
            <w:hideMark/>
          </w:tcPr>
          <w:p w14:paraId="5CFAB8D2" w14:textId="77777777" w:rsidR="00007F6C" w:rsidRPr="005A770E" w:rsidRDefault="00007F6C" w:rsidP="005E2F1E">
            <w:pPr>
              <w:spacing w:after="0" w:line="240" w:lineRule="auto"/>
              <w:jc w:val="both"/>
              <w:rPr>
                <w:rFonts w:ascii="Calibri" w:eastAsia="Times New Roman" w:hAnsi="Calibri" w:cs="Calibri"/>
                <w:b/>
                <w:bCs/>
                <w:color w:val="000000"/>
                <w:lang w:eastAsia="en-GB"/>
              </w:rPr>
            </w:pPr>
            <w:r w:rsidRPr="005A770E">
              <w:rPr>
                <w:rFonts w:ascii="Calibri" w:eastAsia="Times New Roman" w:hAnsi="Calibri" w:cs="Calibri"/>
                <w:b/>
                <w:bCs/>
                <w:color w:val="000000"/>
                <w:lang w:eastAsia="en-GB"/>
              </w:rPr>
              <w:t>370</w:t>
            </w:r>
          </w:p>
        </w:tc>
        <w:tc>
          <w:tcPr>
            <w:tcW w:w="960" w:type="dxa"/>
            <w:tcBorders>
              <w:top w:val="nil"/>
              <w:left w:val="nil"/>
              <w:bottom w:val="nil"/>
              <w:right w:val="single" w:sz="8" w:space="0" w:color="auto"/>
            </w:tcBorders>
            <w:shd w:val="clear" w:color="auto" w:fill="auto"/>
            <w:noWrap/>
            <w:vAlign w:val="bottom"/>
            <w:hideMark/>
          </w:tcPr>
          <w:p w14:paraId="19912B08" w14:textId="77777777" w:rsidR="00007F6C" w:rsidRPr="005A770E" w:rsidRDefault="00007F6C" w:rsidP="005E2F1E">
            <w:pPr>
              <w:spacing w:after="0" w:line="240" w:lineRule="auto"/>
              <w:jc w:val="both"/>
              <w:rPr>
                <w:rFonts w:ascii="Calibri" w:eastAsia="Times New Roman" w:hAnsi="Calibri" w:cs="Calibri"/>
                <w:b/>
                <w:bCs/>
                <w:color w:val="000000"/>
                <w:lang w:eastAsia="en-GB"/>
              </w:rPr>
            </w:pPr>
            <w:r w:rsidRPr="005A770E">
              <w:rPr>
                <w:rFonts w:ascii="Calibri" w:eastAsia="Times New Roman" w:hAnsi="Calibri" w:cs="Calibri"/>
                <w:b/>
                <w:bCs/>
                <w:color w:val="000000"/>
                <w:lang w:eastAsia="en-GB"/>
              </w:rPr>
              <w:t>375</w:t>
            </w:r>
          </w:p>
        </w:tc>
        <w:tc>
          <w:tcPr>
            <w:tcW w:w="960" w:type="dxa"/>
            <w:tcBorders>
              <w:top w:val="nil"/>
              <w:left w:val="nil"/>
              <w:bottom w:val="nil"/>
              <w:right w:val="single" w:sz="8" w:space="0" w:color="auto"/>
            </w:tcBorders>
            <w:shd w:val="clear" w:color="auto" w:fill="auto"/>
            <w:noWrap/>
            <w:vAlign w:val="bottom"/>
            <w:hideMark/>
          </w:tcPr>
          <w:p w14:paraId="712C841B" w14:textId="77777777" w:rsidR="00007F6C" w:rsidRPr="005A770E" w:rsidRDefault="00007F6C" w:rsidP="005E2F1E">
            <w:pPr>
              <w:spacing w:after="0" w:line="240" w:lineRule="auto"/>
              <w:jc w:val="both"/>
              <w:rPr>
                <w:rFonts w:ascii="Calibri" w:eastAsia="Times New Roman" w:hAnsi="Calibri" w:cs="Calibri"/>
                <w:b/>
                <w:bCs/>
                <w:color w:val="000000"/>
                <w:lang w:eastAsia="en-GB"/>
              </w:rPr>
            </w:pPr>
            <w:r w:rsidRPr="005A770E">
              <w:rPr>
                <w:rFonts w:ascii="Calibri" w:eastAsia="Times New Roman" w:hAnsi="Calibri" w:cs="Calibri"/>
                <w:b/>
                <w:bCs/>
                <w:color w:val="000000"/>
                <w:lang w:eastAsia="en-GB"/>
              </w:rPr>
              <w:t>380</w:t>
            </w:r>
          </w:p>
        </w:tc>
        <w:tc>
          <w:tcPr>
            <w:tcW w:w="960" w:type="dxa"/>
            <w:tcBorders>
              <w:top w:val="nil"/>
              <w:left w:val="nil"/>
              <w:bottom w:val="nil"/>
              <w:right w:val="single" w:sz="8" w:space="0" w:color="auto"/>
            </w:tcBorders>
            <w:shd w:val="clear" w:color="auto" w:fill="auto"/>
            <w:noWrap/>
            <w:vAlign w:val="bottom"/>
            <w:hideMark/>
          </w:tcPr>
          <w:p w14:paraId="53D4F479" w14:textId="77777777" w:rsidR="00007F6C" w:rsidRPr="005A770E" w:rsidRDefault="00007F6C" w:rsidP="005E2F1E">
            <w:pPr>
              <w:spacing w:after="0" w:line="240" w:lineRule="auto"/>
              <w:jc w:val="both"/>
              <w:rPr>
                <w:rFonts w:ascii="Calibri" w:eastAsia="Times New Roman" w:hAnsi="Calibri" w:cs="Calibri"/>
                <w:b/>
                <w:bCs/>
                <w:color w:val="000000"/>
                <w:lang w:eastAsia="en-GB"/>
              </w:rPr>
            </w:pPr>
            <w:r w:rsidRPr="005A770E">
              <w:rPr>
                <w:rFonts w:ascii="Calibri" w:eastAsia="Times New Roman" w:hAnsi="Calibri" w:cs="Calibri"/>
                <w:b/>
                <w:bCs/>
                <w:color w:val="000000"/>
                <w:lang w:eastAsia="en-GB"/>
              </w:rPr>
              <w:t>385</w:t>
            </w:r>
          </w:p>
        </w:tc>
        <w:tc>
          <w:tcPr>
            <w:tcW w:w="960" w:type="dxa"/>
            <w:tcBorders>
              <w:top w:val="nil"/>
              <w:left w:val="nil"/>
              <w:bottom w:val="nil"/>
              <w:right w:val="single" w:sz="8" w:space="0" w:color="auto"/>
            </w:tcBorders>
            <w:shd w:val="clear" w:color="auto" w:fill="auto"/>
            <w:noWrap/>
            <w:vAlign w:val="bottom"/>
            <w:hideMark/>
          </w:tcPr>
          <w:p w14:paraId="2BB398C1" w14:textId="77777777" w:rsidR="00007F6C" w:rsidRPr="005A770E" w:rsidRDefault="00007F6C" w:rsidP="005E2F1E">
            <w:pPr>
              <w:spacing w:after="0" w:line="240" w:lineRule="auto"/>
              <w:jc w:val="both"/>
              <w:rPr>
                <w:rFonts w:ascii="Calibri" w:eastAsia="Times New Roman" w:hAnsi="Calibri" w:cs="Calibri"/>
                <w:b/>
                <w:bCs/>
                <w:color w:val="000000"/>
                <w:lang w:eastAsia="en-GB"/>
              </w:rPr>
            </w:pPr>
            <w:r w:rsidRPr="005A770E">
              <w:rPr>
                <w:rFonts w:ascii="Calibri" w:eastAsia="Times New Roman" w:hAnsi="Calibri" w:cs="Calibri"/>
                <w:b/>
                <w:bCs/>
                <w:color w:val="000000"/>
                <w:lang w:eastAsia="en-GB"/>
              </w:rPr>
              <w:t>390</w:t>
            </w:r>
          </w:p>
        </w:tc>
        <w:tc>
          <w:tcPr>
            <w:tcW w:w="960" w:type="dxa"/>
            <w:tcBorders>
              <w:top w:val="nil"/>
              <w:left w:val="nil"/>
              <w:bottom w:val="nil"/>
              <w:right w:val="single" w:sz="4" w:space="0" w:color="auto"/>
            </w:tcBorders>
            <w:shd w:val="clear" w:color="auto" w:fill="auto"/>
            <w:noWrap/>
            <w:vAlign w:val="bottom"/>
            <w:hideMark/>
          </w:tcPr>
          <w:p w14:paraId="23F7F2F1" w14:textId="77777777" w:rsidR="00007F6C" w:rsidRPr="005A770E" w:rsidRDefault="00007F6C" w:rsidP="005E2F1E">
            <w:pPr>
              <w:spacing w:after="0" w:line="240" w:lineRule="auto"/>
              <w:jc w:val="both"/>
              <w:rPr>
                <w:rFonts w:ascii="Calibri" w:eastAsia="Times New Roman" w:hAnsi="Calibri" w:cs="Calibri"/>
                <w:b/>
                <w:bCs/>
                <w:color w:val="000000"/>
                <w:lang w:eastAsia="en-GB"/>
              </w:rPr>
            </w:pPr>
            <w:r w:rsidRPr="005A770E">
              <w:rPr>
                <w:rFonts w:ascii="Calibri" w:eastAsia="Times New Roman" w:hAnsi="Calibri" w:cs="Calibri"/>
                <w:b/>
                <w:bCs/>
                <w:color w:val="000000"/>
                <w:lang w:eastAsia="en-GB"/>
              </w:rPr>
              <w:t>395</w:t>
            </w:r>
          </w:p>
        </w:tc>
        <w:tc>
          <w:tcPr>
            <w:tcW w:w="1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2FBE52" w14:textId="77777777" w:rsidR="00007F6C" w:rsidRPr="005A770E" w:rsidRDefault="00007F6C" w:rsidP="005E2F1E">
            <w:pPr>
              <w:spacing w:after="0" w:line="240" w:lineRule="auto"/>
              <w:jc w:val="both"/>
              <w:rPr>
                <w:rFonts w:ascii="Calibri" w:eastAsia="Times New Roman" w:hAnsi="Calibri" w:cs="Calibri"/>
                <w:b/>
                <w:bCs/>
                <w:color w:val="000000"/>
                <w:lang w:eastAsia="en-GB"/>
              </w:rPr>
            </w:pPr>
            <w:r w:rsidRPr="005A770E">
              <w:rPr>
                <w:rFonts w:ascii="Calibri" w:eastAsia="Times New Roman" w:hAnsi="Calibri" w:cs="Calibri"/>
                <w:b/>
                <w:bCs/>
                <w:color w:val="000000"/>
                <w:lang w:eastAsia="en-GB"/>
              </w:rPr>
              <w:t>Minimum GSV</w:t>
            </w:r>
          </w:p>
        </w:tc>
      </w:tr>
      <w:tr w:rsidR="00007F6C" w:rsidRPr="005A770E" w14:paraId="4373BD93"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23B5C3B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F21E36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40.781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21DA86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43.688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6D35EC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6.444</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5E7B17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6.000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48FEC6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30.000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06D4B3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35.581</w:t>
            </w:r>
          </w:p>
        </w:tc>
        <w:tc>
          <w:tcPr>
            <w:tcW w:w="1900" w:type="dxa"/>
            <w:tcBorders>
              <w:top w:val="single" w:sz="4" w:space="0" w:color="auto"/>
              <w:left w:val="nil"/>
              <w:bottom w:val="single" w:sz="4" w:space="0" w:color="auto"/>
              <w:right w:val="single" w:sz="4" w:space="0" w:color="auto"/>
            </w:tcBorders>
            <w:shd w:val="clear" w:color="auto" w:fill="auto"/>
            <w:noWrap/>
            <w:vAlign w:val="bottom"/>
            <w:hideMark/>
          </w:tcPr>
          <w:p w14:paraId="4BEC4DD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3.00</w:t>
            </w:r>
          </w:p>
        </w:tc>
      </w:tr>
      <w:tr w:rsidR="00007F6C" w:rsidRPr="005A770E" w14:paraId="6A908A37"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4A3C834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w:t>
            </w:r>
          </w:p>
        </w:tc>
        <w:tc>
          <w:tcPr>
            <w:tcW w:w="960" w:type="dxa"/>
            <w:tcBorders>
              <w:top w:val="nil"/>
              <w:left w:val="nil"/>
              <w:bottom w:val="single" w:sz="4" w:space="0" w:color="auto"/>
              <w:right w:val="single" w:sz="4" w:space="0" w:color="auto"/>
            </w:tcBorders>
            <w:shd w:val="clear" w:color="auto" w:fill="auto"/>
            <w:noWrap/>
            <w:vAlign w:val="bottom"/>
            <w:hideMark/>
          </w:tcPr>
          <w:p w14:paraId="0E84EA3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38.344</w:t>
            </w:r>
          </w:p>
        </w:tc>
        <w:tc>
          <w:tcPr>
            <w:tcW w:w="960" w:type="dxa"/>
            <w:tcBorders>
              <w:top w:val="nil"/>
              <w:left w:val="nil"/>
              <w:bottom w:val="single" w:sz="4" w:space="0" w:color="auto"/>
              <w:right w:val="single" w:sz="4" w:space="0" w:color="auto"/>
            </w:tcBorders>
            <w:shd w:val="clear" w:color="auto" w:fill="auto"/>
            <w:noWrap/>
            <w:vAlign w:val="bottom"/>
            <w:hideMark/>
          </w:tcPr>
          <w:p w14:paraId="1C1A65B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39.281</w:t>
            </w:r>
          </w:p>
        </w:tc>
        <w:tc>
          <w:tcPr>
            <w:tcW w:w="960" w:type="dxa"/>
            <w:tcBorders>
              <w:top w:val="nil"/>
              <w:left w:val="nil"/>
              <w:bottom w:val="single" w:sz="4" w:space="0" w:color="auto"/>
              <w:right w:val="single" w:sz="4" w:space="0" w:color="auto"/>
            </w:tcBorders>
            <w:shd w:val="clear" w:color="auto" w:fill="auto"/>
            <w:noWrap/>
            <w:vAlign w:val="bottom"/>
            <w:hideMark/>
          </w:tcPr>
          <w:p w14:paraId="3BBD3BF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8.820</w:t>
            </w:r>
          </w:p>
        </w:tc>
        <w:tc>
          <w:tcPr>
            <w:tcW w:w="960" w:type="dxa"/>
            <w:tcBorders>
              <w:top w:val="nil"/>
              <w:left w:val="nil"/>
              <w:bottom w:val="single" w:sz="4" w:space="0" w:color="auto"/>
              <w:right w:val="single" w:sz="4" w:space="0" w:color="auto"/>
            </w:tcBorders>
            <w:shd w:val="clear" w:color="auto" w:fill="auto"/>
            <w:noWrap/>
            <w:vAlign w:val="bottom"/>
            <w:hideMark/>
          </w:tcPr>
          <w:p w14:paraId="65B1DFF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4.798</w:t>
            </w:r>
          </w:p>
        </w:tc>
        <w:tc>
          <w:tcPr>
            <w:tcW w:w="960" w:type="dxa"/>
            <w:tcBorders>
              <w:top w:val="nil"/>
              <w:left w:val="nil"/>
              <w:bottom w:val="single" w:sz="4" w:space="0" w:color="auto"/>
              <w:right w:val="single" w:sz="4" w:space="0" w:color="auto"/>
            </w:tcBorders>
            <w:shd w:val="clear" w:color="auto" w:fill="auto"/>
            <w:noWrap/>
            <w:vAlign w:val="bottom"/>
            <w:hideMark/>
          </w:tcPr>
          <w:p w14:paraId="73EB2A1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25.560</w:t>
            </w:r>
          </w:p>
        </w:tc>
        <w:tc>
          <w:tcPr>
            <w:tcW w:w="960" w:type="dxa"/>
            <w:tcBorders>
              <w:top w:val="nil"/>
              <w:left w:val="nil"/>
              <w:bottom w:val="single" w:sz="4" w:space="0" w:color="auto"/>
              <w:right w:val="single" w:sz="4" w:space="0" w:color="auto"/>
            </w:tcBorders>
            <w:shd w:val="clear" w:color="auto" w:fill="auto"/>
            <w:noWrap/>
            <w:vAlign w:val="bottom"/>
            <w:hideMark/>
          </w:tcPr>
          <w:p w14:paraId="1FBB19F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33.323</w:t>
            </w:r>
          </w:p>
        </w:tc>
        <w:tc>
          <w:tcPr>
            <w:tcW w:w="1900" w:type="dxa"/>
            <w:tcBorders>
              <w:top w:val="single" w:sz="4" w:space="0" w:color="auto"/>
              <w:left w:val="nil"/>
              <w:bottom w:val="single" w:sz="4" w:space="0" w:color="auto"/>
              <w:right w:val="single" w:sz="4" w:space="0" w:color="auto"/>
            </w:tcBorders>
            <w:shd w:val="clear" w:color="auto" w:fill="auto"/>
            <w:noWrap/>
            <w:vAlign w:val="bottom"/>
            <w:hideMark/>
          </w:tcPr>
          <w:p w14:paraId="67DED4A4" w14:textId="77777777" w:rsidR="00007F6C" w:rsidRPr="005A770E" w:rsidRDefault="00007F6C" w:rsidP="005E2F1E">
            <w:pPr>
              <w:spacing w:after="0" w:line="240" w:lineRule="auto"/>
              <w:jc w:val="both"/>
              <w:rPr>
                <w:rFonts w:ascii="Calibri" w:eastAsia="Times New Roman" w:hAnsi="Calibri" w:cs="Calibri"/>
                <w:b/>
                <w:bCs/>
                <w:color w:val="000000"/>
                <w:lang w:eastAsia="en-GB"/>
              </w:rPr>
            </w:pPr>
            <w:r w:rsidRPr="005A770E">
              <w:rPr>
                <w:rFonts w:ascii="Calibri" w:eastAsia="Times New Roman" w:hAnsi="Calibri" w:cs="Calibri"/>
                <w:b/>
                <w:bCs/>
                <w:color w:val="000000"/>
                <w:lang w:eastAsia="en-GB"/>
              </w:rPr>
              <w:t>Maximum GSV</w:t>
            </w:r>
          </w:p>
        </w:tc>
      </w:tr>
      <w:tr w:rsidR="00007F6C" w:rsidRPr="005A770E" w14:paraId="50B44C14"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46135CB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w:t>
            </w:r>
          </w:p>
        </w:tc>
        <w:tc>
          <w:tcPr>
            <w:tcW w:w="960" w:type="dxa"/>
            <w:tcBorders>
              <w:top w:val="nil"/>
              <w:left w:val="nil"/>
              <w:bottom w:val="single" w:sz="4" w:space="0" w:color="auto"/>
              <w:right w:val="single" w:sz="4" w:space="0" w:color="auto"/>
            </w:tcBorders>
            <w:shd w:val="clear" w:color="auto" w:fill="auto"/>
            <w:noWrap/>
            <w:vAlign w:val="bottom"/>
            <w:hideMark/>
          </w:tcPr>
          <w:p w14:paraId="6FD982B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36.906</w:t>
            </w:r>
          </w:p>
        </w:tc>
        <w:tc>
          <w:tcPr>
            <w:tcW w:w="960" w:type="dxa"/>
            <w:tcBorders>
              <w:top w:val="nil"/>
              <w:left w:val="nil"/>
              <w:bottom w:val="single" w:sz="4" w:space="0" w:color="auto"/>
              <w:right w:val="single" w:sz="4" w:space="0" w:color="auto"/>
            </w:tcBorders>
            <w:shd w:val="clear" w:color="auto" w:fill="auto"/>
            <w:noWrap/>
            <w:vAlign w:val="bottom"/>
            <w:hideMark/>
          </w:tcPr>
          <w:p w14:paraId="0677BDC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36.125</w:t>
            </w:r>
          </w:p>
        </w:tc>
        <w:tc>
          <w:tcPr>
            <w:tcW w:w="960" w:type="dxa"/>
            <w:tcBorders>
              <w:top w:val="nil"/>
              <w:left w:val="nil"/>
              <w:bottom w:val="single" w:sz="4" w:space="0" w:color="auto"/>
              <w:right w:val="single" w:sz="4" w:space="0" w:color="auto"/>
            </w:tcBorders>
            <w:shd w:val="clear" w:color="auto" w:fill="auto"/>
            <w:noWrap/>
            <w:vAlign w:val="bottom"/>
            <w:hideMark/>
          </w:tcPr>
          <w:p w14:paraId="3AB96B4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11.306</w:t>
            </w:r>
          </w:p>
        </w:tc>
        <w:tc>
          <w:tcPr>
            <w:tcW w:w="960" w:type="dxa"/>
            <w:tcBorders>
              <w:top w:val="nil"/>
              <w:left w:val="nil"/>
              <w:bottom w:val="single" w:sz="4" w:space="0" w:color="auto"/>
              <w:right w:val="single" w:sz="4" w:space="0" w:color="auto"/>
            </w:tcBorders>
            <w:shd w:val="clear" w:color="auto" w:fill="auto"/>
            <w:noWrap/>
            <w:vAlign w:val="bottom"/>
            <w:hideMark/>
          </w:tcPr>
          <w:p w14:paraId="7654EAF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4.042</w:t>
            </w:r>
          </w:p>
        </w:tc>
        <w:tc>
          <w:tcPr>
            <w:tcW w:w="960" w:type="dxa"/>
            <w:tcBorders>
              <w:top w:val="nil"/>
              <w:left w:val="nil"/>
              <w:bottom w:val="single" w:sz="4" w:space="0" w:color="auto"/>
              <w:right w:val="single" w:sz="4" w:space="0" w:color="auto"/>
            </w:tcBorders>
            <w:shd w:val="clear" w:color="auto" w:fill="auto"/>
            <w:noWrap/>
            <w:vAlign w:val="bottom"/>
            <w:hideMark/>
          </w:tcPr>
          <w:p w14:paraId="32C6E8B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23.560</w:t>
            </w:r>
          </w:p>
        </w:tc>
        <w:tc>
          <w:tcPr>
            <w:tcW w:w="960" w:type="dxa"/>
            <w:tcBorders>
              <w:top w:val="nil"/>
              <w:left w:val="nil"/>
              <w:bottom w:val="single" w:sz="4" w:space="0" w:color="auto"/>
              <w:right w:val="single" w:sz="4" w:space="0" w:color="auto"/>
            </w:tcBorders>
            <w:shd w:val="clear" w:color="auto" w:fill="auto"/>
            <w:noWrap/>
            <w:vAlign w:val="bottom"/>
            <w:hideMark/>
          </w:tcPr>
          <w:p w14:paraId="13DA660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31.161</w:t>
            </w:r>
          </w:p>
        </w:tc>
        <w:tc>
          <w:tcPr>
            <w:tcW w:w="1900" w:type="dxa"/>
            <w:tcBorders>
              <w:top w:val="single" w:sz="4" w:space="0" w:color="auto"/>
              <w:left w:val="nil"/>
              <w:bottom w:val="single" w:sz="4" w:space="0" w:color="auto"/>
              <w:right w:val="single" w:sz="4" w:space="0" w:color="auto"/>
            </w:tcBorders>
            <w:shd w:val="clear" w:color="auto" w:fill="auto"/>
            <w:noWrap/>
            <w:vAlign w:val="bottom"/>
            <w:hideMark/>
          </w:tcPr>
          <w:p w14:paraId="3C88370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43.6</w:t>
            </w:r>
            <w:r>
              <w:rPr>
                <w:rFonts w:ascii="Calibri" w:eastAsia="Times New Roman" w:hAnsi="Calibri" w:cs="Calibri"/>
                <w:color w:val="000000"/>
                <w:lang w:eastAsia="en-GB"/>
              </w:rPr>
              <w:t>9</w:t>
            </w:r>
          </w:p>
        </w:tc>
      </w:tr>
      <w:tr w:rsidR="00007F6C" w:rsidRPr="005A770E" w14:paraId="53636067"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2FD7861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w:t>
            </w:r>
          </w:p>
        </w:tc>
        <w:tc>
          <w:tcPr>
            <w:tcW w:w="960" w:type="dxa"/>
            <w:tcBorders>
              <w:top w:val="nil"/>
              <w:left w:val="nil"/>
              <w:bottom w:val="single" w:sz="4" w:space="0" w:color="auto"/>
              <w:right w:val="single" w:sz="4" w:space="0" w:color="auto"/>
            </w:tcBorders>
            <w:shd w:val="clear" w:color="auto" w:fill="auto"/>
            <w:noWrap/>
            <w:vAlign w:val="bottom"/>
            <w:hideMark/>
          </w:tcPr>
          <w:p w14:paraId="7A40E11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35.750</w:t>
            </w:r>
          </w:p>
        </w:tc>
        <w:tc>
          <w:tcPr>
            <w:tcW w:w="960" w:type="dxa"/>
            <w:tcBorders>
              <w:top w:val="nil"/>
              <w:left w:val="nil"/>
              <w:bottom w:val="single" w:sz="4" w:space="0" w:color="auto"/>
              <w:right w:val="single" w:sz="4" w:space="0" w:color="auto"/>
            </w:tcBorders>
            <w:shd w:val="clear" w:color="auto" w:fill="auto"/>
            <w:noWrap/>
            <w:vAlign w:val="bottom"/>
            <w:hideMark/>
          </w:tcPr>
          <w:p w14:paraId="2609534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34.281</w:t>
            </w:r>
          </w:p>
        </w:tc>
        <w:tc>
          <w:tcPr>
            <w:tcW w:w="960" w:type="dxa"/>
            <w:tcBorders>
              <w:top w:val="nil"/>
              <w:left w:val="nil"/>
              <w:bottom w:val="single" w:sz="4" w:space="0" w:color="auto"/>
              <w:right w:val="single" w:sz="4" w:space="0" w:color="auto"/>
            </w:tcBorders>
            <w:shd w:val="clear" w:color="auto" w:fill="auto"/>
            <w:noWrap/>
            <w:vAlign w:val="bottom"/>
            <w:hideMark/>
          </w:tcPr>
          <w:p w14:paraId="4ECBBB2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13.031</w:t>
            </w:r>
          </w:p>
        </w:tc>
        <w:tc>
          <w:tcPr>
            <w:tcW w:w="960" w:type="dxa"/>
            <w:tcBorders>
              <w:top w:val="nil"/>
              <w:left w:val="nil"/>
              <w:bottom w:val="single" w:sz="4" w:space="0" w:color="auto"/>
              <w:right w:val="single" w:sz="4" w:space="0" w:color="auto"/>
            </w:tcBorders>
            <w:shd w:val="clear" w:color="auto" w:fill="auto"/>
            <w:noWrap/>
            <w:vAlign w:val="bottom"/>
            <w:hideMark/>
          </w:tcPr>
          <w:p w14:paraId="78D7BF8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3.128</w:t>
            </w:r>
          </w:p>
        </w:tc>
        <w:tc>
          <w:tcPr>
            <w:tcW w:w="960" w:type="dxa"/>
            <w:tcBorders>
              <w:top w:val="nil"/>
              <w:left w:val="nil"/>
              <w:bottom w:val="single" w:sz="4" w:space="0" w:color="auto"/>
              <w:right w:val="single" w:sz="4" w:space="0" w:color="auto"/>
            </w:tcBorders>
            <w:shd w:val="clear" w:color="auto" w:fill="auto"/>
            <w:noWrap/>
            <w:vAlign w:val="bottom"/>
            <w:hideMark/>
          </w:tcPr>
          <w:p w14:paraId="07DA86C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21.840</w:t>
            </w:r>
          </w:p>
        </w:tc>
        <w:tc>
          <w:tcPr>
            <w:tcW w:w="960" w:type="dxa"/>
            <w:tcBorders>
              <w:top w:val="nil"/>
              <w:left w:val="nil"/>
              <w:bottom w:val="single" w:sz="4" w:space="0" w:color="auto"/>
              <w:right w:val="single" w:sz="4" w:space="0" w:color="auto"/>
            </w:tcBorders>
            <w:shd w:val="clear" w:color="auto" w:fill="auto"/>
            <w:noWrap/>
            <w:vAlign w:val="bottom"/>
            <w:hideMark/>
          </w:tcPr>
          <w:p w14:paraId="6570CB0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29.226</w:t>
            </w:r>
          </w:p>
        </w:tc>
        <w:tc>
          <w:tcPr>
            <w:tcW w:w="1900" w:type="dxa"/>
            <w:tcBorders>
              <w:top w:val="single" w:sz="4" w:space="0" w:color="auto"/>
              <w:left w:val="nil"/>
              <w:bottom w:val="single" w:sz="4" w:space="0" w:color="auto"/>
              <w:right w:val="single" w:sz="4" w:space="0" w:color="auto"/>
            </w:tcBorders>
            <w:shd w:val="clear" w:color="auto" w:fill="auto"/>
            <w:noWrap/>
            <w:vAlign w:val="bottom"/>
            <w:hideMark/>
          </w:tcPr>
          <w:p w14:paraId="33295309" w14:textId="77777777" w:rsidR="00007F6C" w:rsidRPr="005A770E" w:rsidRDefault="00007F6C" w:rsidP="005E2F1E">
            <w:pPr>
              <w:spacing w:after="0" w:line="240" w:lineRule="auto"/>
              <w:jc w:val="both"/>
              <w:rPr>
                <w:rFonts w:ascii="Calibri" w:eastAsia="Times New Roman" w:hAnsi="Calibri" w:cs="Calibri"/>
                <w:b/>
                <w:bCs/>
                <w:color w:val="000000"/>
                <w:lang w:eastAsia="en-GB"/>
              </w:rPr>
            </w:pPr>
            <w:r w:rsidRPr="005A770E">
              <w:rPr>
                <w:rFonts w:ascii="Calibri" w:eastAsia="Times New Roman" w:hAnsi="Calibri" w:cs="Calibri"/>
                <w:b/>
                <w:bCs/>
                <w:color w:val="000000"/>
                <w:lang w:eastAsia="en-GB"/>
              </w:rPr>
              <w:t>Average GSV</w:t>
            </w:r>
          </w:p>
        </w:tc>
      </w:tr>
      <w:tr w:rsidR="00007F6C" w:rsidRPr="005A770E" w14:paraId="57750C48"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26762AF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4</w:t>
            </w:r>
          </w:p>
        </w:tc>
        <w:tc>
          <w:tcPr>
            <w:tcW w:w="960" w:type="dxa"/>
            <w:tcBorders>
              <w:top w:val="nil"/>
              <w:left w:val="nil"/>
              <w:bottom w:val="single" w:sz="4" w:space="0" w:color="auto"/>
              <w:right w:val="single" w:sz="4" w:space="0" w:color="auto"/>
            </w:tcBorders>
            <w:shd w:val="clear" w:color="auto" w:fill="auto"/>
            <w:noWrap/>
            <w:vAlign w:val="bottom"/>
            <w:hideMark/>
          </w:tcPr>
          <w:p w14:paraId="1E5BB7A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35.313</w:t>
            </w:r>
          </w:p>
        </w:tc>
        <w:tc>
          <w:tcPr>
            <w:tcW w:w="960" w:type="dxa"/>
            <w:tcBorders>
              <w:top w:val="nil"/>
              <w:left w:val="nil"/>
              <w:bottom w:val="single" w:sz="4" w:space="0" w:color="auto"/>
              <w:right w:val="single" w:sz="4" w:space="0" w:color="auto"/>
            </w:tcBorders>
            <w:shd w:val="clear" w:color="auto" w:fill="auto"/>
            <w:noWrap/>
            <w:vAlign w:val="bottom"/>
            <w:hideMark/>
          </w:tcPr>
          <w:p w14:paraId="3FA22F2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33.156</w:t>
            </w:r>
          </w:p>
        </w:tc>
        <w:tc>
          <w:tcPr>
            <w:tcW w:w="960" w:type="dxa"/>
            <w:tcBorders>
              <w:top w:val="nil"/>
              <w:left w:val="nil"/>
              <w:bottom w:val="single" w:sz="4" w:space="0" w:color="auto"/>
              <w:right w:val="single" w:sz="4" w:space="0" w:color="auto"/>
            </w:tcBorders>
            <w:shd w:val="clear" w:color="auto" w:fill="auto"/>
            <w:noWrap/>
            <w:vAlign w:val="bottom"/>
            <w:hideMark/>
          </w:tcPr>
          <w:p w14:paraId="4BF8CE8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13.922</w:t>
            </w:r>
          </w:p>
        </w:tc>
        <w:tc>
          <w:tcPr>
            <w:tcW w:w="960" w:type="dxa"/>
            <w:tcBorders>
              <w:top w:val="nil"/>
              <w:left w:val="nil"/>
              <w:bottom w:val="single" w:sz="4" w:space="0" w:color="auto"/>
              <w:right w:val="single" w:sz="4" w:space="0" w:color="auto"/>
            </w:tcBorders>
            <w:shd w:val="clear" w:color="auto" w:fill="auto"/>
            <w:noWrap/>
            <w:vAlign w:val="bottom"/>
            <w:hideMark/>
          </w:tcPr>
          <w:p w14:paraId="2318E51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3.000</w:t>
            </w:r>
          </w:p>
        </w:tc>
        <w:tc>
          <w:tcPr>
            <w:tcW w:w="960" w:type="dxa"/>
            <w:tcBorders>
              <w:top w:val="nil"/>
              <w:left w:val="nil"/>
              <w:bottom w:val="single" w:sz="4" w:space="0" w:color="auto"/>
              <w:right w:val="single" w:sz="4" w:space="0" w:color="auto"/>
            </w:tcBorders>
            <w:shd w:val="clear" w:color="auto" w:fill="auto"/>
            <w:noWrap/>
            <w:vAlign w:val="bottom"/>
            <w:hideMark/>
          </w:tcPr>
          <w:p w14:paraId="0D18A1F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20.120</w:t>
            </w:r>
          </w:p>
        </w:tc>
        <w:tc>
          <w:tcPr>
            <w:tcW w:w="960" w:type="dxa"/>
            <w:tcBorders>
              <w:top w:val="nil"/>
              <w:left w:val="nil"/>
              <w:bottom w:val="single" w:sz="4" w:space="0" w:color="auto"/>
              <w:right w:val="single" w:sz="4" w:space="0" w:color="auto"/>
            </w:tcBorders>
            <w:shd w:val="clear" w:color="auto" w:fill="auto"/>
            <w:noWrap/>
            <w:vAlign w:val="bottom"/>
            <w:hideMark/>
          </w:tcPr>
          <w:p w14:paraId="0509F33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27.936</w:t>
            </w:r>
          </w:p>
        </w:tc>
        <w:tc>
          <w:tcPr>
            <w:tcW w:w="1900" w:type="dxa"/>
            <w:tcBorders>
              <w:top w:val="single" w:sz="4" w:space="0" w:color="auto"/>
              <w:left w:val="nil"/>
              <w:bottom w:val="single" w:sz="4" w:space="0" w:color="auto"/>
              <w:right w:val="single" w:sz="4" w:space="0" w:color="auto"/>
            </w:tcBorders>
            <w:shd w:val="clear" w:color="auto" w:fill="auto"/>
            <w:noWrap/>
            <w:vAlign w:val="bottom"/>
            <w:hideMark/>
          </w:tcPr>
          <w:p w14:paraId="69C5770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24.32</w:t>
            </w:r>
          </w:p>
        </w:tc>
      </w:tr>
      <w:tr w:rsidR="00007F6C" w:rsidRPr="005A770E" w14:paraId="1006BB54"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406508D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5</w:t>
            </w:r>
          </w:p>
        </w:tc>
        <w:tc>
          <w:tcPr>
            <w:tcW w:w="960" w:type="dxa"/>
            <w:tcBorders>
              <w:top w:val="nil"/>
              <w:left w:val="nil"/>
              <w:bottom w:val="single" w:sz="4" w:space="0" w:color="auto"/>
              <w:right w:val="single" w:sz="4" w:space="0" w:color="auto"/>
            </w:tcBorders>
            <w:shd w:val="clear" w:color="auto" w:fill="auto"/>
            <w:noWrap/>
            <w:vAlign w:val="bottom"/>
            <w:hideMark/>
          </w:tcPr>
          <w:p w14:paraId="7F10DC0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34.875</w:t>
            </w:r>
          </w:p>
        </w:tc>
        <w:tc>
          <w:tcPr>
            <w:tcW w:w="960" w:type="dxa"/>
            <w:tcBorders>
              <w:top w:val="nil"/>
              <w:left w:val="nil"/>
              <w:bottom w:val="single" w:sz="4" w:space="0" w:color="auto"/>
              <w:right w:val="single" w:sz="4" w:space="0" w:color="auto"/>
            </w:tcBorders>
            <w:shd w:val="clear" w:color="auto" w:fill="auto"/>
            <w:noWrap/>
            <w:vAlign w:val="bottom"/>
            <w:hideMark/>
          </w:tcPr>
          <w:p w14:paraId="44D69E3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32.656</w:t>
            </w:r>
          </w:p>
        </w:tc>
        <w:tc>
          <w:tcPr>
            <w:tcW w:w="960" w:type="dxa"/>
            <w:tcBorders>
              <w:top w:val="nil"/>
              <w:left w:val="nil"/>
              <w:bottom w:val="single" w:sz="4" w:space="0" w:color="auto"/>
              <w:right w:val="single" w:sz="4" w:space="0" w:color="auto"/>
            </w:tcBorders>
            <w:shd w:val="clear" w:color="auto" w:fill="auto"/>
            <w:noWrap/>
            <w:vAlign w:val="bottom"/>
            <w:hideMark/>
          </w:tcPr>
          <w:p w14:paraId="787F6B9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14.625</w:t>
            </w:r>
          </w:p>
        </w:tc>
        <w:tc>
          <w:tcPr>
            <w:tcW w:w="960" w:type="dxa"/>
            <w:tcBorders>
              <w:top w:val="nil"/>
              <w:left w:val="nil"/>
              <w:bottom w:val="single" w:sz="4" w:space="0" w:color="auto"/>
              <w:right w:val="single" w:sz="4" w:space="0" w:color="auto"/>
            </w:tcBorders>
            <w:shd w:val="clear" w:color="auto" w:fill="auto"/>
            <w:noWrap/>
            <w:vAlign w:val="bottom"/>
            <w:hideMark/>
          </w:tcPr>
          <w:p w14:paraId="4B4F0C4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3.000</w:t>
            </w:r>
          </w:p>
        </w:tc>
        <w:tc>
          <w:tcPr>
            <w:tcW w:w="960" w:type="dxa"/>
            <w:tcBorders>
              <w:top w:val="nil"/>
              <w:left w:val="nil"/>
              <w:bottom w:val="single" w:sz="4" w:space="0" w:color="auto"/>
              <w:right w:val="single" w:sz="4" w:space="0" w:color="auto"/>
            </w:tcBorders>
            <w:shd w:val="clear" w:color="auto" w:fill="auto"/>
            <w:noWrap/>
            <w:vAlign w:val="bottom"/>
            <w:hideMark/>
          </w:tcPr>
          <w:p w14:paraId="3297791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20.400</w:t>
            </w:r>
          </w:p>
        </w:tc>
        <w:tc>
          <w:tcPr>
            <w:tcW w:w="960" w:type="dxa"/>
            <w:tcBorders>
              <w:top w:val="nil"/>
              <w:left w:val="nil"/>
              <w:bottom w:val="single" w:sz="4" w:space="0" w:color="auto"/>
              <w:right w:val="single" w:sz="4" w:space="0" w:color="auto"/>
            </w:tcBorders>
            <w:shd w:val="clear" w:color="auto" w:fill="auto"/>
            <w:noWrap/>
            <w:vAlign w:val="bottom"/>
            <w:hideMark/>
          </w:tcPr>
          <w:p w14:paraId="780CDA5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27.097</w:t>
            </w:r>
          </w:p>
        </w:tc>
        <w:tc>
          <w:tcPr>
            <w:tcW w:w="1900" w:type="dxa"/>
            <w:tcBorders>
              <w:top w:val="single" w:sz="4" w:space="0" w:color="auto"/>
              <w:left w:val="nil"/>
              <w:bottom w:val="single" w:sz="4" w:space="0" w:color="auto"/>
              <w:right w:val="single" w:sz="4" w:space="0" w:color="auto"/>
            </w:tcBorders>
            <w:shd w:val="clear" w:color="auto" w:fill="auto"/>
            <w:noWrap/>
            <w:vAlign w:val="bottom"/>
            <w:hideMark/>
          </w:tcPr>
          <w:p w14:paraId="20203E67" w14:textId="77777777" w:rsidR="00007F6C" w:rsidRPr="005A770E" w:rsidRDefault="00007F6C" w:rsidP="005E2F1E">
            <w:pPr>
              <w:spacing w:after="0" w:line="240" w:lineRule="auto"/>
              <w:jc w:val="both"/>
              <w:rPr>
                <w:rFonts w:ascii="Calibri" w:eastAsia="Times New Roman" w:hAnsi="Calibri" w:cs="Calibri"/>
                <w:b/>
                <w:bCs/>
                <w:color w:val="000000"/>
                <w:lang w:eastAsia="en-GB"/>
              </w:rPr>
            </w:pPr>
            <w:r w:rsidRPr="005A770E">
              <w:rPr>
                <w:rFonts w:ascii="Calibri" w:eastAsia="Times New Roman" w:hAnsi="Calibri" w:cs="Calibri"/>
                <w:b/>
                <w:bCs/>
                <w:color w:val="000000"/>
                <w:lang w:eastAsia="en-GB"/>
              </w:rPr>
              <w:t>Standard Deviation</w:t>
            </w:r>
          </w:p>
        </w:tc>
      </w:tr>
      <w:tr w:rsidR="00007F6C" w:rsidRPr="005A770E" w14:paraId="5DCAB056"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6D4D4B0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6</w:t>
            </w:r>
          </w:p>
        </w:tc>
        <w:tc>
          <w:tcPr>
            <w:tcW w:w="960" w:type="dxa"/>
            <w:tcBorders>
              <w:top w:val="nil"/>
              <w:left w:val="nil"/>
              <w:bottom w:val="single" w:sz="4" w:space="0" w:color="auto"/>
              <w:right w:val="single" w:sz="4" w:space="0" w:color="auto"/>
            </w:tcBorders>
            <w:shd w:val="clear" w:color="auto" w:fill="auto"/>
            <w:noWrap/>
            <w:vAlign w:val="bottom"/>
            <w:hideMark/>
          </w:tcPr>
          <w:p w14:paraId="4944FAC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34.563</w:t>
            </w:r>
          </w:p>
        </w:tc>
        <w:tc>
          <w:tcPr>
            <w:tcW w:w="960" w:type="dxa"/>
            <w:tcBorders>
              <w:top w:val="nil"/>
              <w:left w:val="nil"/>
              <w:bottom w:val="single" w:sz="4" w:space="0" w:color="auto"/>
              <w:right w:val="single" w:sz="4" w:space="0" w:color="auto"/>
            </w:tcBorders>
            <w:shd w:val="clear" w:color="auto" w:fill="auto"/>
            <w:noWrap/>
            <w:vAlign w:val="bottom"/>
            <w:hideMark/>
          </w:tcPr>
          <w:p w14:paraId="7655820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32.438</w:t>
            </w:r>
          </w:p>
        </w:tc>
        <w:tc>
          <w:tcPr>
            <w:tcW w:w="960" w:type="dxa"/>
            <w:tcBorders>
              <w:top w:val="nil"/>
              <w:left w:val="nil"/>
              <w:bottom w:val="single" w:sz="4" w:space="0" w:color="auto"/>
              <w:right w:val="single" w:sz="4" w:space="0" w:color="auto"/>
            </w:tcBorders>
            <w:shd w:val="clear" w:color="auto" w:fill="auto"/>
            <w:noWrap/>
            <w:vAlign w:val="bottom"/>
            <w:hideMark/>
          </w:tcPr>
          <w:p w14:paraId="496A294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16.047</w:t>
            </w:r>
          </w:p>
        </w:tc>
        <w:tc>
          <w:tcPr>
            <w:tcW w:w="960" w:type="dxa"/>
            <w:tcBorders>
              <w:top w:val="nil"/>
              <w:left w:val="nil"/>
              <w:bottom w:val="single" w:sz="4" w:space="0" w:color="auto"/>
              <w:right w:val="single" w:sz="4" w:space="0" w:color="auto"/>
            </w:tcBorders>
            <w:shd w:val="clear" w:color="auto" w:fill="auto"/>
            <w:noWrap/>
            <w:vAlign w:val="bottom"/>
            <w:hideMark/>
          </w:tcPr>
          <w:p w14:paraId="08BF320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3.000</w:t>
            </w:r>
          </w:p>
        </w:tc>
        <w:tc>
          <w:tcPr>
            <w:tcW w:w="960" w:type="dxa"/>
            <w:tcBorders>
              <w:top w:val="nil"/>
              <w:left w:val="nil"/>
              <w:bottom w:val="single" w:sz="4" w:space="0" w:color="auto"/>
              <w:right w:val="single" w:sz="4" w:space="0" w:color="auto"/>
            </w:tcBorders>
            <w:shd w:val="clear" w:color="auto" w:fill="auto"/>
            <w:noWrap/>
            <w:vAlign w:val="bottom"/>
            <w:hideMark/>
          </w:tcPr>
          <w:p w14:paraId="29EF4C8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18.680</w:t>
            </w:r>
          </w:p>
        </w:tc>
        <w:tc>
          <w:tcPr>
            <w:tcW w:w="960" w:type="dxa"/>
            <w:tcBorders>
              <w:top w:val="nil"/>
              <w:left w:val="nil"/>
              <w:bottom w:val="single" w:sz="4" w:space="0" w:color="auto"/>
              <w:right w:val="single" w:sz="4" w:space="0" w:color="auto"/>
            </w:tcBorders>
            <w:shd w:val="clear" w:color="auto" w:fill="auto"/>
            <w:noWrap/>
            <w:vAlign w:val="bottom"/>
            <w:hideMark/>
          </w:tcPr>
          <w:p w14:paraId="5C58896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26.968</w:t>
            </w:r>
          </w:p>
        </w:tc>
        <w:tc>
          <w:tcPr>
            <w:tcW w:w="1900" w:type="dxa"/>
            <w:tcBorders>
              <w:top w:val="single" w:sz="4" w:space="0" w:color="auto"/>
              <w:left w:val="nil"/>
              <w:bottom w:val="single" w:sz="4" w:space="0" w:color="auto"/>
              <w:right w:val="single" w:sz="4" w:space="0" w:color="auto"/>
            </w:tcBorders>
            <w:shd w:val="clear" w:color="auto" w:fill="auto"/>
            <w:noWrap/>
            <w:vAlign w:val="bottom"/>
            <w:hideMark/>
          </w:tcPr>
          <w:p w14:paraId="4B9CEA0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9.34</w:t>
            </w:r>
          </w:p>
        </w:tc>
      </w:tr>
      <w:tr w:rsidR="00007F6C" w:rsidRPr="005A770E" w14:paraId="33EEF2D0"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43DBAA0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7</w:t>
            </w:r>
          </w:p>
        </w:tc>
        <w:tc>
          <w:tcPr>
            <w:tcW w:w="960" w:type="dxa"/>
            <w:tcBorders>
              <w:top w:val="nil"/>
              <w:left w:val="nil"/>
              <w:bottom w:val="single" w:sz="4" w:space="0" w:color="auto"/>
              <w:right w:val="single" w:sz="4" w:space="0" w:color="auto"/>
            </w:tcBorders>
            <w:shd w:val="clear" w:color="auto" w:fill="auto"/>
            <w:noWrap/>
            <w:vAlign w:val="bottom"/>
            <w:hideMark/>
          </w:tcPr>
          <w:p w14:paraId="5D15F59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34.250</w:t>
            </w:r>
          </w:p>
        </w:tc>
        <w:tc>
          <w:tcPr>
            <w:tcW w:w="960" w:type="dxa"/>
            <w:tcBorders>
              <w:top w:val="nil"/>
              <w:left w:val="nil"/>
              <w:bottom w:val="single" w:sz="4" w:space="0" w:color="auto"/>
              <w:right w:val="single" w:sz="4" w:space="0" w:color="auto"/>
            </w:tcBorders>
            <w:shd w:val="clear" w:color="auto" w:fill="auto"/>
            <w:noWrap/>
            <w:vAlign w:val="bottom"/>
            <w:hideMark/>
          </w:tcPr>
          <w:p w14:paraId="2E7BFDD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32.844</w:t>
            </w:r>
          </w:p>
        </w:tc>
        <w:tc>
          <w:tcPr>
            <w:tcW w:w="960" w:type="dxa"/>
            <w:tcBorders>
              <w:top w:val="nil"/>
              <w:left w:val="nil"/>
              <w:bottom w:val="single" w:sz="4" w:space="0" w:color="auto"/>
              <w:right w:val="single" w:sz="4" w:space="0" w:color="auto"/>
            </w:tcBorders>
            <w:shd w:val="clear" w:color="auto" w:fill="auto"/>
            <w:noWrap/>
            <w:vAlign w:val="bottom"/>
            <w:hideMark/>
          </w:tcPr>
          <w:p w14:paraId="65C62CB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17.955</w:t>
            </w:r>
          </w:p>
        </w:tc>
        <w:tc>
          <w:tcPr>
            <w:tcW w:w="960" w:type="dxa"/>
            <w:tcBorders>
              <w:top w:val="nil"/>
              <w:left w:val="nil"/>
              <w:bottom w:val="single" w:sz="4" w:space="0" w:color="auto"/>
              <w:right w:val="single" w:sz="4" w:space="0" w:color="auto"/>
            </w:tcBorders>
            <w:shd w:val="clear" w:color="auto" w:fill="auto"/>
            <w:noWrap/>
            <w:vAlign w:val="bottom"/>
            <w:hideMark/>
          </w:tcPr>
          <w:p w14:paraId="7EAD91B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3.000</w:t>
            </w:r>
          </w:p>
        </w:tc>
        <w:tc>
          <w:tcPr>
            <w:tcW w:w="960" w:type="dxa"/>
            <w:tcBorders>
              <w:top w:val="nil"/>
              <w:left w:val="nil"/>
              <w:bottom w:val="single" w:sz="4" w:space="0" w:color="auto"/>
              <w:right w:val="single" w:sz="4" w:space="0" w:color="auto"/>
            </w:tcBorders>
            <w:shd w:val="clear" w:color="auto" w:fill="auto"/>
            <w:noWrap/>
            <w:vAlign w:val="bottom"/>
            <w:hideMark/>
          </w:tcPr>
          <w:p w14:paraId="63BBE64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18.960</w:t>
            </w:r>
          </w:p>
        </w:tc>
        <w:tc>
          <w:tcPr>
            <w:tcW w:w="960" w:type="dxa"/>
            <w:tcBorders>
              <w:top w:val="nil"/>
              <w:left w:val="nil"/>
              <w:bottom w:val="single" w:sz="4" w:space="0" w:color="auto"/>
              <w:right w:val="single" w:sz="4" w:space="0" w:color="auto"/>
            </w:tcBorders>
            <w:shd w:val="clear" w:color="auto" w:fill="auto"/>
            <w:noWrap/>
            <w:vAlign w:val="bottom"/>
            <w:hideMark/>
          </w:tcPr>
          <w:p w14:paraId="3A7E390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26.839</w:t>
            </w:r>
          </w:p>
        </w:tc>
        <w:tc>
          <w:tcPr>
            <w:tcW w:w="1900" w:type="dxa"/>
            <w:tcBorders>
              <w:top w:val="single" w:sz="4" w:space="0" w:color="auto"/>
              <w:left w:val="nil"/>
              <w:bottom w:val="nil"/>
              <w:right w:val="nil"/>
            </w:tcBorders>
            <w:shd w:val="clear" w:color="auto" w:fill="auto"/>
            <w:noWrap/>
            <w:vAlign w:val="bottom"/>
            <w:hideMark/>
          </w:tcPr>
          <w:p w14:paraId="175F0928"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46EE7F19"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70E5E0A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8</w:t>
            </w:r>
          </w:p>
        </w:tc>
        <w:tc>
          <w:tcPr>
            <w:tcW w:w="960" w:type="dxa"/>
            <w:tcBorders>
              <w:top w:val="nil"/>
              <w:left w:val="nil"/>
              <w:bottom w:val="single" w:sz="4" w:space="0" w:color="auto"/>
              <w:right w:val="single" w:sz="4" w:space="0" w:color="auto"/>
            </w:tcBorders>
            <w:shd w:val="clear" w:color="auto" w:fill="auto"/>
            <w:noWrap/>
            <w:vAlign w:val="bottom"/>
            <w:hideMark/>
          </w:tcPr>
          <w:p w14:paraId="3DE7CD9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34.000</w:t>
            </w:r>
          </w:p>
        </w:tc>
        <w:tc>
          <w:tcPr>
            <w:tcW w:w="960" w:type="dxa"/>
            <w:tcBorders>
              <w:top w:val="nil"/>
              <w:left w:val="nil"/>
              <w:bottom w:val="single" w:sz="4" w:space="0" w:color="auto"/>
              <w:right w:val="single" w:sz="4" w:space="0" w:color="auto"/>
            </w:tcBorders>
            <w:shd w:val="clear" w:color="auto" w:fill="auto"/>
            <w:noWrap/>
            <w:vAlign w:val="bottom"/>
            <w:hideMark/>
          </w:tcPr>
          <w:p w14:paraId="00C6135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33.125</w:t>
            </w:r>
          </w:p>
        </w:tc>
        <w:tc>
          <w:tcPr>
            <w:tcW w:w="960" w:type="dxa"/>
            <w:tcBorders>
              <w:top w:val="nil"/>
              <w:left w:val="nil"/>
              <w:bottom w:val="single" w:sz="4" w:space="0" w:color="auto"/>
              <w:right w:val="single" w:sz="4" w:space="0" w:color="auto"/>
            </w:tcBorders>
            <w:shd w:val="clear" w:color="auto" w:fill="auto"/>
            <w:noWrap/>
            <w:vAlign w:val="bottom"/>
            <w:hideMark/>
          </w:tcPr>
          <w:p w14:paraId="49E1888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20.125</w:t>
            </w:r>
          </w:p>
        </w:tc>
        <w:tc>
          <w:tcPr>
            <w:tcW w:w="960" w:type="dxa"/>
            <w:tcBorders>
              <w:top w:val="nil"/>
              <w:left w:val="nil"/>
              <w:bottom w:val="single" w:sz="4" w:space="0" w:color="auto"/>
              <w:right w:val="single" w:sz="4" w:space="0" w:color="auto"/>
            </w:tcBorders>
            <w:shd w:val="clear" w:color="auto" w:fill="auto"/>
            <w:noWrap/>
            <w:vAlign w:val="bottom"/>
            <w:hideMark/>
          </w:tcPr>
          <w:p w14:paraId="6C3FE0F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3.043</w:t>
            </w:r>
          </w:p>
        </w:tc>
        <w:tc>
          <w:tcPr>
            <w:tcW w:w="960" w:type="dxa"/>
            <w:tcBorders>
              <w:top w:val="nil"/>
              <w:left w:val="nil"/>
              <w:bottom w:val="single" w:sz="4" w:space="0" w:color="auto"/>
              <w:right w:val="single" w:sz="4" w:space="0" w:color="auto"/>
            </w:tcBorders>
            <w:shd w:val="clear" w:color="auto" w:fill="auto"/>
            <w:noWrap/>
            <w:vAlign w:val="bottom"/>
            <w:hideMark/>
          </w:tcPr>
          <w:p w14:paraId="69A71A7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17.480</w:t>
            </w:r>
          </w:p>
        </w:tc>
        <w:tc>
          <w:tcPr>
            <w:tcW w:w="960" w:type="dxa"/>
            <w:tcBorders>
              <w:top w:val="nil"/>
              <w:left w:val="nil"/>
              <w:bottom w:val="single" w:sz="4" w:space="0" w:color="auto"/>
              <w:right w:val="single" w:sz="4" w:space="0" w:color="auto"/>
            </w:tcBorders>
            <w:shd w:val="clear" w:color="auto" w:fill="auto"/>
            <w:noWrap/>
            <w:vAlign w:val="bottom"/>
            <w:hideMark/>
          </w:tcPr>
          <w:p w14:paraId="4AAEDE8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27.581</w:t>
            </w:r>
          </w:p>
        </w:tc>
        <w:tc>
          <w:tcPr>
            <w:tcW w:w="1900" w:type="dxa"/>
            <w:tcBorders>
              <w:top w:val="nil"/>
              <w:left w:val="nil"/>
              <w:bottom w:val="nil"/>
              <w:right w:val="nil"/>
            </w:tcBorders>
            <w:shd w:val="clear" w:color="auto" w:fill="auto"/>
            <w:noWrap/>
            <w:vAlign w:val="bottom"/>
            <w:hideMark/>
          </w:tcPr>
          <w:p w14:paraId="319BF40E"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72EE4507"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468EBCE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9</w:t>
            </w:r>
          </w:p>
        </w:tc>
        <w:tc>
          <w:tcPr>
            <w:tcW w:w="960" w:type="dxa"/>
            <w:tcBorders>
              <w:top w:val="nil"/>
              <w:left w:val="nil"/>
              <w:bottom w:val="single" w:sz="4" w:space="0" w:color="auto"/>
              <w:right w:val="single" w:sz="4" w:space="0" w:color="auto"/>
            </w:tcBorders>
            <w:shd w:val="clear" w:color="auto" w:fill="auto"/>
            <w:noWrap/>
            <w:vAlign w:val="bottom"/>
            <w:hideMark/>
          </w:tcPr>
          <w:p w14:paraId="6CF17CB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33.531</w:t>
            </w:r>
          </w:p>
        </w:tc>
        <w:tc>
          <w:tcPr>
            <w:tcW w:w="960" w:type="dxa"/>
            <w:tcBorders>
              <w:top w:val="nil"/>
              <w:left w:val="nil"/>
              <w:bottom w:val="single" w:sz="4" w:space="0" w:color="auto"/>
              <w:right w:val="single" w:sz="4" w:space="0" w:color="auto"/>
            </w:tcBorders>
            <w:shd w:val="clear" w:color="auto" w:fill="auto"/>
            <w:noWrap/>
            <w:vAlign w:val="bottom"/>
            <w:hideMark/>
          </w:tcPr>
          <w:p w14:paraId="074AB5C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33.688</w:t>
            </w:r>
          </w:p>
        </w:tc>
        <w:tc>
          <w:tcPr>
            <w:tcW w:w="960" w:type="dxa"/>
            <w:tcBorders>
              <w:top w:val="nil"/>
              <w:left w:val="nil"/>
              <w:bottom w:val="single" w:sz="4" w:space="0" w:color="auto"/>
              <w:right w:val="single" w:sz="4" w:space="0" w:color="auto"/>
            </w:tcBorders>
            <w:shd w:val="clear" w:color="auto" w:fill="auto"/>
            <w:noWrap/>
            <w:vAlign w:val="bottom"/>
            <w:hideMark/>
          </w:tcPr>
          <w:p w14:paraId="582B59F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23.063</w:t>
            </w:r>
          </w:p>
        </w:tc>
        <w:tc>
          <w:tcPr>
            <w:tcW w:w="960" w:type="dxa"/>
            <w:tcBorders>
              <w:top w:val="nil"/>
              <w:left w:val="nil"/>
              <w:bottom w:val="single" w:sz="4" w:space="0" w:color="auto"/>
              <w:right w:val="single" w:sz="4" w:space="0" w:color="auto"/>
            </w:tcBorders>
            <w:shd w:val="clear" w:color="auto" w:fill="auto"/>
            <w:noWrap/>
            <w:vAlign w:val="bottom"/>
            <w:hideMark/>
          </w:tcPr>
          <w:p w14:paraId="12285DE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3.731</w:t>
            </w:r>
          </w:p>
        </w:tc>
        <w:tc>
          <w:tcPr>
            <w:tcW w:w="960" w:type="dxa"/>
            <w:tcBorders>
              <w:top w:val="nil"/>
              <w:left w:val="nil"/>
              <w:bottom w:val="single" w:sz="4" w:space="0" w:color="auto"/>
              <w:right w:val="single" w:sz="4" w:space="0" w:color="auto"/>
            </w:tcBorders>
            <w:shd w:val="clear" w:color="auto" w:fill="auto"/>
            <w:noWrap/>
            <w:vAlign w:val="bottom"/>
            <w:hideMark/>
          </w:tcPr>
          <w:p w14:paraId="31A7780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17.520</w:t>
            </w:r>
          </w:p>
        </w:tc>
        <w:tc>
          <w:tcPr>
            <w:tcW w:w="960" w:type="dxa"/>
            <w:tcBorders>
              <w:top w:val="nil"/>
              <w:left w:val="nil"/>
              <w:bottom w:val="single" w:sz="4" w:space="0" w:color="auto"/>
              <w:right w:val="single" w:sz="4" w:space="0" w:color="auto"/>
            </w:tcBorders>
            <w:shd w:val="clear" w:color="auto" w:fill="auto"/>
            <w:noWrap/>
            <w:vAlign w:val="bottom"/>
            <w:hideMark/>
          </w:tcPr>
          <w:p w14:paraId="00B584B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28.839</w:t>
            </w:r>
          </w:p>
        </w:tc>
        <w:tc>
          <w:tcPr>
            <w:tcW w:w="1900" w:type="dxa"/>
            <w:tcBorders>
              <w:top w:val="nil"/>
              <w:left w:val="nil"/>
              <w:bottom w:val="nil"/>
              <w:right w:val="nil"/>
            </w:tcBorders>
            <w:shd w:val="clear" w:color="auto" w:fill="auto"/>
            <w:noWrap/>
            <w:vAlign w:val="bottom"/>
            <w:hideMark/>
          </w:tcPr>
          <w:p w14:paraId="4EB0E281"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4CABEE45"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39DB24D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10</w:t>
            </w:r>
          </w:p>
        </w:tc>
        <w:tc>
          <w:tcPr>
            <w:tcW w:w="960" w:type="dxa"/>
            <w:tcBorders>
              <w:top w:val="nil"/>
              <w:left w:val="nil"/>
              <w:bottom w:val="single" w:sz="4" w:space="0" w:color="auto"/>
              <w:right w:val="single" w:sz="4" w:space="0" w:color="auto"/>
            </w:tcBorders>
            <w:shd w:val="clear" w:color="auto" w:fill="auto"/>
            <w:noWrap/>
            <w:vAlign w:val="bottom"/>
            <w:hideMark/>
          </w:tcPr>
          <w:p w14:paraId="27220DE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33.531</w:t>
            </w:r>
          </w:p>
        </w:tc>
        <w:tc>
          <w:tcPr>
            <w:tcW w:w="960" w:type="dxa"/>
            <w:tcBorders>
              <w:top w:val="nil"/>
              <w:left w:val="nil"/>
              <w:bottom w:val="single" w:sz="4" w:space="0" w:color="auto"/>
              <w:right w:val="single" w:sz="4" w:space="0" w:color="auto"/>
            </w:tcBorders>
            <w:shd w:val="clear" w:color="auto" w:fill="auto"/>
            <w:noWrap/>
            <w:vAlign w:val="bottom"/>
            <w:hideMark/>
          </w:tcPr>
          <w:p w14:paraId="607CF63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34.156</w:t>
            </w:r>
          </w:p>
        </w:tc>
        <w:tc>
          <w:tcPr>
            <w:tcW w:w="960" w:type="dxa"/>
            <w:tcBorders>
              <w:top w:val="nil"/>
              <w:left w:val="nil"/>
              <w:bottom w:val="single" w:sz="4" w:space="0" w:color="auto"/>
              <w:right w:val="single" w:sz="4" w:space="0" w:color="auto"/>
            </w:tcBorders>
            <w:shd w:val="clear" w:color="auto" w:fill="auto"/>
            <w:noWrap/>
            <w:vAlign w:val="bottom"/>
            <w:hideMark/>
          </w:tcPr>
          <w:p w14:paraId="34FD9F6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28.609</w:t>
            </w:r>
          </w:p>
        </w:tc>
        <w:tc>
          <w:tcPr>
            <w:tcW w:w="960" w:type="dxa"/>
            <w:tcBorders>
              <w:top w:val="nil"/>
              <w:left w:val="nil"/>
              <w:bottom w:val="single" w:sz="4" w:space="0" w:color="auto"/>
              <w:right w:val="single" w:sz="4" w:space="0" w:color="auto"/>
            </w:tcBorders>
            <w:shd w:val="clear" w:color="auto" w:fill="auto"/>
            <w:noWrap/>
            <w:vAlign w:val="bottom"/>
            <w:hideMark/>
          </w:tcPr>
          <w:p w14:paraId="00D7FD1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4.000</w:t>
            </w:r>
          </w:p>
        </w:tc>
        <w:tc>
          <w:tcPr>
            <w:tcW w:w="960" w:type="dxa"/>
            <w:tcBorders>
              <w:top w:val="nil"/>
              <w:left w:val="nil"/>
              <w:bottom w:val="single" w:sz="4" w:space="0" w:color="auto"/>
              <w:right w:val="single" w:sz="4" w:space="0" w:color="auto"/>
            </w:tcBorders>
            <w:shd w:val="clear" w:color="auto" w:fill="auto"/>
            <w:noWrap/>
            <w:vAlign w:val="bottom"/>
            <w:hideMark/>
          </w:tcPr>
          <w:p w14:paraId="791545A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16.800</w:t>
            </w:r>
          </w:p>
        </w:tc>
        <w:tc>
          <w:tcPr>
            <w:tcW w:w="960" w:type="dxa"/>
            <w:tcBorders>
              <w:top w:val="nil"/>
              <w:left w:val="nil"/>
              <w:bottom w:val="single" w:sz="4" w:space="0" w:color="auto"/>
              <w:right w:val="single" w:sz="4" w:space="0" w:color="auto"/>
            </w:tcBorders>
            <w:shd w:val="clear" w:color="auto" w:fill="auto"/>
            <w:noWrap/>
            <w:vAlign w:val="bottom"/>
            <w:hideMark/>
          </w:tcPr>
          <w:p w14:paraId="401EF46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30.871</w:t>
            </w:r>
          </w:p>
        </w:tc>
        <w:tc>
          <w:tcPr>
            <w:tcW w:w="1900" w:type="dxa"/>
            <w:tcBorders>
              <w:top w:val="nil"/>
              <w:left w:val="nil"/>
              <w:bottom w:val="nil"/>
              <w:right w:val="nil"/>
            </w:tcBorders>
            <w:shd w:val="clear" w:color="auto" w:fill="auto"/>
            <w:noWrap/>
            <w:vAlign w:val="bottom"/>
            <w:hideMark/>
          </w:tcPr>
          <w:p w14:paraId="7E92469D"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641A4F27"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7AE0A30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11</w:t>
            </w:r>
          </w:p>
        </w:tc>
        <w:tc>
          <w:tcPr>
            <w:tcW w:w="960" w:type="dxa"/>
            <w:tcBorders>
              <w:top w:val="nil"/>
              <w:left w:val="nil"/>
              <w:bottom w:val="single" w:sz="4" w:space="0" w:color="auto"/>
              <w:right w:val="single" w:sz="4" w:space="0" w:color="auto"/>
            </w:tcBorders>
            <w:shd w:val="clear" w:color="auto" w:fill="auto"/>
            <w:noWrap/>
            <w:vAlign w:val="bottom"/>
            <w:hideMark/>
          </w:tcPr>
          <w:p w14:paraId="16DA6AA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33.875</w:t>
            </w:r>
          </w:p>
        </w:tc>
        <w:tc>
          <w:tcPr>
            <w:tcW w:w="960" w:type="dxa"/>
            <w:tcBorders>
              <w:top w:val="nil"/>
              <w:left w:val="nil"/>
              <w:bottom w:val="single" w:sz="4" w:space="0" w:color="auto"/>
              <w:right w:val="single" w:sz="4" w:space="0" w:color="auto"/>
            </w:tcBorders>
            <w:shd w:val="clear" w:color="auto" w:fill="auto"/>
            <w:noWrap/>
            <w:vAlign w:val="bottom"/>
            <w:hideMark/>
          </w:tcPr>
          <w:p w14:paraId="543B5ED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34.375</w:t>
            </w:r>
          </w:p>
        </w:tc>
        <w:tc>
          <w:tcPr>
            <w:tcW w:w="960" w:type="dxa"/>
            <w:tcBorders>
              <w:top w:val="nil"/>
              <w:left w:val="nil"/>
              <w:bottom w:val="single" w:sz="4" w:space="0" w:color="auto"/>
              <w:right w:val="single" w:sz="4" w:space="0" w:color="auto"/>
            </w:tcBorders>
            <w:shd w:val="clear" w:color="auto" w:fill="auto"/>
            <w:noWrap/>
            <w:vAlign w:val="bottom"/>
            <w:hideMark/>
          </w:tcPr>
          <w:p w14:paraId="04B3335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33.406</w:t>
            </w:r>
          </w:p>
        </w:tc>
        <w:tc>
          <w:tcPr>
            <w:tcW w:w="960" w:type="dxa"/>
            <w:tcBorders>
              <w:top w:val="nil"/>
              <w:left w:val="nil"/>
              <w:bottom w:val="single" w:sz="4" w:space="0" w:color="auto"/>
              <w:right w:val="single" w:sz="4" w:space="0" w:color="auto"/>
            </w:tcBorders>
            <w:shd w:val="clear" w:color="auto" w:fill="auto"/>
            <w:noWrap/>
            <w:vAlign w:val="bottom"/>
            <w:hideMark/>
          </w:tcPr>
          <w:p w14:paraId="69C4FEB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4.532</w:t>
            </w:r>
          </w:p>
        </w:tc>
        <w:tc>
          <w:tcPr>
            <w:tcW w:w="960" w:type="dxa"/>
            <w:tcBorders>
              <w:top w:val="nil"/>
              <w:left w:val="nil"/>
              <w:bottom w:val="single" w:sz="4" w:space="0" w:color="auto"/>
              <w:right w:val="single" w:sz="4" w:space="0" w:color="auto"/>
            </w:tcBorders>
            <w:shd w:val="clear" w:color="auto" w:fill="auto"/>
            <w:noWrap/>
            <w:vAlign w:val="bottom"/>
            <w:hideMark/>
          </w:tcPr>
          <w:p w14:paraId="456BE30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15.540</w:t>
            </w:r>
          </w:p>
        </w:tc>
        <w:tc>
          <w:tcPr>
            <w:tcW w:w="960" w:type="dxa"/>
            <w:tcBorders>
              <w:top w:val="nil"/>
              <w:left w:val="nil"/>
              <w:bottom w:val="single" w:sz="4" w:space="0" w:color="auto"/>
              <w:right w:val="single" w:sz="4" w:space="0" w:color="auto"/>
            </w:tcBorders>
            <w:shd w:val="clear" w:color="auto" w:fill="auto"/>
            <w:noWrap/>
            <w:vAlign w:val="bottom"/>
            <w:hideMark/>
          </w:tcPr>
          <w:p w14:paraId="56F27B9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33.323</w:t>
            </w:r>
          </w:p>
        </w:tc>
        <w:tc>
          <w:tcPr>
            <w:tcW w:w="1900" w:type="dxa"/>
            <w:tcBorders>
              <w:top w:val="nil"/>
              <w:left w:val="nil"/>
              <w:bottom w:val="nil"/>
              <w:right w:val="nil"/>
            </w:tcBorders>
            <w:shd w:val="clear" w:color="auto" w:fill="auto"/>
            <w:noWrap/>
            <w:vAlign w:val="bottom"/>
            <w:hideMark/>
          </w:tcPr>
          <w:p w14:paraId="2F7CDC40"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18CDE07C"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605B651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12</w:t>
            </w:r>
          </w:p>
        </w:tc>
        <w:tc>
          <w:tcPr>
            <w:tcW w:w="960" w:type="dxa"/>
            <w:tcBorders>
              <w:top w:val="nil"/>
              <w:left w:val="nil"/>
              <w:bottom w:val="single" w:sz="4" w:space="0" w:color="auto"/>
              <w:right w:val="single" w:sz="4" w:space="0" w:color="auto"/>
            </w:tcBorders>
            <w:shd w:val="clear" w:color="auto" w:fill="auto"/>
            <w:noWrap/>
            <w:vAlign w:val="bottom"/>
            <w:hideMark/>
          </w:tcPr>
          <w:p w14:paraId="2D41AF4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34.094</w:t>
            </w:r>
          </w:p>
        </w:tc>
        <w:tc>
          <w:tcPr>
            <w:tcW w:w="960" w:type="dxa"/>
            <w:tcBorders>
              <w:top w:val="nil"/>
              <w:left w:val="nil"/>
              <w:bottom w:val="single" w:sz="4" w:space="0" w:color="auto"/>
              <w:right w:val="single" w:sz="4" w:space="0" w:color="auto"/>
            </w:tcBorders>
            <w:shd w:val="clear" w:color="auto" w:fill="auto"/>
            <w:noWrap/>
            <w:vAlign w:val="bottom"/>
            <w:hideMark/>
          </w:tcPr>
          <w:p w14:paraId="4BEDBF5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34.625</w:t>
            </w:r>
          </w:p>
        </w:tc>
        <w:tc>
          <w:tcPr>
            <w:tcW w:w="960" w:type="dxa"/>
            <w:tcBorders>
              <w:top w:val="nil"/>
              <w:left w:val="nil"/>
              <w:bottom w:val="single" w:sz="4" w:space="0" w:color="auto"/>
              <w:right w:val="single" w:sz="4" w:space="0" w:color="auto"/>
            </w:tcBorders>
            <w:shd w:val="clear" w:color="auto" w:fill="auto"/>
            <w:noWrap/>
            <w:vAlign w:val="bottom"/>
            <w:hideMark/>
          </w:tcPr>
          <w:p w14:paraId="7AD214D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36.578</w:t>
            </w:r>
          </w:p>
        </w:tc>
        <w:tc>
          <w:tcPr>
            <w:tcW w:w="960" w:type="dxa"/>
            <w:tcBorders>
              <w:top w:val="nil"/>
              <w:left w:val="nil"/>
              <w:bottom w:val="single" w:sz="4" w:space="0" w:color="auto"/>
              <w:right w:val="single" w:sz="4" w:space="0" w:color="auto"/>
            </w:tcBorders>
            <w:shd w:val="clear" w:color="auto" w:fill="auto"/>
            <w:noWrap/>
            <w:vAlign w:val="bottom"/>
            <w:hideMark/>
          </w:tcPr>
          <w:p w14:paraId="68766AB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5.031</w:t>
            </w:r>
          </w:p>
        </w:tc>
        <w:tc>
          <w:tcPr>
            <w:tcW w:w="960" w:type="dxa"/>
            <w:tcBorders>
              <w:top w:val="nil"/>
              <w:left w:val="nil"/>
              <w:bottom w:val="single" w:sz="4" w:space="0" w:color="auto"/>
              <w:right w:val="single" w:sz="4" w:space="0" w:color="auto"/>
            </w:tcBorders>
            <w:shd w:val="clear" w:color="auto" w:fill="auto"/>
            <w:noWrap/>
            <w:vAlign w:val="bottom"/>
            <w:hideMark/>
          </w:tcPr>
          <w:p w14:paraId="21E832C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13.680</w:t>
            </w:r>
          </w:p>
        </w:tc>
        <w:tc>
          <w:tcPr>
            <w:tcW w:w="960" w:type="dxa"/>
            <w:tcBorders>
              <w:top w:val="nil"/>
              <w:left w:val="nil"/>
              <w:bottom w:val="single" w:sz="4" w:space="0" w:color="auto"/>
              <w:right w:val="single" w:sz="4" w:space="0" w:color="auto"/>
            </w:tcBorders>
            <w:shd w:val="clear" w:color="auto" w:fill="auto"/>
            <w:noWrap/>
            <w:vAlign w:val="bottom"/>
            <w:hideMark/>
          </w:tcPr>
          <w:p w14:paraId="63F0459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36.387</w:t>
            </w:r>
          </w:p>
        </w:tc>
        <w:tc>
          <w:tcPr>
            <w:tcW w:w="1900" w:type="dxa"/>
            <w:tcBorders>
              <w:top w:val="nil"/>
              <w:left w:val="nil"/>
              <w:bottom w:val="nil"/>
              <w:right w:val="nil"/>
            </w:tcBorders>
            <w:shd w:val="clear" w:color="auto" w:fill="auto"/>
            <w:noWrap/>
            <w:vAlign w:val="bottom"/>
            <w:hideMark/>
          </w:tcPr>
          <w:p w14:paraId="13AAC17F"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71E70F1F"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2D29A32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13</w:t>
            </w:r>
          </w:p>
        </w:tc>
        <w:tc>
          <w:tcPr>
            <w:tcW w:w="960" w:type="dxa"/>
            <w:tcBorders>
              <w:top w:val="nil"/>
              <w:left w:val="nil"/>
              <w:bottom w:val="single" w:sz="4" w:space="0" w:color="auto"/>
              <w:right w:val="single" w:sz="4" w:space="0" w:color="auto"/>
            </w:tcBorders>
            <w:shd w:val="clear" w:color="auto" w:fill="auto"/>
            <w:noWrap/>
            <w:vAlign w:val="bottom"/>
            <w:hideMark/>
          </w:tcPr>
          <w:p w14:paraId="3163F7A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34.375</w:t>
            </w:r>
          </w:p>
        </w:tc>
        <w:tc>
          <w:tcPr>
            <w:tcW w:w="960" w:type="dxa"/>
            <w:tcBorders>
              <w:top w:val="nil"/>
              <w:left w:val="nil"/>
              <w:bottom w:val="single" w:sz="4" w:space="0" w:color="auto"/>
              <w:right w:val="single" w:sz="4" w:space="0" w:color="auto"/>
            </w:tcBorders>
            <w:shd w:val="clear" w:color="auto" w:fill="auto"/>
            <w:noWrap/>
            <w:vAlign w:val="bottom"/>
            <w:hideMark/>
          </w:tcPr>
          <w:p w14:paraId="632103F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35.094</w:t>
            </w:r>
          </w:p>
        </w:tc>
        <w:tc>
          <w:tcPr>
            <w:tcW w:w="960" w:type="dxa"/>
            <w:tcBorders>
              <w:top w:val="nil"/>
              <w:left w:val="nil"/>
              <w:bottom w:val="single" w:sz="4" w:space="0" w:color="auto"/>
              <w:right w:val="single" w:sz="4" w:space="0" w:color="auto"/>
            </w:tcBorders>
            <w:shd w:val="clear" w:color="auto" w:fill="auto"/>
            <w:noWrap/>
            <w:vAlign w:val="bottom"/>
            <w:hideMark/>
          </w:tcPr>
          <w:p w14:paraId="04A1A79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38.000</w:t>
            </w:r>
          </w:p>
        </w:tc>
        <w:tc>
          <w:tcPr>
            <w:tcW w:w="960" w:type="dxa"/>
            <w:tcBorders>
              <w:top w:val="nil"/>
              <w:left w:val="nil"/>
              <w:bottom w:val="single" w:sz="4" w:space="0" w:color="auto"/>
              <w:right w:val="single" w:sz="4" w:space="0" w:color="auto"/>
            </w:tcBorders>
            <w:shd w:val="clear" w:color="auto" w:fill="auto"/>
            <w:noWrap/>
            <w:vAlign w:val="bottom"/>
            <w:hideMark/>
          </w:tcPr>
          <w:p w14:paraId="48A83B8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5.766</w:t>
            </w:r>
          </w:p>
        </w:tc>
        <w:tc>
          <w:tcPr>
            <w:tcW w:w="960" w:type="dxa"/>
            <w:tcBorders>
              <w:top w:val="nil"/>
              <w:left w:val="nil"/>
              <w:bottom w:val="single" w:sz="4" w:space="0" w:color="auto"/>
              <w:right w:val="single" w:sz="4" w:space="0" w:color="auto"/>
            </w:tcBorders>
            <w:shd w:val="clear" w:color="auto" w:fill="auto"/>
            <w:noWrap/>
            <w:vAlign w:val="bottom"/>
            <w:hideMark/>
          </w:tcPr>
          <w:p w14:paraId="79008FC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12.820</w:t>
            </w:r>
          </w:p>
        </w:tc>
        <w:tc>
          <w:tcPr>
            <w:tcW w:w="960" w:type="dxa"/>
            <w:tcBorders>
              <w:top w:val="nil"/>
              <w:left w:val="nil"/>
              <w:bottom w:val="single" w:sz="4" w:space="0" w:color="auto"/>
              <w:right w:val="single" w:sz="4" w:space="0" w:color="auto"/>
            </w:tcBorders>
            <w:shd w:val="clear" w:color="auto" w:fill="auto"/>
            <w:noWrap/>
            <w:vAlign w:val="bottom"/>
            <w:hideMark/>
          </w:tcPr>
          <w:p w14:paraId="2599523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22.647</w:t>
            </w:r>
          </w:p>
        </w:tc>
        <w:tc>
          <w:tcPr>
            <w:tcW w:w="1900" w:type="dxa"/>
            <w:tcBorders>
              <w:top w:val="nil"/>
              <w:left w:val="nil"/>
              <w:bottom w:val="nil"/>
              <w:right w:val="nil"/>
            </w:tcBorders>
            <w:shd w:val="clear" w:color="auto" w:fill="auto"/>
            <w:noWrap/>
            <w:vAlign w:val="bottom"/>
            <w:hideMark/>
          </w:tcPr>
          <w:p w14:paraId="05F3B803"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5F79C2FC"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483C15C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14</w:t>
            </w:r>
          </w:p>
        </w:tc>
        <w:tc>
          <w:tcPr>
            <w:tcW w:w="960" w:type="dxa"/>
            <w:tcBorders>
              <w:top w:val="nil"/>
              <w:left w:val="nil"/>
              <w:bottom w:val="single" w:sz="4" w:space="0" w:color="auto"/>
              <w:right w:val="single" w:sz="4" w:space="0" w:color="auto"/>
            </w:tcBorders>
            <w:shd w:val="clear" w:color="auto" w:fill="auto"/>
            <w:noWrap/>
            <w:vAlign w:val="bottom"/>
            <w:hideMark/>
          </w:tcPr>
          <w:p w14:paraId="441BE3A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34.094</w:t>
            </w:r>
          </w:p>
        </w:tc>
        <w:tc>
          <w:tcPr>
            <w:tcW w:w="960" w:type="dxa"/>
            <w:tcBorders>
              <w:top w:val="nil"/>
              <w:left w:val="nil"/>
              <w:bottom w:val="single" w:sz="4" w:space="0" w:color="auto"/>
              <w:right w:val="single" w:sz="4" w:space="0" w:color="auto"/>
            </w:tcBorders>
            <w:shd w:val="clear" w:color="auto" w:fill="auto"/>
            <w:noWrap/>
            <w:vAlign w:val="bottom"/>
            <w:hideMark/>
          </w:tcPr>
          <w:p w14:paraId="7CF8991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35.156</w:t>
            </w:r>
          </w:p>
        </w:tc>
        <w:tc>
          <w:tcPr>
            <w:tcW w:w="960" w:type="dxa"/>
            <w:tcBorders>
              <w:top w:val="nil"/>
              <w:left w:val="nil"/>
              <w:bottom w:val="single" w:sz="4" w:space="0" w:color="auto"/>
              <w:right w:val="single" w:sz="4" w:space="0" w:color="auto"/>
            </w:tcBorders>
            <w:shd w:val="clear" w:color="auto" w:fill="auto"/>
            <w:noWrap/>
            <w:vAlign w:val="bottom"/>
            <w:hideMark/>
          </w:tcPr>
          <w:p w14:paraId="6816D08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38.438</w:t>
            </w:r>
          </w:p>
        </w:tc>
        <w:tc>
          <w:tcPr>
            <w:tcW w:w="960" w:type="dxa"/>
            <w:tcBorders>
              <w:top w:val="nil"/>
              <w:left w:val="nil"/>
              <w:bottom w:val="single" w:sz="4" w:space="0" w:color="auto"/>
              <w:right w:val="single" w:sz="4" w:space="0" w:color="auto"/>
            </w:tcBorders>
            <w:shd w:val="clear" w:color="auto" w:fill="auto"/>
            <w:noWrap/>
            <w:vAlign w:val="bottom"/>
            <w:hideMark/>
          </w:tcPr>
          <w:p w14:paraId="4E4A2FD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6.979</w:t>
            </w:r>
          </w:p>
        </w:tc>
        <w:tc>
          <w:tcPr>
            <w:tcW w:w="960" w:type="dxa"/>
            <w:tcBorders>
              <w:top w:val="nil"/>
              <w:left w:val="nil"/>
              <w:bottom w:val="single" w:sz="4" w:space="0" w:color="auto"/>
              <w:right w:val="single" w:sz="4" w:space="0" w:color="auto"/>
            </w:tcBorders>
            <w:shd w:val="clear" w:color="auto" w:fill="auto"/>
            <w:noWrap/>
            <w:vAlign w:val="bottom"/>
            <w:hideMark/>
          </w:tcPr>
          <w:p w14:paraId="0F1A4DC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11.960</w:t>
            </w:r>
          </w:p>
        </w:tc>
        <w:tc>
          <w:tcPr>
            <w:tcW w:w="960" w:type="dxa"/>
            <w:tcBorders>
              <w:top w:val="nil"/>
              <w:left w:val="nil"/>
              <w:bottom w:val="single" w:sz="4" w:space="0" w:color="auto"/>
              <w:right w:val="single" w:sz="4" w:space="0" w:color="auto"/>
            </w:tcBorders>
            <w:shd w:val="clear" w:color="auto" w:fill="auto"/>
            <w:noWrap/>
            <w:vAlign w:val="bottom"/>
            <w:hideMark/>
          </w:tcPr>
          <w:p w14:paraId="7F26C31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18.294</w:t>
            </w:r>
          </w:p>
        </w:tc>
        <w:tc>
          <w:tcPr>
            <w:tcW w:w="1900" w:type="dxa"/>
            <w:tcBorders>
              <w:top w:val="nil"/>
              <w:left w:val="nil"/>
              <w:bottom w:val="nil"/>
              <w:right w:val="nil"/>
            </w:tcBorders>
            <w:shd w:val="clear" w:color="auto" w:fill="auto"/>
            <w:noWrap/>
            <w:vAlign w:val="bottom"/>
            <w:hideMark/>
          </w:tcPr>
          <w:p w14:paraId="0D17A74C"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1A2F967F"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D3A161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15</w:t>
            </w:r>
          </w:p>
        </w:tc>
        <w:tc>
          <w:tcPr>
            <w:tcW w:w="960" w:type="dxa"/>
            <w:tcBorders>
              <w:top w:val="nil"/>
              <w:left w:val="nil"/>
              <w:bottom w:val="single" w:sz="4" w:space="0" w:color="auto"/>
              <w:right w:val="single" w:sz="4" w:space="0" w:color="auto"/>
            </w:tcBorders>
            <w:shd w:val="clear" w:color="auto" w:fill="auto"/>
            <w:noWrap/>
            <w:vAlign w:val="bottom"/>
            <w:hideMark/>
          </w:tcPr>
          <w:p w14:paraId="186F24D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33.281</w:t>
            </w:r>
          </w:p>
        </w:tc>
        <w:tc>
          <w:tcPr>
            <w:tcW w:w="960" w:type="dxa"/>
            <w:tcBorders>
              <w:top w:val="nil"/>
              <w:left w:val="nil"/>
              <w:bottom w:val="single" w:sz="4" w:space="0" w:color="auto"/>
              <w:right w:val="single" w:sz="4" w:space="0" w:color="auto"/>
            </w:tcBorders>
            <w:shd w:val="clear" w:color="auto" w:fill="auto"/>
            <w:noWrap/>
            <w:vAlign w:val="bottom"/>
            <w:hideMark/>
          </w:tcPr>
          <w:p w14:paraId="7AE4F87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34.938</w:t>
            </w:r>
          </w:p>
        </w:tc>
        <w:tc>
          <w:tcPr>
            <w:tcW w:w="960" w:type="dxa"/>
            <w:tcBorders>
              <w:top w:val="nil"/>
              <w:left w:val="nil"/>
              <w:bottom w:val="single" w:sz="4" w:space="0" w:color="auto"/>
              <w:right w:val="single" w:sz="4" w:space="0" w:color="auto"/>
            </w:tcBorders>
            <w:shd w:val="clear" w:color="auto" w:fill="auto"/>
            <w:noWrap/>
            <w:vAlign w:val="bottom"/>
            <w:hideMark/>
          </w:tcPr>
          <w:p w14:paraId="3D1CB51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38.438</w:t>
            </w:r>
          </w:p>
        </w:tc>
        <w:tc>
          <w:tcPr>
            <w:tcW w:w="960" w:type="dxa"/>
            <w:tcBorders>
              <w:top w:val="nil"/>
              <w:left w:val="nil"/>
              <w:bottom w:val="single" w:sz="4" w:space="0" w:color="auto"/>
              <w:right w:val="single" w:sz="4" w:space="0" w:color="auto"/>
            </w:tcBorders>
            <w:shd w:val="clear" w:color="auto" w:fill="auto"/>
            <w:noWrap/>
            <w:vAlign w:val="bottom"/>
            <w:hideMark/>
          </w:tcPr>
          <w:p w14:paraId="115BEE5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7.891</w:t>
            </w:r>
          </w:p>
        </w:tc>
        <w:tc>
          <w:tcPr>
            <w:tcW w:w="960" w:type="dxa"/>
            <w:tcBorders>
              <w:top w:val="nil"/>
              <w:left w:val="nil"/>
              <w:bottom w:val="single" w:sz="4" w:space="0" w:color="auto"/>
              <w:right w:val="single" w:sz="4" w:space="0" w:color="auto"/>
            </w:tcBorders>
            <w:shd w:val="clear" w:color="auto" w:fill="auto"/>
            <w:noWrap/>
            <w:vAlign w:val="bottom"/>
            <w:hideMark/>
          </w:tcPr>
          <w:p w14:paraId="0ED2BE1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11.200</w:t>
            </w:r>
          </w:p>
        </w:tc>
        <w:tc>
          <w:tcPr>
            <w:tcW w:w="960" w:type="dxa"/>
            <w:tcBorders>
              <w:top w:val="nil"/>
              <w:left w:val="nil"/>
              <w:bottom w:val="single" w:sz="4" w:space="0" w:color="auto"/>
              <w:right w:val="single" w:sz="4" w:space="0" w:color="auto"/>
            </w:tcBorders>
            <w:shd w:val="clear" w:color="auto" w:fill="auto"/>
            <w:noWrap/>
            <w:vAlign w:val="bottom"/>
            <w:hideMark/>
          </w:tcPr>
          <w:p w14:paraId="45D4682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15.235</w:t>
            </w:r>
          </w:p>
        </w:tc>
        <w:tc>
          <w:tcPr>
            <w:tcW w:w="1900" w:type="dxa"/>
            <w:tcBorders>
              <w:top w:val="nil"/>
              <w:left w:val="nil"/>
              <w:bottom w:val="nil"/>
              <w:right w:val="nil"/>
            </w:tcBorders>
            <w:shd w:val="clear" w:color="auto" w:fill="auto"/>
            <w:noWrap/>
            <w:vAlign w:val="bottom"/>
            <w:hideMark/>
          </w:tcPr>
          <w:p w14:paraId="00AD7A0B"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710023AA"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2EAD36D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16</w:t>
            </w:r>
          </w:p>
        </w:tc>
        <w:tc>
          <w:tcPr>
            <w:tcW w:w="960" w:type="dxa"/>
            <w:tcBorders>
              <w:top w:val="nil"/>
              <w:left w:val="nil"/>
              <w:bottom w:val="single" w:sz="4" w:space="0" w:color="auto"/>
              <w:right w:val="single" w:sz="4" w:space="0" w:color="auto"/>
            </w:tcBorders>
            <w:shd w:val="clear" w:color="auto" w:fill="auto"/>
            <w:noWrap/>
            <w:vAlign w:val="bottom"/>
            <w:hideMark/>
          </w:tcPr>
          <w:p w14:paraId="461DBDF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32.563</w:t>
            </w:r>
          </w:p>
        </w:tc>
        <w:tc>
          <w:tcPr>
            <w:tcW w:w="960" w:type="dxa"/>
            <w:tcBorders>
              <w:top w:val="nil"/>
              <w:left w:val="nil"/>
              <w:bottom w:val="single" w:sz="4" w:space="0" w:color="auto"/>
              <w:right w:val="single" w:sz="4" w:space="0" w:color="auto"/>
            </w:tcBorders>
            <w:shd w:val="clear" w:color="auto" w:fill="auto"/>
            <w:noWrap/>
            <w:vAlign w:val="bottom"/>
            <w:hideMark/>
          </w:tcPr>
          <w:p w14:paraId="7E0EA05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34.344</w:t>
            </w:r>
          </w:p>
        </w:tc>
        <w:tc>
          <w:tcPr>
            <w:tcW w:w="960" w:type="dxa"/>
            <w:tcBorders>
              <w:top w:val="nil"/>
              <w:left w:val="nil"/>
              <w:bottom w:val="single" w:sz="4" w:space="0" w:color="auto"/>
              <w:right w:val="single" w:sz="4" w:space="0" w:color="auto"/>
            </w:tcBorders>
            <w:shd w:val="clear" w:color="auto" w:fill="auto"/>
            <w:noWrap/>
            <w:vAlign w:val="bottom"/>
            <w:hideMark/>
          </w:tcPr>
          <w:p w14:paraId="1229EA5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36.660</w:t>
            </w:r>
          </w:p>
        </w:tc>
        <w:tc>
          <w:tcPr>
            <w:tcW w:w="960" w:type="dxa"/>
            <w:tcBorders>
              <w:top w:val="nil"/>
              <w:left w:val="nil"/>
              <w:bottom w:val="single" w:sz="4" w:space="0" w:color="auto"/>
              <w:right w:val="single" w:sz="4" w:space="0" w:color="auto"/>
            </w:tcBorders>
            <w:shd w:val="clear" w:color="auto" w:fill="auto"/>
            <w:noWrap/>
            <w:vAlign w:val="bottom"/>
            <w:hideMark/>
          </w:tcPr>
          <w:p w14:paraId="6D10096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8.404</w:t>
            </w:r>
          </w:p>
        </w:tc>
        <w:tc>
          <w:tcPr>
            <w:tcW w:w="960" w:type="dxa"/>
            <w:tcBorders>
              <w:top w:val="nil"/>
              <w:left w:val="nil"/>
              <w:bottom w:val="single" w:sz="4" w:space="0" w:color="auto"/>
              <w:right w:val="single" w:sz="4" w:space="0" w:color="auto"/>
            </w:tcBorders>
            <w:shd w:val="clear" w:color="auto" w:fill="auto"/>
            <w:noWrap/>
            <w:vAlign w:val="bottom"/>
            <w:hideMark/>
          </w:tcPr>
          <w:p w14:paraId="1B45DA0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12.240</w:t>
            </w:r>
          </w:p>
        </w:tc>
        <w:tc>
          <w:tcPr>
            <w:tcW w:w="960" w:type="dxa"/>
            <w:tcBorders>
              <w:top w:val="nil"/>
              <w:left w:val="nil"/>
              <w:bottom w:val="single" w:sz="4" w:space="0" w:color="auto"/>
              <w:right w:val="single" w:sz="4" w:space="0" w:color="auto"/>
            </w:tcBorders>
            <w:shd w:val="clear" w:color="auto" w:fill="auto"/>
            <w:noWrap/>
            <w:vAlign w:val="bottom"/>
            <w:hideMark/>
          </w:tcPr>
          <w:p w14:paraId="61C9690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12.765</w:t>
            </w:r>
          </w:p>
        </w:tc>
        <w:tc>
          <w:tcPr>
            <w:tcW w:w="1900" w:type="dxa"/>
            <w:tcBorders>
              <w:top w:val="nil"/>
              <w:left w:val="nil"/>
              <w:bottom w:val="nil"/>
              <w:right w:val="nil"/>
            </w:tcBorders>
            <w:shd w:val="clear" w:color="auto" w:fill="auto"/>
            <w:noWrap/>
            <w:vAlign w:val="bottom"/>
            <w:hideMark/>
          </w:tcPr>
          <w:p w14:paraId="06CFE7E6"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2D7A0C7A"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2D652B0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17</w:t>
            </w:r>
          </w:p>
        </w:tc>
        <w:tc>
          <w:tcPr>
            <w:tcW w:w="960" w:type="dxa"/>
            <w:tcBorders>
              <w:top w:val="nil"/>
              <w:left w:val="nil"/>
              <w:bottom w:val="single" w:sz="4" w:space="0" w:color="auto"/>
              <w:right w:val="single" w:sz="4" w:space="0" w:color="auto"/>
            </w:tcBorders>
            <w:shd w:val="clear" w:color="auto" w:fill="auto"/>
            <w:noWrap/>
            <w:vAlign w:val="bottom"/>
            <w:hideMark/>
          </w:tcPr>
          <w:p w14:paraId="1D31094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31.406</w:t>
            </w:r>
          </w:p>
        </w:tc>
        <w:tc>
          <w:tcPr>
            <w:tcW w:w="960" w:type="dxa"/>
            <w:tcBorders>
              <w:top w:val="nil"/>
              <w:left w:val="nil"/>
              <w:bottom w:val="single" w:sz="4" w:space="0" w:color="auto"/>
              <w:right w:val="single" w:sz="4" w:space="0" w:color="auto"/>
            </w:tcBorders>
            <w:shd w:val="clear" w:color="auto" w:fill="auto"/>
            <w:noWrap/>
            <w:vAlign w:val="bottom"/>
            <w:hideMark/>
          </w:tcPr>
          <w:p w14:paraId="7D3CEEA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33.531</w:t>
            </w:r>
          </w:p>
        </w:tc>
        <w:tc>
          <w:tcPr>
            <w:tcW w:w="960" w:type="dxa"/>
            <w:tcBorders>
              <w:top w:val="nil"/>
              <w:left w:val="nil"/>
              <w:bottom w:val="single" w:sz="4" w:space="0" w:color="auto"/>
              <w:right w:val="single" w:sz="4" w:space="0" w:color="auto"/>
            </w:tcBorders>
            <w:shd w:val="clear" w:color="auto" w:fill="auto"/>
            <w:noWrap/>
            <w:vAlign w:val="bottom"/>
            <w:hideMark/>
          </w:tcPr>
          <w:p w14:paraId="259CA06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34.375</w:t>
            </w:r>
          </w:p>
        </w:tc>
        <w:tc>
          <w:tcPr>
            <w:tcW w:w="960" w:type="dxa"/>
            <w:tcBorders>
              <w:top w:val="nil"/>
              <w:left w:val="nil"/>
              <w:bottom w:val="single" w:sz="4" w:space="0" w:color="auto"/>
              <w:right w:val="single" w:sz="4" w:space="0" w:color="auto"/>
            </w:tcBorders>
            <w:shd w:val="clear" w:color="auto" w:fill="auto"/>
            <w:noWrap/>
            <w:vAlign w:val="bottom"/>
            <w:hideMark/>
          </w:tcPr>
          <w:p w14:paraId="04C1CB7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9.617</w:t>
            </w:r>
          </w:p>
        </w:tc>
        <w:tc>
          <w:tcPr>
            <w:tcW w:w="960" w:type="dxa"/>
            <w:tcBorders>
              <w:top w:val="nil"/>
              <w:left w:val="nil"/>
              <w:bottom w:val="single" w:sz="4" w:space="0" w:color="auto"/>
              <w:right w:val="single" w:sz="4" w:space="0" w:color="auto"/>
            </w:tcBorders>
            <w:shd w:val="clear" w:color="auto" w:fill="auto"/>
            <w:noWrap/>
            <w:vAlign w:val="bottom"/>
            <w:hideMark/>
          </w:tcPr>
          <w:p w14:paraId="19A72B0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13.380</w:t>
            </w:r>
          </w:p>
        </w:tc>
        <w:tc>
          <w:tcPr>
            <w:tcW w:w="960" w:type="dxa"/>
            <w:tcBorders>
              <w:top w:val="nil"/>
              <w:left w:val="nil"/>
              <w:bottom w:val="single" w:sz="4" w:space="0" w:color="auto"/>
              <w:right w:val="single" w:sz="4" w:space="0" w:color="auto"/>
            </w:tcBorders>
            <w:shd w:val="clear" w:color="auto" w:fill="auto"/>
            <w:noWrap/>
            <w:vAlign w:val="bottom"/>
            <w:hideMark/>
          </w:tcPr>
          <w:p w14:paraId="3D29CDF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10.941</w:t>
            </w:r>
          </w:p>
        </w:tc>
        <w:tc>
          <w:tcPr>
            <w:tcW w:w="1900" w:type="dxa"/>
            <w:tcBorders>
              <w:top w:val="nil"/>
              <w:left w:val="nil"/>
              <w:bottom w:val="nil"/>
              <w:right w:val="nil"/>
            </w:tcBorders>
            <w:shd w:val="clear" w:color="auto" w:fill="auto"/>
            <w:noWrap/>
            <w:vAlign w:val="bottom"/>
            <w:hideMark/>
          </w:tcPr>
          <w:p w14:paraId="07CF0EDE"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20377F37"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3E3D762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18</w:t>
            </w:r>
          </w:p>
        </w:tc>
        <w:tc>
          <w:tcPr>
            <w:tcW w:w="960" w:type="dxa"/>
            <w:tcBorders>
              <w:top w:val="nil"/>
              <w:left w:val="nil"/>
              <w:bottom w:val="single" w:sz="4" w:space="0" w:color="auto"/>
              <w:right w:val="single" w:sz="4" w:space="0" w:color="auto"/>
            </w:tcBorders>
            <w:shd w:val="clear" w:color="auto" w:fill="auto"/>
            <w:noWrap/>
            <w:vAlign w:val="bottom"/>
            <w:hideMark/>
          </w:tcPr>
          <w:p w14:paraId="56EA2A6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30.281</w:t>
            </w:r>
          </w:p>
        </w:tc>
        <w:tc>
          <w:tcPr>
            <w:tcW w:w="960" w:type="dxa"/>
            <w:tcBorders>
              <w:top w:val="nil"/>
              <w:left w:val="nil"/>
              <w:bottom w:val="single" w:sz="4" w:space="0" w:color="auto"/>
              <w:right w:val="single" w:sz="4" w:space="0" w:color="auto"/>
            </w:tcBorders>
            <w:shd w:val="clear" w:color="auto" w:fill="auto"/>
            <w:noWrap/>
            <w:vAlign w:val="bottom"/>
            <w:hideMark/>
          </w:tcPr>
          <w:p w14:paraId="70699DC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32.219</w:t>
            </w:r>
          </w:p>
        </w:tc>
        <w:tc>
          <w:tcPr>
            <w:tcW w:w="960" w:type="dxa"/>
            <w:tcBorders>
              <w:top w:val="nil"/>
              <w:left w:val="nil"/>
              <w:bottom w:val="single" w:sz="4" w:space="0" w:color="auto"/>
              <w:right w:val="single" w:sz="4" w:space="0" w:color="auto"/>
            </w:tcBorders>
            <w:shd w:val="clear" w:color="auto" w:fill="auto"/>
            <w:noWrap/>
            <w:vAlign w:val="bottom"/>
            <w:hideMark/>
          </w:tcPr>
          <w:p w14:paraId="1ED634B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33.409</w:t>
            </w:r>
          </w:p>
        </w:tc>
        <w:tc>
          <w:tcPr>
            <w:tcW w:w="960" w:type="dxa"/>
            <w:tcBorders>
              <w:top w:val="nil"/>
              <w:left w:val="nil"/>
              <w:bottom w:val="single" w:sz="4" w:space="0" w:color="auto"/>
              <w:right w:val="single" w:sz="4" w:space="0" w:color="auto"/>
            </w:tcBorders>
            <w:shd w:val="clear" w:color="auto" w:fill="auto"/>
            <w:noWrap/>
            <w:vAlign w:val="bottom"/>
            <w:hideMark/>
          </w:tcPr>
          <w:p w14:paraId="1AB0C8C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10.830</w:t>
            </w:r>
          </w:p>
        </w:tc>
        <w:tc>
          <w:tcPr>
            <w:tcW w:w="960" w:type="dxa"/>
            <w:tcBorders>
              <w:top w:val="nil"/>
              <w:left w:val="nil"/>
              <w:bottom w:val="single" w:sz="4" w:space="0" w:color="auto"/>
              <w:right w:val="single" w:sz="4" w:space="0" w:color="auto"/>
            </w:tcBorders>
            <w:shd w:val="clear" w:color="auto" w:fill="auto"/>
            <w:noWrap/>
            <w:vAlign w:val="bottom"/>
            <w:hideMark/>
          </w:tcPr>
          <w:p w14:paraId="0B12C5D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14.000</w:t>
            </w:r>
          </w:p>
        </w:tc>
        <w:tc>
          <w:tcPr>
            <w:tcW w:w="960" w:type="dxa"/>
            <w:tcBorders>
              <w:top w:val="nil"/>
              <w:left w:val="nil"/>
              <w:bottom w:val="single" w:sz="4" w:space="0" w:color="auto"/>
              <w:right w:val="single" w:sz="4" w:space="0" w:color="auto"/>
            </w:tcBorders>
            <w:shd w:val="clear" w:color="auto" w:fill="auto"/>
            <w:noWrap/>
            <w:vAlign w:val="bottom"/>
            <w:hideMark/>
          </w:tcPr>
          <w:p w14:paraId="6A3CC39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10.059</w:t>
            </w:r>
          </w:p>
        </w:tc>
        <w:tc>
          <w:tcPr>
            <w:tcW w:w="1900" w:type="dxa"/>
            <w:tcBorders>
              <w:top w:val="nil"/>
              <w:left w:val="nil"/>
              <w:bottom w:val="nil"/>
              <w:right w:val="nil"/>
            </w:tcBorders>
            <w:shd w:val="clear" w:color="auto" w:fill="auto"/>
            <w:noWrap/>
            <w:vAlign w:val="bottom"/>
            <w:hideMark/>
          </w:tcPr>
          <w:p w14:paraId="38293733"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71C6B4A7"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0C1812B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19</w:t>
            </w:r>
          </w:p>
        </w:tc>
        <w:tc>
          <w:tcPr>
            <w:tcW w:w="960" w:type="dxa"/>
            <w:tcBorders>
              <w:top w:val="nil"/>
              <w:left w:val="nil"/>
              <w:bottom w:val="single" w:sz="4" w:space="0" w:color="auto"/>
              <w:right w:val="single" w:sz="4" w:space="0" w:color="auto"/>
            </w:tcBorders>
            <w:shd w:val="clear" w:color="auto" w:fill="auto"/>
            <w:noWrap/>
            <w:vAlign w:val="bottom"/>
            <w:hideMark/>
          </w:tcPr>
          <w:p w14:paraId="1293812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29.188</w:t>
            </w:r>
          </w:p>
        </w:tc>
        <w:tc>
          <w:tcPr>
            <w:tcW w:w="960" w:type="dxa"/>
            <w:tcBorders>
              <w:top w:val="nil"/>
              <w:left w:val="nil"/>
              <w:bottom w:val="single" w:sz="4" w:space="0" w:color="auto"/>
              <w:right w:val="single" w:sz="4" w:space="0" w:color="auto"/>
            </w:tcBorders>
            <w:shd w:val="clear" w:color="auto" w:fill="auto"/>
            <w:noWrap/>
            <w:vAlign w:val="bottom"/>
            <w:hideMark/>
          </w:tcPr>
          <w:p w14:paraId="3FCE7A4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30.875</w:t>
            </w:r>
          </w:p>
        </w:tc>
        <w:tc>
          <w:tcPr>
            <w:tcW w:w="960" w:type="dxa"/>
            <w:tcBorders>
              <w:top w:val="nil"/>
              <w:left w:val="nil"/>
              <w:bottom w:val="single" w:sz="4" w:space="0" w:color="auto"/>
              <w:right w:val="single" w:sz="4" w:space="0" w:color="auto"/>
            </w:tcBorders>
            <w:shd w:val="clear" w:color="auto" w:fill="auto"/>
            <w:noWrap/>
            <w:vAlign w:val="bottom"/>
            <w:hideMark/>
          </w:tcPr>
          <w:p w14:paraId="6F34D53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32.316</w:t>
            </w:r>
          </w:p>
        </w:tc>
        <w:tc>
          <w:tcPr>
            <w:tcW w:w="960" w:type="dxa"/>
            <w:tcBorders>
              <w:top w:val="nil"/>
              <w:left w:val="nil"/>
              <w:bottom w:val="single" w:sz="4" w:space="0" w:color="auto"/>
              <w:right w:val="single" w:sz="4" w:space="0" w:color="auto"/>
            </w:tcBorders>
            <w:shd w:val="clear" w:color="auto" w:fill="auto"/>
            <w:noWrap/>
            <w:vAlign w:val="bottom"/>
            <w:hideMark/>
          </w:tcPr>
          <w:p w14:paraId="58E4BBB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12.043</w:t>
            </w:r>
          </w:p>
        </w:tc>
        <w:tc>
          <w:tcPr>
            <w:tcW w:w="960" w:type="dxa"/>
            <w:tcBorders>
              <w:top w:val="nil"/>
              <w:left w:val="nil"/>
              <w:bottom w:val="single" w:sz="4" w:space="0" w:color="auto"/>
              <w:right w:val="single" w:sz="4" w:space="0" w:color="auto"/>
            </w:tcBorders>
            <w:shd w:val="clear" w:color="auto" w:fill="auto"/>
            <w:noWrap/>
            <w:vAlign w:val="bottom"/>
            <w:hideMark/>
          </w:tcPr>
          <w:p w14:paraId="5A02CE7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14.660</w:t>
            </w:r>
          </w:p>
        </w:tc>
        <w:tc>
          <w:tcPr>
            <w:tcW w:w="960" w:type="dxa"/>
            <w:tcBorders>
              <w:top w:val="nil"/>
              <w:left w:val="nil"/>
              <w:bottom w:val="single" w:sz="4" w:space="0" w:color="auto"/>
              <w:right w:val="single" w:sz="4" w:space="0" w:color="auto"/>
            </w:tcBorders>
            <w:shd w:val="clear" w:color="auto" w:fill="auto"/>
            <w:noWrap/>
            <w:vAlign w:val="bottom"/>
            <w:hideMark/>
          </w:tcPr>
          <w:p w14:paraId="38B7D41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10.000</w:t>
            </w:r>
          </w:p>
        </w:tc>
        <w:tc>
          <w:tcPr>
            <w:tcW w:w="1900" w:type="dxa"/>
            <w:tcBorders>
              <w:top w:val="nil"/>
              <w:left w:val="nil"/>
              <w:bottom w:val="nil"/>
              <w:right w:val="nil"/>
            </w:tcBorders>
            <w:shd w:val="clear" w:color="auto" w:fill="auto"/>
            <w:noWrap/>
            <w:vAlign w:val="bottom"/>
            <w:hideMark/>
          </w:tcPr>
          <w:p w14:paraId="7F516CC5"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55517322"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6F0D6AD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20</w:t>
            </w:r>
          </w:p>
        </w:tc>
        <w:tc>
          <w:tcPr>
            <w:tcW w:w="960" w:type="dxa"/>
            <w:tcBorders>
              <w:top w:val="nil"/>
              <w:left w:val="nil"/>
              <w:bottom w:val="single" w:sz="4" w:space="0" w:color="auto"/>
              <w:right w:val="single" w:sz="4" w:space="0" w:color="auto"/>
            </w:tcBorders>
            <w:shd w:val="clear" w:color="auto" w:fill="auto"/>
            <w:noWrap/>
            <w:vAlign w:val="bottom"/>
            <w:hideMark/>
          </w:tcPr>
          <w:p w14:paraId="70C9BEC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28.094</w:t>
            </w:r>
          </w:p>
        </w:tc>
        <w:tc>
          <w:tcPr>
            <w:tcW w:w="960" w:type="dxa"/>
            <w:tcBorders>
              <w:top w:val="nil"/>
              <w:left w:val="nil"/>
              <w:bottom w:val="single" w:sz="4" w:space="0" w:color="auto"/>
              <w:right w:val="single" w:sz="4" w:space="0" w:color="auto"/>
            </w:tcBorders>
            <w:shd w:val="clear" w:color="auto" w:fill="auto"/>
            <w:noWrap/>
            <w:vAlign w:val="bottom"/>
            <w:hideMark/>
          </w:tcPr>
          <w:p w14:paraId="06A7F8E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29.313</w:t>
            </w:r>
          </w:p>
        </w:tc>
        <w:tc>
          <w:tcPr>
            <w:tcW w:w="960" w:type="dxa"/>
            <w:tcBorders>
              <w:top w:val="nil"/>
              <w:left w:val="nil"/>
              <w:bottom w:val="single" w:sz="4" w:space="0" w:color="auto"/>
              <w:right w:val="single" w:sz="4" w:space="0" w:color="auto"/>
            </w:tcBorders>
            <w:shd w:val="clear" w:color="auto" w:fill="auto"/>
            <w:noWrap/>
            <w:vAlign w:val="bottom"/>
            <w:hideMark/>
          </w:tcPr>
          <w:p w14:paraId="7504D3C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29.968</w:t>
            </w:r>
          </w:p>
        </w:tc>
        <w:tc>
          <w:tcPr>
            <w:tcW w:w="960" w:type="dxa"/>
            <w:tcBorders>
              <w:top w:val="nil"/>
              <w:left w:val="nil"/>
              <w:bottom w:val="single" w:sz="4" w:space="0" w:color="auto"/>
              <w:right w:val="single" w:sz="4" w:space="0" w:color="auto"/>
            </w:tcBorders>
            <w:shd w:val="clear" w:color="auto" w:fill="auto"/>
            <w:noWrap/>
            <w:vAlign w:val="bottom"/>
            <w:hideMark/>
          </w:tcPr>
          <w:p w14:paraId="553DE1B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13.388</w:t>
            </w:r>
          </w:p>
        </w:tc>
        <w:tc>
          <w:tcPr>
            <w:tcW w:w="960" w:type="dxa"/>
            <w:tcBorders>
              <w:top w:val="nil"/>
              <w:left w:val="nil"/>
              <w:bottom w:val="single" w:sz="4" w:space="0" w:color="auto"/>
              <w:right w:val="single" w:sz="4" w:space="0" w:color="auto"/>
            </w:tcBorders>
            <w:shd w:val="clear" w:color="auto" w:fill="auto"/>
            <w:noWrap/>
            <w:vAlign w:val="bottom"/>
            <w:hideMark/>
          </w:tcPr>
          <w:p w14:paraId="42093B1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14.800</w:t>
            </w:r>
          </w:p>
        </w:tc>
        <w:tc>
          <w:tcPr>
            <w:tcW w:w="960" w:type="dxa"/>
            <w:tcBorders>
              <w:top w:val="nil"/>
              <w:left w:val="nil"/>
              <w:bottom w:val="single" w:sz="4" w:space="0" w:color="auto"/>
              <w:right w:val="single" w:sz="4" w:space="0" w:color="auto"/>
            </w:tcBorders>
            <w:shd w:val="clear" w:color="auto" w:fill="auto"/>
            <w:noWrap/>
            <w:vAlign w:val="bottom"/>
            <w:hideMark/>
          </w:tcPr>
          <w:p w14:paraId="772BD23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10.000</w:t>
            </w:r>
          </w:p>
        </w:tc>
        <w:tc>
          <w:tcPr>
            <w:tcW w:w="1900" w:type="dxa"/>
            <w:tcBorders>
              <w:top w:val="nil"/>
              <w:left w:val="nil"/>
              <w:bottom w:val="nil"/>
              <w:right w:val="nil"/>
            </w:tcBorders>
            <w:shd w:val="clear" w:color="auto" w:fill="auto"/>
            <w:noWrap/>
            <w:vAlign w:val="bottom"/>
            <w:hideMark/>
          </w:tcPr>
          <w:p w14:paraId="672D70E8"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28ED74AB"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30BACD0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21</w:t>
            </w:r>
          </w:p>
        </w:tc>
        <w:tc>
          <w:tcPr>
            <w:tcW w:w="960" w:type="dxa"/>
            <w:tcBorders>
              <w:top w:val="nil"/>
              <w:left w:val="nil"/>
              <w:bottom w:val="single" w:sz="4" w:space="0" w:color="auto"/>
              <w:right w:val="single" w:sz="4" w:space="0" w:color="auto"/>
            </w:tcBorders>
            <w:shd w:val="clear" w:color="auto" w:fill="auto"/>
            <w:noWrap/>
            <w:vAlign w:val="bottom"/>
            <w:hideMark/>
          </w:tcPr>
          <w:p w14:paraId="09591C3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26.938</w:t>
            </w:r>
          </w:p>
        </w:tc>
        <w:tc>
          <w:tcPr>
            <w:tcW w:w="960" w:type="dxa"/>
            <w:tcBorders>
              <w:top w:val="nil"/>
              <w:left w:val="nil"/>
              <w:bottom w:val="single" w:sz="4" w:space="0" w:color="auto"/>
              <w:right w:val="single" w:sz="4" w:space="0" w:color="auto"/>
            </w:tcBorders>
            <w:shd w:val="clear" w:color="auto" w:fill="auto"/>
            <w:noWrap/>
            <w:vAlign w:val="bottom"/>
            <w:hideMark/>
          </w:tcPr>
          <w:p w14:paraId="3A9BBE5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27.938</w:t>
            </w:r>
          </w:p>
        </w:tc>
        <w:tc>
          <w:tcPr>
            <w:tcW w:w="960" w:type="dxa"/>
            <w:tcBorders>
              <w:top w:val="nil"/>
              <w:left w:val="nil"/>
              <w:bottom w:val="single" w:sz="4" w:space="0" w:color="auto"/>
              <w:right w:val="single" w:sz="4" w:space="0" w:color="auto"/>
            </w:tcBorders>
            <w:shd w:val="clear" w:color="auto" w:fill="auto"/>
            <w:noWrap/>
            <w:vAlign w:val="bottom"/>
            <w:hideMark/>
          </w:tcPr>
          <w:p w14:paraId="03E3274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27.031</w:t>
            </w:r>
          </w:p>
        </w:tc>
        <w:tc>
          <w:tcPr>
            <w:tcW w:w="960" w:type="dxa"/>
            <w:tcBorders>
              <w:top w:val="nil"/>
              <w:left w:val="nil"/>
              <w:bottom w:val="single" w:sz="4" w:space="0" w:color="auto"/>
              <w:right w:val="single" w:sz="4" w:space="0" w:color="auto"/>
            </w:tcBorders>
            <w:shd w:val="clear" w:color="auto" w:fill="auto"/>
            <w:noWrap/>
            <w:vAlign w:val="bottom"/>
            <w:hideMark/>
          </w:tcPr>
          <w:p w14:paraId="3C67277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15.039</w:t>
            </w:r>
          </w:p>
        </w:tc>
        <w:tc>
          <w:tcPr>
            <w:tcW w:w="960" w:type="dxa"/>
            <w:tcBorders>
              <w:top w:val="nil"/>
              <w:left w:val="nil"/>
              <w:bottom w:val="single" w:sz="4" w:space="0" w:color="auto"/>
              <w:right w:val="single" w:sz="4" w:space="0" w:color="auto"/>
            </w:tcBorders>
            <w:shd w:val="clear" w:color="auto" w:fill="auto"/>
            <w:noWrap/>
            <w:vAlign w:val="bottom"/>
            <w:hideMark/>
          </w:tcPr>
          <w:p w14:paraId="5C62A59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15.880</w:t>
            </w:r>
          </w:p>
        </w:tc>
        <w:tc>
          <w:tcPr>
            <w:tcW w:w="960" w:type="dxa"/>
            <w:tcBorders>
              <w:top w:val="nil"/>
              <w:left w:val="nil"/>
              <w:bottom w:val="single" w:sz="4" w:space="0" w:color="auto"/>
              <w:right w:val="single" w:sz="4" w:space="0" w:color="auto"/>
            </w:tcBorders>
            <w:shd w:val="clear" w:color="auto" w:fill="auto"/>
            <w:noWrap/>
            <w:vAlign w:val="bottom"/>
            <w:hideMark/>
          </w:tcPr>
          <w:p w14:paraId="4F76D6F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10.000</w:t>
            </w:r>
          </w:p>
        </w:tc>
        <w:tc>
          <w:tcPr>
            <w:tcW w:w="1900" w:type="dxa"/>
            <w:tcBorders>
              <w:top w:val="nil"/>
              <w:left w:val="nil"/>
              <w:bottom w:val="nil"/>
              <w:right w:val="nil"/>
            </w:tcBorders>
            <w:shd w:val="clear" w:color="auto" w:fill="auto"/>
            <w:noWrap/>
            <w:vAlign w:val="bottom"/>
            <w:hideMark/>
          </w:tcPr>
          <w:p w14:paraId="1D217E0D"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1DC0B34D"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38A1839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22</w:t>
            </w:r>
          </w:p>
        </w:tc>
        <w:tc>
          <w:tcPr>
            <w:tcW w:w="960" w:type="dxa"/>
            <w:tcBorders>
              <w:top w:val="nil"/>
              <w:left w:val="nil"/>
              <w:bottom w:val="single" w:sz="4" w:space="0" w:color="auto"/>
              <w:right w:val="single" w:sz="4" w:space="0" w:color="auto"/>
            </w:tcBorders>
            <w:shd w:val="clear" w:color="auto" w:fill="auto"/>
            <w:noWrap/>
            <w:vAlign w:val="bottom"/>
            <w:hideMark/>
          </w:tcPr>
          <w:p w14:paraId="2741E59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25.375</w:t>
            </w:r>
          </w:p>
        </w:tc>
        <w:tc>
          <w:tcPr>
            <w:tcW w:w="960" w:type="dxa"/>
            <w:tcBorders>
              <w:top w:val="nil"/>
              <w:left w:val="nil"/>
              <w:bottom w:val="single" w:sz="4" w:space="0" w:color="auto"/>
              <w:right w:val="single" w:sz="4" w:space="0" w:color="auto"/>
            </w:tcBorders>
            <w:shd w:val="clear" w:color="auto" w:fill="auto"/>
            <w:noWrap/>
            <w:vAlign w:val="bottom"/>
            <w:hideMark/>
          </w:tcPr>
          <w:p w14:paraId="2610978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27.188</w:t>
            </w:r>
          </w:p>
        </w:tc>
        <w:tc>
          <w:tcPr>
            <w:tcW w:w="960" w:type="dxa"/>
            <w:tcBorders>
              <w:top w:val="nil"/>
              <w:left w:val="nil"/>
              <w:bottom w:val="single" w:sz="4" w:space="0" w:color="auto"/>
              <w:right w:val="single" w:sz="4" w:space="0" w:color="auto"/>
            </w:tcBorders>
            <w:shd w:val="clear" w:color="auto" w:fill="auto"/>
            <w:noWrap/>
            <w:vAlign w:val="bottom"/>
            <w:hideMark/>
          </w:tcPr>
          <w:p w14:paraId="65913A0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24.281</w:t>
            </w:r>
          </w:p>
        </w:tc>
        <w:tc>
          <w:tcPr>
            <w:tcW w:w="960" w:type="dxa"/>
            <w:tcBorders>
              <w:top w:val="nil"/>
              <w:left w:val="nil"/>
              <w:bottom w:val="single" w:sz="4" w:space="0" w:color="auto"/>
              <w:right w:val="single" w:sz="4" w:space="0" w:color="auto"/>
            </w:tcBorders>
            <w:shd w:val="clear" w:color="auto" w:fill="auto"/>
            <w:noWrap/>
            <w:vAlign w:val="bottom"/>
            <w:hideMark/>
          </w:tcPr>
          <w:p w14:paraId="0F6C1CA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15.745</w:t>
            </w:r>
          </w:p>
        </w:tc>
        <w:tc>
          <w:tcPr>
            <w:tcW w:w="960" w:type="dxa"/>
            <w:tcBorders>
              <w:top w:val="nil"/>
              <w:left w:val="nil"/>
              <w:bottom w:val="single" w:sz="4" w:space="0" w:color="auto"/>
              <w:right w:val="single" w:sz="4" w:space="0" w:color="auto"/>
            </w:tcBorders>
            <w:shd w:val="clear" w:color="auto" w:fill="auto"/>
            <w:noWrap/>
            <w:vAlign w:val="bottom"/>
            <w:hideMark/>
          </w:tcPr>
          <w:p w14:paraId="4193DAA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16.240</w:t>
            </w:r>
          </w:p>
        </w:tc>
        <w:tc>
          <w:tcPr>
            <w:tcW w:w="960" w:type="dxa"/>
            <w:tcBorders>
              <w:top w:val="nil"/>
              <w:left w:val="nil"/>
              <w:bottom w:val="single" w:sz="4" w:space="0" w:color="auto"/>
              <w:right w:val="single" w:sz="4" w:space="0" w:color="auto"/>
            </w:tcBorders>
            <w:shd w:val="clear" w:color="auto" w:fill="auto"/>
            <w:noWrap/>
            <w:vAlign w:val="bottom"/>
            <w:hideMark/>
          </w:tcPr>
          <w:p w14:paraId="60391EE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10.000</w:t>
            </w:r>
          </w:p>
        </w:tc>
        <w:tc>
          <w:tcPr>
            <w:tcW w:w="1900" w:type="dxa"/>
            <w:tcBorders>
              <w:top w:val="nil"/>
              <w:left w:val="nil"/>
              <w:bottom w:val="nil"/>
              <w:right w:val="nil"/>
            </w:tcBorders>
            <w:shd w:val="clear" w:color="auto" w:fill="auto"/>
            <w:noWrap/>
            <w:vAlign w:val="bottom"/>
            <w:hideMark/>
          </w:tcPr>
          <w:p w14:paraId="0A6347A8"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5CD95107"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04AB5E7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w:t>
            </w:r>
          </w:p>
        </w:tc>
        <w:tc>
          <w:tcPr>
            <w:tcW w:w="960" w:type="dxa"/>
            <w:tcBorders>
              <w:top w:val="nil"/>
              <w:left w:val="nil"/>
              <w:bottom w:val="single" w:sz="4" w:space="0" w:color="auto"/>
              <w:right w:val="single" w:sz="4" w:space="0" w:color="auto"/>
            </w:tcBorders>
            <w:shd w:val="clear" w:color="auto" w:fill="auto"/>
            <w:noWrap/>
            <w:vAlign w:val="bottom"/>
            <w:hideMark/>
          </w:tcPr>
          <w:p w14:paraId="3D53349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23.563</w:t>
            </w:r>
          </w:p>
        </w:tc>
        <w:tc>
          <w:tcPr>
            <w:tcW w:w="960" w:type="dxa"/>
            <w:tcBorders>
              <w:top w:val="nil"/>
              <w:left w:val="nil"/>
              <w:bottom w:val="single" w:sz="4" w:space="0" w:color="auto"/>
              <w:right w:val="single" w:sz="4" w:space="0" w:color="auto"/>
            </w:tcBorders>
            <w:shd w:val="clear" w:color="auto" w:fill="auto"/>
            <w:noWrap/>
            <w:vAlign w:val="bottom"/>
            <w:hideMark/>
          </w:tcPr>
          <w:p w14:paraId="3C14BA3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26.688</w:t>
            </w:r>
          </w:p>
        </w:tc>
        <w:tc>
          <w:tcPr>
            <w:tcW w:w="960" w:type="dxa"/>
            <w:tcBorders>
              <w:top w:val="nil"/>
              <w:left w:val="nil"/>
              <w:bottom w:val="single" w:sz="4" w:space="0" w:color="auto"/>
              <w:right w:val="single" w:sz="4" w:space="0" w:color="auto"/>
            </w:tcBorders>
            <w:shd w:val="clear" w:color="auto" w:fill="auto"/>
            <w:noWrap/>
            <w:vAlign w:val="bottom"/>
            <w:hideMark/>
          </w:tcPr>
          <w:p w14:paraId="0239203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21.982</w:t>
            </w:r>
          </w:p>
        </w:tc>
        <w:tc>
          <w:tcPr>
            <w:tcW w:w="960" w:type="dxa"/>
            <w:tcBorders>
              <w:top w:val="nil"/>
              <w:left w:val="nil"/>
              <w:bottom w:val="single" w:sz="4" w:space="0" w:color="auto"/>
              <w:right w:val="single" w:sz="4" w:space="0" w:color="auto"/>
            </w:tcBorders>
            <w:shd w:val="clear" w:color="auto" w:fill="auto"/>
            <w:noWrap/>
            <w:vAlign w:val="bottom"/>
            <w:hideMark/>
          </w:tcPr>
          <w:p w14:paraId="649562A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17.899</w:t>
            </w:r>
          </w:p>
        </w:tc>
        <w:tc>
          <w:tcPr>
            <w:tcW w:w="960" w:type="dxa"/>
            <w:tcBorders>
              <w:top w:val="nil"/>
              <w:left w:val="nil"/>
              <w:bottom w:val="single" w:sz="4" w:space="0" w:color="auto"/>
              <w:right w:val="single" w:sz="4" w:space="0" w:color="auto"/>
            </w:tcBorders>
            <w:shd w:val="clear" w:color="auto" w:fill="auto"/>
            <w:noWrap/>
            <w:vAlign w:val="bottom"/>
            <w:hideMark/>
          </w:tcPr>
          <w:p w14:paraId="51F5780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16.220</w:t>
            </w:r>
          </w:p>
        </w:tc>
        <w:tc>
          <w:tcPr>
            <w:tcW w:w="960" w:type="dxa"/>
            <w:tcBorders>
              <w:top w:val="nil"/>
              <w:left w:val="nil"/>
              <w:bottom w:val="single" w:sz="4" w:space="0" w:color="auto"/>
              <w:right w:val="single" w:sz="4" w:space="0" w:color="auto"/>
            </w:tcBorders>
            <w:shd w:val="clear" w:color="auto" w:fill="auto"/>
            <w:noWrap/>
            <w:vAlign w:val="bottom"/>
            <w:hideMark/>
          </w:tcPr>
          <w:p w14:paraId="5109B41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10.000</w:t>
            </w:r>
          </w:p>
        </w:tc>
        <w:tc>
          <w:tcPr>
            <w:tcW w:w="1900" w:type="dxa"/>
            <w:tcBorders>
              <w:top w:val="nil"/>
              <w:left w:val="nil"/>
              <w:bottom w:val="nil"/>
              <w:right w:val="nil"/>
            </w:tcBorders>
            <w:shd w:val="clear" w:color="auto" w:fill="auto"/>
            <w:noWrap/>
            <w:vAlign w:val="bottom"/>
            <w:hideMark/>
          </w:tcPr>
          <w:p w14:paraId="7C4E2473"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69227EB0"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1806601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24</w:t>
            </w:r>
          </w:p>
        </w:tc>
        <w:tc>
          <w:tcPr>
            <w:tcW w:w="960" w:type="dxa"/>
            <w:tcBorders>
              <w:top w:val="nil"/>
              <w:left w:val="nil"/>
              <w:bottom w:val="single" w:sz="4" w:space="0" w:color="auto"/>
              <w:right w:val="single" w:sz="4" w:space="0" w:color="auto"/>
            </w:tcBorders>
            <w:shd w:val="clear" w:color="auto" w:fill="auto"/>
            <w:noWrap/>
            <w:vAlign w:val="bottom"/>
            <w:hideMark/>
          </w:tcPr>
          <w:p w14:paraId="47A2524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21.719</w:t>
            </w:r>
          </w:p>
        </w:tc>
        <w:tc>
          <w:tcPr>
            <w:tcW w:w="960" w:type="dxa"/>
            <w:tcBorders>
              <w:top w:val="nil"/>
              <w:left w:val="nil"/>
              <w:bottom w:val="single" w:sz="4" w:space="0" w:color="auto"/>
              <w:right w:val="single" w:sz="4" w:space="0" w:color="auto"/>
            </w:tcBorders>
            <w:shd w:val="clear" w:color="auto" w:fill="auto"/>
            <w:noWrap/>
            <w:vAlign w:val="bottom"/>
            <w:hideMark/>
          </w:tcPr>
          <w:p w14:paraId="393BB03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26.406</w:t>
            </w:r>
          </w:p>
        </w:tc>
        <w:tc>
          <w:tcPr>
            <w:tcW w:w="960" w:type="dxa"/>
            <w:tcBorders>
              <w:top w:val="nil"/>
              <w:left w:val="nil"/>
              <w:bottom w:val="single" w:sz="4" w:space="0" w:color="auto"/>
              <w:right w:val="single" w:sz="4" w:space="0" w:color="auto"/>
            </w:tcBorders>
            <w:shd w:val="clear" w:color="auto" w:fill="auto"/>
            <w:noWrap/>
            <w:vAlign w:val="bottom"/>
            <w:hideMark/>
          </w:tcPr>
          <w:p w14:paraId="41E4AEF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20.672</w:t>
            </w:r>
          </w:p>
        </w:tc>
        <w:tc>
          <w:tcPr>
            <w:tcW w:w="960" w:type="dxa"/>
            <w:tcBorders>
              <w:top w:val="nil"/>
              <w:left w:val="nil"/>
              <w:bottom w:val="single" w:sz="4" w:space="0" w:color="auto"/>
              <w:right w:val="single" w:sz="4" w:space="0" w:color="auto"/>
            </w:tcBorders>
            <w:shd w:val="clear" w:color="auto" w:fill="auto"/>
            <w:noWrap/>
            <w:vAlign w:val="bottom"/>
            <w:hideMark/>
          </w:tcPr>
          <w:p w14:paraId="7D19D46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18.979</w:t>
            </w:r>
          </w:p>
        </w:tc>
        <w:tc>
          <w:tcPr>
            <w:tcW w:w="960" w:type="dxa"/>
            <w:tcBorders>
              <w:top w:val="nil"/>
              <w:left w:val="nil"/>
              <w:bottom w:val="single" w:sz="4" w:space="0" w:color="auto"/>
              <w:right w:val="single" w:sz="4" w:space="0" w:color="auto"/>
            </w:tcBorders>
            <w:shd w:val="clear" w:color="auto" w:fill="auto"/>
            <w:noWrap/>
            <w:vAlign w:val="bottom"/>
            <w:hideMark/>
          </w:tcPr>
          <w:p w14:paraId="62F78CD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16.720</w:t>
            </w:r>
          </w:p>
        </w:tc>
        <w:tc>
          <w:tcPr>
            <w:tcW w:w="960" w:type="dxa"/>
            <w:tcBorders>
              <w:top w:val="nil"/>
              <w:left w:val="nil"/>
              <w:bottom w:val="single" w:sz="4" w:space="0" w:color="auto"/>
              <w:right w:val="single" w:sz="4" w:space="0" w:color="auto"/>
            </w:tcBorders>
            <w:shd w:val="clear" w:color="auto" w:fill="auto"/>
            <w:noWrap/>
            <w:vAlign w:val="bottom"/>
            <w:hideMark/>
          </w:tcPr>
          <w:p w14:paraId="4DE2671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34.025</w:t>
            </w:r>
          </w:p>
        </w:tc>
        <w:tc>
          <w:tcPr>
            <w:tcW w:w="1900" w:type="dxa"/>
            <w:tcBorders>
              <w:top w:val="nil"/>
              <w:left w:val="nil"/>
              <w:bottom w:val="nil"/>
              <w:right w:val="nil"/>
            </w:tcBorders>
            <w:shd w:val="clear" w:color="auto" w:fill="auto"/>
            <w:noWrap/>
            <w:vAlign w:val="bottom"/>
            <w:hideMark/>
          </w:tcPr>
          <w:p w14:paraId="01991760"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2ECDA37B"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6B63045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25</w:t>
            </w:r>
          </w:p>
        </w:tc>
        <w:tc>
          <w:tcPr>
            <w:tcW w:w="960" w:type="dxa"/>
            <w:tcBorders>
              <w:top w:val="nil"/>
              <w:left w:val="nil"/>
              <w:bottom w:val="single" w:sz="4" w:space="0" w:color="auto"/>
              <w:right w:val="single" w:sz="4" w:space="0" w:color="auto"/>
            </w:tcBorders>
            <w:shd w:val="clear" w:color="auto" w:fill="auto"/>
            <w:noWrap/>
            <w:vAlign w:val="bottom"/>
            <w:hideMark/>
          </w:tcPr>
          <w:p w14:paraId="50AAAA8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19.938</w:t>
            </w:r>
          </w:p>
        </w:tc>
        <w:tc>
          <w:tcPr>
            <w:tcW w:w="960" w:type="dxa"/>
            <w:tcBorders>
              <w:top w:val="nil"/>
              <w:left w:val="nil"/>
              <w:bottom w:val="single" w:sz="4" w:space="0" w:color="auto"/>
              <w:right w:val="single" w:sz="4" w:space="0" w:color="auto"/>
            </w:tcBorders>
            <w:shd w:val="clear" w:color="auto" w:fill="auto"/>
            <w:noWrap/>
            <w:vAlign w:val="bottom"/>
            <w:hideMark/>
          </w:tcPr>
          <w:p w14:paraId="3E5D52A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26.063</w:t>
            </w:r>
          </w:p>
        </w:tc>
        <w:tc>
          <w:tcPr>
            <w:tcW w:w="960" w:type="dxa"/>
            <w:tcBorders>
              <w:top w:val="nil"/>
              <w:left w:val="nil"/>
              <w:bottom w:val="single" w:sz="4" w:space="0" w:color="auto"/>
              <w:right w:val="single" w:sz="4" w:space="0" w:color="auto"/>
            </w:tcBorders>
            <w:shd w:val="clear" w:color="auto" w:fill="auto"/>
            <w:noWrap/>
            <w:vAlign w:val="bottom"/>
            <w:hideMark/>
          </w:tcPr>
          <w:p w14:paraId="1D39182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19.563</w:t>
            </w:r>
          </w:p>
        </w:tc>
        <w:tc>
          <w:tcPr>
            <w:tcW w:w="960" w:type="dxa"/>
            <w:tcBorders>
              <w:top w:val="nil"/>
              <w:left w:val="nil"/>
              <w:bottom w:val="single" w:sz="4" w:space="0" w:color="auto"/>
              <w:right w:val="single" w:sz="4" w:space="0" w:color="auto"/>
            </w:tcBorders>
            <w:shd w:val="clear" w:color="auto" w:fill="auto"/>
            <w:noWrap/>
            <w:vAlign w:val="bottom"/>
            <w:hideMark/>
          </w:tcPr>
          <w:p w14:paraId="325F71B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19.000</w:t>
            </w:r>
          </w:p>
        </w:tc>
        <w:tc>
          <w:tcPr>
            <w:tcW w:w="960" w:type="dxa"/>
            <w:tcBorders>
              <w:top w:val="nil"/>
              <w:left w:val="nil"/>
              <w:bottom w:val="single" w:sz="4" w:space="0" w:color="auto"/>
              <w:right w:val="single" w:sz="4" w:space="0" w:color="auto"/>
            </w:tcBorders>
            <w:shd w:val="clear" w:color="auto" w:fill="auto"/>
            <w:noWrap/>
            <w:vAlign w:val="bottom"/>
            <w:hideMark/>
          </w:tcPr>
          <w:p w14:paraId="12998CF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15.500</w:t>
            </w:r>
          </w:p>
        </w:tc>
        <w:tc>
          <w:tcPr>
            <w:tcW w:w="960" w:type="dxa"/>
            <w:tcBorders>
              <w:top w:val="nil"/>
              <w:left w:val="nil"/>
              <w:bottom w:val="single" w:sz="4" w:space="0" w:color="auto"/>
              <w:right w:val="single" w:sz="4" w:space="0" w:color="auto"/>
            </w:tcBorders>
            <w:shd w:val="clear" w:color="auto" w:fill="auto"/>
            <w:noWrap/>
            <w:vAlign w:val="bottom"/>
            <w:hideMark/>
          </w:tcPr>
          <w:p w14:paraId="27C278C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31.425</w:t>
            </w:r>
          </w:p>
        </w:tc>
        <w:tc>
          <w:tcPr>
            <w:tcW w:w="1900" w:type="dxa"/>
            <w:tcBorders>
              <w:top w:val="nil"/>
              <w:left w:val="nil"/>
              <w:bottom w:val="nil"/>
              <w:right w:val="nil"/>
            </w:tcBorders>
            <w:shd w:val="clear" w:color="auto" w:fill="auto"/>
            <w:noWrap/>
            <w:vAlign w:val="bottom"/>
            <w:hideMark/>
          </w:tcPr>
          <w:p w14:paraId="6AA09DAB"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77F1BCDC"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220570E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26</w:t>
            </w:r>
          </w:p>
        </w:tc>
        <w:tc>
          <w:tcPr>
            <w:tcW w:w="960" w:type="dxa"/>
            <w:tcBorders>
              <w:top w:val="nil"/>
              <w:left w:val="nil"/>
              <w:bottom w:val="single" w:sz="4" w:space="0" w:color="auto"/>
              <w:right w:val="single" w:sz="4" w:space="0" w:color="auto"/>
            </w:tcBorders>
            <w:shd w:val="clear" w:color="auto" w:fill="auto"/>
            <w:noWrap/>
            <w:vAlign w:val="bottom"/>
            <w:hideMark/>
          </w:tcPr>
          <w:p w14:paraId="45C9829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18.625</w:t>
            </w:r>
          </w:p>
        </w:tc>
        <w:tc>
          <w:tcPr>
            <w:tcW w:w="960" w:type="dxa"/>
            <w:tcBorders>
              <w:top w:val="nil"/>
              <w:left w:val="nil"/>
              <w:bottom w:val="single" w:sz="4" w:space="0" w:color="auto"/>
              <w:right w:val="single" w:sz="4" w:space="0" w:color="auto"/>
            </w:tcBorders>
            <w:shd w:val="clear" w:color="auto" w:fill="auto"/>
            <w:noWrap/>
            <w:vAlign w:val="bottom"/>
            <w:hideMark/>
          </w:tcPr>
          <w:p w14:paraId="5EA2F26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26.031</w:t>
            </w:r>
          </w:p>
        </w:tc>
        <w:tc>
          <w:tcPr>
            <w:tcW w:w="960" w:type="dxa"/>
            <w:tcBorders>
              <w:top w:val="nil"/>
              <w:left w:val="nil"/>
              <w:bottom w:val="single" w:sz="4" w:space="0" w:color="auto"/>
              <w:right w:val="single" w:sz="4" w:space="0" w:color="auto"/>
            </w:tcBorders>
            <w:shd w:val="clear" w:color="auto" w:fill="auto"/>
            <w:noWrap/>
            <w:vAlign w:val="bottom"/>
            <w:hideMark/>
          </w:tcPr>
          <w:p w14:paraId="2C3A51A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19.419</w:t>
            </w:r>
          </w:p>
        </w:tc>
        <w:tc>
          <w:tcPr>
            <w:tcW w:w="960" w:type="dxa"/>
            <w:tcBorders>
              <w:top w:val="nil"/>
              <w:left w:val="nil"/>
              <w:bottom w:val="single" w:sz="4" w:space="0" w:color="auto"/>
              <w:right w:val="single" w:sz="4" w:space="0" w:color="auto"/>
            </w:tcBorders>
            <w:shd w:val="clear" w:color="auto" w:fill="auto"/>
            <w:noWrap/>
            <w:vAlign w:val="bottom"/>
            <w:hideMark/>
          </w:tcPr>
          <w:p w14:paraId="545C482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19.000</w:t>
            </w:r>
          </w:p>
        </w:tc>
        <w:tc>
          <w:tcPr>
            <w:tcW w:w="960" w:type="dxa"/>
            <w:tcBorders>
              <w:top w:val="nil"/>
              <w:left w:val="nil"/>
              <w:bottom w:val="single" w:sz="4" w:space="0" w:color="auto"/>
              <w:right w:val="single" w:sz="4" w:space="0" w:color="auto"/>
            </w:tcBorders>
            <w:shd w:val="clear" w:color="auto" w:fill="auto"/>
            <w:noWrap/>
            <w:vAlign w:val="bottom"/>
            <w:hideMark/>
          </w:tcPr>
          <w:p w14:paraId="7348754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15.640</w:t>
            </w:r>
          </w:p>
        </w:tc>
        <w:tc>
          <w:tcPr>
            <w:tcW w:w="960" w:type="dxa"/>
            <w:tcBorders>
              <w:top w:val="nil"/>
              <w:left w:val="nil"/>
              <w:bottom w:val="single" w:sz="4" w:space="0" w:color="auto"/>
              <w:right w:val="single" w:sz="4" w:space="0" w:color="auto"/>
            </w:tcBorders>
            <w:shd w:val="clear" w:color="auto" w:fill="auto"/>
            <w:noWrap/>
            <w:vAlign w:val="bottom"/>
            <w:hideMark/>
          </w:tcPr>
          <w:p w14:paraId="3DC8FE3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29.625</w:t>
            </w:r>
          </w:p>
        </w:tc>
        <w:tc>
          <w:tcPr>
            <w:tcW w:w="1900" w:type="dxa"/>
            <w:tcBorders>
              <w:top w:val="nil"/>
              <w:left w:val="nil"/>
              <w:bottom w:val="nil"/>
              <w:right w:val="nil"/>
            </w:tcBorders>
            <w:shd w:val="clear" w:color="auto" w:fill="auto"/>
            <w:noWrap/>
            <w:vAlign w:val="bottom"/>
            <w:hideMark/>
          </w:tcPr>
          <w:p w14:paraId="62CD458A"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5567EF1D"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0FE73C2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w:t>
            </w:r>
          </w:p>
        </w:tc>
        <w:tc>
          <w:tcPr>
            <w:tcW w:w="960" w:type="dxa"/>
            <w:tcBorders>
              <w:top w:val="nil"/>
              <w:left w:val="nil"/>
              <w:bottom w:val="single" w:sz="4" w:space="0" w:color="auto"/>
              <w:right w:val="single" w:sz="4" w:space="0" w:color="auto"/>
            </w:tcBorders>
            <w:shd w:val="clear" w:color="auto" w:fill="auto"/>
            <w:noWrap/>
            <w:vAlign w:val="bottom"/>
            <w:hideMark/>
          </w:tcPr>
          <w:p w14:paraId="34FC9F1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17.500</w:t>
            </w:r>
          </w:p>
        </w:tc>
        <w:tc>
          <w:tcPr>
            <w:tcW w:w="960" w:type="dxa"/>
            <w:tcBorders>
              <w:top w:val="nil"/>
              <w:left w:val="nil"/>
              <w:bottom w:val="single" w:sz="4" w:space="0" w:color="auto"/>
              <w:right w:val="single" w:sz="4" w:space="0" w:color="auto"/>
            </w:tcBorders>
            <w:shd w:val="clear" w:color="auto" w:fill="auto"/>
            <w:noWrap/>
            <w:vAlign w:val="bottom"/>
            <w:hideMark/>
          </w:tcPr>
          <w:p w14:paraId="5A6FB17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25.625</w:t>
            </w:r>
          </w:p>
        </w:tc>
        <w:tc>
          <w:tcPr>
            <w:tcW w:w="960" w:type="dxa"/>
            <w:tcBorders>
              <w:top w:val="nil"/>
              <w:left w:val="nil"/>
              <w:bottom w:val="single" w:sz="4" w:space="0" w:color="auto"/>
              <w:right w:val="single" w:sz="4" w:space="0" w:color="auto"/>
            </w:tcBorders>
            <w:shd w:val="clear" w:color="auto" w:fill="auto"/>
            <w:noWrap/>
            <w:vAlign w:val="bottom"/>
            <w:hideMark/>
          </w:tcPr>
          <w:p w14:paraId="09F7C4A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20.184</w:t>
            </w:r>
          </w:p>
        </w:tc>
        <w:tc>
          <w:tcPr>
            <w:tcW w:w="960" w:type="dxa"/>
            <w:tcBorders>
              <w:top w:val="nil"/>
              <w:left w:val="nil"/>
              <w:bottom w:val="single" w:sz="4" w:space="0" w:color="auto"/>
              <w:right w:val="single" w:sz="4" w:space="0" w:color="auto"/>
            </w:tcBorders>
            <w:shd w:val="clear" w:color="auto" w:fill="auto"/>
            <w:noWrap/>
            <w:vAlign w:val="bottom"/>
            <w:hideMark/>
          </w:tcPr>
          <w:p w14:paraId="013EEFE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19.851</w:t>
            </w:r>
          </w:p>
        </w:tc>
        <w:tc>
          <w:tcPr>
            <w:tcW w:w="960" w:type="dxa"/>
            <w:tcBorders>
              <w:top w:val="nil"/>
              <w:left w:val="nil"/>
              <w:bottom w:val="single" w:sz="4" w:space="0" w:color="auto"/>
              <w:right w:val="single" w:sz="4" w:space="0" w:color="auto"/>
            </w:tcBorders>
            <w:shd w:val="clear" w:color="auto" w:fill="auto"/>
            <w:noWrap/>
            <w:vAlign w:val="bottom"/>
            <w:hideMark/>
          </w:tcPr>
          <w:p w14:paraId="6686A9E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15.000</w:t>
            </w:r>
          </w:p>
        </w:tc>
        <w:tc>
          <w:tcPr>
            <w:tcW w:w="960" w:type="dxa"/>
            <w:tcBorders>
              <w:top w:val="nil"/>
              <w:left w:val="nil"/>
              <w:bottom w:val="single" w:sz="4" w:space="0" w:color="auto"/>
              <w:right w:val="single" w:sz="4" w:space="0" w:color="auto"/>
            </w:tcBorders>
            <w:shd w:val="clear" w:color="auto" w:fill="auto"/>
            <w:noWrap/>
            <w:vAlign w:val="bottom"/>
            <w:hideMark/>
          </w:tcPr>
          <w:p w14:paraId="573161E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28.475</w:t>
            </w:r>
          </w:p>
        </w:tc>
        <w:tc>
          <w:tcPr>
            <w:tcW w:w="1900" w:type="dxa"/>
            <w:tcBorders>
              <w:top w:val="nil"/>
              <w:left w:val="nil"/>
              <w:bottom w:val="nil"/>
              <w:right w:val="nil"/>
            </w:tcBorders>
            <w:shd w:val="clear" w:color="auto" w:fill="auto"/>
            <w:noWrap/>
            <w:vAlign w:val="bottom"/>
            <w:hideMark/>
          </w:tcPr>
          <w:p w14:paraId="1C85D5CE"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02B2E832"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0F4D1CF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28</w:t>
            </w:r>
          </w:p>
        </w:tc>
        <w:tc>
          <w:tcPr>
            <w:tcW w:w="960" w:type="dxa"/>
            <w:tcBorders>
              <w:top w:val="nil"/>
              <w:left w:val="nil"/>
              <w:bottom w:val="single" w:sz="4" w:space="0" w:color="auto"/>
              <w:right w:val="single" w:sz="4" w:space="0" w:color="auto"/>
            </w:tcBorders>
            <w:shd w:val="clear" w:color="auto" w:fill="auto"/>
            <w:noWrap/>
            <w:vAlign w:val="bottom"/>
            <w:hideMark/>
          </w:tcPr>
          <w:p w14:paraId="1C5D7CD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16.719</w:t>
            </w:r>
          </w:p>
        </w:tc>
        <w:tc>
          <w:tcPr>
            <w:tcW w:w="960" w:type="dxa"/>
            <w:tcBorders>
              <w:top w:val="nil"/>
              <w:left w:val="nil"/>
              <w:bottom w:val="single" w:sz="4" w:space="0" w:color="auto"/>
              <w:right w:val="single" w:sz="4" w:space="0" w:color="auto"/>
            </w:tcBorders>
            <w:shd w:val="clear" w:color="auto" w:fill="auto"/>
            <w:noWrap/>
            <w:vAlign w:val="bottom"/>
            <w:hideMark/>
          </w:tcPr>
          <w:p w14:paraId="4989F0C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25.000</w:t>
            </w:r>
          </w:p>
        </w:tc>
        <w:tc>
          <w:tcPr>
            <w:tcW w:w="960" w:type="dxa"/>
            <w:tcBorders>
              <w:top w:val="nil"/>
              <w:left w:val="nil"/>
              <w:bottom w:val="single" w:sz="4" w:space="0" w:color="auto"/>
              <w:right w:val="single" w:sz="4" w:space="0" w:color="auto"/>
            </w:tcBorders>
            <w:shd w:val="clear" w:color="auto" w:fill="auto"/>
            <w:noWrap/>
            <w:vAlign w:val="bottom"/>
            <w:hideMark/>
          </w:tcPr>
          <w:p w14:paraId="4BE8065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21.780</w:t>
            </w:r>
          </w:p>
        </w:tc>
        <w:tc>
          <w:tcPr>
            <w:tcW w:w="960" w:type="dxa"/>
            <w:tcBorders>
              <w:top w:val="nil"/>
              <w:left w:val="nil"/>
              <w:bottom w:val="single" w:sz="4" w:space="0" w:color="auto"/>
              <w:right w:val="single" w:sz="4" w:space="0" w:color="auto"/>
            </w:tcBorders>
            <w:shd w:val="clear" w:color="auto" w:fill="auto"/>
            <w:noWrap/>
            <w:vAlign w:val="bottom"/>
            <w:hideMark/>
          </w:tcPr>
          <w:p w14:paraId="1F48534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20.000</w:t>
            </w:r>
          </w:p>
        </w:tc>
        <w:tc>
          <w:tcPr>
            <w:tcW w:w="960" w:type="dxa"/>
            <w:tcBorders>
              <w:top w:val="nil"/>
              <w:left w:val="nil"/>
              <w:bottom w:val="single" w:sz="4" w:space="0" w:color="auto"/>
              <w:right w:val="single" w:sz="4" w:space="0" w:color="auto"/>
            </w:tcBorders>
            <w:shd w:val="clear" w:color="auto" w:fill="auto"/>
            <w:noWrap/>
            <w:vAlign w:val="bottom"/>
            <w:hideMark/>
          </w:tcPr>
          <w:p w14:paraId="34B0C26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15.000</w:t>
            </w:r>
          </w:p>
        </w:tc>
        <w:tc>
          <w:tcPr>
            <w:tcW w:w="960" w:type="dxa"/>
            <w:tcBorders>
              <w:top w:val="nil"/>
              <w:left w:val="nil"/>
              <w:bottom w:val="single" w:sz="4" w:space="0" w:color="auto"/>
              <w:right w:val="single" w:sz="4" w:space="0" w:color="auto"/>
            </w:tcBorders>
            <w:shd w:val="clear" w:color="auto" w:fill="auto"/>
            <w:noWrap/>
            <w:vAlign w:val="bottom"/>
            <w:hideMark/>
          </w:tcPr>
          <w:p w14:paraId="7C1EFF4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28.125</w:t>
            </w:r>
          </w:p>
        </w:tc>
        <w:tc>
          <w:tcPr>
            <w:tcW w:w="1900" w:type="dxa"/>
            <w:tcBorders>
              <w:top w:val="nil"/>
              <w:left w:val="nil"/>
              <w:bottom w:val="nil"/>
              <w:right w:val="nil"/>
            </w:tcBorders>
            <w:shd w:val="clear" w:color="auto" w:fill="auto"/>
            <w:noWrap/>
            <w:vAlign w:val="bottom"/>
            <w:hideMark/>
          </w:tcPr>
          <w:p w14:paraId="4C34050F"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2E690D1F"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24826E2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29</w:t>
            </w:r>
          </w:p>
        </w:tc>
        <w:tc>
          <w:tcPr>
            <w:tcW w:w="960" w:type="dxa"/>
            <w:tcBorders>
              <w:top w:val="nil"/>
              <w:left w:val="nil"/>
              <w:bottom w:val="single" w:sz="4" w:space="0" w:color="auto"/>
              <w:right w:val="single" w:sz="4" w:space="0" w:color="auto"/>
            </w:tcBorders>
            <w:shd w:val="clear" w:color="auto" w:fill="auto"/>
            <w:noWrap/>
            <w:vAlign w:val="bottom"/>
            <w:hideMark/>
          </w:tcPr>
          <w:p w14:paraId="3AC98E0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16.156</w:t>
            </w:r>
          </w:p>
        </w:tc>
        <w:tc>
          <w:tcPr>
            <w:tcW w:w="960" w:type="dxa"/>
            <w:tcBorders>
              <w:top w:val="nil"/>
              <w:left w:val="nil"/>
              <w:bottom w:val="single" w:sz="4" w:space="0" w:color="auto"/>
              <w:right w:val="single" w:sz="4" w:space="0" w:color="auto"/>
            </w:tcBorders>
            <w:shd w:val="clear" w:color="auto" w:fill="auto"/>
            <w:noWrap/>
            <w:vAlign w:val="bottom"/>
            <w:hideMark/>
          </w:tcPr>
          <w:p w14:paraId="615AF05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24.469</w:t>
            </w:r>
          </w:p>
        </w:tc>
        <w:tc>
          <w:tcPr>
            <w:tcW w:w="960" w:type="dxa"/>
            <w:tcBorders>
              <w:top w:val="nil"/>
              <w:left w:val="nil"/>
              <w:bottom w:val="single" w:sz="4" w:space="0" w:color="auto"/>
              <w:right w:val="single" w:sz="4" w:space="0" w:color="auto"/>
            </w:tcBorders>
            <w:shd w:val="clear" w:color="auto" w:fill="auto"/>
            <w:noWrap/>
            <w:vAlign w:val="bottom"/>
            <w:hideMark/>
          </w:tcPr>
          <w:p w14:paraId="78C4451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22.500</w:t>
            </w:r>
          </w:p>
        </w:tc>
        <w:tc>
          <w:tcPr>
            <w:tcW w:w="960" w:type="dxa"/>
            <w:tcBorders>
              <w:top w:val="nil"/>
              <w:left w:val="nil"/>
              <w:bottom w:val="single" w:sz="4" w:space="0" w:color="auto"/>
              <w:right w:val="single" w:sz="4" w:space="0" w:color="auto"/>
            </w:tcBorders>
            <w:shd w:val="clear" w:color="auto" w:fill="auto"/>
            <w:noWrap/>
            <w:vAlign w:val="bottom"/>
            <w:hideMark/>
          </w:tcPr>
          <w:p w14:paraId="1C9ADE9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19.234</w:t>
            </w:r>
          </w:p>
        </w:tc>
        <w:tc>
          <w:tcPr>
            <w:tcW w:w="960" w:type="dxa"/>
            <w:tcBorders>
              <w:top w:val="nil"/>
              <w:left w:val="nil"/>
              <w:bottom w:val="single" w:sz="4" w:space="0" w:color="auto"/>
              <w:right w:val="single" w:sz="4" w:space="0" w:color="auto"/>
            </w:tcBorders>
            <w:shd w:val="clear" w:color="auto" w:fill="auto"/>
            <w:noWrap/>
            <w:vAlign w:val="bottom"/>
            <w:hideMark/>
          </w:tcPr>
          <w:p w14:paraId="7C59337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16.000</w:t>
            </w:r>
          </w:p>
        </w:tc>
        <w:tc>
          <w:tcPr>
            <w:tcW w:w="960" w:type="dxa"/>
            <w:tcBorders>
              <w:top w:val="nil"/>
              <w:left w:val="nil"/>
              <w:bottom w:val="single" w:sz="4" w:space="0" w:color="auto"/>
              <w:right w:val="single" w:sz="4" w:space="0" w:color="auto"/>
            </w:tcBorders>
            <w:shd w:val="clear" w:color="auto" w:fill="auto"/>
            <w:noWrap/>
            <w:vAlign w:val="bottom"/>
            <w:hideMark/>
          </w:tcPr>
          <w:p w14:paraId="051877C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28.150</w:t>
            </w:r>
          </w:p>
        </w:tc>
        <w:tc>
          <w:tcPr>
            <w:tcW w:w="1900" w:type="dxa"/>
            <w:tcBorders>
              <w:top w:val="nil"/>
              <w:left w:val="nil"/>
              <w:bottom w:val="nil"/>
              <w:right w:val="nil"/>
            </w:tcBorders>
            <w:shd w:val="clear" w:color="auto" w:fill="auto"/>
            <w:noWrap/>
            <w:vAlign w:val="bottom"/>
            <w:hideMark/>
          </w:tcPr>
          <w:p w14:paraId="16B810CC"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6F780BC8"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0F291BC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w:t>
            </w:r>
          </w:p>
        </w:tc>
        <w:tc>
          <w:tcPr>
            <w:tcW w:w="960" w:type="dxa"/>
            <w:tcBorders>
              <w:top w:val="nil"/>
              <w:left w:val="nil"/>
              <w:bottom w:val="single" w:sz="4" w:space="0" w:color="auto"/>
              <w:right w:val="single" w:sz="4" w:space="0" w:color="auto"/>
            </w:tcBorders>
            <w:shd w:val="clear" w:color="auto" w:fill="auto"/>
            <w:noWrap/>
            <w:vAlign w:val="bottom"/>
            <w:hideMark/>
          </w:tcPr>
          <w:p w14:paraId="371B800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16.063</w:t>
            </w:r>
          </w:p>
        </w:tc>
        <w:tc>
          <w:tcPr>
            <w:tcW w:w="960" w:type="dxa"/>
            <w:tcBorders>
              <w:top w:val="nil"/>
              <w:left w:val="nil"/>
              <w:bottom w:val="single" w:sz="4" w:space="0" w:color="auto"/>
              <w:right w:val="single" w:sz="4" w:space="0" w:color="auto"/>
            </w:tcBorders>
            <w:shd w:val="clear" w:color="auto" w:fill="auto"/>
            <w:noWrap/>
            <w:vAlign w:val="bottom"/>
            <w:hideMark/>
          </w:tcPr>
          <w:p w14:paraId="350A709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24.344</w:t>
            </w:r>
          </w:p>
        </w:tc>
        <w:tc>
          <w:tcPr>
            <w:tcW w:w="960" w:type="dxa"/>
            <w:tcBorders>
              <w:top w:val="nil"/>
              <w:left w:val="nil"/>
              <w:bottom w:val="single" w:sz="4" w:space="0" w:color="auto"/>
              <w:right w:val="single" w:sz="4" w:space="0" w:color="auto"/>
            </w:tcBorders>
            <w:shd w:val="clear" w:color="auto" w:fill="auto"/>
            <w:noWrap/>
            <w:vAlign w:val="bottom"/>
            <w:hideMark/>
          </w:tcPr>
          <w:p w14:paraId="6C8F377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24.703</w:t>
            </w:r>
          </w:p>
        </w:tc>
        <w:tc>
          <w:tcPr>
            <w:tcW w:w="960" w:type="dxa"/>
            <w:tcBorders>
              <w:top w:val="nil"/>
              <w:left w:val="nil"/>
              <w:bottom w:val="single" w:sz="4" w:space="0" w:color="auto"/>
              <w:right w:val="single" w:sz="4" w:space="0" w:color="auto"/>
            </w:tcBorders>
            <w:shd w:val="clear" w:color="auto" w:fill="auto"/>
            <w:noWrap/>
            <w:vAlign w:val="bottom"/>
            <w:hideMark/>
          </w:tcPr>
          <w:p w14:paraId="4D4F907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18.523</w:t>
            </w:r>
          </w:p>
        </w:tc>
        <w:tc>
          <w:tcPr>
            <w:tcW w:w="960" w:type="dxa"/>
            <w:tcBorders>
              <w:top w:val="nil"/>
              <w:left w:val="nil"/>
              <w:bottom w:val="single" w:sz="4" w:space="0" w:color="auto"/>
              <w:right w:val="single" w:sz="4" w:space="0" w:color="auto"/>
            </w:tcBorders>
            <w:shd w:val="clear" w:color="auto" w:fill="auto"/>
            <w:noWrap/>
            <w:vAlign w:val="bottom"/>
            <w:hideMark/>
          </w:tcPr>
          <w:p w14:paraId="0065328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16.000</w:t>
            </w:r>
          </w:p>
        </w:tc>
        <w:tc>
          <w:tcPr>
            <w:tcW w:w="960" w:type="dxa"/>
            <w:tcBorders>
              <w:top w:val="nil"/>
              <w:left w:val="nil"/>
              <w:bottom w:val="single" w:sz="4" w:space="0" w:color="auto"/>
              <w:right w:val="single" w:sz="4" w:space="0" w:color="auto"/>
            </w:tcBorders>
            <w:shd w:val="clear" w:color="auto" w:fill="auto"/>
            <w:noWrap/>
            <w:vAlign w:val="bottom"/>
            <w:hideMark/>
          </w:tcPr>
          <w:p w14:paraId="454FC84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28.600</w:t>
            </w:r>
          </w:p>
        </w:tc>
        <w:tc>
          <w:tcPr>
            <w:tcW w:w="1900" w:type="dxa"/>
            <w:tcBorders>
              <w:top w:val="nil"/>
              <w:left w:val="nil"/>
              <w:bottom w:val="nil"/>
              <w:right w:val="nil"/>
            </w:tcBorders>
            <w:shd w:val="clear" w:color="auto" w:fill="auto"/>
            <w:noWrap/>
            <w:vAlign w:val="bottom"/>
            <w:hideMark/>
          </w:tcPr>
          <w:p w14:paraId="20C2E280"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26DCC323"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6B68FC3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w:t>
            </w:r>
          </w:p>
        </w:tc>
        <w:tc>
          <w:tcPr>
            <w:tcW w:w="960" w:type="dxa"/>
            <w:tcBorders>
              <w:top w:val="nil"/>
              <w:left w:val="nil"/>
              <w:bottom w:val="single" w:sz="4" w:space="0" w:color="auto"/>
              <w:right w:val="single" w:sz="4" w:space="0" w:color="auto"/>
            </w:tcBorders>
            <w:shd w:val="clear" w:color="auto" w:fill="auto"/>
            <w:noWrap/>
            <w:vAlign w:val="bottom"/>
            <w:hideMark/>
          </w:tcPr>
          <w:p w14:paraId="35A03D2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16.500</w:t>
            </w:r>
          </w:p>
        </w:tc>
        <w:tc>
          <w:tcPr>
            <w:tcW w:w="960" w:type="dxa"/>
            <w:tcBorders>
              <w:top w:val="nil"/>
              <w:left w:val="nil"/>
              <w:bottom w:val="single" w:sz="4" w:space="0" w:color="auto"/>
              <w:right w:val="single" w:sz="4" w:space="0" w:color="auto"/>
            </w:tcBorders>
            <w:shd w:val="clear" w:color="auto" w:fill="auto"/>
            <w:noWrap/>
            <w:vAlign w:val="bottom"/>
            <w:hideMark/>
          </w:tcPr>
          <w:p w14:paraId="5F57723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24.500</w:t>
            </w:r>
          </w:p>
        </w:tc>
        <w:tc>
          <w:tcPr>
            <w:tcW w:w="960" w:type="dxa"/>
            <w:tcBorders>
              <w:top w:val="nil"/>
              <w:left w:val="nil"/>
              <w:bottom w:val="single" w:sz="4" w:space="0" w:color="auto"/>
              <w:right w:val="single" w:sz="4" w:space="0" w:color="auto"/>
            </w:tcBorders>
            <w:shd w:val="clear" w:color="auto" w:fill="auto"/>
            <w:noWrap/>
            <w:vAlign w:val="bottom"/>
            <w:hideMark/>
          </w:tcPr>
          <w:p w14:paraId="38C5686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26.906</w:t>
            </w:r>
          </w:p>
        </w:tc>
        <w:tc>
          <w:tcPr>
            <w:tcW w:w="960" w:type="dxa"/>
            <w:tcBorders>
              <w:top w:val="nil"/>
              <w:left w:val="nil"/>
              <w:bottom w:val="single" w:sz="4" w:space="0" w:color="auto"/>
              <w:right w:val="single" w:sz="4" w:space="0" w:color="auto"/>
            </w:tcBorders>
            <w:shd w:val="clear" w:color="auto" w:fill="auto"/>
            <w:noWrap/>
            <w:vAlign w:val="bottom"/>
            <w:hideMark/>
          </w:tcPr>
          <w:p w14:paraId="0843B2C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18.027</w:t>
            </w:r>
          </w:p>
        </w:tc>
        <w:tc>
          <w:tcPr>
            <w:tcW w:w="960" w:type="dxa"/>
            <w:tcBorders>
              <w:top w:val="nil"/>
              <w:left w:val="nil"/>
              <w:bottom w:val="single" w:sz="4" w:space="0" w:color="auto"/>
              <w:right w:val="single" w:sz="4" w:space="0" w:color="auto"/>
            </w:tcBorders>
            <w:shd w:val="clear" w:color="auto" w:fill="auto"/>
            <w:noWrap/>
            <w:vAlign w:val="bottom"/>
            <w:hideMark/>
          </w:tcPr>
          <w:p w14:paraId="282F4BD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16.340</w:t>
            </w:r>
          </w:p>
        </w:tc>
        <w:tc>
          <w:tcPr>
            <w:tcW w:w="960" w:type="dxa"/>
            <w:tcBorders>
              <w:top w:val="nil"/>
              <w:left w:val="nil"/>
              <w:bottom w:val="single" w:sz="4" w:space="0" w:color="auto"/>
              <w:right w:val="single" w:sz="4" w:space="0" w:color="auto"/>
            </w:tcBorders>
            <w:shd w:val="clear" w:color="auto" w:fill="auto"/>
            <w:noWrap/>
            <w:vAlign w:val="bottom"/>
            <w:hideMark/>
          </w:tcPr>
          <w:p w14:paraId="397C9FF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29.875</w:t>
            </w:r>
          </w:p>
        </w:tc>
        <w:tc>
          <w:tcPr>
            <w:tcW w:w="1900" w:type="dxa"/>
            <w:tcBorders>
              <w:top w:val="nil"/>
              <w:left w:val="nil"/>
              <w:bottom w:val="nil"/>
              <w:right w:val="nil"/>
            </w:tcBorders>
            <w:shd w:val="clear" w:color="auto" w:fill="auto"/>
            <w:noWrap/>
            <w:vAlign w:val="bottom"/>
            <w:hideMark/>
          </w:tcPr>
          <w:p w14:paraId="7D11970D"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298A295F"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7E36E17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w:t>
            </w:r>
          </w:p>
        </w:tc>
        <w:tc>
          <w:tcPr>
            <w:tcW w:w="960" w:type="dxa"/>
            <w:tcBorders>
              <w:top w:val="nil"/>
              <w:left w:val="nil"/>
              <w:bottom w:val="single" w:sz="4" w:space="0" w:color="auto"/>
              <w:right w:val="single" w:sz="4" w:space="0" w:color="auto"/>
            </w:tcBorders>
            <w:shd w:val="clear" w:color="auto" w:fill="auto"/>
            <w:noWrap/>
            <w:vAlign w:val="bottom"/>
            <w:hideMark/>
          </w:tcPr>
          <w:p w14:paraId="1A74849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17.156</w:t>
            </w:r>
          </w:p>
        </w:tc>
        <w:tc>
          <w:tcPr>
            <w:tcW w:w="960" w:type="dxa"/>
            <w:tcBorders>
              <w:top w:val="nil"/>
              <w:left w:val="nil"/>
              <w:bottom w:val="single" w:sz="4" w:space="0" w:color="auto"/>
              <w:right w:val="single" w:sz="4" w:space="0" w:color="auto"/>
            </w:tcBorders>
            <w:shd w:val="clear" w:color="auto" w:fill="auto"/>
            <w:noWrap/>
            <w:vAlign w:val="bottom"/>
            <w:hideMark/>
          </w:tcPr>
          <w:p w14:paraId="030EB61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24.938</w:t>
            </w:r>
          </w:p>
        </w:tc>
        <w:tc>
          <w:tcPr>
            <w:tcW w:w="960" w:type="dxa"/>
            <w:tcBorders>
              <w:top w:val="nil"/>
              <w:left w:val="nil"/>
              <w:bottom w:val="single" w:sz="4" w:space="0" w:color="auto"/>
              <w:right w:val="single" w:sz="4" w:space="0" w:color="auto"/>
            </w:tcBorders>
            <w:shd w:val="clear" w:color="auto" w:fill="auto"/>
            <w:noWrap/>
            <w:vAlign w:val="bottom"/>
            <w:hideMark/>
          </w:tcPr>
          <w:p w14:paraId="666BB2F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29.109</w:t>
            </w:r>
          </w:p>
        </w:tc>
        <w:tc>
          <w:tcPr>
            <w:tcW w:w="960" w:type="dxa"/>
            <w:tcBorders>
              <w:top w:val="nil"/>
              <w:left w:val="nil"/>
              <w:bottom w:val="single" w:sz="4" w:space="0" w:color="auto"/>
              <w:right w:val="single" w:sz="4" w:space="0" w:color="auto"/>
            </w:tcBorders>
            <w:shd w:val="clear" w:color="auto" w:fill="auto"/>
            <w:noWrap/>
            <w:vAlign w:val="bottom"/>
            <w:hideMark/>
          </w:tcPr>
          <w:p w14:paraId="4CBEAE0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17.083</w:t>
            </w:r>
          </w:p>
        </w:tc>
        <w:tc>
          <w:tcPr>
            <w:tcW w:w="960" w:type="dxa"/>
            <w:tcBorders>
              <w:top w:val="nil"/>
              <w:left w:val="nil"/>
              <w:bottom w:val="single" w:sz="4" w:space="0" w:color="auto"/>
              <w:right w:val="single" w:sz="4" w:space="0" w:color="auto"/>
            </w:tcBorders>
            <w:shd w:val="clear" w:color="auto" w:fill="auto"/>
            <w:noWrap/>
            <w:vAlign w:val="bottom"/>
            <w:hideMark/>
          </w:tcPr>
          <w:p w14:paraId="4A27987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17.000</w:t>
            </w:r>
          </w:p>
        </w:tc>
        <w:tc>
          <w:tcPr>
            <w:tcW w:w="960" w:type="dxa"/>
            <w:tcBorders>
              <w:top w:val="nil"/>
              <w:left w:val="nil"/>
              <w:bottom w:val="single" w:sz="4" w:space="0" w:color="auto"/>
              <w:right w:val="single" w:sz="4" w:space="0" w:color="auto"/>
            </w:tcBorders>
            <w:shd w:val="clear" w:color="auto" w:fill="auto"/>
            <w:noWrap/>
            <w:vAlign w:val="bottom"/>
            <w:hideMark/>
          </w:tcPr>
          <w:p w14:paraId="6C10D71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31.600</w:t>
            </w:r>
          </w:p>
        </w:tc>
        <w:tc>
          <w:tcPr>
            <w:tcW w:w="1900" w:type="dxa"/>
            <w:tcBorders>
              <w:top w:val="nil"/>
              <w:left w:val="nil"/>
              <w:bottom w:val="nil"/>
              <w:right w:val="nil"/>
            </w:tcBorders>
            <w:shd w:val="clear" w:color="auto" w:fill="auto"/>
            <w:noWrap/>
            <w:vAlign w:val="bottom"/>
            <w:hideMark/>
          </w:tcPr>
          <w:p w14:paraId="5D192AC2"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06A752DA"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3461F3A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w:t>
            </w:r>
          </w:p>
        </w:tc>
        <w:tc>
          <w:tcPr>
            <w:tcW w:w="960" w:type="dxa"/>
            <w:tcBorders>
              <w:top w:val="nil"/>
              <w:left w:val="nil"/>
              <w:bottom w:val="single" w:sz="4" w:space="0" w:color="auto"/>
              <w:right w:val="single" w:sz="4" w:space="0" w:color="auto"/>
            </w:tcBorders>
            <w:shd w:val="clear" w:color="auto" w:fill="auto"/>
            <w:noWrap/>
            <w:vAlign w:val="bottom"/>
            <w:hideMark/>
          </w:tcPr>
          <w:p w14:paraId="2CCC6AB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18.125</w:t>
            </w:r>
          </w:p>
        </w:tc>
        <w:tc>
          <w:tcPr>
            <w:tcW w:w="960" w:type="dxa"/>
            <w:tcBorders>
              <w:top w:val="nil"/>
              <w:left w:val="nil"/>
              <w:bottom w:val="single" w:sz="4" w:space="0" w:color="auto"/>
              <w:right w:val="single" w:sz="4" w:space="0" w:color="auto"/>
            </w:tcBorders>
            <w:shd w:val="clear" w:color="auto" w:fill="auto"/>
            <w:noWrap/>
            <w:vAlign w:val="bottom"/>
            <w:hideMark/>
          </w:tcPr>
          <w:p w14:paraId="3925BDC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25.656</w:t>
            </w:r>
          </w:p>
        </w:tc>
        <w:tc>
          <w:tcPr>
            <w:tcW w:w="960" w:type="dxa"/>
            <w:tcBorders>
              <w:top w:val="nil"/>
              <w:left w:val="nil"/>
              <w:bottom w:val="single" w:sz="4" w:space="0" w:color="auto"/>
              <w:right w:val="single" w:sz="4" w:space="0" w:color="auto"/>
            </w:tcBorders>
            <w:shd w:val="clear" w:color="auto" w:fill="auto"/>
            <w:noWrap/>
            <w:vAlign w:val="bottom"/>
            <w:hideMark/>
          </w:tcPr>
          <w:p w14:paraId="77EF2F7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29.563</w:t>
            </w:r>
          </w:p>
        </w:tc>
        <w:tc>
          <w:tcPr>
            <w:tcW w:w="960" w:type="dxa"/>
            <w:tcBorders>
              <w:top w:val="nil"/>
              <w:left w:val="nil"/>
              <w:bottom w:val="single" w:sz="4" w:space="0" w:color="auto"/>
              <w:right w:val="single" w:sz="4" w:space="0" w:color="auto"/>
            </w:tcBorders>
            <w:shd w:val="clear" w:color="auto" w:fill="auto"/>
            <w:noWrap/>
            <w:vAlign w:val="bottom"/>
            <w:hideMark/>
          </w:tcPr>
          <w:p w14:paraId="2DFD122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15.807</w:t>
            </w:r>
          </w:p>
        </w:tc>
        <w:tc>
          <w:tcPr>
            <w:tcW w:w="960" w:type="dxa"/>
            <w:tcBorders>
              <w:top w:val="nil"/>
              <w:left w:val="nil"/>
              <w:bottom w:val="single" w:sz="4" w:space="0" w:color="auto"/>
              <w:right w:val="single" w:sz="4" w:space="0" w:color="auto"/>
            </w:tcBorders>
            <w:shd w:val="clear" w:color="auto" w:fill="auto"/>
            <w:noWrap/>
            <w:vAlign w:val="bottom"/>
            <w:hideMark/>
          </w:tcPr>
          <w:p w14:paraId="60AED3F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18.380</w:t>
            </w:r>
          </w:p>
        </w:tc>
        <w:tc>
          <w:tcPr>
            <w:tcW w:w="960" w:type="dxa"/>
            <w:tcBorders>
              <w:top w:val="nil"/>
              <w:left w:val="nil"/>
              <w:bottom w:val="single" w:sz="4" w:space="0" w:color="auto"/>
              <w:right w:val="single" w:sz="4" w:space="0" w:color="auto"/>
            </w:tcBorders>
            <w:shd w:val="clear" w:color="auto" w:fill="auto"/>
            <w:noWrap/>
            <w:vAlign w:val="bottom"/>
            <w:hideMark/>
          </w:tcPr>
          <w:p w14:paraId="2E06642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33.325</w:t>
            </w:r>
          </w:p>
        </w:tc>
        <w:tc>
          <w:tcPr>
            <w:tcW w:w="1900" w:type="dxa"/>
            <w:tcBorders>
              <w:top w:val="nil"/>
              <w:left w:val="nil"/>
              <w:bottom w:val="nil"/>
              <w:right w:val="nil"/>
            </w:tcBorders>
            <w:shd w:val="clear" w:color="auto" w:fill="auto"/>
            <w:noWrap/>
            <w:vAlign w:val="bottom"/>
            <w:hideMark/>
          </w:tcPr>
          <w:p w14:paraId="463BFEB5"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040CF806"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C223AA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w:t>
            </w:r>
          </w:p>
        </w:tc>
        <w:tc>
          <w:tcPr>
            <w:tcW w:w="960" w:type="dxa"/>
            <w:tcBorders>
              <w:top w:val="nil"/>
              <w:left w:val="nil"/>
              <w:bottom w:val="single" w:sz="4" w:space="0" w:color="auto"/>
              <w:right w:val="single" w:sz="4" w:space="0" w:color="auto"/>
            </w:tcBorders>
            <w:shd w:val="clear" w:color="auto" w:fill="auto"/>
            <w:noWrap/>
            <w:vAlign w:val="bottom"/>
            <w:hideMark/>
          </w:tcPr>
          <w:p w14:paraId="2831011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19.344</w:t>
            </w:r>
          </w:p>
        </w:tc>
        <w:tc>
          <w:tcPr>
            <w:tcW w:w="960" w:type="dxa"/>
            <w:tcBorders>
              <w:top w:val="nil"/>
              <w:left w:val="nil"/>
              <w:bottom w:val="single" w:sz="4" w:space="0" w:color="auto"/>
              <w:right w:val="single" w:sz="4" w:space="0" w:color="auto"/>
            </w:tcBorders>
            <w:shd w:val="clear" w:color="auto" w:fill="auto"/>
            <w:noWrap/>
            <w:vAlign w:val="bottom"/>
            <w:hideMark/>
          </w:tcPr>
          <w:p w14:paraId="7B04BDA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26.406</w:t>
            </w:r>
          </w:p>
        </w:tc>
        <w:tc>
          <w:tcPr>
            <w:tcW w:w="960" w:type="dxa"/>
            <w:tcBorders>
              <w:top w:val="nil"/>
              <w:left w:val="nil"/>
              <w:bottom w:val="single" w:sz="4" w:space="0" w:color="auto"/>
              <w:right w:val="single" w:sz="4" w:space="0" w:color="auto"/>
            </w:tcBorders>
            <w:shd w:val="clear" w:color="auto" w:fill="auto"/>
            <w:noWrap/>
            <w:vAlign w:val="bottom"/>
            <w:hideMark/>
          </w:tcPr>
          <w:p w14:paraId="7FED979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30.672</w:t>
            </w:r>
          </w:p>
        </w:tc>
        <w:tc>
          <w:tcPr>
            <w:tcW w:w="960" w:type="dxa"/>
            <w:tcBorders>
              <w:top w:val="nil"/>
              <w:left w:val="nil"/>
              <w:bottom w:val="single" w:sz="4" w:space="0" w:color="auto"/>
              <w:right w:val="single" w:sz="4" w:space="0" w:color="auto"/>
            </w:tcBorders>
            <w:shd w:val="clear" w:color="auto" w:fill="auto"/>
            <w:noWrap/>
            <w:vAlign w:val="bottom"/>
            <w:hideMark/>
          </w:tcPr>
          <w:p w14:paraId="58DE9FA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14.766</w:t>
            </w:r>
          </w:p>
        </w:tc>
        <w:tc>
          <w:tcPr>
            <w:tcW w:w="960" w:type="dxa"/>
            <w:tcBorders>
              <w:top w:val="nil"/>
              <w:left w:val="nil"/>
              <w:bottom w:val="single" w:sz="4" w:space="0" w:color="auto"/>
              <w:right w:val="single" w:sz="4" w:space="0" w:color="auto"/>
            </w:tcBorders>
            <w:shd w:val="clear" w:color="auto" w:fill="auto"/>
            <w:noWrap/>
            <w:vAlign w:val="bottom"/>
            <w:hideMark/>
          </w:tcPr>
          <w:p w14:paraId="6FA0A5D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19.480</w:t>
            </w:r>
          </w:p>
        </w:tc>
        <w:tc>
          <w:tcPr>
            <w:tcW w:w="960" w:type="dxa"/>
            <w:tcBorders>
              <w:top w:val="nil"/>
              <w:left w:val="nil"/>
              <w:bottom w:val="single" w:sz="4" w:space="0" w:color="auto"/>
              <w:right w:val="single" w:sz="4" w:space="0" w:color="auto"/>
            </w:tcBorders>
            <w:shd w:val="clear" w:color="auto" w:fill="auto"/>
            <w:noWrap/>
            <w:vAlign w:val="bottom"/>
            <w:hideMark/>
          </w:tcPr>
          <w:p w14:paraId="0107C5F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35.200</w:t>
            </w:r>
          </w:p>
        </w:tc>
        <w:tc>
          <w:tcPr>
            <w:tcW w:w="1900" w:type="dxa"/>
            <w:tcBorders>
              <w:top w:val="nil"/>
              <w:left w:val="nil"/>
              <w:bottom w:val="nil"/>
              <w:right w:val="nil"/>
            </w:tcBorders>
            <w:shd w:val="clear" w:color="auto" w:fill="auto"/>
            <w:noWrap/>
            <w:vAlign w:val="bottom"/>
            <w:hideMark/>
          </w:tcPr>
          <w:p w14:paraId="22431F1A"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3561AF30"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0093B96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35</w:t>
            </w:r>
          </w:p>
        </w:tc>
        <w:tc>
          <w:tcPr>
            <w:tcW w:w="960" w:type="dxa"/>
            <w:tcBorders>
              <w:top w:val="nil"/>
              <w:left w:val="nil"/>
              <w:bottom w:val="single" w:sz="4" w:space="0" w:color="auto"/>
              <w:right w:val="single" w:sz="4" w:space="0" w:color="auto"/>
            </w:tcBorders>
            <w:shd w:val="clear" w:color="auto" w:fill="auto"/>
            <w:noWrap/>
            <w:vAlign w:val="bottom"/>
            <w:hideMark/>
          </w:tcPr>
          <w:p w14:paraId="3E3CCE5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20.906</w:t>
            </w:r>
          </w:p>
        </w:tc>
        <w:tc>
          <w:tcPr>
            <w:tcW w:w="960" w:type="dxa"/>
            <w:tcBorders>
              <w:top w:val="nil"/>
              <w:left w:val="nil"/>
              <w:bottom w:val="single" w:sz="4" w:space="0" w:color="auto"/>
              <w:right w:val="single" w:sz="4" w:space="0" w:color="auto"/>
            </w:tcBorders>
            <w:shd w:val="clear" w:color="auto" w:fill="auto"/>
            <w:noWrap/>
            <w:vAlign w:val="bottom"/>
            <w:hideMark/>
          </w:tcPr>
          <w:p w14:paraId="3DC3E17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27.469</w:t>
            </w:r>
          </w:p>
        </w:tc>
        <w:tc>
          <w:tcPr>
            <w:tcW w:w="960" w:type="dxa"/>
            <w:tcBorders>
              <w:top w:val="nil"/>
              <w:left w:val="nil"/>
              <w:bottom w:val="single" w:sz="4" w:space="0" w:color="auto"/>
              <w:right w:val="single" w:sz="4" w:space="0" w:color="auto"/>
            </w:tcBorders>
            <w:shd w:val="clear" w:color="auto" w:fill="auto"/>
            <w:noWrap/>
            <w:vAlign w:val="bottom"/>
            <w:hideMark/>
          </w:tcPr>
          <w:p w14:paraId="1EAD6C5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32.719</w:t>
            </w:r>
          </w:p>
        </w:tc>
        <w:tc>
          <w:tcPr>
            <w:tcW w:w="960" w:type="dxa"/>
            <w:tcBorders>
              <w:top w:val="nil"/>
              <w:left w:val="nil"/>
              <w:bottom w:val="single" w:sz="4" w:space="0" w:color="auto"/>
              <w:right w:val="single" w:sz="4" w:space="0" w:color="auto"/>
            </w:tcBorders>
            <w:shd w:val="clear" w:color="auto" w:fill="auto"/>
            <w:noWrap/>
            <w:vAlign w:val="bottom"/>
            <w:hideMark/>
          </w:tcPr>
          <w:p w14:paraId="7E233FB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14.064</w:t>
            </w:r>
          </w:p>
        </w:tc>
        <w:tc>
          <w:tcPr>
            <w:tcW w:w="960" w:type="dxa"/>
            <w:tcBorders>
              <w:top w:val="nil"/>
              <w:left w:val="nil"/>
              <w:bottom w:val="single" w:sz="4" w:space="0" w:color="auto"/>
              <w:right w:val="single" w:sz="4" w:space="0" w:color="auto"/>
            </w:tcBorders>
            <w:shd w:val="clear" w:color="auto" w:fill="auto"/>
            <w:noWrap/>
            <w:vAlign w:val="bottom"/>
            <w:hideMark/>
          </w:tcPr>
          <w:p w14:paraId="294F589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21.300</w:t>
            </w:r>
          </w:p>
        </w:tc>
        <w:tc>
          <w:tcPr>
            <w:tcW w:w="960" w:type="dxa"/>
            <w:tcBorders>
              <w:top w:val="nil"/>
              <w:left w:val="nil"/>
              <w:bottom w:val="single" w:sz="4" w:space="0" w:color="auto"/>
              <w:right w:val="single" w:sz="4" w:space="0" w:color="auto"/>
            </w:tcBorders>
            <w:shd w:val="clear" w:color="auto" w:fill="auto"/>
            <w:noWrap/>
            <w:vAlign w:val="bottom"/>
            <w:hideMark/>
          </w:tcPr>
          <w:p w14:paraId="6405A8D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15.714</w:t>
            </w:r>
          </w:p>
        </w:tc>
        <w:tc>
          <w:tcPr>
            <w:tcW w:w="1900" w:type="dxa"/>
            <w:tcBorders>
              <w:top w:val="nil"/>
              <w:left w:val="nil"/>
              <w:bottom w:val="nil"/>
              <w:right w:val="nil"/>
            </w:tcBorders>
            <w:shd w:val="clear" w:color="auto" w:fill="auto"/>
            <w:noWrap/>
            <w:vAlign w:val="bottom"/>
            <w:hideMark/>
          </w:tcPr>
          <w:p w14:paraId="482B04BD"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40215B24"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7F8A86D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36</w:t>
            </w:r>
          </w:p>
        </w:tc>
        <w:tc>
          <w:tcPr>
            <w:tcW w:w="960" w:type="dxa"/>
            <w:tcBorders>
              <w:top w:val="nil"/>
              <w:left w:val="nil"/>
              <w:bottom w:val="single" w:sz="4" w:space="0" w:color="auto"/>
              <w:right w:val="single" w:sz="4" w:space="0" w:color="auto"/>
            </w:tcBorders>
            <w:shd w:val="clear" w:color="auto" w:fill="auto"/>
            <w:noWrap/>
            <w:vAlign w:val="bottom"/>
            <w:hideMark/>
          </w:tcPr>
          <w:p w14:paraId="006323F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30.200</w:t>
            </w:r>
          </w:p>
        </w:tc>
        <w:tc>
          <w:tcPr>
            <w:tcW w:w="960" w:type="dxa"/>
            <w:tcBorders>
              <w:top w:val="nil"/>
              <w:left w:val="nil"/>
              <w:bottom w:val="single" w:sz="4" w:space="0" w:color="auto"/>
              <w:right w:val="single" w:sz="4" w:space="0" w:color="auto"/>
            </w:tcBorders>
            <w:shd w:val="clear" w:color="auto" w:fill="auto"/>
            <w:noWrap/>
            <w:vAlign w:val="bottom"/>
            <w:hideMark/>
          </w:tcPr>
          <w:p w14:paraId="7666C5E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33.571</w:t>
            </w:r>
          </w:p>
        </w:tc>
        <w:tc>
          <w:tcPr>
            <w:tcW w:w="960" w:type="dxa"/>
            <w:tcBorders>
              <w:top w:val="nil"/>
              <w:left w:val="nil"/>
              <w:bottom w:val="single" w:sz="4" w:space="0" w:color="auto"/>
              <w:right w:val="single" w:sz="4" w:space="0" w:color="auto"/>
            </w:tcBorders>
            <w:shd w:val="clear" w:color="auto" w:fill="auto"/>
            <w:noWrap/>
            <w:vAlign w:val="bottom"/>
            <w:hideMark/>
          </w:tcPr>
          <w:p w14:paraId="5FC39B6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34.141</w:t>
            </w:r>
          </w:p>
        </w:tc>
        <w:tc>
          <w:tcPr>
            <w:tcW w:w="960" w:type="dxa"/>
            <w:tcBorders>
              <w:top w:val="nil"/>
              <w:left w:val="nil"/>
              <w:bottom w:val="single" w:sz="4" w:space="0" w:color="auto"/>
              <w:right w:val="single" w:sz="4" w:space="0" w:color="auto"/>
            </w:tcBorders>
            <w:shd w:val="clear" w:color="auto" w:fill="auto"/>
            <w:noWrap/>
            <w:vAlign w:val="bottom"/>
            <w:hideMark/>
          </w:tcPr>
          <w:p w14:paraId="6E2D3D7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13.239</w:t>
            </w:r>
          </w:p>
        </w:tc>
        <w:tc>
          <w:tcPr>
            <w:tcW w:w="960" w:type="dxa"/>
            <w:tcBorders>
              <w:top w:val="nil"/>
              <w:left w:val="nil"/>
              <w:bottom w:val="single" w:sz="4" w:space="0" w:color="auto"/>
              <w:right w:val="single" w:sz="4" w:space="0" w:color="auto"/>
            </w:tcBorders>
            <w:shd w:val="clear" w:color="auto" w:fill="auto"/>
            <w:noWrap/>
            <w:vAlign w:val="bottom"/>
            <w:hideMark/>
          </w:tcPr>
          <w:p w14:paraId="589B0A6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22.960</w:t>
            </w:r>
          </w:p>
        </w:tc>
        <w:tc>
          <w:tcPr>
            <w:tcW w:w="960" w:type="dxa"/>
            <w:tcBorders>
              <w:top w:val="nil"/>
              <w:left w:val="nil"/>
              <w:bottom w:val="single" w:sz="4" w:space="0" w:color="auto"/>
              <w:right w:val="single" w:sz="4" w:space="0" w:color="auto"/>
            </w:tcBorders>
            <w:shd w:val="clear" w:color="auto" w:fill="auto"/>
            <w:noWrap/>
            <w:vAlign w:val="bottom"/>
            <w:hideMark/>
          </w:tcPr>
          <w:p w14:paraId="4EEA7F5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16.510</w:t>
            </w:r>
          </w:p>
        </w:tc>
        <w:tc>
          <w:tcPr>
            <w:tcW w:w="1900" w:type="dxa"/>
            <w:tcBorders>
              <w:top w:val="nil"/>
              <w:left w:val="nil"/>
              <w:bottom w:val="nil"/>
              <w:right w:val="nil"/>
            </w:tcBorders>
            <w:shd w:val="clear" w:color="auto" w:fill="auto"/>
            <w:noWrap/>
            <w:vAlign w:val="bottom"/>
            <w:hideMark/>
          </w:tcPr>
          <w:p w14:paraId="1524CEE1"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1CA5774F"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AB23FE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37</w:t>
            </w:r>
          </w:p>
        </w:tc>
        <w:tc>
          <w:tcPr>
            <w:tcW w:w="960" w:type="dxa"/>
            <w:tcBorders>
              <w:top w:val="nil"/>
              <w:left w:val="nil"/>
              <w:bottom w:val="single" w:sz="4" w:space="0" w:color="auto"/>
              <w:right w:val="single" w:sz="4" w:space="0" w:color="auto"/>
            </w:tcBorders>
            <w:shd w:val="clear" w:color="auto" w:fill="auto"/>
            <w:noWrap/>
            <w:vAlign w:val="bottom"/>
            <w:hideMark/>
          </w:tcPr>
          <w:p w14:paraId="034A7A3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30.356</w:t>
            </w:r>
          </w:p>
        </w:tc>
        <w:tc>
          <w:tcPr>
            <w:tcW w:w="960" w:type="dxa"/>
            <w:tcBorders>
              <w:top w:val="nil"/>
              <w:left w:val="nil"/>
              <w:bottom w:val="single" w:sz="4" w:space="0" w:color="auto"/>
              <w:right w:val="single" w:sz="4" w:space="0" w:color="auto"/>
            </w:tcBorders>
            <w:shd w:val="clear" w:color="auto" w:fill="auto"/>
            <w:noWrap/>
            <w:vAlign w:val="bottom"/>
            <w:hideMark/>
          </w:tcPr>
          <w:p w14:paraId="5B3FDFD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32.686</w:t>
            </w:r>
          </w:p>
        </w:tc>
        <w:tc>
          <w:tcPr>
            <w:tcW w:w="960" w:type="dxa"/>
            <w:tcBorders>
              <w:top w:val="nil"/>
              <w:left w:val="nil"/>
              <w:bottom w:val="single" w:sz="4" w:space="0" w:color="auto"/>
              <w:right w:val="single" w:sz="4" w:space="0" w:color="auto"/>
            </w:tcBorders>
            <w:shd w:val="clear" w:color="auto" w:fill="auto"/>
            <w:noWrap/>
            <w:vAlign w:val="bottom"/>
            <w:hideMark/>
          </w:tcPr>
          <w:p w14:paraId="3C7AC34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25.460</w:t>
            </w:r>
          </w:p>
        </w:tc>
        <w:tc>
          <w:tcPr>
            <w:tcW w:w="960" w:type="dxa"/>
            <w:tcBorders>
              <w:top w:val="nil"/>
              <w:left w:val="nil"/>
              <w:bottom w:val="single" w:sz="4" w:space="0" w:color="auto"/>
              <w:right w:val="single" w:sz="4" w:space="0" w:color="auto"/>
            </w:tcBorders>
            <w:shd w:val="clear" w:color="auto" w:fill="auto"/>
            <w:noWrap/>
            <w:vAlign w:val="bottom"/>
            <w:hideMark/>
          </w:tcPr>
          <w:p w14:paraId="4CA23D8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12.553</w:t>
            </w:r>
          </w:p>
        </w:tc>
        <w:tc>
          <w:tcPr>
            <w:tcW w:w="960" w:type="dxa"/>
            <w:tcBorders>
              <w:top w:val="nil"/>
              <w:left w:val="nil"/>
              <w:bottom w:val="single" w:sz="4" w:space="0" w:color="auto"/>
              <w:right w:val="single" w:sz="4" w:space="0" w:color="auto"/>
            </w:tcBorders>
            <w:shd w:val="clear" w:color="auto" w:fill="auto"/>
            <w:noWrap/>
            <w:vAlign w:val="bottom"/>
            <w:hideMark/>
          </w:tcPr>
          <w:p w14:paraId="0720445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25.460</w:t>
            </w:r>
          </w:p>
        </w:tc>
        <w:tc>
          <w:tcPr>
            <w:tcW w:w="960" w:type="dxa"/>
            <w:tcBorders>
              <w:top w:val="nil"/>
              <w:left w:val="nil"/>
              <w:bottom w:val="single" w:sz="4" w:space="0" w:color="auto"/>
              <w:right w:val="single" w:sz="4" w:space="0" w:color="auto"/>
            </w:tcBorders>
            <w:shd w:val="clear" w:color="auto" w:fill="auto"/>
            <w:noWrap/>
            <w:vAlign w:val="bottom"/>
            <w:hideMark/>
          </w:tcPr>
          <w:p w14:paraId="7BEB33B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17.327</w:t>
            </w:r>
          </w:p>
        </w:tc>
        <w:tc>
          <w:tcPr>
            <w:tcW w:w="1900" w:type="dxa"/>
            <w:tcBorders>
              <w:top w:val="nil"/>
              <w:left w:val="nil"/>
              <w:bottom w:val="nil"/>
              <w:right w:val="nil"/>
            </w:tcBorders>
            <w:shd w:val="clear" w:color="auto" w:fill="auto"/>
            <w:noWrap/>
            <w:vAlign w:val="bottom"/>
            <w:hideMark/>
          </w:tcPr>
          <w:p w14:paraId="092CF451"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16DB28A7"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12DEC7C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lastRenderedPageBreak/>
              <w:t>38</w:t>
            </w:r>
          </w:p>
        </w:tc>
        <w:tc>
          <w:tcPr>
            <w:tcW w:w="960" w:type="dxa"/>
            <w:tcBorders>
              <w:top w:val="nil"/>
              <w:left w:val="nil"/>
              <w:bottom w:val="single" w:sz="4" w:space="0" w:color="auto"/>
              <w:right w:val="single" w:sz="4" w:space="0" w:color="auto"/>
            </w:tcBorders>
            <w:shd w:val="clear" w:color="auto" w:fill="auto"/>
            <w:noWrap/>
            <w:vAlign w:val="bottom"/>
            <w:hideMark/>
          </w:tcPr>
          <w:p w14:paraId="07A3BC7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31.134</w:t>
            </w:r>
          </w:p>
        </w:tc>
        <w:tc>
          <w:tcPr>
            <w:tcW w:w="960" w:type="dxa"/>
            <w:tcBorders>
              <w:top w:val="nil"/>
              <w:left w:val="nil"/>
              <w:bottom w:val="single" w:sz="4" w:space="0" w:color="auto"/>
              <w:right w:val="single" w:sz="4" w:space="0" w:color="auto"/>
            </w:tcBorders>
            <w:shd w:val="clear" w:color="auto" w:fill="auto"/>
            <w:noWrap/>
            <w:vAlign w:val="bottom"/>
            <w:hideMark/>
          </w:tcPr>
          <w:p w14:paraId="2F83106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31.743</w:t>
            </w:r>
          </w:p>
        </w:tc>
        <w:tc>
          <w:tcPr>
            <w:tcW w:w="960" w:type="dxa"/>
            <w:tcBorders>
              <w:top w:val="nil"/>
              <w:left w:val="nil"/>
              <w:bottom w:val="single" w:sz="4" w:space="0" w:color="auto"/>
              <w:right w:val="single" w:sz="4" w:space="0" w:color="auto"/>
            </w:tcBorders>
            <w:shd w:val="clear" w:color="auto" w:fill="auto"/>
            <w:noWrap/>
            <w:vAlign w:val="bottom"/>
            <w:hideMark/>
          </w:tcPr>
          <w:p w14:paraId="5218349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31.125</w:t>
            </w:r>
          </w:p>
        </w:tc>
        <w:tc>
          <w:tcPr>
            <w:tcW w:w="960" w:type="dxa"/>
            <w:tcBorders>
              <w:top w:val="nil"/>
              <w:left w:val="nil"/>
              <w:bottom w:val="single" w:sz="4" w:space="0" w:color="auto"/>
              <w:right w:val="single" w:sz="4" w:space="0" w:color="auto"/>
            </w:tcBorders>
            <w:shd w:val="clear" w:color="auto" w:fill="auto"/>
            <w:noWrap/>
            <w:vAlign w:val="bottom"/>
            <w:hideMark/>
          </w:tcPr>
          <w:p w14:paraId="05A5D55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12.412</w:t>
            </w:r>
          </w:p>
        </w:tc>
        <w:tc>
          <w:tcPr>
            <w:tcW w:w="960" w:type="dxa"/>
            <w:tcBorders>
              <w:top w:val="nil"/>
              <w:left w:val="nil"/>
              <w:bottom w:val="single" w:sz="4" w:space="0" w:color="auto"/>
              <w:right w:val="single" w:sz="4" w:space="0" w:color="auto"/>
            </w:tcBorders>
            <w:shd w:val="clear" w:color="auto" w:fill="auto"/>
            <w:noWrap/>
            <w:vAlign w:val="bottom"/>
            <w:hideMark/>
          </w:tcPr>
          <w:p w14:paraId="45F6B16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27.680</w:t>
            </w:r>
          </w:p>
        </w:tc>
        <w:tc>
          <w:tcPr>
            <w:tcW w:w="960" w:type="dxa"/>
            <w:tcBorders>
              <w:top w:val="nil"/>
              <w:left w:val="nil"/>
              <w:bottom w:val="single" w:sz="4" w:space="0" w:color="auto"/>
              <w:right w:val="single" w:sz="4" w:space="0" w:color="auto"/>
            </w:tcBorders>
            <w:shd w:val="clear" w:color="auto" w:fill="auto"/>
            <w:noWrap/>
            <w:vAlign w:val="bottom"/>
            <w:hideMark/>
          </w:tcPr>
          <w:p w14:paraId="24001F0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18.888</w:t>
            </w:r>
          </w:p>
        </w:tc>
        <w:tc>
          <w:tcPr>
            <w:tcW w:w="1900" w:type="dxa"/>
            <w:tcBorders>
              <w:top w:val="nil"/>
              <w:left w:val="nil"/>
              <w:bottom w:val="nil"/>
              <w:right w:val="nil"/>
            </w:tcBorders>
            <w:shd w:val="clear" w:color="auto" w:fill="auto"/>
            <w:noWrap/>
            <w:vAlign w:val="bottom"/>
            <w:hideMark/>
          </w:tcPr>
          <w:p w14:paraId="33B3E168"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5635311D"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70B3484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39</w:t>
            </w:r>
          </w:p>
        </w:tc>
        <w:tc>
          <w:tcPr>
            <w:tcW w:w="960" w:type="dxa"/>
            <w:tcBorders>
              <w:top w:val="nil"/>
              <w:left w:val="nil"/>
              <w:bottom w:val="single" w:sz="4" w:space="0" w:color="auto"/>
              <w:right w:val="single" w:sz="4" w:space="0" w:color="auto"/>
            </w:tcBorders>
            <w:shd w:val="clear" w:color="auto" w:fill="auto"/>
            <w:noWrap/>
            <w:vAlign w:val="bottom"/>
            <w:hideMark/>
          </w:tcPr>
          <w:p w14:paraId="28E90C8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31.490</w:t>
            </w:r>
          </w:p>
        </w:tc>
        <w:tc>
          <w:tcPr>
            <w:tcW w:w="960" w:type="dxa"/>
            <w:tcBorders>
              <w:top w:val="nil"/>
              <w:left w:val="nil"/>
              <w:bottom w:val="single" w:sz="4" w:space="0" w:color="auto"/>
              <w:right w:val="single" w:sz="4" w:space="0" w:color="auto"/>
            </w:tcBorders>
            <w:shd w:val="clear" w:color="auto" w:fill="auto"/>
            <w:noWrap/>
            <w:vAlign w:val="bottom"/>
            <w:hideMark/>
          </w:tcPr>
          <w:p w14:paraId="0F91B7F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32.250</w:t>
            </w:r>
          </w:p>
        </w:tc>
        <w:tc>
          <w:tcPr>
            <w:tcW w:w="960" w:type="dxa"/>
            <w:tcBorders>
              <w:top w:val="nil"/>
              <w:left w:val="nil"/>
              <w:bottom w:val="single" w:sz="4" w:space="0" w:color="auto"/>
              <w:right w:val="single" w:sz="4" w:space="0" w:color="auto"/>
            </w:tcBorders>
            <w:shd w:val="clear" w:color="auto" w:fill="auto"/>
            <w:noWrap/>
            <w:vAlign w:val="bottom"/>
            <w:hideMark/>
          </w:tcPr>
          <w:p w14:paraId="644B1EF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38.111</w:t>
            </w:r>
          </w:p>
        </w:tc>
        <w:tc>
          <w:tcPr>
            <w:tcW w:w="960" w:type="dxa"/>
            <w:tcBorders>
              <w:top w:val="nil"/>
              <w:left w:val="nil"/>
              <w:bottom w:val="single" w:sz="4" w:space="0" w:color="auto"/>
              <w:right w:val="single" w:sz="4" w:space="0" w:color="auto"/>
            </w:tcBorders>
            <w:shd w:val="clear" w:color="auto" w:fill="auto"/>
            <w:noWrap/>
            <w:vAlign w:val="bottom"/>
            <w:hideMark/>
          </w:tcPr>
          <w:p w14:paraId="30EF2E2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12.752</w:t>
            </w:r>
          </w:p>
        </w:tc>
        <w:tc>
          <w:tcPr>
            <w:tcW w:w="960" w:type="dxa"/>
            <w:tcBorders>
              <w:top w:val="nil"/>
              <w:left w:val="nil"/>
              <w:bottom w:val="single" w:sz="4" w:space="0" w:color="auto"/>
              <w:right w:val="single" w:sz="4" w:space="0" w:color="auto"/>
            </w:tcBorders>
            <w:shd w:val="clear" w:color="auto" w:fill="auto"/>
            <w:noWrap/>
            <w:vAlign w:val="bottom"/>
            <w:hideMark/>
          </w:tcPr>
          <w:p w14:paraId="62CACB9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30.460</w:t>
            </w:r>
          </w:p>
        </w:tc>
        <w:tc>
          <w:tcPr>
            <w:tcW w:w="960" w:type="dxa"/>
            <w:tcBorders>
              <w:top w:val="nil"/>
              <w:left w:val="nil"/>
              <w:bottom w:val="single" w:sz="4" w:space="0" w:color="auto"/>
              <w:right w:val="single" w:sz="4" w:space="0" w:color="auto"/>
            </w:tcBorders>
            <w:shd w:val="clear" w:color="auto" w:fill="auto"/>
            <w:noWrap/>
            <w:vAlign w:val="bottom"/>
            <w:hideMark/>
          </w:tcPr>
          <w:p w14:paraId="18F11A8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20.415</w:t>
            </w:r>
          </w:p>
        </w:tc>
        <w:tc>
          <w:tcPr>
            <w:tcW w:w="1900" w:type="dxa"/>
            <w:tcBorders>
              <w:top w:val="nil"/>
              <w:left w:val="nil"/>
              <w:bottom w:val="nil"/>
              <w:right w:val="nil"/>
            </w:tcBorders>
            <w:shd w:val="clear" w:color="auto" w:fill="auto"/>
            <w:noWrap/>
            <w:vAlign w:val="bottom"/>
            <w:hideMark/>
          </w:tcPr>
          <w:p w14:paraId="74936922"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2B665219"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1AA17C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40</w:t>
            </w:r>
          </w:p>
        </w:tc>
        <w:tc>
          <w:tcPr>
            <w:tcW w:w="960" w:type="dxa"/>
            <w:tcBorders>
              <w:top w:val="nil"/>
              <w:left w:val="nil"/>
              <w:bottom w:val="single" w:sz="4" w:space="0" w:color="auto"/>
              <w:right w:val="single" w:sz="4" w:space="0" w:color="auto"/>
            </w:tcBorders>
            <w:shd w:val="clear" w:color="auto" w:fill="auto"/>
            <w:noWrap/>
            <w:vAlign w:val="bottom"/>
            <w:hideMark/>
          </w:tcPr>
          <w:p w14:paraId="055FED6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32.567</w:t>
            </w:r>
          </w:p>
        </w:tc>
        <w:tc>
          <w:tcPr>
            <w:tcW w:w="960" w:type="dxa"/>
            <w:tcBorders>
              <w:top w:val="nil"/>
              <w:left w:val="nil"/>
              <w:bottom w:val="single" w:sz="4" w:space="0" w:color="auto"/>
              <w:right w:val="single" w:sz="4" w:space="0" w:color="auto"/>
            </w:tcBorders>
            <w:shd w:val="clear" w:color="auto" w:fill="auto"/>
            <w:noWrap/>
            <w:vAlign w:val="bottom"/>
            <w:hideMark/>
          </w:tcPr>
          <w:p w14:paraId="4C22C79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27.458</w:t>
            </w:r>
          </w:p>
        </w:tc>
        <w:tc>
          <w:tcPr>
            <w:tcW w:w="960" w:type="dxa"/>
            <w:tcBorders>
              <w:top w:val="nil"/>
              <w:left w:val="nil"/>
              <w:bottom w:val="single" w:sz="4" w:space="0" w:color="auto"/>
              <w:right w:val="single" w:sz="4" w:space="0" w:color="auto"/>
            </w:tcBorders>
            <w:shd w:val="clear" w:color="auto" w:fill="auto"/>
            <w:noWrap/>
            <w:vAlign w:val="bottom"/>
            <w:hideMark/>
          </w:tcPr>
          <w:p w14:paraId="6D505A9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38.213</w:t>
            </w:r>
          </w:p>
        </w:tc>
        <w:tc>
          <w:tcPr>
            <w:tcW w:w="960" w:type="dxa"/>
            <w:tcBorders>
              <w:top w:val="nil"/>
              <w:left w:val="nil"/>
              <w:bottom w:val="single" w:sz="4" w:space="0" w:color="auto"/>
              <w:right w:val="single" w:sz="4" w:space="0" w:color="auto"/>
            </w:tcBorders>
            <w:shd w:val="clear" w:color="auto" w:fill="auto"/>
            <w:noWrap/>
            <w:vAlign w:val="bottom"/>
            <w:hideMark/>
          </w:tcPr>
          <w:p w14:paraId="3EAFAE5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13.936</w:t>
            </w:r>
          </w:p>
        </w:tc>
        <w:tc>
          <w:tcPr>
            <w:tcW w:w="960" w:type="dxa"/>
            <w:tcBorders>
              <w:top w:val="nil"/>
              <w:left w:val="nil"/>
              <w:bottom w:val="single" w:sz="4" w:space="0" w:color="auto"/>
              <w:right w:val="single" w:sz="4" w:space="0" w:color="auto"/>
            </w:tcBorders>
            <w:shd w:val="clear" w:color="auto" w:fill="auto"/>
            <w:noWrap/>
            <w:vAlign w:val="bottom"/>
            <w:hideMark/>
          </w:tcPr>
          <w:p w14:paraId="74C1147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33.000</w:t>
            </w:r>
          </w:p>
        </w:tc>
        <w:tc>
          <w:tcPr>
            <w:tcW w:w="960" w:type="dxa"/>
            <w:tcBorders>
              <w:top w:val="nil"/>
              <w:left w:val="nil"/>
              <w:bottom w:val="single" w:sz="4" w:space="0" w:color="auto"/>
              <w:right w:val="single" w:sz="4" w:space="0" w:color="auto"/>
            </w:tcBorders>
            <w:shd w:val="clear" w:color="auto" w:fill="auto"/>
            <w:noWrap/>
            <w:vAlign w:val="bottom"/>
            <w:hideMark/>
          </w:tcPr>
          <w:p w14:paraId="2E3A8AD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21.000</w:t>
            </w:r>
          </w:p>
        </w:tc>
        <w:tc>
          <w:tcPr>
            <w:tcW w:w="1900" w:type="dxa"/>
            <w:tcBorders>
              <w:top w:val="nil"/>
              <w:left w:val="nil"/>
              <w:bottom w:val="nil"/>
              <w:right w:val="nil"/>
            </w:tcBorders>
            <w:shd w:val="clear" w:color="auto" w:fill="auto"/>
            <w:noWrap/>
            <w:vAlign w:val="bottom"/>
            <w:hideMark/>
          </w:tcPr>
          <w:p w14:paraId="16ED5F1B"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78C0E2D5"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0F6840E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41</w:t>
            </w:r>
          </w:p>
        </w:tc>
        <w:tc>
          <w:tcPr>
            <w:tcW w:w="960" w:type="dxa"/>
            <w:tcBorders>
              <w:top w:val="nil"/>
              <w:left w:val="nil"/>
              <w:bottom w:val="single" w:sz="4" w:space="0" w:color="auto"/>
              <w:right w:val="single" w:sz="4" w:space="0" w:color="auto"/>
            </w:tcBorders>
            <w:shd w:val="clear" w:color="auto" w:fill="auto"/>
            <w:noWrap/>
            <w:vAlign w:val="bottom"/>
            <w:hideMark/>
          </w:tcPr>
          <w:p w14:paraId="2D8EC41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34.911</w:t>
            </w:r>
          </w:p>
        </w:tc>
        <w:tc>
          <w:tcPr>
            <w:tcW w:w="960" w:type="dxa"/>
            <w:tcBorders>
              <w:top w:val="nil"/>
              <w:left w:val="nil"/>
              <w:bottom w:val="single" w:sz="4" w:space="0" w:color="auto"/>
              <w:right w:val="single" w:sz="4" w:space="0" w:color="auto"/>
            </w:tcBorders>
            <w:shd w:val="clear" w:color="auto" w:fill="auto"/>
            <w:noWrap/>
            <w:vAlign w:val="bottom"/>
            <w:hideMark/>
          </w:tcPr>
          <w:p w14:paraId="5906A9C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24.125</w:t>
            </w:r>
          </w:p>
        </w:tc>
        <w:tc>
          <w:tcPr>
            <w:tcW w:w="960" w:type="dxa"/>
            <w:tcBorders>
              <w:top w:val="nil"/>
              <w:left w:val="nil"/>
              <w:bottom w:val="single" w:sz="4" w:space="0" w:color="auto"/>
              <w:right w:val="single" w:sz="4" w:space="0" w:color="auto"/>
            </w:tcBorders>
            <w:shd w:val="clear" w:color="auto" w:fill="auto"/>
            <w:noWrap/>
            <w:vAlign w:val="bottom"/>
            <w:hideMark/>
          </w:tcPr>
          <w:p w14:paraId="6FAD4E2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35.889</w:t>
            </w:r>
          </w:p>
        </w:tc>
        <w:tc>
          <w:tcPr>
            <w:tcW w:w="960" w:type="dxa"/>
            <w:tcBorders>
              <w:top w:val="nil"/>
              <w:left w:val="nil"/>
              <w:bottom w:val="single" w:sz="4" w:space="0" w:color="auto"/>
              <w:right w:val="single" w:sz="4" w:space="0" w:color="auto"/>
            </w:tcBorders>
            <w:shd w:val="clear" w:color="auto" w:fill="auto"/>
            <w:noWrap/>
            <w:vAlign w:val="bottom"/>
            <w:hideMark/>
          </w:tcPr>
          <w:p w14:paraId="669C13D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15.043</w:t>
            </w:r>
          </w:p>
        </w:tc>
        <w:tc>
          <w:tcPr>
            <w:tcW w:w="960" w:type="dxa"/>
            <w:tcBorders>
              <w:top w:val="nil"/>
              <w:left w:val="nil"/>
              <w:bottom w:val="single" w:sz="4" w:space="0" w:color="auto"/>
              <w:right w:val="single" w:sz="4" w:space="0" w:color="auto"/>
            </w:tcBorders>
            <w:shd w:val="clear" w:color="auto" w:fill="auto"/>
            <w:noWrap/>
            <w:vAlign w:val="bottom"/>
            <w:hideMark/>
          </w:tcPr>
          <w:p w14:paraId="0CB2320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35.667</w:t>
            </w:r>
          </w:p>
        </w:tc>
        <w:tc>
          <w:tcPr>
            <w:tcW w:w="960" w:type="dxa"/>
            <w:tcBorders>
              <w:top w:val="nil"/>
              <w:left w:val="nil"/>
              <w:bottom w:val="single" w:sz="4" w:space="0" w:color="auto"/>
              <w:right w:val="single" w:sz="4" w:space="0" w:color="auto"/>
            </w:tcBorders>
            <w:shd w:val="clear" w:color="auto" w:fill="auto"/>
            <w:noWrap/>
            <w:vAlign w:val="bottom"/>
            <w:hideMark/>
          </w:tcPr>
          <w:p w14:paraId="2B368B0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21.000</w:t>
            </w:r>
          </w:p>
        </w:tc>
        <w:tc>
          <w:tcPr>
            <w:tcW w:w="1900" w:type="dxa"/>
            <w:tcBorders>
              <w:top w:val="nil"/>
              <w:left w:val="nil"/>
              <w:bottom w:val="nil"/>
              <w:right w:val="nil"/>
            </w:tcBorders>
            <w:shd w:val="clear" w:color="auto" w:fill="auto"/>
            <w:noWrap/>
            <w:vAlign w:val="bottom"/>
            <w:hideMark/>
          </w:tcPr>
          <w:p w14:paraId="6680DD91"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5EC8AAB2"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1ACAF97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42</w:t>
            </w:r>
          </w:p>
        </w:tc>
        <w:tc>
          <w:tcPr>
            <w:tcW w:w="960" w:type="dxa"/>
            <w:tcBorders>
              <w:top w:val="nil"/>
              <w:left w:val="nil"/>
              <w:bottom w:val="single" w:sz="4" w:space="0" w:color="auto"/>
              <w:right w:val="single" w:sz="4" w:space="0" w:color="auto"/>
            </w:tcBorders>
            <w:shd w:val="clear" w:color="auto" w:fill="auto"/>
            <w:noWrap/>
            <w:vAlign w:val="bottom"/>
            <w:hideMark/>
          </w:tcPr>
          <w:p w14:paraId="77D04BD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33.963</w:t>
            </w:r>
          </w:p>
        </w:tc>
        <w:tc>
          <w:tcPr>
            <w:tcW w:w="960" w:type="dxa"/>
            <w:tcBorders>
              <w:top w:val="nil"/>
              <w:left w:val="nil"/>
              <w:bottom w:val="single" w:sz="4" w:space="0" w:color="auto"/>
              <w:right w:val="single" w:sz="4" w:space="0" w:color="auto"/>
            </w:tcBorders>
            <w:shd w:val="clear" w:color="auto" w:fill="auto"/>
            <w:noWrap/>
            <w:vAlign w:val="bottom"/>
            <w:hideMark/>
          </w:tcPr>
          <w:p w14:paraId="0CF9CD7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21.292</w:t>
            </w:r>
          </w:p>
        </w:tc>
        <w:tc>
          <w:tcPr>
            <w:tcW w:w="960" w:type="dxa"/>
            <w:tcBorders>
              <w:top w:val="nil"/>
              <w:left w:val="nil"/>
              <w:bottom w:val="single" w:sz="4" w:space="0" w:color="auto"/>
              <w:right w:val="single" w:sz="4" w:space="0" w:color="auto"/>
            </w:tcBorders>
            <w:shd w:val="clear" w:color="auto" w:fill="auto"/>
            <w:noWrap/>
            <w:vAlign w:val="bottom"/>
            <w:hideMark/>
          </w:tcPr>
          <w:p w14:paraId="664B688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31.977</w:t>
            </w:r>
          </w:p>
        </w:tc>
        <w:tc>
          <w:tcPr>
            <w:tcW w:w="960" w:type="dxa"/>
            <w:tcBorders>
              <w:top w:val="nil"/>
              <w:left w:val="nil"/>
              <w:bottom w:val="single" w:sz="4" w:space="0" w:color="auto"/>
              <w:right w:val="single" w:sz="4" w:space="0" w:color="auto"/>
            </w:tcBorders>
            <w:shd w:val="clear" w:color="auto" w:fill="auto"/>
            <w:noWrap/>
            <w:vAlign w:val="bottom"/>
            <w:hideMark/>
          </w:tcPr>
          <w:p w14:paraId="75F6D6C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16.548</w:t>
            </w:r>
          </w:p>
        </w:tc>
        <w:tc>
          <w:tcPr>
            <w:tcW w:w="960" w:type="dxa"/>
            <w:tcBorders>
              <w:top w:val="nil"/>
              <w:left w:val="nil"/>
              <w:bottom w:val="single" w:sz="4" w:space="0" w:color="auto"/>
              <w:right w:val="single" w:sz="4" w:space="0" w:color="auto"/>
            </w:tcBorders>
            <w:shd w:val="clear" w:color="auto" w:fill="auto"/>
            <w:noWrap/>
            <w:vAlign w:val="bottom"/>
            <w:hideMark/>
          </w:tcPr>
          <w:p w14:paraId="199A0C7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32.400</w:t>
            </w:r>
          </w:p>
        </w:tc>
        <w:tc>
          <w:tcPr>
            <w:tcW w:w="960" w:type="dxa"/>
            <w:tcBorders>
              <w:top w:val="nil"/>
              <w:left w:val="nil"/>
              <w:bottom w:val="single" w:sz="4" w:space="0" w:color="auto"/>
              <w:right w:val="single" w:sz="4" w:space="0" w:color="auto"/>
            </w:tcBorders>
            <w:shd w:val="clear" w:color="auto" w:fill="auto"/>
            <w:noWrap/>
            <w:vAlign w:val="bottom"/>
            <w:hideMark/>
          </w:tcPr>
          <w:p w14:paraId="45DD4DC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23.143</w:t>
            </w:r>
          </w:p>
        </w:tc>
        <w:tc>
          <w:tcPr>
            <w:tcW w:w="1900" w:type="dxa"/>
            <w:tcBorders>
              <w:top w:val="nil"/>
              <w:left w:val="nil"/>
              <w:bottom w:val="nil"/>
              <w:right w:val="nil"/>
            </w:tcBorders>
            <w:shd w:val="clear" w:color="auto" w:fill="auto"/>
            <w:noWrap/>
            <w:vAlign w:val="bottom"/>
            <w:hideMark/>
          </w:tcPr>
          <w:p w14:paraId="55FCD01C"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685DD765"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349576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43</w:t>
            </w:r>
          </w:p>
        </w:tc>
        <w:tc>
          <w:tcPr>
            <w:tcW w:w="960" w:type="dxa"/>
            <w:tcBorders>
              <w:top w:val="nil"/>
              <w:left w:val="nil"/>
              <w:bottom w:val="single" w:sz="4" w:space="0" w:color="auto"/>
              <w:right w:val="single" w:sz="4" w:space="0" w:color="auto"/>
            </w:tcBorders>
            <w:shd w:val="clear" w:color="auto" w:fill="auto"/>
            <w:noWrap/>
            <w:vAlign w:val="bottom"/>
            <w:hideMark/>
          </w:tcPr>
          <w:p w14:paraId="3FAB54C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33.593</w:t>
            </w:r>
          </w:p>
        </w:tc>
        <w:tc>
          <w:tcPr>
            <w:tcW w:w="960" w:type="dxa"/>
            <w:tcBorders>
              <w:top w:val="nil"/>
              <w:left w:val="nil"/>
              <w:bottom w:val="single" w:sz="4" w:space="0" w:color="auto"/>
              <w:right w:val="single" w:sz="4" w:space="0" w:color="auto"/>
            </w:tcBorders>
            <w:shd w:val="clear" w:color="auto" w:fill="auto"/>
            <w:noWrap/>
            <w:vAlign w:val="bottom"/>
            <w:hideMark/>
          </w:tcPr>
          <w:p w14:paraId="2AE1076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19.375</w:t>
            </w:r>
          </w:p>
        </w:tc>
        <w:tc>
          <w:tcPr>
            <w:tcW w:w="960" w:type="dxa"/>
            <w:tcBorders>
              <w:top w:val="nil"/>
              <w:left w:val="nil"/>
              <w:bottom w:val="single" w:sz="4" w:space="0" w:color="auto"/>
              <w:right w:val="single" w:sz="4" w:space="0" w:color="auto"/>
            </w:tcBorders>
            <w:shd w:val="clear" w:color="auto" w:fill="auto"/>
            <w:noWrap/>
            <w:vAlign w:val="bottom"/>
            <w:hideMark/>
          </w:tcPr>
          <w:p w14:paraId="15E5C67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29.156</w:t>
            </w:r>
          </w:p>
        </w:tc>
        <w:tc>
          <w:tcPr>
            <w:tcW w:w="960" w:type="dxa"/>
            <w:tcBorders>
              <w:top w:val="nil"/>
              <w:left w:val="nil"/>
              <w:bottom w:val="single" w:sz="4" w:space="0" w:color="auto"/>
              <w:right w:val="single" w:sz="4" w:space="0" w:color="auto"/>
            </w:tcBorders>
            <w:shd w:val="clear" w:color="auto" w:fill="auto"/>
            <w:noWrap/>
            <w:vAlign w:val="bottom"/>
            <w:hideMark/>
          </w:tcPr>
          <w:p w14:paraId="2AFBD17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17.557</w:t>
            </w:r>
          </w:p>
        </w:tc>
        <w:tc>
          <w:tcPr>
            <w:tcW w:w="960" w:type="dxa"/>
            <w:tcBorders>
              <w:top w:val="nil"/>
              <w:left w:val="nil"/>
              <w:bottom w:val="single" w:sz="4" w:space="0" w:color="auto"/>
              <w:right w:val="single" w:sz="4" w:space="0" w:color="auto"/>
            </w:tcBorders>
            <w:shd w:val="clear" w:color="auto" w:fill="auto"/>
            <w:noWrap/>
            <w:vAlign w:val="bottom"/>
            <w:hideMark/>
          </w:tcPr>
          <w:p w14:paraId="199ED2D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29.800</w:t>
            </w:r>
          </w:p>
        </w:tc>
        <w:tc>
          <w:tcPr>
            <w:tcW w:w="960" w:type="dxa"/>
            <w:tcBorders>
              <w:top w:val="nil"/>
              <w:left w:val="nil"/>
              <w:bottom w:val="single" w:sz="4" w:space="0" w:color="auto"/>
              <w:right w:val="single" w:sz="4" w:space="0" w:color="auto"/>
            </w:tcBorders>
            <w:shd w:val="clear" w:color="auto" w:fill="auto"/>
            <w:noWrap/>
            <w:vAlign w:val="bottom"/>
            <w:hideMark/>
          </w:tcPr>
          <w:p w14:paraId="7D0A4B9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24.862</w:t>
            </w:r>
          </w:p>
        </w:tc>
        <w:tc>
          <w:tcPr>
            <w:tcW w:w="1900" w:type="dxa"/>
            <w:tcBorders>
              <w:top w:val="nil"/>
              <w:left w:val="nil"/>
              <w:bottom w:val="nil"/>
              <w:right w:val="nil"/>
            </w:tcBorders>
            <w:shd w:val="clear" w:color="auto" w:fill="auto"/>
            <w:noWrap/>
            <w:vAlign w:val="bottom"/>
            <w:hideMark/>
          </w:tcPr>
          <w:p w14:paraId="0F025AB0"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0F53FBA3"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731D262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44</w:t>
            </w:r>
          </w:p>
        </w:tc>
        <w:tc>
          <w:tcPr>
            <w:tcW w:w="960" w:type="dxa"/>
            <w:tcBorders>
              <w:top w:val="nil"/>
              <w:left w:val="nil"/>
              <w:bottom w:val="single" w:sz="4" w:space="0" w:color="auto"/>
              <w:right w:val="single" w:sz="4" w:space="0" w:color="auto"/>
            </w:tcBorders>
            <w:shd w:val="clear" w:color="auto" w:fill="auto"/>
            <w:noWrap/>
            <w:vAlign w:val="bottom"/>
            <w:hideMark/>
          </w:tcPr>
          <w:p w14:paraId="404D14D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33.185</w:t>
            </w:r>
          </w:p>
        </w:tc>
        <w:tc>
          <w:tcPr>
            <w:tcW w:w="960" w:type="dxa"/>
            <w:tcBorders>
              <w:top w:val="nil"/>
              <w:left w:val="nil"/>
              <w:bottom w:val="single" w:sz="4" w:space="0" w:color="auto"/>
              <w:right w:val="single" w:sz="4" w:space="0" w:color="auto"/>
            </w:tcBorders>
            <w:shd w:val="clear" w:color="auto" w:fill="auto"/>
            <w:noWrap/>
            <w:vAlign w:val="bottom"/>
            <w:hideMark/>
          </w:tcPr>
          <w:p w14:paraId="6826176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18.042</w:t>
            </w:r>
          </w:p>
        </w:tc>
        <w:tc>
          <w:tcPr>
            <w:tcW w:w="960" w:type="dxa"/>
            <w:tcBorders>
              <w:top w:val="nil"/>
              <w:left w:val="nil"/>
              <w:bottom w:val="single" w:sz="4" w:space="0" w:color="auto"/>
              <w:right w:val="single" w:sz="4" w:space="0" w:color="auto"/>
            </w:tcBorders>
            <w:shd w:val="clear" w:color="auto" w:fill="auto"/>
            <w:noWrap/>
            <w:vAlign w:val="bottom"/>
            <w:hideMark/>
          </w:tcPr>
          <w:p w14:paraId="185CE8A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26.277</w:t>
            </w:r>
          </w:p>
        </w:tc>
        <w:tc>
          <w:tcPr>
            <w:tcW w:w="960" w:type="dxa"/>
            <w:tcBorders>
              <w:top w:val="nil"/>
              <w:left w:val="nil"/>
              <w:bottom w:val="single" w:sz="4" w:space="0" w:color="auto"/>
              <w:right w:val="single" w:sz="4" w:space="0" w:color="auto"/>
            </w:tcBorders>
            <w:shd w:val="clear" w:color="auto" w:fill="auto"/>
            <w:noWrap/>
            <w:vAlign w:val="bottom"/>
            <w:hideMark/>
          </w:tcPr>
          <w:p w14:paraId="3F56B39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20.043</w:t>
            </w:r>
          </w:p>
        </w:tc>
        <w:tc>
          <w:tcPr>
            <w:tcW w:w="960" w:type="dxa"/>
            <w:tcBorders>
              <w:top w:val="nil"/>
              <w:left w:val="nil"/>
              <w:bottom w:val="single" w:sz="4" w:space="0" w:color="auto"/>
              <w:right w:val="single" w:sz="4" w:space="0" w:color="auto"/>
            </w:tcBorders>
            <w:shd w:val="clear" w:color="auto" w:fill="auto"/>
            <w:noWrap/>
            <w:vAlign w:val="bottom"/>
            <w:hideMark/>
          </w:tcPr>
          <w:p w14:paraId="7C33E4D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31.333</w:t>
            </w:r>
          </w:p>
        </w:tc>
        <w:tc>
          <w:tcPr>
            <w:tcW w:w="960" w:type="dxa"/>
            <w:tcBorders>
              <w:top w:val="nil"/>
              <w:left w:val="nil"/>
              <w:bottom w:val="single" w:sz="4" w:space="0" w:color="auto"/>
              <w:right w:val="single" w:sz="4" w:space="0" w:color="auto"/>
            </w:tcBorders>
            <w:shd w:val="clear" w:color="auto" w:fill="auto"/>
            <w:noWrap/>
            <w:vAlign w:val="bottom"/>
            <w:hideMark/>
          </w:tcPr>
          <w:p w14:paraId="6DE00A0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25.204</w:t>
            </w:r>
          </w:p>
        </w:tc>
        <w:tc>
          <w:tcPr>
            <w:tcW w:w="1900" w:type="dxa"/>
            <w:tcBorders>
              <w:top w:val="nil"/>
              <w:left w:val="nil"/>
              <w:bottom w:val="nil"/>
              <w:right w:val="nil"/>
            </w:tcBorders>
            <w:shd w:val="clear" w:color="auto" w:fill="auto"/>
            <w:noWrap/>
            <w:vAlign w:val="bottom"/>
            <w:hideMark/>
          </w:tcPr>
          <w:p w14:paraId="46ED0E8C"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230E90E4"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23E9497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45</w:t>
            </w:r>
          </w:p>
        </w:tc>
        <w:tc>
          <w:tcPr>
            <w:tcW w:w="960" w:type="dxa"/>
            <w:tcBorders>
              <w:top w:val="nil"/>
              <w:left w:val="nil"/>
              <w:bottom w:val="single" w:sz="4" w:space="0" w:color="auto"/>
              <w:right w:val="single" w:sz="4" w:space="0" w:color="auto"/>
            </w:tcBorders>
            <w:shd w:val="clear" w:color="auto" w:fill="auto"/>
            <w:noWrap/>
            <w:vAlign w:val="bottom"/>
            <w:hideMark/>
          </w:tcPr>
          <w:p w14:paraId="47B475B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32.889</w:t>
            </w:r>
          </w:p>
        </w:tc>
        <w:tc>
          <w:tcPr>
            <w:tcW w:w="960" w:type="dxa"/>
            <w:tcBorders>
              <w:top w:val="nil"/>
              <w:left w:val="nil"/>
              <w:bottom w:val="single" w:sz="4" w:space="0" w:color="auto"/>
              <w:right w:val="single" w:sz="4" w:space="0" w:color="auto"/>
            </w:tcBorders>
            <w:shd w:val="clear" w:color="auto" w:fill="auto"/>
            <w:noWrap/>
            <w:vAlign w:val="bottom"/>
            <w:hideMark/>
          </w:tcPr>
          <w:p w14:paraId="711476E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16.917</w:t>
            </w:r>
          </w:p>
        </w:tc>
        <w:tc>
          <w:tcPr>
            <w:tcW w:w="960" w:type="dxa"/>
            <w:tcBorders>
              <w:top w:val="nil"/>
              <w:left w:val="nil"/>
              <w:bottom w:val="single" w:sz="4" w:space="0" w:color="auto"/>
              <w:right w:val="single" w:sz="4" w:space="0" w:color="auto"/>
            </w:tcBorders>
            <w:shd w:val="clear" w:color="auto" w:fill="auto"/>
            <w:noWrap/>
            <w:vAlign w:val="bottom"/>
            <w:hideMark/>
          </w:tcPr>
          <w:p w14:paraId="3923113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24.000</w:t>
            </w:r>
          </w:p>
        </w:tc>
        <w:tc>
          <w:tcPr>
            <w:tcW w:w="960" w:type="dxa"/>
            <w:tcBorders>
              <w:top w:val="nil"/>
              <w:left w:val="nil"/>
              <w:bottom w:val="single" w:sz="4" w:space="0" w:color="auto"/>
              <w:right w:val="single" w:sz="4" w:space="0" w:color="auto"/>
            </w:tcBorders>
            <w:shd w:val="clear" w:color="auto" w:fill="auto"/>
            <w:noWrap/>
            <w:vAlign w:val="bottom"/>
            <w:hideMark/>
          </w:tcPr>
          <w:p w14:paraId="1158C1A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23.490</w:t>
            </w:r>
          </w:p>
        </w:tc>
        <w:tc>
          <w:tcPr>
            <w:tcW w:w="960" w:type="dxa"/>
            <w:tcBorders>
              <w:top w:val="nil"/>
              <w:left w:val="nil"/>
              <w:bottom w:val="single" w:sz="4" w:space="0" w:color="auto"/>
              <w:right w:val="single" w:sz="4" w:space="0" w:color="auto"/>
            </w:tcBorders>
            <w:shd w:val="clear" w:color="auto" w:fill="auto"/>
            <w:noWrap/>
            <w:vAlign w:val="bottom"/>
            <w:hideMark/>
          </w:tcPr>
          <w:p w14:paraId="1509E68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32.200</w:t>
            </w:r>
          </w:p>
        </w:tc>
        <w:tc>
          <w:tcPr>
            <w:tcW w:w="960" w:type="dxa"/>
            <w:tcBorders>
              <w:top w:val="nil"/>
              <w:left w:val="nil"/>
              <w:bottom w:val="single" w:sz="4" w:space="0" w:color="auto"/>
              <w:right w:val="single" w:sz="4" w:space="0" w:color="auto"/>
            </w:tcBorders>
            <w:shd w:val="clear" w:color="auto" w:fill="auto"/>
            <w:noWrap/>
            <w:vAlign w:val="bottom"/>
            <w:hideMark/>
          </w:tcPr>
          <w:p w14:paraId="37DCBD9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26.939</w:t>
            </w:r>
          </w:p>
        </w:tc>
        <w:tc>
          <w:tcPr>
            <w:tcW w:w="1900" w:type="dxa"/>
            <w:tcBorders>
              <w:top w:val="nil"/>
              <w:left w:val="nil"/>
              <w:bottom w:val="nil"/>
              <w:right w:val="nil"/>
            </w:tcBorders>
            <w:shd w:val="clear" w:color="auto" w:fill="auto"/>
            <w:noWrap/>
            <w:vAlign w:val="bottom"/>
            <w:hideMark/>
          </w:tcPr>
          <w:p w14:paraId="2A629583"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17D0DB16"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00D94D8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46</w:t>
            </w:r>
          </w:p>
        </w:tc>
        <w:tc>
          <w:tcPr>
            <w:tcW w:w="960" w:type="dxa"/>
            <w:tcBorders>
              <w:top w:val="nil"/>
              <w:left w:val="nil"/>
              <w:bottom w:val="single" w:sz="4" w:space="0" w:color="auto"/>
              <w:right w:val="single" w:sz="4" w:space="0" w:color="auto"/>
            </w:tcBorders>
            <w:shd w:val="clear" w:color="auto" w:fill="auto"/>
            <w:noWrap/>
            <w:vAlign w:val="bottom"/>
            <w:hideMark/>
          </w:tcPr>
          <w:p w14:paraId="2B80E21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32.630</w:t>
            </w:r>
          </w:p>
        </w:tc>
        <w:tc>
          <w:tcPr>
            <w:tcW w:w="960" w:type="dxa"/>
            <w:tcBorders>
              <w:top w:val="nil"/>
              <w:left w:val="nil"/>
              <w:bottom w:val="single" w:sz="4" w:space="0" w:color="auto"/>
              <w:right w:val="single" w:sz="4" w:space="0" w:color="auto"/>
            </w:tcBorders>
            <w:shd w:val="clear" w:color="auto" w:fill="auto"/>
            <w:noWrap/>
            <w:vAlign w:val="bottom"/>
            <w:hideMark/>
          </w:tcPr>
          <w:p w14:paraId="0A6DFA8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16.292</w:t>
            </w:r>
          </w:p>
        </w:tc>
        <w:tc>
          <w:tcPr>
            <w:tcW w:w="960" w:type="dxa"/>
            <w:tcBorders>
              <w:top w:val="nil"/>
              <w:left w:val="nil"/>
              <w:bottom w:val="single" w:sz="4" w:space="0" w:color="auto"/>
              <w:right w:val="single" w:sz="4" w:space="0" w:color="auto"/>
            </w:tcBorders>
            <w:shd w:val="clear" w:color="auto" w:fill="auto"/>
            <w:noWrap/>
            <w:vAlign w:val="bottom"/>
            <w:hideMark/>
          </w:tcPr>
          <w:p w14:paraId="3830C32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23.938</w:t>
            </w:r>
          </w:p>
        </w:tc>
        <w:tc>
          <w:tcPr>
            <w:tcW w:w="960" w:type="dxa"/>
            <w:tcBorders>
              <w:top w:val="nil"/>
              <w:left w:val="nil"/>
              <w:bottom w:val="single" w:sz="4" w:space="0" w:color="auto"/>
              <w:right w:val="single" w:sz="4" w:space="0" w:color="auto"/>
            </w:tcBorders>
            <w:shd w:val="clear" w:color="auto" w:fill="auto"/>
            <w:noWrap/>
            <w:vAlign w:val="bottom"/>
            <w:hideMark/>
          </w:tcPr>
          <w:p w14:paraId="41BC8B6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28.010</w:t>
            </w:r>
          </w:p>
        </w:tc>
        <w:tc>
          <w:tcPr>
            <w:tcW w:w="960" w:type="dxa"/>
            <w:tcBorders>
              <w:top w:val="nil"/>
              <w:left w:val="nil"/>
              <w:bottom w:val="single" w:sz="4" w:space="0" w:color="auto"/>
              <w:right w:val="single" w:sz="4" w:space="0" w:color="auto"/>
            </w:tcBorders>
            <w:shd w:val="clear" w:color="auto" w:fill="auto"/>
            <w:noWrap/>
            <w:vAlign w:val="bottom"/>
            <w:hideMark/>
          </w:tcPr>
          <w:p w14:paraId="793C956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33.000</w:t>
            </w:r>
          </w:p>
        </w:tc>
        <w:tc>
          <w:tcPr>
            <w:tcW w:w="960" w:type="dxa"/>
            <w:tcBorders>
              <w:top w:val="nil"/>
              <w:left w:val="nil"/>
              <w:bottom w:val="single" w:sz="4" w:space="0" w:color="auto"/>
              <w:right w:val="single" w:sz="4" w:space="0" w:color="auto"/>
            </w:tcBorders>
            <w:shd w:val="clear" w:color="auto" w:fill="auto"/>
            <w:noWrap/>
            <w:vAlign w:val="bottom"/>
            <w:hideMark/>
          </w:tcPr>
          <w:p w14:paraId="243B957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28.459</w:t>
            </w:r>
          </w:p>
        </w:tc>
        <w:tc>
          <w:tcPr>
            <w:tcW w:w="1900" w:type="dxa"/>
            <w:tcBorders>
              <w:top w:val="nil"/>
              <w:left w:val="nil"/>
              <w:bottom w:val="nil"/>
              <w:right w:val="nil"/>
            </w:tcBorders>
            <w:shd w:val="clear" w:color="auto" w:fill="auto"/>
            <w:noWrap/>
            <w:vAlign w:val="bottom"/>
            <w:hideMark/>
          </w:tcPr>
          <w:p w14:paraId="1CE1A703"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7E1AEAF2"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427188E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47</w:t>
            </w:r>
          </w:p>
        </w:tc>
        <w:tc>
          <w:tcPr>
            <w:tcW w:w="960" w:type="dxa"/>
            <w:tcBorders>
              <w:top w:val="nil"/>
              <w:left w:val="nil"/>
              <w:bottom w:val="single" w:sz="4" w:space="0" w:color="auto"/>
              <w:right w:val="single" w:sz="4" w:space="0" w:color="auto"/>
            </w:tcBorders>
            <w:shd w:val="clear" w:color="auto" w:fill="auto"/>
            <w:noWrap/>
            <w:vAlign w:val="bottom"/>
            <w:hideMark/>
          </w:tcPr>
          <w:p w14:paraId="189EACD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32.556</w:t>
            </w:r>
          </w:p>
        </w:tc>
        <w:tc>
          <w:tcPr>
            <w:tcW w:w="960" w:type="dxa"/>
            <w:tcBorders>
              <w:top w:val="nil"/>
              <w:left w:val="nil"/>
              <w:bottom w:val="single" w:sz="4" w:space="0" w:color="auto"/>
              <w:right w:val="single" w:sz="4" w:space="0" w:color="auto"/>
            </w:tcBorders>
            <w:shd w:val="clear" w:color="auto" w:fill="auto"/>
            <w:noWrap/>
            <w:vAlign w:val="bottom"/>
            <w:hideMark/>
          </w:tcPr>
          <w:p w14:paraId="1A59653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16.417</w:t>
            </w:r>
          </w:p>
        </w:tc>
        <w:tc>
          <w:tcPr>
            <w:tcW w:w="960" w:type="dxa"/>
            <w:tcBorders>
              <w:top w:val="nil"/>
              <w:left w:val="nil"/>
              <w:bottom w:val="single" w:sz="4" w:space="0" w:color="auto"/>
              <w:right w:val="single" w:sz="4" w:space="0" w:color="auto"/>
            </w:tcBorders>
            <w:shd w:val="clear" w:color="auto" w:fill="auto"/>
            <w:noWrap/>
            <w:vAlign w:val="bottom"/>
            <w:hideMark/>
          </w:tcPr>
          <w:p w14:paraId="728B94F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23.624</w:t>
            </w:r>
          </w:p>
        </w:tc>
        <w:tc>
          <w:tcPr>
            <w:tcW w:w="960" w:type="dxa"/>
            <w:tcBorders>
              <w:top w:val="nil"/>
              <w:left w:val="nil"/>
              <w:bottom w:val="single" w:sz="4" w:space="0" w:color="auto"/>
              <w:right w:val="single" w:sz="4" w:space="0" w:color="auto"/>
            </w:tcBorders>
            <w:shd w:val="clear" w:color="auto" w:fill="auto"/>
            <w:noWrap/>
            <w:vAlign w:val="bottom"/>
            <w:hideMark/>
          </w:tcPr>
          <w:p w14:paraId="6FDDA55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33.000</w:t>
            </w:r>
          </w:p>
        </w:tc>
        <w:tc>
          <w:tcPr>
            <w:tcW w:w="960" w:type="dxa"/>
            <w:tcBorders>
              <w:top w:val="nil"/>
              <w:left w:val="nil"/>
              <w:bottom w:val="single" w:sz="4" w:space="0" w:color="auto"/>
              <w:right w:val="single" w:sz="4" w:space="0" w:color="auto"/>
            </w:tcBorders>
            <w:shd w:val="clear" w:color="auto" w:fill="auto"/>
            <w:noWrap/>
            <w:vAlign w:val="bottom"/>
            <w:hideMark/>
          </w:tcPr>
          <w:p w14:paraId="251DA31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32.733</w:t>
            </w:r>
          </w:p>
        </w:tc>
        <w:tc>
          <w:tcPr>
            <w:tcW w:w="960" w:type="dxa"/>
            <w:tcBorders>
              <w:top w:val="nil"/>
              <w:left w:val="nil"/>
              <w:bottom w:val="single" w:sz="4" w:space="0" w:color="auto"/>
              <w:right w:val="single" w:sz="4" w:space="0" w:color="auto"/>
            </w:tcBorders>
            <w:shd w:val="clear" w:color="auto" w:fill="auto"/>
            <w:noWrap/>
            <w:vAlign w:val="bottom"/>
            <w:hideMark/>
          </w:tcPr>
          <w:p w14:paraId="7D06C67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30.469</w:t>
            </w:r>
          </w:p>
        </w:tc>
        <w:tc>
          <w:tcPr>
            <w:tcW w:w="1900" w:type="dxa"/>
            <w:tcBorders>
              <w:top w:val="nil"/>
              <w:left w:val="nil"/>
              <w:bottom w:val="nil"/>
              <w:right w:val="nil"/>
            </w:tcBorders>
            <w:shd w:val="clear" w:color="auto" w:fill="auto"/>
            <w:noWrap/>
            <w:vAlign w:val="bottom"/>
            <w:hideMark/>
          </w:tcPr>
          <w:p w14:paraId="07F932B4"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21107855"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69B431A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48</w:t>
            </w:r>
          </w:p>
        </w:tc>
        <w:tc>
          <w:tcPr>
            <w:tcW w:w="960" w:type="dxa"/>
            <w:tcBorders>
              <w:top w:val="nil"/>
              <w:left w:val="nil"/>
              <w:bottom w:val="single" w:sz="4" w:space="0" w:color="auto"/>
              <w:right w:val="single" w:sz="4" w:space="0" w:color="auto"/>
            </w:tcBorders>
            <w:shd w:val="clear" w:color="auto" w:fill="auto"/>
            <w:noWrap/>
            <w:vAlign w:val="bottom"/>
            <w:hideMark/>
          </w:tcPr>
          <w:p w14:paraId="40E2020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32.259</w:t>
            </w:r>
          </w:p>
        </w:tc>
        <w:tc>
          <w:tcPr>
            <w:tcW w:w="960" w:type="dxa"/>
            <w:tcBorders>
              <w:top w:val="nil"/>
              <w:left w:val="nil"/>
              <w:bottom w:val="single" w:sz="4" w:space="0" w:color="auto"/>
              <w:right w:val="single" w:sz="4" w:space="0" w:color="auto"/>
            </w:tcBorders>
            <w:shd w:val="clear" w:color="auto" w:fill="auto"/>
            <w:noWrap/>
            <w:vAlign w:val="bottom"/>
            <w:hideMark/>
          </w:tcPr>
          <w:p w14:paraId="3974940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16.500</w:t>
            </w:r>
          </w:p>
        </w:tc>
        <w:tc>
          <w:tcPr>
            <w:tcW w:w="960" w:type="dxa"/>
            <w:tcBorders>
              <w:top w:val="nil"/>
              <w:left w:val="nil"/>
              <w:bottom w:val="single" w:sz="4" w:space="0" w:color="auto"/>
              <w:right w:val="single" w:sz="4" w:space="0" w:color="auto"/>
            </w:tcBorders>
            <w:shd w:val="clear" w:color="auto" w:fill="auto"/>
            <w:noWrap/>
            <w:vAlign w:val="bottom"/>
            <w:hideMark/>
          </w:tcPr>
          <w:p w14:paraId="485F569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22.813</w:t>
            </w:r>
          </w:p>
        </w:tc>
        <w:tc>
          <w:tcPr>
            <w:tcW w:w="960" w:type="dxa"/>
            <w:tcBorders>
              <w:top w:val="nil"/>
              <w:left w:val="nil"/>
              <w:bottom w:val="single" w:sz="4" w:space="0" w:color="auto"/>
              <w:right w:val="single" w:sz="4" w:space="0" w:color="auto"/>
            </w:tcBorders>
            <w:shd w:val="clear" w:color="auto" w:fill="auto"/>
            <w:noWrap/>
            <w:vAlign w:val="bottom"/>
            <w:hideMark/>
          </w:tcPr>
          <w:p w14:paraId="0C8A93D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25.401</w:t>
            </w:r>
          </w:p>
        </w:tc>
        <w:tc>
          <w:tcPr>
            <w:tcW w:w="960" w:type="dxa"/>
            <w:tcBorders>
              <w:top w:val="nil"/>
              <w:left w:val="nil"/>
              <w:bottom w:val="single" w:sz="4" w:space="0" w:color="auto"/>
              <w:right w:val="single" w:sz="4" w:space="0" w:color="auto"/>
            </w:tcBorders>
            <w:shd w:val="clear" w:color="auto" w:fill="auto"/>
            <w:noWrap/>
            <w:vAlign w:val="bottom"/>
            <w:hideMark/>
          </w:tcPr>
          <w:p w14:paraId="3B573C0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32.600</w:t>
            </w:r>
          </w:p>
        </w:tc>
        <w:tc>
          <w:tcPr>
            <w:tcW w:w="960" w:type="dxa"/>
            <w:tcBorders>
              <w:top w:val="nil"/>
              <w:left w:val="nil"/>
              <w:bottom w:val="single" w:sz="4" w:space="0" w:color="auto"/>
              <w:right w:val="single" w:sz="4" w:space="0" w:color="auto"/>
            </w:tcBorders>
            <w:shd w:val="clear" w:color="auto" w:fill="auto"/>
            <w:noWrap/>
            <w:vAlign w:val="bottom"/>
            <w:hideMark/>
          </w:tcPr>
          <w:p w14:paraId="1CA7DCD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32.895</w:t>
            </w:r>
          </w:p>
        </w:tc>
        <w:tc>
          <w:tcPr>
            <w:tcW w:w="1900" w:type="dxa"/>
            <w:tcBorders>
              <w:top w:val="nil"/>
              <w:left w:val="nil"/>
              <w:bottom w:val="nil"/>
              <w:right w:val="nil"/>
            </w:tcBorders>
            <w:shd w:val="clear" w:color="auto" w:fill="auto"/>
            <w:noWrap/>
            <w:vAlign w:val="bottom"/>
            <w:hideMark/>
          </w:tcPr>
          <w:p w14:paraId="6ECF482A"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0715B033"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0FE51F2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49</w:t>
            </w:r>
          </w:p>
        </w:tc>
        <w:tc>
          <w:tcPr>
            <w:tcW w:w="960" w:type="dxa"/>
            <w:tcBorders>
              <w:top w:val="nil"/>
              <w:left w:val="nil"/>
              <w:bottom w:val="single" w:sz="4" w:space="0" w:color="auto"/>
              <w:right w:val="single" w:sz="4" w:space="0" w:color="auto"/>
            </w:tcBorders>
            <w:shd w:val="clear" w:color="auto" w:fill="auto"/>
            <w:noWrap/>
            <w:vAlign w:val="bottom"/>
            <w:hideMark/>
          </w:tcPr>
          <w:p w14:paraId="63E8356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32.222</w:t>
            </w:r>
          </w:p>
        </w:tc>
        <w:tc>
          <w:tcPr>
            <w:tcW w:w="960" w:type="dxa"/>
            <w:tcBorders>
              <w:top w:val="nil"/>
              <w:left w:val="nil"/>
              <w:bottom w:val="single" w:sz="4" w:space="0" w:color="auto"/>
              <w:right w:val="single" w:sz="4" w:space="0" w:color="auto"/>
            </w:tcBorders>
            <w:shd w:val="clear" w:color="auto" w:fill="auto"/>
            <w:noWrap/>
            <w:vAlign w:val="bottom"/>
            <w:hideMark/>
          </w:tcPr>
          <w:p w14:paraId="5E560A1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17.208</w:t>
            </w:r>
          </w:p>
        </w:tc>
        <w:tc>
          <w:tcPr>
            <w:tcW w:w="960" w:type="dxa"/>
            <w:tcBorders>
              <w:top w:val="nil"/>
              <w:left w:val="nil"/>
              <w:bottom w:val="single" w:sz="4" w:space="0" w:color="auto"/>
              <w:right w:val="single" w:sz="4" w:space="0" w:color="auto"/>
            </w:tcBorders>
            <w:shd w:val="clear" w:color="auto" w:fill="auto"/>
            <w:noWrap/>
            <w:vAlign w:val="bottom"/>
            <w:hideMark/>
          </w:tcPr>
          <w:p w14:paraId="25CDBB0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23.761</w:t>
            </w:r>
          </w:p>
        </w:tc>
        <w:tc>
          <w:tcPr>
            <w:tcW w:w="960" w:type="dxa"/>
            <w:tcBorders>
              <w:top w:val="nil"/>
              <w:left w:val="nil"/>
              <w:bottom w:val="single" w:sz="4" w:space="0" w:color="auto"/>
              <w:right w:val="single" w:sz="4" w:space="0" w:color="auto"/>
            </w:tcBorders>
            <w:shd w:val="clear" w:color="auto" w:fill="auto"/>
            <w:noWrap/>
            <w:vAlign w:val="bottom"/>
            <w:hideMark/>
          </w:tcPr>
          <w:p w14:paraId="608C7E2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30.863</w:t>
            </w:r>
          </w:p>
        </w:tc>
        <w:tc>
          <w:tcPr>
            <w:tcW w:w="960" w:type="dxa"/>
            <w:tcBorders>
              <w:top w:val="nil"/>
              <w:left w:val="nil"/>
              <w:bottom w:val="single" w:sz="4" w:space="0" w:color="auto"/>
              <w:right w:val="single" w:sz="4" w:space="0" w:color="auto"/>
            </w:tcBorders>
            <w:shd w:val="clear" w:color="auto" w:fill="auto"/>
            <w:noWrap/>
            <w:vAlign w:val="bottom"/>
            <w:hideMark/>
          </w:tcPr>
          <w:p w14:paraId="08D0F8D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32.600</w:t>
            </w:r>
          </w:p>
        </w:tc>
        <w:tc>
          <w:tcPr>
            <w:tcW w:w="960" w:type="dxa"/>
            <w:tcBorders>
              <w:top w:val="nil"/>
              <w:left w:val="nil"/>
              <w:bottom w:val="single" w:sz="4" w:space="0" w:color="auto"/>
              <w:right w:val="single" w:sz="4" w:space="0" w:color="auto"/>
            </w:tcBorders>
            <w:shd w:val="clear" w:color="auto" w:fill="auto"/>
            <w:noWrap/>
            <w:vAlign w:val="bottom"/>
            <w:hideMark/>
          </w:tcPr>
          <w:p w14:paraId="53E5F81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35.000</w:t>
            </w:r>
          </w:p>
        </w:tc>
        <w:tc>
          <w:tcPr>
            <w:tcW w:w="1900" w:type="dxa"/>
            <w:tcBorders>
              <w:top w:val="nil"/>
              <w:left w:val="nil"/>
              <w:bottom w:val="nil"/>
              <w:right w:val="nil"/>
            </w:tcBorders>
            <w:shd w:val="clear" w:color="auto" w:fill="auto"/>
            <w:noWrap/>
            <w:vAlign w:val="bottom"/>
            <w:hideMark/>
          </w:tcPr>
          <w:p w14:paraId="386B4A7F"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14F50222"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661541A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50</w:t>
            </w:r>
          </w:p>
        </w:tc>
        <w:tc>
          <w:tcPr>
            <w:tcW w:w="960" w:type="dxa"/>
            <w:tcBorders>
              <w:top w:val="nil"/>
              <w:left w:val="nil"/>
              <w:bottom w:val="single" w:sz="4" w:space="0" w:color="auto"/>
              <w:right w:val="single" w:sz="4" w:space="0" w:color="auto"/>
            </w:tcBorders>
            <w:shd w:val="clear" w:color="auto" w:fill="auto"/>
            <w:noWrap/>
            <w:vAlign w:val="bottom"/>
            <w:hideMark/>
          </w:tcPr>
          <w:p w14:paraId="5883CB0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32.111</w:t>
            </w:r>
          </w:p>
        </w:tc>
        <w:tc>
          <w:tcPr>
            <w:tcW w:w="960" w:type="dxa"/>
            <w:tcBorders>
              <w:top w:val="nil"/>
              <w:left w:val="nil"/>
              <w:bottom w:val="single" w:sz="4" w:space="0" w:color="auto"/>
              <w:right w:val="single" w:sz="4" w:space="0" w:color="auto"/>
            </w:tcBorders>
            <w:shd w:val="clear" w:color="auto" w:fill="auto"/>
            <w:noWrap/>
            <w:vAlign w:val="bottom"/>
            <w:hideMark/>
          </w:tcPr>
          <w:p w14:paraId="5310A9F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18.250</w:t>
            </w:r>
          </w:p>
        </w:tc>
        <w:tc>
          <w:tcPr>
            <w:tcW w:w="960" w:type="dxa"/>
            <w:tcBorders>
              <w:top w:val="nil"/>
              <w:left w:val="nil"/>
              <w:bottom w:val="single" w:sz="4" w:space="0" w:color="auto"/>
              <w:right w:val="single" w:sz="4" w:space="0" w:color="auto"/>
            </w:tcBorders>
            <w:shd w:val="clear" w:color="auto" w:fill="auto"/>
            <w:noWrap/>
            <w:vAlign w:val="bottom"/>
            <w:hideMark/>
          </w:tcPr>
          <w:p w14:paraId="4154CA6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27.047</w:t>
            </w:r>
          </w:p>
        </w:tc>
        <w:tc>
          <w:tcPr>
            <w:tcW w:w="960" w:type="dxa"/>
            <w:tcBorders>
              <w:top w:val="nil"/>
              <w:left w:val="nil"/>
              <w:bottom w:val="single" w:sz="4" w:space="0" w:color="auto"/>
              <w:right w:val="single" w:sz="4" w:space="0" w:color="auto"/>
            </w:tcBorders>
            <w:shd w:val="clear" w:color="auto" w:fill="auto"/>
            <w:noWrap/>
            <w:vAlign w:val="bottom"/>
            <w:hideMark/>
          </w:tcPr>
          <w:p w14:paraId="6CE4FC2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37.783</w:t>
            </w:r>
          </w:p>
        </w:tc>
        <w:tc>
          <w:tcPr>
            <w:tcW w:w="960" w:type="dxa"/>
            <w:tcBorders>
              <w:top w:val="nil"/>
              <w:left w:val="nil"/>
              <w:bottom w:val="single" w:sz="4" w:space="0" w:color="auto"/>
              <w:right w:val="single" w:sz="4" w:space="0" w:color="auto"/>
            </w:tcBorders>
            <w:shd w:val="clear" w:color="auto" w:fill="auto"/>
            <w:noWrap/>
            <w:vAlign w:val="bottom"/>
            <w:hideMark/>
          </w:tcPr>
          <w:p w14:paraId="27AA22E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32.067</w:t>
            </w:r>
          </w:p>
        </w:tc>
        <w:tc>
          <w:tcPr>
            <w:tcW w:w="960" w:type="dxa"/>
            <w:tcBorders>
              <w:top w:val="nil"/>
              <w:left w:val="nil"/>
              <w:bottom w:val="single" w:sz="4" w:space="0" w:color="auto"/>
              <w:right w:val="single" w:sz="4" w:space="0" w:color="auto"/>
            </w:tcBorders>
            <w:shd w:val="clear" w:color="auto" w:fill="auto"/>
            <w:noWrap/>
            <w:vAlign w:val="bottom"/>
            <w:hideMark/>
          </w:tcPr>
          <w:p w14:paraId="4509134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35.827</w:t>
            </w:r>
          </w:p>
        </w:tc>
        <w:tc>
          <w:tcPr>
            <w:tcW w:w="1900" w:type="dxa"/>
            <w:tcBorders>
              <w:top w:val="nil"/>
              <w:left w:val="nil"/>
              <w:bottom w:val="nil"/>
              <w:right w:val="nil"/>
            </w:tcBorders>
            <w:shd w:val="clear" w:color="auto" w:fill="auto"/>
            <w:noWrap/>
            <w:vAlign w:val="bottom"/>
            <w:hideMark/>
          </w:tcPr>
          <w:p w14:paraId="0835D9E6"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1C2675E5"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165F80F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51</w:t>
            </w:r>
          </w:p>
        </w:tc>
        <w:tc>
          <w:tcPr>
            <w:tcW w:w="960" w:type="dxa"/>
            <w:tcBorders>
              <w:top w:val="nil"/>
              <w:left w:val="nil"/>
              <w:bottom w:val="single" w:sz="4" w:space="0" w:color="auto"/>
              <w:right w:val="single" w:sz="4" w:space="0" w:color="auto"/>
            </w:tcBorders>
            <w:shd w:val="clear" w:color="auto" w:fill="auto"/>
            <w:noWrap/>
            <w:vAlign w:val="bottom"/>
            <w:hideMark/>
          </w:tcPr>
          <w:p w14:paraId="68E3101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32.296</w:t>
            </w:r>
          </w:p>
        </w:tc>
        <w:tc>
          <w:tcPr>
            <w:tcW w:w="960" w:type="dxa"/>
            <w:tcBorders>
              <w:top w:val="nil"/>
              <w:left w:val="nil"/>
              <w:bottom w:val="single" w:sz="4" w:space="0" w:color="auto"/>
              <w:right w:val="single" w:sz="4" w:space="0" w:color="auto"/>
            </w:tcBorders>
            <w:shd w:val="clear" w:color="auto" w:fill="auto"/>
            <w:noWrap/>
            <w:vAlign w:val="bottom"/>
            <w:hideMark/>
          </w:tcPr>
          <w:p w14:paraId="69ED416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19.292</w:t>
            </w:r>
          </w:p>
        </w:tc>
        <w:tc>
          <w:tcPr>
            <w:tcW w:w="960" w:type="dxa"/>
            <w:tcBorders>
              <w:top w:val="nil"/>
              <w:left w:val="nil"/>
              <w:bottom w:val="single" w:sz="4" w:space="0" w:color="auto"/>
              <w:right w:val="single" w:sz="4" w:space="0" w:color="auto"/>
            </w:tcBorders>
            <w:shd w:val="clear" w:color="auto" w:fill="auto"/>
            <w:noWrap/>
            <w:vAlign w:val="bottom"/>
            <w:hideMark/>
          </w:tcPr>
          <w:p w14:paraId="4DF41B8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29.929</w:t>
            </w:r>
          </w:p>
        </w:tc>
        <w:tc>
          <w:tcPr>
            <w:tcW w:w="960" w:type="dxa"/>
            <w:tcBorders>
              <w:top w:val="nil"/>
              <w:left w:val="nil"/>
              <w:bottom w:val="single" w:sz="4" w:space="0" w:color="auto"/>
              <w:right w:val="single" w:sz="4" w:space="0" w:color="auto"/>
            </w:tcBorders>
            <w:shd w:val="clear" w:color="auto" w:fill="auto"/>
            <w:noWrap/>
            <w:vAlign w:val="bottom"/>
            <w:hideMark/>
          </w:tcPr>
          <w:p w14:paraId="28D22DC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36.086</w:t>
            </w:r>
          </w:p>
        </w:tc>
        <w:tc>
          <w:tcPr>
            <w:tcW w:w="960" w:type="dxa"/>
            <w:tcBorders>
              <w:top w:val="nil"/>
              <w:left w:val="nil"/>
              <w:bottom w:val="single" w:sz="4" w:space="0" w:color="auto"/>
              <w:right w:val="single" w:sz="4" w:space="0" w:color="auto"/>
            </w:tcBorders>
            <w:shd w:val="clear" w:color="auto" w:fill="auto"/>
            <w:noWrap/>
            <w:vAlign w:val="bottom"/>
            <w:hideMark/>
          </w:tcPr>
          <w:p w14:paraId="22338D5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27.000</w:t>
            </w:r>
          </w:p>
        </w:tc>
        <w:tc>
          <w:tcPr>
            <w:tcW w:w="960" w:type="dxa"/>
            <w:tcBorders>
              <w:top w:val="nil"/>
              <w:left w:val="nil"/>
              <w:bottom w:val="single" w:sz="4" w:space="0" w:color="auto"/>
              <w:right w:val="single" w:sz="4" w:space="0" w:color="auto"/>
            </w:tcBorders>
            <w:shd w:val="clear" w:color="auto" w:fill="auto"/>
            <w:noWrap/>
            <w:vAlign w:val="bottom"/>
            <w:hideMark/>
          </w:tcPr>
          <w:p w14:paraId="2EC28FE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26.013</w:t>
            </w:r>
          </w:p>
        </w:tc>
        <w:tc>
          <w:tcPr>
            <w:tcW w:w="1900" w:type="dxa"/>
            <w:tcBorders>
              <w:top w:val="nil"/>
              <w:left w:val="nil"/>
              <w:bottom w:val="nil"/>
              <w:right w:val="nil"/>
            </w:tcBorders>
            <w:shd w:val="clear" w:color="auto" w:fill="auto"/>
            <w:noWrap/>
            <w:vAlign w:val="bottom"/>
            <w:hideMark/>
          </w:tcPr>
          <w:p w14:paraId="7917ABCB"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5F2A896D"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0A85A27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52</w:t>
            </w:r>
          </w:p>
        </w:tc>
        <w:tc>
          <w:tcPr>
            <w:tcW w:w="960" w:type="dxa"/>
            <w:tcBorders>
              <w:top w:val="nil"/>
              <w:left w:val="nil"/>
              <w:bottom w:val="single" w:sz="4" w:space="0" w:color="auto"/>
              <w:right w:val="single" w:sz="4" w:space="0" w:color="auto"/>
            </w:tcBorders>
            <w:shd w:val="clear" w:color="auto" w:fill="auto"/>
            <w:noWrap/>
            <w:vAlign w:val="bottom"/>
            <w:hideMark/>
          </w:tcPr>
          <w:p w14:paraId="43B5912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33.000</w:t>
            </w:r>
          </w:p>
        </w:tc>
        <w:tc>
          <w:tcPr>
            <w:tcW w:w="960" w:type="dxa"/>
            <w:tcBorders>
              <w:top w:val="nil"/>
              <w:left w:val="nil"/>
              <w:bottom w:val="single" w:sz="4" w:space="0" w:color="auto"/>
              <w:right w:val="single" w:sz="4" w:space="0" w:color="auto"/>
            </w:tcBorders>
            <w:shd w:val="clear" w:color="auto" w:fill="auto"/>
            <w:noWrap/>
            <w:vAlign w:val="bottom"/>
            <w:hideMark/>
          </w:tcPr>
          <w:p w14:paraId="278D952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20.625</w:t>
            </w:r>
          </w:p>
        </w:tc>
        <w:tc>
          <w:tcPr>
            <w:tcW w:w="960" w:type="dxa"/>
            <w:tcBorders>
              <w:top w:val="nil"/>
              <w:left w:val="nil"/>
              <w:bottom w:val="single" w:sz="4" w:space="0" w:color="auto"/>
              <w:right w:val="single" w:sz="4" w:space="0" w:color="auto"/>
            </w:tcBorders>
            <w:shd w:val="clear" w:color="auto" w:fill="auto"/>
            <w:noWrap/>
            <w:vAlign w:val="bottom"/>
            <w:hideMark/>
          </w:tcPr>
          <w:p w14:paraId="7D9FBDC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34.498</w:t>
            </w:r>
          </w:p>
        </w:tc>
        <w:tc>
          <w:tcPr>
            <w:tcW w:w="960" w:type="dxa"/>
            <w:tcBorders>
              <w:top w:val="nil"/>
              <w:left w:val="nil"/>
              <w:bottom w:val="single" w:sz="4" w:space="0" w:color="auto"/>
              <w:right w:val="single" w:sz="4" w:space="0" w:color="auto"/>
            </w:tcBorders>
            <w:shd w:val="clear" w:color="auto" w:fill="auto"/>
            <w:noWrap/>
            <w:vAlign w:val="bottom"/>
            <w:hideMark/>
          </w:tcPr>
          <w:p w14:paraId="744149F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37.044</w:t>
            </w:r>
          </w:p>
        </w:tc>
        <w:tc>
          <w:tcPr>
            <w:tcW w:w="960" w:type="dxa"/>
            <w:tcBorders>
              <w:top w:val="nil"/>
              <w:left w:val="nil"/>
              <w:bottom w:val="single" w:sz="4" w:space="0" w:color="auto"/>
              <w:right w:val="single" w:sz="4" w:space="0" w:color="auto"/>
            </w:tcBorders>
            <w:shd w:val="clear" w:color="auto" w:fill="auto"/>
            <w:noWrap/>
            <w:vAlign w:val="bottom"/>
            <w:hideMark/>
          </w:tcPr>
          <w:p w14:paraId="07C0A47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25.200</w:t>
            </w:r>
          </w:p>
        </w:tc>
        <w:tc>
          <w:tcPr>
            <w:tcW w:w="960" w:type="dxa"/>
            <w:tcBorders>
              <w:top w:val="nil"/>
              <w:left w:val="nil"/>
              <w:bottom w:val="single" w:sz="4" w:space="0" w:color="auto"/>
              <w:right w:val="single" w:sz="4" w:space="0" w:color="auto"/>
            </w:tcBorders>
            <w:shd w:val="clear" w:color="auto" w:fill="auto"/>
            <w:noWrap/>
            <w:vAlign w:val="bottom"/>
            <w:hideMark/>
          </w:tcPr>
          <w:p w14:paraId="0472213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20.796</w:t>
            </w:r>
          </w:p>
        </w:tc>
        <w:tc>
          <w:tcPr>
            <w:tcW w:w="1900" w:type="dxa"/>
            <w:tcBorders>
              <w:top w:val="nil"/>
              <w:left w:val="nil"/>
              <w:bottom w:val="nil"/>
              <w:right w:val="nil"/>
            </w:tcBorders>
            <w:shd w:val="clear" w:color="auto" w:fill="auto"/>
            <w:noWrap/>
            <w:vAlign w:val="bottom"/>
            <w:hideMark/>
          </w:tcPr>
          <w:p w14:paraId="297095AB"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4D2BE7B3"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7DE6FF4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53</w:t>
            </w:r>
          </w:p>
        </w:tc>
        <w:tc>
          <w:tcPr>
            <w:tcW w:w="960" w:type="dxa"/>
            <w:tcBorders>
              <w:top w:val="nil"/>
              <w:left w:val="nil"/>
              <w:bottom w:val="single" w:sz="4" w:space="0" w:color="auto"/>
              <w:right w:val="single" w:sz="4" w:space="0" w:color="auto"/>
            </w:tcBorders>
            <w:shd w:val="clear" w:color="auto" w:fill="auto"/>
            <w:noWrap/>
            <w:vAlign w:val="bottom"/>
            <w:hideMark/>
          </w:tcPr>
          <w:p w14:paraId="21DD0B9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33.259</w:t>
            </w:r>
          </w:p>
        </w:tc>
        <w:tc>
          <w:tcPr>
            <w:tcW w:w="960" w:type="dxa"/>
            <w:tcBorders>
              <w:top w:val="nil"/>
              <w:left w:val="nil"/>
              <w:bottom w:val="single" w:sz="4" w:space="0" w:color="auto"/>
              <w:right w:val="single" w:sz="4" w:space="0" w:color="auto"/>
            </w:tcBorders>
            <w:shd w:val="clear" w:color="auto" w:fill="auto"/>
            <w:noWrap/>
            <w:vAlign w:val="bottom"/>
            <w:hideMark/>
          </w:tcPr>
          <w:p w14:paraId="3813230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22.458</w:t>
            </w:r>
          </w:p>
        </w:tc>
        <w:tc>
          <w:tcPr>
            <w:tcW w:w="960" w:type="dxa"/>
            <w:tcBorders>
              <w:top w:val="nil"/>
              <w:left w:val="nil"/>
              <w:bottom w:val="single" w:sz="4" w:space="0" w:color="auto"/>
              <w:right w:val="single" w:sz="4" w:space="0" w:color="auto"/>
            </w:tcBorders>
            <w:shd w:val="clear" w:color="auto" w:fill="auto"/>
            <w:noWrap/>
            <w:vAlign w:val="bottom"/>
            <w:hideMark/>
          </w:tcPr>
          <w:p w14:paraId="5133CF0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38.569</w:t>
            </w:r>
          </w:p>
        </w:tc>
        <w:tc>
          <w:tcPr>
            <w:tcW w:w="960" w:type="dxa"/>
            <w:tcBorders>
              <w:top w:val="nil"/>
              <w:left w:val="nil"/>
              <w:bottom w:val="single" w:sz="4" w:space="0" w:color="auto"/>
              <w:right w:val="single" w:sz="4" w:space="0" w:color="auto"/>
            </w:tcBorders>
            <w:shd w:val="clear" w:color="auto" w:fill="auto"/>
            <w:noWrap/>
            <w:vAlign w:val="bottom"/>
            <w:hideMark/>
          </w:tcPr>
          <w:p w14:paraId="4B9B548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32.174</w:t>
            </w:r>
          </w:p>
        </w:tc>
        <w:tc>
          <w:tcPr>
            <w:tcW w:w="960" w:type="dxa"/>
            <w:tcBorders>
              <w:top w:val="nil"/>
              <w:left w:val="nil"/>
              <w:bottom w:val="single" w:sz="4" w:space="0" w:color="auto"/>
              <w:right w:val="single" w:sz="4" w:space="0" w:color="auto"/>
            </w:tcBorders>
            <w:shd w:val="clear" w:color="auto" w:fill="auto"/>
            <w:noWrap/>
            <w:vAlign w:val="bottom"/>
            <w:hideMark/>
          </w:tcPr>
          <w:p w14:paraId="2106B65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23.600</w:t>
            </w:r>
          </w:p>
        </w:tc>
        <w:tc>
          <w:tcPr>
            <w:tcW w:w="960" w:type="dxa"/>
            <w:tcBorders>
              <w:top w:val="nil"/>
              <w:left w:val="nil"/>
              <w:bottom w:val="single" w:sz="4" w:space="0" w:color="auto"/>
              <w:right w:val="single" w:sz="4" w:space="0" w:color="auto"/>
            </w:tcBorders>
            <w:shd w:val="clear" w:color="auto" w:fill="auto"/>
            <w:noWrap/>
            <w:vAlign w:val="bottom"/>
            <w:hideMark/>
          </w:tcPr>
          <w:p w14:paraId="198D94F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17.333</w:t>
            </w:r>
          </w:p>
        </w:tc>
        <w:tc>
          <w:tcPr>
            <w:tcW w:w="1900" w:type="dxa"/>
            <w:tcBorders>
              <w:top w:val="nil"/>
              <w:left w:val="nil"/>
              <w:bottom w:val="nil"/>
              <w:right w:val="nil"/>
            </w:tcBorders>
            <w:shd w:val="clear" w:color="auto" w:fill="auto"/>
            <w:noWrap/>
            <w:vAlign w:val="bottom"/>
            <w:hideMark/>
          </w:tcPr>
          <w:p w14:paraId="6797FF59"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030B6B6D"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2864AD3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54</w:t>
            </w:r>
          </w:p>
        </w:tc>
        <w:tc>
          <w:tcPr>
            <w:tcW w:w="960" w:type="dxa"/>
            <w:tcBorders>
              <w:top w:val="nil"/>
              <w:left w:val="nil"/>
              <w:bottom w:val="single" w:sz="4" w:space="0" w:color="auto"/>
              <w:right w:val="single" w:sz="4" w:space="0" w:color="auto"/>
            </w:tcBorders>
            <w:shd w:val="clear" w:color="auto" w:fill="auto"/>
            <w:noWrap/>
            <w:vAlign w:val="bottom"/>
            <w:hideMark/>
          </w:tcPr>
          <w:p w14:paraId="39562C7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33.037</w:t>
            </w:r>
          </w:p>
        </w:tc>
        <w:tc>
          <w:tcPr>
            <w:tcW w:w="960" w:type="dxa"/>
            <w:tcBorders>
              <w:top w:val="nil"/>
              <w:left w:val="nil"/>
              <w:bottom w:val="single" w:sz="4" w:space="0" w:color="auto"/>
              <w:right w:val="single" w:sz="4" w:space="0" w:color="auto"/>
            </w:tcBorders>
            <w:shd w:val="clear" w:color="auto" w:fill="auto"/>
            <w:noWrap/>
            <w:vAlign w:val="bottom"/>
            <w:hideMark/>
          </w:tcPr>
          <w:p w14:paraId="39F4930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24.375</w:t>
            </w:r>
          </w:p>
        </w:tc>
        <w:tc>
          <w:tcPr>
            <w:tcW w:w="960" w:type="dxa"/>
            <w:tcBorders>
              <w:top w:val="nil"/>
              <w:left w:val="nil"/>
              <w:bottom w:val="single" w:sz="4" w:space="0" w:color="auto"/>
              <w:right w:val="single" w:sz="4" w:space="0" w:color="auto"/>
            </w:tcBorders>
            <w:shd w:val="clear" w:color="auto" w:fill="auto"/>
            <w:noWrap/>
            <w:vAlign w:val="bottom"/>
            <w:hideMark/>
          </w:tcPr>
          <w:p w14:paraId="76B8ECB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30.672</w:t>
            </w:r>
          </w:p>
        </w:tc>
        <w:tc>
          <w:tcPr>
            <w:tcW w:w="960" w:type="dxa"/>
            <w:tcBorders>
              <w:top w:val="nil"/>
              <w:left w:val="nil"/>
              <w:bottom w:val="single" w:sz="4" w:space="0" w:color="auto"/>
              <w:right w:val="single" w:sz="4" w:space="0" w:color="auto"/>
            </w:tcBorders>
            <w:shd w:val="clear" w:color="auto" w:fill="auto"/>
            <w:noWrap/>
            <w:vAlign w:val="bottom"/>
            <w:hideMark/>
          </w:tcPr>
          <w:p w14:paraId="2F5E611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27.304</w:t>
            </w:r>
          </w:p>
        </w:tc>
        <w:tc>
          <w:tcPr>
            <w:tcW w:w="960" w:type="dxa"/>
            <w:tcBorders>
              <w:top w:val="nil"/>
              <w:left w:val="nil"/>
              <w:bottom w:val="single" w:sz="4" w:space="0" w:color="auto"/>
              <w:right w:val="single" w:sz="4" w:space="0" w:color="auto"/>
            </w:tcBorders>
            <w:shd w:val="clear" w:color="auto" w:fill="auto"/>
            <w:noWrap/>
            <w:vAlign w:val="bottom"/>
            <w:hideMark/>
          </w:tcPr>
          <w:p w14:paraId="52C011D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23.200</w:t>
            </w:r>
          </w:p>
        </w:tc>
        <w:tc>
          <w:tcPr>
            <w:tcW w:w="960" w:type="dxa"/>
            <w:tcBorders>
              <w:top w:val="nil"/>
              <w:left w:val="nil"/>
              <w:bottom w:val="single" w:sz="4" w:space="0" w:color="auto"/>
              <w:right w:val="single" w:sz="4" w:space="0" w:color="auto"/>
            </w:tcBorders>
            <w:shd w:val="clear" w:color="auto" w:fill="auto"/>
            <w:noWrap/>
            <w:vAlign w:val="bottom"/>
            <w:hideMark/>
          </w:tcPr>
          <w:p w14:paraId="2D7A28F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14.947</w:t>
            </w:r>
          </w:p>
        </w:tc>
        <w:tc>
          <w:tcPr>
            <w:tcW w:w="1900" w:type="dxa"/>
            <w:tcBorders>
              <w:top w:val="nil"/>
              <w:left w:val="nil"/>
              <w:bottom w:val="nil"/>
              <w:right w:val="nil"/>
            </w:tcBorders>
            <w:shd w:val="clear" w:color="auto" w:fill="auto"/>
            <w:noWrap/>
            <w:vAlign w:val="bottom"/>
            <w:hideMark/>
          </w:tcPr>
          <w:p w14:paraId="4281A7B4"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3178CAF2"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6824EF9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55</w:t>
            </w:r>
          </w:p>
        </w:tc>
        <w:tc>
          <w:tcPr>
            <w:tcW w:w="960" w:type="dxa"/>
            <w:tcBorders>
              <w:top w:val="nil"/>
              <w:left w:val="nil"/>
              <w:bottom w:val="single" w:sz="4" w:space="0" w:color="auto"/>
              <w:right w:val="single" w:sz="4" w:space="0" w:color="auto"/>
            </w:tcBorders>
            <w:shd w:val="clear" w:color="auto" w:fill="auto"/>
            <w:noWrap/>
            <w:vAlign w:val="bottom"/>
            <w:hideMark/>
          </w:tcPr>
          <w:p w14:paraId="6C0765A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33.000</w:t>
            </w:r>
          </w:p>
        </w:tc>
        <w:tc>
          <w:tcPr>
            <w:tcW w:w="960" w:type="dxa"/>
            <w:tcBorders>
              <w:top w:val="nil"/>
              <w:left w:val="nil"/>
              <w:bottom w:val="single" w:sz="4" w:space="0" w:color="auto"/>
              <w:right w:val="single" w:sz="4" w:space="0" w:color="auto"/>
            </w:tcBorders>
            <w:shd w:val="clear" w:color="auto" w:fill="auto"/>
            <w:noWrap/>
            <w:vAlign w:val="bottom"/>
            <w:hideMark/>
          </w:tcPr>
          <w:p w14:paraId="72D33ED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26.208</w:t>
            </w:r>
          </w:p>
        </w:tc>
        <w:tc>
          <w:tcPr>
            <w:tcW w:w="960" w:type="dxa"/>
            <w:tcBorders>
              <w:top w:val="nil"/>
              <w:left w:val="nil"/>
              <w:bottom w:val="single" w:sz="4" w:space="0" w:color="auto"/>
              <w:right w:val="single" w:sz="4" w:space="0" w:color="auto"/>
            </w:tcBorders>
            <w:shd w:val="clear" w:color="auto" w:fill="auto"/>
            <w:noWrap/>
            <w:vAlign w:val="bottom"/>
            <w:hideMark/>
          </w:tcPr>
          <w:p w14:paraId="2D1F688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32.719</w:t>
            </w:r>
          </w:p>
        </w:tc>
        <w:tc>
          <w:tcPr>
            <w:tcW w:w="960" w:type="dxa"/>
            <w:tcBorders>
              <w:top w:val="nil"/>
              <w:left w:val="nil"/>
              <w:bottom w:val="single" w:sz="4" w:space="0" w:color="auto"/>
              <w:right w:val="single" w:sz="4" w:space="0" w:color="auto"/>
            </w:tcBorders>
            <w:shd w:val="clear" w:color="auto" w:fill="auto"/>
            <w:noWrap/>
            <w:vAlign w:val="bottom"/>
            <w:hideMark/>
          </w:tcPr>
          <w:p w14:paraId="28FA889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23.000</w:t>
            </w:r>
          </w:p>
        </w:tc>
        <w:tc>
          <w:tcPr>
            <w:tcW w:w="960" w:type="dxa"/>
            <w:tcBorders>
              <w:top w:val="nil"/>
              <w:left w:val="nil"/>
              <w:bottom w:val="single" w:sz="4" w:space="0" w:color="auto"/>
              <w:right w:val="single" w:sz="4" w:space="0" w:color="auto"/>
            </w:tcBorders>
            <w:shd w:val="clear" w:color="auto" w:fill="auto"/>
            <w:noWrap/>
            <w:vAlign w:val="bottom"/>
            <w:hideMark/>
          </w:tcPr>
          <w:p w14:paraId="2E57F35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23.600</w:t>
            </w:r>
          </w:p>
        </w:tc>
        <w:tc>
          <w:tcPr>
            <w:tcW w:w="960" w:type="dxa"/>
            <w:tcBorders>
              <w:top w:val="nil"/>
              <w:left w:val="nil"/>
              <w:bottom w:val="single" w:sz="4" w:space="0" w:color="auto"/>
              <w:right w:val="single" w:sz="4" w:space="0" w:color="auto"/>
            </w:tcBorders>
            <w:shd w:val="clear" w:color="auto" w:fill="auto"/>
            <w:noWrap/>
            <w:vAlign w:val="bottom"/>
            <w:hideMark/>
          </w:tcPr>
          <w:p w14:paraId="7F1FE1B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13.249</w:t>
            </w:r>
          </w:p>
        </w:tc>
        <w:tc>
          <w:tcPr>
            <w:tcW w:w="1900" w:type="dxa"/>
            <w:tcBorders>
              <w:top w:val="nil"/>
              <w:left w:val="nil"/>
              <w:bottom w:val="nil"/>
              <w:right w:val="nil"/>
            </w:tcBorders>
            <w:shd w:val="clear" w:color="auto" w:fill="auto"/>
            <w:noWrap/>
            <w:vAlign w:val="bottom"/>
            <w:hideMark/>
          </w:tcPr>
          <w:p w14:paraId="05232CC2"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1A6B186C"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020E6FC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56</w:t>
            </w:r>
          </w:p>
        </w:tc>
        <w:tc>
          <w:tcPr>
            <w:tcW w:w="960" w:type="dxa"/>
            <w:tcBorders>
              <w:top w:val="nil"/>
              <w:left w:val="nil"/>
              <w:bottom w:val="single" w:sz="4" w:space="0" w:color="auto"/>
              <w:right w:val="single" w:sz="4" w:space="0" w:color="auto"/>
            </w:tcBorders>
            <w:shd w:val="clear" w:color="auto" w:fill="auto"/>
            <w:noWrap/>
            <w:vAlign w:val="bottom"/>
            <w:hideMark/>
          </w:tcPr>
          <w:p w14:paraId="7EE39C5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32.333</w:t>
            </w:r>
          </w:p>
        </w:tc>
        <w:tc>
          <w:tcPr>
            <w:tcW w:w="960" w:type="dxa"/>
            <w:tcBorders>
              <w:top w:val="nil"/>
              <w:left w:val="nil"/>
              <w:bottom w:val="single" w:sz="4" w:space="0" w:color="auto"/>
              <w:right w:val="single" w:sz="4" w:space="0" w:color="auto"/>
            </w:tcBorders>
            <w:shd w:val="clear" w:color="auto" w:fill="auto"/>
            <w:noWrap/>
            <w:vAlign w:val="bottom"/>
            <w:hideMark/>
          </w:tcPr>
          <w:p w14:paraId="7CF13DB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28.000</w:t>
            </w:r>
          </w:p>
        </w:tc>
        <w:tc>
          <w:tcPr>
            <w:tcW w:w="960" w:type="dxa"/>
            <w:tcBorders>
              <w:top w:val="nil"/>
              <w:left w:val="nil"/>
              <w:bottom w:val="single" w:sz="4" w:space="0" w:color="auto"/>
              <w:right w:val="single" w:sz="4" w:space="0" w:color="auto"/>
            </w:tcBorders>
            <w:shd w:val="clear" w:color="auto" w:fill="auto"/>
            <w:noWrap/>
            <w:vAlign w:val="bottom"/>
            <w:hideMark/>
          </w:tcPr>
          <w:p w14:paraId="4DD8DE4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34.141</w:t>
            </w:r>
          </w:p>
        </w:tc>
        <w:tc>
          <w:tcPr>
            <w:tcW w:w="960" w:type="dxa"/>
            <w:tcBorders>
              <w:top w:val="nil"/>
              <w:left w:val="nil"/>
              <w:bottom w:val="single" w:sz="4" w:space="0" w:color="auto"/>
              <w:right w:val="single" w:sz="4" w:space="0" w:color="auto"/>
            </w:tcBorders>
            <w:shd w:val="clear" w:color="auto" w:fill="auto"/>
            <w:noWrap/>
            <w:vAlign w:val="bottom"/>
            <w:hideMark/>
          </w:tcPr>
          <w:p w14:paraId="13D368E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21.783</w:t>
            </w:r>
          </w:p>
        </w:tc>
        <w:tc>
          <w:tcPr>
            <w:tcW w:w="960" w:type="dxa"/>
            <w:tcBorders>
              <w:top w:val="nil"/>
              <w:left w:val="nil"/>
              <w:bottom w:val="single" w:sz="4" w:space="0" w:color="auto"/>
              <w:right w:val="single" w:sz="4" w:space="0" w:color="auto"/>
            </w:tcBorders>
            <w:shd w:val="clear" w:color="auto" w:fill="auto"/>
            <w:noWrap/>
            <w:vAlign w:val="bottom"/>
            <w:hideMark/>
          </w:tcPr>
          <w:p w14:paraId="306C91C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23.333</w:t>
            </w:r>
          </w:p>
        </w:tc>
        <w:tc>
          <w:tcPr>
            <w:tcW w:w="960" w:type="dxa"/>
            <w:tcBorders>
              <w:top w:val="nil"/>
              <w:left w:val="nil"/>
              <w:bottom w:val="single" w:sz="4" w:space="0" w:color="auto"/>
              <w:right w:val="single" w:sz="4" w:space="0" w:color="auto"/>
            </w:tcBorders>
            <w:shd w:val="clear" w:color="auto" w:fill="auto"/>
            <w:noWrap/>
            <w:vAlign w:val="bottom"/>
            <w:hideMark/>
          </w:tcPr>
          <w:p w14:paraId="5022598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12.511</w:t>
            </w:r>
          </w:p>
        </w:tc>
        <w:tc>
          <w:tcPr>
            <w:tcW w:w="1900" w:type="dxa"/>
            <w:tcBorders>
              <w:top w:val="nil"/>
              <w:left w:val="nil"/>
              <w:bottom w:val="nil"/>
              <w:right w:val="nil"/>
            </w:tcBorders>
            <w:shd w:val="clear" w:color="auto" w:fill="auto"/>
            <w:noWrap/>
            <w:vAlign w:val="bottom"/>
            <w:hideMark/>
          </w:tcPr>
          <w:p w14:paraId="50D1C478"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57B896F5"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19949F2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57</w:t>
            </w:r>
          </w:p>
        </w:tc>
        <w:tc>
          <w:tcPr>
            <w:tcW w:w="960" w:type="dxa"/>
            <w:tcBorders>
              <w:top w:val="nil"/>
              <w:left w:val="nil"/>
              <w:bottom w:val="single" w:sz="4" w:space="0" w:color="auto"/>
              <w:right w:val="single" w:sz="4" w:space="0" w:color="auto"/>
            </w:tcBorders>
            <w:shd w:val="clear" w:color="auto" w:fill="auto"/>
            <w:noWrap/>
            <w:vAlign w:val="bottom"/>
            <w:hideMark/>
          </w:tcPr>
          <w:p w14:paraId="75A9A22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31.556</w:t>
            </w:r>
          </w:p>
        </w:tc>
        <w:tc>
          <w:tcPr>
            <w:tcW w:w="960" w:type="dxa"/>
            <w:tcBorders>
              <w:top w:val="nil"/>
              <w:left w:val="nil"/>
              <w:bottom w:val="single" w:sz="4" w:space="0" w:color="auto"/>
              <w:right w:val="single" w:sz="4" w:space="0" w:color="auto"/>
            </w:tcBorders>
            <w:shd w:val="clear" w:color="auto" w:fill="auto"/>
            <w:noWrap/>
            <w:vAlign w:val="bottom"/>
            <w:hideMark/>
          </w:tcPr>
          <w:p w14:paraId="07BECB5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29.667</w:t>
            </w:r>
          </w:p>
        </w:tc>
        <w:tc>
          <w:tcPr>
            <w:tcW w:w="960" w:type="dxa"/>
            <w:tcBorders>
              <w:top w:val="nil"/>
              <w:left w:val="nil"/>
              <w:bottom w:val="single" w:sz="4" w:space="0" w:color="auto"/>
              <w:right w:val="single" w:sz="4" w:space="0" w:color="auto"/>
            </w:tcBorders>
            <w:shd w:val="clear" w:color="auto" w:fill="auto"/>
            <w:noWrap/>
            <w:vAlign w:val="bottom"/>
            <w:hideMark/>
          </w:tcPr>
          <w:p w14:paraId="3D8AED1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35.519</w:t>
            </w:r>
          </w:p>
        </w:tc>
        <w:tc>
          <w:tcPr>
            <w:tcW w:w="960" w:type="dxa"/>
            <w:tcBorders>
              <w:top w:val="nil"/>
              <w:left w:val="nil"/>
              <w:bottom w:val="single" w:sz="4" w:space="0" w:color="auto"/>
              <w:right w:val="single" w:sz="4" w:space="0" w:color="auto"/>
            </w:tcBorders>
            <w:shd w:val="clear" w:color="auto" w:fill="auto"/>
            <w:noWrap/>
            <w:vAlign w:val="bottom"/>
            <w:hideMark/>
          </w:tcPr>
          <w:p w14:paraId="15B77A0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19.848</w:t>
            </w:r>
          </w:p>
        </w:tc>
        <w:tc>
          <w:tcPr>
            <w:tcW w:w="960" w:type="dxa"/>
            <w:tcBorders>
              <w:top w:val="nil"/>
              <w:left w:val="nil"/>
              <w:bottom w:val="single" w:sz="4" w:space="0" w:color="auto"/>
              <w:right w:val="single" w:sz="4" w:space="0" w:color="auto"/>
            </w:tcBorders>
            <w:shd w:val="clear" w:color="auto" w:fill="auto"/>
            <w:noWrap/>
            <w:vAlign w:val="bottom"/>
            <w:hideMark/>
          </w:tcPr>
          <w:p w14:paraId="3AD242F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22.400</w:t>
            </w:r>
          </w:p>
        </w:tc>
        <w:tc>
          <w:tcPr>
            <w:tcW w:w="960" w:type="dxa"/>
            <w:tcBorders>
              <w:top w:val="nil"/>
              <w:left w:val="nil"/>
              <w:bottom w:val="single" w:sz="4" w:space="0" w:color="auto"/>
              <w:right w:val="single" w:sz="4" w:space="0" w:color="auto"/>
            </w:tcBorders>
            <w:shd w:val="clear" w:color="auto" w:fill="auto"/>
            <w:noWrap/>
            <w:vAlign w:val="bottom"/>
            <w:hideMark/>
          </w:tcPr>
          <w:p w14:paraId="2F604D2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11.200</w:t>
            </w:r>
          </w:p>
        </w:tc>
        <w:tc>
          <w:tcPr>
            <w:tcW w:w="1900" w:type="dxa"/>
            <w:tcBorders>
              <w:top w:val="nil"/>
              <w:left w:val="nil"/>
              <w:bottom w:val="nil"/>
              <w:right w:val="nil"/>
            </w:tcBorders>
            <w:shd w:val="clear" w:color="auto" w:fill="auto"/>
            <w:noWrap/>
            <w:vAlign w:val="bottom"/>
            <w:hideMark/>
          </w:tcPr>
          <w:p w14:paraId="1C7BE2CD"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3E9902FC"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F840F9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58</w:t>
            </w:r>
          </w:p>
        </w:tc>
        <w:tc>
          <w:tcPr>
            <w:tcW w:w="960" w:type="dxa"/>
            <w:tcBorders>
              <w:top w:val="nil"/>
              <w:left w:val="nil"/>
              <w:bottom w:val="single" w:sz="4" w:space="0" w:color="auto"/>
              <w:right w:val="single" w:sz="4" w:space="0" w:color="auto"/>
            </w:tcBorders>
            <w:shd w:val="clear" w:color="auto" w:fill="auto"/>
            <w:noWrap/>
            <w:vAlign w:val="bottom"/>
            <w:hideMark/>
          </w:tcPr>
          <w:p w14:paraId="685704D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30.815</w:t>
            </w:r>
          </w:p>
        </w:tc>
        <w:tc>
          <w:tcPr>
            <w:tcW w:w="960" w:type="dxa"/>
            <w:tcBorders>
              <w:top w:val="nil"/>
              <w:left w:val="nil"/>
              <w:bottom w:val="single" w:sz="4" w:space="0" w:color="auto"/>
              <w:right w:val="single" w:sz="4" w:space="0" w:color="auto"/>
            </w:tcBorders>
            <w:shd w:val="clear" w:color="auto" w:fill="auto"/>
            <w:noWrap/>
            <w:vAlign w:val="bottom"/>
            <w:hideMark/>
          </w:tcPr>
          <w:p w14:paraId="6D61CF5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17.000</w:t>
            </w:r>
          </w:p>
        </w:tc>
        <w:tc>
          <w:tcPr>
            <w:tcW w:w="960" w:type="dxa"/>
            <w:tcBorders>
              <w:top w:val="nil"/>
              <w:left w:val="nil"/>
              <w:bottom w:val="single" w:sz="4" w:space="0" w:color="auto"/>
              <w:right w:val="single" w:sz="4" w:space="0" w:color="auto"/>
            </w:tcBorders>
            <w:shd w:val="clear" w:color="auto" w:fill="auto"/>
            <w:noWrap/>
            <w:vAlign w:val="bottom"/>
            <w:hideMark/>
          </w:tcPr>
          <w:p w14:paraId="5C5D67D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34.407</w:t>
            </w:r>
          </w:p>
        </w:tc>
        <w:tc>
          <w:tcPr>
            <w:tcW w:w="960" w:type="dxa"/>
            <w:tcBorders>
              <w:top w:val="nil"/>
              <w:left w:val="nil"/>
              <w:bottom w:val="single" w:sz="4" w:space="0" w:color="auto"/>
              <w:right w:val="single" w:sz="4" w:space="0" w:color="auto"/>
            </w:tcBorders>
            <w:shd w:val="clear" w:color="auto" w:fill="auto"/>
            <w:noWrap/>
            <w:vAlign w:val="bottom"/>
            <w:hideMark/>
          </w:tcPr>
          <w:p w14:paraId="0665BEE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17.000</w:t>
            </w:r>
          </w:p>
        </w:tc>
        <w:tc>
          <w:tcPr>
            <w:tcW w:w="960" w:type="dxa"/>
            <w:tcBorders>
              <w:top w:val="nil"/>
              <w:left w:val="nil"/>
              <w:bottom w:val="single" w:sz="4" w:space="0" w:color="auto"/>
              <w:right w:val="single" w:sz="4" w:space="0" w:color="auto"/>
            </w:tcBorders>
            <w:shd w:val="clear" w:color="auto" w:fill="auto"/>
            <w:noWrap/>
            <w:vAlign w:val="bottom"/>
            <w:hideMark/>
          </w:tcPr>
          <w:p w14:paraId="0858AFC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22.667</w:t>
            </w:r>
          </w:p>
        </w:tc>
        <w:tc>
          <w:tcPr>
            <w:tcW w:w="960" w:type="dxa"/>
            <w:tcBorders>
              <w:top w:val="nil"/>
              <w:left w:val="nil"/>
              <w:bottom w:val="single" w:sz="4" w:space="0" w:color="auto"/>
              <w:right w:val="single" w:sz="4" w:space="0" w:color="auto"/>
            </w:tcBorders>
            <w:shd w:val="clear" w:color="auto" w:fill="auto"/>
            <w:noWrap/>
            <w:vAlign w:val="bottom"/>
            <w:hideMark/>
          </w:tcPr>
          <w:p w14:paraId="4D5C50A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10.000</w:t>
            </w:r>
          </w:p>
        </w:tc>
        <w:tc>
          <w:tcPr>
            <w:tcW w:w="1900" w:type="dxa"/>
            <w:tcBorders>
              <w:top w:val="nil"/>
              <w:left w:val="nil"/>
              <w:bottom w:val="nil"/>
              <w:right w:val="nil"/>
            </w:tcBorders>
            <w:shd w:val="clear" w:color="auto" w:fill="auto"/>
            <w:noWrap/>
            <w:vAlign w:val="bottom"/>
            <w:hideMark/>
          </w:tcPr>
          <w:p w14:paraId="698F6EC2"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1D5904E1"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0F1456B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59</w:t>
            </w:r>
          </w:p>
        </w:tc>
        <w:tc>
          <w:tcPr>
            <w:tcW w:w="960" w:type="dxa"/>
            <w:tcBorders>
              <w:top w:val="nil"/>
              <w:left w:val="nil"/>
              <w:bottom w:val="single" w:sz="4" w:space="0" w:color="auto"/>
              <w:right w:val="single" w:sz="4" w:space="0" w:color="auto"/>
            </w:tcBorders>
            <w:shd w:val="clear" w:color="auto" w:fill="auto"/>
            <w:noWrap/>
            <w:vAlign w:val="bottom"/>
            <w:hideMark/>
          </w:tcPr>
          <w:p w14:paraId="1A4F63C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41.152</w:t>
            </w:r>
          </w:p>
        </w:tc>
        <w:tc>
          <w:tcPr>
            <w:tcW w:w="960" w:type="dxa"/>
            <w:tcBorders>
              <w:top w:val="nil"/>
              <w:left w:val="nil"/>
              <w:bottom w:val="single" w:sz="4" w:space="0" w:color="auto"/>
              <w:right w:val="single" w:sz="4" w:space="0" w:color="auto"/>
            </w:tcBorders>
            <w:shd w:val="clear" w:color="auto" w:fill="auto"/>
            <w:noWrap/>
            <w:vAlign w:val="bottom"/>
            <w:hideMark/>
          </w:tcPr>
          <w:p w14:paraId="72B4879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17.905</w:t>
            </w:r>
          </w:p>
        </w:tc>
        <w:tc>
          <w:tcPr>
            <w:tcW w:w="960" w:type="dxa"/>
            <w:tcBorders>
              <w:top w:val="nil"/>
              <w:left w:val="nil"/>
              <w:bottom w:val="single" w:sz="4" w:space="0" w:color="auto"/>
              <w:right w:val="single" w:sz="4" w:space="0" w:color="auto"/>
            </w:tcBorders>
            <w:shd w:val="clear" w:color="auto" w:fill="auto"/>
            <w:noWrap/>
            <w:vAlign w:val="bottom"/>
            <w:hideMark/>
          </w:tcPr>
          <w:p w14:paraId="12C276B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33.889</w:t>
            </w:r>
          </w:p>
        </w:tc>
        <w:tc>
          <w:tcPr>
            <w:tcW w:w="960" w:type="dxa"/>
            <w:tcBorders>
              <w:top w:val="nil"/>
              <w:left w:val="nil"/>
              <w:bottom w:val="single" w:sz="4" w:space="0" w:color="auto"/>
              <w:right w:val="single" w:sz="4" w:space="0" w:color="auto"/>
            </w:tcBorders>
            <w:shd w:val="clear" w:color="auto" w:fill="auto"/>
            <w:noWrap/>
            <w:vAlign w:val="bottom"/>
            <w:hideMark/>
          </w:tcPr>
          <w:p w14:paraId="4950E94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14.978</w:t>
            </w:r>
          </w:p>
        </w:tc>
        <w:tc>
          <w:tcPr>
            <w:tcW w:w="960" w:type="dxa"/>
            <w:tcBorders>
              <w:top w:val="nil"/>
              <w:left w:val="nil"/>
              <w:bottom w:val="single" w:sz="4" w:space="0" w:color="auto"/>
              <w:right w:val="single" w:sz="4" w:space="0" w:color="auto"/>
            </w:tcBorders>
            <w:shd w:val="clear" w:color="auto" w:fill="auto"/>
            <w:noWrap/>
            <w:vAlign w:val="bottom"/>
            <w:hideMark/>
          </w:tcPr>
          <w:p w14:paraId="4012155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21.333</w:t>
            </w:r>
          </w:p>
        </w:tc>
        <w:tc>
          <w:tcPr>
            <w:tcW w:w="960" w:type="dxa"/>
            <w:tcBorders>
              <w:top w:val="nil"/>
              <w:left w:val="nil"/>
              <w:bottom w:val="single" w:sz="4" w:space="0" w:color="auto"/>
              <w:right w:val="single" w:sz="4" w:space="0" w:color="auto"/>
            </w:tcBorders>
            <w:shd w:val="clear" w:color="auto" w:fill="auto"/>
            <w:noWrap/>
            <w:vAlign w:val="bottom"/>
            <w:hideMark/>
          </w:tcPr>
          <w:p w14:paraId="10CAA96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9.578</w:t>
            </w:r>
          </w:p>
        </w:tc>
        <w:tc>
          <w:tcPr>
            <w:tcW w:w="1900" w:type="dxa"/>
            <w:tcBorders>
              <w:top w:val="nil"/>
              <w:left w:val="nil"/>
              <w:bottom w:val="nil"/>
              <w:right w:val="nil"/>
            </w:tcBorders>
            <w:shd w:val="clear" w:color="auto" w:fill="auto"/>
            <w:noWrap/>
            <w:vAlign w:val="bottom"/>
            <w:hideMark/>
          </w:tcPr>
          <w:p w14:paraId="49D2216C"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279D6C60"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7B1CDAA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60</w:t>
            </w:r>
          </w:p>
        </w:tc>
        <w:tc>
          <w:tcPr>
            <w:tcW w:w="960" w:type="dxa"/>
            <w:tcBorders>
              <w:top w:val="nil"/>
              <w:left w:val="nil"/>
              <w:bottom w:val="single" w:sz="4" w:space="0" w:color="auto"/>
              <w:right w:val="single" w:sz="4" w:space="0" w:color="auto"/>
            </w:tcBorders>
            <w:shd w:val="clear" w:color="auto" w:fill="auto"/>
            <w:noWrap/>
            <w:vAlign w:val="bottom"/>
            <w:hideMark/>
          </w:tcPr>
          <w:p w14:paraId="1CFCBA8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29.852</w:t>
            </w:r>
          </w:p>
        </w:tc>
        <w:tc>
          <w:tcPr>
            <w:tcW w:w="960" w:type="dxa"/>
            <w:tcBorders>
              <w:top w:val="nil"/>
              <w:left w:val="nil"/>
              <w:bottom w:val="single" w:sz="4" w:space="0" w:color="auto"/>
              <w:right w:val="single" w:sz="4" w:space="0" w:color="auto"/>
            </w:tcBorders>
            <w:shd w:val="clear" w:color="auto" w:fill="auto"/>
            <w:noWrap/>
            <w:vAlign w:val="bottom"/>
            <w:hideMark/>
          </w:tcPr>
          <w:p w14:paraId="268D2EC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18.288</w:t>
            </w:r>
          </w:p>
        </w:tc>
        <w:tc>
          <w:tcPr>
            <w:tcW w:w="960" w:type="dxa"/>
            <w:tcBorders>
              <w:top w:val="nil"/>
              <w:left w:val="nil"/>
              <w:bottom w:val="single" w:sz="4" w:space="0" w:color="auto"/>
              <w:right w:val="single" w:sz="4" w:space="0" w:color="auto"/>
            </w:tcBorders>
            <w:shd w:val="clear" w:color="auto" w:fill="auto"/>
            <w:noWrap/>
            <w:vAlign w:val="bottom"/>
            <w:hideMark/>
          </w:tcPr>
          <w:p w14:paraId="1149532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34.148</w:t>
            </w:r>
          </w:p>
        </w:tc>
        <w:tc>
          <w:tcPr>
            <w:tcW w:w="960" w:type="dxa"/>
            <w:tcBorders>
              <w:top w:val="nil"/>
              <w:left w:val="nil"/>
              <w:bottom w:val="single" w:sz="4" w:space="0" w:color="auto"/>
              <w:right w:val="single" w:sz="4" w:space="0" w:color="auto"/>
            </w:tcBorders>
            <w:shd w:val="clear" w:color="auto" w:fill="auto"/>
            <w:noWrap/>
            <w:vAlign w:val="bottom"/>
            <w:hideMark/>
          </w:tcPr>
          <w:p w14:paraId="4508C3F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13.044</w:t>
            </w:r>
          </w:p>
        </w:tc>
        <w:tc>
          <w:tcPr>
            <w:tcW w:w="960" w:type="dxa"/>
            <w:tcBorders>
              <w:top w:val="nil"/>
              <w:left w:val="nil"/>
              <w:bottom w:val="single" w:sz="4" w:space="0" w:color="auto"/>
              <w:right w:val="single" w:sz="4" w:space="0" w:color="auto"/>
            </w:tcBorders>
            <w:shd w:val="clear" w:color="auto" w:fill="auto"/>
            <w:noWrap/>
            <w:vAlign w:val="bottom"/>
            <w:hideMark/>
          </w:tcPr>
          <w:p w14:paraId="7C535DD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19.800</w:t>
            </w:r>
          </w:p>
        </w:tc>
        <w:tc>
          <w:tcPr>
            <w:tcW w:w="960" w:type="dxa"/>
            <w:tcBorders>
              <w:top w:val="nil"/>
              <w:left w:val="nil"/>
              <w:bottom w:val="single" w:sz="4" w:space="0" w:color="auto"/>
              <w:right w:val="single" w:sz="4" w:space="0" w:color="auto"/>
            </w:tcBorders>
            <w:shd w:val="clear" w:color="auto" w:fill="auto"/>
            <w:noWrap/>
            <w:vAlign w:val="bottom"/>
            <w:hideMark/>
          </w:tcPr>
          <w:p w14:paraId="2543929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8.267</w:t>
            </w:r>
          </w:p>
        </w:tc>
        <w:tc>
          <w:tcPr>
            <w:tcW w:w="1900" w:type="dxa"/>
            <w:tcBorders>
              <w:top w:val="nil"/>
              <w:left w:val="nil"/>
              <w:bottom w:val="nil"/>
              <w:right w:val="nil"/>
            </w:tcBorders>
            <w:shd w:val="clear" w:color="auto" w:fill="auto"/>
            <w:noWrap/>
            <w:vAlign w:val="bottom"/>
            <w:hideMark/>
          </w:tcPr>
          <w:p w14:paraId="2C5A8497"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113F4EDB"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D53585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61</w:t>
            </w:r>
          </w:p>
        </w:tc>
        <w:tc>
          <w:tcPr>
            <w:tcW w:w="960" w:type="dxa"/>
            <w:tcBorders>
              <w:top w:val="nil"/>
              <w:left w:val="nil"/>
              <w:bottom w:val="single" w:sz="4" w:space="0" w:color="auto"/>
              <w:right w:val="single" w:sz="4" w:space="0" w:color="auto"/>
            </w:tcBorders>
            <w:shd w:val="clear" w:color="auto" w:fill="auto"/>
            <w:noWrap/>
            <w:vAlign w:val="bottom"/>
            <w:hideMark/>
          </w:tcPr>
          <w:p w14:paraId="61710E0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37.006</w:t>
            </w:r>
          </w:p>
        </w:tc>
        <w:tc>
          <w:tcPr>
            <w:tcW w:w="960" w:type="dxa"/>
            <w:tcBorders>
              <w:top w:val="nil"/>
              <w:left w:val="nil"/>
              <w:bottom w:val="single" w:sz="4" w:space="0" w:color="auto"/>
              <w:right w:val="single" w:sz="4" w:space="0" w:color="auto"/>
            </w:tcBorders>
            <w:shd w:val="clear" w:color="auto" w:fill="auto"/>
            <w:noWrap/>
            <w:vAlign w:val="bottom"/>
            <w:hideMark/>
          </w:tcPr>
          <w:p w14:paraId="4933BEC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18.778</w:t>
            </w:r>
          </w:p>
        </w:tc>
        <w:tc>
          <w:tcPr>
            <w:tcW w:w="960" w:type="dxa"/>
            <w:tcBorders>
              <w:top w:val="nil"/>
              <w:left w:val="nil"/>
              <w:bottom w:val="single" w:sz="4" w:space="0" w:color="auto"/>
              <w:right w:val="single" w:sz="4" w:space="0" w:color="auto"/>
            </w:tcBorders>
            <w:shd w:val="clear" w:color="auto" w:fill="auto"/>
            <w:noWrap/>
            <w:vAlign w:val="bottom"/>
            <w:hideMark/>
          </w:tcPr>
          <w:p w14:paraId="612B379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34.889</w:t>
            </w:r>
          </w:p>
        </w:tc>
        <w:tc>
          <w:tcPr>
            <w:tcW w:w="960" w:type="dxa"/>
            <w:tcBorders>
              <w:top w:val="nil"/>
              <w:left w:val="nil"/>
              <w:bottom w:val="single" w:sz="4" w:space="0" w:color="auto"/>
              <w:right w:val="single" w:sz="4" w:space="0" w:color="auto"/>
            </w:tcBorders>
            <w:shd w:val="clear" w:color="auto" w:fill="auto"/>
            <w:noWrap/>
            <w:vAlign w:val="bottom"/>
            <w:hideMark/>
          </w:tcPr>
          <w:p w14:paraId="52000DB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11.109</w:t>
            </w:r>
          </w:p>
        </w:tc>
        <w:tc>
          <w:tcPr>
            <w:tcW w:w="960" w:type="dxa"/>
            <w:tcBorders>
              <w:top w:val="nil"/>
              <w:left w:val="nil"/>
              <w:bottom w:val="single" w:sz="4" w:space="0" w:color="auto"/>
              <w:right w:val="single" w:sz="4" w:space="0" w:color="auto"/>
            </w:tcBorders>
            <w:shd w:val="clear" w:color="auto" w:fill="auto"/>
            <w:noWrap/>
            <w:vAlign w:val="bottom"/>
            <w:hideMark/>
          </w:tcPr>
          <w:p w14:paraId="671A32D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18.333</w:t>
            </w:r>
          </w:p>
        </w:tc>
        <w:tc>
          <w:tcPr>
            <w:tcW w:w="960" w:type="dxa"/>
            <w:tcBorders>
              <w:top w:val="nil"/>
              <w:left w:val="nil"/>
              <w:bottom w:val="single" w:sz="4" w:space="0" w:color="auto"/>
              <w:right w:val="single" w:sz="4" w:space="0" w:color="auto"/>
            </w:tcBorders>
            <w:shd w:val="clear" w:color="auto" w:fill="auto"/>
            <w:noWrap/>
            <w:vAlign w:val="bottom"/>
            <w:hideMark/>
          </w:tcPr>
          <w:p w14:paraId="731D3F6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8.000</w:t>
            </w:r>
          </w:p>
        </w:tc>
        <w:tc>
          <w:tcPr>
            <w:tcW w:w="1900" w:type="dxa"/>
            <w:tcBorders>
              <w:top w:val="nil"/>
              <w:left w:val="nil"/>
              <w:bottom w:val="nil"/>
              <w:right w:val="nil"/>
            </w:tcBorders>
            <w:shd w:val="clear" w:color="auto" w:fill="auto"/>
            <w:noWrap/>
            <w:vAlign w:val="bottom"/>
            <w:hideMark/>
          </w:tcPr>
          <w:p w14:paraId="4415BEA3"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447C6FEC"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44C0E0A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62</w:t>
            </w:r>
          </w:p>
        </w:tc>
        <w:tc>
          <w:tcPr>
            <w:tcW w:w="960" w:type="dxa"/>
            <w:tcBorders>
              <w:top w:val="nil"/>
              <w:left w:val="nil"/>
              <w:bottom w:val="single" w:sz="4" w:space="0" w:color="auto"/>
              <w:right w:val="single" w:sz="4" w:space="0" w:color="auto"/>
            </w:tcBorders>
            <w:shd w:val="clear" w:color="auto" w:fill="auto"/>
            <w:noWrap/>
            <w:vAlign w:val="bottom"/>
            <w:hideMark/>
          </w:tcPr>
          <w:p w14:paraId="3677503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35.723</w:t>
            </w:r>
          </w:p>
        </w:tc>
        <w:tc>
          <w:tcPr>
            <w:tcW w:w="960" w:type="dxa"/>
            <w:tcBorders>
              <w:top w:val="nil"/>
              <w:left w:val="nil"/>
              <w:bottom w:val="single" w:sz="4" w:space="0" w:color="auto"/>
              <w:right w:val="single" w:sz="4" w:space="0" w:color="auto"/>
            </w:tcBorders>
            <w:shd w:val="clear" w:color="auto" w:fill="auto"/>
            <w:noWrap/>
            <w:vAlign w:val="bottom"/>
            <w:hideMark/>
          </w:tcPr>
          <w:p w14:paraId="1A4E31B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20.148</w:t>
            </w:r>
          </w:p>
        </w:tc>
        <w:tc>
          <w:tcPr>
            <w:tcW w:w="960" w:type="dxa"/>
            <w:tcBorders>
              <w:top w:val="nil"/>
              <w:left w:val="nil"/>
              <w:bottom w:val="single" w:sz="4" w:space="0" w:color="auto"/>
              <w:right w:val="single" w:sz="4" w:space="0" w:color="auto"/>
            </w:tcBorders>
            <w:shd w:val="clear" w:color="auto" w:fill="auto"/>
            <w:noWrap/>
            <w:vAlign w:val="bottom"/>
            <w:hideMark/>
          </w:tcPr>
          <w:p w14:paraId="44D709F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36.148</w:t>
            </w:r>
          </w:p>
        </w:tc>
        <w:tc>
          <w:tcPr>
            <w:tcW w:w="960" w:type="dxa"/>
            <w:tcBorders>
              <w:top w:val="nil"/>
              <w:left w:val="nil"/>
              <w:bottom w:val="single" w:sz="4" w:space="0" w:color="auto"/>
              <w:right w:val="single" w:sz="4" w:space="0" w:color="auto"/>
            </w:tcBorders>
            <w:shd w:val="clear" w:color="auto" w:fill="auto"/>
            <w:noWrap/>
            <w:vAlign w:val="bottom"/>
            <w:hideMark/>
          </w:tcPr>
          <w:p w14:paraId="08A6D8B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11.000</w:t>
            </w:r>
          </w:p>
        </w:tc>
        <w:tc>
          <w:tcPr>
            <w:tcW w:w="960" w:type="dxa"/>
            <w:tcBorders>
              <w:top w:val="nil"/>
              <w:left w:val="nil"/>
              <w:bottom w:val="single" w:sz="4" w:space="0" w:color="auto"/>
              <w:right w:val="single" w:sz="4" w:space="0" w:color="auto"/>
            </w:tcBorders>
            <w:shd w:val="clear" w:color="auto" w:fill="auto"/>
            <w:noWrap/>
            <w:vAlign w:val="bottom"/>
            <w:hideMark/>
          </w:tcPr>
          <w:p w14:paraId="03D4F25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18.867</w:t>
            </w:r>
          </w:p>
        </w:tc>
        <w:tc>
          <w:tcPr>
            <w:tcW w:w="960" w:type="dxa"/>
            <w:tcBorders>
              <w:top w:val="nil"/>
              <w:left w:val="nil"/>
              <w:bottom w:val="single" w:sz="4" w:space="0" w:color="auto"/>
              <w:right w:val="single" w:sz="4" w:space="0" w:color="auto"/>
            </w:tcBorders>
            <w:shd w:val="clear" w:color="auto" w:fill="auto"/>
            <w:noWrap/>
            <w:vAlign w:val="bottom"/>
            <w:hideMark/>
          </w:tcPr>
          <w:p w14:paraId="1B6107B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8.000</w:t>
            </w:r>
          </w:p>
        </w:tc>
        <w:tc>
          <w:tcPr>
            <w:tcW w:w="1900" w:type="dxa"/>
            <w:tcBorders>
              <w:top w:val="nil"/>
              <w:left w:val="nil"/>
              <w:bottom w:val="nil"/>
              <w:right w:val="nil"/>
            </w:tcBorders>
            <w:shd w:val="clear" w:color="auto" w:fill="auto"/>
            <w:noWrap/>
            <w:vAlign w:val="bottom"/>
            <w:hideMark/>
          </w:tcPr>
          <w:p w14:paraId="74719560"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36202276"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74DE87E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63</w:t>
            </w:r>
          </w:p>
        </w:tc>
        <w:tc>
          <w:tcPr>
            <w:tcW w:w="960" w:type="dxa"/>
            <w:tcBorders>
              <w:top w:val="nil"/>
              <w:left w:val="nil"/>
              <w:bottom w:val="single" w:sz="4" w:space="0" w:color="auto"/>
              <w:right w:val="single" w:sz="4" w:space="0" w:color="auto"/>
            </w:tcBorders>
            <w:shd w:val="clear" w:color="auto" w:fill="auto"/>
            <w:noWrap/>
            <w:vAlign w:val="bottom"/>
            <w:hideMark/>
          </w:tcPr>
          <w:p w14:paraId="180F7FB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35.100</w:t>
            </w:r>
          </w:p>
        </w:tc>
        <w:tc>
          <w:tcPr>
            <w:tcW w:w="960" w:type="dxa"/>
            <w:tcBorders>
              <w:top w:val="nil"/>
              <w:left w:val="nil"/>
              <w:bottom w:val="single" w:sz="4" w:space="0" w:color="auto"/>
              <w:right w:val="single" w:sz="4" w:space="0" w:color="auto"/>
            </w:tcBorders>
            <w:shd w:val="clear" w:color="auto" w:fill="auto"/>
            <w:noWrap/>
            <w:vAlign w:val="bottom"/>
            <w:hideMark/>
          </w:tcPr>
          <w:p w14:paraId="25A3FD6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22.152</w:t>
            </w:r>
          </w:p>
        </w:tc>
        <w:tc>
          <w:tcPr>
            <w:tcW w:w="960" w:type="dxa"/>
            <w:tcBorders>
              <w:top w:val="nil"/>
              <w:left w:val="nil"/>
              <w:bottom w:val="single" w:sz="4" w:space="0" w:color="auto"/>
              <w:right w:val="single" w:sz="4" w:space="0" w:color="auto"/>
            </w:tcBorders>
            <w:shd w:val="clear" w:color="auto" w:fill="auto"/>
            <w:noWrap/>
            <w:vAlign w:val="bottom"/>
            <w:hideMark/>
          </w:tcPr>
          <w:p w14:paraId="1F3C40E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37.556</w:t>
            </w:r>
          </w:p>
        </w:tc>
        <w:tc>
          <w:tcPr>
            <w:tcW w:w="960" w:type="dxa"/>
            <w:tcBorders>
              <w:top w:val="nil"/>
              <w:left w:val="nil"/>
              <w:bottom w:val="single" w:sz="4" w:space="0" w:color="auto"/>
              <w:right w:val="single" w:sz="4" w:space="0" w:color="auto"/>
            </w:tcBorders>
            <w:shd w:val="clear" w:color="auto" w:fill="auto"/>
            <w:noWrap/>
            <w:vAlign w:val="bottom"/>
            <w:hideMark/>
          </w:tcPr>
          <w:p w14:paraId="6593203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10.239</w:t>
            </w:r>
          </w:p>
        </w:tc>
        <w:tc>
          <w:tcPr>
            <w:tcW w:w="960" w:type="dxa"/>
            <w:tcBorders>
              <w:top w:val="nil"/>
              <w:left w:val="nil"/>
              <w:bottom w:val="single" w:sz="4" w:space="0" w:color="auto"/>
              <w:right w:val="single" w:sz="4" w:space="0" w:color="auto"/>
            </w:tcBorders>
            <w:shd w:val="clear" w:color="auto" w:fill="auto"/>
            <w:noWrap/>
            <w:vAlign w:val="bottom"/>
            <w:hideMark/>
          </w:tcPr>
          <w:p w14:paraId="58476AD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18.200</w:t>
            </w:r>
          </w:p>
        </w:tc>
        <w:tc>
          <w:tcPr>
            <w:tcW w:w="960" w:type="dxa"/>
            <w:tcBorders>
              <w:top w:val="nil"/>
              <w:left w:val="nil"/>
              <w:bottom w:val="single" w:sz="4" w:space="0" w:color="auto"/>
              <w:right w:val="single" w:sz="4" w:space="0" w:color="auto"/>
            </w:tcBorders>
            <w:shd w:val="clear" w:color="auto" w:fill="auto"/>
            <w:noWrap/>
            <w:vAlign w:val="bottom"/>
            <w:hideMark/>
          </w:tcPr>
          <w:p w14:paraId="46DBA9C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8.000</w:t>
            </w:r>
          </w:p>
        </w:tc>
        <w:tc>
          <w:tcPr>
            <w:tcW w:w="1900" w:type="dxa"/>
            <w:tcBorders>
              <w:top w:val="nil"/>
              <w:left w:val="nil"/>
              <w:bottom w:val="nil"/>
              <w:right w:val="nil"/>
            </w:tcBorders>
            <w:shd w:val="clear" w:color="auto" w:fill="auto"/>
            <w:noWrap/>
            <w:vAlign w:val="bottom"/>
            <w:hideMark/>
          </w:tcPr>
          <w:p w14:paraId="740D1D0B"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48B3C58E"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09D6DF4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64</w:t>
            </w:r>
          </w:p>
        </w:tc>
        <w:tc>
          <w:tcPr>
            <w:tcW w:w="960" w:type="dxa"/>
            <w:tcBorders>
              <w:top w:val="nil"/>
              <w:left w:val="nil"/>
              <w:bottom w:val="single" w:sz="4" w:space="0" w:color="auto"/>
              <w:right w:val="single" w:sz="4" w:space="0" w:color="auto"/>
            </w:tcBorders>
            <w:shd w:val="clear" w:color="auto" w:fill="auto"/>
            <w:noWrap/>
            <w:vAlign w:val="bottom"/>
            <w:hideMark/>
          </w:tcPr>
          <w:p w14:paraId="133FD16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34.658</w:t>
            </w:r>
          </w:p>
        </w:tc>
        <w:tc>
          <w:tcPr>
            <w:tcW w:w="960" w:type="dxa"/>
            <w:tcBorders>
              <w:top w:val="nil"/>
              <w:left w:val="nil"/>
              <w:bottom w:val="single" w:sz="4" w:space="0" w:color="auto"/>
              <w:right w:val="single" w:sz="4" w:space="0" w:color="auto"/>
            </w:tcBorders>
            <w:shd w:val="clear" w:color="auto" w:fill="auto"/>
            <w:noWrap/>
            <w:vAlign w:val="bottom"/>
            <w:hideMark/>
          </w:tcPr>
          <w:p w14:paraId="1250270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25.667</w:t>
            </w:r>
          </w:p>
        </w:tc>
        <w:tc>
          <w:tcPr>
            <w:tcW w:w="960" w:type="dxa"/>
            <w:tcBorders>
              <w:top w:val="nil"/>
              <w:left w:val="nil"/>
              <w:bottom w:val="single" w:sz="4" w:space="0" w:color="auto"/>
              <w:right w:val="single" w:sz="4" w:space="0" w:color="auto"/>
            </w:tcBorders>
            <w:shd w:val="clear" w:color="auto" w:fill="auto"/>
            <w:noWrap/>
            <w:vAlign w:val="bottom"/>
            <w:hideMark/>
          </w:tcPr>
          <w:p w14:paraId="27F5A7C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39.111</w:t>
            </w:r>
          </w:p>
        </w:tc>
        <w:tc>
          <w:tcPr>
            <w:tcW w:w="960" w:type="dxa"/>
            <w:tcBorders>
              <w:top w:val="nil"/>
              <w:left w:val="nil"/>
              <w:bottom w:val="single" w:sz="4" w:space="0" w:color="auto"/>
              <w:right w:val="single" w:sz="4" w:space="0" w:color="auto"/>
            </w:tcBorders>
            <w:shd w:val="clear" w:color="auto" w:fill="auto"/>
            <w:noWrap/>
            <w:vAlign w:val="bottom"/>
            <w:hideMark/>
          </w:tcPr>
          <w:p w14:paraId="1633847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10.304</w:t>
            </w:r>
          </w:p>
        </w:tc>
        <w:tc>
          <w:tcPr>
            <w:tcW w:w="960" w:type="dxa"/>
            <w:tcBorders>
              <w:top w:val="nil"/>
              <w:left w:val="nil"/>
              <w:bottom w:val="single" w:sz="4" w:space="0" w:color="auto"/>
              <w:right w:val="single" w:sz="4" w:space="0" w:color="auto"/>
            </w:tcBorders>
            <w:shd w:val="clear" w:color="auto" w:fill="auto"/>
            <w:noWrap/>
            <w:vAlign w:val="bottom"/>
            <w:hideMark/>
          </w:tcPr>
          <w:p w14:paraId="516EBCE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19.933</w:t>
            </w:r>
          </w:p>
        </w:tc>
        <w:tc>
          <w:tcPr>
            <w:tcW w:w="960" w:type="dxa"/>
            <w:tcBorders>
              <w:top w:val="nil"/>
              <w:left w:val="nil"/>
              <w:bottom w:val="single" w:sz="4" w:space="0" w:color="auto"/>
              <w:right w:val="single" w:sz="4" w:space="0" w:color="auto"/>
            </w:tcBorders>
            <w:shd w:val="clear" w:color="auto" w:fill="auto"/>
            <w:noWrap/>
            <w:vAlign w:val="bottom"/>
            <w:hideMark/>
          </w:tcPr>
          <w:p w14:paraId="2050B4D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7.600</w:t>
            </w:r>
          </w:p>
        </w:tc>
        <w:tc>
          <w:tcPr>
            <w:tcW w:w="1900" w:type="dxa"/>
            <w:tcBorders>
              <w:top w:val="nil"/>
              <w:left w:val="nil"/>
              <w:bottom w:val="nil"/>
              <w:right w:val="nil"/>
            </w:tcBorders>
            <w:shd w:val="clear" w:color="auto" w:fill="auto"/>
            <w:noWrap/>
            <w:vAlign w:val="bottom"/>
            <w:hideMark/>
          </w:tcPr>
          <w:p w14:paraId="53358ECA"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3D956863"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33AEC13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65</w:t>
            </w:r>
          </w:p>
        </w:tc>
        <w:tc>
          <w:tcPr>
            <w:tcW w:w="960" w:type="dxa"/>
            <w:tcBorders>
              <w:top w:val="nil"/>
              <w:left w:val="nil"/>
              <w:bottom w:val="single" w:sz="4" w:space="0" w:color="auto"/>
              <w:right w:val="single" w:sz="4" w:space="0" w:color="auto"/>
            </w:tcBorders>
            <w:shd w:val="clear" w:color="auto" w:fill="auto"/>
            <w:noWrap/>
            <w:vAlign w:val="bottom"/>
            <w:hideMark/>
          </w:tcPr>
          <w:p w14:paraId="523617C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34.375</w:t>
            </w:r>
          </w:p>
        </w:tc>
        <w:tc>
          <w:tcPr>
            <w:tcW w:w="960" w:type="dxa"/>
            <w:tcBorders>
              <w:top w:val="nil"/>
              <w:left w:val="nil"/>
              <w:bottom w:val="single" w:sz="4" w:space="0" w:color="auto"/>
              <w:right w:val="single" w:sz="4" w:space="0" w:color="auto"/>
            </w:tcBorders>
            <w:shd w:val="clear" w:color="auto" w:fill="auto"/>
            <w:noWrap/>
            <w:vAlign w:val="bottom"/>
            <w:hideMark/>
          </w:tcPr>
          <w:p w14:paraId="003B99E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31.634</w:t>
            </w:r>
          </w:p>
        </w:tc>
        <w:tc>
          <w:tcPr>
            <w:tcW w:w="960" w:type="dxa"/>
            <w:tcBorders>
              <w:top w:val="nil"/>
              <w:left w:val="nil"/>
              <w:bottom w:val="single" w:sz="4" w:space="0" w:color="auto"/>
              <w:right w:val="single" w:sz="4" w:space="0" w:color="auto"/>
            </w:tcBorders>
            <w:shd w:val="clear" w:color="auto" w:fill="auto"/>
            <w:noWrap/>
            <w:vAlign w:val="bottom"/>
            <w:hideMark/>
          </w:tcPr>
          <w:p w14:paraId="098C97A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41.370</w:t>
            </w:r>
          </w:p>
        </w:tc>
        <w:tc>
          <w:tcPr>
            <w:tcW w:w="960" w:type="dxa"/>
            <w:tcBorders>
              <w:top w:val="nil"/>
              <w:left w:val="nil"/>
              <w:bottom w:val="single" w:sz="4" w:space="0" w:color="auto"/>
              <w:right w:val="single" w:sz="4" w:space="0" w:color="auto"/>
            </w:tcBorders>
            <w:shd w:val="clear" w:color="auto" w:fill="auto"/>
            <w:noWrap/>
            <w:vAlign w:val="bottom"/>
            <w:hideMark/>
          </w:tcPr>
          <w:p w14:paraId="71A3906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9.000</w:t>
            </w:r>
          </w:p>
        </w:tc>
        <w:tc>
          <w:tcPr>
            <w:tcW w:w="960" w:type="dxa"/>
            <w:tcBorders>
              <w:top w:val="nil"/>
              <w:left w:val="nil"/>
              <w:bottom w:val="single" w:sz="4" w:space="0" w:color="auto"/>
              <w:right w:val="single" w:sz="4" w:space="0" w:color="auto"/>
            </w:tcBorders>
            <w:shd w:val="clear" w:color="auto" w:fill="auto"/>
            <w:noWrap/>
            <w:vAlign w:val="bottom"/>
            <w:hideMark/>
          </w:tcPr>
          <w:p w14:paraId="2AE6BAD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19.333</w:t>
            </w:r>
          </w:p>
        </w:tc>
        <w:tc>
          <w:tcPr>
            <w:tcW w:w="960" w:type="dxa"/>
            <w:tcBorders>
              <w:top w:val="nil"/>
              <w:left w:val="nil"/>
              <w:bottom w:val="single" w:sz="4" w:space="0" w:color="auto"/>
              <w:right w:val="single" w:sz="4" w:space="0" w:color="auto"/>
            </w:tcBorders>
            <w:shd w:val="clear" w:color="auto" w:fill="auto"/>
            <w:noWrap/>
            <w:vAlign w:val="bottom"/>
            <w:hideMark/>
          </w:tcPr>
          <w:p w14:paraId="709B6E8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7.689</w:t>
            </w:r>
          </w:p>
        </w:tc>
        <w:tc>
          <w:tcPr>
            <w:tcW w:w="1900" w:type="dxa"/>
            <w:tcBorders>
              <w:top w:val="nil"/>
              <w:left w:val="nil"/>
              <w:bottom w:val="nil"/>
              <w:right w:val="nil"/>
            </w:tcBorders>
            <w:shd w:val="clear" w:color="auto" w:fill="auto"/>
            <w:noWrap/>
            <w:vAlign w:val="bottom"/>
            <w:hideMark/>
          </w:tcPr>
          <w:p w14:paraId="15ECEEE4"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20E9E878"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27D2635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66</w:t>
            </w:r>
          </w:p>
        </w:tc>
        <w:tc>
          <w:tcPr>
            <w:tcW w:w="960" w:type="dxa"/>
            <w:tcBorders>
              <w:top w:val="nil"/>
              <w:left w:val="nil"/>
              <w:bottom w:val="single" w:sz="4" w:space="0" w:color="auto"/>
              <w:right w:val="single" w:sz="4" w:space="0" w:color="auto"/>
            </w:tcBorders>
            <w:shd w:val="clear" w:color="auto" w:fill="auto"/>
            <w:noWrap/>
            <w:vAlign w:val="bottom"/>
            <w:hideMark/>
          </w:tcPr>
          <w:p w14:paraId="4D3A2ED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35.711</w:t>
            </w:r>
          </w:p>
        </w:tc>
        <w:tc>
          <w:tcPr>
            <w:tcW w:w="960" w:type="dxa"/>
            <w:tcBorders>
              <w:top w:val="nil"/>
              <w:left w:val="nil"/>
              <w:bottom w:val="single" w:sz="4" w:space="0" w:color="auto"/>
              <w:right w:val="single" w:sz="4" w:space="0" w:color="auto"/>
            </w:tcBorders>
            <w:shd w:val="clear" w:color="auto" w:fill="auto"/>
            <w:noWrap/>
            <w:vAlign w:val="bottom"/>
            <w:hideMark/>
          </w:tcPr>
          <w:p w14:paraId="4C22C77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29.543</w:t>
            </w:r>
          </w:p>
        </w:tc>
        <w:tc>
          <w:tcPr>
            <w:tcW w:w="960" w:type="dxa"/>
            <w:tcBorders>
              <w:top w:val="nil"/>
              <w:left w:val="nil"/>
              <w:bottom w:val="single" w:sz="4" w:space="0" w:color="auto"/>
              <w:right w:val="single" w:sz="4" w:space="0" w:color="auto"/>
            </w:tcBorders>
            <w:shd w:val="clear" w:color="auto" w:fill="auto"/>
            <w:noWrap/>
            <w:vAlign w:val="bottom"/>
            <w:hideMark/>
          </w:tcPr>
          <w:p w14:paraId="6D4AFB4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39.856</w:t>
            </w:r>
          </w:p>
        </w:tc>
        <w:tc>
          <w:tcPr>
            <w:tcW w:w="960" w:type="dxa"/>
            <w:tcBorders>
              <w:top w:val="nil"/>
              <w:left w:val="nil"/>
              <w:bottom w:val="single" w:sz="4" w:space="0" w:color="auto"/>
              <w:right w:val="single" w:sz="4" w:space="0" w:color="auto"/>
            </w:tcBorders>
            <w:shd w:val="clear" w:color="auto" w:fill="auto"/>
            <w:noWrap/>
            <w:vAlign w:val="bottom"/>
            <w:hideMark/>
          </w:tcPr>
          <w:p w14:paraId="7096542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9.000</w:t>
            </w:r>
          </w:p>
        </w:tc>
        <w:tc>
          <w:tcPr>
            <w:tcW w:w="960" w:type="dxa"/>
            <w:tcBorders>
              <w:top w:val="nil"/>
              <w:left w:val="nil"/>
              <w:bottom w:val="single" w:sz="4" w:space="0" w:color="auto"/>
              <w:right w:val="single" w:sz="4" w:space="0" w:color="auto"/>
            </w:tcBorders>
            <w:shd w:val="clear" w:color="auto" w:fill="auto"/>
            <w:noWrap/>
            <w:vAlign w:val="bottom"/>
            <w:hideMark/>
          </w:tcPr>
          <w:p w14:paraId="5226CD6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19.000</w:t>
            </w:r>
          </w:p>
        </w:tc>
        <w:tc>
          <w:tcPr>
            <w:tcW w:w="960" w:type="dxa"/>
            <w:tcBorders>
              <w:top w:val="nil"/>
              <w:left w:val="nil"/>
              <w:bottom w:val="single" w:sz="4" w:space="0" w:color="auto"/>
              <w:right w:val="single" w:sz="4" w:space="0" w:color="auto"/>
            </w:tcBorders>
            <w:shd w:val="clear" w:color="auto" w:fill="auto"/>
            <w:noWrap/>
            <w:vAlign w:val="bottom"/>
            <w:hideMark/>
          </w:tcPr>
          <w:p w14:paraId="35A2F10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8.120</w:t>
            </w:r>
          </w:p>
        </w:tc>
        <w:tc>
          <w:tcPr>
            <w:tcW w:w="1900" w:type="dxa"/>
            <w:tcBorders>
              <w:top w:val="nil"/>
              <w:left w:val="nil"/>
              <w:bottom w:val="nil"/>
              <w:right w:val="nil"/>
            </w:tcBorders>
            <w:shd w:val="clear" w:color="auto" w:fill="auto"/>
            <w:noWrap/>
            <w:vAlign w:val="bottom"/>
            <w:hideMark/>
          </w:tcPr>
          <w:p w14:paraId="4704DEF3"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623DE2DD"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4888156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67</w:t>
            </w:r>
          </w:p>
        </w:tc>
        <w:tc>
          <w:tcPr>
            <w:tcW w:w="960" w:type="dxa"/>
            <w:tcBorders>
              <w:top w:val="nil"/>
              <w:left w:val="nil"/>
              <w:bottom w:val="single" w:sz="4" w:space="0" w:color="auto"/>
              <w:right w:val="single" w:sz="4" w:space="0" w:color="auto"/>
            </w:tcBorders>
            <w:shd w:val="clear" w:color="auto" w:fill="auto"/>
            <w:noWrap/>
            <w:vAlign w:val="bottom"/>
            <w:hideMark/>
          </w:tcPr>
          <w:p w14:paraId="27AA6AD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36.241</w:t>
            </w:r>
          </w:p>
        </w:tc>
        <w:tc>
          <w:tcPr>
            <w:tcW w:w="960" w:type="dxa"/>
            <w:tcBorders>
              <w:top w:val="nil"/>
              <w:left w:val="nil"/>
              <w:bottom w:val="single" w:sz="4" w:space="0" w:color="auto"/>
              <w:right w:val="single" w:sz="4" w:space="0" w:color="auto"/>
            </w:tcBorders>
            <w:shd w:val="clear" w:color="auto" w:fill="auto"/>
            <w:noWrap/>
            <w:vAlign w:val="bottom"/>
            <w:hideMark/>
          </w:tcPr>
          <w:p w14:paraId="4FD159B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28.371</w:t>
            </w:r>
          </w:p>
        </w:tc>
        <w:tc>
          <w:tcPr>
            <w:tcW w:w="960" w:type="dxa"/>
            <w:tcBorders>
              <w:top w:val="nil"/>
              <w:left w:val="nil"/>
              <w:bottom w:val="single" w:sz="4" w:space="0" w:color="auto"/>
              <w:right w:val="single" w:sz="4" w:space="0" w:color="auto"/>
            </w:tcBorders>
            <w:shd w:val="clear" w:color="auto" w:fill="auto"/>
            <w:noWrap/>
            <w:vAlign w:val="bottom"/>
            <w:hideMark/>
          </w:tcPr>
          <w:p w14:paraId="2D6C011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38.448</w:t>
            </w:r>
          </w:p>
        </w:tc>
        <w:tc>
          <w:tcPr>
            <w:tcW w:w="960" w:type="dxa"/>
            <w:tcBorders>
              <w:top w:val="nil"/>
              <w:left w:val="nil"/>
              <w:bottom w:val="single" w:sz="4" w:space="0" w:color="auto"/>
              <w:right w:val="single" w:sz="4" w:space="0" w:color="auto"/>
            </w:tcBorders>
            <w:shd w:val="clear" w:color="auto" w:fill="auto"/>
            <w:noWrap/>
            <w:vAlign w:val="bottom"/>
            <w:hideMark/>
          </w:tcPr>
          <w:p w14:paraId="2371FAD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9.000</w:t>
            </w:r>
          </w:p>
        </w:tc>
        <w:tc>
          <w:tcPr>
            <w:tcW w:w="960" w:type="dxa"/>
            <w:tcBorders>
              <w:top w:val="nil"/>
              <w:left w:val="nil"/>
              <w:bottom w:val="single" w:sz="4" w:space="0" w:color="auto"/>
              <w:right w:val="single" w:sz="4" w:space="0" w:color="auto"/>
            </w:tcBorders>
            <w:shd w:val="clear" w:color="auto" w:fill="auto"/>
            <w:noWrap/>
            <w:vAlign w:val="bottom"/>
            <w:hideMark/>
          </w:tcPr>
          <w:p w14:paraId="66B0C1C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17.800</w:t>
            </w:r>
          </w:p>
        </w:tc>
        <w:tc>
          <w:tcPr>
            <w:tcW w:w="960" w:type="dxa"/>
            <w:tcBorders>
              <w:top w:val="nil"/>
              <w:left w:val="nil"/>
              <w:bottom w:val="single" w:sz="4" w:space="0" w:color="auto"/>
              <w:right w:val="single" w:sz="4" w:space="0" w:color="auto"/>
            </w:tcBorders>
            <w:shd w:val="clear" w:color="auto" w:fill="auto"/>
            <w:noWrap/>
            <w:vAlign w:val="bottom"/>
            <w:hideMark/>
          </w:tcPr>
          <w:p w14:paraId="2606C78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7.987</w:t>
            </w:r>
          </w:p>
        </w:tc>
        <w:tc>
          <w:tcPr>
            <w:tcW w:w="1900" w:type="dxa"/>
            <w:tcBorders>
              <w:top w:val="nil"/>
              <w:left w:val="nil"/>
              <w:bottom w:val="nil"/>
              <w:right w:val="nil"/>
            </w:tcBorders>
            <w:shd w:val="clear" w:color="auto" w:fill="auto"/>
            <w:noWrap/>
            <w:vAlign w:val="bottom"/>
            <w:hideMark/>
          </w:tcPr>
          <w:p w14:paraId="6D2291BD"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5DB38EA6"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7B35250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68</w:t>
            </w:r>
          </w:p>
        </w:tc>
        <w:tc>
          <w:tcPr>
            <w:tcW w:w="960" w:type="dxa"/>
            <w:tcBorders>
              <w:top w:val="nil"/>
              <w:left w:val="nil"/>
              <w:bottom w:val="single" w:sz="4" w:space="0" w:color="auto"/>
              <w:right w:val="single" w:sz="4" w:space="0" w:color="auto"/>
            </w:tcBorders>
            <w:shd w:val="clear" w:color="auto" w:fill="auto"/>
            <w:noWrap/>
            <w:vAlign w:val="bottom"/>
            <w:hideMark/>
          </w:tcPr>
          <w:p w14:paraId="40D986B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37.149</w:t>
            </w:r>
          </w:p>
        </w:tc>
        <w:tc>
          <w:tcPr>
            <w:tcW w:w="960" w:type="dxa"/>
            <w:tcBorders>
              <w:top w:val="nil"/>
              <w:left w:val="nil"/>
              <w:bottom w:val="single" w:sz="4" w:space="0" w:color="auto"/>
              <w:right w:val="single" w:sz="4" w:space="0" w:color="auto"/>
            </w:tcBorders>
            <w:shd w:val="clear" w:color="auto" w:fill="auto"/>
            <w:noWrap/>
            <w:vAlign w:val="bottom"/>
            <w:hideMark/>
          </w:tcPr>
          <w:p w14:paraId="7411A49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27.657</w:t>
            </w:r>
          </w:p>
        </w:tc>
        <w:tc>
          <w:tcPr>
            <w:tcW w:w="960" w:type="dxa"/>
            <w:tcBorders>
              <w:top w:val="nil"/>
              <w:left w:val="nil"/>
              <w:bottom w:val="single" w:sz="4" w:space="0" w:color="auto"/>
              <w:right w:val="single" w:sz="4" w:space="0" w:color="auto"/>
            </w:tcBorders>
            <w:shd w:val="clear" w:color="auto" w:fill="auto"/>
            <w:noWrap/>
            <w:vAlign w:val="bottom"/>
            <w:hideMark/>
          </w:tcPr>
          <w:p w14:paraId="63E4491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37.040</w:t>
            </w:r>
          </w:p>
        </w:tc>
        <w:tc>
          <w:tcPr>
            <w:tcW w:w="960" w:type="dxa"/>
            <w:tcBorders>
              <w:top w:val="nil"/>
              <w:left w:val="nil"/>
              <w:bottom w:val="single" w:sz="4" w:space="0" w:color="auto"/>
              <w:right w:val="single" w:sz="4" w:space="0" w:color="auto"/>
            </w:tcBorders>
            <w:shd w:val="clear" w:color="auto" w:fill="auto"/>
            <w:noWrap/>
            <w:vAlign w:val="bottom"/>
            <w:hideMark/>
          </w:tcPr>
          <w:p w14:paraId="47D3CFB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8.435</w:t>
            </w:r>
          </w:p>
        </w:tc>
        <w:tc>
          <w:tcPr>
            <w:tcW w:w="960" w:type="dxa"/>
            <w:tcBorders>
              <w:top w:val="nil"/>
              <w:left w:val="nil"/>
              <w:bottom w:val="single" w:sz="4" w:space="0" w:color="auto"/>
              <w:right w:val="single" w:sz="4" w:space="0" w:color="auto"/>
            </w:tcBorders>
            <w:shd w:val="clear" w:color="auto" w:fill="auto"/>
            <w:noWrap/>
            <w:vAlign w:val="bottom"/>
            <w:hideMark/>
          </w:tcPr>
          <w:p w14:paraId="23D5793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18.333</w:t>
            </w:r>
          </w:p>
        </w:tc>
        <w:tc>
          <w:tcPr>
            <w:tcW w:w="960" w:type="dxa"/>
            <w:tcBorders>
              <w:top w:val="nil"/>
              <w:left w:val="nil"/>
              <w:bottom w:val="single" w:sz="4" w:space="0" w:color="auto"/>
              <w:right w:val="single" w:sz="4" w:space="0" w:color="auto"/>
            </w:tcBorders>
            <w:shd w:val="clear" w:color="auto" w:fill="auto"/>
            <w:noWrap/>
            <w:vAlign w:val="bottom"/>
            <w:hideMark/>
          </w:tcPr>
          <w:p w14:paraId="4F9776D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8.000</w:t>
            </w:r>
          </w:p>
        </w:tc>
        <w:tc>
          <w:tcPr>
            <w:tcW w:w="1900" w:type="dxa"/>
            <w:tcBorders>
              <w:top w:val="nil"/>
              <w:left w:val="nil"/>
              <w:bottom w:val="nil"/>
              <w:right w:val="nil"/>
            </w:tcBorders>
            <w:shd w:val="clear" w:color="auto" w:fill="auto"/>
            <w:noWrap/>
            <w:vAlign w:val="bottom"/>
            <w:hideMark/>
          </w:tcPr>
          <w:p w14:paraId="00B5E8E0"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7E430FC3"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4C7455C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69</w:t>
            </w:r>
          </w:p>
        </w:tc>
        <w:tc>
          <w:tcPr>
            <w:tcW w:w="960" w:type="dxa"/>
            <w:tcBorders>
              <w:top w:val="nil"/>
              <w:left w:val="nil"/>
              <w:bottom w:val="single" w:sz="4" w:space="0" w:color="auto"/>
              <w:right w:val="single" w:sz="4" w:space="0" w:color="auto"/>
            </w:tcBorders>
            <w:shd w:val="clear" w:color="auto" w:fill="auto"/>
            <w:noWrap/>
            <w:vAlign w:val="bottom"/>
            <w:hideMark/>
          </w:tcPr>
          <w:p w14:paraId="260B0EE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38.871</w:t>
            </w:r>
          </w:p>
        </w:tc>
        <w:tc>
          <w:tcPr>
            <w:tcW w:w="960" w:type="dxa"/>
            <w:tcBorders>
              <w:top w:val="nil"/>
              <w:left w:val="nil"/>
              <w:bottom w:val="single" w:sz="4" w:space="0" w:color="auto"/>
              <w:right w:val="single" w:sz="4" w:space="0" w:color="auto"/>
            </w:tcBorders>
            <w:shd w:val="clear" w:color="auto" w:fill="auto"/>
            <w:noWrap/>
            <w:vAlign w:val="bottom"/>
            <w:hideMark/>
          </w:tcPr>
          <w:p w14:paraId="11469CF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27.371</w:t>
            </w:r>
          </w:p>
        </w:tc>
        <w:tc>
          <w:tcPr>
            <w:tcW w:w="960" w:type="dxa"/>
            <w:tcBorders>
              <w:top w:val="nil"/>
              <w:left w:val="nil"/>
              <w:bottom w:val="single" w:sz="4" w:space="0" w:color="auto"/>
              <w:right w:val="single" w:sz="4" w:space="0" w:color="auto"/>
            </w:tcBorders>
            <w:shd w:val="clear" w:color="auto" w:fill="auto"/>
            <w:noWrap/>
            <w:vAlign w:val="bottom"/>
            <w:hideMark/>
          </w:tcPr>
          <w:p w14:paraId="5CFF7CC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35.031</w:t>
            </w:r>
          </w:p>
        </w:tc>
        <w:tc>
          <w:tcPr>
            <w:tcW w:w="960" w:type="dxa"/>
            <w:tcBorders>
              <w:top w:val="nil"/>
              <w:left w:val="nil"/>
              <w:bottom w:val="single" w:sz="4" w:space="0" w:color="auto"/>
              <w:right w:val="single" w:sz="4" w:space="0" w:color="auto"/>
            </w:tcBorders>
            <w:shd w:val="clear" w:color="auto" w:fill="auto"/>
            <w:noWrap/>
            <w:vAlign w:val="bottom"/>
            <w:hideMark/>
          </w:tcPr>
          <w:p w14:paraId="5063A79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9.000</w:t>
            </w:r>
          </w:p>
        </w:tc>
        <w:tc>
          <w:tcPr>
            <w:tcW w:w="960" w:type="dxa"/>
            <w:tcBorders>
              <w:top w:val="nil"/>
              <w:left w:val="nil"/>
              <w:bottom w:val="single" w:sz="4" w:space="0" w:color="auto"/>
              <w:right w:val="single" w:sz="4" w:space="0" w:color="auto"/>
            </w:tcBorders>
            <w:shd w:val="clear" w:color="auto" w:fill="auto"/>
            <w:noWrap/>
            <w:vAlign w:val="bottom"/>
            <w:hideMark/>
          </w:tcPr>
          <w:p w14:paraId="1A21A4B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19.000</w:t>
            </w:r>
          </w:p>
        </w:tc>
        <w:tc>
          <w:tcPr>
            <w:tcW w:w="960" w:type="dxa"/>
            <w:tcBorders>
              <w:top w:val="nil"/>
              <w:left w:val="nil"/>
              <w:bottom w:val="single" w:sz="4" w:space="0" w:color="auto"/>
              <w:right w:val="single" w:sz="4" w:space="0" w:color="auto"/>
            </w:tcBorders>
            <w:shd w:val="clear" w:color="auto" w:fill="auto"/>
            <w:noWrap/>
            <w:vAlign w:val="bottom"/>
            <w:hideMark/>
          </w:tcPr>
          <w:p w14:paraId="17B8342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7.680</w:t>
            </w:r>
          </w:p>
        </w:tc>
        <w:tc>
          <w:tcPr>
            <w:tcW w:w="1900" w:type="dxa"/>
            <w:tcBorders>
              <w:top w:val="nil"/>
              <w:left w:val="nil"/>
              <w:bottom w:val="nil"/>
              <w:right w:val="nil"/>
            </w:tcBorders>
            <w:shd w:val="clear" w:color="auto" w:fill="auto"/>
            <w:noWrap/>
            <w:vAlign w:val="bottom"/>
            <w:hideMark/>
          </w:tcPr>
          <w:p w14:paraId="10B4AC4F"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0D98B7B5"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6DC0AD7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70</w:t>
            </w:r>
          </w:p>
        </w:tc>
        <w:tc>
          <w:tcPr>
            <w:tcW w:w="960" w:type="dxa"/>
            <w:tcBorders>
              <w:top w:val="nil"/>
              <w:left w:val="nil"/>
              <w:bottom w:val="single" w:sz="4" w:space="0" w:color="auto"/>
              <w:right w:val="single" w:sz="4" w:space="0" w:color="auto"/>
            </w:tcBorders>
            <w:shd w:val="clear" w:color="auto" w:fill="auto"/>
            <w:noWrap/>
            <w:vAlign w:val="bottom"/>
            <w:hideMark/>
          </w:tcPr>
          <w:p w14:paraId="13CB915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38.614</w:t>
            </w:r>
          </w:p>
        </w:tc>
        <w:tc>
          <w:tcPr>
            <w:tcW w:w="960" w:type="dxa"/>
            <w:tcBorders>
              <w:top w:val="nil"/>
              <w:left w:val="nil"/>
              <w:bottom w:val="single" w:sz="4" w:space="0" w:color="auto"/>
              <w:right w:val="single" w:sz="4" w:space="0" w:color="auto"/>
            </w:tcBorders>
            <w:shd w:val="clear" w:color="auto" w:fill="auto"/>
            <w:noWrap/>
            <w:vAlign w:val="bottom"/>
            <w:hideMark/>
          </w:tcPr>
          <w:p w14:paraId="03945C4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27.286</w:t>
            </w:r>
          </w:p>
        </w:tc>
        <w:tc>
          <w:tcPr>
            <w:tcW w:w="960" w:type="dxa"/>
            <w:tcBorders>
              <w:top w:val="nil"/>
              <w:left w:val="nil"/>
              <w:bottom w:val="single" w:sz="4" w:space="0" w:color="auto"/>
              <w:right w:val="single" w:sz="4" w:space="0" w:color="auto"/>
            </w:tcBorders>
            <w:shd w:val="clear" w:color="auto" w:fill="auto"/>
            <w:noWrap/>
            <w:vAlign w:val="bottom"/>
            <w:hideMark/>
          </w:tcPr>
          <w:p w14:paraId="6DA3D75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35.353</w:t>
            </w:r>
          </w:p>
        </w:tc>
        <w:tc>
          <w:tcPr>
            <w:tcW w:w="960" w:type="dxa"/>
            <w:tcBorders>
              <w:top w:val="nil"/>
              <w:left w:val="nil"/>
              <w:bottom w:val="single" w:sz="4" w:space="0" w:color="auto"/>
              <w:right w:val="single" w:sz="4" w:space="0" w:color="auto"/>
            </w:tcBorders>
            <w:shd w:val="clear" w:color="auto" w:fill="auto"/>
            <w:noWrap/>
            <w:vAlign w:val="bottom"/>
            <w:hideMark/>
          </w:tcPr>
          <w:p w14:paraId="418836F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9.304</w:t>
            </w:r>
          </w:p>
        </w:tc>
        <w:tc>
          <w:tcPr>
            <w:tcW w:w="960" w:type="dxa"/>
            <w:tcBorders>
              <w:top w:val="nil"/>
              <w:left w:val="nil"/>
              <w:bottom w:val="single" w:sz="4" w:space="0" w:color="auto"/>
              <w:right w:val="single" w:sz="4" w:space="0" w:color="auto"/>
            </w:tcBorders>
            <w:shd w:val="clear" w:color="auto" w:fill="auto"/>
            <w:noWrap/>
            <w:vAlign w:val="bottom"/>
            <w:hideMark/>
          </w:tcPr>
          <w:p w14:paraId="21B2456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19.533</w:t>
            </w:r>
          </w:p>
        </w:tc>
        <w:tc>
          <w:tcPr>
            <w:tcW w:w="960" w:type="dxa"/>
            <w:tcBorders>
              <w:top w:val="nil"/>
              <w:left w:val="nil"/>
              <w:bottom w:val="single" w:sz="4" w:space="0" w:color="auto"/>
              <w:right w:val="single" w:sz="4" w:space="0" w:color="auto"/>
            </w:tcBorders>
            <w:shd w:val="clear" w:color="auto" w:fill="auto"/>
            <w:noWrap/>
            <w:vAlign w:val="bottom"/>
            <w:hideMark/>
          </w:tcPr>
          <w:p w14:paraId="4F1E454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7.436</w:t>
            </w:r>
          </w:p>
        </w:tc>
        <w:tc>
          <w:tcPr>
            <w:tcW w:w="1900" w:type="dxa"/>
            <w:tcBorders>
              <w:top w:val="nil"/>
              <w:left w:val="nil"/>
              <w:bottom w:val="nil"/>
              <w:right w:val="nil"/>
            </w:tcBorders>
            <w:shd w:val="clear" w:color="auto" w:fill="auto"/>
            <w:noWrap/>
            <w:vAlign w:val="bottom"/>
            <w:hideMark/>
          </w:tcPr>
          <w:p w14:paraId="5755B1F4"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5C4B581A"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36CC5AF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71</w:t>
            </w:r>
          </w:p>
        </w:tc>
        <w:tc>
          <w:tcPr>
            <w:tcW w:w="960" w:type="dxa"/>
            <w:tcBorders>
              <w:top w:val="nil"/>
              <w:left w:val="nil"/>
              <w:bottom w:val="single" w:sz="4" w:space="0" w:color="auto"/>
              <w:right w:val="single" w:sz="4" w:space="0" w:color="auto"/>
            </w:tcBorders>
            <w:shd w:val="clear" w:color="auto" w:fill="auto"/>
            <w:noWrap/>
            <w:vAlign w:val="bottom"/>
            <w:hideMark/>
          </w:tcPr>
          <w:p w14:paraId="58CAA91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36.743</w:t>
            </w:r>
          </w:p>
        </w:tc>
        <w:tc>
          <w:tcPr>
            <w:tcW w:w="960" w:type="dxa"/>
            <w:tcBorders>
              <w:top w:val="nil"/>
              <w:left w:val="nil"/>
              <w:bottom w:val="single" w:sz="4" w:space="0" w:color="auto"/>
              <w:right w:val="single" w:sz="4" w:space="0" w:color="auto"/>
            </w:tcBorders>
            <w:shd w:val="clear" w:color="auto" w:fill="auto"/>
            <w:noWrap/>
            <w:vAlign w:val="bottom"/>
            <w:hideMark/>
          </w:tcPr>
          <w:p w14:paraId="71C6D99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27.286</w:t>
            </w:r>
          </w:p>
        </w:tc>
        <w:tc>
          <w:tcPr>
            <w:tcW w:w="960" w:type="dxa"/>
            <w:tcBorders>
              <w:top w:val="nil"/>
              <w:left w:val="nil"/>
              <w:bottom w:val="single" w:sz="4" w:space="0" w:color="auto"/>
              <w:right w:val="single" w:sz="4" w:space="0" w:color="auto"/>
            </w:tcBorders>
            <w:shd w:val="clear" w:color="auto" w:fill="auto"/>
            <w:noWrap/>
            <w:vAlign w:val="bottom"/>
            <w:hideMark/>
          </w:tcPr>
          <w:p w14:paraId="74971D3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35.519</w:t>
            </w:r>
          </w:p>
        </w:tc>
        <w:tc>
          <w:tcPr>
            <w:tcW w:w="960" w:type="dxa"/>
            <w:tcBorders>
              <w:top w:val="nil"/>
              <w:left w:val="nil"/>
              <w:bottom w:val="single" w:sz="4" w:space="0" w:color="auto"/>
              <w:right w:val="single" w:sz="4" w:space="0" w:color="auto"/>
            </w:tcBorders>
            <w:shd w:val="clear" w:color="auto" w:fill="auto"/>
            <w:noWrap/>
            <w:vAlign w:val="bottom"/>
            <w:hideMark/>
          </w:tcPr>
          <w:p w14:paraId="6448EEB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11.000</w:t>
            </w:r>
          </w:p>
        </w:tc>
        <w:tc>
          <w:tcPr>
            <w:tcW w:w="960" w:type="dxa"/>
            <w:tcBorders>
              <w:top w:val="nil"/>
              <w:left w:val="nil"/>
              <w:bottom w:val="single" w:sz="4" w:space="0" w:color="auto"/>
              <w:right w:val="single" w:sz="4" w:space="0" w:color="auto"/>
            </w:tcBorders>
            <w:shd w:val="clear" w:color="auto" w:fill="auto"/>
            <w:noWrap/>
            <w:vAlign w:val="bottom"/>
            <w:hideMark/>
          </w:tcPr>
          <w:p w14:paraId="5CFBE38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20.667</w:t>
            </w:r>
          </w:p>
        </w:tc>
        <w:tc>
          <w:tcPr>
            <w:tcW w:w="960" w:type="dxa"/>
            <w:tcBorders>
              <w:top w:val="nil"/>
              <w:left w:val="nil"/>
              <w:bottom w:val="single" w:sz="4" w:space="0" w:color="auto"/>
              <w:right w:val="single" w:sz="4" w:space="0" w:color="auto"/>
            </w:tcBorders>
            <w:shd w:val="clear" w:color="auto" w:fill="auto"/>
            <w:noWrap/>
            <w:vAlign w:val="bottom"/>
            <w:hideMark/>
          </w:tcPr>
          <w:p w14:paraId="4654E9E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7.756</w:t>
            </w:r>
          </w:p>
        </w:tc>
        <w:tc>
          <w:tcPr>
            <w:tcW w:w="1900" w:type="dxa"/>
            <w:tcBorders>
              <w:top w:val="nil"/>
              <w:left w:val="nil"/>
              <w:bottom w:val="nil"/>
              <w:right w:val="nil"/>
            </w:tcBorders>
            <w:shd w:val="clear" w:color="auto" w:fill="auto"/>
            <w:noWrap/>
            <w:vAlign w:val="bottom"/>
            <w:hideMark/>
          </w:tcPr>
          <w:p w14:paraId="429EAC78"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38B0F60F"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17FB57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72</w:t>
            </w:r>
          </w:p>
        </w:tc>
        <w:tc>
          <w:tcPr>
            <w:tcW w:w="960" w:type="dxa"/>
            <w:tcBorders>
              <w:top w:val="nil"/>
              <w:left w:val="nil"/>
              <w:bottom w:val="single" w:sz="4" w:space="0" w:color="auto"/>
              <w:right w:val="single" w:sz="4" w:space="0" w:color="auto"/>
            </w:tcBorders>
            <w:shd w:val="clear" w:color="auto" w:fill="auto"/>
            <w:noWrap/>
            <w:vAlign w:val="bottom"/>
            <w:hideMark/>
          </w:tcPr>
          <w:p w14:paraId="2B62404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34.345</w:t>
            </w:r>
          </w:p>
        </w:tc>
        <w:tc>
          <w:tcPr>
            <w:tcW w:w="960" w:type="dxa"/>
            <w:tcBorders>
              <w:top w:val="nil"/>
              <w:left w:val="nil"/>
              <w:bottom w:val="single" w:sz="4" w:space="0" w:color="auto"/>
              <w:right w:val="single" w:sz="4" w:space="0" w:color="auto"/>
            </w:tcBorders>
            <w:shd w:val="clear" w:color="auto" w:fill="auto"/>
            <w:noWrap/>
            <w:vAlign w:val="bottom"/>
            <w:hideMark/>
          </w:tcPr>
          <w:p w14:paraId="73496CD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27.714</w:t>
            </w:r>
          </w:p>
        </w:tc>
        <w:tc>
          <w:tcPr>
            <w:tcW w:w="960" w:type="dxa"/>
            <w:tcBorders>
              <w:top w:val="nil"/>
              <w:left w:val="nil"/>
              <w:bottom w:val="single" w:sz="4" w:space="0" w:color="auto"/>
              <w:right w:val="single" w:sz="4" w:space="0" w:color="auto"/>
            </w:tcBorders>
            <w:shd w:val="clear" w:color="auto" w:fill="auto"/>
            <w:noWrap/>
            <w:vAlign w:val="bottom"/>
            <w:hideMark/>
          </w:tcPr>
          <w:p w14:paraId="62E0532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34.407</w:t>
            </w:r>
          </w:p>
        </w:tc>
        <w:tc>
          <w:tcPr>
            <w:tcW w:w="960" w:type="dxa"/>
            <w:tcBorders>
              <w:top w:val="nil"/>
              <w:left w:val="nil"/>
              <w:bottom w:val="single" w:sz="4" w:space="0" w:color="auto"/>
              <w:right w:val="single" w:sz="4" w:space="0" w:color="auto"/>
            </w:tcBorders>
            <w:shd w:val="clear" w:color="auto" w:fill="auto"/>
            <w:noWrap/>
            <w:vAlign w:val="bottom"/>
            <w:hideMark/>
          </w:tcPr>
          <w:p w14:paraId="52E31F7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12.174</w:t>
            </w:r>
          </w:p>
        </w:tc>
        <w:tc>
          <w:tcPr>
            <w:tcW w:w="960" w:type="dxa"/>
            <w:tcBorders>
              <w:top w:val="nil"/>
              <w:left w:val="nil"/>
              <w:bottom w:val="single" w:sz="4" w:space="0" w:color="auto"/>
              <w:right w:val="single" w:sz="4" w:space="0" w:color="auto"/>
            </w:tcBorders>
            <w:shd w:val="clear" w:color="auto" w:fill="auto"/>
            <w:noWrap/>
            <w:vAlign w:val="bottom"/>
            <w:hideMark/>
          </w:tcPr>
          <w:p w14:paraId="6E39F9D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21.000</w:t>
            </w:r>
          </w:p>
        </w:tc>
        <w:tc>
          <w:tcPr>
            <w:tcW w:w="960" w:type="dxa"/>
            <w:tcBorders>
              <w:top w:val="nil"/>
              <w:left w:val="nil"/>
              <w:bottom w:val="single" w:sz="4" w:space="0" w:color="auto"/>
              <w:right w:val="single" w:sz="4" w:space="0" w:color="auto"/>
            </w:tcBorders>
            <w:shd w:val="clear" w:color="auto" w:fill="auto"/>
            <w:noWrap/>
            <w:vAlign w:val="bottom"/>
            <w:hideMark/>
          </w:tcPr>
          <w:p w14:paraId="41323AA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7.400</w:t>
            </w:r>
          </w:p>
        </w:tc>
        <w:tc>
          <w:tcPr>
            <w:tcW w:w="1900" w:type="dxa"/>
            <w:tcBorders>
              <w:top w:val="nil"/>
              <w:left w:val="nil"/>
              <w:bottom w:val="nil"/>
              <w:right w:val="nil"/>
            </w:tcBorders>
            <w:shd w:val="clear" w:color="auto" w:fill="auto"/>
            <w:noWrap/>
            <w:vAlign w:val="bottom"/>
            <w:hideMark/>
          </w:tcPr>
          <w:p w14:paraId="3F018751"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17EA26D1"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77DC69C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73</w:t>
            </w:r>
          </w:p>
        </w:tc>
        <w:tc>
          <w:tcPr>
            <w:tcW w:w="960" w:type="dxa"/>
            <w:tcBorders>
              <w:top w:val="nil"/>
              <w:left w:val="nil"/>
              <w:bottom w:val="single" w:sz="4" w:space="0" w:color="auto"/>
              <w:right w:val="single" w:sz="4" w:space="0" w:color="auto"/>
            </w:tcBorders>
            <w:shd w:val="clear" w:color="auto" w:fill="auto"/>
            <w:noWrap/>
            <w:vAlign w:val="bottom"/>
            <w:hideMark/>
          </w:tcPr>
          <w:p w14:paraId="5DD3BAD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30.504</w:t>
            </w:r>
          </w:p>
        </w:tc>
        <w:tc>
          <w:tcPr>
            <w:tcW w:w="960" w:type="dxa"/>
            <w:tcBorders>
              <w:top w:val="nil"/>
              <w:left w:val="nil"/>
              <w:bottom w:val="single" w:sz="4" w:space="0" w:color="auto"/>
              <w:right w:val="single" w:sz="4" w:space="0" w:color="auto"/>
            </w:tcBorders>
            <w:shd w:val="clear" w:color="auto" w:fill="auto"/>
            <w:noWrap/>
            <w:vAlign w:val="bottom"/>
            <w:hideMark/>
          </w:tcPr>
          <w:p w14:paraId="1EB363C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28.457</w:t>
            </w:r>
          </w:p>
        </w:tc>
        <w:tc>
          <w:tcPr>
            <w:tcW w:w="960" w:type="dxa"/>
            <w:tcBorders>
              <w:top w:val="nil"/>
              <w:left w:val="nil"/>
              <w:bottom w:val="single" w:sz="4" w:space="0" w:color="auto"/>
              <w:right w:val="single" w:sz="4" w:space="0" w:color="auto"/>
            </w:tcBorders>
            <w:shd w:val="clear" w:color="auto" w:fill="auto"/>
            <w:noWrap/>
            <w:vAlign w:val="bottom"/>
            <w:hideMark/>
          </w:tcPr>
          <w:p w14:paraId="6308BB4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33.889</w:t>
            </w:r>
          </w:p>
        </w:tc>
        <w:tc>
          <w:tcPr>
            <w:tcW w:w="960" w:type="dxa"/>
            <w:tcBorders>
              <w:top w:val="nil"/>
              <w:left w:val="nil"/>
              <w:bottom w:val="single" w:sz="4" w:space="0" w:color="auto"/>
              <w:right w:val="single" w:sz="4" w:space="0" w:color="auto"/>
            </w:tcBorders>
            <w:shd w:val="clear" w:color="auto" w:fill="auto"/>
            <w:noWrap/>
            <w:vAlign w:val="bottom"/>
            <w:hideMark/>
          </w:tcPr>
          <w:p w14:paraId="6105DD7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14.000</w:t>
            </w:r>
          </w:p>
        </w:tc>
        <w:tc>
          <w:tcPr>
            <w:tcW w:w="960" w:type="dxa"/>
            <w:tcBorders>
              <w:top w:val="nil"/>
              <w:left w:val="nil"/>
              <w:bottom w:val="single" w:sz="4" w:space="0" w:color="auto"/>
              <w:right w:val="single" w:sz="4" w:space="0" w:color="auto"/>
            </w:tcBorders>
            <w:shd w:val="clear" w:color="auto" w:fill="auto"/>
            <w:noWrap/>
            <w:vAlign w:val="bottom"/>
            <w:hideMark/>
          </w:tcPr>
          <w:p w14:paraId="390E51C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21.000</w:t>
            </w:r>
          </w:p>
        </w:tc>
        <w:tc>
          <w:tcPr>
            <w:tcW w:w="960" w:type="dxa"/>
            <w:tcBorders>
              <w:top w:val="nil"/>
              <w:left w:val="nil"/>
              <w:bottom w:val="single" w:sz="4" w:space="0" w:color="auto"/>
              <w:right w:val="single" w:sz="4" w:space="0" w:color="auto"/>
            </w:tcBorders>
            <w:shd w:val="clear" w:color="auto" w:fill="auto"/>
            <w:noWrap/>
            <w:vAlign w:val="bottom"/>
            <w:hideMark/>
          </w:tcPr>
          <w:p w14:paraId="7563616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7.778</w:t>
            </w:r>
          </w:p>
        </w:tc>
        <w:tc>
          <w:tcPr>
            <w:tcW w:w="1900" w:type="dxa"/>
            <w:tcBorders>
              <w:top w:val="nil"/>
              <w:left w:val="nil"/>
              <w:bottom w:val="nil"/>
              <w:right w:val="nil"/>
            </w:tcBorders>
            <w:shd w:val="clear" w:color="auto" w:fill="auto"/>
            <w:noWrap/>
            <w:vAlign w:val="bottom"/>
            <w:hideMark/>
          </w:tcPr>
          <w:p w14:paraId="009CBC22"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27DDA092"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0CDFD7D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74</w:t>
            </w:r>
          </w:p>
        </w:tc>
        <w:tc>
          <w:tcPr>
            <w:tcW w:w="960" w:type="dxa"/>
            <w:tcBorders>
              <w:top w:val="nil"/>
              <w:left w:val="nil"/>
              <w:bottom w:val="single" w:sz="4" w:space="0" w:color="auto"/>
              <w:right w:val="single" w:sz="4" w:space="0" w:color="auto"/>
            </w:tcBorders>
            <w:shd w:val="clear" w:color="auto" w:fill="auto"/>
            <w:noWrap/>
            <w:vAlign w:val="bottom"/>
            <w:hideMark/>
          </w:tcPr>
          <w:p w14:paraId="02678BF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26.107</w:t>
            </w:r>
          </w:p>
        </w:tc>
        <w:tc>
          <w:tcPr>
            <w:tcW w:w="960" w:type="dxa"/>
            <w:tcBorders>
              <w:top w:val="nil"/>
              <w:left w:val="nil"/>
              <w:bottom w:val="single" w:sz="4" w:space="0" w:color="auto"/>
              <w:right w:val="single" w:sz="4" w:space="0" w:color="auto"/>
            </w:tcBorders>
            <w:shd w:val="clear" w:color="auto" w:fill="auto"/>
            <w:noWrap/>
            <w:vAlign w:val="bottom"/>
            <w:hideMark/>
          </w:tcPr>
          <w:p w14:paraId="5971377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29.429</w:t>
            </w:r>
          </w:p>
        </w:tc>
        <w:tc>
          <w:tcPr>
            <w:tcW w:w="960" w:type="dxa"/>
            <w:tcBorders>
              <w:top w:val="nil"/>
              <w:left w:val="nil"/>
              <w:bottom w:val="single" w:sz="4" w:space="0" w:color="auto"/>
              <w:right w:val="single" w:sz="4" w:space="0" w:color="auto"/>
            </w:tcBorders>
            <w:shd w:val="clear" w:color="auto" w:fill="auto"/>
            <w:noWrap/>
            <w:vAlign w:val="bottom"/>
            <w:hideMark/>
          </w:tcPr>
          <w:p w14:paraId="6768CEC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34.148</w:t>
            </w:r>
          </w:p>
        </w:tc>
        <w:tc>
          <w:tcPr>
            <w:tcW w:w="960" w:type="dxa"/>
            <w:tcBorders>
              <w:top w:val="nil"/>
              <w:left w:val="nil"/>
              <w:bottom w:val="single" w:sz="4" w:space="0" w:color="auto"/>
              <w:right w:val="single" w:sz="4" w:space="0" w:color="auto"/>
            </w:tcBorders>
            <w:shd w:val="clear" w:color="auto" w:fill="auto"/>
            <w:noWrap/>
            <w:vAlign w:val="bottom"/>
            <w:hideMark/>
          </w:tcPr>
          <w:p w14:paraId="3AD227A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15.087</w:t>
            </w:r>
          </w:p>
        </w:tc>
        <w:tc>
          <w:tcPr>
            <w:tcW w:w="960" w:type="dxa"/>
            <w:tcBorders>
              <w:top w:val="nil"/>
              <w:left w:val="nil"/>
              <w:bottom w:val="single" w:sz="4" w:space="0" w:color="auto"/>
              <w:right w:val="single" w:sz="4" w:space="0" w:color="auto"/>
            </w:tcBorders>
            <w:shd w:val="clear" w:color="auto" w:fill="auto"/>
            <w:noWrap/>
            <w:vAlign w:val="bottom"/>
            <w:hideMark/>
          </w:tcPr>
          <w:p w14:paraId="2B47E65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23.133</w:t>
            </w:r>
          </w:p>
        </w:tc>
        <w:tc>
          <w:tcPr>
            <w:tcW w:w="960" w:type="dxa"/>
            <w:tcBorders>
              <w:top w:val="nil"/>
              <w:left w:val="nil"/>
              <w:bottom w:val="single" w:sz="4" w:space="0" w:color="auto"/>
              <w:right w:val="single" w:sz="4" w:space="0" w:color="auto"/>
            </w:tcBorders>
            <w:shd w:val="clear" w:color="auto" w:fill="auto"/>
            <w:noWrap/>
            <w:vAlign w:val="bottom"/>
            <w:hideMark/>
          </w:tcPr>
          <w:p w14:paraId="005C8C0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8.289</w:t>
            </w:r>
          </w:p>
        </w:tc>
        <w:tc>
          <w:tcPr>
            <w:tcW w:w="1900" w:type="dxa"/>
            <w:tcBorders>
              <w:top w:val="nil"/>
              <w:left w:val="nil"/>
              <w:bottom w:val="nil"/>
              <w:right w:val="nil"/>
            </w:tcBorders>
            <w:shd w:val="clear" w:color="auto" w:fill="auto"/>
            <w:noWrap/>
            <w:vAlign w:val="bottom"/>
            <w:hideMark/>
          </w:tcPr>
          <w:p w14:paraId="7975662C"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728602F3"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7C65C93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75</w:t>
            </w:r>
          </w:p>
        </w:tc>
        <w:tc>
          <w:tcPr>
            <w:tcW w:w="960" w:type="dxa"/>
            <w:tcBorders>
              <w:top w:val="nil"/>
              <w:left w:val="nil"/>
              <w:bottom w:val="single" w:sz="4" w:space="0" w:color="auto"/>
              <w:right w:val="single" w:sz="4" w:space="0" w:color="auto"/>
            </w:tcBorders>
            <w:shd w:val="clear" w:color="auto" w:fill="auto"/>
            <w:noWrap/>
            <w:vAlign w:val="bottom"/>
            <w:hideMark/>
          </w:tcPr>
          <w:p w14:paraId="67E459E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23.542</w:t>
            </w:r>
          </w:p>
        </w:tc>
        <w:tc>
          <w:tcPr>
            <w:tcW w:w="960" w:type="dxa"/>
            <w:tcBorders>
              <w:top w:val="nil"/>
              <w:left w:val="nil"/>
              <w:bottom w:val="single" w:sz="4" w:space="0" w:color="auto"/>
              <w:right w:val="single" w:sz="4" w:space="0" w:color="auto"/>
            </w:tcBorders>
            <w:shd w:val="clear" w:color="auto" w:fill="auto"/>
            <w:noWrap/>
            <w:vAlign w:val="bottom"/>
            <w:hideMark/>
          </w:tcPr>
          <w:p w14:paraId="3E5AE67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30.771</w:t>
            </w:r>
          </w:p>
        </w:tc>
        <w:tc>
          <w:tcPr>
            <w:tcW w:w="960" w:type="dxa"/>
            <w:tcBorders>
              <w:top w:val="nil"/>
              <w:left w:val="nil"/>
              <w:bottom w:val="single" w:sz="4" w:space="0" w:color="auto"/>
              <w:right w:val="single" w:sz="4" w:space="0" w:color="auto"/>
            </w:tcBorders>
            <w:shd w:val="clear" w:color="auto" w:fill="auto"/>
            <w:noWrap/>
            <w:vAlign w:val="bottom"/>
            <w:hideMark/>
          </w:tcPr>
          <w:p w14:paraId="404919E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34.889</w:t>
            </w:r>
          </w:p>
        </w:tc>
        <w:tc>
          <w:tcPr>
            <w:tcW w:w="960" w:type="dxa"/>
            <w:tcBorders>
              <w:top w:val="nil"/>
              <w:left w:val="nil"/>
              <w:bottom w:val="single" w:sz="4" w:space="0" w:color="auto"/>
              <w:right w:val="single" w:sz="4" w:space="0" w:color="auto"/>
            </w:tcBorders>
            <w:shd w:val="clear" w:color="auto" w:fill="auto"/>
            <w:noWrap/>
            <w:vAlign w:val="bottom"/>
            <w:hideMark/>
          </w:tcPr>
          <w:p w14:paraId="4F72D01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19.022</w:t>
            </w:r>
          </w:p>
        </w:tc>
        <w:tc>
          <w:tcPr>
            <w:tcW w:w="960" w:type="dxa"/>
            <w:tcBorders>
              <w:top w:val="nil"/>
              <w:left w:val="nil"/>
              <w:bottom w:val="single" w:sz="4" w:space="0" w:color="auto"/>
              <w:right w:val="single" w:sz="4" w:space="0" w:color="auto"/>
            </w:tcBorders>
            <w:shd w:val="clear" w:color="auto" w:fill="auto"/>
            <w:noWrap/>
            <w:vAlign w:val="bottom"/>
            <w:hideMark/>
          </w:tcPr>
          <w:p w14:paraId="02A5C5C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27.000</w:t>
            </w:r>
          </w:p>
        </w:tc>
        <w:tc>
          <w:tcPr>
            <w:tcW w:w="960" w:type="dxa"/>
            <w:tcBorders>
              <w:top w:val="nil"/>
              <w:left w:val="nil"/>
              <w:bottom w:val="single" w:sz="4" w:space="0" w:color="auto"/>
              <w:right w:val="single" w:sz="4" w:space="0" w:color="auto"/>
            </w:tcBorders>
            <w:shd w:val="clear" w:color="auto" w:fill="auto"/>
            <w:noWrap/>
            <w:vAlign w:val="bottom"/>
            <w:hideMark/>
          </w:tcPr>
          <w:p w14:paraId="2CA1C28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8.200</w:t>
            </w:r>
          </w:p>
        </w:tc>
        <w:tc>
          <w:tcPr>
            <w:tcW w:w="1900" w:type="dxa"/>
            <w:tcBorders>
              <w:top w:val="nil"/>
              <w:left w:val="nil"/>
              <w:bottom w:val="nil"/>
              <w:right w:val="nil"/>
            </w:tcBorders>
            <w:shd w:val="clear" w:color="auto" w:fill="auto"/>
            <w:noWrap/>
            <w:vAlign w:val="bottom"/>
            <w:hideMark/>
          </w:tcPr>
          <w:p w14:paraId="54AFACD3"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64661A9E"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1A2C1E7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76</w:t>
            </w:r>
          </w:p>
        </w:tc>
        <w:tc>
          <w:tcPr>
            <w:tcW w:w="960" w:type="dxa"/>
            <w:tcBorders>
              <w:top w:val="nil"/>
              <w:left w:val="nil"/>
              <w:bottom w:val="single" w:sz="4" w:space="0" w:color="auto"/>
              <w:right w:val="single" w:sz="4" w:space="0" w:color="auto"/>
            </w:tcBorders>
            <w:shd w:val="clear" w:color="auto" w:fill="auto"/>
            <w:noWrap/>
            <w:vAlign w:val="bottom"/>
            <w:hideMark/>
          </w:tcPr>
          <w:p w14:paraId="299A5EC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20.248</w:t>
            </w:r>
          </w:p>
        </w:tc>
        <w:tc>
          <w:tcPr>
            <w:tcW w:w="960" w:type="dxa"/>
            <w:tcBorders>
              <w:top w:val="nil"/>
              <w:left w:val="nil"/>
              <w:bottom w:val="single" w:sz="4" w:space="0" w:color="auto"/>
              <w:right w:val="single" w:sz="4" w:space="0" w:color="auto"/>
            </w:tcBorders>
            <w:shd w:val="clear" w:color="auto" w:fill="auto"/>
            <w:noWrap/>
            <w:vAlign w:val="bottom"/>
            <w:hideMark/>
          </w:tcPr>
          <w:p w14:paraId="2232C91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32.257</w:t>
            </w:r>
          </w:p>
        </w:tc>
        <w:tc>
          <w:tcPr>
            <w:tcW w:w="960" w:type="dxa"/>
            <w:tcBorders>
              <w:top w:val="nil"/>
              <w:left w:val="nil"/>
              <w:bottom w:val="single" w:sz="4" w:space="0" w:color="auto"/>
              <w:right w:val="single" w:sz="4" w:space="0" w:color="auto"/>
            </w:tcBorders>
            <w:shd w:val="clear" w:color="auto" w:fill="auto"/>
            <w:noWrap/>
            <w:vAlign w:val="bottom"/>
            <w:hideMark/>
          </w:tcPr>
          <w:p w14:paraId="115863A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36.148</w:t>
            </w:r>
          </w:p>
        </w:tc>
        <w:tc>
          <w:tcPr>
            <w:tcW w:w="960" w:type="dxa"/>
            <w:tcBorders>
              <w:top w:val="nil"/>
              <w:left w:val="nil"/>
              <w:bottom w:val="single" w:sz="4" w:space="0" w:color="auto"/>
              <w:right w:val="single" w:sz="4" w:space="0" w:color="auto"/>
            </w:tcBorders>
            <w:shd w:val="clear" w:color="auto" w:fill="auto"/>
            <w:noWrap/>
            <w:vAlign w:val="bottom"/>
            <w:hideMark/>
          </w:tcPr>
          <w:p w14:paraId="06F496C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24.087</w:t>
            </w:r>
          </w:p>
        </w:tc>
        <w:tc>
          <w:tcPr>
            <w:tcW w:w="960" w:type="dxa"/>
            <w:tcBorders>
              <w:top w:val="nil"/>
              <w:left w:val="nil"/>
              <w:bottom w:val="single" w:sz="4" w:space="0" w:color="auto"/>
              <w:right w:val="single" w:sz="4" w:space="0" w:color="auto"/>
            </w:tcBorders>
            <w:shd w:val="clear" w:color="auto" w:fill="auto"/>
            <w:noWrap/>
            <w:vAlign w:val="bottom"/>
            <w:hideMark/>
          </w:tcPr>
          <w:p w14:paraId="7049FDB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31.000</w:t>
            </w:r>
          </w:p>
        </w:tc>
        <w:tc>
          <w:tcPr>
            <w:tcW w:w="960" w:type="dxa"/>
            <w:tcBorders>
              <w:top w:val="nil"/>
              <w:left w:val="nil"/>
              <w:bottom w:val="single" w:sz="4" w:space="0" w:color="auto"/>
              <w:right w:val="single" w:sz="4" w:space="0" w:color="auto"/>
            </w:tcBorders>
            <w:shd w:val="clear" w:color="auto" w:fill="auto"/>
            <w:noWrap/>
            <w:vAlign w:val="bottom"/>
            <w:hideMark/>
          </w:tcPr>
          <w:p w14:paraId="6197BEC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8.409</w:t>
            </w:r>
          </w:p>
        </w:tc>
        <w:tc>
          <w:tcPr>
            <w:tcW w:w="1900" w:type="dxa"/>
            <w:tcBorders>
              <w:top w:val="nil"/>
              <w:left w:val="nil"/>
              <w:bottom w:val="nil"/>
              <w:right w:val="nil"/>
            </w:tcBorders>
            <w:shd w:val="clear" w:color="auto" w:fill="auto"/>
            <w:noWrap/>
            <w:vAlign w:val="bottom"/>
            <w:hideMark/>
          </w:tcPr>
          <w:p w14:paraId="157FD6F4"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3721B6B2"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3C18004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77</w:t>
            </w:r>
          </w:p>
        </w:tc>
        <w:tc>
          <w:tcPr>
            <w:tcW w:w="960" w:type="dxa"/>
            <w:tcBorders>
              <w:top w:val="nil"/>
              <w:left w:val="nil"/>
              <w:bottom w:val="single" w:sz="4" w:space="0" w:color="auto"/>
              <w:right w:val="single" w:sz="4" w:space="0" w:color="auto"/>
            </w:tcBorders>
            <w:shd w:val="clear" w:color="auto" w:fill="auto"/>
            <w:noWrap/>
            <w:vAlign w:val="bottom"/>
            <w:hideMark/>
          </w:tcPr>
          <w:p w14:paraId="7FCF9EA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17.326</w:t>
            </w:r>
          </w:p>
        </w:tc>
        <w:tc>
          <w:tcPr>
            <w:tcW w:w="960" w:type="dxa"/>
            <w:tcBorders>
              <w:top w:val="nil"/>
              <w:left w:val="nil"/>
              <w:bottom w:val="single" w:sz="4" w:space="0" w:color="auto"/>
              <w:right w:val="single" w:sz="4" w:space="0" w:color="auto"/>
            </w:tcBorders>
            <w:shd w:val="clear" w:color="auto" w:fill="auto"/>
            <w:noWrap/>
            <w:vAlign w:val="bottom"/>
            <w:hideMark/>
          </w:tcPr>
          <w:p w14:paraId="5B07287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33.486</w:t>
            </w:r>
          </w:p>
        </w:tc>
        <w:tc>
          <w:tcPr>
            <w:tcW w:w="960" w:type="dxa"/>
            <w:tcBorders>
              <w:top w:val="nil"/>
              <w:left w:val="nil"/>
              <w:bottom w:val="single" w:sz="4" w:space="0" w:color="auto"/>
              <w:right w:val="single" w:sz="4" w:space="0" w:color="auto"/>
            </w:tcBorders>
            <w:shd w:val="clear" w:color="auto" w:fill="auto"/>
            <w:noWrap/>
            <w:vAlign w:val="bottom"/>
            <w:hideMark/>
          </w:tcPr>
          <w:p w14:paraId="3CA934E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37.556</w:t>
            </w:r>
          </w:p>
        </w:tc>
        <w:tc>
          <w:tcPr>
            <w:tcW w:w="960" w:type="dxa"/>
            <w:tcBorders>
              <w:top w:val="nil"/>
              <w:left w:val="nil"/>
              <w:bottom w:val="single" w:sz="4" w:space="0" w:color="auto"/>
              <w:right w:val="single" w:sz="4" w:space="0" w:color="auto"/>
            </w:tcBorders>
            <w:shd w:val="clear" w:color="auto" w:fill="auto"/>
            <w:noWrap/>
            <w:vAlign w:val="bottom"/>
            <w:hideMark/>
          </w:tcPr>
          <w:p w14:paraId="4260490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27.304</w:t>
            </w:r>
          </w:p>
        </w:tc>
        <w:tc>
          <w:tcPr>
            <w:tcW w:w="960" w:type="dxa"/>
            <w:tcBorders>
              <w:top w:val="nil"/>
              <w:left w:val="nil"/>
              <w:bottom w:val="single" w:sz="4" w:space="0" w:color="auto"/>
              <w:right w:val="single" w:sz="4" w:space="0" w:color="auto"/>
            </w:tcBorders>
            <w:shd w:val="clear" w:color="auto" w:fill="auto"/>
            <w:noWrap/>
            <w:vAlign w:val="bottom"/>
            <w:hideMark/>
          </w:tcPr>
          <w:p w14:paraId="02DF799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34.000</w:t>
            </w:r>
          </w:p>
        </w:tc>
        <w:tc>
          <w:tcPr>
            <w:tcW w:w="960" w:type="dxa"/>
            <w:tcBorders>
              <w:top w:val="nil"/>
              <w:left w:val="nil"/>
              <w:bottom w:val="single" w:sz="4" w:space="0" w:color="auto"/>
              <w:right w:val="single" w:sz="4" w:space="0" w:color="auto"/>
            </w:tcBorders>
            <w:shd w:val="clear" w:color="auto" w:fill="auto"/>
            <w:noWrap/>
            <w:vAlign w:val="bottom"/>
            <w:hideMark/>
          </w:tcPr>
          <w:p w14:paraId="5247CDE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8.822</w:t>
            </w:r>
          </w:p>
        </w:tc>
        <w:tc>
          <w:tcPr>
            <w:tcW w:w="1900" w:type="dxa"/>
            <w:tcBorders>
              <w:top w:val="nil"/>
              <w:left w:val="nil"/>
              <w:bottom w:val="nil"/>
              <w:right w:val="nil"/>
            </w:tcBorders>
            <w:shd w:val="clear" w:color="auto" w:fill="auto"/>
            <w:noWrap/>
            <w:vAlign w:val="bottom"/>
            <w:hideMark/>
          </w:tcPr>
          <w:p w14:paraId="27B3C88E"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22FFB80C"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236A8C9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78</w:t>
            </w:r>
          </w:p>
        </w:tc>
        <w:tc>
          <w:tcPr>
            <w:tcW w:w="960" w:type="dxa"/>
            <w:tcBorders>
              <w:top w:val="nil"/>
              <w:left w:val="nil"/>
              <w:bottom w:val="single" w:sz="4" w:space="0" w:color="auto"/>
              <w:right w:val="single" w:sz="4" w:space="0" w:color="auto"/>
            </w:tcBorders>
            <w:shd w:val="clear" w:color="auto" w:fill="auto"/>
            <w:noWrap/>
            <w:vAlign w:val="bottom"/>
            <w:hideMark/>
          </w:tcPr>
          <w:p w14:paraId="49A0C3C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15.327</w:t>
            </w:r>
          </w:p>
        </w:tc>
        <w:tc>
          <w:tcPr>
            <w:tcW w:w="960" w:type="dxa"/>
            <w:tcBorders>
              <w:top w:val="nil"/>
              <w:left w:val="nil"/>
              <w:bottom w:val="single" w:sz="4" w:space="0" w:color="auto"/>
              <w:right w:val="single" w:sz="4" w:space="0" w:color="auto"/>
            </w:tcBorders>
            <w:shd w:val="clear" w:color="auto" w:fill="auto"/>
            <w:noWrap/>
            <w:vAlign w:val="bottom"/>
            <w:hideMark/>
          </w:tcPr>
          <w:p w14:paraId="3784000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34.000</w:t>
            </w:r>
          </w:p>
        </w:tc>
        <w:tc>
          <w:tcPr>
            <w:tcW w:w="960" w:type="dxa"/>
            <w:tcBorders>
              <w:top w:val="nil"/>
              <w:left w:val="nil"/>
              <w:bottom w:val="single" w:sz="4" w:space="0" w:color="auto"/>
              <w:right w:val="single" w:sz="4" w:space="0" w:color="auto"/>
            </w:tcBorders>
            <w:shd w:val="clear" w:color="auto" w:fill="auto"/>
            <w:noWrap/>
            <w:vAlign w:val="bottom"/>
            <w:hideMark/>
          </w:tcPr>
          <w:p w14:paraId="5E02497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39.111</w:t>
            </w:r>
          </w:p>
        </w:tc>
        <w:tc>
          <w:tcPr>
            <w:tcW w:w="960" w:type="dxa"/>
            <w:tcBorders>
              <w:top w:val="nil"/>
              <w:left w:val="nil"/>
              <w:bottom w:val="single" w:sz="4" w:space="0" w:color="auto"/>
              <w:right w:val="single" w:sz="4" w:space="0" w:color="auto"/>
            </w:tcBorders>
            <w:shd w:val="clear" w:color="auto" w:fill="auto"/>
            <w:noWrap/>
            <w:vAlign w:val="bottom"/>
            <w:hideMark/>
          </w:tcPr>
          <w:p w14:paraId="18C8244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30.783</w:t>
            </w:r>
          </w:p>
        </w:tc>
        <w:tc>
          <w:tcPr>
            <w:tcW w:w="960" w:type="dxa"/>
            <w:tcBorders>
              <w:top w:val="nil"/>
              <w:left w:val="nil"/>
              <w:bottom w:val="single" w:sz="4" w:space="0" w:color="auto"/>
              <w:right w:val="single" w:sz="4" w:space="0" w:color="auto"/>
            </w:tcBorders>
            <w:shd w:val="clear" w:color="auto" w:fill="auto"/>
            <w:noWrap/>
            <w:vAlign w:val="bottom"/>
            <w:hideMark/>
          </w:tcPr>
          <w:p w14:paraId="51259D4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32.773</w:t>
            </w:r>
          </w:p>
        </w:tc>
        <w:tc>
          <w:tcPr>
            <w:tcW w:w="960" w:type="dxa"/>
            <w:tcBorders>
              <w:top w:val="nil"/>
              <w:left w:val="nil"/>
              <w:bottom w:val="single" w:sz="4" w:space="0" w:color="auto"/>
              <w:right w:val="single" w:sz="4" w:space="0" w:color="auto"/>
            </w:tcBorders>
            <w:shd w:val="clear" w:color="auto" w:fill="auto"/>
            <w:noWrap/>
            <w:vAlign w:val="bottom"/>
            <w:hideMark/>
          </w:tcPr>
          <w:p w14:paraId="2B0F779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9.000</w:t>
            </w:r>
          </w:p>
        </w:tc>
        <w:tc>
          <w:tcPr>
            <w:tcW w:w="1900" w:type="dxa"/>
            <w:tcBorders>
              <w:top w:val="nil"/>
              <w:left w:val="nil"/>
              <w:bottom w:val="nil"/>
              <w:right w:val="nil"/>
            </w:tcBorders>
            <w:shd w:val="clear" w:color="auto" w:fill="auto"/>
            <w:noWrap/>
            <w:vAlign w:val="bottom"/>
            <w:hideMark/>
          </w:tcPr>
          <w:p w14:paraId="0B6B0085"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27B1E235"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4744740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79</w:t>
            </w:r>
          </w:p>
        </w:tc>
        <w:tc>
          <w:tcPr>
            <w:tcW w:w="960" w:type="dxa"/>
            <w:tcBorders>
              <w:top w:val="nil"/>
              <w:left w:val="nil"/>
              <w:bottom w:val="single" w:sz="4" w:space="0" w:color="auto"/>
              <w:right w:val="single" w:sz="4" w:space="0" w:color="auto"/>
            </w:tcBorders>
            <w:shd w:val="clear" w:color="auto" w:fill="auto"/>
            <w:noWrap/>
            <w:vAlign w:val="bottom"/>
            <w:hideMark/>
          </w:tcPr>
          <w:p w14:paraId="28234DC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14.186</w:t>
            </w:r>
          </w:p>
        </w:tc>
        <w:tc>
          <w:tcPr>
            <w:tcW w:w="960" w:type="dxa"/>
            <w:tcBorders>
              <w:top w:val="nil"/>
              <w:left w:val="nil"/>
              <w:bottom w:val="single" w:sz="4" w:space="0" w:color="auto"/>
              <w:right w:val="single" w:sz="4" w:space="0" w:color="auto"/>
            </w:tcBorders>
            <w:shd w:val="clear" w:color="auto" w:fill="auto"/>
            <w:noWrap/>
            <w:vAlign w:val="bottom"/>
            <w:hideMark/>
          </w:tcPr>
          <w:p w14:paraId="6D6C08C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34.057</w:t>
            </w:r>
          </w:p>
        </w:tc>
        <w:tc>
          <w:tcPr>
            <w:tcW w:w="960" w:type="dxa"/>
            <w:tcBorders>
              <w:top w:val="nil"/>
              <w:left w:val="nil"/>
              <w:bottom w:val="single" w:sz="4" w:space="0" w:color="auto"/>
              <w:right w:val="single" w:sz="4" w:space="0" w:color="auto"/>
            </w:tcBorders>
            <w:shd w:val="clear" w:color="auto" w:fill="auto"/>
            <w:noWrap/>
            <w:vAlign w:val="bottom"/>
            <w:hideMark/>
          </w:tcPr>
          <w:p w14:paraId="6499EF0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36.926</w:t>
            </w:r>
          </w:p>
        </w:tc>
        <w:tc>
          <w:tcPr>
            <w:tcW w:w="960" w:type="dxa"/>
            <w:tcBorders>
              <w:top w:val="nil"/>
              <w:left w:val="nil"/>
              <w:bottom w:val="single" w:sz="4" w:space="0" w:color="auto"/>
              <w:right w:val="single" w:sz="4" w:space="0" w:color="auto"/>
            </w:tcBorders>
            <w:shd w:val="clear" w:color="auto" w:fill="auto"/>
            <w:noWrap/>
            <w:vAlign w:val="bottom"/>
            <w:hideMark/>
          </w:tcPr>
          <w:p w14:paraId="0073712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30.152</w:t>
            </w:r>
          </w:p>
        </w:tc>
        <w:tc>
          <w:tcPr>
            <w:tcW w:w="960" w:type="dxa"/>
            <w:tcBorders>
              <w:top w:val="nil"/>
              <w:left w:val="nil"/>
              <w:bottom w:val="single" w:sz="4" w:space="0" w:color="auto"/>
              <w:right w:val="single" w:sz="4" w:space="0" w:color="auto"/>
            </w:tcBorders>
            <w:shd w:val="clear" w:color="auto" w:fill="auto"/>
            <w:noWrap/>
            <w:vAlign w:val="bottom"/>
            <w:hideMark/>
          </w:tcPr>
          <w:p w14:paraId="67C8B2F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31.844</w:t>
            </w:r>
          </w:p>
        </w:tc>
        <w:tc>
          <w:tcPr>
            <w:tcW w:w="960" w:type="dxa"/>
            <w:tcBorders>
              <w:top w:val="nil"/>
              <w:left w:val="nil"/>
              <w:bottom w:val="single" w:sz="4" w:space="0" w:color="auto"/>
              <w:right w:val="single" w:sz="4" w:space="0" w:color="auto"/>
            </w:tcBorders>
            <w:shd w:val="clear" w:color="auto" w:fill="auto"/>
            <w:noWrap/>
            <w:vAlign w:val="bottom"/>
            <w:hideMark/>
          </w:tcPr>
          <w:p w14:paraId="1985B63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9.147</w:t>
            </w:r>
          </w:p>
        </w:tc>
        <w:tc>
          <w:tcPr>
            <w:tcW w:w="1900" w:type="dxa"/>
            <w:tcBorders>
              <w:top w:val="nil"/>
              <w:left w:val="nil"/>
              <w:bottom w:val="nil"/>
              <w:right w:val="nil"/>
            </w:tcBorders>
            <w:shd w:val="clear" w:color="auto" w:fill="auto"/>
            <w:noWrap/>
            <w:vAlign w:val="bottom"/>
            <w:hideMark/>
          </w:tcPr>
          <w:p w14:paraId="39AC7283"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0CACD342"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6E3FE43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80</w:t>
            </w:r>
          </w:p>
        </w:tc>
        <w:tc>
          <w:tcPr>
            <w:tcW w:w="960" w:type="dxa"/>
            <w:tcBorders>
              <w:top w:val="nil"/>
              <w:left w:val="nil"/>
              <w:bottom w:val="single" w:sz="4" w:space="0" w:color="auto"/>
              <w:right w:val="single" w:sz="4" w:space="0" w:color="auto"/>
            </w:tcBorders>
            <w:shd w:val="clear" w:color="auto" w:fill="auto"/>
            <w:noWrap/>
            <w:vAlign w:val="bottom"/>
            <w:hideMark/>
          </w:tcPr>
          <w:p w14:paraId="24221CF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13.604</w:t>
            </w:r>
          </w:p>
        </w:tc>
        <w:tc>
          <w:tcPr>
            <w:tcW w:w="960" w:type="dxa"/>
            <w:tcBorders>
              <w:top w:val="nil"/>
              <w:left w:val="nil"/>
              <w:bottom w:val="single" w:sz="4" w:space="0" w:color="auto"/>
              <w:right w:val="single" w:sz="4" w:space="0" w:color="auto"/>
            </w:tcBorders>
            <w:shd w:val="clear" w:color="auto" w:fill="auto"/>
            <w:noWrap/>
            <w:vAlign w:val="bottom"/>
            <w:hideMark/>
          </w:tcPr>
          <w:p w14:paraId="4BBD2E2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33.571</w:t>
            </w:r>
          </w:p>
        </w:tc>
        <w:tc>
          <w:tcPr>
            <w:tcW w:w="960" w:type="dxa"/>
            <w:tcBorders>
              <w:top w:val="nil"/>
              <w:left w:val="nil"/>
              <w:bottom w:val="single" w:sz="4" w:space="0" w:color="auto"/>
              <w:right w:val="single" w:sz="4" w:space="0" w:color="auto"/>
            </w:tcBorders>
            <w:shd w:val="clear" w:color="auto" w:fill="auto"/>
            <w:noWrap/>
            <w:vAlign w:val="bottom"/>
            <w:hideMark/>
          </w:tcPr>
          <w:p w14:paraId="33A1726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32.353</w:t>
            </w:r>
          </w:p>
        </w:tc>
        <w:tc>
          <w:tcPr>
            <w:tcW w:w="960" w:type="dxa"/>
            <w:tcBorders>
              <w:top w:val="nil"/>
              <w:left w:val="nil"/>
              <w:bottom w:val="single" w:sz="4" w:space="0" w:color="auto"/>
              <w:right w:val="single" w:sz="4" w:space="0" w:color="auto"/>
            </w:tcBorders>
            <w:shd w:val="clear" w:color="auto" w:fill="auto"/>
            <w:noWrap/>
            <w:vAlign w:val="bottom"/>
            <w:hideMark/>
          </w:tcPr>
          <w:p w14:paraId="53ADBAA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27.957</w:t>
            </w:r>
          </w:p>
        </w:tc>
        <w:tc>
          <w:tcPr>
            <w:tcW w:w="960" w:type="dxa"/>
            <w:tcBorders>
              <w:top w:val="nil"/>
              <w:left w:val="nil"/>
              <w:bottom w:val="single" w:sz="4" w:space="0" w:color="auto"/>
              <w:right w:val="single" w:sz="4" w:space="0" w:color="auto"/>
            </w:tcBorders>
            <w:shd w:val="clear" w:color="auto" w:fill="auto"/>
            <w:noWrap/>
            <w:vAlign w:val="bottom"/>
            <w:hideMark/>
          </w:tcPr>
          <w:p w14:paraId="4ADE29C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31.332</w:t>
            </w:r>
          </w:p>
        </w:tc>
        <w:tc>
          <w:tcPr>
            <w:tcW w:w="960" w:type="dxa"/>
            <w:tcBorders>
              <w:top w:val="nil"/>
              <w:left w:val="nil"/>
              <w:bottom w:val="single" w:sz="4" w:space="0" w:color="auto"/>
              <w:right w:val="single" w:sz="4" w:space="0" w:color="auto"/>
            </w:tcBorders>
            <w:shd w:val="clear" w:color="auto" w:fill="auto"/>
            <w:noWrap/>
            <w:vAlign w:val="bottom"/>
            <w:hideMark/>
          </w:tcPr>
          <w:p w14:paraId="47F4947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9.356</w:t>
            </w:r>
          </w:p>
        </w:tc>
        <w:tc>
          <w:tcPr>
            <w:tcW w:w="1900" w:type="dxa"/>
            <w:tcBorders>
              <w:top w:val="nil"/>
              <w:left w:val="nil"/>
              <w:bottom w:val="nil"/>
              <w:right w:val="nil"/>
            </w:tcBorders>
            <w:shd w:val="clear" w:color="auto" w:fill="auto"/>
            <w:noWrap/>
            <w:vAlign w:val="bottom"/>
            <w:hideMark/>
          </w:tcPr>
          <w:p w14:paraId="0CF0CB1D"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4AEBED3D"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D31358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81</w:t>
            </w:r>
          </w:p>
        </w:tc>
        <w:tc>
          <w:tcPr>
            <w:tcW w:w="960" w:type="dxa"/>
            <w:tcBorders>
              <w:top w:val="nil"/>
              <w:left w:val="nil"/>
              <w:bottom w:val="single" w:sz="4" w:space="0" w:color="auto"/>
              <w:right w:val="single" w:sz="4" w:space="0" w:color="auto"/>
            </w:tcBorders>
            <w:shd w:val="clear" w:color="auto" w:fill="auto"/>
            <w:noWrap/>
            <w:vAlign w:val="bottom"/>
            <w:hideMark/>
          </w:tcPr>
          <w:p w14:paraId="43DFA93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12.099</w:t>
            </w:r>
          </w:p>
        </w:tc>
        <w:tc>
          <w:tcPr>
            <w:tcW w:w="960" w:type="dxa"/>
            <w:tcBorders>
              <w:top w:val="nil"/>
              <w:left w:val="nil"/>
              <w:bottom w:val="single" w:sz="4" w:space="0" w:color="auto"/>
              <w:right w:val="single" w:sz="4" w:space="0" w:color="auto"/>
            </w:tcBorders>
            <w:shd w:val="clear" w:color="auto" w:fill="auto"/>
            <w:noWrap/>
            <w:vAlign w:val="bottom"/>
            <w:hideMark/>
          </w:tcPr>
          <w:p w14:paraId="766B00F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32.686</w:t>
            </w:r>
          </w:p>
        </w:tc>
        <w:tc>
          <w:tcPr>
            <w:tcW w:w="960" w:type="dxa"/>
            <w:tcBorders>
              <w:top w:val="nil"/>
              <w:left w:val="nil"/>
              <w:bottom w:val="single" w:sz="4" w:space="0" w:color="auto"/>
              <w:right w:val="single" w:sz="4" w:space="0" w:color="auto"/>
            </w:tcBorders>
            <w:shd w:val="clear" w:color="auto" w:fill="auto"/>
            <w:noWrap/>
            <w:vAlign w:val="bottom"/>
            <w:hideMark/>
          </w:tcPr>
          <w:p w14:paraId="0210CBB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26.601</w:t>
            </w:r>
          </w:p>
        </w:tc>
        <w:tc>
          <w:tcPr>
            <w:tcW w:w="960" w:type="dxa"/>
            <w:tcBorders>
              <w:top w:val="nil"/>
              <w:left w:val="nil"/>
              <w:bottom w:val="single" w:sz="4" w:space="0" w:color="auto"/>
              <w:right w:val="single" w:sz="4" w:space="0" w:color="auto"/>
            </w:tcBorders>
            <w:shd w:val="clear" w:color="auto" w:fill="auto"/>
            <w:noWrap/>
            <w:vAlign w:val="bottom"/>
            <w:hideMark/>
          </w:tcPr>
          <w:p w14:paraId="5964DA9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25.761</w:t>
            </w:r>
          </w:p>
        </w:tc>
        <w:tc>
          <w:tcPr>
            <w:tcW w:w="960" w:type="dxa"/>
            <w:tcBorders>
              <w:top w:val="nil"/>
              <w:left w:val="nil"/>
              <w:bottom w:val="single" w:sz="4" w:space="0" w:color="auto"/>
              <w:right w:val="single" w:sz="4" w:space="0" w:color="auto"/>
            </w:tcBorders>
            <w:shd w:val="clear" w:color="auto" w:fill="auto"/>
            <w:noWrap/>
            <w:vAlign w:val="bottom"/>
            <w:hideMark/>
          </w:tcPr>
          <w:p w14:paraId="0D21BC6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31.000</w:t>
            </w:r>
          </w:p>
        </w:tc>
        <w:tc>
          <w:tcPr>
            <w:tcW w:w="960" w:type="dxa"/>
            <w:tcBorders>
              <w:top w:val="nil"/>
              <w:left w:val="nil"/>
              <w:bottom w:val="single" w:sz="4" w:space="0" w:color="auto"/>
              <w:right w:val="single" w:sz="4" w:space="0" w:color="auto"/>
            </w:tcBorders>
            <w:shd w:val="clear" w:color="auto" w:fill="auto"/>
            <w:noWrap/>
            <w:vAlign w:val="bottom"/>
            <w:hideMark/>
          </w:tcPr>
          <w:p w14:paraId="6245901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10.067</w:t>
            </w:r>
          </w:p>
        </w:tc>
        <w:tc>
          <w:tcPr>
            <w:tcW w:w="1900" w:type="dxa"/>
            <w:tcBorders>
              <w:top w:val="nil"/>
              <w:left w:val="nil"/>
              <w:bottom w:val="nil"/>
              <w:right w:val="nil"/>
            </w:tcBorders>
            <w:shd w:val="clear" w:color="auto" w:fill="auto"/>
            <w:noWrap/>
            <w:vAlign w:val="bottom"/>
            <w:hideMark/>
          </w:tcPr>
          <w:p w14:paraId="21B57F93"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10750100"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7F917E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82</w:t>
            </w:r>
          </w:p>
        </w:tc>
        <w:tc>
          <w:tcPr>
            <w:tcW w:w="960" w:type="dxa"/>
            <w:tcBorders>
              <w:top w:val="nil"/>
              <w:left w:val="nil"/>
              <w:bottom w:val="single" w:sz="4" w:space="0" w:color="auto"/>
              <w:right w:val="single" w:sz="4" w:space="0" w:color="auto"/>
            </w:tcBorders>
            <w:shd w:val="clear" w:color="auto" w:fill="auto"/>
            <w:noWrap/>
            <w:vAlign w:val="bottom"/>
            <w:hideMark/>
          </w:tcPr>
          <w:p w14:paraId="0A16AB2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11.693</w:t>
            </w:r>
          </w:p>
        </w:tc>
        <w:tc>
          <w:tcPr>
            <w:tcW w:w="960" w:type="dxa"/>
            <w:tcBorders>
              <w:top w:val="nil"/>
              <w:left w:val="nil"/>
              <w:bottom w:val="single" w:sz="4" w:space="0" w:color="auto"/>
              <w:right w:val="single" w:sz="4" w:space="0" w:color="auto"/>
            </w:tcBorders>
            <w:shd w:val="clear" w:color="auto" w:fill="auto"/>
            <w:noWrap/>
            <w:vAlign w:val="bottom"/>
            <w:hideMark/>
          </w:tcPr>
          <w:p w14:paraId="22AF929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31.743</w:t>
            </w:r>
          </w:p>
        </w:tc>
        <w:tc>
          <w:tcPr>
            <w:tcW w:w="960" w:type="dxa"/>
            <w:tcBorders>
              <w:top w:val="nil"/>
              <w:left w:val="nil"/>
              <w:bottom w:val="single" w:sz="4" w:space="0" w:color="auto"/>
              <w:right w:val="single" w:sz="4" w:space="0" w:color="auto"/>
            </w:tcBorders>
            <w:shd w:val="clear" w:color="auto" w:fill="auto"/>
            <w:noWrap/>
            <w:vAlign w:val="bottom"/>
            <w:hideMark/>
          </w:tcPr>
          <w:p w14:paraId="4496710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25.365</w:t>
            </w:r>
          </w:p>
        </w:tc>
        <w:tc>
          <w:tcPr>
            <w:tcW w:w="960" w:type="dxa"/>
            <w:tcBorders>
              <w:top w:val="nil"/>
              <w:left w:val="nil"/>
              <w:bottom w:val="single" w:sz="4" w:space="0" w:color="auto"/>
              <w:right w:val="single" w:sz="4" w:space="0" w:color="auto"/>
            </w:tcBorders>
            <w:shd w:val="clear" w:color="auto" w:fill="auto"/>
            <w:noWrap/>
            <w:vAlign w:val="bottom"/>
            <w:hideMark/>
          </w:tcPr>
          <w:p w14:paraId="5A7B2E2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23.522</w:t>
            </w:r>
          </w:p>
        </w:tc>
        <w:tc>
          <w:tcPr>
            <w:tcW w:w="960" w:type="dxa"/>
            <w:tcBorders>
              <w:top w:val="nil"/>
              <w:left w:val="nil"/>
              <w:bottom w:val="single" w:sz="4" w:space="0" w:color="auto"/>
              <w:right w:val="single" w:sz="4" w:space="0" w:color="auto"/>
            </w:tcBorders>
            <w:shd w:val="clear" w:color="auto" w:fill="auto"/>
            <w:noWrap/>
            <w:vAlign w:val="bottom"/>
            <w:hideMark/>
          </w:tcPr>
          <w:p w14:paraId="42A562E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31.031</w:t>
            </w:r>
          </w:p>
        </w:tc>
        <w:tc>
          <w:tcPr>
            <w:tcW w:w="960" w:type="dxa"/>
            <w:tcBorders>
              <w:top w:val="nil"/>
              <w:left w:val="nil"/>
              <w:bottom w:val="single" w:sz="4" w:space="0" w:color="auto"/>
              <w:right w:val="single" w:sz="4" w:space="0" w:color="auto"/>
            </w:tcBorders>
            <w:shd w:val="clear" w:color="auto" w:fill="auto"/>
            <w:noWrap/>
            <w:vAlign w:val="bottom"/>
            <w:hideMark/>
          </w:tcPr>
          <w:p w14:paraId="5DCF491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10.978</w:t>
            </w:r>
          </w:p>
        </w:tc>
        <w:tc>
          <w:tcPr>
            <w:tcW w:w="1900" w:type="dxa"/>
            <w:tcBorders>
              <w:top w:val="nil"/>
              <w:left w:val="nil"/>
              <w:bottom w:val="nil"/>
              <w:right w:val="nil"/>
            </w:tcBorders>
            <w:shd w:val="clear" w:color="auto" w:fill="auto"/>
            <w:noWrap/>
            <w:vAlign w:val="bottom"/>
            <w:hideMark/>
          </w:tcPr>
          <w:p w14:paraId="74342B7B"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3C5EE8DA"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73B4257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lastRenderedPageBreak/>
              <w:t>83</w:t>
            </w:r>
          </w:p>
        </w:tc>
        <w:tc>
          <w:tcPr>
            <w:tcW w:w="960" w:type="dxa"/>
            <w:tcBorders>
              <w:top w:val="nil"/>
              <w:left w:val="nil"/>
              <w:bottom w:val="single" w:sz="4" w:space="0" w:color="auto"/>
              <w:right w:val="single" w:sz="4" w:space="0" w:color="auto"/>
            </w:tcBorders>
            <w:shd w:val="clear" w:color="auto" w:fill="auto"/>
            <w:noWrap/>
            <w:vAlign w:val="bottom"/>
            <w:hideMark/>
          </w:tcPr>
          <w:p w14:paraId="610DC5C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11.545</w:t>
            </w:r>
          </w:p>
        </w:tc>
        <w:tc>
          <w:tcPr>
            <w:tcW w:w="960" w:type="dxa"/>
            <w:tcBorders>
              <w:top w:val="nil"/>
              <w:left w:val="nil"/>
              <w:bottom w:val="single" w:sz="4" w:space="0" w:color="auto"/>
              <w:right w:val="single" w:sz="4" w:space="0" w:color="auto"/>
            </w:tcBorders>
            <w:shd w:val="clear" w:color="auto" w:fill="auto"/>
            <w:noWrap/>
            <w:vAlign w:val="bottom"/>
            <w:hideMark/>
          </w:tcPr>
          <w:p w14:paraId="6869603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30.829</w:t>
            </w:r>
          </w:p>
        </w:tc>
        <w:tc>
          <w:tcPr>
            <w:tcW w:w="960" w:type="dxa"/>
            <w:tcBorders>
              <w:top w:val="nil"/>
              <w:left w:val="nil"/>
              <w:bottom w:val="single" w:sz="4" w:space="0" w:color="auto"/>
              <w:right w:val="single" w:sz="4" w:space="0" w:color="auto"/>
            </w:tcBorders>
            <w:shd w:val="clear" w:color="auto" w:fill="auto"/>
            <w:noWrap/>
            <w:vAlign w:val="bottom"/>
            <w:hideMark/>
          </w:tcPr>
          <w:p w14:paraId="2D9C568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24.565</w:t>
            </w:r>
          </w:p>
        </w:tc>
        <w:tc>
          <w:tcPr>
            <w:tcW w:w="960" w:type="dxa"/>
            <w:tcBorders>
              <w:top w:val="nil"/>
              <w:left w:val="nil"/>
              <w:bottom w:val="single" w:sz="4" w:space="0" w:color="auto"/>
              <w:right w:val="single" w:sz="4" w:space="0" w:color="auto"/>
            </w:tcBorders>
            <w:shd w:val="clear" w:color="auto" w:fill="auto"/>
            <w:noWrap/>
            <w:vAlign w:val="bottom"/>
            <w:hideMark/>
          </w:tcPr>
          <w:p w14:paraId="61AF3B6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21.370</w:t>
            </w:r>
          </w:p>
        </w:tc>
        <w:tc>
          <w:tcPr>
            <w:tcW w:w="960" w:type="dxa"/>
            <w:tcBorders>
              <w:top w:val="nil"/>
              <w:left w:val="nil"/>
              <w:bottom w:val="single" w:sz="4" w:space="0" w:color="auto"/>
              <w:right w:val="single" w:sz="4" w:space="0" w:color="auto"/>
            </w:tcBorders>
            <w:shd w:val="clear" w:color="auto" w:fill="auto"/>
            <w:noWrap/>
            <w:vAlign w:val="bottom"/>
            <w:hideMark/>
          </w:tcPr>
          <w:p w14:paraId="1A869C2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31.859</w:t>
            </w:r>
          </w:p>
        </w:tc>
        <w:tc>
          <w:tcPr>
            <w:tcW w:w="960" w:type="dxa"/>
            <w:tcBorders>
              <w:top w:val="nil"/>
              <w:left w:val="nil"/>
              <w:bottom w:val="single" w:sz="4" w:space="0" w:color="auto"/>
              <w:right w:val="single" w:sz="4" w:space="0" w:color="auto"/>
            </w:tcBorders>
            <w:shd w:val="clear" w:color="auto" w:fill="auto"/>
            <w:noWrap/>
            <w:vAlign w:val="bottom"/>
            <w:hideMark/>
          </w:tcPr>
          <w:p w14:paraId="39219E2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11.000</w:t>
            </w:r>
          </w:p>
        </w:tc>
        <w:tc>
          <w:tcPr>
            <w:tcW w:w="1900" w:type="dxa"/>
            <w:tcBorders>
              <w:top w:val="nil"/>
              <w:left w:val="nil"/>
              <w:bottom w:val="nil"/>
              <w:right w:val="nil"/>
            </w:tcBorders>
            <w:shd w:val="clear" w:color="auto" w:fill="auto"/>
            <w:noWrap/>
            <w:vAlign w:val="bottom"/>
            <w:hideMark/>
          </w:tcPr>
          <w:p w14:paraId="59BCD5B2"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53A95738"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2017CF3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84</w:t>
            </w:r>
          </w:p>
        </w:tc>
        <w:tc>
          <w:tcPr>
            <w:tcW w:w="960" w:type="dxa"/>
            <w:tcBorders>
              <w:top w:val="nil"/>
              <w:left w:val="nil"/>
              <w:bottom w:val="single" w:sz="4" w:space="0" w:color="auto"/>
              <w:right w:val="single" w:sz="4" w:space="0" w:color="auto"/>
            </w:tcBorders>
            <w:shd w:val="clear" w:color="auto" w:fill="auto"/>
            <w:noWrap/>
            <w:vAlign w:val="bottom"/>
            <w:hideMark/>
          </w:tcPr>
          <w:p w14:paraId="4C75003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11.000</w:t>
            </w:r>
          </w:p>
        </w:tc>
        <w:tc>
          <w:tcPr>
            <w:tcW w:w="960" w:type="dxa"/>
            <w:tcBorders>
              <w:top w:val="nil"/>
              <w:left w:val="nil"/>
              <w:bottom w:val="single" w:sz="4" w:space="0" w:color="auto"/>
              <w:right w:val="single" w:sz="4" w:space="0" w:color="auto"/>
            </w:tcBorders>
            <w:shd w:val="clear" w:color="auto" w:fill="auto"/>
            <w:noWrap/>
            <w:vAlign w:val="bottom"/>
            <w:hideMark/>
          </w:tcPr>
          <w:p w14:paraId="3F952CC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29.971</w:t>
            </w:r>
          </w:p>
        </w:tc>
        <w:tc>
          <w:tcPr>
            <w:tcW w:w="960" w:type="dxa"/>
            <w:tcBorders>
              <w:top w:val="nil"/>
              <w:left w:val="nil"/>
              <w:bottom w:val="single" w:sz="4" w:space="0" w:color="auto"/>
              <w:right w:val="single" w:sz="4" w:space="0" w:color="auto"/>
            </w:tcBorders>
            <w:shd w:val="clear" w:color="auto" w:fill="auto"/>
            <w:noWrap/>
            <w:vAlign w:val="bottom"/>
            <w:hideMark/>
          </w:tcPr>
          <w:p w14:paraId="58E35AA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23.184</w:t>
            </w:r>
          </w:p>
        </w:tc>
        <w:tc>
          <w:tcPr>
            <w:tcW w:w="960" w:type="dxa"/>
            <w:tcBorders>
              <w:top w:val="nil"/>
              <w:left w:val="nil"/>
              <w:bottom w:val="single" w:sz="4" w:space="0" w:color="auto"/>
              <w:right w:val="single" w:sz="4" w:space="0" w:color="auto"/>
            </w:tcBorders>
            <w:shd w:val="clear" w:color="auto" w:fill="auto"/>
            <w:noWrap/>
            <w:vAlign w:val="bottom"/>
            <w:hideMark/>
          </w:tcPr>
          <w:p w14:paraId="2519B7C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22.391</w:t>
            </w:r>
          </w:p>
        </w:tc>
        <w:tc>
          <w:tcPr>
            <w:tcW w:w="960" w:type="dxa"/>
            <w:tcBorders>
              <w:top w:val="nil"/>
              <w:left w:val="nil"/>
              <w:bottom w:val="single" w:sz="4" w:space="0" w:color="auto"/>
              <w:right w:val="single" w:sz="4" w:space="0" w:color="auto"/>
            </w:tcBorders>
            <w:shd w:val="clear" w:color="auto" w:fill="auto"/>
            <w:noWrap/>
            <w:vAlign w:val="bottom"/>
            <w:hideMark/>
          </w:tcPr>
          <w:p w14:paraId="66AAF69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32.000</w:t>
            </w:r>
          </w:p>
        </w:tc>
        <w:tc>
          <w:tcPr>
            <w:tcW w:w="960" w:type="dxa"/>
            <w:tcBorders>
              <w:top w:val="nil"/>
              <w:left w:val="nil"/>
              <w:bottom w:val="single" w:sz="4" w:space="0" w:color="auto"/>
              <w:right w:val="single" w:sz="4" w:space="0" w:color="auto"/>
            </w:tcBorders>
            <w:shd w:val="clear" w:color="auto" w:fill="auto"/>
            <w:noWrap/>
            <w:vAlign w:val="bottom"/>
            <w:hideMark/>
          </w:tcPr>
          <w:p w14:paraId="47C4229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11.880</w:t>
            </w:r>
          </w:p>
        </w:tc>
        <w:tc>
          <w:tcPr>
            <w:tcW w:w="1900" w:type="dxa"/>
            <w:tcBorders>
              <w:top w:val="nil"/>
              <w:left w:val="nil"/>
              <w:bottom w:val="nil"/>
              <w:right w:val="nil"/>
            </w:tcBorders>
            <w:shd w:val="clear" w:color="auto" w:fill="auto"/>
            <w:noWrap/>
            <w:vAlign w:val="bottom"/>
            <w:hideMark/>
          </w:tcPr>
          <w:p w14:paraId="4A705CEA"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75BC9302"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2283F3D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85</w:t>
            </w:r>
          </w:p>
        </w:tc>
        <w:tc>
          <w:tcPr>
            <w:tcW w:w="960" w:type="dxa"/>
            <w:tcBorders>
              <w:top w:val="nil"/>
              <w:left w:val="nil"/>
              <w:bottom w:val="single" w:sz="4" w:space="0" w:color="auto"/>
              <w:right w:val="single" w:sz="4" w:space="0" w:color="auto"/>
            </w:tcBorders>
            <w:shd w:val="clear" w:color="auto" w:fill="auto"/>
            <w:noWrap/>
            <w:vAlign w:val="bottom"/>
            <w:hideMark/>
          </w:tcPr>
          <w:p w14:paraId="3B2F03B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11.000</w:t>
            </w:r>
          </w:p>
        </w:tc>
        <w:tc>
          <w:tcPr>
            <w:tcW w:w="960" w:type="dxa"/>
            <w:tcBorders>
              <w:top w:val="nil"/>
              <w:left w:val="nil"/>
              <w:bottom w:val="single" w:sz="4" w:space="0" w:color="auto"/>
              <w:right w:val="single" w:sz="4" w:space="0" w:color="auto"/>
            </w:tcBorders>
            <w:shd w:val="clear" w:color="auto" w:fill="auto"/>
            <w:noWrap/>
            <w:vAlign w:val="bottom"/>
            <w:hideMark/>
          </w:tcPr>
          <w:p w14:paraId="15AE06D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29.571</w:t>
            </w:r>
          </w:p>
        </w:tc>
        <w:tc>
          <w:tcPr>
            <w:tcW w:w="960" w:type="dxa"/>
            <w:tcBorders>
              <w:top w:val="nil"/>
              <w:left w:val="nil"/>
              <w:bottom w:val="single" w:sz="4" w:space="0" w:color="auto"/>
              <w:right w:val="single" w:sz="4" w:space="0" w:color="auto"/>
            </w:tcBorders>
            <w:shd w:val="clear" w:color="auto" w:fill="auto"/>
            <w:noWrap/>
            <w:vAlign w:val="bottom"/>
            <w:hideMark/>
          </w:tcPr>
          <w:p w14:paraId="5049B9B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23.000</w:t>
            </w:r>
          </w:p>
        </w:tc>
        <w:tc>
          <w:tcPr>
            <w:tcW w:w="960" w:type="dxa"/>
            <w:tcBorders>
              <w:top w:val="nil"/>
              <w:left w:val="nil"/>
              <w:bottom w:val="single" w:sz="4" w:space="0" w:color="auto"/>
              <w:right w:val="single" w:sz="4" w:space="0" w:color="auto"/>
            </w:tcBorders>
            <w:shd w:val="clear" w:color="auto" w:fill="auto"/>
            <w:noWrap/>
            <w:vAlign w:val="bottom"/>
            <w:hideMark/>
          </w:tcPr>
          <w:p w14:paraId="3766066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23.000</w:t>
            </w:r>
          </w:p>
        </w:tc>
        <w:tc>
          <w:tcPr>
            <w:tcW w:w="960" w:type="dxa"/>
            <w:tcBorders>
              <w:top w:val="nil"/>
              <w:left w:val="nil"/>
              <w:bottom w:val="single" w:sz="4" w:space="0" w:color="auto"/>
              <w:right w:val="single" w:sz="4" w:space="0" w:color="auto"/>
            </w:tcBorders>
            <w:shd w:val="clear" w:color="auto" w:fill="auto"/>
            <w:noWrap/>
            <w:vAlign w:val="bottom"/>
            <w:hideMark/>
          </w:tcPr>
          <w:p w14:paraId="6011943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32.188</w:t>
            </w:r>
          </w:p>
        </w:tc>
        <w:tc>
          <w:tcPr>
            <w:tcW w:w="960" w:type="dxa"/>
            <w:tcBorders>
              <w:top w:val="nil"/>
              <w:left w:val="nil"/>
              <w:bottom w:val="single" w:sz="4" w:space="0" w:color="auto"/>
              <w:right w:val="single" w:sz="4" w:space="0" w:color="auto"/>
            </w:tcBorders>
            <w:shd w:val="clear" w:color="auto" w:fill="auto"/>
            <w:noWrap/>
            <w:vAlign w:val="bottom"/>
            <w:hideMark/>
          </w:tcPr>
          <w:p w14:paraId="1D6FA4D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13.280</w:t>
            </w:r>
          </w:p>
        </w:tc>
        <w:tc>
          <w:tcPr>
            <w:tcW w:w="1900" w:type="dxa"/>
            <w:tcBorders>
              <w:top w:val="nil"/>
              <w:left w:val="nil"/>
              <w:bottom w:val="nil"/>
              <w:right w:val="nil"/>
            </w:tcBorders>
            <w:shd w:val="clear" w:color="auto" w:fill="auto"/>
            <w:noWrap/>
            <w:vAlign w:val="bottom"/>
            <w:hideMark/>
          </w:tcPr>
          <w:p w14:paraId="5F12F7E2"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6715C1AC"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E60A1D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86</w:t>
            </w:r>
          </w:p>
        </w:tc>
        <w:tc>
          <w:tcPr>
            <w:tcW w:w="960" w:type="dxa"/>
            <w:tcBorders>
              <w:top w:val="nil"/>
              <w:left w:val="nil"/>
              <w:bottom w:val="single" w:sz="4" w:space="0" w:color="auto"/>
              <w:right w:val="single" w:sz="4" w:space="0" w:color="auto"/>
            </w:tcBorders>
            <w:shd w:val="clear" w:color="auto" w:fill="auto"/>
            <w:noWrap/>
            <w:vAlign w:val="bottom"/>
            <w:hideMark/>
          </w:tcPr>
          <w:p w14:paraId="3C2EC27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11.000</w:t>
            </w:r>
          </w:p>
        </w:tc>
        <w:tc>
          <w:tcPr>
            <w:tcW w:w="960" w:type="dxa"/>
            <w:tcBorders>
              <w:top w:val="nil"/>
              <w:left w:val="nil"/>
              <w:bottom w:val="single" w:sz="4" w:space="0" w:color="auto"/>
              <w:right w:val="single" w:sz="4" w:space="0" w:color="auto"/>
            </w:tcBorders>
            <w:shd w:val="clear" w:color="auto" w:fill="auto"/>
            <w:noWrap/>
            <w:vAlign w:val="bottom"/>
            <w:hideMark/>
          </w:tcPr>
          <w:p w14:paraId="68E698D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28.914</w:t>
            </w:r>
          </w:p>
        </w:tc>
        <w:tc>
          <w:tcPr>
            <w:tcW w:w="960" w:type="dxa"/>
            <w:tcBorders>
              <w:top w:val="nil"/>
              <w:left w:val="nil"/>
              <w:bottom w:val="single" w:sz="4" w:space="0" w:color="auto"/>
              <w:right w:val="single" w:sz="4" w:space="0" w:color="auto"/>
            </w:tcBorders>
            <w:shd w:val="clear" w:color="auto" w:fill="auto"/>
            <w:noWrap/>
            <w:vAlign w:val="bottom"/>
            <w:hideMark/>
          </w:tcPr>
          <w:p w14:paraId="7182022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36.923</w:t>
            </w:r>
          </w:p>
        </w:tc>
        <w:tc>
          <w:tcPr>
            <w:tcW w:w="960" w:type="dxa"/>
            <w:tcBorders>
              <w:top w:val="nil"/>
              <w:left w:val="nil"/>
              <w:bottom w:val="single" w:sz="4" w:space="0" w:color="auto"/>
              <w:right w:val="single" w:sz="4" w:space="0" w:color="auto"/>
            </w:tcBorders>
            <w:shd w:val="clear" w:color="auto" w:fill="auto"/>
            <w:noWrap/>
            <w:vAlign w:val="bottom"/>
            <w:hideMark/>
          </w:tcPr>
          <w:p w14:paraId="2399D67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23.261</w:t>
            </w:r>
          </w:p>
        </w:tc>
        <w:tc>
          <w:tcPr>
            <w:tcW w:w="960" w:type="dxa"/>
            <w:tcBorders>
              <w:top w:val="nil"/>
              <w:left w:val="nil"/>
              <w:bottom w:val="single" w:sz="4" w:space="0" w:color="auto"/>
              <w:right w:val="single" w:sz="4" w:space="0" w:color="auto"/>
            </w:tcBorders>
            <w:shd w:val="clear" w:color="auto" w:fill="auto"/>
            <w:noWrap/>
            <w:vAlign w:val="bottom"/>
            <w:hideMark/>
          </w:tcPr>
          <w:p w14:paraId="5FC602A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31.981</w:t>
            </w:r>
          </w:p>
        </w:tc>
        <w:tc>
          <w:tcPr>
            <w:tcW w:w="960" w:type="dxa"/>
            <w:tcBorders>
              <w:top w:val="nil"/>
              <w:left w:val="nil"/>
              <w:bottom w:val="single" w:sz="4" w:space="0" w:color="auto"/>
              <w:right w:val="single" w:sz="4" w:space="0" w:color="auto"/>
            </w:tcBorders>
            <w:shd w:val="clear" w:color="auto" w:fill="auto"/>
            <w:noWrap/>
            <w:vAlign w:val="bottom"/>
            <w:hideMark/>
          </w:tcPr>
          <w:p w14:paraId="4A5F9B1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14.124</w:t>
            </w:r>
          </w:p>
        </w:tc>
        <w:tc>
          <w:tcPr>
            <w:tcW w:w="1900" w:type="dxa"/>
            <w:tcBorders>
              <w:top w:val="nil"/>
              <w:left w:val="nil"/>
              <w:bottom w:val="nil"/>
              <w:right w:val="nil"/>
            </w:tcBorders>
            <w:shd w:val="clear" w:color="auto" w:fill="auto"/>
            <w:noWrap/>
            <w:vAlign w:val="bottom"/>
            <w:hideMark/>
          </w:tcPr>
          <w:p w14:paraId="50CD17C5"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79289392"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48B3CCE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87</w:t>
            </w:r>
          </w:p>
        </w:tc>
        <w:tc>
          <w:tcPr>
            <w:tcW w:w="960" w:type="dxa"/>
            <w:tcBorders>
              <w:top w:val="nil"/>
              <w:left w:val="nil"/>
              <w:bottom w:val="single" w:sz="4" w:space="0" w:color="auto"/>
              <w:right w:val="single" w:sz="4" w:space="0" w:color="auto"/>
            </w:tcBorders>
            <w:shd w:val="clear" w:color="auto" w:fill="auto"/>
            <w:noWrap/>
            <w:vAlign w:val="bottom"/>
            <w:hideMark/>
          </w:tcPr>
          <w:p w14:paraId="34C8CFE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11.000</w:t>
            </w:r>
          </w:p>
        </w:tc>
        <w:tc>
          <w:tcPr>
            <w:tcW w:w="960" w:type="dxa"/>
            <w:tcBorders>
              <w:top w:val="nil"/>
              <w:left w:val="nil"/>
              <w:bottom w:val="single" w:sz="4" w:space="0" w:color="auto"/>
              <w:right w:val="single" w:sz="4" w:space="0" w:color="auto"/>
            </w:tcBorders>
            <w:shd w:val="clear" w:color="auto" w:fill="auto"/>
            <w:noWrap/>
            <w:vAlign w:val="bottom"/>
            <w:hideMark/>
          </w:tcPr>
          <w:p w14:paraId="16DD834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28.543</w:t>
            </w:r>
          </w:p>
        </w:tc>
        <w:tc>
          <w:tcPr>
            <w:tcW w:w="960" w:type="dxa"/>
            <w:tcBorders>
              <w:top w:val="nil"/>
              <w:left w:val="nil"/>
              <w:bottom w:val="single" w:sz="4" w:space="0" w:color="auto"/>
              <w:right w:val="single" w:sz="4" w:space="0" w:color="auto"/>
            </w:tcBorders>
            <w:shd w:val="clear" w:color="auto" w:fill="auto"/>
            <w:noWrap/>
            <w:vAlign w:val="bottom"/>
            <w:hideMark/>
          </w:tcPr>
          <w:p w14:paraId="4B02F06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37.000</w:t>
            </w:r>
          </w:p>
        </w:tc>
        <w:tc>
          <w:tcPr>
            <w:tcW w:w="960" w:type="dxa"/>
            <w:tcBorders>
              <w:top w:val="nil"/>
              <w:left w:val="nil"/>
              <w:bottom w:val="single" w:sz="4" w:space="0" w:color="auto"/>
              <w:right w:val="single" w:sz="4" w:space="0" w:color="auto"/>
            </w:tcBorders>
            <w:shd w:val="clear" w:color="auto" w:fill="auto"/>
            <w:noWrap/>
            <w:vAlign w:val="bottom"/>
            <w:hideMark/>
          </w:tcPr>
          <w:p w14:paraId="4ACD413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26.000</w:t>
            </w:r>
          </w:p>
        </w:tc>
        <w:tc>
          <w:tcPr>
            <w:tcW w:w="960" w:type="dxa"/>
            <w:tcBorders>
              <w:top w:val="nil"/>
              <w:left w:val="nil"/>
              <w:bottom w:val="single" w:sz="4" w:space="0" w:color="auto"/>
              <w:right w:val="single" w:sz="4" w:space="0" w:color="auto"/>
            </w:tcBorders>
            <w:shd w:val="clear" w:color="auto" w:fill="auto"/>
            <w:noWrap/>
            <w:vAlign w:val="bottom"/>
            <w:hideMark/>
          </w:tcPr>
          <w:p w14:paraId="3F4B8B6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31.297</w:t>
            </w:r>
          </w:p>
        </w:tc>
        <w:tc>
          <w:tcPr>
            <w:tcW w:w="960" w:type="dxa"/>
            <w:tcBorders>
              <w:top w:val="nil"/>
              <w:left w:val="nil"/>
              <w:bottom w:val="single" w:sz="4" w:space="0" w:color="auto"/>
              <w:right w:val="single" w:sz="4" w:space="0" w:color="auto"/>
            </w:tcBorders>
            <w:shd w:val="clear" w:color="auto" w:fill="auto"/>
            <w:noWrap/>
            <w:vAlign w:val="bottom"/>
            <w:hideMark/>
          </w:tcPr>
          <w:p w14:paraId="502F157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15.453</w:t>
            </w:r>
          </w:p>
        </w:tc>
        <w:tc>
          <w:tcPr>
            <w:tcW w:w="1900" w:type="dxa"/>
            <w:tcBorders>
              <w:top w:val="nil"/>
              <w:left w:val="nil"/>
              <w:bottom w:val="nil"/>
              <w:right w:val="nil"/>
            </w:tcBorders>
            <w:shd w:val="clear" w:color="auto" w:fill="auto"/>
            <w:noWrap/>
            <w:vAlign w:val="bottom"/>
            <w:hideMark/>
          </w:tcPr>
          <w:p w14:paraId="3957D238"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3CAA7DBC"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24B2311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88</w:t>
            </w:r>
          </w:p>
        </w:tc>
        <w:tc>
          <w:tcPr>
            <w:tcW w:w="960" w:type="dxa"/>
            <w:tcBorders>
              <w:top w:val="nil"/>
              <w:left w:val="nil"/>
              <w:bottom w:val="single" w:sz="4" w:space="0" w:color="auto"/>
              <w:right w:val="single" w:sz="4" w:space="0" w:color="auto"/>
            </w:tcBorders>
            <w:shd w:val="clear" w:color="auto" w:fill="auto"/>
            <w:noWrap/>
            <w:vAlign w:val="bottom"/>
            <w:hideMark/>
          </w:tcPr>
          <w:p w14:paraId="63120C4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11.000</w:t>
            </w:r>
          </w:p>
        </w:tc>
        <w:tc>
          <w:tcPr>
            <w:tcW w:w="960" w:type="dxa"/>
            <w:tcBorders>
              <w:top w:val="nil"/>
              <w:left w:val="nil"/>
              <w:bottom w:val="single" w:sz="4" w:space="0" w:color="auto"/>
              <w:right w:val="single" w:sz="4" w:space="0" w:color="auto"/>
            </w:tcBorders>
            <w:shd w:val="clear" w:color="auto" w:fill="auto"/>
            <w:noWrap/>
            <w:vAlign w:val="bottom"/>
            <w:hideMark/>
          </w:tcPr>
          <w:p w14:paraId="466EFB1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28.057</w:t>
            </w:r>
          </w:p>
        </w:tc>
        <w:tc>
          <w:tcPr>
            <w:tcW w:w="960" w:type="dxa"/>
            <w:tcBorders>
              <w:top w:val="nil"/>
              <w:left w:val="nil"/>
              <w:bottom w:val="single" w:sz="4" w:space="0" w:color="auto"/>
              <w:right w:val="single" w:sz="4" w:space="0" w:color="auto"/>
            </w:tcBorders>
            <w:shd w:val="clear" w:color="auto" w:fill="auto"/>
            <w:noWrap/>
            <w:vAlign w:val="bottom"/>
            <w:hideMark/>
          </w:tcPr>
          <w:p w14:paraId="2AA319F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38.077</w:t>
            </w:r>
          </w:p>
        </w:tc>
        <w:tc>
          <w:tcPr>
            <w:tcW w:w="960" w:type="dxa"/>
            <w:tcBorders>
              <w:top w:val="nil"/>
              <w:left w:val="nil"/>
              <w:bottom w:val="single" w:sz="4" w:space="0" w:color="auto"/>
              <w:right w:val="single" w:sz="4" w:space="0" w:color="auto"/>
            </w:tcBorders>
            <w:shd w:val="clear" w:color="auto" w:fill="auto"/>
            <w:noWrap/>
            <w:vAlign w:val="bottom"/>
            <w:hideMark/>
          </w:tcPr>
          <w:p w14:paraId="4E26E6B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27.000</w:t>
            </w:r>
          </w:p>
        </w:tc>
        <w:tc>
          <w:tcPr>
            <w:tcW w:w="960" w:type="dxa"/>
            <w:tcBorders>
              <w:top w:val="nil"/>
              <w:left w:val="nil"/>
              <w:bottom w:val="single" w:sz="4" w:space="0" w:color="auto"/>
              <w:right w:val="single" w:sz="4" w:space="0" w:color="auto"/>
            </w:tcBorders>
            <w:shd w:val="clear" w:color="auto" w:fill="auto"/>
            <w:noWrap/>
            <w:vAlign w:val="bottom"/>
            <w:hideMark/>
          </w:tcPr>
          <w:p w14:paraId="456D4B0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31.449</w:t>
            </w:r>
          </w:p>
        </w:tc>
        <w:tc>
          <w:tcPr>
            <w:tcW w:w="960" w:type="dxa"/>
            <w:tcBorders>
              <w:top w:val="nil"/>
              <w:left w:val="nil"/>
              <w:bottom w:val="single" w:sz="4" w:space="0" w:color="auto"/>
              <w:right w:val="single" w:sz="4" w:space="0" w:color="auto"/>
            </w:tcBorders>
            <w:shd w:val="clear" w:color="auto" w:fill="auto"/>
            <w:noWrap/>
            <w:vAlign w:val="bottom"/>
            <w:hideMark/>
          </w:tcPr>
          <w:p w14:paraId="0CE50C6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17.889</w:t>
            </w:r>
          </w:p>
        </w:tc>
        <w:tc>
          <w:tcPr>
            <w:tcW w:w="1900" w:type="dxa"/>
            <w:tcBorders>
              <w:top w:val="nil"/>
              <w:left w:val="nil"/>
              <w:bottom w:val="nil"/>
              <w:right w:val="nil"/>
            </w:tcBorders>
            <w:shd w:val="clear" w:color="auto" w:fill="auto"/>
            <w:noWrap/>
            <w:vAlign w:val="bottom"/>
            <w:hideMark/>
          </w:tcPr>
          <w:p w14:paraId="4A190390"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6986EDF6"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73A667A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89</w:t>
            </w:r>
          </w:p>
        </w:tc>
        <w:tc>
          <w:tcPr>
            <w:tcW w:w="960" w:type="dxa"/>
            <w:tcBorders>
              <w:top w:val="nil"/>
              <w:left w:val="nil"/>
              <w:bottom w:val="single" w:sz="4" w:space="0" w:color="auto"/>
              <w:right w:val="single" w:sz="4" w:space="0" w:color="auto"/>
            </w:tcBorders>
            <w:shd w:val="clear" w:color="auto" w:fill="auto"/>
            <w:noWrap/>
            <w:vAlign w:val="bottom"/>
            <w:hideMark/>
          </w:tcPr>
          <w:p w14:paraId="51E2F05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11.000</w:t>
            </w:r>
          </w:p>
        </w:tc>
        <w:tc>
          <w:tcPr>
            <w:tcW w:w="960" w:type="dxa"/>
            <w:tcBorders>
              <w:top w:val="nil"/>
              <w:left w:val="nil"/>
              <w:bottom w:val="single" w:sz="4" w:space="0" w:color="auto"/>
              <w:right w:val="single" w:sz="4" w:space="0" w:color="auto"/>
            </w:tcBorders>
            <w:shd w:val="clear" w:color="auto" w:fill="auto"/>
            <w:noWrap/>
            <w:vAlign w:val="bottom"/>
            <w:hideMark/>
          </w:tcPr>
          <w:p w14:paraId="0A2A497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27.771</w:t>
            </w:r>
          </w:p>
        </w:tc>
        <w:tc>
          <w:tcPr>
            <w:tcW w:w="960" w:type="dxa"/>
            <w:tcBorders>
              <w:top w:val="nil"/>
              <w:left w:val="nil"/>
              <w:bottom w:val="single" w:sz="4" w:space="0" w:color="auto"/>
              <w:right w:val="single" w:sz="4" w:space="0" w:color="auto"/>
            </w:tcBorders>
            <w:shd w:val="clear" w:color="auto" w:fill="auto"/>
            <w:noWrap/>
            <w:vAlign w:val="bottom"/>
            <w:hideMark/>
          </w:tcPr>
          <w:p w14:paraId="13502AC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39.000</w:t>
            </w:r>
          </w:p>
        </w:tc>
        <w:tc>
          <w:tcPr>
            <w:tcW w:w="960" w:type="dxa"/>
            <w:tcBorders>
              <w:top w:val="nil"/>
              <w:left w:val="nil"/>
              <w:bottom w:val="single" w:sz="4" w:space="0" w:color="auto"/>
              <w:right w:val="single" w:sz="4" w:space="0" w:color="auto"/>
            </w:tcBorders>
            <w:shd w:val="clear" w:color="auto" w:fill="auto"/>
            <w:noWrap/>
            <w:vAlign w:val="bottom"/>
            <w:hideMark/>
          </w:tcPr>
          <w:p w14:paraId="0584D22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29.065</w:t>
            </w:r>
          </w:p>
        </w:tc>
        <w:tc>
          <w:tcPr>
            <w:tcW w:w="960" w:type="dxa"/>
            <w:tcBorders>
              <w:top w:val="nil"/>
              <w:left w:val="nil"/>
              <w:bottom w:val="single" w:sz="4" w:space="0" w:color="auto"/>
              <w:right w:val="single" w:sz="4" w:space="0" w:color="auto"/>
            </w:tcBorders>
            <w:shd w:val="clear" w:color="auto" w:fill="auto"/>
            <w:noWrap/>
            <w:vAlign w:val="bottom"/>
            <w:hideMark/>
          </w:tcPr>
          <w:p w14:paraId="537F0A2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30.500</w:t>
            </w:r>
          </w:p>
        </w:tc>
        <w:tc>
          <w:tcPr>
            <w:tcW w:w="960" w:type="dxa"/>
            <w:tcBorders>
              <w:top w:val="nil"/>
              <w:left w:val="nil"/>
              <w:bottom w:val="single" w:sz="4" w:space="0" w:color="auto"/>
              <w:right w:val="single" w:sz="4" w:space="0" w:color="auto"/>
            </w:tcBorders>
            <w:shd w:val="clear" w:color="auto" w:fill="auto"/>
            <w:noWrap/>
            <w:vAlign w:val="bottom"/>
            <w:hideMark/>
          </w:tcPr>
          <w:p w14:paraId="4BB5F1F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21.124</w:t>
            </w:r>
          </w:p>
        </w:tc>
        <w:tc>
          <w:tcPr>
            <w:tcW w:w="1900" w:type="dxa"/>
            <w:tcBorders>
              <w:top w:val="nil"/>
              <w:left w:val="nil"/>
              <w:bottom w:val="nil"/>
              <w:right w:val="nil"/>
            </w:tcBorders>
            <w:shd w:val="clear" w:color="auto" w:fill="auto"/>
            <w:noWrap/>
            <w:vAlign w:val="bottom"/>
            <w:hideMark/>
          </w:tcPr>
          <w:p w14:paraId="1E1011C8"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719D5698"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7863DB1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90</w:t>
            </w:r>
          </w:p>
        </w:tc>
        <w:tc>
          <w:tcPr>
            <w:tcW w:w="960" w:type="dxa"/>
            <w:tcBorders>
              <w:top w:val="nil"/>
              <w:left w:val="nil"/>
              <w:bottom w:val="single" w:sz="4" w:space="0" w:color="auto"/>
              <w:right w:val="single" w:sz="4" w:space="0" w:color="auto"/>
            </w:tcBorders>
            <w:shd w:val="clear" w:color="auto" w:fill="auto"/>
            <w:noWrap/>
            <w:vAlign w:val="bottom"/>
            <w:hideMark/>
          </w:tcPr>
          <w:p w14:paraId="29D8202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11.508</w:t>
            </w:r>
          </w:p>
        </w:tc>
        <w:tc>
          <w:tcPr>
            <w:tcW w:w="960" w:type="dxa"/>
            <w:tcBorders>
              <w:top w:val="nil"/>
              <w:left w:val="nil"/>
              <w:bottom w:val="single" w:sz="4" w:space="0" w:color="auto"/>
              <w:right w:val="single" w:sz="4" w:space="0" w:color="auto"/>
            </w:tcBorders>
            <w:shd w:val="clear" w:color="auto" w:fill="auto"/>
            <w:noWrap/>
            <w:vAlign w:val="bottom"/>
            <w:hideMark/>
          </w:tcPr>
          <w:p w14:paraId="635721B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27.714</w:t>
            </w:r>
          </w:p>
        </w:tc>
        <w:tc>
          <w:tcPr>
            <w:tcW w:w="960" w:type="dxa"/>
            <w:tcBorders>
              <w:top w:val="nil"/>
              <w:left w:val="nil"/>
              <w:bottom w:val="single" w:sz="4" w:space="0" w:color="auto"/>
              <w:right w:val="single" w:sz="4" w:space="0" w:color="auto"/>
            </w:tcBorders>
            <w:shd w:val="clear" w:color="auto" w:fill="auto"/>
            <w:noWrap/>
            <w:vAlign w:val="bottom"/>
            <w:hideMark/>
          </w:tcPr>
          <w:p w14:paraId="20B501E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39.000</w:t>
            </w:r>
          </w:p>
        </w:tc>
        <w:tc>
          <w:tcPr>
            <w:tcW w:w="960" w:type="dxa"/>
            <w:tcBorders>
              <w:top w:val="nil"/>
              <w:left w:val="nil"/>
              <w:bottom w:val="single" w:sz="4" w:space="0" w:color="auto"/>
              <w:right w:val="single" w:sz="4" w:space="0" w:color="auto"/>
            </w:tcBorders>
            <w:shd w:val="clear" w:color="auto" w:fill="auto"/>
            <w:noWrap/>
            <w:vAlign w:val="bottom"/>
            <w:hideMark/>
          </w:tcPr>
          <w:p w14:paraId="5B17035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33.000</w:t>
            </w:r>
          </w:p>
        </w:tc>
        <w:tc>
          <w:tcPr>
            <w:tcW w:w="960" w:type="dxa"/>
            <w:tcBorders>
              <w:top w:val="nil"/>
              <w:left w:val="nil"/>
              <w:bottom w:val="single" w:sz="4" w:space="0" w:color="auto"/>
              <w:right w:val="single" w:sz="4" w:space="0" w:color="auto"/>
            </w:tcBorders>
            <w:shd w:val="clear" w:color="auto" w:fill="auto"/>
            <w:noWrap/>
            <w:vAlign w:val="bottom"/>
            <w:hideMark/>
          </w:tcPr>
          <w:p w14:paraId="1CE8D7B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30.106</w:t>
            </w:r>
          </w:p>
        </w:tc>
        <w:tc>
          <w:tcPr>
            <w:tcW w:w="960" w:type="dxa"/>
            <w:tcBorders>
              <w:top w:val="nil"/>
              <w:left w:val="nil"/>
              <w:bottom w:val="single" w:sz="4" w:space="0" w:color="auto"/>
              <w:right w:val="single" w:sz="4" w:space="0" w:color="auto"/>
            </w:tcBorders>
            <w:shd w:val="clear" w:color="auto" w:fill="auto"/>
            <w:noWrap/>
            <w:vAlign w:val="bottom"/>
            <w:hideMark/>
          </w:tcPr>
          <w:p w14:paraId="2BA81B3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24.347</w:t>
            </w:r>
          </w:p>
        </w:tc>
        <w:tc>
          <w:tcPr>
            <w:tcW w:w="1900" w:type="dxa"/>
            <w:tcBorders>
              <w:top w:val="nil"/>
              <w:left w:val="nil"/>
              <w:bottom w:val="nil"/>
              <w:right w:val="nil"/>
            </w:tcBorders>
            <w:shd w:val="clear" w:color="auto" w:fill="auto"/>
            <w:noWrap/>
            <w:vAlign w:val="bottom"/>
            <w:hideMark/>
          </w:tcPr>
          <w:p w14:paraId="6B27D182"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784A1BF5"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3C0FF47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91</w:t>
            </w:r>
          </w:p>
        </w:tc>
        <w:tc>
          <w:tcPr>
            <w:tcW w:w="960" w:type="dxa"/>
            <w:tcBorders>
              <w:top w:val="nil"/>
              <w:left w:val="nil"/>
              <w:bottom w:val="single" w:sz="4" w:space="0" w:color="auto"/>
              <w:right w:val="single" w:sz="4" w:space="0" w:color="auto"/>
            </w:tcBorders>
            <w:shd w:val="clear" w:color="auto" w:fill="auto"/>
            <w:noWrap/>
            <w:vAlign w:val="bottom"/>
            <w:hideMark/>
          </w:tcPr>
          <w:p w14:paraId="4B232F3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12.366</w:t>
            </w:r>
          </w:p>
        </w:tc>
        <w:tc>
          <w:tcPr>
            <w:tcW w:w="960" w:type="dxa"/>
            <w:tcBorders>
              <w:top w:val="nil"/>
              <w:left w:val="nil"/>
              <w:bottom w:val="single" w:sz="4" w:space="0" w:color="auto"/>
              <w:right w:val="single" w:sz="4" w:space="0" w:color="auto"/>
            </w:tcBorders>
            <w:shd w:val="clear" w:color="auto" w:fill="auto"/>
            <w:noWrap/>
            <w:vAlign w:val="bottom"/>
            <w:hideMark/>
          </w:tcPr>
          <w:p w14:paraId="1FD6EF4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28.371</w:t>
            </w:r>
          </w:p>
        </w:tc>
        <w:tc>
          <w:tcPr>
            <w:tcW w:w="960" w:type="dxa"/>
            <w:tcBorders>
              <w:top w:val="nil"/>
              <w:left w:val="nil"/>
              <w:bottom w:val="single" w:sz="4" w:space="0" w:color="auto"/>
              <w:right w:val="single" w:sz="4" w:space="0" w:color="auto"/>
            </w:tcBorders>
            <w:shd w:val="clear" w:color="auto" w:fill="auto"/>
            <w:noWrap/>
            <w:vAlign w:val="bottom"/>
            <w:hideMark/>
          </w:tcPr>
          <w:p w14:paraId="13A552C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38.308</w:t>
            </w:r>
          </w:p>
        </w:tc>
        <w:tc>
          <w:tcPr>
            <w:tcW w:w="960" w:type="dxa"/>
            <w:tcBorders>
              <w:top w:val="nil"/>
              <w:left w:val="nil"/>
              <w:bottom w:val="single" w:sz="4" w:space="0" w:color="auto"/>
              <w:right w:val="single" w:sz="4" w:space="0" w:color="auto"/>
            </w:tcBorders>
            <w:shd w:val="clear" w:color="auto" w:fill="auto"/>
            <w:noWrap/>
            <w:vAlign w:val="bottom"/>
            <w:hideMark/>
          </w:tcPr>
          <w:p w14:paraId="48655EA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33.260</w:t>
            </w:r>
          </w:p>
        </w:tc>
        <w:tc>
          <w:tcPr>
            <w:tcW w:w="960" w:type="dxa"/>
            <w:tcBorders>
              <w:top w:val="nil"/>
              <w:left w:val="nil"/>
              <w:bottom w:val="single" w:sz="4" w:space="0" w:color="auto"/>
              <w:right w:val="single" w:sz="4" w:space="0" w:color="auto"/>
            </w:tcBorders>
            <w:shd w:val="clear" w:color="auto" w:fill="auto"/>
            <w:noWrap/>
            <w:vAlign w:val="bottom"/>
            <w:hideMark/>
          </w:tcPr>
          <w:p w14:paraId="73EE108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30.063</w:t>
            </w:r>
          </w:p>
        </w:tc>
        <w:tc>
          <w:tcPr>
            <w:tcW w:w="960" w:type="dxa"/>
            <w:tcBorders>
              <w:top w:val="nil"/>
              <w:left w:val="nil"/>
              <w:bottom w:val="single" w:sz="4" w:space="0" w:color="auto"/>
              <w:right w:val="single" w:sz="4" w:space="0" w:color="auto"/>
            </w:tcBorders>
            <w:shd w:val="clear" w:color="auto" w:fill="auto"/>
            <w:noWrap/>
            <w:vAlign w:val="bottom"/>
            <w:hideMark/>
          </w:tcPr>
          <w:p w14:paraId="0EFBEFC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27.827</w:t>
            </w:r>
          </w:p>
        </w:tc>
        <w:tc>
          <w:tcPr>
            <w:tcW w:w="1900" w:type="dxa"/>
            <w:tcBorders>
              <w:top w:val="nil"/>
              <w:left w:val="nil"/>
              <w:bottom w:val="nil"/>
              <w:right w:val="nil"/>
            </w:tcBorders>
            <w:shd w:val="clear" w:color="auto" w:fill="auto"/>
            <w:noWrap/>
            <w:vAlign w:val="bottom"/>
            <w:hideMark/>
          </w:tcPr>
          <w:p w14:paraId="722B0ACC"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3A9E017E"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4E1F7CE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92</w:t>
            </w:r>
          </w:p>
        </w:tc>
        <w:tc>
          <w:tcPr>
            <w:tcW w:w="960" w:type="dxa"/>
            <w:tcBorders>
              <w:top w:val="nil"/>
              <w:left w:val="nil"/>
              <w:bottom w:val="single" w:sz="4" w:space="0" w:color="auto"/>
              <w:right w:val="single" w:sz="4" w:space="0" w:color="auto"/>
            </w:tcBorders>
            <w:shd w:val="clear" w:color="auto" w:fill="auto"/>
            <w:noWrap/>
            <w:vAlign w:val="bottom"/>
            <w:hideMark/>
          </w:tcPr>
          <w:p w14:paraId="2908010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12.802</w:t>
            </w:r>
          </w:p>
        </w:tc>
        <w:tc>
          <w:tcPr>
            <w:tcW w:w="960" w:type="dxa"/>
            <w:tcBorders>
              <w:top w:val="nil"/>
              <w:left w:val="nil"/>
              <w:bottom w:val="single" w:sz="4" w:space="0" w:color="auto"/>
              <w:right w:val="single" w:sz="4" w:space="0" w:color="auto"/>
            </w:tcBorders>
            <w:shd w:val="clear" w:color="auto" w:fill="auto"/>
            <w:noWrap/>
            <w:vAlign w:val="bottom"/>
            <w:hideMark/>
          </w:tcPr>
          <w:p w14:paraId="331CA2E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29.371</w:t>
            </w:r>
          </w:p>
        </w:tc>
        <w:tc>
          <w:tcPr>
            <w:tcW w:w="960" w:type="dxa"/>
            <w:tcBorders>
              <w:top w:val="nil"/>
              <w:left w:val="nil"/>
              <w:bottom w:val="single" w:sz="4" w:space="0" w:color="auto"/>
              <w:right w:val="single" w:sz="4" w:space="0" w:color="auto"/>
            </w:tcBorders>
            <w:shd w:val="clear" w:color="auto" w:fill="auto"/>
            <w:noWrap/>
            <w:vAlign w:val="bottom"/>
            <w:hideMark/>
          </w:tcPr>
          <w:p w14:paraId="6CA2D36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38.385</w:t>
            </w:r>
          </w:p>
        </w:tc>
        <w:tc>
          <w:tcPr>
            <w:tcW w:w="960" w:type="dxa"/>
            <w:tcBorders>
              <w:top w:val="nil"/>
              <w:left w:val="nil"/>
              <w:bottom w:val="single" w:sz="4" w:space="0" w:color="auto"/>
              <w:right w:val="single" w:sz="4" w:space="0" w:color="auto"/>
            </w:tcBorders>
            <w:shd w:val="clear" w:color="auto" w:fill="auto"/>
            <w:noWrap/>
            <w:vAlign w:val="bottom"/>
            <w:hideMark/>
          </w:tcPr>
          <w:p w14:paraId="3D94316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31.120</w:t>
            </w:r>
          </w:p>
        </w:tc>
        <w:tc>
          <w:tcPr>
            <w:tcW w:w="960" w:type="dxa"/>
            <w:tcBorders>
              <w:top w:val="nil"/>
              <w:left w:val="nil"/>
              <w:bottom w:val="single" w:sz="4" w:space="0" w:color="auto"/>
              <w:right w:val="single" w:sz="4" w:space="0" w:color="auto"/>
            </w:tcBorders>
            <w:shd w:val="clear" w:color="auto" w:fill="auto"/>
            <w:noWrap/>
            <w:vAlign w:val="bottom"/>
            <w:hideMark/>
          </w:tcPr>
          <w:p w14:paraId="79388F0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30.844</w:t>
            </w:r>
          </w:p>
        </w:tc>
        <w:tc>
          <w:tcPr>
            <w:tcW w:w="960" w:type="dxa"/>
            <w:tcBorders>
              <w:top w:val="nil"/>
              <w:left w:val="nil"/>
              <w:bottom w:val="single" w:sz="4" w:space="0" w:color="auto"/>
              <w:right w:val="single" w:sz="4" w:space="0" w:color="auto"/>
            </w:tcBorders>
            <w:shd w:val="clear" w:color="auto" w:fill="auto"/>
            <w:noWrap/>
            <w:vAlign w:val="bottom"/>
            <w:hideMark/>
          </w:tcPr>
          <w:p w14:paraId="09D4632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31.649</w:t>
            </w:r>
          </w:p>
        </w:tc>
        <w:tc>
          <w:tcPr>
            <w:tcW w:w="1900" w:type="dxa"/>
            <w:tcBorders>
              <w:top w:val="nil"/>
              <w:left w:val="nil"/>
              <w:bottom w:val="nil"/>
              <w:right w:val="nil"/>
            </w:tcBorders>
            <w:shd w:val="clear" w:color="auto" w:fill="auto"/>
            <w:noWrap/>
            <w:vAlign w:val="bottom"/>
            <w:hideMark/>
          </w:tcPr>
          <w:p w14:paraId="33ED8898"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02D6FCFD"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AAC032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93</w:t>
            </w:r>
          </w:p>
        </w:tc>
        <w:tc>
          <w:tcPr>
            <w:tcW w:w="960" w:type="dxa"/>
            <w:tcBorders>
              <w:top w:val="nil"/>
              <w:left w:val="nil"/>
              <w:bottom w:val="single" w:sz="4" w:space="0" w:color="auto"/>
              <w:right w:val="single" w:sz="4" w:space="0" w:color="auto"/>
            </w:tcBorders>
            <w:shd w:val="clear" w:color="auto" w:fill="auto"/>
            <w:noWrap/>
            <w:vAlign w:val="bottom"/>
            <w:hideMark/>
          </w:tcPr>
          <w:p w14:paraId="1402F5B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12.713</w:t>
            </w:r>
          </w:p>
        </w:tc>
        <w:tc>
          <w:tcPr>
            <w:tcW w:w="960" w:type="dxa"/>
            <w:tcBorders>
              <w:top w:val="nil"/>
              <w:left w:val="nil"/>
              <w:bottom w:val="single" w:sz="4" w:space="0" w:color="auto"/>
              <w:right w:val="single" w:sz="4" w:space="0" w:color="auto"/>
            </w:tcBorders>
            <w:shd w:val="clear" w:color="auto" w:fill="auto"/>
            <w:noWrap/>
            <w:vAlign w:val="bottom"/>
            <w:hideMark/>
          </w:tcPr>
          <w:p w14:paraId="50987C6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30.600</w:t>
            </w:r>
          </w:p>
        </w:tc>
        <w:tc>
          <w:tcPr>
            <w:tcW w:w="960" w:type="dxa"/>
            <w:tcBorders>
              <w:top w:val="nil"/>
              <w:left w:val="nil"/>
              <w:bottom w:val="single" w:sz="4" w:space="0" w:color="auto"/>
              <w:right w:val="single" w:sz="4" w:space="0" w:color="auto"/>
            </w:tcBorders>
            <w:shd w:val="clear" w:color="auto" w:fill="auto"/>
            <w:noWrap/>
            <w:vAlign w:val="bottom"/>
            <w:hideMark/>
          </w:tcPr>
          <w:p w14:paraId="04E9C4A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35.462</w:t>
            </w:r>
          </w:p>
        </w:tc>
        <w:tc>
          <w:tcPr>
            <w:tcW w:w="960" w:type="dxa"/>
            <w:tcBorders>
              <w:top w:val="nil"/>
              <w:left w:val="nil"/>
              <w:bottom w:val="single" w:sz="4" w:space="0" w:color="auto"/>
              <w:right w:val="single" w:sz="4" w:space="0" w:color="auto"/>
            </w:tcBorders>
            <w:shd w:val="clear" w:color="auto" w:fill="auto"/>
            <w:noWrap/>
            <w:vAlign w:val="bottom"/>
            <w:hideMark/>
          </w:tcPr>
          <w:p w14:paraId="172AF65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27.400</w:t>
            </w:r>
          </w:p>
        </w:tc>
        <w:tc>
          <w:tcPr>
            <w:tcW w:w="960" w:type="dxa"/>
            <w:tcBorders>
              <w:top w:val="nil"/>
              <w:left w:val="nil"/>
              <w:bottom w:val="single" w:sz="4" w:space="0" w:color="auto"/>
              <w:right w:val="single" w:sz="4" w:space="0" w:color="auto"/>
            </w:tcBorders>
            <w:shd w:val="clear" w:color="auto" w:fill="auto"/>
            <w:noWrap/>
            <w:vAlign w:val="bottom"/>
            <w:hideMark/>
          </w:tcPr>
          <w:p w14:paraId="66394B1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31.000</w:t>
            </w:r>
          </w:p>
        </w:tc>
        <w:tc>
          <w:tcPr>
            <w:tcW w:w="960" w:type="dxa"/>
            <w:tcBorders>
              <w:top w:val="nil"/>
              <w:left w:val="nil"/>
              <w:bottom w:val="single" w:sz="4" w:space="0" w:color="auto"/>
              <w:right w:val="single" w:sz="4" w:space="0" w:color="auto"/>
            </w:tcBorders>
            <w:shd w:val="clear" w:color="auto" w:fill="auto"/>
            <w:noWrap/>
            <w:vAlign w:val="bottom"/>
            <w:hideMark/>
          </w:tcPr>
          <w:p w14:paraId="3F03536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35.000</w:t>
            </w:r>
          </w:p>
        </w:tc>
        <w:tc>
          <w:tcPr>
            <w:tcW w:w="1900" w:type="dxa"/>
            <w:tcBorders>
              <w:top w:val="nil"/>
              <w:left w:val="nil"/>
              <w:bottom w:val="nil"/>
              <w:right w:val="nil"/>
            </w:tcBorders>
            <w:shd w:val="clear" w:color="auto" w:fill="auto"/>
            <w:noWrap/>
            <w:vAlign w:val="bottom"/>
            <w:hideMark/>
          </w:tcPr>
          <w:p w14:paraId="7DA37546"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1EFF089C"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0CB4217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94</w:t>
            </w:r>
          </w:p>
        </w:tc>
        <w:tc>
          <w:tcPr>
            <w:tcW w:w="960" w:type="dxa"/>
            <w:tcBorders>
              <w:top w:val="nil"/>
              <w:left w:val="nil"/>
              <w:bottom w:val="single" w:sz="4" w:space="0" w:color="auto"/>
              <w:right w:val="single" w:sz="4" w:space="0" w:color="auto"/>
            </w:tcBorders>
            <w:shd w:val="clear" w:color="auto" w:fill="auto"/>
            <w:noWrap/>
            <w:vAlign w:val="bottom"/>
            <w:hideMark/>
          </w:tcPr>
          <w:p w14:paraId="7573DA5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12.624</w:t>
            </w:r>
          </w:p>
        </w:tc>
        <w:tc>
          <w:tcPr>
            <w:tcW w:w="960" w:type="dxa"/>
            <w:tcBorders>
              <w:top w:val="nil"/>
              <w:left w:val="nil"/>
              <w:bottom w:val="single" w:sz="4" w:space="0" w:color="auto"/>
              <w:right w:val="single" w:sz="4" w:space="0" w:color="auto"/>
            </w:tcBorders>
            <w:shd w:val="clear" w:color="auto" w:fill="auto"/>
            <w:noWrap/>
            <w:vAlign w:val="bottom"/>
            <w:hideMark/>
          </w:tcPr>
          <w:p w14:paraId="788C612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31.714</w:t>
            </w:r>
          </w:p>
        </w:tc>
        <w:tc>
          <w:tcPr>
            <w:tcW w:w="960" w:type="dxa"/>
            <w:tcBorders>
              <w:top w:val="nil"/>
              <w:left w:val="nil"/>
              <w:bottom w:val="single" w:sz="4" w:space="0" w:color="auto"/>
              <w:right w:val="single" w:sz="4" w:space="0" w:color="auto"/>
            </w:tcBorders>
            <w:shd w:val="clear" w:color="auto" w:fill="auto"/>
            <w:noWrap/>
            <w:vAlign w:val="bottom"/>
            <w:hideMark/>
          </w:tcPr>
          <w:p w14:paraId="3C79497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33.539</w:t>
            </w:r>
          </w:p>
        </w:tc>
        <w:tc>
          <w:tcPr>
            <w:tcW w:w="960" w:type="dxa"/>
            <w:tcBorders>
              <w:top w:val="nil"/>
              <w:left w:val="nil"/>
              <w:bottom w:val="single" w:sz="4" w:space="0" w:color="auto"/>
              <w:right w:val="single" w:sz="4" w:space="0" w:color="auto"/>
            </w:tcBorders>
            <w:shd w:val="clear" w:color="auto" w:fill="auto"/>
            <w:noWrap/>
            <w:vAlign w:val="bottom"/>
            <w:hideMark/>
          </w:tcPr>
          <w:p w14:paraId="14049B7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24.000</w:t>
            </w:r>
          </w:p>
        </w:tc>
        <w:tc>
          <w:tcPr>
            <w:tcW w:w="960" w:type="dxa"/>
            <w:tcBorders>
              <w:top w:val="nil"/>
              <w:left w:val="nil"/>
              <w:bottom w:val="single" w:sz="4" w:space="0" w:color="auto"/>
              <w:right w:val="single" w:sz="4" w:space="0" w:color="auto"/>
            </w:tcBorders>
            <w:shd w:val="clear" w:color="auto" w:fill="auto"/>
            <w:noWrap/>
            <w:vAlign w:val="bottom"/>
            <w:hideMark/>
          </w:tcPr>
          <w:p w14:paraId="0FCD35B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31.000</w:t>
            </w:r>
          </w:p>
        </w:tc>
        <w:tc>
          <w:tcPr>
            <w:tcW w:w="960" w:type="dxa"/>
            <w:tcBorders>
              <w:top w:val="nil"/>
              <w:left w:val="nil"/>
              <w:bottom w:val="single" w:sz="4" w:space="0" w:color="auto"/>
              <w:right w:val="single" w:sz="4" w:space="0" w:color="auto"/>
            </w:tcBorders>
            <w:shd w:val="clear" w:color="auto" w:fill="auto"/>
            <w:noWrap/>
            <w:vAlign w:val="bottom"/>
            <w:hideMark/>
          </w:tcPr>
          <w:p w14:paraId="4E938A1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36.203</w:t>
            </w:r>
          </w:p>
        </w:tc>
        <w:tc>
          <w:tcPr>
            <w:tcW w:w="1900" w:type="dxa"/>
            <w:tcBorders>
              <w:top w:val="nil"/>
              <w:left w:val="nil"/>
              <w:bottom w:val="nil"/>
              <w:right w:val="nil"/>
            </w:tcBorders>
            <w:shd w:val="clear" w:color="auto" w:fill="auto"/>
            <w:noWrap/>
            <w:vAlign w:val="bottom"/>
            <w:hideMark/>
          </w:tcPr>
          <w:p w14:paraId="0D26A7C6"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4AB0FE1F"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38FA0C8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95</w:t>
            </w:r>
          </w:p>
        </w:tc>
        <w:tc>
          <w:tcPr>
            <w:tcW w:w="960" w:type="dxa"/>
            <w:tcBorders>
              <w:top w:val="nil"/>
              <w:left w:val="nil"/>
              <w:bottom w:val="single" w:sz="4" w:space="0" w:color="auto"/>
              <w:right w:val="single" w:sz="4" w:space="0" w:color="auto"/>
            </w:tcBorders>
            <w:shd w:val="clear" w:color="auto" w:fill="auto"/>
            <w:noWrap/>
            <w:vAlign w:val="bottom"/>
            <w:hideMark/>
          </w:tcPr>
          <w:p w14:paraId="6BC0932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13.020</w:t>
            </w:r>
          </w:p>
        </w:tc>
        <w:tc>
          <w:tcPr>
            <w:tcW w:w="960" w:type="dxa"/>
            <w:tcBorders>
              <w:top w:val="nil"/>
              <w:left w:val="nil"/>
              <w:bottom w:val="single" w:sz="4" w:space="0" w:color="auto"/>
              <w:right w:val="single" w:sz="4" w:space="0" w:color="auto"/>
            </w:tcBorders>
            <w:shd w:val="clear" w:color="auto" w:fill="auto"/>
            <w:noWrap/>
            <w:vAlign w:val="bottom"/>
            <w:hideMark/>
          </w:tcPr>
          <w:p w14:paraId="55DA2AC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33.286</w:t>
            </w:r>
          </w:p>
        </w:tc>
        <w:tc>
          <w:tcPr>
            <w:tcW w:w="960" w:type="dxa"/>
            <w:tcBorders>
              <w:top w:val="nil"/>
              <w:left w:val="nil"/>
              <w:bottom w:val="single" w:sz="4" w:space="0" w:color="auto"/>
              <w:right w:val="single" w:sz="4" w:space="0" w:color="auto"/>
            </w:tcBorders>
            <w:shd w:val="clear" w:color="auto" w:fill="auto"/>
            <w:noWrap/>
            <w:vAlign w:val="bottom"/>
            <w:hideMark/>
          </w:tcPr>
          <w:p w14:paraId="2DA774C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30.615</w:t>
            </w:r>
          </w:p>
        </w:tc>
        <w:tc>
          <w:tcPr>
            <w:tcW w:w="960" w:type="dxa"/>
            <w:tcBorders>
              <w:top w:val="nil"/>
              <w:left w:val="nil"/>
              <w:bottom w:val="nil"/>
              <w:right w:val="nil"/>
            </w:tcBorders>
            <w:shd w:val="clear" w:color="auto" w:fill="auto"/>
            <w:noWrap/>
            <w:vAlign w:val="bottom"/>
            <w:hideMark/>
          </w:tcPr>
          <w:p w14:paraId="0C36B18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23.8889</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94588B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30.906</w:t>
            </w:r>
          </w:p>
        </w:tc>
        <w:tc>
          <w:tcPr>
            <w:tcW w:w="960" w:type="dxa"/>
            <w:tcBorders>
              <w:top w:val="nil"/>
              <w:left w:val="nil"/>
              <w:bottom w:val="single" w:sz="4" w:space="0" w:color="auto"/>
              <w:right w:val="single" w:sz="4" w:space="0" w:color="auto"/>
            </w:tcBorders>
            <w:shd w:val="clear" w:color="auto" w:fill="auto"/>
            <w:noWrap/>
            <w:vAlign w:val="bottom"/>
            <w:hideMark/>
          </w:tcPr>
          <w:p w14:paraId="6B99E9C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34.250</w:t>
            </w:r>
          </w:p>
        </w:tc>
        <w:tc>
          <w:tcPr>
            <w:tcW w:w="1900" w:type="dxa"/>
            <w:tcBorders>
              <w:top w:val="nil"/>
              <w:left w:val="nil"/>
              <w:bottom w:val="nil"/>
              <w:right w:val="nil"/>
            </w:tcBorders>
            <w:shd w:val="clear" w:color="auto" w:fill="auto"/>
            <w:noWrap/>
            <w:vAlign w:val="bottom"/>
            <w:hideMark/>
          </w:tcPr>
          <w:p w14:paraId="0AAA84B0"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322F14C3"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0311CF3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96</w:t>
            </w:r>
          </w:p>
        </w:tc>
        <w:tc>
          <w:tcPr>
            <w:tcW w:w="960" w:type="dxa"/>
            <w:tcBorders>
              <w:top w:val="nil"/>
              <w:left w:val="nil"/>
              <w:bottom w:val="single" w:sz="4" w:space="0" w:color="auto"/>
              <w:right w:val="single" w:sz="4" w:space="0" w:color="auto"/>
            </w:tcBorders>
            <w:shd w:val="clear" w:color="auto" w:fill="auto"/>
            <w:noWrap/>
            <w:vAlign w:val="bottom"/>
            <w:hideMark/>
          </w:tcPr>
          <w:p w14:paraId="5D4756A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12.925</w:t>
            </w:r>
          </w:p>
        </w:tc>
        <w:tc>
          <w:tcPr>
            <w:tcW w:w="960" w:type="dxa"/>
            <w:tcBorders>
              <w:top w:val="nil"/>
              <w:left w:val="nil"/>
              <w:bottom w:val="single" w:sz="4" w:space="0" w:color="auto"/>
              <w:right w:val="single" w:sz="4" w:space="0" w:color="auto"/>
            </w:tcBorders>
            <w:shd w:val="clear" w:color="auto" w:fill="auto"/>
            <w:noWrap/>
            <w:vAlign w:val="bottom"/>
            <w:hideMark/>
          </w:tcPr>
          <w:p w14:paraId="14D4578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34.343</w:t>
            </w:r>
          </w:p>
        </w:tc>
        <w:tc>
          <w:tcPr>
            <w:tcW w:w="960" w:type="dxa"/>
            <w:tcBorders>
              <w:top w:val="nil"/>
              <w:left w:val="nil"/>
              <w:bottom w:val="single" w:sz="4" w:space="0" w:color="auto"/>
              <w:right w:val="single" w:sz="4" w:space="0" w:color="auto"/>
            </w:tcBorders>
            <w:shd w:val="clear" w:color="auto" w:fill="auto"/>
            <w:noWrap/>
            <w:vAlign w:val="bottom"/>
            <w:hideMark/>
          </w:tcPr>
          <w:p w14:paraId="312EC77C"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28.692</w:t>
            </w:r>
          </w:p>
        </w:tc>
        <w:tc>
          <w:tcPr>
            <w:tcW w:w="960" w:type="dxa"/>
            <w:tcBorders>
              <w:top w:val="nil"/>
              <w:left w:val="nil"/>
              <w:bottom w:val="nil"/>
              <w:right w:val="nil"/>
            </w:tcBorders>
            <w:shd w:val="clear" w:color="auto" w:fill="auto"/>
            <w:noWrap/>
            <w:vAlign w:val="bottom"/>
            <w:hideMark/>
          </w:tcPr>
          <w:p w14:paraId="6AA7BA0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23.2222</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F98CAE1"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30.020</w:t>
            </w:r>
          </w:p>
        </w:tc>
        <w:tc>
          <w:tcPr>
            <w:tcW w:w="960" w:type="dxa"/>
            <w:tcBorders>
              <w:top w:val="nil"/>
              <w:left w:val="nil"/>
              <w:bottom w:val="single" w:sz="4" w:space="0" w:color="auto"/>
              <w:right w:val="single" w:sz="4" w:space="0" w:color="auto"/>
            </w:tcBorders>
            <w:shd w:val="clear" w:color="auto" w:fill="auto"/>
            <w:noWrap/>
            <w:vAlign w:val="bottom"/>
            <w:hideMark/>
          </w:tcPr>
          <w:p w14:paraId="63ABEAE2"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33.141</w:t>
            </w:r>
          </w:p>
        </w:tc>
        <w:tc>
          <w:tcPr>
            <w:tcW w:w="1900" w:type="dxa"/>
            <w:tcBorders>
              <w:top w:val="nil"/>
              <w:left w:val="nil"/>
              <w:bottom w:val="nil"/>
              <w:right w:val="nil"/>
            </w:tcBorders>
            <w:shd w:val="clear" w:color="auto" w:fill="auto"/>
            <w:noWrap/>
            <w:vAlign w:val="bottom"/>
            <w:hideMark/>
          </w:tcPr>
          <w:p w14:paraId="555ED570"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2BB1EAF1"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33C45F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97</w:t>
            </w:r>
          </w:p>
        </w:tc>
        <w:tc>
          <w:tcPr>
            <w:tcW w:w="960" w:type="dxa"/>
            <w:tcBorders>
              <w:top w:val="nil"/>
              <w:left w:val="nil"/>
              <w:bottom w:val="single" w:sz="4" w:space="0" w:color="auto"/>
              <w:right w:val="single" w:sz="4" w:space="0" w:color="auto"/>
            </w:tcBorders>
            <w:shd w:val="clear" w:color="auto" w:fill="auto"/>
            <w:noWrap/>
            <w:vAlign w:val="bottom"/>
            <w:hideMark/>
          </w:tcPr>
          <w:p w14:paraId="4A551FB9"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13.700</w:t>
            </w:r>
          </w:p>
        </w:tc>
        <w:tc>
          <w:tcPr>
            <w:tcW w:w="960" w:type="dxa"/>
            <w:tcBorders>
              <w:top w:val="nil"/>
              <w:left w:val="nil"/>
              <w:bottom w:val="single" w:sz="4" w:space="0" w:color="auto"/>
              <w:right w:val="single" w:sz="4" w:space="0" w:color="auto"/>
            </w:tcBorders>
            <w:shd w:val="clear" w:color="auto" w:fill="auto"/>
            <w:noWrap/>
            <w:vAlign w:val="bottom"/>
            <w:hideMark/>
          </w:tcPr>
          <w:p w14:paraId="3EAED3E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35.514</w:t>
            </w:r>
          </w:p>
        </w:tc>
        <w:tc>
          <w:tcPr>
            <w:tcW w:w="960" w:type="dxa"/>
            <w:tcBorders>
              <w:top w:val="nil"/>
              <w:left w:val="nil"/>
              <w:bottom w:val="single" w:sz="4" w:space="0" w:color="auto"/>
              <w:right w:val="single" w:sz="4" w:space="0" w:color="auto"/>
            </w:tcBorders>
            <w:shd w:val="clear" w:color="auto" w:fill="auto"/>
            <w:noWrap/>
            <w:vAlign w:val="bottom"/>
            <w:hideMark/>
          </w:tcPr>
          <w:p w14:paraId="5402FFC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25.769</w:t>
            </w:r>
          </w:p>
        </w:tc>
        <w:tc>
          <w:tcPr>
            <w:tcW w:w="960" w:type="dxa"/>
            <w:tcBorders>
              <w:top w:val="nil"/>
              <w:left w:val="nil"/>
              <w:bottom w:val="nil"/>
              <w:right w:val="nil"/>
            </w:tcBorders>
            <w:shd w:val="clear" w:color="auto" w:fill="auto"/>
            <w:noWrap/>
            <w:vAlign w:val="bottom"/>
            <w:hideMark/>
          </w:tcPr>
          <w:p w14:paraId="121B797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23.2222</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30FB3F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29.250</w:t>
            </w:r>
          </w:p>
        </w:tc>
        <w:tc>
          <w:tcPr>
            <w:tcW w:w="960" w:type="dxa"/>
            <w:tcBorders>
              <w:top w:val="nil"/>
              <w:left w:val="nil"/>
              <w:bottom w:val="single" w:sz="4" w:space="0" w:color="auto"/>
              <w:right w:val="single" w:sz="4" w:space="0" w:color="auto"/>
            </w:tcBorders>
            <w:shd w:val="clear" w:color="auto" w:fill="auto"/>
            <w:noWrap/>
            <w:vAlign w:val="bottom"/>
            <w:hideMark/>
          </w:tcPr>
          <w:p w14:paraId="4C777CCB"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30.188</w:t>
            </w:r>
          </w:p>
        </w:tc>
        <w:tc>
          <w:tcPr>
            <w:tcW w:w="1900" w:type="dxa"/>
            <w:tcBorders>
              <w:top w:val="nil"/>
              <w:left w:val="nil"/>
              <w:bottom w:val="nil"/>
              <w:right w:val="nil"/>
            </w:tcBorders>
            <w:shd w:val="clear" w:color="auto" w:fill="auto"/>
            <w:noWrap/>
            <w:vAlign w:val="bottom"/>
            <w:hideMark/>
          </w:tcPr>
          <w:p w14:paraId="1EFB59D4"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72535C2E"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638ED99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98</w:t>
            </w:r>
          </w:p>
        </w:tc>
        <w:tc>
          <w:tcPr>
            <w:tcW w:w="960" w:type="dxa"/>
            <w:tcBorders>
              <w:top w:val="nil"/>
              <w:left w:val="nil"/>
              <w:bottom w:val="single" w:sz="4" w:space="0" w:color="auto"/>
              <w:right w:val="single" w:sz="4" w:space="0" w:color="auto"/>
            </w:tcBorders>
            <w:shd w:val="clear" w:color="auto" w:fill="auto"/>
            <w:noWrap/>
            <w:vAlign w:val="bottom"/>
            <w:hideMark/>
          </w:tcPr>
          <w:p w14:paraId="7A3F79D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15.027</w:t>
            </w:r>
          </w:p>
        </w:tc>
        <w:tc>
          <w:tcPr>
            <w:tcW w:w="960" w:type="dxa"/>
            <w:tcBorders>
              <w:top w:val="nil"/>
              <w:left w:val="nil"/>
              <w:bottom w:val="single" w:sz="4" w:space="0" w:color="auto"/>
              <w:right w:val="single" w:sz="4" w:space="0" w:color="auto"/>
            </w:tcBorders>
            <w:shd w:val="clear" w:color="auto" w:fill="auto"/>
            <w:noWrap/>
            <w:vAlign w:val="bottom"/>
            <w:hideMark/>
          </w:tcPr>
          <w:p w14:paraId="7031CEB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36.086</w:t>
            </w:r>
          </w:p>
        </w:tc>
        <w:tc>
          <w:tcPr>
            <w:tcW w:w="960" w:type="dxa"/>
            <w:tcBorders>
              <w:top w:val="nil"/>
              <w:left w:val="nil"/>
              <w:bottom w:val="single" w:sz="4" w:space="0" w:color="auto"/>
              <w:right w:val="single" w:sz="4" w:space="0" w:color="auto"/>
            </w:tcBorders>
            <w:shd w:val="clear" w:color="auto" w:fill="auto"/>
            <w:noWrap/>
            <w:vAlign w:val="bottom"/>
            <w:hideMark/>
          </w:tcPr>
          <w:p w14:paraId="41D564A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24.000</w:t>
            </w:r>
          </w:p>
        </w:tc>
        <w:tc>
          <w:tcPr>
            <w:tcW w:w="960" w:type="dxa"/>
            <w:tcBorders>
              <w:top w:val="nil"/>
              <w:left w:val="nil"/>
              <w:bottom w:val="nil"/>
              <w:right w:val="nil"/>
            </w:tcBorders>
            <w:shd w:val="clear" w:color="auto" w:fill="auto"/>
            <w:noWrap/>
            <w:vAlign w:val="bottom"/>
            <w:hideMark/>
          </w:tcPr>
          <w:p w14:paraId="328350D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23.5926</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2C0C00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27.551</w:t>
            </w:r>
          </w:p>
        </w:tc>
        <w:tc>
          <w:tcPr>
            <w:tcW w:w="960" w:type="dxa"/>
            <w:tcBorders>
              <w:top w:val="nil"/>
              <w:left w:val="nil"/>
              <w:bottom w:val="single" w:sz="4" w:space="0" w:color="auto"/>
              <w:right w:val="single" w:sz="4" w:space="0" w:color="auto"/>
            </w:tcBorders>
            <w:shd w:val="clear" w:color="auto" w:fill="auto"/>
            <w:noWrap/>
            <w:vAlign w:val="bottom"/>
            <w:hideMark/>
          </w:tcPr>
          <w:p w14:paraId="67931B9D"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27.292</w:t>
            </w:r>
          </w:p>
        </w:tc>
        <w:tc>
          <w:tcPr>
            <w:tcW w:w="1900" w:type="dxa"/>
            <w:tcBorders>
              <w:top w:val="nil"/>
              <w:left w:val="nil"/>
              <w:bottom w:val="nil"/>
              <w:right w:val="nil"/>
            </w:tcBorders>
            <w:shd w:val="clear" w:color="auto" w:fill="auto"/>
            <w:noWrap/>
            <w:vAlign w:val="bottom"/>
            <w:hideMark/>
          </w:tcPr>
          <w:p w14:paraId="11973EDD"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60E70023" w14:textId="77777777" w:rsidTr="005E2F1E">
        <w:trPr>
          <w:trHeight w:val="300"/>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03043DE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99</w:t>
            </w:r>
          </w:p>
        </w:tc>
        <w:tc>
          <w:tcPr>
            <w:tcW w:w="960" w:type="dxa"/>
            <w:tcBorders>
              <w:top w:val="nil"/>
              <w:left w:val="nil"/>
              <w:bottom w:val="single" w:sz="4" w:space="0" w:color="auto"/>
              <w:right w:val="single" w:sz="4" w:space="0" w:color="auto"/>
            </w:tcBorders>
            <w:shd w:val="clear" w:color="auto" w:fill="auto"/>
            <w:noWrap/>
            <w:vAlign w:val="bottom"/>
            <w:hideMark/>
          </w:tcPr>
          <w:p w14:paraId="54C6D39A"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16.347</w:t>
            </w:r>
          </w:p>
        </w:tc>
        <w:tc>
          <w:tcPr>
            <w:tcW w:w="960" w:type="dxa"/>
            <w:tcBorders>
              <w:top w:val="nil"/>
              <w:left w:val="nil"/>
              <w:bottom w:val="single" w:sz="4" w:space="0" w:color="auto"/>
              <w:right w:val="single" w:sz="4" w:space="0" w:color="auto"/>
            </w:tcBorders>
            <w:shd w:val="clear" w:color="auto" w:fill="auto"/>
            <w:noWrap/>
            <w:vAlign w:val="bottom"/>
            <w:hideMark/>
          </w:tcPr>
          <w:p w14:paraId="6AB0A63E"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36.714</w:t>
            </w:r>
          </w:p>
        </w:tc>
        <w:tc>
          <w:tcPr>
            <w:tcW w:w="960" w:type="dxa"/>
            <w:tcBorders>
              <w:top w:val="nil"/>
              <w:left w:val="nil"/>
              <w:bottom w:val="single" w:sz="4" w:space="0" w:color="auto"/>
              <w:right w:val="single" w:sz="4" w:space="0" w:color="auto"/>
            </w:tcBorders>
            <w:shd w:val="clear" w:color="auto" w:fill="auto"/>
            <w:noWrap/>
            <w:vAlign w:val="bottom"/>
            <w:hideMark/>
          </w:tcPr>
          <w:p w14:paraId="15E68D9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23.039</w:t>
            </w:r>
          </w:p>
        </w:tc>
        <w:tc>
          <w:tcPr>
            <w:tcW w:w="960" w:type="dxa"/>
            <w:tcBorders>
              <w:top w:val="nil"/>
              <w:left w:val="nil"/>
              <w:bottom w:val="nil"/>
              <w:right w:val="nil"/>
            </w:tcBorders>
            <w:shd w:val="clear" w:color="auto" w:fill="auto"/>
            <w:noWrap/>
            <w:vAlign w:val="bottom"/>
            <w:hideMark/>
          </w:tcPr>
          <w:p w14:paraId="48D19C83"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24.8519</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C6E273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26.438</w:t>
            </w:r>
          </w:p>
        </w:tc>
        <w:tc>
          <w:tcPr>
            <w:tcW w:w="960" w:type="dxa"/>
            <w:tcBorders>
              <w:top w:val="nil"/>
              <w:left w:val="nil"/>
              <w:bottom w:val="single" w:sz="4" w:space="0" w:color="auto"/>
              <w:right w:val="single" w:sz="4" w:space="0" w:color="auto"/>
            </w:tcBorders>
            <w:shd w:val="clear" w:color="auto" w:fill="auto"/>
            <w:noWrap/>
            <w:vAlign w:val="bottom"/>
            <w:hideMark/>
          </w:tcPr>
          <w:p w14:paraId="18E2D90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26.333</w:t>
            </w:r>
          </w:p>
        </w:tc>
        <w:tc>
          <w:tcPr>
            <w:tcW w:w="1900" w:type="dxa"/>
            <w:tcBorders>
              <w:top w:val="nil"/>
              <w:left w:val="nil"/>
              <w:bottom w:val="nil"/>
              <w:right w:val="nil"/>
            </w:tcBorders>
            <w:shd w:val="clear" w:color="auto" w:fill="auto"/>
            <w:noWrap/>
            <w:vAlign w:val="bottom"/>
            <w:hideMark/>
          </w:tcPr>
          <w:p w14:paraId="51AC7A91"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2E0A6DB9" w14:textId="77777777" w:rsidTr="005E2F1E">
        <w:trPr>
          <w:trHeight w:val="315"/>
        </w:trPr>
        <w:tc>
          <w:tcPr>
            <w:tcW w:w="1420" w:type="dxa"/>
            <w:tcBorders>
              <w:top w:val="nil"/>
              <w:left w:val="single" w:sz="4" w:space="0" w:color="auto"/>
              <w:bottom w:val="nil"/>
              <w:right w:val="single" w:sz="4" w:space="0" w:color="auto"/>
            </w:tcBorders>
            <w:shd w:val="clear" w:color="auto" w:fill="auto"/>
            <w:noWrap/>
            <w:vAlign w:val="bottom"/>
            <w:hideMark/>
          </w:tcPr>
          <w:p w14:paraId="18FD3B6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100</w:t>
            </w:r>
          </w:p>
        </w:tc>
        <w:tc>
          <w:tcPr>
            <w:tcW w:w="960" w:type="dxa"/>
            <w:tcBorders>
              <w:top w:val="nil"/>
              <w:left w:val="nil"/>
              <w:bottom w:val="single" w:sz="4" w:space="0" w:color="auto"/>
              <w:right w:val="single" w:sz="4" w:space="0" w:color="auto"/>
            </w:tcBorders>
            <w:shd w:val="clear" w:color="auto" w:fill="auto"/>
            <w:noWrap/>
            <w:vAlign w:val="bottom"/>
            <w:hideMark/>
          </w:tcPr>
          <w:p w14:paraId="45DC751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17.762</w:t>
            </w:r>
          </w:p>
        </w:tc>
        <w:tc>
          <w:tcPr>
            <w:tcW w:w="960" w:type="dxa"/>
            <w:tcBorders>
              <w:top w:val="nil"/>
              <w:left w:val="nil"/>
              <w:bottom w:val="single" w:sz="4" w:space="0" w:color="auto"/>
              <w:right w:val="single" w:sz="4" w:space="0" w:color="auto"/>
            </w:tcBorders>
            <w:shd w:val="clear" w:color="auto" w:fill="auto"/>
            <w:noWrap/>
            <w:vAlign w:val="bottom"/>
            <w:hideMark/>
          </w:tcPr>
          <w:p w14:paraId="35860186"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37.029</w:t>
            </w:r>
          </w:p>
        </w:tc>
        <w:tc>
          <w:tcPr>
            <w:tcW w:w="960" w:type="dxa"/>
            <w:tcBorders>
              <w:top w:val="nil"/>
              <w:left w:val="nil"/>
              <w:bottom w:val="single" w:sz="4" w:space="0" w:color="auto"/>
              <w:right w:val="single" w:sz="4" w:space="0" w:color="auto"/>
            </w:tcBorders>
            <w:shd w:val="clear" w:color="auto" w:fill="auto"/>
            <w:noWrap/>
            <w:vAlign w:val="bottom"/>
            <w:hideMark/>
          </w:tcPr>
          <w:p w14:paraId="70F554A8"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23.000</w:t>
            </w:r>
          </w:p>
        </w:tc>
        <w:tc>
          <w:tcPr>
            <w:tcW w:w="960" w:type="dxa"/>
            <w:tcBorders>
              <w:top w:val="nil"/>
              <w:left w:val="nil"/>
              <w:bottom w:val="nil"/>
              <w:right w:val="nil"/>
            </w:tcBorders>
            <w:shd w:val="clear" w:color="auto" w:fill="auto"/>
            <w:noWrap/>
            <w:vAlign w:val="bottom"/>
            <w:hideMark/>
          </w:tcPr>
          <w:p w14:paraId="0EBDAF3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26.4444</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DF77FF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25.137</w:t>
            </w:r>
          </w:p>
        </w:tc>
        <w:tc>
          <w:tcPr>
            <w:tcW w:w="960" w:type="dxa"/>
            <w:tcBorders>
              <w:top w:val="nil"/>
              <w:left w:val="nil"/>
              <w:bottom w:val="single" w:sz="4" w:space="0" w:color="auto"/>
              <w:right w:val="single" w:sz="4" w:space="0" w:color="auto"/>
            </w:tcBorders>
            <w:shd w:val="clear" w:color="auto" w:fill="auto"/>
            <w:noWrap/>
            <w:vAlign w:val="bottom"/>
            <w:hideMark/>
          </w:tcPr>
          <w:p w14:paraId="3AF4D5F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25.391</w:t>
            </w:r>
          </w:p>
        </w:tc>
        <w:tc>
          <w:tcPr>
            <w:tcW w:w="1900" w:type="dxa"/>
            <w:tcBorders>
              <w:top w:val="nil"/>
              <w:left w:val="nil"/>
              <w:bottom w:val="nil"/>
              <w:right w:val="nil"/>
            </w:tcBorders>
            <w:shd w:val="clear" w:color="auto" w:fill="auto"/>
            <w:noWrap/>
            <w:vAlign w:val="bottom"/>
            <w:hideMark/>
          </w:tcPr>
          <w:p w14:paraId="5DC01C4C"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r w:rsidR="00007F6C" w:rsidRPr="005A770E" w14:paraId="0CF480CD" w14:textId="77777777" w:rsidTr="005E2F1E">
        <w:trPr>
          <w:trHeight w:val="315"/>
        </w:trPr>
        <w:tc>
          <w:tcPr>
            <w:tcW w:w="14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61200B13" w14:textId="77777777" w:rsidR="00007F6C" w:rsidRPr="005A770E" w:rsidRDefault="00007F6C" w:rsidP="005E2F1E">
            <w:pPr>
              <w:spacing w:after="0" w:line="240" w:lineRule="auto"/>
              <w:jc w:val="both"/>
              <w:rPr>
                <w:rFonts w:ascii="Calibri" w:eastAsia="Times New Roman" w:hAnsi="Calibri" w:cs="Calibri"/>
                <w:b/>
                <w:bCs/>
                <w:color w:val="000000"/>
                <w:lang w:eastAsia="en-GB"/>
              </w:rPr>
            </w:pPr>
            <w:r w:rsidRPr="005A770E">
              <w:rPr>
                <w:rFonts w:ascii="Calibri" w:eastAsia="Times New Roman" w:hAnsi="Calibri" w:cs="Calibri"/>
                <w:b/>
                <w:bCs/>
                <w:color w:val="000000"/>
                <w:lang w:eastAsia="en-GB"/>
              </w:rPr>
              <w:t>Average/ slice</w:t>
            </w:r>
          </w:p>
        </w:tc>
        <w:tc>
          <w:tcPr>
            <w:tcW w:w="960" w:type="dxa"/>
            <w:tcBorders>
              <w:top w:val="nil"/>
              <w:left w:val="nil"/>
              <w:bottom w:val="single" w:sz="8" w:space="0" w:color="auto"/>
              <w:right w:val="single" w:sz="8" w:space="0" w:color="auto"/>
            </w:tcBorders>
            <w:shd w:val="clear" w:color="auto" w:fill="auto"/>
            <w:noWrap/>
            <w:vAlign w:val="bottom"/>
            <w:hideMark/>
          </w:tcPr>
          <w:p w14:paraId="2555D2F0"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26.45</w:t>
            </w:r>
          </w:p>
        </w:tc>
        <w:tc>
          <w:tcPr>
            <w:tcW w:w="960" w:type="dxa"/>
            <w:tcBorders>
              <w:top w:val="nil"/>
              <w:left w:val="nil"/>
              <w:bottom w:val="single" w:sz="8" w:space="0" w:color="auto"/>
              <w:right w:val="single" w:sz="8" w:space="0" w:color="auto"/>
            </w:tcBorders>
            <w:shd w:val="clear" w:color="auto" w:fill="auto"/>
            <w:noWrap/>
            <w:vAlign w:val="bottom"/>
            <w:hideMark/>
          </w:tcPr>
          <w:p w14:paraId="6889FE6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28.45</w:t>
            </w:r>
          </w:p>
        </w:tc>
        <w:tc>
          <w:tcPr>
            <w:tcW w:w="960" w:type="dxa"/>
            <w:tcBorders>
              <w:top w:val="nil"/>
              <w:left w:val="nil"/>
              <w:bottom w:val="single" w:sz="8" w:space="0" w:color="auto"/>
              <w:right w:val="single" w:sz="8" w:space="0" w:color="auto"/>
            </w:tcBorders>
            <w:shd w:val="clear" w:color="auto" w:fill="auto"/>
            <w:noWrap/>
            <w:vAlign w:val="bottom"/>
            <w:hideMark/>
          </w:tcPr>
          <w:p w14:paraId="10F19E9F"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29.84</w:t>
            </w:r>
          </w:p>
        </w:tc>
        <w:tc>
          <w:tcPr>
            <w:tcW w:w="960" w:type="dxa"/>
            <w:tcBorders>
              <w:top w:val="nil"/>
              <w:left w:val="nil"/>
              <w:bottom w:val="single" w:sz="8" w:space="0" w:color="auto"/>
              <w:right w:val="single" w:sz="8" w:space="0" w:color="auto"/>
            </w:tcBorders>
            <w:shd w:val="clear" w:color="auto" w:fill="auto"/>
            <w:noWrap/>
            <w:vAlign w:val="bottom"/>
            <w:hideMark/>
          </w:tcPr>
          <w:p w14:paraId="205EEE24"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17.49</w:t>
            </w:r>
          </w:p>
        </w:tc>
        <w:tc>
          <w:tcPr>
            <w:tcW w:w="960" w:type="dxa"/>
            <w:tcBorders>
              <w:top w:val="nil"/>
              <w:left w:val="nil"/>
              <w:bottom w:val="single" w:sz="8" w:space="0" w:color="auto"/>
              <w:right w:val="single" w:sz="8" w:space="0" w:color="auto"/>
            </w:tcBorders>
            <w:shd w:val="clear" w:color="auto" w:fill="auto"/>
            <w:noWrap/>
            <w:vAlign w:val="bottom"/>
            <w:hideMark/>
          </w:tcPr>
          <w:p w14:paraId="74E28D47"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23.56</w:t>
            </w:r>
          </w:p>
        </w:tc>
        <w:tc>
          <w:tcPr>
            <w:tcW w:w="960" w:type="dxa"/>
            <w:tcBorders>
              <w:top w:val="nil"/>
              <w:left w:val="nil"/>
              <w:bottom w:val="single" w:sz="8" w:space="0" w:color="auto"/>
              <w:right w:val="single" w:sz="8" w:space="0" w:color="auto"/>
            </w:tcBorders>
            <w:shd w:val="clear" w:color="auto" w:fill="auto"/>
            <w:noWrap/>
            <w:vAlign w:val="bottom"/>
            <w:hideMark/>
          </w:tcPr>
          <w:p w14:paraId="3252D175" w14:textId="77777777" w:rsidR="00007F6C" w:rsidRPr="005A770E" w:rsidRDefault="00007F6C" w:rsidP="005E2F1E">
            <w:pPr>
              <w:spacing w:after="0" w:line="240" w:lineRule="auto"/>
              <w:jc w:val="both"/>
              <w:rPr>
                <w:rFonts w:ascii="Calibri" w:eastAsia="Times New Roman" w:hAnsi="Calibri" w:cs="Calibri"/>
                <w:color w:val="000000"/>
                <w:lang w:eastAsia="en-GB"/>
              </w:rPr>
            </w:pPr>
            <w:r w:rsidRPr="005A770E">
              <w:rPr>
                <w:rFonts w:ascii="Calibri" w:eastAsia="Times New Roman" w:hAnsi="Calibri" w:cs="Calibri"/>
                <w:color w:val="000000"/>
                <w:lang w:eastAsia="en-GB"/>
              </w:rPr>
              <w:t>20.11</w:t>
            </w:r>
          </w:p>
        </w:tc>
        <w:tc>
          <w:tcPr>
            <w:tcW w:w="1900" w:type="dxa"/>
            <w:tcBorders>
              <w:top w:val="nil"/>
              <w:left w:val="nil"/>
              <w:bottom w:val="nil"/>
              <w:right w:val="nil"/>
            </w:tcBorders>
            <w:shd w:val="clear" w:color="auto" w:fill="auto"/>
            <w:noWrap/>
            <w:vAlign w:val="bottom"/>
            <w:hideMark/>
          </w:tcPr>
          <w:p w14:paraId="2E3A484D" w14:textId="77777777" w:rsidR="00007F6C" w:rsidRPr="005A770E" w:rsidRDefault="00007F6C" w:rsidP="005E2F1E">
            <w:pPr>
              <w:spacing w:after="0" w:line="240" w:lineRule="auto"/>
              <w:jc w:val="both"/>
              <w:rPr>
                <w:rFonts w:ascii="Calibri" w:eastAsia="Times New Roman" w:hAnsi="Calibri" w:cs="Calibri"/>
                <w:color w:val="000000"/>
                <w:lang w:eastAsia="en-GB"/>
              </w:rPr>
            </w:pPr>
          </w:p>
        </w:tc>
      </w:tr>
    </w:tbl>
    <w:p w14:paraId="5F74D272" w14:textId="77777777" w:rsidR="009D6AFE" w:rsidRDefault="009D6AFE"/>
    <w:sectPr w:rsidR="009D6AFE">
      <w:footerReference w:type="default" r:id="rId22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81CC88" w14:textId="77777777" w:rsidR="00766D55" w:rsidRDefault="00766D55">
      <w:pPr>
        <w:spacing w:after="0" w:line="240" w:lineRule="auto"/>
      </w:pPr>
      <w:r>
        <w:separator/>
      </w:r>
    </w:p>
  </w:endnote>
  <w:endnote w:type="continuationSeparator" w:id="0">
    <w:p w14:paraId="08D5E232" w14:textId="77777777" w:rsidR="00766D55" w:rsidRDefault="00766D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dvOT863180fb">
    <w:altName w:val="Times New Roman"/>
    <w:panose1 w:val="00000000000000000000"/>
    <w:charset w:val="00"/>
    <w:family w:val="roman"/>
    <w:notTrueType/>
    <w:pitch w:val="default"/>
  </w:font>
  <w:font w:name="AdvOT863180fb+20">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244969"/>
      <w:docPartObj>
        <w:docPartGallery w:val="Page Numbers (Bottom of Page)"/>
        <w:docPartUnique/>
      </w:docPartObj>
    </w:sdtPr>
    <w:sdtEndPr>
      <w:rPr>
        <w:noProof/>
      </w:rPr>
    </w:sdtEndPr>
    <w:sdtContent>
      <w:p w14:paraId="255A0587" w14:textId="77777777" w:rsidR="00766D55" w:rsidRDefault="00766D5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992C30B" w14:textId="77777777" w:rsidR="00766D55" w:rsidRDefault="00766D5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1B935A" w14:textId="77777777" w:rsidR="00766D55" w:rsidRDefault="00766D55">
      <w:pPr>
        <w:spacing w:after="0" w:line="240" w:lineRule="auto"/>
      </w:pPr>
      <w:r>
        <w:separator/>
      </w:r>
    </w:p>
  </w:footnote>
  <w:footnote w:type="continuationSeparator" w:id="0">
    <w:p w14:paraId="21C077C3" w14:textId="77777777" w:rsidR="00766D55" w:rsidRDefault="00766D5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23830"/>
    <w:multiLevelType w:val="hybridMultilevel"/>
    <w:tmpl w:val="95066A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9A47F6"/>
    <w:multiLevelType w:val="hybridMultilevel"/>
    <w:tmpl w:val="C7A0F306"/>
    <w:lvl w:ilvl="0" w:tplc="CBE6C0D4">
      <w:start w:val="1"/>
      <w:numFmt w:val="bullet"/>
      <w:lvlText w:val="•"/>
      <w:lvlJc w:val="left"/>
      <w:pPr>
        <w:tabs>
          <w:tab w:val="num" w:pos="720"/>
        </w:tabs>
        <w:ind w:left="720" w:hanging="360"/>
      </w:pPr>
      <w:rPr>
        <w:rFonts w:ascii="Times New Roman" w:hAnsi="Times New Roman" w:hint="default"/>
      </w:rPr>
    </w:lvl>
    <w:lvl w:ilvl="1" w:tplc="F7CCECA2" w:tentative="1">
      <w:start w:val="1"/>
      <w:numFmt w:val="bullet"/>
      <w:lvlText w:val="•"/>
      <w:lvlJc w:val="left"/>
      <w:pPr>
        <w:tabs>
          <w:tab w:val="num" w:pos="1440"/>
        </w:tabs>
        <w:ind w:left="1440" w:hanging="360"/>
      </w:pPr>
      <w:rPr>
        <w:rFonts w:ascii="Times New Roman" w:hAnsi="Times New Roman" w:hint="default"/>
      </w:rPr>
    </w:lvl>
    <w:lvl w:ilvl="2" w:tplc="8A52EAEA" w:tentative="1">
      <w:start w:val="1"/>
      <w:numFmt w:val="bullet"/>
      <w:lvlText w:val="•"/>
      <w:lvlJc w:val="left"/>
      <w:pPr>
        <w:tabs>
          <w:tab w:val="num" w:pos="2160"/>
        </w:tabs>
        <w:ind w:left="2160" w:hanging="360"/>
      </w:pPr>
      <w:rPr>
        <w:rFonts w:ascii="Times New Roman" w:hAnsi="Times New Roman" w:hint="default"/>
      </w:rPr>
    </w:lvl>
    <w:lvl w:ilvl="3" w:tplc="943AE824" w:tentative="1">
      <w:start w:val="1"/>
      <w:numFmt w:val="bullet"/>
      <w:lvlText w:val="•"/>
      <w:lvlJc w:val="left"/>
      <w:pPr>
        <w:tabs>
          <w:tab w:val="num" w:pos="2880"/>
        </w:tabs>
        <w:ind w:left="2880" w:hanging="360"/>
      </w:pPr>
      <w:rPr>
        <w:rFonts w:ascii="Times New Roman" w:hAnsi="Times New Roman" w:hint="default"/>
      </w:rPr>
    </w:lvl>
    <w:lvl w:ilvl="4" w:tplc="3D0AFF40" w:tentative="1">
      <w:start w:val="1"/>
      <w:numFmt w:val="bullet"/>
      <w:lvlText w:val="•"/>
      <w:lvlJc w:val="left"/>
      <w:pPr>
        <w:tabs>
          <w:tab w:val="num" w:pos="3600"/>
        </w:tabs>
        <w:ind w:left="3600" w:hanging="360"/>
      </w:pPr>
      <w:rPr>
        <w:rFonts w:ascii="Times New Roman" w:hAnsi="Times New Roman" w:hint="default"/>
      </w:rPr>
    </w:lvl>
    <w:lvl w:ilvl="5" w:tplc="EBC453BE" w:tentative="1">
      <w:start w:val="1"/>
      <w:numFmt w:val="bullet"/>
      <w:lvlText w:val="•"/>
      <w:lvlJc w:val="left"/>
      <w:pPr>
        <w:tabs>
          <w:tab w:val="num" w:pos="4320"/>
        </w:tabs>
        <w:ind w:left="4320" w:hanging="360"/>
      </w:pPr>
      <w:rPr>
        <w:rFonts w:ascii="Times New Roman" w:hAnsi="Times New Roman" w:hint="default"/>
      </w:rPr>
    </w:lvl>
    <w:lvl w:ilvl="6" w:tplc="FFD07154" w:tentative="1">
      <w:start w:val="1"/>
      <w:numFmt w:val="bullet"/>
      <w:lvlText w:val="•"/>
      <w:lvlJc w:val="left"/>
      <w:pPr>
        <w:tabs>
          <w:tab w:val="num" w:pos="5040"/>
        </w:tabs>
        <w:ind w:left="5040" w:hanging="360"/>
      </w:pPr>
      <w:rPr>
        <w:rFonts w:ascii="Times New Roman" w:hAnsi="Times New Roman" w:hint="default"/>
      </w:rPr>
    </w:lvl>
    <w:lvl w:ilvl="7" w:tplc="3A1256AE" w:tentative="1">
      <w:start w:val="1"/>
      <w:numFmt w:val="bullet"/>
      <w:lvlText w:val="•"/>
      <w:lvlJc w:val="left"/>
      <w:pPr>
        <w:tabs>
          <w:tab w:val="num" w:pos="5760"/>
        </w:tabs>
        <w:ind w:left="5760" w:hanging="360"/>
      </w:pPr>
      <w:rPr>
        <w:rFonts w:ascii="Times New Roman" w:hAnsi="Times New Roman" w:hint="default"/>
      </w:rPr>
    </w:lvl>
    <w:lvl w:ilvl="8" w:tplc="CCAC76B0"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E12791E"/>
    <w:multiLevelType w:val="hybridMultilevel"/>
    <w:tmpl w:val="66E249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4E5DE2"/>
    <w:multiLevelType w:val="multilevel"/>
    <w:tmpl w:val="ECD06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C7369C"/>
    <w:multiLevelType w:val="hybridMultilevel"/>
    <w:tmpl w:val="757A2B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017176"/>
    <w:multiLevelType w:val="hybridMultilevel"/>
    <w:tmpl w:val="1CA41F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4E543B2"/>
    <w:multiLevelType w:val="hybridMultilevel"/>
    <w:tmpl w:val="AF3CFE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9AD25C9"/>
    <w:multiLevelType w:val="hybridMultilevel"/>
    <w:tmpl w:val="6F881C8C"/>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B216E70"/>
    <w:multiLevelType w:val="multilevel"/>
    <w:tmpl w:val="B3F65156"/>
    <w:lvl w:ilvl="0">
      <w:start w:val="1"/>
      <w:numFmt w:val="decimal"/>
      <w:lvlText w:val="%1."/>
      <w:lvlJc w:val="left"/>
      <w:pPr>
        <w:ind w:left="720" w:hanging="360"/>
      </w:p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15:restartNumberingAfterBreak="0">
    <w:nsid w:val="1D0E5253"/>
    <w:multiLevelType w:val="hybridMultilevel"/>
    <w:tmpl w:val="130AB6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0534F4D"/>
    <w:multiLevelType w:val="multilevel"/>
    <w:tmpl w:val="047448F2"/>
    <w:lvl w:ilvl="0">
      <w:start w:val="2"/>
      <w:numFmt w:val="decimal"/>
      <w:lvlText w:val="%1"/>
      <w:lvlJc w:val="left"/>
      <w:pPr>
        <w:ind w:left="405" w:hanging="40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3B8096B"/>
    <w:multiLevelType w:val="hybridMultilevel"/>
    <w:tmpl w:val="02444E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40473B4"/>
    <w:multiLevelType w:val="hybridMultilevel"/>
    <w:tmpl w:val="3B3A8478"/>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 w15:restartNumberingAfterBreak="0">
    <w:nsid w:val="24DC3F97"/>
    <w:multiLevelType w:val="hybridMultilevel"/>
    <w:tmpl w:val="825447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6CF071F"/>
    <w:multiLevelType w:val="hybridMultilevel"/>
    <w:tmpl w:val="43F472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20D4DBE"/>
    <w:multiLevelType w:val="hybridMultilevel"/>
    <w:tmpl w:val="54E07E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53A2D5C"/>
    <w:multiLevelType w:val="hybridMultilevel"/>
    <w:tmpl w:val="B7C6A8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5EE2AA0"/>
    <w:multiLevelType w:val="hybridMultilevel"/>
    <w:tmpl w:val="F9ACD8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5FF443F"/>
    <w:multiLevelType w:val="multilevel"/>
    <w:tmpl w:val="78E43F82"/>
    <w:lvl w:ilvl="0">
      <w:start w:val="1"/>
      <w:numFmt w:val="decimal"/>
      <w:lvlText w:val="%1."/>
      <w:lvlJc w:val="left"/>
      <w:pPr>
        <w:ind w:left="720" w:hanging="360"/>
      </w:pPr>
    </w:lvl>
    <w:lvl w:ilvl="1">
      <w:start w:val="3"/>
      <w:numFmt w:val="decimal"/>
      <w:isLgl/>
      <w:lvlText w:val="%1.%2"/>
      <w:lvlJc w:val="left"/>
      <w:pPr>
        <w:ind w:left="1080" w:hanging="720"/>
      </w:pPr>
      <w:rPr>
        <w:rFonts w:hint="default"/>
      </w:rPr>
    </w:lvl>
    <w:lvl w:ilvl="2">
      <w:start w:val="6"/>
      <w:numFmt w:val="decimal"/>
      <w:isLgl/>
      <w:lvlText w:val="%1.%2.%3"/>
      <w:lvlJc w:val="left"/>
      <w:pPr>
        <w:ind w:left="1080" w:hanging="720"/>
      </w:pPr>
      <w:rPr>
        <w:rFonts w:hint="default"/>
      </w:rPr>
    </w:lvl>
    <w:lvl w:ilvl="3">
      <w:start w:val="2"/>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9" w15:restartNumberingAfterBreak="0">
    <w:nsid w:val="3AB44699"/>
    <w:multiLevelType w:val="hybridMultilevel"/>
    <w:tmpl w:val="62B4EC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C124CCE"/>
    <w:multiLevelType w:val="hybridMultilevel"/>
    <w:tmpl w:val="7E9461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33F0DE2"/>
    <w:multiLevelType w:val="multilevel"/>
    <w:tmpl w:val="60C4A9AE"/>
    <w:lvl w:ilvl="0">
      <w:start w:val="1"/>
      <w:numFmt w:val="decimal"/>
      <w:lvlText w:val="%1."/>
      <w:lvlJc w:val="left"/>
      <w:pPr>
        <w:ind w:left="720" w:hanging="360"/>
      </w:pPr>
    </w:lvl>
    <w:lvl w:ilvl="1">
      <w:start w:val="4"/>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2" w15:restartNumberingAfterBreak="0">
    <w:nsid w:val="4A276EF8"/>
    <w:multiLevelType w:val="hybridMultilevel"/>
    <w:tmpl w:val="EA4614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D63088D"/>
    <w:multiLevelType w:val="hybridMultilevel"/>
    <w:tmpl w:val="5728FA1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EF83641"/>
    <w:multiLevelType w:val="hybridMultilevel"/>
    <w:tmpl w:val="307433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F023274"/>
    <w:multiLevelType w:val="hybridMultilevel"/>
    <w:tmpl w:val="A822B35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7F35E3C"/>
    <w:multiLevelType w:val="hybridMultilevel"/>
    <w:tmpl w:val="F0D6FE3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9956768"/>
    <w:multiLevelType w:val="hybridMultilevel"/>
    <w:tmpl w:val="97F881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F087B78"/>
    <w:multiLevelType w:val="hybridMultilevel"/>
    <w:tmpl w:val="F46C85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1430FAA"/>
    <w:multiLevelType w:val="multilevel"/>
    <w:tmpl w:val="D6A062F6"/>
    <w:lvl w:ilvl="0">
      <w:start w:val="1"/>
      <w:numFmt w:val="decimal"/>
      <w:lvlText w:val="%1."/>
      <w:lvlJc w:val="left"/>
      <w:pPr>
        <w:ind w:left="720" w:hanging="360"/>
      </w:pPr>
      <w:rPr>
        <w:rFonts w:hint="default"/>
      </w:rPr>
    </w:lvl>
    <w:lvl w:ilvl="1">
      <w:start w:val="1"/>
      <w:numFmt w:val="decimal"/>
      <w:isLgl/>
      <w:lvlText w:val="%1.%2"/>
      <w:lvlJc w:val="left"/>
      <w:pPr>
        <w:ind w:left="945" w:hanging="58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618041AC"/>
    <w:multiLevelType w:val="hybridMultilevel"/>
    <w:tmpl w:val="4E86EA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4500BB5"/>
    <w:multiLevelType w:val="hybridMultilevel"/>
    <w:tmpl w:val="C352D1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83D3915"/>
    <w:multiLevelType w:val="hybridMultilevel"/>
    <w:tmpl w:val="549A1C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A0507BC"/>
    <w:multiLevelType w:val="hybridMultilevel"/>
    <w:tmpl w:val="E01894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B9A3576"/>
    <w:multiLevelType w:val="hybridMultilevel"/>
    <w:tmpl w:val="660C4BB4"/>
    <w:lvl w:ilvl="0" w:tplc="155E04E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C8F0AE7"/>
    <w:multiLevelType w:val="hybridMultilevel"/>
    <w:tmpl w:val="F0D6FE3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F321DC3"/>
    <w:multiLevelType w:val="hybridMultilevel"/>
    <w:tmpl w:val="E77E54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FD747F9"/>
    <w:multiLevelType w:val="multilevel"/>
    <w:tmpl w:val="EE84FCAA"/>
    <w:lvl w:ilvl="0">
      <w:start w:val="1"/>
      <w:numFmt w:val="decimal"/>
      <w:lvlText w:val="%1."/>
      <w:lvlJc w:val="left"/>
      <w:pPr>
        <w:ind w:left="720" w:hanging="360"/>
      </w:pPr>
    </w:lvl>
    <w:lvl w:ilvl="1">
      <w:start w:val="1"/>
      <w:numFmt w:val="decimal"/>
      <w:isLgl/>
      <w:lvlText w:val="%1.%2"/>
      <w:lvlJc w:val="left"/>
      <w:pPr>
        <w:ind w:left="840" w:hanging="48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15:restartNumberingAfterBreak="0">
    <w:nsid w:val="768B173C"/>
    <w:multiLevelType w:val="hybridMultilevel"/>
    <w:tmpl w:val="25E4FB3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8D13AFC"/>
    <w:multiLevelType w:val="hybridMultilevel"/>
    <w:tmpl w:val="479A3E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A556D2E"/>
    <w:multiLevelType w:val="hybridMultilevel"/>
    <w:tmpl w:val="AC04C8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CCA1AA0"/>
    <w:multiLevelType w:val="hybridMultilevel"/>
    <w:tmpl w:val="5E5694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3"/>
  </w:num>
  <w:num w:numId="2">
    <w:abstractNumId w:val="20"/>
  </w:num>
  <w:num w:numId="3">
    <w:abstractNumId w:val="2"/>
  </w:num>
  <w:num w:numId="4">
    <w:abstractNumId w:val="37"/>
  </w:num>
  <w:num w:numId="5">
    <w:abstractNumId w:val="8"/>
  </w:num>
  <w:num w:numId="6">
    <w:abstractNumId w:val="6"/>
  </w:num>
  <w:num w:numId="7">
    <w:abstractNumId w:val="12"/>
  </w:num>
  <w:num w:numId="8">
    <w:abstractNumId w:val="39"/>
  </w:num>
  <w:num w:numId="9">
    <w:abstractNumId w:val="31"/>
  </w:num>
  <w:num w:numId="10">
    <w:abstractNumId w:val="34"/>
  </w:num>
  <w:num w:numId="11">
    <w:abstractNumId w:val="5"/>
  </w:num>
  <w:num w:numId="12">
    <w:abstractNumId w:val="21"/>
  </w:num>
  <w:num w:numId="13">
    <w:abstractNumId w:val="32"/>
  </w:num>
  <w:num w:numId="14">
    <w:abstractNumId w:val="40"/>
  </w:num>
  <w:num w:numId="15">
    <w:abstractNumId w:val="28"/>
  </w:num>
  <w:num w:numId="16">
    <w:abstractNumId w:val="0"/>
  </w:num>
  <w:num w:numId="17">
    <w:abstractNumId w:val="4"/>
  </w:num>
  <w:num w:numId="18">
    <w:abstractNumId w:val="41"/>
  </w:num>
  <w:num w:numId="19">
    <w:abstractNumId w:val="10"/>
  </w:num>
  <w:num w:numId="20">
    <w:abstractNumId w:val="25"/>
  </w:num>
  <w:num w:numId="21">
    <w:abstractNumId w:val="15"/>
  </w:num>
  <w:num w:numId="22">
    <w:abstractNumId w:val="24"/>
  </w:num>
  <w:num w:numId="23">
    <w:abstractNumId w:val="11"/>
  </w:num>
  <w:num w:numId="24">
    <w:abstractNumId w:val="7"/>
  </w:num>
  <w:num w:numId="25">
    <w:abstractNumId w:val="1"/>
  </w:num>
  <w:num w:numId="26">
    <w:abstractNumId w:val="22"/>
  </w:num>
  <w:num w:numId="27">
    <w:abstractNumId w:val="13"/>
  </w:num>
  <w:num w:numId="28">
    <w:abstractNumId w:val="17"/>
  </w:num>
  <w:num w:numId="29">
    <w:abstractNumId w:val="14"/>
  </w:num>
  <w:num w:numId="30">
    <w:abstractNumId w:val="33"/>
  </w:num>
  <w:num w:numId="31">
    <w:abstractNumId w:val="27"/>
  </w:num>
  <w:num w:numId="32">
    <w:abstractNumId w:val="30"/>
  </w:num>
  <w:num w:numId="33">
    <w:abstractNumId w:val="16"/>
  </w:num>
  <w:num w:numId="34">
    <w:abstractNumId w:val="36"/>
  </w:num>
  <w:num w:numId="35">
    <w:abstractNumId w:val="29"/>
  </w:num>
  <w:num w:numId="36">
    <w:abstractNumId w:val="19"/>
  </w:num>
  <w:num w:numId="37">
    <w:abstractNumId w:val="3"/>
  </w:num>
  <w:num w:numId="38">
    <w:abstractNumId w:val="38"/>
  </w:num>
  <w:num w:numId="39">
    <w:abstractNumId w:val="26"/>
  </w:num>
  <w:num w:numId="40">
    <w:abstractNumId w:val="35"/>
  </w:num>
  <w:num w:numId="41">
    <w:abstractNumId w:val="18"/>
  </w:num>
  <w:num w:numId="4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45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7F6C"/>
    <w:rsid w:val="000012A3"/>
    <w:rsid w:val="00006FC4"/>
    <w:rsid w:val="00007F6C"/>
    <w:rsid w:val="00010EC7"/>
    <w:rsid w:val="00015B76"/>
    <w:rsid w:val="0002125B"/>
    <w:rsid w:val="000221FE"/>
    <w:rsid w:val="000355C2"/>
    <w:rsid w:val="000474C2"/>
    <w:rsid w:val="000572EE"/>
    <w:rsid w:val="00061636"/>
    <w:rsid w:val="00063006"/>
    <w:rsid w:val="0006667C"/>
    <w:rsid w:val="00066D07"/>
    <w:rsid w:val="00067A5E"/>
    <w:rsid w:val="000705B9"/>
    <w:rsid w:val="000722F9"/>
    <w:rsid w:val="000723AB"/>
    <w:rsid w:val="00083B9B"/>
    <w:rsid w:val="00091E6C"/>
    <w:rsid w:val="000B4EF6"/>
    <w:rsid w:val="000C4D4F"/>
    <w:rsid w:val="000C61B8"/>
    <w:rsid w:val="000C6281"/>
    <w:rsid w:val="000D707F"/>
    <w:rsid w:val="000E1CFF"/>
    <w:rsid w:val="000E31C9"/>
    <w:rsid w:val="000E5987"/>
    <w:rsid w:val="000E6257"/>
    <w:rsid w:val="000F1BEE"/>
    <w:rsid w:val="00106A5B"/>
    <w:rsid w:val="001214A4"/>
    <w:rsid w:val="00126D12"/>
    <w:rsid w:val="00132990"/>
    <w:rsid w:val="001343C4"/>
    <w:rsid w:val="00135F70"/>
    <w:rsid w:val="001371CC"/>
    <w:rsid w:val="00151775"/>
    <w:rsid w:val="00154312"/>
    <w:rsid w:val="00154370"/>
    <w:rsid w:val="00160628"/>
    <w:rsid w:val="001660B4"/>
    <w:rsid w:val="0016767F"/>
    <w:rsid w:val="00180B55"/>
    <w:rsid w:val="00182ACD"/>
    <w:rsid w:val="00186183"/>
    <w:rsid w:val="00186EC6"/>
    <w:rsid w:val="00195CBF"/>
    <w:rsid w:val="001A3C4B"/>
    <w:rsid w:val="001A4D98"/>
    <w:rsid w:val="001B4149"/>
    <w:rsid w:val="001C34C1"/>
    <w:rsid w:val="001D02E0"/>
    <w:rsid w:val="001D0454"/>
    <w:rsid w:val="001E239A"/>
    <w:rsid w:val="001E3ECE"/>
    <w:rsid w:val="001F6FA2"/>
    <w:rsid w:val="001F7341"/>
    <w:rsid w:val="002020D7"/>
    <w:rsid w:val="00211A89"/>
    <w:rsid w:val="00213BF0"/>
    <w:rsid w:val="00216755"/>
    <w:rsid w:val="0022061C"/>
    <w:rsid w:val="00222CE3"/>
    <w:rsid w:val="00223BD8"/>
    <w:rsid w:val="002310D3"/>
    <w:rsid w:val="00235E79"/>
    <w:rsid w:val="00237E21"/>
    <w:rsid w:val="002453AF"/>
    <w:rsid w:val="0025224D"/>
    <w:rsid w:val="0025655C"/>
    <w:rsid w:val="0026112F"/>
    <w:rsid w:val="00264EB4"/>
    <w:rsid w:val="00270796"/>
    <w:rsid w:val="00271881"/>
    <w:rsid w:val="00275915"/>
    <w:rsid w:val="002859D0"/>
    <w:rsid w:val="00285C23"/>
    <w:rsid w:val="00291C03"/>
    <w:rsid w:val="00292C2E"/>
    <w:rsid w:val="002A3C9C"/>
    <w:rsid w:val="002A60F2"/>
    <w:rsid w:val="002B2D7E"/>
    <w:rsid w:val="002B638A"/>
    <w:rsid w:val="002C10F7"/>
    <w:rsid w:val="002C1963"/>
    <w:rsid w:val="002C22B4"/>
    <w:rsid w:val="002E59BA"/>
    <w:rsid w:val="00304E59"/>
    <w:rsid w:val="00313D6D"/>
    <w:rsid w:val="00315BF8"/>
    <w:rsid w:val="00316043"/>
    <w:rsid w:val="00331279"/>
    <w:rsid w:val="00342FB8"/>
    <w:rsid w:val="0035661E"/>
    <w:rsid w:val="00360801"/>
    <w:rsid w:val="003671F5"/>
    <w:rsid w:val="0037675D"/>
    <w:rsid w:val="00384235"/>
    <w:rsid w:val="003A288A"/>
    <w:rsid w:val="003A783E"/>
    <w:rsid w:val="003C2CA2"/>
    <w:rsid w:val="003C7BAC"/>
    <w:rsid w:val="003E117E"/>
    <w:rsid w:val="003E6404"/>
    <w:rsid w:val="003F07C7"/>
    <w:rsid w:val="003F3B24"/>
    <w:rsid w:val="003F5335"/>
    <w:rsid w:val="00413540"/>
    <w:rsid w:val="00417725"/>
    <w:rsid w:val="0043391E"/>
    <w:rsid w:val="004346BA"/>
    <w:rsid w:val="00443A24"/>
    <w:rsid w:val="00452C65"/>
    <w:rsid w:val="004555F2"/>
    <w:rsid w:val="0045623A"/>
    <w:rsid w:val="0046689F"/>
    <w:rsid w:val="0047113C"/>
    <w:rsid w:val="0047444A"/>
    <w:rsid w:val="00474666"/>
    <w:rsid w:val="004764C9"/>
    <w:rsid w:val="00481BD0"/>
    <w:rsid w:val="004838FA"/>
    <w:rsid w:val="0048473C"/>
    <w:rsid w:val="00496F75"/>
    <w:rsid w:val="004971C5"/>
    <w:rsid w:val="004A2230"/>
    <w:rsid w:val="004A7D26"/>
    <w:rsid w:val="004B726A"/>
    <w:rsid w:val="004B7E7C"/>
    <w:rsid w:val="004C67D3"/>
    <w:rsid w:val="004D4DD8"/>
    <w:rsid w:val="004D50ED"/>
    <w:rsid w:val="004D5B42"/>
    <w:rsid w:val="004D793F"/>
    <w:rsid w:val="004E1874"/>
    <w:rsid w:val="004E2199"/>
    <w:rsid w:val="004E2817"/>
    <w:rsid w:val="004F0E0A"/>
    <w:rsid w:val="004F4702"/>
    <w:rsid w:val="004F66C8"/>
    <w:rsid w:val="0050096F"/>
    <w:rsid w:val="00506BA6"/>
    <w:rsid w:val="005129DC"/>
    <w:rsid w:val="00520C8A"/>
    <w:rsid w:val="0052261F"/>
    <w:rsid w:val="00530F55"/>
    <w:rsid w:val="00532B6A"/>
    <w:rsid w:val="005434DF"/>
    <w:rsid w:val="00543C44"/>
    <w:rsid w:val="005565D9"/>
    <w:rsid w:val="00560DF6"/>
    <w:rsid w:val="0056210C"/>
    <w:rsid w:val="00563517"/>
    <w:rsid w:val="00563D15"/>
    <w:rsid w:val="005708BA"/>
    <w:rsid w:val="00573788"/>
    <w:rsid w:val="00587812"/>
    <w:rsid w:val="00590281"/>
    <w:rsid w:val="00590AF2"/>
    <w:rsid w:val="0059133E"/>
    <w:rsid w:val="00591791"/>
    <w:rsid w:val="005A1F60"/>
    <w:rsid w:val="005A6D2A"/>
    <w:rsid w:val="005B3E77"/>
    <w:rsid w:val="005B3E9C"/>
    <w:rsid w:val="005D5A53"/>
    <w:rsid w:val="005D70EC"/>
    <w:rsid w:val="005E2010"/>
    <w:rsid w:val="005E2F1E"/>
    <w:rsid w:val="005E6B1A"/>
    <w:rsid w:val="005F6180"/>
    <w:rsid w:val="00610E01"/>
    <w:rsid w:val="00612B5C"/>
    <w:rsid w:val="006267CE"/>
    <w:rsid w:val="006331EE"/>
    <w:rsid w:val="00646BB2"/>
    <w:rsid w:val="00646DE8"/>
    <w:rsid w:val="00650D3D"/>
    <w:rsid w:val="00650F8E"/>
    <w:rsid w:val="0065380F"/>
    <w:rsid w:val="00661552"/>
    <w:rsid w:val="00666184"/>
    <w:rsid w:val="00674EEC"/>
    <w:rsid w:val="00677835"/>
    <w:rsid w:val="00682B31"/>
    <w:rsid w:val="0069370F"/>
    <w:rsid w:val="006A4FAB"/>
    <w:rsid w:val="006B3266"/>
    <w:rsid w:val="006C2383"/>
    <w:rsid w:val="006C2E3A"/>
    <w:rsid w:val="006C586A"/>
    <w:rsid w:val="006C5D1F"/>
    <w:rsid w:val="006D5160"/>
    <w:rsid w:val="006D77BC"/>
    <w:rsid w:val="006E081D"/>
    <w:rsid w:val="006E5BC7"/>
    <w:rsid w:val="006F6593"/>
    <w:rsid w:val="00700065"/>
    <w:rsid w:val="007035E6"/>
    <w:rsid w:val="00712D57"/>
    <w:rsid w:val="00722330"/>
    <w:rsid w:val="0072327B"/>
    <w:rsid w:val="00726EF6"/>
    <w:rsid w:val="007302AC"/>
    <w:rsid w:val="00730347"/>
    <w:rsid w:val="0073718A"/>
    <w:rsid w:val="00740AF7"/>
    <w:rsid w:val="00740B15"/>
    <w:rsid w:val="007452B4"/>
    <w:rsid w:val="00766D55"/>
    <w:rsid w:val="00774928"/>
    <w:rsid w:val="007773BF"/>
    <w:rsid w:val="0077748A"/>
    <w:rsid w:val="007847D9"/>
    <w:rsid w:val="00791418"/>
    <w:rsid w:val="007926CE"/>
    <w:rsid w:val="00796A50"/>
    <w:rsid w:val="007A3283"/>
    <w:rsid w:val="007A75B6"/>
    <w:rsid w:val="007C0B6D"/>
    <w:rsid w:val="007C5772"/>
    <w:rsid w:val="007D2EB3"/>
    <w:rsid w:val="007E2B85"/>
    <w:rsid w:val="007E7970"/>
    <w:rsid w:val="007F6CE2"/>
    <w:rsid w:val="00801729"/>
    <w:rsid w:val="00804219"/>
    <w:rsid w:val="00807024"/>
    <w:rsid w:val="00810513"/>
    <w:rsid w:val="00810950"/>
    <w:rsid w:val="00811792"/>
    <w:rsid w:val="008117FB"/>
    <w:rsid w:val="00823051"/>
    <w:rsid w:val="008301BA"/>
    <w:rsid w:val="00835CCA"/>
    <w:rsid w:val="00844432"/>
    <w:rsid w:val="008446C6"/>
    <w:rsid w:val="0085042B"/>
    <w:rsid w:val="00852DC0"/>
    <w:rsid w:val="008539F6"/>
    <w:rsid w:val="00862731"/>
    <w:rsid w:val="00865BC4"/>
    <w:rsid w:val="008675DD"/>
    <w:rsid w:val="00867A7F"/>
    <w:rsid w:val="00875010"/>
    <w:rsid w:val="00885795"/>
    <w:rsid w:val="0088681D"/>
    <w:rsid w:val="00892AFC"/>
    <w:rsid w:val="00894398"/>
    <w:rsid w:val="00894F46"/>
    <w:rsid w:val="008A467B"/>
    <w:rsid w:val="008A5412"/>
    <w:rsid w:val="008B0F96"/>
    <w:rsid w:val="008B1B6E"/>
    <w:rsid w:val="008B2375"/>
    <w:rsid w:val="008B3A81"/>
    <w:rsid w:val="008B6E91"/>
    <w:rsid w:val="008C16A4"/>
    <w:rsid w:val="008C358D"/>
    <w:rsid w:val="008C4D3D"/>
    <w:rsid w:val="008C6559"/>
    <w:rsid w:val="008C6D9B"/>
    <w:rsid w:val="008C7ED1"/>
    <w:rsid w:val="008D7347"/>
    <w:rsid w:val="00900D7E"/>
    <w:rsid w:val="00902A0D"/>
    <w:rsid w:val="00903E7F"/>
    <w:rsid w:val="0090626E"/>
    <w:rsid w:val="009157B9"/>
    <w:rsid w:val="00917288"/>
    <w:rsid w:val="00921E92"/>
    <w:rsid w:val="00924E18"/>
    <w:rsid w:val="00926D6C"/>
    <w:rsid w:val="00937866"/>
    <w:rsid w:val="009409F1"/>
    <w:rsid w:val="00955C61"/>
    <w:rsid w:val="00956300"/>
    <w:rsid w:val="00957655"/>
    <w:rsid w:val="00973265"/>
    <w:rsid w:val="00974ECA"/>
    <w:rsid w:val="009826C5"/>
    <w:rsid w:val="00983982"/>
    <w:rsid w:val="009858F1"/>
    <w:rsid w:val="0098691C"/>
    <w:rsid w:val="00996C1F"/>
    <w:rsid w:val="009A1C39"/>
    <w:rsid w:val="009A3E3A"/>
    <w:rsid w:val="009A7723"/>
    <w:rsid w:val="009A7851"/>
    <w:rsid w:val="009B1634"/>
    <w:rsid w:val="009C4EF3"/>
    <w:rsid w:val="009C7E71"/>
    <w:rsid w:val="009D6AFE"/>
    <w:rsid w:val="009E3262"/>
    <w:rsid w:val="009E4256"/>
    <w:rsid w:val="009E7D73"/>
    <w:rsid w:val="00A12B6A"/>
    <w:rsid w:val="00A17BA8"/>
    <w:rsid w:val="00A219DF"/>
    <w:rsid w:val="00A22F5B"/>
    <w:rsid w:val="00A3776B"/>
    <w:rsid w:val="00A402C1"/>
    <w:rsid w:val="00A42502"/>
    <w:rsid w:val="00A44934"/>
    <w:rsid w:val="00A52311"/>
    <w:rsid w:val="00A54A2B"/>
    <w:rsid w:val="00A56F4A"/>
    <w:rsid w:val="00A672B4"/>
    <w:rsid w:val="00A67AA5"/>
    <w:rsid w:val="00A74028"/>
    <w:rsid w:val="00A76B92"/>
    <w:rsid w:val="00A77A83"/>
    <w:rsid w:val="00A77BB6"/>
    <w:rsid w:val="00AA3079"/>
    <w:rsid w:val="00AA79DE"/>
    <w:rsid w:val="00AB1BB3"/>
    <w:rsid w:val="00AB1C35"/>
    <w:rsid w:val="00AC46C4"/>
    <w:rsid w:val="00AC4AAD"/>
    <w:rsid w:val="00AC5F7B"/>
    <w:rsid w:val="00AD2379"/>
    <w:rsid w:val="00AE456D"/>
    <w:rsid w:val="00AF361C"/>
    <w:rsid w:val="00AF4487"/>
    <w:rsid w:val="00AF56C4"/>
    <w:rsid w:val="00B017D2"/>
    <w:rsid w:val="00B01F6E"/>
    <w:rsid w:val="00B05A77"/>
    <w:rsid w:val="00B06D26"/>
    <w:rsid w:val="00B14934"/>
    <w:rsid w:val="00B14A0F"/>
    <w:rsid w:val="00B171A3"/>
    <w:rsid w:val="00B224A8"/>
    <w:rsid w:val="00B41314"/>
    <w:rsid w:val="00B41DFC"/>
    <w:rsid w:val="00B42C08"/>
    <w:rsid w:val="00B43A11"/>
    <w:rsid w:val="00B47910"/>
    <w:rsid w:val="00B50102"/>
    <w:rsid w:val="00B51DCB"/>
    <w:rsid w:val="00B51F53"/>
    <w:rsid w:val="00B627EC"/>
    <w:rsid w:val="00B62A5A"/>
    <w:rsid w:val="00B636B3"/>
    <w:rsid w:val="00B66CF7"/>
    <w:rsid w:val="00B721D6"/>
    <w:rsid w:val="00B95F77"/>
    <w:rsid w:val="00BA50C7"/>
    <w:rsid w:val="00BB29A6"/>
    <w:rsid w:val="00BB2DBA"/>
    <w:rsid w:val="00BB510F"/>
    <w:rsid w:val="00BB5885"/>
    <w:rsid w:val="00BC35D8"/>
    <w:rsid w:val="00BC7ACB"/>
    <w:rsid w:val="00BD4B79"/>
    <w:rsid w:val="00BE0838"/>
    <w:rsid w:val="00BE7238"/>
    <w:rsid w:val="00BF1AA9"/>
    <w:rsid w:val="00BF605C"/>
    <w:rsid w:val="00BF6616"/>
    <w:rsid w:val="00C01D5D"/>
    <w:rsid w:val="00C0550A"/>
    <w:rsid w:val="00C16BCD"/>
    <w:rsid w:val="00C233A7"/>
    <w:rsid w:val="00C23520"/>
    <w:rsid w:val="00C318DE"/>
    <w:rsid w:val="00C3260A"/>
    <w:rsid w:val="00C44F8F"/>
    <w:rsid w:val="00C64D74"/>
    <w:rsid w:val="00C71343"/>
    <w:rsid w:val="00C73B12"/>
    <w:rsid w:val="00C75748"/>
    <w:rsid w:val="00C77BAC"/>
    <w:rsid w:val="00C861F6"/>
    <w:rsid w:val="00C96557"/>
    <w:rsid w:val="00C97002"/>
    <w:rsid w:val="00CB4729"/>
    <w:rsid w:val="00CB5232"/>
    <w:rsid w:val="00CC7574"/>
    <w:rsid w:val="00CD0CC2"/>
    <w:rsid w:val="00CD33BD"/>
    <w:rsid w:val="00CE3A78"/>
    <w:rsid w:val="00CE7C60"/>
    <w:rsid w:val="00CF3424"/>
    <w:rsid w:val="00CF4B41"/>
    <w:rsid w:val="00CF5761"/>
    <w:rsid w:val="00CF7A32"/>
    <w:rsid w:val="00D001DA"/>
    <w:rsid w:val="00D032B6"/>
    <w:rsid w:val="00D04EC6"/>
    <w:rsid w:val="00D10669"/>
    <w:rsid w:val="00D10F25"/>
    <w:rsid w:val="00D20946"/>
    <w:rsid w:val="00D27B6F"/>
    <w:rsid w:val="00D30D60"/>
    <w:rsid w:val="00D31F2E"/>
    <w:rsid w:val="00D3260D"/>
    <w:rsid w:val="00D332DB"/>
    <w:rsid w:val="00D3723C"/>
    <w:rsid w:val="00D45B03"/>
    <w:rsid w:val="00D47490"/>
    <w:rsid w:val="00D555C7"/>
    <w:rsid w:val="00D65B62"/>
    <w:rsid w:val="00D65E68"/>
    <w:rsid w:val="00D70E59"/>
    <w:rsid w:val="00D75F92"/>
    <w:rsid w:val="00D80A5D"/>
    <w:rsid w:val="00D8282F"/>
    <w:rsid w:val="00D914A0"/>
    <w:rsid w:val="00D91E91"/>
    <w:rsid w:val="00DA1F64"/>
    <w:rsid w:val="00DA32CA"/>
    <w:rsid w:val="00DA7BBE"/>
    <w:rsid w:val="00DD054C"/>
    <w:rsid w:val="00DD0F23"/>
    <w:rsid w:val="00DD566D"/>
    <w:rsid w:val="00DD7D10"/>
    <w:rsid w:val="00DE5B58"/>
    <w:rsid w:val="00DF77DB"/>
    <w:rsid w:val="00E01466"/>
    <w:rsid w:val="00E016A5"/>
    <w:rsid w:val="00E200F5"/>
    <w:rsid w:val="00E22CD4"/>
    <w:rsid w:val="00E32C9D"/>
    <w:rsid w:val="00E36916"/>
    <w:rsid w:val="00E53F5F"/>
    <w:rsid w:val="00E612A7"/>
    <w:rsid w:val="00E62D57"/>
    <w:rsid w:val="00E671CA"/>
    <w:rsid w:val="00E74CD4"/>
    <w:rsid w:val="00E9134B"/>
    <w:rsid w:val="00E931EB"/>
    <w:rsid w:val="00E944AB"/>
    <w:rsid w:val="00EB0393"/>
    <w:rsid w:val="00EB2C0D"/>
    <w:rsid w:val="00EB3F0C"/>
    <w:rsid w:val="00EB52B4"/>
    <w:rsid w:val="00EC445F"/>
    <w:rsid w:val="00EC45C7"/>
    <w:rsid w:val="00EC4F69"/>
    <w:rsid w:val="00EC62EF"/>
    <w:rsid w:val="00EC7E8B"/>
    <w:rsid w:val="00ED7066"/>
    <w:rsid w:val="00ED7184"/>
    <w:rsid w:val="00EE0D88"/>
    <w:rsid w:val="00EE25E3"/>
    <w:rsid w:val="00EE2B87"/>
    <w:rsid w:val="00EE65E9"/>
    <w:rsid w:val="00EF1630"/>
    <w:rsid w:val="00F05548"/>
    <w:rsid w:val="00F07E87"/>
    <w:rsid w:val="00F1096C"/>
    <w:rsid w:val="00F16681"/>
    <w:rsid w:val="00F27533"/>
    <w:rsid w:val="00F27EDB"/>
    <w:rsid w:val="00F30D46"/>
    <w:rsid w:val="00F41BE6"/>
    <w:rsid w:val="00F41E63"/>
    <w:rsid w:val="00F45C4C"/>
    <w:rsid w:val="00F45D46"/>
    <w:rsid w:val="00F46875"/>
    <w:rsid w:val="00F5404D"/>
    <w:rsid w:val="00F62359"/>
    <w:rsid w:val="00F75E4E"/>
    <w:rsid w:val="00F81130"/>
    <w:rsid w:val="00FA6645"/>
    <w:rsid w:val="00FB32D6"/>
    <w:rsid w:val="00FB6F0A"/>
    <w:rsid w:val="00FB7008"/>
    <w:rsid w:val="00FC08BE"/>
    <w:rsid w:val="00FD591A"/>
    <w:rsid w:val="00FE09B8"/>
    <w:rsid w:val="00FE0F38"/>
    <w:rsid w:val="00FE28B8"/>
    <w:rsid w:val="00FE4B6B"/>
    <w:rsid w:val="00FF11D6"/>
    <w:rsid w:val="00FF383D"/>
    <w:rsid w:val="00FF511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14:docId w14:val="498EBD9E"/>
  <w15:chartTrackingRefBased/>
  <w15:docId w15:val="{5984A23E-0EAC-4ADD-B1A6-61873F4E9A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7F6C"/>
  </w:style>
  <w:style w:type="paragraph" w:styleId="Heading1">
    <w:name w:val="heading 1"/>
    <w:aliases w:val="EJR1"/>
    <w:basedOn w:val="Normal"/>
    <w:next w:val="Normal"/>
    <w:link w:val="Heading1Char"/>
    <w:uiPriority w:val="9"/>
    <w:qFormat/>
    <w:rsid w:val="00007F6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aliases w:val="EJR2"/>
    <w:basedOn w:val="Normal"/>
    <w:next w:val="Normal"/>
    <w:link w:val="Heading2Char"/>
    <w:unhideWhenUsed/>
    <w:qFormat/>
    <w:rsid w:val="00007F6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07F6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007F6C"/>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007F6C"/>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qFormat/>
    <w:rsid w:val="00007F6C"/>
    <w:pPr>
      <w:tabs>
        <w:tab w:val="num" w:pos="1152"/>
      </w:tabs>
      <w:spacing w:before="240" w:after="60" w:line="360" w:lineRule="auto"/>
      <w:ind w:left="1152" w:hanging="1152"/>
      <w:jc w:val="both"/>
      <w:outlineLvl w:val="5"/>
    </w:pPr>
    <w:rPr>
      <w:rFonts w:asciiTheme="majorHAnsi" w:eastAsia="MS Mincho" w:hAnsiTheme="majorHAnsi" w:cs="Times New Roman"/>
      <w:b/>
      <w:bCs/>
    </w:rPr>
  </w:style>
  <w:style w:type="paragraph" w:styleId="Heading7">
    <w:name w:val="heading 7"/>
    <w:basedOn w:val="Normal"/>
    <w:next w:val="Normal"/>
    <w:link w:val="Heading7Char"/>
    <w:uiPriority w:val="9"/>
    <w:qFormat/>
    <w:rsid w:val="00007F6C"/>
    <w:pPr>
      <w:tabs>
        <w:tab w:val="num" w:pos="1296"/>
      </w:tabs>
      <w:spacing w:before="240" w:after="60" w:line="360" w:lineRule="auto"/>
      <w:ind w:left="1296" w:hanging="1296"/>
      <w:jc w:val="both"/>
      <w:outlineLvl w:val="6"/>
    </w:pPr>
    <w:rPr>
      <w:rFonts w:ascii="Times New Roman" w:eastAsia="MS Mincho" w:hAnsi="Times New Roman" w:cs="Times New Roman"/>
      <w:sz w:val="24"/>
      <w:szCs w:val="24"/>
    </w:rPr>
  </w:style>
  <w:style w:type="paragraph" w:styleId="Heading8">
    <w:name w:val="heading 8"/>
    <w:basedOn w:val="Normal"/>
    <w:next w:val="Normal"/>
    <w:link w:val="Heading8Char"/>
    <w:qFormat/>
    <w:rsid w:val="00007F6C"/>
    <w:pPr>
      <w:tabs>
        <w:tab w:val="num" w:pos="1440"/>
      </w:tabs>
      <w:spacing w:before="240" w:after="60" w:line="360" w:lineRule="auto"/>
      <w:ind w:left="1440" w:hanging="1440"/>
      <w:jc w:val="both"/>
      <w:outlineLvl w:val="7"/>
    </w:pPr>
    <w:rPr>
      <w:rFonts w:ascii="Times New Roman" w:eastAsia="MS Mincho" w:hAnsi="Times New Roman" w:cs="Times New Roman"/>
      <w:i/>
      <w:iCs/>
      <w:sz w:val="24"/>
      <w:szCs w:val="24"/>
    </w:rPr>
  </w:style>
  <w:style w:type="paragraph" w:styleId="Heading9">
    <w:name w:val="heading 9"/>
    <w:basedOn w:val="Normal"/>
    <w:next w:val="Normal"/>
    <w:link w:val="Heading9Char"/>
    <w:qFormat/>
    <w:rsid w:val="00007F6C"/>
    <w:pPr>
      <w:tabs>
        <w:tab w:val="num" w:pos="1584"/>
      </w:tabs>
      <w:spacing w:before="240" w:after="60" w:line="360" w:lineRule="auto"/>
      <w:ind w:left="1584" w:hanging="1584"/>
      <w:jc w:val="both"/>
      <w:outlineLvl w:val="8"/>
    </w:pPr>
    <w:rPr>
      <w:rFonts w:ascii="Arial" w:eastAsia="MS Mincho"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EJR1 Char"/>
    <w:basedOn w:val="DefaultParagraphFont"/>
    <w:link w:val="Heading1"/>
    <w:uiPriority w:val="9"/>
    <w:rsid w:val="00007F6C"/>
    <w:rPr>
      <w:rFonts w:asciiTheme="majorHAnsi" w:eastAsiaTheme="majorEastAsia" w:hAnsiTheme="majorHAnsi" w:cstheme="majorBidi"/>
      <w:color w:val="2F5496" w:themeColor="accent1" w:themeShade="BF"/>
      <w:sz w:val="32"/>
      <w:szCs w:val="32"/>
    </w:rPr>
  </w:style>
  <w:style w:type="character" w:customStyle="1" w:styleId="Heading2Char">
    <w:name w:val="Heading 2 Char"/>
    <w:aliases w:val="EJR2 Char"/>
    <w:basedOn w:val="DefaultParagraphFont"/>
    <w:link w:val="Heading2"/>
    <w:rsid w:val="00007F6C"/>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007F6C"/>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007F6C"/>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007F6C"/>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007F6C"/>
    <w:rPr>
      <w:rFonts w:asciiTheme="majorHAnsi" w:eastAsia="MS Mincho" w:hAnsiTheme="majorHAnsi" w:cs="Times New Roman"/>
      <w:b/>
      <w:bCs/>
    </w:rPr>
  </w:style>
  <w:style w:type="character" w:customStyle="1" w:styleId="Heading7Char">
    <w:name w:val="Heading 7 Char"/>
    <w:basedOn w:val="DefaultParagraphFont"/>
    <w:link w:val="Heading7"/>
    <w:uiPriority w:val="9"/>
    <w:rsid w:val="00007F6C"/>
    <w:rPr>
      <w:rFonts w:ascii="Times New Roman" w:eastAsia="MS Mincho" w:hAnsi="Times New Roman" w:cs="Times New Roman"/>
      <w:sz w:val="24"/>
      <w:szCs w:val="24"/>
    </w:rPr>
  </w:style>
  <w:style w:type="character" w:customStyle="1" w:styleId="Heading8Char">
    <w:name w:val="Heading 8 Char"/>
    <w:basedOn w:val="DefaultParagraphFont"/>
    <w:link w:val="Heading8"/>
    <w:rsid w:val="00007F6C"/>
    <w:rPr>
      <w:rFonts w:ascii="Times New Roman" w:eastAsia="MS Mincho" w:hAnsi="Times New Roman" w:cs="Times New Roman"/>
      <w:i/>
      <w:iCs/>
      <w:sz w:val="24"/>
      <w:szCs w:val="24"/>
    </w:rPr>
  </w:style>
  <w:style w:type="character" w:customStyle="1" w:styleId="Heading9Char">
    <w:name w:val="Heading 9 Char"/>
    <w:basedOn w:val="DefaultParagraphFont"/>
    <w:link w:val="Heading9"/>
    <w:rsid w:val="00007F6C"/>
    <w:rPr>
      <w:rFonts w:ascii="Arial" w:eastAsia="MS Mincho" w:hAnsi="Arial" w:cs="Arial"/>
    </w:rPr>
  </w:style>
  <w:style w:type="paragraph" w:styleId="Title">
    <w:name w:val="Title"/>
    <w:basedOn w:val="Normal"/>
    <w:next w:val="Normal"/>
    <w:link w:val="TitleChar"/>
    <w:uiPriority w:val="10"/>
    <w:qFormat/>
    <w:rsid w:val="00007F6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07F6C"/>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007F6C"/>
    <w:pPr>
      <w:ind w:left="720"/>
      <w:contextualSpacing/>
    </w:pPr>
  </w:style>
  <w:style w:type="paragraph" w:styleId="Caption">
    <w:name w:val="caption"/>
    <w:aliases w:val="Table Caption"/>
    <w:basedOn w:val="Normal"/>
    <w:next w:val="Normal"/>
    <w:uiPriority w:val="35"/>
    <w:unhideWhenUsed/>
    <w:qFormat/>
    <w:rsid w:val="00007F6C"/>
    <w:pPr>
      <w:spacing w:after="0" w:line="240" w:lineRule="auto"/>
      <w:jc w:val="center"/>
    </w:pPr>
    <w:rPr>
      <w:i/>
      <w:iCs/>
      <w:color w:val="44546A" w:themeColor="text2"/>
      <w:sz w:val="18"/>
      <w:szCs w:val="18"/>
    </w:rPr>
  </w:style>
  <w:style w:type="paragraph" w:styleId="Header">
    <w:name w:val="header"/>
    <w:basedOn w:val="Normal"/>
    <w:link w:val="HeaderChar"/>
    <w:uiPriority w:val="99"/>
    <w:unhideWhenUsed/>
    <w:rsid w:val="00007F6C"/>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7F6C"/>
  </w:style>
  <w:style w:type="paragraph" w:styleId="Footer">
    <w:name w:val="footer"/>
    <w:basedOn w:val="Normal"/>
    <w:link w:val="FooterChar"/>
    <w:uiPriority w:val="99"/>
    <w:unhideWhenUsed/>
    <w:rsid w:val="00007F6C"/>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7F6C"/>
  </w:style>
  <w:style w:type="character" w:styleId="PlaceholderText">
    <w:name w:val="Placeholder Text"/>
    <w:basedOn w:val="DefaultParagraphFont"/>
    <w:uiPriority w:val="99"/>
    <w:semiHidden/>
    <w:rsid w:val="00007F6C"/>
    <w:rPr>
      <w:color w:val="808080"/>
    </w:rPr>
  </w:style>
  <w:style w:type="paragraph" w:styleId="TOC2">
    <w:name w:val="toc 2"/>
    <w:basedOn w:val="Normal"/>
    <w:next w:val="Normal"/>
    <w:autoRedefine/>
    <w:uiPriority w:val="39"/>
    <w:unhideWhenUsed/>
    <w:rsid w:val="00007F6C"/>
    <w:pPr>
      <w:spacing w:after="100"/>
      <w:jc w:val="both"/>
    </w:pPr>
    <w:rPr>
      <w:iCs/>
      <w:szCs w:val="21"/>
    </w:rPr>
  </w:style>
  <w:style w:type="table" w:styleId="TableGrid">
    <w:name w:val="Table Grid"/>
    <w:basedOn w:val="TableNormal"/>
    <w:uiPriority w:val="39"/>
    <w:rsid w:val="00007F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007F6C"/>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007F6C"/>
    <w:rPr>
      <w:rFonts w:eastAsiaTheme="minorEastAsia"/>
      <w:lang w:val="en-US"/>
    </w:rPr>
  </w:style>
  <w:style w:type="paragraph" w:styleId="BalloonText">
    <w:name w:val="Balloon Text"/>
    <w:basedOn w:val="Normal"/>
    <w:link w:val="BalloonTextChar"/>
    <w:uiPriority w:val="99"/>
    <w:semiHidden/>
    <w:unhideWhenUsed/>
    <w:rsid w:val="00007F6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07F6C"/>
    <w:rPr>
      <w:rFonts w:ascii="Segoe UI" w:hAnsi="Segoe UI" w:cs="Segoe UI"/>
      <w:sz w:val="18"/>
      <w:szCs w:val="18"/>
    </w:rPr>
  </w:style>
  <w:style w:type="character" w:styleId="Hyperlink">
    <w:name w:val="Hyperlink"/>
    <w:basedOn w:val="DefaultParagraphFont"/>
    <w:uiPriority w:val="99"/>
    <w:unhideWhenUsed/>
    <w:rsid w:val="00007F6C"/>
    <w:rPr>
      <w:color w:val="0563C1" w:themeColor="hyperlink"/>
      <w:u w:val="single"/>
    </w:rPr>
  </w:style>
  <w:style w:type="paragraph" w:customStyle="1" w:styleId="EndNoteBibliography">
    <w:name w:val="EndNote Bibliography"/>
    <w:basedOn w:val="Normal"/>
    <w:link w:val="EndNoteBibliographyChar"/>
    <w:rsid w:val="00007F6C"/>
    <w:pPr>
      <w:spacing w:line="240" w:lineRule="auto"/>
    </w:pPr>
    <w:rPr>
      <w:rFonts w:ascii="Calibri" w:eastAsiaTheme="minorEastAsia" w:hAnsi="Calibri"/>
      <w:noProof/>
      <w:lang w:eastAsia="zh-CN"/>
    </w:rPr>
  </w:style>
  <w:style w:type="character" w:customStyle="1" w:styleId="EndNoteBibliographyChar">
    <w:name w:val="EndNote Bibliography Char"/>
    <w:basedOn w:val="DefaultParagraphFont"/>
    <w:link w:val="EndNoteBibliography"/>
    <w:rsid w:val="00007F6C"/>
    <w:rPr>
      <w:rFonts w:ascii="Calibri" w:eastAsiaTheme="minorEastAsia" w:hAnsi="Calibri"/>
      <w:noProof/>
      <w:lang w:eastAsia="zh-CN"/>
    </w:rPr>
  </w:style>
  <w:style w:type="paragraph" w:styleId="TOCHeading">
    <w:name w:val="TOC Heading"/>
    <w:basedOn w:val="Heading1"/>
    <w:next w:val="Normal"/>
    <w:uiPriority w:val="39"/>
    <w:unhideWhenUsed/>
    <w:qFormat/>
    <w:rsid w:val="00007F6C"/>
    <w:pPr>
      <w:outlineLvl w:val="9"/>
    </w:pPr>
    <w:rPr>
      <w:b/>
      <w:lang w:val="en-US"/>
    </w:rPr>
  </w:style>
  <w:style w:type="paragraph" w:styleId="TOC3">
    <w:name w:val="toc 3"/>
    <w:basedOn w:val="Normal"/>
    <w:next w:val="Normal"/>
    <w:autoRedefine/>
    <w:uiPriority w:val="39"/>
    <w:unhideWhenUsed/>
    <w:rsid w:val="00007F6C"/>
    <w:pPr>
      <w:spacing w:after="100"/>
      <w:ind w:left="440"/>
    </w:pPr>
  </w:style>
  <w:style w:type="paragraph" w:styleId="BodyTextIndent">
    <w:name w:val="Body Text Indent"/>
    <w:basedOn w:val="Normal"/>
    <w:link w:val="BodyTextIndentChar"/>
    <w:rsid w:val="00007F6C"/>
    <w:pPr>
      <w:spacing w:after="0" w:line="360" w:lineRule="auto"/>
      <w:ind w:left="720"/>
      <w:jc w:val="both"/>
    </w:pPr>
    <w:rPr>
      <w:rFonts w:ascii="Times New Roman" w:eastAsia="MS Mincho" w:hAnsi="Times New Roman" w:cs="Times New Roman"/>
      <w:sz w:val="24"/>
      <w:szCs w:val="24"/>
    </w:rPr>
  </w:style>
  <w:style w:type="character" w:customStyle="1" w:styleId="BodyTextIndentChar">
    <w:name w:val="Body Text Indent Char"/>
    <w:basedOn w:val="DefaultParagraphFont"/>
    <w:link w:val="BodyTextIndent"/>
    <w:rsid w:val="00007F6C"/>
    <w:rPr>
      <w:rFonts w:ascii="Times New Roman" w:eastAsia="MS Mincho" w:hAnsi="Times New Roman" w:cs="Times New Roman"/>
      <w:sz w:val="24"/>
      <w:szCs w:val="24"/>
    </w:rPr>
  </w:style>
  <w:style w:type="character" w:customStyle="1" w:styleId="BalloonTextChar1">
    <w:name w:val="Balloon Text Char1"/>
    <w:basedOn w:val="DefaultParagraphFont"/>
    <w:uiPriority w:val="99"/>
    <w:semiHidden/>
    <w:rsid w:val="00007F6C"/>
    <w:rPr>
      <w:rFonts w:ascii="Segoe UI" w:hAnsi="Segoe UI" w:cs="Segoe UI"/>
      <w:sz w:val="18"/>
      <w:szCs w:val="18"/>
    </w:rPr>
  </w:style>
  <w:style w:type="paragraph" w:styleId="TOC1">
    <w:name w:val="toc 1"/>
    <w:basedOn w:val="Normal"/>
    <w:next w:val="Normal"/>
    <w:autoRedefine/>
    <w:uiPriority w:val="39"/>
    <w:unhideWhenUsed/>
    <w:rsid w:val="00007F6C"/>
    <w:pPr>
      <w:tabs>
        <w:tab w:val="right" w:leader="dot" w:pos="9016"/>
      </w:tabs>
      <w:spacing w:after="100" w:line="360" w:lineRule="auto"/>
      <w:jc w:val="both"/>
    </w:pPr>
    <w:rPr>
      <w:rFonts w:ascii="Calibri" w:eastAsia="MS Mincho" w:hAnsi="Calibri" w:cs="Times New Roman"/>
      <w:noProof/>
      <w:sz w:val="24"/>
      <w:szCs w:val="24"/>
    </w:rPr>
  </w:style>
  <w:style w:type="paragraph" w:customStyle="1" w:styleId="EndNoteBibliographyTitle">
    <w:name w:val="EndNote Bibliography Title"/>
    <w:basedOn w:val="Normal"/>
    <w:link w:val="EndNoteBibliographyTitleChar"/>
    <w:rsid w:val="00007F6C"/>
    <w:pPr>
      <w:spacing w:after="0"/>
      <w:jc w:val="center"/>
    </w:pPr>
    <w:rPr>
      <w:rFonts w:ascii="Calibri" w:hAnsi="Calibri"/>
      <w:noProof/>
      <w:lang w:val="en-US"/>
    </w:rPr>
  </w:style>
  <w:style w:type="character" w:customStyle="1" w:styleId="EndNoteBibliographyTitleChar">
    <w:name w:val="EndNote Bibliography Title Char"/>
    <w:basedOn w:val="DefaultParagraphFont"/>
    <w:link w:val="EndNoteBibliographyTitle"/>
    <w:rsid w:val="00007F6C"/>
    <w:rPr>
      <w:rFonts w:ascii="Calibri" w:hAnsi="Calibri"/>
      <w:noProof/>
      <w:lang w:val="en-US"/>
    </w:rPr>
  </w:style>
  <w:style w:type="paragraph" w:styleId="TableofFigures">
    <w:name w:val="table of figures"/>
    <w:basedOn w:val="Normal"/>
    <w:next w:val="Normal"/>
    <w:uiPriority w:val="99"/>
    <w:unhideWhenUsed/>
    <w:rsid w:val="00007F6C"/>
    <w:pPr>
      <w:spacing w:after="0"/>
    </w:pPr>
  </w:style>
  <w:style w:type="paragraph" w:styleId="CommentText">
    <w:name w:val="annotation text"/>
    <w:basedOn w:val="Normal"/>
    <w:link w:val="CommentTextChar"/>
    <w:uiPriority w:val="99"/>
    <w:semiHidden/>
    <w:unhideWhenUsed/>
    <w:rsid w:val="00007F6C"/>
    <w:pPr>
      <w:spacing w:line="240" w:lineRule="auto"/>
    </w:pPr>
    <w:rPr>
      <w:sz w:val="20"/>
      <w:szCs w:val="20"/>
    </w:rPr>
  </w:style>
  <w:style w:type="character" w:customStyle="1" w:styleId="CommentTextChar">
    <w:name w:val="Comment Text Char"/>
    <w:basedOn w:val="DefaultParagraphFont"/>
    <w:link w:val="CommentText"/>
    <w:uiPriority w:val="99"/>
    <w:semiHidden/>
    <w:rsid w:val="00007F6C"/>
    <w:rPr>
      <w:sz w:val="20"/>
      <w:szCs w:val="20"/>
    </w:rPr>
  </w:style>
  <w:style w:type="character" w:customStyle="1" w:styleId="fn">
    <w:name w:val="fn"/>
    <w:basedOn w:val="DefaultParagraphFont"/>
    <w:rsid w:val="00007F6C"/>
  </w:style>
  <w:style w:type="character" w:customStyle="1" w:styleId="fontstyle01">
    <w:name w:val="fontstyle01"/>
    <w:basedOn w:val="DefaultParagraphFont"/>
    <w:rsid w:val="00007F6C"/>
    <w:rPr>
      <w:rFonts w:ascii="AdvOT863180fb" w:hAnsi="AdvOT863180fb" w:hint="default"/>
      <w:b w:val="0"/>
      <w:bCs w:val="0"/>
      <w:i w:val="0"/>
      <w:iCs w:val="0"/>
      <w:color w:val="0D7FAC"/>
      <w:sz w:val="14"/>
      <w:szCs w:val="14"/>
    </w:rPr>
  </w:style>
  <w:style w:type="character" w:customStyle="1" w:styleId="fontstyle21">
    <w:name w:val="fontstyle21"/>
    <w:basedOn w:val="DefaultParagraphFont"/>
    <w:rsid w:val="00007F6C"/>
    <w:rPr>
      <w:rFonts w:ascii="AdvOT863180fb+20" w:hAnsi="AdvOT863180fb+20" w:hint="default"/>
      <w:b w:val="0"/>
      <w:bCs w:val="0"/>
      <w:i w:val="0"/>
      <w:iCs w:val="0"/>
      <w:color w:val="0D7FAC"/>
      <w:sz w:val="14"/>
      <w:szCs w:val="14"/>
    </w:rPr>
  </w:style>
  <w:style w:type="paragraph" w:customStyle="1" w:styleId="EndNoteCategoryHeading">
    <w:name w:val="EndNote Category Heading"/>
    <w:basedOn w:val="Normal"/>
    <w:link w:val="EndNoteCategoryHeadingChar"/>
    <w:rsid w:val="00007F6C"/>
    <w:pPr>
      <w:spacing w:before="120" w:after="120"/>
    </w:pPr>
    <w:rPr>
      <w:rFonts w:asciiTheme="majorHAnsi" w:eastAsiaTheme="majorEastAsia" w:hAnsiTheme="majorHAnsi" w:cstheme="majorBidi"/>
      <w:b/>
      <w:noProof/>
      <w:color w:val="2F5496" w:themeColor="accent1" w:themeShade="BF"/>
      <w:sz w:val="32"/>
      <w:szCs w:val="32"/>
      <w:lang w:val="en-US"/>
    </w:rPr>
  </w:style>
  <w:style w:type="character" w:customStyle="1" w:styleId="EndNoteCategoryHeadingChar">
    <w:name w:val="EndNote Category Heading Char"/>
    <w:basedOn w:val="Heading1Char"/>
    <w:link w:val="EndNoteCategoryHeading"/>
    <w:rsid w:val="00007F6C"/>
    <w:rPr>
      <w:rFonts w:asciiTheme="majorHAnsi" w:eastAsiaTheme="majorEastAsia" w:hAnsiTheme="majorHAnsi" w:cstheme="majorBidi"/>
      <w:b/>
      <w:noProof/>
      <w:color w:val="2F5496" w:themeColor="accent1" w:themeShade="BF"/>
      <w:sz w:val="32"/>
      <w:szCs w:val="32"/>
      <w:lang w:val="en-US"/>
    </w:rPr>
  </w:style>
  <w:style w:type="character" w:styleId="IntenseEmphasis">
    <w:name w:val="Intense Emphasis"/>
    <w:basedOn w:val="DefaultParagraphFont"/>
    <w:uiPriority w:val="21"/>
    <w:qFormat/>
    <w:rsid w:val="00007F6C"/>
    <w:rPr>
      <w:i/>
      <w:iCs/>
      <w:color w:val="4472C4" w:themeColor="accent1"/>
    </w:rPr>
  </w:style>
  <w:style w:type="paragraph" w:styleId="FootnoteText">
    <w:name w:val="footnote text"/>
    <w:basedOn w:val="Normal"/>
    <w:link w:val="FootnoteTextChar"/>
    <w:uiPriority w:val="99"/>
    <w:semiHidden/>
    <w:unhideWhenUsed/>
    <w:rsid w:val="00007F6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07F6C"/>
    <w:rPr>
      <w:sz w:val="20"/>
      <w:szCs w:val="20"/>
    </w:rPr>
  </w:style>
  <w:style w:type="character" w:styleId="FootnoteReference">
    <w:name w:val="footnote reference"/>
    <w:basedOn w:val="DefaultParagraphFont"/>
    <w:uiPriority w:val="99"/>
    <w:semiHidden/>
    <w:unhideWhenUsed/>
    <w:rsid w:val="00007F6C"/>
    <w:rPr>
      <w:vertAlign w:val="superscript"/>
    </w:rPr>
  </w:style>
  <w:style w:type="paragraph" w:styleId="NormalWeb">
    <w:name w:val="Normal (Web)"/>
    <w:basedOn w:val="Normal"/>
    <w:uiPriority w:val="99"/>
    <w:semiHidden/>
    <w:unhideWhenUsed/>
    <w:rsid w:val="00007F6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CommentReference">
    <w:name w:val="annotation reference"/>
    <w:basedOn w:val="DefaultParagraphFont"/>
    <w:uiPriority w:val="99"/>
    <w:semiHidden/>
    <w:unhideWhenUsed/>
    <w:rsid w:val="00007F6C"/>
    <w:rPr>
      <w:sz w:val="16"/>
      <w:szCs w:val="16"/>
    </w:rPr>
  </w:style>
  <w:style w:type="paragraph" w:styleId="CommentSubject">
    <w:name w:val="annotation subject"/>
    <w:basedOn w:val="CommentText"/>
    <w:next w:val="CommentText"/>
    <w:link w:val="CommentSubjectChar"/>
    <w:uiPriority w:val="99"/>
    <w:semiHidden/>
    <w:unhideWhenUsed/>
    <w:rsid w:val="00007F6C"/>
    <w:rPr>
      <w:b/>
      <w:bCs/>
    </w:rPr>
  </w:style>
  <w:style w:type="character" w:customStyle="1" w:styleId="CommentSubjectChar">
    <w:name w:val="Comment Subject Char"/>
    <w:basedOn w:val="CommentTextChar"/>
    <w:link w:val="CommentSubject"/>
    <w:uiPriority w:val="99"/>
    <w:semiHidden/>
    <w:rsid w:val="00007F6C"/>
    <w:rPr>
      <w:b/>
      <w:bCs/>
      <w:sz w:val="20"/>
      <w:szCs w:val="20"/>
    </w:rPr>
  </w:style>
  <w:style w:type="character" w:customStyle="1" w:styleId="apple-tab-span">
    <w:name w:val="apple-tab-span"/>
    <w:basedOn w:val="DefaultParagraphFont"/>
    <w:rsid w:val="00007F6C"/>
  </w:style>
  <w:style w:type="character" w:styleId="UnresolvedMention">
    <w:name w:val="Unresolved Mention"/>
    <w:basedOn w:val="DefaultParagraphFont"/>
    <w:uiPriority w:val="99"/>
    <w:semiHidden/>
    <w:unhideWhenUsed/>
    <w:rsid w:val="00007F6C"/>
    <w:rPr>
      <w:color w:val="605E5C"/>
      <w:shd w:val="clear" w:color="auto" w:fill="E1DFDD"/>
    </w:rPr>
  </w:style>
  <w:style w:type="paragraph" w:styleId="TOC4">
    <w:name w:val="toc 4"/>
    <w:basedOn w:val="Normal"/>
    <w:next w:val="Normal"/>
    <w:autoRedefine/>
    <w:uiPriority w:val="39"/>
    <w:unhideWhenUsed/>
    <w:rsid w:val="00007F6C"/>
    <w:pPr>
      <w:spacing w:after="100"/>
      <w:ind w:left="660"/>
    </w:pPr>
    <w:rPr>
      <w:rFonts w:eastAsiaTheme="minorEastAsia"/>
      <w:lang w:eastAsia="en-GB"/>
    </w:rPr>
  </w:style>
  <w:style w:type="paragraph" w:styleId="TOC5">
    <w:name w:val="toc 5"/>
    <w:basedOn w:val="Normal"/>
    <w:next w:val="Normal"/>
    <w:autoRedefine/>
    <w:uiPriority w:val="39"/>
    <w:unhideWhenUsed/>
    <w:rsid w:val="00007F6C"/>
    <w:pPr>
      <w:spacing w:after="100"/>
      <w:ind w:left="880"/>
    </w:pPr>
    <w:rPr>
      <w:rFonts w:eastAsiaTheme="minorEastAsia"/>
      <w:lang w:eastAsia="en-GB"/>
    </w:rPr>
  </w:style>
  <w:style w:type="paragraph" w:styleId="TOC6">
    <w:name w:val="toc 6"/>
    <w:basedOn w:val="Normal"/>
    <w:next w:val="Normal"/>
    <w:autoRedefine/>
    <w:uiPriority w:val="39"/>
    <w:unhideWhenUsed/>
    <w:rsid w:val="00007F6C"/>
    <w:pPr>
      <w:spacing w:after="100"/>
      <w:ind w:left="1100"/>
    </w:pPr>
    <w:rPr>
      <w:rFonts w:eastAsiaTheme="minorEastAsia"/>
      <w:lang w:eastAsia="en-GB"/>
    </w:rPr>
  </w:style>
  <w:style w:type="paragraph" w:styleId="TOC7">
    <w:name w:val="toc 7"/>
    <w:basedOn w:val="Normal"/>
    <w:next w:val="Normal"/>
    <w:autoRedefine/>
    <w:uiPriority w:val="39"/>
    <w:unhideWhenUsed/>
    <w:rsid w:val="00007F6C"/>
    <w:pPr>
      <w:spacing w:after="100"/>
      <w:ind w:left="1320"/>
    </w:pPr>
    <w:rPr>
      <w:rFonts w:eastAsiaTheme="minorEastAsia"/>
      <w:lang w:eastAsia="en-GB"/>
    </w:rPr>
  </w:style>
  <w:style w:type="paragraph" w:styleId="TOC8">
    <w:name w:val="toc 8"/>
    <w:basedOn w:val="Normal"/>
    <w:next w:val="Normal"/>
    <w:autoRedefine/>
    <w:uiPriority w:val="39"/>
    <w:unhideWhenUsed/>
    <w:rsid w:val="00007F6C"/>
    <w:pPr>
      <w:spacing w:after="100"/>
      <w:ind w:left="1540"/>
    </w:pPr>
    <w:rPr>
      <w:rFonts w:eastAsiaTheme="minorEastAsia"/>
      <w:lang w:eastAsia="en-GB"/>
    </w:rPr>
  </w:style>
  <w:style w:type="paragraph" w:styleId="TOC9">
    <w:name w:val="toc 9"/>
    <w:basedOn w:val="Normal"/>
    <w:next w:val="Normal"/>
    <w:autoRedefine/>
    <w:uiPriority w:val="39"/>
    <w:unhideWhenUsed/>
    <w:rsid w:val="00007F6C"/>
    <w:pPr>
      <w:spacing w:after="100"/>
      <w:ind w:left="1760"/>
    </w:pPr>
    <w:rPr>
      <w:rFonts w:eastAsiaTheme="minorEastAsia"/>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763383">
      <w:bodyDiv w:val="1"/>
      <w:marLeft w:val="0"/>
      <w:marRight w:val="0"/>
      <w:marTop w:val="0"/>
      <w:marBottom w:val="0"/>
      <w:divBdr>
        <w:top w:val="none" w:sz="0" w:space="0" w:color="auto"/>
        <w:left w:val="none" w:sz="0" w:space="0" w:color="auto"/>
        <w:bottom w:val="none" w:sz="0" w:space="0" w:color="auto"/>
        <w:right w:val="none" w:sz="0" w:space="0" w:color="auto"/>
      </w:divBdr>
    </w:div>
    <w:div w:id="1369376313">
      <w:bodyDiv w:val="1"/>
      <w:marLeft w:val="0"/>
      <w:marRight w:val="0"/>
      <w:marTop w:val="0"/>
      <w:marBottom w:val="0"/>
      <w:divBdr>
        <w:top w:val="none" w:sz="0" w:space="0" w:color="auto"/>
        <w:left w:val="none" w:sz="0" w:space="0" w:color="auto"/>
        <w:bottom w:val="none" w:sz="0" w:space="0" w:color="auto"/>
        <w:right w:val="none" w:sz="0" w:space="0" w:color="auto"/>
      </w:divBdr>
    </w:div>
    <w:div w:id="1391686792">
      <w:bodyDiv w:val="1"/>
      <w:marLeft w:val="0"/>
      <w:marRight w:val="0"/>
      <w:marTop w:val="0"/>
      <w:marBottom w:val="0"/>
      <w:divBdr>
        <w:top w:val="none" w:sz="0" w:space="0" w:color="auto"/>
        <w:left w:val="none" w:sz="0" w:space="0" w:color="auto"/>
        <w:bottom w:val="none" w:sz="0" w:space="0" w:color="auto"/>
        <w:right w:val="none" w:sz="0" w:space="0" w:color="auto"/>
      </w:divBdr>
    </w:div>
    <w:div w:id="1555578197">
      <w:bodyDiv w:val="1"/>
      <w:marLeft w:val="0"/>
      <w:marRight w:val="0"/>
      <w:marTop w:val="0"/>
      <w:marBottom w:val="0"/>
      <w:divBdr>
        <w:top w:val="none" w:sz="0" w:space="0" w:color="auto"/>
        <w:left w:val="none" w:sz="0" w:space="0" w:color="auto"/>
        <w:bottom w:val="none" w:sz="0" w:space="0" w:color="auto"/>
        <w:right w:val="none" w:sz="0" w:space="0" w:color="auto"/>
      </w:divBdr>
    </w:div>
    <w:div w:id="1562985644">
      <w:bodyDiv w:val="1"/>
      <w:marLeft w:val="0"/>
      <w:marRight w:val="0"/>
      <w:marTop w:val="0"/>
      <w:marBottom w:val="0"/>
      <w:divBdr>
        <w:top w:val="none" w:sz="0" w:space="0" w:color="auto"/>
        <w:left w:val="none" w:sz="0" w:space="0" w:color="auto"/>
        <w:bottom w:val="none" w:sz="0" w:space="0" w:color="auto"/>
        <w:right w:val="none" w:sz="0" w:space="0" w:color="auto"/>
      </w:divBdr>
    </w:div>
    <w:div w:id="2113893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3.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emf"/><Relationship Id="rId159" Type="http://schemas.openxmlformats.org/officeDocument/2006/relationships/image" Target="media/image150.jpe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107" Type="http://schemas.openxmlformats.org/officeDocument/2006/relationships/image" Target="media/image98.emf"/><Relationship Id="rId11" Type="http://schemas.openxmlformats.org/officeDocument/2006/relationships/image" Target="media/image4.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tiff"/><Relationship Id="rId128" Type="http://schemas.openxmlformats.org/officeDocument/2006/relationships/image" Target="media/image119.jpeg"/><Relationship Id="rId149" Type="http://schemas.openxmlformats.org/officeDocument/2006/relationships/image" Target="media/image140.emf"/><Relationship Id="rId5" Type="http://schemas.openxmlformats.org/officeDocument/2006/relationships/webSettings" Target="webSettings.xml"/><Relationship Id="rId95" Type="http://schemas.openxmlformats.org/officeDocument/2006/relationships/image" Target="media/image86.tiff"/><Relationship Id="rId160" Type="http://schemas.openxmlformats.org/officeDocument/2006/relationships/image" Target="media/image151.jpeg"/><Relationship Id="rId181" Type="http://schemas.openxmlformats.org/officeDocument/2006/relationships/image" Target="media/image172.png"/><Relationship Id="rId216" Type="http://schemas.openxmlformats.org/officeDocument/2006/relationships/image" Target="media/image207.tif"/><Relationship Id="rId211" Type="http://schemas.openxmlformats.org/officeDocument/2006/relationships/image" Target="media/image202.emf"/><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emf"/><Relationship Id="rId118" Type="http://schemas.openxmlformats.org/officeDocument/2006/relationships/image" Target="media/image109.png"/><Relationship Id="rId134" Type="http://schemas.openxmlformats.org/officeDocument/2006/relationships/image" Target="media/image125.emf"/><Relationship Id="rId139" Type="http://schemas.openxmlformats.org/officeDocument/2006/relationships/image" Target="media/image130.emf"/><Relationship Id="rId80" Type="http://schemas.openxmlformats.org/officeDocument/2006/relationships/image" Target="media/image71.png"/><Relationship Id="rId85" Type="http://schemas.openxmlformats.org/officeDocument/2006/relationships/image" Target="media/image76.tif"/><Relationship Id="rId150" Type="http://schemas.openxmlformats.org/officeDocument/2006/relationships/image" Target="media/image141.emf"/><Relationship Id="rId155" Type="http://schemas.openxmlformats.org/officeDocument/2006/relationships/image" Target="media/image146.emf"/><Relationship Id="rId171" Type="http://schemas.openxmlformats.org/officeDocument/2006/relationships/image" Target="media/image162.tif"/><Relationship Id="rId176" Type="http://schemas.openxmlformats.org/officeDocument/2006/relationships/image" Target="media/image167.jpg"/><Relationship Id="rId192" Type="http://schemas.openxmlformats.org/officeDocument/2006/relationships/image" Target="media/image183.png"/><Relationship Id="rId197" Type="http://schemas.openxmlformats.org/officeDocument/2006/relationships/image" Target="media/image188.emf"/><Relationship Id="rId206" Type="http://schemas.openxmlformats.org/officeDocument/2006/relationships/image" Target="media/image197.png"/><Relationship Id="rId201" Type="http://schemas.openxmlformats.org/officeDocument/2006/relationships/image" Target="media/image192.png"/><Relationship Id="rId222" Type="http://schemas.openxmlformats.org/officeDocument/2006/relationships/image" Target="media/image213.jpg"/><Relationship Id="rId12" Type="http://schemas.openxmlformats.org/officeDocument/2006/relationships/image" Target="media/image5.png"/><Relationship Id="rId17" Type="http://schemas.openxmlformats.org/officeDocument/2006/relationships/image" Target="media/image9.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image" Target="media/image94.emf"/><Relationship Id="rId108" Type="http://schemas.openxmlformats.org/officeDocument/2006/relationships/image" Target="media/image99.emf"/><Relationship Id="rId124" Type="http://schemas.openxmlformats.org/officeDocument/2006/relationships/image" Target="media/image115.emf"/><Relationship Id="rId129" Type="http://schemas.openxmlformats.org/officeDocument/2006/relationships/image" Target="media/image120.jpe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emf"/><Relationship Id="rId145" Type="http://schemas.openxmlformats.org/officeDocument/2006/relationships/image" Target="media/image136.emf"/><Relationship Id="rId161" Type="http://schemas.openxmlformats.org/officeDocument/2006/relationships/image" Target="media/image152.png"/><Relationship Id="rId166" Type="http://schemas.openxmlformats.org/officeDocument/2006/relationships/image" Target="media/image157.png"/><Relationship Id="rId182" Type="http://schemas.openxmlformats.org/officeDocument/2006/relationships/image" Target="media/image173.emf"/><Relationship Id="rId187" Type="http://schemas.openxmlformats.org/officeDocument/2006/relationships/image" Target="media/image178.png"/><Relationship Id="rId217" Type="http://schemas.openxmlformats.org/officeDocument/2006/relationships/image" Target="media/image208.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3.emf"/><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0.png"/><Relationship Id="rId114" Type="http://schemas.openxmlformats.org/officeDocument/2006/relationships/image" Target="media/image105.emf"/><Relationship Id="rId119" Type="http://schemas.openxmlformats.org/officeDocument/2006/relationships/image" Target="media/image110.emf"/><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tif"/><Relationship Id="rId130" Type="http://schemas.openxmlformats.org/officeDocument/2006/relationships/image" Target="media/image121.emf"/><Relationship Id="rId135" Type="http://schemas.openxmlformats.org/officeDocument/2006/relationships/image" Target="media/image126.emf"/><Relationship Id="rId151" Type="http://schemas.openxmlformats.org/officeDocument/2006/relationships/image" Target="media/image142.png"/><Relationship Id="rId156" Type="http://schemas.openxmlformats.org/officeDocument/2006/relationships/image" Target="media/image147.png"/><Relationship Id="rId177" Type="http://schemas.openxmlformats.org/officeDocument/2006/relationships/image" Target="media/image168.jpg"/><Relationship Id="rId198" Type="http://schemas.openxmlformats.org/officeDocument/2006/relationships/image" Target="media/image189.jpg"/><Relationship Id="rId172" Type="http://schemas.openxmlformats.org/officeDocument/2006/relationships/image" Target="media/image163.png"/><Relationship Id="rId193" Type="http://schemas.openxmlformats.org/officeDocument/2006/relationships/image" Target="media/image184.png"/><Relationship Id="rId202" Type="http://schemas.openxmlformats.org/officeDocument/2006/relationships/image" Target="media/image193.emf"/><Relationship Id="rId207" Type="http://schemas.openxmlformats.org/officeDocument/2006/relationships/image" Target="media/image198.jpg"/><Relationship Id="rId223" Type="http://schemas.openxmlformats.org/officeDocument/2006/relationships/footer" Target="footer1.xml"/><Relationship Id="rId13" Type="http://schemas.openxmlformats.org/officeDocument/2006/relationships/image" Target="media/image6.emf"/><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image" Target="media/image100.emf"/><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emf"/><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emf"/><Relationship Id="rId125" Type="http://schemas.openxmlformats.org/officeDocument/2006/relationships/image" Target="media/image116.png"/><Relationship Id="rId141" Type="http://schemas.openxmlformats.org/officeDocument/2006/relationships/image" Target="media/image132.emf"/><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emf"/><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tif"/><Relationship Id="rId162" Type="http://schemas.openxmlformats.org/officeDocument/2006/relationships/image" Target="media/image153.jpeg"/><Relationship Id="rId183" Type="http://schemas.openxmlformats.org/officeDocument/2006/relationships/image" Target="media/image174.jpeg"/><Relationship Id="rId213" Type="http://schemas.openxmlformats.org/officeDocument/2006/relationships/image" Target="media/image204.png"/><Relationship Id="rId218" Type="http://schemas.openxmlformats.org/officeDocument/2006/relationships/image" Target="media/image209.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6.jpeg"/><Relationship Id="rId66" Type="http://schemas.openxmlformats.org/officeDocument/2006/relationships/image" Target="media/image57.tiff"/><Relationship Id="rId87" Type="http://schemas.openxmlformats.org/officeDocument/2006/relationships/image" Target="media/image78.png"/><Relationship Id="rId110" Type="http://schemas.openxmlformats.org/officeDocument/2006/relationships/image" Target="media/image101.emf"/><Relationship Id="rId115" Type="http://schemas.openxmlformats.org/officeDocument/2006/relationships/image" Target="media/image106.emf"/><Relationship Id="rId131" Type="http://schemas.openxmlformats.org/officeDocument/2006/relationships/image" Target="media/image122.emf"/><Relationship Id="rId136" Type="http://schemas.openxmlformats.org/officeDocument/2006/relationships/image" Target="media/image127.emf"/><Relationship Id="rId157" Type="http://schemas.openxmlformats.org/officeDocument/2006/relationships/image" Target="media/image148.jpeg"/><Relationship Id="rId178" Type="http://schemas.openxmlformats.org/officeDocument/2006/relationships/image" Target="media/image169.jp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emf"/><Relationship Id="rId173" Type="http://schemas.openxmlformats.org/officeDocument/2006/relationships/image" Target="media/image164.jpg"/><Relationship Id="rId194" Type="http://schemas.openxmlformats.org/officeDocument/2006/relationships/image" Target="media/image185.png"/><Relationship Id="rId199" Type="http://schemas.openxmlformats.org/officeDocument/2006/relationships/image" Target="media/image190.emf"/><Relationship Id="rId203" Type="http://schemas.openxmlformats.org/officeDocument/2006/relationships/image" Target="media/image194.emf"/><Relationship Id="rId208" Type="http://schemas.openxmlformats.org/officeDocument/2006/relationships/image" Target="media/image199.png"/><Relationship Id="rId19" Type="http://schemas.openxmlformats.org/officeDocument/2006/relationships/image" Target="media/image11.png"/><Relationship Id="rId224" Type="http://schemas.openxmlformats.org/officeDocument/2006/relationships/fontTable" Target="fontTable.xml"/><Relationship Id="rId14" Type="http://schemas.openxmlformats.org/officeDocument/2006/relationships/image" Target="media/image7.emf"/><Relationship Id="rId30" Type="http://schemas.openxmlformats.org/officeDocument/2006/relationships/chart" Target="charts/chart1.xml"/><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emf"/><Relationship Id="rId126" Type="http://schemas.openxmlformats.org/officeDocument/2006/relationships/image" Target="media/image117.png"/><Relationship Id="rId147" Type="http://schemas.openxmlformats.org/officeDocument/2006/relationships/image" Target="media/image138.emf"/><Relationship Id="rId168" Type="http://schemas.openxmlformats.org/officeDocument/2006/relationships/image" Target="media/image159.png"/><Relationship Id="rId8" Type="http://schemas.openxmlformats.org/officeDocument/2006/relationships/image" Target="media/image1.jpeg"/><Relationship Id="rId51" Type="http://schemas.openxmlformats.org/officeDocument/2006/relationships/image" Target="media/image42.emf"/><Relationship Id="rId72" Type="http://schemas.openxmlformats.org/officeDocument/2006/relationships/image" Target="media/image63.jpe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emf"/><Relationship Id="rId163" Type="http://schemas.openxmlformats.org/officeDocument/2006/relationships/image" Target="media/image154.jpeg"/><Relationship Id="rId184" Type="http://schemas.openxmlformats.org/officeDocument/2006/relationships/image" Target="media/image175.jpeg"/><Relationship Id="rId189" Type="http://schemas.openxmlformats.org/officeDocument/2006/relationships/image" Target="media/image180.emf"/><Relationship Id="rId219" Type="http://schemas.openxmlformats.org/officeDocument/2006/relationships/image" Target="media/image210.emf"/><Relationship Id="rId3" Type="http://schemas.openxmlformats.org/officeDocument/2006/relationships/styles" Target="styles.xml"/><Relationship Id="rId214" Type="http://schemas.openxmlformats.org/officeDocument/2006/relationships/image" Target="media/image205.emf"/><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image" Target="media/image58.tiff"/><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tiff"/><Relationship Id="rId20" Type="http://schemas.openxmlformats.org/officeDocument/2006/relationships/image" Target="media/image12.jpeg"/><Relationship Id="rId41" Type="http://schemas.openxmlformats.org/officeDocument/2006/relationships/image" Target="media/image32.png"/><Relationship Id="rId62" Type="http://schemas.openxmlformats.org/officeDocument/2006/relationships/image" Target="media/image53.jpe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emf"/><Relationship Id="rId132" Type="http://schemas.openxmlformats.org/officeDocument/2006/relationships/image" Target="media/image123.emf"/><Relationship Id="rId153" Type="http://schemas.openxmlformats.org/officeDocument/2006/relationships/image" Target="media/image144.emf"/><Relationship Id="rId174" Type="http://schemas.openxmlformats.org/officeDocument/2006/relationships/image" Target="media/image165.emf"/><Relationship Id="rId179" Type="http://schemas.openxmlformats.org/officeDocument/2006/relationships/image" Target="media/image170.jpg"/><Relationship Id="rId195" Type="http://schemas.openxmlformats.org/officeDocument/2006/relationships/image" Target="media/image186.png"/><Relationship Id="rId209" Type="http://schemas.openxmlformats.org/officeDocument/2006/relationships/image" Target="media/image200.png"/><Relationship Id="rId190" Type="http://schemas.openxmlformats.org/officeDocument/2006/relationships/image" Target="media/image181.emf"/><Relationship Id="rId204" Type="http://schemas.openxmlformats.org/officeDocument/2006/relationships/image" Target="media/image195.emf"/><Relationship Id="rId220" Type="http://schemas.openxmlformats.org/officeDocument/2006/relationships/image" Target="media/image211.emf"/><Relationship Id="rId225" Type="http://schemas.openxmlformats.org/officeDocument/2006/relationships/theme" Target="theme/theme1.xml"/><Relationship Id="rId15" Type="http://schemas.openxmlformats.org/officeDocument/2006/relationships/image" Target="media/image8.emf"/><Relationship Id="rId36" Type="http://schemas.openxmlformats.org/officeDocument/2006/relationships/image" Target="media/image27.jpeg"/><Relationship Id="rId57" Type="http://schemas.openxmlformats.org/officeDocument/2006/relationships/image" Target="media/image48.png"/><Relationship Id="rId106" Type="http://schemas.openxmlformats.org/officeDocument/2006/relationships/image" Target="media/image97.emf"/><Relationship Id="rId127" Type="http://schemas.openxmlformats.org/officeDocument/2006/relationships/image" Target="media/image118.jpeg"/><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jpe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jpeg"/><Relationship Id="rId122" Type="http://schemas.openxmlformats.org/officeDocument/2006/relationships/image" Target="media/image113.png"/><Relationship Id="rId143" Type="http://schemas.openxmlformats.org/officeDocument/2006/relationships/image" Target="media/image134.emf"/><Relationship Id="rId148" Type="http://schemas.openxmlformats.org/officeDocument/2006/relationships/image" Target="media/image139.emf"/><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jp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1.jpeg"/><Relationship Id="rId210" Type="http://schemas.openxmlformats.org/officeDocument/2006/relationships/image" Target="media/image201.png"/><Relationship Id="rId215" Type="http://schemas.openxmlformats.org/officeDocument/2006/relationships/image" Target="media/image206.tif"/><Relationship Id="rId26" Type="http://schemas.openxmlformats.org/officeDocument/2006/relationships/image" Target="media/image18.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emf"/><Relationship Id="rId112" Type="http://schemas.openxmlformats.org/officeDocument/2006/relationships/image" Target="media/image103.emf"/><Relationship Id="rId133" Type="http://schemas.openxmlformats.org/officeDocument/2006/relationships/image" Target="media/image124.emf"/><Relationship Id="rId154" Type="http://schemas.openxmlformats.org/officeDocument/2006/relationships/image" Target="media/image145.emf"/><Relationship Id="rId175" Type="http://schemas.openxmlformats.org/officeDocument/2006/relationships/image" Target="media/image166.emf"/><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oleObject" Target="embeddings/oleObject1.bin"/><Relationship Id="rId221" Type="http://schemas.openxmlformats.org/officeDocument/2006/relationships/image" Target="media/image212.jpg"/><Relationship Id="rId37" Type="http://schemas.openxmlformats.org/officeDocument/2006/relationships/image" Target="media/image28.jpeg"/><Relationship Id="rId58" Type="http://schemas.openxmlformats.org/officeDocument/2006/relationships/image" Target="media/image49.emf"/><Relationship Id="rId79" Type="http://schemas.openxmlformats.org/officeDocument/2006/relationships/image" Target="media/image70.emf"/><Relationship Id="rId102" Type="http://schemas.openxmlformats.org/officeDocument/2006/relationships/image" Target="media/image93.jpeg"/><Relationship Id="rId123" Type="http://schemas.openxmlformats.org/officeDocument/2006/relationships/image" Target="media/image114.emf"/><Relationship Id="rId144" Type="http://schemas.openxmlformats.org/officeDocument/2006/relationships/image" Target="media/image135.emf"/><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s>
</file>

<file path=word/charts/_rels/chart1.xml.rels><?xml version="1.0" encoding="UTF-8" standalone="yes"?>
<Relationships xmlns="http://schemas.openxmlformats.org/package/2006/relationships"><Relationship Id="rId1" Type="http://schemas.openxmlformats.org/officeDocument/2006/relationships/oleObject" Target="file:///E:\PhD\Mass%20change%20vs%20decomposition%20temp%20Ni%20Nitrat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dLbls>
            <c:dLbl>
              <c:idx val="0"/>
              <c:layout>
                <c:manualLayout>
                  <c:x val="3.4602076124567491E-2"/>
                  <c:y val="5.2185257664709717E-3"/>
                </c:manualLayout>
              </c:layout>
              <c:tx>
                <c:rich>
                  <a:bodyPr/>
                  <a:lstStyle/>
                  <a:p>
                    <a:r>
                      <a:rPr lang="en-US"/>
                      <a:t>Criado et al</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A2A-41AE-B09B-E58CBD4679E5}"/>
                </c:ext>
              </c:extLst>
            </c:dLbl>
            <c:dLbl>
              <c:idx val="1"/>
              <c:layout>
                <c:manualLayout>
                  <c:x val="-0.12456747404844293"/>
                  <c:y val="-1.8264840182648401E-2"/>
                </c:manualLayout>
              </c:layout>
              <c:tx>
                <c:rich>
                  <a:bodyPr/>
                  <a:lstStyle/>
                  <a:p>
                    <a:r>
                      <a:rPr lang="en-US"/>
                      <a:t>Brockner</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A2A-41AE-B09B-E58CBD4679E5}"/>
                </c:ext>
              </c:extLst>
            </c:dLbl>
            <c:dLbl>
              <c:idx val="2"/>
              <c:layout>
                <c:manualLayout>
                  <c:x val="-2.9988465974625154E-2"/>
                  <c:y val="-3.9138943248532287E-2"/>
                </c:manualLayout>
              </c:layout>
              <c:tx>
                <c:rich>
                  <a:bodyPr/>
                  <a:lstStyle/>
                  <a:p>
                    <a:r>
                      <a:rPr lang="en-US"/>
                      <a:t>Mansour</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6A2A-41AE-B09B-E58CBD4679E5}"/>
                </c:ext>
              </c:extLst>
            </c:dLbl>
            <c:dLbl>
              <c:idx val="3"/>
              <c:layout>
                <c:manualLayout>
                  <c:x val="2.3068050749711643E-2"/>
                  <c:y val="0"/>
                </c:manualLayout>
              </c:layout>
              <c:tx>
                <c:rich>
                  <a:bodyPr/>
                  <a:lstStyle/>
                  <a:p>
                    <a:r>
                      <a:rPr lang="en-US"/>
                      <a:t>Malecka</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A2A-41AE-B09B-E58CBD4679E5}"/>
                </c:ext>
              </c:extLst>
            </c:dLbl>
            <c:dLbl>
              <c:idx val="4"/>
              <c:layout>
                <c:manualLayout>
                  <c:x val="2.5374855824682813E-2"/>
                  <c:y val="1.3046314416177485E-2"/>
                </c:manualLayout>
              </c:layout>
              <c:tx>
                <c:rich>
                  <a:bodyPr/>
                  <a:lstStyle/>
                  <a:p>
                    <a:r>
                      <a:rPr lang="en-US"/>
                      <a:t>Elmasry</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6A2A-41AE-B09B-E58CBD4679E5}"/>
                </c:ext>
              </c:extLst>
            </c:dLbl>
            <c:dLbl>
              <c:idx val="5"/>
              <c:delete val="1"/>
              <c:extLst>
                <c:ext xmlns:c15="http://schemas.microsoft.com/office/drawing/2012/chart" uri="{CE6537A1-D6FC-4f65-9D91-7224C49458BB}"/>
                <c:ext xmlns:c16="http://schemas.microsoft.com/office/drawing/2014/chart" uri="{C3380CC4-5D6E-409C-BE32-E72D297353CC}">
                  <c16:uniqueId val="{00000005-6A2A-41AE-B09B-E58CBD4679E5}"/>
                </c:ext>
              </c:extLst>
            </c:dLbl>
            <c:dLbl>
              <c:idx val="6"/>
              <c:layout>
                <c:manualLayout>
                  <c:x val="4.8442906574394415E-2"/>
                  <c:y val="0"/>
                </c:manualLayout>
              </c:layout>
              <c:tx>
                <c:rich>
                  <a:bodyPr/>
                  <a:lstStyle/>
                  <a:p>
                    <a:r>
                      <a:rPr lang="en-US"/>
                      <a:t>Bartholomew</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6A2A-41AE-B09B-E58CBD4679E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Sheet1!$K$6:$K$12</c:f>
              <c:numCache>
                <c:formatCode>General</c:formatCode>
                <c:ptCount val="7"/>
                <c:pt idx="0">
                  <c:v>566</c:v>
                </c:pt>
                <c:pt idx="1">
                  <c:v>573</c:v>
                </c:pt>
                <c:pt idx="2">
                  <c:v>598</c:v>
                </c:pt>
                <c:pt idx="3">
                  <c:v>583</c:v>
                </c:pt>
                <c:pt idx="4">
                  <c:v>573</c:v>
                </c:pt>
                <c:pt idx="5">
                  <c:v>580</c:v>
                </c:pt>
                <c:pt idx="6">
                  <c:v>400</c:v>
                </c:pt>
              </c:numCache>
            </c:numRef>
          </c:xVal>
          <c:yVal>
            <c:numRef>
              <c:f>Sheet1!$L$6:$L$12</c:f>
              <c:numCache>
                <c:formatCode>General</c:formatCode>
                <c:ptCount val="7"/>
                <c:pt idx="0">
                  <c:v>90</c:v>
                </c:pt>
                <c:pt idx="1">
                  <c:v>74</c:v>
                </c:pt>
                <c:pt idx="2">
                  <c:v>74</c:v>
                </c:pt>
                <c:pt idx="3">
                  <c:v>92</c:v>
                </c:pt>
                <c:pt idx="4">
                  <c:v>70</c:v>
                </c:pt>
                <c:pt idx="5">
                  <c:v>0</c:v>
                </c:pt>
                <c:pt idx="6">
                  <c:v>85.1</c:v>
                </c:pt>
              </c:numCache>
            </c:numRef>
          </c:yVal>
          <c:smooth val="0"/>
          <c:extLst>
            <c:ext xmlns:c16="http://schemas.microsoft.com/office/drawing/2014/chart" uri="{C3380CC4-5D6E-409C-BE32-E72D297353CC}">
              <c16:uniqueId val="{00000007-6A2A-41AE-B09B-E58CBD4679E5}"/>
            </c:ext>
          </c:extLst>
        </c:ser>
        <c:dLbls>
          <c:showLegendKey val="0"/>
          <c:showVal val="0"/>
          <c:showCatName val="0"/>
          <c:showSerName val="0"/>
          <c:showPercent val="0"/>
          <c:showBubbleSize val="0"/>
        </c:dLbls>
        <c:axId val="14755032"/>
        <c:axId val="254558728"/>
      </c:scatterChart>
      <c:valAx>
        <c:axId val="14755032"/>
        <c:scaling>
          <c:orientation val="minMax"/>
          <c:min val="350"/>
        </c:scaling>
        <c:delete val="0"/>
        <c:axPos val="b"/>
        <c:majorGridlines>
          <c:spPr>
            <a:ln w="9525" cap="flat" cmpd="sng" algn="ctr">
              <a:solidFill>
                <a:schemeClr val="tx1">
                  <a:lumMod val="15000"/>
                  <a:lumOff val="85000"/>
                </a:schemeClr>
              </a:solidFill>
              <a:round/>
            </a:ln>
            <a:effectLst/>
          </c:spPr>
        </c:majorGridlines>
        <c:minorGridlines>
          <c:spPr>
            <a:ln w="9525" cap="flat" cmpd="sng" algn="ctr">
              <a:no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Decomposition Temperature [K]</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4558728"/>
        <c:crosses val="autoZero"/>
        <c:crossBetween val="midCat"/>
      </c:valAx>
      <c:valAx>
        <c:axId val="254558728"/>
        <c:scaling>
          <c:orientation val="minMax"/>
          <c:max val="100"/>
          <c:min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 Mass change</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755032"/>
        <c:crosses val="autoZero"/>
        <c:crossBetween val="midCat"/>
        <c:majorUnit val="5"/>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Ken16</b:Tag>
    <b:SourceType>JournalArticle</b:SourceType>
    <b:Guid>{B2ED4F44-830F-4AB2-B23A-1352E3164E10}</b:Guid>
    <b:Author>
      <b:Author>
        <b:NameList>
          <b:Person>
            <b:Last>Kennouche</b:Last>
            <b:First>David</b:First>
          </b:Person>
          <b:Person>
            <b:Last>Chen-Wiegart</b:Last>
          </b:Person>
          <b:Person>
            <b:Last>Karen</b:Last>
            <b:First>Yu-chen</b:First>
          </b:Person>
          <b:Person>
            <b:Last>Riscoe</b:Last>
            <b:First>Casey</b:First>
          </b:Person>
          <b:Person>
            <b:Last>Wang</b:Last>
            <b:First>Jun</b:First>
          </b:Person>
          <b:Person>
            <b:Last>Barnett</b:Last>
            <b:First>Scott</b:First>
            <b:Middle>A.</b:Middle>
          </b:Person>
        </b:NameList>
      </b:Author>
    </b:Author>
    <b:Title>Combined electrochemical and X-ray tomography study of the high temperature evolution of Nickel – Yttria Stabilized Zirconia solid oxide fuel cell anodes</b:Title>
    <b:JournalName>Journal of Power Sources</b:JournalName>
    <b:Year>2016</b:Year>
    <b:Pages>604-612</b:Pages>
    <b:Volume>307</b:Volume>
    <b:DOI>10.1016/j.jpowsour.2015.12.126</b:DOI>
    <b:RefOrder>9</b:RefOrder>
  </b:Source>
</b:Sources>
</file>

<file path=customXml/itemProps1.xml><?xml version="1.0" encoding="utf-8"?>
<ds:datastoreItem xmlns:ds="http://schemas.openxmlformats.org/officeDocument/2006/customXml" ds:itemID="{D83E9A47-DF72-4E24-B190-4A0986D71F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261</Pages>
  <Words>638514</Words>
  <Characters>3639530</Characters>
  <Application>Microsoft Office Word</Application>
  <DocSecurity>0</DocSecurity>
  <Lines>30329</Lines>
  <Paragraphs>8539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4269505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Edward Rackley</dc:creator>
  <cp:keywords/>
  <dc:description/>
  <cp:lastModifiedBy>Edward Rackley</cp:lastModifiedBy>
  <cp:revision>2</cp:revision>
  <dcterms:created xsi:type="dcterms:W3CDTF">2021-04-14T09:08:00Z</dcterms:created>
  <dcterms:modified xsi:type="dcterms:W3CDTF">2021-04-14T09:08:00Z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71d8b956-31b6-348f-9422-2c70577196e0</vt:lpwstr>
  </property>
  <property fmtid="{D5CDD505-2E9C-101B-9397-08002B2CF9AE}" pid="24" name="Mendeley Citation Style_1">
    <vt:lpwstr>http://www.zotero.org/styles/ieee</vt:lpwstr>
  </property>
</Properties>
</file>